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intelligence2.xml" ContentType="application/vnd.ms-office.intelligence2+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0FE0E2" w14:textId="2B5A408B" w:rsidR="009336B1" w:rsidRDefault="009245CF" w:rsidP="009245CF">
      <w:pPr>
        <w:pStyle w:val="Pagedecouverture"/>
        <w:rPr>
          <w:noProof/>
        </w:rPr>
      </w:pPr>
      <w:bookmarkStart w:id="0" w:name="LW_BM_COVERPAGE"/>
      <w:r>
        <w:rPr>
          <w:noProof/>
        </w:rPr>
        <w:pict w14:anchorId="0D440F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4DD5EF91-7905-4746-A776-497AF98371B7" style="width:455.25pt;height:529.5pt">
            <v:imagedata r:id="rId14" o:title=""/>
          </v:shape>
        </w:pict>
      </w:r>
    </w:p>
    <w:bookmarkEnd w:id="0"/>
    <w:p w14:paraId="5C50C334" w14:textId="71B83D2D" w:rsidR="00623704" w:rsidRPr="00623704" w:rsidRDefault="00623704" w:rsidP="00623704">
      <w:pPr>
        <w:pStyle w:val="Pagedecouverture"/>
        <w:rPr>
          <w:noProof/>
        </w:rPr>
        <w:sectPr w:rsidR="00623704" w:rsidRPr="00623704" w:rsidSect="009245CF">
          <w:headerReference w:type="even" r:id="rId15"/>
          <w:headerReference w:type="default" r:id="rId16"/>
          <w:footerReference w:type="even" r:id="rId17"/>
          <w:footerReference w:type="default" r:id="rId18"/>
          <w:headerReference w:type="first" r:id="rId19"/>
          <w:footerReference w:type="first" r:id="rId20"/>
          <w:pgSz w:w="11906" w:h="16838"/>
          <w:pgMar w:top="1134" w:right="1417" w:bottom="1134" w:left="1417" w:header="709" w:footer="709" w:gutter="0"/>
          <w:pgNumType w:start="0"/>
          <w:cols w:space="720"/>
          <w:docGrid w:linePitch="326"/>
        </w:sectPr>
      </w:pPr>
    </w:p>
    <w:p w14:paraId="4F53AF63" w14:textId="37808FAC" w:rsidR="00F52C38" w:rsidRPr="000B3234" w:rsidRDefault="00F52C38" w:rsidP="00E04DAE">
      <w:pPr>
        <w:jc w:val="center"/>
        <w:rPr>
          <w:rFonts w:ascii="Times New Roman" w:hAnsi="Times New Roman" w:cs="Times New Roman"/>
          <w:b/>
          <w:bCs/>
          <w:noProof/>
        </w:rPr>
      </w:pPr>
      <w:bookmarkStart w:id="1" w:name="_Toc148605577"/>
      <w:bookmarkStart w:id="2" w:name="_GoBack"/>
      <w:bookmarkEnd w:id="2"/>
      <w:r w:rsidRPr="000B3234">
        <w:rPr>
          <w:rFonts w:ascii="Times New Roman" w:hAnsi="Times New Roman" w:cs="Times New Roman"/>
          <w:b/>
          <w:bCs/>
          <w:noProof/>
        </w:rPr>
        <w:lastRenderedPageBreak/>
        <w:t>Table of contents</w:t>
      </w:r>
      <w:bookmarkEnd w:id="1"/>
    </w:p>
    <w:p w14:paraId="101C46D3" w14:textId="6AD6DE50" w:rsidR="005A4A97" w:rsidRDefault="008D5021">
      <w:pPr>
        <w:pStyle w:val="TOC1"/>
        <w:tabs>
          <w:tab w:val="right" w:leader="dot" w:pos="8608"/>
        </w:tabs>
        <w:rPr>
          <w:rFonts w:eastAsiaTheme="minorEastAsia" w:cstheme="minorBidi"/>
          <w:b w:val="0"/>
          <w:bCs w:val="0"/>
          <w:caps w:val="0"/>
          <w:noProof/>
          <w:kern w:val="2"/>
          <w:sz w:val="22"/>
          <w:szCs w:val="22"/>
          <w:lang w:val="en-IE"/>
          <w14:ligatures w14:val="standardContextual"/>
        </w:rPr>
      </w:pPr>
      <w:r w:rsidRPr="000B3234">
        <w:rPr>
          <w:rFonts w:ascii="Times New Roman" w:hAnsi="Times New Roman" w:cs="Times New Roman"/>
          <w:b w:val="0"/>
          <w:bCs w:val="0"/>
          <w:caps w:val="0"/>
          <w:smallCaps/>
          <w:noProof/>
        </w:rPr>
        <w:fldChar w:fldCharType="begin"/>
      </w:r>
      <w:r w:rsidRPr="000B3234">
        <w:rPr>
          <w:rFonts w:ascii="Times New Roman" w:hAnsi="Times New Roman" w:cs="Times New Roman"/>
          <w:noProof/>
        </w:rPr>
        <w:instrText xml:space="preserve"> TOC \o "2-3" \h \z \t "Heading 1,1,AnnexTitle,1" </w:instrText>
      </w:r>
      <w:r w:rsidRPr="000B3234">
        <w:rPr>
          <w:rFonts w:ascii="Times New Roman" w:hAnsi="Times New Roman" w:cs="Times New Roman"/>
          <w:b w:val="0"/>
          <w:bCs w:val="0"/>
          <w:caps w:val="0"/>
          <w:smallCaps/>
          <w:noProof/>
        </w:rPr>
        <w:fldChar w:fldCharType="separate"/>
      </w:r>
      <w:hyperlink w:anchor="_Toc157692023" w:history="1">
        <w:r w:rsidR="005A4A97" w:rsidRPr="004459BD">
          <w:rPr>
            <w:rStyle w:val="Hyperlink"/>
            <w:noProof/>
          </w:rPr>
          <w:t xml:space="preserve">Annex </w:t>
        </w:r>
        <w:r w:rsidR="005A4A97" w:rsidRPr="004459BD">
          <w:rPr>
            <w:rStyle w:val="Hyperlink"/>
            <w:rFonts w:cs="Times New Roman"/>
            <w:noProof/>
          </w:rPr>
          <w:t>8</w:t>
        </w:r>
        <w:r w:rsidR="005A4A97" w:rsidRPr="004459BD">
          <w:rPr>
            <w:rStyle w:val="Hyperlink"/>
            <w:noProof/>
          </w:rPr>
          <w:t>: Detailed quantitative analysis of GHG pathways</w:t>
        </w:r>
        <w:r w:rsidR="005A4A97">
          <w:rPr>
            <w:noProof/>
            <w:webHidden/>
          </w:rPr>
          <w:tab/>
        </w:r>
        <w:r w:rsidR="005A4A97">
          <w:rPr>
            <w:noProof/>
            <w:webHidden/>
          </w:rPr>
          <w:fldChar w:fldCharType="begin"/>
        </w:r>
        <w:r w:rsidR="005A4A97">
          <w:rPr>
            <w:noProof/>
            <w:webHidden/>
          </w:rPr>
          <w:instrText xml:space="preserve"> PAGEREF _Toc157692023 \h </w:instrText>
        </w:r>
        <w:r w:rsidR="005A4A97">
          <w:rPr>
            <w:noProof/>
            <w:webHidden/>
          </w:rPr>
        </w:r>
        <w:r w:rsidR="005A4A97">
          <w:rPr>
            <w:noProof/>
            <w:webHidden/>
          </w:rPr>
          <w:fldChar w:fldCharType="separate"/>
        </w:r>
        <w:r w:rsidR="005A4A97">
          <w:rPr>
            <w:noProof/>
            <w:webHidden/>
          </w:rPr>
          <w:t>3</w:t>
        </w:r>
        <w:r w:rsidR="005A4A97">
          <w:rPr>
            <w:noProof/>
            <w:webHidden/>
          </w:rPr>
          <w:fldChar w:fldCharType="end"/>
        </w:r>
      </w:hyperlink>
    </w:p>
    <w:p w14:paraId="27D5CB5E" w14:textId="22306F7F" w:rsidR="005A4A97" w:rsidRDefault="009245CF">
      <w:pPr>
        <w:pStyle w:val="TOC1"/>
        <w:tabs>
          <w:tab w:val="left" w:pos="480"/>
          <w:tab w:val="right" w:leader="dot" w:pos="8608"/>
        </w:tabs>
        <w:rPr>
          <w:rFonts w:eastAsiaTheme="minorEastAsia" w:cstheme="minorBidi"/>
          <w:b w:val="0"/>
          <w:bCs w:val="0"/>
          <w:caps w:val="0"/>
          <w:noProof/>
          <w:kern w:val="2"/>
          <w:sz w:val="22"/>
          <w:szCs w:val="22"/>
          <w:lang w:val="en-IE"/>
          <w14:ligatures w14:val="standardContextual"/>
        </w:rPr>
      </w:pPr>
      <w:hyperlink w:anchor="_Toc157692024" w:history="1">
        <w:r w:rsidR="005A4A97" w:rsidRPr="004459BD">
          <w:rPr>
            <w:rStyle w:val="Hyperlink"/>
            <w:noProof/>
            <w:lang w:val="en-IE"/>
          </w:rPr>
          <w:t>1</w:t>
        </w:r>
        <w:r w:rsidR="005A4A97">
          <w:rPr>
            <w:rFonts w:eastAsiaTheme="minorEastAsia" w:cstheme="minorBidi"/>
            <w:b w:val="0"/>
            <w:bCs w:val="0"/>
            <w:caps w:val="0"/>
            <w:noProof/>
            <w:kern w:val="2"/>
            <w:sz w:val="22"/>
            <w:szCs w:val="22"/>
            <w:lang w:val="en-IE"/>
            <w14:ligatures w14:val="standardContextual"/>
          </w:rPr>
          <w:tab/>
        </w:r>
        <w:r w:rsidR="005A4A97" w:rsidRPr="004459BD">
          <w:rPr>
            <w:rStyle w:val="Hyperlink"/>
            <w:noProof/>
            <w:lang w:val="en-IE"/>
          </w:rPr>
          <w:t>Key transformations to climate neutrality by 2050</w:t>
        </w:r>
        <w:r w:rsidR="005A4A97">
          <w:rPr>
            <w:noProof/>
            <w:webHidden/>
          </w:rPr>
          <w:tab/>
        </w:r>
        <w:r w:rsidR="005A4A97">
          <w:rPr>
            <w:noProof/>
            <w:webHidden/>
          </w:rPr>
          <w:fldChar w:fldCharType="begin"/>
        </w:r>
        <w:r w:rsidR="005A4A97">
          <w:rPr>
            <w:noProof/>
            <w:webHidden/>
          </w:rPr>
          <w:instrText xml:space="preserve"> PAGEREF _Toc157692024 \h </w:instrText>
        </w:r>
        <w:r w:rsidR="005A4A97">
          <w:rPr>
            <w:noProof/>
            <w:webHidden/>
          </w:rPr>
        </w:r>
        <w:r w:rsidR="005A4A97">
          <w:rPr>
            <w:noProof/>
            <w:webHidden/>
          </w:rPr>
          <w:fldChar w:fldCharType="separate"/>
        </w:r>
        <w:r w:rsidR="005A4A97">
          <w:rPr>
            <w:noProof/>
            <w:webHidden/>
          </w:rPr>
          <w:t>3</w:t>
        </w:r>
        <w:r w:rsidR="005A4A97">
          <w:rPr>
            <w:noProof/>
            <w:webHidden/>
          </w:rPr>
          <w:fldChar w:fldCharType="end"/>
        </w:r>
      </w:hyperlink>
    </w:p>
    <w:p w14:paraId="4FE7B043" w14:textId="2C5211FF" w:rsidR="005A4A97" w:rsidRDefault="009245CF">
      <w:pPr>
        <w:pStyle w:val="TOC2"/>
        <w:tabs>
          <w:tab w:val="left" w:pos="960"/>
          <w:tab w:val="right" w:leader="dot" w:pos="8608"/>
        </w:tabs>
        <w:rPr>
          <w:rFonts w:eastAsiaTheme="minorEastAsia" w:cstheme="minorBidi"/>
          <w:smallCaps w:val="0"/>
          <w:noProof/>
          <w:kern w:val="2"/>
          <w:sz w:val="22"/>
          <w:szCs w:val="22"/>
          <w:lang w:val="en-IE"/>
          <w14:ligatures w14:val="standardContextual"/>
        </w:rPr>
      </w:pPr>
      <w:hyperlink w:anchor="_Toc157692025" w:history="1">
        <w:r w:rsidR="005A4A97" w:rsidRPr="004459BD">
          <w:rPr>
            <w:rStyle w:val="Hyperlink"/>
            <w:noProof/>
          </w:rPr>
          <w:t>1.1.</w:t>
        </w:r>
        <w:r w:rsidR="005A4A97">
          <w:rPr>
            <w:rFonts w:eastAsiaTheme="minorEastAsia" w:cstheme="minorBidi"/>
            <w:smallCaps w:val="0"/>
            <w:noProof/>
            <w:kern w:val="2"/>
            <w:sz w:val="22"/>
            <w:szCs w:val="22"/>
            <w:lang w:val="en-IE"/>
            <w14:ligatures w14:val="standardContextual"/>
          </w:rPr>
          <w:tab/>
        </w:r>
        <w:r w:rsidR="005A4A97" w:rsidRPr="004459BD">
          <w:rPr>
            <w:rStyle w:val="Hyperlink"/>
            <w:noProof/>
          </w:rPr>
          <w:t>GHG emissions</w:t>
        </w:r>
        <w:r w:rsidR="005A4A97">
          <w:rPr>
            <w:noProof/>
            <w:webHidden/>
          </w:rPr>
          <w:tab/>
        </w:r>
        <w:r w:rsidR="005A4A97">
          <w:rPr>
            <w:noProof/>
            <w:webHidden/>
          </w:rPr>
          <w:fldChar w:fldCharType="begin"/>
        </w:r>
        <w:r w:rsidR="005A4A97">
          <w:rPr>
            <w:noProof/>
            <w:webHidden/>
          </w:rPr>
          <w:instrText xml:space="preserve"> PAGEREF _Toc157692025 \h </w:instrText>
        </w:r>
        <w:r w:rsidR="005A4A97">
          <w:rPr>
            <w:noProof/>
            <w:webHidden/>
          </w:rPr>
        </w:r>
        <w:r w:rsidR="005A4A97">
          <w:rPr>
            <w:noProof/>
            <w:webHidden/>
          </w:rPr>
          <w:fldChar w:fldCharType="separate"/>
        </w:r>
        <w:r w:rsidR="005A4A97">
          <w:rPr>
            <w:noProof/>
            <w:webHidden/>
          </w:rPr>
          <w:t>3</w:t>
        </w:r>
        <w:r w:rsidR="005A4A97">
          <w:rPr>
            <w:noProof/>
            <w:webHidden/>
          </w:rPr>
          <w:fldChar w:fldCharType="end"/>
        </w:r>
      </w:hyperlink>
    </w:p>
    <w:p w14:paraId="0661CF63" w14:textId="1104E4D6"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26" w:history="1">
        <w:r w:rsidR="005A4A97" w:rsidRPr="004459BD">
          <w:rPr>
            <w:rStyle w:val="Hyperlink"/>
            <w:noProof/>
          </w:rPr>
          <w:t>1.1.1.</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GHG budgets and net GHG emissions</w:t>
        </w:r>
        <w:r w:rsidR="005A4A97">
          <w:rPr>
            <w:noProof/>
            <w:webHidden/>
          </w:rPr>
          <w:tab/>
        </w:r>
        <w:r w:rsidR="005A4A97">
          <w:rPr>
            <w:noProof/>
            <w:webHidden/>
          </w:rPr>
          <w:fldChar w:fldCharType="begin"/>
        </w:r>
        <w:r w:rsidR="005A4A97">
          <w:rPr>
            <w:noProof/>
            <w:webHidden/>
          </w:rPr>
          <w:instrText xml:space="preserve"> PAGEREF _Toc157692026 \h </w:instrText>
        </w:r>
        <w:r w:rsidR="005A4A97">
          <w:rPr>
            <w:noProof/>
            <w:webHidden/>
          </w:rPr>
        </w:r>
        <w:r w:rsidR="005A4A97">
          <w:rPr>
            <w:noProof/>
            <w:webHidden/>
          </w:rPr>
          <w:fldChar w:fldCharType="separate"/>
        </w:r>
        <w:r w:rsidR="005A4A97">
          <w:rPr>
            <w:noProof/>
            <w:webHidden/>
          </w:rPr>
          <w:t>3</w:t>
        </w:r>
        <w:r w:rsidR="005A4A97">
          <w:rPr>
            <w:noProof/>
            <w:webHidden/>
          </w:rPr>
          <w:fldChar w:fldCharType="end"/>
        </w:r>
      </w:hyperlink>
    </w:p>
    <w:p w14:paraId="715DC2A8" w14:textId="5BE5E2A9"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27" w:history="1">
        <w:r w:rsidR="005A4A97" w:rsidRPr="004459BD">
          <w:rPr>
            <w:rStyle w:val="Hyperlink"/>
            <w:noProof/>
          </w:rPr>
          <w:t>1.1.2.</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GHG emissions and role of removals</w:t>
        </w:r>
        <w:r w:rsidR="005A4A97">
          <w:rPr>
            <w:noProof/>
            <w:webHidden/>
          </w:rPr>
          <w:tab/>
        </w:r>
        <w:r w:rsidR="005A4A97">
          <w:rPr>
            <w:noProof/>
            <w:webHidden/>
          </w:rPr>
          <w:fldChar w:fldCharType="begin"/>
        </w:r>
        <w:r w:rsidR="005A4A97">
          <w:rPr>
            <w:noProof/>
            <w:webHidden/>
          </w:rPr>
          <w:instrText xml:space="preserve"> PAGEREF _Toc157692027 \h </w:instrText>
        </w:r>
        <w:r w:rsidR="005A4A97">
          <w:rPr>
            <w:noProof/>
            <w:webHidden/>
          </w:rPr>
        </w:r>
        <w:r w:rsidR="005A4A97">
          <w:rPr>
            <w:noProof/>
            <w:webHidden/>
          </w:rPr>
          <w:fldChar w:fldCharType="separate"/>
        </w:r>
        <w:r w:rsidR="005A4A97">
          <w:rPr>
            <w:noProof/>
            <w:webHidden/>
          </w:rPr>
          <w:t>5</w:t>
        </w:r>
        <w:r w:rsidR="005A4A97">
          <w:rPr>
            <w:noProof/>
            <w:webHidden/>
          </w:rPr>
          <w:fldChar w:fldCharType="end"/>
        </w:r>
      </w:hyperlink>
    </w:p>
    <w:p w14:paraId="3501A1FD" w14:textId="361D5604"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28" w:history="1">
        <w:r w:rsidR="005A4A97" w:rsidRPr="004459BD">
          <w:rPr>
            <w:rStyle w:val="Hyperlink"/>
            <w:noProof/>
          </w:rPr>
          <w:t>1.1.3.</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Energy and Industry CO2 emissions</w:t>
        </w:r>
        <w:r w:rsidR="005A4A97">
          <w:rPr>
            <w:noProof/>
            <w:webHidden/>
          </w:rPr>
          <w:tab/>
        </w:r>
        <w:r w:rsidR="005A4A97">
          <w:rPr>
            <w:noProof/>
            <w:webHidden/>
          </w:rPr>
          <w:fldChar w:fldCharType="begin"/>
        </w:r>
        <w:r w:rsidR="005A4A97">
          <w:rPr>
            <w:noProof/>
            <w:webHidden/>
          </w:rPr>
          <w:instrText xml:space="preserve"> PAGEREF _Toc157692028 \h </w:instrText>
        </w:r>
        <w:r w:rsidR="005A4A97">
          <w:rPr>
            <w:noProof/>
            <w:webHidden/>
          </w:rPr>
        </w:r>
        <w:r w:rsidR="005A4A97">
          <w:rPr>
            <w:noProof/>
            <w:webHidden/>
          </w:rPr>
          <w:fldChar w:fldCharType="separate"/>
        </w:r>
        <w:r w:rsidR="005A4A97">
          <w:rPr>
            <w:noProof/>
            <w:webHidden/>
          </w:rPr>
          <w:t>15</w:t>
        </w:r>
        <w:r w:rsidR="005A4A97">
          <w:rPr>
            <w:noProof/>
            <w:webHidden/>
          </w:rPr>
          <w:fldChar w:fldCharType="end"/>
        </w:r>
      </w:hyperlink>
    </w:p>
    <w:p w14:paraId="1AB04399" w14:textId="53C3ADC8"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29" w:history="1">
        <w:r w:rsidR="005A4A97" w:rsidRPr="004459BD">
          <w:rPr>
            <w:rStyle w:val="Hyperlink"/>
            <w:noProof/>
            <w:lang w:val="fr-BE"/>
          </w:rPr>
          <w:t>1.1.4.</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lang w:val="fr-BE"/>
          </w:rPr>
          <w:t>Non-CO2 GHG emissions</w:t>
        </w:r>
        <w:r w:rsidR="005A4A97">
          <w:rPr>
            <w:noProof/>
            <w:webHidden/>
          </w:rPr>
          <w:tab/>
        </w:r>
        <w:r w:rsidR="005A4A97">
          <w:rPr>
            <w:noProof/>
            <w:webHidden/>
          </w:rPr>
          <w:fldChar w:fldCharType="begin"/>
        </w:r>
        <w:r w:rsidR="005A4A97">
          <w:rPr>
            <w:noProof/>
            <w:webHidden/>
          </w:rPr>
          <w:instrText xml:space="preserve"> PAGEREF _Toc157692029 \h </w:instrText>
        </w:r>
        <w:r w:rsidR="005A4A97">
          <w:rPr>
            <w:noProof/>
            <w:webHidden/>
          </w:rPr>
        </w:r>
        <w:r w:rsidR="005A4A97">
          <w:rPr>
            <w:noProof/>
            <w:webHidden/>
          </w:rPr>
          <w:fldChar w:fldCharType="separate"/>
        </w:r>
        <w:r w:rsidR="005A4A97">
          <w:rPr>
            <w:noProof/>
            <w:webHidden/>
          </w:rPr>
          <w:t>23</w:t>
        </w:r>
        <w:r w:rsidR="005A4A97">
          <w:rPr>
            <w:noProof/>
            <w:webHidden/>
          </w:rPr>
          <w:fldChar w:fldCharType="end"/>
        </w:r>
      </w:hyperlink>
    </w:p>
    <w:p w14:paraId="771E1281" w14:textId="2F1FF7B5" w:rsidR="005A4A97" w:rsidRDefault="009245CF">
      <w:pPr>
        <w:pStyle w:val="TOC2"/>
        <w:tabs>
          <w:tab w:val="left" w:pos="960"/>
          <w:tab w:val="right" w:leader="dot" w:pos="8608"/>
        </w:tabs>
        <w:rPr>
          <w:rFonts w:eastAsiaTheme="minorEastAsia" w:cstheme="minorBidi"/>
          <w:smallCaps w:val="0"/>
          <w:noProof/>
          <w:kern w:val="2"/>
          <w:sz w:val="22"/>
          <w:szCs w:val="22"/>
          <w:lang w:val="en-IE"/>
          <w14:ligatures w14:val="standardContextual"/>
        </w:rPr>
      </w:pPr>
      <w:hyperlink w:anchor="_Toc157692030" w:history="1">
        <w:r w:rsidR="005A4A97" w:rsidRPr="004459BD">
          <w:rPr>
            <w:rStyle w:val="Hyperlink"/>
            <w:noProof/>
          </w:rPr>
          <w:t>1.2.</w:t>
        </w:r>
        <w:r w:rsidR="005A4A97">
          <w:rPr>
            <w:rFonts w:eastAsiaTheme="minorEastAsia" w:cstheme="minorBidi"/>
            <w:smallCaps w:val="0"/>
            <w:noProof/>
            <w:kern w:val="2"/>
            <w:sz w:val="22"/>
            <w:szCs w:val="22"/>
            <w:lang w:val="en-IE"/>
            <w14:ligatures w14:val="standardContextual"/>
          </w:rPr>
          <w:tab/>
        </w:r>
        <w:r w:rsidR="005A4A97" w:rsidRPr="004459BD">
          <w:rPr>
            <w:rStyle w:val="Hyperlink"/>
            <w:noProof/>
          </w:rPr>
          <w:t>Energy sector transformation</w:t>
        </w:r>
        <w:r w:rsidR="005A4A97">
          <w:rPr>
            <w:noProof/>
            <w:webHidden/>
          </w:rPr>
          <w:tab/>
        </w:r>
        <w:r w:rsidR="005A4A97">
          <w:rPr>
            <w:noProof/>
            <w:webHidden/>
          </w:rPr>
          <w:fldChar w:fldCharType="begin"/>
        </w:r>
        <w:r w:rsidR="005A4A97">
          <w:rPr>
            <w:noProof/>
            <w:webHidden/>
          </w:rPr>
          <w:instrText xml:space="preserve"> PAGEREF _Toc157692030 \h </w:instrText>
        </w:r>
        <w:r w:rsidR="005A4A97">
          <w:rPr>
            <w:noProof/>
            <w:webHidden/>
          </w:rPr>
        </w:r>
        <w:r w:rsidR="005A4A97">
          <w:rPr>
            <w:noProof/>
            <w:webHidden/>
          </w:rPr>
          <w:fldChar w:fldCharType="separate"/>
        </w:r>
        <w:r w:rsidR="005A4A97">
          <w:rPr>
            <w:noProof/>
            <w:webHidden/>
          </w:rPr>
          <w:t>26</w:t>
        </w:r>
        <w:r w:rsidR="005A4A97">
          <w:rPr>
            <w:noProof/>
            <w:webHidden/>
          </w:rPr>
          <w:fldChar w:fldCharType="end"/>
        </w:r>
      </w:hyperlink>
    </w:p>
    <w:p w14:paraId="57B8DB78" w14:textId="57DFE8DC"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31" w:history="1">
        <w:r w:rsidR="005A4A97" w:rsidRPr="004459BD">
          <w:rPr>
            <w:rStyle w:val="Hyperlink"/>
            <w:noProof/>
          </w:rPr>
          <w:t>1.2.1.</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Energy supply</w:t>
        </w:r>
        <w:r w:rsidR="005A4A97">
          <w:rPr>
            <w:noProof/>
            <w:webHidden/>
          </w:rPr>
          <w:tab/>
        </w:r>
        <w:r w:rsidR="005A4A97">
          <w:rPr>
            <w:noProof/>
            <w:webHidden/>
          </w:rPr>
          <w:fldChar w:fldCharType="begin"/>
        </w:r>
        <w:r w:rsidR="005A4A97">
          <w:rPr>
            <w:noProof/>
            <w:webHidden/>
          </w:rPr>
          <w:instrText xml:space="preserve"> PAGEREF _Toc157692031 \h </w:instrText>
        </w:r>
        <w:r w:rsidR="005A4A97">
          <w:rPr>
            <w:noProof/>
            <w:webHidden/>
          </w:rPr>
        </w:r>
        <w:r w:rsidR="005A4A97">
          <w:rPr>
            <w:noProof/>
            <w:webHidden/>
          </w:rPr>
          <w:fldChar w:fldCharType="separate"/>
        </w:r>
        <w:r w:rsidR="005A4A97">
          <w:rPr>
            <w:noProof/>
            <w:webHidden/>
          </w:rPr>
          <w:t>26</w:t>
        </w:r>
        <w:r w:rsidR="005A4A97">
          <w:rPr>
            <w:noProof/>
            <w:webHidden/>
          </w:rPr>
          <w:fldChar w:fldCharType="end"/>
        </w:r>
      </w:hyperlink>
    </w:p>
    <w:p w14:paraId="69C86721" w14:textId="2CE6DB16"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32" w:history="1">
        <w:r w:rsidR="005A4A97" w:rsidRPr="004459BD">
          <w:rPr>
            <w:rStyle w:val="Hyperlink"/>
            <w:noProof/>
          </w:rPr>
          <w:t>1.2.2.</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Power generation sector</w:t>
        </w:r>
        <w:r w:rsidR="005A4A97">
          <w:rPr>
            <w:noProof/>
            <w:webHidden/>
          </w:rPr>
          <w:tab/>
        </w:r>
        <w:r w:rsidR="005A4A97">
          <w:rPr>
            <w:noProof/>
            <w:webHidden/>
          </w:rPr>
          <w:fldChar w:fldCharType="begin"/>
        </w:r>
        <w:r w:rsidR="005A4A97">
          <w:rPr>
            <w:noProof/>
            <w:webHidden/>
          </w:rPr>
          <w:instrText xml:space="preserve"> PAGEREF _Toc157692032 \h </w:instrText>
        </w:r>
        <w:r w:rsidR="005A4A97">
          <w:rPr>
            <w:noProof/>
            <w:webHidden/>
          </w:rPr>
        </w:r>
        <w:r w:rsidR="005A4A97">
          <w:rPr>
            <w:noProof/>
            <w:webHidden/>
          </w:rPr>
          <w:fldChar w:fldCharType="separate"/>
        </w:r>
        <w:r w:rsidR="005A4A97">
          <w:rPr>
            <w:noProof/>
            <w:webHidden/>
          </w:rPr>
          <w:t>30</w:t>
        </w:r>
        <w:r w:rsidR="005A4A97">
          <w:rPr>
            <w:noProof/>
            <w:webHidden/>
          </w:rPr>
          <w:fldChar w:fldCharType="end"/>
        </w:r>
      </w:hyperlink>
    </w:p>
    <w:p w14:paraId="48294357" w14:textId="69C3059C"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33" w:history="1">
        <w:r w:rsidR="005A4A97" w:rsidRPr="004459BD">
          <w:rPr>
            <w:rStyle w:val="Hyperlink"/>
            <w:noProof/>
          </w:rPr>
          <w:t>1.2.3.</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Gaseous fuels</w:t>
        </w:r>
        <w:r w:rsidR="005A4A97">
          <w:rPr>
            <w:noProof/>
            <w:webHidden/>
          </w:rPr>
          <w:tab/>
        </w:r>
        <w:r w:rsidR="005A4A97">
          <w:rPr>
            <w:noProof/>
            <w:webHidden/>
          </w:rPr>
          <w:fldChar w:fldCharType="begin"/>
        </w:r>
        <w:r w:rsidR="005A4A97">
          <w:rPr>
            <w:noProof/>
            <w:webHidden/>
          </w:rPr>
          <w:instrText xml:space="preserve"> PAGEREF _Toc157692033 \h </w:instrText>
        </w:r>
        <w:r w:rsidR="005A4A97">
          <w:rPr>
            <w:noProof/>
            <w:webHidden/>
          </w:rPr>
        </w:r>
        <w:r w:rsidR="005A4A97">
          <w:rPr>
            <w:noProof/>
            <w:webHidden/>
          </w:rPr>
          <w:fldChar w:fldCharType="separate"/>
        </w:r>
        <w:r w:rsidR="005A4A97">
          <w:rPr>
            <w:noProof/>
            <w:webHidden/>
          </w:rPr>
          <w:t>39</w:t>
        </w:r>
        <w:r w:rsidR="005A4A97">
          <w:rPr>
            <w:noProof/>
            <w:webHidden/>
          </w:rPr>
          <w:fldChar w:fldCharType="end"/>
        </w:r>
      </w:hyperlink>
    </w:p>
    <w:p w14:paraId="72093F16" w14:textId="49679118"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34" w:history="1">
        <w:r w:rsidR="005A4A97" w:rsidRPr="004459BD">
          <w:rPr>
            <w:rStyle w:val="Hyperlink"/>
            <w:noProof/>
          </w:rPr>
          <w:t>1.2.4.</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Final Energy Consumption</w:t>
        </w:r>
        <w:r w:rsidR="005A4A97">
          <w:rPr>
            <w:noProof/>
            <w:webHidden/>
          </w:rPr>
          <w:tab/>
        </w:r>
        <w:r w:rsidR="005A4A97">
          <w:rPr>
            <w:noProof/>
            <w:webHidden/>
          </w:rPr>
          <w:fldChar w:fldCharType="begin"/>
        </w:r>
        <w:r w:rsidR="005A4A97">
          <w:rPr>
            <w:noProof/>
            <w:webHidden/>
          </w:rPr>
          <w:instrText xml:space="preserve"> PAGEREF _Toc157692034 \h </w:instrText>
        </w:r>
        <w:r w:rsidR="005A4A97">
          <w:rPr>
            <w:noProof/>
            <w:webHidden/>
          </w:rPr>
        </w:r>
        <w:r w:rsidR="005A4A97">
          <w:rPr>
            <w:noProof/>
            <w:webHidden/>
          </w:rPr>
          <w:fldChar w:fldCharType="separate"/>
        </w:r>
        <w:r w:rsidR="005A4A97">
          <w:rPr>
            <w:noProof/>
            <w:webHidden/>
          </w:rPr>
          <w:t>42</w:t>
        </w:r>
        <w:r w:rsidR="005A4A97">
          <w:rPr>
            <w:noProof/>
            <w:webHidden/>
          </w:rPr>
          <w:fldChar w:fldCharType="end"/>
        </w:r>
      </w:hyperlink>
    </w:p>
    <w:p w14:paraId="67C63111" w14:textId="00EF32D3"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35" w:history="1">
        <w:r w:rsidR="005A4A97" w:rsidRPr="004459BD">
          <w:rPr>
            <w:rStyle w:val="Hyperlink"/>
            <w:noProof/>
            <w:lang w:val="en-IE"/>
          </w:rPr>
          <w:t>1.2.5.</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lang w:val="en-IE"/>
          </w:rPr>
          <w:t>Energy related CO</w:t>
        </w:r>
        <w:r w:rsidR="005A4A97" w:rsidRPr="004459BD">
          <w:rPr>
            <w:rStyle w:val="Hyperlink"/>
            <w:noProof/>
            <w:vertAlign w:val="subscript"/>
            <w:lang w:val="en-IE"/>
          </w:rPr>
          <w:t>2</w:t>
        </w:r>
        <w:r w:rsidR="005A4A97" w:rsidRPr="004459BD">
          <w:rPr>
            <w:rStyle w:val="Hyperlink"/>
            <w:noProof/>
            <w:lang w:val="en-IE"/>
          </w:rPr>
          <w:t xml:space="preserve"> emissions</w:t>
        </w:r>
        <w:r w:rsidR="005A4A97">
          <w:rPr>
            <w:noProof/>
            <w:webHidden/>
          </w:rPr>
          <w:tab/>
        </w:r>
        <w:r w:rsidR="005A4A97">
          <w:rPr>
            <w:noProof/>
            <w:webHidden/>
          </w:rPr>
          <w:fldChar w:fldCharType="begin"/>
        </w:r>
        <w:r w:rsidR="005A4A97">
          <w:rPr>
            <w:noProof/>
            <w:webHidden/>
          </w:rPr>
          <w:instrText xml:space="preserve"> PAGEREF _Toc157692035 \h </w:instrText>
        </w:r>
        <w:r w:rsidR="005A4A97">
          <w:rPr>
            <w:noProof/>
            <w:webHidden/>
          </w:rPr>
        </w:r>
        <w:r w:rsidR="005A4A97">
          <w:rPr>
            <w:noProof/>
            <w:webHidden/>
          </w:rPr>
          <w:fldChar w:fldCharType="separate"/>
        </w:r>
        <w:r w:rsidR="005A4A97">
          <w:rPr>
            <w:noProof/>
            <w:webHidden/>
          </w:rPr>
          <w:t>46</w:t>
        </w:r>
        <w:r w:rsidR="005A4A97">
          <w:rPr>
            <w:noProof/>
            <w:webHidden/>
          </w:rPr>
          <w:fldChar w:fldCharType="end"/>
        </w:r>
      </w:hyperlink>
    </w:p>
    <w:p w14:paraId="39553F9A" w14:textId="77E7909F"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36" w:history="1">
        <w:r w:rsidR="005A4A97" w:rsidRPr="004459BD">
          <w:rPr>
            <w:rStyle w:val="Hyperlink"/>
            <w:noProof/>
            <w:lang w:val="en-IE"/>
          </w:rPr>
          <w:t>1.2.6.</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lang w:val="en-IE"/>
          </w:rPr>
          <w:t>Raw materials’ needs</w:t>
        </w:r>
        <w:r w:rsidR="005A4A97">
          <w:rPr>
            <w:noProof/>
            <w:webHidden/>
          </w:rPr>
          <w:tab/>
        </w:r>
        <w:r w:rsidR="005A4A97">
          <w:rPr>
            <w:noProof/>
            <w:webHidden/>
          </w:rPr>
          <w:fldChar w:fldCharType="begin"/>
        </w:r>
        <w:r w:rsidR="005A4A97">
          <w:rPr>
            <w:noProof/>
            <w:webHidden/>
          </w:rPr>
          <w:instrText xml:space="preserve"> PAGEREF _Toc157692036 \h </w:instrText>
        </w:r>
        <w:r w:rsidR="005A4A97">
          <w:rPr>
            <w:noProof/>
            <w:webHidden/>
          </w:rPr>
        </w:r>
        <w:r w:rsidR="005A4A97">
          <w:rPr>
            <w:noProof/>
            <w:webHidden/>
          </w:rPr>
          <w:fldChar w:fldCharType="separate"/>
        </w:r>
        <w:r w:rsidR="005A4A97">
          <w:rPr>
            <w:noProof/>
            <w:webHidden/>
          </w:rPr>
          <w:t>48</w:t>
        </w:r>
        <w:r w:rsidR="005A4A97">
          <w:rPr>
            <w:noProof/>
            <w:webHidden/>
          </w:rPr>
          <w:fldChar w:fldCharType="end"/>
        </w:r>
      </w:hyperlink>
    </w:p>
    <w:p w14:paraId="1675DC67" w14:textId="5FFE0F98" w:rsidR="005A4A97" w:rsidRDefault="009245CF">
      <w:pPr>
        <w:pStyle w:val="TOC2"/>
        <w:tabs>
          <w:tab w:val="left" w:pos="960"/>
          <w:tab w:val="right" w:leader="dot" w:pos="8608"/>
        </w:tabs>
        <w:rPr>
          <w:rFonts w:eastAsiaTheme="minorEastAsia" w:cstheme="minorBidi"/>
          <w:smallCaps w:val="0"/>
          <w:noProof/>
          <w:kern w:val="2"/>
          <w:sz w:val="22"/>
          <w:szCs w:val="22"/>
          <w:lang w:val="en-IE"/>
          <w14:ligatures w14:val="standardContextual"/>
        </w:rPr>
      </w:pPr>
      <w:hyperlink w:anchor="_Toc157692037" w:history="1">
        <w:r w:rsidR="005A4A97" w:rsidRPr="004459BD">
          <w:rPr>
            <w:rStyle w:val="Hyperlink"/>
            <w:noProof/>
          </w:rPr>
          <w:t>1.3.</w:t>
        </w:r>
        <w:r w:rsidR="005A4A97">
          <w:rPr>
            <w:rFonts w:eastAsiaTheme="minorEastAsia" w:cstheme="minorBidi"/>
            <w:smallCaps w:val="0"/>
            <w:noProof/>
            <w:kern w:val="2"/>
            <w:sz w:val="22"/>
            <w:szCs w:val="22"/>
            <w:lang w:val="en-IE"/>
            <w14:ligatures w14:val="standardContextual"/>
          </w:rPr>
          <w:tab/>
        </w:r>
        <w:r w:rsidR="005A4A97" w:rsidRPr="004459BD">
          <w:rPr>
            <w:rStyle w:val="Hyperlink"/>
            <w:noProof/>
          </w:rPr>
          <w:t>Buildings</w:t>
        </w:r>
        <w:r w:rsidR="005A4A97">
          <w:rPr>
            <w:noProof/>
            <w:webHidden/>
          </w:rPr>
          <w:tab/>
        </w:r>
        <w:r w:rsidR="005A4A97">
          <w:rPr>
            <w:noProof/>
            <w:webHidden/>
          </w:rPr>
          <w:fldChar w:fldCharType="begin"/>
        </w:r>
        <w:r w:rsidR="005A4A97">
          <w:rPr>
            <w:noProof/>
            <w:webHidden/>
          </w:rPr>
          <w:instrText xml:space="preserve"> PAGEREF _Toc157692037 \h </w:instrText>
        </w:r>
        <w:r w:rsidR="005A4A97">
          <w:rPr>
            <w:noProof/>
            <w:webHidden/>
          </w:rPr>
        </w:r>
        <w:r w:rsidR="005A4A97">
          <w:rPr>
            <w:noProof/>
            <w:webHidden/>
          </w:rPr>
          <w:fldChar w:fldCharType="separate"/>
        </w:r>
        <w:r w:rsidR="005A4A97">
          <w:rPr>
            <w:noProof/>
            <w:webHidden/>
          </w:rPr>
          <w:t>48</w:t>
        </w:r>
        <w:r w:rsidR="005A4A97">
          <w:rPr>
            <w:noProof/>
            <w:webHidden/>
          </w:rPr>
          <w:fldChar w:fldCharType="end"/>
        </w:r>
      </w:hyperlink>
    </w:p>
    <w:p w14:paraId="42950CA5" w14:textId="0A3435AB"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38" w:history="1">
        <w:r w:rsidR="005A4A97" w:rsidRPr="004459BD">
          <w:rPr>
            <w:rStyle w:val="Hyperlink"/>
            <w:noProof/>
          </w:rPr>
          <w:t>1.3.1.</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Buildings activity</w:t>
        </w:r>
        <w:r w:rsidR="005A4A97">
          <w:rPr>
            <w:noProof/>
            <w:webHidden/>
          </w:rPr>
          <w:tab/>
        </w:r>
        <w:r w:rsidR="005A4A97">
          <w:rPr>
            <w:noProof/>
            <w:webHidden/>
          </w:rPr>
          <w:fldChar w:fldCharType="begin"/>
        </w:r>
        <w:r w:rsidR="005A4A97">
          <w:rPr>
            <w:noProof/>
            <w:webHidden/>
          </w:rPr>
          <w:instrText xml:space="preserve"> PAGEREF _Toc157692038 \h </w:instrText>
        </w:r>
        <w:r w:rsidR="005A4A97">
          <w:rPr>
            <w:noProof/>
            <w:webHidden/>
          </w:rPr>
        </w:r>
        <w:r w:rsidR="005A4A97">
          <w:rPr>
            <w:noProof/>
            <w:webHidden/>
          </w:rPr>
          <w:fldChar w:fldCharType="separate"/>
        </w:r>
        <w:r w:rsidR="005A4A97">
          <w:rPr>
            <w:noProof/>
            <w:webHidden/>
          </w:rPr>
          <w:t>49</w:t>
        </w:r>
        <w:r w:rsidR="005A4A97">
          <w:rPr>
            <w:noProof/>
            <w:webHidden/>
          </w:rPr>
          <w:fldChar w:fldCharType="end"/>
        </w:r>
      </w:hyperlink>
    </w:p>
    <w:p w14:paraId="6B12FCBE" w14:textId="1F34E6F8"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39" w:history="1">
        <w:r w:rsidR="005A4A97" w:rsidRPr="004459BD">
          <w:rPr>
            <w:rStyle w:val="Hyperlink"/>
            <w:noProof/>
          </w:rPr>
          <w:t>1.3.2.</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Energy efficiency in buildings</w:t>
        </w:r>
        <w:r w:rsidR="005A4A97">
          <w:rPr>
            <w:noProof/>
            <w:webHidden/>
          </w:rPr>
          <w:tab/>
        </w:r>
        <w:r w:rsidR="005A4A97">
          <w:rPr>
            <w:noProof/>
            <w:webHidden/>
          </w:rPr>
          <w:fldChar w:fldCharType="begin"/>
        </w:r>
        <w:r w:rsidR="005A4A97">
          <w:rPr>
            <w:noProof/>
            <w:webHidden/>
          </w:rPr>
          <w:instrText xml:space="preserve"> PAGEREF _Toc157692039 \h </w:instrText>
        </w:r>
        <w:r w:rsidR="005A4A97">
          <w:rPr>
            <w:noProof/>
            <w:webHidden/>
          </w:rPr>
        </w:r>
        <w:r w:rsidR="005A4A97">
          <w:rPr>
            <w:noProof/>
            <w:webHidden/>
          </w:rPr>
          <w:fldChar w:fldCharType="separate"/>
        </w:r>
        <w:r w:rsidR="005A4A97">
          <w:rPr>
            <w:noProof/>
            <w:webHidden/>
          </w:rPr>
          <w:t>49</w:t>
        </w:r>
        <w:r w:rsidR="005A4A97">
          <w:rPr>
            <w:noProof/>
            <w:webHidden/>
          </w:rPr>
          <w:fldChar w:fldCharType="end"/>
        </w:r>
      </w:hyperlink>
    </w:p>
    <w:p w14:paraId="5276E6F4" w14:textId="06DCBC3A"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40" w:history="1">
        <w:r w:rsidR="005A4A97" w:rsidRPr="004459BD">
          <w:rPr>
            <w:rStyle w:val="Hyperlink"/>
            <w:noProof/>
          </w:rPr>
          <w:t>1.3.3.</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Fuel mix in buildings</w:t>
        </w:r>
        <w:r w:rsidR="005A4A97">
          <w:rPr>
            <w:noProof/>
            <w:webHidden/>
          </w:rPr>
          <w:tab/>
        </w:r>
        <w:r w:rsidR="005A4A97">
          <w:rPr>
            <w:noProof/>
            <w:webHidden/>
          </w:rPr>
          <w:fldChar w:fldCharType="begin"/>
        </w:r>
        <w:r w:rsidR="005A4A97">
          <w:rPr>
            <w:noProof/>
            <w:webHidden/>
          </w:rPr>
          <w:instrText xml:space="preserve"> PAGEREF _Toc157692040 \h </w:instrText>
        </w:r>
        <w:r w:rsidR="005A4A97">
          <w:rPr>
            <w:noProof/>
            <w:webHidden/>
          </w:rPr>
        </w:r>
        <w:r w:rsidR="005A4A97">
          <w:rPr>
            <w:noProof/>
            <w:webHidden/>
          </w:rPr>
          <w:fldChar w:fldCharType="separate"/>
        </w:r>
        <w:r w:rsidR="005A4A97">
          <w:rPr>
            <w:noProof/>
            <w:webHidden/>
          </w:rPr>
          <w:t>53</w:t>
        </w:r>
        <w:r w:rsidR="005A4A97">
          <w:rPr>
            <w:noProof/>
            <w:webHidden/>
          </w:rPr>
          <w:fldChar w:fldCharType="end"/>
        </w:r>
      </w:hyperlink>
    </w:p>
    <w:p w14:paraId="36870811" w14:textId="3BEEE05A"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41" w:history="1">
        <w:r w:rsidR="005A4A97" w:rsidRPr="004459BD">
          <w:rPr>
            <w:rStyle w:val="Hyperlink"/>
            <w:noProof/>
          </w:rPr>
          <w:t>1.3.4.</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Appliances</w:t>
        </w:r>
        <w:r w:rsidR="005A4A97">
          <w:rPr>
            <w:noProof/>
            <w:webHidden/>
          </w:rPr>
          <w:tab/>
        </w:r>
        <w:r w:rsidR="005A4A97">
          <w:rPr>
            <w:noProof/>
            <w:webHidden/>
          </w:rPr>
          <w:fldChar w:fldCharType="begin"/>
        </w:r>
        <w:r w:rsidR="005A4A97">
          <w:rPr>
            <w:noProof/>
            <w:webHidden/>
          </w:rPr>
          <w:instrText xml:space="preserve"> PAGEREF _Toc157692041 \h </w:instrText>
        </w:r>
        <w:r w:rsidR="005A4A97">
          <w:rPr>
            <w:noProof/>
            <w:webHidden/>
          </w:rPr>
        </w:r>
        <w:r w:rsidR="005A4A97">
          <w:rPr>
            <w:noProof/>
            <w:webHidden/>
          </w:rPr>
          <w:fldChar w:fldCharType="separate"/>
        </w:r>
        <w:r w:rsidR="005A4A97">
          <w:rPr>
            <w:noProof/>
            <w:webHidden/>
          </w:rPr>
          <w:t>57</w:t>
        </w:r>
        <w:r w:rsidR="005A4A97">
          <w:rPr>
            <w:noProof/>
            <w:webHidden/>
          </w:rPr>
          <w:fldChar w:fldCharType="end"/>
        </w:r>
      </w:hyperlink>
    </w:p>
    <w:p w14:paraId="754D3D74" w14:textId="1C2A161F"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42" w:history="1">
        <w:r w:rsidR="005A4A97" w:rsidRPr="004459BD">
          <w:rPr>
            <w:rStyle w:val="Hyperlink"/>
            <w:noProof/>
          </w:rPr>
          <w:t>1.3.5.</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CO</w:t>
        </w:r>
        <w:r w:rsidR="005A4A97" w:rsidRPr="004459BD">
          <w:rPr>
            <w:rStyle w:val="Hyperlink"/>
            <w:noProof/>
            <w:vertAlign w:val="subscript"/>
          </w:rPr>
          <w:t>2</w:t>
        </w:r>
        <w:r w:rsidR="005A4A97" w:rsidRPr="004459BD">
          <w:rPr>
            <w:rStyle w:val="Hyperlink"/>
            <w:noProof/>
          </w:rPr>
          <w:t xml:space="preserve"> emissions from buildings</w:t>
        </w:r>
        <w:r w:rsidR="005A4A97">
          <w:rPr>
            <w:noProof/>
            <w:webHidden/>
          </w:rPr>
          <w:tab/>
        </w:r>
        <w:r w:rsidR="005A4A97">
          <w:rPr>
            <w:noProof/>
            <w:webHidden/>
          </w:rPr>
          <w:fldChar w:fldCharType="begin"/>
        </w:r>
        <w:r w:rsidR="005A4A97">
          <w:rPr>
            <w:noProof/>
            <w:webHidden/>
          </w:rPr>
          <w:instrText xml:space="preserve"> PAGEREF _Toc157692042 \h </w:instrText>
        </w:r>
        <w:r w:rsidR="005A4A97">
          <w:rPr>
            <w:noProof/>
            <w:webHidden/>
          </w:rPr>
        </w:r>
        <w:r w:rsidR="005A4A97">
          <w:rPr>
            <w:noProof/>
            <w:webHidden/>
          </w:rPr>
          <w:fldChar w:fldCharType="separate"/>
        </w:r>
        <w:r w:rsidR="005A4A97">
          <w:rPr>
            <w:noProof/>
            <w:webHidden/>
          </w:rPr>
          <w:t>58</w:t>
        </w:r>
        <w:r w:rsidR="005A4A97">
          <w:rPr>
            <w:noProof/>
            <w:webHidden/>
          </w:rPr>
          <w:fldChar w:fldCharType="end"/>
        </w:r>
      </w:hyperlink>
    </w:p>
    <w:p w14:paraId="2F3B7DB5" w14:textId="3544C8AB" w:rsidR="005A4A97" w:rsidRDefault="009245CF">
      <w:pPr>
        <w:pStyle w:val="TOC2"/>
        <w:tabs>
          <w:tab w:val="left" w:pos="960"/>
          <w:tab w:val="right" w:leader="dot" w:pos="8608"/>
        </w:tabs>
        <w:rPr>
          <w:rFonts w:eastAsiaTheme="minorEastAsia" w:cstheme="minorBidi"/>
          <w:smallCaps w:val="0"/>
          <w:noProof/>
          <w:kern w:val="2"/>
          <w:sz w:val="22"/>
          <w:szCs w:val="22"/>
          <w:lang w:val="en-IE"/>
          <w14:ligatures w14:val="standardContextual"/>
        </w:rPr>
      </w:pPr>
      <w:hyperlink w:anchor="_Toc157692043" w:history="1">
        <w:r w:rsidR="005A4A97" w:rsidRPr="004459BD">
          <w:rPr>
            <w:rStyle w:val="Hyperlink"/>
            <w:noProof/>
          </w:rPr>
          <w:t>1.4.</w:t>
        </w:r>
        <w:r w:rsidR="005A4A97">
          <w:rPr>
            <w:rFonts w:eastAsiaTheme="minorEastAsia" w:cstheme="minorBidi"/>
            <w:smallCaps w:val="0"/>
            <w:noProof/>
            <w:kern w:val="2"/>
            <w:sz w:val="22"/>
            <w:szCs w:val="22"/>
            <w:lang w:val="en-IE"/>
            <w14:ligatures w14:val="standardContextual"/>
          </w:rPr>
          <w:tab/>
        </w:r>
        <w:r w:rsidR="005A4A97" w:rsidRPr="004459BD">
          <w:rPr>
            <w:rStyle w:val="Hyperlink"/>
            <w:noProof/>
          </w:rPr>
          <w:t>Industry</w:t>
        </w:r>
        <w:r w:rsidR="005A4A97">
          <w:rPr>
            <w:noProof/>
            <w:webHidden/>
          </w:rPr>
          <w:tab/>
        </w:r>
        <w:r w:rsidR="005A4A97">
          <w:rPr>
            <w:noProof/>
            <w:webHidden/>
          </w:rPr>
          <w:fldChar w:fldCharType="begin"/>
        </w:r>
        <w:r w:rsidR="005A4A97">
          <w:rPr>
            <w:noProof/>
            <w:webHidden/>
          </w:rPr>
          <w:instrText xml:space="preserve"> PAGEREF _Toc157692043 \h </w:instrText>
        </w:r>
        <w:r w:rsidR="005A4A97">
          <w:rPr>
            <w:noProof/>
            <w:webHidden/>
          </w:rPr>
        </w:r>
        <w:r w:rsidR="005A4A97">
          <w:rPr>
            <w:noProof/>
            <w:webHidden/>
          </w:rPr>
          <w:fldChar w:fldCharType="separate"/>
        </w:r>
        <w:r w:rsidR="005A4A97">
          <w:rPr>
            <w:noProof/>
            <w:webHidden/>
          </w:rPr>
          <w:t>59</w:t>
        </w:r>
        <w:r w:rsidR="005A4A97">
          <w:rPr>
            <w:noProof/>
            <w:webHidden/>
          </w:rPr>
          <w:fldChar w:fldCharType="end"/>
        </w:r>
      </w:hyperlink>
    </w:p>
    <w:p w14:paraId="18525841" w14:textId="5F5821EA"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44" w:history="1">
        <w:r w:rsidR="005A4A97" w:rsidRPr="004459BD">
          <w:rPr>
            <w:rStyle w:val="Hyperlink"/>
            <w:noProof/>
          </w:rPr>
          <w:t>1.4.1.</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Introduction</w:t>
        </w:r>
        <w:r w:rsidR="005A4A97">
          <w:rPr>
            <w:noProof/>
            <w:webHidden/>
          </w:rPr>
          <w:tab/>
        </w:r>
        <w:r w:rsidR="005A4A97">
          <w:rPr>
            <w:noProof/>
            <w:webHidden/>
          </w:rPr>
          <w:fldChar w:fldCharType="begin"/>
        </w:r>
        <w:r w:rsidR="005A4A97">
          <w:rPr>
            <w:noProof/>
            <w:webHidden/>
          </w:rPr>
          <w:instrText xml:space="preserve"> PAGEREF _Toc157692044 \h </w:instrText>
        </w:r>
        <w:r w:rsidR="005A4A97">
          <w:rPr>
            <w:noProof/>
            <w:webHidden/>
          </w:rPr>
        </w:r>
        <w:r w:rsidR="005A4A97">
          <w:rPr>
            <w:noProof/>
            <w:webHidden/>
          </w:rPr>
          <w:fldChar w:fldCharType="separate"/>
        </w:r>
        <w:r w:rsidR="005A4A97">
          <w:rPr>
            <w:noProof/>
            <w:webHidden/>
          </w:rPr>
          <w:t>59</w:t>
        </w:r>
        <w:r w:rsidR="005A4A97">
          <w:rPr>
            <w:noProof/>
            <w:webHidden/>
          </w:rPr>
          <w:fldChar w:fldCharType="end"/>
        </w:r>
      </w:hyperlink>
    </w:p>
    <w:p w14:paraId="2A1084BD" w14:textId="43D7B8A1"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45" w:history="1">
        <w:r w:rsidR="005A4A97" w:rsidRPr="004459BD">
          <w:rPr>
            <w:rStyle w:val="Hyperlink"/>
            <w:noProof/>
          </w:rPr>
          <w:t>1.4.2.</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Activity</w:t>
        </w:r>
        <w:r w:rsidR="005A4A97">
          <w:rPr>
            <w:noProof/>
            <w:webHidden/>
          </w:rPr>
          <w:tab/>
        </w:r>
        <w:r w:rsidR="005A4A97">
          <w:rPr>
            <w:noProof/>
            <w:webHidden/>
          </w:rPr>
          <w:fldChar w:fldCharType="begin"/>
        </w:r>
        <w:r w:rsidR="005A4A97">
          <w:rPr>
            <w:noProof/>
            <w:webHidden/>
          </w:rPr>
          <w:instrText xml:space="preserve"> PAGEREF _Toc157692045 \h </w:instrText>
        </w:r>
        <w:r w:rsidR="005A4A97">
          <w:rPr>
            <w:noProof/>
            <w:webHidden/>
          </w:rPr>
        </w:r>
        <w:r w:rsidR="005A4A97">
          <w:rPr>
            <w:noProof/>
            <w:webHidden/>
          </w:rPr>
          <w:fldChar w:fldCharType="separate"/>
        </w:r>
        <w:r w:rsidR="005A4A97">
          <w:rPr>
            <w:noProof/>
            <w:webHidden/>
          </w:rPr>
          <w:t>60</w:t>
        </w:r>
        <w:r w:rsidR="005A4A97">
          <w:rPr>
            <w:noProof/>
            <w:webHidden/>
          </w:rPr>
          <w:fldChar w:fldCharType="end"/>
        </w:r>
      </w:hyperlink>
    </w:p>
    <w:p w14:paraId="56C1194E" w14:textId="4AAF3AA7"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46" w:history="1">
        <w:r w:rsidR="005A4A97" w:rsidRPr="004459BD">
          <w:rPr>
            <w:rStyle w:val="Hyperlink"/>
            <w:noProof/>
          </w:rPr>
          <w:t>1.4.3.</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Final Energy Consumption</w:t>
        </w:r>
        <w:r w:rsidR="005A4A97">
          <w:rPr>
            <w:noProof/>
            <w:webHidden/>
          </w:rPr>
          <w:tab/>
        </w:r>
        <w:r w:rsidR="005A4A97">
          <w:rPr>
            <w:noProof/>
            <w:webHidden/>
          </w:rPr>
          <w:fldChar w:fldCharType="begin"/>
        </w:r>
        <w:r w:rsidR="005A4A97">
          <w:rPr>
            <w:noProof/>
            <w:webHidden/>
          </w:rPr>
          <w:instrText xml:space="preserve"> PAGEREF _Toc157692046 \h </w:instrText>
        </w:r>
        <w:r w:rsidR="005A4A97">
          <w:rPr>
            <w:noProof/>
            <w:webHidden/>
          </w:rPr>
        </w:r>
        <w:r w:rsidR="005A4A97">
          <w:rPr>
            <w:noProof/>
            <w:webHidden/>
          </w:rPr>
          <w:fldChar w:fldCharType="separate"/>
        </w:r>
        <w:r w:rsidR="005A4A97">
          <w:rPr>
            <w:noProof/>
            <w:webHidden/>
          </w:rPr>
          <w:t>61</w:t>
        </w:r>
        <w:r w:rsidR="005A4A97">
          <w:rPr>
            <w:noProof/>
            <w:webHidden/>
          </w:rPr>
          <w:fldChar w:fldCharType="end"/>
        </w:r>
      </w:hyperlink>
    </w:p>
    <w:p w14:paraId="48F4AC96" w14:textId="371B370C"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47" w:history="1">
        <w:r w:rsidR="005A4A97" w:rsidRPr="004459BD">
          <w:rPr>
            <w:rStyle w:val="Hyperlink"/>
            <w:noProof/>
          </w:rPr>
          <w:t>1.4.4.</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Final Non-Energy Consumption</w:t>
        </w:r>
        <w:r w:rsidR="005A4A97">
          <w:rPr>
            <w:noProof/>
            <w:webHidden/>
          </w:rPr>
          <w:tab/>
        </w:r>
        <w:r w:rsidR="005A4A97">
          <w:rPr>
            <w:noProof/>
            <w:webHidden/>
          </w:rPr>
          <w:fldChar w:fldCharType="begin"/>
        </w:r>
        <w:r w:rsidR="005A4A97">
          <w:rPr>
            <w:noProof/>
            <w:webHidden/>
          </w:rPr>
          <w:instrText xml:space="preserve"> PAGEREF _Toc157692047 \h </w:instrText>
        </w:r>
        <w:r w:rsidR="005A4A97">
          <w:rPr>
            <w:noProof/>
            <w:webHidden/>
          </w:rPr>
        </w:r>
        <w:r w:rsidR="005A4A97">
          <w:rPr>
            <w:noProof/>
            <w:webHidden/>
          </w:rPr>
          <w:fldChar w:fldCharType="separate"/>
        </w:r>
        <w:r w:rsidR="005A4A97">
          <w:rPr>
            <w:noProof/>
            <w:webHidden/>
          </w:rPr>
          <w:t>63</w:t>
        </w:r>
        <w:r w:rsidR="005A4A97">
          <w:rPr>
            <w:noProof/>
            <w:webHidden/>
          </w:rPr>
          <w:fldChar w:fldCharType="end"/>
        </w:r>
      </w:hyperlink>
    </w:p>
    <w:p w14:paraId="6D8DDBDE" w14:textId="2F988054"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48" w:history="1">
        <w:r w:rsidR="005A4A97" w:rsidRPr="004459BD">
          <w:rPr>
            <w:rStyle w:val="Hyperlink"/>
            <w:noProof/>
          </w:rPr>
          <w:t>1.4.5.</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CO2 emissions from industry</w:t>
        </w:r>
        <w:r w:rsidR="005A4A97">
          <w:rPr>
            <w:noProof/>
            <w:webHidden/>
          </w:rPr>
          <w:tab/>
        </w:r>
        <w:r w:rsidR="005A4A97">
          <w:rPr>
            <w:noProof/>
            <w:webHidden/>
          </w:rPr>
          <w:fldChar w:fldCharType="begin"/>
        </w:r>
        <w:r w:rsidR="005A4A97">
          <w:rPr>
            <w:noProof/>
            <w:webHidden/>
          </w:rPr>
          <w:instrText xml:space="preserve"> PAGEREF _Toc157692048 \h </w:instrText>
        </w:r>
        <w:r w:rsidR="005A4A97">
          <w:rPr>
            <w:noProof/>
            <w:webHidden/>
          </w:rPr>
        </w:r>
        <w:r w:rsidR="005A4A97">
          <w:rPr>
            <w:noProof/>
            <w:webHidden/>
          </w:rPr>
          <w:fldChar w:fldCharType="separate"/>
        </w:r>
        <w:r w:rsidR="005A4A97">
          <w:rPr>
            <w:noProof/>
            <w:webHidden/>
          </w:rPr>
          <w:t>64</w:t>
        </w:r>
        <w:r w:rsidR="005A4A97">
          <w:rPr>
            <w:noProof/>
            <w:webHidden/>
          </w:rPr>
          <w:fldChar w:fldCharType="end"/>
        </w:r>
      </w:hyperlink>
    </w:p>
    <w:p w14:paraId="7638CAA2" w14:textId="13875764"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49" w:history="1">
        <w:r w:rsidR="005A4A97" w:rsidRPr="004459BD">
          <w:rPr>
            <w:rStyle w:val="Hyperlink"/>
            <w:noProof/>
          </w:rPr>
          <w:t>1.4.6.</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Complementary analysis</w:t>
        </w:r>
        <w:r w:rsidR="005A4A97">
          <w:rPr>
            <w:noProof/>
            <w:webHidden/>
          </w:rPr>
          <w:tab/>
        </w:r>
        <w:r w:rsidR="005A4A97">
          <w:rPr>
            <w:noProof/>
            <w:webHidden/>
          </w:rPr>
          <w:fldChar w:fldCharType="begin"/>
        </w:r>
        <w:r w:rsidR="005A4A97">
          <w:rPr>
            <w:noProof/>
            <w:webHidden/>
          </w:rPr>
          <w:instrText xml:space="preserve"> PAGEREF _Toc157692049 \h </w:instrText>
        </w:r>
        <w:r w:rsidR="005A4A97">
          <w:rPr>
            <w:noProof/>
            <w:webHidden/>
          </w:rPr>
        </w:r>
        <w:r w:rsidR="005A4A97">
          <w:rPr>
            <w:noProof/>
            <w:webHidden/>
          </w:rPr>
          <w:fldChar w:fldCharType="separate"/>
        </w:r>
        <w:r w:rsidR="005A4A97">
          <w:rPr>
            <w:noProof/>
            <w:webHidden/>
          </w:rPr>
          <w:t>68</w:t>
        </w:r>
        <w:r w:rsidR="005A4A97">
          <w:rPr>
            <w:noProof/>
            <w:webHidden/>
          </w:rPr>
          <w:fldChar w:fldCharType="end"/>
        </w:r>
      </w:hyperlink>
    </w:p>
    <w:p w14:paraId="7BC293C5" w14:textId="578BB5E2" w:rsidR="005A4A97" w:rsidRDefault="009245CF">
      <w:pPr>
        <w:pStyle w:val="TOC2"/>
        <w:tabs>
          <w:tab w:val="left" w:pos="960"/>
          <w:tab w:val="right" w:leader="dot" w:pos="8608"/>
        </w:tabs>
        <w:rPr>
          <w:rFonts w:eastAsiaTheme="minorEastAsia" w:cstheme="minorBidi"/>
          <w:smallCaps w:val="0"/>
          <w:noProof/>
          <w:kern w:val="2"/>
          <w:sz w:val="22"/>
          <w:szCs w:val="22"/>
          <w:lang w:val="en-IE"/>
          <w14:ligatures w14:val="standardContextual"/>
        </w:rPr>
      </w:pPr>
      <w:hyperlink w:anchor="_Toc157692050" w:history="1">
        <w:r w:rsidR="005A4A97" w:rsidRPr="004459BD">
          <w:rPr>
            <w:rStyle w:val="Hyperlink"/>
            <w:noProof/>
          </w:rPr>
          <w:t>1.5.</w:t>
        </w:r>
        <w:r w:rsidR="005A4A97">
          <w:rPr>
            <w:rFonts w:eastAsiaTheme="minorEastAsia" w:cstheme="minorBidi"/>
            <w:smallCaps w:val="0"/>
            <w:noProof/>
            <w:kern w:val="2"/>
            <w:sz w:val="22"/>
            <w:szCs w:val="22"/>
            <w:lang w:val="en-IE"/>
            <w14:ligatures w14:val="standardContextual"/>
          </w:rPr>
          <w:tab/>
        </w:r>
        <w:r w:rsidR="005A4A97" w:rsidRPr="004459BD">
          <w:rPr>
            <w:rStyle w:val="Hyperlink"/>
            <w:noProof/>
          </w:rPr>
          <w:t>Transport</w:t>
        </w:r>
        <w:r w:rsidR="005A4A97">
          <w:rPr>
            <w:noProof/>
            <w:webHidden/>
          </w:rPr>
          <w:tab/>
        </w:r>
        <w:r w:rsidR="005A4A97">
          <w:rPr>
            <w:noProof/>
            <w:webHidden/>
          </w:rPr>
          <w:fldChar w:fldCharType="begin"/>
        </w:r>
        <w:r w:rsidR="005A4A97">
          <w:rPr>
            <w:noProof/>
            <w:webHidden/>
          </w:rPr>
          <w:instrText xml:space="preserve"> PAGEREF _Toc157692050 \h </w:instrText>
        </w:r>
        <w:r w:rsidR="005A4A97">
          <w:rPr>
            <w:noProof/>
            <w:webHidden/>
          </w:rPr>
        </w:r>
        <w:r w:rsidR="005A4A97">
          <w:rPr>
            <w:noProof/>
            <w:webHidden/>
          </w:rPr>
          <w:fldChar w:fldCharType="separate"/>
        </w:r>
        <w:r w:rsidR="005A4A97">
          <w:rPr>
            <w:noProof/>
            <w:webHidden/>
          </w:rPr>
          <w:t>75</w:t>
        </w:r>
        <w:r w:rsidR="005A4A97">
          <w:rPr>
            <w:noProof/>
            <w:webHidden/>
          </w:rPr>
          <w:fldChar w:fldCharType="end"/>
        </w:r>
      </w:hyperlink>
    </w:p>
    <w:p w14:paraId="72ABF48F" w14:textId="3B010661"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51" w:history="1">
        <w:r w:rsidR="005A4A97" w:rsidRPr="004459BD">
          <w:rPr>
            <w:rStyle w:val="Hyperlink"/>
            <w:noProof/>
          </w:rPr>
          <w:t>1.5.1.</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Introduction</w:t>
        </w:r>
        <w:r w:rsidR="005A4A97">
          <w:rPr>
            <w:noProof/>
            <w:webHidden/>
          </w:rPr>
          <w:tab/>
        </w:r>
        <w:r w:rsidR="005A4A97">
          <w:rPr>
            <w:noProof/>
            <w:webHidden/>
          </w:rPr>
          <w:fldChar w:fldCharType="begin"/>
        </w:r>
        <w:r w:rsidR="005A4A97">
          <w:rPr>
            <w:noProof/>
            <w:webHidden/>
          </w:rPr>
          <w:instrText xml:space="preserve"> PAGEREF _Toc157692051 \h </w:instrText>
        </w:r>
        <w:r w:rsidR="005A4A97">
          <w:rPr>
            <w:noProof/>
            <w:webHidden/>
          </w:rPr>
        </w:r>
        <w:r w:rsidR="005A4A97">
          <w:rPr>
            <w:noProof/>
            <w:webHidden/>
          </w:rPr>
          <w:fldChar w:fldCharType="separate"/>
        </w:r>
        <w:r w:rsidR="005A4A97">
          <w:rPr>
            <w:noProof/>
            <w:webHidden/>
          </w:rPr>
          <w:t>75</w:t>
        </w:r>
        <w:r w:rsidR="005A4A97">
          <w:rPr>
            <w:noProof/>
            <w:webHidden/>
          </w:rPr>
          <w:fldChar w:fldCharType="end"/>
        </w:r>
      </w:hyperlink>
    </w:p>
    <w:p w14:paraId="49D205DD" w14:textId="2A3810ED"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52" w:history="1">
        <w:r w:rsidR="005A4A97" w:rsidRPr="004459BD">
          <w:rPr>
            <w:rStyle w:val="Hyperlink"/>
            <w:noProof/>
          </w:rPr>
          <w:t>1.5.2.</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Activity</w:t>
        </w:r>
        <w:r w:rsidR="005A4A97">
          <w:rPr>
            <w:noProof/>
            <w:webHidden/>
          </w:rPr>
          <w:tab/>
        </w:r>
        <w:r w:rsidR="005A4A97">
          <w:rPr>
            <w:noProof/>
            <w:webHidden/>
          </w:rPr>
          <w:fldChar w:fldCharType="begin"/>
        </w:r>
        <w:r w:rsidR="005A4A97">
          <w:rPr>
            <w:noProof/>
            <w:webHidden/>
          </w:rPr>
          <w:instrText xml:space="preserve"> PAGEREF _Toc157692052 \h </w:instrText>
        </w:r>
        <w:r w:rsidR="005A4A97">
          <w:rPr>
            <w:noProof/>
            <w:webHidden/>
          </w:rPr>
        </w:r>
        <w:r w:rsidR="005A4A97">
          <w:rPr>
            <w:noProof/>
            <w:webHidden/>
          </w:rPr>
          <w:fldChar w:fldCharType="separate"/>
        </w:r>
        <w:r w:rsidR="005A4A97">
          <w:rPr>
            <w:noProof/>
            <w:webHidden/>
          </w:rPr>
          <w:t>76</w:t>
        </w:r>
        <w:r w:rsidR="005A4A97">
          <w:rPr>
            <w:noProof/>
            <w:webHidden/>
          </w:rPr>
          <w:fldChar w:fldCharType="end"/>
        </w:r>
      </w:hyperlink>
    </w:p>
    <w:p w14:paraId="1937C920" w14:textId="72353E0E"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53" w:history="1">
        <w:r w:rsidR="005A4A97" w:rsidRPr="004459BD">
          <w:rPr>
            <w:rStyle w:val="Hyperlink"/>
            <w:noProof/>
          </w:rPr>
          <w:t>1.5.3.</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Energy consumption and fuel mix</w:t>
        </w:r>
        <w:r w:rsidR="005A4A97">
          <w:rPr>
            <w:noProof/>
            <w:webHidden/>
          </w:rPr>
          <w:tab/>
        </w:r>
        <w:r w:rsidR="005A4A97">
          <w:rPr>
            <w:noProof/>
            <w:webHidden/>
          </w:rPr>
          <w:fldChar w:fldCharType="begin"/>
        </w:r>
        <w:r w:rsidR="005A4A97">
          <w:rPr>
            <w:noProof/>
            <w:webHidden/>
          </w:rPr>
          <w:instrText xml:space="preserve"> PAGEREF _Toc157692053 \h </w:instrText>
        </w:r>
        <w:r w:rsidR="005A4A97">
          <w:rPr>
            <w:noProof/>
            <w:webHidden/>
          </w:rPr>
        </w:r>
        <w:r w:rsidR="005A4A97">
          <w:rPr>
            <w:noProof/>
            <w:webHidden/>
          </w:rPr>
          <w:fldChar w:fldCharType="separate"/>
        </w:r>
        <w:r w:rsidR="005A4A97">
          <w:rPr>
            <w:noProof/>
            <w:webHidden/>
          </w:rPr>
          <w:t>79</w:t>
        </w:r>
        <w:r w:rsidR="005A4A97">
          <w:rPr>
            <w:noProof/>
            <w:webHidden/>
          </w:rPr>
          <w:fldChar w:fldCharType="end"/>
        </w:r>
      </w:hyperlink>
    </w:p>
    <w:p w14:paraId="0C2BA24D" w14:textId="1A3319BE"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54" w:history="1">
        <w:r w:rsidR="005A4A97" w:rsidRPr="004459BD">
          <w:rPr>
            <w:rStyle w:val="Hyperlink"/>
            <w:noProof/>
          </w:rPr>
          <w:t>1.5.4.</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Technology developments per transport mode</w:t>
        </w:r>
        <w:r w:rsidR="005A4A97">
          <w:rPr>
            <w:noProof/>
            <w:webHidden/>
          </w:rPr>
          <w:tab/>
        </w:r>
        <w:r w:rsidR="005A4A97">
          <w:rPr>
            <w:noProof/>
            <w:webHidden/>
          </w:rPr>
          <w:fldChar w:fldCharType="begin"/>
        </w:r>
        <w:r w:rsidR="005A4A97">
          <w:rPr>
            <w:noProof/>
            <w:webHidden/>
          </w:rPr>
          <w:instrText xml:space="preserve"> PAGEREF _Toc157692054 \h </w:instrText>
        </w:r>
        <w:r w:rsidR="005A4A97">
          <w:rPr>
            <w:noProof/>
            <w:webHidden/>
          </w:rPr>
        </w:r>
        <w:r w:rsidR="005A4A97">
          <w:rPr>
            <w:noProof/>
            <w:webHidden/>
          </w:rPr>
          <w:fldChar w:fldCharType="separate"/>
        </w:r>
        <w:r w:rsidR="005A4A97">
          <w:rPr>
            <w:noProof/>
            <w:webHidden/>
          </w:rPr>
          <w:t>83</w:t>
        </w:r>
        <w:r w:rsidR="005A4A97">
          <w:rPr>
            <w:noProof/>
            <w:webHidden/>
          </w:rPr>
          <w:fldChar w:fldCharType="end"/>
        </w:r>
      </w:hyperlink>
    </w:p>
    <w:p w14:paraId="00FE1701" w14:textId="751335AD"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55" w:history="1">
        <w:r w:rsidR="005A4A97" w:rsidRPr="004459BD">
          <w:rPr>
            <w:rStyle w:val="Hyperlink"/>
            <w:noProof/>
          </w:rPr>
          <w:t>1.5.5.</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CO2 emissions from transport</w:t>
        </w:r>
        <w:r w:rsidR="005A4A97">
          <w:rPr>
            <w:noProof/>
            <w:webHidden/>
          </w:rPr>
          <w:tab/>
        </w:r>
        <w:r w:rsidR="005A4A97">
          <w:rPr>
            <w:noProof/>
            <w:webHidden/>
          </w:rPr>
          <w:fldChar w:fldCharType="begin"/>
        </w:r>
        <w:r w:rsidR="005A4A97">
          <w:rPr>
            <w:noProof/>
            <w:webHidden/>
          </w:rPr>
          <w:instrText xml:space="preserve"> PAGEREF _Toc157692055 \h </w:instrText>
        </w:r>
        <w:r w:rsidR="005A4A97">
          <w:rPr>
            <w:noProof/>
            <w:webHidden/>
          </w:rPr>
        </w:r>
        <w:r w:rsidR="005A4A97">
          <w:rPr>
            <w:noProof/>
            <w:webHidden/>
          </w:rPr>
          <w:fldChar w:fldCharType="separate"/>
        </w:r>
        <w:r w:rsidR="005A4A97">
          <w:rPr>
            <w:noProof/>
            <w:webHidden/>
          </w:rPr>
          <w:t>97</w:t>
        </w:r>
        <w:r w:rsidR="005A4A97">
          <w:rPr>
            <w:noProof/>
            <w:webHidden/>
          </w:rPr>
          <w:fldChar w:fldCharType="end"/>
        </w:r>
      </w:hyperlink>
    </w:p>
    <w:p w14:paraId="2EC5293A" w14:textId="6AC72973" w:rsidR="005A4A97" w:rsidRDefault="009245CF">
      <w:pPr>
        <w:pStyle w:val="TOC2"/>
        <w:tabs>
          <w:tab w:val="left" w:pos="960"/>
          <w:tab w:val="right" w:leader="dot" w:pos="8608"/>
        </w:tabs>
        <w:rPr>
          <w:rFonts w:eastAsiaTheme="minorEastAsia" w:cstheme="minorBidi"/>
          <w:smallCaps w:val="0"/>
          <w:noProof/>
          <w:kern w:val="2"/>
          <w:sz w:val="22"/>
          <w:szCs w:val="22"/>
          <w:lang w:val="en-IE"/>
          <w14:ligatures w14:val="standardContextual"/>
        </w:rPr>
      </w:pPr>
      <w:hyperlink w:anchor="_Toc157692056" w:history="1">
        <w:r w:rsidR="005A4A97" w:rsidRPr="004459BD">
          <w:rPr>
            <w:rStyle w:val="Hyperlink"/>
            <w:noProof/>
            <w:lang w:val="en-IE"/>
          </w:rPr>
          <w:t>1.6.</w:t>
        </w:r>
        <w:r w:rsidR="005A4A97">
          <w:rPr>
            <w:rFonts w:eastAsiaTheme="minorEastAsia" w:cstheme="minorBidi"/>
            <w:smallCaps w:val="0"/>
            <w:noProof/>
            <w:kern w:val="2"/>
            <w:sz w:val="22"/>
            <w:szCs w:val="22"/>
            <w:lang w:val="en-IE"/>
            <w14:ligatures w14:val="standardContextual"/>
          </w:rPr>
          <w:tab/>
        </w:r>
        <w:r w:rsidR="005A4A97" w:rsidRPr="004459BD">
          <w:rPr>
            <w:rStyle w:val="Hyperlink"/>
            <w:noProof/>
            <w:lang w:val="en-IE"/>
          </w:rPr>
          <w:t>Non-CO2 GHG emissions in non-land-related sectors</w:t>
        </w:r>
        <w:r w:rsidR="005A4A97">
          <w:rPr>
            <w:noProof/>
            <w:webHidden/>
          </w:rPr>
          <w:tab/>
        </w:r>
        <w:r w:rsidR="005A4A97">
          <w:rPr>
            <w:noProof/>
            <w:webHidden/>
          </w:rPr>
          <w:fldChar w:fldCharType="begin"/>
        </w:r>
        <w:r w:rsidR="005A4A97">
          <w:rPr>
            <w:noProof/>
            <w:webHidden/>
          </w:rPr>
          <w:instrText xml:space="preserve"> PAGEREF _Toc157692056 \h </w:instrText>
        </w:r>
        <w:r w:rsidR="005A4A97">
          <w:rPr>
            <w:noProof/>
            <w:webHidden/>
          </w:rPr>
        </w:r>
        <w:r w:rsidR="005A4A97">
          <w:rPr>
            <w:noProof/>
            <w:webHidden/>
          </w:rPr>
          <w:fldChar w:fldCharType="separate"/>
        </w:r>
        <w:r w:rsidR="005A4A97">
          <w:rPr>
            <w:noProof/>
            <w:webHidden/>
          </w:rPr>
          <w:t>99</w:t>
        </w:r>
        <w:r w:rsidR="005A4A97">
          <w:rPr>
            <w:noProof/>
            <w:webHidden/>
          </w:rPr>
          <w:fldChar w:fldCharType="end"/>
        </w:r>
      </w:hyperlink>
    </w:p>
    <w:p w14:paraId="5CCB61D3" w14:textId="7DC75CBD"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57" w:history="1">
        <w:r w:rsidR="005A4A97" w:rsidRPr="004459BD">
          <w:rPr>
            <w:rStyle w:val="Hyperlink"/>
            <w:noProof/>
          </w:rPr>
          <w:t>1.6.1.</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Evolution of emissions without additional mitigation</w:t>
        </w:r>
        <w:r w:rsidR="005A4A97">
          <w:rPr>
            <w:noProof/>
            <w:webHidden/>
          </w:rPr>
          <w:tab/>
        </w:r>
        <w:r w:rsidR="005A4A97">
          <w:rPr>
            <w:noProof/>
            <w:webHidden/>
          </w:rPr>
          <w:fldChar w:fldCharType="begin"/>
        </w:r>
        <w:r w:rsidR="005A4A97">
          <w:rPr>
            <w:noProof/>
            <w:webHidden/>
          </w:rPr>
          <w:instrText xml:space="preserve"> PAGEREF _Toc157692057 \h </w:instrText>
        </w:r>
        <w:r w:rsidR="005A4A97">
          <w:rPr>
            <w:noProof/>
            <w:webHidden/>
          </w:rPr>
        </w:r>
        <w:r w:rsidR="005A4A97">
          <w:rPr>
            <w:noProof/>
            <w:webHidden/>
          </w:rPr>
          <w:fldChar w:fldCharType="separate"/>
        </w:r>
        <w:r w:rsidR="005A4A97">
          <w:rPr>
            <w:noProof/>
            <w:webHidden/>
          </w:rPr>
          <w:t>99</w:t>
        </w:r>
        <w:r w:rsidR="005A4A97">
          <w:rPr>
            <w:noProof/>
            <w:webHidden/>
          </w:rPr>
          <w:fldChar w:fldCharType="end"/>
        </w:r>
      </w:hyperlink>
    </w:p>
    <w:p w14:paraId="0174B323" w14:textId="700C07DC"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58" w:history="1">
        <w:r w:rsidR="005A4A97" w:rsidRPr="004459BD">
          <w:rPr>
            <w:rStyle w:val="Hyperlink"/>
            <w:noProof/>
          </w:rPr>
          <w:t>1.6.2.</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Additional mitigation potential</w:t>
        </w:r>
        <w:r w:rsidR="005A4A97">
          <w:rPr>
            <w:noProof/>
            <w:webHidden/>
          </w:rPr>
          <w:tab/>
        </w:r>
        <w:r w:rsidR="005A4A97">
          <w:rPr>
            <w:noProof/>
            <w:webHidden/>
          </w:rPr>
          <w:fldChar w:fldCharType="begin"/>
        </w:r>
        <w:r w:rsidR="005A4A97">
          <w:rPr>
            <w:noProof/>
            <w:webHidden/>
          </w:rPr>
          <w:instrText xml:space="preserve"> PAGEREF _Toc157692058 \h </w:instrText>
        </w:r>
        <w:r w:rsidR="005A4A97">
          <w:rPr>
            <w:noProof/>
            <w:webHidden/>
          </w:rPr>
        </w:r>
        <w:r w:rsidR="005A4A97">
          <w:rPr>
            <w:noProof/>
            <w:webHidden/>
          </w:rPr>
          <w:fldChar w:fldCharType="separate"/>
        </w:r>
        <w:r w:rsidR="005A4A97">
          <w:rPr>
            <w:noProof/>
            <w:webHidden/>
          </w:rPr>
          <w:t>101</w:t>
        </w:r>
        <w:r w:rsidR="005A4A97">
          <w:rPr>
            <w:noProof/>
            <w:webHidden/>
          </w:rPr>
          <w:fldChar w:fldCharType="end"/>
        </w:r>
      </w:hyperlink>
    </w:p>
    <w:p w14:paraId="7508E87B" w14:textId="220C8587"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59" w:history="1">
        <w:r w:rsidR="005A4A97" w:rsidRPr="004459BD">
          <w:rPr>
            <w:rStyle w:val="Hyperlink"/>
            <w:noProof/>
          </w:rPr>
          <w:t>1.6.3.</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Emissions projections</w:t>
        </w:r>
        <w:r w:rsidR="005A4A97">
          <w:rPr>
            <w:noProof/>
            <w:webHidden/>
          </w:rPr>
          <w:tab/>
        </w:r>
        <w:r w:rsidR="005A4A97">
          <w:rPr>
            <w:noProof/>
            <w:webHidden/>
          </w:rPr>
          <w:fldChar w:fldCharType="begin"/>
        </w:r>
        <w:r w:rsidR="005A4A97">
          <w:rPr>
            <w:noProof/>
            <w:webHidden/>
          </w:rPr>
          <w:instrText xml:space="preserve"> PAGEREF _Toc157692059 \h </w:instrText>
        </w:r>
        <w:r w:rsidR="005A4A97">
          <w:rPr>
            <w:noProof/>
            <w:webHidden/>
          </w:rPr>
        </w:r>
        <w:r w:rsidR="005A4A97">
          <w:rPr>
            <w:noProof/>
            <w:webHidden/>
          </w:rPr>
          <w:fldChar w:fldCharType="separate"/>
        </w:r>
        <w:r w:rsidR="005A4A97">
          <w:rPr>
            <w:noProof/>
            <w:webHidden/>
          </w:rPr>
          <w:t>104</w:t>
        </w:r>
        <w:r w:rsidR="005A4A97">
          <w:rPr>
            <w:noProof/>
            <w:webHidden/>
          </w:rPr>
          <w:fldChar w:fldCharType="end"/>
        </w:r>
      </w:hyperlink>
    </w:p>
    <w:p w14:paraId="71CB9B50" w14:textId="3CFA1F8F" w:rsidR="005A4A97" w:rsidRDefault="009245CF">
      <w:pPr>
        <w:pStyle w:val="TOC2"/>
        <w:tabs>
          <w:tab w:val="left" w:pos="720"/>
          <w:tab w:val="right" w:leader="dot" w:pos="8608"/>
        </w:tabs>
        <w:rPr>
          <w:rFonts w:eastAsiaTheme="minorEastAsia" w:cstheme="minorBidi"/>
          <w:smallCaps w:val="0"/>
          <w:noProof/>
          <w:kern w:val="2"/>
          <w:sz w:val="22"/>
          <w:szCs w:val="22"/>
          <w:lang w:val="en-IE"/>
          <w14:ligatures w14:val="standardContextual"/>
        </w:rPr>
      </w:pPr>
      <w:hyperlink w:anchor="_Toc157692060" w:history="1">
        <w:r w:rsidR="005A4A97" w:rsidRPr="004459BD">
          <w:rPr>
            <w:rStyle w:val="Hyperlink"/>
            <w:rFonts w:ascii="EC Square Sans Cond Pro" w:eastAsiaTheme="minorHAnsi" w:hAnsi="EC Square Sans Cond Pro" w:cs="Avenir Next LT Pro"/>
            <w:i/>
            <w:iCs/>
            <w:noProof/>
            <w:lang w:val="en-IE"/>
          </w:rPr>
          <w:t>1.7.</w:t>
        </w:r>
        <w:r w:rsidR="005A4A97">
          <w:rPr>
            <w:rFonts w:eastAsiaTheme="minorEastAsia" w:cstheme="minorBidi"/>
            <w:smallCaps w:val="0"/>
            <w:noProof/>
            <w:kern w:val="2"/>
            <w:sz w:val="22"/>
            <w:szCs w:val="22"/>
            <w:lang w:val="en-IE"/>
            <w14:ligatures w14:val="standardContextual"/>
          </w:rPr>
          <w:tab/>
        </w:r>
        <w:r w:rsidR="005A4A97" w:rsidRPr="004459BD">
          <w:rPr>
            <w:rStyle w:val="Hyperlink"/>
            <w:noProof/>
          </w:rPr>
          <w:t>Agriculture</w:t>
        </w:r>
        <w:r w:rsidR="005A4A97">
          <w:rPr>
            <w:noProof/>
            <w:webHidden/>
          </w:rPr>
          <w:tab/>
        </w:r>
        <w:r w:rsidR="005A4A97">
          <w:rPr>
            <w:noProof/>
            <w:webHidden/>
          </w:rPr>
          <w:fldChar w:fldCharType="begin"/>
        </w:r>
        <w:r w:rsidR="005A4A97">
          <w:rPr>
            <w:noProof/>
            <w:webHidden/>
          </w:rPr>
          <w:instrText xml:space="preserve"> PAGEREF _Toc157692060 \h </w:instrText>
        </w:r>
        <w:r w:rsidR="005A4A97">
          <w:rPr>
            <w:noProof/>
            <w:webHidden/>
          </w:rPr>
        </w:r>
        <w:r w:rsidR="005A4A97">
          <w:rPr>
            <w:noProof/>
            <w:webHidden/>
          </w:rPr>
          <w:fldChar w:fldCharType="separate"/>
        </w:r>
        <w:r w:rsidR="005A4A97">
          <w:rPr>
            <w:noProof/>
            <w:webHidden/>
          </w:rPr>
          <w:t>106</w:t>
        </w:r>
        <w:r w:rsidR="005A4A97">
          <w:rPr>
            <w:noProof/>
            <w:webHidden/>
          </w:rPr>
          <w:fldChar w:fldCharType="end"/>
        </w:r>
      </w:hyperlink>
    </w:p>
    <w:p w14:paraId="2B122F58" w14:textId="125885B0"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61" w:history="1">
        <w:r w:rsidR="005A4A97" w:rsidRPr="004459BD">
          <w:rPr>
            <w:rStyle w:val="Hyperlink"/>
            <w:noProof/>
            <w:lang w:val="en-IE"/>
          </w:rPr>
          <w:t>1.7.1.</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Introduction</w:t>
        </w:r>
        <w:r w:rsidR="005A4A97">
          <w:rPr>
            <w:noProof/>
            <w:webHidden/>
          </w:rPr>
          <w:tab/>
        </w:r>
        <w:r w:rsidR="005A4A97">
          <w:rPr>
            <w:noProof/>
            <w:webHidden/>
          </w:rPr>
          <w:fldChar w:fldCharType="begin"/>
        </w:r>
        <w:r w:rsidR="005A4A97">
          <w:rPr>
            <w:noProof/>
            <w:webHidden/>
          </w:rPr>
          <w:instrText xml:space="preserve"> PAGEREF _Toc157692061 \h </w:instrText>
        </w:r>
        <w:r w:rsidR="005A4A97">
          <w:rPr>
            <w:noProof/>
            <w:webHidden/>
          </w:rPr>
        </w:r>
        <w:r w:rsidR="005A4A97">
          <w:rPr>
            <w:noProof/>
            <w:webHidden/>
          </w:rPr>
          <w:fldChar w:fldCharType="separate"/>
        </w:r>
        <w:r w:rsidR="005A4A97">
          <w:rPr>
            <w:noProof/>
            <w:webHidden/>
          </w:rPr>
          <w:t>106</w:t>
        </w:r>
        <w:r w:rsidR="005A4A97">
          <w:rPr>
            <w:noProof/>
            <w:webHidden/>
          </w:rPr>
          <w:fldChar w:fldCharType="end"/>
        </w:r>
      </w:hyperlink>
    </w:p>
    <w:p w14:paraId="73AF105E" w14:textId="37071814"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62" w:history="1">
        <w:r w:rsidR="005A4A97" w:rsidRPr="004459BD">
          <w:rPr>
            <w:rStyle w:val="Hyperlink"/>
            <w:noProof/>
          </w:rPr>
          <w:t>1.7.2.</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Activity</w:t>
        </w:r>
        <w:r w:rsidR="005A4A97">
          <w:rPr>
            <w:noProof/>
            <w:webHidden/>
          </w:rPr>
          <w:tab/>
        </w:r>
        <w:r w:rsidR="005A4A97">
          <w:rPr>
            <w:noProof/>
            <w:webHidden/>
          </w:rPr>
          <w:fldChar w:fldCharType="begin"/>
        </w:r>
        <w:r w:rsidR="005A4A97">
          <w:rPr>
            <w:noProof/>
            <w:webHidden/>
          </w:rPr>
          <w:instrText xml:space="preserve"> PAGEREF _Toc157692062 \h </w:instrText>
        </w:r>
        <w:r w:rsidR="005A4A97">
          <w:rPr>
            <w:noProof/>
            <w:webHidden/>
          </w:rPr>
        </w:r>
        <w:r w:rsidR="005A4A97">
          <w:rPr>
            <w:noProof/>
            <w:webHidden/>
          </w:rPr>
          <w:fldChar w:fldCharType="separate"/>
        </w:r>
        <w:r w:rsidR="005A4A97">
          <w:rPr>
            <w:noProof/>
            <w:webHidden/>
          </w:rPr>
          <w:t>108</w:t>
        </w:r>
        <w:r w:rsidR="005A4A97">
          <w:rPr>
            <w:noProof/>
            <w:webHidden/>
          </w:rPr>
          <w:fldChar w:fldCharType="end"/>
        </w:r>
      </w:hyperlink>
    </w:p>
    <w:p w14:paraId="1E13D857" w14:textId="6D9DF6DE"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63" w:history="1">
        <w:r w:rsidR="005A4A97" w:rsidRPr="004459BD">
          <w:rPr>
            <w:rStyle w:val="Hyperlink"/>
            <w:noProof/>
            <w:lang w:val="en-IE"/>
          </w:rPr>
          <w:t>1.7.3.</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lang w:val="en-IE"/>
          </w:rPr>
          <w:t>Evolution of emissions without additional mitigation measures</w:t>
        </w:r>
        <w:r w:rsidR="005A4A97">
          <w:rPr>
            <w:noProof/>
            <w:webHidden/>
          </w:rPr>
          <w:tab/>
        </w:r>
        <w:r w:rsidR="005A4A97">
          <w:rPr>
            <w:noProof/>
            <w:webHidden/>
          </w:rPr>
          <w:fldChar w:fldCharType="begin"/>
        </w:r>
        <w:r w:rsidR="005A4A97">
          <w:rPr>
            <w:noProof/>
            <w:webHidden/>
          </w:rPr>
          <w:instrText xml:space="preserve"> PAGEREF _Toc157692063 \h </w:instrText>
        </w:r>
        <w:r w:rsidR="005A4A97">
          <w:rPr>
            <w:noProof/>
            <w:webHidden/>
          </w:rPr>
        </w:r>
        <w:r w:rsidR="005A4A97">
          <w:rPr>
            <w:noProof/>
            <w:webHidden/>
          </w:rPr>
          <w:fldChar w:fldCharType="separate"/>
        </w:r>
        <w:r w:rsidR="005A4A97">
          <w:rPr>
            <w:noProof/>
            <w:webHidden/>
          </w:rPr>
          <w:t>110</w:t>
        </w:r>
        <w:r w:rsidR="005A4A97">
          <w:rPr>
            <w:noProof/>
            <w:webHidden/>
          </w:rPr>
          <w:fldChar w:fldCharType="end"/>
        </w:r>
      </w:hyperlink>
    </w:p>
    <w:p w14:paraId="7A5F548C" w14:textId="316ADED8"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64" w:history="1">
        <w:r w:rsidR="005A4A97" w:rsidRPr="004459BD">
          <w:rPr>
            <w:rStyle w:val="Hyperlink"/>
            <w:noProof/>
          </w:rPr>
          <w:t>1.7.4.</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Mitigation potential for non-CO2 GHG emissions</w:t>
        </w:r>
        <w:r w:rsidR="005A4A97">
          <w:rPr>
            <w:noProof/>
            <w:webHidden/>
          </w:rPr>
          <w:tab/>
        </w:r>
        <w:r w:rsidR="005A4A97">
          <w:rPr>
            <w:noProof/>
            <w:webHidden/>
          </w:rPr>
          <w:fldChar w:fldCharType="begin"/>
        </w:r>
        <w:r w:rsidR="005A4A97">
          <w:rPr>
            <w:noProof/>
            <w:webHidden/>
          </w:rPr>
          <w:instrText xml:space="preserve"> PAGEREF _Toc157692064 \h </w:instrText>
        </w:r>
        <w:r w:rsidR="005A4A97">
          <w:rPr>
            <w:noProof/>
            <w:webHidden/>
          </w:rPr>
        </w:r>
        <w:r w:rsidR="005A4A97">
          <w:rPr>
            <w:noProof/>
            <w:webHidden/>
          </w:rPr>
          <w:fldChar w:fldCharType="separate"/>
        </w:r>
        <w:r w:rsidR="005A4A97">
          <w:rPr>
            <w:noProof/>
            <w:webHidden/>
          </w:rPr>
          <w:t>111</w:t>
        </w:r>
        <w:r w:rsidR="005A4A97">
          <w:rPr>
            <w:noProof/>
            <w:webHidden/>
          </w:rPr>
          <w:fldChar w:fldCharType="end"/>
        </w:r>
      </w:hyperlink>
    </w:p>
    <w:p w14:paraId="363B81FC" w14:textId="40E9858D"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65" w:history="1">
        <w:r w:rsidR="005A4A97" w:rsidRPr="004459BD">
          <w:rPr>
            <w:rStyle w:val="Hyperlink"/>
            <w:noProof/>
          </w:rPr>
          <w:t>1.7.5.</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GHG emissions projections</w:t>
        </w:r>
        <w:r w:rsidR="005A4A97">
          <w:rPr>
            <w:noProof/>
            <w:webHidden/>
          </w:rPr>
          <w:tab/>
        </w:r>
        <w:r w:rsidR="005A4A97">
          <w:rPr>
            <w:noProof/>
            <w:webHidden/>
          </w:rPr>
          <w:fldChar w:fldCharType="begin"/>
        </w:r>
        <w:r w:rsidR="005A4A97">
          <w:rPr>
            <w:noProof/>
            <w:webHidden/>
          </w:rPr>
          <w:instrText xml:space="preserve"> PAGEREF _Toc157692065 \h </w:instrText>
        </w:r>
        <w:r w:rsidR="005A4A97">
          <w:rPr>
            <w:noProof/>
            <w:webHidden/>
          </w:rPr>
        </w:r>
        <w:r w:rsidR="005A4A97">
          <w:rPr>
            <w:noProof/>
            <w:webHidden/>
          </w:rPr>
          <w:fldChar w:fldCharType="separate"/>
        </w:r>
        <w:r w:rsidR="005A4A97">
          <w:rPr>
            <w:noProof/>
            <w:webHidden/>
          </w:rPr>
          <w:t>114</w:t>
        </w:r>
        <w:r w:rsidR="005A4A97">
          <w:rPr>
            <w:noProof/>
            <w:webHidden/>
          </w:rPr>
          <w:fldChar w:fldCharType="end"/>
        </w:r>
      </w:hyperlink>
    </w:p>
    <w:p w14:paraId="23F67598" w14:textId="0EFD08AB" w:rsidR="005A4A97" w:rsidRDefault="009245CF">
      <w:pPr>
        <w:pStyle w:val="TOC2"/>
        <w:tabs>
          <w:tab w:val="left" w:pos="960"/>
          <w:tab w:val="right" w:leader="dot" w:pos="8608"/>
        </w:tabs>
        <w:rPr>
          <w:rFonts w:eastAsiaTheme="minorEastAsia" w:cstheme="minorBidi"/>
          <w:smallCaps w:val="0"/>
          <w:noProof/>
          <w:kern w:val="2"/>
          <w:sz w:val="22"/>
          <w:szCs w:val="22"/>
          <w:lang w:val="en-IE"/>
          <w14:ligatures w14:val="standardContextual"/>
        </w:rPr>
      </w:pPr>
      <w:hyperlink w:anchor="_Toc157692066" w:history="1">
        <w:r w:rsidR="005A4A97" w:rsidRPr="004459BD">
          <w:rPr>
            <w:rStyle w:val="Hyperlink"/>
            <w:noProof/>
          </w:rPr>
          <w:t>1.8.</w:t>
        </w:r>
        <w:r w:rsidR="005A4A97">
          <w:rPr>
            <w:rFonts w:eastAsiaTheme="minorEastAsia" w:cstheme="minorBidi"/>
            <w:smallCaps w:val="0"/>
            <w:noProof/>
            <w:kern w:val="2"/>
            <w:sz w:val="22"/>
            <w:szCs w:val="22"/>
            <w:lang w:val="en-IE"/>
            <w14:ligatures w14:val="standardContextual"/>
          </w:rPr>
          <w:tab/>
        </w:r>
        <w:r w:rsidR="005A4A97" w:rsidRPr="004459BD">
          <w:rPr>
            <w:rStyle w:val="Hyperlink"/>
            <w:noProof/>
          </w:rPr>
          <w:t>LULUCF</w:t>
        </w:r>
        <w:r w:rsidR="005A4A97">
          <w:rPr>
            <w:noProof/>
            <w:webHidden/>
          </w:rPr>
          <w:tab/>
        </w:r>
        <w:r w:rsidR="005A4A97">
          <w:rPr>
            <w:noProof/>
            <w:webHidden/>
          </w:rPr>
          <w:fldChar w:fldCharType="begin"/>
        </w:r>
        <w:r w:rsidR="005A4A97">
          <w:rPr>
            <w:noProof/>
            <w:webHidden/>
          </w:rPr>
          <w:instrText xml:space="preserve"> PAGEREF _Toc157692066 \h </w:instrText>
        </w:r>
        <w:r w:rsidR="005A4A97">
          <w:rPr>
            <w:noProof/>
            <w:webHidden/>
          </w:rPr>
        </w:r>
        <w:r w:rsidR="005A4A97">
          <w:rPr>
            <w:noProof/>
            <w:webHidden/>
          </w:rPr>
          <w:fldChar w:fldCharType="separate"/>
        </w:r>
        <w:r w:rsidR="005A4A97">
          <w:rPr>
            <w:noProof/>
            <w:webHidden/>
          </w:rPr>
          <w:t>1</w:t>
        </w:r>
        <w:bookmarkStart w:id="3" w:name="_Hlt157792540"/>
        <w:bookmarkStart w:id="4" w:name="_Hlt157792541"/>
        <w:r w:rsidR="005A4A97">
          <w:rPr>
            <w:noProof/>
            <w:webHidden/>
          </w:rPr>
          <w:t>1</w:t>
        </w:r>
        <w:bookmarkEnd w:id="3"/>
        <w:bookmarkEnd w:id="4"/>
        <w:r w:rsidR="005A4A97">
          <w:rPr>
            <w:noProof/>
            <w:webHidden/>
          </w:rPr>
          <w:t>8</w:t>
        </w:r>
        <w:r w:rsidR="005A4A97">
          <w:rPr>
            <w:noProof/>
            <w:webHidden/>
          </w:rPr>
          <w:fldChar w:fldCharType="end"/>
        </w:r>
      </w:hyperlink>
    </w:p>
    <w:p w14:paraId="410A01EA" w14:textId="18998024"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67" w:history="1">
        <w:r w:rsidR="005A4A97" w:rsidRPr="004459BD">
          <w:rPr>
            <w:rStyle w:val="Hyperlink"/>
            <w:noProof/>
          </w:rPr>
          <w:t>1.8.1.</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Introduction</w:t>
        </w:r>
        <w:r w:rsidR="005A4A97">
          <w:rPr>
            <w:noProof/>
            <w:webHidden/>
          </w:rPr>
          <w:tab/>
        </w:r>
        <w:r w:rsidR="005A4A97">
          <w:rPr>
            <w:noProof/>
            <w:webHidden/>
          </w:rPr>
          <w:fldChar w:fldCharType="begin"/>
        </w:r>
        <w:r w:rsidR="005A4A97">
          <w:rPr>
            <w:noProof/>
            <w:webHidden/>
          </w:rPr>
          <w:instrText xml:space="preserve"> PAGEREF _Toc157692067 \h </w:instrText>
        </w:r>
        <w:r w:rsidR="005A4A97">
          <w:rPr>
            <w:noProof/>
            <w:webHidden/>
          </w:rPr>
        </w:r>
        <w:r w:rsidR="005A4A97">
          <w:rPr>
            <w:noProof/>
            <w:webHidden/>
          </w:rPr>
          <w:fldChar w:fldCharType="separate"/>
        </w:r>
        <w:r w:rsidR="005A4A97">
          <w:rPr>
            <w:noProof/>
            <w:webHidden/>
          </w:rPr>
          <w:t>118</w:t>
        </w:r>
        <w:r w:rsidR="005A4A97">
          <w:rPr>
            <w:noProof/>
            <w:webHidden/>
          </w:rPr>
          <w:fldChar w:fldCharType="end"/>
        </w:r>
      </w:hyperlink>
    </w:p>
    <w:p w14:paraId="37F8429A" w14:textId="2EE47CF3"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68" w:history="1">
        <w:r w:rsidR="005A4A97" w:rsidRPr="004459BD">
          <w:rPr>
            <w:rStyle w:val="Hyperlink"/>
            <w:noProof/>
          </w:rPr>
          <w:t>1.8.2.</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Activity</w:t>
        </w:r>
        <w:r w:rsidR="005A4A97">
          <w:rPr>
            <w:noProof/>
            <w:webHidden/>
          </w:rPr>
          <w:tab/>
        </w:r>
        <w:r w:rsidR="005A4A97">
          <w:rPr>
            <w:noProof/>
            <w:webHidden/>
          </w:rPr>
          <w:fldChar w:fldCharType="begin"/>
        </w:r>
        <w:r w:rsidR="005A4A97">
          <w:rPr>
            <w:noProof/>
            <w:webHidden/>
          </w:rPr>
          <w:instrText xml:space="preserve"> PAGEREF _Toc157692068 \h </w:instrText>
        </w:r>
        <w:r w:rsidR="005A4A97">
          <w:rPr>
            <w:noProof/>
            <w:webHidden/>
          </w:rPr>
        </w:r>
        <w:r w:rsidR="005A4A97">
          <w:rPr>
            <w:noProof/>
            <w:webHidden/>
          </w:rPr>
          <w:fldChar w:fldCharType="separate"/>
        </w:r>
        <w:r w:rsidR="005A4A97">
          <w:rPr>
            <w:noProof/>
            <w:webHidden/>
          </w:rPr>
          <w:t>119</w:t>
        </w:r>
        <w:r w:rsidR="005A4A97">
          <w:rPr>
            <w:noProof/>
            <w:webHidden/>
          </w:rPr>
          <w:fldChar w:fldCharType="end"/>
        </w:r>
      </w:hyperlink>
    </w:p>
    <w:p w14:paraId="4A1FEA8E" w14:textId="74F95245"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69" w:history="1">
        <w:r w:rsidR="005A4A97" w:rsidRPr="004459BD">
          <w:rPr>
            <w:rStyle w:val="Hyperlink"/>
            <w:noProof/>
          </w:rPr>
          <w:t>1.8.3.</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Options to increase the net LULUCF net removal</w:t>
        </w:r>
        <w:r w:rsidR="005A4A97">
          <w:rPr>
            <w:noProof/>
            <w:webHidden/>
          </w:rPr>
          <w:tab/>
        </w:r>
        <w:r w:rsidR="005A4A97">
          <w:rPr>
            <w:noProof/>
            <w:webHidden/>
          </w:rPr>
          <w:fldChar w:fldCharType="begin"/>
        </w:r>
        <w:r w:rsidR="005A4A97">
          <w:rPr>
            <w:noProof/>
            <w:webHidden/>
          </w:rPr>
          <w:instrText xml:space="preserve"> PAGEREF _Toc157692069 \h </w:instrText>
        </w:r>
        <w:r w:rsidR="005A4A97">
          <w:rPr>
            <w:noProof/>
            <w:webHidden/>
          </w:rPr>
        </w:r>
        <w:r w:rsidR="005A4A97">
          <w:rPr>
            <w:noProof/>
            <w:webHidden/>
          </w:rPr>
          <w:fldChar w:fldCharType="separate"/>
        </w:r>
        <w:r w:rsidR="005A4A97">
          <w:rPr>
            <w:noProof/>
            <w:webHidden/>
          </w:rPr>
          <w:t>126</w:t>
        </w:r>
        <w:r w:rsidR="005A4A97">
          <w:rPr>
            <w:noProof/>
            <w:webHidden/>
          </w:rPr>
          <w:fldChar w:fldCharType="end"/>
        </w:r>
      </w:hyperlink>
    </w:p>
    <w:p w14:paraId="457636E8" w14:textId="06A5D6F8"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70" w:history="1">
        <w:r w:rsidR="005A4A97" w:rsidRPr="004459BD">
          <w:rPr>
            <w:rStyle w:val="Hyperlink"/>
            <w:noProof/>
          </w:rPr>
          <w:t>1.8.4.</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The LULUCF net removal</w:t>
        </w:r>
        <w:r w:rsidR="005A4A97">
          <w:rPr>
            <w:noProof/>
            <w:webHidden/>
          </w:rPr>
          <w:tab/>
        </w:r>
        <w:r w:rsidR="005A4A97">
          <w:rPr>
            <w:noProof/>
            <w:webHidden/>
          </w:rPr>
          <w:fldChar w:fldCharType="begin"/>
        </w:r>
        <w:r w:rsidR="005A4A97">
          <w:rPr>
            <w:noProof/>
            <w:webHidden/>
          </w:rPr>
          <w:instrText xml:space="preserve"> PAGEREF _Toc157692070 \h </w:instrText>
        </w:r>
        <w:r w:rsidR="005A4A97">
          <w:rPr>
            <w:noProof/>
            <w:webHidden/>
          </w:rPr>
        </w:r>
        <w:r w:rsidR="005A4A97">
          <w:rPr>
            <w:noProof/>
            <w:webHidden/>
          </w:rPr>
          <w:fldChar w:fldCharType="separate"/>
        </w:r>
        <w:r w:rsidR="005A4A97">
          <w:rPr>
            <w:noProof/>
            <w:webHidden/>
          </w:rPr>
          <w:t>129</w:t>
        </w:r>
        <w:r w:rsidR="005A4A97">
          <w:rPr>
            <w:noProof/>
            <w:webHidden/>
          </w:rPr>
          <w:fldChar w:fldCharType="end"/>
        </w:r>
      </w:hyperlink>
    </w:p>
    <w:p w14:paraId="63253CA5" w14:textId="79E3507C"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71" w:history="1">
        <w:r w:rsidR="005A4A97" w:rsidRPr="004459BD">
          <w:rPr>
            <w:rStyle w:val="Hyperlink"/>
            <w:noProof/>
          </w:rPr>
          <w:t>1.8.5.</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Analysis of climate change impacts and CO2 fertilisation</w:t>
        </w:r>
        <w:r w:rsidR="005A4A97">
          <w:rPr>
            <w:noProof/>
            <w:webHidden/>
          </w:rPr>
          <w:tab/>
        </w:r>
        <w:r w:rsidR="005A4A97">
          <w:rPr>
            <w:noProof/>
            <w:webHidden/>
          </w:rPr>
          <w:fldChar w:fldCharType="begin"/>
        </w:r>
        <w:r w:rsidR="005A4A97">
          <w:rPr>
            <w:noProof/>
            <w:webHidden/>
          </w:rPr>
          <w:instrText xml:space="preserve"> PAGEREF _Toc157692071 \h </w:instrText>
        </w:r>
        <w:r w:rsidR="005A4A97">
          <w:rPr>
            <w:noProof/>
            <w:webHidden/>
          </w:rPr>
        </w:r>
        <w:r w:rsidR="005A4A97">
          <w:rPr>
            <w:noProof/>
            <w:webHidden/>
          </w:rPr>
          <w:fldChar w:fldCharType="separate"/>
        </w:r>
        <w:r w:rsidR="005A4A97">
          <w:rPr>
            <w:noProof/>
            <w:webHidden/>
          </w:rPr>
          <w:t>132</w:t>
        </w:r>
        <w:r w:rsidR="005A4A97">
          <w:rPr>
            <w:noProof/>
            <w:webHidden/>
          </w:rPr>
          <w:fldChar w:fldCharType="end"/>
        </w:r>
      </w:hyperlink>
    </w:p>
    <w:p w14:paraId="26946208" w14:textId="0301E42C"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72" w:history="1">
        <w:r w:rsidR="005A4A97" w:rsidRPr="004459BD">
          <w:rPr>
            <w:rStyle w:val="Hyperlink"/>
            <w:noProof/>
          </w:rPr>
          <w:t>1.8.6.</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Impacts from simulated extreme events on the LULUCF net removal</w:t>
        </w:r>
        <w:r w:rsidR="005A4A97">
          <w:rPr>
            <w:noProof/>
            <w:webHidden/>
          </w:rPr>
          <w:tab/>
        </w:r>
        <w:r w:rsidR="005A4A97">
          <w:rPr>
            <w:noProof/>
            <w:webHidden/>
          </w:rPr>
          <w:fldChar w:fldCharType="begin"/>
        </w:r>
        <w:r w:rsidR="005A4A97">
          <w:rPr>
            <w:noProof/>
            <w:webHidden/>
          </w:rPr>
          <w:instrText xml:space="preserve"> PAGEREF _Toc157692072 \h </w:instrText>
        </w:r>
        <w:r w:rsidR="005A4A97">
          <w:rPr>
            <w:noProof/>
            <w:webHidden/>
          </w:rPr>
        </w:r>
        <w:r w:rsidR="005A4A97">
          <w:rPr>
            <w:noProof/>
            <w:webHidden/>
          </w:rPr>
          <w:fldChar w:fldCharType="separate"/>
        </w:r>
        <w:r w:rsidR="005A4A97">
          <w:rPr>
            <w:noProof/>
            <w:webHidden/>
          </w:rPr>
          <w:t>135</w:t>
        </w:r>
        <w:r w:rsidR="005A4A97">
          <w:rPr>
            <w:noProof/>
            <w:webHidden/>
          </w:rPr>
          <w:fldChar w:fldCharType="end"/>
        </w:r>
      </w:hyperlink>
    </w:p>
    <w:p w14:paraId="25818973" w14:textId="39EED510" w:rsidR="005A4A97" w:rsidRDefault="009245CF">
      <w:pPr>
        <w:pStyle w:val="TOC2"/>
        <w:tabs>
          <w:tab w:val="left" w:pos="960"/>
          <w:tab w:val="right" w:leader="dot" w:pos="8608"/>
        </w:tabs>
        <w:rPr>
          <w:rFonts w:eastAsiaTheme="minorEastAsia" w:cstheme="minorBidi"/>
          <w:smallCaps w:val="0"/>
          <w:noProof/>
          <w:kern w:val="2"/>
          <w:sz w:val="22"/>
          <w:szCs w:val="22"/>
          <w:lang w:val="en-IE"/>
          <w14:ligatures w14:val="standardContextual"/>
        </w:rPr>
      </w:pPr>
      <w:hyperlink w:anchor="_Toc157692073" w:history="1">
        <w:r w:rsidR="005A4A97" w:rsidRPr="004459BD">
          <w:rPr>
            <w:rStyle w:val="Hyperlink"/>
            <w:noProof/>
          </w:rPr>
          <w:t>1.9.</w:t>
        </w:r>
        <w:r w:rsidR="005A4A97">
          <w:rPr>
            <w:rFonts w:eastAsiaTheme="minorEastAsia" w:cstheme="minorBidi"/>
            <w:smallCaps w:val="0"/>
            <w:noProof/>
            <w:kern w:val="2"/>
            <w:sz w:val="22"/>
            <w:szCs w:val="22"/>
            <w:lang w:val="en-IE"/>
            <w14:ligatures w14:val="standardContextual"/>
          </w:rPr>
          <w:tab/>
        </w:r>
        <w:r w:rsidR="005A4A97" w:rsidRPr="004459BD">
          <w:rPr>
            <w:rStyle w:val="Hyperlink"/>
            <w:noProof/>
          </w:rPr>
          <w:t>Environmental and health impacts</w:t>
        </w:r>
        <w:r w:rsidR="005A4A97">
          <w:rPr>
            <w:noProof/>
            <w:webHidden/>
          </w:rPr>
          <w:tab/>
        </w:r>
        <w:r w:rsidR="005A4A97">
          <w:rPr>
            <w:noProof/>
            <w:webHidden/>
          </w:rPr>
          <w:fldChar w:fldCharType="begin"/>
        </w:r>
        <w:r w:rsidR="005A4A97">
          <w:rPr>
            <w:noProof/>
            <w:webHidden/>
          </w:rPr>
          <w:instrText xml:space="preserve"> PAGEREF _Toc157692073 \h </w:instrText>
        </w:r>
        <w:r w:rsidR="005A4A97">
          <w:rPr>
            <w:noProof/>
            <w:webHidden/>
          </w:rPr>
        </w:r>
        <w:r w:rsidR="005A4A97">
          <w:rPr>
            <w:noProof/>
            <w:webHidden/>
          </w:rPr>
          <w:fldChar w:fldCharType="separate"/>
        </w:r>
        <w:r w:rsidR="005A4A97">
          <w:rPr>
            <w:noProof/>
            <w:webHidden/>
          </w:rPr>
          <w:t>138</w:t>
        </w:r>
        <w:r w:rsidR="005A4A97">
          <w:rPr>
            <w:noProof/>
            <w:webHidden/>
          </w:rPr>
          <w:fldChar w:fldCharType="end"/>
        </w:r>
      </w:hyperlink>
    </w:p>
    <w:p w14:paraId="7582D19F" w14:textId="42FCB65A"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74" w:history="1">
        <w:r w:rsidR="005A4A97" w:rsidRPr="004459BD">
          <w:rPr>
            <w:rStyle w:val="Hyperlink"/>
            <w:noProof/>
          </w:rPr>
          <w:t>1.9.1.</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Air quality</w:t>
        </w:r>
        <w:r w:rsidR="005A4A97">
          <w:rPr>
            <w:noProof/>
            <w:webHidden/>
          </w:rPr>
          <w:tab/>
        </w:r>
        <w:r w:rsidR="005A4A97">
          <w:rPr>
            <w:noProof/>
            <w:webHidden/>
          </w:rPr>
          <w:fldChar w:fldCharType="begin"/>
        </w:r>
        <w:r w:rsidR="005A4A97">
          <w:rPr>
            <w:noProof/>
            <w:webHidden/>
          </w:rPr>
          <w:instrText xml:space="preserve"> PAGEREF _Toc157692074 \h </w:instrText>
        </w:r>
        <w:r w:rsidR="005A4A97">
          <w:rPr>
            <w:noProof/>
            <w:webHidden/>
          </w:rPr>
        </w:r>
        <w:r w:rsidR="005A4A97">
          <w:rPr>
            <w:noProof/>
            <w:webHidden/>
          </w:rPr>
          <w:fldChar w:fldCharType="separate"/>
        </w:r>
        <w:r w:rsidR="005A4A97">
          <w:rPr>
            <w:noProof/>
            <w:webHidden/>
          </w:rPr>
          <w:t>138</w:t>
        </w:r>
        <w:r w:rsidR="005A4A97">
          <w:rPr>
            <w:noProof/>
            <w:webHidden/>
          </w:rPr>
          <w:fldChar w:fldCharType="end"/>
        </w:r>
      </w:hyperlink>
    </w:p>
    <w:p w14:paraId="36B0C097" w14:textId="4A8A8558"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75" w:history="1">
        <w:r w:rsidR="005A4A97" w:rsidRPr="004459BD">
          <w:rPr>
            <w:rStyle w:val="Hyperlink"/>
            <w:noProof/>
          </w:rPr>
          <w:t>1.9.2.</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Biodiversity and ecosystems</w:t>
        </w:r>
        <w:r w:rsidR="005A4A97">
          <w:rPr>
            <w:noProof/>
            <w:webHidden/>
          </w:rPr>
          <w:tab/>
        </w:r>
        <w:r w:rsidR="005A4A97">
          <w:rPr>
            <w:noProof/>
            <w:webHidden/>
          </w:rPr>
          <w:fldChar w:fldCharType="begin"/>
        </w:r>
        <w:r w:rsidR="005A4A97">
          <w:rPr>
            <w:noProof/>
            <w:webHidden/>
          </w:rPr>
          <w:instrText xml:space="preserve"> PAGEREF _Toc157692075 \h </w:instrText>
        </w:r>
        <w:r w:rsidR="005A4A97">
          <w:rPr>
            <w:noProof/>
            <w:webHidden/>
          </w:rPr>
        </w:r>
        <w:r w:rsidR="005A4A97">
          <w:rPr>
            <w:noProof/>
            <w:webHidden/>
          </w:rPr>
          <w:fldChar w:fldCharType="separate"/>
        </w:r>
        <w:r w:rsidR="005A4A97">
          <w:rPr>
            <w:noProof/>
            <w:webHidden/>
          </w:rPr>
          <w:t>142</w:t>
        </w:r>
        <w:r w:rsidR="005A4A97">
          <w:rPr>
            <w:noProof/>
            <w:webHidden/>
          </w:rPr>
          <w:fldChar w:fldCharType="end"/>
        </w:r>
      </w:hyperlink>
    </w:p>
    <w:p w14:paraId="35D93633" w14:textId="064C59C4"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76" w:history="1">
        <w:r w:rsidR="005A4A97" w:rsidRPr="004459BD">
          <w:rPr>
            <w:rStyle w:val="Hyperlink"/>
            <w:noProof/>
          </w:rPr>
          <w:t>1.9.3.</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Food security, animal welfare and health</w:t>
        </w:r>
        <w:r w:rsidR="005A4A97">
          <w:rPr>
            <w:noProof/>
            <w:webHidden/>
          </w:rPr>
          <w:tab/>
        </w:r>
        <w:r w:rsidR="005A4A97">
          <w:rPr>
            <w:noProof/>
            <w:webHidden/>
          </w:rPr>
          <w:fldChar w:fldCharType="begin"/>
        </w:r>
        <w:r w:rsidR="005A4A97">
          <w:rPr>
            <w:noProof/>
            <w:webHidden/>
          </w:rPr>
          <w:instrText xml:space="preserve"> PAGEREF _Toc157692076 \h </w:instrText>
        </w:r>
        <w:r w:rsidR="005A4A97">
          <w:rPr>
            <w:noProof/>
            <w:webHidden/>
          </w:rPr>
        </w:r>
        <w:r w:rsidR="005A4A97">
          <w:rPr>
            <w:noProof/>
            <w:webHidden/>
          </w:rPr>
          <w:fldChar w:fldCharType="separate"/>
        </w:r>
        <w:r w:rsidR="005A4A97">
          <w:rPr>
            <w:noProof/>
            <w:webHidden/>
          </w:rPr>
          <w:t>146</w:t>
        </w:r>
        <w:r w:rsidR="005A4A97">
          <w:rPr>
            <w:noProof/>
            <w:webHidden/>
          </w:rPr>
          <w:fldChar w:fldCharType="end"/>
        </w:r>
      </w:hyperlink>
    </w:p>
    <w:p w14:paraId="69011818" w14:textId="1182B041"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77" w:history="1">
        <w:r w:rsidR="005A4A97" w:rsidRPr="004459BD">
          <w:rPr>
            <w:rStyle w:val="Hyperlink"/>
            <w:noProof/>
          </w:rPr>
          <w:t>1.9.4.</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Raw materials</w:t>
        </w:r>
        <w:r w:rsidR="005A4A97">
          <w:rPr>
            <w:noProof/>
            <w:webHidden/>
          </w:rPr>
          <w:tab/>
        </w:r>
        <w:r w:rsidR="005A4A97">
          <w:rPr>
            <w:noProof/>
            <w:webHidden/>
          </w:rPr>
          <w:fldChar w:fldCharType="begin"/>
        </w:r>
        <w:r w:rsidR="005A4A97">
          <w:rPr>
            <w:noProof/>
            <w:webHidden/>
          </w:rPr>
          <w:instrText xml:space="preserve"> PAGEREF _Toc157692077 \h </w:instrText>
        </w:r>
        <w:r w:rsidR="005A4A97">
          <w:rPr>
            <w:noProof/>
            <w:webHidden/>
          </w:rPr>
        </w:r>
        <w:r w:rsidR="005A4A97">
          <w:rPr>
            <w:noProof/>
            <w:webHidden/>
          </w:rPr>
          <w:fldChar w:fldCharType="separate"/>
        </w:r>
        <w:r w:rsidR="005A4A97">
          <w:rPr>
            <w:noProof/>
            <w:webHidden/>
          </w:rPr>
          <w:t>149</w:t>
        </w:r>
        <w:r w:rsidR="005A4A97">
          <w:rPr>
            <w:noProof/>
            <w:webHidden/>
          </w:rPr>
          <w:fldChar w:fldCharType="end"/>
        </w:r>
      </w:hyperlink>
    </w:p>
    <w:p w14:paraId="6A063B31" w14:textId="7A34DC86" w:rsidR="005A4A97" w:rsidRDefault="009245CF">
      <w:pPr>
        <w:pStyle w:val="TOC1"/>
        <w:tabs>
          <w:tab w:val="left" w:pos="480"/>
          <w:tab w:val="right" w:leader="dot" w:pos="8608"/>
        </w:tabs>
        <w:rPr>
          <w:rFonts w:eastAsiaTheme="minorEastAsia" w:cstheme="minorBidi"/>
          <w:b w:val="0"/>
          <w:bCs w:val="0"/>
          <w:caps w:val="0"/>
          <w:noProof/>
          <w:kern w:val="2"/>
          <w:sz w:val="22"/>
          <w:szCs w:val="22"/>
          <w:lang w:val="en-IE"/>
          <w14:ligatures w14:val="standardContextual"/>
        </w:rPr>
      </w:pPr>
      <w:hyperlink w:anchor="_Toc157692078" w:history="1">
        <w:r w:rsidR="005A4A97" w:rsidRPr="004459BD">
          <w:rPr>
            <w:rStyle w:val="Hyperlink"/>
            <w:noProof/>
          </w:rPr>
          <w:t>2.</w:t>
        </w:r>
        <w:r w:rsidR="005A4A97">
          <w:rPr>
            <w:rFonts w:eastAsiaTheme="minorEastAsia" w:cstheme="minorBidi"/>
            <w:b w:val="0"/>
            <w:bCs w:val="0"/>
            <w:caps w:val="0"/>
            <w:noProof/>
            <w:kern w:val="2"/>
            <w:sz w:val="22"/>
            <w:szCs w:val="22"/>
            <w:lang w:val="en-IE"/>
            <w14:ligatures w14:val="standardContextual"/>
          </w:rPr>
          <w:tab/>
        </w:r>
        <w:r w:rsidR="005A4A97" w:rsidRPr="004459BD">
          <w:rPr>
            <w:rStyle w:val="Hyperlink"/>
            <w:noProof/>
          </w:rPr>
          <w:t>Socio-economic impacts</w:t>
        </w:r>
        <w:r w:rsidR="005A4A97">
          <w:rPr>
            <w:noProof/>
            <w:webHidden/>
          </w:rPr>
          <w:tab/>
        </w:r>
        <w:r w:rsidR="005A4A97">
          <w:rPr>
            <w:noProof/>
            <w:webHidden/>
          </w:rPr>
          <w:fldChar w:fldCharType="begin"/>
        </w:r>
        <w:r w:rsidR="005A4A97">
          <w:rPr>
            <w:noProof/>
            <w:webHidden/>
          </w:rPr>
          <w:instrText xml:space="preserve"> PAGEREF _Toc157692078 \h </w:instrText>
        </w:r>
        <w:r w:rsidR="005A4A97">
          <w:rPr>
            <w:noProof/>
            <w:webHidden/>
          </w:rPr>
        </w:r>
        <w:r w:rsidR="005A4A97">
          <w:rPr>
            <w:noProof/>
            <w:webHidden/>
          </w:rPr>
          <w:fldChar w:fldCharType="separate"/>
        </w:r>
        <w:r w:rsidR="005A4A97">
          <w:rPr>
            <w:noProof/>
            <w:webHidden/>
          </w:rPr>
          <w:t>150</w:t>
        </w:r>
        <w:r w:rsidR="005A4A97">
          <w:rPr>
            <w:noProof/>
            <w:webHidden/>
          </w:rPr>
          <w:fldChar w:fldCharType="end"/>
        </w:r>
      </w:hyperlink>
    </w:p>
    <w:p w14:paraId="0C19A4EA" w14:textId="2E643AFB" w:rsidR="005A4A97" w:rsidRDefault="009245CF">
      <w:pPr>
        <w:pStyle w:val="TOC2"/>
        <w:tabs>
          <w:tab w:val="left" w:pos="960"/>
          <w:tab w:val="right" w:leader="dot" w:pos="8608"/>
        </w:tabs>
        <w:rPr>
          <w:rFonts w:eastAsiaTheme="minorEastAsia" w:cstheme="minorBidi"/>
          <w:smallCaps w:val="0"/>
          <w:noProof/>
          <w:kern w:val="2"/>
          <w:sz w:val="22"/>
          <w:szCs w:val="22"/>
          <w:lang w:val="en-IE"/>
          <w14:ligatures w14:val="standardContextual"/>
        </w:rPr>
      </w:pPr>
      <w:hyperlink w:anchor="_Toc157692079" w:history="1">
        <w:r w:rsidR="005A4A97" w:rsidRPr="004459BD">
          <w:rPr>
            <w:rStyle w:val="Hyperlink"/>
            <w:noProof/>
          </w:rPr>
          <w:t>2.1.</w:t>
        </w:r>
        <w:r w:rsidR="005A4A97">
          <w:rPr>
            <w:rFonts w:eastAsiaTheme="minorEastAsia" w:cstheme="minorBidi"/>
            <w:smallCaps w:val="0"/>
            <w:noProof/>
            <w:kern w:val="2"/>
            <w:sz w:val="22"/>
            <w:szCs w:val="22"/>
            <w:lang w:val="en-IE"/>
            <w14:ligatures w14:val="standardContextual"/>
          </w:rPr>
          <w:tab/>
        </w:r>
        <w:r w:rsidR="005A4A97" w:rsidRPr="004459BD">
          <w:rPr>
            <w:rStyle w:val="Hyperlink"/>
            <w:noProof/>
          </w:rPr>
          <w:t>Macro-economic impacts ()</w:t>
        </w:r>
        <w:r w:rsidR="005A4A97">
          <w:rPr>
            <w:noProof/>
            <w:webHidden/>
          </w:rPr>
          <w:tab/>
        </w:r>
        <w:r w:rsidR="005A4A97">
          <w:rPr>
            <w:noProof/>
            <w:webHidden/>
          </w:rPr>
          <w:fldChar w:fldCharType="begin"/>
        </w:r>
        <w:r w:rsidR="005A4A97">
          <w:rPr>
            <w:noProof/>
            <w:webHidden/>
          </w:rPr>
          <w:instrText xml:space="preserve"> PAGEREF _Toc157692079 \h </w:instrText>
        </w:r>
        <w:r w:rsidR="005A4A97">
          <w:rPr>
            <w:noProof/>
            <w:webHidden/>
          </w:rPr>
        </w:r>
        <w:r w:rsidR="005A4A97">
          <w:rPr>
            <w:noProof/>
            <w:webHidden/>
          </w:rPr>
          <w:fldChar w:fldCharType="separate"/>
        </w:r>
        <w:r w:rsidR="005A4A97">
          <w:rPr>
            <w:noProof/>
            <w:webHidden/>
          </w:rPr>
          <w:t>151</w:t>
        </w:r>
        <w:r w:rsidR="005A4A97">
          <w:rPr>
            <w:noProof/>
            <w:webHidden/>
          </w:rPr>
          <w:fldChar w:fldCharType="end"/>
        </w:r>
      </w:hyperlink>
    </w:p>
    <w:p w14:paraId="4ED85DE1" w14:textId="37AC7DF6"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80" w:history="1">
        <w:r w:rsidR="005A4A97" w:rsidRPr="004459BD">
          <w:rPr>
            <w:rStyle w:val="Hyperlink"/>
            <w:noProof/>
          </w:rPr>
          <w:t>2.1.1.</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GDP and employment</w:t>
        </w:r>
        <w:r w:rsidR="005A4A97">
          <w:rPr>
            <w:noProof/>
            <w:webHidden/>
          </w:rPr>
          <w:tab/>
        </w:r>
        <w:r w:rsidR="005A4A97">
          <w:rPr>
            <w:noProof/>
            <w:webHidden/>
          </w:rPr>
          <w:fldChar w:fldCharType="begin"/>
        </w:r>
        <w:r w:rsidR="005A4A97">
          <w:rPr>
            <w:noProof/>
            <w:webHidden/>
          </w:rPr>
          <w:instrText xml:space="preserve"> PAGEREF _Toc157692080 \h </w:instrText>
        </w:r>
        <w:r w:rsidR="005A4A97">
          <w:rPr>
            <w:noProof/>
            <w:webHidden/>
          </w:rPr>
        </w:r>
        <w:r w:rsidR="005A4A97">
          <w:rPr>
            <w:noProof/>
            <w:webHidden/>
          </w:rPr>
          <w:fldChar w:fldCharType="separate"/>
        </w:r>
        <w:r w:rsidR="005A4A97">
          <w:rPr>
            <w:noProof/>
            <w:webHidden/>
          </w:rPr>
          <w:t>151</w:t>
        </w:r>
        <w:r w:rsidR="005A4A97">
          <w:rPr>
            <w:noProof/>
            <w:webHidden/>
          </w:rPr>
          <w:fldChar w:fldCharType="end"/>
        </w:r>
      </w:hyperlink>
    </w:p>
    <w:p w14:paraId="5D965568" w14:textId="69107D63"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81" w:history="1">
        <w:r w:rsidR="005A4A97" w:rsidRPr="004459BD">
          <w:rPr>
            <w:rStyle w:val="Hyperlink"/>
            <w:noProof/>
          </w:rPr>
          <w:t>2.1.2.</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The impact of frictions in the economic transition</w:t>
        </w:r>
        <w:r w:rsidR="005A4A97">
          <w:rPr>
            <w:noProof/>
            <w:webHidden/>
          </w:rPr>
          <w:tab/>
        </w:r>
        <w:r w:rsidR="005A4A97">
          <w:rPr>
            <w:noProof/>
            <w:webHidden/>
          </w:rPr>
          <w:fldChar w:fldCharType="begin"/>
        </w:r>
        <w:r w:rsidR="005A4A97">
          <w:rPr>
            <w:noProof/>
            <w:webHidden/>
          </w:rPr>
          <w:instrText xml:space="preserve"> PAGEREF _Toc157692081 \h </w:instrText>
        </w:r>
        <w:r w:rsidR="005A4A97">
          <w:rPr>
            <w:noProof/>
            <w:webHidden/>
          </w:rPr>
        </w:r>
        <w:r w:rsidR="005A4A97">
          <w:rPr>
            <w:noProof/>
            <w:webHidden/>
          </w:rPr>
          <w:fldChar w:fldCharType="separate"/>
        </w:r>
        <w:r w:rsidR="005A4A97">
          <w:rPr>
            <w:noProof/>
            <w:webHidden/>
          </w:rPr>
          <w:t>153</w:t>
        </w:r>
        <w:r w:rsidR="005A4A97">
          <w:rPr>
            <w:noProof/>
            <w:webHidden/>
          </w:rPr>
          <w:fldChar w:fldCharType="end"/>
        </w:r>
      </w:hyperlink>
    </w:p>
    <w:p w14:paraId="6B575A5C" w14:textId="2BACDC8D" w:rsidR="005A4A97" w:rsidRDefault="009245CF">
      <w:pPr>
        <w:pStyle w:val="TOC2"/>
        <w:tabs>
          <w:tab w:val="left" w:pos="960"/>
          <w:tab w:val="right" w:leader="dot" w:pos="8608"/>
        </w:tabs>
        <w:rPr>
          <w:rFonts w:eastAsiaTheme="minorEastAsia" w:cstheme="minorBidi"/>
          <w:smallCaps w:val="0"/>
          <w:noProof/>
          <w:kern w:val="2"/>
          <w:sz w:val="22"/>
          <w:szCs w:val="22"/>
          <w:lang w:val="en-IE"/>
          <w14:ligatures w14:val="standardContextual"/>
        </w:rPr>
      </w:pPr>
      <w:hyperlink w:anchor="_Toc157692082" w:history="1">
        <w:r w:rsidR="005A4A97" w:rsidRPr="004459BD">
          <w:rPr>
            <w:rStyle w:val="Hyperlink"/>
            <w:noProof/>
          </w:rPr>
          <w:t>2.2.</w:t>
        </w:r>
        <w:r w:rsidR="005A4A97">
          <w:rPr>
            <w:rFonts w:eastAsiaTheme="minorEastAsia" w:cstheme="minorBidi"/>
            <w:smallCaps w:val="0"/>
            <w:noProof/>
            <w:kern w:val="2"/>
            <w:sz w:val="22"/>
            <w:szCs w:val="22"/>
            <w:lang w:val="en-IE"/>
            <w14:ligatures w14:val="standardContextual"/>
          </w:rPr>
          <w:tab/>
        </w:r>
        <w:r w:rsidR="005A4A97" w:rsidRPr="004459BD">
          <w:rPr>
            <w:rStyle w:val="Hyperlink"/>
            <w:noProof/>
          </w:rPr>
          <w:t>The investment agenda ()</w:t>
        </w:r>
        <w:r w:rsidR="005A4A97">
          <w:rPr>
            <w:noProof/>
            <w:webHidden/>
          </w:rPr>
          <w:tab/>
        </w:r>
        <w:r w:rsidR="005A4A97">
          <w:rPr>
            <w:noProof/>
            <w:webHidden/>
          </w:rPr>
          <w:fldChar w:fldCharType="begin"/>
        </w:r>
        <w:r w:rsidR="005A4A97">
          <w:rPr>
            <w:noProof/>
            <w:webHidden/>
          </w:rPr>
          <w:instrText xml:space="preserve"> PAGEREF _Toc157692082 \h </w:instrText>
        </w:r>
        <w:r w:rsidR="005A4A97">
          <w:rPr>
            <w:noProof/>
            <w:webHidden/>
          </w:rPr>
        </w:r>
        <w:r w:rsidR="005A4A97">
          <w:rPr>
            <w:noProof/>
            <w:webHidden/>
          </w:rPr>
          <w:fldChar w:fldCharType="separate"/>
        </w:r>
        <w:r w:rsidR="005A4A97">
          <w:rPr>
            <w:noProof/>
            <w:webHidden/>
          </w:rPr>
          <w:t>157</w:t>
        </w:r>
        <w:r w:rsidR="005A4A97">
          <w:rPr>
            <w:noProof/>
            <w:webHidden/>
          </w:rPr>
          <w:fldChar w:fldCharType="end"/>
        </w:r>
      </w:hyperlink>
    </w:p>
    <w:p w14:paraId="113264A0" w14:textId="77DC4F22"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83" w:history="1">
        <w:r w:rsidR="005A4A97" w:rsidRPr="004459BD">
          <w:rPr>
            <w:rStyle w:val="Hyperlink"/>
            <w:noProof/>
          </w:rPr>
          <w:t>2.2.1.</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Aggregate investment needs</w:t>
        </w:r>
        <w:r w:rsidR="005A4A97">
          <w:rPr>
            <w:noProof/>
            <w:webHidden/>
          </w:rPr>
          <w:tab/>
        </w:r>
        <w:r w:rsidR="005A4A97">
          <w:rPr>
            <w:noProof/>
            <w:webHidden/>
          </w:rPr>
          <w:fldChar w:fldCharType="begin"/>
        </w:r>
        <w:r w:rsidR="005A4A97">
          <w:rPr>
            <w:noProof/>
            <w:webHidden/>
          </w:rPr>
          <w:instrText xml:space="preserve"> PAGEREF _Toc157692083 \h </w:instrText>
        </w:r>
        <w:r w:rsidR="005A4A97">
          <w:rPr>
            <w:noProof/>
            <w:webHidden/>
          </w:rPr>
        </w:r>
        <w:r w:rsidR="005A4A97">
          <w:rPr>
            <w:noProof/>
            <w:webHidden/>
          </w:rPr>
          <w:fldChar w:fldCharType="separate"/>
        </w:r>
        <w:r w:rsidR="005A4A97">
          <w:rPr>
            <w:noProof/>
            <w:webHidden/>
          </w:rPr>
          <w:t>157</w:t>
        </w:r>
        <w:r w:rsidR="005A4A97">
          <w:rPr>
            <w:noProof/>
            <w:webHidden/>
          </w:rPr>
          <w:fldChar w:fldCharType="end"/>
        </w:r>
      </w:hyperlink>
    </w:p>
    <w:p w14:paraId="554B0280" w14:textId="42EA9B75"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84" w:history="1">
        <w:r w:rsidR="005A4A97" w:rsidRPr="004459BD">
          <w:rPr>
            <w:rStyle w:val="Hyperlink"/>
            <w:noProof/>
          </w:rPr>
          <w:t>2.2.2.</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Supply-side investment needs</w:t>
        </w:r>
        <w:r w:rsidR="005A4A97">
          <w:rPr>
            <w:noProof/>
            <w:webHidden/>
          </w:rPr>
          <w:tab/>
        </w:r>
        <w:r w:rsidR="005A4A97">
          <w:rPr>
            <w:noProof/>
            <w:webHidden/>
          </w:rPr>
          <w:fldChar w:fldCharType="begin"/>
        </w:r>
        <w:r w:rsidR="005A4A97">
          <w:rPr>
            <w:noProof/>
            <w:webHidden/>
          </w:rPr>
          <w:instrText xml:space="preserve"> PAGEREF _Toc157692084 \h </w:instrText>
        </w:r>
        <w:r w:rsidR="005A4A97">
          <w:rPr>
            <w:noProof/>
            <w:webHidden/>
          </w:rPr>
        </w:r>
        <w:r w:rsidR="005A4A97">
          <w:rPr>
            <w:noProof/>
            <w:webHidden/>
          </w:rPr>
          <w:fldChar w:fldCharType="separate"/>
        </w:r>
        <w:r w:rsidR="005A4A97">
          <w:rPr>
            <w:noProof/>
            <w:webHidden/>
          </w:rPr>
          <w:t>162</w:t>
        </w:r>
        <w:r w:rsidR="005A4A97">
          <w:rPr>
            <w:noProof/>
            <w:webHidden/>
          </w:rPr>
          <w:fldChar w:fldCharType="end"/>
        </w:r>
      </w:hyperlink>
    </w:p>
    <w:p w14:paraId="39ABC111" w14:textId="7F6188C0"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85" w:history="1">
        <w:r w:rsidR="005A4A97" w:rsidRPr="004459BD">
          <w:rPr>
            <w:rStyle w:val="Hyperlink"/>
            <w:noProof/>
          </w:rPr>
          <w:t>2.2.3.</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Demand-side investment needs, industry,services and agriculture</w:t>
        </w:r>
        <w:r w:rsidR="005A4A97">
          <w:rPr>
            <w:noProof/>
            <w:webHidden/>
          </w:rPr>
          <w:tab/>
        </w:r>
        <w:r w:rsidR="005A4A97">
          <w:rPr>
            <w:noProof/>
            <w:webHidden/>
          </w:rPr>
          <w:fldChar w:fldCharType="begin"/>
        </w:r>
        <w:r w:rsidR="005A4A97">
          <w:rPr>
            <w:noProof/>
            <w:webHidden/>
          </w:rPr>
          <w:instrText xml:space="preserve"> PAGEREF _Toc157692085 \h </w:instrText>
        </w:r>
        <w:r w:rsidR="005A4A97">
          <w:rPr>
            <w:noProof/>
            <w:webHidden/>
          </w:rPr>
        </w:r>
        <w:r w:rsidR="005A4A97">
          <w:rPr>
            <w:noProof/>
            <w:webHidden/>
          </w:rPr>
          <w:fldChar w:fldCharType="separate"/>
        </w:r>
        <w:r w:rsidR="005A4A97">
          <w:rPr>
            <w:noProof/>
            <w:webHidden/>
          </w:rPr>
          <w:t>164</w:t>
        </w:r>
        <w:r w:rsidR="005A4A97">
          <w:rPr>
            <w:noProof/>
            <w:webHidden/>
          </w:rPr>
          <w:fldChar w:fldCharType="end"/>
        </w:r>
      </w:hyperlink>
    </w:p>
    <w:p w14:paraId="0D1A777B" w14:textId="6A527D0D"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86" w:history="1">
        <w:r w:rsidR="005A4A97" w:rsidRPr="004459BD">
          <w:rPr>
            <w:rStyle w:val="Hyperlink"/>
            <w:noProof/>
          </w:rPr>
          <w:t>2.2.4.</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Demand-side investment needs, households</w:t>
        </w:r>
        <w:r w:rsidR="005A4A97">
          <w:rPr>
            <w:noProof/>
            <w:webHidden/>
          </w:rPr>
          <w:tab/>
        </w:r>
        <w:r w:rsidR="005A4A97">
          <w:rPr>
            <w:noProof/>
            <w:webHidden/>
          </w:rPr>
          <w:fldChar w:fldCharType="begin"/>
        </w:r>
        <w:r w:rsidR="005A4A97">
          <w:rPr>
            <w:noProof/>
            <w:webHidden/>
          </w:rPr>
          <w:instrText xml:space="preserve"> PAGEREF _Toc157692086 \h </w:instrText>
        </w:r>
        <w:r w:rsidR="005A4A97">
          <w:rPr>
            <w:noProof/>
            <w:webHidden/>
          </w:rPr>
        </w:r>
        <w:r w:rsidR="005A4A97">
          <w:rPr>
            <w:noProof/>
            <w:webHidden/>
          </w:rPr>
          <w:fldChar w:fldCharType="separate"/>
        </w:r>
        <w:r w:rsidR="005A4A97">
          <w:rPr>
            <w:noProof/>
            <w:webHidden/>
          </w:rPr>
          <w:t>170</w:t>
        </w:r>
        <w:r w:rsidR="005A4A97">
          <w:rPr>
            <w:noProof/>
            <w:webHidden/>
          </w:rPr>
          <w:fldChar w:fldCharType="end"/>
        </w:r>
      </w:hyperlink>
    </w:p>
    <w:p w14:paraId="4B66560A" w14:textId="45BCED39"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87" w:history="1">
        <w:r w:rsidR="005A4A97" w:rsidRPr="004459BD">
          <w:rPr>
            <w:rStyle w:val="Hyperlink"/>
            <w:noProof/>
          </w:rPr>
          <w:t>2.2.5.</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Demand-side investment needs, transport</w:t>
        </w:r>
        <w:r w:rsidR="005A4A97">
          <w:rPr>
            <w:noProof/>
            <w:webHidden/>
          </w:rPr>
          <w:tab/>
        </w:r>
        <w:r w:rsidR="005A4A97">
          <w:rPr>
            <w:noProof/>
            <w:webHidden/>
          </w:rPr>
          <w:fldChar w:fldCharType="begin"/>
        </w:r>
        <w:r w:rsidR="005A4A97">
          <w:rPr>
            <w:noProof/>
            <w:webHidden/>
          </w:rPr>
          <w:instrText xml:space="preserve"> PAGEREF _Toc157692087 \h </w:instrText>
        </w:r>
        <w:r w:rsidR="005A4A97">
          <w:rPr>
            <w:noProof/>
            <w:webHidden/>
          </w:rPr>
        </w:r>
        <w:r w:rsidR="005A4A97">
          <w:rPr>
            <w:noProof/>
            <w:webHidden/>
          </w:rPr>
          <w:fldChar w:fldCharType="separate"/>
        </w:r>
        <w:r w:rsidR="005A4A97">
          <w:rPr>
            <w:noProof/>
            <w:webHidden/>
          </w:rPr>
          <w:t>174</w:t>
        </w:r>
        <w:r w:rsidR="005A4A97">
          <w:rPr>
            <w:noProof/>
            <w:webHidden/>
          </w:rPr>
          <w:fldChar w:fldCharType="end"/>
        </w:r>
      </w:hyperlink>
    </w:p>
    <w:p w14:paraId="2FFFABDB" w14:textId="0B7DA23D"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88" w:history="1">
        <w:r w:rsidR="005A4A97" w:rsidRPr="004459BD">
          <w:rPr>
            <w:rStyle w:val="Hyperlink"/>
            <w:noProof/>
          </w:rPr>
          <w:t>2.2.6.</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Sensitivity of investment needs to technology costs assumptions</w:t>
        </w:r>
        <w:r w:rsidR="005A4A97">
          <w:rPr>
            <w:noProof/>
            <w:webHidden/>
          </w:rPr>
          <w:tab/>
        </w:r>
        <w:r w:rsidR="005A4A97">
          <w:rPr>
            <w:noProof/>
            <w:webHidden/>
          </w:rPr>
          <w:fldChar w:fldCharType="begin"/>
        </w:r>
        <w:r w:rsidR="005A4A97">
          <w:rPr>
            <w:noProof/>
            <w:webHidden/>
          </w:rPr>
          <w:instrText xml:space="preserve"> PAGEREF _Toc157692088 \h </w:instrText>
        </w:r>
        <w:r w:rsidR="005A4A97">
          <w:rPr>
            <w:noProof/>
            <w:webHidden/>
          </w:rPr>
        </w:r>
        <w:r w:rsidR="005A4A97">
          <w:rPr>
            <w:noProof/>
            <w:webHidden/>
          </w:rPr>
          <w:fldChar w:fldCharType="separate"/>
        </w:r>
        <w:r w:rsidR="005A4A97">
          <w:rPr>
            <w:noProof/>
            <w:webHidden/>
          </w:rPr>
          <w:t>177</w:t>
        </w:r>
        <w:r w:rsidR="005A4A97">
          <w:rPr>
            <w:noProof/>
            <w:webHidden/>
          </w:rPr>
          <w:fldChar w:fldCharType="end"/>
        </w:r>
      </w:hyperlink>
    </w:p>
    <w:p w14:paraId="7E70AB73" w14:textId="6E97AF83"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89" w:history="1">
        <w:r w:rsidR="005A4A97" w:rsidRPr="004459BD">
          <w:rPr>
            <w:rStyle w:val="Hyperlink"/>
            <w:noProof/>
          </w:rPr>
          <w:t>2.2.7.</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Investment needs for net-zero technology manufacturing capacity</w:t>
        </w:r>
        <w:r w:rsidR="005A4A97">
          <w:rPr>
            <w:noProof/>
            <w:webHidden/>
          </w:rPr>
          <w:tab/>
        </w:r>
        <w:r w:rsidR="005A4A97">
          <w:rPr>
            <w:noProof/>
            <w:webHidden/>
          </w:rPr>
          <w:fldChar w:fldCharType="begin"/>
        </w:r>
        <w:r w:rsidR="005A4A97">
          <w:rPr>
            <w:noProof/>
            <w:webHidden/>
          </w:rPr>
          <w:instrText xml:space="preserve"> PAGEREF _Toc157692089 \h </w:instrText>
        </w:r>
        <w:r w:rsidR="005A4A97">
          <w:rPr>
            <w:noProof/>
            <w:webHidden/>
          </w:rPr>
        </w:r>
        <w:r w:rsidR="005A4A97">
          <w:rPr>
            <w:noProof/>
            <w:webHidden/>
          </w:rPr>
          <w:fldChar w:fldCharType="separate"/>
        </w:r>
        <w:r w:rsidR="005A4A97">
          <w:rPr>
            <w:noProof/>
            <w:webHidden/>
          </w:rPr>
          <w:t>178</w:t>
        </w:r>
        <w:r w:rsidR="005A4A97">
          <w:rPr>
            <w:noProof/>
            <w:webHidden/>
          </w:rPr>
          <w:fldChar w:fldCharType="end"/>
        </w:r>
      </w:hyperlink>
    </w:p>
    <w:p w14:paraId="436E5223" w14:textId="2F4406A9"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90" w:history="1">
        <w:r w:rsidR="005A4A97" w:rsidRPr="004459BD">
          <w:rPr>
            <w:rStyle w:val="Hyperlink"/>
            <w:noProof/>
          </w:rPr>
          <w:t>2.2.8.</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Technical feasibility</w:t>
        </w:r>
        <w:r w:rsidR="005A4A97">
          <w:rPr>
            <w:noProof/>
            <w:webHidden/>
          </w:rPr>
          <w:tab/>
        </w:r>
        <w:r w:rsidR="005A4A97">
          <w:rPr>
            <w:noProof/>
            <w:webHidden/>
          </w:rPr>
          <w:fldChar w:fldCharType="begin"/>
        </w:r>
        <w:r w:rsidR="005A4A97">
          <w:rPr>
            <w:noProof/>
            <w:webHidden/>
          </w:rPr>
          <w:instrText xml:space="preserve"> PAGEREF _Toc157692090 \h </w:instrText>
        </w:r>
        <w:r w:rsidR="005A4A97">
          <w:rPr>
            <w:noProof/>
            <w:webHidden/>
          </w:rPr>
        </w:r>
        <w:r w:rsidR="005A4A97">
          <w:rPr>
            <w:noProof/>
            <w:webHidden/>
          </w:rPr>
          <w:fldChar w:fldCharType="separate"/>
        </w:r>
        <w:r w:rsidR="005A4A97">
          <w:rPr>
            <w:noProof/>
            <w:webHidden/>
          </w:rPr>
          <w:t>179</w:t>
        </w:r>
        <w:r w:rsidR="005A4A97">
          <w:rPr>
            <w:noProof/>
            <w:webHidden/>
          </w:rPr>
          <w:fldChar w:fldCharType="end"/>
        </w:r>
      </w:hyperlink>
    </w:p>
    <w:p w14:paraId="7A51F030" w14:textId="376D0453"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91" w:history="1">
        <w:r w:rsidR="005A4A97" w:rsidRPr="004459BD">
          <w:rPr>
            <w:rStyle w:val="Hyperlink"/>
            <w:noProof/>
          </w:rPr>
          <w:t>2.2.9.</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Other related investment needs</w:t>
        </w:r>
        <w:r w:rsidR="005A4A97">
          <w:rPr>
            <w:noProof/>
            <w:webHidden/>
          </w:rPr>
          <w:tab/>
        </w:r>
        <w:r w:rsidR="005A4A97">
          <w:rPr>
            <w:noProof/>
            <w:webHidden/>
          </w:rPr>
          <w:fldChar w:fldCharType="begin"/>
        </w:r>
        <w:r w:rsidR="005A4A97">
          <w:rPr>
            <w:noProof/>
            <w:webHidden/>
          </w:rPr>
          <w:instrText xml:space="preserve"> PAGEREF _Toc157692091 \h </w:instrText>
        </w:r>
        <w:r w:rsidR="005A4A97">
          <w:rPr>
            <w:noProof/>
            <w:webHidden/>
          </w:rPr>
        </w:r>
        <w:r w:rsidR="005A4A97">
          <w:rPr>
            <w:noProof/>
            <w:webHidden/>
          </w:rPr>
          <w:fldChar w:fldCharType="separate"/>
        </w:r>
        <w:r w:rsidR="005A4A97">
          <w:rPr>
            <w:noProof/>
            <w:webHidden/>
          </w:rPr>
          <w:t>180</w:t>
        </w:r>
        <w:r w:rsidR="005A4A97">
          <w:rPr>
            <w:noProof/>
            <w:webHidden/>
          </w:rPr>
          <w:fldChar w:fldCharType="end"/>
        </w:r>
      </w:hyperlink>
    </w:p>
    <w:p w14:paraId="34785BB9" w14:textId="71C30301" w:rsidR="005A4A97" w:rsidRDefault="009245CF">
      <w:pPr>
        <w:pStyle w:val="TOC3"/>
        <w:tabs>
          <w:tab w:val="left" w:pos="1440"/>
          <w:tab w:val="right" w:leader="dot" w:pos="8608"/>
        </w:tabs>
        <w:rPr>
          <w:rFonts w:eastAsiaTheme="minorEastAsia" w:cstheme="minorBidi"/>
          <w:i w:val="0"/>
          <w:iCs w:val="0"/>
          <w:noProof/>
          <w:kern w:val="2"/>
          <w:sz w:val="22"/>
          <w:szCs w:val="22"/>
          <w:lang w:val="en-IE"/>
          <w14:ligatures w14:val="standardContextual"/>
        </w:rPr>
      </w:pPr>
      <w:hyperlink w:anchor="_Toc157692092" w:history="1">
        <w:r w:rsidR="005A4A97" w:rsidRPr="004459BD">
          <w:rPr>
            <w:rStyle w:val="Hyperlink"/>
            <w:noProof/>
          </w:rPr>
          <w:t>2.2.10.</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The role of the public sector and carbon pricing revenues</w:t>
        </w:r>
        <w:r w:rsidR="005A4A97">
          <w:rPr>
            <w:noProof/>
            <w:webHidden/>
          </w:rPr>
          <w:tab/>
        </w:r>
        <w:r w:rsidR="005A4A97">
          <w:rPr>
            <w:noProof/>
            <w:webHidden/>
          </w:rPr>
          <w:fldChar w:fldCharType="begin"/>
        </w:r>
        <w:r w:rsidR="005A4A97">
          <w:rPr>
            <w:noProof/>
            <w:webHidden/>
          </w:rPr>
          <w:instrText xml:space="preserve"> PAGEREF _Toc157692092 \h </w:instrText>
        </w:r>
        <w:r w:rsidR="005A4A97">
          <w:rPr>
            <w:noProof/>
            <w:webHidden/>
          </w:rPr>
        </w:r>
        <w:r w:rsidR="005A4A97">
          <w:rPr>
            <w:noProof/>
            <w:webHidden/>
          </w:rPr>
          <w:fldChar w:fldCharType="separate"/>
        </w:r>
        <w:r w:rsidR="005A4A97">
          <w:rPr>
            <w:noProof/>
            <w:webHidden/>
          </w:rPr>
          <w:t>182</w:t>
        </w:r>
        <w:r w:rsidR="005A4A97">
          <w:rPr>
            <w:noProof/>
            <w:webHidden/>
          </w:rPr>
          <w:fldChar w:fldCharType="end"/>
        </w:r>
      </w:hyperlink>
    </w:p>
    <w:p w14:paraId="08638C78" w14:textId="2199E4E1" w:rsidR="005A4A97" w:rsidRDefault="009245CF">
      <w:pPr>
        <w:pStyle w:val="TOC2"/>
        <w:tabs>
          <w:tab w:val="left" w:pos="960"/>
          <w:tab w:val="right" w:leader="dot" w:pos="8608"/>
        </w:tabs>
        <w:rPr>
          <w:rFonts w:eastAsiaTheme="minorEastAsia" w:cstheme="minorBidi"/>
          <w:smallCaps w:val="0"/>
          <w:noProof/>
          <w:kern w:val="2"/>
          <w:sz w:val="22"/>
          <w:szCs w:val="22"/>
          <w:lang w:val="en-IE"/>
          <w14:ligatures w14:val="standardContextual"/>
        </w:rPr>
      </w:pPr>
      <w:hyperlink w:anchor="_Toc157692093" w:history="1">
        <w:r w:rsidR="005A4A97" w:rsidRPr="004459BD">
          <w:rPr>
            <w:rStyle w:val="Hyperlink"/>
            <w:noProof/>
          </w:rPr>
          <w:t>2.3.</w:t>
        </w:r>
        <w:r w:rsidR="005A4A97">
          <w:rPr>
            <w:rFonts w:eastAsiaTheme="minorEastAsia" w:cstheme="minorBidi"/>
            <w:smallCaps w:val="0"/>
            <w:noProof/>
            <w:kern w:val="2"/>
            <w:sz w:val="22"/>
            <w:szCs w:val="22"/>
            <w:lang w:val="en-IE"/>
            <w14:ligatures w14:val="standardContextual"/>
          </w:rPr>
          <w:tab/>
        </w:r>
        <w:r w:rsidR="005A4A97" w:rsidRPr="004459BD">
          <w:rPr>
            <w:rStyle w:val="Hyperlink"/>
            <w:noProof/>
          </w:rPr>
          <w:t>Competitiveness</w:t>
        </w:r>
        <w:r w:rsidR="005A4A97">
          <w:rPr>
            <w:noProof/>
            <w:webHidden/>
          </w:rPr>
          <w:tab/>
        </w:r>
        <w:r w:rsidR="005A4A97">
          <w:rPr>
            <w:noProof/>
            <w:webHidden/>
          </w:rPr>
          <w:fldChar w:fldCharType="begin"/>
        </w:r>
        <w:r w:rsidR="005A4A97">
          <w:rPr>
            <w:noProof/>
            <w:webHidden/>
          </w:rPr>
          <w:instrText xml:space="preserve"> PAGEREF _Toc157692093 \h </w:instrText>
        </w:r>
        <w:r w:rsidR="005A4A97">
          <w:rPr>
            <w:noProof/>
            <w:webHidden/>
          </w:rPr>
        </w:r>
        <w:r w:rsidR="005A4A97">
          <w:rPr>
            <w:noProof/>
            <w:webHidden/>
          </w:rPr>
          <w:fldChar w:fldCharType="separate"/>
        </w:r>
        <w:r w:rsidR="005A4A97">
          <w:rPr>
            <w:noProof/>
            <w:webHidden/>
          </w:rPr>
          <w:t>184</w:t>
        </w:r>
        <w:r w:rsidR="005A4A97">
          <w:rPr>
            <w:noProof/>
            <w:webHidden/>
          </w:rPr>
          <w:fldChar w:fldCharType="end"/>
        </w:r>
      </w:hyperlink>
    </w:p>
    <w:p w14:paraId="6E109D46" w14:textId="49428B29"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94" w:history="1">
        <w:r w:rsidR="005A4A97" w:rsidRPr="004459BD">
          <w:rPr>
            <w:rStyle w:val="Hyperlink"/>
            <w:noProof/>
          </w:rPr>
          <w:t>2.3.1.</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Total energy system costs</w:t>
        </w:r>
        <w:r w:rsidR="005A4A97">
          <w:rPr>
            <w:noProof/>
            <w:webHidden/>
          </w:rPr>
          <w:tab/>
        </w:r>
        <w:r w:rsidR="005A4A97">
          <w:rPr>
            <w:noProof/>
            <w:webHidden/>
          </w:rPr>
          <w:fldChar w:fldCharType="begin"/>
        </w:r>
        <w:r w:rsidR="005A4A97">
          <w:rPr>
            <w:noProof/>
            <w:webHidden/>
          </w:rPr>
          <w:instrText xml:space="preserve"> PAGEREF _Toc157692094 \h </w:instrText>
        </w:r>
        <w:r w:rsidR="005A4A97">
          <w:rPr>
            <w:noProof/>
            <w:webHidden/>
          </w:rPr>
        </w:r>
        <w:r w:rsidR="005A4A97">
          <w:rPr>
            <w:noProof/>
            <w:webHidden/>
          </w:rPr>
          <w:fldChar w:fldCharType="separate"/>
        </w:r>
        <w:r w:rsidR="005A4A97">
          <w:rPr>
            <w:noProof/>
            <w:webHidden/>
          </w:rPr>
          <w:t>184</w:t>
        </w:r>
        <w:r w:rsidR="005A4A97">
          <w:rPr>
            <w:noProof/>
            <w:webHidden/>
          </w:rPr>
          <w:fldChar w:fldCharType="end"/>
        </w:r>
      </w:hyperlink>
    </w:p>
    <w:p w14:paraId="0E6E83CA" w14:textId="3A4593CC"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95" w:history="1">
        <w:r w:rsidR="005A4A97" w:rsidRPr="004459BD">
          <w:rPr>
            <w:rStyle w:val="Hyperlink"/>
            <w:noProof/>
          </w:rPr>
          <w:t>2.3.2.</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Energy system costs and prices for industry</w:t>
        </w:r>
        <w:r w:rsidR="005A4A97">
          <w:rPr>
            <w:noProof/>
            <w:webHidden/>
          </w:rPr>
          <w:tab/>
        </w:r>
        <w:r w:rsidR="005A4A97">
          <w:rPr>
            <w:noProof/>
            <w:webHidden/>
          </w:rPr>
          <w:fldChar w:fldCharType="begin"/>
        </w:r>
        <w:r w:rsidR="005A4A97">
          <w:rPr>
            <w:noProof/>
            <w:webHidden/>
          </w:rPr>
          <w:instrText xml:space="preserve"> PAGEREF _Toc157692095 \h </w:instrText>
        </w:r>
        <w:r w:rsidR="005A4A97">
          <w:rPr>
            <w:noProof/>
            <w:webHidden/>
          </w:rPr>
        </w:r>
        <w:r w:rsidR="005A4A97">
          <w:rPr>
            <w:noProof/>
            <w:webHidden/>
          </w:rPr>
          <w:fldChar w:fldCharType="separate"/>
        </w:r>
        <w:r w:rsidR="005A4A97">
          <w:rPr>
            <w:noProof/>
            <w:webHidden/>
          </w:rPr>
          <w:t>186</w:t>
        </w:r>
        <w:r w:rsidR="005A4A97">
          <w:rPr>
            <w:noProof/>
            <w:webHidden/>
          </w:rPr>
          <w:fldChar w:fldCharType="end"/>
        </w:r>
      </w:hyperlink>
    </w:p>
    <w:p w14:paraId="40C28B83" w14:textId="6501032F"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96" w:history="1">
        <w:r w:rsidR="005A4A97" w:rsidRPr="004459BD">
          <w:rPr>
            <w:rStyle w:val="Hyperlink"/>
            <w:noProof/>
          </w:rPr>
          <w:t>2.3.3.</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Energy system costs and prices for services</w:t>
        </w:r>
        <w:r w:rsidR="005A4A97">
          <w:rPr>
            <w:noProof/>
            <w:webHidden/>
          </w:rPr>
          <w:tab/>
        </w:r>
        <w:r w:rsidR="005A4A97">
          <w:rPr>
            <w:noProof/>
            <w:webHidden/>
          </w:rPr>
          <w:fldChar w:fldCharType="begin"/>
        </w:r>
        <w:r w:rsidR="005A4A97">
          <w:rPr>
            <w:noProof/>
            <w:webHidden/>
          </w:rPr>
          <w:instrText xml:space="preserve"> PAGEREF _Toc157692096 \h </w:instrText>
        </w:r>
        <w:r w:rsidR="005A4A97">
          <w:rPr>
            <w:noProof/>
            <w:webHidden/>
          </w:rPr>
        </w:r>
        <w:r w:rsidR="005A4A97">
          <w:rPr>
            <w:noProof/>
            <w:webHidden/>
          </w:rPr>
          <w:fldChar w:fldCharType="separate"/>
        </w:r>
        <w:r w:rsidR="005A4A97">
          <w:rPr>
            <w:noProof/>
            <w:webHidden/>
          </w:rPr>
          <w:t>189</w:t>
        </w:r>
        <w:r w:rsidR="005A4A97">
          <w:rPr>
            <w:noProof/>
            <w:webHidden/>
          </w:rPr>
          <w:fldChar w:fldCharType="end"/>
        </w:r>
      </w:hyperlink>
    </w:p>
    <w:p w14:paraId="026F0419" w14:textId="432C2525"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97" w:history="1">
        <w:r w:rsidR="005A4A97" w:rsidRPr="004459BD">
          <w:rPr>
            <w:rStyle w:val="Hyperlink"/>
            <w:noProof/>
          </w:rPr>
          <w:t>2.3.4.</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Energy system costs and prices for transport</w:t>
        </w:r>
        <w:r w:rsidR="005A4A97">
          <w:rPr>
            <w:noProof/>
            <w:webHidden/>
          </w:rPr>
          <w:tab/>
        </w:r>
        <w:r w:rsidR="005A4A97">
          <w:rPr>
            <w:noProof/>
            <w:webHidden/>
          </w:rPr>
          <w:fldChar w:fldCharType="begin"/>
        </w:r>
        <w:r w:rsidR="005A4A97">
          <w:rPr>
            <w:noProof/>
            <w:webHidden/>
          </w:rPr>
          <w:instrText xml:space="preserve"> PAGEREF _Toc157692097 \h </w:instrText>
        </w:r>
        <w:r w:rsidR="005A4A97">
          <w:rPr>
            <w:noProof/>
            <w:webHidden/>
          </w:rPr>
        </w:r>
        <w:r w:rsidR="005A4A97">
          <w:rPr>
            <w:noProof/>
            <w:webHidden/>
          </w:rPr>
          <w:fldChar w:fldCharType="separate"/>
        </w:r>
        <w:r w:rsidR="005A4A97">
          <w:rPr>
            <w:noProof/>
            <w:webHidden/>
          </w:rPr>
          <w:t>190</w:t>
        </w:r>
        <w:r w:rsidR="005A4A97">
          <w:rPr>
            <w:noProof/>
            <w:webHidden/>
          </w:rPr>
          <w:fldChar w:fldCharType="end"/>
        </w:r>
      </w:hyperlink>
    </w:p>
    <w:p w14:paraId="77FCEEF2" w14:textId="6E44B805"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98" w:history="1">
        <w:r w:rsidR="005A4A97" w:rsidRPr="004459BD">
          <w:rPr>
            <w:rStyle w:val="Hyperlink"/>
            <w:noProof/>
          </w:rPr>
          <w:t>2.3.5.</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Costs related to mitigation of GHG emissions in the LULUCF sector and non-CO2 GHG emissions</w:t>
        </w:r>
        <w:r w:rsidR="005A4A97">
          <w:rPr>
            <w:noProof/>
            <w:webHidden/>
          </w:rPr>
          <w:tab/>
        </w:r>
        <w:r w:rsidR="005A4A97">
          <w:rPr>
            <w:noProof/>
            <w:webHidden/>
          </w:rPr>
          <w:fldChar w:fldCharType="begin"/>
        </w:r>
        <w:r w:rsidR="005A4A97">
          <w:rPr>
            <w:noProof/>
            <w:webHidden/>
          </w:rPr>
          <w:instrText xml:space="preserve"> PAGEREF _Toc157692098 \h </w:instrText>
        </w:r>
        <w:r w:rsidR="005A4A97">
          <w:rPr>
            <w:noProof/>
            <w:webHidden/>
          </w:rPr>
        </w:r>
        <w:r w:rsidR="005A4A97">
          <w:rPr>
            <w:noProof/>
            <w:webHidden/>
          </w:rPr>
          <w:fldChar w:fldCharType="separate"/>
        </w:r>
        <w:r w:rsidR="005A4A97">
          <w:rPr>
            <w:noProof/>
            <w:webHidden/>
          </w:rPr>
          <w:t>190</w:t>
        </w:r>
        <w:r w:rsidR="005A4A97">
          <w:rPr>
            <w:noProof/>
            <w:webHidden/>
          </w:rPr>
          <w:fldChar w:fldCharType="end"/>
        </w:r>
      </w:hyperlink>
    </w:p>
    <w:p w14:paraId="3D67BF24" w14:textId="2C9AA3A8"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099" w:history="1">
        <w:r w:rsidR="005A4A97" w:rsidRPr="004459BD">
          <w:rPr>
            <w:rStyle w:val="Hyperlink"/>
            <w:noProof/>
          </w:rPr>
          <w:t>2.3.6.</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Sectoral output and international trade</w:t>
        </w:r>
        <w:r w:rsidR="005A4A97">
          <w:rPr>
            <w:noProof/>
            <w:webHidden/>
          </w:rPr>
          <w:tab/>
        </w:r>
        <w:r w:rsidR="005A4A97">
          <w:rPr>
            <w:noProof/>
            <w:webHidden/>
          </w:rPr>
          <w:fldChar w:fldCharType="begin"/>
        </w:r>
        <w:r w:rsidR="005A4A97">
          <w:rPr>
            <w:noProof/>
            <w:webHidden/>
          </w:rPr>
          <w:instrText xml:space="preserve"> PAGEREF _Toc157692099 \h </w:instrText>
        </w:r>
        <w:r w:rsidR="005A4A97">
          <w:rPr>
            <w:noProof/>
            <w:webHidden/>
          </w:rPr>
        </w:r>
        <w:r w:rsidR="005A4A97">
          <w:rPr>
            <w:noProof/>
            <w:webHidden/>
          </w:rPr>
          <w:fldChar w:fldCharType="separate"/>
        </w:r>
        <w:r w:rsidR="005A4A97">
          <w:rPr>
            <w:noProof/>
            <w:webHidden/>
          </w:rPr>
          <w:t>192</w:t>
        </w:r>
        <w:r w:rsidR="005A4A97">
          <w:rPr>
            <w:noProof/>
            <w:webHidden/>
          </w:rPr>
          <w:fldChar w:fldCharType="end"/>
        </w:r>
      </w:hyperlink>
    </w:p>
    <w:p w14:paraId="501C90FC" w14:textId="69F2D8ED" w:rsidR="005A4A97" w:rsidRDefault="009245CF">
      <w:pPr>
        <w:pStyle w:val="TOC2"/>
        <w:tabs>
          <w:tab w:val="left" w:pos="960"/>
          <w:tab w:val="right" w:leader="dot" w:pos="8608"/>
        </w:tabs>
        <w:rPr>
          <w:rFonts w:eastAsiaTheme="minorEastAsia" w:cstheme="minorBidi"/>
          <w:smallCaps w:val="0"/>
          <w:noProof/>
          <w:kern w:val="2"/>
          <w:sz w:val="22"/>
          <w:szCs w:val="22"/>
          <w:lang w:val="en-IE"/>
          <w14:ligatures w14:val="standardContextual"/>
        </w:rPr>
      </w:pPr>
      <w:hyperlink w:anchor="_Toc157692100" w:history="1">
        <w:r w:rsidR="005A4A97" w:rsidRPr="004459BD">
          <w:rPr>
            <w:rStyle w:val="Hyperlink"/>
            <w:noProof/>
          </w:rPr>
          <w:t>2.4.</w:t>
        </w:r>
        <w:r w:rsidR="005A4A97">
          <w:rPr>
            <w:rFonts w:eastAsiaTheme="minorEastAsia" w:cstheme="minorBidi"/>
            <w:smallCaps w:val="0"/>
            <w:noProof/>
            <w:kern w:val="2"/>
            <w:sz w:val="22"/>
            <w:szCs w:val="22"/>
            <w:lang w:val="en-IE"/>
            <w14:ligatures w14:val="standardContextual"/>
          </w:rPr>
          <w:tab/>
        </w:r>
        <w:r w:rsidR="005A4A97" w:rsidRPr="004459BD">
          <w:rPr>
            <w:rStyle w:val="Hyperlink"/>
            <w:noProof/>
          </w:rPr>
          <w:t>Social impacts and just transition</w:t>
        </w:r>
        <w:r w:rsidR="005A4A97">
          <w:rPr>
            <w:noProof/>
            <w:webHidden/>
          </w:rPr>
          <w:tab/>
        </w:r>
        <w:r w:rsidR="005A4A97">
          <w:rPr>
            <w:noProof/>
            <w:webHidden/>
          </w:rPr>
          <w:fldChar w:fldCharType="begin"/>
        </w:r>
        <w:r w:rsidR="005A4A97">
          <w:rPr>
            <w:noProof/>
            <w:webHidden/>
          </w:rPr>
          <w:instrText xml:space="preserve"> PAGEREF _Toc157692100 \h </w:instrText>
        </w:r>
        <w:r w:rsidR="005A4A97">
          <w:rPr>
            <w:noProof/>
            <w:webHidden/>
          </w:rPr>
        </w:r>
        <w:r w:rsidR="005A4A97">
          <w:rPr>
            <w:noProof/>
            <w:webHidden/>
          </w:rPr>
          <w:fldChar w:fldCharType="separate"/>
        </w:r>
        <w:r w:rsidR="005A4A97">
          <w:rPr>
            <w:noProof/>
            <w:webHidden/>
          </w:rPr>
          <w:t>199</w:t>
        </w:r>
        <w:r w:rsidR="005A4A97">
          <w:rPr>
            <w:noProof/>
            <w:webHidden/>
          </w:rPr>
          <w:fldChar w:fldCharType="end"/>
        </w:r>
      </w:hyperlink>
    </w:p>
    <w:p w14:paraId="72F2E345" w14:textId="34F69220"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101" w:history="1">
        <w:r w:rsidR="005A4A97" w:rsidRPr="004459BD">
          <w:rPr>
            <w:rStyle w:val="Hyperlink"/>
            <w:noProof/>
          </w:rPr>
          <w:t>2.4.1.</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Fuel expenses, energy and transport poverty, distributional impacts</w:t>
        </w:r>
        <w:r w:rsidR="005A4A97">
          <w:rPr>
            <w:noProof/>
            <w:webHidden/>
          </w:rPr>
          <w:tab/>
        </w:r>
        <w:r w:rsidR="005A4A97">
          <w:rPr>
            <w:noProof/>
            <w:webHidden/>
          </w:rPr>
          <w:fldChar w:fldCharType="begin"/>
        </w:r>
        <w:r w:rsidR="005A4A97">
          <w:rPr>
            <w:noProof/>
            <w:webHidden/>
          </w:rPr>
          <w:instrText xml:space="preserve"> PAGEREF _Toc157692101 \h </w:instrText>
        </w:r>
        <w:r w:rsidR="005A4A97">
          <w:rPr>
            <w:noProof/>
            <w:webHidden/>
          </w:rPr>
        </w:r>
        <w:r w:rsidR="005A4A97">
          <w:rPr>
            <w:noProof/>
            <w:webHidden/>
          </w:rPr>
          <w:fldChar w:fldCharType="separate"/>
        </w:r>
        <w:r w:rsidR="005A4A97">
          <w:rPr>
            <w:noProof/>
            <w:webHidden/>
          </w:rPr>
          <w:t>199</w:t>
        </w:r>
        <w:r w:rsidR="005A4A97">
          <w:rPr>
            <w:noProof/>
            <w:webHidden/>
          </w:rPr>
          <w:fldChar w:fldCharType="end"/>
        </w:r>
      </w:hyperlink>
    </w:p>
    <w:p w14:paraId="6B05B218" w14:textId="06D03A67"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102" w:history="1">
        <w:r w:rsidR="005A4A97" w:rsidRPr="004459BD">
          <w:rPr>
            <w:rStyle w:val="Hyperlink"/>
            <w:noProof/>
          </w:rPr>
          <w:t>2.4.2.</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Electricity prices</w:t>
        </w:r>
        <w:r w:rsidR="005A4A97">
          <w:rPr>
            <w:noProof/>
            <w:webHidden/>
          </w:rPr>
          <w:tab/>
        </w:r>
        <w:r w:rsidR="005A4A97">
          <w:rPr>
            <w:noProof/>
            <w:webHidden/>
          </w:rPr>
          <w:fldChar w:fldCharType="begin"/>
        </w:r>
        <w:r w:rsidR="005A4A97">
          <w:rPr>
            <w:noProof/>
            <w:webHidden/>
          </w:rPr>
          <w:instrText xml:space="preserve"> PAGEREF _Toc157692102 \h </w:instrText>
        </w:r>
        <w:r w:rsidR="005A4A97">
          <w:rPr>
            <w:noProof/>
            <w:webHidden/>
          </w:rPr>
        </w:r>
        <w:r w:rsidR="005A4A97">
          <w:rPr>
            <w:noProof/>
            <w:webHidden/>
          </w:rPr>
          <w:fldChar w:fldCharType="separate"/>
        </w:r>
        <w:r w:rsidR="005A4A97">
          <w:rPr>
            <w:noProof/>
            <w:webHidden/>
          </w:rPr>
          <w:t>204</w:t>
        </w:r>
        <w:r w:rsidR="005A4A97">
          <w:rPr>
            <w:noProof/>
            <w:webHidden/>
          </w:rPr>
          <w:fldChar w:fldCharType="end"/>
        </w:r>
      </w:hyperlink>
    </w:p>
    <w:p w14:paraId="548E2F70" w14:textId="7824760B"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103" w:history="1">
        <w:r w:rsidR="005A4A97" w:rsidRPr="004459BD">
          <w:rPr>
            <w:rStyle w:val="Hyperlink"/>
            <w:noProof/>
          </w:rPr>
          <w:t>2.4.3.</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Sectoral employment, skills and occupation groups</w:t>
        </w:r>
        <w:r w:rsidR="005A4A97">
          <w:rPr>
            <w:noProof/>
            <w:webHidden/>
          </w:rPr>
          <w:tab/>
        </w:r>
        <w:r w:rsidR="005A4A97">
          <w:rPr>
            <w:noProof/>
            <w:webHidden/>
          </w:rPr>
          <w:fldChar w:fldCharType="begin"/>
        </w:r>
        <w:r w:rsidR="005A4A97">
          <w:rPr>
            <w:noProof/>
            <w:webHidden/>
          </w:rPr>
          <w:instrText xml:space="preserve"> PAGEREF _Toc157692103 \h </w:instrText>
        </w:r>
        <w:r w:rsidR="005A4A97">
          <w:rPr>
            <w:noProof/>
            <w:webHidden/>
          </w:rPr>
        </w:r>
        <w:r w:rsidR="005A4A97">
          <w:rPr>
            <w:noProof/>
            <w:webHidden/>
          </w:rPr>
          <w:fldChar w:fldCharType="separate"/>
        </w:r>
        <w:r w:rsidR="005A4A97">
          <w:rPr>
            <w:noProof/>
            <w:webHidden/>
          </w:rPr>
          <w:t>204</w:t>
        </w:r>
        <w:r w:rsidR="005A4A97">
          <w:rPr>
            <w:noProof/>
            <w:webHidden/>
          </w:rPr>
          <w:fldChar w:fldCharType="end"/>
        </w:r>
      </w:hyperlink>
    </w:p>
    <w:p w14:paraId="6DBECB1A" w14:textId="795635EF"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104" w:history="1">
        <w:r w:rsidR="005A4A97" w:rsidRPr="004459BD">
          <w:rPr>
            <w:rStyle w:val="Hyperlink"/>
            <w:noProof/>
          </w:rPr>
          <w:t>2.4.4.</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Changes in relative prices and distributional impacts</w:t>
        </w:r>
        <w:r w:rsidR="005A4A97">
          <w:rPr>
            <w:noProof/>
            <w:webHidden/>
          </w:rPr>
          <w:tab/>
        </w:r>
        <w:r w:rsidR="005A4A97">
          <w:rPr>
            <w:noProof/>
            <w:webHidden/>
          </w:rPr>
          <w:fldChar w:fldCharType="begin"/>
        </w:r>
        <w:r w:rsidR="005A4A97">
          <w:rPr>
            <w:noProof/>
            <w:webHidden/>
          </w:rPr>
          <w:instrText xml:space="preserve"> PAGEREF _Toc157692104 \h </w:instrText>
        </w:r>
        <w:r w:rsidR="005A4A97">
          <w:rPr>
            <w:noProof/>
            <w:webHidden/>
          </w:rPr>
        </w:r>
        <w:r w:rsidR="005A4A97">
          <w:rPr>
            <w:noProof/>
            <w:webHidden/>
          </w:rPr>
          <w:fldChar w:fldCharType="separate"/>
        </w:r>
        <w:r w:rsidR="005A4A97">
          <w:rPr>
            <w:noProof/>
            <w:webHidden/>
          </w:rPr>
          <w:t>214</w:t>
        </w:r>
        <w:r w:rsidR="005A4A97">
          <w:rPr>
            <w:noProof/>
            <w:webHidden/>
          </w:rPr>
          <w:fldChar w:fldCharType="end"/>
        </w:r>
      </w:hyperlink>
    </w:p>
    <w:p w14:paraId="4B82A878" w14:textId="53672110"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105" w:history="1">
        <w:r w:rsidR="005A4A97" w:rsidRPr="004459BD">
          <w:rPr>
            <w:rStyle w:val="Hyperlink"/>
            <w:noProof/>
          </w:rPr>
          <w:t>2.4.5.</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The equity dimension</w:t>
        </w:r>
        <w:r w:rsidR="005A4A97">
          <w:rPr>
            <w:noProof/>
            <w:webHidden/>
          </w:rPr>
          <w:tab/>
        </w:r>
        <w:r w:rsidR="005A4A97">
          <w:rPr>
            <w:noProof/>
            <w:webHidden/>
          </w:rPr>
          <w:fldChar w:fldCharType="begin"/>
        </w:r>
        <w:r w:rsidR="005A4A97">
          <w:rPr>
            <w:noProof/>
            <w:webHidden/>
          </w:rPr>
          <w:instrText xml:space="preserve"> PAGEREF _Toc157692105 \h </w:instrText>
        </w:r>
        <w:r w:rsidR="005A4A97">
          <w:rPr>
            <w:noProof/>
            <w:webHidden/>
          </w:rPr>
        </w:r>
        <w:r w:rsidR="005A4A97">
          <w:rPr>
            <w:noProof/>
            <w:webHidden/>
          </w:rPr>
          <w:fldChar w:fldCharType="separate"/>
        </w:r>
        <w:r w:rsidR="005A4A97">
          <w:rPr>
            <w:noProof/>
            <w:webHidden/>
          </w:rPr>
          <w:t>217</w:t>
        </w:r>
        <w:r w:rsidR="005A4A97">
          <w:rPr>
            <w:noProof/>
            <w:webHidden/>
          </w:rPr>
          <w:fldChar w:fldCharType="end"/>
        </w:r>
      </w:hyperlink>
    </w:p>
    <w:p w14:paraId="6E85DF87" w14:textId="2DD4C28E" w:rsidR="005A4A97" w:rsidRDefault="009245CF">
      <w:pPr>
        <w:pStyle w:val="TOC2"/>
        <w:tabs>
          <w:tab w:val="left" w:pos="960"/>
          <w:tab w:val="right" w:leader="dot" w:pos="8608"/>
        </w:tabs>
        <w:rPr>
          <w:rFonts w:eastAsiaTheme="minorEastAsia" w:cstheme="minorBidi"/>
          <w:smallCaps w:val="0"/>
          <w:noProof/>
          <w:kern w:val="2"/>
          <w:sz w:val="22"/>
          <w:szCs w:val="22"/>
          <w:lang w:val="en-IE"/>
          <w14:ligatures w14:val="standardContextual"/>
        </w:rPr>
      </w:pPr>
      <w:hyperlink w:anchor="_Toc157692106" w:history="1">
        <w:r w:rsidR="005A4A97" w:rsidRPr="004459BD">
          <w:rPr>
            <w:rStyle w:val="Hyperlink"/>
            <w:noProof/>
          </w:rPr>
          <w:t>2.5.</w:t>
        </w:r>
        <w:r w:rsidR="005A4A97">
          <w:rPr>
            <w:rFonts w:eastAsiaTheme="minorEastAsia" w:cstheme="minorBidi"/>
            <w:smallCaps w:val="0"/>
            <w:noProof/>
            <w:kern w:val="2"/>
            <w:sz w:val="22"/>
            <w:szCs w:val="22"/>
            <w:lang w:val="en-IE"/>
            <w14:ligatures w14:val="standardContextual"/>
          </w:rPr>
          <w:tab/>
        </w:r>
        <w:r w:rsidR="005A4A97" w:rsidRPr="004459BD">
          <w:rPr>
            <w:rStyle w:val="Hyperlink"/>
            <w:noProof/>
          </w:rPr>
          <w:t>Regional impacts</w:t>
        </w:r>
        <w:r w:rsidR="005A4A97">
          <w:rPr>
            <w:noProof/>
            <w:webHidden/>
          </w:rPr>
          <w:tab/>
        </w:r>
        <w:r w:rsidR="005A4A97">
          <w:rPr>
            <w:noProof/>
            <w:webHidden/>
          </w:rPr>
          <w:fldChar w:fldCharType="begin"/>
        </w:r>
        <w:r w:rsidR="005A4A97">
          <w:rPr>
            <w:noProof/>
            <w:webHidden/>
          </w:rPr>
          <w:instrText xml:space="preserve"> PAGEREF _Toc157692106 \h </w:instrText>
        </w:r>
        <w:r w:rsidR="005A4A97">
          <w:rPr>
            <w:noProof/>
            <w:webHidden/>
          </w:rPr>
        </w:r>
        <w:r w:rsidR="005A4A97">
          <w:rPr>
            <w:noProof/>
            <w:webHidden/>
          </w:rPr>
          <w:fldChar w:fldCharType="separate"/>
        </w:r>
        <w:r w:rsidR="005A4A97">
          <w:rPr>
            <w:noProof/>
            <w:webHidden/>
          </w:rPr>
          <w:t>217</w:t>
        </w:r>
        <w:r w:rsidR="005A4A97">
          <w:rPr>
            <w:noProof/>
            <w:webHidden/>
          </w:rPr>
          <w:fldChar w:fldCharType="end"/>
        </w:r>
      </w:hyperlink>
    </w:p>
    <w:p w14:paraId="20DD3961" w14:textId="72711323"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107" w:history="1">
        <w:r w:rsidR="005A4A97" w:rsidRPr="004459BD">
          <w:rPr>
            <w:rStyle w:val="Hyperlink"/>
            <w:noProof/>
          </w:rPr>
          <w:t>2.5.1.</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Regional exposure to climate change</w:t>
        </w:r>
        <w:r w:rsidR="005A4A97">
          <w:rPr>
            <w:noProof/>
            <w:webHidden/>
          </w:rPr>
          <w:tab/>
        </w:r>
        <w:r w:rsidR="005A4A97">
          <w:rPr>
            <w:noProof/>
            <w:webHidden/>
          </w:rPr>
          <w:fldChar w:fldCharType="begin"/>
        </w:r>
        <w:r w:rsidR="005A4A97">
          <w:rPr>
            <w:noProof/>
            <w:webHidden/>
          </w:rPr>
          <w:instrText xml:space="preserve"> PAGEREF _Toc157692107 \h </w:instrText>
        </w:r>
        <w:r w:rsidR="005A4A97">
          <w:rPr>
            <w:noProof/>
            <w:webHidden/>
          </w:rPr>
        </w:r>
        <w:r w:rsidR="005A4A97">
          <w:rPr>
            <w:noProof/>
            <w:webHidden/>
          </w:rPr>
          <w:fldChar w:fldCharType="separate"/>
        </w:r>
        <w:r w:rsidR="005A4A97">
          <w:rPr>
            <w:noProof/>
            <w:webHidden/>
          </w:rPr>
          <w:t>217</w:t>
        </w:r>
        <w:r w:rsidR="005A4A97">
          <w:rPr>
            <w:noProof/>
            <w:webHidden/>
          </w:rPr>
          <w:fldChar w:fldCharType="end"/>
        </w:r>
      </w:hyperlink>
    </w:p>
    <w:p w14:paraId="61EEF11D" w14:textId="44A793D8"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108" w:history="1">
        <w:r w:rsidR="005A4A97" w:rsidRPr="004459BD">
          <w:rPr>
            <w:rStyle w:val="Hyperlink"/>
            <w:noProof/>
          </w:rPr>
          <w:t>2.5.2.</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Regional exposure to the transition</w:t>
        </w:r>
        <w:r w:rsidR="005A4A97">
          <w:rPr>
            <w:noProof/>
            <w:webHidden/>
          </w:rPr>
          <w:tab/>
        </w:r>
        <w:r w:rsidR="005A4A97">
          <w:rPr>
            <w:noProof/>
            <w:webHidden/>
          </w:rPr>
          <w:fldChar w:fldCharType="begin"/>
        </w:r>
        <w:r w:rsidR="005A4A97">
          <w:rPr>
            <w:noProof/>
            <w:webHidden/>
          </w:rPr>
          <w:instrText xml:space="preserve"> PAGEREF _Toc157692108 \h </w:instrText>
        </w:r>
        <w:r w:rsidR="005A4A97">
          <w:rPr>
            <w:noProof/>
            <w:webHidden/>
          </w:rPr>
        </w:r>
        <w:r w:rsidR="005A4A97">
          <w:rPr>
            <w:noProof/>
            <w:webHidden/>
          </w:rPr>
          <w:fldChar w:fldCharType="separate"/>
        </w:r>
        <w:r w:rsidR="005A4A97">
          <w:rPr>
            <w:noProof/>
            <w:webHidden/>
          </w:rPr>
          <w:t>217</w:t>
        </w:r>
        <w:r w:rsidR="005A4A97">
          <w:rPr>
            <w:noProof/>
            <w:webHidden/>
          </w:rPr>
          <w:fldChar w:fldCharType="end"/>
        </w:r>
      </w:hyperlink>
    </w:p>
    <w:p w14:paraId="26A4CC30" w14:textId="1FE1ABB5" w:rsidR="005A4A97" w:rsidRDefault="009245CF">
      <w:pPr>
        <w:pStyle w:val="TOC2"/>
        <w:tabs>
          <w:tab w:val="left" w:pos="960"/>
          <w:tab w:val="right" w:leader="dot" w:pos="8608"/>
        </w:tabs>
        <w:rPr>
          <w:rFonts w:eastAsiaTheme="minorEastAsia" w:cstheme="minorBidi"/>
          <w:smallCaps w:val="0"/>
          <w:noProof/>
          <w:kern w:val="2"/>
          <w:sz w:val="22"/>
          <w:szCs w:val="22"/>
          <w:lang w:val="en-IE"/>
          <w14:ligatures w14:val="standardContextual"/>
        </w:rPr>
      </w:pPr>
      <w:hyperlink w:anchor="_Toc157692109" w:history="1">
        <w:r w:rsidR="005A4A97" w:rsidRPr="004459BD">
          <w:rPr>
            <w:rStyle w:val="Hyperlink"/>
            <w:noProof/>
          </w:rPr>
          <w:t>2.6.</w:t>
        </w:r>
        <w:r w:rsidR="005A4A97">
          <w:rPr>
            <w:rFonts w:eastAsiaTheme="minorEastAsia" w:cstheme="minorBidi"/>
            <w:smallCaps w:val="0"/>
            <w:noProof/>
            <w:kern w:val="2"/>
            <w:sz w:val="22"/>
            <w:szCs w:val="22"/>
            <w:lang w:val="en-IE"/>
            <w14:ligatures w14:val="standardContextual"/>
          </w:rPr>
          <w:tab/>
        </w:r>
        <w:r w:rsidR="005A4A97" w:rsidRPr="004459BD">
          <w:rPr>
            <w:rStyle w:val="Hyperlink"/>
            <w:noProof/>
          </w:rPr>
          <w:t>Energy security</w:t>
        </w:r>
        <w:r w:rsidR="005A4A97">
          <w:rPr>
            <w:noProof/>
            <w:webHidden/>
          </w:rPr>
          <w:tab/>
        </w:r>
        <w:r w:rsidR="005A4A97">
          <w:rPr>
            <w:noProof/>
            <w:webHidden/>
          </w:rPr>
          <w:fldChar w:fldCharType="begin"/>
        </w:r>
        <w:r w:rsidR="005A4A97">
          <w:rPr>
            <w:noProof/>
            <w:webHidden/>
          </w:rPr>
          <w:instrText xml:space="preserve"> PAGEREF _Toc157692109 \h </w:instrText>
        </w:r>
        <w:r w:rsidR="005A4A97">
          <w:rPr>
            <w:noProof/>
            <w:webHidden/>
          </w:rPr>
        </w:r>
        <w:r w:rsidR="005A4A97">
          <w:rPr>
            <w:noProof/>
            <w:webHidden/>
          </w:rPr>
          <w:fldChar w:fldCharType="separate"/>
        </w:r>
        <w:r w:rsidR="005A4A97">
          <w:rPr>
            <w:noProof/>
            <w:webHidden/>
          </w:rPr>
          <w:t>230</w:t>
        </w:r>
        <w:r w:rsidR="005A4A97">
          <w:rPr>
            <w:noProof/>
            <w:webHidden/>
          </w:rPr>
          <w:fldChar w:fldCharType="end"/>
        </w:r>
      </w:hyperlink>
    </w:p>
    <w:p w14:paraId="1B3A216F" w14:textId="7787328C"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110" w:history="1">
        <w:r w:rsidR="005A4A97" w:rsidRPr="004459BD">
          <w:rPr>
            <w:rStyle w:val="Hyperlink"/>
            <w:noProof/>
          </w:rPr>
          <w:t>2.6.1.</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Strategic independence and fuel imports – energy security ()</w:t>
        </w:r>
        <w:r w:rsidR="005A4A97">
          <w:rPr>
            <w:noProof/>
            <w:webHidden/>
          </w:rPr>
          <w:tab/>
        </w:r>
        <w:r w:rsidR="005A4A97">
          <w:rPr>
            <w:noProof/>
            <w:webHidden/>
          </w:rPr>
          <w:fldChar w:fldCharType="begin"/>
        </w:r>
        <w:r w:rsidR="005A4A97">
          <w:rPr>
            <w:noProof/>
            <w:webHidden/>
          </w:rPr>
          <w:instrText xml:space="preserve"> PAGEREF _Toc157692110 \h </w:instrText>
        </w:r>
        <w:r w:rsidR="005A4A97">
          <w:rPr>
            <w:noProof/>
            <w:webHidden/>
          </w:rPr>
        </w:r>
        <w:r w:rsidR="005A4A97">
          <w:rPr>
            <w:noProof/>
            <w:webHidden/>
          </w:rPr>
          <w:fldChar w:fldCharType="separate"/>
        </w:r>
        <w:r w:rsidR="005A4A97">
          <w:rPr>
            <w:noProof/>
            <w:webHidden/>
          </w:rPr>
          <w:t>230</w:t>
        </w:r>
        <w:r w:rsidR="005A4A97">
          <w:rPr>
            <w:noProof/>
            <w:webHidden/>
          </w:rPr>
          <w:fldChar w:fldCharType="end"/>
        </w:r>
      </w:hyperlink>
    </w:p>
    <w:p w14:paraId="20216A8E" w14:textId="1B8B08D8" w:rsidR="005A4A97" w:rsidRDefault="009245CF">
      <w:pPr>
        <w:pStyle w:val="TOC3"/>
        <w:tabs>
          <w:tab w:val="left" w:pos="1200"/>
          <w:tab w:val="right" w:leader="dot" w:pos="8608"/>
        </w:tabs>
        <w:rPr>
          <w:rFonts w:eastAsiaTheme="minorEastAsia" w:cstheme="minorBidi"/>
          <w:i w:val="0"/>
          <w:iCs w:val="0"/>
          <w:noProof/>
          <w:kern w:val="2"/>
          <w:sz w:val="22"/>
          <w:szCs w:val="22"/>
          <w:lang w:val="en-IE"/>
          <w14:ligatures w14:val="standardContextual"/>
        </w:rPr>
      </w:pPr>
      <w:hyperlink w:anchor="_Toc157692111" w:history="1">
        <w:r w:rsidR="005A4A97" w:rsidRPr="004459BD">
          <w:rPr>
            <w:rStyle w:val="Hyperlink"/>
            <w:noProof/>
          </w:rPr>
          <w:t>2.6.2.</w:t>
        </w:r>
        <w:r w:rsidR="005A4A97">
          <w:rPr>
            <w:rFonts w:eastAsiaTheme="minorEastAsia" w:cstheme="minorBidi"/>
            <w:i w:val="0"/>
            <w:iCs w:val="0"/>
            <w:noProof/>
            <w:kern w:val="2"/>
            <w:sz w:val="22"/>
            <w:szCs w:val="22"/>
            <w:lang w:val="en-IE"/>
            <w14:ligatures w14:val="standardContextual"/>
          </w:rPr>
          <w:tab/>
        </w:r>
        <w:r w:rsidR="005A4A97" w:rsidRPr="004459BD">
          <w:rPr>
            <w:rStyle w:val="Hyperlink"/>
            <w:noProof/>
          </w:rPr>
          <w:t>Vulnerability to external shocks</w:t>
        </w:r>
        <w:r w:rsidR="005A4A97">
          <w:rPr>
            <w:noProof/>
            <w:webHidden/>
          </w:rPr>
          <w:tab/>
        </w:r>
        <w:r w:rsidR="005A4A97">
          <w:rPr>
            <w:noProof/>
            <w:webHidden/>
          </w:rPr>
          <w:fldChar w:fldCharType="begin"/>
        </w:r>
        <w:r w:rsidR="005A4A97">
          <w:rPr>
            <w:noProof/>
            <w:webHidden/>
          </w:rPr>
          <w:instrText xml:space="preserve"> PAGEREF _Toc157692111 \h </w:instrText>
        </w:r>
        <w:r w:rsidR="005A4A97">
          <w:rPr>
            <w:noProof/>
            <w:webHidden/>
          </w:rPr>
        </w:r>
        <w:r w:rsidR="005A4A97">
          <w:rPr>
            <w:noProof/>
            <w:webHidden/>
          </w:rPr>
          <w:fldChar w:fldCharType="separate"/>
        </w:r>
        <w:r w:rsidR="005A4A97">
          <w:rPr>
            <w:noProof/>
            <w:webHidden/>
          </w:rPr>
          <w:t>232</w:t>
        </w:r>
        <w:r w:rsidR="005A4A97">
          <w:rPr>
            <w:noProof/>
            <w:webHidden/>
          </w:rPr>
          <w:fldChar w:fldCharType="end"/>
        </w:r>
      </w:hyperlink>
    </w:p>
    <w:p w14:paraId="3D018B26" w14:textId="1A342206" w:rsidR="005A4A97" w:rsidRDefault="009245CF">
      <w:pPr>
        <w:pStyle w:val="TOC1"/>
        <w:tabs>
          <w:tab w:val="right" w:leader="dot" w:pos="8608"/>
        </w:tabs>
        <w:rPr>
          <w:rFonts w:eastAsiaTheme="minorEastAsia" w:cstheme="minorBidi"/>
          <w:b w:val="0"/>
          <w:bCs w:val="0"/>
          <w:caps w:val="0"/>
          <w:noProof/>
          <w:kern w:val="2"/>
          <w:sz w:val="22"/>
          <w:szCs w:val="22"/>
          <w:lang w:val="en-IE"/>
          <w14:ligatures w14:val="standardContextual"/>
        </w:rPr>
      </w:pPr>
      <w:hyperlink w:anchor="_Toc157692112" w:history="1">
        <w:r w:rsidR="005A4A97" w:rsidRPr="004459BD">
          <w:rPr>
            <w:rStyle w:val="Hyperlink"/>
            <w:noProof/>
          </w:rPr>
          <w:t>Table of Figures</w:t>
        </w:r>
        <w:r w:rsidR="005A4A97">
          <w:rPr>
            <w:noProof/>
            <w:webHidden/>
          </w:rPr>
          <w:tab/>
        </w:r>
        <w:r w:rsidR="005A4A97">
          <w:rPr>
            <w:noProof/>
            <w:webHidden/>
          </w:rPr>
          <w:fldChar w:fldCharType="begin"/>
        </w:r>
        <w:r w:rsidR="005A4A97">
          <w:rPr>
            <w:noProof/>
            <w:webHidden/>
          </w:rPr>
          <w:instrText xml:space="preserve"> PAGEREF _Toc157692112 \h </w:instrText>
        </w:r>
        <w:r w:rsidR="005A4A97">
          <w:rPr>
            <w:noProof/>
            <w:webHidden/>
          </w:rPr>
        </w:r>
        <w:r w:rsidR="005A4A97">
          <w:rPr>
            <w:noProof/>
            <w:webHidden/>
          </w:rPr>
          <w:fldChar w:fldCharType="separate"/>
        </w:r>
        <w:r w:rsidR="005A4A97">
          <w:rPr>
            <w:noProof/>
            <w:webHidden/>
          </w:rPr>
          <w:t>235</w:t>
        </w:r>
        <w:r w:rsidR="005A4A97">
          <w:rPr>
            <w:noProof/>
            <w:webHidden/>
          </w:rPr>
          <w:fldChar w:fldCharType="end"/>
        </w:r>
      </w:hyperlink>
    </w:p>
    <w:p w14:paraId="7F44082B" w14:textId="441F353F" w:rsidR="005A4A97" w:rsidRDefault="009245CF">
      <w:pPr>
        <w:pStyle w:val="TOC1"/>
        <w:tabs>
          <w:tab w:val="right" w:leader="dot" w:pos="8608"/>
        </w:tabs>
        <w:rPr>
          <w:rFonts w:eastAsiaTheme="minorEastAsia" w:cstheme="minorBidi"/>
          <w:b w:val="0"/>
          <w:bCs w:val="0"/>
          <w:caps w:val="0"/>
          <w:noProof/>
          <w:kern w:val="2"/>
          <w:sz w:val="22"/>
          <w:szCs w:val="22"/>
          <w:lang w:val="en-IE"/>
          <w14:ligatures w14:val="standardContextual"/>
        </w:rPr>
      </w:pPr>
      <w:hyperlink w:anchor="_Toc157692113" w:history="1">
        <w:r w:rsidR="005A4A97" w:rsidRPr="004459BD">
          <w:rPr>
            <w:rStyle w:val="Hyperlink"/>
            <w:noProof/>
          </w:rPr>
          <w:t>Table of Tables</w:t>
        </w:r>
        <w:r w:rsidR="005A4A97">
          <w:rPr>
            <w:noProof/>
            <w:webHidden/>
          </w:rPr>
          <w:tab/>
        </w:r>
        <w:r w:rsidR="005A4A97">
          <w:rPr>
            <w:noProof/>
            <w:webHidden/>
          </w:rPr>
          <w:fldChar w:fldCharType="begin"/>
        </w:r>
        <w:r w:rsidR="005A4A97">
          <w:rPr>
            <w:noProof/>
            <w:webHidden/>
          </w:rPr>
          <w:instrText xml:space="preserve"> PAGEREF _Toc157692113 \h </w:instrText>
        </w:r>
        <w:r w:rsidR="005A4A97">
          <w:rPr>
            <w:noProof/>
            <w:webHidden/>
          </w:rPr>
        </w:r>
        <w:r w:rsidR="005A4A97">
          <w:rPr>
            <w:noProof/>
            <w:webHidden/>
          </w:rPr>
          <w:fldChar w:fldCharType="separate"/>
        </w:r>
        <w:r w:rsidR="005A4A97">
          <w:rPr>
            <w:noProof/>
            <w:webHidden/>
          </w:rPr>
          <w:t>238</w:t>
        </w:r>
        <w:r w:rsidR="005A4A97">
          <w:rPr>
            <w:noProof/>
            <w:webHidden/>
          </w:rPr>
          <w:fldChar w:fldCharType="end"/>
        </w:r>
      </w:hyperlink>
    </w:p>
    <w:p w14:paraId="764C783B" w14:textId="6FFA51E1" w:rsidR="00BC47E5" w:rsidRDefault="008D5021">
      <w:pPr>
        <w:spacing w:after="0"/>
        <w:jc w:val="left"/>
        <w:rPr>
          <w:noProof/>
        </w:rPr>
      </w:pPr>
      <w:r w:rsidRPr="000B3234">
        <w:rPr>
          <w:rFonts w:ascii="Times New Roman" w:hAnsi="Times New Roman" w:cs="Times New Roman"/>
          <w:b/>
          <w:bCs/>
          <w:caps/>
          <w:noProof/>
          <w:sz w:val="20"/>
          <w:szCs w:val="20"/>
        </w:rPr>
        <w:fldChar w:fldCharType="end"/>
      </w:r>
    </w:p>
    <w:p w14:paraId="1C6C4D76" w14:textId="7B89F36C" w:rsidR="00716447" w:rsidRDefault="00716447">
      <w:pPr>
        <w:spacing w:after="0"/>
        <w:jc w:val="left"/>
        <w:rPr>
          <w:rFonts w:eastAsia="Yu Gothic Light" w:cs="Yu Gothic Light"/>
          <w:b/>
          <w:noProof/>
          <w:sz w:val="32"/>
        </w:rPr>
      </w:pPr>
      <w:r>
        <w:rPr>
          <w:noProof/>
        </w:rPr>
        <w:br w:type="page"/>
      </w:r>
    </w:p>
    <w:p w14:paraId="7CDE1C9D" w14:textId="44EC6730" w:rsidR="00414508" w:rsidRPr="00F96DF6" w:rsidRDefault="00414508" w:rsidP="00414508">
      <w:pPr>
        <w:pStyle w:val="AnnexTitle"/>
        <w:ind w:firstLine="0"/>
        <w:rPr>
          <w:noProof/>
          <w:lang w:val="en-IE"/>
        </w:rPr>
      </w:pPr>
      <w:bookmarkStart w:id="5" w:name="_Toc148605578"/>
      <w:bookmarkStart w:id="6" w:name="_Toc157692023"/>
      <w:bookmarkStart w:id="7" w:name="_Hlk148608501"/>
      <w:r w:rsidRPr="007E297E">
        <w:rPr>
          <w:noProof/>
        </w:rPr>
        <w:t xml:space="preserve">Annex </w:t>
      </w:r>
      <w:r w:rsidR="0031010F" w:rsidRPr="00107F6F">
        <w:rPr>
          <w:rFonts w:cs="Times New Roman"/>
          <w:noProof/>
        </w:rPr>
        <w:t>8</w:t>
      </w:r>
      <w:r w:rsidRPr="007E297E">
        <w:rPr>
          <w:noProof/>
        </w:rPr>
        <w:t xml:space="preserve">: </w:t>
      </w:r>
      <w:r>
        <w:rPr>
          <w:noProof/>
        </w:rPr>
        <w:t>Detailed quantitative analysis</w:t>
      </w:r>
      <w:r w:rsidR="002D544E">
        <w:rPr>
          <w:noProof/>
        </w:rPr>
        <w:t xml:space="preserve"> of GHG pathways</w:t>
      </w:r>
      <w:bookmarkEnd w:id="5"/>
      <w:bookmarkEnd w:id="6"/>
    </w:p>
    <w:p w14:paraId="03BAF815" w14:textId="5564C89C" w:rsidR="00AB35C6" w:rsidRPr="003A6DD0" w:rsidRDefault="001521EB" w:rsidP="00C61267">
      <w:pPr>
        <w:pStyle w:val="Heading1"/>
        <w:numPr>
          <w:ilvl w:val="0"/>
          <w:numId w:val="22"/>
        </w:numPr>
        <w:rPr>
          <w:noProof/>
          <w:lang w:val="en-IE"/>
        </w:rPr>
      </w:pPr>
      <w:bookmarkStart w:id="8" w:name="OLE_LINK7"/>
      <w:bookmarkStart w:id="9" w:name="_Toc148605579"/>
      <w:bookmarkStart w:id="10" w:name="_Toc157692024"/>
      <w:bookmarkStart w:id="11" w:name="_Hlk145600339"/>
      <w:r w:rsidRPr="003A6DD0">
        <w:rPr>
          <w:noProof/>
          <w:lang w:val="en-IE"/>
        </w:rPr>
        <w:t>Key transformations</w:t>
      </w:r>
      <w:r w:rsidR="002C3BDD" w:rsidRPr="003A6DD0">
        <w:rPr>
          <w:noProof/>
          <w:lang w:val="en-IE"/>
        </w:rPr>
        <w:t xml:space="preserve"> to climate neutrality by 2050</w:t>
      </w:r>
      <w:bookmarkEnd w:id="8"/>
      <w:bookmarkEnd w:id="9"/>
      <w:bookmarkEnd w:id="10"/>
    </w:p>
    <w:bookmarkEnd w:id="11"/>
    <w:p w14:paraId="3B777E7F" w14:textId="2392F5A9" w:rsidR="004A4A48" w:rsidRPr="004A4A48" w:rsidRDefault="004A4A48" w:rsidP="004A4A48">
      <w:pPr>
        <w:pStyle w:val="Text1"/>
        <w:ind w:left="0" w:firstLine="0"/>
        <w:rPr>
          <w:noProof/>
          <w:lang w:val="en-IE"/>
        </w:rPr>
      </w:pPr>
      <w:r>
        <w:rPr>
          <w:noProof/>
          <w:lang w:val="en-IE"/>
        </w:rPr>
        <w:t xml:space="preserve">The impact assessment explores different GHG emission pathways </w:t>
      </w:r>
      <w:r w:rsidR="00DD41EE">
        <w:rPr>
          <w:noProof/>
          <w:lang w:val="en-IE"/>
        </w:rPr>
        <w:t xml:space="preserve">in the </w:t>
      </w:r>
      <w:r>
        <w:rPr>
          <w:noProof/>
          <w:lang w:val="en-IE"/>
        </w:rPr>
        <w:t>2030</w:t>
      </w:r>
      <w:r w:rsidR="00DD41EE">
        <w:rPr>
          <w:noProof/>
          <w:lang w:val="en-IE"/>
        </w:rPr>
        <w:t xml:space="preserve">-2050 period, </w:t>
      </w:r>
      <w:r>
        <w:rPr>
          <w:noProof/>
          <w:lang w:val="en-IE"/>
        </w:rPr>
        <w:t xml:space="preserve">building </w:t>
      </w:r>
      <w:r w:rsidR="00DD41EE">
        <w:rPr>
          <w:noProof/>
          <w:lang w:val="en-IE"/>
        </w:rPr>
        <w:t>on</w:t>
      </w:r>
      <w:r>
        <w:rPr>
          <w:noProof/>
          <w:lang w:val="en-IE"/>
        </w:rPr>
        <w:t xml:space="preserve"> the Fit-for-55 and REPowerEU</w:t>
      </w:r>
      <w:r w:rsidRPr="004A4A48">
        <w:rPr>
          <w:noProof/>
          <w:lang w:val="en-IE"/>
        </w:rPr>
        <w:t xml:space="preserve"> </w:t>
      </w:r>
      <w:r>
        <w:rPr>
          <w:noProof/>
          <w:lang w:val="en-IE"/>
        </w:rPr>
        <w:t>policy package</w:t>
      </w:r>
      <w:r w:rsidR="00DD41EE">
        <w:rPr>
          <w:noProof/>
          <w:lang w:val="en-IE"/>
        </w:rPr>
        <w:t xml:space="preserve"> for 2030</w:t>
      </w:r>
      <w:r>
        <w:rPr>
          <w:noProof/>
          <w:lang w:val="en-IE"/>
        </w:rPr>
        <w:t xml:space="preserve"> and </w:t>
      </w:r>
      <w:r w:rsidR="00DD41EE">
        <w:rPr>
          <w:noProof/>
          <w:lang w:val="en-IE"/>
        </w:rPr>
        <w:t>beyond, and achieving</w:t>
      </w:r>
      <w:r>
        <w:rPr>
          <w:noProof/>
          <w:lang w:val="en-IE"/>
        </w:rPr>
        <w:t xml:space="preserve"> climate neutrality by 2050. The first section below describes the evolution of GHG emissions in the various pathways explored, looking at the</w:t>
      </w:r>
      <w:r w:rsidR="00880F7F">
        <w:rPr>
          <w:noProof/>
          <w:lang w:val="en-IE"/>
        </w:rPr>
        <w:t>ir</w:t>
      </w:r>
      <w:r>
        <w:rPr>
          <w:noProof/>
          <w:lang w:val="en-IE"/>
        </w:rPr>
        <w:t xml:space="preserve"> reduction and the contribution of carbon removals. The following sections </w:t>
      </w:r>
      <w:r w:rsidR="00DA4393">
        <w:rPr>
          <w:noProof/>
          <w:lang w:val="en-IE"/>
        </w:rPr>
        <w:t>provide details</w:t>
      </w:r>
      <w:r>
        <w:rPr>
          <w:noProof/>
          <w:lang w:val="en-IE"/>
        </w:rPr>
        <w:t xml:space="preserve"> on the associated transformation in various sectors: </w:t>
      </w:r>
      <w:r w:rsidR="00467A81">
        <w:rPr>
          <w:noProof/>
          <w:lang w:val="en-IE"/>
        </w:rPr>
        <w:t xml:space="preserve">the energy system, with dedicated analysis on the </w:t>
      </w:r>
      <w:r>
        <w:rPr>
          <w:noProof/>
          <w:lang w:val="en-IE"/>
        </w:rPr>
        <w:t xml:space="preserve">energy supply, buildings, industry, transport, </w:t>
      </w:r>
      <w:r w:rsidR="00467A81">
        <w:rPr>
          <w:noProof/>
          <w:lang w:val="en-IE"/>
        </w:rPr>
        <w:t xml:space="preserve">as well as </w:t>
      </w:r>
      <w:r>
        <w:rPr>
          <w:noProof/>
          <w:lang w:val="en-IE"/>
        </w:rPr>
        <w:t>non-CO</w:t>
      </w:r>
      <w:r w:rsidRPr="00F1092B">
        <w:rPr>
          <w:noProof/>
          <w:vertAlign w:val="subscript"/>
          <w:lang w:val="en-IE"/>
        </w:rPr>
        <w:t>2</w:t>
      </w:r>
      <w:r>
        <w:rPr>
          <w:noProof/>
          <w:lang w:val="en-IE"/>
        </w:rPr>
        <w:t xml:space="preserve"> emissions</w:t>
      </w:r>
      <w:r w:rsidR="00DA4393">
        <w:rPr>
          <w:noProof/>
          <w:lang w:val="en-IE"/>
        </w:rPr>
        <w:t xml:space="preserve">, </w:t>
      </w:r>
      <w:r w:rsidR="00CC36C9">
        <w:rPr>
          <w:noProof/>
          <w:lang w:val="en-IE"/>
        </w:rPr>
        <w:t>agriculture</w:t>
      </w:r>
      <w:r w:rsidR="00DA4393">
        <w:rPr>
          <w:noProof/>
          <w:lang w:val="en-IE"/>
        </w:rPr>
        <w:t xml:space="preserve"> and LULUCF emissions</w:t>
      </w:r>
      <w:r>
        <w:rPr>
          <w:noProof/>
          <w:lang w:val="en-IE"/>
        </w:rPr>
        <w:t xml:space="preserve">. </w:t>
      </w:r>
    </w:p>
    <w:p w14:paraId="106569EE" w14:textId="0A750486" w:rsidR="006845B7" w:rsidRPr="004A4A48" w:rsidRDefault="006845B7" w:rsidP="004A4A48">
      <w:pPr>
        <w:pStyle w:val="Text1"/>
        <w:ind w:left="0" w:firstLine="0"/>
        <w:rPr>
          <w:noProof/>
          <w:lang w:val="en-IE"/>
        </w:rPr>
      </w:pPr>
      <w:r w:rsidRPr="006845B7">
        <w:rPr>
          <w:noProof/>
          <w:lang w:val="en-IE"/>
        </w:rPr>
        <w:t>The model-based analysis is a technical exercise based on a number of assumptions that are shared across scenarios. Its results do not prejudge the future design of the post-2030 policy framework.</w:t>
      </w:r>
    </w:p>
    <w:p w14:paraId="5DA672C5" w14:textId="7F880921" w:rsidR="00421938" w:rsidRPr="00763457" w:rsidRDefault="00421938" w:rsidP="00763457">
      <w:pPr>
        <w:pStyle w:val="Heading2"/>
        <w:rPr>
          <w:rStyle w:val="Heading2Char"/>
          <w:b/>
          <w:noProof/>
        </w:rPr>
      </w:pPr>
      <w:bookmarkStart w:id="12" w:name="_Ref138538397"/>
      <w:bookmarkStart w:id="13" w:name="_Toc148605580"/>
      <w:bookmarkStart w:id="14" w:name="_Toc157692025"/>
      <w:r w:rsidRPr="00763457">
        <w:rPr>
          <w:rStyle w:val="Heading2Char"/>
          <w:b/>
          <w:noProof/>
        </w:rPr>
        <w:t>G</w:t>
      </w:r>
      <w:r w:rsidR="000A576E" w:rsidRPr="00763457">
        <w:rPr>
          <w:rStyle w:val="Heading2Char"/>
          <w:b/>
          <w:noProof/>
        </w:rPr>
        <w:t>HG</w:t>
      </w:r>
      <w:r w:rsidRPr="00763457">
        <w:rPr>
          <w:rStyle w:val="Heading2Char"/>
          <w:b/>
          <w:noProof/>
        </w:rPr>
        <w:t xml:space="preserve"> emissions</w:t>
      </w:r>
      <w:bookmarkEnd w:id="12"/>
      <w:bookmarkEnd w:id="13"/>
      <w:bookmarkEnd w:id="14"/>
    </w:p>
    <w:p w14:paraId="322F92E9" w14:textId="68AB4921" w:rsidR="00A75A40" w:rsidRDefault="0098598B" w:rsidP="00763457">
      <w:pPr>
        <w:pStyle w:val="Heading3"/>
        <w:rPr>
          <w:noProof/>
        </w:rPr>
      </w:pPr>
      <w:bookmarkStart w:id="15" w:name="_Toc157692026"/>
      <w:bookmarkStart w:id="16" w:name="_Ref141908943"/>
      <w:bookmarkStart w:id="17" w:name="_Toc148605581"/>
      <w:r>
        <w:rPr>
          <w:noProof/>
        </w:rPr>
        <w:t>GHG budget</w:t>
      </w:r>
      <w:r w:rsidR="002731E1">
        <w:rPr>
          <w:noProof/>
        </w:rPr>
        <w:t>s</w:t>
      </w:r>
      <w:r>
        <w:rPr>
          <w:noProof/>
        </w:rPr>
        <w:t xml:space="preserve"> and </w:t>
      </w:r>
      <w:r w:rsidR="00A05895">
        <w:rPr>
          <w:noProof/>
        </w:rPr>
        <w:t>n</w:t>
      </w:r>
      <w:r w:rsidR="002A51FB" w:rsidRPr="00763457">
        <w:rPr>
          <w:noProof/>
        </w:rPr>
        <w:t>et GHG</w:t>
      </w:r>
      <w:r w:rsidR="00A05895">
        <w:rPr>
          <w:noProof/>
        </w:rPr>
        <w:t xml:space="preserve"> </w:t>
      </w:r>
      <w:r>
        <w:rPr>
          <w:noProof/>
        </w:rPr>
        <w:t>emissions</w:t>
      </w:r>
      <w:bookmarkEnd w:id="15"/>
      <w:r>
        <w:rPr>
          <w:noProof/>
        </w:rPr>
        <w:t xml:space="preserve"> </w:t>
      </w:r>
      <w:bookmarkEnd w:id="16"/>
      <w:bookmarkEnd w:id="17"/>
    </w:p>
    <w:p w14:paraId="7993792D" w14:textId="341FA563" w:rsidR="002731E1" w:rsidRPr="002731E1" w:rsidRDefault="002731E1" w:rsidP="00465F10">
      <w:pPr>
        <w:pStyle w:val="Heading4"/>
        <w:rPr>
          <w:noProof/>
        </w:rPr>
      </w:pPr>
      <w:r>
        <w:rPr>
          <w:noProof/>
        </w:rPr>
        <w:t xml:space="preserve">GHG budgets </w:t>
      </w:r>
    </w:p>
    <w:p w14:paraId="729C1F33" w14:textId="77777777" w:rsidR="002731E1" w:rsidRDefault="0098598B" w:rsidP="0098598B">
      <w:pPr>
        <w:rPr>
          <w:noProof/>
          <w:lang w:eastAsia="en-US"/>
        </w:rPr>
      </w:pPr>
      <w:r>
        <w:rPr>
          <w:noProof/>
          <w:lang w:eastAsia="en-US"/>
        </w:rPr>
        <w:t>The target options provide different remaining GHG budgets for the period 2030-2050: 21 GtCO2-eq for the linear option, 18 GtCO2-eq for option 2 (at least 85% up to 90%) and 16 GtCO2-eq for option 3 (at least 90% up to 95%) (see section 5.</w:t>
      </w:r>
      <w:r w:rsidR="0023117A">
        <w:rPr>
          <w:noProof/>
          <w:lang w:eastAsia="en-US"/>
        </w:rPr>
        <w:t xml:space="preserve">2 in the main document). </w:t>
      </w:r>
    </w:p>
    <w:p w14:paraId="7AA7081D" w14:textId="2067546F" w:rsidR="002731E1" w:rsidRDefault="002731E1" w:rsidP="002731E1">
      <w:pPr>
        <w:pStyle w:val="Text2"/>
        <w:rPr>
          <w:noProof/>
        </w:rPr>
      </w:pPr>
      <w:r>
        <w:rPr>
          <w:noProof/>
        </w:rPr>
        <w:t>The ESABCC analyses a (intra-EU) range of 11-16 GtCO2-eq for the EU to contribute to limiting global warming to 1.5°C with no or limited overshoot (</w:t>
      </w:r>
      <w:r>
        <w:rPr>
          <w:rStyle w:val="FootnoteReference"/>
          <w:noProof/>
        </w:rPr>
        <w:footnoteReference w:id="2"/>
      </w:r>
      <w:r>
        <w:rPr>
          <w:noProof/>
        </w:rPr>
        <w:t>). The ESABCC report highlight</w:t>
      </w:r>
      <w:r w:rsidR="00467742">
        <w:rPr>
          <w:noProof/>
        </w:rPr>
        <w:t>s</w:t>
      </w:r>
      <w:r>
        <w:rPr>
          <w:noProof/>
        </w:rPr>
        <w:t xml:space="preserve"> that scaling-up of energy technologies beyond challenging levels is required to  achieve the more ambitious end of this range: not overcoming such technological deployment challenge moves the range to 13-16 GtCO2-eq. ESABCC also recommends a range of 11-14 GtCO2-eq (</w:t>
      </w:r>
      <w:r w:rsidRPr="00411796">
        <w:rPr>
          <w:noProof/>
          <w:vertAlign w:val="superscript"/>
        </w:rPr>
        <w:fldChar w:fldCharType="begin"/>
      </w:r>
      <w:r w:rsidRPr="00411796">
        <w:rPr>
          <w:noProof/>
          <w:vertAlign w:val="superscript"/>
        </w:rPr>
        <w:instrText xml:space="preserve"> NOTEREF _Ref146634108 \h </w:instrText>
      </w:r>
      <w:r>
        <w:rPr>
          <w:noProof/>
          <w:vertAlign w:val="superscript"/>
        </w:rPr>
        <w:instrText xml:space="preserve"> \* MERGEFORMAT </w:instrText>
      </w:r>
      <w:r w:rsidRPr="00411796">
        <w:rPr>
          <w:noProof/>
          <w:vertAlign w:val="superscript"/>
        </w:rPr>
      </w:r>
      <w:r w:rsidRPr="00411796">
        <w:rPr>
          <w:noProof/>
          <w:vertAlign w:val="superscript"/>
        </w:rPr>
        <w:fldChar w:fldCharType="separate"/>
      </w:r>
      <w:r w:rsidR="00170A3C">
        <w:rPr>
          <w:noProof/>
          <w:vertAlign w:val="superscript"/>
        </w:rPr>
        <w:t>9</w:t>
      </w:r>
      <w:r w:rsidRPr="00411796">
        <w:rPr>
          <w:noProof/>
          <w:vertAlign w:val="superscript"/>
        </w:rPr>
        <w:fldChar w:fldCharType="end"/>
      </w:r>
      <w:r>
        <w:rPr>
          <w:noProof/>
        </w:rPr>
        <w:t xml:space="preserve">). </w:t>
      </w:r>
    </w:p>
    <w:p w14:paraId="46294536" w14:textId="689F37C7" w:rsidR="002731E1" w:rsidRDefault="002731E1" w:rsidP="00465F10">
      <w:pPr>
        <w:pStyle w:val="Heading4"/>
        <w:numPr>
          <w:ilvl w:val="3"/>
          <w:numId w:val="25"/>
        </w:numPr>
        <w:rPr>
          <w:noProof/>
        </w:rPr>
      </w:pPr>
      <w:r>
        <w:rPr>
          <w:noProof/>
        </w:rPr>
        <w:t xml:space="preserve">Net GHG emissions </w:t>
      </w:r>
    </w:p>
    <w:p w14:paraId="67C9853E" w14:textId="459D4F53" w:rsidR="0023117A" w:rsidRPr="00C26960" w:rsidRDefault="0023117A" w:rsidP="00465F10">
      <w:pPr>
        <w:rPr>
          <w:noProof/>
        </w:rPr>
      </w:pPr>
      <w:r>
        <w:rPr>
          <w:noProof/>
          <w:lang w:eastAsia="en-US"/>
        </w:rPr>
        <w:t>T</w:t>
      </w:r>
      <w:r w:rsidR="0098598B">
        <w:rPr>
          <w:noProof/>
          <w:lang w:eastAsia="en-US"/>
        </w:rPr>
        <w:t xml:space="preserve">he scenarios achieve net GHG reductions in line with the budgets </w:t>
      </w:r>
      <w:r w:rsidR="002731E1">
        <w:rPr>
          <w:noProof/>
          <w:lang w:eastAsia="en-US"/>
        </w:rPr>
        <w:t xml:space="preserve">associated to each target option. </w:t>
      </w:r>
    </w:p>
    <w:p w14:paraId="30146CAC" w14:textId="63FB3C62" w:rsidR="004B1F73" w:rsidRDefault="00467742" w:rsidP="0023117A">
      <w:pPr>
        <w:rPr>
          <w:noProof/>
          <w:lang w:val="en-IE"/>
        </w:rPr>
      </w:pPr>
      <w:r>
        <w:rPr>
          <w:noProof/>
          <w:lang w:val="en-IE"/>
        </w:rPr>
        <w:fldChar w:fldCharType="begin"/>
      </w:r>
      <w:r>
        <w:rPr>
          <w:noProof/>
          <w:lang w:val="en-IE"/>
        </w:rPr>
        <w:instrText xml:space="preserve"> REF _Ref152591861 \h </w:instrText>
      </w:r>
      <w:r>
        <w:rPr>
          <w:noProof/>
          <w:lang w:val="en-IE"/>
        </w:rPr>
      </w:r>
      <w:r>
        <w:rPr>
          <w:noProof/>
          <w:lang w:val="en-IE"/>
        </w:rPr>
        <w:fldChar w:fldCharType="separate"/>
      </w:r>
      <w:r w:rsidR="00170A3C" w:rsidRPr="00D24ED7">
        <w:rPr>
          <w:noProof/>
        </w:rPr>
        <w:t xml:space="preserve">Table </w:t>
      </w:r>
      <w:r w:rsidR="00170A3C">
        <w:rPr>
          <w:noProof/>
        </w:rPr>
        <w:t>1</w:t>
      </w:r>
      <w:r>
        <w:rPr>
          <w:noProof/>
          <w:lang w:val="en-IE"/>
        </w:rPr>
        <w:fldChar w:fldCharType="end"/>
      </w:r>
      <w:r w:rsidR="004B1F73">
        <w:rPr>
          <w:noProof/>
          <w:lang w:val="en-IE"/>
        </w:rPr>
        <w:t xml:space="preserve"> </w:t>
      </w:r>
      <w:r w:rsidR="004B1F73" w:rsidRPr="004B1F73">
        <w:rPr>
          <w:noProof/>
          <w:lang w:val="en-IE"/>
        </w:rPr>
        <w:t xml:space="preserve">shows the </w:t>
      </w:r>
      <w:r w:rsidR="004B1F73">
        <w:rPr>
          <w:noProof/>
          <w:lang w:val="en-IE"/>
        </w:rPr>
        <w:t xml:space="preserve">2040 and 2050 net GHG emissions in </w:t>
      </w:r>
      <w:r w:rsidR="003A79EF">
        <w:rPr>
          <w:noProof/>
          <w:lang w:val="en-IE"/>
        </w:rPr>
        <w:t>S1, S2, S3</w:t>
      </w:r>
      <w:r w:rsidR="00CD0C54">
        <w:rPr>
          <w:noProof/>
          <w:lang w:val="en-IE"/>
        </w:rPr>
        <w:t xml:space="preserve">, </w:t>
      </w:r>
      <w:r w:rsidR="003A79EF">
        <w:rPr>
          <w:noProof/>
          <w:lang w:val="en-IE"/>
        </w:rPr>
        <w:t>and LIFE</w:t>
      </w:r>
      <w:r w:rsidR="00AA71FD">
        <w:rPr>
          <w:noProof/>
          <w:lang w:val="en-IE"/>
        </w:rPr>
        <w:t xml:space="preserve"> </w:t>
      </w:r>
      <w:r w:rsidR="0023117A">
        <w:rPr>
          <w:noProof/>
          <w:lang w:val="en-IE"/>
        </w:rPr>
        <w:t xml:space="preserve">(see Annex </w:t>
      </w:r>
      <w:r w:rsidR="000127AE" w:rsidRPr="003A6A99">
        <w:rPr>
          <w:noProof/>
          <w:lang w:val="en-IE"/>
        </w:rPr>
        <w:t>6</w:t>
      </w:r>
      <w:r w:rsidR="0023117A">
        <w:rPr>
          <w:noProof/>
          <w:lang w:val="en-IE"/>
        </w:rPr>
        <w:t xml:space="preserve"> for their description</w:t>
      </w:r>
      <w:r w:rsidR="000127AE">
        <w:rPr>
          <w:noProof/>
          <w:lang w:val="en-IE"/>
        </w:rPr>
        <w:t>)</w:t>
      </w:r>
      <w:r w:rsidR="004B1F73">
        <w:rPr>
          <w:noProof/>
          <w:lang w:val="en-IE"/>
        </w:rPr>
        <w:t>, as well as the corresponding reduct</w:t>
      </w:r>
      <w:r w:rsidR="000127AE">
        <w:rPr>
          <w:noProof/>
          <w:lang w:val="en-IE"/>
        </w:rPr>
        <w:t xml:space="preserve">ions </w:t>
      </w:r>
      <w:r w:rsidR="004B1F73">
        <w:rPr>
          <w:noProof/>
          <w:lang w:val="en-IE"/>
        </w:rPr>
        <w:t xml:space="preserve">compared to 1990. </w:t>
      </w:r>
      <w:r w:rsidR="004B1F73" w:rsidRPr="004B1F73">
        <w:rPr>
          <w:noProof/>
          <w:lang w:val="en-IE"/>
        </w:rPr>
        <w:t xml:space="preserve">The values are provided for Union-wide </w:t>
      </w:r>
      <w:r w:rsidR="001803DA">
        <w:rPr>
          <w:noProof/>
          <w:lang w:val="en-IE"/>
        </w:rPr>
        <w:t>GHG</w:t>
      </w:r>
      <w:r w:rsidR="004B1F73" w:rsidRPr="004B1F73">
        <w:rPr>
          <w:noProof/>
          <w:lang w:val="en-IE"/>
        </w:rPr>
        <w:t xml:space="preserve"> emissions and removals regulated in Union law</w:t>
      </w:r>
      <w:r w:rsidR="004B1F73">
        <w:rPr>
          <w:noProof/>
          <w:lang w:val="en-IE"/>
        </w:rPr>
        <w:t>, in accordance with the climate neutrality target scope</w:t>
      </w:r>
      <w:r w:rsidR="004B1F73" w:rsidRPr="004B1F73">
        <w:rPr>
          <w:noProof/>
          <w:lang w:val="en-IE"/>
        </w:rPr>
        <w:t xml:space="preserve"> (</w:t>
      </w:r>
      <w:r w:rsidR="004B1F73">
        <w:rPr>
          <w:rStyle w:val="FootnoteReference"/>
          <w:noProof/>
          <w:lang w:val="en-IE"/>
        </w:rPr>
        <w:footnoteReference w:id="3"/>
      </w:r>
      <w:r w:rsidR="004B1F73" w:rsidRPr="004B1F73">
        <w:rPr>
          <w:noProof/>
          <w:lang w:val="en-IE"/>
        </w:rPr>
        <w:t>)</w:t>
      </w:r>
      <w:r w:rsidR="004B1F73">
        <w:rPr>
          <w:noProof/>
          <w:lang w:val="en-IE"/>
        </w:rPr>
        <w:t>. With the fit-for-55 package</w:t>
      </w:r>
      <w:r w:rsidR="00FB652A" w:rsidRPr="00FB652A">
        <w:rPr>
          <w:noProof/>
          <w:lang w:val="en-IE"/>
        </w:rPr>
        <w:t> (</w:t>
      </w:r>
      <w:r w:rsidR="00FB652A">
        <w:rPr>
          <w:rStyle w:val="FootnoteReference"/>
          <w:noProof/>
          <w:lang w:val="en-IE"/>
        </w:rPr>
        <w:footnoteReference w:id="4"/>
      </w:r>
      <w:r w:rsidR="00FB652A">
        <w:rPr>
          <w:noProof/>
          <w:lang w:val="en-IE"/>
        </w:rPr>
        <w:t>)</w:t>
      </w:r>
      <w:r w:rsidR="004B1F73">
        <w:rPr>
          <w:noProof/>
          <w:lang w:val="en-IE"/>
        </w:rPr>
        <w:t xml:space="preserve">, this covers </w:t>
      </w:r>
      <w:r w:rsidR="002237DC" w:rsidRPr="002237DC">
        <w:rPr>
          <w:rFonts w:cs="Calibri"/>
          <w:noProof/>
        </w:rPr>
        <w:t>all domestic net emissions (in the sense of the UNFCCC inventories), international intra-EU aviation, international intra-EU maritime, and 50% of international extra-EU maritime from the M</w:t>
      </w:r>
      <w:r w:rsidR="008856F0">
        <w:rPr>
          <w:rFonts w:cs="Calibri"/>
          <w:noProof/>
        </w:rPr>
        <w:t>onitoring Reporting and Verification (M</w:t>
      </w:r>
      <w:r w:rsidR="002237DC" w:rsidRPr="002237DC">
        <w:rPr>
          <w:rFonts w:cs="Calibri"/>
          <w:noProof/>
        </w:rPr>
        <w:t>RV</w:t>
      </w:r>
      <w:r w:rsidR="008856F0">
        <w:rPr>
          <w:rFonts w:cs="Calibri"/>
          <w:noProof/>
        </w:rPr>
        <w:t>)</w:t>
      </w:r>
      <w:r w:rsidR="002237DC" w:rsidRPr="002237DC">
        <w:rPr>
          <w:rFonts w:cs="Calibri"/>
          <w:noProof/>
        </w:rPr>
        <w:t xml:space="preserve"> scop</w:t>
      </w:r>
      <w:r w:rsidR="008856F0">
        <w:rPr>
          <w:rFonts w:cs="Calibri"/>
          <w:noProof/>
        </w:rPr>
        <w:t>e</w:t>
      </w:r>
      <w:r w:rsidR="00FB652A" w:rsidRPr="002237DC">
        <w:rPr>
          <w:noProof/>
          <w:lang w:val="en-IE"/>
        </w:rPr>
        <w:t> </w:t>
      </w:r>
      <w:r w:rsidR="004B1F73">
        <w:rPr>
          <w:noProof/>
          <w:lang w:val="en-IE"/>
        </w:rPr>
        <w:t>(</w:t>
      </w:r>
      <w:r w:rsidR="004B1F73">
        <w:rPr>
          <w:rStyle w:val="FootnoteReference"/>
          <w:noProof/>
          <w:lang w:val="en-IE"/>
        </w:rPr>
        <w:footnoteReference w:id="5"/>
      </w:r>
      <w:r w:rsidR="004B1F73">
        <w:rPr>
          <w:noProof/>
          <w:lang w:val="en-IE"/>
        </w:rPr>
        <w:t>)</w:t>
      </w:r>
      <w:r w:rsidR="004B1F73" w:rsidRPr="004B1F73">
        <w:rPr>
          <w:noProof/>
          <w:lang w:val="en-IE"/>
        </w:rPr>
        <w:t>.</w:t>
      </w:r>
      <w:r w:rsidR="00777304">
        <w:rPr>
          <w:noProof/>
          <w:lang w:val="en-IE"/>
        </w:rPr>
        <w:t xml:space="preserve"> The table also provides a range to illustrate the uncertainties on the future evolution of LULUCF net removals, considering a lower level and an upper level depending on the effect of policies or other factors (See </w:t>
      </w:r>
      <w:r w:rsidR="00777304" w:rsidRPr="003A6A99">
        <w:rPr>
          <w:noProof/>
          <w:lang w:val="en-IE"/>
        </w:rPr>
        <w:fldChar w:fldCharType="begin"/>
      </w:r>
      <w:r w:rsidR="00777304" w:rsidRPr="003A6A99">
        <w:rPr>
          <w:noProof/>
          <w:lang w:val="en-IE"/>
        </w:rPr>
        <w:instrText xml:space="preserve"> REF _Ref143115751 \n \h  \* MERGEFORMAT </w:instrText>
      </w:r>
      <w:r w:rsidR="00777304" w:rsidRPr="003A6A99">
        <w:rPr>
          <w:noProof/>
          <w:lang w:val="en-IE"/>
        </w:rPr>
      </w:r>
      <w:r w:rsidR="00777304" w:rsidRPr="003A6A99">
        <w:rPr>
          <w:noProof/>
          <w:lang w:val="en-IE"/>
        </w:rPr>
        <w:fldChar w:fldCharType="separate"/>
      </w:r>
      <w:r w:rsidR="00170A3C">
        <w:rPr>
          <w:noProof/>
          <w:lang w:val="en-IE"/>
        </w:rPr>
        <w:t>1.8</w:t>
      </w:r>
      <w:r w:rsidR="00777304" w:rsidRPr="003A6A99">
        <w:rPr>
          <w:noProof/>
          <w:lang w:val="en-IE"/>
        </w:rPr>
        <w:fldChar w:fldCharType="end"/>
      </w:r>
      <w:r w:rsidR="00777304" w:rsidRPr="003A6A99">
        <w:rPr>
          <w:noProof/>
          <w:lang w:val="en-IE"/>
        </w:rPr>
        <w:t xml:space="preserve"> of this Annex</w:t>
      </w:r>
      <w:r w:rsidR="00777304">
        <w:rPr>
          <w:noProof/>
          <w:lang w:val="en-IE"/>
        </w:rPr>
        <w:t xml:space="preserve"> for more details).</w:t>
      </w:r>
    </w:p>
    <w:p w14:paraId="2887A893" w14:textId="30ECACC1" w:rsidR="002731E1" w:rsidRDefault="002731E1" w:rsidP="002731E1">
      <w:pPr>
        <w:pStyle w:val="Caption"/>
        <w:rPr>
          <w:noProof/>
        </w:rPr>
      </w:pPr>
      <w:bookmarkStart w:id="18" w:name="_Ref152591861"/>
      <w:bookmarkStart w:id="19" w:name="_Toc157679884"/>
      <w:r w:rsidRPr="00D24ED7">
        <w:rPr>
          <w:noProof/>
        </w:rPr>
        <w:t xml:space="preserve">Table </w:t>
      </w:r>
      <w:r w:rsidR="00D12921">
        <w:rPr>
          <w:noProof/>
        </w:rPr>
        <w:fldChar w:fldCharType="begin"/>
      </w:r>
      <w:r w:rsidR="00D12921">
        <w:rPr>
          <w:noProof/>
        </w:rPr>
        <w:instrText xml:space="preserve"> SEQ Table \* ARABIC </w:instrText>
      </w:r>
      <w:r w:rsidR="00D12921">
        <w:rPr>
          <w:noProof/>
        </w:rPr>
        <w:fldChar w:fldCharType="separate"/>
      </w:r>
      <w:r w:rsidR="00170A3C">
        <w:rPr>
          <w:noProof/>
        </w:rPr>
        <w:t>1</w:t>
      </w:r>
      <w:r w:rsidR="00D12921">
        <w:rPr>
          <w:noProof/>
        </w:rPr>
        <w:fldChar w:fldCharType="end"/>
      </w:r>
      <w:bookmarkEnd w:id="18"/>
      <w:r w:rsidRPr="00D24ED7">
        <w:rPr>
          <w:noProof/>
        </w:rPr>
        <w:t xml:space="preserve">: Net GHG </w:t>
      </w:r>
      <w:r>
        <w:rPr>
          <w:noProof/>
        </w:rPr>
        <w:t>emissions and reductions compared to 1990</w:t>
      </w:r>
      <w:bookmarkEnd w:id="19"/>
    </w:p>
    <w:tbl>
      <w:tblPr>
        <w:tblW w:w="5000" w:type="pct"/>
        <w:tblLook w:val="04A0" w:firstRow="1" w:lastRow="0" w:firstColumn="1" w:lastColumn="0" w:noHBand="0" w:noVBand="1"/>
      </w:tblPr>
      <w:tblGrid>
        <w:gridCol w:w="1507"/>
        <w:gridCol w:w="1183"/>
        <w:gridCol w:w="1182"/>
        <w:gridCol w:w="1182"/>
        <w:gridCol w:w="1180"/>
        <w:gridCol w:w="1301"/>
        <w:gridCol w:w="1299"/>
      </w:tblGrid>
      <w:tr w:rsidR="002731E1" w:rsidRPr="002B5542" w14:paraId="5641DE52" w14:textId="77777777" w:rsidTr="00777304">
        <w:trPr>
          <w:trHeight w:val="66"/>
        </w:trPr>
        <w:tc>
          <w:tcPr>
            <w:tcW w:w="858" w:type="pct"/>
            <w:tcBorders>
              <w:top w:val="single" w:sz="4" w:space="0" w:color="auto"/>
              <w:left w:val="single" w:sz="4" w:space="0" w:color="auto"/>
              <w:bottom w:val="nil"/>
              <w:right w:val="single" w:sz="4" w:space="0" w:color="auto"/>
            </w:tcBorders>
            <w:shd w:val="clear" w:color="000000" w:fill="FFFFFF"/>
            <w:noWrap/>
            <w:vAlign w:val="bottom"/>
            <w:hideMark/>
          </w:tcPr>
          <w:p w14:paraId="775AD71B" w14:textId="77777777" w:rsidR="002731E1" w:rsidRPr="002B5542" w:rsidRDefault="002731E1" w:rsidP="001E760F">
            <w:pPr>
              <w:keepNext/>
              <w:spacing w:after="0"/>
              <w:jc w:val="center"/>
              <w:rPr>
                <w:rFonts w:ascii="EC Square Sans Cond Pro" w:eastAsia="Times New Roman" w:hAnsi="EC Square Sans Cond Pro" w:cs="Calibri"/>
                <w:b/>
                <w:bCs/>
                <w:noProof/>
                <w:color w:val="000000"/>
                <w:sz w:val="18"/>
                <w:szCs w:val="18"/>
                <w:lang w:val="en-IE"/>
              </w:rPr>
            </w:pPr>
            <w:r w:rsidRPr="002B5542">
              <w:rPr>
                <w:rFonts w:ascii="Calibri" w:eastAsia="Times New Roman" w:hAnsi="Calibri" w:cs="Calibri"/>
                <w:b/>
                <w:bCs/>
                <w:noProof/>
                <w:color w:val="000000"/>
                <w:sz w:val="18"/>
                <w:szCs w:val="18"/>
                <w:lang w:val="en-IE"/>
              </w:rPr>
              <w:t> </w:t>
            </w:r>
          </w:p>
        </w:tc>
        <w:tc>
          <w:tcPr>
            <w:tcW w:w="2678" w:type="pct"/>
            <w:gridSpan w:val="4"/>
            <w:tcBorders>
              <w:top w:val="single" w:sz="4" w:space="0" w:color="auto"/>
              <w:left w:val="nil"/>
              <w:bottom w:val="nil"/>
              <w:right w:val="single" w:sz="4" w:space="0" w:color="000000"/>
            </w:tcBorders>
            <w:shd w:val="clear" w:color="000000" w:fill="FFFFFF"/>
            <w:noWrap/>
            <w:vAlign w:val="bottom"/>
            <w:hideMark/>
          </w:tcPr>
          <w:p w14:paraId="72FB207D" w14:textId="77777777" w:rsidR="002731E1" w:rsidRPr="002B5542" w:rsidRDefault="002731E1" w:rsidP="001E760F">
            <w:pPr>
              <w:keepNext/>
              <w:spacing w:after="0"/>
              <w:jc w:val="center"/>
              <w:rPr>
                <w:rFonts w:ascii="EC Square Sans Cond Pro" w:eastAsia="Times New Roman" w:hAnsi="EC Square Sans Cond Pro" w:cs="Calibri"/>
                <w:b/>
                <w:bCs/>
                <w:noProof/>
                <w:color w:val="000000"/>
                <w:sz w:val="18"/>
                <w:szCs w:val="18"/>
                <w:lang w:val="en-IE"/>
              </w:rPr>
            </w:pPr>
            <w:r w:rsidRPr="002B5542">
              <w:rPr>
                <w:rFonts w:ascii="EC Square Sans Cond Pro" w:eastAsia="Times New Roman" w:hAnsi="EC Square Sans Cond Pro" w:cs="Calibri"/>
                <w:b/>
                <w:bCs/>
                <w:noProof/>
                <w:color w:val="000000"/>
                <w:sz w:val="18"/>
                <w:szCs w:val="18"/>
                <w:lang w:val="en-IE"/>
              </w:rPr>
              <w:t>2040</w:t>
            </w:r>
          </w:p>
        </w:tc>
        <w:tc>
          <w:tcPr>
            <w:tcW w:w="738" w:type="pct"/>
            <w:tcBorders>
              <w:top w:val="single" w:sz="4" w:space="0" w:color="auto"/>
              <w:left w:val="nil"/>
              <w:bottom w:val="nil"/>
              <w:right w:val="nil"/>
            </w:tcBorders>
            <w:shd w:val="clear" w:color="000000" w:fill="FFFFFF"/>
            <w:noWrap/>
            <w:vAlign w:val="bottom"/>
            <w:hideMark/>
          </w:tcPr>
          <w:p w14:paraId="271A5B04" w14:textId="77777777" w:rsidR="002731E1" w:rsidRPr="002B5542" w:rsidRDefault="002731E1" w:rsidP="001E760F">
            <w:pPr>
              <w:keepNext/>
              <w:spacing w:after="0"/>
              <w:jc w:val="right"/>
              <w:rPr>
                <w:rFonts w:ascii="EC Square Sans Cond Pro" w:eastAsia="Times New Roman" w:hAnsi="EC Square Sans Cond Pro" w:cs="Calibri"/>
                <w:b/>
                <w:bCs/>
                <w:noProof/>
                <w:color w:val="000000"/>
                <w:sz w:val="18"/>
                <w:szCs w:val="18"/>
                <w:lang w:val="en-IE"/>
              </w:rPr>
            </w:pPr>
            <w:r w:rsidRPr="002B5542">
              <w:rPr>
                <w:rFonts w:ascii="EC Square Sans Cond Pro" w:eastAsia="Times New Roman" w:hAnsi="EC Square Sans Cond Pro" w:cs="Calibri"/>
                <w:b/>
                <w:bCs/>
                <w:noProof/>
                <w:color w:val="000000"/>
                <w:sz w:val="18"/>
                <w:szCs w:val="18"/>
                <w:lang w:val="en-IE"/>
              </w:rPr>
              <w:t>2050</w:t>
            </w:r>
          </w:p>
        </w:tc>
        <w:tc>
          <w:tcPr>
            <w:tcW w:w="726" w:type="pct"/>
            <w:tcBorders>
              <w:top w:val="single" w:sz="4" w:space="0" w:color="auto"/>
              <w:left w:val="nil"/>
              <w:bottom w:val="nil"/>
              <w:right w:val="single" w:sz="4" w:space="0" w:color="auto"/>
            </w:tcBorders>
            <w:shd w:val="clear" w:color="000000" w:fill="FFFFFF"/>
            <w:noWrap/>
            <w:vAlign w:val="bottom"/>
            <w:hideMark/>
          </w:tcPr>
          <w:p w14:paraId="392268D1" w14:textId="77777777" w:rsidR="002731E1" w:rsidRPr="002B5542" w:rsidRDefault="002731E1" w:rsidP="001E760F">
            <w:pPr>
              <w:keepNext/>
              <w:spacing w:after="0"/>
              <w:jc w:val="left"/>
              <w:rPr>
                <w:rFonts w:ascii="EC Square Sans Cond Pro" w:eastAsia="Times New Roman" w:hAnsi="EC Square Sans Cond Pro" w:cs="Calibri"/>
                <w:b/>
                <w:bCs/>
                <w:noProof/>
                <w:color w:val="000000"/>
                <w:sz w:val="18"/>
                <w:szCs w:val="18"/>
                <w:lang w:val="en-IE"/>
              </w:rPr>
            </w:pPr>
            <w:r w:rsidRPr="002B5542">
              <w:rPr>
                <w:rFonts w:ascii="Calibri" w:eastAsia="Times New Roman" w:hAnsi="Calibri" w:cs="Calibri"/>
                <w:b/>
                <w:bCs/>
                <w:noProof/>
                <w:color w:val="000000"/>
                <w:sz w:val="18"/>
                <w:szCs w:val="18"/>
                <w:lang w:val="en-IE"/>
              </w:rPr>
              <w:t> </w:t>
            </w:r>
          </w:p>
        </w:tc>
      </w:tr>
      <w:tr w:rsidR="002731E1" w:rsidRPr="002B5542" w14:paraId="4D837D98" w14:textId="77777777" w:rsidTr="00777304">
        <w:trPr>
          <w:trHeight w:val="80"/>
        </w:trPr>
        <w:tc>
          <w:tcPr>
            <w:tcW w:w="858" w:type="pct"/>
            <w:tcBorders>
              <w:top w:val="nil"/>
              <w:left w:val="single" w:sz="4" w:space="0" w:color="auto"/>
              <w:bottom w:val="single" w:sz="4" w:space="0" w:color="auto"/>
              <w:right w:val="single" w:sz="4" w:space="0" w:color="auto"/>
            </w:tcBorders>
            <w:shd w:val="clear" w:color="000000" w:fill="FFFFFF"/>
            <w:noWrap/>
            <w:vAlign w:val="bottom"/>
            <w:hideMark/>
          </w:tcPr>
          <w:p w14:paraId="638E95EF" w14:textId="77777777" w:rsidR="002731E1" w:rsidRPr="002B5542" w:rsidRDefault="002731E1" w:rsidP="001E760F">
            <w:pPr>
              <w:keepNext/>
              <w:spacing w:after="0"/>
              <w:rPr>
                <w:rFonts w:ascii="EC Square Sans Cond Pro" w:eastAsia="Times New Roman" w:hAnsi="EC Square Sans Cond Pro" w:cs="Calibri"/>
                <w:b/>
                <w:bCs/>
                <w:noProof/>
                <w:sz w:val="18"/>
                <w:szCs w:val="18"/>
                <w:lang w:val="en-IE"/>
              </w:rPr>
            </w:pPr>
          </w:p>
        </w:tc>
        <w:tc>
          <w:tcPr>
            <w:tcW w:w="679" w:type="pct"/>
            <w:tcBorders>
              <w:top w:val="nil"/>
              <w:left w:val="nil"/>
              <w:bottom w:val="single" w:sz="4" w:space="0" w:color="auto"/>
              <w:right w:val="nil"/>
            </w:tcBorders>
            <w:shd w:val="clear" w:color="000000" w:fill="FFFFFF"/>
            <w:noWrap/>
            <w:vAlign w:val="bottom"/>
            <w:hideMark/>
          </w:tcPr>
          <w:p w14:paraId="701ADA32" w14:textId="77777777" w:rsidR="002731E1" w:rsidRPr="002B5542" w:rsidRDefault="002731E1" w:rsidP="001E760F">
            <w:pPr>
              <w:keepNext/>
              <w:spacing w:after="0"/>
              <w:jc w:val="center"/>
              <w:rPr>
                <w:rFonts w:ascii="EC Square Sans Cond Pro" w:eastAsia="Times New Roman" w:hAnsi="EC Square Sans Cond Pro" w:cs="Calibri"/>
                <w:b/>
                <w:bCs/>
                <w:noProof/>
                <w:sz w:val="18"/>
                <w:szCs w:val="18"/>
                <w:lang w:val="en-IE"/>
              </w:rPr>
            </w:pPr>
            <w:r w:rsidRPr="002B5542">
              <w:rPr>
                <w:rFonts w:ascii="EC Square Sans Cond Pro" w:eastAsia="Times New Roman" w:hAnsi="EC Square Sans Cond Pro" w:cs="Calibri"/>
                <w:b/>
                <w:bCs/>
                <w:noProof/>
                <w:sz w:val="18"/>
                <w:szCs w:val="18"/>
                <w:lang w:val="en-IE"/>
              </w:rPr>
              <w:t>S1</w:t>
            </w:r>
          </w:p>
        </w:tc>
        <w:tc>
          <w:tcPr>
            <w:tcW w:w="670" w:type="pct"/>
            <w:tcBorders>
              <w:top w:val="nil"/>
              <w:left w:val="nil"/>
              <w:bottom w:val="single" w:sz="4" w:space="0" w:color="auto"/>
              <w:right w:val="nil"/>
            </w:tcBorders>
            <w:shd w:val="clear" w:color="000000" w:fill="FFFFFF"/>
            <w:noWrap/>
            <w:vAlign w:val="bottom"/>
            <w:hideMark/>
          </w:tcPr>
          <w:p w14:paraId="5131B157" w14:textId="77777777" w:rsidR="002731E1" w:rsidRPr="002B5542" w:rsidRDefault="002731E1" w:rsidP="001E760F">
            <w:pPr>
              <w:keepNext/>
              <w:spacing w:after="0"/>
              <w:jc w:val="center"/>
              <w:rPr>
                <w:rFonts w:ascii="EC Square Sans Cond Pro" w:eastAsia="Times New Roman" w:hAnsi="EC Square Sans Cond Pro" w:cs="Calibri"/>
                <w:b/>
                <w:bCs/>
                <w:noProof/>
                <w:sz w:val="18"/>
                <w:szCs w:val="18"/>
                <w:lang w:val="en-IE"/>
              </w:rPr>
            </w:pPr>
            <w:r w:rsidRPr="002B5542">
              <w:rPr>
                <w:rFonts w:ascii="EC Square Sans Cond Pro" w:eastAsia="Times New Roman" w:hAnsi="EC Square Sans Cond Pro" w:cs="Calibri"/>
                <w:b/>
                <w:bCs/>
                <w:noProof/>
                <w:sz w:val="18"/>
                <w:szCs w:val="18"/>
                <w:lang w:val="en-IE"/>
              </w:rPr>
              <w:t>S2</w:t>
            </w:r>
          </w:p>
        </w:tc>
        <w:tc>
          <w:tcPr>
            <w:tcW w:w="670" w:type="pct"/>
            <w:tcBorders>
              <w:top w:val="nil"/>
              <w:left w:val="nil"/>
              <w:bottom w:val="single" w:sz="4" w:space="0" w:color="auto"/>
              <w:right w:val="nil"/>
            </w:tcBorders>
            <w:shd w:val="clear" w:color="000000" w:fill="FFFFFF"/>
            <w:noWrap/>
            <w:vAlign w:val="bottom"/>
            <w:hideMark/>
          </w:tcPr>
          <w:p w14:paraId="7A6D3623" w14:textId="77777777" w:rsidR="002731E1" w:rsidRPr="002B5542" w:rsidRDefault="002731E1" w:rsidP="001E760F">
            <w:pPr>
              <w:keepNext/>
              <w:spacing w:after="0"/>
              <w:jc w:val="center"/>
              <w:rPr>
                <w:rFonts w:ascii="EC Square Sans Cond Pro" w:eastAsia="Times New Roman" w:hAnsi="EC Square Sans Cond Pro" w:cs="Calibri"/>
                <w:b/>
                <w:bCs/>
                <w:noProof/>
                <w:sz w:val="18"/>
                <w:szCs w:val="18"/>
                <w:lang w:val="en-IE"/>
              </w:rPr>
            </w:pPr>
            <w:r w:rsidRPr="002B5542">
              <w:rPr>
                <w:rFonts w:ascii="EC Square Sans Cond Pro" w:eastAsia="Times New Roman" w:hAnsi="EC Square Sans Cond Pro" w:cs="Calibri"/>
                <w:b/>
                <w:bCs/>
                <w:noProof/>
                <w:sz w:val="18"/>
                <w:szCs w:val="18"/>
                <w:lang w:val="en-IE"/>
              </w:rPr>
              <w:t>S3</w:t>
            </w:r>
          </w:p>
        </w:tc>
        <w:tc>
          <w:tcPr>
            <w:tcW w:w="659" w:type="pct"/>
            <w:tcBorders>
              <w:top w:val="nil"/>
              <w:left w:val="nil"/>
              <w:bottom w:val="single" w:sz="4" w:space="0" w:color="auto"/>
              <w:right w:val="single" w:sz="4" w:space="0" w:color="auto"/>
            </w:tcBorders>
            <w:shd w:val="clear" w:color="000000" w:fill="FFFFFF"/>
            <w:noWrap/>
            <w:vAlign w:val="bottom"/>
            <w:hideMark/>
          </w:tcPr>
          <w:p w14:paraId="4AC2CD42" w14:textId="77777777" w:rsidR="002731E1" w:rsidRPr="002B5542" w:rsidRDefault="002731E1" w:rsidP="001E760F">
            <w:pPr>
              <w:keepNext/>
              <w:spacing w:after="0"/>
              <w:jc w:val="center"/>
              <w:rPr>
                <w:rFonts w:ascii="EC Square Sans Cond Pro" w:eastAsia="Times New Roman" w:hAnsi="EC Square Sans Cond Pro" w:cs="Calibri"/>
                <w:b/>
                <w:bCs/>
                <w:i/>
                <w:iCs/>
                <w:noProof/>
                <w:sz w:val="18"/>
                <w:szCs w:val="18"/>
                <w:lang w:val="en-IE"/>
              </w:rPr>
            </w:pPr>
            <w:r w:rsidRPr="002B5542">
              <w:rPr>
                <w:rFonts w:ascii="EC Square Sans Cond Pro" w:eastAsia="Times New Roman" w:hAnsi="EC Square Sans Cond Pro" w:cs="Calibri"/>
                <w:b/>
                <w:bCs/>
                <w:i/>
                <w:iCs/>
                <w:noProof/>
                <w:sz w:val="18"/>
                <w:szCs w:val="18"/>
                <w:lang w:val="en-IE"/>
              </w:rPr>
              <w:t>LIFE</w:t>
            </w:r>
          </w:p>
        </w:tc>
        <w:tc>
          <w:tcPr>
            <w:tcW w:w="738" w:type="pct"/>
            <w:tcBorders>
              <w:top w:val="nil"/>
              <w:left w:val="nil"/>
              <w:bottom w:val="single" w:sz="4" w:space="0" w:color="auto"/>
              <w:right w:val="nil"/>
            </w:tcBorders>
            <w:shd w:val="clear" w:color="000000" w:fill="FFFFFF"/>
            <w:noWrap/>
            <w:vAlign w:val="bottom"/>
            <w:hideMark/>
          </w:tcPr>
          <w:p w14:paraId="2E493039" w14:textId="0B8F5FC0" w:rsidR="002731E1" w:rsidRPr="002B5542" w:rsidRDefault="002731E1" w:rsidP="001E760F">
            <w:pPr>
              <w:keepNext/>
              <w:spacing w:after="0"/>
              <w:jc w:val="center"/>
              <w:rPr>
                <w:rFonts w:ascii="EC Square Sans Cond Pro" w:eastAsia="Times New Roman" w:hAnsi="EC Square Sans Cond Pro" w:cs="Calibri"/>
                <w:b/>
                <w:bCs/>
                <w:noProof/>
                <w:sz w:val="18"/>
                <w:szCs w:val="18"/>
                <w:lang w:val="en-IE"/>
              </w:rPr>
            </w:pPr>
            <w:r w:rsidRPr="002B5542">
              <w:rPr>
                <w:rFonts w:ascii="EC Square Sans Cond Pro" w:eastAsia="Times New Roman" w:hAnsi="EC Square Sans Cond Pro" w:cs="Calibri"/>
                <w:b/>
                <w:bCs/>
                <w:noProof/>
                <w:sz w:val="18"/>
                <w:szCs w:val="18"/>
                <w:lang w:val="en-IE"/>
              </w:rPr>
              <w:t>S</w:t>
            </w:r>
            <w:r w:rsidR="00FB075F">
              <w:rPr>
                <w:rFonts w:ascii="EC Square Sans Cond Pro" w:eastAsia="Times New Roman" w:hAnsi="EC Square Sans Cond Pro" w:cs="Calibri"/>
                <w:b/>
                <w:bCs/>
                <w:noProof/>
                <w:sz w:val="18"/>
                <w:szCs w:val="18"/>
                <w:lang w:val="en-IE"/>
              </w:rPr>
              <w:t>3</w:t>
            </w:r>
          </w:p>
        </w:tc>
        <w:tc>
          <w:tcPr>
            <w:tcW w:w="726" w:type="pct"/>
            <w:tcBorders>
              <w:top w:val="nil"/>
              <w:left w:val="nil"/>
              <w:bottom w:val="single" w:sz="4" w:space="0" w:color="auto"/>
              <w:right w:val="single" w:sz="4" w:space="0" w:color="auto"/>
            </w:tcBorders>
            <w:shd w:val="clear" w:color="000000" w:fill="FFFFFF"/>
            <w:noWrap/>
            <w:vAlign w:val="bottom"/>
            <w:hideMark/>
          </w:tcPr>
          <w:p w14:paraId="48CBCCFA" w14:textId="77777777" w:rsidR="002731E1" w:rsidRPr="00E04013" w:rsidRDefault="002731E1" w:rsidP="001E760F">
            <w:pPr>
              <w:keepNext/>
              <w:spacing w:after="0"/>
              <w:jc w:val="center"/>
              <w:rPr>
                <w:rFonts w:ascii="EC Square Sans Cond Pro" w:eastAsia="Times New Roman" w:hAnsi="EC Square Sans Cond Pro" w:cs="Calibri"/>
                <w:b/>
                <w:bCs/>
                <w:i/>
                <w:iCs/>
                <w:noProof/>
                <w:sz w:val="18"/>
                <w:szCs w:val="18"/>
                <w:highlight w:val="yellow"/>
                <w:lang w:val="en-IE"/>
              </w:rPr>
            </w:pPr>
            <w:r w:rsidRPr="00777304">
              <w:rPr>
                <w:rFonts w:ascii="EC Square Sans Cond Pro" w:eastAsia="Times New Roman" w:hAnsi="EC Square Sans Cond Pro" w:cs="Calibri"/>
                <w:b/>
                <w:i/>
                <w:noProof/>
                <w:sz w:val="18"/>
                <w:szCs w:val="18"/>
                <w:lang w:val="en-IE"/>
              </w:rPr>
              <w:t>LIFE</w:t>
            </w:r>
          </w:p>
        </w:tc>
      </w:tr>
      <w:tr w:rsidR="002731E1" w:rsidRPr="002B5542" w14:paraId="61B28FF5" w14:textId="77777777" w:rsidTr="00777304">
        <w:trPr>
          <w:trHeight w:val="468"/>
        </w:trPr>
        <w:tc>
          <w:tcPr>
            <w:tcW w:w="858" w:type="pct"/>
            <w:tcBorders>
              <w:top w:val="nil"/>
              <w:left w:val="single" w:sz="4" w:space="0" w:color="auto"/>
              <w:bottom w:val="nil"/>
              <w:right w:val="nil"/>
            </w:tcBorders>
            <w:shd w:val="clear" w:color="000000" w:fill="FFFFFF"/>
            <w:noWrap/>
            <w:vAlign w:val="bottom"/>
            <w:hideMark/>
          </w:tcPr>
          <w:p w14:paraId="487603D7" w14:textId="77777777" w:rsidR="002731E1" w:rsidRPr="005D4F38" w:rsidRDefault="002731E1" w:rsidP="001E760F">
            <w:pPr>
              <w:keepNext/>
              <w:spacing w:after="0"/>
              <w:jc w:val="center"/>
              <w:rPr>
                <w:rFonts w:ascii="EC Square Sans Cond Pro" w:eastAsia="Times New Roman" w:hAnsi="EC Square Sans Cond Pro" w:cs="Calibri"/>
                <w:b/>
                <w:noProof/>
                <w:color w:val="000000"/>
                <w:sz w:val="18"/>
                <w:szCs w:val="18"/>
                <w:lang w:val="es-419"/>
              </w:rPr>
            </w:pPr>
            <w:r w:rsidRPr="005D4F38">
              <w:rPr>
                <w:rFonts w:ascii="EC Square Sans Cond Pro" w:eastAsia="Times New Roman" w:hAnsi="EC Square Sans Cond Pro" w:cs="Calibri"/>
                <w:b/>
                <w:noProof/>
                <w:color w:val="000000"/>
                <w:sz w:val="18"/>
                <w:szCs w:val="18"/>
                <w:lang w:val="es-419"/>
              </w:rPr>
              <w:t>Total Net GHG - MtCO2-eq</w:t>
            </w:r>
          </w:p>
        </w:tc>
        <w:tc>
          <w:tcPr>
            <w:tcW w:w="679" w:type="pct"/>
            <w:tcBorders>
              <w:top w:val="nil"/>
              <w:left w:val="single" w:sz="4" w:space="0" w:color="auto"/>
              <w:bottom w:val="single" w:sz="4" w:space="0" w:color="auto"/>
              <w:right w:val="nil"/>
            </w:tcBorders>
            <w:shd w:val="clear" w:color="000000" w:fill="FFFFFF"/>
            <w:noWrap/>
            <w:vAlign w:val="bottom"/>
            <w:hideMark/>
          </w:tcPr>
          <w:p w14:paraId="727E1DDA" w14:textId="21CCA04B" w:rsidR="002731E1" w:rsidRPr="00F0780F" w:rsidRDefault="002731E1" w:rsidP="001E760F">
            <w:pPr>
              <w:keepNext/>
              <w:spacing w:after="0"/>
              <w:jc w:val="center"/>
              <w:rPr>
                <w:rFonts w:ascii="EC Square Sans Cond Pro" w:eastAsia="Times New Roman" w:hAnsi="EC Square Sans Cond Pro" w:cs="Calibri"/>
                <w:b/>
                <w:noProof/>
                <w:color w:val="000000"/>
                <w:sz w:val="18"/>
                <w:szCs w:val="18"/>
                <w:lang w:val="es-419"/>
              </w:rPr>
            </w:pPr>
            <w:r>
              <w:rPr>
                <w:rFonts w:ascii="EC Square Sans Cond Pro" w:eastAsia="Times New Roman" w:hAnsi="EC Square Sans Cond Pro" w:cs="Calibri"/>
                <w:b/>
                <w:noProof/>
                <w:color w:val="000000"/>
                <w:sz w:val="18"/>
                <w:szCs w:val="18"/>
                <w:lang w:val="es-419"/>
              </w:rPr>
              <w:t>1051 [1051</w:t>
            </w:r>
            <w:r w:rsidRPr="00F0780F">
              <w:rPr>
                <w:rFonts w:ascii="EC Square Sans Cond Pro" w:eastAsia="Times New Roman" w:hAnsi="EC Square Sans Cond Pro" w:cs="Calibri"/>
                <w:b/>
                <w:noProof/>
                <w:color w:val="000000"/>
                <w:sz w:val="18"/>
                <w:szCs w:val="18"/>
                <w:lang w:val="es-419"/>
              </w:rPr>
              <w:t xml:space="preserve"> to 8</w:t>
            </w:r>
            <w:r>
              <w:rPr>
                <w:rFonts w:ascii="EC Square Sans Cond Pro" w:eastAsia="Times New Roman" w:hAnsi="EC Square Sans Cond Pro" w:cs="Calibri"/>
                <w:b/>
                <w:noProof/>
                <w:color w:val="000000"/>
                <w:sz w:val="18"/>
                <w:szCs w:val="18"/>
                <w:lang w:val="es-419"/>
              </w:rPr>
              <w:t>9</w:t>
            </w:r>
            <w:r w:rsidR="000B2DEB">
              <w:rPr>
                <w:rFonts w:ascii="EC Square Sans Cond Pro" w:eastAsia="Times New Roman" w:hAnsi="EC Square Sans Cond Pro" w:cs="Calibri"/>
                <w:b/>
                <w:noProof/>
                <w:color w:val="000000"/>
                <w:sz w:val="18"/>
                <w:szCs w:val="18"/>
                <w:lang w:val="es-419"/>
              </w:rPr>
              <w:t>3</w:t>
            </w:r>
            <w:r w:rsidRPr="00F0780F">
              <w:rPr>
                <w:rFonts w:ascii="EC Square Sans Cond Pro" w:eastAsia="Times New Roman" w:hAnsi="EC Square Sans Cond Pro" w:cs="Calibri"/>
                <w:b/>
                <w:noProof/>
                <w:color w:val="000000"/>
                <w:sz w:val="18"/>
                <w:szCs w:val="18"/>
                <w:lang w:val="es-419"/>
              </w:rPr>
              <w:t>]</w:t>
            </w:r>
          </w:p>
        </w:tc>
        <w:tc>
          <w:tcPr>
            <w:tcW w:w="670" w:type="pct"/>
            <w:tcBorders>
              <w:top w:val="nil"/>
              <w:left w:val="nil"/>
              <w:bottom w:val="single" w:sz="4" w:space="0" w:color="auto"/>
              <w:right w:val="nil"/>
            </w:tcBorders>
            <w:shd w:val="clear" w:color="000000" w:fill="FFFFFF"/>
            <w:noWrap/>
            <w:vAlign w:val="bottom"/>
            <w:hideMark/>
          </w:tcPr>
          <w:p w14:paraId="6B4C30B9" w14:textId="415838A6" w:rsidR="002731E1" w:rsidRPr="00F0780F" w:rsidRDefault="002731E1" w:rsidP="001E760F">
            <w:pPr>
              <w:keepNext/>
              <w:spacing w:after="0"/>
              <w:jc w:val="center"/>
              <w:rPr>
                <w:rFonts w:ascii="EC Square Sans Cond Pro" w:eastAsia="Times New Roman" w:hAnsi="EC Square Sans Cond Pro" w:cs="Calibri"/>
                <w:b/>
                <w:noProof/>
                <w:color w:val="000000"/>
                <w:sz w:val="18"/>
                <w:szCs w:val="18"/>
                <w:lang w:val="es-419"/>
              </w:rPr>
            </w:pPr>
            <w:r w:rsidRPr="00F0780F">
              <w:rPr>
                <w:rFonts w:ascii="EC Square Sans Cond Pro" w:eastAsia="Times New Roman" w:hAnsi="EC Square Sans Cond Pro" w:cs="Calibri"/>
                <w:b/>
                <w:noProof/>
                <w:color w:val="000000"/>
                <w:sz w:val="18"/>
                <w:szCs w:val="18"/>
                <w:lang w:val="es-419"/>
              </w:rPr>
              <w:t>5</w:t>
            </w:r>
            <w:r w:rsidR="00D83C68">
              <w:rPr>
                <w:rFonts w:ascii="EC Square Sans Cond Pro" w:eastAsia="Times New Roman" w:hAnsi="EC Square Sans Cond Pro" w:cs="Calibri"/>
                <w:b/>
                <w:noProof/>
                <w:color w:val="000000"/>
                <w:sz w:val="18"/>
                <w:szCs w:val="18"/>
                <w:lang w:val="es-419"/>
              </w:rPr>
              <w:t>7</w:t>
            </w:r>
            <w:r w:rsidRPr="00F0780F">
              <w:rPr>
                <w:rFonts w:ascii="EC Square Sans Cond Pro" w:eastAsia="Times New Roman" w:hAnsi="EC Square Sans Cond Pro" w:cs="Calibri"/>
                <w:b/>
                <w:noProof/>
                <w:color w:val="000000"/>
                <w:sz w:val="18"/>
                <w:szCs w:val="18"/>
                <w:lang w:val="es-419"/>
              </w:rPr>
              <w:t>8 [</w:t>
            </w:r>
            <w:r w:rsidR="00777304" w:rsidRPr="00540112">
              <w:rPr>
                <w:rFonts w:ascii="EC Square Sans Cond Pro" w:eastAsia="Times New Roman" w:hAnsi="EC Square Sans Cond Pro" w:cs="Calibri"/>
                <w:b/>
                <w:noProof/>
                <w:color w:val="000000"/>
                <w:sz w:val="18"/>
                <w:szCs w:val="18"/>
                <w:lang w:val="es-419"/>
              </w:rPr>
              <w:t>6</w:t>
            </w:r>
            <w:r w:rsidR="00DB4A90">
              <w:rPr>
                <w:rFonts w:ascii="EC Square Sans Cond Pro" w:eastAsia="Times New Roman" w:hAnsi="EC Square Sans Cond Pro" w:cs="Calibri"/>
                <w:b/>
                <w:noProof/>
                <w:color w:val="000000"/>
                <w:sz w:val="18"/>
                <w:szCs w:val="18"/>
                <w:lang w:val="es-419"/>
              </w:rPr>
              <w:t>8</w:t>
            </w:r>
            <w:r w:rsidR="000B2DEB">
              <w:rPr>
                <w:rFonts w:ascii="EC Square Sans Cond Pro" w:eastAsia="Times New Roman" w:hAnsi="EC Square Sans Cond Pro" w:cs="Calibri"/>
                <w:b/>
                <w:noProof/>
                <w:color w:val="000000"/>
                <w:sz w:val="18"/>
                <w:szCs w:val="18"/>
                <w:lang w:val="es-419"/>
              </w:rPr>
              <w:t>1</w:t>
            </w:r>
            <w:r w:rsidRPr="00F0780F">
              <w:rPr>
                <w:rFonts w:ascii="EC Square Sans Cond Pro" w:eastAsia="Times New Roman" w:hAnsi="EC Square Sans Cond Pro" w:cs="Calibri"/>
                <w:b/>
                <w:noProof/>
                <w:color w:val="000000"/>
                <w:sz w:val="18"/>
                <w:szCs w:val="18"/>
                <w:lang w:val="es-419"/>
              </w:rPr>
              <w:t xml:space="preserve"> to </w:t>
            </w:r>
            <w:r w:rsidR="00DB4A90">
              <w:rPr>
                <w:rFonts w:ascii="EC Square Sans Cond Pro" w:eastAsia="Times New Roman" w:hAnsi="EC Square Sans Cond Pro" w:cs="Calibri"/>
                <w:b/>
                <w:noProof/>
                <w:color w:val="000000"/>
                <w:sz w:val="18"/>
                <w:szCs w:val="18"/>
                <w:lang w:val="es-419"/>
              </w:rPr>
              <w:t>520</w:t>
            </w:r>
            <w:r w:rsidRPr="00F0780F">
              <w:rPr>
                <w:rFonts w:ascii="EC Square Sans Cond Pro" w:eastAsia="Times New Roman" w:hAnsi="EC Square Sans Cond Pro" w:cs="Calibri"/>
                <w:b/>
                <w:noProof/>
                <w:color w:val="000000"/>
                <w:sz w:val="18"/>
                <w:szCs w:val="18"/>
                <w:lang w:val="es-419"/>
              </w:rPr>
              <w:t>]</w:t>
            </w:r>
          </w:p>
        </w:tc>
        <w:tc>
          <w:tcPr>
            <w:tcW w:w="670" w:type="pct"/>
            <w:tcBorders>
              <w:top w:val="nil"/>
              <w:left w:val="nil"/>
              <w:bottom w:val="single" w:sz="4" w:space="0" w:color="auto"/>
              <w:right w:val="nil"/>
            </w:tcBorders>
            <w:shd w:val="clear" w:color="000000" w:fill="FFFFFF"/>
            <w:noWrap/>
            <w:vAlign w:val="bottom"/>
            <w:hideMark/>
          </w:tcPr>
          <w:p w14:paraId="64F62536" w14:textId="534855B2" w:rsidR="002731E1" w:rsidRPr="00F0780F" w:rsidRDefault="002731E1" w:rsidP="001E760F">
            <w:pPr>
              <w:keepNext/>
              <w:spacing w:after="0"/>
              <w:jc w:val="center"/>
              <w:rPr>
                <w:rFonts w:ascii="EC Square Sans Cond Pro" w:eastAsia="Times New Roman" w:hAnsi="EC Square Sans Cond Pro" w:cs="Calibri"/>
                <w:b/>
                <w:noProof/>
                <w:color w:val="000000"/>
                <w:sz w:val="18"/>
                <w:szCs w:val="18"/>
                <w:lang w:val="es-419"/>
              </w:rPr>
            </w:pPr>
            <w:r w:rsidRPr="00F0780F">
              <w:rPr>
                <w:rFonts w:ascii="EC Square Sans Cond Pro" w:eastAsia="Times New Roman" w:hAnsi="EC Square Sans Cond Pro" w:cs="Calibri"/>
                <w:b/>
                <w:noProof/>
                <w:color w:val="000000"/>
                <w:sz w:val="18"/>
                <w:szCs w:val="18"/>
                <w:lang w:val="es-419"/>
              </w:rPr>
              <w:t>356 [4</w:t>
            </w:r>
            <w:r w:rsidR="000B2DEB">
              <w:rPr>
                <w:rFonts w:ascii="EC Square Sans Cond Pro" w:eastAsia="Times New Roman" w:hAnsi="EC Square Sans Cond Pro" w:cs="Calibri"/>
                <w:b/>
                <w:noProof/>
                <w:color w:val="000000"/>
                <w:sz w:val="18"/>
                <w:szCs w:val="18"/>
                <w:lang w:val="es-419"/>
              </w:rPr>
              <w:t>58</w:t>
            </w:r>
            <w:r w:rsidRPr="00F0780F">
              <w:rPr>
                <w:rFonts w:ascii="EC Square Sans Cond Pro" w:eastAsia="Times New Roman" w:hAnsi="EC Square Sans Cond Pro" w:cs="Calibri"/>
                <w:b/>
                <w:noProof/>
                <w:color w:val="000000"/>
                <w:sz w:val="18"/>
                <w:szCs w:val="18"/>
                <w:lang w:val="es-419"/>
              </w:rPr>
              <w:t xml:space="preserve"> to </w:t>
            </w:r>
            <w:r w:rsidR="00777304" w:rsidRPr="00540112">
              <w:rPr>
                <w:rFonts w:ascii="EC Square Sans Cond Pro" w:eastAsia="Times New Roman" w:hAnsi="EC Square Sans Cond Pro" w:cs="Calibri"/>
                <w:b/>
                <w:noProof/>
                <w:color w:val="000000"/>
                <w:sz w:val="18"/>
                <w:szCs w:val="18"/>
                <w:lang w:val="es-419"/>
              </w:rPr>
              <w:t>298</w:t>
            </w:r>
            <w:r w:rsidRPr="00F0780F">
              <w:rPr>
                <w:rFonts w:ascii="EC Square Sans Cond Pro" w:eastAsia="Times New Roman" w:hAnsi="EC Square Sans Cond Pro" w:cs="Calibri"/>
                <w:b/>
                <w:noProof/>
                <w:color w:val="000000"/>
                <w:sz w:val="18"/>
                <w:szCs w:val="18"/>
                <w:lang w:val="es-419"/>
              </w:rPr>
              <w:t>]</w:t>
            </w:r>
          </w:p>
        </w:tc>
        <w:tc>
          <w:tcPr>
            <w:tcW w:w="659" w:type="pct"/>
            <w:tcBorders>
              <w:top w:val="nil"/>
              <w:left w:val="nil"/>
              <w:bottom w:val="single" w:sz="4" w:space="0" w:color="auto"/>
              <w:right w:val="single" w:sz="4" w:space="0" w:color="auto"/>
            </w:tcBorders>
            <w:shd w:val="clear" w:color="000000" w:fill="FFFFFF"/>
            <w:noWrap/>
            <w:vAlign w:val="bottom"/>
            <w:hideMark/>
          </w:tcPr>
          <w:p w14:paraId="51FE7A22" w14:textId="1CD6081E" w:rsidR="002731E1" w:rsidRPr="00E04013" w:rsidRDefault="00777304" w:rsidP="001E760F">
            <w:pPr>
              <w:keepNext/>
              <w:spacing w:after="0"/>
              <w:jc w:val="center"/>
              <w:rPr>
                <w:rFonts w:ascii="EC Square Sans Cond Pro" w:eastAsia="Times New Roman" w:hAnsi="EC Square Sans Cond Pro" w:cs="Calibri"/>
                <w:b/>
                <w:noProof/>
                <w:color w:val="000000"/>
                <w:sz w:val="18"/>
                <w:szCs w:val="18"/>
                <w:highlight w:val="yellow"/>
                <w:lang w:val="es-419"/>
              </w:rPr>
            </w:pPr>
            <w:r w:rsidRPr="00467742">
              <w:rPr>
                <w:rFonts w:ascii="EC Square Sans Cond Pro" w:eastAsia="Times New Roman" w:hAnsi="EC Square Sans Cond Pro" w:cs="Calibri"/>
                <w:b/>
                <w:noProof/>
                <w:color w:val="000000"/>
                <w:sz w:val="18"/>
                <w:szCs w:val="18"/>
                <w:lang w:val="es-419"/>
              </w:rPr>
              <w:t>353 [469 to 302]</w:t>
            </w:r>
          </w:p>
        </w:tc>
        <w:tc>
          <w:tcPr>
            <w:tcW w:w="738" w:type="pct"/>
            <w:tcBorders>
              <w:top w:val="nil"/>
              <w:left w:val="nil"/>
              <w:bottom w:val="single" w:sz="4" w:space="0" w:color="auto"/>
              <w:right w:val="nil"/>
            </w:tcBorders>
            <w:shd w:val="clear" w:color="000000" w:fill="FFFFFF"/>
            <w:noWrap/>
            <w:hideMark/>
          </w:tcPr>
          <w:p w14:paraId="2AA04B4F" w14:textId="5DA61F8F" w:rsidR="002731E1" w:rsidRPr="00F0780F" w:rsidRDefault="002731E1" w:rsidP="001E760F">
            <w:pPr>
              <w:keepNext/>
              <w:spacing w:after="0"/>
              <w:jc w:val="center"/>
              <w:rPr>
                <w:rFonts w:ascii="EC Square Sans Cond Pro" w:eastAsia="Times New Roman" w:hAnsi="EC Square Sans Cond Pro" w:cs="Calibri"/>
                <w:b/>
                <w:noProof/>
                <w:color w:val="000000"/>
                <w:sz w:val="18"/>
                <w:szCs w:val="18"/>
                <w:lang w:val="es-419"/>
              </w:rPr>
            </w:pPr>
            <w:r w:rsidRPr="00F0780F">
              <w:rPr>
                <w:rFonts w:ascii="EC Square Sans Cond Pro" w:eastAsia="Times New Roman" w:hAnsi="EC Square Sans Cond Pro" w:cs="Calibri"/>
                <w:b/>
                <w:noProof/>
                <w:color w:val="000000"/>
                <w:sz w:val="18"/>
                <w:szCs w:val="18"/>
                <w:lang w:val="es-419"/>
              </w:rPr>
              <w:t>-</w:t>
            </w:r>
            <w:r w:rsidR="00777304" w:rsidRPr="00540112">
              <w:rPr>
                <w:rFonts w:ascii="EC Square Sans Cond Pro" w:eastAsia="Times New Roman" w:hAnsi="EC Square Sans Cond Pro" w:cs="Calibri"/>
                <w:b/>
                <w:noProof/>
                <w:color w:val="000000"/>
                <w:sz w:val="18"/>
                <w:szCs w:val="18"/>
                <w:lang w:val="es-419"/>
              </w:rPr>
              <w:t>3</w:t>
            </w:r>
            <w:r w:rsidR="00FB075F">
              <w:rPr>
                <w:rFonts w:ascii="EC Square Sans Cond Pro" w:eastAsia="Times New Roman" w:hAnsi="EC Square Sans Cond Pro" w:cs="Calibri"/>
                <w:b/>
                <w:noProof/>
                <w:color w:val="000000"/>
                <w:sz w:val="18"/>
                <w:szCs w:val="18"/>
                <w:lang w:val="es-419"/>
              </w:rPr>
              <w:t>8</w:t>
            </w:r>
            <w:r w:rsidR="00777304" w:rsidRPr="00540112">
              <w:rPr>
                <w:rFonts w:ascii="EC Square Sans Cond Pro" w:eastAsia="Times New Roman" w:hAnsi="EC Square Sans Cond Pro" w:cs="Calibri"/>
                <w:b/>
                <w:noProof/>
                <w:color w:val="000000"/>
                <w:sz w:val="18"/>
                <w:szCs w:val="18"/>
                <w:lang w:val="es-419"/>
              </w:rPr>
              <w:t xml:space="preserve"> [90</w:t>
            </w:r>
            <w:r w:rsidRPr="00F0780F">
              <w:rPr>
                <w:rFonts w:ascii="EC Square Sans Cond Pro" w:eastAsia="Times New Roman" w:hAnsi="EC Square Sans Cond Pro" w:cs="Calibri"/>
                <w:b/>
                <w:noProof/>
                <w:color w:val="000000"/>
                <w:sz w:val="18"/>
                <w:szCs w:val="18"/>
                <w:lang w:val="es-419"/>
              </w:rPr>
              <w:t xml:space="preserve"> to </w:t>
            </w:r>
            <w:r>
              <w:rPr>
                <w:rFonts w:ascii="EC Square Sans Cond Pro" w:eastAsia="Times New Roman" w:hAnsi="EC Square Sans Cond Pro" w:cs="Calibri"/>
                <w:b/>
                <w:noProof/>
                <w:color w:val="000000"/>
                <w:sz w:val="18"/>
                <w:szCs w:val="18"/>
                <w:lang w:val="es-419"/>
              </w:rPr>
              <w:br/>
            </w:r>
            <w:r w:rsidRPr="00F0780F">
              <w:rPr>
                <w:rFonts w:ascii="EC Square Sans Cond Pro" w:eastAsia="Times New Roman" w:hAnsi="EC Square Sans Cond Pro" w:cs="Calibri"/>
                <w:b/>
                <w:noProof/>
                <w:color w:val="000000"/>
                <w:sz w:val="18"/>
                <w:szCs w:val="18"/>
                <w:lang w:val="es-419"/>
              </w:rPr>
              <w:t>-</w:t>
            </w:r>
            <w:r w:rsidR="00777304" w:rsidRPr="00540112">
              <w:rPr>
                <w:rFonts w:ascii="EC Square Sans Cond Pro" w:eastAsia="Times New Roman" w:hAnsi="EC Square Sans Cond Pro" w:cs="Calibri"/>
                <w:b/>
                <w:noProof/>
                <w:color w:val="000000"/>
                <w:sz w:val="18"/>
                <w:szCs w:val="18"/>
                <w:lang w:val="es-419"/>
              </w:rPr>
              <w:t>100</w:t>
            </w:r>
            <w:r w:rsidRPr="00F0780F">
              <w:rPr>
                <w:rFonts w:ascii="EC Square Sans Cond Pro" w:eastAsia="Times New Roman" w:hAnsi="EC Square Sans Cond Pro" w:cs="Calibri"/>
                <w:b/>
                <w:noProof/>
                <w:color w:val="000000"/>
                <w:sz w:val="18"/>
                <w:szCs w:val="18"/>
                <w:lang w:val="es-419"/>
              </w:rPr>
              <w:t>]</w:t>
            </w:r>
          </w:p>
        </w:tc>
        <w:tc>
          <w:tcPr>
            <w:tcW w:w="726" w:type="pct"/>
            <w:tcBorders>
              <w:top w:val="nil"/>
              <w:left w:val="nil"/>
              <w:bottom w:val="single" w:sz="4" w:space="0" w:color="auto"/>
              <w:right w:val="single" w:sz="4" w:space="0" w:color="auto"/>
            </w:tcBorders>
            <w:shd w:val="clear" w:color="000000" w:fill="FFFFFF"/>
            <w:noWrap/>
            <w:vAlign w:val="bottom"/>
            <w:hideMark/>
          </w:tcPr>
          <w:p w14:paraId="6275F12F" w14:textId="295F9222" w:rsidR="002731E1" w:rsidRPr="00E04013" w:rsidRDefault="002731E1" w:rsidP="001E760F">
            <w:pPr>
              <w:keepNext/>
              <w:spacing w:after="0"/>
              <w:jc w:val="center"/>
              <w:rPr>
                <w:rFonts w:ascii="EC Square Sans Cond Pro" w:eastAsia="Times New Roman" w:hAnsi="EC Square Sans Cond Pro" w:cs="Calibri"/>
                <w:b/>
                <w:noProof/>
                <w:color w:val="000000"/>
                <w:sz w:val="18"/>
                <w:szCs w:val="18"/>
                <w:highlight w:val="yellow"/>
                <w:lang w:val="es-419"/>
              </w:rPr>
            </w:pPr>
            <w:r w:rsidRPr="00467742">
              <w:rPr>
                <w:rFonts w:ascii="EC Square Sans Cond Pro" w:eastAsia="Times New Roman" w:hAnsi="EC Square Sans Cond Pro" w:cs="Calibri"/>
                <w:b/>
                <w:noProof/>
                <w:color w:val="000000"/>
                <w:sz w:val="18"/>
                <w:szCs w:val="18"/>
                <w:lang w:val="es-419"/>
              </w:rPr>
              <w:t>-</w:t>
            </w:r>
            <w:r w:rsidR="00777304" w:rsidRPr="00467742">
              <w:rPr>
                <w:rFonts w:ascii="EC Square Sans Cond Pro" w:eastAsia="Times New Roman" w:hAnsi="EC Square Sans Cond Pro" w:cs="Calibri"/>
                <w:b/>
                <w:noProof/>
                <w:color w:val="000000"/>
                <w:sz w:val="18"/>
                <w:szCs w:val="18"/>
                <w:lang w:val="es-419"/>
              </w:rPr>
              <w:t>70 [85</w:t>
            </w:r>
            <w:r w:rsidRPr="00467742">
              <w:rPr>
                <w:rFonts w:ascii="EC Square Sans Cond Pro" w:eastAsia="Times New Roman" w:hAnsi="EC Square Sans Cond Pro" w:cs="Calibri"/>
                <w:b/>
                <w:noProof/>
                <w:color w:val="000000"/>
                <w:sz w:val="18"/>
                <w:szCs w:val="18"/>
                <w:lang w:val="es-419"/>
              </w:rPr>
              <w:t xml:space="preserve"> to </w:t>
            </w:r>
            <w:r w:rsidRPr="00467742">
              <w:rPr>
                <w:rFonts w:ascii="EC Square Sans Cond Pro" w:eastAsia="Times New Roman" w:hAnsi="EC Square Sans Cond Pro" w:cs="Calibri"/>
                <w:b/>
                <w:noProof/>
                <w:color w:val="000000"/>
                <w:sz w:val="18"/>
                <w:szCs w:val="18"/>
                <w:lang w:val="es-419"/>
              </w:rPr>
              <w:noBreakHyphen/>
            </w:r>
            <w:r w:rsidR="00777304" w:rsidRPr="00467742">
              <w:rPr>
                <w:rFonts w:ascii="EC Square Sans Cond Pro" w:eastAsia="Times New Roman" w:hAnsi="EC Square Sans Cond Pro" w:cs="Calibri"/>
                <w:b/>
                <w:noProof/>
                <w:color w:val="000000"/>
                <w:sz w:val="18"/>
                <w:szCs w:val="18"/>
                <w:lang w:val="es-419"/>
              </w:rPr>
              <w:t>117</w:t>
            </w:r>
            <w:r w:rsidRPr="00467742">
              <w:rPr>
                <w:rFonts w:ascii="EC Square Sans Cond Pro" w:eastAsia="Times New Roman" w:hAnsi="EC Square Sans Cond Pro" w:cs="Calibri"/>
                <w:b/>
                <w:noProof/>
                <w:color w:val="000000"/>
                <w:sz w:val="18"/>
                <w:szCs w:val="18"/>
                <w:lang w:val="es-419"/>
              </w:rPr>
              <w:t>]</w:t>
            </w:r>
          </w:p>
        </w:tc>
      </w:tr>
      <w:tr w:rsidR="002731E1" w:rsidRPr="002B5542" w14:paraId="093FCD85" w14:textId="77777777" w:rsidTr="00777304">
        <w:trPr>
          <w:trHeight w:val="468"/>
        </w:trPr>
        <w:tc>
          <w:tcPr>
            <w:tcW w:w="858" w:type="pct"/>
            <w:tcBorders>
              <w:top w:val="single" w:sz="4" w:space="0" w:color="auto"/>
              <w:left w:val="single" w:sz="4" w:space="0" w:color="auto"/>
              <w:bottom w:val="single" w:sz="4" w:space="0" w:color="auto"/>
              <w:right w:val="nil"/>
            </w:tcBorders>
            <w:shd w:val="clear" w:color="000000" w:fill="FFFFFF"/>
            <w:noWrap/>
            <w:vAlign w:val="bottom"/>
            <w:hideMark/>
          </w:tcPr>
          <w:p w14:paraId="1A499BD3" w14:textId="708220AD" w:rsidR="002731E1" w:rsidRPr="002B5542" w:rsidRDefault="002731E1" w:rsidP="001E760F">
            <w:pPr>
              <w:keepNext/>
              <w:spacing w:after="0"/>
              <w:jc w:val="center"/>
              <w:rPr>
                <w:rFonts w:ascii="EC Square Sans Cond Pro" w:eastAsia="Times New Roman" w:hAnsi="EC Square Sans Cond Pro" w:cs="Calibri"/>
                <w:b/>
                <w:bCs/>
                <w:noProof/>
                <w:color w:val="000000"/>
                <w:sz w:val="18"/>
                <w:szCs w:val="18"/>
                <w:lang w:val="en-IE"/>
              </w:rPr>
            </w:pPr>
            <w:r w:rsidRPr="002B5542">
              <w:rPr>
                <w:rFonts w:ascii="EC Square Sans Cond Pro" w:eastAsia="Times New Roman" w:hAnsi="EC Square Sans Cond Pro" w:cs="Calibri"/>
                <w:b/>
                <w:bCs/>
                <w:noProof/>
                <w:color w:val="000000"/>
                <w:sz w:val="18"/>
                <w:szCs w:val="18"/>
                <w:lang w:val="en-IE"/>
              </w:rPr>
              <w:t>Reduction vs 1990 - %</w:t>
            </w:r>
          </w:p>
        </w:tc>
        <w:tc>
          <w:tcPr>
            <w:tcW w:w="679" w:type="pct"/>
            <w:tcBorders>
              <w:top w:val="single" w:sz="4" w:space="0" w:color="auto"/>
              <w:left w:val="single" w:sz="4" w:space="0" w:color="auto"/>
              <w:bottom w:val="single" w:sz="4" w:space="0" w:color="auto"/>
              <w:right w:val="nil"/>
            </w:tcBorders>
            <w:shd w:val="clear" w:color="000000" w:fill="FFFFFF"/>
            <w:noWrap/>
            <w:vAlign w:val="bottom"/>
            <w:hideMark/>
          </w:tcPr>
          <w:p w14:paraId="14EB9DC2" w14:textId="77777777" w:rsidR="002731E1" w:rsidRPr="002B5542" w:rsidRDefault="002731E1" w:rsidP="001E760F">
            <w:pPr>
              <w:keepNext/>
              <w:spacing w:after="0"/>
              <w:jc w:val="center"/>
              <w:rPr>
                <w:rFonts w:ascii="EC Square Sans Cond Pro" w:eastAsia="Times New Roman" w:hAnsi="EC Square Sans Cond Pro" w:cs="Calibri"/>
                <w:noProof/>
                <w:color w:val="000000"/>
                <w:sz w:val="18"/>
                <w:szCs w:val="18"/>
                <w:lang w:val="en-IE"/>
              </w:rPr>
            </w:pPr>
            <w:r w:rsidRPr="00C66E72">
              <w:rPr>
                <w:rFonts w:ascii="EC Square Sans Cond Pro" w:hAnsi="EC Square Sans Cond Pro" w:cs="Calibri"/>
                <w:noProof/>
                <w:color w:val="000000"/>
                <w:sz w:val="18"/>
                <w:szCs w:val="18"/>
              </w:rPr>
              <w:t>-</w:t>
            </w:r>
            <w:r>
              <w:rPr>
                <w:rFonts w:ascii="EC Square Sans Cond Pro" w:hAnsi="EC Square Sans Cond Pro" w:cs="Calibri"/>
                <w:noProof/>
                <w:color w:val="000000"/>
                <w:sz w:val="18"/>
                <w:szCs w:val="18"/>
              </w:rPr>
              <w:t>78</w:t>
            </w:r>
            <w:r w:rsidRPr="00C66E72">
              <w:rPr>
                <w:rFonts w:ascii="EC Square Sans Cond Pro" w:hAnsi="EC Square Sans Cond Pro" w:cs="Calibri"/>
                <w:noProof/>
                <w:color w:val="000000"/>
                <w:sz w:val="18"/>
                <w:szCs w:val="18"/>
              </w:rPr>
              <w:t>% [-7</w:t>
            </w:r>
            <w:r>
              <w:rPr>
                <w:rFonts w:ascii="EC Square Sans Cond Pro" w:hAnsi="EC Square Sans Cond Pro" w:cs="Calibri"/>
                <w:noProof/>
                <w:color w:val="000000"/>
                <w:sz w:val="18"/>
                <w:szCs w:val="18"/>
              </w:rPr>
              <w:t>8</w:t>
            </w:r>
            <w:r w:rsidRPr="00C66E72">
              <w:rPr>
                <w:rFonts w:ascii="EC Square Sans Cond Pro" w:hAnsi="EC Square Sans Cond Pro" w:cs="Calibri"/>
                <w:noProof/>
                <w:color w:val="000000"/>
                <w:sz w:val="18"/>
                <w:szCs w:val="18"/>
              </w:rPr>
              <w:t>% to -8</w:t>
            </w:r>
            <w:r>
              <w:rPr>
                <w:rFonts w:ascii="EC Square Sans Cond Pro" w:hAnsi="EC Square Sans Cond Pro" w:cs="Calibri"/>
                <w:noProof/>
                <w:color w:val="000000"/>
                <w:sz w:val="18"/>
                <w:szCs w:val="18"/>
              </w:rPr>
              <w:t>1</w:t>
            </w:r>
            <w:r w:rsidRPr="00C66E72">
              <w:rPr>
                <w:rFonts w:ascii="EC Square Sans Cond Pro" w:hAnsi="EC Square Sans Cond Pro" w:cs="Calibri"/>
                <w:noProof/>
                <w:color w:val="000000"/>
                <w:sz w:val="18"/>
                <w:szCs w:val="18"/>
              </w:rPr>
              <w:t>%]</w:t>
            </w:r>
          </w:p>
        </w:tc>
        <w:tc>
          <w:tcPr>
            <w:tcW w:w="670" w:type="pct"/>
            <w:tcBorders>
              <w:top w:val="single" w:sz="4" w:space="0" w:color="auto"/>
              <w:left w:val="nil"/>
              <w:bottom w:val="single" w:sz="4" w:space="0" w:color="auto"/>
              <w:right w:val="nil"/>
            </w:tcBorders>
            <w:shd w:val="clear" w:color="000000" w:fill="FFFFFF"/>
            <w:noWrap/>
            <w:vAlign w:val="bottom"/>
            <w:hideMark/>
          </w:tcPr>
          <w:p w14:paraId="2E0FE67B" w14:textId="4B2C8E06" w:rsidR="002731E1" w:rsidRPr="002B5542" w:rsidRDefault="002731E1" w:rsidP="001E760F">
            <w:pPr>
              <w:keepNext/>
              <w:spacing w:after="0"/>
              <w:jc w:val="center"/>
              <w:rPr>
                <w:rFonts w:ascii="EC Square Sans Cond Pro" w:eastAsia="Times New Roman" w:hAnsi="EC Square Sans Cond Pro" w:cs="Calibri"/>
                <w:noProof/>
                <w:color w:val="000000"/>
                <w:sz w:val="18"/>
                <w:szCs w:val="18"/>
                <w:lang w:val="en-IE"/>
              </w:rPr>
            </w:pPr>
            <w:r w:rsidRPr="00C66E72">
              <w:rPr>
                <w:rFonts w:ascii="EC Square Sans Cond Pro" w:hAnsi="EC Square Sans Cond Pro" w:cs="Calibri"/>
                <w:noProof/>
                <w:color w:val="000000"/>
                <w:sz w:val="18"/>
                <w:szCs w:val="18"/>
              </w:rPr>
              <w:t>-88% [-86% to -</w:t>
            </w:r>
            <w:r w:rsidR="001224FA">
              <w:rPr>
                <w:rFonts w:ascii="EC Square Sans Cond Pro" w:hAnsi="EC Square Sans Cond Pro" w:cs="Calibri"/>
                <w:noProof/>
                <w:color w:val="000000"/>
                <w:sz w:val="18"/>
                <w:szCs w:val="18"/>
              </w:rPr>
              <w:t>89</w:t>
            </w:r>
            <w:r w:rsidRPr="00C66E72">
              <w:rPr>
                <w:rFonts w:ascii="EC Square Sans Cond Pro" w:hAnsi="EC Square Sans Cond Pro" w:cs="Calibri"/>
                <w:noProof/>
                <w:color w:val="000000"/>
                <w:sz w:val="18"/>
                <w:szCs w:val="18"/>
              </w:rPr>
              <w:t>%]</w:t>
            </w:r>
          </w:p>
        </w:tc>
        <w:tc>
          <w:tcPr>
            <w:tcW w:w="670" w:type="pct"/>
            <w:tcBorders>
              <w:top w:val="single" w:sz="4" w:space="0" w:color="auto"/>
              <w:left w:val="nil"/>
              <w:bottom w:val="single" w:sz="4" w:space="0" w:color="auto"/>
              <w:right w:val="nil"/>
            </w:tcBorders>
            <w:shd w:val="clear" w:color="000000" w:fill="FFFFFF"/>
            <w:noWrap/>
            <w:vAlign w:val="bottom"/>
            <w:hideMark/>
          </w:tcPr>
          <w:p w14:paraId="3309CFB5" w14:textId="77777777" w:rsidR="002731E1" w:rsidRPr="002B5542" w:rsidRDefault="002731E1" w:rsidP="001E760F">
            <w:pPr>
              <w:keepNext/>
              <w:spacing w:after="0"/>
              <w:jc w:val="center"/>
              <w:rPr>
                <w:rFonts w:ascii="EC Square Sans Cond Pro" w:eastAsia="Times New Roman" w:hAnsi="EC Square Sans Cond Pro" w:cs="Calibri"/>
                <w:noProof/>
                <w:color w:val="000000"/>
                <w:sz w:val="18"/>
                <w:szCs w:val="18"/>
                <w:lang w:val="en-IE"/>
              </w:rPr>
            </w:pPr>
            <w:r w:rsidRPr="00C66E72">
              <w:rPr>
                <w:rFonts w:ascii="EC Square Sans Cond Pro" w:hAnsi="EC Square Sans Cond Pro" w:cs="Calibri"/>
                <w:noProof/>
                <w:color w:val="000000"/>
                <w:sz w:val="18"/>
                <w:szCs w:val="18"/>
              </w:rPr>
              <w:t>-92% [-90% to -94%]</w:t>
            </w:r>
          </w:p>
        </w:tc>
        <w:tc>
          <w:tcPr>
            <w:tcW w:w="659" w:type="pct"/>
            <w:tcBorders>
              <w:top w:val="single" w:sz="4" w:space="0" w:color="auto"/>
              <w:left w:val="nil"/>
              <w:bottom w:val="single" w:sz="4" w:space="0" w:color="auto"/>
              <w:right w:val="single" w:sz="4" w:space="0" w:color="auto"/>
            </w:tcBorders>
            <w:shd w:val="clear" w:color="000000" w:fill="FFFFFF"/>
            <w:noWrap/>
            <w:vAlign w:val="bottom"/>
            <w:hideMark/>
          </w:tcPr>
          <w:p w14:paraId="1A72101F" w14:textId="6CBE664D" w:rsidR="002731E1" w:rsidRPr="00E04013" w:rsidRDefault="002731E1" w:rsidP="001E760F">
            <w:pPr>
              <w:keepNext/>
              <w:spacing w:after="0"/>
              <w:jc w:val="center"/>
              <w:rPr>
                <w:rFonts w:ascii="EC Square Sans Cond Pro" w:eastAsia="Times New Roman" w:hAnsi="EC Square Sans Cond Pro" w:cs="Calibri"/>
                <w:i/>
                <w:iCs/>
                <w:noProof/>
                <w:color w:val="000000"/>
                <w:sz w:val="18"/>
                <w:szCs w:val="18"/>
                <w:highlight w:val="yellow"/>
                <w:lang w:val="en-IE"/>
              </w:rPr>
            </w:pPr>
            <w:r w:rsidRPr="00467742">
              <w:rPr>
                <w:rFonts w:ascii="EC Square Sans Cond Pro" w:hAnsi="EC Square Sans Cond Pro" w:cs="Calibri"/>
                <w:i/>
                <w:noProof/>
                <w:color w:val="000000"/>
                <w:sz w:val="18"/>
                <w:szCs w:val="18"/>
              </w:rPr>
              <w:t>-</w:t>
            </w:r>
            <w:r w:rsidR="00777304" w:rsidRPr="00467742">
              <w:rPr>
                <w:rFonts w:ascii="EC Square Sans Cond Pro" w:hAnsi="EC Square Sans Cond Pro" w:cs="Calibri"/>
                <w:i/>
                <w:noProof/>
                <w:color w:val="000000"/>
                <w:sz w:val="18"/>
                <w:szCs w:val="18"/>
              </w:rPr>
              <w:t>93% [-90</w:t>
            </w:r>
            <w:r w:rsidRPr="00467742">
              <w:rPr>
                <w:rFonts w:ascii="EC Square Sans Cond Pro" w:hAnsi="EC Square Sans Cond Pro" w:cs="Calibri"/>
                <w:i/>
                <w:noProof/>
                <w:color w:val="000000"/>
                <w:sz w:val="18"/>
                <w:szCs w:val="18"/>
              </w:rPr>
              <w:t>% to -</w:t>
            </w:r>
            <w:r w:rsidR="00777304" w:rsidRPr="00467742">
              <w:rPr>
                <w:rFonts w:ascii="EC Square Sans Cond Pro" w:hAnsi="EC Square Sans Cond Pro" w:cs="Calibri"/>
                <w:i/>
                <w:noProof/>
                <w:color w:val="000000"/>
                <w:sz w:val="18"/>
                <w:szCs w:val="18"/>
              </w:rPr>
              <w:t>94</w:t>
            </w:r>
            <w:r w:rsidRPr="00467742">
              <w:rPr>
                <w:rFonts w:ascii="EC Square Sans Cond Pro" w:hAnsi="EC Square Sans Cond Pro" w:cs="Calibri"/>
                <w:i/>
                <w:noProof/>
                <w:color w:val="000000"/>
                <w:sz w:val="18"/>
                <w:szCs w:val="18"/>
              </w:rPr>
              <w:t>%]</w:t>
            </w:r>
          </w:p>
        </w:tc>
        <w:tc>
          <w:tcPr>
            <w:tcW w:w="738" w:type="pct"/>
            <w:tcBorders>
              <w:top w:val="single" w:sz="4" w:space="0" w:color="auto"/>
              <w:left w:val="nil"/>
              <w:bottom w:val="single" w:sz="4" w:space="0" w:color="auto"/>
              <w:right w:val="nil"/>
            </w:tcBorders>
            <w:shd w:val="clear" w:color="000000" w:fill="FFFFFF"/>
            <w:noWrap/>
            <w:vAlign w:val="bottom"/>
            <w:hideMark/>
          </w:tcPr>
          <w:p w14:paraId="24E14609" w14:textId="77777777" w:rsidR="002731E1" w:rsidRPr="002B5542" w:rsidRDefault="002731E1" w:rsidP="001E760F">
            <w:pPr>
              <w:keepNext/>
              <w:spacing w:after="0"/>
              <w:jc w:val="center"/>
              <w:rPr>
                <w:rFonts w:ascii="EC Square Sans Cond Pro" w:eastAsia="Times New Roman" w:hAnsi="EC Square Sans Cond Pro" w:cs="Calibri"/>
                <w:noProof/>
                <w:color w:val="000000"/>
                <w:sz w:val="18"/>
                <w:szCs w:val="18"/>
                <w:lang w:val="en-IE"/>
              </w:rPr>
            </w:pPr>
            <w:r w:rsidRPr="00C66E72">
              <w:rPr>
                <w:rFonts w:ascii="EC Square Sans Cond Pro" w:hAnsi="EC Square Sans Cond Pro" w:cs="Calibri"/>
                <w:noProof/>
                <w:color w:val="000000"/>
                <w:sz w:val="18"/>
                <w:szCs w:val="18"/>
              </w:rPr>
              <w:t>-101% [-98% to -102%]</w:t>
            </w:r>
          </w:p>
        </w:tc>
        <w:tc>
          <w:tcPr>
            <w:tcW w:w="726" w:type="pct"/>
            <w:tcBorders>
              <w:top w:val="single" w:sz="4" w:space="0" w:color="auto"/>
              <w:left w:val="nil"/>
              <w:bottom w:val="single" w:sz="4" w:space="0" w:color="auto"/>
              <w:right w:val="single" w:sz="4" w:space="0" w:color="auto"/>
            </w:tcBorders>
            <w:shd w:val="clear" w:color="000000" w:fill="FFFFFF"/>
            <w:noWrap/>
            <w:vAlign w:val="bottom"/>
            <w:hideMark/>
          </w:tcPr>
          <w:p w14:paraId="714899C3" w14:textId="3F97759B" w:rsidR="002731E1" w:rsidRPr="00E04013" w:rsidRDefault="002731E1" w:rsidP="001E760F">
            <w:pPr>
              <w:keepNext/>
              <w:spacing w:after="0"/>
              <w:jc w:val="center"/>
              <w:rPr>
                <w:rFonts w:ascii="EC Square Sans Cond Pro" w:eastAsia="Times New Roman" w:hAnsi="EC Square Sans Cond Pro" w:cs="Calibri"/>
                <w:i/>
                <w:iCs/>
                <w:noProof/>
                <w:color w:val="000000"/>
                <w:sz w:val="18"/>
                <w:szCs w:val="18"/>
                <w:highlight w:val="yellow"/>
                <w:lang w:val="en-IE"/>
              </w:rPr>
            </w:pPr>
            <w:r w:rsidRPr="00467742">
              <w:rPr>
                <w:rFonts w:ascii="EC Square Sans Cond Pro" w:hAnsi="EC Square Sans Cond Pro" w:cs="Calibri"/>
                <w:i/>
                <w:noProof/>
                <w:color w:val="000000"/>
                <w:sz w:val="18"/>
                <w:szCs w:val="18"/>
              </w:rPr>
              <w:t>-</w:t>
            </w:r>
            <w:r w:rsidR="00777304" w:rsidRPr="00467742">
              <w:rPr>
                <w:rFonts w:ascii="EC Square Sans Cond Pro" w:hAnsi="EC Square Sans Cond Pro" w:cs="Calibri"/>
                <w:i/>
                <w:noProof/>
                <w:color w:val="000000"/>
                <w:sz w:val="18"/>
                <w:szCs w:val="18"/>
              </w:rPr>
              <w:t>101% [-98</w:t>
            </w:r>
            <w:r w:rsidRPr="00467742">
              <w:rPr>
                <w:rFonts w:ascii="EC Square Sans Cond Pro" w:hAnsi="EC Square Sans Cond Pro" w:cs="Calibri"/>
                <w:i/>
                <w:noProof/>
                <w:color w:val="000000"/>
                <w:sz w:val="18"/>
                <w:szCs w:val="18"/>
              </w:rPr>
              <w:t>% to -</w:t>
            </w:r>
            <w:r w:rsidR="00777304" w:rsidRPr="00467742">
              <w:rPr>
                <w:rFonts w:ascii="EC Square Sans Cond Pro" w:hAnsi="EC Square Sans Cond Pro" w:cs="Calibri"/>
                <w:i/>
                <w:noProof/>
                <w:color w:val="000000"/>
                <w:sz w:val="18"/>
                <w:szCs w:val="18"/>
              </w:rPr>
              <w:t>102</w:t>
            </w:r>
            <w:r w:rsidRPr="00467742">
              <w:rPr>
                <w:rFonts w:ascii="EC Square Sans Cond Pro" w:hAnsi="EC Square Sans Cond Pro" w:cs="Calibri"/>
                <w:i/>
                <w:noProof/>
                <w:color w:val="000000"/>
                <w:sz w:val="18"/>
                <w:szCs w:val="18"/>
              </w:rPr>
              <w:t>%]</w:t>
            </w:r>
          </w:p>
        </w:tc>
      </w:tr>
    </w:tbl>
    <w:p w14:paraId="615FF314" w14:textId="254F1CF9" w:rsidR="00C963E0" w:rsidRDefault="002731E1" w:rsidP="00C963E0">
      <w:pPr>
        <w:pStyle w:val="CT-NOTE"/>
        <w:rPr>
          <w:noProof/>
        </w:rPr>
      </w:pPr>
      <w:r w:rsidRPr="00D95660">
        <w:rPr>
          <w:noProof/>
        </w:rPr>
        <w:t xml:space="preserve">Note: </w:t>
      </w:r>
      <w:r>
        <w:rPr>
          <w:noProof/>
        </w:rPr>
        <w:t xml:space="preserve">Main values reported correspond to </w:t>
      </w:r>
      <w:r w:rsidRPr="00D95660">
        <w:rPr>
          <w:noProof/>
        </w:rPr>
        <w:t xml:space="preserve">the LULUCF </w:t>
      </w:r>
      <w:r>
        <w:rPr>
          <w:noProof/>
        </w:rPr>
        <w:t>net removals</w:t>
      </w:r>
      <w:r w:rsidR="001E325F">
        <w:rPr>
          <w:noProof/>
        </w:rPr>
        <w:t xml:space="preserve"> considered in the scenarios</w:t>
      </w:r>
      <w:r>
        <w:rPr>
          <w:noProof/>
        </w:rPr>
        <w:t xml:space="preserve">, </w:t>
      </w:r>
      <w:r w:rsidR="004D3D9B">
        <w:rPr>
          <w:noProof/>
        </w:rPr>
        <w:t xml:space="preserve">with </w:t>
      </w:r>
      <w:r>
        <w:rPr>
          <w:noProof/>
        </w:rPr>
        <w:t xml:space="preserve">net GHG emissions with lower and upper level of LULUCF net removals are in brackets. </w:t>
      </w:r>
      <w:r w:rsidR="00C963E0" w:rsidRPr="00202C8F">
        <w:rPr>
          <w:noProof/>
        </w:rPr>
        <w:t>S1 and S</w:t>
      </w:r>
      <w:r w:rsidR="00C963E0">
        <w:rPr>
          <w:noProof/>
        </w:rPr>
        <w:t>2</w:t>
      </w:r>
      <w:r w:rsidR="00C963E0" w:rsidRPr="00202C8F">
        <w:rPr>
          <w:noProof/>
        </w:rPr>
        <w:t xml:space="preserve"> values </w:t>
      </w:r>
      <w:r w:rsidR="00C963E0">
        <w:rPr>
          <w:noProof/>
        </w:rPr>
        <w:t xml:space="preserve">for 2050 </w:t>
      </w:r>
      <w:r w:rsidR="00C963E0" w:rsidRPr="00202C8F">
        <w:rPr>
          <w:noProof/>
        </w:rPr>
        <w:t>are similar to S</w:t>
      </w:r>
      <w:r w:rsidR="00C963E0">
        <w:rPr>
          <w:noProof/>
        </w:rPr>
        <w:t>3.</w:t>
      </w:r>
    </w:p>
    <w:p w14:paraId="6FBC2E92" w14:textId="38FD3503" w:rsidR="002731E1" w:rsidRPr="00D95C26" w:rsidRDefault="002731E1" w:rsidP="002731E1">
      <w:pPr>
        <w:pStyle w:val="CT-NOTE"/>
        <w:rPr>
          <w:noProof/>
        </w:rPr>
      </w:pPr>
    </w:p>
    <w:p w14:paraId="21538D47" w14:textId="77777777" w:rsidR="002731E1" w:rsidRPr="002511C6" w:rsidRDefault="002731E1" w:rsidP="002731E1">
      <w:pPr>
        <w:pStyle w:val="CT-SOURCE"/>
        <w:rPr>
          <w:rFonts w:cs="Calibri"/>
          <w:noProof/>
        </w:rPr>
      </w:pPr>
      <w:r w:rsidRPr="002511C6">
        <w:rPr>
          <w:noProof/>
        </w:rPr>
        <w:t>Source: PRIMES, GLOBIOM, GAINS</w:t>
      </w:r>
      <w:r w:rsidRPr="002511C6">
        <w:rPr>
          <w:rFonts w:cs="Calibri"/>
          <w:noProof/>
        </w:rPr>
        <w:t>.</w:t>
      </w:r>
    </w:p>
    <w:p w14:paraId="15F1EAD4" w14:textId="36EE0D46" w:rsidR="00FB652A" w:rsidRDefault="00FB652A" w:rsidP="00D24ED7">
      <w:pPr>
        <w:spacing w:after="0"/>
        <w:jc w:val="left"/>
        <w:rPr>
          <w:noProof/>
          <w:lang w:val="en-IE"/>
        </w:rPr>
      </w:pPr>
      <w:r>
        <w:rPr>
          <w:noProof/>
          <w:lang w:val="en-IE"/>
        </w:rPr>
        <w:t>While all scenarios achieve climate neutrality in 2050, in 2040, the net GHG emissions are clearly different across scenarios.</w:t>
      </w:r>
    </w:p>
    <w:p w14:paraId="1922EE5C" w14:textId="77777777" w:rsidR="002731E1" w:rsidRDefault="002731E1" w:rsidP="00D24ED7">
      <w:pPr>
        <w:spacing w:after="0"/>
        <w:jc w:val="left"/>
        <w:rPr>
          <w:noProof/>
          <w:lang w:val="en-IE"/>
        </w:rPr>
      </w:pPr>
    </w:p>
    <w:p w14:paraId="4B100200" w14:textId="31F8E562" w:rsidR="000127AE" w:rsidRDefault="000127AE" w:rsidP="000127AE">
      <w:pPr>
        <w:pStyle w:val="Text1"/>
        <w:ind w:left="0" w:firstLine="0"/>
        <w:rPr>
          <w:noProof/>
          <w:lang w:val="en-IE"/>
        </w:rPr>
      </w:pPr>
      <w:r>
        <w:rPr>
          <w:noProof/>
          <w:lang w:val="en-IE"/>
        </w:rPr>
        <w:t>S1 leads to</w:t>
      </w:r>
      <w:r w:rsidR="003A79EF">
        <w:rPr>
          <w:noProof/>
          <w:lang w:val="en-IE"/>
        </w:rPr>
        <w:t xml:space="preserve"> total</w:t>
      </w:r>
      <w:r>
        <w:rPr>
          <w:noProof/>
          <w:lang w:val="en-IE"/>
        </w:rPr>
        <w:t xml:space="preserve"> net GHG emissions reach</w:t>
      </w:r>
      <w:r w:rsidR="003A79EF">
        <w:rPr>
          <w:noProof/>
          <w:lang w:val="en-IE"/>
        </w:rPr>
        <w:t>ing</w:t>
      </w:r>
      <w:r w:rsidR="00F16B8A">
        <w:rPr>
          <w:noProof/>
          <w:lang w:val="en-IE"/>
        </w:rPr>
        <w:t xml:space="preserve"> about</w:t>
      </w:r>
      <w:r>
        <w:rPr>
          <w:noProof/>
          <w:lang w:val="en-IE"/>
        </w:rPr>
        <w:t xml:space="preserve"> </w:t>
      </w:r>
      <w:r w:rsidR="008402F2">
        <w:rPr>
          <w:noProof/>
          <w:lang w:val="en-IE"/>
        </w:rPr>
        <w:t>1050</w:t>
      </w:r>
      <w:r w:rsidR="008B7851">
        <w:rPr>
          <w:noProof/>
          <w:lang w:val="en-IE"/>
        </w:rPr>
        <w:t xml:space="preserve"> </w:t>
      </w:r>
      <w:r>
        <w:rPr>
          <w:noProof/>
          <w:lang w:val="en-IE"/>
        </w:rPr>
        <w:t>MtCO2-eq</w:t>
      </w:r>
      <w:r w:rsidR="003A79EF">
        <w:rPr>
          <w:noProof/>
          <w:lang w:val="en-IE"/>
        </w:rPr>
        <w:t xml:space="preserve"> (ranging </w:t>
      </w:r>
      <w:r w:rsidR="008402F2">
        <w:rPr>
          <w:noProof/>
          <w:lang w:val="en-IE"/>
        </w:rPr>
        <w:t xml:space="preserve">down to </w:t>
      </w:r>
      <w:r w:rsidR="00F16B8A" w:rsidRPr="002B5542">
        <w:rPr>
          <w:noProof/>
          <w:lang w:val="en-IE"/>
        </w:rPr>
        <w:t>8</w:t>
      </w:r>
      <w:r w:rsidR="008402F2">
        <w:rPr>
          <w:noProof/>
          <w:lang w:val="en-IE"/>
        </w:rPr>
        <w:t>9</w:t>
      </w:r>
      <w:r w:rsidR="00241DDB" w:rsidRPr="002B5542">
        <w:rPr>
          <w:noProof/>
          <w:lang w:val="en-IE"/>
        </w:rPr>
        <w:t>0</w:t>
      </w:r>
      <w:r w:rsidR="003A79EF">
        <w:rPr>
          <w:noProof/>
          <w:lang w:val="en-IE"/>
        </w:rPr>
        <w:t xml:space="preserve"> MtCO2-eq</w:t>
      </w:r>
      <w:r w:rsidR="00FE0A1E">
        <w:rPr>
          <w:noProof/>
          <w:lang w:val="en-IE"/>
        </w:rPr>
        <w:t xml:space="preserve"> depending on the behaviour of the LULUCF </w:t>
      </w:r>
      <w:r w:rsidR="000C2DAE">
        <w:rPr>
          <w:noProof/>
          <w:lang w:val="en-IE"/>
        </w:rPr>
        <w:t>net removals</w:t>
      </w:r>
      <w:r w:rsidR="003A79EF">
        <w:rPr>
          <w:noProof/>
          <w:lang w:val="en-IE"/>
        </w:rPr>
        <w:t>)</w:t>
      </w:r>
      <w:r>
        <w:rPr>
          <w:noProof/>
          <w:lang w:val="en-IE"/>
        </w:rPr>
        <w:t xml:space="preserve">, representing a reduction of </w:t>
      </w:r>
      <w:r w:rsidR="008402F2">
        <w:rPr>
          <w:noProof/>
          <w:lang w:val="en-IE"/>
        </w:rPr>
        <w:t>78</w:t>
      </w:r>
      <w:r w:rsidRPr="00F16B8A">
        <w:rPr>
          <w:noProof/>
          <w:lang w:val="en-IE"/>
        </w:rPr>
        <w:t>%</w:t>
      </w:r>
      <w:r>
        <w:rPr>
          <w:noProof/>
          <w:lang w:val="en-IE"/>
        </w:rPr>
        <w:t xml:space="preserve"> compared to 1990</w:t>
      </w:r>
      <w:r w:rsidR="008402F2">
        <w:rPr>
          <w:noProof/>
          <w:lang w:val="en-IE"/>
        </w:rPr>
        <w:t xml:space="preserve">. </w:t>
      </w:r>
      <w:r w:rsidR="00FE0A1E">
        <w:rPr>
          <w:noProof/>
          <w:lang w:val="en-IE"/>
        </w:rPr>
        <w:t>Th</w:t>
      </w:r>
      <w:r w:rsidR="00F16B8A">
        <w:rPr>
          <w:noProof/>
          <w:lang w:val="en-IE"/>
        </w:rPr>
        <w:t xml:space="preserve">is scenario </w:t>
      </w:r>
      <w:r w:rsidR="00FB652A">
        <w:rPr>
          <w:noProof/>
          <w:lang w:val="en-IE"/>
        </w:rPr>
        <w:t>focuses on strengthening the existing trends with limited contribution of more advanced mitigation options supported by novel technologies</w:t>
      </w:r>
      <w:r w:rsidR="00005AE2">
        <w:rPr>
          <w:noProof/>
          <w:lang w:val="en-IE"/>
        </w:rPr>
        <w:t xml:space="preserve"> </w:t>
      </w:r>
      <w:r w:rsidR="00005AE2" w:rsidRPr="001E1672">
        <w:rPr>
          <w:rFonts w:cs="Times New Roman"/>
          <w:noProof/>
          <w:lang w:val="en-IE"/>
        </w:rPr>
        <w:t>(</w:t>
      </w:r>
      <w:r w:rsidR="00005AE2">
        <w:rPr>
          <w:rStyle w:val="FootnoteReference"/>
          <w:noProof/>
          <w:lang w:val="en-IE"/>
        </w:rPr>
        <w:footnoteReference w:id="6"/>
      </w:r>
      <w:r w:rsidR="00005AE2">
        <w:rPr>
          <w:rFonts w:cs="Times New Roman"/>
          <w:noProof/>
          <w:lang w:val="en-IE"/>
        </w:rPr>
        <w:t>)</w:t>
      </w:r>
      <w:r w:rsidR="00FB652A">
        <w:rPr>
          <w:noProof/>
          <w:lang w:val="en-IE"/>
        </w:rPr>
        <w:t xml:space="preserve"> by </w:t>
      </w:r>
      <w:r w:rsidR="00232DDC">
        <w:rPr>
          <w:noProof/>
          <w:lang w:val="en-IE"/>
        </w:rPr>
        <w:t>2040 and</w:t>
      </w:r>
      <w:r w:rsidR="00FB652A">
        <w:rPr>
          <w:noProof/>
          <w:lang w:val="en-IE"/>
        </w:rPr>
        <w:t xml:space="preserve"> </w:t>
      </w:r>
      <w:r w:rsidR="00F16B8A">
        <w:rPr>
          <w:noProof/>
          <w:lang w:val="en-IE"/>
        </w:rPr>
        <w:t>fits a linear trajectory of net GHG emissions between 2030 and climate neutrality in 2050.</w:t>
      </w:r>
    </w:p>
    <w:p w14:paraId="7642FD34" w14:textId="2CB563A6" w:rsidR="000516F3" w:rsidRDefault="000127AE" w:rsidP="000127AE">
      <w:pPr>
        <w:pStyle w:val="Text1"/>
        <w:ind w:left="0" w:firstLine="0"/>
        <w:rPr>
          <w:noProof/>
          <w:lang w:val="en-IE"/>
        </w:rPr>
      </w:pPr>
      <w:r>
        <w:rPr>
          <w:noProof/>
          <w:lang w:val="en-IE"/>
        </w:rPr>
        <w:t xml:space="preserve">The S2 scenario deploys the </w:t>
      </w:r>
      <w:r w:rsidR="008402F2">
        <w:rPr>
          <w:noProof/>
          <w:lang w:val="en-IE"/>
        </w:rPr>
        <w:t>full</w:t>
      </w:r>
      <w:r>
        <w:rPr>
          <w:noProof/>
          <w:lang w:val="en-IE"/>
        </w:rPr>
        <w:t xml:space="preserve"> potential of existing decarbonisation solution, such as electrification and renewable and </w:t>
      </w:r>
      <w:r w:rsidR="000516F3">
        <w:rPr>
          <w:noProof/>
          <w:lang w:val="en-IE"/>
        </w:rPr>
        <w:t>relies upon</w:t>
      </w:r>
      <w:r>
        <w:rPr>
          <w:noProof/>
          <w:lang w:val="en-IE"/>
        </w:rPr>
        <w:t xml:space="preserve"> </w:t>
      </w:r>
      <w:r w:rsidR="000E0D06">
        <w:rPr>
          <w:noProof/>
          <w:lang w:val="en-IE"/>
        </w:rPr>
        <w:t>novel technologies</w:t>
      </w:r>
      <w:r>
        <w:rPr>
          <w:noProof/>
          <w:lang w:val="en-IE"/>
        </w:rPr>
        <w:t xml:space="preserve"> such as </w:t>
      </w:r>
      <w:r w:rsidR="00B33F58">
        <w:rPr>
          <w:noProof/>
          <w:lang w:val="en-IE"/>
        </w:rPr>
        <w:t>carbon capture and</w:t>
      </w:r>
      <w:r>
        <w:rPr>
          <w:noProof/>
          <w:lang w:val="en-IE"/>
        </w:rPr>
        <w:t xml:space="preserve"> a higher uptake of e-fuels</w:t>
      </w:r>
      <w:r w:rsidR="00D74CB3">
        <w:rPr>
          <w:noProof/>
          <w:lang w:val="en-IE"/>
        </w:rPr>
        <w:t xml:space="preserve"> using fossil free carbon</w:t>
      </w:r>
      <w:r>
        <w:rPr>
          <w:noProof/>
          <w:lang w:val="en-IE"/>
        </w:rPr>
        <w:t xml:space="preserve"> </w:t>
      </w:r>
      <w:r w:rsidR="000516F3">
        <w:rPr>
          <w:noProof/>
          <w:lang w:val="en-IE"/>
        </w:rPr>
        <w:t>(see section</w:t>
      </w:r>
      <w:r w:rsidR="00FB652A">
        <w:rPr>
          <w:noProof/>
          <w:lang w:val="en-IE"/>
        </w:rPr>
        <w:t>s</w:t>
      </w:r>
      <w:r w:rsidR="000516F3">
        <w:rPr>
          <w:noProof/>
          <w:lang w:val="en-IE"/>
        </w:rPr>
        <w:t xml:space="preserve"> </w:t>
      </w:r>
      <w:r w:rsidR="000516F3" w:rsidRPr="008421C6">
        <w:rPr>
          <w:noProof/>
          <w:color w:val="2B579A"/>
          <w:shd w:val="clear" w:color="auto" w:fill="E6E6E6"/>
          <w:lang w:val="en-IE"/>
        </w:rPr>
        <w:fldChar w:fldCharType="begin"/>
      </w:r>
      <w:r w:rsidR="000516F3" w:rsidRPr="008421C6">
        <w:rPr>
          <w:noProof/>
          <w:lang w:val="en-IE"/>
        </w:rPr>
        <w:instrText xml:space="preserve"> REF _Ref141878042 \n \h </w:instrText>
      </w:r>
      <w:r w:rsidR="00FB652A" w:rsidRPr="008421C6">
        <w:rPr>
          <w:noProof/>
          <w:color w:val="2B579A"/>
          <w:shd w:val="clear" w:color="auto" w:fill="E6E6E6"/>
          <w:lang w:val="en-IE"/>
        </w:rPr>
        <w:instrText xml:space="preserve"> \* MERGEFORMAT </w:instrText>
      </w:r>
      <w:r w:rsidR="000516F3" w:rsidRPr="008421C6">
        <w:rPr>
          <w:noProof/>
          <w:color w:val="2B579A"/>
          <w:shd w:val="clear" w:color="auto" w:fill="E6E6E6"/>
          <w:lang w:val="en-IE"/>
        </w:rPr>
      </w:r>
      <w:r w:rsidR="000516F3" w:rsidRPr="008421C6">
        <w:rPr>
          <w:noProof/>
          <w:color w:val="2B579A"/>
          <w:shd w:val="clear" w:color="auto" w:fill="E6E6E6"/>
          <w:lang w:val="en-IE"/>
        </w:rPr>
        <w:fldChar w:fldCharType="separate"/>
      </w:r>
      <w:r w:rsidR="00170A3C">
        <w:rPr>
          <w:noProof/>
          <w:lang w:val="en-IE"/>
        </w:rPr>
        <w:t>1.1.3</w:t>
      </w:r>
      <w:r w:rsidR="000516F3" w:rsidRPr="008421C6">
        <w:rPr>
          <w:noProof/>
          <w:color w:val="2B579A"/>
          <w:shd w:val="clear" w:color="auto" w:fill="E6E6E6"/>
          <w:lang w:val="en-IE"/>
        </w:rPr>
        <w:fldChar w:fldCharType="end"/>
      </w:r>
      <w:r w:rsidR="000516F3" w:rsidRPr="00411796">
        <w:rPr>
          <w:noProof/>
          <w:lang w:val="en-IE"/>
        </w:rPr>
        <w:t xml:space="preserve"> and </w:t>
      </w:r>
      <w:r w:rsidR="00C459D4">
        <w:rPr>
          <w:noProof/>
          <w:lang w:val="en-IE"/>
        </w:rPr>
        <w:fldChar w:fldCharType="begin"/>
      </w:r>
      <w:r w:rsidR="00C459D4">
        <w:rPr>
          <w:noProof/>
          <w:lang w:val="en-IE"/>
        </w:rPr>
        <w:instrText xml:space="preserve"> REF _Ref147843399 \r \h </w:instrText>
      </w:r>
      <w:r w:rsidR="00C459D4">
        <w:rPr>
          <w:noProof/>
          <w:lang w:val="en-IE"/>
        </w:rPr>
      </w:r>
      <w:r w:rsidR="00C459D4">
        <w:rPr>
          <w:noProof/>
          <w:lang w:val="en-IE"/>
        </w:rPr>
        <w:fldChar w:fldCharType="separate"/>
      </w:r>
      <w:r w:rsidR="00170A3C">
        <w:rPr>
          <w:noProof/>
          <w:lang w:val="en-IE"/>
        </w:rPr>
        <w:t>1.2</w:t>
      </w:r>
      <w:r w:rsidR="00C459D4">
        <w:rPr>
          <w:noProof/>
          <w:lang w:val="en-IE"/>
        </w:rPr>
        <w:fldChar w:fldCharType="end"/>
      </w:r>
      <w:r w:rsidR="000516F3" w:rsidRPr="00287D0F">
        <w:rPr>
          <w:noProof/>
          <w:lang w:val="en-IE"/>
        </w:rPr>
        <w:t xml:space="preserve"> i</w:t>
      </w:r>
      <w:r w:rsidR="000516F3">
        <w:rPr>
          <w:noProof/>
          <w:lang w:val="en-IE"/>
        </w:rPr>
        <w:t>n this Annex), as well as further abatement in the agriculture sector (se</w:t>
      </w:r>
      <w:r w:rsidR="000516F3" w:rsidRPr="008421C6">
        <w:rPr>
          <w:noProof/>
          <w:lang w:val="en-IE"/>
        </w:rPr>
        <w:t xml:space="preserve">e </w:t>
      </w:r>
      <w:r w:rsidR="000516F3" w:rsidRPr="008421C6">
        <w:rPr>
          <w:noProof/>
          <w:color w:val="2B579A"/>
          <w:shd w:val="clear" w:color="auto" w:fill="E6E6E6"/>
          <w:lang w:val="en-IE"/>
        </w:rPr>
        <w:fldChar w:fldCharType="begin"/>
      </w:r>
      <w:r w:rsidR="000516F3" w:rsidRPr="008421C6">
        <w:rPr>
          <w:noProof/>
          <w:lang w:val="en-IE"/>
        </w:rPr>
        <w:instrText xml:space="preserve"> REF _Ref141877967 \n \h </w:instrText>
      </w:r>
      <w:r w:rsidR="00FB652A" w:rsidRPr="008421C6">
        <w:rPr>
          <w:noProof/>
          <w:color w:val="2B579A"/>
          <w:shd w:val="clear" w:color="auto" w:fill="E6E6E6"/>
          <w:lang w:val="en-IE"/>
        </w:rPr>
        <w:instrText xml:space="preserve"> \* MERGEFORMAT </w:instrText>
      </w:r>
      <w:r w:rsidR="000516F3" w:rsidRPr="008421C6">
        <w:rPr>
          <w:noProof/>
          <w:color w:val="2B579A"/>
          <w:shd w:val="clear" w:color="auto" w:fill="E6E6E6"/>
          <w:lang w:val="en-IE"/>
        </w:rPr>
      </w:r>
      <w:r w:rsidR="000516F3" w:rsidRPr="008421C6">
        <w:rPr>
          <w:noProof/>
          <w:color w:val="2B579A"/>
          <w:shd w:val="clear" w:color="auto" w:fill="E6E6E6"/>
          <w:lang w:val="en-IE"/>
        </w:rPr>
        <w:fldChar w:fldCharType="separate"/>
      </w:r>
      <w:r w:rsidR="00170A3C">
        <w:rPr>
          <w:noProof/>
          <w:lang w:val="en-IE"/>
        </w:rPr>
        <w:t>1.1.4</w:t>
      </w:r>
      <w:r w:rsidR="000516F3" w:rsidRPr="008421C6">
        <w:rPr>
          <w:noProof/>
          <w:color w:val="2B579A"/>
          <w:shd w:val="clear" w:color="auto" w:fill="E6E6E6"/>
          <w:lang w:val="en-IE"/>
        </w:rPr>
        <w:fldChar w:fldCharType="end"/>
      </w:r>
      <w:r w:rsidR="000516F3" w:rsidRPr="008421C6">
        <w:rPr>
          <w:noProof/>
          <w:lang w:val="en-IE"/>
        </w:rPr>
        <w:t xml:space="preserve"> and </w:t>
      </w:r>
      <w:r w:rsidR="0009247D" w:rsidRPr="008421C6">
        <w:rPr>
          <w:noProof/>
          <w:lang w:val="en-IE"/>
        </w:rPr>
        <w:fldChar w:fldCharType="begin"/>
      </w:r>
      <w:r w:rsidR="0009247D" w:rsidRPr="008421C6">
        <w:rPr>
          <w:noProof/>
          <w:lang w:val="en-IE"/>
        </w:rPr>
        <w:instrText xml:space="preserve"> REF _Ref143779233 \n \h </w:instrText>
      </w:r>
      <w:r w:rsidR="00FB652A" w:rsidRPr="008421C6">
        <w:rPr>
          <w:noProof/>
          <w:lang w:val="en-IE"/>
        </w:rPr>
        <w:instrText xml:space="preserve"> \* MERGEFORMAT </w:instrText>
      </w:r>
      <w:r w:rsidR="0009247D" w:rsidRPr="008421C6">
        <w:rPr>
          <w:noProof/>
          <w:lang w:val="en-IE"/>
        </w:rPr>
      </w:r>
      <w:r w:rsidR="0009247D" w:rsidRPr="008421C6">
        <w:rPr>
          <w:noProof/>
          <w:lang w:val="en-IE"/>
        </w:rPr>
        <w:fldChar w:fldCharType="separate"/>
      </w:r>
      <w:r w:rsidR="00170A3C">
        <w:rPr>
          <w:noProof/>
          <w:lang w:val="en-IE"/>
        </w:rPr>
        <w:t>1.7</w:t>
      </w:r>
      <w:r w:rsidR="0009247D" w:rsidRPr="008421C6">
        <w:rPr>
          <w:noProof/>
          <w:lang w:val="en-IE"/>
        </w:rPr>
        <w:fldChar w:fldCharType="end"/>
      </w:r>
      <w:r w:rsidR="000516F3">
        <w:rPr>
          <w:noProof/>
          <w:lang w:val="en-IE"/>
        </w:rPr>
        <w:t xml:space="preserve">). It </w:t>
      </w:r>
      <w:r>
        <w:rPr>
          <w:noProof/>
          <w:lang w:val="en-IE"/>
        </w:rPr>
        <w:t>reach</w:t>
      </w:r>
      <w:r w:rsidR="000516F3">
        <w:rPr>
          <w:noProof/>
          <w:lang w:val="en-IE"/>
        </w:rPr>
        <w:t>es</w:t>
      </w:r>
      <w:r w:rsidR="00F16B8A">
        <w:rPr>
          <w:noProof/>
          <w:lang w:val="en-IE"/>
        </w:rPr>
        <w:t xml:space="preserve"> about </w:t>
      </w:r>
      <w:r w:rsidR="00241DDB" w:rsidRPr="002B5542">
        <w:rPr>
          <w:noProof/>
          <w:lang w:val="en-IE"/>
        </w:rPr>
        <w:t>5</w:t>
      </w:r>
      <w:r w:rsidR="00DE5941">
        <w:rPr>
          <w:noProof/>
          <w:lang w:val="en-IE"/>
        </w:rPr>
        <w:t>80</w:t>
      </w:r>
      <w:r w:rsidR="00FB652A">
        <w:rPr>
          <w:noProof/>
          <w:lang w:val="en-IE"/>
        </w:rPr>
        <w:t> M</w:t>
      </w:r>
      <w:r w:rsidR="00F16B8A">
        <w:rPr>
          <w:noProof/>
          <w:lang w:val="en-IE"/>
        </w:rPr>
        <w:t>tCO2-eq in 2040</w:t>
      </w:r>
      <w:r w:rsidR="000516F3">
        <w:rPr>
          <w:noProof/>
          <w:lang w:val="en-IE"/>
        </w:rPr>
        <w:t xml:space="preserve">, or </w:t>
      </w:r>
      <w:r w:rsidR="00241DDB" w:rsidRPr="002B5542">
        <w:rPr>
          <w:noProof/>
          <w:lang w:val="en-IE"/>
        </w:rPr>
        <w:t>8</w:t>
      </w:r>
      <w:r w:rsidR="002B5542" w:rsidRPr="002B5542">
        <w:rPr>
          <w:noProof/>
          <w:lang w:val="en-IE"/>
        </w:rPr>
        <w:t>8</w:t>
      </w:r>
      <w:r w:rsidR="00241DDB">
        <w:rPr>
          <w:noProof/>
          <w:lang w:val="en-IE"/>
        </w:rPr>
        <w:t>%</w:t>
      </w:r>
      <w:r w:rsidR="00F16B8A">
        <w:rPr>
          <w:noProof/>
          <w:lang w:val="en-IE"/>
        </w:rPr>
        <w:t xml:space="preserve"> </w:t>
      </w:r>
      <w:r w:rsidR="000516F3">
        <w:rPr>
          <w:noProof/>
          <w:lang w:val="en-IE"/>
        </w:rPr>
        <w:t>reduction compared to 1990</w:t>
      </w:r>
      <w:r w:rsidR="00F16B8A">
        <w:rPr>
          <w:noProof/>
          <w:lang w:val="en-IE"/>
        </w:rPr>
        <w:t xml:space="preserve"> (ranging </w:t>
      </w:r>
      <w:r>
        <w:rPr>
          <w:noProof/>
          <w:lang w:val="en-IE"/>
        </w:rPr>
        <w:t xml:space="preserve">between </w:t>
      </w:r>
      <w:r w:rsidRPr="002B5542">
        <w:rPr>
          <w:noProof/>
          <w:lang w:val="en-IE"/>
        </w:rPr>
        <w:t>8</w:t>
      </w:r>
      <w:r w:rsidR="002B5542" w:rsidRPr="002B5542">
        <w:rPr>
          <w:noProof/>
          <w:lang w:val="en-IE"/>
        </w:rPr>
        <w:t>6</w:t>
      </w:r>
      <w:r w:rsidRPr="002B5542">
        <w:rPr>
          <w:noProof/>
          <w:lang w:val="en-IE"/>
        </w:rPr>
        <w:t xml:space="preserve">% and </w:t>
      </w:r>
      <w:r w:rsidR="00DE5941">
        <w:rPr>
          <w:noProof/>
          <w:lang w:val="en-IE"/>
        </w:rPr>
        <w:t>89</w:t>
      </w:r>
      <w:r w:rsidRPr="002B5542">
        <w:rPr>
          <w:noProof/>
          <w:lang w:val="en-IE"/>
        </w:rPr>
        <w:t>%</w:t>
      </w:r>
      <w:r w:rsidR="00F16B8A">
        <w:rPr>
          <w:noProof/>
          <w:lang w:val="en-IE"/>
        </w:rPr>
        <w:t>)</w:t>
      </w:r>
      <w:r>
        <w:rPr>
          <w:noProof/>
          <w:lang w:val="en-IE"/>
        </w:rPr>
        <w:t xml:space="preserve">. </w:t>
      </w:r>
    </w:p>
    <w:p w14:paraId="5CD8A2CE" w14:textId="57C9F2D9" w:rsidR="000516F3" w:rsidRDefault="000127AE" w:rsidP="000127AE">
      <w:pPr>
        <w:pStyle w:val="Text1"/>
        <w:ind w:left="0" w:firstLine="0"/>
        <w:rPr>
          <w:noProof/>
          <w:lang w:val="en-IE"/>
        </w:rPr>
      </w:pPr>
      <w:r>
        <w:rPr>
          <w:noProof/>
          <w:lang w:val="en-IE"/>
        </w:rPr>
        <w:t xml:space="preserve">The S3 scenario </w:t>
      </w:r>
      <w:r w:rsidR="00377B6D">
        <w:rPr>
          <w:noProof/>
          <w:lang w:val="en-IE"/>
        </w:rPr>
        <w:t>foresees</w:t>
      </w:r>
      <w:r>
        <w:rPr>
          <w:noProof/>
          <w:lang w:val="en-IE"/>
        </w:rPr>
        <w:t xml:space="preserve"> </w:t>
      </w:r>
      <w:r w:rsidR="00FB652A">
        <w:rPr>
          <w:noProof/>
          <w:lang w:val="en-IE"/>
        </w:rPr>
        <w:t>early</w:t>
      </w:r>
      <w:r w:rsidR="00377B6D">
        <w:rPr>
          <w:noProof/>
          <w:lang w:val="en-IE"/>
        </w:rPr>
        <w:t xml:space="preserve"> </w:t>
      </w:r>
      <w:r>
        <w:rPr>
          <w:noProof/>
          <w:lang w:val="en-IE"/>
        </w:rPr>
        <w:t xml:space="preserve">implementation of </w:t>
      </w:r>
      <w:r w:rsidR="009153F5">
        <w:rPr>
          <w:noProof/>
          <w:lang w:val="en-IE"/>
        </w:rPr>
        <w:t>novel</w:t>
      </w:r>
      <w:r>
        <w:rPr>
          <w:noProof/>
          <w:lang w:val="en-IE"/>
        </w:rPr>
        <w:t xml:space="preserve"> technologies</w:t>
      </w:r>
      <w:r w:rsidRPr="001E1672">
        <w:rPr>
          <w:rFonts w:cs="Times New Roman"/>
          <w:noProof/>
          <w:lang w:val="en-IE"/>
        </w:rPr>
        <w:t> </w:t>
      </w:r>
      <w:r>
        <w:rPr>
          <w:noProof/>
          <w:lang w:val="en-IE"/>
        </w:rPr>
        <w:t xml:space="preserve">to attain </w:t>
      </w:r>
      <w:r w:rsidR="000516F3">
        <w:rPr>
          <w:noProof/>
          <w:lang w:val="en-IE"/>
        </w:rPr>
        <w:t xml:space="preserve">net GHG emissions </w:t>
      </w:r>
      <w:r w:rsidR="006825AC">
        <w:rPr>
          <w:noProof/>
          <w:lang w:val="en-IE"/>
        </w:rPr>
        <w:t xml:space="preserve">levels </w:t>
      </w:r>
      <w:r w:rsidR="000516F3">
        <w:rPr>
          <w:noProof/>
          <w:lang w:val="en-IE"/>
        </w:rPr>
        <w:t xml:space="preserve">of </w:t>
      </w:r>
      <w:r w:rsidR="002B5542" w:rsidRPr="002B5542">
        <w:rPr>
          <w:noProof/>
          <w:lang w:val="en-IE"/>
        </w:rPr>
        <w:t xml:space="preserve">around </w:t>
      </w:r>
      <w:r w:rsidR="00241DDB" w:rsidRPr="002B5542">
        <w:rPr>
          <w:noProof/>
          <w:lang w:val="en-IE"/>
        </w:rPr>
        <w:t>3</w:t>
      </w:r>
      <w:r w:rsidR="002B5542" w:rsidRPr="002B5542">
        <w:rPr>
          <w:noProof/>
          <w:lang w:val="en-IE"/>
        </w:rPr>
        <w:t>60</w:t>
      </w:r>
      <w:r w:rsidR="000516F3">
        <w:rPr>
          <w:noProof/>
          <w:lang w:val="en-IE"/>
        </w:rPr>
        <w:t xml:space="preserve"> MtCO2-eq</w:t>
      </w:r>
      <w:r w:rsidR="00005AE2">
        <w:rPr>
          <w:noProof/>
          <w:lang w:val="en-IE"/>
        </w:rPr>
        <w:t xml:space="preserve"> in 2040</w:t>
      </w:r>
      <w:r w:rsidR="000516F3">
        <w:rPr>
          <w:noProof/>
          <w:lang w:val="en-IE"/>
        </w:rPr>
        <w:t xml:space="preserve">, and </w:t>
      </w:r>
      <w:r>
        <w:rPr>
          <w:noProof/>
          <w:lang w:val="en-IE"/>
        </w:rPr>
        <w:t xml:space="preserve">a reduction </w:t>
      </w:r>
      <w:r w:rsidR="002B5542">
        <w:rPr>
          <w:noProof/>
          <w:lang w:val="en-IE"/>
        </w:rPr>
        <w:t xml:space="preserve">level of -92%, with a </w:t>
      </w:r>
      <w:r>
        <w:rPr>
          <w:noProof/>
          <w:lang w:val="en-IE"/>
        </w:rPr>
        <w:t xml:space="preserve">range between </w:t>
      </w:r>
      <w:r w:rsidR="002B5542">
        <w:rPr>
          <w:noProof/>
          <w:lang w:val="en-IE"/>
        </w:rPr>
        <w:t>-</w:t>
      </w:r>
      <w:r w:rsidRPr="002B5542">
        <w:rPr>
          <w:noProof/>
          <w:lang w:val="en-IE"/>
        </w:rPr>
        <w:t>9</w:t>
      </w:r>
      <w:r w:rsidR="00241DDB" w:rsidRPr="002B5542">
        <w:rPr>
          <w:noProof/>
          <w:lang w:val="en-IE"/>
        </w:rPr>
        <w:t>0</w:t>
      </w:r>
      <w:r w:rsidRPr="002B5542">
        <w:rPr>
          <w:noProof/>
          <w:lang w:val="en-IE"/>
        </w:rPr>
        <w:t xml:space="preserve">% and </w:t>
      </w:r>
      <w:r w:rsidR="002B5542">
        <w:rPr>
          <w:noProof/>
          <w:lang w:val="en-IE"/>
        </w:rPr>
        <w:t>-</w:t>
      </w:r>
      <w:r w:rsidRPr="002B5542">
        <w:rPr>
          <w:noProof/>
          <w:lang w:val="en-IE"/>
        </w:rPr>
        <w:t>94%</w:t>
      </w:r>
      <w:r>
        <w:rPr>
          <w:noProof/>
          <w:lang w:val="en-IE"/>
        </w:rPr>
        <w:t xml:space="preserve">. </w:t>
      </w:r>
    </w:p>
    <w:p w14:paraId="5B8753DA" w14:textId="1EA05D44" w:rsidR="000516F3" w:rsidRDefault="00777304" w:rsidP="000127AE">
      <w:pPr>
        <w:pStyle w:val="Text1"/>
        <w:ind w:left="0" w:firstLine="0"/>
        <w:rPr>
          <w:noProof/>
          <w:lang w:val="en-IE"/>
        </w:rPr>
      </w:pPr>
      <w:r>
        <w:rPr>
          <w:noProof/>
          <w:lang w:val="en-IE"/>
        </w:rPr>
        <w:t xml:space="preserve">LIFE implements additional circular economy and sufficiency actions in industry, transport and agriculture, achieving similar reduction as per S3, but with a different sectoral distribution of emission (see </w:t>
      </w:r>
      <w:r>
        <w:rPr>
          <w:noProof/>
          <w:lang w:val="en-IE"/>
        </w:rPr>
        <w:fldChar w:fldCharType="begin"/>
      </w:r>
      <w:r>
        <w:rPr>
          <w:noProof/>
          <w:lang w:val="en-IE"/>
        </w:rPr>
        <w:instrText xml:space="preserve"> REF _Ref146467437 \r \h </w:instrText>
      </w:r>
      <w:r>
        <w:rPr>
          <w:noProof/>
          <w:lang w:val="en-IE"/>
        </w:rPr>
      </w:r>
      <w:r>
        <w:rPr>
          <w:noProof/>
          <w:lang w:val="en-IE"/>
        </w:rPr>
        <w:fldChar w:fldCharType="separate"/>
      </w:r>
      <w:r w:rsidR="00170A3C">
        <w:rPr>
          <w:noProof/>
          <w:lang w:val="en-IE"/>
        </w:rPr>
        <w:t>1.1.2</w:t>
      </w:r>
      <w:r>
        <w:rPr>
          <w:noProof/>
          <w:lang w:val="en-IE"/>
        </w:rPr>
        <w:fldChar w:fldCharType="end"/>
      </w:r>
      <w:r>
        <w:rPr>
          <w:noProof/>
          <w:lang w:val="en-IE"/>
        </w:rPr>
        <w:t xml:space="preserve"> in this Annex). </w:t>
      </w:r>
      <w:r w:rsidR="000516F3">
        <w:rPr>
          <w:noProof/>
          <w:lang w:val="en-IE"/>
        </w:rPr>
        <w:t xml:space="preserve">This </w:t>
      </w:r>
      <w:r w:rsidR="00B669A2">
        <w:rPr>
          <w:noProof/>
          <w:lang w:val="en-IE"/>
        </w:rPr>
        <w:t>setting</w:t>
      </w:r>
      <w:r w:rsidR="000516F3">
        <w:rPr>
          <w:noProof/>
          <w:lang w:val="en-IE"/>
        </w:rPr>
        <w:t xml:space="preserve"> </w:t>
      </w:r>
      <w:r w:rsidR="009B6BC1">
        <w:rPr>
          <w:noProof/>
          <w:lang w:val="en-IE"/>
        </w:rPr>
        <w:t>illustrates</w:t>
      </w:r>
      <w:r w:rsidR="000516F3">
        <w:rPr>
          <w:noProof/>
          <w:lang w:val="en-IE"/>
        </w:rPr>
        <w:t xml:space="preserve"> the important role of demand-side policies and measures to </w:t>
      </w:r>
      <w:r w:rsidR="00DD653C">
        <w:rPr>
          <w:noProof/>
          <w:lang w:val="en-IE"/>
        </w:rPr>
        <w:t>reduce</w:t>
      </w:r>
      <w:r w:rsidR="009B6BC1">
        <w:rPr>
          <w:noProof/>
          <w:lang w:val="en-IE"/>
        </w:rPr>
        <w:t xml:space="preserve"> </w:t>
      </w:r>
      <w:r w:rsidR="000516F3">
        <w:rPr>
          <w:noProof/>
          <w:lang w:val="en-IE"/>
        </w:rPr>
        <w:t>GHG emissions, and to enhance the environmental performance of mitigation action</w:t>
      </w:r>
      <w:r w:rsidR="00DD653C">
        <w:rPr>
          <w:noProof/>
          <w:lang w:val="en-IE"/>
        </w:rPr>
        <w:t>s</w:t>
      </w:r>
      <w:r w:rsidR="000516F3">
        <w:rPr>
          <w:noProof/>
          <w:lang w:val="en-IE"/>
        </w:rPr>
        <w:t xml:space="preserve"> by limiting the consumption of natural resources, including raw materials </w:t>
      </w:r>
      <w:r w:rsidR="00DD653C">
        <w:rPr>
          <w:noProof/>
          <w:lang w:val="en-IE"/>
        </w:rPr>
        <w:t xml:space="preserve">and </w:t>
      </w:r>
      <w:r w:rsidR="000516F3">
        <w:rPr>
          <w:noProof/>
          <w:lang w:val="en-IE"/>
        </w:rPr>
        <w:t xml:space="preserve">land </w:t>
      </w:r>
      <w:r w:rsidR="009B6BC1">
        <w:rPr>
          <w:noProof/>
          <w:lang w:val="en-IE"/>
        </w:rPr>
        <w:t>or</w:t>
      </w:r>
      <w:r w:rsidR="000516F3">
        <w:rPr>
          <w:noProof/>
          <w:lang w:val="en-IE"/>
        </w:rPr>
        <w:t xml:space="preserve"> further improving some direct environmental benefits of climate action (see section</w:t>
      </w:r>
      <w:r w:rsidR="00DD653C">
        <w:rPr>
          <w:noProof/>
          <w:lang w:val="en-IE"/>
        </w:rPr>
        <w:t>s</w:t>
      </w:r>
      <w:r w:rsidR="00683DD9">
        <w:rPr>
          <w:noProof/>
          <w:lang w:val="en-IE"/>
        </w:rPr>
        <w:t xml:space="preserve"> </w:t>
      </w:r>
      <w:r w:rsidR="00683DD9">
        <w:rPr>
          <w:noProof/>
          <w:lang w:val="en-IE"/>
        </w:rPr>
        <w:fldChar w:fldCharType="begin"/>
      </w:r>
      <w:r w:rsidR="00683DD9">
        <w:rPr>
          <w:noProof/>
          <w:lang w:val="en-IE"/>
        </w:rPr>
        <w:instrText xml:space="preserve"> REF _Ref147836851 \n \h </w:instrText>
      </w:r>
      <w:r w:rsidR="00683DD9">
        <w:rPr>
          <w:noProof/>
          <w:lang w:val="en-IE"/>
        </w:rPr>
      </w:r>
      <w:r w:rsidR="00683DD9">
        <w:rPr>
          <w:noProof/>
          <w:lang w:val="en-IE"/>
        </w:rPr>
        <w:fldChar w:fldCharType="separate"/>
      </w:r>
      <w:r w:rsidR="00170A3C">
        <w:rPr>
          <w:noProof/>
          <w:lang w:val="en-IE"/>
        </w:rPr>
        <w:t>1.4</w:t>
      </w:r>
      <w:r w:rsidR="00683DD9">
        <w:rPr>
          <w:noProof/>
          <w:lang w:val="en-IE"/>
        </w:rPr>
        <w:fldChar w:fldCharType="end"/>
      </w:r>
      <w:r w:rsidR="00683DD9">
        <w:rPr>
          <w:noProof/>
          <w:lang w:val="en-IE"/>
        </w:rPr>
        <w:t xml:space="preserve">, </w:t>
      </w:r>
      <w:r w:rsidR="00DD653C" w:rsidRPr="00B8198C">
        <w:rPr>
          <w:noProof/>
          <w:color w:val="2B579A"/>
          <w:shd w:val="clear" w:color="auto" w:fill="E6E6E6"/>
          <w:lang w:val="en-IE"/>
        </w:rPr>
        <w:fldChar w:fldCharType="begin"/>
      </w:r>
      <w:r w:rsidR="00DD653C" w:rsidRPr="00B8198C">
        <w:rPr>
          <w:noProof/>
          <w:lang w:val="en-IE"/>
        </w:rPr>
        <w:instrText xml:space="preserve"> REF _Ref141874492 \n \h </w:instrText>
      </w:r>
      <w:r w:rsidR="00B8198C" w:rsidRPr="00B8198C">
        <w:rPr>
          <w:noProof/>
          <w:color w:val="2B579A"/>
          <w:shd w:val="clear" w:color="auto" w:fill="E6E6E6"/>
          <w:lang w:val="en-IE"/>
        </w:rPr>
        <w:instrText xml:space="preserve"> \* MERGEFORMAT </w:instrText>
      </w:r>
      <w:r w:rsidR="00DD653C" w:rsidRPr="00B8198C">
        <w:rPr>
          <w:noProof/>
          <w:color w:val="2B579A"/>
          <w:shd w:val="clear" w:color="auto" w:fill="E6E6E6"/>
          <w:lang w:val="en-IE"/>
        </w:rPr>
      </w:r>
      <w:r w:rsidR="00DD653C" w:rsidRPr="00B8198C">
        <w:rPr>
          <w:noProof/>
          <w:color w:val="2B579A"/>
          <w:shd w:val="clear" w:color="auto" w:fill="E6E6E6"/>
          <w:lang w:val="en-IE"/>
        </w:rPr>
        <w:fldChar w:fldCharType="separate"/>
      </w:r>
      <w:r w:rsidR="00170A3C">
        <w:rPr>
          <w:noProof/>
          <w:lang w:val="en-IE"/>
        </w:rPr>
        <w:t>1.7.5</w:t>
      </w:r>
      <w:r w:rsidR="00DD653C" w:rsidRPr="00B8198C">
        <w:rPr>
          <w:noProof/>
          <w:color w:val="2B579A"/>
          <w:shd w:val="clear" w:color="auto" w:fill="E6E6E6"/>
          <w:lang w:val="en-IE"/>
        </w:rPr>
        <w:fldChar w:fldCharType="end"/>
      </w:r>
      <w:r w:rsidR="00DD653C">
        <w:rPr>
          <w:noProof/>
          <w:color w:val="2B579A"/>
          <w:shd w:val="clear" w:color="auto" w:fill="E6E6E6"/>
          <w:lang w:val="en-IE"/>
        </w:rPr>
        <w:t xml:space="preserve"> </w:t>
      </w:r>
      <w:r w:rsidR="00683DD9">
        <w:rPr>
          <w:noProof/>
          <w:lang w:val="en-IE"/>
        </w:rPr>
        <w:t xml:space="preserve">and </w:t>
      </w:r>
      <w:r w:rsidR="009B6BC1" w:rsidRPr="00B8198C">
        <w:rPr>
          <w:noProof/>
          <w:color w:val="2B579A"/>
          <w:shd w:val="clear" w:color="auto" w:fill="E6E6E6"/>
          <w:lang w:val="en-IE"/>
        </w:rPr>
        <w:fldChar w:fldCharType="begin"/>
      </w:r>
      <w:r w:rsidR="009B6BC1" w:rsidRPr="00B8198C">
        <w:rPr>
          <w:noProof/>
          <w:lang w:val="en-IE"/>
        </w:rPr>
        <w:instrText xml:space="preserve"> REF _Ref141878509 \n \h </w:instrText>
      </w:r>
      <w:r w:rsidR="00B8198C">
        <w:rPr>
          <w:noProof/>
          <w:color w:val="2B579A"/>
          <w:shd w:val="clear" w:color="auto" w:fill="E6E6E6"/>
          <w:lang w:val="en-IE"/>
        </w:rPr>
        <w:instrText xml:space="preserve"> \* MERGEFORMAT </w:instrText>
      </w:r>
      <w:r w:rsidR="009B6BC1" w:rsidRPr="00B8198C">
        <w:rPr>
          <w:noProof/>
          <w:color w:val="2B579A"/>
          <w:shd w:val="clear" w:color="auto" w:fill="E6E6E6"/>
          <w:lang w:val="en-IE"/>
        </w:rPr>
      </w:r>
      <w:r w:rsidR="009B6BC1" w:rsidRPr="00B8198C">
        <w:rPr>
          <w:noProof/>
          <w:color w:val="2B579A"/>
          <w:shd w:val="clear" w:color="auto" w:fill="E6E6E6"/>
          <w:lang w:val="en-IE"/>
        </w:rPr>
        <w:fldChar w:fldCharType="separate"/>
      </w:r>
      <w:r w:rsidR="00170A3C">
        <w:rPr>
          <w:noProof/>
          <w:lang w:val="en-IE"/>
        </w:rPr>
        <w:t>1.9.1</w:t>
      </w:r>
      <w:r w:rsidR="009B6BC1" w:rsidRPr="00B8198C">
        <w:rPr>
          <w:noProof/>
          <w:color w:val="2B579A"/>
          <w:shd w:val="clear" w:color="auto" w:fill="E6E6E6"/>
          <w:lang w:val="en-IE"/>
        </w:rPr>
        <w:fldChar w:fldCharType="end"/>
      </w:r>
      <w:r w:rsidR="000516F3">
        <w:rPr>
          <w:noProof/>
          <w:lang w:val="en-IE"/>
        </w:rPr>
        <w:t xml:space="preserve">). </w:t>
      </w:r>
    </w:p>
    <w:p w14:paraId="00889D89" w14:textId="61546163" w:rsidR="00EA2774" w:rsidRDefault="00DD653C" w:rsidP="000127AE">
      <w:pPr>
        <w:pStyle w:val="Text1"/>
        <w:ind w:left="0" w:firstLine="0"/>
        <w:rPr>
          <w:noProof/>
          <w:lang w:val="en-IE"/>
        </w:rPr>
      </w:pPr>
      <w:r>
        <w:rPr>
          <w:noProof/>
        </w:rPr>
        <w:t>The</w:t>
      </w:r>
      <w:r w:rsidR="00EA2774">
        <w:rPr>
          <w:noProof/>
        </w:rPr>
        <w:t xml:space="preserve"> levels </w:t>
      </w:r>
      <w:r>
        <w:rPr>
          <w:noProof/>
        </w:rPr>
        <w:t xml:space="preserve">of emission reductions achieved in the different scenarios </w:t>
      </w:r>
      <w:r w:rsidR="00EA2774">
        <w:rPr>
          <w:noProof/>
        </w:rPr>
        <w:t>are in line with ranges found in the literature</w:t>
      </w:r>
      <w:r w:rsidR="00C611C5">
        <w:rPr>
          <w:noProof/>
        </w:rPr>
        <w:t>, spanning from 8</w:t>
      </w:r>
      <w:r w:rsidR="00CA5F04">
        <w:rPr>
          <w:noProof/>
        </w:rPr>
        <w:t>4</w:t>
      </w:r>
      <w:r w:rsidR="00C611C5">
        <w:rPr>
          <w:noProof/>
        </w:rPr>
        <w:t>% to 8</w:t>
      </w:r>
      <w:r w:rsidR="00CA5F04">
        <w:rPr>
          <w:noProof/>
        </w:rPr>
        <w:t>9</w:t>
      </w:r>
      <w:r w:rsidR="00C611C5">
        <w:rPr>
          <w:noProof/>
        </w:rPr>
        <w:t>% (</w:t>
      </w:r>
      <w:r w:rsidR="00C611C5">
        <w:rPr>
          <w:rStyle w:val="FootnoteReference"/>
          <w:noProof/>
        </w:rPr>
        <w:footnoteReference w:id="7"/>
      </w:r>
      <w:r w:rsidR="00C611C5">
        <w:rPr>
          <w:noProof/>
        </w:rPr>
        <w:t>), from 87% to 91% (</w:t>
      </w:r>
      <w:r w:rsidR="00C611C5">
        <w:rPr>
          <w:rStyle w:val="FootnoteReference"/>
          <w:noProof/>
        </w:rPr>
        <w:footnoteReference w:id="8"/>
      </w:r>
      <w:r w:rsidR="00C611C5">
        <w:rPr>
          <w:noProof/>
        </w:rPr>
        <w:t>)</w:t>
      </w:r>
      <w:r w:rsidR="00EF5DE0">
        <w:rPr>
          <w:noProof/>
        </w:rPr>
        <w:t xml:space="preserve">, </w:t>
      </w:r>
      <w:r w:rsidR="00C30812">
        <w:rPr>
          <w:noProof/>
        </w:rPr>
        <w:t xml:space="preserve">around </w:t>
      </w:r>
      <w:r w:rsidR="00EF5DE0">
        <w:rPr>
          <w:noProof/>
        </w:rPr>
        <w:t xml:space="preserve">89% </w:t>
      </w:r>
      <w:r w:rsidR="00EF5DE0" w:rsidRPr="00EF5DE0">
        <w:rPr>
          <w:noProof/>
        </w:rPr>
        <w:t>(</w:t>
      </w:r>
      <w:r w:rsidR="00EF5DE0">
        <w:rPr>
          <w:rStyle w:val="FootnoteReference"/>
          <w:noProof/>
        </w:rPr>
        <w:footnoteReference w:id="9"/>
      </w:r>
      <w:r w:rsidR="00EF5DE0">
        <w:rPr>
          <w:noProof/>
        </w:rPr>
        <w:t>)</w:t>
      </w:r>
      <w:r w:rsidR="00CA5F04">
        <w:rPr>
          <w:noProof/>
        </w:rPr>
        <w:t xml:space="preserve"> </w:t>
      </w:r>
      <w:r w:rsidR="00C611C5">
        <w:rPr>
          <w:noProof/>
        </w:rPr>
        <w:t>and from 88 to 95% by the ESABCC (</w:t>
      </w:r>
      <w:bookmarkStart w:id="20" w:name="_Ref146634108"/>
      <w:r w:rsidR="00C611C5">
        <w:rPr>
          <w:rStyle w:val="FootnoteReference"/>
          <w:noProof/>
        </w:rPr>
        <w:footnoteReference w:id="10"/>
      </w:r>
      <w:bookmarkEnd w:id="20"/>
      <w:r w:rsidR="00C611C5">
        <w:rPr>
          <w:noProof/>
        </w:rPr>
        <w:t xml:space="preserve">). </w:t>
      </w:r>
    </w:p>
    <w:p w14:paraId="0F4D0F2F" w14:textId="02E9ABD0" w:rsidR="00D75944" w:rsidRDefault="00D75944" w:rsidP="00D75944">
      <w:pPr>
        <w:pStyle w:val="Text1"/>
        <w:ind w:left="0" w:firstLine="0"/>
        <w:rPr>
          <w:noProof/>
          <w:lang w:val="en-IE"/>
        </w:rPr>
      </w:pPr>
      <w:r>
        <w:rPr>
          <w:noProof/>
          <w:lang w:val="en-IE"/>
        </w:rPr>
        <w:t xml:space="preserve">The distribution of emissions between CO2, non-CO2 gases and GHGs coming from LULUCF sector is reported in </w:t>
      </w:r>
      <w:r>
        <w:rPr>
          <w:noProof/>
          <w:lang w:val="en-IE"/>
        </w:rPr>
        <w:fldChar w:fldCharType="begin"/>
      </w:r>
      <w:r>
        <w:rPr>
          <w:noProof/>
          <w:lang w:val="en-IE"/>
        </w:rPr>
        <w:instrText xml:space="preserve"> REF _Ref157585266 \h </w:instrText>
      </w:r>
      <w:r>
        <w:rPr>
          <w:noProof/>
          <w:lang w:val="en-IE"/>
        </w:rPr>
      </w:r>
      <w:r>
        <w:rPr>
          <w:noProof/>
          <w:lang w:val="en-IE"/>
        </w:rPr>
        <w:fldChar w:fldCharType="separate"/>
      </w:r>
      <w:r w:rsidR="00170A3C">
        <w:rPr>
          <w:noProof/>
        </w:rPr>
        <w:t>Table 2</w:t>
      </w:r>
      <w:r>
        <w:rPr>
          <w:noProof/>
          <w:lang w:val="en-IE"/>
        </w:rPr>
        <w:fldChar w:fldCharType="end"/>
      </w:r>
      <w:r>
        <w:rPr>
          <w:noProof/>
          <w:lang w:val="en-IE"/>
        </w:rPr>
        <w:t>. A more detailed analysis of the sectoral reduction for S1, S2, S3 and LIFE is described in the following sections.</w:t>
      </w:r>
    </w:p>
    <w:p w14:paraId="1A4C3DD7" w14:textId="095822AA" w:rsidR="00D75944" w:rsidRDefault="00D75944" w:rsidP="00D75944">
      <w:pPr>
        <w:pStyle w:val="Caption"/>
        <w:rPr>
          <w:noProof/>
        </w:rPr>
      </w:pPr>
      <w:bookmarkStart w:id="21" w:name="_Ref157585266"/>
      <w:bookmarkStart w:id="22" w:name="_Toc157679885"/>
      <w:r>
        <w:rPr>
          <w:noProof/>
        </w:rPr>
        <w:t xml:space="preserve">Table </w:t>
      </w:r>
      <w:r w:rsidR="00D12921">
        <w:rPr>
          <w:noProof/>
        </w:rPr>
        <w:fldChar w:fldCharType="begin"/>
      </w:r>
      <w:r w:rsidR="00D12921">
        <w:rPr>
          <w:noProof/>
        </w:rPr>
        <w:instrText xml:space="preserve"> SEQ Table \* ARABIC </w:instrText>
      </w:r>
      <w:r w:rsidR="00D12921">
        <w:rPr>
          <w:noProof/>
        </w:rPr>
        <w:fldChar w:fldCharType="separate"/>
      </w:r>
      <w:r w:rsidR="00170A3C">
        <w:rPr>
          <w:noProof/>
        </w:rPr>
        <w:t>2</w:t>
      </w:r>
      <w:r w:rsidR="00D12921">
        <w:rPr>
          <w:noProof/>
        </w:rPr>
        <w:fldChar w:fldCharType="end"/>
      </w:r>
      <w:bookmarkEnd w:id="21"/>
      <w:r>
        <w:rPr>
          <w:noProof/>
        </w:rPr>
        <w:t>: CO2, non-CO2 and emissions from LULUCF sector.</w:t>
      </w:r>
      <w:bookmarkEnd w:id="22"/>
    </w:p>
    <w:tbl>
      <w:tblPr>
        <w:tblW w:w="5000" w:type="pct"/>
        <w:tblLook w:val="04A0" w:firstRow="1" w:lastRow="0" w:firstColumn="1" w:lastColumn="0" w:noHBand="0" w:noVBand="1"/>
      </w:tblPr>
      <w:tblGrid>
        <w:gridCol w:w="3093"/>
        <w:gridCol w:w="1098"/>
        <w:gridCol w:w="962"/>
        <w:gridCol w:w="964"/>
        <w:gridCol w:w="966"/>
        <w:gridCol w:w="1155"/>
        <w:gridCol w:w="596"/>
      </w:tblGrid>
      <w:tr w:rsidR="00896DAF" w:rsidRPr="00AE136E" w14:paraId="6B65502C" w14:textId="77777777" w:rsidTr="00EB64BF">
        <w:trPr>
          <w:trHeight w:val="20"/>
        </w:trPr>
        <w:tc>
          <w:tcPr>
            <w:tcW w:w="1191" w:type="pct"/>
            <w:tcBorders>
              <w:top w:val="single" w:sz="4" w:space="0" w:color="auto"/>
              <w:left w:val="single" w:sz="4" w:space="0" w:color="auto"/>
              <w:bottom w:val="nil"/>
              <w:right w:val="single" w:sz="4" w:space="0" w:color="auto"/>
            </w:tcBorders>
            <w:shd w:val="clear" w:color="000000" w:fill="FFFFFF"/>
            <w:noWrap/>
            <w:vAlign w:val="bottom"/>
            <w:hideMark/>
          </w:tcPr>
          <w:p w14:paraId="79ED2AAF" w14:textId="77777777" w:rsidR="00D75944" w:rsidRPr="003B18C7" w:rsidRDefault="00D75944" w:rsidP="00EB64BF">
            <w:pPr>
              <w:spacing w:after="0"/>
              <w:rPr>
                <w:rFonts w:ascii="EC Square Sans Cond Pro" w:eastAsia="Times New Roman" w:hAnsi="EC Square Sans Cond Pro" w:cs="Calibri"/>
                <w:b/>
                <w:bCs/>
                <w:noProof/>
                <w:color w:val="000000"/>
                <w:sz w:val="18"/>
                <w:szCs w:val="18"/>
                <w:lang w:val="en-IE"/>
              </w:rPr>
            </w:pPr>
          </w:p>
        </w:tc>
        <w:tc>
          <w:tcPr>
            <w:tcW w:w="2632" w:type="pct"/>
            <w:gridSpan w:val="4"/>
            <w:tcBorders>
              <w:top w:val="single" w:sz="4" w:space="0" w:color="auto"/>
              <w:left w:val="nil"/>
              <w:bottom w:val="nil"/>
              <w:right w:val="single" w:sz="4" w:space="0" w:color="000000"/>
            </w:tcBorders>
            <w:shd w:val="clear" w:color="000000" w:fill="FFFFFF"/>
            <w:noWrap/>
            <w:vAlign w:val="bottom"/>
            <w:hideMark/>
          </w:tcPr>
          <w:p w14:paraId="1A8B63A7" w14:textId="77777777" w:rsidR="00D75944" w:rsidRPr="003B18C7" w:rsidRDefault="00D75944" w:rsidP="00EB64BF">
            <w:pPr>
              <w:spacing w:after="0"/>
              <w:jc w:val="center"/>
              <w:rPr>
                <w:rFonts w:ascii="EC Square Sans Cond Pro" w:eastAsia="Times New Roman" w:hAnsi="EC Square Sans Cond Pro" w:cs="Calibri"/>
                <w:b/>
                <w:bCs/>
                <w:noProof/>
                <w:color w:val="000000"/>
                <w:sz w:val="18"/>
                <w:szCs w:val="18"/>
                <w:lang w:val="en-IE"/>
              </w:rPr>
            </w:pPr>
            <w:r w:rsidRPr="003B18C7">
              <w:rPr>
                <w:rFonts w:ascii="EC Square Sans Cond Pro" w:eastAsia="Times New Roman" w:hAnsi="EC Square Sans Cond Pro" w:cs="Calibri"/>
                <w:b/>
                <w:bCs/>
                <w:noProof/>
                <w:color w:val="000000"/>
                <w:sz w:val="18"/>
                <w:szCs w:val="18"/>
                <w:lang w:val="en-IE"/>
              </w:rPr>
              <w:t>2040</w:t>
            </w:r>
          </w:p>
        </w:tc>
        <w:tc>
          <w:tcPr>
            <w:tcW w:w="747" w:type="pct"/>
            <w:tcBorders>
              <w:top w:val="single" w:sz="4" w:space="0" w:color="auto"/>
              <w:left w:val="nil"/>
              <w:bottom w:val="nil"/>
              <w:right w:val="nil"/>
            </w:tcBorders>
            <w:shd w:val="clear" w:color="000000" w:fill="FFFFFF"/>
            <w:noWrap/>
            <w:vAlign w:val="bottom"/>
            <w:hideMark/>
          </w:tcPr>
          <w:p w14:paraId="707ABCAE" w14:textId="77777777" w:rsidR="00D75944" w:rsidRPr="003B18C7" w:rsidRDefault="00D75944" w:rsidP="00EB64BF">
            <w:pPr>
              <w:spacing w:after="0"/>
              <w:jc w:val="right"/>
              <w:rPr>
                <w:rFonts w:ascii="EC Square Sans Cond Pro" w:eastAsia="Times New Roman" w:hAnsi="EC Square Sans Cond Pro" w:cs="Calibri"/>
                <w:b/>
                <w:bCs/>
                <w:noProof/>
                <w:color w:val="000000"/>
                <w:sz w:val="18"/>
                <w:szCs w:val="18"/>
                <w:lang w:val="en-IE"/>
              </w:rPr>
            </w:pPr>
            <w:r w:rsidRPr="003B18C7">
              <w:rPr>
                <w:rFonts w:ascii="EC Square Sans Cond Pro" w:eastAsia="Times New Roman" w:hAnsi="EC Square Sans Cond Pro" w:cs="Calibri"/>
                <w:b/>
                <w:bCs/>
                <w:noProof/>
                <w:color w:val="000000"/>
                <w:sz w:val="18"/>
                <w:szCs w:val="18"/>
                <w:lang w:val="en-IE"/>
              </w:rPr>
              <w:t>2050</w:t>
            </w:r>
          </w:p>
        </w:tc>
        <w:tc>
          <w:tcPr>
            <w:tcW w:w="430" w:type="pct"/>
            <w:tcBorders>
              <w:top w:val="single" w:sz="4" w:space="0" w:color="auto"/>
              <w:left w:val="nil"/>
              <w:bottom w:val="nil"/>
              <w:right w:val="single" w:sz="4" w:space="0" w:color="auto"/>
            </w:tcBorders>
            <w:shd w:val="clear" w:color="000000" w:fill="FFFFFF"/>
            <w:noWrap/>
            <w:vAlign w:val="bottom"/>
            <w:hideMark/>
          </w:tcPr>
          <w:p w14:paraId="2FA55633" w14:textId="77777777" w:rsidR="00D75944" w:rsidRPr="003B18C7" w:rsidRDefault="00D75944" w:rsidP="00EB64BF">
            <w:pPr>
              <w:spacing w:after="0"/>
              <w:jc w:val="left"/>
              <w:rPr>
                <w:rFonts w:ascii="EC Square Sans Cond Pro" w:eastAsia="Times New Roman" w:hAnsi="EC Square Sans Cond Pro" w:cs="Calibri"/>
                <w:b/>
                <w:bCs/>
                <w:noProof/>
                <w:color w:val="000000"/>
                <w:sz w:val="18"/>
                <w:szCs w:val="18"/>
                <w:lang w:val="en-IE"/>
              </w:rPr>
            </w:pPr>
            <w:r w:rsidRPr="003B18C7">
              <w:rPr>
                <w:rFonts w:ascii="Calibri" w:eastAsia="Times New Roman" w:hAnsi="Calibri" w:cs="Calibri"/>
                <w:b/>
                <w:bCs/>
                <w:noProof/>
                <w:color w:val="000000"/>
                <w:sz w:val="18"/>
                <w:szCs w:val="18"/>
                <w:lang w:val="en-IE"/>
              </w:rPr>
              <w:t> </w:t>
            </w:r>
          </w:p>
        </w:tc>
      </w:tr>
      <w:tr w:rsidR="00896DAF" w:rsidRPr="00AE136E" w14:paraId="6D4C40F3" w14:textId="77777777" w:rsidTr="00EB64BF">
        <w:trPr>
          <w:trHeight w:val="20"/>
        </w:trPr>
        <w:tc>
          <w:tcPr>
            <w:tcW w:w="1191" w:type="pct"/>
            <w:tcBorders>
              <w:top w:val="nil"/>
              <w:left w:val="single" w:sz="4" w:space="0" w:color="auto"/>
              <w:bottom w:val="single" w:sz="4" w:space="0" w:color="auto"/>
              <w:right w:val="single" w:sz="4" w:space="0" w:color="auto"/>
            </w:tcBorders>
            <w:shd w:val="clear" w:color="000000" w:fill="FFFFFF"/>
            <w:noWrap/>
            <w:vAlign w:val="bottom"/>
            <w:hideMark/>
          </w:tcPr>
          <w:p w14:paraId="1C5ED88D" w14:textId="77777777" w:rsidR="00D75944" w:rsidRPr="003B18C7" w:rsidRDefault="00D75944" w:rsidP="00EB64BF">
            <w:pPr>
              <w:spacing w:after="0"/>
              <w:jc w:val="center"/>
              <w:rPr>
                <w:rFonts w:ascii="EC Square Sans Cond Pro" w:eastAsia="Times New Roman" w:hAnsi="EC Square Sans Cond Pro" w:cs="Calibri"/>
                <w:b/>
                <w:bCs/>
                <w:noProof/>
                <w:color w:val="000000"/>
                <w:sz w:val="18"/>
                <w:szCs w:val="18"/>
                <w:lang w:val="en-IE"/>
              </w:rPr>
            </w:pPr>
            <w:r w:rsidRPr="003B18C7">
              <w:rPr>
                <w:rFonts w:ascii="Calibri" w:eastAsia="Times New Roman" w:hAnsi="Calibri" w:cs="Calibri"/>
                <w:b/>
                <w:bCs/>
                <w:noProof/>
                <w:color w:val="000000"/>
                <w:sz w:val="18"/>
                <w:szCs w:val="18"/>
                <w:lang w:val="en-IE"/>
              </w:rPr>
              <w:t> </w:t>
            </w:r>
          </w:p>
        </w:tc>
        <w:tc>
          <w:tcPr>
            <w:tcW w:w="715" w:type="pct"/>
            <w:tcBorders>
              <w:top w:val="nil"/>
              <w:left w:val="nil"/>
              <w:bottom w:val="single" w:sz="4" w:space="0" w:color="auto"/>
              <w:right w:val="nil"/>
            </w:tcBorders>
            <w:shd w:val="clear" w:color="000000" w:fill="FFFFFF"/>
            <w:noWrap/>
            <w:vAlign w:val="bottom"/>
            <w:hideMark/>
          </w:tcPr>
          <w:p w14:paraId="7DA65FE0" w14:textId="77777777" w:rsidR="00D75944" w:rsidRPr="003B18C7" w:rsidRDefault="00D75944" w:rsidP="00EB64BF">
            <w:pPr>
              <w:spacing w:after="0"/>
              <w:jc w:val="center"/>
              <w:rPr>
                <w:rFonts w:ascii="EC Square Sans Cond Pro" w:eastAsia="Times New Roman" w:hAnsi="EC Square Sans Cond Pro" w:cs="Calibri"/>
                <w:b/>
                <w:bCs/>
                <w:noProof/>
                <w:sz w:val="18"/>
                <w:szCs w:val="18"/>
                <w:lang w:val="en-IE"/>
              </w:rPr>
            </w:pPr>
            <w:r w:rsidRPr="003B18C7">
              <w:rPr>
                <w:rFonts w:ascii="EC Square Sans Cond Pro" w:eastAsia="Times New Roman" w:hAnsi="EC Square Sans Cond Pro" w:cs="Calibri"/>
                <w:b/>
                <w:bCs/>
                <w:noProof/>
                <w:sz w:val="18"/>
                <w:szCs w:val="18"/>
                <w:lang w:val="en-IE"/>
              </w:rPr>
              <w:t>S1</w:t>
            </w:r>
          </w:p>
        </w:tc>
        <w:tc>
          <w:tcPr>
            <w:tcW w:w="638" w:type="pct"/>
            <w:tcBorders>
              <w:top w:val="nil"/>
              <w:left w:val="nil"/>
              <w:bottom w:val="single" w:sz="4" w:space="0" w:color="auto"/>
              <w:right w:val="nil"/>
            </w:tcBorders>
            <w:shd w:val="clear" w:color="000000" w:fill="FFFFFF"/>
            <w:noWrap/>
            <w:vAlign w:val="bottom"/>
            <w:hideMark/>
          </w:tcPr>
          <w:p w14:paraId="72B91F97" w14:textId="77777777" w:rsidR="00D75944" w:rsidRPr="003B18C7" w:rsidRDefault="00D75944" w:rsidP="00EB64BF">
            <w:pPr>
              <w:spacing w:after="0"/>
              <w:jc w:val="center"/>
              <w:rPr>
                <w:rFonts w:ascii="EC Square Sans Cond Pro" w:eastAsia="Times New Roman" w:hAnsi="EC Square Sans Cond Pro" w:cs="Calibri"/>
                <w:b/>
                <w:bCs/>
                <w:noProof/>
                <w:sz w:val="18"/>
                <w:szCs w:val="18"/>
                <w:lang w:val="en-IE"/>
              </w:rPr>
            </w:pPr>
            <w:r w:rsidRPr="003B18C7">
              <w:rPr>
                <w:rFonts w:ascii="EC Square Sans Cond Pro" w:eastAsia="Times New Roman" w:hAnsi="EC Square Sans Cond Pro" w:cs="Calibri"/>
                <w:b/>
                <w:bCs/>
                <w:noProof/>
                <w:sz w:val="18"/>
                <w:szCs w:val="18"/>
                <w:lang w:val="en-IE"/>
              </w:rPr>
              <w:t>S2</w:t>
            </w:r>
          </w:p>
        </w:tc>
        <w:tc>
          <w:tcPr>
            <w:tcW w:w="639" w:type="pct"/>
            <w:tcBorders>
              <w:top w:val="nil"/>
              <w:left w:val="nil"/>
              <w:bottom w:val="single" w:sz="4" w:space="0" w:color="auto"/>
              <w:right w:val="nil"/>
            </w:tcBorders>
            <w:shd w:val="clear" w:color="000000" w:fill="FFFFFF"/>
            <w:noWrap/>
            <w:vAlign w:val="bottom"/>
            <w:hideMark/>
          </w:tcPr>
          <w:p w14:paraId="42FDD094" w14:textId="77777777" w:rsidR="00D75944" w:rsidRPr="003B18C7" w:rsidRDefault="00D75944" w:rsidP="00EB64BF">
            <w:pPr>
              <w:spacing w:after="0"/>
              <w:jc w:val="center"/>
              <w:rPr>
                <w:rFonts w:ascii="EC Square Sans Cond Pro" w:eastAsia="Times New Roman" w:hAnsi="EC Square Sans Cond Pro" w:cs="Calibri"/>
                <w:b/>
                <w:bCs/>
                <w:noProof/>
                <w:sz w:val="18"/>
                <w:szCs w:val="18"/>
                <w:lang w:val="en-IE"/>
              </w:rPr>
            </w:pPr>
            <w:r w:rsidRPr="003B18C7">
              <w:rPr>
                <w:rFonts w:ascii="EC Square Sans Cond Pro" w:eastAsia="Times New Roman" w:hAnsi="EC Square Sans Cond Pro" w:cs="Calibri"/>
                <w:b/>
                <w:bCs/>
                <w:noProof/>
                <w:sz w:val="18"/>
                <w:szCs w:val="18"/>
                <w:lang w:val="en-IE"/>
              </w:rPr>
              <w:t>S3</w:t>
            </w:r>
          </w:p>
        </w:tc>
        <w:tc>
          <w:tcPr>
            <w:tcW w:w="640" w:type="pct"/>
            <w:tcBorders>
              <w:top w:val="nil"/>
              <w:left w:val="nil"/>
              <w:bottom w:val="single" w:sz="4" w:space="0" w:color="auto"/>
              <w:right w:val="single" w:sz="4" w:space="0" w:color="auto"/>
            </w:tcBorders>
            <w:shd w:val="clear" w:color="000000" w:fill="FFFFFF"/>
            <w:noWrap/>
            <w:vAlign w:val="bottom"/>
            <w:hideMark/>
          </w:tcPr>
          <w:p w14:paraId="1E3786D3" w14:textId="77777777" w:rsidR="00D75944" w:rsidRPr="003B18C7" w:rsidRDefault="00D75944" w:rsidP="00EB64BF">
            <w:pPr>
              <w:spacing w:after="0"/>
              <w:jc w:val="center"/>
              <w:rPr>
                <w:rFonts w:ascii="EC Square Sans Cond Pro" w:eastAsia="Times New Roman" w:hAnsi="EC Square Sans Cond Pro" w:cs="Calibri"/>
                <w:b/>
                <w:bCs/>
                <w:noProof/>
                <w:sz w:val="18"/>
                <w:szCs w:val="18"/>
                <w:lang w:val="en-IE"/>
              </w:rPr>
            </w:pPr>
            <w:r w:rsidRPr="003B18C7">
              <w:rPr>
                <w:rFonts w:ascii="EC Square Sans Cond Pro" w:eastAsia="Times New Roman" w:hAnsi="EC Square Sans Cond Pro" w:cs="Calibri"/>
                <w:b/>
                <w:bCs/>
                <w:noProof/>
                <w:sz w:val="18"/>
                <w:szCs w:val="18"/>
                <w:lang w:val="en-IE"/>
              </w:rPr>
              <w:t>LIFE</w:t>
            </w:r>
          </w:p>
        </w:tc>
        <w:tc>
          <w:tcPr>
            <w:tcW w:w="747" w:type="pct"/>
            <w:tcBorders>
              <w:top w:val="nil"/>
              <w:left w:val="nil"/>
              <w:bottom w:val="single" w:sz="4" w:space="0" w:color="auto"/>
              <w:right w:val="nil"/>
            </w:tcBorders>
            <w:shd w:val="clear" w:color="000000" w:fill="FFFFFF"/>
            <w:noWrap/>
            <w:vAlign w:val="bottom"/>
            <w:hideMark/>
          </w:tcPr>
          <w:p w14:paraId="533C03F3" w14:textId="77777777" w:rsidR="00D75944" w:rsidRPr="003B18C7" w:rsidRDefault="00D75944" w:rsidP="00EB64BF">
            <w:pPr>
              <w:spacing w:after="0"/>
              <w:jc w:val="center"/>
              <w:rPr>
                <w:rFonts w:ascii="EC Square Sans Cond Pro" w:eastAsia="Times New Roman" w:hAnsi="EC Square Sans Cond Pro" w:cs="Calibri"/>
                <w:b/>
                <w:bCs/>
                <w:noProof/>
                <w:sz w:val="18"/>
                <w:szCs w:val="18"/>
                <w:lang w:val="en-IE"/>
              </w:rPr>
            </w:pPr>
            <w:r w:rsidRPr="003B18C7">
              <w:rPr>
                <w:rFonts w:ascii="EC Square Sans Cond Pro" w:eastAsia="Times New Roman" w:hAnsi="EC Square Sans Cond Pro" w:cs="Calibri"/>
                <w:b/>
                <w:bCs/>
                <w:noProof/>
                <w:sz w:val="18"/>
                <w:szCs w:val="18"/>
                <w:lang w:val="en-IE"/>
              </w:rPr>
              <w:t>S3</w:t>
            </w:r>
          </w:p>
        </w:tc>
        <w:tc>
          <w:tcPr>
            <w:tcW w:w="430" w:type="pct"/>
            <w:tcBorders>
              <w:top w:val="nil"/>
              <w:left w:val="nil"/>
              <w:bottom w:val="single" w:sz="4" w:space="0" w:color="auto"/>
              <w:right w:val="single" w:sz="4" w:space="0" w:color="auto"/>
            </w:tcBorders>
            <w:shd w:val="clear" w:color="000000" w:fill="FFFFFF"/>
            <w:noWrap/>
            <w:vAlign w:val="bottom"/>
            <w:hideMark/>
          </w:tcPr>
          <w:p w14:paraId="40705D11" w14:textId="77777777" w:rsidR="00D75944" w:rsidRPr="003B18C7" w:rsidRDefault="00D75944" w:rsidP="00EB64BF">
            <w:pPr>
              <w:spacing w:after="0"/>
              <w:jc w:val="center"/>
              <w:rPr>
                <w:rFonts w:ascii="EC Square Sans Cond Pro" w:eastAsia="Times New Roman" w:hAnsi="EC Square Sans Cond Pro" w:cs="Calibri"/>
                <w:b/>
                <w:bCs/>
                <w:noProof/>
                <w:sz w:val="18"/>
                <w:szCs w:val="18"/>
                <w:lang w:val="en-IE"/>
              </w:rPr>
            </w:pPr>
            <w:r w:rsidRPr="003B18C7">
              <w:rPr>
                <w:rFonts w:ascii="EC Square Sans Cond Pro" w:eastAsia="Times New Roman" w:hAnsi="EC Square Sans Cond Pro" w:cs="Calibri"/>
                <w:b/>
                <w:bCs/>
                <w:noProof/>
                <w:sz w:val="18"/>
                <w:szCs w:val="18"/>
                <w:lang w:val="en-IE"/>
              </w:rPr>
              <w:t>LIFE</w:t>
            </w:r>
          </w:p>
        </w:tc>
      </w:tr>
      <w:tr w:rsidR="00896DAF" w:rsidRPr="00AE136E" w14:paraId="492E5AF4" w14:textId="77777777" w:rsidTr="00EB64BF">
        <w:trPr>
          <w:trHeight w:val="20"/>
        </w:trPr>
        <w:tc>
          <w:tcPr>
            <w:tcW w:w="1191" w:type="pct"/>
            <w:tcBorders>
              <w:top w:val="nil"/>
              <w:left w:val="single" w:sz="4" w:space="0" w:color="auto"/>
              <w:bottom w:val="single" w:sz="4" w:space="0" w:color="auto"/>
              <w:right w:val="single" w:sz="4" w:space="0" w:color="auto"/>
            </w:tcBorders>
            <w:shd w:val="clear" w:color="000000" w:fill="FFFFFF"/>
            <w:noWrap/>
            <w:vAlign w:val="bottom"/>
            <w:hideMark/>
          </w:tcPr>
          <w:p w14:paraId="25D9FE96" w14:textId="77777777" w:rsidR="00D75944" w:rsidRPr="00F06D0A" w:rsidRDefault="00D75944" w:rsidP="00EB64BF">
            <w:pPr>
              <w:spacing w:after="0"/>
              <w:jc w:val="center"/>
              <w:rPr>
                <w:rFonts w:ascii="EC Square Sans Cond Pro" w:eastAsia="Times New Roman" w:hAnsi="EC Square Sans Cond Pro" w:cs="Calibri"/>
                <w:b/>
                <w:bCs/>
                <w:noProof/>
                <w:color w:val="000000"/>
                <w:sz w:val="18"/>
                <w:szCs w:val="18"/>
                <w:lang w:val="es-ES"/>
              </w:rPr>
            </w:pPr>
            <w:r w:rsidRPr="00F06D0A">
              <w:rPr>
                <w:rFonts w:ascii="EC Square Sans Cond Pro" w:eastAsia="Times New Roman" w:hAnsi="EC Square Sans Cond Pro" w:cs="Calibri"/>
                <w:b/>
                <w:bCs/>
                <w:noProof/>
                <w:color w:val="000000"/>
                <w:sz w:val="18"/>
                <w:szCs w:val="18"/>
                <w:lang w:val="es-ES"/>
              </w:rPr>
              <w:t>Total Net GHG - MtCO2-eq</w:t>
            </w:r>
          </w:p>
        </w:tc>
        <w:tc>
          <w:tcPr>
            <w:tcW w:w="715" w:type="pct"/>
            <w:tcBorders>
              <w:top w:val="nil"/>
              <w:left w:val="nil"/>
              <w:bottom w:val="nil"/>
              <w:right w:val="nil"/>
            </w:tcBorders>
            <w:shd w:val="clear" w:color="000000" w:fill="FFFFFF"/>
            <w:noWrap/>
            <w:vAlign w:val="center"/>
            <w:hideMark/>
          </w:tcPr>
          <w:p w14:paraId="37089875" w14:textId="77777777" w:rsidR="00D75944" w:rsidRPr="003B18C7" w:rsidRDefault="00D75944" w:rsidP="00EB64BF">
            <w:pPr>
              <w:spacing w:after="0"/>
              <w:jc w:val="center"/>
              <w:rPr>
                <w:rFonts w:ascii="EC Square Sans Cond Pro" w:eastAsia="Times New Roman" w:hAnsi="EC Square Sans Cond Pro" w:cs="Calibri"/>
                <w:b/>
                <w:bCs/>
                <w:noProof/>
                <w:color w:val="000000"/>
                <w:sz w:val="18"/>
                <w:szCs w:val="18"/>
                <w:lang w:val="en-IE"/>
              </w:rPr>
            </w:pPr>
            <w:r w:rsidRPr="003B18C7">
              <w:rPr>
                <w:rFonts w:ascii="EC Square Sans Cond Pro" w:eastAsia="Times New Roman" w:hAnsi="EC Square Sans Cond Pro" w:cs="Calibri"/>
                <w:b/>
                <w:bCs/>
                <w:noProof/>
                <w:color w:val="000000"/>
                <w:sz w:val="18"/>
                <w:szCs w:val="18"/>
                <w:lang w:val="en-IE"/>
              </w:rPr>
              <w:t>1051</w:t>
            </w:r>
          </w:p>
        </w:tc>
        <w:tc>
          <w:tcPr>
            <w:tcW w:w="638" w:type="pct"/>
            <w:tcBorders>
              <w:top w:val="nil"/>
              <w:left w:val="single" w:sz="4" w:space="0" w:color="auto"/>
              <w:bottom w:val="nil"/>
              <w:right w:val="nil"/>
            </w:tcBorders>
            <w:shd w:val="clear" w:color="000000" w:fill="FFFFFF"/>
            <w:noWrap/>
            <w:vAlign w:val="center"/>
            <w:hideMark/>
          </w:tcPr>
          <w:p w14:paraId="5FCDA3C8" w14:textId="3D1ADF6C" w:rsidR="00D75944" w:rsidRPr="003B18C7" w:rsidRDefault="00D75944" w:rsidP="00EB64BF">
            <w:pPr>
              <w:spacing w:after="0"/>
              <w:jc w:val="center"/>
              <w:rPr>
                <w:rFonts w:ascii="EC Square Sans Cond Pro" w:eastAsia="Times New Roman" w:hAnsi="EC Square Sans Cond Pro" w:cs="Calibri"/>
                <w:b/>
                <w:bCs/>
                <w:noProof/>
                <w:color w:val="000000"/>
                <w:sz w:val="18"/>
                <w:szCs w:val="18"/>
                <w:lang w:val="en-IE"/>
              </w:rPr>
            </w:pPr>
            <w:r w:rsidRPr="003B18C7">
              <w:rPr>
                <w:rFonts w:ascii="EC Square Sans Cond Pro" w:eastAsia="Times New Roman" w:hAnsi="EC Square Sans Cond Pro" w:cs="Calibri"/>
                <w:b/>
                <w:bCs/>
                <w:noProof/>
                <w:color w:val="000000"/>
                <w:sz w:val="18"/>
                <w:szCs w:val="18"/>
                <w:lang w:val="en-IE"/>
              </w:rPr>
              <w:t>5</w:t>
            </w:r>
            <w:r w:rsidR="001518E5">
              <w:rPr>
                <w:rFonts w:ascii="EC Square Sans Cond Pro" w:eastAsia="Times New Roman" w:hAnsi="EC Square Sans Cond Pro" w:cs="Calibri"/>
                <w:b/>
                <w:bCs/>
                <w:noProof/>
                <w:color w:val="000000"/>
                <w:sz w:val="18"/>
                <w:szCs w:val="18"/>
                <w:lang w:val="en-IE"/>
              </w:rPr>
              <w:t>7</w:t>
            </w:r>
            <w:r w:rsidRPr="003B18C7">
              <w:rPr>
                <w:rFonts w:ascii="EC Square Sans Cond Pro" w:eastAsia="Times New Roman" w:hAnsi="EC Square Sans Cond Pro" w:cs="Calibri"/>
                <w:b/>
                <w:bCs/>
                <w:noProof/>
                <w:color w:val="000000"/>
                <w:sz w:val="18"/>
                <w:szCs w:val="18"/>
                <w:lang w:val="en-IE"/>
              </w:rPr>
              <w:t>8</w:t>
            </w:r>
          </w:p>
        </w:tc>
        <w:tc>
          <w:tcPr>
            <w:tcW w:w="639" w:type="pct"/>
            <w:tcBorders>
              <w:top w:val="nil"/>
              <w:left w:val="single" w:sz="4" w:space="0" w:color="auto"/>
              <w:bottom w:val="nil"/>
              <w:right w:val="nil"/>
            </w:tcBorders>
            <w:shd w:val="clear" w:color="000000" w:fill="FFFFFF"/>
            <w:noWrap/>
            <w:vAlign w:val="center"/>
            <w:hideMark/>
          </w:tcPr>
          <w:p w14:paraId="6F112358" w14:textId="77777777" w:rsidR="00D75944" w:rsidRPr="003B18C7" w:rsidRDefault="00D75944" w:rsidP="00EB64BF">
            <w:pPr>
              <w:spacing w:after="0"/>
              <w:jc w:val="center"/>
              <w:rPr>
                <w:rFonts w:ascii="EC Square Sans Cond Pro" w:eastAsia="Times New Roman" w:hAnsi="EC Square Sans Cond Pro" w:cs="Calibri"/>
                <w:b/>
                <w:bCs/>
                <w:noProof/>
                <w:color w:val="000000"/>
                <w:sz w:val="18"/>
                <w:szCs w:val="18"/>
                <w:lang w:val="en-IE"/>
              </w:rPr>
            </w:pPr>
            <w:r w:rsidRPr="003B18C7">
              <w:rPr>
                <w:rFonts w:ascii="EC Square Sans Cond Pro" w:eastAsia="Times New Roman" w:hAnsi="EC Square Sans Cond Pro" w:cs="Calibri"/>
                <w:b/>
                <w:bCs/>
                <w:noProof/>
                <w:color w:val="000000"/>
                <w:sz w:val="18"/>
                <w:szCs w:val="18"/>
                <w:lang w:val="en-IE"/>
              </w:rPr>
              <w:t>356</w:t>
            </w:r>
          </w:p>
        </w:tc>
        <w:tc>
          <w:tcPr>
            <w:tcW w:w="640" w:type="pct"/>
            <w:tcBorders>
              <w:top w:val="nil"/>
              <w:left w:val="single" w:sz="4" w:space="0" w:color="auto"/>
              <w:bottom w:val="nil"/>
              <w:right w:val="nil"/>
            </w:tcBorders>
            <w:shd w:val="clear" w:color="000000" w:fill="FFFFFF"/>
            <w:noWrap/>
            <w:vAlign w:val="center"/>
            <w:hideMark/>
          </w:tcPr>
          <w:p w14:paraId="7F85D230" w14:textId="77777777" w:rsidR="00D75944" w:rsidRPr="003B18C7" w:rsidRDefault="00D75944" w:rsidP="00EB64BF">
            <w:pPr>
              <w:spacing w:after="0"/>
              <w:jc w:val="center"/>
              <w:rPr>
                <w:rFonts w:ascii="EC Square Sans Cond Pro" w:eastAsia="Times New Roman" w:hAnsi="EC Square Sans Cond Pro" w:cs="Calibri"/>
                <w:b/>
                <w:bCs/>
                <w:noProof/>
                <w:color w:val="000000"/>
                <w:sz w:val="18"/>
                <w:szCs w:val="18"/>
                <w:lang w:val="en-IE"/>
              </w:rPr>
            </w:pPr>
            <w:r w:rsidRPr="003B18C7">
              <w:rPr>
                <w:rFonts w:ascii="EC Square Sans Cond Pro" w:eastAsia="Times New Roman" w:hAnsi="EC Square Sans Cond Pro" w:cs="Calibri"/>
                <w:b/>
                <w:bCs/>
                <w:noProof/>
                <w:color w:val="000000"/>
                <w:sz w:val="18"/>
                <w:szCs w:val="18"/>
                <w:lang w:val="en-IE"/>
              </w:rPr>
              <w:t>353</w:t>
            </w:r>
          </w:p>
        </w:tc>
        <w:tc>
          <w:tcPr>
            <w:tcW w:w="747" w:type="pct"/>
            <w:tcBorders>
              <w:top w:val="nil"/>
              <w:left w:val="single" w:sz="4" w:space="0" w:color="auto"/>
              <w:bottom w:val="nil"/>
              <w:right w:val="nil"/>
            </w:tcBorders>
            <w:shd w:val="clear" w:color="000000" w:fill="FFFFFF"/>
            <w:noWrap/>
            <w:vAlign w:val="center"/>
            <w:hideMark/>
          </w:tcPr>
          <w:p w14:paraId="4BDD78F1" w14:textId="77777777" w:rsidR="00D75944" w:rsidRPr="003B18C7" w:rsidRDefault="00D75944" w:rsidP="00EB64BF">
            <w:pPr>
              <w:spacing w:after="0"/>
              <w:jc w:val="center"/>
              <w:rPr>
                <w:rFonts w:ascii="EC Square Sans Cond Pro" w:eastAsia="Times New Roman" w:hAnsi="EC Square Sans Cond Pro" w:cs="Calibri"/>
                <w:b/>
                <w:bCs/>
                <w:noProof/>
                <w:color w:val="000000"/>
                <w:sz w:val="18"/>
                <w:szCs w:val="18"/>
                <w:lang w:val="en-IE"/>
              </w:rPr>
            </w:pPr>
            <w:r w:rsidRPr="003B18C7">
              <w:rPr>
                <w:rFonts w:ascii="EC Square Sans Cond Pro" w:eastAsia="Times New Roman" w:hAnsi="EC Square Sans Cond Pro" w:cs="Calibri"/>
                <w:b/>
                <w:bCs/>
                <w:noProof/>
                <w:color w:val="000000"/>
                <w:sz w:val="18"/>
                <w:szCs w:val="18"/>
                <w:lang w:val="en-IE"/>
              </w:rPr>
              <w:t>-38</w:t>
            </w:r>
          </w:p>
        </w:tc>
        <w:tc>
          <w:tcPr>
            <w:tcW w:w="430" w:type="pct"/>
            <w:tcBorders>
              <w:top w:val="nil"/>
              <w:left w:val="single" w:sz="4" w:space="0" w:color="auto"/>
              <w:bottom w:val="nil"/>
              <w:right w:val="single" w:sz="4" w:space="0" w:color="auto"/>
            </w:tcBorders>
            <w:shd w:val="clear" w:color="000000" w:fill="FFFFFF"/>
            <w:noWrap/>
            <w:vAlign w:val="center"/>
            <w:hideMark/>
          </w:tcPr>
          <w:p w14:paraId="0A7598FC" w14:textId="77777777" w:rsidR="00D75944" w:rsidRPr="003B18C7" w:rsidRDefault="00D75944" w:rsidP="00EB64BF">
            <w:pPr>
              <w:spacing w:after="0"/>
              <w:jc w:val="center"/>
              <w:rPr>
                <w:rFonts w:ascii="EC Square Sans Cond Pro" w:eastAsia="Times New Roman" w:hAnsi="EC Square Sans Cond Pro" w:cs="Calibri"/>
                <w:b/>
                <w:bCs/>
                <w:noProof/>
                <w:color w:val="000000"/>
                <w:sz w:val="18"/>
                <w:szCs w:val="18"/>
                <w:lang w:val="en-IE"/>
              </w:rPr>
            </w:pPr>
            <w:r w:rsidRPr="003B18C7">
              <w:rPr>
                <w:rFonts w:ascii="EC Square Sans Cond Pro" w:eastAsia="Times New Roman" w:hAnsi="EC Square Sans Cond Pro" w:cs="Calibri"/>
                <w:b/>
                <w:bCs/>
                <w:noProof/>
                <w:color w:val="000000"/>
                <w:sz w:val="18"/>
                <w:szCs w:val="18"/>
                <w:lang w:val="en-IE"/>
              </w:rPr>
              <w:t>-70</w:t>
            </w:r>
          </w:p>
        </w:tc>
      </w:tr>
      <w:tr w:rsidR="00896DAF" w:rsidRPr="00AE136E" w14:paraId="77AF77E2" w14:textId="77777777" w:rsidTr="00EB64BF">
        <w:trPr>
          <w:trHeight w:val="20"/>
        </w:trPr>
        <w:tc>
          <w:tcPr>
            <w:tcW w:w="1191" w:type="pct"/>
            <w:tcBorders>
              <w:top w:val="nil"/>
              <w:left w:val="single" w:sz="4" w:space="0" w:color="auto"/>
              <w:bottom w:val="single" w:sz="4" w:space="0" w:color="auto"/>
              <w:right w:val="single" w:sz="4" w:space="0" w:color="auto"/>
            </w:tcBorders>
            <w:shd w:val="clear" w:color="000000" w:fill="FFFFFF"/>
            <w:noWrap/>
            <w:vAlign w:val="bottom"/>
            <w:hideMark/>
          </w:tcPr>
          <w:p w14:paraId="69CFE864" w14:textId="177F038C" w:rsidR="00D75944" w:rsidRPr="003B18C7" w:rsidRDefault="00D75944" w:rsidP="00EB64BF">
            <w:pPr>
              <w:spacing w:after="0"/>
              <w:jc w:val="right"/>
              <w:rPr>
                <w:rFonts w:ascii="EC Square Sans Cond Pro" w:eastAsia="Times New Roman" w:hAnsi="EC Square Sans Cond Pro" w:cs="Calibri"/>
                <w:i/>
                <w:iCs/>
                <w:noProof/>
                <w:color w:val="000000"/>
                <w:sz w:val="18"/>
                <w:szCs w:val="18"/>
                <w:lang w:val="en-IE"/>
              </w:rPr>
            </w:pPr>
            <w:r w:rsidRPr="003B18C7">
              <w:rPr>
                <w:rFonts w:ascii="EC Square Sans Cond Pro" w:eastAsia="Times New Roman" w:hAnsi="EC Square Sans Cond Pro" w:cs="Calibri"/>
                <w:i/>
                <w:iCs/>
                <w:noProof/>
                <w:color w:val="000000"/>
                <w:sz w:val="18"/>
                <w:szCs w:val="18"/>
                <w:lang w:val="en-IE"/>
              </w:rPr>
              <w:t>CO2 (excl. LULUCF)</w:t>
            </w:r>
            <w:r>
              <w:rPr>
                <w:rFonts w:ascii="EC Square Sans Cond Pro" w:eastAsia="Times New Roman" w:hAnsi="EC Square Sans Cond Pro" w:cs="Calibri"/>
                <w:i/>
                <w:iCs/>
                <w:noProof/>
                <w:color w:val="000000"/>
                <w:sz w:val="18"/>
                <w:szCs w:val="18"/>
                <w:lang w:val="en-IE"/>
              </w:rPr>
              <w:t xml:space="preserve"> </w:t>
            </w:r>
            <w:r w:rsidR="009E18AF">
              <w:rPr>
                <w:rFonts w:ascii="EC Square Sans Cond Pro" w:eastAsia="Times New Roman" w:hAnsi="EC Square Sans Cond Pro" w:cs="Calibri"/>
                <w:i/>
                <w:iCs/>
                <w:noProof/>
                <w:color w:val="000000"/>
                <w:sz w:val="18"/>
                <w:szCs w:val="18"/>
                <w:lang w:val="en-IE"/>
              </w:rPr>
              <w:t>*</w:t>
            </w:r>
            <w:r>
              <w:rPr>
                <w:rFonts w:ascii="EC Square Sans Cond Pro" w:eastAsia="Times New Roman" w:hAnsi="EC Square Sans Cond Pro" w:cs="Calibri"/>
                <w:i/>
                <w:iCs/>
                <w:noProof/>
                <w:color w:val="000000"/>
                <w:sz w:val="18"/>
                <w:szCs w:val="18"/>
                <w:lang w:val="en-IE"/>
              </w:rPr>
              <w:t xml:space="preserve"> – MtCO2</w:t>
            </w:r>
          </w:p>
        </w:tc>
        <w:tc>
          <w:tcPr>
            <w:tcW w:w="715" w:type="pct"/>
            <w:tcBorders>
              <w:top w:val="nil"/>
              <w:left w:val="nil"/>
              <w:bottom w:val="nil"/>
              <w:right w:val="nil"/>
            </w:tcBorders>
            <w:shd w:val="clear" w:color="000000" w:fill="FFFFFF"/>
            <w:noWrap/>
            <w:vAlign w:val="center"/>
            <w:hideMark/>
          </w:tcPr>
          <w:p w14:paraId="68134281" w14:textId="77777777" w:rsidR="00D75944" w:rsidRPr="003B18C7" w:rsidRDefault="00D75944" w:rsidP="00EB64BF">
            <w:pPr>
              <w:spacing w:after="0"/>
              <w:jc w:val="center"/>
              <w:rPr>
                <w:rFonts w:ascii="EC Square Sans Cond Pro" w:eastAsia="Times New Roman" w:hAnsi="EC Square Sans Cond Pro" w:cs="Calibri"/>
                <w:noProof/>
                <w:color w:val="000000"/>
                <w:sz w:val="18"/>
                <w:szCs w:val="18"/>
                <w:lang w:val="en-IE"/>
              </w:rPr>
            </w:pPr>
            <w:r w:rsidRPr="003B18C7">
              <w:rPr>
                <w:rFonts w:ascii="EC Square Sans Cond Pro" w:eastAsia="Times New Roman" w:hAnsi="EC Square Sans Cond Pro" w:cs="Calibri"/>
                <w:noProof/>
                <w:color w:val="000000"/>
                <w:sz w:val="18"/>
                <w:szCs w:val="18"/>
                <w:lang w:val="en-IE"/>
              </w:rPr>
              <w:t>815</w:t>
            </w:r>
          </w:p>
        </w:tc>
        <w:tc>
          <w:tcPr>
            <w:tcW w:w="638" w:type="pct"/>
            <w:tcBorders>
              <w:top w:val="nil"/>
              <w:left w:val="single" w:sz="4" w:space="0" w:color="auto"/>
              <w:bottom w:val="nil"/>
              <w:right w:val="nil"/>
            </w:tcBorders>
            <w:shd w:val="clear" w:color="000000" w:fill="FFFFFF"/>
            <w:noWrap/>
            <w:vAlign w:val="center"/>
            <w:hideMark/>
          </w:tcPr>
          <w:p w14:paraId="45EB4A92" w14:textId="77777777" w:rsidR="00D75944" w:rsidRPr="003B18C7" w:rsidRDefault="00D75944" w:rsidP="00EB64BF">
            <w:pPr>
              <w:spacing w:after="0"/>
              <w:jc w:val="center"/>
              <w:rPr>
                <w:rFonts w:ascii="EC Square Sans Cond Pro" w:eastAsia="Times New Roman" w:hAnsi="EC Square Sans Cond Pro" w:cs="Calibri"/>
                <w:noProof/>
                <w:color w:val="000000"/>
                <w:sz w:val="18"/>
                <w:szCs w:val="18"/>
                <w:lang w:val="en-IE"/>
              </w:rPr>
            </w:pPr>
            <w:r w:rsidRPr="003B18C7">
              <w:rPr>
                <w:rFonts w:ascii="EC Square Sans Cond Pro" w:eastAsia="Times New Roman" w:hAnsi="EC Square Sans Cond Pro" w:cs="Calibri"/>
                <w:noProof/>
                <w:color w:val="000000"/>
                <w:sz w:val="18"/>
                <w:szCs w:val="18"/>
                <w:lang w:val="en-IE"/>
              </w:rPr>
              <w:t>521</w:t>
            </w:r>
          </w:p>
        </w:tc>
        <w:tc>
          <w:tcPr>
            <w:tcW w:w="639" w:type="pct"/>
            <w:tcBorders>
              <w:top w:val="nil"/>
              <w:left w:val="single" w:sz="4" w:space="0" w:color="auto"/>
              <w:bottom w:val="nil"/>
              <w:right w:val="nil"/>
            </w:tcBorders>
            <w:shd w:val="clear" w:color="000000" w:fill="FFFFFF"/>
            <w:noWrap/>
            <w:vAlign w:val="center"/>
            <w:hideMark/>
          </w:tcPr>
          <w:p w14:paraId="6E98989B" w14:textId="77777777" w:rsidR="00D75944" w:rsidRPr="003B18C7" w:rsidRDefault="00D75944" w:rsidP="00EB64BF">
            <w:pPr>
              <w:spacing w:after="0"/>
              <w:jc w:val="center"/>
              <w:rPr>
                <w:rFonts w:ascii="EC Square Sans Cond Pro" w:eastAsia="Times New Roman" w:hAnsi="EC Square Sans Cond Pro" w:cs="Calibri"/>
                <w:noProof/>
                <w:color w:val="000000"/>
                <w:sz w:val="18"/>
                <w:szCs w:val="18"/>
                <w:lang w:val="en-IE"/>
              </w:rPr>
            </w:pPr>
            <w:r w:rsidRPr="003B18C7">
              <w:rPr>
                <w:rFonts w:ascii="EC Square Sans Cond Pro" w:eastAsia="Times New Roman" w:hAnsi="EC Square Sans Cond Pro" w:cs="Calibri"/>
                <w:noProof/>
                <w:color w:val="000000"/>
                <w:sz w:val="18"/>
                <w:szCs w:val="18"/>
                <w:lang w:val="en-IE"/>
              </w:rPr>
              <w:t>331</w:t>
            </w:r>
          </w:p>
        </w:tc>
        <w:tc>
          <w:tcPr>
            <w:tcW w:w="640" w:type="pct"/>
            <w:tcBorders>
              <w:top w:val="nil"/>
              <w:left w:val="single" w:sz="4" w:space="0" w:color="auto"/>
              <w:bottom w:val="nil"/>
              <w:right w:val="nil"/>
            </w:tcBorders>
            <w:shd w:val="clear" w:color="000000" w:fill="FFFFFF"/>
            <w:noWrap/>
            <w:vAlign w:val="center"/>
            <w:hideMark/>
          </w:tcPr>
          <w:p w14:paraId="6F235CC7" w14:textId="77777777" w:rsidR="00D75944" w:rsidRPr="003B18C7" w:rsidRDefault="00D75944" w:rsidP="00EB64BF">
            <w:pPr>
              <w:spacing w:after="0"/>
              <w:jc w:val="center"/>
              <w:rPr>
                <w:rFonts w:ascii="EC Square Sans Cond Pro" w:eastAsia="Times New Roman" w:hAnsi="EC Square Sans Cond Pro" w:cs="Calibri"/>
                <w:noProof/>
                <w:color w:val="000000"/>
                <w:sz w:val="18"/>
                <w:szCs w:val="18"/>
                <w:lang w:val="en-IE"/>
              </w:rPr>
            </w:pPr>
            <w:r w:rsidRPr="003B18C7">
              <w:rPr>
                <w:rFonts w:ascii="EC Square Sans Cond Pro" w:eastAsia="Times New Roman" w:hAnsi="EC Square Sans Cond Pro" w:cs="Calibri"/>
                <w:noProof/>
                <w:color w:val="000000"/>
                <w:sz w:val="18"/>
                <w:szCs w:val="18"/>
                <w:lang w:val="en-IE"/>
              </w:rPr>
              <w:t>432</w:t>
            </w:r>
          </w:p>
        </w:tc>
        <w:tc>
          <w:tcPr>
            <w:tcW w:w="747" w:type="pct"/>
            <w:tcBorders>
              <w:top w:val="nil"/>
              <w:left w:val="single" w:sz="4" w:space="0" w:color="auto"/>
              <w:bottom w:val="nil"/>
              <w:right w:val="nil"/>
            </w:tcBorders>
            <w:shd w:val="clear" w:color="000000" w:fill="FFFFFF"/>
            <w:noWrap/>
            <w:vAlign w:val="center"/>
            <w:hideMark/>
          </w:tcPr>
          <w:p w14:paraId="3AAB42D7" w14:textId="77777777" w:rsidR="00D75944" w:rsidRPr="003B18C7" w:rsidRDefault="00D75944" w:rsidP="00EB64BF">
            <w:pPr>
              <w:spacing w:after="0"/>
              <w:jc w:val="center"/>
              <w:rPr>
                <w:rFonts w:ascii="EC Square Sans Cond Pro" w:eastAsia="Times New Roman" w:hAnsi="EC Square Sans Cond Pro" w:cs="Calibri"/>
                <w:noProof/>
                <w:color w:val="000000"/>
                <w:sz w:val="18"/>
                <w:szCs w:val="18"/>
                <w:lang w:val="en-IE"/>
              </w:rPr>
            </w:pPr>
            <w:r w:rsidRPr="003B18C7">
              <w:rPr>
                <w:rFonts w:ascii="EC Square Sans Cond Pro" w:eastAsia="Times New Roman" w:hAnsi="EC Square Sans Cond Pro" w:cs="Calibri"/>
                <w:noProof/>
                <w:color w:val="000000"/>
                <w:sz w:val="18"/>
                <w:szCs w:val="18"/>
                <w:lang w:val="en-IE"/>
              </w:rPr>
              <w:t>5</w:t>
            </w:r>
          </w:p>
        </w:tc>
        <w:tc>
          <w:tcPr>
            <w:tcW w:w="430" w:type="pct"/>
            <w:tcBorders>
              <w:top w:val="nil"/>
              <w:left w:val="single" w:sz="4" w:space="0" w:color="auto"/>
              <w:bottom w:val="nil"/>
              <w:right w:val="single" w:sz="4" w:space="0" w:color="auto"/>
            </w:tcBorders>
            <w:shd w:val="clear" w:color="000000" w:fill="FFFFFF"/>
            <w:noWrap/>
            <w:vAlign w:val="center"/>
            <w:hideMark/>
          </w:tcPr>
          <w:p w14:paraId="57301862" w14:textId="77777777" w:rsidR="00D75944" w:rsidRPr="003B18C7" w:rsidRDefault="00D75944" w:rsidP="00EB64BF">
            <w:pPr>
              <w:spacing w:after="0"/>
              <w:jc w:val="center"/>
              <w:rPr>
                <w:rFonts w:ascii="EC Square Sans Cond Pro" w:eastAsia="Times New Roman" w:hAnsi="EC Square Sans Cond Pro" w:cs="Calibri"/>
                <w:noProof/>
                <w:color w:val="000000"/>
                <w:sz w:val="18"/>
                <w:szCs w:val="18"/>
                <w:lang w:val="en-IE"/>
              </w:rPr>
            </w:pPr>
            <w:r w:rsidRPr="003B18C7">
              <w:rPr>
                <w:rFonts w:ascii="EC Square Sans Cond Pro" w:eastAsia="Times New Roman" w:hAnsi="EC Square Sans Cond Pro" w:cs="Calibri"/>
                <w:noProof/>
                <w:color w:val="000000"/>
                <w:sz w:val="18"/>
                <w:szCs w:val="18"/>
                <w:lang w:val="en-IE"/>
              </w:rPr>
              <w:t>83</w:t>
            </w:r>
          </w:p>
        </w:tc>
      </w:tr>
      <w:tr w:rsidR="00896DAF" w:rsidRPr="00AE136E" w14:paraId="38A5FECC" w14:textId="77777777" w:rsidTr="00EB64BF">
        <w:trPr>
          <w:trHeight w:val="20"/>
        </w:trPr>
        <w:tc>
          <w:tcPr>
            <w:tcW w:w="1191" w:type="pct"/>
            <w:tcBorders>
              <w:top w:val="nil"/>
              <w:left w:val="single" w:sz="4" w:space="0" w:color="auto"/>
              <w:bottom w:val="single" w:sz="4" w:space="0" w:color="auto"/>
              <w:right w:val="single" w:sz="4" w:space="0" w:color="auto"/>
            </w:tcBorders>
            <w:shd w:val="clear" w:color="000000" w:fill="FFFFFF"/>
            <w:noWrap/>
            <w:vAlign w:val="bottom"/>
            <w:hideMark/>
          </w:tcPr>
          <w:p w14:paraId="689641BB" w14:textId="21657F05" w:rsidR="00D75944" w:rsidRPr="00FE26BE" w:rsidRDefault="00D75944" w:rsidP="00EB64BF">
            <w:pPr>
              <w:spacing w:after="0"/>
              <w:jc w:val="right"/>
              <w:rPr>
                <w:rFonts w:ascii="EC Square Sans Cond Pro" w:eastAsia="Times New Roman" w:hAnsi="EC Square Sans Cond Pro" w:cs="Calibri"/>
                <w:i/>
                <w:iCs/>
                <w:noProof/>
                <w:color w:val="000000"/>
                <w:sz w:val="18"/>
                <w:szCs w:val="18"/>
                <w:lang w:val="it-IT"/>
              </w:rPr>
            </w:pPr>
            <w:r w:rsidRPr="00FE26BE">
              <w:rPr>
                <w:rFonts w:ascii="EC Square Sans Cond Pro" w:eastAsia="Times New Roman" w:hAnsi="EC Square Sans Cond Pro" w:cs="Calibri"/>
                <w:i/>
                <w:iCs/>
                <w:noProof/>
                <w:color w:val="000000"/>
                <w:sz w:val="18"/>
                <w:szCs w:val="18"/>
                <w:lang w:val="it-IT"/>
              </w:rPr>
              <w:t xml:space="preserve">Non-CO2 </w:t>
            </w:r>
            <w:r w:rsidR="009E18AF" w:rsidRPr="00FE26BE">
              <w:rPr>
                <w:rFonts w:ascii="EC Square Sans Cond Pro" w:eastAsia="Times New Roman" w:hAnsi="EC Square Sans Cond Pro" w:cs="Calibri"/>
                <w:i/>
                <w:iCs/>
                <w:noProof/>
                <w:color w:val="000000"/>
                <w:sz w:val="18"/>
                <w:szCs w:val="18"/>
                <w:lang w:val="it-IT"/>
              </w:rPr>
              <w:t>(excl. LULUCF) **</w:t>
            </w:r>
            <w:r w:rsidRPr="00FE26BE">
              <w:rPr>
                <w:rFonts w:ascii="EC Square Sans Cond Pro" w:eastAsia="Times New Roman" w:hAnsi="EC Square Sans Cond Pro" w:cs="Calibri"/>
                <w:i/>
                <w:iCs/>
                <w:noProof/>
                <w:color w:val="000000"/>
                <w:sz w:val="18"/>
                <w:szCs w:val="18"/>
                <w:lang w:val="it-IT"/>
              </w:rPr>
              <w:t xml:space="preserve"> – MtCO2-eq</w:t>
            </w:r>
          </w:p>
        </w:tc>
        <w:tc>
          <w:tcPr>
            <w:tcW w:w="715" w:type="pct"/>
            <w:tcBorders>
              <w:top w:val="nil"/>
              <w:left w:val="nil"/>
              <w:bottom w:val="nil"/>
              <w:right w:val="nil"/>
            </w:tcBorders>
            <w:shd w:val="clear" w:color="000000" w:fill="FFFFFF"/>
            <w:noWrap/>
            <w:vAlign w:val="center"/>
            <w:hideMark/>
          </w:tcPr>
          <w:p w14:paraId="6764890F" w14:textId="77777777" w:rsidR="00D75944" w:rsidRPr="003B18C7" w:rsidRDefault="00D75944" w:rsidP="00EB64BF">
            <w:pPr>
              <w:spacing w:after="0"/>
              <w:jc w:val="center"/>
              <w:rPr>
                <w:rFonts w:ascii="EC Square Sans Cond Pro" w:eastAsia="Times New Roman" w:hAnsi="EC Square Sans Cond Pro" w:cs="Calibri"/>
                <w:noProof/>
                <w:color w:val="000000"/>
                <w:sz w:val="18"/>
                <w:szCs w:val="18"/>
                <w:lang w:val="en-IE"/>
              </w:rPr>
            </w:pPr>
            <w:r w:rsidRPr="003B18C7">
              <w:rPr>
                <w:rFonts w:ascii="EC Square Sans Cond Pro" w:eastAsia="Times New Roman" w:hAnsi="EC Square Sans Cond Pro" w:cs="Calibri"/>
                <w:noProof/>
                <w:color w:val="000000"/>
                <w:sz w:val="18"/>
                <w:szCs w:val="18"/>
                <w:lang w:val="en-IE"/>
              </w:rPr>
              <w:t>454</w:t>
            </w:r>
          </w:p>
        </w:tc>
        <w:tc>
          <w:tcPr>
            <w:tcW w:w="638" w:type="pct"/>
            <w:tcBorders>
              <w:top w:val="nil"/>
              <w:left w:val="single" w:sz="4" w:space="0" w:color="auto"/>
              <w:bottom w:val="nil"/>
              <w:right w:val="nil"/>
            </w:tcBorders>
            <w:shd w:val="clear" w:color="000000" w:fill="FFFFFF"/>
            <w:noWrap/>
            <w:vAlign w:val="center"/>
            <w:hideMark/>
          </w:tcPr>
          <w:p w14:paraId="16EAF465" w14:textId="3BC76AB0" w:rsidR="00D75944" w:rsidRPr="003B18C7" w:rsidRDefault="00D75944" w:rsidP="00EB64BF">
            <w:pPr>
              <w:spacing w:after="0"/>
              <w:jc w:val="center"/>
              <w:rPr>
                <w:rFonts w:ascii="EC Square Sans Cond Pro" w:eastAsia="Times New Roman" w:hAnsi="EC Square Sans Cond Pro" w:cs="Calibri"/>
                <w:noProof/>
                <w:color w:val="000000"/>
                <w:sz w:val="18"/>
                <w:szCs w:val="18"/>
                <w:lang w:val="en-IE"/>
              </w:rPr>
            </w:pPr>
            <w:r w:rsidRPr="003B18C7">
              <w:rPr>
                <w:rFonts w:ascii="EC Square Sans Cond Pro" w:eastAsia="Times New Roman" w:hAnsi="EC Square Sans Cond Pro" w:cs="Calibri"/>
                <w:noProof/>
                <w:color w:val="000000"/>
                <w:sz w:val="18"/>
                <w:szCs w:val="18"/>
                <w:lang w:val="en-IE"/>
              </w:rPr>
              <w:t>3</w:t>
            </w:r>
            <w:r w:rsidR="001518E5">
              <w:rPr>
                <w:rFonts w:ascii="EC Square Sans Cond Pro" w:eastAsia="Times New Roman" w:hAnsi="EC Square Sans Cond Pro" w:cs="Calibri"/>
                <w:noProof/>
                <w:color w:val="000000"/>
                <w:sz w:val="18"/>
                <w:szCs w:val="18"/>
                <w:lang w:val="en-IE"/>
              </w:rPr>
              <w:t>73</w:t>
            </w:r>
          </w:p>
        </w:tc>
        <w:tc>
          <w:tcPr>
            <w:tcW w:w="639" w:type="pct"/>
            <w:tcBorders>
              <w:top w:val="nil"/>
              <w:left w:val="single" w:sz="4" w:space="0" w:color="auto"/>
              <w:bottom w:val="nil"/>
              <w:right w:val="nil"/>
            </w:tcBorders>
            <w:shd w:val="clear" w:color="000000" w:fill="FFFFFF"/>
            <w:noWrap/>
            <w:vAlign w:val="center"/>
            <w:hideMark/>
          </w:tcPr>
          <w:p w14:paraId="4EAE8867" w14:textId="77777777" w:rsidR="00D75944" w:rsidRPr="003B18C7" w:rsidRDefault="00D75944" w:rsidP="00EB64BF">
            <w:pPr>
              <w:spacing w:after="0"/>
              <w:jc w:val="center"/>
              <w:rPr>
                <w:rFonts w:ascii="EC Square Sans Cond Pro" w:eastAsia="Times New Roman" w:hAnsi="EC Square Sans Cond Pro" w:cs="Calibri"/>
                <w:noProof/>
                <w:color w:val="000000"/>
                <w:sz w:val="18"/>
                <w:szCs w:val="18"/>
                <w:lang w:val="en-IE"/>
              </w:rPr>
            </w:pPr>
            <w:r w:rsidRPr="003B18C7">
              <w:rPr>
                <w:rFonts w:ascii="EC Square Sans Cond Pro" w:eastAsia="Times New Roman" w:hAnsi="EC Square Sans Cond Pro" w:cs="Calibri"/>
                <w:noProof/>
                <w:color w:val="000000"/>
                <w:sz w:val="18"/>
                <w:szCs w:val="18"/>
                <w:lang w:val="en-IE"/>
              </w:rPr>
              <w:t>342</w:t>
            </w:r>
          </w:p>
        </w:tc>
        <w:tc>
          <w:tcPr>
            <w:tcW w:w="640" w:type="pct"/>
            <w:tcBorders>
              <w:top w:val="nil"/>
              <w:left w:val="single" w:sz="4" w:space="0" w:color="auto"/>
              <w:bottom w:val="nil"/>
              <w:right w:val="nil"/>
            </w:tcBorders>
            <w:shd w:val="clear" w:color="000000" w:fill="FFFFFF"/>
            <w:noWrap/>
            <w:vAlign w:val="center"/>
            <w:hideMark/>
          </w:tcPr>
          <w:p w14:paraId="18B3BCB9" w14:textId="77777777" w:rsidR="00D75944" w:rsidRPr="003B18C7" w:rsidRDefault="00D75944" w:rsidP="00EB64BF">
            <w:pPr>
              <w:spacing w:after="0"/>
              <w:jc w:val="center"/>
              <w:rPr>
                <w:rFonts w:ascii="EC Square Sans Cond Pro" w:eastAsia="Times New Roman" w:hAnsi="EC Square Sans Cond Pro" w:cs="Calibri"/>
                <w:noProof/>
                <w:color w:val="000000"/>
                <w:sz w:val="18"/>
                <w:szCs w:val="18"/>
                <w:lang w:val="en-IE"/>
              </w:rPr>
            </w:pPr>
            <w:r w:rsidRPr="003B18C7">
              <w:rPr>
                <w:rFonts w:ascii="EC Square Sans Cond Pro" w:eastAsia="Times New Roman" w:hAnsi="EC Square Sans Cond Pro" w:cs="Calibri"/>
                <w:noProof/>
                <w:color w:val="000000"/>
                <w:sz w:val="18"/>
                <w:szCs w:val="18"/>
                <w:lang w:val="en-IE"/>
              </w:rPr>
              <w:t>281</w:t>
            </w:r>
          </w:p>
        </w:tc>
        <w:tc>
          <w:tcPr>
            <w:tcW w:w="747" w:type="pct"/>
            <w:tcBorders>
              <w:top w:val="nil"/>
              <w:left w:val="single" w:sz="4" w:space="0" w:color="auto"/>
              <w:bottom w:val="nil"/>
              <w:right w:val="nil"/>
            </w:tcBorders>
            <w:shd w:val="clear" w:color="000000" w:fill="FFFFFF"/>
            <w:noWrap/>
            <w:vAlign w:val="center"/>
            <w:hideMark/>
          </w:tcPr>
          <w:p w14:paraId="425BCEDD" w14:textId="77777777" w:rsidR="00D75944" w:rsidRPr="003B18C7" w:rsidRDefault="00D75944" w:rsidP="00EB64BF">
            <w:pPr>
              <w:spacing w:after="0"/>
              <w:jc w:val="center"/>
              <w:rPr>
                <w:rFonts w:ascii="EC Square Sans Cond Pro" w:eastAsia="Times New Roman" w:hAnsi="EC Square Sans Cond Pro" w:cs="Calibri"/>
                <w:noProof/>
                <w:color w:val="000000"/>
                <w:sz w:val="18"/>
                <w:szCs w:val="18"/>
                <w:lang w:val="en-IE"/>
              </w:rPr>
            </w:pPr>
            <w:r w:rsidRPr="003B18C7">
              <w:rPr>
                <w:rFonts w:ascii="EC Square Sans Cond Pro" w:eastAsia="Times New Roman" w:hAnsi="EC Square Sans Cond Pro" w:cs="Calibri"/>
                <w:noProof/>
                <w:color w:val="000000"/>
                <w:sz w:val="18"/>
                <w:szCs w:val="18"/>
                <w:lang w:val="en-IE"/>
              </w:rPr>
              <w:t>291</w:t>
            </w:r>
          </w:p>
        </w:tc>
        <w:tc>
          <w:tcPr>
            <w:tcW w:w="430" w:type="pct"/>
            <w:tcBorders>
              <w:top w:val="nil"/>
              <w:left w:val="single" w:sz="4" w:space="0" w:color="auto"/>
              <w:bottom w:val="nil"/>
              <w:right w:val="single" w:sz="4" w:space="0" w:color="auto"/>
            </w:tcBorders>
            <w:shd w:val="clear" w:color="000000" w:fill="FFFFFF"/>
            <w:noWrap/>
            <w:vAlign w:val="center"/>
            <w:hideMark/>
          </w:tcPr>
          <w:p w14:paraId="571BBCF7" w14:textId="77777777" w:rsidR="00D75944" w:rsidRPr="003B18C7" w:rsidRDefault="00D75944" w:rsidP="00EB64BF">
            <w:pPr>
              <w:spacing w:after="0"/>
              <w:jc w:val="center"/>
              <w:rPr>
                <w:rFonts w:ascii="EC Square Sans Cond Pro" w:eastAsia="Times New Roman" w:hAnsi="EC Square Sans Cond Pro" w:cs="Calibri"/>
                <w:noProof/>
                <w:color w:val="000000"/>
                <w:sz w:val="18"/>
                <w:szCs w:val="18"/>
                <w:lang w:val="en-IE"/>
              </w:rPr>
            </w:pPr>
            <w:r w:rsidRPr="003B18C7">
              <w:rPr>
                <w:rFonts w:ascii="EC Square Sans Cond Pro" w:eastAsia="Times New Roman" w:hAnsi="EC Square Sans Cond Pro" w:cs="Calibri"/>
                <w:noProof/>
                <w:color w:val="000000"/>
                <w:sz w:val="18"/>
                <w:szCs w:val="18"/>
                <w:lang w:val="en-IE"/>
              </w:rPr>
              <w:t>236</w:t>
            </w:r>
          </w:p>
        </w:tc>
      </w:tr>
      <w:tr w:rsidR="00896DAF" w:rsidRPr="00AE136E" w14:paraId="68A2FDB7" w14:textId="77777777" w:rsidTr="00EB64BF">
        <w:trPr>
          <w:trHeight w:val="20"/>
        </w:trPr>
        <w:tc>
          <w:tcPr>
            <w:tcW w:w="1191" w:type="pct"/>
            <w:tcBorders>
              <w:top w:val="nil"/>
              <w:left w:val="single" w:sz="4" w:space="0" w:color="auto"/>
              <w:bottom w:val="single" w:sz="4" w:space="0" w:color="auto"/>
              <w:right w:val="single" w:sz="4" w:space="0" w:color="auto"/>
            </w:tcBorders>
            <w:shd w:val="clear" w:color="000000" w:fill="FFFFFF"/>
            <w:noWrap/>
            <w:vAlign w:val="bottom"/>
            <w:hideMark/>
          </w:tcPr>
          <w:p w14:paraId="06BA4B0A" w14:textId="364C727C" w:rsidR="00D75944" w:rsidRPr="003B18C7" w:rsidRDefault="00D75944" w:rsidP="00EB64BF">
            <w:pPr>
              <w:spacing w:after="0"/>
              <w:jc w:val="right"/>
              <w:rPr>
                <w:rFonts w:ascii="EC Square Sans Cond Pro" w:eastAsia="Times New Roman" w:hAnsi="EC Square Sans Cond Pro" w:cs="Calibri"/>
                <w:i/>
                <w:iCs/>
                <w:noProof/>
                <w:color w:val="000000"/>
                <w:sz w:val="18"/>
                <w:szCs w:val="18"/>
                <w:lang w:val="en-IE"/>
              </w:rPr>
            </w:pPr>
            <w:r w:rsidRPr="003B18C7">
              <w:rPr>
                <w:rFonts w:ascii="EC Square Sans Cond Pro" w:eastAsia="Times New Roman" w:hAnsi="EC Square Sans Cond Pro" w:cs="Calibri"/>
                <w:i/>
                <w:iCs/>
                <w:noProof/>
                <w:color w:val="000000"/>
                <w:sz w:val="18"/>
                <w:szCs w:val="18"/>
                <w:lang w:val="en-IE"/>
              </w:rPr>
              <w:t>LULUCF</w:t>
            </w:r>
            <w:r w:rsidR="009E18AF">
              <w:rPr>
                <w:rFonts w:ascii="EC Square Sans Cond Pro" w:eastAsia="Times New Roman" w:hAnsi="EC Square Sans Cond Pro" w:cs="Calibri"/>
                <w:i/>
                <w:iCs/>
                <w:noProof/>
                <w:color w:val="000000"/>
                <w:sz w:val="18"/>
                <w:szCs w:val="18"/>
                <w:lang w:val="en-IE"/>
              </w:rPr>
              <w:t>***</w:t>
            </w:r>
            <w:r>
              <w:rPr>
                <w:rFonts w:ascii="EC Square Sans Cond Pro" w:eastAsia="Times New Roman" w:hAnsi="EC Square Sans Cond Pro" w:cs="Calibri"/>
                <w:i/>
                <w:iCs/>
                <w:noProof/>
                <w:color w:val="000000"/>
                <w:sz w:val="18"/>
                <w:szCs w:val="18"/>
                <w:lang w:val="en-IE"/>
              </w:rPr>
              <w:t xml:space="preserve"> – MtCO2-eq</w:t>
            </w:r>
          </w:p>
        </w:tc>
        <w:tc>
          <w:tcPr>
            <w:tcW w:w="715" w:type="pct"/>
            <w:tcBorders>
              <w:top w:val="nil"/>
              <w:left w:val="nil"/>
              <w:bottom w:val="single" w:sz="4" w:space="0" w:color="auto"/>
              <w:right w:val="nil"/>
            </w:tcBorders>
            <w:shd w:val="clear" w:color="000000" w:fill="FFFFFF"/>
            <w:noWrap/>
            <w:vAlign w:val="center"/>
            <w:hideMark/>
          </w:tcPr>
          <w:p w14:paraId="33DD83CB" w14:textId="77777777" w:rsidR="00D75944" w:rsidRPr="003B18C7" w:rsidRDefault="00D75944" w:rsidP="00EB64BF">
            <w:pPr>
              <w:spacing w:after="0"/>
              <w:jc w:val="center"/>
              <w:rPr>
                <w:rFonts w:ascii="EC Square Sans Cond Pro" w:eastAsia="Times New Roman" w:hAnsi="EC Square Sans Cond Pro" w:cs="Calibri"/>
                <w:noProof/>
                <w:color w:val="000000"/>
                <w:sz w:val="18"/>
                <w:szCs w:val="18"/>
                <w:lang w:val="en-IE"/>
              </w:rPr>
            </w:pPr>
            <w:r w:rsidRPr="003B18C7">
              <w:rPr>
                <w:rFonts w:ascii="EC Square Sans Cond Pro" w:eastAsia="Times New Roman" w:hAnsi="EC Square Sans Cond Pro" w:cs="Calibri"/>
                <w:noProof/>
                <w:color w:val="000000"/>
                <w:sz w:val="18"/>
                <w:szCs w:val="18"/>
                <w:lang w:val="en-IE"/>
              </w:rPr>
              <w:t>-218</w:t>
            </w:r>
          </w:p>
        </w:tc>
        <w:tc>
          <w:tcPr>
            <w:tcW w:w="638" w:type="pct"/>
            <w:tcBorders>
              <w:top w:val="nil"/>
              <w:left w:val="single" w:sz="4" w:space="0" w:color="auto"/>
              <w:bottom w:val="single" w:sz="4" w:space="0" w:color="auto"/>
              <w:right w:val="nil"/>
            </w:tcBorders>
            <w:shd w:val="clear" w:color="000000" w:fill="FFFFFF"/>
            <w:noWrap/>
            <w:vAlign w:val="center"/>
            <w:hideMark/>
          </w:tcPr>
          <w:p w14:paraId="5415CF52" w14:textId="77777777" w:rsidR="00D75944" w:rsidRPr="003B18C7" w:rsidRDefault="00D75944" w:rsidP="00EB64BF">
            <w:pPr>
              <w:spacing w:after="0"/>
              <w:jc w:val="center"/>
              <w:rPr>
                <w:rFonts w:ascii="EC Square Sans Cond Pro" w:eastAsia="Times New Roman" w:hAnsi="EC Square Sans Cond Pro" w:cs="Calibri"/>
                <w:noProof/>
                <w:color w:val="000000"/>
                <w:sz w:val="18"/>
                <w:szCs w:val="18"/>
                <w:lang w:val="en-IE"/>
              </w:rPr>
            </w:pPr>
            <w:r w:rsidRPr="003B18C7">
              <w:rPr>
                <w:rFonts w:ascii="EC Square Sans Cond Pro" w:eastAsia="Times New Roman" w:hAnsi="EC Square Sans Cond Pro" w:cs="Calibri"/>
                <w:noProof/>
                <w:color w:val="000000"/>
                <w:sz w:val="18"/>
                <w:szCs w:val="18"/>
                <w:lang w:val="en-IE"/>
              </w:rPr>
              <w:t>-316</w:t>
            </w:r>
          </w:p>
        </w:tc>
        <w:tc>
          <w:tcPr>
            <w:tcW w:w="639" w:type="pct"/>
            <w:tcBorders>
              <w:top w:val="nil"/>
              <w:left w:val="single" w:sz="4" w:space="0" w:color="auto"/>
              <w:bottom w:val="single" w:sz="4" w:space="0" w:color="auto"/>
              <w:right w:val="nil"/>
            </w:tcBorders>
            <w:shd w:val="clear" w:color="000000" w:fill="FFFFFF"/>
            <w:noWrap/>
            <w:vAlign w:val="center"/>
            <w:hideMark/>
          </w:tcPr>
          <w:p w14:paraId="63BF6F0E" w14:textId="77777777" w:rsidR="00D75944" w:rsidRPr="003B18C7" w:rsidRDefault="00D75944" w:rsidP="00EB64BF">
            <w:pPr>
              <w:spacing w:after="0"/>
              <w:jc w:val="center"/>
              <w:rPr>
                <w:rFonts w:ascii="EC Square Sans Cond Pro" w:eastAsia="Times New Roman" w:hAnsi="EC Square Sans Cond Pro" w:cs="Calibri"/>
                <w:noProof/>
                <w:color w:val="000000"/>
                <w:sz w:val="18"/>
                <w:szCs w:val="18"/>
                <w:lang w:val="en-IE"/>
              </w:rPr>
            </w:pPr>
            <w:r w:rsidRPr="003B18C7">
              <w:rPr>
                <w:rFonts w:ascii="EC Square Sans Cond Pro" w:eastAsia="Times New Roman" w:hAnsi="EC Square Sans Cond Pro" w:cs="Calibri"/>
                <w:noProof/>
                <w:color w:val="000000"/>
                <w:sz w:val="18"/>
                <w:szCs w:val="18"/>
                <w:lang w:val="en-IE"/>
              </w:rPr>
              <w:t>-317</w:t>
            </w:r>
          </w:p>
        </w:tc>
        <w:tc>
          <w:tcPr>
            <w:tcW w:w="640" w:type="pct"/>
            <w:tcBorders>
              <w:top w:val="nil"/>
              <w:left w:val="single" w:sz="4" w:space="0" w:color="auto"/>
              <w:bottom w:val="single" w:sz="4" w:space="0" w:color="auto"/>
              <w:right w:val="nil"/>
            </w:tcBorders>
            <w:shd w:val="clear" w:color="000000" w:fill="FFFFFF"/>
            <w:noWrap/>
            <w:vAlign w:val="center"/>
            <w:hideMark/>
          </w:tcPr>
          <w:p w14:paraId="42144600" w14:textId="77777777" w:rsidR="00D75944" w:rsidRPr="003B18C7" w:rsidRDefault="00D75944" w:rsidP="00EB64BF">
            <w:pPr>
              <w:spacing w:after="0"/>
              <w:jc w:val="center"/>
              <w:rPr>
                <w:rFonts w:ascii="EC Square Sans Cond Pro" w:eastAsia="Times New Roman" w:hAnsi="EC Square Sans Cond Pro" w:cs="Calibri"/>
                <w:noProof/>
                <w:color w:val="000000"/>
                <w:sz w:val="18"/>
                <w:szCs w:val="18"/>
                <w:lang w:val="en-IE"/>
              </w:rPr>
            </w:pPr>
            <w:r w:rsidRPr="003B18C7">
              <w:rPr>
                <w:rFonts w:ascii="EC Square Sans Cond Pro" w:eastAsia="Times New Roman" w:hAnsi="EC Square Sans Cond Pro" w:cs="Calibri"/>
                <w:noProof/>
                <w:color w:val="000000"/>
                <w:sz w:val="18"/>
                <w:szCs w:val="18"/>
                <w:lang w:val="en-IE"/>
              </w:rPr>
              <w:t>-360</w:t>
            </w:r>
          </w:p>
        </w:tc>
        <w:tc>
          <w:tcPr>
            <w:tcW w:w="747" w:type="pct"/>
            <w:tcBorders>
              <w:top w:val="nil"/>
              <w:left w:val="single" w:sz="4" w:space="0" w:color="auto"/>
              <w:bottom w:val="single" w:sz="4" w:space="0" w:color="auto"/>
              <w:right w:val="nil"/>
            </w:tcBorders>
            <w:shd w:val="clear" w:color="000000" w:fill="FFFFFF"/>
            <w:noWrap/>
            <w:vAlign w:val="center"/>
            <w:hideMark/>
          </w:tcPr>
          <w:p w14:paraId="1ECE46A4" w14:textId="77777777" w:rsidR="00D75944" w:rsidRPr="003B18C7" w:rsidRDefault="00D75944" w:rsidP="00EB64BF">
            <w:pPr>
              <w:spacing w:after="0"/>
              <w:jc w:val="center"/>
              <w:rPr>
                <w:rFonts w:ascii="EC Square Sans Cond Pro" w:eastAsia="Times New Roman" w:hAnsi="EC Square Sans Cond Pro" w:cs="Calibri"/>
                <w:noProof/>
                <w:color w:val="000000"/>
                <w:sz w:val="18"/>
                <w:szCs w:val="18"/>
                <w:lang w:val="en-IE"/>
              </w:rPr>
            </w:pPr>
            <w:r w:rsidRPr="003B18C7">
              <w:rPr>
                <w:rFonts w:ascii="EC Square Sans Cond Pro" w:eastAsia="Times New Roman" w:hAnsi="EC Square Sans Cond Pro" w:cs="Calibri"/>
                <w:noProof/>
                <w:color w:val="000000"/>
                <w:sz w:val="18"/>
                <w:szCs w:val="18"/>
                <w:lang w:val="en-IE"/>
              </w:rPr>
              <w:t>-333</w:t>
            </w:r>
          </w:p>
        </w:tc>
        <w:tc>
          <w:tcPr>
            <w:tcW w:w="430" w:type="pct"/>
            <w:tcBorders>
              <w:top w:val="nil"/>
              <w:left w:val="single" w:sz="4" w:space="0" w:color="auto"/>
              <w:bottom w:val="single" w:sz="4" w:space="0" w:color="auto"/>
              <w:right w:val="single" w:sz="4" w:space="0" w:color="auto"/>
            </w:tcBorders>
            <w:shd w:val="clear" w:color="000000" w:fill="FFFFFF"/>
            <w:noWrap/>
            <w:vAlign w:val="center"/>
            <w:hideMark/>
          </w:tcPr>
          <w:p w14:paraId="6A78D6D8" w14:textId="77777777" w:rsidR="00D75944" w:rsidRPr="003B18C7" w:rsidRDefault="00D75944" w:rsidP="00EB64BF">
            <w:pPr>
              <w:spacing w:after="0"/>
              <w:jc w:val="center"/>
              <w:rPr>
                <w:rFonts w:ascii="EC Square Sans Cond Pro" w:eastAsia="Times New Roman" w:hAnsi="EC Square Sans Cond Pro" w:cs="Calibri"/>
                <w:noProof/>
                <w:color w:val="000000"/>
                <w:sz w:val="18"/>
                <w:szCs w:val="18"/>
                <w:lang w:val="en-IE"/>
              </w:rPr>
            </w:pPr>
            <w:r w:rsidRPr="003B18C7">
              <w:rPr>
                <w:rFonts w:ascii="EC Square Sans Cond Pro" w:eastAsia="Times New Roman" w:hAnsi="EC Square Sans Cond Pro" w:cs="Calibri"/>
                <w:noProof/>
                <w:color w:val="000000"/>
                <w:sz w:val="18"/>
                <w:szCs w:val="18"/>
                <w:lang w:val="en-IE"/>
              </w:rPr>
              <w:t>-389</w:t>
            </w:r>
          </w:p>
        </w:tc>
      </w:tr>
    </w:tbl>
    <w:p w14:paraId="2DC4978E" w14:textId="2064584D" w:rsidR="00D75944" w:rsidRDefault="00D75944" w:rsidP="00D75944">
      <w:pPr>
        <w:pStyle w:val="CT-NOTE"/>
        <w:rPr>
          <w:noProof/>
        </w:rPr>
      </w:pPr>
      <w:r w:rsidRPr="00823F90">
        <w:rPr>
          <w:noProof/>
        </w:rPr>
        <w:t xml:space="preserve">Note: </w:t>
      </w:r>
      <w:r w:rsidR="009E18AF">
        <w:rPr>
          <w:noProof/>
        </w:rPr>
        <w:t>*includes CO2 from fossil fuel combustion (category 1 in inventories), industrial processes and product use (category 2) and agriculture under category 3. **Includes non-CO2 emissions under categories 1, 2, 3 and 5 of the inventories. ***</w:t>
      </w:r>
      <w:r>
        <w:rPr>
          <w:noProof/>
        </w:rPr>
        <w:t>Only main values are reported.</w:t>
      </w:r>
    </w:p>
    <w:p w14:paraId="56AD74B5" w14:textId="77777777" w:rsidR="001518E5" w:rsidRDefault="001518E5" w:rsidP="00D75944">
      <w:pPr>
        <w:pStyle w:val="CT-NOTE"/>
        <w:rPr>
          <w:noProof/>
        </w:rPr>
      </w:pPr>
    </w:p>
    <w:p w14:paraId="1D2766C8" w14:textId="5A0E3E4F" w:rsidR="00CE1AD5" w:rsidRPr="00763457" w:rsidRDefault="00CE1AD5" w:rsidP="00763457">
      <w:pPr>
        <w:pStyle w:val="Heading3"/>
        <w:rPr>
          <w:noProof/>
        </w:rPr>
      </w:pPr>
      <w:bookmarkStart w:id="23" w:name="_Ref146467437"/>
      <w:bookmarkStart w:id="24" w:name="_Toc148605582"/>
      <w:bookmarkStart w:id="25" w:name="_Toc157692027"/>
      <w:r w:rsidRPr="00763457">
        <w:rPr>
          <w:noProof/>
        </w:rPr>
        <w:t xml:space="preserve">GHG emissions and </w:t>
      </w:r>
      <w:r w:rsidR="00962373">
        <w:rPr>
          <w:noProof/>
        </w:rPr>
        <w:t xml:space="preserve">role of </w:t>
      </w:r>
      <w:r w:rsidRPr="00763457">
        <w:rPr>
          <w:noProof/>
        </w:rPr>
        <w:t>removals</w:t>
      </w:r>
      <w:bookmarkEnd w:id="23"/>
      <w:bookmarkEnd w:id="24"/>
      <w:bookmarkEnd w:id="25"/>
    </w:p>
    <w:p w14:paraId="7E5AD818" w14:textId="337D7C76" w:rsidR="00CE1AD5" w:rsidRDefault="00CE1AD5" w:rsidP="00B85F59">
      <w:pPr>
        <w:rPr>
          <w:noProof/>
          <w:lang w:val="en-US"/>
        </w:rPr>
      </w:pPr>
      <w:r>
        <w:rPr>
          <w:noProof/>
          <w:lang w:val="en-US"/>
        </w:rPr>
        <w:t>According to the IPCC, reduction</w:t>
      </w:r>
      <w:r w:rsidR="00D64583">
        <w:rPr>
          <w:noProof/>
          <w:lang w:val="en-US"/>
        </w:rPr>
        <w:t>s</w:t>
      </w:r>
      <w:r>
        <w:rPr>
          <w:noProof/>
          <w:lang w:val="en-US"/>
        </w:rPr>
        <w:t xml:space="preserve"> in gross GHG emissions</w:t>
      </w:r>
      <w:r w:rsidR="007B1CA1">
        <w:rPr>
          <w:noProof/>
          <w:lang w:val="en-US"/>
        </w:rPr>
        <w:t>,</w:t>
      </w:r>
      <w:r w:rsidR="00D64583">
        <w:rPr>
          <w:noProof/>
          <w:lang w:val="en-US"/>
        </w:rPr>
        <w:t xml:space="preserve"> </w:t>
      </w:r>
      <w:r w:rsidR="00774B83">
        <w:rPr>
          <w:noProof/>
          <w:lang w:val="en-US"/>
        </w:rPr>
        <w:t>nature-based and industrial</w:t>
      </w:r>
      <w:r>
        <w:rPr>
          <w:noProof/>
          <w:lang w:val="en-US"/>
        </w:rPr>
        <w:t xml:space="preserve"> carbon removals are </w:t>
      </w:r>
      <w:r w:rsidR="00D64583">
        <w:rPr>
          <w:noProof/>
          <w:lang w:val="en-US"/>
        </w:rPr>
        <w:t xml:space="preserve">all </w:t>
      </w:r>
      <w:r>
        <w:rPr>
          <w:noProof/>
          <w:lang w:val="en-US"/>
        </w:rPr>
        <w:t>needed to reach net zero</w:t>
      </w:r>
      <w:r w:rsidR="003003CF" w:rsidRPr="003003CF">
        <w:rPr>
          <w:noProof/>
          <w:lang w:val="en-US"/>
        </w:rPr>
        <w:t> (</w:t>
      </w:r>
      <w:r w:rsidR="003003CF">
        <w:rPr>
          <w:rStyle w:val="FootnoteReference"/>
          <w:noProof/>
          <w:lang w:val="en-US"/>
        </w:rPr>
        <w:footnoteReference w:id="11"/>
      </w:r>
      <w:r w:rsidR="003003CF">
        <w:rPr>
          <w:noProof/>
          <w:lang w:val="en-US"/>
        </w:rPr>
        <w:t>)</w:t>
      </w:r>
      <w:r>
        <w:rPr>
          <w:noProof/>
          <w:lang w:val="en-US"/>
        </w:rPr>
        <w:t xml:space="preserve">. </w:t>
      </w:r>
      <w:r w:rsidR="00B11F1E">
        <w:rPr>
          <w:noProof/>
          <w:lang w:val="en-US"/>
        </w:rPr>
        <w:t xml:space="preserve">While gross GHG emissions need to </w:t>
      </w:r>
      <w:r w:rsidR="007B1CA1">
        <w:rPr>
          <w:noProof/>
          <w:lang w:val="en-US"/>
        </w:rPr>
        <w:t>decrease</w:t>
      </w:r>
      <w:r w:rsidR="00B11F1E">
        <w:rPr>
          <w:noProof/>
          <w:lang w:val="en-US"/>
        </w:rPr>
        <w:t xml:space="preserve"> significantly, t</w:t>
      </w:r>
      <w:r w:rsidRPr="00215084">
        <w:rPr>
          <w:noProof/>
          <w:lang w:val="en-US"/>
        </w:rPr>
        <w:t xml:space="preserve">he deployment </w:t>
      </w:r>
      <w:r w:rsidRPr="00ED1461">
        <w:rPr>
          <w:noProof/>
          <w:lang w:val="en-US"/>
        </w:rPr>
        <w:t xml:space="preserve">of </w:t>
      </w:r>
      <w:r>
        <w:rPr>
          <w:noProof/>
          <w:lang w:val="en-US"/>
        </w:rPr>
        <w:t>carbon removals</w:t>
      </w:r>
      <w:r w:rsidRPr="00ED1461">
        <w:rPr>
          <w:noProof/>
          <w:lang w:val="en-US"/>
        </w:rPr>
        <w:t xml:space="preserve"> </w:t>
      </w:r>
      <w:r w:rsidR="00B11F1E">
        <w:rPr>
          <w:noProof/>
          <w:lang w:val="en-US"/>
        </w:rPr>
        <w:t xml:space="preserve">is unavoidable to </w:t>
      </w:r>
      <w:r w:rsidRPr="00ED1461">
        <w:rPr>
          <w:noProof/>
          <w:lang w:val="en-US"/>
        </w:rPr>
        <w:t xml:space="preserve">counterbalance hard-to-abate residual emissions </w:t>
      </w:r>
      <w:r w:rsidR="00D3752D">
        <w:rPr>
          <w:noProof/>
          <w:lang w:val="en-US"/>
        </w:rPr>
        <w:t>and replace residual fossil fuels</w:t>
      </w:r>
      <w:r w:rsidR="00FE4D63">
        <w:rPr>
          <w:noProof/>
          <w:lang w:val="en-US"/>
        </w:rPr>
        <w:t xml:space="preserve">. </w:t>
      </w:r>
      <w:r w:rsidR="00B11F1E">
        <w:rPr>
          <w:noProof/>
          <w:lang w:val="en-US"/>
        </w:rPr>
        <w:t xml:space="preserve">However, relying primarily </w:t>
      </w:r>
      <w:r w:rsidR="00B11F1E">
        <w:rPr>
          <w:noProof/>
        </w:rPr>
        <w:t xml:space="preserve">on carbon removals </w:t>
      </w:r>
      <w:r w:rsidR="007B1CA1">
        <w:rPr>
          <w:noProof/>
        </w:rPr>
        <w:t xml:space="preserve">without intervening in gross GHG emissions </w:t>
      </w:r>
      <w:r w:rsidR="00B11F1E">
        <w:rPr>
          <w:noProof/>
        </w:rPr>
        <w:t>m</w:t>
      </w:r>
      <w:r w:rsidR="00B11F1E">
        <w:rPr>
          <w:noProof/>
          <w:lang w:val="en-US"/>
        </w:rPr>
        <w:t xml:space="preserve">ay be unrealistic since the potential </w:t>
      </w:r>
      <w:r w:rsidR="00594F00">
        <w:rPr>
          <w:noProof/>
          <w:lang w:val="en-US"/>
        </w:rPr>
        <w:t>for</w:t>
      </w:r>
      <w:r w:rsidR="00B11F1E">
        <w:rPr>
          <w:noProof/>
          <w:lang w:val="en-US"/>
        </w:rPr>
        <w:t xml:space="preserve"> removals is limited by land constraints, feasibility, cost-efficiency, public acceptance and technological consideration</w:t>
      </w:r>
      <w:r w:rsidR="007B1CA1">
        <w:rPr>
          <w:noProof/>
          <w:lang w:val="en-US"/>
        </w:rPr>
        <w:t> </w:t>
      </w:r>
      <w:r w:rsidR="00B11F1E" w:rsidRPr="000204AB">
        <w:rPr>
          <w:noProof/>
          <w:lang w:val="en-US"/>
        </w:rPr>
        <w:t>(</w:t>
      </w:r>
      <w:r w:rsidR="00B11F1E">
        <w:rPr>
          <w:rStyle w:val="FootnoteReference"/>
          <w:noProof/>
          <w:lang w:val="en-US"/>
        </w:rPr>
        <w:footnoteReference w:id="12"/>
      </w:r>
      <w:r w:rsidR="00B11F1E">
        <w:rPr>
          <w:noProof/>
          <w:lang w:val="en-US"/>
        </w:rPr>
        <w:t xml:space="preserve">). </w:t>
      </w:r>
    </w:p>
    <w:p w14:paraId="10946FA6" w14:textId="15260ADF" w:rsidR="00F61364" w:rsidRDefault="00FE4D63" w:rsidP="00F61364">
      <w:pPr>
        <w:rPr>
          <w:noProof/>
          <w:lang w:val="en-US"/>
        </w:rPr>
      </w:pPr>
      <w:r>
        <w:rPr>
          <w:noProof/>
          <w:lang w:val="en-US"/>
        </w:rPr>
        <w:t xml:space="preserve">The increasing role of carbon removals </w:t>
      </w:r>
      <w:r w:rsidR="00594F00">
        <w:rPr>
          <w:noProof/>
          <w:lang w:val="en-US"/>
        </w:rPr>
        <w:t>is also</w:t>
      </w:r>
      <w:r>
        <w:rPr>
          <w:noProof/>
          <w:lang w:val="en-US"/>
        </w:rPr>
        <w:t xml:space="preserve"> highlighted in the public consultation</w:t>
      </w:r>
      <w:r w:rsidR="004D0F62">
        <w:rPr>
          <w:noProof/>
          <w:lang w:val="en-US"/>
        </w:rPr>
        <w:t xml:space="preserve"> questionnaire</w:t>
      </w:r>
      <w:r>
        <w:rPr>
          <w:noProof/>
          <w:lang w:val="en-US"/>
        </w:rPr>
        <w:t xml:space="preserve">, where majority of </w:t>
      </w:r>
      <w:r w:rsidR="00B54BB3">
        <w:rPr>
          <w:noProof/>
          <w:lang w:val="en-US"/>
        </w:rPr>
        <w:t xml:space="preserve">respondents (around </w:t>
      </w:r>
      <w:r w:rsidR="00B54BB3" w:rsidRPr="00287D0F">
        <w:rPr>
          <w:noProof/>
          <w:lang w:val="en-US"/>
        </w:rPr>
        <w:t>65</w:t>
      </w:r>
      <w:r w:rsidR="00B54BB3">
        <w:rPr>
          <w:noProof/>
          <w:lang w:val="en-US"/>
        </w:rPr>
        <w:t>%, including all categories)</w:t>
      </w:r>
      <w:r>
        <w:rPr>
          <w:noProof/>
          <w:lang w:val="en-US"/>
        </w:rPr>
        <w:t xml:space="preserve"> call</w:t>
      </w:r>
      <w:r w:rsidR="00594F00">
        <w:rPr>
          <w:noProof/>
          <w:lang w:val="en-US"/>
        </w:rPr>
        <w:t>s</w:t>
      </w:r>
      <w:r>
        <w:rPr>
          <w:noProof/>
          <w:lang w:val="en-US"/>
        </w:rPr>
        <w:t xml:space="preserve"> for</w:t>
      </w:r>
      <w:r w:rsidR="00B54BB3">
        <w:rPr>
          <w:noProof/>
          <w:lang w:val="en-US"/>
        </w:rPr>
        <w:t xml:space="preserve"> 2040 carbon removal targets separate from net emission</w:t>
      </w:r>
      <w:r w:rsidR="00855ACD">
        <w:rPr>
          <w:noProof/>
          <w:lang w:val="en-US"/>
        </w:rPr>
        <w:t>, and expert</w:t>
      </w:r>
      <w:r w:rsidR="007762FD">
        <w:rPr>
          <w:noProof/>
          <w:lang w:val="en-US"/>
        </w:rPr>
        <w:t>s</w:t>
      </w:r>
      <w:r w:rsidR="00855ACD">
        <w:rPr>
          <w:noProof/>
          <w:lang w:val="en-US"/>
        </w:rPr>
        <w:t xml:space="preserve"> from the academic, economic and public sectors are in </w:t>
      </w:r>
      <w:r w:rsidR="0060486D">
        <w:rPr>
          <w:noProof/>
          <w:lang w:val="en-US"/>
        </w:rPr>
        <w:t>favour</w:t>
      </w:r>
      <w:r w:rsidR="00855ACD">
        <w:rPr>
          <w:noProof/>
          <w:lang w:val="en-US"/>
        </w:rPr>
        <w:t xml:space="preserve"> of </w:t>
      </w:r>
      <w:r w:rsidR="007762FD">
        <w:rPr>
          <w:noProof/>
          <w:lang w:val="en-US"/>
        </w:rPr>
        <w:t>an important role of the carbon removals.</w:t>
      </w:r>
      <w:r w:rsidR="00F61364">
        <w:rPr>
          <w:noProof/>
          <w:lang w:val="en-US"/>
        </w:rPr>
        <w:t xml:space="preserve"> </w:t>
      </w:r>
      <w:r w:rsidR="00612549" w:rsidRPr="008206A7">
        <w:rPr>
          <w:noProof/>
          <w:szCs w:val="20"/>
        </w:rPr>
        <w:t>61% of the papers</w:t>
      </w:r>
      <w:r w:rsidR="00A41AFE">
        <w:rPr>
          <w:noProof/>
          <w:lang w:val="en-US"/>
        </w:rPr>
        <w:t xml:space="preserve"> </w:t>
      </w:r>
      <w:r w:rsidR="000F1987">
        <w:rPr>
          <w:noProof/>
          <w:lang w:val="en-US"/>
        </w:rPr>
        <w:t xml:space="preserve">analysed also </w:t>
      </w:r>
      <w:r w:rsidR="000C3CC3">
        <w:rPr>
          <w:noProof/>
          <w:lang w:val="en-US"/>
        </w:rPr>
        <w:t>comment on carbon removals, with most of them indicating r</w:t>
      </w:r>
      <w:r w:rsidR="00E54905" w:rsidRPr="00E54905">
        <w:rPr>
          <w:noProof/>
          <w:lang w:val="en-US"/>
        </w:rPr>
        <w:t>emovals instrumental to reach climate neutrality</w:t>
      </w:r>
      <w:r w:rsidR="000F1987">
        <w:rPr>
          <w:noProof/>
          <w:lang w:val="en-US"/>
        </w:rPr>
        <w:t xml:space="preserve">, </w:t>
      </w:r>
      <w:r w:rsidR="003D3293">
        <w:rPr>
          <w:noProof/>
          <w:lang w:val="en-US"/>
        </w:rPr>
        <w:t>if complementary to</w:t>
      </w:r>
      <w:r w:rsidR="00E54905" w:rsidRPr="00E54905">
        <w:rPr>
          <w:noProof/>
          <w:lang w:val="en-US"/>
        </w:rPr>
        <w:t xml:space="preserve"> GHG emission reduction at source.</w:t>
      </w:r>
      <w:r w:rsidR="00A41AFE">
        <w:rPr>
          <w:noProof/>
          <w:lang w:val="en-US"/>
        </w:rPr>
        <w:t xml:space="preserve"> </w:t>
      </w:r>
      <w:r w:rsidR="00F61364">
        <w:rPr>
          <w:noProof/>
          <w:lang w:val="en-US"/>
        </w:rPr>
        <w:t>There is no clear preferred pathway indicating the contribution of nature-based vs industrial removals</w:t>
      </w:r>
      <w:r w:rsidR="005E4035">
        <w:rPr>
          <w:noProof/>
          <w:lang w:val="en-US"/>
        </w:rPr>
        <w:t xml:space="preserve">. </w:t>
      </w:r>
      <w:r w:rsidR="00450CD6">
        <w:rPr>
          <w:noProof/>
          <w:lang w:val="en-US"/>
        </w:rPr>
        <w:t>In position papers, t</w:t>
      </w:r>
      <w:r w:rsidR="00861DF0" w:rsidRPr="008206A7">
        <w:rPr>
          <w:rFonts w:cstheme="minorHAnsi"/>
          <w:noProof/>
          <w:szCs w:val="20"/>
        </w:rPr>
        <w:t xml:space="preserve">he emphasis of forests as carbon sink </w:t>
      </w:r>
      <w:r w:rsidR="00594F00">
        <w:rPr>
          <w:rFonts w:cstheme="minorHAnsi"/>
          <w:noProof/>
          <w:szCs w:val="20"/>
        </w:rPr>
        <w:t xml:space="preserve">is </w:t>
      </w:r>
      <w:r w:rsidR="00861DF0" w:rsidRPr="008206A7">
        <w:rPr>
          <w:rFonts w:cstheme="minorHAnsi"/>
          <w:noProof/>
          <w:szCs w:val="20"/>
        </w:rPr>
        <w:t>underlined</w:t>
      </w:r>
      <w:r w:rsidR="00450CD6">
        <w:rPr>
          <w:rFonts w:cstheme="minorHAnsi"/>
          <w:noProof/>
          <w:szCs w:val="20"/>
        </w:rPr>
        <w:t xml:space="preserve">, </w:t>
      </w:r>
      <w:r w:rsidR="00594F00">
        <w:rPr>
          <w:rFonts w:cstheme="minorHAnsi"/>
          <w:noProof/>
          <w:szCs w:val="20"/>
        </w:rPr>
        <w:t xml:space="preserve">while carbon capture for industrial </w:t>
      </w:r>
      <w:r w:rsidR="00E37A96">
        <w:rPr>
          <w:rFonts w:cstheme="minorHAnsi"/>
          <w:noProof/>
          <w:szCs w:val="20"/>
        </w:rPr>
        <w:t>removals</w:t>
      </w:r>
      <w:r w:rsidR="00861DF0" w:rsidRPr="008206A7">
        <w:rPr>
          <w:rFonts w:cstheme="minorHAnsi"/>
          <w:noProof/>
          <w:szCs w:val="20"/>
        </w:rPr>
        <w:t xml:space="preserve"> play</w:t>
      </w:r>
      <w:r w:rsidR="00594F00">
        <w:rPr>
          <w:rFonts w:cstheme="minorHAnsi"/>
          <w:noProof/>
          <w:szCs w:val="20"/>
        </w:rPr>
        <w:t>s</w:t>
      </w:r>
      <w:r w:rsidR="00861DF0" w:rsidRPr="008206A7">
        <w:rPr>
          <w:rFonts w:cstheme="minorHAnsi"/>
          <w:noProof/>
          <w:szCs w:val="20"/>
        </w:rPr>
        <w:t xml:space="preserve"> an important role for energy-intensive industries to reduce hard-to-abate emissions</w:t>
      </w:r>
      <w:r w:rsidR="00594F00">
        <w:rPr>
          <w:rFonts w:cstheme="minorHAnsi"/>
          <w:noProof/>
          <w:szCs w:val="20"/>
        </w:rPr>
        <w:t xml:space="preserve"> within the sector</w:t>
      </w:r>
      <w:r w:rsidR="00224C17">
        <w:rPr>
          <w:rFonts w:cstheme="minorHAnsi"/>
          <w:noProof/>
          <w:szCs w:val="20"/>
        </w:rPr>
        <w:t>. T</w:t>
      </w:r>
      <w:r w:rsidR="00F61364">
        <w:rPr>
          <w:noProof/>
          <w:lang w:val="en-US"/>
        </w:rPr>
        <w:t xml:space="preserve">he public consultation indicates a general slight inclination for relying on </w:t>
      </w:r>
      <w:r w:rsidR="000C2DAE">
        <w:rPr>
          <w:noProof/>
          <w:lang w:val="en-US"/>
        </w:rPr>
        <w:t>nature-based removals</w:t>
      </w:r>
      <w:r w:rsidR="00F61364">
        <w:rPr>
          <w:noProof/>
          <w:lang w:val="en-US"/>
        </w:rPr>
        <w:t xml:space="preserve"> (around </w:t>
      </w:r>
      <w:r w:rsidR="00F61364" w:rsidRPr="00287D0F">
        <w:rPr>
          <w:noProof/>
          <w:lang w:val="en-US"/>
        </w:rPr>
        <w:t>30%</w:t>
      </w:r>
      <w:r w:rsidR="00F61364">
        <w:rPr>
          <w:noProof/>
          <w:lang w:val="en-US"/>
        </w:rPr>
        <w:t xml:space="preserve"> of respondents) or a balanced approach </w:t>
      </w:r>
      <w:r w:rsidR="000C2DAE">
        <w:rPr>
          <w:noProof/>
          <w:lang w:val="en-US"/>
        </w:rPr>
        <w:t>between nature-based</w:t>
      </w:r>
      <w:r w:rsidR="00F61364">
        <w:rPr>
          <w:noProof/>
          <w:lang w:val="en-US"/>
        </w:rPr>
        <w:t xml:space="preserve"> and industrial removals (around </w:t>
      </w:r>
      <w:r w:rsidR="00F61364" w:rsidRPr="00287D0F">
        <w:rPr>
          <w:noProof/>
          <w:lang w:val="en-US"/>
        </w:rPr>
        <w:t>27%</w:t>
      </w:r>
      <w:r w:rsidR="00F61364">
        <w:rPr>
          <w:noProof/>
          <w:lang w:val="en-US"/>
        </w:rPr>
        <w:t xml:space="preserve"> of respondents). This preference is confirmed also when looking individually at the different stakeholder groups, except for </w:t>
      </w:r>
      <w:r w:rsidR="0078432C">
        <w:rPr>
          <w:noProof/>
          <w:lang w:val="en-US"/>
        </w:rPr>
        <w:t xml:space="preserve">large businesses and </w:t>
      </w:r>
      <w:r w:rsidR="00F61364">
        <w:rPr>
          <w:noProof/>
          <w:lang w:val="en-US"/>
        </w:rPr>
        <w:t xml:space="preserve">SMEs, </w:t>
      </w:r>
      <w:r w:rsidR="00260053">
        <w:rPr>
          <w:noProof/>
          <w:lang w:val="en-US"/>
        </w:rPr>
        <w:t>wh</w:t>
      </w:r>
      <w:r w:rsidR="0078432C">
        <w:rPr>
          <w:noProof/>
          <w:lang w:val="en-US"/>
        </w:rPr>
        <w:t>o</w:t>
      </w:r>
      <w:r w:rsidR="00260053">
        <w:rPr>
          <w:noProof/>
          <w:lang w:val="en-US"/>
        </w:rPr>
        <w:t xml:space="preserve"> </w:t>
      </w:r>
      <w:r w:rsidR="00F61364">
        <w:rPr>
          <w:noProof/>
          <w:lang w:val="en-US"/>
        </w:rPr>
        <w:t>express</w:t>
      </w:r>
      <w:r w:rsidR="00260053">
        <w:rPr>
          <w:noProof/>
          <w:lang w:val="en-US"/>
        </w:rPr>
        <w:t>e</w:t>
      </w:r>
      <w:r w:rsidR="0078432C">
        <w:rPr>
          <w:noProof/>
          <w:lang w:val="en-US"/>
        </w:rPr>
        <w:t>d</w:t>
      </w:r>
      <w:r w:rsidR="00F61364">
        <w:rPr>
          <w:noProof/>
          <w:lang w:val="en-US"/>
        </w:rPr>
        <w:t xml:space="preserve"> </w:t>
      </w:r>
      <w:r w:rsidR="0078432C">
        <w:rPr>
          <w:noProof/>
          <w:lang w:val="en-US"/>
        </w:rPr>
        <w:t xml:space="preserve">by majority </w:t>
      </w:r>
      <w:r w:rsidR="00F61364">
        <w:rPr>
          <w:noProof/>
          <w:lang w:val="en-US"/>
        </w:rPr>
        <w:t>a preference for</w:t>
      </w:r>
      <w:r w:rsidR="0078432C">
        <w:rPr>
          <w:noProof/>
          <w:lang w:val="en-US"/>
        </w:rPr>
        <w:t xml:space="preserve"> either a balance between nature-based and industrial removals or a</w:t>
      </w:r>
      <w:r w:rsidR="00F61364">
        <w:rPr>
          <w:noProof/>
          <w:lang w:val="en-US"/>
        </w:rPr>
        <w:t xml:space="preserve"> stronger reliance on industrial removals.</w:t>
      </w:r>
    </w:p>
    <w:p w14:paraId="0BF6D4C7" w14:textId="454B8ADD" w:rsidR="00CE1AD5" w:rsidRPr="00763457" w:rsidRDefault="00CE1AD5" w:rsidP="00F7719F">
      <w:pPr>
        <w:pStyle w:val="Heading4"/>
        <w:rPr>
          <w:noProof/>
        </w:rPr>
      </w:pPr>
      <w:bookmarkStart w:id="26" w:name="_Ref143252477"/>
      <w:r w:rsidRPr="00763457">
        <w:rPr>
          <w:noProof/>
        </w:rPr>
        <w:t>Gross GHG Emissions</w:t>
      </w:r>
      <w:bookmarkEnd w:id="26"/>
    </w:p>
    <w:p w14:paraId="1B7D83E0" w14:textId="70002142" w:rsidR="00EA62FC" w:rsidRDefault="0002797C" w:rsidP="0082262B">
      <w:pPr>
        <w:pStyle w:val="Text2"/>
        <w:rPr>
          <w:noProof/>
          <w:lang w:val="en-IE"/>
        </w:rPr>
      </w:pPr>
      <w:r w:rsidRPr="0002797C">
        <w:rPr>
          <w:noProof/>
          <w:lang w:val="en-IE"/>
        </w:rPr>
        <w:t xml:space="preserve">The </w:t>
      </w:r>
      <w:r w:rsidR="00EA62FC">
        <w:rPr>
          <w:noProof/>
          <w:lang w:val="en-IE"/>
        </w:rPr>
        <w:t>“</w:t>
      </w:r>
      <w:r w:rsidR="009943AA">
        <w:rPr>
          <w:noProof/>
          <w:lang w:val="en-IE"/>
        </w:rPr>
        <w:t>gross</w:t>
      </w:r>
      <w:r w:rsidRPr="0002797C">
        <w:rPr>
          <w:noProof/>
          <w:lang w:val="en-IE"/>
        </w:rPr>
        <w:t xml:space="preserve"> GHG</w:t>
      </w:r>
      <w:r w:rsidR="00EA62FC">
        <w:rPr>
          <w:noProof/>
          <w:lang w:val="en-IE"/>
        </w:rPr>
        <w:t>”</w:t>
      </w:r>
      <w:r w:rsidRPr="0002797C">
        <w:rPr>
          <w:noProof/>
          <w:lang w:val="en-IE"/>
        </w:rPr>
        <w:t xml:space="preserve"> emissions </w:t>
      </w:r>
      <w:r w:rsidR="00EA62FC">
        <w:rPr>
          <w:noProof/>
          <w:lang w:val="en-IE"/>
        </w:rPr>
        <w:t xml:space="preserve">are defined as the actual GHG emissions excluding the contribution of </w:t>
      </w:r>
      <w:r w:rsidR="00C34B73">
        <w:rPr>
          <w:noProof/>
          <w:lang w:val="en-IE"/>
        </w:rPr>
        <w:t xml:space="preserve">industrial </w:t>
      </w:r>
      <w:r w:rsidR="00EA62FC">
        <w:rPr>
          <w:noProof/>
          <w:lang w:val="en-IE"/>
        </w:rPr>
        <w:t>removals</w:t>
      </w:r>
      <w:r w:rsidR="00C34B73">
        <w:rPr>
          <w:noProof/>
          <w:lang w:val="en-IE"/>
        </w:rPr>
        <w:t xml:space="preserve"> and net LULUCF removals</w:t>
      </w:r>
      <w:r w:rsidR="00EA62FC">
        <w:rPr>
          <w:noProof/>
          <w:lang w:val="en-IE"/>
        </w:rPr>
        <w:t xml:space="preserve"> that are part of the computation of “net GHG” emissions </w:t>
      </w:r>
      <w:r w:rsidR="0069221B">
        <w:rPr>
          <w:noProof/>
          <w:lang w:val="en-IE"/>
        </w:rPr>
        <w:t>meeting</w:t>
      </w:r>
      <w:r w:rsidR="00EA62FC">
        <w:rPr>
          <w:noProof/>
          <w:lang w:val="en-IE"/>
        </w:rPr>
        <w:t xml:space="preserve"> EU’s climate objectives </w:t>
      </w:r>
      <w:r w:rsidR="0069221B">
        <w:rPr>
          <w:noProof/>
          <w:lang w:val="en-IE"/>
        </w:rPr>
        <w:t xml:space="preserve">for 2030 and 2050. </w:t>
      </w:r>
    </w:p>
    <w:p w14:paraId="221549DA" w14:textId="6EF4983A" w:rsidR="00E37067" w:rsidRDefault="003001D8" w:rsidP="001B41F7">
      <w:pPr>
        <w:pStyle w:val="Text2"/>
        <w:rPr>
          <w:noProof/>
          <w:lang w:val="en-IE"/>
        </w:rPr>
      </w:pPr>
      <w:r>
        <w:rPr>
          <w:noProof/>
          <w:lang w:val="en-IE"/>
        </w:rPr>
        <w:fldChar w:fldCharType="begin"/>
      </w:r>
      <w:r>
        <w:rPr>
          <w:noProof/>
          <w:lang w:val="en-IE"/>
        </w:rPr>
        <w:instrText xml:space="preserve"> REF _Ref148095617 \h </w:instrText>
      </w:r>
      <w:r>
        <w:rPr>
          <w:noProof/>
          <w:lang w:val="en-IE"/>
        </w:rPr>
      </w:r>
      <w:r>
        <w:rPr>
          <w:noProof/>
          <w:lang w:val="en-IE"/>
        </w:rPr>
        <w:fldChar w:fldCharType="separate"/>
      </w:r>
      <w:r w:rsidR="00170A3C" w:rsidRPr="0058498F">
        <w:rPr>
          <w:noProof/>
          <w:lang w:val="en-IE"/>
        </w:rPr>
        <w:t>Figure 1</w:t>
      </w:r>
      <w:r>
        <w:rPr>
          <w:noProof/>
          <w:lang w:val="en-IE"/>
        </w:rPr>
        <w:fldChar w:fldCharType="end"/>
      </w:r>
      <w:r w:rsidR="009E4E9D" w:rsidRPr="00287D0F">
        <w:rPr>
          <w:noProof/>
          <w:lang w:val="en-IE"/>
        </w:rPr>
        <w:t xml:space="preserve"> show</w:t>
      </w:r>
      <w:r w:rsidR="001B41F7" w:rsidRPr="00287D0F">
        <w:rPr>
          <w:noProof/>
          <w:lang w:val="en-IE"/>
        </w:rPr>
        <w:t>s</w:t>
      </w:r>
      <w:r w:rsidR="009E4E9D">
        <w:rPr>
          <w:noProof/>
          <w:lang w:val="en-IE"/>
        </w:rPr>
        <w:t xml:space="preserve"> the evolution of </w:t>
      </w:r>
      <w:r w:rsidR="00D2465A">
        <w:rPr>
          <w:noProof/>
          <w:lang w:val="en-IE"/>
        </w:rPr>
        <w:t xml:space="preserve">EU </w:t>
      </w:r>
      <w:r w:rsidR="009E4E9D">
        <w:rPr>
          <w:noProof/>
          <w:lang w:val="en-IE"/>
        </w:rPr>
        <w:t xml:space="preserve">gross GHG emissions over 1990-2050. </w:t>
      </w:r>
      <w:r w:rsidR="00352E9A">
        <w:rPr>
          <w:noProof/>
          <w:lang w:val="en-IE"/>
        </w:rPr>
        <w:t>In</w:t>
      </w:r>
      <w:r w:rsidR="009E4E9D">
        <w:rPr>
          <w:noProof/>
          <w:lang w:val="en-IE"/>
        </w:rPr>
        <w:t xml:space="preserve"> 2021</w:t>
      </w:r>
      <w:r w:rsidR="00352E9A">
        <w:rPr>
          <w:noProof/>
          <w:lang w:val="en-IE"/>
        </w:rPr>
        <w:t xml:space="preserve">, EU gross emissions achieved around </w:t>
      </w:r>
      <w:r w:rsidR="00352E9A" w:rsidRPr="00F20CCC">
        <w:rPr>
          <w:noProof/>
          <w:lang w:val="en-IE"/>
        </w:rPr>
        <w:t>3570</w:t>
      </w:r>
      <w:r w:rsidR="00352E9A">
        <w:rPr>
          <w:noProof/>
          <w:lang w:val="en-IE"/>
        </w:rPr>
        <w:t xml:space="preserve"> MtCO2-eq, with a reduction of around </w:t>
      </w:r>
      <w:r w:rsidR="00352E9A" w:rsidRPr="00F20CCC">
        <w:rPr>
          <w:noProof/>
          <w:lang w:val="en-IE"/>
        </w:rPr>
        <w:t>28</w:t>
      </w:r>
      <w:r w:rsidR="00352E9A">
        <w:rPr>
          <w:noProof/>
          <w:lang w:val="en-IE"/>
        </w:rPr>
        <w:t xml:space="preserve">% compared to </w:t>
      </w:r>
      <w:r w:rsidR="009E4E9D">
        <w:rPr>
          <w:noProof/>
          <w:lang w:val="en-IE"/>
        </w:rPr>
        <w:t>1990</w:t>
      </w:r>
      <w:r w:rsidR="003072C1" w:rsidRPr="003072C1">
        <w:rPr>
          <w:noProof/>
          <w:lang w:val="en-IE"/>
        </w:rPr>
        <w:t> (</w:t>
      </w:r>
      <w:r w:rsidR="003072C1">
        <w:rPr>
          <w:rStyle w:val="FootnoteReference"/>
          <w:noProof/>
          <w:lang w:val="en-IE"/>
        </w:rPr>
        <w:footnoteReference w:id="13"/>
      </w:r>
      <w:r w:rsidR="003072C1">
        <w:rPr>
          <w:noProof/>
          <w:lang w:val="en-IE"/>
        </w:rPr>
        <w:t>)</w:t>
      </w:r>
      <w:r w:rsidR="00352E9A">
        <w:rPr>
          <w:noProof/>
          <w:lang w:val="en-IE"/>
        </w:rPr>
        <w:t>.</w:t>
      </w:r>
      <w:r w:rsidR="009E4E9D">
        <w:rPr>
          <w:noProof/>
          <w:lang w:val="en-IE"/>
        </w:rPr>
        <w:t xml:space="preserve"> The trajectory until 2030 is consistent with the Fit-for-55 policy package, where </w:t>
      </w:r>
      <w:r w:rsidR="0069221B">
        <w:rPr>
          <w:noProof/>
          <w:lang w:val="en-IE"/>
        </w:rPr>
        <w:t xml:space="preserve">emissions </w:t>
      </w:r>
      <w:r w:rsidR="009E4E9D">
        <w:rPr>
          <w:noProof/>
          <w:lang w:val="en-IE"/>
        </w:rPr>
        <w:t xml:space="preserve">reach </w:t>
      </w:r>
      <w:r w:rsidR="00352E9A">
        <w:rPr>
          <w:noProof/>
          <w:lang w:val="en-IE"/>
        </w:rPr>
        <w:t xml:space="preserve">around </w:t>
      </w:r>
      <w:r w:rsidR="00352E9A" w:rsidRPr="00F20CCC">
        <w:rPr>
          <w:noProof/>
          <w:lang w:val="en-IE"/>
        </w:rPr>
        <w:t>23</w:t>
      </w:r>
      <w:r w:rsidR="00F20CCC" w:rsidRPr="00F20CCC">
        <w:rPr>
          <w:noProof/>
          <w:lang w:val="en-IE"/>
        </w:rPr>
        <w:t>00</w:t>
      </w:r>
      <w:r w:rsidR="009E4E9D">
        <w:rPr>
          <w:noProof/>
          <w:lang w:val="en-IE"/>
        </w:rPr>
        <w:t xml:space="preserve"> MtCO2-eq.</w:t>
      </w:r>
      <w:r w:rsidR="001B41F7">
        <w:rPr>
          <w:noProof/>
          <w:lang w:val="en-IE"/>
        </w:rPr>
        <w:t xml:space="preserve"> </w:t>
      </w:r>
      <w:r w:rsidR="0069221B">
        <w:rPr>
          <w:noProof/>
          <w:lang w:val="en-IE"/>
        </w:rPr>
        <w:t>Post-2030, t</w:t>
      </w:r>
      <w:r w:rsidR="00E9017B">
        <w:rPr>
          <w:noProof/>
          <w:lang w:val="en-IE"/>
        </w:rPr>
        <w:t>hese emissions</w:t>
      </w:r>
      <w:r w:rsidR="00BD1FD6">
        <w:rPr>
          <w:noProof/>
          <w:lang w:val="en-IE"/>
        </w:rPr>
        <w:t xml:space="preserve"> </w:t>
      </w:r>
      <w:r w:rsidR="001B41F7">
        <w:rPr>
          <w:noProof/>
          <w:lang w:val="en-IE"/>
        </w:rPr>
        <w:t>keep</w:t>
      </w:r>
      <w:r w:rsidR="00C53979">
        <w:rPr>
          <w:noProof/>
          <w:lang w:val="en-IE"/>
        </w:rPr>
        <w:t xml:space="preserve"> decreas</w:t>
      </w:r>
      <w:r w:rsidR="001B41F7">
        <w:rPr>
          <w:noProof/>
          <w:lang w:val="en-IE"/>
        </w:rPr>
        <w:t xml:space="preserve">ing </w:t>
      </w:r>
      <w:r w:rsidR="00C53979">
        <w:rPr>
          <w:noProof/>
          <w:lang w:val="en-IE"/>
        </w:rPr>
        <w:t>in all scenarios</w:t>
      </w:r>
      <w:r w:rsidR="007C5EE5">
        <w:rPr>
          <w:noProof/>
          <w:lang w:val="en-IE"/>
        </w:rPr>
        <w:t>,</w:t>
      </w:r>
      <w:r w:rsidR="001B41F7">
        <w:rPr>
          <w:noProof/>
          <w:lang w:val="en-IE"/>
        </w:rPr>
        <w:t xml:space="preserve"> albeit at difference pace by 2040 and beyond. </w:t>
      </w:r>
      <w:r w:rsidR="00BA5A97">
        <w:rPr>
          <w:noProof/>
          <w:lang w:val="en-IE"/>
        </w:rPr>
        <w:t xml:space="preserve">They reach about </w:t>
      </w:r>
      <w:r w:rsidR="00CA0C62">
        <w:rPr>
          <w:noProof/>
          <w:lang w:val="en-IE"/>
        </w:rPr>
        <w:t>4</w:t>
      </w:r>
      <w:r w:rsidR="00352E9A" w:rsidRPr="00F20CCC">
        <w:rPr>
          <w:noProof/>
          <w:lang w:val="en-IE"/>
        </w:rPr>
        <w:t>00</w:t>
      </w:r>
      <w:r w:rsidR="00BA5A97">
        <w:rPr>
          <w:noProof/>
          <w:lang w:val="en-IE"/>
        </w:rPr>
        <w:t xml:space="preserve"> MtCO2-eq in 2050, when they are compensated by </w:t>
      </w:r>
      <w:r w:rsidR="00455C7D">
        <w:rPr>
          <w:noProof/>
          <w:lang w:val="en-IE"/>
        </w:rPr>
        <w:t xml:space="preserve">industrial and LULUCF net </w:t>
      </w:r>
      <w:r w:rsidR="00412D6A">
        <w:rPr>
          <w:noProof/>
          <w:lang w:val="en-IE"/>
        </w:rPr>
        <w:t>carbon removals</w:t>
      </w:r>
      <w:r w:rsidR="00F90D10">
        <w:rPr>
          <w:noProof/>
          <w:lang w:val="en-IE"/>
        </w:rPr>
        <w:t xml:space="preserve"> to converge </w:t>
      </w:r>
      <w:r w:rsidR="00D2465A">
        <w:rPr>
          <w:noProof/>
          <w:lang w:val="en-IE"/>
        </w:rPr>
        <w:t xml:space="preserve">to </w:t>
      </w:r>
      <w:r w:rsidR="00244361">
        <w:rPr>
          <w:noProof/>
          <w:lang w:val="en-IE"/>
        </w:rPr>
        <w:t>climate neutrality</w:t>
      </w:r>
      <w:r w:rsidR="004D2247">
        <w:rPr>
          <w:noProof/>
          <w:lang w:val="en-IE"/>
        </w:rPr>
        <w:t>.</w:t>
      </w:r>
    </w:p>
    <w:p w14:paraId="10E2DD12" w14:textId="2068684A" w:rsidR="003A7520" w:rsidRDefault="00C51A37" w:rsidP="00E9017B">
      <w:pPr>
        <w:pStyle w:val="Caption"/>
        <w:rPr>
          <w:noProof/>
          <w:lang w:val="fr-BE"/>
        </w:rPr>
      </w:pPr>
      <w:bookmarkStart w:id="27" w:name="_Ref139617279"/>
      <w:bookmarkStart w:id="28" w:name="_Ref139615793"/>
      <w:bookmarkStart w:id="29" w:name="_Ref147311936"/>
      <w:bookmarkStart w:id="30" w:name="_Ref148095617"/>
      <w:bookmarkStart w:id="31" w:name="_Ref139615789"/>
      <w:bookmarkStart w:id="32" w:name="_Toc157679749"/>
      <w:r w:rsidRPr="00FC2A24">
        <w:rPr>
          <w:noProof/>
          <w:lang w:val="fr-BE"/>
        </w:rPr>
        <w:t>Figure</w:t>
      </w:r>
      <w:bookmarkEnd w:id="27"/>
      <w:r w:rsidRPr="00FC2A24">
        <w:rPr>
          <w:noProof/>
          <w:lang w:val="fr-BE"/>
        </w:rPr>
        <w:t xml:space="preserve"> </w:t>
      </w:r>
      <w:bookmarkEnd w:id="28"/>
      <w:bookmarkEnd w:id="29"/>
      <w:r w:rsidR="0096264C">
        <w:rPr>
          <w:noProof/>
          <w:lang w:val="fr-BE"/>
        </w:rPr>
        <w:fldChar w:fldCharType="begin"/>
      </w:r>
      <w:r w:rsidR="0096264C">
        <w:rPr>
          <w:noProof/>
          <w:lang w:val="fr-BE"/>
        </w:rPr>
        <w:instrText xml:space="preserve"> SEQ Figure \* ARABIC </w:instrText>
      </w:r>
      <w:r w:rsidR="0096264C">
        <w:rPr>
          <w:noProof/>
          <w:lang w:val="fr-BE"/>
        </w:rPr>
        <w:fldChar w:fldCharType="separate"/>
      </w:r>
      <w:r w:rsidR="00170A3C">
        <w:rPr>
          <w:noProof/>
          <w:lang w:val="fr-BE"/>
        </w:rPr>
        <w:t>1</w:t>
      </w:r>
      <w:r w:rsidR="0096264C">
        <w:rPr>
          <w:noProof/>
          <w:lang w:val="fr-BE"/>
        </w:rPr>
        <w:fldChar w:fldCharType="end"/>
      </w:r>
      <w:bookmarkEnd w:id="30"/>
      <w:r w:rsidR="003A7520" w:rsidRPr="00FC2A24">
        <w:rPr>
          <w:noProof/>
          <w:lang w:val="fr-BE"/>
        </w:rPr>
        <w:t xml:space="preserve">: </w:t>
      </w:r>
      <w:r w:rsidR="00B74920" w:rsidRPr="00FC2A24">
        <w:rPr>
          <w:noProof/>
          <w:lang w:val="fr-BE"/>
        </w:rPr>
        <w:t xml:space="preserve"> </w:t>
      </w:r>
      <w:r w:rsidR="00BB4B90" w:rsidRPr="00FC2A24">
        <w:rPr>
          <w:noProof/>
          <w:lang w:val="fr-BE"/>
        </w:rPr>
        <w:t xml:space="preserve">Domestic </w:t>
      </w:r>
      <w:r w:rsidR="00B74920" w:rsidRPr="00FC2A24">
        <w:rPr>
          <w:noProof/>
          <w:lang w:val="fr-BE"/>
        </w:rPr>
        <w:t xml:space="preserve">Gross </w:t>
      </w:r>
      <w:r w:rsidR="003A7520" w:rsidRPr="00FC2A24">
        <w:rPr>
          <w:noProof/>
          <w:lang w:val="fr-BE"/>
        </w:rPr>
        <w:t xml:space="preserve">GHG </w:t>
      </w:r>
      <w:r w:rsidR="00E9017B" w:rsidRPr="00FC2A24">
        <w:rPr>
          <w:noProof/>
          <w:lang w:val="fr-BE"/>
        </w:rPr>
        <w:t>e</w:t>
      </w:r>
      <w:r w:rsidR="003A7520" w:rsidRPr="00FC2A24">
        <w:rPr>
          <w:noProof/>
          <w:lang w:val="fr-BE"/>
        </w:rPr>
        <w:t>missions</w:t>
      </w:r>
      <w:bookmarkEnd w:id="31"/>
      <w:bookmarkEnd w:id="32"/>
    </w:p>
    <w:p w14:paraId="6B4EB9EB" w14:textId="1D07A7D8" w:rsidR="000B2DEB" w:rsidRPr="00465F10" w:rsidRDefault="00D26BD5" w:rsidP="00465F10">
      <w:pPr>
        <w:spacing w:after="0"/>
        <w:rPr>
          <w:noProof/>
          <w:lang w:val="fr-BE"/>
        </w:rPr>
      </w:pPr>
      <w:r w:rsidRPr="00D26BD5">
        <w:rPr>
          <w:noProof/>
          <w:lang w:eastAsia="en-GB"/>
        </w:rPr>
        <w:drawing>
          <wp:inline distT="0" distB="0" distL="0" distR="0" wp14:anchorId="0364CE17" wp14:editId="1B4ABB7F">
            <wp:extent cx="5309235" cy="2517775"/>
            <wp:effectExtent l="0" t="0" r="5715"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09235" cy="2517775"/>
                    </a:xfrm>
                    <a:prstGeom prst="rect">
                      <a:avLst/>
                    </a:prstGeom>
                    <a:noFill/>
                    <a:ln>
                      <a:noFill/>
                    </a:ln>
                  </pic:spPr>
                </pic:pic>
              </a:graphicData>
            </a:graphic>
          </wp:inline>
        </w:drawing>
      </w:r>
    </w:p>
    <w:p w14:paraId="7DDE1FB9" w14:textId="247E5EF4" w:rsidR="00970117" w:rsidRPr="00E9017B" w:rsidRDefault="007808D5" w:rsidP="000B2DEB">
      <w:pPr>
        <w:pStyle w:val="CT-NOTE"/>
        <w:rPr>
          <w:noProof/>
        </w:rPr>
      </w:pPr>
      <w:r w:rsidRPr="00FC2A24">
        <w:rPr>
          <w:noProof/>
        </w:rPr>
        <w:t>Note:</w:t>
      </w:r>
      <w:r w:rsidR="00E9017B" w:rsidRPr="00FC2A24">
        <w:rPr>
          <w:noProof/>
        </w:rPr>
        <w:t xml:space="preserve"> </w:t>
      </w:r>
      <w:r w:rsidR="00BB4B90" w:rsidRPr="00FC2A24">
        <w:rPr>
          <w:noProof/>
        </w:rPr>
        <w:t xml:space="preserve">Gross </w:t>
      </w:r>
      <w:r w:rsidR="00970117" w:rsidRPr="00FC2A24">
        <w:rPr>
          <w:noProof/>
        </w:rPr>
        <w:t xml:space="preserve">GHG emissions </w:t>
      </w:r>
      <w:r w:rsidR="00455C7D">
        <w:rPr>
          <w:noProof/>
        </w:rPr>
        <w:t>represented here</w:t>
      </w:r>
      <w:r w:rsidR="00970117" w:rsidRPr="00FC2A24">
        <w:rPr>
          <w:noProof/>
        </w:rPr>
        <w:t xml:space="preserve"> include </w:t>
      </w:r>
      <w:r w:rsidR="00455C7D">
        <w:rPr>
          <w:noProof/>
        </w:rPr>
        <w:t xml:space="preserve">only </w:t>
      </w:r>
      <w:r w:rsidR="00970117" w:rsidRPr="00FC2A24">
        <w:rPr>
          <w:noProof/>
        </w:rPr>
        <w:t xml:space="preserve">domestic emissions </w:t>
      </w:r>
      <w:r w:rsidR="00455C7D">
        <w:rPr>
          <w:noProof/>
        </w:rPr>
        <w:t>and</w:t>
      </w:r>
      <w:r w:rsidR="00970117" w:rsidRPr="00FC2A24">
        <w:rPr>
          <w:noProof/>
        </w:rPr>
        <w:t xml:space="preserve"> </w:t>
      </w:r>
      <w:r w:rsidR="00D2465A" w:rsidRPr="00FC2A24">
        <w:rPr>
          <w:noProof/>
        </w:rPr>
        <w:t xml:space="preserve">excludes industrial carbon removals and the LULUCF net </w:t>
      </w:r>
      <w:r w:rsidR="00F20CCC">
        <w:rPr>
          <w:noProof/>
        </w:rPr>
        <w:t>removals.</w:t>
      </w:r>
    </w:p>
    <w:p w14:paraId="2DFA2010" w14:textId="6DE7F899" w:rsidR="008630DE" w:rsidRPr="00E9017B" w:rsidRDefault="00EB75EC" w:rsidP="00A225CB">
      <w:pPr>
        <w:pStyle w:val="CT-SOURCE"/>
        <w:rPr>
          <w:i w:val="0"/>
          <w:iCs w:val="0"/>
          <w:noProof/>
        </w:rPr>
      </w:pPr>
      <w:r w:rsidRPr="00E9017B">
        <w:rPr>
          <w:noProof/>
        </w:rPr>
        <w:t>Source: PRIMES</w:t>
      </w:r>
      <w:r w:rsidR="003A7520" w:rsidRPr="00E9017B">
        <w:rPr>
          <w:noProof/>
        </w:rPr>
        <w:t>, GAINS</w:t>
      </w:r>
      <w:r w:rsidR="007808D5" w:rsidRPr="00E9017B">
        <w:rPr>
          <w:noProof/>
        </w:rPr>
        <w:t>.</w:t>
      </w:r>
    </w:p>
    <w:p w14:paraId="1FA3C75E" w14:textId="29B44612" w:rsidR="00777304" w:rsidRDefault="009F39D8" w:rsidP="00777304">
      <w:pPr>
        <w:pStyle w:val="Text2"/>
        <w:rPr>
          <w:noProof/>
          <w:lang w:val="en-IE"/>
        </w:rPr>
      </w:pPr>
      <w:r w:rsidRPr="003A6A99">
        <w:rPr>
          <w:noProof/>
          <w:lang w:val="en-IE"/>
        </w:rPr>
        <w:fldChar w:fldCharType="begin"/>
      </w:r>
      <w:r w:rsidRPr="00411796">
        <w:rPr>
          <w:noProof/>
          <w:highlight w:val="yellow"/>
          <w:lang w:val="en-IE"/>
        </w:rPr>
        <w:instrText xml:space="preserve"> REF _Ref139989158 \h </w:instrText>
      </w:r>
      <w:r w:rsidR="00F20CCC" w:rsidRPr="00411796">
        <w:rPr>
          <w:noProof/>
          <w:highlight w:val="yellow"/>
          <w:lang w:val="en-IE"/>
        </w:rPr>
        <w:instrText xml:space="preserve"> \* MERGEFORMAT </w:instrText>
      </w:r>
      <w:r w:rsidRPr="003A6A99">
        <w:rPr>
          <w:noProof/>
          <w:lang w:val="en-IE"/>
        </w:rPr>
      </w:r>
      <w:r w:rsidRPr="003A6A99">
        <w:rPr>
          <w:noProof/>
          <w:lang w:val="en-IE"/>
        </w:rPr>
        <w:fldChar w:fldCharType="separate"/>
      </w:r>
      <w:r w:rsidR="00170A3C">
        <w:rPr>
          <w:noProof/>
        </w:rPr>
        <w:t>Table 3</w:t>
      </w:r>
      <w:r w:rsidRPr="003A6A99">
        <w:rPr>
          <w:noProof/>
          <w:lang w:val="en-IE"/>
        </w:rPr>
        <w:fldChar w:fldCharType="end"/>
      </w:r>
      <w:r w:rsidR="000565F2" w:rsidRPr="003A6A99">
        <w:rPr>
          <w:noProof/>
          <w:lang w:val="en-IE"/>
        </w:rPr>
        <w:t xml:space="preserve"> summarises</w:t>
      </w:r>
      <w:r w:rsidR="000565F2">
        <w:rPr>
          <w:noProof/>
          <w:lang w:val="en-IE"/>
        </w:rPr>
        <w:t xml:space="preserve"> the gross GHG emission by sector. </w:t>
      </w:r>
      <w:r w:rsidR="006760BD">
        <w:rPr>
          <w:noProof/>
          <w:lang w:val="en-IE"/>
        </w:rPr>
        <w:t>In</w:t>
      </w:r>
      <w:r w:rsidR="00AA0E79">
        <w:rPr>
          <w:noProof/>
          <w:lang w:val="en-IE"/>
        </w:rPr>
        <w:t xml:space="preserve"> S1 </w:t>
      </w:r>
      <w:r w:rsidR="00BA5A97">
        <w:rPr>
          <w:noProof/>
          <w:lang w:val="en-IE"/>
        </w:rPr>
        <w:t xml:space="preserve">gross </w:t>
      </w:r>
      <w:r w:rsidR="00396541">
        <w:rPr>
          <w:noProof/>
          <w:lang w:val="en-IE"/>
        </w:rPr>
        <w:t>G</w:t>
      </w:r>
      <w:r w:rsidR="0022111E">
        <w:rPr>
          <w:noProof/>
          <w:lang w:val="en-IE"/>
        </w:rPr>
        <w:t xml:space="preserve">HG </w:t>
      </w:r>
      <w:r w:rsidR="00396541">
        <w:rPr>
          <w:noProof/>
          <w:lang w:val="en-IE"/>
        </w:rPr>
        <w:t xml:space="preserve">emissions </w:t>
      </w:r>
      <w:r w:rsidR="006760BD">
        <w:rPr>
          <w:noProof/>
          <w:lang w:val="en-IE"/>
        </w:rPr>
        <w:t>decrease following a linear profile</w:t>
      </w:r>
      <w:r w:rsidR="005302E1">
        <w:rPr>
          <w:noProof/>
          <w:lang w:val="en-IE"/>
        </w:rPr>
        <w:t xml:space="preserve"> </w:t>
      </w:r>
      <w:r w:rsidR="00BF3AAA">
        <w:rPr>
          <w:noProof/>
          <w:lang w:val="en-IE"/>
        </w:rPr>
        <w:t>over 2031-</w:t>
      </w:r>
      <w:r w:rsidR="005302E1">
        <w:rPr>
          <w:noProof/>
          <w:lang w:val="en-IE"/>
        </w:rPr>
        <w:t>2050</w:t>
      </w:r>
      <w:r w:rsidR="00396541">
        <w:rPr>
          <w:noProof/>
          <w:lang w:val="en-IE"/>
        </w:rPr>
        <w:t xml:space="preserve">, </w:t>
      </w:r>
      <w:r w:rsidR="00CE0C7F">
        <w:rPr>
          <w:noProof/>
          <w:lang w:val="en-IE"/>
        </w:rPr>
        <w:t>reaching</w:t>
      </w:r>
      <w:r w:rsidR="00396541">
        <w:rPr>
          <w:noProof/>
          <w:lang w:val="en-IE"/>
        </w:rPr>
        <w:t xml:space="preserve"> </w:t>
      </w:r>
      <w:r w:rsidR="000565F2">
        <w:rPr>
          <w:noProof/>
          <w:lang w:val="en-IE"/>
        </w:rPr>
        <w:t xml:space="preserve">around </w:t>
      </w:r>
      <w:r w:rsidR="000565F2" w:rsidRPr="00F20CCC">
        <w:rPr>
          <w:noProof/>
          <w:lang w:val="en-IE"/>
        </w:rPr>
        <w:t>12</w:t>
      </w:r>
      <w:r w:rsidR="00777304">
        <w:rPr>
          <w:noProof/>
          <w:lang w:val="en-IE"/>
        </w:rPr>
        <w:t>7</w:t>
      </w:r>
      <w:r w:rsidR="00F20CCC" w:rsidRPr="00F20CCC">
        <w:rPr>
          <w:noProof/>
          <w:lang w:val="en-IE"/>
        </w:rPr>
        <w:t>0</w:t>
      </w:r>
      <w:r w:rsidR="00561BF5">
        <w:rPr>
          <w:noProof/>
          <w:lang w:val="en-IE"/>
        </w:rPr>
        <w:t xml:space="preserve"> MtCO2-eq in 2040, </w:t>
      </w:r>
      <w:r w:rsidR="000565F2">
        <w:rPr>
          <w:noProof/>
          <w:lang w:val="en-IE"/>
        </w:rPr>
        <w:t xml:space="preserve">which correspond to </w:t>
      </w:r>
      <w:r w:rsidR="00396541">
        <w:rPr>
          <w:noProof/>
          <w:lang w:val="en-IE"/>
        </w:rPr>
        <w:t xml:space="preserve">a decrease </w:t>
      </w:r>
      <w:r w:rsidR="000565F2">
        <w:rPr>
          <w:noProof/>
          <w:lang w:val="en-IE"/>
        </w:rPr>
        <w:t>of around</w:t>
      </w:r>
      <w:r w:rsidR="00CE0C7F">
        <w:rPr>
          <w:noProof/>
          <w:lang w:val="en-IE"/>
        </w:rPr>
        <w:t xml:space="preserve"> </w:t>
      </w:r>
      <w:r w:rsidR="00B1791E" w:rsidRPr="00F20CCC">
        <w:rPr>
          <w:noProof/>
          <w:lang w:val="en-IE"/>
        </w:rPr>
        <w:t>7</w:t>
      </w:r>
      <w:r w:rsidR="0090635C" w:rsidRPr="00F20CCC">
        <w:rPr>
          <w:noProof/>
          <w:lang w:val="en-IE"/>
        </w:rPr>
        <w:t>5</w:t>
      </w:r>
      <w:r w:rsidR="00396541" w:rsidRPr="00F20CCC">
        <w:rPr>
          <w:noProof/>
          <w:lang w:val="en-IE"/>
        </w:rPr>
        <w:t>%</w:t>
      </w:r>
      <w:r w:rsidR="00396541">
        <w:rPr>
          <w:noProof/>
          <w:lang w:val="en-IE"/>
        </w:rPr>
        <w:t xml:space="preserve"> </w:t>
      </w:r>
      <w:r w:rsidR="00561BF5">
        <w:rPr>
          <w:noProof/>
          <w:lang w:val="en-IE"/>
        </w:rPr>
        <w:t>compared to</w:t>
      </w:r>
      <w:r w:rsidR="00901C48">
        <w:rPr>
          <w:noProof/>
          <w:lang w:val="en-IE"/>
        </w:rPr>
        <w:t xml:space="preserve"> 1990</w:t>
      </w:r>
      <w:r w:rsidR="00CE0C7F">
        <w:rPr>
          <w:noProof/>
          <w:lang w:val="en-IE"/>
        </w:rPr>
        <w:t xml:space="preserve"> levels. </w:t>
      </w:r>
      <w:r w:rsidR="000A58EA">
        <w:rPr>
          <w:noProof/>
          <w:lang w:val="en-IE"/>
        </w:rPr>
        <w:t>Most</w:t>
      </w:r>
      <w:r>
        <w:rPr>
          <w:noProof/>
          <w:lang w:val="en-IE"/>
        </w:rPr>
        <w:t xml:space="preserve"> sectors </w:t>
      </w:r>
      <w:r w:rsidR="00D2465A">
        <w:rPr>
          <w:noProof/>
          <w:lang w:val="en-IE"/>
        </w:rPr>
        <w:t xml:space="preserve">undergo </w:t>
      </w:r>
      <w:r>
        <w:rPr>
          <w:noProof/>
          <w:lang w:val="en-IE"/>
        </w:rPr>
        <w:t xml:space="preserve">significant </w:t>
      </w:r>
      <w:r w:rsidR="00D2465A">
        <w:rPr>
          <w:noProof/>
          <w:lang w:val="en-IE"/>
        </w:rPr>
        <w:t xml:space="preserve">emissions reductions </w:t>
      </w:r>
      <w:r w:rsidR="006760BD">
        <w:rPr>
          <w:noProof/>
          <w:lang w:val="en-IE"/>
        </w:rPr>
        <w:t xml:space="preserve">already </w:t>
      </w:r>
      <w:r w:rsidR="00D2465A">
        <w:rPr>
          <w:noProof/>
          <w:lang w:val="en-IE"/>
        </w:rPr>
        <w:t>over 203</w:t>
      </w:r>
      <w:r w:rsidR="006760BD">
        <w:rPr>
          <w:noProof/>
          <w:lang w:val="en-IE"/>
        </w:rPr>
        <w:t>1</w:t>
      </w:r>
      <w:r w:rsidR="00D2465A">
        <w:rPr>
          <w:noProof/>
          <w:lang w:val="en-IE"/>
        </w:rPr>
        <w:t xml:space="preserve">-2040, </w:t>
      </w:r>
      <w:r w:rsidR="005826FE">
        <w:rPr>
          <w:noProof/>
          <w:lang w:val="en-IE"/>
        </w:rPr>
        <w:t>with emissions ranging</w:t>
      </w:r>
      <w:r w:rsidR="00D2465A">
        <w:rPr>
          <w:noProof/>
          <w:lang w:val="en-IE"/>
        </w:rPr>
        <w:t xml:space="preserve"> from </w:t>
      </w:r>
      <w:r w:rsidR="006760BD">
        <w:rPr>
          <w:noProof/>
          <w:lang w:val="en-IE"/>
        </w:rPr>
        <w:t>around -</w:t>
      </w:r>
      <w:r w:rsidR="006760BD" w:rsidRPr="00F20CCC">
        <w:rPr>
          <w:noProof/>
          <w:lang w:val="en-IE"/>
        </w:rPr>
        <w:t>70</w:t>
      </w:r>
      <w:r w:rsidR="006760BD">
        <w:rPr>
          <w:noProof/>
          <w:lang w:val="en-IE"/>
        </w:rPr>
        <w:t xml:space="preserve">% in the </w:t>
      </w:r>
      <w:r w:rsidR="005826FE">
        <w:rPr>
          <w:noProof/>
          <w:lang w:val="en-IE"/>
        </w:rPr>
        <w:t xml:space="preserve">domestic </w:t>
      </w:r>
      <w:r w:rsidR="006760BD">
        <w:rPr>
          <w:noProof/>
          <w:lang w:val="en-IE"/>
        </w:rPr>
        <w:t xml:space="preserve">transport sectors to </w:t>
      </w:r>
      <w:r w:rsidR="001909B4">
        <w:rPr>
          <w:noProof/>
          <w:lang w:val="en-IE"/>
        </w:rPr>
        <w:t xml:space="preserve">about </w:t>
      </w:r>
      <w:r w:rsidR="006760BD">
        <w:rPr>
          <w:noProof/>
          <w:lang w:val="en-IE"/>
        </w:rPr>
        <w:t>-</w:t>
      </w:r>
      <w:r w:rsidR="005826FE">
        <w:rPr>
          <w:noProof/>
          <w:lang w:val="en-IE"/>
        </w:rPr>
        <w:t>10</w:t>
      </w:r>
      <w:r w:rsidR="006760BD">
        <w:rPr>
          <w:noProof/>
          <w:lang w:val="en-IE"/>
        </w:rPr>
        <w:t xml:space="preserve">% in </w:t>
      </w:r>
      <w:r w:rsidR="005826FE">
        <w:rPr>
          <w:noProof/>
          <w:lang w:val="en-IE"/>
        </w:rPr>
        <w:t>agriculture</w:t>
      </w:r>
      <w:r>
        <w:rPr>
          <w:noProof/>
          <w:lang w:val="en-IE"/>
        </w:rPr>
        <w:t xml:space="preserve">. </w:t>
      </w:r>
      <w:r w:rsidR="00CC36F8">
        <w:rPr>
          <w:noProof/>
          <w:lang w:val="en-IE"/>
        </w:rPr>
        <w:t>The S2 scenario</w:t>
      </w:r>
      <w:r w:rsidR="004117CB">
        <w:rPr>
          <w:noProof/>
          <w:lang w:val="en-IE"/>
        </w:rPr>
        <w:t xml:space="preserve"> </w:t>
      </w:r>
      <w:r w:rsidR="00CE1AD5">
        <w:rPr>
          <w:noProof/>
          <w:lang w:val="en-IE"/>
        </w:rPr>
        <w:t>achieve</w:t>
      </w:r>
      <w:r w:rsidR="00606C06">
        <w:rPr>
          <w:noProof/>
          <w:lang w:val="en-IE"/>
        </w:rPr>
        <w:t>s</w:t>
      </w:r>
      <w:r w:rsidR="004117CB">
        <w:rPr>
          <w:noProof/>
          <w:lang w:val="en-IE"/>
        </w:rPr>
        <w:t xml:space="preserve"> </w:t>
      </w:r>
      <w:r w:rsidR="00CF3409">
        <w:rPr>
          <w:noProof/>
          <w:lang w:val="en-IE"/>
        </w:rPr>
        <w:t xml:space="preserve">further </w:t>
      </w:r>
      <w:r w:rsidR="004117CB">
        <w:rPr>
          <w:noProof/>
          <w:lang w:val="en-IE"/>
        </w:rPr>
        <w:t>reduction</w:t>
      </w:r>
      <w:r w:rsidR="001A0925">
        <w:rPr>
          <w:noProof/>
          <w:lang w:val="en-IE"/>
        </w:rPr>
        <w:t xml:space="preserve">s of </w:t>
      </w:r>
      <w:r w:rsidR="00CF3409">
        <w:rPr>
          <w:noProof/>
          <w:lang w:val="en-IE"/>
        </w:rPr>
        <w:t>gross GHG emissions</w:t>
      </w:r>
      <w:r w:rsidR="001A0925">
        <w:rPr>
          <w:noProof/>
          <w:lang w:val="en-IE"/>
        </w:rPr>
        <w:t xml:space="preserve"> </w:t>
      </w:r>
      <w:r w:rsidR="00561BF5">
        <w:rPr>
          <w:noProof/>
          <w:lang w:val="en-IE"/>
        </w:rPr>
        <w:t>by</w:t>
      </w:r>
      <w:r w:rsidR="004117CB">
        <w:rPr>
          <w:noProof/>
          <w:lang w:val="en-IE"/>
        </w:rPr>
        <w:t xml:space="preserve"> 2040,</w:t>
      </w:r>
      <w:r w:rsidR="001A0925">
        <w:rPr>
          <w:noProof/>
          <w:lang w:val="en-IE"/>
        </w:rPr>
        <w:t xml:space="preserve"> </w:t>
      </w:r>
      <w:r w:rsidR="00561BF5">
        <w:rPr>
          <w:noProof/>
          <w:lang w:val="en-IE"/>
        </w:rPr>
        <w:t xml:space="preserve">reaching </w:t>
      </w:r>
      <w:r w:rsidR="006760BD">
        <w:rPr>
          <w:noProof/>
          <w:lang w:val="en-IE"/>
        </w:rPr>
        <w:t xml:space="preserve">around </w:t>
      </w:r>
      <w:r w:rsidR="006760BD" w:rsidRPr="00F20CCC">
        <w:rPr>
          <w:noProof/>
          <w:lang w:val="en-IE"/>
        </w:rPr>
        <w:t>9</w:t>
      </w:r>
      <w:r w:rsidR="00A27C55">
        <w:rPr>
          <w:noProof/>
          <w:lang w:val="en-IE"/>
        </w:rPr>
        <w:t>40</w:t>
      </w:r>
      <w:r w:rsidR="00561BF5">
        <w:rPr>
          <w:noProof/>
          <w:lang w:val="en-IE"/>
        </w:rPr>
        <w:t xml:space="preserve"> MtCO2-eq</w:t>
      </w:r>
      <w:r w:rsidR="006760BD">
        <w:rPr>
          <w:noProof/>
          <w:lang w:val="en-IE"/>
        </w:rPr>
        <w:t xml:space="preserve"> or </w:t>
      </w:r>
      <w:r w:rsidR="00CE1AD5" w:rsidRPr="00F20CCC">
        <w:rPr>
          <w:noProof/>
          <w:lang w:val="en-IE"/>
        </w:rPr>
        <w:t>8</w:t>
      </w:r>
      <w:r w:rsidR="00BF4A49">
        <w:rPr>
          <w:noProof/>
          <w:lang w:val="en-IE"/>
        </w:rPr>
        <w:t>0</w:t>
      </w:r>
      <w:r w:rsidR="00957FC3" w:rsidRPr="00561BF5">
        <w:rPr>
          <w:noProof/>
          <w:lang w:val="en-IE"/>
        </w:rPr>
        <w:t>%</w:t>
      </w:r>
      <w:r w:rsidR="004117CB">
        <w:rPr>
          <w:noProof/>
          <w:lang w:val="en-IE"/>
        </w:rPr>
        <w:t xml:space="preserve"> </w:t>
      </w:r>
      <w:r w:rsidR="00561BF5">
        <w:rPr>
          <w:noProof/>
          <w:lang w:val="en-IE"/>
        </w:rPr>
        <w:t>reduction compared to 1990.</w:t>
      </w:r>
      <w:r w:rsidR="00B31BFB">
        <w:rPr>
          <w:noProof/>
          <w:lang w:val="en-IE"/>
        </w:rPr>
        <w:t xml:space="preserve"> </w:t>
      </w:r>
      <w:r w:rsidR="00F81CC0">
        <w:rPr>
          <w:noProof/>
          <w:lang w:val="en-IE"/>
        </w:rPr>
        <w:t>Significant a</w:t>
      </w:r>
      <w:r>
        <w:rPr>
          <w:noProof/>
          <w:lang w:val="en-IE"/>
        </w:rPr>
        <w:t xml:space="preserve">dditional reductions </w:t>
      </w:r>
      <w:r w:rsidR="00F81CC0">
        <w:rPr>
          <w:noProof/>
          <w:lang w:val="en-IE"/>
        </w:rPr>
        <w:t xml:space="preserve">with respect </w:t>
      </w:r>
      <w:r>
        <w:rPr>
          <w:noProof/>
          <w:lang w:val="en-IE"/>
        </w:rPr>
        <w:t xml:space="preserve">to S1 take place notably in power </w:t>
      </w:r>
      <w:r w:rsidR="00E44F27">
        <w:rPr>
          <w:noProof/>
          <w:lang w:val="en-IE"/>
        </w:rPr>
        <w:t>and</w:t>
      </w:r>
      <w:r>
        <w:rPr>
          <w:noProof/>
          <w:lang w:val="en-IE"/>
        </w:rPr>
        <w:t xml:space="preserve"> heat</w:t>
      </w:r>
      <w:r w:rsidR="00216EF9">
        <w:rPr>
          <w:noProof/>
          <w:lang w:val="en-IE"/>
        </w:rPr>
        <w:t xml:space="preserve">, </w:t>
      </w:r>
      <w:r>
        <w:rPr>
          <w:noProof/>
          <w:lang w:val="en-IE"/>
        </w:rPr>
        <w:t>industry</w:t>
      </w:r>
      <w:r w:rsidR="00216EF9">
        <w:rPr>
          <w:noProof/>
          <w:lang w:val="en-IE"/>
        </w:rPr>
        <w:t xml:space="preserve"> and agriculture</w:t>
      </w:r>
      <w:r>
        <w:rPr>
          <w:noProof/>
          <w:lang w:val="en-IE"/>
        </w:rPr>
        <w:t xml:space="preserve">. </w:t>
      </w:r>
      <w:r w:rsidR="00B37905">
        <w:rPr>
          <w:noProof/>
          <w:lang w:val="en-IE"/>
        </w:rPr>
        <w:t>The S3 scenario</w:t>
      </w:r>
      <w:r w:rsidR="00373CA6">
        <w:rPr>
          <w:noProof/>
          <w:lang w:val="en-IE"/>
        </w:rPr>
        <w:t xml:space="preserve"> </w:t>
      </w:r>
      <w:r w:rsidR="00176FAE">
        <w:rPr>
          <w:noProof/>
          <w:lang w:val="en-IE"/>
        </w:rPr>
        <w:t>achieve</w:t>
      </w:r>
      <w:r w:rsidR="00CF3409">
        <w:rPr>
          <w:noProof/>
          <w:lang w:val="en-IE"/>
        </w:rPr>
        <w:t>s</w:t>
      </w:r>
      <w:r w:rsidR="00176FAE">
        <w:rPr>
          <w:noProof/>
          <w:lang w:val="en-IE"/>
        </w:rPr>
        <w:t xml:space="preserve"> a reduction of </w:t>
      </w:r>
      <w:r w:rsidR="00EB5038">
        <w:rPr>
          <w:noProof/>
          <w:lang w:val="en-IE"/>
        </w:rPr>
        <w:t xml:space="preserve">around </w:t>
      </w:r>
      <w:r w:rsidR="00554613" w:rsidRPr="00F20CCC">
        <w:rPr>
          <w:noProof/>
          <w:lang w:val="en-IE"/>
        </w:rPr>
        <w:t>8</w:t>
      </w:r>
      <w:r w:rsidR="00F81CC0" w:rsidRPr="00F20CCC">
        <w:rPr>
          <w:noProof/>
          <w:lang w:val="en-IE"/>
        </w:rPr>
        <w:t>5%</w:t>
      </w:r>
      <w:r w:rsidR="00EB5038">
        <w:rPr>
          <w:noProof/>
          <w:lang w:val="en-IE"/>
        </w:rPr>
        <w:t xml:space="preserve"> in 2040</w:t>
      </w:r>
      <w:r w:rsidR="00F81CC0">
        <w:rPr>
          <w:noProof/>
          <w:lang w:val="en-IE"/>
        </w:rPr>
        <w:t xml:space="preserve">, </w:t>
      </w:r>
      <w:r>
        <w:rPr>
          <w:noProof/>
          <w:lang w:val="en-IE"/>
        </w:rPr>
        <w:t xml:space="preserve">driven by extra reductions to S2 </w:t>
      </w:r>
      <w:r w:rsidR="0085412F">
        <w:rPr>
          <w:noProof/>
          <w:lang w:val="en-IE"/>
        </w:rPr>
        <w:t xml:space="preserve">in all sectors, including </w:t>
      </w:r>
      <w:r>
        <w:rPr>
          <w:noProof/>
          <w:lang w:val="en-IE"/>
        </w:rPr>
        <w:t>the industry sector</w:t>
      </w:r>
      <w:r w:rsidR="00216EF9">
        <w:rPr>
          <w:noProof/>
          <w:lang w:val="en-IE"/>
        </w:rPr>
        <w:t xml:space="preserve">, </w:t>
      </w:r>
      <w:r w:rsidR="007927BE">
        <w:rPr>
          <w:noProof/>
          <w:lang w:val="en-IE"/>
        </w:rPr>
        <w:t xml:space="preserve">where they  </w:t>
      </w:r>
      <w:r w:rsidR="00CA0C62">
        <w:rPr>
          <w:noProof/>
          <w:lang w:val="en-IE"/>
        </w:rPr>
        <w:t>are</w:t>
      </w:r>
      <w:r w:rsidR="00CF3409">
        <w:rPr>
          <w:noProof/>
          <w:lang w:val="en-IE"/>
        </w:rPr>
        <w:t xml:space="preserve"> triggered by </w:t>
      </w:r>
      <w:r>
        <w:rPr>
          <w:noProof/>
          <w:lang w:val="en-IE"/>
        </w:rPr>
        <w:t xml:space="preserve">higher recourse to </w:t>
      </w:r>
      <w:r w:rsidR="00CF3409">
        <w:rPr>
          <w:noProof/>
          <w:lang w:val="en-IE"/>
        </w:rPr>
        <w:t xml:space="preserve">carbon capture </w:t>
      </w:r>
      <w:r w:rsidR="00216EF9">
        <w:rPr>
          <w:noProof/>
          <w:lang w:val="en-IE"/>
        </w:rPr>
        <w:t xml:space="preserve">and storage </w:t>
      </w:r>
      <w:r w:rsidR="000A0881">
        <w:rPr>
          <w:noProof/>
          <w:lang w:val="en-IE"/>
        </w:rPr>
        <w:t>of fossil fuels</w:t>
      </w:r>
      <w:r w:rsidR="00CF3409">
        <w:rPr>
          <w:noProof/>
          <w:lang w:val="en-IE"/>
        </w:rPr>
        <w:t xml:space="preserve"> (see </w:t>
      </w:r>
      <w:r w:rsidR="00CF3409" w:rsidRPr="003A6A99">
        <w:rPr>
          <w:noProof/>
          <w:lang w:val="en-IE"/>
        </w:rPr>
        <w:t xml:space="preserve">section </w:t>
      </w:r>
      <w:r w:rsidR="00F81CC0" w:rsidRPr="00A2274D">
        <w:rPr>
          <w:noProof/>
          <w:lang w:val="en-IE"/>
        </w:rPr>
        <w:fldChar w:fldCharType="begin"/>
      </w:r>
      <w:r w:rsidR="00F81CC0" w:rsidRPr="00F20CCC">
        <w:rPr>
          <w:noProof/>
          <w:lang w:val="en-IE"/>
        </w:rPr>
        <w:instrText xml:space="preserve"> REF _Ref141910741 \r \h </w:instrText>
      </w:r>
      <w:r w:rsidR="00F20CCC">
        <w:rPr>
          <w:noProof/>
          <w:lang w:val="en-IE"/>
        </w:rPr>
        <w:instrText xml:space="preserve"> \* MERGEFORMAT </w:instrText>
      </w:r>
      <w:r w:rsidR="00F81CC0" w:rsidRPr="00A2274D">
        <w:rPr>
          <w:noProof/>
          <w:lang w:val="en-IE"/>
        </w:rPr>
      </w:r>
      <w:r w:rsidR="00F81CC0" w:rsidRPr="00A2274D">
        <w:rPr>
          <w:noProof/>
          <w:lang w:val="en-IE"/>
        </w:rPr>
        <w:fldChar w:fldCharType="separate"/>
      </w:r>
      <w:r w:rsidR="00170A3C">
        <w:rPr>
          <w:noProof/>
          <w:lang w:val="en-IE"/>
        </w:rPr>
        <w:t>1.1.3.2</w:t>
      </w:r>
      <w:r w:rsidR="00F81CC0" w:rsidRPr="00A2274D">
        <w:rPr>
          <w:noProof/>
          <w:lang w:val="en-IE"/>
        </w:rPr>
        <w:fldChar w:fldCharType="end"/>
      </w:r>
      <w:r w:rsidR="00F81CC0">
        <w:rPr>
          <w:noProof/>
          <w:lang w:val="en-IE"/>
        </w:rPr>
        <w:t>)</w:t>
      </w:r>
      <w:r w:rsidR="0085412F">
        <w:rPr>
          <w:noProof/>
          <w:lang w:val="en-IE"/>
        </w:rPr>
        <w:t>,</w:t>
      </w:r>
      <w:r>
        <w:rPr>
          <w:noProof/>
          <w:lang w:val="en-IE"/>
        </w:rPr>
        <w:t xml:space="preserve"> </w:t>
      </w:r>
      <w:r w:rsidR="00126123">
        <w:rPr>
          <w:noProof/>
          <w:lang w:val="en-IE"/>
        </w:rPr>
        <w:t>the power system, buildings and transport</w:t>
      </w:r>
      <w:r w:rsidR="002438C5">
        <w:rPr>
          <w:noProof/>
          <w:lang w:val="en-IE"/>
        </w:rPr>
        <w:t xml:space="preserve">. </w:t>
      </w:r>
      <w:r w:rsidR="00777304">
        <w:rPr>
          <w:noProof/>
          <w:lang w:val="en-IE"/>
        </w:rPr>
        <w:t>LIFE</w:t>
      </w:r>
      <w:r w:rsidR="00C831A6">
        <w:rPr>
          <w:noProof/>
          <w:lang w:val="en-IE"/>
        </w:rPr>
        <w:t xml:space="preserve">, which aims at the same overall reduction as S3, </w:t>
      </w:r>
      <w:r w:rsidR="00777304">
        <w:rPr>
          <w:noProof/>
          <w:lang w:val="en-IE"/>
        </w:rPr>
        <w:t>redistribute</w:t>
      </w:r>
      <w:r w:rsidR="00CA0C62">
        <w:rPr>
          <w:noProof/>
          <w:lang w:val="en-IE"/>
        </w:rPr>
        <w:t>s</w:t>
      </w:r>
      <w:r w:rsidR="00777304">
        <w:rPr>
          <w:noProof/>
          <w:lang w:val="en-IE"/>
        </w:rPr>
        <w:t xml:space="preserve"> gross emissions across the different sectors. While energy and industry sectors reduce to a level intermediate between S2 and S3, mostly due to a lower use of e-fuels and DACC, agriculture emissions reduce more than in S3.</w:t>
      </w:r>
    </w:p>
    <w:p w14:paraId="327F1E23" w14:textId="6162B300" w:rsidR="00343DE9" w:rsidRDefault="00343DE9" w:rsidP="00B610A2">
      <w:pPr>
        <w:pStyle w:val="Caption"/>
        <w:rPr>
          <w:noProof/>
        </w:rPr>
      </w:pPr>
      <w:bookmarkStart w:id="33" w:name="_Ref139989158"/>
      <w:bookmarkStart w:id="34" w:name="_Toc157679886"/>
      <w:r>
        <w:rPr>
          <w:noProof/>
        </w:rPr>
        <w:t xml:space="preserve">Table </w:t>
      </w:r>
      <w:r>
        <w:rPr>
          <w:noProof/>
          <w:color w:val="2B579A"/>
          <w:shd w:val="clear" w:color="auto" w:fill="E6E6E6"/>
        </w:rPr>
        <w:fldChar w:fldCharType="begin"/>
      </w:r>
      <w:r>
        <w:rPr>
          <w:noProof/>
        </w:rPr>
        <w:instrText>SEQ Table \* ARABIC</w:instrText>
      </w:r>
      <w:r>
        <w:rPr>
          <w:noProof/>
          <w:color w:val="2B579A"/>
          <w:shd w:val="clear" w:color="auto" w:fill="E6E6E6"/>
        </w:rPr>
        <w:fldChar w:fldCharType="separate"/>
      </w:r>
      <w:r w:rsidR="00170A3C">
        <w:rPr>
          <w:noProof/>
        </w:rPr>
        <w:t>3</w:t>
      </w:r>
      <w:r>
        <w:rPr>
          <w:noProof/>
          <w:color w:val="2B579A"/>
          <w:shd w:val="clear" w:color="auto" w:fill="E6E6E6"/>
        </w:rPr>
        <w:fldChar w:fldCharType="end"/>
      </w:r>
      <w:bookmarkEnd w:id="33"/>
      <w:r>
        <w:rPr>
          <w:noProof/>
        </w:rPr>
        <w:t xml:space="preserve">: </w:t>
      </w:r>
      <w:r w:rsidR="00A7093F">
        <w:rPr>
          <w:noProof/>
        </w:rPr>
        <w:t>Gross</w:t>
      </w:r>
      <w:r>
        <w:rPr>
          <w:noProof/>
        </w:rPr>
        <w:t xml:space="preserve"> GHG emissions</w:t>
      </w:r>
      <w:bookmarkEnd w:id="34"/>
    </w:p>
    <w:tbl>
      <w:tblPr>
        <w:tblStyle w:val="CV11"/>
        <w:tblW w:w="5000" w:type="pct"/>
        <w:tblLayout w:type="fixed"/>
        <w:tblLook w:val="04A0" w:firstRow="1" w:lastRow="0" w:firstColumn="1" w:lastColumn="0" w:noHBand="0" w:noVBand="1"/>
      </w:tblPr>
      <w:tblGrid>
        <w:gridCol w:w="1331"/>
        <w:gridCol w:w="1173"/>
        <w:gridCol w:w="624"/>
        <w:gridCol w:w="624"/>
        <w:gridCol w:w="624"/>
        <w:gridCol w:w="625"/>
        <w:gridCol w:w="548"/>
        <w:gridCol w:w="549"/>
        <w:gridCol w:w="549"/>
        <w:gridCol w:w="548"/>
        <w:gridCol w:w="549"/>
        <w:gridCol w:w="549"/>
        <w:gridCol w:w="541"/>
      </w:tblGrid>
      <w:tr w:rsidR="00CB610B" w:rsidRPr="00CF224E" w14:paraId="16CD5702" w14:textId="77777777" w:rsidTr="00D25FC1">
        <w:trPr>
          <w:trHeight w:val="288"/>
        </w:trPr>
        <w:tc>
          <w:tcPr>
            <w:tcW w:w="1417" w:type="pct"/>
            <w:gridSpan w:val="2"/>
            <w:noWrap/>
            <w:vAlign w:val="center"/>
          </w:tcPr>
          <w:p w14:paraId="7569D2B1" w14:textId="77777777" w:rsidR="00CB610B" w:rsidRPr="00CF224E" w:rsidRDefault="00CB610B" w:rsidP="006079FA">
            <w:pPr>
              <w:keepNext/>
              <w:keepLines/>
              <w:spacing w:after="0"/>
              <w:jc w:val="left"/>
              <w:rPr>
                <w:rFonts w:ascii="Calibri" w:eastAsia="Times New Roman" w:hAnsi="Calibri" w:cs="Calibri"/>
                <w:noProof/>
                <w:sz w:val="18"/>
                <w:szCs w:val="18"/>
                <w:lang w:val="en-IE"/>
              </w:rPr>
            </w:pPr>
            <w:r w:rsidRPr="00CF224E">
              <w:rPr>
                <w:rFonts w:ascii="Calibri" w:eastAsia="Times New Roman" w:hAnsi="Calibri" w:cs="Calibri"/>
                <w:b/>
                <w:noProof/>
                <w:color w:val="000000"/>
                <w:sz w:val="18"/>
                <w:szCs w:val="18"/>
                <w:lang w:val="en-IE"/>
              </w:rPr>
              <w:t> </w:t>
            </w:r>
            <w:r w:rsidRPr="00CF224E">
              <w:rPr>
                <w:rFonts w:ascii="EC Square Sans Cond Pro" w:eastAsia="Times New Roman" w:hAnsi="EC Square Sans Cond Pro" w:cstheme="minorHAnsi"/>
                <w:b/>
                <w:noProof/>
                <w:color w:val="000000"/>
                <w:sz w:val="18"/>
                <w:szCs w:val="18"/>
                <w:lang w:val="en-IE"/>
              </w:rPr>
              <w:t>MtCO2-eq</w:t>
            </w:r>
          </w:p>
        </w:tc>
        <w:tc>
          <w:tcPr>
            <w:tcW w:w="353" w:type="pct"/>
            <w:noWrap/>
            <w:vAlign w:val="center"/>
          </w:tcPr>
          <w:p w14:paraId="77C4D36C" w14:textId="77777777" w:rsidR="00CB610B" w:rsidRPr="00CF224E" w:rsidRDefault="00CB610B" w:rsidP="006079FA">
            <w:pPr>
              <w:keepNext/>
              <w:keepLines/>
              <w:spacing w:after="0"/>
              <w:jc w:val="center"/>
              <w:rPr>
                <w:rFonts w:ascii="EC Square Sans Cond Pro" w:eastAsia="Times New Roman" w:hAnsi="EC Square Sans Cond Pro" w:cstheme="minorHAnsi"/>
                <w:b/>
                <w:bCs/>
                <w:noProof/>
                <w:sz w:val="16"/>
                <w:szCs w:val="16"/>
                <w:lang w:val="en-IE"/>
              </w:rPr>
            </w:pPr>
            <w:r w:rsidRPr="00CF224E">
              <w:rPr>
                <w:rFonts w:ascii="EC Square Sans Cond Pro" w:eastAsia="Times New Roman" w:hAnsi="EC Square Sans Cond Pro" w:cstheme="minorHAnsi"/>
                <w:b/>
                <w:bCs/>
                <w:noProof/>
                <w:sz w:val="16"/>
                <w:szCs w:val="16"/>
                <w:lang w:val="en-IE"/>
              </w:rPr>
              <w:t>2005</w:t>
            </w:r>
          </w:p>
        </w:tc>
        <w:tc>
          <w:tcPr>
            <w:tcW w:w="353" w:type="pct"/>
            <w:noWrap/>
            <w:vAlign w:val="center"/>
          </w:tcPr>
          <w:p w14:paraId="54EFD1A4" w14:textId="77777777" w:rsidR="00CB610B" w:rsidRPr="00CF224E" w:rsidRDefault="00CB610B" w:rsidP="006079FA">
            <w:pPr>
              <w:keepNext/>
              <w:keepLines/>
              <w:spacing w:after="0"/>
              <w:jc w:val="center"/>
              <w:rPr>
                <w:rFonts w:ascii="EC Square Sans Cond Pro" w:eastAsia="Times New Roman" w:hAnsi="EC Square Sans Cond Pro" w:cstheme="minorHAnsi"/>
                <w:b/>
                <w:bCs/>
                <w:noProof/>
                <w:sz w:val="16"/>
                <w:szCs w:val="16"/>
                <w:lang w:val="en-IE"/>
              </w:rPr>
            </w:pPr>
            <w:r w:rsidRPr="00CF224E">
              <w:rPr>
                <w:rFonts w:ascii="EC Square Sans Cond Pro" w:eastAsia="Times New Roman" w:hAnsi="EC Square Sans Cond Pro" w:cstheme="minorHAnsi"/>
                <w:b/>
                <w:bCs/>
                <w:noProof/>
                <w:sz w:val="16"/>
                <w:szCs w:val="16"/>
                <w:lang w:val="en-IE"/>
              </w:rPr>
              <w:t>2015</w:t>
            </w:r>
          </w:p>
        </w:tc>
        <w:tc>
          <w:tcPr>
            <w:tcW w:w="353" w:type="pct"/>
            <w:noWrap/>
            <w:vAlign w:val="center"/>
          </w:tcPr>
          <w:p w14:paraId="0F4A60B7" w14:textId="77777777" w:rsidR="00CB610B" w:rsidRPr="00CF224E" w:rsidRDefault="00CB610B" w:rsidP="006079FA">
            <w:pPr>
              <w:keepNext/>
              <w:keepLines/>
              <w:spacing w:after="0"/>
              <w:jc w:val="center"/>
              <w:rPr>
                <w:rFonts w:ascii="EC Square Sans Cond Pro" w:eastAsia="Times New Roman" w:hAnsi="EC Square Sans Cond Pro" w:cstheme="minorHAnsi"/>
                <w:b/>
                <w:bCs/>
                <w:noProof/>
                <w:sz w:val="16"/>
                <w:szCs w:val="16"/>
                <w:lang w:val="en-IE"/>
              </w:rPr>
            </w:pPr>
            <w:r w:rsidRPr="00CF224E">
              <w:rPr>
                <w:rFonts w:ascii="EC Square Sans Cond Pro" w:eastAsia="Times New Roman" w:hAnsi="EC Square Sans Cond Pro" w:cstheme="minorHAnsi"/>
                <w:b/>
                <w:bCs/>
                <w:noProof/>
                <w:sz w:val="16"/>
                <w:szCs w:val="16"/>
                <w:lang w:val="en-IE"/>
              </w:rPr>
              <w:t>2030</w:t>
            </w:r>
          </w:p>
        </w:tc>
        <w:tc>
          <w:tcPr>
            <w:tcW w:w="1285" w:type="pct"/>
            <w:gridSpan w:val="4"/>
            <w:noWrap/>
            <w:vAlign w:val="center"/>
          </w:tcPr>
          <w:p w14:paraId="3E0FD80D" w14:textId="46AA1095" w:rsidR="00CB610B" w:rsidRPr="00CB610B" w:rsidRDefault="00CB610B" w:rsidP="006079FA">
            <w:pPr>
              <w:keepNext/>
              <w:keepLines/>
              <w:spacing w:after="0"/>
              <w:jc w:val="center"/>
              <w:rPr>
                <w:rFonts w:ascii="EC Square Sans Cond Pro" w:eastAsia="Times New Roman" w:hAnsi="EC Square Sans Cond Pro" w:cstheme="minorHAnsi"/>
                <w:b/>
                <w:iCs/>
                <w:noProof/>
                <w:sz w:val="16"/>
                <w:szCs w:val="16"/>
                <w:lang w:val="en-IE"/>
              </w:rPr>
            </w:pPr>
            <w:r w:rsidRPr="00CB610B">
              <w:rPr>
                <w:rFonts w:ascii="EC Square Sans Cond Pro" w:eastAsia="Times New Roman" w:hAnsi="EC Square Sans Cond Pro" w:cstheme="minorHAnsi"/>
                <w:b/>
                <w:iCs/>
                <w:noProof/>
                <w:sz w:val="16"/>
                <w:szCs w:val="16"/>
                <w:lang w:val="en-IE"/>
              </w:rPr>
              <w:t>2040</w:t>
            </w:r>
          </w:p>
        </w:tc>
        <w:tc>
          <w:tcPr>
            <w:tcW w:w="1238" w:type="pct"/>
            <w:gridSpan w:val="4"/>
            <w:vAlign w:val="center"/>
          </w:tcPr>
          <w:p w14:paraId="2AC65C3D" w14:textId="17607B6B" w:rsidR="00CB610B" w:rsidRPr="00CB610B" w:rsidRDefault="00CB610B" w:rsidP="006079FA">
            <w:pPr>
              <w:keepNext/>
              <w:keepLines/>
              <w:spacing w:after="0"/>
              <w:jc w:val="center"/>
              <w:rPr>
                <w:rFonts w:ascii="EC Square Sans Cond Pro" w:eastAsia="Times New Roman" w:hAnsi="EC Square Sans Cond Pro" w:cstheme="minorHAnsi"/>
                <w:b/>
                <w:iCs/>
                <w:noProof/>
                <w:sz w:val="16"/>
                <w:szCs w:val="16"/>
                <w:lang w:val="en-IE"/>
              </w:rPr>
            </w:pPr>
            <w:r w:rsidRPr="00CB610B">
              <w:rPr>
                <w:rFonts w:ascii="EC Square Sans Cond Pro" w:eastAsia="Times New Roman" w:hAnsi="EC Square Sans Cond Pro" w:cstheme="minorHAnsi"/>
                <w:b/>
                <w:iCs/>
                <w:noProof/>
                <w:sz w:val="16"/>
                <w:szCs w:val="16"/>
                <w:lang w:val="en-IE"/>
              </w:rPr>
              <w:t>2050</w:t>
            </w:r>
          </w:p>
        </w:tc>
      </w:tr>
      <w:tr w:rsidR="009401C3" w:rsidRPr="00CF224E" w14:paraId="3BB07490" w14:textId="77777777" w:rsidTr="00D25FC1">
        <w:trPr>
          <w:trHeight w:val="288"/>
        </w:trPr>
        <w:tc>
          <w:tcPr>
            <w:tcW w:w="1417" w:type="pct"/>
            <w:gridSpan w:val="2"/>
            <w:noWrap/>
            <w:vAlign w:val="center"/>
            <w:hideMark/>
          </w:tcPr>
          <w:p w14:paraId="5E8FA474" w14:textId="77777777" w:rsidR="009401C3" w:rsidRPr="00CF224E" w:rsidRDefault="009401C3" w:rsidP="006079FA">
            <w:pPr>
              <w:keepNext/>
              <w:keepLines/>
              <w:spacing w:after="0"/>
              <w:jc w:val="left"/>
              <w:rPr>
                <w:rFonts w:ascii="EC Square Sans Cond Pro" w:eastAsia="Times New Roman" w:hAnsi="EC Square Sans Cond Pro" w:cstheme="minorHAnsi"/>
                <w:noProof/>
                <w:sz w:val="18"/>
                <w:szCs w:val="18"/>
                <w:lang w:val="en-IE"/>
              </w:rPr>
            </w:pPr>
            <w:r w:rsidRPr="00CF224E">
              <w:rPr>
                <w:rFonts w:ascii="Calibri" w:eastAsia="Times New Roman" w:hAnsi="Calibri" w:cs="Calibri"/>
                <w:noProof/>
                <w:sz w:val="18"/>
                <w:szCs w:val="18"/>
                <w:lang w:val="en-IE"/>
              </w:rPr>
              <w:t> </w:t>
            </w:r>
          </w:p>
        </w:tc>
        <w:tc>
          <w:tcPr>
            <w:tcW w:w="353" w:type="pct"/>
            <w:noWrap/>
            <w:vAlign w:val="center"/>
            <w:hideMark/>
          </w:tcPr>
          <w:p w14:paraId="47A4EB97"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6"/>
                <w:szCs w:val="16"/>
                <w:lang w:val="en-IE"/>
              </w:rPr>
            </w:pPr>
          </w:p>
        </w:tc>
        <w:tc>
          <w:tcPr>
            <w:tcW w:w="353" w:type="pct"/>
            <w:noWrap/>
            <w:vAlign w:val="center"/>
            <w:hideMark/>
          </w:tcPr>
          <w:p w14:paraId="1CEEE22A"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6"/>
                <w:szCs w:val="16"/>
                <w:lang w:val="en-IE"/>
              </w:rPr>
            </w:pPr>
          </w:p>
        </w:tc>
        <w:tc>
          <w:tcPr>
            <w:tcW w:w="353" w:type="pct"/>
            <w:noWrap/>
            <w:vAlign w:val="center"/>
            <w:hideMark/>
          </w:tcPr>
          <w:p w14:paraId="136724BA" w14:textId="77777777" w:rsidR="009401C3" w:rsidRPr="00CF224E" w:rsidRDefault="009401C3" w:rsidP="006079FA">
            <w:pPr>
              <w:keepNext/>
              <w:keepLines/>
              <w:spacing w:after="0"/>
              <w:jc w:val="center"/>
              <w:rPr>
                <w:rFonts w:ascii="EC Square Sans Cond Pro" w:eastAsia="Times New Roman" w:hAnsi="EC Square Sans Cond Pro" w:cstheme="minorHAnsi"/>
                <w:b/>
                <w:noProof/>
                <w:sz w:val="16"/>
                <w:szCs w:val="16"/>
                <w:lang w:val="en-IE"/>
              </w:rPr>
            </w:pPr>
          </w:p>
        </w:tc>
        <w:tc>
          <w:tcPr>
            <w:tcW w:w="354" w:type="pct"/>
            <w:tcBorders>
              <w:right w:val="dotted" w:sz="4" w:space="0" w:color="auto"/>
            </w:tcBorders>
            <w:noWrap/>
            <w:vAlign w:val="center"/>
            <w:hideMark/>
          </w:tcPr>
          <w:p w14:paraId="76F8A146" w14:textId="77777777" w:rsidR="009401C3" w:rsidRPr="00CF224E" w:rsidRDefault="009401C3" w:rsidP="006079FA">
            <w:pPr>
              <w:keepNext/>
              <w:keepLines/>
              <w:spacing w:after="0"/>
              <w:jc w:val="center"/>
              <w:rPr>
                <w:rFonts w:ascii="EC Square Sans Cond Pro" w:eastAsia="Times New Roman" w:hAnsi="EC Square Sans Cond Pro" w:cstheme="minorHAnsi"/>
                <w:b/>
                <w:noProof/>
                <w:sz w:val="16"/>
                <w:szCs w:val="16"/>
                <w:lang w:val="en-IE"/>
              </w:rPr>
            </w:pPr>
            <w:r w:rsidRPr="00CF224E">
              <w:rPr>
                <w:rFonts w:ascii="EC Square Sans Cond Pro" w:eastAsia="Times New Roman" w:hAnsi="EC Square Sans Cond Pro" w:cstheme="minorHAnsi"/>
                <w:b/>
                <w:noProof/>
                <w:sz w:val="16"/>
                <w:szCs w:val="16"/>
                <w:lang w:val="en-IE"/>
              </w:rPr>
              <w:t>S1</w:t>
            </w:r>
          </w:p>
        </w:tc>
        <w:tc>
          <w:tcPr>
            <w:tcW w:w="310" w:type="pct"/>
            <w:tcBorders>
              <w:left w:val="dotted" w:sz="4" w:space="0" w:color="auto"/>
              <w:right w:val="dotted" w:sz="4" w:space="0" w:color="auto"/>
            </w:tcBorders>
            <w:noWrap/>
            <w:vAlign w:val="center"/>
            <w:hideMark/>
          </w:tcPr>
          <w:p w14:paraId="3B4FF2FD" w14:textId="77777777" w:rsidR="009401C3" w:rsidRPr="00CF224E" w:rsidRDefault="009401C3" w:rsidP="006079FA">
            <w:pPr>
              <w:keepNext/>
              <w:keepLines/>
              <w:spacing w:after="0"/>
              <w:jc w:val="center"/>
              <w:rPr>
                <w:rFonts w:ascii="EC Square Sans Cond Pro" w:eastAsia="Times New Roman" w:hAnsi="EC Square Sans Cond Pro" w:cstheme="minorHAnsi"/>
                <w:b/>
                <w:noProof/>
                <w:sz w:val="16"/>
                <w:szCs w:val="16"/>
                <w:lang w:val="en-IE"/>
              </w:rPr>
            </w:pPr>
            <w:r w:rsidRPr="00CF224E">
              <w:rPr>
                <w:rFonts w:ascii="EC Square Sans Cond Pro" w:eastAsia="Times New Roman" w:hAnsi="EC Square Sans Cond Pro" w:cstheme="minorHAnsi"/>
                <w:b/>
                <w:noProof/>
                <w:sz w:val="16"/>
                <w:szCs w:val="16"/>
                <w:lang w:val="en-IE"/>
              </w:rPr>
              <w:t>S2</w:t>
            </w:r>
          </w:p>
        </w:tc>
        <w:tc>
          <w:tcPr>
            <w:tcW w:w="311" w:type="pct"/>
            <w:tcBorders>
              <w:left w:val="dotted" w:sz="4" w:space="0" w:color="auto"/>
              <w:right w:val="dotted" w:sz="4" w:space="0" w:color="auto"/>
            </w:tcBorders>
            <w:noWrap/>
            <w:vAlign w:val="center"/>
            <w:hideMark/>
          </w:tcPr>
          <w:p w14:paraId="0529B7CB" w14:textId="77777777" w:rsidR="009401C3" w:rsidRPr="00CF224E" w:rsidRDefault="009401C3" w:rsidP="006079FA">
            <w:pPr>
              <w:keepNext/>
              <w:keepLines/>
              <w:spacing w:after="0"/>
              <w:jc w:val="center"/>
              <w:rPr>
                <w:rFonts w:ascii="EC Square Sans Cond Pro" w:eastAsia="Times New Roman" w:hAnsi="EC Square Sans Cond Pro" w:cstheme="minorHAnsi"/>
                <w:b/>
                <w:noProof/>
                <w:sz w:val="16"/>
                <w:szCs w:val="16"/>
                <w:lang w:val="en-IE"/>
              </w:rPr>
            </w:pPr>
            <w:r w:rsidRPr="00CF224E">
              <w:rPr>
                <w:rFonts w:ascii="EC Square Sans Cond Pro" w:eastAsia="Times New Roman" w:hAnsi="EC Square Sans Cond Pro" w:cstheme="minorHAnsi"/>
                <w:b/>
                <w:noProof/>
                <w:sz w:val="16"/>
                <w:szCs w:val="16"/>
                <w:lang w:val="en-IE"/>
              </w:rPr>
              <w:t>S3</w:t>
            </w:r>
          </w:p>
        </w:tc>
        <w:tc>
          <w:tcPr>
            <w:tcW w:w="311" w:type="pct"/>
            <w:tcBorders>
              <w:left w:val="dotted" w:sz="4" w:space="0" w:color="auto"/>
            </w:tcBorders>
            <w:noWrap/>
            <w:vAlign w:val="center"/>
            <w:hideMark/>
          </w:tcPr>
          <w:p w14:paraId="2C7C9F18" w14:textId="77777777" w:rsidR="009401C3" w:rsidRPr="00CF224E" w:rsidRDefault="009401C3" w:rsidP="006079FA">
            <w:pPr>
              <w:keepNext/>
              <w:keepLines/>
              <w:spacing w:after="0"/>
              <w:jc w:val="center"/>
              <w:rPr>
                <w:rFonts w:ascii="EC Square Sans Cond Pro" w:eastAsia="Times New Roman" w:hAnsi="EC Square Sans Cond Pro" w:cstheme="minorHAnsi"/>
                <w:b/>
                <w:i/>
                <w:noProof/>
                <w:sz w:val="16"/>
                <w:szCs w:val="16"/>
                <w:lang w:val="en-IE"/>
              </w:rPr>
            </w:pPr>
            <w:r w:rsidRPr="00CF224E">
              <w:rPr>
                <w:rFonts w:ascii="EC Square Sans Cond Pro" w:eastAsia="Times New Roman" w:hAnsi="EC Square Sans Cond Pro" w:cstheme="minorHAnsi"/>
                <w:b/>
                <w:i/>
                <w:noProof/>
                <w:sz w:val="16"/>
                <w:szCs w:val="16"/>
                <w:lang w:val="en-IE"/>
              </w:rPr>
              <w:t>LIFE</w:t>
            </w:r>
          </w:p>
        </w:tc>
        <w:tc>
          <w:tcPr>
            <w:tcW w:w="310" w:type="pct"/>
            <w:tcBorders>
              <w:right w:val="dotted" w:sz="4" w:space="0" w:color="auto"/>
            </w:tcBorders>
            <w:vAlign w:val="center"/>
          </w:tcPr>
          <w:p w14:paraId="43F025F9" w14:textId="77777777" w:rsidR="009401C3" w:rsidRPr="00CF224E" w:rsidRDefault="009401C3" w:rsidP="006079FA">
            <w:pPr>
              <w:keepNext/>
              <w:keepLines/>
              <w:spacing w:after="0"/>
              <w:jc w:val="center"/>
              <w:rPr>
                <w:rFonts w:ascii="EC Square Sans Cond Pro" w:eastAsia="Times New Roman" w:hAnsi="EC Square Sans Cond Pro" w:cstheme="minorHAnsi"/>
                <w:b/>
                <w:noProof/>
                <w:sz w:val="16"/>
                <w:szCs w:val="16"/>
                <w:lang w:val="en-IE"/>
              </w:rPr>
            </w:pPr>
            <w:r w:rsidRPr="00CF224E">
              <w:rPr>
                <w:rFonts w:ascii="EC Square Sans Cond Pro" w:eastAsia="Times New Roman" w:hAnsi="EC Square Sans Cond Pro" w:cstheme="minorHAnsi"/>
                <w:b/>
                <w:noProof/>
                <w:sz w:val="16"/>
                <w:szCs w:val="16"/>
                <w:lang w:val="en-IE"/>
              </w:rPr>
              <w:t>S1</w:t>
            </w:r>
          </w:p>
        </w:tc>
        <w:tc>
          <w:tcPr>
            <w:tcW w:w="311" w:type="pct"/>
            <w:tcBorders>
              <w:left w:val="dotted" w:sz="4" w:space="0" w:color="auto"/>
              <w:right w:val="dotted" w:sz="4" w:space="0" w:color="auto"/>
            </w:tcBorders>
            <w:vAlign w:val="center"/>
          </w:tcPr>
          <w:p w14:paraId="6EED9B85" w14:textId="77777777" w:rsidR="009401C3" w:rsidRPr="00CF224E" w:rsidRDefault="009401C3" w:rsidP="006079FA">
            <w:pPr>
              <w:keepNext/>
              <w:keepLines/>
              <w:spacing w:after="0"/>
              <w:jc w:val="center"/>
              <w:rPr>
                <w:rFonts w:ascii="EC Square Sans Cond Pro" w:eastAsia="Times New Roman" w:hAnsi="EC Square Sans Cond Pro" w:cstheme="minorHAnsi"/>
                <w:b/>
                <w:noProof/>
                <w:sz w:val="16"/>
                <w:szCs w:val="16"/>
                <w:lang w:val="en-IE"/>
              </w:rPr>
            </w:pPr>
            <w:r w:rsidRPr="00CF224E">
              <w:rPr>
                <w:rFonts w:ascii="EC Square Sans Cond Pro" w:eastAsia="Times New Roman" w:hAnsi="EC Square Sans Cond Pro" w:cstheme="minorHAnsi"/>
                <w:b/>
                <w:noProof/>
                <w:sz w:val="16"/>
                <w:szCs w:val="16"/>
                <w:lang w:val="en-IE"/>
              </w:rPr>
              <w:t>S2</w:t>
            </w:r>
          </w:p>
        </w:tc>
        <w:tc>
          <w:tcPr>
            <w:tcW w:w="311" w:type="pct"/>
            <w:tcBorders>
              <w:left w:val="dotted" w:sz="4" w:space="0" w:color="auto"/>
              <w:right w:val="dotted" w:sz="4" w:space="0" w:color="auto"/>
            </w:tcBorders>
            <w:noWrap/>
            <w:vAlign w:val="center"/>
            <w:hideMark/>
          </w:tcPr>
          <w:p w14:paraId="2C7423E5" w14:textId="77777777" w:rsidR="009401C3" w:rsidRPr="00CF224E" w:rsidRDefault="009401C3" w:rsidP="006079FA">
            <w:pPr>
              <w:keepNext/>
              <w:keepLines/>
              <w:spacing w:after="0"/>
              <w:jc w:val="center"/>
              <w:rPr>
                <w:rFonts w:ascii="EC Square Sans Cond Pro" w:eastAsia="Times New Roman" w:hAnsi="EC Square Sans Cond Pro" w:cstheme="minorHAnsi"/>
                <w:b/>
                <w:noProof/>
                <w:sz w:val="16"/>
                <w:szCs w:val="16"/>
                <w:lang w:val="en-IE"/>
              </w:rPr>
            </w:pPr>
            <w:r w:rsidRPr="00CF224E">
              <w:rPr>
                <w:rFonts w:ascii="EC Square Sans Cond Pro" w:eastAsia="Times New Roman" w:hAnsi="EC Square Sans Cond Pro" w:cstheme="minorHAnsi"/>
                <w:b/>
                <w:noProof/>
                <w:sz w:val="16"/>
                <w:szCs w:val="16"/>
                <w:lang w:val="en-IE"/>
              </w:rPr>
              <w:t>S3</w:t>
            </w:r>
          </w:p>
        </w:tc>
        <w:tc>
          <w:tcPr>
            <w:tcW w:w="307" w:type="pct"/>
            <w:tcBorders>
              <w:left w:val="dotted" w:sz="4" w:space="0" w:color="auto"/>
            </w:tcBorders>
            <w:noWrap/>
            <w:vAlign w:val="center"/>
            <w:hideMark/>
          </w:tcPr>
          <w:p w14:paraId="7E91D54A" w14:textId="77777777" w:rsidR="009401C3" w:rsidRPr="00CF224E" w:rsidRDefault="009401C3" w:rsidP="006079FA">
            <w:pPr>
              <w:keepNext/>
              <w:keepLines/>
              <w:spacing w:after="0"/>
              <w:jc w:val="center"/>
              <w:rPr>
                <w:rFonts w:ascii="EC Square Sans Cond Pro" w:eastAsia="Times New Roman" w:hAnsi="EC Square Sans Cond Pro" w:cstheme="minorHAnsi"/>
                <w:b/>
                <w:i/>
                <w:noProof/>
                <w:sz w:val="16"/>
                <w:szCs w:val="16"/>
                <w:lang w:val="en-IE"/>
              </w:rPr>
            </w:pPr>
            <w:r w:rsidRPr="00CF224E">
              <w:rPr>
                <w:rFonts w:ascii="EC Square Sans Cond Pro" w:eastAsia="Times New Roman" w:hAnsi="EC Square Sans Cond Pro" w:cstheme="minorHAnsi"/>
                <w:b/>
                <w:i/>
                <w:noProof/>
                <w:sz w:val="16"/>
                <w:szCs w:val="16"/>
                <w:lang w:val="en-IE"/>
              </w:rPr>
              <w:t>LIFE</w:t>
            </w:r>
          </w:p>
        </w:tc>
      </w:tr>
      <w:tr w:rsidR="009401C3" w:rsidRPr="00CF224E" w14:paraId="257D4A56" w14:textId="77777777" w:rsidTr="00D25FC1">
        <w:trPr>
          <w:trHeight w:val="288"/>
        </w:trPr>
        <w:tc>
          <w:tcPr>
            <w:tcW w:w="1417" w:type="pct"/>
            <w:gridSpan w:val="2"/>
            <w:noWrap/>
            <w:vAlign w:val="center"/>
            <w:hideMark/>
          </w:tcPr>
          <w:p w14:paraId="7B749BBD" w14:textId="77777777" w:rsidR="009401C3" w:rsidRPr="00CF224E" w:rsidRDefault="009401C3" w:rsidP="006079FA">
            <w:pPr>
              <w:keepNext/>
              <w:keepLines/>
              <w:spacing w:after="0"/>
              <w:jc w:val="left"/>
              <w:rPr>
                <w:rFonts w:ascii="EC Square Sans Cond Pro" w:eastAsia="Times New Roman" w:hAnsi="EC Square Sans Cond Pro" w:cstheme="minorHAnsi"/>
                <w:b/>
                <w:noProof/>
                <w:sz w:val="18"/>
                <w:szCs w:val="18"/>
                <w:lang w:val="en-IE"/>
              </w:rPr>
            </w:pPr>
            <w:r w:rsidRPr="00CF224E">
              <w:rPr>
                <w:rFonts w:ascii="EC Square Sans Cond Pro" w:eastAsia="Times New Roman" w:hAnsi="EC Square Sans Cond Pro" w:cstheme="minorHAnsi"/>
                <w:b/>
                <w:noProof/>
                <w:sz w:val="18"/>
                <w:szCs w:val="18"/>
                <w:lang w:val="en-IE"/>
              </w:rPr>
              <w:t>Total Gross GHG Emissions</w:t>
            </w:r>
          </w:p>
        </w:tc>
        <w:tc>
          <w:tcPr>
            <w:tcW w:w="353" w:type="pct"/>
            <w:noWrap/>
            <w:vAlign w:val="center"/>
            <w:hideMark/>
          </w:tcPr>
          <w:p w14:paraId="4387A349" w14:textId="77777777" w:rsidR="009401C3" w:rsidRPr="00CF224E" w:rsidRDefault="009401C3" w:rsidP="006079FA">
            <w:pPr>
              <w:keepNext/>
              <w:keepLines/>
              <w:spacing w:after="0"/>
              <w:jc w:val="center"/>
              <w:rPr>
                <w:rFonts w:ascii="EC Square Sans Cond Pro" w:eastAsia="Times New Roman" w:hAnsi="EC Square Sans Cond Pro" w:cstheme="minorHAnsi"/>
                <w:b/>
                <w:noProof/>
                <w:color w:val="000000"/>
                <w:sz w:val="16"/>
                <w:szCs w:val="16"/>
                <w:lang w:val="en-IE"/>
              </w:rPr>
            </w:pPr>
            <w:r w:rsidRPr="00CF224E">
              <w:rPr>
                <w:rFonts w:ascii="EC Square Sans Cond Pro" w:hAnsi="EC Square Sans Cond Pro" w:cstheme="minorHAnsi"/>
                <w:b/>
                <w:noProof/>
                <w:color w:val="000000"/>
                <w:sz w:val="16"/>
                <w:szCs w:val="16"/>
              </w:rPr>
              <w:t>4641</w:t>
            </w:r>
          </w:p>
        </w:tc>
        <w:tc>
          <w:tcPr>
            <w:tcW w:w="353" w:type="pct"/>
            <w:noWrap/>
            <w:vAlign w:val="center"/>
            <w:hideMark/>
          </w:tcPr>
          <w:p w14:paraId="45900AA6" w14:textId="77777777" w:rsidR="009401C3" w:rsidRPr="00CF224E" w:rsidRDefault="009401C3" w:rsidP="006079FA">
            <w:pPr>
              <w:keepNext/>
              <w:keepLines/>
              <w:spacing w:after="0"/>
              <w:jc w:val="center"/>
              <w:rPr>
                <w:rFonts w:ascii="EC Square Sans Cond Pro" w:eastAsia="Times New Roman" w:hAnsi="EC Square Sans Cond Pro" w:cstheme="minorHAnsi"/>
                <w:b/>
                <w:noProof/>
                <w:color w:val="000000"/>
                <w:sz w:val="16"/>
                <w:szCs w:val="16"/>
                <w:lang w:val="en-IE"/>
              </w:rPr>
            </w:pPr>
            <w:r w:rsidRPr="00CF224E">
              <w:rPr>
                <w:rFonts w:ascii="EC Square Sans Cond Pro" w:hAnsi="EC Square Sans Cond Pro" w:cstheme="minorHAnsi"/>
                <w:b/>
                <w:noProof/>
                <w:color w:val="000000"/>
                <w:sz w:val="16"/>
                <w:szCs w:val="16"/>
              </w:rPr>
              <w:t>3914</w:t>
            </w:r>
          </w:p>
        </w:tc>
        <w:tc>
          <w:tcPr>
            <w:tcW w:w="353" w:type="pct"/>
            <w:noWrap/>
            <w:vAlign w:val="center"/>
            <w:hideMark/>
          </w:tcPr>
          <w:p w14:paraId="41F5680F" w14:textId="77777777" w:rsidR="009401C3" w:rsidRPr="00CF224E" w:rsidRDefault="009401C3" w:rsidP="006079FA">
            <w:pPr>
              <w:keepNext/>
              <w:keepLines/>
              <w:spacing w:after="0"/>
              <w:jc w:val="center"/>
              <w:rPr>
                <w:rFonts w:ascii="EC Square Sans Cond Pro" w:eastAsia="Times New Roman" w:hAnsi="EC Square Sans Cond Pro" w:cstheme="minorHAnsi"/>
                <w:b/>
                <w:noProof/>
                <w:color w:val="000000"/>
                <w:sz w:val="16"/>
                <w:szCs w:val="16"/>
                <w:lang w:val="en-IE"/>
              </w:rPr>
            </w:pPr>
            <w:r w:rsidRPr="00CF224E">
              <w:rPr>
                <w:rFonts w:ascii="EC Square Sans Cond Pro" w:hAnsi="EC Square Sans Cond Pro" w:cstheme="minorHAnsi"/>
                <w:b/>
                <w:noProof/>
                <w:color w:val="000000"/>
                <w:sz w:val="16"/>
                <w:szCs w:val="16"/>
              </w:rPr>
              <w:t>2301</w:t>
            </w:r>
          </w:p>
        </w:tc>
        <w:tc>
          <w:tcPr>
            <w:tcW w:w="354" w:type="pct"/>
            <w:tcBorders>
              <w:right w:val="dotted" w:sz="4" w:space="0" w:color="auto"/>
            </w:tcBorders>
            <w:noWrap/>
            <w:vAlign w:val="center"/>
            <w:hideMark/>
          </w:tcPr>
          <w:p w14:paraId="7EA5D48C" w14:textId="77777777" w:rsidR="009401C3" w:rsidRPr="00CF224E" w:rsidRDefault="009401C3" w:rsidP="006079FA">
            <w:pPr>
              <w:keepNext/>
              <w:keepLines/>
              <w:spacing w:after="0"/>
              <w:jc w:val="center"/>
              <w:rPr>
                <w:rFonts w:ascii="EC Square Sans Cond Pro" w:eastAsia="Times New Roman" w:hAnsi="EC Square Sans Cond Pro" w:cstheme="minorHAnsi"/>
                <w:b/>
                <w:noProof/>
                <w:color w:val="000000"/>
                <w:sz w:val="16"/>
                <w:szCs w:val="16"/>
                <w:lang w:val="en-IE"/>
              </w:rPr>
            </w:pPr>
            <w:r w:rsidRPr="00CF224E">
              <w:rPr>
                <w:rFonts w:ascii="EC Square Sans Cond Pro" w:hAnsi="EC Square Sans Cond Pro" w:cstheme="minorHAnsi"/>
                <w:b/>
                <w:noProof/>
                <w:color w:val="000000"/>
                <w:sz w:val="16"/>
                <w:szCs w:val="16"/>
              </w:rPr>
              <w:t>1273</w:t>
            </w:r>
          </w:p>
        </w:tc>
        <w:tc>
          <w:tcPr>
            <w:tcW w:w="310" w:type="pct"/>
            <w:tcBorders>
              <w:left w:val="dotted" w:sz="4" w:space="0" w:color="auto"/>
              <w:right w:val="dotted" w:sz="4" w:space="0" w:color="auto"/>
            </w:tcBorders>
            <w:noWrap/>
            <w:vAlign w:val="center"/>
            <w:hideMark/>
          </w:tcPr>
          <w:p w14:paraId="3AD7FB8A" w14:textId="2F5AB02F" w:rsidR="009401C3" w:rsidRPr="00CF224E" w:rsidRDefault="009401C3" w:rsidP="006079FA">
            <w:pPr>
              <w:keepNext/>
              <w:keepLines/>
              <w:spacing w:after="0"/>
              <w:jc w:val="center"/>
              <w:rPr>
                <w:rFonts w:ascii="EC Square Sans Cond Pro" w:eastAsia="Times New Roman" w:hAnsi="EC Square Sans Cond Pro" w:cstheme="minorHAnsi"/>
                <w:b/>
                <w:noProof/>
                <w:color w:val="000000"/>
                <w:sz w:val="16"/>
                <w:szCs w:val="16"/>
                <w:lang w:val="en-IE"/>
              </w:rPr>
            </w:pPr>
            <w:r w:rsidRPr="00CF224E">
              <w:rPr>
                <w:rFonts w:ascii="EC Square Sans Cond Pro" w:hAnsi="EC Square Sans Cond Pro" w:cstheme="minorHAnsi"/>
                <w:b/>
                <w:noProof/>
                <w:color w:val="000000"/>
                <w:sz w:val="16"/>
                <w:szCs w:val="16"/>
              </w:rPr>
              <w:t>9</w:t>
            </w:r>
            <w:r w:rsidR="002F0A6A">
              <w:rPr>
                <w:rFonts w:ascii="EC Square Sans Cond Pro" w:hAnsi="EC Square Sans Cond Pro" w:cstheme="minorHAnsi"/>
                <w:b/>
                <w:noProof/>
                <w:color w:val="000000"/>
                <w:sz w:val="16"/>
                <w:szCs w:val="16"/>
              </w:rPr>
              <w:t>43</w:t>
            </w:r>
          </w:p>
        </w:tc>
        <w:tc>
          <w:tcPr>
            <w:tcW w:w="311" w:type="pct"/>
            <w:tcBorders>
              <w:left w:val="dotted" w:sz="4" w:space="0" w:color="auto"/>
              <w:right w:val="dotted" w:sz="4" w:space="0" w:color="auto"/>
            </w:tcBorders>
            <w:noWrap/>
            <w:vAlign w:val="center"/>
            <w:hideMark/>
          </w:tcPr>
          <w:p w14:paraId="0AD9C091" w14:textId="77777777" w:rsidR="009401C3" w:rsidRPr="00CF224E" w:rsidRDefault="009401C3" w:rsidP="006079FA">
            <w:pPr>
              <w:keepNext/>
              <w:keepLines/>
              <w:spacing w:after="0"/>
              <w:jc w:val="center"/>
              <w:rPr>
                <w:rFonts w:ascii="EC Square Sans Cond Pro" w:eastAsia="Times New Roman" w:hAnsi="EC Square Sans Cond Pro" w:cstheme="minorHAnsi"/>
                <w:b/>
                <w:noProof/>
                <w:color w:val="000000"/>
                <w:sz w:val="16"/>
                <w:szCs w:val="16"/>
                <w:lang w:val="en-IE"/>
              </w:rPr>
            </w:pPr>
            <w:r w:rsidRPr="00CF224E">
              <w:rPr>
                <w:rFonts w:ascii="EC Square Sans Cond Pro" w:hAnsi="EC Square Sans Cond Pro" w:cstheme="minorHAnsi"/>
                <w:b/>
                <w:noProof/>
                <w:color w:val="000000"/>
                <w:sz w:val="16"/>
                <w:szCs w:val="16"/>
              </w:rPr>
              <w:t>748</w:t>
            </w:r>
          </w:p>
        </w:tc>
        <w:tc>
          <w:tcPr>
            <w:tcW w:w="311" w:type="pct"/>
            <w:tcBorders>
              <w:left w:val="dotted" w:sz="4" w:space="0" w:color="auto"/>
            </w:tcBorders>
            <w:noWrap/>
            <w:vAlign w:val="center"/>
            <w:hideMark/>
          </w:tcPr>
          <w:p w14:paraId="5EBD2F93" w14:textId="77777777" w:rsidR="009401C3" w:rsidRPr="00CF224E" w:rsidRDefault="009401C3" w:rsidP="006079FA">
            <w:pPr>
              <w:keepNext/>
              <w:keepLines/>
              <w:spacing w:after="0"/>
              <w:jc w:val="center"/>
              <w:rPr>
                <w:rFonts w:ascii="EC Square Sans Cond Pro" w:eastAsia="Times New Roman" w:hAnsi="EC Square Sans Cond Pro" w:cstheme="minorHAnsi"/>
                <w:b/>
                <w:i/>
                <w:noProof/>
                <w:color w:val="000000"/>
                <w:sz w:val="16"/>
                <w:szCs w:val="16"/>
                <w:highlight w:val="yellow"/>
                <w:lang w:val="en-IE"/>
              </w:rPr>
            </w:pPr>
            <w:r w:rsidRPr="00CF224E">
              <w:rPr>
                <w:rFonts w:ascii="EC Square Sans Cond Pro" w:hAnsi="EC Square Sans Cond Pro" w:cstheme="minorHAnsi"/>
                <w:b/>
                <w:i/>
                <w:noProof/>
                <w:color w:val="000000"/>
                <w:sz w:val="16"/>
                <w:szCs w:val="16"/>
              </w:rPr>
              <w:t>740</w:t>
            </w:r>
          </w:p>
        </w:tc>
        <w:tc>
          <w:tcPr>
            <w:tcW w:w="310" w:type="pct"/>
            <w:tcBorders>
              <w:right w:val="dotted" w:sz="4" w:space="0" w:color="auto"/>
            </w:tcBorders>
            <w:vAlign w:val="center"/>
          </w:tcPr>
          <w:p w14:paraId="1AD6FD63" w14:textId="77777777" w:rsidR="009401C3" w:rsidRPr="00CF224E" w:rsidRDefault="009401C3" w:rsidP="006079FA">
            <w:pPr>
              <w:keepNext/>
              <w:keepLines/>
              <w:spacing w:after="0"/>
              <w:jc w:val="center"/>
              <w:rPr>
                <w:rFonts w:ascii="EC Square Sans Cond Pro" w:hAnsi="EC Square Sans Cond Pro" w:cstheme="minorHAnsi"/>
                <w:b/>
                <w:noProof/>
                <w:color w:val="000000"/>
                <w:sz w:val="16"/>
                <w:szCs w:val="16"/>
              </w:rPr>
            </w:pPr>
            <w:r w:rsidRPr="00CF224E">
              <w:rPr>
                <w:rFonts w:ascii="EC Square Sans Cond Pro" w:hAnsi="EC Square Sans Cond Pro" w:cs="Calibri"/>
                <w:b/>
                <w:bCs/>
                <w:noProof/>
                <w:color w:val="000000"/>
                <w:sz w:val="16"/>
                <w:szCs w:val="16"/>
              </w:rPr>
              <w:t>416</w:t>
            </w:r>
          </w:p>
        </w:tc>
        <w:tc>
          <w:tcPr>
            <w:tcW w:w="311" w:type="pct"/>
            <w:tcBorders>
              <w:left w:val="dotted" w:sz="4" w:space="0" w:color="auto"/>
              <w:right w:val="dotted" w:sz="4" w:space="0" w:color="auto"/>
            </w:tcBorders>
            <w:vAlign w:val="center"/>
          </w:tcPr>
          <w:p w14:paraId="44C3706B" w14:textId="77777777" w:rsidR="009401C3" w:rsidRPr="00CF224E" w:rsidRDefault="009401C3" w:rsidP="006079FA">
            <w:pPr>
              <w:keepNext/>
              <w:keepLines/>
              <w:spacing w:after="0"/>
              <w:jc w:val="center"/>
              <w:rPr>
                <w:rFonts w:ascii="EC Square Sans Cond Pro" w:hAnsi="EC Square Sans Cond Pro" w:cstheme="minorHAnsi"/>
                <w:b/>
                <w:noProof/>
                <w:color w:val="000000"/>
                <w:sz w:val="16"/>
                <w:szCs w:val="16"/>
              </w:rPr>
            </w:pPr>
            <w:r w:rsidRPr="00CF224E">
              <w:rPr>
                <w:rFonts w:ascii="EC Square Sans Cond Pro" w:hAnsi="EC Square Sans Cond Pro" w:cs="Calibri"/>
                <w:b/>
                <w:bCs/>
                <w:noProof/>
                <w:color w:val="000000"/>
                <w:sz w:val="16"/>
                <w:szCs w:val="16"/>
              </w:rPr>
              <w:t>413</w:t>
            </w:r>
          </w:p>
        </w:tc>
        <w:tc>
          <w:tcPr>
            <w:tcW w:w="311" w:type="pct"/>
            <w:tcBorders>
              <w:left w:val="dotted" w:sz="4" w:space="0" w:color="auto"/>
              <w:right w:val="dotted" w:sz="4" w:space="0" w:color="auto"/>
            </w:tcBorders>
            <w:noWrap/>
            <w:vAlign w:val="center"/>
            <w:hideMark/>
          </w:tcPr>
          <w:p w14:paraId="18BC8E38" w14:textId="77777777" w:rsidR="009401C3" w:rsidRPr="00CF224E" w:rsidRDefault="009401C3" w:rsidP="006079FA">
            <w:pPr>
              <w:keepNext/>
              <w:keepLines/>
              <w:spacing w:after="0"/>
              <w:jc w:val="center"/>
              <w:rPr>
                <w:rFonts w:ascii="EC Square Sans Cond Pro" w:eastAsia="Times New Roman" w:hAnsi="EC Square Sans Cond Pro" w:cstheme="minorHAnsi"/>
                <w:b/>
                <w:noProof/>
                <w:color w:val="000000"/>
                <w:sz w:val="16"/>
                <w:szCs w:val="16"/>
                <w:lang w:val="en-IE"/>
              </w:rPr>
            </w:pPr>
            <w:r w:rsidRPr="00CF224E">
              <w:rPr>
                <w:rFonts w:ascii="EC Square Sans Cond Pro" w:hAnsi="EC Square Sans Cond Pro" w:cstheme="minorHAnsi"/>
                <w:b/>
                <w:noProof/>
                <w:color w:val="000000"/>
                <w:sz w:val="16"/>
                <w:szCs w:val="16"/>
              </w:rPr>
              <w:t>411</w:t>
            </w:r>
          </w:p>
        </w:tc>
        <w:tc>
          <w:tcPr>
            <w:tcW w:w="307" w:type="pct"/>
            <w:tcBorders>
              <w:left w:val="dotted" w:sz="4" w:space="0" w:color="auto"/>
            </w:tcBorders>
            <w:noWrap/>
            <w:vAlign w:val="center"/>
            <w:hideMark/>
          </w:tcPr>
          <w:p w14:paraId="14A8A98D" w14:textId="77777777" w:rsidR="009401C3" w:rsidRPr="00CF224E" w:rsidRDefault="009401C3" w:rsidP="006079FA">
            <w:pPr>
              <w:keepNext/>
              <w:keepLines/>
              <w:spacing w:after="0"/>
              <w:jc w:val="center"/>
              <w:rPr>
                <w:rFonts w:ascii="EC Square Sans Cond Pro" w:eastAsia="Times New Roman" w:hAnsi="EC Square Sans Cond Pro" w:cstheme="minorHAnsi"/>
                <w:b/>
                <w:i/>
                <w:noProof/>
                <w:color w:val="000000"/>
                <w:sz w:val="16"/>
                <w:szCs w:val="16"/>
                <w:lang w:val="en-IE"/>
              </w:rPr>
            </w:pPr>
            <w:r w:rsidRPr="00CF224E">
              <w:rPr>
                <w:rFonts w:ascii="EC Square Sans Cond Pro" w:hAnsi="EC Square Sans Cond Pro" w:cstheme="minorHAnsi"/>
                <w:b/>
                <w:i/>
                <w:noProof/>
                <w:color w:val="000000"/>
                <w:sz w:val="16"/>
                <w:szCs w:val="16"/>
              </w:rPr>
              <w:t>360</w:t>
            </w:r>
          </w:p>
        </w:tc>
      </w:tr>
      <w:tr w:rsidR="009401C3" w:rsidRPr="00CF224E" w14:paraId="7FE665E4" w14:textId="77777777" w:rsidTr="00D25FC1">
        <w:trPr>
          <w:trHeight w:val="288"/>
        </w:trPr>
        <w:tc>
          <w:tcPr>
            <w:tcW w:w="1417" w:type="pct"/>
            <w:gridSpan w:val="2"/>
            <w:noWrap/>
            <w:vAlign w:val="center"/>
            <w:hideMark/>
          </w:tcPr>
          <w:p w14:paraId="52997CFD" w14:textId="77777777" w:rsidR="009401C3" w:rsidRPr="00CF224E" w:rsidRDefault="009401C3" w:rsidP="006079FA">
            <w:pPr>
              <w:keepNext/>
              <w:keepLines/>
              <w:spacing w:after="0"/>
              <w:jc w:val="left"/>
              <w:rPr>
                <w:rFonts w:ascii="EC Square Sans Cond Pro" w:eastAsia="Times New Roman" w:hAnsi="EC Square Sans Cond Pro" w:cstheme="minorHAnsi"/>
                <w:i/>
                <w:noProof/>
                <w:sz w:val="18"/>
                <w:szCs w:val="18"/>
                <w:lang w:val="en-IE"/>
              </w:rPr>
            </w:pPr>
            <w:r w:rsidRPr="00CF224E">
              <w:rPr>
                <w:rFonts w:ascii="EC Square Sans Cond Pro" w:eastAsia="Times New Roman" w:hAnsi="EC Square Sans Cond Pro" w:cstheme="minorHAnsi"/>
                <w:i/>
                <w:noProof/>
                <w:sz w:val="18"/>
                <w:szCs w:val="18"/>
                <w:lang w:val="en-IE"/>
              </w:rPr>
              <w:t>Power and district heating</w:t>
            </w:r>
          </w:p>
        </w:tc>
        <w:tc>
          <w:tcPr>
            <w:tcW w:w="353" w:type="pct"/>
            <w:noWrap/>
            <w:vAlign w:val="center"/>
            <w:hideMark/>
          </w:tcPr>
          <w:p w14:paraId="655CD524"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1300</w:t>
            </w:r>
          </w:p>
        </w:tc>
        <w:tc>
          <w:tcPr>
            <w:tcW w:w="353" w:type="pct"/>
            <w:noWrap/>
            <w:vAlign w:val="center"/>
            <w:hideMark/>
          </w:tcPr>
          <w:p w14:paraId="3569C11D"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1012</w:t>
            </w:r>
          </w:p>
        </w:tc>
        <w:tc>
          <w:tcPr>
            <w:tcW w:w="353" w:type="pct"/>
            <w:noWrap/>
            <w:vAlign w:val="center"/>
            <w:hideMark/>
          </w:tcPr>
          <w:p w14:paraId="352232C1"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339</w:t>
            </w:r>
          </w:p>
        </w:tc>
        <w:tc>
          <w:tcPr>
            <w:tcW w:w="354" w:type="pct"/>
            <w:tcBorders>
              <w:right w:val="dotted" w:sz="4" w:space="0" w:color="auto"/>
            </w:tcBorders>
            <w:noWrap/>
            <w:vAlign w:val="center"/>
            <w:hideMark/>
          </w:tcPr>
          <w:p w14:paraId="7C01D8F2"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123</w:t>
            </w:r>
          </w:p>
        </w:tc>
        <w:tc>
          <w:tcPr>
            <w:tcW w:w="310" w:type="pct"/>
            <w:tcBorders>
              <w:left w:val="dotted" w:sz="4" w:space="0" w:color="auto"/>
              <w:right w:val="dotted" w:sz="4" w:space="0" w:color="auto"/>
            </w:tcBorders>
            <w:noWrap/>
            <w:vAlign w:val="center"/>
            <w:hideMark/>
          </w:tcPr>
          <w:p w14:paraId="6DECBD03"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42</w:t>
            </w:r>
          </w:p>
        </w:tc>
        <w:tc>
          <w:tcPr>
            <w:tcW w:w="311" w:type="pct"/>
            <w:tcBorders>
              <w:left w:val="dotted" w:sz="4" w:space="0" w:color="auto"/>
              <w:right w:val="dotted" w:sz="4" w:space="0" w:color="auto"/>
            </w:tcBorders>
            <w:noWrap/>
            <w:vAlign w:val="center"/>
            <w:hideMark/>
          </w:tcPr>
          <w:p w14:paraId="2E1C1B18"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23</w:t>
            </w:r>
          </w:p>
        </w:tc>
        <w:tc>
          <w:tcPr>
            <w:tcW w:w="311" w:type="pct"/>
            <w:tcBorders>
              <w:left w:val="dotted" w:sz="4" w:space="0" w:color="auto"/>
            </w:tcBorders>
            <w:noWrap/>
            <w:vAlign w:val="center"/>
            <w:hideMark/>
          </w:tcPr>
          <w:p w14:paraId="07483D11"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highlight w:val="yellow"/>
                <w:lang w:val="en-IE"/>
              </w:rPr>
            </w:pPr>
            <w:r w:rsidRPr="00CF224E">
              <w:rPr>
                <w:rFonts w:ascii="EC Square Sans Cond Pro" w:hAnsi="EC Square Sans Cond Pro" w:cstheme="minorHAnsi"/>
                <w:i/>
                <w:noProof/>
                <w:sz w:val="18"/>
                <w:szCs w:val="18"/>
              </w:rPr>
              <w:t>34</w:t>
            </w:r>
          </w:p>
        </w:tc>
        <w:tc>
          <w:tcPr>
            <w:tcW w:w="310" w:type="pct"/>
            <w:tcBorders>
              <w:right w:val="dotted" w:sz="4" w:space="0" w:color="auto"/>
            </w:tcBorders>
            <w:vAlign w:val="center"/>
          </w:tcPr>
          <w:p w14:paraId="795B6461"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Calibri"/>
                <w:noProof/>
                <w:sz w:val="18"/>
                <w:szCs w:val="18"/>
              </w:rPr>
              <w:t>21</w:t>
            </w:r>
          </w:p>
        </w:tc>
        <w:tc>
          <w:tcPr>
            <w:tcW w:w="311" w:type="pct"/>
            <w:tcBorders>
              <w:left w:val="dotted" w:sz="4" w:space="0" w:color="auto"/>
              <w:right w:val="dotted" w:sz="4" w:space="0" w:color="auto"/>
            </w:tcBorders>
            <w:vAlign w:val="center"/>
          </w:tcPr>
          <w:p w14:paraId="4226C7B6"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Calibri"/>
                <w:noProof/>
                <w:sz w:val="18"/>
                <w:szCs w:val="18"/>
              </w:rPr>
              <w:t>22</w:t>
            </w:r>
          </w:p>
        </w:tc>
        <w:tc>
          <w:tcPr>
            <w:tcW w:w="311" w:type="pct"/>
            <w:tcBorders>
              <w:left w:val="dotted" w:sz="4" w:space="0" w:color="auto"/>
              <w:right w:val="dotted" w:sz="4" w:space="0" w:color="auto"/>
            </w:tcBorders>
            <w:noWrap/>
            <w:vAlign w:val="center"/>
            <w:hideMark/>
          </w:tcPr>
          <w:p w14:paraId="64C86F4D"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19</w:t>
            </w:r>
          </w:p>
        </w:tc>
        <w:tc>
          <w:tcPr>
            <w:tcW w:w="307" w:type="pct"/>
            <w:tcBorders>
              <w:left w:val="dotted" w:sz="4" w:space="0" w:color="auto"/>
            </w:tcBorders>
            <w:noWrap/>
            <w:vAlign w:val="center"/>
            <w:hideMark/>
          </w:tcPr>
          <w:p w14:paraId="7862C32C"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lang w:val="en-IE"/>
              </w:rPr>
            </w:pPr>
            <w:r w:rsidRPr="00CF224E">
              <w:rPr>
                <w:rFonts w:ascii="EC Square Sans Cond Pro" w:hAnsi="EC Square Sans Cond Pro" w:cstheme="minorHAnsi"/>
                <w:i/>
                <w:noProof/>
                <w:sz w:val="18"/>
                <w:szCs w:val="18"/>
              </w:rPr>
              <w:t>15</w:t>
            </w:r>
          </w:p>
        </w:tc>
      </w:tr>
      <w:tr w:rsidR="009401C3" w:rsidRPr="00CF224E" w14:paraId="2C70EF2C" w14:textId="77777777" w:rsidTr="00D25FC1">
        <w:trPr>
          <w:trHeight w:val="288"/>
        </w:trPr>
        <w:tc>
          <w:tcPr>
            <w:tcW w:w="1417" w:type="pct"/>
            <w:gridSpan w:val="2"/>
            <w:noWrap/>
            <w:vAlign w:val="center"/>
            <w:hideMark/>
          </w:tcPr>
          <w:p w14:paraId="44DFE639" w14:textId="77777777" w:rsidR="009401C3" w:rsidRPr="00CF224E" w:rsidRDefault="009401C3" w:rsidP="006079FA">
            <w:pPr>
              <w:keepNext/>
              <w:keepLines/>
              <w:spacing w:after="0"/>
              <w:jc w:val="left"/>
              <w:rPr>
                <w:rFonts w:ascii="EC Square Sans Cond Pro" w:eastAsia="Times New Roman" w:hAnsi="EC Square Sans Cond Pro" w:cstheme="minorHAnsi"/>
                <w:i/>
                <w:noProof/>
                <w:sz w:val="18"/>
                <w:szCs w:val="18"/>
                <w:lang w:val="en-IE"/>
              </w:rPr>
            </w:pPr>
            <w:r w:rsidRPr="00CF224E">
              <w:rPr>
                <w:rFonts w:ascii="EC Square Sans Cond Pro" w:eastAsia="Times New Roman" w:hAnsi="EC Square Sans Cond Pro" w:cstheme="minorHAnsi"/>
                <w:i/>
                <w:noProof/>
                <w:sz w:val="18"/>
                <w:szCs w:val="18"/>
                <w:lang w:val="en-IE"/>
              </w:rPr>
              <w:t>Other Energy sectors*</w:t>
            </w:r>
          </w:p>
        </w:tc>
        <w:tc>
          <w:tcPr>
            <w:tcW w:w="353" w:type="pct"/>
            <w:noWrap/>
            <w:vAlign w:val="center"/>
            <w:hideMark/>
          </w:tcPr>
          <w:p w14:paraId="5C8FDF10"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277</w:t>
            </w:r>
          </w:p>
        </w:tc>
        <w:tc>
          <w:tcPr>
            <w:tcW w:w="353" w:type="pct"/>
            <w:noWrap/>
            <w:vAlign w:val="center"/>
            <w:hideMark/>
          </w:tcPr>
          <w:p w14:paraId="166D5829"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237</w:t>
            </w:r>
          </w:p>
        </w:tc>
        <w:tc>
          <w:tcPr>
            <w:tcW w:w="353" w:type="pct"/>
            <w:noWrap/>
            <w:vAlign w:val="center"/>
            <w:hideMark/>
          </w:tcPr>
          <w:p w14:paraId="7BDBCD38"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133</w:t>
            </w:r>
          </w:p>
        </w:tc>
        <w:tc>
          <w:tcPr>
            <w:tcW w:w="354" w:type="pct"/>
            <w:tcBorders>
              <w:right w:val="dotted" w:sz="4" w:space="0" w:color="auto"/>
            </w:tcBorders>
            <w:noWrap/>
            <w:vAlign w:val="center"/>
            <w:hideMark/>
          </w:tcPr>
          <w:p w14:paraId="3A5CE39E"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71</w:t>
            </w:r>
          </w:p>
        </w:tc>
        <w:tc>
          <w:tcPr>
            <w:tcW w:w="310" w:type="pct"/>
            <w:tcBorders>
              <w:left w:val="dotted" w:sz="4" w:space="0" w:color="auto"/>
              <w:right w:val="dotted" w:sz="4" w:space="0" w:color="auto"/>
            </w:tcBorders>
            <w:noWrap/>
            <w:vAlign w:val="center"/>
            <w:hideMark/>
          </w:tcPr>
          <w:p w14:paraId="1894EB0F"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59</w:t>
            </w:r>
          </w:p>
        </w:tc>
        <w:tc>
          <w:tcPr>
            <w:tcW w:w="311" w:type="pct"/>
            <w:tcBorders>
              <w:left w:val="dotted" w:sz="4" w:space="0" w:color="auto"/>
              <w:right w:val="dotted" w:sz="4" w:space="0" w:color="auto"/>
            </w:tcBorders>
            <w:noWrap/>
            <w:vAlign w:val="center"/>
            <w:hideMark/>
          </w:tcPr>
          <w:p w14:paraId="240A5CF1"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53</w:t>
            </w:r>
          </w:p>
        </w:tc>
        <w:tc>
          <w:tcPr>
            <w:tcW w:w="311" w:type="pct"/>
            <w:tcBorders>
              <w:left w:val="dotted" w:sz="4" w:space="0" w:color="auto"/>
            </w:tcBorders>
            <w:noWrap/>
            <w:vAlign w:val="center"/>
            <w:hideMark/>
          </w:tcPr>
          <w:p w14:paraId="3C9C4FC2"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highlight w:val="yellow"/>
                <w:lang w:val="en-IE"/>
              </w:rPr>
            </w:pPr>
            <w:r w:rsidRPr="00CF224E">
              <w:rPr>
                <w:rFonts w:ascii="EC Square Sans Cond Pro" w:hAnsi="EC Square Sans Cond Pro" w:cstheme="minorHAnsi"/>
                <w:i/>
                <w:noProof/>
                <w:sz w:val="18"/>
                <w:szCs w:val="18"/>
              </w:rPr>
              <w:t>57</w:t>
            </w:r>
          </w:p>
        </w:tc>
        <w:tc>
          <w:tcPr>
            <w:tcW w:w="310" w:type="pct"/>
            <w:tcBorders>
              <w:right w:val="dotted" w:sz="4" w:space="0" w:color="auto"/>
            </w:tcBorders>
            <w:vAlign w:val="center"/>
          </w:tcPr>
          <w:p w14:paraId="53ACA6E2"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Calibri"/>
                <w:noProof/>
                <w:sz w:val="18"/>
                <w:szCs w:val="18"/>
              </w:rPr>
              <w:t>39</w:t>
            </w:r>
          </w:p>
        </w:tc>
        <w:tc>
          <w:tcPr>
            <w:tcW w:w="311" w:type="pct"/>
            <w:tcBorders>
              <w:left w:val="dotted" w:sz="4" w:space="0" w:color="auto"/>
              <w:right w:val="dotted" w:sz="4" w:space="0" w:color="auto"/>
            </w:tcBorders>
            <w:vAlign w:val="center"/>
          </w:tcPr>
          <w:p w14:paraId="218B0B0A"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Calibri"/>
                <w:noProof/>
                <w:sz w:val="18"/>
                <w:szCs w:val="18"/>
              </w:rPr>
              <w:t>39</w:t>
            </w:r>
          </w:p>
        </w:tc>
        <w:tc>
          <w:tcPr>
            <w:tcW w:w="311" w:type="pct"/>
            <w:tcBorders>
              <w:left w:val="dotted" w:sz="4" w:space="0" w:color="auto"/>
              <w:right w:val="dotted" w:sz="4" w:space="0" w:color="auto"/>
            </w:tcBorders>
            <w:noWrap/>
            <w:vAlign w:val="center"/>
            <w:hideMark/>
          </w:tcPr>
          <w:p w14:paraId="6E33376D"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38</w:t>
            </w:r>
          </w:p>
        </w:tc>
        <w:tc>
          <w:tcPr>
            <w:tcW w:w="307" w:type="pct"/>
            <w:tcBorders>
              <w:left w:val="dotted" w:sz="4" w:space="0" w:color="auto"/>
            </w:tcBorders>
            <w:noWrap/>
            <w:vAlign w:val="center"/>
            <w:hideMark/>
          </w:tcPr>
          <w:p w14:paraId="3DE244A9"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lang w:val="en-IE"/>
              </w:rPr>
            </w:pPr>
            <w:r w:rsidRPr="00CF224E">
              <w:rPr>
                <w:rFonts w:ascii="EC Square Sans Cond Pro" w:hAnsi="EC Square Sans Cond Pro" w:cstheme="minorHAnsi"/>
                <w:i/>
                <w:noProof/>
                <w:sz w:val="18"/>
                <w:szCs w:val="18"/>
              </w:rPr>
              <w:t>36</w:t>
            </w:r>
          </w:p>
        </w:tc>
      </w:tr>
      <w:tr w:rsidR="009401C3" w:rsidRPr="00CF224E" w14:paraId="6495402F" w14:textId="77777777" w:rsidTr="00D25FC1">
        <w:trPr>
          <w:trHeight w:val="288"/>
        </w:trPr>
        <w:tc>
          <w:tcPr>
            <w:tcW w:w="1417" w:type="pct"/>
            <w:gridSpan w:val="2"/>
            <w:noWrap/>
            <w:vAlign w:val="center"/>
            <w:hideMark/>
          </w:tcPr>
          <w:p w14:paraId="0394346B" w14:textId="77777777" w:rsidR="009401C3" w:rsidRPr="00CF224E" w:rsidRDefault="009401C3" w:rsidP="006079FA">
            <w:pPr>
              <w:keepNext/>
              <w:keepLines/>
              <w:spacing w:after="0"/>
              <w:jc w:val="left"/>
              <w:rPr>
                <w:rFonts w:ascii="EC Square Sans Cond Pro" w:eastAsia="Times New Roman" w:hAnsi="EC Square Sans Cond Pro" w:cstheme="minorHAnsi"/>
                <w:i/>
                <w:noProof/>
                <w:sz w:val="18"/>
                <w:szCs w:val="18"/>
                <w:lang w:val="en-IE"/>
              </w:rPr>
            </w:pPr>
            <w:r w:rsidRPr="00CF224E">
              <w:rPr>
                <w:rFonts w:ascii="EC Square Sans Cond Pro" w:eastAsia="Times New Roman" w:hAnsi="EC Square Sans Cond Pro" w:cstheme="minorHAnsi"/>
                <w:i/>
                <w:noProof/>
                <w:sz w:val="18"/>
                <w:szCs w:val="18"/>
                <w:lang w:val="en-IE"/>
              </w:rPr>
              <w:t>Industry (Energy)</w:t>
            </w:r>
          </w:p>
        </w:tc>
        <w:tc>
          <w:tcPr>
            <w:tcW w:w="353" w:type="pct"/>
            <w:noWrap/>
            <w:vAlign w:val="center"/>
            <w:hideMark/>
          </w:tcPr>
          <w:p w14:paraId="67ABA0A5"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469</w:t>
            </w:r>
          </w:p>
        </w:tc>
        <w:tc>
          <w:tcPr>
            <w:tcW w:w="353" w:type="pct"/>
            <w:noWrap/>
            <w:vAlign w:val="center"/>
            <w:hideMark/>
          </w:tcPr>
          <w:p w14:paraId="3E3EC77D"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360</w:t>
            </w:r>
          </w:p>
        </w:tc>
        <w:tc>
          <w:tcPr>
            <w:tcW w:w="353" w:type="pct"/>
            <w:noWrap/>
            <w:vAlign w:val="center"/>
            <w:hideMark/>
          </w:tcPr>
          <w:p w14:paraId="0977CF52"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232</w:t>
            </w:r>
          </w:p>
        </w:tc>
        <w:tc>
          <w:tcPr>
            <w:tcW w:w="354" w:type="pct"/>
            <w:tcBorders>
              <w:right w:val="dotted" w:sz="4" w:space="0" w:color="auto"/>
            </w:tcBorders>
            <w:noWrap/>
            <w:vAlign w:val="center"/>
            <w:hideMark/>
          </w:tcPr>
          <w:p w14:paraId="54592626"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126</w:t>
            </w:r>
          </w:p>
        </w:tc>
        <w:tc>
          <w:tcPr>
            <w:tcW w:w="310" w:type="pct"/>
            <w:tcBorders>
              <w:left w:val="dotted" w:sz="4" w:space="0" w:color="auto"/>
              <w:right w:val="dotted" w:sz="4" w:space="0" w:color="auto"/>
            </w:tcBorders>
            <w:noWrap/>
            <w:vAlign w:val="center"/>
            <w:hideMark/>
          </w:tcPr>
          <w:p w14:paraId="7B1963D5"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94</w:t>
            </w:r>
          </w:p>
        </w:tc>
        <w:tc>
          <w:tcPr>
            <w:tcW w:w="311" w:type="pct"/>
            <w:tcBorders>
              <w:left w:val="dotted" w:sz="4" w:space="0" w:color="auto"/>
              <w:right w:val="dotted" w:sz="4" w:space="0" w:color="auto"/>
            </w:tcBorders>
            <w:noWrap/>
            <w:vAlign w:val="center"/>
            <w:hideMark/>
          </w:tcPr>
          <w:p w14:paraId="1817CF07"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75</w:t>
            </w:r>
          </w:p>
        </w:tc>
        <w:tc>
          <w:tcPr>
            <w:tcW w:w="311" w:type="pct"/>
            <w:tcBorders>
              <w:left w:val="dotted" w:sz="4" w:space="0" w:color="auto"/>
            </w:tcBorders>
            <w:noWrap/>
            <w:vAlign w:val="center"/>
            <w:hideMark/>
          </w:tcPr>
          <w:p w14:paraId="646E01B4"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highlight w:val="yellow"/>
                <w:lang w:val="en-IE"/>
              </w:rPr>
            </w:pPr>
            <w:r w:rsidRPr="00CF224E">
              <w:rPr>
                <w:rFonts w:ascii="EC Square Sans Cond Pro" w:hAnsi="EC Square Sans Cond Pro" w:cstheme="minorHAnsi"/>
                <w:i/>
                <w:noProof/>
                <w:sz w:val="18"/>
                <w:szCs w:val="18"/>
              </w:rPr>
              <w:t>86</w:t>
            </w:r>
          </w:p>
        </w:tc>
        <w:tc>
          <w:tcPr>
            <w:tcW w:w="310" w:type="pct"/>
            <w:tcBorders>
              <w:right w:val="dotted" w:sz="4" w:space="0" w:color="auto"/>
            </w:tcBorders>
            <w:vAlign w:val="center"/>
          </w:tcPr>
          <w:p w14:paraId="6B443F23"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Calibri"/>
                <w:noProof/>
                <w:sz w:val="18"/>
                <w:szCs w:val="18"/>
              </w:rPr>
              <w:t>6</w:t>
            </w:r>
          </w:p>
        </w:tc>
        <w:tc>
          <w:tcPr>
            <w:tcW w:w="311" w:type="pct"/>
            <w:tcBorders>
              <w:left w:val="dotted" w:sz="4" w:space="0" w:color="auto"/>
              <w:right w:val="dotted" w:sz="4" w:space="0" w:color="auto"/>
            </w:tcBorders>
            <w:vAlign w:val="center"/>
          </w:tcPr>
          <w:p w14:paraId="34371F5F"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Calibri"/>
                <w:noProof/>
                <w:sz w:val="18"/>
                <w:szCs w:val="18"/>
              </w:rPr>
              <w:t>6</w:t>
            </w:r>
          </w:p>
        </w:tc>
        <w:tc>
          <w:tcPr>
            <w:tcW w:w="311" w:type="pct"/>
            <w:tcBorders>
              <w:left w:val="dotted" w:sz="4" w:space="0" w:color="auto"/>
              <w:right w:val="dotted" w:sz="4" w:space="0" w:color="auto"/>
            </w:tcBorders>
            <w:noWrap/>
            <w:vAlign w:val="center"/>
            <w:hideMark/>
          </w:tcPr>
          <w:p w14:paraId="41BB4A84"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9</w:t>
            </w:r>
          </w:p>
        </w:tc>
        <w:tc>
          <w:tcPr>
            <w:tcW w:w="307" w:type="pct"/>
            <w:tcBorders>
              <w:left w:val="dotted" w:sz="4" w:space="0" w:color="auto"/>
            </w:tcBorders>
            <w:noWrap/>
            <w:vAlign w:val="center"/>
            <w:hideMark/>
          </w:tcPr>
          <w:p w14:paraId="49267CF9"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lang w:val="en-IE"/>
              </w:rPr>
            </w:pPr>
            <w:r w:rsidRPr="00CF224E">
              <w:rPr>
                <w:rFonts w:ascii="EC Square Sans Cond Pro" w:hAnsi="EC Square Sans Cond Pro" w:cstheme="minorHAnsi"/>
                <w:i/>
                <w:noProof/>
                <w:sz w:val="18"/>
                <w:szCs w:val="18"/>
              </w:rPr>
              <w:t>11</w:t>
            </w:r>
          </w:p>
        </w:tc>
      </w:tr>
      <w:tr w:rsidR="009401C3" w:rsidRPr="00CF224E" w14:paraId="08CB992C" w14:textId="77777777" w:rsidTr="00D25FC1">
        <w:trPr>
          <w:trHeight w:val="288"/>
        </w:trPr>
        <w:tc>
          <w:tcPr>
            <w:tcW w:w="1417" w:type="pct"/>
            <w:gridSpan w:val="2"/>
            <w:noWrap/>
            <w:vAlign w:val="center"/>
            <w:hideMark/>
          </w:tcPr>
          <w:p w14:paraId="4CCC4236" w14:textId="77777777" w:rsidR="009401C3" w:rsidRPr="00CF224E" w:rsidRDefault="009401C3" w:rsidP="006079FA">
            <w:pPr>
              <w:keepNext/>
              <w:keepLines/>
              <w:spacing w:after="0"/>
              <w:jc w:val="left"/>
              <w:rPr>
                <w:rFonts w:ascii="EC Square Sans Cond Pro" w:eastAsia="Times New Roman" w:hAnsi="EC Square Sans Cond Pro" w:cstheme="minorHAnsi"/>
                <w:i/>
                <w:noProof/>
                <w:sz w:val="18"/>
                <w:szCs w:val="18"/>
                <w:lang w:val="en-IE"/>
              </w:rPr>
            </w:pPr>
            <w:r w:rsidRPr="00CF224E">
              <w:rPr>
                <w:rFonts w:ascii="EC Square Sans Cond Pro" w:eastAsia="Times New Roman" w:hAnsi="EC Square Sans Cond Pro" w:cstheme="minorHAnsi"/>
                <w:i/>
                <w:noProof/>
                <w:sz w:val="18"/>
                <w:szCs w:val="18"/>
                <w:lang w:val="en-IE"/>
              </w:rPr>
              <w:t>Domestic Transport</w:t>
            </w:r>
          </w:p>
        </w:tc>
        <w:tc>
          <w:tcPr>
            <w:tcW w:w="353" w:type="pct"/>
            <w:noWrap/>
            <w:vAlign w:val="center"/>
            <w:hideMark/>
          </w:tcPr>
          <w:p w14:paraId="5314E41D"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822</w:t>
            </w:r>
          </w:p>
        </w:tc>
        <w:tc>
          <w:tcPr>
            <w:tcW w:w="353" w:type="pct"/>
            <w:noWrap/>
            <w:vAlign w:val="center"/>
            <w:hideMark/>
          </w:tcPr>
          <w:p w14:paraId="638005D9"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772</w:t>
            </w:r>
          </w:p>
        </w:tc>
        <w:tc>
          <w:tcPr>
            <w:tcW w:w="353" w:type="pct"/>
            <w:noWrap/>
            <w:vAlign w:val="center"/>
            <w:hideMark/>
          </w:tcPr>
          <w:p w14:paraId="416D4374"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583</w:t>
            </w:r>
          </w:p>
        </w:tc>
        <w:tc>
          <w:tcPr>
            <w:tcW w:w="354" w:type="pct"/>
            <w:tcBorders>
              <w:right w:val="dotted" w:sz="4" w:space="0" w:color="auto"/>
            </w:tcBorders>
            <w:noWrap/>
            <w:vAlign w:val="center"/>
            <w:hideMark/>
          </w:tcPr>
          <w:p w14:paraId="17C18904"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190</w:t>
            </w:r>
          </w:p>
        </w:tc>
        <w:tc>
          <w:tcPr>
            <w:tcW w:w="310" w:type="pct"/>
            <w:tcBorders>
              <w:left w:val="dotted" w:sz="4" w:space="0" w:color="auto"/>
              <w:right w:val="dotted" w:sz="4" w:space="0" w:color="auto"/>
            </w:tcBorders>
            <w:noWrap/>
            <w:vAlign w:val="center"/>
            <w:hideMark/>
          </w:tcPr>
          <w:p w14:paraId="76B22A0E"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143</w:t>
            </w:r>
          </w:p>
        </w:tc>
        <w:tc>
          <w:tcPr>
            <w:tcW w:w="311" w:type="pct"/>
            <w:tcBorders>
              <w:left w:val="dotted" w:sz="4" w:space="0" w:color="auto"/>
              <w:right w:val="dotted" w:sz="4" w:space="0" w:color="auto"/>
            </w:tcBorders>
            <w:noWrap/>
            <w:vAlign w:val="center"/>
            <w:hideMark/>
          </w:tcPr>
          <w:p w14:paraId="2C043F7E"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120</w:t>
            </w:r>
          </w:p>
        </w:tc>
        <w:tc>
          <w:tcPr>
            <w:tcW w:w="311" w:type="pct"/>
            <w:tcBorders>
              <w:left w:val="dotted" w:sz="4" w:space="0" w:color="auto"/>
            </w:tcBorders>
            <w:noWrap/>
            <w:vAlign w:val="center"/>
            <w:hideMark/>
          </w:tcPr>
          <w:p w14:paraId="3A048789"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highlight w:val="yellow"/>
                <w:lang w:val="en-IE"/>
              </w:rPr>
            </w:pPr>
            <w:r w:rsidRPr="00CF224E">
              <w:rPr>
                <w:rFonts w:ascii="EC Square Sans Cond Pro" w:hAnsi="EC Square Sans Cond Pro" w:cstheme="minorHAnsi"/>
                <w:i/>
                <w:noProof/>
                <w:sz w:val="18"/>
                <w:szCs w:val="18"/>
              </w:rPr>
              <w:t>134</w:t>
            </w:r>
          </w:p>
        </w:tc>
        <w:tc>
          <w:tcPr>
            <w:tcW w:w="310" w:type="pct"/>
            <w:tcBorders>
              <w:right w:val="dotted" w:sz="4" w:space="0" w:color="auto"/>
            </w:tcBorders>
            <w:vAlign w:val="center"/>
          </w:tcPr>
          <w:p w14:paraId="5AD0668A"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Calibri"/>
                <w:noProof/>
                <w:sz w:val="18"/>
                <w:szCs w:val="18"/>
              </w:rPr>
              <w:t>10</w:t>
            </w:r>
          </w:p>
        </w:tc>
        <w:tc>
          <w:tcPr>
            <w:tcW w:w="311" w:type="pct"/>
            <w:tcBorders>
              <w:left w:val="dotted" w:sz="4" w:space="0" w:color="auto"/>
              <w:right w:val="dotted" w:sz="4" w:space="0" w:color="auto"/>
            </w:tcBorders>
            <w:vAlign w:val="center"/>
          </w:tcPr>
          <w:p w14:paraId="07FA98D3"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Calibri"/>
                <w:noProof/>
                <w:sz w:val="18"/>
                <w:szCs w:val="18"/>
              </w:rPr>
              <w:t>8</w:t>
            </w:r>
          </w:p>
        </w:tc>
        <w:tc>
          <w:tcPr>
            <w:tcW w:w="311" w:type="pct"/>
            <w:tcBorders>
              <w:left w:val="dotted" w:sz="4" w:space="0" w:color="auto"/>
              <w:right w:val="dotted" w:sz="4" w:space="0" w:color="auto"/>
            </w:tcBorders>
            <w:noWrap/>
            <w:vAlign w:val="center"/>
            <w:hideMark/>
          </w:tcPr>
          <w:p w14:paraId="33C57E37"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7</w:t>
            </w:r>
          </w:p>
        </w:tc>
        <w:tc>
          <w:tcPr>
            <w:tcW w:w="307" w:type="pct"/>
            <w:tcBorders>
              <w:left w:val="dotted" w:sz="4" w:space="0" w:color="auto"/>
            </w:tcBorders>
            <w:noWrap/>
            <w:vAlign w:val="center"/>
            <w:hideMark/>
          </w:tcPr>
          <w:p w14:paraId="3A87DA39"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lang w:val="en-IE"/>
              </w:rPr>
            </w:pPr>
            <w:r w:rsidRPr="00CF224E">
              <w:rPr>
                <w:rFonts w:ascii="EC Square Sans Cond Pro" w:hAnsi="EC Square Sans Cond Pro" w:cstheme="minorHAnsi"/>
                <w:i/>
                <w:noProof/>
                <w:sz w:val="18"/>
                <w:szCs w:val="18"/>
              </w:rPr>
              <w:t>9</w:t>
            </w:r>
          </w:p>
        </w:tc>
      </w:tr>
      <w:tr w:rsidR="009401C3" w:rsidRPr="00CF224E" w14:paraId="620866FC" w14:textId="77777777" w:rsidTr="00D25FC1">
        <w:trPr>
          <w:trHeight w:val="288"/>
        </w:trPr>
        <w:tc>
          <w:tcPr>
            <w:tcW w:w="1417" w:type="pct"/>
            <w:gridSpan w:val="2"/>
            <w:noWrap/>
            <w:vAlign w:val="center"/>
            <w:hideMark/>
          </w:tcPr>
          <w:p w14:paraId="05BFE602" w14:textId="77777777" w:rsidR="009401C3" w:rsidRPr="00CF224E" w:rsidRDefault="009401C3" w:rsidP="006079FA">
            <w:pPr>
              <w:keepNext/>
              <w:keepLines/>
              <w:spacing w:after="0"/>
              <w:jc w:val="left"/>
              <w:rPr>
                <w:rFonts w:ascii="EC Square Sans Cond Pro" w:eastAsia="Times New Roman" w:hAnsi="EC Square Sans Cond Pro" w:cstheme="minorHAnsi"/>
                <w:i/>
                <w:noProof/>
                <w:sz w:val="18"/>
                <w:szCs w:val="18"/>
                <w:lang w:val="en-IE"/>
              </w:rPr>
            </w:pPr>
            <w:r w:rsidRPr="00CF224E">
              <w:rPr>
                <w:rFonts w:ascii="EC Square Sans Cond Pro" w:eastAsia="Times New Roman" w:hAnsi="EC Square Sans Cond Pro" w:cstheme="minorHAnsi"/>
                <w:i/>
                <w:noProof/>
                <w:sz w:val="18"/>
                <w:szCs w:val="18"/>
                <w:lang w:val="en-IE"/>
              </w:rPr>
              <w:t>Residential and Services**</w:t>
            </w:r>
          </w:p>
        </w:tc>
        <w:tc>
          <w:tcPr>
            <w:tcW w:w="353" w:type="pct"/>
            <w:noWrap/>
            <w:vAlign w:val="center"/>
            <w:hideMark/>
          </w:tcPr>
          <w:p w14:paraId="2DE796F8"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648</w:t>
            </w:r>
          </w:p>
        </w:tc>
        <w:tc>
          <w:tcPr>
            <w:tcW w:w="353" w:type="pct"/>
            <w:noWrap/>
            <w:vAlign w:val="center"/>
            <w:hideMark/>
          </w:tcPr>
          <w:p w14:paraId="2897836F"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514</w:t>
            </w:r>
          </w:p>
        </w:tc>
        <w:tc>
          <w:tcPr>
            <w:tcW w:w="353" w:type="pct"/>
            <w:noWrap/>
            <w:vAlign w:val="center"/>
            <w:hideMark/>
          </w:tcPr>
          <w:p w14:paraId="5799FCE9"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221</w:t>
            </w:r>
          </w:p>
        </w:tc>
        <w:tc>
          <w:tcPr>
            <w:tcW w:w="354" w:type="pct"/>
            <w:tcBorders>
              <w:right w:val="dotted" w:sz="4" w:space="0" w:color="auto"/>
            </w:tcBorders>
            <w:noWrap/>
            <w:vAlign w:val="center"/>
            <w:hideMark/>
          </w:tcPr>
          <w:p w14:paraId="49884A57"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119</w:t>
            </w:r>
          </w:p>
        </w:tc>
        <w:tc>
          <w:tcPr>
            <w:tcW w:w="310" w:type="pct"/>
            <w:tcBorders>
              <w:left w:val="dotted" w:sz="4" w:space="0" w:color="auto"/>
              <w:right w:val="dotted" w:sz="4" w:space="0" w:color="auto"/>
            </w:tcBorders>
            <w:noWrap/>
            <w:vAlign w:val="center"/>
            <w:hideMark/>
          </w:tcPr>
          <w:p w14:paraId="0C98C154"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92</w:t>
            </w:r>
          </w:p>
        </w:tc>
        <w:tc>
          <w:tcPr>
            <w:tcW w:w="311" w:type="pct"/>
            <w:tcBorders>
              <w:left w:val="dotted" w:sz="4" w:space="0" w:color="auto"/>
              <w:right w:val="dotted" w:sz="4" w:space="0" w:color="auto"/>
            </w:tcBorders>
            <w:noWrap/>
            <w:vAlign w:val="center"/>
            <w:hideMark/>
          </w:tcPr>
          <w:p w14:paraId="5B3D5F33"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75</w:t>
            </w:r>
          </w:p>
        </w:tc>
        <w:tc>
          <w:tcPr>
            <w:tcW w:w="311" w:type="pct"/>
            <w:tcBorders>
              <w:left w:val="dotted" w:sz="4" w:space="0" w:color="auto"/>
            </w:tcBorders>
            <w:noWrap/>
            <w:vAlign w:val="center"/>
            <w:hideMark/>
          </w:tcPr>
          <w:p w14:paraId="5C79FD65"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highlight w:val="yellow"/>
                <w:lang w:val="en-IE"/>
              </w:rPr>
            </w:pPr>
            <w:r w:rsidRPr="00CF224E">
              <w:rPr>
                <w:rFonts w:ascii="EC Square Sans Cond Pro" w:hAnsi="EC Square Sans Cond Pro" w:cstheme="minorHAnsi"/>
                <w:i/>
                <w:noProof/>
                <w:sz w:val="18"/>
                <w:szCs w:val="18"/>
              </w:rPr>
              <w:t>92</w:t>
            </w:r>
          </w:p>
        </w:tc>
        <w:tc>
          <w:tcPr>
            <w:tcW w:w="310" w:type="pct"/>
            <w:tcBorders>
              <w:right w:val="dotted" w:sz="4" w:space="0" w:color="auto"/>
            </w:tcBorders>
            <w:vAlign w:val="center"/>
          </w:tcPr>
          <w:p w14:paraId="4EFAEBAD"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Calibri"/>
                <w:noProof/>
                <w:sz w:val="18"/>
                <w:szCs w:val="18"/>
              </w:rPr>
              <w:t>20</w:t>
            </w:r>
          </w:p>
        </w:tc>
        <w:tc>
          <w:tcPr>
            <w:tcW w:w="311" w:type="pct"/>
            <w:tcBorders>
              <w:left w:val="dotted" w:sz="4" w:space="0" w:color="auto"/>
              <w:right w:val="dotted" w:sz="4" w:space="0" w:color="auto"/>
            </w:tcBorders>
            <w:vAlign w:val="center"/>
          </w:tcPr>
          <w:p w14:paraId="0B30197A"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Calibri"/>
                <w:noProof/>
                <w:sz w:val="18"/>
                <w:szCs w:val="18"/>
              </w:rPr>
              <w:t>19</w:t>
            </w:r>
          </w:p>
        </w:tc>
        <w:tc>
          <w:tcPr>
            <w:tcW w:w="311" w:type="pct"/>
            <w:tcBorders>
              <w:left w:val="dotted" w:sz="4" w:space="0" w:color="auto"/>
              <w:right w:val="dotted" w:sz="4" w:space="0" w:color="auto"/>
            </w:tcBorders>
            <w:noWrap/>
            <w:vAlign w:val="center"/>
            <w:hideMark/>
          </w:tcPr>
          <w:p w14:paraId="4F4E17B0"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19</w:t>
            </w:r>
          </w:p>
        </w:tc>
        <w:tc>
          <w:tcPr>
            <w:tcW w:w="307" w:type="pct"/>
            <w:tcBorders>
              <w:left w:val="dotted" w:sz="4" w:space="0" w:color="auto"/>
            </w:tcBorders>
            <w:noWrap/>
            <w:vAlign w:val="center"/>
            <w:hideMark/>
          </w:tcPr>
          <w:p w14:paraId="01EFA7E3"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lang w:val="en-IE"/>
              </w:rPr>
            </w:pPr>
            <w:r w:rsidRPr="00CF224E">
              <w:rPr>
                <w:rFonts w:ascii="EC Square Sans Cond Pro" w:hAnsi="EC Square Sans Cond Pro" w:cstheme="minorHAnsi"/>
                <w:i/>
                <w:noProof/>
                <w:sz w:val="18"/>
                <w:szCs w:val="18"/>
              </w:rPr>
              <w:t>29</w:t>
            </w:r>
          </w:p>
        </w:tc>
      </w:tr>
      <w:tr w:rsidR="009401C3" w:rsidRPr="00CF224E" w14:paraId="2707E321" w14:textId="77777777" w:rsidTr="00D25FC1">
        <w:trPr>
          <w:trHeight w:val="288"/>
        </w:trPr>
        <w:tc>
          <w:tcPr>
            <w:tcW w:w="1417" w:type="pct"/>
            <w:gridSpan w:val="2"/>
            <w:noWrap/>
            <w:vAlign w:val="center"/>
            <w:hideMark/>
          </w:tcPr>
          <w:p w14:paraId="7763C23D" w14:textId="77777777" w:rsidR="009401C3" w:rsidRPr="00CF224E" w:rsidRDefault="009401C3" w:rsidP="006079FA">
            <w:pPr>
              <w:keepNext/>
              <w:keepLines/>
              <w:spacing w:after="0"/>
              <w:jc w:val="left"/>
              <w:rPr>
                <w:rFonts w:ascii="EC Square Sans Cond Pro" w:eastAsia="Times New Roman" w:hAnsi="EC Square Sans Cond Pro" w:cstheme="minorHAnsi"/>
                <w:i/>
                <w:noProof/>
                <w:sz w:val="18"/>
                <w:szCs w:val="18"/>
                <w:lang w:val="en-IE"/>
              </w:rPr>
            </w:pPr>
            <w:r w:rsidRPr="00CF224E">
              <w:rPr>
                <w:rFonts w:ascii="EC Square Sans Cond Pro" w:eastAsia="Times New Roman" w:hAnsi="EC Square Sans Cond Pro" w:cstheme="minorHAnsi"/>
                <w:i/>
                <w:noProof/>
                <w:sz w:val="18"/>
                <w:szCs w:val="18"/>
                <w:lang w:val="en-IE"/>
              </w:rPr>
              <w:t>Industry (Non-Energy)</w:t>
            </w:r>
          </w:p>
        </w:tc>
        <w:tc>
          <w:tcPr>
            <w:tcW w:w="353" w:type="pct"/>
            <w:noWrap/>
            <w:vAlign w:val="center"/>
            <w:hideMark/>
          </w:tcPr>
          <w:p w14:paraId="491F9632"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343</w:t>
            </w:r>
          </w:p>
        </w:tc>
        <w:tc>
          <w:tcPr>
            <w:tcW w:w="353" w:type="pct"/>
            <w:noWrap/>
            <w:vAlign w:val="center"/>
            <w:hideMark/>
          </w:tcPr>
          <w:p w14:paraId="5BD1D5B4"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233</w:t>
            </w:r>
          </w:p>
        </w:tc>
        <w:tc>
          <w:tcPr>
            <w:tcW w:w="353" w:type="pct"/>
            <w:noWrap/>
            <w:vAlign w:val="center"/>
            <w:hideMark/>
          </w:tcPr>
          <w:p w14:paraId="1C00368E"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157</w:t>
            </w:r>
          </w:p>
        </w:tc>
        <w:tc>
          <w:tcPr>
            <w:tcW w:w="354" w:type="pct"/>
            <w:tcBorders>
              <w:right w:val="dotted" w:sz="4" w:space="0" w:color="auto"/>
            </w:tcBorders>
            <w:noWrap/>
            <w:vAlign w:val="center"/>
            <w:hideMark/>
          </w:tcPr>
          <w:p w14:paraId="4F39A919"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139</w:t>
            </w:r>
          </w:p>
        </w:tc>
        <w:tc>
          <w:tcPr>
            <w:tcW w:w="310" w:type="pct"/>
            <w:tcBorders>
              <w:left w:val="dotted" w:sz="4" w:space="0" w:color="auto"/>
              <w:right w:val="dotted" w:sz="4" w:space="0" w:color="auto"/>
            </w:tcBorders>
            <w:noWrap/>
            <w:vAlign w:val="center"/>
            <w:hideMark/>
          </w:tcPr>
          <w:p w14:paraId="7218F0CE"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88</w:t>
            </w:r>
          </w:p>
        </w:tc>
        <w:tc>
          <w:tcPr>
            <w:tcW w:w="311" w:type="pct"/>
            <w:tcBorders>
              <w:left w:val="dotted" w:sz="4" w:space="0" w:color="auto"/>
              <w:right w:val="dotted" w:sz="4" w:space="0" w:color="auto"/>
            </w:tcBorders>
            <w:noWrap/>
            <w:vAlign w:val="center"/>
            <w:hideMark/>
          </w:tcPr>
          <w:p w14:paraId="41DB0F0A"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14</w:t>
            </w:r>
          </w:p>
        </w:tc>
        <w:tc>
          <w:tcPr>
            <w:tcW w:w="311" w:type="pct"/>
            <w:tcBorders>
              <w:left w:val="dotted" w:sz="4" w:space="0" w:color="auto"/>
            </w:tcBorders>
            <w:noWrap/>
            <w:vAlign w:val="center"/>
            <w:hideMark/>
          </w:tcPr>
          <w:p w14:paraId="0BDCC462"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highlight w:val="yellow"/>
                <w:lang w:val="en-IE"/>
              </w:rPr>
            </w:pPr>
            <w:r w:rsidRPr="00CF224E">
              <w:rPr>
                <w:rFonts w:ascii="EC Square Sans Cond Pro" w:hAnsi="EC Square Sans Cond Pro" w:cstheme="minorHAnsi"/>
                <w:i/>
                <w:noProof/>
                <w:sz w:val="18"/>
                <w:szCs w:val="18"/>
              </w:rPr>
              <w:t>13</w:t>
            </w:r>
          </w:p>
        </w:tc>
        <w:tc>
          <w:tcPr>
            <w:tcW w:w="310" w:type="pct"/>
            <w:tcBorders>
              <w:right w:val="dotted" w:sz="4" w:space="0" w:color="auto"/>
            </w:tcBorders>
            <w:vAlign w:val="center"/>
          </w:tcPr>
          <w:p w14:paraId="2F669D99"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Calibri"/>
                <w:noProof/>
                <w:sz w:val="18"/>
                <w:szCs w:val="18"/>
              </w:rPr>
              <w:t>7</w:t>
            </w:r>
          </w:p>
        </w:tc>
        <w:tc>
          <w:tcPr>
            <w:tcW w:w="311" w:type="pct"/>
            <w:tcBorders>
              <w:left w:val="dotted" w:sz="4" w:space="0" w:color="auto"/>
              <w:right w:val="dotted" w:sz="4" w:space="0" w:color="auto"/>
            </w:tcBorders>
            <w:vAlign w:val="center"/>
          </w:tcPr>
          <w:p w14:paraId="0EB8C0B0"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Calibri"/>
                <w:noProof/>
                <w:sz w:val="18"/>
                <w:szCs w:val="18"/>
              </w:rPr>
              <w:t>7</w:t>
            </w:r>
          </w:p>
        </w:tc>
        <w:tc>
          <w:tcPr>
            <w:tcW w:w="311" w:type="pct"/>
            <w:tcBorders>
              <w:left w:val="dotted" w:sz="4" w:space="0" w:color="auto"/>
              <w:right w:val="dotted" w:sz="4" w:space="0" w:color="auto"/>
            </w:tcBorders>
            <w:noWrap/>
            <w:vAlign w:val="center"/>
            <w:hideMark/>
          </w:tcPr>
          <w:p w14:paraId="60C4EC10"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7</w:t>
            </w:r>
          </w:p>
        </w:tc>
        <w:tc>
          <w:tcPr>
            <w:tcW w:w="307" w:type="pct"/>
            <w:tcBorders>
              <w:left w:val="dotted" w:sz="4" w:space="0" w:color="auto"/>
            </w:tcBorders>
            <w:noWrap/>
            <w:vAlign w:val="center"/>
            <w:hideMark/>
          </w:tcPr>
          <w:p w14:paraId="7DA110A1"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lang w:val="en-IE"/>
              </w:rPr>
            </w:pPr>
            <w:r w:rsidRPr="00CF224E">
              <w:rPr>
                <w:rFonts w:ascii="EC Square Sans Cond Pro" w:hAnsi="EC Square Sans Cond Pro" w:cstheme="minorHAnsi"/>
                <w:i/>
                <w:noProof/>
                <w:sz w:val="18"/>
                <w:szCs w:val="18"/>
              </w:rPr>
              <w:t>7</w:t>
            </w:r>
          </w:p>
        </w:tc>
      </w:tr>
      <w:tr w:rsidR="009401C3" w:rsidRPr="00CF224E" w14:paraId="50CC310D" w14:textId="77777777" w:rsidTr="00D25FC1">
        <w:trPr>
          <w:trHeight w:val="288"/>
        </w:trPr>
        <w:tc>
          <w:tcPr>
            <w:tcW w:w="1417" w:type="pct"/>
            <w:gridSpan w:val="2"/>
            <w:noWrap/>
            <w:vAlign w:val="center"/>
            <w:hideMark/>
          </w:tcPr>
          <w:p w14:paraId="74A13F87" w14:textId="77777777" w:rsidR="009401C3" w:rsidRPr="00CF224E" w:rsidRDefault="009401C3" w:rsidP="006079FA">
            <w:pPr>
              <w:keepNext/>
              <w:keepLines/>
              <w:spacing w:after="0"/>
              <w:jc w:val="left"/>
              <w:rPr>
                <w:rFonts w:ascii="EC Square Sans Cond Pro" w:eastAsia="Times New Roman" w:hAnsi="EC Square Sans Cond Pro" w:cstheme="minorHAnsi"/>
                <w:i/>
                <w:noProof/>
                <w:sz w:val="18"/>
                <w:szCs w:val="18"/>
                <w:lang w:val="en-IE"/>
              </w:rPr>
            </w:pPr>
            <w:r w:rsidRPr="00CF224E">
              <w:rPr>
                <w:rFonts w:ascii="EC Square Sans Cond Pro" w:eastAsia="Times New Roman" w:hAnsi="EC Square Sans Cond Pro" w:cstheme="minorHAnsi"/>
                <w:i/>
                <w:noProof/>
                <w:sz w:val="18"/>
                <w:szCs w:val="18"/>
                <w:lang w:val="en-IE"/>
              </w:rPr>
              <w:t>Other Non-Energy sectors***</w:t>
            </w:r>
          </w:p>
        </w:tc>
        <w:tc>
          <w:tcPr>
            <w:tcW w:w="353" w:type="pct"/>
            <w:noWrap/>
            <w:vAlign w:val="center"/>
            <w:hideMark/>
          </w:tcPr>
          <w:p w14:paraId="690F1660"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101</w:t>
            </w:r>
          </w:p>
        </w:tc>
        <w:tc>
          <w:tcPr>
            <w:tcW w:w="353" w:type="pct"/>
            <w:noWrap/>
            <w:vAlign w:val="center"/>
            <w:hideMark/>
          </w:tcPr>
          <w:p w14:paraId="02DA564B"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130</w:t>
            </w:r>
          </w:p>
        </w:tc>
        <w:tc>
          <w:tcPr>
            <w:tcW w:w="353" w:type="pct"/>
            <w:noWrap/>
            <w:vAlign w:val="center"/>
            <w:hideMark/>
          </w:tcPr>
          <w:p w14:paraId="0D2D2090"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56</w:t>
            </w:r>
          </w:p>
        </w:tc>
        <w:tc>
          <w:tcPr>
            <w:tcW w:w="354" w:type="pct"/>
            <w:tcBorders>
              <w:right w:val="dotted" w:sz="4" w:space="0" w:color="auto"/>
            </w:tcBorders>
            <w:noWrap/>
            <w:vAlign w:val="center"/>
            <w:hideMark/>
          </w:tcPr>
          <w:p w14:paraId="1746F954"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33</w:t>
            </w:r>
          </w:p>
        </w:tc>
        <w:tc>
          <w:tcPr>
            <w:tcW w:w="310" w:type="pct"/>
            <w:tcBorders>
              <w:left w:val="dotted" w:sz="4" w:space="0" w:color="auto"/>
              <w:right w:val="dotted" w:sz="4" w:space="0" w:color="auto"/>
            </w:tcBorders>
            <w:noWrap/>
            <w:vAlign w:val="center"/>
            <w:hideMark/>
          </w:tcPr>
          <w:p w14:paraId="18D7BACA"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26</w:t>
            </w:r>
          </w:p>
        </w:tc>
        <w:tc>
          <w:tcPr>
            <w:tcW w:w="311" w:type="pct"/>
            <w:tcBorders>
              <w:left w:val="dotted" w:sz="4" w:space="0" w:color="auto"/>
              <w:right w:val="dotted" w:sz="4" w:space="0" w:color="auto"/>
            </w:tcBorders>
            <w:noWrap/>
            <w:vAlign w:val="center"/>
            <w:hideMark/>
          </w:tcPr>
          <w:p w14:paraId="27259337"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25</w:t>
            </w:r>
          </w:p>
        </w:tc>
        <w:tc>
          <w:tcPr>
            <w:tcW w:w="311" w:type="pct"/>
            <w:tcBorders>
              <w:left w:val="dotted" w:sz="4" w:space="0" w:color="auto"/>
            </w:tcBorders>
            <w:noWrap/>
            <w:vAlign w:val="center"/>
            <w:hideMark/>
          </w:tcPr>
          <w:p w14:paraId="678D6D2C"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highlight w:val="yellow"/>
                <w:lang w:val="en-IE"/>
              </w:rPr>
            </w:pPr>
            <w:r w:rsidRPr="00CF224E">
              <w:rPr>
                <w:rFonts w:ascii="EC Square Sans Cond Pro" w:hAnsi="EC Square Sans Cond Pro" w:cstheme="minorHAnsi"/>
                <w:i/>
                <w:noProof/>
                <w:sz w:val="18"/>
                <w:szCs w:val="18"/>
              </w:rPr>
              <w:t>25</w:t>
            </w:r>
          </w:p>
        </w:tc>
        <w:tc>
          <w:tcPr>
            <w:tcW w:w="310" w:type="pct"/>
            <w:tcBorders>
              <w:right w:val="dotted" w:sz="4" w:space="0" w:color="auto"/>
            </w:tcBorders>
            <w:vAlign w:val="center"/>
          </w:tcPr>
          <w:p w14:paraId="37A21E6B"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Calibri"/>
                <w:noProof/>
                <w:sz w:val="18"/>
                <w:szCs w:val="18"/>
              </w:rPr>
              <w:t>23</w:t>
            </w:r>
          </w:p>
        </w:tc>
        <w:tc>
          <w:tcPr>
            <w:tcW w:w="311" w:type="pct"/>
            <w:tcBorders>
              <w:left w:val="dotted" w:sz="4" w:space="0" w:color="auto"/>
              <w:right w:val="dotted" w:sz="4" w:space="0" w:color="auto"/>
            </w:tcBorders>
            <w:vAlign w:val="center"/>
          </w:tcPr>
          <w:p w14:paraId="6175C08B"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Calibri"/>
                <w:noProof/>
                <w:sz w:val="18"/>
                <w:szCs w:val="18"/>
              </w:rPr>
              <w:t>22</w:t>
            </w:r>
          </w:p>
        </w:tc>
        <w:tc>
          <w:tcPr>
            <w:tcW w:w="311" w:type="pct"/>
            <w:tcBorders>
              <w:left w:val="dotted" w:sz="4" w:space="0" w:color="auto"/>
              <w:right w:val="dotted" w:sz="4" w:space="0" w:color="auto"/>
            </w:tcBorders>
            <w:noWrap/>
            <w:vAlign w:val="center"/>
            <w:hideMark/>
          </w:tcPr>
          <w:p w14:paraId="7D686DE2"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22</w:t>
            </w:r>
          </w:p>
        </w:tc>
        <w:tc>
          <w:tcPr>
            <w:tcW w:w="307" w:type="pct"/>
            <w:tcBorders>
              <w:left w:val="dotted" w:sz="4" w:space="0" w:color="auto"/>
            </w:tcBorders>
            <w:noWrap/>
            <w:vAlign w:val="center"/>
            <w:hideMark/>
          </w:tcPr>
          <w:p w14:paraId="2A4C6BB1"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lang w:val="en-IE"/>
              </w:rPr>
            </w:pPr>
            <w:r w:rsidRPr="00CF224E">
              <w:rPr>
                <w:rFonts w:ascii="EC Square Sans Cond Pro" w:hAnsi="EC Square Sans Cond Pro" w:cstheme="minorHAnsi"/>
                <w:i/>
                <w:noProof/>
                <w:sz w:val="18"/>
                <w:szCs w:val="18"/>
              </w:rPr>
              <w:t>22</w:t>
            </w:r>
          </w:p>
        </w:tc>
      </w:tr>
      <w:tr w:rsidR="009401C3" w:rsidRPr="00CF224E" w14:paraId="2CB41835" w14:textId="77777777" w:rsidTr="00D25FC1">
        <w:trPr>
          <w:trHeight w:val="288"/>
        </w:trPr>
        <w:tc>
          <w:tcPr>
            <w:tcW w:w="753" w:type="pct"/>
            <w:vMerge w:val="restart"/>
            <w:noWrap/>
            <w:vAlign w:val="center"/>
            <w:hideMark/>
          </w:tcPr>
          <w:p w14:paraId="4482B210" w14:textId="77777777" w:rsidR="009401C3" w:rsidRPr="00CF224E" w:rsidRDefault="009401C3" w:rsidP="006079FA">
            <w:pPr>
              <w:keepNext/>
              <w:keepLines/>
              <w:spacing w:after="0"/>
              <w:jc w:val="left"/>
              <w:rPr>
                <w:rFonts w:ascii="EC Square Sans Cond Pro" w:eastAsia="Times New Roman" w:hAnsi="EC Square Sans Cond Pro" w:cstheme="minorHAnsi"/>
                <w:i/>
                <w:noProof/>
                <w:sz w:val="18"/>
                <w:szCs w:val="18"/>
                <w:lang w:val="fr-BE"/>
              </w:rPr>
            </w:pPr>
            <w:r w:rsidRPr="00CF224E">
              <w:rPr>
                <w:rFonts w:ascii="EC Square Sans Cond Pro" w:eastAsia="Times New Roman" w:hAnsi="EC Square Sans Cond Pro" w:cstheme="minorHAnsi"/>
                <w:i/>
                <w:noProof/>
                <w:sz w:val="18"/>
                <w:szCs w:val="18"/>
                <w:lang w:val="fr-BE"/>
              </w:rPr>
              <w:t>International transport (target scope)</w:t>
            </w:r>
          </w:p>
        </w:tc>
        <w:tc>
          <w:tcPr>
            <w:tcW w:w="664" w:type="pct"/>
            <w:vAlign w:val="center"/>
          </w:tcPr>
          <w:p w14:paraId="64F5F0B1" w14:textId="77777777" w:rsidR="009401C3" w:rsidRPr="00CF224E" w:rsidRDefault="009401C3" w:rsidP="006079FA">
            <w:pPr>
              <w:keepNext/>
              <w:keepLines/>
              <w:spacing w:after="0"/>
              <w:jc w:val="left"/>
              <w:rPr>
                <w:rFonts w:ascii="EC Square Sans Cond Pro" w:eastAsia="Times New Roman" w:hAnsi="EC Square Sans Cond Pro" w:cstheme="minorHAnsi"/>
                <w:i/>
                <w:noProof/>
                <w:sz w:val="18"/>
                <w:szCs w:val="18"/>
                <w:lang w:val="fr-BE"/>
              </w:rPr>
            </w:pPr>
            <w:r w:rsidRPr="00CF224E">
              <w:rPr>
                <w:rFonts w:ascii="EC Square Sans Cond Pro" w:eastAsia="Times New Roman" w:hAnsi="EC Square Sans Cond Pro" w:cstheme="minorHAnsi"/>
                <w:i/>
                <w:noProof/>
                <w:sz w:val="18"/>
                <w:szCs w:val="18"/>
                <w:lang w:val="fr-BE"/>
              </w:rPr>
              <w:t>Intra-EU aviation</w:t>
            </w:r>
          </w:p>
        </w:tc>
        <w:tc>
          <w:tcPr>
            <w:tcW w:w="353" w:type="pct"/>
            <w:noWrap/>
            <w:vAlign w:val="center"/>
            <w:hideMark/>
          </w:tcPr>
          <w:p w14:paraId="4A1FB12F"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35</w:t>
            </w:r>
          </w:p>
        </w:tc>
        <w:tc>
          <w:tcPr>
            <w:tcW w:w="353" w:type="pct"/>
            <w:noWrap/>
            <w:vAlign w:val="center"/>
            <w:hideMark/>
          </w:tcPr>
          <w:p w14:paraId="3CDD2DB8"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38</w:t>
            </w:r>
          </w:p>
        </w:tc>
        <w:tc>
          <w:tcPr>
            <w:tcW w:w="353" w:type="pct"/>
            <w:noWrap/>
            <w:vAlign w:val="center"/>
            <w:hideMark/>
          </w:tcPr>
          <w:p w14:paraId="0C2FB6ED"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43</w:t>
            </w:r>
          </w:p>
        </w:tc>
        <w:tc>
          <w:tcPr>
            <w:tcW w:w="354" w:type="pct"/>
            <w:tcBorders>
              <w:right w:val="dotted" w:sz="4" w:space="0" w:color="auto"/>
            </w:tcBorders>
            <w:noWrap/>
            <w:vAlign w:val="center"/>
            <w:hideMark/>
          </w:tcPr>
          <w:p w14:paraId="1D8955BA"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31</w:t>
            </w:r>
          </w:p>
        </w:tc>
        <w:tc>
          <w:tcPr>
            <w:tcW w:w="310" w:type="pct"/>
            <w:tcBorders>
              <w:left w:val="dotted" w:sz="4" w:space="0" w:color="auto"/>
              <w:right w:val="dotted" w:sz="4" w:space="0" w:color="auto"/>
            </w:tcBorders>
            <w:noWrap/>
            <w:vAlign w:val="center"/>
            <w:hideMark/>
          </w:tcPr>
          <w:p w14:paraId="38AA79D1"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29</w:t>
            </w:r>
          </w:p>
        </w:tc>
        <w:tc>
          <w:tcPr>
            <w:tcW w:w="311" w:type="pct"/>
            <w:tcBorders>
              <w:left w:val="dotted" w:sz="4" w:space="0" w:color="auto"/>
              <w:right w:val="dotted" w:sz="4" w:space="0" w:color="auto"/>
            </w:tcBorders>
            <w:noWrap/>
            <w:vAlign w:val="center"/>
            <w:hideMark/>
          </w:tcPr>
          <w:p w14:paraId="7F101812"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28</w:t>
            </w:r>
          </w:p>
        </w:tc>
        <w:tc>
          <w:tcPr>
            <w:tcW w:w="311" w:type="pct"/>
            <w:tcBorders>
              <w:left w:val="dotted" w:sz="4" w:space="0" w:color="auto"/>
            </w:tcBorders>
            <w:noWrap/>
            <w:vAlign w:val="center"/>
            <w:hideMark/>
          </w:tcPr>
          <w:p w14:paraId="27785FE1"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highlight w:val="yellow"/>
                <w:lang w:val="en-IE"/>
              </w:rPr>
            </w:pPr>
            <w:r w:rsidRPr="00CF224E">
              <w:rPr>
                <w:rFonts w:ascii="EC Square Sans Cond Pro" w:hAnsi="EC Square Sans Cond Pro" w:cs="Calibri"/>
                <w:i/>
                <w:noProof/>
                <w:sz w:val="18"/>
                <w:szCs w:val="18"/>
              </w:rPr>
              <w:t>14</w:t>
            </w:r>
          </w:p>
        </w:tc>
        <w:tc>
          <w:tcPr>
            <w:tcW w:w="310" w:type="pct"/>
            <w:tcBorders>
              <w:right w:val="dotted" w:sz="4" w:space="0" w:color="auto"/>
            </w:tcBorders>
            <w:vAlign w:val="center"/>
          </w:tcPr>
          <w:p w14:paraId="5002FF99"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Calibri"/>
                <w:noProof/>
                <w:sz w:val="18"/>
                <w:szCs w:val="18"/>
              </w:rPr>
              <w:t>14</w:t>
            </w:r>
          </w:p>
        </w:tc>
        <w:tc>
          <w:tcPr>
            <w:tcW w:w="311" w:type="pct"/>
            <w:tcBorders>
              <w:left w:val="dotted" w:sz="4" w:space="0" w:color="auto"/>
              <w:right w:val="dotted" w:sz="4" w:space="0" w:color="auto"/>
            </w:tcBorders>
            <w:vAlign w:val="center"/>
          </w:tcPr>
          <w:p w14:paraId="1E1467A7"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Calibri"/>
                <w:noProof/>
                <w:sz w:val="18"/>
                <w:szCs w:val="18"/>
              </w:rPr>
              <w:t>12</w:t>
            </w:r>
          </w:p>
        </w:tc>
        <w:tc>
          <w:tcPr>
            <w:tcW w:w="311" w:type="pct"/>
            <w:tcBorders>
              <w:left w:val="dotted" w:sz="4" w:space="0" w:color="auto"/>
              <w:right w:val="dotted" w:sz="4" w:space="0" w:color="auto"/>
            </w:tcBorders>
            <w:noWrap/>
            <w:vAlign w:val="center"/>
            <w:hideMark/>
          </w:tcPr>
          <w:p w14:paraId="0FD927B2"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eastAsia="Times New Roman" w:hAnsi="EC Square Sans Cond Pro" w:cstheme="minorHAnsi"/>
                <w:noProof/>
                <w:sz w:val="18"/>
                <w:szCs w:val="18"/>
                <w:lang w:val="en-IE"/>
              </w:rPr>
              <w:t>11</w:t>
            </w:r>
          </w:p>
        </w:tc>
        <w:tc>
          <w:tcPr>
            <w:tcW w:w="307" w:type="pct"/>
            <w:tcBorders>
              <w:left w:val="dotted" w:sz="4" w:space="0" w:color="auto"/>
            </w:tcBorders>
            <w:noWrap/>
            <w:vAlign w:val="center"/>
            <w:hideMark/>
          </w:tcPr>
          <w:p w14:paraId="18D489B8"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lang w:val="en-IE"/>
              </w:rPr>
            </w:pPr>
            <w:r w:rsidRPr="00CF224E">
              <w:rPr>
                <w:rFonts w:ascii="EC Square Sans Cond Pro" w:hAnsi="EC Square Sans Cond Pro" w:cstheme="minorHAnsi"/>
                <w:i/>
                <w:noProof/>
                <w:sz w:val="18"/>
                <w:szCs w:val="18"/>
              </w:rPr>
              <w:t>10</w:t>
            </w:r>
          </w:p>
        </w:tc>
      </w:tr>
      <w:tr w:rsidR="009401C3" w:rsidRPr="00CF224E" w14:paraId="5D1115E2" w14:textId="77777777" w:rsidTr="00D25FC1">
        <w:trPr>
          <w:trHeight w:val="288"/>
        </w:trPr>
        <w:tc>
          <w:tcPr>
            <w:tcW w:w="753" w:type="pct"/>
            <w:vMerge/>
            <w:noWrap/>
            <w:vAlign w:val="center"/>
            <w:hideMark/>
          </w:tcPr>
          <w:p w14:paraId="14118438" w14:textId="77777777" w:rsidR="009401C3" w:rsidRPr="00CF224E" w:rsidRDefault="009401C3" w:rsidP="006079FA">
            <w:pPr>
              <w:keepNext/>
              <w:keepLines/>
              <w:spacing w:after="0"/>
              <w:jc w:val="left"/>
              <w:rPr>
                <w:rFonts w:ascii="EC Square Sans Cond Pro" w:eastAsia="Times New Roman" w:hAnsi="EC Square Sans Cond Pro" w:cstheme="minorHAnsi"/>
                <w:i/>
                <w:noProof/>
                <w:sz w:val="18"/>
                <w:szCs w:val="18"/>
                <w:lang w:val="fr-BE"/>
              </w:rPr>
            </w:pPr>
          </w:p>
        </w:tc>
        <w:tc>
          <w:tcPr>
            <w:tcW w:w="664" w:type="pct"/>
            <w:vAlign w:val="center"/>
          </w:tcPr>
          <w:p w14:paraId="7F0A1F72" w14:textId="77777777" w:rsidR="009401C3" w:rsidRPr="00CF224E" w:rsidRDefault="009401C3" w:rsidP="006079FA">
            <w:pPr>
              <w:keepNext/>
              <w:keepLines/>
              <w:spacing w:after="0"/>
              <w:jc w:val="left"/>
              <w:rPr>
                <w:rFonts w:ascii="EC Square Sans Cond Pro" w:eastAsia="Times New Roman" w:hAnsi="EC Square Sans Cond Pro" w:cstheme="minorHAnsi"/>
                <w:i/>
                <w:noProof/>
                <w:sz w:val="18"/>
                <w:szCs w:val="18"/>
                <w:lang w:val="fr-BE"/>
              </w:rPr>
            </w:pPr>
            <w:r w:rsidRPr="00CF224E">
              <w:rPr>
                <w:rFonts w:ascii="EC Square Sans Cond Pro" w:eastAsia="Times New Roman" w:hAnsi="EC Square Sans Cond Pro" w:cstheme="minorHAnsi"/>
                <w:i/>
                <w:noProof/>
                <w:sz w:val="18"/>
                <w:szCs w:val="18"/>
                <w:lang w:val="fr-BE"/>
              </w:rPr>
              <w:t>Intra-EU navigation</w:t>
            </w:r>
          </w:p>
        </w:tc>
        <w:tc>
          <w:tcPr>
            <w:tcW w:w="353" w:type="pct"/>
            <w:noWrap/>
            <w:vAlign w:val="center"/>
            <w:hideMark/>
          </w:tcPr>
          <w:p w14:paraId="42656714"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31</w:t>
            </w:r>
          </w:p>
        </w:tc>
        <w:tc>
          <w:tcPr>
            <w:tcW w:w="353" w:type="pct"/>
            <w:noWrap/>
            <w:vAlign w:val="center"/>
            <w:hideMark/>
          </w:tcPr>
          <w:p w14:paraId="47303E1C"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27</w:t>
            </w:r>
          </w:p>
        </w:tc>
        <w:tc>
          <w:tcPr>
            <w:tcW w:w="353" w:type="pct"/>
            <w:noWrap/>
            <w:vAlign w:val="center"/>
            <w:hideMark/>
          </w:tcPr>
          <w:p w14:paraId="20CB9BD4"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25</w:t>
            </w:r>
          </w:p>
        </w:tc>
        <w:tc>
          <w:tcPr>
            <w:tcW w:w="354" w:type="pct"/>
            <w:tcBorders>
              <w:right w:val="dotted" w:sz="4" w:space="0" w:color="auto"/>
            </w:tcBorders>
            <w:noWrap/>
            <w:vAlign w:val="center"/>
            <w:hideMark/>
          </w:tcPr>
          <w:p w14:paraId="3E25DDD2"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7</w:t>
            </w:r>
          </w:p>
        </w:tc>
        <w:tc>
          <w:tcPr>
            <w:tcW w:w="310" w:type="pct"/>
            <w:tcBorders>
              <w:left w:val="dotted" w:sz="4" w:space="0" w:color="auto"/>
              <w:right w:val="dotted" w:sz="4" w:space="0" w:color="auto"/>
            </w:tcBorders>
            <w:noWrap/>
            <w:vAlign w:val="center"/>
            <w:hideMark/>
          </w:tcPr>
          <w:p w14:paraId="4DBB97E8"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6</w:t>
            </w:r>
          </w:p>
        </w:tc>
        <w:tc>
          <w:tcPr>
            <w:tcW w:w="311" w:type="pct"/>
            <w:tcBorders>
              <w:left w:val="dotted" w:sz="4" w:space="0" w:color="auto"/>
              <w:right w:val="dotted" w:sz="4" w:space="0" w:color="auto"/>
            </w:tcBorders>
            <w:noWrap/>
            <w:vAlign w:val="center"/>
            <w:hideMark/>
          </w:tcPr>
          <w:p w14:paraId="30BF7839"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4</w:t>
            </w:r>
          </w:p>
        </w:tc>
        <w:tc>
          <w:tcPr>
            <w:tcW w:w="311" w:type="pct"/>
            <w:tcBorders>
              <w:left w:val="dotted" w:sz="4" w:space="0" w:color="auto"/>
            </w:tcBorders>
            <w:noWrap/>
            <w:vAlign w:val="center"/>
            <w:hideMark/>
          </w:tcPr>
          <w:p w14:paraId="3C73ED7C"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highlight w:val="yellow"/>
                <w:lang w:val="en-IE"/>
              </w:rPr>
            </w:pPr>
            <w:r w:rsidRPr="00CF224E">
              <w:rPr>
                <w:rFonts w:ascii="EC Square Sans Cond Pro" w:hAnsi="EC Square Sans Cond Pro" w:cs="Calibri"/>
                <w:i/>
                <w:noProof/>
                <w:sz w:val="18"/>
                <w:szCs w:val="18"/>
              </w:rPr>
              <w:t>0</w:t>
            </w:r>
          </w:p>
        </w:tc>
        <w:tc>
          <w:tcPr>
            <w:tcW w:w="310" w:type="pct"/>
            <w:tcBorders>
              <w:right w:val="dotted" w:sz="4" w:space="0" w:color="auto"/>
            </w:tcBorders>
            <w:vAlign w:val="center"/>
          </w:tcPr>
          <w:p w14:paraId="466A9287"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Calibri"/>
                <w:noProof/>
                <w:sz w:val="18"/>
                <w:szCs w:val="18"/>
              </w:rPr>
              <w:t>0</w:t>
            </w:r>
          </w:p>
        </w:tc>
        <w:tc>
          <w:tcPr>
            <w:tcW w:w="311" w:type="pct"/>
            <w:tcBorders>
              <w:left w:val="dotted" w:sz="4" w:space="0" w:color="auto"/>
              <w:right w:val="dotted" w:sz="4" w:space="0" w:color="auto"/>
            </w:tcBorders>
            <w:vAlign w:val="center"/>
          </w:tcPr>
          <w:p w14:paraId="01840EC7"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Calibri"/>
                <w:noProof/>
                <w:sz w:val="18"/>
                <w:szCs w:val="18"/>
              </w:rPr>
              <w:t>0</w:t>
            </w:r>
          </w:p>
        </w:tc>
        <w:tc>
          <w:tcPr>
            <w:tcW w:w="311" w:type="pct"/>
            <w:tcBorders>
              <w:left w:val="dotted" w:sz="4" w:space="0" w:color="auto"/>
              <w:right w:val="dotted" w:sz="4" w:space="0" w:color="auto"/>
            </w:tcBorders>
            <w:noWrap/>
            <w:vAlign w:val="center"/>
            <w:hideMark/>
          </w:tcPr>
          <w:p w14:paraId="42379194"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eastAsia="Times New Roman" w:hAnsi="EC Square Sans Cond Pro" w:cstheme="minorHAnsi"/>
                <w:noProof/>
                <w:sz w:val="18"/>
                <w:szCs w:val="18"/>
                <w:lang w:val="en-IE"/>
              </w:rPr>
              <w:t>0</w:t>
            </w:r>
          </w:p>
        </w:tc>
        <w:tc>
          <w:tcPr>
            <w:tcW w:w="307" w:type="pct"/>
            <w:tcBorders>
              <w:left w:val="dotted" w:sz="4" w:space="0" w:color="auto"/>
            </w:tcBorders>
            <w:noWrap/>
            <w:vAlign w:val="center"/>
            <w:hideMark/>
          </w:tcPr>
          <w:p w14:paraId="68D8B7D3"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lang w:val="en-IE"/>
              </w:rPr>
            </w:pPr>
            <w:r w:rsidRPr="00CF224E">
              <w:rPr>
                <w:rFonts w:ascii="EC Square Sans Cond Pro" w:hAnsi="EC Square Sans Cond Pro" w:cstheme="minorHAnsi"/>
                <w:i/>
                <w:noProof/>
                <w:sz w:val="18"/>
                <w:szCs w:val="18"/>
              </w:rPr>
              <w:t>0</w:t>
            </w:r>
          </w:p>
        </w:tc>
      </w:tr>
      <w:tr w:rsidR="009401C3" w:rsidRPr="00CF224E" w14:paraId="23782B5C" w14:textId="77777777" w:rsidTr="00D25FC1">
        <w:trPr>
          <w:trHeight w:val="288"/>
        </w:trPr>
        <w:tc>
          <w:tcPr>
            <w:tcW w:w="753" w:type="pct"/>
            <w:vMerge/>
            <w:noWrap/>
            <w:vAlign w:val="center"/>
            <w:hideMark/>
          </w:tcPr>
          <w:p w14:paraId="73815F15" w14:textId="77777777" w:rsidR="009401C3" w:rsidRPr="00CF224E" w:rsidRDefault="009401C3" w:rsidP="006079FA">
            <w:pPr>
              <w:keepNext/>
              <w:keepLines/>
              <w:spacing w:after="0"/>
              <w:jc w:val="left"/>
              <w:rPr>
                <w:rFonts w:ascii="EC Square Sans Cond Pro" w:eastAsia="Times New Roman" w:hAnsi="EC Square Sans Cond Pro" w:cstheme="minorHAnsi"/>
                <w:i/>
                <w:noProof/>
                <w:sz w:val="18"/>
                <w:szCs w:val="18"/>
                <w:lang w:val="fr-BE"/>
              </w:rPr>
            </w:pPr>
          </w:p>
        </w:tc>
        <w:tc>
          <w:tcPr>
            <w:tcW w:w="664" w:type="pct"/>
            <w:vAlign w:val="center"/>
          </w:tcPr>
          <w:p w14:paraId="45299C9E" w14:textId="77777777" w:rsidR="009401C3" w:rsidRPr="00CF224E" w:rsidRDefault="009401C3" w:rsidP="006079FA">
            <w:pPr>
              <w:keepNext/>
              <w:keepLines/>
              <w:spacing w:after="0"/>
              <w:jc w:val="left"/>
              <w:rPr>
                <w:rFonts w:ascii="EC Square Sans Cond Pro" w:eastAsia="Times New Roman" w:hAnsi="EC Square Sans Cond Pro" w:cstheme="minorHAnsi"/>
                <w:i/>
                <w:noProof/>
                <w:sz w:val="18"/>
                <w:szCs w:val="18"/>
                <w:lang w:val="fr-BE"/>
              </w:rPr>
            </w:pPr>
            <w:r w:rsidRPr="00CF224E">
              <w:rPr>
                <w:rFonts w:ascii="EC Square Sans Cond Pro" w:eastAsia="Times New Roman" w:hAnsi="EC Square Sans Cond Pro" w:cstheme="minorHAnsi"/>
                <w:i/>
                <w:noProof/>
                <w:sz w:val="18"/>
                <w:szCs w:val="18"/>
                <w:lang w:val="fr-BE"/>
              </w:rPr>
              <w:t>50% extra-EU maritime MRV</w:t>
            </w:r>
          </w:p>
        </w:tc>
        <w:tc>
          <w:tcPr>
            <w:tcW w:w="353" w:type="pct"/>
            <w:noWrap/>
            <w:vAlign w:val="center"/>
            <w:hideMark/>
          </w:tcPr>
          <w:p w14:paraId="686A3A21"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50</w:t>
            </w:r>
          </w:p>
        </w:tc>
        <w:tc>
          <w:tcPr>
            <w:tcW w:w="353" w:type="pct"/>
            <w:noWrap/>
            <w:vAlign w:val="center"/>
            <w:hideMark/>
          </w:tcPr>
          <w:p w14:paraId="4E44F0EF"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42</w:t>
            </w:r>
          </w:p>
        </w:tc>
        <w:tc>
          <w:tcPr>
            <w:tcW w:w="353" w:type="pct"/>
            <w:noWrap/>
            <w:vAlign w:val="center"/>
            <w:hideMark/>
          </w:tcPr>
          <w:p w14:paraId="45DBDEB6"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44</w:t>
            </w:r>
          </w:p>
        </w:tc>
        <w:tc>
          <w:tcPr>
            <w:tcW w:w="354" w:type="pct"/>
            <w:tcBorders>
              <w:right w:val="dotted" w:sz="4" w:space="0" w:color="auto"/>
            </w:tcBorders>
            <w:noWrap/>
            <w:vAlign w:val="center"/>
            <w:hideMark/>
          </w:tcPr>
          <w:p w14:paraId="1EFBB673"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14</w:t>
            </w:r>
          </w:p>
        </w:tc>
        <w:tc>
          <w:tcPr>
            <w:tcW w:w="310" w:type="pct"/>
            <w:tcBorders>
              <w:left w:val="dotted" w:sz="4" w:space="0" w:color="auto"/>
              <w:right w:val="dotted" w:sz="4" w:space="0" w:color="auto"/>
            </w:tcBorders>
            <w:noWrap/>
            <w:vAlign w:val="center"/>
            <w:hideMark/>
          </w:tcPr>
          <w:p w14:paraId="39931472"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11</w:t>
            </w:r>
          </w:p>
        </w:tc>
        <w:tc>
          <w:tcPr>
            <w:tcW w:w="311" w:type="pct"/>
            <w:tcBorders>
              <w:left w:val="dotted" w:sz="4" w:space="0" w:color="auto"/>
              <w:right w:val="dotted" w:sz="4" w:space="0" w:color="auto"/>
            </w:tcBorders>
            <w:noWrap/>
            <w:vAlign w:val="center"/>
            <w:hideMark/>
          </w:tcPr>
          <w:p w14:paraId="5A843BDE"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9</w:t>
            </w:r>
          </w:p>
        </w:tc>
        <w:tc>
          <w:tcPr>
            <w:tcW w:w="311" w:type="pct"/>
            <w:tcBorders>
              <w:left w:val="dotted" w:sz="4" w:space="0" w:color="auto"/>
            </w:tcBorders>
            <w:noWrap/>
            <w:vAlign w:val="center"/>
            <w:hideMark/>
          </w:tcPr>
          <w:p w14:paraId="1DF9A76A"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highlight w:val="yellow"/>
                <w:lang w:val="en-IE"/>
              </w:rPr>
            </w:pPr>
            <w:r w:rsidRPr="00CF224E">
              <w:rPr>
                <w:rFonts w:ascii="EC Square Sans Cond Pro" w:hAnsi="EC Square Sans Cond Pro" w:cs="Calibri"/>
                <w:i/>
                <w:noProof/>
                <w:sz w:val="18"/>
                <w:szCs w:val="18"/>
              </w:rPr>
              <w:t>0</w:t>
            </w:r>
          </w:p>
        </w:tc>
        <w:tc>
          <w:tcPr>
            <w:tcW w:w="310" w:type="pct"/>
            <w:tcBorders>
              <w:right w:val="dotted" w:sz="4" w:space="0" w:color="auto"/>
            </w:tcBorders>
            <w:vAlign w:val="center"/>
          </w:tcPr>
          <w:p w14:paraId="0D985957"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Calibri"/>
                <w:noProof/>
                <w:sz w:val="18"/>
                <w:szCs w:val="18"/>
              </w:rPr>
              <w:t>0</w:t>
            </w:r>
          </w:p>
        </w:tc>
        <w:tc>
          <w:tcPr>
            <w:tcW w:w="311" w:type="pct"/>
            <w:tcBorders>
              <w:left w:val="dotted" w:sz="4" w:space="0" w:color="auto"/>
              <w:right w:val="dotted" w:sz="4" w:space="0" w:color="auto"/>
            </w:tcBorders>
            <w:vAlign w:val="center"/>
          </w:tcPr>
          <w:p w14:paraId="28A80B31"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Calibri"/>
                <w:noProof/>
                <w:sz w:val="18"/>
                <w:szCs w:val="18"/>
              </w:rPr>
              <w:t>0</w:t>
            </w:r>
          </w:p>
        </w:tc>
        <w:tc>
          <w:tcPr>
            <w:tcW w:w="311" w:type="pct"/>
            <w:tcBorders>
              <w:left w:val="dotted" w:sz="4" w:space="0" w:color="auto"/>
              <w:right w:val="dotted" w:sz="4" w:space="0" w:color="auto"/>
            </w:tcBorders>
            <w:noWrap/>
            <w:vAlign w:val="center"/>
            <w:hideMark/>
          </w:tcPr>
          <w:p w14:paraId="51C20D33"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eastAsia="Times New Roman" w:hAnsi="EC Square Sans Cond Pro" w:cstheme="minorHAnsi"/>
                <w:noProof/>
                <w:sz w:val="18"/>
                <w:szCs w:val="18"/>
                <w:lang w:val="en-IE"/>
              </w:rPr>
              <w:t>0</w:t>
            </w:r>
          </w:p>
        </w:tc>
        <w:tc>
          <w:tcPr>
            <w:tcW w:w="307" w:type="pct"/>
            <w:tcBorders>
              <w:left w:val="dotted" w:sz="4" w:space="0" w:color="auto"/>
            </w:tcBorders>
            <w:noWrap/>
            <w:vAlign w:val="center"/>
            <w:hideMark/>
          </w:tcPr>
          <w:p w14:paraId="1C81326C"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lang w:val="en-IE"/>
              </w:rPr>
            </w:pPr>
            <w:r w:rsidRPr="00CF224E">
              <w:rPr>
                <w:rFonts w:ascii="EC Square Sans Cond Pro" w:hAnsi="EC Square Sans Cond Pro" w:cstheme="minorHAnsi"/>
                <w:i/>
                <w:noProof/>
                <w:sz w:val="18"/>
                <w:szCs w:val="18"/>
              </w:rPr>
              <w:t>0</w:t>
            </w:r>
          </w:p>
        </w:tc>
      </w:tr>
      <w:tr w:rsidR="009401C3" w:rsidRPr="00CF224E" w14:paraId="3884E7CF" w14:textId="77777777" w:rsidTr="00D25FC1">
        <w:trPr>
          <w:trHeight w:val="288"/>
        </w:trPr>
        <w:tc>
          <w:tcPr>
            <w:tcW w:w="1417" w:type="pct"/>
            <w:gridSpan w:val="2"/>
            <w:noWrap/>
            <w:vAlign w:val="center"/>
            <w:hideMark/>
          </w:tcPr>
          <w:p w14:paraId="54241EE5" w14:textId="77777777" w:rsidR="009401C3" w:rsidRPr="00CF224E" w:rsidRDefault="009401C3" w:rsidP="006079FA">
            <w:pPr>
              <w:keepNext/>
              <w:keepLines/>
              <w:spacing w:after="0"/>
              <w:jc w:val="left"/>
              <w:rPr>
                <w:rFonts w:ascii="EC Square Sans Cond Pro" w:eastAsia="Times New Roman" w:hAnsi="EC Square Sans Cond Pro" w:cstheme="minorHAnsi"/>
                <w:i/>
                <w:noProof/>
                <w:sz w:val="18"/>
                <w:szCs w:val="18"/>
                <w:lang w:val="en-IE"/>
              </w:rPr>
            </w:pPr>
            <w:r w:rsidRPr="00CF224E">
              <w:rPr>
                <w:rFonts w:ascii="EC Square Sans Cond Pro" w:eastAsia="Times New Roman" w:hAnsi="EC Square Sans Cond Pro" w:cstheme="minorHAnsi"/>
                <w:i/>
                <w:noProof/>
                <w:sz w:val="18"/>
                <w:szCs w:val="18"/>
                <w:lang w:val="en-IE"/>
              </w:rPr>
              <w:t>Agriculture****</w:t>
            </w:r>
          </w:p>
        </w:tc>
        <w:tc>
          <w:tcPr>
            <w:tcW w:w="353" w:type="pct"/>
            <w:noWrap/>
            <w:vAlign w:val="center"/>
            <w:hideMark/>
          </w:tcPr>
          <w:p w14:paraId="08C2130F"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390</w:t>
            </w:r>
          </w:p>
        </w:tc>
        <w:tc>
          <w:tcPr>
            <w:tcW w:w="353" w:type="pct"/>
            <w:noWrap/>
            <w:vAlign w:val="center"/>
            <w:hideMark/>
          </w:tcPr>
          <w:p w14:paraId="1861CE17"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385</w:t>
            </w:r>
          </w:p>
        </w:tc>
        <w:tc>
          <w:tcPr>
            <w:tcW w:w="353" w:type="pct"/>
            <w:noWrap/>
            <w:vAlign w:val="center"/>
            <w:hideMark/>
          </w:tcPr>
          <w:p w14:paraId="7B2BFF33"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361</w:t>
            </w:r>
          </w:p>
        </w:tc>
        <w:tc>
          <w:tcPr>
            <w:tcW w:w="354" w:type="pct"/>
            <w:tcBorders>
              <w:right w:val="dotted" w:sz="4" w:space="0" w:color="auto"/>
            </w:tcBorders>
            <w:noWrap/>
            <w:vAlign w:val="center"/>
            <w:hideMark/>
          </w:tcPr>
          <w:p w14:paraId="61EA463B"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351</w:t>
            </w:r>
          </w:p>
        </w:tc>
        <w:tc>
          <w:tcPr>
            <w:tcW w:w="310" w:type="pct"/>
            <w:tcBorders>
              <w:left w:val="dotted" w:sz="4" w:space="0" w:color="auto"/>
              <w:right w:val="dotted" w:sz="4" w:space="0" w:color="auto"/>
            </w:tcBorders>
            <w:noWrap/>
            <w:vAlign w:val="center"/>
            <w:hideMark/>
          </w:tcPr>
          <w:p w14:paraId="73952544" w14:textId="7DC28B20" w:rsidR="009401C3" w:rsidRPr="00CF224E" w:rsidRDefault="002F0A6A" w:rsidP="006079FA">
            <w:pPr>
              <w:keepNext/>
              <w:keepLines/>
              <w:spacing w:after="0"/>
              <w:jc w:val="center"/>
              <w:rPr>
                <w:rFonts w:ascii="EC Square Sans Cond Pro" w:eastAsia="Times New Roman" w:hAnsi="EC Square Sans Cond Pro" w:cstheme="minorHAnsi"/>
                <w:noProof/>
                <w:sz w:val="18"/>
                <w:szCs w:val="18"/>
                <w:lang w:val="en-IE"/>
              </w:rPr>
            </w:pPr>
            <w:r>
              <w:rPr>
                <w:rFonts w:ascii="EC Square Sans Cond Pro" w:hAnsi="EC Square Sans Cond Pro" w:cstheme="minorHAnsi"/>
                <w:noProof/>
                <w:sz w:val="18"/>
                <w:szCs w:val="18"/>
              </w:rPr>
              <w:t>302</w:t>
            </w:r>
          </w:p>
        </w:tc>
        <w:tc>
          <w:tcPr>
            <w:tcW w:w="311" w:type="pct"/>
            <w:tcBorders>
              <w:left w:val="dotted" w:sz="4" w:space="0" w:color="auto"/>
              <w:right w:val="dotted" w:sz="4" w:space="0" w:color="auto"/>
            </w:tcBorders>
            <w:noWrap/>
            <w:vAlign w:val="center"/>
            <w:hideMark/>
          </w:tcPr>
          <w:p w14:paraId="3BC387C2"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271</w:t>
            </w:r>
          </w:p>
        </w:tc>
        <w:tc>
          <w:tcPr>
            <w:tcW w:w="311" w:type="pct"/>
            <w:tcBorders>
              <w:left w:val="dotted" w:sz="4" w:space="0" w:color="auto"/>
            </w:tcBorders>
            <w:noWrap/>
            <w:vAlign w:val="center"/>
            <w:hideMark/>
          </w:tcPr>
          <w:p w14:paraId="573BE03D"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highlight w:val="yellow"/>
                <w:lang w:val="en-IE"/>
              </w:rPr>
            </w:pPr>
            <w:r w:rsidRPr="00CF224E">
              <w:rPr>
                <w:rFonts w:ascii="EC Square Sans Cond Pro" w:hAnsi="EC Square Sans Cond Pro" w:cstheme="minorHAnsi"/>
                <w:i/>
                <w:noProof/>
                <w:sz w:val="18"/>
                <w:szCs w:val="18"/>
              </w:rPr>
              <w:t>209</w:t>
            </w:r>
          </w:p>
        </w:tc>
        <w:tc>
          <w:tcPr>
            <w:tcW w:w="310" w:type="pct"/>
            <w:tcBorders>
              <w:right w:val="dotted" w:sz="4" w:space="0" w:color="auto"/>
            </w:tcBorders>
            <w:vAlign w:val="center"/>
          </w:tcPr>
          <w:p w14:paraId="2F1657EE"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Calibri"/>
                <w:i/>
                <w:iCs/>
                <w:noProof/>
                <w:sz w:val="18"/>
                <w:szCs w:val="18"/>
              </w:rPr>
              <w:t>249</w:t>
            </w:r>
          </w:p>
        </w:tc>
        <w:tc>
          <w:tcPr>
            <w:tcW w:w="311" w:type="pct"/>
            <w:tcBorders>
              <w:left w:val="dotted" w:sz="4" w:space="0" w:color="auto"/>
              <w:right w:val="dotted" w:sz="4" w:space="0" w:color="auto"/>
            </w:tcBorders>
            <w:vAlign w:val="center"/>
          </w:tcPr>
          <w:p w14:paraId="07382227"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Calibri"/>
                <w:i/>
                <w:iCs/>
                <w:noProof/>
                <w:sz w:val="18"/>
                <w:szCs w:val="18"/>
              </w:rPr>
              <w:t>249</w:t>
            </w:r>
          </w:p>
        </w:tc>
        <w:tc>
          <w:tcPr>
            <w:tcW w:w="311" w:type="pct"/>
            <w:tcBorders>
              <w:left w:val="dotted" w:sz="4" w:space="0" w:color="auto"/>
              <w:right w:val="dotted" w:sz="4" w:space="0" w:color="auto"/>
            </w:tcBorders>
            <w:noWrap/>
            <w:vAlign w:val="center"/>
            <w:hideMark/>
          </w:tcPr>
          <w:p w14:paraId="0F82D9BC"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Calibri"/>
                <w:i/>
                <w:iCs/>
                <w:noProof/>
                <w:sz w:val="18"/>
                <w:szCs w:val="18"/>
              </w:rPr>
              <w:t>249</w:t>
            </w:r>
          </w:p>
        </w:tc>
        <w:tc>
          <w:tcPr>
            <w:tcW w:w="307" w:type="pct"/>
            <w:tcBorders>
              <w:left w:val="dotted" w:sz="4" w:space="0" w:color="auto"/>
            </w:tcBorders>
            <w:noWrap/>
            <w:vAlign w:val="center"/>
            <w:hideMark/>
          </w:tcPr>
          <w:p w14:paraId="29E7B12D"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lang w:val="en-IE"/>
              </w:rPr>
            </w:pPr>
            <w:r w:rsidRPr="00CF224E">
              <w:rPr>
                <w:rFonts w:ascii="EC Square Sans Cond Pro" w:hAnsi="EC Square Sans Cond Pro" w:cstheme="minorHAnsi"/>
                <w:i/>
                <w:noProof/>
                <w:sz w:val="18"/>
                <w:szCs w:val="18"/>
              </w:rPr>
              <w:t>194</w:t>
            </w:r>
          </w:p>
        </w:tc>
      </w:tr>
      <w:tr w:rsidR="009401C3" w:rsidRPr="00CF224E" w14:paraId="0F55D1B0" w14:textId="77777777" w:rsidTr="00D25FC1">
        <w:trPr>
          <w:trHeight w:val="288"/>
        </w:trPr>
        <w:tc>
          <w:tcPr>
            <w:tcW w:w="1417" w:type="pct"/>
            <w:gridSpan w:val="2"/>
            <w:noWrap/>
            <w:vAlign w:val="center"/>
            <w:hideMark/>
          </w:tcPr>
          <w:p w14:paraId="5DBDCF95" w14:textId="77777777" w:rsidR="009401C3" w:rsidRPr="00CF224E" w:rsidRDefault="009401C3" w:rsidP="006079FA">
            <w:pPr>
              <w:keepNext/>
              <w:keepLines/>
              <w:spacing w:after="0"/>
              <w:jc w:val="left"/>
              <w:rPr>
                <w:rFonts w:ascii="EC Square Sans Cond Pro" w:eastAsia="Times New Roman" w:hAnsi="EC Square Sans Cond Pro" w:cstheme="minorHAnsi"/>
                <w:i/>
                <w:noProof/>
                <w:sz w:val="18"/>
                <w:szCs w:val="18"/>
                <w:lang w:val="en-IE"/>
              </w:rPr>
            </w:pPr>
            <w:r w:rsidRPr="00CF224E">
              <w:rPr>
                <w:rFonts w:ascii="EC Square Sans Cond Pro" w:eastAsia="Times New Roman" w:hAnsi="EC Square Sans Cond Pro" w:cstheme="minorHAnsi"/>
                <w:i/>
                <w:noProof/>
                <w:sz w:val="18"/>
                <w:szCs w:val="18"/>
                <w:lang w:val="en-IE"/>
              </w:rPr>
              <w:t>Waste</w:t>
            </w:r>
          </w:p>
        </w:tc>
        <w:tc>
          <w:tcPr>
            <w:tcW w:w="353" w:type="pct"/>
            <w:noWrap/>
            <w:vAlign w:val="center"/>
            <w:hideMark/>
          </w:tcPr>
          <w:p w14:paraId="55D169BC"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155</w:t>
            </w:r>
          </w:p>
        </w:tc>
        <w:tc>
          <w:tcPr>
            <w:tcW w:w="353" w:type="pct"/>
            <w:noWrap/>
            <w:vAlign w:val="center"/>
            <w:hideMark/>
          </w:tcPr>
          <w:p w14:paraId="5DD22CA2"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118</w:t>
            </w:r>
          </w:p>
        </w:tc>
        <w:tc>
          <w:tcPr>
            <w:tcW w:w="353" w:type="pct"/>
            <w:noWrap/>
            <w:vAlign w:val="center"/>
            <w:hideMark/>
          </w:tcPr>
          <w:p w14:paraId="63072CCC"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87</w:t>
            </w:r>
          </w:p>
        </w:tc>
        <w:tc>
          <w:tcPr>
            <w:tcW w:w="354" w:type="pct"/>
            <w:tcBorders>
              <w:right w:val="dotted" w:sz="4" w:space="0" w:color="auto"/>
            </w:tcBorders>
            <w:noWrap/>
            <w:vAlign w:val="center"/>
            <w:hideMark/>
          </w:tcPr>
          <w:p w14:paraId="254E882B"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68</w:t>
            </w:r>
          </w:p>
        </w:tc>
        <w:tc>
          <w:tcPr>
            <w:tcW w:w="310" w:type="pct"/>
            <w:tcBorders>
              <w:left w:val="dotted" w:sz="4" w:space="0" w:color="auto"/>
              <w:right w:val="dotted" w:sz="4" w:space="0" w:color="auto"/>
            </w:tcBorders>
            <w:noWrap/>
            <w:vAlign w:val="center"/>
            <w:hideMark/>
          </w:tcPr>
          <w:p w14:paraId="50CAAF57"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55</w:t>
            </w:r>
          </w:p>
        </w:tc>
        <w:tc>
          <w:tcPr>
            <w:tcW w:w="311" w:type="pct"/>
            <w:tcBorders>
              <w:left w:val="dotted" w:sz="4" w:space="0" w:color="auto"/>
              <w:right w:val="dotted" w:sz="4" w:space="0" w:color="auto"/>
            </w:tcBorders>
            <w:noWrap/>
            <w:vAlign w:val="center"/>
            <w:hideMark/>
          </w:tcPr>
          <w:p w14:paraId="0AB56EA8"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55</w:t>
            </w:r>
          </w:p>
        </w:tc>
        <w:tc>
          <w:tcPr>
            <w:tcW w:w="311" w:type="pct"/>
            <w:tcBorders>
              <w:left w:val="dotted" w:sz="4" w:space="0" w:color="auto"/>
            </w:tcBorders>
            <w:noWrap/>
            <w:vAlign w:val="center"/>
            <w:hideMark/>
          </w:tcPr>
          <w:p w14:paraId="6D62D289"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highlight w:val="yellow"/>
                <w:lang w:val="en-IE"/>
              </w:rPr>
            </w:pPr>
            <w:r w:rsidRPr="00CF224E">
              <w:rPr>
                <w:rFonts w:ascii="EC Square Sans Cond Pro" w:hAnsi="EC Square Sans Cond Pro" w:cstheme="minorHAnsi"/>
                <w:i/>
                <w:noProof/>
                <w:sz w:val="18"/>
                <w:szCs w:val="18"/>
              </w:rPr>
              <w:t>55</w:t>
            </w:r>
          </w:p>
        </w:tc>
        <w:tc>
          <w:tcPr>
            <w:tcW w:w="310" w:type="pct"/>
            <w:tcBorders>
              <w:right w:val="dotted" w:sz="4" w:space="0" w:color="auto"/>
            </w:tcBorders>
            <w:vAlign w:val="center"/>
          </w:tcPr>
          <w:p w14:paraId="0333B1C2"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Calibri"/>
                <w:i/>
                <w:iCs/>
                <w:noProof/>
                <w:sz w:val="18"/>
                <w:szCs w:val="18"/>
              </w:rPr>
              <w:t>32</w:t>
            </w:r>
          </w:p>
        </w:tc>
        <w:tc>
          <w:tcPr>
            <w:tcW w:w="311" w:type="pct"/>
            <w:tcBorders>
              <w:left w:val="dotted" w:sz="4" w:space="0" w:color="auto"/>
              <w:right w:val="dotted" w:sz="4" w:space="0" w:color="auto"/>
            </w:tcBorders>
            <w:vAlign w:val="center"/>
          </w:tcPr>
          <w:p w14:paraId="713706D0"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Calibri"/>
                <w:i/>
                <w:iCs/>
                <w:noProof/>
                <w:sz w:val="18"/>
                <w:szCs w:val="18"/>
              </w:rPr>
              <w:t>32</w:t>
            </w:r>
          </w:p>
        </w:tc>
        <w:tc>
          <w:tcPr>
            <w:tcW w:w="311" w:type="pct"/>
            <w:tcBorders>
              <w:left w:val="dotted" w:sz="4" w:space="0" w:color="auto"/>
              <w:right w:val="dotted" w:sz="4" w:space="0" w:color="auto"/>
            </w:tcBorders>
            <w:noWrap/>
            <w:vAlign w:val="center"/>
            <w:hideMark/>
          </w:tcPr>
          <w:p w14:paraId="670D4143"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Calibri"/>
                <w:i/>
                <w:iCs/>
                <w:noProof/>
                <w:sz w:val="18"/>
                <w:szCs w:val="18"/>
              </w:rPr>
              <w:t>32</w:t>
            </w:r>
          </w:p>
        </w:tc>
        <w:tc>
          <w:tcPr>
            <w:tcW w:w="307" w:type="pct"/>
            <w:tcBorders>
              <w:left w:val="dotted" w:sz="4" w:space="0" w:color="auto"/>
            </w:tcBorders>
            <w:noWrap/>
            <w:vAlign w:val="center"/>
            <w:hideMark/>
          </w:tcPr>
          <w:p w14:paraId="028DA73F"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lang w:val="en-IE"/>
              </w:rPr>
            </w:pPr>
            <w:r w:rsidRPr="00CF224E">
              <w:rPr>
                <w:rFonts w:ascii="EC Square Sans Cond Pro" w:hAnsi="EC Square Sans Cond Pro" w:cstheme="minorHAnsi"/>
                <w:i/>
                <w:noProof/>
                <w:sz w:val="18"/>
                <w:szCs w:val="18"/>
              </w:rPr>
              <w:t>.32</w:t>
            </w:r>
          </w:p>
        </w:tc>
      </w:tr>
      <w:tr w:rsidR="009401C3" w:rsidRPr="00CF224E" w14:paraId="3310CB11" w14:textId="77777777" w:rsidTr="00D25FC1">
        <w:trPr>
          <w:trHeight w:val="288"/>
        </w:trPr>
        <w:tc>
          <w:tcPr>
            <w:tcW w:w="1417" w:type="pct"/>
            <w:gridSpan w:val="2"/>
            <w:noWrap/>
            <w:vAlign w:val="center"/>
            <w:hideMark/>
          </w:tcPr>
          <w:p w14:paraId="6A5A1073" w14:textId="77777777" w:rsidR="009401C3" w:rsidRPr="00CF224E" w:rsidRDefault="009401C3" w:rsidP="006079FA">
            <w:pPr>
              <w:keepNext/>
              <w:keepLines/>
              <w:spacing w:after="0"/>
              <w:jc w:val="left"/>
              <w:rPr>
                <w:rFonts w:ascii="EC Square Sans Cond Pro" w:eastAsia="Times New Roman" w:hAnsi="EC Square Sans Cond Pro" w:cstheme="minorHAnsi"/>
                <w:i/>
                <w:noProof/>
                <w:sz w:val="18"/>
                <w:szCs w:val="18"/>
                <w:lang w:val="en-IE"/>
              </w:rPr>
            </w:pPr>
            <w:r w:rsidRPr="00CF224E">
              <w:rPr>
                <w:rFonts w:ascii="EC Square Sans Cond Pro" w:eastAsia="Times New Roman" w:hAnsi="EC Square Sans Cond Pro" w:cstheme="minorHAnsi"/>
                <w:i/>
                <w:noProof/>
                <w:sz w:val="18"/>
                <w:szCs w:val="18"/>
                <w:lang w:val="en-IE"/>
              </w:rPr>
              <w:t>CO2 calibration</w:t>
            </w:r>
          </w:p>
        </w:tc>
        <w:tc>
          <w:tcPr>
            <w:tcW w:w="353" w:type="pct"/>
            <w:noWrap/>
            <w:vAlign w:val="center"/>
            <w:hideMark/>
          </w:tcPr>
          <w:p w14:paraId="1C35EF82"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15</w:t>
            </w:r>
          </w:p>
        </w:tc>
        <w:tc>
          <w:tcPr>
            <w:tcW w:w="353" w:type="pct"/>
            <w:noWrap/>
            <w:vAlign w:val="center"/>
            <w:hideMark/>
          </w:tcPr>
          <w:p w14:paraId="5C321EFF"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43</w:t>
            </w:r>
          </w:p>
        </w:tc>
        <w:tc>
          <w:tcPr>
            <w:tcW w:w="353" w:type="pct"/>
            <w:noWrap/>
            <w:vAlign w:val="center"/>
            <w:hideMark/>
          </w:tcPr>
          <w:p w14:paraId="09DC1580"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24</w:t>
            </w:r>
          </w:p>
        </w:tc>
        <w:tc>
          <w:tcPr>
            <w:tcW w:w="354" w:type="pct"/>
            <w:tcBorders>
              <w:right w:val="dotted" w:sz="4" w:space="0" w:color="auto"/>
            </w:tcBorders>
            <w:noWrap/>
            <w:vAlign w:val="center"/>
            <w:hideMark/>
          </w:tcPr>
          <w:p w14:paraId="5B318273"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3</w:t>
            </w:r>
          </w:p>
        </w:tc>
        <w:tc>
          <w:tcPr>
            <w:tcW w:w="310" w:type="pct"/>
            <w:tcBorders>
              <w:left w:val="dotted" w:sz="4" w:space="0" w:color="auto"/>
              <w:right w:val="dotted" w:sz="4" w:space="0" w:color="auto"/>
            </w:tcBorders>
            <w:noWrap/>
            <w:vAlign w:val="center"/>
            <w:hideMark/>
          </w:tcPr>
          <w:p w14:paraId="15666366"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-1</w:t>
            </w:r>
          </w:p>
        </w:tc>
        <w:tc>
          <w:tcPr>
            <w:tcW w:w="311" w:type="pct"/>
            <w:tcBorders>
              <w:left w:val="dotted" w:sz="4" w:space="0" w:color="auto"/>
              <w:right w:val="dotted" w:sz="4" w:space="0" w:color="auto"/>
            </w:tcBorders>
            <w:noWrap/>
            <w:vAlign w:val="center"/>
            <w:hideMark/>
          </w:tcPr>
          <w:p w14:paraId="14000FEE"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-1</w:t>
            </w:r>
          </w:p>
        </w:tc>
        <w:tc>
          <w:tcPr>
            <w:tcW w:w="311" w:type="pct"/>
            <w:tcBorders>
              <w:left w:val="dotted" w:sz="4" w:space="0" w:color="auto"/>
            </w:tcBorders>
            <w:noWrap/>
            <w:vAlign w:val="center"/>
            <w:hideMark/>
          </w:tcPr>
          <w:p w14:paraId="616FE910"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highlight w:val="yellow"/>
                <w:lang w:val="en-IE"/>
              </w:rPr>
            </w:pPr>
            <w:r w:rsidRPr="00CF224E">
              <w:rPr>
                <w:rFonts w:ascii="EC Square Sans Cond Pro" w:hAnsi="EC Square Sans Cond Pro" w:cstheme="minorHAnsi"/>
                <w:i/>
                <w:noProof/>
                <w:sz w:val="18"/>
                <w:szCs w:val="18"/>
              </w:rPr>
              <w:t>-1</w:t>
            </w:r>
          </w:p>
        </w:tc>
        <w:tc>
          <w:tcPr>
            <w:tcW w:w="310" w:type="pct"/>
            <w:tcBorders>
              <w:right w:val="dotted" w:sz="4" w:space="0" w:color="auto"/>
            </w:tcBorders>
            <w:vAlign w:val="center"/>
          </w:tcPr>
          <w:p w14:paraId="1D4CEF38"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Calibri"/>
                <w:noProof/>
                <w:sz w:val="18"/>
                <w:szCs w:val="18"/>
              </w:rPr>
              <w:t>0</w:t>
            </w:r>
          </w:p>
        </w:tc>
        <w:tc>
          <w:tcPr>
            <w:tcW w:w="311" w:type="pct"/>
            <w:tcBorders>
              <w:left w:val="dotted" w:sz="4" w:space="0" w:color="auto"/>
              <w:right w:val="dotted" w:sz="4" w:space="0" w:color="auto"/>
            </w:tcBorders>
            <w:vAlign w:val="center"/>
          </w:tcPr>
          <w:p w14:paraId="2B81FA1B"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Calibri"/>
                <w:noProof/>
                <w:sz w:val="18"/>
                <w:szCs w:val="18"/>
              </w:rPr>
              <w:t>0</w:t>
            </w:r>
          </w:p>
        </w:tc>
        <w:tc>
          <w:tcPr>
            <w:tcW w:w="311" w:type="pct"/>
            <w:tcBorders>
              <w:left w:val="dotted" w:sz="4" w:space="0" w:color="auto"/>
              <w:right w:val="dotted" w:sz="4" w:space="0" w:color="auto"/>
            </w:tcBorders>
            <w:noWrap/>
            <w:vAlign w:val="center"/>
            <w:hideMark/>
          </w:tcPr>
          <w:p w14:paraId="3464B194"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Calibri"/>
                <w:noProof/>
                <w:sz w:val="18"/>
                <w:szCs w:val="18"/>
              </w:rPr>
              <w:t>0</w:t>
            </w:r>
          </w:p>
        </w:tc>
        <w:tc>
          <w:tcPr>
            <w:tcW w:w="307" w:type="pct"/>
            <w:tcBorders>
              <w:left w:val="dotted" w:sz="4" w:space="0" w:color="auto"/>
            </w:tcBorders>
            <w:noWrap/>
            <w:vAlign w:val="center"/>
            <w:hideMark/>
          </w:tcPr>
          <w:p w14:paraId="15FD5774"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lang w:val="en-IE"/>
              </w:rPr>
            </w:pPr>
            <w:r w:rsidRPr="00CF224E">
              <w:rPr>
                <w:rFonts w:ascii="EC Square Sans Cond Pro" w:hAnsi="EC Square Sans Cond Pro" w:cstheme="minorHAnsi"/>
                <w:i/>
                <w:noProof/>
                <w:sz w:val="18"/>
                <w:szCs w:val="18"/>
              </w:rPr>
              <w:t>0</w:t>
            </w:r>
          </w:p>
        </w:tc>
      </w:tr>
      <w:tr w:rsidR="009401C3" w:rsidRPr="00CF224E" w14:paraId="6E3228C2" w14:textId="77777777" w:rsidTr="00D25FC1">
        <w:trPr>
          <w:trHeight w:val="288"/>
        </w:trPr>
        <w:tc>
          <w:tcPr>
            <w:tcW w:w="1417" w:type="pct"/>
            <w:gridSpan w:val="2"/>
            <w:noWrap/>
            <w:vAlign w:val="center"/>
            <w:hideMark/>
          </w:tcPr>
          <w:p w14:paraId="264B216C" w14:textId="77777777" w:rsidR="009401C3" w:rsidRPr="00CF224E" w:rsidRDefault="009401C3" w:rsidP="006079FA">
            <w:pPr>
              <w:keepNext/>
              <w:keepLines/>
              <w:spacing w:after="0"/>
              <w:jc w:val="left"/>
              <w:rPr>
                <w:rFonts w:ascii="EC Square Sans Cond Pro" w:eastAsia="Times New Roman" w:hAnsi="EC Square Sans Cond Pro" w:cstheme="minorHAnsi"/>
                <w:i/>
                <w:noProof/>
                <w:sz w:val="18"/>
                <w:szCs w:val="18"/>
                <w:lang w:val="en-IE"/>
              </w:rPr>
            </w:pPr>
            <w:r w:rsidRPr="00CF224E">
              <w:rPr>
                <w:rFonts w:ascii="EC Square Sans Cond Pro" w:eastAsia="Times New Roman" w:hAnsi="EC Square Sans Cond Pro" w:cstheme="minorHAnsi"/>
                <w:i/>
                <w:noProof/>
                <w:sz w:val="18"/>
                <w:szCs w:val="18"/>
                <w:lang w:val="en-IE"/>
              </w:rPr>
              <w:t>Non-CO2 calibration</w:t>
            </w:r>
          </w:p>
        </w:tc>
        <w:tc>
          <w:tcPr>
            <w:tcW w:w="353" w:type="pct"/>
            <w:noWrap/>
            <w:vAlign w:val="center"/>
            <w:hideMark/>
          </w:tcPr>
          <w:p w14:paraId="2B4DE256"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5</w:t>
            </w:r>
          </w:p>
        </w:tc>
        <w:tc>
          <w:tcPr>
            <w:tcW w:w="353" w:type="pct"/>
            <w:noWrap/>
            <w:vAlign w:val="center"/>
            <w:hideMark/>
          </w:tcPr>
          <w:p w14:paraId="65F0B643"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2</w:t>
            </w:r>
          </w:p>
        </w:tc>
        <w:tc>
          <w:tcPr>
            <w:tcW w:w="353" w:type="pct"/>
            <w:noWrap/>
            <w:vAlign w:val="center"/>
            <w:hideMark/>
          </w:tcPr>
          <w:p w14:paraId="5E8D0AF2"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-3</w:t>
            </w:r>
          </w:p>
        </w:tc>
        <w:tc>
          <w:tcPr>
            <w:tcW w:w="354" w:type="pct"/>
            <w:tcBorders>
              <w:right w:val="dotted" w:sz="4" w:space="0" w:color="auto"/>
            </w:tcBorders>
            <w:noWrap/>
            <w:vAlign w:val="center"/>
            <w:hideMark/>
          </w:tcPr>
          <w:p w14:paraId="63E9C140"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-3</w:t>
            </w:r>
          </w:p>
        </w:tc>
        <w:tc>
          <w:tcPr>
            <w:tcW w:w="310" w:type="pct"/>
            <w:tcBorders>
              <w:left w:val="dotted" w:sz="4" w:space="0" w:color="auto"/>
              <w:right w:val="dotted" w:sz="4" w:space="0" w:color="auto"/>
            </w:tcBorders>
            <w:noWrap/>
            <w:vAlign w:val="center"/>
            <w:hideMark/>
          </w:tcPr>
          <w:p w14:paraId="19A79E34"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-3</w:t>
            </w:r>
          </w:p>
        </w:tc>
        <w:tc>
          <w:tcPr>
            <w:tcW w:w="311" w:type="pct"/>
            <w:tcBorders>
              <w:left w:val="dotted" w:sz="4" w:space="0" w:color="auto"/>
              <w:right w:val="dotted" w:sz="4" w:space="0" w:color="auto"/>
            </w:tcBorders>
            <w:noWrap/>
            <w:vAlign w:val="center"/>
            <w:hideMark/>
          </w:tcPr>
          <w:p w14:paraId="4E6CDE39"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theme="minorHAnsi"/>
                <w:noProof/>
                <w:sz w:val="18"/>
                <w:szCs w:val="18"/>
              </w:rPr>
              <w:t>-3</w:t>
            </w:r>
          </w:p>
        </w:tc>
        <w:tc>
          <w:tcPr>
            <w:tcW w:w="311" w:type="pct"/>
            <w:tcBorders>
              <w:left w:val="dotted" w:sz="4" w:space="0" w:color="auto"/>
            </w:tcBorders>
            <w:noWrap/>
            <w:vAlign w:val="center"/>
            <w:hideMark/>
          </w:tcPr>
          <w:p w14:paraId="4196066D"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highlight w:val="yellow"/>
                <w:lang w:val="en-IE"/>
              </w:rPr>
            </w:pPr>
            <w:r w:rsidRPr="00CF224E">
              <w:rPr>
                <w:rFonts w:ascii="EC Square Sans Cond Pro" w:hAnsi="EC Square Sans Cond Pro" w:cstheme="minorHAnsi"/>
                <w:i/>
                <w:noProof/>
                <w:sz w:val="18"/>
                <w:szCs w:val="18"/>
              </w:rPr>
              <w:t>-3</w:t>
            </w:r>
          </w:p>
        </w:tc>
        <w:tc>
          <w:tcPr>
            <w:tcW w:w="310" w:type="pct"/>
            <w:tcBorders>
              <w:right w:val="dotted" w:sz="4" w:space="0" w:color="auto"/>
            </w:tcBorders>
            <w:vAlign w:val="center"/>
          </w:tcPr>
          <w:p w14:paraId="338155A5"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Calibri"/>
                <w:i/>
                <w:iCs/>
                <w:noProof/>
                <w:sz w:val="18"/>
                <w:szCs w:val="18"/>
              </w:rPr>
              <w:t>-3</w:t>
            </w:r>
          </w:p>
        </w:tc>
        <w:tc>
          <w:tcPr>
            <w:tcW w:w="311" w:type="pct"/>
            <w:tcBorders>
              <w:left w:val="dotted" w:sz="4" w:space="0" w:color="auto"/>
              <w:right w:val="dotted" w:sz="4" w:space="0" w:color="auto"/>
            </w:tcBorders>
            <w:vAlign w:val="center"/>
          </w:tcPr>
          <w:p w14:paraId="03BF70D0"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Calibri"/>
                <w:i/>
                <w:iCs/>
                <w:noProof/>
                <w:sz w:val="18"/>
                <w:szCs w:val="18"/>
              </w:rPr>
              <w:t>-3</w:t>
            </w:r>
          </w:p>
        </w:tc>
        <w:tc>
          <w:tcPr>
            <w:tcW w:w="311" w:type="pct"/>
            <w:tcBorders>
              <w:left w:val="dotted" w:sz="4" w:space="0" w:color="auto"/>
              <w:right w:val="dotted" w:sz="4" w:space="0" w:color="auto"/>
            </w:tcBorders>
            <w:noWrap/>
            <w:vAlign w:val="center"/>
            <w:hideMark/>
          </w:tcPr>
          <w:p w14:paraId="6257952E" w14:textId="77777777" w:rsidR="009401C3" w:rsidRPr="00CF224E" w:rsidRDefault="009401C3" w:rsidP="006079FA">
            <w:pPr>
              <w:keepNext/>
              <w:keepLines/>
              <w:spacing w:after="0"/>
              <w:jc w:val="center"/>
              <w:rPr>
                <w:rFonts w:ascii="EC Square Sans Cond Pro" w:eastAsia="Times New Roman" w:hAnsi="EC Square Sans Cond Pro" w:cstheme="minorHAnsi"/>
                <w:noProof/>
                <w:sz w:val="18"/>
                <w:szCs w:val="18"/>
                <w:lang w:val="en-IE"/>
              </w:rPr>
            </w:pPr>
            <w:r w:rsidRPr="00CF224E">
              <w:rPr>
                <w:rFonts w:ascii="EC Square Sans Cond Pro" w:hAnsi="EC Square Sans Cond Pro" w:cs="Calibri"/>
                <w:i/>
                <w:iCs/>
                <w:noProof/>
                <w:sz w:val="18"/>
                <w:szCs w:val="18"/>
              </w:rPr>
              <w:t>-3</w:t>
            </w:r>
          </w:p>
        </w:tc>
        <w:tc>
          <w:tcPr>
            <w:tcW w:w="307" w:type="pct"/>
            <w:tcBorders>
              <w:left w:val="dotted" w:sz="4" w:space="0" w:color="auto"/>
            </w:tcBorders>
            <w:noWrap/>
            <w:vAlign w:val="center"/>
            <w:hideMark/>
          </w:tcPr>
          <w:p w14:paraId="5502F9B3" w14:textId="77777777" w:rsidR="009401C3" w:rsidRPr="00CF224E" w:rsidRDefault="009401C3" w:rsidP="006079FA">
            <w:pPr>
              <w:keepNext/>
              <w:keepLines/>
              <w:spacing w:after="0"/>
              <w:jc w:val="center"/>
              <w:rPr>
                <w:rFonts w:ascii="EC Square Sans Cond Pro" w:eastAsia="Times New Roman" w:hAnsi="EC Square Sans Cond Pro" w:cstheme="minorHAnsi"/>
                <w:i/>
                <w:noProof/>
                <w:sz w:val="18"/>
                <w:szCs w:val="18"/>
                <w:lang w:val="en-IE"/>
              </w:rPr>
            </w:pPr>
            <w:r w:rsidRPr="00CF224E">
              <w:rPr>
                <w:rFonts w:ascii="EC Square Sans Cond Pro" w:hAnsi="EC Square Sans Cond Pro" w:cstheme="minorHAnsi"/>
                <w:i/>
                <w:noProof/>
                <w:sz w:val="18"/>
                <w:szCs w:val="18"/>
              </w:rPr>
              <w:t>-3</w:t>
            </w:r>
          </w:p>
        </w:tc>
      </w:tr>
      <w:tr w:rsidR="00D25FC1" w:rsidRPr="00CF224E" w14:paraId="1890BAFA" w14:textId="77777777" w:rsidTr="00D25FC1">
        <w:trPr>
          <w:trHeight w:val="288"/>
        </w:trPr>
        <w:tc>
          <w:tcPr>
            <w:tcW w:w="5000" w:type="pct"/>
            <w:gridSpan w:val="13"/>
            <w:noWrap/>
            <w:vAlign w:val="center"/>
          </w:tcPr>
          <w:p w14:paraId="0E70CDB8" w14:textId="749D7426" w:rsidR="00D25FC1" w:rsidRPr="00D25FC1" w:rsidRDefault="00D25FC1" w:rsidP="006079FA">
            <w:pPr>
              <w:keepNext/>
              <w:keepLines/>
              <w:spacing w:after="0"/>
              <w:jc w:val="center"/>
              <w:rPr>
                <w:rFonts w:ascii="EC Square Sans Cond Pro" w:hAnsi="EC Square Sans Cond Pro" w:cstheme="minorHAnsi"/>
                <w:b/>
                <w:bCs/>
                <w:noProof/>
                <w:sz w:val="18"/>
                <w:szCs w:val="18"/>
              </w:rPr>
            </w:pPr>
            <w:r w:rsidRPr="00D25FC1">
              <w:rPr>
                <w:rFonts w:ascii="EC Square Sans Cond Pro" w:hAnsi="EC Square Sans Cond Pro" w:cstheme="minorHAnsi"/>
                <w:b/>
                <w:bCs/>
                <w:noProof/>
                <w:sz w:val="18"/>
                <w:szCs w:val="18"/>
              </w:rPr>
              <w:t>Memo Items</w:t>
            </w:r>
          </w:p>
        </w:tc>
      </w:tr>
      <w:tr w:rsidR="009401C3" w:rsidRPr="00CF224E" w14:paraId="19B1DF70" w14:textId="77777777" w:rsidTr="00D25FC1">
        <w:trPr>
          <w:trHeight w:val="288"/>
        </w:trPr>
        <w:tc>
          <w:tcPr>
            <w:tcW w:w="1417" w:type="pct"/>
            <w:gridSpan w:val="2"/>
            <w:noWrap/>
            <w:vAlign w:val="center"/>
          </w:tcPr>
          <w:p w14:paraId="0361C5F7" w14:textId="77777777" w:rsidR="009401C3" w:rsidRPr="00CF224E" w:rsidRDefault="009401C3" w:rsidP="006079FA">
            <w:pPr>
              <w:keepNext/>
              <w:keepLines/>
              <w:spacing w:after="0"/>
              <w:jc w:val="left"/>
              <w:rPr>
                <w:rFonts w:ascii="EC Square Sans Cond Pro" w:eastAsia="Times New Roman" w:hAnsi="EC Square Sans Cond Pro" w:cstheme="minorHAnsi"/>
                <w:i/>
                <w:noProof/>
                <w:sz w:val="18"/>
                <w:szCs w:val="18"/>
                <w:lang w:val="fr-FR"/>
              </w:rPr>
            </w:pPr>
            <w:r w:rsidRPr="00CF224E">
              <w:rPr>
                <w:rFonts w:ascii="EC Square Sans Cond Pro" w:eastAsia="Times New Roman" w:hAnsi="EC Square Sans Cond Pro" w:cstheme="minorHAnsi"/>
                <w:b/>
                <w:noProof/>
                <w:sz w:val="18"/>
                <w:szCs w:val="18"/>
                <w:lang w:val="pt-PT"/>
              </w:rPr>
              <w:t xml:space="preserve">International aviation </w:t>
            </w:r>
            <w:r>
              <w:rPr>
                <w:rFonts w:ascii="EC Square Sans Cond Pro" w:eastAsia="Times New Roman" w:hAnsi="EC Square Sans Cond Pro" w:cstheme="minorHAnsi"/>
                <w:b/>
                <w:noProof/>
                <w:sz w:val="18"/>
                <w:szCs w:val="18"/>
                <w:lang w:val="pt-PT"/>
              </w:rPr>
              <w:br/>
            </w:r>
            <w:r w:rsidRPr="00CF224E">
              <w:rPr>
                <w:rFonts w:ascii="EC Square Sans Cond Pro" w:eastAsia="Times New Roman" w:hAnsi="EC Square Sans Cond Pro" w:cstheme="minorHAnsi"/>
                <w:b/>
                <w:noProof/>
                <w:sz w:val="18"/>
                <w:szCs w:val="18"/>
                <w:lang w:val="pt-PT"/>
              </w:rPr>
              <w:t xml:space="preserve">(Intra-EU and Extra-EU) </w:t>
            </w:r>
          </w:p>
        </w:tc>
        <w:tc>
          <w:tcPr>
            <w:tcW w:w="353" w:type="pct"/>
            <w:noWrap/>
            <w:vAlign w:val="center"/>
          </w:tcPr>
          <w:p w14:paraId="58F45099"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theme="minorHAnsi"/>
                <w:noProof/>
                <w:sz w:val="18"/>
                <w:szCs w:val="18"/>
              </w:rPr>
              <w:t>96</w:t>
            </w:r>
          </w:p>
        </w:tc>
        <w:tc>
          <w:tcPr>
            <w:tcW w:w="353" w:type="pct"/>
            <w:noWrap/>
            <w:vAlign w:val="center"/>
          </w:tcPr>
          <w:p w14:paraId="2FC4DC71"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theme="minorHAnsi"/>
                <w:noProof/>
                <w:sz w:val="18"/>
                <w:szCs w:val="18"/>
              </w:rPr>
              <w:t>103</w:t>
            </w:r>
          </w:p>
        </w:tc>
        <w:tc>
          <w:tcPr>
            <w:tcW w:w="353" w:type="pct"/>
            <w:noWrap/>
            <w:vAlign w:val="center"/>
          </w:tcPr>
          <w:p w14:paraId="2E49B33E"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theme="minorHAnsi"/>
                <w:noProof/>
                <w:sz w:val="18"/>
                <w:szCs w:val="18"/>
              </w:rPr>
              <w:t>117</w:t>
            </w:r>
          </w:p>
        </w:tc>
        <w:tc>
          <w:tcPr>
            <w:tcW w:w="354" w:type="pct"/>
            <w:tcBorders>
              <w:right w:val="dotted" w:sz="4" w:space="0" w:color="auto"/>
            </w:tcBorders>
            <w:noWrap/>
            <w:vAlign w:val="center"/>
          </w:tcPr>
          <w:p w14:paraId="5C6E2358"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theme="minorHAnsi"/>
                <w:noProof/>
                <w:sz w:val="18"/>
                <w:szCs w:val="18"/>
              </w:rPr>
              <w:t>83</w:t>
            </w:r>
          </w:p>
        </w:tc>
        <w:tc>
          <w:tcPr>
            <w:tcW w:w="310" w:type="pct"/>
            <w:tcBorders>
              <w:left w:val="dotted" w:sz="4" w:space="0" w:color="auto"/>
              <w:right w:val="dotted" w:sz="4" w:space="0" w:color="auto"/>
            </w:tcBorders>
            <w:noWrap/>
            <w:vAlign w:val="center"/>
          </w:tcPr>
          <w:p w14:paraId="084ECE4C"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theme="minorHAnsi"/>
                <w:noProof/>
                <w:sz w:val="18"/>
                <w:szCs w:val="18"/>
              </w:rPr>
              <w:t>80</w:t>
            </w:r>
          </w:p>
        </w:tc>
        <w:tc>
          <w:tcPr>
            <w:tcW w:w="311" w:type="pct"/>
            <w:tcBorders>
              <w:left w:val="dotted" w:sz="4" w:space="0" w:color="auto"/>
              <w:right w:val="dotted" w:sz="4" w:space="0" w:color="auto"/>
            </w:tcBorders>
            <w:noWrap/>
            <w:vAlign w:val="center"/>
          </w:tcPr>
          <w:p w14:paraId="524CFF97"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theme="minorHAnsi"/>
                <w:noProof/>
                <w:sz w:val="18"/>
                <w:szCs w:val="18"/>
              </w:rPr>
              <w:t>78</w:t>
            </w:r>
          </w:p>
        </w:tc>
        <w:tc>
          <w:tcPr>
            <w:tcW w:w="311" w:type="pct"/>
            <w:tcBorders>
              <w:left w:val="dotted" w:sz="4" w:space="0" w:color="auto"/>
            </w:tcBorders>
            <w:noWrap/>
            <w:vAlign w:val="center"/>
          </w:tcPr>
          <w:p w14:paraId="6EF636B8"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theme="minorHAnsi"/>
                <w:noProof/>
                <w:sz w:val="18"/>
                <w:szCs w:val="18"/>
              </w:rPr>
              <w:t>73</w:t>
            </w:r>
          </w:p>
        </w:tc>
        <w:tc>
          <w:tcPr>
            <w:tcW w:w="310" w:type="pct"/>
            <w:tcBorders>
              <w:right w:val="dotted" w:sz="4" w:space="0" w:color="auto"/>
            </w:tcBorders>
            <w:vAlign w:val="center"/>
          </w:tcPr>
          <w:p w14:paraId="769E1C23"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Pr>
                <w:rFonts w:ascii="EC Square Sans Cond Pro" w:hAnsi="EC Square Sans Cond Pro" w:cstheme="minorHAnsi"/>
                <w:noProof/>
                <w:sz w:val="18"/>
                <w:szCs w:val="18"/>
              </w:rPr>
              <w:t>38</w:t>
            </w:r>
          </w:p>
        </w:tc>
        <w:tc>
          <w:tcPr>
            <w:tcW w:w="311" w:type="pct"/>
            <w:tcBorders>
              <w:left w:val="dotted" w:sz="4" w:space="0" w:color="auto"/>
              <w:right w:val="dotted" w:sz="4" w:space="0" w:color="auto"/>
            </w:tcBorders>
            <w:vAlign w:val="center"/>
          </w:tcPr>
          <w:p w14:paraId="2AAA6F1D"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Pr>
                <w:rFonts w:ascii="EC Square Sans Cond Pro" w:hAnsi="EC Square Sans Cond Pro" w:cstheme="minorHAnsi"/>
                <w:noProof/>
                <w:sz w:val="18"/>
                <w:szCs w:val="18"/>
              </w:rPr>
              <w:t>34</w:t>
            </w:r>
          </w:p>
        </w:tc>
        <w:tc>
          <w:tcPr>
            <w:tcW w:w="311" w:type="pct"/>
            <w:tcBorders>
              <w:left w:val="dotted" w:sz="4" w:space="0" w:color="auto"/>
              <w:right w:val="dotted" w:sz="4" w:space="0" w:color="auto"/>
            </w:tcBorders>
            <w:noWrap/>
            <w:vAlign w:val="center"/>
          </w:tcPr>
          <w:p w14:paraId="677583E0"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theme="minorHAnsi"/>
                <w:noProof/>
                <w:sz w:val="18"/>
                <w:szCs w:val="18"/>
              </w:rPr>
              <w:t>31</w:t>
            </w:r>
          </w:p>
        </w:tc>
        <w:tc>
          <w:tcPr>
            <w:tcW w:w="307" w:type="pct"/>
            <w:tcBorders>
              <w:left w:val="dotted" w:sz="4" w:space="0" w:color="auto"/>
            </w:tcBorders>
            <w:noWrap/>
            <w:vAlign w:val="center"/>
          </w:tcPr>
          <w:p w14:paraId="22510823"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theme="minorHAnsi"/>
                <w:noProof/>
                <w:sz w:val="18"/>
                <w:szCs w:val="18"/>
              </w:rPr>
              <w:t>27</w:t>
            </w:r>
          </w:p>
        </w:tc>
      </w:tr>
      <w:tr w:rsidR="009401C3" w:rsidRPr="00CF224E" w14:paraId="473D67E0" w14:textId="77777777" w:rsidTr="00D25FC1">
        <w:trPr>
          <w:trHeight w:val="288"/>
        </w:trPr>
        <w:tc>
          <w:tcPr>
            <w:tcW w:w="1417" w:type="pct"/>
            <w:gridSpan w:val="2"/>
            <w:noWrap/>
            <w:vAlign w:val="center"/>
          </w:tcPr>
          <w:p w14:paraId="57D5926B" w14:textId="77777777" w:rsidR="009401C3" w:rsidRPr="00793C9A" w:rsidRDefault="009401C3" w:rsidP="006079FA">
            <w:pPr>
              <w:keepNext/>
              <w:keepLines/>
              <w:spacing w:after="0"/>
              <w:jc w:val="left"/>
              <w:rPr>
                <w:rFonts w:ascii="EC Square Sans Cond Pro" w:eastAsia="Times New Roman" w:hAnsi="EC Square Sans Cond Pro" w:cstheme="minorHAnsi"/>
                <w:i/>
                <w:noProof/>
                <w:sz w:val="18"/>
                <w:szCs w:val="18"/>
                <w:lang w:val="fr-BE"/>
              </w:rPr>
            </w:pPr>
            <w:r w:rsidRPr="00CF224E">
              <w:rPr>
                <w:rFonts w:ascii="EC Square Sans Cond Pro" w:eastAsia="Times New Roman" w:hAnsi="EC Square Sans Cond Pro" w:cstheme="minorHAnsi"/>
                <w:b/>
                <w:noProof/>
                <w:sz w:val="18"/>
                <w:szCs w:val="18"/>
                <w:lang w:val="pt-PT"/>
              </w:rPr>
              <w:t xml:space="preserve">International maritime </w:t>
            </w:r>
            <w:r>
              <w:rPr>
                <w:rFonts w:ascii="EC Square Sans Cond Pro" w:eastAsia="Times New Roman" w:hAnsi="EC Square Sans Cond Pro" w:cstheme="minorHAnsi"/>
                <w:b/>
                <w:noProof/>
                <w:sz w:val="18"/>
                <w:szCs w:val="18"/>
                <w:lang w:val="pt-PT"/>
              </w:rPr>
              <w:br/>
            </w:r>
            <w:r w:rsidRPr="00CF224E">
              <w:rPr>
                <w:rFonts w:ascii="EC Square Sans Cond Pro" w:eastAsia="Times New Roman" w:hAnsi="EC Square Sans Cond Pro" w:cstheme="minorHAnsi"/>
                <w:b/>
                <w:noProof/>
                <w:sz w:val="18"/>
                <w:szCs w:val="18"/>
                <w:lang w:val="pt-PT"/>
              </w:rPr>
              <w:t>(Intra-EU and Extra EU)</w:t>
            </w:r>
          </w:p>
        </w:tc>
        <w:tc>
          <w:tcPr>
            <w:tcW w:w="353" w:type="pct"/>
            <w:noWrap/>
            <w:vAlign w:val="center"/>
          </w:tcPr>
          <w:p w14:paraId="375EFEB2"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theme="minorHAnsi"/>
                <w:noProof/>
                <w:sz w:val="18"/>
                <w:szCs w:val="18"/>
              </w:rPr>
              <w:t>152</w:t>
            </w:r>
          </w:p>
        </w:tc>
        <w:tc>
          <w:tcPr>
            <w:tcW w:w="353" w:type="pct"/>
            <w:noWrap/>
            <w:vAlign w:val="center"/>
          </w:tcPr>
          <w:p w14:paraId="525DB4C0"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theme="minorHAnsi"/>
                <w:noProof/>
                <w:sz w:val="18"/>
                <w:szCs w:val="18"/>
              </w:rPr>
              <w:t>129</w:t>
            </w:r>
          </w:p>
        </w:tc>
        <w:tc>
          <w:tcPr>
            <w:tcW w:w="353" w:type="pct"/>
            <w:noWrap/>
            <w:vAlign w:val="center"/>
          </w:tcPr>
          <w:p w14:paraId="6FEC0B87"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theme="minorHAnsi"/>
                <w:noProof/>
                <w:sz w:val="18"/>
                <w:szCs w:val="18"/>
              </w:rPr>
              <w:t>134</w:t>
            </w:r>
          </w:p>
        </w:tc>
        <w:tc>
          <w:tcPr>
            <w:tcW w:w="354" w:type="pct"/>
            <w:tcBorders>
              <w:right w:val="dotted" w:sz="4" w:space="0" w:color="auto"/>
            </w:tcBorders>
            <w:noWrap/>
            <w:vAlign w:val="center"/>
          </w:tcPr>
          <w:p w14:paraId="4D833BD1"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theme="minorHAnsi"/>
                <w:noProof/>
                <w:sz w:val="18"/>
                <w:szCs w:val="18"/>
              </w:rPr>
              <w:t>41</w:t>
            </w:r>
          </w:p>
        </w:tc>
        <w:tc>
          <w:tcPr>
            <w:tcW w:w="310" w:type="pct"/>
            <w:tcBorders>
              <w:left w:val="dotted" w:sz="4" w:space="0" w:color="auto"/>
              <w:right w:val="dotted" w:sz="4" w:space="0" w:color="auto"/>
            </w:tcBorders>
            <w:noWrap/>
            <w:vAlign w:val="center"/>
          </w:tcPr>
          <w:p w14:paraId="3E9AB1D8"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theme="minorHAnsi"/>
                <w:noProof/>
                <w:sz w:val="18"/>
                <w:szCs w:val="18"/>
              </w:rPr>
              <w:t>33</w:t>
            </w:r>
          </w:p>
        </w:tc>
        <w:tc>
          <w:tcPr>
            <w:tcW w:w="311" w:type="pct"/>
            <w:tcBorders>
              <w:left w:val="dotted" w:sz="4" w:space="0" w:color="auto"/>
              <w:right w:val="dotted" w:sz="4" w:space="0" w:color="auto"/>
            </w:tcBorders>
            <w:noWrap/>
            <w:vAlign w:val="center"/>
          </w:tcPr>
          <w:p w14:paraId="4FA57B0B"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theme="minorHAnsi"/>
                <w:noProof/>
                <w:sz w:val="18"/>
                <w:szCs w:val="18"/>
              </w:rPr>
              <w:t>25</w:t>
            </w:r>
          </w:p>
        </w:tc>
        <w:tc>
          <w:tcPr>
            <w:tcW w:w="311" w:type="pct"/>
            <w:tcBorders>
              <w:left w:val="dotted" w:sz="4" w:space="0" w:color="auto"/>
            </w:tcBorders>
            <w:noWrap/>
            <w:vAlign w:val="center"/>
          </w:tcPr>
          <w:p w14:paraId="1A6E2B17"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theme="minorHAnsi"/>
                <w:noProof/>
                <w:sz w:val="18"/>
                <w:szCs w:val="18"/>
              </w:rPr>
              <w:t>33</w:t>
            </w:r>
          </w:p>
        </w:tc>
        <w:tc>
          <w:tcPr>
            <w:tcW w:w="310" w:type="pct"/>
            <w:tcBorders>
              <w:right w:val="dotted" w:sz="4" w:space="0" w:color="auto"/>
            </w:tcBorders>
            <w:vAlign w:val="center"/>
          </w:tcPr>
          <w:p w14:paraId="0F77DFE2"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Pr>
                <w:rFonts w:ascii="EC Square Sans Cond Pro" w:hAnsi="EC Square Sans Cond Pro" w:cstheme="minorHAnsi"/>
                <w:noProof/>
                <w:sz w:val="18"/>
                <w:szCs w:val="18"/>
              </w:rPr>
              <w:t>0</w:t>
            </w:r>
          </w:p>
        </w:tc>
        <w:tc>
          <w:tcPr>
            <w:tcW w:w="311" w:type="pct"/>
            <w:tcBorders>
              <w:left w:val="dotted" w:sz="4" w:space="0" w:color="auto"/>
              <w:right w:val="dotted" w:sz="4" w:space="0" w:color="auto"/>
            </w:tcBorders>
            <w:vAlign w:val="center"/>
          </w:tcPr>
          <w:p w14:paraId="04D4A25E"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Pr>
                <w:rFonts w:ascii="EC Square Sans Cond Pro" w:hAnsi="EC Square Sans Cond Pro" w:cstheme="minorHAnsi"/>
                <w:noProof/>
                <w:sz w:val="18"/>
                <w:szCs w:val="18"/>
              </w:rPr>
              <w:t>0</w:t>
            </w:r>
          </w:p>
        </w:tc>
        <w:tc>
          <w:tcPr>
            <w:tcW w:w="311" w:type="pct"/>
            <w:tcBorders>
              <w:left w:val="dotted" w:sz="4" w:space="0" w:color="auto"/>
              <w:right w:val="dotted" w:sz="4" w:space="0" w:color="auto"/>
            </w:tcBorders>
            <w:noWrap/>
            <w:vAlign w:val="center"/>
          </w:tcPr>
          <w:p w14:paraId="6C65ABA4"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theme="minorHAnsi"/>
                <w:noProof/>
                <w:sz w:val="18"/>
                <w:szCs w:val="18"/>
              </w:rPr>
              <w:t>0</w:t>
            </w:r>
          </w:p>
        </w:tc>
        <w:tc>
          <w:tcPr>
            <w:tcW w:w="307" w:type="pct"/>
            <w:tcBorders>
              <w:left w:val="dotted" w:sz="4" w:space="0" w:color="auto"/>
            </w:tcBorders>
            <w:noWrap/>
            <w:vAlign w:val="center"/>
          </w:tcPr>
          <w:p w14:paraId="137694F6" w14:textId="77777777" w:rsidR="009401C3" w:rsidRPr="00CF224E" w:rsidRDefault="009401C3" w:rsidP="006079FA">
            <w:pPr>
              <w:keepNext/>
              <w:keepLines/>
              <w:spacing w:after="0"/>
              <w:jc w:val="center"/>
              <w:rPr>
                <w:rFonts w:ascii="EC Square Sans Cond Pro" w:hAnsi="EC Square Sans Cond Pro" w:cstheme="minorHAnsi"/>
                <w:noProof/>
                <w:sz w:val="18"/>
                <w:szCs w:val="18"/>
              </w:rPr>
            </w:pPr>
            <w:r w:rsidRPr="00CF224E">
              <w:rPr>
                <w:rFonts w:ascii="EC Square Sans Cond Pro" w:hAnsi="EC Square Sans Cond Pro" w:cstheme="minorHAnsi"/>
                <w:noProof/>
                <w:sz w:val="18"/>
                <w:szCs w:val="18"/>
              </w:rPr>
              <w:t>0</w:t>
            </w:r>
          </w:p>
        </w:tc>
      </w:tr>
    </w:tbl>
    <w:p w14:paraId="091B8361" w14:textId="41022E30" w:rsidR="00CD3BF1" w:rsidRPr="00202C8F" w:rsidRDefault="00563755" w:rsidP="00465F10">
      <w:pPr>
        <w:pStyle w:val="CT-NOTE"/>
        <w:keepLines/>
        <w:rPr>
          <w:rFonts w:ascii="Calibri Light" w:eastAsia="CharisSIL" w:hAnsi="Calibri Light" w:cs="Calibri Light"/>
          <w:noProof/>
          <w:color w:val="000000"/>
          <w:lang w:val="en-GB"/>
        </w:rPr>
      </w:pPr>
      <w:r w:rsidRPr="008F37D0">
        <w:rPr>
          <w:noProof/>
        </w:rPr>
        <w:t>Note:</w:t>
      </w:r>
      <w:r w:rsidR="000565F2" w:rsidRPr="000565F2">
        <w:rPr>
          <w:noProof/>
        </w:rPr>
        <w:t xml:space="preserve"> </w:t>
      </w:r>
      <w:r w:rsidR="008A1F29" w:rsidRPr="000565F2">
        <w:rPr>
          <w:noProof/>
        </w:rPr>
        <w:t>Calibration</w:t>
      </w:r>
      <w:r w:rsidR="008A1F29">
        <w:rPr>
          <w:noProof/>
        </w:rPr>
        <w:t xml:space="preserve"> of total</w:t>
      </w:r>
      <w:r w:rsidR="008A1F29" w:rsidRPr="000565F2">
        <w:rPr>
          <w:noProof/>
        </w:rPr>
        <w:t xml:space="preserve"> to inventory 2023.</w:t>
      </w:r>
      <w:r w:rsidR="000565F2" w:rsidRPr="000565F2">
        <w:rPr>
          <w:noProof/>
        </w:rPr>
        <w:t xml:space="preserve"> *Includes emissions from energy branch and other non-CO2 emissions from the energy sector; **Includes fossil fuel combustion in the agriculture/fishery/forestry sector; ***Includes CO2 fugitive emissions and non-CO2 emissions from direct use or specific products (</w:t>
      </w:r>
      <w:r w:rsidR="008E247F" w:rsidRPr="000565F2">
        <w:rPr>
          <w:noProof/>
        </w:rPr>
        <w:t>e.g.,</w:t>
      </w:r>
      <w:r w:rsidR="000565F2" w:rsidRPr="000565F2">
        <w:rPr>
          <w:noProof/>
        </w:rPr>
        <w:t xml:space="preserve"> aerosols, foams, etc). </w:t>
      </w:r>
      <w:r w:rsidR="00800ECA">
        <w:rPr>
          <w:noProof/>
        </w:rPr>
        <w:t>**** Exclude</w:t>
      </w:r>
      <w:r w:rsidR="00CA0C62">
        <w:rPr>
          <w:noProof/>
        </w:rPr>
        <w:t>s</w:t>
      </w:r>
      <w:r w:rsidR="00800ECA">
        <w:rPr>
          <w:noProof/>
        </w:rPr>
        <w:t xml:space="preserve"> fossil fuel combustion in the sector, but includes </w:t>
      </w:r>
      <w:r w:rsidR="002228FC">
        <w:rPr>
          <w:noProof/>
        </w:rPr>
        <w:t>“category 3”</w:t>
      </w:r>
      <w:r w:rsidR="00800ECA">
        <w:rPr>
          <w:noProof/>
        </w:rPr>
        <w:t xml:space="preserve"> CO2 emissions</w:t>
      </w:r>
      <w:r w:rsidR="001516B6">
        <w:rPr>
          <w:noProof/>
        </w:rPr>
        <w:t>, assumed constant at 10 MtCO2</w:t>
      </w:r>
      <w:r w:rsidR="00800ECA">
        <w:rPr>
          <w:noProof/>
        </w:rPr>
        <w:t>.</w:t>
      </w:r>
    </w:p>
    <w:p w14:paraId="1DF37417" w14:textId="47CCE6DB" w:rsidR="001F5917" w:rsidRPr="00F17E49" w:rsidRDefault="00835E62" w:rsidP="00465F10">
      <w:pPr>
        <w:pStyle w:val="CT-SOURCE"/>
        <w:keepLines/>
        <w:rPr>
          <w:i w:val="0"/>
          <w:noProof/>
        </w:rPr>
      </w:pPr>
      <w:r w:rsidRPr="00F17E49">
        <w:rPr>
          <w:noProof/>
        </w:rPr>
        <w:t>Source: PRIMES, GAINS.</w:t>
      </w:r>
    </w:p>
    <w:p w14:paraId="336DB8C7" w14:textId="77777777" w:rsidR="00F13300" w:rsidRDefault="00F13300" w:rsidP="00F13300">
      <w:pPr>
        <w:pStyle w:val="Text2"/>
        <w:rPr>
          <w:noProof/>
          <w:lang w:val="en-IE"/>
        </w:rPr>
      </w:pPr>
      <w:bookmarkStart w:id="35" w:name="_Ref141874460"/>
      <w:r>
        <w:rPr>
          <w:noProof/>
          <w:lang w:val="en-IE"/>
        </w:rPr>
        <w:t xml:space="preserve">Sectors that reduce little in 2031-2040 accelerate their decarbonisation in the 2041-2050 decade, while sectors that have already reached low emissions levels by 2040, maintain or slow down the reduction rate by 2050, leading to a balanced contribution to climate neutrality for all sectors across 2030-2050. Overall, gross GHG emissions in 2050 reduce to -92% vs 1990 across all scenarios.  </w:t>
      </w:r>
    </w:p>
    <w:p w14:paraId="1833EA76" w14:textId="396A1A7D" w:rsidR="001F5917" w:rsidRDefault="001F5917" w:rsidP="00465F10">
      <w:pPr>
        <w:pStyle w:val="CT-SOURCE"/>
        <w:rPr>
          <w:noProof/>
        </w:rPr>
      </w:pPr>
    </w:p>
    <w:p w14:paraId="344E80C6" w14:textId="1D5780F4" w:rsidR="00C524A8" w:rsidRPr="00763457" w:rsidRDefault="00180195" w:rsidP="00F7719F">
      <w:pPr>
        <w:pStyle w:val="Heading4"/>
        <w:rPr>
          <w:noProof/>
        </w:rPr>
      </w:pPr>
      <w:r w:rsidRPr="00763457">
        <w:rPr>
          <w:noProof/>
        </w:rPr>
        <w:t xml:space="preserve">Nature-based carbon removals </w:t>
      </w:r>
      <w:bookmarkEnd w:id="35"/>
    </w:p>
    <w:p w14:paraId="7AB95110" w14:textId="2EE0B829" w:rsidR="00B02F56" w:rsidRDefault="00FF65B6" w:rsidP="00B85F59">
      <w:pPr>
        <w:rPr>
          <w:noProof/>
          <w:lang w:val="en-IE"/>
        </w:rPr>
      </w:pPr>
      <w:r w:rsidRPr="00124018">
        <w:rPr>
          <w:noProof/>
          <w:color w:val="2B579A"/>
          <w:shd w:val="clear" w:color="auto" w:fill="E6E6E6"/>
          <w:lang w:val="en-IE"/>
        </w:rPr>
        <w:fldChar w:fldCharType="begin"/>
      </w:r>
      <w:r w:rsidRPr="00411796">
        <w:rPr>
          <w:noProof/>
          <w:highlight w:val="yellow"/>
          <w:lang w:val="en-IE"/>
        </w:rPr>
        <w:instrText xml:space="preserve"> REF _Ref141902760 \h </w:instrText>
      </w:r>
      <w:r w:rsidR="00BF3AAA">
        <w:rPr>
          <w:noProof/>
          <w:color w:val="2B579A"/>
          <w:highlight w:val="yellow"/>
          <w:shd w:val="clear" w:color="auto" w:fill="E6E6E6"/>
          <w:lang w:val="en-IE"/>
        </w:rPr>
        <w:instrText xml:space="preserve"> \* MERGEFORMAT </w:instrText>
      </w:r>
      <w:r w:rsidRPr="00124018">
        <w:rPr>
          <w:noProof/>
          <w:color w:val="2B579A"/>
          <w:shd w:val="clear" w:color="auto" w:fill="E6E6E6"/>
          <w:lang w:val="en-IE"/>
        </w:rPr>
      </w:r>
      <w:r w:rsidRPr="00124018">
        <w:rPr>
          <w:noProof/>
          <w:color w:val="2B579A"/>
          <w:shd w:val="clear" w:color="auto" w:fill="E6E6E6"/>
          <w:lang w:val="en-IE"/>
        </w:rPr>
        <w:fldChar w:fldCharType="separate"/>
      </w:r>
      <w:r w:rsidR="00170A3C">
        <w:rPr>
          <w:noProof/>
        </w:rPr>
        <w:t>Table 4</w:t>
      </w:r>
      <w:r w:rsidRPr="00124018">
        <w:rPr>
          <w:noProof/>
          <w:color w:val="2B579A"/>
          <w:shd w:val="clear" w:color="auto" w:fill="E6E6E6"/>
          <w:lang w:val="en-IE"/>
        </w:rPr>
        <w:fldChar w:fldCharType="end"/>
      </w:r>
      <w:r w:rsidRPr="00124018">
        <w:rPr>
          <w:noProof/>
          <w:lang w:val="en-IE"/>
        </w:rPr>
        <w:t xml:space="preserve"> </w:t>
      </w:r>
      <w:r w:rsidR="002C332F" w:rsidRPr="00124018">
        <w:rPr>
          <w:noProof/>
          <w:lang w:val="en-IE"/>
        </w:rPr>
        <w:t>shows</w:t>
      </w:r>
      <w:r w:rsidR="002C332F">
        <w:rPr>
          <w:noProof/>
          <w:lang w:val="en-IE"/>
        </w:rPr>
        <w:t xml:space="preserve"> the LULUCF </w:t>
      </w:r>
      <w:r w:rsidR="004D5BC0">
        <w:rPr>
          <w:noProof/>
          <w:lang w:val="en-IE"/>
        </w:rPr>
        <w:t xml:space="preserve">net removals </w:t>
      </w:r>
      <w:r w:rsidR="002C332F">
        <w:rPr>
          <w:noProof/>
          <w:lang w:val="en-IE"/>
        </w:rPr>
        <w:t>in the different scenarios</w:t>
      </w:r>
      <w:r w:rsidR="0005215C">
        <w:rPr>
          <w:noProof/>
          <w:lang w:val="en-IE"/>
        </w:rPr>
        <w:t xml:space="preserve">. </w:t>
      </w:r>
      <w:r w:rsidR="004D5BC0">
        <w:rPr>
          <w:noProof/>
          <w:lang w:val="en-IE"/>
        </w:rPr>
        <w:t xml:space="preserve">The </w:t>
      </w:r>
      <w:r w:rsidR="00701B29">
        <w:rPr>
          <w:noProof/>
          <w:lang w:val="en-IE"/>
        </w:rPr>
        <w:t>central level f</w:t>
      </w:r>
      <w:r w:rsidR="004D5BC0">
        <w:rPr>
          <w:noProof/>
          <w:lang w:val="en-IE"/>
        </w:rPr>
        <w:t>or 2040 is close to -3</w:t>
      </w:r>
      <w:r w:rsidR="00377BEB">
        <w:rPr>
          <w:noProof/>
          <w:lang w:val="en-IE"/>
        </w:rPr>
        <w:t>2</w:t>
      </w:r>
      <w:r w:rsidR="004D5BC0">
        <w:rPr>
          <w:noProof/>
          <w:lang w:val="en-IE"/>
        </w:rPr>
        <w:t xml:space="preserve">0 MtCO2-eq </w:t>
      </w:r>
      <w:r w:rsidR="002C332F">
        <w:rPr>
          <w:noProof/>
          <w:lang w:val="en-IE"/>
        </w:rPr>
        <w:t xml:space="preserve">in </w:t>
      </w:r>
      <w:r w:rsidR="004D5BC0">
        <w:rPr>
          <w:noProof/>
          <w:lang w:val="en-IE"/>
        </w:rPr>
        <w:t>all</w:t>
      </w:r>
      <w:r w:rsidR="002C332F">
        <w:rPr>
          <w:noProof/>
          <w:lang w:val="en-IE"/>
        </w:rPr>
        <w:t xml:space="preserve"> scenarios</w:t>
      </w:r>
      <w:r w:rsidR="004D5BC0">
        <w:rPr>
          <w:noProof/>
          <w:lang w:val="en-IE"/>
        </w:rPr>
        <w:t xml:space="preserve"> by 2040, slightly above the target for 2030 (-310</w:t>
      </w:r>
      <w:r w:rsidR="00BF3AAA">
        <w:rPr>
          <w:noProof/>
          <w:lang w:val="en-IE"/>
        </w:rPr>
        <w:t> </w:t>
      </w:r>
      <w:r w:rsidR="004D5BC0">
        <w:rPr>
          <w:noProof/>
          <w:lang w:val="en-IE"/>
        </w:rPr>
        <w:t>MtCO</w:t>
      </w:r>
      <w:r w:rsidR="004D5BC0" w:rsidRPr="00EC1C05">
        <w:rPr>
          <w:noProof/>
          <w:vertAlign w:val="subscript"/>
          <w:lang w:val="en-IE"/>
        </w:rPr>
        <w:t>2</w:t>
      </w:r>
      <w:r w:rsidR="004D5BC0">
        <w:rPr>
          <w:noProof/>
          <w:lang w:val="en-IE"/>
        </w:rPr>
        <w:t>-eq).</w:t>
      </w:r>
      <w:r w:rsidR="0005215C">
        <w:rPr>
          <w:noProof/>
          <w:lang w:val="en-IE"/>
        </w:rPr>
        <w:t xml:space="preserve"> </w:t>
      </w:r>
      <w:r w:rsidR="002C332F">
        <w:rPr>
          <w:noProof/>
          <w:lang w:val="en-IE"/>
        </w:rPr>
        <w:t xml:space="preserve">The differences </w:t>
      </w:r>
      <w:r w:rsidR="00710E47">
        <w:rPr>
          <w:noProof/>
          <w:lang w:val="en-IE"/>
        </w:rPr>
        <w:t>between S1, S2 and S3 are</w:t>
      </w:r>
      <w:r w:rsidR="002C332F">
        <w:rPr>
          <w:noProof/>
          <w:lang w:val="en-IE"/>
        </w:rPr>
        <w:t xml:space="preserve"> driven by the </w:t>
      </w:r>
      <w:r w:rsidR="00710E47">
        <w:rPr>
          <w:noProof/>
          <w:lang w:val="en-IE"/>
        </w:rPr>
        <w:t xml:space="preserve">different </w:t>
      </w:r>
      <w:r w:rsidR="002C332F">
        <w:rPr>
          <w:noProof/>
          <w:lang w:val="en-IE"/>
        </w:rPr>
        <w:t xml:space="preserve">bioenergy needs </w:t>
      </w:r>
      <w:r w:rsidR="00390D26">
        <w:rPr>
          <w:noProof/>
          <w:lang w:val="en-IE"/>
        </w:rPr>
        <w:t xml:space="preserve">in the energy systems underpinning the scenarios </w:t>
      </w:r>
      <w:r w:rsidR="002C332F">
        <w:rPr>
          <w:noProof/>
          <w:lang w:val="en-IE"/>
        </w:rPr>
        <w:t xml:space="preserve">(see section </w:t>
      </w:r>
      <w:r w:rsidR="00B669A2">
        <w:rPr>
          <w:noProof/>
          <w:lang w:val="en-IE"/>
        </w:rPr>
        <w:fldChar w:fldCharType="begin"/>
      </w:r>
      <w:r w:rsidR="00B669A2">
        <w:rPr>
          <w:noProof/>
          <w:lang w:val="en-IE"/>
        </w:rPr>
        <w:instrText xml:space="preserve"> REF _Ref146811321 \r \h </w:instrText>
      </w:r>
      <w:r w:rsidR="00B669A2">
        <w:rPr>
          <w:noProof/>
          <w:lang w:val="en-IE"/>
        </w:rPr>
      </w:r>
      <w:r w:rsidR="00B669A2">
        <w:rPr>
          <w:noProof/>
          <w:lang w:val="en-IE"/>
        </w:rPr>
        <w:fldChar w:fldCharType="separate"/>
      </w:r>
      <w:r w:rsidR="00170A3C">
        <w:rPr>
          <w:noProof/>
          <w:lang w:val="en-IE"/>
        </w:rPr>
        <w:t>1.8</w:t>
      </w:r>
      <w:r w:rsidR="00B669A2">
        <w:rPr>
          <w:noProof/>
          <w:lang w:val="en-IE"/>
        </w:rPr>
        <w:fldChar w:fldCharType="end"/>
      </w:r>
      <w:r w:rsidR="00886299">
        <w:rPr>
          <w:noProof/>
          <w:lang w:val="en-IE"/>
        </w:rPr>
        <w:t xml:space="preserve"> </w:t>
      </w:r>
      <w:r w:rsidR="00BF3AAA">
        <w:rPr>
          <w:noProof/>
          <w:lang w:val="en-IE"/>
        </w:rPr>
        <w:t>in</w:t>
      </w:r>
      <w:r w:rsidR="00886299">
        <w:rPr>
          <w:noProof/>
          <w:lang w:val="en-IE"/>
        </w:rPr>
        <w:t xml:space="preserve"> this Annex</w:t>
      </w:r>
      <w:r w:rsidR="002C332F">
        <w:rPr>
          <w:noProof/>
          <w:lang w:val="en-IE"/>
        </w:rPr>
        <w:t xml:space="preserve">). LIFE is characterised by a different food system that frees up land for </w:t>
      </w:r>
      <w:r w:rsidR="000273F5">
        <w:rPr>
          <w:noProof/>
          <w:lang w:val="en-IE"/>
        </w:rPr>
        <w:t>carbon farming</w:t>
      </w:r>
      <w:r w:rsidR="002C332F">
        <w:rPr>
          <w:noProof/>
          <w:lang w:val="en-IE"/>
        </w:rPr>
        <w:t xml:space="preserve"> activities </w:t>
      </w:r>
      <w:r w:rsidR="000273F5">
        <w:rPr>
          <w:noProof/>
          <w:lang w:val="en-IE"/>
        </w:rPr>
        <w:t>such as afforestation</w:t>
      </w:r>
      <w:r w:rsidR="00774A7B">
        <w:rPr>
          <w:noProof/>
          <w:lang w:val="en-IE"/>
        </w:rPr>
        <w:t>.</w:t>
      </w:r>
    </w:p>
    <w:p w14:paraId="306AA178" w14:textId="4192D5E4" w:rsidR="00FF65B6" w:rsidRPr="00701B29" w:rsidRDefault="00B02F56" w:rsidP="00B85F59">
      <w:pPr>
        <w:rPr>
          <w:noProof/>
        </w:rPr>
      </w:pPr>
      <w:r>
        <w:rPr>
          <w:noProof/>
          <w:lang w:val="en-IE"/>
        </w:rPr>
        <w:t xml:space="preserve">The table also provides a range </w:t>
      </w:r>
      <w:r w:rsidR="00701B29">
        <w:rPr>
          <w:noProof/>
          <w:lang w:val="en-IE"/>
        </w:rPr>
        <w:t xml:space="preserve">(from lower level to upper level) </w:t>
      </w:r>
      <w:r>
        <w:rPr>
          <w:noProof/>
          <w:lang w:val="en-IE"/>
        </w:rPr>
        <w:t>to illustrate the uncertainties on the</w:t>
      </w:r>
      <w:r w:rsidR="004D5BC0">
        <w:rPr>
          <w:noProof/>
          <w:lang w:val="en-IE"/>
        </w:rPr>
        <w:t xml:space="preserve"> future</w:t>
      </w:r>
      <w:r>
        <w:rPr>
          <w:noProof/>
          <w:lang w:val="en-IE"/>
        </w:rPr>
        <w:t xml:space="preserve"> </w:t>
      </w:r>
      <w:r w:rsidR="004D5BC0">
        <w:rPr>
          <w:noProof/>
          <w:lang w:val="en-IE"/>
        </w:rPr>
        <w:t xml:space="preserve">evolution of </w:t>
      </w:r>
      <w:r>
        <w:rPr>
          <w:noProof/>
          <w:lang w:val="en-IE"/>
        </w:rPr>
        <w:t xml:space="preserve">LULUCF net removals, depending on the </w:t>
      </w:r>
      <w:r w:rsidR="004D5BC0">
        <w:rPr>
          <w:noProof/>
          <w:lang w:val="en-IE"/>
        </w:rPr>
        <w:t>effect</w:t>
      </w:r>
      <w:r>
        <w:rPr>
          <w:noProof/>
          <w:lang w:val="en-IE"/>
        </w:rPr>
        <w:t xml:space="preserve"> of policies or other factors</w:t>
      </w:r>
      <w:r w:rsidR="002C332F">
        <w:rPr>
          <w:noProof/>
          <w:lang w:val="en-IE"/>
        </w:rPr>
        <w:t xml:space="preserve"> (see </w:t>
      </w:r>
      <w:r w:rsidR="002C332F" w:rsidRPr="00124018">
        <w:rPr>
          <w:noProof/>
          <w:lang w:val="en-IE"/>
        </w:rPr>
        <w:t xml:space="preserve">section </w:t>
      </w:r>
      <w:r w:rsidR="000A6C6A" w:rsidRPr="00124018">
        <w:rPr>
          <w:noProof/>
          <w:lang w:val="en-IE"/>
        </w:rPr>
        <w:fldChar w:fldCharType="begin"/>
      </w:r>
      <w:r w:rsidR="000A6C6A" w:rsidRPr="00124018">
        <w:rPr>
          <w:noProof/>
          <w:lang w:val="en-IE"/>
        </w:rPr>
        <w:instrText xml:space="preserve"> REF _Ref143115751 \n \h </w:instrText>
      </w:r>
      <w:r w:rsidR="00BF3AAA" w:rsidRPr="00124018">
        <w:rPr>
          <w:noProof/>
          <w:lang w:val="en-IE"/>
        </w:rPr>
        <w:instrText xml:space="preserve"> \* MERGEFORMAT </w:instrText>
      </w:r>
      <w:r w:rsidR="000A6C6A" w:rsidRPr="00124018">
        <w:rPr>
          <w:noProof/>
          <w:lang w:val="en-IE"/>
        </w:rPr>
      </w:r>
      <w:r w:rsidR="000A6C6A" w:rsidRPr="00124018">
        <w:rPr>
          <w:noProof/>
          <w:lang w:val="en-IE"/>
        </w:rPr>
        <w:fldChar w:fldCharType="separate"/>
      </w:r>
      <w:r w:rsidR="00170A3C">
        <w:rPr>
          <w:noProof/>
          <w:lang w:val="en-IE"/>
        </w:rPr>
        <w:t>1.8</w:t>
      </w:r>
      <w:r w:rsidR="000A6C6A" w:rsidRPr="00124018">
        <w:rPr>
          <w:noProof/>
          <w:lang w:val="en-IE"/>
        </w:rPr>
        <w:fldChar w:fldCharType="end"/>
      </w:r>
      <w:r w:rsidR="00BF3AAA">
        <w:rPr>
          <w:noProof/>
          <w:lang w:val="en-IE"/>
        </w:rPr>
        <w:t xml:space="preserve"> in this Annex</w:t>
      </w:r>
      <w:r w:rsidR="002C332F">
        <w:rPr>
          <w:noProof/>
          <w:lang w:val="en-IE"/>
        </w:rPr>
        <w:t>).</w:t>
      </w:r>
      <w:r w:rsidR="00390D26">
        <w:rPr>
          <w:noProof/>
          <w:lang w:val="en-IE"/>
        </w:rPr>
        <w:t xml:space="preserve"> </w:t>
      </w:r>
    </w:p>
    <w:p w14:paraId="35402004" w14:textId="067E573D" w:rsidR="00CE1AD5" w:rsidRPr="00FB6C2F" w:rsidRDefault="00CE1AD5" w:rsidP="00465F10">
      <w:pPr>
        <w:pStyle w:val="Caption"/>
        <w:keepLines/>
        <w:rPr>
          <w:noProof/>
        </w:rPr>
      </w:pPr>
      <w:bookmarkStart w:id="36" w:name="_Ref141902760"/>
      <w:bookmarkStart w:id="37" w:name="_Toc157679887"/>
      <w:bookmarkStart w:id="38" w:name="_Ref139288471"/>
      <w:bookmarkStart w:id="39" w:name="_Ref139544787"/>
      <w:r>
        <w:rPr>
          <w:noProof/>
        </w:rPr>
        <w:t xml:space="preserve">Table </w:t>
      </w:r>
      <w:r>
        <w:rPr>
          <w:noProof/>
          <w:color w:val="2B579A"/>
          <w:shd w:val="clear" w:color="auto" w:fill="E6E6E6"/>
        </w:rPr>
        <w:fldChar w:fldCharType="begin"/>
      </w:r>
      <w:r>
        <w:rPr>
          <w:noProof/>
        </w:rPr>
        <w:instrText>SEQ Table \* ARABIC</w:instrText>
      </w:r>
      <w:r>
        <w:rPr>
          <w:noProof/>
          <w:color w:val="2B579A"/>
          <w:shd w:val="clear" w:color="auto" w:fill="E6E6E6"/>
        </w:rPr>
        <w:fldChar w:fldCharType="separate"/>
      </w:r>
      <w:r w:rsidR="00170A3C">
        <w:rPr>
          <w:noProof/>
        </w:rPr>
        <w:t>4</w:t>
      </w:r>
      <w:r>
        <w:rPr>
          <w:noProof/>
          <w:color w:val="2B579A"/>
          <w:shd w:val="clear" w:color="auto" w:fill="E6E6E6"/>
        </w:rPr>
        <w:fldChar w:fldCharType="end"/>
      </w:r>
      <w:bookmarkEnd w:id="36"/>
      <w:r>
        <w:rPr>
          <w:noProof/>
        </w:rPr>
        <w:t xml:space="preserve">: LULUCF </w:t>
      </w:r>
      <w:r w:rsidR="00701B29">
        <w:rPr>
          <w:noProof/>
        </w:rPr>
        <w:t>net</w:t>
      </w:r>
      <w:r w:rsidR="001A3354">
        <w:rPr>
          <w:noProof/>
        </w:rPr>
        <w:t xml:space="preserve"> </w:t>
      </w:r>
      <w:r w:rsidR="00B02F56">
        <w:rPr>
          <w:noProof/>
        </w:rPr>
        <w:t>removals</w:t>
      </w:r>
      <w:r>
        <w:rPr>
          <w:noProof/>
        </w:rPr>
        <w:t xml:space="preserve"> </w:t>
      </w:r>
      <w:r w:rsidR="000273F5">
        <w:rPr>
          <w:noProof/>
        </w:rPr>
        <w:t>by</w:t>
      </w:r>
      <w:r w:rsidR="0058604C">
        <w:rPr>
          <w:noProof/>
        </w:rPr>
        <w:t xml:space="preserve"> scenarios</w:t>
      </w:r>
      <w:r w:rsidR="002C332F">
        <w:rPr>
          <w:noProof/>
        </w:rPr>
        <w:t xml:space="preserve"> in 2040 and 2050</w:t>
      </w:r>
      <w:bookmarkEnd w:id="37"/>
    </w:p>
    <w:tbl>
      <w:tblPr>
        <w:tblStyle w:val="TableGrid"/>
        <w:tblW w:w="8721" w:type="dxa"/>
        <w:tblLayout w:type="fixed"/>
        <w:tblLook w:val="04A0" w:firstRow="1" w:lastRow="0" w:firstColumn="1" w:lastColumn="0" w:noHBand="0" w:noVBand="1"/>
      </w:tblPr>
      <w:tblGrid>
        <w:gridCol w:w="2121"/>
        <w:gridCol w:w="825"/>
        <w:gridCol w:w="825"/>
        <w:gridCol w:w="825"/>
        <w:gridCol w:w="825"/>
        <w:gridCol w:w="825"/>
        <w:gridCol w:w="825"/>
        <w:gridCol w:w="825"/>
        <w:gridCol w:w="825"/>
      </w:tblGrid>
      <w:tr w:rsidR="00EC1C05" w:rsidRPr="00EC1C05" w14:paraId="1FE6B41D" w14:textId="77777777" w:rsidTr="00154AC8">
        <w:trPr>
          <w:trHeight w:val="315"/>
        </w:trPr>
        <w:tc>
          <w:tcPr>
            <w:tcW w:w="2121" w:type="dxa"/>
            <w:vMerge w:val="restart"/>
            <w:noWrap/>
            <w:hideMark/>
          </w:tcPr>
          <w:bookmarkEnd w:id="38"/>
          <w:bookmarkEnd w:id="39"/>
          <w:p w14:paraId="0DFB67C3" w14:textId="77777777" w:rsidR="00EC1C05" w:rsidRPr="00EC1C05" w:rsidRDefault="00EC1C05" w:rsidP="00465F10">
            <w:pPr>
              <w:keepNext/>
              <w:keepLines/>
              <w:spacing w:after="0"/>
              <w:jc w:val="right"/>
              <w:rPr>
                <w:rFonts w:ascii="EC Square Sans Cond Pro" w:eastAsia="Times New Roman" w:hAnsi="EC Square Sans Cond Pro" w:cs="Calibri"/>
                <w:b/>
                <w:bCs/>
                <w:noProof/>
                <w:color w:val="000000"/>
                <w:sz w:val="20"/>
                <w:szCs w:val="20"/>
                <w:lang w:val="en-IE"/>
              </w:rPr>
            </w:pPr>
            <w:r w:rsidRPr="00EC1C05">
              <w:rPr>
                <w:rFonts w:ascii="EC Square Sans Cond Pro" w:eastAsia="Times New Roman" w:hAnsi="EC Square Sans Cond Pro" w:cs="Calibri"/>
                <w:b/>
                <w:bCs/>
                <w:noProof/>
                <w:color w:val="000000"/>
                <w:sz w:val="20"/>
                <w:szCs w:val="20"/>
                <w:lang w:val="en-IE"/>
              </w:rPr>
              <w:t>MtCO2-eq</w:t>
            </w:r>
          </w:p>
        </w:tc>
        <w:tc>
          <w:tcPr>
            <w:tcW w:w="3300" w:type="dxa"/>
            <w:gridSpan w:val="4"/>
            <w:hideMark/>
          </w:tcPr>
          <w:p w14:paraId="00C85632" w14:textId="77777777" w:rsidR="00EC1C05" w:rsidRPr="003E6B3C" w:rsidRDefault="00EC1C05" w:rsidP="00465F10">
            <w:pPr>
              <w:keepNext/>
              <w:keepLines/>
              <w:spacing w:after="0"/>
              <w:jc w:val="center"/>
              <w:rPr>
                <w:rFonts w:ascii="EC Square Sans Cond Pro" w:eastAsia="Times New Roman" w:hAnsi="EC Square Sans Cond Pro" w:cs="Calibri"/>
                <w:b/>
                <w:noProof/>
                <w:color w:val="000000"/>
                <w:sz w:val="20"/>
                <w:szCs w:val="20"/>
                <w:lang w:val="en-IE"/>
              </w:rPr>
            </w:pPr>
            <w:r w:rsidRPr="003E6B3C">
              <w:rPr>
                <w:rFonts w:ascii="EC Square Sans Cond Pro" w:eastAsia="Times New Roman" w:hAnsi="EC Square Sans Cond Pro" w:cs="Calibri"/>
                <w:b/>
                <w:noProof/>
                <w:color w:val="000000"/>
                <w:sz w:val="20"/>
                <w:szCs w:val="20"/>
                <w:lang w:val="en-IE"/>
              </w:rPr>
              <w:t>2040</w:t>
            </w:r>
          </w:p>
        </w:tc>
        <w:tc>
          <w:tcPr>
            <w:tcW w:w="3300" w:type="dxa"/>
            <w:gridSpan w:val="4"/>
            <w:hideMark/>
          </w:tcPr>
          <w:p w14:paraId="209F720A" w14:textId="77777777" w:rsidR="00EC1C05" w:rsidRPr="003E6B3C" w:rsidRDefault="00EC1C05" w:rsidP="00465F10">
            <w:pPr>
              <w:keepNext/>
              <w:keepLines/>
              <w:spacing w:after="0"/>
              <w:jc w:val="center"/>
              <w:rPr>
                <w:rFonts w:ascii="EC Square Sans Cond Pro" w:eastAsia="Times New Roman" w:hAnsi="EC Square Sans Cond Pro" w:cs="Calibri"/>
                <w:b/>
                <w:noProof/>
                <w:color w:val="000000"/>
                <w:sz w:val="20"/>
                <w:szCs w:val="20"/>
                <w:lang w:val="en-IE"/>
              </w:rPr>
            </w:pPr>
            <w:r w:rsidRPr="003E6B3C">
              <w:rPr>
                <w:rFonts w:ascii="EC Square Sans Cond Pro" w:eastAsia="Times New Roman" w:hAnsi="EC Square Sans Cond Pro" w:cs="Calibri"/>
                <w:b/>
                <w:noProof/>
                <w:color w:val="000000"/>
                <w:sz w:val="20"/>
                <w:szCs w:val="20"/>
                <w:lang w:val="en-IE"/>
              </w:rPr>
              <w:t>2050</w:t>
            </w:r>
          </w:p>
        </w:tc>
      </w:tr>
      <w:tr w:rsidR="00EC1C05" w:rsidRPr="00EC1C05" w14:paraId="41444413" w14:textId="77777777" w:rsidTr="00154AC8">
        <w:trPr>
          <w:trHeight w:val="315"/>
        </w:trPr>
        <w:tc>
          <w:tcPr>
            <w:tcW w:w="2121" w:type="dxa"/>
            <w:vMerge/>
            <w:hideMark/>
          </w:tcPr>
          <w:p w14:paraId="709890A4" w14:textId="77777777" w:rsidR="00EC1C05" w:rsidRPr="00EC1C05" w:rsidRDefault="00EC1C05" w:rsidP="00465F10">
            <w:pPr>
              <w:keepNext/>
              <w:keepLines/>
              <w:spacing w:after="0"/>
              <w:jc w:val="left"/>
              <w:rPr>
                <w:rFonts w:ascii="EC Square Sans Cond Pro" w:eastAsia="Times New Roman" w:hAnsi="EC Square Sans Cond Pro" w:cs="Calibri"/>
                <w:b/>
                <w:bCs/>
                <w:noProof/>
                <w:color w:val="000000"/>
                <w:sz w:val="20"/>
                <w:szCs w:val="20"/>
                <w:lang w:val="en-IE"/>
              </w:rPr>
            </w:pPr>
          </w:p>
        </w:tc>
        <w:tc>
          <w:tcPr>
            <w:tcW w:w="825" w:type="dxa"/>
            <w:noWrap/>
            <w:hideMark/>
          </w:tcPr>
          <w:p w14:paraId="27F1CC71" w14:textId="77777777" w:rsidR="00EC1C05" w:rsidRPr="00EC1C05" w:rsidRDefault="00EC1C05" w:rsidP="00465F10">
            <w:pPr>
              <w:keepNext/>
              <w:keepLines/>
              <w:spacing w:after="0"/>
              <w:jc w:val="center"/>
              <w:rPr>
                <w:rFonts w:ascii="EC Square Sans Cond Pro" w:eastAsia="Times New Roman" w:hAnsi="EC Square Sans Cond Pro" w:cs="Calibri"/>
                <w:b/>
                <w:bCs/>
                <w:noProof/>
                <w:color w:val="000000"/>
                <w:sz w:val="20"/>
                <w:szCs w:val="20"/>
                <w:lang w:val="en-IE"/>
              </w:rPr>
            </w:pPr>
            <w:r w:rsidRPr="00EC1C05">
              <w:rPr>
                <w:rFonts w:ascii="EC Square Sans Cond Pro" w:eastAsia="Times New Roman" w:hAnsi="EC Square Sans Cond Pro" w:cs="Calibri"/>
                <w:b/>
                <w:bCs/>
                <w:noProof/>
                <w:color w:val="000000"/>
                <w:sz w:val="20"/>
                <w:szCs w:val="20"/>
                <w:lang w:val="en-IE"/>
              </w:rPr>
              <w:t>S1</w:t>
            </w:r>
          </w:p>
        </w:tc>
        <w:tc>
          <w:tcPr>
            <w:tcW w:w="825" w:type="dxa"/>
            <w:noWrap/>
            <w:hideMark/>
          </w:tcPr>
          <w:p w14:paraId="023CD9A8" w14:textId="77777777" w:rsidR="00EC1C05" w:rsidRPr="00EC1C05" w:rsidRDefault="00EC1C05" w:rsidP="00465F10">
            <w:pPr>
              <w:keepNext/>
              <w:keepLines/>
              <w:spacing w:after="0"/>
              <w:jc w:val="center"/>
              <w:rPr>
                <w:rFonts w:ascii="EC Square Sans Cond Pro" w:eastAsia="Times New Roman" w:hAnsi="EC Square Sans Cond Pro" w:cs="Calibri"/>
                <w:b/>
                <w:bCs/>
                <w:noProof/>
                <w:color w:val="000000"/>
                <w:sz w:val="20"/>
                <w:szCs w:val="20"/>
                <w:lang w:val="en-IE"/>
              </w:rPr>
            </w:pPr>
            <w:r w:rsidRPr="00EC1C05">
              <w:rPr>
                <w:rFonts w:ascii="EC Square Sans Cond Pro" w:eastAsia="Times New Roman" w:hAnsi="EC Square Sans Cond Pro" w:cs="Calibri"/>
                <w:b/>
                <w:bCs/>
                <w:noProof/>
                <w:color w:val="000000"/>
                <w:sz w:val="20"/>
                <w:szCs w:val="20"/>
                <w:lang w:val="en-IE"/>
              </w:rPr>
              <w:t>S2</w:t>
            </w:r>
          </w:p>
        </w:tc>
        <w:tc>
          <w:tcPr>
            <w:tcW w:w="825" w:type="dxa"/>
            <w:hideMark/>
          </w:tcPr>
          <w:p w14:paraId="7376A3E5" w14:textId="77777777" w:rsidR="00EC1C05" w:rsidRPr="00EC1C05" w:rsidRDefault="00EC1C05" w:rsidP="00465F10">
            <w:pPr>
              <w:keepNext/>
              <w:keepLines/>
              <w:spacing w:after="0"/>
              <w:jc w:val="center"/>
              <w:rPr>
                <w:rFonts w:ascii="EC Square Sans Cond Pro" w:eastAsia="Times New Roman" w:hAnsi="EC Square Sans Cond Pro" w:cs="Calibri"/>
                <w:b/>
                <w:bCs/>
                <w:noProof/>
                <w:color w:val="000000"/>
                <w:sz w:val="20"/>
                <w:szCs w:val="20"/>
                <w:lang w:val="en-IE"/>
              </w:rPr>
            </w:pPr>
            <w:r w:rsidRPr="00EC1C05">
              <w:rPr>
                <w:rFonts w:ascii="EC Square Sans Cond Pro" w:eastAsia="Times New Roman" w:hAnsi="EC Square Sans Cond Pro" w:cs="Calibri"/>
                <w:b/>
                <w:bCs/>
                <w:noProof/>
                <w:color w:val="000000"/>
                <w:sz w:val="20"/>
                <w:szCs w:val="20"/>
                <w:lang w:val="en-IE"/>
              </w:rPr>
              <w:t>S3</w:t>
            </w:r>
          </w:p>
        </w:tc>
        <w:tc>
          <w:tcPr>
            <w:tcW w:w="825" w:type="dxa"/>
            <w:hideMark/>
          </w:tcPr>
          <w:p w14:paraId="297A8C4B" w14:textId="04F74245" w:rsidR="00EC1C05" w:rsidRPr="0030528F" w:rsidRDefault="0030528F" w:rsidP="00465F10">
            <w:pPr>
              <w:keepNext/>
              <w:keepLines/>
              <w:spacing w:after="0"/>
              <w:jc w:val="center"/>
              <w:rPr>
                <w:rFonts w:ascii="EC Square Sans Cond Pro" w:eastAsia="Times New Roman" w:hAnsi="EC Square Sans Cond Pro" w:cs="Calibri"/>
                <w:b/>
                <w:i/>
                <w:noProof/>
                <w:color w:val="000000"/>
                <w:sz w:val="20"/>
                <w:szCs w:val="20"/>
                <w:lang w:val="en-IE"/>
              </w:rPr>
            </w:pPr>
            <w:r w:rsidRPr="0030528F">
              <w:rPr>
                <w:rFonts w:ascii="EC Square Sans Cond Pro" w:eastAsia="Times New Roman" w:hAnsi="EC Square Sans Cond Pro" w:cs="Calibri"/>
                <w:b/>
                <w:bCs/>
                <w:i/>
                <w:iCs/>
                <w:noProof/>
                <w:color w:val="000000"/>
                <w:sz w:val="20"/>
                <w:szCs w:val="20"/>
                <w:lang w:val="en-IE"/>
              </w:rPr>
              <w:t>LIFE</w:t>
            </w:r>
          </w:p>
        </w:tc>
        <w:tc>
          <w:tcPr>
            <w:tcW w:w="825" w:type="dxa"/>
            <w:hideMark/>
          </w:tcPr>
          <w:p w14:paraId="5D64ECA4" w14:textId="77777777" w:rsidR="00EC1C05" w:rsidRPr="00EC1C05" w:rsidRDefault="00EC1C05" w:rsidP="00465F10">
            <w:pPr>
              <w:keepNext/>
              <w:keepLines/>
              <w:spacing w:after="0"/>
              <w:jc w:val="center"/>
              <w:rPr>
                <w:rFonts w:ascii="EC Square Sans Cond Pro" w:eastAsia="Times New Roman" w:hAnsi="EC Square Sans Cond Pro" w:cs="Calibri"/>
                <w:b/>
                <w:bCs/>
                <w:noProof/>
                <w:color w:val="000000"/>
                <w:sz w:val="20"/>
                <w:szCs w:val="20"/>
                <w:lang w:val="en-IE"/>
              </w:rPr>
            </w:pPr>
            <w:r w:rsidRPr="00EC1C05">
              <w:rPr>
                <w:rFonts w:ascii="EC Square Sans Cond Pro" w:eastAsia="Times New Roman" w:hAnsi="EC Square Sans Cond Pro" w:cs="Calibri"/>
                <w:b/>
                <w:bCs/>
                <w:noProof/>
                <w:color w:val="000000"/>
                <w:sz w:val="20"/>
                <w:szCs w:val="20"/>
                <w:lang w:val="en-IE"/>
              </w:rPr>
              <w:t>S1</w:t>
            </w:r>
          </w:p>
        </w:tc>
        <w:tc>
          <w:tcPr>
            <w:tcW w:w="825" w:type="dxa"/>
            <w:hideMark/>
          </w:tcPr>
          <w:p w14:paraId="03D72FCA" w14:textId="77777777" w:rsidR="00EC1C05" w:rsidRPr="00EC1C05" w:rsidRDefault="00EC1C05" w:rsidP="00465F10">
            <w:pPr>
              <w:keepNext/>
              <w:keepLines/>
              <w:spacing w:after="0"/>
              <w:jc w:val="center"/>
              <w:rPr>
                <w:rFonts w:ascii="EC Square Sans Cond Pro" w:eastAsia="Times New Roman" w:hAnsi="EC Square Sans Cond Pro" w:cs="Calibri"/>
                <w:b/>
                <w:bCs/>
                <w:noProof/>
                <w:color w:val="000000"/>
                <w:sz w:val="20"/>
                <w:szCs w:val="20"/>
                <w:lang w:val="en-IE"/>
              </w:rPr>
            </w:pPr>
            <w:r w:rsidRPr="00EC1C05">
              <w:rPr>
                <w:rFonts w:ascii="EC Square Sans Cond Pro" w:eastAsia="Times New Roman" w:hAnsi="EC Square Sans Cond Pro" w:cs="Calibri"/>
                <w:b/>
                <w:bCs/>
                <w:noProof/>
                <w:color w:val="000000"/>
                <w:sz w:val="20"/>
                <w:szCs w:val="20"/>
                <w:lang w:val="en-IE"/>
              </w:rPr>
              <w:t>S2</w:t>
            </w:r>
          </w:p>
        </w:tc>
        <w:tc>
          <w:tcPr>
            <w:tcW w:w="825" w:type="dxa"/>
            <w:hideMark/>
          </w:tcPr>
          <w:p w14:paraId="7151148C" w14:textId="77777777" w:rsidR="00EC1C05" w:rsidRPr="00EC1C05" w:rsidRDefault="00EC1C05" w:rsidP="00465F10">
            <w:pPr>
              <w:keepNext/>
              <w:keepLines/>
              <w:spacing w:after="0"/>
              <w:jc w:val="center"/>
              <w:rPr>
                <w:rFonts w:ascii="EC Square Sans Cond Pro" w:eastAsia="Times New Roman" w:hAnsi="EC Square Sans Cond Pro" w:cs="Calibri"/>
                <w:b/>
                <w:bCs/>
                <w:noProof/>
                <w:color w:val="000000"/>
                <w:sz w:val="20"/>
                <w:szCs w:val="20"/>
                <w:lang w:val="en-IE"/>
              </w:rPr>
            </w:pPr>
            <w:r w:rsidRPr="00EC1C05">
              <w:rPr>
                <w:rFonts w:ascii="EC Square Sans Cond Pro" w:eastAsia="Times New Roman" w:hAnsi="EC Square Sans Cond Pro" w:cs="Calibri"/>
                <w:b/>
                <w:bCs/>
                <w:noProof/>
                <w:color w:val="000000"/>
                <w:sz w:val="20"/>
                <w:szCs w:val="20"/>
                <w:lang w:val="en-IE"/>
              </w:rPr>
              <w:t>S3</w:t>
            </w:r>
          </w:p>
        </w:tc>
        <w:tc>
          <w:tcPr>
            <w:tcW w:w="825" w:type="dxa"/>
            <w:hideMark/>
          </w:tcPr>
          <w:p w14:paraId="4E8E3997" w14:textId="253BD21F" w:rsidR="00EC1C05" w:rsidRPr="0030528F" w:rsidRDefault="0030528F" w:rsidP="00465F10">
            <w:pPr>
              <w:keepNext/>
              <w:keepLines/>
              <w:spacing w:after="0"/>
              <w:jc w:val="center"/>
              <w:rPr>
                <w:rFonts w:ascii="EC Square Sans Cond Pro" w:eastAsia="Times New Roman" w:hAnsi="EC Square Sans Cond Pro" w:cs="Calibri"/>
                <w:b/>
                <w:i/>
                <w:noProof/>
                <w:color w:val="000000"/>
                <w:sz w:val="20"/>
                <w:szCs w:val="20"/>
                <w:lang w:val="en-IE"/>
              </w:rPr>
            </w:pPr>
            <w:r w:rsidRPr="0030528F">
              <w:rPr>
                <w:rFonts w:ascii="EC Square Sans Cond Pro" w:eastAsia="Times New Roman" w:hAnsi="EC Square Sans Cond Pro" w:cs="Calibri"/>
                <w:b/>
                <w:bCs/>
                <w:i/>
                <w:iCs/>
                <w:noProof/>
                <w:color w:val="000000"/>
                <w:sz w:val="20"/>
                <w:szCs w:val="20"/>
                <w:lang w:val="en-IE"/>
              </w:rPr>
              <w:t>LIFE</w:t>
            </w:r>
          </w:p>
        </w:tc>
      </w:tr>
      <w:tr w:rsidR="00451BF5" w:rsidRPr="00EC1C05" w14:paraId="5C2F0F70" w14:textId="77777777" w:rsidTr="00EC0BE4">
        <w:trPr>
          <w:trHeight w:val="330"/>
        </w:trPr>
        <w:tc>
          <w:tcPr>
            <w:tcW w:w="2121" w:type="dxa"/>
            <w:noWrap/>
            <w:hideMark/>
          </w:tcPr>
          <w:p w14:paraId="72F46E28" w14:textId="0A13295A" w:rsidR="00451BF5" w:rsidRPr="00EC1C05" w:rsidRDefault="000A6C6A" w:rsidP="00465F10">
            <w:pPr>
              <w:keepNext/>
              <w:keepLines/>
              <w:spacing w:after="0"/>
              <w:jc w:val="right"/>
              <w:rPr>
                <w:rFonts w:ascii="EC Square Sans Cond Pro" w:eastAsia="Times New Roman" w:hAnsi="EC Square Sans Cond Pro" w:cs="Calibri"/>
                <w:i/>
                <w:iCs/>
                <w:noProof/>
                <w:color w:val="000000"/>
                <w:sz w:val="20"/>
                <w:szCs w:val="20"/>
                <w:lang w:val="en-IE"/>
              </w:rPr>
            </w:pPr>
            <w:r>
              <w:rPr>
                <w:rFonts w:ascii="EC Square Sans Cond Pro" w:eastAsia="Times New Roman" w:hAnsi="EC Square Sans Cond Pro" w:cs="Calibri"/>
                <w:i/>
                <w:iCs/>
                <w:noProof/>
                <w:color w:val="000000"/>
                <w:sz w:val="20"/>
                <w:szCs w:val="20"/>
                <w:lang w:val="en-IE"/>
              </w:rPr>
              <w:t>Lower level</w:t>
            </w:r>
            <w:r w:rsidRPr="00EC1C05">
              <w:rPr>
                <w:rFonts w:ascii="EC Square Sans Cond Pro" w:eastAsia="Times New Roman" w:hAnsi="EC Square Sans Cond Pro" w:cs="Calibri"/>
                <w:i/>
                <w:iCs/>
                <w:noProof/>
                <w:color w:val="000000"/>
                <w:sz w:val="20"/>
                <w:szCs w:val="20"/>
                <w:lang w:val="en-IE"/>
              </w:rPr>
              <w:t xml:space="preserve"> </w:t>
            </w:r>
          </w:p>
        </w:tc>
        <w:tc>
          <w:tcPr>
            <w:tcW w:w="825" w:type="dxa"/>
            <w:noWrap/>
            <w:hideMark/>
          </w:tcPr>
          <w:p w14:paraId="2632EBE5" w14:textId="22DCF57E" w:rsidR="00451BF5" w:rsidRPr="00FE26BE" w:rsidRDefault="00451BF5" w:rsidP="00465F10">
            <w:pPr>
              <w:keepNext/>
              <w:keepLines/>
              <w:spacing w:after="0"/>
              <w:jc w:val="center"/>
              <w:rPr>
                <w:rFonts w:ascii="EC Square Sans Cond Pro" w:eastAsia="Times New Roman" w:hAnsi="EC Square Sans Cond Pro" w:cs="Calibri"/>
                <w:b/>
                <w:bCs/>
                <w:i/>
                <w:noProof/>
                <w:color w:val="000000"/>
                <w:sz w:val="20"/>
                <w:szCs w:val="20"/>
                <w:lang w:val="en-IE"/>
              </w:rPr>
            </w:pPr>
            <w:r w:rsidRPr="00FE26BE">
              <w:rPr>
                <w:rFonts w:ascii="EC Square Sans Cond Pro" w:eastAsia="Times New Roman" w:hAnsi="EC Square Sans Cond Pro" w:cs="Calibri"/>
                <w:b/>
                <w:bCs/>
                <w:i/>
                <w:noProof/>
                <w:color w:val="000000"/>
                <w:sz w:val="20"/>
                <w:szCs w:val="20"/>
                <w:lang w:val="en-IE"/>
              </w:rPr>
              <w:t>-</w:t>
            </w:r>
            <w:r w:rsidR="00942D0D" w:rsidRPr="00FE26BE">
              <w:rPr>
                <w:rFonts w:ascii="EC Square Sans Cond Pro" w:eastAsia="Times New Roman" w:hAnsi="EC Square Sans Cond Pro" w:cs="Calibri"/>
                <w:b/>
                <w:bCs/>
                <w:i/>
                <w:noProof/>
                <w:color w:val="000000"/>
                <w:sz w:val="20"/>
                <w:szCs w:val="20"/>
                <w:lang w:val="en-IE"/>
              </w:rPr>
              <w:t>218</w:t>
            </w:r>
          </w:p>
        </w:tc>
        <w:tc>
          <w:tcPr>
            <w:tcW w:w="825" w:type="dxa"/>
            <w:noWrap/>
            <w:hideMark/>
          </w:tcPr>
          <w:p w14:paraId="0A90714F" w14:textId="11C2955A" w:rsidR="00451BF5" w:rsidRPr="00124018" w:rsidRDefault="00451BF5" w:rsidP="00465F10">
            <w:pPr>
              <w:keepNext/>
              <w:keepLines/>
              <w:spacing w:after="0"/>
              <w:jc w:val="center"/>
              <w:rPr>
                <w:rFonts w:ascii="EC Square Sans Cond Pro" w:eastAsia="Times New Roman" w:hAnsi="EC Square Sans Cond Pro" w:cs="Calibri"/>
                <w:i/>
                <w:noProof/>
                <w:color w:val="000000"/>
                <w:sz w:val="20"/>
                <w:szCs w:val="20"/>
                <w:lang w:val="en-IE"/>
              </w:rPr>
            </w:pPr>
            <w:r w:rsidRPr="00124018">
              <w:rPr>
                <w:rFonts w:ascii="EC Square Sans Cond Pro" w:eastAsia="Times New Roman" w:hAnsi="EC Square Sans Cond Pro" w:cs="Calibri"/>
                <w:i/>
                <w:noProof/>
                <w:color w:val="000000"/>
                <w:sz w:val="20"/>
                <w:szCs w:val="20"/>
                <w:lang w:val="en-IE"/>
              </w:rPr>
              <w:t>-</w:t>
            </w:r>
            <w:r w:rsidR="00942D0D" w:rsidRPr="00124018">
              <w:rPr>
                <w:rFonts w:ascii="EC Square Sans Cond Pro" w:eastAsia="Times New Roman" w:hAnsi="EC Square Sans Cond Pro" w:cs="Calibri"/>
                <w:i/>
                <w:noProof/>
                <w:color w:val="000000"/>
                <w:sz w:val="20"/>
                <w:szCs w:val="20"/>
                <w:lang w:val="en-IE"/>
              </w:rPr>
              <w:t>213</w:t>
            </w:r>
          </w:p>
        </w:tc>
        <w:tc>
          <w:tcPr>
            <w:tcW w:w="825" w:type="dxa"/>
            <w:noWrap/>
            <w:hideMark/>
          </w:tcPr>
          <w:p w14:paraId="62579141" w14:textId="70E86879" w:rsidR="00451BF5" w:rsidRPr="00124018" w:rsidRDefault="00451BF5" w:rsidP="00465F10">
            <w:pPr>
              <w:keepNext/>
              <w:keepLines/>
              <w:spacing w:after="0"/>
              <w:jc w:val="center"/>
              <w:rPr>
                <w:rFonts w:ascii="EC Square Sans Cond Pro" w:eastAsia="Times New Roman" w:hAnsi="EC Square Sans Cond Pro" w:cs="Calibri"/>
                <w:i/>
                <w:noProof/>
                <w:color w:val="000000"/>
                <w:sz w:val="20"/>
                <w:szCs w:val="20"/>
                <w:lang w:val="en-IE"/>
              </w:rPr>
            </w:pPr>
            <w:r w:rsidRPr="00124018">
              <w:rPr>
                <w:rFonts w:ascii="EC Square Sans Cond Pro" w:eastAsia="Times New Roman" w:hAnsi="EC Square Sans Cond Pro" w:cs="Calibri"/>
                <w:i/>
                <w:noProof/>
                <w:color w:val="000000"/>
                <w:sz w:val="20"/>
                <w:szCs w:val="20"/>
                <w:lang w:val="en-IE"/>
              </w:rPr>
              <w:t>-</w:t>
            </w:r>
            <w:r w:rsidR="00942D0D" w:rsidRPr="00124018">
              <w:rPr>
                <w:rFonts w:ascii="EC Square Sans Cond Pro" w:eastAsia="Times New Roman" w:hAnsi="EC Square Sans Cond Pro" w:cs="Calibri"/>
                <w:i/>
                <w:noProof/>
                <w:color w:val="000000"/>
                <w:sz w:val="20"/>
                <w:szCs w:val="20"/>
                <w:lang w:val="en-IE"/>
              </w:rPr>
              <w:t>215</w:t>
            </w:r>
          </w:p>
        </w:tc>
        <w:tc>
          <w:tcPr>
            <w:tcW w:w="825" w:type="dxa"/>
            <w:noWrap/>
            <w:hideMark/>
          </w:tcPr>
          <w:p w14:paraId="546C553C" w14:textId="1EFCCE70" w:rsidR="00451BF5" w:rsidRPr="0030528F" w:rsidRDefault="00451BF5" w:rsidP="00465F10">
            <w:pPr>
              <w:keepNext/>
              <w:keepLines/>
              <w:spacing w:after="0"/>
              <w:jc w:val="center"/>
              <w:rPr>
                <w:rFonts w:ascii="EC Square Sans Cond Pro" w:eastAsia="Times New Roman" w:hAnsi="EC Square Sans Cond Pro" w:cs="Calibri"/>
                <w:i/>
                <w:noProof/>
                <w:color w:val="000000"/>
                <w:sz w:val="20"/>
                <w:szCs w:val="20"/>
                <w:lang w:val="en-IE"/>
              </w:rPr>
            </w:pPr>
            <w:r w:rsidRPr="0030528F">
              <w:rPr>
                <w:rFonts w:ascii="EC Square Sans Cond Pro" w:eastAsia="Times New Roman" w:hAnsi="EC Square Sans Cond Pro" w:cs="Calibri"/>
                <w:i/>
                <w:noProof/>
                <w:color w:val="000000"/>
                <w:sz w:val="20"/>
                <w:szCs w:val="20"/>
                <w:lang w:val="en-IE"/>
              </w:rPr>
              <w:t>-</w:t>
            </w:r>
            <w:r w:rsidR="00942D0D" w:rsidRPr="00124018">
              <w:rPr>
                <w:rFonts w:ascii="EC Square Sans Cond Pro" w:eastAsia="Times New Roman" w:hAnsi="EC Square Sans Cond Pro" w:cs="Calibri"/>
                <w:i/>
                <w:noProof/>
                <w:color w:val="000000"/>
                <w:sz w:val="20"/>
                <w:szCs w:val="20"/>
                <w:lang w:val="en-IE"/>
              </w:rPr>
              <w:t>243</w:t>
            </w:r>
          </w:p>
        </w:tc>
        <w:tc>
          <w:tcPr>
            <w:tcW w:w="825" w:type="dxa"/>
            <w:noWrap/>
            <w:hideMark/>
          </w:tcPr>
          <w:p w14:paraId="5B0ECAD8" w14:textId="1284D46F" w:rsidR="00451BF5" w:rsidRPr="00124018" w:rsidRDefault="00451BF5" w:rsidP="00465F10">
            <w:pPr>
              <w:keepNext/>
              <w:keepLines/>
              <w:spacing w:after="0"/>
              <w:jc w:val="center"/>
              <w:rPr>
                <w:rFonts w:ascii="EC Square Sans Cond Pro" w:eastAsia="Times New Roman" w:hAnsi="EC Square Sans Cond Pro" w:cs="Calibri"/>
                <w:i/>
                <w:noProof/>
                <w:color w:val="000000"/>
                <w:sz w:val="20"/>
                <w:szCs w:val="20"/>
                <w:lang w:val="en-IE"/>
              </w:rPr>
            </w:pPr>
            <w:r w:rsidRPr="00124018">
              <w:rPr>
                <w:rFonts w:ascii="EC Square Sans Cond Pro" w:eastAsia="Times New Roman" w:hAnsi="EC Square Sans Cond Pro" w:cs="Calibri"/>
                <w:i/>
                <w:noProof/>
                <w:color w:val="000000"/>
                <w:sz w:val="20"/>
                <w:szCs w:val="20"/>
                <w:lang w:val="en-IE"/>
              </w:rPr>
              <w:t>-</w:t>
            </w:r>
            <w:r w:rsidR="00942D0D" w:rsidRPr="00124018">
              <w:rPr>
                <w:rFonts w:ascii="EC Square Sans Cond Pro" w:eastAsia="Times New Roman" w:hAnsi="EC Square Sans Cond Pro" w:cs="Calibri"/>
                <w:i/>
                <w:noProof/>
                <w:color w:val="000000"/>
                <w:sz w:val="20"/>
                <w:szCs w:val="20"/>
                <w:lang w:val="en-IE"/>
              </w:rPr>
              <w:t>21</w:t>
            </w:r>
            <w:r w:rsidR="00754B0C">
              <w:rPr>
                <w:rFonts w:ascii="EC Square Sans Cond Pro" w:eastAsia="Times New Roman" w:hAnsi="EC Square Sans Cond Pro" w:cs="Calibri"/>
                <w:i/>
                <w:noProof/>
                <w:color w:val="000000"/>
                <w:sz w:val="20"/>
                <w:szCs w:val="20"/>
                <w:lang w:val="en-IE"/>
              </w:rPr>
              <w:t>3</w:t>
            </w:r>
          </w:p>
        </w:tc>
        <w:tc>
          <w:tcPr>
            <w:tcW w:w="825" w:type="dxa"/>
            <w:noWrap/>
            <w:hideMark/>
          </w:tcPr>
          <w:p w14:paraId="61889775" w14:textId="0CD655E8" w:rsidR="00451BF5" w:rsidRPr="00124018" w:rsidRDefault="00451BF5" w:rsidP="00465F10">
            <w:pPr>
              <w:keepNext/>
              <w:keepLines/>
              <w:spacing w:after="0"/>
              <w:jc w:val="center"/>
              <w:rPr>
                <w:rFonts w:ascii="EC Square Sans Cond Pro" w:eastAsia="Times New Roman" w:hAnsi="EC Square Sans Cond Pro" w:cs="Calibri"/>
                <w:i/>
                <w:noProof/>
                <w:color w:val="000000"/>
                <w:sz w:val="20"/>
                <w:szCs w:val="20"/>
                <w:lang w:val="en-IE"/>
              </w:rPr>
            </w:pPr>
            <w:r w:rsidRPr="00124018">
              <w:rPr>
                <w:rFonts w:ascii="EC Square Sans Cond Pro" w:eastAsia="Times New Roman" w:hAnsi="EC Square Sans Cond Pro" w:cs="Calibri"/>
                <w:i/>
                <w:noProof/>
                <w:color w:val="000000"/>
                <w:sz w:val="20"/>
                <w:szCs w:val="20"/>
                <w:lang w:val="en-IE"/>
              </w:rPr>
              <w:t>-</w:t>
            </w:r>
            <w:r w:rsidR="00942D0D" w:rsidRPr="00124018">
              <w:rPr>
                <w:rFonts w:ascii="EC Square Sans Cond Pro" w:eastAsia="Times New Roman" w:hAnsi="EC Square Sans Cond Pro" w:cs="Calibri"/>
                <w:i/>
                <w:noProof/>
                <w:color w:val="000000"/>
                <w:sz w:val="20"/>
                <w:szCs w:val="20"/>
                <w:lang w:val="en-IE"/>
              </w:rPr>
              <w:t>20</w:t>
            </w:r>
            <w:r w:rsidR="00754B0C">
              <w:rPr>
                <w:rFonts w:ascii="EC Square Sans Cond Pro" w:eastAsia="Times New Roman" w:hAnsi="EC Square Sans Cond Pro" w:cs="Calibri"/>
                <w:i/>
                <w:noProof/>
                <w:color w:val="000000"/>
                <w:sz w:val="20"/>
                <w:szCs w:val="20"/>
                <w:lang w:val="en-IE"/>
              </w:rPr>
              <w:t>2</w:t>
            </w:r>
          </w:p>
        </w:tc>
        <w:tc>
          <w:tcPr>
            <w:tcW w:w="825" w:type="dxa"/>
            <w:noWrap/>
            <w:hideMark/>
          </w:tcPr>
          <w:p w14:paraId="50275F49" w14:textId="1DD35545" w:rsidR="00451BF5" w:rsidRPr="00124018" w:rsidRDefault="00451BF5" w:rsidP="00465F10">
            <w:pPr>
              <w:keepNext/>
              <w:keepLines/>
              <w:spacing w:after="0"/>
              <w:jc w:val="center"/>
              <w:rPr>
                <w:rFonts w:ascii="EC Square Sans Cond Pro" w:eastAsia="Times New Roman" w:hAnsi="EC Square Sans Cond Pro" w:cs="Calibri"/>
                <w:i/>
                <w:noProof/>
                <w:color w:val="000000"/>
                <w:sz w:val="20"/>
                <w:szCs w:val="20"/>
                <w:lang w:val="en-IE"/>
              </w:rPr>
            </w:pPr>
            <w:r w:rsidRPr="00124018">
              <w:rPr>
                <w:rFonts w:ascii="EC Square Sans Cond Pro" w:eastAsia="Times New Roman" w:hAnsi="EC Square Sans Cond Pro" w:cs="Calibri"/>
                <w:i/>
                <w:noProof/>
                <w:color w:val="000000"/>
                <w:sz w:val="20"/>
                <w:szCs w:val="20"/>
                <w:lang w:val="en-IE"/>
              </w:rPr>
              <w:t>-</w:t>
            </w:r>
            <w:r w:rsidR="00942D0D" w:rsidRPr="00124018">
              <w:rPr>
                <w:rFonts w:ascii="EC Square Sans Cond Pro" w:eastAsia="Times New Roman" w:hAnsi="EC Square Sans Cond Pro" w:cs="Calibri"/>
                <w:i/>
                <w:noProof/>
                <w:color w:val="000000"/>
                <w:sz w:val="20"/>
                <w:szCs w:val="20"/>
                <w:lang w:val="en-IE"/>
              </w:rPr>
              <w:t>206</w:t>
            </w:r>
          </w:p>
        </w:tc>
        <w:tc>
          <w:tcPr>
            <w:tcW w:w="825" w:type="dxa"/>
            <w:noWrap/>
            <w:hideMark/>
          </w:tcPr>
          <w:p w14:paraId="117F500F" w14:textId="4F7B02D9" w:rsidR="00451BF5" w:rsidRPr="0030528F" w:rsidRDefault="00451BF5" w:rsidP="00465F10">
            <w:pPr>
              <w:keepNext/>
              <w:keepLines/>
              <w:spacing w:after="0"/>
              <w:jc w:val="center"/>
              <w:rPr>
                <w:rFonts w:ascii="EC Square Sans Cond Pro" w:eastAsia="Times New Roman" w:hAnsi="EC Square Sans Cond Pro" w:cs="Calibri"/>
                <w:i/>
                <w:noProof/>
                <w:color w:val="000000"/>
                <w:sz w:val="20"/>
                <w:szCs w:val="20"/>
                <w:lang w:val="en-IE"/>
              </w:rPr>
            </w:pPr>
            <w:r w:rsidRPr="0030528F">
              <w:rPr>
                <w:rFonts w:ascii="EC Square Sans Cond Pro" w:eastAsia="Times New Roman" w:hAnsi="EC Square Sans Cond Pro" w:cs="Calibri"/>
                <w:i/>
                <w:noProof/>
                <w:color w:val="000000"/>
                <w:sz w:val="20"/>
                <w:szCs w:val="20"/>
                <w:lang w:val="en-IE"/>
              </w:rPr>
              <w:t>-</w:t>
            </w:r>
            <w:r w:rsidR="00942D0D" w:rsidRPr="00124018">
              <w:rPr>
                <w:rFonts w:ascii="EC Square Sans Cond Pro" w:eastAsia="Times New Roman" w:hAnsi="EC Square Sans Cond Pro" w:cs="Calibri"/>
                <w:i/>
                <w:noProof/>
                <w:color w:val="000000"/>
                <w:sz w:val="20"/>
                <w:szCs w:val="20"/>
                <w:lang w:val="en-IE"/>
              </w:rPr>
              <w:t>234</w:t>
            </w:r>
          </w:p>
        </w:tc>
      </w:tr>
      <w:tr w:rsidR="00451BF5" w:rsidRPr="00EC1C05" w14:paraId="05E98513" w14:textId="77777777" w:rsidTr="00EC0BE4">
        <w:trPr>
          <w:trHeight w:val="315"/>
        </w:trPr>
        <w:tc>
          <w:tcPr>
            <w:tcW w:w="2121" w:type="dxa"/>
            <w:noWrap/>
            <w:hideMark/>
          </w:tcPr>
          <w:p w14:paraId="14701A2D" w14:textId="4226BF43" w:rsidR="00451BF5" w:rsidRPr="00EC1C05" w:rsidRDefault="00701B29" w:rsidP="00465F10">
            <w:pPr>
              <w:keepNext/>
              <w:keepLines/>
              <w:spacing w:after="0"/>
              <w:jc w:val="right"/>
              <w:rPr>
                <w:rFonts w:ascii="EC Square Sans Cond Pro" w:eastAsia="Times New Roman" w:hAnsi="EC Square Sans Cond Pro" w:cs="Calibri"/>
                <w:i/>
                <w:iCs/>
                <w:noProof/>
                <w:color w:val="000000"/>
                <w:sz w:val="20"/>
                <w:szCs w:val="20"/>
                <w:lang w:val="en-IE"/>
              </w:rPr>
            </w:pPr>
            <w:r>
              <w:rPr>
                <w:rFonts w:ascii="EC Square Sans Cond Pro" w:eastAsia="Times New Roman" w:hAnsi="EC Square Sans Cond Pro" w:cs="Calibri"/>
                <w:i/>
                <w:iCs/>
                <w:noProof/>
                <w:color w:val="000000"/>
                <w:sz w:val="20"/>
                <w:szCs w:val="20"/>
                <w:lang w:val="en-IE"/>
              </w:rPr>
              <w:t>Central level</w:t>
            </w:r>
            <w:r w:rsidRPr="00EC1C05">
              <w:rPr>
                <w:rFonts w:ascii="EC Square Sans Cond Pro" w:eastAsia="Times New Roman" w:hAnsi="EC Square Sans Cond Pro" w:cs="Calibri"/>
                <w:i/>
                <w:iCs/>
                <w:noProof/>
                <w:color w:val="000000"/>
                <w:sz w:val="20"/>
                <w:szCs w:val="20"/>
                <w:lang w:val="en-IE"/>
              </w:rPr>
              <w:t xml:space="preserve"> </w:t>
            </w:r>
          </w:p>
        </w:tc>
        <w:tc>
          <w:tcPr>
            <w:tcW w:w="825" w:type="dxa"/>
            <w:noWrap/>
            <w:hideMark/>
          </w:tcPr>
          <w:p w14:paraId="2BA8E5B3" w14:textId="52B61355" w:rsidR="00451BF5" w:rsidRPr="00124018" w:rsidRDefault="00BA4190" w:rsidP="00465F10">
            <w:pPr>
              <w:keepNext/>
              <w:keepLines/>
              <w:spacing w:after="0"/>
              <w:jc w:val="center"/>
              <w:rPr>
                <w:rFonts w:ascii="EC Square Sans Cond Pro" w:eastAsia="Times New Roman" w:hAnsi="EC Square Sans Cond Pro" w:cs="Calibri"/>
                <w:i/>
                <w:noProof/>
                <w:color w:val="000000"/>
                <w:sz w:val="20"/>
                <w:szCs w:val="20"/>
                <w:lang w:val="en-IE"/>
              </w:rPr>
            </w:pPr>
            <w:r w:rsidRPr="0025416F">
              <w:rPr>
                <w:rFonts w:ascii="EC Square Sans Cond Pro" w:eastAsia="Times New Roman" w:hAnsi="EC Square Sans Cond Pro" w:cs="Calibri"/>
                <w:i/>
                <w:noProof/>
                <w:color w:val="000000"/>
                <w:sz w:val="20"/>
                <w:szCs w:val="20"/>
                <w:lang w:val="en-IE"/>
              </w:rPr>
              <w:t>-</w:t>
            </w:r>
            <w:r w:rsidR="0025416F" w:rsidRPr="00B610A2">
              <w:rPr>
                <w:rFonts w:ascii="EC Square Sans Cond Pro" w:eastAsia="Times New Roman" w:hAnsi="EC Square Sans Cond Pro" w:cs="Calibri"/>
                <w:i/>
                <w:noProof/>
                <w:color w:val="000000"/>
                <w:sz w:val="20"/>
                <w:szCs w:val="20"/>
                <w:lang w:val="en-IE"/>
              </w:rPr>
              <w:t>319</w:t>
            </w:r>
          </w:p>
        </w:tc>
        <w:tc>
          <w:tcPr>
            <w:tcW w:w="825" w:type="dxa"/>
            <w:noWrap/>
            <w:hideMark/>
          </w:tcPr>
          <w:p w14:paraId="0980C418" w14:textId="6BEF384D" w:rsidR="00451BF5" w:rsidRPr="00FE26BE" w:rsidRDefault="00451BF5" w:rsidP="00465F10">
            <w:pPr>
              <w:keepNext/>
              <w:keepLines/>
              <w:spacing w:after="0"/>
              <w:jc w:val="center"/>
              <w:rPr>
                <w:rFonts w:ascii="EC Square Sans Cond Pro" w:eastAsia="Times New Roman" w:hAnsi="EC Square Sans Cond Pro" w:cs="Calibri"/>
                <w:b/>
                <w:bCs/>
                <w:i/>
                <w:noProof/>
                <w:color w:val="000000"/>
                <w:sz w:val="20"/>
                <w:szCs w:val="20"/>
                <w:lang w:val="en-IE"/>
              </w:rPr>
            </w:pPr>
            <w:r w:rsidRPr="00FE26BE">
              <w:rPr>
                <w:rFonts w:ascii="EC Square Sans Cond Pro" w:eastAsia="Times New Roman" w:hAnsi="EC Square Sans Cond Pro" w:cs="Calibri"/>
                <w:b/>
                <w:bCs/>
                <w:i/>
                <w:noProof/>
                <w:color w:val="000000"/>
                <w:sz w:val="20"/>
                <w:szCs w:val="20"/>
                <w:lang w:val="en-IE"/>
              </w:rPr>
              <w:t>-</w:t>
            </w:r>
            <w:r w:rsidR="00942D0D" w:rsidRPr="00FE26BE">
              <w:rPr>
                <w:rFonts w:ascii="EC Square Sans Cond Pro" w:eastAsia="Times New Roman" w:hAnsi="EC Square Sans Cond Pro" w:cs="Calibri"/>
                <w:b/>
                <w:bCs/>
                <w:i/>
                <w:noProof/>
                <w:color w:val="000000"/>
                <w:sz w:val="20"/>
                <w:szCs w:val="20"/>
                <w:lang w:val="en-IE"/>
              </w:rPr>
              <w:t>316</w:t>
            </w:r>
          </w:p>
        </w:tc>
        <w:tc>
          <w:tcPr>
            <w:tcW w:w="825" w:type="dxa"/>
            <w:noWrap/>
            <w:hideMark/>
          </w:tcPr>
          <w:p w14:paraId="2BEF8BCF" w14:textId="00FBDA10" w:rsidR="00451BF5" w:rsidRPr="00FE26BE" w:rsidRDefault="00451BF5" w:rsidP="00465F10">
            <w:pPr>
              <w:keepNext/>
              <w:keepLines/>
              <w:spacing w:after="0"/>
              <w:jc w:val="center"/>
              <w:rPr>
                <w:rFonts w:ascii="EC Square Sans Cond Pro" w:eastAsia="Times New Roman" w:hAnsi="EC Square Sans Cond Pro" w:cs="Calibri"/>
                <w:b/>
                <w:bCs/>
                <w:i/>
                <w:noProof/>
                <w:color w:val="000000"/>
                <w:sz w:val="20"/>
                <w:szCs w:val="20"/>
                <w:lang w:val="en-IE"/>
              </w:rPr>
            </w:pPr>
            <w:r w:rsidRPr="00FE26BE">
              <w:rPr>
                <w:rFonts w:ascii="EC Square Sans Cond Pro" w:eastAsia="Times New Roman" w:hAnsi="EC Square Sans Cond Pro" w:cs="Calibri"/>
                <w:b/>
                <w:bCs/>
                <w:i/>
                <w:noProof/>
                <w:color w:val="000000"/>
                <w:sz w:val="20"/>
                <w:szCs w:val="20"/>
                <w:lang w:val="en-IE"/>
              </w:rPr>
              <w:t>-</w:t>
            </w:r>
            <w:r w:rsidR="00942D0D" w:rsidRPr="00FE26BE">
              <w:rPr>
                <w:rFonts w:ascii="EC Square Sans Cond Pro" w:eastAsia="Times New Roman" w:hAnsi="EC Square Sans Cond Pro" w:cs="Calibri"/>
                <w:b/>
                <w:bCs/>
                <w:i/>
                <w:noProof/>
                <w:color w:val="000000"/>
                <w:sz w:val="20"/>
                <w:szCs w:val="20"/>
                <w:lang w:val="en-IE"/>
              </w:rPr>
              <w:t>3</w:t>
            </w:r>
            <w:r w:rsidR="00754B0C" w:rsidRPr="00FE26BE">
              <w:rPr>
                <w:rFonts w:ascii="EC Square Sans Cond Pro" w:eastAsia="Times New Roman" w:hAnsi="EC Square Sans Cond Pro" w:cs="Calibri"/>
                <w:b/>
                <w:bCs/>
                <w:i/>
                <w:noProof/>
                <w:color w:val="000000"/>
                <w:sz w:val="20"/>
                <w:szCs w:val="20"/>
                <w:lang w:val="en-IE"/>
              </w:rPr>
              <w:t>17</w:t>
            </w:r>
          </w:p>
        </w:tc>
        <w:tc>
          <w:tcPr>
            <w:tcW w:w="825" w:type="dxa"/>
            <w:noWrap/>
            <w:hideMark/>
          </w:tcPr>
          <w:p w14:paraId="1FD35BCB" w14:textId="393D5A56" w:rsidR="00451BF5" w:rsidRPr="00FE26BE" w:rsidRDefault="00451BF5" w:rsidP="00465F10">
            <w:pPr>
              <w:keepNext/>
              <w:keepLines/>
              <w:spacing w:after="0"/>
              <w:jc w:val="center"/>
              <w:rPr>
                <w:rFonts w:ascii="EC Square Sans Cond Pro" w:eastAsia="Times New Roman" w:hAnsi="EC Square Sans Cond Pro" w:cs="Calibri"/>
                <w:b/>
                <w:bCs/>
                <w:i/>
                <w:noProof/>
                <w:color w:val="000000"/>
                <w:sz w:val="20"/>
                <w:szCs w:val="20"/>
                <w:lang w:val="en-IE"/>
              </w:rPr>
            </w:pPr>
            <w:r w:rsidRPr="00FE26BE">
              <w:rPr>
                <w:rFonts w:ascii="EC Square Sans Cond Pro" w:eastAsia="Times New Roman" w:hAnsi="EC Square Sans Cond Pro" w:cs="Calibri"/>
                <w:b/>
                <w:bCs/>
                <w:i/>
                <w:noProof/>
                <w:color w:val="000000"/>
                <w:sz w:val="20"/>
                <w:szCs w:val="20"/>
                <w:lang w:val="en-IE"/>
              </w:rPr>
              <w:t>-</w:t>
            </w:r>
            <w:r w:rsidR="00942D0D" w:rsidRPr="00FE26BE">
              <w:rPr>
                <w:rFonts w:ascii="EC Square Sans Cond Pro" w:eastAsia="Times New Roman" w:hAnsi="EC Square Sans Cond Pro" w:cs="Calibri"/>
                <w:b/>
                <w:bCs/>
                <w:i/>
                <w:noProof/>
                <w:color w:val="000000"/>
                <w:sz w:val="20"/>
                <w:szCs w:val="20"/>
                <w:lang w:val="en-IE"/>
              </w:rPr>
              <w:t>360</w:t>
            </w:r>
          </w:p>
        </w:tc>
        <w:tc>
          <w:tcPr>
            <w:tcW w:w="825" w:type="dxa"/>
            <w:noWrap/>
            <w:hideMark/>
          </w:tcPr>
          <w:p w14:paraId="0A753B30" w14:textId="58E95ADF" w:rsidR="00451BF5" w:rsidRPr="00FE26BE" w:rsidRDefault="00451BF5" w:rsidP="00465F10">
            <w:pPr>
              <w:keepNext/>
              <w:keepLines/>
              <w:spacing w:after="0"/>
              <w:jc w:val="center"/>
              <w:rPr>
                <w:rFonts w:ascii="EC Square Sans Cond Pro" w:eastAsia="Times New Roman" w:hAnsi="EC Square Sans Cond Pro" w:cs="Calibri"/>
                <w:b/>
                <w:bCs/>
                <w:i/>
                <w:noProof/>
                <w:color w:val="000000"/>
                <w:sz w:val="20"/>
                <w:szCs w:val="20"/>
                <w:lang w:val="en-IE"/>
              </w:rPr>
            </w:pPr>
            <w:r w:rsidRPr="00FE26BE">
              <w:rPr>
                <w:rFonts w:ascii="EC Square Sans Cond Pro" w:eastAsia="Times New Roman" w:hAnsi="EC Square Sans Cond Pro" w:cs="Calibri"/>
                <w:b/>
                <w:bCs/>
                <w:i/>
                <w:noProof/>
                <w:color w:val="000000"/>
                <w:sz w:val="20"/>
                <w:szCs w:val="20"/>
                <w:lang w:val="en-IE"/>
              </w:rPr>
              <w:t>-</w:t>
            </w:r>
            <w:r w:rsidR="00942D0D" w:rsidRPr="00FE26BE">
              <w:rPr>
                <w:rFonts w:ascii="EC Square Sans Cond Pro" w:eastAsia="Times New Roman" w:hAnsi="EC Square Sans Cond Pro" w:cs="Calibri"/>
                <w:b/>
                <w:bCs/>
                <w:i/>
                <w:noProof/>
                <w:color w:val="000000"/>
                <w:sz w:val="20"/>
                <w:szCs w:val="20"/>
                <w:lang w:val="en-IE"/>
              </w:rPr>
              <w:t>34</w:t>
            </w:r>
            <w:r w:rsidR="00754B0C" w:rsidRPr="00FE26BE">
              <w:rPr>
                <w:rFonts w:ascii="EC Square Sans Cond Pro" w:eastAsia="Times New Roman" w:hAnsi="EC Square Sans Cond Pro" w:cs="Calibri"/>
                <w:b/>
                <w:bCs/>
                <w:i/>
                <w:noProof/>
                <w:color w:val="000000"/>
                <w:sz w:val="20"/>
                <w:szCs w:val="20"/>
                <w:lang w:val="en-IE"/>
              </w:rPr>
              <w:t>1</w:t>
            </w:r>
          </w:p>
        </w:tc>
        <w:tc>
          <w:tcPr>
            <w:tcW w:w="825" w:type="dxa"/>
            <w:noWrap/>
            <w:hideMark/>
          </w:tcPr>
          <w:p w14:paraId="4E6C5C01" w14:textId="0B500CA9" w:rsidR="00451BF5" w:rsidRPr="00FE26BE" w:rsidRDefault="00451BF5" w:rsidP="00465F10">
            <w:pPr>
              <w:keepNext/>
              <w:keepLines/>
              <w:spacing w:after="0"/>
              <w:jc w:val="center"/>
              <w:rPr>
                <w:rFonts w:ascii="EC Square Sans Cond Pro" w:eastAsia="Times New Roman" w:hAnsi="EC Square Sans Cond Pro" w:cs="Calibri"/>
                <w:b/>
                <w:bCs/>
                <w:i/>
                <w:noProof/>
                <w:color w:val="000000"/>
                <w:sz w:val="20"/>
                <w:szCs w:val="20"/>
                <w:lang w:val="en-IE"/>
              </w:rPr>
            </w:pPr>
            <w:r w:rsidRPr="00FE26BE">
              <w:rPr>
                <w:rFonts w:ascii="EC Square Sans Cond Pro" w:eastAsia="Times New Roman" w:hAnsi="EC Square Sans Cond Pro" w:cs="Calibri"/>
                <w:b/>
                <w:bCs/>
                <w:i/>
                <w:noProof/>
                <w:color w:val="000000"/>
                <w:sz w:val="20"/>
                <w:szCs w:val="20"/>
                <w:lang w:val="en-IE"/>
              </w:rPr>
              <w:t>-</w:t>
            </w:r>
            <w:r w:rsidR="00942D0D" w:rsidRPr="00FE26BE">
              <w:rPr>
                <w:rFonts w:ascii="EC Square Sans Cond Pro" w:eastAsia="Times New Roman" w:hAnsi="EC Square Sans Cond Pro" w:cs="Calibri"/>
                <w:b/>
                <w:bCs/>
                <w:i/>
                <w:noProof/>
                <w:color w:val="000000"/>
                <w:sz w:val="20"/>
                <w:szCs w:val="20"/>
                <w:lang w:val="en-IE"/>
              </w:rPr>
              <w:t>33</w:t>
            </w:r>
            <w:r w:rsidR="00754B0C" w:rsidRPr="00FE26BE">
              <w:rPr>
                <w:rFonts w:ascii="EC Square Sans Cond Pro" w:eastAsia="Times New Roman" w:hAnsi="EC Square Sans Cond Pro" w:cs="Calibri"/>
                <w:b/>
                <w:bCs/>
                <w:i/>
                <w:noProof/>
                <w:color w:val="000000"/>
                <w:sz w:val="20"/>
                <w:szCs w:val="20"/>
                <w:lang w:val="en-IE"/>
              </w:rPr>
              <w:t>2</w:t>
            </w:r>
          </w:p>
        </w:tc>
        <w:tc>
          <w:tcPr>
            <w:tcW w:w="825" w:type="dxa"/>
            <w:noWrap/>
            <w:hideMark/>
          </w:tcPr>
          <w:p w14:paraId="2E127BB7" w14:textId="190260B3" w:rsidR="00451BF5" w:rsidRPr="00FE26BE" w:rsidRDefault="00451BF5" w:rsidP="00465F10">
            <w:pPr>
              <w:keepNext/>
              <w:keepLines/>
              <w:spacing w:after="0"/>
              <w:jc w:val="center"/>
              <w:rPr>
                <w:rFonts w:ascii="EC Square Sans Cond Pro" w:eastAsia="Times New Roman" w:hAnsi="EC Square Sans Cond Pro" w:cs="Calibri"/>
                <w:b/>
                <w:bCs/>
                <w:i/>
                <w:noProof/>
                <w:color w:val="000000"/>
                <w:sz w:val="20"/>
                <w:szCs w:val="20"/>
                <w:lang w:val="en-IE"/>
              </w:rPr>
            </w:pPr>
            <w:r w:rsidRPr="00FE26BE">
              <w:rPr>
                <w:rFonts w:ascii="EC Square Sans Cond Pro" w:eastAsia="Times New Roman" w:hAnsi="EC Square Sans Cond Pro" w:cs="Calibri"/>
                <w:b/>
                <w:bCs/>
                <w:i/>
                <w:noProof/>
                <w:color w:val="000000"/>
                <w:sz w:val="20"/>
                <w:szCs w:val="20"/>
                <w:lang w:val="en-IE"/>
              </w:rPr>
              <w:t>-</w:t>
            </w:r>
            <w:r w:rsidR="00942D0D" w:rsidRPr="00FE26BE">
              <w:rPr>
                <w:rFonts w:ascii="EC Square Sans Cond Pro" w:eastAsia="Times New Roman" w:hAnsi="EC Square Sans Cond Pro" w:cs="Calibri"/>
                <w:b/>
                <w:bCs/>
                <w:i/>
                <w:noProof/>
                <w:color w:val="000000"/>
                <w:sz w:val="20"/>
                <w:szCs w:val="20"/>
                <w:lang w:val="en-IE"/>
              </w:rPr>
              <w:t>33</w:t>
            </w:r>
            <w:r w:rsidR="00754B0C" w:rsidRPr="00FE26BE">
              <w:rPr>
                <w:rFonts w:ascii="EC Square Sans Cond Pro" w:eastAsia="Times New Roman" w:hAnsi="EC Square Sans Cond Pro" w:cs="Calibri"/>
                <w:b/>
                <w:bCs/>
                <w:i/>
                <w:noProof/>
                <w:color w:val="000000"/>
                <w:sz w:val="20"/>
                <w:szCs w:val="20"/>
                <w:lang w:val="en-IE"/>
              </w:rPr>
              <w:t>3</w:t>
            </w:r>
          </w:p>
        </w:tc>
        <w:tc>
          <w:tcPr>
            <w:tcW w:w="825" w:type="dxa"/>
            <w:noWrap/>
            <w:hideMark/>
          </w:tcPr>
          <w:p w14:paraId="1620DDCB" w14:textId="03527F1B" w:rsidR="00451BF5" w:rsidRPr="00FE26BE" w:rsidRDefault="00451BF5" w:rsidP="00465F10">
            <w:pPr>
              <w:keepNext/>
              <w:keepLines/>
              <w:spacing w:after="0"/>
              <w:jc w:val="center"/>
              <w:rPr>
                <w:rFonts w:ascii="EC Square Sans Cond Pro" w:eastAsia="Times New Roman" w:hAnsi="EC Square Sans Cond Pro" w:cs="Calibri"/>
                <w:b/>
                <w:bCs/>
                <w:i/>
                <w:noProof/>
                <w:color w:val="000000"/>
                <w:sz w:val="20"/>
                <w:szCs w:val="20"/>
                <w:lang w:val="en-IE"/>
              </w:rPr>
            </w:pPr>
            <w:r w:rsidRPr="00FE26BE">
              <w:rPr>
                <w:rFonts w:ascii="EC Square Sans Cond Pro" w:eastAsia="Times New Roman" w:hAnsi="EC Square Sans Cond Pro" w:cs="Calibri"/>
                <w:b/>
                <w:bCs/>
                <w:i/>
                <w:noProof/>
                <w:color w:val="000000"/>
                <w:sz w:val="20"/>
                <w:szCs w:val="20"/>
                <w:lang w:val="en-IE"/>
              </w:rPr>
              <w:t>-</w:t>
            </w:r>
            <w:r w:rsidR="00942D0D" w:rsidRPr="00FE26BE">
              <w:rPr>
                <w:rFonts w:ascii="EC Square Sans Cond Pro" w:eastAsia="Times New Roman" w:hAnsi="EC Square Sans Cond Pro" w:cs="Calibri"/>
                <w:b/>
                <w:bCs/>
                <w:i/>
                <w:noProof/>
                <w:color w:val="000000"/>
                <w:sz w:val="20"/>
                <w:szCs w:val="20"/>
                <w:lang w:val="en-IE"/>
              </w:rPr>
              <w:t>389</w:t>
            </w:r>
          </w:p>
        </w:tc>
      </w:tr>
      <w:tr w:rsidR="00451BF5" w:rsidRPr="00EC1C05" w14:paraId="72FC60B9" w14:textId="77777777" w:rsidTr="00EC0BE4">
        <w:trPr>
          <w:trHeight w:val="300"/>
        </w:trPr>
        <w:tc>
          <w:tcPr>
            <w:tcW w:w="2121" w:type="dxa"/>
            <w:noWrap/>
            <w:hideMark/>
          </w:tcPr>
          <w:p w14:paraId="6AA2D296" w14:textId="1A41C7B5" w:rsidR="00451BF5" w:rsidRPr="00EC1C05" w:rsidRDefault="000A6C6A" w:rsidP="00465F10">
            <w:pPr>
              <w:keepNext/>
              <w:keepLines/>
              <w:spacing w:after="0"/>
              <w:jc w:val="right"/>
              <w:rPr>
                <w:rFonts w:ascii="EC Square Sans Cond Pro" w:eastAsia="Times New Roman" w:hAnsi="EC Square Sans Cond Pro" w:cs="Calibri"/>
                <w:i/>
                <w:iCs/>
                <w:noProof/>
                <w:color w:val="000000"/>
                <w:sz w:val="20"/>
                <w:szCs w:val="20"/>
                <w:lang w:val="en-IE"/>
              </w:rPr>
            </w:pPr>
            <w:r>
              <w:rPr>
                <w:rFonts w:ascii="EC Square Sans Cond Pro" w:eastAsia="Times New Roman" w:hAnsi="EC Square Sans Cond Pro" w:cs="Calibri"/>
                <w:i/>
                <w:iCs/>
                <w:noProof/>
                <w:color w:val="000000"/>
                <w:sz w:val="20"/>
                <w:szCs w:val="20"/>
                <w:lang w:val="en-IE"/>
              </w:rPr>
              <w:t>Upper level</w:t>
            </w:r>
            <w:r w:rsidRPr="00EC1C05">
              <w:rPr>
                <w:rFonts w:ascii="EC Square Sans Cond Pro" w:eastAsia="Times New Roman" w:hAnsi="EC Square Sans Cond Pro" w:cs="Calibri"/>
                <w:i/>
                <w:iCs/>
                <w:noProof/>
                <w:color w:val="000000"/>
                <w:sz w:val="20"/>
                <w:szCs w:val="20"/>
                <w:lang w:val="en-IE"/>
              </w:rPr>
              <w:t xml:space="preserve"> </w:t>
            </w:r>
          </w:p>
        </w:tc>
        <w:tc>
          <w:tcPr>
            <w:tcW w:w="825" w:type="dxa"/>
            <w:noWrap/>
            <w:hideMark/>
          </w:tcPr>
          <w:p w14:paraId="0375B689" w14:textId="0B447A70" w:rsidR="00451BF5" w:rsidRPr="00124018" w:rsidRDefault="00451BF5" w:rsidP="00465F10">
            <w:pPr>
              <w:keepNext/>
              <w:keepLines/>
              <w:spacing w:after="0"/>
              <w:jc w:val="center"/>
              <w:rPr>
                <w:rFonts w:ascii="EC Square Sans Cond Pro" w:eastAsia="Times New Roman" w:hAnsi="EC Square Sans Cond Pro" w:cs="Calibri"/>
                <w:i/>
                <w:noProof/>
                <w:color w:val="000000"/>
                <w:sz w:val="20"/>
                <w:szCs w:val="20"/>
                <w:lang w:val="en-IE"/>
              </w:rPr>
            </w:pPr>
            <w:r w:rsidRPr="00124018">
              <w:rPr>
                <w:rFonts w:ascii="EC Square Sans Cond Pro" w:eastAsia="Times New Roman" w:hAnsi="EC Square Sans Cond Pro" w:cs="Calibri"/>
                <w:i/>
                <w:noProof/>
                <w:color w:val="000000"/>
                <w:sz w:val="20"/>
                <w:szCs w:val="20"/>
                <w:lang w:val="en-IE"/>
              </w:rPr>
              <w:t>-</w:t>
            </w:r>
            <w:r w:rsidR="00942D0D" w:rsidRPr="00124018">
              <w:rPr>
                <w:rFonts w:ascii="EC Square Sans Cond Pro" w:eastAsia="Times New Roman" w:hAnsi="EC Square Sans Cond Pro" w:cs="Calibri"/>
                <w:i/>
                <w:noProof/>
                <w:color w:val="000000"/>
                <w:sz w:val="20"/>
                <w:szCs w:val="20"/>
                <w:lang w:val="en-IE"/>
              </w:rPr>
              <w:t>3</w:t>
            </w:r>
            <w:r w:rsidR="00754B0C">
              <w:rPr>
                <w:rFonts w:ascii="EC Square Sans Cond Pro" w:eastAsia="Times New Roman" w:hAnsi="EC Square Sans Cond Pro" w:cs="Calibri"/>
                <w:i/>
                <w:noProof/>
                <w:color w:val="000000"/>
                <w:sz w:val="20"/>
                <w:szCs w:val="20"/>
                <w:lang w:val="en-IE"/>
              </w:rPr>
              <w:t>76</w:t>
            </w:r>
          </w:p>
        </w:tc>
        <w:tc>
          <w:tcPr>
            <w:tcW w:w="825" w:type="dxa"/>
            <w:noWrap/>
            <w:hideMark/>
          </w:tcPr>
          <w:p w14:paraId="55E86AC7" w14:textId="2FBCAB75" w:rsidR="00451BF5" w:rsidRPr="00124018" w:rsidRDefault="00451BF5" w:rsidP="00465F10">
            <w:pPr>
              <w:keepNext/>
              <w:keepLines/>
              <w:spacing w:after="0"/>
              <w:jc w:val="center"/>
              <w:rPr>
                <w:rFonts w:ascii="EC Square Sans Cond Pro" w:eastAsia="Times New Roman" w:hAnsi="EC Square Sans Cond Pro" w:cs="Calibri"/>
                <w:i/>
                <w:noProof/>
                <w:color w:val="000000"/>
                <w:sz w:val="20"/>
                <w:szCs w:val="20"/>
                <w:lang w:val="en-IE"/>
              </w:rPr>
            </w:pPr>
            <w:r w:rsidRPr="00124018">
              <w:rPr>
                <w:rFonts w:ascii="EC Square Sans Cond Pro" w:eastAsia="Times New Roman" w:hAnsi="EC Square Sans Cond Pro" w:cs="Calibri"/>
                <w:i/>
                <w:noProof/>
                <w:color w:val="000000"/>
                <w:sz w:val="20"/>
                <w:szCs w:val="20"/>
                <w:lang w:val="en-IE"/>
              </w:rPr>
              <w:t>-</w:t>
            </w:r>
            <w:r w:rsidR="00942D0D" w:rsidRPr="00124018">
              <w:rPr>
                <w:rFonts w:ascii="EC Square Sans Cond Pro" w:eastAsia="Times New Roman" w:hAnsi="EC Square Sans Cond Pro" w:cs="Calibri"/>
                <w:i/>
                <w:noProof/>
                <w:color w:val="000000"/>
                <w:sz w:val="20"/>
                <w:szCs w:val="20"/>
                <w:lang w:val="en-IE"/>
              </w:rPr>
              <w:t>374</w:t>
            </w:r>
          </w:p>
        </w:tc>
        <w:tc>
          <w:tcPr>
            <w:tcW w:w="825" w:type="dxa"/>
            <w:noWrap/>
            <w:hideMark/>
          </w:tcPr>
          <w:p w14:paraId="5055394C" w14:textId="5D19D222" w:rsidR="00451BF5" w:rsidRPr="00124018" w:rsidRDefault="00451BF5" w:rsidP="00465F10">
            <w:pPr>
              <w:keepNext/>
              <w:keepLines/>
              <w:spacing w:after="0"/>
              <w:jc w:val="center"/>
              <w:rPr>
                <w:rFonts w:ascii="EC Square Sans Cond Pro" w:eastAsia="Times New Roman" w:hAnsi="EC Square Sans Cond Pro" w:cs="Calibri"/>
                <w:i/>
                <w:noProof/>
                <w:color w:val="000000"/>
                <w:sz w:val="20"/>
                <w:szCs w:val="20"/>
                <w:lang w:val="en-IE"/>
              </w:rPr>
            </w:pPr>
            <w:r w:rsidRPr="00124018">
              <w:rPr>
                <w:rFonts w:ascii="EC Square Sans Cond Pro" w:eastAsia="Times New Roman" w:hAnsi="EC Square Sans Cond Pro" w:cs="Calibri"/>
                <w:i/>
                <w:noProof/>
                <w:color w:val="000000"/>
                <w:sz w:val="20"/>
                <w:szCs w:val="20"/>
                <w:lang w:val="en-IE"/>
              </w:rPr>
              <w:t>-</w:t>
            </w:r>
            <w:r w:rsidR="00942D0D" w:rsidRPr="00124018">
              <w:rPr>
                <w:rFonts w:ascii="EC Square Sans Cond Pro" w:eastAsia="Times New Roman" w:hAnsi="EC Square Sans Cond Pro" w:cs="Calibri"/>
                <w:i/>
                <w:noProof/>
                <w:color w:val="000000"/>
                <w:sz w:val="20"/>
                <w:szCs w:val="20"/>
                <w:lang w:val="en-IE"/>
              </w:rPr>
              <w:t>37</w:t>
            </w:r>
            <w:r w:rsidR="00754B0C">
              <w:rPr>
                <w:rFonts w:ascii="EC Square Sans Cond Pro" w:eastAsia="Times New Roman" w:hAnsi="EC Square Sans Cond Pro" w:cs="Calibri"/>
                <w:i/>
                <w:noProof/>
                <w:color w:val="000000"/>
                <w:sz w:val="20"/>
                <w:szCs w:val="20"/>
                <w:lang w:val="en-IE"/>
              </w:rPr>
              <w:t>6</w:t>
            </w:r>
          </w:p>
        </w:tc>
        <w:tc>
          <w:tcPr>
            <w:tcW w:w="825" w:type="dxa"/>
            <w:noWrap/>
            <w:hideMark/>
          </w:tcPr>
          <w:p w14:paraId="7083ECC0" w14:textId="4DD52F65" w:rsidR="00451BF5" w:rsidRPr="0030528F" w:rsidRDefault="00451BF5" w:rsidP="00465F10">
            <w:pPr>
              <w:keepNext/>
              <w:keepLines/>
              <w:spacing w:after="0"/>
              <w:jc w:val="center"/>
              <w:rPr>
                <w:rFonts w:ascii="EC Square Sans Cond Pro" w:eastAsia="Times New Roman" w:hAnsi="EC Square Sans Cond Pro" w:cs="Calibri"/>
                <w:i/>
                <w:noProof/>
                <w:color w:val="000000"/>
                <w:sz w:val="20"/>
                <w:szCs w:val="20"/>
                <w:lang w:val="en-IE"/>
              </w:rPr>
            </w:pPr>
            <w:r w:rsidRPr="0030528F">
              <w:rPr>
                <w:rFonts w:ascii="EC Square Sans Cond Pro" w:eastAsia="Times New Roman" w:hAnsi="EC Square Sans Cond Pro" w:cs="Calibri"/>
                <w:i/>
                <w:noProof/>
                <w:color w:val="000000"/>
                <w:sz w:val="20"/>
                <w:szCs w:val="20"/>
                <w:lang w:val="en-IE"/>
              </w:rPr>
              <w:t>-</w:t>
            </w:r>
            <w:r w:rsidR="00942D0D" w:rsidRPr="00124018">
              <w:rPr>
                <w:rFonts w:ascii="EC Square Sans Cond Pro" w:eastAsia="Times New Roman" w:hAnsi="EC Square Sans Cond Pro" w:cs="Calibri"/>
                <w:i/>
                <w:noProof/>
                <w:color w:val="000000"/>
                <w:sz w:val="20"/>
                <w:szCs w:val="20"/>
                <w:lang w:val="en-IE"/>
              </w:rPr>
              <w:t>410</w:t>
            </w:r>
          </w:p>
        </w:tc>
        <w:tc>
          <w:tcPr>
            <w:tcW w:w="825" w:type="dxa"/>
            <w:noWrap/>
            <w:hideMark/>
          </w:tcPr>
          <w:p w14:paraId="101E8148" w14:textId="429F4C13" w:rsidR="00451BF5" w:rsidRPr="00124018" w:rsidRDefault="00451BF5" w:rsidP="00465F10">
            <w:pPr>
              <w:keepNext/>
              <w:keepLines/>
              <w:spacing w:after="0"/>
              <w:jc w:val="center"/>
              <w:rPr>
                <w:rFonts w:ascii="EC Square Sans Cond Pro" w:eastAsia="Times New Roman" w:hAnsi="EC Square Sans Cond Pro" w:cs="Calibri"/>
                <w:i/>
                <w:noProof/>
                <w:color w:val="000000"/>
                <w:sz w:val="20"/>
                <w:szCs w:val="20"/>
                <w:lang w:val="en-IE"/>
              </w:rPr>
            </w:pPr>
            <w:r w:rsidRPr="00124018">
              <w:rPr>
                <w:rFonts w:ascii="EC Square Sans Cond Pro" w:eastAsia="Times New Roman" w:hAnsi="EC Square Sans Cond Pro" w:cs="Calibri"/>
                <w:i/>
                <w:noProof/>
                <w:color w:val="000000"/>
                <w:sz w:val="20"/>
                <w:szCs w:val="20"/>
                <w:lang w:val="en-IE"/>
              </w:rPr>
              <w:t>-</w:t>
            </w:r>
            <w:r w:rsidR="00942D0D" w:rsidRPr="00124018">
              <w:rPr>
                <w:rFonts w:ascii="EC Square Sans Cond Pro" w:eastAsia="Times New Roman" w:hAnsi="EC Square Sans Cond Pro" w:cs="Calibri"/>
                <w:i/>
                <w:noProof/>
                <w:color w:val="000000"/>
                <w:sz w:val="20"/>
                <w:szCs w:val="20"/>
                <w:lang w:val="en-IE"/>
              </w:rPr>
              <w:t>40</w:t>
            </w:r>
            <w:r w:rsidR="00754B0C">
              <w:rPr>
                <w:rFonts w:ascii="EC Square Sans Cond Pro" w:eastAsia="Times New Roman" w:hAnsi="EC Square Sans Cond Pro" w:cs="Calibri"/>
                <w:i/>
                <w:noProof/>
                <w:color w:val="000000"/>
                <w:sz w:val="20"/>
                <w:szCs w:val="20"/>
                <w:lang w:val="en-IE"/>
              </w:rPr>
              <w:t>3</w:t>
            </w:r>
          </w:p>
        </w:tc>
        <w:tc>
          <w:tcPr>
            <w:tcW w:w="825" w:type="dxa"/>
            <w:noWrap/>
            <w:hideMark/>
          </w:tcPr>
          <w:p w14:paraId="7D52609F" w14:textId="2F9745BF" w:rsidR="00451BF5" w:rsidRPr="00124018" w:rsidRDefault="00451BF5" w:rsidP="00465F10">
            <w:pPr>
              <w:keepNext/>
              <w:keepLines/>
              <w:spacing w:after="0"/>
              <w:jc w:val="center"/>
              <w:rPr>
                <w:rFonts w:ascii="EC Square Sans Cond Pro" w:eastAsia="Times New Roman" w:hAnsi="EC Square Sans Cond Pro" w:cs="Calibri"/>
                <w:i/>
                <w:noProof/>
                <w:color w:val="000000"/>
                <w:sz w:val="20"/>
                <w:szCs w:val="20"/>
                <w:lang w:val="en-IE"/>
              </w:rPr>
            </w:pPr>
            <w:r w:rsidRPr="00124018">
              <w:rPr>
                <w:rFonts w:ascii="EC Square Sans Cond Pro" w:eastAsia="Times New Roman" w:hAnsi="EC Square Sans Cond Pro" w:cs="Calibri"/>
                <w:i/>
                <w:noProof/>
                <w:color w:val="000000"/>
                <w:sz w:val="20"/>
                <w:szCs w:val="20"/>
                <w:lang w:val="en-IE"/>
              </w:rPr>
              <w:t>-</w:t>
            </w:r>
            <w:r w:rsidR="00942D0D" w:rsidRPr="00124018">
              <w:rPr>
                <w:rFonts w:ascii="EC Square Sans Cond Pro" w:eastAsia="Times New Roman" w:hAnsi="EC Square Sans Cond Pro" w:cs="Calibri"/>
                <w:i/>
                <w:noProof/>
                <w:color w:val="000000"/>
                <w:sz w:val="20"/>
                <w:szCs w:val="20"/>
                <w:lang w:val="en-IE"/>
              </w:rPr>
              <w:t>394</w:t>
            </w:r>
          </w:p>
        </w:tc>
        <w:tc>
          <w:tcPr>
            <w:tcW w:w="825" w:type="dxa"/>
            <w:noWrap/>
            <w:hideMark/>
          </w:tcPr>
          <w:p w14:paraId="5C51C02D" w14:textId="74365A0D" w:rsidR="00451BF5" w:rsidRPr="00124018" w:rsidRDefault="00451BF5" w:rsidP="00465F10">
            <w:pPr>
              <w:keepNext/>
              <w:keepLines/>
              <w:spacing w:after="0"/>
              <w:jc w:val="center"/>
              <w:rPr>
                <w:rFonts w:ascii="EC Square Sans Cond Pro" w:eastAsia="Times New Roman" w:hAnsi="EC Square Sans Cond Pro" w:cs="Calibri"/>
                <w:i/>
                <w:noProof/>
                <w:color w:val="000000"/>
                <w:sz w:val="20"/>
                <w:szCs w:val="20"/>
                <w:lang w:val="en-IE"/>
              </w:rPr>
            </w:pPr>
            <w:r w:rsidRPr="00124018">
              <w:rPr>
                <w:rFonts w:ascii="EC Square Sans Cond Pro" w:eastAsia="Times New Roman" w:hAnsi="EC Square Sans Cond Pro" w:cs="Calibri"/>
                <w:i/>
                <w:noProof/>
                <w:color w:val="000000"/>
                <w:sz w:val="20"/>
                <w:szCs w:val="20"/>
                <w:lang w:val="en-IE"/>
              </w:rPr>
              <w:t>-</w:t>
            </w:r>
            <w:r w:rsidR="00942D0D" w:rsidRPr="00124018">
              <w:rPr>
                <w:rFonts w:ascii="EC Square Sans Cond Pro" w:eastAsia="Times New Roman" w:hAnsi="EC Square Sans Cond Pro" w:cs="Calibri"/>
                <w:i/>
                <w:noProof/>
                <w:color w:val="000000"/>
                <w:sz w:val="20"/>
                <w:szCs w:val="20"/>
                <w:lang w:val="en-IE"/>
              </w:rPr>
              <w:t>39</w:t>
            </w:r>
            <w:r w:rsidR="00754B0C">
              <w:rPr>
                <w:rFonts w:ascii="EC Square Sans Cond Pro" w:eastAsia="Times New Roman" w:hAnsi="EC Square Sans Cond Pro" w:cs="Calibri"/>
                <w:i/>
                <w:noProof/>
                <w:color w:val="000000"/>
                <w:sz w:val="20"/>
                <w:szCs w:val="20"/>
                <w:lang w:val="en-IE"/>
              </w:rPr>
              <w:t>6</w:t>
            </w:r>
          </w:p>
        </w:tc>
        <w:tc>
          <w:tcPr>
            <w:tcW w:w="825" w:type="dxa"/>
            <w:noWrap/>
            <w:hideMark/>
          </w:tcPr>
          <w:p w14:paraId="47466779" w14:textId="28961BF3" w:rsidR="00451BF5" w:rsidRPr="0030528F" w:rsidRDefault="00451BF5" w:rsidP="00465F10">
            <w:pPr>
              <w:keepNext/>
              <w:keepLines/>
              <w:spacing w:after="0"/>
              <w:jc w:val="center"/>
              <w:rPr>
                <w:rFonts w:ascii="EC Square Sans Cond Pro" w:eastAsia="Times New Roman" w:hAnsi="EC Square Sans Cond Pro" w:cs="Calibri"/>
                <w:i/>
                <w:noProof/>
                <w:color w:val="000000"/>
                <w:sz w:val="20"/>
                <w:szCs w:val="20"/>
                <w:lang w:val="en-IE"/>
              </w:rPr>
            </w:pPr>
            <w:r w:rsidRPr="0030528F">
              <w:rPr>
                <w:rFonts w:ascii="EC Square Sans Cond Pro" w:eastAsia="Times New Roman" w:hAnsi="EC Square Sans Cond Pro" w:cs="Calibri"/>
                <w:i/>
                <w:noProof/>
                <w:color w:val="000000"/>
                <w:sz w:val="20"/>
                <w:szCs w:val="20"/>
                <w:lang w:val="en-IE"/>
              </w:rPr>
              <w:t>-</w:t>
            </w:r>
            <w:r w:rsidR="00942D0D" w:rsidRPr="00124018">
              <w:rPr>
                <w:rFonts w:ascii="EC Square Sans Cond Pro" w:eastAsia="Times New Roman" w:hAnsi="EC Square Sans Cond Pro" w:cs="Calibri"/>
                <w:i/>
                <w:noProof/>
                <w:color w:val="000000"/>
                <w:sz w:val="20"/>
                <w:szCs w:val="20"/>
                <w:lang w:val="en-IE"/>
              </w:rPr>
              <w:t>436</w:t>
            </w:r>
          </w:p>
        </w:tc>
      </w:tr>
    </w:tbl>
    <w:p w14:paraId="3554EE2F" w14:textId="734A9762" w:rsidR="00710909" w:rsidRPr="00D22523" w:rsidRDefault="00710909" w:rsidP="00465F10">
      <w:pPr>
        <w:pStyle w:val="CT-NOTE"/>
        <w:keepLines/>
        <w:jc w:val="both"/>
        <w:rPr>
          <w:noProof/>
        </w:rPr>
      </w:pPr>
      <w:r w:rsidRPr="008F37D0">
        <w:rPr>
          <w:noProof/>
        </w:rPr>
        <w:t xml:space="preserve">Note: </w:t>
      </w:r>
      <w:r w:rsidR="000273F5" w:rsidRPr="00E95CA7">
        <w:rPr>
          <w:noProof/>
        </w:rPr>
        <w:t xml:space="preserve">The </w:t>
      </w:r>
      <w:r w:rsidR="000273F5">
        <w:rPr>
          <w:noProof/>
        </w:rPr>
        <w:t>‘</w:t>
      </w:r>
      <w:r w:rsidR="00701B29">
        <w:rPr>
          <w:noProof/>
        </w:rPr>
        <w:t>Central level</w:t>
      </w:r>
      <w:r w:rsidR="0064569D">
        <w:rPr>
          <w:noProof/>
        </w:rPr>
        <w:t>’ is derived from applying in the modelling the same policy intensity as the one necessary to meet the 2030 target</w:t>
      </w:r>
      <w:r w:rsidR="00BA4190">
        <w:rPr>
          <w:noProof/>
        </w:rPr>
        <w:t>, except for S1 in 2040</w:t>
      </w:r>
      <w:r w:rsidR="0064569D">
        <w:rPr>
          <w:noProof/>
        </w:rPr>
        <w:t xml:space="preserve">. </w:t>
      </w:r>
      <w:r w:rsidR="000273F5" w:rsidRPr="00E95CA7">
        <w:rPr>
          <w:noProof/>
        </w:rPr>
        <w:t xml:space="preserve">The </w:t>
      </w:r>
      <w:r w:rsidR="000273F5">
        <w:rPr>
          <w:noProof/>
        </w:rPr>
        <w:t>‘</w:t>
      </w:r>
      <w:r w:rsidR="000A6C6A">
        <w:rPr>
          <w:noProof/>
        </w:rPr>
        <w:t>Lower</w:t>
      </w:r>
      <w:r w:rsidR="000273F5">
        <w:rPr>
          <w:noProof/>
        </w:rPr>
        <w:t xml:space="preserve"> level</w:t>
      </w:r>
      <w:r w:rsidR="00154AC8">
        <w:rPr>
          <w:noProof/>
        </w:rPr>
        <w:t>’</w:t>
      </w:r>
      <w:r w:rsidR="000273F5">
        <w:rPr>
          <w:noProof/>
        </w:rPr>
        <w:t xml:space="preserve"> </w:t>
      </w:r>
      <w:r w:rsidR="00B02F56">
        <w:rPr>
          <w:noProof/>
        </w:rPr>
        <w:t>is derived from assuming</w:t>
      </w:r>
      <w:r w:rsidR="000273F5">
        <w:rPr>
          <w:noProof/>
        </w:rPr>
        <w:t xml:space="preserve"> no additional cost as the lower boundary of the LULUCF </w:t>
      </w:r>
      <w:r w:rsidR="00B02F56">
        <w:rPr>
          <w:noProof/>
        </w:rPr>
        <w:t xml:space="preserve">net removals </w:t>
      </w:r>
      <w:r w:rsidR="000273F5">
        <w:rPr>
          <w:noProof/>
        </w:rPr>
        <w:t>level. The ‘</w:t>
      </w:r>
      <w:r w:rsidR="000A6C6A">
        <w:rPr>
          <w:noProof/>
        </w:rPr>
        <w:t xml:space="preserve">Upper level’ </w:t>
      </w:r>
      <w:r w:rsidR="000273F5" w:rsidRPr="00E95CA7">
        <w:rPr>
          <w:noProof/>
        </w:rPr>
        <w:t>i</w:t>
      </w:r>
      <w:r w:rsidR="00B02F56">
        <w:rPr>
          <w:noProof/>
        </w:rPr>
        <w:t>s derived from the maximum mitigat</w:t>
      </w:r>
      <w:r w:rsidR="0064569D">
        <w:rPr>
          <w:noProof/>
        </w:rPr>
        <w:t>i</w:t>
      </w:r>
      <w:r w:rsidR="00B02F56">
        <w:rPr>
          <w:noProof/>
        </w:rPr>
        <w:t>on potential as</w:t>
      </w:r>
      <w:r w:rsidR="000273F5">
        <w:rPr>
          <w:noProof/>
        </w:rPr>
        <w:t xml:space="preserve"> the upper boundary of the LULUCF </w:t>
      </w:r>
      <w:r w:rsidR="00B02F56">
        <w:rPr>
          <w:noProof/>
        </w:rPr>
        <w:t xml:space="preserve">net removals </w:t>
      </w:r>
      <w:r w:rsidR="000273F5">
        <w:rPr>
          <w:noProof/>
        </w:rPr>
        <w:t>level</w:t>
      </w:r>
      <w:r w:rsidR="000273F5" w:rsidRPr="00E95CA7">
        <w:rPr>
          <w:noProof/>
        </w:rPr>
        <w:t>.</w:t>
      </w:r>
      <w:r w:rsidR="00F54C07">
        <w:rPr>
          <w:noProof/>
        </w:rPr>
        <w:t xml:space="preserve"> The </w:t>
      </w:r>
      <w:r w:rsidR="00F54C07" w:rsidRPr="00FE26BE">
        <w:rPr>
          <w:b/>
          <w:bCs/>
          <w:noProof/>
        </w:rPr>
        <w:t>numbers in bold</w:t>
      </w:r>
      <w:r w:rsidR="00F54C07">
        <w:rPr>
          <w:noProof/>
        </w:rPr>
        <w:t xml:space="preserve"> are used to compute the overall net GHGs f</w:t>
      </w:r>
      <w:r w:rsidR="00055F59">
        <w:rPr>
          <w:noProof/>
        </w:rPr>
        <w:t>or</w:t>
      </w:r>
      <w:r w:rsidR="00F54C07">
        <w:rPr>
          <w:noProof/>
        </w:rPr>
        <w:t xml:space="preserve"> the different scenarios.</w:t>
      </w:r>
    </w:p>
    <w:p w14:paraId="54D9D62F" w14:textId="3EA787E1" w:rsidR="005402C9" w:rsidRPr="00D22523" w:rsidRDefault="005402C9" w:rsidP="00465F10">
      <w:pPr>
        <w:pStyle w:val="CT-SOURCE"/>
        <w:keepLines/>
        <w:rPr>
          <w:noProof/>
        </w:rPr>
      </w:pPr>
      <w:r w:rsidRPr="00D22523">
        <w:rPr>
          <w:noProof/>
        </w:rPr>
        <w:t>Source: GLOBIOM</w:t>
      </w:r>
    </w:p>
    <w:p w14:paraId="1520E508" w14:textId="227768C7" w:rsidR="00390D26" w:rsidRDefault="00020BF5" w:rsidP="00CA4381">
      <w:pPr>
        <w:rPr>
          <w:noProof/>
          <w:lang w:val="en-IE"/>
        </w:rPr>
      </w:pPr>
      <w:r>
        <w:rPr>
          <w:noProof/>
          <w:lang w:val="en-IE"/>
        </w:rPr>
        <w:t xml:space="preserve">The expected contribution of LULUCF to </w:t>
      </w:r>
      <w:r w:rsidR="001B458D">
        <w:rPr>
          <w:noProof/>
          <w:lang w:val="en-IE"/>
        </w:rPr>
        <w:t xml:space="preserve">the </w:t>
      </w:r>
      <w:r>
        <w:rPr>
          <w:noProof/>
          <w:lang w:val="en-IE"/>
        </w:rPr>
        <w:t xml:space="preserve">2040 climate target stays within the boundaries of the ESABCC, which </w:t>
      </w:r>
      <w:r w:rsidR="00523E61">
        <w:rPr>
          <w:noProof/>
          <w:lang w:val="en-IE"/>
        </w:rPr>
        <w:t>discusse</w:t>
      </w:r>
      <w:r w:rsidR="00CA4381">
        <w:rPr>
          <w:noProof/>
          <w:lang w:val="en-IE"/>
        </w:rPr>
        <w:t>s</w:t>
      </w:r>
      <w:r w:rsidR="00523E61">
        <w:rPr>
          <w:noProof/>
          <w:lang w:val="en-IE"/>
        </w:rPr>
        <w:t xml:space="preserve"> an upper bound of 400 MtCO2-eq in 2040</w:t>
      </w:r>
      <w:r w:rsidR="00154AC8">
        <w:rPr>
          <w:noProof/>
          <w:lang w:val="en-IE"/>
        </w:rPr>
        <w:t> </w:t>
      </w:r>
      <w:r w:rsidR="00523E61">
        <w:rPr>
          <w:noProof/>
          <w:lang w:val="en-IE"/>
        </w:rPr>
        <w:t>(</w:t>
      </w:r>
      <w:r w:rsidR="00523E61" w:rsidRPr="00341380">
        <w:rPr>
          <w:rStyle w:val="FootnoteReference"/>
          <w:noProof/>
          <w:lang w:val="en-IE"/>
        </w:rPr>
        <w:footnoteReference w:id="14"/>
      </w:r>
      <w:r w:rsidR="00523E61">
        <w:rPr>
          <w:noProof/>
          <w:lang w:val="en-IE"/>
        </w:rPr>
        <w:t>)</w:t>
      </w:r>
      <w:r w:rsidR="00CA4381">
        <w:rPr>
          <w:noProof/>
          <w:lang w:val="en-IE"/>
        </w:rPr>
        <w:t xml:space="preserve"> and describes three </w:t>
      </w:r>
      <w:r w:rsidR="00523E61">
        <w:rPr>
          <w:noProof/>
          <w:lang w:val="en-IE"/>
        </w:rPr>
        <w:t xml:space="preserve">iconic scenarios </w:t>
      </w:r>
      <w:r w:rsidR="00CA4381">
        <w:rPr>
          <w:noProof/>
          <w:lang w:val="en-IE"/>
        </w:rPr>
        <w:t xml:space="preserve">that </w:t>
      </w:r>
      <w:r w:rsidR="00341380" w:rsidRPr="00341380">
        <w:rPr>
          <w:noProof/>
          <w:lang w:val="en-IE"/>
        </w:rPr>
        <w:t xml:space="preserve">display a </w:t>
      </w:r>
      <w:r w:rsidR="0064569D">
        <w:rPr>
          <w:noProof/>
          <w:lang w:val="en-IE"/>
        </w:rPr>
        <w:t>larger</w:t>
      </w:r>
      <w:r w:rsidR="00341380" w:rsidRPr="00341380">
        <w:rPr>
          <w:noProof/>
          <w:lang w:val="en-IE"/>
        </w:rPr>
        <w:t xml:space="preserve"> range from 323</w:t>
      </w:r>
      <w:r w:rsidR="00154AC8">
        <w:rPr>
          <w:noProof/>
          <w:lang w:val="en-IE"/>
        </w:rPr>
        <w:t> </w:t>
      </w:r>
      <w:r w:rsidR="00341380" w:rsidRPr="00341380">
        <w:rPr>
          <w:noProof/>
          <w:lang w:val="en-IE"/>
        </w:rPr>
        <w:t>MtCO2</w:t>
      </w:r>
      <w:r w:rsidR="0064569D">
        <w:rPr>
          <w:noProof/>
          <w:lang w:val="en-IE"/>
        </w:rPr>
        <w:t>-</w:t>
      </w:r>
      <w:r w:rsidR="00341380" w:rsidRPr="00341380">
        <w:rPr>
          <w:noProof/>
          <w:lang w:val="en-IE"/>
        </w:rPr>
        <w:t>eq to 601 MtCO2-eq in 2040 and from 312 MtCO2-eq to 669 MtCO2-eq in 2050 (</w:t>
      </w:r>
      <w:r w:rsidR="00341380" w:rsidRPr="00341380">
        <w:rPr>
          <w:rStyle w:val="FootnoteReference"/>
          <w:noProof/>
          <w:lang w:val="en-IE"/>
        </w:rPr>
        <w:footnoteReference w:id="15"/>
      </w:r>
      <w:r w:rsidR="00341380" w:rsidRPr="00341380">
        <w:rPr>
          <w:noProof/>
          <w:lang w:val="en-IE"/>
        </w:rPr>
        <w:t>).</w:t>
      </w:r>
    </w:p>
    <w:p w14:paraId="22236EA8" w14:textId="4406E6AC" w:rsidR="00C54DF4" w:rsidRDefault="00C54DF4" w:rsidP="00CA4381">
      <w:pPr>
        <w:rPr>
          <w:noProof/>
          <w:lang w:val="en-IE"/>
        </w:rPr>
      </w:pPr>
      <w:r>
        <w:rPr>
          <w:noProof/>
          <w:lang w:val="en-IE"/>
        </w:rPr>
        <w:t xml:space="preserve">Section </w:t>
      </w:r>
      <w:r w:rsidR="00774A7B">
        <w:rPr>
          <w:noProof/>
          <w:lang w:val="en-IE"/>
        </w:rPr>
        <w:fldChar w:fldCharType="begin"/>
      </w:r>
      <w:r w:rsidR="00774A7B">
        <w:rPr>
          <w:noProof/>
          <w:lang w:val="en-IE"/>
        </w:rPr>
        <w:instrText xml:space="preserve"> REF _Ref143115751 \n \h </w:instrText>
      </w:r>
      <w:r w:rsidR="00774A7B">
        <w:rPr>
          <w:noProof/>
          <w:lang w:val="en-IE"/>
        </w:rPr>
      </w:r>
      <w:r w:rsidR="00774A7B">
        <w:rPr>
          <w:noProof/>
          <w:lang w:val="en-IE"/>
        </w:rPr>
        <w:fldChar w:fldCharType="separate"/>
      </w:r>
      <w:r w:rsidR="00170A3C">
        <w:rPr>
          <w:noProof/>
          <w:lang w:val="en-IE"/>
        </w:rPr>
        <w:t>1.8</w:t>
      </w:r>
      <w:r w:rsidR="00774A7B">
        <w:rPr>
          <w:noProof/>
          <w:lang w:val="en-IE"/>
        </w:rPr>
        <w:fldChar w:fldCharType="end"/>
      </w:r>
      <w:r>
        <w:rPr>
          <w:noProof/>
          <w:lang w:val="en-IE"/>
        </w:rPr>
        <w:t xml:space="preserve"> in this Annex provides more details on the LULUCF sector and the related GHG emissions and removals.</w:t>
      </w:r>
    </w:p>
    <w:p w14:paraId="140EE2F1" w14:textId="5E85AF15" w:rsidR="00C524A8" w:rsidRPr="00982438" w:rsidRDefault="00CE1AD5" w:rsidP="00F7719F">
      <w:pPr>
        <w:pStyle w:val="Heading4"/>
        <w:rPr>
          <w:noProof/>
        </w:rPr>
      </w:pPr>
      <w:bookmarkStart w:id="40" w:name="_Ref142585928"/>
      <w:r w:rsidDel="000A281F">
        <w:rPr>
          <w:noProof/>
        </w:rPr>
        <w:t>Industrial</w:t>
      </w:r>
      <w:r w:rsidR="00C524A8" w:rsidRPr="00982438" w:rsidDel="000A281F">
        <w:rPr>
          <w:noProof/>
        </w:rPr>
        <w:t xml:space="preserve"> </w:t>
      </w:r>
      <w:r w:rsidR="00180195">
        <w:rPr>
          <w:noProof/>
        </w:rPr>
        <w:t xml:space="preserve">carbon </w:t>
      </w:r>
      <w:r w:rsidR="00C524A8" w:rsidRPr="00982438">
        <w:rPr>
          <w:noProof/>
        </w:rPr>
        <w:t>removals</w:t>
      </w:r>
      <w:bookmarkEnd w:id="40"/>
    </w:p>
    <w:p w14:paraId="6B567901" w14:textId="527594E6" w:rsidR="006F3B33" w:rsidRDefault="00210A9C" w:rsidP="001035B6">
      <w:pPr>
        <w:pStyle w:val="Text3"/>
        <w:ind w:left="0" w:firstLine="0"/>
        <w:rPr>
          <w:noProof/>
          <w:lang w:val="en-IE"/>
        </w:rPr>
      </w:pPr>
      <w:r>
        <w:rPr>
          <w:noProof/>
          <w:lang w:val="en-IE"/>
        </w:rPr>
        <w:t>Industrial carbon removal</w:t>
      </w:r>
      <w:r w:rsidR="00B03214">
        <w:rPr>
          <w:noProof/>
          <w:lang w:val="en-IE"/>
        </w:rPr>
        <w:t>s</w:t>
      </w:r>
      <w:r w:rsidR="0030528F">
        <w:rPr>
          <w:noProof/>
          <w:lang w:val="en-IE"/>
        </w:rPr>
        <w:t>, together with nature-based removals,</w:t>
      </w:r>
      <w:r w:rsidR="00CC03D2">
        <w:rPr>
          <w:noProof/>
          <w:lang w:val="en-IE"/>
        </w:rPr>
        <w:t xml:space="preserve"> </w:t>
      </w:r>
      <w:r w:rsidR="00C54DF4">
        <w:rPr>
          <w:noProof/>
          <w:lang w:val="en-IE"/>
        </w:rPr>
        <w:t xml:space="preserve">are </w:t>
      </w:r>
      <w:r w:rsidR="00836FF5">
        <w:rPr>
          <w:noProof/>
          <w:lang w:val="en-IE"/>
        </w:rPr>
        <w:t>projected</w:t>
      </w:r>
      <w:r w:rsidR="00C54DF4">
        <w:rPr>
          <w:noProof/>
          <w:lang w:val="en-IE"/>
        </w:rPr>
        <w:t xml:space="preserve"> to</w:t>
      </w:r>
      <w:r w:rsidR="00235446">
        <w:rPr>
          <w:noProof/>
          <w:lang w:val="en-IE"/>
        </w:rPr>
        <w:t xml:space="preserve"> </w:t>
      </w:r>
      <w:r w:rsidR="00CE4578">
        <w:rPr>
          <w:noProof/>
          <w:lang w:val="en-IE"/>
        </w:rPr>
        <w:t>play</w:t>
      </w:r>
      <w:r w:rsidR="002649BF">
        <w:rPr>
          <w:noProof/>
          <w:lang w:val="en-IE"/>
        </w:rPr>
        <w:t xml:space="preserve"> an increas</w:t>
      </w:r>
      <w:r w:rsidR="00CE4578">
        <w:rPr>
          <w:noProof/>
          <w:lang w:val="en-IE"/>
        </w:rPr>
        <w:t>ing</w:t>
      </w:r>
      <w:r w:rsidR="002649BF">
        <w:rPr>
          <w:noProof/>
          <w:lang w:val="en-IE"/>
        </w:rPr>
        <w:t xml:space="preserve"> role in the EU economy</w:t>
      </w:r>
      <w:r w:rsidR="00D026C3">
        <w:rPr>
          <w:noProof/>
          <w:lang w:val="en-IE"/>
        </w:rPr>
        <w:t xml:space="preserve"> in the </w:t>
      </w:r>
      <w:r w:rsidR="0030528F">
        <w:rPr>
          <w:noProof/>
          <w:lang w:val="en-IE"/>
        </w:rPr>
        <w:t>next</w:t>
      </w:r>
      <w:r w:rsidR="00D026C3">
        <w:rPr>
          <w:noProof/>
          <w:lang w:val="en-IE"/>
        </w:rPr>
        <w:t xml:space="preserve"> decades</w:t>
      </w:r>
      <w:r w:rsidR="00773C51" w:rsidRPr="00773C51">
        <w:rPr>
          <w:noProof/>
          <w:lang w:val="en-IE"/>
        </w:rPr>
        <w:t> (</w:t>
      </w:r>
      <w:r w:rsidR="00773C51">
        <w:rPr>
          <w:rStyle w:val="FootnoteReference"/>
          <w:noProof/>
          <w:lang w:val="en-IE"/>
        </w:rPr>
        <w:footnoteReference w:id="16"/>
      </w:r>
      <w:r w:rsidR="00773C51">
        <w:rPr>
          <w:noProof/>
          <w:lang w:val="en-IE"/>
        </w:rPr>
        <w:t>)</w:t>
      </w:r>
      <w:r w:rsidR="0030528F">
        <w:rPr>
          <w:noProof/>
          <w:lang w:val="en-IE"/>
        </w:rPr>
        <w:t>, in the view of balancing EU GHG emissions</w:t>
      </w:r>
      <w:r w:rsidR="00D026C3">
        <w:rPr>
          <w:noProof/>
          <w:lang w:val="en-IE"/>
        </w:rPr>
        <w:t xml:space="preserve"> by 2050, and </w:t>
      </w:r>
      <w:r w:rsidR="0030528F">
        <w:rPr>
          <w:noProof/>
          <w:lang w:val="en-IE"/>
        </w:rPr>
        <w:t>achieving</w:t>
      </w:r>
      <w:r w:rsidR="006F3B33" w:rsidRPr="006F3B33">
        <w:rPr>
          <w:noProof/>
          <w:lang w:val="en-IE"/>
        </w:rPr>
        <w:t xml:space="preserve"> negative emissions thereafter</w:t>
      </w:r>
      <w:r w:rsidR="006F3B33">
        <w:rPr>
          <w:noProof/>
          <w:lang w:val="en-IE"/>
        </w:rPr>
        <w:t xml:space="preserve"> </w:t>
      </w:r>
      <w:r w:rsidR="00442631">
        <w:rPr>
          <w:noProof/>
          <w:lang w:val="en-IE"/>
        </w:rPr>
        <w:t>(</w:t>
      </w:r>
      <w:r w:rsidR="006F3B33">
        <w:rPr>
          <w:rStyle w:val="FootnoteReference"/>
          <w:noProof/>
          <w:lang w:val="en-IE"/>
        </w:rPr>
        <w:footnoteReference w:id="17"/>
      </w:r>
      <w:r w:rsidR="00442631">
        <w:rPr>
          <w:noProof/>
          <w:lang w:val="en-IE"/>
        </w:rPr>
        <w:t>)</w:t>
      </w:r>
      <w:r w:rsidR="002649BF">
        <w:rPr>
          <w:noProof/>
          <w:lang w:val="en-IE"/>
        </w:rPr>
        <w:t xml:space="preserve">. </w:t>
      </w:r>
    </w:p>
    <w:p w14:paraId="683D55BB" w14:textId="199FC27D" w:rsidR="00C524A8" w:rsidRPr="00C524A8" w:rsidRDefault="0068505A" w:rsidP="001035B6">
      <w:pPr>
        <w:pStyle w:val="Text3"/>
        <w:ind w:left="0" w:firstLine="0"/>
        <w:rPr>
          <w:noProof/>
          <w:lang w:val="en-IE"/>
        </w:rPr>
      </w:pPr>
      <w:r>
        <w:rPr>
          <w:noProof/>
          <w:lang w:val="en-IE"/>
        </w:rPr>
        <w:t>I</w:t>
      </w:r>
      <w:r w:rsidR="00C2068C">
        <w:rPr>
          <w:noProof/>
          <w:lang w:val="en-IE"/>
        </w:rPr>
        <w:t>ndustrial</w:t>
      </w:r>
      <w:r w:rsidR="00CE4578">
        <w:rPr>
          <w:noProof/>
          <w:lang w:val="en-IE"/>
        </w:rPr>
        <w:t xml:space="preserve"> removals</w:t>
      </w:r>
      <w:r w:rsidR="0030528F">
        <w:rPr>
          <w:noProof/>
          <w:lang w:val="en-IE"/>
        </w:rPr>
        <w:t xml:space="preserve"> can </w:t>
      </w:r>
      <w:r w:rsidR="00C2068C">
        <w:rPr>
          <w:noProof/>
          <w:lang w:val="en-IE"/>
        </w:rPr>
        <w:t>contribute to</w:t>
      </w:r>
      <w:r w:rsidR="002649BF">
        <w:rPr>
          <w:noProof/>
          <w:lang w:val="en-IE"/>
        </w:rPr>
        <w:t xml:space="preserve"> compensat</w:t>
      </w:r>
      <w:r w:rsidR="00907C24">
        <w:rPr>
          <w:noProof/>
          <w:lang w:val="en-IE"/>
        </w:rPr>
        <w:t>e</w:t>
      </w:r>
      <w:r w:rsidR="00A4539A">
        <w:rPr>
          <w:noProof/>
          <w:lang w:val="en-IE"/>
        </w:rPr>
        <w:t xml:space="preserve"> </w:t>
      </w:r>
      <w:r w:rsidR="001A75BC">
        <w:rPr>
          <w:noProof/>
          <w:lang w:val="en-IE"/>
        </w:rPr>
        <w:t xml:space="preserve">residual </w:t>
      </w:r>
      <w:r w:rsidR="006F3B33">
        <w:rPr>
          <w:noProof/>
          <w:lang w:val="en-IE"/>
        </w:rPr>
        <w:t xml:space="preserve">GHG </w:t>
      </w:r>
      <w:r w:rsidR="0005446D">
        <w:rPr>
          <w:noProof/>
          <w:lang w:val="en-IE"/>
        </w:rPr>
        <w:t xml:space="preserve">emissions </w:t>
      </w:r>
      <w:r w:rsidR="00426364">
        <w:rPr>
          <w:noProof/>
          <w:lang w:val="en-IE"/>
        </w:rPr>
        <w:t>from</w:t>
      </w:r>
      <w:r w:rsidR="0005446D">
        <w:rPr>
          <w:noProof/>
          <w:lang w:val="en-IE"/>
        </w:rPr>
        <w:t xml:space="preserve"> </w:t>
      </w:r>
      <w:r w:rsidR="0030462F">
        <w:rPr>
          <w:noProof/>
          <w:lang w:val="en-IE"/>
        </w:rPr>
        <w:t>hard-to-abate sectors</w:t>
      </w:r>
      <w:r w:rsidR="00CE4578">
        <w:rPr>
          <w:noProof/>
          <w:lang w:val="en-IE"/>
        </w:rPr>
        <w:t xml:space="preserve">. </w:t>
      </w:r>
      <w:r>
        <w:rPr>
          <w:noProof/>
          <w:lang w:val="en-IE"/>
        </w:rPr>
        <w:t xml:space="preserve">They can also </w:t>
      </w:r>
      <w:r w:rsidR="00DE2D33">
        <w:rPr>
          <w:noProof/>
          <w:lang w:val="en-IE"/>
        </w:rPr>
        <w:t>progressively</w:t>
      </w:r>
      <w:r w:rsidR="00465A35">
        <w:rPr>
          <w:noProof/>
          <w:lang w:val="en-IE"/>
        </w:rPr>
        <w:t xml:space="preserve"> </w:t>
      </w:r>
      <w:r w:rsidR="009D179B">
        <w:rPr>
          <w:noProof/>
          <w:lang w:val="en-IE"/>
        </w:rPr>
        <w:t xml:space="preserve">replace fossil </w:t>
      </w:r>
      <w:r w:rsidR="00773C51">
        <w:rPr>
          <w:noProof/>
          <w:lang w:val="en-IE"/>
        </w:rPr>
        <w:t xml:space="preserve">carbon </w:t>
      </w:r>
      <w:r w:rsidR="00C2068C">
        <w:rPr>
          <w:noProof/>
          <w:lang w:val="en-IE"/>
        </w:rPr>
        <w:t xml:space="preserve">feedstock </w:t>
      </w:r>
      <w:r w:rsidR="00773C51">
        <w:rPr>
          <w:noProof/>
          <w:lang w:val="en-IE"/>
        </w:rPr>
        <w:t>in processes l</w:t>
      </w:r>
      <w:r w:rsidR="00465A35">
        <w:rPr>
          <w:noProof/>
          <w:lang w:val="en-IE"/>
        </w:rPr>
        <w:t xml:space="preserve">ike the </w:t>
      </w:r>
      <w:r w:rsidR="00773C51">
        <w:rPr>
          <w:noProof/>
          <w:lang w:val="en-IE"/>
        </w:rPr>
        <w:t>production of plastics o</w:t>
      </w:r>
      <w:r w:rsidR="00B84A6B">
        <w:rPr>
          <w:noProof/>
          <w:lang w:val="en-IE"/>
        </w:rPr>
        <w:t xml:space="preserve">r e-fuels </w:t>
      </w:r>
      <w:r w:rsidR="004A3971" w:rsidRPr="004A3971">
        <w:rPr>
          <w:noProof/>
          <w:lang w:val="en-IE"/>
        </w:rPr>
        <w:t>(</w:t>
      </w:r>
      <w:r w:rsidR="004A3971">
        <w:rPr>
          <w:rStyle w:val="FootnoteReference"/>
          <w:noProof/>
          <w:lang w:val="en-IE"/>
        </w:rPr>
        <w:footnoteReference w:id="18"/>
      </w:r>
      <w:r w:rsidR="004A3971">
        <w:rPr>
          <w:noProof/>
          <w:lang w:val="en-IE"/>
        </w:rPr>
        <w:t>)</w:t>
      </w:r>
      <w:r w:rsidR="000F2737">
        <w:rPr>
          <w:noProof/>
          <w:lang w:val="en-IE"/>
        </w:rPr>
        <w:t>,</w:t>
      </w:r>
      <w:r w:rsidR="000F2737" w:rsidRPr="000F2737">
        <w:rPr>
          <w:noProof/>
          <w:lang w:val="en-IE"/>
        </w:rPr>
        <w:t> (</w:t>
      </w:r>
      <w:r w:rsidR="000F2737">
        <w:rPr>
          <w:rStyle w:val="FootnoteReference"/>
          <w:noProof/>
          <w:lang w:val="en-IE"/>
        </w:rPr>
        <w:footnoteReference w:id="19"/>
      </w:r>
      <w:r w:rsidR="004A3971">
        <w:rPr>
          <w:noProof/>
          <w:lang w:val="en-IE"/>
        </w:rPr>
        <w:t>)</w:t>
      </w:r>
      <w:r w:rsidR="00DF07AA">
        <w:rPr>
          <w:noProof/>
          <w:lang w:val="en-IE"/>
        </w:rPr>
        <w:t xml:space="preserve"> and become the main source of (fossil-free) carbon in sectors where carbon will still be needed in the long-term.</w:t>
      </w:r>
    </w:p>
    <w:p w14:paraId="2E3FC7D1" w14:textId="1CD1B880" w:rsidR="00E457B9" w:rsidRDefault="00BF2567" w:rsidP="001035B6">
      <w:pPr>
        <w:pStyle w:val="Text3"/>
        <w:ind w:left="0" w:firstLine="0"/>
        <w:rPr>
          <w:noProof/>
          <w:lang w:val="en-IE"/>
        </w:rPr>
      </w:pPr>
      <w:r w:rsidRPr="00DD7DAF">
        <w:rPr>
          <w:noProof/>
          <w:color w:val="2B579A"/>
          <w:shd w:val="clear" w:color="auto" w:fill="E6E6E6"/>
          <w:lang w:val="en-IE"/>
        </w:rPr>
        <w:fldChar w:fldCharType="begin"/>
      </w:r>
      <w:r w:rsidRPr="00DD7DAF">
        <w:rPr>
          <w:noProof/>
          <w:lang w:val="en-IE"/>
        </w:rPr>
        <w:instrText xml:space="preserve"> REF _Ref147311937 \h </w:instrText>
      </w:r>
      <w:r w:rsidR="00DD7DAF">
        <w:rPr>
          <w:noProof/>
          <w:color w:val="2B579A"/>
          <w:shd w:val="clear" w:color="auto" w:fill="E6E6E6"/>
          <w:lang w:val="en-IE"/>
        </w:rPr>
        <w:instrText xml:space="preserve"> \* MERGEFORMAT </w:instrText>
      </w:r>
      <w:r w:rsidRPr="00DD7DAF">
        <w:rPr>
          <w:noProof/>
          <w:color w:val="2B579A"/>
          <w:shd w:val="clear" w:color="auto" w:fill="E6E6E6"/>
          <w:lang w:val="en-IE"/>
        </w:rPr>
      </w:r>
      <w:r w:rsidRPr="00DD7DAF">
        <w:rPr>
          <w:noProof/>
          <w:color w:val="2B579A"/>
          <w:shd w:val="clear" w:color="auto" w:fill="E6E6E6"/>
          <w:lang w:val="en-IE"/>
        </w:rPr>
        <w:fldChar w:fldCharType="separate"/>
      </w:r>
      <w:r w:rsidR="00170A3C" w:rsidRPr="00AD3BA1">
        <w:rPr>
          <w:noProof/>
        </w:rPr>
        <w:t xml:space="preserve">Figure </w:t>
      </w:r>
      <w:r w:rsidR="00170A3C">
        <w:rPr>
          <w:noProof/>
        </w:rPr>
        <w:t>2</w:t>
      </w:r>
      <w:r w:rsidRPr="00DD7DAF">
        <w:rPr>
          <w:noProof/>
          <w:color w:val="2B579A"/>
          <w:shd w:val="clear" w:color="auto" w:fill="E6E6E6"/>
          <w:lang w:val="en-IE"/>
        </w:rPr>
        <w:fldChar w:fldCharType="end"/>
      </w:r>
      <w:r w:rsidR="00DD7DAF">
        <w:rPr>
          <w:noProof/>
          <w:lang w:val="en-IE"/>
        </w:rPr>
        <w:t xml:space="preserve"> s</w:t>
      </w:r>
      <w:r w:rsidR="008D45EA" w:rsidRPr="00DD7DAF">
        <w:rPr>
          <w:noProof/>
          <w:lang w:val="en-IE"/>
        </w:rPr>
        <w:t xml:space="preserve">hows </w:t>
      </w:r>
      <w:r w:rsidR="000A64DE" w:rsidRPr="00DD7DAF">
        <w:rPr>
          <w:noProof/>
          <w:lang w:val="en-IE"/>
        </w:rPr>
        <w:t xml:space="preserve">the </w:t>
      </w:r>
      <w:r w:rsidR="00841D87" w:rsidRPr="00DD7DAF">
        <w:rPr>
          <w:noProof/>
          <w:lang w:val="en-IE"/>
        </w:rPr>
        <w:t xml:space="preserve">industrial </w:t>
      </w:r>
      <w:r w:rsidR="000A64DE" w:rsidRPr="00DD7DAF">
        <w:rPr>
          <w:noProof/>
          <w:lang w:val="en-IE"/>
        </w:rPr>
        <w:t>removals</w:t>
      </w:r>
      <w:r w:rsidR="00694F8A" w:rsidRPr="00DD7DAF">
        <w:rPr>
          <w:noProof/>
          <w:lang w:val="en-IE"/>
        </w:rPr>
        <w:t xml:space="preserve"> projected by PRIMES</w:t>
      </w:r>
      <w:r w:rsidR="006C2B13" w:rsidRPr="00DD7DAF">
        <w:rPr>
          <w:noProof/>
          <w:lang w:val="en-IE"/>
        </w:rPr>
        <w:t xml:space="preserve"> </w:t>
      </w:r>
      <w:r w:rsidR="00F03641" w:rsidRPr="00DD7DAF">
        <w:rPr>
          <w:noProof/>
          <w:lang w:val="en-IE"/>
        </w:rPr>
        <w:t xml:space="preserve">and </w:t>
      </w:r>
      <w:r w:rsidR="006C2B13" w:rsidRPr="00DD7DAF">
        <w:rPr>
          <w:noProof/>
          <w:lang w:val="en-IE"/>
        </w:rPr>
        <w:t xml:space="preserve">differentiated by their source. </w:t>
      </w:r>
      <w:r w:rsidR="00387DBF" w:rsidRPr="00DD7DAF">
        <w:rPr>
          <w:noProof/>
          <w:lang w:val="en-IE"/>
        </w:rPr>
        <w:t xml:space="preserve">The </w:t>
      </w:r>
      <w:r w:rsidR="00581701" w:rsidRPr="00DD7DAF">
        <w:rPr>
          <w:noProof/>
          <w:lang w:val="en-IE"/>
        </w:rPr>
        <w:t>total</w:t>
      </w:r>
      <w:r w:rsidR="00387DBF" w:rsidRPr="00DD7DAF">
        <w:rPr>
          <w:noProof/>
          <w:lang w:val="en-IE"/>
        </w:rPr>
        <w:t xml:space="preserve"> amount of carbon removed </w:t>
      </w:r>
      <w:r w:rsidR="00716FCB" w:rsidRPr="00DD7DAF">
        <w:rPr>
          <w:noProof/>
          <w:lang w:val="en-IE"/>
        </w:rPr>
        <w:t>until</w:t>
      </w:r>
      <w:r w:rsidR="00F6424B" w:rsidRPr="00DD7DAF">
        <w:rPr>
          <w:noProof/>
          <w:lang w:val="en-IE"/>
        </w:rPr>
        <w:t xml:space="preserve"> </w:t>
      </w:r>
      <w:r w:rsidR="00496A0A" w:rsidRPr="00DD7DAF">
        <w:rPr>
          <w:noProof/>
          <w:lang w:val="en-IE"/>
        </w:rPr>
        <w:t>2040</w:t>
      </w:r>
      <w:r w:rsidR="00581701" w:rsidRPr="00DD7DAF">
        <w:rPr>
          <w:noProof/>
          <w:lang w:val="en-IE"/>
        </w:rPr>
        <w:t>,</w:t>
      </w:r>
      <w:r w:rsidR="00387DBF" w:rsidRPr="00DD7DAF">
        <w:rPr>
          <w:noProof/>
          <w:lang w:val="en-IE"/>
        </w:rPr>
        <w:t xml:space="preserve"> whether </w:t>
      </w:r>
      <w:r w:rsidR="00D2298B" w:rsidRPr="00DD7DAF">
        <w:rPr>
          <w:noProof/>
          <w:lang w:val="en-IE"/>
        </w:rPr>
        <w:t>captured</w:t>
      </w:r>
      <w:r w:rsidR="001A47C3" w:rsidRPr="00DD7DAF">
        <w:rPr>
          <w:noProof/>
          <w:lang w:val="en-IE"/>
        </w:rPr>
        <w:t xml:space="preserve"> </w:t>
      </w:r>
      <w:r w:rsidR="00387DBF" w:rsidRPr="00DD7DAF">
        <w:rPr>
          <w:noProof/>
          <w:lang w:val="en-IE"/>
        </w:rPr>
        <w:t>from the atmosphere</w:t>
      </w:r>
      <w:r w:rsidR="00581701" w:rsidRPr="00DD7DAF">
        <w:rPr>
          <w:noProof/>
          <w:lang w:val="en-IE"/>
        </w:rPr>
        <w:t>,</w:t>
      </w:r>
      <w:r w:rsidR="00387DBF" w:rsidRPr="00DD7DAF">
        <w:rPr>
          <w:noProof/>
          <w:lang w:val="en-IE"/>
        </w:rPr>
        <w:t xml:space="preserve"> from </w:t>
      </w:r>
      <w:r w:rsidR="00581701" w:rsidRPr="00DD7DAF">
        <w:rPr>
          <w:noProof/>
          <w:lang w:val="en-IE"/>
        </w:rPr>
        <w:t xml:space="preserve">biomass </w:t>
      </w:r>
      <w:r w:rsidR="001A47C3" w:rsidRPr="00DD7DAF">
        <w:rPr>
          <w:noProof/>
          <w:lang w:val="en-IE"/>
        </w:rPr>
        <w:t xml:space="preserve">combustion or </w:t>
      </w:r>
      <w:r w:rsidR="00581701" w:rsidRPr="00DD7DAF">
        <w:rPr>
          <w:noProof/>
          <w:lang w:val="en-IE"/>
        </w:rPr>
        <w:t>from biogas upgrading,</w:t>
      </w:r>
      <w:r w:rsidR="00496A0A" w:rsidRPr="00DD7DAF">
        <w:rPr>
          <w:noProof/>
          <w:lang w:val="en-IE"/>
        </w:rPr>
        <w:t xml:space="preserve"> varies </w:t>
      </w:r>
      <w:r w:rsidR="008C5C05" w:rsidRPr="00DD7DAF">
        <w:rPr>
          <w:noProof/>
          <w:lang w:val="en-IE"/>
        </w:rPr>
        <w:t>across scenarios</w:t>
      </w:r>
      <w:r w:rsidR="00261BFA" w:rsidRPr="00DD7DAF">
        <w:rPr>
          <w:noProof/>
          <w:lang w:val="en-IE"/>
        </w:rPr>
        <w:t>.</w:t>
      </w:r>
      <w:r w:rsidR="001A0787" w:rsidRPr="00DD7DAF">
        <w:rPr>
          <w:noProof/>
          <w:lang w:val="en-IE"/>
        </w:rPr>
        <w:t xml:space="preserve"> </w:t>
      </w:r>
      <w:r w:rsidR="00F03641" w:rsidRPr="00DD7DAF">
        <w:rPr>
          <w:noProof/>
          <w:lang w:val="en-IE"/>
        </w:rPr>
        <w:t>R</w:t>
      </w:r>
      <w:r w:rsidR="00CE294D" w:rsidRPr="00DD7DAF">
        <w:rPr>
          <w:noProof/>
          <w:lang w:val="en-IE"/>
        </w:rPr>
        <w:t>emoval</w:t>
      </w:r>
      <w:r w:rsidR="00945849" w:rsidRPr="00DD7DAF">
        <w:rPr>
          <w:noProof/>
          <w:lang w:val="en-IE"/>
        </w:rPr>
        <w:t>s</w:t>
      </w:r>
      <w:r w:rsidR="00CE294D" w:rsidRPr="00DD7DAF">
        <w:rPr>
          <w:noProof/>
          <w:lang w:val="en-IE"/>
        </w:rPr>
        <w:t xml:space="preserve"> </w:t>
      </w:r>
      <w:r w:rsidR="0021342F" w:rsidRPr="00DD7DAF">
        <w:rPr>
          <w:noProof/>
          <w:lang w:val="en-IE"/>
        </w:rPr>
        <w:t>are</w:t>
      </w:r>
      <w:r w:rsidR="006774B5" w:rsidRPr="00DD7DAF">
        <w:rPr>
          <w:noProof/>
          <w:lang w:val="en-IE"/>
        </w:rPr>
        <w:t xml:space="preserve"> projected</w:t>
      </w:r>
      <w:r w:rsidR="0021342F" w:rsidRPr="00DD7DAF">
        <w:rPr>
          <w:noProof/>
          <w:lang w:val="en-IE"/>
        </w:rPr>
        <w:t xml:space="preserve"> to</w:t>
      </w:r>
      <w:r w:rsidR="00CE294D" w:rsidRPr="00DD7DAF">
        <w:rPr>
          <w:noProof/>
          <w:lang w:val="en-IE"/>
        </w:rPr>
        <w:t xml:space="preserve"> remain marginal</w:t>
      </w:r>
      <w:r w:rsidR="001A0787" w:rsidRPr="00DD7DAF">
        <w:rPr>
          <w:noProof/>
          <w:lang w:val="en-IE"/>
        </w:rPr>
        <w:t xml:space="preserve"> </w:t>
      </w:r>
      <w:r w:rsidR="00CE294D" w:rsidRPr="00DD7DAF">
        <w:rPr>
          <w:noProof/>
          <w:lang w:val="en-IE"/>
        </w:rPr>
        <w:t>in the</w:t>
      </w:r>
      <w:r w:rsidR="001A0787" w:rsidRPr="00DD7DAF">
        <w:rPr>
          <w:noProof/>
          <w:lang w:val="en-IE"/>
        </w:rPr>
        <w:t xml:space="preserve"> </w:t>
      </w:r>
      <w:r w:rsidR="007F6F3B" w:rsidRPr="00DD7DAF">
        <w:rPr>
          <w:noProof/>
          <w:lang w:val="en-IE"/>
        </w:rPr>
        <w:t>S1</w:t>
      </w:r>
      <w:r w:rsidR="001A0787" w:rsidRPr="00DD7DAF">
        <w:rPr>
          <w:noProof/>
          <w:lang w:val="en-IE"/>
        </w:rPr>
        <w:t xml:space="preserve"> scenario</w:t>
      </w:r>
      <w:r w:rsidR="00CE294D" w:rsidRPr="00DD7DAF">
        <w:rPr>
          <w:noProof/>
          <w:lang w:val="en-IE"/>
        </w:rPr>
        <w:t xml:space="preserve"> by 2040</w:t>
      </w:r>
      <w:r w:rsidR="001A0787" w:rsidRPr="00DD7DAF">
        <w:rPr>
          <w:noProof/>
          <w:lang w:val="en-IE"/>
        </w:rPr>
        <w:t xml:space="preserve">, </w:t>
      </w:r>
      <w:r w:rsidR="00F03641" w:rsidRPr="00DD7DAF">
        <w:rPr>
          <w:noProof/>
          <w:lang w:val="en-IE"/>
        </w:rPr>
        <w:t>to reach 5</w:t>
      </w:r>
      <w:r w:rsidR="000915E5" w:rsidRPr="00DD7DAF">
        <w:rPr>
          <w:noProof/>
          <w:lang w:val="en-IE"/>
        </w:rPr>
        <w:t>0</w:t>
      </w:r>
      <w:r w:rsidR="00F03641" w:rsidRPr="00DD7DAF">
        <w:rPr>
          <w:noProof/>
          <w:lang w:val="en-IE"/>
        </w:rPr>
        <w:t> </w:t>
      </w:r>
      <w:r w:rsidR="00CE294D" w:rsidRPr="00DD7DAF">
        <w:rPr>
          <w:noProof/>
          <w:lang w:val="en-IE"/>
        </w:rPr>
        <w:t xml:space="preserve">MtCO2 </w:t>
      </w:r>
      <w:r w:rsidR="006774B5" w:rsidRPr="00DD7DAF">
        <w:rPr>
          <w:noProof/>
          <w:lang w:val="en-IE"/>
        </w:rPr>
        <w:t>in S2</w:t>
      </w:r>
      <w:r w:rsidR="00CE294D" w:rsidRPr="00DD7DAF">
        <w:rPr>
          <w:noProof/>
          <w:lang w:val="en-IE"/>
        </w:rPr>
        <w:t xml:space="preserve"> </w:t>
      </w:r>
      <w:r w:rsidR="006774B5" w:rsidRPr="00DD7DAF">
        <w:rPr>
          <w:noProof/>
          <w:lang w:val="en-IE"/>
        </w:rPr>
        <w:t>and</w:t>
      </w:r>
      <w:r w:rsidR="00CE294D" w:rsidRPr="00DD7DAF">
        <w:rPr>
          <w:noProof/>
          <w:lang w:val="en-IE"/>
        </w:rPr>
        <w:t xml:space="preserve"> up to 75 MtCO2 in S3</w:t>
      </w:r>
      <w:r w:rsidR="00CE1AD5" w:rsidRPr="00DD7DAF">
        <w:rPr>
          <w:noProof/>
          <w:lang w:val="en-IE"/>
        </w:rPr>
        <w:t>.</w:t>
      </w:r>
      <w:r w:rsidR="00641B93" w:rsidRPr="00DD7DAF">
        <w:rPr>
          <w:noProof/>
          <w:lang w:val="en-IE"/>
        </w:rPr>
        <w:t xml:space="preserve"> </w:t>
      </w:r>
      <w:r w:rsidR="00B03214" w:rsidRPr="00DD7DAF">
        <w:rPr>
          <w:noProof/>
          <w:lang w:val="en-IE"/>
        </w:rPr>
        <w:t>R</w:t>
      </w:r>
      <w:r w:rsidR="00F03641" w:rsidRPr="00DD7DAF">
        <w:rPr>
          <w:noProof/>
          <w:lang w:val="en-IE"/>
        </w:rPr>
        <w:t xml:space="preserve">emovals </w:t>
      </w:r>
      <w:r w:rsidR="008C5C05" w:rsidRPr="00DD7DAF">
        <w:rPr>
          <w:noProof/>
          <w:lang w:val="en-IE"/>
        </w:rPr>
        <w:t xml:space="preserve">deploy progressively </w:t>
      </w:r>
      <w:r w:rsidR="00B03214" w:rsidRPr="00DD7DAF">
        <w:rPr>
          <w:noProof/>
          <w:lang w:val="en-IE"/>
        </w:rPr>
        <w:t xml:space="preserve">from S1 to S3 </w:t>
      </w:r>
      <w:r w:rsidR="006774B5" w:rsidRPr="00DD7DAF">
        <w:rPr>
          <w:noProof/>
          <w:lang w:val="en-IE"/>
        </w:rPr>
        <w:t>a</w:t>
      </w:r>
      <w:r w:rsidR="008C5C05" w:rsidRPr="00DD7DAF">
        <w:rPr>
          <w:noProof/>
          <w:lang w:val="en-IE"/>
        </w:rPr>
        <w:t>nd</w:t>
      </w:r>
      <w:r w:rsidR="00126A5A" w:rsidRPr="00DD7DAF">
        <w:rPr>
          <w:noProof/>
          <w:lang w:val="en-IE"/>
        </w:rPr>
        <w:t xml:space="preserve"> </w:t>
      </w:r>
      <w:r w:rsidR="00EE050D" w:rsidRPr="00DD7DAF">
        <w:rPr>
          <w:noProof/>
          <w:lang w:val="en-IE"/>
        </w:rPr>
        <w:t xml:space="preserve">allow for </w:t>
      </w:r>
      <w:r w:rsidR="009B6674" w:rsidRPr="00DD7DAF">
        <w:rPr>
          <w:noProof/>
          <w:lang w:val="en-IE"/>
        </w:rPr>
        <w:t>higher reductio</w:t>
      </w:r>
      <w:r w:rsidR="009B6674">
        <w:rPr>
          <w:noProof/>
          <w:lang w:val="en-IE"/>
        </w:rPr>
        <w:t xml:space="preserve">ns of net GHG emissions </w:t>
      </w:r>
      <w:r w:rsidR="007D7A7B">
        <w:rPr>
          <w:noProof/>
          <w:lang w:val="en-IE"/>
        </w:rPr>
        <w:t xml:space="preserve">(see also </w:t>
      </w:r>
      <w:r w:rsidR="007D7A7B" w:rsidRPr="00124018">
        <w:rPr>
          <w:noProof/>
          <w:lang w:val="en-IE"/>
        </w:rPr>
        <w:fldChar w:fldCharType="begin"/>
      </w:r>
      <w:r w:rsidR="007D7A7B" w:rsidRPr="00442631">
        <w:rPr>
          <w:noProof/>
          <w:highlight w:val="yellow"/>
          <w:lang w:val="en-IE"/>
        </w:rPr>
        <w:instrText xml:space="preserve"> REF _Ref143253438 \h </w:instrText>
      </w:r>
      <w:r w:rsidR="00442631">
        <w:rPr>
          <w:noProof/>
          <w:highlight w:val="yellow"/>
          <w:lang w:val="en-IE"/>
        </w:rPr>
        <w:instrText xml:space="preserve"> \* MERGEFORMAT </w:instrText>
      </w:r>
      <w:r w:rsidR="007D7A7B" w:rsidRPr="00124018">
        <w:rPr>
          <w:noProof/>
          <w:lang w:val="en-IE"/>
        </w:rPr>
      </w:r>
      <w:r w:rsidR="007D7A7B" w:rsidRPr="00124018">
        <w:rPr>
          <w:noProof/>
          <w:lang w:val="en-IE"/>
        </w:rPr>
        <w:fldChar w:fldCharType="separate"/>
      </w:r>
      <w:r w:rsidR="00170A3C" w:rsidRPr="005E74B4">
        <w:rPr>
          <w:noProof/>
        </w:rPr>
        <w:t xml:space="preserve">Figure </w:t>
      </w:r>
      <w:r w:rsidR="00170A3C">
        <w:rPr>
          <w:noProof/>
        </w:rPr>
        <w:t>7</w:t>
      </w:r>
      <w:r w:rsidR="007D7A7B" w:rsidRPr="00124018">
        <w:rPr>
          <w:noProof/>
          <w:lang w:val="en-IE"/>
        </w:rPr>
        <w:fldChar w:fldCharType="end"/>
      </w:r>
      <w:r w:rsidR="007D7A7B">
        <w:rPr>
          <w:noProof/>
          <w:lang w:val="en-IE"/>
        </w:rPr>
        <w:t>)</w:t>
      </w:r>
      <w:r w:rsidR="00EE050D">
        <w:rPr>
          <w:noProof/>
          <w:lang w:val="en-IE"/>
        </w:rPr>
        <w:t>.</w:t>
      </w:r>
      <w:r w:rsidR="00A022C7" w:rsidRPr="00D026C3">
        <w:rPr>
          <w:noProof/>
          <w:lang w:val="en-IE"/>
        </w:rPr>
        <w:t xml:space="preserve"> </w:t>
      </w:r>
      <w:r w:rsidR="00C459D4">
        <w:rPr>
          <w:noProof/>
          <w:lang w:val="en-IE"/>
        </w:rPr>
        <w:t>LIFE</w:t>
      </w:r>
      <w:r w:rsidR="00157C3E">
        <w:rPr>
          <w:noProof/>
          <w:lang w:val="en-IE"/>
        </w:rPr>
        <w:t xml:space="preserve"> models</w:t>
      </w:r>
      <w:r w:rsidR="007E0E44">
        <w:rPr>
          <w:noProof/>
          <w:lang w:val="en-IE"/>
        </w:rPr>
        <w:t xml:space="preserve"> </w:t>
      </w:r>
      <w:r w:rsidR="00752506">
        <w:rPr>
          <w:noProof/>
          <w:lang w:val="en-IE"/>
        </w:rPr>
        <w:t xml:space="preserve">lower </w:t>
      </w:r>
      <w:r w:rsidR="007E0E44">
        <w:rPr>
          <w:noProof/>
          <w:lang w:val="en-IE"/>
        </w:rPr>
        <w:t>carbon removals</w:t>
      </w:r>
      <w:r w:rsidR="00441F13">
        <w:rPr>
          <w:noProof/>
          <w:lang w:val="en-IE"/>
        </w:rPr>
        <w:t xml:space="preserve">: </w:t>
      </w:r>
      <w:r w:rsidR="0090549E">
        <w:rPr>
          <w:noProof/>
          <w:lang w:val="en-IE"/>
        </w:rPr>
        <w:t xml:space="preserve">demand-side actions </w:t>
      </w:r>
      <w:r w:rsidR="006774B5">
        <w:rPr>
          <w:noProof/>
          <w:lang w:val="en-IE"/>
        </w:rPr>
        <w:t xml:space="preserve">and enhanced LULUCF net removals </w:t>
      </w:r>
      <w:r w:rsidR="0090549E">
        <w:rPr>
          <w:noProof/>
          <w:lang w:val="en-IE"/>
        </w:rPr>
        <w:t>can reduce the need for industrial removals, and</w:t>
      </w:r>
      <w:r w:rsidR="00B03214">
        <w:rPr>
          <w:noProof/>
          <w:lang w:val="en-IE"/>
        </w:rPr>
        <w:t>,</w:t>
      </w:r>
      <w:r w:rsidR="0090549E">
        <w:rPr>
          <w:noProof/>
          <w:lang w:val="en-IE"/>
        </w:rPr>
        <w:t xml:space="preserve"> in </w:t>
      </w:r>
      <w:r w:rsidR="00C7729A">
        <w:rPr>
          <w:noProof/>
          <w:lang w:val="en-IE"/>
        </w:rPr>
        <w:t xml:space="preserve">this projection, </w:t>
      </w:r>
      <w:r w:rsidR="00777304">
        <w:rPr>
          <w:noProof/>
          <w:lang w:val="en-IE"/>
        </w:rPr>
        <w:t xml:space="preserve">eliminate </w:t>
      </w:r>
      <w:r w:rsidR="0090549E">
        <w:rPr>
          <w:noProof/>
          <w:lang w:val="en-IE"/>
        </w:rPr>
        <w:t>the recourse to DACC</w:t>
      </w:r>
      <w:r w:rsidR="00777304">
        <w:rPr>
          <w:noProof/>
          <w:lang w:val="en-IE"/>
        </w:rPr>
        <w:t xml:space="preserve"> in 2040</w:t>
      </w:r>
      <w:r w:rsidR="00752506">
        <w:rPr>
          <w:noProof/>
          <w:lang w:val="en-IE"/>
        </w:rPr>
        <w:t>.</w:t>
      </w:r>
      <w:r w:rsidR="007823CB">
        <w:rPr>
          <w:noProof/>
          <w:lang w:val="en-IE"/>
        </w:rPr>
        <w:t xml:space="preserve"> </w:t>
      </w:r>
    </w:p>
    <w:p w14:paraId="5744121B" w14:textId="07F5D120" w:rsidR="00261BFA" w:rsidRDefault="00261BFA" w:rsidP="00261BFA">
      <w:pPr>
        <w:pStyle w:val="Caption"/>
        <w:rPr>
          <w:b w:val="0"/>
          <w:noProof/>
        </w:rPr>
      </w:pPr>
      <w:bookmarkStart w:id="41" w:name="_Ref145322520"/>
      <w:bookmarkStart w:id="42" w:name="_Ref147311937"/>
      <w:bookmarkStart w:id="43" w:name="_Toc157679750"/>
      <w:r w:rsidRPr="00AD3BA1">
        <w:rPr>
          <w:noProof/>
        </w:rPr>
        <w:t xml:space="preserve">Figure </w:t>
      </w:r>
      <w:bookmarkEnd w:id="41"/>
      <w:r w:rsidR="00F2742D">
        <w:rPr>
          <w:noProof/>
        </w:rPr>
        <w:fldChar w:fldCharType="begin"/>
      </w:r>
      <w:r w:rsidR="00F2742D">
        <w:rPr>
          <w:noProof/>
        </w:rPr>
        <w:instrText xml:space="preserve"> SEQ Figure \* ARABIC </w:instrText>
      </w:r>
      <w:r w:rsidR="00F2742D">
        <w:rPr>
          <w:noProof/>
        </w:rPr>
        <w:fldChar w:fldCharType="separate"/>
      </w:r>
      <w:r w:rsidR="00170A3C">
        <w:rPr>
          <w:noProof/>
        </w:rPr>
        <w:t>2</w:t>
      </w:r>
      <w:r w:rsidR="00F2742D">
        <w:rPr>
          <w:noProof/>
        </w:rPr>
        <w:fldChar w:fldCharType="end"/>
      </w:r>
      <w:bookmarkEnd w:id="42"/>
      <w:r w:rsidRPr="00AD3BA1">
        <w:rPr>
          <w:noProof/>
        </w:rPr>
        <w:t>: Carbon removals by source and use</w:t>
      </w:r>
      <w:bookmarkEnd w:id="43"/>
    </w:p>
    <w:p w14:paraId="69776AA0" w14:textId="779B5F38" w:rsidR="00261BFA" w:rsidRDefault="00F256A1" w:rsidP="00906859">
      <w:pPr>
        <w:keepNext/>
        <w:spacing w:after="0"/>
        <w:rPr>
          <w:noProof/>
          <w:lang w:val="en-IE"/>
        </w:rPr>
      </w:pPr>
      <w:r w:rsidRPr="00F256A1">
        <w:rPr>
          <w:noProof/>
          <w:lang w:eastAsia="en-GB"/>
        </w:rPr>
        <w:drawing>
          <wp:inline distT="0" distB="0" distL="0" distR="0" wp14:anchorId="6F0C093E" wp14:editId="7F944EAE">
            <wp:extent cx="5247640" cy="2397760"/>
            <wp:effectExtent l="0" t="0" r="0" b="254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47640" cy="2397760"/>
                    </a:xfrm>
                    <a:prstGeom prst="rect">
                      <a:avLst/>
                    </a:prstGeom>
                    <a:noFill/>
                    <a:ln>
                      <a:noFill/>
                    </a:ln>
                  </pic:spPr>
                </pic:pic>
              </a:graphicData>
            </a:graphic>
          </wp:inline>
        </w:drawing>
      </w:r>
    </w:p>
    <w:p w14:paraId="4E3E7184" w14:textId="4139E640" w:rsidR="00261BFA" w:rsidRDefault="00261BFA" w:rsidP="002B4CC2">
      <w:pPr>
        <w:pStyle w:val="CT-SOURCE"/>
        <w:rPr>
          <w:noProof/>
        </w:rPr>
      </w:pPr>
      <w:r w:rsidRPr="00BC503B">
        <w:rPr>
          <w:noProof/>
        </w:rPr>
        <w:t>Source: PRIMES</w:t>
      </w:r>
      <w:r w:rsidR="005E74B4">
        <w:rPr>
          <w:noProof/>
        </w:rPr>
        <w:t>.</w:t>
      </w:r>
    </w:p>
    <w:p w14:paraId="623B0E68" w14:textId="1290E58C" w:rsidR="0090549E" w:rsidRDefault="002C3470" w:rsidP="001035B6">
      <w:pPr>
        <w:pStyle w:val="Text3"/>
        <w:ind w:left="0" w:firstLine="0"/>
        <w:rPr>
          <w:noProof/>
          <w:lang w:val="en-IE"/>
        </w:rPr>
      </w:pPr>
      <w:r>
        <w:rPr>
          <w:noProof/>
          <w:lang w:val="en-IE"/>
        </w:rPr>
        <w:t xml:space="preserve">The amount of </w:t>
      </w:r>
      <w:r w:rsidR="00CC5AE0">
        <w:rPr>
          <w:noProof/>
          <w:lang w:val="en-IE"/>
        </w:rPr>
        <w:t xml:space="preserve">carbon removed </w:t>
      </w:r>
      <w:r w:rsidR="00BF6F17">
        <w:rPr>
          <w:noProof/>
          <w:lang w:val="en-IE"/>
        </w:rPr>
        <w:t>by industrial means</w:t>
      </w:r>
      <w:r>
        <w:rPr>
          <w:noProof/>
          <w:lang w:val="en-IE"/>
        </w:rPr>
        <w:t xml:space="preserve"> in 2050 </w:t>
      </w:r>
      <w:r w:rsidR="00CC5AE0">
        <w:rPr>
          <w:noProof/>
          <w:lang w:val="en-IE"/>
        </w:rPr>
        <w:t xml:space="preserve">is similar across </w:t>
      </w:r>
      <w:r w:rsidR="00F03641">
        <w:rPr>
          <w:noProof/>
          <w:lang w:val="en-IE"/>
        </w:rPr>
        <w:t xml:space="preserve">scenarios </w:t>
      </w:r>
      <w:r w:rsidR="00CC5AE0">
        <w:rPr>
          <w:noProof/>
          <w:lang w:val="en-IE"/>
        </w:rPr>
        <w:t>and reach</w:t>
      </w:r>
      <w:r w:rsidR="00F03641">
        <w:rPr>
          <w:noProof/>
          <w:lang w:val="en-IE"/>
        </w:rPr>
        <w:t>es</w:t>
      </w:r>
      <w:r w:rsidR="00CC5AE0">
        <w:rPr>
          <w:noProof/>
          <w:lang w:val="en-IE"/>
        </w:rPr>
        <w:t xml:space="preserve"> around </w:t>
      </w:r>
      <w:r w:rsidR="00A6426B" w:rsidRPr="00F20CCC">
        <w:rPr>
          <w:noProof/>
          <w:lang w:val="en-IE"/>
        </w:rPr>
        <w:t>1</w:t>
      </w:r>
      <w:r w:rsidR="00DD47A2" w:rsidRPr="00F20CCC">
        <w:rPr>
          <w:noProof/>
          <w:lang w:val="en-IE"/>
        </w:rPr>
        <w:t>20</w:t>
      </w:r>
      <w:r w:rsidR="00CC5AE0">
        <w:rPr>
          <w:noProof/>
          <w:lang w:val="en-IE"/>
        </w:rPr>
        <w:t xml:space="preserve"> MtCO2/y, </w:t>
      </w:r>
      <w:r w:rsidR="00900083">
        <w:rPr>
          <w:noProof/>
          <w:lang w:val="en-IE"/>
        </w:rPr>
        <w:t xml:space="preserve">suggesting </w:t>
      </w:r>
      <w:r w:rsidR="00CC5AE0">
        <w:rPr>
          <w:noProof/>
          <w:lang w:val="en-IE"/>
        </w:rPr>
        <w:t xml:space="preserve">the need for significant </w:t>
      </w:r>
      <w:r w:rsidR="00DD10EE">
        <w:rPr>
          <w:noProof/>
          <w:lang w:val="en-IE"/>
        </w:rPr>
        <w:t>carbon removals</w:t>
      </w:r>
      <w:r w:rsidR="00CC5AE0">
        <w:rPr>
          <w:noProof/>
          <w:lang w:val="en-IE"/>
        </w:rPr>
        <w:t xml:space="preserve"> to achieve climate neutrality</w:t>
      </w:r>
      <w:r w:rsidR="009031D1">
        <w:rPr>
          <w:noProof/>
          <w:lang w:val="en-IE"/>
        </w:rPr>
        <w:t xml:space="preserve">. </w:t>
      </w:r>
      <w:r w:rsidR="002A004E">
        <w:rPr>
          <w:rFonts w:cs="Times New Roman"/>
          <w:noProof/>
          <w:lang w:val="en-IE"/>
        </w:rPr>
        <w:t xml:space="preserve">While most of the storage takes place in underground sites, </w:t>
      </w:r>
      <w:r w:rsidR="000B1FC6">
        <w:rPr>
          <w:rFonts w:cs="Times New Roman"/>
          <w:noProof/>
          <w:lang w:val="en-IE"/>
        </w:rPr>
        <w:t xml:space="preserve">limited </w:t>
      </w:r>
      <w:r w:rsidR="002A004E">
        <w:rPr>
          <w:rFonts w:cs="Times New Roman"/>
          <w:noProof/>
          <w:lang w:val="en-IE"/>
        </w:rPr>
        <w:t>s</w:t>
      </w:r>
      <w:r w:rsidR="002A004E">
        <w:rPr>
          <w:noProof/>
          <w:lang w:val="en-IE"/>
        </w:rPr>
        <w:t xml:space="preserve">torage in permanent materials also appears in the last decade. </w:t>
      </w:r>
      <w:r w:rsidR="00C06691">
        <w:rPr>
          <w:noProof/>
          <w:lang w:val="en-IE"/>
        </w:rPr>
        <w:t xml:space="preserve">The </w:t>
      </w:r>
      <w:r w:rsidR="000A7DD1">
        <w:rPr>
          <w:noProof/>
          <w:lang w:val="en-IE"/>
        </w:rPr>
        <w:t>slightly</w:t>
      </w:r>
      <w:r w:rsidR="00E1375E">
        <w:rPr>
          <w:noProof/>
          <w:lang w:val="en-IE"/>
        </w:rPr>
        <w:t xml:space="preserve"> higher</w:t>
      </w:r>
      <w:r w:rsidR="000A7DD1">
        <w:rPr>
          <w:noProof/>
          <w:lang w:val="en-IE"/>
        </w:rPr>
        <w:t xml:space="preserve"> values for S1</w:t>
      </w:r>
      <w:r w:rsidR="00E1375E">
        <w:rPr>
          <w:noProof/>
          <w:lang w:val="en-IE"/>
        </w:rPr>
        <w:t xml:space="preserve"> </w:t>
      </w:r>
      <w:r w:rsidR="001A4CD2">
        <w:rPr>
          <w:noProof/>
          <w:lang w:val="en-IE"/>
        </w:rPr>
        <w:t>are required to</w:t>
      </w:r>
      <w:r w:rsidR="00E1375E">
        <w:rPr>
          <w:noProof/>
          <w:lang w:val="en-IE"/>
        </w:rPr>
        <w:t xml:space="preserve"> compensate for delayed climate action in 2031-20</w:t>
      </w:r>
      <w:r w:rsidR="000A7DD1">
        <w:rPr>
          <w:noProof/>
          <w:lang w:val="en-IE"/>
        </w:rPr>
        <w:t>4</w:t>
      </w:r>
      <w:r w:rsidR="00E1375E">
        <w:rPr>
          <w:noProof/>
          <w:lang w:val="en-IE"/>
        </w:rPr>
        <w:t xml:space="preserve">0. </w:t>
      </w:r>
    </w:p>
    <w:p w14:paraId="29E7C283" w14:textId="6FBF9134" w:rsidR="00260864" w:rsidRDefault="00844303" w:rsidP="00260864">
      <w:pPr>
        <w:pStyle w:val="Text3"/>
        <w:ind w:left="0" w:firstLine="0"/>
        <w:rPr>
          <w:noProof/>
          <w:lang w:val="en-IE"/>
        </w:rPr>
      </w:pPr>
      <w:r>
        <w:rPr>
          <w:noProof/>
          <w:lang w:val="en-IE"/>
        </w:rPr>
        <w:t>While t</w:t>
      </w:r>
      <w:r w:rsidR="006B13A1">
        <w:rPr>
          <w:noProof/>
          <w:lang w:val="en-IE"/>
        </w:rPr>
        <w:t>he</w:t>
      </w:r>
      <w:r>
        <w:rPr>
          <w:noProof/>
          <w:lang w:val="en-IE"/>
        </w:rPr>
        <w:t xml:space="preserve"> </w:t>
      </w:r>
      <w:r w:rsidR="006B13A1">
        <w:rPr>
          <w:noProof/>
          <w:lang w:val="en-IE"/>
        </w:rPr>
        <w:t>mode</w:t>
      </w:r>
      <w:r w:rsidR="00C27133">
        <w:rPr>
          <w:noProof/>
          <w:lang w:val="en-IE"/>
        </w:rPr>
        <w:t>l</w:t>
      </w:r>
      <w:r w:rsidR="006B13A1">
        <w:rPr>
          <w:noProof/>
          <w:lang w:val="en-IE"/>
        </w:rPr>
        <w:t xml:space="preserve">ling shows a similar </w:t>
      </w:r>
      <w:r w:rsidR="00777304">
        <w:rPr>
          <w:noProof/>
          <w:lang w:val="en-IE"/>
        </w:rPr>
        <w:t>share</w:t>
      </w:r>
      <w:r w:rsidR="006B13A1">
        <w:rPr>
          <w:noProof/>
          <w:lang w:val="en-IE"/>
        </w:rPr>
        <w:t xml:space="preserve"> of BECCS and DACCS</w:t>
      </w:r>
      <w:r w:rsidR="005214C8">
        <w:rPr>
          <w:noProof/>
          <w:lang w:val="en-IE"/>
        </w:rPr>
        <w:t xml:space="preserve"> by 2040 in S3 and beyond by 2050</w:t>
      </w:r>
      <w:r w:rsidR="006B13A1">
        <w:rPr>
          <w:noProof/>
          <w:lang w:val="en-IE"/>
        </w:rPr>
        <w:t>, their</w:t>
      </w:r>
      <w:r>
        <w:rPr>
          <w:noProof/>
          <w:lang w:val="en-IE"/>
        </w:rPr>
        <w:t xml:space="preserve"> actual</w:t>
      </w:r>
      <w:r w:rsidR="006B13A1">
        <w:rPr>
          <w:noProof/>
          <w:lang w:val="en-IE"/>
        </w:rPr>
        <w:t xml:space="preserve"> relative deployment </w:t>
      </w:r>
      <w:r w:rsidR="00051317">
        <w:rPr>
          <w:noProof/>
          <w:lang w:val="en-IE"/>
        </w:rPr>
        <w:t xml:space="preserve">will </w:t>
      </w:r>
      <w:r w:rsidR="00F00E09">
        <w:rPr>
          <w:noProof/>
          <w:lang w:val="en-IE"/>
        </w:rPr>
        <w:t>depend</w:t>
      </w:r>
      <w:r w:rsidR="00260864">
        <w:rPr>
          <w:noProof/>
          <w:lang w:val="en-IE"/>
        </w:rPr>
        <w:t xml:space="preserve"> on </w:t>
      </w:r>
      <w:r w:rsidR="00F00E09">
        <w:rPr>
          <w:noProof/>
          <w:lang w:val="en-IE"/>
        </w:rPr>
        <w:t>a</w:t>
      </w:r>
      <w:r w:rsidR="00051317">
        <w:rPr>
          <w:noProof/>
          <w:lang w:val="en-IE"/>
        </w:rPr>
        <w:t xml:space="preserve"> number of</w:t>
      </w:r>
      <w:r w:rsidR="00260864">
        <w:rPr>
          <w:noProof/>
          <w:lang w:val="en-IE"/>
        </w:rPr>
        <w:t xml:space="preserve"> </w:t>
      </w:r>
      <w:r w:rsidR="00F00E09">
        <w:rPr>
          <w:noProof/>
          <w:lang w:val="en-IE"/>
        </w:rPr>
        <w:t>factor</w:t>
      </w:r>
      <w:r w:rsidR="00260864">
        <w:rPr>
          <w:noProof/>
          <w:lang w:val="en-IE"/>
        </w:rPr>
        <w:t xml:space="preserve">s, e.g.: high costs and technological uncertainty (DACCS </w:t>
      </w:r>
      <w:r w:rsidR="00260864" w:rsidRPr="00603FDF">
        <w:rPr>
          <w:noProof/>
          <w:lang w:val="en-IE"/>
        </w:rPr>
        <w:t>(</w:t>
      </w:r>
      <w:r w:rsidR="00260864">
        <w:rPr>
          <w:rStyle w:val="FootnoteReference"/>
          <w:noProof/>
          <w:lang w:val="en-IE"/>
        </w:rPr>
        <w:footnoteReference w:id="20"/>
      </w:r>
      <w:r w:rsidR="00260864">
        <w:rPr>
          <w:noProof/>
          <w:lang w:val="en-IE"/>
        </w:rPr>
        <w:t xml:space="preserve">) </w:t>
      </w:r>
      <w:r w:rsidR="00260864" w:rsidRPr="00E24A55">
        <w:rPr>
          <w:rFonts w:cs="Times New Roman"/>
          <w:noProof/>
          <w:lang w:val="en-IE"/>
        </w:rPr>
        <w:t>(</w:t>
      </w:r>
      <w:r w:rsidR="00260864">
        <w:rPr>
          <w:rStyle w:val="FootnoteReference"/>
          <w:noProof/>
          <w:lang w:val="en-IE"/>
        </w:rPr>
        <w:footnoteReference w:id="21"/>
      </w:r>
      <w:r w:rsidR="00260864">
        <w:rPr>
          <w:rFonts w:cs="Times New Roman"/>
          <w:noProof/>
          <w:lang w:val="en-IE"/>
        </w:rPr>
        <w:t>)</w:t>
      </w:r>
      <w:r w:rsidR="00260864">
        <w:rPr>
          <w:noProof/>
          <w:lang w:val="en-IE"/>
        </w:rPr>
        <w:t xml:space="preserve">), cost and </w:t>
      </w:r>
      <w:r w:rsidR="00260864" w:rsidRPr="00D026C3">
        <w:rPr>
          <w:noProof/>
          <w:lang w:val="en-IE"/>
        </w:rPr>
        <w:t xml:space="preserve">competition on </w:t>
      </w:r>
      <w:r>
        <w:rPr>
          <w:noProof/>
          <w:lang w:val="en-IE"/>
        </w:rPr>
        <w:t xml:space="preserve">biomass </w:t>
      </w:r>
      <w:r w:rsidR="00260864" w:rsidRPr="00D026C3">
        <w:rPr>
          <w:noProof/>
          <w:lang w:val="en-IE"/>
        </w:rPr>
        <w:t xml:space="preserve">resource </w:t>
      </w:r>
      <w:r w:rsidR="00260864">
        <w:rPr>
          <w:noProof/>
          <w:lang w:val="en-IE"/>
        </w:rPr>
        <w:t>and possible negative impact on LULUCF</w:t>
      </w:r>
      <w:r w:rsidR="00260864" w:rsidRPr="00D026C3">
        <w:rPr>
          <w:noProof/>
          <w:lang w:val="en-IE"/>
        </w:rPr>
        <w:t xml:space="preserve"> (</w:t>
      </w:r>
      <w:r w:rsidR="00260864">
        <w:rPr>
          <w:noProof/>
          <w:lang w:val="en-IE"/>
        </w:rPr>
        <w:t xml:space="preserve">BECCS </w:t>
      </w:r>
      <w:r w:rsidR="00260864" w:rsidRPr="001D3FBB">
        <w:rPr>
          <w:rFonts w:cs="Times New Roman"/>
          <w:noProof/>
          <w:lang w:val="en-IE"/>
        </w:rPr>
        <w:t>(</w:t>
      </w:r>
      <w:r w:rsidR="00260864" w:rsidRPr="001D3FBB">
        <w:rPr>
          <w:rStyle w:val="FootnoteReference"/>
          <w:noProof/>
          <w:lang w:val="en-IE"/>
        </w:rPr>
        <w:footnoteReference w:id="22"/>
      </w:r>
      <w:r w:rsidR="00260864" w:rsidRPr="001D3FBB">
        <w:rPr>
          <w:rFonts w:cs="Times New Roman"/>
          <w:noProof/>
          <w:lang w:val="en-IE"/>
        </w:rPr>
        <w:t>)(</w:t>
      </w:r>
      <w:r w:rsidR="00260864" w:rsidRPr="001D3FBB">
        <w:rPr>
          <w:rStyle w:val="FootnoteReference"/>
          <w:rFonts w:cs="Times New Roman"/>
          <w:noProof/>
          <w:lang w:val="en-IE"/>
        </w:rPr>
        <w:footnoteReference w:id="23"/>
      </w:r>
      <w:r w:rsidR="00260864" w:rsidRPr="001D3FBB">
        <w:rPr>
          <w:rFonts w:cs="Times New Roman"/>
          <w:noProof/>
          <w:lang w:val="en-IE"/>
        </w:rPr>
        <w:t>)</w:t>
      </w:r>
      <w:r w:rsidR="00260864" w:rsidRPr="00FD5BD7">
        <w:rPr>
          <w:rFonts w:cs="Times New Roman"/>
          <w:noProof/>
          <w:lang w:val="en-IE"/>
        </w:rPr>
        <w:t>(</w:t>
      </w:r>
      <w:r w:rsidR="00260864">
        <w:rPr>
          <w:rStyle w:val="FootnoteReference"/>
          <w:noProof/>
          <w:lang w:val="en-IE"/>
        </w:rPr>
        <w:footnoteReference w:id="24"/>
      </w:r>
      <w:r w:rsidR="00260864">
        <w:rPr>
          <w:noProof/>
          <w:lang w:val="en-IE"/>
        </w:rPr>
        <w:t>)</w:t>
      </w:r>
      <w:r w:rsidR="00630D4D">
        <w:rPr>
          <w:noProof/>
          <w:lang w:val="en-IE"/>
        </w:rPr>
        <w:t xml:space="preserve">, see </w:t>
      </w:r>
      <w:r w:rsidR="00630D4D" w:rsidRPr="00124018">
        <w:rPr>
          <w:noProof/>
          <w:lang w:val="en-IE"/>
        </w:rPr>
        <w:t xml:space="preserve">section </w:t>
      </w:r>
      <w:r w:rsidR="00630D4D" w:rsidRPr="00865ABB">
        <w:rPr>
          <w:noProof/>
          <w:lang w:val="en-IE"/>
        </w:rPr>
        <w:fldChar w:fldCharType="begin"/>
      </w:r>
      <w:r w:rsidR="00630D4D" w:rsidRPr="00865ABB">
        <w:rPr>
          <w:noProof/>
          <w:lang w:val="en-IE"/>
        </w:rPr>
        <w:instrText xml:space="preserve"> REF _Ref146732970 \r \h  \* MERGEFORMAT </w:instrText>
      </w:r>
      <w:r w:rsidR="00630D4D" w:rsidRPr="00865ABB">
        <w:rPr>
          <w:noProof/>
          <w:lang w:val="en-IE"/>
        </w:rPr>
      </w:r>
      <w:r w:rsidR="00630D4D" w:rsidRPr="00865ABB">
        <w:rPr>
          <w:noProof/>
          <w:lang w:val="en-IE"/>
        </w:rPr>
        <w:fldChar w:fldCharType="separate"/>
      </w:r>
      <w:r w:rsidR="00170A3C">
        <w:rPr>
          <w:noProof/>
          <w:lang w:val="en-IE"/>
        </w:rPr>
        <w:t>1.8</w:t>
      </w:r>
      <w:r w:rsidR="00630D4D" w:rsidRPr="00865ABB">
        <w:rPr>
          <w:noProof/>
          <w:lang w:val="en-IE"/>
        </w:rPr>
        <w:fldChar w:fldCharType="end"/>
      </w:r>
      <w:r w:rsidR="00630D4D" w:rsidRPr="00865ABB">
        <w:rPr>
          <w:noProof/>
          <w:lang w:val="en-IE"/>
        </w:rPr>
        <w:t xml:space="preserve"> i</w:t>
      </w:r>
      <w:r w:rsidR="00630D4D" w:rsidRPr="00124018">
        <w:rPr>
          <w:noProof/>
          <w:lang w:val="en-IE"/>
        </w:rPr>
        <w:t>n</w:t>
      </w:r>
      <w:r w:rsidR="00630D4D">
        <w:rPr>
          <w:noProof/>
          <w:lang w:val="en-IE"/>
        </w:rPr>
        <w:t xml:space="preserve"> this Annex), </w:t>
      </w:r>
      <w:r w:rsidR="00260864">
        <w:rPr>
          <w:noProof/>
          <w:lang w:val="en-IE"/>
        </w:rPr>
        <w:t xml:space="preserve">creation of the transport and storage infrastructure, public acceptance and equitable and sustainable technology scale up </w:t>
      </w:r>
      <w:r w:rsidR="00260864" w:rsidRPr="002B421A">
        <w:rPr>
          <w:noProof/>
          <w:lang w:val="en-IE"/>
        </w:rPr>
        <w:t>(</w:t>
      </w:r>
      <w:r w:rsidR="00260864">
        <w:rPr>
          <w:rStyle w:val="FootnoteReference"/>
          <w:noProof/>
          <w:lang w:val="en-IE"/>
        </w:rPr>
        <w:footnoteReference w:id="25"/>
      </w:r>
      <w:r w:rsidR="00260864">
        <w:rPr>
          <w:noProof/>
          <w:lang w:val="en-IE"/>
        </w:rPr>
        <w:t>).</w:t>
      </w:r>
    </w:p>
    <w:p w14:paraId="3B1DDB0E" w14:textId="22EA0C6B" w:rsidR="00260864" w:rsidRDefault="00260864" w:rsidP="00260864">
      <w:pPr>
        <w:pStyle w:val="Text3"/>
        <w:ind w:left="0" w:firstLine="0"/>
        <w:rPr>
          <w:noProof/>
          <w:lang w:val="en-IE"/>
        </w:rPr>
      </w:pPr>
      <w:r>
        <w:rPr>
          <w:noProof/>
          <w:lang w:val="en-IE"/>
        </w:rPr>
        <w:t xml:space="preserve">Both technologies add requirements on the ambitious and challenging industrial sectors’ decarbonisation plans, and these needs to be coupled effectively with feasibility analysis and supporting measures as appropriate. </w:t>
      </w:r>
      <w:r w:rsidR="006F1E0F">
        <w:rPr>
          <w:noProof/>
          <w:lang w:val="en-IE"/>
        </w:rPr>
        <w:t xml:space="preserve">While the </w:t>
      </w:r>
      <w:r>
        <w:rPr>
          <w:noProof/>
          <w:lang w:val="en-IE"/>
        </w:rPr>
        <w:t xml:space="preserve">scenarios </w:t>
      </w:r>
      <w:r w:rsidR="00A3628B">
        <w:rPr>
          <w:noProof/>
          <w:lang w:val="en-IE"/>
        </w:rPr>
        <w:t>filt</w:t>
      </w:r>
      <w:r w:rsidR="009752EB">
        <w:rPr>
          <w:noProof/>
          <w:lang w:val="en-IE"/>
        </w:rPr>
        <w:t>ered</w:t>
      </w:r>
      <w:r w:rsidR="00A3628B">
        <w:rPr>
          <w:noProof/>
          <w:lang w:val="en-IE"/>
        </w:rPr>
        <w:t xml:space="preserve"> </w:t>
      </w:r>
      <w:r>
        <w:rPr>
          <w:noProof/>
          <w:lang w:val="en-IE"/>
        </w:rPr>
        <w:t>by</w:t>
      </w:r>
      <w:r w:rsidR="006F1E0F">
        <w:rPr>
          <w:noProof/>
          <w:lang w:val="en-IE"/>
        </w:rPr>
        <w:t xml:space="preserve"> </w:t>
      </w:r>
      <w:r>
        <w:rPr>
          <w:noProof/>
          <w:lang w:val="en-IE"/>
        </w:rPr>
        <w:t>the ESABCC attribute a minor role to carbon captured from the atmosphere</w:t>
      </w:r>
      <w:r w:rsidRPr="00B250AE">
        <w:rPr>
          <w:noProof/>
          <w:lang w:val="en-IE"/>
        </w:rPr>
        <w:t> (</w:t>
      </w:r>
      <w:r>
        <w:rPr>
          <w:rStyle w:val="FootnoteReference"/>
          <w:noProof/>
          <w:lang w:val="en-IE"/>
        </w:rPr>
        <w:footnoteReference w:id="26"/>
      </w:r>
      <w:r>
        <w:rPr>
          <w:noProof/>
          <w:lang w:val="en-IE"/>
        </w:rPr>
        <w:t>)</w:t>
      </w:r>
      <w:r w:rsidR="006F1E0F">
        <w:rPr>
          <w:noProof/>
          <w:lang w:val="en-IE"/>
        </w:rPr>
        <w:t xml:space="preserve">, the IEA indicates that more efforts are needed to fully develop DACCS </w:t>
      </w:r>
      <w:r w:rsidR="006F1E0F" w:rsidRPr="00603FDF">
        <w:rPr>
          <w:noProof/>
          <w:lang w:val="en-IE"/>
        </w:rPr>
        <w:t>(</w:t>
      </w:r>
      <w:r w:rsidR="006F1E0F">
        <w:rPr>
          <w:rStyle w:val="FootnoteReference"/>
          <w:noProof/>
          <w:lang w:val="en-IE"/>
        </w:rPr>
        <w:footnoteReference w:id="27"/>
      </w:r>
      <w:r w:rsidR="006F1E0F">
        <w:rPr>
          <w:noProof/>
          <w:lang w:val="en-IE"/>
        </w:rPr>
        <w:t>)</w:t>
      </w:r>
      <w:r>
        <w:rPr>
          <w:noProof/>
          <w:lang w:val="en-IE"/>
        </w:rPr>
        <w:t>. The demand side, with the amount</w:t>
      </w:r>
      <w:r w:rsidDel="00694F8A">
        <w:rPr>
          <w:noProof/>
          <w:lang w:val="en-IE"/>
        </w:rPr>
        <w:t xml:space="preserve"> of </w:t>
      </w:r>
      <w:r>
        <w:rPr>
          <w:noProof/>
          <w:lang w:val="en-IE"/>
        </w:rPr>
        <w:t xml:space="preserve">e-fuels required by other sectors and the need to compensate residual emissions, will also influence </w:t>
      </w:r>
      <w:r w:rsidR="00ED7761">
        <w:rPr>
          <w:noProof/>
          <w:lang w:val="en-IE"/>
        </w:rPr>
        <w:t>the deployment of each technology</w:t>
      </w:r>
      <w:r>
        <w:rPr>
          <w:noProof/>
          <w:lang w:val="en-IE"/>
        </w:rPr>
        <w:t xml:space="preserve">. </w:t>
      </w:r>
    </w:p>
    <w:p w14:paraId="03697C29" w14:textId="77777777" w:rsidR="00260864" w:rsidRDefault="00260864" w:rsidP="00260864">
      <w:pPr>
        <w:pStyle w:val="Text3"/>
        <w:ind w:left="0" w:firstLine="0"/>
        <w:rPr>
          <w:noProof/>
          <w:lang w:val="en-IE"/>
        </w:rPr>
      </w:pPr>
      <w:r>
        <w:rPr>
          <w:noProof/>
          <w:lang w:val="en-IE"/>
        </w:rPr>
        <w:t xml:space="preserve">Given the lack of predictability for the uptake of one removal technology over another by 2040, a comparison between different deployment pathways is performed. </w:t>
      </w:r>
    </w:p>
    <w:p w14:paraId="69005489" w14:textId="45F0DA63" w:rsidR="00667A9F" w:rsidRDefault="001D3FBB" w:rsidP="00667A9F">
      <w:pPr>
        <w:pStyle w:val="Text2"/>
        <w:rPr>
          <w:noProof/>
          <w:lang w:val="en-IE"/>
        </w:rPr>
      </w:pPr>
      <w:r w:rsidRPr="00124018">
        <w:rPr>
          <w:noProof/>
          <w:color w:val="2B579A"/>
          <w:highlight w:val="yellow"/>
          <w:lang w:val="en-IE"/>
        </w:rPr>
        <w:fldChar w:fldCharType="begin"/>
      </w:r>
      <w:r w:rsidRPr="00442631">
        <w:rPr>
          <w:noProof/>
          <w:highlight w:val="yellow"/>
          <w:lang w:val="en-IE"/>
        </w:rPr>
        <w:instrText xml:space="preserve"> REF _Ref139635371 \h </w:instrText>
      </w:r>
      <w:r w:rsidR="00442631">
        <w:rPr>
          <w:noProof/>
          <w:color w:val="2B579A"/>
          <w:highlight w:val="yellow"/>
          <w:shd w:val="clear" w:color="auto" w:fill="E6E6E6"/>
          <w:lang w:val="en-IE"/>
        </w:rPr>
        <w:instrText xml:space="preserve"> \* MERGEFORMAT </w:instrText>
      </w:r>
      <w:r w:rsidRPr="00124018">
        <w:rPr>
          <w:noProof/>
          <w:color w:val="2B579A"/>
          <w:highlight w:val="yellow"/>
          <w:lang w:val="en-IE"/>
        </w:rPr>
      </w:r>
      <w:r w:rsidRPr="00124018">
        <w:rPr>
          <w:noProof/>
          <w:color w:val="2B579A"/>
          <w:highlight w:val="yellow"/>
          <w:lang w:val="en-IE"/>
        </w:rPr>
        <w:fldChar w:fldCharType="separate"/>
      </w:r>
      <w:r w:rsidR="00170A3C">
        <w:rPr>
          <w:noProof/>
        </w:rPr>
        <w:t>Figure 3</w:t>
      </w:r>
      <w:r w:rsidRPr="00124018">
        <w:rPr>
          <w:noProof/>
          <w:color w:val="2B579A"/>
          <w:highlight w:val="yellow"/>
          <w:lang w:val="en-IE"/>
        </w:rPr>
        <w:fldChar w:fldCharType="end"/>
      </w:r>
      <w:r>
        <w:rPr>
          <w:noProof/>
          <w:lang w:val="en-IE"/>
        </w:rPr>
        <w:t xml:space="preserve"> compares the </w:t>
      </w:r>
      <w:r w:rsidR="00AD446F">
        <w:rPr>
          <w:noProof/>
          <w:lang w:val="en-IE"/>
        </w:rPr>
        <w:t>industrial</w:t>
      </w:r>
      <w:r>
        <w:rPr>
          <w:noProof/>
          <w:lang w:val="en-IE"/>
        </w:rPr>
        <w:t xml:space="preserve"> carbon removals </w:t>
      </w:r>
      <w:r w:rsidR="00AD2E76">
        <w:rPr>
          <w:noProof/>
          <w:lang w:val="en-IE"/>
        </w:rPr>
        <w:t xml:space="preserve">obtained </w:t>
      </w:r>
      <w:r w:rsidR="00B84A6B">
        <w:rPr>
          <w:noProof/>
          <w:lang w:val="en-IE"/>
        </w:rPr>
        <w:t>in 2040</w:t>
      </w:r>
      <w:r w:rsidR="00AD2E76">
        <w:rPr>
          <w:noProof/>
          <w:lang w:val="en-IE"/>
        </w:rPr>
        <w:t xml:space="preserve"> </w:t>
      </w:r>
      <w:r>
        <w:rPr>
          <w:noProof/>
          <w:lang w:val="en-IE"/>
        </w:rPr>
        <w:t>with the PRIMES model</w:t>
      </w:r>
      <w:r w:rsidR="000B1FC6">
        <w:rPr>
          <w:noProof/>
        </w:rPr>
        <w:t>,</w:t>
      </w:r>
      <w:r w:rsidR="00AD2E76">
        <w:rPr>
          <w:noProof/>
        </w:rPr>
        <w:t xml:space="preserve"> </w:t>
      </w:r>
      <w:r>
        <w:rPr>
          <w:noProof/>
          <w:lang w:val="en-IE"/>
        </w:rPr>
        <w:t xml:space="preserve">with </w:t>
      </w:r>
      <w:r w:rsidR="00F03641">
        <w:rPr>
          <w:noProof/>
          <w:lang w:val="en-IE"/>
        </w:rPr>
        <w:t>deployment pathway</w:t>
      </w:r>
      <w:r w:rsidR="00292619">
        <w:rPr>
          <w:noProof/>
          <w:lang w:val="en-IE"/>
        </w:rPr>
        <w:t>s</w:t>
      </w:r>
      <w:r w:rsidR="00F03641">
        <w:rPr>
          <w:noProof/>
          <w:lang w:val="en-IE"/>
        </w:rPr>
        <w:t xml:space="preserve"> p</w:t>
      </w:r>
      <w:r w:rsidR="00AD2E76">
        <w:rPr>
          <w:noProof/>
          <w:lang w:val="en-IE"/>
        </w:rPr>
        <w:t xml:space="preserve">rojected by </w:t>
      </w:r>
      <w:r w:rsidR="00F03641">
        <w:rPr>
          <w:noProof/>
          <w:lang w:val="en-IE"/>
        </w:rPr>
        <w:t xml:space="preserve">the </w:t>
      </w:r>
      <w:r>
        <w:rPr>
          <w:noProof/>
          <w:lang w:val="en-IE"/>
        </w:rPr>
        <w:t xml:space="preserve">POTEnCIA model. </w:t>
      </w:r>
      <w:r w:rsidR="00094A95">
        <w:rPr>
          <w:noProof/>
          <w:lang w:val="en-IE"/>
        </w:rPr>
        <w:t xml:space="preserve">In PRIMES </w:t>
      </w:r>
      <w:r w:rsidR="00F20CCC">
        <w:rPr>
          <w:noProof/>
          <w:lang w:val="en-IE"/>
        </w:rPr>
        <w:t>(</w:t>
      </w:r>
      <w:r w:rsidR="00094A95" w:rsidRPr="00124018">
        <w:rPr>
          <w:noProof/>
          <w:color w:val="2B579A"/>
          <w:shd w:val="clear" w:color="auto" w:fill="E6E6E6"/>
          <w:lang w:val="en-IE"/>
        </w:rPr>
        <w:fldChar w:fldCharType="begin"/>
      </w:r>
      <w:r w:rsidR="00094A95" w:rsidRPr="00442631">
        <w:rPr>
          <w:noProof/>
          <w:highlight w:val="yellow"/>
          <w:lang w:val="en-IE"/>
        </w:rPr>
        <w:instrText xml:space="preserve"> REF _Ref139635371 \h </w:instrText>
      </w:r>
      <w:r w:rsidR="00442631">
        <w:rPr>
          <w:noProof/>
          <w:color w:val="2B579A"/>
          <w:highlight w:val="yellow"/>
          <w:shd w:val="clear" w:color="auto" w:fill="E6E6E6"/>
          <w:lang w:val="en-IE"/>
        </w:rPr>
        <w:instrText xml:space="preserve"> \* MERGEFORMAT </w:instrText>
      </w:r>
      <w:r w:rsidR="00094A95" w:rsidRPr="00124018">
        <w:rPr>
          <w:noProof/>
          <w:color w:val="2B579A"/>
          <w:shd w:val="clear" w:color="auto" w:fill="E6E6E6"/>
          <w:lang w:val="en-IE"/>
        </w:rPr>
      </w:r>
      <w:r w:rsidR="00094A95" w:rsidRPr="00124018">
        <w:rPr>
          <w:noProof/>
          <w:color w:val="2B579A"/>
          <w:shd w:val="clear" w:color="auto" w:fill="E6E6E6"/>
          <w:lang w:val="en-IE"/>
        </w:rPr>
        <w:fldChar w:fldCharType="separate"/>
      </w:r>
      <w:r w:rsidR="00170A3C">
        <w:rPr>
          <w:noProof/>
        </w:rPr>
        <w:t>Figure 3</w:t>
      </w:r>
      <w:r w:rsidR="00094A95" w:rsidRPr="00124018">
        <w:rPr>
          <w:noProof/>
          <w:color w:val="2B579A"/>
          <w:shd w:val="clear" w:color="auto" w:fill="E6E6E6"/>
          <w:lang w:val="en-IE"/>
        </w:rPr>
        <w:fldChar w:fldCharType="end"/>
      </w:r>
      <w:r w:rsidR="00094A95" w:rsidRPr="00124018">
        <w:rPr>
          <w:noProof/>
          <w:lang w:val="en-IE"/>
        </w:rPr>
        <w:t>,</w:t>
      </w:r>
      <w:r w:rsidR="00094A95">
        <w:rPr>
          <w:noProof/>
          <w:lang w:val="en-IE"/>
        </w:rPr>
        <w:t xml:space="preserve"> left) </w:t>
      </w:r>
      <w:r w:rsidR="00094A95">
        <w:rPr>
          <w:rFonts w:cs="Times New Roman"/>
          <w:noProof/>
          <w:lang w:val="en-IE"/>
        </w:rPr>
        <w:t xml:space="preserve">BECCS tends to come </w:t>
      </w:r>
      <w:r w:rsidR="008E247F">
        <w:rPr>
          <w:rFonts w:cs="Times New Roman"/>
          <w:noProof/>
          <w:lang w:val="en-IE"/>
        </w:rPr>
        <w:t>first,</w:t>
      </w:r>
      <w:r w:rsidR="00094A95">
        <w:rPr>
          <w:rFonts w:cs="Times New Roman"/>
          <w:noProof/>
          <w:lang w:val="en-IE"/>
        </w:rPr>
        <w:t xml:space="preserve"> and considerations of </w:t>
      </w:r>
      <w:r w:rsidR="004E0ACC">
        <w:rPr>
          <w:rFonts w:cs="Times New Roman"/>
          <w:noProof/>
          <w:lang w:val="en-IE"/>
        </w:rPr>
        <w:t xml:space="preserve">sustainable </w:t>
      </w:r>
      <w:r w:rsidR="00094A95">
        <w:rPr>
          <w:rFonts w:cs="Times New Roman"/>
          <w:noProof/>
          <w:lang w:val="en-IE"/>
        </w:rPr>
        <w:t>biomass availability limit</w:t>
      </w:r>
      <w:r w:rsidR="006832B1">
        <w:rPr>
          <w:rFonts w:cs="Times New Roman"/>
          <w:noProof/>
          <w:lang w:val="en-IE"/>
        </w:rPr>
        <w:t>s</w:t>
      </w:r>
      <w:r w:rsidR="00094A95">
        <w:rPr>
          <w:rFonts w:cs="Times New Roman"/>
          <w:noProof/>
          <w:lang w:val="en-IE"/>
        </w:rPr>
        <w:t xml:space="preserve"> its expansion. The remaining needs for removals are fulfilled by DACCS, which appears as complementary to BECCS</w:t>
      </w:r>
      <w:r w:rsidR="00DB65E6">
        <w:rPr>
          <w:rFonts w:cs="Times New Roman"/>
          <w:noProof/>
          <w:lang w:val="en-IE"/>
        </w:rPr>
        <w:t>.</w:t>
      </w:r>
      <w:r w:rsidR="00667A9F">
        <w:rPr>
          <w:rFonts w:cs="Times New Roman"/>
          <w:noProof/>
          <w:lang w:val="en-IE"/>
        </w:rPr>
        <w:t xml:space="preserve"> </w:t>
      </w:r>
      <w:r w:rsidR="00667A9F">
        <w:rPr>
          <w:noProof/>
          <w:lang w:val="en-IE"/>
        </w:rPr>
        <w:t>The POTEnCIA model (</w:t>
      </w:r>
      <w:r w:rsidR="00667A9F" w:rsidRPr="00421096">
        <w:rPr>
          <w:noProof/>
          <w:color w:val="2B579A"/>
          <w:highlight w:val="yellow"/>
          <w:shd w:val="clear" w:color="auto" w:fill="E6E6E6"/>
          <w:lang w:val="en-IE"/>
        </w:rPr>
        <w:fldChar w:fldCharType="begin"/>
      </w:r>
      <w:r w:rsidR="00667A9F" w:rsidRPr="00421096">
        <w:rPr>
          <w:noProof/>
          <w:highlight w:val="yellow"/>
          <w:lang w:val="en-IE"/>
        </w:rPr>
        <w:instrText xml:space="preserve"> REF _Ref139635371 \h </w:instrText>
      </w:r>
      <w:r w:rsidR="00667A9F" w:rsidRPr="00421096">
        <w:rPr>
          <w:noProof/>
          <w:color w:val="2B579A"/>
          <w:highlight w:val="yellow"/>
          <w:shd w:val="clear" w:color="auto" w:fill="E6E6E6"/>
          <w:lang w:val="en-IE"/>
        </w:rPr>
        <w:instrText xml:space="preserve"> \* MERGEFORMAT </w:instrText>
      </w:r>
      <w:r w:rsidR="00667A9F" w:rsidRPr="00421096">
        <w:rPr>
          <w:noProof/>
          <w:color w:val="2B579A"/>
          <w:highlight w:val="yellow"/>
          <w:shd w:val="clear" w:color="auto" w:fill="E6E6E6"/>
          <w:lang w:val="en-IE"/>
        </w:rPr>
      </w:r>
      <w:r w:rsidR="00667A9F" w:rsidRPr="00421096">
        <w:rPr>
          <w:noProof/>
          <w:color w:val="2B579A"/>
          <w:highlight w:val="yellow"/>
          <w:shd w:val="clear" w:color="auto" w:fill="E6E6E6"/>
          <w:lang w:val="en-IE"/>
        </w:rPr>
        <w:fldChar w:fldCharType="separate"/>
      </w:r>
      <w:r w:rsidR="00170A3C">
        <w:rPr>
          <w:noProof/>
        </w:rPr>
        <w:t>Figure 3</w:t>
      </w:r>
      <w:r w:rsidR="00667A9F" w:rsidRPr="00421096">
        <w:rPr>
          <w:noProof/>
          <w:color w:val="2B579A"/>
          <w:highlight w:val="yellow"/>
          <w:shd w:val="clear" w:color="auto" w:fill="E6E6E6"/>
          <w:lang w:val="en-IE"/>
        </w:rPr>
        <w:fldChar w:fldCharType="end"/>
      </w:r>
      <w:r w:rsidR="00667A9F">
        <w:rPr>
          <w:noProof/>
          <w:lang w:val="en-IE"/>
        </w:rPr>
        <w:t xml:space="preserve">, right), where the cap </w:t>
      </w:r>
      <w:r w:rsidR="005C6532">
        <w:rPr>
          <w:noProof/>
          <w:lang w:val="en-IE"/>
        </w:rPr>
        <w:t xml:space="preserve">on </w:t>
      </w:r>
      <w:r w:rsidR="005C6532">
        <w:rPr>
          <w:noProof/>
        </w:rPr>
        <w:t>the amount of sustainable biomass supply for bioenergy</w:t>
      </w:r>
      <w:r w:rsidR="00667A9F">
        <w:rPr>
          <w:noProof/>
          <w:lang w:val="en-IE"/>
        </w:rPr>
        <w:t xml:space="preserve"> </w:t>
      </w:r>
      <w:r w:rsidR="005C6532">
        <w:rPr>
          <w:noProof/>
          <w:lang w:val="en-IE"/>
        </w:rPr>
        <w:t xml:space="preserve">is </w:t>
      </w:r>
      <w:r w:rsidR="00421096">
        <w:rPr>
          <w:noProof/>
          <w:lang w:val="en-IE"/>
        </w:rPr>
        <w:t>relaxed</w:t>
      </w:r>
      <w:r w:rsidR="00786E96">
        <w:rPr>
          <w:noProof/>
          <w:lang w:val="en-IE"/>
        </w:rPr>
        <w:t xml:space="preserve"> (see also </w:t>
      </w:r>
      <w:r w:rsidR="00786E96" w:rsidRPr="00124018">
        <w:rPr>
          <w:noProof/>
          <w:lang w:val="en-IE"/>
        </w:rPr>
        <w:t>Annex 6)</w:t>
      </w:r>
      <w:r w:rsidR="00421096">
        <w:rPr>
          <w:noProof/>
          <w:lang w:val="en-IE"/>
        </w:rPr>
        <w:t>,</w:t>
      </w:r>
      <w:r w:rsidR="005C6532">
        <w:rPr>
          <w:noProof/>
          <w:lang w:val="en-IE"/>
        </w:rPr>
        <w:t xml:space="preserve"> </w:t>
      </w:r>
      <w:r w:rsidR="00786E96">
        <w:rPr>
          <w:noProof/>
          <w:lang w:val="en-IE"/>
        </w:rPr>
        <w:t>illustrates</w:t>
      </w:r>
      <w:r w:rsidR="005C6532">
        <w:rPr>
          <w:noProof/>
          <w:lang w:val="en-IE"/>
        </w:rPr>
        <w:t xml:space="preserve"> a </w:t>
      </w:r>
      <w:r w:rsidR="00667A9F">
        <w:rPr>
          <w:noProof/>
          <w:lang w:val="en-IE"/>
        </w:rPr>
        <w:t>stronger deployment of BECCS</w:t>
      </w:r>
      <w:r w:rsidR="005C6532">
        <w:rPr>
          <w:noProof/>
          <w:lang w:val="en-IE"/>
        </w:rPr>
        <w:t xml:space="preserve">, </w:t>
      </w:r>
      <w:r w:rsidR="00667A9F">
        <w:rPr>
          <w:noProof/>
          <w:lang w:val="en-IE"/>
        </w:rPr>
        <w:t>reach</w:t>
      </w:r>
      <w:r w:rsidR="005C6532">
        <w:rPr>
          <w:noProof/>
          <w:lang w:val="en-IE"/>
        </w:rPr>
        <w:t>ing</w:t>
      </w:r>
      <w:r w:rsidR="00667A9F">
        <w:rPr>
          <w:noProof/>
          <w:lang w:val="en-IE"/>
        </w:rPr>
        <w:t xml:space="preserve"> up to around </w:t>
      </w:r>
      <w:r w:rsidR="00411AC6">
        <w:rPr>
          <w:noProof/>
          <w:lang w:val="en-IE"/>
        </w:rPr>
        <w:t>8</w:t>
      </w:r>
      <w:r w:rsidR="00667A9F" w:rsidRPr="00F20CCC">
        <w:rPr>
          <w:noProof/>
          <w:lang w:val="en-IE"/>
        </w:rPr>
        <w:t>0</w:t>
      </w:r>
      <w:r w:rsidR="00667A9F">
        <w:rPr>
          <w:noProof/>
          <w:lang w:val="en-IE"/>
        </w:rPr>
        <w:t xml:space="preserve"> MtCO2 in 2040 in S3, </w:t>
      </w:r>
      <w:r w:rsidR="00777304">
        <w:rPr>
          <w:noProof/>
          <w:lang w:val="en-IE"/>
        </w:rPr>
        <w:t xml:space="preserve">complemented by storage of biogenic carbon </w:t>
      </w:r>
      <w:r w:rsidR="00411AC6">
        <w:rPr>
          <w:noProof/>
          <w:lang w:val="en-IE"/>
        </w:rPr>
        <w:t xml:space="preserve">from biogas upgrade </w:t>
      </w:r>
      <w:r w:rsidR="00667A9F">
        <w:rPr>
          <w:noProof/>
          <w:lang w:val="en-IE"/>
        </w:rPr>
        <w:t xml:space="preserve">and very limited development of DACCS. </w:t>
      </w:r>
      <w:r w:rsidR="00667A9F" w:rsidRPr="00176CAB">
        <w:rPr>
          <w:noProof/>
          <w:lang w:val="en-IE"/>
        </w:rPr>
        <w:t xml:space="preserve">Higher recourse to BECCS leads to an increase of bioenergy demand, with a possible negative impact on the LULUCF </w:t>
      </w:r>
      <w:r w:rsidR="00667A9F">
        <w:rPr>
          <w:noProof/>
          <w:lang w:val="en-IE"/>
        </w:rPr>
        <w:t>net removals (</w:t>
      </w:r>
      <w:r w:rsidR="00667A9F" w:rsidRPr="00F20CCC">
        <w:rPr>
          <w:noProof/>
          <w:lang w:val="en-IE"/>
        </w:rPr>
        <w:t xml:space="preserve">see </w:t>
      </w:r>
      <w:r w:rsidR="005C6532" w:rsidRPr="00124018">
        <w:rPr>
          <w:noProof/>
          <w:lang w:val="en-IE"/>
        </w:rPr>
        <w:fldChar w:fldCharType="begin"/>
      </w:r>
      <w:r w:rsidR="005C6532" w:rsidRPr="00F20CCC">
        <w:rPr>
          <w:noProof/>
          <w:lang w:val="en-IE"/>
        </w:rPr>
        <w:instrText xml:space="preserve"> REF _Ref139020537 \r \h </w:instrText>
      </w:r>
      <w:r w:rsidR="00F20CCC">
        <w:rPr>
          <w:noProof/>
          <w:lang w:val="en-IE"/>
        </w:rPr>
        <w:instrText xml:space="preserve"> \* MERGEFORMAT </w:instrText>
      </w:r>
      <w:r w:rsidR="005C6532" w:rsidRPr="00124018">
        <w:rPr>
          <w:noProof/>
          <w:lang w:val="en-IE"/>
        </w:rPr>
      </w:r>
      <w:r w:rsidR="005C6532" w:rsidRPr="00124018">
        <w:rPr>
          <w:noProof/>
          <w:lang w:val="en-IE"/>
        </w:rPr>
        <w:fldChar w:fldCharType="separate"/>
      </w:r>
      <w:r w:rsidR="00170A3C">
        <w:rPr>
          <w:noProof/>
          <w:lang w:val="en-IE"/>
        </w:rPr>
        <w:t>1.8.2</w:t>
      </w:r>
      <w:r w:rsidR="005C6532" w:rsidRPr="00124018">
        <w:rPr>
          <w:noProof/>
          <w:lang w:val="en-IE"/>
        </w:rPr>
        <w:fldChar w:fldCharType="end"/>
      </w:r>
      <w:r w:rsidR="00C138C6">
        <w:rPr>
          <w:noProof/>
          <w:lang w:val="en-IE"/>
        </w:rPr>
        <w:t>)</w:t>
      </w:r>
      <w:r w:rsidR="00667A9F" w:rsidRPr="00F20CCC">
        <w:rPr>
          <w:noProof/>
          <w:lang w:val="en-IE"/>
        </w:rPr>
        <w:t>.</w:t>
      </w:r>
      <w:r w:rsidR="00667A9F">
        <w:rPr>
          <w:noProof/>
          <w:lang w:val="en-IE"/>
        </w:rPr>
        <w:t xml:space="preserve"> </w:t>
      </w:r>
    </w:p>
    <w:p w14:paraId="03C46A9D" w14:textId="48EC410B" w:rsidR="005B3C8C" w:rsidRDefault="00667A9F" w:rsidP="00F20CCC">
      <w:pPr>
        <w:pStyle w:val="Text3"/>
        <w:ind w:left="0" w:firstLine="0"/>
        <w:rPr>
          <w:noProof/>
          <w:lang w:val="en-IE"/>
        </w:rPr>
      </w:pPr>
      <w:r>
        <w:rPr>
          <w:noProof/>
          <w:lang w:val="en-IE"/>
        </w:rPr>
        <w:t>Both</w:t>
      </w:r>
      <w:r>
        <w:rPr>
          <w:rFonts w:cs="Times New Roman"/>
          <w:noProof/>
          <w:lang w:val="en-IE"/>
        </w:rPr>
        <w:t xml:space="preserve"> </w:t>
      </w:r>
      <w:r w:rsidR="00F029CE">
        <w:rPr>
          <w:rFonts w:cs="Times New Roman"/>
          <w:noProof/>
          <w:lang w:val="en-IE"/>
        </w:rPr>
        <w:t xml:space="preserve">pathways </w:t>
      </w:r>
      <w:r>
        <w:rPr>
          <w:rFonts w:cs="Times New Roman"/>
          <w:noProof/>
          <w:lang w:val="en-IE"/>
        </w:rPr>
        <w:t>model</w:t>
      </w:r>
      <w:r w:rsidR="00F029CE">
        <w:rPr>
          <w:rFonts w:cs="Times New Roman"/>
          <w:noProof/>
          <w:lang w:val="en-IE"/>
        </w:rPr>
        <w:t>led</w:t>
      </w:r>
      <w:r>
        <w:rPr>
          <w:rFonts w:cs="Times New Roman"/>
          <w:noProof/>
          <w:lang w:val="en-IE"/>
        </w:rPr>
        <w:t xml:space="preserve"> provide an</w:t>
      </w:r>
      <w:r>
        <w:rPr>
          <w:noProof/>
          <w:lang w:val="en-IE"/>
        </w:rPr>
        <w:t xml:space="preserve"> amount of total industrial removals </w:t>
      </w:r>
      <w:r w:rsidR="00B26E63">
        <w:rPr>
          <w:noProof/>
          <w:lang w:val="en-IE"/>
        </w:rPr>
        <w:t xml:space="preserve">in 2040 </w:t>
      </w:r>
      <w:r>
        <w:rPr>
          <w:noProof/>
          <w:lang w:val="en-IE"/>
        </w:rPr>
        <w:t xml:space="preserve">lower than the estimated maximum in the scenarios </w:t>
      </w:r>
      <w:r w:rsidRPr="003748AF">
        <w:rPr>
          <w:noProof/>
          <w:lang w:val="en-IE"/>
        </w:rPr>
        <w:t xml:space="preserve">considered by the </w:t>
      </w:r>
      <w:r>
        <w:rPr>
          <w:noProof/>
          <w:lang w:val="en-IE"/>
        </w:rPr>
        <w:t>ESABCC, corresponding to 214</w:t>
      </w:r>
      <w:r w:rsidR="00DF56BC">
        <w:rPr>
          <w:noProof/>
          <w:lang w:val="en-IE"/>
        </w:rPr>
        <w:t> </w:t>
      </w:r>
      <w:r>
        <w:rPr>
          <w:noProof/>
          <w:lang w:val="en-IE"/>
        </w:rPr>
        <w:t xml:space="preserve">MtCO2 </w:t>
      </w:r>
      <w:r w:rsidRPr="00020BF9">
        <w:rPr>
          <w:rFonts w:cs="Times New Roman"/>
          <w:noProof/>
          <w:lang w:val="en-IE"/>
        </w:rPr>
        <w:t>(</w:t>
      </w:r>
      <w:r>
        <w:rPr>
          <w:rStyle w:val="FootnoteReference"/>
          <w:noProof/>
          <w:lang w:val="en-IE"/>
        </w:rPr>
        <w:footnoteReference w:id="28"/>
      </w:r>
      <w:r>
        <w:rPr>
          <w:rFonts w:cs="Times New Roman"/>
          <w:noProof/>
          <w:lang w:val="en-IE"/>
        </w:rPr>
        <w:t xml:space="preserve">), and consistent with ranges </w:t>
      </w:r>
      <w:r w:rsidR="00B26E63">
        <w:rPr>
          <w:rFonts w:cs="Times New Roman"/>
          <w:noProof/>
          <w:lang w:val="en-IE"/>
        </w:rPr>
        <w:t xml:space="preserve">of 10-220 </w:t>
      </w:r>
      <w:r w:rsidR="00B26E63">
        <w:rPr>
          <w:noProof/>
          <w:lang w:val="en-IE"/>
        </w:rPr>
        <w:t xml:space="preserve">MtCO2 </w:t>
      </w:r>
      <w:r>
        <w:rPr>
          <w:rFonts w:cs="Times New Roman"/>
          <w:noProof/>
          <w:lang w:val="en-IE"/>
        </w:rPr>
        <w:t xml:space="preserve">that can be found in the literature </w:t>
      </w:r>
      <w:r w:rsidRPr="00E9401C">
        <w:rPr>
          <w:rFonts w:cs="Times New Roman"/>
          <w:noProof/>
          <w:lang w:val="en-IE"/>
        </w:rPr>
        <w:t>(</w:t>
      </w:r>
      <w:r>
        <w:rPr>
          <w:rStyle w:val="FootnoteReference"/>
          <w:noProof/>
          <w:lang w:val="en-IE"/>
        </w:rPr>
        <w:footnoteReference w:id="29"/>
      </w:r>
      <w:r>
        <w:rPr>
          <w:rFonts w:cs="Times New Roman"/>
          <w:noProof/>
          <w:lang w:val="en-IE"/>
        </w:rPr>
        <w:t>),</w:t>
      </w:r>
      <w:r w:rsidRPr="00937176">
        <w:rPr>
          <w:rFonts w:cs="Times New Roman"/>
          <w:noProof/>
          <w:lang w:val="en-IE"/>
        </w:rPr>
        <w:t> (</w:t>
      </w:r>
      <w:r>
        <w:rPr>
          <w:rStyle w:val="FootnoteReference"/>
          <w:rFonts w:cs="Times New Roman"/>
          <w:noProof/>
          <w:lang w:val="en-IE"/>
        </w:rPr>
        <w:footnoteReference w:id="30"/>
      </w:r>
      <w:r>
        <w:rPr>
          <w:rFonts w:cs="Times New Roman"/>
          <w:noProof/>
          <w:lang w:val="en-IE"/>
        </w:rPr>
        <w:t>),</w:t>
      </w:r>
      <w:r w:rsidRPr="00D1062E">
        <w:rPr>
          <w:rFonts w:cs="Times New Roman"/>
          <w:noProof/>
          <w:lang w:val="en-IE"/>
        </w:rPr>
        <w:t> (</w:t>
      </w:r>
      <w:r>
        <w:rPr>
          <w:rStyle w:val="FootnoteReference"/>
          <w:rFonts w:cs="Times New Roman"/>
          <w:noProof/>
          <w:lang w:val="en-IE"/>
        </w:rPr>
        <w:footnoteReference w:id="31"/>
      </w:r>
      <w:r>
        <w:rPr>
          <w:rFonts w:cs="Times New Roman"/>
          <w:noProof/>
          <w:lang w:val="en-IE"/>
        </w:rPr>
        <w:t>),</w:t>
      </w:r>
      <w:r w:rsidRPr="00AA3A8D">
        <w:rPr>
          <w:rFonts w:cs="Times New Roman"/>
          <w:noProof/>
          <w:lang w:val="en-IE"/>
        </w:rPr>
        <w:t> (</w:t>
      </w:r>
      <w:r>
        <w:rPr>
          <w:rStyle w:val="FootnoteReference"/>
          <w:rFonts w:cs="Times New Roman"/>
          <w:noProof/>
          <w:lang w:val="en-IE"/>
        </w:rPr>
        <w:footnoteReference w:id="32"/>
      </w:r>
      <w:r>
        <w:rPr>
          <w:rFonts w:cs="Times New Roman"/>
          <w:noProof/>
          <w:lang w:val="en-IE"/>
        </w:rPr>
        <w:t xml:space="preserve">). </w:t>
      </w:r>
    </w:p>
    <w:p w14:paraId="017ECCDF" w14:textId="21AD8D90" w:rsidR="00CC5AE0" w:rsidRDefault="00CC5AE0" w:rsidP="00B423A3">
      <w:pPr>
        <w:pStyle w:val="Caption"/>
        <w:rPr>
          <w:noProof/>
        </w:rPr>
      </w:pPr>
      <w:bookmarkStart w:id="45" w:name="_Ref139635371"/>
      <w:bookmarkStart w:id="46" w:name="_Toc157679751"/>
      <w:r>
        <w:rPr>
          <w:noProof/>
        </w:rPr>
        <w:t xml:space="preserve">Figure </w:t>
      </w:r>
      <w:r>
        <w:rPr>
          <w:noProof/>
        </w:rPr>
        <w:fldChar w:fldCharType="begin"/>
      </w:r>
      <w:r>
        <w:rPr>
          <w:noProof/>
        </w:rPr>
        <w:instrText>SEQ Figure \* ARABIC</w:instrText>
      </w:r>
      <w:r>
        <w:rPr>
          <w:noProof/>
        </w:rPr>
        <w:fldChar w:fldCharType="separate"/>
      </w:r>
      <w:r w:rsidR="00170A3C">
        <w:rPr>
          <w:noProof/>
        </w:rPr>
        <w:t>3</w:t>
      </w:r>
      <w:r>
        <w:rPr>
          <w:noProof/>
        </w:rPr>
        <w:fldChar w:fldCharType="end"/>
      </w:r>
      <w:bookmarkEnd w:id="45"/>
      <w:r w:rsidR="00B87812">
        <w:rPr>
          <w:noProof/>
        </w:rPr>
        <w:t xml:space="preserve">: </w:t>
      </w:r>
      <w:r w:rsidR="00B736C8">
        <w:rPr>
          <w:noProof/>
        </w:rPr>
        <w:t>I</w:t>
      </w:r>
      <w:r w:rsidR="00716FCB">
        <w:rPr>
          <w:noProof/>
        </w:rPr>
        <w:t>ndustrial</w:t>
      </w:r>
      <w:r w:rsidR="00B736C8">
        <w:rPr>
          <w:noProof/>
        </w:rPr>
        <w:t xml:space="preserve"> carbon</w:t>
      </w:r>
      <w:r w:rsidR="00716FCB">
        <w:rPr>
          <w:noProof/>
        </w:rPr>
        <w:t xml:space="preserve"> </w:t>
      </w:r>
      <w:r w:rsidR="00D33899">
        <w:rPr>
          <w:noProof/>
        </w:rPr>
        <w:t>removals</w:t>
      </w:r>
      <w:r w:rsidR="00716FCB">
        <w:rPr>
          <w:noProof/>
        </w:rPr>
        <w:t xml:space="preserve"> in PRIMES and POTEnCIA</w:t>
      </w:r>
      <w:r w:rsidR="004F5473">
        <w:rPr>
          <w:noProof/>
        </w:rPr>
        <w:t xml:space="preserve"> in</w:t>
      </w:r>
      <w:r w:rsidR="007C6781">
        <w:rPr>
          <w:noProof/>
        </w:rPr>
        <w:t xml:space="preserve"> 2040</w:t>
      </w:r>
      <w:bookmarkEnd w:id="46"/>
    </w:p>
    <w:p w14:paraId="79EEC28D" w14:textId="4413BC58" w:rsidR="00CC5AE0" w:rsidRPr="00D33899" w:rsidRDefault="009240BC" w:rsidP="00B423A3">
      <w:pPr>
        <w:keepNext/>
        <w:spacing w:after="0"/>
        <w:rPr>
          <w:noProof/>
        </w:rPr>
      </w:pPr>
      <w:r w:rsidRPr="009240BC">
        <w:rPr>
          <w:noProof/>
        </w:rPr>
        <w:t xml:space="preserve"> </w:t>
      </w:r>
      <w:r w:rsidR="00D33899" w:rsidRPr="00D33899">
        <w:rPr>
          <w:noProof/>
        </w:rPr>
        <w:t xml:space="preserve"> </w:t>
      </w:r>
      <w:r w:rsidR="00FD494E" w:rsidRPr="00FD494E">
        <w:rPr>
          <w:noProof/>
          <w:lang w:eastAsia="en-GB"/>
        </w:rPr>
        <w:drawing>
          <wp:inline distT="0" distB="0" distL="0" distR="0" wp14:anchorId="7026BFD0" wp14:editId="1983DFDE">
            <wp:extent cx="5397500" cy="24765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397500" cy="2476500"/>
                    </a:xfrm>
                    <a:prstGeom prst="rect">
                      <a:avLst/>
                    </a:prstGeom>
                    <a:noFill/>
                    <a:ln>
                      <a:noFill/>
                    </a:ln>
                  </pic:spPr>
                </pic:pic>
              </a:graphicData>
            </a:graphic>
          </wp:inline>
        </w:drawing>
      </w:r>
      <w:r w:rsidR="00D33899" w:rsidRPr="00D33899">
        <w:rPr>
          <w:noProof/>
        </w:rPr>
        <w:t xml:space="preserve"> </w:t>
      </w:r>
    </w:p>
    <w:p w14:paraId="2F0599C1" w14:textId="2E4C05B8" w:rsidR="00CC5AE0" w:rsidRPr="00FC60FF" w:rsidRDefault="00CC5AE0" w:rsidP="007B3443">
      <w:pPr>
        <w:pStyle w:val="CT-SOURCE"/>
        <w:rPr>
          <w:i w:val="0"/>
          <w:noProof/>
        </w:rPr>
      </w:pPr>
      <w:r w:rsidRPr="00FC60FF">
        <w:rPr>
          <w:noProof/>
        </w:rPr>
        <w:t>Source: PRIMES, POTE</w:t>
      </w:r>
      <w:r w:rsidR="00BC503B" w:rsidRPr="00FC60FF">
        <w:rPr>
          <w:noProof/>
        </w:rPr>
        <w:t>n</w:t>
      </w:r>
      <w:r w:rsidRPr="00FC60FF">
        <w:rPr>
          <w:noProof/>
        </w:rPr>
        <w:t>CIA</w:t>
      </w:r>
      <w:r w:rsidR="00467C4B" w:rsidRPr="00FC60FF">
        <w:rPr>
          <w:noProof/>
        </w:rPr>
        <w:t>.</w:t>
      </w:r>
    </w:p>
    <w:p w14:paraId="7522F3A4" w14:textId="77BEA2A9" w:rsidR="0024167F" w:rsidRPr="00763457" w:rsidRDefault="0024167F" w:rsidP="00F7719F">
      <w:pPr>
        <w:pStyle w:val="Heading4"/>
        <w:rPr>
          <w:noProof/>
        </w:rPr>
      </w:pPr>
      <w:bookmarkStart w:id="47" w:name="_Ref141912683"/>
      <w:r w:rsidRPr="00763457">
        <w:rPr>
          <w:noProof/>
        </w:rPr>
        <w:t>Balancing emissions and removals</w:t>
      </w:r>
      <w:bookmarkEnd w:id="47"/>
      <w:r w:rsidRPr="00763457">
        <w:rPr>
          <w:noProof/>
        </w:rPr>
        <w:t xml:space="preserve"> </w:t>
      </w:r>
    </w:p>
    <w:p w14:paraId="10032B3E" w14:textId="6457C634" w:rsidR="00AE1F11" w:rsidRDefault="00FF02B8" w:rsidP="00605D3F">
      <w:pPr>
        <w:pStyle w:val="Text3"/>
        <w:ind w:left="0" w:firstLine="0"/>
        <w:rPr>
          <w:noProof/>
        </w:rPr>
      </w:pPr>
      <w:r>
        <w:rPr>
          <w:noProof/>
        </w:rPr>
        <w:t xml:space="preserve">In </w:t>
      </w:r>
      <w:r w:rsidR="004906BB" w:rsidRPr="009369F7">
        <w:rPr>
          <w:noProof/>
          <w:color w:val="2B579A"/>
          <w:shd w:val="clear" w:color="auto" w:fill="E6E6E6"/>
        </w:rPr>
        <w:fldChar w:fldCharType="begin"/>
      </w:r>
      <w:r w:rsidR="004906BB" w:rsidRPr="00534E10">
        <w:rPr>
          <w:noProof/>
          <w:highlight w:val="yellow"/>
        </w:rPr>
        <w:instrText xml:space="preserve"> REF _Ref139616397 \h </w:instrText>
      </w:r>
      <w:r w:rsidR="000160EF">
        <w:rPr>
          <w:noProof/>
          <w:color w:val="2B579A"/>
          <w:highlight w:val="yellow"/>
          <w:shd w:val="clear" w:color="auto" w:fill="E6E6E6"/>
        </w:rPr>
        <w:instrText xml:space="preserve"> \* MERGEFORMAT </w:instrText>
      </w:r>
      <w:r w:rsidR="004906BB" w:rsidRPr="009369F7">
        <w:rPr>
          <w:noProof/>
          <w:color w:val="2B579A"/>
          <w:shd w:val="clear" w:color="auto" w:fill="E6E6E6"/>
        </w:rPr>
      </w:r>
      <w:r w:rsidR="004906BB" w:rsidRPr="009369F7">
        <w:rPr>
          <w:noProof/>
          <w:color w:val="2B579A"/>
          <w:shd w:val="clear" w:color="auto" w:fill="E6E6E6"/>
        </w:rPr>
        <w:fldChar w:fldCharType="separate"/>
      </w:r>
      <w:r w:rsidR="00170A3C">
        <w:rPr>
          <w:noProof/>
        </w:rPr>
        <w:t>Figure 4</w:t>
      </w:r>
      <w:r w:rsidR="004906BB" w:rsidRPr="009369F7">
        <w:rPr>
          <w:noProof/>
          <w:color w:val="2B579A"/>
          <w:shd w:val="clear" w:color="auto" w:fill="E6E6E6"/>
        </w:rPr>
        <w:fldChar w:fldCharType="end"/>
      </w:r>
      <w:r w:rsidR="005668C8" w:rsidRPr="009369F7">
        <w:rPr>
          <w:noProof/>
        </w:rPr>
        <w:t>,</w:t>
      </w:r>
      <w:r w:rsidR="00B03214">
        <w:rPr>
          <w:noProof/>
        </w:rPr>
        <w:t xml:space="preserve"> </w:t>
      </w:r>
      <w:r w:rsidR="00AE1F11">
        <w:rPr>
          <w:noProof/>
        </w:rPr>
        <w:t xml:space="preserve">gross GHG emissions </w:t>
      </w:r>
      <w:r>
        <w:rPr>
          <w:noProof/>
        </w:rPr>
        <w:t xml:space="preserve">(excluding all removals) </w:t>
      </w:r>
      <w:r w:rsidR="00AE1F11">
        <w:rPr>
          <w:noProof/>
        </w:rPr>
        <w:t xml:space="preserve">only </w:t>
      </w:r>
      <w:r>
        <w:rPr>
          <w:noProof/>
        </w:rPr>
        <w:t>reduce</w:t>
      </w:r>
      <w:r w:rsidR="00AE1F11">
        <w:rPr>
          <w:noProof/>
        </w:rPr>
        <w:t xml:space="preserve"> between </w:t>
      </w:r>
      <w:r w:rsidR="00AE1F11" w:rsidRPr="00C11634">
        <w:rPr>
          <w:noProof/>
        </w:rPr>
        <w:t>75</w:t>
      </w:r>
      <w:r w:rsidR="00AE1F11">
        <w:rPr>
          <w:noProof/>
        </w:rPr>
        <w:t xml:space="preserve">% and </w:t>
      </w:r>
      <w:r w:rsidR="00AE1F11" w:rsidRPr="00C11634">
        <w:rPr>
          <w:noProof/>
        </w:rPr>
        <w:t>85</w:t>
      </w:r>
      <w:r w:rsidR="00AE1F11">
        <w:rPr>
          <w:noProof/>
        </w:rPr>
        <w:t xml:space="preserve">% in 2040 and around </w:t>
      </w:r>
      <w:r w:rsidR="00AE1F11" w:rsidRPr="00C11634">
        <w:rPr>
          <w:noProof/>
        </w:rPr>
        <w:t>92%</w:t>
      </w:r>
      <w:r w:rsidR="00AE1F11">
        <w:rPr>
          <w:noProof/>
        </w:rPr>
        <w:t xml:space="preserve"> </w:t>
      </w:r>
      <w:r w:rsidR="00833D52">
        <w:rPr>
          <w:noProof/>
        </w:rPr>
        <w:t xml:space="preserve">in 2050 </w:t>
      </w:r>
      <w:r w:rsidR="00B03214">
        <w:rPr>
          <w:noProof/>
        </w:rPr>
        <w:t>(</w:t>
      </w:r>
      <w:r w:rsidR="00AE1F11">
        <w:rPr>
          <w:noProof/>
        </w:rPr>
        <w:t>vs 1990</w:t>
      </w:r>
      <w:r w:rsidR="00AE1F11" w:rsidRPr="00F64B53">
        <w:rPr>
          <w:rFonts w:cs="Times New Roman"/>
          <w:noProof/>
        </w:rPr>
        <w:t> (</w:t>
      </w:r>
      <w:r w:rsidR="00AE1F11">
        <w:rPr>
          <w:rStyle w:val="FootnoteReference"/>
          <w:noProof/>
        </w:rPr>
        <w:footnoteReference w:id="33"/>
      </w:r>
      <w:r w:rsidR="00AE1F11">
        <w:rPr>
          <w:rFonts w:cs="Times New Roman"/>
          <w:noProof/>
        </w:rPr>
        <w:t>)</w:t>
      </w:r>
      <w:r w:rsidR="00B03214">
        <w:rPr>
          <w:rFonts w:cs="Times New Roman"/>
          <w:noProof/>
        </w:rPr>
        <w:t>)</w:t>
      </w:r>
      <w:r w:rsidR="0083540B">
        <w:rPr>
          <w:noProof/>
        </w:rPr>
        <w:t xml:space="preserve">. </w:t>
      </w:r>
      <w:r>
        <w:rPr>
          <w:noProof/>
        </w:rPr>
        <w:t xml:space="preserve">In comparison, net GHG emissions (including </w:t>
      </w:r>
      <w:r w:rsidR="00EE22E4">
        <w:rPr>
          <w:noProof/>
        </w:rPr>
        <w:t xml:space="preserve">all </w:t>
      </w:r>
      <w:r>
        <w:rPr>
          <w:noProof/>
        </w:rPr>
        <w:t xml:space="preserve">removals) reduce more and achieve net-zero in 2050. </w:t>
      </w:r>
      <w:r w:rsidR="0083540B">
        <w:rPr>
          <w:noProof/>
        </w:rPr>
        <w:t xml:space="preserve">This </w:t>
      </w:r>
      <w:r w:rsidR="000160EF">
        <w:rPr>
          <w:noProof/>
        </w:rPr>
        <w:t>suggests</w:t>
      </w:r>
      <w:r w:rsidR="0083540B">
        <w:rPr>
          <w:noProof/>
        </w:rPr>
        <w:t xml:space="preserve"> that </w:t>
      </w:r>
      <w:r w:rsidR="00AE1F11">
        <w:rPr>
          <w:noProof/>
        </w:rPr>
        <w:t xml:space="preserve">removals </w:t>
      </w:r>
      <w:r>
        <w:rPr>
          <w:noProof/>
        </w:rPr>
        <w:t xml:space="preserve">complete other mitigation options and are needed to achieve </w:t>
      </w:r>
      <w:r w:rsidR="00B03214">
        <w:rPr>
          <w:noProof/>
        </w:rPr>
        <w:t>climate neutrality</w:t>
      </w:r>
      <w:r w:rsidR="00AE1F11">
        <w:rPr>
          <w:noProof/>
        </w:rPr>
        <w:t xml:space="preserve">. In 2040, </w:t>
      </w:r>
      <w:r w:rsidR="00E2543E">
        <w:rPr>
          <w:noProof/>
        </w:rPr>
        <w:t xml:space="preserve">the </w:t>
      </w:r>
      <w:r w:rsidR="00B03214">
        <w:rPr>
          <w:noProof/>
        </w:rPr>
        <w:t xml:space="preserve">PRIMES </w:t>
      </w:r>
      <w:r w:rsidR="00E2543E">
        <w:rPr>
          <w:noProof/>
        </w:rPr>
        <w:t xml:space="preserve">modelling analysis </w:t>
      </w:r>
      <w:r w:rsidR="00CE4F76">
        <w:rPr>
          <w:noProof/>
        </w:rPr>
        <w:t xml:space="preserve">shows that </w:t>
      </w:r>
      <w:r w:rsidR="00AE1F11">
        <w:rPr>
          <w:noProof/>
        </w:rPr>
        <w:t>total</w:t>
      </w:r>
      <w:r w:rsidR="00A90FC4">
        <w:rPr>
          <w:noProof/>
        </w:rPr>
        <w:t xml:space="preserve"> (industrial and LULUCF net)</w:t>
      </w:r>
      <w:r w:rsidR="00AE1F11">
        <w:rPr>
          <w:noProof/>
        </w:rPr>
        <w:t xml:space="preserve"> removals range from around </w:t>
      </w:r>
      <w:r w:rsidR="00411AC6">
        <w:rPr>
          <w:noProof/>
        </w:rPr>
        <w:t>2</w:t>
      </w:r>
      <w:r w:rsidR="00CA3D5B">
        <w:rPr>
          <w:noProof/>
        </w:rPr>
        <w:t>20</w:t>
      </w:r>
      <w:r w:rsidR="00B03214">
        <w:rPr>
          <w:noProof/>
        </w:rPr>
        <w:t> </w:t>
      </w:r>
      <w:r w:rsidR="00AE1F11">
        <w:rPr>
          <w:noProof/>
        </w:rPr>
        <w:t>MtCO2-eq in S1 to aroun</w:t>
      </w:r>
      <w:r w:rsidR="001548EE">
        <w:rPr>
          <w:noProof/>
        </w:rPr>
        <w:t xml:space="preserve">d </w:t>
      </w:r>
      <w:r w:rsidR="00E2543E" w:rsidRPr="00DB2153">
        <w:rPr>
          <w:noProof/>
        </w:rPr>
        <w:t>3</w:t>
      </w:r>
      <w:r w:rsidR="00411AC6">
        <w:rPr>
          <w:noProof/>
        </w:rPr>
        <w:t>90</w:t>
      </w:r>
      <w:r w:rsidR="00B03214">
        <w:rPr>
          <w:noProof/>
        </w:rPr>
        <w:t> </w:t>
      </w:r>
      <w:r w:rsidR="00AE1F11">
        <w:rPr>
          <w:noProof/>
        </w:rPr>
        <w:t>MtCO2</w:t>
      </w:r>
      <w:r w:rsidR="00B03214">
        <w:rPr>
          <w:noProof/>
        </w:rPr>
        <w:noBreakHyphen/>
      </w:r>
      <w:r w:rsidR="00AE1F11">
        <w:rPr>
          <w:noProof/>
        </w:rPr>
        <w:t>eq in S3</w:t>
      </w:r>
      <w:r w:rsidR="001548EE">
        <w:rPr>
          <w:noProof/>
        </w:rPr>
        <w:t xml:space="preserve"> </w:t>
      </w:r>
      <w:r w:rsidR="001F27EA">
        <w:rPr>
          <w:noProof/>
        </w:rPr>
        <w:t>(</w:t>
      </w:r>
      <w:r w:rsidR="001548EE">
        <w:rPr>
          <w:noProof/>
        </w:rPr>
        <w:t xml:space="preserve">with </w:t>
      </w:r>
      <w:r w:rsidR="000C2DAE" w:rsidRPr="00DB2153">
        <w:rPr>
          <w:noProof/>
        </w:rPr>
        <w:t>upper</w:t>
      </w:r>
      <w:r w:rsidR="000C2DAE">
        <w:rPr>
          <w:noProof/>
        </w:rPr>
        <w:t xml:space="preserve"> level of LULUCF net removals</w:t>
      </w:r>
      <w:r w:rsidR="001F27EA">
        <w:rPr>
          <w:noProof/>
        </w:rPr>
        <w:t>)</w:t>
      </w:r>
      <w:r w:rsidR="00912EEC">
        <w:rPr>
          <w:noProof/>
        </w:rPr>
        <w:t xml:space="preserve">. </w:t>
      </w:r>
      <w:r w:rsidR="00C11634" w:rsidRPr="00DB2153">
        <w:rPr>
          <w:noProof/>
        </w:rPr>
        <w:t>Around</w:t>
      </w:r>
      <w:r w:rsidR="00E2543E" w:rsidRPr="00DB2153">
        <w:rPr>
          <w:noProof/>
        </w:rPr>
        <w:t xml:space="preserve"> </w:t>
      </w:r>
      <w:r w:rsidR="00317593" w:rsidRPr="00DB2153">
        <w:rPr>
          <w:noProof/>
        </w:rPr>
        <w:t>3</w:t>
      </w:r>
      <w:r w:rsidR="000B6293">
        <w:rPr>
          <w:noProof/>
        </w:rPr>
        <w:t>6</w:t>
      </w:r>
      <w:r w:rsidR="00E2543E" w:rsidRPr="00DB2153">
        <w:rPr>
          <w:noProof/>
        </w:rPr>
        <w:t>0</w:t>
      </w:r>
      <w:r w:rsidR="00B03214">
        <w:rPr>
          <w:noProof/>
        </w:rPr>
        <w:t> </w:t>
      </w:r>
      <w:r w:rsidR="00317593">
        <w:rPr>
          <w:noProof/>
        </w:rPr>
        <w:t>MtCO2</w:t>
      </w:r>
      <w:r w:rsidR="00B03214">
        <w:rPr>
          <w:noProof/>
        </w:rPr>
        <w:noBreakHyphen/>
      </w:r>
      <w:r w:rsidR="00317593">
        <w:rPr>
          <w:noProof/>
        </w:rPr>
        <w:t>eq</w:t>
      </w:r>
      <w:r w:rsidR="00AE1F11">
        <w:rPr>
          <w:noProof/>
        </w:rPr>
        <w:t xml:space="preserve"> </w:t>
      </w:r>
      <w:r w:rsidR="00317593">
        <w:rPr>
          <w:noProof/>
        </w:rPr>
        <w:t xml:space="preserve">are needed to achieve </w:t>
      </w:r>
      <w:r w:rsidR="00B03214">
        <w:rPr>
          <w:noProof/>
        </w:rPr>
        <w:t xml:space="preserve">net </w:t>
      </w:r>
      <w:r w:rsidR="00317593">
        <w:rPr>
          <w:noProof/>
        </w:rPr>
        <w:t xml:space="preserve">reductions of 90% and beyond </w:t>
      </w:r>
      <w:r w:rsidR="004E786F">
        <w:rPr>
          <w:noProof/>
        </w:rPr>
        <w:t xml:space="preserve">in 2040 </w:t>
      </w:r>
      <w:r w:rsidR="00317593">
        <w:rPr>
          <w:noProof/>
        </w:rPr>
        <w:t>(considering the lowest level of gross emissions projected in S3)</w:t>
      </w:r>
      <w:r w:rsidR="004E786F">
        <w:rPr>
          <w:noProof/>
        </w:rPr>
        <w:t xml:space="preserve">, </w:t>
      </w:r>
      <w:r w:rsidR="00DB2153" w:rsidRPr="00DB2153">
        <w:rPr>
          <w:noProof/>
        </w:rPr>
        <w:t>with this</w:t>
      </w:r>
      <w:r w:rsidR="00317593">
        <w:rPr>
          <w:noProof/>
        </w:rPr>
        <w:t xml:space="preserve"> value </w:t>
      </w:r>
      <w:r w:rsidR="00DB2153" w:rsidRPr="00DB2153">
        <w:rPr>
          <w:noProof/>
        </w:rPr>
        <w:t xml:space="preserve">increasing in the range of </w:t>
      </w:r>
      <w:r w:rsidR="00317593" w:rsidRPr="00DB2153">
        <w:rPr>
          <w:noProof/>
        </w:rPr>
        <w:t>4</w:t>
      </w:r>
      <w:r w:rsidR="000B6293">
        <w:rPr>
          <w:noProof/>
        </w:rPr>
        <w:t>3</w:t>
      </w:r>
      <w:r w:rsidR="00317593" w:rsidRPr="00DB2153">
        <w:rPr>
          <w:noProof/>
        </w:rPr>
        <w:t>0</w:t>
      </w:r>
      <w:r w:rsidR="00317593">
        <w:rPr>
          <w:noProof/>
        </w:rPr>
        <w:t>-</w:t>
      </w:r>
      <w:r w:rsidR="00317593" w:rsidRPr="00DB2153">
        <w:rPr>
          <w:noProof/>
        </w:rPr>
        <w:t>4</w:t>
      </w:r>
      <w:r w:rsidR="00CA3D5B">
        <w:rPr>
          <w:noProof/>
        </w:rPr>
        <w:t>60</w:t>
      </w:r>
      <w:r w:rsidR="00317593">
        <w:rPr>
          <w:noProof/>
        </w:rPr>
        <w:t xml:space="preserve"> </w:t>
      </w:r>
      <w:r w:rsidR="001B24A4">
        <w:rPr>
          <w:noProof/>
        </w:rPr>
        <w:t xml:space="preserve">MtCO2-eq </w:t>
      </w:r>
      <w:r w:rsidR="00D141E0">
        <w:rPr>
          <w:noProof/>
        </w:rPr>
        <w:t xml:space="preserve">in 2050 </w:t>
      </w:r>
      <w:r w:rsidR="00317593">
        <w:rPr>
          <w:noProof/>
        </w:rPr>
        <w:t xml:space="preserve">to attain </w:t>
      </w:r>
      <w:r w:rsidR="00790F40">
        <w:rPr>
          <w:noProof/>
        </w:rPr>
        <w:t>net-zero</w:t>
      </w:r>
      <w:r w:rsidR="00D141E0">
        <w:rPr>
          <w:noProof/>
        </w:rPr>
        <w:t xml:space="preserve">. </w:t>
      </w:r>
      <w:r w:rsidR="00317593">
        <w:rPr>
          <w:noProof/>
        </w:rPr>
        <w:t xml:space="preserve"> </w:t>
      </w:r>
    </w:p>
    <w:p w14:paraId="19D5DD2A" w14:textId="1E2EE0E7" w:rsidR="00754B0C" w:rsidRDefault="005668C8" w:rsidP="007B3443">
      <w:pPr>
        <w:pStyle w:val="Caption"/>
        <w:rPr>
          <w:noProof/>
        </w:rPr>
      </w:pPr>
      <w:bookmarkStart w:id="48" w:name="_Ref139617486"/>
      <w:bookmarkStart w:id="49" w:name="_Ref139616397"/>
      <w:bookmarkStart w:id="50" w:name="_Ref140484510"/>
      <w:bookmarkStart w:id="51" w:name="_Toc157679752"/>
      <w:r>
        <w:rPr>
          <w:noProof/>
        </w:rPr>
        <w:t xml:space="preserve">Figure </w:t>
      </w:r>
      <w:bookmarkEnd w:id="48"/>
      <w:r w:rsidR="00F2742D">
        <w:rPr>
          <w:noProof/>
        </w:rPr>
        <w:fldChar w:fldCharType="begin"/>
      </w:r>
      <w:r w:rsidR="00F2742D">
        <w:rPr>
          <w:noProof/>
        </w:rPr>
        <w:instrText xml:space="preserve"> SEQ Figure \* ARABIC </w:instrText>
      </w:r>
      <w:r w:rsidR="00F2742D">
        <w:rPr>
          <w:noProof/>
        </w:rPr>
        <w:fldChar w:fldCharType="separate"/>
      </w:r>
      <w:r w:rsidR="00170A3C">
        <w:rPr>
          <w:noProof/>
        </w:rPr>
        <w:t>4</w:t>
      </w:r>
      <w:r w:rsidR="00F2742D">
        <w:rPr>
          <w:noProof/>
        </w:rPr>
        <w:fldChar w:fldCharType="end"/>
      </w:r>
      <w:bookmarkEnd w:id="49"/>
      <w:r>
        <w:rPr>
          <w:noProof/>
        </w:rPr>
        <w:t>:</w:t>
      </w:r>
      <w:r w:rsidR="00E23106">
        <w:rPr>
          <w:noProof/>
        </w:rPr>
        <w:t xml:space="preserve"> Net and Gross</w:t>
      </w:r>
      <w:r>
        <w:rPr>
          <w:noProof/>
        </w:rPr>
        <w:t xml:space="preserve"> </w:t>
      </w:r>
      <w:r w:rsidRPr="007E3D91">
        <w:rPr>
          <w:noProof/>
        </w:rPr>
        <w:t>GHG Emissions</w:t>
      </w:r>
      <w:bookmarkEnd w:id="50"/>
      <w:r w:rsidRPr="007E3D91">
        <w:rPr>
          <w:noProof/>
        </w:rPr>
        <w:t xml:space="preserve"> </w:t>
      </w:r>
      <w:r w:rsidR="00541B2E">
        <w:rPr>
          <w:noProof/>
        </w:rPr>
        <w:t>and % reductions vs 1990</w:t>
      </w:r>
      <w:bookmarkEnd w:id="51"/>
    </w:p>
    <w:p w14:paraId="532A1E85" w14:textId="43615618" w:rsidR="005668C8" w:rsidRDefault="003E465A" w:rsidP="00465F10">
      <w:pPr>
        <w:pStyle w:val="Caption"/>
        <w:spacing w:after="0"/>
        <w:rPr>
          <w:noProof/>
        </w:rPr>
      </w:pPr>
      <w:r w:rsidRPr="003E465A">
        <w:rPr>
          <w:b w:val="0"/>
          <w:noProof/>
        </w:rPr>
        <w:t xml:space="preserve"> </w:t>
      </w:r>
      <w:r w:rsidRPr="003E465A">
        <w:rPr>
          <w:noProof/>
          <w:lang w:eastAsia="en-GB"/>
        </w:rPr>
        <w:drawing>
          <wp:inline distT="0" distB="0" distL="0" distR="0" wp14:anchorId="3D986B71" wp14:editId="71C6759C">
            <wp:extent cx="5381625" cy="2514600"/>
            <wp:effectExtent l="0" t="0" r="9525" b="0"/>
            <wp:docPr id="1406946433" name="Picture 1406946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381625" cy="2514600"/>
                    </a:xfrm>
                    <a:prstGeom prst="rect">
                      <a:avLst/>
                    </a:prstGeom>
                    <a:noFill/>
                    <a:ln>
                      <a:noFill/>
                    </a:ln>
                  </pic:spPr>
                </pic:pic>
              </a:graphicData>
            </a:graphic>
          </wp:inline>
        </w:drawing>
      </w:r>
      <w:r w:rsidR="005668C8" w:rsidRPr="007E3D91">
        <w:rPr>
          <w:noProof/>
        </w:rPr>
        <w:t xml:space="preserve"> </w:t>
      </w:r>
    </w:p>
    <w:p w14:paraId="1C92074C" w14:textId="16D636A2" w:rsidR="005668C8" w:rsidRPr="00BC503B" w:rsidRDefault="004C13B5" w:rsidP="00754B0C">
      <w:pPr>
        <w:pStyle w:val="CT-NOTE"/>
        <w:rPr>
          <w:noProof/>
        </w:rPr>
      </w:pPr>
      <w:r w:rsidRPr="004C13B5">
        <w:rPr>
          <w:noProof/>
        </w:rPr>
        <w:t xml:space="preserve"> </w:t>
      </w:r>
      <w:r w:rsidR="00CB012D" w:rsidRPr="00BC503B">
        <w:rPr>
          <w:noProof/>
        </w:rPr>
        <w:t xml:space="preserve">Note: “Net </w:t>
      </w:r>
      <w:r w:rsidR="005668C8" w:rsidRPr="00BC503B">
        <w:rPr>
          <w:noProof/>
        </w:rPr>
        <w:t>GHG</w:t>
      </w:r>
      <w:r w:rsidR="00CB012D" w:rsidRPr="00BC503B">
        <w:rPr>
          <w:noProof/>
        </w:rPr>
        <w:t>”</w:t>
      </w:r>
      <w:r w:rsidR="005668C8" w:rsidRPr="00BC503B">
        <w:rPr>
          <w:noProof/>
        </w:rPr>
        <w:t xml:space="preserve"> includes domestic emissions, international intra-EU aviation and maritime transport and 50% of extra-EU maritime transport (as per MRV).</w:t>
      </w:r>
      <w:r w:rsidR="00CB012D" w:rsidRPr="00BC503B">
        <w:rPr>
          <w:noProof/>
        </w:rPr>
        <w:t xml:space="preserve"> “Excl. LULUCF” </w:t>
      </w:r>
      <w:r w:rsidR="004045CE" w:rsidRPr="00BC503B">
        <w:rPr>
          <w:noProof/>
        </w:rPr>
        <w:t>subtracts</w:t>
      </w:r>
      <w:r w:rsidR="00876B61">
        <w:rPr>
          <w:noProof/>
        </w:rPr>
        <w:t xml:space="preserve"> </w:t>
      </w:r>
      <w:r w:rsidR="00BE34C3">
        <w:rPr>
          <w:noProof/>
        </w:rPr>
        <w:t xml:space="preserve">the LULUCF </w:t>
      </w:r>
      <w:r w:rsidR="000C2DAE">
        <w:rPr>
          <w:noProof/>
        </w:rPr>
        <w:t>net removals</w:t>
      </w:r>
      <w:r w:rsidR="00CB012D">
        <w:rPr>
          <w:noProof/>
        </w:rPr>
        <w:t xml:space="preserve"> </w:t>
      </w:r>
      <w:r w:rsidR="00CB012D" w:rsidRPr="00BC503B">
        <w:rPr>
          <w:noProof/>
        </w:rPr>
        <w:t>from net GHG. “Excl. all removals”</w:t>
      </w:r>
      <w:r w:rsidR="00876B61" w:rsidRPr="00BC503B">
        <w:rPr>
          <w:noProof/>
        </w:rPr>
        <w:t xml:space="preserve"> </w:t>
      </w:r>
      <w:r w:rsidR="008C0C2A" w:rsidRPr="00BC503B">
        <w:rPr>
          <w:noProof/>
        </w:rPr>
        <w:t>subtracts</w:t>
      </w:r>
      <w:r w:rsidR="00CB012D" w:rsidRPr="00BC503B">
        <w:rPr>
          <w:noProof/>
        </w:rPr>
        <w:t xml:space="preserve"> </w:t>
      </w:r>
      <w:r w:rsidR="00876B61">
        <w:rPr>
          <w:noProof/>
        </w:rPr>
        <w:t>industrial</w:t>
      </w:r>
      <w:r w:rsidR="00CB012D">
        <w:rPr>
          <w:noProof/>
        </w:rPr>
        <w:t xml:space="preserve"> removals </w:t>
      </w:r>
      <w:r w:rsidR="00876B61" w:rsidRPr="00BC503B">
        <w:rPr>
          <w:noProof/>
        </w:rPr>
        <w:t>and</w:t>
      </w:r>
      <w:r w:rsidR="00B712CB">
        <w:rPr>
          <w:noProof/>
        </w:rPr>
        <w:t xml:space="preserve"> </w:t>
      </w:r>
      <w:r w:rsidR="00C3520A">
        <w:rPr>
          <w:noProof/>
        </w:rPr>
        <w:t xml:space="preserve">LULUCF </w:t>
      </w:r>
      <w:r w:rsidR="000C2DAE">
        <w:rPr>
          <w:noProof/>
        </w:rPr>
        <w:t>net removals</w:t>
      </w:r>
      <w:r w:rsidR="00CB012D" w:rsidRPr="00BC503B">
        <w:rPr>
          <w:noProof/>
        </w:rPr>
        <w:t xml:space="preserve"> from net GHG</w:t>
      </w:r>
      <w:r w:rsidR="00876B61" w:rsidRPr="00BC503B">
        <w:rPr>
          <w:noProof/>
        </w:rPr>
        <w:t>, resulting in gross GHG</w:t>
      </w:r>
      <w:r w:rsidR="00E23106" w:rsidRPr="00BC503B">
        <w:rPr>
          <w:noProof/>
        </w:rPr>
        <w:t xml:space="preserve"> emissions.</w:t>
      </w:r>
    </w:p>
    <w:p w14:paraId="292EAE26" w14:textId="77777777" w:rsidR="005668C8" w:rsidRPr="00BC503B" w:rsidRDefault="005668C8" w:rsidP="007B3443">
      <w:pPr>
        <w:pStyle w:val="CT-SOURCE"/>
        <w:rPr>
          <w:noProof/>
        </w:rPr>
      </w:pPr>
      <w:r w:rsidRPr="00BC503B">
        <w:rPr>
          <w:noProof/>
        </w:rPr>
        <w:t>Source: PRIMES, GAINS.</w:t>
      </w:r>
    </w:p>
    <w:p w14:paraId="2DB215E5" w14:textId="388D6837" w:rsidR="00317593" w:rsidRDefault="00C2193F" w:rsidP="00317593">
      <w:pPr>
        <w:pStyle w:val="Text2"/>
        <w:rPr>
          <w:noProof/>
          <w:lang w:val="en-IE"/>
        </w:rPr>
      </w:pPr>
      <w:r w:rsidRPr="005576FE">
        <w:rPr>
          <w:noProof/>
          <w:color w:val="2B579A"/>
          <w:shd w:val="clear" w:color="auto" w:fill="E6E6E6"/>
          <w:lang w:val="en-IE"/>
        </w:rPr>
        <w:fldChar w:fldCharType="begin"/>
      </w:r>
      <w:r w:rsidRPr="00421096">
        <w:rPr>
          <w:noProof/>
          <w:highlight w:val="yellow"/>
          <w:lang w:val="en-IE"/>
        </w:rPr>
        <w:instrText xml:space="preserve"> REF _Ref141912296 \h </w:instrText>
      </w:r>
      <w:r w:rsidR="00421096">
        <w:rPr>
          <w:noProof/>
          <w:color w:val="2B579A"/>
          <w:highlight w:val="yellow"/>
          <w:shd w:val="clear" w:color="auto" w:fill="E6E6E6"/>
          <w:lang w:val="en-IE"/>
        </w:rPr>
        <w:instrText xml:space="preserve"> \* MERGEFORMAT </w:instrText>
      </w:r>
      <w:r w:rsidRPr="005576FE">
        <w:rPr>
          <w:noProof/>
          <w:color w:val="2B579A"/>
          <w:shd w:val="clear" w:color="auto" w:fill="E6E6E6"/>
          <w:lang w:val="en-IE"/>
        </w:rPr>
      </w:r>
      <w:r w:rsidRPr="005576FE">
        <w:rPr>
          <w:noProof/>
          <w:color w:val="2B579A"/>
          <w:shd w:val="clear" w:color="auto" w:fill="E6E6E6"/>
          <w:lang w:val="en-IE"/>
        </w:rPr>
        <w:fldChar w:fldCharType="separate"/>
      </w:r>
      <w:r w:rsidR="00170A3C" w:rsidRPr="00C2193F">
        <w:rPr>
          <w:noProof/>
          <w:lang w:val="en-IE"/>
        </w:rPr>
        <w:t xml:space="preserve">Table </w:t>
      </w:r>
      <w:r w:rsidR="00170A3C">
        <w:rPr>
          <w:noProof/>
          <w:lang w:val="en-IE"/>
        </w:rPr>
        <w:t>5</w:t>
      </w:r>
      <w:r w:rsidRPr="005576FE">
        <w:rPr>
          <w:noProof/>
          <w:color w:val="2B579A"/>
          <w:shd w:val="clear" w:color="auto" w:fill="E6E6E6"/>
          <w:lang w:val="en-IE"/>
        </w:rPr>
        <w:fldChar w:fldCharType="end"/>
      </w:r>
      <w:r w:rsidR="00317593">
        <w:rPr>
          <w:noProof/>
        </w:rPr>
        <w:t xml:space="preserve"> summarise</w:t>
      </w:r>
      <w:r w:rsidR="00EE22E4">
        <w:rPr>
          <w:noProof/>
        </w:rPr>
        <w:t>s</w:t>
      </w:r>
      <w:r w:rsidR="00317593">
        <w:rPr>
          <w:noProof/>
        </w:rPr>
        <w:t xml:space="preserve"> the </w:t>
      </w:r>
      <w:r w:rsidR="00D141E0">
        <w:rPr>
          <w:noProof/>
        </w:rPr>
        <w:t>model projections on</w:t>
      </w:r>
      <w:r w:rsidR="00317593">
        <w:rPr>
          <w:noProof/>
        </w:rPr>
        <w:t xml:space="preserve"> different type of removals and show </w:t>
      </w:r>
      <w:r w:rsidR="00C3520A">
        <w:rPr>
          <w:noProof/>
        </w:rPr>
        <w:t xml:space="preserve">that </w:t>
      </w:r>
      <w:r w:rsidR="00317593">
        <w:rPr>
          <w:noProof/>
        </w:rPr>
        <w:t xml:space="preserve">nature-based and industrial removals play different roles. While LULUCF </w:t>
      </w:r>
      <w:r w:rsidR="000C2DAE">
        <w:rPr>
          <w:noProof/>
        </w:rPr>
        <w:t>net removals</w:t>
      </w:r>
      <w:r w:rsidR="00317593">
        <w:rPr>
          <w:noProof/>
        </w:rPr>
        <w:t xml:space="preserve"> </w:t>
      </w:r>
      <w:r w:rsidR="00B72E28">
        <w:rPr>
          <w:noProof/>
        </w:rPr>
        <w:t xml:space="preserve">contribute </w:t>
      </w:r>
      <w:r w:rsidR="00317593">
        <w:rPr>
          <w:noProof/>
        </w:rPr>
        <w:t xml:space="preserve">significantly in 2030 and along until 2050, the role of industrial </w:t>
      </w:r>
      <w:r w:rsidR="00C3520A">
        <w:rPr>
          <w:noProof/>
        </w:rPr>
        <w:t>removals</w:t>
      </w:r>
      <w:r w:rsidR="00F61364">
        <w:rPr>
          <w:noProof/>
        </w:rPr>
        <w:t xml:space="preserve"> </w:t>
      </w:r>
      <w:r w:rsidR="00317593">
        <w:rPr>
          <w:noProof/>
        </w:rPr>
        <w:t xml:space="preserve">becomes </w:t>
      </w:r>
      <w:r w:rsidR="00B72E28">
        <w:rPr>
          <w:noProof/>
        </w:rPr>
        <w:t>more relevant</w:t>
      </w:r>
      <w:r w:rsidR="00317593">
        <w:rPr>
          <w:noProof/>
        </w:rPr>
        <w:t xml:space="preserve"> from 2040 in pathways with the lowest carbon budget (</w:t>
      </w:r>
      <w:r w:rsidR="00407F4C">
        <w:rPr>
          <w:noProof/>
        </w:rPr>
        <w:t>S3</w:t>
      </w:r>
      <w:r w:rsidR="00297DB0">
        <w:rPr>
          <w:noProof/>
        </w:rPr>
        <w:t>)</w:t>
      </w:r>
      <w:r w:rsidR="00317593">
        <w:rPr>
          <w:noProof/>
        </w:rPr>
        <w:t xml:space="preserve"> and by 2050 in all cases. </w:t>
      </w:r>
      <w:r w:rsidR="00C459D4">
        <w:rPr>
          <w:noProof/>
        </w:rPr>
        <w:t>LIFE</w:t>
      </w:r>
      <w:r w:rsidR="00C2450A">
        <w:rPr>
          <w:noProof/>
        </w:rPr>
        <w:t xml:space="preserve"> always show</w:t>
      </w:r>
      <w:r w:rsidR="00DB2153">
        <w:rPr>
          <w:noProof/>
        </w:rPr>
        <w:t>s</w:t>
      </w:r>
      <w:r w:rsidR="00C2450A">
        <w:rPr>
          <w:noProof/>
        </w:rPr>
        <w:t xml:space="preserve"> a relative higher contribution of</w:t>
      </w:r>
      <w:r w:rsidR="00B72E28">
        <w:rPr>
          <w:noProof/>
        </w:rPr>
        <w:t xml:space="preserve"> </w:t>
      </w:r>
      <w:r w:rsidR="00C2450A">
        <w:rPr>
          <w:noProof/>
        </w:rPr>
        <w:t xml:space="preserve">LULUCF </w:t>
      </w:r>
      <w:r w:rsidR="000C2DAE">
        <w:rPr>
          <w:noProof/>
        </w:rPr>
        <w:t>net removals</w:t>
      </w:r>
      <w:r w:rsidR="00C2450A">
        <w:rPr>
          <w:noProof/>
        </w:rPr>
        <w:t xml:space="preserve"> </w:t>
      </w:r>
      <w:r w:rsidR="000160EF">
        <w:rPr>
          <w:noProof/>
        </w:rPr>
        <w:t>compared to</w:t>
      </w:r>
      <w:r w:rsidR="00C2450A">
        <w:rPr>
          <w:noProof/>
        </w:rPr>
        <w:t xml:space="preserve"> industrial removals</w:t>
      </w:r>
      <w:r w:rsidR="001564A1">
        <w:rPr>
          <w:noProof/>
        </w:rPr>
        <w:t xml:space="preserve">, and a slightly more moderate recourse to overall removals in 2050. </w:t>
      </w:r>
      <w:r w:rsidR="00C2450A">
        <w:rPr>
          <w:noProof/>
        </w:rPr>
        <w:t xml:space="preserve"> </w:t>
      </w:r>
      <w:r w:rsidR="006907E3">
        <w:rPr>
          <w:noProof/>
        </w:rPr>
        <w:t>This means that a</w:t>
      </w:r>
      <w:r w:rsidR="00F61364" w:rsidRPr="006173B0">
        <w:rPr>
          <w:noProof/>
          <w:lang w:val="en-IE"/>
        </w:rPr>
        <w:t>ll</w:t>
      </w:r>
      <w:r w:rsidR="00317593" w:rsidRPr="006173B0">
        <w:rPr>
          <w:noProof/>
          <w:lang w:val="en-IE"/>
        </w:rPr>
        <w:t xml:space="preserve"> </w:t>
      </w:r>
      <w:r w:rsidR="00317593">
        <w:rPr>
          <w:noProof/>
          <w:lang w:val="en-IE"/>
        </w:rPr>
        <w:t>pathways</w:t>
      </w:r>
      <w:r w:rsidR="00317593" w:rsidRPr="006173B0">
        <w:rPr>
          <w:noProof/>
          <w:lang w:val="en-IE"/>
        </w:rPr>
        <w:t xml:space="preserve"> need a strong</w:t>
      </w:r>
      <w:r w:rsidR="00F22AD1">
        <w:rPr>
          <w:noProof/>
          <w:lang w:val="en-IE"/>
        </w:rPr>
        <w:t xml:space="preserve"> </w:t>
      </w:r>
      <w:r w:rsidR="00317593" w:rsidRPr="006173B0">
        <w:rPr>
          <w:noProof/>
          <w:lang w:val="en-IE"/>
        </w:rPr>
        <w:t xml:space="preserve">LULUCF </w:t>
      </w:r>
      <w:r w:rsidR="000C2DAE">
        <w:rPr>
          <w:noProof/>
          <w:lang w:val="en-IE"/>
        </w:rPr>
        <w:t>net removals</w:t>
      </w:r>
      <w:r w:rsidR="00317593">
        <w:rPr>
          <w:noProof/>
          <w:lang w:val="en-IE"/>
        </w:rPr>
        <w:t xml:space="preserve">, which </w:t>
      </w:r>
      <w:r w:rsidR="006907E3">
        <w:rPr>
          <w:noProof/>
          <w:lang w:val="en-IE"/>
        </w:rPr>
        <w:t>needs</w:t>
      </w:r>
      <w:r w:rsidR="00317593">
        <w:rPr>
          <w:noProof/>
          <w:lang w:val="en-IE"/>
        </w:rPr>
        <w:t xml:space="preserve"> to be complemented by</w:t>
      </w:r>
      <w:r w:rsidR="00317593" w:rsidRPr="006173B0">
        <w:rPr>
          <w:noProof/>
          <w:lang w:val="en-IE"/>
        </w:rPr>
        <w:t xml:space="preserve"> </w:t>
      </w:r>
      <w:r w:rsidR="00317593">
        <w:rPr>
          <w:noProof/>
          <w:lang w:val="en-IE"/>
        </w:rPr>
        <w:t>industrial</w:t>
      </w:r>
      <w:r w:rsidR="00317593" w:rsidRPr="006173B0">
        <w:rPr>
          <w:noProof/>
          <w:lang w:val="en-IE"/>
        </w:rPr>
        <w:t xml:space="preserve"> solutions</w:t>
      </w:r>
      <w:r w:rsidR="00317593">
        <w:rPr>
          <w:noProof/>
          <w:lang w:val="en-IE"/>
        </w:rPr>
        <w:t xml:space="preserve">. </w:t>
      </w:r>
    </w:p>
    <w:p w14:paraId="1C3A0D29" w14:textId="16ED3154" w:rsidR="00C2193F" w:rsidRPr="00C2193F" w:rsidRDefault="00C2193F" w:rsidP="00E732F2">
      <w:pPr>
        <w:pStyle w:val="Caption"/>
        <w:keepNext w:val="0"/>
        <w:rPr>
          <w:noProof/>
          <w:lang w:val="en-IE"/>
        </w:rPr>
      </w:pPr>
      <w:bookmarkStart w:id="52" w:name="_Ref141912296"/>
      <w:bookmarkStart w:id="53" w:name="_Toc157679888"/>
      <w:r w:rsidRPr="00C2193F">
        <w:rPr>
          <w:noProof/>
          <w:lang w:val="en-IE"/>
        </w:rPr>
        <w:t xml:space="preserve">Table </w:t>
      </w:r>
      <w:r>
        <w:rPr>
          <w:noProof/>
          <w:color w:val="2B579A"/>
          <w:shd w:val="clear" w:color="auto" w:fill="E6E6E6"/>
        </w:rPr>
        <w:fldChar w:fldCharType="begin"/>
      </w:r>
      <w:r w:rsidRPr="00C2193F">
        <w:rPr>
          <w:noProof/>
          <w:lang w:val="en-IE"/>
        </w:rPr>
        <w:instrText xml:space="preserve"> SEQ Table \* ARABIC </w:instrText>
      </w:r>
      <w:r>
        <w:rPr>
          <w:noProof/>
          <w:color w:val="2B579A"/>
          <w:shd w:val="clear" w:color="auto" w:fill="E6E6E6"/>
        </w:rPr>
        <w:fldChar w:fldCharType="separate"/>
      </w:r>
      <w:r w:rsidR="00170A3C">
        <w:rPr>
          <w:noProof/>
          <w:lang w:val="en-IE"/>
        </w:rPr>
        <w:t>5</w:t>
      </w:r>
      <w:r>
        <w:rPr>
          <w:noProof/>
          <w:color w:val="2B579A"/>
          <w:shd w:val="clear" w:color="auto" w:fill="E6E6E6"/>
        </w:rPr>
        <w:fldChar w:fldCharType="end"/>
      </w:r>
      <w:bookmarkEnd w:id="52"/>
      <w:r w:rsidRPr="00C2193F">
        <w:rPr>
          <w:noProof/>
          <w:lang w:val="en-IE"/>
        </w:rPr>
        <w:t>:</w:t>
      </w:r>
      <w:r w:rsidR="00140F86">
        <w:rPr>
          <w:noProof/>
          <w:lang w:val="en-IE"/>
        </w:rPr>
        <w:t xml:space="preserve"> </w:t>
      </w:r>
      <w:r w:rsidRPr="00C2193F">
        <w:rPr>
          <w:noProof/>
          <w:lang w:val="en-IE"/>
        </w:rPr>
        <w:t xml:space="preserve">LULUCF </w:t>
      </w:r>
      <w:r w:rsidR="000C2DAE">
        <w:rPr>
          <w:noProof/>
          <w:lang w:val="en-IE"/>
        </w:rPr>
        <w:t>net removals</w:t>
      </w:r>
      <w:r w:rsidRPr="00C2193F">
        <w:rPr>
          <w:noProof/>
          <w:lang w:val="en-IE"/>
        </w:rPr>
        <w:t xml:space="preserve"> an</w:t>
      </w:r>
      <w:r>
        <w:rPr>
          <w:noProof/>
          <w:lang w:val="en-IE"/>
        </w:rPr>
        <w:t xml:space="preserve">d industrial </w:t>
      </w:r>
      <w:r w:rsidR="00FC60FF">
        <w:rPr>
          <w:noProof/>
          <w:lang w:val="en-IE"/>
        </w:rPr>
        <w:t>c</w:t>
      </w:r>
      <w:r w:rsidRPr="00C2193F">
        <w:rPr>
          <w:noProof/>
          <w:lang w:val="en-IE"/>
        </w:rPr>
        <w:t xml:space="preserve">arbon </w:t>
      </w:r>
      <w:r>
        <w:rPr>
          <w:noProof/>
          <w:lang w:val="en-IE"/>
        </w:rPr>
        <w:t>removals</w:t>
      </w:r>
      <w:bookmarkEnd w:id="53"/>
    </w:p>
    <w:tbl>
      <w:tblPr>
        <w:tblStyle w:val="CV11"/>
        <w:tblW w:w="8897" w:type="dxa"/>
        <w:tblLayout w:type="fixed"/>
        <w:tblLook w:val="04A0" w:firstRow="1" w:lastRow="0" w:firstColumn="1" w:lastColumn="0" w:noHBand="0" w:noVBand="1"/>
      </w:tblPr>
      <w:tblGrid>
        <w:gridCol w:w="1526"/>
        <w:gridCol w:w="647"/>
        <w:gridCol w:w="834"/>
        <w:gridCol w:w="835"/>
        <w:gridCol w:w="835"/>
        <w:gridCol w:w="835"/>
        <w:gridCol w:w="834"/>
        <w:gridCol w:w="835"/>
        <w:gridCol w:w="835"/>
        <w:gridCol w:w="881"/>
      </w:tblGrid>
      <w:tr w:rsidR="005242F2" w:rsidRPr="00FC60FF" w14:paraId="2296AC19" w14:textId="77777777" w:rsidTr="00465F10">
        <w:trPr>
          <w:trHeight w:val="288"/>
        </w:trPr>
        <w:tc>
          <w:tcPr>
            <w:tcW w:w="1526" w:type="dxa"/>
            <w:vMerge w:val="restart"/>
            <w:noWrap/>
            <w:hideMark/>
          </w:tcPr>
          <w:p w14:paraId="6E4130BF" w14:textId="77777777" w:rsidR="005242F2" w:rsidRPr="00465F10" w:rsidRDefault="005242F2" w:rsidP="00E732F2">
            <w:pPr>
              <w:spacing w:after="0"/>
              <w:jc w:val="left"/>
              <w:rPr>
                <w:rFonts w:ascii="EC Square Sans Cond Pro" w:eastAsia="Times New Roman" w:hAnsi="EC Square Sans Cond Pro" w:cs="Calibri"/>
                <w:noProof/>
                <w:color w:val="000000"/>
                <w:sz w:val="18"/>
                <w:szCs w:val="18"/>
                <w:lang w:val="en-IE"/>
              </w:rPr>
            </w:pPr>
            <w:r w:rsidRPr="00465F10">
              <w:rPr>
                <w:rFonts w:ascii="Calibri" w:eastAsia="Times New Roman" w:hAnsi="Calibri" w:cs="Calibri"/>
                <w:noProof/>
                <w:color w:val="000000"/>
                <w:sz w:val="18"/>
                <w:szCs w:val="18"/>
                <w:lang w:val="en-IE"/>
              </w:rPr>
              <w:t> </w:t>
            </w:r>
          </w:p>
          <w:p w14:paraId="75C8941A" w14:textId="77777777" w:rsidR="005242F2" w:rsidRPr="00465F10" w:rsidRDefault="005242F2" w:rsidP="00E732F2">
            <w:pPr>
              <w:spacing w:after="0"/>
              <w:jc w:val="left"/>
              <w:rPr>
                <w:rFonts w:ascii="EC Square Sans Cond Pro" w:eastAsia="Times New Roman" w:hAnsi="EC Square Sans Cond Pro" w:cs="Calibri"/>
                <w:noProof/>
                <w:color w:val="000000"/>
                <w:sz w:val="18"/>
                <w:szCs w:val="18"/>
                <w:lang w:val="en-IE"/>
              </w:rPr>
            </w:pPr>
            <w:r w:rsidRPr="00465F10">
              <w:rPr>
                <w:rFonts w:ascii="Calibri" w:eastAsia="Times New Roman" w:hAnsi="Calibri" w:cs="Calibri"/>
                <w:noProof/>
                <w:sz w:val="18"/>
                <w:szCs w:val="18"/>
                <w:lang w:val="en-IE"/>
              </w:rPr>
              <w:t> </w:t>
            </w:r>
          </w:p>
        </w:tc>
        <w:tc>
          <w:tcPr>
            <w:tcW w:w="647" w:type="dxa"/>
            <w:vMerge w:val="restart"/>
            <w:noWrap/>
            <w:hideMark/>
          </w:tcPr>
          <w:p w14:paraId="6DD63953" w14:textId="23E1F5F3" w:rsidR="005242F2" w:rsidRPr="00465F10" w:rsidRDefault="005242F2" w:rsidP="005242F2">
            <w:pPr>
              <w:spacing w:after="0"/>
              <w:jc w:val="center"/>
              <w:rPr>
                <w:rFonts w:ascii="EC Square Sans Cond Pro" w:eastAsia="Times New Roman" w:hAnsi="EC Square Sans Cond Pro" w:cs="Calibri"/>
                <w:b/>
                <w:noProof/>
                <w:color w:val="000000"/>
                <w:sz w:val="18"/>
                <w:szCs w:val="18"/>
                <w:lang w:val="en-IE"/>
              </w:rPr>
            </w:pPr>
            <w:r w:rsidRPr="00465F10">
              <w:rPr>
                <w:rFonts w:ascii="EC Square Sans Cond Pro" w:eastAsia="Times New Roman" w:hAnsi="EC Square Sans Cond Pro" w:cs="Calibri"/>
                <w:b/>
                <w:noProof/>
                <w:color w:val="000000"/>
                <w:sz w:val="18"/>
                <w:szCs w:val="18"/>
                <w:lang w:val="en-IE"/>
              </w:rPr>
              <w:t>2030</w:t>
            </w:r>
          </w:p>
        </w:tc>
        <w:tc>
          <w:tcPr>
            <w:tcW w:w="3339" w:type="dxa"/>
            <w:gridSpan w:val="4"/>
            <w:noWrap/>
            <w:hideMark/>
          </w:tcPr>
          <w:p w14:paraId="4E6205CF" w14:textId="77777777" w:rsidR="005242F2" w:rsidRPr="00465F10" w:rsidRDefault="005242F2" w:rsidP="00E732F2">
            <w:pPr>
              <w:spacing w:after="0"/>
              <w:jc w:val="center"/>
              <w:rPr>
                <w:rFonts w:ascii="EC Square Sans Cond Pro" w:eastAsia="Times New Roman" w:hAnsi="EC Square Sans Cond Pro" w:cs="Calibri"/>
                <w:b/>
                <w:noProof/>
                <w:color w:val="000000"/>
                <w:sz w:val="18"/>
                <w:szCs w:val="18"/>
                <w:lang w:val="en-IE"/>
              </w:rPr>
            </w:pPr>
            <w:r w:rsidRPr="00465F10">
              <w:rPr>
                <w:rFonts w:ascii="EC Square Sans Cond Pro" w:eastAsia="Times New Roman" w:hAnsi="EC Square Sans Cond Pro" w:cs="Calibri"/>
                <w:b/>
                <w:noProof/>
                <w:color w:val="000000"/>
                <w:sz w:val="18"/>
                <w:szCs w:val="18"/>
                <w:lang w:val="en-IE"/>
              </w:rPr>
              <w:t>2040</w:t>
            </w:r>
          </w:p>
        </w:tc>
        <w:tc>
          <w:tcPr>
            <w:tcW w:w="3385" w:type="dxa"/>
            <w:gridSpan w:val="4"/>
            <w:hideMark/>
          </w:tcPr>
          <w:p w14:paraId="2185BC54" w14:textId="77777777" w:rsidR="005242F2" w:rsidRPr="00465F10" w:rsidRDefault="005242F2" w:rsidP="00E732F2">
            <w:pPr>
              <w:spacing w:after="0"/>
              <w:jc w:val="center"/>
              <w:rPr>
                <w:rFonts w:ascii="EC Square Sans Cond Pro" w:eastAsia="Times New Roman" w:hAnsi="EC Square Sans Cond Pro" w:cs="Calibri"/>
                <w:b/>
                <w:noProof/>
                <w:color w:val="000000"/>
                <w:sz w:val="18"/>
                <w:szCs w:val="18"/>
                <w:lang w:val="en-IE"/>
              </w:rPr>
            </w:pPr>
            <w:r w:rsidRPr="00465F10">
              <w:rPr>
                <w:rFonts w:ascii="EC Square Sans Cond Pro" w:eastAsia="Times New Roman" w:hAnsi="EC Square Sans Cond Pro" w:cs="Calibri"/>
                <w:b/>
                <w:noProof/>
                <w:color w:val="000000"/>
                <w:sz w:val="18"/>
                <w:szCs w:val="18"/>
                <w:lang w:val="en-IE"/>
              </w:rPr>
              <w:t>2050</w:t>
            </w:r>
          </w:p>
        </w:tc>
      </w:tr>
      <w:tr w:rsidR="005242F2" w:rsidRPr="00FC60FF" w14:paraId="338C2F26" w14:textId="77777777" w:rsidTr="00465F10">
        <w:trPr>
          <w:trHeight w:val="288"/>
        </w:trPr>
        <w:tc>
          <w:tcPr>
            <w:tcW w:w="1526" w:type="dxa"/>
            <w:vMerge/>
            <w:noWrap/>
            <w:hideMark/>
          </w:tcPr>
          <w:p w14:paraId="0954FCCC" w14:textId="3ADDE7C2" w:rsidR="005242F2" w:rsidRPr="00465F10" w:rsidRDefault="005242F2" w:rsidP="00E732F2">
            <w:pPr>
              <w:spacing w:after="0"/>
              <w:jc w:val="left"/>
              <w:rPr>
                <w:rFonts w:ascii="EC Square Sans Cond Pro" w:eastAsia="Times New Roman" w:hAnsi="EC Square Sans Cond Pro" w:cs="Calibri"/>
                <w:noProof/>
                <w:sz w:val="18"/>
                <w:szCs w:val="18"/>
                <w:lang w:val="en-IE"/>
              </w:rPr>
            </w:pPr>
          </w:p>
        </w:tc>
        <w:tc>
          <w:tcPr>
            <w:tcW w:w="647" w:type="dxa"/>
            <w:vMerge/>
            <w:noWrap/>
            <w:hideMark/>
          </w:tcPr>
          <w:p w14:paraId="7D970560" w14:textId="4A5231D5" w:rsidR="005242F2" w:rsidRPr="00465F10" w:rsidRDefault="005242F2" w:rsidP="00E732F2">
            <w:pPr>
              <w:spacing w:after="0"/>
              <w:jc w:val="center"/>
              <w:rPr>
                <w:rFonts w:ascii="EC Square Sans Cond Pro" w:eastAsia="Times New Roman" w:hAnsi="EC Square Sans Cond Pro" w:cs="Calibri"/>
                <w:b/>
                <w:noProof/>
                <w:sz w:val="18"/>
                <w:szCs w:val="18"/>
                <w:lang w:val="en-IE"/>
              </w:rPr>
            </w:pPr>
          </w:p>
        </w:tc>
        <w:tc>
          <w:tcPr>
            <w:tcW w:w="834" w:type="dxa"/>
            <w:noWrap/>
            <w:hideMark/>
          </w:tcPr>
          <w:p w14:paraId="25B622EC" w14:textId="77777777" w:rsidR="005242F2" w:rsidRPr="00465F10" w:rsidRDefault="005242F2" w:rsidP="00E732F2">
            <w:pPr>
              <w:spacing w:after="0"/>
              <w:jc w:val="center"/>
              <w:rPr>
                <w:rFonts w:ascii="EC Square Sans Cond Pro" w:eastAsia="Times New Roman" w:hAnsi="EC Square Sans Cond Pro" w:cs="Calibri"/>
                <w:b/>
                <w:noProof/>
                <w:sz w:val="18"/>
                <w:szCs w:val="18"/>
                <w:lang w:val="en-IE"/>
              </w:rPr>
            </w:pPr>
            <w:r w:rsidRPr="00465F10">
              <w:rPr>
                <w:rFonts w:ascii="EC Square Sans Cond Pro" w:eastAsia="Times New Roman" w:hAnsi="EC Square Sans Cond Pro" w:cs="Calibri"/>
                <w:b/>
                <w:noProof/>
                <w:sz w:val="18"/>
                <w:szCs w:val="18"/>
                <w:lang w:val="en-IE"/>
              </w:rPr>
              <w:t>S1</w:t>
            </w:r>
          </w:p>
        </w:tc>
        <w:tc>
          <w:tcPr>
            <w:tcW w:w="835" w:type="dxa"/>
            <w:noWrap/>
            <w:hideMark/>
          </w:tcPr>
          <w:p w14:paraId="576672B4" w14:textId="77777777" w:rsidR="005242F2" w:rsidRPr="00465F10" w:rsidRDefault="005242F2" w:rsidP="00E732F2">
            <w:pPr>
              <w:spacing w:after="0"/>
              <w:jc w:val="center"/>
              <w:rPr>
                <w:rFonts w:ascii="EC Square Sans Cond Pro" w:eastAsia="Times New Roman" w:hAnsi="EC Square Sans Cond Pro" w:cs="Calibri"/>
                <w:b/>
                <w:noProof/>
                <w:sz w:val="18"/>
                <w:szCs w:val="18"/>
                <w:lang w:val="en-IE"/>
              </w:rPr>
            </w:pPr>
            <w:r w:rsidRPr="00465F10">
              <w:rPr>
                <w:rFonts w:ascii="EC Square Sans Cond Pro" w:eastAsia="Times New Roman" w:hAnsi="EC Square Sans Cond Pro" w:cs="Calibri"/>
                <w:b/>
                <w:noProof/>
                <w:sz w:val="18"/>
                <w:szCs w:val="18"/>
                <w:lang w:val="en-IE"/>
              </w:rPr>
              <w:t>S2</w:t>
            </w:r>
          </w:p>
        </w:tc>
        <w:tc>
          <w:tcPr>
            <w:tcW w:w="835" w:type="dxa"/>
            <w:noWrap/>
            <w:hideMark/>
          </w:tcPr>
          <w:p w14:paraId="104B3B5C" w14:textId="77777777" w:rsidR="005242F2" w:rsidRPr="00465F10" w:rsidRDefault="005242F2" w:rsidP="00E732F2">
            <w:pPr>
              <w:spacing w:after="0"/>
              <w:jc w:val="center"/>
              <w:rPr>
                <w:rFonts w:ascii="EC Square Sans Cond Pro" w:eastAsia="Times New Roman" w:hAnsi="EC Square Sans Cond Pro" w:cs="Calibri"/>
                <w:b/>
                <w:noProof/>
                <w:sz w:val="18"/>
                <w:szCs w:val="18"/>
                <w:lang w:val="en-IE"/>
              </w:rPr>
            </w:pPr>
            <w:r w:rsidRPr="00465F10">
              <w:rPr>
                <w:rFonts w:ascii="EC Square Sans Cond Pro" w:eastAsia="Times New Roman" w:hAnsi="EC Square Sans Cond Pro" w:cs="Calibri"/>
                <w:b/>
                <w:noProof/>
                <w:sz w:val="18"/>
                <w:szCs w:val="18"/>
                <w:lang w:val="en-IE"/>
              </w:rPr>
              <w:t>S3</w:t>
            </w:r>
          </w:p>
        </w:tc>
        <w:tc>
          <w:tcPr>
            <w:tcW w:w="835" w:type="dxa"/>
            <w:noWrap/>
            <w:hideMark/>
          </w:tcPr>
          <w:p w14:paraId="3130F557" w14:textId="360F1BE8" w:rsidR="005242F2" w:rsidRPr="00465F10" w:rsidRDefault="00FC60FF" w:rsidP="00E732F2">
            <w:pPr>
              <w:spacing w:after="0"/>
              <w:jc w:val="center"/>
              <w:rPr>
                <w:rFonts w:ascii="EC Square Sans Cond Pro" w:eastAsia="Times New Roman" w:hAnsi="EC Square Sans Cond Pro" w:cs="Calibri"/>
                <w:b/>
                <w:noProof/>
                <w:sz w:val="18"/>
                <w:szCs w:val="18"/>
                <w:lang w:val="en-IE"/>
              </w:rPr>
            </w:pPr>
            <w:r w:rsidRPr="00CD1102">
              <w:rPr>
                <w:rFonts w:ascii="EC Square Sans Cond Pro" w:eastAsia="Times New Roman" w:hAnsi="EC Square Sans Cond Pro" w:cs="Calibri"/>
                <w:b/>
                <w:noProof/>
                <w:sz w:val="18"/>
                <w:szCs w:val="18"/>
                <w:lang w:val="en-IE"/>
              </w:rPr>
              <w:t>LIFE</w:t>
            </w:r>
          </w:p>
        </w:tc>
        <w:tc>
          <w:tcPr>
            <w:tcW w:w="834" w:type="dxa"/>
            <w:noWrap/>
            <w:hideMark/>
          </w:tcPr>
          <w:p w14:paraId="3E40D7EF" w14:textId="77777777" w:rsidR="005242F2" w:rsidRPr="00465F10" w:rsidRDefault="005242F2" w:rsidP="00E732F2">
            <w:pPr>
              <w:spacing w:after="0"/>
              <w:jc w:val="center"/>
              <w:rPr>
                <w:rFonts w:ascii="EC Square Sans Cond Pro" w:eastAsia="Times New Roman" w:hAnsi="EC Square Sans Cond Pro" w:cs="Calibri"/>
                <w:b/>
                <w:noProof/>
                <w:sz w:val="18"/>
                <w:szCs w:val="18"/>
                <w:lang w:val="en-IE"/>
              </w:rPr>
            </w:pPr>
            <w:r w:rsidRPr="00465F10">
              <w:rPr>
                <w:rFonts w:ascii="EC Square Sans Cond Pro" w:eastAsia="Times New Roman" w:hAnsi="EC Square Sans Cond Pro" w:cs="Calibri"/>
                <w:b/>
                <w:noProof/>
                <w:sz w:val="18"/>
                <w:szCs w:val="18"/>
                <w:lang w:val="en-IE"/>
              </w:rPr>
              <w:t>S1</w:t>
            </w:r>
          </w:p>
        </w:tc>
        <w:tc>
          <w:tcPr>
            <w:tcW w:w="835" w:type="dxa"/>
            <w:noWrap/>
            <w:hideMark/>
          </w:tcPr>
          <w:p w14:paraId="58A8B0AF" w14:textId="77777777" w:rsidR="005242F2" w:rsidRPr="00465F10" w:rsidRDefault="005242F2" w:rsidP="00E732F2">
            <w:pPr>
              <w:spacing w:after="0"/>
              <w:jc w:val="center"/>
              <w:rPr>
                <w:rFonts w:ascii="EC Square Sans Cond Pro" w:eastAsia="Times New Roman" w:hAnsi="EC Square Sans Cond Pro" w:cs="Calibri"/>
                <w:b/>
                <w:noProof/>
                <w:sz w:val="18"/>
                <w:szCs w:val="18"/>
                <w:lang w:val="en-IE"/>
              </w:rPr>
            </w:pPr>
            <w:r w:rsidRPr="00465F10">
              <w:rPr>
                <w:rFonts w:ascii="EC Square Sans Cond Pro" w:eastAsia="Times New Roman" w:hAnsi="EC Square Sans Cond Pro" w:cs="Calibri"/>
                <w:b/>
                <w:noProof/>
                <w:sz w:val="18"/>
                <w:szCs w:val="18"/>
                <w:lang w:val="en-IE"/>
              </w:rPr>
              <w:t>S2</w:t>
            </w:r>
          </w:p>
        </w:tc>
        <w:tc>
          <w:tcPr>
            <w:tcW w:w="835" w:type="dxa"/>
            <w:noWrap/>
            <w:hideMark/>
          </w:tcPr>
          <w:p w14:paraId="5A8F00A4" w14:textId="77777777" w:rsidR="005242F2" w:rsidRPr="00465F10" w:rsidRDefault="005242F2" w:rsidP="00E732F2">
            <w:pPr>
              <w:spacing w:after="0"/>
              <w:jc w:val="center"/>
              <w:rPr>
                <w:rFonts w:ascii="EC Square Sans Cond Pro" w:eastAsia="Times New Roman" w:hAnsi="EC Square Sans Cond Pro" w:cs="Calibri"/>
                <w:b/>
                <w:noProof/>
                <w:sz w:val="18"/>
                <w:szCs w:val="18"/>
                <w:lang w:val="en-IE"/>
              </w:rPr>
            </w:pPr>
            <w:r w:rsidRPr="00465F10">
              <w:rPr>
                <w:rFonts w:ascii="EC Square Sans Cond Pro" w:eastAsia="Times New Roman" w:hAnsi="EC Square Sans Cond Pro" w:cs="Calibri"/>
                <w:b/>
                <w:noProof/>
                <w:sz w:val="18"/>
                <w:szCs w:val="18"/>
                <w:lang w:val="en-IE"/>
              </w:rPr>
              <w:t>S3</w:t>
            </w:r>
          </w:p>
        </w:tc>
        <w:tc>
          <w:tcPr>
            <w:tcW w:w="881" w:type="dxa"/>
            <w:noWrap/>
            <w:hideMark/>
          </w:tcPr>
          <w:p w14:paraId="3B186FF7" w14:textId="47A07256" w:rsidR="005242F2" w:rsidRPr="00465F10" w:rsidRDefault="00FC60FF" w:rsidP="00E732F2">
            <w:pPr>
              <w:spacing w:after="0"/>
              <w:jc w:val="center"/>
              <w:rPr>
                <w:rFonts w:ascii="EC Square Sans Cond Pro" w:eastAsia="Times New Roman" w:hAnsi="EC Square Sans Cond Pro" w:cs="Calibri"/>
                <w:b/>
                <w:noProof/>
                <w:sz w:val="18"/>
                <w:szCs w:val="18"/>
                <w:lang w:val="en-IE"/>
              </w:rPr>
            </w:pPr>
            <w:r w:rsidRPr="00CD1102">
              <w:rPr>
                <w:rFonts w:ascii="EC Square Sans Cond Pro" w:eastAsia="Times New Roman" w:hAnsi="EC Square Sans Cond Pro" w:cs="Calibri"/>
                <w:b/>
                <w:noProof/>
                <w:sz w:val="18"/>
                <w:szCs w:val="18"/>
                <w:lang w:val="en-IE"/>
              </w:rPr>
              <w:t>LIFE</w:t>
            </w:r>
          </w:p>
        </w:tc>
      </w:tr>
      <w:tr w:rsidR="009F7D08" w:rsidRPr="00D65B74" w14:paraId="55E57011" w14:textId="77777777" w:rsidTr="00465F10">
        <w:trPr>
          <w:trHeight w:val="288"/>
        </w:trPr>
        <w:tc>
          <w:tcPr>
            <w:tcW w:w="1526" w:type="dxa"/>
            <w:noWrap/>
            <w:hideMark/>
          </w:tcPr>
          <w:p w14:paraId="23F9852C" w14:textId="6C498388" w:rsidR="009F7D08" w:rsidRPr="00465F10" w:rsidRDefault="009F7D08" w:rsidP="00E732F2">
            <w:pPr>
              <w:spacing w:after="0"/>
              <w:jc w:val="left"/>
              <w:rPr>
                <w:rFonts w:ascii="EC Square Sans Cond Pro" w:eastAsia="Times New Roman" w:hAnsi="EC Square Sans Cond Pro" w:cs="Calibri"/>
                <w:b/>
                <w:noProof/>
                <w:sz w:val="18"/>
                <w:szCs w:val="18"/>
                <w:lang w:val="en-IE"/>
              </w:rPr>
            </w:pPr>
            <w:r w:rsidRPr="00465F10">
              <w:rPr>
                <w:rFonts w:ascii="EC Square Sans Cond Pro" w:eastAsia="Times New Roman" w:hAnsi="EC Square Sans Cond Pro" w:cs="Calibri"/>
                <w:b/>
                <w:noProof/>
                <w:sz w:val="18"/>
                <w:szCs w:val="18"/>
                <w:lang w:val="en-IE"/>
              </w:rPr>
              <w:t>Total Removals</w:t>
            </w:r>
            <w:r w:rsidR="00E2543E" w:rsidRPr="00465F10">
              <w:rPr>
                <w:rFonts w:ascii="EC Square Sans Cond Pro" w:eastAsia="Times New Roman" w:hAnsi="EC Square Sans Cond Pro" w:cs="Calibri"/>
                <w:b/>
                <w:noProof/>
                <w:sz w:val="18"/>
                <w:szCs w:val="18"/>
                <w:lang w:val="en-IE"/>
              </w:rPr>
              <w:br/>
            </w:r>
            <w:r w:rsidR="00E2543E" w:rsidRPr="00465F10">
              <w:rPr>
                <w:rFonts w:ascii="EC Square Sans Cond Pro" w:eastAsia="Times New Roman" w:hAnsi="EC Square Sans Cond Pro" w:cs="Calibri"/>
                <w:b/>
                <w:noProof/>
                <w:color w:val="000000"/>
                <w:sz w:val="18"/>
                <w:szCs w:val="18"/>
                <w:lang w:val="en-IE"/>
              </w:rPr>
              <w:t>(MtCO2-eq)</w:t>
            </w:r>
          </w:p>
        </w:tc>
        <w:tc>
          <w:tcPr>
            <w:tcW w:w="647" w:type="dxa"/>
            <w:noWrap/>
            <w:hideMark/>
          </w:tcPr>
          <w:p w14:paraId="7F884A98" w14:textId="6F109860" w:rsidR="009F7D08" w:rsidRPr="00465F10" w:rsidRDefault="00885298" w:rsidP="00E732F2">
            <w:pPr>
              <w:spacing w:after="0"/>
              <w:jc w:val="center"/>
              <w:rPr>
                <w:rFonts w:ascii="EC Square Sans Cond Pro" w:hAnsi="EC Square Sans Cond Pro" w:cs="Calibri"/>
                <w:noProof/>
                <w:sz w:val="18"/>
                <w:szCs w:val="18"/>
              </w:rPr>
            </w:pPr>
            <w:r w:rsidRPr="00465F10">
              <w:rPr>
                <w:rFonts w:ascii="EC Square Sans Cond Pro" w:hAnsi="EC Square Sans Cond Pro"/>
                <w:noProof/>
                <w:sz w:val="18"/>
                <w:szCs w:val="18"/>
              </w:rPr>
              <w:t>-314</w:t>
            </w:r>
          </w:p>
        </w:tc>
        <w:tc>
          <w:tcPr>
            <w:tcW w:w="834" w:type="dxa"/>
            <w:noWrap/>
            <w:vAlign w:val="bottom"/>
            <w:hideMark/>
          </w:tcPr>
          <w:p w14:paraId="2AA2B7E2" w14:textId="7E64431D" w:rsidR="009F7D08" w:rsidRPr="00465F10" w:rsidRDefault="001564A1" w:rsidP="00E732F2">
            <w:pPr>
              <w:spacing w:after="0"/>
              <w:jc w:val="center"/>
              <w:rPr>
                <w:rFonts w:ascii="EC Square Sans Cond Pro" w:hAnsi="EC Square Sans Cond Pro" w:cs="Calibri"/>
                <w:noProof/>
                <w:sz w:val="18"/>
                <w:szCs w:val="18"/>
              </w:rPr>
            </w:pPr>
            <w:r w:rsidRPr="00465F10">
              <w:rPr>
                <w:rFonts w:ascii="EC Square Sans Cond Pro" w:hAnsi="EC Square Sans Cond Pro" w:cs="Calibri"/>
                <w:b/>
                <w:bCs/>
                <w:noProof/>
                <w:color w:val="000000"/>
                <w:sz w:val="18"/>
                <w:szCs w:val="18"/>
              </w:rPr>
              <w:t>-222 [</w:t>
            </w:r>
            <w:r w:rsidRPr="00465F10">
              <w:rPr>
                <w:rFonts w:ascii="EC Square Sans Cond Pro" w:hAnsi="EC Square Sans Cond Pro" w:cs="Calibri"/>
                <w:b/>
                <w:bCs/>
                <w:noProof/>
                <w:color w:val="000000"/>
                <w:sz w:val="18"/>
                <w:szCs w:val="18"/>
              </w:rPr>
              <w:noBreakHyphen/>
              <w:t xml:space="preserve">222 to </w:t>
            </w:r>
            <w:r w:rsidRPr="00465F10">
              <w:rPr>
                <w:rFonts w:ascii="EC Square Sans Cond Pro" w:hAnsi="EC Square Sans Cond Pro" w:cs="Calibri"/>
                <w:b/>
                <w:bCs/>
                <w:noProof/>
                <w:color w:val="000000"/>
                <w:sz w:val="18"/>
                <w:szCs w:val="18"/>
              </w:rPr>
              <w:noBreakHyphen/>
              <w:t>380]</w:t>
            </w:r>
          </w:p>
        </w:tc>
        <w:tc>
          <w:tcPr>
            <w:tcW w:w="835" w:type="dxa"/>
            <w:noWrap/>
            <w:vAlign w:val="bottom"/>
            <w:hideMark/>
          </w:tcPr>
          <w:p w14:paraId="3F752CF2" w14:textId="2723BD03" w:rsidR="009F7D08" w:rsidRPr="00465F10" w:rsidRDefault="001564A1" w:rsidP="00E732F2">
            <w:pPr>
              <w:spacing w:after="0"/>
              <w:jc w:val="center"/>
              <w:rPr>
                <w:rFonts w:ascii="EC Square Sans Cond Pro" w:hAnsi="EC Square Sans Cond Pro" w:cs="Calibri"/>
                <w:noProof/>
                <w:sz w:val="18"/>
                <w:szCs w:val="18"/>
              </w:rPr>
            </w:pPr>
            <w:r w:rsidRPr="00465F10">
              <w:rPr>
                <w:rFonts w:ascii="EC Square Sans Cond Pro" w:hAnsi="EC Square Sans Cond Pro" w:cs="Calibri"/>
                <w:b/>
                <w:bCs/>
                <w:noProof/>
                <w:color w:val="000000"/>
                <w:sz w:val="18"/>
                <w:szCs w:val="18"/>
              </w:rPr>
              <w:t>-365 [</w:t>
            </w:r>
            <w:r w:rsidRPr="00465F10">
              <w:rPr>
                <w:rFonts w:ascii="EC Square Sans Cond Pro" w:hAnsi="EC Square Sans Cond Pro" w:cs="Calibri"/>
                <w:b/>
                <w:bCs/>
                <w:noProof/>
                <w:color w:val="000000"/>
                <w:sz w:val="18"/>
                <w:szCs w:val="18"/>
              </w:rPr>
              <w:noBreakHyphen/>
              <w:t xml:space="preserve">262 to </w:t>
            </w:r>
            <w:r w:rsidRPr="00465F10">
              <w:rPr>
                <w:rFonts w:ascii="EC Square Sans Cond Pro" w:hAnsi="EC Square Sans Cond Pro" w:cs="Calibri"/>
                <w:b/>
                <w:bCs/>
                <w:noProof/>
                <w:color w:val="000000"/>
                <w:sz w:val="18"/>
                <w:szCs w:val="18"/>
              </w:rPr>
              <w:noBreakHyphen/>
              <w:t>423]</w:t>
            </w:r>
          </w:p>
        </w:tc>
        <w:tc>
          <w:tcPr>
            <w:tcW w:w="835" w:type="dxa"/>
            <w:noWrap/>
            <w:vAlign w:val="bottom"/>
            <w:hideMark/>
          </w:tcPr>
          <w:p w14:paraId="0D4A2392" w14:textId="4D9F54E6" w:rsidR="009F7D08" w:rsidRPr="00465F10" w:rsidRDefault="001564A1" w:rsidP="00E732F2">
            <w:pPr>
              <w:spacing w:after="0"/>
              <w:jc w:val="center"/>
              <w:rPr>
                <w:rFonts w:ascii="EC Square Sans Cond Pro" w:hAnsi="EC Square Sans Cond Pro" w:cs="Calibri"/>
                <w:noProof/>
                <w:sz w:val="18"/>
                <w:szCs w:val="18"/>
              </w:rPr>
            </w:pPr>
            <w:r w:rsidRPr="00465F10">
              <w:rPr>
                <w:rFonts w:ascii="EC Square Sans Cond Pro" w:hAnsi="EC Square Sans Cond Pro" w:cs="Calibri"/>
                <w:b/>
                <w:bCs/>
                <w:noProof/>
                <w:color w:val="000000"/>
                <w:sz w:val="18"/>
                <w:szCs w:val="18"/>
              </w:rPr>
              <w:t>-391 [</w:t>
            </w:r>
            <w:r w:rsidRPr="00465F10">
              <w:rPr>
                <w:rFonts w:ascii="EC Square Sans Cond Pro" w:hAnsi="EC Square Sans Cond Pro" w:cs="Calibri"/>
                <w:b/>
                <w:bCs/>
                <w:noProof/>
                <w:color w:val="000000"/>
                <w:sz w:val="18"/>
                <w:szCs w:val="18"/>
              </w:rPr>
              <w:noBreakHyphen/>
              <w:t xml:space="preserve">290 to </w:t>
            </w:r>
            <w:r w:rsidRPr="00465F10">
              <w:rPr>
                <w:rFonts w:ascii="EC Square Sans Cond Pro" w:hAnsi="EC Square Sans Cond Pro" w:cs="Calibri"/>
                <w:b/>
                <w:bCs/>
                <w:noProof/>
                <w:color w:val="000000"/>
                <w:sz w:val="18"/>
                <w:szCs w:val="18"/>
              </w:rPr>
              <w:noBreakHyphen/>
              <w:t>450]</w:t>
            </w:r>
          </w:p>
        </w:tc>
        <w:tc>
          <w:tcPr>
            <w:tcW w:w="835" w:type="dxa"/>
            <w:noWrap/>
            <w:vAlign w:val="bottom"/>
            <w:hideMark/>
          </w:tcPr>
          <w:p w14:paraId="704361D7" w14:textId="43DA3D49" w:rsidR="009F7D08" w:rsidRPr="00465F10" w:rsidRDefault="001564A1" w:rsidP="00E732F2">
            <w:pPr>
              <w:spacing w:after="0"/>
              <w:jc w:val="center"/>
              <w:rPr>
                <w:rFonts w:ascii="EC Square Sans Cond Pro" w:hAnsi="EC Square Sans Cond Pro" w:cs="Calibri"/>
                <w:noProof/>
                <w:sz w:val="18"/>
                <w:szCs w:val="18"/>
              </w:rPr>
            </w:pPr>
            <w:r w:rsidRPr="00465F10">
              <w:rPr>
                <w:rFonts w:ascii="EC Square Sans Cond Pro" w:hAnsi="EC Square Sans Cond Pro" w:cs="Calibri"/>
                <w:b/>
                <w:bCs/>
                <w:noProof/>
                <w:color w:val="000000"/>
                <w:sz w:val="18"/>
                <w:szCs w:val="18"/>
              </w:rPr>
              <w:t>-387 [</w:t>
            </w:r>
            <w:r w:rsidRPr="00465F10">
              <w:rPr>
                <w:rFonts w:ascii="EC Square Sans Cond Pro" w:hAnsi="EC Square Sans Cond Pro" w:cs="Calibri"/>
                <w:b/>
                <w:bCs/>
                <w:noProof/>
                <w:color w:val="000000"/>
                <w:sz w:val="18"/>
                <w:szCs w:val="18"/>
              </w:rPr>
              <w:noBreakHyphen/>
              <w:t>270 to</w:t>
            </w:r>
            <w:r w:rsidRPr="00465F10">
              <w:rPr>
                <w:rFonts w:ascii="EC Square Sans Cond Pro" w:hAnsi="EC Square Sans Cond Pro" w:cs="Calibri"/>
                <w:b/>
                <w:bCs/>
                <w:noProof/>
                <w:color w:val="000000"/>
                <w:sz w:val="18"/>
                <w:szCs w:val="18"/>
              </w:rPr>
              <w:noBreakHyphen/>
              <w:t>437]</w:t>
            </w:r>
          </w:p>
        </w:tc>
        <w:tc>
          <w:tcPr>
            <w:tcW w:w="834" w:type="dxa"/>
            <w:noWrap/>
            <w:vAlign w:val="bottom"/>
            <w:hideMark/>
          </w:tcPr>
          <w:p w14:paraId="640D7215" w14:textId="4DF9BAFC" w:rsidR="009F7D08" w:rsidRPr="00465F10" w:rsidRDefault="001564A1" w:rsidP="00E732F2">
            <w:pPr>
              <w:spacing w:after="0"/>
              <w:jc w:val="center"/>
              <w:rPr>
                <w:rFonts w:ascii="EC Square Sans Cond Pro" w:hAnsi="EC Square Sans Cond Pro" w:cs="Calibri"/>
                <w:noProof/>
                <w:sz w:val="18"/>
                <w:szCs w:val="18"/>
              </w:rPr>
            </w:pPr>
            <w:r w:rsidRPr="00465F10">
              <w:rPr>
                <w:rFonts w:ascii="EC Square Sans Cond Pro" w:hAnsi="EC Square Sans Cond Pro" w:cs="Calibri"/>
                <w:b/>
                <w:bCs/>
                <w:noProof/>
                <w:color w:val="000000"/>
                <w:sz w:val="18"/>
                <w:szCs w:val="18"/>
              </w:rPr>
              <w:t>-462 [</w:t>
            </w:r>
            <w:r w:rsidRPr="00465F10">
              <w:rPr>
                <w:rFonts w:ascii="EC Square Sans Cond Pro" w:hAnsi="EC Square Sans Cond Pro" w:cs="Calibri"/>
                <w:b/>
                <w:bCs/>
                <w:noProof/>
                <w:color w:val="000000"/>
                <w:sz w:val="18"/>
                <w:szCs w:val="18"/>
              </w:rPr>
              <w:noBreakHyphen/>
              <w:t xml:space="preserve">334 to </w:t>
            </w:r>
            <w:r w:rsidRPr="00465F10">
              <w:rPr>
                <w:rFonts w:ascii="EC Square Sans Cond Pro" w:hAnsi="EC Square Sans Cond Pro" w:cs="Calibri"/>
                <w:b/>
                <w:bCs/>
                <w:noProof/>
                <w:color w:val="000000"/>
                <w:sz w:val="18"/>
                <w:szCs w:val="18"/>
              </w:rPr>
              <w:noBreakHyphen/>
              <w:t>525]</w:t>
            </w:r>
          </w:p>
        </w:tc>
        <w:tc>
          <w:tcPr>
            <w:tcW w:w="835" w:type="dxa"/>
            <w:noWrap/>
            <w:vAlign w:val="bottom"/>
            <w:hideMark/>
          </w:tcPr>
          <w:p w14:paraId="72DE8EEE" w14:textId="52CE308D" w:rsidR="009F7D08" w:rsidRPr="00465F10" w:rsidRDefault="001564A1" w:rsidP="00E732F2">
            <w:pPr>
              <w:spacing w:after="0"/>
              <w:jc w:val="center"/>
              <w:rPr>
                <w:rFonts w:ascii="EC Square Sans Cond Pro" w:hAnsi="EC Square Sans Cond Pro" w:cs="Calibri"/>
                <w:noProof/>
                <w:sz w:val="18"/>
                <w:szCs w:val="18"/>
              </w:rPr>
            </w:pPr>
            <w:r w:rsidRPr="00465F10">
              <w:rPr>
                <w:rFonts w:ascii="EC Square Sans Cond Pro" w:hAnsi="EC Square Sans Cond Pro" w:cs="Calibri"/>
                <w:b/>
                <w:bCs/>
                <w:noProof/>
                <w:color w:val="000000"/>
                <w:sz w:val="18"/>
                <w:szCs w:val="18"/>
              </w:rPr>
              <w:t>-447 [</w:t>
            </w:r>
            <w:r w:rsidRPr="00465F10">
              <w:rPr>
                <w:rFonts w:ascii="EC Square Sans Cond Pro" w:hAnsi="EC Square Sans Cond Pro" w:cs="Calibri"/>
                <w:b/>
                <w:bCs/>
                <w:noProof/>
                <w:color w:val="000000"/>
                <w:sz w:val="18"/>
                <w:szCs w:val="18"/>
              </w:rPr>
              <w:noBreakHyphen/>
              <w:t xml:space="preserve">318 to </w:t>
            </w:r>
            <w:r w:rsidRPr="00465F10">
              <w:rPr>
                <w:rFonts w:ascii="EC Square Sans Cond Pro" w:hAnsi="EC Square Sans Cond Pro" w:cs="Calibri"/>
                <w:b/>
                <w:bCs/>
                <w:noProof/>
                <w:color w:val="000000"/>
                <w:sz w:val="18"/>
                <w:szCs w:val="18"/>
              </w:rPr>
              <w:noBreakHyphen/>
              <w:t>510]</w:t>
            </w:r>
          </w:p>
        </w:tc>
        <w:tc>
          <w:tcPr>
            <w:tcW w:w="835" w:type="dxa"/>
            <w:noWrap/>
            <w:vAlign w:val="bottom"/>
            <w:hideMark/>
          </w:tcPr>
          <w:p w14:paraId="5F1E319A" w14:textId="67140380" w:rsidR="009F7D08" w:rsidRPr="00465F10" w:rsidRDefault="001564A1" w:rsidP="00E732F2">
            <w:pPr>
              <w:spacing w:after="0"/>
              <w:jc w:val="center"/>
              <w:rPr>
                <w:rFonts w:ascii="EC Square Sans Cond Pro" w:hAnsi="EC Square Sans Cond Pro" w:cs="Calibri"/>
                <w:noProof/>
                <w:sz w:val="18"/>
                <w:szCs w:val="18"/>
              </w:rPr>
            </w:pPr>
            <w:r w:rsidRPr="00465F10">
              <w:rPr>
                <w:rFonts w:ascii="EC Square Sans Cond Pro" w:hAnsi="EC Square Sans Cond Pro" w:cs="Calibri"/>
                <w:b/>
                <w:bCs/>
                <w:noProof/>
                <w:color w:val="000000"/>
                <w:sz w:val="18"/>
                <w:szCs w:val="18"/>
              </w:rPr>
              <w:t>-447 [</w:t>
            </w:r>
            <w:r w:rsidRPr="00465F10">
              <w:rPr>
                <w:rFonts w:ascii="EC Square Sans Cond Pro" w:hAnsi="EC Square Sans Cond Pro" w:cs="Calibri"/>
                <w:b/>
                <w:bCs/>
                <w:noProof/>
                <w:color w:val="000000"/>
                <w:sz w:val="18"/>
                <w:szCs w:val="18"/>
              </w:rPr>
              <w:noBreakHyphen/>
              <w:t xml:space="preserve">319 to </w:t>
            </w:r>
            <w:r w:rsidRPr="00465F10">
              <w:rPr>
                <w:rFonts w:ascii="EC Square Sans Cond Pro" w:hAnsi="EC Square Sans Cond Pro" w:cs="Calibri"/>
                <w:b/>
                <w:bCs/>
                <w:noProof/>
                <w:color w:val="000000"/>
                <w:sz w:val="18"/>
                <w:szCs w:val="18"/>
              </w:rPr>
              <w:noBreakHyphen/>
              <w:t>509]</w:t>
            </w:r>
          </w:p>
        </w:tc>
        <w:tc>
          <w:tcPr>
            <w:tcW w:w="881" w:type="dxa"/>
            <w:noWrap/>
            <w:vAlign w:val="bottom"/>
            <w:hideMark/>
          </w:tcPr>
          <w:p w14:paraId="2461C593" w14:textId="305738F6" w:rsidR="009F7D08" w:rsidRPr="00465F10" w:rsidRDefault="001564A1" w:rsidP="00E732F2">
            <w:pPr>
              <w:spacing w:after="0"/>
              <w:jc w:val="center"/>
              <w:rPr>
                <w:rFonts w:ascii="EC Square Sans Cond Pro" w:hAnsi="EC Square Sans Cond Pro" w:cs="Calibri"/>
                <w:noProof/>
                <w:sz w:val="18"/>
                <w:szCs w:val="18"/>
              </w:rPr>
            </w:pPr>
            <w:r w:rsidRPr="00465F10">
              <w:rPr>
                <w:rFonts w:ascii="EC Square Sans Cond Pro" w:hAnsi="EC Square Sans Cond Pro" w:cs="Calibri"/>
                <w:b/>
                <w:bCs/>
                <w:noProof/>
                <w:color w:val="000000"/>
                <w:sz w:val="18"/>
                <w:szCs w:val="18"/>
              </w:rPr>
              <w:t>-428 [</w:t>
            </w:r>
            <w:r w:rsidRPr="00465F10">
              <w:rPr>
                <w:rFonts w:ascii="EC Square Sans Cond Pro" w:hAnsi="EC Square Sans Cond Pro" w:cs="Calibri"/>
                <w:b/>
                <w:bCs/>
                <w:noProof/>
                <w:color w:val="000000"/>
                <w:sz w:val="18"/>
                <w:szCs w:val="18"/>
              </w:rPr>
              <w:noBreakHyphen/>
              <w:t xml:space="preserve">274 to </w:t>
            </w:r>
            <w:r w:rsidRPr="00465F10">
              <w:rPr>
                <w:rFonts w:ascii="EC Square Sans Cond Pro" w:hAnsi="EC Square Sans Cond Pro" w:cs="Calibri"/>
                <w:b/>
                <w:bCs/>
                <w:noProof/>
                <w:color w:val="000000"/>
                <w:sz w:val="18"/>
                <w:szCs w:val="18"/>
              </w:rPr>
              <w:noBreakHyphen/>
              <w:t>476]</w:t>
            </w:r>
          </w:p>
        </w:tc>
      </w:tr>
      <w:tr w:rsidR="00D65B74" w:rsidRPr="00D65B74" w14:paraId="2D2D662B" w14:textId="77777777" w:rsidTr="00465F10">
        <w:trPr>
          <w:trHeight w:val="288"/>
        </w:trPr>
        <w:tc>
          <w:tcPr>
            <w:tcW w:w="1526" w:type="dxa"/>
            <w:noWrap/>
            <w:hideMark/>
          </w:tcPr>
          <w:p w14:paraId="5E0929F2" w14:textId="6643FE4C" w:rsidR="00D65B74" w:rsidRPr="00465F10" w:rsidRDefault="00D65B74" w:rsidP="00E732F2">
            <w:pPr>
              <w:spacing w:after="0"/>
              <w:jc w:val="left"/>
              <w:rPr>
                <w:rFonts w:ascii="EC Square Sans Cond Pro" w:eastAsia="Times New Roman" w:hAnsi="EC Square Sans Cond Pro" w:cs="Calibri"/>
                <w:noProof/>
                <w:sz w:val="18"/>
                <w:szCs w:val="18"/>
                <w:lang w:val="de-AT"/>
              </w:rPr>
            </w:pPr>
            <w:r w:rsidRPr="00465F10">
              <w:rPr>
                <w:rFonts w:ascii="EC Square Sans Cond Pro" w:eastAsia="Times New Roman" w:hAnsi="EC Square Sans Cond Pro" w:cs="Calibri"/>
                <w:noProof/>
                <w:sz w:val="18"/>
                <w:szCs w:val="18"/>
                <w:lang w:val="de-AT"/>
              </w:rPr>
              <w:t>Net LULUCF sink</w:t>
            </w:r>
            <w:r w:rsidR="00E2543E" w:rsidRPr="00465F10">
              <w:rPr>
                <w:rFonts w:ascii="EC Square Sans Cond Pro" w:eastAsia="Times New Roman" w:hAnsi="EC Square Sans Cond Pro" w:cs="Calibri"/>
                <w:noProof/>
                <w:sz w:val="18"/>
                <w:szCs w:val="18"/>
                <w:lang w:val="de-AT"/>
              </w:rPr>
              <w:t xml:space="preserve"> (</w:t>
            </w:r>
            <w:r w:rsidR="00E2543E" w:rsidRPr="00465F10">
              <w:rPr>
                <w:rFonts w:ascii="EC Square Sans Cond Pro" w:eastAsia="Times New Roman" w:hAnsi="EC Square Sans Cond Pro" w:cs="Calibri"/>
                <w:noProof/>
                <w:color w:val="000000"/>
                <w:sz w:val="18"/>
                <w:szCs w:val="18"/>
                <w:lang w:val="de-AT"/>
              </w:rPr>
              <w:t>MtCO2-eq)</w:t>
            </w:r>
          </w:p>
        </w:tc>
        <w:tc>
          <w:tcPr>
            <w:tcW w:w="647" w:type="dxa"/>
            <w:noWrap/>
            <w:hideMark/>
          </w:tcPr>
          <w:p w14:paraId="765DD0EE" w14:textId="66F9AB81" w:rsidR="00D65B74" w:rsidRPr="00465F10" w:rsidRDefault="00885298" w:rsidP="00E732F2">
            <w:pPr>
              <w:spacing w:after="0"/>
              <w:jc w:val="center"/>
              <w:rPr>
                <w:rFonts w:ascii="EC Square Sans Cond Pro" w:hAnsi="EC Square Sans Cond Pro" w:cs="Calibri"/>
                <w:noProof/>
                <w:sz w:val="18"/>
                <w:szCs w:val="18"/>
              </w:rPr>
            </w:pPr>
            <w:r w:rsidRPr="00465F10">
              <w:rPr>
                <w:rFonts w:ascii="EC Square Sans Cond Pro" w:hAnsi="EC Square Sans Cond Pro"/>
                <w:noProof/>
                <w:sz w:val="18"/>
                <w:szCs w:val="18"/>
              </w:rPr>
              <w:t>-310</w:t>
            </w:r>
          </w:p>
        </w:tc>
        <w:tc>
          <w:tcPr>
            <w:tcW w:w="834" w:type="dxa"/>
            <w:noWrap/>
            <w:vAlign w:val="bottom"/>
            <w:hideMark/>
          </w:tcPr>
          <w:p w14:paraId="08251F9E" w14:textId="4CCA008E" w:rsidR="00D65B74" w:rsidRPr="00465F10" w:rsidRDefault="001564A1" w:rsidP="00E732F2">
            <w:pPr>
              <w:spacing w:after="0"/>
              <w:jc w:val="center"/>
              <w:rPr>
                <w:rFonts w:ascii="EC Square Sans Cond Pro" w:hAnsi="EC Square Sans Cond Pro" w:cs="Calibri"/>
                <w:noProof/>
                <w:sz w:val="18"/>
                <w:szCs w:val="18"/>
              </w:rPr>
            </w:pPr>
            <w:r w:rsidRPr="00465F10">
              <w:rPr>
                <w:rFonts w:ascii="EC Square Sans Cond Pro" w:hAnsi="EC Square Sans Cond Pro" w:cs="Calibri"/>
                <w:noProof/>
                <w:color w:val="000000"/>
                <w:sz w:val="18"/>
                <w:szCs w:val="18"/>
              </w:rPr>
              <w:t>-218 [</w:t>
            </w:r>
            <w:r w:rsidRPr="00465F10">
              <w:rPr>
                <w:rFonts w:ascii="EC Square Sans Cond Pro" w:hAnsi="EC Square Sans Cond Pro" w:cs="Calibri"/>
                <w:noProof/>
                <w:color w:val="000000"/>
                <w:sz w:val="18"/>
                <w:szCs w:val="18"/>
              </w:rPr>
              <w:noBreakHyphen/>
              <w:t xml:space="preserve">218 to </w:t>
            </w:r>
            <w:r w:rsidRPr="00465F10">
              <w:rPr>
                <w:rFonts w:ascii="EC Square Sans Cond Pro" w:hAnsi="EC Square Sans Cond Pro" w:cs="Calibri"/>
                <w:noProof/>
                <w:color w:val="000000"/>
                <w:sz w:val="18"/>
                <w:szCs w:val="18"/>
              </w:rPr>
              <w:noBreakHyphen/>
              <w:t>376]</w:t>
            </w:r>
          </w:p>
        </w:tc>
        <w:tc>
          <w:tcPr>
            <w:tcW w:w="835" w:type="dxa"/>
            <w:noWrap/>
            <w:vAlign w:val="bottom"/>
            <w:hideMark/>
          </w:tcPr>
          <w:p w14:paraId="133AAC45" w14:textId="76C14848" w:rsidR="00D65B74" w:rsidRPr="00465F10" w:rsidRDefault="001564A1" w:rsidP="00E732F2">
            <w:pPr>
              <w:spacing w:after="0"/>
              <w:jc w:val="center"/>
              <w:rPr>
                <w:rFonts w:ascii="EC Square Sans Cond Pro" w:hAnsi="EC Square Sans Cond Pro" w:cs="Calibri"/>
                <w:noProof/>
                <w:sz w:val="18"/>
                <w:szCs w:val="18"/>
              </w:rPr>
            </w:pPr>
            <w:r w:rsidRPr="00465F10">
              <w:rPr>
                <w:rFonts w:ascii="EC Square Sans Cond Pro" w:hAnsi="EC Square Sans Cond Pro" w:cs="Calibri"/>
                <w:noProof/>
                <w:color w:val="000000"/>
                <w:sz w:val="18"/>
                <w:szCs w:val="18"/>
              </w:rPr>
              <w:t>-316 [</w:t>
            </w:r>
            <w:r w:rsidRPr="00465F10">
              <w:rPr>
                <w:rFonts w:ascii="EC Square Sans Cond Pro" w:hAnsi="EC Square Sans Cond Pro" w:cs="Calibri"/>
                <w:noProof/>
                <w:color w:val="000000"/>
                <w:sz w:val="18"/>
                <w:szCs w:val="18"/>
              </w:rPr>
              <w:noBreakHyphen/>
              <w:t xml:space="preserve">213 to </w:t>
            </w:r>
            <w:r w:rsidRPr="00465F10">
              <w:rPr>
                <w:rFonts w:ascii="EC Square Sans Cond Pro" w:hAnsi="EC Square Sans Cond Pro" w:cs="Calibri"/>
                <w:noProof/>
                <w:color w:val="000000"/>
                <w:sz w:val="18"/>
                <w:szCs w:val="18"/>
              </w:rPr>
              <w:noBreakHyphen/>
              <w:t>374]</w:t>
            </w:r>
          </w:p>
        </w:tc>
        <w:tc>
          <w:tcPr>
            <w:tcW w:w="835" w:type="dxa"/>
            <w:noWrap/>
            <w:vAlign w:val="bottom"/>
            <w:hideMark/>
          </w:tcPr>
          <w:p w14:paraId="4CEF8B90" w14:textId="282AB451" w:rsidR="00D65B74" w:rsidRPr="00465F10" w:rsidRDefault="001564A1" w:rsidP="00E732F2">
            <w:pPr>
              <w:spacing w:after="0"/>
              <w:jc w:val="center"/>
              <w:rPr>
                <w:rFonts w:ascii="EC Square Sans Cond Pro" w:hAnsi="EC Square Sans Cond Pro" w:cs="Calibri"/>
                <w:noProof/>
                <w:sz w:val="18"/>
                <w:szCs w:val="18"/>
              </w:rPr>
            </w:pPr>
            <w:r w:rsidRPr="00465F10">
              <w:rPr>
                <w:rFonts w:ascii="EC Square Sans Cond Pro" w:hAnsi="EC Square Sans Cond Pro" w:cs="Calibri"/>
                <w:noProof/>
                <w:color w:val="000000"/>
                <w:sz w:val="18"/>
                <w:szCs w:val="18"/>
              </w:rPr>
              <w:t>-317 [</w:t>
            </w:r>
            <w:r w:rsidRPr="00465F10">
              <w:rPr>
                <w:rFonts w:ascii="EC Square Sans Cond Pro" w:hAnsi="EC Square Sans Cond Pro" w:cs="Calibri"/>
                <w:noProof/>
                <w:color w:val="000000"/>
                <w:sz w:val="18"/>
                <w:szCs w:val="18"/>
              </w:rPr>
              <w:noBreakHyphen/>
              <w:t xml:space="preserve">215 to </w:t>
            </w:r>
            <w:r w:rsidRPr="00465F10">
              <w:rPr>
                <w:rFonts w:ascii="EC Square Sans Cond Pro" w:hAnsi="EC Square Sans Cond Pro" w:cs="Calibri"/>
                <w:noProof/>
                <w:color w:val="000000"/>
                <w:sz w:val="18"/>
                <w:szCs w:val="18"/>
              </w:rPr>
              <w:noBreakHyphen/>
              <w:t>376]</w:t>
            </w:r>
          </w:p>
        </w:tc>
        <w:tc>
          <w:tcPr>
            <w:tcW w:w="835" w:type="dxa"/>
            <w:noWrap/>
            <w:vAlign w:val="bottom"/>
            <w:hideMark/>
          </w:tcPr>
          <w:p w14:paraId="1CC9EB81" w14:textId="1F50EA18" w:rsidR="00D65B74" w:rsidRPr="00465F10" w:rsidRDefault="001564A1" w:rsidP="00E732F2">
            <w:pPr>
              <w:spacing w:after="0"/>
              <w:jc w:val="center"/>
              <w:rPr>
                <w:rFonts w:ascii="EC Square Sans Cond Pro" w:hAnsi="EC Square Sans Cond Pro" w:cs="Calibri"/>
                <w:noProof/>
                <w:sz w:val="18"/>
                <w:szCs w:val="18"/>
              </w:rPr>
            </w:pPr>
            <w:r w:rsidRPr="00465F10">
              <w:rPr>
                <w:rFonts w:ascii="EC Square Sans Cond Pro" w:hAnsi="EC Square Sans Cond Pro" w:cs="Calibri"/>
                <w:noProof/>
                <w:color w:val="000000"/>
                <w:sz w:val="18"/>
                <w:szCs w:val="18"/>
              </w:rPr>
              <w:t>-360 [</w:t>
            </w:r>
            <w:r w:rsidRPr="00465F10">
              <w:rPr>
                <w:rFonts w:ascii="EC Square Sans Cond Pro" w:hAnsi="EC Square Sans Cond Pro" w:cs="Calibri"/>
                <w:noProof/>
                <w:color w:val="000000"/>
                <w:sz w:val="18"/>
                <w:szCs w:val="18"/>
              </w:rPr>
              <w:noBreakHyphen/>
              <w:t xml:space="preserve">243 to </w:t>
            </w:r>
            <w:r w:rsidRPr="00465F10">
              <w:rPr>
                <w:rFonts w:ascii="EC Square Sans Cond Pro" w:hAnsi="EC Square Sans Cond Pro" w:cs="Calibri"/>
                <w:noProof/>
                <w:color w:val="000000"/>
                <w:sz w:val="18"/>
                <w:szCs w:val="18"/>
              </w:rPr>
              <w:noBreakHyphen/>
              <w:t>410]</w:t>
            </w:r>
          </w:p>
        </w:tc>
        <w:tc>
          <w:tcPr>
            <w:tcW w:w="834" w:type="dxa"/>
            <w:noWrap/>
            <w:vAlign w:val="bottom"/>
            <w:hideMark/>
          </w:tcPr>
          <w:p w14:paraId="095C85B0" w14:textId="79D40B9F" w:rsidR="00D65B74" w:rsidRPr="00465F10" w:rsidRDefault="001564A1" w:rsidP="00E732F2">
            <w:pPr>
              <w:spacing w:after="0"/>
              <w:jc w:val="center"/>
              <w:rPr>
                <w:rFonts w:ascii="EC Square Sans Cond Pro" w:hAnsi="EC Square Sans Cond Pro" w:cs="Calibri"/>
                <w:noProof/>
                <w:sz w:val="18"/>
                <w:szCs w:val="18"/>
              </w:rPr>
            </w:pPr>
            <w:r w:rsidRPr="00465F10">
              <w:rPr>
                <w:rFonts w:ascii="EC Square Sans Cond Pro" w:hAnsi="EC Square Sans Cond Pro" w:cs="Calibri"/>
                <w:noProof/>
                <w:color w:val="000000"/>
                <w:sz w:val="18"/>
                <w:szCs w:val="18"/>
              </w:rPr>
              <w:t>-341 [</w:t>
            </w:r>
            <w:r w:rsidRPr="00465F10">
              <w:rPr>
                <w:rFonts w:ascii="EC Square Sans Cond Pro" w:hAnsi="EC Square Sans Cond Pro" w:cs="Calibri"/>
                <w:noProof/>
                <w:color w:val="000000"/>
                <w:sz w:val="18"/>
                <w:szCs w:val="18"/>
              </w:rPr>
              <w:noBreakHyphen/>
              <w:t xml:space="preserve">213 to </w:t>
            </w:r>
            <w:r w:rsidRPr="00465F10">
              <w:rPr>
                <w:rFonts w:ascii="EC Square Sans Cond Pro" w:hAnsi="EC Square Sans Cond Pro" w:cs="Calibri"/>
                <w:noProof/>
                <w:color w:val="000000"/>
                <w:sz w:val="18"/>
                <w:szCs w:val="18"/>
              </w:rPr>
              <w:noBreakHyphen/>
              <w:t>403]</w:t>
            </w:r>
          </w:p>
        </w:tc>
        <w:tc>
          <w:tcPr>
            <w:tcW w:w="835" w:type="dxa"/>
            <w:noWrap/>
            <w:vAlign w:val="bottom"/>
            <w:hideMark/>
          </w:tcPr>
          <w:p w14:paraId="3D8171E7" w14:textId="0A0A07C5" w:rsidR="00D65B74" w:rsidRPr="00465F10" w:rsidRDefault="001564A1" w:rsidP="00E732F2">
            <w:pPr>
              <w:spacing w:after="0"/>
              <w:jc w:val="center"/>
              <w:rPr>
                <w:rFonts w:ascii="EC Square Sans Cond Pro" w:hAnsi="EC Square Sans Cond Pro" w:cs="Calibri"/>
                <w:noProof/>
                <w:sz w:val="18"/>
                <w:szCs w:val="18"/>
              </w:rPr>
            </w:pPr>
            <w:r w:rsidRPr="00465F10">
              <w:rPr>
                <w:rFonts w:ascii="EC Square Sans Cond Pro" w:hAnsi="EC Square Sans Cond Pro" w:cs="Calibri"/>
                <w:noProof/>
                <w:color w:val="000000"/>
                <w:sz w:val="18"/>
                <w:szCs w:val="18"/>
              </w:rPr>
              <w:t>-332 [</w:t>
            </w:r>
            <w:r w:rsidRPr="00465F10">
              <w:rPr>
                <w:rFonts w:ascii="EC Square Sans Cond Pro" w:hAnsi="EC Square Sans Cond Pro" w:cs="Calibri"/>
                <w:noProof/>
                <w:color w:val="000000"/>
                <w:sz w:val="18"/>
                <w:szCs w:val="18"/>
              </w:rPr>
              <w:noBreakHyphen/>
              <w:t>202 to -</w:t>
            </w:r>
            <w:r w:rsidRPr="00465F10">
              <w:rPr>
                <w:rFonts w:ascii="EC Square Sans Cond Pro" w:hAnsi="EC Square Sans Cond Pro" w:cs="Calibri"/>
                <w:noProof/>
                <w:color w:val="000000"/>
                <w:sz w:val="18"/>
                <w:szCs w:val="18"/>
              </w:rPr>
              <w:noBreakHyphen/>
              <w:t>394]</w:t>
            </w:r>
          </w:p>
        </w:tc>
        <w:tc>
          <w:tcPr>
            <w:tcW w:w="835" w:type="dxa"/>
            <w:noWrap/>
            <w:vAlign w:val="bottom"/>
            <w:hideMark/>
          </w:tcPr>
          <w:p w14:paraId="29FB70E7" w14:textId="2C3867F4" w:rsidR="00D65B74" w:rsidRPr="00465F10" w:rsidRDefault="001564A1" w:rsidP="00E732F2">
            <w:pPr>
              <w:spacing w:after="0"/>
              <w:jc w:val="center"/>
              <w:rPr>
                <w:rFonts w:ascii="EC Square Sans Cond Pro" w:hAnsi="EC Square Sans Cond Pro" w:cs="Calibri"/>
                <w:noProof/>
                <w:sz w:val="18"/>
                <w:szCs w:val="18"/>
              </w:rPr>
            </w:pPr>
            <w:r w:rsidRPr="00465F10">
              <w:rPr>
                <w:rFonts w:ascii="EC Square Sans Cond Pro" w:hAnsi="EC Square Sans Cond Pro" w:cs="Calibri"/>
                <w:noProof/>
                <w:color w:val="000000"/>
                <w:sz w:val="18"/>
                <w:szCs w:val="18"/>
              </w:rPr>
              <w:t>-333 [</w:t>
            </w:r>
            <w:r w:rsidRPr="00465F10">
              <w:rPr>
                <w:rFonts w:ascii="EC Square Sans Cond Pro" w:hAnsi="EC Square Sans Cond Pro" w:cs="Calibri"/>
                <w:noProof/>
                <w:color w:val="000000"/>
                <w:sz w:val="18"/>
                <w:szCs w:val="18"/>
              </w:rPr>
              <w:noBreakHyphen/>
              <w:t xml:space="preserve">206 to </w:t>
            </w:r>
            <w:r w:rsidRPr="00465F10">
              <w:rPr>
                <w:rFonts w:ascii="EC Square Sans Cond Pro" w:hAnsi="EC Square Sans Cond Pro" w:cs="Calibri"/>
                <w:noProof/>
                <w:color w:val="000000"/>
                <w:sz w:val="18"/>
                <w:szCs w:val="18"/>
              </w:rPr>
              <w:noBreakHyphen/>
              <w:t>396]</w:t>
            </w:r>
          </w:p>
        </w:tc>
        <w:tc>
          <w:tcPr>
            <w:tcW w:w="881" w:type="dxa"/>
            <w:noWrap/>
            <w:vAlign w:val="bottom"/>
            <w:hideMark/>
          </w:tcPr>
          <w:p w14:paraId="2E271A6C" w14:textId="103C8709" w:rsidR="00D65B74" w:rsidRPr="00465F10" w:rsidRDefault="001564A1" w:rsidP="00E732F2">
            <w:pPr>
              <w:spacing w:after="0"/>
              <w:jc w:val="center"/>
              <w:rPr>
                <w:rFonts w:ascii="EC Square Sans Cond Pro" w:hAnsi="EC Square Sans Cond Pro" w:cs="Calibri"/>
                <w:noProof/>
                <w:sz w:val="18"/>
                <w:szCs w:val="18"/>
              </w:rPr>
            </w:pPr>
            <w:r w:rsidRPr="00465F10">
              <w:rPr>
                <w:rFonts w:ascii="EC Square Sans Cond Pro" w:hAnsi="EC Square Sans Cond Pro" w:cs="Calibri"/>
                <w:noProof/>
                <w:color w:val="000000"/>
                <w:sz w:val="18"/>
                <w:szCs w:val="18"/>
              </w:rPr>
              <w:t>-389 [</w:t>
            </w:r>
            <w:r w:rsidRPr="00465F10">
              <w:rPr>
                <w:rFonts w:ascii="EC Square Sans Cond Pro" w:hAnsi="EC Square Sans Cond Pro" w:cs="Calibri"/>
                <w:noProof/>
                <w:color w:val="000000"/>
                <w:sz w:val="18"/>
                <w:szCs w:val="18"/>
              </w:rPr>
              <w:noBreakHyphen/>
              <w:t>234 to -</w:t>
            </w:r>
            <w:r w:rsidRPr="00465F10">
              <w:rPr>
                <w:rFonts w:ascii="EC Square Sans Cond Pro" w:hAnsi="EC Square Sans Cond Pro" w:cs="Calibri"/>
                <w:noProof/>
                <w:color w:val="000000"/>
                <w:sz w:val="18"/>
                <w:szCs w:val="18"/>
              </w:rPr>
              <w:noBreakHyphen/>
              <w:t>436]</w:t>
            </w:r>
          </w:p>
        </w:tc>
      </w:tr>
      <w:tr w:rsidR="00D65B74" w:rsidRPr="00D65B74" w14:paraId="2DE4A47D" w14:textId="77777777" w:rsidTr="00465F10">
        <w:trPr>
          <w:trHeight w:val="288"/>
        </w:trPr>
        <w:tc>
          <w:tcPr>
            <w:tcW w:w="1526" w:type="dxa"/>
            <w:noWrap/>
            <w:hideMark/>
          </w:tcPr>
          <w:p w14:paraId="41B55DA8" w14:textId="39DA0D63" w:rsidR="00D65B74" w:rsidRPr="00465F10" w:rsidRDefault="00D65B74" w:rsidP="00E732F2">
            <w:pPr>
              <w:spacing w:after="0"/>
              <w:jc w:val="left"/>
              <w:rPr>
                <w:rFonts w:ascii="EC Square Sans Cond Pro" w:eastAsia="Times New Roman" w:hAnsi="EC Square Sans Cond Pro" w:cs="Calibri"/>
                <w:noProof/>
                <w:sz w:val="18"/>
                <w:szCs w:val="18"/>
                <w:lang w:val="en-IE"/>
              </w:rPr>
            </w:pPr>
            <w:r w:rsidRPr="00465F10">
              <w:rPr>
                <w:rFonts w:ascii="EC Square Sans Cond Pro" w:eastAsia="Times New Roman" w:hAnsi="EC Square Sans Cond Pro" w:cs="Calibri"/>
                <w:noProof/>
                <w:sz w:val="18"/>
                <w:szCs w:val="18"/>
                <w:lang w:val="en-IE"/>
              </w:rPr>
              <w:t>Industrial Removals</w:t>
            </w:r>
            <w:r w:rsidR="00E2543E" w:rsidRPr="00465F10">
              <w:rPr>
                <w:rFonts w:ascii="EC Square Sans Cond Pro" w:eastAsia="Times New Roman" w:hAnsi="EC Square Sans Cond Pro" w:cs="Calibri"/>
                <w:noProof/>
                <w:sz w:val="18"/>
                <w:szCs w:val="18"/>
                <w:lang w:val="en-IE"/>
              </w:rPr>
              <w:t xml:space="preserve"> (</w:t>
            </w:r>
            <w:r w:rsidR="00E2543E" w:rsidRPr="00465F10">
              <w:rPr>
                <w:rFonts w:ascii="EC Square Sans Cond Pro" w:eastAsia="Times New Roman" w:hAnsi="EC Square Sans Cond Pro" w:cs="Calibri"/>
                <w:noProof/>
                <w:color w:val="000000"/>
                <w:sz w:val="18"/>
                <w:szCs w:val="18"/>
                <w:lang w:val="en-IE"/>
              </w:rPr>
              <w:t>MtCO2)</w:t>
            </w:r>
          </w:p>
        </w:tc>
        <w:tc>
          <w:tcPr>
            <w:tcW w:w="647" w:type="dxa"/>
            <w:noWrap/>
            <w:vAlign w:val="bottom"/>
            <w:hideMark/>
          </w:tcPr>
          <w:p w14:paraId="7CB51265" w14:textId="561BE62D" w:rsidR="00D65B74" w:rsidRPr="00465F10" w:rsidRDefault="00D65B74" w:rsidP="00E732F2">
            <w:pPr>
              <w:spacing w:after="0"/>
              <w:jc w:val="center"/>
              <w:rPr>
                <w:rFonts w:ascii="EC Square Sans Cond Pro" w:eastAsia="Times New Roman" w:hAnsi="EC Square Sans Cond Pro" w:cs="Calibri"/>
                <w:noProof/>
                <w:sz w:val="18"/>
                <w:szCs w:val="18"/>
                <w:lang w:val="en-IE"/>
              </w:rPr>
            </w:pPr>
            <w:r w:rsidRPr="00465F10">
              <w:rPr>
                <w:rFonts w:ascii="EC Square Sans Cond Pro" w:hAnsi="EC Square Sans Cond Pro" w:cs="Calibri"/>
                <w:noProof/>
                <w:sz w:val="18"/>
                <w:szCs w:val="18"/>
              </w:rPr>
              <w:t>-4</w:t>
            </w:r>
          </w:p>
        </w:tc>
        <w:tc>
          <w:tcPr>
            <w:tcW w:w="834" w:type="dxa"/>
            <w:noWrap/>
            <w:vAlign w:val="bottom"/>
            <w:hideMark/>
          </w:tcPr>
          <w:p w14:paraId="498FB642" w14:textId="7D151199" w:rsidR="00D65B74" w:rsidRPr="00465F10" w:rsidRDefault="001564A1" w:rsidP="00E732F2">
            <w:pPr>
              <w:spacing w:after="0"/>
              <w:jc w:val="center"/>
              <w:rPr>
                <w:rFonts w:ascii="EC Square Sans Cond Pro" w:eastAsia="Times New Roman" w:hAnsi="EC Square Sans Cond Pro" w:cs="Calibri"/>
                <w:noProof/>
                <w:sz w:val="18"/>
                <w:szCs w:val="18"/>
                <w:lang w:val="en-IE"/>
              </w:rPr>
            </w:pPr>
            <w:r w:rsidRPr="00465F10">
              <w:rPr>
                <w:rFonts w:ascii="EC Square Sans Cond Pro" w:hAnsi="EC Square Sans Cond Pro" w:cs="Calibri"/>
                <w:noProof/>
                <w:sz w:val="18"/>
                <w:szCs w:val="18"/>
              </w:rPr>
              <w:t>-4</w:t>
            </w:r>
          </w:p>
        </w:tc>
        <w:tc>
          <w:tcPr>
            <w:tcW w:w="835" w:type="dxa"/>
            <w:noWrap/>
            <w:vAlign w:val="bottom"/>
            <w:hideMark/>
          </w:tcPr>
          <w:p w14:paraId="294FEEB3" w14:textId="2C5116AA" w:rsidR="00D65B74" w:rsidRPr="00465F10" w:rsidRDefault="001564A1" w:rsidP="00E732F2">
            <w:pPr>
              <w:spacing w:after="0"/>
              <w:jc w:val="center"/>
              <w:rPr>
                <w:rFonts w:ascii="EC Square Sans Cond Pro" w:eastAsia="Times New Roman" w:hAnsi="EC Square Sans Cond Pro" w:cs="Calibri"/>
                <w:noProof/>
                <w:sz w:val="18"/>
                <w:szCs w:val="18"/>
                <w:lang w:val="en-IE"/>
              </w:rPr>
            </w:pPr>
            <w:r w:rsidRPr="00465F10">
              <w:rPr>
                <w:rFonts w:ascii="EC Square Sans Cond Pro" w:hAnsi="EC Square Sans Cond Pro" w:cs="Calibri"/>
                <w:noProof/>
                <w:sz w:val="18"/>
                <w:szCs w:val="18"/>
              </w:rPr>
              <w:t>-49</w:t>
            </w:r>
          </w:p>
        </w:tc>
        <w:tc>
          <w:tcPr>
            <w:tcW w:w="835" w:type="dxa"/>
            <w:noWrap/>
            <w:vAlign w:val="bottom"/>
            <w:hideMark/>
          </w:tcPr>
          <w:p w14:paraId="7A851201" w14:textId="3DDF49CE" w:rsidR="00D65B74" w:rsidRPr="00465F10" w:rsidRDefault="001564A1" w:rsidP="00E732F2">
            <w:pPr>
              <w:spacing w:after="0"/>
              <w:jc w:val="center"/>
              <w:rPr>
                <w:rFonts w:ascii="EC Square Sans Cond Pro" w:eastAsia="Times New Roman" w:hAnsi="EC Square Sans Cond Pro" w:cs="Calibri"/>
                <w:noProof/>
                <w:sz w:val="18"/>
                <w:szCs w:val="18"/>
                <w:lang w:val="en-IE"/>
              </w:rPr>
            </w:pPr>
            <w:r w:rsidRPr="00465F10">
              <w:rPr>
                <w:rFonts w:ascii="EC Square Sans Cond Pro" w:hAnsi="EC Square Sans Cond Pro" w:cs="Calibri"/>
                <w:noProof/>
                <w:sz w:val="18"/>
                <w:szCs w:val="18"/>
              </w:rPr>
              <w:t>-75</w:t>
            </w:r>
          </w:p>
        </w:tc>
        <w:tc>
          <w:tcPr>
            <w:tcW w:w="835" w:type="dxa"/>
            <w:noWrap/>
            <w:vAlign w:val="bottom"/>
            <w:hideMark/>
          </w:tcPr>
          <w:p w14:paraId="5E10AD6B" w14:textId="3A1F39B4" w:rsidR="00D65B74" w:rsidRPr="00465F10" w:rsidRDefault="001564A1" w:rsidP="00E732F2">
            <w:pPr>
              <w:spacing w:after="0"/>
              <w:jc w:val="center"/>
              <w:rPr>
                <w:rFonts w:ascii="EC Square Sans Cond Pro" w:eastAsia="Times New Roman" w:hAnsi="EC Square Sans Cond Pro" w:cs="Calibri"/>
                <w:i/>
                <w:noProof/>
                <w:sz w:val="18"/>
                <w:szCs w:val="18"/>
                <w:lang w:val="en-IE"/>
              </w:rPr>
            </w:pPr>
            <w:r w:rsidRPr="00465F10">
              <w:rPr>
                <w:rFonts w:ascii="EC Square Sans Cond Pro" w:hAnsi="EC Square Sans Cond Pro" w:cs="Calibri"/>
                <w:noProof/>
                <w:sz w:val="18"/>
                <w:szCs w:val="18"/>
              </w:rPr>
              <w:t>-27</w:t>
            </w:r>
          </w:p>
        </w:tc>
        <w:tc>
          <w:tcPr>
            <w:tcW w:w="834" w:type="dxa"/>
            <w:noWrap/>
            <w:vAlign w:val="bottom"/>
            <w:hideMark/>
          </w:tcPr>
          <w:p w14:paraId="40D9C1DB" w14:textId="5AF58E5F" w:rsidR="00D65B74" w:rsidRPr="00465F10" w:rsidRDefault="001564A1" w:rsidP="00E732F2">
            <w:pPr>
              <w:spacing w:after="0"/>
              <w:jc w:val="center"/>
              <w:rPr>
                <w:rFonts w:ascii="EC Square Sans Cond Pro" w:eastAsia="Times New Roman" w:hAnsi="EC Square Sans Cond Pro" w:cs="Calibri"/>
                <w:noProof/>
                <w:sz w:val="18"/>
                <w:szCs w:val="18"/>
                <w:lang w:val="en-IE"/>
              </w:rPr>
            </w:pPr>
            <w:r w:rsidRPr="00465F10">
              <w:rPr>
                <w:rFonts w:ascii="EC Square Sans Cond Pro" w:hAnsi="EC Square Sans Cond Pro" w:cs="Calibri"/>
                <w:noProof/>
                <w:sz w:val="18"/>
                <w:szCs w:val="18"/>
              </w:rPr>
              <w:t>-121</w:t>
            </w:r>
          </w:p>
        </w:tc>
        <w:tc>
          <w:tcPr>
            <w:tcW w:w="835" w:type="dxa"/>
            <w:noWrap/>
            <w:vAlign w:val="bottom"/>
            <w:hideMark/>
          </w:tcPr>
          <w:p w14:paraId="7CEEBC2E" w14:textId="1963C681" w:rsidR="00D65B74" w:rsidRPr="00465F10" w:rsidRDefault="001564A1" w:rsidP="00E732F2">
            <w:pPr>
              <w:spacing w:after="0"/>
              <w:jc w:val="center"/>
              <w:rPr>
                <w:rFonts w:ascii="EC Square Sans Cond Pro" w:eastAsia="Times New Roman" w:hAnsi="EC Square Sans Cond Pro" w:cs="Calibri"/>
                <w:noProof/>
                <w:sz w:val="18"/>
                <w:szCs w:val="18"/>
                <w:lang w:val="en-IE"/>
              </w:rPr>
            </w:pPr>
            <w:r w:rsidRPr="00465F10">
              <w:rPr>
                <w:rFonts w:ascii="EC Square Sans Cond Pro" w:hAnsi="EC Square Sans Cond Pro" w:cs="Calibri"/>
                <w:noProof/>
                <w:sz w:val="18"/>
                <w:szCs w:val="18"/>
              </w:rPr>
              <w:t>-115</w:t>
            </w:r>
          </w:p>
        </w:tc>
        <w:tc>
          <w:tcPr>
            <w:tcW w:w="835" w:type="dxa"/>
            <w:noWrap/>
            <w:vAlign w:val="bottom"/>
            <w:hideMark/>
          </w:tcPr>
          <w:p w14:paraId="6DB637CE" w14:textId="23C2FD3C" w:rsidR="00D65B74" w:rsidRPr="00465F10" w:rsidRDefault="001564A1" w:rsidP="00E732F2">
            <w:pPr>
              <w:spacing w:after="0"/>
              <w:jc w:val="center"/>
              <w:rPr>
                <w:rFonts w:ascii="EC Square Sans Cond Pro" w:eastAsia="Times New Roman" w:hAnsi="EC Square Sans Cond Pro" w:cs="Calibri"/>
                <w:noProof/>
                <w:sz w:val="18"/>
                <w:szCs w:val="18"/>
                <w:lang w:val="en-IE"/>
              </w:rPr>
            </w:pPr>
            <w:r w:rsidRPr="00465F10">
              <w:rPr>
                <w:rFonts w:ascii="EC Square Sans Cond Pro" w:hAnsi="EC Square Sans Cond Pro" w:cs="Calibri"/>
                <w:noProof/>
                <w:sz w:val="18"/>
                <w:szCs w:val="18"/>
              </w:rPr>
              <w:t>-114</w:t>
            </w:r>
          </w:p>
        </w:tc>
        <w:tc>
          <w:tcPr>
            <w:tcW w:w="881" w:type="dxa"/>
            <w:noWrap/>
            <w:vAlign w:val="bottom"/>
            <w:hideMark/>
          </w:tcPr>
          <w:p w14:paraId="0287C6DC" w14:textId="78FD401F" w:rsidR="00D65B74" w:rsidRPr="00465F10" w:rsidRDefault="001564A1" w:rsidP="00E732F2">
            <w:pPr>
              <w:spacing w:after="0"/>
              <w:jc w:val="center"/>
              <w:rPr>
                <w:rFonts w:ascii="EC Square Sans Cond Pro" w:eastAsia="Times New Roman" w:hAnsi="EC Square Sans Cond Pro" w:cs="Calibri"/>
                <w:i/>
                <w:noProof/>
                <w:sz w:val="18"/>
                <w:szCs w:val="18"/>
                <w:lang w:val="en-IE"/>
              </w:rPr>
            </w:pPr>
            <w:r w:rsidRPr="00465F10">
              <w:rPr>
                <w:rFonts w:ascii="EC Square Sans Cond Pro" w:hAnsi="EC Square Sans Cond Pro" w:cs="Calibri"/>
                <w:noProof/>
                <w:sz w:val="18"/>
                <w:szCs w:val="18"/>
              </w:rPr>
              <w:t>-40</w:t>
            </w:r>
          </w:p>
        </w:tc>
      </w:tr>
      <w:tr w:rsidR="00D65B74" w:rsidRPr="00D65B74" w14:paraId="1B1168F5" w14:textId="77777777" w:rsidTr="00465F10">
        <w:trPr>
          <w:trHeight w:val="288"/>
        </w:trPr>
        <w:tc>
          <w:tcPr>
            <w:tcW w:w="1526" w:type="dxa"/>
            <w:noWrap/>
            <w:hideMark/>
          </w:tcPr>
          <w:p w14:paraId="37871C97" w14:textId="77777777" w:rsidR="00D65B74" w:rsidRPr="00465F10" w:rsidRDefault="00D65B74" w:rsidP="00E732F2">
            <w:pPr>
              <w:spacing w:after="0"/>
              <w:jc w:val="right"/>
              <w:rPr>
                <w:rFonts w:ascii="EC Square Sans Cond Pro" w:eastAsia="Times New Roman" w:hAnsi="EC Square Sans Cond Pro" w:cs="Calibri"/>
                <w:i/>
                <w:noProof/>
                <w:sz w:val="18"/>
                <w:szCs w:val="18"/>
                <w:lang w:val="en-IE"/>
              </w:rPr>
            </w:pPr>
            <w:r w:rsidRPr="00465F10">
              <w:rPr>
                <w:rFonts w:ascii="EC Square Sans Cond Pro" w:eastAsia="Times New Roman" w:hAnsi="EC Square Sans Cond Pro" w:cs="Calibri"/>
                <w:i/>
                <w:noProof/>
                <w:sz w:val="18"/>
                <w:szCs w:val="18"/>
                <w:lang w:val="en-IE"/>
              </w:rPr>
              <w:t>BECCS</w:t>
            </w:r>
          </w:p>
        </w:tc>
        <w:tc>
          <w:tcPr>
            <w:tcW w:w="647" w:type="dxa"/>
            <w:noWrap/>
            <w:vAlign w:val="bottom"/>
            <w:hideMark/>
          </w:tcPr>
          <w:p w14:paraId="761EC0E5" w14:textId="7A51A1CB" w:rsidR="00D65B74" w:rsidRPr="00465F10" w:rsidRDefault="00D65B74" w:rsidP="00E732F2">
            <w:pPr>
              <w:spacing w:after="0"/>
              <w:jc w:val="center"/>
              <w:rPr>
                <w:rFonts w:ascii="EC Square Sans Cond Pro" w:eastAsia="Times New Roman" w:hAnsi="EC Square Sans Cond Pro" w:cs="Calibri"/>
                <w:i/>
                <w:noProof/>
                <w:color w:val="000000"/>
                <w:sz w:val="18"/>
                <w:szCs w:val="18"/>
                <w:lang w:val="en-IE"/>
              </w:rPr>
            </w:pPr>
            <w:r w:rsidRPr="00465F10">
              <w:rPr>
                <w:rFonts w:ascii="EC Square Sans Cond Pro" w:hAnsi="EC Square Sans Cond Pro" w:cs="Calibri"/>
                <w:i/>
                <w:noProof/>
                <w:color w:val="000000"/>
                <w:sz w:val="18"/>
                <w:szCs w:val="18"/>
              </w:rPr>
              <w:t>-4</w:t>
            </w:r>
          </w:p>
        </w:tc>
        <w:tc>
          <w:tcPr>
            <w:tcW w:w="834" w:type="dxa"/>
            <w:noWrap/>
            <w:vAlign w:val="bottom"/>
            <w:hideMark/>
          </w:tcPr>
          <w:p w14:paraId="14DB1405" w14:textId="2691D5F5" w:rsidR="00D65B74" w:rsidRPr="00465F10" w:rsidRDefault="001564A1" w:rsidP="00E732F2">
            <w:pPr>
              <w:spacing w:after="0"/>
              <w:jc w:val="center"/>
              <w:rPr>
                <w:rFonts w:ascii="EC Square Sans Cond Pro" w:eastAsia="Times New Roman" w:hAnsi="EC Square Sans Cond Pro" w:cs="Calibri"/>
                <w:i/>
                <w:noProof/>
                <w:color w:val="000000"/>
                <w:sz w:val="18"/>
                <w:szCs w:val="18"/>
                <w:lang w:val="en-IE"/>
              </w:rPr>
            </w:pPr>
            <w:r w:rsidRPr="00465F10">
              <w:rPr>
                <w:rFonts w:ascii="EC Square Sans Cond Pro" w:hAnsi="EC Square Sans Cond Pro" w:cs="Calibri"/>
                <w:i/>
                <w:iCs/>
                <w:noProof/>
                <w:color w:val="000000"/>
                <w:sz w:val="18"/>
                <w:szCs w:val="18"/>
              </w:rPr>
              <w:t>-4</w:t>
            </w:r>
          </w:p>
        </w:tc>
        <w:tc>
          <w:tcPr>
            <w:tcW w:w="835" w:type="dxa"/>
            <w:noWrap/>
            <w:vAlign w:val="bottom"/>
            <w:hideMark/>
          </w:tcPr>
          <w:p w14:paraId="339BBCFD" w14:textId="43C9D2AC" w:rsidR="00D65B74" w:rsidRPr="00465F10" w:rsidRDefault="001564A1" w:rsidP="00E732F2">
            <w:pPr>
              <w:spacing w:after="0"/>
              <w:jc w:val="center"/>
              <w:rPr>
                <w:rFonts w:ascii="EC Square Sans Cond Pro" w:eastAsia="Times New Roman" w:hAnsi="EC Square Sans Cond Pro" w:cs="Calibri"/>
                <w:i/>
                <w:noProof/>
                <w:color w:val="000000"/>
                <w:sz w:val="18"/>
                <w:szCs w:val="18"/>
                <w:lang w:val="en-IE"/>
              </w:rPr>
            </w:pPr>
            <w:r w:rsidRPr="00465F10">
              <w:rPr>
                <w:rFonts w:ascii="EC Square Sans Cond Pro" w:hAnsi="EC Square Sans Cond Pro" w:cs="Calibri"/>
                <w:i/>
                <w:iCs/>
                <w:noProof/>
                <w:color w:val="000000"/>
                <w:sz w:val="18"/>
                <w:szCs w:val="18"/>
              </w:rPr>
              <w:t>-34</w:t>
            </w:r>
          </w:p>
        </w:tc>
        <w:tc>
          <w:tcPr>
            <w:tcW w:w="835" w:type="dxa"/>
            <w:noWrap/>
            <w:vAlign w:val="bottom"/>
            <w:hideMark/>
          </w:tcPr>
          <w:p w14:paraId="78AE0016" w14:textId="30A3F2F1" w:rsidR="00D65B74" w:rsidRPr="00465F10" w:rsidRDefault="001564A1" w:rsidP="00E732F2">
            <w:pPr>
              <w:spacing w:after="0"/>
              <w:jc w:val="center"/>
              <w:rPr>
                <w:rFonts w:ascii="EC Square Sans Cond Pro" w:eastAsia="Times New Roman" w:hAnsi="EC Square Sans Cond Pro" w:cs="Calibri"/>
                <w:i/>
                <w:noProof/>
                <w:color w:val="000000"/>
                <w:sz w:val="18"/>
                <w:szCs w:val="18"/>
                <w:lang w:val="en-IE"/>
              </w:rPr>
            </w:pPr>
            <w:r w:rsidRPr="00465F10">
              <w:rPr>
                <w:rFonts w:ascii="EC Square Sans Cond Pro" w:hAnsi="EC Square Sans Cond Pro" w:cs="Calibri"/>
                <w:i/>
                <w:iCs/>
                <w:noProof/>
                <w:color w:val="000000"/>
                <w:sz w:val="18"/>
                <w:szCs w:val="18"/>
              </w:rPr>
              <w:t>-33</w:t>
            </w:r>
          </w:p>
        </w:tc>
        <w:tc>
          <w:tcPr>
            <w:tcW w:w="835" w:type="dxa"/>
            <w:noWrap/>
            <w:vAlign w:val="bottom"/>
            <w:hideMark/>
          </w:tcPr>
          <w:p w14:paraId="46464573" w14:textId="1CABD4F4" w:rsidR="00D65B74" w:rsidRPr="00465F10" w:rsidRDefault="001564A1" w:rsidP="00E732F2">
            <w:pPr>
              <w:spacing w:after="0"/>
              <w:jc w:val="center"/>
              <w:rPr>
                <w:rFonts w:ascii="EC Square Sans Cond Pro" w:eastAsia="Times New Roman" w:hAnsi="EC Square Sans Cond Pro" w:cs="Calibri"/>
                <w:i/>
                <w:noProof/>
                <w:color w:val="000000"/>
                <w:sz w:val="18"/>
                <w:szCs w:val="18"/>
                <w:lang w:val="en-IE"/>
              </w:rPr>
            </w:pPr>
            <w:r w:rsidRPr="00465F10">
              <w:rPr>
                <w:rFonts w:ascii="EC Square Sans Cond Pro" w:hAnsi="EC Square Sans Cond Pro" w:cs="Calibri"/>
                <w:i/>
                <w:iCs/>
                <w:noProof/>
                <w:color w:val="000000"/>
                <w:sz w:val="18"/>
                <w:szCs w:val="18"/>
              </w:rPr>
              <w:t>-27</w:t>
            </w:r>
          </w:p>
        </w:tc>
        <w:tc>
          <w:tcPr>
            <w:tcW w:w="834" w:type="dxa"/>
            <w:noWrap/>
            <w:vAlign w:val="bottom"/>
            <w:hideMark/>
          </w:tcPr>
          <w:p w14:paraId="10E3378E" w14:textId="07156079" w:rsidR="00D65B74" w:rsidRPr="00465F10" w:rsidRDefault="001564A1" w:rsidP="00E732F2">
            <w:pPr>
              <w:spacing w:after="0"/>
              <w:jc w:val="center"/>
              <w:rPr>
                <w:rFonts w:ascii="EC Square Sans Cond Pro" w:eastAsia="Times New Roman" w:hAnsi="EC Square Sans Cond Pro" w:cs="Calibri"/>
                <w:i/>
                <w:noProof/>
                <w:color w:val="000000"/>
                <w:sz w:val="18"/>
                <w:szCs w:val="18"/>
                <w:lang w:val="en-IE"/>
              </w:rPr>
            </w:pPr>
            <w:r w:rsidRPr="00465F10">
              <w:rPr>
                <w:rFonts w:ascii="EC Square Sans Cond Pro" w:hAnsi="EC Square Sans Cond Pro" w:cs="Calibri"/>
                <w:i/>
                <w:iCs/>
                <w:noProof/>
                <w:color w:val="000000"/>
                <w:sz w:val="18"/>
                <w:szCs w:val="18"/>
              </w:rPr>
              <w:t>-58</w:t>
            </w:r>
          </w:p>
        </w:tc>
        <w:tc>
          <w:tcPr>
            <w:tcW w:w="835" w:type="dxa"/>
            <w:noWrap/>
            <w:vAlign w:val="bottom"/>
            <w:hideMark/>
          </w:tcPr>
          <w:p w14:paraId="77D6EFD7" w14:textId="5A22AE8A" w:rsidR="00D65B74" w:rsidRPr="00465F10" w:rsidRDefault="001564A1" w:rsidP="00E732F2">
            <w:pPr>
              <w:spacing w:after="0"/>
              <w:jc w:val="center"/>
              <w:rPr>
                <w:rFonts w:ascii="EC Square Sans Cond Pro" w:eastAsia="Times New Roman" w:hAnsi="EC Square Sans Cond Pro" w:cs="Calibri"/>
                <w:i/>
                <w:noProof/>
                <w:color w:val="000000"/>
                <w:sz w:val="18"/>
                <w:szCs w:val="18"/>
                <w:lang w:val="en-IE"/>
              </w:rPr>
            </w:pPr>
            <w:r w:rsidRPr="00465F10">
              <w:rPr>
                <w:rFonts w:ascii="EC Square Sans Cond Pro" w:hAnsi="EC Square Sans Cond Pro" w:cs="Calibri"/>
                <w:i/>
                <w:iCs/>
                <w:noProof/>
                <w:color w:val="000000"/>
                <w:sz w:val="18"/>
                <w:szCs w:val="18"/>
              </w:rPr>
              <w:t>-59</w:t>
            </w:r>
          </w:p>
        </w:tc>
        <w:tc>
          <w:tcPr>
            <w:tcW w:w="835" w:type="dxa"/>
            <w:noWrap/>
            <w:vAlign w:val="bottom"/>
            <w:hideMark/>
          </w:tcPr>
          <w:p w14:paraId="0BBC0039" w14:textId="7F8EC0E4" w:rsidR="00D65B74" w:rsidRPr="00465F10" w:rsidRDefault="001564A1" w:rsidP="00E732F2">
            <w:pPr>
              <w:spacing w:after="0"/>
              <w:jc w:val="center"/>
              <w:rPr>
                <w:rFonts w:ascii="EC Square Sans Cond Pro" w:eastAsia="Times New Roman" w:hAnsi="EC Square Sans Cond Pro" w:cs="Calibri"/>
                <w:i/>
                <w:noProof/>
                <w:color w:val="000000"/>
                <w:sz w:val="18"/>
                <w:szCs w:val="18"/>
                <w:lang w:val="en-IE"/>
              </w:rPr>
            </w:pPr>
            <w:r w:rsidRPr="00465F10">
              <w:rPr>
                <w:rFonts w:ascii="EC Square Sans Cond Pro" w:hAnsi="EC Square Sans Cond Pro" w:cs="Calibri"/>
                <w:i/>
                <w:iCs/>
                <w:noProof/>
                <w:color w:val="000000"/>
                <w:sz w:val="18"/>
                <w:szCs w:val="18"/>
              </w:rPr>
              <w:t>-56</w:t>
            </w:r>
          </w:p>
        </w:tc>
        <w:tc>
          <w:tcPr>
            <w:tcW w:w="881" w:type="dxa"/>
            <w:noWrap/>
            <w:vAlign w:val="bottom"/>
            <w:hideMark/>
          </w:tcPr>
          <w:p w14:paraId="46613A96" w14:textId="45A9AC30" w:rsidR="00D65B74" w:rsidRPr="00465F10" w:rsidRDefault="001564A1" w:rsidP="00E732F2">
            <w:pPr>
              <w:spacing w:after="0"/>
              <w:jc w:val="center"/>
              <w:rPr>
                <w:rFonts w:ascii="EC Square Sans Cond Pro" w:eastAsia="Times New Roman" w:hAnsi="EC Square Sans Cond Pro" w:cs="Calibri"/>
                <w:i/>
                <w:noProof/>
                <w:color w:val="000000"/>
                <w:sz w:val="18"/>
                <w:szCs w:val="18"/>
                <w:lang w:val="en-IE"/>
              </w:rPr>
            </w:pPr>
            <w:r w:rsidRPr="00465F10">
              <w:rPr>
                <w:rFonts w:ascii="EC Square Sans Cond Pro" w:hAnsi="EC Square Sans Cond Pro" w:cs="Calibri"/>
                <w:i/>
                <w:iCs/>
                <w:noProof/>
                <w:color w:val="000000"/>
                <w:sz w:val="18"/>
                <w:szCs w:val="18"/>
              </w:rPr>
              <w:t>-37</w:t>
            </w:r>
          </w:p>
        </w:tc>
      </w:tr>
      <w:tr w:rsidR="00D65B74" w:rsidRPr="00D65B74" w14:paraId="32883203" w14:textId="77777777" w:rsidTr="00465F10">
        <w:trPr>
          <w:trHeight w:val="288"/>
        </w:trPr>
        <w:tc>
          <w:tcPr>
            <w:tcW w:w="1526" w:type="dxa"/>
            <w:noWrap/>
            <w:hideMark/>
          </w:tcPr>
          <w:p w14:paraId="05F43807" w14:textId="77777777" w:rsidR="00D65B74" w:rsidRPr="00465F10" w:rsidRDefault="00D65B74" w:rsidP="00E732F2">
            <w:pPr>
              <w:spacing w:after="0"/>
              <w:jc w:val="right"/>
              <w:rPr>
                <w:rFonts w:ascii="EC Square Sans Cond Pro" w:eastAsia="Times New Roman" w:hAnsi="EC Square Sans Cond Pro" w:cs="Calibri"/>
                <w:i/>
                <w:noProof/>
                <w:sz w:val="18"/>
                <w:szCs w:val="18"/>
                <w:lang w:val="en-IE"/>
              </w:rPr>
            </w:pPr>
            <w:r w:rsidRPr="00465F10">
              <w:rPr>
                <w:rFonts w:ascii="EC Square Sans Cond Pro" w:eastAsia="Times New Roman" w:hAnsi="EC Square Sans Cond Pro" w:cs="Calibri"/>
                <w:i/>
                <w:noProof/>
                <w:sz w:val="18"/>
                <w:szCs w:val="18"/>
                <w:lang w:val="en-IE"/>
              </w:rPr>
              <w:t>DACCS</w:t>
            </w:r>
          </w:p>
        </w:tc>
        <w:tc>
          <w:tcPr>
            <w:tcW w:w="647" w:type="dxa"/>
            <w:noWrap/>
            <w:vAlign w:val="bottom"/>
            <w:hideMark/>
          </w:tcPr>
          <w:p w14:paraId="3CF49A5C" w14:textId="41B3856F" w:rsidR="00D65B74" w:rsidRPr="00465F10" w:rsidRDefault="00D65B74" w:rsidP="00E732F2">
            <w:pPr>
              <w:spacing w:after="0"/>
              <w:jc w:val="center"/>
              <w:rPr>
                <w:rFonts w:ascii="EC Square Sans Cond Pro" w:eastAsia="Times New Roman" w:hAnsi="EC Square Sans Cond Pro" w:cs="Calibri"/>
                <w:i/>
                <w:noProof/>
                <w:sz w:val="18"/>
                <w:szCs w:val="18"/>
                <w:lang w:val="en-IE"/>
              </w:rPr>
            </w:pPr>
            <w:r w:rsidRPr="00465F10">
              <w:rPr>
                <w:rFonts w:ascii="EC Square Sans Cond Pro" w:hAnsi="EC Square Sans Cond Pro" w:cs="Calibri"/>
                <w:i/>
                <w:noProof/>
                <w:sz w:val="18"/>
                <w:szCs w:val="18"/>
              </w:rPr>
              <w:t>0</w:t>
            </w:r>
          </w:p>
        </w:tc>
        <w:tc>
          <w:tcPr>
            <w:tcW w:w="834" w:type="dxa"/>
            <w:noWrap/>
            <w:vAlign w:val="bottom"/>
            <w:hideMark/>
          </w:tcPr>
          <w:p w14:paraId="0ED27F03" w14:textId="193F913F" w:rsidR="00D65B74" w:rsidRPr="00465F10" w:rsidRDefault="001564A1" w:rsidP="00E732F2">
            <w:pPr>
              <w:spacing w:after="0"/>
              <w:jc w:val="center"/>
              <w:rPr>
                <w:rFonts w:ascii="EC Square Sans Cond Pro" w:eastAsia="Times New Roman" w:hAnsi="EC Square Sans Cond Pro" w:cs="Calibri"/>
                <w:i/>
                <w:noProof/>
                <w:sz w:val="18"/>
                <w:szCs w:val="18"/>
                <w:lang w:val="en-IE"/>
              </w:rPr>
            </w:pPr>
            <w:r w:rsidRPr="00465F10">
              <w:rPr>
                <w:rFonts w:ascii="EC Square Sans Cond Pro" w:hAnsi="EC Square Sans Cond Pro" w:cs="Calibri"/>
                <w:i/>
                <w:iCs/>
                <w:noProof/>
                <w:sz w:val="18"/>
                <w:szCs w:val="18"/>
              </w:rPr>
              <w:t>0</w:t>
            </w:r>
          </w:p>
        </w:tc>
        <w:tc>
          <w:tcPr>
            <w:tcW w:w="835" w:type="dxa"/>
            <w:noWrap/>
            <w:vAlign w:val="bottom"/>
            <w:hideMark/>
          </w:tcPr>
          <w:p w14:paraId="3C5F436C" w14:textId="36B3CF44" w:rsidR="00D65B74" w:rsidRPr="00465F10" w:rsidRDefault="001564A1" w:rsidP="00E732F2">
            <w:pPr>
              <w:spacing w:after="0"/>
              <w:jc w:val="center"/>
              <w:rPr>
                <w:rFonts w:ascii="EC Square Sans Cond Pro" w:eastAsia="Times New Roman" w:hAnsi="EC Square Sans Cond Pro" w:cs="Calibri"/>
                <w:i/>
                <w:noProof/>
                <w:sz w:val="18"/>
                <w:szCs w:val="18"/>
                <w:lang w:val="en-IE"/>
              </w:rPr>
            </w:pPr>
            <w:r w:rsidRPr="00465F10">
              <w:rPr>
                <w:rFonts w:ascii="EC Square Sans Cond Pro" w:hAnsi="EC Square Sans Cond Pro" w:cs="Calibri"/>
                <w:i/>
                <w:iCs/>
                <w:noProof/>
                <w:sz w:val="18"/>
                <w:szCs w:val="18"/>
              </w:rPr>
              <w:t>-15</w:t>
            </w:r>
          </w:p>
        </w:tc>
        <w:tc>
          <w:tcPr>
            <w:tcW w:w="835" w:type="dxa"/>
            <w:noWrap/>
            <w:vAlign w:val="bottom"/>
            <w:hideMark/>
          </w:tcPr>
          <w:p w14:paraId="2DAA5BF4" w14:textId="2B233214" w:rsidR="00D65B74" w:rsidRPr="00465F10" w:rsidRDefault="001564A1" w:rsidP="00E732F2">
            <w:pPr>
              <w:spacing w:after="0"/>
              <w:jc w:val="center"/>
              <w:rPr>
                <w:rFonts w:ascii="EC Square Sans Cond Pro" w:eastAsia="Times New Roman" w:hAnsi="EC Square Sans Cond Pro" w:cs="Calibri"/>
                <w:i/>
                <w:noProof/>
                <w:sz w:val="18"/>
                <w:szCs w:val="18"/>
                <w:lang w:val="en-IE"/>
              </w:rPr>
            </w:pPr>
            <w:r w:rsidRPr="00465F10">
              <w:rPr>
                <w:rFonts w:ascii="EC Square Sans Cond Pro" w:hAnsi="EC Square Sans Cond Pro" w:cs="Calibri"/>
                <w:i/>
                <w:iCs/>
                <w:noProof/>
                <w:sz w:val="18"/>
                <w:szCs w:val="18"/>
              </w:rPr>
              <w:t>-42</w:t>
            </w:r>
          </w:p>
        </w:tc>
        <w:tc>
          <w:tcPr>
            <w:tcW w:w="835" w:type="dxa"/>
            <w:noWrap/>
            <w:vAlign w:val="bottom"/>
            <w:hideMark/>
          </w:tcPr>
          <w:p w14:paraId="7B9671AF" w14:textId="004502F6" w:rsidR="00D65B74" w:rsidRPr="00465F10" w:rsidRDefault="001564A1" w:rsidP="00E732F2">
            <w:pPr>
              <w:spacing w:after="0"/>
              <w:jc w:val="center"/>
              <w:rPr>
                <w:rFonts w:ascii="EC Square Sans Cond Pro" w:eastAsia="Times New Roman" w:hAnsi="EC Square Sans Cond Pro" w:cs="Calibri"/>
                <w:i/>
                <w:noProof/>
                <w:sz w:val="18"/>
                <w:szCs w:val="18"/>
                <w:lang w:val="en-IE"/>
              </w:rPr>
            </w:pPr>
            <w:r w:rsidRPr="00465F10">
              <w:rPr>
                <w:rFonts w:ascii="EC Square Sans Cond Pro" w:hAnsi="EC Square Sans Cond Pro" w:cs="Calibri"/>
                <w:i/>
                <w:iCs/>
                <w:noProof/>
                <w:sz w:val="18"/>
                <w:szCs w:val="18"/>
              </w:rPr>
              <w:t>0</w:t>
            </w:r>
          </w:p>
        </w:tc>
        <w:tc>
          <w:tcPr>
            <w:tcW w:w="834" w:type="dxa"/>
            <w:noWrap/>
            <w:vAlign w:val="bottom"/>
            <w:hideMark/>
          </w:tcPr>
          <w:p w14:paraId="559442CE" w14:textId="728F34BC" w:rsidR="00D65B74" w:rsidRPr="00465F10" w:rsidRDefault="001564A1" w:rsidP="00E732F2">
            <w:pPr>
              <w:spacing w:after="0"/>
              <w:jc w:val="center"/>
              <w:rPr>
                <w:rFonts w:ascii="EC Square Sans Cond Pro" w:eastAsia="Times New Roman" w:hAnsi="EC Square Sans Cond Pro" w:cs="Calibri"/>
                <w:i/>
                <w:noProof/>
                <w:sz w:val="18"/>
                <w:szCs w:val="18"/>
                <w:lang w:val="en-IE"/>
              </w:rPr>
            </w:pPr>
            <w:r w:rsidRPr="00465F10">
              <w:rPr>
                <w:rFonts w:ascii="EC Square Sans Cond Pro" w:hAnsi="EC Square Sans Cond Pro" w:cs="Calibri"/>
                <w:i/>
                <w:iCs/>
                <w:noProof/>
                <w:sz w:val="18"/>
                <w:szCs w:val="18"/>
              </w:rPr>
              <w:t>-63</w:t>
            </w:r>
          </w:p>
        </w:tc>
        <w:tc>
          <w:tcPr>
            <w:tcW w:w="835" w:type="dxa"/>
            <w:noWrap/>
            <w:vAlign w:val="bottom"/>
            <w:hideMark/>
          </w:tcPr>
          <w:p w14:paraId="33D3B8F8" w14:textId="7AE7184A" w:rsidR="00D65B74" w:rsidRPr="00465F10" w:rsidRDefault="001564A1" w:rsidP="00E732F2">
            <w:pPr>
              <w:spacing w:after="0"/>
              <w:jc w:val="center"/>
              <w:rPr>
                <w:rFonts w:ascii="EC Square Sans Cond Pro" w:eastAsia="Times New Roman" w:hAnsi="EC Square Sans Cond Pro" w:cs="Calibri"/>
                <w:i/>
                <w:noProof/>
                <w:sz w:val="18"/>
                <w:szCs w:val="18"/>
                <w:lang w:val="en-IE"/>
              </w:rPr>
            </w:pPr>
            <w:r w:rsidRPr="00465F10">
              <w:rPr>
                <w:rFonts w:ascii="EC Square Sans Cond Pro" w:hAnsi="EC Square Sans Cond Pro" w:cs="Calibri"/>
                <w:i/>
                <w:iCs/>
                <w:noProof/>
                <w:sz w:val="18"/>
                <w:szCs w:val="18"/>
              </w:rPr>
              <w:t>-56</w:t>
            </w:r>
          </w:p>
        </w:tc>
        <w:tc>
          <w:tcPr>
            <w:tcW w:w="835" w:type="dxa"/>
            <w:noWrap/>
            <w:vAlign w:val="bottom"/>
            <w:hideMark/>
          </w:tcPr>
          <w:p w14:paraId="5C6BDDA8" w14:textId="0E9BD130" w:rsidR="00D65B74" w:rsidRPr="00465F10" w:rsidRDefault="001564A1" w:rsidP="00E732F2">
            <w:pPr>
              <w:spacing w:after="0"/>
              <w:jc w:val="center"/>
              <w:rPr>
                <w:rFonts w:ascii="EC Square Sans Cond Pro" w:eastAsia="Times New Roman" w:hAnsi="EC Square Sans Cond Pro" w:cs="Calibri"/>
                <w:i/>
                <w:noProof/>
                <w:sz w:val="18"/>
                <w:szCs w:val="18"/>
                <w:lang w:val="en-IE"/>
              </w:rPr>
            </w:pPr>
            <w:r w:rsidRPr="00465F10">
              <w:rPr>
                <w:rFonts w:ascii="EC Square Sans Cond Pro" w:hAnsi="EC Square Sans Cond Pro" w:cs="Calibri"/>
                <w:i/>
                <w:iCs/>
                <w:noProof/>
                <w:sz w:val="18"/>
                <w:szCs w:val="18"/>
              </w:rPr>
              <w:t>-57</w:t>
            </w:r>
          </w:p>
        </w:tc>
        <w:tc>
          <w:tcPr>
            <w:tcW w:w="881" w:type="dxa"/>
            <w:noWrap/>
            <w:vAlign w:val="bottom"/>
            <w:hideMark/>
          </w:tcPr>
          <w:p w14:paraId="31234E86" w14:textId="552DD7F5" w:rsidR="00D65B74" w:rsidRPr="00465F10" w:rsidRDefault="001564A1" w:rsidP="00E732F2">
            <w:pPr>
              <w:spacing w:after="0"/>
              <w:jc w:val="center"/>
              <w:rPr>
                <w:rFonts w:ascii="EC Square Sans Cond Pro" w:eastAsia="Times New Roman" w:hAnsi="EC Square Sans Cond Pro" w:cs="Calibri"/>
                <w:i/>
                <w:noProof/>
                <w:sz w:val="18"/>
                <w:szCs w:val="18"/>
                <w:lang w:val="en-IE"/>
              </w:rPr>
            </w:pPr>
            <w:r w:rsidRPr="00465F10">
              <w:rPr>
                <w:rFonts w:ascii="EC Square Sans Cond Pro" w:hAnsi="EC Square Sans Cond Pro" w:cs="Calibri"/>
                <w:i/>
                <w:iCs/>
                <w:noProof/>
                <w:sz w:val="18"/>
                <w:szCs w:val="18"/>
              </w:rPr>
              <w:t>-3</w:t>
            </w:r>
          </w:p>
        </w:tc>
      </w:tr>
    </w:tbl>
    <w:p w14:paraId="190C934D" w14:textId="67C25DA0" w:rsidR="00FC60FF" w:rsidRPr="00BC503B" w:rsidRDefault="00FC60FF" w:rsidP="00E732F2">
      <w:pPr>
        <w:pStyle w:val="CT-SOURCE"/>
        <w:keepNext w:val="0"/>
        <w:rPr>
          <w:noProof/>
        </w:rPr>
      </w:pPr>
      <w:r w:rsidRPr="00FC60FF">
        <w:rPr>
          <w:noProof/>
        </w:rPr>
        <w:t>Source: PRIMES, GLOBIOM</w:t>
      </w:r>
      <w:r w:rsidRPr="00BC503B">
        <w:rPr>
          <w:noProof/>
        </w:rPr>
        <w:t>.</w:t>
      </w:r>
    </w:p>
    <w:p w14:paraId="2A4365E5" w14:textId="68A94AA6" w:rsidR="0024167F" w:rsidRDefault="00DB2153" w:rsidP="00605D3F">
      <w:pPr>
        <w:pStyle w:val="Text3"/>
        <w:ind w:left="0" w:firstLine="0"/>
        <w:rPr>
          <w:noProof/>
          <w:lang w:val="en-US"/>
        </w:rPr>
      </w:pPr>
      <w:r>
        <w:rPr>
          <w:noProof/>
          <w:lang w:val="en-US"/>
        </w:rPr>
        <w:t>T</w:t>
      </w:r>
      <w:r w:rsidR="0024167F">
        <w:rPr>
          <w:noProof/>
          <w:lang w:val="en-US"/>
        </w:rPr>
        <w:t xml:space="preserve">he 36 scenarios </w:t>
      </w:r>
      <w:r w:rsidR="00BC503B">
        <w:rPr>
          <w:noProof/>
          <w:lang w:val="en-US"/>
        </w:rPr>
        <w:t>selected</w:t>
      </w:r>
      <w:r w:rsidR="0024167F">
        <w:rPr>
          <w:noProof/>
          <w:lang w:val="en-US"/>
        </w:rPr>
        <w:t xml:space="preserve"> by the </w:t>
      </w:r>
      <w:r w:rsidR="00CD1490">
        <w:rPr>
          <w:noProof/>
          <w:lang w:val="en-US"/>
        </w:rPr>
        <w:t>ESABCC</w:t>
      </w:r>
      <w:r w:rsidR="00B72E28">
        <w:rPr>
          <w:noProof/>
          <w:lang w:val="en-US"/>
        </w:rPr>
        <w:t xml:space="preserve"> </w:t>
      </w:r>
      <w:r w:rsidR="00987734" w:rsidRPr="002710EE">
        <w:rPr>
          <w:rFonts w:cs="Times New Roman"/>
          <w:noProof/>
        </w:rPr>
        <w:t>(</w:t>
      </w:r>
      <w:r w:rsidR="00987734">
        <w:rPr>
          <w:rStyle w:val="FootnoteReference"/>
          <w:noProof/>
        </w:rPr>
        <w:footnoteReference w:id="34"/>
      </w:r>
      <w:r w:rsidR="00987734">
        <w:rPr>
          <w:rFonts w:cs="Times New Roman"/>
          <w:noProof/>
        </w:rPr>
        <w:t>)</w:t>
      </w:r>
      <w:r w:rsidR="00CD1490">
        <w:rPr>
          <w:rFonts w:cs="Times New Roman"/>
          <w:noProof/>
        </w:rPr>
        <w:t xml:space="preserve"> </w:t>
      </w:r>
      <w:r w:rsidR="0024167F">
        <w:rPr>
          <w:noProof/>
          <w:lang w:val="en-US"/>
        </w:rPr>
        <w:t xml:space="preserve">offer an overview of the possible balances between removals and emission reductions: for 2040, the level of gross emission lies between </w:t>
      </w:r>
      <w:r w:rsidR="00987734">
        <w:rPr>
          <w:noProof/>
          <w:lang w:val="en-US"/>
        </w:rPr>
        <w:t xml:space="preserve">1596 and </w:t>
      </w:r>
      <w:r w:rsidR="0024167F">
        <w:rPr>
          <w:noProof/>
          <w:lang w:val="en-US"/>
        </w:rPr>
        <w:t>697</w:t>
      </w:r>
      <w:r w:rsidR="00B932BF">
        <w:rPr>
          <w:noProof/>
          <w:lang w:val="en-US"/>
        </w:rPr>
        <w:t xml:space="preserve"> </w:t>
      </w:r>
      <w:r w:rsidR="00CA517A">
        <w:rPr>
          <w:noProof/>
          <w:lang w:val="en-US"/>
        </w:rPr>
        <w:t xml:space="preserve">MtCO2-eq </w:t>
      </w:r>
      <w:r w:rsidR="00B932BF">
        <w:rPr>
          <w:noProof/>
          <w:lang w:val="en-US"/>
        </w:rPr>
        <w:t>(</w:t>
      </w:r>
      <w:r w:rsidR="00B932BF">
        <w:rPr>
          <w:rStyle w:val="FootnoteReference"/>
          <w:noProof/>
          <w:lang w:val="en-US"/>
        </w:rPr>
        <w:footnoteReference w:id="35"/>
      </w:r>
      <w:r w:rsidR="00B932BF">
        <w:rPr>
          <w:noProof/>
          <w:lang w:val="en-US"/>
        </w:rPr>
        <w:t>)</w:t>
      </w:r>
      <w:r w:rsidR="0024167F">
        <w:rPr>
          <w:noProof/>
          <w:lang w:val="en-US"/>
        </w:rPr>
        <w:t xml:space="preserve"> and the contribution of removals is split into </w:t>
      </w:r>
      <w:r w:rsidR="001061F2">
        <w:rPr>
          <w:noProof/>
          <w:lang w:val="en-US"/>
        </w:rPr>
        <w:t>land</w:t>
      </w:r>
      <w:r w:rsidR="00CD742E">
        <w:rPr>
          <w:noProof/>
          <w:lang w:val="en-US"/>
        </w:rPr>
        <w:t>-based</w:t>
      </w:r>
      <w:r w:rsidR="0024167F">
        <w:rPr>
          <w:noProof/>
          <w:lang w:val="en-US"/>
        </w:rPr>
        <w:t xml:space="preserve"> removals (range between -100 and -400 MtCO2-eq</w:t>
      </w:r>
      <w:r w:rsidR="00BE171A">
        <w:rPr>
          <w:noProof/>
          <w:lang w:val="en-US"/>
        </w:rPr>
        <w:t>, with majority between -300 and -400 MtCO2-eq</w:t>
      </w:r>
      <w:r w:rsidR="0024167F">
        <w:rPr>
          <w:noProof/>
          <w:lang w:val="en-US"/>
        </w:rPr>
        <w:t xml:space="preserve">) and industrial removals (BECCS </w:t>
      </w:r>
      <w:r w:rsidR="004C13B5">
        <w:rPr>
          <w:noProof/>
          <w:lang w:val="en-US"/>
        </w:rPr>
        <w:t>and</w:t>
      </w:r>
      <w:r w:rsidR="0024167F">
        <w:rPr>
          <w:noProof/>
          <w:lang w:val="en-US"/>
        </w:rPr>
        <w:t xml:space="preserve"> DACCS rang</w:t>
      </w:r>
      <w:r w:rsidR="004C13B5">
        <w:rPr>
          <w:noProof/>
          <w:lang w:val="en-US"/>
        </w:rPr>
        <w:t>ing</w:t>
      </w:r>
      <w:r w:rsidR="0024167F">
        <w:rPr>
          <w:noProof/>
          <w:lang w:val="en-US"/>
        </w:rPr>
        <w:t xml:space="preserve"> between -46 and </w:t>
      </w:r>
      <w:r w:rsidR="00421096">
        <w:rPr>
          <w:noProof/>
          <w:lang w:val="en-US"/>
        </w:rPr>
        <w:noBreakHyphen/>
      </w:r>
      <w:r w:rsidR="0024167F">
        <w:rPr>
          <w:noProof/>
          <w:lang w:val="en-US"/>
        </w:rPr>
        <w:t>214 MtCO2</w:t>
      </w:r>
      <w:r w:rsidR="00BE171A">
        <w:rPr>
          <w:noProof/>
          <w:lang w:val="en-US"/>
        </w:rPr>
        <w:t xml:space="preserve">, with majority </w:t>
      </w:r>
      <w:r w:rsidR="006C3EF8">
        <w:rPr>
          <w:noProof/>
          <w:lang w:val="en-US"/>
        </w:rPr>
        <w:t xml:space="preserve">around </w:t>
      </w:r>
      <w:r w:rsidR="001035B6">
        <w:rPr>
          <w:noProof/>
          <w:lang w:val="en-US"/>
        </w:rPr>
        <w:t>-</w:t>
      </w:r>
      <w:r w:rsidR="006C3EF8">
        <w:rPr>
          <w:noProof/>
          <w:lang w:val="en-US"/>
        </w:rPr>
        <w:t>200 MtCO2</w:t>
      </w:r>
      <w:r w:rsidR="0024167F">
        <w:rPr>
          <w:noProof/>
          <w:lang w:val="en-US"/>
        </w:rPr>
        <w:t>)</w:t>
      </w:r>
      <w:r w:rsidR="00A70B9D">
        <w:rPr>
          <w:noProof/>
          <w:lang w:val="en-US"/>
        </w:rPr>
        <w:t xml:space="preserve"> (</w:t>
      </w:r>
      <w:r w:rsidR="00A70B9D" w:rsidRPr="00B932BF">
        <w:rPr>
          <w:rStyle w:val="FootnoteReference"/>
          <w:noProof/>
          <w:lang w:val="en-US"/>
        </w:rPr>
        <w:footnoteReference w:id="36"/>
      </w:r>
      <w:r w:rsidR="00A70B9D">
        <w:rPr>
          <w:noProof/>
          <w:lang w:val="en-US"/>
        </w:rPr>
        <w:t>)</w:t>
      </w:r>
      <w:r w:rsidR="0024167F">
        <w:rPr>
          <w:noProof/>
          <w:lang w:val="en-US"/>
        </w:rPr>
        <w:t xml:space="preserve">.  </w:t>
      </w:r>
    </w:p>
    <w:p w14:paraId="1901AA42" w14:textId="6F41B4A0" w:rsidR="007548EC" w:rsidRDefault="00987734" w:rsidP="00605D3F">
      <w:pPr>
        <w:pStyle w:val="Text3"/>
        <w:ind w:left="0" w:firstLine="0"/>
        <w:rPr>
          <w:rFonts w:cs="Times New Roman"/>
          <w:noProof/>
        </w:rPr>
      </w:pPr>
      <w:r>
        <w:rPr>
          <w:noProof/>
        </w:rPr>
        <w:t>In th</w:t>
      </w:r>
      <w:r w:rsidR="004C13B5">
        <w:rPr>
          <w:noProof/>
        </w:rPr>
        <w:t>e modelling</w:t>
      </w:r>
      <w:r>
        <w:rPr>
          <w:noProof/>
        </w:rPr>
        <w:t xml:space="preserve"> analysis, t</w:t>
      </w:r>
      <w:r w:rsidR="00527FEA">
        <w:rPr>
          <w:noProof/>
        </w:rPr>
        <w:t xml:space="preserve">he amount of </w:t>
      </w:r>
      <w:r w:rsidR="00A31146">
        <w:rPr>
          <w:noProof/>
        </w:rPr>
        <w:t xml:space="preserve">projected </w:t>
      </w:r>
      <w:r w:rsidR="00527FEA">
        <w:rPr>
          <w:noProof/>
        </w:rPr>
        <w:t>gross GHG emissions</w:t>
      </w:r>
      <w:r w:rsidR="00177E17">
        <w:rPr>
          <w:noProof/>
        </w:rPr>
        <w:t xml:space="preserve"> in 2040</w:t>
      </w:r>
      <w:r w:rsidR="00527FEA">
        <w:rPr>
          <w:noProof/>
        </w:rPr>
        <w:t xml:space="preserve"> and </w:t>
      </w:r>
      <w:r w:rsidR="002D25D7">
        <w:rPr>
          <w:noProof/>
        </w:rPr>
        <w:t xml:space="preserve">the </w:t>
      </w:r>
      <w:r w:rsidR="002D25D7">
        <w:rPr>
          <w:rFonts w:cs="Times New Roman"/>
          <w:noProof/>
        </w:rPr>
        <w:t xml:space="preserve">contribution of nature-based removals </w:t>
      </w:r>
      <w:r w:rsidR="002D25D7">
        <w:rPr>
          <w:noProof/>
        </w:rPr>
        <w:t xml:space="preserve">lies </w:t>
      </w:r>
      <w:r w:rsidR="00177E17">
        <w:rPr>
          <w:noProof/>
        </w:rPr>
        <w:t>within the</w:t>
      </w:r>
      <w:r w:rsidR="00527FEA">
        <w:rPr>
          <w:noProof/>
        </w:rPr>
        <w:t xml:space="preserve"> range </w:t>
      </w:r>
      <w:r w:rsidR="00B932BF">
        <w:rPr>
          <w:noProof/>
        </w:rPr>
        <w:t xml:space="preserve">of the 36 </w:t>
      </w:r>
      <w:r w:rsidR="00E45A1C">
        <w:rPr>
          <w:noProof/>
        </w:rPr>
        <w:t xml:space="preserve">ESABCC </w:t>
      </w:r>
      <w:r w:rsidR="00B932BF">
        <w:rPr>
          <w:noProof/>
        </w:rPr>
        <w:t xml:space="preserve">scenarios </w:t>
      </w:r>
      <w:r w:rsidR="00303DF8">
        <w:rPr>
          <w:noProof/>
        </w:rPr>
        <w:t>studied</w:t>
      </w:r>
      <w:r w:rsidR="00527FEA">
        <w:rPr>
          <w:noProof/>
        </w:rPr>
        <w:t xml:space="preserve"> by the </w:t>
      </w:r>
      <w:r w:rsidR="00CD1490">
        <w:rPr>
          <w:noProof/>
        </w:rPr>
        <w:t>ESABCC</w:t>
      </w:r>
      <w:r w:rsidR="00527FEA">
        <w:rPr>
          <w:rFonts w:cs="Times New Roman"/>
          <w:noProof/>
        </w:rPr>
        <w:t>.</w:t>
      </w:r>
      <w:r w:rsidR="00590369">
        <w:rPr>
          <w:rFonts w:cs="Times New Roman"/>
          <w:noProof/>
        </w:rPr>
        <w:t xml:space="preserve"> </w:t>
      </w:r>
      <w:r w:rsidR="00260331">
        <w:rPr>
          <w:rFonts w:cs="Times New Roman"/>
          <w:noProof/>
        </w:rPr>
        <w:t>Instead, w</w:t>
      </w:r>
      <w:r w:rsidR="000A69F9">
        <w:rPr>
          <w:rFonts w:cs="Times New Roman"/>
          <w:noProof/>
        </w:rPr>
        <w:t>hile</w:t>
      </w:r>
      <w:r w:rsidR="00CA517A">
        <w:rPr>
          <w:rFonts w:cs="Times New Roman"/>
          <w:noProof/>
        </w:rPr>
        <w:t xml:space="preserve"> t</w:t>
      </w:r>
      <w:r w:rsidR="00177E17">
        <w:rPr>
          <w:rFonts w:cs="Times New Roman"/>
          <w:noProof/>
        </w:rPr>
        <w:t xml:space="preserve">he industrial removals in the </w:t>
      </w:r>
      <w:r w:rsidR="00B72E28">
        <w:rPr>
          <w:rFonts w:cs="Times New Roman"/>
          <w:noProof/>
        </w:rPr>
        <w:t>main</w:t>
      </w:r>
      <w:r w:rsidR="006C343E">
        <w:rPr>
          <w:rFonts w:cs="Times New Roman"/>
          <w:noProof/>
        </w:rPr>
        <w:t xml:space="preserve"> </w:t>
      </w:r>
      <w:r w:rsidR="00177E17">
        <w:rPr>
          <w:rFonts w:cs="Times New Roman"/>
          <w:noProof/>
        </w:rPr>
        <w:t xml:space="preserve">scenarios </w:t>
      </w:r>
      <w:r w:rsidR="00E2543E">
        <w:rPr>
          <w:rFonts w:cs="Times New Roman"/>
          <w:noProof/>
        </w:rPr>
        <w:t>lie</w:t>
      </w:r>
      <w:r w:rsidR="000A69F9">
        <w:rPr>
          <w:rFonts w:cs="Times New Roman"/>
          <w:noProof/>
        </w:rPr>
        <w:t xml:space="preserve"> </w:t>
      </w:r>
      <w:r w:rsidR="00830B89">
        <w:rPr>
          <w:rFonts w:cs="Times New Roman"/>
          <w:noProof/>
        </w:rPr>
        <w:t>in</w:t>
      </w:r>
      <w:r w:rsidR="000A69F9">
        <w:rPr>
          <w:rFonts w:cs="Times New Roman"/>
          <w:noProof/>
        </w:rPr>
        <w:t xml:space="preserve"> </w:t>
      </w:r>
      <w:r w:rsidR="006C343E">
        <w:rPr>
          <w:rFonts w:cs="Times New Roman"/>
          <w:noProof/>
        </w:rPr>
        <w:t xml:space="preserve">the </w:t>
      </w:r>
      <w:r w:rsidR="00B932BF">
        <w:rPr>
          <w:rFonts w:cs="Times New Roman"/>
          <w:noProof/>
        </w:rPr>
        <w:t>lower</w:t>
      </w:r>
      <w:r w:rsidR="000A69F9">
        <w:rPr>
          <w:rFonts w:cs="Times New Roman"/>
          <w:noProof/>
        </w:rPr>
        <w:t xml:space="preserve"> </w:t>
      </w:r>
      <w:r w:rsidR="00E2543E">
        <w:rPr>
          <w:rFonts w:cs="Times New Roman"/>
          <w:noProof/>
        </w:rPr>
        <w:t>end of the range of</w:t>
      </w:r>
      <w:r w:rsidR="000A69F9">
        <w:rPr>
          <w:rFonts w:cs="Times New Roman"/>
          <w:noProof/>
        </w:rPr>
        <w:t xml:space="preserve"> </w:t>
      </w:r>
      <w:r w:rsidR="006C343E">
        <w:rPr>
          <w:rFonts w:cs="Times New Roman"/>
          <w:noProof/>
        </w:rPr>
        <w:t>the 36</w:t>
      </w:r>
      <w:r w:rsidR="00A85085">
        <w:rPr>
          <w:rFonts w:cs="Times New Roman"/>
          <w:noProof/>
        </w:rPr>
        <w:t xml:space="preserve"> </w:t>
      </w:r>
      <w:r w:rsidR="006C343E">
        <w:rPr>
          <w:rFonts w:cs="Times New Roman"/>
          <w:noProof/>
        </w:rPr>
        <w:t>scenarios</w:t>
      </w:r>
      <w:r w:rsidR="00E2543E">
        <w:rPr>
          <w:rFonts w:cs="Times New Roman"/>
          <w:noProof/>
        </w:rPr>
        <w:t xml:space="preserve"> analysed</w:t>
      </w:r>
      <w:r w:rsidR="00CA517A">
        <w:rPr>
          <w:rFonts w:cs="Times New Roman"/>
          <w:noProof/>
        </w:rPr>
        <w:t>, a</w:t>
      </w:r>
      <w:r w:rsidR="00177E17">
        <w:rPr>
          <w:rFonts w:cs="Times New Roman"/>
          <w:noProof/>
        </w:rPr>
        <w:t>chieving reductions up to 90% and beyond</w:t>
      </w:r>
      <w:r w:rsidR="00395C92">
        <w:rPr>
          <w:rFonts w:cs="Times New Roman"/>
          <w:noProof/>
        </w:rPr>
        <w:t xml:space="preserve"> in 2040</w:t>
      </w:r>
      <w:r w:rsidR="00177E17">
        <w:rPr>
          <w:rFonts w:cs="Times New Roman"/>
          <w:noProof/>
        </w:rPr>
        <w:t xml:space="preserve"> </w:t>
      </w:r>
      <w:r w:rsidR="003B4135">
        <w:rPr>
          <w:rFonts w:cs="Times New Roman"/>
          <w:noProof/>
        </w:rPr>
        <w:t>cannot rely only</w:t>
      </w:r>
      <w:r w:rsidR="00177E17">
        <w:rPr>
          <w:rFonts w:cs="Times New Roman"/>
          <w:noProof/>
        </w:rPr>
        <w:t xml:space="preserve"> on </w:t>
      </w:r>
      <w:r w:rsidR="00EE17A9">
        <w:rPr>
          <w:rFonts w:cs="Times New Roman"/>
          <w:noProof/>
        </w:rPr>
        <w:t>LULUCF net removals and needs</w:t>
      </w:r>
      <w:r w:rsidR="00177E17">
        <w:rPr>
          <w:rFonts w:cs="Times New Roman"/>
          <w:noProof/>
        </w:rPr>
        <w:t xml:space="preserve"> to </w:t>
      </w:r>
      <w:r w:rsidR="005E74B4">
        <w:rPr>
          <w:rFonts w:cs="Times New Roman"/>
          <w:noProof/>
        </w:rPr>
        <w:t xml:space="preserve">be </w:t>
      </w:r>
      <w:r w:rsidR="00EE17A9">
        <w:rPr>
          <w:rFonts w:cs="Times New Roman"/>
          <w:noProof/>
        </w:rPr>
        <w:t>complemented by</w:t>
      </w:r>
      <w:r w:rsidR="00177E17">
        <w:rPr>
          <w:rFonts w:cs="Times New Roman"/>
          <w:noProof/>
        </w:rPr>
        <w:t xml:space="preserve"> development of </w:t>
      </w:r>
      <w:r w:rsidR="00EE17A9">
        <w:rPr>
          <w:rFonts w:cs="Times New Roman"/>
          <w:noProof/>
        </w:rPr>
        <w:t xml:space="preserve">industrial </w:t>
      </w:r>
      <w:r w:rsidR="00830B89">
        <w:rPr>
          <w:rFonts w:cs="Times New Roman"/>
          <w:noProof/>
        </w:rPr>
        <w:t>removals</w:t>
      </w:r>
      <w:r w:rsidR="005246A0">
        <w:rPr>
          <w:rFonts w:cs="Times New Roman"/>
          <w:noProof/>
        </w:rPr>
        <w:t>.</w:t>
      </w:r>
    </w:p>
    <w:p w14:paraId="46BB4347" w14:textId="77777777" w:rsidR="007548EC" w:rsidRDefault="007548EC">
      <w:pPr>
        <w:spacing w:after="0"/>
        <w:jc w:val="left"/>
        <w:rPr>
          <w:rFonts w:cs="Times New Roman"/>
          <w:noProof/>
        </w:rPr>
      </w:pPr>
      <w:r>
        <w:rPr>
          <w:rFonts w:cs="Times New Roman"/>
          <w:noProof/>
        </w:rPr>
        <w:br w:type="page"/>
      </w:r>
    </w:p>
    <w:p w14:paraId="63B69A13" w14:textId="77777777" w:rsidR="000F2100" w:rsidRDefault="000F2100" w:rsidP="00605D3F">
      <w:pPr>
        <w:pStyle w:val="Text3"/>
        <w:ind w:left="0" w:firstLine="0"/>
        <w:rPr>
          <w:rFonts w:cs="Times New Roman"/>
          <w:noProof/>
        </w:rPr>
      </w:pPr>
    </w:p>
    <w:p w14:paraId="3A2F6AAE" w14:textId="4C6955EE" w:rsidR="002D544E" w:rsidRDefault="002D544E" w:rsidP="002D544E">
      <w:pPr>
        <w:pStyle w:val="Heading4"/>
        <w:rPr>
          <w:noProof/>
        </w:rPr>
      </w:pPr>
      <w:r>
        <w:rPr>
          <w:noProof/>
        </w:rPr>
        <w:t>GHG pathways</w:t>
      </w:r>
    </w:p>
    <w:p w14:paraId="4F73F697" w14:textId="0FDBA3A4" w:rsidR="002D544E" w:rsidRDefault="0009247D" w:rsidP="005969E4">
      <w:pPr>
        <w:rPr>
          <w:noProof/>
          <w:lang w:val="en-IE"/>
        </w:rPr>
      </w:pPr>
      <w:r>
        <w:rPr>
          <w:noProof/>
          <w:highlight w:val="yellow"/>
          <w:lang w:val="en-IE"/>
        </w:rPr>
        <w:fldChar w:fldCharType="begin"/>
      </w:r>
      <w:r>
        <w:rPr>
          <w:noProof/>
          <w:highlight w:val="yellow"/>
          <w:lang w:val="en-IE"/>
        </w:rPr>
        <w:instrText xml:space="preserve"> REF _Ref146462353 \h </w:instrText>
      </w:r>
      <w:r>
        <w:rPr>
          <w:noProof/>
          <w:highlight w:val="yellow"/>
          <w:lang w:val="en-IE"/>
        </w:rPr>
      </w:r>
      <w:r>
        <w:rPr>
          <w:noProof/>
          <w:highlight w:val="yellow"/>
          <w:lang w:val="en-IE"/>
        </w:rPr>
        <w:fldChar w:fldCharType="separate"/>
      </w:r>
      <w:r w:rsidR="00170A3C">
        <w:rPr>
          <w:noProof/>
        </w:rPr>
        <w:t>Figure 5</w:t>
      </w:r>
      <w:r>
        <w:rPr>
          <w:noProof/>
          <w:highlight w:val="yellow"/>
          <w:lang w:val="en-IE"/>
        </w:rPr>
        <w:fldChar w:fldCharType="end"/>
      </w:r>
      <w:r w:rsidR="002D544E">
        <w:rPr>
          <w:noProof/>
          <w:lang w:val="en-IE"/>
        </w:rPr>
        <w:t xml:space="preserve"> </w:t>
      </w:r>
      <w:r w:rsidR="004C13B5">
        <w:rPr>
          <w:noProof/>
          <w:lang w:val="en-IE"/>
        </w:rPr>
        <w:t xml:space="preserve">summarises the analysis of the previous sections and </w:t>
      </w:r>
      <w:r w:rsidR="002D544E">
        <w:rPr>
          <w:noProof/>
          <w:lang w:val="en-IE"/>
        </w:rPr>
        <w:t>shows the net economy-wide GHG emission pathways. While all scenarios follow the same pathway until 2030, they diverge after that year, leading to distinct trajectories for the 2030-2050 decade</w:t>
      </w:r>
      <w:r w:rsidR="000160EF">
        <w:rPr>
          <w:noProof/>
          <w:lang w:val="en-IE"/>
        </w:rPr>
        <w:t xml:space="preserve"> before converging to net-zero by 2050.</w:t>
      </w:r>
      <w:r w:rsidR="002D544E">
        <w:rPr>
          <w:noProof/>
          <w:lang w:val="en-IE"/>
        </w:rPr>
        <w:t xml:space="preserve"> </w:t>
      </w:r>
    </w:p>
    <w:p w14:paraId="2EC7EE93" w14:textId="25F49750" w:rsidR="002D544E" w:rsidRDefault="002D544E" w:rsidP="002D544E">
      <w:pPr>
        <w:pStyle w:val="Caption"/>
        <w:jc w:val="left"/>
        <w:rPr>
          <w:noProof/>
        </w:rPr>
      </w:pPr>
      <w:bookmarkStart w:id="54" w:name="_Ref146462353"/>
      <w:bookmarkStart w:id="55" w:name="_Ref146462350"/>
      <w:bookmarkStart w:id="56" w:name="_Toc157679753"/>
      <w:r>
        <w:rPr>
          <w:noProof/>
        </w:rPr>
        <w:t xml:space="preserve">Figure </w:t>
      </w:r>
      <w:r>
        <w:rPr>
          <w:noProof/>
        </w:rPr>
        <w:fldChar w:fldCharType="begin"/>
      </w:r>
      <w:r>
        <w:rPr>
          <w:noProof/>
        </w:rPr>
        <w:instrText>SEQ Figure \* ARABIC</w:instrText>
      </w:r>
      <w:r>
        <w:rPr>
          <w:noProof/>
        </w:rPr>
        <w:fldChar w:fldCharType="separate"/>
      </w:r>
      <w:r w:rsidR="00170A3C">
        <w:rPr>
          <w:noProof/>
        </w:rPr>
        <w:t>5</w:t>
      </w:r>
      <w:r>
        <w:rPr>
          <w:noProof/>
        </w:rPr>
        <w:fldChar w:fldCharType="end"/>
      </w:r>
      <w:bookmarkEnd w:id="54"/>
      <w:r>
        <w:rPr>
          <w:noProof/>
        </w:rPr>
        <w:t>: Economy-wide GHG emission pathways</w:t>
      </w:r>
      <w:bookmarkEnd w:id="55"/>
      <w:bookmarkEnd w:id="56"/>
    </w:p>
    <w:p w14:paraId="1E491F96" w14:textId="2221430D" w:rsidR="00CE01C8" w:rsidRPr="00CE01C8" w:rsidRDefault="008C7771" w:rsidP="00CE01C8">
      <w:pPr>
        <w:rPr>
          <w:noProof/>
        </w:rPr>
      </w:pPr>
      <w:r w:rsidRPr="008C7771">
        <w:rPr>
          <w:noProof/>
          <w:lang w:eastAsia="en-GB"/>
        </w:rPr>
        <w:drawing>
          <wp:inline distT="0" distB="0" distL="0" distR="0" wp14:anchorId="6B5146A1" wp14:editId="67DFF67E">
            <wp:extent cx="5138420" cy="4462780"/>
            <wp:effectExtent l="0" t="0" r="508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138420" cy="4462780"/>
                    </a:xfrm>
                    <a:prstGeom prst="rect">
                      <a:avLst/>
                    </a:prstGeom>
                    <a:noFill/>
                    <a:ln>
                      <a:noFill/>
                    </a:ln>
                  </pic:spPr>
                </pic:pic>
              </a:graphicData>
            </a:graphic>
          </wp:inline>
        </w:drawing>
      </w:r>
    </w:p>
    <w:p w14:paraId="0AD7E2B5" w14:textId="488E8467" w:rsidR="002D544E" w:rsidRDefault="00697A21" w:rsidP="00F11618">
      <w:pPr>
        <w:pStyle w:val="CT-SOURCE"/>
        <w:rPr>
          <w:noProof/>
        </w:rPr>
      </w:pPr>
      <w:r w:rsidRPr="00697A21" w:rsidDel="00697A21">
        <w:rPr>
          <w:noProof/>
        </w:rPr>
        <w:t xml:space="preserve"> </w:t>
      </w:r>
      <w:r w:rsidR="002D544E" w:rsidRPr="61BF51EC">
        <w:rPr>
          <w:noProof/>
        </w:rPr>
        <w:t xml:space="preserve">Source: </w:t>
      </w:r>
      <w:r w:rsidR="002D544E">
        <w:rPr>
          <w:noProof/>
        </w:rPr>
        <w:t>PRIMES,</w:t>
      </w:r>
      <w:r w:rsidR="005576FE" w:rsidRPr="61BF51EC">
        <w:rPr>
          <w:noProof/>
        </w:rPr>
        <w:t xml:space="preserve"> </w:t>
      </w:r>
      <w:r w:rsidR="002D544E" w:rsidRPr="61BF51EC">
        <w:rPr>
          <w:noProof/>
        </w:rPr>
        <w:t>GAIN</w:t>
      </w:r>
      <w:r w:rsidR="002D544E">
        <w:rPr>
          <w:noProof/>
        </w:rPr>
        <w:t>S, GLOBIOM</w:t>
      </w:r>
      <w:r w:rsidR="002D544E" w:rsidRPr="61BF51EC">
        <w:rPr>
          <w:noProof/>
        </w:rPr>
        <w:t>.</w:t>
      </w:r>
    </w:p>
    <w:p w14:paraId="36FC0E0A" w14:textId="7CD5CF8F" w:rsidR="00F11618" w:rsidRPr="00F70912" w:rsidRDefault="00F11618" w:rsidP="00F54C3A">
      <w:pPr>
        <w:spacing w:after="0"/>
        <w:jc w:val="left"/>
        <w:rPr>
          <w:rFonts w:ascii="Cambria Math" w:hAnsi="Cambria Math"/>
          <w:i/>
          <w:noProof/>
        </w:rPr>
      </w:pPr>
    </w:p>
    <w:p w14:paraId="037BD35F" w14:textId="36722655" w:rsidR="00E37067" w:rsidRPr="00763457" w:rsidRDefault="00E37067" w:rsidP="00763457">
      <w:pPr>
        <w:pStyle w:val="Heading3"/>
        <w:rPr>
          <w:noProof/>
        </w:rPr>
      </w:pPr>
      <w:bookmarkStart w:id="57" w:name="_Ref141878042"/>
      <w:bookmarkStart w:id="58" w:name="_Toc148605583"/>
      <w:bookmarkStart w:id="59" w:name="_Toc157692028"/>
      <w:r w:rsidRPr="00763457">
        <w:rPr>
          <w:noProof/>
        </w:rPr>
        <w:t xml:space="preserve">Energy </w:t>
      </w:r>
      <w:r w:rsidR="00E44F27">
        <w:rPr>
          <w:noProof/>
        </w:rPr>
        <w:t>and</w:t>
      </w:r>
      <w:r w:rsidRPr="00763457">
        <w:rPr>
          <w:noProof/>
        </w:rPr>
        <w:t xml:space="preserve"> Industry CO2 emissions</w:t>
      </w:r>
      <w:bookmarkEnd w:id="57"/>
      <w:bookmarkEnd w:id="58"/>
      <w:bookmarkEnd w:id="59"/>
    </w:p>
    <w:p w14:paraId="2C5211D2" w14:textId="39A4048E" w:rsidR="00202695" w:rsidRDefault="00202695" w:rsidP="00F7719F">
      <w:pPr>
        <w:pStyle w:val="Heading4"/>
        <w:rPr>
          <w:noProof/>
        </w:rPr>
      </w:pPr>
      <w:r>
        <w:rPr>
          <w:noProof/>
        </w:rPr>
        <w:t>Net CO2 emissions</w:t>
      </w:r>
    </w:p>
    <w:p w14:paraId="4121178E" w14:textId="2954348A" w:rsidR="00301E07" w:rsidRDefault="00120905" w:rsidP="009B087D">
      <w:pPr>
        <w:pStyle w:val="Text2"/>
        <w:rPr>
          <w:noProof/>
          <w:lang w:val="en-IE"/>
        </w:rPr>
      </w:pPr>
      <w:r>
        <w:rPr>
          <w:noProof/>
          <w:lang w:val="en-IE"/>
        </w:rPr>
        <w:fldChar w:fldCharType="begin"/>
      </w:r>
      <w:r>
        <w:rPr>
          <w:noProof/>
          <w:lang w:val="en-IE"/>
        </w:rPr>
        <w:instrText xml:space="preserve"> REF _Ref143259782 \h </w:instrText>
      </w:r>
      <w:r w:rsidR="00F2113D">
        <w:rPr>
          <w:noProof/>
          <w:lang w:val="en-IE"/>
        </w:rPr>
        <w:instrText xml:space="preserve"> \* MERGEFORMAT </w:instrText>
      </w:r>
      <w:r>
        <w:rPr>
          <w:noProof/>
          <w:lang w:val="en-IE"/>
        </w:rPr>
      </w:r>
      <w:r>
        <w:rPr>
          <w:noProof/>
          <w:lang w:val="en-IE"/>
        </w:rPr>
        <w:fldChar w:fldCharType="separate"/>
      </w:r>
      <w:r w:rsidR="00170A3C">
        <w:rPr>
          <w:noProof/>
        </w:rPr>
        <w:t>Figure 6</w:t>
      </w:r>
      <w:r>
        <w:rPr>
          <w:noProof/>
          <w:lang w:val="en-IE"/>
        </w:rPr>
        <w:fldChar w:fldCharType="end"/>
      </w:r>
      <w:r w:rsidR="004A20B4">
        <w:rPr>
          <w:noProof/>
          <w:lang w:val="en-IE"/>
        </w:rPr>
        <w:t xml:space="preserve"> shows the </w:t>
      </w:r>
      <w:r w:rsidR="0054001A">
        <w:rPr>
          <w:noProof/>
          <w:lang w:val="en-IE"/>
        </w:rPr>
        <w:t>trajectories</w:t>
      </w:r>
      <w:r w:rsidR="00A16F5A">
        <w:rPr>
          <w:noProof/>
          <w:lang w:val="en-IE"/>
        </w:rPr>
        <w:t xml:space="preserve"> for the energy and industry </w:t>
      </w:r>
      <w:r w:rsidR="004A20B4">
        <w:rPr>
          <w:noProof/>
          <w:lang w:val="en-IE"/>
        </w:rPr>
        <w:t xml:space="preserve">net </w:t>
      </w:r>
      <w:r w:rsidR="00A16F5A">
        <w:rPr>
          <w:noProof/>
          <w:lang w:val="en-IE"/>
        </w:rPr>
        <w:t>CO2 emissions</w:t>
      </w:r>
      <w:r w:rsidR="00A16F5A" w:rsidRPr="0025607E">
        <w:rPr>
          <w:noProof/>
          <w:lang w:val="en-IE"/>
        </w:rPr>
        <w:t> (</w:t>
      </w:r>
      <w:r w:rsidR="00A16F5A">
        <w:rPr>
          <w:rStyle w:val="FootnoteReference"/>
          <w:noProof/>
          <w:lang w:val="en-IE"/>
        </w:rPr>
        <w:footnoteReference w:id="37"/>
      </w:r>
      <w:r w:rsidR="00A16F5A">
        <w:rPr>
          <w:noProof/>
          <w:lang w:val="en-IE"/>
        </w:rPr>
        <w:t>)</w:t>
      </w:r>
      <w:r w:rsidR="000160EF">
        <w:rPr>
          <w:noProof/>
          <w:lang w:val="en-IE"/>
        </w:rPr>
        <w:t xml:space="preserve"> </w:t>
      </w:r>
      <w:r w:rsidR="004A20B4">
        <w:rPr>
          <w:noProof/>
          <w:lang w:val="en-IE"/>
        </w:rPr>
        <w:t>in the differen</w:t>
      </w:r>
      <w:r w:rsidR="00E1333C">
        <w:rPr>
          <w:noProof/>
          <w:lang w:val="en-IE"/>
        </w:rPr>
        <w:t>t</w:t>
      </w:r>
      <w:r w:rsidR="004A20B4">
        <w:rPr>
          <w:noProof/>
          <w:lang w:val="en-IE"/>
        </w:rPr>
        <w:t xml:space="preserve"> scenarios. </w:t>
      </w:r>
    </w:p>
    <w:p w14:paraId="06774DC5" w14:textId="489057E2" w:rsidR="00885F9F" w:rsidRDefault="009C4ECC" w:rsidP="00734CC0">
      <w:pPr>
        <w:pStyle w:val="Caption"/>
        <w:rPr>
          <w:noProof/>
        </w:rPr>
      </w:pPr>
      <w:bookmarkStart w:id="60" w:name="_Ref143259782"/>
      <w:bookmarkStart w:id="61" w:name="_Toc157679754"/>
      <w:bookmarkStart w:id="62" w:name="_Ref141286353"/>
      <w:r>
        <w:rPr>
          <w:noProof/>
        </w:rPr>
        <w:t xml:space="preserve">Figure </w:t>
      </w:r>
      <w:r>
        <w:rPr>
          <w:noProof/>
        </w:rPr>
        <w:fldChar w:fldCharType="begin"/>
      </w:r>
      <w:r>
        <w:rPr>
          <w:noProof/>
        </w:rPr>
        <w:instrText>SEQ Figure \* ARABIC</w:instrText>
      </w:r>
      <w:r>
        <w:rPr>
          <w:noProof/>
        </w:rPr>
        <w:fldChar w:fldCharType="separate"/>
      </w:r>
      <w:r w:rsidR="00170A3C">
        <w:rPr>
          <w:noProof/>
        </w:rPr>
        <w:t>6</w:t>
      </w:r>
      <w:r>
        <w:rPr>
          <w:noProof/>
        </w:rPr>
        <w:fldChar w:fldCharType="end"/>
      </w:r>
      <w:bookmarkEnd w:id="60"/>
      <w:r>
        <w:rPr>
          <w:noProof/>
        </w:rPr>
        <w:t xml:space="preserve">: Energy and Industry </w:t>
      </w:r>
      <w:r w:rsidR="00DB7844">
        <w:rPr>
          <w:noProof/>
        </w:rPr>
        <w:t xml:space="preserve">net </w:t>
      </w:r>
      <w:r>
        <w:rPr>
          <w:noProof/>
        </w:rPr>
        <w:t>CO2 emissions</w:t>
      </w:r>
      <w:bookmarkEnd w:id="61"/>
      <w:r>
        <w:rPr>
          <w:noProof/>
        </w:rPr>
        <w:t xml:space="preserve"> </w:t>
      </w:r>
    </w:p>
    <w:p w14:paraId="6F6BAB06" w14:textId="66AE4EC5" w:rsidR="006F3883" w:rsidRPr="00336DCD" w:rsidRDefault="003E465A" w:rsidP="00734CC0">
      <w:pPr>
        <w:keepNext/>
        <w:rPr>
          <w:rFonts w:cs="Times New Roman"/>
          <w:i/>
          <w:iCs/>
          <w:noProof/>
        </w:rPr>
      </w:pPr>
      <w:r w:rsidRPr="003E465A">
        <w:rPr>
          <w:rFonts w:cs="Times New Roman"/>
          <w:i/>
          <w:iCs/>
          <w:noProof/>
        </w:rPr>
        <w:t xml:space="preserve"> </w:t>
      </w:r>
      <w:r w:rsidRPr="003E465A">
        <w:rPr>
          <w:noProof/>
          <w:lang w:eastAsia="en-GB"/>
        </w:rPr>
        <w:drawing>
          <wp:inline distT="0" distB="0" distL="0" distR="0" wp14:anchorId="50516A14" wp14:editId="101515CA">
            <wp:extent cx="5472430" cy="2383155"/>
            <wp:effectExtent l="0" t="0" r="0" b="0"/>
            <wp:docPr id="1406946434" name="Picture 1406946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72430" cy="2383155"/>
                    </a:xfrm>
                    <a:prstGeom prst="rect">
                      <a:avLst/>
                    </a:prstGeom>
                    <a:noFill/>
                    <a:ln>
                      <a:noFill/>
                    </a:ln>
                  </pic:spPr>
                </pic:pic>
              </a:graphicData>
            </a:graphic>
          </wp:inline>
        </w:drawing>
      </w:r>
    </w:p>
    <w:bookmarkEnd w:id="62"/>
    <w:p w14:paraId="1BEFE667" w14:textId="62C5DE1E" w:rsidR="009C4ECC" w:rsidRDefault="009C4ECC" w:rsidP="00E933E0">
      <w:pPr>
        <w:pStyle w:val="CT-NOTE"/>
        <w:rPr>
          <w:noProof/>
        </w:rPr>
      </w:pPr>
      <w:r w:rsidRPr="00312073">
        <w:rPr>
          <w:noProof/>
        </w:rPr>
        <w:t xml:space="preserve">Note: </w:t>
      </w:r>
      <w:r w:rsidR="008155E3">
        <w:rPr>
          <w:noProof/>
        </w:rPr>
        <w:t xml:space="preserve">Power and </w:t>
      </w:r>
      <w:r w:rsidR="000160EF">
        <w:rPr>
          <w:noProof/>
        </w:rPr>
        <w:t>District Heating (</w:t>
      </w:r>
      <w:r w:rsidR="008155E3">
        <w:rPr>
          <w:noProof/>
        </w:rPr>
        <w:t>DH</w:t>
      </w:r>
      <w:r w:rsidR="000160EF">
        <w:rPr>
          <w:noProof/>
        </w:rPr>
        <w:t>)</w:t>
      </w:r>
      <w:r w:rsidR="008155E3">
        <w:rPr>
          <w:noProof/>
        </w:rPr>
        <w:t xml:space="preserve"> include BECCS. Other energy includes </w:t>
      </w:r>
      <w:r w:rsidR="000160EF">
        <w:rPr>
          <w:noProof/>
        </w:rPr>
        <w:t>energy branch and</w:t>
      </w:r>
      <w:r w:rsidR="008155E3">
        <w:rPr>
          <w:noProof/>
        </w:rPr>
        <w:t xml:space="preserve"> DACCS. </w:t>
      </w:r>
      <w:r w:rsidR="0038602D" w:rsidRPr="0038602D">
        <w:rPr>
          <w:noProof/>
        </w:rPr>
        <w:t>Residual and service</w:t>
      </w:r>
      <w:r w:rsidR="004A20B4">
        <w:rPr>
          <w:noProof/>
        </w:rPr>
        <w:t>s</w:t>
      </w:r>
      <w:r w:rsidR="0038602D" w:rsidRPr="0038602D">
        <w:rPr>
          <w:noProof/>
        </w:rPr>
        <w:t xml:space="preserve"> includes fossil fuel combustion in the agriculture/fishery/forestry sector</w:t>
      </w:r>
      <w:r w:rsidR="000160EF">
        <w:rPr>
          <w:noProof/>
        </w:rPr>
        <w:t>.</w:t>
      </w:r>
      <w:r w:rsidR="0038602D" w:rsidRPr="0038602D">
        <w:rPr>
          <w:noProof/>
        </w:rPr>
        <w:t xml:space="preserve"> Non-Energy includes industrial processes</w:t>
      </w:r>
      <w:r w:rsidR="007F014E">
        <w:rPr>
          <w:noProof/>
        </w:rPr>
        <w:t xml:space="preserve"> and</w:t>
      </w:r>
      <w:r w:rsidR="0038602D" w:rsidRPr="0038602D">
        <w:rPr>
          <w:noProof/>
        </w:rPr>
        <w:t xml:space="preserve"> fugitive</w:t>
      </w:r>
      <w:r w:rsidR="007F014E">
        <w:rPr>
          <w:noProof/>
        </w:rPr>
        <w:t xml:space="preserve"> emi</w:t>
      </w:r>
      <w:r w:rsidR="004A20B4" w:rsidRPr="005576FE">
        <w:rPr>
          <w:noProof/>
        </w:rPr>
        <w:t>ssions</w:t>
      </w:r>
      <w:r w:rsidR="004A20B4">
        <w:rPr>
          <w:noProof/>
        </w:rPr>
        <w:t xml:space="preserve">. </w:t>
      </w:r>
    </w:p>
    <w:p w14:paraId="5D66B04B" w14:textId="77777777" w:rsidR="009C4ECC" w:rsidRPr="00312073" w:rsidRDefault="009C4ECC" w:rsidP="00E933E0">
      <w:pPr>
        <w:pStyle w:val="CT-SOURCE"/>
        <w:rPr>
          <w:noProof/>
        </w:rPr>
      </w:pPr>
      <w:r w:rsidRPr="00312073">
        <w:rPr>
          <w:noProof/>
        </w:rPr>
        <w:t>Source: PRIMES.</w:t>
      </w:r>
    </w:p>
    <w:p w14:paraId="16CDD621" w14:textId="08C30991" w:rsidR="000A5B1D" w:rsidRDefault="004A20B4" w:rsidP="009B087D">
      <w:pPr>
        <w:pStyle w:val="Text2"/>
        <w:rPr>
          <w:noProof/>
          <w:lang w:val="en-IE"/>
        </w:rPr>
      </w:pPr>
      <w:r>
        <w:rPr>
          <w:noProof/>
        </w:rPr>
        <w:t>In line with current</w:t>
      </w:r>
      <w:r w:rsidR="00C320B0">
        <w:rPr>
          <w:noProof/>
        </w:rPr>
        <w:t xml:space="preserve"> policies, CO2 emissions from the energy sector are projected to more than </w:t>
      </w:r>
      <w:r w:rsidR="00345E4E">
        <w:rPr>
          <w:noProof/>
        </w:rPr>
        <w:t>halve</w:t>
      </w:r>
      <w:r w:rsidR="00C320B0">
        <w:rPr>
          <w:noProof/>
        </w:rPr>
        <w:t xml:space="preserve"> already in 2030 with respect to 2015. </w:t>
      </w:r>
      <w:r w:rsidR="000160EF">
        <w:rPr>
          <w:noProof/>
        </w:rPr>
        <w:t>A</w:t>
      </w:r>
      <w:r w:rsidR="00D833C9">
        <w:rPr>
          <w:noProof/>
        </w:rPr>
        <w:t xml:space="preserve">chieving </w:t>
      </w:r>
      <w:r w:rsidR="000160EF">
        <w:rPr>
          <w:noProof/>
        </w:rPr>
        <w:t xml:space="preserve">net-zero </w:t>
      </w:r>
      <w:r w:rsidR="00D833C9">
        <w:rPr>
          <w:noProof/>
        </w:rPr>
        <w:t xml:space="preserve">in 2050 </w:t>
      </w:r>
      <w:r>
        <w:rPr>
          <w:noProof/>
        </w:rPr>
        <w:t>projects</w:t>
      </w:r>
      <w:r w:rsidR="00D833C9">
        <w:rPr>
          <w:noProof/>
        </w:rPr>
        <w:t xml:space="preserve"> </w:t>
      </w:r>
      <w:r w:rsidR="00DB7844">
        <w:rPr>
          <w:noProof/>
        </w:rPr>
        <w:t xml:space="preserve">net </w:t>
      </w:r>
      <w:r w:rsidR="00D833C9">
        <w:rPr>
          <w:noProof/>
        </w:rPr>
        <w:t xml:space="preserve">CO2 emissions </w:t>
      </w:r>
      <w:r w:rsidR="000160EF">
        <w:rPr>
          <w:noProof/>
        </w:rPr>
        <w:t xml:space="preserve">in </w:t>
      </w:r>
      <w:r w:rsidR="001B1752">
        <w:rPr>
          <w:noProof/>
        </w:rPr>
        <w:t>2040</w:t>
      </w:r>
      <w:r w:rsidR="00D833C9">
        <w:rPr>
          <w:noProof/>
        </w:rPr>
        <w:t xml:space="preserve"> to be in the range </w:t>
      </w:r>
      <w:r w:rsidR="00D833C9" w:rsidRPr="00F86579">
        <w:rPr>
          <w:noProof/>
        </w:rPr>
        <w:t xml:space="preserve">of </w:t>
      </w:r>
      <w:r w:rsidR="0019216C" w:rsidRPr="00F86579">
        <w:rPr>
          <w:noProof/>
        </w:rPr>
        <w:t>3</w:t>
      </w:r>
      <w:r w:rsidR="00F86579" w:rsidRPr="00F86579">
        <w:rPr>
          <w:noProof/>
        </w:rPr>
        <w:t>30</w:t>
      </w:r>
      <w:r w:rsidR="00D833C9" w:rsidRPr="00F86579">
        <w:rPr>
          <w:noProof/>
        </w:rPr>
        <w:t>-</w:t>
      </w:r>
      <w:r w:rsidR="00AD178D" w:rsidRPr="00F86579">
        <w:rPr>
          <w:noProof/>
        </w:rPr>
        <w:t>8</w:t>
      </w:r>
      <w:r w:rsidR="0025519B">
        <w:rPr>
          <w:noProof/>
        </w:rPr>
        <w:t>0</w:t>
      </w:r>
      <w:r w:rsidR="00F86579" w:rsidRPr="00F86579">
        <w:rPr>
          <w:noProof/>
        </w:rPr>
        <w:t>0</w:t>
      </w:r>
      <w:r w:rsidR="00D833C9" w:rsidRPr="00F86579">
        <w:rPr>
          <w:noProof/>
        </w:rPr>
        <w:t xml:space="preserve"> M</w:t>
      </w:r>
      <w:r w:rsidR="00D833C9">
        <w:rPr>
          <w:noProof/>
        </w:rPr>
        <w:t>tCO2 across scenarios</w:t>
      </w:r>
      <w:r w:rsidR="009C7E5F">
        <w:rPr>
          <w:noProof/>
        </w:rPr>
        <w:t>,</w:t>
      </w:r>
      <w:r w:rsidR="0019216C">
        <w:rPr>
          <w:noProof/>
        </w:rPr>
        <w:t xml:space="preserve"> meaning a </w:t>
      </w:r>
      <w:r w:rsidR="0019216C" w:rsidRPr="00F86579">
        <w:rPr>
          <w:noProof/>
        </w:rPr>
        <w:t xml:space="preserve">reduction between </w:t>
      </w:r>
      <w:r w:rsidR="006076DB" w:rsidRPr="00F86579">
        <w:rPr>
          <w:noProof/>
        </w:rPr>
        <w:t>8</w:t>
      </w:r>
      <w:r w:rsidR="00F86579" w:rsidRPr="00F86579">
        <w:rPr>
          <w:noProof/>
        </w:rPr>
        <w:t>0</w:t>
      </w:r>
      <w:r w:rsidR="00E30663" w:rsidRPr="00F86579">
        <w:rPr>
          <w:noProof/>
        </w:rPr>
        <w:t xml:space="preserve">% and </w:t>
      </w:r>
      <w:r w:rsidR="006076DB" w:rsidRPr="00F86579">
        <w:rPr>
          <w:noProof/>
        </w:rPr>
        <w:t>9</w:t>
      </w:r>
      <w:r w:rsidR="00F86579" w:rsidRPr="00F86579">
        <w:rPr>
          <w:noProof/>
        </w:rPr>
        <w:t>2</w:t>
      </w:r>
      <w:r w:rsidR="00E30663" w:rsidRPr="00F86579">
        <w:rPr>
          <w:noProof/>
        </w:rPr>
        <w:t xml:space="preserve">% compared to </w:t>
      </w:r>
      <w:r w:rsidR="006076DB" w:rsidRPr="00F86579">
        <w:rPr>
          <w:noProof/>
        </w:rPr>
        <w:t>1990</w:t>
      </w:r>
      <w:r w:rsidR="00E30663" w:rsidRPr="00F86579">
        <w:rPr>
          <w:noProof/>
        </w:rPr>
        <w:t xml:space="preserve">. </w:t>
      </w:r>
      <w:r w:rsidR="001B1752" w:rsidRPr="00F86579">
        <w:rPr>
          <w:noProof/>
          <w:lang w:val="en-IE"/>
        </w:rPr>
        <w:t xml:space="preserve">S3 reduces emissions by an additional </w:t>
      </w:r>
      <w:r w:rsidR="00BF6813" w:rsidRPr="00F86579">
        <w:rPr>
          <w:noProof/>
          <w:lang w:val="en-IE"/>
        </w:rPr>
        <w:t>5</w:t>
      </w:r>
      <w:r w:rsidR="001B1752" w:rsidRPr="00F86579">
        <w:rPr>
          <w:noProof/>
          <w:lang w:val="en-IE"/>
        </w:rPr>
        <w:t>00 MtCO2 with respect to S1</w:t>
      </w:r>
      <w:r w:rsidR="0063408F" w:rsidRPr="00F86579">
        <w:rPr>
          <w:noProof/>
          <w:lang w:val="en-IE"/>
        </w:rPr>
        <w:t>: this amount corresponds</w:t>
      </w:r>
      <w:r w:rsidR="00895311" w:rsidRPr="00F86579">
        <w:rPr>
          <w:noProof/>
          <w:lang w:val="en-IE"/>
        </w:rPr>
        <w:t xml:space="preserve"> to around </w:t>
      </w:r>
      <w:r w:rsidR="0063408F" w:rsidRPr="00F86579">
        <w:rPr>
          <w:noProof/>
          <w:lang w:val="en-IE"/>
        </w:rPr>
        <w:t>2</w:t>
      </w:r>
      <w:r w:rsidR="00F86579" w:rsidRPr="00F86579">
        <w:rPr>
          <w:noProof/>
          <w:lang w:val="en-IE"/>
        </w:rPr>
        <w:t>0</w:t>
      </w:r>
      <w:r w:rsidR="00895311" w:rsidRPr="00F86579">
        <w:rPr>
          <w:noProof/>
          <w:lang w:val="en-IE"/>
        </w:rPr>
        <w:t xml:space="preserve">% of 2030 </w:t>
      </w:r>
      <w:r w:rsidR="0063408F" w:rsidRPr="00F86579">
        <w:rPr>
          <w:noProof/>
          <w:lang w:val="en-IE"/>
        </w:rPr>
        <w:t xml:space="preserve">total net GHG </w:t>
      </w:r>
      <w:r w:rsidR="00895311" w:rsidRPr="00F86579">
        <w:rPr>
          <w:noProof/>
          <w:lang w:val="en-IE"/>
        </w:rPr>
        <w:t>emissions</w:t>
      </w:r>
      <w:r w:rsidR="001B1752" w:rsidRPr="00F86579">
        <w:rPr>
          <w:noProof/>
          <w:lang w:val="en-IE"/>
        </w:rPr>
        <w:t xml:space="preserve">, </w:t>
      </w:r>
      <w:bookmarkStart w:id="63" w:name="_Hlk141916154"/>
      <w:r w:rsidR="001B1752" w:rsidRPr="00F86579">
        <w:rPr>
          <w:noProof/>
          <w:lang w:val="en-IE"/>
        </w:rPr>
        <w:t xml:space="preserve">indicating </w:t>
      </w:r>
      <w:bookmarkStart w:id="64" w:name="_Hlk141915564"/>
      <w:r w:rsidR="00DE5DAB" w:rsidRPr="00F86579">
        <w:rPr>
          <w:noProof/>
          <w:lang w:val="en-IE"/>
        </w:rPr>
        <w:t xml:space="preserve">the </w:t>
      </w:r>
      <w:r w:rsidR="00DB7844" w:rsidRPr="00F86579">
        <w:rPr>
          <w:noProof/>
          <w:lang w:val="en-IE"/>
        </w:rPr>
        <w:t>important</w:t>
      </w:r>
      <w:r w:rsidR="00DE5DAB" w:rsidRPr="00F86579">
        <w:rPr>
          <w:noProof/>
          <w:lang w:val="en-IE"/>
        </w:rPr>
        <w:t xml:space="preserve"> contribution of the energy and industry </w:t>
      </w:r>
      <w:r w:rsidR="00895311" w:rsidRPr="00F86579">
        <w:rPr>
          <w:noProof/>
          <w:lang w:val="en-IE"/>
        </w:rPr>
        <w:t xml:space="preserve">sectors </w:t>
      </w:r>
      <w:r w:rsidR="00DE5DAB" w:rsidRPr="00F86579">
        <w:rPr>
          <w:noProof/>
          <w:lang w:val="en-IE"/>
        </w:rPr>
        <w:t xml:space="preserve">to </w:t>
      </w:r>
      <w:r w:rsidR="0063408F" w:rsidRPr="00F86579">
        <w:rPr>
          <w:noProof/>
          <w:lang w:val="en-IE"/>
        </w:rPr>
        <w:t>decarbonise the EU economy</w:t>
      </w:r>
      <w:r w:rsidR="00895311" w:rsidRPr="00F86579">
        <w:rPr>
          <w:noProof/>
          <w:lang w:val="en-IE"/>
        </w:rPr>
        <w:t xml:space="preserve"> already by</w:t>
      </w:r>
      <w:r w:rsidR="00DE5DAB" w:rsidRPr="00F86579">
        <w:rPr>
          <w:noProof/>
          <w:lang w:val="en-IE"/>
        </w:rPr>
        <w:t xml:space="preserve"> 2040</w:t>
      </w:r>
      <w:bookmarkEnd w:id="63"/>
      <w:bookmarkEnd w:id="64"/>
      <w:r w:rsidR="001B1752" w:rsidRPr="00F86579">
        <w:rPr>
          <w:noProof/>
          <w:lang w:val="en-IE"/>
        </w:rPr>
        <w:t xml:space="preserve">. </w:t>
      </w:r>
      <w:r w:rsidR="00895311" w:rsidRPr="00F86579">
        <w:rPr>
          <w:noProof/>
          <w:lang w:val="en-IE"/>
        </w:rPr>
        <w:t>In 2050, the sum of emissions coming from all</w:t>
      </w:r>
      <w:r w:rsidR="00280BE2" w:rsidRPr="00F86579">
        <w:rPr>
          <w:noProof/>
          <w:lang w:val="en-IE"/>
        </w:rPr>
        <w:t xml:space="preserve"> sector</w:t>
      </w:r>
      <w:r w:rsidR="009B087D" w:rsidRPr="00F86579">
        <w:rPr>
          <w:noProof/>
          <w:lang w:val="en-IE"/>
        </w:rPr>
        <w:t xml:space="preserve">s analysed </w:t>
      </w:r>
      <w:r w:rsidR="00895311" w:rsidRPr="00F86579">
        <w:rPr>
          <w:noProof/>
          <w:lang w:val="en-IE"/>
        </w:rPr>
        <w:t>achieve</w:t>
      </w:r>
      <w:r w:rsidR="0063408F" w:rsidRPr="00F86579">
        <w:rPr>
          <w:noProof/>
          <w:lang w:val="en-IE"/>
        </w:rPr>
        <w:t>s</w:t>
      </w:r>
      <w:r w:rsidR="00895311" w:rsidRPr="00F86579">
        <w:rPr>
          <w:noProof/>
          <w:lang w:val="en-IE"/>
        </w:rPr>
        <w:t xml:space="preserve"> </w:t>
      </w:r>
      <w:r w:rsidR="0025519B">
        <w:rPr>
          <w:noProof/>
          <w:lang w:val="en-IE"/>
        </w:rPr>
        <w:t xml:space="preserve">slightly negative </w:t>
      </w:r>
      <w:r w:rsidR="00895311" w:rsidRPr="00F86579">
        <w:rPr>
          <w:noProof/>
          <w:lang w:val="en-IE"/>
        </w:rPr>
        <w:t>level</w:t>
      </w:r>
      <w:r w:rsidR="0063408F" w:rsidRPr="00F86579">
        <w:rPr>
          <w:noProof/>
          <w:lang w:val="en-IE"/>
        </w:rPr>
        <w:t>s</w:t>
      </w:r>
      <w:r w:rsidR="00895311" w:rsidRPr="00F86579">
        <w:rPr>
          <w:noProof/>
          <w:lang w:val="en-IE"/>
        </w:rPr>
        <w:t xml:space="preserve"> in all</w:t>
      </w:r>
      <w:r w:rsidR="009C6AFB" w:rsidRPr="00F86579">
        <w:rPr>
          <w:noProof/>
          <w:lang w:val="en-IE"/>
        </w:rPr>
        <w:t xml:space="preserve"> scenarios</w:t>
      </w:r>
      <w:r w:rsidR="00E930A4" w:rsidRPr="00F86579">
        <w:rPr>
          <w:noProof/>
          <w:lang w:val="en-IE"/>
        </w:rPr>
        <w:t xml:space="preserve">, </w:t>
      </w:r>
      <w:r w:rsidR="0009421C" w:rsidRPr="00F86579">
        <w:rPr>
          <w:noProof/>
          <w:lang w:val="en-IE"/>
        </w:rPr>
        <w:t xml:space="preserve">with </w:t>
      </w:r>
      <w:r w:rsidR="00974E2D" w:rsidRPr="00F86579">
        <w:rPr>
          <w:noProof/>
          <w:lang w:val="en-IE"/>
        </w:rPr>
        <w:t>industrial</w:t>
      </w:r>
      <w:r w:rsidR="0045773F" w:rsidRPr="00F86579">
        <w:rPr>
          <w:noProof/>
          <w:lang w:val="en-IE"/>
        </w:rPr>
        <w:t xml:space="preserve"> carbon removals</w:t>
      </w:r>
      <w:r w:rsidR="007304BF" w:rsidRPr="00F86579">
        <w:rPr>
          <w:noProof/>
          <w:lang w:val="en-IE"/>
        </w:rPr>
        <w:t xml:space="preserve"> compensating for the </w:t>
      </w:r>
      <w:r w:rsidR="00974E2D" w:rsidRPr="00F86579">
        <w:rPr>
          <w:noProof/>
          <w:lang w:val="en-IE"/>
        </w:rPr>
        <w:t xml:space="preserve">residual </w:t>
      </w:r>
      <w:r w:rsidR="007304BF" w:rsidRPr="00F86579">
        <w:rPr>
          <w:noProof/>
          <w:lang w:val="en-IE"/>
        </w:rPr>
        <w:t>hard-to-abate emissions</w:t>
      </w:r>
      <w:r w:rsidR="00ED6062" w:rsidRPr="00F86579">
        <w:rPr>
          <w:noProof/>
          <w:lang w:val="en-IE"/>
        </w:rPr>
        <w:t>.</w:t>
      </w:r>
      <w:r w:rsidR="009C6AFB" w:rsidRPr="00F86579">
        <w:rPr>
          <w:noProof/>
          <w:lang w:val="en-IE"/>
        </w:rPr>
        <w:t xml:space="preserve"> </w:t>
      </w:r>
      <w:r w:rsidR="00B669A2" w:rsidRPr="00465F10">
        <w:rPr>
          <w:noProof/>
          <w:lang w:val="en-IE"/>
        </w:rPr>
        <w:t>LIFE</w:t>
      </w:r>
      <w:r w:rsidR="002A3B9C" w:rsidRPr="00465F10">
        <w:rPr>
          <w:noProof/>
          <w:lang w:val="en-IE"/>
        </w:rPr>
        <w:t xml:space="preserve"> shows </w:t>
      </w:r>
      <w:r w:rsidR="00C34A5F" w:rsidRPr="00465F10">
        <w:rPr>
          <w:noProof/>
          <w:lang w:val="en-IE"/>
        </w:rPr>
        <w:t>a level of energy and industry CO2 emissions intermediate between S2 and S3</w:t>
      </w:r>
      <w:r w:rsidR="00FB075F" w:rsidRPr="00465F10">
        <w:rPr>
          <w:noProof/>
          <w:lang w:val="en-IE"/>
        </w:rPr>
        <w:t xml:space="preserve"> in 2040</w:t>
      </w:r>
      <w:r w:rsidR="00C34A5F" w:rsidRPr="00465F10">
        <w:rPr>
          <w:noProof/>
          <w:lang w:val="en-IE"/>
        </w:rPr>
        <w:t>,</w:t>
      </w:r>
      <w:r w:rsidR="00E30893" w:rsidRPr="00465F10">
        <w:rPr>
          <w:noProof/>
          <w:lang w:val="en-IE"/>
        </w:rPr>
        <w:t xml:space="preserve"> </w:t>
      </w:r>
      <w:r w:rsidR="00927050" w:rsidRPr="00465F10">
        <w:rPr>
          <w:noProof/>
          <w:lang w:val="en-IE"/>
        </w:rPr>
        <w:t xml:space="preserve">and slightly </w:t>
      </w:r>
      <w:r w:rsidR="00C34A5F" w:rsidRPr="00465F10">
        <w:rPr>
          <w:noProof/>
          <w:lang w:val="en-IE"/>
        </w:rPr>
        <w:t xml:space="preserve">higher </w:t>
      </w:r>
      <w:r w:rsidR="00927050" w:rsidRPr="00465F10">
        <w:rPr>
          <w:noProof/>
          <w:lang w:val="en-IE"/>
        </w:rPr>
        <w:t xml:space="preserve">emissions of around </w:t>
      </w:r>
      <w:r w:rsidR="003E465A">
        <w:rPr>
          <w:noProof/>
          <w:lang w:val="en-IE"/>
        </w:rPr>
        <w:t xml:space="preserve">70 </w:t>
      </w:r>
      <w:r w:rsidR="00927050" w:rsidRPr="00465F10">
        <w:rPr>
          <w:noProof/>
          <w:lang w:val="en-IE"/>
        </w:rPr>
        <w:t>MtCO2 in 2050</w:t>
      </w:r>
      <w:r w:rsidR="00C34A5F" w:rsidRPr="00465F10">
        <w:rPr>
          <w:noProof/>
          <w:lang w:val="en-IE"/>
        </w:rPr>
        <w:t>. Th</w:t>
      </w:r>
      <w:r w:rsidR="00FB075F" w:rsidRPr="00465F10">
        <w:rPr>
          <w:noProof/>
          <w:lang w:val="en-IE"/>
        </w:rPr>
        <w:t xml:space="preserve">ese additional emissions are </w:t>
      </w:r>
      <w:r w:rsidR="00895311" w:rsidRPr="00465F10">
        <w:rPr>
          <w:noProof/>
          <w:lang w:val="en-IE"/>
        </w:rPr>
        <w:t xml:space="preserve">compensated by </w:t>
      </w:r>
      <w:r w:rsidR="00AE5C5C">
        <w:rPr>
          <w:noProof/>
          <w:lang w:val="en-IE"/>
        </w:rPr>
        <w:t xml:space="preserve">lower emissions in agriculture (see </w:t>
      </w:r>
      <w:r w:rsidR="00AE5C5C" w:rsidRPr="00FB075F">
        <w:rPr>
          <w:noProof/>
          <w:lang w:val="en-IE"/>
        </w:rPr>
        <w:fldChar w:fldCharType="begin"/>
      </w:r>
      <w:r w:rsidR="00AE5C5C" w:rsidRPr="00FB075F">
        <w:rPr>
          <w:noProof/>
          <w:lang w:val="en-IE"/>
        </w:rPr>
        <w:instrText xml:space="preserve"> REF _Ref143779233 \r \h </w:instrText>
      </w:r>
      <w:r w:rsidR="00FB075F">
        <w:rPr>
          <w:noProof/>
          <w:lang w:val="en-IE"/>
        </w:rPr>
        <w:instrText xml:space="preserve"> \* MERGEFORMAT </w:instrText>
      </w:r>
      <w:r w:rsidR="00AE5C5C" w:rsidRPr="00FB075F">
        <w:rPr>
          <w:noProof/>
          <w:lang w:val="en-IE"/>
        </w:rPr>
      </w:r>
      <w:r w:rsidR="00AE5C5C" w:rsidRPr="00FB075F">
        <w:rPr>
          <w:noProof/>
          <w:lang w:val="en-IE"/>
        </w:rPr>
        <w:fldChar w:fldCharType="separate"/>
      </w:r>
      <w:r w:rsidR="00170A3C">
        <w:rPr>
          <w:noProof/>
          <w:lang w:val="en-IE"/>
        </w:rPr>
        <w:t>1.7</w:t>
      </w:r>
      <w:r w:rsidR="00AE5C5C" w:rsidRPr="00FB075F">
        <w:rPr>
          <w:noProof/>
          <w:lang w:val="en-IE"/>
        </w:rPr>
        <w:fldChar w:fldCharType="end"/>
      </w:r>
      <w:r w:rsidR="00AE5C5C" w:rsidRPr="00FB075F">
        <w:rPr>
          <w:noProof/>
          <w:lang w:val="en-IE"/>
        </w:rPr>
        <w:t>)</w:t>
      </w:r>
      <w:r w:rsidR="00FB075F" w:rsidRPr="00FB075F">
        <w:rPr>
          <w:noProof/>
          <w:lang w:val="en-IE"/>
        </w:rPr>
        <w:t xml:space="preserve"> and</w:t>
      </w:r>
      <w:r w:rsidR="00AE5C5C">
        <w:rPr>
          <w:noProof/>
          <w:lang w:val="en-IE"/>
        </w:rPr>
        <w:t xml:space="preserve"> </w:t>
      </w:r>
      <w:r w:rsidR="00895311" w:rsidRPr="00465F10">
        <w:rPr>
          <w:noProof/>
          <w:lang w:val="en-IE"/>
        </w:rPr>
        <w:t xml:space="preserve">enhanced land-based removals (see </w:t>
      </w:r>
      <w:r w:rsidR="002839A5" w:rsidRPr="00465F10">
        <w:rPr>
          <w:noProof/>
          <w:lang w:val="en-IE"/>
        </w:rPr>
        <w:fldChar w:fldCharType="begin"/>
      </w:r>
      <w:r w:rsidR="002839A5" w:rsidRPr="00465F10">
        <w:rPr>
          <w:noProof/>
          <w:lang w:val="en-IE"/>
        </w:rPr>
        <w:instrText xml:space="preserve"> REF _Ref146811321 \r \h  \* MERGEFORMAT </w:instrText>
      </w:r>
      <w:r w:rsidR="002839A5" w:rsidRPr="00465F10">
        <w:rPr>
          <w:noProof/>
          <w:lang w:val="en-IE"/>
        </w:rPr>
      </w:r>
      <w:r w:rsidR="002839A5" w:rsidRPr="00465F10">
        <w:rPr>
          <w:noProof/>
          <w:lang w:val="en-IE"/>
        </w:rPr>
        <w:fldChar w:fldCharType="separate"/>
      </w:r>
      <w:r w:rsidR="00170A3C">
        <w:rPr>
          <w:noProof/>
          <w:lang w:val="en-IE"/>
        </w:rPr>
        <w:t>1.8</w:t>
      </w:r>
      <w:r w:rsidR="002839A5" w:rsidRPr="00465F10">
        <w:rPr>
          <w:noProof/>
          <w:lang w:val="en-IE"/>
        </w:rPr>
        <w:fldChar w:fldCharType="end"/>
      </w:r>
      <w:r w:rsidR="00E1333C" w:rsidRPr="00465F10">
        <w:rPr>
          <w:noProof/>
          <w:lang w:val="en-IE"/>
        </w:rPr>
        <w:t xml:space="preserve">), </w:t>
      </w:r>
      <w:r w:rsidR="00FB075F" w:rsidRPr="00465F10">
        <w:rPr>
          <w:noProof/>
          <w:lang w:val="en-IE"/>
        </w:rPr>
        <w:t>highlighting a redistribution of emission reductions across sectors: total net GHG emissions leve</w:t>
      </w:r>
      <w:r w:rsidR="00D70FA8">
        <w:rPr>
          <w:noProof/>
          <w:lang w:val="en-IE"/>
        </w:rPr>
        <w:t>l</w:t>
      </w:r>
      <w:r w:rsidR="00FB075F" w:rsidRPr="00465F10">
        <w:rPr>
          <w:noProof/>
          <w:lang w:val="en-IE"/>
        </w:rPr>
        <w:t xml:space="preserve">s </w:t>
      </w:r>
      <w:r w:rsidR="00E76BA4">
        <w:rPr>
          <w:noProof/>
          <w:lang w:val="en-IE"/>
        </w:rPr>
        <w:t>comparable to</w:t>
      </w:r>
      <w:r w:rsidR="00E76BA4" w:rsidRPr="00465F10">
        <w:rPr>
          <w:noProof/>
          <w:lang w:val="en-IE"/>
        </w:rPr>
        <w:t xml:space="preserve"> </w:t>
      </w:r>
      <w:r w:rsidR="00FB075F" w:rsidRPr="00465F10">
        <w:rPr>
          <w:noProof/>
          <w:lang w:val="en-IE"/>
        </w:rPr>
        <w:t xml:space="preserve">S3 are achieved in LIFE mostly with a reduced need for </w:t>
      </w:r>
      <w:r w:rsidR="00E1333C" w:rsidRPr="00465F10">
        <w:rPr>
          <w:noProof/>
          <w:lang w:val="en-IE"/>
        </w:rPr>
        <w:t xml:space="preserve">industrial </w:t>
      </w:r>
      <w:r w:rsidR="00927050" w:rsidRPr="00465F10">
        <w:rPr>
          <w:noProof/>
          <w:lang w:val="en-IE"/>
        </w:rPr>
        <w:t>carbon capture</w:t>
      </w:r>
      <w:r w:rsidR="00E1333C" w:rsidRPr="00465F10">
        <w:rPr>
          <w:noProof/>
          <w:lang w:val="en-IE"/>
        </w:rPr>
        <w:t>.</w:t>
      </w:r>
      <w:r w:rsidR="00764919" w:rsidRPr="00C25C19">
        <w:rPr>
          <w:noProof/>
          <w:lang w:val="en-IE"/>
        </w:rPr>
        <w:t xml:space="preserve"> </w:t>
      </w:r>
    </w:p>
    <w:p w14:paraId="4D066E13" w14:textId="295C4D4E" w:rsidR="00F86579" w:rsidRPr="00A438D4" w:rsidRDefault="00DC65E6" w:rsidP="00F86579">
      <w:pPr>
        <w:pStyle w:val="Text2"/>
        <w:rPr>
          <w:noProof/>
        </w:rPr>
      </w:pPr>
      <w:r>
        <w:rPr>
          <w:noProof/>
          <w:lang w:val="en-IE"/>
        </w:rPr>
        <w:t>The domestic CO2 emissions</w:t>
      </w:r>
      <w:r w:rsidR="00F548FC">
        <w:rPr>
          <w:noProof/>
          <w:lang w:val="en-IE"/>
        </w:rPr>
        <w:t xml:space="preserve"> </w:t>
      </w:r>
      <w:r w:rsidR="00AF378C">
        <w:rPr>
          <w:noProof/>
          <w:lang w:val="en-IE"/>
        </w:rPr>
        <w:t>(</w:t>
      </w:r>
      <w:r w:rsidR="001913CD">
        <w:rPr>
          <w:noProof/>
          <w:lang w:val="en-IE"/>
        </w:rPr>
        <w:fldChar w:fldCharType="begin"/>
      </w:r>
      <w:r w:rsidR="001913CD">
        <w:rPr>
          <w:noProof/>
          <w:lang w:val="en-IE"/>
        </w:rPr>
        <w:instrText xml:space="preserve"> REF _Ref155942705 \h </w:instrText>
      </w:r>
      <w:r w:rsidR="001913CD">
        <w:rPr>
          <w:noProof/>
          <w:lang w:val="en-IE"/>
        </w:rPr>
      </w:r>
      <w:r w:rsidR="001913CD">
        <w:rPr>
          <w:noProof/>
          <w:lang w:val="en-IE"/>
        </w:rPr>
        <w:fldChar w:fldCharType="separate"/>
      </w:r>
      <w:r w:rsidR="00170A3C">
        <w:rPr>
          <w:noProof/>
        </w:rPr>
        <w:t>Table 6</w:t>
      </w:r>
      <w:r w:rsidR="001913CD">
        <w:rPr>
          <w:noProof/>
          <w:lang w:val="en-IE"/>
        </w:rPr>
        <w:fldChar w:fldCharType="end"/>
      </w:r>
      <w:r w:rsidR="00AF378C">
        <w:rPr>
          <w:noProof/>
          <w:lang w:val="en-IE"/>
        </w:rPr>
        <w:t xml:space="preserve">) </w:t>
      </w:r>
      <w:r w:rsidR="001C22D9">
        <w:rPr>
          <w:noProof/>
          <w:lang w:val="en-IE"/>
        </w:rPr>
        <w:t>decrease significantly already in the decade 2031-2040</w:t>
      </w:r>
      <w:r w:rsidR="00F938F0">
        <w:rPr>
          <w:noProof/>
          <w:lang w:val="en-IE"/>
        </w:rPr>
        <w:t xml:space="preserve"> and reach</w:t>
      </w:r>
      <w:r w:rsidR="00067D3F">
        <w:rPr>
          <w:noProof/>
          <w:lang w:val="en-IE"/>
        </w:rPr>
        <w:t xml:space="preserve"> </w:t>
      </w:r>
      <w:r w:rsidR="004F608D" w:rsidRPr="00F86579">
        <w:rPr>
          <w:noProof/>
          <w:lang w:val="en-IE"/>
        </w:rPr>
        <w:t xml:space="preserve">slight </w:t>
      </w:r>
      <w:r w:rsidR="006E03A4" w:rsidRPr="00F86579">
        <w:rPr>
          <w:noProof/>
          <w:lang w:val="en-IE"/>
        </w:rPr>
        <w:t xml:space="preserve">negative </w:t>
      </w:r>
      <w:r w:rsidR="00F938F0" w:rsidRPr="00F86579">
        <w:rPr>
          <w:noProof/>
          <w:lang w:val="en-IE"/>
        </w:rPr>
        <w:t>levels</w:t>
      </w:r>
      <w:r w:rsidR="00F34D6B">
        <w:rPr>
          <w:noProof/>
          <w:lang w:val="en-IE"/>
        </w:rPr>
        <w:t xml:space="preserve"> in the </w:t>
      </w:r>
      <w:r w:rsidR="00F86579">
        <w:rPr>
          <w:noProof/>
          <w:lang w:val="en-IE"/>
        </w:rPr>
        <w:t xml:space="preserve">main </w:t>
      </w:r>
      <w:r w:rsidR="00F34D6B">
        <w:rPr>
          <w:noProof/>
          <w:lang w:val="en-IE"/>
        </w:rPr>
        <w:t xml:space="preserve">scenarios </w:t>
      </w:r>
      <w:r w:rsidR="00F938F0">
        <w:rPr>
          <w:noProof/>
          <w:lang w:val="en-IE"/>
        </w:rPr>
        <w:t xml:space="preserve">in 2050. </w:t>
      </w:r>
      <w:r w:rsidR="00104954">
        <w:rPr>
          <w:noProof/>
          <w:lang w:val="en-IE"/>
        </w:rPr>
        <w:t>E</w:t>
      </w:r>
      <w:r w:rsidR="003812F7">
        <w:rPr>
          <w:noProof/>
          <w:lang w:val="en-IE"/>
        </w:rPr>
        <w:t>n</w:t>
      </w:r>
      <w:r w:rsidR="00F548FC">
        <w:rPr>
          <w:noProof/>
          <w:lang w:val="en-IE"/>
        </w:rPr>
        <w:t>ergy related emissions</w:t>
      </w:r>
      <w:r w:rsidR="006B676A" w:rsidRPr="006B676A">
        <w:rPr>
          <w:noProof/>
          <w:lang w:val="en-IE"/>
        </w:rPr>
        <w:t> (</w:t>
      </w:r>
      <w:r w:rsidR="006B676A">
        <w:rPr>
          <w:rStyle w:val="FootnoteReference"/>
          <w:noProof/>
          <w:lang w:val="en-IE"/>
        </w:rPr>
        <w:footnoteReference w:id="38"/>
      </w:r>
      <w:r w:rsidR="006B676A">
        <w:rPr>
          <w:noProof/>
          <w:lang w:val="en-IE"/>
        </w:rPr>
        <w:t>)</w:t>
      </w:r>
      <w:r w:rsidR="00F548FC">
        <w:rPr>
          <w:noProof/>
          <w:lang w:val="en-IE"/>
        </w:rPr>
        <w:t xml:space="preserve"> </w:t>
      </w:r>
      <w:r w:rsidR="00854CC1">
        <w:rPr>
          <w:noProof/>
          <w:lang w:val="en-IE"/>
        </w:rPr>
        <w:t xml:space="preserve">in </w:t>
      </w:r>
      <w:r w:rsidR="00854CC1" w:rsidRPr="00DD7DAF">
        <w:rPr>
          <w:noProof/>
          <w:lang w:val="en-IE"/>
        </w:rPr>
        <w:t xml:space="preserve">2040 are between 40% and </w:t>
      </w:r>
      <w:r w:rsidR="000F1422" w:rsidRPr="00DD7DAF">
        <w:rPr>
          <w:noProof/>
          <w:lang w:val="en-IE"/>
        </w:rPr>
        <w:t>2</w:t>
      </w:r>
      <w:r w:rsidR="00F86579" w:rsidRPr="00DD7DAF">
        <w:rPr>
          <w:noProof/>
          <w:lang w:val="en-IE"/>
        </w:rPr>
        <w:t>0</w:t>
      </w:r>
      <w:r w:rsidR="00854CC1" w:rsidRPr="00DD7DAF">
        <w:rPr>
          <w:noProof/>
          <w:lang w:val="en-IE"/>
        </w:rPr>
        <w:t>% the</w:t>
      </w:r>
      <w:r w:rsidR="00854CC1">
        <w:rPr>
          <w:noProof/>
          <w:lang w:val="en-IE"/>
        </w:rPr>
        <w:t xml:space="preserve"> level of 203</w:t>
      </w:r>
      <w:r w:rsidR="007B6923">
        <w:rPr>
          <w:noProof/>
          <w:lang w:val="en-IE"/>
        </w:rPr>
        <w:t xml:space="preserve">0, </w:t>
      </w:r>
      <w:r w:rsidR="00104954">
        <w:rPr>
          <w:noProof/>
          <w:lang w:val="en-IE"/>
        </w:rPr>
        <w:t>with</w:t>
      </w:r>
      <w:r w:rsidR="002641D5">
        <w:rPr>
          <w:noProof/>
          <w:lang w:val="en-IE"/>
        </w:rPr>
        <w:t xml:space="preserve"> the power generation, district heating </w:t>
      </w:r>
      <w:r w:rsidR="002641D5" w:rsidRPr="00324267">
        <w:rPr>
          <w:noProof/>
        </w:rPr>
        <w:t xml:space="preserve">and transport </w:t>
      </w:r>
      <w:r w:rsidR="002641D5">
        <w:rPr>
          <w:noProof/>
        </w:rPr>
        <w:t>sectors reducing the most</w:t>
      </w:r>
      <w:r w:rsidR="008F4543">
        <w:rPr>
          <w:noProof/>
        </w:rPr>
        <w:t>,</w:t>
      </w:r>
      <w:r w:rsidR="00D57617">
        <w:rPr>
          <w:noProof/>
        </w:rPr>
        <w:t xml:space="preserve"> </w:t>
      </w:r>
      <w:r w:rsidR="00104954">
        <w:rPr>
          <w:noProof/>
          <w:lang w:val="en-IE"/>
        </w:rPr>
        <w:t>driven b</w:t>
      </w:r>
      <w:r w:rsidR="007B6923">
        <w:rPr>
          <w:noProof/>
          <w:lang w:val="en-IE"/>
        </w:rPr>
        <w:t xml:space="preserve">y the decarbonisation of the </w:t>
      </w:r>
      <w:r w:rsidR="00104954">
        <w:rPr>
          <w:noProof/>
          <w:lang w:val="en-IE"/>
        </w:rPr>
        <w:t>power system</w:t>
      </w:r>
      <w:r w:rsidR="008255F3">
        <w:rPr>
          <w:noProof/>
          <w:lang w:val="en-IE"/>
        </w:rPr>
        <w:t xml:space="preserve">, </w:t>
      </w:r>
      <w:r w:rsidR="00BF3DA7">
        <w:rPr>
          <w:noProof/>
          <w:lang w:val="en-IE"/>
        </w:rPr>
        <w:t>t</w:t>
      </w:r>
      <w:r w:rsidR="00104954">
        <w:rPr>
          <w:noProof/>
          <w:lang w:val="en-IE"/>
        </w:rPr>
        <w:t>he energy efficiency</w:t>
      </w:r>
      <w:r w:rsidR="008255F3">
        <w:rPr>
          <w:noProof/>
          <w:lang w:val="en-IE"/>
        </w:rPr>
        <w:t xml:space="preserve"> measures</w:t>
      </w:r>
      <w:r w:rsidR="00104954">
        <w:rPr>
          <w:noProof/>
          <w:lang w:val="en-IE"/>
        </w:rPr>
        <w:t xml:space="preserve"> and </w:t>
      </w:r>
      <w:r w:rsidR="002C6897">
        <w:rPr>
          <w:noProof/>
          <w:lang w:val="en-IE"/>
        </w:rPr>
        <w:t xml:space="preserve">the </w:t>
      </w:r>
      <w:r w:rsidR="00104954">
        <w:rPr>
          <w:noProof/>
          <w:lang w:val="en-IE"/>
        </w:rPr>
        <w:t>implementation of renewables in final energy sectors</w:t>
      </w:r>
      <w:r w:rsidR="00842BCA">
        <w:rPr>
          <w:noProof/>
          <w:lang w:val="en-IE"/>
        </w:rPr>
        <w:t>.</w:t>
      </w:r>
      <w:r w:rsidR="001B7DF7">
        <w:rPr>
          <w:noProof/>
          <w:lang w:val="en-IE"/>
        </w:rPr>
        <w:t xml:space="preserve"> </w:t>
      </w:r>
      <w:r w:rsidR="006156DC">
        <w:rPr>
          <w:noProof/>
        </w:rPr>
        <w:t>Re</w:t>
      </w:r>
      <w:r w:rsidR="00A70669">
        <w:rPr>
          <w:noProof/>
        </w:rPr>
        <w:t>sidual</w:t>
      </w:r>
      <w:r w:rsidR="006156DC">
        <w:rPr>
          <w:noProof/>
        </w:rPr>
        <w:t xml:space="preserve"> </w:t>
      </w:r>
      <w:r w:rsidR="006B56AE">
        <w:rPr>
          <w:noProof/>
        </w:rPr>
        <w:t xml:space="preserve">energy </w:t>
      </w:r>
      <w:r w:rsidR="006156DC">
        <w:rPr>
          <w:noProof/>
        </w:rPr>
        <w:t xml:space="preserve">emissions are </w:t>
      </w:r>
      <w:r w:rsidR="00141DD3">
        <w:rPr>
          <w:noProof/>
        </w:rPr>
        <w:t xml:space="preserve">then </w:t>
      </w:r>
      <w:r w:rsidR="006F025B">
        <w:rPr>
          <w:noProof/>
        </w:rPr>
        <w:t xml:space="preserve">reduced </w:t>
      </w:r>
      <w:r w:rsidR="00141DD3">
        <w:rPr>
          <w:noProof/>
        </w:rPr>
        <w:t xml:space="preserve">gradually </w:t>
      </w:r>
      <w:r w:rsidR="006F025B">
        <w:rPr>
          <w:noProof/>
        </w:rPr>
        <w:t>in the decade 2041-2050</w:t>
      </w:r>
      <w:r w:rsidR="00764919">
        <w:rPr>
          <w:noProof/>
        </w:rPr>
        <w:t xml:space="preserve"> </w:t>
      </w:r>
      <w:r w:rsidR="006F025B">
        <w:rPr>
          <w:noProof/>
        </w:rPr>
        <w:t xml:space="preserve">and reach cumulative </w:t>
      </w:r>
      <w:r w:rsidR="008540EB">
        <w:rPr>
          <w:noProof/>
        </w:rPr>
        <w:t xml:space="preserve">negative </w:t>
      </w:r>
      <w:r w:rsidR="00A70669">
        <w:rPr>
          <w:noProof/>
        </w:rPr>
        <w:t>values</w:t>
      </w:r>
      <w:r w:rsidR="00141DD3">
        <w:rPr>
          <w:noProof/>
        </w:rPr>
        <w:t xml:space="preserve"> </w:t>
      </w:r>
      <w:r w:rsidR="00141DD3">
        <w:rPr>
          <w:noProof/>
          <w:lang w:val="en-IE"/>
        </w:rPr>
        <w:t xml:space="preserve">of around </w:t>
      </w:r>
      <w:r w:rsidR="002839A5">
        <w:rPr>
          <w:noProof/>
          <w:lang w:val="en-IE"/>
        </w:rPr>
        <w:noBreakHyphen/>
      </w:r>
      <w:r w:rsidR="00C40FB9" w:rsidRPr="00F86579">
        <w:rPr>
          <w:noProof/>
          <w:lang w:val="en-IE"/>
        </w:rPr>
        <w:t>4</w:t>
      </w:r>
      <w:r w:rsidR="00141DD3" w:rsidRPr="00F86579">
        <w:rPr>
          <w:noProof/>
          <w:lang w:val="en-IE"/>
        </w:rPr>
        <w:t>0</w:t>
      </w:r>
      <w:r w:rsidR="00F86579" w:rsidRPr="00F86579">
        <w:rPr>
          <w:noProof/>
          <w:lang w:val="en-IE"/>
        </w:rPr>
        <w:t xml:space="preserve"> MtCO2</w:t>
      </w:r>
      <w:r w:rsidR="00141DD3">
        <w:rPr>
          <w:noProof/>
          <w:lang w:val="en-IE"/>
        </w:rPr>
        <w:t xml:space="preserve"> in 2050</w:t>
      </w:r>
      <w:r w:rsidR="00C77610">
        <w:rPr>
          <w:noProof/>
          <w:lang w:val="en-IE"/>
        </w:rPr>
        <w:t>, as result of the contribution of industrial removals.</w:t>
      </w:r>
      <w:r w:rsidR="00764919">
        <w:rPr>
          <w:noProof/>
          <w:lang w:val="en-IE"/>
        </w:rPr>
        <w:t xml:space="preserve"> </w:t>
      </w:r>
      <w:r w:rsidR="00141DD3">
        <w:rPr>
          <w:noProof/>
          <w:lang w:val="en-IE"/>
        </w:rPr>
        <w:t>Non-energy related CO2 e</w:t>
      </w:r>
      <w:r w:rsidR="001B7DF7">
        <w:rPr>
          <w:noProof/>
          <w:lang w:val="en-IE"/>
        </w:rPr>
        <w:t xml:space="preserve">missions </w:t>
      </w:r>
      <w:r w:rsidR="00352525">
        <w:rPr>
          <w:noProof/>
          <w:lang w:val="en-IE"/>
        </w:rPr>
        <w:t xml:space="preserve">decrease </w:t>
      </w:r>
      <w:r w:rsidR="003E5807">
        <w:rPr>
          <w:noProof/>
          <w:lang w:val="en-IE"/>
        </w:rPr>
        <w:t xml:space="preserve">only </w:t>
      </w:r>
      <w:r w:rsidR="00352525">
        <w:rPr>
          <w:noProof/>
          <w:lang w:val="en-IE"/>
        </w:rPr>
        <w:t xml:space="preserve">by </w:t>
      </w:r>
      <w:r w:rsidR="003E5807">
        <w:rPr>
          <w:noProof/>
          <w:lang w:val="en-IE"/>
        </w:rPr>
        <w:t>around 3</w:t>
      </w:r>
      <w:r w:rsidR="006B236B">
        <w:rPr>
          <w:noProof/>
          <w:lang w:val="en-IE"/>
        </w:rPr>
        <w:t>5</w:t>
      </w:r>
      <w:r w:rsidR="003E5807">
        <w:rPr>
          <w:noProof/>
          <w:lang w:val="en-IE"/>
        </w:rPr>
        <w:t xml:space="preserve">% in 2030 vs 2015, </w:t>
      </w:r>
      <w:r w:rsidR="002853C6">
        <w:rPr>
          <w:noProof/>
          <w:lang w:val="en-IE"/>
        </w:rPr>
        <w:t xml:space="preserve">and </w:t>
      </w:r>
      <w:r w:rsidR="00B84600">
        <w:rPr>
          <w:noProof/>
          <w:lang w:val="en-IE"/>
        </w:rPr>
        <w:t xml:space="preserve">additional reductions </w:t>
      </w:r>
      <w:r w:rsidR="00B84600" w:rsidRPr="00F86579">
        <w:rPr>
          <w:noProof/>
          <w:lang w:val="en-IE"/>
        </w:rPr>
        <w:t xml:space="preserve">between </w:t>
      </w:r>
      <w:r w:rsidR="00F86579" w:rsidRPr="00F86579">
        <w:rPr>
          <w:noProof/>
          <w:lang w:val="en-IE"/>
        </w:rPr>
        <w:t>20</w:t>
      </w:r>
      <w:r w:rsidR="002853C6" w:rsidRPr="00F86579">
        <w:rPr>
          <w:noProof/>
          <w:lang w:val="en-IE"/>
        </w:rPr>
        <w:t>% and 80%</w:t>
      </w:r>
      <w:r w:rsidR="00043971" w:rsidRPr="00F86579">
        <w:rPr>
          <w:noProof/>
          <w:lang w:val="en-IE"/>
        </w:rPr>
        <w:t xml:space="preserve"> </w:t>
      </w:r>
      <w:r w:rsidR="00B84600" w:rsidRPr="00F86579">
        <w:rPr>
          <w:noProof/>
          <w:lang w:val="en-IE"/>
        </w:rPr>
        <w:t>(compared</w:t>
      </w:r>
      <w:r w:rsidR="00B84600">
        <w:rPr>
          <w:noProof/>
          <w:lang w:val="en-IE"/>
        </w:rPr>
        <w:t xml:space="preserve"> to 2030) are achieved </w:t>
      </w:r>
      <w:r w:rsidR="002853C6">
        <w:rPr>
          <w:noProof/>
          <w:lang w:val="en-IE"/>
        </w:rPr>
        <w:t>in 2031-2040</w:t>
      </w:r>
      <w:r w:rsidR="003600D9">
        <w:rPr>
          <w:noProof/>
          <w:lang w:val="en-IE"/>
        </w:rPr>
        <w:t xml:space="preserve">, driven by the </w:t>
      </w:r>
      <w:r w:rsidR="007320CA">
        <w:rPr>
          <w:noProof/>
          <w:lang w:val="en-IE"/>
        </w:rPr>
        <w:t xml:space="preserve">decrease </w:t>
      </w:r>
      <w:r w:rsidR="0042027F">
        <w:rPr>
          <w:noProof/>
          <w:lang w:val="en-IE"/>
        </w:rPr>
        <w:t>of</w:t>
      </w:r>
      <w:r w:rsidR="007320CA">
        <w:rPr>
          <w:noProof/>
          <w:lang w:val="en-IE"/>
        </w:rPr>
        <w:t xml:space="preserve"> </w:t>
      </w:r>
      <w:r w:rsidR="00043971">
        <w:rPr>
          <w:noProof/>
          <w:lang w:val="en-IE"/>
        </w:rPr>
        <w:t>industrial processes emissions</w:t>
      </w:r>
      <w:r w:rsidR="00E1333C">
        <w:rPr>
          <w:noProof/>
          <w:lang w:val="en-IE"/>
        </w:rPr>
        <w:t>: th</w:t>
      </w:r>
      <w:r w:rsidR="00A54BBF">
        <w:rPr>
          <w:noProof/>
          <w:lang w:val="en-IE"/>
        </w:rPr>
        <w:t>e</w:t>
      </w:r>
      <w:r w:rsidR="0027354C">
        <w:rPr>
          <w:noProof/>
          <w:lang w:val="en-IE"/>
        </w:rPr>
        <w:t xml:space="preserve"> large variation across </w:t>
      </w:r>
      <w:r w:rsidR="00A54BBF">
        <w:rPr>
          <w:noProof/>
        </w:rPr>
        <w:t>scenarios</w:t>
      </w:r>
      <w:r w:rsidR="00E1333C">
        <w:rPr>
          <w:noProof/>
        </w:rPr>
        <w:t xml:space="preserve"> is justified by the </w:t>
      </w:r>
      <w:r w:rsidR="002839A5">
        <w:rPr>
          <w:noProof/>
        </w:rPr>
        <w:t>late</w:t>
      </w:r>
      <w:r w:rsidR="00A70669">
        <w:rPr>
          <w:noProof/>
        </w:rPr>
        <w:t xml:space="preserve"> </w:t>
      </w:r>
      <w:r w:rsidR="00E1333C">
        <w:rPr>
          <w:noProof/>
        </w:rPr>
        <w:t xml:space="preserve">(in S1) and </w:t>
      </w:r>
      <w:r w:rsidR="002839A5">
        <w:rPr>
          <w:noProof/>
        </w:rPr>
        <w:t>early</w:t>
      </w:r>
      <w:r w:rsidR="00A54BBF">
        <w:rPr>
          <w:noProof/>
        </w:rPr>
        <w:t xml:space="preserve"> </w:t>
      </w:r>
      <w:r w:rsidR="00E1333C">
        <w:rPr>
          <w:noProof/>
        </w:rPr>
        <w:t>(in S3)</w:t>
      </w:r>
      <w:r w:rsidR="00A54BBF">
        <w:rPr>
          <w:noProof/>
        </w:rPr>
        <w:t xml:space="preserve"> entry into market of low-carbon innovative manufacturing technologies</w:t>
      </w:r>
      <w:r w:rsidR="002839A5">
        <w:rPr>
          <w:noProof/>
        </w:rPr>
        <w:t>, including carbon capture</w:t>
      </w:r>
      <w:r w:rsidR="00D74CB3">
        <w:rPr>
          <w:noProof/>
        </w:rPr>
        <w:t>, utilisation and storage</w:t>
      </w:r>
      <w:r w:rsidR="00A54BBF">
        <w:rPr>
          <w:noProof/>
        </w:rPr>
        <w:t xml:space="preserve">. </w:t>
      </w:r>
      <w:r w:rsidR="00454DA5">
        <w:rPr>
          <w:noProof/>
        </w:rPr>
        <w:t xml:space="preserve">In 2050, </w:t>
      </w:r>
      <w:r w:rsidR="00F92208">
        <w:rPr>
          <w:noProof/>
        </w:rPr>
        <w:t>emission</w:t>
      </w:r>
      <w:r w:rsidR="0027695C">
        <w:rPr>
          <w:noProof/>
        </w:rPr>
        <w:t>s</w:t>
      </w:r>
      <w:r w:rsidR="00F92208">
        <w:rPr>
          <w:noProof/>
        </w:rPr>
        <w:t xml:space="preserve"> from </w:t>
      </w:r>
      <w:r w:rsidR="00F92208" w:rsidRPr="00DD7DAF">
        <w:rPr>
          <w:noProof/>
        </w:rPr>
        <w:t xml:space="preserve">industrial processes </w:t>
      </w:r>
      <w:r w:rsidR="00DF72C1" w:rsidRPr="00DD7DAF">
        <w:rPr>
          <w:noProof/>
        </w:rPr>
        <w:t xml:space="preserve">reduce to negligible values and the </w:t>
      </w:r>
      <w:r w:rsidR="008540EB" w:rsidRPr="00DD7DAF">
        <w:rPr>
          <w:noProof/>
        </w:rPr>
        <w:t xml:space="preserve">non-energy </w:t>
      </w:r>
      <w:r w:rsidR="00066AF6" w:rsidRPr="00DD7DAF">
        <w:rPr>
          <w:noProof/>
        </w:rPr>
        <w:t>emissions</w:t>
      </w:r>
      <w:r w:rsidR="008540EB" w:rsidRPr="00DD7DAF">
        <w:rPr>
          <w:noProof/>
        </w:rPr>
        <w:t xml:space="preserve"> stagnate</w:t>
      </w:r>
      <w:r w:rsidR="00DF72C1">
        <w:rPr>
          <w:noProof/>
        </w:rPr>
        <w:t>.</w:t>
      </w:r>
      <w:r w:rsidR="008540EB">
        <w:rPr>
          <w:noProof/>
        </w:rPr>
        <w:t xml:space="preserve"> </w:t>
      </w:r>
      <w:r w:rsidR="00BB748A">
        <w:rPr>
          <w:noProof/>
          <w:lang w:val="en-IE"/>
        </w:rPr>
        <w:t xml:space="preserve">International emissions within the scope decrease by around half in the period 2031-2040 and range </w:t>
      </w:r>
      <w:r w:rsidR="00BB748A" w:rsidRPr="00F86579">
        <w:rPr>
          <w:noProof/>
          <w:lang w:val="en-IE"/>
        </w:rPr>
        <w:t>around 10-15</w:t>
      </w:r>
      <w:r w:rsidR="002839A5">
        <w:rPr>
          <w:noProof/>
          <w:lang w:val="en-IE"/>
        </w:rPr>
        <w:t> </w:t>
      </w:r>
      <w:r w:rsidR="00BB748A" w:rsidRPr="00F86579">
        <w:rPr>
          <w:noProof/>
          <w:lang w:val="en-IE"/>
        </w:rPr>
        <w:t>MtCO2</w:t>
      </w:r>
      <w:r w:rsidR="00BB748A">
        <w:rPr>
          <w:noProof/>
          <w:lang w:val="en-IE"/>
        </w:rPr>
        <w:t xml:space="preserve"> in 2050. </w:t>
      </w:r>
      <w:bookmarkStart w:id="65" w:name="_Ref139990950"/>
      <w:r w:rsidR="00DB532A">
        <w:rPr>
          <w:noProof/>
          <w:lang w:val="en-IE"/>
        </w:rPr>
        <w:t xml:space="preserve">Further details on sectoral </w:t>
      </w:r>
      <w:r w:rsidR="002839A5">
        <w:rPr>
          <w:noProof/>
          <w:lang w:val="en-IE"/>
        </w:rPr>
        <w:t xml:space="preserve">CO2 </w:t>
      </w:r>
      <w:r w:rsidR="00DB532A">
        <w:rPr>
          <w:noProof/>
          <w:lang w:val="en-IE"/>
        </w:rPr>
        <w:t>emissions, including transport, are discussed in sections</w:t>
      </w:r>
      <w:r w:rsidR="00E1333C">
        <w:rPr>
          <w:noProof/>
          <w:lang w:val="en-IE"/>
        </w:rPr>
        <w:t xml:space="preserve"> </w:t>
      </w:r>
      <w:r w:rsidR="00E1333C">
        <w:rPr>
          <w:noProof/>
          <w:lang w:val="en-IE"/>
        </w:rPr>
        <w:fldChar w:fldCharType="begin"/>
      </w:r>
      <w:r w:rsidR="00E1333C">
        <w:rPr>
          <w:noProof/>
          <w:lang w:val="en-IE"/>
        </w:rPr>
        <w:instrText xml:space="preserve"> REF _Ref141878055 \n \h </w:instrText>
      </w:r>
      <w:r w:rsidR="00E1333C">
        <w:rPr>
          <w:noProof/>
          <w:lang w:val="en-IE"/>
        </w:rPr>
      </w:r>
      <w:r w:rsidR="00E1333C">
        <w:rPr>
          <w:noProof/>
          <w:lang w:val="en-IE"/>
        </w:rPr>
        <w:fldChar w:fldCharType="separate"/>
      </w:r>
      <w:r w:rsidR="00170A3C">
        <w:rPr>
          <w:noProof/>
          <w:lang w:val="en-IE"/>
        </w:rPr>
        <w:t>1.2</w:t>
      </w:r>
      <w:r w:rsidR="00E1333C">
        <w:rPr>
          <w:noProof/>
          <w:lang w:val="en-IE"/>
        </w:rPr>
        <w:fldChar w:fldCharType="end"/>
      </w:r>
      <w:r w:rsidR="00E1333C">
        <w:rPr>
          <w:noProof/>
          <w:lang w:val="en-IE"/>
        </w:rPr>
        <w:t>-</w:t>
      </w:r>
      <w:r w:rsidR="00E1333C">
        <w:rPr>
          <w:noProof/>
          <w:lang w:val="en-IE"/>
        </w:rPr>
        <w:fldChar w:fldCharType="begin"/>
      </w:r>
      <w:r w:rsidR="00E1333C">
        <w:rPr>
          <w:noProof/>
          <w:lang w:val="en-IE"/>
        </w:rPr>
        <w:instrText xml:space="preserve"> REF _Ref141916776 \n \h </w:instrText>
      </w:r>
      <w:r w:rsidR="00E1333C">
        <w:rPr>
          <w:noProof/>
          <w:lang w:val="en-IE"/>
        </w:rPr>
      </w:r>
      <w:r w:rsidR="00E1333C">
        <w:rPr>
          <w:noProof/>
          <w:lang w:val="en-IE"/>
        </w:rPr>
        <w:fldChar w:fldCharType="separate"/>
      </w:r>
      <w:r w:rsidR="00170A3C">
        <w:rPr>
          <w:noProof/>
          <w:lang w:val="en-IE"/>
        </w:rPr>
        <w:t>1.5</w:t>
      </w:r>
      <w:r w:rsidR="00E1333C">
        <w:rPr>
          <w:noProof/>
          <w:lang w:val="en-IE"/>
        </w:rPr>
        <w:fldChar w:fldCharType="end"/>
      </w:r>
      <w:r w:rsidR="00E1333C">
        <w:rPr>
          <w:noProof/>
          <w:lang w:val="en-IE"/>
        </w:rPr>
        <w:t>.</w:t>
      </w:r>
      <w:bookmarkStart w:id="66" w:name="_Ref139990957"/>
      <w:r w:rsidR="007548EC">
        <w:rPr>
          <w:noProof/>
          <w:lang w:val="en-IE"/>
        </w:rPr>
        <w:t xml:space="preserve"> </w:t>
      </w:r>
    </w:p>
    <w:p w14:paraId="7D9C7A23" w14:textId="3D5DEC23" w:rsidR="00835E62" w:rsidRDefault="00835E62" w:rsidP="007548EC">
      <w:pPr>
        <w:pStyle w:val="Caption"/>
        <w:rPr>
          <w:noProof/>
        </w:rPr>
      </w:pPr>
      <w:bookmarkStart w:id="67" w:name="_Ref155942705"/>
      <w:bookmarkStart w:id="68" w:name="_Toc157679889"/>
      <w:r>
        <w:rPr>
          <w:noProof/>
        </w:rPr>
        <w:t xml:space="preserve">Table </w:t>
      </w:r>
      <w:r w:rsidRPr="00F86579">
        <w:rPr>
          <w:noProof/>
        </w:rPr>
        <w:fldChar w:fldCharType="begin"/>
      </w:r>
      <w:r>
        <w:rPr>
          <w:noProof/>
        </w:rPr>
        <w:instrText>SEQ Table \* ARABIC</w:instrText>
      </w:r>
      <w:r w:rsidRPr="00F86579">
        <w:rPr>
          <w:noProof/>
        </w:rPr>
        <w:fldChar w:fldCharType="separate"/>
      </w:r>
      <w:r w:rsidR="00170A3C">
        <w:rPr>
          <w:noProof/>
        </w:rPr>
        <w:t>6</w:t>
      </w:r>
      <w:r w:rsidRPr="00F86579">
        <w:rPr>
          <w:noProof/>
        </w:rPr>
        <w:fldChar w:fldCharType="end"/>
      </w:r>
      <w:bookmarkEnd w:id="65"/>
      <w:bookmarkEnd w:id="66"/>
      <w:bookmarkEnd w:id="67"/>
      <w:r>
        <w:rPr>
          <w:noProof/>
        </w:rPr>
        <w:t xml:space="preserve">: </w:t>
      </w:r>
      <w:r w:rsidR="007A23C8">
        <w:rPr>
          <w:noProof/>
        </w:rPr>
        <w:t>Energy</w:t>
      </w:r>
      <w:r w:rsidRPr="006B1F4A">
        <w:rPr>
          <w:noProof/>
        </w:rPr>
        <w:t xml:space="preserve"> and </w:t>
      </w:r>
      <w:r w:rsidR="007A23C8">
        <w:rPr>
          <w:noProof/>
        </w:rPr>
        <w:t>Industry</w:t>
      </w:r>
      <w:r w:rsidRPr="006B1F4A">
        <w:rPr>
          <w:noProof/>
        </w:rPr>
        <w:t xml:space="preserve"> </w:t>
      </w:r>
      <w:r w:rsidR="00DB7844">
        <w:rPr>
          <w:noProof/>
        </w:rPr>
        <w:t xml:space="preserve">net </w:t>
      </w:r>
      <w:r>
        <w:rPr>
          <w:noProof/>
        </w:rPr>
        <w:t>CO2</w:t>
      </w:r>
      <w:r w:rsidRPr="006B1F4A">
        <w:rPr>
          <w:noProof/>
        </w:rPr>
        <w:t xml:space="preserve"> emissions</w:t>
      </w:r>
      <w:bookmarkEnd w:id="68"/>
    </w:p>
    <w:tbl>
      <w:tblPr>
        <w:tblStyle w:val="GridTable1Light"/>
        <w:tblW w:w="5000" w:type="pct"/>
        <w:tblLook w:val="04A0" w:firstRow="1" w:lastRow="0" w:firstColumn="1" w:lastColumn="0" w:noHBand="0" w:noVBand="1"/>
      </w:tblPr>
      <w:tblGrid>
        <w:gridCol w:w="3933"/>
        <w:gridCol w:w="642"/>
        <w:gridCol w:w="643"/>
        <w:gridCol w:w="643"/>
        <w:gridCol w:w="499"/>
        <w:gridCol w:w="499"/>
        <w:gridCol w:w="499"/>
        <w:gridCol w:w="511"/>
        <w:gridCol w:w="454"/>
        <w:gridCol w:w="511"/>
      </w:tblGrid>
      <w:tr w:rsidR="00FE26BE" w:rsidRPr="006512CA" w14:paraId="34DC2C9E" w14:textId="77777777" w:rsidTr="005B5916">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636" w:type="pct"/>
            <w:noWrap/>
            <w:hideMark/>
          </w:tcPr>
          <w:p w14:paraId="3B59E526" w14:textId="77777777" w:rsidR="006512CA" w:rsidRPr="00F86579" w:rsidRDefault="006512CA" w:rsidP="007548EC">
            <w:pPr>
              <w:keepNext/>
              <w:spacing w:after="0"/>
              <w:jc w:val="left"/>
              <w:rPr>
                <w:rFonts w:ascii="EC Square Sans Cond Pro" w:eastAsia="Times New Roman" w:hAnsi="EC Square Sans Cond Pro" w:cs="Calibri"/>
                <w:noProof/>
                <w:color w:val="000000"/>
                <w:sz w:val="18"/>
                <w:szCs w:val="18"/>
                <w:lang w:val="en-IE"/>
              </w:rPr>
            </w:pPr>
            <w:r w:rsidRPr="00F86579">
              <w:rPr>
                <w:rFonts w:ascii="Calibri" w:eastAsia="Times New Roman" w:hAnsi="Calibri" w:cs="Calibri"/>
                <w:noProof/>
                <w:color w:val="000000"/>
                <w:sz w:val="18"/>
                <w:szCs w:val="18"/>
                <w:lang w:val="en-IE"/>
              </w:rPr>
              <w:t> </w:t>
            </w:r>
          </w:p>
        </w:tc>
        <w:tc>
          <w:tcPr>
            <w:tcW w:w="448" w:type="pct"/>
            <w:noWrap/>
            <w:hideMark/>
          </w:tcPr>
          <w:p w14:paraId="044C5611" w14:textId="77777777" w:rsidR="006512CA" w:rsidRPr="00F86579" w:rsidRDefault="006512CA" w:rsidP="007548EC">
            <w:pPr>
              <w:keepNext/>
              <w:spacing w:after="0"/>
              <w:jc w:val="center"/>
              <w:cnfStyle w:val="100000000000" w:firstRow="1" w:lastRow="0" w:firstColumn="0" w:lastColumn="0" w:oddVBand="0" w:evenVBand="0" w:oddHBand="0" w:evenHBand="0" w:firstRowFirstColumn="0" w:firstRowLastColumn="0" w:lastRowFirstColumn="0" w:lastRowLastColumn="0"/>
              <w:rPr>
                <w:rFonts w:ascii="EC Square Sans Cond Pro" w:eastAsia="Times New Roman" w:hAnsi="EC Square Sans Cond Pro" w:cs="Calibri"/>
                <w:noProof/>
                <w:color w:val="000000"/>
                <w:sz w:val="18"/>
                <w:szCs w:val="18"/>
                <w:lang w:val="en-IE"/>
              </w:rPr>
            </w:pPr>
            <w:r w:rsidRPr="00F86579">
              <w:rPr>
                <w:rFonts w:ascii="EC Square Sans Cond Pro" w:eastAsia="Times New Roman" w:hAnsi="EC Square Sans Cond Pro" w:cs="Calibri"/>
                <w:noProof/>
                <w:color w:val="000000"/>
                <w:sz w:val="18"/>
                <w:szCs w:val="18"/>
                <w:lang w:val="en-IE"/>
              </w:rPr>
              <w:t>2005</w:t>
            </w:r>
          </w:p>
        </w:tc>
        <w:tc>
          <w:tcPr>
            <w:tcW w:w="448" w:type="pct"/>
            <w:noWrap/>
            <w:hideMark/>
          </w:tcPr>
          <w:p w14:paraId="7F8E721D" w14:textId="77777777" w:rsidR="006512CA" w:rsidRPr="00F86579" w:rsidRDefault="006512CA" w:rsidP="007548EC">
            <w:pPr>
              <w:keepNext/>
              <w:spacing w:after="0"/>
              <w:jc w:val="center"/>
              <w:cnfStyle w:val="100000000000" w:firstRow="1" w:lastRow="0" w:firstColumn="0" w:lastColumn="0" w:oddVBand="0" w:evenVBand="0" w:oddHBand="0" w:evenHBand="0" w:firstRowFirstColumn="0" w:firstRowLastColumn="0" w:lastRowFirstColumn="0" w:lastRowLastColumn="0"/>
              <w:rPr>
                <w:rFonts w:ascii="EC Square Sans Cond Pro" w:eastAsia="Times New Roman" w:hAnsi="EC Square Sans Cond Pro" w:cs="Calibri"/>
                <w:noProof/>
                <w:color w:val="000000"/>
                <w:sz w:val="18"/>
                <w:szCs w:val="18"/>
                <w:lang w:val="en-IE"/>
              </w:rPr>
            </w:pPr>
            <w:r w:rsidRPr="00F86579">
              <w:rPr>
                <w:rFonts w:ascii="EC Square Sans Cond Pro" w:eastAsia="Times New Roman" w:hAnsi="EC Square Sans Cond Pro" w:cs="Calibri"/>
                <w:noProof/>
                <w:color w:val="000000"/>
                <w:sz w:val="18"/>
                <w:szCs w:val="18"/>
                <w:lang w:val="en-IE"/>
              </w:rPr>
              <w:t>2015</w:t>
            </w:r>
          </w:p>
        </w:tc>
        <w:tc>
          <w:tcPr>
            <w:tcW w:w="448" w:type="pct"/>
            <w:noWrap/>
            <w:hideMark/>
          </w:tcPr>
          <w:p w14:paraId="16BCAC41" w14:textId="77777777" w:rsidR="006512CA" w:rsidRPr="00F86579" w:rsidRDefault="006512CA" w:rsidP="007548EC">
            <w:pPr>
              <w:keepNext/>
              <w:spacing w:after="0"/>
              <w:jc w:val="center"/>
              <w:cnfStyle w:val="100000000000" w:firstRow="1" w:lastRow="0" w:firstColumn="0" w:lastColumn="0" w:oddVBand="0" w:evenVBand="0" w:oddHBand="0" w:evenHBand="0" w:firstRowFirstColumn="0" w:firstRowLastColumn="0" w:lastRowFirstColumn="0" w:lastRowLastColumn="0"/>
              <w:rPr>
                <w:rFonts w:ascii="EC Square Sans Cond Pro" w:eastAsia="Times New Roman" w:hAnsi="EC Square Sans Cond Pro" w:cs="Calibri"/>
                <w:noProof/>
                <w:color w:val="000000"/>
                <w:sz w:val="18"/>
                <w:szCs w:val="18"/>
                <w:lang w:val="en-IE"/>
              </w:rPr>
            </w:pPr>
            <w:r w:rsidRPr="00F86579">
              <w:rPr>
                <w:rFonts w:ascii="EC Square Sans Cond Pro" w:eastAsia="Times New Roman" w:hAnsi="EC Square Sans Cond Pro" w:cs="Calibri"/>
                <w:noProof/>
                <w:color w:val="000000"/>
                <w:sz w:val="18"/>
                <w:szCs w:val="18"/>
                <w:lang w:val="en-IE"/>
              </w:rPr>
              <w:t>2030</w:t>
            </w:r>
          </w:p>
        </w:tc>
        <w:tc>
          <w:tcPr>
            <w:tcW w:w="1465" w:type="pct"/>
            <w:gridSpan w:val="4"/>
            <w:noWrap/>
            <w:hideMark/>
          </w:tcPr>
          <w:p w14:paraId="5F28E931" w14:textId="77777777" w:rsidR="006512CA" w:rsidRPr="00F86579" w:rsidRDefault="006512CA" w:rsidP="007548EC">
            <w:pPr>
              <w:keepNext/>
              <w:spacing w:after="0"/>
              <w:jc w:val="center"/>
              <w:cnfStyle w:val="100000000000" w:firstRow="1" w:lastRow="0" w:firstColumn="0" w:lastColumn="0" w:oddVBand="0" w:evenVBand="0" w:oddHBand="0" w:evenHBand="0" w:firstRowFirstColumn="0" w:firstRowLastColumn="0" w:lastRowFirstColumn="0" w:lastRowLastColumn="0"/>
              <w:rPr>
                <w:rFonts w:ascii="EC Square Sans Cond Pro" w:eastAsia="Times New Roman" w:hAnsi="EC Square Sans Cond Pro" w:cs="Calibri"/>
                <w:noProof/>
                <w:color w:val="000000"/>
                <w:sz w:val="18"/>
                <w:szCs w:val="18"/>
                <w:lang w:val="en-IE"/>
              </w:rPr>
            </w:pPr>
            <w:r w:rsidRPr="00F86579">
              <w:rPr>
                <w:rFonts w:ascii="EC Square Sans Cond Pro" w:eastAsia="Times New Roman" w:hAnsi="EC Square Sans Cond Pro" w:cs="Calibri"/>
                <w:noProof/>
                <w:color w:val="000000"/>
                <w:sz w:val="18"/>
                <w:szCs w:val="18"/>
                <w:lang w:val="en-IE"/>
              </w:rPr>
              <w:t>2040</w:t>
            </w:r>
          </w:p>
        </w:tc>
        <w:tc>
          <w:tcPr>
            <w:tcW w:w="556" w:type="pct"/>
            <w:gridSpan w:val="2"/>
          </w:tcPr>
          <w:p w14:paraId="3F86E3C1" w14:textId="77777777" w:rsidR="006512CA" w:rsidRPr="00F86579" w:rsidRDefault="006512CA" w:rsidP="007548EC">
            <w:pPr>
              <w:keepNext/>
              <w:spacing w:after="0"/>
              <w:jc w:val="center"/>
              <w:cnfStyle w:val="100000000000" w:firstRow="1" w:lastRow="0" w:firstColumn="0" w:lastColumn="0" w:oddVBand="0" w:evenVBand="0" w:oddHBand="0" w:evenHBand="0" w:firstRowFirstColumn="0" w:firstRowLastColumn="0" w:lastRowFirstColumn="0" w:lastRowLastColumn="0"/>
              <w:rPr>
                <w:rFonts w:ascii="EC Square Sans Cond Pro" w:eastAsia="Times New Roman" w:hAnsi="EC Square Sans Cond Pro" w:cs="Calibri"/>
                <w:noProof/>
                <w:color w:val="000000"/>
                <w:sz w:val="18"/>
                <w:szCs w:val="18"/>
                <w:lang w:val="en-IE"/>
              </w:rPr>
            </w:pPr>
            <w:r w:rsidRPr="00F86579">
              <w:rPr>
                <w:rFonts w:ascii="EC Square Sans Cond Pro" w:eastAsia="Times New Roman" w:hAnsi="EC Square Sans Cond Pro" w:cs="Calibri"/>
                <w:noProof/>
                <w:color w:val="000000"/>
                <w:sz w:val="18"/>
                <w:szCs w:val="18"/>
                <w:lang w:val="en-IE"/>
              </w:rPr>
              <w:t>2050</w:t>
            </w:r>
          </w:p>
        </w:tc>
      </w:tr>
      <w:tr w:rsidR="00FE26BE" w:rsidRPr="006512CA" w14:paraId="365C474A" w14:textId="77777777" w:rsidTr="005B5916">
        <w:trPr>
          <w:trHeight w:val="288"/>
        </w:trPr>
        <w:tc>
          <w:tcPr>
            <w:cnfStyle w:val="001000000000" w:firstRow="0" w:lastRow="0" w:firstColumn="1" w:lastColumn="0" w:oddVBand="0" w:evenVBand="0" w:oddHBand="0" w:evenHBand="0" w:firstRowFirstColumn="0" w:firstRowLastColumn="0" w:lastRowFirstColumn="0" w:lastRowLastColumn="0"/>
            <w:tcW w:w="1636" w:type="pct"/>
            <w:noWrap/>
            <w:hideMark/>
          </w:tcPr>
          <w:p w14:paraId="7DA88A81" w14:textId="77777777" w:rsidR="0072061D" w:rsidRPr="00F86579" w:rsidRDefault="0072061D" w:rsidP="007548EC">
            <w:pPr>
              <w:keepNext/>
              <w:spacing w:after="0"/>
              <w:jc w:val="left"/>
              <w:rPr>
                <w:rFonts w:ascii="EC Square Sans Cond Pro" w:eastAsia="Times New Roman" w:hAnsi="EC Square Sans Cond Pro" w:cs="Calibri"/>
                <w:noProof/>
                <w:sz w:val="18"/>
                <w:szCs w:val="18"/>
                <w:lang w:val="en-IE"/>
              </w:rPr>
            </w:pPr>
            <w:r w:rsidRPr="00F86579">
              <w:rPr>
                <w:rFonts w:ascii="Calibri" w:eastAsia="Times New Roman" w:hAnsi="Calibri" w:cs="Calibri"/>
                <w:noProof/>
                <w:sz w:val="18"/>
                <w:szCs w:val="18"/>
                <w:lang w:val="en-IE"/>
              </w:rPr>
              <w:t> </w:t>
            </w:r>
          </w:p>
        </w:tc>
        <w:tc>
          <w:tcPr>
            <w:tcW w:w="448" w:type="pct"/>
            <w:noWrap/>
            <w:vAlign w:val="center"/>
          </w:tcPr>
          <w:p w14:paraId="4C38C03D" w14:textId="112EBDBD" w:rsidR="0072061D" w:rsidRPr="00F86579" w:rsidRDefault="00663BDE"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F86579">
              <w:rPr>
                <w:rFonts w:ascii="EC Square Sans Cond Pro" w:eastAsia="Times New Roman" w:hAnsi="EC Square Sans Cond Pro" w:cs="Calibri"/>
                <w:b/>
                <w:noProof/>
                <w:sz w:val="18"/>
                <w:szCs w:val="18"/>
                <w:lang w:val="en-IE"/>
              </w:rPr>
              <w:t>-</w:t>
            </w:r>
          </w:p>
        </w:tc>
        <w:tc>
          <w:tcPr>
            <w:tcW w:w="448" w:type="pct"/>
            <w:noWrap/>
            <w:vAlign w:val="center"/>
          </w:tcPr>
          <w:p w14:paraId="3833B755" w14:textId="1D3EE6F3" w:rsidR="0072061D" w:rsidRPr="00F86579" w:rsidRDefault="00663BDE"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F86579">
              <w:rPr>
                <w:rFonts w:ascii="EC Square Sans Cond Pro" w:eastAsia="Times New Roman" w:hAnsi="EC Square Sans Cond Pro" w:cs="Calibri"/>
                <w:b/>
                <w:noProof/>
                <w:sz w:val="18"/>
                <w:szCs w:val="18"/>
                <w:lang w:val="en-IE"/>
              </w:rPr>
              <w:t>-</w:t>
            </w:r>
          </w:p>
        </w:tc>
        <w:tc>
          <w:tcPr>
            <w:tcW w:w="448" w:type="pct"/>
            <w:noWrap/>
            <w:vAlign w:val="center"/>
          </w:tcPr>
          <w:p w14:paraId="330D032F" w14:textId="11BC6FF2" w:rsidR="0072061D" w:rsidRPr="00F86579" w:rsidRDefault="00663BDE"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F86579">
              <w:rPr>
                <w:rFonts w:ascii="EC Square Sans Cond Pro" w:eastAsia="Times New Roman" w:hAnsi="EC Square Sans Cond Pro" w:cs="Calibri"/>
                <w:b/>
                <w:noProof/>
                <w:sz w:val="18"/>
                <w:szCs w:val="18"/>
                <w:lang w:val="en-IE"/>
              </w:rPr>
              <w:t>-</w:t>
            </w:r>
          </w:p>
        </w:tc>
        <w:tc>
          <w:tcPr>
            <w:tcW w:w="366" w:type="pct"/>
            <w:noWrap/>
            <w:vAlign w:val="bottom"/>
          </w:tcPr>
          <w:p w14:paraId="153FEA9C" w14:textId="063BCACD" w:rsidR="0072061D" w:rsidRPr="00F86579"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b/>
                <w:bCs/>
                <w:noProof/>
                <w:sz w:val="18"/>
                <w:szCs w:val="18"/>
              </w:rPr>
              <w:t>S1</w:t>
            </w:r>
          </w:p>
        </w:tc>
        <w:tc>
          <w:tcPr>
            <w:tcW w:w="366" w:type="pct"/>
            <w:noWrap/>
            <w:vAlign w:val="bottom"/>
          </w:tcPr>
          <w:p w14:paraId="50180F8E" w14:textId="3EDFD392" w:rsidR="0072061D" w:rsidRPr="00F86579"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b/>
                <w:bCs/>
                <w:noProof/>
                <w:sz w:val="18"/>
                <w:szCs w:val="18"/>
              </w:rPr>
              <w:t>S2</w:t>
            </w:r>
          </w:p>
        </w:tc>
        <w:tc>
          <w:tcPr>
            <w:tcW w:w="366" w:type="pct"/>
            <w:noWrap/>
            <w:vAlign w:val="bottom"/>
          </w:tcPr>
          <w:p w14:paraId="46198CDB" w14:textId="2BC44B40" w:rsidR="0072061D" w:rsidRPr="00F86579"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b/>
                <w:bCs/>
                <w:noProof/>
                <w:sz w:val="18"/>
                <w:szCs w:val="18"/>
              </w:rPr>
              <w:t>S3</w:t>
            </w:r>
          </w:p>
        </w:tc>
        <w:tc>
          <w:tcPr>
            <w:tcW w:w="366" w:type="pct"/>
            <w:noWrap/>
            <w:vAlign w:val="bottom"/>
          </w:tcPr>
          <w:p w14:paraId="5D3D9854" w14:textId="2487AD78" w:rsidR="0072061D"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i/>
                <w:noProof/>
                <w:sz w:val="18"/>
                <w:szCs w:val="18"/>
                <w:highlight w:val="yellow"/>
                <w:lang w:val="en-IE"/>
              </w:rPr>
            </w:pPr>
            <w:r w:rsidRPr="00465F10">
              <w:rPr>
                <w:rFonts w:ascii="EC Square Sans Cond Pro" w:hAnsi="EC Square Sans Cond Pro" w:cs="Calibri"/>
                <w:b/>
                <w:bCs/>
                <w:noProof/>
                <w:sz w:val="18"/>
                <w:szCs w:val="18"/>
              </w:rPr>
              <w:t>LIFE</w:t>
            </w:r>
          </w:p>
        </w:tc>
        <w:tc>
          <w:tcPr>
            <w:tcW w:w="271" w:type="pct"/>
            <w:noWrap/>
            <w:vAlign w:val="bottom"/>
            <w:hideMark/>
          </w:tcPr>
          <w:p w14:paraId="555DA540" w14:textId="0416988F" w:rsidR="0072061D"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highlight w:val="yellow"/>
                <w:lang w:val="en-IE"/>
              </w:rPr>
            </w:pPr>
            <w:r w:rsidRPr="00465F10">
              <w:rPr>
                <w:rFonts w:ascii="EC Square Sans Cond Pro" w:hAnsi="EC Square Sans Cond Pro" w:cs="Calibri"/>
                <w:b/>
                <w:bCs/>
                <w:noProof/>
                <w:sz w:val="18"/>
                <w:szCs w:val="18"/>
              </w:rPr>
              <w:t>S3</w:t>
            </w:r>
          </w:p>
        </w:tc>
        <w:tc>
          <w:tcPr>
            <w:tcW w:w="285" w:type="pct"/>
            <w:noWrap/>
            <w:vAlign w:val="bottom"/>
            <w:hideMark/>
          </w:tcPr>
          <w:p w14:paraId="0AC8045E" w14:textId="71E74FC2" w:rsidR="0072061D"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i/>
                <w:noProof/>
                <w:sz w:val="18"/>
                <w:szCs w:val="18"/>
                <w:highlight w:val="yellow"/>
                <w:lang w:val="en-IE"/>
              </w:rPr>
            </w:pPr>
            <w:r w:rsidRPr="00465F10">
              <w:rPr>
                <w:rFonts w:ascii="EC Square Sans Cond Pro" w:hAnsi="EC Square Sans Cond Pro" w:cs="Calibri"/>
                <w:b/>
                <w:bCs/>
                <w:noProof/>
                <w:sz w:val="18"/>
                <w:szCs w:val="18"/>
              </w:rPr>
              <w:t>LIFE</w:t>
            </w:r>
          </w:p>
        </w:tc>
      </w:tr>
      <w:tr w:rsidR="00FE26BE" w:rsidRPr="006512CA" w14:paraId="0660FAD9" w14:textId="77777777" w:rsidTr="005B5916">
        <w:trPr>
          <w:trHeight w:val="288"/>
        </w:trPr>
        <w:tc>
          <w:tcPr>
            <w:cnfStyle w:val="001000000000" w:firstRow="0" w:lastRow="0" w:firstColumn="1" w:lastColumn="0" w:oddVBand="0" w:evenVBand="0" w:oddHBand="0" w:evenHBand="0" w:firstRowFirstColumn="0" w:firstRowLastColumn="0" w:lastRowFirstColumn="0" w:lastRowLastColumn="0"/>
            <w:tcW w:w="1636" w:type="pct"/>
            <w:noWrap/>
            <w:hideMark/>
          </w:tcPr>
          <w:p w14:paraId="0D27C41E" w14:textId="17FF632F" w:rsidR="008247A3" w:rsidRPr="00F86579" w:rsidRDefault="008247A3" w:rsidP="008247A3">
            <w:pPr>
              <w:keepNext/>
              <w:spacing w:after="0"/>
              <w:jc w:val="left"/>
              <w:rPr>
                <w:rFonts w:ascii="EC Square Sans Cond Pro" w:eastAsia="Times New Roman" w:hAnsi="EC Square Sans Cond Pro" w:cs="Calibri"/>
                <w:noProof/>
                <w:sz w:val="18"/>
                <w:szCs w:val="18"/>
                <w:lang w:val="en-IE"/>
              </w:rPr>
            </w:pPr>
            <w:r w:rsidRPr="00F86579">
              <w:rPr>
                <w:rFonts w:ascii="EC Square Sans Cond Pro" w:eastAsia="Times New Roman" w:hAnsi="EC Square Sans Cond Pro" w:cs="Calibri"/>
                <w:noProof/>
                <w:sz w:val="18"/>
                <w:szCs w:val="18"/>
                <w:lang w:val="en-IE"/>
              </w:rPr>
              <w:t>Total Energy and Industry CO2 emissions</w:t>
            </w:r>
          </w:p>
        </w:tc>
        <w:tc>
          <w:tcPr>
            <w:tcW w:w="448" w:type="pct"/>
            <w:noWrap/>
            <w:vAlign w:val="bottom"/>
            <w:hideMark/>
          </w:tcPr>
          <w:p w14:paraId="6A73D9E1" w14:textId="5839359D" w:rsidR="008247A3" w:rsidRPr="00F86579" w:rsidRDefault="008247A3" w:rsidP="008247A3">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b/>
                <w:bCs/>
                <w:noProof/>
                <w:color w:val="000000"/>
                <w:sz w:val="18"/>
                <w:szCs w:val="18"/>
              </w:rPr>
              <w:t>38</w:t>
            </w:r>
            <w:r>
              <w:rPr>
                <w:rFonts w:ascii="EC Square Sans Cond Pro" w:hAnsi="EC Square Sans Cond Pro" w:cs="Calibri"/>
                <w:b/>
                <w:bCs/>
                <w:noProof/>
                <w:color w:val="000000"/>
                <w:sz w:val="18"/>
                <w:szCs w:val="18"/>
              </w:rPr>
              <w:t>37</w:t>
            </w:r>
          </w:p>
        </w:tc>
        <w:tc>
          <w:tcPr>
            <w:tcW w:w="448" w:type="pct"/>
            <w:noWrap/>
            <w:vAlign w:val="bottom"/>
            <w:hideMark/>
          </w:tcPr>
          <w:p w14:paraId="797A84EC" w14:textId="7B581048" w:rsidR="008247A3" w:rsidRPr="00F86579" w:rsidRDefault="008247A3" w:rsidP="008247A3">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b/>
                <w:bCs/>
                <w:noProof/>
                <w:color w:val="000000"/>
                <w:sz w:val="18"/>
                <w:szCs w:val="18"/>
              </w:rPr>
              <w:t>3</w:t>
            </w:r>
            <w:r>
              <w:rPr>
                <w:rFonts w:ascii="EC Square Sans Cond Pro" w:hAnsi="EC Square Sans Cond Pro" w:cs="Calibri"/>
                <w:b/>
                <w:bCs/>
                <w:noProof/>
                <w:color w:val="000000"/>
                <w:sz w:val="18"/>
                <w:szCs w:val="18"/>
              </w:rPr>
              <w:t>197</w:t>
            </w:r>
          </w:p>
        </w:tc>
        <w:tc>
          <w:tcPr>
            <w:tcW w:w="448" w:type="pct"/>
            <w:noWrap/>
            <w:vAlign w:val="bottom"/>
            <w:hideMark/>
          </w:tcPr>
          <w:p w14:paraId="6C4A390F" w14:textId="3C779F21" w:rsidR="008247A3" w:rsidRPr="00F86579" w:rsidRDefault="008247A3" w:rsidP="008247A3">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b/>
                <w:bCs/>
                <w:noProof/>
                <w:color w:val="000000"/>
                <w:sz w:val="18"/>
                <w:szCs w:val="18"/>
              </w:rPr>
              <w:t>17</w:t>
            </w:r>
            <w:r>
              <w:rPr>
                <w:rFonts w:ascii="EC Square Sans Cond Pro" w:hAnsi="EC Square Sans Cond Pro" w:cs="Calibri"/>
                <w:b/>
                <w:bCs/>
                <w:noProof/>
                <w:color w:val="000000"/>
                <w:sz w:val="18"/>
                <w:szCs w:val="18"/>
              </w:rPr>
              <w:t>59</w:t>
            </w:r>
          </w:p>
        </w:tc>
        <w:tc>
          <w:tcPr>
            <w:tcW w:w="366" w:type="pct"/>
            <w:noWrap/>
            <w:vAlign w:val="bottom"/>
            <w:hideMark/>
          </w:tcPr>
          <w:p w14:paraId="767BE0DE" w14:textId="7818702D" w:rsidR="008247A3" w:rsidRPr="00F86579" w:rsidRDefault="008247A3" w:rsidP="008247A3">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b/>
                <w:bCs/>
                <w:noProof/>
                <w:color w:val="000000"/>
                <w:sz w:val="18"/>
                <w:szCs w:val="18"/>
              </w:rPr>
              <w:t>8</w:t>
            </w:r>
            <w:r>
              <w:rPr>
                <w:rFonts w:ascii="EC Square Sans Cond Pro" w:hAnsi="EC Square Sans Cond Pro" w:cs="Calibri"/>
                <w:b/>
                <w:bCs/>
                <w:noProof/>
                <w:color w:val="000000"/>
                <w:sz w:val="18"/>
                <w:szCs w:val="18"/>
              </w:rPr>
              <w:t>05</w:t>
            </w:r>
          </w:p>
        </w:tc>
        <w:tc>
          <w:tcPr>
            <w:tcW w:w="366" w:type="pct"/>
            <w:noWrap/>
            <w:vAlign w:val="bottom"/>
            <w:hideMark/>
          </w:tcPr>
          <w:p w14:paraId="096E9E8F" w14:textId="3E691068" w:rsidR="008247A3" w:rsidRPr="00F86579" w:rsidRDefault="008247A3" w:rsidP="008247A3">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b/>
                <w:bCs/>
                <w:noProof/>
                <w:color w:val="000000"/>
                <w:sz w:val="18"/>
                <w:szCs w:val="18"/>
              </w:rPr>
              <w:t>5</w:t>
            </w:r>
            <w:r>
              <w:rPr>
                <w:rFonts w:ascii="EC Square Sans Cond Pro" w:hAnsi="EC Square Sans Cond Pro" w:cs="Calibri"/>
                <w:b/>
                <w:bCs/>
                <w:noProof/>
                <w:color w:val="000000"/>
                <w:sz w:val="18"/>
                <w:szCs w:val="18"/>
              </w:rPr>
              <w:t>11</w:t>
            </w:r>
          </w:p>
        </w:tc>
        <w:tc>
          <w:tcPr>
            <w:tcW w:w="366" w:type="pct"/>
            <w:noWrap/>
            <w:vAlign w:val="bottom"/>
            <w:hideMark/>
          </w:tcPr>
          <w:p w14:paraId="73C59BCD" w14:textId="39E19B5F" w:rsidR="008247A3" w:rsidRPr="00F86579" w:rsidRDefault="008247A3" w:rsidP="008247A3">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b/>
                <w:bCs/>
                <w:noProof/>
                <w:color w:val="000000"/>
                <w:sz w:val="18"/>
                <w:szCs w:val="18"/>
              </w:rPr>
              <w:t>3</w:t>
            </w:r>
            <w:r>
              <w:rPr>
                <w:rFonts w:ascii="EC Square Sans Cond Pro" w:hAnsi="EC Square Sans Cond Pro" w:cs="Calibri"/>
                <w:b/>
                <w:bCs/>
                <w:noProof/>
                <w:color w:val="000000"/>
                <w:sz w:val="18"/>
                <w:szCs w:val="18"/>
              </w:rPr>
              <w:t>21</w:t>
            </w:r>
          </w:p>
        </w:tc>
        <w:tc>
          <w:tcPr>
            <w:tcW w:w="366" w:type="pct"/>
            <w:noWrap/>
            <w:vAlign w:val="bottom"/>
            <w:hideMark/>
          </w:tcPr>
          <w:p w14:paraId="7EF70F17" w14:textId="27C0B6E3" w:rsidR="008247A3" w:rsidRPr="00F77DCB" w:rsidRDefault="008247A3" w:rsidP="008247A3">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i/>
                <w:noProof/>
                <w:sz w:val="18"/>
                <w:szCs w:val="18"/>
                <w:highlight w:val="yellow"/>
                <w:lang w:val="en-IE"/>
              </w:rPr>
            </w:pPr>
            <w:r w:rsidRPr="00465F10">
              <w:rPr>
                <w:rFonts w:ascii="EC Square Sans Cond Pro" w:hAnsi="EC Square Sans Cond Pro" w:cs="Calibri"/>
                <w:b/>
                <w:bCs/>
                <w:noProof/>
                <w:color w:val="000000"/>
                <w:sz w:val="18"/>
                <w:szCs w:val="18"/>
              </w:rPr>
              <w:t>4</w:t>
            </w:r>
            <w:r>
              <w:rPr>
                <w:rFonts w:ascii="EC Square Sans Cond Pro" w:hAnsi="EC Square Sans Cond Pro" w:cs="Calibri"/>
                <w:b/>
                <w:bCs/>
                <w:noProof/>
                <w:color w:val="000000"/>
                <w:sz w:val="18"/>
                <w:szCs w:val="18"/>
              </w:rPr>
              <w:t>2</w:t>
            </w:r>
            <w:r w:rsidRPr="00465F10">
              <w:rPr>
                <w:rFonts w:ascii="EC Square Sans Cond Pro" w:hAnsi="EC Square Sans Cond Pro" w:cs="Calibri"/>
                <w:b/>
                <w:bCs/>
                <w:noProof/>
                <w:color w:val="000000"/>
                <w:sz w:val="18"/>
                <w:szCs w:val="18"/>
              </w:rPr>
              <w:t>2</w:t>
            </w:r>
          </w:p>
        </w:tc>
        <w:tc>
          <w:tcPr>
            <w:tcW w:w="271" w:type="pct"/>
            <w:noWrap/>
            <w:vAlign w:val="bottom"/>
            <w:hideMark/>
          </w:tcPr>
          <w:p w14:paraId="26C7FFB3" w14:textId="7EAEAABF" w:rsidR="008247A3" w:rsidRPr="00F77DCB" w:rsidRDefault="008247A3" w:rsidP="008247A3">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color w:val="000000"/>
                <w:sz w:val="18"/>
                <w:szCs w:val="18"/>
                <w:highlight w:val="yellow"/>
                <w:lang w:val="en-IE"/>
              </w:rPr>
            </w:pPr>
            <w:r>
              <w:rPr>
                <w:rFonts w:ascii="EC Square Sans Cond Pro" w:eastAsia="Times New Roman" w:hAnsi="EC Square Sans Cond Pro" w:cs="Calibri"/>
                <w:b/>
                <w:bCs/>
                <w:noProof/>
                <w:color w:val="000000"/>
                <w:sz w:val="18"/>
                <w:szCs w:val="18"/>
                <w:lang w:val="en-IE"/>
              </w:rPr>
              <w:t>-</w:t>
            </w:r>
            <w:r w:rsidRPr="00EA7142">
              <w:rPr>
                <w:rFonts w:ascii="EC Square Sans Cond Pro" w:eastAsia="Times New Roman" w:hAnsi="EC Square Sans Cond Pro" w:cs="Calibri"/>
                <w:b/>
                <w:bCs/>
                <w:noProof/>
                <w:color w:val="000000"/>
                <w:sz w:val="18"/>
                <w:szCs w:val="18"/>
                <w:lang w:val="en-IE"/>
              </w:rPr>
              <w:t>5</w:t>
            </w:r>
          </w:p>
        </w:tc>
        <w:tc>
          <w:tcPr>
            <w:tcW w:w="285" w:type="pct"/>
            <w:noWrap/>
            <w:vAlign w:val="bottom"/>
            <w:hideMark/>
          </w:tcPr>
          <w:p w14:paraId="354A81C4" w14:textId="3BD4C557" w:rsidR="008247A3" w:rsidRPr="00F77DCB" w:rsidRDefault="008247A3" w:rsidP="008247A3">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i/>
                <w:noProof/>
                <w:color w:val="000000"/>
                <w:sz w:val="18"/>
                <w:szCs w:val="18"/>
                <w:highlight w:val="yellow"/>
                <w:lang w:val="en-IE"/>
              </w:rPr>
            </w:pPr>
            <w:r>
              <w:rPr>
                <w:rFonts w:ascii="EC Square Sans Cond Pro" w:hAnsi="EC Square Sans Cond Pro" w:cs="Calibri"/>
                <w:b/>
                <w:bCs/>
                <w:noProof/>
                <w:color w:val="000000"/>
                <w:sz w:val="18"/>
                <w:szCs w:val="18"/>
              </w:rPr>
              <w:t>7</w:t>
            </w:r>
            <w:r w:rsidRPr="00465F10">
              <w:rPr>
                <w:rFonts w:ascii="EC Square Sans Cond Pro" w:hAnsi="EC Square Sans Cond Pro" w:cs="Calibri"/>
                <w:b/>
                <w:bCs/>
                <w:noProof/>
                <w:color w:val="000000"/>
                <w:sz w:val="18"/>
                <w:szCs w:val="18"/>
              </w:rPr>
              <w:t>3</w:t>
            </w:r>
          </w:p>
        </w:tc>
      </w:tr>
      <w:tr w:rsidR="00FE26BE" w:rsidRPr="006512CA" w14:paraId="14983AE8" w14:textId="77777777" w:rsidTr="005B5916">
        <w:trPr>
          <w:trHeight w:val="288"/>
        </w:trPr>
        <w:tc>
          <w:tcPr>
            <w:cnfStyle w:val="001000000000" w:firstRow="0" w:lastRow="0" w:firstColumn="1" w:lastColumn="0" w:oddVBand="0" w:evenVBand="0" w:oddHBand="0" w:evenHBand="0" w:firstRowFirstColumn="0" w:firstRowLastColumn="0" w:lastRowFirstColumn="0" w:lastRowLastColumn="0"/>
            <w:tcW w:w="1636" w:type="pct"/>
            <w:noWrap/>
            <w:hideMark/>
          </w:tcPr>
          <w:p w14:paraId="5184049D" w14:textId="0D8A07D9" w:rsidR="00663BDE" w:rsidRPr="00E1333C" w:rsidRDefault="00663BDE" w:rsidP="007548EC">
            <w:pPr>
              <w:keepNext/>
              <w:spacing w:after="0"/>
              <w:jc w:val="left"/>
              <w:rPr>
                <w:rFonts w:ascii="EC Square Sans Cond Pro" w:eastAsia="Times New Roman" w:hAnsi="EC Square Sans Cond Pro" w:cs="Calibri"/>
                <w:noProof/>
                <w:sz w:val="18"/>
                <w:szCs w:val="18"/>
                <w:lang w:val="en-IE"/>
              </w:rPr>
            </w:pPr>
            <w:r w:rsidRPr="00E1333C">
              <w:rPr>
                <w:rFonts w:ascii="EC Square Sans Cond Pro" w:eastAsia="Times New Roman" w:hAnsi="EC Square Sans Cond Pro" w:cs="Calibri"/>
                <w:noProof/>
                <w:sz w:val="18"/>
                <w:szCs w:val="18"/>
                <w:lang w:val="en-IE"/>
              </w:rPr>
              <w:t>Net Domestic CO2 Emissions: Energy Related</w:t>
            </w:r>
          </w:p>
        </w:tc>
        <w:tc>
          <w:tcPr>
            <w:tcW w:w="448" w:type="pct"/>
            <w:noWrap/>
            <w:vAlign w:val="bottom"/>
            <w:hideMark/>
          </w:tcPr>
          <w:p w14:paraId="51268836" w14:textId="5204BE74"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b/>
                <w:bCs/>
                <w:noProof/>
                <w:color w:val="000000"/>
                <w:sz w:val="18"/>
                <w:szCs w:val="18"/>
              </w:rPr>
              <w:t>3381</w:t>
            </w:r>
          </w:p>
        </w:tc>
        <w:tc>
          <w:tcPr>
            <w:tcW w:w="448" w:type="pct"/>
            <w:noWrap/>
            <w:vAlign w:val="bottom"/>
            <w:hideMark/>
          </w:tcPr>
          <w:p w14:paraId="4E4457BB" w14:textId="1B0B59CF"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b/>
                <w:bCs/>
                <w:noProof/>
                <w:color w:val="000000"/>
                <w:sz w:val="18"/>
                <w:szCs w:val="18"/>
              </w:rPr>
              <w:t>2787</w:t>
            </w:r>
          </w:p>
        </w:tc>
        <w:tc>
          <w:tcPr>
            <w:tcW w:w="448" w:type="pct"/>
            <w:noWrap/>
            <w:vAlign w:val="bottom"/>
            <w:hideMark/>
          </w:tcPr>
          <w:p w14:paraId="2EE69227" w14:textId="1D8122BB"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b/>
                <w:bCs/>
                <w:noProof/>
                <w:color w:val="000000"/>
                <w:sz w:val="18"/>
                <w:szCs w:val="18"/>
              </w:rPr>
              <w:t>1448</w:t>
            </w:r>
          </w:p>
        </w:tc>
        <w:tc>
          <w:tcPr>
            <w:tcW w:w="366" w:type="pct"/>
            <w:noWrap/>
            <w:vAlign w:val="bottom"/>
            <w:hideMark/>
          </w:tcPr>
          <w:p w14:paraId="5E81A740" w14:textId="7E1E332D"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b/>
                <w:bCs/>
                <w:noProof/>
                <w:color w:val="000000"/>
                <w:sz w:val="18"/>
                <w:szCs w:val="18"/>
              </w:rPr>
              <w:t>594</w:t>
            </w:r>
          </w:p>
        </w:tc>
        <w:tc>
          <w:tcPr>
            <w:tcW w:w="366" w:type="pct"/>
            <w:noWrap/>
            <w:vAlign w:val="bottom"/>
            <w:hideMark/>
          </w:tcPr>
          <w:p w14:paraId="2EFA2E39" w14:textId="679E3DFB"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b/>
                <w:bCs/>
                <w:noProof/>
                <w:color w:val="000000"/>
                <w:sz w:val="18"/>
                <w:szCs w:val="18"/>
              </w:rPr>
              <w:t>357</w:t>
            </w:r>
          </w:p>
        </w:tc>
        <w:tc>
          <w:tcPr>
            <w:tcW w:w="366" w:type="pct"/>
            <w:noWrap/>
            <w:vAlign w:val="bottom"/>
            <w:hideMark/>
          </w:tcPr>
          <w:p w14:paraId="4ECC10BB" w14:textId="3CBCB11B"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b/>
                <w:bCs/>
                <w:noProof/>
                <w:color w:val="000000"/>
                <w:sz w:val="18"/>
                <w:szCs w:val="18"/>
              </w:rPr>
              <w:t>247</w:t>
            </w:r>
          </w:p>
        </w:tc>
        <w:tc>
          <w:tcPr>
            <w:tcW w:w="366" w:type="pct"/>
            <w:noWrap/>
            <w:vAlign w:val="bottom"/>
            <w:hideMark/>
          </w:tcPr>
          <w:p w14:paraId="05AAAF7A" w14:textId="2DE33A5E" w:rsidR="00663BDE"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i/>
                <w:noProof/>
                <w:sz w:val="18"/>
                <w:szCs w:val="18"/>
                <w:highlight w:val="yellow"/>
                <w:lang w:val="en-IE"/>
              </w:rPr>
            </w:pPr>
            <w:r w:rsidRPr="00465F10">
              <w:rPr>
                <w:rFonts w:ascii="EC Square Sans Cond Pro" w:hAnsi="EC Square Sans Cond Pro" w:cs="Calibri"/>
                <w:b/>
                <w:bCs/>
                <w:noProof/>
                <w:color w:val="000000"/>
                <w:sz w:val="18"/>
                <w:szCs w:val="18"/>
              </w:rPr>
              <w:t>351</w:t>
            </w:r>
          </w:p>
        </w:tc>
        <w:tc>
          <w:tcPr>
            <w:tcW w:w="271" w:type="pct"/>
            <w:noWrap/>
            <w:vAlign w:val="bottom"/>
            <w:hideMark/>
          </w:tcPr>
          <w:p w14:paraId="163E15C6" w14:textId="0142EEA9" w:rsidR="00663BDE"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color w:val="000000"/>
                <w:sz w:val="18"/>
                <w:szCs w:val="18"/>
                <w:highlight w:val="yellow"/>
                <w:lang w:val="en-IE"/>
              </w:rPr>
            </w:pPr>
            <w:r w:rsidRPr="00465F10">
              <w:rPr>
                <w:rFonts w:ascii="EC Square Sans Cond Pro" w:hAnsi="EC Square Sans Cond Pro" w:cs="Calibri"/>
                <w:b/>
                <w:bCs/>
                <w:noProof/>
                <w:color w:val="000000"/>
                <w:sz w:val="18"/>
                <w:szCs w:val="18"/>
              </w:rPr>
              <w:t>-40</w:t>
            </w:r>
          </w:p>
        </w:tc>
        <w:tc>
          <w:tcPr>
            <w:tcW w:w="285" w:type="pct"/>
            <w:noWrap/>
            <w:vAlign w:val="bottom"/>
            <w:hideMark/>
          </w:tcPr>
          <w:p w14:paraId="3EA32A3D" w14:textId="7FCA79F2" w:rsidR="00663BDE" w:rsidRPr="00D663ED"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i/>
                <w:iCs/>
                <w:noProof/>
                <w:color w:val="000000"/>
                <w:sz w:val="18"/>
                <w:szCs w:val="18"/>
                <w:highlight w:val="yellow"/>
                <w:lang w:val="en-IE"/>
              </w:rPr>
            </w:pPr>
            <w:r w:rsidRPr="00465F10">
              <w:rPr>
                <w:rFonts w:ascii="EC Square Sans Cond Pro" w:hAnsi="EC Square Sans Cond Pro" w:cs="Calibri"/>
                <w:b/>
                <w:bCs/>
                <w:noProof/>
                <w:color w:val="000000"/>
                <w:sz w:val="18"/>
                <w:szCs w:val="18"/>
              </w:rPr>
              <w:t>41</w:t>
            </w:r>
          </w:p>
        </w:tc>
      </w:tr>
      <w:tr w:rsidR="00FE26BE" w:rsidRPr="006512CA" w14:paraId="2DE782DC" w14:textId="77777777" w:rsidTr="005B5916">
        <w:trPr>
          <w:trHeight w:val="288"/>
        </w:trPr>
        <w:tc>
          <w:tcPr>
            <w:cnfStyle w:val="001000000000" w:firstRow="0" w:lastRow="0" w:firstColumn="1" w:lastColumn="0" w:oddVBand="0" w:evenVBand="0" w:oddHBand="0" w:evenHBand="0" w:firstRowFirstColumn="0" w:firstRowLastColumn="0" w:lastRowFirstColumn="0" w:lastRowLastColumn="0"/>
            <w:tcW w:w="1636" w:type="pct"/>
            <w:noWrap/>
            <w:hideMark/>
          </w:tcPr>
          <w:p w14:paraId="2F189A78" w14:textId="77777777" w:rsidR="00663BDE" w:rsidRPr="00E1333C" w:rsidRDefault="00663BDE" w:rsidP="007548EC">
            <w:pPr>
              <w:keepNext/>
              <w:spacing w:after="0"/>
              <w:jc w:val="right"/>
              <w:rPr>
                <w:rFonts w:ascii="EC Square Sans Cond Pro" w:eastAsia="Times New Roman" w:hAnsi="EC Square Sans Cond Pro" w:cs="Calibri"/>
                <w:b w:val="0"/>
                <w:i/>
                <w:noProof/>
                <w:sz w:val="18"/>
                <w:szCs w:val="18"/>
                <w:lang w:val="en-IE"/>
              </w:rPr>
            </w:pPr>
            <w:r w:rsidRPr="00E1333C">
              <w:rPr>
                <w:rFonts w:ascii="EC Square Sans Cond Pro" w:eastAsia="Times New Roman" w:hAnsi="EC Square Sans Cond Pro" w:cs="Calibri"/>
                <w:b w:val="0"/>
                <w:i/>
                <w:noProof/>
                <w:sz w:val="18"/>
                <w:szCs w:val="18"/>
                <w:lang w:val="en-IE"/>
              </w:rPr>
              <w:t>Power and district heating*</w:t>
            </w:r>
          </w:p>
        </w:tc>
        <w:tc>
          <w:tcPr>
            <w:tcW w:w="448" w:type="pct"/>
            <w:noWrap/>
            <w:vAlign w:val="bottom"/>
            <w:hideMark/>
          </w:tcPr>
          <w:p w14:paraId="0EE12DD1" w14:textId="15B52DBB"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1300</w:t>
            </w:r>
          </w:p>
        </w:tc>
        <w:tc>
          <w:tcPr>
            <w:tcW w:w="448" w:type="pct"/>
            <w:noWrap/>
            <w:vAlign w:val="bottom"/>
            <w:hideMark/>
          </w:tcPr>
          <w:p w14:paraId="6FA7599B" w14:textId="62A824D7"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1012</w:t>
            </w:r>
          </w:p>
        </w:tc>
        <w:tc>
          <w:tcPr>
            <w:tcW w:w="448" w:type="pct"/>
            <w:noWrap/>
            <w:vAlign w:val="bottom"/>
            <w:hideMark/>
          </w:tcPr>
          <w:p w14:paraId="02256F5F" w14:textId="679A3800"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334</w:t>
            </w:r>
          </w:p>
        </w:tc>
        <w:tc>
          <w:tcPr>
            <w:tcW w:w="366" w:type="pct"/>
            <w:noWrap/>
            <w:vAlign w:val="bottom"/>
            <w:hideMark/>
          </w:tcPr>
          <w:p w14:paraId="712E3DE4" w14:textId="2263476C"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119</w:t>
            </w:r>
          </w:p>
        </w:tc>
        <w:tc>
          <w:tcPr>
            <w:tcW w:w="366" w:type="pct"/>
            <w:noWrap/>
            <w:vAlign w:val="bottom"/>
            <w:hideMark/>
          </w:tcPr>
          <w:p w14:paraId="16093E62" w14:textId="55B7B188"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8</w:t>
            </w:r>
          </w:p>
        </w:tc>
        <w:tc>
          <w:tcPr>
            <w:tcW w:w="366" w:type="pct"/>
            <w:noWrap/>
            <w:vAlign w:val="bottom"/>
            <w:hideMark/>
          </w:tcPr>
          <w:p w14:paraId="7BAAE507" w14:textId="03228A33"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-10</w:t>
            </w:r>
          </w:p>
        </w:tc>
        <w:tc>
          <w:tcPr>
            <w:tcW w:w="366" w:type="pct"/>
            <w:noWrap/>
            <w:vAlign w:val="bottom"/>
            <w:hideMark/>
          </w:tcPr>
          <w:p w14:paraId="66213CEB" w14:textId="5F1C6732" w:rsidR="00663BDE"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i/>
                <w:noProof/>
                <w:sz w:val="18"/>
                <w:szCs w:val="18"/>
                <w:highlight w:val="yellow"/>
                <w:lang w:val="en-IE"/>
              </w:rPr>
            </w:pPr>
            <w:r w:rsidRPr="00465F10">
              <w:rPr>
                <w:rFonts w:ascii="EC Square Sans Cond Pro" w:hAnsi="EC Square Sans Cond Pro" w:cs="Calibri"/>
                <w:noProof/>
                <w:sz w:val="18"/>
                <w:szCs w:val="18"/>
              </w:rPr>
              <w:t>7</w:t>
            </w:r>
          </w:p>
        </w:tc>
        <w:tc>
          <w:tcPr>
            <w:tcW w:w="271" w:type="pct"/>
            <w:noWrap/>
            <w:vAlign w:val="bottom"/>
            <w:hideMark/>
          </w:tcPr>
          <w:p w14:paraId="1FFE7E0B" w14:textId="5FAFCA7F" w:rsidR="00663BDE"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noProof/>
                <w:sz w:val="18"/>
                <w:szCs w:val="18"/>
                <w:highlight w:val="yellow"/>
                <w:lang w:val="en-IE"/>
              </w:rPr>
            </w:pPr>
            <w:r w:rsidRPr="00465F10">
              <w:rPr>
                <w:rFonts w:ascii="EC Square Sans Cond Pro" w:hAnsi="EC Square Sans Cond Pro" w:cs="Calibri"/>
                <w:noProof/>
                <w:sz w:val="18"/>
                <w:szCs w:val="18"/>
              </w:rPr>
              <w:t>-38</w:t>
            </w:r>
          </w:p>
        </w:tc>
        <w:tc>
          <w:tcPr>
            <w:tcW w:w="285" w:type="pct"/>
            <w:noWrap/>
            <w:vAlign w:val="bottom"/>
            <w:hideMark/>
          </w:tcPr>
          <w:p w14:paraId="17C64F93" w14:textId="75F8591A" w:rsidR="00663BDE" w:rsidRPr="00D663ED"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i/>
                <w:iCs/>
                <w:noProof/>
                <w:sz w:val="18"/>
                <w:szCs w:val="18"/>
                <w:highlight w:val="yellow"/>
                <w:lang w:val="en-IE"/>
              </w:rPr>
            </w:pPr>
            <w:r w:rsidRPr="00465F10">
              <w:rPr>
                <w:rFonts w:ascii="EC Square Sans Cond Pro" w:hAnsi="EC Square Sans Cond Pro" w:cs="Calibri"/>
                <w:noProof/>
                <w:sz w:val="18"/>
                <w:szCs w:val="18"/>
              </w:rPr>
              <w:t>-22</w:t>
            </w:r>
          </w:p>
        </w:tc>
      </w:tr>
      <w:tr w:rsidR="00FE26BE" w:rsidRPr="006512CA" w14:paraId="7B54E6C9" w14:textId="77777777" w:rsidTr="005B5916">
        <w:trPr>
          <w:trHeight w:val="288"/>
        </w:trPr>
        <w:tc>
          <w:tcPr>
            <w:cnfStyle w:val="001000000000" w:firstRow="0" w:lastRow="0" w:firstColumn="1" w:lastColumn="0" w:oddVBand="0" w:evenVBand="0" w:oddHBand="0" w:evenHBand="0" w:firstRowFirstColumn="0" w:firstRowLastColumn="0" w:lastRowFirstColumn="0" w:lastRowLastColumn="0"/>
            <w:tcW w:w="1636" w:type="pct"/>
            <w:noWrap/>
            <w:hideMark/>
          </w:tcPr>
          <w:p w14:paraId="259409B4" w14:textId="7792BA29" w:rsidR="00663BDE" w:rsidRPr="00E1333C" w:rsidRDefault="00663BDE" w:rsidP="007548EC">
            <w:pPr>
              <w:keepNext/>
              <w:spacing w:after="0"/>
              <w:jc w:val="right"/>
              <w:rPr>
                <w:rFonts w:ascii="EC Square Sans Cond Pro" w:eastAsia="Times New Roman" w:hAnsi="EC Square Sans Cond Pro" w:cs="Calibri"/>
                <w:b w:val="0"/>
                <w:i/>
                <w:noProof/>
                <w:sz w:val="18"/>
                <w:szCs w:val="18"/>
                <w:lang w:val="en-IE"/>
              </w:rPr>
            </w:pPr>
            <w:r w:rsidRPr="00E1333C">
              <w:rPr>
                <w:rFonts w:ascii="EC Square Sans Cond Pro" w:eastAsia="Times New Roman" w:hAnsi="EC Square Sans Cond Pro" w:cs="Calibri"/>
                <w:b w:val="0"/>
                <w:i/>
                <w:noProof/>
                <w:sz w:val="18"/>
                <w:szCs w:val="18"/>
                <w:lang w:val="en-IE"/>
              </w:rPr>
              <w:t>Other Energy sectors**</w:t>
            </w:r>
          </w:p>
        </w:tc>
        <w:tc>
          <w:tcPr>
            <w:tcW w:w="448" w:type="pct"/>
            <w:noWrap/>
            <w:vAlign w:val="bottom"/>
            <w:hideMark/>
          </w:tcPr>
          <w:p w14:paraId="60AD5FFC" w14:textId="537F3B05"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152</w:t>
            </w:r>
          </w:p>
        </w:tc>
        <w:tc>
          <w:tcPr>
            <w:tcW w:w="448" w:type="pct"/>
            <w:noWrap/>
            <w:vAlign w:val="bottom"/>
            <w:hideMark/>
          </w:tcPr>
          <w:p w14:paraId="764830CB" w14:textId="53082354"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136</w:t>
            </w:r>
          </w:p>
        </w:tc>
        <w:tc>
          <w:tcPr>
            <w:tcW w:w="448" w:type="pct"/>
            <w:noWrap/>
            <w:vAlign w:val="bottom"/>
            <w:hideMark/>
          </w:tcPr>
          <w:p w14:paraId="4A84CB50" w14:textId="7A4038A9"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84</w:t>
            </w:r>
          </w:p>
        </w:tc>
        <w:tc>
          <w:tcPr>
            <w:tcW w:w="366" w:type="pct"/>
            <w:noWrap/>
            <w:vAlign w:val="bottom"/>
            <w:hideMark/>
          </w:tcPr>
          <w:p w14:paraId="6378A7BC" w14:textId="0CCAA1DC"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43</w:t>
            </w:r>
          </w:p>
        </w:tc>
        <w:tc>
          <w:tcPr>
            <w:tcW w:w="366" w:type="pct"/>
            <w:noWrap/>
            <w:vAlign w:val="bottom"/>
            <w:hideMark/>
          </w:tcPr>
          <w:p w14:paraId="26C7B1D0" w14:textId="54B02F24"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23</w:t>
            </w:r>
          </w:p>
        </w:tc>
        <w:tc>
          <w:tcPr>
            <w:tcW w:w="366" w:type="pct"/>
            <w:noWrap/>
            <w:vAlign w:val="bottom"/>
            <w:hideMark/>
          </w:tcPr>
          <w:p w14:paraId="55FD3C39" w14:textId="060D5717"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-11</w:t>
            </w:r>
          </w:p>
        </w:tc>
        <w:tc>
          <w:tcPr>
            <w:tcW w:w="366" w:type="pct"/>
            <w:noWrap/>
            <w:vAlign w:val="bottom"/>
            <w:hideMark/>
          </w:tcPr>
          <w:p w14:paraId="6EFC315E" w14:textId="48D2CD1F" w:rsidR="00663BDE"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i/>
                <w:noProof/>
                <w:sz w:val="18"/>
                <w:szCs w:val="18"/>
                <w:highlight w:val="yellow"/>
                <w:lang w:val="en-IE"/>
              </w:rPr>
            </w:pPr>
            <w:r w:rsidRPr="00465F10">
              <w:rPr>
                <w:rFonts w:ascii="EC Square Sans Cond Pro" w:hAnsi="EC Square Sans Cond Pro" w:cs="Calibri"/>
                <w:noProof/>
                <w:sz w:val="18"/>
                <w:szCs w:val="18"/>
              </w:rPr>
              <w:t>35</w:t>
            </w:r>
          </w:p>
        </w:tc>
        <w:tc>
          <w:tcPr>
            <w:tcW w:w="271" w:type="pct"/>
            <w:noWrap/>
            <w:vAlign w:val="bottom"/>
            <w:hideMark/>
          </w:tcPr>
          <w:p w14:paraId="5B2893AB" w14:textId="5A13E7D7" w:rsidR="00663BDE"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noProof/>
                <w:sz w:val="18"/>
                <w:szCs w:val="18"/>
                <w:highlight w:val="yellow"/>
                <w:lang w:val="en-IE"/>
              </w:rPr>
            </w:pPr>
            <w:r w:rsidRPr="00465F10">
              <w:rPr>
                <w:rFonts w:ascii="EC Square Sans Cond Pro" w:hAnsi="EC Square Sans Cond Pro" w:cs="Calibri"/>
                <w:noProof/>
                <w:sz w:val="18"/>
                <w:szCs w:val="18"/>
              </w:rPr>
              <w:t>-37</w:t>
            </w:r>
          </w:p>
        </w:tc>
        <w:tc>
          <w:tcPr>
            <w:tcW w:w="285" w:type="pct"/>
            <w:noWrap/>
            <w:vAlign w:val="bottom"/>
            <w:hideMark/>
          </w:tcPr>
          <w:p w14:paraId="626FEFF1" w14:textId="48B20B2E" w:rsidR="00663BDE" w:rsidRPr="00D663ED"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i/>
                <w:iCs/>
                <w:noProof/>
                <w:sz w:val="18"/>
                <w:szCs w:val="18"/>
                <w:highlight w:val="yellow"/>
                <w:lang w:val="en-IE"/>
              </w:rPr>
            </w:pPr>
            <w:r w:rsidRPr="00465F10">
              <w:rPr>
                <w:rFonts w:ascii="EC Square Sans Cond Pro" w:hAnsi="EC Square Sans Cond Pro" w:cs="Calibri"/>
                <w:noProof/>
                <w:sz w:val="18"/>
                <w:szCs w:val="18"/>
              </w:rPr>
              <w:t>15</w:t>
            </w:r>
          </w:p>
        </w:tc>
      </w:tr>
      <w:tr w:rsidR="00FE26BE" w:rsidRPr="006512CA" w14:paraId="5DC62B1E" w14:textId="77777777" w:rsidTr="005B5916">
        <w:trPr>
          <w:trHeight w:val="288"/>
        </w:trPr>
        <w:tc>
          <w:tcPr>
            <w:cnfStyle w:val="001000000000" w:firstRow="0" w:lastRow="0" w:firstColumn="1" w:lastColumn="0" w:oddVBand="0" w:evenVBand="0" w:oddHBand="0" w:evenHBand="0" w:firstRowFirstColumn="0" w:firstRowLastColumn="0" w:lastRowFirstColumn="0" w:lastRowLastColumn="0"/>
            <w:tcW w:w="1636" w:type="pct"/>
            <w:noWrap/>
            <w:hideMark/>
          </w:tcPr>
          <w:p w14:paraId="03269EFD" w14:textId="77777777" w:rsidR="00663BDE" w:rsidRPr="00E1333C" w:rsidRDefault="00663BDE" w:rsidP="007548EC">
            <w:pPr>
              <w:keepNext/>
              <w:spacing w:after="0"/>
              <w:jc w:val="right"/>
              <w:rPr>
                <w:rFonts w:ascii="EC Square Sans Cond Pro" w:eastAsia="Times New Roman" w:hAnsi="EC Square Sans Cond Pro" w:cs="Calibri"/>
                <w:b w:val="0"/>
                <w:i/>
                <w:noProof/>
                <w:sz w:val="18"/>
                <w:szCs w:val="18"/>
                <w:lang w:val="en-IE"/>
              </w:rPr>
            </w:pPr>
            <w:r w:rsidRPr="00E1333C">
              <w:rPr>
                <w:rFonts w:ascii="EC Square Sans Cond Pro" w:eastAsia="Times New Roman" w:hAnsi="EC Square Sans Cond Pro" w:cs="Calibri"/>
                <w:b w:val="0"/>
                <w:i/>
                <w:noProof/>
                <w:sz w:val="18"/>
                <w:szCs w:val="18"/>
                <w:lang w:val="en-IE"/>
              </w:rPr>
              <w:t>Industry (Energy)</w:t>
            </w:r>
          </w:p>
        </w:tc>
        <w:tc>
          <w:tcPr>
            <w:tcW w:w="448" w:type="pct"/>
            <w:noWrap/>
            <w:vAlign w:val="bottom"/>
            <w:hideMark/>
          </w:tcPr>
          <w:p w14:paraId="5F5CEC46" w14:textId="7163C903"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469</w:t>
            </w:r>
          </w:p>
        </w:tc>
        <w:tc>
          <w:tcPr>
            <w:tcW w:w="448" w:type="pct"/>
            <w:noWrap/>
            <w:vAlign w:val="bottom"/>
            <w:hideMark/>
          </w:tcPr>
          <w:p w14:paraId="0AE12029" w14:textId="1C23681C"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360</w:t>
            </w:r>
          </w:p>
        </w:tc>
        <w:tc>
          <w:tcPr>
            <w:tcW w:w="448" w:type="pct"/>
            <w:noWrap/>
            <w:vAlign w:val="bottom"/>
            <w:hideMark/>
          </w:tcPr>
          <w:p w14:paraId="799B797E" w14:textId="155DC2EE"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232</w:t>
            </w:r>
          </w:p>
        </w:tc>
        <w:tc>
          <w:tcPr>
            <w:tcW w:w="366" w:type="pct"/>
            <w:noWrap/>
            <w:vAlign w:val="bottom"/>
            <w:hideMark/>
          </w:tcPr>
          <w:p w14:paraId="5C90C43E" w14:textId="490BE63F"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126</w:t>
            </w:r>
          </w:p>
        </w:tc>
        <w:tc>
          <w:tcPr>
            <w:tcW w:w="366" w:type="pct"/>
            <w:noWrap/>
            <w:vAlign w:val="bottom"/>
            <w:hideMark/>
          </w:tcPr>
          <w:p w14:paraId="38C566E6" w14:textId="688CEB28"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94</w:t>
            </w:r>
          </w:p>
        </w:tc>
        <w:tc>
          <w:tcPr>
            <w:tcW w:w="366" w:type="pct"/>
            <w:noWrap/>
            <w:vAlign w:val="bottom"/>
            <w:hideMark/>
          </w:tcPr>
          <w:p w14:paraId="0809605F" w14:textId="0126496F"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75</w:t>
            </w:r>
          </w:p>
        </w:tc>
        <w:tc>
          <w:tcPr>
            <w:tcW w:w="366" w:type="pct"/>
            <w:noWrap/>
            <w:vAlign w:val="bottom"/>
            <w:hideMark/>
          </w:tcPr>
          <w:p w14:paraId="6AC2D5AE" w14:textId="34DBCA04" w:rsidR="00663BDE"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i/>
                <w:noProof/>
                <w:sz w:val="18"/>
                <w:szCs w:val="18"/>
                <w:highlight w:val="yellow"/>
                <w:lang w:val="en-IE"/>
              </w:rPr>
            </w:pPr>
            <w:r w:rsidRPr="00465F10">
              <w:rPr>
                <w:rFonts w:ascii="EC Square Sans Cond Pro" w:hAnsi="EC Square Sans Cond Pro" w:cs="Calibri"/>
                <w:noProof/>
                <w:sz w:val="18"/>
                <w:szCs w:val="18"/>
              </w:rPr>
              <w:t>86</w:t>
            </w:r>
          </w:p>
        </w:tc>
        <w:tc>
          <w:tcPr>
            <w:tcW w:w="271" w:type="pct"/>
            <w:noWrap/>
            <w:vAlign w:val="bottom"/>
            <w:hideMark/>
          </w:tcPr>
          <w:p w14:paraId="58021335" w14:textId="6EE1D91D" w:rsidR="00663BDE"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noProof/>
                <w:sz w:val="18"/>
                <w:szCs w:val="18"/>
                <w:highlight w:val="yellow"/>
                <w:lang w:val="en-IE"/>
              </w:rPr>
            </w:pPr>
            <w:r w:rsidRPr="00465F10">
              <w:rPr>
                <w:rFonts w:ascii="EC Square Sans Cond Pro" w:hAnsi="EC Square Sans Cond Pro" w:cs="Calibri"/>
                <w:noProof/>
                <w:sz w:val="18"/>
                <w:szCs w:val="18"/>
              </w:rPr>
              <w:t>9</w:t>
            </w:r>
          </w:p>
        </w:tc>
        <w:tc>
          <w:tcPr>
            <w:tcW w:w="285" w:type="pct"/>
            <w:noWrap/>
            <w:vAlign w:val="bottom"/>
            <w:hideMark/>
          </w:tcPr>
          <w:p w14:paraId="58EED74B" w14:textId="695314D2" w:rsidR="00663BDE" w:rsidRPr="00D663ED"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i/>
                <w:iCs/>
                <w:noProof/>
                <w:sz w:val="18"/>
                <w:szCs w:val="18"/>
                <w:highlight w:val="yellow"/>
                <w:lang w:val="en-IE"/>
              </w:rPr>
            </w:pPr>
            <w:r w:rsidRPr="00465F10">
              <w:rPr>
                <w:rFonts w:ascii="EC Square Sans Cond Pro" w:hAnsi="EC Square Sans Cond Pro" w:cs="Calibri"/>
                <w:noProof/>
                <w:sz w:val="18"/>
                <w:szCs w:val="18"/>
              </w:rPr>
              <w:t>11</w:t>
            </w:r>
          </w:p>
        </w:tc>
      </w:tr>
      <w:tr w:rsidR="00FE26BE" w:rsidRPr="006512CA" w14:paraId="0904E986" w14:textId="77777777" w:rsidTr="005B5916">
        <w:trPr>
          <w:trHeight w:val="288"/>
        </w:trPr>
        <w:tc>
          <w:tcPr>
            <w:cnfStyle w:val="001000000000" w:firstRow="0" w:lastRow="0" w:firstColumn="1" w:lastColumn="0" w:oddVBand="0" w:evenVBand="0" w:oddHBand="0" w:evenHBand="0" w:firstRowFirstColumn="0" w:firstRowLastColumn="0" w:lastRowFirstColumn="0" w:lastRowLastColumn="0"/>
            <w:tcW w:w="1636" w:type="pct"/>
            <w:noWrap/>
            <w:hideMark/>
          </w:tcPr>
          <w:p w14:paraId="1670F3B2" w14:textId="77777777" w:rsidR="00663BDE" w:rsidRPr="00E1333C" w:rsidRDefault="00663BDE" w:rsidP="007548EC">
            <w:pPr>
              <w:keepNext/>
              <w:spacing w:after="0"/>
              <w:jc w:val="right"/>
              <w:rPr>
                <w:rFonts w:ascii="EC Square Sans Cond Pro" w:eastAsia="Times New Roman" w:hAnsi="EC Square Sans Cond Pro" w:cs="Calibri"/>
                <w:b w:val="0"/>
                <w:i/>
                <w:noProof/>
                <w:sz w:val="18"/>
                <w:szCs w:val="18"/>
                <w:lang w:val="en-IE"/>
              </w:rPr>
            </w:pPr>
            <w:r w:rsidRPr="00E1333C">
              <w:rPr>
                <w:rFonts w:ascii="EC Square Sans Cond Pro" w:eastAsia="Times New Roman" w:hAnsi="EC Square Sans Cond Pro" w:cs="Calibri"/>
                <w:b w:val="0"/>
                <w:i/>
                <w:noProof/>
                <w:sz w:val="18"/>
                <w:szCs w:val="18"/>
                <w:lang w:val="en-IE"/>
              </w:rPr>
              <w:t>Transport</w:t>
            </w:r>
          </w:p>
        </w:tc>
        <w:tc>
          <w:tcPr>
            <w:tcW w:w="448" w:type="pct"/>
            <w:noWrap/>
            <w:vAlign w:val="bottom"/>
            <w:hideMark/>
          </w:tcPr>
          <w:p w14:paraId="1F96432D" w14:textId="3352B872"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color w:val="000000"/>
                <w:sz w:val="18"/>
                <w:szCs w:val="18"/>
              </w:rPr>
              <w:t>812</w:t>
            </w:r>
          </w:p>
        </w:tc>
        <w:tc>
          <w:tcPr>
            <w:tcW w:w="448" w:type="pct"/>
            <w:noWrap/>
            <w:vAlign w:val="bottom"/>
            <w:hideMark/>
          </w:tcPr>
          <w:p w14:paraId="629BCF57" w14:textId="077AC66F"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color w:val="000000"/>
                <w:sz w:val="18"/>
                <w:szCs w:val="18"/>
              </w:rPr>
              <w:t>764</w:t>
            </w:r>
          </w:p>
        </w:tc>
        <w:tc>
          <w:tcPr>
            <w:tcW w:w="448" w:type="pct"/>
            <w:noWrap/>
            <w:vAlign w:val="bottom"/>
            <w:hideMark/>
          </w:tcPr>
          <w:p w14:paraId="0E6E2D14" w14:textId="0C1B3BB6"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color w:val="000000"/>
                <w:sz w:val="18"/>
                <w:szCs w:val="18"/>
              </w:rPr>
              <w:t>577</w:t>
            </w:r>
          </w:p>
        </w:tc>
        <w:tc>
          <w:tcPr>
            <w:tcW w:w="366" w:type="pct"/>
            <w:noWrap/>
            <w:vAlign w:val="bottom"/>
            <w:hideMark/>
          </w:tcPr>
          <w:p w14:paraId="33C3FE08" w14:textId="0BCE6F1D"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color w:val="000000"/>
                <w:sz w:val="18"/>
                <w:szCs w:val="18"/>
              </w:rPr>
              <w:t>187</w:t>
            </w:r>
          </w:p>
        </w:tc>
        <w:tc>
          <w:tcPr>
            <w:tcW w:w="366" w:type="pct"/>
            <w:noWrap/>
            <w:vAlign w:val="bottom"/>
            <w:hideMark/>
          </w:tcPr>
          <w:p w14:paraId="00F5415E" w14:textId="098975A5"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color w:val="000000"/>
                <w:sz w:val="18"/>
                <w:szCs w:val="18"/>
              </w:rPr>
              <w:t>141</w:t>
            </w:r>
          </w:p>
        </w:tc>
        <w:tc>
          <w:tcPr>
            <w:tcW w:w="366" w:type="pct"/>
            <w:noWrap/>
            <w:vAlign w:val="bottom"/>
            <w:hideMark/>
          </w:tcPr>
          <w:p w14:paraId="5BD95910" w14:textId="7972E0B4"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color w:val="000000"/>
                <w:sz w:val="18"/>
                <w:szCs w:val="18"/>
              </w:rPr>
              <w:t>117</w:t>
            </w:r>
          </w:p>
        </w:tc>
        <w:tc>
          <w:tcPr>
            <w:tcW w:w="366" w:type="pct"/>
            <w:noWrap/>
            <w:vAlign w:val="bottom"/>
            <w:hideMark/>
          </w:tcPr>
          <w:p w14:paraId="3C3A9135" w14:textId="47234836" w:rsidR="00663BDE"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i/>
                <w:noProof/>
                <w:sz w:val="18"/>
                <w:szCs w:val="18"/>
                <w:highlight w:val="yellow"/>
                <w:lang w:val="en-IE"/>
              </w:rPr>
            </w:pPr>
            <w:r w:rsidRPr="00465F10">
              <w:rPr>
                <w:rFonts w:ascii="EC Square Sans Cond Pro" w:hAnsi="EC Square Sans Cond Pro" w:cs="Calibri"/>
                <w:noProof/>
                <w:color w:val="000000"/>
                <w:sz w:val="18"/>
                <w:szCs w:val="18"/>
              </w:rPr>
              <w:t>132</w:t>
            </w:r>
          </w:p>
        </w:tc>
        <w:tc>
          <w:tcPr>
            <w:tcW w:w="271" w:type="pct"/>
            <w:noWrap/>
            <w:vAlign w:val="bottom"/>
            <w:hideMark/>
          </w:tcPr>
          <w:p w14:paraId="3C3C543D" w14:textId="2F960BF8" w:rsidR="00663BDE"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noProof/>
                <w:color w:val="000000"/>
                <w:sz w:val="18"/>
                <w:szCs w:val="18"/>
                <w:highlight w:val="yellow"/>
                <w:lang w:val="en-IE"/>
              </w:rPr>
            </w:pPr>
            <w:r w:rsidRPr="00465F10">
              <w:rPr>
                <w:rFonts w:ascii="EC Square Sans Cond Pro" w:hAnsi="EC Square Sans Cond Pro" w:cs="Calibri"/>
                <w:noProof/>
                <w:color w:val="000000"/>
                <w:sz w:val="18"/>
                <w:szCs w:val="18"/>
              </w:rPr>
              <w:t>6</w:t>
            </w:r>
          </w:p>
        </w:tc>
        <w:tc>
          <w:tcPr>
            <w:tcW w:w="285" w:type="pct"/>
            <w:noWrap/>
            <w:vAlign w:val="bottom"/>
            <w:hideMark/>
          </w:tcPr>
          <w:p w14:paraId="360C1817" w14:textId="2A560675" w:rsidR="00663BDE" w:rsidRPr="00D663ED"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i/>
                <w:iCs/>
                <w:noProof/>
                <w:color w:val="000000"/>
                <w:sz w:val="18"/>
                <w:szCs w:val="18"/>
                <w:highlight w:val="yellow"/>
                <w:lang w:val="en-IE"/>
              </w:rPr>
            </w:pPr>
            <w:r w:rsidRPr="00465F10">
              <w:rPr>
                <w:rFonts w:ascii="EC Square Sans Cond Pro" w:hAnsi="EC Square Sans Cond Pro" w:cs="Calibri"/>
                <w:noProof/>
                <w:color w:val="000000"/>
                <w:sz w:val="18"/>
                <w:szCs w:val="18"/>
              </w:rPr>
              <w:t>8</w:t>
            </w:r>
          </w:p>
        </w:tc>
      </w:tr>
      <w:tr w:rsidR="00FE26BE" w:rsidRPr="006512CA" w14:paraId="67707B31" w14:textId="77777777" w:rsidTr="005B5916">
        <w:trPr>
          <w:trHeight w:val="288"/>
        </w:trPr>
        <w:tc>
          <w:tcPr>
            <w:cnfStyle w:val="001000000000" w:firstRow="0" w:lastRow="0" w:firstColumn="1" w:lastColumn="0" w:oddVBand="0" w:evenVBand="0" w:oddHBand="0" w:evenHBand="0" w:firstRowFirstColumn="0" w:firstRowLastColumn="0" w:lastRowFirstColumn="0" w:lastRowLastColumn="0"/>
            <w:tcW w:w="1636" w:type="pct"/>
            <w:noWrap/>
            <w:hideMark/>
          </w:tcPr>
          <w:p w14:paraId="1C7F71E1" w14:textId="217591B2" w:rsidR="00663BDE" w:rsidRPr="00E1333C" w:rsidRDefault="00663BDE" w:rsidP="007548EC">
            <w:pPr>
              <w:keepNext/>
              <w:spacing w:after="0"/>
              <w:jc w:val="right"/>
              <w:rPr>
                <w:rFonts w:ascii="EC Square Sans Cond Pro" w:eastAsia="Times New Roman" w:hAnsi="EC Square Sans Cond Pro" w:cs="Calibri"/>
                <w:b w:val="0"/>
                <w:i/>
                <w:noProof/>
                <w:sz w:val="18"/>
                <w:szCs w:val="18"/>
                <w:lang w:val="en-IE"/>
              </w:rPr>
            </w:pPr>
            <w:r w:rsidRPr="00E1333C">
              <w:rPr>
                <w:rFonts w:ascii="EC Square Sans Cond Pro" w:eastAsia="Times New Roman" w:hAnsi="EC Square Sans Cond Pro" w:cs="Calibri"/>
                <w:b w:val="0"/>
                <w:i/>
                <w:noProof/>
                <w:sz w:val="18"/>
                <w:szCs w:val="18"/>
                <w:lang w:val="en-IE"/>
              </w:rPr>
              <w:t xml:space="preserve">Residential </w:t>
            </w:r>
            <w:r>
              <w:rPr>
                <w:rFonts w:ascii="EC Square Sans Cond Pro" w:eastAsia="Times New Roman" w:hAnsi="EC Square Sans Cond Pro" w:cs="Calibri"/>
                <w:b w:val="0"/>
                <w:i/>
                <w:noProof/>
                <w:sz w:val="18"/>
                <w:szCs w:val="18"/>
                <w:lang w:val="en-IE"/>
              </w:rPr>
              <w:t>and</w:t>
            </w:r>
            <w:r w:rsidRPr="00E1333C">
              <w:rPr>
                <w:rFonts w:ascii="EC Square Sans Cond Pro" w:eastAsia="Times New Roman" w:hAnsi="EC Square Sans Cond Pro" w:cs="Calibri"/>
                <w:b w:val="0"/>
                <w:i/>
                <w:noProof/>
                <w:sz w:val="18"/>
                <w:szCs w:val="18"/>
                <w:lang w:val="en-IE"/>
              </w:rPr>
              <w:t xml:space="preserve"> Services***</w:t>
            </w:r>
          </w:p>
        </w:tc>
        <w:tc>
          <w:tcPr>
            <w:tcW w:w="448" w:type="pct"/>
            <w:noWrap/>
            <w:vAlign w:val="bottom"/>
            <w:hideMark/>
          </w:tcPr>
          <w:p w14:paraId="25A3D865" w14:textId="4142766B"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648</w:t>
            </w:r>
          </w:p>
        </w:tc>
        <w:tc>
          <w:tcPr>
            <w:tcW w:w="448" w:type="pct"/>
            <w:noWrap/>
            <w:vAlign w:val="bottom"/>
            <w:hideMark/>
          </w:tcPr>
          <w:p w14:paraId="19B15A29" w14:textId="2DC5BE64"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514</w:t>
            </w:r>
          </w:p>
        </w:tc>
        <w:tc>
          <w:tcPr>
            <w:tcW w:w="448" w:type="pct"/>
            <w:noWrap/>
            <w:vAlign w:val="bottom"/>
            <w:hideMark/>
          </w:tcPr>
          <w:p w14:paraId="43DC849A" w14:textId="1625BBCD"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221</w:t>
            </w:r>
          </w:p>
        </w:tc>
        <w:tc>
          <w:tcPr>
            <w:tcW w:w="366" w:type="pct"/>
            <w:noWrap/>
            <w:vAlign w:val="bottom"/>
            <w:hideMark/>
          </w:tcPr>
          <w:p w14:paraId="7DD7DA23" w14:textId="40A26729"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119</w:t>
            </w:r>
          </w:p>
        </w:tc>
        <w:tc>
          <w:tcPr>
            <w:tcW w:w="366" w:type="pct"/>
            <w:noWrap/>
            <w:vAlign w:val="bottom"/>
            <w:hideMark/>
          </w:tcPr>
          <w:p w14:paraId="5CD87AE2" w14:textId="315C78DF"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92</w:t>
            </w:r>
          </w:p>
        </w:tc>
        <w:tc>
          <w:tcPr>
            <w:tcW w:w="366" w:type="pct"/>
            <w:noWrap/>
            <w:vAlign w:val="bottom"/>
            <w:hideMark/>
          </w:tcPr>
          <w:p w14:paraId="77EF07D7" w14:textId="4395C8D8"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75</w:t>
            </w:r>
          </w:p>
        </w:tc>
        <w:tc>
          <w:tcPr>
            <w:tcW w:w="366" w:type="pct"/>
            <w:noWrap/>
            <w:vAlign w:val="bottom"/>
            <w:hideMark/>
          </w:tcPr>
          <w:p w14:paraId="280CB7D8" w14:textId="6446EB65" w:rsidR="00663BDE"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i/>
                <w:noProof/>
                <w:sz w:val="18"/>
                <w:szCs w:val="18"/>
                <w:highlight w:val="yellow"/>
                <w:lang w:val="en-IE"/>
              </w:rPr>
            </w:pPr>
            <w:r w:rsidRPr="00465F10">
              <w:rPr>
                <w:rFonts w:ascii="EC Square Sans Cond Pro" w:hAnsi="EC Square Sans Cond Pro" w:cs="Calibri"/>
                <w:noProof/>
                <w:sz w:val="18"/>
                <w:szCs w:val="18"/>
              </w:rPr>
              <w:t>92</w:t>
            </w:r>
          </w:p>
        </w:tc>
        <w:tc>
          <w:tcPr>
            <w:tcW w:w="271" w:type="pct"/>
            <w:noWrap/>
            <w:vAlign w:val="bottom"/>
            <w:hideMark/>
          </w:tcPr>
          <w:p w14:paraId="0EECAF60" w14:textId="0FC1753C" w:rsidR="00663BDE"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noProof/>
                <w:sz w:val="18"/>
                <w:szCs w:val="18"/>
                <w:highlight w:val="yellow"/>
                <w:lang w:val="en-IE"/>
              </w:rPr>
            </w:pPr>
            <w:r w:rsidRPr="00465F10">
              <w:rPr>
                <w:rFonts w:ascii="EC Square Sans Cond Pro" w:hAnsi="EC Square Sans Cond Pro" w:cs="Calibri"/>
                <w:noProof/>
                <w:sz w:val="18"/>
                <w:szCs w:val="18"/>
              </w:rPr>
              <w:t>19</w:t>
            </w:r>
          </w:p>
        </w:tc>
        <w:tc>
          <w:tcPr>
            <w:tcW w:w="285" w:type="pct"/>
            <w:noWrap/>
            <w:vAlign w:val="bottom"/>
            <w:hideMark/>
          </w:tcPr>
          <w:p w14:paraId="7F2C7424" w14:textId="0BBB35B9" w:rsidR="00663BDE" w:rsidRPr="00D663ED"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i/>
                <w:iCs/>
                <w:noProof/>
                <w:sz w:val="18"/>
                <w:szCs w:val="18"/>
                <w:highlight w:val="yellow"/>
                <w:lang w:val="en-IE"/>
              </w:rPr>
            </w:pPr>
            <w:r w:rsidRPr="00465F10">
              <w:rPr>
                <w:rFonts w:ascii="EC Square Sans Cond Pro" w:hAnsi="EC Square Sans Cond Pro" w:cs="Calibri"/>
                <w:noProof/>
                <w:sz w:val="18"/>
                <w:szCs w:val="18"/>
              </w:rPr>
              <w:t>29</w:t>
            </w:r>
          </w:p>
        </w:tc>
      </w:tr>
      <w:tr w:rsidR="00FE26BE" w:rsidRPr="006512CA" w14:paraId="25C28392" w14:textId="77777777" w:rsidTr="005B5916">
        <w:trPr>
          <w:trHeight w:val="288"/>
        </w:trPr>
        <w:tc>
          <w:tcPr>
            <w:cnfStyle w:val="001000000000" w:firstRow="0" w:lastRow="0" w:firstColumn="1" w:lastColumn="0" w:oddVBand="0" w:evenVBand="0" w:oddHBand="0" w:evenHBand="0" w:firstRowFirstColumn="0" w:firstRowLastColumn="0" w:lastRowFirstColumn="0" w:lastRowLastColumn="0"/>
            <w:tcW w:w="1636" w:type="pct"/>
            <w:noWrap/>
            <w:hideMark/>
          </w:tcPr>
          <w:p w14:paraId="6132F937" w14:textId="3D22642D" w:rsidR="005B5916" w:rsidRPr="00E1333C" w:rsidRDefault="005B5916" w:rsidP="005B5916">
            <w:pPr>
              <w:keepNext/>
              <w:spacing w:after="0"/>
              <w:jc w:val="left"/>
              <w:rPr>
                <w:rFonts w:ascii="EC Square Sans Cond Pro" w:eastAsia="Times New Roman" w:hAnsi="EC Square Sans Cond Pro" w:cs="Calibri"/>
                <w:noProof/>
                <w:sz w:val="18"/>
                <w:szCs w:val="18"/>
                <w:lang w:val="en-IE"/>
              </w:rPr>
            </w:pPr>
            <w:r w:rsidRPr="00E1333C">
              <w:rPr>
                <w:rFonts w:ascii="EC Square Sans Cond Pro" w:eastAsia="Times New Roman" w:hAnsi="EC Square Sans Cond Pro" w:cs="Calibri"/>
                <w:noProof/>
                <w:sz w:val="18"/>
                <w:szCs w:val="18"/>
                <w:lang w:val="en-IE"/>
              </w:rPr>
              <w:t>Net Domestic CO2 Emissions: Non-Energy Related</w:t>
            </w:r>
          </w:p>
        </w:tc>
        <w:tc>
          <w:tcPr>
            <w:tcW w:w="448" w:type="pct"/>
            <w:noWrap/>
            <w:vAlign w:val="bottom"/>
            <w:hideMark/>
          </w:tcPr>
          <w:p w14:paraId="4F33ADC7" w14:textId="5FCC0363" w:rsidR="005B5916" w:rsidRPr="00D663ED" w:rsidRDefault="005B5916" w:rsidP="005B5916">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b/>
                <w:bCs/>
                <w:noProof/>
                <w:color w:val="000000"/>
                <w:sz w:val="18"/>
                <w:szCs w:val="18"/>
              </w:rPr>
              <w:t>3</w:t>
            </w:r>
            <w:r>
              <w:rPr>
                <w:rFonts w:ascii="EC Square Sans Cond Pro" w:hAnsi="EC Square Sans Cond Pro" w:cs="Calibri"/>
                <w:b/>
                <w:bCs/>
                <w:noProof/>
                <w:color w:val="000000"/>
                <w:sz w:val="18"/>
                <w:szCs w:val="18"/>
              </w:rPr>
              <w:t>25</w:t>
            </w:r>
          </w:p>
        </w:tc>
        <w:tc>
          <w:tcPr>
            <w:tcW w:w="448" w:type="pct"/>
            <w:noWrap/>
            <w:vAlign w:val="bottom"/>
            <w:hideMark/>
          </w:tcPr>
          <w:p w14:paraId="0C9E8164" w14:textId="24CD0529" w:rsidR="005B5916" w:rsidRPr="00D663ED" w:rsidRDefault="005B5916" w:rsidP="005B5916">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b/>
                <w:bCs/>
                <w:noProof/>
                <w:color w:val="000000"/>
                <w:sz w:val="18"/>
                <w:szCs w:val="18"/>
              </w:rPr>
              <w:t>2</w:t>
            </w:r>
            <w:r>
              <w:rPr>
                <w:rFonts w:ascii="EC Square Sans Cond Pro" w:hAnsi="EC Square Sans Cond Pro" w:cs="Calibri"/>
                <w:b/>
                <w:bCs/>
                <w:noProof/>
                <w:color w:val="000000"/>
                <w:sz w:val="18"/>
                <w:szCs w:val="18"/>
              </w:rPr>
              <w:t>60</w:t>
            </w:r>
          </w:p>
        </w:tc>
        <w:tc>
          <w:tcPr>
            <w:tcW w:w="448" w:type="pct"/>
            <w:noWrap/>
            <w:vAlign w:val="bottom"/>
            <w:hideMark/>
          </w:tcPr>
          <w:p w14:paraId="37D6817E" w14:textId="35A26334" w:rsidR="005B5916" w:rsidRPr="00D663ED" w:rsidRDefault="005B5916" w:rsidP="005B5916">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b/>
                <w:bCs/>
                <w:noProof/>
                <w:color w:val="000000"/>
                <w:sz w:val="18"/>
                <w:szCs w:val="18"/>
              </w:rPr>
              <w:t>1</w:t>
            </w:r>
            <w:r>
              <w:rPr>
                <w:rFonts w:ascii="EC Square Sans Cond Pro" w:hAnsi="EC Square Sans Cond Pro" w:cs="Calibri"/>
                <w:b/>
                <w:bCs/>
                <w:noProof/>
                <w:color w:val="000000"/>
                <w:sz w:val="18"/>
                <w:szCs w:val="18"/>
              </w:rPr>
              <w:t>76</w:t>
            </w:r>
          </w:p>
        </w:tc>
        <w:tc>
          <w:tcPr>
            <w:tcW w:w="366" w:type="pct"/>
            <w:noWrap/>
            <w:vAlign w:val="bottom"/>
            <w:hideMark/>
          </w:tcPr>
          <w:p w14:paraId="3B328009" w14:textId="7929C0CF" w:rsidR="005B5916" w:rsidRPr="00D663ED" w:rsidRDefault="005B5916" w:rsidP="005B5916">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Pr>
                <w:rFonts w:ascii="EC Square Sans Cond Pro" w:hAnsi="EC Square Sans Cond Pro" w:cs="Calibri"/>
                <w:b/>
                <w:bCs/>
                <w:noProof/>
                <w:color w:val="000000"/>
                <w:sz w:val="18"/>
                <w:szCs w:val="18"/>
              </w:rPr>
              <w:t>156</w:t>
            </w:r>
          </w:p>
        </w:tc>
        <w:tc>
          <w:tcPr>
            <w:tcW w:w="366" w:type="pct"/>
            <w:noWrap/>
            <w:vAlign w:val="bottom"/>
            <w:hideMark/>
          </w:tcPr>
          <w:p w14:paraId="1B66BB21" w14:textId="34381695" w:rsidR="005B5916" w:rsidRPr="00D663ED" w:rsidRDefault="005B5916" w:rsidP="005B5916">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b/>
                <w:bCs/>
                <w:noProof/>
                <w:color w:val="000000"/>
                <w:sz w:val="18"/>
                <w:szCs w:val="18"/>
              </w:rPr>
              <w:t>1</w:t>
            </w:r>
            <w:r>
              <w:rPr>
                <w:rFonts w:ascii="EC Square Sans Cond Pro" w:hAnsi="EC Square Sans Cond Pro" w:cs="Calibri"/>
                <w:b/>
                <w:bCs/>
                <w:noProof/>
                <w:color w:val="000000"/>
                <w:sz w:val="18"/>
                <w:szCs w:val="18"/>
              </w:rPr>
              <w:t>09</w:t>
            </w:r>
          </w:p>
        </w:tc>
        <w:tc>
          <w:tcPr>
            <w:tcW w:w="366" w:type="pct"/>
            <w:noWrap/>
            <w:vAlign w:val="bottom"/>
            <w:hideMark/>
          </w:tcPr>
          <w:p w14:paraId="4F259D01" w14:textId="66C71A35" w:rsidR="005B5916" w:rsidRPr="00D663ED" w:rsidRDefault="005B5916" w:rsidP="005B5916">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257DD">
              <w:rPr>
                <w:rFonts w:ascii="EC Square Sans Cond Pro" w:eastAsia="Times New Roman" w:hAnsi="EC Square Sans Cond Pro" w:cs="Calibri"/>
                <w:b/>
                <w:bCs/>
                <w:noProof/>
                <w:sz w:val="18"/>
                <w:szCs w:val="18"/>
                <w:lang w:val="en-IE"/>
              </w:rPr>
              <w:t>34</w:t>
            </w:r>
          </w:p>
        </w:tc>
        <w:tc>
          <w:tcPr>
            <w:tcW w:w="366" w:type="pct"/>
            <w:noWrap/>
            <w:vAlign w:val="bottom"/>
            <w:hideMark/>
          </w:tcPr>
          <w:p w14:paraId="71051C28" w14:textId="02A5C040" w:rsidR="005B5916" w:rsidRPr="008641BA" w:rsidRDefault="005B5916" w:rsidP="005B5916">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iCs/>
                <w:noProof/>
                <w:sz w:val="18"/>
                <w:szCs w:val="18"/>
                <w:highlight w:val="yellow"/>
                <w:lang w:val="en-IE"/>
              </w:rPr>
            </w:pPr>
            <w:r w:rsidRPr="004257DD">
              <w:rPr>
                <w:rFonts w:ascii="EC Square Sans Cond Pro" w:eastAsia="Times New Roman" w:hAnsi="EC Square Sans Cond Pro" w:cs="Calibri"/>
                <w:b/>
                <w:bCs/>
                <w:iCs/>
                <w:noProof/>
                <w:sz w:val="18"/>
                <w:szCs w:val="18"/>
                <w:lang w:val="en-IE"/>
              </w:rPr>
              <w:t>33</w:t>
            </w:r>
          </w:p>
        </w:tc>
        <w:tc>
          <w:tcPr>
            <w:tcW w:w="271" w:type="pct"/>
            <w:noWrap/>
            <w:vAlign w:val="bottom"/>
            <w:hideMark/>
          </w:tcPr>
          <w:p w14:paraId="27F6D11E" w14:textId="77E66FE2" w:rsidR="005B5916" w:rsidRPr="00F77DCB" w:rsidRDefault="005B5916" w:rsidP="005B5916">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color w:val="000000"/>
                <w:sz w:val="18"/>
                <w:szCs w:val="18"/>
                <w:highlight w:val="yellow"/>
                <w:lang w:val="en-IE"/>
              </w:rPr>
            </w:pPr>
            <w:r w:rsidRPr="00465F10">
              <w:rPr>
                <w:rFonts w:ascii="EC Square Sans Cond Pro" w:hAnsi="EC Square Sans Cond Pro" w:cs="Calibri"/>
                <w:b/>
                <w:bCs/>
                <w:noProof/>
                <w:color w:val="000000"/>
                <w:sz w:val="18"/>
                <w:szCs w:val="18"/>
              </w:rPr>
              <w:t>23</w:t>
            </w:r>
          </w:p>
        </w:tc>
        <w:tc>
          <w:tcPr>
            <w:tcW w:w="285" w:type="pct"/>
            <w:noWrap/>
            <w:vAlign w:val="bottom"/>
            <w:hideMark/>
          </w:tcPr>
          <w:p w14:paraId="07E2E046" w14:textId="6806E442" w:rsidR="005B5916" w:rsidRPr="00D663ED" w:rsidRDefault="005B5916" w:rsidP="005B5916">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i/>
                <w:iCs/>
                <w:noProof/>
                <w:color w:val="000000"/>
                <w:sz w:val="18"/>
                <w:szCs w:val="18"/>
                <w:highlight w:val="yellow"/>
                <w:lang w:val="en-IE"/>
              </w:rPr>
            </w:pPr>
            <w:r w:rsidRPr="00465F10">
              <w:rPr>
                <w:rFonts w:ascii="EC Square Sans Cond Pro" w:hAnsi="EC Square Sans Cond Pro" w:cs="Calibri"/>
                <w:b/>
                <w:bCs/>
                <w:noProof/>
                <w:color w:val="000000"/>
                <w:sz w:val="18"/>
                <w:szCs w:val="18"/>
              </w:rPr>
              <w:t>22</w:t>
            </w:r>
          </w:p>
        </w:tc>
      </w:tr>
      <w:tr w:rsidR="00FE26BE" w:rsidRPr="006512CA" w14:paraId="71C83660" w14:textId="77777777" w:rsidTr="005B5916">
        <w:trPr>
          <w:trHeight w:val="288"/>
        </w:trPr>
        <w:tc>
          <w:tcPr>
            <w:cnfStyle w:val="001000000000" w:firstRow="0" w:lastRow="0" w:firstColumn="1" w:lastColumn="0" w:oddVBand="0" w:evenVBand="0" w:oddHBand="0" w:evenHBand="0" w:firstRowFirstColumn="0" w:firstRowLastColumn="0" w:lastRowFirstColumn="0" w:lastRowLastColumn="0"/>
            <w:tcW w:w="1636" w:type="pct"/>
            <w:noWrap/>
            <w:hideMark/>
          </w:tcPr>
          <w:p w14:paraId="323E3CF9" w14:textId="27B12E17" w:rsidR="00663BDE" w:rsidRPr="00E1333C" w:rsidRDefault="00663BDE" w:rsidP="007548EC">
            <w:pPr>
              <w:keepNext/>
              <w:spacing w:after="0"/>
              <w:jc w:val="right"/>
              <w:rPr>
                <w:rFonts w:ascii="EC Square Sans Cond Pro" w:eastAsia="Times New Roman" w:hAnsi="EC Square Sans Cond Pro" w:cs="Calibri"/>
                <w:b w:val="0"/>
                <w:i/>
                <w:noProof/>
                <w:sz w:val="18"/>
                <w:szCs w:val="18"/>
                <w:lang w:val="en-IE"/>
              </w:rPr>
            </w:pPr>
            <w:r w:rsidRPr="00E1333C">
              <w:rPr>
                <w:rFonts w:ascii="EC Square Sans Cond Pro" w:eastAsia="Times New Roman" w:hAnsi="EC Square Sans Cond Pro" w:cs="Calibri"/>
                <w:b w:val="0"/>
                <w:i/>
                <w:noProof/>
                <w:sz w:val="18"/>
                <w:szCs w:val="18"/>
                <w:lang w:val="en-IE"/>
              </w:rPr>
              <w:t>Industry (Non-Energy)</w:t>
            </w:r>
          </w:p>
        </w:tc>
        <w:tc>
          <w:tcPr>
            <w:tcW w:w="448" w:type="pct"/>
            <w:noWrap/>
            <w:vAlign w:val="bottom"/>
            <w:hideMark/>
          </w:tcPr>
          <w:p w14:paraId="18578C0B" w14:textId="4219BA03" w:rsidR="00663BDE" w:rsidRPr="003D1E55"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288</w:t>
            </w:r>
          </w:p>
        </w:tc>
        <w:tc>
          <w:tcPr>
            <w:tcW w:w="448" w:type="pct"/>
            <w:noWrap/>
            <w:vAlign w:val="bottom"/>
            <w:hideMark/>
          </w:tcPr>
          <w:p w14:paraId="71A4346C" w14:textId="7001C9CC" w:rsidR="00663BDE" w:rsidRPr="003D1E55"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226</w:t>
            </w:r>
          </w:p>
        </w:tc>
        <w:tc>
          <w:tcPr>
            <w:tcW w:w="448" w:type="pct"/>
            <w:noWrap/>
            <w:vAlign w:val="bottom"/>
            <w:hideMark/>
          </w:tcPr>
          <w:p w14:paraId="437BF671" w14:textId="0FA7869B" w:rsidR="00663BDE" w:rsidRPr="003D1E55"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150</w:t>
            </w:r>
          </w:p>
        </w:tc>
        <w:tc>
          <w:tcPr>
            <w:tcW w:w="366" w:type="pct"/>
            <w:noWrap/>
            <w:vAlign w:val="bottom"/>
            <w:hideMark/>
          </w:tcPr>
          <w:p w14:paraId="05AA136A" w14:textId="28E3A693" w:rsidR="00663BDE" w:rsidRPr="003D1E55"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133</w:t>
            </w:r>
          </w:p>
        </w:tc>
        <w:tc>
          <w:tcPr>
            <w:tcW w:w="366" w:type="pct"/>
            <w:noWrap/>
            <w:vAlign w:val="bottom"/>
            <w:hideMark/>
          </w:tcPr>
          <w:p w14:paraId="68B76C1F" w14:textId="407A2D12" w:rsidR="00663BDE" w:rsidRPr="003D1E55"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86</w:t>
            </w:r>
          </w:p>
        </w:tc>
        <w:tc>
          <w:tcPr>
            <w:tcW w:w="366" w:type="pct"/>
            <w:noWrap/>
            <w:vAlign w:val="bottom"/>
            <w:hideMark/>
          </w:tcPr>
          <w:p w14:paraId="5FBBDE51" w14:textId="2A1FD2F3" w:rsidR="00663BDE" w:rsidRPr="003D1E55"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12</w:t>
            </w:r>
          </w:p>
        </w:tc>
        <w:tc>
          <w:tcPr>
            <w:tcW w:w="366" w:type="pct"/>
            <w:noWrap/>
            <w:vAlign w:val="bottom"/>
            <w:hideMark/>
          </w:tcPr>
          <w:p w14:paraId="454CA956" w14:textId="21EC6BBA" w:rsidR="00663BDE"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i/>
                <w:noProof/>
                <w:sz w:val="18"/>
                <w:szCs w:val="18"/>
                <w:highlight w:val="yellow"/>
                <w:lang w:val="en-IE"/>
              </w:rPr>
            </w:pPr>
            <w:r w:rsidRPr="00465F10">
              <w:rPr>
                <w:rFonts w:ascii="EC Square Sans Cond Pro" w:hAnsi="EC Square Sans Cond Pro" w:cs="Calibri"/>
                <w:noProof/>
                <w:sz w:val="18"/>
                <w:szCs w:val="18"/>
              </w:rPr>
              <w:t>11</w:t>
            </w:r>
          </w:p>
        </w:tc>
        <w:tc>
          <w:tcPr>
            <w:tcW w:w="271" w:type="pct"/>
            <w:noWrap/>
            <w:vAlign w:val="bottom"/>
            <w:hideMark/>
          </w:tcPr>
          <w:p w14:paraId="5B8D7268" w14:textId="05ED81EF" w:rsidR="00663BDE"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noProof/>
                <w:sz w:val="18"/>
                <w:szCs w:val="18"/>
                <w:highlight w:val="yellow"/>
                <w:lang w:val="en-IE"/>
              </w:rPr>
            </w:pPr>
            <w:r w:rsidRPr="00465F10">
              <w:rPr>
                <w:rFonts w:ascii="EC Square Sans Cond Pro" w:hAnsi="EC Square Sans Cond Pro" w:cs="Calibri"/>
                <w:noProof/>
                <w:sz w:val="18"/>
                <w:szCs w:val="18"/>
              </w:rPr>
              <w:t>4</w:t>
            </w:r>
          </w:p>
        </w:tc>
        <w:tc>
          <w:tcPr>
            <w:tcW w:w="285" w:type="pct"/>
            <w:noWrap/>
            <w:vAlign w:val="bottom"/>
            <w:hideMark/>
          </w:tcPr>
          <w:p w14:paraId="0CFA1A1B" w14:textId="039E6C9E" w:rsidR="00663BDE" w:rsidRPr="00D663ED"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i/>
                <w:iCs/>
                <w:noProof/>
                <w:sz w:val="18"/>
                <w:szCs w:val="18"/>
                <w:highlight w:val="yellow"/>
                <w:lang w:val="en-IE"/>
              </w:rPr>
            </w:pPr>
            <w:r w:rsidRPr="00465F10">
              <w:rPr>
                <w:rFonts w:ascii="EC Square Sans Cond Pro" w:hAnsi="EC Square Sans Cond Pro" w:cs="Calibri"/>
                <w:noProof/>
                <w:sz w:val="18"/>
                <w:szCs w:val="18"/>
              </w:rPr>
              <w:t>2</w:t>
            </w:r>
          </w:p>
        </w:tc>
      </w:tr>
      <w:tr w:rsidR="00FE26BE" w:rsidRPr="006512CA" w14:paraId="642C2686" w14:textId="77777777" w:rsidTr="005B5916">
        <w:trPr>
          <w:trHeight w:val="288"/>
        </w:trPr>
        <w:tc>
          <w:tcPr>
            <w:cnfStyle w:val="001000000000" w:firstRow="0" w:lastRow="0" w:firstColumn="1" w:lastColumn="0" w:oddVBand="0" w:evenVBand="0" w:oddHBand="0" w:evenHBand="0" w:firstRowFirstColumn="0" w:firstRowLastColumn="0" w:lastRowFirstColumn="0" w:lastRowLastColumn="0"/>
            <w:tcW w:w="1636" w:type="pct"/>
            <w:noWrap/>
            <w:hideMark/>
          </w:tcPr>
          <w:p w14:paraId="28DB0666" w14:textId="77777777" w:rsidR="003C12F1" w:rsidRPr="00E1333C" w:rsidRDefault="003C12F1" w:rsidP="003C12F1">
            <w:pPr>
              <w:keepNext/>
              <w:spacing w:after="0"/>
              <w:jc w:val="right"/>
              <w:rPr>
                <w:rFonts w:ascii="EC Square Sans Cond Pro" w:eastAsia="Times New Roman" w:hAnsi="EC Square Sans Cond Pro" w:cs="Calibri"/>
                <w:b w:val="0"/>
                <w:i/>
                <w:noProof/>
                <w:sz w:val="18"/>
                <w:szCs w:val="18"/>
                <w:lang w:val="en-IE"/>
              </w:rPr>
            </w:pPr>
            <w:r w:rsidRPr="00E1333C">
              <w:rPr>
                <w:rFonts w:ascii="EC Square Sans Cond Pro" w:eastAsia="Times New Roman" w:hAnsi="EC Square Sans Cond Pro" w:cs="Calibri"/>
                <w:b w:val="0"/>
                <w:i/>
                <w:noProof/>
                <w:sz w:val="18"/>
                <w:szCs w:val="18"/>
                <w:lang w:val="en-IE"/>
              </w:rPr>
              <w:t>Other non-energy*****</w:t>
            </w:r>
          </w:p>
        </w:tc>
        <w:tc>
          <w:tcPr>
            <w:tcW w:w="448" w:type="pct"/>
            <w:noWrap/>
            <w:vAlign w:val="bottom"/>
            <w:hideMark/>
          </w:tcPr>
          <w:p w14:paraId="610D478E" w14:textId="4CD0DAC8" w:rsidR="003C12F1" w:rsidRPr="008D1B0E" w:rsidRDefault="003C12F1" w:rsidP="003C12F1">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Pr>
                <w:rFonts w:ascii="EC Square Sans Cond Pro" w:eastAsia="Times New Roman" w:hAnsi="EC Square Sans Cond Pro" w:cs="Calibri"/>
                <w:bCs/>
                <w:noProof/>
                <w:sz w:val="18"/>
                <w:szCs w:val="18"/>
                <w:lang w:val="en-IE"/>
              </w:rPr>
              <w:t>37</w:t>
            </w:r>
          </w:p>
        </w:tc>
        <w:tc>
          <w:tcPr>
            <w:tcW w:w="448" w:type="pct"/>
            <w:noWrap/>
            <w:vAlign w:val="bottom"/>
            <w:hideMark/>
          </w:tcPr>
          <w:p w14:paraId="557EF351" w14:textId="39A40E6C" w:rsidR="003C12F1" w:rsidRPr="008D1B0E" w:rsidRDefault="003C12F1" w:rsidP="003C12F1">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Pr>
                <w:rFonts w:ascii="EC Square Sans Cond Pro" w:eastAsia="Times New Roman" w:hAnsi="EC Square Sans Cond Pro" w:cs="Calibri"/>
                <w:bCs/>
                <w:noProof/>
                <w:sz w:val="18"/>
                <w:szCs w:val="18"/>
                <w:lang w:val="en-IE"/>
              </w:rPr>
              <w:t>35</w:t>
            </w:r>
          </w:p>
        </w:tc>
        <w:tc>
          <w:tcPr>
            <w:tcW w:w="448" w:type="pct"/>
            <w:noWrap/>
            <w:vAlign w:val="bottom"/>
            <w:hideMark/>
          </w:tcPr>
          <w:p w14:paraId="02495760" w14:textId="546630B9" w:rsidR="003C12F1" w:rsidRPr="008D1B0E" w:rsidRDefault="003C12F1" w:rsidP="003C12F1">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Pr>
                <w:rFonts w:ascii="EC Square Sans Cond Pro" w:eastAsia="Times New Roman" w:hAnsi="EC Square Sans Cond Pro" w:cs="Calibri"/>
                <w:bCs/>
                <w:noProof/>
                <w:sz w:val="18"/>
                <w:szCs w:val="18"/>
                <w:lang w:val="en-IE"/>
              </w:rPr>
              <w:t>26</w:t>
            </w:r>
          </w:p>
        </w:tc>
        <w:tc>
          <w:tcPr>
            <w:tcW w:w="366" w:type="pct"/>
            <w:noWrap/>
            <w:vAlign w:val="bottom"/>
            <w:hideMark/>
          </w:tcPr>
          <w:p w14:paraId="52A9B565" w14:textId="390624D7" w:rsidR="003C12F1" w:rsidRPr="008D1B0E" w:rsidRDefault="003C12F1" w:rsidP="003C12F1">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Pr>
                <w:rFonts w:ascii="EC Square Sans Cond Pro" w:hAnsi="EC Square Sans Cond Pro" w:cs="Calibri"/>
                <w:noProof/>
                <w:sz w:val="18"/>
                <w:szCs w:val="18"/>
              </w:rPr>
              <w:t>23</w:t>
            </w:r>
          </w:p>
        </w:tc>
        <w:tc>
          <w:tcPr>
            <w:tcW w:w="366" w:type="pct"/>
            <w:noWrap/>
            <w:vAlign w:val="bottom"/>
            <w:hideMark/>
          </w:tcPr>
          <w:p w14:paraId="53A0D463" w14:textId="3BC010AA" w:rsidR="003C12F1" w:rsidRPr="008D1B0E" w:rsidRDefault="003C12F1" w:rsidP="003C12F1">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Pr>
                <w:rFonts w:ascii="EC Square Sans Cond Pro" w:hAnsi="EC Square Sans Cond Pro" w:cs="Calibri"/>
                <w:noProof/>
                <w:sz w:val="18"/>
                <w:szCs w:val="18"/>
              </w:rPr>
              <w:t>23</w:t>
            </w:r>
          </w:p>
        </w:tc>
        <w:tc>
          <w:tcPr>
            <w:tcW w:w="366" w:type="pct"/>
            <w:noWrap/>
            <w:vAlign w:val="bottom"/>
            <w:hideMark/>
          </w:tcPr>
          <w:p w14:paraId="5C00ABA3" w14:textId="2287B4D4" w:rsidR="003C12F1" w:rsidRPr="008D1B0E" w:rsidRDefault="003C12F1" w:rsidP="003C12F1">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Pr>
                <w:rFonts w:ascii="EC Square Sans Cond Pro" w:hAnsi="EC Square Sans Cond Pro" w:cs="Calibri"/>
                <w:noProof/>
                <w:sz w:val="18"/>
                <w:szCs w:val="18"/>
              </w:rPr>
              <w:t>22</w:t>
            </w:r>
          </w:p>
        </w:tc>
        <w:tc>
          <w:tcPr>
            <w:tcW w:w="366" w:type="pct"/>
            <w:noWrap/>
            <w:vAlign w:val="bottom"/>
            <w:hideMark/>
          </w:tcPr>
          <w:p w14:paraId="20C5659B" w14:textId="4B30EA5A" w:rsidR="003C12F1" w:rsidRPr="00F77DCB" w:rsidRDefault="003C12F1" w:rsidP="003C12F1">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i/>
                <w:noProof/>
                <w:sz w:val="18"/>
                <w:szCs w:val="18"/>
                <w:highlight w:val="yellow"/>
                <w:lang w:val="en-IE"/>
              </w:rPr>
            </w:pPr>
            <w:r>
              <w:rPr>
                <w:rFonts w:ascii="EC Square Sans Cond Pro" w:hAnsi="EC Square Sans Cond Pro" w:cs="Calibri"/>
                <w:noProof/>
                <w:sz w:val="18"/>
                <w:szCs w:val="18"/>
              </w:rPr>
              <w:t>22</w:t>
            </w:r>
          </w:p>
        </w:tc>
        <w:tc>
          <w:tcPr>
            <w:tcW w:w="271" w:type="pct"/>
            <w:noWrap/>
            <w:vAlign w:val="bottom"/>
            <w:hideMark/>
          </w:tcPr>
          <w:p w14:paraId="21F58886" w14:textId="0D924218" w:rsidR="003C12F1" w:rsidRPr="00F77DCB" w:rsidRDefault="003C12F1" w:rsidP="003C12F1">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noProof/>
                <w:sz w:val="18"/>
                <w:szCs w:val="18"/>
                <w:highlight w:val="yellow"/>
                <w:lang w:val="en-IE"/>
              </w:rPr>
            </w:pPr>
            <w:r>
              <w:rPr>
                <w:rFonts w:ascii="EC Square Sans Cond Pro" w:hAnsi="EC Square Sans Cond Pro" w:cs="Calibri"/>
                <w:noProof/>
                <w:sz w:val="18"/>
                <w:szCs w:val="18"/>
              </w:rPr>
              <w:t>20</w:t>
            </w:r>
          </w:p>
        </w:tc>
        <w:tc>
          <w:tcPr>
            <w:tcW w:w="285" w:type="pct"/>
            <w:noWrap/>
            <w:vAlign w:val="bottom"/>
            <w:hideMark/>
          </w:tcPr>
          <w:p w14:paraId="3E8735EA" w14:textId="67CB345D" w:rsidR="003C12F1" w:rsidRPr="00D663ED" w:rsidRDefault="003C12F1" w:rsidP="003C12F1">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i/>
                <w:iCs/>
                <w:noProof/>
                <w:sz w:val="18"/>
                <w:szCs w:val="18"/>
                <w:highlight w:val="yellow"/>
                <w:lang w:val="en-IE"/>
              </w:rPr>
            </w:pPr>
            <w:r>
              <w:rPr>
                <w:rFonts w:ascii="EC Square Sans Cond Pro" w:hAnsi="EC Square Sans Cond Pro" w:cs="Calibri"/>
                <w:noProof/>
                <w:sz w:val="18"/>
                <w:szCs w:val="18"/>
              </w:rPr>
              <w:t>19</w:t>
            </w:r>
          </w:p>
        </w:tc>
      </w:tr>
      <w:tr w:rsidR="00FE26BE" w:rsidRPr="006512CA" w14:paraId="0A2CFAB5" w14:textId="77777777" w:rsidTr="005B5916">
        <w:trPr>
          <w:trHeight w:val="288"/>
        </w:trPr>
        <w:tc>
          <w:tcPr>
            <w:cnfStyle w:val="001000000000" w:firstRow="0" w:lastRow="0" w:firstColumn="1" w:lastColumn="0" w:oddVBand="0" w:evenVBand="0" w:oddHBand="0" w:evenHBand="0" w:firstRowFirstColumn="0" w:firstRowLastColumn="0" w:lastRowFirstColumn="0" w:lastRowLastColumn="0"/>
            <w:tcW w:w="1636" w:type="pct"/>
            <w:noWrap/>
            <w:hideMark/>
          </w:tcPr>
          <w:p w14:paraId="0CCEDEB1" w14:textId="4E63949E" w:rsidR="00663BDE" w:rsidRPr="003B4E4B" w:rsidRDefault="00663BDE" w:rsidP="007548EC">
            <w:pPr>
              <w:keepNext/>
              <w:spacing w:after="0"/>
              <w:jc w:val="left"/>
              <w:rPr>
                <w:rFonts w:ascii="EC Square Sans Cond Pro" w:eastAsia="Times New Roman" w:hAnsi="EC Square Sans Cond Pro" w:cs="Calibri"/>
                <w:noProof/>
                <w:sz w:val="18"/>
                <w:szCs w:val="18"/>
                <w:lang w:val="sv-SE"/>
              </w:rPr>
            </w:pPr>
            <w:r w:rsidRPr="003B4E4B">
              <w:rPr>
                <w:rFonts w:ascii="EC Square Sans Cond Pro" w:eastAsia="Times New Roman" w:hAnsi="EC Square Sans Cond Pro" w:cs="Calibri"/>
                <w:noProof/>
                <w:sz w:val="18"/>
                <w:szCs w:val="18"/>
                <w:lang w:val="sv-SE"/>
              </w:rPr>
              <w:t>International intra-EU and 50% extra-EU</w:t>
            </w:r>
          </w:p>
        </w:tc>
        <w:tc>
          <w:tcPr>
            <w:tcW w:w="448" w:type="pct"/>
            <w:noWrap/>
            <w:vAlign w:val="bottom"/>
            <w:hideMark/>
          </w:tcPr>
          <w:p w14:paraId="32FC6071" w14:textId="1EF6CA59" w:rsidR="00663BDE" w:rsidRPr="00D663ED"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b/>
                <w:bCs/>
                <w:noProof/>
                <w:color w:val="000000"/>
                <w:sz w:val="18"/>
                <w:szCs w:val="18"/>
              </w:rPr>
              <w:t>116</w:t>
            </w:r>
          </w:p>
        </w:tc>
        <w:tc>
          <w:tcPr>
            <w:tcW w:w="448" w:type="pct"/>
            <w:noWrap/>
            <w:vAlign w:val="bottom"/>
            <w:hideMark/>
          </w:tcPr>
          <w:p w14:paraId="170CAEBD" w14:textId="7CBD8162" w:rsidR="00663BDE" w:rsidRPr="00D663ED"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b/>
                <w:bCs/>
                <w:noProof/>
                <w:color w:val="000000"/>
                <w:sz w:val="18"/>
                <w:szCs w:val="18"/>
              </w:rPr>
              <w:t>107</w:t>
            </w:r>
          </w:p>
        </w:tc>
        <w:tc>
          <w:tcPr>
            <w:tcW w:w="448" w:type="pct"/>
            <w:noWrap/>
            <w:vAlign w:val="bottom"/>
            <w:hideMark/>
          </w:tcPr>
          <w:p w14:paraId="5C983A69" w14:textId="0D1990A1" w:rsidR="00663BDE" w:rsidRPr="00D663ED"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b/>
                <w:bCs/>
                <w:noProof/>
                <w:color w:val="000000"/>
                <w:sz w:val="18"/>
                <w:szCs w:val="18"/>
              </w:rPr>
              <w:t>112</w:t>
            </w:r>
          </w:p>
        </w:tc>
        <w:tc>
          <w:tcPr>
            <w:tcW w:w="366" w:type="pct"/>
            <w:noWrap/>
            <w:vAlign w:val="bottom"/>
            <w:hideMark/>
          </w:tcPr>
          <w:p w14:paraId="5705BF5C" w14:textId="28CE2610" w:rsidR="00663BDE" w:rsidRPr="00D663ED"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b/>
                <w:bCs/>
                <w:noProof/>
                <w:color w:val="000000"/>
                <w:sz w:val="18"/>
                <w:szCs w:val="18"/>
              </w:rPr>
              <w:t>52</w:t>
            </w:r>
          </w:p>
        </w:tc>
        <w:tc>
          <w:tcPr>
            <w:tcW w:w="366" w:type="pct"/>
            <w:noWrap/>
            <w:vAlign w:val="bottom"/>
            <w:hideMark/>
          </w:tcPr>
          <w:p w14:paraId="128B17DF" w14:textId="079708C9" w:rsidR="00663BDE" w:rsidRPr="00D663ED"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b/>
                <w:bCs/>
                <w:noProof/>
                <w:color w:val="000000"/>
                <w:sz w:val="18"/>
                <w:szCs w:val="18"/>
              </w:rPr>
              <w:t>46</w:t>
            </w:r>
          </w:p>
        </w:tc>
        <w:tc>
          <w:tcPr>
            <w:tcW w:w="366" w:type="pct"/>
            <w:noWrap/>
            <w:vAlign w:val="bottom"/>
            <w:hideMark/>
          </w:tcPr>
          <w:p w14:paraId="7D1F8B9E" w14:textId="4838B9BF" w:rsidR="00663BDE" w:rsidRPr="00D663ED"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b/>
                <w:bCs/>
                <w:noProof/>
                <w:color w:val="000000"/>
                <w:sz w:val="18"/>
                <w:szCs w:val="18"/>
              </w:rPr>
              <w:t>41</w:t>
            </w:r>
          </w:p>
        </w:tc>
        <w:tc>
          <w:tcPr>
            <w:tcW w:w="366" w:type="pct"/>
            <w:noWrap/>
            <w:vAlign w:val="bottom"/>
            <w:hideMark/>
          </w:tcPr>
          <w:p w14:paraId="3E3C22C9" w14:textId="433AAD1A" w:rsidR="00663BDE"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i/>
                <w:noProof/>
                <w:sz w:val="18"/>
                <w:szCs w:val="18"/>
                <w:highlight w:val="yellow"/>
                <w:lang w:val="en-IE"/>
              </w:rPr>
            </w:pPr>
            <w:r w:rsidRPr="00465F10">
              <w:rPr>
                <w:rFonts w:ascii="EC Square Sans Cond Pro" w:hAnsi="EC Square Sans Cond Pro" w:cs="Calibri"/>
                <w:b/>
                <w:bCs/>
                <w:noProof/>
                <w:color w:val="000000"/>
                <w:sz w:val="18"/>
                <w:szCs w:val="18"/>
              </w:rPr>
              <w:t>39</w:t>
            </w:r>
          </w:p>
        </w:tc>
        <w:tc>
          <w:tcPr>
            <w:tcW w:w="271" w:type="pct"/>
            <w:noWrap/>
            <w:vAlign w:val="bottom"/>
            <w:hideMark/>
          </w:tcPr>
          <w:p w14:paraId="7ADF141C" w14:textId="3D0F9AAF" w:rsidR="00663BDE"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color w:val="000000"/>
                <w:sz w:val="18"/>
                <w:szCs w:val="18"/>
                <w:highlight w:val="yellow"/>
                <w:lang w:val="en-IE"/>
              </w:rPr>
            </w:pPr>
            <w:r w:rsidRPr="00465F10">
              <w:rPr>
                <w:rFonts w:ascii="EC Square Sans Cond Pro" w:hAnsi="EC Square Sans Cond Pro" w:cs="Calibri"/>
                <w:b/>
                <w:bCs/>
                <w:noProof/>
                <w:color w:val="000000"/>
                <w:sz w:val="18"/>
                <w:szCs w:val="18"/>
              </w:rPr>
              <w:t>11</w:t>
            </w:r>
          </w:p>
        </w:tc>
        <w:tc>
          <w:tcPr>
            <w:tcW w:w="285" w:type="pct"/>
            <w:noWrap/>
            <w:vAlign w:val="bottom"/>
            <w:hideMark/>
          </w:tcPr>
          <w:p w14:paraId="1158792A" w14:textId="1AADF60E" w:rsidR="00663BDE" w:rsidRPr="00D663ED"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i/>
                <w:iCs/>
                <w:noProof/>
                <w:color w:val="000000"/>
                <w:sz w:val="18"/>
                <w:szCs w:val="18"/>
                <w:highlight w:val="yellow"/>
                <w:lang w:val="en-IE"/>
              </w:rPr>
            </w:pPr>
            <w:r w:rsidRPr="00465F10">
              <w:rPr>
                <w:rFonts w:ascii="EC Square Sans Cond Pro" w:hAnsi="EC Square Sans Cond Pro" w:cs="Calibri"/>
                <w:b/>
                <w:bCs/>
                <w:noProof/>
                <w:color w:val="000000"/>
                <w:sz w:val="18"/>
                <w:szCs w:val="18"/>
              </w:rPr>
              <w:t>10</w:t>
            </w:r>
          </w:p>
        </w:tc>
      </w:tr>
      <w:tr w:rsidR="00FE26BE" w:rsidRPr="006512CA" w14:paraId="575A71B9" w14:textId="77777777" w:rsidTr="005B5916">
        <w:trPr>
          <w:trHeight w:val="288"/>
        </w:trPr>
        <w:tc>
          <w:tcPr>
            <w:cnfStyle w:val="001000000000" w:firstRow="0" w:lastRow="0" w:firstColumn="1" w:lastColumn="0" w:oddVBand="0" w:evenVBand="0" w:oddHBand="0" w:evenHBand="0" w:firstRowFirstColumn="0" w:firstRowLastColumn="0" w:lastRowFirstColumn="0" w:lastRowLastColumn="0"/>
            <w:tcW w:w="1636" w:type="pct"/>
            <w:noWrap/>
            <w:hideMark/>
          </w:tcPr>
          <w:p w14:paraId="7A9A98F0" w14:textId="77777777" w:rsidR="00663BDE" w:rsidRPr="00E1333C" w:rsidRDefault="00663BDE" w:rsidP="007548EC">
            <w:pPr>
              <w:keepNext/>
              <w:spacing w:after="0"/>
              <w:jc w:val="right"/>
              <w:rPr>
                <w:rFonts w:ascii="EC Square Sans Cond Pro" w:eastAsia="Times New Roman" w:hAnsi="EC Square Sans Cond Pro" w:cs="Calibri"/>
                <w:b w:val="0"/>
                <w:i/>
                <w:noProof/>
                <w:sz w:val="18"/>
                <w:szCs w:val="18"/>
                <w:lang w:val="en-IE"/>
              </w:rPr>
            </w:pPr>
            <w:r w:rsidRPr="00E1333C">
              <w:rPr>
                <w:rFonts w:ascii="EC Square Sans Cond Pro" w:eastAsia="Times New Roman" w:hAnsi="EC Square Sans Cond Pro" w:cs="Calibri"/>
                <w:b w:val="0"/>
                <w:i/>
                <w:noProof/>
                <w:sz w:val="18"/>
                <w:szCs w:val="18"/>
                <w:lang w:val="en-IE"/>
              </w:rPr>
              <w:t>international intra-EU aviation</w:t>
            </w:r>
          </w:p>
        </w:tc>
        <w:tc>
          <w:tcPr>
            <w:tcW w:w="448" w:type="pct"/>
            <w:noWrap/>
            <w:vAlign w:val="bottom"/>
            <w:hideMark/>
          </w:tcPr>
          <w:p w14:paraId="0E260148" w14:textId="1EC53FB2" w:rsidR="00663BDE" w:rsidRPr="00D663ED"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35</w:t>
            </w:r>
          </w:p>
        </w:tc>
        <w:tc>
          <w:tcPr>
            <w:tcW w:w="448" w:type="pct"/>
            <w:noWrap/>
            <w:vAlign w:val="bottom"/>
            <w:hideMark/>
          </w:tcPr>
          <w:p w14:paraId="630BEC3D" w14:textId="10294385" w:rsidR="00663BDE" w:rsidRPr="00D663ED"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38</w:t>
            </w:r>
          </w:p>
        </w:tc>
        <w:tc>
          <w:tcPr>
            <w:tcW w:w="448" w:type="pct"/>
            <w:noWrap/>
            <w:vAlign w:val="bottom"/>
            <w:hideMark/>
          </w:tcPr>
          <w:p w14:paraId="5B72CC21" w14:textId="1A0FED1B" w:rsidR="00663BDE" w:rsidRPr="00D663ED"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43</w:t>
            </w:r>
          </w:p>
        </w:tc>
        <w:tc>
          <w:tcPr>
            <w:tcW w:w="366" w:type="pct"/>
            <w:noWrap/>
            <w:vAlign w:val="bottom"/>
            <w:hideMark/>
          </w:tcPr>
          <w:p w14:paraId="5E0E0460" w14:textId="7007E997" w:rsidR="00663BDE" w:rsidRPr="00D663ED"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31</w:t>
            </w:r>
          </w:p>
        </w:tc>
        <w:tc>
          <w:tcPr>
            <w:tcW w:w="366" w:type="pct"/>
            <w:noWrap/>
            <w:vAlign w:val="bottom"/>
            <w:hideMark/>
          </w:tcPr>
          <w:p w14:paraId="5ACAB06A" w14:textId="7A993C50" w:rsidR="00663BDE" w:rsidRPr="00D663ED"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29</w:t>
            </w:r>
          </w:p>
        </w:tc>
        <w:tc>
          <w:tcPr>
            <w:tcW w:w="366" w:type="pct"/>
            <w:noWrap/>
            <w:vAlign w:val="bottom"/>
            <w:hideMark/>
          </w:tcPr>
          <w:p w14:paraId="2CDEAEAC" w14:textId="63ABD002" w:rsidR="00663BDE" w:rsidRPr="00D663ED"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28</w:t>
            </w:r>
          </w:p>
        </w:tc>
        <w:tc>
          <w:tcPr>
            <w:tcW w:w="366" w:type="pct"/>
            <w:noWrap/>
            <w:vAlign w:val="bottom"/>
            <w:hideMark/>
          </w:tcPr>
          <w:p w14:paraId="75DFBFFE" w14:textId="5157BBCF" w:rsidR="00663BDE"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i/>
                <w:noProof/>
                <w:sz w:val="18"/>
                <w:szCs w:val="18"/>
                <w:highlight w:val="yellow"/>
                <w:lang w:val="en-IE"/>
              </w:rPr>
            </w:pPr>
            <w:r w:rsidRPr="00465F10">
              <w:rPr>
                <w:rFonts w:ascii="EC Square Sans Cond Pro" w:hAnsi="EC Square Sans Cond Pro" w:cs="Calibri"/>
                <w:noProof/>
                <w:sz w:val="18"/>
                <w:szCs w:val="18"/>
              </w:rPr>
              <w:t>26</w:t>
            </w:r>
          </w:p>
        </w:tc>
        <w:tc>
          <w:tcPr>
            <w:tcW w:w="271" w:type="pct"/>
            <w:noWrap/>
            <w:vAlign w:val="bottom"/>
            <w:hideMark/>
          </w:tcPr>
          <w:p w14:paraId="4CC4D7A0" w14:textId="2DCCE14C" w:rsidR="00663BDE"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noProof/>
                <w:sz w:val="18"/>
                <w:szCs w:val="18"/>
                <w:highlight w:val="yellow"/>
                <w:lang w:val="en-IE"/>
              </w:rPr>
            </w:pPr>
            <w:r w:rsidRPr="00465F10">
              <w:rPr>
                <w:rFonts w:ascii="EC Square Sans Cond Pro" w:hAnsi="EC Square Sans Cond Pro" w:cs="Calibri"/>
                <w:noProof/>
                <w:sz w:val="18"/>
                <w:szCs w:val="18"/>
              </w:rPr>
              <w:t>11</w:t>
            </w:r>
          </w:p>
        </w:tc>
        <w:tc>
          <w:tcPr>
            <w:tcW w:w="285" w:type="pct"/>
            <w:noWrap/>
            <w:vAlign w:val="bottom"/>
            <w:hideMark/>
          </w:tcPr>
          <w:p w14:paraId="6FF2F97F" w14:textId="27EBE612" w:rsidR="00663BDE" w:rsidRPr="00D663ED"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i/>
                <w:iCs/>
                <w:noProof/>
                <w:sz w:val="18"/>
                <w:szCs w:val="18"/>
                <w:highlight w:val="yellow"/>
                <w:lang w:val="en-IE"/>
              </w:rPr>
            </w:pPr>
            <w:r w:rsidRPr="00465F10">
              <w:rPr>
                <w:rFonts w:ascii="EC Square Sans Cond Pro" w:hAnsi="EC Square Sans Cond Pro" w:cs="Calibri"/>
                <w:noProof/>
                <w:sz w:val="18"/>
                <w:szCs w:val="18"/>
              </w:rPr>
              <w:t>10</w:t>
            </w:r>
          </w:p>
        </w:tc>
      </w:tr>
      <w:tr w:rsidR="00FE26BE" w:rsidRPr="006512CA" w14:paraId="484C5EB4" w14:textId="77777777" w:rsidTr="005B5916">
        <w:trPr>
          <w:trHeight w:val="288"/>
        </w:trPr>
        <w:tc>
          <w:tcPr>
            <w:cnfStyle w:val="001000000000" w:firstRow="0" w:lastRow="0" w:firstColumn="1" w:lastColumn="0" w:oddVBand="0" w:evenVBand="0" w:oddHBand="0" w:evenHBand="0" w:firstRowFirstColumn="0" w:firstRowLastColumn="0" w:lastRowFirstColumn="0" w:lastRowLastColumn="0"/>
            <w:tcW w:w="1636" w:type="pct"/>
            <w:noWrap/>
            <w:hideMark/>
          </w:tcPr>
          <w:p w14:paraId="43C9B853" w14:textId="77777777" w:rsidR="00663BDE" w:rsidRPr="00E1333C" w:rsidRDefault="00663BDE" w:rsidP="007548EC">
            <w:pPr>
              <w:keepNext/>
              <w:spacing w:after="0"/>
              <w:jc w:val="right"/>
              <w:rPr>
                <w:rFonts w:ascii="EC Square Sans Cond Pro" w:eastAsia="Times New Roman" w:hAnsi="EC Square Sans Cond Pro" w:cs="Calibri"/>
                <w:b w:val="0"/>
                <w:i/>
                <w:noProof/>
                <w:sz w:val="18"/>
                <w:szCs w:val="18"/>
                <w:lang w:val="en-IE"/>
              </w:rPr>
            </w:pPr>
            <w:r w:rsidRPr="00E1333C">
              <w:rPr>
                <w:rFonts w:ascii="EC Square Sans Cond Pro" w:eastAsia="Times New Roman" w:hAnsi="EC Square Sans Cond Pro" w:cs="Calibri"/>
                <w:b w:val="0"/>
                <w:i/>
                <w:noProof/>
                <w:sz w:val="18"/>
                <w:szCs w:val="18"/>
                <w:lang w:val="en-IE"/>
              </w:rPr>
              <w:t>international intra-EU navigation</w:t>
            </w:r>
          </w:p>
        </w:tc>
        <w:tc>
          <w:tcPr>
            <w:tcW w:w="448" w:type="pct"/>
            <w:noWrap/>
            <w:vAlign w:val="bottom"/>
            <w:hideMark/>
          </w:tcPr>
          <w:p w14:paraId="205E16DF" w14:textId="1FE602A1"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31</w:t>
            </w:r>
          </w:p>
        </w:tc>
        <w:tc>
          <w:tcPr>
            <w:tcW w:w="448" w:type="pct"/>
            <w:noWrap/>
            <w:vAlign w:val="bottom"/>
            <w:hideMark/>
          </w:tcPr>
          <w:p w14:paraId="54A03D88" w14:textId="55FF95E8"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27</w:t>
            </w:r>
          </w:p>
        </w:tc>
        <w:tc>
          <w:tcPr>
            <w:tcW w:w="448" w:type="pct"/>
            <w:noWrap/>
            <w:vAlign w:val="bottom"/>
            <w:hideMark/>
          </w:tcPr>
          <w:p w14:paraId="2265600D" w14:textId="4926C0B2"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25</w:t>
            </w:r>
          </w:p>
        </w:tc>
        <w:tc>
          <w:tcPr>
            <w:tcW w:w="366" w:type="pct"/>
            <w:noWrap/>
            <w:vAlign w:val="bottom"/>
            <w:hideMark/>
          </w:tcPr>
          <w:p w14:paraId="26229DCD" w14:textId="6EBB3737"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7</w:t>
            </w:r>
          </w:p>
        </w:tc>
        <w:tc>
          <w:tcPr>
            <w:tcW w:w="366" w:type="pct"/>
            <w:noWrap/>
            <w:vAlign w:val="bottom"/>
            <w:hideMark/>
          </w:tcPr>
          <w:p w14:paraId="190C9B77" w14:textId="1F422EEC"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6</w:t>
            </w:r>
          </w:p>
        </w:tc>
        <w:tc>
          <w:tcPr>
            <w:tcW w:w="366" w:type="pct"/>
            <w:noWrap/>
            <w:vAlign w:val="bottom"/>
            <w:hideMark/>
          </w:tcPr>
          <w:p w14:paraId="13B4DD7B" w14:textId="490EC39D" w:rsidR="00663BDE" w:rsidRPr="008D1B0E"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noProof/>
                <w:sz w:val="18"/>
                <w:szCs w:val="18"/>
                <w:lang w:val="en-IE"/>
              </w:rPr>
            </w:pPr>
            <w:r w:rsidRPr="00465F10">
              <w:rPr>
                <w:rFonts w:ascii="EC Square Sans Cond Pro" w:hAnsi="EC Square Sans Cond Pro" w:cs="Calibri"/>
                <w:noProof/>
                <w:sz w:val="18"/>
                <w:szCs w:val="18"/>
              </w:rPr>
              <w:t>4</w:t>
            </w:r>
          </w:p>
        </w:tc>
        <w:tc>
          <w:tcPr>
            <w:tcW w:w="366" w:type="pct"/>
            <w:noWrap/>
            <w:vAlign w:val="bottom"/>
            <w:hideMark/>
          </w:tcPr>
          <w:p w14:paraId="1CA16278" w14:textId="56733A7F" w:rsidR="00663BDE"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i/>
                <w:noProof/>
                <w:sz w:val="18"/>
                <w:szCs w:val="18"/>
                <w:highlight w:val="yellow"/>
                <w:lang w:val="en-IE"/>
              </w:rPr>
            </w:pPr>
            <w:r w:rsidRPr="00465F10">
              <w:rPr>
                <w:rFonts w:ascii="EC Square Sans Cond Pro" w:hAnsi="EC Square Sans Cond Pro" w:cs="Calibri"/>
                <w:noProof/>
                <w:sz w:val="18"/>
                <w:szCs w:val="18"/>
              </w:rPr>
              <w:t>4</w:t>
            </w:r>
          </w:p>
        </w:tc>
        <w:tc>
          <w:tcPr>
            <w:tcW w:w="271" w:type="pct"/>
            <w:noWrap/>
            <w:vAlign w:val="bottom"/>
            <w:hideMark/>
          </w:tcPr>
          <w:p w14:paraId="455DF9C0" w14:textId="1D97F986" w:rsidR="00663BDE"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noProof/>
                <w:sz w:val="18"/>
                <w:szCs w:val="18"/>
                <w:highlight w:val="yellow"/>
                <w:lang w:val="en-IE"/>
              </w:rPr>
            </w:pPr>
            <w:r w:rsidRPr="00465F10">
              <w:rPr>
                <w:rFonts w:ascii="EC Square Sans Cond Pro" w:hAnsi="EC Square Sans Cond Pro" w:cs="Calibri"/>
                <w:noProof/>
                <w:sz w:val="18"/>
                <w:szCs w:val="18"/>
              </w:rPr>
              <w:t>0</w:t>
            </w:r>
          </w:p>
        </w:tc>
        <w:tc>
          <w:tcPr>
            <w:tcW w:w="285" w:type="pct"/>
            <w:noWrap/>
            <w:vAlign w:val="bottom"/>
            <w:hideMark/>
          </w:tcPr>
          <w:p w14:paraId="42FB933D" w14:textId="6A4C45EB" w:rsidR="00663BDE" w:rsidRPr="00D663ED"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Cs/>
                <w:i/>
                <w:iCs/>
                <w:noProof/>
                <w:sz w:val="18"/>
                <w:szCs w:val="18"/>
                <w:highlight w:val="yellow"/>
                <w:lang w:val="en-IE"/>
              </w:rPr>
            </w:pPr>
            <w:r w:rsidRPr="00465F10">
              <w:rPr>
                <w:rFonts w:ascii="EC Square Sans Cond Pro" w:hAnsi="EC Square Sans Cond Pro" w:cs="Calibri"/>
                <w:noProof/>
                <w:sz w:val="18"/>
                <w:szCs w:val="18"/>
              </w:rPr>
              <w:t>0</w:t>
            </w:r>
          </w:p>
        </w:tc>
      </w:tr>
      <w:tr w:rsidR="00FE26BE" w:rsidRPr="006512CA" w14:paraId="582C2FCC" w14:textId="77777777" w:rsidTr="005B5916">
        <w:trPr>
          <w:trHeight w:val="300"/>
        </w:trPr>
        <w:tc>
          <w:tcPr>
            <w:cnfStyle w:val="001000000000" w:firstRow="0" w:lastRow="0" w:firstColumn="1" w:lastColumn="0" w:oddVBand="0" w:evenVBand="0" w:oddHBand="0" w:evenHBand="0" w:firstRowFirstColumn="0" w:firstRowLastColumn="0" w:lastRowFirstColumn="0" w:lastRowLastColumn="0"/>
            <w:tcW w:w="1636" w:type="pct"/>
            <w:noWrap/>
            <w:hideMark/>
          </w:tcPr>
          <w:p w14:paraId="34DA0D89" w14:textId="77777777" w:rsidR="00663BDE" w:rsidRPr="00640336" w:rsidRDefault="00663BDE" w:rsidP="007548EC">
            <w:pPr>
              <w:keepNext/>
              <w:spacing w:after="0"/>
              <w:jc w:val="right"/>
              <w:rPr>
                <w:rFonts w:ascii="EC Square Sans Cond Pro" w:eastAsia="Times New Roman" w:hAnsi="EC Square Sans Cond Pro" w:cs="Calibri"/>
                <w:b w:val="0"/>
                <w:bCs w:val="0"/>
                <w:i/>
                <w:noProof/>
                <w:sz w:val="18"/>
                <w:szCs w:val="18"/>
                <w:lang w:val="sv-SE"/>
              </w:rPr>
            </w:pPr>
            <w:r w:rsidRPr="00640336">
              <w:rPr>
                <w:rFonts w:ascii="EC Square Sans Cond Pro" w:eastAsia="Times New Roman" w:hAnsi="EC Square Sans Cond Pro" w:cs="Calibri"/>
                <w:b w:val="0"/>
                <w:bCs w:val="0"/>
                <w:i/>
                <w:noProof/>
                <w:sz w:val="18"/>
                <w:szCs w:val="18"/>
                <w:lang w:val="sv-SE"/>
              </w:rPr>
              <w:t>50% extra-EU MRV maritime MRV</w:t>
            </w:r>
          </w:p>
        </w:tc>
        <w:tc>
          <w:tcPr>
            <w:tcW w:w="448" w:type="pct"/>
            <w:noWrap/>
            <w:vAlign w:val="bottom"/>
            <w:hideMark/>
          </w:tcPr>
          <w:p w14:paraId="1888E392" w14:textId="0B234A13" w:rsidR="00663BDE" w:rsidRPr="00640336"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noProof/>
                <w:sz w:val="18"/>
                <w:szCs w:val="18"/>
                <w:lang w:val="en-IE"/>
              </w:rPr>
            </w:pPr>
            <w:r w:rsidRPr="00465F10">
              <w:rPr>
                <w:rFonts w:ascii="EC Square Sans Cond Pro" w:hAnsi="EC Square Sans Cond Pro" w:cs="Calibri"/>
                <w:noProof/>
                <w:sz w:val="18"/>
                <w:szCs w:val="18"/>
              </w:rPr>
              <w:t>50</w:t>
            </w:r>
          </w:p>
        </w:tc>
        <w:tc>
          <w:tcPr>
            <w:tcW w:w="448" w:type="pct"/>
            <w:noWrap/>
            <w:vAlign w:val="bottom"/>
            <w:hideMark/>
          </w:tcPr>
          <w:p w14:paraId="568F18B3" w14:textId="63DD7E7C" w:rsidR="00663BDE" w:rsidRPr="00640336"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noProof/>
                <w:sz w:val="18"/>
                <w:szCs w:val="18"/>
                <w:lang w:val="en-IE"/>
              </w:rPr>
            </w:pPr>
            <w:r w:rsidRPr="00465F10">
              <w:rPr>
                <w:rFonts w:ascii="EC Square Sans Cond Pro" w:hAnsi="EC Square Sans Cond Pro" w:cs="Calibri"/>
                <w:noProof/>
                <w:sz w:val="18"/>
                <w:szCs w:val="18"/>
              </w:rPr>
              <w:t>42</w:t>
            </w:r>
          </w:p>
        </w:tc>
        <w:tc>
          <w:tcPr>
            <w:tcW w:w="448" w:type="pct"/>
            <w:noWrap/>
            <w:vAlign w:val="bottom"/>
            <w:hideMark/>
          </w:tcPr>
          <w:p w14:paraId="4AB381DD" w14:textId="434A551B" w:rsidR="00663BDE" w:rsidRPr="00640336"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noProof/>
                <w:sz w:val="18"/>
                <w:szCs w:val="18"/>
                <w:lang w:val="en-IE"/>
              </w:rPr>
            </w:pPr>
            <w:r w:rsidRPr="00465F10">
              <w:rPr>
                <w:rFonts w:ascii="EC Square Sans Cond Pro" w:hAnsi="EC Square Sans Cond Pro" w:cs="Calibri"/>
                <w:noProof/>
                <w:sz w:val="18"/>
                <w:szCs w:val="18"/>
              </w:rPr>
              <w:t>44</w:t>
            </w:r>
          </w:p>
        </w:tc>
        <w:tc>
          <w:tcPr>
            <w:tcW w:w="366" w:type="pct"/>
            <w:noWrap/>
            <w:vAlign w:val="bottom"/>
            <w:hideMark/>
          </w:tcPr>
          <w:p w14:paraId="6389D845" w14:textId="15AFC288" w:rsidR="00663BDE" w:rsidRPr="00640336"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noProof/>
                <w:sz w:val="18"/>
                <w:szCs w:val="18"/>
                <w:lang w:val="en-IE"/>
              </w:rPr>
            </w:pPr>
            <w:r w:rsidRPr="00465F10">
              <w:rPr>
                <w:rFonts w:ascii="EC Square Sans Cond Pro" w:hAnsi="EC Square Sans Cond Pro" w:cs="Calibri"/>
                <w:noProof/>
                <w:sz w:val="18"/>
                <w:szCs w:val="18"/>
              </w:rPr>
              <w:t>14</w:t>
            </w:r>
          </w:p>
        </w:tc>
        <w:tc>
          <w:tcPr>
            <w:tcW w:w="366" w:type="pct"/>
            <w:noWrap/>
            <w:vAlign w:val="bottom"/>
            <w:hideMark/>
          </w:tcPr>
          <w:p w14:paraId="3A3AB8DE" w14:textId="12C68718" w:rsidR="00663BDE" w:rsidRPr="00640336"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noProof/>
                <w:sz w:val="18"/>
                <w:szCs w:val="18"/>
                <w:lang w:val="en-IE"/>
              </w:rPr>
            </w:pPr>
            <w:r w:rsidRPr="00465F10">
              <w:rPr>
                <w:rFonts w:ascii="EC Square Sans Cond Pro" w:hAnsi="EC Square Sans Cond Pro" w:cs="Calibri"/>
                <w:noProof/>
                <w:sz w:val="18"/>
                <w:szCs w:val="18"/>
              </w:rPr>
              <w:t>11</w:t>
            </w:r>
          </w:p>
        </w:tc>
        <w:tc>
          <w:tcPr>
            <w:tcW w:w="366" w:type="pct"/>
            <w:noWrap/>
            <w:vAlign w:val="bottom"/>
            <w:hideMark/>
          </w:tcPr>
          <w:p w14:paraId="79D2E267" w14:textId="65395339" w:rsidR="00663BDE" w:rsidRPr="00640336"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noProof/>
                <w:sz w:val="18"/>
                <w:szCs w:val="18"/>
                <w:lang w:val="en-IE"/>
              </w:rPr>
            </w:pPr>
            <w:r w:rsidRPr="00465F10">
              <w:rPr>
                <w:rFonts w:ascii="EC Square Sans Cond Pro" w:hAnsi="EC Square Sans Cond Pro" w:cs="Calibri"/>
                <w:noProof/>
                <w:sz w:val="18"/>
                <w:szCs w:val="18"/>
              </w:rPr>
              <w:t>9</w:t>
            </w:r>
          </w:p>
        </w:tc>
        <w:tc>
          <w:tcPr>
            <w:tcW w:w="366" w:type="pct"/>
            <w:noWrap/>
            <w:vAlign w:val="bottom"/>
            <w:hideMark/>
          </w:tcPr>
          <w:p w14:paraId="2A448DBE" w14:textId="633A91B0" w:rsidR="00663BDE"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i/>
                <w:noProof/>
                <w:sz w:val="18"/>
                <w:szCs w:val="18"/>
                <w:highlight w:val="yellow"/>
                <w:lang w:val="en-IE"/>
              </w:rPr>
            </w:pPr>
            <w:r w:rsidRPr="00465F10">
              <w:rPr>
                <w:rFonts w:ascii="EC Square Sans Cond Pro" w:hAnsi="EC Square Sans Cond Pro" w:cs="Calibri"/>
                <w:noProof/>
                <w:sz w:val="18"/>
                <w:szCs w:val="18"/>
              </w:rPr>
              <w:t>8</w:t>
            </w:r>
          </w:p>
        </w:tc>
        <w:tc>
          <w:tcPr>
            <w:tcW w:w="271" w:type="pct"/>
            <w:noWrap/>
            <w:vAlign w:val="bottom"/>
            <w:hideMark/>
          </w:tcPr>
          <w:p w14:paraId="19067D72" w14:textId="58F400ED" w:rsidR="00663BDE"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noProof/>
                <w:sz w:val="18"/>
                <w:szCs w:val="18"/>
                <w:highlight w:val="yellow"/>
                <w:lang w:val="en-IE"/>
              </w:rPr>
            </w:pPr>
            <w:r w:rsidRPr="00465F10">
              <w:rPr>
                <w:rFonts w:ascii="EC Square Sans Cond Pro" w:hAnsi="EC Square Sans Cond Pro" w:cs="Calibri"/>
                <w:noProof/>
                <w:sz w:val="18"/>
                <w:szCs w:val="18"/>
              </w:rPr>
              <w:t>0</w:t>
            </w:r>
          </w:p>
        </w:tc>
        <w:tc>
          <w:tcPr>
            <w:tcW w:w="285" w:type="pct"/>
            <w:noWrap/>
            <w:vAlign w:val="bottom"/>
            <w:hideMark/>
          </w:tcPr>
          <w:p w14:paraId="142E8836" w14:textId="23D464D5" w:rsidR="00663BDE" w:rsidRPr="00D663ED"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i/>
                <w:iCs/>
                <w:noProof/>
                <w:sz w:val="18"/>
                <w:szCs w:val="18"/>
                <w:highlight w:val="yellow"/>
                <w:lang w:val="en-IE"/>
              </w:rPr>
            </w:pPr>
            <w:r w:rsidRPr="00465F10">
              <w:rPr>
                <w:rFonts w:ascii="EC Square Sans Cond Pro" w:hAnsi="EC Square Sans Cond Pro" w:cs="Calibri"/>
                <w:noProof/>
                <w:sz w:val="18"/>
                <w:szCs w:val="18"/>
              </w:rPr>
              <w:t>0</w:t>
            </w:r>
          </w:p>
        </w:tc>
      </w:tr>
      <w:tr w:rsidR="00FE26BE" w:rsidRPr="006512CA" w14:paraId="2866ACF3" w14:textId="77777777" w:rsidTr="005B5916">
        <w:trPr>
          <w:trHeight w:val="300"/>
        </w:trPr>
        <w:tc>
          <w:tcPr>
            <w:cnfStyle w:val="001000000000" w:firstRow="0" w:lastRow="0" w:firstColumn="1" w:lastColumn="0" w:oddVBand="0" w:evenVBand="0" w:oddHBand="0" w:evenHBand="0" w:firstRowFirstColumn="0" w:firstRowLastColumn="0" w:lastRowFirstColumn="0" w:lastRowLastColumn="0"/>
            <w:tcW w:w="1636" w:type="pct"/>
            <w:noWrap/>
            <w:hideMark/>
          </w:tcPr>
          <w:p w14:paraId="32327715" w14:textId="77777777" w:rsidR="00663BDE" w:rsidRPr="00A438D4" w:rsidRDefault="00663BDE" w:rsidP="007548EC">
            <w:pPr>
              <w:keepNext/>
              <w:spacing w:after="0"/>
              <w:jc w:val="left"/>
              <w:rPr>
                <w:rFonts w:ascii="EC Square Sans Cond Pro" w:eastAsia="Times New Roman" w:hAnsi="EC Square Sans Cond Pro" w:cs="Calibri"/>
                <w:b w:val="0"/>
                <w:noProof/>
                <w:sz w:val="18"/>
                <w:szCs w:val="18"/>
                <w:lang w:val="en-IE"/>
              </w:rPr>
            </w:pPr>
            <w:r w:rsidRPr="00A438D4">
              <w:rPr>
                <w:rFonts w:ascii="EC Square Sans Cond Pro" w:eastAsia="Times New Roman" w:hAnsi="EC Square Sans Cond Pro" w:cs="Calibri"/>
                <w:b w:val="0"/>
                <w:noProof/>
                <w:sz w:val="18"/>
                <w:szCs w:val="18"/>
                <w:lang w:val="en-IE"/>
              </w:rPr>
              <w:t>Residual CO2 for calibration</w:t>
            </w:r>
          </w:p>
        </w:tc>
        <w:tc>
          <w:tcPr>
            <w:tcW w:w="448" w:type="pct"/>
            <w:noWrap/>
            <w:vAlign w:val="bottom"/>
            <w:hideMark/>
          </w:tcPr>
          <w:p w14:paraId="429F3226" w14:textId="262D05F7" w:rsidR="00663BDE" w:rsidRPr="00A438D4"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noProof/>
                <w:sz w:val="18"/>
                <w:szCs w:val="18"/>
              </w:rPr>
              <w:t>15</w:t>
            </w:r>
          </w:p>
        </w:tc>
        <w:tc>
          <w:tcPr>
            <w:tcW w:w="448" w:type="pct"/>
            <w:noWrap/>
            <w:vAlign w:val="bottom"/>
            <w:hideMark/>
          </w:tcPr>
          <w:p w14:paraId="7053A90E" w14:textId="284A8C41" w:rsidR="00663BDE" w:rsidRPr="00A438D4"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noProof/>
                <w:sz w:val="18"/>
                <w:szCs w:val="18"/>
              </w:rPr>
              <w:t>43</w:t>
            </w:r>
          </w:p>
        </w:tc>
        <w:tc>
          <w:tcPr>
            <w:tcW w:w="448" w:type="pct"/>
            <w:noWrap/>
            <w:vAlign w:val="bottom"/>
            <w:hideMark/>
          </w:tcPr>
          <w:p w14:paraId="54896257" w14:textId="4EF363F1" w:rsidR="00663BDE" w:rsidRPr="00A438D4"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noProof/>
                <w:sz w:val="18"/>
                <w:szCs w:val="18"/>
              </w:rPr>
              <w:t>24</w:t>
            </w:r>
          </w:p>
        </w:tc>
        <w:tc>
          <w:tcPr>
            <w:tcW w:w="366" w:type="pct"/>
            <w:noWrap/>
            <w:vAlign w:val="bottom"/>
            <w:hideMark/>
          </w:tcPr>
          <w:p w14:paraId="358E7EF2" w14:textId="6A4DF595" w:rsidR="00663BDE" w:rsidRPr="00A438D4"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noProof/>
                <w:sz w:val="18"/>
                <w:szCs w:val="18"/>
              </w:rPr>
              <w:t>3</w:t>
            </w:r>
          </w:p>
        </w:tc>
        <w:tc>
          <w:tcPr>
            <w:tcW w:w="366" w:type="pct"/>
            <w:noWrap/>
            <w:vAlign w:val="bottom"/>
            <w:hideMark/>
          </w:tcPr>
          <w:p w14:paraId="36A8CD80" w14:textId="4BD33796" w:rsidR="00663BDE" w:rsidRPr="00A438D4"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noProof/>
                <w:sz w:val="18"/>
                <w:szCs w:val="18"/>
              </w:rPr>
              <w:t>-1</w:t>
            </w:r>
          </w:p>
        </w:tc>
        <w:tc>
          <w:tcPr>
            <w:tcW w:w="366" w:type="pct"/>
            <w:noWrap/>
            <w:vAlign w:val="bottom"/>
            <w:hideMark/>
          </w:tcPr>
          <w:p w14:paraId="04E07B33" w14:textId="010842E6" w:rsidR="00663BDE" w:rsidRPr="00A438D4"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lang w:val="en-IE"/>
              </w:rPr>
            </w:pPr>
            <w:r w:rsidRPr="00465F10">
              <w:rPr>
                <w:rFonts w:ascii="EC Square Sans Cond Pro" w:hAnsi="EC Square Sans Cond Pro" w:cs="Calibri"/>
                <w:noProof/>
                <w:sz w:val="18"/>
                <w:szCs w:val="18"/>
              </w:rPr>
              <w:t>-1</w:t>
            </w:r>
          </w:p>
        </w:tc>
        <w:tc>
          <w:tcPr>
            <w:tcW w:w="366" w:type="pct"/>
            <w:noWrap/>
            <w:vAlign w:val="bottom"/>
            <w:hideMark/>
          </w:tcPr>
          <w:p w14:paraId="32E302E2" w14:textId="34FB1705" w:rsidR="00663BDE"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i/>
                <w:noProof/>
                <w:sz w:val="18"/>
                <w:szCs w:val="18"/>
                <w:highlight w:val="yellow"/>
                <w:lang w:val="en-IE"/>
              </w:rPr>
            </w:pPr>
            <w:r w:rsidRPr="00465F10">
              <w:rPr>
                <w:rFonts w:ascii="EC Square Sans Cond Pro" w:hAnsi="EC Square Sans Cond Pro" w:cs="Calibri"/>
                <w:noProof/>
                <w:sz w:val="18"/>
                <w:szCs w:val="18"/>
              </w:rPr>
              <w:t>-1</w:t>
            </w:r>
          </w:p>
        </w:tc>
        <w:tc>
          <w:tcPr>
            <w:tcW w:w="271" w:type="pct"/>
            <w:noWrap/>
            <w:vAlign w:val="bottom"/>
            <w:hideMark/>
          </w:tcPr>
          <w:p w14:paraId="73DF09AB" w14:textId="1FAEEDC4" w:rsidR="00663BDE"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noProof/>
                <w:sz w:val="18"/>
                <w:szCs w:val="18"/>
                <w:highlight w:val="yellow"/>
                <w:lang w:val="en-IE"/>
              </w:rPr>
            </w:pPr>
            <w:r w:rsidRPr="00465F10">
              <w:rPr>
                <w:rFonts w:ascii="EC Square Sans Cond Pro" w:hAnsi="EC Square Sans Cond Pro" w:cs="Calibri"/>
                <w:noProof/>
                <w:sz w:val="18"/>
                <w:szCs w:val="18"/>
              </w:rPr>
              <w:t>0</w:t>
            </w:r>
          </w:p>
        </w:tc>
        <w:tc>
          <w:tcPr>
            <w:tcW w:w="285" w:type="pct"/>
            <w:noWrap/>
            <w:vAlign w:val="bottom"/>
            <w:hideMark/>
          </w:tcPr>
          <w:p w14:paraId="0F90284C" w14:textId="14E43A1B" w:rsidR="00663BDE" w:rsidRPr="00F77DCB" w:rsidRDefault="00FB075F" w:rsidP="007548EC">
            <w:pPr>
              <w:keepNext/>
              <w:spacing w:after="0"/>
              <w:jc w:val="center"/>
              <w:cnfStyle w:val="000000000000" w:firstRow="0" w:lastRow="0" w:firstColumn="0" w:lastColumn="0" w:oddVBand="0" w:evenVBand="0" w:oddHBand="0" w:evenHBand="0" w:firstRowFirstColumn="0" w:firstRowLastColumn="0" w:lastRowFirstColumn="0" w:lastRowLastColumn="0"/>
              <w:rPr>
                <w:rFonts w:ascii="EC Square Sans Cond Pro" w:eastAsia="Times New Roman" w:hAnsi="EC Square Sans Cond Pro" w:cs="Calibri"/>
                <w:b/>
                <w:i/>
                <w:noProof/>
                <w:sz w:val="18"/>
                <w:szCs w:val="18"/>
                <w:highlight w:val="yellow"/>
                <w:lang w:val="en-IE"/>
              </w:rPr>
            </w:pPr>
            <w:r w:rsidRPr="00465F10">
              <w:rPr>
                <w:rFonts w:ascii="EC Square Sans Cond Pro" w:hAnsi="EC Square Sans Cond Pro" w:cs="Calibri"/>
                <w:noProof/>
                <w:sz w:val="18"/>
                <w:szCs w:val="18"/>
              </w:rPr>
              <w:t>0</w:t>
            </w:r>
          </w:p>
        </w:tc>
      </w:tr>
    </w:tbl>
    <w:p w14:paraId="106F7CEA" w14:textId="2C45A8A3" w:rsidR="00AF612C" w:rsidRDefault="00165F2C" w:rsidP="007548EC">
      <w:pPr>
        <w:pStyle w:val="CT-NOTE"/>
        <w:rPr>
          <w:noProof/>
        </w:rPr>
      </w:pPr>
      <w:r w:rsidRPr="00E933E0">
        <w:rPr>
          <w:noProof/>
        </w:rPr>
        <w:t xml:space="preserve">Note: </w:t>
      </w:r>
      <w:r w:rsidR="00573485" w:rsidRPr="00573485">
        <w:rPr>
          <w:noProof/>
        </w:rPr>
        <w:t>*Includes BECCS. **Includes emissions from energy branch</w:t>
      </w:r>
      <w:r w:rsidR="00E4144C">
        <w:rPr>
          <w:noProof/>
        </w:rPr>
        <w:t xml:space="preserve"> and DACCS</w:t>
      </w:r>
      <w:r w:rsidR="00573485" w:rsidRPr="00573485">
        <w:rPr>
          <w:noProof/>
        </w:rPr>
        <w:t>; ***Includes fossil fuel combustion in the agriculture/fishery/forestry sector; ****Includes fugitive</w:t>
      </w:r>
      <w:r w:rsidR="005A21C4">
        <w:rPr>
          <w:noProof/>
        </w:rPr>
        <w:t xml:space="preserve"> </w:t>
      </w:r>
      <w:r w:rsidR="00D757A6">
        <w:rPr>
          <w:noProof/>
        </w:rPr>
        <w:t>emission</w:t>
      </w:r>
      <w:r w:rsidR="003C12F1">
        <w:rPr>
          <w:noProof/>
        </w:rPr>
        <w:t>s.</w:t>
      </w:r>
      <w:r w:rsidR="00D757A6">
        <w:rPr>
          <w:noProof/>
        </w:rPr>
        <w:t xml:space="preserve"> </w:t>
      </w:r>
      <w:r w:rsidR="00FB075F" w:rsidRPr="00202C8F">
        <w:rPr>
          <w:noProof/>
        </w:rPr>
        <w:t>S1 and S</w:t>
      </w:r>
      <w:r w:rsidR="00FB075F">
        <w:rPr>
          <w:noProof/>
        </w:rPr>
        <w:t>2</w:t>
      </w:r>
      <w:r w:rsidR="00FB075F" w:rsidRPr="00202C8F">
        <w:rPr>
          <w:noProof/>
        </w:rPr>
        <w:t xml:space="preserve"> values</w:t>
      </w:r>
      <w:r w:rsidR="00495108">
        <w:rPr>
          <w:noProof/>
        </w:rPr>
        <w:t xml:space="preserve"> in 2050</w:t>
      </w:r>
      <w:r w:rsidR="00FB075F" w:rsidRPr="00202C8F">
        <w:rPr>
          <w:noProof/>
        </w:rPr>
        <w:t xml:space="preserve"> are similar to S</w:t>
      </w:r>
      <w:r w:rsidR="00FB075F">
        <w:rPr>
          <w:noProof/>
        </w:rPr>
        <w:t>3</w:t>
      </w:r>
      <w:r w:rsidR="00FB075F" w:rsidRPr="00202C8F">
        <w:rPr>
          <w:noProof/>
        </w:rPr>
        <w:t xml:space="preserve"> and </w:t>
      </w:r>
      <w:r w:rsidR="002F19F2">
        <w:rPr>
          <w:noProof/>
        </w:rPr>
        <w:t>described in more</w:t>
      </w:r>
      <w:r w:rsidR="00DA7918">
        <w:rPr>
          <w:noProof/>
        </w:rPr>
        <w:t xml:space="preserve"> details </w:t>
      </w:r>
      <w:r w:rsidR="002F19F2">
        <w:rPr>
          <w:noProof/>
        </w:rPr>
        <w:t xml:space="preserve">in </w:t>
      </w:r>
      <w:r w:rsidR="00DA7918">
        <w:rPr>
          <w:noProof/>
        </w:rPr>
        <w:t>sec</w:t>
      </w:r>
      <w:r w:rsidR="007018C5">
        <w:rPr>
          <w:noProof/>
        </w:rPr>
        <w:t xml:space="preserve">toral sections </w:t>
      </w:r>
      <w:r w:rsidR="00DE1D55">
        <w:rPr>
          <w:noProof/>
        </w:rPr>
        <w:fldChar w:fldCharType="begin"/>
      </w:r>
      <w:r w:rsidR="00DE1D55">
        <w:rPr>
          <w:noProof/>
        </w:rPr>
        <w:instrText xml:space="preserve"> REF _Ref140738197 \r \h </w:instrText>
      </w:r>
      <w:r w:rsidR="00DE1D55">
        <w:rPr>
          <w:noProof/>
        </w:rPr>
      </w:r>
      <w:r w:rsidR="00DE1D55">
        <w:rPr>
          <w:noProof/>
        </w:rPr>
        <w:fldChar w:fldCharType="separate"/>
      </w:r>
      <w:r w:rsidR="00170A3C">
        <w:rPr>
          <w:noProof/>
        </w:rPr>
        <w:t>1.2</w:t>
      </w:r>
      <w:r w:rsidR="00DE1D55">
        <w:rPr>
          <w:noProof/>
        </w:rPr>
        <w:fldChar w:fldCharType="end"/>
      </w:r>
      <w:r w:rsidR="00DE1D55">
        <w:rPr>
          <w:noProof/>
        </w:rPr>
        <w:t>,</w:t>
      </w:r>
      <w:r w:rsidR="002F19F2">
        <w:rPr>
          <w:noProof/>
        </w:rPr>
        <w:t xml:space="preserve"> </w:t>
      </w:r>
      <w:r w:rsidR="00DE1D55">
        <w:rPr>
          <w:noProof/>
        </w:rPr>
        <w:fldChar w:fldCharType="begin"/>
      </w:r>
      <w:r w:rsidR="00DE1D55">
        <w:rPr>
          <w:noProof/>
        </w:rPr>
        <w:instrText xml:space="preserve"> REF _Ref155262795 \r \h </w:instrText>
      </w:r>
      <w:r w:rsidR="00DE1D55">
        <w:rPr>
          <w:noProof/>
        </w:rPr>
      </w:r>
      <w:r w:rsidR="00DE1D55">
        <w:rPr>
          <w:noProof/>
        </w:rPr>
        <w:fldChar w:fldCharType="separate"/>
      </w:r>
      <w:r w:rsidR="00170A3C">
        <w:rPr>
          <w:noProof/>
        </w:rPr>
        <w:t>1.3</w:t>
      </w:r>
      <w:r w:rsidR="00DE1D55">
        <w:rPr>
          <w:noProof/>
        </w:rPr>
        <w:fldChar w:fldCharType="end"/>
      </w:r>
      <w:r w:rsidR="00DE1D55">
        <w:rPr>
          <w:noProof/>
        </w:rPr>
        <w:t>,</w:t>
      </w:r>
      <w:r w:rsidR="002F19F2">
        <w:rPr>
          <w:noProof/>
        </w:rPr>
        <w:t xml:space="preserve"> </w:t>
      </w:r>
      <w:r w:rsidR="00DE1D55">
        <w:rPr>
          <w:noProof/>
        </w:rPr>
        <w:fldChar w:fldCharType="begin"/>
      </w:r>
      <w:r w:rsidR="00DE1D55">
        <w:rPr>
          <w:noProof/>
        </w:rPr>
        <w:instrText xml:space="preserve"> REF _Ref147836851 \r \h </w:instrText>
      </w:r>
      <w:r w:rsidR="00DE1D55">
        <w:rPr>
          <w:noProof/>
        </w:rPr>
      </w:r>
      <w:r w:rsidR="00DE1D55">
        <w:rPr>
          <w:noProof/>
        </w:rPr>
        <w:fldChar w:fldCharType="separate"/>
      </w:r>
      <w:r w:rsidR="00170A3C">
        <w:rPr>
          <w:noProof/>
        </w:rPr>
        <w:t>1.4</w:t>
      </w:r>
      <w:r w:rsidR="00DE1D55">
        <w:rPr>
          <w:noProof/>
        </w:rPr>
        <w:fldChar w:fldCharType="end"/>
      </w:r>
      <w:r w:rsidR="001F6A23">
        <w:rPr>
          <w:noProof/>
        </w:rPr>
        <w:t xml:space="preserve"> and </w:t>
      </w:r>
      <w:r w:rsidR="00DE1D55">
        <w:rPr>
          <w:noProof/>
        </w:rPr>
        <w:fldChar w:fldCharType="begin"/>
      </w:r>
      <w:r w:rsidR="00DE1D55">
        <w:rPr>
          <w:noProof/>
        </w:rPr>
        <w:instrText xml:space="preserve"> REF _Ref141916776 \r \h </w:instrText>
      </w:r>
      <w:r w:rsidR="00DE1D55">
        <w:rPr>
          <w:noProof/>
        </w:rPr>
      </w:r>
      <w:r w:rsidR="00DE1D55">
        <w:rPr>
          <w:noProof/>
        </w:rPr>
        <w:fldChar w:fldCharType="separate"/>
      </w:r>
      <w:r w:rsidR="00170A3C">
        <w:rPr>
          <w:noProof/>
        </w:rPr>
        <w:t>1.5</w:t>
      </w:r>
      <w:r w:rsidR="00DE1D55">
        <w:rPr>
          <w:noProof/>
        </w:rPr>
        <w:fldChar w:fldCharType="end"/>
      </w:r>
      <w:r w:rsidR="002F19F2">
        <w:rPr>
          <w:noProof/>
        </w:rPr>
        <w:t xml:space="preserve"> of this Annex.</w:t>
      </w:r>
    </w:p>
    <w:p w14:paraId="78805EEC" w14:textId="7FEDD682" w:rsidR="00835E62" w:rsidRPr="00063022" w:rsidRDefault="00835E62" w:rsidP="00E933E0">
      <w:pPr>
        <w:pStyle w:val="CT-SOURCE"/>
        <w:rPr>
          <w:i w:val="0"/>
          <w:iCs w:val="0"/>
          <w:noProof/>
        </w:rPr>
      </w:pPr>
      <w:r w:rsidRPr="00063022">
        <w:rPr>
          <w:noProof/>
        </w:rPr>
        <w:t>Source: PRIMES.</w:t>
      </w:r>
    </w:p>
    <w:p w14:paraId="77AD2F7D" w14:textId="7969FFB1" w:rsidR="000316AD" w:rsidRPr="003F6B63" w:rsidRDefault="00202695" w:rsidP="00F7719F">
      <w:pPr>
        <w:pStyle w:val="Heading4"/>
        <w:rPr>
          <w:noProof/>
        </w:rPr>
      </w:pPr>
      <w:bookmarkStart w:id="69" w:name="_Ref146616760"/>
      <w:bookmarkStart w:id="70" w:name="_Ref141910741"/>
      <w:bookmarkStart w:id="71" w:name="_Ref140667135"/>
      <w:r>
        <w:rPr>
          <w:noProof/>
        </w:rPr>
        <w:t>Role of c</w:t>
      </w:r>
      <w:r w:rsidR="000316AD" w:rsidRPr="003F6B63">
        <w:rPr>
          <w:noProof/>
        </w:rPr>
        <w:t>arbon capture</w:t>
      </w:r>
      <w:bookmarkEnd w:id="69"/>
      <w:r w:rsidR="000316AD" w:rsidRPr="003F6B63">
        <w:rPr>
          <w:noProof/>
        </w:rPr>
        <w:t xml:space="preserve"> </w:t>
      </w:r>
      <w:bookmarkEnd w:id="70"/>
    </w:p>
    <w:bookmarkEnd w:id="71"/>
    <w:p w14:paraId="5B6C655F" w14:textId="00B3338C" w:rsidR="009A36B7" w:rsidRPr="005E74B4" w:rsidRDefault="005D1A0C" w:rsidP="009A36B7">
      <w:pPr>
        <w:rPr>
          <w:noProof/>
        </w:rPr>
      </w:pPr>
      <w:r>
        <w:rPr>
          <w:noProof/>
        </w:rPr>
        <w:t xml:space="preserve">To investigate the role of carbon capture </w:t>
      </w:r>
      <w:r w:rsidR="00B03482">
        <w:rPr>
          <w:noProof/>
        </w:rPr>
        <w:t xml:space="preserve">and </w:t>
      </w:r>
      <w:r w:rsidR="002839A5">
        <w:rPr>
          <w:noProof/>
        </w:rPr>
        <w:t>understand better</w:t>
      </w:r>
      <w:r w:rsidR="00B03482">
        <w:rPr>
          <w:noProof/>
        </w:rPr>
        <w:t xml:space="preserve"> the uncertainties associated to </w:t>
      </w:r>
      <w:r w:rsidR="002839A5">
        <w:rPr>
          <w:noProof/>
        </w:rPr>
        <w:t>the</w:t>
      </w:r>
      <w:r w:rsidR="00B03482">
        <w:rPr>
          <w:noProof/>
        </w:rPr>
        <w:t xml:space="preserve"> </w:t>
      </w:r>
      <w:r w:rsidR="00B71B99">
        <w:rPr>
          <w:noProof/>
        </w:rPr>
        <w:t>d</w:t>
      </w:r>
      <w:r w:rsidR="00B03482">
        <w:rPr>
          <w:noProof/>
        </w:rPr>
        <w:t>e</w:t>
      </w:r>
      <w:r w:rsidR="008E7A12">
        <w:rPr>
          <w:noProof/>
        </w:rPr>
        <w:t>ployment</w:t>
      </w:r>
      <w:r w:rsidR="002839A5">
        <w:rPr>
          <w:noProof/>
        </w:rPr>
        <w:t xml:space="preserve"> of this technology</w:t>
      </w:r>
      <w:r w:rsidR="00B71B99">
        <w:rPr>
          <w:noProof/>
        </w:rPr>
        <w:t xml:space="preserve">, a </w:t>
      </w:r>
      <w:r w:rsidR="009A36B7">
        <w:rPr>
          <w:noProof/>
        </w:rPr>
        <w:t xml:space="preserve">cross-model </w:t>
      </w:r>
      <w:r w:rsidR="00B71B99">
        <w:rPr>
          <w:noProof/>
        </w:rPr>
        <w:t xml:space="preserve">analysis comparing </w:t>
      </w:r>
      <w:r w:rsidR="006C61E9">
        <w:rPr>
          <w:noProof/>
        </w:rPr>
        <w:t xml:space="preserve">PRIMES </w:t>
      </w:r>
      <w:r w:rsidR="00B71B99">
        <w:rPr>
          <w:noProof/>
        </w:rPr>
        <w:t xml:space="preserve">projections </w:t>
      </w:r>
      <w:r w:rsidR="006C61E9">
        <w:rPr>
          <w:noProof/>
        </w:rPr>
        <w:t xml:space="preserve">with </w:t>
      </w:r>
      <w:r w:rsidR="00904BB5">
        <w:rPr>
          <w:noProof/>
        </w:rPr>
        <w:t xml:space="preserve">the ones provided by </w:t>
      </w:r>
      <w:r w:rsidR="006C61E9">
        <w:rPr>
          <w:noProof/>
        </w:rPr>
        <w:t>POTEnCIA</w:t>
      </w:r>
      <w:r w:rsidR="00904BB5">
        <w:rPr>
          <w:noProof/>
        </w:rPr>
        <w:t xml:space="preserve">, AMADEUS-METIS, POLES and EU-TIMES (see </w:t>
      </w:r>
      <w:r w:rsidR="00EC428D">
        <w:rPr>
          <w:noProof/>
        </w:rPr>
        <w:t xml:space="preserve">Annex 6) is </w:t>
      </w:r>
      <w:r w:rsidR="00EC428D" w:rsidRPr="009369F7">
        <w:rPr>
          <w:noProof/>
        </w:rPr>
        <w:t>perf</w:t>
      </w:r>
      <w:r w:rsidR="00173B76" w:rsidRPr="009369F7">
        <w:rPr>
          <w:noProof/>
        </w:rPr>
        <w:t>ormed (</w:t>
      </w:r>
      <w:r w:rsidR="00173B76" w:rsidRPr="009369F7">
        <w:rPr>
          <w:noProof/>
        </w:rPr>
        <w:fldChar w:fldCharType="begin"/>
      </w:r>
      <w:r w:rsidR="00173B76" w:rsidRPr="00F86579">
        <w:rPr>
          <w:noProof/>
          <w:highlight w:val="yellow"/>
        </w:rPr>
        <w:instrText xml:space="preserve"> REF _Ref143253438 \h </w:instrText>
      </w:r>
      <w:r w:rsidR="00F86579">
        <w:rPr>
          <w:noProof/>
          <w:highlight w:val="yellow"/>
        </w:rPr>
        <w:instrText xml:space="preserve"> \* MERGEFORMAT </w:instrText>
      </w:r>
      <w:r w:rsidR="00173B76" w:rsidRPr="009369F7">
        <w:rPr>
          <w:noProof/>
        </w:rPr>
      </w:r>
      <w:r w:rsidR="00173B76" w:rsidRPr="009369F7">
        <w:rPr>
          <w:noProof/>
        </w:rPr>
        <w:fldChar w:fldCharType="separate"/>
      </w:r>
      <w:r w:rsidR="00170A3C" w:rsidRPr="005E74B4">
        <w:rPr>
          <w:noProof/>
        </w:rPr>
        <w:t xml:space="preserve">Figure </w:t>
      </w:r>
      <w:r w:rsidR="00170A3C">
        <w:rPr>
          <w:noProof/>
        </w:rPr>
        <w:t>7</w:t>
      </w:r>
      <w:r w:rsidR="00173B76" w:rsidRPr="009369F7">
        <w:rPr>
          <w:noProof/>
        </w:rPr>
        <w:fldChar w:fldCharType="end"/>
      </w:r>
      <w:r w:rsidR="00173B76" w:rsidRPr="009369F7">
        <w:rPr>
          <w:noProof/>
        </w:rPr>
        <w:t>).</w:t>
      </w:r>
      <w:r w:rsidR="00173B76">
        <w:rPr>
          <w:noProof/>
        </w:rPr>
        <w:t xml:space="preserve"> Results show</w:t>
      </w:r>
      <w:r w:rsidR="009A36B7">
        <w:rPr>
          <w:noProof/>
        </w:rPr>
        <w:t xml:space="preserve"> how the level of climate ambition achievable in 2040 </w:t>
      </w:r>
      <w:r w:rsidR="002839A5">
        <w:rPr>
          <w:noProof/>
        </w:rPr>
        <w:t>in the energy and industry sectors</w:t>
      </w:r>
      <w:r w:rsidR="009A36B7">
        <w:rPr>
          <w:noProof/>
        </w:rPr>
        <w:t xml:space="preserve"> strongly depends on the amount of carbon captured</w:t>
      </w:r>
      <w:r w:rsidR="00B90AEE">
        <w:rPr>
          <w:noProof/>
        </w:rPr>
        <w:t xml:space="preserve"> and, as discussed </w:t>
      </w:r>
      <w:r w:rsidR="00B90AEE" w:rsidRPr="00A438D4">
        <w:rPr>
          <w:noProof/>
        </w:rPr>
        <w:t xml:space="preserve">in section </w:t>
      </w:r>
      <w:r w:rsidR="00B90AEE" w:rsidRPr="00A438D4">
        <w:rPr>
          <w:noProof/>
        </w:rPr>
        <w:fldChar w:fldCharType="begin"/>
      </w:r>
      <w:r w:rsidR="00B90AEE" w:rsidRPr="00A438D4">
        <w:rPr>
          <w:noProof/>
        </w:rPr>
        <w:instrText xml:space="preserve"> REF _Ref142585928 \r \h </w:instrText>
      </w:r>
      <w:r w:rsidR="00F86579" w:rsidRPr="00A438D4">
        <w:rPr>
          <w:noProof/>
        </w:rPr>
        <w:instrText xml:space="preserve"> \* MERGEFORMAT </w:instrText>
      </w:r>
      <w:r w:rsidR="00B90AEE" w:rsidRPr="00A438D4">
        <w:rPr>
          <w:noProof/>
        </w:rPr>
      </w:r>
      <w:r w:rsidR="00B90AEE" w:rsidRPr="00A438D4">
        <w:rPr>
          <w:noProof/>
        </w:rPr>
        <w:fldChar w:fldCharType="separate"/>
      </w:r>
      <w:r w:rsidR="00170A3C">
        <w:rPr>
          <w:noProof/>
        </w:rPr>
        <w:t>1.1.2.3</w:t>
      </w:r>
      <w:r w:rsidR="00B90AEE" w:rsidRPr="00A438D4">
        <w:rPr>
          <w:noProof/>
        </w:rPr>
        <w:fldChar w:fldCharType="end"/>
      </w:r>
      <w:r w:rsidR="00B90AEE" w:rsidRPr="00A438D4">
        <w:rPr>
          <w:noProof/>
        </w:rPr>
        <w:t>,</w:t>
      </w:r>
      <w:r w:rsidR="00B90AEE">
        <w:rPr>
          <w:noProof/>
        </w:rPr>
        <w:t xml:space="preserve"> of carbon removals.</w:t>
      </w:r>
      <w:r w:rsidR="009A36B7">
        <w:rPr>
          <w:noProof/>
        </w:rPr>
        <w:t xml:space="preserve"> The level of </w:t>
      </w:r>
      <w:r w:rsidR="00532C46">
        <w:rPr>
          <w:noProof/>
        </w:rPr>
        <w:t>domestic</w:t>
      </w:r>
      <w:r w:rsidR="009A36B7">
        <w:rPr>
          <w:noProof/>
        </w:rPr>
        <w:t xml:space="preserve"> energy and industry CO2 emissions before capture (</w:t>
      </w:r>
      <w:r w:rsidR="008E247F">
        <w:rPr>
          <w:noProof/>
        </w:rPr>
        <w:t>i.e.,</w:t>
      </w:r>
      <w:r w:rsidR="009A36B7">
        <w:rPr>
          <w:noProof/>
        </w:rPr>
        <w:t xml:space="preserve"> gross emissions) spans </w:t>
      </w:r>
      <w:r w:rsidR="009A36B7" w:rsidRPr="00F86579">
        <w:rPr>
          <w:noProof/>
        </w:rPr>
        <w:t>from 580 to 8</w:t>
      </w:r>
      <w:r w:rsidR="00F86579" w:rsidRPr="00F86579">
        <w:rPr>
          <w:noProof/>
        </w:rPr>
        <w:t>5</w:t>
      </w:r>
      <w:r w:rsidR="009A36B7" w:rsidRPr="00F86579">
        <w:rPr>
          <w:noProof/>
        </w:rPr>
        <w:t xml:space="preserve">0 MtCO2, with most of the </w:t>
      </w:r>
      <w:r w:rsidR="003C4528" w:rsidRPr="00F86579">
        <w:rPr>
          <w:noProof/>
        </w:rPr>
        <w:t>models projecting</w:t>
      </w:r>
      <w:r w:rsidR="009A36B7" w:rsidRPr="00F86579">
        <w:rPr>
          <w:noProof/>
        </w:rPr>
        <w:t xml:space="preserve"> in the 6</w:t>
      </w:r>
      <w:r w:rsidR="00F86579" w:rsidRPr="00F86579">
        <w:rPr>
          <w:noProof/>
        </w:rPr>
        <w:t>5</w:t>
      </w:r>
      <w:r w:rsidR="009A36B7" w:rsidRPr="00F86579">
        <w:rPr>
          <w:noProof/>
        </w:rPr>
        <w:t>0-7</w:t>
      </w:r>
      <w:r w:rsidR="00F86579" w:rsidRPr="00F86579">
        <w:rPr>
          <w:noProof/>
        </w:rPr>
        <w:t>5</w:t>
      </w:r>
      <w:r w:rsidR="009A36B7" w:rsidRPr="00F86579">
        <w:rPr>
          <w:noProof/>
        </w:rPr>
        <w:t>0 MtCO2 range</w:t>
      </w:r>
      <w:r w:rsidR="00913F98" w:rsidRPr="00F86579">
        <w:rPr>
          <w:noProof/>
        </w:rPr>
        <w:t>.</w:t>
      </w:r>
      <w:r w:rsidR="009A36B7" w:rsidRPr="00F86579">
        <w:rPr>
          <w:noProof/>
        </w:rPr>
        <w:t xml:space="preserve"> </w:t>
      </w:r>
      <w:r w:rsidR="003B1BCB" w:rsidRPr="00F86579">
        <w:rPr>
          <w:noProof/>
        </w:rPr>
        <w:t>Limited</w:t>
      </w:r>
      <w:r w:rsidR="003B1BCB">
        <w:rPr>
          <w:noProof/>
        </w:rPr>
        <w:t xml:space="preserve"> differences </w:t>
      </w:r>
      <w:r w:rsidR="00C92546">
        <w:rPr>
          <w:noProof/>
        </w:rPr>
        <w:t>exist</w:t>
      </w:r>
      <w:r w:rsidR="003B1BCB">
        <w:rPr>
          <w:noProof/>
        </w:rPr>
        <w:t xml:space="preserve"> </w:t>
      </w:r>
      <w:r w:rsidR="0050056E">
        <w:rPr>
          <w:noProof/>
        </w:rPr>
        <w:t>across modelling runs</w:t>
      </w:r>
      <w:r w:rsidR="00BA0F90">
        <w:rPr>
          <w:noProof/>
        </w:rPr>
        <w:t xml:space="preserve"> (reductions </w:t>
      </w:r>
      <w:r w:rsidR="007D4069">
        <w:rPr>
          <w:noProof/>
        </w:rPr>
        <w:t>between -78% and -</w:t>
      </w:r>
      <w:r w:rsidR="001779F3">
        <w:rPr>
          <w:noProof/>
        </w:rPr>
        <w:t>8</w:t>
      </w:r>
      <w:r w:rsidR="008E7A12">
        <w:rPr>
          <w:noProof/>
        </w:rPr>
        <w:t>5</w:t>
      </w:r>
      <w:r w:rsidR="001779F3">
        <w:rPr>
          <w:noProof/>
        </w:rPr>
        <w:t>% compared to 1990</w:t>
      </w:r>
      <w:r w:rsidR="00D804F2">
        <w:rPr>
          <w:noProof/>
        </w:rPr>
        <w:t>)</w:t>
      </w:r>
      <w:r w:rsidR="00B70DC1">
        <w:rPr>
          <w:noProof/>
        </w:rPr>
        <w:t xml:space="preserve"> and </w:t>
      </w:r>
      <w:r w:rsidR="00307C1D">
        <w:rPr>
          <w:noProof/>
        </w:rPr>
        <w:t xml:space="preserve">even in scenarios with the highest uptake of </w:t>
      </w:r>
      <w:r w:rsidR="003C3FC0">
        <w:rPr>
          <w:noProof/>
        </w:rPr>
        <w:t xml:space="preserve">novel </w:t>
      </w:r>
      <w:r w:rsidR="00307C1D">
        <w:rPr>
          <w:noProof/>
        </w:rPr>
        <w:t>technolog</w:t>
      </w:r>
      <w:r w:rsidR="00D247F4">
        <w:rPr>
          <w:noProof/>
        </w:rPr>
        <w:t>ies</w:t>
      </w:r>
      <w:r w:rsidR="00307C1D">
        <w:rPr>
          <w:noProof/>
        </w:rPr>
        <w:t xml:space="preserve"> (excluding carbon capture</w:t>
      </w:r>
      <w:r w:rsidR="008E7A12">
        <w:rPr>
          <w:noProof/>
        </w:rPr>
        <w:t>)</w:t>
      </w:r>
      <w:r w:rsidR="00307C1D">
        <w:rPr>
          <w:noProof/>
        </w:rPr>
        <w:t xml:space="preserve"> the energy and industry CO2 </w:t>
      </w:r>
      <w:r w:rsidR="003C3FC0">
        <w:rPr>
          <w:noProof/>
        </w:rPr>
        <w:t>can reduce at most</w:t>
      </w:r>
      <w:r w:rsidR="00C36EB1">
        <w:rPr>
          <w:noProof/>
        </w:rPr>
        <w:t xml:space="preserve"> by </w:t>
      </w:r>
      <w:r w:rsidR="008E7A12" w:rsidRPr="00F86579">
        <w:rPr>
          <w:noProof/>
        </w:rPr>
        <w:t>around 85%,</w:t>
      </w:r>
      <w:r w:rsidR="00C6463A" w:rsidRPr="00F86579">
        <w:rPr>
          <w:noProof/>
        </w:rPr>
        <w:t xml:space="preserve"> meaning</w:t>
      </w:r>
      <w:r w:rsidR="00C6463A">
        <w:rPr>
          <w:noProof/>
        </w:rPr>
        <w:t xml:space="preserve"> that the 2040 potential for the implementation of mitigation solution</w:t>
      </w:r>
      <w:r w:rsidR="006702AF">
        <w:rPr>
          <w:noProof/>
        </w:rPr>
        <w:t>s other than c</w:t>
      </w:r>
      <w:r w:rsidR="00C6463A">
        <w:rPr>
          <w:noProof/>
        </w:rPr>
        <w:t xml:space="preserve">arbon capture </w:t>
      </w:r>
      <w:r w:rsidR="008A709C">
        <w:rPr>
          <w:noProof/>
        </w:rPr>
        <w:t xml:space="preserve">modelled in the scenarios </w:t>
      </w:r>
      <w:r w:rsidR="00C6463A">
        <w:rPr>
          <w:noProof/>
        </w:rPr>
        <w:t xml:space="preserve">is mostly </w:t>
      </w:r>
      <w:r w:rsidR="00436FB1">
        <w:rPr>
          <w:noProof/>
        </w:rPr>
        <w:t>attained</w:t>
      </w:r>
      <w:r w:rsidR="008E7A12">
        <w:rPr>
          <w:noProof/>
        </w:rPr>
        <w:t>.</w:t>
      </w:r>
      <w:r w:rsidR="008044AF">
        <w:rPr>
          <w:noProof/>
        </w:rPr>
        <w:t xml:space="preserve"> </w:t>
      </w:r>
      <w:r w:rsidR="001B1F84">
        <w:rPr>
          <w:noProof/>
        </w:rPr>
        <w:t xml:space="preserve">The picture of </w:t>
      </w:r>
      <w:r w:rsidR="00200B00">
        <w:rPr>
          <w:noProof/>
        </w:rPr>
        <w:t>emission</w:t>
      </w:r>
      <w:r w:rsidR="008E7A12">
        <w:rPr>
          <w:noProof/>
        </w:rPr>
        <w:t>s</w:t>
      </w:r>
      <w:r w:rsidR="00200B00">
        <w:rPr>
          <w:noProof/>
        </w:rPr>
        <w:t xml:space="preserve"> after capture (</w:t>
      </w:r>
      <w:r w:rsidR="008E247F">
        <w:rPr>
          <w:noProof/>
        </w:rPr>
        <w:t>i.e.,</w:t>
      </w:r>
      <w:r w:rsidR="00200B00">
        <w:rPr>
          <w:noProof/>
        </w:rPr>
        <w:t xml:space="preserve"> net emissions)</w:t>
      </w:r>
      <w:r w:rsidR="000F5F43">
        <w:rPr>
          <w:noProof/>
        </w:rPr>
        <w:t xml:space="preserve"> is different</w:t>
      </w:r>
      <w:r w:rsidR="002273D4">
        <w:rPr>
          <w:noProof/>
        </w:rPr>
        <w:t>.</w:t>
      </w:r>
      <w:r w:rsidR="000B1D20">
        <w:rPr>
          <w:noProof/>
        </w:rPr>
        <w:t xml:space="preserve"> Li</w:t>
      </w:r>
      <w:r w:rsidR="00B03E48">
        <w:rPr>
          <w:noProof/>
        </w:rPr>
        <w:t xml:space="preserve">mited carbon capture allows </w:t>
      </w:r>
      <w:r w:rsidR="00D12A09">
        <w:rPr>
          <w:noProof/>
        </w:rPr>
        <w:t xml:space="preserve">for </w:t>
      </w:r>
      <w:r w:rsidR="00D12A09" w:rsidRPr="00D12A09">
        <w:rPr>
          <w:noProof/>
          <w:lang w:val="en-IE"/>
        </w:rPr>
        <w:t xml:space="preserve">a </w:t>
      </w:r>
      <w:r w:rsidR="00D12A09">
        <w:rPr>
          <w:noProof/>
          <w:lang w:val="en-IE"/>
        </w:rPr>
        <w:t>marginal</w:t>
      </w:r>
      <w:r w:rsidR="00B03E48">
        <w:rPr>
          <w:noProof/>
        </w:rPr>
        <w:t xml:space="preserve"> </w:t>
      </w:r>
      <w:r w:rsidR="008E7A12">
        <w:rPr>
          <w:noProof/>
        </w:rPr>
        <w:t xml:space="preserve">further </w:t>
      </w:r>
      <w:r w:rsidR="00B03E48">
        <w:rPr>
          <w:noProof/>
        </w:rPr>
        <w:t xml:space="preserve">decrease </w:t>
      </w:r>
      <w:r w:rsidR="00D12A09">
        <w:rPr>
          <w:noProof/>
        </w:rPr>
        <w:t xml:space="preserve">in </w:t>
      </w:r>
      <w:r w:rsidR="00861F20">
        <w:rPr>
          <w:noProof/>
        </w:rPr>
        <w:t>emissions</w:t>
      </w:r>
      <w:r w:rsidR="007A2954">
        <w:rPr>
          <w:noProof/>
        </w:rPr>
        <w:t xml:space="preserve"> (see </w:t>
      </w:r>
      <w:r w:rsidR="007F2578">
        <w:rPr>
          <w:noProof/>
        </w:rPr>
        <w:t>S1 and POTEnCIA-S1</w:t>
      </w:r>
      <w:r w:rsidR="00654417">
        <w:rPr>
          <w:noProof/>
        </w:rPr>
        <w:t xml:space="preserve"> </w:t>
      </w:r>
      <w:r w:rsidR="004D3D9B">
        <w:rPr>
          <w:noProof/>
        </w:rPr>
        <w:t>(</w:t>
      </w:r>
      <w:r w:rsidR="00654417">
        <w:rPr>
          <w:noProof/>
        </w:rPr>
        <w:t>POT</w:t>
      </w:r>
      <w:r w:rsidR="007F2578">
        <w:rPr>
          <w:noProof/>
        </w:rPr>
        <w:t>-S1</w:t>
      </w:r>
      <w:r w:rsidR="004D3D9B">
        <w:rPr>
          <w:noProof/>
        </w:rPr>
        <w:t>)</w:t>
      </w:r>
      <w:r w:rsidR="007F2578">
        <w:rPr>
          <w:noProof/>
        </w:rPr>
        <w:t xml:space="preserve"> </w:t>
      </w:r>
      <w:r w:rsidR="007A2954">
        <w:rPr>
          <w:noProof/>
        </w:rPr>
        <w:t xml:space="preserve">on the left </w:t>
      </w:r>
      <w:r w:rsidR="007A2954" w:rsidRPr="00A438D4">
        <w:rPr>
          <w:noProof/>
        </w:rPr>
        <w:t xml:space="preserve">of </w:t>
      </w:r>
      <w:r w:rsidR="007A2954" w:rsidRPr="00A438D4">
        <w:rPr>
          <w:noProof/>
        </w:rPr>
        <w:fldChar w:fldCharType="begin"/>
      </w:r>
      <w:r w:rsidR="007A2954" w:rsidRPr="00F86579">
        <w:rPr>
          <w:noProof/>
          <w:highlight w:val="yellow"/>
        </w:rPr>
        <w:instrText xml:space="preserve"> REF _Ref143253438 \h </w:instrText>
      </w:r>
      <w:r w:rsidR="00F86579">
        <w:rPr>
          <w:noProof/>
          <w:highlight w:val="yellow"/>
        </w:rPr>
        <w:instrText xml:space="preserve"> \* MERGEFORMAT </w:instrText>
      </w:r>
      <w:r w:rsidR="007A2954" w:rsidRPr="00A438D4">
        <w:rPr>
          <w:noProof/>
        </w:rPr>
      </w:r>
      <w:r w:rsidR="007A2954" w:rsidRPr="00A438D4">
        <w:rPr>
          <w:noProof/>
        </w:rPr>
        <w:fldChar w:fldCharType="separate"/>
      </w:r>
      <w:r w:rsidR="00170A3C" w:rsidRPr="005E74B4">
        <w:rPr>
          <w:noProof/>
        </w:rPr>
        <w:t xml:space="preserve">Figure </w:t>
      </w:r>
      <w:r w:rsidR="00170A3C">
        <w:rPr>
          <w:noProof/>
        </w:rPr>
        <w:t>7</w:t>
      </w:r>
      <w:r w:rsidR="007A2954" w:rsidRPr="00A438D4">
        <w:rPr>
          <w:noProof/>
        </w:rPr>
        <w:fldChar w:fldCharType="end"/>
      </w:r>
      <w:r w:rsidR="007A2954" w:rsidRPr="00A438D4">
        <w:rPr>
          <w:noProof/>
        </w:rPr>
        <w:t>)</w:t>
      </w:r>
      <w:r w:rsidR="004B1097">
        <w:rPr>
          <w:noProof/>
        </w:rPr>
        <w:t xml:space="preserve">, while </w:t>
      </w:r>
      <w:r w:rsidR="003A7F79">
        <w:rPr>
          <w:noProof/>
        </w:rPr>
        <w:t>a more substantial deployment of the technology</w:t>
      </w:r>
      <w:r w:rsidR="00AD6607">
        <w:rPr>
          <w:noProof/>
        </w:rPr>
        <w:t xml:space="preserve"> </w:t>
      </w:r>
      <w:r w:rsidR="008A709C">
        <w:rPr>
          <w:noProof/>
        </w:rPr>
        <w:t>achieves</w:t>
      </w:r>
      <w:r w:rsidR="00AD6607">
        <w:rPr>
          <w:noProof/>
        </w:rPr>
        <w:t xml:space="preserve"> emission levels </w:t>
      </w:r>
      <w:r w:rsidR="008E7A12">
        <w:rPr>
          <w:noProof/>
        </w:rPr>
        <w:t>of</w:t>
      </w:r>
      <w:r w:rsidR="00AD6607">
        <w:rPr>
          <w:noProof/>
        </w:rPr>
        <w:t xml:space="preserve"> </w:t>
      </w:r>
      <w:r w:rsidR="00AD6607" w:rsidRPr="007A2338">
        <w:rPr>
          <w:noProof/>
        </w:rPr>
        <w:t>around 4</w:t>
      </w:r>
      <w:r w:rsidR="007A2338">
        <w:rPr>
          <w:noProof/>
        </w:rPr>
        <w:t>7</w:t>
      </w:r>
      <w:r w:rsidR="00AD6607" w:rsidRPr="007A2338">
        <w:rPr>
          <w:noProof/>
        </w:rPr>
        <w:t>0-5</w:t>
      </w:r>
      <w:r w:rsidR="003625A3">
        <w:rPr>
          <w:noProof/>
        </w:rPr>
        <w:t>2</w:t>
      </w:r>
      <w:r w:rsidR="00AD6607" w:rsidRPr="007A2338">
        <w:rPr>
          <w:noProof/>
        </w:rPr>
        <w:t xml:space="preserve">0 MtCO2 in S2, </w:t>
      </w:r>
      <w:r w:rsidR="00CA007D" w:rsidRPr="007A2338">
        <w:rPr>
          <w:noProof/>
        </w:rPr>
        <w:t>POTEnCIA-S2</w:t>
      </w:r>
      <w:r w:rsidR="00654417">
        <w:rPr>
          <w:noProof/>
        </w:rPr>
        <w:t xml:space="preserve"> (POT-S2)</w:t>
      </w:r>
      <w:r w:rsidR="001567D8" w:rsidRPr="007A2338">
        <w:rPr>
          <w:noProof/>
        </w:rPr>
        <w:t>,</w:t>
      </w:r>
      <w:r w:rsidR="00AD6607" w:rsidRPr="007A2338">
        <w:rPr>
          <w:noProof/>
        </w:rPr>
        <w:t xml:space="preserve"> </w:t>
      </w:r>
      <w:r w:rsidR="004F79A0" w:rsidRPr="007A2338">
        <w:rPr>
          <w:noProof/>
        </w:rPr>
        <w:t>AMADEUS-METIS</w:t>
      </w:r>
      <w:r w:rsidR="00654417">
        <w:rPr>
          <w:noProof/>
        </w:rPr>
        <w:t xml:space="preserve"> (AM-METIS)</w:t>
      </w:r>
      <w:r w:rsidR="0073420D" w:rsidRPr="007A2338">
        <w:rPr>
          <w:noProof/>
        </w:rPr>
        <w:t xml:space="preserve">, </w:t>
      </w:r>
      <w:r w:rsidR="00CA007D" w:rsidRPr="007A2338">
        <w:rPr>
          <w:noProof/>
        </w:rPr>
        <w:t>POLES and EU-TIMES</w:t>
      </w:r>
      <w:r w:rsidR="009E40EC" w:rsidRPr="007A2338">
        <w:rPr>
          <w:noProof/>
        </w:rPr>
        <w:t>,</w:t>
      </w:r>
      <w:r w:rsidR="00AD6607" w:rsidRPr="007A2338">
        <w:rPr>
          <w:noProof/>
        </w:rPr>
        <w:t xml:space="preserve"> and </w:t>
      </w:r>
      <w:r w:rsidR="00FF44D3">
        <w:rPr>
          <w:noProof/>
        </w:rPr>
        <w:t>down</w:t>
      </w:r>
      <w:r w:rsidR="00CA007D" w:rsidRPr="007A2338">
        <w:rPr>
          <w:noProof/>
        </w:rPr>
        <w:t xml:space="preserve"> to </w:t>
      </w:r>
      <w:r w:rsidR="00AD6607" w:rsidRPr="007A2338">
        <w:rPr>
          <w:noProof/>
        </w:rPr>
        <w:t>around</w:t>
      </w:r>
      <w:r w:rsidR="003D1017" w:rsidRPr="007A2338">
        <w:rPr>
          <w:noProof/>
        </w:rPr>
        <w:t xml:space="preserve"> </w:t>
      </w:r>
      <w:r w:rsidR="003625A3">
        <w:rPr>
          <w:noProof/>
        </w:rPr>
        <w:t>250-350</w:t>
      </w:r>
      <w:r w:rsidR="008A709C">
        <w:rPr>
          <w:noProof/>
        </w:rPr>
        <w:t> </w:t>
      </w:r>
      <w:r w:rsidR="003D1017" w:rsidRPr="005E74B4">
        <w:rPr>
          <w:noProof/>
        </w:rPr>
        <w:t>MtCO2 in S3</w:t>
      </w:r>
      <w:r w:rsidR="008C250E" w:rsidRPr="005E74B4">
        <w:rPr>
          <w:noProof/>
        </w:rPr>
        <w:t xml:space="preserve"> and POTEnCIA-S3</w:t>
      </w:r>
      <w:r w:rsidR="00654417">
        <w:rPr>
          <w:noProof/>
        </w:rPr>
        <w:t xml:space="preserve"> (POT-S3)</w:t>
      </w:r>
      <w:r w:rsidR="003D1017" w:rsidRPr="005E74B4">
        <w:rPr>
          <w:noProof/>
        </w:rPr>
        <w:t>.</w:t>
      </w:r>
      <w:r w:rsidR="008C250E" w:rsidRPr="005E74B4">
        <w:rPr>
          <w:noProof/>
        </w:rPr>
        <w:t xml:space="preserve"> </w:t>
      </w:r>
      <w:r w:rsidR="008E7A12" w:rsidRPr="005E74B4">
        <w:rPr>
          <w:noProof/>
        </w:rPr>
        <w:t>C</w:t>
      </w:r>
      <w:r w:rsidR="000F5F43" w:rsidRPr="005E74B4">
        <w:rPr>
          <w:noProof/>
        </w:rPr>
        <w:t xml:space="preserve">arbon capture allows to reach additional reductions </w:t>
      </w:r>
      <w:r w:rsidR="002A6976" w:rsidRPr="005E74B4">
        <w:rPr>
          <w:noProof/>
        </w:rPr>
        <w:t>o</w:t>
      </w:r>
      <w:r w:rsidR="000F5F43" w:rsidRPr="005E74B4">
        <w:rPr>
          <w:noProof/>
        </w:rPr>
        <w:t xml:space="preserve">f </w:t>
      </w:r>
      <w:r w:rsidR="002A6976" w:rsidRPr="005E74B4">
        <w:rPr>
          <w:noProof/>
        </w:rPr>
        <w:t xml:space="preserve">between </w:t>
      </w:r>
      <w:r w:rsidR="0098578F" w:rsidRPr="005E74B4">
        <w:rPr>
          <w:noProof/>
        </w:rPr>
        <w:t>2-</w:t>
      </w:r>
      <w:r w:rsidR="000F5F43" w:rsidRPr="005E74B4">
        <w:rPr>
          <w:noProof/>
        </w:rPr>
        <w:t>3%</w:t>
      </w:r>
      <w:r w:rsidR="0098578F" w:rsidRPr="005E74B4">
        <w:rPr>
          <w:noProof/>
        </w:rPr>
        <w:t xml:space="preserve"> (</w:t>
      </w:r>
      <w:r w:rsidR="00204B7E" w:rsidRPr="005E74B4">
        <w:rPr>
          <w:noProof/>
        </w:rPr>
        <w:t xml:space="preserve">corresponding </w:t>
      </w:r>
      <w:r w:rsidR="00204B7E" w:rsidRPr="007A2338">
        <w:rPr>
          <w:noProof/>
        </w:rPr>
        <w:t xml:space="preserve">to </w:t>
      </w:r>
      <w:r w:rsidR="009E19FB" w:rsidRPr="007A2338">
        <w:rPr>
          <w:noProof/>
        </w:rPr>
        <w:t xml:space="preserve">around </w:t>
      </w:r>
      <w:r w:rsidR="00E65A21" w:rsidRPr="007A2338">
        <w:rPr>
          <w:noProof/>
        </w:rPr>
        <w:t>80-1</w:t>
      </w:r>
      <w:r w:rsidR="007A2338" w:rsidRPr="007A2338">
        <w:rPr>
          <w:noProof/>
        </w:rPr>
        <w:t>3</w:t>
      </w:r>
      <w:r w:rsidR="00E65A21" w:rsidRPr="007A2338">
        <w:rPr>
          <w:noProof/>
        </w:rPr>
        <w:t>0</w:t>
      </w:r>
      <w:r w:rsidR="009E19FB" w:rsidRPr="007A2338">
        <w:rPr>
          <w:noProof/>
        </w:rPr>
        <w:t xml:space="preserve"> MtCO2 captured </w:t>
      </w:r>
      <w:r w:rsidR="0098578F" w:rsidRPr="007A2338">
        <w:rPr>
          <w:noProof/>
        </w:rPr>
        <w:t xml:space="preserve">in </w:t>
      </w:r>
      <w:r w:rsidR="00176EAB" w:rsidRPr="007A2338">
        <w:rPr>
          <w:noProof/>
        </w:rPr>
        <w:t xml:space="preserve">S1) </w:t>
      </w:r>
      <w:r w:rsidR="00F7547F" w:rsidRPr="007A2338">
        <w:rPr>
          <w:noProof/>
        </w:rPr>
        <w:t xml:space="preserve">and </w:t>
      </w:r>
      <w:r w:rsidR="003625A3">
        <w:rPr>
          <w:noProof/>
        </w:rPr>
        <w:t>4</w:t>
      </w:r>
      <w:r w:rsidR="000F5F43" w:rsidRPr="007A2338">
        <w:rPr>
          <w:noProof/>
        </w:rPr>
        <w:t>-</w:t>
      </w:r>
      <w:r w:rsidR="003625A3">
        <w:rPr>
          <w:noProof/>
        </w:rPr>
        <w:t>6</w:t>
      </w:r>
      <w:r w:rsidR="000F5F43" w:rsidRPr="007A2338">
        <w:rPr>
          <w:noProof/>
        </w:rPr>
        <w:t>%</w:t>
      </w:r>
      <w:r w:rsidR="0045373B" w:rsidRPr="007A2338">
        <w:rPr>
          <w:noProof/>
        </w:rPr>
        <w:t xml:space="preserve"> (</w:t>
      </w:r>
      <w:r w:rsidR="00E65A21" w:rsidRPr="007A2338">
        <w:rPr>
          <w:noProof/>
        </w:rPr>
        <w:t>corresponding to around</w:t>
      </w:r>
      <w:r w:rsidR="00A32DAA" w:rsidRPr="007A2338">
        <w:rPr>
          <w:noProof/>
        </w:rPr>
        <w:t xml:space="preserve"> </w:t>
      </w:r>
      <w:r w:rsidR="003625A3">
        <w:rPr>
          <w:noProof/>
        </w:rPr>
        <w:t>150</w:t>
      </w:r>
      <w:r w:rsidR="00A32DAA" w:rsidRPr="007A2338">
        <w:rPr>
          <w:noProof/>
        </w:rPr>
        <w:t>-</w:t>
      </w:r>
      <w:r w:rsidR="003625A3">
        <w:rPr>
          <w:noProof/>
        </w:rPr>
        <w:t>240</w:t>
      </w:r>
      <w:r w:rsidR="00A32DAA" w:rsidRPr="007A2338">
        <w:rPr>
          <w:noProof/>
        </w:rPr>
        <w:t xml:space="preserve"> MtCO2 captured </w:t>
      </w:r>
      <w:r w:rsidR="0045373B" w:rsidRPr="007A2338">
        <w:rPr>
          <w:noProof/>
        </w:rPr>
        <w:t>in S3)</w:t>
      </w:r>
      <w:r w:rsidR="008A709C">
        <w:rPr>
          <w:noProof/>
        </w:rPr>
        <w:t xml:space="preserve"> </w:t>
      </w:r>
      <w:r w:rsidR="00FF44D3">
        <w:rPr>
          <w:noProof/>
        </w:rPr>
        <w:t>of</w:t>
      </w:r>
      <w:r w:rsidR="008A709C">
        <w:rPr>
          <w:noProof/>
        </w:rPr>
        <w:t xml:space="preserve"> 1990 levels</w:t>
      </w:r>
      <w:r w:rsidR="0068151E">
        <w:rPr>
          <w:noProof/>
        </w:rPr>
        <w:t xml:space="preserve"> </w:t>
      </w:r>
      <w:r w:rsidR="009B6AE3" w:rsidRPr="007A2338">
        <w:rPr>
          <w:noProof/>
        </w:rPr>
        <w:t>and</w:t>
      </w:r>
      <w:r w:rsidR="00B83BA1" w:rsidRPr="007A2338">
        <w:rPr>
          <w:noProof/>
        </w:rPr>
        <w:t xml:space="preserve"> represent</w:t>
      </w:r>
      <w:r w:rsidR="008A709C">
        <w:rPr>
          <w:noProof/>
        </w:rPr>
        <w:t>s</w:t>
      </w:r>
      <w:r w:rsidR="00B83BA1" w:rsidRPr="005E74B4">
        <w:rPr>
          <w:noProof/>
        </w:rPr>
        <w:t xml:space="preserve"> </w:t>
      </w:r>
      <w:r w:rsidR="008A709C">
        <w:rPr>
          <w:noProof/>
        </w:rPr>
        <w:t>a</w:t>
      </w:r>
      <w:r w:rsidR="00B83BA1" w:rsidRPr="005E74B4">
        <w:rPr>
          <w:noProof/>
        </w:rPr>
        <w:t xml:space="preserve"> key mitigation solution to </w:t>
      </w:r>
      <w:r w:rsidR="000F0E61" w:rsidRPr="005E74B4">
        <w:rPr>
          <w:noProof/>
        </w:rPr>
        <w:t xml:space="preserve">reach deeper </w:t>
      </w:r>
      <w:r w:rsidR="009B6AE3" w:rsidRPr="005E74B4">
        <w:rPr>
          <w:noProof/>
        </w:rPr>
        <w:t>net GHG emission reduction</w:t>
      </w:r>
      <w:r w:rsidR="008A709C">
        <w:rPr>
          <w:noProof/>
        </w:rPr>
        <w:t>s</w:t>
      </w:r>
      <w:r w:rsidR="00B83BA1" w:rsidRPr="005E74B4">
        <w:rPr>
          <w:noProof/>
        </w:rPr>
        <w:t>.</w:t>
      </w:r>
      <w:r w:rsidR="00F7547F" w:rsidRPr="005E74B4">
        <w:rPr>
          <w:noProof/>
        </w:rPr>
        <w:t xml:space="preserve"> </w:t>
      </w:r>
      <w:r w:rsidR="008A709C">
        <w:rPr>
          <w:noProof/>
        </w:rPr>
        <w:t>T</w:t>
      </w:r>
      <w:r w:rsidR="007A2338">
        <w:rPr>
          <w:noProof/>
        </w:rPr>
        <w:t>he models show that a</w:t>
      </w:r>
      <w:r w:rsidR="00920E17">
        <w:rPr>
          <w:noProof/>
        </w:rPr>
        <w:t>bove 150</w:t>
      </w:r>
      <w:r w:rsidR="00235A32" w:rsidRPr="005E74B4">
        <w:rPr>
          <w:noProof/>
        </w:rPr>
        <w:t xml:space="preserve"> MtCO2 </w:t>
      </w:r>
      <w:r w:rsidR="000E20E7" w:rsidRPr="005E74B4">
        <w:rPr>
          <w:noProof/>
        </w:rPr>
        <w:t>(including removals)</w:t>
      </w:r>
      <w:r w:rsidR="00235A32" w:rsidRPr="005E74B4">
        <w:rPr>
          <w:noProof/>
        </w:rPr>
        <w:t xml:space="preserve"> need to be captured </w:t>
      </w:r>
      <w:r w:rsidR="008A709C">
        <w:rPr>
          <w:noProof/>
        </w:rPr>
        <w:t xml:space="preserve">in 2040 </w:t>
      </w:r>
      <w:r w:rsidR="00235A32" w:rsidRPr="005E74B4">
        <w:rPr>
          <w:noProof/>
        </w:rPr>
        <w:t>t</w:t>
      </w:r>
      <w:r w:rsidR="008530B0" w:rsidRPr="005E74B4">
        <w:rPr>
          <w:noProof/>
        </w:rPr>
        <w:t xml:space="preserve">o achieve a total reduction of energy and industry </w:t>
      </w:r>
      <w:r w:rsidR="00E32AA1" w:rsidRPr="005E74B4">
        <w:rPr>
          <w:noProof/>
        </w:rPr>
        <w:t xml:space="preserve">CO2 emissions of </w:t>
      </w:r>
      <w:r w:rsidR="007A2338">
        <w:rPr>
          <w:noProof/>
        </w:rPr>
        <w:t xml:space="preserve">at least </w:t>
      </w:r>
      <w:r w:rsidR="00E32AA1" w:rsidRPr="005E74B4">
        <w:rPr>
          <w:noProof/>
        </w:rPr>
        <w:t>88</w:t>
      </w:r>
      <w:r w:rsidR="003D1017" w:rsidRPr="005E74B4">
        <w:rPr>
          <w:noProof/>
        </w:rPr>
        <w:t>%</w:t>
      </w:r>
      <w:r w:rsidR="0073770A" w:rsidRPr="005E74B4">
        <w:rPr>
          <w:noProof/>
        </w:rPr>
        <w:t xml:space="preserve"> </w:t>
      </w:r>
      <w:r w:rsidR="003D1017" w:rsidRPr="005E74B4">
        <w:rPr>
          <w:noProof/>
        </w:rPr>
        <w:t xml:space="preserve">and </w:t>
      </w:r>
      <w:r w:rsidR="003625A3">
        <w:rPr>
          <w:noProof/>
        </w:rPr>
        <w:t>above 250</w:t>
      </w:r>
      <w:r w:rsidR="003B7653" w:rsidRPr="005E74B4">
        <w:rPr>
          <w:noProof/>
        </w:rPr>
        <w:t xml:space="preserve"> MtCO2 </w:t>
      </w:r>
      <w:r w:rsidR="00C07B67" w:rsidRPr="005E74B4">
        <w:rPr>
          <w:noProof/>
        </w:rPr>
        <w:t xml:space="preserve">to reach </w:t>
      </w:r>
      <w:r w:rsidR="007A2338">
        <w:rPr>
          <w:noProof/>
        </w:rPr>
        <w:t xml:space="preserve">above </w:t>
      </w:r>
      <w:r w:rsidR="00C07B67" w:rsidRPr="005E74B4">
        <w:rPr>
          <w:noProof/>
        </w:rPr>
        <w:t>90%</w:t>
      </w:r>
      <w:r w:rsidR="00C217EA" w:rsidRPr="005E74B4">
        <w:rPr>
          <w:noProof/>
        </w:rPr>
        <w:t>.</w:t>
      </w:r>
      <w:r w:rsidR="00C07B67" w:rsidRPr="005E74B4">
        <w:rPr>
          <w:noProof/>
        </w:rPr>
        <w:t xml:space="preserve"> </w:t>
      </w:r>
      <w:r w:rsidR="003B7653" w:rsidRPr="005E74B4">
        <w:rPr>
          <w:noProof/>
        </w:rPr>
        <w:t xml:space="preserve"> </w:t>
      </w:r>
    </w:p>
    <w:p w14:paraId="6879E6E5" w14:textId="7870E2C1" w:rsidR="009A36B7" w:rsidRPr="005E74B4" w:rsidRDefault="009A36B7" w:rsidP="009A36B7">
      <w:pPr>
        <w:pStyle w:val="Caption"/>
        <w:spacing w:after="0"/>
        <w:rPr>
          <w:noProof/>
        </w:rPr>
      </w:pPr>
      <w:bookmarkStart w:id="72" w:name="_Ref143253438"/>
      <w:bookmarkStart w:id="73" w:name="_Toc157679755"/>
      <w:r w:rsidRPr="005E74B4">
        <w:rPr>
          <w:noProof/>
        </w:rPr>
        <w:t xml:space="preserve">Figure </w:t>
      </w:r>
      <w:r>
        <w:rPr>
          <w:noProof/>
        </w:rPr>
        <w:fldChar w:fldCharType="begin"/>
      </w:r>
      <w:r>
        <w:rPr>
          <w:noProof/>
        </w:rPr>
        <w:instrText>SEQ Figure \* ARABIC</w:instrText>
      </w:r>
      <w:r>
        <w:rPr>
          <w:noProof/>
        </w:rPr>
        <w:fldChar w:fldCharType="separate"/>
      </w:r>
      <w:r w:rsidR="00170A3C">
        <w:rPr>
          <w:noProof/>
        </w:rPr>
        <w:t>7</w:t>
      </w:r>
      <w:r>
        <w:rPr>
          <w:noProof/>
        </w:rPr>
        <w:fldChar w:fldCharType="end"/>
      </w:r>
      <w:bookmarkEnd w:id="72"/>
      <w:r w:rsidRPr="005E74B4">
        <w:rPr>
          <w:noProof/>
        </w:rPr>
        <w:t>: Energy and Industry CO2 emissions in 2040</w:t>
      </w:r>
      <w:bookmarkEnd w:id="73"/>
      <w:r w:rsidR="0042212E" w:rsidRPr="005E74B4">
        <w:rPr>
          <w:noProof/>
        </w:rPr>
        <w:t xml:space="preserve"> </w:t>
      </w:r>
    </w:p>
    <w:p w14:paraId="279BC2EC" w14:textId="4EF02A67" w:rsidR="009A36B7" w:rsidRPr="005E74B4" w:rsidRDefault="00386FD2" w:rsidP="00041C24">
      <w:pPr>
        <w:keepNext/>
        <w:spacing w:after="0"/>
        <w:jc w:val="center"/>
        <w:rPr>
          <w:noProof/>
        </w:rPr>
      </w:pPr>
      <w:r w:rsidRPr="00386FD2">
        <w:rPr>
          <w:noProof/>
          <w:lang w:eastAsia="en-GB"/>
        </w:rPr>
        <w:drawing>
          <wp:inline distT="0" distB="0" distL="0" distR="0" wp14:anchorId="1E2D0C4C" wp14:editId="2C8394CC">
            <wp:extent cx="5403850" cy="2527300"/>
            <wp:effectExtent l="0" t="0" r="6350" b="635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403850" cy="2527300"/>
                    </a:xfrm>
                    <a:prstGeom prst="rect">
                      <a:avLst/>
                    </a:prstGeom>
                    <a:noFill/>
                    <a:ln>
                      <a:noFill/>
                    </a:ln>
                  </pic:spPr>
                </pic:pic>
              </a:graphicData>
            </a:graphic>
          </wp:inline>
        </w:drawing>
      </w:r>
    </w:p>
    <w:p w14:paraId="187CAB4A" w14:textId="6D26132B" w:rsidR="00FD2F94" w:rsidRPr="005E74B4" w:rsidRDefault="00FD2F94" w:rsidP="00FD2F94">
      <w:pPr>
        <w:pStyle w:val="CT-NOTE"/>
        <w:rPr>
          <w:noProof/>
        </w:rPr>
      </w:pPr>
      <w:r w:rsidRPr="00FD2F94">
        <w:rPr>
          <w:noProof/>
        </w:rPr>
        <w:t>Note: Emissions (left) and relative reductions vs 1990 (right)</w:t>
      </w:r>
      <w:r w:rsidR="00654417">
        <w:rPr>
          <w:noProof/>
        </w:rPr>
        <w:t xml:space="preserve">. </w:t>
      </w:r>
    </w:p>
    <w:p w14:paraId="1D91A882" w14:textId="77777777" w:rsidR="009A36B7" w:rsidRPr="005E74B4" w:rsidRDefault="009A36B7" w:rsidP="003B4E4B">
      <w:pPr>
        <w:pStyle w:val="CT-SOURCE"/>
        <w:spacing w:after="160"/>
        <w:rPr>
          <w:noProof/>
          <w:lang w:val="pt-PT"/>
        </w:rPr>
      </w:pPr>
      <w:r w:rsidRPr="005E74B4">
        <w:rPr>
          <w:noProof/>
          <w:lang w:val="pt-PT"/>
        </w:rPr>
        <w:t>Sources: AMADEUS-METIS, EU-TIMES, POLES, POTEnCIA, PRIMES.</w:t>
      </w:r>
    </w:p>
    <w:p w14:paraId="29E8931E" w14:textId="74D17B36" w:rsidR="007C0712" w:rsidRPr="005E74B4" w:rsidRDefault="008E7A12" w:rsidP="007C0712">
      <w:pPr>
        <w:rPr>
          <w:noProof/>
        </w:rPr>
      </w:pPr>
      <w:r w:rsidRPr="00A438D4">
        <w:rPr>
          <w:noProof/>
        </w:rPr>
        <w:fldChar w:fldCharType="begin"/>
      </w:r>
      <w:r w:rsidRPr="00A438D4">
        <w:rPr>
          <w:noProof/>
          <w:lang w:val="en-IE"/>
        </w:rPr>
        <w:instrText xml:space="preserve"> REF _Ref139629935 \h </w:instrText>
      </w:r>
      <w:r w:rsidR="00A438D4">
        <w:rPr>
          <w:noProof/>
        </w:rPr>
        <w:instrText xml:space="preserve"> \* MERGEFORMAT </w:instrText>
      </w:r>
      <w:r w:rsidRPr="00A438D4">
        <w:rPr>
          <w:noProof/>
        </w:rPr>
      </w:r>
      <w:r w:rsidRPr="00A438D4">
        <w:rPr>
          <w:noProof/>
        </w:rPr>
        <w:fldChar w:fldCharType="separate"/>
      </w:r>
      <w:r w:rsidR="00170A3C">
        <w:rPr>
          <w:noProof/>
        </w:rPr>
        <w:t>Figure 8</w:t>
      </w:r>
      <w:r w:rsidRPr="00A438D4">
        <w:rPr>
          <w:noProof/>
        </w:rPr>
        <w:fldChar w:fldCharType="end"/>
      </w:r>
      <w:r w:rsidR="00580A7C" w:rsidRPr="00F15482">
        <w:rPr>
          <w:noProof/>
          <w:lang w:val="en-IE"/>
        </w:rPr>
        <w:t xml:space="preserve"> </w:t>
      </w:r>
      <w:r w:rsidR="002C7F6D" w:rsidRPr="00A438D4">
        <w:rPr>
          <w:noProof/>
        </w:rPr>
        <w:t>shows the</w:t>
      </w:r>
      <w:r w:rsidR="002C7F6D" w:rsidRPr="005E74B4">
        <w:rPr>
          <w:noProof/>
        </w:rPr>
        <w:t xml:space="preserve"> evolution of </w:t>
      </w:r>
      <w:r w:rsidR="00CC6018" w:rsidRPr="005E74B4">
        <w:rPr>
          <w:noProof/>
        </w:rPr>
        <w:t xml:space="preserve">the </w:t>
      </w:r>
      <w:r w:rsidR="00BC2A23" w:rsidRPr="005E74B4">
        <w:rPr>
          <w:noProof/>
        </w:rPr>
        <w:t xml:space="preserve">carbon </w:t>
      </w:r>
      <w:r w:rsidR="00BC2A23" w:rsidRPr="007A2338">
        <w:rPr>
          <w:noProof/>
        </w:rPr>
        <w:t>capture</w:t>
      </w:r>
      <w:r w:rsidRPr="007A2338">
        <w:rPr>
          <w:noProof/>
        </w:rPr>
        <w:t>d</w:t>
      </w:r>
      <w:r w:rsidR="00BC2A23" w:rsidRPr="007A2338">
        <w:rPr>
          <w:noProof/>
        </w:rPr>
        <w:t xml:space="preserve"> yearly</w:t>
      </w:r>
      <w:r w:rsidRPr="007A2338">
        <w:rPr>
          <w:noProof/>
        </w:rPr>
        <w:t xml:space="preserve"> (left)</w:t>
      </w:r>
      <w:r w:rsidR="00BC2A23" w:rsidRPr="007A2338">
        <w:rPr>
          <w:noProof/>
        </w:rPr>
        <w:t xml:space="preserve">, and corresponding additional </w:t>
      </w:r>
      <w:r w:rsidR="00AF5965" w:rsidRPr="007A2338">
        <w:rPr>
          <w:noProof/>
        </w:rPr>
        <w:t xml:space="preserve">carbon captured </w:t>
      </w:r>
      <w:r w:rsidR="00524F2F" w:rsidRPr="007A2338">
        <w:rPr>
          <w:noProof/>
        </w:rPr>
        <w:t>at the end of each decade</w:t>
      </w:r>
      <w:r w:rsidR="00BC2A23" w:rsidRPr="007A2338">
        <w:rPr>
          <w:noProof/>
        </w:rPr>
        <w:t xml:space="preserve"> until 2050</w:t>
      </w:r>
      <w:r w:rsidRPr="007A2338">
        <w:rPr>
          <w:noProof/>
        </w:rPr>
        <w:t xml:space="preserve"> (right)</w:t>
      </w:r>
      <w:r w:rsidR="0068151E">
        <w:rPr>
          <w:noProof/>
        </w:rPr>
        <w:t xml:space="preserve"> projected by PRIMES</w:t>
      </w:r>
      <w:r w:rsidR="00CC6018" w:rsidRPr="007A2338">
        <w:rPr>
          <w:noProof/>
        </w:rPr>
        <w:t xml:space="preserve">. A </w:t>
      </w:r>
      <w:r w:rsidR="0068151E">
        <w:rPr>
          <w:noProof/>
        </w:rPr>
        <w:t xml:space="preserve">yearly </w:t>
      </w:r>
      <w:r w:rsidR="00CC6018" w:rsidRPr="007A2338">
        <w:rPr>
          <w:noProof/>
        </w:rPr>
        <w:t xml:space="preserve">capture level of around </w:t>
      </w:r>
      <w:r w:rsidR="001B3E0E">
        <w:rPr>
          <w:noProof/>
        </w:rPr>
        <w:t>50</w:t>
      </w:r>
      <w:r w:rsidR="0068151E">
        <w:rPr>
          <w:noProof/>
        </w:rPr>
        <w:t> </w:t>
      </w:r>
      <w:r w:rsidR="003302E6" w:rsidRPr="007A2338">
        <w:rPr>
          <w:noProof/>
        </w:rPr>
        <w:t xml:space="preserve">MtCO2 </w:t>
      </w:r>
      <w:r w:rsidR="00843F6F" w:rsidRPr="007A2338">
        <w:rPr>
          <w:noProof/>
        </w:rPr>
        <w:t>is</w:t>
      </w:r>
      <w:r w:rsidR="003302E6" w:rsidRPr="007A2338">
        <w:rPr>
          <w:noProof/>
        </w:rPr>
        <w:t xml:space="preserve"> </w:t>
      </w:r>
      <w:r w:rsidR="00383BF9" w:rsidRPr="007A2338">
        <w:rPr>
          <w:noProof/>
        </w:rPr>
        <w:t>projected</w:t>
      </w:r>
      <w:r w:rsidR="00041FE4" w:rsidRPr="007A2338">
        <w:rPr>
          <w:noProof/>
        </w:rPr>
        <w:t xml:space="preserve"> </w:t>
      </w:r>
      <w:r w:rsidR="00CC6018" w:rsidRPr="007A2338">
        <w:rPr>
          <w:noProof/>
        </w:rPr>
        <w:t>in 2030</w:t>
      </w:r>
      <w:r w:rsidR="005012C1" w:rsidRPr="007A2338">
        <w:rPr>
          <w:noProof/>
        </w:rPr>
        <w:t xml:space="preserve"> across </w:t>
      </w:r>
      <w:r w:rsidR="0068151E">
        <w:rPr>
          <w:noProof/>
        </w:rPr>
        <w:t xml:space="preserve">all </w:t>
      </w:r>
      <w:r w:rsidR="005012C1" w:rsidRPr="007A2338">
        <w:rPr>
          <w:noProof/>
        </w:rPr>
        <w:t>scenarios</w:t>
      </w:r>
      <w:r w:rsidR="00CC6018" w:rsidRPr="007A2338">
        <w:rPr>
          <w:noProof/>
        </w:rPr>
        <w:t>,</w:t>
      </w:r>
      <w:r w:rsidR="003B56BB" w:rsidRPr="007A2338">
        <w:rPr>
          <w:noProof/>
        </w:rPr>
        <w:t xml:space="preserve"> </w:t>
      </w:r>
      <w:r w:rsidR="001B3E0E">
        <w:rPr>
          <w:noProof/>
        </w:rPr>
        <w:t>in line with the Net Zero Industry Act</w:t>
      </w:r>
      <w:r w:rsidR="001B3E0E" w:rsidRPr="001B3E0E">
        <w:rPr>
          <w:noProof/>
        </w:rPr>
        <w:t> (</w:t>
      </w:r>
      <w:r w:rsidR="001B3E0E">
        <w:rPr>
          <w:rStyle w:val="FootnoteReference"/>
          <w:noProof/>
        </w:rPr>
        <w:footnoteReference w:id="39"/>
      </w:r>
      <w:r w:rsidR="001B3E0E">
        <w:rPr>
          <w:noProof/>
        </w:rPr>
        <w:t>)</w:t>
      </w:r>
      <w:r w:rsidR="00CC6018" w:rsidRPr="007A2338">
        <w:rPr>
          <w:noProof/>
        </w:rPr>
        <w:t>,</w:t>
      </w:r>
      <w:r w:rsidR="003B56BB" w:rsidRPr="007A2338">
        <w:rPr>
          <w:noProof/>
        </w:rPr>
        <w:t xml:space="preserve"> </w:t>
      </w:r>
      <w:r w:rsidR="0068151E">
        <w:rPr>
          <w:noProof/>
        </w:rPr>
        <w:t xml:space="preserve">which then </w:t>
      </w:r>
      <w:r w:rsidR="00900AD4" w:rsidRPr="007A2338">
        <w:rPr>
          <w:noProof/>
        </w:rPr>
        <w:t>increase</w:t>
      </w:r>
      <w:r w:rsidR="001B3E0E">
        <w:rPr>
          <w:noProof/>
        </w:rPr>
        <w:t>s</w:t>
      </w:r>
      <w:r w:rsidR="00900AD4" w:rsidRPr="007A2338">
        <w:rPr>
          <w:noProof/>
        </w:rPr>
        <w:t xml:space="preserve"> </w:t>
      </w:r>
      <w:r w:rsidR="0068151E" w:rsidRPr="007A2338">
        <w:rPr>
          <w:noProof/>
        </w:rPr>
        <w:t>in 2040</w:t>
      </w:r>
      <w:r w:rsidR="0068151E">
        <w:rPr>
          <w:noProof/>
        </w:rPr>
        <w:t xml:space="preserve"> </w:t>
      </w:r>
      <w:r w:rsidR="003B56BB" w:rsidRPr="007A2338">
        <w:rPr>
          <w:noProof/>
        </w:rPr>
        <w:t xml:space="preserve">to </w:t>
      </w:r>
      <w:r w:rsidR="007A2338" w:rsidRPr="007A2338">
        <w:rPr>
          <w:noProof/>
        </w:rPr>
        <w:t xml:space="preserve">around 90 MtCO2 in S1, </w:t>
      </w:r>
      <w:r w:rsidR="003B56BB" w:rsidRPr="007A2338">
        <w:rPr>
          <w:noProof/>
        </w:rPr>
        <w:t xml:space="preserve">above 200 MtCO2 in S2 and </w:t>
      </w:r>
      <w:r w:rsidR="001B3E0E">
        <w:rPr>
          <w:noProof/>
        </w:rPr>
        <w:t>to</w:t>
      </w:r>
      <w:r w:rsidR="003B56BB" w:rsidRPr="007A2338">
        <w:rPr>
          <w:noProof/>
        </w:rPr>
        <w:t xml:space="preserve"> 350 MtCO2 in S3</w:t>
      </w:r>
      <w:r w:rsidR="005012C1" w:rsidRPr="007A2338">
        <w:rPr>
          <w:noProof/>
        </w:rPr>
        <w:t xml:space="preserve"> and converge</w:t>
      </w:r>
      <w:r w:rsidR="001B3E0E">
        <w:rPr>
          <w:noProof/>
        </w:rPr>
        <w:t>s</w:t>
      </w:r>
      <w:r w:rsidR="005012C1" w:rsidRPr="007A2338">
        <w:rPr>
          <w:noProof/>
        </w:rPr>
        <w:t xml:space="preserve"> </w:t>
      </w:r>
      <w:r w:rsidR="0068151E" w:rsidRPr="007A2338">
        <w:rPr>
          <w:noProof/>
        </w:rPr>
        <w:t>in 2050</w:t>
      </w:r>
      <w:r w:rsidR="0068151E">
        <w:rPr>
          <w:noProof/>
        </w:rPr>
        <w:t xml:space="preserve"> </w:t>
      </w:r>
      <w:r w:rsidR="005012C1" w:rsidRPr="007A2338">
        <w:rPr>
          <w:noProof/>
        </w:rPr>
        <w:t xml:space="preserve">to around </w:t>
      </w:r>
      <w:r w:rsidR="00AE1D21" w:rsidRPr="007A2338">
        <w:rPr>
          <w:noProof/>
        </w:rPr>
        <w:t>4</w:t>
      </w:r>
      <w:r w:rsidR="001B3E0E">
        <w:rPr>
          <w:noProof/>
        </w:rPr>
        <w:t>5</w:t>
      </w:r>
      <w:r w:rsidR="00AE1D21" w:rsidRPr="007A2338">
        <w:rPr>
          <w:noProof/>
        </w:rPr>
        <w:t xml:space="preserve">0 MtCO2 </w:t>
      </w:r>
      <w:r w:rsidR="0068151E">
        <w:rPr>
          <w:noProof/>
        </w:rPr>
        <w:t>in S1, S2 and S3.</w:t>
      </w:r>
      <w:r w:rsidR="00497F5F" w:rsidRPr="007A2338">
        <w:rPr>
          <w:noProof/>
        </w:rPr>
        <w:t xml:space="preserve"> </w:t>
      </w:r>
      <w:r w:rsidR="00C459D4">
        <w:rPr>
          <w:noProof/>
        </w:rPr>
        <w:t>LIFE</w:t>
      </w:r>
      <w:r w:rsidR="00BF1E0E" w:rsidRPr="007A2338">
        <w:rPr>
          <w:noProof/>
        </w:rPr>
        <w:t xml:space="preserve"> </w:t>
      </w:r>
      <w:r w:rsidRPr="007A2338">
        <w:rPr>
          <w:noProof/>
        </w:rPr>
        <w:t>projects</w:t>
      </w:r>
      <w:r w:rsidR="00BF1E0E" w:rsidRPr="007A2338">
        <w:rPr>
          <w:noProof/>
        </w:rPr>
        <w:t xml:space="preserve"> a </w:t>
      </w:r>
      <w:r w:rsidR="001B3E0E">
        <w:rPr>
          <w:noProof/>
        </w:rPr>
        <w:t xml:space="preserve">level of carbon capture intermediate between S2 and S3 in 2040, and </w:t>
      </w:r>
      <w:r w:rsidR="000478CA" w:rsidRPr="007A2338">
        <w:rPr>
          <w:noProof/>
        </w:rPr>
        <w:t xml:space="preserve">more </w:t>
      </w:r>
      <w:r w:rsidR="00BF1E0E" w:rsidRPr="007A2338">
        <w:rPr>
          <w:noProof/>
        </w:rPr>
        <w:t xml:space="preserve">moderate </w:t>
      </w:r>
      <w:r w:rsidR="001B3E0E">
        <w:rPr>
          <w:noProof/>
        </w:rPr>
        <w:t xml:space="preserve">in 2050., showing that </w:t>
      </w:r>
      <w:r w:rsidRPr="007A2338">
        <w:rPr>
          <w:noProof/>
        </w:rPr>
        <w:t xml:space="preserve">sustainable lifestyle </w:t>
      </w:r>
      <w:r w:rsidR="001B3E0E">
        <w:rPr>
          <w:noProof/>
        </w:rPr>
        <w:t>and circular economy actions leads t</w:t>
      </w:r>
      <w:r w:rsidR="000478CA" w:rsidRPr="007A2338">
        <w:rPr>
          <w:noProof/>
        </w:rPr>
        <w:t xml:space="preserve">o </w:t>
      </w:r>
      <w:r w:rsidRPr="007A2338">
        <w:rPr>
          <w:noProof/>
        </w:rPr>
        <w:t xml:space="preserve">a more extensive use of </w:t>
      </w:r>
      <w:r w:rsidR="001B3E0E">
        <w:rPr>
          <w:noProof/>
        </w:rPr>
        <w:t xml:space="preserve">nature-based </w:t>
      </w:r>
      <w:r w:rsidRPr="007A2338">
        <w:rPr>
          <w:noProof/>
        </w:rPr>
        <w:t>removals and</w:t>
      </w:r>
      <w:r w:rsidR="000478CA" w:rsidRPr="007A2338">
        <w:rPr>
          <w:noProof/>
        </w:rPr>
        <w:t xml:space="preserve"> lower the need for carbon capture in </w:t>
      </w:r>
      <w:r w:rsidR="00EA34AF" w:rsidRPr="007A2338">
        <w:rPr>
          <w:noProof/>
        </w:rPr>
        <w:t xml:space="preserve">industry </w:t>
      </w:r>
      <w:r w:rsidR="000478CA" w:rsidRPr="00A438D4">
        <w:rPr>
          <w:noProof/>
        </w:rPr>
        <w:t xml:space="preserve">(see </w:t>
      </w:r>
      <w:r w:rsidR="00E146FC">
        <w:rPr>
          <w:noProof/>
        </w:rPr>
        <w:fldChar w:fldCharType="begin"/>
      </w:r>
      <w:r w:rsidR="00E146FC">
        <w:rPr>
          <w:noProof/>
        </w:rPr>
        <w:instrText xml:space="preserve"> REF _Ref147836851 \r \h </w:instrText>
      </w:r>
      <w:r w:rsidR="00E146FC">
        <w:rPr>
          <w:noProof/>
        </w:rPr>
      </w:r>
      <w:r w:rsidR="00E146FC">
        <w:rPr>
          <w:noProof/>
        </w:rPr>
        <w:fldChar w:fldCharType="separate"/>
      </w:r>
      <w:r w:rsidR="00170A3C">
        <w:rPr>
          <w:noProof/>
        </w:rPr>
        <w:t>1.4</w:t>
      </w:r>
      <w:r w:rsidR="00E146FC">
        <w:rPr>
          <w:noProof/>
        </w:rPr>
        <w:fldChar w:fldCharType="end"/>
      </w:r>
      <w:r w:rsidRPr="00A438D4">
        <w:rPr>
          <w:noProof/>
          <w:shd w:val="clear" w:color="auto" w:fill="E6E6E6"/>
        </w:rPr>
        <w:t xml:space="preserve"> and </w:t>
      </w:r>
      <w:r w:rsidRPr="00A438D4">
        <w:rPr>
          <w:noProof/>
          <w:shd w:val="clear" w:color="auto" w:fill="E6E6E6"/>
        </w:rPr>
        <w:fldChar w:fldCharType="begin"/>
      </w:r>
      <w:r w:rsidRPr="00A438D4">
        <w:rPr>
          <w:noProof/>
          <w:shd w:val="clear" w:color="auto" w:fill="E6E6E6"/>
        </w:rPr>
        <w:instrText xml:space="preserve"> REF _Ref143115751 \n \h </w:instrText>
      </w:r>
      <w:r w:rsidR="007A2338" w:rsidRPr="00A438D4">
        <w:rPr>
          <w:noProof/>
          <w:shd w:val="clear" w:color="auto" w:fill="E6E6E6"/>
        </w:rPr>
        <w:instrText xml:space="preserve"> \* MERGEFORMAT </w:instrText>
      </w:r>
      <w:r w:rsidRPr="00A438D4">
        <w:rPr>
          <w:noProof/>
          <w:shd w:val="clear" w:color="auto" w:fill="E6E6E6"/>
        </w:rPr>
      </w:r>
      <w:r w:rsidRPr="00A438D4">
        <w:rPr>
          <w:noProof/>
          <w:shd w:val="clear" w:color="auto" w:fill="E6E6E6"/>
        </w:rPr>
        <w:fldChar w:fldCharType="separate"/>
      </w:r>
      <w:r w:rsidR="00170A3C">
        <w:rPr>
          <w:noProof/>
          <w:shd w:val="clear" w:color="auto" w:fill="E6E6E6"/>
        </w:rPr>
        <w:t>1.8</w:t>
      </w:r>
      <w:r w:rsidRPr="00A438D4">
        <w:rPr>
          <w:noProof/>
          <w:shd w:val="clear" w:color="auto" w:fill="E6E6E6"/>
        </w:rPr>
        <w:fldChar w:fldCharType="end"/>
      </w:r>
      <w:r w:rsidR="000478CA" w:rsidRPr="00A438D4">
        <w:rPr>
          <w:noProof/>
        </w:rPr>
        <w:t>).</w:t>
      </w:r>
    </w:p>
    <w:p w14:paraId="6FB153C8" w14:textId="3C68AECA" w:rsidR="00930563" w:rsidRDefault="00421475" w:rsidP="00F54C3A">
      <w:pPr>
        <w:pStyle w:val="Caption"/>
        <w:spacing w:after="0"/>
        <w:rPr>
          <w:noProof/>
        </w:rPr>
      </w:pPr>
      <w:bookmarkStart w:id="74" w:name="_Ref139629935"/>
      <w:bookmarkStart w:id="75" w:name="_Toc157679756"/>
      <w:bookmarkStart w:id="76" w:name="_Ref140674116"/>
      <w:r>
        <w:rPr>
          <w:noProof/>
        </w:rPr>
        <w:t xml:space="preserve">Figure </w:t>
      </w:r>
      <w:r>
        <w:rPr>
          <w:noProof/>
        </w:rPr>
        <w:fldChar w:fldCharType="begin"/>
      </w:r>
      <w:r>
        <w:rPr>
          <w:noProof/>
        </w:rPr>
        <w:instrText>SEQ Figure \* ARABIC</w:instrText>
      </w:r>
      <w:r>
        <w:rPr>
          <w:noProof/>
        </w:rPr>
        <w:fldChar w:fldCharType="separate"/>
      </w:r>
      <w:r w:rsidR="00170A3C">
        <w:rPr>
          <w:noProof/>
        </w:rPr>
        <w:t>8</w:t>
      </w:r>
      <w:r>
        <w:rPr>
          <w:noProof/>
        </w:rPr>
        <w:fldChar w:fldCharType="end"/>
      </w:r>
      <w:bookmarkEnd w:id="74"/>
      <w:r w:rsidR="00D04F23">
        <w:rPr>
          <w:noProof/>
        </w:rPr>
        <w:t xml:space="preserve">: </w:t>
      </w:r>
      <w:r w:rsidR="00A55865">
        <w:rPr>
          <w:noProof/>
        </w:rPr>
        <w:t xml:space="preserve">Total </w:t>
      </w:r>
      <w:r w:rsidR="009C2447">
        <w:rPr>
          <w:noProof/>
        </w:rPr>
        <w:t>(left) and additional</w:t>
      </w:r>
      <w:r w:rsidR="007E1B88">
        <w:rPr>
          <w:noProof/>
        </w:rPr>
        <w:t xml:space="preserve"> (right)</w:t>
      </w:r>
      <w:r w:rsidR="009C2447">
        <w:rPr>
          <w:noProof/>
        </w:rPr>
        <w:t xml:space="preserve"> </w:t>
      </w:r>
      <w:r w:rsidR="00A55865">
        <w:rPr>
          <w:noProof/>
        </w:rPr>
        <w:t>carbon capture</w:t>
      </w:r>
      <w:r w:rsidR="004E4A19">
        <w:rPr>
          <w:noProof/>
        </w:rPr>
        <w:t>d</w:t>
      </w:r>
      <w:r w:rsidR="00A55865">
        <w:rPr>
          <w:noProof/>
        </w:rPr>
        <w:t xml:space="preserve"> </w:t>
      </w:r>
      <w:r w:rsidR="009C2447">
        <w:rPr>
          <w:noProof/>
        </w:rPr>
        <w:t>yearly</w:t>
      </w:r>
      <w:r w:rsidR="004E4A19">
        <w:rPr>
          <w:noProof/>
        </w:rPr>
        <w:t xml:space="preserve"> </w:t>
      </w:r>
      <w:r w:rsidR="00FF44D3">
        <w:rPr>
          <w:noProof/>
        </w:rPr>
        <w:t>in selected years</w:t>
      </w:r>
      <w:bookmarkEnd w:id="75"/>
    </w:p>
    <w:p w14:paraId="037ED83F" w14:textId="442D5296" w:rsidR="00D04F23" w:rsidRPr="008B48CF" w:rsidRDefault="00920E17" w:rsidP="00F54C3A">
      <w:pPr>
        <w:keepNext/>
        <w:rPr>
          <w:noProof/>
        </w:rPr>
      </w:pPr>
      <w:r>
        <w:rPr>
          <w:noProof/>
        </w:rPr>
        <w:br/>
      </w:r>
      <w:r w:rsidR="000610BC" w:rsidRPr="000610BC">
        <w:rPr>
          <w:noProof/>
          <w:lang w:eastAsia="en-GB"/>
        </w:rPr>
        <w:drawing>
          <wp:inline distT="0" distB="0" distL="0" distR="0" wp14:anchorId="3F900AD4" wp14:editId="6E50A293">
            <wp:extent cx="5472430" cy="217424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472430" cy="2174240"/>
                    </a:xfrm>
                    <a:prstGeom prst="rect">
                      <a:avLst/>
                    </a:prstGeom>
                    <a:noFill/>
                    <a:ln>
                      <a:noFill/>
                    </a:ln>
                  </pic:spPr>
                </pic:pic>
              </a:graphicData>
            </a:graphic>
          </wp:inline>
        </w:drawing>
      </w:r>
    </w:p>
    <w:p w14:paraId="54CCB166" w14:textId="3CA7523E" w:rsidR="00563C2E" w:rsidRPr="005E74B4" w:rsidRDefault="00D04F23" w:rsidP="00F54C3A">
      <w:pPr>
        <w:keepNext/>
        <w:jc w:val="right"/>
        <w:rPr>
          <w:rStyle w:val="CT-SOURCEChar"/>
          <w:noProof/>
        </w:rPr>
      </w:pPr>
      <w:r w:rsidRPr="008B48CF">
        <w:rPr>
          <w:noProof/>
        </w:rPr>
        <w:t xml:space="preserve"> </w:t>
      </w:r>
      <w:r w:rsidR="00563C2E" w:rsidRPr="005E74B4">
        <w:rPr>
          <w:rStyle w:val="CT-SOURCEChar"/>
          <w:noProof/>
        </w:rPr>
        <w:t>Source: PRIMES</w:t>
      </w:r>
      <w:r w:rsidR="005E74B4">
        <w:rPr>
          <w:rStyle w:val="CT-SOURCEChar"/>
          <w:noProof/>
        </w:rPr>
        <w:t>.</w:t>
      </w:r>
    </w:p>
    <w:p w14:paraId="5F15E77D" w14:textId="555645E9" w:rsidR="00952EFE" w:rsidRDefault="00952EFE" w:rsidP="00CF096B">
      <w:pPr>
        <w:keepNext/>
        <w:rPr>
          <w:noProof/>
        </w:rPr>
      </w:pPr>
      <w:r>
        <w:rPr>
          <w:noProof/>
        </w:rPr>
        <w:t xml:space="preserve">The </w:t>
      </w:r>
      <w:r w:rsidR="00DE0949">
        <w:rPr>
          <w:noProof/>
        </w:rPr>
        <w:t xml:space="preserve">projections for </w:t>
      </w:r>
      <w:r w:rsidR="008E7A12">
        <w:rPr>
          <w:noProof/>
        </w:rPr>
        <w:t>carbon capture</w:t>
      </w:r>
      <w:r>
        <w:rPr>
          <w:noProof/>
        </w:rPr>
        <w:t xml:space="preserve"> are in line with ranges found in the literature</w:t>
      </w:r>
      <w:r w:rsidR="001222CD">
        <w:rPr>
          <w:noProof/>
        </w:rPr>
        <w:t>:</w:t>
      </w:r>
      <w:r>
        <w:rPr>
          <w:noProof/>
        </w:rPr>
        <w:t xml:space="preserve"> </w:t>
      </w:r>
      <w:r w:rsidR="00D76308">
        <w:rPr>
          <w:noProof/>
        </w:rPr>
        <w:t>in 2040</w:t>
      </w:r>
      <w:r w:rsidR="007A2338">
        <w:rPr>
          <w:noProof/>
        </w:rPr>
        <w:t>,</w:t>
      </w:r>
      <w:r w:rsidR="00D76308">
        <w:rPr>
          <w:noProof/>
        </w:rPr>
        <w:t xml:space="preserve"> </w:t>
      </w:r>
      <w:r>
        <w:rPr>
          <w:noProof/>
        </w:rPr>
        <w:t xml:space="preserve">the ENGAGE project depicts a </w:t>
      </w:r>
      <w:r w:rsidR="00EF460C">
        <w:rPr>
          <w:noProof/>
        </w:rPr>
        <w:t xml:space="preserve">yearly </w:t>
      </w:r>
      <w:r w:rsidR="008B0A65">
        <w:rPr>
          <w:noProof/>
        </w:rPr>
        <w:t>amount of carbon captured</w:t>
      </w:r>
      <w:r>
        <w:rPr>
          <w:noProof/>
        </w:rPr>
        <w:t xml:space="preserve"> around 300 MtCO2</w:t>
      </w:r>
      <w:r w:rsidRPr="005C0466">
        <w:rPr>
          <w:noProof/>
        </w:rPr>
        <w:t> (</w:t>
      </w:r>
      <w:r>
        <w:rPr>
          <w:rStyle w:val="FootnoteReference"/>
          <w:noProof/>
        </w:rPr>
        <w:footnoteReference w:id="40"/>
      </w:r>
      <w:r>
        <w:rPr>
          <w:noProof/>
        </w:rPr>
        <w:t>), the ECEMF (</w:t>
      </w:r>
      <w:r>
        <w:rPr>
          <w:rStyle w:val="FootnoteReference"/>
          <w:noProof/>
        </w:rPr>
        <w:footnoteReference w:id="41"/>
      </w:r>
      <w:r>
        <w:rPr>
          <w:noProof/>
        </w:rPr>
        <w:t>) provides a r</w:t>
      </w:r>
      <w:r w:rsidRPr="002E5C51">
        <w:rPr>
          <w:noProof/>
        </w:rPr>
        <w:t xml:space="preserve">ange </w:t>
      </w:r>
      <w:r w:rsidR="0068151E">
        <w:rPr>
          <w:noProof/>
        </w:rPr>
        <w:t>of</w:t>
      </w:r>
      <w:r w:rsidRPr="002E5C51">
        <w:rPr>
          <w:noProof/>
        </w:rPr>
        <w:t xml:space="preserve"> 215-376 MtCO2</w:t>
      </w:r>
      <w:r>
        <w:rPr>
          <w:noProof/>
        </w:rPr>
        <w:t xml:space="preserve">, </w:t>
      </w:r>
      <w:r w:rsidRPr="002C5911">
        <w:rPr>
          <w:noProof/>
        </w:rPr>
        <w:t xml:space="preserve">Rodrigues at al. </w:t>
      </w:r>
      <w:r>
        <w:rPr>
          <w:noProof/>
        </w:rPr>
        <w:t>(</w:t>
      </w:r>
      <w:r>
        <w:rPr>
          <w:rStyle w:val="FootnoteReference"/>
          <w:noProof/>
        </w:rPr>
        <w:footnoteReference w:id="42"/>
      </w:r>
      <w:r>
        <w:rPr>
          <w:noProof/>
        </w:rPr>
        <w:t xml:space="preserve">) describe a range of </w:t>
      </w:r>
      <w:r w:rsidRPr="002E5C51">
        <w:rPr>
          <w:noProof/>
        </w:rPr>
        <w:t>120</w:t>
      </w:r>
      <w:r>
        <w:rPr>
          <w:noProof/>
        </w:rPr>
        <w:t>-</w:t>
      </w:r>
      <w:r w:rsidRPr="002E5C51">
        <w:rPr>
          <w:noProof/>
        </w:rPr>
        <w:t>330 MtCO2</w:t>
      </w:r>
      <w:r>
        <w:rPr>
          <w:noProof/>
        </w:rPr>
        <w:t xml:space="preserve"> </w:t>
      </w:r>
      <w:r w:rsidR="00556FAE">
        <w:rPr>
          <w:noProof/>
        </w:rPr>
        <w:t>and Ecologic indicate</w:t>
      </w:r>
      <w:r w:rsidR="0023623B">
        <w:rPr>
          <w:noProof/>
        </w:rPr>
        <w:t>s</w:t>
      </w:r>
      <w:r w:rsidR="00556FAE">
        <w:rPr>
          <w:noProof/>
        </w:rPr>
        <w:t xml:space="preserve"> a range between 46 and 160 MtCO2 (with a stronger reliance on land-based removals) </w:t>
      </w:r>
      <w:r w:rsidR="00556FAE" w:rsidRPr="00556FAE">
        <w:rPr>
          <w:noProof/>
        </w:rPr>
        <w:t>(</w:t>
      </w:r>
      <w:r w:rsidR="00556FAE">
        <w:rPr>
          <w:rStyle w:val="FootnoteReference"/>
          <w:noProof/>
        </w:rPr>
        <w:footnoteReference w:id="43"/>
      </w:r>
      <w:r w:rsidR="00556FAE">
        <w:rPr>
          <w:noProof/>
        </w:rPr>
        <w:t>).</w:t>
      </w:r>
      <w:r>
        <w:rPr>
          <w:noProof/>
        </w:rPr>
        <w:t xml:space="preserve"> </w:t>
      </w:r>
      <w:r w:rsidR="00C06B4B">
        <w:rPr>
          <w:noProof/>
        </w:rPr>
        <w:t>For 2050, ESABCC (</w:t>
      </w:r>
      <w:r w:rsidR="00C06B4B">
        <w:rPr>
          <w:rStyle w:val="FootnoteReference"/>
          <w:noProof/>
        </w:rPr>
        <w:footnoteReference w:id="44"/>
      </w:r>
      <w:r w:rsidR="00C06B4B">
        <w:rPr>
          <w:rFonts w:cs="Times New Roman"/>
          <w:noProof/>
        </w:rPr>
        <w:t xml:space="preserve">) and other literature </w:t>
      </w:r>
      <w:r w:rsidR="00C06B4B" w:rsidRPr="009E5052">
        <w:rPr>
          <w:rFonts w:cs="Times New Roman"/>
          <w:noProof/>
        </w:rPr>
        <w:t>(</w:t>
      </w:r>
      <w:r w:rsidR="00C06B4B">
        <w:rPr>
          <w:rStyle w:val="FootnoteReference"/>
          <w:rFonts w:cs="Times New Roman"/>
          <w:noProof/>
        </w:rPr>
        <w:footnoteReference w:id="45"/>
      </w:r>
      <w:r w:rsidR="00C06B4B">
        <w:rPr>
          <w:rFonts w:cs="Times New Roman"/>
          <w:noProof/>
        </w:rPr>
        <w:t>)</w:t>
      </w:r>
      <w:r w:rsidR="00913D19">
        <w:rPr>
          <w:rFonts w:cs="Times New Roman"/>
          <w:noProof/>
        </w:rPr>
        <w:t xml:space="preserve"> </w:t>
      </w:r>
      <w:r w:rsidR="0023623B">
        <w:rPr>
          <w:rFonts w:cs="Times New Roman"/>
          <w:noProof/>
        </w:rPr>
        <w:t>show</w:t>
      </w:r>
      <w:r w:rsidR="00C06B4B">
        <w:rPr>
          <w:noProof/>
        </w:rPr>
        <w:t xml:space="preserve"> </w:t>
      </w:r>
      <w:r w:rsidR="00DE4621">
        <w:rPr>
          <w:noProof/>
        </w:rPr>
        <w:t xml:space="preserve">the maximum threshold for feasibility </w:t>
      </w:r>
      <w:r w:rsidR="00913D19">
        <w:rPr>
          <w:noProof/>
        </w:rPr>
        <w:t>of this technology</w:t>
      </w:r>
      <w:r w:rsidR="00921E30">
        <w:rPr>
          <w:noProof/>
        </w:rPr>
        <w:t xml:space="preserve"> at </w:t>
      </w:r>
      <w:r w:rsidR="0023623B">
        <w:rPr>
          <w:noProof/>
        </w:rPr>
        <w:t xml:space="preserve">around </w:t>
      </w:r>
      <w:r w:rsidR="00C06B4B" w:rsidRPr="000478CA">
        <w:rPr>
          <w:noProof/>
        </w:rPr>
        <w:t>500 MtCO2</w:t>
      </w:r>
      <w:r w:rsidR="00921E30">
        <w:rPr>
          <w:noProof/>
        </w:rPr>
        <w:t xml:space="preserve">. </w:t>
      </w:r>
    </w:p>
    <w:p w14:paraId="0768D248" w14:textId="159BFF75" w:rsidR="00BE209D" w:rsidRDefault="00304C68" w:rsidP="00BE209D">
      <w:pPr>
        <w:rPr>
          <w:noProof/>
        </w:rPr>
      </w:pPr>
      <w:r>
        <w:rPr>
          <w:noProof/>
        </w:rPr>
        <w:t>As</w:t>
      </w:r>
      <w:r w:rsidR="0039568E">
        <w:rPr>
          <w:noProof/>
        </w:rPr>
        <w:t xml:space="preserve"> a</w:t>
      </w:r>
      <w:r>
        <w:rPr>
          <w:noProof/>
        </w:rPr>
        <w:t xml:space="preserve"> result of different amount of carbon captured in 2031-2040 and 2041-2050</w:t>
      </w:r>
      <w:r w:rsidR="002C7848">
        <w:rPr>
          <w:noProof/>
        </w:rPr>
        <w:t xml:space="preserve"> in the main scenarios,</w:t>
      </w:r>
      <w:r>
        <w:rPr>
          <w:noProof/>
        </w:rPr>
        <w:t xml:space="preserve"> the additional </w:t>
      </w:r>
      <w:r w:rsidR="00A10FB9">
        <w:rPr>
          <w:noProof/>
        </w:rPr>
        <w:t xml:space="preserve">minimum </w:t>
      </w:r>
      <w:r>
        <w:rPr>
          <w:noProof/>
        </w:rPr>
        <w:t>capacity</w:t>
      </w:r>
      <w:r w:rsidR="00615D40" w:rsidRPr="00615D40">
        <w:rPr>
          <w:noProof/>
        </w:rPr>
        <w:t> (</w:t>
      </w:r>
      <w:r w:rsidR="00615D40">
        <w:rPr>
          <w:rStyle w:val="FootnoteReference"/>
          <w:noProof/>
        </w:rPr>
        <w:footnoteReference w:id="46"/>
      </w:r>
      <w:r w:rsidR="00615D40">
        <w:rPr>
          <w:noProof/>
        </w:rPr>
        <w:t>)</w:t>
      </w:r>
      <w:r>
        <w:rPr>
          <w:noProof/>
        </w:rPr>
        <w:t xml:space="preserve"> </w:t>
      </w:r>
      <w:r w:rsidR="00287A88">
        <w:rPr>
          <w:noProof/>
        </w:rPr>
        <w:t xml:space="preserve">per decade </w:t>
      </w:r>
      <w:r w:rsidR="00A10FB9">
        <w:rPr>
          <w:noProof/>
        </w:rPr>
        <w:t>necessary</w:t>
      </w:r>
      <w:r>
        <w:rPr>
          <w:noProof/>
        </w:rPr>
        <w:t xml:space="preserve"> </w:t>
      </w:r>
      <w:r w:rsidR="0023623B">
        <w:rPr>
          <w:noProof/>
        </w:rPr>
        <w:t>to capture carbon</w:t>
      </w:r>
      <w:r w:rsidR="00287A88">
        <w:rPr>
          <w:noProof/>
        </w:rPr>
        <w:t xml:space="preserve"> </w:t>
      </w:r>
      <w:r>
        <w:rPr>
          <w:noProof/>
        </w:rPr>
        <w:t>varies significantly:</w:t>
      </w:r>
      <w:r w:rsidR="00D80D46">
        <w:rPr>
          <w:noProof/>
        </w:rPr>
        <w:t xml:space="preserve"> in S1, delayed climate action results in </w:t>
      </w:r>
      <w:r w:rsidR="006F1991">
        <w:rPr>
          <w:noProof/>
        </w:rPr>
        <w:t xml:space="preserve">additional installations </w:t>
      </w:r>
      <w:r w:rsidR="00DF6A42">
        <w:rPr>
          <w:noProof/>
        </w:rPr>
        <w:t xml:space="preserve">capable of </w:t>
      </w:r>
      <w:r w:rsidR="00462A0D">
        <w:rPr>
          <w:noProof/>
        </w:rPr>
        <w:t>captur</w:t>
      </w:r>
      <w:r w:rsidR="00ED66AC">
        <w:rPr>
          <w:noProof/>
        </w:rPr>
        <w:t>ing</w:t>
      </w:r>
      <w:r w:rsidR="006F1991">
        <w:rPr>
          <w:noProof/>
        </w:rPr>
        <w:t xml:space="preserve"> </w:t>
      </w:r>
      <w:r w:rsidR="00D105C5">
        <w:rPr>
          <w:noProof/>
        </w:rPr>
        <w:t xml:space="preserve">up to </w:t>
      </w:r>
      <w:r w:rsidR="001B3E0E">
        <w:rPr>
          <w:noProof/>
        </w:rPr>
        <w:t>35</w:t>
      </w:r>
      <w:r w:rsidR="00D80D46">
        <w:rPr>
          <w:noProof/>
        </w:rPr>
        <w:t xml:space="preserve"> </w:t>
      </w:r>
      <w:r w:rsidR="00B86290">
        <w:rPr>
          <w:noProof/>
        </w:rPr>
        <w:t>million tonnes</w:t>
      </w:r>
      <w:r w:rsidR="00C22B32">
        <w:rPr>
          <w:noProof/>
        </w:rPr>
        <w:t xml:space="preserve"> of CO2</w:t>
      </w:r>
      <w:r w:rsidR="00730D43">
        <w:rPr>
          <w:noProof/>
        </w:rPr>
        <w:t xml:space="preserve"> </w:t>
      </w:r>
      <w:r w:rsidR="00D105C5">
        <w:rPr>
          <w:noProof/>
        </w:rPr>
        <w:t xml:space="preserve">extra in </w:t>
      </w:r>
      <w:r w:rsidR="00F4091F">
        <w:rPr>
          <w:noProof/>
        </w:rPr>
        <w:t xml:space="preserve">2040, </w:t>
      </w:r>
      <w:r w:rsidR="0023623B">
        <w:rPr>
          <w:noProof/>
        </w:rPr>
        <w:t xml:space="preserve">but </w:t>
      </w:r>
      <w:r w:rsidR="00DE0949">
        <w:rPr>
          <w:noProof/>
        </w:rPr>
        <w:t xml:space="preserve">this number multiplies by around </w:t>
      </w:r>
      <w:r w:rsidR="001B3E0E">
        <w:rPr>
          <w:noProof/>
        </w:rPr>
        <w:t>7.</w:t>
      </w:r>
      <w:r w:rsidR="00F35F2A">
        <w:rPr>
          <w:noProof/>
        </w:rPr>
        <w:t>5</w:t>
      </w:r>
      <w:r w:rsidR="007A2338">
        <w:rPr>
          <w:noProof/>
        </w:rPr>
        <w:t xml:space="preserve"> </w:t>
      </w:r>
      <w:r w:rsidR="00F35F2A">
        <w:rPr>
          <w:noProof/>
        </w:rPr>
        <w:t xml:space="preserve">times </w:t>
      </w:r>
      <w:r w:rsidR="00AE31DD">
        <w:rPr>
          <w:noProof/>
        </w:rPr>
        <w:t>by 2050</w:t>
      </w:r>
      <w:r w:rsidR="0035410C">
        <w:rPr>
          <w:noProof/>
        </w:rPr>
        <w:t xml:space="preserve">. S2 shows </w:t>
      </w:r>
      <w:r w:rsidR="00A10FB9">
        <w:rPr>
          <w:noProof/>
        </w:rPr>
        <w:t>a minimum</w:t>
      </w:r>
      <w:r w:rsidR="0035410C">
        <w:rPr>
          <w:noProof/>
        </w:rPr>
        <w:t xml:space="preserve"> additional capacity </w:t>
      </w:r>
      <w:r w:rsidR="00033501">
        <w:rPr>
          <w:noProof/>
        </w:rPr>
        <w:t xml:space="preserve">able to capture </w:t>
      </w:r>
      <w:r w:rsidR="0035410C">
        <w:rPr>
          <w:noProof/>
        </w:rPr>
        <w:t>around 1</w:t>
      </w:r>
      <w:r w:rsidR="001B3E0E">
        <w:rPr>
          <w:noProof/>
        </w:rPr>
        <w:t>8</w:t>
      </w:r>
      <w:r w:rsidR="0035410C">
        <w:rPr>
          <w:noProof/>
        </w:rPr>
        <w:t>0</w:t>
      </w:r>
      <w:r w:rsidR="001B3E0E">
        <w:rPr>
          <w:noProof/>
        </w:rPr>
        <w:t>-</w:t>
      </w:r>
      <w:r w:rsidR="0035410C">
        <w:rPr>
          <w:noProof/>
        </w:rPr>
        <w:t>1</w:t>
      </w:r>
      <w:r w:rsidR="007A2338">
        <w:rPr>
          <w:noProof/>
        </w:rPr>
        <w:t>9</w:t>
      </w:r>
      <w:r w:rsidR="0035410C">
        <w:rPr>
          <w:noProof/>
        </w:rPr>
        <w:t>0 MtCO</w:t>
      </w:r>
      <w:r w:rsidR="00E92D64">
        <w:rPr>
          <w:noProof/>
        </w:rPr>
        <w:t>2</w:t>
      </w:r>
      <w:r w:rsidR="0035410C">
        <w:rPr>
          <w:noProof/>
        </w:rPr>
        <w:t xml:space="preserve">/y </w:t>
      </w:r>
      <w:r w:rsidR="00EF3614">
        <w:rPr>
          <w:noProof/>
        </w:rPr>
        <w:t xml:space="preserve">extra </w:t>
      </w:r>
      <w:r w:rsidR="00033501">
        <w:rPr>
          <w:noProof/>
        </w:rPr>
        <w:t>a</w:t>
      </w:r>
      <w:r w:rsidR="0035410C">
        <w:rPr>
          <w:noProof/>
        </w:rPr>
        <w:t xml:space="preserve">t the end of each decade. </w:t>
      </w:r>
      <w:r w:rsidR="006C286B">
        <w:rPr>
          <w:noProof/>
        </w:rPr>
        <w:t>S3</w:t>
      </w:r>
      <w:r w:rsidR="006C286B" w:rsidDel="00BE3D38">
        <w:rPr>
          <w:noProof/>
        </w:rPr>
        <w:t xml:space="preserve"> </w:t>
      </w:r>
      <w:r w:rsidR="00BE3D38">
        <w:rPr>
          <w:noProof/>
        </w:rPr>
        <w:t>suggests</w:t>
      </w:r>
      <w:r w:rsidR="006C286B">
        <w:rPr>
          <w:noProof/>
        </w:rPr>
        <w:t xml:space="preserve"> a </w:t>
      </w:r>
      <w:r w:rsidR="00967438">
        <w:rPr>
          <w:noProof/>
        </w:rPr>
        <w:t xml:space="preserve">large deployment </w:t>
      </w:r>
      <w:r w:rsidR="0057569A">
        <w:rPr>
          <w:noProof/>
        </w:rPr>
        <w:t xml:space="preserve">of </w:t>
      </w:r>
      <w:r w:rsidR="00156450">
        <w:rPr>
          <w:noProof/>
        </w:rPr>
        <w:t xml:space="preserve">extra </w:t>
      </w:r>
      <w:r w:rsidR="0057569A">
        <w:rPr>
          <w:noProof/>
        </w:rPr>
        <w:t>300 MtCO2</w:t>
      </w:r>
      <w:r w:rsidR="00477ACA">
        <w:rPr>
          <w:noProof/>
        </w:rPr>
        <w:t xml:space="preserve">/y </w:t>
      </w:r>
      <w:r w:rsidR="00156450">
        <w:rPr>
          <w:noProof/>
        </w:rPr>
        <w:t xml:space="preserve">captured </w:t>
      </w:r>
      <w:r w:rsidR="00477ACA">
        <w:rPr>
          <w:noProof/>
        </w:rPr>
        <w:t xml:space="preserve">by 2040, </w:t>
      </w:r>
      <w:r w:rsidR="0023623B">
        <w:rPr>
          <w:noProof/>
        </w:rPr>
        <w:t xml:space="preserve">and </w:t>
      </w:r>
      <w:r w:rsidR="00477ACA">
        <w:rPr>
          <w:noProof/>
        </w:rPr>
        <w:t xml:space="preserve">only </w:t>
      </w:r>
      <w:r w:rsidR="0023623B">
        <w:rPr>
          <w:noProof/>
        </w:rPr>
        <w:t xml:space="preserve">additional </w:t>
      </w:r>
      <w:r w:rsidR="001B3E0E">
        <w:rPr>
          <w:noProof/>
        </w:rPr>
        <w:t>75</w:t>
      </w:r>
      <w:r w:rsidR="00477ACA">
        <w:rPr>
          <w:noProof/>
        </w:rPr>
        <w:t xml:space="preserve"> MtCO2/y </w:t>
      </w:r>
      <w:r w:rsidR="00BE209D">
        <w:rPr>
          <w:noProof/>
        </w:rPr>
        <w:t xml:space="preserve">by 2050. </w:t>
      </w:r>
      <w:r w:rsidR="001B3E0E">
        <w:rPr>
          <w:noProof/>
        </w:rPr>
        <w:t>LIFE shows an intermediate level of additional capacity needed in 2040 between S2 and S3 and a minimal increase in the 2041-2050 rel</w:t>
      </w:r>
      <w:r w:rsidR="0032655D">
        <w:rPr>
          <w:noProof/>
        </w:rPr>
        <w:t>a</w:t>
      </w:r>
      <w:r w:rsidR="001B3E0E">
        <w:rPr>
          <w:noProof/>
        </w:rPr>
        <w:t xml:space="preserve">ted to the overall lower need of industrial capture in these settings. </w:t>
      </w:r>
    </w:p>
    <w:p w14:paraId="34AEC71C" w14:textId="4A96EADB" w:rsidR="00866192" w:rsidRDefault="00A81DA7" w:rsidP="00801ECE">
      <w:pPr>
        <w:rPr>
          <w:noProof/>
        </w:rPr>
      </w:pPr>
      <w:r>
        <w:rPr>
          <w:noProof/>
        </w:rPr>
        <w:t>Achievement of the required level of carbon capture</w:t>
      </w:r>
      <w:r w:rsidR="003F6F6A">
        <w:rPr>
          <w:noProof/>
        </w:rPr>
        <w:t xml:space="preserve"> capacity</w:t>
      </w:r>
      <w:r>
        <w:rPr>
          <w:noProof/>
        </w:rPr>
        <w:t xml:space="preserve"> </w:t>
      </w:r>
      <w:r w:rsidR="003F6F6A">
        <w:rPr>
          <w:noProof/>
        </w:rPr>
        <w:t>by 2040 is not trivial</w:t>
      </w:r>
      <w:r w:rsidR="0042636A">
        <w:rPr>
          <w:noProof/>
        </w:rPr>
        <w:t xml:space="preserve">, especially in </w:t>
      </w:r>
      <w:r w:rsidR="00DE0949">
        <w:rPr>
          <w:noProof/>
        </w:rPr>
        <w:t>the S3 scenario</w:t>
      </w:r>
      <w:r w:rsidR="003F6F6A">
        <w:rPr>
          <w:noProof/>
        </w:rPr>
        <w:t xml:space="preserve">. </w:t>
      </w:r>
      <w:r w:rsidR="00801ECE">
        <w:rPr>
          <w:noProof/>
        </w:rPr>
        <w:t xml:space="preserve">Several barriers to a large deployment of </w:t>
      </w:r>
      <w:r w:rsidR="003F6F6A">
        <w:rPr>
          <w:noProof/>
        </w:rPr>
        <w:t>the</w:t>
      </w:r>
      <w:r w:rsidR="00801ECE">
        <w:rPr>
          <w:noProof/>
        </w:rPr>
        <w:t xml:space="preserve"> technology exist today</w:t>
      </w:r>
      <w:r w:rsidR="00582A52">
        <w:rPr>
          <w:noProof/>
        </w:rPr>
        <w:t>: the transition from R&amp;I stage to the full</w:t>
      </w:r>
      <w:r w:rsidR="00DE0949">
        <w:rPr>
          <w:noProof/>
        </w:rPr>
        <w:t>-</w:t>
      </w:r>
      <w:r w:rsidR="00582A52">
        <w:rPr>
          <w:noProof/>
        </w:rPr>
        <w:t>scale</w:t>
      </w:r>
      <w:r w:rsidR="00DE0949">
        <w:rPr>
          <w:noProof/>
        </w:rPr>
        <w:t>,</w:t>
      </w:r>
      <w:r w:rsidR="00582A52">
        <w:rPr>
          <w:noProof/>
        </w:rPr>
        <w:t xml:space="preserve"> replicable</w:t>
      </w:r>
      <w:r w:rsidR="00DE0949">
        <w:rPr>
          <w:noProof/>
        </w:rPr>
        <w:t>,</w:t>
      </w:r>
      <w:r w:rsidR="00582A52">
        <w:rPr>
          <w:noProof/>
        </w:rPr>
        <w:t xml:space="preserve"> commercial deployment for certain step</w:t>
      </w:r>
      <w:r w:rsidR="00DE0949">
        <w:rPr>
          <w:noProof/>
        </w:rPr>
        <w:t>s</w:t>
      </w:r>
      <w:r w:rsidR="00582A52">
        <w:rPr>
          <w:noProof/>
        </w:rPr>
        <w:t xml:space="preserve"> of the technology, </w:t>
      </w:r>
      <w:r w:rsidR="00801ECE">
        <w:rPr>
          <w:noProof/>
        </w:rPr>
        <w:t xml:space="preserve">the need to </w:t>
      </w:r>
      <w:r w:rsidR="0039568E">
        <w:rPr>
          <w:noProof/>
        </w:rPr>
        <w:t xml:space="preserve">establish </w:t>
      </w:r>
      <w:r w:rsidR="00801ECE">
        <w:rPr>
          <w:noProof/>
        </w:rPr>
        <w:t>a new</w:t>
      </w:r>
      <w:r w:rsidR="0039568E">
        <w:rPr>
          <w:noProof/>
        </w:rPr>
        <w:t xml:space="preserve"> (cross-border)</w:t>
      </w:r>
      <w:r w:rsidR="00801ECE">
        <w:rPr>
          <w:noProof/>
        </w:rPr>
        <w:t xml:space="preserve"> carbon value chain</w:t>
      </w:r>
      <w:r w:rsidR="0023623B">
        <w:rPr>
          <w:noProof/>
        </w:rPr>
        <w:t>, including storage sites</w:t>
      </w:r>
      <w:r w:rsidR="00801ECE">
        <w:rPr>
          <w:noProof/>
        </w:rPr>
        <w:t xml:space="preserve"> </w:t>
      </w:r>
      <w:r w:rsidR="00801ECE" w:rsidRPr="00F92AD2">
        <w:rPr>
          <w:rFonts w:cs="Times New Roman"/>
          <w:noProof/>
        </w:rPr>
        <w:t>(</w:t>
      </w:r>
      <w:r w:rsidR="00801ECE">
        <w:rPr>
          <w:rStyle w:val="FootnoteReference"/>
          <w:noProof/>
        </w:rPr>
        <w:footnoteReference w:id="47"/>
      </w:r>
      <w:r w:rsidR="00801ECE">
        <w:rPr>
          <w:rFonts w:cs="Times New Roman"/>
          <w:noProof/>
        </w:rPr>
        <w:t>)</w:t>
      </w:r>
      <w:r w:rsidR="00801ECE" w:rsidRPr="00720B91">
        <w:rPr>
          <w:rFonts w:cs="Times New Roman"/>
          <w:noProof/>
        </w:rPr>
        <w:t> (</w:t>
      </w:r>
      <w:r w:rsidR="00801ECE">
        <w:rPr>
          <w:rStyle w:val="FootnoteReference"/>
          <w:rFonts w:cs="Times New Roman"/>
          <w:noProof/>
        </w:rPr>
        <w:footnoteReference w:id="48"/>
      </w:r>
      <w:r w:rsidR="00801ECE">
        <w:rPr>
          <w:rFonts w:cs="Times New Roman"/>
          <w:noProof/>
        </w:rPr>
        <w:t>)</w:t>
      </w:r>
      <w:r w:rsidR="0023623B">
        <w:rPr>
          <w:rFonts w:cs="Times New Roman"/>
          <w:noProof/>
        </w:rPr>
        <w:t>,</w:t>
      </w:r>
      <w:r w:rsidR="001B7837">
        <w:rPr>
          <w:rFonts w:cs="Times New Roman"/>
          <w:noProof/>
        </w:rPr>
        <w:t xml:space="preserve"> and a lack of market coordination</w:t>
      </w:r>
      <w:r w:rsidR="00BB1D30">
        <w:rPr>
          <w:rFonts w:cs="Times New Roman"/>
          <w:noProof/>
        </w:rPr>
        <w:t xml:space="preserve"> for fast deployment of the technology</w:t>
      </w:r>
      <w:r w:rsidR="00801ECE">
        <w:rPr>
          <w:rFonts w:cs="Times New Roman"/>
          <w:noProof/>
        </w:rPr>
        <w:t>.</w:t>
      </w:r>
      <w:r w:rsidR="005A7F0A">
        <w:rPr>
          <w:rFonts w:cs="Times New Roman"/>
          <w:noProof/>
        </w:rPr>
        <w:t xml:space="preserve"> </w:t>
      </w:r>
      <w:r w:rsidR="00582A52">
        <w:rPr>
          <w:rFonts w:cs="Times New Roman"/>
          <w:noProof/>
        </w:rPr>
        <w:t xml:space="preserve">A large development of carbon capture means foreseeing the build up of </w:t>
      </w:r>
      <w:r w:rsidR="000A5F18">
        <w:rPr>
          <w:rFonts w:cs="Times New Roman"/>
          <w:noProof/>
        </w:rPr>
        <w:t>commercially ready</w:t>
      </w:r>
      <w:r w:rsidR="00582A52">
        <w:rPr>
          <w:rFonts w:cs="Times New Roman"/>
          <w:noProof/>
        </w:rPr>
        <w:t xml:space="preserve"> carbon capture infrastructure on existing or new-build industrial capacity, often in sectors characterized by long investment cycles. </w:t>
      </w:r>
      <w:r w:rsidR="000A5F18">
        <w:rPr>
          <w:rFonts w:cs="Times New Roman"/>
          <w:noProof/>
        </w:rPr>
        <w:t>Hence, sound regulatory predisposition and long</w:t>
      </w:r>
      <w:r w:rsidR="00DE0949">
        <w:rPr>
          <w:rFonts w:cs="Times New Roman"/>
          <w:noProof/>
        </w:rPr>
        <w:t>-</w:t>
      </w:r>
      <w:r w:rsidR="000A5F18">
        <w:rPr>
          <w:rFonts w:cs="Times New Roman"/>
          <w:noProof/>
        </w:rPr>
        <w:t xml:space="preserve">term financial planning taking into account the impact on industrial competitivess become necessary to provide certainty to industrial investors. </w:t>
      </w:r>
      <w:r w:rsidR="00C70967">
        <w:rPr>
          <w:rFonts w:cs="Times New Roman"/>
          <w:noProof/>
        </w:rPr>
        <w:t>Downstream of the carbon capture value chain, s</w:t>
      </w:r>
      <w:r w:rsidR="005A7F0A" w:rsidRPr="00D246CC">
        <w:rPr>
          <w:noProof/>
        </w:rPr>
        <w:t>torage operators face high upfront costs to identify, develop and appraise storage sites before they can apply for a regulatory permit that is necessary to operate</w:t>
      </w:r>
      <w:r w:rsidR="005A7F0A">
        <w:rPr>
          <w:noProof/>
        </w:rPr>
        <w:t xml:space="preserve">, while </w:t>
      </w:r>
      <w:r w:rsidR="005A7F0A" w:rsidRPr="00D246CC">
        <w:rPr>
          <w:noProof/>
        </w:rPr>
        <w:t>their future customers are willing to invest in carbon capture only if access to operating storage site is secured.</w:t>
      </w:r>
      <w:r w:rsidR="00FE1908">
        <w:rPr>
          <w:noProof/>
        </w:rPr>
        <w:t xml:space="preserve"> </w:t>
      </w:r>
      <w:r w:rsidR="00D930AC">
        <w:rPr>
          <w:noProof/>
        </w:rPr>
        <w:t>Subsequently, m</w:t>
      </w:r>
      <w:r w:rsidR="00FE1908">
        <w:rPr>
          <w:noProof/>
        </w:rPr>
        <w:t>arket players</w:t>
      </w:r>
      <w:r w:rsidR="0070327B">
        <w:rPr>
          <w:noProof/>
        </w:rPr>
        <w:t xml:space="preserve"> </w:t>
      </w:r>
      <w:r w:rsidR="0070327B" w:rsidRPr="00D246CC">
        <w:rPr>
          <w:noProof/>
        </w:rPr>
        <w:t xml:space="preserve">have </w:t>
      </w:r>
      <w:r w:rsidR="00706C1E">
        <w:rPr>
          <w:noProof/>
        </w:rPr>
        <w:t>little</w:t>
      </w:r>
      <w:r w:rsidR="0070327B" w:rsidRPr="00D246CC">
        <w:rPr>
          <w:noProof/>
        </w:rPr>
        <w:t xml:space="preserve"> templates for commercial contracting</w:t>
      </w:r>
      <w:r w:rsidR="0070327B">
        <w:rPr>
          <w:noProof/>
        </w:rPr>
        <w:t xml:space="preserve"> or </w:t>
      </w:r>
      <w:r w:rsidR="0070327B" w:rsidRPr="00D246CC">
        <w:rPr>
          <w:noProof/>
        </w:rPr>
        <w:t>risk</w:t>
      </w:r>
      <w:r w:rsidR="0070327B">
        <w:rPr>
          <w:noProof/>
        </w:rPr>
        <w:t xml:space="preserve"> sharing</w:t>
      </w:r>
      <w:r w:rsidR="00837CC7">
        <w:rPr>
          <w:noProof/>
        </w:rPr>
        <w:t xml:space="preserve"> and </w:t>
      </w:r>
      <w:r w:rsidR="00837CC7" w:rsidRPr="00D246CC">
        <w:rPr>
          <w:noProof/>
        </w:rPr>
        <w:t>depend on each other’s plans and project progress to de-risk their own investment decisions</w:t>
      </w:r>
      <w:r w:rsidR="00837CC7">
        <w:rPr>
          <w:noProof/>
        </w:rPr>
        <w:t>.</w:t>
      </w:r>
      <w:r w:rsidR="006000C3">
        <w:rPr>
          <w:noProof/>
        </w:rPr>
        <w:t xml:space="preserve"> Regulatory uncertainty and </w:t>
      </w:r>
      <w:r w:rsidR="00706C1E">
        <w:rPr>
          <w:noProof/>
        </w:rPr>
        <w:t>inexperience</w:t>
      </w:r>
      <w:r w:rsidR="006000C3">
        <w:rPr>
          <w:noProof/>
        </w:rPr>
        <w:t xml:space="preserve"> also represent a challenge</w:t>
      </w:r>
      <w:r w:rsidR="00866192">
        <w:rPr>
          <w:noProof/>
        </w:rPr>
        <w:t xml:space="preserve">, for instance in terms of </w:t>
      </w:r>
      <w:r w:rsidR="00DD2F48">
        <w:rPr>
          <w:noProof/>
        </w:rPr>
        <w:t>supplementing the CCS directive</w:t>
      </w:r>
      <w:r w:rsidR="00DD2F48" w:rsidRPr="00DD2F48">
        <w:rPr>
          <w:noProof/>
        </w:rPr>
        <w:t> (</w:t>
      </w:r>
      <w:r w:rsidR="00DD2F48">
        <w:rPr>
          <w:rStyle w:val="FootnoteReference"/>
          <w:noProof/>
        </w:rPr>
        <w:footnoteReference w:id="49"/>
      </w:r>
      <w:r w:rsidR="00DD2F48">
        <w:rPr>
          <w:noProof/>
        </w:rPr>
        <w:t xml:space="preserve">) and clarifying </w:t>
      </w:r>
      <w:r w:rsidR="00866192">
        <w:rPr>
          <w:noProof/>
        </w:rPr>
        <w:t xml:space="preserve">future link between industrial removals and ETS or cross-border transport of captured CO2. </w:t>
      </w:r>
      <w:r w:rsidR="00E9123C">
        <w:rPr>
          <w:noProof/>
        </w:rPr>
        <w:t xml:space="preserve"> </w:t>
      </w:r>
      <w:r w:rsidR="00424FE7">
        <w:rPr>
          <w:noProof/>
        </w:rPr>
        <w:t xml:space="preserve">To overcome these challenges, </w:t>
      </w:r>
      <w:r w:rsidR="00B50B80">
        <w:rPr>
          <w:noProof/>
        </w:rPr>
        <w:t>se</w:t>
      </w:r>
      <w:r w:rsidR="00B50B80" w:rsidRPr="00A55B8E">
        <w:rPr>
          <w:noProof/>
        </w:rPr>
        <w:t>veral M</w:t>
      </w:r>
      <w:r w:rsidR="00B50B80">
        <w:rPr>
          <w:noProof/>
        </w:rPr>
        <w:t xml:space="preserve">ember States have CO2 value chain </w:t>
      </w:r>
      <w:r w:rsidR="00B50B80" w:rsidRPr="00A55B8E">
        <w:rPr>
          <w:noProof/>
        </w:rPr>
        <w:t xml:space="preserve">strategies in place </w:t>
      </w:r>
      <w:r w:rsidR="00B50B80">
        <w:rPr>
          <w:noProof/>
        </w:rPr>
        <w:t xml:space="preserve">or are </w:t>
      </w:r>
      <w:r w:rsidR="00B50B80" w:rsidRPr="00A55B8E">
        <w:rPr>
          <w:noProof/>
        </w:rPr>
        <w:t>developing them</w:t>
      </w:r>
      <w:r w:rsidR="00B50B80">
        <w:rPr>
          <w:noProof/>
        </w:rPr>
        <w:t xml:space="preserve"> (NL, DK, FR, DE) </w:t>
      </w:r>
      <w:r w:rsidR="00CD742E" w:rsidRPr="00CD742E">
        <w:rPr>
          <w:noProof/>
        </w:rPr>
        <w:t>(</w:t>
      </w:r>
      <w:r w:rsidR="00CD742E">
        <w:rPr>
          <w:rStyle w:val="FootnoteReference"/>
          <w:noProof/>
        </w:rPr>
        <w:footnoteReference w:id="50"/>
      </w:r>
      <w:r w:rsidR="00CD742E">
        <w:rPr>
          <w:noProof/>
        </w:rPr>
        <w:t>)</w:t>
      </w:r>
      <w:r w:rsidR="00117550">
        <w:rPr>
          <w:noProof/>
        </w:rPr>
        <w:t xml:space="preserve"> </w:t>
      </w:r>
      <w:r w:rsidR="00B50B80">
        <w:rPr>
          <w:noProof/>
        </w:rPr>
        <w:t>and consolidated effort is needed to stimulate and guide a market development that can deliver the scale needed</w:t>
      </w:r>
      <w:r w:rsidR="00A20F03">
        <w:rPr>
          <w:noProof/>
        </w:rPr>
        <w:t>, as described in the Communication on Industrial Carbon Management</w:t>
      </w:r>
      <w:r w:rsidR="00A20F03" w:rsidRPr="00A20F03">
        <w:rPr>
          <w:noProof/>
        </w:rPr>
        <w:t> (</w:t>
      </w:r>
      <w:r w:rsidR="00A20F03">
        <w:rPr>
          <w:rStyle w:val="FootnoteReference"/>
          <w:noProof/>
        </w:rPr>
        <w:footnoteReference w:id="51"/>
      </w:r>
      <w:r w:rsidR="00A20F03">
        <w:rPr>
          <w:noProof/>
        </w:rPr>
        <w:t>)</w:t>
      </w:r>
      <w:r w:rsidR="00B50B80">
        <w:rPr>
          <w:noProof/>
        </w:rPr>
        <w:t xml:space="preserve">. </w:t>
      </w:r>
    </w:p>
    <w:p w14:paraId="0115FE2D" w14:textId="53F3D9FB" w:rsidR="0039511D" w:rsidRPr="003B4E4B" w:rsidRDefault="00850BB2" w:rsidP="00850BB2">
      <w:pPr>
        <w:rPr>
          <w:noProof/>
        </w:rPr>
      </w:pPr>
      <w:bookmarkStart w:id="78" w:name="_Hlk151632995"/>
      <w:bookmarkEnd w:id="76"/>
      <w:r w:rsidRPr="00850BB2">
        <w:rPr>
          <w:noProof/>
        </w:rPr>
        <w:t>When looking at the different source</w:t>
      </w:r>
      <w:r w:rsidR="00DE43B4">
        <w:rPr>
          <w:noProof/>
        </w:rPr>
        <w:t>s</w:t>
      </w:r>
      <w:r w:rsidRPr="00850BB2">
        <w:rPr>
          <w:noProof/>
        </w:rPr>
        <w:t xml:space="preserve"> of carbon</w:t>
      </w:r>
      <w:r>
        <w:rPr>
          <w:noProof/>
        </w:rPr>
        <w:t xml:space="preserve"> captured in 2040, </w:t>
      </w:r>
      <w:r w:rsidR="00BA2FD0">
        <w:rPr>
          <w:noProof/>
        </w:rPr>
        <w:t xml:space="preserve">and only considering this specific pathway modelled by PRIMES, </w:t>
      </w:r>
      <w:r>
        <w:rPr>
          <w:noProof/>
        </w:rPr>
        <w:t>a</w:t>
      </w:r>
      <w:r w:rsidR="004346EA">
        <w:rPr>
          <w:noProof/>
        </w:rPr>
        <w:t xml:space="preserve"> veritable “</w:t>
      </w:r>
      <w:r>
        <w:rPr>
          <w:noProof/>
        </w:rPr>
        <w:t>merit order</w:t>
      </w:r>
      <w:r w:rsidR="004346EA">
        <w:rPr>
          <w:noProof/>
        </w:rPr>
        <w:t xml:space="preserve">” emerges </w:t>
      </w:r>
      <w:r w:rsidR="00B10FB4" w:rsidRPr="00A438D4">
        <w:rPr>
          <w:noProof/>
        </w:rPr>
        <w:t>(</w:t>
      </w:r>
      <w:r w:rsidR="00FF44D3" w:rsidRPr="00A438D4">
        <w:rPr>
          <w:noProof/>
        </w:rPr>
        <w:fldChar w:fldCharType="begin"/>
      </w:r>
      <w:r w:rsidR="00FF44D3" w:rsidRPr="00A438D4">
        <w:rPr>
          <w:noProof/>
        </w:rPr>
        <w:instrText xml:space="preserve"> REF _Ref146818839 \h </w:instrText>
      </w:r>
      <w:r w:rsidR="00A438D4">
        <w:rPr>
          <w:noProof/>
        </w:rPr>
        <w:instrText xml:space="preserve"> \* MERGEFORMAT </w:instrText>
      </w:r>
      <w:r w:rsidR="00FF44D3" w:rsidRPr="00A438D4">
        <w:rPr>
          <w:noProof/>
        </w:rPr>
      </w:r>
      <w:r w:rsidR="00FF44D3" w:rsidRPr="00A438D4">
        <w:rPr>
          <w:noProof/>
        </w:rPr>
        <w:fldChar w:fldCharType="separate"/>
      </w:r>
      <w:r w:rsidR="00170A3C">
        <w:rPr>
          <w:noProof/>
        </w:rPr>
        <w:t>Figure 9</w:t>
      </w:r>
      <w:r w:rsidR="00FF44D3" w:rsidRPr="00A438D4">
        <w:rPr>
          <w:noProof/>
        </w:rPr>
        <w:fldChar w:fldCharType="end"/>
      </w:r>
      <w:r w:rsidR="00B10FB4" w:rsidRPr="00A438D4">
        <w:rPr>
          <w:noProof/>
          <w:color w:val="2B579A"/>
          <w:shd w:val="clear" w:color="auto" w:fill="E6E6E6"/>
        </w:rPr>
        <w:t>)</w:t>
      </w:r>
      <w:r w:rsidR="004346EA" w:rsidRPr="00A438D4">
        <w:rPr>
          <w:noProof/>
        </w:rPr>
        <w:t>.</w:t>
      </w:r>
      <w:r w:rsidR="004346EA">
        <w:rPr>
          <w:noProof/>
        </w:rPr>
        <w:t xml:space="preserve"> </w:t>
      </w:r>
      <w:r w:rsidR="00644CBC">
        <w:rPr>
          <w:noProof/>
        </w:rPr>
        <w:t>S1 shows that c</w:t>
      </w:r>
      <w:r w:rsidR="004346EA">
        <w:rPr>
          <w:noProof/>
        </w:rPr>
        <w:t>arbon is first captured in</w:t>
      </w:r>
      <w:r w:rsidR="00A94DB1">
        <w:rPr>
          <w:noProof/>
        </w:rPr>
        <w:t xml:space="preserve"> industrial processes</w:t>
      </w:r>
      <w:r w:rsidR="00016642">
        <w:rPr>
          <w:noProof/>
        </w:rPr>
        <w:t xml:space="preserve"> and </w:t>
      </w:r>
      <w:r w:rsidR="00A94DB1">
        <w:rPr>
          <w:noProof/>
        </w:rPr>
        <w:t xml:space="preserve">power </w:t>
      </w:r>
      <w:r w:rsidR="00BE0689">
        <w:rPr>
          <w:noProof/>
        </w:rPr>
        <w:t>generation</w:t>
      </w:r>
      <w:r w:rsidR="00A94DB1">
        <w:rPr>
          <w:noProof/>
        </w:rPr>
        <w:t xml:space="preserve"> </w:t>
      </w:r>
      <w:r w:rsidR="00205BA0">
        <w:rPr>
          <w:noProof/>
        </w:rPr>
        <w:t>(emit</w:t>
      </w:r>
      <w:r w:rsidR="00BE0689">
        <w:rPr>
          <w:noProof/>
        </w:rPr>
        <w:t>t</w:t>
      </w:r>
      <w:r w:rsidR="00205BA0">
        <w:rPr>
          <w:noProof/>
        </w:rPr>
        <w:t>ing from fossil fuels)</w:t>
      </w:r>
      <w:r w:rsidR="00B24ABB">
        <w:rPr>
          <w:noProof/>
        </w:rPr>
        <w:t xml:space="preserve"> </w:t>
      </w:r>
      <w:r w:rsidR="006C604A">
        <w:rPr>
          <w:noProof/>
        </w:rPr>
        <w:t>in order to reduce emissions</w:t>
      </w:r>
      <w:r w:rsidR="00DE0949">
        <w:rPr>
          <w:noProof/>
        </w:rPr>
        <w:t xml:space="preserve"> in those sectors</w:t>
      </w:r>
      <w:r w:rsidR="00EF51AA">
        <w:rPr>
          <w:noProof/>
        </w:rPr>
        <w:t xml:space="preserve">, with very little </w:t>
      </w:r>
      <w:r w:rsidR="002B128A">
        <w:rPr>
          <w:noProof/>
        </w:rPr>
        <w:t>coming</w:t>
      </w:r>
      <w:r w:rsidR="00575EB3">
        <w:rPr>
          <w:noProof/>
        </w:rPr>
        <w:t xml:space="preserve"> from </w:t>
      </w:r>
      <w:r w:rsidR="00205BA0">
        <w:rPr>
          <w:noProof/>
        </w:rPr>
        <w:t xml:space="preserve">BECCS, </w:t>
      </w:r>
      <w:r w:rsidR="00575EB3">
        <w:rPr>
          <w:noProof/>
        </w:rPr>
        <w:t>the upgrade of biogas to biomethane (biogenic carbon) and D</w:t>
      </w:r>
      <w:r w:rsidR="00644CBC">
        <w:rPr>
          <w:noProof/>
        </w:rPr>
        <w:t>ACC</w:t>
      </w:r>
      <w:r w:rsidR="002B128A">
        <w:rPr>
          <w:noProof/>
        </w:rPr>
        <w:t>.</w:t>
      </w:r>
      <w:r w:rsidR="000B1C60">
        <w:rPr>
          <w:noProof/>
        </w:rPr>
        <w:t xml:space="preserve"> </w:t>
      </w:r>
      <w:r w:rsidR="001F1495">
        <w:rPr>
          <w:noProof/>
        </w:rPr>
        <w:t xml:space="preserve">A larger uptake of the technology </w:t>
      </w:r>
      <w:r w:rsidR="00E86CA1">
        <w:rPr>
          <w:noProof/>
        </w:rPr>
        <w:t>in S2</w:t>
      </w:r>
      <w:r w:rsidR="00DE0949">
        <w:rPr>
          <w:noProof/>
        </w:rPr>
        <w:t xml:space="preserve"> leads</w:t>
      </w:r>
      <w:r w:rsidR="00044ECC">
        <w:rPr>
          <w:noProof/>
        </w:rPr>
        <w:t xml:space="preserve"> first </w:t>
      </w:r>
      <w:r w:rsidR="00DE0949">
        <w:rPr>
          <w:noProof/>
        </w:rPr>
        <w:t xml:space="preserve">to the </w:t>
      </w:r>
      <w:r w:rsidR="009468B4">
        <w:rPr>
          <w:noProof/>
        </w:rPr>
        <w:t>increase</w:t>
      </w:r>
      <w:r w:rsidR="00DE0949">
        <w:rPr>
          <w:noProof/>
        </w:rPr>
        <w:t xml:space="preserve"> of</w:t>
      </w:r>
      <w:r w:rsidR="009468B4">
        <w:rPr>
          <w:noProof/>
        </w:rPr>
        <w:t xml:space="preserve"> the level </w:t>
      </w:r>
      <w:r w:rsidR="00044ECC">
        <w:rPr>
          <w:noProof/>
        </w:rPr>
        <w:t xml:space="preserve">of </w:t>
      </w:r>
      <w:r w:rsidR="009468B4">
        <w:rPr>
          <w:noProof/>
        </w:rPr>
        <w:t xml:space="preserve">fossil </w:t>
      </w:r>
      <w:r w:rsidR="00044ECC">
        <w:rPr>
          <w:noProof/>
        </w:rPr>
        <w:t xml:space="preserve">carbon coming </w:t>
      </w:r>
      <w:r w:rsidR="00044ECC">
        <w:rPr>
          <w:noProof/>
          <w:lang w:val="en-IE"/>
        </w:rPr>
        <w:t>from industrial processes and power generation</w:t>
      </w:r>
      <w:r w:rsidR="00A239F9">
        <w:rPr>
          <w:noProof/>
          <w:lang w:val="en-IE"/>
        </w:rPr>
        <w:t>,</w:t>
      </w:r>
      <w:r w:rsidR="00044ECC">
        <w:rPr>
          <w:noProof/>
          <w:lang w:val="en-IE"/>
        </w:rPr>
        <w:t xml:space="preserve"> and then taps </w:t>
      </w:r>
      <w:r w:rsidR="0015688A">
        <w:rPr>
          <w:noProof/>
          <w:lang w:val="en-IE"/>
        </w:rPr>
        <w:t xml:space="preserve">into </w:t>
      </w:r>
      <w:r w:rsidR="009468B4">
        <w:rPr>
          <w:noProof/>
          <w:lang w:val="en-IE"/>
        </w:rPr>
        <w:t xml:space="preserve">industrial removals, mostly </w:t>
      </w:r>
      <w:r w:rsidR="0015688A">
        <w:rPr>
          <w:noProof/>
          <w:lang w:val="en-IE"/>
        </w:rPr>
        <w:t>BECCS</w:t>
      </w:r>
      <w:r w:rsidR="00044ECC">
        <w:rPr>
          <w:noProof/>
          <w:lang w:val="en-IE"/>
        </w:rPr>
        <w:t>.</w:t>
      </w:r>
      <w:r w:rsidR="00B21F3C">
        <w:rPr>
          <w:noProof/>
          <w:lang w:val="en-IE"/>
        </w:rPr>
        <w:t xml:space="preserve"> B</w:t>
      </w:r>
      <w:r w:rsidR="00775B66">
        <w:rPr>
          <w:noProof/>
          <w:lang w:val="en-IE"/>
        </w:rPr>
        <w:t>eing the potential for BECCS limited by sustainability constraints</w:t>
      </w:r>
      <w:r w:rsidR="00F1523F">
        <w:rPr>
          <w:noProof/>
          <w:lang w:val="en-IE"/>
        </w:rPr>
        <w:t xml:space="preserve"> </w:t>
      </w:r>
      <w:r w:rsidR="002C554B">
        <w:rPr>
          <w:noProof/>
          <w:lang w:val="en-IE"/>
        </w:rPr>
        <w:t>on biomass availability</w:t>
      </w:r>
      <w:r w:rsidR="009468B4">
        <w:rPr>
          <w:noProof/>
          <w:lang w:val="en-IE"/>
        </w:rPr>
        <w:t>,</w:t>
      </w:r>
      <w:r w:rsidR="002C554B">
        <w:rPr>
          <w:noProof/>
          <w:lang w:val="en-IE"/>
        </w:rPr>
        <w:t xml:space="preserve"> </w:t>
      </w:r>
      <w:r w:rsidR="00F1523F">
        <w:rPr>
          <w:noProof/>
          <w:lang w:val="en-IE"/>
        </w:rPr>
        <w:t>and possible</w:t>
      </w:r>
      <w:r w:rsidR="000901F3">
        <w:rPr>
          <w:noProof/>
          <w:lang w:val="en-IE"/>
        </w:rPr>
        <w:t xml:space="preserve"> negative</w:t>
      </w:r>
      <w:r w:rsidR="00F1523F">
        <w:rPr>
          <w:noProof/>
          <w:lang w:val="en-IE"/>
        </w:rPr>
        <w:t xml:space="preserve"> impact on the LULUCF </w:t>
      </w:r>
      <w:r w:rsidR="000C2DAE">
        <w:rPr>
          <w:noProof/>
          <w:lang w:val="en-IE"/>
        </w:rPr>
        <w:t>net removals</w:t>
      </w:r>
      <w:r w:rsidR="00775B66">
        <w:rPr>
          <w:noProof/>
          <w:lang w:val="en-IE"/>
        </w:rPr>
        <w:t xml:space="preserve">, </w:t>
      </w:r>
      <w:r w:rsidR="00016642">
        <w:rPr>
          <w:noProof/>
          <w:lang w:val="en-IE"/>
        </w:rPr>
        <w:t xml:space="preserve">an </w:t>
      </w:r>
      <w:r w:rsidR="002575E9">
        <w:rPr>
          <w:noProof/>
          <w:lang w:val="en-IE"/>
        </w:rPr>
        <w:t>increas</w:t>
      </w:r>
      <w:r w:rsidR="00016642">
        <w:rPr>
          <w:noProof/>
          <w:lang w:val="en-IE"/>
        </w:rPr>
        <w:t>e in</w:t>
      </w:r>
      <w:r w:rsidR="002575E9">
        <w:rPr>
          <w:noProof/>
          <w:lang w:val="en-IE"/>
        </w:rPr>
        <w:t xml:space="preserve"> demand for the production of e-fuels</w:t>
      </w:r>
      <w:r w:rsidR="00F436CB">
        <w:rPr>
          <w:noProof/>
          <w:lang w:val="en-IE"/>
        </w:rPr>
        <w:t xml:space="preserve"> </w:t>
      </w:r>
      <w:r w:rsidR="000F7015">
        <w:rPr>
          <w:noProof/>
          <w:lang w:val="en-IE"/>
        </w:rPr>
        <w:t>opens the doors to deployment of D</w:t>
      </w:r>
      <w:r w:rsidR="00436FB4">
        <w:rPr>
          <w:noProof/>
          <w:lang w:val="en-IE"/>
        </w:rPr>
        <w:t>ACC</w:t>
      </w:r>
      <w:r w:rsidR="00072971">
        <w:rPr>
          <w:noProof/>
          <w:lang w:val="en-IE"/>
        </w:rPr>
        <w:t xml:space="preserve"> in </w:t>
      </w:r>
      <w:r w:rsidR="00F87835">
        <w:rPr>
          <w:noProof/>
          <w:lang w:val="en-IE"/>
        </w:rPr>
        <w:t>2040</w:t>
      </w:r>
      <w:r w:rsidR="009468B4">
        <w:rPr>
          <w:noProof/>
          <w:lang w:val="en-IE"/>
        </w:rPr>
        <w:t xml:space="preserve">: this happens </w:t>
      </w:r>
      <w:r w:rsidR="00072971">
        <w:rPr>
          <w:noProof/>
          <w:lang w:val="en-IE"/>
        </w:rPr>
        <w:t xml:space="preserve">already in </w:t>
      </w:r>
      <w:r w:rsidR="009468B4">
        <w:rPr>
          <w:noProof/>
          <w:lang w:val="en-IE"/>
        </w:rPr>
        <w:t>S2 and becomes even more evident when</w:t>
      </w:r>
      <w:r w:rsidR="00575EB3">
        <w:rPr>
          <w:noProof/>
          <w:lang w:val="en-IE"/>
        </w:rPr>
        <w:t xml:space="preserve"> moving from S2 to S3, </w:t>
      </w:r>
      <w:r w:rsidR="009468B4">
        <w:rPr>
          <w:noProof/>
          <w:lang w:val="en-IE"/>
        </w:rPr>
        <w:t>where</w:t>
      </w:r>
      <w:r w:rsidR="00072971">
        <w:rPr>
          <w:noProof/>
          <w:lang w:val="en-IE"/>
        </w:rPr>
        <w:t xml:space="preserve"> </w:t>
      </w:r>
      <w:r w:rsidR="0039511D">
        <w:rPr>
          <w:noProof/>
          <w:lang w:val="en-IE"/>
        </w:rPr>
        <w:t xml:space="preserve">the additional carbon </w:t>
      </w:r>
      <w:r w:rsidR="00DE0949">
        <w:rPr>
          <w:noProof/>
          <w:lang w:val="en-IE"/>
        </w:rPr>
        <w:t xml:space="preserve">is </w:t>
      </w:r>
      <w:r w:rsidR="0039511D">
        <w:rPr>
          <w:noProof/>
          <w:lang w:val="en-IE"/>
        </w:rPr>
        <w:t>capture</w:t>
      </w:r>
      <w:r w:rsidR="002D6CB1">
        <w:rPr>
          <w:noProof/>
          <w:lang w:val="en-IE"/>
        </w:rPr>
        <w:t xml:space="preserve">d </w:t>
      </w:r>
      <w:r w:rsidR="0039511D">
        <w:rPr>
          <w:noProof/>
          <w:lang w:val="en-IE"/>
        </w:rPr>
        <w:t xml:space="preserve">almost exclusively </w:t>
      </w:r>
      <w:r w:rsidR="00DE0949">
        <w:rPr>
          <w:noProof/>
          <w:lang w:val="en-IE"/>
        </w:rPr>
        <w:t xml:space="preserve">through </w:t>
      </w:r>
      <w:r w:rsidR="00B970D3">
        <w:rPr>
          <w:noProof/>
          <w:lang w:val="en-IE"/>
        </w:rPr>
        <w:t>DACC.</w:t>
      </w:r>
      <w:r w:rsidR="0039511D">
        <w:rPr>
          <w:noProof/>
          <w:lang w:val="en-IE"/>
        </w:rPr>
        <w:t xml:space="preserve"> In 2050, </w:t>
      </w:r>
      <w:r w:rsidR="001A728C">
        <w:rPr>
          <w:noProof/>
          <w:lang w:val="en-IE"/>
        </w:rPr>
        <w:t xml:space="preserve">the share of the different </w:t>
      </w:r>
      <w:r w:rsidR="00DE43B4">
        <w:rPr>
          <w:noProof/>
          <w:lang w:val="en-IE"/>
        </w:rPr>
        <w:t>technologies</w:t>
      </w:r>
      <w:r w:rsidR="001A728C">
        <w:rPr>
          <w:noProof/>
          <w:lang w:val="en-IE"/>
        </w:rPr>
        <w:t xml:space="preserve"> is similar across S1-</w:t>
      </w:r>
      <w:r w:rsidR="006750D6">
        <w:rPr>
          <w:noProof/>
          <w:lang w:val="en-IE"/>
        </w:rPr>
        <w:t>S2-</w:t>
      </w:r>
      <w:r w:rsidR="001A728C">
        <w:rPr>
          <w:noProof/>
          <w:lang w:val="en-IE"/>
        </w:rPr>
        <w:t xml:space="preserve">S3. </w:t>
      </w:r>
      <w:r w:rsidR="0098466C">
        <w:rPr>
          <w:noProof/>
          <w:lang w:val="en-IE"/>
        </w:rPr>
        <w:t xml:space="preserve">Proportionally, </w:t>
      </w:r>
      <w:r w:rsidR="0022362F">
        <w:rPr>
          <w:noProof/>
          <w:lang w:val="en-IE"/>
        </w:rPr>
        <w:t>LIFE</w:t>
      </w:r>
      <w:r w:rsidR="009A2F21">
        <w:rPr>
          <w:noProof/>
          <w:lang w:val="en-IE"/>
        </w:rPr>
        <w:t xml:space="preserve"> </w:t>
      </w:r>
      <w:r w:rsidR="00465605">
        <w:rPr>
          <w:noProof/>
          <w:lang w:val="en-IE"/>
        </w:rPr>
        <w:t xml:space="preserve">also </w:t>
      </w:r>
      <w:r w:rsidR="009A2F21">
        <w:rPr>
          <w:noProof/>
          <w:lang w:val="en-IE"/>
        </w:rPr>
        <w:t xml:space="preserve">shows a similar </w:t>
      </w:r>
      <w:r w:rsidR="00E728BD">
        <w:rPr>
          <w:noProof/>
          <w:lang w:val="en-IE"/>
        </w:rPr>
        <w:t>distribution, with less DACC than S3 in 2040 and an</w:t>
      </w:r>
      <w:r w:rsidR="009A2F21">
        <w:rPr>
          <w:noProof/>
          <w:lang w:val="en-IE"/>
        </w:rPr>
        <w:t xml:space="preserve"> overall capture </w:t>
      </w:r>
      <w:r w:rsidR="00D40E0D">
        <w:rPr>
          <w:noProof/>
          <w:lang w:val="en-IE"/>
        </w:rPr>
        <w:t>level</w:t>
      </w:r>
      <w:r w:rsidR="00DE43B4">
        <w:rPr>
          <w:noProof/>
          <w:lang w:val="en-IE"/>
        </w:rPr>
        <w:t xml:space="preserve"> </w:t>
      </w:r>
      <w:r w:rsidR="00E728BD">
        <w:rPr>
          <w:noProof/>
          <w:lang w:val="en-IE"/>
        </w:rPr>
        <w:t xml:space="preserve">in 2050 lower than the other scenarios. </w:t>
      </w:r>
    </w:p>
    <w:p w14:paraId="68EB4703" w14:textId="7E6D7BFA" w:rsidR="00DE43B4" w:rsidRPr="00A7285E" w:rsidRDefault="00DE43B4" w:rsidP="008A21B2">
      <w:pPr>
        <w:pStyle w:val="Caption"/>
        <w:rPr>
          <w:noProof/>
        </w:rPr>
      </w:pPr>
      <w:bookmarkStart w:id="79" w:name="_Ref146818839"/>
      <w:bookmarkStart w:id="80" w:name="_Toc157679757"/>
      <w:bookmarkEnd w:id="78"/>
      <w:r>
        <w:rPr>
          <w:noProof/>
        </w:rPr>
        <w:t xml:space="preserve">Figure </w:t>
      </w:r>
      <w:r>
        <w:rPr>
          <w:noProof/>
        </w:rPr>
        <w:fldChar w:fldCharType="begin"/>
      </w:r>
      <w:r>
        <w:rPr>
          <w:noProof/>
        </w:rPr>
        <w:instrText>SEQ Figure \* ARABIC</w:instrText>
      </w:r>
      <w:r>
        <w:rPr>
          <w:noProof/>
        </w:rPr>
        <w:fldChar w:fldCharType="separate"/>
      </w:r>
      <w:r w:rsidR="00170A3C">
        <w:rPr>
          <w:noProof/>
        </w:rPr>
        <w:t>9</w:t>
      </w:r>
      <w:r>
        <w:rPr>
          <w:noProof/>
        </w:rPr>
        <w:fldChar w:fldCharType="end"/>
      </w:r>
      <w:bookmarkEnd w:id="79"/>
      <w:r>
        <w:rPr>
          <w:noProof/>
        </w:rPr>
        <w:t>: Carbon captured by source</w:t>
      </w:r>
      <w:bookmarkEnd w:id="80"/>
    </w:p>
    <w:p w14:paraId="25102F02" w14:textId="19C61D6F" w:rsidR="00DE43B4" w:rsidRDefault="00E728BD" w:rsidP="008A21B2">
      <w:pPr>
        <w:keepNext/>
        <w:spacing w:after="0"/>
        <w:rPr>
          <w:noProof/>
        </w:rPr>
      </w:pPr>
      <w:r w:rsidRPr="00E728BD">
        <w:rPr>
          <w:noProof/>
        </w:rPr>
        <w:t xml:space="preserve"> </w:t>
      </w:r>
      <w:r w:rsidR="00DB763E" w:rsidRPr="00DB763E">
        <w:rPr>
          <w:noProof/>
          <w:lang w:eastAsia="en-GB"/>
        </w:rPr>
        <w:drawing>
          <wp:inline distT="0" distB="0" distL="0" distR="0" wp14:anchorId="2E9DB9B9" wp14:editId="6279B810">
            <wp:extent cx="5397500" cy="2508250"/>
            <wp:effectExtent l="0" t="0" r="0" b="635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397500" cy="2508250"/>
                    </a:xfrm>
                    <a:prstGeom prst="rect">
                      <a:avLst/>
                    </a:prstGeom>
                    <a:noFill/>
                    <a:ln>
                      <a:noFill/>
                    </a:ln>
                  </pic:spPr>
                </pic:pic>
              </a:graphicData>
            </a:graphic>
          </wp:inline>
        </w:drawing>
      </w:r>
    </w:p>
    <w:p w14:paraId="1DCA2A1F" w14:textId="5D5F95F9" w:rsidR="00563C2E" w:rsidRPr="008C749D" w:rsidRDefault="00563C2E" w:rsidP="003B4E4B">
      <w:pPr>
        <w:pStyle w:val="CT-NOTE"/>
        <w:rPr>
          <w:noProof/>
        </w:rPr>
      </w:pPr>
      <w:r w:rsidRPr="008C749D">
        <w:rPr>
          <w:noProof/>
        </w:rPr>
        <w:t>Note: Biogenic carbon indicates the carbon resulting from the upgrade of biogas to biomethane</w:t>
      </w:r>
      <w:r w:rsidR="008C749D">
        <w:rPr>
          <w:noProof/>
        </w:rPr>
        <w:t>.</w:t>
      </w:r>
    </w:p>
    <w:p w14:paraId="78E82F4C" w14:textId="10380781" w:rsidR="00DE43B4" w:rsidRDefault="00DE43B4" w:rsidP="00E933E0">
      <w:pPr>
        <w:pStyle w:val="CT-SOURCE"/>
        <w:rPr>
          <w:i w:val="0"/>
          <w:noProof/>
        </w:rPr>
      </w:pPr>
      <w:r w:rsidRPr="00E933E0">
        <w:rPr>
          <w:noProof/>
        </w:rPr>
        <w:t>Source: PRIMES</w:t>
      </w:r>
    </w:p>
    <w:p w14:paraId="234B9D40" w14:textId="5723B395" w:rsidR="00016642" w:rsidRDefault="00016642" w:rsidP="00016642">
      <w:pPr>
        <w:rPr>
          <w:noProof/>
        </w:rPr>
      </w:pPr>
      <w:r>
        <w:rPr>
          <w:noProof/>
        </w:rPr>
        <w:t xml:space="preserve">The order in which carbon capture technologies are deployed to satisfy increasing demand reflects the results of the public consultation questionnaire for the 2040 target, where respondents would prioritise deployment of carbon capture from industrials </w:t>
      </w:r>
      <w:r w:rsidRPr="007A2338">
        <w:rPr>
          <w:noProof/>
        </w:rPr>
        <w:t>process (highest priority given by 36% of respondents), followed by combustion of biomass (23%) and fossil fuel (20%). The strong preference for carbon capture from industrial process is also confirmed when</w:t>
      </w:r>
      <w:r>
        <w:rPr>
          <w:noProof/>
        </w:rPr>
        <w:t xml:space="preserve"> looking at different stakeholders’ group, indicating a general agreement on the development of this technology. The picture is less technology-specific when analysing positions papers collected during the consultation: a</w:t>
      </w:r>
      <w:r w:rsidRPr="008206A7">
        <w:rPr>
          <w:noProof/>
        </w:rPr>
        <w:t>bout half of the</w:t>
      </w:r>
      <w:r>
        <w:rPr>
          <w:noProof/>
        </w:rPr>
        <w:t>m</w:t>
      </w:r>
      <w:r w:rsidRPr="008206A7">
        <w:rPr>
          <w:noProof/>
        </w:rPr>
        <w:t>,</w:t>
      </w:r>
      <w:r>
        <w:rPr>
          <w:noProof/>
        </w:rPr>
        <w:t xml:space="preserve"> published by </w:t>
      </w:r>
      <w:r w:rsidRPr="008206A7">
        <w:rPr>
          <w:noProof/>
        </w:rPr>
        <w:t>business associations, public authorities and academia, encourage</w:t>
      </w:r>
      <w:r>
        <w:rPr>
          <w:noProof/>
        </w:rPr>
        <w:t>s</w:t>
      </w:r>
      <w:r w:rsidRPr="008206A7">
        <w:rPr>
          <w:noProof/>
        </w:rPr>
        <w:t xml:space="preserve"> the uptake of carbon capture and storage technologies, without assigning priority to one specific technology type.</w:t>
      </w:r>
    </w:p>
    <w:p w14:paraId="6DDB89FA" w14:textId="56CF4A9B" w:rsidR="00016642" w:rsidRDefault="00016642" w:rsidP="00016642">
      <w:pPr>
        <w:rPr>
          <w:noProof/>
          <w:lang w:val="en-IE"/>
        </w:rPr>
      </w:pPr>
      <w:r>
        <w:rPr>
          <w:noProof/>
          <w:lang w:val="en-IE"/>
        </w:rPr>
        <w:t>The modelling shows that capture of carbon in 2040 is</w:t>
      </w:r>
      <w:r w:rsidR="00D74CB3">
        <w:rPr>
          <w:noProof/>
          <w:lang w:val="en-IE"/>
        </w:rPr>
        <w:t xml:space="preserve"> mainly</w:t>
      </w:r>
      <w:r>
        <w:rPr>
          <w:noProof/>
          <w:lang w:val="en-IE"/>
        </w:rPr>
        <w:t xml:space="preserve"> driven by the demand for e-fuels required in other sectors and by </w:t>
      </w:r>
      <w:r w:rsidR="008203FD">
        <w:rPr>
          <w:noProof/>
          <w:lang w:val="en-IE"/>
        </w:rPr>
        <w:t xml:space="preserve">the need to reduce net emissions within the sector through </w:t>
      </w:r>
      <w:r>
        <w:rPr>
          <w:noProof/>
          <w:lang w:val="en-IE"/>
        </w:rPr>
        <w:t xml:space="preserve">underground storage </w:t>
      </w:r>
      <w:r w:rsidRPr="00A438D4">
        <w:rPr>
          <w:noProof/>
          <w:lang w:val="en-IE"/>
        </w:rPr>
        <w:t>(</w:t>
      </w:r>
      <w:r w:rsidR="00D9338E" w:rsidRPr="00A438D4">
        <w:rPr>
          <w:noProof/>
          <w:lang w:val="en-IE"/>
        </w:rPr>
        <w:fldChar w:fldCharType="begin"/>
      </w:r>
      <w:r w:rsidR="00D9338E" w:rsidRPr="007A2338">
        <w:rPr>
          <w:noProof/>
          <w:highlight w:val="yellow"/>
          <w:lang w:val="en-IE"/>
        </w:rPr>
        <w:instrText xml:space="preserve"> REF _Ref139631474 \h </w:instrText>
      </w:r>
      <w:r w:rsidR="007A2338">
        <w:rPr>
          <w:noProof/>
          <w:highlight w:val="yellow"/>
          <w:lang w:val="en-IE"/>
        </w:rPr>
        <w:instrText xml:space="preserve"> \* MERGEFORMAT </w:instrText>
      </w:r>
      <w:r w:rsidR="00D9338E" w:rsidRPr="00A438D4">
        <w:rPr>
          <w:noProof/>
          <w:lang w:val="en-IE"/>
        </w:rPr>
      </w:r>
      <w:r w:rsidR="00D9338E" w:rsidRPr="00A438D4">
        <w:rPr>
          <w:noProof/>
          <w:lang w:val="en-IE"/>
        </w:rPr>
        <w:fldChar w:fldCharType="separate"/>
      </w:r>
      <w:r w:rsidR="00170A3C">
        <w:rPr>
          <w:noProof/>
        </w:rPr>
        <w:t>Figure 10</w:t>
      </w:r>
      <w:r w:rsidR="00D9338E" w:rsidRPr="00A438D4">
        <w:rPr>
          <w:noProof/>
          <w:lang w:val="en-IE"/>
        </w:rPr>
        <w:fldChar w:fldCharType="end"/>
      </w:r>
      <w:r w:rsidRPr="00A438D4">
        <w:rPr>
          <w:noProof/>
          <w:lang w:val="en-IE"/>
        </w:rPr>
        <w:t>).</w:t>
      </w:r>
      <w:r>
        <w:rPr>
          <w:noProof/>
          <w:lang w:val="en-IE"/>
        </w:rPr>
        <w:t xml:space="preserve"> In the 2041-2050 decade, where e-fuels are to be produced using fossil-free carbon</w:t>
      </w:r>
      <w:r w:rsidR="008203FD">
        <w:rPr>
          <w:noProof/>
          <w:lang w:val="en-IE"/>
        </w:rPr>
        <w:t xml:space="preserve"> and all residual emissions needs to be compensated</w:t>
      </w:r>
      <w:r>
        <w:rPr>
          <w:noProof/>
          <w:lang w:val="en-IE"/>
        </w:rPr>
        <w:t xml:space="preserve">, </w:t>
      </w:r>
      <w:r>
        <w:rPr>
          <w:noProof/>
        </w:rPr>
        <w:t>the</w:t>
      </w:r>
      <w:r w:rsidR="008203FD">
        <w:rPr>
          <w:noProof/>
        </w:rPr>
        <w:t xml:space="preserve"> action of these drivers continue, increasing the amount of carbon captured</w:t>
      </w:r>
      <w:r w:rsidR="00D74CB3">
        <w:rPr>
          <w:noProof/>
        </w:rPr>
        <w:t xml:space="preserve"> for these two applications. The increasing demand for industrial feedstock also creates a new market for storage in materials, where CO2 is </w:t>
      </w:r>
      <w:r w:rsidR="00D74CB3" w:rsidRPr="00D74CB3">
        <w:rPr>
          <w:noProof/>
        </w:rPr>
        <w:t xml:space="preserve">chemically bound </w:t>
      </w:r>
      <w:r w:rsidR="00D74CB3">
        <w:rPr>
          <w:noProof/>
        </w:rPr>
        <w:t xml:space="preserve">in products, </w:t>
      </w:r>
      <w:r w:rsidR="00D74CB3" w:rsidRPr="000558C6">
        <w:rPr>
          <w:rFonts w:ascii="Times New Roman" w:hAnsi="Times New Roman" w:cs="Times New Roman"/>
          <w:noProof/>
        </w:rPr>
        <w:t>balanc</w:t>
      </w:r>
      <w:r w:rsidR="00D74CB3">
        <w:rPr>
          <w:rFonts w:ascii="Times New Roman" w:hAnsi="Times New Roman" w:cs="Times New Roman"/>
          <w:noProof/>
        </w:rPr>
        <w:t>ing</w:t>
      </w:r>
      <w:r w:rsidR="00D74CB3" w:rsidRPr="000558C6">
        <w:rPr>
          <w:rFonts w:ascii="Times New Roman" w:hAnsi="Times New Roman" w:cs="Times New Roman"/>
          <w:noProof/>
        </w:rPr>
        <w:t xml:space="preserve"> industrial CO2 needs, making local CO2 networks an attractive option</w:t>
      </w:r>
      <w:r w:rsidR="00D74CB3">
        <w:rPr>
          <w:noProof/>
        </w:rPr>
        <w:t>.</w:t>
      </w:r>
    </w:p>
    <w:p w14:paraId="58537D08" w14:textId="2A4C4B5A" w:rsidR="0008196C" w:rsidRDefault="00B10F71" w:rsidP="00F64F27">
      <w:pPr>
        <w:pStyle w:val="Caption"/>
        <w:rPr>
          <w:noProof/>
        </w:rPr>
      </w:pPr>
      <w:bookmarkStart w:id="81" w:name="_Ref139631474"/>
      <w:bookmarkStart w:id="82" w:name="_Toc157679758"/>
      <w:r>
        <w:rPr>
          <w:noProof/>
        </w:rPr>
        <w:t xml:space="preserve">Figure </w:t>
      </w:r>
      <w:r>
        <w:rPr>
          <w:noProof/>
        </w:rPr>
        <w:fldChar w:fldCharType="begin"/>
      </w:r>
      <w:r>
        <w:rPr>
          <w:noProof/>
        </w:rPr>
        <w:instrText>SEQ Figure \* ARABIC</w:instrText>
      </w:r>
      <w:r>
        <w:rPr>
          <w:noProof/>
        </w:rPr>
        <w:fldChar w:fldCharType="separate"/>
      </w:r>
      <w:r w:rsidR="00170A3C">
        <w:rPr>
          <w:noProof/>
        </w:rPr>
        <w:t>10</w:t>
      </w:r>
      <w:r>
        <w:rPr>
          <w:noProof/>
        </w:rPr>
        <w:fldChar w:fldCharType="end"/>
      </w:r>
      <w:bookmarkEnd w:id="81"/>
      <w:r w:rsidR="0008196C">
        <w:rPr>
          <w:noProof/>
        </w:rPr>
        <w:t xml:space="preserve">: </w:t>
      </w:r>
      <w:r w:rsidR="0008196C" w:rsidRPr="00FA6470">
        <w:rPr>
          <w:noProof/>
        </w:rPr>
        <w:t>Carbon Capture</w:t>
      </w:r>
      <w:r w:rsidR="00EF7290">
        <w:rPr>
          <w:noProof/>
        </w:rPr>
        <w:t>d</w:t>
      </w:r>
      <w:r w:rsidR="0008196C" w:rsidRPr="00FA6470">
        <w:rPr>
          <w:noProof/>
        </w:rPr>
        <w:t xml:space="preserve"> by </w:t>
      </w:r>
      <w:r w:rsidR="00EF7290">
        <w:rPr>
          <w:noProof/>
        </w:rPr>
        <w:t>end</w:t>
      </w:r>
      <w:r w:rsidR="0008196C" w:rsidRPr="00FA6470">
        <w:rPr>
          <w:noProof/>
        </w:rPr>
        <w:t xml:space="preserve"> application</w:t>
      </w:r>
      <w:bookmarkEnd w:id="82"/>
    </w:p>
    <w:p w14:paraId="15F06E8E" w14:textId="514E10C5" w:rsidR="00DB25A8" w:rsidRPr="00DB25A8" w:rsidRDefault="00E728BD" w:rsidP="00F64F27">
      <w:pPr>
        <w:keepNext/>
        <w:spacing w:after="0"/>
        <w:rPr>
          <w:noProof/>
        </w:rPr>
      </w:pPr>
      <w:r w:rsidRPr="00E728BD">
        <w:rPr>
          <w:noProof/>
        </w:rPr>
        <w:t xml:space="preserve"> </w:t>
      </w:r>
      <w:r w:rsidRPr="00E728BD">
        <w:rPr>
          <w:noProof/>
          <w:lang w:eastAsia="en-GB"/>
        </w:rPr>
        <w:drawing>
          <wp:inline distT="0" distB="0" distL="0" distR="0" wp14:anchorId="65A7CFB0" wp14:editId="674A606F">
            <wp:extent cx="5362575" cy="2590800"/>
            <wp:effectExtent l="0" t="0" r="952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362575" cy="2590800"/>
                    </a:xfrm>
                    <a:prstGeom prst="rect">
                      <a:avLst/>
                    </a:prstGeom>
                    <a:noFill/>
                    <a:ln>
                      <a:noFill/>
                    </a:ln>
                  </pic:spPr>
                </pic:pic>
              </a:graphicData>
            </a:graphic>
          </wp:inline>
        </w:drawing>
      </w:r>
    </w:p>
    <w:p w14:paraId="43CDFE79" w14:textId="77777777" w:rsidR="00595EF8" w:rsidRPr="00547CAB" w:rsidRDefault="00F6552B" w:rsidP="00E933E0">
      <w:pPr>
        <w:pStyle w:val="CT-SOURCE"/>
        <w:rPr>
          <w:i w:val="0"/>
          <w:iCs w:val="0"/>
          <w:noProof/>
        </w:rPr>
      </w:pPr>
      <w:r w:rsidRPr="00547CAB">
        <w:rPr>
          <w:noProof/>
        </w:rPr>
        <w:t>Source: PRIMES.</w:t>
      </w:r>
    </w:p>
    <w:p w14:paraId="18386ABE" w14:textId="2D84AFCE" w:rsidR="00347D85" w:rsidRPr="0007337B" w:rsidRDefault="00D62949" w:rsidP="00727638">
      <w:pPr>
        <w:rPr>
          <w:noProof/>
        </w:rPr>
      </w:pPr>
      <w:bookmarkStart w:id="83" w:name="_Hlk146817603"/>
      <w:r>
        <w:rPr>
          <w:noProof/>
        </w:rPr>
        <w:t xml:space="preserve">In the 2030-2050 period, </w:t>
      </w:r>
      <w:r w:rsidR="000219DE">
        <w:rPr>
          <w:noProof/>
        </w:rPr>
        <w:t>the model shows that</w:t>
      </w:r>
      <w:r>
        <w:rPr>
          <w:noProof/>
        </w:rPr>
        <w:t xml:space="preserve"> c</w:t>
      </w:r>
      <w:r w:rsidR="00E770C1">
        <w:rPr>
          <w:noProof/>
        </w:rPr>
        <w:t xml:space="preserve">arbon capture </w:t>
      </w:r>
      <w:r w:rsidR="00016642">
        <w:rPr>
          <w:noProof/>
        </w:rPr>
        <w:t>does</w:t>
      </w:r>
      <w:r w:rsidR="00E770C1">
        <w:rPr>
          <w:noProof/>
        </w:rPr>
        <w:t xml:space="preserve"> </w:t>
      </w:r>
      <w:r w:rsidR="00BC5F98">
        <w:rPr>
          <w:noProof/>
        </w:rPr>
        <w:t>not only reduce emissions in hard-to-abate sectors, but a</w:t>
      </w:r>
      <w:r w:rsidR="00EA2F69">
        <w:rPr>
          <w:noProof/>
        </w:rPr>
        <w:t xml:space="preserve">bove all </w:t>
      </w:r>
      <w:r w:rsidR="00241474">
        <w:rPr>
          <w:noProof/>
        </w:rPr>
        <w:t>generate</w:t>
      </w:r>
      <w:r w:rsidR="00016642">
        <w:rPr>
          <w:noProof/>
        </w:rPr>
        <w:t>s</w:t>
      </w:r>
      <w:r w:rsidR="00BC5F98">
        <w:rPr>
          <w:noProof/>
        </w:rPr>
        <w:t xml:space="preserve"> </w:t>
      </w:r>
      <w:r w:rsidR="006947CD">
        <w:rPr>
          <w:noProof/>
        </w:rPr>
        <w:t xml:space="preserve">carbon feedstock for </w:t>
      </w:r>
      <w:r w:rsidR="000A00B5">
        <w:rPr>
          <w:noProof/>
        </w:rPr>
        <w:t xml:space="preserve">e-fuels </w:t>
      </w:r>
      <w:r w:rsidR="00F64F27">
        <w:rPr>
          <w:noProof/>
        </w:rPr>
        <w:t>or</w:t>
      </w:r>
      <w:r w:rsidR="000A00B5">
        <w:rPr>
          <w:noProof/>
        </w:rPr>
        <w:t xml:space="preserve"> </w:t>
      </w:r>
      <w:r w:rsidR="004C033A">
        <w:rPr>
          <w:noProof/>
        </w:rPr>
        <w:t xml:space="preserve">fossil-free </w:t>
      </w:r>
      <w:bookmarkStart w:id="84" w:name="_Hlk146817484"/>
      <w:r w:rsidR="00A41878">
        <w:rPr>
          <w:noProof/>
        </w:rPr>
        <w:t>products</w:t>
      </w:r>
      <w:r w:rsidR="00CE295F">
        <w:rPr>
          <w:noProof/>
        </w:rPr>
        <w:t xml:space="preserve"> </w:t>
      </w:r>
      <w:r w:rsidR="00CE295F" w:rsidRPr="00CE295F">
        <w:rPr>
          <w:noProof/>
        </w:rPr>
        <w:t xml:space="preserve">as well as </w:t>
      </w:r>
      <w:r w:rsidR="008203FD">
        <w:rPr>
          <w:noProof/>
        </w:rPr>
        <w:t>industrial removals (in terms</w:t>
      </w:r>
      <w:r w:rsidR="00CE295F" w:rsidRPr="00CE295F">
        <w:rPr>
          <w:noProof/>
        </w:rPr>
        <w:t xml:space="preserve"> of BECCS and DA</w:t>
      </w:r>
      <w:r w:rsidR="008203FD">
        <w:rPr>
          <w:noProof/>
        </w:rPr>
        <w:t>C</w:t>
      </w:r>
      <w:r w:rsidR="00CE295F" w:rsidRPr="00CE295F">
        <w:rPr>
          <w:noProof/>
        </w:rPr>
        <w:t>C</w:t>
      </w:r>
      <w:r w:rsidR="00AB7D8E">
        <w:rPr>
          <w:noProof/>
        </w:rPr>
        <w:t>S)</w:t>
      </w:r>
      <w:bookmarkEnd w:id="84"/>
      <w:r w:rsidR="004C033A">
        <w:rPr>
          <w:noProof/>
        </w:rPr>
        <w:t xml:space="preserve">. </w:t>
      </w:r>
      <w:bookmarkEnd w:id="83"/>
      <w:r w:rsidR="00C202E5">
        <w:rPr>
          <w:noProof/>
        </w:rPr>
        <w:t xml:space="preserve">A real carbon </w:t>
      </w:r>
      <w:r w:rsidR="008430D8">
        <w:rPr>
          <w:noProof/>
        </w:rPr>
        <w:t>management</w:t>
      </w:r>
      <w:r w:rsidR="00C202E5">
        <w:rPr>
          <w:noProof/>
        </w:rPr>
        <w:t xml:space="preserve"> industry </w:t>
      </w:r>
      <w:r w:rsidR="00444EE1">
        <w:rPr>
          <w:noProof/>
        </w:rPr>
        <w:t xml:space="preserve">is to be </w:t>
      </w:r>
      <w:r w:rsidR="00C202E5">
        <w:rPr>
          <w:noProof/>
        </w:rPr>
        <w:t xml:space="preserve">created, connecting </w:t>
      </w:r>
      <w:r w:rsidR="00606135">
        <w:rPr>
          <w:noProof/>
        </w:rPr>
        <w:t xml:space="preserve">different </w:t>
      </w:r>
      <w:r w:rsidR="00F860FB">
        <w:rPr>
          <w:noProof/>
        </w:rPr>
        <w:t xml:space="preserve">carbon </w:t>
      </w:r>
      <w:r w:rsidR="00A45A73">
        <w:rPr>
          <w:noProof/>
        </w:rPr>
        <w:t xml:space="preserve">technologies and sources </w:t>
      </w:r>
      <w:r w:rsidR="00F860FB">
        <w:rPr>
          <w:noProof/>
        </w:rPr>
        <w:t xml:space="preserve">to </w:t>
      </w:r>
      <w:r w:rsidR="003E4386">
        <w:rPr>
          <w:noProof/>
        </w:rPr>
        <w:t>final end-user application</w:t>
      </w:r>
      <w:r w:rsidR="00F64F27">
        <w:rPr>
          <w:noProof/>
        </w:rPr>
        <w:t>s</w:t>
      </w:r>
      <w:r w:rsidR="00D74CB3">
        <w:rPr>
          <w:noProof/>
        </w:rPr>
        <w:t xml:space="preserve"> through industrial feedstocks</w:t>
      </w:r>
      <w:r w:rsidR="001759FB">
        <w:rPr>
          <w:noProof/>
        </w:rPr>
        <w:t>, balanc</w:t>
      </w:r>
      <w:r w:rsidR="00844311">
        <w:rPr>
          <w:noProof/>
        </w:rPr>
        <w:t>ing</w:t>
      </w:r>
      <w:r w:rsidR="001759FB">
        <w:rPr>
          <w:noProof/>
        </w:rPr>
        <w:t xml:space="preserve"> carbon flows in the EU economy</w:t>
      </w:r>
      <w:r w:rsidR="00F555C0">
        <w:rPr>
          <w:noProof/>
        </w:rPr>
        <w:t xml:space="preserve">. </w:t>
      </w:r>
      <w:r w:rsidR="00B5260F" w:rsidRPr="00A438D4">
        <w:rPr>
          <w:noProof/>
          <w:color w:val="2B579A"/>
          <w:shd w:val="clear" w:color="auto" w:fill="E6E6E6"/>
        </w:rPr>
        <w:fldChar w:fldCharType="begin"/>
      </w:r>
      <w:r w:rsidR="00B5260F" w:rsidRPr="00A438D4">
        <w:rPr>
          <w:noProof/>
        </w:rPr>
        <w:instrText xml:space="preserve"> REF _Ref139442367 \h </w:instrText>
      </w:r>
      <w:r w:rsidR="00AB7D8E" w:rsidRPr="00A438D4">
        <w:rPr>
          <w:noProof/>
          <w:color w:val="2B579A"/>
          <w:shd w:val="clear" w:color="auto" w:fill="E6E6E6"/>
        </w:rPr>
        <w:instrText xml:space="preserve"> \* MERGEFORMAT </w:instrText>
      </w:r>
      <w:r w:rsidR="00B5260F" w:rsidRPr="00A438D4">
        <w:rPr>
          <w:noProof/>
          <w:color w:val="2B579A"/>
          <w:shd w:val="clear" w:color="auto" w:fill="E6E6E6"/>
        </w:rPr>
      </w:r>
      <w:r w:rsidR="00B5260F" w:rsidRPr="00A438D4">
        <w:rPr>
          <w:noProof/>
          <w:color w:val="2B579A"/>
          <w:shd w:val="clear" w:color="auto" w:fill="E6E6E6"/>
        </w:rPr>
        <w:fldChar w:fldCharType="separate"/>
      </w:r>
      <w:r w:rsidR="00170A3C" w:rsidRPr="009932B2">
        <w:rPr>
          <w:noProof/>
        </w:rPr>
        <w:t xml:space="preserve">Figure </w:t>
      </w:r>
      <w:r w:rsidR="00170A3C">
        <w:rPr>
          <w:noProof/>
        </w:rPr>
        <w:t>11</w:t>
      </w:r>
      <w:r w:rsidR="00B5260F" w:rsidRPr="00A438D4">
        <w:rPr>
          <w:noProof/>
          <w:color w:val="2B579A"/>
          <w:shd w:val="clear" w:color="auto" w:fill="E6E6E6"/>
        </w:rPr>
        <w:fldChar w:fldCharType="end"/>
      </w:r>
      <w:r w:rsidR="00B5260F" w:rsidRPr="00A438D4">
        <w:rPr>
          <w:noProof/>
        </w:rPr>
        <w:t xml:space="preserve"> shows</w:t>
      </w:r>
      <w:r w:rsidR="00B5260F">
        <w:rPr>
          <w:noProof/>
        </w:rPr>
        <w:t xml:space="preserve"> the carbon flows between sources and uses in 2040 </w:t>
      </w:r>
      <w:r w:rsidR="005E370C">
        <w:rPr>
          <w:noProof/>
        </w:rPr>
        <w:t>in the different scenarios</w:t>
      </w:r>
      <w:r w:rsidR="00B5260F">
        <w:rPr>
          <w:noProof/>
        </w:rPr>
        <w:t xml:space="preserve">. </w:t>
      </w:r>
      <w:r w:rsidR="00215EC2">
        <w:rPr>
          <w:noProof/>
        </w:rPr>
        <w:t xml:space="preserve">These carbon flows </w:t>
      </w:r>
      <w:r w:rsidR="00B5260F">
        <w:rPr>
          <w:noProof/>
        </w:rPr>
        <w:t xml:space="preserve">can be </w:t>
      </w:r>
      <w:r w:rsidR="009775EF">
        <w:rPr>
          <w:noProof/>
        </w:rPr>
        <w:t xml:space="preserve">also </w:t>
      </w:r>
      <w:r w:rsidR="00B5260F">
        <w:rPr>
          <w:noProof/>
        </w:rPr>
        <w:t xml:space="preserve">affected by </w:t>
      </w:r>
      <w:r w:rsidR="00AB7D8E">
        <w:rPr>
          <w:noProof/>
        </w:rPr>
        <w:t xml:space="preserve">the </w:t>
      </w:r>
      <w:r w:rsidR="000D0B5B">
        <w:rPr>
          <w:noProof/>
        </w:rPr>
        <w:t xml:space="preserve">projected </w:t>
      </w:r>
      <w:r w:rsidR="00AB7D8E">
        <w:rPr>
          <w:noProof/>
        </w:rPr>
        <w:t>levels of emission reduction</w:t>
      </w:r>
      <w:r w:rsidR="009E486D">
        <w:rPr>
          <w:noProof/>
        </w:rPr>
        <w:t xml:space="preserve">. </w:t>
      </w:r>
      <w:r w:rsidR="0083121C">
        <w:rPr>
          <w:noProof/>
        </w:rPr>
        <w:t>Fo</w:t>
      </w:r>
      <w:r w:rsidR="00F06248">
        <w:rPr>
          <w:noProof/>
        </w:rPr>
        <w:t>r</w:t>
      </w:r>
      <w:r w:rsidR="0083121C">
        <w:rPr>
          <w:noProof/>
        </w:rPr>
        <w:t xml:space="preserve"> instance, </w:t>
      </w:r>
      <w:r w:rsidR="003B10FA">
        <w:rPr>
          <w:noProof/>
        </w:rPr>
        <w:t>while</w:t>
      </w:r>
      <w:r w:rsidR="005E370C">
        <w:rPr>
          <w:noProof/>
        </w:rPr>
        <w:t xml:space="preserve"> </w:t>
      </w:r>
      <w:r w:rsidR="000D0B5B">
        <w:rPr>
          <w:noProof/>
        </w:rPr>
        <w:t xml:space="preserve">e-fuels </w:t>
      </w:r>
      <w:r w:rsidR="00EA653C">
        <w:rPr>
          <w:noProof/>
        </w:rPr>
        <w:t xml:space="preserve">can </w:t>
      </w:r>
      <w:r w:rsidR="008C74F4">
        <w:rPr>
          <w:noProof/>
        </w:rPr>
        <w:t>be produced by</w:t>
      </w:r>
      <w:r w:rsidR="00EA653C">
        <w:rPr>
          <w:noProof/>
        </w:rPr>
        <w:t xml:space="preserve"> carbon captured from fossil fuels </w:t>
      </w:r>
      <w:r w:rsidR="00AB7D8E">
        <w:rPr>
          <w:noProof/>
        </w:rPr>
        <w:t xml:space="preserve">in power generation </w:t>
      </w:r>
      <w:r w:rsidR="00EA653C">
        <w:rPr>
          <w:noProof/>
        </w:rPr>
        <w:t xml:space="preserve">and industrial processes </w:t>
      </w:r>
      <w:r w:rsidR="00944BE2">
        <w:rPr>
          <w:noProof/>
        </w:rPr>
        <w:t>in scenarios with higher 2040 emissions (S1 and S2</w:t>
      </w:r>
      <w:r w:rsidR="005E370C">
        <w:rPr>
          <w:noProof/>
        </w:rPr>
        <w:t>)</w:t>
      </w:r>
      <w:r w:rsidR="00EA653C">
        <w:rPr>
          <w:noProof/>
        </w:rPr>
        <w:t xml:space="preserve">, </w:t>
      </w:r>
      <w:r w:rsidR="00AB7D8E">
        <w:rPr>
          <w:noProof/>
        </w:rPr>
        <w:t xml:space="preserve">the higher ambition of </w:t>
      </w:r>
      <w:r w:rsidR="00EA653C">
        <w:rPr>
          <w:noProof/>
        </w:rPr>
        <w:t xml:space="preserve">S3 </w:t>
      </w:r>
      <w:r w:rsidR="00AB7D8E">
        <w:rPr>
          <w:noProof/>
        </w:rPr>
        <w:t>makes necessary the permanent storage of these fossil fuel emissions.</w:t>
      </w:r>
      <w:r w:rsidR="009E486D">
        <w:rPr>
          <w:noProof/>
        </w:rPr>
        <w:t xml:space="preserve"> I</w:t>
      </w:r>
      <w:r w:rsidR="00FC4D0C">
        <w:rPr>
          <w:noProof/>
        </w:rPr>
        <w:t xml:space="preserve">n S3, </w:t>
      </w:r>
      <w:r w:rsidR="009E486D">
        <w:rPr>
          <w:noProof/>
        </w:rPr>
        <w:t xml:space="preserve">the production of </w:t>
      </w:r>
      <w:r w:rsidR="005E370C">
        <w:rPr>
          <w:noProof/>
        </w:rPr>
        <w:t>e</w:t>
      </w:r>
      <w:r w:rsidR="009E486D">
        <w:rPr>
          <w:noProof/>
        </w:rPr>
        <w:t>-</w:t>
      </w:r>
      <w:r w:rsidR="005E370C">
        <w:rPr>
          <w:noProof/>
        </w:rPr>
        <w:t xml:space="preserve">fuels </w:t>
      </w:r>
      <w:r w:rsidR="009E486D">
        <w:rPr>
          <w:noProof/>
        </w:rPr>
        <w:t xml:space="preserve">in 2040 relies </w:t>
      </w:r>
      <w:r w:rsidR="003B10FA">
        <w:rPr>
          <w:noProof/>
        </w:rPr>
        <w:t xml:space="preserve">mostly </w:t>
      </w:r>
      <w:r w:rsidR="009E486D">
        <w:rPr>
          <w:noProof/>
        </w:rPr>
        <w:t>on</w:t>
      </w:r>
      <w:r w:rsidR="00FC4D0C">
        <w:rPr>
          <w:noProof/>
        </w:rPr>
        <w:t xml:space="preserve"> </w:t>
      </w:r>
      <w:r w:rsidR="000D0B5B">
        <w:rPr>
          <w:noProof/>
        </w:rPr>
        <w:t xml:space="preserve">fossil-free </w:t>
      </w:r>
      <w:r w:rsidR="005E370C">
        <w:rPr>
          <w:noProof/>
        </w:rPr>
        <w:t xml:space="preserve">sources of carbon </w:t>
      </w:r>
      <w:r w:rsidR="009E486D">
        <w:rPr>
          <w:noProof/>
        </w:rPr>
        <w:t>derived from biomass (either captured from bioenergy combusting application or of</w:t>
      </w:r>
      <w:r w:rsidR="005E370C">
        <w:rPr>
          <w:noProof/>
        </w:rPr>
        <w:t xml:space="preserve"> biogenic origin from the upgrade of biogas to biomethane</w:t>
      </w:r>
      <w:r w:rsidR="009E486D">
        <w:rPr>
          <w:noProof/>
        </w:rPr>
        <w:t xml:space="preserve">) </w:t>
      </w:r>
      <w:r w:rsidR="003B10FA">
        <w:rPr>
          <w:noProof/>
        </w:rPr>
        <w:t>and, given the limit</w:t>
      </w:r>
      <w:r w:rsidR="00E66016">
        <w:rPr>
          <w:noProof/>
        </w:rPr>
        <w:t>ed sustainable</w:t>
      </w:r>
      <w:r w:rsidR="003B10FA">
        <w:rPr>
          <w:noProof/>
        </w:rPr>
        <w:t xml:space="preserve"> biomass resources,</w:t>
      </w:r>
      <w:r w:rsidR="009E486D">
        <w:rPr>
          <w:noProof/>
        </w:rPr>
        <w:t xml:space="preserve"> </w:t>
      </w:r>
      <w:r w:rsidR="003B10FA">
        <w:rPr>
          <w:noProof/>
        </w:rPr>
        <w:t>from DACC</w:t>
      </w:r>
      <w:r w:rsidR="009E486D">
        <w:rPr>
          <w:noProof/>
        </w:rPr>
        <w:t xml:space="preserve">. Beyond 2040, </w:t>
      </w:r>
      <w:r w:rsidR="003B10FA">
        <w:rPr>
          <w:noProof/>
        </w:rPr>
        <w:t>when</w:t>
      </w:r>
      <w:r w:rsidR="009E486D">
        <w:rPr>
          <w:noProof/>
        </w:rPr>
        <w:t xml:space="preserve"> fossil</w:t>
      </w:r>
      <w:r w:rsidR="00F97BD2">
        <w:rPr>
          <w:noProof/>
        </w:rPr>
        <w:t xml:space="preserve"> fuels are excluded</w:t>
      </w:r>
      <w:r w:rsidR="00640586" w:rsidRPr="00640586">
        <w:rPr>
          <w:noProof/>
        </w:rPr>
        <w:t> (</w:t>
      </w:r>
      <w:r w:rsidR="00640586">
        <w:rPr>
          <w:rStyle w:val="FootnoteReference"/>
          <w:noProof/>
        </w:rPr>
        <w:footnoteReference w:id="52"/>
      </w:r>
      <w:r w:rsidR="00640586">
        <w:rPr>
          <w:noProof/>
        </w:rPr>
        <w:t>)</w:t>
      </w:r>
      <w:r w:rsidR="00F97BD2">
        <w:rPr>
          <w:noProof/>
        </w:rPr>
        <w:t xml:space="preserve"> from </w:t>
      </w:r>
      <w:r w:rsidR="001041E9">
        <w:rPr>
          <w:noProof/>
        </w:rPr>
        <w:t xml:space="preserve">possible source of </w:t>
      </w:r>
      <w:r w:rsidR="009E486D">
        <w:rPr>
          <w:noProof/>
        </w:rPr>
        <w:t>carbon</w:t>
      </w:r>
      <w:r w:rsidR="001041E9">
        <w:rPr>
          <w:noProof/>
        </w:rPr>
        <w:t xml:space="preserve"> for </w:t>
      </w:r>
      <w:r w:rsidR="00AB7D8E">
        <w:rPr>
          <w:noProof/>
        </w:rPr>
        <w:t xml:space="preserve">production of </w:t>
      </w:r>
      <w:r w:rsidR="009E486D">
        <w:rPr>
          <w:noProof/>
        </w:rPr>
        <w:t>RFNBOs</w:t>
      </w:r>
      <w:r w:rsidR="00AB7D8E">
        <w:rPr>
          <w:noProof/>
        </w:rPr>
        <w:t xml:space="preserve"> across all scenarios</w:t>
      </w:r>
      <w:r w:rsidR="00E66016">
        <w:rPr>
          <w:noProof/>
        </w:rPr>
        <w:t>,</w:t>
      </w:r>
      <w:r w:rsidR="00392E95">
        <w:rPr>
          <w:noProof/>
        </w:rPr>
        <w:t xml:space="preserve"> and e-fuels demand increases even further,</w:t>
      </w:r>
      <w:r w:rsidR="009E486D">
        <w:rPr>
          <w:noProof/>
        </w:rPr>
        <w:t xml:space="preserve"> </w:t>
      </w:r>
      <w:r w:rsidR="00E66016">
        <w:rPr>
          <w:noProof/>
        </w:rPr>
        <w:t xml:space="preserve">they are produced </w:t>
      </w:r>
      <w:r w:rsidR="00CB6FFC">
        <w:rPr>
          <w:noProof/>
        </w:rPr>
        <w:t xml:space="preserve">mostly </w:t>
      </w:r>
      <w:r w:rsidR="00E66016">
        <w:rPr>
          <w:noProof/>
        </w:rPr>
        <w:t>using</w:t>
      </w:r>
      <w:r w:rsidR="009E486D">
        <w:rPr>
          <w:noProof/>
        </w:rPr>
        <w:t xml:space="preserve"> carbon derived from DAC</w:t>
      </w:r>
      <w:r w:rsidR="00C44E0A">
        <w:rPr>
          <w:noProof/>
        </w:rPr>
        <w:t>C</w:t>
      </w:r>
      <w:r w:rsidR="009E486D">
        <w:rPr>
          <w:noProof/>
        </w:rPr>
        <w:t xml:space="preserve"> </w:t>
      </w:r>
      <w:r w:rsidR="00ED2028">
        <w:rPr>
          <w:noProof/>
        </w:rPr>
        <w:t>and in part</w:t>
      </w:r>
      <w:r w:rsidR="009E486D">
        <w:rPr>
          <w:noProof/>
        </w:rPr>
        <w:t xml:space="preserve"> from biomass</w:t>
      </w:r>
      <w:r w:rsidR="00E66016">
        <w:rPr>
          <w:noProof/>
        </w:rPr>
        <w:t>.</w:t>
      </w:r>
      <w:r w:rsidR="00392E95">
        <w:rPr>
          <w:noProof/>
        </w:rPr>
        <w:t xml:space="preserve"> A</w:t>
      </w:r>
      <w:r w:rsidR="009E486D">
        <w:rPr>
          <w:noProof/>
        </w:rPr>
        <w:t xml:space="preserve">ll </w:t>
      </w:r>
      <w:r w:rsidR="00392E95">
        <w:rPr>
          <w:noProof/>
        </w:rPr>
        <w:t>remaining</w:t>
      </w:r>
      <w:r w:rsidR="009E486D">
        <w:rPr>
          <w:noProof/>
        </w:rPr>
        <w:t xml:space="preserve"> fossil carbon is </w:t>
      </w:r>
      <w:r w:rsidR="00E66016">
        <w:rPr>
          <w:noProof/>
        </w:rPr>
        <w:t>then</w:t>
      </w:r>
      <w:r w:rsidR="009E486D">
        <w:rPr>
          <w:noProof/>
        </w:rPr>
        <w:t xml:space="preserve"> </w:t>
      </w:r>
      <w:r w:rsidR="00D74D1A">
        <w:rPr>
          <w:noProof/>
        </w:rPr>
        <w:t xml:space="preserve">permanently </w:t>
      </w:r>
      <w:r w:rsidR="009E486D">
        <w:rPr>
          <w:noProof/>
        </w:rPr>
        <w:t xml:space="preserve">stored (either underground or in products). </w:t>
      </w:r>
    </w:p>
    <w:p w14:paraId="2E31CE0B" w14:textId="6D0DC9BB" w:rsidR="00BC2A36" w:rsidRDefault="00BC2A36" w:rsidP="007D0FD2">
      <w:pPr>
        <w:pStyle w:val="Caption"/>
        <w:rPr>
          <w:noProof/>
        </w:rPr>
      </w:pPr>
      <w:bookmarkStart w:id="85" w:name="_Ref139442367"/>
      <w:bookmarkStart w:id="86" w:name="_Toc157679759"/>
      <w:r w:rsidRPr="009932B2">
        <w:rPr>
          <w:noProof/>
        </w:rPr>
        <w:t xml:space="preserve">Figure </w:t>
      </w:r>
      <w:r w:rsidRPr="00DA5552">
        <w:rPr>
          <w:noProof/>
        </w:rPr>
        <w:fldChar w:fldCharType="begin"/>
      </w:r>
      <w:r w:rsidRPr="009932B2">
        <w:rPr>
          <w:noProof/>
        </w:rPr>
        <w:instrText>SEQ Figure \* ARABIC</w:instrText>
      </w:r>
      <w:r w:rsidRPr="00DA5552">
        <w:rPr>
          <w:noProof/>
        </w:rPr>
        <w:fldChar w:fldCharType="separate"/>
      </w:r>
      <w:r w:rsidR="00170A3C">
        <w:rPr>
          <w:noProof/>
        </w:rPr>
        <w:t>11</w:t>
      </w:r>
      <w:r w:rsidRPr="00DA5552">
        <w:rPr>
          <w:noProof/>
        </w:rPr>
        <w:fldChar w:fldCharType="end"/>
      </w:r>
      <w:bookmarkEnd w:id="85"/>
      <w:r w:rsidRPr="009932B2">
        <w:rPr>
          <w:noProof/>
        </w:rPr>
        <w:t xml:space="preserve">: </w:t>
      </w:r>
      <w:r w:rsidR="00EE4CA4" w:rsidRPr="009932B2">
        <w:rPr>
          <w:noProof/>
        </w:rPr>
        <w:t>F</w:t>
      </w:r>
      <w:r w:rsidRPr="009932B2">
        <w:rPr>
          <w:noProof/>
        </w:rPr>
        <w:t xml:space="preserve">low of </w:t>
      </w:r>
      <w:r w:rsidR="00EE4CA4" w:rsidRPr="009932B2">
        <w:rPr>
          <w:noProof/>
        </w:rPr>
        <w:t xml:space="preserve">captured </w:t>
      </w:r>
      <w:r w:rsidRPr="009932B2">
        <w:rPr>
          <w:noProof/>
        </w:rPr>
        <w:t>carbon in 2040</w:t>
      </w:r>
      <w:bookmarkEnd w:id="86"/>
      <w:r>
        <w:rPr>
          <w:noProof/>
        </w:rPr>
        <w:t xml:space="preserve"> </w:t>
      </w:r>
    </w:p>
    <w:p w14:paraId="4C184B95" w14:textId="0196AF5F" w:rsidR="00291EB5" w:rsidRPr="0017656A" w:rsidRDefault="0017656A" w:rsidP="0017656A">
      <w:pPr>
        <w:rPr>
          <w:noProof/>
        </w:rPr>
      </w:pPr>
      <w:r w:rsidRPr="0017656A">
        <w:rPr>
          <w:noProof/>
          <w:lang w:eastAsia="en-GB"/>
        </w:rPr>
        <w:drawing>
          <wp:inline distT="0" distB="0" distL="0" distR="0" wp14:anchorId="41D01C47" wp14:editId="0F1162E9">
            <wp:extent cx="5096510" cy="5152390"/>
            <wp:effectExtent l="0" t="0" r="889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096510" cy="5152390"/>
                    </a:xfrm>
                    <a:prstGeom prst="rect">
                      <a:avLst/>
                    </a:prstGeom>
                    <a:noFill/>
                    <a:ln>
                      <a:noFill/>
                    </a:ln>
                  </pic:spPr>
                </pic:pic>
              </a:graphicData>
            </a:graphic>
          </wp:inline>
        </w:drawing>
      </w:r>
    </w:p>
    <w:p w14:paraId="0D82C1AB" w14:textId="4FB2F69B" w:rsidR="00572C8C" w:rsidRPr="00C12270" w:rsidRDefault="00572C8C" w:rsidP="005E74B4">
      <w:pPr>
        <w:pStyle w:val="CT-NOTE"/>
        <w:rPr>
          <w:i w:val="0"/>
          <w:noProof/>
        </w:rPr>
      </w:pPr>
      <w:r w:rsidRPr="00C12270">
        <w:rPr>
          <w:noProof/>
        </w:rPr>
        <w:t xml:space="preserve">Note: </w:t>
      </w:r>
      <w:r w:rsidR="00151757" w:rsidRPr="00C12270">
        <w:rPr>
          <w:i w:val="0"/>
          <w:noProof/>
        </w:rPr>
        <w:t>“</w:t>
      </w:r>
      <w:r w:rsidR="00151757">
        <w:rPr>
          <w:i w:val="0"/>
          <w:noProof/>
        </w:rPr>
        <w:t xml:space="preserve">Ind. P.” stands for </w:t>
      </w:r>
      <w:r w:rsidR="00151757" w:rsidRPr="00C12270">
        <w:rPr>
          <w:i w:val="0"/>
          <w:noProof/>
        </w:rPr>
        <w:t>Industrial processes</w:t>
      </w:r>
      <w:r w:rsidR="00151757">
        <w:rPr>
          <w:i w:val="0"/>
          <w:noProof/>
        </w:rPr>
        <w:t xml:space="preserve"> and</w:t>
      </w:r>
      <w:r w:rsidR="00151757" w:rsidRPr="00C12270">
        <w:rPr>
          <w:i w:val="0"/>
          <w:noProof/>
        </w:rPr>
        <w:t xml:space="preserve"> include fossil carbon from industrial processes as well as carbon of biogenic origin coming from the upgrade of biogas to biomethane. “FF” stands for “fossil fuels”</w:t>
      </w:r>
      <w:r w:rsidR="00151757">
        <w:rPr>
          <w:i w:val="0"/>
          <w:noProof/>
        </w:rPr>
        <w:t xml:space="preserve">. </w:t>
      </w:r>
      <w:r w:rsidRPr="00C12270">
        <w:rPr>
          <w:i w:val="0"/>
          <w:noProof/>
        </w:rPr>
        <w:t xml:space="preserve"> </w:t>
      </w:r>
      <w:r w:rsidR="00C12270" w:rsidRPr="00C12270">
        <w:rPr>
          <w:i w:val="0"/>
          <w:noProof/>
        </w:rPr>
        <w:t>“</w:t>
      </w:r>
      <w:r w:rsidRPr="00C12270">
        <w:rPr>
          <w:i w:val="0"/>
          <w:noProof/>
        </w:rPr>
        <w:t>PG</w:t>
      </w:r>
      <w:r w:rsidR="00C12270" w:rsidRPr="00C12270">
        <w:rPr>
          <w:i w:val="0"/>
          <w:noProof/>
        </w:rPr>
        <w:t>”</w:t>
      </w:r>
      <w:r w:rsidRPr="00C12270">
        <w:rPr>
          <w:i w:val="0"/>
          <w:noProof/>
        </w:rPr>
        <w:t xml:space="preserve"> stands for </w:t>
      </w:r>
      <w:r w:rsidR="00C12270" w:rsidRPr="00C12270">
        <w:rPr>
          <w:i w:val="0"/>
          <w:noProof/>
        </w:rPr>
        <w:t>“p</w:t>
      </w:r>
      <w:r w:rsidRPr="00C12270">
        <w:rPr>
          <w:i w:val="0"/>
          <w:noProof/>
        </w:rPr>
        <w:t xml:space="preserve">ower </w:t>
      </w:r>
      <w:r w:rsidR="00C12270" w:rsidRPr="00C12270">
        <w:rPr>
          <w:i w:val="0"/>
          <w:noProof/>
        </w:rPr>
        <w:t>g</w:t>
      </w:r>
      <w:r w:rsidRPr="00C12270">
        <w:rPr>
          <w:i w:val="0"/>
          <w:noProof/>
        </w:rPr>
        <w:t>eneration</w:t>
      </w:r>
      <w:r w:rsidR="00C12270" w:rsidRPr="00C12270">
        <w:rPr>
          <w:i w:val="0"/>
          <w:noProof/>
        </w:rPr>
        <w:t>”</w:t>
      </w:r>
      <w:r w:rsidR="00151757">
        <w:rPr>
          <w:i w:val="0"/>
          <w:noProof/>
        </w:rPr>
        <w:t xml:space="preserve">. </w:t>
      </w:r>
      <w:r w:rsidRPr="00C12270">
        <w:rPr>
          <w:i w:val="0"/>
          <w:noProof/>
        </w:rPr>
        <w:t xml:space="preserve"> </w:t>
      </w:r>
      <w:r w:rsidR="00A52E31" w:rsidRPr="00C12270">
        <w:rPr>
          <w:i w:val="0"/>
          <w:noProof/>
        </w:rPr>
        <w:t xml:space="preserve">“Bio” </w:t>
      </w:r>
      <w:r w:rsidR="009E486D" w:rsidRPr="00C12270">
        <w:rPr>
          <w:i w:val="0"/>
          <w:noProof/>
        </w:rPr>
        <w:t>refers to</w:t>
      </w:r>
      <w:r w:rsidR="00A52E31" w:rsidRPr="00C12270">
        <w:rPr>
          <w:i w:val="0"/>
          <w:noProof/>
        </w:rPr>
        <w:t xml:space="preserve"> </w:t>
      </w:r>
      <w:r w:rsidR="00C12270" w:rsidRPr="00C12270">
        <w:rPr>
          <w:i w:val="0"/>
          <w:noProof/>
        </w:rPr>
        <w:t xml:space="preserve">CO2 produced by the combustion of </w:t>
      </w:r>
      <w:r w:rsidR="00A52E31" w:rsidRPr="00C12270">
        <w:rPr>
          <w:i w:val="0"/>
          <w:noProof/>
        </w:rPr>
        <w:t xml:space="preserve">biomass in </w:t>
      </w:r>
      <w:r w:rsidR="00C12270" w:rsidRPr="00C12270">
        <w:rPr>
          <w:i w:val="0"/>
          <w:noProof/>
        </w:rPr>
        <w:t>power generation</w:t>
      </w:r>
      <w:r w:rsidR="00A52E31" w:rsidRPr="00C12270">
        <w:rPr>
          <w:i w:val="0"/>
          <w:noProof/>
        </w:rPr>
        <w:t xml:space="preserve"> and</w:t>
      </w:r>
      <w:r w:rsidR="009E486D" w:rsidRPr="00C12270">
        <w:rPr>
          <w:i w:val="0"/>
          <w:noProof/>
        </w:rPr>
        <w:t xml:space="preserve"> </w:t>
      </w:r>
      <w:r w:rsidR="00C12270" w:rsidRPr="00C12270">
        <w:rPr>
          <w:i w:val="0"/>
          <w:noProof/>
        </w:rPr>
        <w:t>produced during</w:t>
      </w:r>
      <w:r w:rsidR="009E486D" w:rsidRPr="00C12270">
        <w:rPr>
          <w:i w:val="0"/>
          <w:noProof/>
        </w:rPr>
        <w:t xml:space="preserve"> the upgrade of biogas into biomethane</w:t>
      </w:r>
      <w:r w:rsidR="00A52E31" w:rsidRPr="00C12270">
        <w:rPr>
          <w:i w:val="0"/>
          <w:noProof/>
        </w:rPr>
        <w:t xml:space="preserve">. </w:t>
      </w:r>
      <w:r w:rsidR="00151757">
        <w:rPr>
          <w:i w:val="0"/>
          <w:noProof/>
        </w:rPr>
        <w:t>“DACC” stands for “Direct Air Capture of CO2”</w:t>
      </w:r>
      <w:r w:rsidR="00571C41">
        <w:rPr>
          <w:i w:val="0"/>
          <w:noProof/>
        </w:rPr>
        <w:t>, for underground storage (DACCS) or use in efuels</w:t>
      </w:r>
      <w:r w:rsidR="00151757">
        <w:rPr>
          <w:i w:val="0"/>
          <w:noProof/>
        </w:rPr>
        <w:t xml:space="preserve">. </w:t>
      </w:r>
    </w:p>
    <w:p w14:paraId="6C4C7551" w14:textId="333F25C5" w:rsidR="00572C8C" w:rsidRPr="00D135EB" w:rsidRDefault="00572C8C" w:rsidP="005E74B4">
      <w:pPr>
        <w:pStyle w:val="CT-SOURCE"/>
        <w:rPr>
          <w:noProof/>
          <w:lang w:val="fr-BE"/>
        </w:rPr>
      </w:pPr>
      <w:r w:rsidRPr="00D135EB">
        <w:rPr>
          <w:noProof/>
        </w:rPr>
        <w:t xml:space="preserve">Source: </w:t>
      </w:r>
      <w:r w:rsidR="002F24F2" w:rsidRPr="00D135EB">
        <w:rPr>
          <w:noProof/>
          <w:lang w:val="fr-BE"/>
        </w:rPr>
        <w:t>PRIMES.</w:t>
      </w:r>
    </w:p>
    <w:p w14:paraId="4D768D65" w14:textId="63B62EBA" w:rsidR="00AF0845" w:rsidRPr="00D135EB" w:rsidRDefault="00AF0845" w:rsidP="003F6B63">
      <w:pPr>
        <w:pStyle w:val="Heading3"/>
        <w:rPr>
          <w:noProof/>
          <w:lang w:val="fr-BE"/>
        </w:rPr>
      </w:pPr>
      <w:bookmarkStart w:id="87" w:name="_Ref141877967"/>
      <w:bookmarkStart w:id="88" w:name="_Toc148605584"/>
      <w:bookmarkStart w:id="89" w:name="_Toc157692029"/>
      <w:r w:rsidRPr="00D135EB">
        <w:rPr>
          <w:noProof/>
          <w:lang w:val="fr-BE"/>
        </w:rPr>
        <w:t xml:space="preserve">Non-CO2 </w:t>
      </w:r>
      <w:r w:rsidR="00A1695D" w:rsidRPr="00D135EB">
        <w:rPr>
          <w:noProof/>
          <w:lang w:val="fr-BE"/>
        </w:rPr>
        <w:t>GHG</w:t>
      </w:r>
      <w:r w:rsidR="00FE6EC3" w:rsidRPr="00D135EB">
        <w:rPr>
          <w:noProof/>
          <w:lang w:val="fr-BE"/>
        </w:rPr>
        <w:t xml:space="preserve"> </w:t>
      </w:r>
      <w:r w:rsidR="002F35C9" w:rsidRPr="00D135EB">
        <w:rPr>
          <w:noProof/>
          <w:lang w:val="fr-BE"/>
        </w:rPr>
        <w:t>emissions</w:t>
      </w:r>
      <w:bookmarkEnd w:id="87"/>
      <w:bookmarkEnd w:id="88"/>
      <w:bookmarkEnd w:id="89"/>
    </w:p>
    <w:p w14:paraId="56FB1E49" w14:textId="49440824" w:rsidR="000E36F7" w:rsidRPr="00DD7DAF" w:rsidRDefault="000E36F7" w:rsidP="000E36F7">
      <w:pPr>
        <w:rPr>
          <w:noProof/>
        </w:rPr>
      </w:pPr>
      <w:r w:rsidRPr="000E36F7">
        <w:rPr>
          <w:noProof/>
        </w:rPr>
        <w:t>Non-CO2 GHG emissions declined considerably over the past decades in the EU. Currently, however, significant amounts of non-CO2 greenhouse gases are still being emitted</w:t>
      </w:r>
      <w:r w:rsidR="00541DF1">
        <w:rPr>
          <w:noProof/>
        </w:rPr>
        <w:t xml:space="preserve"> every year</w:t>
      </w:r>
      <w:r w:rsidRPr="000E36F7">
        <w:rPr>
          <w:noProof/>
        </w:rPr>
        <w:t xml:space="preserve">, representing around 20% </w:t>
      </w:r>
      <w:r w:rsidRPr="00DD7DAF">
        <w:rPr>
          <w:noProof/>
        </w:rPr>
        <w:t xml:space="preserve">of total GHG emissions. In 2015, the EU’s </w:t>
      </w:r>
      <w:r w:rsidR="00541DF1" w:rsidRPr="00DD7DAF">
        <w:rPr>
          <w:noProof/>
        </w:rPr>
        <w:t xml:space="preserve">total </w:t>
      </w:r>
      <w:r w:rsidRPr="00DD7DAF">
        <w:rPr>
          <w:noProof/>
        </w:rPr>
        <w:t xml:space="preserve">non-CO2 GHG emissions </w:t>
      </w:r>
      <w:r w:rsidR="00D90E92" w:rsidRPr="00DD7DAF">
        <w:rPr>
          <w:noProof/>
        </w:rPr>
        <w:t>added up to</w:t>
      </w:r>
      <w:r w:rsidRPr="00DD7DAF">
        <w:rPr>
          <w:noProof/>
        </w:rPr>
        <w:t xml:space="preserve"> more than 700 MtCO2-eq. As shown in </w:t>
      </w:r>
      <w:r w:rsidR="00FE448A" w:rsidRPr="00DD7DAF">
        <w:rPr>
          <w:noProof/>
          <w:color w:val="2B579A"/>
          <w:shd w:val="clear" w:color="auto" w:fill="E6E6E6"/>
        </w:rPr>
        <w:fldChar w:fldCharType="begin"/>
      </w:r>
      <w:r w:rsidR="00FE448A" w:rsidRPr="00DD7DAF">
        <w:rPr>
          <w:noProof/>
        </w:rPr>
        <w:instrText xml:space="preserve"> REF _Ref141883518 \h </w:instrText>
      </w:r>
      <w:r w:rsidR="004705BA" w:rsidRPr="00DD7DAF">
        <w:rPr>
          <w:noProof/>
          <w:color w:val="2B579A"/>
          <w:shd w:val="clear" w:color="auto" w:fill="E6E6E6"/>
        </w:rPr>
        <w:instrText xml:space="preserve"> \* MERGEFORMAT </w:instrText>
      </w:r>
      <w:r w:rsidR="00FE448A" w:rsidRPr="00DD7DAF">
        <w:rPr>
          <w:noProof/>
          <w:color w:val="2B579A"/>
          <w:shd w:val="clear" w:color="auto" w:fill="E6E6E6"/>
        </w:rPr>
      </w:r>
      <w:r w:rsidR="00FE448A" w:rsidRPr="00DD7DAF">
        <w:rPr>
          <w:noProof/>
          <w:color w:val="2B579A"/>
          <w:shd w:val="clear" w:color="auto" w:fill="E6E6E6"/>
        </w:rPr>
        <w:fldChar w:fldCharType="separate"/>
      </w:r>
      <w:r w:rsidR="00170A3C">
        <w:rPr>
          <w:noProof/>
        </w:rPr>
        <w:t>Figure 13</w:t>
      </w:r>
      <w:r w:rsidR="00FE448A" w:rsidRPr="00DD7DAF">
        <w:rPr>
          <w:noProof/>
          <w:color w:val="2B579A"/>
          <w:shd w:val="clear" w:color="auto" w:fill="E6E6E6"/>
        </w:rPr>
        <w:fldChar w:fldCharType="end"/>
      </w:r>
      <w:r w:rsidRPr="00DD7DAF">
        <w:rPr>
          <w:noProof/>
        </w:rPr>
        <w:t>, most of these were CH4 emissions (61%)</w:t>
      </w:r>
      <w:r w:rsidR="00D90E92" w:rsidRPr="00DD7DAF">
        <w:rPr>
          <w:noProof/>
        </w:rPr>
        <w:t>, whereas</w:t>
      </w:r>
      <w:r w:rsidRPr="00DD7DAF">
        <w:rPr>
          <w:noProof/>
        </w:rPr>
        <w:t xml:space="preserve"> the rest were N2O and F-gas emissions (</w:t>
      </w:r>
      <w:r w:rsidR="00752AC2" w:rsidRPr="00DD7DAF">
        <w:rPr>
          <w:noProof/>
        </w:rPr>
        <w:t>2</w:t>
      </w:r>
      <w:r w:rsidR="004705BA" w:rsidRPr="00DD7DAF">
        <w:rPr>
          <w:noProof/>
        </w:rPr>
        <w:t>5%</w:t>
      </w:r>
      <w:r w:rsidR="00752AC2" w:rsidRPr="00DD7DAF">
        <w:rPr>
          <w:noProof/>
        </w:rPr>
        <w:t xml:space="preserve"> and </w:t>
      </w:r>
      <w:r w:rsidRPr="00DD7DAF">
        <w:rPr>
          <w:noProof/>
        </w:rPr>
        <w:t>1</w:t>
      </w:r>
      <w:r w:rsidR="004705BA" w:rsidRPr="00DD7DAF">
        <w:rPr>
          <w:noProof/>
        </w:rPr>
        <w:t>4</w:t>
      </w:r>
      <w:r w:rsidRPr="00DD7DAF">
        <w:rPr>
          <w:noProof/>
        </w:rPr>
        <w:t>%</w:t>
      </w:r>
      <w:r w:rsidR="00752AC2" w:rsidRPr="00DD7DAF">
        <w:rPr>
          <w:noProof/>
        </w:rPr>
        <w:t>, respectively</w:t>
      </w:r>
      <w:r w:rsidRPr="00DD7DAF">
        <w:rPr>
          <w:noProof/>
        </w:rPr>
        <w:t xml:space="preserve">). Agriculture was the largest emitting sector, representing </w:t>
      </w:r>
      <w:r w:rsidR="00D90E92" w:rsidRPr="00DD7DAF">
        <w:rPr>
          <w:noProof/>
        </w:rPr>
        <w:t>roughly</w:t>
      </w:r>
      <w:r w:rsidRPr="00DD7DAF">
        <w:rPr>
          <w:noProof/>
        </w:rPr>
        <w:t xml:space="preserve"> 5</w:t>
      </w:r>
      <w:r w:rsidR="004705BA" w:rsidRPr="00DD7DAF">
        <w:rPr>
          <w:noProof/>
        </w:rPr>
        <w:t>3</w:t>
      </w:r>
      <w:r w:rsidRPr="00DD7DAF">
        <w:rPr>
          <w:noProof/>
        </w:rPr>
        <w:t xml:space="preserve">% of the EU’s </w:t>
      </w:r>
      <w:r w:rsidR="00D90E92" w:rsidRPr="00DD7DAF">
        <w:rPr>
          <w:noProof/>
        </w:rPr>
        <w:t xml:space="preserve">total </w:t>
      </w:r>
      <w:r w:rsidRPr="00DD7DAF">
        <w:rPr>
          <w:noProof/>
        </w:rPr>
        <w:t xml:space="preserve">non-CO2 GHG emissions (mostly CH4 </w:t>
      </w:r>
      <w:r w:rsidR="003C7B9C" w:rsidRPr="00DD7DAF">
        <w:rPr>
          <w:noProof/>
        </w:rPr>
        <w:t xml:space="preserve">and N2O </w:t>
      </w:r>
      <w:r w:rsidRPr="00DD7DAF">
        <w:rPr>
          <w:noProof/>
        </w:rPr>
        <w:t xml:space="preserve">emissions </w:t>
      </w:r>
      <w:r w:rsidR="003C7B9C" w:rsidRPr="00DD7DAF">
        <w:rPr>
          <w:noProof/>
        </w:rPr>
        <w:t>associated to</w:t>
      </w:r>
      <w:r w:rsidRPr="00DD7DAF">
        <w:rPr>
          <w:noProof/>
        </w:rPr>
        <w:t xml:space="preserve"> enteric fermentation</w:t>
      </w:r>
      <w:r w:rsidR="003C7B9C" w:rsidRPr="00DD7DAF">
        <w:rPr>
          <w:noProof/>
        </w:rPr>
        <w:t>, manure management and</w:t>
      </w:r>
      <w:r w:rsidRPr="00DD7DAF">
        <w:rPr>
          <w:noProof/>
        </w:rPr>
        <w:t xml:space="preserve"> fertiliser application), followed by waste treatment (</w:t>
      </w:r>
      <w:r w:rsidR="004705BA" w:rsidRPr="00DD7DAF">
        <w:rPr>
          <w:noProof/>
        </w:rPr>
        <w:t>17</w:t>
      </w:r>
      <w:r w:rsidRPr="00DD7DAF">
        <w:rPr>
          <w:noProof/>
        </w:rPr>
        <w:t>%, mostly CH4 emissions stemming from uncaptured emissions caused by anaerobic digestion of solid waste and wastewater streams), energy and transport (1</w:t>
      </w:r>
      <w:r w:rsidR="004705BA" w:rsidRPr="00DD7DAF">
        <w:rPr>
          <w:noProof/>
        </w:rPr>
        <w:t>6</w:t>
      </w:r>
      <w:r w:rsidRPr="00DD7DAF">
        <w:rPr>
          <w:noProof/>
        </w:rPr>
        <w:t xml:space="preserve">%, mostly methane leakage and emissions </w:t>
      </w:r>
      <w:r w:rsidR="005B0721" w:rsidRPr="00DD7DAF">
        <w:rPr>
          <w:noProof/>
        </w:rPr>
        <w:t>relat</w:t>
      </w:r>
      <w:r w:rsidRPr="00DD7DAF">
        <w:rPr>
          <w:noProof/>
        </w:rPr>
        <w:t>ed to fuel combustion), and heating/cooling installations (1</w:t>
      </w:r>
      <w:r w:rsidR="004705BA" w:rsidRPr="00DD7DAF">
        <w:rPr>
          <w:noProof/>
        </w:rPr>
        <w:t>1</w:t>
      </w:r>
      <w:r w:rsidRPr="00DD7DAF">
        <w:rPr>
          <w:noProof/>
        </w:rPr>
        <w:t>%, mostly F-gas</w:t>
      </w:r>
      <w:r w:rsidR="00A22CE6">
        <w:rPr>
          <w:noProof/>
        </w:rPr>
        <w:t xml:space="preserve"> </w:t>
      </w:r>
      <w:r w:rsidRPr="00DD7DAF">
        <w:rPr>
          <w:noProof/>
        </w:rPr>
        <w:t>e</w:t>
      </w:r>
      <w:r w:rsidR="00A22CE6">
        <w:rPr>
          <w:noProof/>
        </w:rPr>
        <w:t>mission</w:t>
      </w:r>
      <w:r w:rsidRPr="00DD7DAF">
        <w:rPr>
          <w:noProof/>
        </w:rPr>
        <w:t xml:space="preserve">s), as shown in </w:t>
      </w:r>
      <w:r w:rsidR="00FE448A" w:rsidRPr="00DD7DAF">
        <w:rPr>
          <w:noProof/>
          <w:color w:val="2B579A"/>
          <w:shd w:val="clear" w:color="auto" w:fill="E6E6E6"/>
        </w:rPr>
        <w:fldChar w:fldCharType="begin"/>
      </w:r>
      <w:r w:rsidR="00FE448A" w:rsidRPr="00DD7DAF">
        <w:rPr>
          <w:noProof/>
        </w:rPr>
        <w:instrText xml:space="preserve"> REF _Ref141883532 \h </w:instrText>
      </w:r>
      <w:r w:rsidR="001E48D3" w:rsidRPr="00DD7DAF">
        <w:rPr>
          <w:noProof/>
          <w:color w:val="2B579A"/>
          <w:shd w:val="clear" w:color="auto" w:fill="E6E6E6"/>
        </w:rPr>
        <w:instrText xml:space="preserve"> \* MERGEFORMAT </w:instrText>
      </w:r>
      <w:r w:rsidR="00FE448A" w:rsidRPr="00DD7DAF">
        <w:rPr>
          <w:noProof/>
          <w:color w:val="2B579A"/>
          <w:shd w:val="clear" w:color="auto" w:fill="E6E6E6"/>
        </w:rPr>
      </w:r>
      <w:r w:rsidR="00FE448A" w:rsidRPr="00DD7DAF">
        <w:rPr>
          <w:noProof/>
          <w:color w:val="2B579A"/>
          <w:shd w:val="clear" w:color="auto" w:fill="E6E6E6"/>
        </w:rPr>
        <w:fldChar w:fldCharType="separate"/>
      </w:r>
      <w:r w:rsidR="00170A3C">
        <w:rPr>
          <w:noProof/>
        </w:rPr>
        <w:t>Figure 12</w:t>
      </w:r>
      <w:r w:rsidR="00FE448A" w:rsidRPr="00DD7DAF">
        <w:rPr>
          <w:noProof/>
          <w:color w:val="2B579A"/>
          <w:shd w:val="clear" w:color="auto" w:fill="E6E6E6"/>
        </w:rPr>
        <w:fldChar w:fldCharType="end"/>
      </w:r>
      <w:r w:rsidRPr="00DD7DAF">
        <w:rPr>
          <w:noProof/>
        </w:rPr>
        <w:t xml:space="preserve">. </w:t>
      </w:r>
    </w:p>
    <w:p w14:paraId="7AC5A87D" w14:textId="34B590DB" w:rsidR="000E36F7" w:rsidRPr="00DD7DAF" w:rsidRDefault="00C56CE6" w:rsidP="000E36F7">
      <w:pPr>
        <w:rPr>
          <w:noProof/>
        </w:rPr>
      </w:pPr>
      <w:r w:rsidRPr="00DD7DAF">
        <w:rPr>
          <w:noProof/>
        </w:rPr>
        <w:t>In t</w:t>
      </w:r>
      <w:r w:rsidR="000E36F7" w:rsidRPr="00DD7DAF">
        <w:rPr>
          <w:noProof/>
        </w:rPr>
        <w:t>he S1 scenario</w:t>
      </w:r>
      <w:r w:rsidR="00F703D9" w:rsidRPr="00DD7DAF">
        <w:rPr>
          <w:noProof/>
        </w:rPr>
        <w:t>,</w:t>
      </w:r>
      <w:r w:rsidR="00437694" w:rsidRPr="00DD7DAF">
        <w:rPr>
          <w:noProof/>
        </w:rPr>
        <w:t xml:space="preserve"> </w:t>
      </w:r>
      <w:r w:rsidR="00B85963">
        <w:rPr>
          <w:noProof/>
        </w:rPr>
        <w:t>which considers mitigation due to current policies</w:t>
      </w:r>
      <w:r w:rsidR="00801085">
        <w:rPr>
          <w:noProof/>
        </w:rPr>
        <w:t xml:space="preserve"> (but no more)</w:t>
      </w:r>
      <w:r w:rsidR="00F703D9" w:rsidRPr="00DD7DAF">
        <w:rPr>
          <w:noProof/>
        </w:rPr>
        <w:t>,</w:t>
      </w:r>
      <w:r w:rsidR="00437694" w:rsidRPr="00DD7DAF">
        <w:rPr>
          <w:noProof/>
        </w:rPr>
        <w:t xml:space="preserve"> </w:t>
      </w:r>
      <w:r w:rsidRPr="00DD7DAF">
        <w:rPr>
          <w:noProof/>
        </w:rPr>
        <w:t xml:space="preserve">non-CO2 </w:t>
      </w:r>
      <w:r w:rsidR="00EF059B" w:rsidRPr="00DD7DAF">
        <w:rPr>
          <w:noProof/>
        </w:rPr>
        <w:t xml:space="preserve">GHG </w:t>
      </w:r>
      <w:r w:rsidRPr="00DD7DAF">
        <w:rPr>
          <w:noProof/>
        </w:rPr>
        <w:t xml:space="preserve">emissions </w:t>
      </w:r>
      <w:r w:rsidR="00EF059B" w:rsidRPr="00DD7DAF">
        <w:rPr>
          <w:noProof/>
        </w:rPr>
        <w:t>drop</w:t>
      </w:r>
      <w:r w:rsidRPr="00DD7DAF">
        <w:rPr>
          <w:noProof/>
        </w:rPr>
        <w:t xml:space="preserve"> to </w:t>
      </w:r>
      <w:r w:rsidR="00EF059B" w:rsidRPr="00DD7DAF">
        <w:rPr>
          <w:noProof/>
        </w:rPr>
        <w:t xml:space="preserve">around </w:t>
      </w:r>
      <w:r w:rsidR="00CE5B86">
        <w:rPr>
          <w:noProof/>
        </w:rPr>
        <w:t>457</w:t>
      </w:r>
      <w:r w:rsidRPr="00DD7DAF">
        <w:rPr>
          <w:noProof/>
        </w:rPr>
        <w:t xml:space="preserve"> MtCO2-eq in 2040 (i.e., </w:t>
      </w:r>
      <w:r w:rsidR="00CE5B86">
        <w:rPr>
          <w:noProof/>
        </w:rPr>
        <w:t>35</w:t>
      </w:r>
      <w:r w:rsidRPr="00DD7DAF">
        <w:rPr>
          <w:noProof/>
        </w:rPr>
        <w:t xml:space="preserve">% </w:t>
      </w:r>
      <w:r w:rsidR="00EF059B" w:rsidRPr="00DD7DAF">
        <w:rPr>
          <w:noProof/>
        </w:rPr>
        <w:t>less than in</w:t>
      </w:r>
      <w:r w:rsidRPr="00DD7DAF">
        <w:rPr>
          <w:noProof/>
        </w:rPr>
        <w:t xml:space="preserve"> 20</w:t>
      </w:r>
      <w:r w:rsidR="001D3B71" w:rsidRPr="00DD7DAF">
        <w:rPr>
          <w:noProof/>
        </w:rPr>
        <w:t>1</w:t>
      </w:r>
      <w:r w:rsidRPr="00DD7DAF">
        <w:rPr>
          <w:noProof/>
        </w:rPr>
        <w:t xml:space="preserve">5). </w:t>
      </w:r>
      <w:r w:rsidR="00D90E92" w:rsidRPr="00DD7DAF">
        <w:rPr>
          <w:noProof/>
        </w:rPr>
        <w:t>Note that</w:t>
      </w:r>
      <w:r w:rsidR="00437694" w:rsidRPr="00DD7DAF">
        <w:rPr>
          <w:noProof/>
        </w:rPr>
        <w:t xml:space="preserve"> t</w:t>
      </w:r>
      <w:r w:rsidR="000E36F7" w:rsidRPr="00DD7DAF">
        <w:rPr>
          <w:noProof/>
        </w:rPr>
        <w:t>he degree of reduction</w:t>
      </w:r>
      <w:r w:rsidR="009E762B" w:rsidRPr="00DD7DAF">
        <w:rPr>
          <w:noProof/>
        </w:rPr>
        <w:t xml:space="preserve"> by 2040</w:t>
      </w:r>
      <w:r w:rsidR="000E36F7" w:rsidRPr="00DD7DAF">
        <w:rPr>
          <w:noProof/>
        </w:rPr>
        <w:t xml:space="preserve"> varies considerably across sectors (see </w:t>
      </w:r>
      <w:r w:rsidR="009316B6" w:rsidRPr="00DD7DAF">
        <w:rPr>
          <w:noProof/>
          <w:color w:val="2B579A"/>
          <w:shd w:val="clear" w:color="auto" w:fill="E6E6E6"/>
        </w:rPr>
        <w:fldChar w:fldCharType="begin"/>
      </w:r>
      <w:r w:rsidR="009316B6" w:rsidRPr="00DD7DAF">
        <w:rPr>
          <w:noProof/>
        </w:rPr>
        <w:instrText xml:space="preserve"> REF _Ref141883532 \h </w:instrText>
      </w:r>
      <w:r w:rsidR="00D45CA3" w:rsidRPr="00DD7DAF">
        <w:rPr>
          <w:noProof/>
          <w:color w:val="2B579A"/>
          <w:shd w:val="clear" w:color="auto" w:fill="E6E6E6"/>
        </w:rPr>
        <w:instrText xml:space="preserve"> \* MERGEFORMAT </w:instrText>
      </w:r>
      <w:r w:rsidR="009316B6" w:rsidRPr="00DD7DAF">
        <w:rPr>
          <w:noProof/>
          <w:color w:val="2B579A"/>
          <w:shd w:val="clear" w:color="auto" w:fill="E6E6E6"/>
        </w:rPr>
      </w:r>
      <w:r w:rsidR="009316B6" w:rsidRPr="00DD7DAF">
        <w:rPr>
          <w:noProof/>
          <w:color w:val="2B579A"/>
          <w:shd w:val="clear" w:color="auto" w:fill="E6E6E6"/>
        </w:rPr>
        <w:fldChar w:fldCharType="separate"/>
      </w:r>
      <w:r w:rsidR="00170A3C">
        <w:rPr>
          <w:noProof/>
        </w:rPr>
        <w:t>Figure 12</w:t>
      </w:r>
      <w:r w:rsidR="009316B6" w:rsidRPr="00DD7DAF">
        <w:rPr>
          <w:noProof/>
          <w:color w:val="2B579A"/>
          <w:shd w:val="clear" w:color="auto" w:fill="E6E6E6"/>
        </w:rPr>
        <w:fldChar w:fldCharType="end"/>
      </w:r>
      <w:r w:rsidR="000E36F7" w:rsidRPr="00DD7DAF">
        <w:rPr>
          <w:noProof/>
        </w:rPr>
        <w:t>). Agriculture is the sector showing the smallest decrease in relative terms (</w:t>
      </w:r>
      <w:r w:rsidR="00CE5B86">
        <w:rPr>
          <w:noProof/>
        </w:rPr>
        <w:t>9%</w:t>
      </w:r>
      <w:r w:rsidR="000E36F7" w:rsidRPr="00DD7DAF">
        <w:rPr>
          <w:noProof/>
        </w:rPr>
        <w:t xml:space="preserve"> reduction between 20</w:t>
      </w:r>
      <w:r w:rsidR="009831B6" w:rsidRPr="00DD7DAF">
        <w:rPr>
          <w:noProof/>
        </w:rPr>
        <w:t>1</w:t>
      </w:r>
      <w:r w:rsidR="000E36F7" w:rsidRPr="00DD7DAF">
        <w:rPr>
          <w:noProof/>
        </w:rPr>
        <w:t xml:space="preserve">5 and 2040). </w:t>
      </w:r>
      <w:r w:rsidR="0064391B" w:rsidRPr="00DD7DAF">
        <w:rPr>
          <w:noProof/>
        </w:rPr>
        <w:t xml:space="preserve">Non-CO2 GHG emissions </w:t>
      </w:r>
      <w:r w:rsidR="00D90E92" w:rsidRPr="00DD7DAF">
        <w:rPr>
          <w:noProof/>
        </w:rPr>
        <w:t>from</w:t>
      </w:r>
      <w:r w:rsidR="0064391B" w:rsidRPr="00DD7DAF">
        <w:rPr>
          <w:noProof/>
        </w:rPr>
        <w:t xml:space="preserve"> the </w:t>
      </w:r>
      <w:r w:rsidR="000E36F7" w:rsidRPr="00DD7DAF">
        <w:rPr>
          <w:noProof/>
        </w:rPr>
        <w:t xml:space="preserve">waste </w:t>
      </w:r>
      <w:r w:rsidR="0064391B" w:rsidRPr="00DD7DAF">
        <w:rPr>
          <w:noProof/>
        </w:rPr>
        <w:t>management</w:t>
      </w:r>
      <w:r w:rsidR="000E36F7" w:rsidRPr="00DD7DAF">
        <w:rPr>
          <w:noProof/>
        </w:rPr>
        <w:t xml:space="preserve"> sector </w:t>
      </w:r>
      <w:r w:rsidR="0064391B" w:rsidRPr="00DD7DAF">
        <w:rPr>
          <w:noProof/>
        </w:rPr>
        <w:t>declin</w:t>
      </w:r>
      <w:r w:rsidR="00357FA1" w:rsidRPr="00DD7DAF">
        <w:rPr>
          <w:noProof/>
        </w:rPr>
        <w:t xml:space="preserve">e by </w:t>
      </w:r>
      <w:r w:rsidR="00CE5B86">
        <w:rPr>
          <w:noProof/>
        </w:rPr>
        <w:t>42%</w:t>
      </w:r>
      <w:r w:rsidR="00357FA1" w:rsidRPr="00DD7DAF">
        <w:rPr>
          <w:noProof/>
        </w:rPr>
        <w:t xml:space="preserve"> over the same period (driven by</w:t>
      </w:r>
      <w:r w:rsidR="000155CF" w:rsidRPr="00DD7DAF">
        <w:rPr>
          <w:noProof/>
        </w:rPr>
        <w:t xml:space="preserve"> </w:t>
      </w:r>
      <w:r w:rsidR="00BB1D30" w:rsidRPr="00DD7DAF">
        <w:rPr>
          <w:noProof/>
        </w:rPr>
        <w:t xml:space="preserve">the implementation of existing legislation on landfilling and additional legislative </w:t>
      </w:r>
      <w:r w:rsidR="00774928" w:rsidRPr="00DD7DAF">
        <w:rPr>
          <w:noProof/>
        </w:rPr>
        <w:t>proposals</w:t>
      </w:r>
      <w:r w:rsidR="0002780C" w:rsidRPr="00DD7DAF">
        <w:rPr>
          <w:noProof/>
        </w:rPr>
        <w:t>,</w:t>
      </w:r>
      <w:r w:rsidR="000155CF" w:rsidRPr="00DD7DAF">
        <w:rPr>
          <w:noProof/>
        </w:rPr>
        <w:t xml:space="preserve"> such as the</w:t>
      </w:r>
      <w:r w:rsidR="00357FA1" w:rsidRPr="00DD7DAF">
        <w:rPr>
          <w:noProof/>
        </w:rPr>
        <w:t xml:space="preserve"> </w:t>
      </w:r>
      <w:r w:rsidR="000155CF" w:rsidRPr="00DD7DAF">
        <w:rPr>
          <w:noProof/>
        </w:rPr>
        <w:t xml:space="preserve">proposal </w:t>
      </w:r>
      <w:r w:rsidR="00DF1034" w:rsidRPr="00DD7DAF">
        <w:rPr>
          <w:noProof/>
        </w:rPr>
        <w:t>on</w:t>
      </w:r>
      <w:r w:rsidR="000155CF" w:rsidRPr="00DD7DAF">
        <w:rPr>
          <w:noProof/>
        </w:rPr>
        <w:t xml:space="preserve"> a revised Urban Wastewater Treatment Directive,</w:t>
      </w:r>
      <w:r w:rsidR="00357FA1" w:rsidRPr="00DD7DAF">
        <w:rPr>
          <w:noProof/>
        </w:rPr>
        <w:t xml:space="preserve"> see </w:t>
      </w:r>
      <w:r w:rsidR="00B87D30" w:rsidRPr="00DD7DAF">
        <w:rPr>
          <w:noProof/>
        </w:rPr>
        <w:t>S</w:t>
      </w:r>
      <w:r w:rsidR="00357FA1" w:rsidRPr="00DD7DAF">
        <w:rPr>
          <w:noProof/>
        </w:rPr>
        <w:t>ection</w:t>
      </w:r>
      <w:r w:rsidR="00B87D30" w:rsidRPr="00DD7DAF">
        <w:rPr>
          <w:noProof/>
        </w:rPr>
        <w:t xml:space="preserve"> </w:t>
      </w:r>
      <w:r w:rsidR="00774928" w:rsidRPr="00DD7DAF">
        <w:rPr>
          <w:noProof/>
        </w:rPr>
        <w:fldChar w:fldCharType="begin"/>
      </w:r>
      <w:r w:rsidR="00774928" w:rsidRPr="00DD7DAF">
        <w:rPr>
          <w:noProof/>
        </w:rPr>
        <w:instrText xml:space="preserve"> REF _Ref142041052 \r \h  \* MERGEFORMAT </w:instrText>
      </w:r>
      <w:r w:rsidR="00774928" w:rsidRPr="00DD7DAF">
        <w:rPr>
          <w:noProof/>
        </w:rPr>
      </w:r>
      <w:r w:rsidR="00774928" w:rsidRPr="00DD7DAF">
        <w:rPr>
          <w:noProof/>
        </w:rPr>
        <w:fldChar w:fldCharType="separate"/>
      </w:r>
      <w:r w:rsidR="00170A3C">
        <w:rPr>
          <w:noProof/>
        </w:rPr>
        <w:t>1.6.1</w:t>
      </w:r>
      <w:r w:rsidR="00774928" w:rsidRPr="00DD7DAF">
        <w:rPr>
          <w:noProof/>
        </w:rPr>
        <w:fldChar w:fldCharType="end"/>
      </w:r>
      <w:r w:rsidR="00B87D30" w:rsidRPr="00DD7DAF">
        <w:rPr>
          <w:noProof/>
        </w:rPr>
        <w:t xml:space="preserve"> and</w:t>
      </w:r>
      <w:r w:rsidR="00357FA1" w:rsidRPr="00DD7DAF">
        <w:rPr>
          <w:noProof/>
        </w:rPr>
        <w:t xml:space="preserve"> </w:t>
      </w:r>
      <w:r w:rsidR="00774928" w:rsidRPr="00DD7DAF">
        <w:rPr>
          <w:noProof/>
        </w:rPr>
        <w:t>Annex 6</w:t>
      </w:r>
      <w:r w:rsidR="00B87D30" w:rsidRPr="00DD7DAF">
        <w:rPr>
          <w:noProof/>
        </w:rPr>
        <w:t>),</w:t>
      </w:r>
      <w:r w:rsidR="00357FA1" w:rsidRPr="00DD7DAF">
        <w:rPr>
          <w:noProof/>
        </w:rPr>
        <w:t xml:space="preserve"> while </w:t>
      </w:r>
      <w:r w:rsidR="000E36F7" w:rsidRPr="00DD7DAF">
        <w:rPr>
          <w:noProof/>
        </w:rPr>
        <w:t>the energy and transport sector show</w:t>
      </w:r>
      <w:r w:rsidR="008D367B" w:rsidRPr="00DD7DAF">
        <w:rPr>
          <w:noProof/>
        </w:rPr>
        <w:t>s a</w:t>
      </w:r>
      <w:r w:rsidR="000E36F7" w:rsidRPr="00DD7DAF">
        <w:rPr>
          <w:noProof/>
        </w:rPr>
        <w:t xml:space="preserve"> deep reduction </w:t>
      </w:r>
      <w:r w:rsidR="008D367B" w:rsidRPr="00DD7DAF">
        <w:rPr>
          <w:noProof/>
        </w:rPr>
        <w:t>(</w:t>
      </w:r>
      <w:r w:rsidR="00CE5B86">
        <w:rPr>
          <w:noProof/>
        </w:rPr>
        <w:t>-71</w:t>
      </w:r>
      <w:r w:rsidR="000E36F7" w:rsidRPr="00DD7DAF">
        <w:rPr>
          <w:noProof/>
        </w:rPr>
        <w:t>%</w:t>
      </w:r>
      <w:r w:rsidR="008D367B" w:rsidRPr="00DD7DAF">
        <w:rPr>
          <w:noProof/>
        </w:rPr>
        <w:t>)</w:t>
      </w:r>
      <w:r w:rsidR="00357FA1" w:rsidRPr="00DD7DAF">
        <w:rPr>
          <w:noProof/>
        </w:rPr>
        <w:t xml:space="preserve"> driven by the phase down of fossil fuel</w:t>
      </w:r>
      <w:r w:rsidR="009851AF" w:rsidRPr="00DD7DAF">
        <w:rPr>
          <w:noProof/>
        </w:rPr>
        <w:t xml:space="preserve"> u</w:t>
      </w:r>
      <w:r w:rsidR="00357FA1" w:rsidRPr="00DD7DAF">
        <w:rPr>
          <w:noProof/>
        </w:rPr>
        <w:t>s</w:t>
      </w:r>
      <w:r w:rsidR="009851AF" w:rsidRPr="00DD7DAF">
        <w:rPr>
          <w:noProof/>
        </w:rPr>
        <w:t>e</w:t>
      </w:r>
      <w:r w:rsidR="00357FA1" w:rsidRPr="00DD7DAF">
        <w:rPr>
          <w:noProof/>
        </w:rPr>
        <w:t xml:space="preserve"> in the energy system. T</w:t>
      </w:r>
      <w:r w:rsidR="000E36F7" w:rsidRPr="00DD7DAF">
        <w:rPr>
          <w:noProof/>
        </w:rPr>
        <w:t>he heating and cooling sector shows the largest decrease in relative terms (</w:t>
      </w:r>
      <w:r w:rsidR="00CE5B86">
        <w:rPr>
          <w:noProof/>
        </w:rPr>
        <w:t>97%</w:t>
      </w:r>
      <w:r w:rsidR="008D367B" w:rsidRPr="00DD7DAF">
        <w:rPr>
          <w:noProof/>
        </w:rPr>
        <w:t xml:space="preserve"> relative to 20</w:t>
      </w:r>
      <w:r w:rsidR="00F2688B" w:rsidRPr="00DD7DAF">
        <w:rPr>
          <w:noProof/>
        </w:rPr>
        <w:t>1</w:t>
      </w:r>
      <w:r w:rsidR="008D367B" w:rsidRPr="00DD7DAF">
        <w:rPr>
          <w:noProof/>
        </w:rPr>
        <w:t>5</w:t>
      </w:r>
      <w:r w:rsidR="00670551" w:rsidRPr="00DD7DAF">
        <w:rPr>
          <w:noProof/>
        </w:rPr>
        <w:t>)</w:t>
      </w:r>
      <w:r w:rsidR="00437694" w:rsidRPr="00DD7DAF">
        <w:rPr>
          <w:noProof/>
        </w:rPr>
        <w:t xml:space="preserve">, driven </w:t>
      </w:r>
      <w:r w:rsidR="008D367B" w:rsidRPr="00DD7DAF">
        <w:rPr>
          <w:noProof/>
        </w:rPr>
        <w:t>most</w:t>
      </w:r>
      <w:r w:rsidR="00437694" w:rsidRPr="00DD7DAF">
        <w:rPr>
          <w:noProof/>
        </w:rPr>
        <w:t xml:space="preserve">ly by the assumed implementation of the F-gas regulation proposal </w:t>
      </w:r>
      <w:r w:rsidR="00670551" w:rsidRPr="00DD7DAF">
        <w:rPr>
          <w:noProof/>
        </w:rPr>
        <w:t>(</w:t>
      </w:r>
      <w:r w:rsidR="0000200F" w:rsidRPr="00DD7DAF">
        <w:rPr>
          <w:noProof/>
        </w:rPr>
        <w:t xml:space="preserve">see </w:t>
      </w:r>
      <w:r w:rsidR="00670551" w:rsidRPr="00DD7DAF">
        <w:rPr>
          <w:noProof/>
        </w:rPr>
        <w:t>Annex 6</w:t>
      </w:r>
      <w:r w:rsidR="000E36F7" w:rsidRPr="00DD7DAF">
        <w:rPr>
          <w:noProof/>
        </w:rPr>
        <w:t xml:space="preserve">). </w:t>
      </w:r>
      <w:r w:rsidR="0000200F" w:rsidRPr="00DD7DAF">
        <w:rPr>
          <w:noProof/>
        </w:rPr>
        <w:t xml:space="preserve">Looking at the disaggregation </w:t>
      </w:r>
      <w:r w:rsidR="000E36F7" w:rsidRPr="00DD7DAF">
        <w:rPr>
          <w:noProof/>
        </w:rPr>
        <w:t xml:space="preserve">per gas, </w:t>
      </w:r>
      <w:r w:rsidR="00AD77CC" w:rsidRPr="00DD7DAF">
        <w:rPr>
          <w:noProof/>
        </w:rPr>
        <w:t xml:space="preserve">total </w:t>
      </w:r>
      <w:r w:rsidR="000E36F7" w:rsidRPr="00DD7DAF">
        <w:rPr>
          <w:noProof/>
        </w:rPr>
        <w:t xml:space="preserve">N2O emissions across all sectors decrease by </w:t>
      </w:r>
      <w:r w:rsidR="00550871">
        <w:rPr>
          <w:noProof/>
        </w:rPr>
        <w:t>14</w:t>
      </w:r>
      <w:r w:rsidR="000E36F7" w:rsidRPr="00DD7DAF">
        <w:rPr>
          <w:noProof/>
        </w:rPr>
        <w:t>% between 20</w:t>
      </w:r>
      <w:r w:rsidR="00872FE8" w:rsidRPr="00DD7DAF">
        <w:rPr>
          <w:noProof/>
        </w:rPr>
        <w:t>1</w:t>
      </w:r>
      <w:r w:rsidR="000E36F7" w:rsidRPr="00DD7DAF">
        <w:rPr>
          <w:noProof/>
        </w:rPr>
        <w:t xml:space="preserve">5 and 2040, CH4 emissions decline by </w:t>
      </w:r>
      <w:r w:rsidR="00550871">
        <w:rPr>
          <w:noProof/>
        </w:rPr>
        <w:t>32%</w:t>
      </w:r>
      <w:r w:rsidR="000E36F7" w:rsidRPr="00DD7DAF">
        <w:rPr>
          <w:noProof/>
        </w:rPr>
        <w:t xml:space="preserve"> over the same period, and F-gas emissions </w:t>
      </w:r>
      <w:r w:rsidR="00550871">
        <w:rPr>
          <w:noProof/>
        </w:rPr>
        <w:t>decrease by more than 90%</w:t>
      </w:r>
      <w:r w:rsidR="00D90E92" w:rsidRPr="00DD7DAF">
        <w:rPr>
          <w:noProof/>
        </w:rPr>
        <w:t xml:space="preserve">, as shown in </w:t>
      </w:r>
      <w:r w:rsidR="0094001E" w:rsidRPr="00DD7DAF">
        <w:rPr>
          <w:noProof/>
        </w:rPr>
        <w:fldChar w:fldCharType="begin"/>
      </w:r>
      <w:r w:rsidR="0094001E" w:rsidRPr="00DD7DAF">
        <w:rPr>
          <w:noProof/>
        </w:rPr>
        <w:instrText xml:space="preserve"> REF _Ref141883518 \h </w:instrText>
      </w:r>
      <w:r w:rsidR="001E48D3" w:rsidRPr="00DD7DAF">
        <w:rPr>
          <w:noProof/>
        </w:rPr>
        <w:instrText xml:space="preserve"> \* MERGEFORMAT </w:instrText>
      </w:r>
      <w:r w:rsidR="0094001E" w:rsidRPr="00DD7DAF">
        <w:rPr>
          <w:noProof/>
        </w:rPr>
      </w:r>
      <w:r w:rsidR="0094001E" w:rsidRPr="00DD7DAF">
        <w:rPr>
          <w:noProof/>
        </w:rPr>
        <w:fldChar w:fldCharType="separate"/>
      </w:r>
      <w:r w:rsidR="00170A3C">
        <w:rPr>
          <w:noProof/>
        </w:rPr>
        <w:t>Figure 13</w:t>
      </w:r>
      <w:r w:rsidR="0094001E" w:rsidRPr="00DD7DAF">
        <w:rPr>
          <w:noProof/>
        </w:rPr>
        <w:fldChar w:fldCharType="end"/>
      </w:r>
      <w:r w:rsidR="000E36F7" w:rsidRPr="00DD7DAF">
        <w:rPr>
          <w:noProof/>
        </w:rPr>
        <w:t>.</w:t>
      </w:r>
    </w:p>
    <w:p w14:paraId="0BDDB8AD" w14:textId="292D1BA1" w:rsidR="000E36F7" w:rsidRPr="00DD7DAF" w:rsidRDefault="00CF63AB" w:rsidP="000E36F7">
      <w:pPr>
        <w:rPr>
          <w:noProof/>
        </w:rPr>
      </w:pPr>
      <w:r w:rsidRPr="00DD7DAF">
        <w:rPr>
          <w:noProof/>
        </w:rPr>
        <w:t>The</w:t>
      </w:r>
      <w:r w:rsidR="000E36F7" w:rsidRPr="00DD7DAF">
        <w:rPr>
          <w:noProof/>
        </w:rPr>
        <w:t xml:space="preserve"> S2 and S3 scenarios </w:t>
      </w:r>
      <w:r w:rsidR="00524883" w:rsidRPr="00DD7DAF">
        <w:rPr>
          <w:noProof/>
        </w:rPr>
        <w:t>show</w:t>
      </w:r>
      <w:r w:rsidR="008B5E29" w:rsidRPr="00DD7DAF">
        <w:rPr>
          <w:noProof/>
        </w:rPr>
        <w:t xml:space="preserve"> a more ambitious reduction of net GHG emissions </w:t>
      </w:r>
      <w:r w:rsidR="00C56CE6" w:rsidRPr="00DD7DAF">
        <w:rPr>
          <w:noProof/>
        </w:rPr>
        <w:t>by 2040</w:t>
      </w:r>
      <w:r w:rsidR="000E36F7" w:rsidRPr="00DD7DAF">
        <w:rPr>
          <w:noProof/>
        </w:rPr>
        <w:t xml:space="preserve"> than the S1 scenario, </w:t>
      </w:r>
      <w:r w:rsidR="00524883" w:rsidRPr="00DD7DAF">
        <w:rPr>
          <w:noProof/>
        </w:rPr>
        <w:t>and this</w:t>
      </w:r>
      <w:r w:rsidR="00C56CE6" w:rsidRPr="00DD7DAF">
        <w:rPr>
          <w:noProof/>
        </w:rPr>
        <w:t xml:space="preserve"> </w:t>
      </w:r>
      <w:r w:rsidR="00524883" w:rsidRPr="00DD7DAF">
        <w:rPr>
          <w:noProof/>
        </w:rPr>
        <w:t>requires</w:t>
      </w:r>
      <w:r w:rsidR="00C56CE6" w:rsidRPr="00DD7DAF">
        <w:rPr>
          <w:noProof/>
        </w:rPr>
        <w:t xml:space="preserve"> </w:t>
      </w:r>
      <w:r w:rsidR="008B5E29" w:rsidRPr="00DD7DAF">
        <w:rPr>
          <w:noProof/>
        </w:rPr>
        <w:t>stronger</w:t>
      </w:r>
      <w:r w:rsidR="00C56CE6" w:rsidRPr="00DD7DAF">
        <w:rPr>
          <w:noProof/>
        </w:rPr>
        <w:t xml:space="preserve"> non-CO2 </w:t>
      </w:r>
      <w:r w:rsidR="00656BED" w:rsidRPr="00DD7DAF">
        <w:rPr>
          <w:noProof/>
        </w:rPr>
        <w:t xml:space="preserve">emission </w:t>
      </w:r>
      <w:r w:rsidR="00C56CE6" w:rsidRPr="00DD7DAF">
        <w:rPr>
          <w:noProof/>
        </w:rPr>
        <w:t>reductions</w:t>
      </w:r>
      <w:r w:rsidR="00B950D1">
        <w:rPr>
          <w:noProof/>
        </w:rPr>
        <w:t xml:space="preserve"> than those delivered by current policies</w:t>
      </w:r>
      <w:r w:rsidRPr="00DD7DAF">
        <w:rPr>
          <w:noProof/>
        </w:rPr>
        <w:t xml:space="preserve">. </w:t>
      </w:r>
      <w:r w:rsidR="001D7E51" w:rsidRPr="001D7E51">
        <w:rPr>
          <w:noProof/>
        </w:rPr>
        <w:t xml:space="preserve">In the S2 scenario, total non-CO2 GHG emissions </w:t>
      </w:r>
      <w:r w:rsidR="001D7E51">
        <w:rPr>
          <w:noProof/>
        </w:rPr>
        <w:t>go down</w:t>
      </w:r>
      <w:r w:rsidR="001D7E51" w:rsidRPr="001D7E51">
        <w:rPr>
          <w:noProof/>
        </w:rPr>
        <w:t xml:space="preserve"> to 3</w:t>
      </w:r>
      <w:r w:rsidR="001D7E51">
        <w:rPr>
          <w:noProof/>
        </w:rPr>
        <w:t>76</w:t>
      </w:r>
      <w:r w:rsidR="001D7E51" w:rsidRPr="001D7E51">
        <w:rPr>
          <w:noProof/>
        </w:rPr>
        <w:t xml:space="preserve"> MtCO2-eq in 2040 (i.e., </w:t>
      </w:r>
      <w:r w:rsidR="001D7E51">
        <w:rPr>
          <w:noProof/>
        </w:rPr>
        <w:t>81</w:t>
      </w:r>
      <w:r w:rsidR="001D7E51" w:rsidRPr="001D7E51">
        <w:rPr>
          <w:noProof/>
        </w:rPr>
        <w:t xml:space="preserve"> MtCO2-eq less than in the S1 scenario), </w:t>
      </w:r>
      <w:r w:rsidR="001D7E51">
        <w:rPr>
          <w:noProof/>
        </w:rPr>
        <w:t>that is to say,</w:t>
      </w:r>
      <w:r w:rsidR="001D7E51" w:rsidRPr="001D7E51">
        <w:rPr>
          <w:noProof/>
        </w:rPr>
        <w:t xml:space="preserve"> </w:t>
      </w:r>
      <w:r w:rsidR="001D7E51">
        <w:rPr>
          <w:noProof/>
        </w:rPr>
        <w:t>they decrease by</w:t>
      </w:r>
      <w:r w:rsidR="001D7E51" w:rsidRPr="001D7E51">
        <w:rPr>
          <w:noProof/>
        </w:rPr>
        <w:t xml:space="preserve"> </w:t>
      </w:r>
      <w:r w:rsidR="00401D69">
        <w:rPr>
          <w:noProof/>
        </w:rPr>
        <w:t>47</w:t>
      </w:r>
      <w:r w:rsidR="001D7E51" w:rsidRPr="001D7E51">
        <w:rPr>
          <w:noProof/>
        </w:rPr>
        <w:t>% compared to 2015</w:t>
      </w:r>
      <w:r w:rsidR="001D7E51">
        <w:rPr>
          <w:noProof/>
        </w:rPr>
        <w:t xml:space="preserve">. </w:t>
      </w:r>
      <w:r w:rsidR="00CA1F98" w:rsidRPr="00DD7DAF">
        <w:rPr>
          <w:noProof/>
        </w:rPr>
        <w:t xml:space="preserve">In </w:t>
      </w:r>
      <w:r w:rsidR="001D7E51">
        <w:rPr>
          <w:noProof/>
        </w:rPr>
        <w:t>the S3</w:t>
      </w:r>
      <w:r w:rsidR="00C56CE6" w:rsidRPr="00DD7DAF">
        <w:rPr>
          <w:noProof/>
        </w:rPr>
        <w:t xml:space="preserve"> scenario</w:t>
      </w:r>
      <w:r w:rsidR="00CA1F98" w:rsidRPr="00DD7DAF">
        <w:rPr>
          <w:noProof/>
        </w:rPr>
        <w:t>, total non-CO2 GHG emissions</w:t>
      </w:r>
      <w:r w:rsidR="000E36F7" w:rsidRPr="00DD7DAF">
        <w:rPr>
          <w:noProof/>
        </w:rPr>
        <w:t xml:space="preserve"> </w:t>
      </w:r>
      <w:r w:rsidR="00CA1F98" w:rsidRPr="00DD7DAF">
        <w:rPr>
          <w:noProof/>
        </w:rPr>
        <w:t>d</w:t>
      </w:r>
      <w:r w:rsidR="0005166D" w:rsidRPr="00DD7DAF">
        <w:rPr>
          <w:noProof/>
        </w:rPr>
        <w:t>rop</w:t>
      </w:r>
      <w:r w:rsidR="000E36F7" w:rsidRPr="00DD7DAF">
        <w:rPr>
          <w:noProof/>
        </w:rPr>
        <w:t xml:space="preserve"> to</w:t>
      </w:r>
      <w:r w:rsidR="00CA1F98" w:rsidRPr="00DD7DAF">
        <w:rPr>
          <w:noProof/>
        </w:rPr>
        <w:t xml:space="preserve"> </w:t>
      </w:r>
      <w:r w:rsidR="00316815" w:rsidRPr="00DD7DAF">
        <w:rPr>
          <w:noProof/>
        </w:rPr>
        <w:t>345</w:t>
      </w:r>
      <w:r w:rsidR="000E36F7" w:rsidRPr="00DD7DAF">
        <w:rPr>
          <w:noProof/>
        </w:rPr>
        <w:t xml:space="preserve"> MtCO2-eq in 2040</w:t>
      </w:r>
      <w:r w:rsidR="0000200F" w:rsidRPr="00DD7DAF">
        <w:rPr>
          <w:noProof/>
        </w:rPr>
        <w:t xml:space="preserve"> (</w:t>
      </w:r>
      <w:r w:rsidR="00325EE9">
        <w:rPr>
          <w:noProof/>
        </w:rPr>
        <w:t>i.e., 112</w:t>
      </w:r>
      <w:r w:rsidR="0000200F" w:rsidRPr="00DD7DAF">
        <w:rPr>
          <w:noProof/>
        </w:rPr>
        <w:t xml:space="preserve"> MtCO2-eq less than in the S1 scenario), </w:t>
      </w:r>
      <w:r w:rsidR="000E36F7" w:rsidRPr="00DD7DAF">
        <w:rPr>
          <w:noProof/>
        </w:rPr>
        <w:t xml:space="preserve">which </w:t>
      </w:r>
      <w:r w:rsidR="0000200F" w:rsidRPr="00DD7DAF">
        <w:rPr>
          <w:noProof/>
        </w:rPr>
        <w:t>translates into</w:t>
      </w:r>
      <w:r w:rsidR="000E36F7" w:rsidRPr="00DD7DAF">
        <w:rPr>
          <w:noProof/>
        </w:rPr>
        <w:t xml:space="preserve"> a 5</w:t>
      </w:r>
      <w:r w:rsidR="00316815" w:rsidRPr="00DD7DAF">
        <w:rPr>
          <w:noProof/>
        </w:rPr>
        <w:t>1</w:t>
      </w:r>
      <w:r w:rsidR="000E36F7" w:rsidRPr="00DD7DAF">
        <w:rPr>
          <w:noProof/>
        </w:rPr>
        <w:t>% reduction compared to 20</w:t>
      </w:r>
      <w:r w:rsidR="00316815" w:rsidRPr="00DD7DAF">
        <w:rPr>
          <w:noProof/>
        </w:rPr>
        <w:t>1</w:t>
      </w:r>
      <w:r w:rsidR="000E36F7" w:rsidRPr="00DD7DAF">
        <w:rPr>
          <w:noProof/>
        </w:rPr>
        <w:t>5</w:t>
      </w:r>
      <w:r w:rsidR="0000200F" w:rsidRPr="00DD7DAF">
        <w:rPr>
          <w:noProof/>
        </w:rPr>
        <w:t xml:space="preserve"> </w:t>
      </w:r>
      <w:r w:rsidR="00656BED" w:rsidRPr="00DD7DAF">
        <w:rPr>
          <w:noProof/>
        </w:rPr>
        <w:t>(</w:t>
      </w:r>
      <w:r w:rsidR="009B7F38" w:rsidRPr="00DD7DAF">
        <w:rPr>
          <w:noProof/>
        </w:rPr>
        <w:t>i.e., more than three-quarters of the emissions reduction trajectory between 2030 and 2050</w:t>
      </w:r>
      <w:r w:rsidR="00656BED" w:rsidRPr="00DD7DAF">
        <w:rPr>
          <w:noProof/>
        </w:rPr>
        <w:t>)</w:t>
      </w:r>
      <w:r w:rsidR="000E36F7" w:rsidRPr="00DD7DAF">
        <w:rPr>
          <w:noProof/>
        </w:rPr>
        <w:t xml:space="preserve">. As shown in </w:t>
      </w:r>
      <w:r w:rsidR="009316B6" w:rsidRPr="00DD7DAF">
        <w:rPr>
          <w:noProof/>
          <w:color w:val="2B579A"/>
          <w:shd w:val="clear" w:color="auto" w:fill="E6E6E6"/>
        </w:rPr>
        <w:fldChar w:fldCharType="begin"/>
      </w:r>
      <w:r w:rsidR="009316B6" w:rsidRPr="00DD7DAF">
        <w:rPr>
          <w:noProof/>
        </w:rPr>
        <w:instrText xml:space="preserve"> REF _Ref141883532 \h </w:instrText>
      </w:r>
      <w:r w:rsidR="009C15E6" w:rsidRPr="00DD7DAF">
        <w:rPr>
          <w:noProof/>
          <w:color w:val="2B579A"/>
          <w:shd w:val="clear" w:color="auto" w:fill="E6E6E6"/>
        </w:rPr>
        <w:instrText xml:space="preserve"> \* MERGEFORMAT </w:instrText>
      </w:r>
      <w:r w:rsidR="009316B6" w:rsidRPr="00DD7DAF">
        <w:rPr>
          <w:noProof/>
          <w:color w:val="2B579A"/>
          <w:shd w:val="clear" w:color="auto" w:fill="E6E6E6"/>
        </w:rPr>
      </w:r>
      <w:r w:rsidR="009316B6" w:rsidRPr="00DD7DAF">
        <w:rPr>
          <w:noProof/>
          <w:color w:val="2B579A"/>
          <w:shd w:val="clear" w:color="auto" w:fill="E6E6E6"/>
        </w:rPr>
        <w:fldChar w:fldCharType="separate"/>
      </w:r>
      <w:r w:rsidR="00170A3C">
        <w:rPr>
          <w:noProof/>
        </w:rPr>
        <w:t>Figure 12</w:t>
      </w:r>
      <w:r w:rsidR="009316B6" w:rsidRPr="00DD7DAF">
        <w:rPr>
          <w:noProof/>
          <w:color w:val="2B579A"/>
          <w:shd w:val="clear" w:color="auto" w:fill="E6E6E6"/>
        </w:rPr>
        <w:fldChar w:fldCharType="end"/>
      </w:r>
      <w:r w:rsidR="000E36F7" w:rsidRPr="00DD7DAF">
        <w:rPr>
          <w:noProof/>
        </w:rPr>
        <w:t xml:space="preserve">, the main difference compared to the S1 scenario </w:t>
      </w:r>
      <w:r w:rsidR="00EC723A">
        <w:rPr>
          <w:noProof/>
        </w:rPr>
        <w:t>are</w:t>
      </w:r>
      <w:r w:rsidR="000E36F7" w:rsidRPr="00DD7DAF">
        <w:rPr>
          <w:noProof/>
        </w:rPr>
        <w:t xml:space="preserve"> additional </w:t>
      </w:r>
      <w:r w:rsidR="00EC723A">
        <w:rPr>
          <w:noProof/>
        </w:rPr>
        <w:t>reductions</w:t>
      </w:r>
      <w:r w:rsidR="000E36F7" w:rsidRPr="00DD7DAF">
        <w:rPr>
          <w:noProof/>
        </w:rPr>
        <w:t xml:space="preserve"> in emissions in the agriculture sector (</w:t>
      </w:r>
      <w:r w:rsidR="00EC723A">
        <w:rPr>
          <w:noProof/>
        </w:rPr>
        <w:t>22%</w:t>
      </w:r>
      <w:r w:rsidR="000E36F7" w:rsidRPr="00DD7DAF">
        <w:rPr>
          <w:noProof/>
        </w:rPr>
        <w:t xml:space="preserve"> reduction between 20</w:t>
      </w:r>
      <w:r w:rsidR="00E217CA" w:rsidRPr="00DD7DAF">
        <w:rPr>
          <w:noProof/>
        </w:rPr>
        <w:t>1</w:t>
      </w:r>
      <w:r w:rsidR="000E36F7" w:rsidRPr="00DD7DAF">
        <w:rPr>
          <w:noProof/>
        </w:rPr>
        <w:t>5 and 2040</w:t>
      </w:r>
      <w:r w:rsidR="00EC723A">
        <w:rPr>
          <w:noProof/>
        </w:rPr>
        <w:t xml:space="preserve"> in S2</w:t>
      </w:r>
      <w:r w:rsidR="000E36F7" w:rsidRPr="00DD7DAF">
        <w:rPr>
          <w:noProof/>
        </w:rPr>
        <w:t xml:space="preserve">, </w:t>
      </w:r>
      <w:r w:rsidR="00EC723A">
        <w:rPr>
          <w:noProof/>
        </w:rPr>
        <w:t>13</w:t>
      </w:r>
      <w:r w:rsidR="000E36F7" w:rsidRPr="00DD7DAF">
        <w:rPr>
          <w:noProof/>
        </w:rPr>
        <w:t xml:space="preserve"> percentage points more than in S1</w:t>
      </w:r>
      <w:r w:rsidR="005E3E74" w:rsidRPr="005E3E74">
        <w:rPr>
          <w:noProof/>
        </w:rPr>
        <w:t>, and 30% reduction between 2015 and 2040 in S3, 21 pp more than in S1</w:t>
      </w:r>
      <w:r w:rsidR="000E36F7" w:rsidRPr="00DD7DAF">
        <w:rPr>
          <w:noProof/>
        </w:rPr>
        <w:t xml:space="preserve">). Most of this additional reduction corresponds to N2O emissions </w:t>
      </w:r>
      <w:r w:rsidR="00656BED" w:rsidRPr="00DD7DAF">
        <w:rPr>
          <w:noProof/>
        </w:rPr>
        <w:t xml:space="preserve">from agricultural soils </w:t>
      </w:r>
      <w:r w:rsidR="00260D1C">
        <w:rPr>
          <w:noProof/>
        </w:rPr>
        <w:t xml:space="preserve">and CH4 emissions from enteric fermentation and manure management </w:t>
      </w:r>
      <w:r w:rsidR="000E36F7" w:rsidRPr="00DD7DAF">
        <w:rPr>
          <w:noProof/>
        </w:rPr>
        <w:t xml:space="preserve">(see </w:t>
      </w:r>
      <w:r w:rsidR="009316B6" w:rsidRPr="00DD7DAF">
        <w:rPr>
          <w:noProof/>
        </w:rPr>
        <w:fldChar w:fldCharType="begin"/>
      </w:r>
      <w:r w:rsidR="009316B6" w:rsidRPr="00DD7DAF">
        <w:rPr>
          <w:noProof/>
        </w:rPr>
        <w:instrText xml:space="preserve"> REF _Ref141883518 \h </w:instrText>
      </w:r>
      <w:r w:rsidR="00656BED" w:rsidRPr="00DD7DAF">
        <w:rPr>
          <w:noProof/>
        </w:rPr>
        <w:instrText xml:space="preserve"> \* MERGEFORMAT </w:instrText>
      </w:r>
      <w:r w:rsidR="009316B6" w:rsidRPr="00DD7DAF">
        <w:rPr>
          <w:noProof/>
        </w:rPr>
      </w:r>
      <w:r w:rsidR="009316B6" w:rsidRPr="00DD7DAF">
        <w:rPr>
          <w:noProof/>
        </w:rPr>
        <w:fldChar w:fldCharType="separate"/>
      </w:r>
      <w:r w:rsidR="00170A3C">
        <w:rPr>
          <w:noProof/>
        </w:rPr>
        <w:t>Figure 13</w:t>
      </w:r>
      <w:r w:rsidR="009316B6" w:rsidRPr="00DD7DAF">
        <w:rPr>
          <w:noProof/>
        </w:rPr>
        <w:fldChar w:fldCharType="end"/>
      </w:r>
      <w:r w:rsidR="00656BED" w:rsidRPr="00DD7DAF">
        <w:rPr>
          <w:noProof/>
        </w:rPr>
        <w:t xml:space="preserve"> and Section </w:t>
      </w:r>
      <w:r w:rsidR="00656BED" w:rsidRPr="00DD7DAF">
        <w:rPr>
          <w:noProof/>
        </w:rPr>
        <w:fldChar w:fldCharType="begin"/>
      </w:r>
      <w:r w:rsidR="00656BED" w:rsidRPr="00DD7DAF">
        <w:rPr>
          <w:noProof/>
        </w:rPr>
        <w:instrText xml:space="preserve"> REF _Ref143778912 \r \h  \* MERGEFORMAT </w:instrText>
      </w:r>
      <w:r w:rsidR="00656BED" w:rsidRPr="00DD7DAF">
        <w:rPr>
          <w:noProof/>
        </w:rPr>
      </w:r>
      <w:r w:rsidR="00656BED" w:rsidRPr="00DD7DAF">
        <w:rPr>
          <w:noProof/>
        </w:rPr>
        <w:fldChar w:fldCharType="separate"/>
      </w:r>
      <w:r w:rsidR="00170A3C">
        <w:rPr>
          <w:noProof/>
        </w:rPr>
        <w:t>1.7.5</w:t>
      </w:r>
      <w:r w:rsidR="00656BED" w:rsidRPr="00DD7DAF">
        <w:rPr>
          <w:noProof/>
        </w:rPr>
        <w:fldChar w:fldCharType="end"/>
      </w:r>
      <w:r w:rsidR="000E36F7" w:rsidRPr="00DD7DAF">
        <w:rPr>
          <w:noProof/>
        </w:rPr>
        <w:t>). In the S3 scenario, all sectors (including agriculture) are close to reach</w:t>
      </w:r>
      <w:r w:rsidR="009E762B" w:rsidRPr="00DD7DAF">
        <w:rPr>
          <w:noProof/>
        </w:rPr>
        <w:t>ing</w:t>
      </w:r>
      <w:r w:rsidR="000E36F7" w:rsidRPr="00DD7DAF">
        <w:rPr>
          <w:noProof/>
        </w:rPr>
        <w:t xml:space="preserve"> their maximum mitigation potential </w:t>
      </w:r>
      <w:r w:rsidR="00464ACA" w:rsidRPr="00DD7DAF">
        <w:rPr>
          <w:noProof/>
        </w:rPr>
        <w:t xml:space="preserve">both </w:t>
      </w:r>
      <w:r w:rsidR="000E36F7" w:rsidRPr="00DD7DAF">
        <w:rPr>
          <w:noProof/>
        </w:rPr>
        <w:t>in 2040</w:t>
      </w:r>
      <w:r w:rsidR="009E762B" w:rsidRPr="00DD7DAF">
        <w:rPr>
          <w:noProof/>
        </w:rPr>
        <w:t xml:space="preserve"> a</w:t>
      </w:r>
      <w:r w:rsidR="00464ACA" w:rsidRPr="00DD7DAF">
        <w:rPr>
          <w:noProof/>
        </w:rPr>
        <w:t>nd</w:t>
      </w:r>
      <w:r w:rsidR="009E762B" w:rsidRPr="00DD7DAF">
        <w:rPr>
          <w:noProof/>
        </w:rPr>
        <w:t xml:space="preserve"> in 2050</w:t>
      </w:r>
      <w:r w:rsidR="000E36F7" w:rsidRPr="00DD7DAF">
        <w:rPr>
          <w:noProof/>
        </w:rPr>
        <w:t>.</w:t>
      </w:r>
    </w:p>
    <w:p w14:paraId="0A422E44" w14:textId="5CE5DD48" w:rsidR="002C372D" w:rsidRPr="00BA17DD" w:rsidRDefault="000E36F7" w:rsidP="000E36F7">
      <w:pPr>
        <w:rPr>
          <w:noProof/>
        </w:rPr>
      </w:pPr>
      <w:r w:rsidRPr="00DD7DAF">
        <w:rPr>
          <w:noProof/>
        </w:rPr>
        <w:t xml:space="preserve">In </w:t>
      </w:r>
      <w:r w:rsidR="00C459D4" w:rsidRPr="00DD7DAF">
        <w:rPr>
          <w:noProof/>
        </w:rPr>
        <w:t>LIFE</w:t>
      </w:r>
      <w:r w:rsidRPr="00DD7DAF">
        <w:rPr>
          <w:noProof/>
        </w:rPr>
        <w:t xml:space="preserve">, </w:t>
      </w:r>
      <w:r w:rsidR="0005166D" w:rsidRPr="00DD7DAF">
        <w:rPr>
          <w:noProof/>
        </w:rPr>
        <w:t xml:space="preserve">total </w:t>
      </w:r>
      <w:r w:rsidRPr="00DD7DAF">
        <w:rPr>
          <w:noProof/>
        </w:rPr>
        <w:t xml:space="preserve">non-CO2 GHG emissions </w:t>
      </w:r>
      <w:r w:rsidR="000B2F5E" w:rsidRPr="00DD7DAF">
        <w:rPr>
          <w:noProof/>
        </w:rPr>
        <w:t xml:space="preserve">go down to </w:t>
      </w:r>
      <w:r w:rsidRPr="00DD7DAF">
        <w:rPr>
          <w:noProof/>
        </w:rPr>
        <w:t>28</w:t>
      </w:r>
      <w:r w:rsidR="00B950D1">
        <w:rPr>
          <w:noProof/>
        </w:rPr>
        <w:t>4</w:t>
      </w:r>
      <w:r w:rsidRPr="00DD7DAF">
        <w:rPr>
          <w:noProof/>
        </w:rPr>
        <w:t xml:space="preserve"> MtCO2-eq in 2040 (which means a 6</w:t>
      </w:r>
      <w:r w:rsidR="007D34B1" w:rsidRPr="00DD7DAF">
        <w:rPr>
          <w:noProof/>
        </w:rPr>
        <w:t>0</w:t>
      </w:r>
      <w:r w:rsidRPr="00DD7DAF">
        <w:rPr>
          <w:noProof/>
        </w:rPr>
        <w:t>% reduction relative to 20</w:t>
      </w:r>
      <w:r w:rsidR="007D34B1" w:rsidRPr="00DD7DAF">
        <w:rPr>
          <w:noProof/>
        </w:rPr>
        <w:t>1</w:t>
      </w:r>
      <w:r w:rsidRPr="00DD7DAF">
        <w:rPr>
          <w:noProof/>
        </w:rPr>
        <w:t>5</w:t>
      </w:r>
      <w:r w:rsidR="007D34B1" w:rsidRPr="00DD7DAF">
        <w:rPr>
          <w:noProof/>
        </w:rPr>
        <w:t>,</w:t>
      </w:r>
      <w:r w:rsidRPr="00DD7DAF">
        <w:rPr>
          <w:noProof/>
        </w:rPr>
        <w:t xml:space="preserve"> and 6</w:t>
      </w:r>
      <w:r w:rsidR="00B950D1">
        <w:rPr>
          <w:noProof/>
        </w:rPr>
        <w:t>1</w:t>
      </w:r>
      <w:r w:rsidRPr="00DD7DAF">
        <w:rPr>
          <w:noProof/>
        </w:rPr>
        <w:t xml:space="preserve"> MtCO2-eq less</w:t>
      </w:r>
      <w:r w:rsidR="00B950D1">
        <w:rPr>
          <w:noProof/>
        </w:rPr>
        <w:t xml:space="preserve"> than in S3</w:t>
      </w:r>
      <w:r w:rsidRPr="00DD7DAF">
        <w:rPr>
          <w:noProof/>
        </w:rPr>
        <w:t>)</w:t>
      </w:r>
      <w:r w:rsidR="009E762B" w:rsidRPr="00DD7DAF">
        <w:rPr>
          <w:noProof/>
        </w:rPr>
        <w:t xml:space="preserve"> and </w:t>
      </w:r>
      <w:r w:rsidR="001A7350" w:rsidRPr="00DD7DAF">
        <w:rPr>
          <w:noProof/>
        </w:rPr>
        <w:t>2</w:t>
      </w:r>
      <w:r w:rsidR="00B950D1">
        <w:rPr>
          <w:noProof/>
        </w:rPr>
        <w:t>38</w:t>
      </w:r>
      <w:r w:rsidR="001A7350" w:rsidRPr="00DD7DAF">
        <w:rPr>
          <w:noProof/>
        </w:rPr>
        <w:t xml:space="preserve"> MtCO2-eq</w:t>
      </w:r>
      <w:r w:rsidR="009E762B" w:rsidRPr="00DD7DAF">
        <w:rPr>
          <w:noProof/>
        </w:rPr>
        <w:t xml:space="preserve"> in 2050</w:t>
      </w:r>
      <w:r w:rsidR="007D34B1" w:rsidRPr="00DD7DAF">
        <w:rPr>
          <w:noProof/>
        </w:rPr>
        <w:t xml:space="preserve"> (i.e., 55 MtCO2-eq</w:t>
      </w:r>
      <w:r w:rsidR="00B950D1">
        <w:rPr>
          <w:noProof/>
        </w:rPr>
        <w:t xml:space="preserve"> </w:t>
      </w:r>
      <w:r w:rsidR="00B950D1" w:rsidRPr="00DD7DAF">
        <w:rPr>
          <w:noProof/>
        </w:rPr>
        <w:t>less</w:t>
      </w:r>
      <w:r w:rsidR="00B950D1" w:rsidRPr="00B950D1">
        <w:rPr>
          <w:noProof/>
        </w:rPr>
        <w:t xml:space="preserve"> </w:t>
      </w:r>
      <w:r w:rsidR="00B950D1">
        <w:rPr>
          <w:noProof/>
        </w:rPr>
        <w:t>than in S3</w:t>
      </w:r>
      <w:r w:rsidR="007D34B1" w:rsidRPr="00DD7DAF">
        <w:rPr>
          <w:noProof/>
        </w:rPr>
        <w:t>)</w:t>
      </w:r>
      <w:r w:rsidRPr="00DD7DAF">
        <w:rPr>
          <w:noProof/>
        </w:rPr>
        <w:t xml:space="preserve">. As shown in </w:t>
      </w:r>
      <w:r w:rsidR="009316B6" w:rsidRPr="00DD7DAF">
        <w:rPr>
          <w:noProof/>
          <w:color w:val="2B579A"/>
          <w:shd w:val="clear" w:color="auto" w:fill="E6E6E6"/>
        </w:rPr>
        <w:fldChar w:fldCharType="begin"/>
      </w:r>
      <w:r w:rsidR="009316B6" w:rsidRPr="00DD7DAF">
        <w:rPr>
          <w:noProof/>
        </w:rPr>
        <w:instrText xml:space="preserve"> REF _Ref141883532 \h </w:instrText>
      </w:r>
      <w:r w:rsidR="007D34B1" w:rsidRPr="00DD7DAF">
        <w:rPr>
          <w:noProof/>
          <w:color w:val="2B579A"/>
          <w:shd w:val="clear" w:color="auto" w:fill="E6E6E6"/>
        </w:rPr>
        <w:instrText xml:space="preserve"> \* MERGEFORMAT </w:instrText>
      </w:r>
      <w:r w:rsidR="009316B6" w:rsidRPr="00DD7DAF">
        <w:rPr>
          <w:noProof/>
          <w:color w:val="2B579A"/>
          <w:shd w:val="clear" w:color="auto" w:fill="E6E6E6"/>
        </w:rPr>
      </w:r>
      <w:r w:rsidR="009316B6" w:rsidRPr="00DD7DAF">
        <w:rPr>
          <w:noProof/>
          <w:color w:val="2B579A"/>
          <w:shd w:val="clear" w:color="auto" w:fill="E6E6E6"/>
        </w:rPr>
        <w:fldChar w:fldCharType="separate"/>
      </w:r>
      <w:r w:rsidR="00170A3C">
        <w:rPr>
          <w:noProof/>
        </w:rPr>
        <w:t>Figure 12</w:t>
      </w:r>
      <w:r w:rsidR="009316B6" w:rsidRPr="00DD7DAF">
        <w:rPr>
          <w:noProof/>
          <w:color w:val="2B579A"/>
          <w:shd w:val="clear" w:color="auto" w:fill="E6E6E6"/>
        </w:rPr>
        <w:fldChar w:fldCharType="end"/>
      </w:r>
      <w:r w:rsidRPr="00DD7DAF">
        <w:rPr>
          <w:noProof/>
        </w:rPr>
        <w:t xml:space="preserve">, the only </w:t>
      </w:r>
      <w:r w:rsidR="00181F38" w:rsidRPr="00DD7DAF">
        <w:rPr>
          <w:noProof/>
        </w:rPr>
        <w:t>significant</w:t>
      </w:r>
      <w:r w:rsidRPr="00DD7DAF">
        <w:rPr>
          <w:noProof/>
        </w:rPr>
        <w:t xml:space="preserve"> difference compared to </w:t>
      </w:r>
      <w:r w:rsidR="001A6DFC" w:rsidRPr="00DD7DAF">
        <w:rPr>
          <w:noProof/>
        </w:rPr>
        <w:t xml:space="preserve">the </w:t>
      </w:r>
      <w:r w:rsidR="00B950D1">
        <w:rPr>
          <w:noProof/>
        </w:rPr>
        <w:t xml:space="preserve">S3 </w:t>
      </w:r>
      <w:r w:rsidR="001A6DFC" w:rsidRPr="00DD7DAF">
        <w:rPr>
          <w:noProof/>
        </w:rPr>
        <w:t>scenario</w:t>
      </w:r>
      <w:r w:rsidRPr="00DD7DAF">
        <w:rPr>
          <w:noProof/>
        </w:rPr>
        <w:t xml:space="preserve"> is an additional decrease in emissions in the agriculture sector (</w:t>
      </w:r>
      <w:r w:rsidR="007D34B1" w:rsidRPr="00DD7DAF">
        <w:rPr>
          <w:noProof/>
        </w:rPr>
        <w:t>47</w:t>
      </w:r>
      <w:r w:rsidRPr="00DD7DAF">
        <w:rPr>
          <w:noProof/>
        </w:rPr>
        <w:t>% reduction between 20</w:t>
      </w:r>
      <w:r w:rsidR="002C2BB8" w:rsidRPr="00DD7DAF">
        <w:rPr>
          <w:noProof/>
        </w:rPr>
        <w:t>1</w:t>
      </w:r>
      <w:r w:rsidRPr="00DD7DAF">
        <w:rPr>
          <w:noProof/>
        </w:rPr>
        <w:t>5 and 2040, 1</w:t>
      </w:r>
      <w:r w:rsidR="002C2BB8" w:rsidRPr="00DD7DAF">
        <w:rPr>
          <w:noProof/>
        </w:rPr>
        <w:t>7</w:t>
      </w:r>
      <w:r w:rsidRPr="00DD7DAF">
        <w:rPr>
          <w:noProof/>
        </w:rPr>
        <w:t xml:space="preserve"> p</w:t>
      </w:r>
      <w:r w:rsidR="00732026" w:rsidRPr="00DD7DAF">
        <w:rPr>
          <w:noProof/>
        </w:rPr>
        <w:t>ercentage points</w:t>
      </w:r>
      <w:r w:rsidRPr="00DD7DAF">
        <w:rPr>
          <w:noProof/>
        </w:rPr>
        <w:t xml:space="preserve"> more than in the </w:t>
      </w:r>
      <w:r w:rsidR="00B950D1">
        <w:rPr>
          <w:noProof/>
        </w:rPr>
        <w:t>S3</w:t>
      </w:r>
      <w:r w:rsidRPr="00DD7DAF">
        <w:rPr>
          <w:noProof/>
        </w:rPr>
        <w:t xml:space="preserve"> scenario), which is m</w:t>
      </w:r>
      <w:r w:rsidR="00C64AE7" w:rsidRPr="00DD7DAF">
        <w:rPr>
          <w:noProof/>
        </w:rPr>
        <w:t>ain</w:t>
      </w:r>
      <w:r w:rsidRPr="00DD7DAF">
        <w:rPr>
          <w:noProof/>
        </w:rPr>
        <w:t xml:space="preserve">ly due to the smaller </w:t>
      </w:r>
      <w:r w:rsidR="00C64AE7" w:rsidRPr="00DD7DAF">
        <w:rPr>
          <w:noProof/>
        </w:rPr>
        <w:t>amount of</w:t>
      </w:r>
      <w:r w:rsidR="00C64AE7">
        <w:rPr>
          <w:noProof/>
        </w:rPr>
        <w:t xml:space="preserve"> </w:t>
      </w:r>
      <w:r w:rsidRPr="000E36F7">
        <w:rPr>
          <w:noProof/>
        </w:rPr>
        <w:t xml:space="preserve">livestock and lower use of mineral fertilisers assumed in </w:t>
      </w:r>
      <w:r w:rsidR="00C459D4">
        <w:rPr>
          <w:noProof/>
        </w:rPr>
        <w:t>LIFE</w:t>
      </w:r>
      <w:r w:rsidRPr="000E36F7">
        <w:rPr>
          <w:noProof/>
        </w:rPr>
        <w:t>. All sectors (including agriculture) are close to reach</w:t>
      </w:r>
      <w:r w:rsidR="009E762B">
        <w:rPr>
          <w:noProof/>
        </w:rPr>
        <w:t>ing</w:t>
      </w:r>
      <w:r w:rsidRPr="000E36F7">
        <w:rPr>
          <w:noProof/>
        </w:rPr>
        <w:t xml:space="preserve"> their maximum mitigation potential </w:t>
      </w:r>
      <w:r w:rsidR="00464ACA">
        <w:rPr>
          <w:noProof/>
        </w:rPr>
        <w:t xml:space="preserve">both </w:t>
      </w:r>
      <w:r w:rsidRPr="000E36F7">
        <w:rPr>
          <w:noProof/>
        </w:rPr>
        <w:t>in 2040</w:t>
      </w:r>
      <w:r w:rsidR="009E762B">
        <w:rPr>
          <w:noProof/>
        </w:rPr>
        <w:t xml:space="preserve"> and in 2050</w:t>
      </w:r>
      <w:r w:rsidRPr="000E36F7">
        <w:rPr>
          <w:noProof/>
        </w:rPr>
        <w:t>.</w:t>
      </w:r>
    </w:p>
    <w:p w14:paraId="32452B09" w14:textId="2DC988C9" w:rsidR="005F39D9" w:rsidRPr="00BA17DD" w:rsidRDefault="005F39D9" w:rsidP="000E36F7">
      <w:pPr>
        <w:rPr>
          <w:noProof/>
        </w:rPr>
      </w:pPr>
      <w:r w:rsidRPr="005F39D9">
        <w:rPr>
          <w:noProof/>
        </w:rPr>
        <w:t xml:space="preserve">A more detailed analysis of the non-CO2 GHG emission trajectories in all scenarios can be found in </w:t>
      </w:r>
      <w:r w:rsidRPr="00A438D4">
        <w:rPr>
          <w:noProof/>
        </w:rPr>
        <w:t xml:space="preserve">Sections </w:t>
      </w:r>
      <w:r w:rsidR="00AB555C" w:rsidRPr="00A438D4">
        <w:rPr>
          <w:noProof/>
          <w:color w:val="2B579A"/>
          <w:shd w:val="clear" w:color="auto" w:fill="E6E6E6"/>
        </w:rPr>
        <w:fldChar w:fldCharType="begin"/>
      </w:r>
      <w:r w:rsidR="00AB555C" w:rsidRPr="00A438D4">
        <w:rPr>
          <w:noProof/>
        </w:rPr>
        <w:instrText xml:space="preserve"> REF _Ref141885995 \r \h </w:instrText>
      </w:r>
      <w:r w:rsidR="00732026" w:rsidRPr="00A438D4">
        <w:rPr>
          <w:noProof/>
          <w:color w:val="2B579A"/>
          <w:shd w:val="clear" w:color="auto" w:fill="E6E6E6"/>
        </w:rPr>
        <w:instrText xml:space="preserve"> \* MERGEFORMAT </w:instrText>
      </w:r>
      <w:r w:rsidR="00AB555C" w:rsidRPr="00A438D4">
        <w:rPr>
          <w:noProof/>
          <w:color w:val="2B579A"/>
          <w:shd w:val="clear" w:color="auto" w:fill="E6E6E6"/>
        </w:rPr>
      </w:r>
      <w:r w:rsidR="00AB555C" w:rsidRPr="00A438D4">
        <w:rPr>
          <w:noProof/>
          <w:color w:val="2B579A"/>
          <w:shd w:val="clear" w:color="auto" w:fill="E6E6E6"/>
        </w:rPr>
        <w:fldChar w:fldCharType="separate"/>
      </w:r>
      <w:r w:rsidR="00170A3C">
        <w:rPr>
          <w:noProof/>
        </w:rPr>
        <w:t>1.6</w:t>
      </w:r>
      <w:r w:rsidR="00AB555C" w:rsidRPr="00A438D4">
        <w:rPr>
          <w:noProof/>
          <w:color w:val="2B579A"/>
          <w:shd w:val="clear" w:color="auto" w:fill="E6E6E6"/>
        </w:rPr>
        <w:fldChar w:fldCharType="end"/>
      </w:r>
      <w:r w:rsidRPr="00A438D4">
        <w:rPr>
          <w:noProof/>
        </w:rPr>
        <w:t xml:space="preserve"> and </w:t>
      </w:r>
      <w:r w:rsidR="00732026" w:rsidRPr="00A438D4">
        <w:rPr>
          <w:noProof/>
        </w:rPr>
        <w:fldChar w:fldCharType="begin"/>
      </w:r>
      <w:r w:rsidR="00732026" w:rsidRPr="00732026">
        <w:rPr>
          <w:noProof/>
          <w:highlight w:val="yellow"/>
        </w:rPr>
        <w:instrText xml:space="preserve"> REF _Ref143779233 \r \h </w:instrText>
      </w:r>
      <w:r w:rsidR="00732026">
        <w:rPr>
          <w:noProof/>
          <w:highlight w:val="yellow"/>
        </w:rPr>
        <w:instrText xml:space="preserve"> \* MERGEFORMAT </w:instrText>
      </w:r>
      <w:r w:rsidR="00732026" w:rsidRPr="00A438D4">
        <w:rPr>
          <w:noProof/>
        </w:rPr>
      </w:r>
      <w:r w:rsidR="00732026" w:rsidRPr="00A438D4">
        <w:rPr>
          <w:noProof/>
        </w:rPr>
        <w:fldChar w:fldCharType="separate"/>
      </w:r>
      <w:r w:rsidR="00170A3C" w:rsidRPr="00170A3C">
        <w:rPr>
          <w:noProof/>
        </w:rPr>
        <w:t>1.7</w:t>
      </w:r>
      <w:r w:rsidR="00732026" w:rsidRPr="00A438D4">
        <w:rPr>
          <w:noProof/>
        </w:rPr>
        <w:fldChar w:fldCharType="end"/>
      </w:r>
      <w:r w:rsidRPr="005F39D9">
        <w:rPr>
          <w:noProof/>
        </w:rPr>
        <w:t>.</w:t>
      </w:r>
    </w:p>
    <w:p w14:paraId="5BBAEA5E" w14:textId="6BE7CAD9" w:rsidR="00A76FDB" w:rsidRPr="00BA17DD" w:rsidRDefault="00A76FDB" w:rsidP="000E36F7">
      <w:pPr>
        <w:rPr>
          <w:noProof/>
        </w:rPr>
      </w:pPr>
      <w:r>
        <w:rPr>
          <w:noProof/>
        </w:rPr>
        <w:fldChar w:fldCharType="begin"/>
      </w:r>
      <w:r>
        <w:rPr>
          <w:noProof/>
        </w:rPr>
        <w:instrText xml:space="preserve"> REF _Ref157605730 \h </w:instrText>
      </w:r>
      <w:r>
        <w:rPr>
          <w:noProof/>
        </w:rPr>
      </w:r>
      <w:r>
        <w:rPr>
          <w:noProof/>
        </w:rPr>
        <w:fldChar w:fldCharType="separate"/>
      </w:r>
      <w:r w:rsidR="00170A3C">
        <w:rPr>
          <w:noProof/>
        </w:rPr>
        <w:t>Table 7</w:t>
      </w:r>
      <w:r>
        <w:rPr>
          <w:noProof/>
        </w:rPr>
        <w:fldChar w:fldCharType="end"/>
      </w:r>
      <w:r>
        <w:rPr>
          <w:noProof/>
        </w:rPr>
        <w:t xml:space="preserve"> shows the e</w:t>
      </w:r>
      <w:r w:rsidRPr="00A76FDB">
        <w:rPr>
          <w:noProof/>
        </w:rPr>
        <w:t>mission residuals related to the calibration of the GAINS and PRIMES models to the UNFCCC inventory</w:t>
      </w:r>
      <w:r w:rsidR="00E068F4">
        <w:rPr>
          <w:noProof/>
        </w:rPr>
        <w:t>, which have not been considered in the discussion above. These residuals</w:t>
      </w:r>
      <w:r w:rsidRPr="00A76FDB">
        <w:rPr>
          <w:noProof/>
        </w:rPr>
        <w:t xml:space="preserve"> are small and not assigned to any </w:t>
      </w:r>
      <w:r>
        <w:rPr>
          <w:noProof/>
        </w:rPr>
        <w:t xml:space="preserve">particular </w:t>
      </w:r>
      <w:r w:rsidRPr="00A76FDB">
        <w:rPr>
          <w:noProof/>
        </w:rPr>
        <w:t>sector</w:t>
      </w:r>
      <w:r>
        <w:rPr>
          <w:noProof/>
        </w:rPr>
        <w:t>. Th</w:t>
      </w:r>
      <w:r w:rsidR="00CE44EA">
        <w:rPr>
          <w:noProof/>
        </w:rPr>
        <w:t>e</w:t>
      </w:r>
      <w:r>
        <w:rPr>
          <w:noProof/>
        </w:rPr>
        <w:t xml:space="preserve"> table also shows the CO2 emissions produced by the agriculture sector (including only “category 3” emissions).</w:t>
      </w:r>
    </w:p>
    <w:p w14:paraId="61628C25" w14:textId="1D13030F" w:rsidR="005D0FB5" w:rsidRDefault="00FF7E58" w:rsidP="00BA1C74">
      <w:pPr>
        <w:pStyle w:val="Caption"/>
        <w:rPr>
          <w:noProof/>
        </w:rPr>
      </w:pPr>
      <w:bookmarkStart w:id="90" w:name="_Ref141883532"/>
      <w:bookmarkStart w:id="91" w:name="_Toc157679760"/>
      <w:r>
        <w:rPr>
          <w:noProof/>
        </w:rPr>
        <w:t xml:space="preserve">Figure </w:t>
      </w:r>
      <w:r>
        <w:rPr>
          <w:noProof/>
        </w:rPr>
        <w:fldChar w:fldCharType="begin"/>
      </w:r>
      <w:r>
        <w:rPr>
          <w:noProof/>
        </w:rPr>
        <w:instrText>SEQ Figure \* ARABIC</w:instrText>
      </w:r>
      <w:r>
        <w:rPr>
          <w:noProof/>
        </w:rPr>
        <w:fldChar w:fldCharType="separate"/>
      </w:r>
      <w:r w:rsidR="00170A3C">
        <w:rPr>
          <w:noProof/>
        </w:rPr>
        <w:t>12</w:t>
      </w:r>
      <w:r>
        <w:rPr>
          <w:noProof/>
        </w:rPr>
        <w:fldChar w:fldCharType="end"/>
      </w:r>
      <w:bookmarkEnd w:id="90"/>
      <w:r>
        <w:rPr>
          <w:noProof/>
        </w:rPr>
        <w:t xml:space="preserve">: </w:t>
      </w:r>
      <w:r w:rsidR="00D4254A">
        <w:rPr>
          <w:noProof/>
          <w:lang w:val="en-IE"/>
        </w:rPr>
        <w:t>Evolution of n</w:t>
      </w:r>
      <w:r w:rsidR="00047651" w:rsidRPr="0012463D">
        <w:rPr>
          <w:noProof/>
          <w:lang w:val="en-IE"/>
        </w:rPr>
        <w:t xml:space="preserve">on-CO2 </w:t>
      </w:r>
      <w:r w:rsidR="006D5661">
        <w:rPr>
          <w:noProof/>
          <w:lang w:val="en-IE"/>
        </w:rPr>
        <w:t>greenhouse gas</w:t>
      </w:r>
      <w:r w:rsidR="00047651" w:rsidRPr="0012463D">
        <w:rPr>
          <w:noProof/>
          <w:lang w:val="en-IE"/>
        </w:rPr>
        <w:t xml:space="preserve"> emissions</w:t>
      </w:r>
      <w:r w:rsidR="0012463D" w:rsidRPr="0012463D">
        <w:rPr>
          <w:noProof/>
          <w:lang w:val="en-IE"/>
        </w:rPr>
        <w:t xml:space="preserve"> </w:t>
      </w:r>
      <w:r w:rsidR="006D5661">
        <w:rPr>
          <w:noProof/>
          <w:lang w:val="en-IE"/>
        </w:rPr>
        <w:t>by sector</w:t>
      </w:r>
      <w:bookmarkEnd w:id="91"/>
    </w:p>
    <w:p w14:paraId="03C70F1F" w14:textId="3D1B7BC5" w:rsidR="00BA1C74" w:rsidRDefault="00BA1C74" w:rsidP="00BA1C74">
      <w:pPr>
        <w:pStyle w:val="CT-NOTE"/>
        <w:jc w:val="center"/>
        <w:rPr>
          <w:noProof/>
        </w:rPr>
      </w:pPr>
      <w:r w:rsidRPr="00BA1C74">
        <w:rPr>
          <w:noProof/>
          <w:lang w:val="en-GB" w:eastAsia="en-GB"/>
        </w:rPr>
        <w:drawing>
          <wp:inline distT="0" distB="0" distL="0" distR="0" wp14:anchorId="3A0CAEF6" wp14:editId="4968308D">
            <wp:extent cx="5365750" cy="2519045"/>
            <wp:effectExtent l="0" t="0" r="635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365750" cy="2519045"/>
                    </a:xfrm>
                    <a:prstGeom prst="rect">
                      <a:avLst/>
                    </a:prstGeom>
                    <a:noFill/>
                    <a:ln>
                      <a:noFill/>
                    </a:ln>
                  </pic:spPr>
                </pic:pic>
              </a:graphicData>
            </a:graphic>
          </wp:inline>
        </w:drawing>
      </w:r>
    </w:p>
    <w:p w14:paraId="08935A68" w14:textId="524C2B16" w:rsidR="00FC6F11" w:rsidRPr="00E914AC" w:rsidRDefault="00FC6F11" w:rsidP="005E74B4">
      <w:pPr>
        <w:pStyle w:val="CT-NOTE"/>
        <w:rPr>
          <w:i w:val="0"/>
          <w:noProof/>
          <w:szCs w:val="18"/>
        </w:rPr>
      </w:pPr>
      <w:r w:rsidRPr="00E914AC">
        <w:rPr>
          <w:noProof/>
        </w:rPr>
        <w:t xml:space="preserve">Note: </w:t>
      </w:r>
      <w:r w:rsidR="000A1F23" w:rsidRPr="00E914AC">
        <w:rPr>
          <w:i w:val="0"/>
          <w:noProof/>
          <w:szCs w:val="18"/>
        </w:rPr>
        <w:t>*</w:t>
      </w:r>
      <w:r w:rsidR="00754C45">
        <w:rPr>
          <w:i w:val="0"/>
          <w:noProof/>
          <w:szCs w:val="18"/>
        </w:rPr>
        <w:t>In the S1 and S</w:t>
      </w:r>
      <w:r w:rsidR="005D0FB5">
        <w:rPr>
          <w:i w:val="0"/>
          <w:noProof/>
          <w:szCs w:val="18"/>
        </w:rPr>
        <w:t>2</w:t>
      </w:r>
      <w:r w:rsidR="00754C45">
        <w:rPr>
          <w:i w:val="0"/>
          <w:noProof/>
          <w:szCs w:val="18"/>
        </w:rPr>
        <w:t xml:space="preserve"> scenarios, e</w:t>
      </w:r>
      <w:r w:rsidR="00281DC8">
        <w:rPr>
          <w:i w:val="0"/>
          <w:noProof/>
          <w:szCs w:val="18"/>
        </w:rPr>
        <w:t xml:space="preserve">missions in 2050 are </w:t>
      </w:r>
      <w:r w:rsidR="005B7D8C">
        <w:rPr>
          <w:i w:val="0"/>
          <w:noProof/>
          <w:szCs w:val="18"/>
        </w:rPr>
        <w:t>equal to those</w:t>
      </w:r>
      <w:r w:rsidR="00754C45">
        <w:rPr>
          <w:i w:val="0"/>
          <w:noProof/>
          <w:szCs w:val="18"/>
        </w:rPr>
        <w:t xml:space="preserve"> in</w:t>
      </w:r>
      <w:r w:rsidR="00281DC8">
        <w:rPr>
          <w:i w:val="0"/>
          <w:noProof/>
          <w:szCs w:val="18"/>
        </w:rPr>
        <w:t xml:space="preserve"> the</w:t>
      </w:r>
      <w:r w:rsidR="00281DC8" w:rsidRPr="00281DC8">
        <w:rPr>
          <w:i w:val="0"/>
          <w:noProof/>
          <w:szCs w:val="18"/>
        </w:rPr>
        <w:t xml:space="preserve"> S</w:t>
      </w:r>
      <w:r w:rsidR="005D0FB5">
        <w:rPr>
          <w:i w:val="0"/>
          <w:noProof/>
          <w:szCs w:val="18"/>
        </w:rPr>
        <w:t>3</w:t>
      </w:r>
      <w:r w:rsidR="00281DC8" w:rsidRPr="00281DC8">
        <w:rPr>
          <w:i w:val="0"/>
          <w:noProof/>
          <w:szCs w:val="18"/>
        </w:rPr>
        <w:t xml:space="preserve"> </w:t>
      </w:r>
      <w:r w:rsidR="00281DC8">
        <w:rPr>
          <w:i w:val="0"/>
          <w:noProof/>
          <w:szCs w:val="18"/>
        </w:rPr>
        <w:t>scenario</w:t>
      </w:r>
      <w:r w:rsidR="00281DC8" w:rsidRPr="00281DC8">
        <w:rPr>
          <w:i w:val="0"/>
          <w:noProof/>
          <w:szCs w:val="18"/>
        </w:rPr>
        <w:t>.</w:t>
      </w:r>
      <w:r w:rsidR="00281DC8">
        <w:rPr>
          <w:i w:val="0"/>
          <w:noProof/>
          <w:szCs w:val="18"/>
        </w:rPr>
        <w:t xml:space="preserve"> *</w:t>
      </w:r>
      <w:r w:rsidR="000A1F23" w:rsidRPr="00E914AC">
        <w:rPr>
          <w:i w:val="0"/>
          <w:noProof/>
          <w:szCs w:val="18"/>
        </w:rPr>
        <w:t>*</w:t>
      </w:r>
      <w:r w:rsidR="00EE7FEF" w:rsidRPr="00E914AC">
        <w:rPr>
          <w:i w:val="0"/>
          <w:noProof/>
          <w:szCs w:val="18"/>
        </w:rPr>
        <w:t>The waste treatment sector includes solid waste and wastewater</w:t>
      </w:r>
      <w:r w:rsidR="00657E8F" w:rsidRPr="00E914AC">
        <w:rPr>
          <w:i w:val="0"/>
          <w:noProof/>
          <w:szCs w:val="18"/>
        </w:rPr>
        <w:t xml:space="preserve"> treatment</w:t>
      </w:r>
      <w:r w:rsidR="00EE7FEF" w:rsidRPr="00E914AC">
        <w:rPr>
          <w:i w:val="0"/>
          <w:noProof/>
          <w:szCs w:val="18"/>
        </w:rPr>
        <w:t>.</w:t>
      </w:r>
      <w:r w:rsidR="00395D38" w:rsidRPr="00E914AC">
        <w:rPr>
          <w:i w:val="0"/>
          <w:noProof/>
          <w:szCs w:val="18"/>
        </w:rPr>
        <w:t xml:space="preserve"> </w:t>
      </w:r>
      <w:r w:rsidR="002F0C88">
        <w:rPr>
          <w:i w:val="0"/>
          <w:noProof/>
          <w:szCs w:val="18"/>
        </w:rPr>
        <w:t>*</w:t>
      </w:r>
      <w:r w:rsidR="002F0C88" w:rsidRPr="002F0C88">
        <w:rPr>
          <w:i w:val="0"/>
          <w:noProof/>
          <w:szCs w:val="18"/>
        </w:rPr>
        <w:t>**</w:t>
      </w:r>
      <w:bookmarkStart w:id="92" w:name="_Hlk157605763"/>
      <w:r w:rsidR="002F0C88" w:rsidRPr="002F0C88">
        <w:rPr>
          <w:i w:val="0"/>
          <w:noProof/>
          <w:szCs w:val="18"/>
        </w:rPr>
        <w:t>Emission residuals related to the calibration of the GAINS and PRIMES models to the UNFCCC inventory (which are small</w:t>
      </w:r>
      <w:r w:rsidR="0055182B">
        <w:rPr>
          <w:i w:val="0"/>
          <w:noProof/>
          <w:szCs w:val="18"/>
        </w:rPr>
        <w:t xml:space="preserve"> and not assigned to any sector</w:t>
      </w:r>
      <w:r w:rsidR="002F0C88" w:rsidRPr="002F0C88">
        <w:rPr>
          <w:i w:val="0"/>
          <w:noProof/>
          <w:szCs w:val="18"/>
        </w:rPr>
        <w:t>)</w:t>
      </w:r>
      <w:bookmarkEnd w:id="92"/>
      <w:r w:rsidR="002F0C88" w:rsidRPr="002F0C88">
        <w:rPr>
          <w:i w:val="0"/>
          <w:noProof/>
          <w:szCs w:val="18"/>
        </w:rPr>
        <w:t xml:space="preserve"> are not included in this </w:t>
      </w:r>
      <w:r w:rsidR="002F0C88">
        <w:rPr>
          <w:i w:val="0"/>
          <w:noProof/>
          <w:szCs w:val="18"/>
        </w:rPr>
        <w:t>figure</w:t>
      </w:r>
      <w:r w:rsidR="002F0C88" w:rsidRPr="002F0C88">
        <w:rPr>
          <w:i w:val="0"/>
          <w:noProof/>
          <w:szCs w:val="18"/>
        </w:rPr>
        <w:t>.</w:t>
      </w:r>
    </w:p>
    <w:p w14:paraId="0B4AC431" w14:textId="08EB8F56" w:rsidR="00AE7931" w:rsidRPr="00E914AC" w:rsidRDefault="00AE7931" w:rsidP="00E61788">
      <w:pPr>
        <w:pStyle w:val="CT-SOURCE"/>
        <w:keepNext w:val="0"/>
        <w:rPr>
          <w:i w:val="0"/>
          <w:noProof/>
          <w:szCs w:val="18"/>
        </w:rPr>
      </w:pPr>
      <w:r w:rsidRPr="61BF51EC">
        <w:rPr>
          <w:noProof/>
        </w:rPr>
        <w:t>Source: GAINS.</w:t>
      </w:r>
    </w:p>
    <w:p w14:paraId="59B37CD9" w14:textId="08A4026D" w:rsidR="006F4BB6" w:rsidRPr="00AE7931" w:rsidRDefault="00437694" w:rsidP="00E86F31">
      <w:pPr>
        <w:pStyle w:val="Caption"/>
        <w:rPr>
          <w:noProof/>
        </w:rPr>
      </w:pPr>
      <w:bookmarkStart w:id="93" w:name="_Ref141883450"/>
      <w:bookmarkStart w:id="94" w:name="_Ref141883518"/>
      <w:bookmarkStart w:id="95" w:name="_Toc157679761"/>
      <w:bookmarkStart w:id="96" w:name="_Toc131413493"/>
      <w:r>
        <w:rPr>
          <w:noProof/>
        </w:rPr>
        <w:t>Figure</w:t>
      </w:r>
      <w:bookmarkEnd w:id="93"/>
      <w:r>
        <w:rPr>
          <w:noProof/>
        </w:rPr>
        <w:t xml:space="preserve"> </w:t>
      </w:r>
      <w:r>
        <w:rPr>
          <w:noProof/>
        </w:rPr>
        <w:fldChar w:fldCharType="begin"/>
      </w:r>
      <w:r>
        <w:rPr>
          <w:noProof/>
        </w:rPr>
        <w:instrText>SEQ Figure \* ARABIC</w:instrText>
      </w:r>
      <w:r>
        <w:rPr>
          <w:noProof/>
        </w:rPr>
        <w:fldChar w:fldCharType="separate"/>
      </w:r>
      <w:r w:rsidR="00170A3C">
        <w:rPr>
          <w:noProof/>
        </w:rPr>
        <w:t>13</w:t>
      </w:r>
      <w:r>
        <w:rPr>
          <w:noProof/>
        </w:rPr>
        <w:fldChar w:fldCharType="end"/>
      </w:r>
      <w:bookmarkEnd w:id="94"/>
      <w:r>
        <w:rPr>
          <w:noProof/>
        </w:rPr>
        <w:t xml:space="preserve">: </w:t>
      </w:r>
      <w:r>
        <w:rPr>
          <w:noProof/>
          <w:lang w:val="en-IE"/>
        </w:rPr>
        <w:t>Evolution of n</w:t>
      </w:r>
      <w:r w:rsidRPr="0012463D">
        <w:rPr>
          <w:noProof/>
          <w:lang w:val="en-IE"/>
        </w:rPr>
        <w:t xml:space="preserve">on-CO2 </w:t>
      </w:r>
      <w:r>
        <w:rPr>
          <w:noProof/>
          <w:lang w:val="en-IE"/>
        </w:rPr>
        <w:t>greenhouse gas</w:t>
      </w:r>
      <w:r w:rsidRPr="0012463D">
        <w:rPr>
          <w:noProof/>
          <w:lang w:val="en-IE"/>
        </w:rPr>
        <w:t xml:space="preserve"> emissions </w:t>
      </w:r>
      <w:r>
        <w:rPr>
          <w:noProof/>
          <w:lang w:val="en-IE"/>
        </w:rPr>
        <w:t>by gas</w:t>
      </w:r>
      <w:bookmarkEnd w:id="95"/>
    </w:p>
    <w:p w14:paraId="6C3849B4" w14:textId="2255AF50" w:rsidR="00E86F31" w:rsidRPr="00AE7931" w:rsidRDefault="00E86F31" w:rsidP="00834317">
      <w:pPr>
        <w:keepNext/>
        <w:jc w:val="center"/>
        <w:rPr>
          <w:noProof/>
        </w:rPr>
      </w:pPr>
      <w:r w:rsidRPr="00E86F31">
        <w:rPr>
          <w:noProof/>
          <w:lang w:eastAsia="en-GB"/>
        </w:rPr>
        <w:drawing>
          <wp:inline distT="0" distB="0" distL="0" distR="0" wp14:anchorId="72BD92D7" wp14:editId="0EE92C50">
            <wp:extent cx="5365750" cy="2519045"/>
            <wp:effectExtent l="0" t="0" r="635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365750" cy="2519045"/>
                    </a:xfrm>
                    <a:prstGeom prst="rect">
                      <a:avLst/>
                    </a:prstGeom>
                    <a:noFill/>
                    <a:ln>
                      <a:noFill/>
                    </a:ln>
                  </pic:spPr>
                </pic:pic>
              </a:graphicData>
            </a:graphic>
          </wp:inline>
        </w:drawing>
      </w:r>
    </w:p>
    <w:p w14:paraId="49852D89" w14:textId="245AF9D6" w:rsidR="00437694" w:rsidRPr="005E74B4" w:rsidRDefault="00437694" w:rsidP="005E74B4">
      <w:pPr>
        <w:pStyle w:val="CT-NOTE"/>
        <w:rPr>
          <w:noProof/>
        </w:rPr>
      </w:pPr>
      <w:r w:rsidRPr="005E74B4">
        <w:rPr>
          <w:noProof/>
        </w:rPr>
        <w:t>Note: *In the S1 and S</w:t>
      </w:r>
      <w:r w:rsidR="00095924">
        <w:rPr>
          <w:noProof/>
        </w:rPr>
        <w:t>2</w:t>
      </w:r>
      <w:r w:rsidRPr="005E74B4">
        <w:rPr>
          <w:noProof/>
        </w:rPr>
        <w:t xml:space="preserve"> scenarios, emissions in 2050 are equal to those in the S</w:t>
      </w:r>
      <w:r w:rsidR="00095924">
        <w:rPr>
          <w:noProof/>
        </w:rPr>
        <w:t>3</w:t>
      </w:r>
      <w:r w:rsidRPr="005E74B4">
        <w:rPr>
          <w:noProof/>
        </w:rPr>
        <w:t xml:space="preserve"> scenario.</w:t>
      </w:r>
      <w:r w:rsidR="002F0C88" w:rsidRPr="005E74B4">
        <w:rPr>
          <w:noProof/>
        </w:rPr>
        <w:t xml:space="preserve"> **Emission residuals related to the calibration of the GAINS and PRIMES models to the UNFCCC inventory (which are small) are not included in this figure.</w:t>
      </w:r>
    </w:p>
    <w:p w14:paraId="1530CCBE" w14:textId="498C877B" w:rsidR="00437694" w:rsidRDefault="00437694" w:rsidP="00E61788">
      <w:pPr>
        <w:pStyle w:val="CT-SOURCE"/>
        <w:keepNext w:val="0"/>
        <w:rPr>
          <w:noProof/>
        </w:rPr>
      </w:pPr>
      <w:r w:rsidRPr="61BF51EC">
        <w:rPr>
          <w:noProof/>
        </w:rPr>
        <w:t>Source: GAINS.</w:t>
      </w:r>
    </w:p>
    <w:p w14:paraId="42666913" w14:textId="63A0E92F" w:rsidR="00ED3661" w:rsidRDefault="00055F35" w:rsidP="00055F35">
      <w:pPr>
        <w:pStyle w:val="Caption"/>
        <w:rPr>
          <w:noProof/>
        </w:rPr>
      </w:pPr>
      <w:bookmarkStart w:id="97" w:name="_Ref157605730"/>
      <w:bookmarkStart w:id="98" w:name="_Toc157679890"/>
      <w:r>
        <w:rPr>
          <w:noProof/>
        </w:rPr>
        <w:t xml:space="preserve">Table </w:t>
      </w:r>
      <w:r w:rsidR="00D12921">
        <w:rPr>
          <w:noProof/>
        </w:rPr>
        <w:fldChar w:fldCharType="begin"/>
      </w:r>
      <w:r w:rsidR="00D12921">
        <w:rPr>
          <w:noProof/>
        </w:rPr>
        <w:instrText xml:space="preserve"> SEQ Table \* ARABIC </w:instrText>
      </w:r>
      <w:r w:rsidR="00D12921">
        <w:rPr>
          <w:noProof/>
        </w:rPr>
        <w:fldChar w:fldCharType="separate"/>
      </w:r>
      <w:r w:rsidR="00170A3C">
        <w:rPr>
          <w:noProof/>
        </w:rPr>
        <w:t>7</w:t>
      </w:r>
      <w:r w:rsidR="00D12921">
        <w:rPr>
          <w:noProof/>
        </w:rPr>
        <w:fldChar w:fldCharType="end"/>
      </w:r>
      <w:bookmarkEnd w:id="97"/>
      <w:r>
        <w:rPr>
          <w:noProof/>
        </w:rPr>
        <w:t xml:space="preserve">: Total non-CO2 GHG emissions </w:t>
      </w:r>
      <w:r w:rsidR="001F3CC8">
        <w:rPr>
          <w:noProof/>
        </w:rPr>
        <w:t>in all sectors and CO2 emissions from agriculture</w:t>
      </w:r>
      <w:bookmarkEnd w:id="98"/>
    </w:p>
    <w:tbl>
      <w:tblPr>
        <w:tblW w:w="5000" w:type="pct"/>
        <w:tblLayout w:type="fixed"/>
        <w:tblLook w:val="04A0" w:firstRow="1" w:lastRow="0" w:firstColumn="1" w:lastColumn="0" w:noHBand="0" w:noVBand="1"/>
      </w:tblPr>
      <w:tblGrid>
        <w:gridCol w:w="2156"/>
        <w:gridCol w:w="815"/>
        <w:gridCol w:w="830"/>
        <w:gridCol w:w="839"/>
        <w:gridCol w:w="839"/>
        <w:gridCol w:w="839"/>
        <w:gridCol w:w="850"/>
        <w:gridCol w:w="830"/>
        <w:gridCol w:w="836"/>
      </w:tblGrid>
      <w:tr w:rsidR="00ED3661" w:rsidRPr="00875872" w14:paraId="7C30B6D4" w14:textId="77777777" w:rsidTr="00E4384F">
        <w:trPr>
          <w:trHeight w:val="330"/>
        </w:trPr>
        <w:tc>
          <w:tcPr>
            <w:tcW w:w="1220" w:type="pct"/>
            <w:tcBorders>
              <w:top w:val="nil"/>
              <w:left w:val="nil"/>
              <w:bottom w:val="single" w:sz="12" w:space="0" w:color="auto"/>
              <w:right w:val="nil"/>
            </w:tcBorders>
            <w:shd w:val="clear" w:color="auto" w:fill="auto"/>
            <w:noWrap/>
            <w:vAlign w:val="center"/>
            <w:hideMark/>
          </w:tcPr>
          <w:p w14:paraId="1C839062" w14:textId="77777777" w:rsidR="00ED3661" w:rsidRPr="00367C65" w:rsidRDefault="00ED3661" w:rsidP="00E4384F">
            <w:pPr>
              <w:keepNext/>
              <w:spacing w:after="0"/>
              <w:jc w:val="left"/>
              <w:rPr>
                <w:rFonts w:ascii="EC Square Sans Cond Pro" w:eastAsia="Times New Roman" w:hAnsi="EC Square Sans Cond Pro" w:cs="Calibri"/>
                <w:noProof/>
                <w:sz w:val="18"/>
                <w:szCs w:val="18"/>
                <w:lang w:val="en-IE"/>
              </w:rPr>
            </w:pPr>
            <w:r w:rsidRPr="00367C65">
              <w:rPr>
                <w:rFonts w:ascii="Calibri" w:eastAsia="Times New Roman" w:hAnsi="Calibri" w:cs="Calibri"/>
                <w:noProof/>
                <w:sz w:val="18"/>
                <w:szCs w:val="18"/>
                <w:lang w:val="en-IE"/>
              </w:rPr>
              <w:t> </w:t>
            </w:r>
          </w:p>
        </w:tc>
        <w:tc>
          <w:tcPr>
            <w:tcW w:w="3780" w:type="pct"/>
            <w:gridSpan w:val="8"/>
            <w:tcBorders>
              <w:top w:val="nil"/>
              <w:left w:val="nil"/>
              <w:bottom w:val="single" w:sz="12" w:space="0" w:color="auto"/>
              <w:right w:val="nil"/>
            </w:tcBorders>
            <w:shd w:val="clear" w:color="auto" w:fill="auto"/>
            <w:noWrap/>
            <w:vAlign w:val="center"/>
            <w:hideMark/>
          </w:tcPr>
          <w:p w14:paraId="7E46C641" w14:textId="77777777" w:rsidR="00ED3661" w:rsidRPr="00875872" w:rsidRDefault="00ED3661" w:rsidP="00E4384F">
            <w:pPr>
              <w:keepNext/>
              <w:spacing w:after="0"/>
              <w:jc w:val="center"/>
              <w:rPr>
                <w:rFonts w:ascii="EC Square Sans Cond Pro" w:eastAsia="Times New Roman" w:hAnsi="EC Square Sans Cond Pro" w:cs="Calibri"/>
                <w:b/>
                <w:bCs/>
                <w:noProof/>
                <w:sz w:val="18"/>
                <w:szCs w:val="18"/>
                <w:lang w:val="en-IE"/>
              </w:rPr>
            </w:pPr>
            <w:r w:rsidRPr="00191C6D">
              <w:rPr>
                <w:rFonts w:ascii="EC Square Sans Cond Pro" w:eastAsia="Times New Roman" w:hAnsi="EC Square Sans Cond Pro" w:cs="Calibri"/>
                <w:b/>
                <w:bCs/>
                <w:noProof/>
                <w:sz w:val="18"/>
                <w:szCs w:val="18"/>
                <w:lang w:val="en-IE"/>
              </w:rPr>
              <w:t>Greenhouse</w:t>
            </w:r>
            <w:r w:rsidRPr="00875872">
              <w:rPr>
                <w:rFonts w:ascii="EC Square Sans Cond Pro" w:eastAsia="Times New Roman" w:hAnsi="EC Square Sans Cond Pro" w:cs="Calibri"/>
                <w:b/>
                <w:bCs/>
                <w:noProof/>
                <w:sz w:val="18"/>
                <w:szCs w:val="18"/>
                <w:lang w:val="en-IE"/>
              </w:rPr>
              <w:t xml:space="preserve"> gas emissions (MtCO2-eq)</w:t>
            </w:r>
          </w:p>
        </w:tc>
      </w:tr>
      <w:tr w:rsidR="00ED3661" w:rsidRPr="00875872" w14:paraId="6F6C637C" w14:textId="77777777" w:rsidTr="001C1F7F">
        <w:trPr>
          <w:trHeight w:val="330"/>
        </w:trPr>
        <w:tc>
          <w:tcPr>
            <w:tcW w:w="1220" w:type="pct"/>
            <w:vMerge w:val="restart"/>
            <w:tcBorders>
              <w:top w:val="nil"/>
              <w:left w:val="nil"/>
              <w:bottom w:val="single" w:sz="12" w:space="0" w:color="000000"/>
              <w:right w:val="nil"/>
            </w:tcBorders>
            <w:shd w:val="clear" w:color="auto" w:fill="auto"/>
            <w:noWrap/>
            <w:vAlign w:val="center"/>
            <w:hideMark/>
          </w:tcPr>
          <w:p w14:paraId="73E2CFBC" w14:textId="77777777" w:rsidR="00ED3661" w:rsidRPr="00367C65" w:rsidRDefault="00ED3661" w:rsidP="00E4384F">
            <w:pPr>
              <w:keepNext/>
              <w:spacing w:after="0"/>
              <w:jc w:val="left"/>
              <w:rPr>
                <w:rFonts w:ascii="EC Square Sans Cond Pro" w:eastAsia="Times New Roman" w:hAnsi="EC Square Sans Cond Pro" w:cs="Calibri"/>
                <w:noProof/>
                <w:sz w:val="18"/>
                <w:szCs w:val="18"/>
                <w:lang w:val="en-IE"/>
              </w:rPr>
            </w:pPr>
            <w:r w:rsidRPr="00367C65">
              <w:rPr>
                <w:rFonts w:ascii="Calibri" w:eastAsia="Times New Roman" w:hAnsi="Calibri" w:cs="Calibri"/>
                <w:noProof/>
                <w:sz w:val="18"/>
                <w:szCs w:val="18"/>
                <w:lang w:val="en-IE"/>
              </w:rPr>
              <w:t> </w:t>
            </w:r>
          </w:p>
        </w:tc>
        <w:tc>
          <w:tcPr>
            <w:tcW w:w="461" w:type="pct"/>
            <w:vMerge w:val="restart"/>
            <w:tcBorders>
              <w:top w:val="nil"/>
              <w:left w:val="nil"/>
              <w:bottom w:val="single" w:sz="12" w:space="0" w:color="000000"/>
              <w:right w:val="nil"/>
            </w:tcBorders>
            <w:shd w:val="clear" w:color="auto" w:fill="auto"/>
            <w:noWrap/>
            <w:vAlign w:val="center"/>
            <w:hideMark/>
          </w:tcPr>
          <w:p w14:paraId="5F484EB7" w14:textId="77777777" w:rsidR="00ED3661" w:rsidRPr="00875872" w:rsidRDefault="00ED3661" w:rsidP="00E4384F">
            <w:pPr>
              <w:keepNext/>
              <w:spacing w:after="0"/>
              <w:jc w:val="center"/>
              <w:rPr>
                <w:rFonts w:ascii="EC Square Sans Cond Pro" w:eastAsia="Times New Roman" w:hAnsi="EC Square Sans Cond Pro" w:cs="Calibri"/>
                <w:b/>
                <w:bCs/>
                <w:noProof/>
                <w:sz w:val="18"/>
                <w:szCs w:val="18"/>
                <w:lang w:val="en-IE"/>
              </w:rPr>
            </w:pPr>
            <w:r w:rsidRPr="00875872">
              <w:rPr>
                <w:rFonts w:ascii="EC Square Sans Cond Pro" w:eastAsia="Times New Roman" w:hAnsi="EC Square Sans Cond Pro" w:cs="Calibri"/>
                <w:b/>
                <w:bCs/>
                <w:noProof/>
                <w:sz w:val="18"/>
                <w:szCs w:val="18"/>
                <w:lang w:val="en-IE"/>
              </w:rPr>
              <w:t>20</w:t>
            </w:r>
            <w:r>
              <w:rPr>
                <w:rFonts w:ascii="EC Square Sans Cond Pro" w:eastAsia="Times New Roman" w:hAnsi="EC Square Sans Cond Pro" w:cs="Calibri"/>
                <w:b/>
                <w:bCs/>
                <w:noProof/>
                <w:sz w:val="18"/>
                <w:szCs w:val="18"/>
                <w:lang w:val="en-IE"/>
              </w:rPr>
              <w:t>1</w:t>
            </w:r>
            <w:r w:rsidRPr="00875872">
              <w:rPr>
                <w:rFonts w:ascii="EC Square Sans Cond Pro" w:eastAsia="Times New Roman" w:hAnsi="EC Square Sans Cond Pro" w:cs="Calibri"/>
                <w:b/>
                <w:bCs/>
                <w:noProof/>
                <w:sz w:val="18"/>
                <w:szCs w:val="18"/>
                <w:lang w:val="en-IE"/>
              </w:rPr>
              <w:t>5</w:t>
            </w:r>
          </w:p>
        </w:tc>
        <w:tc>
          <w:tcPr>
            <w:tcW w:w="470" w:type="pct"/>
            <w:vMerge w:val="restart"/>
            <w:tcBorders>
              <w:top w:val="nil"/>
              <w:left w:val="nil"/>
              <w:bottom w:val="single" w:sz="12" w:space="0" w:color="000000"/>
              <w:right w:val="nil"/>
            </w:tcBorders>
            <w:shd w:val="clear" w:color="auto" w:fill="auto"/>
            <w:vAlign w:val="center"/>
            <w:hideMark/>
          </w:tcPr>
          <w:p w14:paraId="7400A037" w14:textId="77777777" w:rsidR="00ED3661" w:rsidRPr="00875872" w:rsidRDefault="00ED3661" w:rsidP="00E4384F">
            <w:pPr>
              <w:keepNext/>
              <w:spacing w:after="0"/>
              <w:jc w:val="center"/>
              <w:rPr>
                <w:rFonts w:ascii="EC Square Sans Cond Pro" w:eastAsia="Times New Roman" w:hAnsi="EC Square Sans Cond Pro" w:cs="Calibri"/>
                <w:b/>
                <w:bCs/>
                <w:noProof/>
                <w:sz w:val="18"/>
                <w:szCs w:val="18"/>
                <w:lang w:val="en-IE"/>
              </w:rPr>
            </w:pPr>
            <w:r w:rsidRPr="00875872">
              <w:rPr>
                <w:rFonts w:ascii="EC Square Sans Cond Pro" w:eastAsia="Times New Roman" w:hAnsi="EC Square Sans Cond Pro" w:cs="Calibri"/>
                <w:b/>
                <w:bCs/>
                <w:noProof/>
                <w:sz w:val="18"/>
                <w:szCs w:val="18"/>
                <w:lang w:val="en-IE"/>
              </w:rPr>
              <w:t>20</w:t>
            </w:r>
            <w:r>
              <w:rPr>
                <w:rFonts w:ascii="EC Square Sans Cond Pro" w:eastAsia="Times New Roman" w:hAnsi="EC Square Sans Cond Pro" w:cs="Calibri"/>
                <w:b/>
                <w:bCs/>
                <w:noProof/>
                <w:sz w:val="18"/>
                <w:szCs w:val="18"/>
                <w:lang w:val="en-IE"/>
              </w:rPr>
              <w:t>30</w:t>
            </w:r>
          </w:p>
        </w:tc>
        <w:tc>
          <w:tcPr>
            <w:tcW w:w="1906" w:type="pct"/>
            <w:gridSpan w:val="4"/>
            <w:tcBorders>
              <w:top w:val="single" w:sz="12" w:space="0" w:color="auto"/>
              <w:left w:val="nil"/>
              <w:bottom w:val="single" w:sz="12" w:space="0" w:color="auto"/>
              <w:right w:val="nil"/>
            </w:tcBorders>
            <w:shd w:val="clear" w:color="auto" w:fill="auto"/>
            <w:vAlign w:val="center"/>
            <w:hideMark/>
          </w:tcPr>
          <w:p w14:paraId="570F40BC" w14:textId="77777777" w:rsidR="00ED3661" w:rsidRPr="00875872" w:rsidRDefault="00ED3661" w:rsidP="00E4384F">
            <w:pPr>
              <w:keepNext/>
              <w:spacing w:after="0"/>
              <w:jc w:val="center"/>
              <w:rPr>
                <w:rFonts w:ascii="EC Square Sans Cond Pro" w:eastAsia="Times New Roman" w:hAnsi="EC Square Sans Cond Pro" w:cs="Calibri"/>
                <w:b/>
                <w:bCs/>
                <w:noProof/>
                <w:sz w:val="18"/>
                <w:szCs w:val="18"/>
                <w:lang w:val="en-IE"/>
              </w:rPr>
            </w:pPr>
            <w:r w:rsidRPr="00875872">
              <w:rPr>
                <w:rFonts w:ascii="EC Square Sans Cond Pro" w:eastAsia="Times New Roman" w:hAnsi="EC Square Sans Cond Pro" w:cs="Calibri"/>
                <w:b/>
                <w:bCs/>
                <w:noProof/>
                <w:sz w:val="18"/>
                <w:szCs w:val="18"/>
                <w:lang w:val="en-IE"/>
              </w:rPr>
              <w:t>2040</w:t>
            </w:r>
          </w:p>
        </w:tc>
        <w:tc>
          <w:tcPr>
            <w:tcW w:w="943" w:type="pct"/>
            <w:gridSpan w:val="2"/>
            <w:tcBorders>
              <w:top w:val="single" w:sz="12" w:space="0" w:color="auto"/>
              <w:left w:val="nil"/>
              <w:bottom w:val="single" w:sz="12" w:space="0" w:color="auto"/>
              <w:right w:val="nil"/>
            </w:tcBorders>
            <w:shd w:val="clear" w:color="auto" w:fill="auto"/>
            <w:vAlign w:val="center"/>
            <w:hideMark/>
          </w:tcPr>
          <w:p w14:paraId="7F3355B8" w14:textId="77777777" w:rsidR="00ED3661" w:rsidRPr="00875872" w:rsidRDefault="00ED3661" w:rsidP="00E4384F">
            <w:pPr>
              <w:keepNext/>
              <w:spacing w:after="0"/>
              <w:jc w:val="center"/>
              <w:rPr>
                <w:rFonts w:ascii="EC Square Sans Cond Pro" w:eastAsia="Times New Roman" w:hAnsi="EC Square Sans Cond Pro" w:cs="Calibri"/>
                <w:b/>
                <w:bCs/>
                <w:noProof/>
                <w:sz w:val="18"/>
                <w:szCs w:val="18"/>
                <w:lang w:val="en-IE"/>
              </w:rPr>
            </w:pPr>
            <w:r w:rsidRPr="00875872">
              <w:rPr>
                <w:rFonts w:ascii="EC Square Sans Cond Pro" w:eastAsia="Times New Roman" w:hAnsi="EC Square Sans Cond Pro" w:cs="Calibri"/>
                <w:b/>
                <w:bCs/>
                <w:noProof/>
                <w:sz w:val="18"/>
                <w:szCs w:val="18"/>
                <w:lang w:val="en-IE"/>
              </w:rPr>
              <w:t>20</w:t>
            </w:r>
            <w:r>
              <w:rPr>
                <w:rFonts w:ascii="EC Square Sans Cond Pro" w:eastAsia="Times New Roman" w:hAnsi="EC Square Sans Cond Pro" w:cs="Calibri"/>
                <w:b/>
                <w:bCs/>
                <w:noProof/>
                <w:sz w:val="18"/>
                <w:szCs w:val="18"/>
                <w:lang w:val="en-IE"/>
              </w:rPr>
              <w:t>5</w:t>
            </w:r>
            <w:r w:rsidRPr="00875872">
              <w:rPr>
                <w:rFonts w:ascii="EC Square Sans Cond Pro" w:eastAsia="Times New Roman" w:hAnsi="EC Square Sans Cond Pro" w:cs="Calibri"/>
                <w:b/>
                <w:bCs/>
                <w:noProof/>
                <w:sz w:val="18"/>
                <w:szCs w:val="18"/>
                <w:lang w:val="en-IE"/>
              </w:rPr>
              <w:t>0</w:t>
            </w:r>
          </w:p>
        </w:tc>
      </w:tr>
      <w:tr w:rsidR="00ED3661" w:rsidRPr="00875872" w14:paraId="58C92C6D" w14:textId="77777777" w:rsidTr="001C1F7F">
        <w:trPr>
          <w:trHeight w:val="330"/>
        </w:trPr>
        <w:tc>
          <w:tcPr>
            <w:tcW w:w="1220" w:type="pct"/>
            <w:vMerge/>
            <w:tcBorders>
              <w:top w:val="nil"/>
              <w:left w:val="nil"/>
              <w:bottom w:val="single" w:sz="12" w:space="0" w:color="000000"/>
              <w:right w:val="nil"/>
            </w:tcBorders>
            <w:vAlign w:val="center"/>
            <w:hideMark/>
          </w:tcPr>
          <w:p w14:paraId="2C317EC3" w14:textId="77777777" w:rsidR="00ED3661" w:rsidRPr="00367C65" w:rsidRDefault="00ED3661" w:rsidP="00E4384F">
            <w:pPr>
              <w:keepNext/>
              <w:spacing w:after="0"/>
              <w:jc w:val="left"/>
              <w:rPr>
                <w:rFonts w:ascii="EC Square Sans Cond Pro" w:eastAsia="Times New Roman" w:hAnsi="EC Square Sans Cond Pro" w:cs="Calibri"/>
                <w:noProof/>
                <w:sz w:val="18"/>
                <w:szCs w:val="18"/>
                <w:lang w:val="en-IE"/>
              </w:rPr>
            </w:pPr>
          </w:p>
        </w:tc>
        <w:tc>
          <w:tcPr>
            <w:tcW w:w="461" w:type="pct"/>
            <w:vMerge/>
            <w:tcBorders>
              <w:top w:val="nil"/>
              <w:left w:val="nil"/>
              <w:bottom w:val="single" w:sz="12" w:space="0" w:color="000000"/>
              <w:right w:val="nil"/>
            </w:tcBorders>
            <w:vAlign w:val="center"/>
            <w:hideMark/>
          </w:tcPr>
          <w:p w14:paraId="01D8DC48" w14:textId="77777777" w:rsidR="00ED3661" w:rsidRPr="00875872" w:rsidRDefault="00ED3661" w:rsidP="00E4384F">
            <w:pPr>
              <w:keepNext/>
              <w:spacing w:after="0"/>
              <w:jc w:val="left"/>
              <w:rPr>
                <w:rFonts w:ascii="EC Square Sans Cond Pro" w:eastAsia="Times New Roman" w:hAnsi="EC Square Sans Cond Pro" w:cs="Calibri"/>
                <w:b/>
                <w:bCs/>
                <w:noProof/>
                <w:sz w:val="18"/>
                <w:szCs w:val="18"/>
                <w:lang w:val="en-IE"/>
              </w:rPr>
            </w:pPr>
          </w:p>
        </w:tc>
        <w:tc>
          <w:tcPr>
            <w:tcW w:w="470" w:type="pct"/>
            <w:vMerge/>
            <w:tcBorders>
              <w:top w:val="nil"/>
              <w:left w:val="nil"/>
              <w:bottom w:val="single" w:sz="12" w:space="0" w:color="000000"/>
              <w:right w:val="nil"/>
            </w:tcBorders>
            <w:vAlign w:val="center"/>
            <w:hideMark/>
          </w:tcPr>
          <w:p w14:paraId="778756AC" w14:textId="77777777" w:rsidR="00ED3661" w:rsidRPr="00875872" w:rsidRDefault="00ED3661" w:rsidP="00E4384F">
            <w:pPr>
              <w:keepNext/>
              <w:spacing w:after="0"/>
              <w:jc w:val="left"/>
              <w:rPr>
                <w:rFonts w:ascii="EC Square Sans Cond Pro" w:eastAsia="Times New Roman" w:hAnsi="EC Square Sans Cond Pro" w:cs="Calibri"/>
                <w:b/>
                <w:bCs/>
                <w:noProof/>
                <w:sz w:val="18"/>
                <w:szCs w:val="18"/>
                <w:lang w:val="en-IE"/>
              </w:rPr>
            </w:pPr>
          </w:p>
        </w:tc>
        <w:tc>
          <w:tcPr>
            <w:tcW w:w="475" w:type="pct"/>
            <w:tcBorders>
              <w:top w:val="nil"/>
              <w:left w:val="nil"/>
              <w:bottom w:val="single" w:sz="12" w:space="0" w:color="auto"/>
              <w:right w:val="nil"/>
            </w:tcBorders>
            <w:shd w:val="clear" w:color="auto" w:fill="auto"/>
            <w:vAlign w:val="center"/>
            <w:hideMark/>
          </w:tcPr>
          <w:p w14:paraId="1E14FE3F" w14:textId="77777777" w:rsidR="00ED3661" w:rsidRPr="00875872" w:rsidRDefault="00ED3661" w:rsidP="00E4384F">
            <w:pPr>
              <w:keepNext/>
              <w:spacing w:after="0"/>
              <w:jc w:val="center"/>
              <w:rPr>
                <w:rFonts w:ascii="EC Square Sans Cond Pro" w:eastAsia="Times New Roman" w:hAnsi="EC Square Sans Cond Pro" w:cs="Calibri"/>
                <w:b/>
                <w:bCs/>
                <w:noProof/>
                <w:sz w:val="18"/>
                <w:szCs w:val="18"/>
                <w:lang w:val="en-IE"/>
              </w:rPr>
            </w:pPr>
            <w:r w:rsidRPr="00875872">
              <w:rPr>
                <w:rFonts w:ascii="EC Square Sans Cond Pro" w:eastAsia="Times New Roman" w:hAnsi="EC Square Sans Cond Pro" w:cs="Calibri"/>
                <w:b/>
                <w:bCs/>
                <w:noProof/>
                <w:sz w:val="18"/>
                <w:szCs w:val="18"/>
                <w:lang w:val="en-IE"/>
              </w:rPr>
              <w:t>S1</w:t>
            </w:r>
          </w:p>
        </w:tc>
        <w:tc>
          <w:tcPr>
            <w:tcW w:w="475" w:type="pct"/>
            <w:tcBorders>
              <w:top w:val="nil"/>
              <w:left w:val="nil"/>
              <w:bottom w:val="single" w:sz="12" w:space="0" w:color="auto"/>
              <w:right w:val="nil"/>
            </w:tcBorders>
            <w:shd w:val="clear" w:color="auto" w:fill="auto"/>
            <w:vAlign w:val="center"/>
            <w:hideMark/>
          </w:tcPr>
          <w:p w14:paraId="266A87BC" w14:textId="77777777" w:rsidR="00ED3661" w:rsidRPr="00875872" w:rsidRDefault="00ED3661" w:rsidP="00E4384F">
            <w:pPr>
              <w:keepNext/>
              <w:spacing w:after="0"/>
              <w:jc w:val="center"/>
              <w:rPr>
                <w:rFonts w:ascii="EC Square Sans Cond Pro" w:eastAsia="Times New Roman" w:hAnsi="EC Square Sans Cond Pro" w:cs="Calibri"/>
                <w:b/>
                <w:bCs/>
                <w:noProof/>
                <w:sz w:val="18"/>
                <w:szCs w:val="18"/>
                <w:lang w:val="en-IE"/>
              </w:rPr>
            </w:pPr>
            <w:r w:rsidRPr="00875872">
              <w:rPr>
                <w:rFonts w:ascii="EC Square Sans Cond Pro" w:eastAsia="Times New Roman" w:hAnsi="EC Square Sans Cond Pro" w:cs="Calibri"/>
                <w:b/>
                <w:bCs/>
                <w:noProof/>
                <w:sz w:val="18"/>
                <w:szCs w:val="18"/>
                <w:lang w:val="en-IE"/>
              </w:rPr>
              <w:t>S2</w:t>
            </w:r>
          </w:p>
        </w:tc>
        <w:tc>
          <w:tcPr>
            <w:tcW w:w="475" w:type="pct"/>
            <w:tcBorders>
              <w:top w:val="nil"/>
              <w:left w:val="nil"/>
              <w:bottom w:val="single" w:sz="12" w:space="0" w:color="auto"/>
              <w:right w:val="nil"/>
            </w:tcBorders>
            <w:shd w:val="clear" w:color="auto" w:fill="auto"/>
            <w:vAlign w:val="center"/>
            <w:hideMark/>
          </w:tcPr>
          <w:p w14:paraId="5FE610C2" w14:textId="77777777" w:rsidR="00ED3661" w:rsidRPr="00875872" w:rsidRDefault="00ED3661" w:rsidP="00E4384F">
            <w:pPr>
              <w:keepNext/>
              <w:spacing w:after="0"/>
              <w:jc w:val="center"/>
              <w:rPr>
                <w:rFonts w:ascii="EC Square Sans Cond Pro" w:eastAsia="Times New Roman" w:hAnsi="EC Square Sans Cond Pro" w:cs="Calibri"/>
                <w:b/>
                <w:bCs/>
                <w:noProof/>
                <w:sz w:val="18"/>
                <w:szCs w:val="18"/>
                <w:lang w:val="en-IE"/>
              </w:rPr>
            </w:pPr>
            <w:r w:rsidRPr="00875872">
              <w:rPr>
                <w:rFonts w:ascii="EC Square Sans Cond Pro" w:eastAsia="Times New Roman" w:hAnsi="EC Square Sans Cond Pro" w:cs="Calibri"/>
                <w:b/>
                <w:bCs/>
                <w:noProof/>
                <w:sz w:val="18"/>
                <w:szCs w:val="18"/>
                <w:lang w:val="en-IE"/>
              </w:rPr>
              <w:t>S3</w:t>
            </w:r>
          </w:p>
        </w:tc>
        <w:tc>
          <w:tcPr>
            <w:tcW w:w="481" w:type="pct"/>
            <w:tcBorders>
              <w:top w:val="nil"/>
              <w:left w:val="nil"/>
              <w:bottom w:val="single" w:sz="12" w:space="0" w:color="auto"/>
              <w:right w:val="nil"/>
            </w:tcBorders>
            <w:shd w:val="clear" w:color="auto" w:fill="auto"/>
            <w:vAlign w:val="center"/>
            <w:hideMark/>
          </w:tcPr>
          <w:p w14:paraId="181DDE09" w14:textId="77777777" w:rsidR="00ED3661" w:rsidRPr="00D31A8B" w:rsidRDefault="00ED3661" w:rsidP="00E4384F">
            <w:pPr>
              <w:keepNext/>
              <w:spacing w:after="0"/>
              <w:jc w:val="center"/>
              <w:rPr>
                <w:rFonts w:ascii="EC Square Sans Cond Pro" w:eastAsia="Times New Roman" w:hAnsi="EC Square Sans Cond Pro" w:cs="Calibri"/>
                <w:b/>
                <w:i/>
                <w:noProof/>
                <w:sz w:val="18"/>
                <w:szCs w:val="18"/>
                <w:lang w:val="en-IE"/>
              </w:rPr>
            </w:pPr>
            <w:r w:rsidRPr="00D31A8B">
              <w:rPr>
                <w:rFonts w:ascii="EC Square Sans Cond Pro" w:eastAsia="Times New Roman" w:hAnsi="EC Square Sans Cond Pro" w:cs="Calibri"/>
                <w:b/>
                <w:i/>
                <w:noProof/>
                <w:sz w:val="18"/>
                <w:szCs w:val="18"/>
                <w:lang w:val="en-IE"/>
              </w:rPr>
              <w:t>LIFE</w:t>
            </w:r>
          </w:p>
        </w:tc>
        <w:tc>
          <w:tcPr>
            <w:tcW w:w="470" w:type="pct"/>
            <w:tcBorders>
              <w:top w:val="nil"/>
              <w:left w:val="nil"/>
              <w:bottom w:val="single" w:sz="12" w:space="0" w:color="auto"/>
              <w:right w:val="nil"/>
            </w:tcBorders>
            <w:shd w:val="clear" w:color="auto" w:fill="auto"/>
            <w:vAlign w:val="center"/>
            <w:hideMark/>
          </w:tcPr>
          <w:p w14:paraId="4CDBC6E7" w14:textId="77777777" w:rsidR="00ED3661" w:rsidRPr="00875872" w:rsidRDefault="00ED3661" w:rsidP="00E4384F">
            <w:pPr>
              <w:keepNext/>
              <w:spacing w:after="0"/>
              <w:jc w:val="center"/>
              <w:rPr>
                <w:rFonts w:ascii="EC Square Sans Cond Pro" w:eastAsia="Times New Roman" w:hAnsi="EC Square Sans Cond Pro" w:cs="Calibri"/>
                <w:b/>
                <w:bCs/>
                <w:noProof/>
                <w:sz w:val="18"/>
                <w:szCs w:val="18"/>
                <w:lang w:val="en-IE"/>
              </w:rPr>
            </w:pPr>
            <w:r w:rsidRPr="00191C6D">
              <w:rPr>
                <w:rFonts w:ascii="EC Square Sans Cond Pro" w:eastAsia="Times New Roman" w:hAnsi="EC Square Sans Cond Pro" w:cs="Calibri"/>
                <w:b/>
                <w:bCs/>
                <w:noProof/>
                <w:sz w:val="18"/>
                <w:szCs w:val="18"/>
                <w:lang w:val="en-IE"/>
              </w:rPr>
              <w:t>S</w:t>
            </w:r>
            <w:r>
              <w:rPr>
                <w:rFonts w:ascii="EC Square Sans Cond Pro" w:eastAsia="Times New Roman" w:hAnsi="EC Square Sans Cond Pro" w:cs="Calibri"/>
                <w:b/>
                <w:bCs/>
                <w:noProof/>
                <w:sz w:val="18"/>
                <w:szCs w:val="18"/>
                <w:lang w:val="en-IE"/>
              </w:rPr>
              <w:t>3</w:t>
            </w:r>
            <w:r w:rsidRPr="00191C6D">
              <w:rPr>
                <w:rFonts w:ascii="EC Square Sans Cond Pro" w:eastAsia="Times New Roman" w:hAnsi="EC Square Sans Cond Pro" w:cs="Calibri"/>
                <w:b/>
                <w:bCs/>
                <w:noProof/>
                <w:sz w:val="18"/>
                <w:szCs w:val="18"/>
                <w:lang w:val="en-IE"/>
              </w:rPr>
              <w:t>*</w:t>
            </w:r>
          </w:p>
        </w:tc>
        <w:tc>
          <w:tcPr>
            <w:tcW w:w="473" w:type="pct"/>
            <w:tcBorders>
              <w:top w:val="nil"/>
              <w:left w:val="nil"/>
              <w:bottom w:val="single" w:sz="12" w:space="0" w:color="auto"/>
              <w:right w:val="nil"/>
            </w:tcBorders>
            <w:shd w:val="clear" w:color="auto" w:fill="auto"/>
            <w:vAlign w:val="center"/>
            <w:hideMark/>
          </w:tcPr>
          <w:p w14:paraId="266A5846" w14:textId="77777777" w:rsidR="00ED3661" w:rsidRPr="00D31A8B" w:rsidRDefault="00ED3661" w:rsidP="00E4384F">
            <w:pPr>
              <w:keepNext/>
              <w:spacing w:after="0"/>
              <w:jc w:val="center"/>
              <w:rPr>
                <w:rFonts w:ascii="EC Square Sans Cond Pro" w:eastAsia="Times New Roman" w:hAnsi="EC Square Sans Cond Pro" w:cs="Calibri"/>
                <w:b/>
                <w:i/>
                <w:noProof/>
                <w:sz w:val="18"/>
                <w:szCs w:val="18"/>
                <w:lang w:val="en-IE"/>
              </w:rPr>
            </w:pPr>
            <w:r w:rsidRPr="00D31A8B">
              <w:rPr>
                <w:rFonts w:ascii="EC Square Sans Cond Pro" w:eastAsia="Times New Roman" w:hAnsi="EC Square Sans Cond Pro" w:cs="Calibri"/>
                <w:b/>
                <w:i/>
                <w:noProof/>
                <w:sz w:val="18"/>
                <w:szCs w:val="18"/>
                <w:lang w:val="en-IE"/>
              </w:rPr>
              <w:t>LIFE</w:t>
            </w:r>
          </w:p>
        </w:tc>
      </w:tr>
      <w:tr w:rsidR="00EF2991" w:rsidRPr="00875872" w14:paraId="61AC4932" w14:textId="77777777" w:rsidTr="001C1F7F">
        <w:trPr>
          <w:trHeight w:val="300"/>
        </w:trPr>
        <w:tc>
          <w:tcPr>
            <w:tcW w:w="1220" w:type="pct"/>
            <w:tcBorders>
              <w:top w:val="nil"/>
              <w:left w:val="nil"/>
              <w:bottom w:val="nil"/>
              <w:right w:val="nil"/>
            </w:tcBorders>
            <w:shd w:val="clear" w:color="auto" w:fill="auto"/>
            <w:noWrap/>
            <w:vAlign w:val="center"/>
            <w:hideMark/>
          </w:tcPr>
          <w:p w14:paraId="21687F44" w14:textId="74472D64" w:rsidR="00EF2991" w:rsidRPr="00A92FF0" w:rsidRDefault="00EF2991" w:rsidP="00EF2991">
            <w:pPr>
              <w:keepNext/>
              <w:spacing w:after="0"/>
              <w:jc w:val="left"/>
              <w:rPr>
                <w:rFonts w:ascii="EC Square Sans Cond Pro" w:eastAsia="Times New Roman" w:hAnsi="EC Square Sans Cond Pro" w:cs="Calibri"/>
                <w:noProof/>
                <w:sz w:val="18"/>
                <w:szCs w:val="18"/>
                <w:lang w:val="fr-BE"/>
              </w:rPr>
            </w:pPr>
            <w:r w:rsidRPr="006D0CC1">
              <w:rPr>
                <w:rFonts w:ascii="EC Square Sans Cond Pro" w:eastAsia="Times New Roman" w:hAnsi="EC Square Sans Cond Pro" w:cs="Calibri"/>
                <w:noProof/>
                <w:sz w:val="18"/>
                <w:szCs w:val="18"/>
                <w:lang w:val="fr-BE"/>
              </w:rPr>
              <w:t>Non-CO2 emissions</w:t>
            </w:r>
          </w:p>
        </w:tc>
        <w:tc>
          <w:tcPr>
            <w:tcW w:w="461" w:type="pct"/>
            <w:tcBorders>
              <w:top w:val="nil"/>
              <w:left w:val="nil"/>
              <w:bottom w:val="nil"/>
              <w:right w:val="nil"/>
            </w:tcBorders>
            <w:shd w:val="clear" w:color="auto" w:fill="auto"/>
            <w:noWrap/>
            <w:vAlign w:val="center"/>
            <w:hideMark/>
          </w:tcPr>
          <w:p w14:paraId="40E7096D" w14:textId="1A778ADB" w:rsidR="00EF2991" w:rsidRPr="00875872" w:rsidRDefault="007F1041" w:rsidP="00EF2991">
            <w:pPr>
              <w:keepNext/>
              <w:spacing w:after="0"/>
              <w:jc w:val="center"/>
              <w:rPr>
                <w:rFonts w:ascii="EC Square Sans Cond Pro" w:eastAsia="Times New Roman" w:hAnsi="EC Square Sans Cond Pro" w:cs="Calibri"/>
                <w:noProof/>
                <w:sz w:val="18"/>
                <w:szCs w:val="18"/>
                <w:lang w:val="en-IE"/>
              </w:rPr>
            </w:pPr>
            <w:r>
              <w:rPr>
                <w:rFonts w:ascii="EC Square Sans Cond Pro" w:eastAsia="Times New Roman" w:hAnsi="EC Square Sans Cond Pro" w:cs="Calibri"/>
                <w:noProof/>
                <w:sz w:val="18"/>
                <w:szCs w:val="18"/>
                <w:lang w:val="en-IE"/>
              </w:rPr>
              <w:t>705</w:t>
            </w:r>
          </w:p>
        </w:tc>
        <w:tc>
          <w:tcPr>
            <w:tcW w:w="470" w:type="pct"/>
            <w:tcBorders>
              <w:top w:val="nil"/>
              <w:left w:val="nil"/>
              <w:bottom w:val="nil"/>
              <w:right w:val="nil"/>
            </w:tcBorders>
            <w:shd w:val="clear" w:color="auto" w:fill="auto"/>
            <w:noWrap/>
            <w:vAlign w:val="center"/>
            <w:hideMark/>
          </w:tcPr>
          <w:p w14:paraId="7A617D80" w14:textId="0CAAAC58" w:rsidR="00EF2991" w:rsidRPr="00875872" w:rsidRDefault="007F1041" w:rsidP="00EF2991">
            <w:pPr>
              <w:keepNext/>
              <w:spacing w:after="0"/>
              <w:jc w:val="center"/>
              <w:rPr>
                <w:rFonts w:ascii="EC Square Sans Cond Pro" w:eastAsia="Times New Roman" w:hAnsi="EC Square Sans Cond Pro" w:cs="Calibri"/>
                <w:noProof/>
                <w:sz w:val="18"/>
                <w:szCs w:val="18"/>
                <w:lang w:val="en-IE"/>
              </w:rPr>
            </w:pPr>
            <w:r>
              <w:rPr>
                <w:rFonts w:ascii="EC Square Sans Cond Pro" w:hAnsi="EC Square Sans Cond Pro" w:cs="Calibri"/>
                <w:noProof/>
                <w:sz w:val="18"/>
                <w:szCs w:val="18"/>
              </w:rPr>
              <w:t>531</w:t>
            </w:r>
          </w:p>
        </w:tc>
        <w:tc>
          <w:tcPr>
            <w:tcW w:w="475" w:type="pct"/>
            <w:tcBorders>
              <w:top w:val="nil"/>
              <w:left w:val="nil"/>
              <w:bottom w:val="nil"/>
              <w:right w:val="nil"/>
            </w:tcBorders>
            <w:shd w:val="clear" w:color="auto" w:fill="auto"/>
            <w:noWrap/>
            <w:vAlign w:val="center"/>
            <w:hideMark/>
          </w:tcPr>
          <w:p w14:paraId="09188EB7" w14:textId="3177D157" w:rsidR="00EF2991" w:rsidRPr="00875872" w:rsidRDefault="007F1041" w:rsidP="00EF2991">
            <w:pPr>
              <w:keepNext/>
              <w:spacing w:after="0"/>
              <w:jc w:val="center"/>
              <w:rPr>
                <w:rFonts w:ascii="EC Square Sans Cond Pro" w:eastAsia="Times New Roman" w:hAnsi="EC Square Sans Cond Pro" w:cs="Calibri"/>
                <w:noProof/>
                <w:sz w:val="18"/>
                <w:szCs w:val="18"/>
                <w:lang w:val="en-IE"/>
              </w:rPr>
            </w:pPr>
            <w:r>
              <w:rPr>
                <w:rFonts w:ascii="EC Square Sans Cond Pro" w:hAnsi="EC Square Sans Cond Pro" w:cs="Calibri"/>
                <w:noProof/>
                <w:sz w:val="18"/>
                <w:szCs w:val="18"/>
              </w:rPr>
              <w:t>457</w:t>
            </w:r>
          </w:p>
        </w:tc>
        <w:tc>
          <w:tcPr>
            <w:tcW w:w="475" w:type="pct"/>
            <w:tcBorders>
              <w:top w:val="nil"/>
              <w:left w:val="nil"/>
              <w:bottom w:val="nil"/>
              <w:right w:val="nil"/>
            </w:tcBorders>
            <w:shd w:val="clear" w:color="auto" w:fill="auto"/>
            <w:noWrap/>
            <w:vAlign w:val="center"/>
            <w:hideMark/>
          </w:tcPr>
          <w:p w14:paraId="0E27B5A9" w14:textId="482EDF2B" w:rsidR="00EF2991" w:rsidRPr="00875872" w:rsidRDefault="001F3CC8" w:rsidP="00EF2991">
            <w:pPr>
              <w:keepNext/>
              <w:spacing w:after="0"/>
              <w:jc w:val="center"/>
              <w:rPr>
                <w:rFonts w:ascii="EC Square Sans Cond Pro" w:eastAsia="Times New Roman" w:hAnsi="EC Square Sans Cond Pro" w:cs="Calibri"/>
                <w:noProof/>
                <w:sz w:val="18"/>
                <w:szCs w:val="18"/>
                <w:lang w:val="en-IE"/>
              </w:rPr>
            </w:pPr>
            <w:r>
              <w:rPr>
                <w:rFonts w:ascii="EC Square Sans Cond Pro" w:hAnsi="EC Square Sans Cond Pro" w:cs="Calibri"/>
                <w:noProof/>
                <w:sz w:val="18"/>
                <w:szCs w:val="18"/>
              </w:rPr>
              <w:t>376</w:t>
            </w:r>
          </w:p>
        </w:tc>
        <w:tc>
          <w:tcPr>
            <w:tcW w:w="475" w:type="pct"/>
            <w:tcBorders>
              <w:top w:val="nil"/>
              <w:left w:val="nil"/>
              <w:bottom w:val="nil"/>
              <w:right w:val="nil"/>
            </w:tcBorders>
            <w:shd w:val="clear" w:color="auto" w:fill="auto"/>
            <w:noWrap/>
            <w:vAlign w:val="center"/>
            <w:hideMark/>
          </w:tcPr>
          <w:p w14:paraId="2470CA32" w14:textId="4EA87A52" w:rsidR="00EF2991" w:rsidRPr="00875872" w:rsidRDefault="007F1041" w:rsidP="00EF2991">
            <w:pPr>
              <w:keepNext/>
              <w:spacing w:after="0"/>
              <w:jc w:val="center"/>
              <w:rPr>
                <w:rFonts w:ascii="EC Square Sans Cond Pro" w:eastAsia="Times New Roman" w:hAnsi="EC Square Sans Cond Pro" w:cs="Calibri"/>
                <w:noProof/>
                <w:sz w:val="18"/>
                <w:szCs w:val="18"/>
                <w:lang w:val="en-IE"/>
              </w:rPr>
            </w:pPr>
            <w:r>
              <w:rPr>
                <w:rFonts w:ascii="EC Square Sans Cond Pro" w:hAnsi="EC Square Sans Cond Pro" w:cs="Calibri"/>
                <w:noProof/>
                <w:sz w:val="18"/>
                <w:szCs w:val="18"/>
              </w:rPr>
              <w:t>345</w:t>
            </w:r>
          </w:p>
        </w:tc>
        <w:tc>
          <w:tcPr>
            <w:tcW w:w="481" w:type="pct"/>
            <w:tcBorders>
              <w:top w:val="nil"/>
              <w:left w:val="nil"/>
              <w:bottom w:val="nil"/>
              <w:right w:val="nil"/>
            </w:tcBorders>
            <w:shd w:val="clear" w:color="auto" w:fill="auto"/>
            <w:noWrap/>
            <w:vAlign w:val="center"/>
            <w:hideMark/>
          </w:tcPr>
          <w:p w14:paraId="1609A3AD" w14:textId="50A5DF67" w:rsidR="00EF2991" w:rsidRPr="00D31A8B" w:rsidRDefault="007F1041" w:rsidP="00EF2991">
            <w:pPr>
              <w:keepNext/>
              <w:spacing w:after="0"/>
              <w:jc w:val="center"/>
              <w:rPr>
                <w:rFonts w:ascii="EC Square Sans Cond Pro" w:eastAsia="Times New Roman" w:hAnsi="EC Square Sans Cond Pro" w:cs="Calibri"/>
                <w:i/>
                <w:noProof/>
                <w:sz w:val="18"/>
                <w:szCs w:val="18"/>
                <w:lang w:val="en-IE"/>
              </w:rPr>
            </w:pPr>
            <w:r>
              <w:rPr>
                <w:rFonts w:ascii="EC Square Sans Cond Pro" w:hAnsi="EC Square Sans Cond Pro" w:cs="Calibri"/>
                <w:i/>
                <w:noProof/>
                <w:sz w:val="18"/>
                <w:szCs w:val="18"/>
              </w:rPr>
              <w:t>284</w:t>
            </w:r>
          </w:p>
        </w:tc>
        <w:tc>
          <w:tcPr>
            <w:tcW w:w="470" w:type="pct"/>
            <w:tcBorders>
              <w:top w:val="nil"/>
              <w:left w:val="nil"/>
              <w:bottom w:val="nil"/>
              <w:right w:val="nil"/>
            </w:tcBorders>
            <w:shd w:val="clear" w:color="auto" w:fill="auto"/>
            <w:vAlign w:val="center"/>
            <w:hideMark/>
          </w:tcPr>
          <w:p w14:paraId="0AD8F094" w14:textId="26546AA3" w:rsidR="00EF2991" w:rsidRPr="00875872" w:rsidRDefault="00EF2991" w:rsidP="00EF2991">
            <w:pPr>
              <w:keepNext/>
              <w:spacing w:after="0"/>
              <w:jc w:val="center"/>
              <w:rPr>
                <w:rFonts w:ascii="EC Square Sans Cond Pro" w:eastAsia="Times New Roman" w:hAnsi="EC Square Sans Cond Pro" w:cs="Calibri"/>
                <w:noProof/>
                <w:sz w:val="18"/>
                <w:szCs w:val="18"/>
                <w:lang w:val="en-IE"/>
              </w:rPr>
            </w:pPr>
            <w:r w:rsidRPr="00191C6D">
              <w:rPr>
                <w:rFonts w:ascii="EC Square Sans Cond Pro" w:hAnsi="EC Square Sans Cond Pro" w:cs="Calibri"/>
                <w:noProof/>
                <w:sz w:val="18"/>
                <w:szCs w:val="18"/>
              </w:rPr>
              <w:t>2</w:t>
            </w:r>
            <w:r w:rsidR="007F1041">
              <w:rPr>
                <w:rFonts w:ascii="EC Square Sans Cond Pro" w:hAnsi="EC Square Sans Cond Pro" w:cs="Calibri"/>
                <w:noProof/>
                <w:sz w:val="18"/>
                <w:szCs w:val="18"/>
              </w:rPr>
              <w:t>94</w:t>
            </w:r>
          </w:p>
        </w:tc>
        <w:tc>
          <w:tcPr>
            <w:tcW w:w="473" w:type="pct"/>
            <w:tcBorders>
              <w:top w:val="nil"/>
              <w:left w:val="nil"/>
              <w:bottom w:val="nil"/>
              <w:right w:val="nil"/>
            </w:tcBorders>
            <w:shd w:val="clear" w:color="auto" w:fill="auto"/>
            <w:vAlign w:val="center"/>
            <w:hideMark/>
          </w:tcPr>
          <w:p w14:paraId="3F92113E" w14:textId="484A11C7" w:rsidR="00EF2991" w:rsidRPr="00D31A8B" w:rsidRDefault="007F1041" w:rsidP="00EF2991">
            <w:pPr>
              <w:keepNext/>
              <w:spacing w:after="0"/>
              <w:jc w:val="center"/>
              <w:rPr>
                <w:rFonts w:ascii="EC Square Sans Cond Pro" w:eastAsia="Times New Roman" w:hAnsi="EC Square Sans Cond Pro" w:cs="Calibri"/>
                <w:i/>
                <w:noProof/>
                <w:sz w:val="18"/>
                <w:szCs w:val="18"/>
                <w:lang w:val="en-IE"/>
              </w:rPr>
            </w:pPr>
            <w:r>
              <w:rPr>
                <w:rFonts w:ascii="EC Square Sans Cond Pro" w:hAnsi="EC Square Sans Cond Pro" w:cs="Calibri"/>
                <w:i/>
                <w:iCs/>
                <w:noProof/>
                <w:sz w:val="18"/>
                <w:szCs w:val="18"/>
              </w:rPr>
              <w:t>238</w:t>
            </w:r>
          </w:p>
        </w:tc>
      </w:tr>
      <w:tr w:rsidR="00ED3661" w:rsidRPr="00875872" w14:paraId="20D432E3" w14:textId="77777777" w:rsidTr="001C1F7F">
        <w:trPr>
          <w:trHeight w:val="300"/>
        </w:trPr>
        <w:tc>
          <w:tcPr>
            <w:tcW w:w="1220" w:type="pct"/>
            <w:tcBorders>
              <w:top w:val="nil"/>
              <w:left w:val="nil"/>
              <w:bottom w:val="nil"/>
              <w:right w:val="nil"/>
            </w:tcBorders>
            <w:shd w:val="clear" w:color="auto" w:fill="auto"/>
            <w:noWrap/>
            <w:vAlign w:val="center"/>
            <w:hideMark/>
          </w:tcPr>
          <w:p w14:paraId="2980DC8E" w14:textId="5A62DDEA" w:rsidR="00ED3661" w:rsidRPr="00875872" w:rsidRDefault="00EF2991" w:rsidP="00E4384F">
            <w:pPr>
              <w:keepNext/>
              <w:spacing w:after="0"/>
              <w:jc w:val="left"/>
              <w:rPr>
                <w:rFonts w:ascii="EC Square Sans Cond Pro" w:eastAsia="Times New Roman" w:hAnsi="EC Square Sans Cond Pro" w:cs="Calibri"/>
                <w:noProof/>
                <w:sz w:val="18"/>
                <w:szCs w:val="18"/>
                <w:lang w:val="en-IE"/>
              </w:rPr>
            </w:pPr>
            <w:r>
              <w:rPr>
                <w:rFonts w:ascii="EC Square Sans Cond Pro" w:eastAsia="Times New Roman" w:hAnsi="EC Square Sans Cond Pro" w:cs="Calibri"/>
                <w:noProof/>
                <w:sz w:val="18"/>
                <w:szCs w:val="18"/>
                <w:lang w:val="en-IE"/>
              </w:rPr>
              <w:t>Non-CO2 calibration</w:t>
            </w:r>
          </w:p>
        </w:tc>
        <w:tc>
          <w:tcPr>
            <w:tcW w:w="461" w:type="pct"/>
            <w:tcBorders>
              <w:top w:val="nil"/>
              <w:left w:val="nil"/>
              <w:bottom w:val="nil"/>
              <w:right w:val="nil"/>
            </w:tcBorders>
            <w:shd w:val="clear" w:color="auto" w:fill="auto"/>
            <w:noWrap/>
            <w:vAlign w:val="center"/>
          </w:tcPr>
          <w:p w14:paraId="4F9A01CF" w14:textId="6DCEA9FD" w:rsidR="00ED3661" w:rsidRPr="00875872" w:rsidRDefault="00EF2991" w:rsidP="00E4384F">
            <w:pPr>
              <w:keepNext/>
              <w:spacing w:after="0"/>
              <w:jc w:val="center"/>
              <w:rPr>
                <w:rFonts w:ascii="EC Square Sans Cond Pro" w:eastAsia="Times New Roman" w:hAnsi="EC Square Sans Cond Pro" w:cs="Calibri"/>
                <w:noProof/>
                <w:sz w:val="18"/>
                <w:szCs w:val="18"/>
                <w:lang w:val="en-IE"/>
              </w:rPr>
            </w:pPr>
            <w:r>
              <w:rPr>
                <w:rFonts w:ascii="EC Square Sans Cond Pro" w:eastAsia="Times New Roman" w:hAnsi="EC Square Sans Cond Pro" w:cs="Calibri"/>
                <w:noProof/>
                <w:sz w:val="18"/>
                <w:szCs w:val="18"/>
                <w:lang w:val="en-IE"/>
              </w:rPr>
              <w:t>2</w:t>
            </w:r>
          </w:p>
        </w:tc>
        <w:tc>
          <w:tcPr>
            <w:tcW w:w="470" w:type="pct"/>
            <w:tcBorders>
              <w:top w:val="nil"/>
              <w:left w:val="nil"/>
              <w:bottom w:val="nil"/>
              <w:right w:val="nil"/>
            </w:tcBorders>
            <w:shd w:val="clear" w:color="auto" w:fill="auto"/>
            <w:noWrap/>
            <w:vAlign w:val="center"/>
          </w:tcPr>
          <w:p w14:paraId="62445450" w14:textId="6F74644F" w:rsidR="00ED3661" w:rsidRPr="00875872" w:rsidRDefault="00EF2991" w:rsidP="00E4384F">
            <w:pPr>
              <w:keepNext/>
              <w:spacing w:after="0"/>
              <w:jc w:val="center"/>
              <w:rPr>
                <w:rFonts w:ascii="EC Square Sans Cond Pro" w:eastAsia="Times New Roman" w:hAnsi="EC Square Sans Cond Pro" w:cs="Calibri"/>
                <w:noProof/>
                <w:sz w:val="18"/>
                <w:szCs w:val="18"/>
                <w:lang w:val="en-IE"/>
              </w:rPr>
            </w:pPr>
            <w:r>
              <w:rPr>
                <w:rFonts w:ascii="EC Square Sans Cond Pro" w:eastAsia="Times New Roman" w:hAnsi="EC Square Sans Cond Pro" w:cs="Calibri"/>
                <w:noProof/>
                <w:sz w:val="18"/>
                <w:szCs w:val="18"/>
                <w:lang w:val="en-IE"/>
              </w:rPr>
              <w:t>-3</w:t>
            </w:r>
          </w:p>
        </w:tc>
        <w:tc>
          <w:tcPr>
            <w:tcW w:w="475" w:type="pct"/>
            <w:tcBorders>
              <w:top w:val="nil"/>
              <w:left w:val="nil"/>
              <w:bottom w:val="nil"/>
              <w:right w:val="nil"/>
            </w:tcBorders>
            <w:shd w:val="clear" w:color="auto" w:fill="auto"/>
            <w:noWrap/>
            <w:vAlign w:val="center"/>
          </w:tcPr>
          <w:p w14:paraId="72637366" w14:textId="3D878E95" w:rsidR="00ED3661" w:rsidRPr="00875872" w:rsidRDefault="00EF2991" w:rsidP="00E4384F">
            <w:pPr>
              <w:keepNext/>
              <w:spacing w:after="0"/>
              <w:jc w:val="center"/>
              <w:rPr>
                <w:rFonts w:ascii="EC Square Sans Cond Pro" w:eastAsia="Times New Roman" w:hAnsi="EC Square Sans Cond Pro" w:cs="Calibri"/>
                <w:noProof/>
                <w:sz w:val="18"/>
                <w:szCs w:val="18"/>
                <w:lang w:val="en-IE"/>
              </w:rPr>
            </w:pPr>
            <w:r>
              <w:rPr>
                <w:rFonts w:ascii="EC Square Sans Cond Pro" w:eastAsia="Times New Roman" w:hAnsi="EC Square Sans Cond Pro" w:cs="Calibri"/>
                <w:noProof/>
                <w:sz w:val="18"/>
                <w:szCs w:val="18"/>
                <w:lang w:val="en-IE"/>
              </w:rPr>
              <w:t>-3</w:t>
            </w:r>
          </w:p>
        </w:tc>
        <w:tc>
          <w:tcPr>
            <w:tcW w:w="475" w:type="pct"/>
            <w:tcBorders>
              <w:top w:val="nil"/>
              <w:left w:val="nil"/>
              <w:bottom w:val="nil"/>
              <w:right w:val="nil"/>
            </w:tcBorders>
            <w:shd w:val="clear" w:color="auto" w:fill="auto"/>
            <w:noWrap/>
            <w:vAlign w:val="center"/>
          </w:tcPr>
          <w:p w14:paraId="6C4F174C" w14:textId="138E2A6A" w:rsidR="00ED3661" w:rsidRPr="00875872" w:rsidRDefault="00EF2991" w:rsidP="00E4384F">
            <w:pPr>
              <w:keepNext/>
              <w:spacing w:after="0"/>
              <w:jc w:val="center"/>
              <w:rPr>
                <w:rFonts w:ascii="EC Square Sans Cond Pro" w:eastAsia="Times New Roman" w:hAnsi="EC Square Sans Cond Pro" w:cs="Calibri"/>
                <w:noProof/>
                <w:sz w:val="18"/>
                <w:szCs w:val="18"/>
                <w:lang w:val="en-IE"/>
              </w:rPr>
            </w:pPr>
            <w:r>
              <w:rPr>
                <w:rFonts w:ascii="EC Square Sans Cond Pro" w:eastAsia="Times New Roman" w:hAnsi="EC Square Sans Cond Pro" w:cs="Calibri"/>
                <w:noProof/>
                <w:sz w:val="18"/>
                <w:szCs w:val="18"/>
                <w:lang w:val="en-IE"/>
              </w:rPr>
              <w:t>-3</w:t>
            </w:r>
          </w:p>
        </w:tc>
        <w:tc>
          <w:tcPr>
            <w:tcW w:w="475" w:type="pct"/>
            <w:tcBorders>
              <w:top w:val="nil"/>
              <w:left w:val="nil"/>
              <w:bottom w:val="nil"/>
              <w:right w:val="nil"/>
            </w:tcBorders>
            <w:shd w:val="clear" w:color="auto" w:fill="auto"/>
            <w:noWrap/>
            <w:vAlign w:val="center"/>
          </w:tcPr>
          <w:p w14:paraId="313DB991" w14:textId="62D8D0A9" w:rsidR="00ED3661" w:rsidRPr="00875872" w:rsidRDefault="00EF2991" w:rsidP="00E4384F">
            <w:pPr>
              <w:keepNext/>
              <w:spacing w:after="0"/>
              <w:jc w:val="center"/>
              <w:rPr>
                <w:rFonts w:ascii="EC Square Sans Cond Pro" w:eastAsia="Times New Roman" w:hAnsi="EC Square Sans Cond Pro" w:cs="Calibri"/>
                <w:noProof/>
                <w:sz w:val="18"/>
                <w:szCs w:val="18"/>
                <w:lang w:val="en-IE"/>
              </w:rPr>
            </w:pPr>
            <w:r>
              <w:rPr>
                <w:rFonts w:ascii="EC Square Sans Cond Pro" w:eastAsia="Times New Roman" w:hAnsi="EC Square Sans Cond Pro" w:cs="Calibri"/>
                <w:noProof/>
                <w:sz w:val="18"/>
                <w:szCs w:val="18"/>
                <w:lang w:val="en-IE"/>
              </w:rPr>
              <w:t>-3</w:t>
            </w:r>
          </w:p>
        </w:tc>
        <w:tc>
          <w:tcPr>
            <w:tcW w:w="481" w:type="pct"/>
            <w:tcBorders>
              <w:top w:val="nil"/>
              <w:left w:val="nil"/>
              <w:bottom w:val="nil"/>
              <w:right w:val="nil"/>
            </w:tcBorders>
            <w:shd w:val="clear" w:color="auto" w:fill="auto"/>
            <w:noWrap/>
            <w:vAlign w:val="center"/>
          </w:tcPr>
          <w:p w14:paraId="2804CC5D" w14:textId="1E598D49" w:rsidR="00ED3661" w:rsidRPr="00D31A8B" w:rsidRDefault="00EF2991" w:rsidP="00E4384F">
            <w:pPr>
              <w:keepNext/>
              <w:spacing w:after="0"/>
              <w:jc w:val="center"/>
              <w:rPr>
                <w:rFonts w:ascii="EC Square Sans Cond Pro" w:eastAsia="Times New Roman" w:hAnsi="EC Square Sans Cond Pro" w:cs="Calibri"/>
                <w:i/>
                <w:noProof/>
                <w:sz w:val="18"/>
                <w:szCs w:val="18"/>
                <w:lang w:val="en-IE"/>
              </w:rPr>
            </w:pPr>
            <w:r>
              <w:rPr>
                <w:rFonts w:ascii="EC Square Sans Cond Pro" w:eastAsia="Times New Roman" w:hAnsi="EC Square Sans Cond Pro" w:cs="Calibri"/>
                <w:i/>
                <w:noProof/>
                <w:sz w:val="18"/>
                <w:szCs w:val="18"/>
                <w:lang w:val="en-IE"/>
              </w:rPr>
              <w:t>-3</w:t>
            </w:r>
          </w:p>
        </w:tc>
        <w:tc>
          <w:tcPr>
            <w:tcW w:w="470" w:type="pct"/>
            <w:tcBorders>
              <w:top w:val="nil"/>
              <w:left w:val="nil"/>
              <w:bottom w:val="nil"/>
              <w:right w:val="nil"/>
            </w:tcBorders>
            <w:shd w:val="clear" w:color="auto" w:fill="auto"/>
            <w:vAlign w:val="center"/>
          </w:tcPr>
          <w:p w14:paraId="5B20D9B6" w14:textId="4EBB39F8" w:rsidR="00ED3661" w:rsidRPr="00875872" w:rsidRDefault="00EF2991" w:rsidP="00E4384F">
            <w:pPr>
              <w:keepNext/>
              <w:spacing w:after="0"/>
              <w:jc w:val="center"/>
              <w:rPr>
                <w:rFonts w:ascii="EC Square Sans Cond Pro" w:eastAsia="Times New Roman" w:hAnsi="EC Square Sans Cond Pro" w:cs="Calibri"/>
                <w:noProof/>
                <w:sz w:val="18"/>
                <w:szCs w:val="18"/>
                <w:lang w:val="en-IE"/>
              </w:rPr>
            </w:pPr>
            <w:r>
              <w:rPr>
                <w:rFonts w:ascii="EC Square Sans Cond Pro" w:eastAsia="Times New Roman" w:hAnsi="EC Square Sans Cond Pro" w:cs="Calibri"/>
                <w:noProof/>
                <w:sz w:val="18"/>
                <w:szCs w:val="18"/>
                <w:lang w:val="en-IE"/>
              </w:rPr>
              <w:t>-3</w:t>
            </w:r>
          </w:p>
        </w:tc>
        <w:tc>
          <w:tcPr>
            <w:tcW w:w="473" w:type="pct"/>
            <w:tcBorders>
              <w:top w:val="nil"/>
              <w:left w:val="nil"/>
              <w:bottom w:val="nil"/>
              <w:right w:val="nil"/>
            </w:tcBorders>
            <w:shd w:val="clear" w:color="auto" w:fill="auto"/>
            <w:vAlign w:val="center"/>
          </w:tcPr>
          <w:p w14:paraId="164CF15D" w14:textId="290114CE" w:rsidR="00ED3661" w:rsidRPr="00D31A8B" w:rsidRDefault="00EF2991" w:rsidP="00E4384F">
            <w:pPr>
              <w:keepNext/>
              <w:spacing w:after="0"/>
              <w:jc w:val="center"/>
              <w:rPr>
                <w:rFonts w:ascii="EC Square Sans Cond Pro" w:eastAsia="Times New Roman" w:hAnsi="EC Square Sans Cond Pro" w:cs="Calibri"/>
                <w:i/>
                <w:noProof/>
                <w:sz w:val="18"/>
                <w:szCs w:val="18"/>
                <w:lang w:val="en-IE"/>
              </w:rPr>
            </w:pPr>
            <w:r>
              <w:rPr>
                <w:rFonts w:ascii="EC Square Sans Cond Pro" w:eastAsia="Times New Roman" w:hAnsi="EC Square Sans Cond Pro" w:cs="Calibri"/>
                <w:i/>
                <w:noProof/>
                <w:sz w:val="18"/>
                <w:szCs w:val="18"/>
                <w:lang w:val="en-IE"/>
              </w:rPr>
              <w:t>-3</w:t>
            </w:r>
          </w:p>
        </w:tc>
      </w:tr>
      <w:tr w:rsidR="00ED3661" w:rsidRPr="00875872" w14:paraId="2647DA89" w14:textId="77777777" w:rsidTr="001C1F7F">
        <w:trPr>
          <w:trHeight w:val="300"/>
        </w:trPr>
        <w:tc>
          <w:tcPr>
            <w:tcW w:w="1220" w:type="pct"/>
            <w:tcBorders>
              <w:top w:val="nil"/>
              <w:left w:val="nil"/>
              <w:bottom w:val="nil"/>
              <w:right w:val="nil"/>
            </w:tcBorders>
            <w:shd w:val="clear" w:color="auto" w:fill="auto"/>
            <w:noWrap/>
            <w:vAlign w:val="center"/>
            <w:hideMark/>
          </w:tcPr>
          <w:p w14:paraId="07B0E77D" w14:textId="778CB213" w:rsidR="00ED3661" w:rsidRPr="00875872" w:rsidRDefault="00ED3661" w:rsidP="00E4384F">
            <w:pPr>
              <w:keepNext/>
              <w:spacing w:after="0"/>
              <w:jc w:val="left"/>
              <w:rPr>
                <w:rFonts w:ascii="EC Square Sans Cond Pro" w:eastAsia="Times New Roman" w:hAnsi="EC Square Sans Cond Pro" w:cs="Calibri"/>
                <w:noProof/>
                <w:sz w:val="18"/>
                <w:szCs w:val="18"/>
                <w:lang w:val="en-IE"/>
              </w:rPr>
            </w:pPr>
            <w:r w:rsidRPr="00875872">
              <w:rPr>
                <w:rFonts w:ascii="EC Square Sans Cond Pro" w:eastAsia="Times New Roman" w:hAnsi="EC Square Sans Cond Pro" w:cs="Calibri"/>
                <w:noProof/>
                <w:sz w:val="18"/>
                <w:szCs w:val="18"/>
                <w:lang w:val="en-IE"/>
              </w:rPr>
              <w:t>CO2</w:t>
            </w:r>
            <w:r w:rsidR="00EF2991">
              <w:rPr>
                <w:rFonts w:ascii="EC Square Sans Cond Pro" w:eastAsia="Times New Roman" w:hAnsi="EC Square Sans Cond Pro" w:cs="Calibri"/>
                <w:noProof/>
                <w:sz w:val="18"/>
                <w:szCs w:val="18"/>
                <w:lang w:val="en-IE"/>
              </w:rPr>
              <w:t xml:space="preserve"> emissions from agriculture (category 3)</w:t>
            </w:r>
          </w:p>
        </w:tc>
        <w:tc>
          <w:tcPr>
            <w:tcW w:w="461" w:type="pct"/>
            <w:tcBorders>
              <w:top w:val="nil"/>
              <w:left w:val="nil"/>
              <w:bottom w:val="nil"/>
              <w:right w:val="nil"/>
            </w:tcBorders>
            <w:shd w:val="clear" w:color="auto" w:fill="auto"/>
            <w:noWrap/>
            <w:vAlign w:val="center"/>
          </w:tcPr>
          <w:p w14:paraId="28AD62A7" w14:textId="73145BA5" w:rsidR="00ED3661" w:rsidRPr="00875872" w:rsidRDefault="006415AC" w:rsidP="00E4384F">
            <w:pPr>
              <w:keepNext/>
              <w:spacing w:after="0"/>
              <w:jc w:val="center"/>
              <w:rPr>
                <w:rFonts w:ascii="EC Square Sans Cond Pro" w:eastAsia="Times New Roman" w:hAnsi="EC Square Sans Cond Pro" w:cs="Calibri"/>
                <w:noProof/>
                <w:sz w:val="18"/>
                <w:szCs w:val="18"/>
                <w:lang w:val="en-IE"/>
              </w:rPr>
            </w:pPr>
            <w:r>
              <w:rPr>
                <w:rFonts w:ascii="EC Square Sans Cond Pro" w:eastAsia="Times New Roman" w:hAnsi="EC Square Sans Cond Pro" w:cs="Calibri"/>
                <w:noProof/>
                <w:sz w:val="18"/>
                <w:szCs w:val="18"/>
                <w:lang w:val="en-IE"/>
              </w:rPr>
              <w:t>10</w:t>
            </w:r>
          </w:p>
        </w:tc>
        <w:tc>
          <w:tcPr>
            <w:tcW w:w="470" w:type="pct"/>
            <w:tcBorders>
              <w:top w:val="nil"/>
              <w:left w:val="nil"/>
              <w:bottom w:val="nil"/>
              <w:right w:val="nil"/>
            </w:tcBorders>
            <w:shd w:val="clear" w:color="auto" w:fill="auto"/>
            <w:noWrap/>
            <w:vAlign w:val="center"/>
          </w:tcPr>
          <w:p w14:paraId="1EAE7C02" w14:textId="7DCD5024" w:rsidR="00ED3661" w:rsidRPr="00875872" w:rsidRDefault="006415AC" w:rsidP="00E4384F">
            <w:pPr>
              <w:keepNext/>
              <w:spacing w:after="0"/>
              <w:jc w:val="center"/>
              <w:rPr>
                <w:rFonts w:ascii="EC Square Sans Cond Pro" w:eastAsia="Times New Roman" w:hAnsi="EC Square Sans Cond Pro" w:cs="Calibri"/>
                <w:noProof/>
                <w:sz w:val="18"/>
                <w:szCs w:val="18"/>
                <w:lang w:val="en-IE"/>
              </w:rPr>
            </w:pPr>
            <w:r>
              <w:rPr>
                <w:rFonts w:ascii="EC Square Sans Cond Pro" w:eastAsia="Times New Roman" w:hAnsi="EC Square Sans Cond Pro" w:cs="Calibri"/>
                <w:noProof/>
                <w:sz w:val="18"/>
                <w:szCs w:val="18"/>
                <w:lang w:val="en-IE"/>
              </w:rPr>
              <w:t>10</w:t>
            </w:r>
          </w:p>
        </w:tc>
        <w:tc>
          <w:tcPr>
            <w:tcW w:w="475" w:type="pct"/>
            <w:tcBorders>
              <w:top w:val="nil"/>
              <w:left w:val="nil"/>
              <w:bottom w:val="nil"/>
              <w:right w:val="nil"/>
            </w:tcBorders>
            <w:shd w:val="clear" w:color="auto" w:fill="auto"/>
            <w:noWrap/>
            <w:vAlign w:val="center"/>
          </w:tcPr>
          <w:p w14:paraId="26D81C50" w14:textId="73E37170" w:rsidR="00ED3661" w:rsidRPr="00875872" w:rsidRDefault="006415AC" w:rsidP="00E4384F">
            <w:pPr>
              <w:keepNext/>
              <w:spacing w:after="0"/>
              <w:jc w:val="center"/>
              <w:rPr>
                <w:rFonts w:ascii="EC Square Sans Cond Pro" w:eastAsia="Times New Roman" w:hAnsi="EC Square Sans Cond Pro" w:cs="Calibri"/>
                <w:noProof/>
                <w:sz w:val="18"/>
                <w:szCs w:val="18"/>
                <w:lang w:val="en-IE"/>
              </w:rPr>
            </w:pPr>
            <w:r>
              <w:rPr>
                <w:rFonts w:ascii="EC Square Sans Cond Pro" w:eastAsia="Times New Roman" w:hAnsi="EC Square Sans Cond Pro" w:cs="Calibri"/>
                <w:noProof/>
                <w:sz w:val="18"/>
                <w:szCs w:val="18"/>
                <w:lang w:val="en-IE"/>
              </w:rPr>
              <w:t>10</w:t>
            </w:r>
          </w:p>
        </w:tc>
        <w:tc>
          <w:tcPr>
            <w:tcW w:w="475" w:type="pct"/>
            <w:tcBorders>
              <w:top w:val="nil"/>
              <w:left w:val="nil"/>
              <w:bottom w:val="nil"/>
              <w:right w:val="nil"/>
            </w:tcBorders>
            <w:shd w:val="clear" w:color="auto" w:fill="auto"/>
            <w:noWrap/>
            <w:vAlign w:val="center"/>
          </w:tcPr>
          <w:p w14:paraId="4BC2FCC2" w14:textId="0B922836" w:rsidR="00ED3661" w:rsidRPr="00875872" w:rsidRDefault="006415AC" w:rsidP="00E4384F">
            <w:pPr>
              <w:keepNext/>
              <w:spacing w:after="0"/>
              <w:jc w:val="center"/>
              <w:rPr>
                <w:rFonts w:ascii="EC Square Sans Cond Pro" w:eastAsia="Times New Roman" w:hAnsi="EC Square Sans Cond Pro" w:cs="Calibri"/>
                <w:noProof/>
                <w:sz w:val="18"/>
                <w:szCs w:val="18"/>
                <w:lang w:val="en-IE"/>
              </w:rPr>
            </w:pPr>
            <w:r>
              <w:rPr>
                <w:rFonts w:ascii="EC Square Sans Cond Pro" w:eastAsia="Times New Roman" w:hAnsi="EC Square Sans Cond Pro" w:cs="Calibri"/>
                <w:noProof/>
                <w:sz w:val="18"/>
                <w:szCs w:val="18"/>
                <w:lang w:val="en-IE"/>
              </w:rPr>
              <w:t>10</w:t>
            </w:r>
          </w:p>
        </w:tc>
        <w:tc>
          <w:tcPr>
            <w:tcW w:w="475" w:type="pct"/>
            <w:tcBorders>
              <w:top w:val="nil"/>
              <w:left w:val="nil"/>
              <w:bottom w:val="nil"/>
              <w:right w:val="nil"/>
            </w:tcBorders>
            <w:shd w:val="clear" w:color="auto" w:fill="auto"/>
            <w:noWrap/>
            <w:vAlign w:val="center"/>
          </w:tcPr>
          <w:p w14:paraId="12677433" w14:textId="664F2440" w:rsidR="00ED3661" w:rsidRPr="00875872" w:rsidRDefault="006415AC" w:rsidP="00E4384F">
            <w:pPr>
              <w:keepNext/>
              <w:spacing w:after="0"/>
              <w:jc w:val="center"/>
              <w:rPr>
                <w:rFonts w:ascii="EC Square Sans Cond Pro" w:eastAsia="Times New Roman" w:hAnsi="EC Square Sans Cond Pro" w:cs="Calibri"/>
                <w:noProof/>
                <w:sz w:val="18"/>
                <w:szCs w:val="18"/>
                <w:lang w:val="en-IE"/>
              </w:rPr>
            </w:pPr>
            <w:r>
              <w:rPr>
                <w:rFonts w:ascii="EC Square Sans Cond Pro" w:eastAsia="Times New Roman" w:hAnsi="EC Square Sans Cond Pro" w:cs="Calibri"/>
                <w:noProof/>
                <w:sz w:val="18"/>
                <w:szCs w:val="18"/>
                <w:lang w:val="en-IE"/>
              </w:rPr>
              <w:t>10</w:t>
            </w:r>
          </w:p>
        </w:tc>
        <w:tc>
          <w:tcPr>
            <w:tcW w:w="481" w:type="pct"/>
            <w:tcBorders>
              <w:top w:val="nil"/>
              <w:left w:val="nil"/>
              <w:bottom w:val="nil"/>
              <w:right w:val="nil"/>
            </w:tcBorders>
            <w:shd w:val="clear" w:color="auto" w:fill="auto"/>
            <w:noWrap/>
            <w:vAlign w:val="center"/>
          </w:tcPr>
          <w:p w14:paraId="25E17436" w14:textId="1D4109E8" w:rsidR="00ED3661" w:rsidRPr="00D31A8B" w:rsidRDefault="006415AC" w:rsidP="00E4384F">
            <w:pPr>
              <w:keepNext/>
              <w:spacing w:after="0"/>
              <w:jc w:val="center"/>
              <w:rPr>
                <w:rFonts w:ascii="EC Square Sans Cond Pro" w:eastAsia="Times New Roman" w:hAnsi="EC Square Sans Cond Pro" w:cs="Calibri"/>
                <w:i/>
                <w:noProof/>
                <w:sz w:val="18"/>
                <w:szCs w:val="18"/>
                <w:lang w:val="en-IE"/>
              </w:rPr>
            </w:pPr>
            <w:r w:rsidRPr="006415AC">
              <w:rPr>
                <w:rFonts w:ascii="EC Square Sans Cond Pro" w:eastAsia="Times New Roman" w:hAnsi="EC Square Sans Cond Pro" w:cs="Calibri"/>
                <w:i/>
                <w:iCs/>
                <w:noProof/>
                <w:sz w:val="18"/>
                <w:szCs w:val="18"/>
                <w:lang w:val="en-IE"/>
              </w:rPr>
              <w:t>10</w:t>
            </w:r>
          </w:p>
        </w:tc>
        <w:tc>
          <w:tcPr>
            <w:tcW w:w="470" w:type="pct"/>
            <w:tcBorders>
              <w:top w:val="nil"/>
              <w:left w:val="nil"/>
              <w:bottom w:val="nil"/>
              <w:right w:val="nil"/>
            </w:tcBorders>
            <w:shd w:val="clear" w:color="auto" w:fill="auto"/>
            <w:vAlign w:val="center"/>
          </w:tcPr>
          <w:p w14:paraId="5534117C" w14:textId="7A0EE5AB" w:rsidR="00ED3661" w:rsidRPr="00875872" w:rsidRDefault="006415AC" w:rsidP="00E4384F">
            <w:pPr>
              <w:keepNext/>
              <w:spacing w:after="0"/>
              <w:jc w:val="center"/>
              <w:rPr>
                <w:rFonts w:ascii="EC Square Sans Cond Pro" w:eastAsia="Times New Roman" w:hAnsi="EC Square Sans Cond Pro" w:cs="Calibri"/>
                <w:noProof/>
                <w:sz w:val="18"/>
                <w:szCs w:val="18"/>
                <w:lang w:val="en-IE"/>
              </w:rPr>
            </w:pPr>
            <w:r>
              <w:rPr>
                <w:rFonts w:ascii="EC Square Sans Cond Pro" w:eastAsia="Times New Roman" w:hAnsi="EC Square Sans Cond Pro" w:cs="Calibri"/>
                <w:noProof/>
                <w:sz w:val="18"/>
                <w:szCs w:val="18"/>
                <w:lang w:val="en-IE"/>
              </w:rPr>
              <w:t>10</w:t>
            </w:r>
          </w:p>
        </w:tc>
        <w:tc>
          <w:tcPr>
            <w:tcW w:w="473" w:type="pct"/>
            <w:tcBorders>
              <w:top w:val="nil"/>
              <w:left w:val="nil"/>
              <w:bottom w:val="nil"/>
              <w:right w:val="nil"/>
            </w:tcBorders>
            <w:shd w:val="clear" w:color="auto" w:fill="auto"/>
            <w:vAlign w:val="center"/>
          </w:tcPr>
          <w:p w14:paraId="498FA208" w14:textId="79024718" w:rsidR="00ED3661" w:rsidRPr="00D31A8B" w:rsidRDefault="006415AC" w:rsidP="00E4384F">
            <w:pPr>
              <w:keepNext/>
              <w:spacing w:after="0"/>
              <w:jc w:val="center"/>
              <w:rPr>
                <w:rFonts w:ascii="EC Square Sans Cond Pro" w:eastAsia="Times New Roman" w:hAnsi="EC Square Sans Cond Pro" w:cs="Calibri"/>
                <w:i/>
                <w:noProof/>
                <w:sz w:val="18"/>
                <w:szCs w:val="18"/>
                <w:lang w:val="en-IE"/>
              </w:rPr>
            </w:pPr>
            <w:r w:rsidRPr="006415AC">
              <w:rPr>
                <w:rFonts w:ascii="EC Square Sans Cond Pro" w:eastAsia="Times New Roman" w:hAnsi="EC Square Sans Cond Pro" w:cs="Calibri"/>
                <w:i/>
                <w:iCs/>
                <w:noProof/>
                <w:sz w:val="18"/>
                <w:szCs w:val="18"/>
                <w:lang w:val="en-IE"/>
              </w:rPr>
              <w:t>10</w:t>
            </w:r>
          </w:p>
        </w:tc>
      </w:tr>
    </w:tbl>
    <w:p w14:paraId="7020E6E9" w14:textId="0EB6BCDE" w:rsidR="00ED3661" w:rsidRPr="006D0CC1" w:rsidRDefault="006D0CC1" w:rsidP="006D0CC1">
      <w:pPr>
        <w:pStyle w:val="CT-SOURCE"/>
        <w:rPr>
          <w:noProof/>
        </w:rPr>
      </w:pPr>
      <w:r w:rsidRPr="006D0CC1">
        <w:rPr>
          <w:noProof/>
        </w:rPr>
        <w:t>Source: GAINS.</w:t>
      </w:r>
    </w:p>
    <w:p w14:paraId="32FBB1C6" w14:textId="28C8E7F0" w:rsidR="00BA620C" w:rsidRPr="003F6B63" w:rsidRDefault="00BA620C" w:rsidP="003F6B63">
      <w:pPr>
        <w:pStyle w:val="Heading2"/>
        <w:rPr>
          <w:rStyle w:val="Heading2Char"/>
          <w:b/>
          <w:noProof/>
        </w:rPr>
      </w:pPr>
      <w:bookmarkStart w:id="99" w:name="_Ref140738197"/>
      <w:bookmarkStart w:id="100" w:name="_Ref141878055"/>
      <w:bookmarkStart w:id="101" w:name="_Ref147843399"/>
      <w:bookmarkStart w:id="102" w:name="_Toc148605585"/>
      <w:bookmarkStart w:id="103" w:name="_Toc157692030"/>
      <w:bookmarkEnd w:id="96"/>
      <w:r w:rsidRPr="003F6B63">
        <w:rPr>
          <w:rStyle w:val="Heading2Char"/>
          <w:b/>
          <w:noProof/>
        </w:rPr>
        <w:t>Energy sector transformation</w:t>
      </w:r>
      <w:bookmarkEnd w:id="99"/>
      <w:bookmarkEnd w:id="100"/>
      <w:bookmarkEnd w:id="101"/>
      <w:bookmarkEnd w:id="102"/>
      <w:bookmarkEnd w:id="103"/>
    </w:p>
    <w:p w14:paraId="617D25D7" w14:textId="77777777" w:rsidR="007831B7" w:rsidRPr="00473B73" w:rsidRDefault="007831B7" w:rsidP="00886789">
      <w:pPr>
        <w:pStyle w:val="Heading3"/>
        <w:rPr>
          <w:noProof/>
        </w:rPr>
      </w:pPr>
      <w:bookmarkStart w:id="104" w:name="_Toc148605586"/>
      <w:bookmarkStart w:id="105" w:name="_Toc157692031"/>
      <w:r w:rsidRPr="00473B73">
        <w:rPr>
          <w:noProof/>
        </w:rPr>
        <w:t>Energy supply</w:t>
      </w:r>
      <w:bookmarkEnd w:id="104"/>
      <w:bookmarkEnd w:id="105"/>
      <w:r w:rsidRPr="00473B73">
        <w:rPr>
          <w:noProof/>
        </w:rPr>
        <w:t xml:space="preserve"> </w:t>
      </w:r>
    </w:p>
    <w:p w14:paraId="192198D4" w14:textId="0C8ABEDD" w:rsidR="00BB4897" w:rsidRDefault="00BB4897" w:rsidP="00BB4897">
      <w:pPr>
        <w:pStyle w:val="Text2"/>
        <w:rPr>
          <w:noProof/>
          <w:lang w:val="en-IE"/>
        </w:rPr>
      </w:pPr>
      <w:r w:rsidRPr="04E25909">
        <w:rPr>
          <w:b/>
          <w:noProof/>
          <w:lang w:val="en-IE"/>
        </w:rPr>
        <w:t>Gross Available Energy </w:t>
      </w:r>
      <w:r w:rsidR="00295F71" w:rsidRPr="00881407">
        <w:rPr>
          <w:noProof/>
        </w:rPr>
        <w:t>(</w:t>
      </w:r>
      <w:r w:rsidR="00295F71" w:rsidRPr="00465F10">
        <w:rPr>
          <w:b/>
          <w:bCs/>
          <w:noProof/>
          <w:vertAlign w:val="superscript"/>
        </w:rPr>
        <w:footnoteReference w:id="53"/>
      </w:r>
      <w:r w:rsidR="00295F71" w:rsidRPr="00465F10">
        <w:rPr>
          <w:b/>
          <w:bCs/>
          <w:noProof/>
        </w:rPr>
        <w:t>)</w:t>
      </w:r>
      <w:r w:rsidR="00295F71" w:rsidRPr="00462718">
        <w:rPr>
          <w:b/>
          <w:bCs/>
          <w:noProof/>
          <w:lang w:val="en-IE"/>
        </w:rPr>
        <w:t xml:space="preserve"> </w:t>
      </w:r>
      <w:r w:rsidRPr="04E25909">
        <w:rPr>
          <w:b/>
          <w:noProof/>
          <w:lang w:val="en-IE"/>
        </w:rPr>
        <w:t>(</w:t>
      </w:r>
      <w:r w:rsidRPr="04E25909">
        <w:rPr>
          <w:rStyle w:val="FootnoteReference"/>
          <w:b/>
          <w:noProof/>
          <w:lang w:val="en-IE"/>
        </w:rPr>
        <w:footnoteReference w:id="54"/>
      </w:r>
      <w:r w:rsidRPr="04E25909">
        <w:rPr>
          <w:b/>
          <w:noProof/>
          <w:lang w:val="en-IE"/>
        </w:rPr>
        <w:t>)</w:t>
      </w:r>
      <w:r w:rsidRPr="04E25909">
        <w:rPr>
          <w:noProof/>
          <w:lang w:val="en-IE"/>
        </w:rPr>
        <w:t xml:space="preserve"> (GAE)</w:t>
      </w:r>
      <w:r w:rsidR="001A3DDD" w:rsidRPr="04E25909">
        <w:rPr>
          <w:noProof/>
          <w:lang w:val="en-IE"/>
        </w:rPr>
        <w:t xml:space="preserve"> </w:t>
      </w:r>
      <w:r w:rsidRPr="04E25909">
        <w:rPr>
          <w:noProof/>
          <w:lang w:val="en-IE"/>
        </w:rPr>
        <w:t xml:space="preserve">reduces to between </w:t>
      </w:r>
      <w:r w:rsidR="00237FB5">
        <w:rPr>
          <w:noProof/>
          <w:lang w:val="en-IE"/>
        </w:rPr>
        <w:t>1 </w:t>
      </w:r>
      <w:r w:rsidR="00076039">
        <w:rPr>
          <w:noProof/>
          <w:lang w:val="en-IE"/>
        </w:rPr>
        <w:t>018</w:t>
      </w:r>
      <w:r w:rsidRPr="04E25909">
        <w:rPr>
          <w:noProof/>
          <w:lang w:val="en-IE"/>
        </w:rPr>
        <w:t>-1</w:t>
      </w:r>
      <w:r w:rsidR="0079733E">
        <w:rPr>
          <w:noProof/>
          <w:lang w:val="en-IE"/>
        </w:rPr>
        <w:t> </w:t>
      </w:r>
      <w:r w:rsidRPr="04E25909">
        <w:rPr>
          <w:noProof/>
          <w:lang w:val="en-IE"/>
        </w:rPr>
        <w:t>0</w:t>
      </w:r>
      <w:r w:rsidR="0087201B">
        <w:rPr>
          <w:noProof/>
          <w:lang w:val="en-IE"/>
        </w:rPr>
        <w:t>22</w:t>
      </w:r>
      <w:r w:rsidRPr="04E25909">
        <w:rPr>
          <w:noProof/>
          <w:lang w:val="en-IE"/>
        </w:rPr>
        <w:t xml:space="preserve"> Mtoe across the S1-</w:t>
      </w:r>
      <w:r w:rsidR="006750D6">
        <w:rPr>
          <w:noProof/>
          <w:lang w:val="en-IE"/>
        </w:rPr>
        <w:t>S2-</w:t>
      </w:r>
      <w:r w:rsidRPr="04E25909">
        <w:rPr>
          <w:noProof/>
          <w:lang w:val="en-IE"/>
        </w:rPr>
        <w:t>S3</w:t>
      </w:r>
      <w:r>
        <w:rPr>
          <w:noProof/>
          <w:lang w:val="en-IE"/>
        </w:rPr>
        <w:t xml:space="preserve"> </w:t>
      </w:r>
      <w:r w:rsidRPr="04E25909">
        <w:rPr>
          <w:noProof/>
          <w:lang w:val="en-IE"/>
        </w:rPr>
        <w:t>scenarios in 2040</w:t>
      </w:r>
      <w:r w:rsidR="00464B7D">
        <w:rPr>
          <w:noProof/>
          <w:lang w:val="en-IE"/>
        </w:rPr>
        <w:t>,</w:t>
      </w:r>
      <w:r w:rsidRPr="04E25909">
        <w:rPr>
          <w:noProof/>
          <w:lang w:val="en-IE"/>
        </w:rPr>
        <w:t xml:space="preserve"> corresponding to approximately a 30% reduction compared to 201</w:t>
      </w:r>
      <w:r w:rsidR="003754A9">
        <w:rPr>
          <w:noProof/>
          <w:lang w:val="en-IE"/>
        </w:rPr>
        <w:t>9</w:t>
      </w:r>
      <w:r w:rsidR="001A3DDD">
        <w:rPr>
          <w:noProof/>
          <w:lang w:val="en-IE"/>
        </w:rPr>
        <w:t xml:space="preserve"> (</w:t>
      </w:r>
      <w:r w:rsidR="001A3DDD" w:rsidRPr="000D14C6">
        <w:rPr>
          <w:noProof/>
          <w:lang w:val="en-IE"/>
        </w:rPr>
        <w:t>see</w:t>
      </w:r>
      <w:r w:rsidR="009536BB">
        <w:rPr>
          <w:noProof/>
          <w:lang w:val="en-IE"/>
        </w:rPr>
        <w:t xml:space="preserve"> </w:t>
      </w:r>
      <w:r w:rsidR="003D4186" w:rsidRPr="000D14C6">
        <w:rPr>
          <w:noProof/>
          <w:lang w:val="en-IE"/>
        </w:rPr>
        <w:fldChar w:fldCharType="begin"/>
      </w:r>
      <w:r w:rsidR="003D4186" w:rsidRPr="000D14C6">
        <w:rPr>
          <w:noProof/>
          <w:lang w:val="en-IE"/>
        </w:rPr>
        <w:instrText xml:space="preserve"> REF _Ref146205022 \h </w:instrText>
      </w:r>
      <w:r w:rsidR="003D4186">
        <w:rPr>
          <w:noProof/>
          <w:lang w:val="en-IE"/>
        </w:rPr>
        <w:instrText xml:space="preserve"> \* MERGEFORMAT </w:instrText>
      </w:r>
      <w:r w:rsidR="003D4186" w:rsidRPr="000D14C6">
        <w:rPr>
          <w:noProof/>
          <w:lang w:val="en-IE"/>
        </w:rPr>
      </w:r>
      <w:r w:rsidR="003D4186" w:rsidRPr="000D14C6">
        <w:rPr>
          <w:noProof/>
          <w:lang w:val="en-IE"/>
        </w:rPr>
        <w:fldChar w:fldCharType="separate"/>
      </w:r>
      <w:r w:rsidR="00170A3C">
        <w:rPr>
          <w:noProof/>
        </w:rPr>
        <w:t>Figure 14</w:t>
      </w:r>
      <w:r w:rsidR="003D4186" w:rsidRPr="000D14C6">
        <w:rPr>
          <w:noProof/>
          <w:lang w:val="en-IE"/>
        </w:rPr>
        <w:fldChar w:fldCharType="end"/>
      </w:r>
      <w:r w:rsidR="001A3DDD" w:rsidRPr="000D14C6">
        <w:rPr>
          <w:noProof/>
          <w:lang w:val="en-IE"/>
        </w:rPr>
        <w:t>)</w:t>
      </w:r>
      <w:r w:rsidRPr="04E25909">
        <w:rPr>
          <w:noProof/>
          <w:lang w:val="en-IE"/>
        </w:rPr>
        <w:t xml:space="preserve">. </w:t>
      </w:r>
      <w:r w:rsidR="00237FB5">
        <w:rPr>
          <w:noProof/>
          <w:lang w:val="en-IE"/>
        </w:rPr>
        <w:t xml:space="preserve">Thanks to the circular economy measures and consumption patterns, </w:t>
      </w:r>
      <w:r w:rsidR="00B669A2">
        <w:rPr>
          <w:noProof/>
          <w:lang w:val="en-IE"/>
        </w:rPr>
        <w:t>LIFE</w:t>
      </w:r>
      <w:r w:rsidR="00237FB5">
        <w:rPr>
          <w:noProof/>
          <w:lang w:val="en-IE"/>
        </w:rPr>
        <w:t xml:space="preserve"> further reduces GAE. </w:t>
      </w:r>
      <w:r w:rsidRPr="04E25909">
        <w:rPr>
          <w:noProof/>
          <w:lang w:val="en-IE"/>
        </w:rPr>
        <w:t xml:space="preserve">After 2040, GAE stabilises </w:t>
      </w:r>
      <w:r w:rsidR="00BC74DE">
        <w:rPr>
          <w:noProof/>
          <w:lang w:val="en-IE"/>
        </w:rPr>
        <w:t>around 1020</w:t>
      </w:r>
      <w:r w:rsidR="00F90AA8">
        <w:rPr>
          <w:noProof/>
          <w:lang w:val="en-IE"/>
        </w:rPr>
        <w:t>–</w:t>
      </w:r>
      <w:r w:rsidRPr="04E25909">
        <w:rPr>
          <w:noProof/>
          <w:lang w:val="en-IE"/>
        </w:rPr>
        <w:t>1040 Mtoe</w:t>
      </w:r>
      <w:r>
        <w:rPr>
          <w:noProof/>
          <w:lang w:val="en-IE"/>
        </w:rPr>
        <w:t xml:space="preserve">, except for </w:t>
      </w:r>
      <w:r w:rsidR="00C459D4">
        <w:rPr>
          <w:noProof/>
          <w:lang w:val="en-IE"/>
        </w:rPr>
        <w:t>LIFE</w:t>
      </w:r>
      <w:r>
        <w:rPr>
          <w:noProof/>
          <w:lang w:val="en-IE"/>
        </w:rPr>
        <w:t xml:space="preserve"> where</w:t>
      </w:r>
      <w:r w:rsidR="000A6E85">
        <w:rPr>
          <w:noProof/>
          <w:lang w:val="en-IE"/>
        </w:rPr>
        <w:t>,</w:t>
      </w:r>
      <w:r>
        <w:rPr>
          <w:noProof/>
          <w:lang w:val="en-IE"/>
        </w:rPr>
        <w:t xml:space="preserve"> </w:t>
      </w:r>
      <w:r w:rsidR="000A6E85">
        <w:rPr>
          <w:noProof/>
          <w:lang w:val="en-IE"/>
        </w:rPr>
        <w:t xml:space="preserve">in 2050, </w:t>
      </w:r>
      <w:r>
        <w:rPr>
          <w:noProof/>
          <w:lang w:val="en-IE"/>
        </w:rPr>
        <w:t xml:space="preserve">it </w:t>
      </w:r>
      <w:r w:rsidR="00C92B9B">
        <w:rPr>
          <w:noProof/>
          <w:lang w:val="en-IE"/>
        </w:rPr>
        <w:t>is further</w:t>
      </w:r>
      <w:r>
        <w:rPr>
          <w:noProof/>
          <w:lang w:val="en-IE"/>
        </w:rPr>
        <w:t xml:space="preserve"> </w:t>
      </w:r>
      <w:r w:rsidR="00237FB5">
        <w:rPr>
          <w:noProof/>
          <w:lang w:val="en-IE"/>
        </w:rPr>
        <w:t xml:space="preserve">reduced by </w:t>
      </w:r>
      <w:r w:rsidR="00BF061D">
        <w:rPr>
          <w:noProof/>
          <w:lang w:val="en-IE"/>
        </w:rPr>
        <w:t xml:space="preserve">more than </w:t>
      </w:r>
      <w:r w:rsidR="000A6E85" w:rsidRPr="00F90AA8">
        <w:rPr>
          <w:noProof/>
          <w:lang w:val="en-IE"/>
        </w:rPr>
        <w:t>5</w:t>
      </w:r>
      <w:r w:rsidR="00BF061D" w:rsidRPr="00F90AA8">
        <w:rPr>
          <w:noProof/>
          <w:lang w:val="en-IE"/>
        </w:rPr>
        <w:t>0</w:t>
      </w:r>
      <w:r w:rsidR="00237FB5">
        <w:rPr>
          <w:noProof/>
          <w:lang w:val="en-IE"/>
        </w:rPr>
        <w:t xml:space="preserve"> Mtoe</w:t>
      </w:r>
      <w:r w:rsidR="000A6E85">
        <w:rPr>
          <w:noProof/>
          <w:lang w:val="en-IE"/>
        </w:rPr>
        <w:t xml:space="preserve"> compared to </w:t>
      </w:r>
      <w:r w:rsidR="00FA5259">
        <w:rPr>
          <w:noProof/>
          <w:lang w:val="en-IE"/>
        </w:rPr>
        <w:t>other scenarios</w:t>
      </w:r>
      <w:r w:rsidRPr="04E25909">
        <w:rPr>
          <w:noProof/>
          <w:lang w:val="en-IE"/>
        </w:rPr>
        <w:t>.</w:t>
      </w:r>
    </w:p>
    <w:p w14:paraId="5C63A22E" w14:textId="4490D451" w:rsidR="009536BB" w:rsidRDefault="009536BB" w:rsidP="00356706">
      <w:pPr>
        <w:pStyle w:val="Caption"/>
        <w:rPr>
          <w:noProof/>
        </w:rPr>
      </w:pPr>
      <w:bookmarkStart w:id="106" w:name="_Ref146205022"/>
      <w:bookmarkStart w:id="107" w:name="_Toc157679762"/>
      <w:r>
        <w:rPr>
          <w:noProof/>
        </w:rPr>
        <w:t xml:space="preserve">Figure </w:t>
      </w:r>
      <w:r>
        <w:rPr>
          <w:noProof/>
        </w:rPr>
        <w:fldChar w:fldCharType="begin"/>
      </w:r>
      <w:r>
        <w:rPr>
          <w:noProof/>
        </w:rPr>
        <w:instrText>SEQ Figure \* ARABIC</w:instrText>
      </w:r>
      <w:r>
        <w:rPr>
          <w:noProof/>
        </w:rPr>
        <w:fldChar w:fldCharType="separate"/>
      </w:r>
      <w:r w:rsidR="00170A3C">
        <w:rPr>
          <w:noProof/>
        </w:rPr>
        <w:t>14</w:t>
      </w:r>
      <w:r>
        <w:rPr>
          <w:noProof/>
        </w:rPr>
        <w:fldChar w:fldCharType="end"/>
      </w:r>
      <w:bookmarkEnd w:id="106"/>
      <w:r>
        <w:rPr>
          <w:noProof/>
        </w:rPr>
        <w:t xml:space="preserve">: </w:t>
      </w:r>
      <w:r w:rsidRPr="000A6872">
        <w:rPr>
          <w:noProof/>
        </w:rPr>
        <w:t>Gross Available Energy by energy vector, 2015-2050</w:t>
      </w:r>
      <w:bookmarkEnd w:id="107"/>
    </w:p>
    <w:p w14:paraId="384A06FE" w14:textId="70433242" w:rsidR="00167DC1" w:rsidRDefault="00543008" w:rsidP="00F55D70">
      <w:pPr>
        <w:keepNext/>
        <w:spacing w:after="0"/>
        <w:jc w:val="center"/>
        <w:rPr>
          <w:noProof/>
          <w:lang w:eastAsia="en-GB"/>
        </w:rPr>
      </w:pPr>
      <w:r w:rsidRPr="00543008">
        <w:rPr>
          <w:noProof/>
          <w:lang w:eastAsia="en-GB"/>
        </w:rPr>
        <w:drawing>
          <wp:inline distT="0" distB="0" distL="0" distR="0" wp14:anchorId="35D54BE2" wp14:editId="0B518EF2">
            <wp:extent cx="5413375" cy="2524125"/>
            <wp:effectExtent l="0" t="0" r="0"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413375" cy="2524125"/>
                    </a:xfrm>
                    <a:prstGeom prst="rect">
                      <a:avLst/>
                    </a:prstGeom>
                    <a:noFill/>
                    <a:ln>
                      <a:noFill/>
                    </a:ln>
                  </pic:spPr>
                </pic:pic>
              </a:graphicData>
            </a:graphic>
          </wp:inline>
        </w:drawing>
      </w:r>
    </w:p>
    <w:p w14:paraId="37153C04" w14:textId="1020EABA" w:rsidR="00BB4897" w:rsidRPr="00B9118E" w:rsidRDefault="00BB4897" w:rsidP="00C01944">
      <w:pPr>
        <w:pStyle w:val="CT-NOTE"/>
        <w:rPr>
          <w:i w:val="0"/>
          <w:noProof/>
        </w:rPr>
      </w:pPr>
      <w:r w:rsidRPr="00B9118E">
        <w:rPr>
          <w:noProof/>
        </w:rPr>
        <w:t>Note: Biomass and waste include non-renewable waste. Natural gas includes also manufactured gas.</w:t>
      </w:r>
    </w:p>
    <w:p w14:paraId="44AC37B9" w14:textId="77777777" w:rsidR="00BB4897" w:rsidRPr="00291300" w:rsidRDefault="00BB4897" w:rsidP="00C01944">
      <w:pPr>
        <w:pStyle w:val="CT-SOURCE"/>
        <w:rPr>
          <w:i w:val="0"/>
          <w:noProof/>
        </w:rPr>
      </w:pPr>
      <w:r w:rsidRPr="00291300">
        <w:rPr>
          <w:noProof/>
        </w:rPr>
        <w:t>Source: PRIMES.</w:t>
      </w:r>
    </w:p>
    <w:p w14:paraId="1DE29EFB" w14:textId="0E88D0A8" w:rsidR="00BB4897" w:rsidRDefault="00BB4897" w:rsidP="00BB4897">
      <w:pPr>
        <w:pStyle w:val="Text2"/>
        <w:rPr>
          <w:noProof/>
          <w:lang w:val="en-IE"/>
        </w:rPr>
      </w:pPr>
      <w:r w:rsidRPr="04E25909">
        <w:rPr>
          <w:noProof/>
          <w:lang w:val="en-IE"/>
        </w:rPr>
        <w:t>Profound changes in the energy mix underpin the overall reduction of GAE over time. Fossil fuels</w:t>
      </w:r>
      <w:r>
        <w:rPr>
          <w:noProof/>
          <w:lang w:val="en-IE"/>
        </w:rPr>
        <w:t xml:space="preserve"> are gradually </w:t>
      </w:r>
      <w:r w:rsidR="00C92B9B">
        <w:rPr>
          <w:noProof/>
          <w:lang w:val="en-IE"/>
        </w:rPr>
        <w:t>reduced,</w:t>
      </w:r>
      <w:r>
        <w:rPr>
          <w:noProof/>
          <w:lang w:val="en-IE"/>
        </w:rPr>
        <w:t xml:space="preserve"> from </w:t>
      </w:r>
      <w:r w:rsidR="009448E9">
        <w:rPr>
          <w:noProof/>
          <w:lang w:val="en-IE"/>
        </w:rPr>
        <w:t xml:space="preserve">approximately </w:t>
      </w:r>
      <w:r>
        <w:rPr>
          <w:noProof/>
          <w:lang w:val="en-IE"/>
        </w:rPr>
        <w:t xml:space="preserve">1060 </w:t>
      </w:r>
      <w:r w:rsidR="00DF436E">
        <w:rPr>
          <w:noProof/>
          <w:lang w:val="en-IE"/>
        </w:rPr>
        <w:t xml:space="preserve">Mtoe in </w:t>
      </w:r>
      <w:r w:rsidR="00076A21" w:rsidRPr="00076A21">
        <w:rPr>
          <w:noProof/>
          <w:lang w:val="en-IE"/>
        </w:rPr>
        <w:t xml:space="preserve">2019 to </w:t>
      </w:r>
      <w:r w:rsidR="002D0C44">
        <w:rPr>
          <w:noProof/>
          <w:lang w:val="en-IE"/>
        </w:rPr>
        <w:t>between</w:t>
      </w:r>
      <w:r>
        <w:rPr>
          <w:noProof/>
          <w:lang w:val="en-IE"/>
        </w:rPr>
        <w:t xml:space="preserve"> </w:t>
      </w:r>
      <w:r w:rsidR="009448E9">
        <w:rPr>
          <w:noProof/>
          <w:lang w:val="en-IE"/>
        </w:rPr>
        <w:t xml:space="preserve">275 </w:t>
      </w:r>
      <w:r>
        <w:rPr>
          <w:noProof/>
          <w:lang w:val="en-IE"/>
        </w:rPr>
        <w:t xml:space="preserve">and </w:t>
      </w:r>
      <w:r w:rsidR="00F80992">
        <w:rPr>
          <w:noProof/>
          <w:lang w:val="en-IE"/>
        </w:rPr>
        <w:t xml:space="preserve">375 </w:t>
      </w:r>
      <w:r w:rsidR="002D0C44">
        <w:rPr>
          <w:noProof/>
          <w:lang w:val="en-IE"/>
        </w:rPr>
        <w:t>Mtoe</w:t>
      </w:r>
      <w:r>
        <w:rPr>
          <w:noProof/>
          <w:lang w:val="en-IE"/>
        </w:rPr>
        <w:t xml:space="preserve"> in the S1-</w:t>
      </w:r>
      <w:r w:rsidR="006750D6">
        <w:rPr>
          <w:noProof/>
          <w:lang w:val="en-IE"/>
        </w:rPr>
        <w:t>S2-</w:t>
      </w:r>
      <w:r>
        <w:rPr>
          <w:noProof/>
          <w:lang w:val="en-IE"/>
        </w:rPr>
        <w:t>S3 scenarios (</w:t>
      </w:r>
      <w:r w:rsidR="00DF436E">
        <w:rPr>
          <w:noProof/>
          <w:lang w:val="en-IE"/>
        </w:rPr>
        <w:t xml:space="preserve">a </w:t>
      </w:r>
      <w:r>
        <w:rPr>
          <w:noProof/>
          <w:lang w:val="en-IE"/>
        </w:rPr>
        <w:t>65</w:t>
      </w:r>
      <w:r w:rsidR="00E66531">
        <w:rPr>
          <w:noProof/>
          <w:lang w:val="en-IE"/>
        </w:rPr>
        <w:t xml:space="preserve"> to </w:t>
      </w:r>
      <w:r>
        <w:rPr>
          <w:noProof/>
          <w:lang w:val="en-IE"/>
        </w:rPr>
        <w:t>7</w:t>
      </w:r>
      <w:r w:rsidR="006E1D3C">
        <w:rPr>
          <w:noProof/>
          <w:lang w:val="en-IE"/>
        </w:rPr>
        <w:t>4</w:t>
      </w:r>
      <w:r>
        <w:rPr>
          <w:noProof/>
          <w:lang w:val="en-IE"/>
        </w:rPr>
        <w:t xml:space="preserve">% </w:t>
      </w:r>
      <w:r w:rsidR="00DF436E">
        <w:rPr>
          <w:noProof/>
          <w:lang w:val="en-IE"/>
        </w:rPr>
        <w:t xml:space="preserve">reduction </w:t>
      </w:r>
      <w:r>
        <w:rPr>
          <w:noProof/>
          <w:lang w:val="en-IE"/>
        </w:rPr>
        <w:t>compared to 2019).</w:t>
      </w:r>
      <w:r w:rsidR="003754A9">
        <w:rPr>
          <w:noProof/>
          <w:lang w:val="en-IE"/>
        </w:rPr>
        <w:t xml:space="preserve"> </w:t>
      </w:r>
      <w:r w:rsidR="002D0C44">
        <w:rPr>
          <w:noProof/>
          <w:lang w:val="en-IE"/>
        </w:rPr>
        <w:t>I</w:t>
      </w:r>
      <w:r>
        <w:rPr>
          <w:noProof/>
          <w:lang w:val="en-IE"/>
        </w:rPr>
        <w:t>n 2050</w:t>
      </w:r>
      <w:r w:rsidR="009F03A7">
        <w:rPr>
          <w:noProof/>
          <w:lang w:val="en-IE"/>
        </w:rPr>
        <w:t>,</w:t>
      </w:r>
      <w:r>
        <w:rPr>
          <w:noProof/>
          <w:lang w:val="en-IE"/>
        </w:rPr>
        <w:t xml:space="preserve"> </w:t>
      </w:r>
      <w:r w:rsidR="00AD618B">
        <w:rPr>
          <w:noProof/>
          <w:lang w:val="en-IE"/>
        </w:rPr>
        <w:t xml:space="preserve">approximately </w:t>
      </w:r>
      <w:r w:rsidR="009F03A7">
        <w:rPr>
          <w:noProof/>
          <w:lang w:val="en-IE"/>
        </w:rPr>
        <w:t>1</w:t>
      </w:r>
      <w:r w:rsidR="003754A9">
        <w:rPr>
          <w:noProof/>
          <w:lang w:val="en-IE"/>
        </w:rPr>
        <w:t>5</w:t>
      </w:r>
      <w:r w:rsidR="00AD618B">
        <w:rPr>
          <w:noProof/>
          <w:lang w:val="en-IE"/>
        </w:rPr>
        <w:t>5</w:t>
      </w:r>
      <w:r w:rsidR="009F03A7">
        <w:rPr>
          <w:noProof/>
          <w:lang w:val="en-IE"/>
        </w:rPr>
        <w:t xml:space="preserve"> Mtoe of </w:t>
      </w:r>
      <w:r>
        <w:rPr>
          <w:noProof/>
          <w:lang w:val="en-IE"/>
        </w:rPr>
        <w:t>residual fossil fuels</w:t>
      </w:r>
      <w:r w:rsidR="009F03A7">
        <w:rPr>
          <w:noProof/>
          <w:lang w:val="en-IE"/>
        </w:rPr>
        <w:t xml:space="preserve"> remain </w:t>
      </w:r>
      <w:r w:rsidR="0099566A">
        <w:rPr>
          <w:noProof/>
          <w:lang w:val="en-IE"/>
        </w:rPr>
        <w:t xml:space="preserve">with little differences </w:t>
      </w:r>
      <w:r w:rsidR="007D4BB6">
        <w:rPr>
          <w:noProof/>
          <w:lang w:val="en-IE"/>
        </w:rPr>
        <w:t>between the</w:t>
      </w:r>
      <w:r>
        <w:rPr>
          <w:noProof/>
          <w:lang w:val="en-IE"/>
        </w:rPr>
        <w:t xml:space="preserve"> S1</w:t>
      </w:r>
      <w:r w:rsidR="007D4BB6">
        <w:rPr>
          <w:noProof/>
          <w:lang w:val="en-IE"/>
        </w:rPr>
        <w:t xml:space="preserve">, </w:t>
      </w:r>
      <w:r w:rsidR="006750D6">
        <w:rPr>
          <w:noProof/>
          <w:lang w:val="en-IE"/>
        </w:rPr>
        <w:t>S2</w:t>
      </w:r>
      <w:r w:rsidR="007D4BB6">
        <w:rPr>
          <w:noProof/>
          <w:lang w:val="en-IE"/>
        </w:rPr>
        <w:t xml:space="preserve"> and </w:t>
      </w:r>
      <w:r>
        <w:rPr>
          <w:noProof/>
          <w:lang w:val="en-IE"/>
        </w:rPr>
        <w:t>S3</w:t>
      </w:r>
      <w:r w:rsidR="007D4BB6">
        <w:rPr>
          <w:noProof/>
          <w:lang w:val="en-IE"/>
        </w:rPr>
        <w:t xml:space="preserve"> </w:t>
      </w:r>
      <w:r>
        <w:rPr>
          <w:noProof/>
          <w:lang w:val="en-IE"/>
        </w:rPr>
        <w:t>scenarios (-8</w:t>
      </w:r>
      <w:r w:rsidR="00DE0038">
        <w:rPr>
          <w:noProof/>
          <w:lang w:val="en-IE"/>
        </w:rPr>
        <w:t>5</w:t>
      </w:r>
      <w:r>
        <w:rPr>
          <w:noProof/>
          <w:lang w:val="en-IE"/>
        </w:rPr>
        <w:t xml:space="preserve">% compared to 2019), largely consumed for non-energy uses and from long distance transport. </w:t>
      </w:r>
      <w:r w:rsidR="00076A21" w:rsidRPr="00076A21">
        <w:rPr>
          <w:noProof/>
          <w:lang w:val="en-IE"/>
        </w:rPr>
        <w:t xml:space="preserve">In 2040, fossil fuels account for </w:t>
      </w:r>
      <w:r w:rsidR="00221F9F">
        <w:rPr>
          <w:noProof/>
          <w:lang w:val="en-IE"/>
        </w:rPr>
        <w:t xml:space="preserve">27 </w:t>
      </w:r>
      <w:r w:rsidR="003754A9">
        <w:rPr>
          <w:noProof/>
          <w:lang w:val="en-IE"/>
        </w:rPr>
        <w:t xml:space="preserve">to </w:t>
      </w:r>
      <w:r w:rsidR="00221F9F">
        <w:rPr>
          <w:noProof/>
          <w:lang w:val="en-IE"/>
        </w:rPr>
        <w:t>37</w:t>
      </w:r>
      <w:r w:rsidRPr="04E25909">
        <w:rPr>
          <w:noProof/>
          <w:lang w:val="en-IE"/>
        </w:rPr>
        <w:t>% of GAE in the S1-</w:t>
      </w:r>
      <w:r w:rsidR="006750D6">
        <w:rPr>
          <w:noProof/>
          <w:lang w:val="en-IE"/>
        </w:rPr>
        <w:t>S2-</w:t>
      </w:r>
      <w:r w:rsidRPr="04E25909">
        <w:rPr>
          <w:noProof/>
          <w:lang w:val="en-IE"/>
        </w:rPr>
        <w:t>S3</w:t>
      </w:r>
      <w:r>
        <w:rPr>
          <w:noProof/>
          <w:lang w:val="en-IE"/>
        </w:rPr>
        <w:t xml:space="preserve"> </w:t>
      </w:r>
      <w:r w:rsidRPr="04E25909">
        <w:rPr>
          <w:noProof/>
          <w:lang w:val="en-IE"/>
        </w:rPr>
        <w:t>scenarios</w:t>
      </w:r>
      <w:r>
        <w:rPr>
          <w:noProof/>
          <w:lang w:val="en-IE"/>
        </w:rPr>
        <w:t xml:space="preserve">, </w:t>
      </w:r>
      <w:r w:rsidR="002E15E0">
        <w:rPr>
          <w:noProof/>
          <w:lang w:val="en-IE"/>
        </w:rPr>
        <w:t>down from more than 70% in 201</w:t>
      </w:r>
      <w:r w:rsidR="002909B8">
        <w:rPr>
          <w:noProof/>
          <w:lang w:val="en-IE"/>
        </w:rPr>
        <w:t>9</w:t>
      </w:r>
      <w:r w:rsidR="002E15E0">
        <w:rPr>
          <w:noProof/>
          <w:lang w:val="en-IE"/>
        </w:rPr>
        <w:t xml:space="preserve">. </w:t>
      </w:r>
      <w:r w:rsidR="00330B4D">
        <w:rPr>
          <w:noProof/>
          <w:lang w:val="en-IE"/>
        </w:rPr>
        <w:t xml:space="preserve">Fossil fuels </w:t>
      </w:r>
      <w:r>
        <w:rPr>
          <w:noProof/>
          <w:lang w:val="en-IE"/>
        </w:rPr>
        <w:t xml:space="preserve">reach a share of total GAE </w:t>
      </w:r>
      <w:r w:rsidR="00BE1247">
        <w:rPr>
          <w:noProof/>
          <w:lang w:val="en-IE"/>
        </w:rPr>
        <w:t>of</w:t>
      </w:r>
      <w:r w:rsidR="00F65A61">
        <w:rPr>
          <w:noProof/>
          <w:lang w:val="en-IE"/>
        </w:rPr>
        <w:t xml:space="preserve"> </w:t>
      </w:r>
      <w:r w:rsidR="00BE1247">
        <w:rPr>
          <w:noProof/>
          <w:lang w:val="en-IE"/>
        </w:rPr>
        <w:t xml:space="preserve">approximately </w:t>
      </w:r>
      <w:r w:rsidR="00F65A61">
        <w:rPr>
          <w:noProof/>
          <w:lang w:val="en-IE"/>
        </w:rPr>
        <w:t>1</w:t>
      </w:r>
      <w:r w:rsidR="00BE1247">
        <w:rPr>
          <w:noProof/>
          <w:lang w:val="en-IE"/>
        </w:rPr>
        <w:t>5</w:t>
      </w:r>
      <w:r w:rsidRPr="04E25909">
        <w:rPr>
          <w:noProof/>
          <w:lang w:val="en-IE"/>
        </w:rPr>
        <w:t xml:space="preserve">% </w:t>
      </w:r>
      <w:r>
        <w:rPr>
          <w:noProof/>
          <w:lang w:val="en-IE"/>
        </w:rPr>
        <w:t xml:space="preserve">in 2050 </w:t>
      </w:r>
      <w:r w:rsidR="00330B4D">
        <w:rPr>
          <w:noProof/>
          <w:lang w:val="en-IE"/>
        </w:rPr>
        <w:t>across</w:t>
      </w:r>
      <w:r>
        <w:rPr>
          <w:noProof/>
          <w:lang w:val="en-IE"/>
        </w:rPr>
        <w:t xml:space="preserve"> </w:t>
      </w:r>
      <w:r w:rsidR="00F65A61">
        <w:rPr>
          <w:noProof/>
          <w:lang w:val="en-IE"/>
        </w:rPr>
        <w:t>all</w:t>
      </w:r>
      <w:r>
        <w:rPr>
          <w:noProof/>
          <w:lang w:val="en-IE"/>
        </w:rPr>
        <w:t xml:space="preserve"> scenarios</w:t>
      </w:r>
      <w:r w:rsidRPr="04E25909">
        <w:rPr>
          <w:noProof/>
          <w:lang w:val="en-IE"/>
        </w:rPr>
        <w:t xml:space="preserve">. </w:t>
      </w:r>
    </w:p>
    <w:p w14:paraId="2BC10852" w14:textId="02A0F2C5" w:rsidR="006F1578" w:rsidRDefault="00BB4897" w:rsidP="00BB4897">
      <w:pPr>
        <w:pStyle w:val="Text2"/>
        <w:rPr>
          <w:noProof/>
          <w:lang w:val="en-IE"/>
        </w:rPr>
      </w:pPr>
      <w:r w:rsidRPr="4D9F7B3B">
        <w:rPr>
          <w:noProof/>
          <w:lang w:val="en-IE"/>
        </w:rPr>
        <w:t xml:space="preserve">Renewables </w:t>
      </w:r>
      <w:r w:rsidR="003152E4">
        <w:rPr>
          <w:noProof/>
          <w:lang w:val="en-IE"/>
        </w:rPr>
        <w:t>undergo</w:t>
      </w:r>
      <w:r w:rsidRPr="4D9F7B3B">
        <w:rPr>
          <w:noProof/>
          <w:lang w:val="en-IE"/>
        </w:rPr>
        <w:t xml:space="preserve"> a pronounced growth in their share of total GAE as they gradually replace fossil fuels as the backbone of the E</w:t>
      </w:r>
      <w:r>
        <w:rPr>
          <w:noProof/>
          <w:lang w:val="en-IE"/>
        </w:rPr>
        <w:t>U</w:t>
      </w:r>
      <w:r w:rsidRPr="4D9F7B3B">
        <w:rPr>
          <w:noProof/>
          <w:lang w:val="en-IE"/>
        </w:rPr>
        <w:t xml:space="preserve"> energy system. The share of renewables in total GAE grows from just 1</w:t>
      </w:r>
      <w:r w:rsidR="002F4C3E">
        <w:rPr>
          <w:noProof/>
          <w:lang w:val="en-IE"/>
        </w:rPr>
        <w:t>7</w:t>
      </w:r>
      <w:r w:rsidRPr="4D9F7B3B">
        <w:rPr>
          <w:noProof/>
          <w:lang w:val="en-IE"/>
        </w:rPr>
        <w:t>% in 201</w:t>
      </w:r>
      <w:r w:rsidR="002F4C3E">
        <w:rPr>
          <w:noProof/>
          <w:lang w:val="en-IE"/>
        </w:rPr>
        <w:t>9</w:t>
      </w:r>
      <w:r w:rsidRPr="4D9F7B3B">
        <w:rPr>
          <w:noProof/>
          <w:lang w:val="en-IE"/>
        </w:rPr>
        <w:t xml:space="preserve"> </w:t>
      </w:r>
      <w:r w:rsidR="00076A21" w:rsidRPr="00076A21">
        <w:rPr>
          <w:noProof/>
          <w:lang w:val="en-IE"/>
        </w:rPr>
        <w:t xml:space="preserve">to </w:t>
      </w:r>
      <w:r>
        <w:rPr>
          <w:noProof/>
          <w:lang w:val="en-IE"/>
        </w:rPr>
        <w:t>50</w:t>
      </w:r>
      <w:r w:rsidRPr="4D9F7B3B">
        <w:rPr>
          <w:noProof/>
          <w:lang w:val="en-IE"/>
        </w:rPr>
        <w:t>-6</w:t>
      </w:r>
      <w:r>
        <w:rPr>
          <w:noProof/>
          <w:lang w:val="en-IE"/>
        </w:rPr>
        <w:t>0</w:t>
      </w:r>
      <w:r w:rsidRPr="4D9F7B3B">
        <w:rPr>
          <w:noProof/>
          <w:lang w:val="en-IE"/>
        </w:rPr>
        <w:t>% in the S1-</w:t>
      </w:r>
      <w:r w:rsidR="006750D6">
        <w:rPr>
          <w:noProof/>
          <w:lang w:val="en-IE"/>
        </w:rPr>
        <w:t>S2-</w:t>
      </w:r>
      <w:r w:rsidRPr="4D9F7B3B">
        <w:rPr>
          <w:noProof/>
          <w:lang w:val="en-IE"/>
        </w:rPr>
        <w:t xml:space="preserve">S3 scenarios (around </w:t>
      </w:r>
      <w:r>
        <w:rPr>
          <w:noProof/>
          <w:lang w:val="en-IE"/>
        </w:rPr>
        <w:t>520</w:t>
      </w:r>
      <w:r w:rsidRPr="4D9F7B3B">
        <w:rPr>
          <w:noProof/>
          <w:lang w:val="en-IE"/>
        </w:rPr>
        <w:t>-6</w:t>
      </w:r>
      <w:r>
        <w:rPr>
          <w:noProof/>
          <w:lang w:val="en-IE"/>
        </w:rPr>
        <w:t>1</w:t>
      </w:r>
      <w:r w:rsidRPr="4D9F7B3B">
        <w:rPr>
          <w:noProof/>
          <w:lang w:val="en-IE"/>
        </w:rPr>
        <w:t>0 Mtoe) in 2040</w:t>
      </w:r>
      <w:r>
        <w:rPr>
          <w:noProof/>
          <w:lang w:val="en-IE"/>
        </w:rPr>
        <w:t xml:space="preserve">. Then, in 2050 the share of renewables </w:t>
      </w:r>
      <w:r w:rsidR="00007CA4">
        <w:rPr>
          <w:noProof/>
          <w:lang w:val="en-IE"/>
        </w:rPr>
        <w:t>reaches</w:t>
      </w:r>
      <w:r>
        <w:rPr>
          <w:noProof/>
          <w:lang w:val="en-IE"/>
        </w:rPr>
        <w:t xml:space="preserve"> more than </w:t>
      </w:r>
      <w:r w:rsidRPr="4D9F7B3B">
        <w:rPr>
          <w:noProof/>
          <w:lang w:val="en-IE"/>
        </w:rPr>
        <w:t xml:space="preserve">70% in 2050 (around </w:t>
      </w:r>
      <w:r>
        <w:rPr>
          <w:noProof/>
          <w:lang w:val="en-IE"/>
        </w:rPr>
        <w:t>690-735 under the S1-</w:t>
      </w:r>
      <w:r w:rsidR="006750D6">
        <w:rPr>
          <w:noProof/>
          <w:lang w:val="en-IE"/>
        </w:rPr>
        <w:t>S2-</w:t>
      </w:r>
      <w:r>
        <w:rPr>
          <w:noProof/>
          <w:lang w:val="en-IE"/>
        </w:rPr>
        <w:t>S3 scenarios</w:t>
      </w:r>
      <w:r w:rsidRPr="4D9F7B3B">
        <w:rPr>
          <w:noProof/>
          <w:lang w:val="en-IE"/>
        </w:rPr>
        <w:t xml:space="preserve">). </w:t>
      </w:r>
      <w:r w:rsidR="00B669A2">
        <w:rPr>
          <w:noProof/>
          <w:lang w:val="en-IE"/>
        </w:rPr>
        <w:t>LIFE</w:t>
      </w:r>
      <w:r w:rsidR="002F4C3E">
        <w:rPr>
          <w:noProof/>
          <w:lang w:val="en-IE"/>
        </w:rPr>
        <w:t xml:space="preserve"> decreases the overall use of renewables in GAE by </w:t>
      </w:r>
      <w:r w:rsidR="00171ACE">
        <w:rPr>
          <w:noProof/>
          <w:lang w:val="en-IE"/>
        </w:rPr>
        <w:t xml:space="preserve">more than </w:t>
      </w:r>
      <w:r w:rsidR="0009496E">
        <w:rPr>
          <w:noProof/>
          <w:lang w:val="en-IE"/>
        </w:rPr>
        <w:t>4</w:t>
      </w:r>
      <w:r w:rsidR="00977E35">
        <w:rPr>
          <w:noProof/>
          <w:lang w:val="en-IE"/>
        </w:rPr>
        <w:t xml:space="preserve">0 Mtoe </w:t>
      </w:r>
      <w:r w:rsidR="0009496E">
        <w:rPr>
          <w:noProof/>
          <w:lang w:val="en-IE"/>
        </w:rPr>
        <w:t xml:space="preserve">in </w:t>
      </w:r>
      <w:r w:rsidR="00977E35">
        <w:rPr>
          <w:noProof/>
          <w:lang w:val="en-IE"/>
        </w:rPr>
        <w:t xml:space="preserve">2040 and </w:t>
      </w:r>
      <w:r w:rsidR="00171ACE">
        <w:rPr>
          <w:noProof/>
          <w:lang w:val="en-IE"/>
        </w:rPr>
        <w:t xml:space="preserve">more than 50 Mtoe in </w:t>
      </w:r>
      <w:r w:rsidR="00977E35">
        <w:rPr>
          <w:noProof/>
          <w:lang w:val="en-IE"/>
        </w:rPr>
        <w:t>2050.</w:t>
      </w:r>
    </w:p>
    <w:p w14:paraId="19F9D6CE" w14:textId="67956C9B" w:rsidR="00BB4897" w:rsidRPr="000C5DCD" w:rsidRDefault="00E16DFA" w:rsidP="00BB4897">
      <w:pPr>
        <w:pStyle w:val="Text2"/>
        <w:rPr>
          <w:noProof/>
          <w:lang w:val="en-IE"/>
        </w:rPr>
      </w:pPr>
      <w:r>
        <w:rPr>
          <w:noProof/>
          <w:lang w:val="en-IE"/>
        </w:rPr>
        <w:t xml:space="preserve">Based on nuclear capacity assumptions in line with </w:t>
      </w:r>
      <w:r w:rsidRPr="003D7B49">
        <w:rPr>
          <w:noProof/>
          <w:lang w:val="en-IE"/>
        </w:rPr>
        <w:t>the Member State policies as described in the 2019 National Energy and Climate Plans (</w:t>
      </w:r>
      <w:r w:rsidRPr="003D7B49">
        <w:rPr>
          <w:rStyle w:val="FootnoteReference"/>
          <w:noProof/>
          <w:lang w:val="en-IE"/>
        </w:rPr>
        <w:footnoteReference w:id="55"/>
      </w:r>
      <w:r w:rsidRPr="003D7B49">
        <w:rPr>
          <w:noProof/>
          <w:lang w:val="en-IE"/>
        </w:rPr>
        <w:t>)</w:t>
      </w:r>
      <w:r w:rsidR="00D75A9C" w:rsidRPr="00E16DFA">
        <w:rPr>
          <w:noProof/>
          <w:lang w:val="en-IE"/>
        </w:rPr>
        <w:t>, cf. sub-section 2.5.2.2</w:t>
      </w:r>
      <w:r w:rsidR="006F23C7" w:rsidRPr="00E16DFA">
        <w:rPr>
          <w:noProof/>
          <w:lang w:val="en-IE"/>
        </w:rPr>
        <w:t>, n</w:t>
      </w:r>
      <w:r w:rsidR="00BB4897" w:rsidRPr="00E16DFA">
        <w:rPr>
          <w:noProof/>
          <w:lang w:val="en-IE"/>
        </w:rPr>
        <w:t>uclear</w:t>
      </w:r>
      <w:r w:rsidR="00BB4897" w:rsidRPr="4D9F7B3B">
        <w:rPr>
          <w:noProof/>
          <w:lang w:val="en-IE"/>
        </w:rPr>
        <w:t xml:space="preserve"> power is projected to experience a reduction </w:t>
      </w:r>
      <w:r w:rsidR="00B86441">
        <w:rPr>
          <w:noProof/>
          <w:lang w:val="en-IE"/>
        </w:rPr>
        <w:t xml:space="preserve">in output </w:t>
      </w:r>
      <w:r w:rsidR="00BB4897" w:rsidRPr="4D9F7B3B">
        <w:rPr>
          <w:noProof/>
          <w:lang w:val="en-IE"/>
        </w:rPr>
        <w:t xml:space="preserve">over this decade from </w:t>
      </w:r>
      <w:r w:rsidR="00BB4897">
        <w:rPr>
          <w:noProof/>
          <w:lang w:val="en-IE"/>
        </w:rPr>
        <w:t>around 200</w:t>
      </w:r>
      <w:r w:rsidR="00BB4897" w:rsidRPr="4D9F7B3B">
        <w:rPr>
          <w:noProof/>
          <w:lang w:val="en-IE"/>
        </w:rPr>
        <w:t xml:space="preserve"> Mtoe in 20</w:t>
      </w:r>
      <w:r w:rsidR="00BB4897">
        <w:rPr>
          <w:noProof/>
          <w:lang w:val="en-IE"/>
        </w:rPr>
        <w:t>1</w:t>
      </w:r>
      <w:r w:rsidR="0013074A">
        <w:rPr>
          <w:noProof/>
          <w:lang w:val="en-IE"/>
        </w:rPr>
        <w:t>9</w:t>
      </w:r>
      <w:r w:rsidR="00BB4897" w:rsidRPr="4D9F7B3B">
        <w:rPr>
          <w:noProof/>
          <w:lang w:val="en-IE"/>
        </w:rPr>
        <w:t xml:space="preserve"> to </w:t>
      </w:r>
      <w:r w:rsidR="00076A21" w:rsidRPr="00076A21">
        <w:rPr>
          <w:noProof/>
          <w:lang w:val="en-IE"/>
        </w:rPr>
        <w:t>1</w:t>
      </w:r>
      <w:r w:rsidR="0026754E">
        <w:rPr>
          <w:noProof/>
          <w:lang w:val="en-IE"/>
        </w:rPr>
        <w:t>3</w:t>
      </w:r>
      <w:r w:rsidR="00076A21" w:rsidRPr="00076A21">
        <w:rPr>
          <w:noProof/>
          <w:lang w:val="en-IE"/>
        </w:rPr>
        <w:t>0</w:t>
      </w:r>
      <w:r w:rsidR="002965C5">
        <w:rPr>
          <w:noProof/>
          <w:lang w:val="en-IE"/>
        </w:rPr>
        <w:t xml:space="preserve"> Mtoe</w:t>
      </w:r>
      <w:r w:rsidR="00BB4897" w:rsidRPr="4D9F7B3B">
        <w:rPr>
          <w:noProof/>
          <w:lang w:val="en-IE"/>
        </w:rPr>
        <w:t xml:space="preserve"> </w:t>
      </w:r>
      <w:r w:rsidR="002965C5">
        <w:rPr>
          <w:noProof/>
          <w:lang w:val="en-IE"/>
        </w:rPr>
        <w:t>in</w:t>
      </w:r>
      <w:r w:rsidR="00BB4897" w:rsidRPr="4D9F7B3B">
        <w:rPr>
          <w:noProof/>
          <w:lang w:val="en-IE"/>
        </w:rPr>
        <w:t xml:space="preserve"> </w:t>
      </w:r>
      <w:r w:rsidR="00076A21" w:rsidRPr="00076A21">
        <w:rPr>
          <w:noProof/>
          <w:lang w:val="en-IE"/>
        </w:rPr>
        <w:t xml:space="preserve">2030 after which it broadly stabilizes, accounting for 13-14% of total GAE from </w:t>
      </w:r>
      <w:r w:rsidR="00BB4897" w:rsidRPr="4D9F7B3B">
        <w:rPr>
          <w:noProof/>
          <w:lang w:val="en-IE"/>
        </w:rPr>
        <w:t>2040 onwards without major differences across scenarios</w:t>
      </w:r>
      <w:r w:rsidR="00993447">
        <w:rPr>
          <w:rFonts w:cs="Times New Roman"/>
          <w:noProof/>
          <w:lang w:val="en-IE"/>
        </w:rPr>
        <w:t>.</w:t>
      </w:r>
    </w:p>
    <w:p w14:paraId="20B26B96" w14:textId="1742D728" w:rsidR="00BB4897" w:rsidRPr="000C5DCD" w:rsidRDefault="00BB4897" w:rsidP="00BB4897">
      <w:pPr>
        <w:pStyle w:val="Text2"/>
        <w:rPr>
          <w:noProof/>
          <w:szCs w:val="22"/>
          <w:lang w:val="en-IE"/>
        </w:rPr>
      </w:pPr>
      <w:r>
        <w:rPr>
          <w:noProof/>
          <w:szCs w:val="22"/>
          <w:lang w:val="en-IE"/>
        </w:rPr>
        <w:t xml:space="preserve">Overall, </w:t>
      </w:r>
      <w:r w:rsidRPr="000C5DCD">
        <w:rPr>
          <w:noProof/>
        </w:rPr>
        <w:t xml:space="preserve">total GAE is quite stable across </w:t>
      </w:r>
      <w:r>
        <w:rPr>
          <w:noProof/>
        </w:rPr>
        <w:t>the S1, S2 and S3 scenarios</w:t>
      </w:r>
      <w:r w:rsidR="00BA1F94">
        <w:rPr>
          <w:noProof/>
        </w:rPr>
        <w:t>,</w:t>
      </w:r>
      <w:r>
        <w:rPr>
          <w:noProof/>
        </w:rPr>
        <w:t xml:space="preserve"> varying by less than 1% in 2040 and less than 2% in 2050</w:t>
      </w:r>
      <w:r w:rsidR="00BA1F94">
        <w:rPr>
          <w:noProof/>
        </w:rPr>
        <w:t xml:space="preserve">, </w:t>
      </w:r>
      <w:r>
        <w:rPr>
          <w:noProof/>
        </w:rPr>
        <w:t xml:space="preserve">but </w:t>
      </w:r>
      <w:r w:rsidR="00977E35">
        <w:rPr>
          <w:noProof/>
        </w:rPr>
        <w:t xml:space="preserve">measures </w:t>
      </w:r>
      <w:r w:rsidR="00EE54A2">
        <w:rPr>
          <w:noProof/>
        </w:rPr>
        <w:t>in the</w:t>
      </w:r>
      <w:r w:rsidR="00977E35">
        <w:rPr>
          <w:noProof/>
        </w:rPr>
        <w:t xml:space="preserve"> </w:t>
      </w:r>
      <w:r>
        <w:rPr>
          <w:noProof/>
        </w:rPr>
        <w:t xml:space="preserve">LIFE </w:t>
      </w:r>
      <w:r w:rsidR="00EE54A2">
        <w:rPr>
          <w:noProof/>
        </w:rPr>
        <w:t xml:space="preserve">scenario further </w:t>
      </w:r>
      <w:r w:rsidR="009F5721">
        <w:rPr>
          <w:noProof/>
        </w:rPr>
        <w:t>decrease</w:t>
      </w:r>
      <w:r w:rsidR="00977E35">
        <w:rPr>
          <w:noProof/>
        </w:rPr>
        <w:t xml:space="preserve"> GAE</w:t>
      </w:r>
      <w:r>
        <w:rPr>
          <w:noProof/>
        </w:rPr>
        <w:t>. However, the trajectories (in terms of GAE) of the various energy vectors are characterised by considerable variations across scenarios</w:t>
      </w:r>
      <w:r w:rsidR="006105FC">
        <w:rPr>
          <w:noProof/>
        </w:rPr>
        <w:t>:</w:t>
      </w:r>
      <w:r>
        <w:rPr>
          <w:noProof/>
        </w:rPr>
        <w:t xml:space="preserve"> the S3 scenario </w:t>
      </w:r>
      <w:r w:rsidR="00643E73">
        <w:rPr>
          <w:noProof/>
        </w:rPr>
        <w:t xml:space="preserve">shows </w:t>
      </w:r>
      <w:r>
        <w:rPr>
          <w:noProof/>
        </w:rPr>
        <w:t>a faster uptake of renewables at the expense of fossil fuels</w:t>
      </w:r>
      <w:r w:rsidR="00643E73">
        <w:rPr>
          <w:noProof/>
        </w:rPr>
        <w:t xml:space="preserve">, while </w:t>
      </w:r>
      <w:r>
        <w:rPr>
          <w:noProof/>
        </w:rPr>
        <w:t>S1 scenario</w:t>
      </w:r>
      <w:r w:rsidR="00643E73">
        <w:rPr>
          <w:noProof/>
        </w:rPr>
        <w:t xml:space="preserve"> shows a slower uptake</w:t>
      </w:r>
      <w:r>
        <w:rPr>
          <w:noProof/>
        </w:rPr>
        <w:t>.</w:t>
      </w:r>
    </w:p>
    <w:p w14:paraId="6EEF3BE3" w14:textId="02D2FC4A" w:rsidR="00BB4897" w:rsidRDefault="00BB4897" w:rsidP="00BB4897">
      <w:pPr>
        <w:pStyle w:val="Text2"/>
        <w:rPr>
          <w:noProof/>
          <w:szCs w:val="22"/>
          <w:lang w:val="en-IE"/>
        </w:rPr>
      </w:pPr>
      <w:r>
        <w:rPr>
          <w:noProof/>
          <w:szCs w:val="22"/>
          <w:lang w:val="en-IE"/>
        </w:rPr>
        <w:t xml:space="preserve">The gradual substitution of fossil fuels </w:t>
      </w:r>
      <w:r w:rsidR="006105FC">
        <w:rPr>
          <w:noProof/>
          <w:szCs w:val="22"/>
          <w:lang w:val="en-IE"/>
        </w:rPr>
        <w:t>(</w:t>
      </w:r>
      <w:r>
        <w:rPr>
          <w:noProof/>
          <w:szCs w:val="22"/>
          <w:lang w:val="en-IE"/>
        </w:rPr>
        <w:t>largely imported from outside the EU</w:t>
      </w:r>
      <w:r w:rsidR="006105FC">
        <w:rPr>
          <w:noProof/>
          <w:szCs w:val="22"/>
          <w:lang w:val="en-IE"/>
        </w:rPr>
        <w:t>)</w:t>
      </w:r>
      <w:r>
        <w:rPr>
          <w:noProof/>
          <w:szCs w:val="22"/>
          <w:lang w:val="en-IE"/>
        </w:rPr>
        <w:t xml:space="preserve"> with renewables deployed domestically implies a steep reduction of net imports of energy commodities</w:t>
      </w:r>
      <w:r w:rsidR="00850544">
        <w:rPr>
          <w:noProof/>
          <w:szCs w:val="22"/>
          <w:lang w:val="en-IE"/>
        </w:rPr>
        <w:t xml:space="preserve"> (</w:t>
      </w:r>
      <w:r w:rsidR="00F9360D" w:rsidRPr="000D14C6">
        <w:rPr>
          <w:noProof/>
          <w:szCs w:val="22"/>
          <w:lang w:val="en-IE"/>
        </w:rPr>
        <w:fldChar w:fldCharType="begin"/>
      </w:r>
      <w:r w:rsidR="00F9360D" w:rsidRPr="00F9360D">
        <w:rPr>
          <w:noProof/>
          <w:szCs w:val="22"/>
          <w:highlight w:val="yellow"/>
          <w:lang w:val="en-IE"/>
        </w:rPr>
        <w:instrText xml:space="preserve"> REF _Ref146205102 \h </w:instrText>
      </w:r>
      <w:r w:rsidR="00F9360D">
        <w:rPr>
          <w:noProof/>
          <w:szCs w:val="22"/>
          <w:highlight w:val="yellow"/>
          <w:lang w:val="en-IE"/>
        </w:rPr>
        <w:instrText xml:space="preserve"> \* MERGEFORMAT </w:instrText>
      </w:r>
      <w:r w:rsidR="00F9360D" w:rsidRPr="000D14C6">
        <w:rPr>
          <w:noProof/>
          <w:szCs w:val="22"/>
          <w:lang w:val="en-IE"/>
        </w:rPr>
      </w:r>
      <w:r w:rsidR="00F9360D" w:rsidRPr="000D14C6">
        <w:rPr>
          <w:noProof/>
          <w:szCs w:val="22"/>
          <w:lang w:val="en-IE"/>
        </w:rPr>
        <w:fldChar w:fldCharType="separate"/>
      </w:r>
      <w:r w:rsidR="00170A3C">
        <w:rPr>
          <w:noProof/>
        </w:rPr>
        <w:t>Figure 15</w:t>
      </w:r>
      <w:r w:rsidR="00F9360D" w:rsidRPr="000D14C6">
        <w:rPr>
          <w:noProof/>
          <w:szCs w:val="22"/>
          <w:lang w:val="en-IE"/>
        </w:rPr>
        <w:fldChar w:fldCharType="end"/>
      </w:r>
      <w:r w:rsidR="00850544" w:rsidRPr="000D14C6">
        <w:rPr>
          <w:noProof/>
          <w:szCs w:val="22"/>
          <w:lang w:val="en-IE"/>
        </w:rPr>
        <w:t>)</w:t>
      </w:r>
      <w:r w:rsidRPr="000D14C6">
        <w:rPr>
          <w:noProof/>
          <w:szCs w:val="22"/>
          <w:lang w:val="en-IE"/>
        </w:rPr>
        <w:t>.</w:t>
      </w:r>
    </w:p>
    <w:p w14:paraId="6AD9570B" w14:textId="155DB3F1" w:rsidR="00BB4897" w:rsidRDefault="00BB4897" w:rsidP="00BB4897">
      <w:pPr>
        <w:pStyle w:val="Text2"/>
        <w:rPr>
          <w:noProof/>
        </w:rPr>
      </w:pPr>
      <w:r>
        <w:rPr>
          <w:noProof/>
        </w:rPr>
        <w:t>Total n</w:t>
      </w:r>
      <w:r w:rsidRPr="00783A5E">
        <w:rPr>
          <w:noProof/>
        </w:rPr>
        <w:t>et imports</w:t>
      </w:r>
      <w:r>
        <w:rPr>
          <w:noProof/>
        </w:rPr>
        <w:t xml:space="preserve"> of energy commodities are projected to reduce</w:t>
      </w:r>
      <w:r w:rsidRPr="00BC00A5">
        <w:rPr>
          <w:noProof/>
        </w:rPr>
        <w:t xml:space="preserve"> </w:t>
      </w:r>
      <w:r w:rsidR="00977E35">
        <w:rPr>
          <w:noProof/>
        </w:rPr>
        <w:t>by</w:t>
      </w:r>
      <w:r w:rsidR="00977E35" w:rsidRPr="00977E35">
        <w:rPr>
          <w:noProof/>
        </w:rPr>
        <w:t xml:space="preserve"> 62%</w:t>
      </w:r>
      <w:r w:rsidR="00977E35">
        <w:rPr>
          <w:noProof/>
        </w:rPr>
        <w:t>-</w:t>
      </w:r>
      <w:r w:rsidR="00977E35" w:rsidRPr="00977E35">
        <w:rPr>
          <w:noProof/>
        </w:rPr>
        <w:t>71% in the S1-S2-S3 and LIFE scenarios (</w:t>
      </w:r>
      <w:r w:rsidR="000A2E54">
        <w:rPr>
          <w:noProof/>
        </w:rPr>
        <w:t xml:space="preserve">for a total of </w:t>
      </w:r>
      <w:r w:rsidR="00977E35" w:rsidRPr="00977E35">
        <w:rPr>
          <w:noProof/>
        </w:rPr>
        <w:t>2</w:t>
      </w:r>
      <w:r w:rsidR="000A2E54">
        <w:rPr>
          <w:noProof/>
        </w:rPr>
        <w:t>7</w:t>
      </w:r>
      <w:r w:rsidR="00977E35" w:rsidRPr="00977E35">
        <w:rPr>
          <w:noProof/>
        </w:rPr>
        <w:t>0-3</w:t>
      </w:r>
      <w:r w:rsidR="000A2E54">
        <w:rPr>
          <w:noProof/>
        </w:rPr>
        <w:t>5</w:t>
      </w:r>
      <w:r w:rsidR="00977E35" w:rsidRPr="00977E35">
        <w:rPr>
          <w:noProof/>
        </w:rPr>
        <w:t>0 Mtoe)</w:t>
      </w:r>
      <w:r w:rsidR="00DE3F1D">
        <w:rPr>
          <w:noProof/>
        </w:rPr>
        <w:t xml:space="preserve"> </w:t>
      </w:r>
      <w:r w:rsidR="00AC65AE">
        <w:rPr>
          <w:noProof/>
        </w:rPr>
        <w:t>compared to 201</w:t>
      </w:r>
      <w:r w:rsidR="00977E35">
        <w:rPr>
          <w:noProof/>
        </w:rPr>
        <w:t>9</w:t>
      </w:r>
      <w:r w:rsidRPr="77BD018B">
        <w:rPr>
          <w:noProof/>
          <w:lang w:val="en-IE"/>
        </w:rPr>
        <w:t>. In 2050, net imports further decrease to 150 and 160 Mtoe in the S1-</w:t>
      </w:r>
      <w:r w:rsidR="006750D6">
        <w:rPr>
          <w:noProof/>
          <w:lang w:val="en-IE"/>
        </w:rPr>
        <w:t>S2-</w:t>
      </w:r>
      <w:r w:rsidRPr="77BD018B">
        <w:rPr>
          <w:noProof/>
          <w:lang w:val="en-IE"/>
        </w:rPr>
        <w:t>S3 scenarios, 8</w:t>
      </w:r>
      <w:r w:rsidR="000777CA">
        <w:rPr>
          <w:noProof/>
          <w:lang w:val="en-IE"/>
        </w:rPr>
        <w:t>3</w:t>
      </w:r>
      <w:r w:rsidRPr="77BD018B">
        <w:rPr>
          <w:noProof/>
          <w:lang w:val="en-IE"/>
        </w:rPr>
        <w:t>% lower than in 201</w:t>
      </w:r>
      <w:r w:rsidR="003E3B1E">
        <w:rPr>
          <w:noProof/>
          <w:lang w:val="en-IE"/>
        </w:rPr>
        <w:t>9</w:t>
      </w:r>
      <w:r w:rsidRPr="77BD018B">
        <w:rPr>
          <w:noProof/>
          <w:lang w:val="en-IE"/>
        </w:rPr>
        <w:t xml:space="preserve">. </w:t>
      </w:r>
      <w:r>
        <w:rPr>
          <w:noProof/>
        </w:rPr>
        <w:t xml:space="preserve">Net imports of coal virtually end </w:t>
      </w:r>
      <w:r w:rsidR="00643E73">
        <w:rPr>
          <w:noProof/>
        </w:rPr>
        <w:t>by</w:t>
      </w:r>
      <w:r>
        <w:rPr>
          <w:noProof/>
        </w:rPr>
        <w:t xml:space="preserve"> 2040 in all scenarios and those of natural gas and oil products drastically reduce with a very similar pace as the one of overall net imports. All scenarios meet the goal of the REPowerEU plan to phase out import of Russian gas</w:t>
      </w:r>
      <w:r w:rsidRPr="0023684E">
        <w:rPr>
          <w:rFonts w:cs="Times New Roman"/>
          <w:noProof/>
        </w:rPr>
        <w:t> (</w:t>
      </w:r>
      <w:r>
        <w:rPr>
          <w:rStyle w:val="FootnoteReference"/>
          <w:noProof/>
        </w:rPr>
        <w:footnoteReference w:id="56"/>
      </w:r>
      <w:r>
        <w:rPr>
          <w:rFonts w:cs="Times New Roman"/>
          <w:noProof/>
        </w:rPr>
        <w:t>)</w:t>
      </w:r>
      <w:r w:rsidR="00737B1E">
        <w:rPr>
          <w:rFonts w:cs="Times New Roman"/>
          <w:noProof/>
        </w:rPr>
        <w:t>.</w:t>
      </w:r>
      <w:r w:rsidR="00AC65AE">
        <w:rPr>
          <w:noProof/>
        </w:rPr>
        <w:t xml:space="preserve"> The amounts of </w:t>
      </w:r>
      <w:r>
        <w:rPr>
          <w:noProof/>
        </w:rPr>
        <w:t xml:space="preserve">imports of hydrogen and </w:t>
      </w:r>
      <w:r w:rsidR="00262CD5">
        <w:rPr>
          <w:noProof/>
        </w:rPr>
        <w:t>e-</w:t>
      </w:r>
      <w:r>
        <w:rPr>
          <w:noProof/>
        </w:rPr>
        <w:t xml:space="preserve">fuels </w:t>
      </w:r>
      <w:r w:rsidR="00AC65AE">
        <w:rPr>
          <w:noProof/>
        </w:rPr>
        <w:t xml:space="preserve">remain relatively small in 2040, </w:t>
      </w:r>
      <w:r w:rsidR="0049019C">
        <w:rPr>
          <w:noProof/>
        </w:rPr>
        <w:t>due to still relatively high costs</w:t>
      </w:r>
      <w:r>
        <w:rPr>
          <w:noProof/>
        </w:rPr>
        <w:t>.</w:t>
      </w:r>
    </w:p>
    <w:p w14:paraId="5B7B7AD9" w14:textId="1074B2F2" w:rsidR="00BB4897" w:rsidRDefault="00BB4897" w:rsidP="000B36BB">
      <w:pPr>
        <w:pStyle w:val="Caption"/>
        <w:spacing w:after="0"/>
        <w:rPr>
          <w:noProof/>
        </w:rPr>
      </w:pPr>
      <w:bookmarkStart w:id="108" w:name="_Ref143248882"/>
      <w:bookmarkStart w:id="109" w:name="_Ref142555614"/>
      <w:bookmarkStart w:id="110" w:name="_Ref145335072"/>
      <w:bookmarkStart w:id="111" w:name="_Ref146205102"/>
      <w:bookmarkStart w:id="112" w:name="_Toc157679763"/>
      <w:r>
        <w:rPr>
          <w:noProof/>
        </w:rPr>
        <w:t xml:space="preserve">Figure </w:t>
      </w:r>
      <w:bookmarkEnd w:id="108"/>
      <w:bookmarkEnd w:id="109"/>
      <w:bookmarkEnd w:id="110"/>
      <w:r w:rsidR="00F2742D">
        <w:rPr>
          <w:noProof/>
        </w:rPr>
        <w:fldChar w:fldCharType="begin"/>
      </w:r>
      <w:r w:rsidR="00F2742D">
        <w:rPr>
          <w:noProof/>
        </w:rPr>
        <w:instrText xml:space="preserve"> SEQ Figure \* ARABIC </w:instrText>
      </w:r>
      <w:r w:rsidR="00F2742D">
        <w:rPr>
          <w:noProof/>
        </w:rPr>
        <w:fldChar w:fldCharType="separate"/>
      </w:r>
      <w:r w:rsidR="00170A3C">
        <w:rPr>
          <w:noProof/>
        </w:rPr>
        <w:t>15</w:t>
      </w:r>
      <w:r w:rsidR="00F2742D">
        <w:rPr>
          <w:noProof/>
        </w:rPr>
        <w:fldChar w:fldCharType="end"/>
      </w:r>
      <w:bookmarkEnd w:id="111"/>
      <w:r>
        <w:rPr>
          <w:noProof/>
        </w:rPr>
        <w:t>: Net imports by energy vector, 2015-2050</w:t>
      </w:r>
      <w:bookmarkEnd w:id="112"/>
    </w:p>
    <w:p w14:paraId="2B24B23F" w14:textId="78099DDB" w:rsidR="00BB4897" w:rsidRDefault="00A0213F" w:rsidP="000D14C6">
      <w:pPr>
        <w:keepNext/>
        <w:spacing w:after="0"/>
        <w:jc w:val="center"/>
        <w:rPr>
          <w:noProof/>
          <w:lang w:eastAsia="en-GB"/>
        </w:rPr>
      </w:pPr>
      <w:r w:rsidRPr="00A0213F">
        <w:rPr>
          <w:noProof/>
          <w:lang w:eastAsia="en-GB"/>
        </w:rPr>
        <w:drawing>
          <wp:inline distT="0" distB="0" distL="0" distR="0" wp14:anchorId="7D524CB5" wp14:editId="0DDD260E">
            <wp:extent cx="5401945" cy="251904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401945" cy="2519045"/>
                    </a:xfrm>
                    <a:prstGeom prst="rect">
                      <a:avLst/>
                    </a:prstGeom>
                    <a:noFill/>
                    <a:ln>
                      <a:noFill/>
                    </a:ln>
                  </pic:spPr>
                </pic:pic>
              </a:graphicData>
            </a:graphic>
          </wp:inline>
        </w:drawing>
      </w:r>
    </w:p>
    <w:p w14:paraId="39D6E571" w14:textId="596674E9" w:rsidR="007F4E6B" w:rsidRPr="00B9118E" w:rsidRDefault="000F43C7" w:rsidP="000B36BB">
      <w:pPr>
        <w:keepNext/>
        <w:spacing w:after="0"/>
        <w:rPr>
          <w:i/>
          <w:noProof/>
          <w:sz w:val="22"/>
          <w:szCs w:val="22"/>
        </w:rPr>
      </w:pPr>
      <w:r w:rsidRPr="000B36BB">
        <w:rPr>
          <w:rStyle w:val="CT-NOTEChar"/>
          <w:noProof/>
        </w:rPr>
        <w:t>Note: Biomass and waste include non-renewable waste. Natural gas includes also manufactured gas.</w:t>
      </w:r>
      <w:r w:rsidR="007F4E6B" w:rsidRPr="000B36BB">
        <w:rPr>
          <w:rStyle w:val="CT-NOTEChar"/>
          <w:noProof/>
        </w:rPr>
        <w:t xml:space="preserve"> When the scenario name is not indicated for future </w:t>
      </w:r>
      <w:r w:rsidR="00803EC2" w:rsidRPr="000B36BB">
        <w:rPr>
          <w:rStyle w:val="CT-NOTEChar"/>
          <w:noProof/>
        </w:rPr>
        <w:t>years,</w:t>
      </w:r>
      <w:r w:rsidR="007F4E6B" w:rsidRPr="000B36BB">
        <w:rPr>
          <w:rStyle w:val="CT-NOTEChar"/>
          <w:noProof/>
        </w:rPr>
        <w:t xml:space="preserve"> the reasons is that trends are almost identical across scenarios</w:t>
      </w:r>
      <w:r w:rsidR="007F4E6B">
        <w:rPr>
          <w:i/>
          <w:noProof/>
          <w:sz w:val="22"/>
          <w:szCs w:val="22"/>
        </w:rPr>
        <w:t>.</w:t>
      </w:r>
    </w:p>
    <w:p w14:paraId="042CEFA1" w14:textId="77777777" w:rsidR="00DF1930" w:rsidRPr="00C40350" w:rsidRDefault="00DF1930" w:rsidP="00677766">
      <w:pPr>
        <w:pStyle w:val="CT-SOURCE"/>
        <w:rPr>
          <w:noProof/>
        </w:rPr>
      </w:pPr>
      <w:r w:rsidRPr="00291300">
        <w:rPr>
          <w:noProof/>
        </w:rPr>
        <w:t>Source: PRI</w:t>
      </w:r>
      <w:r w:rsidRPr="00C40350">
        <w:rPr>
          <w:noProof/>
        </w:rPr>
        <w:t>MES.</w:t>
      </w:r>
    </w:p>
    <w:p w14:paraId="4AF1A338" w14:textId="621B9A6A" w:rsidR="00BB4897" w:rsidRDefault="00BB4897" w:rsidP="00BB4897">
      <w:pPr>
        <w:pStyle w:val="Text2"/>
        <w:rPr>
          <w:noProof/>
        </w:rPr>
      </w:pPr>
      <w:r w:rsidRPr="001E40F3">
        <w:rPr>
          <w:noProof/>
        </w:rPr>
        <w:t>As</w:t>
      </w:r>
      <w:r w:rsidRPr="00E20DE0">
        <w:rPr>
          <w:noProof/>
        </w:rPr>
        <w:t xml:space="preserve"> shown in</w:t>
      </w:r>
      <w:r w:rsidR="00FA3965">
        <w:rPr>
          <w:noProof/>
        </w:rPr>
        <w:t xml:space="preserve"> </w:t>
      </w:r>
      <w:r w:rsidR="00C5055B">
        <w:rPr>
          <w:noProof/>
          <w:highlight w:val="yellow"/>
        </w:rPr>
        <w:fldChar w:fldCharType="begin"/>
      </w:r>
      <w:r w:rsidR="00C5055B">
        <w:rPr>
          <w:noProof/>
        </w:rPr>
        <w:instrText xml:space="preserve"> REF _Ref146205102 \h </w:instrText>
      </w:r>
      <w:r w:rsidR="00C5055B">
        <w:rPr>
          <w:noProof/>
          <w:highlight w:val="yellow"/>
        </w:rPr>
      </w:r>
      <w:r w:rsidR="00C5055B">
        <w:rPr>
          <w:noProof/>
          <w:highlight w:val="yellow"/>
        </w:rPr>
        <w:fldChar w:fldCharType="separate"/>
      </w:r>
      <w:r w:rsidR="00170A3C">
        <w:rPr>
          <w:noProof/>
        </w:rPr>
        <w:t>Figure 15</w:t>
      </w:r>
      <w:r w:rsidR="00C5055B">
        <w:rPr>
          <w:noProof/>
          <w:highlight w:val="yellow"/>
        </w:rPr>
        <w:fldChar w:fldCharType="end"/>
      </w:r>
      <w:r w:rsidR="00E16DFA">
        <w:rPr>
          <w:noProof/>
        </w:rPr>
        <w:t>, t</w:t>
      </w:r>
      <w:r w:rsidR="00E16DFA" w:rsidRPr="00E16DFA">
        <w:rPr>
          <w:noProof/>
        </w:rPr>
        <w:t>he main difference in the fuel-specific pattern across scenarios is associated to natural gas: total net import in 2040 under the S3 achieves three-quarters of the level of the S2 scenario (around 70 Mtoe and 90 Mtoe respectively).</w:t>
      </w:r>
      <w:r>
        <w:rPr>
          <w:noProof/>
        </w:rPr>
        <w:t xml:space="preserve"> </w:t>
      </w:r>
      <w:r w:rsidR="00E16DFA">
        <w:rPr>
          <w:noProof/>
        </w:rPr>
        <w:t>O</w:t>
      </w:r>
      <w:r>
        <w:rPr>
          <w:noProof/>
        </w:rPr>
        <w:t xml:space="preserve">il </w:t>
      </w:r>
      <w:r w:rsidR="00FB1982">
        <w:rPr>
          <w:noProof/>
        </w:rPr>
        <w:t>and natural gas are</w:t>
      </w:r>
      <w:r>
        <w:rPr>
          <w:noProof/>
        </w:rPr>
        <w:t xml:space="preserve"> the last fossil fuel</w:t>
      </w:r>
      <w:r w:rsidR="00FB1982">
        <w:rPr>
          <w:noProof/>
        </w:rPr>
        <w:t>s</w:t>
      </w:r>
      <w:r>
        <w:rPr>
          <w:noProof/>
        </w:rPr>
        <w:t xml:space="preserve"> to be phased out and significant imports still occur in 2050. However, by mid-century </w:t>
      </w:r>
      <w:r w:rsidR="003B48E3">
        <w:rPr>
          <w:noProof/>
        </w:rPr>
        <w:t>almost half</w:t>
      </w:r>
      <w:r>
        <w:rPr>
          <w:noProof/>
        </w:rPr>
        <w:t xml:space="preserve"> of oil consumed in the EU is used to make products in the non-energy sector. In 2050, more than half of the liquid fuels used for energy purposes in end-use sectors are RFNBOs.</w:t>
      </w:r>
    </w:p>
    <w:p w14:paraId="715D5146" w14:textId="0C5CD3EA" w:rsidR="00BB4897" w:rsidRDefault="00BB4897" w:rsidP="004121D1">
      <w:pPr>
        <w:pStyle w:val="Text2"/>
        <w:rPr>
          <w:noProof/>
        </w:rPr>
      </w:pPr>
      <w:r>
        <w:rPr>
          <w:noProof/>
        </w:rPr>
        <w:t xml:space="preserve">The decline in imports has profound consequences for the EU’s security of energy supplies. </w:t>
      </w:r>
      <w:r w:rsidR="003E3B1E">
        <w:rPr>
          <w:noProof/>
        </w:rPr>
        <w:t>I</w:t>
      </w:r>
      <w:r>
        <w:rPr>
          <w:noProof/>
        </w:rPr>
        <w:t xml:space="preserve">mport dependency (defined as the ratio of net imports to GAE excluding ambient heat) decreases from 61% in 2019 to </w:t>
      </w:r>
      <w:r w:rsidR="00F55573" w:rsidRPr="00F55573">
        <w:rPr>
          <w:noProof/>
        </w:rPr>
        <w:t>50</w:t>
      </w:r>
      <w:r>
        <w:rPr>
          <w:noProof/>
        </w:rPr>
        <w:t xml:space="preserve">% in </w:t>
      </w:r>
      <w:r w:rsidR="00F55573" w:rsidRPr="00F55573">
        <w:rPr>
          <w:noProof/>
        </w:rPr>
        <w:t xml:space="preserve">2030 and to 34% – 26% in </w:t>
      </w:r>
      <w:r>
        <w:rPr>
          <w:noProof/>
        </w:rPr>
        <w:t>2040 (depending on the scenario). By 2050, only approximately 15% of the fuels used in Europe will be imported. The energy transition will greatly reduce the EU’s dependency on energy imports. However – due to the decline of indigenous production and the fact that oil is the last fossil fuel to be abandoned – a large decrease in imports will occur only with deep decarbonisation</w:t>
      </w:r>
      <w:r w:rsidR="00A0213F">
        <w:rPr>
          <w:noProof/>
        </w:rPr>
        <w:t xml:space="preserve"> (see </w:t>
      </w:r>
      <w:r w:rsidR="00A0213F">
        <w:rPr>
          <w:noProof/>
        </w:rPr>
        <w:fldChar w:fldCharType="begin"/>
      </w:r>
      <w:r w:rsidR="00A0213F">
        <w:rPr>
          <w:noProof/>
        </w:rPr>
        <w:instrText xml:space="preserve"> REF _Ref155793424 \h </w:instrText>
      </w:r>
      <w:r w:rsidR="00A0213F">
        <w:rPr>
          <w:noProof/>
        </w:rPr>
      </w:r>
      <w:r w:rsidR="00A0213F">
        <w:rPr>
          <w:noProof/>
        </w:rPr>
        <w:fldChar w:fldCharType="separate"/>
      </w:r>
      <w:r w:rsidR="00170A3C">
        <w:rPr>
          <w:noProof/>
        </w:rPr>
        <w:t>Figure 16</w:t>
      </w:r>
      <w:r w:rsidR="00A0213F">
        <w:rPr>
          <w:noProof/>
        </w:rPr>
        <w:fldChar w:fldCharType="end"/>
      </w:r>
      <w:r w:rsidR="00A0213F">
        <w:rPr>
          <w:noProof/>
        </w:rPr>
        <w:t>)</w:t>
      </w:r>
      <w:r>
        <w:rPr>
          <w:noProof/>
        </w:rPr>
        <w:t xml:space="preserve">. As shown </w:t>
      </w:r>
      <w:r w:rsidRPr="009F4645">
        <w:rPr>
          <w:noProof/>
        </w:rPr>
        <w:t>in</w:t>
      </w:r>
      <w:r w:rsidR="00ED07BD">
        <w:rPr>
          <w:noProof/>
        </w:rPr>
        <w:t xml:space="preserve"> </w:t>
      </w:r>
      <w:r w:rsidR="004121D1" w:rsidRPr="009F4645">
        <w:rPr>
          <w:noProof/>
        </w:rPr>
        <w:fldChar w:fldCharType="begin"/>
      </w:r>
      <w:r w:rsidR="004121D1" w:rsidRPr="004121D1">
        <w:rPr>
          <w:noProof/>
          <w:highlight w:val="yellow"/>
        </w:rPr>
        <w:instrText xml:space="preserve"> REF _Ref146205102 \h </w:instrText>
      </w:r>
      <w:r w:rsidR="004121D1">
        <w:rPr>
          <w:noProof/>
          <w:highlight w:val="yellow"/>
        </w:rPr>
        <w:instrText xml:space="preserve"> \* MERGEFORMAT </w:instrText>
      </w:r>
      <w:r w:rsidR="004121D1" w:rsidRPr="009F4645">
        <w:rPr>
          <w:noProof/>
        </w:rPr>
      </w:r>
      <w:r w:rsidR="004121D1" w:rsidRPr="009F4645">
        <w:rPr>
          <w:noProof/>
        </w:rPr>
        <w:fldChar w:fldCharType="separate"/>
      </w:r>
      <w:r w:rsidR="00170A3C">
        <w:rPr>
          <w:noProof/>
        </w:rPr>
        <w:t>Figure 15</w:t>
      </w:r>
      <w:r w:rsidR="004121D1" w:rsidRPr="009F4645">
        <w:rPr>
          <w:noProof/>
        </w:rPr>
        <w:fldChar w:fldCharType="end"/>
      </w:r>
      <w:r w:rsidR="007F5280" w:rsidRPr="009F4645">
        <w:rPr>
          <w:noProof/>
        </w:rPr>
        <w:t>,</w:t>
      </w:r>
      <w:r w:rsidRPr="009F4645">
        <w:rPr>
          <w:noProof/>
        </w:rPr>
        <w:t xml:space="preserve"> i</w:t>
      </w:r>
      <w:r>
        <w:rPr>
          <w:noProof/>
        </w:rPr>
        <w:t>mport reduction is similar across scenarios depending mainly on the decarbonisation target.</w:t>
      </w:r>
    </w:p>
    <w:p w14:paraId="4A630E8B" w14:textId="743F2F69" w:rsidR="004121D1" w:rsidRDefault="004121D1" w:rsidP="004121D1">
      <w:pPr>
        <w:pStyle w:val="Caption"/>
        <w:rPr>
          <w:noProof/>
        </w:rPr>
      </w:pPr>
      <w:bookmarkStart w:id="113" w:name="_Ref155793424"/>
      <w:bookmarkStart w:id="114" w:name="_Toc157679764"/>
      <w:r>
        <w:rPr>
          <w:noProof/>
        </w:rPr>
        <w:t xml:space="preserve">Figure </w:t>
      </w:r>
      <w:r>
        <w:rPr>
          <w:noProof/>
        </w:rPr>
        <w:fldChar w:fldCharType="begin"/>
      </w:r>
      <w:r>
        <w:rPr>
          <w:noProof/>
        </w:rPr>
        <w:instrText>SEQ Figure \* ARABIC</w:instrText>
      </w:r>
      <w:r>
        <w:rPr>
          <w:noProof/>
        </w:rPr>
        <w:fldChar w:fldCharType="separate"/>
      </w:r>
      <w:r w:rsidR="00170A3C">
        <w:rPr>
          <w:noProof/>
        </w:rPr>
        <w:t>16</w:t>
      </w:r>
      <w:r>
        <w:rPr>
          <w:noProof/>
        </w:rPr>
        <w:fldChar w:fldCharType="end"/>
      </w:r>
      <w:bookmarkEnd w:id="113"/>
      <w:r>
        <w:rPr>
          <w:noProof/>
        </w:rPr>
        <w:t xml:space="preserve">: </w:t>
      </w:r>
      <w:r w:rsidRPr="00C75A78">
        <w:rPr>
          <w:noProof/>
        </w:rPr>
        <w:t>Import dependence</w:t>
      </w:r>
      <w:bookmarkEnd w:id="114"/>
    </w:p>
    <w:p w14:paraId="2403CC4A" w14:textId="728F71E2" w:rsidR="00BB4897" w:rsidRDefault="00A0213F" w:rsidP="00554C33">
      <w:pPr>
        <w:pStyle w:val="Text2"/>
        <w:keepNext/>
        <w:rPr>
          <w:noProof/>
          <w:lang w:eastAsia="en-GB"/>
        </w:rPr>
      </w:pPr>
      <w:r w:rsidRPr="00A0213F">
        <w:rPr>
          <w:noProof/>
          <w:lang w:eastAsia="en-GB"/>
        </w:rPr>
        <w:drawing>
          <wp:inline distT="0" distB="0" distL="0" distR="0" wp14:anchorId="06AB6758" wp14:editId="4D312CC5">
            <wp:extent cx="5401945" cy="2513330"/>
            <wp:effectExtent l="0" t="0" r="8255" b="127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401945" cy="2513330"/>
                    </a:xfrm>
                    <a:prstGeom prst="rect">
                      <a:avLst/>
                    </a:prstGeom>
                    <a:noFill/>
                    <a:ln>
                      <a:noFill/>
                    </a:ln>
                  </pic:spPr>
                </pic:pic>
              </a:graphicData>
            </a:graphic>
          </wp:inline>
        </w:drawing>
      </w:r>
    </w:p>
    <w:p w14:paraId="40C0EF0D" w14:textId="77777777" w:rsidR="00C30C59" w:rsidRPr="0058173F" w:rsidRDefault="00C30C59" w:rsidP="00677766">
      <w:pPr>
        <w:pStyle w:val="CT-SOURCE"/>
        <w:rPr>
          <w:i w:val="0"/>
          <w:noProof/>
        </w:rPr>
      </w:pPr>
      <w:r w:rsidRPr="0058173F">
        <w:rPr>
          <w:noProof/>
        </w:rPr>
        <w:t>Source: PRIMES.</w:t>
      </w:r>
    </w:p>
    <w:p w14:paraId="4AE04D73" w14:textId="28DE35AF" w:rsidR="007F7AB8" w:rsidRDefault="00BB4897" w:rsidP="007F7AB8">
      <w:pPr>
        <w:pStyle w:val="Text2"/>
        <w:rPr>
          <w:noProof/>
        </w:rPr>
      </w:pPr>
      <w:r>
        <w:rPr>
          <w:noProof/>
        </w:rPr>
        <w:t xml:space="preserve">As </w:t>
      </w:r>
      <w:r w:rsidR="007254E9">
        <w:rPr>
          <w:noProof/>
        </w:rPr>
        <w:t>introduced</w:t>
      </w:r>
      <w:r>
        <w:rPr>
          <w:noProof/>
        </w:rPr>
        <w:t xml:space="preserve"> in </w:t>
      </w:r>
      <w:r w:rsidRPr="00A438D4">
        <w:rPr>
          <w:noProof/>
        </w:rPr>
        <w:t>Annex 6</w:t>
      </w:r>
      <w:r>
        <w:rPr>
          <w:noProof/>
        </w:rPr>
        <w:t xml:space="preserve">, </w:t>
      </w:r>
      <w:r w:rsidR="007254E9">
        <w:rPr>
          <w:noProof/>
        </w:rPr>
        <w:t>complementary</w:t>
      </w:r>
      <w:r>
        <w:rPr>
          <w:noProof/>
        </w:rPr>
        <w:t xml:space="preserve"> modelling tools have been used in addition to PRIMES to model the decarbonisation scenarios. </w:t>
      </w:r>
      <w:r w:rsidR="002D4EB5">
        <w:rPr>
          <w:noProof/>
        </w:rPr>
        <w:fldChar w:fldCharType="begin"/>
      </w:r>
      <w:r w:rsidR="002D4EB5">
        <w:rPr>
          <w:noProof/>
        </w:rPr>
        <w:instrText xml:space="preserve"> REF _Ref147313722 \h </w:instrText>
      </w:r>
      <w:r w:rsidR="002D4EB5">
        <w:rPr>
          <w:noProof/>
        </w:rPr>
      </w:r>
      <w:r w:rsidR="002D4EB5">
        <w:rPr>
          <w:noProof/>
        </w:rPr>
        <w:fldChar w:fldCharType="separate"/>
      </w:r>
      <w:r w:rsidR="00170A3C">
        <w:rPr>
          <w:noProof/>
        </w:rPr>
        <w:t>Figure 17</w:t>
      </w:r>
      <w:r w:rsidR="002D4EB5">
        <w:rPr>
          <w:noProof/>
        </w:rPr>
        <w:fldChar w:fldCharType="end"/>
      </w:r>
      <w:r w:rsidR="007F7AB8">
        <w:rPr>
          <w:noProof/>
        </w:rPr>
        <w:t xml:space="preserve"> compares the projections for total Gross Available Energy obtained </w:t>
      </w:r>
      <w:r w:rsidR="002B2E47">
        <w:rPr>
          <w:noProof/>
        </w:rPr>
        <w:t xml:space="preserve">from </w:t>
      </w:r>
      <w:r w:rsidR="00ED07BD">
        <w:rPr>
          <w:noProof/>
        </w:rPr>
        <w:t>the</w:t>
      </w:r>
      <w:r w:rsidR="009A0621">
        <w:rPr>
          <w:noProof/>
        </w:rPr>
        <w:t xml:space="preserve"> </w:t>
      </w:r>
      <w:r w:rsidR="007F7AB8">
        <w:rPr>
          <w:noProof/>
        </w:rPr>
        <w:t>POTEnCIA</w:t>
      </w:r>
      <w:r w:rsidR="00ED07BD">
        <w:rPr>
          <w:noProof/>
        </w:rPr>
        <w:t>,</w:t>
      </w:r>
      <w:r w:rsidR="009A0621">
        <w:rPr>
          <w:noProof/>
        </w:rPr>
        <w:t xml:space="preserve"> AMADEUS-METIS, EU-TIMES and POLES</w:t>
      </w:r>
      <w:r w:rsidR="00ED07BD">
        <w:rPr>
          <w:noProof/>
        </w:rPr>
        <w:t xml:space="preserve"> models</w:t>
      </w:r>
      <w:r w:rsidR="002B2E47">
        <w:rPr>
          <w:noProof/>
        </w:rPr>
        <w:t xml:space="preserve"> for the S2 scenario</w:t>
      </w:r>
      <w:r w:rsidR="009A0621">
        <w:rPr>
          <w:noProof/>
        </w:rPr>
        <w:t>.</w:t>
      </w:r>
      <w:r w:rsidR="00D4352C">
        <w:rPr>
          <w:noProof/>
        </w:rPr>
        <w:t xml:space="preserve"> Values</w:t>
      </w:r>
      <w:r w:rsidR="007254E9">
        <w:rPr>
          <w:noProof/>
        </w:rPr>
        <w:t xml:space="preserve"> and patterns</w:t>
      </w:r>
      <w:r w:rsidR="00D4352C">
        <w:rPr>
          <w:noProof/>
        </w:rPr>
        <w:t xml:space="preserve"> are</w:t>
      </w:r>
      <w:r w:rsidR="007254E9">
        <w:rPr>
          <w:noProof/>
        </w:rPr>
        <w:t xml:space="preserve"> comparable</w:t>
      </w:r>
      <w:r w:rsidR="00D4352C">
        <w:rPr>
          <w:noProof/>
        </w:rPr>
        <w:t xml:space="preserve"> across all models, with</w:t>
      </w:r>
      <w:r w:rsidR="0080620F">
        <w:rPr>
          <w:noProof/>
        </w:rPr>
        <w:t xml:space="preserve"> EU-TIMES showing the highest GAE throughout the time horizon and a trajectory that reduces up to 2040 and then increases again afterwards</w:t>
      </w:r>
      <w:r w:rsidR="007F7AB8">
        <w:rPr>
          <w:noProof/>
        </w:rPr>
        <w:t>.</w:t>
      </w:r>
      <w:r w:rsidR="0080620F">
        <w:rPr>
          <w:noProof/>
        </w:rPr>
        <w:t xml:space="preserve"> The highest GAE in EU-TIMES is explained </w:t>
      </w:r>
      <w:r w:rsidR="00DC117C">
        <w:rPr>
          <w:noProof/>
        </w:rPr>
        <w:t>mainly</w:t>
      </w:r>
      <w:r w:rsidR="0080620F">
        <w:rPr>
          <w:noProof/>
        </w:rPr>
        <w:t xml:space="preserve"> by the lowest reduction in FEC (see</w:t>
      </w:r>
      <w:r w:rsidR="00D87057">
        <w:rPr>
          <w:noProof/>
        </w:rPr>
        <w:t xml:space="preserve"> </w:t>
      </w:r>
      <w:r w:rsidR="00D87057">
        <w:rPr>
          <w:noProof/>
        </w:rPr>
        <w:fldChar w:fldCharType="begin"/>
      </w:r>
      <w:r w:rsidR="00D87057">
        <w:rPr>
          <w:noProof/>
        </w:rPr>
        <w:instrText xml:space="preserve"> REF _Ref147313722 \h </w:instrText>
      </w:r>
      <w:r w:rsidR="00D87057">
        <w:rPr>
          <w:noProof/>
        </w:rPr>
      </w:r>
      <w:r w:rsidR="00D87057">
        <w:rPr>
          <w:noProof/>
        </w:rPr>
        <w:fldChar w:fldCharType="separate"/>
      </w:r>
      <w:r w:rsidR="00170A3C">
        <w:rPr>
          <w:noProof/>
        </w:rPr>
        <w:t>Figure 17</w:t>
      </w:r>
      <w:r w:rsidR="00D87057">
        <w:rPr>
          <w:noProof/>
        </w:rPr>
        <w:fldChar w:fldCharType="end"/>
      </w:r>
      <w:r w:rsidR="00D87057">
        <w:rPr>
          <w:noProof/>
        </w:rPr>
        <w:t>)</w:t>
      </w:r>
      <w:r w:rsidR="00142B06">
        <w:rPr>
          <w:noProof/>
        </w:rPr>
        <w:t xml:space="preserve"> </w:t>
      </w:r>
      <w:r w:rsidR="00DC117C">
        <w:rPr>
          <w:noProof/>
        </w:rPr>
        <w:t xml:space="preserve">linked to an extensive use of </w:t>
      </w:r>
      <w:r w:rsidR="002F0573">
        <w:rPr>
          <w:noProof/>
        </w:rPr>
        <w:t>RFNBOs</w:t>
      </w:r>
      <w:r w:rsidR="00DC117C">
        <w:rPr>
          <w:noProof/>
        </w:rPr>
        <w:t xml:space="preserve"> in comparison with electricity </w:t>
      </w:r>
      <w:r w:rsidR="008C3A68">
        <w:rPr>
          <w:noProof/>
        </w:rPr>
        <w:t>(</w:t>
      </w:r>
      <w:r w:rsidR="00EA56BF">
        <w:rPr>
          <w:noProof/>
        </w:rPr>
        <w:t xml:space="preserve">see </w:t>
      </w:r>
      <w:r w:rsidR="00EA56BF">
        <w:rPr>
          <w:noProof/>
        </w:rPr>
        <w:fldChar w:fldCharType="begin"/>
      </w:r>
      <w:r w:rsidR="00EA56BF">
        <w:rPr>
          <w:noProof/>
        </w:rPr>
        <w:instrText xml:space="preserve"> REF _Ref146275582 \h </w:instrText>
      </w:r>
      <w:r w:rsidR="00EA56BF">
        <w:rPr>
          <w:noProof/>
        </w:rPr>
      </w:r>
      <w:r w:rsidR="00EA56BF">
        <w:rPr>
          <w:noProof/>
        </w:rPr>
        <w:fldChar w:fldCharType="separate"/>
      </w:r>
      <w:r w:rsidR="00170A3C">
        <w:rPr>
          <w:noProof/>
        </w:rPr>
        <w:t>Figure 33</w:t>
      </w:r>
      <w:r w:rsidR="00EA56BF">
        <w:rPr>
          <w:noProof/>
        </w:rPr>
        <w:fldChar w:fldCharType="end"/>
      </w:r>
      <w:r w:rsidR="00EA56BF">
        <w:rPr>
          <w:noProof/>
        </w:rPr>
        <w:t xml:space="preserve"> later in the text)</w:t>
      </w:r>
      <w:r w:rsidR="0080620F">
        <w:rPr>
          <w:noProof/>
        </w:rPr>
        <w:t xml:space="preserve">, </w:t>
      </w:r>
      <w:r w:rsidR="00DC117C">
        <w:rPr>
          <w:noProof/>
        </w:rPr>
        <w:t>and a high</w:t>
      </w:r>
      <w:r w:rsidR="00B20B45">
        <w:rPr>
          <w:noProof/>
        </w:rPr>
        <w:t xml:space="preserve"> reliance on industrial carbon removals to compensate for emissions in hard-to-abate sectors, </w:t>
      </w:r>
      <w:r w:rsidR="0080620F">
        <w:rPr>
          <w:noProof/>
        </w:rPr>
        <w:t>which has associated significant consumption of electricity and heat</w:t>
      </w:r>
      <w:r w:rsidR="00AB5761">
        <w:rPr>
          <w:noProof/>
        </w:rPr>
        <w:t xml:space="preserve">. </w:t>
      </w:r>
    </w:p>
    <w:p w14:paraId="39E7526D" w14:textId="52305577" w:rsidR="00AF24D2" w:rsidRDefault="00AF24D2" w:rsidP="00D767E2">
      <w:pPr>
        <w:pStyle w:val="Caption"/>
        <w:rPr>
          <w:noProof/>
        </w:rPr>
      </w:pPr>
      <w:bookmarkStart w:id="115" w:name="_Ref147313722"/>
      <w:bookmarkStart w:id="116" w:name="_Toc157679765"/>
      <w:r>
        <w:rPr>
          <w:noProof/>
        </w:rPr>
        <w:t xml:space="preserve">Figure </w:t>
      </w:r>
      <w:r>
        <w:rPr>
          <w:noProof/>
        </w:rPr>
        <w:fldChar w:fldCharType="begin"/>
      </w:r>
      <w:r>
        <w:rPr>
          <w:noProof/>
        </w:rPr>
        <w:instrText>SEQ Figure \* ARABIC</w:instrText>
      </w:r>
      <w:r>
        <w:rPr>
          <w:noProof/>
        </w:rPr>
        <w:fldChar w:fldCharType="separate"/>
      </w:r>
      <w:r w:rsidR="00170A3C">
        <w:rPr>
          <w:noProof/>
        </w:rPr>
        <w:t>17</w:t>
      </w:r>
      <w:r>
        <w:rPr>
          <w:noProof/>
        </w:rPr>
        <w:fldChar w:fldCharType="end"/>
      </w:r>
      <w:bookmarkEnd w:id="115"/>
      <w:r>
        <w:rPr>
          <w:noProof/>
        </w:rPr>
        <w:t xml:space="preserve">: </w:t>
      </w:r>
      <w:r w:rsidRPr="008F4EBF">
        <w:rPr>
          <w:noProof/>
        </w:rPr>
        <w:t>Total Gross Available Energy from different energy models, 2019-2050</w:t>
      </w:r>
      <w:bookmarkEnd w:id="116"/>
    </w:p>
    <w:p w14:paraId="34E0FA9D" w14:textId="788FD82E" w:rsidR="00BB4897" w:rsidRDefault="00F55573" w:rsidP="00906859">
      <w:pPr>
        <w:keepNext/>
        <w:jc w:val="center"/>
        <w:rPr>
          <w:noProof/>
          <w:lang w:eastAsia="en-GB"/>
        </w:rPr>
      </w:pPr>
      <w:r>
        <w:rPr>
          <w:noProof/>
          <w:lang w:eastAsia="en-GB"/>
        </w:rPr>
        <w:drawing>
          <wp:inline distT="0" distB="0" distL="0" distR="0" wp14:anchorId="08DBE7E5" wp14:editId="775C004C">
            <wp:extent cx="5401310" cy="2700655"/>
            <wp:effectExtent l="0" t="0" r="8890" b="4445"/>
            <wp:docPr id="2088830565" name="Picture 2088830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01310" cy="2700655"/>
                    </a:xfrm>
                    <a:prstGeom prst="rect">
                      <a:avLst/>
                    </a:prstGeom>
                    <a:noFill/>
                  </pic:spPr>
                </pic:pic>
              </a:graphicData>
            </a:graphic>
          </wp:inline>
        </w:drawing>
      </w:r>
    </w:p>
    <w:p w14:paraId="7D0A3904" w14:textId="77777777" w:rsidR="00DF1930" w:rsidRPr="00811255" w:rsidRDefault="00DF1930" w:rsidP="00E61788">
      <w:pPr>
        <w:pStyle w:val="CT-SOURCE"/>
        <w:keepNext w:val="0"/>
        <w:rPr>
          <w:i w:val="0"/>
          <w:noProof/>
          <w:shd w:val="clear" w:color="auto" w:fill="E6E6E6"/>
          <w:lang w:val="pt-PT"/>
        </w:rPr>
      </w:pPr>
      <w:r w:rsidRPr="00390202">
        <w:rPr>
          <w:noProof/>
          <w:lang w:val="pt-PT"/>
        </w:rPr>
        <w:t>Sources: AMADEUS-METIS, EU-TIMES, POLES, POTEnCIA, PRIMES.</w:t>
      </w:r>
    </w:p>
    <w:p w14:paraId="10FBDA41" w14:textId="09B4E29E" w:rsidR="00A82B41" w:rsidRPr="00473B73" w:rsidRDefault="00142337" w:rsidP="00473B73">
      <w:pPr>
        <w:pStyle w:val="Heading3"/>
        <w:rPr>
          <w:noProof/>
        </w:rPr>
      </w:pPr>
      <w:bookmarkStart w:id="117" w:name="_Toc148605587"/>
      <w:bookmarkStart w:id="118" w:name="_Toc157692032"/>
      <w:r>
        <w:rPr>
          <w:noProof/>
        </w:rPr>
        <w:t xml:space="preserve">Power generation </w:t>
      </w:r>
      <w:r w:rsidR="00A82B41" w:rsidRPr="00473B73">
        <w:rPr>
          <w:noProof/>
        </w:rPr>
        <w:t>sector</w:t>
      </w:r>
      <w:bookmarkEnd w:id="117"/>
      <w:bookmarkEnd w:id="118"/>
    </w:p>
    <w:p w14:paraId="28F09AC6" w14:textId="10BAF50F" w:rsidR="00A82B41" w:rsidRDefault="00A82B41" w:rsidP="0082262B">
      <w:pPr>
        <w:pStyle w:val="Text2"/>
        <w:rPr>
          <w:noProof/>
          <w:lang w:val="en-IE"/>
        </w:rPr>
      </w:pPr>
      <w:bookmarkStart w:id="119" w:name="_Hlk142410013"/>
      <w:r w:rsidRPr="00813DE0">
        <w:rPr>
          <w:noProof/>
          <w:lang w:val="en-IE"/>
        </w:rPr>
        <w:t xml:space="preserve">The coming decades require an increase in electricity supply due to the </w:t>
      </w:r>
      <w:r>
        <w:rPr>
          <w:noProof/>
          <w:lang w:val="en-IE"/>
        </w:rPr>
        <w:t xml:space="preserve">increasing </w:t>
      </w:r>
      <w:r w:rsidRPr="00813DE0">
        <w:rPr>
          <w:noProof/>
          <w:lang w:val="en-IE"/>
        </w:rPr>
        <w:t>electrification of the economy</w:t>
      </w:r>
      <w:bookmarkEnd w:id="119"/>
      <w:r w:rsidRPr="00813DE0">
        <w:rPr>
          <w:noProof/>
          <w:lang w:val="en-IE"/>
        </w:rPr>
        <w:t xml:space="preserve"> and the production of RFNBOs. </w:t>
      </w:r>
      <w:r w:rsidR="009B67FE">
        <w:rPr>
          <w:noProof/>
          <w:lang w:val="en-IE"/>
        </w:rPr>
        <w:t>F</w:t>
      </w:r>
      <w:r>
        <w:rPr>
          <w:noProof/>
          <w:lang w:val="en-IE"/>
        </w:rPr>
        <w:t>ossil</w:t>
      </w:r>
      <w:r w:rsidR="003152E4">
        <w:rPr>
          <w:noProof/>
          <w:lang w:val="en-IE"/>
        </w:rPr>
        <w:t xml:space="preserve"> fuel</w:t>
      </w:r>
      <w:r>
        <w:rPr>
          <w:noProof/>
          <w:lang w:val="en-IE"/>
        </w:rPr>
        <w:t>-fired</w:t>
      </w:r>
      <w:r w:rsidRPr="00813DE0">
        <w:rPr>
          <w:noProof/>
          <w:lang w:val="en-IE"/>
        </w:rPr>
        <w:t xml:space="preserve"> </w:t>
      </w:r>
      <w:r w:rsidR="001639E7">
        <w:rPr>
          <w:noProof/>
          <w:lang w:val="en-IE"/>
        </w:rPr>
        <w:t xml:space="preserve">electricity </w:t>
      </w:r>
      <w:r w:rsidRPr="00813DE0">
        <w:rPr>
          <w:noProof/>
          <w:lang w:val="en-IE"/>
        </w:rPr>
        <w:t>generation decreas</w:t>
      </w:r>
      <w:r>
        <w:rPr>
          <w:noProof/>
          <w:lang w:val="en-IE"/>
        </w:rPr>
        <w:t>e</w:t>
      </w:r>
      <w:r w:rsidR="001639E7">
        <w:rPr>
          <w:noProof/>
          <w:lang w:val="en-IE"/>
        </w:rPr>
        <w:t>s</w:t>
      </w:r>
      <w:r>
        <w:rPr>
          <w:noProof/>
          <w:lang w:val="en-IE"/>
        </w:rPr>
        <w:t xml:space="preserve"> </w:t>
      </w:r>
      <w:r w:rsidRPr="2EAD3182">
        <w:rPr>
          <w:noProof/>
          <w:lang w:val="en-IE"/>
        </w:rPr>
        <w:t>substantially</w:t>
      </w:r>
      <w:r w:rsidRPr="00813DE0">
        <w:rPr>
          <w:noProof/>
          <w:lang w:val="en-IE"/>
        </w:rPr>
        <w:t xml:space="preserve"> </w:t>
      </w:r>
      <w:r w:rsidR="009B67FE">
        <w:rPr>
          <w:noProof/>
          <w:lang w:val="en-IE"/>
        </w:rPr>
        <w:t>a</w:t>
      </w:r>
      <w:r w:rsidR="001639E7">
        <w:rPr>
          <w:noProof/>
          <w:lang w:val="en-IE"/>
        </w:rPr>
        <w:t>nd</w:t>
      </w:r>
      <w:r w:rsidR="009B67FE">
        <w:rPr>
          <w:noProof/>
          <w:lang w:val="en-IE"/>
        </w:rPr>
        <w:t xml:space="preserve"> is</w:t>
      </w:r>
      <w:r w:rsidRPr="00813DE0">
        <w:rPr>
          <w:noProof/>
          <w:lang w:val="en-IE"/>
        </w:rPr>
        <w:t xml:space="preserve"> replaced by </w:t>
      </w:r>
      <w:r w:rsidR="00D17605">
        <w:rPr>
          <w:noProof/>
          <w:lang w:val="en-IE"/>
        </w:rPr>
        <w:t xml:space="preserve">variable </w:t>
      </w:r>
      <w:r w:rsidR="009B67FE">
        <w:rPr>
          <w:noProof/>
          <w:lang w:val="en-IE"/>
        </w:rPr>
        <w:t>renewable electricity generation</w:t>
      </w:r>
      <w:r w:rsidRPr="00813DE0">
        <w:rPr>
          <w:noProof/>
          <w:lang w:val="en-IE"/>
        </w:rPr>
        <w:t>. To</w:t>
      </w:r>
      <w:r w:rsidR="003152E4">
        <w:rPr>
          <w:noProof/>
          <w:lang w:val="en-IE"/>
        </w:rPr>
        <w:t xml:space="preserve"> match variable supply and demand</w:t>
      </w:r>
      <w:r w:rsidR="007254E9">
        <w:rPr>
          <w:noProof/>
          <w:lang w:val="en-IE"/>
        </w:rPr>
        <w:t>,</w:t>
      </w:r>
      <w:r w:rsidR="003152E4">
        <w:rPr>
          <w:noProof/>
          <w:lang w:val="en-IE"/>
        </w:rPr>
        <w:t xml:space="preserve"> </w:t>
      </w:r>
      <w:r w:rsidR="007254E9">
        <w:rPr>
          <w:noProof/>
          <w:lang w:val="en-IE"/>
        </w:rPr>
        <w:t xml:space="preserve">more </w:t>
      </w:r>
      <w:r w:rsidR="003152E4">
        <w:rPr>
          <w:noProof/>
          <w:lang w:val="en-IE"/>
        </w:rPr>
        <w:t>smart solutions are needed</w:t>
      </w:r>
      <w:r w:rsidR="003152E4" w:rsidRPr="006369CF">
        <w:rPr>
          <w:noProof/>
          <w:lang w:val="en-IE"/>
        </w:rPr>
        <w:t>. T</w:t>
      </w:r>
      <w:r w:rsidRPr="006369CF">
        <w:rPr>
          <w:noProof/>
          <w:lang w:val="en-IE"/>
        </w:rPr>
        <w:t>he variability of wind and solar</w:t>
      </w:r>
      <w:r w:rsidR="003152E4" w:rsidRPr="006369CF">
        <w:rPr>
          <w:noProof/>
          <w:lang w:val="en-IE"/>
        </w:rPr>
        <w:t xml:space="preserve"> </w:t>
      </w:r>
      <w:r w:rsidR="007254E9" w:rsidRPr="006369CF">
        <w:rPr>
          <w:noProof/>
          <w:lang w:val="en-IE"/>
        </w:rPr>
        <w:t>can</w:t>
      </w:r>
      <w:r w:rsidR="003152E4" w:rsidRPr="006369CF">
        <w:rPr>
          <w:noProof/>
          <w:lang w:val="en-IE"/>
        </w:rPr>
        <w:t xml:space="preserve"> be addressed through real time pricing signals and </w:t>
      </w:r>
      <w:r w:rsidR="009B67FE" w:rsidRPr="006369CF">
        <w:rPr>
          <w:noProof/>
          <w:lang w:val="en-IE"/>
        </w:rPr>
        <w:t xml:space="preserve">flexibility </w:t>
      </w:r>
      <w:r w:rsidR="003152E4" w:rsidRPr="006369CF">
        <w:rPr>
          <w:noProof/>
          <w:lang w:val="en-IE"/>
        </w:rPr>
        <w:t>solutions on the demand side</w:t>
      </w:r>
      <w:r w:rsidR="006369CF">
        <w:rPr>
          <w:noProof/>
          <w:lang w:val="en-IE"/>
        </w:rPr>
        <w:t>.</w:t>
      </w:r>
      <w:r w:rsidR="003152E4" w:rsidRPr="006369CF">
        <w:rPr>
          <w:noProof/>
          <w:lang w:val="en-IE"/>
        </w:rPr>
        <w:t xml:space="preserve"> </w:t>
      </w:r>
      <w:r w:rsidR="006369CF">
        <w:rPr>
          <w:noProof/>
          <w:lang w:val="en-IE"/>
        </w:rPr>
        <w:t>S</w:t>
      </w:r>
      <w:r w:rsidR="003152E4" w:rsidRPr="006369CF">
        <w:rPr>
          <w:noProof/>
          <w:lang w:val="en-IE"/>
        </w:rPr>
        <w:t>ector coupling</w:t>
      </w:r>
      <w:r w:rsidRPr="006369CF">
        <w:rPr>
          <w:noProof/>
          <w:lang w:val="en-IE"/>
        </w:rPr>
        <w:t xml:space="preserve"> technologies</w:t>
      </w:r>
      <w:r w:rsidR="009B67FE" w:rsidRPr="006369CF">
        <w:rPr>
          <w:noProof/>
          <w:lang w:val="en-IE"/>
        </w:rPr>
        <w:t xml:space="preserve"> like </w:t>
      </w:r>
      <w:r w:rsidRPr="006369CF">
        <w:rPr>
          <w:noProof/>
          <w:lang w:val="en-IE"/>
        </w:rPr>
        <w:t>storage</w:t>
      </w:r>
      <w:r w:rsidR="00C0238E" w:rsidRPr="006369CF">
        <w:rPr>
          <w:noProof/>
          <w:lang w:val="en-IE"/>
        </w:rPr>
        <w:t xml:space="preserve">, interconnection and carbon free dispatchable power generation </w:t>
      </w:r>
      <w:r w:rsidR="001639E7" w:rsidRPr="006369CF">
        <w:rPr>
          <w:noProof/>
          <w:lang w:val="en-IE"/>
        </w:rPr>
        <w:t>are expected to</w:t>
      </w:r>
      <w:r w:rsidR="00C0238E" w:rsidRPr="006369CF">
        <w:rPr>
          <w:noProof/>
          <w:lang w:val="en-IE"/>
        </w:rPr>
        <w:t xml:space="preserve"> </w:t>
      </w:r>
      <w:r w:rsidRPr="006369CF">
        <w:rPr>
          <w:noProof/>
          <w:lang w:val="en-IE"/>
        </w:rPr>
        <w:t>play an increasingly important role</w:t>
      </w:r>
      <w:r w:rsidR="005B45D4" w:rsidRPr="005B45D4">
        <w:rPr>
          <w:noProof/>
          <w:lang w:val="en-IE"/>
        </w:rPr>
        <w:t> (</w:t>
      </w:r>
      <w:r w:rsidR="005B45D4">
        <w:rPr>
          <w:rStyle w:val="FootnoteReference"/>
          <w:noProof/>
          <w:lang w:val="en-IE"/>
        </w:rPr>
        <w:footnoteReference w:id="57"/>
      </w:r>
      <w:r w:rsidR="005B45D4">
        <w:rPr>
          <w:noProof/>
          <w:lang w:val="en-IE"/>
        </w:rPr>
        <w:t>)</w:t>
      </w:r>
      <w:r>
        <w:rPr>
          <w:noProof/>
          <w:lang w:val="en-IE"/>
        </w:rPr>
        <w:t>.</w:t>
      </w:r>
    </w:p>
    <w:p w14:paraId="316E6962" w14:textId="323F9862" w:rsidR="00A82B41" w:rsidRPr="00E3160B" w:rsidRDefault="00A82B41" w:rsidP="0082262B">
      <w:pPr>
        <w:pStyle w:val="Text2"/>
        <w:rPr>
          <w:noProof/>
          <w:lang w:val="en-IE"/>
        </w:rPr>
      </w:pPr>
      <w:r w:rsidRPr="003B6C22">
        <w:rPr>
          <w:noProof/>
          <w:lang w:val="en-IE"/>
        </w:rPr>
        <w:t xml:space="preserve">In the context of </w:t>
      </w:r>
      <w:r>
        <w:rPr>
          <w:noProof/>
          <w:lang w:val="en-IE"/>
        </w:rPr>
        <w:t>reducing</w:t>
      </w:r>
      <w:r w:rsidRPr="002A60FB">
        <w:rPr>
          <w:noProof/>
          <w:lang w:val="en-IE"/>
        </w:rPr>
        <w:t xml:space="preserve"> fossil fuel</w:t>
      </w:r>
      <w:r w:rsidR="001639E7">
        <w:rPr>
          <w:noProof/>
          <w:lang w:val="en-IE"/>
        </w:rPr>
        <w:t>s</w:t>
      </w:r>
      <w:r w:rsidRPr="002A60FB">
        <w:rPr>
          <w:noProof/>
          <w:lang w:val="en-IE"/>
        </w:rPr>
        <w:t xml:space="preserve"> </w:t>
      </w:r>
      <w:r>
        <w:rPr>
          <w:noProof/>
          <w:lang w:val="en-IE"/>
        </w:rPr>
        <w:t>use in favour</w:t>
      </w:r>
      <w:r w:rsidRPr="002A60FB">
        <w:rPr>
          <w:noProof/>
          <w:lang w:val="en-IE"/>
        </w:rPr>
        <w:t xml:space="preserve"> of</w:t>
      </w:r>
      <w:r>
        <w:rPr>
          <w:noProof/>
          <w:lang w:val="en-IE"/>
        </w:rPr>
        <w:t xml:space="preserve"> direct electrification of </w:t>
      </w:r>
      <w:r w:rsidR="001639E7">
        <w:rPr>
          <w:noProof/>
          <w:lang w:val="en-IE"/>
        </w:rPr>
        <w:t>end-use sectors</w:t>
      </w:r>
      <w:r w:rsidR="00C11893">
        <w:rPr>
          <w:noProof/>
          <w:lang w:val="en-IE"/>
        </w:rPr>
        <w:t>,</w:t>
      </w:r>
      <w:r>
        <w:rPr>
          <w:noProof/>
          <w:lang w:val="en-IE"/>
        </w:rPr>
        <w:t xml:space="preserve"> for instance </w:t>
      </w:r>
      <w:bookmarkStart w:id="120" w:name="_Hlk142399368"/>
      <w:r>
        <w:rPr>
          <w:noProof/>
          <w:lang w:val="en-IE"/>
        </w:rPr>
        <w:t>via the deployment of</w:t>
      </w:r>
      <w:r w:rsidRPr="001907D8">
        <w:rPr>
          <w:noProof/>
          <w:lang w:val="en-IE"/>
        </w:rPr>
        <w:t xml:space="preserve"> </w:t>
      </w:r>
      <w:r w:rsidRPr="002A60FB">
        <w:rPr>
          <w:noProof/>
          <w:lang w:val="en-IE"/>
        </w:rPr>
        <w:t>heat pumps</w:t>
      </w:r>
      <w:r>
        <w:rPr>
          <w:noProof/>
          <w:lang w:val="en-IE"/>
        </w:rPr>
        <w:t>,</w:t>
      </w:r>
      <w:r w:rsidRPr="002A60FB">
        <w:rPr>
          <w:noProof/>
          <w:lang w:val="en-IE"/>
        </w:rPr>
        <w:t xml:space="preserve"> electric vehicles</w:t>
      </w:r>
      <w:r>
        <w:rPr>
          <w:noProof/>
          <w:lang w:val="en-IE"/>
        </w:rPr>
        <w:t xml:space="preserve"> and e</w:t>
      </w:r>
      <w:r w:rsidRPr="001907D8">
        <w:rPr>
          <w:noProof/>
          <w:lang w:val="en-IE"/>
        </w:rPr>
        <w:t>lectrif</w:t>
      </w:r>
      <w:r>
        <w:rPr>
          <w:noProof/>
          <w:lang w:val="en-IE"/>
        </w:rPr>
        <w:t>ied</w:t>
      </w:r>
      <w:r w:rsidRPr="001907D8">
        <w:rPr>
          <w:noProof/>
          <w:lang w:val="en-IE"/>
        </w:rPr>
        <w:t xml:space="preserve"> low and mid-temperature </w:t>
      </w:r>
      <w:r w:rsidRPr="00A201EA">
        <w:rPr>
          <w:noProof/>
          <w:lang w:val="en-IE"/>
        </w:rPr>
        <w:t xml:space="preserve">industrial </w:t>
      </w:r>
      <w:bookmarkEnd w:id="120"/>
      <w:r w:rsidR="001639E7">
        <w:rPr>
          <w:noProof/>
          <w:lang w:val="en-IE"/>
        </w:rPr>
        <w:t>processes</w:t>
      </w:r>
      <w:r w:rsidR="00C11893">
        <w:rPr>
          <w:noProof/>
          <w:lang w:val="en-IE"/>
        </w:rPr>
        <w:t>,</w:t>
      </w:r>
      <w:r w:rsidRPr="00A201EA">
        <w:rPr>
          <w:noProof/>
          <w:lang w:val="en-IE"/>
        </w:rPr>
        <w:t xml:space="preserve"> demand for electricity increases by </w:t>
      </w:r>
      <w:r w:rsidR="004A72B0">
        <w:rPr>
          <w:noProof/>
          <w:lang w:val="en-IE"/>
        </w:rPr>
        <w:t>31-</w:t>
      </w:r>
      <w:r w:rsidR="007638B1">
        <w:rPr>
          <w:noProof/>
          <w:lang w:val="en-IE"/>
        </w:rPr>
        <w:t>34</w:t>
      </w:r>
      <w:r w:rsidRPr="00A201EA">
        <w:rPr>
          <w:noProof/>
          <w:lang w:val="en-IE"/>
        </w:rPr>
        <w:t>% between 20</w:t>
      </w:r>
      <w:r w:rsidR="00BA2CB9">
        <w:rPr>
          <w:noProof/>
          <w:lang w:val="en-IE"/>
        </w:rPr>
        <w:t>21</w:t>
      </w:r>
      <w:r w:rsidRPr="00A201EA">
        <w:rPr>
          <w:noProof/>
          <w:lang w:val="en-IE"/>
        </w:rPr>
        <w:t xml:space="preserve"> and </w:t>
      </w:r>
      <w:r w:rsidR="008B3B94" w:rsidRPr="008B3B94">
        <w:rPr>
          <w:noProof/>
          <w:lang w:val="en-IE"/>
        </w:rPr>
        <w:t>2040</w:t>
      </w:r>
      <w:r w:rsidR="004A72B0">
        <w:rPr>
          <w:noProof/>
          <w:lang w:val="en-IE"/>
        </w:rPr>
        <w:t xml:space="preserve"> in S1-S2-S</w:t>
      </w:r>
      <w:r w:rsidR="00D050F6">
        <w:rPr>
          <w:noProof/>
          <w:lang w:val="en-IE"/>
        </w:rPr>
        <w:t>3</w:t>
      </w:r>
      <w:r w:rsidR="008B3B94" w:rsidRPr="008B3B94">
        <w:rPr>
          <w:noProof/>
          <w:lang w:val="en-IE"/>
        </w:rPr>
        <w:t xml:space="preserve"> </w:t>
      </w:r>
      <w:r w:rsidRPr="00A201EA">
        <w:rPr>
          <w:noProof/>
          <w:lang w:val="en-IE"/>
        </w:rPr>
        <w:t>(</w:t>
      </w:r>
      <w:r w:rsidR="00FA3965">
        <w:rPr>
          <w:noProof/>
          <w:color w:val="2B579A"/>
          <w:shd w:val="clear" w:color="auto" w:fill="E6E6E6"/>
          <w:lang w:val="en-IE"/>
        </w:rPr>
        <w:fldChar w:fldCharType="begin"/>
      </w:r>
      <w:r w:rsidR="00FA3965">
        <w:rPr>
          <w:noProof/>
          <w:lang w:val="en-IE"/>
        </w:rPr>
        <w:instrText xml:space="preserve"> REF _Ref143249004 \h </w:instrText>
      </w:r>
      <w:r w:rsidR="00FA3965">
        <w:rPr>
          <w:noProof/>
          <w:color w:val="2B579A"/>
          <w:shd w:val="clear" w:color="auto" w:fill="E6E6E6"/>
          <w:lang w:val="en-IE"/>
        </w:rPr>
      </w:r>
      <w:r w:rsidR="00FA3965">
        <w:rPr>
          <w:noProof/>
          <w:color w:val="2B579A"/>
          <w:shd w:val="clear" w:color="auto" w:fill="E6E6E6"/>
          <w:lang w:val="en-IE"/>
        </w:rPr>
        <w:fldChar w:fldCharType="separate"/>
      </w:r>
      <w:r w:rsidR="00170A3C">
        <w:rPr>
          <w:noProof/>
        </w:rPr>
        <w:t>Figure 18</w:t>
      </w:r>
      <w:r w:rsidR="00FA3965">
        <w:rPr>
          <w:noProof/>
          <w:color w:val="2B579A"/>
          <w:shd w:val="clear" w:color="auto" w:fill="E6E6E6"/>
          <w:lang w:val="en-IE"/>
        </w:rPr>
        <w:fldChar w:fldCharType="end"/>
      </w:r>
      <w:r w:rsidRPr="00A201EA">
        <w:rPr>
          <w:noProof/>
          <w:lang w:val="en-IE"/>
        </w:rPr>
        <w:t>).</w:t>
      </w:r>
      <w:r w:rsidR="004A72B0">
        <w:rPr>
          <w:noProof/>
          <w:lang w:val="en-IE"/>
        </w:rPr>
        <w:t xml:space="preserve"> </w:t>
      </w:r>
    </w:p>
    <w:p w14:paraId="73CDAB11" w14:textId="59A5345C" w:rsidR="00A82B41" w:rsidRDefault="00A82B41" w:rsidP="00A82B41">
      <w:pPr>
        <w:pStyle w:val="Caption"/>
        <w:rPr>
          <w:noProof/>
          <w:lang w:val="en-IE"/>
        </w:rPr>
      </w:pPr>
      <w:bookmarkStart w:id="121" w:name="_Ref140006906"/>
      <w:bookmarkStart w:id="122" w:name="_Ref140241830"/>
      <w:bookmarkStart w:id="123" w:name="_Ref143249004"/>
      <w:bookmarkStart w:id="124" w:name="_Toc157679766"/>
      <w:r>
        <w:rPr>
          <w:noProof/>
        </w:rPr>
        <w:t xml:space="preserve">Figure </w:t>
      </w:r>
      <w:r>
        <w:rPr>
          <w:noProof/>
        </w:rPr>
        <w:fldChar w:fldCharType="begin"/>
      </w:r>
      <w:r>
        <w:rPr>
          <w:noProof/>
        </w:rPr>
        <w:instrText>SEQ Figure \* ARABIC</w:instrText>
      </w:r>
      <w:r>
        <w:rPr>
          <w:noProof/>
        </w:rPr>
        <w:fldChar w:fldCharType="separate"/>
      </w:r>
      <w:r w:rsidR="00170A3C">
        <w:rPr>
          <w:noProof/>
        </w:rPr>
        <w:t>18</w:t>
      </w:r>
      <w:r>
        <w:rPr>
          <w:noProof/>
        </w:rPr>
        <w:fldChar w:fldCharType="end"/>
      </w:r>
      <w:bookmarkEnd w:id="121"/>
      <w:bookmarkEnd w:id="122"/>
      <w:bookmarkEnd w:id="123"/>
      <w:r>
        <w:rPr>
          <w:noProof/>
          <w:lang w:val="en-IE"/>
        </w:rPr>
        <w:t xml:space="preserve">: Final electricity </w:t>
      </w:r>
      <w:r w:rsidR="001639E7">
        <w:rPr>
          <w:noProof/>
          <w:lang w:val="en-IE"/>
        </w:rPr>
        <w:t>consumption</w:t>
      </w:r>
      <w:r>
        <w:rPr>
          <w:noProof/>
          <w:lang w:val="en-IE"/>
        </w:rPr>
        <w:t xml:space="preserve"> by end-use sector</w:t>
      </w:r>
      <w:bookmarkEnd w:id="124"/>
    </w:p>
    <w:p w14:paraId="34289C8B" w14:textId="563ACC59" w:rsidR="00A82B41" w:rsidRDefault="00E65BFB" w:rsidP="00906859">
      <w:pPr>
        <w:keepNext/>
        <w:spacing w:line="259" w:lineRule="auto"/>
        <w:jc w:val="center"/>
        <w:rPr>
          <w:noProof/>
        </w:rPr>
      </w:pPr>
      <w:r w:rsidRPr="00E65BFB">
        <w:rPr>
          <w:noProof/>
          <w:lang w:eastAsia="en-GB"/>
        </w:rPr>
        <w:drawing>
          <wp:inline distT="0" distB="0" distL="0" distR="0" wp14:anchorId="31115E4E" wp14:editId="22CAB97E">
            <wp:extent cx="5401945" cy="251904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401945" cy="2519045"/>
                    </a:xfrm>
                    <a:prstGeom prst="rect">
                      <a:avLst/>
                    </a:prstGeom>
                    <a:noFill/>
                    <a:ln>
                      <a:noFill/>
                    </a:ln>
                  </pic:spPr>
                </pic:pic>
              </a:graphicData>
            </a:graphic>
          </wp:inline>
        </w:drawing>
      </w:r>
    </w:p>
    <w:p w14:paraId="150A5398" w14:textId="44E6A9B9" w:rsidR="00A82B41" w:rsidRPr="00A277BB" w:rsidRDefault="00A82B41" w:rsidP="00951BEB">
      <w:pPr>
        <w:pStyle w:val="CT-NOTE"/>
        <w:rPr>
          <w:i w:val="0"/>
          <w:noProof/>
        </w:rPr>
      </w:pPr>
      <w:r w:rsidRPr="00A277BB">
        <w:rPr>
          <w:noProof/>
        </w:rPr>
        <w:t xml:space="preserve">Note: Total electricity consumption consists of final electricity </w:t>
      </w:r>
      <w:r w:rsidR="001639E7">
        <w:rPr>
          <w:i w:val="0"/>
          <w:noProof/>
        </w:rPr>
        <w:t>consumption from end-use sectors</w:t>
      </w:r>
      <w:r w:rsidR="00BA594B" w:rsidRPr="00A277BB">
        <w:rPr>
          <w:i w:val="0"/>
          <w:noProof/>
        </w:rPr>
        <w:t xml:space="preserve"> (hereby shown)</w:t>
      </w:r>
      <w:r w:rsidRPr="00A277BB">
        <w:rPr>
          <w:i w:val="0"/>
          <w:noProof/>
        </w:rPr>
        <w:t>, own consumption of the energy sector, RFNBO</w:t>
      </w:r>
      <w:r w:rsidR="00BA594B" w:rsidRPr="00A277BB">
        <w:rPr>
          <w:i w:val="0"/>
          <w:noProof/>
        </w:rPr>
        <w:t>s</w:t>
      </w:r>
      <w:r w:rsidRPr="00A277BB">
        <w:rPr>
          <w:i w:val="0"/>
          <w:noProof/>
        </w:rPr>
        <w:t xml:space="preserve"> production and transmission/distribution losses.</w:t>
      </w:r>
    </w:p>
    <w:p w14:paraId="58D5D09A" w14:textId="77777777" w:rsidR="59368F5B" w:rsidRPr="00A277BB" w:rsidRDefault="59368F5B" w:rsidP="00951BEB">
      <w:pPr>
        <w:pStyle w:val="CT-SOURCE"/>
        <w:rPr>
          <w:b/>
          <w:i w:val="0"/>
          <w:noProof/>
        </w:rPr>
      </w:pPr>
      <w:r w:rsidRPr="0058173F">
        <w:rPr>
          <w:noProof/>
        </w:rPr>
        <w:t>Source: PRIMES.</w:t>
      </w:r>
    </w:p>
    <w:p w14:paraId="384D2DB1" w14:textId="581D87BE" w:rsidR="00831DA9" w:rsidRDefault="00A82B41" w:rsidP="0082262B">
      <w:pPr>
        <w:pStyle w:val="Text2"/>
        <w:rPr>
          <w:noProof/>
          <w:lang w:val="en-IE"/>
        </w:rPr>
      </w:pPr>
      <w:r>
        <w:rPr>
          <w:noProof/>
          <w:lang w:val="en-IE"/>
        </w:rPr>
        <w:t>A</w:t>
      </w:r>
      <w:r w:rsidRPr="002A60FB">
        <w:rPr>
          <w:noProof/>
          <w:lang w:val="en-IE"/>
        </w:rPr>
        <w:t>s shown in</w:t>
      </w:r>
      <w:r>
        <w:rPr>
          <w:noProof/>
          <w:lang w:val="en-IE"/>
        </w:rPr>
        <w:t xml:space="preserve"> </w:t>
      </w:r>
      <w:r>
        <w:rPr>
          <w:noProof/>
          <w:lang w:val="en-IE"/>
        </w:rPr>
        <w:fldChar w:fldCharType="begin"/>
      </w:r>
      <w:r>
        <w:rPr>
          <w:noProof/>
          <w:lang w:val="en-IE"/>
        </w:rPr>
        <w:instrText xml:space="preserve"> REF _Ref140006906 \h </w:instrText>
      </w:r>
      <w:r>
        <w:rPr>
          <w:noProof/>
          <w:lang w:val="en-IE"/>
        </w:rPr>
      </w:r>
      <w:r>
        <w:rPr>
          <w:noProof/>
          <w:lang w:val="en-IE"/>
        </w:rPr>
        <w:fldChar w:fldCharType="separate"/>
      </w:r>
      <w:r w:rsidR="00170A3C">
        <w:rPr>
          <w:noProof/>
        </w:rPr>
        <w:t>Figure 18</w:t>
      </w:r>
      <w:r>
        <w:rPr>
          <w:noProof/>
          <w:lang w:val="en-IE"/>
        </w:rPr>
        <w:fldChar w:fldCharType="end"/>
      </w:r>
      <w:r>
        <w:rPr>
          <w:noProof/>
          <w:lang w:val="en-IE"/>
        </w:rPr>
        <w:t>, e</w:t>
      </w:r>
      <w:r w:rsidRPr="002A60FB">
        <w:rPr>
          <w:noProof/>
          <w:lang w:val="en-IE"/>
        </w:rPr>
        <w:t>lectrification</w:t>
      </w:r>
      <w:r>
        <w:rPr>
          <w:noProof/>
          <w:lang w:val="en-IE"/>
        </w:rPr>
        <w:t xml:space="preserve"> of the economy</w:t>
      </w:r>
      <w:r w:rsidRPr="002A60FB">
        <w:rPr>
          <w:noProof/>
          <w:lang w:val="en-IE"/>
        </w:rPr>
        <w:t xml:space="preserve"> </w:t>
      </w:r>
      <w:r w:rsidR="005350A4">
        <w:rPr>
          <w:noProof/>
          <w:lang w:val="en-IE"/>
        </w:rPr>
        <w:t>drives</w:t>
      </w:r>
      <w:r>
        <w:rPr>
          <w:noProof/>
          <w:lang w:val="en-IE"/>
        </w:rPr>
        <w:t xml:space="preserve"> final</w:t>
      </w:r>
      <w:r w:rsidRPr="002A60FB">
        <w:rPr>
          <w:noProof/>
          <w:lang w:val="en-IE"/>
        </w:rPr>
        <w:t xml:space="preserve"> </w:t>
      </w:r>
      <w:r>
        <w:rPr>
          <w:noProof/>
          <w:lang w:val="en-IE"/>
        </w:rPr>
        <w:t>electricity</w:t>
      </w:r>
      <w:r w:rsidRPr="002A60FB">
        <w:rPr>
          <w:noProof/>
          <w:lang w:val="en-IE"/>
        </w:rPr>
        <w:t xml:space="preserve"> demand in the transport,</w:t>
      </w:r>
      <w:r>
        <w:rPr>
          <w:noProof/>
          <w:lang w:val="en-IE"/>
        </w:rPr>
        <w:t xml:space="preserve"> services </w:t>
      </w:r>
      <w:r w:rsidDel="008E769E">
        <w:rPr>
          <w:noProof/>
          <w:lang w:val="en-IE"/>
        </w:rPr>
        <w:t>&amp;</w:t>
      </w:r>
      <w:r>
        <w:rPr>
          <w:noProof/>
          <w:lang w:val="en-IE"/>
        </w:rPr>
        <w:t xml:space="preserve"> agriculture,</w:t>
      </w:r>
      <w:r w:rsidRPr="002A60FB">
        <w:rPr>
          <w:noProof/>
          <w:lang w:val="en-IE"/>
        </w:rPr>
        <w:t xml:space="preserve"> industry and residential sectors. </w:t>
      </w:r>
      <w:bookmarkStart w:id="125" w:name="_Hlk142410056"/>
      <w:r>
        <w:rPr>
          <w:noProof/>
          <w:lang w:val="en-IE"/>
        </w:rPr>
        <w:t>Total final demand increases from 2</w:t>
      </w:r>
      <w:r w:rsidR="008B3B94" w:rsidRPr="008B3B94">
        <w:rPr>
          <w:noProof/>
          <w:lang w:val="en-IE"/>
        </w:rPr>
        <w:t xml:space="preserve"> </w:t>
      </w:r>
      <w:r>
        <w:rPr>
          <w:noProof/>
          <w:lang w:val="en-IE"/>
        </w:rPr>
        <w:t>4</w:t>
      </w:r>
      <w:r w:rsidR="00D75C24">
        <w:rPr>
          <w:noProof/>
          <w:lang w:val="en-IE"/>
        </w:rPr>
        <w:t>8</w:t>
      </w:r>
      <w:r w:rsidR="0829B53A">
        <w:rPr>
          <w:noProof/>
          <w:lang w:val="en-IE"/>
        </w:rPr>
        <w:t>5</w:t>
      </w:r>
      <w:r>
        <w:rPr>
          <w:noProof/>
          <w:lang w:val="en-IE"/>
        </w:rPr>
        <w:t xml:space="preserve"> TWh in 20</w:t>
      </w:r>
      <w:r w:rsidR="00D75C24">
        <w:rPr>
          <w:noProof/>
          <w:lang w:val="en-IE"/>
        </w:rPr>
        <w:t>21</w:t>
      </w:r>
      <w:r>
        <w:rPr>
          <w:noProof/>
          <w:lang w:val="en-IE"/>
        </w:rPr>
        <w:t xml:space="preserve"> to </w:t>
      </w:r>
      <w:r w:rsidR="008B3B94" w:rsidRPr="008B3B94">
        <w:rPr>
          <w:noProof/>
          <w:lang w:val="en-IE"/>
        </w:rPr>
        <w:t xml:space="preserve">2 </w:t>
      </w:r>
      <w:r w:rsidR="003F6D30">
        <w:rPr>
          <w:noProof/>
          <w:lang w:val="en-IE"/>
        </w:rPr>
        <w:t>8</w:t>
      </w:r>
      <w:r w:rsidR="00221726">
        <w:rPr>
          <w:noProof/>
          <w:lang w:val="en-IE"/>
        </w:rPr>
        <w:t>10</w:t>
      </w:r>
      <w:r w:rsidR="008B3B94" w:rsidRPr="008B3B94">
        <w:rPr>
          <w:noProof/>
          <w:lang w:val="en-IE"/>
        </w:rPr>
        <w:t xml:space="preserve"> TWh in 2030 and </w:t>
      </w:r>
      <w:r w:rsidR="00221726">
        <w:rPr>
          <w:noProof/>
          <w:lang w:val="en-IE"/>
        </w:rPr>
        <w:t>to</w:t>
      </w:r>
      <w:r w:rsidR="008B3B94" w:rsidRPr="008B3B94">
        <w:rPr>
          <w:noProof/>
          <w:lang w:val="en-IE"/>
        </w:rPr>
        <w:t xml:space="preserve"> </w:t>
      </w:r>
      <w:r w:rsidR="004A72B0">
        <w:rPr>
          <w:noProof/>
          <w:lang w:val="en-IE"/>
        </w:rPr>
        <w:t>3</w:t>
      </w:r>
      <w:r w:rsidR="002B6D1A">
        <w:rPr>
          <w:noProof/>
          <w:lang w:val="en-IE"/>
        </w:rPr>
        <w:t xml:space="preserve"> </w:t>
      </w:r>
      <w:r w:rsidR="004A72B0">
        <w:rPr>
          <w:noProof/>
          <w:lang w:val="en-IE"/>
        </w:rPr>
        <w:t>2</w:t>
      </w:r>
      <w:r w:rsidR="00221726">
        <w:rPr>
          <w:noProof/>
          <w:lang w:val="en-IE"/>
        </w:rPr>
        <w:t>55</w:t>
      </w:r>
      <w:r w:rsidR="004A72B0">
        <w:rPr>
          <w:noProof/>
          <w:lang w:val="en-IE"/>
        </w:rPr>
        <w:t>-</w:t>
      </w:r>
      <w:r>
        <w:rPr>
          <w:noProof/>
          <w:lang w:val="en-IE"/>
        </w:rPr>
        <w:t>3</w:t>
      </w:r>
      <w:r w:rsidR="008B3B94" w:rsidRPr="008B3B94">
        <w:rPr>
          <w:noProof/>
          <w:lang w:val="en-IE"/>
        </w:rPr>
        <w:t xml:space="preserve"> </w:t>
      </w:r>
      <w:r>
        <w:rPr>
          <w:noProof/>
          <w:lang w:val="en-IE"/>
        </w:rPr>
        <w:t>3</w:t>
      </w:r>
      <w:r w:rsidR="00221726">
        <w:rPr>
          <w:noProof/>
          <w:lang w:val="en-IE"/>
        </w:rPr>
        <w:t>4</w:t>
      </w:r>
      <w:r w:rsidR="5BE3B23C">
        <w:rPr>
          <w:noProof/>
          <w:lang w:val="en-IE"/>
        </w:rPr>
        <w:t>0</w:t>
      </w:r>
      <w:r>
        <w:rPr>
          <w:noProof/>
          <w:lang w:val="en-IE"/>
        </w:rPr>
        <w:t xml:space="preserve"> TWh in</w:t>
      </w:r>
      <w:r w:rsidR="004A72B0">
        <w:rPr>
          <w:noProof/>
          <w:lang w:val="en-IE"/>
        </w:rPr>
        <w:t xml:space="preserve"> S1-S2-S3 in</w:t>
      </w:r>
      <w:r>
        <w:rPr>
          <w:noProof/>
          <w:lang w:val="en-IE"/>
        </w:rPr>
        <w:t xml:space="preserve"> 2040.</w:t>
      </w:r>
      <w:r w:rsidR="004A72B0" w:rsidRPr="004A72B0">
        <w:rPr>
          <w:noProof/>
          <w:lang w:val="en-IE"/>
        </w:rPr>
        <w:t xml:space="preserve"> </w:t>
      </w:r>
      <w:r w:rsidR="004A72B0">
        <w:rPr>
          <w:noProof/>
          <w:lang w:val="en-IE"/>
        </w:rPr>
        <w:t xml:space="preserve">Measures following </w:t>
      </w:r>
      <w:r w:rsidR="00B669A2">
        <w:rPr>
          <w:noProof/>
          <w:lang w:val="en-IE"/>
        </w:rPr>
        <w:t>LIFE</w:t>
      </w:r>
      <w:r w:rsidR="004A72B0">
        <w:rPr>
          <w:noProof/>
          <w:lang w:val="en-IE"/>
        </w:rPr>
        <w:t xml:space="preserve"> are projected to reduce electricity demand by 1</w:t>
      </w:r>
      <w:r w:rsidR="00221726">
        <w:rPr>
          <w:noProof/>
          <w:lang w:val="en-IE"/>
        </w:rPr>
        <w:t>1</w:t>
      </w:r>
      <w:r w:rsidR="004A72B0">
        <w:rPr>
          <w:noProof/>
          <w:lang w:val="en-IE"/>
        </w:rPr>
        <w:t>0 TWh.</w:t>
      </w:r>
    </w:p>
    <w:p w14:paraId="0229B6D6" w14:textId="5061D704" w:rsidR="00831DA9" w:rsidRDefault="00A82B41" w:rsidP="00831DA9">
      <w:pPr>
        <w:pStyle w:val="Text2"/>
        <w:rPr>
          <w:noProof/>
          <w:lang w:val="en-IE"/>
        </w:rPr>
      </w:pPr>
      <w:r>
        <w:rPr>
          <w:noProof/>
          <w:lang w:val="en-IE"/>
        </w:rPr>
        <w:t xml:space="preserve">In </w:t>
      </w:r>
      <w:r w:rsidR="00831DA9">
        <w:rPr>
          <w:noProof/>
          <w:lang w:val="en-IE"/>
        </w:rPr>
        <w:t xml:space="preserve">the residential sector, overall electricity demand will increase by </w:t>
      </w:r>
      <w:r w:rsidR="004A72B0">
        <w:rPr>
          <w:noProof/>
          <w:lang w:val="en-IE"/>
        </w:rPr>
        <w:t>23-</w:t>
      </w:r>
      <w:r w:rsidR="00D75C24">
        <w:rPr>
          <w:noProof/>
          <w:lang w:val="en-IE"/>
        </w:rPr>
        <w:t>25</w:t>
      </w:r>
      <w:r w:rsidR="00831DA9" w:rsidRPr="52FC9CAC">
        <w:rPr>
          <w:noProof/>
          <w:lang w:val="en-IE"/>
        </w:rPr>
        <w:t>%</w:t>
      </w:r>
      <w:r w:rsidR="00831DA9" w:rsidRPr="1BB00D57">
        <w:rPr>
          <w:noProof/>
          <w:lang w:val="en-IE"/>
        </w:rPr>
        <w:t xml:space="preserve"> </w:t>
      </w:r>
      <w:r w:rsidR="00831DA9">
        <w:rPr>
          <w:noProof/>
          <w:lang w:val="en-IE"/>
        </w:rPr>
        <w:t>between 20</w:t>
      </w:r>
      <w:r w:rsidR="00D75C24">
        <w:rPr>
          <w:noProof/>
          <w:lang w:val="en-IE"/>
        </w:rPr>
        <w:t>21</w:t>
      </w:r>
      <w:r w:rsidR="00831DA9">
        <w:rPr>
          <w:noProof/>
          <w:lang w:val="en-IE"/>
        </w:rPr>
        <w:t xml:space="preserve"> and 2040 due to an increased uptake of heat pumps replacing oil and gas-based heating systems </w:t>
      </w:r>
      <w:r w:rsidR="00831DA9" w:rsidRPr="29AF92B8">
        <w:rPr>
          <w:noProof/>
          <w:lang w:val="en-IE"/>
        </w:rPr>
        <w:t>(</w:t>
      </w:r>
      <w:r w:rsidR="00831DA9">
        <w:rPr>
          <w:noProof/>
          <w:lang w:val="en-IE"/>
        </w:rPr>
        <w:t xml:space="preserve">see </w:t>
      </w:r>
      <w:r w:rsidR="00831DA9" w:rsidRPr="00834744">
        <w:rPr>
          <w:noProof/>
          <w:lang w:val="en-IE"/>
        </w:rPr>
        <w:t>Section</w:t>
      </w:r>
      <w:r w:rsidR="00831DA9">
        <w:rPr>
          <w:noProof/>
          <w:lang w:val="en-IE"/>
        </w:rPr>
        <w:t xml:space="preserve"> </w:t>
      </w:r>
      <w:r w:rsidR="004275F8" w:rsidRPr="00834744">
        <w:rPr>
          <w:noProof/>
          <w:lang w:val="en-IE"/>
        </w:rPr>
        <w:fldChar w:fldCharType="begin"/>
      </w:r>
      <w:r w:rsidR="004275F8" w:rsidRPr="00834744">
        <w:rPr>
          <w:noProof/>
          <w:lang w:val="en-IE"/>
        </w:rPr>
        <w:instrText xml:space="preserve"> REF _Ref143329331 \n \h </w:instrText>
      </w:r>
      <w:r w:rsidR="00834744">
        <w:rPr>
          <w:noProof/>
          <w:lang w:val="en-IE"/>
        </w:rPr>
        <w:instrText xml:space="preserve"> \* MERGEFORMAT </w:instrText>
      </w:r>
      <w:r w:rsidR="004275F8" w:rsidRPr="00834744">
        <w:rPr>
          <w:noProof/>
          <w:lang w:val="en-IE"/>
        </w:rPr>
      </w:r>
      <w:r w:rsidR="004275F8" w:rsidRPr="00834744">
        <w:rPr>
          <w:noProof/>
          <w:lang w:val="en-IE"/>
        </w:rPr>
        <w:fldChar w:fldCharType="separate"/>
      </w:r>
      <w:r w:rsidR="00170A3C">
        <w:rPr>
          <w:noProof/>
          <w:lang w:val="en-IE"/>
        </w:rPr>
        <w:t>1.3.3</w:t>
      </w:r>
      <w:r w:rsidR="004275F8" w:rsidRPr="00834744">
        <w:rPr>
          <w:noProof/>
          <w:lang w:val="en-IE"/>
        </w:rPr>
        <w:fldChar w:fldCharType="end"/>
      </w:r>
      <w:r w:rsidR="00831DA9" w:rsidRPr="00834744">
        <w:rPr>
          <w:noProof/>
          <w:lang w:val="en-IE"/>
        </w:rPr>
        <w:t>).</w:t>
      </w:r>
      <w:r w:rsidR="00831DA9">
        <w:rPr>
          <w:noProof/>
          <w:lang w:val="en-IE"/>
        </w:rPr>
        <w:t xml:space="preserve"> Due to the high efficiency of heat pumps, the overall increase of electricity demand is lower than the energy savings resulting from phasing out gas and oil boilers.</w:t>
      </w:r>
      <w:r w:rsidR="00831DA9" w:rsidRPr="3EC4CB47">
        <w:rPr>
          <w:noProof/>
          <w:lang w:val="en-IE"/>
        </w:rPr>
        <w:t xml:space="preserve"> There are only minor differences between the scenarios, with S1 reaching 920 TWh and S3 reaching 93</w:t>
      </w:r>
      <w:r w:rsidR="00D75C24">
        <w:rPr>
          <w:noProof/>
          <w:lang w:val="en-IE"/>
        </w:rPr>
        <w:t>5</w:t>
      </w:r>
      <w:r w:rsidR="00831DA9" w:rsidRPr="3EC4CB47">
        <w:rPr>
          <w:noProof/>
          <w:lang w:val="en-IE"/>
        </w:rPr>
        <w:t xml:space="preserve"> TWh.</w:t>
      </w:r>
    </w:p>
    <w:p w14:paraId="3BB21564" w14:textId="31C74BD4" w:rsidR="009C099C" w:rsidRDefault="009C099C" w:rsidP="009C099C">
      <w:pPr>
        <w:pStyle w:val="Text2"/>
        <w:rPr>
          <w:noProof/>
          <w:lang w:val="en-IE"/>
        </w:rPr>
      </w:pPr>
      <w:r>
        <w:rPr>
          <w:noProof/>
          <w:lang w:val="en-IE"/>
        </w:rPr>
        <w:t xml:space="preserve">Industry, agriculture and services show a similar picture. In those sectors, the share of electricity in </w:t>
      </w:r>
      <w:r w:rsidRPr="00DD6779">
        <w:rPr>
          <w:noProof/>
          <w:lang w:val="en-IE"/>
        </w:rPr>
        <w:t xml:space="preserve">the </w:t>
      </w:r>
      <w:r>
        <w:rPr>
          <w:noProof/>
          <w:lang w:val="en-IE"/>
        </w:rPr>
        <w:t xml:space="preserve">final energy demand </w:t>
      </w:r>
      <w:r w:rsidRPr="00DD6779">
        <w:rPr>
          <w:noProof/>
          <w:lang w:val="en-IE"/>
        </w:rPr>
        <w:t>is rising sharply</w:t>
      </w:r>
      <w:r>
        <w:rPr>
          <w:noProof/>
          <w:lang w:val="en-IE"/>
        </w:rPr>
        <w:t xml:space="preserve"> due to the slight increase in electricity demand and the overall drop of final energy consumption. A</w:t>
      </w:r>
      <w:r w:rsidRPr="0018213B">
        <w:rPr>
          <w:noProof/>
          <w:lang w:val="en-IE"/>
        </w:rPr>
        <w:t xml:space="preserve">s </w:t>
      </w:r>
      <w:r>
        <w:rPr>
          <w:noProof/>
          <w:lang w:val="en-IE"/>
        </w:rPr>
        <w:t>a</w:t>
      </w:r>
      <w:r w:rsidRPr="0018213B">
        <w:rPr>
          <w:noProof/>
          <w:lang w:val="en-IE"/>
        </w:rPr>
        <w:t xml:space="preserve"> result of the interplay of electrification and energy efficiency</w:t>
      </w:r>
      <w:r>
        <w:rPr>
          <w:noProof/>
          <w:lang w:val="en-IE"/>
        </w:rPr>
        <w:t>,</w:t>
      </w:r>
      <w:r w:rsidRPr="00B652C4">
        <w:rPr>
          <w:noProof/>
          <w:lang w:val="en-IE"/>
        </w:rPr>
        <w:t xml:space="preserve"> electricity demand </w:t>
      </w:r>
      <w:r>
        <w:rPr>
          <w:noProof/>
          <w:lang w:val="en-IE"/>
        </w:rPr>
        <w:t>i</w:t>
      </w:r>
      <w:r w:rsidRPr="00B652C4">
        <w:rPr>
          <w:noProof/>
          <w:lang w:val="en-IE"/>
        </w:rPr>
        <w:t xml:space="preserve">n </w:t>
      </w:r>
      <w:r>
        <w:rPr>
          <w:noProof/>
          <w:lang w:val="en-IE"/>
        </w:rPr>
        <w:t>these</w:t>
      </w:r>
      <w:r w:rsidRPr="00B652C4">
        <w:rPr>
          <w:noProof/>
          <w:lang w:val="en-IE"/>
        </w:rPr>
        <w:t xml:space="preserve"> sector</w:t>
      </w:r>
      <w:r>
        <w:rPr>
          <w:noProof/>
          <w:lang w:val="en-IE"/>
        </w:rPr>
        <w:t>s</w:t>
      </w:r>
      <w:r w:rsidRPr="00B652C4">
        <w:rPr>
          <w:noProof/>
          <w:lang w:val="en-IE"/>
        </w:rPr>
        <w:t xml:space="preserve"> </w:t>
      </w:r>
      <w:r>
        <w:rPr>
          <w:noProof/>
          <w:lang w:val="en-IE"/>
        </w:rPr>
        <w:t>increases by</w:t>
      </w:r>
      <w:r w:rsidRPr="00B652C4">
        <w:rPr>
          <w:noProof/>
          <w:lang w:val="en-IE"/>
        </w:rPr>
        <w:t xml:space="preserve"> </w:t>
      </w:r>
      <w:r w:rsidRPr="14826C5C">
        <w:rPr>
          <w:noProof/>
          <w:lang w:val="en-IE"/>
        </w:rPr>
        <w:t>1</w:t>
      </w:r>
      <w:r w:rsidR="00AD32BE">
        <w:rPr>
          <w:noProof/>
          <w:lang w:val="en-IE"/>
        </w:rPr>
        <w:t>2</w:t>
      </w:r>
      <w:r w:rsidRPr="14826C5C">
        <w:rPr>
          <w:noProof/>
          <w:lang w:val="en-IE"/>
        </w:rPr>
        <w:t xml:space="preserve">% (industry) and </w:t>
      </w:r>
      <w:r w:rsidR="00AD32BE">
        <w:rPr>
          <w:noProof/>
          <w:lang w:val="en-IE"/>
        </w:rPr>
        <w:t>15</w:t>
      </w:r>
      <w:r w:rsidRPr="14826C5C">
        <w:rPr>
          <w:noProof/>
          <w:lang w:val="en-IE"/>
        </w:rPr>
        <w:t>% (services and agriculture)</w:t>
      </w:r>
      <w:r w:rsidRPr="5C7014AF">
        <w:rPr>
          <w:noProof/>
          <w:lang w:val="en-IE"/>
        </w:rPr>
        <w:t xml:space="preserve"> </w:t>
      </w:r>
      <w:r w:rsidRPr="00B652C4">
        <w:rPr>
          <w:noProof/>
          <w:lang w:val="en-IE"/>
        </w:rPr>
        <w:t>between 20</w:t>
      </w:r>
      <w:r w:rsidR="00D75C24">
        <w:rPr>
          <w:noProof/>
          <w:lang w:val="en-IE"/>
        </w:rPr>
        <w:t>21</w:t>
      </w:r>
      <w:r w:rsidRPr="00B652C4">
        <w:rPr>
          <w:noProof/>
          <w:lang w:val="en-IE"/>
        </w:rPr>
        <w:t xml:space="preserve"> and</w:t>
      </w:r>
      <w:r>
        <w:rPr>
          <w:noProof/>
          <w:lang w:val="en-IE"/>
        </w:rPr>
        <w:t xml:space="preserve"> </w:t>
      </w:r>
      <w:r w:rsidRPr="00B652C4">
        <w:rPr>
          <w:noProof/>
          <w:lang w:val="en-IE"/>
        </w:rPr>
        <w:t>20</w:t>
      </w:r>
      <w:r>
        <w:rPr>
          <w:noProof/>
          <w:lang w:val="en-IE"/>
        </w:rPr>
        <w:t>4</w:t>
      </w:r>
      <w:r w:rsidRPr="00B652C4">
        <w:rPr>
          <w:noProof/>
          <w:lang w:val="en-IE"/>
        </w:rPr>
        <w:t>0</w:t>
      </w:r>
      <w:r>
        <w:rPr>
          <w:noProof/>
          <w:lang w:val="en-IE"/>
        </w:rPr>
        <w:t xml:space="preserve"> </w:t>
      </w:r>
      <w:r w:rsidRPr="3EC4CB47">
        <w:rPr>
          <w:noProof/>
          <w:lang w:val="en-IE"/>
        </w:rPr>
        <w:t xml:space="preserve">(S2). </w:t>
      </w:r>
      <w:r w:rsidR="0090299E" w:rsidRPr="00C867DD">
        <w:rPr>
          <w:noProof/>
          <w:lang w:val="en-IE"/>
        </w:rPr>
        <w:t xml:space="preserve">See sections </w:t>
      </w:r>
      <w:r w:rsidR="004275F8" w:rsidRPr="00C867DD">
        <w:rPr>
          <w:noProof/>
          <w:lang w:val="en-IE"/>
        </w:rPr>
        <w:fldChar w:fldCharType="begin"/>
      </w:r>
      <w:r w:rsidR="004275F8" w:rsidRPr="00367F6C">
        <w:rPr>
          <w:noProof/>
          <w:highlight w:val="yellow"/>
          <w:lang w:val="en-IE"/>
        </w:rPr>
        <w:instrText xml:space="preserve"> REF _Ref143329331 \n \h </w:instrText>
      </w:r>
      <w:r w:rsidR="00367F6C">
        <w:rPr>
          <w:noProof/>
          <w:highlight w:val="yellow"/>
          <w:lang w:val="en-IE"/>
        </w:rPr>
        <w:instrText xml:space="preserve"> \* MERGEFORMAT </w:instrText>
      </w:r>
      <w:r w:rsidR="004275F8" w:rsidRPr="00C867DD">
        <w:rPr>
          <w:noProof/>
          <w:lang w:val="en-IE"/>
        </w:rPr>
      </w:r>
      <w:r w:rsidR="004275F8" w:rsidRPr="00C867DD">
        <w:rPr>
          <w:noProof/>
          <w:lang w:val="en-IE"/>
        </w:rPr>
        <w:fldChar w:fldCharType="separate"/>
      </w:r>
      <w:r w:rsidR="00170A3C" w:rsidRPr="00170A3C">
        <w:rPr>
          <w:noProof/>
          <w:lang w:val="en-IE"/>
        </w:rPr>
        <w:t>1.3.3</w:t>
      </w:r>
      <w:r w:rsidR="004275F8" w:rsidRPr="00C867DD">
        <w:rPr>
          <w:noProof/>
          <w:lang w:val="en-IE"/>
        </w:rPr>
        <w:fldChar w:fldCharType="end"/>
      </w:r>
      <w:r w:rsidR="004275F8" w:rsidRPr="00C867DD">
        <w:rPr>
          <w:noProof/>
          <w:lang w:val="en-IE"/>
        </w:rPr>
        <w:t xml:space="preserve"> and 1.</w:t>
      </w:r>
      <w:r w:rsidR="007656BA">
        <w:rPr>
          <w:noProof/>
          <w:lang w:val="en-IE"/>
        </w:rPr>
        <w:t>3</w:t>
      </w:r>
      <w:r w:rsidR="004275F8" w:rsidRPr="00C867DD">
        <w:rPr>
          <w:noProof/>
          <w:lang w:val="en-IE"/>
        </w:rPr>
        <w:t>.4</w:t>
      </w:r>
      <w:r w:rsidR="004275F8">
        <w:rPr>
          <w:noProof/>
          <w:lang w:val="en-IE"/>
        </w:rPr>
        <w:t xml:space="preserve"> for more details.</w:t>
      </w:r>
    </w:p>
    <w:p w14:paraId="4835B28E" w14:textId="478A6267" w:rsidR="00A82B41" w:rsidRDefault="009C099C" w:rsidP="0082262B">
      <w:pPr>
        <w:pStyle w:val="Text2"/>
        <w:rPr>
          <w:noProof/>
          <w:lang w:val="en-IE"/>
        </w:rPr>
      </w:pPr>
      <w:r>
        <w:rPr>
          <w:noProof/>
          <w:lang w:val="en-IE"/>
        </w:rPr>
        <w:t>T</w:t>
      </w:r>
      <w:r w:rsidR="00A82B41">
        <w:rPr>
          <w:noProof/>
          <w:lang w:val="en-IE"/>
        </w:rPr>
        <w:t>he transport sector undergoes the strongest growth in final electricity consumption between 20</w:t>
      </w:r>
      <w:r w:rsidR="00AD32BE">
        <w:rPr>
          <w:noProof/>
          <w:lang w:val="en-IE"/>
        </w:rPr>
        <w:t>21</w:t>
      </w:r>
      <w:r w:rsidR="00A82B41">
        <w:rPr>
          <w:noProof/>
          <w:lang w:val="en-IE"/>
        </w:rPr>
        <w:t xml:space="preserve"> and 2040</w:t>
      </w:r>
      <w:bookmarkEnd w:id="125"/>
      <w:r w:rsidR="00351AEA">
        <w:rPr>
          <w:noProof/>
          <w:lang w:val="en-IE"/>
        </w:rPr>
        <w:t>, attributed to the large development</w:t>
      </w:r>
      <w:r w:rsidR="00A82B41" w:rsidRPr="00DD6B71">
        <w:rPr>
          <w:noProof/>
          <w:lang w:val="en-IE"/>
        </w:rPr>
        <w:t xml:space="preserve"> of </w:t>
      </w:r>
      <w:r w:rsidR="00A82B41">
        <w:rPr>
          <w:noProof/>
          <w:lang w:val="en-IE"/>
        </w:rPr>
        <w:t xml:space="preserve">electric </w:t>
      </w:r>
      <w:r w:rsidR="00351AEA">
        <w:rPr>
          <w:noProof/>
          <w:lang w:val="en-IE"/>
        </w:rPr>
        <w:t>transport</w:t>
      </w:r>
      <w:r w:rsidR="00383DD5">
        <w:rPr>
          <w:noProof/>
          <w:lang w:val="en-IE"/>
        </w:rPr>
        <w:t xml:space="preserve"> </w:t>
      </w:r>
      <w:r w:rsidR="00383DD5" w:rsidRPr="29AF92B8">
        <w:rPr>
          <w:noProof/>
          <w:lang w:val="en-IE"/>
        </w:rPr>
        <w:t>(</w:t>
      </w:r>
      <w:r w:rsidR="00383DD5">
        <w:rPr>
          <w:noProof/>
          <w:lang w:val="en-IE"/>
        </w:rPr>
        <w:t xml:space="preserve">see Section </w:t>
      </w:r>
      <w:r w:rsidR="00383DD5">
        <w:rPr>
          <w:noProof/>
          <w:lang w:val="en-IE"/>
        </w:rPr>
        <w:fldChar w:fldCharType="begin"/>
      </w:r>
      <w:r w:rsidR="00383DD5">
        <w:rPr>
          <w:noProof/>
          <w:lang w:val="en-IE"/>
        </w:rPr>
        <w:instrText xml:space="preserve"> REF _Ref143328889 \n \h </w:instrText>
      </w:r>
      <w:r w:rsidR="00383DD5">
        <w:rPr>
          <w:noProof/>
          <w:lang w:val="en-IE"/>
        </w:rPr>
      </w:r>
      <w:r w:rsidR="00383DD5">
        <w:rPr>
          <w:noProof/>
          <w:lang w:val="en-IE"/>
        </w:rPr>
        <w:fldChar w:fldCharType="separate"/>
      </w:r>
      <w:r w:rsidR="00170A3C">
        <w:rPr>
          <w:noProof/>
          <w:lang w:val="en-IE"/>
        </w:rPr>
        <w:t>1.5.3</w:t>
      </w:r>
      <w:r w:rsidR="00383DD5">
        <w:rPr>
          <w:noProof/>
          <w:lang w:val="en-IE"/>
        </w:rPr>
        <w:fldChar w:fldCharType="end"/>
      </w:r>
      <w:r w:rsidR="00383DD5">
        <w:rPr>
          <w:noProof/>
          <w:lang w:val="en-IE"/>
        </w:rPr>
        <w:t>).</w:t>
      </w:r>
      <w:r w:rsidR="00A82B41">
        <w:rPr>
          <w:noProof/>
          <w:lang w:val="en-IE"/>
        </w:rPr>
        <w:t xml:space="preserve"> Overall, final</w:t>
      </w:r>
      <w:r w:rsidR="00A82B41" w:rsidRPr="002A60FB">
        <w:rPr>
          <w:noProof/>
          <w:lang w:val="en-IE"/>
        </w:rPr>
        <w:t xml:space="preserve"> electricity</w:t>
      </w:r>
      <w:r w:rsidR="00A82B41" w:rsidRPr="00B652C4">
        <w:rPr>
          <w:noProof/>
          <w:lang w:val="en-IE"/>
        </w:rPr>
        <w:t xml:space="preserve"> demand </w:t>
      </w:r>
      <w:r w:rsidR="00A82B41">
        <w:rPr>
          <w:noProof/>
          <w:lang w:val="en-IE"/>
        </w:rPr>
        <w:t>in the transport sector</w:t>
      </w:r>
      <w:r w:rsidR="00A82B41" w:rsidRPr="00B652C4">
        <w:rPr>
          <w:noProof/>
          <w:lang w:val="en-IE"/>
        </w:rPr>
        <w:t xml:space="preserve"> will increase</w:t>
      </w:r>
      <w:r w:rsidR="00A82B41">
        <w:rPr>
          <w:noProof/>
          <w:lang w:val="en-IE"/>
        </w:rPr>
        <w:t xml:space="preserve"> </w:t>
      </w:r>
      <w:r w:rsidR="00A82B41" w:rsidRPr="00B652C4">
        <w:rPr>
          <w:noProof/>
          <w:lang w:val="en-IE"/>
        </w:rPr>
        <w:t>over the period 20</w:t>
      </w:r>
      <w:r w:rsidR="00AD32BE">
        <w:rPr>
          <w:noProof/>
          <w:lang w:val="en-IE"/>
        </w:rPr>
        <w:t>21</w:t>
      </w:r>
      <w:r w:rsidR="00A82B41" w:rsidRPr="00B652C4">
        <w:rPr>
          <w:noProof/>
          <w:lang w:val="en-IE"/>
        </w:rPr>
        <w:t xml:space="preserve"> </w:t>
      </w:r>
      <w:r w:rsidR="00A82B41">
        <w:rPr>
          <w:noProof/>
          <w:lang w:val="en-IE"/>
        </w:rPr>
        <w:t>to</w:t>
      </w:r>
      <w:r w:rsidR="00A82B41" w:rsidRPr="00B652C4">
        <w:rPr>
          <w:noProof/>
          <w:lang w:val="en-IE"/>
        </w:rPr>
        <w:t xml:space="preserve"> 20</w:t>
      </w:r>
      <w:r w:rsidR="00A82B41">
        <w:rPr>
          <w:noProof/>
          <w:lang w:val="en-IE"/>
        </w:rPr>
        <w:t>4</w:t>
      </w:r>
      <w:r w:rsidR="00A82B41" w:rsidRPr="00B652C4">
        <w:rPr>
          <w:noProof/>
          <w:lang w:val="en-IE"/>
        </w:rPr>
        <w:t xml:space="preserve">0 by </w:t>
      </w:r>
      <w:r w:rsidR="00A82B41">
        <w:rPr>
          <w:noProof/>
          <w:lang w:val="en-IE"/>
        </w:rPr>
        <w:t>a</w:t>
      </w:r>
      <w:r w:rsidR="00A82B41" w:rsidRPr="00B652C4">
        <w:rPr>
          <w:noProof/>
          <w:lang w:val="en-IE"/>
        </w:rPr>
        <w:t xml:space="preserve"> </w:t>
      </w:r>
      <w:r w:rsidR="00A82B41" w:rsidRPr="5C7014AF">
        <w:rPr>
          <w:noProof/>
          <w:lang w:val="en-IE"/>
        </w:rPr>
        <w:t>factor</w:t>
      </w:r>
      <w:r w:rsidR="00A82B41" w:rsidRPr="00B652C4">
        <w:rPr>
          <w:noProof/>
          <w:lang w:val="en-IE"/>
        </w:rPr>
        <w:t xml:space="preserve"> of </w:t>
      </w:r>
      <w:r w:rsidR="00AD32BE">
        <w:rPr>
          <w:noProof/>
          <w:lang w:val="en-IE"/>
        </w:rPr>
        <w:t>8</w:t>
      </w:r>
      <w:r w:rsidR="00A82B41" w:rsidRPr="00B652C4">
        <w:rPr>
          <w:noProof/>
          <w:lang w:val="en-IE"/>
        </w:rPr>
        <w:t xml:space="preserve"> </w:t>
      </w:r>
      <w:r w:rsidR="00A82B41" w:rsidRPr="5C7014AF">
        <w:rPr>
          <w:noProof/>
          <w:lang w:val="en-IE"/>
        </w:rPr>
        <w:t xml:space="preserve">with no </w:t>
      </w:r>
      <w:r w:rsidR="170228C6" w:rsidRPr="5C7014AF">
        <w:rPr>
          <w:noProof/>
          <w:lang w:val="en-IE"/>
        </w:rPr>
        <w:t>major</w:t>
      </w:r>
      <w:r w:rsidR="00A82B41" w:rsidRPr="5C7014AF">
        <w:rPr>
          <w:noProof/>
          <w:lang w:val="en-IE"/>
        </w:rPr>
        <w:t xml:space="preserve"> differences between scenarios</w:t>
      </w:r>
      <w:r w:rsidR="00A82B41" w:rsidRPr="00B652C4">
        <w:rPr>
          <w:noProof/>
          <w:lang w:val="en-IE"/>
        </w:rPr>
        <w:t xml:space="preserve">. </w:t>
      </w:r>
      <w:r w:rsidR="009B2CCF">
        <w:rPr>
          <w:noProof/>
          <w:lang w:val="en-IE"/>
        </w:rPr>
        <w:t xml:space="preserve">In absolute terms, </w:t>
      </w:r>
      <w:r w:rsidR="009B2CCF" w:rsidRPr="00B652C4">
        <w:rPr>
          <w:noProof/>
          <w:lang w:val="en-IE"/>
        </w:rPr>
        <w:t xml:space="preserve">final electricity demand increases from </w:t>
      </w:r>
      <w:r w:rsidR="00AD32BE">
        <w:rPr>
          <w:noProof/>
          <w:lang w:val="en-IE"/>
        </w:rPr>
        <w:t>6</w:t>
      </w:r>
      <w:r w:rsidR="003F6D30">
        <w:rPr>
          <w:noProof/>
          <w:lang w:val="en-IE"/>
        </w:rPr>
        <w:t>0</w:t>
      </w:r>
      <w:r w:rsidR="009B2CCF" w:rsidRPr="00B652C4">
        <w:rPr>
          <w:noProof/>
          <w:lang w:val="en-IE"/>
        </w:rPr>
        <w:t xml:space="preserve"> TWh </w:t>
      </w:r>
      <w:r w:rsidR="009B2CCF">
        <w:rPr>
          <w:noProof/>
          <w:lang w:val="en-IE"/>
        </w:rPr>
        <w:t>in</w:t>
      </w:r>
      <w:r w:rsidR="009B2CCF" w:rsidRPr="00B652C4">
        <w:rPr>
          <w:noProof/>
          <w:lang w:val="en-IE"/>
        </w:rPr>
        <w:t xml:space="preserve"> 20</w:t>
      </w:r>
      <w:r w:rsidR="00AD32BE">
        <w:rPr>
          <w:noProof/>
          <w:lang w:val="en-IE"/>
        </w:rPr>
        <w:t>21</w:t>
      </w:r>
      <w:r w:rsidR="009B2CCF" w:rsidRPr="00B652C4">
        <w:rPr>
          <w:noProof/>
          <w:lang w:val="en-IE"/>
        </w:rPr>
        <w:t xml:space="preserve"> to </w:t>
      </w:r>
      <w:r w:rsidR="008B3B94" w:rsidRPr="008B3B94">
        <w:rPr>
          <w:noProof/>
          <w:lang w:val="en-IE"/>
        </w:rPr>
        <w:t>1</w:t>
      </w:r>
      <w:r w:rsidR="003F6D30">
        <w:rPr>
          <w:noProof/>
          <w:lang w:val="en-IE"/>
        </w:rPr>
        <w:t>80</w:t>
      </w:r>
      <w:r w:rsidR="008B3B94" w:rsidRPr="008B3B94">
        <w:rPr>
          <w:noProof/>
          <w:lang w:val="en-IE"/>
        </w:rPr>
        <w:t xml:space="preserve"> TWh in 2030 and </w:t>
      </w:r>
      <w:r w:rsidR="003F6D30">
        <w:rPr>
          <w:noProof/>
          <w:lang w:val="en-IE"/>
        </w:rPr>
        <w:t>505</w:t>
      </w:r>
      <w:r w:rsidR="004A72B0">
        <w:rPr>
          <w:noProof/>
          <w:lang w:val="en-IE"/>
        </w:rPr>
        <w:t>-510</w:t>
      </w:r>
      <w:r w:rsidR="009B2CCF" w:rsidRPr="00B652C4">
        <w:rPr>
          <w:noProof/>
          <w:lang w:val="en-IE"/>
        </w:rPr>
        <w:t xml:space="preserve"> TWh in 2040</w:t>
      </w:r>
      <w:r w:rsidR="008B3B94" w:rsidRPr="008B3B94">
        <w:rPr>
          <w:noProof/>
          <w:lang w:val="en-IE"/>
        </w:rPr>
        <w:t>, respectively</w:t>
      </w:r>
      <w:r w:rsidR="009B2CCF" w:rsidRPr="00B652C4">
        <w:rPr>
          <w:noProof/>
          <w:lang w:val="en-IE"/>
        </w:rPr>
        <w:t>.</w:t>
      </w:r>
      <w:r w:rsidR="007656BA">
        <w:rPr>
          <w:noProof/>
          <w:lang w:val="en-IE"/>
        </w:rPr>
        <w:t xml:space="preserve"> The LIFE measures would reduce final electricity consumption in the industry by 35 TWh.</w:t>
      </w:r>
    </w:p>
    <w:p w14:paraId="2954F1B3" w14:textId="38E0B97E" w:rsidR="00A82B41" w:rsidRDefault="00A82B41" w:rsidP="0082262B">
      <w:pPr>
        <w:pStyle w:val="Text2"/>
        <w:rPr>
          <w:noProof/>
          <w:lang w:val="en-IE"/>
        </w:rPr>
      </w:pPr>
      <w:bookmarkStart w:id="126" w:name="_Hlk142410435"/>
      <w:r>
        <w:rPr>
          <w:noProof/>
          <w:lang w:val="en-IE"/>
        </w:rPr>
        <w:t>Between 2040 and</w:t>
      </w:r>
      <w:r w:rsidRPr="0032643C">
        <w:rPr>
          <w:noProof/>
          <w:lang w:val="en-IE"/>
        </w:rPr>
        <w:t xml:space="preserve"> 2050, </w:t>
      </w:r>
      <w:r w:rsidR="00A34BE7">
        <w:rPr>
          <w:noProof/>
          <w:lang w:val="en-IE"/>
        </w:rPr>
        <w:t xml:space="preserve">total </w:t>
      </w:r>
      <w:r w:rsidRPr="0032643C">
        <w:rPr>
          <w:noProof/>
          <w:lang w:val="en-IE"/>
        </w:rPr>
        <w:t xml:space="preserve">final electricity demand increases again by </w:t>
      </w:r>
      <w:r w:rsidRPr="2D582F8B">
        <w:rPr>
          <w:noProof/>
          <w:lang w:val="en-IE"/>
        </w:rPr>
        <w:t>1</w:t>
      </w:r>
      <w:r w:rsidR="003F6D30">
        <w:rPr>
          <w:noProof/>
          <w:lang w:val="en-IE"/>
        </w:rPr>
        <w:t>3</w:t>
      </w:r>
      <w:r w:rsidRPr="2D582F8B">
        <w:rPr>
          <w:noProof/>
          <w:lang w:val="en-IE"/>
        </w:rPr>
        <w:t>%</w:t>
      </w:r>
      <w:r w:rsidRPr="0032643C">
        <w:rPr>
          <w:noProof/>
          <w:lang w:val="en-IE"/>
        </w:rPr>
        <w:t xml:space="preserve"> to 3</w:t>
      </w:r>
      <w:r w:rsidR="00A201EA">
        <w:rPr>
          <w:noProof/>
          <w:lang w:val="en-IE"/>
        </w:rPr>
        <w:t> </w:t>
      </w:r>
      <w:r w:rsidR="003F6D30">
        <w:rPr>
          <w:noProof/>
          <w:lang w:val="en-IE"/>
        </w:rPr>
        <w:t>760</w:t>
      </w:r>
      <w:r w:rsidRPr="0032643C">
        <w:rPr>
          <w:noProof/>
          <w:lang w:val="en-IE"/>
        </w:rPr>
        <w:t xml:space="preserve"> TWh</w:t>
      </w:r>
      <w:bookmarkEnd w:id="126"/>
      <w:r>
        <w:rPr>
          <w:noProof/>
          <w:lang w:val="en-IE"/>
        </w:rPr>
        <w:t xml:space="preserve">. </w:t>
      </w:r>
      <w:r w:rsidR="62596732" w:rsidRPr="3E68F145">
        <w:rPr>
          <w:noProof/>
          <w:lang w:val="en-IE"/>
        </w:rPr>
        <w:t>T</w:t>
      </w:r>
      <w:r w:rsidRPr="3E68F145">
        <w:rPr>
          <w:noProof/>
          <w:lang w:val="en-IE"/>
        </w:rPr>
        <w:t>ransport</w:t>
      </w:r>
      <w:r w:rsidRPr="2D582F8B">
        <w:rPr>
          <w:noProof/>
          <w:lang w:val="en-IE"/>
        </w:rPr>
        <w:t xml:space="preserve"> (+2</w:t>
      </w:r>
      <w:r w:rsidR="007656BA">
        <w:rPr>
          <w:noProof/>
          <w:lang w:val="en-IE"/>
        </w:rPr>
        <w:t>6</w:t>
      </w:r>
      <w:r w:rsidRPr="2D582F8B">
        <w:rPr>
          <w:noProof/>
          <w:lang w:val="en-IE"/>
        </w:rPr>
        <w:t>%) and industry (+</w:t>
      </w:r>
      <w:r w:rsidR="003F6D30">
        <w:rPr>
          <w:noProof/>
          <w:lang w:val="en-IE"/>
        </w:rPr>
        <w:t>2</w:t>
      </w:r>
      <w:r w:rsidR="007656BA">
        <w:rPr>
          <w:noProof/>
          <w:lang w:val="en-IE"/>
        </w:rPr>
        <w:t>2</w:t>
      </w:r>
      <w:r w:rsidRPr="2D582F8B">
        <w:rPr>
          <w:noProof/>
          <w:lang w:val="en-IE"/>
        </w:rPr>
        <w:t>%) increase further sharply while the residential, services and agriculture sectors face a slowdown (both + 2%).</w:t>
      </w:r>
    </w:p>
    <w:p w14:paraId="3B0C352E" w14:textId="1CF009A5" w:rsidR="00604F3C" w:rsidRDefault="00604F3C" w:rsidP="00E66956">
      <w:pPr>
        <w:pStyle w:val="Caption"/>
        <w:rPr>
          <w:noProof/>
        </w:rPr>
      </w:pPr>
      <w:bookmarkStart w:id="127" w:name="_Ref142399799"/>
      <w:bookmarkStart w:id="128" w:name="_Ref144215271"/>
      <w:bookmarkStart w:id="129" w:name="_Ref147312356"/>
      <w:bookmarkStart w:id="130" w:name="_Toc157679767"/>
      <w:r>
        <w:rPr>
          <w:noProof/>
        </w:rPr>
        <w:t xml:space="preserve">Figure </w:t>
      </w:r>
      <w:bookmarkEnd w:id="127"/>
      <w:bookmarkEnd w:id="128"/>
      <w:r w:rsidR="00F2742D">
        <w:rPr>
          <w:noProof/>
        </w:rPr>
        <w:fldChar w:fldCharType="begin"/>
      </w:r>
      <w:r w:rsidR="00F2742D">
        <w:rPr>
          <w:noProof/>
        </w:rPr>
        <w:instrText xml:space="preserve"> SEQ Figure \* ARABIC </w:instrText>
      </w:r>
      <w:r w:rsidR="00F2742D">
        <w:rPr>
          <w:noProof/>
        </w:rPr>
        <w:fldChar w:fldCharType="separate"/>
      </w:r>
      <w:r w:rsidR="00170A3C">
        <w:rPr>
          <w:noProof/>
        </w:rPr>
        <w:t>19</w:t>
      </w:r>
      <w:r w:rsidR="00F2742D">
        <w:rPr>
          <w:noProof/>
        </w:rPr>
        <w:fldChar w:fldCharType="end"/>
      </w:r>
      <w:bookmarkEnd w:id="129"/>
      <w:r>
        <w:rPr>
          <w:noProof/>
        </w:rPr>
        <w:t xml:space="preserve">: </w:t>
      </w:r>
      <w:r w:rsidRPr="00764125">
        <w:rPr>
          <w:noProof/>
        </w:rPr>
        <w:t>Electricity generation by energy carrier, 2015-2050</w:t>
      </w:r>
      <w:bookmarkEnd w:id="130"/>
    </w:p>
    <w:p w14:paraId="0C55F3ED" w14:textId="5C983E1D" w:rsidR="00604F3C" w:rsidRPr="00E66956" w:rsidRDefault="00773EA2" w:rsidP="00E66956">
      <w:pPr>
        <w:rPr>
          <w:noProof/>
          <w:lang w:val="en-IE"/>
        </w:rPr>
      </w:pPr>
      <w:r w:rsidRPr="00773EA2">
        <w:rPr>
          <w:noProof/>
          <w:lang w:eastAsia="en-GB"/>
        </w:rPr>
        <w:drawing>
          <wp:inline distT="0" distB="0" distL="0" distR="0" wp14:anchorId="34E2929F" wp14:editId="7B795A12">
            <wp:extent cx="5472430" cy="2297430"/>
            <wp:effectExtent l="0" t="0" r="0" b="762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472430" cy="2297430"/>
                    </a:xfrm>
                    <a:prstGeom prst="rect">
                      <a:avLst/>
                    </a:prstGeom>
                    <a:noFill/>
                    <a:ln>
                      <a:noFill/>
                    </a:ln>
                  </pic:spPr>
                </pic:pic>
              </a:graphicData>
            </a:graphic>
          </wp:inline>
        </w:drawing>
      </w:r>
    </w:p>
    <w:p w14:paraId="549E2CBE" w14:textId="7FF38E34" w:rsidR="00A82B41" w:rsidRPr="009D7014" w:rsidRDefault="00DF1930" w:rsidP="00951BEB">
      <w:pPr>
        <w:pStyle w:val="CT-SOURCE"/>
        <w:rPr>
          <w:i w:val="0"/>
          <w:noProof/>
        </w:rPr>
      </w:pPr>
      <w:bookmarkStart w:id="131" w:name="_Hlk142411172"/>
      <w:r w:rsidRPr="009D7014">
        <w:rPr>
          <w:noProof/>
        </w:rPr>
        <w:t>Sourc</w:t>
      </w:r>
      <w:r w:rsidRPr="009D7014">
        <w:rPr>
          <w:i w:val="0"/>
          <w:noProof/>
        </w:rPr>
        <w:t>e: PRIMES.</w:t>
      </w:r>
    </w:p>
    <w:p w14:paraId="53275561" w14:textId="58121F01" w:rsidR="00A82B41" w:rsidRDefault="00A82B41" w:rsidP="0082262B">
      <w:pPr>
        <w:pStyle w:val="Text2"/>
        <w:rPr>
          <w:noProof/>
          <w:lang w:val="en-IE"/>
        </w:rPr>
      </w:pPr>
      <w:bookmarkStart w:id="132" w:name="_Hlk142399928"/>
      <w:r w:rsidRPr="619FE184">
        <w:rPr>
          <w:noProof/>
          <w:lang w:val="en-IE"/>
        </w:rPr>
        <w:t xml:space="preserve">As a result of increased </w:t>
      </w:r>
      <w:r w:rsidR="00D0565D">
        <w:rPr>
          <w:noProof/>
          <w:lang w:val="en-IE"/>
        </w:rPr>
        <w:t>electricity</w:t>
      </w:r>
      <w:r w:rsidRPr="619FE184">
        <w:rPr>
          <w:noProof/>
          <w:lang w:val="en-IE"/>
        </w:rPr>
        <w:t xml:space="preserve"> demand, electricity generation increases from 2</w:t>
      </w:r>
      <w:r w:rsidR="008B3B94" w:rsidRPr="008B3B94">
        <w:rPr>
          <w:noProof/>
          <w:lang w:val="en-IE"/>
        </w:rPr>
        <w:t xml:space="preserve"> </w:t>
      </w:r>
      <w:r w:rsidRPr="3099B938">
        <w:rPr>
          <w:noProof/>
          <w:lang w:val="en-IE"/>
        </w:rPr>
        <w:t>9</w:t>
      </w:r>
      <w:r w:rsidR="1937F2EC" w:rsidRPr="3099B938">
        <w:rPr>
          <w:noProof/>
          <w:lang w:val="en-IE"/>
        </w:rPr>
        <w:t>05</w:t>
      </w:r>
      <w:r w:rsidRPr="619FE184">
        <w:rPr>
          <w:noProof/>
          <w:lang w:val="en-IE"/>
        </w:rPr>
        <w:t xml:space="preserve"> TWh in 2021 to </w:t>
      </w:r>
      <w:bookmarkEnd w:id="132"/>
      <w:r w:rsidR="008B3B94" w:rsidRPr="008B3B94">
        <w:rPr>
          <w:noProof/>
          <w:lang w:val="en-IE"/>
        </w:rPr>
        <w:t xml:space="preserve">3 </w:t>
      </w:r>
      <w:r w:rsidR="00220FC8" w:rsidRPr="008B3B94">
        <w:rPr>
          <w:noProof/>
          <w:lang w:val="en-IE"/>
        </w:rPr>
        <w:t>3</w:t>
      </w:r>
      <w:r w:rsidR="00220FC8">
        <w:rPr>
          <w:noProof/>
          <w:lang w:val="en-IE"/>
        </w:rPr>
        <w:t>60</w:t>
      </w:r>
      <w:r w:rsidR="008B3B94" w:rsidRPr="008B3B94">
        <w:rPr>
          <w:noProof/>
          <w:lang w:val="en-IE"/>
        </w:rPr>
        <w:t xml:space="preserve"> TWh in 2030</w:t>
      </w:r>
      <w:r w:rsidR="008B3B94">
        <w:rPr>
          <w:noProof/>
          <w:lang w:val="en-IE"/>
        </w:rPr>
        <w:t xml:space="preserve">. </w:t>
      </w:r>
      <w:r w:rsidR="008B3B94" w:rsidRPr="008B3B94">
        <w:rPr>
          <w:noProof/>
          <w:lang w:val="en-IE"/>
        </w:rPr>
        <w:t xml:space="preserve">The increase continues even more strongly until 2040 resulting in total electricity generation to reach </w:t>
      </w:r>
      <w:r w:rsidRPr="619FE184">
        <w:rPr>
          <w:noProof/>
          <w:lang w:val="en-IE"/>
        </w:rPr>
        <w:t>4</w:t>
      </w:r>
      <w:r w:rsidR="008B3B94" w:rsidRPr="008B3B94">
        <w:rPr>
          <w:noProof/>
          <w:lang w:val="en-IE"/>
        </w:rPr>
        <w:t xml:space="preserve"> </w:t>
      </w:r>
      <w:r w:rsidR="00EA2535">
        <w:rPr>
          <w:noProof/>
          <w:lang w:val="en-IE"/>
        </w:rPr>
        <w:t>565</w:t>
      </w:r>
      <w:r w:rsidR="003D6F0F">
        <w:rPr>
          <w:noProof/>
          <w:lang w:val="en-IE"/>
        </w:rPr>
        <w:t>-5</w:t>
      </w:r>
      <w:r w:rsidR="007F0112">
        <w:rPr>
          <w:noProof/>
          <w:lang w:val="en-IE"/>
        </w:rPr>
        <w:t xml:space="preserve"> </w:t>
      </w:r>
      <w:r w:rsidR="003D6F0F">
        <w:rPr>
          <w:noProof/>
          <w:lang w:val="en-IE"/>
        </w:rPr>
        <w:t>2</w:t>
      </w:r>
      <w:r w:rsidR="00EA2535">
        <w:rPr>
          <w:noProof/>
          <w:lang w:val="en-IE"/>
        </w:rPr>
        <w:t>10</w:t>
      </w:r>
      <w:r w:rsidRPr="619FE184">
        <w:rPr>
          <w:noProof/>
          <w:lang w:val="en-IE"/>
        </w:rPr>
        <w:t xml:space="preserve"> TWh in</w:t>
      </w:r>
      <w:r w:rsidR="003D6F0F">
        <w:rPr>
          <w:noProof/>
          <w:lang w:val="en-IE"/>
        </w:rPr>
        <w:t xml:space="preserve"> S1-S2-S3 in</w:t>
      </w:r>
      <w:r w:rsidRPr="619FE184">
        <w:rPr>
          <w:noProof/>
          <w:lang w:val="en-IE"/>
        </w:rPr>
        <w:t xml:space="preserve"> 2040 </w:t>
      </w:r>
      <w:r w:rsidR="008B3B94" w:rsidRPr="008B3B94">
        <w:rPr>
          <w:noProof/>
          <w:lang w:val="en-IE"/>
        </w:rPr>
        <w:t>(+</w:t>
      </w:r>
      <w:r w:rsidR="003D6F0F">
        <w:rPr>
          <w:noProof/>
          <w:lang w:val="en-IE"/>
        </w:rPr>
        <w:t>5</w:t>
      </w:r>
      <w:r w:rsidR="006C7B34">
        <w:rPr>
          <w:noProof/>
          <w:lang w:val="en-IE"/>
        </w:rPr>
        <w:t>7</w:t>
      </w:r>
      <w:r w:rsidR="00EA2535">
        <w:rPr>
          <w:noProof/>
          <w:lang w:val="en-IE"/>
        </w:rPr>
        <w:t xml:space="preserve"> to </w:t>
      </w:r>
      <w:r w:rsidR="003D6F0F">
        <w:rPr>
          <w:noProof/>
          <w:lang w:val="en-IE"/>
        </w:rPr>
        <w:t>80</w:t>
      </w:r>
      <w:r w:rsidR="008B3B94" w:rsidRPr="008B3B94">
        <w:rPr>
          <w:noProof/>
          <w:lang w:val="en-IE"/>
        </w:rPr>
        <w:t>% since 2021</w:t>
      </w:r>
      <w:bookmarkEnd w:id="131"/>
      <w:r w:rsidR="008B3B94" w:rsidRPr="008B3B94">
        <w:rPr>
          <w:noProof/>
          <w:lang w:val="en-IE"/>
        </w:rPr>
        <w:t>)</w:t>
      </w:r>
      <w:r w:rsidR="00EA2535">
        <w:rPr>
          <w:noProof/>
          <w:lang w:val="en-IE"/>
        </w:rPr>
        <w:t xml:space="preserve"> </w:t>
      </w:r>
      <w:r w:rsidRPr="619FE184">
        <w:rPr>
          <w:noProof/>
          <w:lang w:val="en-IE"/>
        </w:rPr>
        <w:t>(</w:t>
      </w:r>
      <w:r w:rsidR="00604F3C">
        <w:rPr>
          <w:noProof/>
          <w:lang w:val="en-IE"/>
        </w:rPr>
        <w:t xml:space="preserve">see </w:t>
      </w:r>
      <w:r w:rsidR="00D24DD7">
        <w:rPr>
          <w:noProof/>
          <w:lang w:val="en-IE"/>
        </w:rPr>
        <w:fldChar w:fldCharType="begin"/>
      </w:r>
      <w:r w:rsidR="00D24DD7">
        <w:rPr>
          <w:noProof/>
          <w:lang w:val="en-IE"/>
        </w:rPr>
        <w:instrText xml:space="preserve"> REF _Ref147312356 \h </w:instrText>
      </w:r>
      <w:r w:rsidR="00D24DD7">
        <w:rPr>
          <w:noProof/>
          <w:lang w:val="en-IE"/>
        </w:rPr>
      </w:r>
      <w:r w:rsidR="00D24DD7">
        <w:rPr>
          <w:noProof/>
          <w:lang w:val="en-IE"/>
        </w:rPr>
        <w:fldChar w:fldCharType="separate"/>
      </w:r>
      <w:r w:rsidR="00170A3C">
        <w:rPr>
          <w:noProof/>
        </w:rPr>
        <w:t>Figure 19</w:t>
      </w:r>
      <w:r w:rsidR="00D24DD7">
        <w:rPr>
          <w:noProof/>
          <w:lang w:val="en-IE"/>
        </w:rPr>
        <w:fldChar w:fldCharType="end"/>
      </w:r>
      <w:r w:rsidRPr="619FE184">
        <w:rPr>
          <w:noProof/>
          <w:lang w:val="en-IE"/>
        </w:rPr>
        <w:t>).</w:t>
      </w:r>
      <w:r w:rsidR="003D6F0F">
        <w:rPr>
          <w:noProof/>
          <w:lang w:val="en-IE"/>
        </w:rPr>
        <w:t xml:space="preserve"> The measures from </w:t>
      </w:r>
      <w:r w:rsidR="00B669A2">
        <w:rPr>
          <w:noProof/>
          <w:lang w:val="en-IE"/>
        </w:rPr>
        <w:t>LIFE</w:t>
      </w:r>
      <w:r w:rsidR="003D6F0F">
        <w:rPr>
          <w:noProof/>
          <w:lang w:val="en-IE"/>
        </w:rPr>
        <w:t xml:space="preserve"> are projected to reduce need for electricity generation by </w:t>
      </w:r>
      <w:r w:rsidR="006C7B34">
        <w:rPr>
          <w:noProof/>
          <w:lang w:val="en-IE"/>
        </w:rPr>
        <w:t>390</w:t>
      </w:r>
      <w:r w:rsidR="003D6F0F">
        <w:rPr>
          <w:noProof/>
          <w:lang w:val="en-IE"/>
        </w:rPr>
        <w:t xml:space="preserve"> TWh.</w:t>
      </w:r>
      <w:r w:rsidRPr="619FE184">
        <w:rPr>
          <w:noProof/>
          <w:lang w:val="en-IE"/>
        </w:rPr>
        <w:t xml:space="preserve"> The difference in electricity generation between scenarios is only to a small extent due to the final demand for electricity</w:t>
      </w:r>
      <w:r w:rsidR="009B67FE">
        <w:rPr>
          <w:noProof/>
          <w:lang w:val="en-IE"/>
        </w:rPr>
        <w:t>. Rather, it is driven by differences in</w:t>
      </w:r>
      <w:r w:rsidRPr="619FE184">
        <w:rPr>
          <w:noProof/>
          <w:lang w:val="en-IE"/>
        </w:rPr>
        <w:t xml:space="preserve"> the electricity required for the production of RFNBOs from 2030 onwards </w:t>
      </w:r>
      <w:r w:rsidR="009B67FE">
        <w:rPr>
          <w:noProof/>
          <w:lang w:val="en-IE"/>
        </w:rPr>
        <w:t>(</w:t>
      </w:r>
      <w:r w:rsidRPr="619FE184">
        <w:rPr>
          <w:noProof/>
          <w:lang w:val="en-IE"/>
        </w:rPr>
        <w:t>which does not fall under final electricity demand</w:t>
      </w:r>
      <w:r w:rsidR="009B67FE">
        <w:rPr>
          <w:noProof/>
          <w:lang w:val="en-IE"/>
        </w:rPr>
        <w:t>)</w:t>
      </w:r>
      <w:r w:rsidRPr="619FE184">
        <w:rPr>
          <w:noProof/>
          <w:lang w:val="en-IE"/>
        </w:rPr>
        <w:t xml:space="preserve">. </w:t>
      </w:r>
      <w:r w:rsidR="00841952">
        <w:rPr>
          <w:noProof/>
        </w:rPr>
        <w:t>In 2040, electrolysers, RFNBO synthesis processes and DAC combined consumes approximately</w:t>
      </w:r>
      <w:r w:rsidR="00841952">
        <w:rPr>
          <w:noProof/>
          <w:lang w:val="en-IE"/>
        </w:rPr>
        <w:t xml:space="preserve"> </w:t>
      </w:r>
      <w:r w:rsidR="00CF40E4">
        <w:rPr>
          <w:noProof/>
          <w:lang w:val="en-IE"/>
        </w:rPr>
        <w:t>490</w:t>
      </w:r>
      <w:r w:rsidR="00841952" w:rsidRPr="559D5DE1">
        <w:rPr>
          <w:noProof/>
          <w:lang w:val="en-IE"/>
        </w:rPr>
        <w:t xml:space="preserve"> TWh </w:t>
      </w:r>
      <w:r w:rsidR="00841952">
        <w:rPr>
          <w:noProof/>
          <w:lang w:val="en-IE"/>
        </w:rPr>
        <w:t xml:space="preserve">more electricity in </w:t>
      </w:r>
      <w:r w:rsidR="00841952">
        <w:rPr>
          <w:noProof/>
        </w:rPr>
        <w:t>the S3 scenario</w:t>
      </w:r>
      <w:r w:rsidR="00841952">
        <w:rPr>
          <w:noProof/>
          <w:lang w:val="en-IE"/>
        </w:rPr>
        <w:t xml:space="preserve"> than in</w:t>
      </w:r>
      <w:r w:rsidR="00841952" w:rsidRPr="559D5DE1">
        <w:rPr>
          <w:noProof/>
          <w:lang w:val="en-IE"/>
        </w:rPr>
        <w:t xml:space="preserve"> S1</w:t>
      </w:r>
      <w:r w:rsidR="00841952">
        <w:rPr>
          <w:noProof/>
          <w:lang w:val="en-IE"/>
        </w:rPr>
        <w:t xml:space="preserve"> </w:t>
      </w:r>
      <w:r w:rsidR="00841952">
        <w:rPr>
          <w:noProof/>
        </w:rPr>
        <w:t xml:space="preserve">(a </w:t>
      </w:r>
      <w:r w:rsidR="00CF40E4">
        <w:rPr>
          <w:noProof/>
        </w:rPr>
        <w:t>51</w:t>
      </w:r>
      <w:r w:rsidR="00841952">
        <w:rPr>
          <w:noProof/>
        </w:rPr>
        <w:t>% increase). The S2 scenarios consumes approximately 2</w:t>
      </w:r>
      <w:r w:rsidR="00CF40E4">
        <w:rPr>
          <w:noProof/>
        </w:rPr>
        <w:t>25</w:t>
      </w:r>
      <w:r w:rsidR="00841952">
        <w:rPr>
          <w:noProof/>
        </w:rPr>
        <w:t xml:space="preserve"> TWh more than S1 for the same purposes (2</w:t>
      </w:r>
      <w:r w:rsidR="00CF40E4">
        <w:rPr>
          <w:noProof/>
        </w:rPr>
        <w:t>3</w:t>
      </w:r>
      <w:r w:rsidR="00841952">
        <w:rPr>
          <w:noProof/>
        </w:rPr>
        <w:t>% increase).</w:t>
      </w:r>
    </w:p>
    <w:p w14:paraId="27035AB5" w14:textId="5E22BCC7" w:rsidR="00A82B41" w:rsidRDefault="00A82B41" w:rsidP="0082262B">
      <w:pPr>
        <w:pStyle w:val="Text2"/>
        <w:rPr>
          <w:noProof/>
          <w:lang w:val="en-IE"/>
        </w:rPr>
      </w:pPr>
      <w:bookmarkStart w:id="133" w:name="_Hlk142412247"/>
      <w:r w:rsidRPr="2A0C3857">
        <w:rPr>
          <w:noProof/>
          <w:lang w:val="en-IE"/>
        </w:rPr>
        <w:t xml:space="preserve">The share of fossil-fired generation is projected to </w:t>
      </w:r>
      <w:r w:rsidR="008B3B94" w:rsidRPr="008B3B94">
        <w:rPr>
          <w:noProof/>
          <w:lang w:val="en-IE"/>
        </w:rPr>
        <w:t xml:space="preserve">steadily </w:t>
      </w:r>
      <w:r w:rsidRPr="2A0C3857">
        <w:rPr>
          <w:noProof/>
          <w:lang w:val="en-IE"/>
        </w:rPr>
        <w:t xml:space="preserve">decrease from 36% in 2021 to </w:t>
      </w:r>
      <w:r w:rsidR="008B3B94" w:rsidRPr="008B3B94">
        <w:rPr>
          <w:noProof/>
          <w:lang w:val="en-IE"/>
        </w:rPr>
        <w:t>1</w:t>
      </w:r>
      <w:r w:rsidR="00DC6214">
        <w:rPr>
          <w:noProof/>
          <w:lang w:val="en-IE"/>
        </w:rPr>
        <w:t>2</w:t>
      </w:r>
      <w:r w:rsidR="008B3B94" w:rsidRPr="008B3B94">
        <w:rPr>
          <w:noProof/>
          <w:lang w:val="en-IE"/>
        </w:rPr>
        <w:t xml:space="preserve">% in 2030 and further down </w:t>
      </w:r>
      <w:r w:rsidRPr="2A0C3857">
        <w:rPr>
          <w:noProof/>
          <w:lang w:val="en-IE"/>
        </w:rPr>
        <w:t xml:space="preserve">to </w:t>
      </w:r>
      <w:r w:rsidR="00127CF0">
        <w:rPr>
          <w:noProof/>
          <w:lang w:val="en-IE"/>
        </w:rPr>
        <w:t>3% – 8</w:t>
      </w:r>
      <w:r w:rsidRPr="2A0C3857">
        <w:rPr>
          <w:noProof/>
          <w:lang w:val="en-IE"/>
        </w:rPr>
        <w:t>% in</w:t>
      </w:r>
      <w:r w:rsidR="003D6F0F">
        <w:rPr>
          <w:noProof/>
          <w:lang w:val="en-IE"/>
        </w:rPr>
        <w:t xml:space="preserve"> S1-S2-S3 in</w:t>
      </w:r>
      <w:r w:rsidRPr="2A0C3857">
        <w:rPr>
          <w:noProof/>
          <w:lang w:val="en-IE"/>
        </w:rPr>
        <w:t xml:space="preserve"> 2040. The residual fossil-fired generation in the last decade before 2050 is projected to consist almost solely of gas-fired power plants</w:t>
      </w:r>
      <w:r w:rsidR="00773B4E">
        <w:rPr>
          <w:noProof/>
          <w:lang w:val="en-IE"/>
        </w:rPr>
        <w:t xml:space="preserve">, with and without CCS. The plants </w:t>
      </w:r>
      <w:r w:rsidR="006078CC">
        <w:rPr>
          <w:noProof/>
          <w:lang w:val="en-IE"/>
        </w:rPr>
        <w:t xml:space="preserve">equipped with CCS will </w:t>
      </w:r>
      <w:r w:rsidR="000943FE">
        <w:rPr>
          <w:noProof/>
          <w:lang w:val="en-IE"/>
        </w:rPr>
        <w:t>generate the majo</w:t>
      </w:r>
      <w:r w:rsidR="00807500">
        <w:rPr>
          <w:noProof/>
          <w:lang w:val="en-IE"/>
        </w:rPr>
        <w:t>r</w:t>
      </w:r>
      <w:r w:rsidR="000943FE">
        <w:rPr>
          <w:noProof/>
          <w:lang w:val="en-IE"/>
        </w:rPr>
        <w:t>ity of the gas-fired electricity, while the one</w:t>
      </w:r>
      <w:r w:rsidR="006C59C8">
        <w:rPr>
          <w:noProof/>
          <w:lang w:val="en-IE"/>
        </w:rPr>
        <w:t>s</w:t>
      </w:r>
      <w:r w:rsidR="000943FE">
        <w:rPr>
          <w:noProof/>
          <w:lang w:val="en-IE"/>
        </w:rPr>
        <w:t xml:space="preserve"> without CCS equipment </w:t>
      </w:r>
      <w:r w:rsidR="00F50742">
        <w:rPr>
          <w:noProof/>
          <w:lang w:val="en-IE"/>
        </w:rPr>
        <w:t>w</w:t>
      </w:r>
      <w:r w:rsidR="000943FE">
        <w:rPr>
          <w:noProof/>
          <w:lang w:val="en-IE"/>
        </w:rPr>
        <w:t>ill only be used as peakers.</w:t>
      </w:r>
      <w:r w:rsidRPr="2A0C3857">
        <w:rPr>
          <w:noProof/>
          <w:lang w:val="en-IE"/>
        </w:rPr>
        <w:t xml:space="preserve"> Renewables in the electricity system generated around </w:t>
      </w:r>
      <w:r w:rsidR="00721196">
        <w:rPr>
          <w:noProof/>
          <w:lang w:val="en-IE"/>
        </w:rPr>
        <w:t>40</w:t>
      </w:r>
      <w:r w:rsidRPr="2A0C3857">
        <w:rPr>
          <w:noProof/>
          <w:lang w:val="en-IE"/>
        </w:rPr>
        <w:t xml:space="preserve">% of total electricity supply in 2021 </w:t>
      </w:r>
      <w:r w:rsidR="006C59C8">
        <w:rPr>
          <w:noProof/>
          <w:lang w:val="en-IE"/>
        </w:rPr>
        <w:t>and</w:t>
      </w:r>
      <w:r w:rsidRPr="2A0C3857">
        <w:rPr>
          <w:noProof/>
          <w:lang w:val="en-IE"/>
        </w:rPr>
        <w:t xml:space="preserve"> are expected to cover </w:t>
      </w:r>
      <w:r w:rsidR="001027DB">
        <w:rPr>
          <w:noProof/>
          <w:lang w:val="en-IE"/>
        </w:rPr>
        <w:t xml:space="preserve">81% – </w:t>
      </w:r>
      <w:r w:rsidRPr="2A0C3857">
        <w:rPr>
          <w:noProof/>
          <w:lang w:val="en-IE"/>
        </w:rPr>
        <w:t>8</w:t>
      </w:r>
      <w:r w:rsidR="001027DB">
        <w:rPr>
          <w:noProof/>
          <w:lang w:val="en-IE"/>
        </w:rPr>
        <w:t>7</w:t>
      </w:r>
      <w:r w:rsidRPr="2A0C3857">
        <w:rPr>
          <w:noProof/>
          <w:lang w:val="en-IE"/>
        </w:rPr>
        <w:t>%</w:t>
      </w:r>
      <w:r w:rsidR="006C59C8">
        <w:rPr>
          <w:noProof/>
          <w:lang w:val="en-IE"/>
        </w:rPr>
        <w:t xml:space="preserve"> by 2040</w:t>
      </w:r>
      <w:r w:rsidRPr="2A0C3857">
        <w:rPr>
          <w:noProof/>
          <w:lang w:val="en-IE"/>
        </w:rPr>
        <w:t xml:space="preserve">. </w:t>
      </w:r>
      <w:bookmarkStart w:id="134" w:name="_Hlk142412545"/>
      <w:bookmarkEnd w:id="133"/>
      <w:r w:rsidR="002F0573">
        <w:rPr>
          <w:noProof/>
          <w:lang w:val="en-IE"/>
        </w:rPr>
        <w:t>N</w:t>
      </w:r>
      <w:r w:rsidRPr="2A0C3857">
        <w:rPr>
          <w:noProof/>
          <w:lang w:val="en-IE"/>
        </w:rPr>
        <w:t>uclear power generation decreases over the decades from 73</w:t>
      </w:r>
      <w:r w:rsidR="006C59C8">
        <w:rPr>
          <w:noProof/>
          <w:lang w:val="en-IE"/>
        </w:rPr>
        <w:t>0</w:t>
      </w:r>
      <w:r w:rsidRPr="2A0C3857">
        <w:rPr>
          <w:noProof/>
          <w:lang w:val="en-IE"/>
        </w:rPr>
        <w:t xml:space="preserve"> TWh in 2021 to around 495 TWh in 2040</w:t>
      </w:r>
      <w:r w:rsidR="7CA815D5" w:rsidRPr="7EB667D6">
        <w:rPr>
          <w:noProof/>
          <w:lang w:val="en-IE"/>
        </w:rPr>
        <w:t xml:space="preserve"> (-3</w:t>
      </w:r>
      <w:r w:rsidR="001027DB">
        <w:rPr>
          <w:noProof/>
          <w:lang w:val="en-IE"/>
        </w:rPr>
        <w:t>0</w:t>
      </w:r>
      <w:r w:rsidR="7CA815D5" w:rsidRPr="74329763">
        <w:rPr>
          <w:noProof/>
          <w:lang w:val="en-IE"/>
        </w:rPr>
        <w:t>%)</w:t>
      </w:r>
      <w:r w:rsidRPr="74329763">
        <w:rPr>
          <w:noProof/>
          <w:lang w:val="en-IE"/>
        </w:rPr>
        <w:t>.</w:t>
      </w:r>
      <w:bookmarkEnd w:id="134"/>
      <w:r w:rsidRPr="2A0C3857">
        <w:rPr>
          <w:noProof/>
          <w:lang w:val="en-IE"/>
        </w:rPr>
        <w:t xml:space="preserve"> </w:t>
      </w:r>
      <w:r w:rsidRPr="002F0573">
        <w:rPr>
          <w:noProof/>
          <w:lang w:val="en-IE"/>
        </w:rPr>
        <w:t xml:space="preserve">Due to the high increase in overall electricity supply, the share of nuclear generation </w:t>
      </w:r>
      <w:r w:rsidR="00680D02" w:rsidRPr="002F0573">
        <w:rPr>
          <w:noProof/>
          <w:lang w:val="en-IE"/>
        </w:rPr>
        <w:t xml:space="preserve">is </w:t>
      </w:r>
      <w:r w:rsidR="002F0573" w:rsidRPr="002F0573">
        <w:rPr>
          <w:noProof/>
          <w:lang w:val="en-IE"/>
        </w:rPr>
        <w:t>projected</w:t>
      </w:r>
      <w:r w:rsidR="00680D02" w:rsidRPr="002F0573">
        <w:rPr>
          <w:noProof/>
          <w:lang w:val="en-IE"/>
        </w:rPr>
        <w:t xml:space="preserve"> to </w:t>
      </w:r>
      <w:r w:rsidRPr="002F0573">
        <w:rPr>
          <w:noProof/>
          <w:lang w:val="en-IE"/>
        </w:rPr>
        <w:t xml:space="preserve">decrease from 25% in 2021 to </w:t>
      </w:r>
      <w:r w:rsidR="00DC6214">
        <w:rPr>
          <w:noProof/>
          <w:lang w:val="en-IE"/>
        </w:rPr>
        <w:t>10</w:t>
      </w:r>
      <w:r w:rsidR="001027DB">
        <w:rPr>
          <w:noProof/>
          <w:lang w:val="en-IE"/>
        </w:rPr>
        <w:t xml:space="preserve"> – 11</w:t>
      </w:r>
      <w:r w:rsidRPr="002F0573">
        <w:rPr>
          <w:noProof/>
          <w:lang w:val="en-IE"/>
        </w:rPr>
        <w:t>% in 2040</w:t>
      </w:r>
      <w:r w:rsidRPr="2A0C3857">
        <w:rPr>
          <w:noProof/>
          <w:lang w:val="en-IE"/>
        </w:rPr>
        <w:t>.</w:t>
      </w:r>
      <w:r w:rsidR="00B21A00">
        <w:rPr>
          <w:noProof/>
          <w:lang w:val="en-IE"/>
        </w:rPr>
        <w:t xml:space="preserve"> The results in nuclear generation are based on nuclear capacity assumptions in line with the Member State policies as </w:t>
      </w:r>
      <w:r w:rsidR="00B21A00" w:rsidRPr="002F0573">
        <w:rPr>
          <w:noProof/>
          <w:lang w:val="en-IE"/>
        </w:rPr>
        <w:t>descri</w:t>
      </w:r>
      <w:r w:rsidR="001710CB" w:rsidRPr="002F0573">
        <w:rPr>
          <w:noProof/>
          <w:lang w:val="en-IE"/>
        </w:rPr>
        <w:t>b</w:t>
      </w:r>
      <w:r w:rsidR="00B21A00" w:rsidRPr="002F0573">
        <w:rPr>
          <w:noProof/>
          <w:lang w:val="en-IE"/>
        </w:rPr>
        <w:t>ed</w:t>
      </w:r>
      <w:r w:rsidR="00B21A00">
        <w:rPr>
          <w:noProof/>
          <w:lang w:val="en-IE"/>
        </w:rPr>
        <w:t xml:space="preserve"> in the 2019 National Energy and Climate Plans</w:t>
      </w:r>
      <w:r w:rsidR="00B21A00" w:rsidRPr="00B21A00">
        <w:rPr>
          <w:noProof/>
          <w:lang w:val="en-IE"/>
        </w:rPr>
        <w:t> (</w:t>
      </w:r>
      <w:r w:rsidR="00B21A00">
        <w:rPr>
          <w:rStyle w:val="FootnoteReference"/>
          <w:noProof/>
          <w:lang w:val="en-IE"/>
        </w:rPr>
        <w:footnoteReference w:id="58"/>
      </w:r>
      <w:r w:rsidR="00B21A00" w:rsidRPr="002F0573">
        <w:rPr>
          <w:noProof/>
          <w:lang w:val="en-IE"/>
        </w:rPr>
        <w:t>)</w:t>
      </w:r>
      <w:r w:rsidR="002F0573" w:rsidRPr="002F0573">
        <w:rPr>
          <w:noProof/>
          <w:lang w:val="en-IE"/>
        </w:rPr>
        <w:t>, cf. sub-section 2.5.2.2.</w:t>
      </w:r>
    </w:p>
    <w:p w14:paraId="46BB9DE2" w14:textId="6D4E3AF3" w:rsidR="00A82B41" w:rsidRDefault="00A82B41" w:rsidP="0082262B">
      <w:pPr>
        <w:pStyle w:val="Text2"/>
        <w:rPr>
          <w:noProof/>
          <w:lang w:val="en-IE"/>
        </w:rPr>
      </w:pPr>
      <w:r w:rsidRPr="559D5DE1">
        <w:rPr>
          <w:noProof/>
          <w:lang w:val="en-IE"/>
        </w:rPr>
        <w:t>The three scenarios follow the same trend in the electricity mix with minor deviations. The higher production of RFNBOs in S3 requires more renewable electricity generation (</w:t>
      </w:r>
      <w:bookmarkStart w:id="135" w:name="_Hlk142412638"/>
      <w:r w:rsidR="00721196">
        <w:rPr>
          <w:noProof/>
          <w:lang w:val="en-IE"/>
        </w:rPr>
        <w:t xml:space="preserve">around </w:t>
      </w:r>
      <w:r w:rsidR="00FD0D8E">
        <w:rPr>
          <w:noProof/>
          <w:lang w:val="en-IE"/>
        </w:rPr>
        <w:t>8</w:t>
      </w:r>
      <w:r w:rsidR="00DC6214">
        <w:rPr>
          <w:noProof/>
          <w:lang w:val="en-IE"/>
        </w:rPr>
        <w:t>50</w:t>
      </w:r>
      <w:r w:rsidRPr="559D5DE1">
        <w:rPr>
          <w:noProof/>
          <w:lang w:val="en-IE"/>
        </w:rPr>
        <w:t xml:space="preserve"> TWh </w:t>
      </w:r>
      <w:r w:rsidR="009A1C04">
        <w:rPr>
          <w:noProof/>
          <w:lang w:val="en-IE"/>
        </w:rPr>
        <w:t xml:space="preserve">more </w:t>
      </w:r>
      <w:r w:rsidRPr="559D5DE1">
        <w:rPr>
          <w:noProof/>
          <w:lang w:val="en-IE"/>
        </w:rPr>
        <w:t xml:space="preserve">in </w:t>
      </w:r>
      <w:r w:rsidR="009A1C04">
        <w:rPr>
          <w:noProof/>
          <w:lang w:val="en-IE"/>
        </w:rPr>
        <w:t>2040</w:t>
      </w:r>
      <w:r w:rsidRPr="559D5DE1">
        <w:rPr>
          <w:noProof/>
          <w:lang w:val="en-IE"/>
        </w:rPr>
        <w:t xml:space="preserve"> </w:t>
      </w:r>
      <w:r w:rsidRPr="44953D8C">
        <w:rPr>
          <w:noProof/>
          <w:lang w:val="en-IE"/>
        </w:rPr>
        <w:t>compar</w:t>
      </w:r>
      <w:r w:rsidR="009A1C04">
        <w:rPr>
          <w:noProof/>
          <w:lang w:val="en-IE"/>
        </w:rPr>
        <w:t>ed</w:t>
      </w:r>
      <w:r w:rsidRPr="559D5DE1">
        <w:rPr>
          <w:noProof/>
          <w:lang w:val="en-IE"/>
        </w:rPr>
        <w:t xml:space="preserve"> to S1</w:t>
      </w:r>
      <w:bookmarkEnd w:id="135"/>
      <w:r w:rsidRPr="559D5DE1">
        <w:rPr>
          <w:noProof/>
          <w:lang w:val="en-IE"/>
        </w:rPr>
        <w:t>).</w:t>
      </w:r>
      <w:r w:rsidRPr="0F7B45FB">
        <w:rPr>
          <w:noProof/>
          <w:lang w:val="en-IE"/>
        </w:rPr>
        <w:t xml:space="preserve"> At the same time, S1 </w:t>
      </w:r>
      <w:r w:rsidRPr="3DB922E6">
        <w:rPr>
          <w:noProof/>
          <w:lang w:val="en-IE"/>
        </w:rPr>
        <w:t xml:space="preserve">shows a higher </w:t>
      </w:r>
      <w:r w:rsidRPr="62908216">
        <w:rPr>
          <w:noProof/>
          <w:lang w:val="en-IE"/>
        </w:rPr>
        <w:t xml:space="preserve">use of fossil-fired </w:t>
      </w:r>
      <w:r w:rsidRPr="2B67727F">
        <w:rPr>
          <w:noProof/>
          <w:lang w:val="en-IE"/>
        </w:rPr>
        <w:t xml:space="preserve">generation by 2040 </w:t>
      </w:r>
      <w:r w:rsidRPr="3B3BB152">
        <w:rPr>
          <w:noProof/>
          <w:lang w:val="en-IE"/>
        </w:rPr>
        <w:t>(</w:t>
      </w:r>
      <w:r w:rsidR="00721196">
        <w:rPr>
          <w:noProof/>
          <w:lang w:val="en-IE"/>
        </w:rPr>
        <w:t xml:space="preserve">around </w:t>
      </w:r>
      <w:r w:rsidRPr="3B3BB152">
        <w:rPr>
          <w:noProof/>
          <w:lang w:val="en-IE"/>
        </w:rPr>
        <w:t>+20</w:t>
      </w:r>
      <w:r w:rsidR="00721196">
        <w:rPr>
          <w:noProof/>
          <w:lang w:val="en-IE"/>
        </w:rPr>
        <w:t>0</w:t>
      </w:r>
      <w:r w:rsidRPr="2B67727F">
        <w:rPr>
          <w:noProof/>
          <w:lang w:val="en-IE"/>
        </w:rPr>
        <w:t xml:space="preserve"> </w:t>
      </w:r>
      <w:r w:rsidRPr="5281701A">
        <w:rPr>
          <w:noProof/>
          <w:lang w:val="en-IE"/>
        </w:rPr>
        <w:t xml:space="preserve">TWh in comparison to </w:t>
      </w:r>
      <w:r w:rsidRPr="46D4E85E">
        <w:rPr>
          <w:noProof/>
          <w:lang w:val="en-IE"/>
        </w:rPr>
        <w:t>S3</w:t>
      </w:r>
      <w:r w:rsidRPr="042DC0C2">
        <w:rPr>
          <w:noProof/>
          <w:lang w:val="en-IE"/>
        </w:rPr>
        <w:t>)</w:t>
      </w:r>
      <w:r w:rsidR="00962DDC">
        <w:rPr>
          <w:noProof/>
          <w:lang w:val="en-IE"/>
        </w:rPr>
        <w:t xml:space="preserve"> and result in overall lower emission reductions</w:t>
      </w:r>
      <w:r w:rsidRPr="042DC0C2">
        <w:rPr>
          <w:noProof/>
          <w:lang w:val="en-IE"/>
        </w:rPr>
        <w:t>.</w:t>
      </w:r>
      <w:r w:rsidR="003D6F0F">
        <w:rPr>
          <w:noProof/>
          <w:lang w:val="en-IE"/>
        </w:rPr>
        <w:t xml:space="preserve"> </w:t>
      </w:r>
    </w:p>
    <w:p w14:paraId="26A4AF8F" w14:textId="64AA31A9" w:rsidR="00A82B41" w:rsidRDefault="00A82B41" w:rsidP="0A2442BB">
      <w:pPr>
        <w:pStyle w:val="Text2"/>
        <w:spacing w:line="259" w:lineRule="auto"/>
        <w:rPr>
          <w:noProof/>
          <w:lang w:val="en-IE"/>
        </w:rPr>
      </w:pPr>
      <w:r w:rsidRPr="3330C04A">
        <w:rPr>
          <w:noProof/>
          <w:lang w:val="en-IE"/>
        </w:rPr>
        <w:t xml:space="preserve">The electricity system will increasingly face the need to integrate </w:t>
      </w:r>
      <w:r w:rsidR="00CE4BB5" w:rsidRPr="3330C04A">
        <w:rPr>
          <w:noProof/>
          <w:lang w:val="en-IE"/>
        </w:rPr>
        <w:t>variable</w:t>
      </w:r>
      <w:r w:rsidRPr="3330C04A">
        <w:rPr>
          <w:noProof/>
          <w:lang w:val="en-IE"/>
        </w:rPr>
        <w:t xml:space="preserve"> wind and solar generation. </w:t>
      </w:r>
      <w:r w:rsidR="29162182" w:rsidRPr="3330C04A">
        <w:rPr>
          <w:noProof/>
          <w:lang w:val="en-IE"/>
        </w:rPr>
        <w:t>R</w:t>
      </w:r>
      <w:r w:rsidRPr="3330C04A">
        <w:rPr>
          <w:noProof/>
          <w:lang w:val="en-IE"/>
        </w:rPr>
        <w:t xml:space="preserve">enewable generation will increase from </w:t>
      </w:r>
      <w:r w:rsidR="17652976" w:rsidRPr="3330C04A">
        <w:rPr>
          <w:noProof/>
          <w:lang w:val="en-IE"/>
        </w:rPr>
        <w:t>1</w:t>
      </w:r>
      <w:r w:rsidR="00DC6214">
        <w:rPr>
          <w:noProof/>
          <w:lang w:val="en-IE"/>
        </w:rPr>
        <w:t> </w:t>
      </w:r>
      <w:r w:rsidR="17652976" w:rsidRPr="3330C04A">
        <w:rPr>
          <w:noProof/>
          <w:lang w:val="en-IE"/>
        </w:rPr>
        <w:t>12</w:t>
      </w:r>
      <w:r w:rsidR="00127CF0">
        <w:rPr>
          <w:noProof/>
          <w:lang w:val="en-IE"/>
        </w:rPr>
        <w:t>5</w:t>
      </w:r>
      <w:r w:rsidR="17652976" w:rsidRPr="3330C04A">
        <w:rPr>
          <w:noProof/>
          <w:lang w:val="en-IE"/>
        </w:rPr>
        <w:t xml:space="preserve"> TWh </w:t>
      </w:r>
      <w:r w:rsidRPr="3330C04A">
        <w:rPr>
          <w:noProof/>
          <w:lang w:val="en-IE"/>
        </w:rPr>
        <w:t xml:space="preserve">in 2021 to </w:t>
      </w:r>
      <w:r w:rsidR="17652976" w:rsidRPr="3330C04A">
        <w:rPr>
          <w:noProof/>
          <w:lang w:val="en-IE"/>
        </w:rPr>
        <w:t>3</w:t>
      </w:r>
      <w:r w:rsidR="00AF7357">
        <w:rPr>
          <w:noProof/>
          <w:lang w:val="en-IE"/>
        </w:rPr>
        <w:t> </w:t>
      </w:r>
      <w:r w:rsidR="00DC6214">
        <w:rPr>
          <w:noProof/>
          <w:lang w:val="en-IE"/>
        </w:rPr>
        <w:t>700 to 4</w:t>
      </w:r>
      <w:r w:rsidR="00AF7357">
        <w:rPr>
          <w:noProof/>
          <w:lang w:val="en-IE"/>
        </w:rPr>
        <w:t> </w:t>
      </w:r>
      <w:r w:rsidR="00DC6214">
        <w:rPr>
          <w:noProof/>
          <w:lang w:val="en-IE"/>
        </w:rPr>
        <w:t>540</w:t>
      </w:r>
      <w:r w:rsidR="17652976" w:rsidRPr="3330C04A">
        <w:rPr>
          <w:noProof/>
          <w:lang w:val="en-IE"/>
        </w:rPr>
        <w:t xml:space="preserve"> TWh</w:t>
      </w:r>
      <w:r w:rsidRPr="3330C04A">
        <w:rPr>
          <w:noProof/>
          <w:lang w:val="en-IE"/>
        </w:rPr>
        <w:t xml:space="preserve"> in 2040 in the </w:t>
      </w:r>
      <w:r w:rsidR="00DC6214">
        <w:rPr>
          <w:noProof/>
          <w:lang w:val="en-IE"/>
        </w:rPr>
        <w:t>S1-</w:t>
      </w:r>
      <w:r w:rsidRPr="3330C04A">
        <w:rPr>
          <w:noProof/>
          <w:lang w:val="en-IE"/>
        </w:rPr>
        <w:t>S2</w:t>
      </w:r>
      <w:r w:rsidR="00DC6214">
        <w:rPr>
          <w:noProof/>
          <w:lang w:val="en-IE"/>
        </w:rPr>
        <w:t>-S3</w:t>
      </w:r>
      <w:r w:rsidR="00AB14F7">
        <w:rPr>
          <w:noProof/>
          <w:lang w:val="en-IE"/>
        </w:rPr>
        <w:t xml:space="preserve"> (see </w:t>
      </w:r>
      <w:r w:rsidR="00D24DD7" w:rsidRPr="000E18E8">
        <w:rPr>
          <w:noProof/>
          <w:lang w:val="en-IE"/>
        </w:rPr>
        <w:fldChar w:fldCharType="begin"/>
      </w:r>
      <w:r w:rsidR="00D24DD7" w:rsidRPr="000E18E8">
        <w:rPr>
          <w:noProof/>
          <w:lang w:val="en-IE"/>
        </w:rPr>
        <w:instrText xml:space="preserve"> REF _Ref147312437 \h </w:instrText>
      </w:r>
      <w:r w:rsidR="00D24DD7">
        <w:rPr>
          <w:noProof/>
          <w:lang w:val="en-IE"/>
        </w:rPr>
        <w:instrText xml:space="preserve"> \* MERGEFORMAT </w:instrText>
      </w:r>
      <w:r w:rsidR="00D24DD7" w:rsidRPr="000E18E8">
        <w:rPr>
          <w:noProof/>
          <w:lang w:val="en-IE"/>
        </w:rPr>
      </w:r>
      <w:r w:rsidR="00D24DD7" w:rsidRPr="000E18E8">
        <w:rPr>
          <w:noProof/>
          <w:lang w:val="en-IE"/>
        </w:rPr>
        <w:fldChar w:fldCharType="separate"/>
      </w:r>
      <w:r w:rsidR="00170A3C">
        <w:rPr>
          <w:noProof/>
        </w:rPr>
        <w:t>Figure 20</w:t>
      </w:r>
      <w:r w:rsidR="00D24DD7" w:rsidRPr="000E18E8">
        <w:rPr>
          <w:noProof/>
          <w:lang w:val="en-IE"/>
        </w:rPr>
        <w:fldChar w:fldCharType="end"/>
      </w:r>
      <w:r w:rsidR="003B1B41">
        <w:rPr>
          <w:noProof/>
          <w:lang w:val="en-IE"/>
        </w:rPr>
        <w:t>)</w:t>
      </w:r>
      <w:r w:rsidRPr="000E18E8">
        <w:rPr>
          <w:noProof/>
          <w:lang w:val="en-IE"/>
        </w:rPr>
        <w:t>.</w:t>
      </w:r>
      <w:r w:rsidRPr="3330C04A">
        <w:rPr>
          <w:noProof/>
          <w:lang w:val="en-IE"/>
        </w:rPr>
        <w:t xml:space="preserve"> </w:t>
      </w:r>
      <w:r w:rsidR="003A2BBE" w:rsidRPr="003A2BBE">
        <w:rPr>
          <w:noProof/>
          <w:lang w:val="en-IE"/>
        </w:rPr>
        <w:t>As the total demand for electricity generation i</w:t>
      </w:r>
      <w:r w:rsidR="64447785" w:rsidRPr="003A2BBE">
        <w:rPr>
          <w:noProof/>
          <w:lang w:val="en-IE"/>
        </w:rPr>
        <w:t>ncreases significantly but less than renewable generation, the share of renewable</w:t>
      </w:r>
      <w:r w:rsidR="00871939">
        <w:rPr>
          <w:noProof/>
          <w:lang w:val="en-IE"/>
        </w:rPr>
        <w:t>s</w:t>
      </w:r>
      <w:r w:rsidR="64447785" w:rsidRPr="003A2BBE">
        <w:rPr>
          <w:noProof/>
          <w:lang w:val="en-IE"/>
        </w:rPr>
        <w:t xml:space="preserve"> in the electricity mix increases continuously, from </w:t>
      </w:r>
      <w:r w:rsidR="0521300B" w:rsidRPr="003A2BBE">
        <w:rPr>
          <w:noProof/>
          <w:lang w:val="en-IE"/>
        </w:rPr>
        <w:t>3</w:t>
      </w:r>
      <w:r w:rsidR="00871939">
        <w:rPr>
          <w:noProof/>
          <w:lang w:val="en-IE"/>
        </w:rPr>
        <w:t>9</w:t>
      </w:r>
      <w:r w:rsidR="0521300B" w:rsidRPr="003A2BBE">
        <w:rPr>
          <w:noProof/>
          <w:lang w:val="en-IE"/>
        </w:rPr>
        <w:t>% in 202</w:t>
      </w:r>
      <w:r w:rsidR="00871939">
        <w:rPr>
          <w:noProof/>
          <w:lang w:val="en-IE"/>
        </w:rPr>
        <w:t>1</w:t>
      </w:r>
      <w:r w:rsidR="0521300B" w:rsidRPr="003A2BBE">
        <w:rPr>
          <w:noProof/>
          <w:lang w:val="en-IE"/>
        </w:rPr>
        <w:t xml:space="preserve"> to 85% in 2040 and almost 90% in 2050.</w:t>
      </w:r>
      <w:r w:rsidR="003D6F0F">
        <w:rPr>
          <w:noProof/>
          <w:lang w:val="en-IE"/>
        </w:rPr>
        <w:t xml:space="preserve"> </w:t>
      </w:r>
    </w:p>
    <w:p w14:paraId="61B5FB6C" w14:textId="0C2F4993" w:rsidR="001639E7" w:rsidRDefault="00447963" w:rsidP="001639E7">
      <w:pPr>
        <w:pStyle w:val="Caption"/>
        <w:rPr>
          <w:noProof/>
        </w:rPr>
      </w:pPr>
      <w:bookmarkStart w:id="136" w:name="_Ref140760246"/>
      <w:bookmarkStart w:id="137" w:name="_Ref147312437"/>
      <w:bookmarkStart w:id="138" w:name="_Toc157679768"/>
      <w:bookmarkStart w:id="139" w:name="_Hlk155796818"/>
      <w:r>
        <w:rPr>
          <w:noProof/>
        </w:rPr>
        <w:t xml:space="preserve">Figure </w:t>
      </w:r>
      <w:bookmarkEnd w:id="136"/>
      <w:r w:rsidR="00F2742D">
        <w:rPr>
          <w:noProof/>
        </w:rPr>
        <w:fldChar w:fldCharType="begin"/>
      </w:r>
      <w:r w:rsidR="00F2742D">
        <w:rPr>
          <w:noProof/>
        </w:rPr>
        <w:instrText xml:space="preserve"> SEQ Figure \* ARABIC </w:instrText>
      </w:r>
      <w:r w:rsidR="00F2742D">
        <w:rPr>
          <w:noProof/>
        </w:rPr>
        <w:fldChar w:fldCharType="separate"/>
      </w:r>
      <w:r w:rsidR="00170A3C">
        <w:rPr>
          <w:noProof/>
        </w:rPr>
        <w:t>20</w:t>
      </w:r>
      <w:r w:rsidR="00F2742D">
        <w:rPr>
          <w:noProof/>
        </w:rPr>
        <w:fldChar w:fldCharType="end"/>
      </w:r>
      <w:bookmarkEnd w:id="137"/>
      <w:r>
        <w:rPr>
          <w:noProof/>
        </w:rPr>
        <w:t xml:space="preserve">: </w:t>
      </w:r>
      <w:r w:rsidRPr="00AB6BB6">
        <w:rPr>
          <w:noProof/>
        </w:rPr>
        <w:t>Electricity generation from renewables</w:t>
      </w:r>
      <w:r w:rsidR="009D7014">
        <w:rPr>
          <w:noProof/>
        </w:rPr>
        <w:t>, 2015-2050</w:t>
      </w:r>
      <w:bookmarkEnd w:id="138"/>
    </w:p>
    <w:bookmarkEnd w:id="139"/>
    <w:p w14:paraId="239B9944" w14:textId="1493F518" w:rsidR="00A82B41" w:rsidRPr="001639E7" w:rsidRDefault="00A33346" w:rsidP="2CD1BBD5">
      <w:pPr>
        <w:keepNext/>
        <w:jc w:val="center"/>
        <w:rPr>
          <w:noProof/>
        </w:rPr>
      </w:pPr>
      <w:r w:rsidRPr="00A33346">
        <w:rPr>
          <w:noProof/>
          <w:lang w:eastAsia="en-GB"/>
        </w:rPr>
        <w:drawing>
          <wp:inline distT="0" distB="0" distL="0" distR="0" wp14:anchorId="7C196E1A" wp14:editId="65F8CB16">
            <wp:extent cx="4723765" cy="277685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723765" cy="2776855"/>
                    </a:xfrm>
                    <a:prstGeom prst="rect">
                      <a:avLst/>
                    </a:prstGeom>
                    <a:noFill/>
                    <a:ln>
                      <a:noFill/>
                    </a:ln>
                  </pic:spPr>
                </pic:pic>
              </a:graphicData>
            </a:graphic>
          </wp:inline>
        </w:drawing>
      </w:r>
    </w:p>
    <w:p w14:paraId="66290E6E" w14:textId="2F7A14B3" w:rsidR="00DF1930" w:rsidRPr="00696757" w:rsidRDefault="00DF1930" w:rsidP="00E61788">
      <w:pPr>
        <w:pStyle w:val="CT-SOURCE"/>
        <w:keepNext w:val="0"/>
        <w:rPr>
          <w:b/>
          <w:iCs w:val="0"/>
          <w:noProof/>
        </w:rPr>
      </w:pPr>
      <w:r w:rsidRPr="00696757">
        <w:rPr>
          <w:noProof/>
        </w:rPr>
        <w:t>Source: PRIMES.</w:t>
      </w:r>
    </w:p>
    <w:p w14:paraId="0809540F" w14:textId="55C1E4ED" w:rsidR="00A82B41" w:rsidRPr="003D6F0F" w:rsidRDefault="00A82B41" w:rsidP="0082262B">
      <w:pPr>
        <w:pStyle w:val="Text2"/>
        <w:rPr>
          <w:noProof/>
          <w:lang w:val="en-IE"/>
        </w:rPr>
      </w:pPr>
      <w:r w:rsidRPr="3330C04A">
        <w:rPr>
          <w:noProof/>
          <w:lang w:val="en-IE"/>
        </w:rPr>
        <w:t xml:space="preserve">Due to the relatively low full load hours of wind and solar PV generation, total installed capacity is projected to grow more than </w:t>
      </w:r>
      <w:r w:rsidR="00456AE1">
        <w:rPr>
          <w:noProof/>
          <w:lang w:val="en-IE"/>
        </w:rPr>
        <w:t>two</w:t>
      </w:r>
      <w:r w:rsidRPr="3330C04A">
        <w:rPr>
          <w:noProof/>
          <w:lang w:val="en-IE"/>
        </w:rPr>
        <w:t xml:space="preserve"> times faster than the amount of electricity generated between 2015 and 2040. The net capacity </w:t>
      </w:r>
      <w:r w:rsidR="008B3B94" w:rsidRPr="008B3B94">
        <w:rPr>
          <w:noProof/>
          <w:lang w:val="en-IE"/>
        </w:rPr>
        <w:t>increases</w:t>
      </w:r>
      <w:r w:rsidRPr="3330C04A">
        <w:rPr>
          <w:noProof/>
          <w:lang w:val="en-IE"/>
        </w:rPr>
        <w:t xml:space="preserve"> from 8</w:t>
      </w:r>
      <w:r w:rsidR="7482B588" w:rsidRPr="3330C04A">
        <w:rPr>
          <w:noProof/>
          <w:lang w:val="en-IE"/>
        </w:rPr>
        <w:t>70</w:t>
      </w:r>
      <w:r w:rsidRPr="3330C04A">
        <w:rPr>
          <w:noProof/>
          <w:lang w:val="en-IE"/>
        </w:rPr>
        <w:t xml:space="preserve"> GW in 2015 to </w:t>
      </w:r>
      <w:r w:rsidR="003D6F0F">
        <w:rPr>
          <w:noProof/>
          <w:lang w:val="en-IE"/>
        </w:rPr>
        <w:t>2 180-</w:t>
      </w:r>
      <w:r w:rsidR="008B3B94" w:rsidRPr="008B3B94">
        <w:rPr>
          <w:noProof/>
          <w:lang w:val="en-IE"/>
        </w:rPr>
        <w:t>2</w:t>
      </w:r>
      <w:r w:rsidR="00871939">
        <w:rPr>
          <w:noProof/>
          <w:lang w:val="en-IE"/>
        </w:rPr>
        <w:t> </w:t>
      </w:r>
      <w:r w:rsidR="003D6F0F">
        <w:rPr>
          <w:noProof/>
          <w:lang w:val="en-IE"/>
        </w:rPr>
        <w:t>5</w:t>
      </w:r>
      <w:r w:rsidR="00BC7C8F">
        <w:rPr>
          <w:noProof/>
          <w:lang w:val="en-IE"/>
        </w:rPr>
        <w:t>2</w:t>
      </w:r>
      <w:r w:rsidR="003D6F0F">
        <w:rPr>
          <w:noProof/>
          <w:lang w:val="en-IE"/>
        </w:rPr>
        <w:t>5</w:t>
      </w:r>
      <w:r w:rsidRPr="3330C04A">
        <w:rPr>
          <w:noProof/>
          <w:lang w:val="en-IE"/>
        </w:rPr>
        <w:t xml:space="preserve"> GW in</w:t>
      </w:r>
      <w:r w:rsidR="003D6F0F">
        <w:rPr>
          <w:noProof/>
          <w:lang w:val="en-IE"/>
        </w:rPr>
        <w:t xml:space="preserve"> S1-S2-S3 </w:t>
      </w:r>
      <w:r w:rsidR="002B3A78">
        <w:rPr>
          <w:noProof/>
          <w:lang w:val="en-IE"/>
        </w:rPr>
        <w:t>in</w:t>
      </w:r>
      <w:r w:rsidRPr="3330C04A">
        <w:rPr>
          <w:noProof/>
          <w:lang w:val="en-IE"/>
        </w:rPr>
        <w:t xml:space="preserve"> 2040, led by an increase of renewable capacity </w:t>
      </w:r>
      <w:r w:rsidR="001F0A30">
        <w:rPr>
          <w:noProof/>
          <w:lang w:val="en-IE"/>
        </w:rPr>
        <w:t>(</w:t>
      </w:r>
      <w:r w:rsidR="001F0A30" w:rsidRPr="00B0126D">
        <w:rPr>
          <w:noProof/>
          <w:lang w:val="en-IE"/>
        </w:rPr>
        <w:t>see</w:t>
      </w:r>
      <w:r w:rsidR="001F0A30" w:rsidRPr="00B0126D">
        <w:rPr>
          <w:noProof/>
          <w:color w:val="2B579A"/>
          <w:shd w:val="clear" w:color="auto" w:fill="E6E6E6"/>
          <w:lang w:val="en-IE"/>
        </w:rPr>
        <w:t xml:space="preserve"> </w:t>
      </w:r>
      <w:r w:rsidR="00B0126D" w:rsidRPr="00B0126D">
        <w:rPr>
          <w:noProof/>
          <w:color w:val="2B579A"/>
          <w:shd w:val="clear" w:color="auto" w:fill="E6E6E6"/>
          <w:lang w:val="en-IE"/>
        </w:rPr>
        <w:fldChar w:fldCharType="begin"/>
      </w:r>
      <w:r w:rsidR="00B0126D" w:rsidRPr="00B0126D">
        <w:rPr>
          <w:noProof/>
          <w:color w:val="2B579A"/>
          <w:shd w:val="clear" w:color="auto" w:fill="E6E6E6"/>
          <w:lang w:val="en-IE"/>
        </w:rPr>
        <w:instrText xml:space="preserve"> REF _Ref147314995 \h </w:instrText>
      </w:r>
      <w:r w:rsidR="00B0126D">
        <w:rPr>
          <w:noProof/>
          <w:color w:val="2B579A"/>
          <w:shd w:val="clear" w:color="auto" w:fill="E6E6E6"/>
          <w:lang w:val="en-IE"/>
        </w:rPr>
        <w:instrText xml:space="preserve"> \* MERGEFORMAT </w:instrText>
      </w:r>
      <w:r w:rsidR="00B0126D" w:rsidRPr="00B0126D">
        <w:rPr>
          <w:noProof/>
          <w:color w:val="2B579A"/>
          <w:shd w:val="clear" w:color="auto" w:fill="E6E6E6"/>
          <w:lang w:val="en-IE"/>
        </w:rPr>
      </w:r>
      <w:r w:rsidR="00B0126D" w:rsidRPr="00B0126D">
        <w:rPr>
          <w:noProof/>
          <w:color w:val="2B579A"/>
          <w:shd w:val="clear" w:color="auto" w:fill="E6E6E6"/>
          <w:lang w:val="en-IE"/>
        </w:rPr>
        <w:fldChar w:fldCharType="separate"/>
      </w:r>
      <w:r w:rsidR="00170A3C">
        <w:rPr>
          <w:noProof/>
        </w:rPr>
        <w:t>Figure 21</w:t>
      </w:r>
      <w:r w:rsidR="00B0126D" w:rsidRPr="00B0126D">
        <w:rPr>
          <w:noProof/>
          <w:color w:val="2B579A"/>
          <w:shd w:val="clear" w:color="auto" w:fill="E6E6E6"/>
          <w:lang w:val="en-IE"/>
        </w:rPr>
        <w:fldChar w:fldCharType="end"/>
      </w:r>
      <w:r w:rsidR="001F0A30">
        <w:rPr>
          <w:noProof/>
          <w:lang w:val="en-IE"/>
        </w:rPr>
        <w:t>)</w:t>
      </w:r>
      <w:r w:rsidRPr="3330C04A">
        <w:rPr>
          <w:i/>
          <w:iCs/>
          <w:noProof/>
          <w:lang w:val="en-IE"/>
        </w:rPr>
        <w:t>.</w:t>
      </w:r>
      <w:r w:rsidR="003D6F0F">
        <w:rPr>
          <w:i/>
          <w:iCs/>
          <w:noProof/>
          <w:lang w:val="en-IE"/>
        </w:rPr>
        <w:t xml:space="preserve"> </w:t>
      </w:r>
      <w:r w:rsidR="003D6F0F">
        <w:rPr>
          <w:noProof/>
          <w:lang w:val="en-IE"/>
        </w:rPr>
        <w:t>The implementation of LIFE measures reduces the need for installed power capacity by around 1</w:t>
      </w:r>
      <w:r w:rsidR="00BC7C8F">
        <w:rPr>
          <w:noProof/>
          <w:lang w:val="en-IE"/>
        </w:rPr>
        <w:t>95</w:t>
      </w:r>
      <w:r w:rsidR="003D6F0F">
        <w:rPr>
          <w:noProof/>
          <w:lang w:val="en-IE"/>
        </w:rPr>
        <w:t xml:space="preserve"> GW in 2040.</w:t>
      </w:r>
    </w:p>
    <w:p w14:paraId="68EA8768" w14:textId="2D21F5BF" w:rsidR="00A82B41" w:rsidRDefault="00A82B41" w:rsidP="0082262B">
      <w:pPr>
        <w:pStyle w:val="Text2"/>
        <w:rPr>
          <w:noProof/>
          <w:lang w:val="en-IE"/>
        </w:rPr>
      </w:pPr>
      <w:r w:rsidRPr="3330C04A">
        <w:rPr>
          <w:noProof/>
          <w:lang w:val="en-IE"/>
        </w:rPr>
        <w:t xml:space="preserve">During the same time, the installed fossil-fuel capacity will decrease from </w:t>
      </w:r>
      <w:r w:rsidR="008B3B94" w:rsidRPr="008B3B94">
        <w:rPr>
          <w:noProof/>
          <w:lang w:val="en-IE"/>
        </w:rPr>
        <w:t>385</w:t>
      </w:r>
      <w:r w:rsidRPr="3330C04A">
        <w:rPr>
          <w:noProof/>
          <w:lang w:val="en-IE"/>
        </w:rPr>
        <w:t xml:space="preserve"> GW in </w:t>
      </w:r>
      <w:r w:rsidR="008B3B94" w:rsidRPr="008B3B94">
        <w:rPr>
          <w:noProof/>
          <w:lang w:val="en-IE"/>
        </w:rPr>
        <w:t>2015</w:t>
      </w:r>
      <w:r w:rsidRPr="3330C04A">
        <w:rPr>
          <w:noProof/>
          <w:lang w:val="en-IE"/>
        </w:rPr>
        <w:t xml:space="preserve"> to only </w:t>
      </w:r>
      <w:r w:rsidR="003D6F0F">
        <w:rPr>
          <w:noProof/>
          <w:lang w:val="en-IE"/>
        </w:rPr>
        <w:t>155-</w:t>
      </w:r>
      <w:r w:rsidRPr="3330C04A">
        <w:rPr>
          <w:noProof/>
          <w:lang w:val="en-IE"/>
        </w:rPr>
        <w:t>1</w:t>
      </w:r>
      <w:r w:rsidR="003D6F0F">
        <w:rPr>
          <w:noProof/>
          <w:lang w:val="en-IE"/>
        </w:rPr>
        <w:t>70</w:t>
      </w:r>
      <w:r w:rsidRPr="3330C04A">
        <w:rPr>
          <w:noProof/>
          <w:lang w:val="en-IE"/>
        </w:rPr>
        <w:t xml:space="preserve"> GW in 2040. While today the share of gas-fired </w:t>
      </w:r>
      <w:r w:rsidR="00A35730">
        <w:rPr>
          <w:noProof/>
          <w:lang w:val="en-IE"/>
        </w:rPr>
        <w:t>power</w:t>
      </w:r>
      <w:r w:rsidRPr="3330C04A">
        <w:rPr>
          <w:noProof/>
          <w:lang w:val="en-IE"/>
        </w:rPr>
        <w:t xml:space="preserve"> capacity i</w:t>
      </w:r>
      <w:r w:rsidR="00A34BE7">
        <w:rPr>
          <w:noProof/>
          <w:lang w:val="en-IE"/>
        </w:rPr>
        <w:t>s</w:t>
      </w:r>
      <w:r w:rsidRPr="3330C04A">
        <w:rPr>
          <w:noProof/>
          <w:lang w:val="en-IE"/>
        </w:rPr>
        <w:t xml:space="preserve"> about half of total fossil-fired capacity, the share </w:t>
      </w:r>
      <w:r w:rsidR="00456AE1">
        <w:rPr>
          <w:noProof/>
          <w:lang w:val="en-IE"/>
        </w:rPr>
        <w:t>is projected to</w:t>
      </w:r>
      <w:r w:rsidRPr="3330C04A">
        <w:rPr>
          <w:noProof/>
          <w:lang w:val="en-IE"/>
        </w:rPr>
        <w:t xml:space="preserve"> increase </w:t>
      </w:r>
      <w:r w:rsidR="004231A0">
        <w:rPr>
          <w:noProof/>
          <w:lang w:val="en-IE"/>
        </w:rPr>
        <w:t xml:space="preserve">to </w:t>
      </w:r>
      <w:r w:rsidR="00456AE1">
        <w:rPr>
          <w:noProof/>
          <w:lang w:val="en-IE"/>
        </w:rPr>
        <w:t>around 90</w:t>
      </w:r>
      <w:r w:rsidR="008B3B94" w:rsidRPr="008B3B94">
        <w:rPr>
          <w:noProof/>
          <w:lang w:val="en-IE"/>
        </w:rPr>
        <w:t xml:space="preserve">% in </w:t>
      </w:r>
      <w:r w:rsidRPr="3330C04A">
        <w:rPr>
          <w:noProof/>
          <w:lang w:val="en-IE"/>
        </w:rPr>
        <w:t xml:space="preserve">2040 due to </w:t>
      </w:r>
      <w:r w:rsidR="00871939">
        <w:rPr>
          <w:noProof/>
          <w:lang w:val="en-IE"/>
        </w:rPr>
        <w:t xml:space="preserve">the </w:t>
      </w:r>
      <w:r w:rsidRPr="3330C04A">
        <w:rPr>
          <w:noProof/>
          <w:lang w:val="en-IE"/>
        </w:rPr>
        <w:t>overall decrease of fossil-based generation. A small amount of coal- and oil-fired capacity remains during this period.</w:t>
      </w:r>
    </w:p>
    <w:p w14:paraId="08599752" w14:textId="0E483E00" w:rsidR="00A82B41" w:rsidRDefault="00A82B41" w:rsidP="00A82B41">
      <w:pPr>
        <w:pStyle w:val="Caption"/>
        <w:rPr>
          <w:noProof/>
          <w:lang w:val="en-IE"/>
        </w:rPr>
      </w:pPr>
      <w:bookmarkStart w:id="140" w:name="_Ref140078359"/>
      <w:bookmarkStart w:id="141" w:name="_Ref140761282"/>
      <w:bookmarkStart w:id="142" w:name="_Ref147314995"/>
      <w:bookmarkStart w:id="143" w:name="_Toc157679769"/>
      <w:r>
        <w:rPr>
          <w:noProof/>
        </w:rPr>
        <w:t xml:space="preserve">Figure </w:t>
      </w:r>
      <w:bookmarkEnd w:id="140"/>
      <w:bookmarkEnd w:id="141"/>
      <w:r w:rsidR="00F2742D">
        <w:rPr>
          <w:noProof/>
        </w:rPr>
        <w:fldChar w:fldCharType="begin"/>
      </w:r>
      <w:r w:rsidR="00F2742D">
        <w:rPr>
          <w:noProof/>
        </w:rPr>
        <w:instrText xml:space="preserve"> SEQ Figure \* ARABIC </w:instrText>
      </w:r>
      <w:r w:rsidR="00F2742D">
        <w:rPr>
          <w:noProof/>
        </w:rPr>
        <w:fldChar w:fldCharType="separate"/>
      </w:r>
      <w:r w:rsidR="00170A3C">
        <w:rPr>
          <w:noProof/>
        </w:rPr>
        <w:t>21</w:t>
      </w:r>
      <w:r w:rsidR="00F2742D">
        <w:rPr>
          <w:noProof/>
        </w:rPr>
        <w:fldChar w:fldCharType="end"/>
      </w:r>
      <w:bookmarkEnd w:id="142"/>
      <w:r>
        <w:rPr>
          <w:noProof/>
        </w:rPr>
        <w:t xml:space="preserve">: </w:t>
      </w:r>
      <w:r>
        <w:rPr>
          <w:noProof/>
          <w:lang w:val="en-IE"/>
        </w:rPr>
        <w:t>Net installed capacity by energy carrier, 2015-2050</w:t>
      </w:r>
      <w:bookmarkEnd w:id="143"/>
    </w:p>
    <w:p w14:paraId="700EE5E6" w14:textId="3116C3C8" w:rsidR="00A82B41" w:rsidRDefault="00AF7357" w:rsidP="00906859">
      <w:pPr>
        <w:keepNext/>
        <w:jc w:val="center"/>
        <w:rPr>
          <w:noProof/>
        </w:rPr>
      </w:pPr>
      <w:r w:rsidRPr="00AF7357">
        <w:rPr>
          <w:noProof/>
          <w:lang w:eastAsia="en-GB"/>
        </w:rPr>
        <w:drawing>
          <wp:inline distT="0" distB="0" distL="0" distR="0" wp14:anchorId="65B9A5DF" wp14:editId="24000D9B">
            <wp:extent cx="4908550" cy="260858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908550" cy="2608580"/>
                    </a:xfrm>
                    <a:prstGeom prst="rect">
                      <a:avLst/>
                    </a:prstGeom>
                    <a:noFill/>
                    <a:ln>
                      <a:noFill/>
                    </a:ln>
                  </pic:spPr>
                </pic:pic>
              </a:graphicData>
            </a:graphic>
          </wp:inline>
        </w:drawing>
      </w:r>
    </w:p>
    <w:p w14:paraId="3FDAC975" w14:textId="7DD59F7C" w:rsidR="00DF1930" w:rsidRPr="00696757" w:rsidRDefault="00DF1930" w:rsidP="00951BEB">
      <w:pPr>
        <w:pStyle w:val="CT-SOURCE"/>
        <w:rPr>
          <w:b/>
          <w:noProof/>
        </w:rPr>
      </w:pPr>
      <w:r w:rsidRPr="00696757">
        <w:rPr>
          <w:noProof/>
        </w:rPr>
        <w:t>Source: PRIMES.</w:t>
      </w:r>
    </w:p>
    <w:p w14:paraId="0696A2D7" w14:textId="4E1742B6" w:rsidR="00A82B41" w:rsidRDefault="00A82B41" w:rsidP="0082262B">
      <w:pPr>
        <w:pStyle w:val="Text2"/>
        <w:rPr>
          <w:noProof/>
          <w:lang w:val="en-IE"/>
        </w:rPr>
      </w:pPr>
      <w:r w:rsidRPr="000A75B1">
        <w:rPr>
          <w:noProof/>
          <w:lang w:val="en-IE"/>
        </w:rPr>
        <w:t xml:space="preserve">By </w:t>
      </w:r>
      <w:r w:rsidR="00287B63" w:rsidRPr="00287B63">
        <w:rPr>
          <w:noProof/>
          <w:lang w:val="en-IE"/>
        </w:rPr>
        <w:t>2030</w:t>
      </w:r>
      <w:r w:rsidRPr="000A75B1">
        <w:rPr>
          <w:noProof/>
          <w:lang w:val="en-IE"/>
        </w:rPr>
        <w:t xml:space="preserve">, the EU’s nuclear </w:t>
      </w:r>
      <w:r w:rsidRPr="73C9755D">
        <w:rPr>
          <w:noProof/>
          <w:lang w:val="en-IE"/>
        </w:rPr>
        <w:t>power</w:t>
      </w:r>
      <w:r>
        <w:rPr>
          <w:noProof/>
          <w:lang w:val="en-IE"/>
        </w:rPr>
        <w:t xml:space="preserve"> capacity</w:t>
      </w:r>
      <w:r w:rsidRPr="000A75B1">
        <w:rPr>
          <w:noProof/>
          <w:lang w:val="en-IE"/>
        </w:rPr>
        <w:t xml:space="preserve"> is projected to decline </w:t>
      </w:r>
      <w:r>
        <w:rPr>
          <w:noProof/>
          <w:lang w:val="en-IE"/>
        </w:rPr>
        <w:t xml:space="preserve">from around </w:t>
      </w:r>
      <w:r w:rsidR="00287B63" w:rsidRPr="00287B63">
        <w:rPr>
          <w:noProof/>
          <w:lang w:val="en-IE"/>
        </w:rPr>
        <w:t>110</w:t>
      </w:r>
      <w:r>
        <w:rPr>
          <w:noProof/>
          <w:lang w:val="en-IE"/>
        </w:rPr>
        <w:t xml:space="preserve"> GW in </w:t>
      </w:r>
      <w:r w:rsidR="00287B63" w:rsidRPr="00287B63">
        <w:rPr>
          <w:noProof/>
          <w:lang w:val="en-IE"/>
        </w:rPr>
        <w:t>2015 to 95 GW in 2030 and</w:t>
      </w:r>
      <w:r>
        <w:rPr>
          <w:noProof/>
          <w:lang w:val="en-IE"/>
        </w:rPr>
        <w:t xml:space="preserve"> </w:t>
      </w:r>
      <w:r w:rsidRPr="778C0ED1">
        <w:rPr>
          <w:noProof/>
          <w:lang w:val="en-IE"/>
        </w:rPr>
        <w:t>7</w:t>
      </w:r>
      <w:r w:rsidR="4653B890" w:rsidRPr="778C0ED1">
        <w:rPr>
          <w:noProof/>
          <w:lang w:val="en-IE"/>
        </w:rPr>
        <w:t>0</w:t>
      </w:r>
      <w:r w:rsidRPr="778C0ED1">
        <w:rPr>
          <w:noProof/>
          <w:lang w:val="en-IE"/>
        </w:rPr>
        <w:t xml:space="preserve"> GW </w:t>
      </w:r>
      <w:r>
        <w:rPr>
          <w:noProof/>
          <w:lang w:val="en-IE"/>
        </w:rPr>
        <w:t>in 2040</w:t>
      </w:r>
      <w:r w:rsidR="00D75A9C">
        <w:rPr>
          <w:noProof/>
          <w:lang w:val="en-IE"/>
        </w:rPr>
        <w:t xml:space="preserve">, under </w:t>
      </w:r>
      <w:r w:rsidR="00D75A9C" w:rsidRPr="00D75A9C">
        <w:rPr>
          <w:noProof/>
          <w:lang w:val="en-IE"/>
        </w:rPr>
        <w:t>the current modelling assumptions, cf. sub-section 2.5.2.2</w:t>
      </w:r>
      <w:r w:rsidRPr="000A75B1">
        <w:rPr>
          <w:noProof/>
          <w:lang w:val="en-IE"/>
        </w:rPr>
        <w:t>.</w:t>
      </w:r>
      <w:r>
        <w:rPr>
          <w:noProof/>
          <w:lang w:val="en-IE"/>
        </w:rPr>
        <w:t xml:space="preserve"> The decline in capacity can be attributed to the policy decisions of the respective EU Member States</w:t>
      </w:r>
      <w:r w:rsidR="00432D3A">
        <w:rPr>
          <w:noProof/>
          <w:lang w:val="en-IE"/>
        </w:rPr>
        <w:t xml:space="preserve"> </w:t>
      </w:r>
      <w:r w:rsidRPr="00204EF0">
        <w:rPr>
          <w:noProof/>
          <w:lang w:val="en-IE"/>
        </w:rPr>
        <w:t>(</w:t>
      </w:r>
      <w:r>
        <w:rPr>
          <w:rStyle w:val="FootnoteReference"/>
          <w:noProof/>
          <w:lang w:val="en-IE"/>
        </w:rPr>
        <w:footnoteReference w:id="59"/>
      </w:r>
      <w:r>
        <w:rPr>
          <w:noProof/>
          <w:lang w:val="en-IE"/>
        </w:rPr>
        <w:t>)</w:t>
      </w:r>
      <w:r w:rsidR="00432D3A">
        <w:rPr>
          <w:noProof/>
          <w:lang w:val="en-IE"/>
        </w:rPr>
        <w:t>.</w:t>
      </w:r>
    </w:p>
    <w:p w14:paraId="593090D3" w14:textId="11F6D15F" w:rsidR="09407584" w:rsidRDefault="77D5B5DB" w:rsidP="09407584">
      <w:pPr>
        <w:pStyle w:val="Text2"/>
        <w:rPr>
          <w:noProof/>
          <w:lang w:val="en-IE"/>
        </w:rPr>
      </w:pPr>
      <w:r w:rsidRPr="09407584">
        <w:rPr>
          <w:noProof/>
          <w:lang w:val="en-IE"/>
        </w:rPr>
        <w:t xml:space="preserve">Only a limited use of CCS for power generation is projected in the considered scenarios. </w:t>
      </w:r>
      <w:r w:rsidR="00287B63" w:rsidRPr="00287B63">
        <w:rPr>
          <w:noProof/>
          <w:lang w:val="en-IE"/>
        </w:rPr>
        <w:t xml:space="preserve">In 2030, there is </w:t>
      </w:r>
      <w:r w:rsidR="003E443A">
        <w:rPr>
          <w:noProof/>
          <w:lang w:val="en-IE"/>
        </w:rPr>
        <w:t xml:space="preserve">only </w:t>
      </w:r>
      <w:r w:rsidR="00287B63" w:rsidRPr="00287B63">
        <w:rPr>
          <w:noProof/>
          <w:lang w:val="en-IE"/>
        </w:rPr>
        <w:t xml:space="preserve">a </w:t>
      </w:r>
      <w:r w:rsidR="003E443A">
        <w:rPr>
          <w:noProof/>
          <w:lang w:val="en-IE"/>
        </w:rPr>
        <w:t>small</w:t>
      </w:r>
      <w:r w:rsidRPr="09407584">
        <w:rPr>
          <w:noProof/>
          <w:lang w:val="en-IE"/>
        </w:rPr>
        <w:t xml:space="preserve"> amount of CCS-equipped installed capacity </w:t>
      </w:r>
      <w:r w:rsidR="00287B63" w:rsidRPr="00287B63">
        <w:rPr>
          <w:noProof/>
          <w:lang w:val="en-IE"/>
        </w:rPr>
        <w:t xml:space="preserve">which increases to </w:t>
      </w:r>
      <w:r w:rsidR="00E520CE">
        <w:rPr>
          <w:noProof/>
          <w:lang w:val="en-IE"/>
        </w:rPr>
        <w:t>10-</w:t>
      </w:r>
      <w:r w:rsidR="00287B63" w:rsidRPr="00287B63">
        <w:rPr>
          <w:noProof/>
          <w:lang w:val="en-IE"/>
        </w:rPr>
        <w:t>20</w:t>
      </w:r>
      <w:r w:rsidRPr="09407584">
        <w:rPr>
          <w:noProof/>
          <w:lang w:val="en-IE"/>
        </w:rPr>
        <w:t xml:space="preserve"> GW in 2040 </w:t>
      </w:r>
      <w:r w:rsidR="000550A9">
        <w:rPr>
          <w:noProof/>
          <w:lang w:val="en-IE"/>
        </w:rPr>
        <w:t>in S1-S2-S3</w:t>
      </w:r>
      <w:r w:rsidRPr="09407584">
        <w:rPr>
          <w:noProof/>
          <w:lang w:val="en-IE"/>
        </w:rPr>
        <w:t xml:space="preserve"> and 3</w:t>
      </w:r>
      <w:r w:rsidR="000550A9">
        <w:rPr>
          <w:noProof/>
          <w:lang w:val="en-IE"/>
        </w:rPr>
        <w:t>0</w:t>
      </w:r>
      <w:r w:rsidRPr="09407584">
        <w:rPr>
          <w:noProof/>
          <w:lang w:val="en-IE"/>
        </w:rPr>
        <w:t xml:space="preserve"> GW in 2050</w:t>
      </w:r>
      <w:r w:rsidR="00287B63" w:rsidRPr="00287B63">
        <w:rPr>
          <w:noProof/>
          <w:lang w:val="en-IE"/>
        </w:rPr>
        <w:t xml:space="preserve"> in the S2 scenario</w:t>
      </w:r>
      <w:r w:rsidRPr="09407584">
        <w:rPr>
          <w:noProof/>
          <w:lang w:val="en-IE"/>
        </w:rPr>
        <w:t>.</w:t>
      </w:r>
    </w:p>
    <w:p w14:paraId="5BF1D65D" w14:textId="6C5DDCCE" w:rsidR="00A82B41" w:rsidRDefault="00A82B41" w:rsidP="0082262B">
      <w:pPr>
        <w:pStyle w:val="Text2"/>
        <w:rPr>
          <w:noProof/>
          <w:lang w:val="en-IE"/>
        </w:rPr>
      </w:pPr>
      <w:r w:rsidRPr="3330C04A">
        <w:rPr>
          <w:noProof/>
          <w:lang w:val="en-IE"/>
        </w:rPr>
        <w:t xml:space="preserve">The difference in the scenarios for total installed capacity results from the higher electricity consumption in the S3 scenario. The difference to S1 in total installed capacity is </w:t>
      </w:r>
      <w:r w:rsidRPr="079BBC79">
        <w:rPr>
          <w:noProof/>
          <w:lang w:val="en-IE"/>
        </w:rPr>
        <w:t>3</w:t>
      </w:r>
      <w:r w:rsidR="000550A9">
        <w:rPr>
          <w:noProof/>
          <w:lang w:val="en-IE"/>
        </w:rPr>
        <w:t>45</w:t>
      </w:r>
      <w:r w:rsidRPr="3330C04A">
        <w:rPr>
          <w:noProof/>
          <w:lang w:val="en-IE"/>
        </w:rPr>
        <w:t xml:space="preserve"> GW, which is covered by higher renewable capacity deployment.</w:t>
      </w:r>
    </w:p>
    <w:p w14:paraId="7F956281" w14:textId="18565E5C" w:rsidR="00A14322" w:rsidRDefault="00B259F1" w:rsidP="0082262B">
      <w:pPr>
        <w:pStyle w:val="Text2"/>
        <w:rPr>
          <w:noProof/>
          <w:lang w:val="en-IE"/>
        </w:rPr>
      </w:pPr>
      <w:r>
        <w:rPr>
          <w:noProof/>
          <w:lang w:val="en-IE"/>
        </w:rPr>
        <w:t>Net installed renewable capacity increases</w:t>
      </w:r>
      <w:r w:rsidR="004629CA">
        <w:rPr>
          <w:noProof/>
          <w:lang w:val="en-IE"/>
        </w:rPr>
        <w:t xml:space="preserve"> dramatically by a factor of </w:t>
      </w:r>
      <w:r w:rsidR="00AD40E1">
        <w:rPr>
          <w:noProof/>
          <w:lang w:val="en-IE"/>
        </w:rPr>
        <w:t>4</w:t>
      </w:r>
      <w:r w:rsidR="000550A9">
        <w:rPr>
          <w:noProof/>
          <w:lang w:val="en-IE"/>
        </w:rPr>
        <w:t xml:space="preserve"> to </w:t>
      </w:r>
      <w:r w:rsidR="00AD40E1">
        <w:rPr>
          <w:noProof/>
          <w:lang w:val="en-IE"/>
        </w:rPr>
        <w:t>5</w:t>
      </w:r>
      <w:r w:rsidR="004629CA">
        <w:rPr>
          <w:noProof/>
          <w:lang w:val="en-IE"/>
        </w:rPr>
        <w:t xml:space="preserve"> between 2020 and 20</w:t>
      </w:r>
      <w:r w:rsidR="00AD40E1">
        <w:rPr>
          <w:noProof/>
          <w:lang w:val="en-IE"/>
        </w:rPr>
        <w:t>4</w:t>
      </w:r>
      <w:r w:rsidR="004629CA">
        <w:rPr>
          <w:noProof/>
          <w:lang w:val="en-IE"/>
        </w:rPr>
        <w:t>0</w:t>
      </w:r>
      <w:r w:rsidR="0075541C">
        <w:rPr>
          <w:noProof/>
          <w:lang w:val="en-IE"/>
        </w:rPr>
        <w:t xml:space="preserve"> </w:t>
      </w:r>
      <w:r w:rsidR="00E520CE">
        <w:rPr>
          <w:noProof/>
          <w:lang w:val="en-IE"/>
        </w:rPr>
        <w:t>(</w:t>
      </w:r>
      <w:r w:rsidR="0075541C">
        <w:rPr>
          <w:noProof/>
          <w:lang w:val="en-IE"/>
        </w:rPr>
        <w:t xml:space="preserve">see </w:t>
      </w:r>
      <w:r w:rsidR="0075541C">
        <w:rPr>
          <w:noProof/>
          <w:lang w:val="en-IE"/>
        </w:rPr>
        <w:fldChar w:fldCharType="begin"/>
      </w:r>
      <w:r w:rsidR="0075541C">
        <w:rPr>
          <w:noProof/>
          <w:lang w:val="en-IE"/>
        </w:rPr>
        <w:instrText xml:space="preserve"> REF _Ref146206199 \h </w:instrText>
      </w:r>
      <w:r w:rsidR="0075541C">
        <w:rPr>
          <w:noProof/>
          <w:lang w:val="en-IE"/>
        </w:rPr>
      </w:r>
      <w:r w:rsidR="0075541C">
        <w:rPr>
          <w:noProof/>
          <w:lang w:val="en-IE"/>
        </w:rPr>
        <w:fldChar w:fldCharType="separate"/>
      </w:r>
      <w:r w:rsidR="00170A3C">
        <w:rPr>
          <w:noProof/>
        </w:rPr>
        <w:t>Figure 22</w:t>
      </w:r>
      <w:r w:rsidR="0075541C">
        <w:rPr>
          <w:noProof/>
          <w:lang w:val="en-IE"/>
        </w:rPr>
        <w:fldChar w:fldCharType="end"/>
      </w:r>
      <w:r w:rsidR="0075541C">
        <w:rPr>
          <w:noProof/>
          <w:lang w:val="en-IE"/>
        </w:rPr>
        <w:t>).</w:t>
      </w:r>
    </w:p>
    <w:p w14:paraId="3CD7ACEE" w14:textId="5395DC38" w:rsidR="00952A7A" w:rsidRDefault="00952A7A" w:rsidP="00952A7A">
      <w:pPr>
        <w:pStyle w:val="Caption"/>
        <w:rPr>
          <w:noProof/>
        </w:rPr>
      </w:pPr>
      <w:bookmarkStart w:id="144" w:name="_Ref146206199"/>
      <w:bookmarkStart w:id="145" w:name="_Toc157679770"/>
      <w:r>
        <w:rPr>
          <w:noProof/>
        </w:rPr>
        <w:t xml:space="preserve">Figure </w:t>
      </w:r>
      <w:r>
        <w:rPr>
          <w:noProof/>
        </w:rPr>
        <w:fldChar w:fldCharType="begin"/>
      </w:r>
      <w:r>
        <w:rPr>
          <w:noProof/>
        </w:rPr>
        <w:instrText>SEQ Figure \* ARABIC</w:instrText>
      </w:r>
      <w:r>
        <w:rPr>
          <w:noProof/>
        </w:rPr>
        <w:fldChar w:fldCharType="separate"/>
      </w:r>
      <w:r w:rsidR="00170A3C">
        <w:rPr>
          <w:noProof/>
        </w:rPr>
        <w:t>22</w:t>
      </w:r>
      <w:r>
        <w:rPr>
          <w:noProof/>
        </w:rPr>
        <w:fldChar w:fldCharType="end"/>
      </w:r>
      <w:bookmarkEnd w:id="144"/>
      <w:r>
        <w:rPr>
          <w:noProof/>
        </w:rPr>
        <w:t xml:space="preserve">: </w:t>
      </w:r>
      <w:r w:rsidRPr="009B4513">
        <w:rPr>
          <w:noProof/>
        </w:rPr>
        <w:t>Net installed renewable capacity, 2015-2050</w:t>
      </w:r>
      <w:bookmarkEnd w:id="145"/>
    </w:p>
    <w:p w14:paraId="39120300" w14:textId="4ABBD982" w:rsidR="00A82B41" w:rsidRPr="00EA2B60" w:rsidRDefault="00F82FEC" w:rsidP="00F82FEC">
      <w:pPr>
        <w:jc w:val="center"/>
        <w:rPr>
          <w:noProof/>
        </w:rPr>
      </w:pPr>
      <w:r w:rsidRPr="00F82FEC">
        <w:rPr>
          <w:noProof/>
          <w:lang w:eastAsia="en-GB"/>
        </w:rPr>
        <w:drawing>
          <wp:inline distT="0" distB="0" distL="0" distR="0" wp14:anchorId="263325B9" wp14:editId="273C2DF5">
            <wp:extent cx="5401945" cy="251904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401945" cy="2519045"/>
                    </a:xfrm>
                    <a:prstGeom prst="rect">
                      <a:avLst/>
                    </a:prstGeom>
                    <a:noFill/>
                    <a:ln>
                      <a:noFill/>
                    </a:ln>
                  </pic:spPr>
                </pic:pic>
              </a:graphicData>
            </a:graphic>
          </wp:inline>
        </w:drawing>
      </w:r>
    </w:p>
    <w:p w14:paraId="137DAF89" w14:textId="339EB263" w:rsidR="00DF1930" w:rsidRPr="00696757" w:rsidRDefault="00DF1930" w:rsidP="00951BEB">
      <w:pPr>
        <w:pStyle w:val="CT-SOURCE"/>
        <w:rPr>
          <w:b/>
          <w:noProof/>
        </w:rPr>
      </w:pPr>
      <w:r w:rsidRPr="00696757">
        <w:rPr>
          <w:noProof/>
        </w:rPr>
        <w:t>Source: PRIMES.</w:t>
      </w:r>
    </w:p>
    <w:p w14:paraId="0309D6FE" w14:textId="35AF64E2" w:rsidR="00A82B41" w:rsidRDefault="00A82B41" w:rsidP="0082262B">
      <w:pPr>
        <w:pStyle w:val="Text2"/>
        <w:rPr>
          <w:noProof/>
          <w:lang w:val="en-IE"/>
        </w:rPr>
      </w:pPr>
      <w:r w:rsidRPr="53A1CCF7">
        <w:rPr>
          <w:noProof/>
          <w:lang w:val="en-IE"/>
        </w:rPr>
        <w:t xml:space="preserve">The increasingly high share of variable </w:t>
      </w:r>
      <w:r w:rsidR="009B67FE">
        <w:rPr>
          <w:noProof/>
          <w:lang w:val="en-IE"/>
        </w:rPr>
        <w:t xml:space="preserve">renewable </w:t>
      </w:r>
      <w:r w:rsidRPr="53A1CCF7">
        <w:rPr>
          <w:noProof/>
          <w:lang w:val="en-IE"/>
        </w:rPr>
        <w:t xml:space="preserve">electricity generation will increase flexibility requirements. </w:t>
      </w:r>
      <w:r w:rsidR="009B67FE" w:rsidRPr="00CB6EF6">
        <w:rPr>
          <w:noProof/>
          <w:lang w:val="en-IE"/>
        </w:rPr>
        <w:t>These flexibility needs will increasingly be addressed by new flexibility technologies</w:t>
      </w:r>
      <w:r w:rsidR="00CB6EF6" w:rsidRPr="00CB6EF6">
        <w:rPr>
          <w:noProof/>
          <w:lang w:val="en-IE"/>
        </w:rPr>
        <w:t xml:space="preserve"> and storage solutions. Regarding the latter, pumped hydro storage </w:t>
      </w:r>
      <w:r w:rsidRPr="53A1CCF7">
        <w:rPr>
          <w:noProof/>
          <w:lang w:val="en-IE"/>
        </w:rPr>
        <w:t xml:space="preserve">and </w:t>
      </w:r>
      <w:r w:rsidR="00CB6EF6" w:rsidRPr="00CB6EF6">
        <w:rPr>
          <w:noProof/>
          <w:lang w:val="en-IE"/>
        </w:rPr>
        <w:t xml:space="preserve">increasingly batteries will allow to store electricity when </w:t>
      </w:r>
      <w:r w:rsidR="00AC6E3C">
        <w:rPr>
          <w:noProof/>
          <w:lang w:val="en-IE"/>
        </w:rPr>
        <w:t>demand does not match supply</w:t>
      </w:r>
      <w:r w:rsidR="00CB6EF6" w:rsidRPr="00CB6EF6">
        <w:rPr>
          <w:noProof/>
          <w:lang w:val="en-IE"/>
        </w:rPr>
        <w:t>. Albeit not the main driver, electrolysers may also provide some form of storage in the form of power-to-</w:t>
      </w:r>
      <w:r w:rsidRPr="53A1CCF7">
        <w:rPr>
          <w:noProof/>
          <w:lang w:val="en-IE"/>
        </w:rPr>
        <w:t>power</w:t>
      </w:r>
      <w:r w:rsidR="00CB6EF6" w:rsidRPr="00CB6EF6">
        <w:rPr>
          <w:noProof/>
          <w:lang w:val="en-IE"/>
        </w:rPr>
        <w:t xml:space="preserve">. Total </w:t>
      </w:r>
      <w:r w:rsidRPr="53A1CCF7">
        <w:rPr>
          <w:noProof/>
          <w:lang w:val="en-IE"/>
        </w:rPr>
        <w:t xml:space="preserve">capacity </w:t>
      </w:r>
      <w:r w:rsidR="00CB6EF6" w:rsidRPr="00CB6EF6">
        <w:rPr>
          <w:noProof/>
          <w:lang w:val="en-IE"/>
        </w:rPr>
        <w:t xml:space="preserve">from technologies that may provide such </w:t>
      </w:r>
      <w:r w:rsidR="00287B63" w:rsidRPr="00287B63">
        <w:rPr>
          <w:noProof/>
          <w:lang w:val="en-IE"/>
        </w:rPr>
        <w:t xml:space="preserve">storage </w:t>
      </w:r>
      <w:r w:rsidR="00CB6EF6" w:rsidRPr="00CB6EF6">
        <w:rPr>
          <w:noProof/>
          <w:lang w:val="en-IE"/>
        </w:rPr>
        <w:t>solutions is</w:t>
      </w:r>
      <w:r w:rsidRPr="53A1CCF7">
        <w:rPr>
          <w:noProof/>
          <w:lang w:val="en-IE"/>
        </w:rPr>
        <w:t xml:space="preserve"> </w:t>
      </w:r>
      <w:r w:rsidR="00287B63" w:rsidRPr="00287B63">
        <w:rPr>
          <w:noProof/>
          <w:lang w:val="en-IE"/>
        </w:rPr>
        <w:t xml:space="preserve">multiplied by </w:t>
      </w:r>
      <w:r w:rsidR="004B34FE">
        <w:rPr>
          <w:noProof/>
          <w:lang w:val="en-IE"/>
        </w:rPr>
        <w:t>10</w:t>
      </w:r>
      <w:r w:rsidR="00287B63" w:rsidRPr="00287B63">
        <w:rPr>
          <w:noProof/>
          <w:lang w:val="en-IE"/>
        </w:rPr>
        <w:t xml:space="preserve"> (</w:t>
      </w:r>
      <w:r w:rsidRPr="53A1CCF7">
        <w:rPr>
          <w:noProof/>
          <w:lang w:val="en-IE"/>
        </w:rPr>
        <w:t xml:space="preserve">from </w:t>
      </w:r>
      <w:r w:rsidR="378E773E" w:rsidRPr="53A1CCF7">
        <w:rPr>
          <w:noProof/>
          <w:lang w:val="en-IE"/>
        </w:rPr>
        <w:t>50</w:t>
      </w:r>
      <w:r w:rsidRPr="53A1CCF7">
        <w:rPr>
          <w:noProof/>
          <w:lang w:val="en-IE"/>
        </w:rPr>
        <w:t xml:space="preserve"> to </w:t>
      </w:r>
      <w:r w:rsidR="007B5EFC">
        <w:rPr>
          <w:noProof/>
          <w:lang w:val="en-IE"/>
        </w:rPr>
        <w:t>350</w:t>
      </w:r>
      <w:r w:rsidR="00EE69FA">
        <w:rPr>
          <w:noProof/>
          <w:lang w:val="en-IE"/>
        </w:rPr>
        <w:t>-5</w:t>
      </w:r>
      <w:r w:rsidR="007B5EFC">
        <w:rPr>
          <w:noProof/>
          <w:lang w:val="en-IE"/>
        </w:rPr>
        <w:t>30</w:t>
      </w:r>
      <w:r w:rsidRPr="53A1CCF7">
        <w:rPr>
          <w:noProof/>
          <w:lang w:val="en-IE"/>
        </w:rPr>
        <w:t xml:space="preserve"> GW</w:t>
      </w:r>
      <w:r w:rsidR="00287B63" w:rsidRPr="00287B63">
        <w:rPr>
          <w:noProof/>
          <w:lang w:val="en-IE"/>
        </w:rPr>
        <w:t>)</w:t>
      </w:r>
      <w:r w:rsidRPr="53A1CCF7">
        <w:rPr>
          <w:noProof/>
          <w:lang w:val="en-IE"/>
        </w:rPr>
        <w:t xml:space="preserve"> between 2020 and </w:t>
      </w:r>
      <w:r w:rsidR="00287B63" w:rsidRPr="00287B63">
        <w:rPr>
          <w:noProof/>
          <w:lang w:val="en-IE"/>
        </w:rPr>
        <w:t xml:space="preserve">2040 </w:t>
      </w:r>
      <w:r w:rsidR="00EE69FA">
        <w:rPr>
          <w:noProof/>
          <w:lang w:val="en-IE"/>
        </w:rPr>
        <w:t xml:space="preserve">in the S1-S2-S3 </w:t>
      </w:r>
      <w:r w:rsidR="00413B0B">
        <w:rPr>
          <w:noProof/>
          <w:lang w:val="en-IE"/>
        </w:rPr>
        <w:t>(</w:t>
      </w:r>
      <w:r w:rsidR="00413B0B" w:rsidRPr="002838C5">
        <w:rPr>
          <w:noProof/>
          <w:lang w:val="en-IE"/>
        </w:rPr>
        <w:t>see</w:t>
      </w:r>
      <w:r w:rsidR="00413B0B">
        <w:rPr>
          <w:noProof/>
          <w:lang w:val="en-IE"/>
        </w:rPr>
        <w:t xml:space="preserve"> </w:t>
      </w:r>
      <w:r w:rsidR="002838C5" w:rsidRPr="002838C5">
        <w:rPr>
          <w:noProof/>
          <w:color w:val="2B579A"/>
          <w:shd w:val="clear" w:color="auto" w:fill="E6E6E6"/>
          <w:lang w:val="en-IE"/>
        </w:rPr>
        <w:fldChar w:fldCharType="begin"/>
      </w:r>
      <w:r w:rsidR="002838C5" w:rsidRPr="002838C5">
        <w:rPr>
          <w:noProof/>
          <w:color w:val="2B579A"/>
          <w:shd w:val="clear" w:color="auto" w:fill="E6E6E6"/>
          <w:lang w:val="en-IE"/>
        </w:rPr>
        <w:instrText xml:space="preserve"> REF _Ref147314041 \h </w:instrText>
      </w:r>
      <w:r w:rsidR="002838C5">
        <w:rPr>
          <w:noProof/>
          <w:color w:val="2B579A"/>
          <w:shd w:val="clear" w:color="auto" w:fill="E6E6E6"/>
          <w:lang w:val="en-IE"/>
        </w:rPr>
        <w:instrText xml:space="preserve"> \* MERGEFORMAT </w:instrText>
      </w:r>
      <w:r w:rsidR="002838C5" w:rsidRPr="002838C5">
        <w:rPr>
          <w:noProof/>
          <w:color w:val="2B579A"/>
          <w:shd w:val="clear" w:color="auto" w:fill="E6E6E6"/>
          <w:lang w:val="en-IE"/>
        </w:rPr>
      </w:r>
      <w:r w:rsidR="002838C5" w:rsidRPr="002838C5">
        <w:rPr>
          <w:noProof/>
          <w:color w:val="2B579A"/>
          <w:shd w:val="clear" w:color="auto" w:fill="E6E6E6"/>
          <w:lang w:val="en-IE"/>
        </w:rPr>
        <w:fldChar w:fldCharType="separate"/>
      </w:r>
      <w:r w:rsidR="00170A3C">
        <w:rPr>
          <w:noProof/>
        </w:rPr>
        <w:t>Figure 23</w:t>
      </w:r>
      <w:r w:rsidR="002838C5" w:rsidRPr="002838C5">
        <w:rPr>
          <w:noProof/>
          <w:color w:val="2B579A"/>
          <w:shd w:val="clear" w:color="auto" w:fill="E6E6E6"/>
          <w:lang w:val="en-IE"/>
        </w:rPr>
        <w:fldChar w:fldCharType="end"/>
      </w:r>
      <w:r w:rsidR="00413B0B">
        <w:rPr>
          <w:noProof/>
          <w:lang w:val="en-IE"/>
        </w:rPr>
        <w:t>)</w:t>
      </w:r>
      <w:r w:rsidRPr="00413B0B">
        <w:rPr>
          <w:noProof/>
          <w:lang w:val="en-IE"/>
        </w:rPr>
        <w:t>.</w:t>
      </w:r>
      <w:r w:rsidR="00EE69FA">
        <w:rPr>
          <w:noProof/>
          <w:lang w:val="en-IE"/>
        </w:rPr>
        <w:t xml:space="preserve"> </w:t>
      </w:r>
      <w:r w:rsidRPr="53A1CCF7">
        <w:rPr>
          <w:noProof/>
          <w:lang w:val="en-IE"/>
        </w:rPr>
        <w:t xml:space="preserve">Pumped-hydro storage capacity </w:t>
      </w:r>
      <w:r w:rsidR="007B5EFC">
        <w:rPr>
          <w:noProof/>
          <w:lang w:val="en-IE"/>
        </w:rPr>
        <w:t>is projected to</w:t>
      </w:r>
      <w:r w:rsidRPr="53A1CCF7">
        <w:rPr>
          <w:noProof/>
          <w:lang w:val="en-IE"/>
        </w:rPr>
        <w:t xml:space="preserve"> grow from 50 GW in 2020 to </w:t>
      </w:r>
      <w:r w:rsidR="007B5EFC">
        <w:rPr>
          <w:noProof/>
          <w:lang w:val="en-IE"/>
        </w:rPr>
        <w:t>75</w:t>
      </w:r>
      <w:r w:rsidRPr="53A1CCF7">
        <w:rPr>
          <w:noProof/>
          <w:lang w:val="en-IE"/>
        </w:rPr>
        <w:t xml:space="preserve"> GW in 2040. </w:t>
      </w:r>
      <w:r w:rsidR="00801C53" w:rsidRPr="53A1CCF7">
        <w:rPr>
          <w:noProof/>
          <w:lang w:val="en-IE"/>
        </w:rPr>
        <w:t xml:space="preserve">Deployment of battery storage is projected to accelerate </w:t>
      </w:r>
      <w:r w:rsidR="00287B63" w:rsidRPr="00287B63">
        <w:rPr>
          <w:noProof/>
          <w:lang w:val="en-IE"/>
        </w:rPr>
        <w:t xml:space="preserve">after 2030, from 100 GW to </w:t>
      </w:r>
      <w:r w:rsidR="00E30620">
        <w:rPr>
          <w:noProof/>
          <w:lang w:val="en-IE"/>
        </w:rPr>
        <w:t>135-200</w:t>
      </w:r>
      <w:r w:rsidR="00287B63" w:rsidRPr="00287B63">
        <w:rPr>
          <w:noProof/>
          <w:lang w:val="en-IE"/>
        </w:rPr>
        <w:t xml:space="preserve"> GW </w:t>
      </w:r>
      <w:r w:rsidR="00801C53" w:rsidRPr="53A1CCF7">
        <w:rPr>
          <w:noProof/>
          <w:lang w:val="en-IE"/>
        </w:rPr>
        <w:t xml:space="preserve">in </w:t>
      </w:r>
      <w:r w:rsidR="007B5EFC">
        <w:rPr>
          <w:noProof/>
          <w:lang w:val="en-IE"/>
        </w:rPr>
        <w:t>S1-S2-S3</w:t>
      </w:r>
      <w:r w:rsidR="00287B63" w:rsidRPr="00287B63">
        <w:rPr>
          <w:noProof/>
          <w:lang w:val="en-IE"/>
        </w:rPr>
        <w:t xml:space="preserve"> </w:t>
      </w:r>
      <w:r w:rsidR="00801C53" w:rsidRPr="53A1CCF7">
        <w:rPr>
          <w:noProof/>
          <w:lang w:val="en-IE"/>
        </w:rPr>
        <w:t xml:space="preserve">in 2040 </w:t>
      </w:r>
      <w:r w:rsidRPr="53A1CCF7">
        <w:rPr>
          <w:noProof/>
          <w:lang w:val="en-IE"/>
        </w:rPr>
        <w:t>enabling mostly the daily and weekly storage of electricity. Electrolyser capacity increase</w:t>
      </w:r>
      <w:r w:rsidR="00E30620">
        <w:rPr>
          <w:noProof/>
          <w:lang w:val="en-IE"/>
        </w:rPr>
        <w:t>s</w:t>
      </w:r>
      <w:r w:rsidRPr="53A1CCF7">
        <w:rPr>
          <w:noProof/>
          <w:lang w:val="en-IE"/>
        </w:rPr>
        <w:t xml:space="preserve"> </w:t>
      </w:r>
      <w:r w:rsidR="007B5EFC">
        <w:rPr>
          <w:noProof/>
          <w:lang w:val="en-IE"/>
        </w:rPr>
        <w:t>from 30 GW in 2030</w:t>
      </w:r>
      <w:r w:rsidRPr="53A1CCF7">
        <w:rPr>
          <w:noProof/>
          <w:lang w:val="en-IE"/>
        </w:rPr>
        <w:t xml:space="preserve"> to </w:t>
      </w:r>
      <w:r w:rsidR="00E30620">
        <w:rPr>
          <w:noProof/>
          <w:lang w:val="en-IE"/>
        </w:rPr>
        <w:t>185-30</w:t>
      </w:r>
      <w:r w:rsidR="007B5EFC">
        <w:rPr>
          <w:noProof/>
          <w:lang w:val="en-IE"/>
        </w:rPr>
        <w:t>0</w:t>
      </w:r>
      <w:r w:rsidR="00287B63" w:rsidRPr="00287B63">
        <w:rPr>
          <w:noProof/>
          <w:lang w:val="en-IE"/>
        </w:rPr>
        <w:t xml:space="preserve"> GW in 2040.</w:t>
      </w:r>
      <w:r w:rsidR="00CB6EF6" w:rsidRPr="00CB6EF6">
        <w:rPr>
          <w:noProof/>
          <w:lang w:val="en-IE"/>
        </w:rPr>
        <w:t xml:space="preserve"> </w:t>
      </w:r>
      <w:r w:rsidR="00E30620">
        <w:rPr>
          <w:noProof/>
          <w:lang w:val="en-IE"/>
        </w:rPr>
        <w:t xml:space="preserve">The measures accompanying </w:t>
      </w:r>
      <w:r w:rsidR="00B669A2">
        <w:rPr>
          <w:noProof/>
          <w:lang w:val="en-IE"/>
        </w:rPr>
        <w:t>LIFE</w:t>
      </w:r>
      <w:r w:rsidR="00E30620">
        <w:rPr>
          <w:noProof/>
          <w:lang w:val="en-IE"/>
        </w:rPr>
        <w:t xml:space="preserve"> </w:t>
      </w:r>
      <w:r w:rsidR="007B5EFC">
        <w:rPr>
          <w:noProof/>
          <w:lang w:val="en-IE"/>
        </w:rPr>
        <w:t>reduce</w:t>
      </w:r>
      <w:r w:rsidR="00E30620">
        <w:rPr>
          <w:noProof/>
          <w:lang w:val="en-IE"/>
        </w:rPr>
        <w:t xml:space="preserve"> the need for flexibility</w:t>
      </w:r>
      <w:r w:rsidR="007B5EFC">
        <w:rPr>
          <w:noProof/>
          <w:lang w:val="en-IE"/>
        </w:rPr>
        <w:t>, in particular of electrolyser capacity</w:t>
      </w:r>
      <w:r w:rsidR="00E30620">
        <w:rPr>
          <w:noProof/>
          <w:lang w:val="en-IE"/>
        </w:rPr>
        <w:t xml:space="preserve">. </w:t>
      </w:r>
      <w:r w:rsidR="00CB6EF6" w:rsidRPr="00CB6EF6">
        <w:rPr>
          <w:noProof/>
          <w:lang w:val="en-IE"/>
        </w:rPr>
        <w:t xml:space="preserve">Comparing the </w:t>
      </w:r>
      <w:r w:rsidRPr="53A1CCF7">
        <w:rPr>
          <w:noProof/>
          <w:lang w:val="en-IE"/>
        </w:rPr>
        <w:t xml:space="preserve">2040 </w:t>
      </w:r>
      <w:r w:rsidR="00CB6EF6" w:rsidRPr="00CB6EF6">
        <w:rPr>
          <w:noProof/>
          <w:lang w:val="en-IE"/>
        </w:rPr>
        <w:t>scenarios, the increased deployment of renewables in S3 results</w:t>
      </w:r>
      <w:r w:rsidRPr="53A1CCF7">
        <w:rPr>
          <w:noProof/>
          <w:lang w:val="en-IE"/>
        </w:rPr>
        <w:t xml:space="preserve"> in </w:t>
      </w:r>
      <w:r w:rsidR="00CB6EF6" w:rsidRPr="00CB6EF6">
        <w:rPr>
          <w:noProof/>
          <w:lang w:val="en-IE"/>
        </w:rPr>
        <w:t xml:space="preserve">an additional </w:t>
      </w:r>
      <w:r w:rsidR="00544FD1">
        <w:rPr>
          <w:noProof/>
          <w:lang w:val="en-IE"/>
        </w:rPr>
        <w:t>180</w:t>
      </w:r>
      <w:r w:rsidR="00CB6EF6" w:rsidRPr="00CB6EF6">
        <w:rPr>
          <w:noProof/>
          <w:lang w:val="en-IE"/>
        </w:rPr>
        <w:t xml:space="preserve"> GW of installed storage </w:t>
      </w:r>
      <w:r w:rsidR="00381236">
        <w:rPr>
          <w:noProof/>
          <w:lang w:val="en-IE"/>
        </w:rPr>
        <w:t>technologies</w:t>
      </w:r>
      <w:r w:rsidR="00CB6EF6" w:rsidRPr="00CB6EF6">
        <w:rPr>
          <w:noProof/>
          <w:lang w:val="en-IE"/>
        </w:rPr>
        <w:t xml:space="preserve"> in comparison to S1. </w:t>
      </w:r>
      <w:r w:rsidR="00381236">
        <w:rPr>
          <w:noProof/>
          <w:lang w:val="en-IE"/>
        </w:rPr>
        <w:t>Between 2040 and</w:t>
      </w:r>
      <w:r w:rsidR="00CB6EF6" w:rsidRPr="00CB6EF6">
        <w:rPr>
          <w:noProof/>
          <w:lang w:val="en-IE"/>
        </w:rPr>
        <w:t xml:space="preserve"> </w:t>
      </w:r>
      <w:r w:rsidRPr="53A1CCF7">
        <w:rPr>
          <w:noProof/>
          <w:lang w:val="en-IE"/>
        </w:rPr>
        <w:t>2050</w:t>
      </w:r>
      <w:r w:rsidR="00CB6EF6" w:rsidRPr="00CB6EF6">
        <w:rPr>
          <w:noProof/>
          <w:lang w:val="en-IE"/>
        </w:rPr>
        <w:t>, batteries and pumped storage are projected to remain relatively stable, while electrolysers show a</w:t>
      </w:r>
      <w:r w:rsidR="007B5EFC">
        <w:rPr>
          <w:noProof/>
          <w:lang w:val="en-IE"/>
        </w:rPr>
        <w:t>dditional</w:t>
      </w:r>
      <w:r w:rsidR="00CB6EF6" w:rsidRPr="00CB6EF6">
        <w:rPr>
          <w:noProof/>
          <w:lang w:val="en-IE"/>
        </w:rPr>
        <w:t xml:space="preserve"> growth </w:t>
      </w:r>
      <w:r w:rsidR="00287B63" w:rsidRPr="00287B63">
        <w:rPr>
          <w:noProof/>
          <w:lang w:val="en-IE"/>
        </w:rPr>
        <w:t xml:space="preserve">(from </w:t>
      </w:r>
      <w:r w:rsidR="007B5EFC">
        <w:rPr>
          <w:noProof/>
          <w:lang w:val="en-IE"/>
        </w:rPr>
        <w:t>300</w:t>
      </w:r>
      <w:r w:rsidR="00287B63" w:rsidRPr="00287B63">
        <w:rPr>
          <w:noProof/>
          <w:lang w:val="en-IE"/>
        </w:rPr>
        <w:t xml:space="preserve"> to 5</w:t>
      </w:r>
      <w:r w:rsidR="007B5EFC">
        <w:rPr>
          <w:noProof/>
          <w:lang w:val="en-IE"/>
        </w:rPr>
        <w:t>3</w:t>
      </w:r>
      <w:r w:rsidR="00287B63" w:rsidRPr="00287B63">
        <w:rPr>
          <w:noProof/>
          <w:lang w:val="en-IE"/>
        </w:rPr>
        <w:t>5 GW).</w:t>
      </w:r>
    </w:p>
    <w:p w14:paraId="2B898665" w14:textId="01CA8B47" w:rsidR="00A82B41" w:rsidRDefault="00A82B41" w:rsidP="00FF1264">
      <w:pPr>
        <w:pStyle w:val="Caption"/>
        <w:rPr>
          <w:noProof/>
        </w:rPr>
      </w:pPr>
      <w:bookmarkStart w:id="146" w:name="_Ref140061306"/>
      <w:bookmarkStart w:id="147" w:name="_Ref140761373"/>
      <w:bookmarkStart w:id="148" w:name="_Ref143250624"/>
      <w:bookmarkStart w:id="149" w:name="_Ref147314041"/>
      <w:bookmarkStart w:id="150" w:name="_Toc157679771"/>
      <w:r>
        <w:rPr>
          <w:noProof/>
        </w:rPr>
        <w:t xml:space="preserve">Figure </w:t>
      </w:r>
      <w:bookmarkEnd w:id="146"/>
      <w:bookmarkEnd w:id="147"/>
      <w:bookmarkEnd w:id="148"/>
      <w:r w:rsidR="00F2742D">
        <w:rPr>
          <w:noProof/>
        </w:rPr>
        <w:fldChar w:fldCharType="begin"/>
      </w:r>
      <w:r w:rsidR="00F2742D">
        <w:rPr>
          <w:noProof/>
        </w:rPr>
        <w:instrText xml:space="preserve"> SEQ Figure \* ARABIC </w:instrText>
      </w:r>
      <w:r w:rsidR="00F2742D">
        <w:rPr>
          <w:noProof/>
        </w:rPr>
        <w:fldChar w:fldCharType="separate"/>
      </w:r>
      <w:r w:rsidR="00170A3C">
        <w:rPr>
          <w:noProof/>
        </w:rPr>
        <w:t>23</w:t>
      </w:r>
      <w:r w:rsidR="00F2742D">
        <w:rPr>
          <w:noProof/>
        </w:rPr>
        <w:fldChar w:fldCharType="end"/>
      </w:r>
      <w:bookmarkEnd w:id="149"/>
      <w:r>
        <w:rPr>
          <w:noProof/>
        </w:rPr>
        <w:t xml:space="preserve">: </w:t>
      </w:r>
      <w:r w:rsidRPr="00CA4171">
        <w:rPr>
          <w:noProof/>
        </w:rPr>
        <w:t>Net installed storage and new fuels production capacity, 2015-2050</w:t>
      </w:r>
      <w:bookmarkEnd w:id="150"/>
    </w:p>
    <w:p w14:paraId="55F5AC68" w14:textId="71B10148" w:rsidR="00A82B41" w:rsidRPr="0035302D" w:rsidRDefault="00F82FEC" w:rsidP="00F82FEC">
      <w:pPr>
        <w:jc w:val="center"/>
        <w:rPr>
          <w:noProof/>
          <w:lang w:val="en-IE"/>
        </w:rPr>
      </w:pPr>
      <w:r w:rsidRPr="00F82FEC">
        <w:rPr>
          <w:noProof/>
          <w:lang w:eastAsia="en-GB"/>
        </w:rPr>
        <w:drawing>
          <wp:inline distT="0" distB="0" distL="0" distR="0" wp14:anchorId="264630C8" wp14:editId="1DD43990">
            <wp:extent cx="5424805" cy="251904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424805" cy="2519045"/>
                    </a:xfrm>
                    <a:prstGeom prst="rect">
                      <a:avLst/>
                    </a:prstGeom>
                    <a:noFill/>
                    <a:ln>
                      <a:noFill/>
                    </a:ln>
                  </pic:spPr>
                </pic:pic>
              </a:graphicData>
            </a:graphic>
          </wp:inline>
        </w:drawing>
      </w:r>
    </w:p>
    <w:p w14:paraId="5B466013" w14:textId="77777777" w:rsidR="00DF1930" w:rsidRPr="00404FEC" w:rsidRDefault="00DF1930" w:rsidP="00951BEB">
      <w:pPr>
        <w:pStyle w:val="CT-SOURCE"/>
        <w:rPr>
          <w:b/>
          <w:noProof/>
        </w:rPr>
      </w:pPr>
      <w:r w:rsidRPr="00404FEC">
        <w:rPr>
          <w:noProof/>
        </w:rPr>
        <w:t>Source: PRIMES.</w:t>
      </w:r>
    </w:p>
    <w:p w14:paraId="4CE3E8D9" w14:textId="02F2DE40" w:rsidR="00A82B41" w:rsidRDefault="00CB6EF6" w:rsidP="0082262B">
      <w:pPr>
        <w:pStyle w:val="Text2"/>
        <w:rPr>
          <w:noProof/>
          <w:lang w:val="en-IE"/>
        </w:rPr>
      </w:pPr>
      <w:bookmarkStart w:id="151" w:name="_Hlk146906741"/>
      <w:r w:rsidRPr="00CB6EF6">
        <w:rPr>
          <w:noProof/>
          <w:lang w:val="en-IE"/>
        </w:rPr>
        <w:t>Power-to-X technologies provide additional flexibility in the future by adjusting production levels to match the pattern of intermittent electricity generation. Installed power-to-gas and power-to-liquid capacit</w:t>
      </w:r>
      <w:r w:rsidR="0030733E">
        <w:rPr>
          <w:noProof/>
          <w:lang w:val="en-IE"/>
        </w:rPr>
        <w:t>ies</w:t>
      </w:r>
      <w:r w:rsidRPr="00CB6EF6">
        <w:rPr>
          <w:noProof/>
          <w:lang w:val="en-IE"/>
        </w:rPr>
        <w:t xml:space="preserve"> remain relatively low amounting to </w:t>
      </w:r>
      <w:r w:rsidR="00DE5ABF">
        <w:rPr>
          <w:noProof/>
          <w:lang w:val="en-IE"/>
        </w:rPr>
        <w:t>5</w:t>
      </w:r>
      <w:r w:rsidR="00E30620">
        <w:rPr>
          <w:noProof/>
          <w:lang w:val="en-IE"/>
        </w:rPr>
        <w:t>-</w:t>
      </w:r>
      <w:r w:rsidR="00DE5ABF">
        <w:rPr>
          <w:noProof/>
          <w:lang w:val="en-IE"/>
        </w:rPr>
        <w:t>20</w:t>
      </w:r>
      <w:r w:rsidRPr="00CB6EF6">
        <w:rPr>
          <w:noProof/>
          <w:lang w:val="en-IE"/>
        </w:rPr>
        <w:t xml:space="preserve"> GW and </w:t>
      </w:r>
      <w:r w:rsidR="00DE5ABF">
        <w:rPr>
          <w:noProof/>
          <w:lang w:val="en-IE"/>
        </w:rPr>
        <w:t>20</w:t>
      </w:r>
      <w:r w:rsidR="00E30620">
        <w:rPr>
          <w:noProof/>
          <w:lang w:val="en-IE"/>
        </w:rPr>
        <w:t>-</w:t>
      </w:r>
      <w:r w:rsidR="00DE5ABF">
        <w:rPr>
          <w:noProof/>
          <w:lang w:val="en-IE"/>
        </w:rPr>
        <w:t>35</w:t>
      </w:r>
      <w:r w:rsidRPr="00CB6EF6">
        <w:rPr>
          <w:noProof/>
          <w:lang w:val="en-IE"/>
        </w:rPr>
        <w:t xml:space="preserve"> GW, respectively, by 2040. Power-to-X </w:t>
      </w:r>
      <w:r w:rsidR="00A82B41" w:rsidRPr="17E7E39E">
        <w:rPr>
          <w:noProof/>
          <w:lang w:val="en-IE"/>
        </w:rPr>
        <w:t>capacity</w:t>
      </w:r>
      <w:r w:rsidRPr="00CB6EF6">
        <w:rPr>
          <w:noProof/>
          <w:lang w:val="en-IE"/>
        </w:rPr>
        <w:t xml:space="preserve"> further increases from </w:t>
      </w:r>
      <w:r w:rsidR="007B5EFC">
        <w:rPr>
          <w:noProof/>
          <w:lang w:val="en-IE"/>
        </w:rPr>
        <w:t>55</w:t>
      </w:r>
      <w:r w:rsidRPr="00CB6EF6">
        <w:rPr>
          <w:noProof/>
          <w:lang w:val="en-IE"/>
        </w:rPr>
        <w:t xml:space="preserve"> GW in 2040 to </w:t>
      </w:r>
      <w:r w:rsidR="007B5EFC">
        <w:rPr>
          <w:noProof/>
          <w:lang w:val="en-IE"/>
        </w:rPr>
        <w:t>8</w:t>
      </w:r>
      <w:r w:rsidRPr="00CB6EF6">
        <w:rPr>
          <w:noProof/>
          <w:lang w:val="en-IE"/>
        </w:rPr>
        <w:t>5 GW in 2050</w:t>
      </w:r>
      <w:bookmarkEnd w:id="151"/>
      <w:r w:rsidRPr="00CB6EF6">
        <w:rPr>
          <w:noProof/>
          <w:lang w:val="en-IE"/>
        </w:rPr>
        <w:t>.</w:t>
      </w:r>
      <w:r w:rsidR="00EB091E">
        <w:rPr>
          <w:noProof/>
          <w:lang w:val="en-IE"/>
        </w:rPr>
        <w:t xml:space="preserve"> </w:t>
      </w:r>
    </w:p>
    <w:p w14:paraId="505583EE" w14:textId="74D5C2F5" w:rsidR="00A82B41" w:rsidRDefault="00A82B41" w:rsidP="0082262B">
      <w:pPr>
        <w:pStyle w:val="Text2"/>
        <w:rPr>
          <w:noProof/>
          <w:lang w:val="en-IE"/>
        </w:rPr>
      </w:pPr>
      <w:bookmarkStart w:id="152" w:name="_Hlk146906755"/>
      <w:r w:rsidRPr="53A1CCF7">
        <w:rPr>
          <w:noProof/>
          <w:lang w:val="en-IE"/>
        </w:rPr>
        <w:t>Electricity is stored in the form of direct electricity storage (via pumped-hydro storage or batteries) and chemical storage (via hydrogen or clean gas)</w:t>
      </w:r>
      <w:bookmarkEnd w:id="152"/>
      <w:r w:rsidRPr="53A1CCF7">
        <w:rPr>
          <w:noProof/>
          <w:lang w:val="en-IE"/>
        </w:rPr>
        <w:t xml:space="preserve">. </w:t>
      </w:r>
      <w:r w:rsidR="00337189">
        <w:rPr>
          <w:noProof/>
          <w:highlight w:val="yellow"/>
          <w:lang w:val="en-IE"/>
        </w:rPr>
        <w:fldChar w:fldCharType="begin"/>
      </w:r>
      <w:r w:rsidR="00337189">
        <w:rPr>
          <w:noProof/>
          <w:lang w:val="en-IE"/>
        </w:rPr>
        <w:instrText xml:space="preserve"> REF _Ref147324901 \h </w:instrText>
      </w:r>
      <w:r w:rsidR="00337189">
        <w:rPr>
          <w:noProof/>
          <w:highlight w:val="yellow"/>
          <w:lang w:val="en-IE"/>
        </w:rPr>
      </w:r>
      <w:r w:rsidR="00337189">
        <w:rPr>
          <w:noProof/>
          <w:highlight w:val="yellow"/>
          <w:lang w:val="en-IE"/>
        </w:rPr>
        <w:fldChar w:fldCharType="separate"/>
      </w:r>
      <w:r w:rsidR="00170A3C">
        <w:rPr>
          <w:noProof/>
        </w:rPr>
        <w:t>Figure 24</w:t>
      </w:r>
      <w:r w:rsidR="00337189">
        <w:rPr>
          <w:noProof/>
          <w:highlight w:val="yellow"/>
          <w:lang w:val="en-IE"/>
        </w:rPr>
        <w:fldChar w:fldCharType="end"/>
      </w:r>
      <w:r w:rsidR="00AF60D5">
        <w:rPr>
          <w:noProof/>
          <w:lang w:val="en-IE"/>
        </w:rPr>
        <w:t xml:space="preserve"> shows the stored energy across scenarios. </w:t>
      </w:r>
      <w:r w:rsidR="00486290" w:rsidRPr="00486290">
        <w:rPr>
          <w:noProof/>
          <w:lang w:val="en-IE"/>
        </w:rPr>
        <w:t>Storage</w:t>
      </w:r>
      <w:r w:rsidRPr="53A1CCF7">
        <w:rPr>
          <w:noProof/>
          <w:lang w:val="en-IE"/>
        </w:rPr>
        <w:t xml:space="preserve"> needs are currently met by </w:t>
      </w:r>
      <w:r w:rsidR="64F4B852" w:rsidRPr="53A1CCF7">
        <w:rPr>
          <w:noProof/>
          <w:lang w:val="en-IE"/>
        </w:rPr>
        <w:t xml:space="preserve">pumped hydro storage </w:t>
      </w:r>
      <w:r w:rsidRPr="53A1CCF7">
        <w:rPr>
          <w:noProof/>
          <w:lang w:val="en-IE"/>
        </w:rPr>
        <w:t xml:space="preserve">and increasingly batteries. </w:t>
      </w:r>
      <w:r w:rsidR="00A87AF9">
        <w:rPr>
          <w:noProof/>
          <w:lang w:val="en-IE"/>
        </w:rPr>
        <w:t>T</w:t>
      </w:r>
      <w:r w:rsidRPr="53A1CCF7">
        <w:rPr>
          <w:noProof/>
          <w:lang w:val="en-IE"/>
        </w:rPr>
        <w:t xml:space="preserve">he electricity stored in </w:t>
      </w:r>
      <w:r w:rsidR="1E783AF3" w:rsidRPr="53A1CCF7">
        <w:rPr>
          <w:noProof/>
          <w:lang w:val="en-IE"/>
        </w:rPr>
        <w:t>pumped hydro</w:t>
      </w:r>
      <w:r w:rsidRPr="53A1CCF7">
        <w:rPr>
          <w:noProof/>
          <w:lang w:val="en-IE"/>
        </w:rPr>
        <w:t xml:space="preserve"> </w:t>
      </w:r>
      <w:r w:rsidR="00934335">
        <w:rPr>
          <w:noProof/>
          <w:lang w:val="en-IE"/>
        </w:rPr>
        <w:t>is projected</w:t>
      </w:r>
      <w:r w:rsidR="00707B60">
        <w:rPr>
          <w:noProof/>
          <w:lang w:val="en-IE"/>
        </w:rPr>
        <w:t xml:space="preserve"> to</w:t>
      </w:r>
      <w:r w:rsidRPr="53A1CCF7">
        <w:rPr>
          <w:noProof/>
          <w:lang w:val="en-IE"/>
        </w:rPr>
        <w:t xml:space="preserve"> grow from 2</w:t>
      </w:r>
      <w:r w:rsidR="594DD53D" w:rsidRPr="53A1CCF7">
        <w:rPr>
          <w:noProof/>
          <w:lang w:val="en-IE"/>
        </w:rPr>
        <w:t>5</w:t>
      </w:r>
      <w:r w:rsidRPr="53A1CCF7">
        <w:rPr>
          <w:noProof/>
          <w:lang w:val="en-IE"/>
        </w:rPr>
        <w:t xml:space="preserve"> TWh in 20</w:t>
      </w:r>
      <w:r w:rsidR="00934335">
        <w:rPr>
          <w:noProof/>
          <w:lang w:val="en-IE"/>
        </w:rPr>
        <w:t>20</w:t>
      </w:r>
      <w:r w:rsidRPr="53A1CCF7">
        <w:rPr>
          <w:noProof/>
          <w:lang w:val="en-IE"/>
        </w:rPr>
        <w:t xml:space="preserve"> to </w:t>
      </w:r>
      <w:r w:rsidR="00E30620">
        <w:rPr>
          <w:noProof/>
          <w:lang w:val="en-IE"/>
        </w:rPr>
        <w:t>35-50</w:t>
      </w:r>
      <w:r w:rsidR="00287B63" w:rsidRPr="00287B63">
        <w:rPr>
          <w:noProof/>
          <w:lang w:val="en-IE"/>
        </w:rPr>
        <w:t xml:space="preserve"> TWh in 2040. Batteries are expected to surpass pumped hydro storage as the main source of providing storage between 2025 and 2030, reaching 160 TWh in 2030.</w:t>
      </w:r>
      <w:r w:rsidRPr="53A1CCF7">
        <w:rPr>
          <w:noProof/>
          <w:lang w:val="en-IE"/>
        </w:rPr>
        <w:t xml:space="preserve"> </w:t>
      </w:r>
      <w:r w:rsidR="00486290" w:rsidRPr="00486290">
        <w:rPr>
          <w:noProof/>
          <w:lang w:val="en-IE"/>
        </w:rPr>
        <w:t xml:space="preserve">By 2040, </w:t>
      </w:r>
      <w:r w:rsidR="00544FD1">
        <w:rPr>
          <w:noProof/>
          <w:lang w:val="en-IE"/>
        </w:rPr>
        <w:t>e</w:t>
      </w:r>
      <w:r w:rsidR="00486290" w:rsidRPr="00486290">
        <w:rPr>
          <w:noProof/>
          <w:lang w:val="en-IE"/>
        </w:rPr>
        <w:t xml:space="preserve">lectricity </w:t>
      </w:r>
      <w:r w:rsidRPr="53A1CCF7">
        <w:rPr>
          <w:noProof/>
          <w:lang w:val="en-IE"/>
        </w:rPr>
        <w:t xml:space="preserve">stored </w:t>
      </w:r>
      <w:r w:rsidR="6E77244D" w:rsidRPr="53A1CCF7">
        <w:rPr>
          <w:noProof/>
          <w:lang w:val="en-IE"/>
        </w:rPr>
        <w:t>in</w:t>
      </w:r>
      <w:r w:rsidRPr="53A1CCF7">
        <w:rPr>
          <w:noProof/>
          <w:lang w:val="en-IE"/>
        </w:rPr>
        <w:t xml:space="preserve"> electrolysers (</w:t>
      </w:r>
      <w:r w:rsidR="00E30620">
        <w:rPr>
          <w:noProof/>
          <w:lang w:val="en-IE"/>
        </w:rPr>
        <w:t>10-7</w:t>
      </w:r>
      <w:r w:rsidR="6293DA37" w:rsidRPr="53A1CCF7">
        <w:rPr>
          <w:noProof/>
          <w:lang w:val="en-IE"/>
        </w:rPr>
        <w:t>0</w:t>
      </w:r>
      <w:r w:rsidRPr="53A1CCF7">
        <w:rPr>
          <w:noProof/>
          <w:lang w:val="en-IE"/>
        </w:rPr>
        <w:t xml:space="preserve"> TWh) </w:t>
      </w:r>
      <w:r w:rsidR="00544FD1">
        <w:rPr>
          <w:noProof/>
          <w:lang w:val="en-IE"/>
        </w:rPr>
        <w:t>plays</w:t>
      </w:r>
      <w:r w:rsidR="00486290" w:rsidRPr="00486290">
        <w:rPr>
          <w:noProof/>
          <w:lang w:val="en-IE"/>
        </w:rPr>
        <w:t xml:space="preserve"> a minor role in providing storage to the electricity system </w:t>
      </w:r>
      <w:r w:rsidR="00544FD1">
        <w:rPr>
          <w:noProof/>
          <w:lang w:val="en-IE"/>
        </w:rPr>
        <w:t>than that stored</w:t>
      </w:r>
      <w:r w:rsidRPr="53A1CCF7">
        <w:rPr>
          <w:noProof/>
          <w:lang w:val="en-IE"/>
        </w:rPr>
        <w:t xml:space="preserve"> in batteries (</w:t>
      </w:r>
      <w:r w:rsidR="00E30620">
        <w:rPr>
          <w:noProof/>
          <w:lang w:val="en-IE"/>
        </w:rPr>
        <w:t>200-240</w:t>
      </w:r>
      <w:r w:rsidRPr="53A1CCF7">
        <w:rPr>
          <w:noProof/>
          <w:lang w:val="en-IE"/>
        </w:rPr>
        <w:t xml:space="preserve"> TWh</w:t>
      </w:r>
      <w:r w:rsidR="00486290" w:rsidRPr="00486290">
        <w:rPr>
          <w:noProof/>
          <w:lang w:val="en-IE"/>
        </w:rPr>
        <w:t>),</w:t>
      </w:r>
      <w:r w:rsidRPr="53A1CCF7">
        <w:rPr>
          <w:noProof/>
          <w:lang w:val="en-IE"/>
        </w:rPr>
        <w:t xml:space="preserve"> as the available electrolyser capacity to produce hydrogen</w:t>
      </w:r>
      <w:r w:rsidR="00E921C9">
        <w:rPr>
          <w:noProof/>
          <w:lang w:val="en-IE"/>
        </w:rPr>
        <w:t xml:space="preserve"> (</w:t>
      </w:r>
      <w:r w:rsidR="00E921C9" w:rsidRPr="00932BE5">
        <w:rPr>
          <w:noProof/>
          <w:lang w:val="en-IE"/>
        </w:rPr>
        <w:t xml:space="preserve">see </w:t>
      </w:r>
      <w:r w:rsidR="00932BE5" w:rsidRPr="00932BE5">
        <w:rPr>
          <w:noProof/>
          <w:lang w:val="en-IE"/>
        </w:rPr>
        <w:fldChar w:fldCharType="begin"/>
      </w:r>
      <w:r w:rsidR="00932BE5" w:rsidRPr="00932BE5">
        <w:rPr>
          <w:noProof/>
          <w:lang w:val="en-IE"/>
        </w:rPr>
        <w:instrText xml:space="preserve"> REF _Ref147314041 \h </w:instrText>
      </w:r>
      <w:r w:rsidR="00932BE5">
        <w:rPr>
          <w:noProof/>
          <w:lang w:val="en-IE"/>
        </w:rPr>
        <w:instrText xml:space="preserve"> \* MERGEFORMAT </w:instrText>
      </w:r>
      <w:r w:rsidR="00932BE5" w:rsidRPr="00932BE5">
        <w:rPr>
          <w:noProof/>
          <w:lang w:val="en-IE"/>
        </w:rPr>
      </w:r>
      <w:r w:rsidR="00932BE5" w:rsidRPr="00932BE5">
        <w:rPr>
          <w:noProof/>
          <w:lang w:val="en-IE"/>
        </w:rPr>
        <w:fldChar w:fldCharType="separate"/>
      </w:r>
      <w:r w:rsidR="00170A3C">
        <w:rPr>
          <w:noProof/>
        </w:rPr>
        <w:t>Figure 23</w:t>
      </w:r>
      <w:r w:rsidR="00932BE5" w:rsidRPr="00932BE5">
        <w:rPr>
          <w:noProof/>
          <w:lang w:val="en-IE"/>
        </w:rPr>
        <w:fldChar w:fldCharType="end"/>
      </w:r>
      <w:r w:rsidR="00E921C9">
        <w:rPr>
          <w:noProof/>
          <w:lang w:val="en-IE"/>
        </w:rPr>
        <w:t>)</w:t>
      </w:r>
      <w:r w:rsidRPr="53A1CCF7">
        <w:rPr>
          <w:noProof/>
          <w:lang w:val="en-IE"/>
        </w:rPr>
        <w:t xml:space="preserve"> will be used in sectors </w:t>
      </w:r>
      <w:r w:rsidR="00934335">
        <w:rPr>
          <w:noProof/>
          <w:lang w:val="en-IE"/>
        </w:rPr>
        <w:t>other</w:t>
      </w:r>
      <w:r w:rsidRPr="53A1CCF7">
        <w:rPr>
          <w:noProof/>
          <w:lang w:val="en-IE"/>
        </w:rPr>
        <w:t xml:space="preserve"> than the power sector. In 2040, methane storage, </w:t>
      </w:r>
      <w:r w:rsidR="00803EC2" w:rsidRPr="53A1CCF7">
        <w:rPr>
          <w:noProof/>
          <w:lang w:val="en-IE"/>
        </w:rPr>
        <w:t>i.e.,</w:t>
      </w:r>
      <w:r w:rsidRPr="53A1CCF7">
        <w:rPr>
          <w:noProof/>
          <w:lang w:val="en-IE"/>
        </w:rPr>
        <w:t xml:space="preserve"> clean gas, will play a minor role covering </w:t>
      </w:r>
      <w:r w:rsidR="009713B9">
        <w:rPr>
          <w:noProof/>
          <w:lang w:val="en-IE"/>
        </w:rPr>
        <w:t>4-15</w:t>
      </w:r>
      <w:r w:rsidRPr="53A1CCF7">
        <w:rPr>
          <w:noProof/>
          <w:lang w:val="en-IE"/>
        </w:rPr>
        <w:t>% of stored electricity</w:t>
      </w:r>
      <w:r w:rsidR="00A87AF9">
        <w:rPr>
          <w:noProof/>
          <w:lang w:val="en-IE"/>
        </w:rPr>
        <w:t xml:space="preserve"> in S1-S2-S3</w:t>
      </w:r>
      <w:r w:rsidRPr="53A1CCF7">
        <w:rPr>
          <w:noProof/>
          <w:lang w:val="en-IE"/>
        </w:rPr>
        <w:t>.</w:t>
      </w:r>
      <w:r w:rsidR="009713B9">
        <w:rPr>
          <w:noProof/>
          <w:lang w:val="en-IE"/>
        </w:rPr>
        <w:t xml:space="preserve"> The measures of </w:t>
      </w:r>
      <w:r w:rsidR="00B669A2">
        <w:rPr>
          <w:noProof/>
          <w:lang w:val="en-IE"/>
        </w:rPr>
        <w:t>LIFE</w:t>
      </w:r>
      <w:r w:rsidR="009713B9">
        <w:rPr>
          <w:noProof/>
          <w:lang w:val="en-IE"/>
        </w:rPr>
        <w:t xml:space="preserve"> are projected to </w:t>
      </w:r>
      <w:r w:rsidR="00A87AF9">
        <w:rPr>
          <w:noProof/>
          <w:lang w:val="en-IE"/>
        </w:rPr>
        <w:t xml:space="preserve">result in </w:t>
      </w:r>
      <w:r w:rsidR="009713B9">
        <w:rPr>
          <w:noProof/>
          <w:lang w:val="en-IE"/>
        </w:rPr>
        <w:t xml:space="preserve">a </w:t>
      </w:r>
      <w:r w:rsidR="00A87AF9">
        <w:rPr>
          <w:noProof/>
          <w:lang w:val="en-IE"/>
        </w:rPr>
        <w:t xml:space="preserve">slight reduction in </w:t>
      </w:r>
      <w:r w:rsidR="009713B9">
        <w:rPr>
          <w:noProof/>
          <w:lang w:val="en-IE"/>
        </w:rPr>
        <w:t>stored electricity in 2040.</w:t>
      </w:r>
      <w:r w:rsidRPr="53A1CCF7">
        <w:rPr>
          <w:noProof/>
          <w:lang w:val="en-IE"/>
        </w:rPr>
        <w:t xml:space="preserve"> The </w:t>
      </w:r>
      <w:r w:rsidR="004724A6">
        <w:rPr>
          <w:noProof/>
          <w:lang w:val="en-IE"/>
        </w:rPr>
        <w:t>four</w:t>
      </w:r>
      <w:r w:rsidRPr="53A1CCF7">
        <w:rPr>
          <w:noProof/>
          <w:lang w:val="en-IE"/>
        </w:rPr>
        <w:t xml:space="preserve"> scenarios result in different compositions of stored electricity by technology. Methane storage displays a crucial uptake in S3 where it reaches </w:t>
      </w:r>
      <w:r w:rsidR="4FBCD8F7" w:rsidRPr="0EC50D0B">
        <w:rPr>
          <w:noProof/>
          <w:lang w:val="en-IE"/>
        </w:rPr>
        <w:t>50</w:t>
      </w:r>
      <w:r w:rsidRPr="53A1CCF7">
        <w:rPr>
          <w:noProof/>
          <w:lang w:val="en-IE"/>
        </w:rPr>
        <w:t xml:space="preserve"> TWh or 1</w:t>
      </w:r>
      <w:r w:rsidR="2EFEA4AF" w:rsidRPr="53A1CCF7">
        <w:rPr>
          <w:noProof/>
          <w:lang w:val="en-IE"/>
        </w:rPr>
        <w:t>5</w:t>
      </w:r>
      <w:r w:rsidRPr="53A1CCF7">
        <w:rPr>
          <w:noProof/>
          <w:lang w:val="en-IE"/>
        </w:rPr>
        <w:t xml:space="preserve">% of all stored electricity in 2040. The lower use of methane storage in S1 is compensated by hydrogen, which covers 20% of the total stored electricity, in contrast to S3, where it only accounts for </w:t>
      </w:r>
      <w:r w:rsidR="00CC7A7B">
        <w:rPr>
          <w:noProof/>
          <w:lang w:val="en-IE"/>
        </w:rPr>
        <w:t>4</w:t>
      </w:r>
      <w:r w:rsidRPr="53A1CCF7">
        <w:rPr>
          <w:noProof/>
          <w:lang w:val="en-IE"/>
        </w:rPr>
        <w:t>%.</w:t>
      </w:r>
      <w:r w:rsidR="00486290" w:rsidRPr="00486290">
        <w:rPr>
          <w:noProof/>
          <w:lang w:val="en-IE"/>
        </w:rPr>
        <w:t xml:space="preserve"> </w:t>
      </w:r>
      <w:r w:rsidR="3D2F923C" w:rsidRPr="1E2A294E">
        <w:rPr>
          <w:noProof/>
          <w:lang w:val="en-IE"/>
        </w:rPr>
        <w:t xml:space="preserve">Until 2050, batteries remain the dominant electricity storage covering </w:t>
      </w:r>
      <w:r w:rsidR="3D2F923C" w:rsidRPr="359A3E75">
        <w:rPr>
          <w:noProof/>
          <w:lang w:val="en-IE"/>
        </w:rPr>
        <w:t>6</w:t>
      </w:r>
      <w:r w:rsidR="0D97FC56" w:rsidRPr="359A3E75">
        <w:rPr>
          <w:noProof/>
          <w:lang w:val="en-IE"/>
        </w:rPr>
        <w:t>3</w:t>
      </w:r>
      <w:r w:rsidR="3D2F923C" w:rsidRPr="1E2A294E">
        <w:rPr>
          <w:noProof/>
          <w:lang w:val="en-IE"/>
        </w:rPr>
        <w:t xml:space="preserve">% of all stored electricity. </w:t>
      </w:r>
      <w:r w:rsidR="13A05A45" w:rsidRPr="0D5DE372">
        <w:rPr>
          <w:noProof/>
          <w:lang w:val="en-IE"/>
        </w:rPr>
        <w:t>The amount of total</w:t>
      </w:r>
      <w:r w:rsidRPr="38081C0D">
        <w:rPr>
          <w:noProof/>
          <w:lang w:val="en-IE"/>
        </w:rPr>
        <w:t xml:space="preserve"> stored electricity remains stable </w:t>
      </w:r>
      <w:r w:rsidR="13A05A45" w:rsidRPr="0D5DE372">
        <w:rPr>
          <w:noProof/>
          <w:lang w:val="en-IE"/>
        </w:rPr>
        <w:t xml:space="preserve">between 2040 and 2050 </w:t>
      </w:r>
      <w:r w:rsidRPr="38081C0D">
        <w:rPr>
          <w:noProof/>
          <w:lang w:val="en-IE"/>
        </w:rPr>
        <w:t xml:space="preserve">despite the uptake </w:t>
      </w:r>
      <w:r w:rsidR="13A05A45" w:rsidRPr="0D5DE372">
        <w:rPr>
          <w:noProof/>
          <w:lang w:val="en-IE"/>
        </w:rPr>
        <w:t xml:space="preserve">of renewables </w:t>
      </w:r>
      <w:r w:rsidRPr="38081C0D">
        <w:rPr>
          <w:noProof/>
          <w:lang w:val="en-IE"/>
        </w:rPr>
        <w:t xml:space="preserve">in </w:t>
      </w:r>
      <w:r w:rsidR="13A05A45" w:rsidRPr="0D5DE372">
        <w:rPr>
          <w:noProof/>
          <w:lang w:val="en-IE"/>
        </w:rPr>
        <w:t>the electricity mix.</w:t>
      </w:r>
    </w:p>
    <w:p w14:paraId="089080F6" w14:textId="4C2C52A9" w:rsidR="005E1BBC" w:rsidRDefault="005E1BBC" w:rsidP="005E1BBC">
      <w:pPr>
        <w:pStyle w:val="Caption"/>
        <w:rPr>
          <w:noProof/>
        </w:rPr>
      </w:pPr>
      <w:bookmarkStart w:id="153" w:name="_Ref142581258"/>
      <w:bookmarkStart w:id="154" w:name="_Ref144744151"/>
      <w:bookmarkStart w:id="155" w:name="_Ref147324901"/>
      <w:bookmarkStart w:id="156" w:name="_Toc157679772"/>
      <w:r>
        <w:rPr>
          <w:noProof/>
        </w:rPr>
        <w:t xml:space="preserve">Figure </w:t>
      </w:r>
      <w:bookmarkEnd w:id="153"/>
      <w:bookmarkEnd w:id="154"/>
      <w:r w:rsidR="00F2742D">
        <w:rPr>
          <w:noProof/>
        </w:rPr>
        <w:fldChar w:fldCharType="begin"/>
      </w:r>
      <w:r w:rsidR="00F2742D">
        <w:rPr>
          <w:noProof/>
        </w:rPr>
        <w:instrText xml:space="preserve"> SEQ Figure \* ARABIC </w:instrText>
      </w:r>
      <w:r w:rsidR="00F2742D">
        <w:rPr>
          <w:noProof/>
        </w:rPr>
        <w:fldChar w:fldCharType="separate"/>
      </w:r>
      <w:r w:rsidR="00170A3C">
        <w:rPr>
          <w:noProof/>
        </w:rPr>
        <w:t>24</w:t>
      </w:r>
      <w:r w:rsidR="00F2742D">
        <w:rPr>
          <w:noProof/>
        </w:rPr>
        <w:fldChar w:fldCharType="end"/>
      </w:r>
      <w:bookmarkEnd w:id="155"/>
      <w:r>
        <w:rPr>
          <w:noProof/>
        </w:rPr>
        <w:t xml:space="preserve">: </w:t>
      </w:r>
      <w:r w:rsidRPr="00B635CD">
        <w:rPr>
          <w:noProof/>
        </w:rPr>
        <w:t>Stored energy by technology, 2015-2050</w:t>
      </w:r>
      <w:bookmarkEnd w:id="156"/>
    </w:p>
    <w:p w14:paraId="1E6CE520" w14:textId="0ECEADBA" w:rsidR="003757E5" w:rsidRDefault="00133090" w:rsidP="003757E5">
      <w:pPr>
        <w:pStyle w:val="Text2"/>
        <w:jc w:val="center"/>
        <w:rPr>
          <w:noProof/>
        </w:rPr>
      </w:pPr>
      <w:r w:rsidRPr="00133090">
        <w:rPr>
          <w:noProof/>
          <w:lang w:eastAsia="en-GB"/>
        </w:rPr>
        <w:drawing>
          <wp:inline distT="0" distB="0" distL="0" distR="0" wp14:anchorId="64CEE19D" wp14:editId="7DAC41BD">
            <wp:extent cx="5472430" cy="229108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472430" cy="2291080"/>
                    </a:xfrm>
                    <a:prstGeom prst="rect">
                      <a:avLst/>
                    </a:prstGeom>
                    <a:noFill/>
                    <a:ln>
                      <a:noFill/>
                    </a:ln>
                  </pic:spPr>
                </pic:pic>
              </a:graphicData>
            </a:graphic>
          </wp:inline>
        </w:drawing>
      </w:r>
    </w:p>
    <w:p w14:paraId="36668EC0" w14:textId="2B740EEA" w:rsidR="00DF1930" w:rsidRPr="00436C1E" w:rsidRDefault="00797805" w:rsidP="00436C1E">
      <w:pPr>
        <w:pStyle w:val="Text2"/>
        <w:jc w:val="right"/>
        <w:rPr>
          <w:noProof/>
        </w:rPr>
      </w:pPr>
      <w:r w:rsidRPr="00797805">
        <w:rPr>
          <w:noProof/>
        </w:rPr>
        <w:t xml:space="preserve"> </w:t>
      </w:r>
      <w:r w:rsidR="00DF1930" w:rsidRPr="00436C1E">
        <w:rPr>
          <w:rFonts w:ascii="EC Square Sans Cond Pro" w:hAnsi="EC Square Sans Cond Pro"/>
          <w:noProof/>
        </w:rPr>
        <w:t>Source: PRIMES.</w:t>
      </w:r>
    </w:p>
    <w:p w14:paraId="690BD28E" w14:textId="77DFE574" w:rsidR="668C4673" w:rsidRDefault="668C4673" w:rsidP="6B3887E8">
      <w:pPr>
        <w:pStyle w:val="Caption"/>
        <w:rPr>
          <w:b w:val="0"/>
          <w:noProof/>
          <w:sz w:val="24"/>
          <w:szCs w:val="24"/>
        </w:rPr>
      </w:pPr>
      <w:r w:rsidRPr="6B3887E8">
        <w:rPr>
          <w:b w:val="0"/>
          <w:noProof/>
          <w:sz w:val="24"/>
          <w:szCs w:val="24"/>
        </w:rPr>
        <w:t>The five models used for this impact assessment show a high degree of similarity in the trajectory of the share of renewables in gross electricity generation, which increases quite steeply over the course of this decade to fulfil the Renewable Energy Directive and then at slower pace over the rest of the time horizon</w:t>
      </w:r>
      <w:r w:rsidR="00592B43">
        <w:rPr>
          <w:b w:val="0"/>
          <w:noProof/>
          <w:sz w:val="24"/>
          <w:szCs w:val="24"/>
        </w:rPr>
        <w:t xml:space="preserve">. </w:t>
      </w:r>
      <w:r w:rsidR="00551F13" w:rsidRPr="00063D55">
        <w:rPr>
          <w:b w:val="0"/>
          <w:noProof/>
          <w:sz w:val="24"/>
          <w:szCs w:val="24"/>
        </w:rPr>
        <w:fldChar w:fldCharType="begin"/>
      </w:r>
      <w:r w:rsidR="00551F13" w:rsidRPr="00551F13">
        <w:rPr>
          <w:b w:val="0"/>
          <w:noProof/>
          <w:sz w:val="24"/>
          <w:szCs w:val="24"/>
          <w:highlight w:val="yellow"/>
        </w:rPr>
        <w:instrText xml:space="preserve"> REF _Ref146211593 \h  \* MERGEFORMAT </w:instrText>
      </w:r>
      <w:r w:rsidR="00551F13" w:rsidRPr="00063D55">
        <w:rPr>
          <w:b w:val="0"/>
          <w:noProof/>
          <w:sz w:val="24"/>
          <w:szCs w:val="24"/>
        </w:rPr>
      </w:r>
      <w:r w:rsidR="00551F13" w:rsidRPr="00063D55">
        <w:rPr>
          <w:b w:val="0"/>
          <w:noProof/>
          <w:sz w:val="24"/>
          <w:szCs w:val="24"/>
        </w:rPr>
        <w:fldChar w:fldCharType="separate"/>
      </w:r>
      <w:r w:rsidR="00170A3C" w:rsidRPr="00170A3C">
        <w:rPr>
          <w:b w:val="0"/>
          <w:noProof/>
          <w:sz w:val="24"/>
          <w:szCs w:val="24"/>
        </w:rPr>
        <w:t>Figure 25</w:t>
      </w:r>
      <w:r w:rsidR="00551F13" w:rsidRPr="00063D55">
        <w:rPr>
          <w:b w:val="0"/>
          <w:noProof/>
          <w:sz w:val="24"/>
          <w:szCs w:val="24"/>
        </w:rPr>
        <w:fldChar w:fldCharType="end"/>
      </w:r>
      <w:r w:rsidR="00592B43" w:rsidRPr="00F03703">
        <w:rPr>
          <w:b w:val="0"/>
          <w:noProof/>
          <w:sz w:val="24"/>
          <w:szCs w:val="24"/>
        </w:rPr>
        <w:t xml:space="preserve"> </w:t>
      </w:r>
      <w:r w:rsidR="00592B43">
        <w:rPr>
          <w:b w:val="0"/>
          <w:noProof/>
          <w:sz w:val="24"/>
          <w:szCs w:val="24"/>
        </w:rPr>
        <w:t xml:space="preserve">shows </w:t>
      </w:r>
      <w:r w:rsidR="005E22DE">
        <w:rPr>
          <w:b w:val="0"/>
          <w:noProof/>
          <w:sz w:val="24"/>
          <w:szCs w:val="24"/>
        </w:rPr>
        <w:t xml:space="preserve">the share of renewables in </w:t>
      </w:r>
      <w:r w:rsidR="00435858">
        <w:rPr>
          <w:b w:val="0"/>
          <w:noProof/>
          <w:sz w:val="24"/>
          <w:szCs w:val="24"/>
        </w:rPr>
        <w:t>gross electricity gener</w:t>
      </w:r>
      <w:r w:rsidR="005E22DE">
        <w:rPr>
          <w:b w:val="0"/>
          <w:noProof/>
          <w:sz w:val="24"/>
          <w:szCs w:val="24"/>
        </w:rPr>
        <w:t>a</w:t>
      </w:r>
      <w:r w:rsidR="00435858">
        <w:rPr>
          <w:b w:val="0"/>
          <w:noProof/>
          <w:sz w:val="24"/>
          <w:szCs w:val="24"/>
        </w:rPr>
        <w:t>tion across models.</w:t>
      </w:r>
      <w:r w:rsidRPr="6B3887E8">
        <w:rPr>
          <w:b w:val="0"/>
          <w:noProof/>
          <w:sz w:val="24"/>
          <w:szCs w:val="24"/>
        </w:rPr>
        <w:t xml:space="preserve"> Four out of five models reach a renewable share in gross electricity generation around 85% in 2040, while one already achieves 90% by then. Then, in 2050 all five models identify that the share of renewables </w:t>
      </w:r>
      <w:r w:rsidR="003628C5">
        <w:rPr>
          <w:b w:val="0"/>
          <w:noProof/>
          <w:sz w:val="24"/>
          <w:szCs w:val="24"/>
        </w:rPr>
        <w:t>reaches</w:t>
      </w:r>
      <w:r w:rsidRPr="6B3887E8">
        <w:rPr>
          <w:b w:val="0"/>
          <w:noProof/>
          <w:sz w:val="24"/>
          <w:szCs w:val="24"/>
        </w:rPr>
        <w:t xml:space="preserve"> around 90% (87-9</w:t>
      </w:r>
      <w:r w:rsidR="00E069E2">
        <w:rPr>
          <w:b w:val="0"/>
          <w:noProof/>
          <w:sz w:val="24"/>
          <w:szCs w:val="24"/>
        </w:rPr>
        <w:t>3</w:t>
      </w:r>
      <w:r w:rsidRPr="6B3887E8">
        <w:rPr>
          <w:b w:val="0"/>
          <w:noProof/>
          <w:sz w:val="24"/>
          <w:szCs w:val="24"/>
        </w:rPr>
        <w:t>%)</w:t>
      </w:r>
      <w:r w:rsidR="009B67FE">
        <w:rPr>
          <w:b w:val="0"/>
          <w:noProof/>
          <w:sz w:val="24"/>
          <w:szCs w:val="24"/>
        </w:rPr>
        <w:t xml:space="preserve"> to achieve</w:t>
      </w:r>
      <w:r w:rsidRPr="6B3887E8">
        <w:rPr>
          <w:b w:val="0"/>
          <w:noProof/>
          <w:sz w:val="24"/>
          <w:szCs w:val="24"/>
        </w:rPr>
        <w:t xml:space="preserve"> the 2050 climate neutrality objective.</w:t>
      </w:r>
    </w:p>
    <w:p w14:paraId="42E7F7E5" w14:textId="19E49A21" w:rsidR="004350AA" w:rsidRDefault="004350AA" w:rsidP="004350AA">
      <w:pPr>
        <w:pStyle w:val="Caption"/>
        <w:rPr>
          <w:noProof/>
        </w:rPr>
      </w:pPr>
      <w:bookmarkStart w:id="157" w:name="_Ref146211593"/>
      <w:bookmarkStart w:id="158" w:name="_Toc157679773"/>
      <w:r>
        <w:rPr>
          <w:noProof/>
        </w:rPr>
        <w:t xml:space="preserve">Figure </w:t>
      </w:r>
      <w:r>
        <w:rPr>
          <w:noProof/>
        </w:rPr>
        <w:fldChar w:fldCharType="begin"/>
      </w:r>
      <w:r>
        <w:rPr>
          <w:noProof/>
        </w:rPr>
        <w:instrText>SEQ Figure \* ARABIC</w:instrText>
      </w:r>
      <w:r>
        <w:rPr>
          <w:noProof/>
        </w:rPr>
        <w:fldChar w:fldCharType="separate"/>
      </w:r>
      <w:r w:rsidR="00170A3C">
        <w:rPr>
          <w:noProof/>
        </w:rPr>
        <w:t>25</w:t>
      </w:r>
      <w:r>
        <w:rPr>
          <w:noProof/>
        </w:rPr>
        <w:fldChar w:fldCharType="end"/>
      </w:r>
      <w:bookmarkEnd w:id="157"/>
      <w:r>
        <w:rPr>
          <w:noProof/>
        </w:rPr>
        <w:t xml:space="preserve">: </w:t>
      </w:r>
      <w:r w:rsidRPr="00057157">
        <w:rPr>
          <w:noProof/>
        </w:rPr>
        <w:t>Share of renewables in gross electricity generation, 2019-2050</w:t>
      </w:r>
      <w:bookmarkEnd w:id="158"/>
    </w:p>
    <w:p w14:paraId="5D122248" w14:textId="3065E7FE" w:rsidR="668C4673" w:rsidRPr="001F3F85" w:rsidRDefault="00BD02A3" w:rsidP="00E069E2">
      <w:pPr>
        <w:rPr>
          <w:noProof/>
        </w:rPr>
      </w:pPr>
      <w:r w:rsidRPr="00BD02A3">
        <w:rPr>
          <w:noProof/>
          <w:lang w:eastAsia="en-GB"/>
        </w:rPr>
        <w:drawing>
          <wp:inline distT="0" distB="0" distL="0" distR="0" wp14:anchorId="7E60DA47" wp14:editId="2C30113C">
            <wp:extent cx="5349875" cy="2647950"/>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349875" cy="2647950"/>
                    </a:xfrm>
                    <a:prstGeom prst="rect">
                      <a:avLst/>
                    </a:prstGeom>
                    <a:noFill/>
                    <a:ln>
                      <a:noFill/>
                    </a:ln>
                  </pic:spPr>
                </pic:pic>
              </a:graphicData>
            </a:graphic>
          </wp:inline>
        </w:drawing>
      </w:r>
    </w:p>
    <w:p w14:paraId="01EEE465" w14:textId="14D0D60A" w:rsidR="6B940C0B" w:rsidRPr="00404FEC" w:rsidRDefault="6B940C0B" w:rsidP="005E74B4">
      <w:pPr>
        <w:pStyle w:val="CT-NOTE"/>
        <w:rPr>
          <w:i w:val="0"/>
          <w:noProof/>
        </w:rPr>
      </w:pPr>
      <w:r w:rsidRPr="00404FEC">
        <w:rPr>
          <w:noProof/>
        </w:rPr>
        <w:t>Note: renewables include solar PV, wind, hydro, concentration solar power, biomass, geothermal,</w:t>
      </w:r>
      <w:r w:rsidRPr="00404FEC">
        <w:rPr>
          <w:i w:val="0"/>
          <w:noProof/>
        </w:rPr>
        <w:t xml:space="preserve"> tidal and marine.</w:t>
      </w:r>
    </w:p>
    <w:p w14:paraId="3AAA29DB" w14:textId="14D0D60A" w:rsidR="668C4673" w:rsidRPr="001F3F85" w:rsidRDefault="668C4673" w:rsidP="005E74B4">
      <w:pPr>
        <w:pStyle w:val="CT-SOURCE"/>
        <w:rPr>
          <w:b/>
          <w:i w:val="0"/>
          <w:noProof/>
          <w:lang w:val="pt-BR"/>
        </w:rPr>
      </w:pPr>
      <w:r w:rsidRPr="00287B63">
        <w:rPr>
          <w:noProof/>
          <w:lang w:val="pt-PT"/>
        </w:rPr>
        <w:t>Sources: AMADEUS-METIS, EU-TIMES, POLES, POTEnCIA, PRIMES.</w:t>
      </w:r>
    </w:p>
    <w:p w14:paraId="575D8741" w14:textId="10CFBB25" w:rsidR="668C4673" w:rsidRDefault="668C4673" w:rsidP="6B3887E8">
      <w:pPr>
        <w:pStyle w:val="Caption"/>
        <w:rPr>
          <w:b w:val="0"/>
          <w:noProof/>
          <w:sz w:val="24"/>
          <w:szCs w:val="24"/>
        </w:rPr>
      </w:pPr>
      <w:r w:rsidRPr="6B3887E8">
        <w:rPr>
          <w:b w:val="0"/>
          <w:noProof/>
          <w:sz w:val="24"/>
          <w:szCs w:val="24"/>
        </w:rPr>
        <w:t>It is worth noting that while the share of renewables is very similar across the five models, the renewable electricity generation in absolute terms shows a large variation. While all models feature an increase in renewable electricity generation over time, that is more pronounced in PRIMES, POTEnCIA and EU-TIMES – which feature a very similar trajectory – than in POLES and AMADEUS-METIS.</w:t>
      </w:r>
    </w:p>
    <w:p w14:paraId="72675E2A" w14:textId="69A1E079" w:rsidR="00892429" w:rsidRPr="00411DE7" w:rsidRDefault="00A82B41" w:rsidP="00411DE7">
      <w:pPr>
        <w:pStyle w:val="Text2"/>
        <w:rPr>
          <w:noProof/>
          <w:lang w:val="en-IE"/>
        </w:rPr>
      </w:pPr>
      <w:bookmarkStart w:id="159" w:name="_Ref140062159"/>
      <w:r>
        <w:rPr>
          <w:noProof/>
          <w:lang w:val="en-IE"/>
        </w:rPr>
        <w:t xml:space="preserve">Projections for electricity generation across models show more variability </w:t>
      </w:r>
      <w:r w:rsidR="005E22DE">
        <w:rPr>
          <w:noProof/>
          <w:lang w:val="en-IE"/>
        </w:rPr>
        <w:t xml:space="preserve">as shown </w:t>
      </w:r>
      <w:r w:rsidR="00892429">
        <w:rPr>
          <w:noProof/>
          <w:lang w:val="en-IE"/>
        </w:rPr>
        <w:t>i</w:t>
      </w:r>
      <w:r w:rsidR="005E22DE">
        <w:rPr>
          <w:noProof/>
          <w:lang w:val="en-IE"/>
        </w:rPr>
        <w:t>n</w:t>
      </w:r>
      <w:r w:rsidR="00E70EC7">
        <w:rPr>
          <w:noProof/>
          <w:lang w:val="en-IE"/>
        </w:rPr>
        <w:t xml:space="preserve"> </w:t>
      </w:r>
      <w:r w:rsidR="00437B2F" w:rsidRPr="005A748B">
        <w:rPr>
          <w:noProof/>
          <w:lang w:val="en-IE"/>
        </w:rPr>
        <w:fldChar w:fldCharType="begin"/>
      </w:r>
      <w:r w:rsidR="00437B2F" w:rsidRPr="005A748B">
        <w:rPr>
          <w:noProof/>
          <w:lang w:val="en-IE"/>
        </w:rPr>
        <w:instrText xml:space="preserve"> REF _Ref146211461 \h </w:instrText>
      </w:r>
      <w:r w:rsidR="00E70EC7" w:rsidRPr="005A748B">
        <w:rPr>
          <w:noProof/>
          <w:lang w:val="en-IE"/>
        </w:rPr>
        <w:instrText xml:space="preserve"> \* MERGEFORMAT </w:instrText>
      </w:r>
      <w:r w:rsidR="00437B2F" w:rsidRPr="005A748B">
        <w:rPr>
          <w:noProof/>
          <w:lang w:val="en-IE"/>
        </w:rPr>
      </w:r>
      <w:r w:rsidR="00437B2F" w:rsidRPr="005A748B">
        <w:rPr>
          <w:noProof/>
          <w:lang w:val="en-IE"/>
        </w:rPr>
        <w:fldChar w:fldCharType="separate"/>
      </w:r>
      <w:r w:rsidR="00170A3C">
        <w:rPr>
          <w:noProof/>
        </w:rPr>
        <w:t>Figure 26</w:t>
      </w:r>
      <w:r w:rsidR="00437B2F" w:rsidRPr="005A748B">
        <w:rPr>
          <w:noProof/>
          <w:lang w:val="en-IE"/>
        </w:rPr>
        <w:fldChar w:fldCharType="end"/>
      </w:r>
      <w:r w:rsidRPr="00892429">
        <w:rPr>
          <w:i/>
          <w:iCs/>
          <w:noProof/>
          <w:lang w:val="en-IE"/>
        </w:rPr>
        <w:t>.</w:t>
      </w:r>
      <w:r>
        <w:rPr>
          <w:noProof/>
          <w:lang w:val="en-IE"/>
        </w:rPr>
        <w:t xml:space="preserve"> This happens because energy models have more degrees of freedom in computing indicators such as electricity generation (compared to indicators such as GAE th</w:t>
      </w:r>
      <w:r w:rsidR="00411DE7">
        <w:rPr>
          <w:noProof/>
          <w:lang w:val="en-IE"/>
        </w:rPr>
        <w:t>at</w:t>
      </w:r>
      <w:r>
        <w:rPr>
          <w:noProof/>
          <w:lang w:val="en-IE"/>
        </w:rPr>
        <w:t xml:space="preserve"> </w:t>
      </w:r>
      <w:r w:rsidR="000E3A95">
        <w:rPr>
          <w:noProof/>
          <w:lang w:val="en-IE"/>
        </w:rPr>
        <w:t>is</w:t>
      </w:r>
      <w:r>
        <w:rPr>
          <w:noProof/>
          <w:lang w:val="en-IE"/>
        </w:rPr>
        <w:t xml:space="preserve"> constrain</w:t>
      </w:r>
      <w:r w:rsidR="000E3A95">
        <w:rPr>
          <w:noProof/>
          <w:lang w:val="en-IE"/>
        </w:rPr>
        <w:t>ed</w:t>
      </w:r>
      <w:r>
        <w:rPr>
          <w:noProof/>
          <w:lang w:val="en-IE"/>
        </w:rPr>
        <w:t xml:space="preserve"> by assumptions </w:t>
      </w:r>
      <w:r w:rsidR="00E069E2">
        <w:rPr>
          <w:noProof/>
          <w:lang w:val="en-IE"/>
        </w:rPr>
        <w:t>on</w:t>
      </w:r>
      <w:r>
        <w:rPr>
          <w:noProof/>
          <w:lang w:val="en-IE"/>
        </w:rPr>
        <w:t xml:space="preserve"> economic activity and </w:t>
      </w:r>
      <w:r w:rsidR="00E069E2">
        <w:rPr>
          <w:noProof/>
          <w:lang w:val="en-IE"/>
        </w:rPr>
        <w:t>by</w:t>
      </w:r>
      <w:r>
        <w:rPr>
          <w:noProof/>
          <w:lang w:val="en-IE"/>
        </w:rPr>
        <w:t xml:space="preserve"> emissions reduction targets). For example, in 2040 the POTEnCIA model projects 13% more electricity generation th</w:t>
      </w:r>
      <w:r w:rsidR="47234477">
        <w:rPr>
          <w:noProof/>
          <w:lang w:val="en-IE"/>
        </w:rPr>
        <w:t>a</w:t>
      </w:r>
      <w:r>
        <w:rPr>
          <w:noProof/>
          <w:lang w:val="en-IE"/>
        </w:rPr>
        <w:t>n PRIMES</w:t>
      </w:r>
      <w:r w:rsidR="00E069E2">
        <w:rPr>
          <w:noProof/>
          <w:lang w:val="en-IE"/>
        </w:rPr>
        <w:t>, which</w:t>
      </w:r>
      <w:r>
        <w:rPr>
          <w:noProof/>
          <w:lang w:val="en-IE"/>
        </w:rPr>
        <w:t xml:space="preserve"> is largely due to a higher number of heat pumps deployed by the </w:t>
      </w:r>
      <w:bookmarkEnd w:id="159"/>
      <w:r w:rsidR="00E069E2">
        <w:rPr>
          <w:noProof/>
          <w:lang w:val="en-IE"/>
        </w:rPr>
        <w:t>former</w:t>
      </w:r>
      <w:r>
        <w:rPr>
          <w:noProof/>
          <w:lang w:val="en-IE"/>
        </w:rPr>
        <w:t xml:space="preserve"> mode</w:t>
      </w:r>
      <w:r w:rsidR="00401A54">
        <w:rPr>
          <w:noProof/>
          <w:lang w:val="en-IE"/>
        </w:rPr>
        <w:t>l</w:t>
      </w:r>
      <w:r w:rsidR="00E50918">
        <w:rPr>
          <w:noProof/>
          <w:lang w:val="en-IE"/>
        </w:rPr>
        <w:t>.</w:t>
      </w:r>
      <w:r w:rsidR="000E3A95">
        <w:rPr>
          <w:noProof/>
          <w:lang w:val="en-IE"/>
        </w:rPr>
        <w:t xml:space="preserve"> </w:t>
      </w:r>
      <w:r w:rsidR="00917538">
        <w:rPr>
          <w:noProof/>
          <w:lang w:val="en-IE"/>
        </w:rPr>
        <w:t xml:space="preserve">On the other hand, PRIMES deploys significantly more RFNBOs than POTEnCIA in 2040 and 2050, which results in higher electricity generation in 2050 in PRIMES. </w:t>
      </w:r>
      <w:r w:rsidR="000E3A95">
        <w:rPr>
          <w:noProof/>
          <w:lang w:val="en-IE"/>
        </w:rPr>
        <w:t>POLES</w:t>
      </w:r>
      <w:r w:rsidR="00990925">
        <w:rPr>
          <w:noProof/>
          <w:lang w:val="en-IE"/>
        </w:rPr>
        <w:t xml:space="preserve"> and AMADEUS-METIS sho</w:t>
      </w:r>
      <w:r w:rsidR="00E50918">
        <w:rPr>
          <w:noProof/>
          <w:lang w:val="en-IE"/>
        </w:rPr>
        <w:t>w</w:t>
      </w:r>
      <w:r w:rsidR="00990925">
        <w:rPr>
          <w:noProof/>
          <w:lang w:val="en-IE"/>
        </w:rPr>
        <w:t xml:space="preserve"> </w:t>
      </w:r>
      <w:r w:rsidR="00E50918">
        <w:rPr>
          <w:noProof/>
          <w:lang w:val="en-IE"/>
        </w:rPr>
        <w:t xml:space="preserve">the lowest level of electricity production throughout the time horizon </w:t>
      </w:r>
      <w:r w:rsidR="00E069E2">
        <w:rPr>
          <w:noProof/>
          <w:lang w:val="en-IE"/>
        </w:rPr>
        <w:t>and particularly in 2050. This is</w:t>
      </w:r>
      <w:r w:rsidR="00E868D3">
        <w:rPr>
          <w:noProof/>
          <w:lang w:val="en-IE"/>
        </w:rPr>
        <w:t xml:space="preserve"> mainly due to the fact that </w:t>
      </w:r>
      <w:r w:rsidR="00E069E2">
        <w:rPr>
          <w:noProof/>
          <w:lang w:val="en-IE"/>
        </w:rPr>
        <w:t xml:space="preserve">these models </w:t>
      </w:r>
      <w:r w:rsidR="00E868D3">
        <w:rPr>
          <w:noProof/>
          <w:lang w:val="en-IE"/>
        </w:rPr>
        <w:t xml:space="preserve">feature the smallest deployment of DAC and </w:t>
      </w:r>
      <w:r w:rsidR="00EF5CF1">
        <w:rPr>
          <w:noProof/>
          <w:lang w:val="en-IE"/>
        </w:rPr>
        <w:t>the smallest</w:t>
      </w:r>
      <w:r w:rsidR="00E868D3">
        <w:rPr>
          <w:noProof/>
          <w:lang w:val="en-IE"/>
        </w:rPr>
        <w:t xml:space="preserve"> production of </w:t>
      </w:r>
      <w:r w:rsidR="00262CD5">
        <w:rPr>
          <w:noProof/>
          <w:lang w:val="en-IE"/>
        </w:rPr>
        <w:t>e-</w:t>
      </w:r>
      <w:r w:rsidR="00E868D3">
        <w:rPr>
          <w:noProof/>
          <w:lang w:val="en-IE"/>
        </w:rPr>
        <w:t>fuels.</w:t>
      </w:r>
      <w:r w:rsidR="00917538">
        <w:rPr>
          <w:noProof/>
          <w:lang w:val="en-IE"/>
        </w:rPr>
        <w:t xml:space="preserve"> Overall, these results highlight the fact that different technology pathways are possible to reach the 2050 carbon neutrality target, which entail different levels of gross electricity generation.</w:t>
      </w:r>
    </w:p>
    <w:p w14:paraId="1819DC67" w14:textId="3FD01DB2" w:rsidR="00437B2F" w:rsidRDefault="00437B2F" w:rsidP="00437B2F">
      <w:pPr>
        <w:pStyle w:val="Caption"/>
        <w:rPr>
          <w:noProof/>
        </w:rPr>
      </w:pPr>
      <w:bookmarkStart w:id="160" w:name="_Ref146211461"/>
      <w:bookmarkStart w:id="161" w:name="_Toc157679774"/>
      <w:r>
        <w:rPr>
          <w:noProof/>
        </w:rPr>
        <w:t xml:space="preserve">Figure </w:t>
      </w:r>
      <w:r>
        <w:rPr>
          <w:noProof/>
        </w:rPr>
        <w:fldChar w:fldCharType="begin"/>
      </w:r>
      <w:r>
        <w:rPr>
          <w:noProof/>
        </w:rPr>
        <w:instrText>SEQ Figure \* ARABIC</w:instrText>
      </w:r>
      <w:r>
        <w:rPr>
          <w:noProof/>
        </w:rPr>
        <w:fldChar w:fldCharType="separate"/>
      </w:r>
      <w:r w:rsidR="00170A3C">
        <w:rPr>
          <w:noProof/>
        </w:rPr>
        <w:t>26</w:t>
      </w:r>
      <w:r>
        <w:rPr>
          <w:noProof/>
        </w:rPr>
        <w:fldChar w:fldCharType="end"/>
      </w:r>
      <w:bookmarkEnd w:id="160"/>
      <w:r>
        <w:rPr>
          <w:noProof/>
        </w:rPr>
        <w:t xml:space="preserve">: </w:t>
      </w:r>
      <w:r w:rsidRPr="00CB40AB">
        <w:rPr>
          <w:noProof/>
        </w:rPr>
        <w:t>Gross electricity generation in different energy models, 2019-2050</w:t>
      </w:r>
      <w:bookmarkEnd w:id="161"/>
    </w:p>
    <w:p w14:paraId="26FDA754" w14:textId="5CAEDF05" w:rsidR="00A82B41" w:rsidRDefault="00094B63" w:rsidP="0082262B">
      <w:pPr>
        <w:pStyle w:val="Text2"/>
        <w:rPr>
          <w:noProof/>
          <w:color w:val="2B579A"/>
          <w:shd w:val="clear" w:color="auto" w:fill="E6E6E6"/>
          <w:lang w:eastAsia="en-GB"/>
        </w:rPr>
      </w:pPr>
      <w:r>
        <w:rPr>
          <w:noProof/>
          <w:color w:val="2B579A"/>
          <w:shd w:val="clear" w:color="auto" w:fill="E6E6E6"/>
          <w:lang w:eastAsia="en-GB"/>
        </w:rPr>
        <w:drawing>
          <wp:inline distT="0" distB="0" distL="0" distR="0" wp14:anchorId="6E98D6F7" wp14:editId="2C382F5B">
            <wp:extent cx="5400000" cy="2711847"/>
            <wp:effectExtent l="0" t="0" r="0" b="0"/>
            <wp:docPr id="2088830560" name="Picture 2088830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400000" cy="2711847"/>
                    </a:xfrm>
                    <a:prstGeom prst="rect">
                      <a:avLst/>
                    </a:prstGeom>
                    <a:noFill/>
                  </pic:spPr>
                </pic:pic>
              </a:graphicData>
            </a:graphic>
          </wp:inline>
        </w:drawing>
      </w:r>
    </w:p>
    <w:p w14:paraId="471C89DE" w14:textId="093EE0AE" w:rsidR="00DF1930" w:rsidRPr="001A7DD9" w:rsidRDefault="00DF1930" w:rsidP="005E74B4">
      <w:pPr>
        <w:pStyle w:val="CT-SOURCE"/>
        <w:rPr>
          <w:b/>
          <w:i w:val="0"/>
          <w:noProof/>
          <w:lang w:val="pt-BR"/>
        </w:rPr>
      </w:pPr>
      <w:r w:rsidRPr="00390202">
        <w:rPr>
          <w:noProof/>
          <w:lang w:val="pt-PT"/>
        </w:rPr>
        <w:t>Sources: AMADEUS-METIS, EU-TIMES, POLES, POTEnCIA, PRIMES.</w:t>
      </w:r>
    </w:p>
    <w:p w14:paraId="7936DBE3" w14:textId="799704AA" w:rsidR="00CF0FB4" w:rsidRDefault="00D438EA" w:rsidP="00CF0FB4">
      <w:pPr>
        <w:pStyle w:val="Text2"/>
        <w:rPr>
          <w:noProof/>
        </w:rPr>
      </w:pPr>
      <w:r>
        <w:rPr>
          <w:noProof/>
        </w:rPr>
        <w:fldChar w:fldCharType="begin"/>
      </w:r>
      <w:r>
        <w:rPr>
          <w:noProof/>
        </w:rPr>
        <w:instrText xml:space="preserve"> REF _Ref152664478 \h </w:instrText>
      </w:r>
      <w:r>
        <w:rPr>
          <w:noProof/>
        </w:rPr>
      </w:r>
      <w:r>
        <w:rPr>
          <w:noProof/>
        </w:rPr>
        <w:fldChar w:fldCharType="separate"/>
      </w:r>
      <w:r w:rsidR="00170A3C">
        <w:rPr>
          <w:noProof/>
        </w:rPr>
        <w:t>Figure 27</w:t>
      </w:r>
      <w:r>
        <w:rPr>
          <w:noProof/>
        </w:rPr>
        <w:fldChar w:fldCharType="end"/>
      </w:r>
      <w:r>
        <w:rPr>
          <w:noProof/>
        </w:rPr>
        <w:t xml:space="preserve"> </w:t>
      </w:r>
      <w:r w:rsidR="00CF0FB4" w:rsidRPr="00A0704E">
        <w:rPr>
          <w:noProof/>
        </w:rPr>
        <w:t>compares annual</w:t>
      </w:r>
      <w:r w:rsidR="00CF0FB4">
        <w:rPr>
          <w:noProof/>
        </w:rPr>
        <w:t xml:space="preserve"> deployment of wind and PV in different scenarios to the average of recent years (2016-2050, blue line) and to the maximum value reached in 2022 (green line).</w:t>
      </w:r>
    </w:p>
    <w:p w14:paraId="37609325" w14:textId="77777777" w:rsidR="00D438EA" w:rsidRDefault="00D438EA" w:rsidP="00EA1199">
      <w:pPr>
        <w:pStyle w:val="Caption"/>
        <w:jc w:val="left"/>
        <w:rPr>
          <w:noProof/>
        </w:rPr>
      </w:pPr>
      <w:bookmarkStart w:id="162" w:name="_Ref147214831"/>
    </w:p>
    <w:p w14:paraId="232DC85A" w14:textId="39CD4F7D" w:rsidR="00D438EA" w:rsidRDefault="00D438EA" w:rsidP="00D438EA">
      <w:pPr>
        <w:pStyle w:val="Caption"/>
        <w:jc w:val="left"/>
        <w:rPr>
          <w:noProof/>
        </w:rPr>
      </w:pPr>
      <w:bookmarkStart w:id="163" w:name="_Ref152664478"/>
      <w:bookmarkStart w:id="164" w:name="_Toc157679775"/>
      <w:r>
        <w:rPr>
          <w:noProof/>
        </w:rPr>
        <w:t xml:space="preserve">Figure </w:t>
      </w:r>
      <w:r w:rsidR="00D12921">
        <w:rPr>
          <w:noProof/>
        </w:rPr>
        <w:fldChar w:fldCharType="begin"/>
      </w:r>
      <w:r w:rsidR="00D12921">
        <w:rPr>
          <w:noProof/>
        </w:rPr>
        <w:instrText xml:space="preserve"> SEQ Figure \* ARABIC </w:instrText>
      </w:r>
      <w:r w:rsidR="00D12921">
        <w:rPr>
          <w:noProof/>
        </w:rPr>
        <w:fldChar w:fldCharType="separate"/>
      </w:r>
      <w:r w:rsidR="00170A3C">
        <w:rPr>
          <w:noProof/>
        </w:rPr>
        <w:t>27</w:t>
      </w:r>
      <w:r w:rsidR="00D12921">
        <w:rPr>
          <w:noProof/>
        </w:rPr>
        <w:fldChar w:fldCharType="end"/>
      </w:r>
      <w:bookmarkEnd w:id="163"/>
      <w:r>
        <w:rPr>
          <w:noProof/>
        </w:rPr>
        <w:t xml:space="preserve">: </w:t>
      </w:r>
      <w:r w:rsidRPr="001960F8">
        <w:rPr>
          <w:noProof/>
        </w:rPr>
        <w:t>Average annual deployment of wind and PV</w:t>
      </w:r>
      <w:bookmarkEnd w:id="164"/>
    </w:p>
    <w:p w14:paraId="1CD19DDA" w14:textId="48B86060" w:rsidR="00D438EA" w:rsidRDefault="00D438EA" w:rsidP="00EA1199">
      <w:pPr>
        <w:pStyle w:val="Caption"/>
        <w:jc w:val="left"/>
        <w:rPr>
          <w:noProof/>
        </w:rPr>
      </w:pPr>
      <w:r>
        <w:rPr>
          <w:noProof/>
          <w:lang w:eastAsia="en-GB"/>
        </w:rPr>
        <w:drawing>
          <wp:inline distT="0" distB="0" distL="0" distR="0" wp14:anchorId="64562A93" wp14:editId="08E5169E">
            <wp:extent cx="5400000" cy="2473172"/>
            <wp:effectExtent l="0" t="0" r="0" b="381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400000" cy="2473172"/>
                    </a:xfrm>
                    <a:prstGeom prst="rect">
                      <a:avLst/>
                    </a:prstGeom>
                  </pic:spPr>
                </pic:pic>
              </a:graphicData>
            </a:graphic>
          </wp:inline>
        </w:drawing>
      </w:r>
    </w:p>
    <w:p w14:paraId="2814A41C" w14:textId="60F53479" w:rsidR="00D438EA" w:rsidRPr="00D438EA" w:rsidRDefault="00D438EA" w:rsidP="00D438EA">
      <w:pPr>
        <w:pStyle w:val="CT-NOTE"/>
        <w:rPr>
          <w:noProof/>
        </w:rPr>
      </w:pPr>
      <w:r>
        <w:rPr>
          <w:noProof/>
        </w:rPr>
        <w:t xml:space="preserve">Note: </w:t>
      </w:r>
      <w:r w:rsidRPr="00D438EA">
        <w:rPr>
          <w:noProof/>
        </w:rPr>
        <w:t>Blue line: average 2016-2020; Green line: max</w:t>
      </w:r>
      <w:r w:rsidR="00973244">
        <w:rPr>
          <w:noProof/>
        </w:rPr>
        <w:t xml:space="preserve"> historical</w:t>
      </w:r>
      <w:r w:rsidRPr="00D438EA">
        <w:rPr>
          <w:noProof/>
        </w:rPr>
        <w:t xml:space="preserve"> deployment </w:t>
      </w:r>
      <w:r w:rsidR="00973244">
        <w:rPr>
          <w:noProof/>
        </w:rPr>
        <w:t>(</w:t>
      </w:r>
      <w:r w:rsidR="009A1D1A">
        <w:rPr>
          <w:noProof/>
        </w:rPr>
        <w:t xml:space="preserve">occurred </w:t>
      </w:r>
      <w:r w:rsidRPr="00D438EA">
        <w:rPr>
          <w:noProof/>
        </w:rPr>
        <w:t>in 2022</w:t>
      </w:r>
      <w:r w:rsidR="009A1D1A">
        <w:rPr>
          <w:noProof/>
        </w:rPr>
        <w:t>)</w:t>
      </w:r>
      <w:r w:rsidRPr="00D438EA">
        <w:rPr>
          <w:noProof/>
        </w:rPr>
        <w:t>.</w:t>
      </w:r>
    </w:p>
    <w:p w14:paraId="3B0466F9" w14:textId="77777777" w:rsidR="00D438EA" w:rsidRDefault="00D438EA" w:rsidP="00D438EA">
      <w:pPr>
        <w:pStyle w:val="CT-SOURCE"/>
        <w:rPr>
          <w:noProof/>
        </w:rPr>
      </w:pPr>
      <w:r>
        <w:rPr>
          <w:noProof/>
        </w:rPr>
        <w:t>Source: PRIMES</w:t>
      </w:r>
    </w:p>
    <w:bookmarkEnd w:id="162"/>
    <w:p w14:paraId="4E7200FA" w14:textId="73EA35E5" w:rsidR="00CF0FB4" w:rsidRDefault="00CF0FB4" w:rsidP="00CF0FB4">
      <w:pPr>
        <w:rPr>
          <w:noProof/>
        </w:rPr>
      </w:pPr>
      <w:r>
        <w:rPr>
          <w:noProof/>
        </w:rPr>
        <w:t>The pace of the energy transition will increase in the 2031- 2040 decade, both compared to recent year and (especially in s</w:t>
      </w:r>
      <w:r w:rsidR="00397E0B" w:rsidRPr="00397E0B">
        <w:rPr>
          <w:noProof/>
        </w:rPr>
        <w:t xml:space="preserve"> </w:t>
      </w:r>
      <w:r>
        <w:rPr>
          <w:noProof/>
        </w:rPr>
        <w:t>ome scenarios) to the projections for 2030. Some patterns emerge across scenarios. The effort in the S1 scenario in the decade between 2030 and 2040 is comparable or slightly lower to that required to reach the 2030 target. However, in the 2041 – 2050 decade, the effort in S1 is significantly higher than in the other scenario</w:t>
      </w:r>
      <w:r w:rsidR="00661076">
        <w:rPr>
          <w:noProof/>
        </w:rPr>
        <w:t xml:space="preserve"> (see </w:t>
      </w:r>
      <w:r w:rsidR="00661076">
        <w:rPr>
          <w:noProof/>
          <w:highlight w:val="yellow"/>
        </w:rPr>
        <w:fldChar w:fldCharType="begin"/>
      </w:r>
      <w:r w:rsidR="00661076">
        <w:rPr>
          <w:noProof/>
        </w:rPr>
        <w:instrText xml:space="preserve"> REF _Ref147325754 \h </w:instrText>
      </w:r>
      <w:r w:rsidR="00661076">
        <w:rPr>
          <w:noProof/>
          <w:highlight w:val="yellow"/>
        </w:rPr>
      </w:r>
      <w:r w:rsidR="00661076">
        <w:rPr>
          <w:noProof/>
          <w:highlight w:val="yellow"/>
        </w:rPr>
        <w:fldChar w:fldCharType="separate"/>
      </w:r>
      <w:r w:rsidR="00170A3C">
        <w:rPr>
          <w:noProof/>
        </w:rPr>
        <w:t>Figure 28</w:t>
      </w:r>
      <w:r w:rsidR="00661076">
        <w:rPr>
          <w:noProof/>
          <w:highlight w:val="yellow"/>
        </w:rPr>
        <w:fldChar w:fldCharType="end"/>
      </w:r>
      <w:r w:rsidR="00661076">
        <w:rPr>
          <w:noProof/>
        </w:rPr>
        <w:t>)</w:t>
      </w:r>
      <w:r>
        <w:rPr>
          <w:noProof/>
        </w:rPr>
        <w:t>.</w:t>
      </w:r>
    </w:p>
    <w:p w14:paraId="069C4520" w14:textId="6A819720" w:rsidR="00CF0FB4" w:rsidRDefault="00CF0FB4" w:rsidP="00CF0FB4">
      <w:pPr>
        <w:rPr>
          <w:noProof/>
        </w:rPr>
      </w:pPr>
      <w:r>
        <w:rPr>
          <w:noProof/>
        </w:rPr>
        <w:t xml:space="preserve">On the contrary the S3 scenario </w:t>
      </w:r>
      <w:r w:rsidR="002A5A67">
        <w:rPr>
          <w:noProof/>
        </w:rPr>
        <w:t>anticipates</w:t>
      </w:r>
      <w:r>
        <w:rPr>
          <w:noProof/>
        </w:rPr>
        <w:t xml:space="preserve"> decarbonisation in the years 2031-2040 with lower effort required up to 2050. The S2 scenario lies in between S1 and S3. These trends are repeated for several other key indicators and is particularly noticeable when considering the annual increase in </w:t>
      </w:r>
      <w:r w:rsidR="00AD78BF">
        <w:rPr>
          <w:noProof/>
        </w:rPr>
        <w:t xml:space="preserve">renewable </w:t>
      </w:r>
      <w:r>
        <w:rPr>
          <w:noProof/>
        </w:rPr>
        <w:t xml:space="preserve">power generation required to electrify the energy system (see </w:t>
      </w:r>
      <w:r w:rsidR="00992546">
        <w:rPr>
          <w:noProof/>
          <w:highlight w:val="yellow"/>
        </w:rPr>
        <w:fldChar w:fldCharType="begin"/>
      </w:r>
      <w:r w:rsidR="00992546">
        <w:rPr>
          <w:noProof/>
        </w:rPr>
        <w:instrText xml:space="preserve"> REF _Ref147325754 \h </w:instrText>
      </w:r>
      <w:r w:rsidR="00992546">
        <w:rPr>
          <w:noProof/>
          <w:highlight w:val="yellow"/>
        </w:rPr>
      </w:r>
      <w:r w:rsidR="00992546">
        <w:rPr>
          <w:noProof/>
          <w:highlight w:val="yellow"/>
        </w:rPr>
        <w:fldChar w:fldCharType="separate"/>
      </w:r>
      <w:r w:rsidR="00170A3C">
        <w:rPr>
          <w:noProof/>
        </w:rPr>
        <w:t>Figure 28</w:t>
      </w:r>
      <w:r w:rsidR="00992546">
        <w:rPr>
          <w:noProof/>
          <w:highlight w:val="yellow"/>
        </w:rPr>
        <w:fldChar w:fldCharType="end"/>
      </w:r>
      <w:r>
        <w:rPr>
          <w:noProof/>
        </w:rPr>
        <w:t>).</w:t>
      </w:r>
    </w:p>
    <w:p w14:paraId="341488FC" w14:textId="51D9DC48" w:rsidR="00CF0FB4" w:rsidRDefault="00CF0FB4" w:rsidP="00CF0FB4">
      <w:pPr>
        <w:pStyle w:val="Caption"/>
        <w:jc w:val="left"/>
        <w:rPr>
          <w:noProof/>
        </w:rPr>
      </w:pPr>
      <w:bookmarkStart w:id="165" w:name="_Ref147325754"/>
      <w:bookmarkStart w:id="166" w:name="_Toc157679776"/>
      <w:r>
        <w:rPr>
          <w:noProof/>
        </w:rPr>
        <w:t xml:space="preserve">Figure </w:t>
      </w:r>
      <w:r>
        <w:rPr>
          <w:noProof/>
        </w:rPr>
        <w:fldChar w:fldCharType="begin"/>
      </w:r>
      <w:r>
        <w:rPr>
          <w:noProof/>
        </w:rPr>
        <w:instrText>SEQ Figure \* ARABIC</w:instrText>
      </w:r>
      <w:r>
        <w:rPr>
          <w:noProof/>
        </w:rPr>
        <w:fldChar w:fldCharType="separate"/>
      </w:r>
      <w:r w:rsidR="00170A3C">
        <w:rPr>
          <w:noProof/>
        </w:rPr>
        <w:t>28</w:t>
      </w:r>
      <w:r>
        <w:rPr>
          <w:noProof/>
        </w:rPr>
        <w:fldChar w:fldCharType="end"/>
      </w:r>
      <w:bookmarkEnd w:id="165"/>
      <w:r>
        <w:rPr>
          <w:noProof/>
        </w:rPr>
        <w:t xml:space="preserve">: </w:t>
      </w:r>
      <w:r w:rsidRPr="0092469F">
        <w:rPr>
          <w:noProof/>
        </w:rPr>
        <w:t xml:space="preserve">Average change in </w:t>
      </w:r>
      <w:r w:rsidR="00AD78BF">
        <w:rPr>
          <w:noProof/>
        </w:rPr>
        <w:t xml:space="preserve">renewable </w:t>
      </w:r>
      <w:r w:rsidRPr="0092469F">
        <w:rPr>
          <w:noProof/>
        </w:rPr>
        <w:t>power generation</w:t>
      </w:r>
      <w:bookmarkEnd w:id="166"/>
    </w:p>
    <w:p w14:paraId="44125229" w14:textId="09D4B300" w:rsidR="00086496" w:rsidRPr="00086496" w:rsidRDefault="00086496" w:rsidP="00086496">
      <w:pPr>
        <w:rPr>
          <w:noProof/>
        </w:rPr>
      </w:pPr>
      <w:r w:rsidRPr="00086496">
        <w:rPr>
          <w:noProof/>
          <w:lang w:eastAsia="en-GB"/>
        </w:rPr>
        <w:drawing>
          <wp:inline distT="0" distB="0" distL="0" distR="0" wp14:anchorId="3E9F245C" wp14:editId="7D7197AD">
            <wp:extent cx="5404485" cy="2517775"/>
            <wp:effectExtent l="0" t="0" r="5715" b="0"/>
            <wp:docPr id="1406946438" name="Picture 1406946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404485" cy="2517775"/>
                    </a:xfrm>
                    <a:prstGeom prst="rect">
                      <a:avLst/>
                    </a:prstGeom>
                    <a:noFill/>
                    <a:ln>
                      <a:noFill/>
                    </a:ln>
                  </pic:spPr>
                </pic:pic>
              </a:graphicData>
            </a:graphic>
          </wp:inline>
        </w:drawing>
      </w:r>
    </w:p>
    <w:p w14:paraId="01A197AE" w14:textId="77777777" w:rsidR="00CF0FB4" w:rsidRDefault="00CF0FB4" w:rsidP="007659B9">
      <w:pPr>
        <w:pStyle w:val="CT-SOURCE"/>
        <w:keepNext w:val="0"/>
        <w:rPr>
          <w:noProof/>
        </w:rPr>
      </w:pPr>
      <w:r>
        <w:rPr>
          <w:noProof/>
        </w:rPr>
        <w:t>Source: PRIMES</w:t>
      </w:r>
    </w:p>
    <w:p w14:paraId="2F4498D9" w14:textId="122BCBFE" w:rsidR="00CF0FB4" w:rsidRPr="00CA74D0" w:rsidRDefault="00CF0FB4" w:rsidP="00CF0FB4">
      <w:pPr>
        <w:rPr>
          <w:noProof/>
        </w:rPr>
      </w:pPr>
      <w:r>
        <w:rPr>
          <w:noProof/>
        </w:rPr>
        <w:t xml:space="preserve">The combined needs of carbon capture, RFNBOs and electrification of final demand will require a very rapid increase in power generation. The rate of change up to 2040 is extreme in the S3 scenario. On the contrary, S1 requires the largest increase by far up to 2050. In this respect the S2 scenario shows a safer trajectory with an effort better balanced between the decades 2031 – 2040 and 2041 – 2050. Notably, </w:t>
      </w:r>
      <w:r w:rsidR="00C459D4">
        <w:rPr>
          <w:noProof/>
        </w:rPr>
        <w:t>LIFE</w:t>
      </w:r>
      <w:r>
        <w:rPr>
          <w:noProof/>
        </w:rPr>
        <w:t xml:space="preserve"> </w:t>
      </w:r>
      <w:r w:rsidR="00FD76BF">
        <w:rPr>
          <w:noProof/>
        </w:rPr>
        <w:t>allows</w:t>
      </w:r>
      <w:r>
        <w:rPr>
          <w:noProof/>
        </w:rPr>
        <w:t xml:space="preserve"> to contain the needs for decarbonised power compared to the other scenarios.</w:t>
      </w:r>
    </w:p>
    <w:p w14:paraId="7333B622" w14:textId="3B51F4A7" w:rsidR="001C0ACE" w:rsidRPr="00473B73" w:rsidRDefault="00275555" w:rsidP="00473B73">
      <w:pPr>
        <w:pStyle w:val="Heading3"/>
        <w:rPr>
          <w:noProof/>
        </w:rPr>
      </w:pPr>
      <w:bookmarkStart w:id="167" w:name="_Toc148605588"/>
      <w:bookmarkStart w:id="168" w:name="_Toc157692033"/>
      <w:r w:rsidRPr="00473B73">
        <w:rPr>
          <w:noProof/>
        </w:rPr>
        <w:t xml:space="preserve">Gaseous </w:t>
      </w:r>
      <w:r w:rsidR="003F760D" w:rsidRPr="00473B73">
        <w:rPr>
          <w:noProof/>
        </w:rPr>
        <w:t>fuels</w:t>
      </w:r>
      <w:bookmarkEnd w:id="167"/>
      <w:bookmarkEnd w:id="168"/>
    </w:p>
    <w:p w14:paraId="0E593D00" w14:textId="36F291BE" w:rsidR="00C57F9A" w:rsidRDefault="003256AD" w:rsidP="0082262B">
      <w:pPr>
        <w:pStyle w:val="Text2"/>
        <w:rPr>
          <w:noProof/>
          <w:lang w:val="en-IE"/>
        </w:rPr>
      </w:pPr>
      <w:r>
        <w:rPr>
          <w:noProof/>
          <w:lang w:val="en-IE"/>
        </w:rPr>
        <w:t xml:space="preserve">The RepowerEU Plan aims at rapidly reducing Europe’s dependence on Russian fossil fuels by fast-forwarding the clean transition and </w:t>
      </w:r>
      <w:r w:rsidR="00C65EA2">
        <w:rPr>
          <w:noProof/>
          <w:lang w:val="en-IE"/>
        </w:rPr>
        <w:t>achieve</w:t>
      </w:r>
      <w:r>
        <w:rPr>
          <w:noProof/>
          <w:lang w:val="en-IE"/>
        </w:rPr>
        <w:t xml:space="preserve"> a more resilient energy system. REPowerEU builds on the full implementation of the Fit-for-55 package, but the fast phasing-out of fossil fuel imports from Russia affect</w:t>
      </w:r>
      <w:r w:rsidR="00BA594B">
        <w:rPr>
          <w:noProof/>
          <w:lang w:val="en-IE"/>
        </w:rPr>
        <w:t>s</w:t>
      </w:r>
      <w:r>
        <w:rPr>
          <w:noProof/>
          <w:lang w:val="en-IE"/>
        </w:rPr>
        <w:t xml:space="preserve"> the transition trajectory – and how we reach </w:t>
      </w:r>
      <w:r w:rsidR="00BA594B">
        <w:rPr>
          <w:noProof/>
          <w:lang w:val="en-IE"/>
        </w:rPr>
        <w:t>the EU</w:t>
      </w:r>
      <w:r>
        <w:rPr>
          <w:noProof/>
          <w:lang w:val="en-IE"/>
        </w:rPr>
        <w:t xml:space="preserve"> climate </w:t>
      </w:r>
      <w:r w:rsidR="00BA594B">
        <w:rPr>
          <w:noProof/>
          <w:lang w:val="en-IE"/>
        </w:rPr>
        <w:t xml:space="preserve">neutrality </w:t>
      </w:r>
      <w:r>
        <w:rPr>
          <w:noProof/>
          <w:lang w:val="en-IE"/>
        </w:rPr>
        <w:t xml:space="preserve">target – compared to previous assumptions. The EU’s consumption </w:t>
      </w:r>
      <w:r w:rsidR="005E1F44">
        <w:rPr>
          <w:noProof/>
          <w:lang w:val="en-IE"/>
        </w:rPr>
        <w:t xml:space="preserve">of </w:t>
      </w:r>
      <w:r w:rsidR="00F47B28">
        <w:rPr>
          <w:noProof/>
          <w:lang w:val="en-IE"/>
        </w:rPr>
        <w:t>natural gas</w:t>
      </w:r>
      <w:r>
        <w:rPr>
          <w:noProof/>
          <w:lang w:val="en-IE"/>
        </w:rPr>
        <w:t xml:space="preserve"> </w:t>
      </w:r>
      <w:r w:rsidR="00853DAC">
        <w:rPr>
          <w:noProof/>
          <w:lang w:val="en-IE"/>
        </w:rPr>
        <w:t>is expected to</w:t>
      </w:r>
      <w:r>
        <w:rPr>
          <w:noProof/>
          <w:lang w:val="en-IE"/>
        </w:rPr>
        <w:t xml:space="preserve"> reduce at a faster pace</w:t>
      </w:r>
      <w:r w:rsidR="00DA01F5">
        <w:rPr>
          <w:noProof/>
          <w:lang w:val="en-IE"/>
        </w:rPr>
        <w:t xml:space="preserve"> than expected </w:t>
      </w:r>
      <w:r w:rsidR="00E218C9">
        <w:rPr>
          <w:noProof/>
          <w:lang w:val="en-IE"/>
        </w:rPr>
        <w:t>before the crisis</w:t>
      </w:r>
      <w:r w:rsidR="005E1F44">
        <w:rPr>
          <w:noProof/>
          <w:lang w:val="en-IE"/>
        </w:rPr>
        <w:t xml:space="preserve"> (</w:t>
      </w:r>
      <w:r w:rsidR="00803EC2" w:rsidRPr="00D63411">
        <w:rPr>
          <w:i/>
          <w:noProof/>
          <w:lang w:val="en-IE"/>
        </w:rPr>
        <w:t>e.g.,</w:t>
      </w:r>
      <w:r w:rsidR="005E1F44" w:rsidRPr="00D63411">
        <w:rPr>
          <w:i/>
          <w:noProof/>
          <w:lang w:val="en-IE"/>
        </w:rPr>
        <w:t xml:space="preserve"> </w:t>
      </w:r>
      <w:r w:rsidR="005E1F44">
        <w:rPr>
          <w:noProof/>
          <w:lang w:val="en-IE"/>
        </w:rPr>
        <w:t>in the Climate Target Plan 2030</w:t>
      </w:r>
      <w:r w:rsidR="00A35730">
        <w:rPr>
          <w:noProof/>
          <w:lang w:val="en-IE"/>
        </w:rPr>
        <w:t>)</w:t>
      </w:r>
      <w:r>
        <w:rPr>
          <w:noProof/>
          <w:lang w:val="en-IE"/>
        </w:rPr>
        <w:t xml:space="preserve">. </w:t>
      </w:r>
    </w:p>
    <w:p w14:paraId="6DEA7C77" w14:textId="1655321D" w:rsidR="00895E2B" w:rsidRPr="00F11C03" w:rsidRDefault="00E70736" w:rsidP="00895E2B">
      <w:pPr>
        <w:pStyle w:val="Text2"/>
        <w:rPr>
          <w:noProof/>
          <w:lang w:val="en-IE"/>
        </w:rPr>
      </w:pPr>
      <w:bookmarkStart w:id="169" w:name="_Ref141824138"/>
      <w:bookmarkStart w:id="170" w:name="_Ref141824132"/>
      <w:bookmarkStart w:id="171" w:name="_Ref140073793"/>
      <w:r>
        <w:rPr>
          <w:noProof/>
          <w:lang w:val="en-IE"/>
        </w:rPr>
        <w:t>C</w:t>
      </w:r>
      <w:r w:rsidR="00895E2B">
        <w:rPr>
          <w:noProof/>
          <w:lang w:val="en-IE"/>
        </w:rPr>
        <w:t>onsumption</w:t>
      </w:r>
      <w:r>
        <w:rPr>
          <w:noProof/>
          <w:lang w:val="en-IE"/>
        </w:rPr>
        <w:t xml:space="preserve"> of gaseous fuels</w:t>
      </w:r>
      <w:r w:rsidR="00895E2B">
        <w:rPr>
          <w:noProof/>
          <w:lang w:val="en-IE"/>
        </w:rPr>
        <w:t xml:space="preserve"> is expected to </w:t>
      </w:r>
      <w:r w:rsidR="00DD78D8">
        <w:rPr>
          <w:noProof/>
          <w:lang w:val="en-IE"/>
        </w:rPr>
        <w:t>decrease by between 54% and 68%</w:t>
      </w:r>
      <w:r w:rsidR="00895E2B">
        <w:rPr>
          <w:noProof/>
          <w:lang w:val="en-IE"/>
        </w:rPr>
        <w:t xml:space="preserve"> between 20</w:t>
      </w:r>
      <w:r w:rsidR="00B56F65">
        <w:rPr>
          <w:noProof/>
          <w:lang w:val="en-IE"/>
        </w:rPr>
        <w:t>20</w:t>
      </w:r>
      <w:r w:rsidR="00895E2B">
        <w:rPr>
          <w:noProof/>
          <w:lang w:val="en-IE"/>
        </w:rPr>
        <w:t xml:space="preserve"> and 20</w:t>
      </w:r>
      <w:r w:rsidR="00DD78D8">
        <w:rPr>
          <w:noProof/>
          <w:lang w:val="en-IE"/>
        </w:rPr>
        <w:t>4</w:t>
      </w:r>
      <w:r w:rsidR="00895E2B">
        <w:rPr>
          <w:noProof/>
          <w:lang w:val="en-IE"/>
        </w:rPr>
        <w:t xml:space="preserve">0, reducing from </w:t>
      </w:r>
      <w:r w:rsidR="00895E2B" w:rsidRPr="00CC14B5">
        <w:rPr>
          <w:noProof/>
          <w:lang w:val="en-IE"/>
        </w:rPr>
        <w:t>3</w:t>
      </w:r>
      <w:r w:rsidR="00583156">
        <w:rPr>
          <w:noProof/>
          <w:lang w:val="en-IE"/>
        </w:rPr>
        <w:t>1</w:t>
      </w:r>
      <w:r w:rsidR="00B56F65">
        <w:rPr>
          <w:noProof/>
          <w:lang w:val="en-IE"/>
        </w:rPr>
        <w:t>9</w:t>
      </w:r>
      <w:r w:rsidR="00895E2B" w:rsidRPr="00CC14B5">
        <w:rPr>
          <w:noProof/>
          <w:lang w:val="en-IE"/>
        </w:rPr>
        <w:t xml:space="preserve"> Mtoe in 20</w:t>
      </w:r>
      <w:r w:rsidR="00583156">
        <w:rPr>
          <w:noProof/>
          <w:lang w:val="en-IE"/>
        </w:rPr>
        <w:t>20</w:t>
      </w:r>
      <w:r w:rsidR="00895E2B" w:rsidRPr="00CC14B5">
        <w:rPr>
          <w:noProof/>
          <w:lang w:val="en-IE"/>
        </w:rPr>
        <w:t xml:space="preserve"> to 1</w:t>
      </w:r>
      <w:r w:rsidR="00DD78D8">
        <w:rPr>
          <w:noProof/>
          <w:lang w:val="en-IE"/>
        </w:rPr>
        <w:t>0</w:t>
      </w:r>
      <w:r w:rsidR="001E6655">
        <w:rPr>
          <w:noProof/>
          <w:lang w:val="en-IE"/>
        </w:rPr>
        <w:t>0</w:t>
      </w:r>
      <w:r w:rsidR="00DD78D8">
        <w:rPr>
          <w:noProof/>
          <w:lang w:val="en-IE"/>
        </w:rPr>
        <w:t xml:space="preserve"> to 1</w:t>
      </w:r>
      <w:r w:rsidR="001E6655">
        <w:rPr>
          <w:noProof/>
          <w:lang w:val="en-IE"/>
        </w:rPr>
        <w:t>50</w:t>
      </w:r>
      <w:r w:rsidR="00895E2B" w:rsidRPr="00CC14B5">
        <w:rPr>
          <w:noProof/>
          <w:lang w:val="en-IE"/>
        </w:rPr>
        <w:t xml:space="preserve"> Mtoe</w:t>
      </w:r>
      <w:r w:rsidR="00895E2B">
        <w:rPr>
          <w:noProof/>
          <w:lang w:val="en-IE"/>
        </w:rPr>
        <w:t xml:space="preserve"> in 20</w:t>
      </w:r>
      <w:r w:rsidR="001E6655">
        <w:rPr>
          <w:noProof/>
          <w:lang w:val="en-IE"/>
        </w:rPr>
        <w:t>4</w:t>
      </w:r>
      <w:r w:rsidR="00895E2B">
        <w:rPr>
          <w:noProof/>
          <w:lang w:val="en-IE"/>
        </w:rPr>
        <w:t>0</w:t>
      </w:r>
      <w:r w:rsidR="005C7A7B">
        <w:rPr>
          <w:noProof/>
          <w:lang w:val="en-IE"/>
        </w:rPr>
        <w:t xml:space="preserve"> in S1-S2-S3</w:t>
      </w:r>
      <w:r w:rsidR="00F144C7">
        <w:rPr>
          <w:noProof/>
          <w:lang w:val="en-IE"/>
        </w:rPr>
        <w:t xml:space="preserve"> (</w:t>
      </w:r>
      <w:r w:rsidR="00F144C7">
        <w:rPr>
          <w:noProof/>
          <w:lang w:val="en-IE"/>
        </w:rPr>
        <w:fldChar w:fldCharType="begin"/>
      </w:r>
      <w:r w:rsidR="00F144C7">
        <w:rPr>
          <w:noProof/>
          <w:lang w:val="en-IE"/>
        </w:rPr>
        <w:instrText xml:space="preserve"> REF _Ref146101296 \h </w:instrText>
      </w:r>
      <w:r w:rsidR="00F144C7">
        <w:rPr>
          <w:noProof/>
          <w:lang w:val="en-IE"/>
        </w:rPr>
      </w:r>
      <w:r w:rsidR="00F144C7">
        <w:rPr>
          <w:noProof/>
          <w:lang w:val="en-IE"/>
        </w:rPr>
        <w:fldChar w:fldCharType="separate"/>
      </w:r>
      <w:r w:rsidR="00170A3C" w:rsidRPr="00292F07">
        <w:rPr>
          <w:noProof/>
        </w:rPr>
        <w:t xml:space="preserve">Figure </w:t>
      </w:r>
      <w:r w:rsidR="00170A3C">
        <w:rPr>
          <w:noProof/>
        </w:rPr>
        <w:t>29</w:t>
      </w:r>
      <w:r w:rsidR="00F144C7">
        <w:rPr>
          <w:noProof/>
          <w:lang w:val="en-IE"/>
        </w:rPr>
        <w:fldChar w:fldCharType="end"/>
      </w:r>
      <w:r w:rsidR="00F144C7">
        <w:rPr>
          <w:noProof/>
          <w:lang w:val="en-IE"/>
        </w:rPr>
        <w:t>)</w:t>
      </w:r>
      <w:r w:rsidR="00895E2B">
        <w:rPr>
          <w:noProof/>
          <w:lang w:val="en-IE"/>
        </w:rPr>
        <w:t xml:space="preserve">. </w:t>
      </w:r>
      <w:r w:rsidR="001E4CE0">
        <w:rPr>
          <w:noProof/>
          <w:lang w:val="en-IE"/>
        </w:rPr>
        <w:t xml:space="preserve">The impact of the LIFE measures is projected to slightly </w:t>
      </w:r>
      <w:r w:rsidR="001E6655">
        <w:rPr>
          <w:noProof/>
          <w:lang w:val="en-IE"/>
        </w:rPr>
        <w:t>increase</w:t>
      </w:r>
      <w:r w:rsidR="001E4CE0">
        <w:rPr>
          <w:noProof/>
          <w:lang w:val="en-IE"/>
        </w:rPr>
        <w:t xml:space="preserve"> </w:t>
      </w:r>
      <w:r w:rsidR="00F66954">
        <w:rPr>
          <w:noProof/>
          <w:lang w:val="en-IE"/>
        </w:rPr>
        <w:t>the overall consumption of gas.</w:t>
      </w:r>
      <w:r w:rsidR="001E4CE0">
        <w:rPr>
          <w:noProof/>
          <w:lang w:val="en-IE"/>
        </w:rPr>
        <w:t xml:space="preserve"> </w:t>
      </w:r>
      <w:r w:rsidR="001E6655">
        <w:rPr>
          <w:noProof/>
          <w:lang w:val="en-IE"/>
        </w:rPr>
        <w:t>T</w:t>
      </w:r>
      <w:r w:rsidR="00895E2B">
        <w:rPr>
          <w:noProof/>
          <w:lang w:val="en-IE"/>
        </w:rPr>
        <w:t xml:space="preserve">he consumption of </w:t>
      </w:r>
      <w:r>
        <w:rPr>
          <w:noProof/>
          <w:lang w:val="en-IE"/>
        </w:rPr>
        <w:t>gaseous fuels</w:t>
      </w:r>
      <w:r w:rsidR="00895E2B">
        <w:rPr>
          <w:noProof/>
          <w:lang w:val="en-IE"/>
        </w:rPr>
        <w:t xml:space="preserve"> </w:t>
      </w:r>
      <w:r w:rsidR="001E6655">
        <w:rPr>
          <w:noProof/>
          <w:lang w:val="en-IE"/>
        </w:rPr>
        <w:t>amounts</w:t>
      </w:r>
      <w:r w:rsidR="00895E2B">
        <w:rPr>
          <w:noProof/>
          <w:lang w:val="en-IE"/>
        </w:rPr>
        <w:t xml:space="preserve"> to </w:t>
      </w:r>
      <w:r w:rsidR="008B1D25">
        <w:rPr>
          <w:noProof/>
          <w:lang w:val="en-IE"/>
        </w:rPr>
        <w:t>10</w:t>
      </w:r>
      <w:r w:rsidR="001E6655">
        <w:rPr>
          <w:noProof/>
          <w:lang w:val="en-IE"/>
        </w:rPr>
        <w:t>0</w:t>
      </w:r>
      <w:r w:rsidR="008B1D25">
        <w:rPr>
          <w:noProof/>
          <w:lang w:val="en-IE"/>
        </w:rPr>
        <w:t xml:space="preserve"> Mtoe in the S3 scenario</w:t>
      </w:r>
      <w:r w:rsidR="00895E2B">
        <w:rPr>
          <w:noProof/>
          <w:lang w:val="en-IE"/>
        </w:rPr>
        <w:t xml:space="preserve">. </w:t>
      </w:r>
      <w:r w:rsidR="001E6655">
        <w:rPr>
          <w:noProof/>
          <w:lang w:val="en-IE"/>
        </w:rPr>
        <w:t>By</w:t>
      </w:r>
      <w:r w:rsidR="00895E2B">
        <w:rPr>
          <w:noProof/>
          <w:lang w:val="en-IE"/>
        </w:rPr>
        <w:t xml:space="preserve"> 2050, gas consumption in the EU is </w:t>
      </w:r>
      <w:r w:rsidR="001E6655">
        <w:rPr>
          <w:noProof/>
          <w:lang w:val="en-IE"/>
        </w:rPr>
        <w:t>further declines to around 80 Mtoe</w:t>
      </w:r>
      <w:r w:rsidR="00895E2B">
        <w:rPr>
          <w:noProof/>
          <w:lang w:val="en-IE"/>
        </w:rPr>
        <w:t>.</w:t>
      </w:r>
      <w:r w:rsidR="001E4CE0">
        <w:rPr>
          <w:noProof/>
          <w:lang w:val="en-IE"/>
        </w:rPr>
        <w:t xml:space="preserve"> </w:t>
      </w:r>
    </w:p>
    <w:p w14:paraId="0805D09D" w14:textId="4F3F58D1" w:rsidR="005E1BBC" w:rsidRDefault="003256AD" w:rsidP="00C76433">
      <w:pPr>
        <w:pStyle w:val="Caption"/>
        <w:spacing w:after="0"/>
        <w:jc w:val="left"/>
        <w:rPr>
          <w:noProof/>
        </w:rPr>
      </w:pPr>
      <w:bookmarkStart w:id="172" w:name="_Ref142580941"/>
      <w:bookmarkStart w:id="173" w:name="_Ref144218698"/>
      <w:bookmarkStart w:id="174" w:name="_Ref146101296"/>
      <w:bookmarkStart w:id="175" w:name="_Toc157679777"/>
      <w:r w:rsidRPr="00292F07">
        <w:rPr>
          <w:noProof/>
        </w:rPr>
        <w:t xml:space="preserve">Figure </w:t>
      </w:r>
      <w:bookmarkEnd w:id="169"/>
      <w:bookmarkEnd w:id="170"/>
      <w:bookmarkEnd w:id="172"/>
      <w:bookmarkEnd w:id="173"/>
      <w:r w:rsidR="00F2742D">
        <w:rPr>
          <w:noProof/>
        </w:rPr>
        <w:fldChar w:fldCharType="begin"/>
      </w:r>
      <w:r w:rsidR="00F2742D">
        <w:rPr>
          <w:noProof/>
        </w:rPr>
        <w:instrText xml:space="preserve"> SEQ Figure \* ARABIC </w:instrText>
      </w:r>
      <w:r w:rsidR="00F2742D">
        <w:rPr>
          <w:noProof/>
        </w:rPr>
        <w:fldChar w:fldCharType="separate"/>
      </w:r>
      <w:r w:rsidR="00170A3C">
        <w:rPr>
          <w:noProof/>
        </w:rPr>
        <w:t>29</w:t>
      </w:r>
      <w:r w:rsidR="00F2742D">
        <w:rPr>
          <w:noProof/>
        </w:rPr>
        <w:fldChar w:fldCharType="end"/>
      </w:r>
      <w:bookmarkEnd w:id="174"/>
      <w:r w:rsidR="005E1BBC">
        <w:rPr>
          <w:noProof/>
        </w:rPr>
        <w:t xml:space="preserve">: </w:t>
      </w:r>
      <w:r w:rsidR="005E1BBC" w:rsidRPr="005B191D">
        <w:rPr>
          <w:noProof/>
        </w:rPr>
        <w:t>Consumption of gaseous fuels in the gas network, 20</w:t>
      </w:r>
      <w:r w:rsidR="00C80BF5">
        <w:rPr>
          <w:noProof/>
        </w:rPr>
        <w:t>40</w:t>
      </w:r>
      <w:r w:rsidR="005E1BBC" w:rsidRPr="005B191D">
        <w:rPr>
          <w:noProof/>
        </w:rPr>
        <w:t>-2050</w:t>
      </w:r>
      <w:bookmarkEnd w:id="175"/>
    </w:p>
    <w:p w14:paraId="565B2D36" w14:textId="0B1A6983" w:rsidR="00F23172" w:rsidRPr="00F23172" w:rsidRDefault="00F23172" w:rsidP="00F23172">
      <w:pPr>
        <w:rPr>
          <w:noProof/>
        </w:rPr>
      </w:pPr>
      <w:r w:rsidRPr="00F23172">
        <w:rPr>
          <w:noProof/>
          <w:lang w:eastAsia="en-GB"/>
        </w:rPr>
        <w:drawing>
          <wp:inline distT="0" distB="0" distL="0" distR="0" wp14:anchorId="7846F787" wp14:editId="035265DC">
            <wp:extent cx="5400675" cy="2514600"/>
            <wp:effectExtent l="0" t="0" r="9525" b="0"/>
            <wp:docPr id="1406946436" name="Picture 1406946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400675" cy="2514600"/>
                    </a:xfrm>
                    <a:prstGeom prst="rect">
                      <a:avLst/>
                    </a:prstGeom>
                    <a:noFill/>
                    <a:ln>
                      <a:noFill/>
                    </a:ln>
                  </pic:spPr>
                </pic:pic>
              </a:graphicData>
            </a:graphic>
          </wp:inline>
        </w:drawing>
      </w:r>
    </w:p>
    <w:p w14:paraId="1E71044C" w14:textId="6ED98BB2" w:rsidR="00983175" w:rsidRPr="00724D59" w:rsidRDefault="000A33B3" w:rsidP="00951BEB">
      <w:pPr>
        <w:pStyle w:val="CT-NOTE"/>
        <w:rPr>
          <w:i w:val="0"/>
          <w:noProof/>
          <w:sz w:val="20"/>
          <w:szCs w:val="20"/>
        </w:rPr>
      </w:pPr>
      <w:r w:rsidRPr="00F47B28">
        <w:rPr>
          <w:i w:val="0"/>
          <w:noProof/>
          <w:sz w:val="20"/>
          <w:szCs w:val="20"/>
        </w:rPr>
        <w:t>Note: the consumption of gaseous fuels hereby represented refers to gas consumed as tr</w:t>
      </w:r>
      <w:r w:rsidRPr="00724D59">
        <w:rPr>
          <w:i w:val="0"/>
          <w:noProof/>
          <w:sz w:val="20"/>
          <w:szCs w:val="20"/>
        </w:rPr>
        <w:t>ansformation input in thermal power stations and district heating plants, consumption of the energy branch, and gas available for final consumption</w:t>
      </w:r>
      <w:r w:rsidR="002A031D">
        <w:rPr>
          <w:i w:val="0"/>
          <w:noProof/>
          <w:sz w:val="20"/>
          <w:szCs w:val="20"/>
        </w:rPr>
        <w:t xml:space="preserve"> (including final non-energy consumption)</w:t>
      </w:r>
      <w:r w:rsidRPr="00724D59">
        <w:rPr>
          <w:i w:val="0"/>
          <w:noProof/>
          <w:sz w:val="20"/>
          <w:szCs w:val="20"/>
        </w:rPr>
        <w:t>. It includes natural gas, clean gas</w:t>
      </w:r>
      <w:r w:rsidR="003B1314">
        <w:rPr>
          <w:i w:val="0"/>
          <w:noProof/>
          <w:sz w:val="20"/>
          <w:szCs w:val="20"/>
        </w:rPr>
        <w:t xml:space="preserve"> and</w:t>
      </w:r>
      <w:r w:rsidR="006D5342">
        <w:rPr>
          <w:i w:val="0"/>
          <w:noProof/>
          <w:sz w:val="20"/>
          <w:szCs w:val="20"/>
        </w:rPr>
        <w:t xml:space="preserve"> biomethane</w:t>
      </w:r>
      <w:r w:rsidRPr="00724D59">
        <w:rPr>
          <w:i w:val="0"/>
          <w:noProof/>
          <w:sz w:val="20"/>
          <w:szCs w:val="20"/>
        </w:rPr>
        <w:t>. Biogas is not covered in this figure and related analysis as it is not injected in the gas network.</w:t>
      </w:r>
    </w:p>
    <w:p w14:paraId="5E102174" w14:textId="225082DD" w:rsidR="00765976" w:rsidRPr="004E649B" w:rsidRDefault="00765976" w:rsidP="005E74B4">
      <w:pPr>
        <w:pStyle w:val="CT-SOURCE"/>
        <w:rPr>
          <w:noProof/>
        </w:rPr>
      </w:pPr>
      <w:r w:rsidRPr="0005503A">
        <w:rPr>
          <w:noProof/>
        </w:rPr>
        <w:t>Source: PRIMES.</w:t>
      </w:r>
    </w:p>
    <w:p w14:paraId="02BA81D6" w14:textId="68B4FBFF" w:rsidR="000A33B3" w:rsidRPr="001B7942" w:rsidRDefault="00765976" w:rsidP="00EA55CA">
      <w:pPr>
        <w:rPr>
          <w:noProof/>
          <w:lang w:val="en-IE"/>
        </w:rPr>
      </w:pPr>
      <w:r>
        <w:rPr>
          <w:noProof/>
          <w:lang w:val="en-IE"/>
        </w:rPr>
        <w:t>In the gas network, t</w:t>
      </w:r>
      <w:r w:rsidR="000A33B3">
        <w:rPr>
          <w:noProof/>
          <w:lang w:val="en-IE"/>
        </w:rPr>
        <w:t>his decrease in the consumption of natural gas is partly compensated by a</w:t>
      </w:r>
      <w:r w:rsidR="005C7A7B">
        <w:rPr>
          <w:noProof/>
          <w:lang w:val="en-IE"/>
        </w:rPr>
        <w:t>n</w:t>
      </w:r>
      <w:r w:rsidR="000A33B3">
        <w:rPr>
          <w:noProof/>
          <w:lang w:val="en-IE"/>
        </w:rPr>
        <w:t xml:space="preserve"> increase in the consumption of biomethane. The sector with the largest absolute decrease in consumption of gas </w:t>
      </w:r>
      <w:r w:rsidR="00F253BC">
        <w:rPr>
          <w:noProof/>
          <w:lang w:val="en-IE"/>
        </w:rPr>
        <w:t>in the gas networks</w:t>
      </w:r>
      <w:r w:rsidR="000A33B3">
        <w:rPr>
          <w:noProof/>
          <w:lang w:val="en-IE"/>
        </w:rPr>
        <w:t xml:space="preserve"> </w:t>
      </w:r>
      <w:r w:rsidR="00375FCD">
        <w:rPr>
          <w:noProof/>
          <w:lang w:val="en-IE"/>
        </w:rPr>
        <w:t>by 2040</w:t>
      </w:r>
      <w:r w:rsidR="000A33B3">
        <w:rPr>
          <w:noProof/>
          <w:lang w:val="en-IE"/>
        </w:rPr>
        <w:t xml:space="preserve"> is </w:t>
      </w:r>
      <w:r w:rsidR="00375FCD">
        <w:rPr>
          <w:noProof/>
          <w:lang w:val="en-IE"/>
        </w:rPr>
        <w:t>the residential sector</w:t>
      </w:r>
      <w:r w:rsidR="000A33B3" w:rsidRPr="001D5D62">
        <w:rPr>
          <w:noProof/>
          <w:lang w:val="en-IE"/>
        </w:rPr>
        <w:t>, with -</w:t>
      </w:r>
      <w:r w:rsidR="00DD2D89">
        <w:rPr>
          <w:noProof/>
          <w:lang w:val="en-IE"/>
        </w:rPr>
        <w:t>5</w:t>
      </w:r>
      <w:r w:rsidR="004D0BE3">
        <w:rPr>
          <w:noProof/>
          <w:lang w:val="en-IE"/>
        </w:rPr>
        <w:t>5</w:t>
      </w:r>
      <w:r w:rsidR="000A33B3" w:rsidRPr="001D5D62">
        <w:rPr>
          <w:noProof/>
          <w:lang w:val="en-IE"/>
        </w:rPr>
        <w:t xml:space="preserve"> Mtoe (-</w:t>
      </w:r>
      <w:r w:rsidR="00DD2D89">
        <w:rPr>
          <w:noProof/>
          <w:lang w:val="en-IE"/>
        </w:rPr>
        <w:t>7</w:t>
      </w:r>
      <w:r w:rsidR="004D0BE3">
        <w:rPr>
          <w:noProof/>
          <w:lang w:val="en-IE"/>
        </w:rPr>
        <w:t>0</w:t>
      </w:r>
      <w:r w:rsidR="000A33B3" w:rsidRPr="001D5D62">
        <w:rPr>
          <w:noProof/>
          <w:lang w:val="en-IE"/>
        </w:rPr>
        <w:t xml:space="preserve">%) </w:t>
      </w:r>
      <w:r w:rsidR="00375FCD">
        <w:rPr>
          <w:noProof/>
          <w:lang w:val="en-IE"/>
        </w:rPr>
        <w:t>to -</w:t>
      </w:r>
      <w:r w:rsidR="009A1F02">
        <w:rPr>
          <w:noProof/>
          <w:lang w:val="en-IE"/>
        </w:rPr>
        <w:t>6</w:t>
      </w:r>
      <w:r w:rsidR="004D0BE3">
        <w:rPr>
          <w:noProof/>
          <w:lang w:val="en-IE"/>
        </w:rPr>
        <w:t>4</w:t>
      </w:r>
      <w:r w:rsidR="00375FCD">
        <w:rPr>
          <w:noProof/>
          <w:lang w:val="en-IE"/>
        </w:rPr>
        <w:t xml:space="preserve"> Mtoe (</w:t>
      </w:r>
      <w:r w:rsidR="00C432BC">
        <w:rPr>
          <w:noProof/>
          <w:lang w:val="en-IE"/>
        </w:rPr>
        <w:t>-8</w:t>
      </w:r>
      <w:r w:rsidR="004D0BE3">
        <w:rPr>
          <w:noProof/>
          <w:lang w:val="en-IE"/>
        </w:rPr>
        <w:t>2</w:t>
      </w:r>
      <w:r w:rsidR="000A33B3" w:rsidRPr="001D5D62">
        <w:rPr>
          <w:noProof/>
          <w:lang w:val="en-IE"/>
        </w:rPr>
        <w:t>%) between 20</w:t>
      </w:r>
      <w:r w:rsidR="00C36BC4">
        <w:rPr>
          <w:noProof/>
          <w:lang w:val="en-IE"/>
        </w:rPr>
        <w:t>20</w:t>
      </w:r>
      <w:r w:rsidR="000A33B3" w:rsidRPr="001D5D62">
        <w:rPr>
          <w:noProof/>
          <w:lang w:val="en-IE"/>
        </w:rPr>
        <w:t xml:space="preserve"> and 20</w:t>
      </w:r>
      <w:r w:rsidR="00C432BC">
        <w:rPr>
          <w:noProof/>
          <w:lang w:val="en-IE"/>
        </w:rPr>
        <w:t>4</w:t>
      </w:r>
      <w:r w:rsidR="000A33B3" w:rsidRPr="001D5D62">
        <w:rPr>
          <w:noProof/>
          <w:lang w:val="en-IE"/>
        </w:rPr>
        <w:t>0</w:t>
      </w:r>
      <w:r w:rsidR="00D63411">
        <w:rPr>
          <w:noProof/>
          <w:lang w:val="en-IE"/>
        </w:rPr>
        <w:t>.</w:t>
      </w:r>
      <w:r w:rsidR="000A33B3" w:rsidRPr="001D5D62">
        <w:rPr>
          <w:noProof/>
          <w:lang w:val="en-IE"/>
        </w:rPr>
        <w:t xml:space="preserve"> </w:t>
      </w:r>
      <w:bookmarkStart w:id="176" w:name="_Hlk142579411"/>
      <w:r w:rsidR="000A33B3" w:rsidRPr="001D5D62">
        <w:rPr>
          <w:noProof/>
          <w:lang w:val="en-IE"/>
        </w:rPr>
        <w:t xml:space="preserve">European energy policies </w:t>
      </w:r>
      <w:r w:rsidR="000A33B3">
        <w:rPr>
          <w:noProof/>
          <w:lang w:val="en-IE"/>
        </w:rPr>
        <w:t>encourage</w:t>
      </w:r>
      <w:r w:rsidR="000A33B3" w:rsidRPr="001D5D62">
        <w:rPr>
          <w:noProof/>
          <w:lang w:val="en-IE"/>
        </w:rPr>
        <w:t xml:space="preserve"> building renovation and energy efficiency improvements in the residential </w:t>
      </w:r>
      <w:r w:rsidR="000A33B3">
        <w:rPr>
          <w:noProof/>
          <w:lang w:val="en-IE"/>
        </w:rPr>
        <w:t xml:space="preserve">and commercial </w:t>
      </w:r>
      <w:r w:rsidR="000A33B3" w:rsidRPr="001D5D62">
        <w:rPr>
          <w:noProof/>
          <w:lang w:val="en-IE"/>
        </w:rPr>
        <w:t xml:space="preserve">sector reducing the need for heating fuel. </w:t>
      </w:r>
      <w:bookmarkEnd w:id="176"/>
    </w:p>
    <w:p w14:paraId="77BB34B9" w14:textId="57C22F6D" w:rsidR="005E1BBC" w:rsidRDefault="005E1BBC" w:rsidP="00390473">
      <w:pPr>
        <w:pStyle w:val="Caption"/>
        <w:spacing w:after="0"/>
        <w:rPr>
          <w:noProof/>
        </w:rPr>
      </w:pPr>
      <w:bookmarkStart w:id="177" w:name="_Ref143250751"/>
      <w:bookmarkStart w:id="178" w:name="_Ref146110620"/>
      <w:bookmarkStart w:id="179" w:name="_Toc157679778"/>
      <w:r w:rsidRPr="00815358">
        <w:rPr>
          <w:noProof/>
        </w:rPr>
        <w:t xml:space="preserve">Figure </w:t>
      </w:r>
      <w:bookmarkEnd w:id="177"/>
      <w:r w:rsidR="00F2742D" w:rsidRPr="00815358">
        <w:rPr>
          <w:noProof/>
        </w:rPr>
        <w:fldChar w:fldCharType="begin"/>
      </w:r>
      <w:r w:rsidR="00F2742D" w:rsidRPr="00815358">
        <w:rPr>
          <w:noProof/>
        </w:rPr>
        <w:instrText xml:space="preserve"> SEQ Figure \* ARABIC </w:instrText>
      </w:r>
      <w:r w:rsidR="00F2742D" w:rsidRPr="00815358">
        <w:rPr>
          <w:noProof/>
        </w:rPr>
        <w:fldChar w:fldCharType="separate"/>
      </w:r>
      <w:r w:rsidR="00170A3C">
        <w:rPr>
          <w:noProof/>
        </w:rPr>
        <w:t>30</w:t>
      </w:r>
      <w:r w:rsidR="00F2742D" w:rsidRPr="00815358">
        <w:rPr>
          <w:noProof/>
        </w:rPr>
        <w:fldChar w:fldCharType="end"/>
      </w:r>
      <w:bookmarkEnd w:id="178"/>
      <w:r w:rsidRPr="00815358">
        <w:rPr>
          <w:noProof/>
        </w:rPr>
        <w:t xml:space="preserve">: Consumption of </w:t>
      </w:r>
      <w:r w:rsidR="00956180" w:rsidRPr="00815358">
        <w:rPr>
          <w:noProof/>
        </w:rPr>
        <w:t>gaseous fuels</w:t>
      </w:r>
      <w:r w:rsidRPr="00815358">
        <w:rPr>
          <w:noProof/>
        </w:rPr>
        <w:t xml:space="preserve"> by sector, 20</w:t>
      </w:r>
      <w:r w:rsidR="00707B60" w:rsidRPr="00815358">
        <w:rPr>
          <w:noProof/>
        </w:rPr>
        <w:t>4</w:t>
      </w:r>
      <w:r w:rsidR="00726602" w:rsidRPr="00815358">
        <w:rPr>
          <w:noProof/>
        </w:rPr>
        <w:t>0</w:t>
      </w:r>
      <w:r w:rsidRPr="00815358">
        <w:rPr>
          <w:noProof/>
        </w:rPr>
        <w:t>-2050</w:t>
      </w:r>
      <w:bookmarkEnd w:id="179"/>
    </w:p>
    <w:p w14:paraId="4EC7C96F" w14:textId="14776C91" w:rsidR="0035206C" w:rsidRPr="0035206C" w:rsidRDefault="0035206C" w:rsidP="0035206C">
      <w:pPr>
        <w:rPr>
          <w:noProof/>
        </w:rPr>
      </w:pPr>
      <w:r w:rsidRPr="0035206C">
        <w:rPr>
          <w:noProof/>
          <w:lang w:eastAsia="en-GB"/>
        </w:rPr>
        <w:drawing>
          <wp:inline distT="0" distB="0" distL="0" distR="0" wp14:anchorId="388B29B2" wp14:editId="42140101">
            <wp:extent cx="5400675" cy="2514600"/>
            <wp:effectExtent l="0" t="0" r="9525" b="0"/>
            <wp:docPr id="1406946435" name="Picture 1406946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400675" cy="2514600"/>
                    </a:xfrm>
                    <a:prstGeom prst="rect">
                      <a:avLst/>
                    </a:prstGeom>
                    <a:noFill/>
                    <a:ln>
                      <a:noFill/>
                    </a:ln>
                  </pic:spPr>
                </pic:pic>
              </a:graphicData>
            </a:graphic>
          </wp:inline>
        </w:drawing>
      </w:r>
    </w:p>
    <w:p w14:paraId="0A88607A" w14:textId="0D8EDBE0" w:rsidR="00956180" w:rsidRPr="00956180" w:rsidRDefault="00956180" w:rsidP="00956180">
      <w:pPr>
        <w:pStyle w:val="CT-SOURCE"/>
        <w:jc w:val="left"/>
        <w:rPr>
          <w:noProof/>
        </w:rPr>
      </w:pPr>
      <w:r w:rsidRPr="00956180">
        <w:rPr>
          <w:noProof/>
        </w:rPr>
        <w:t>Note: Gaseous fuels include n</w:t>
      </w:r>
      <w:r>
        <w:rPr>
          <w:noProof/>
        </w:rPr>
        <w:t>atural gas, biogas and biomethane.</w:t>
      </w:r>
    </w:p>
    <w:p w14:paraId="1BD73715" w14:textId="095191BE" w:rsidR="009509F1" w:rsidRPr="009A22D5" w:rsidRDefault="00765976" w:rsidP="005E74B4">
      <w:pPr>
        <w:pStyle w:val="CT-SOURCE"/>
        <w:rPr>
          <w:noProof/>
        </w:rPr>
      </w:pPr>
      <w:r w:rsidRPr="009A22D5">
        <w:rPr>
          <w:noProof/>
        </w:rPr>
        <w:t>Source: PRIMES.</w:t>
      </w:r>
    </w:p>
    <w:bookmarkEnd w:id="171"/>
    <w:p w14:paraId="13ADF0DB" w14:textId="383867B6" w:rsidR="000A33B3" w:rsidRPr="00E65BE4" w:rsidRDefault="000A33B3" w:rsidP="0082262B">
      <w:pPr>
        <w:pStyle w:val="Text2"/>
        <w:rPr>
          <w:noProof/>
          <w:lang w:val="en-IE"/>
        </w:rPr>
      </w:pPr>
      <w:r>
        <w:rPr>
          <w:noProof/>
          <w:lang w:val="en-IE"/>
        </w:rPr>
        <w:t>Consumption of gas</w:t>
      </w:r>
      <w:r w:rsidR="00F253BC">
        <w:rPr>
          <w:noProof/>
          <w:lang w:val="en-IE"/>
        </w:rPr>
        <w:t>eous fuels</w:t>
      </w:r>
      <w:r>
        <w:rPr>
          <w:noProof/>
          <w:lang w:val="en-IE"/>
        </w:rPr>
        <w:t xml:space="preserve"> per sector </w:t>
      </w:r>
      <w:r w:rsidRPr="001D5D62">
        <w:rPr>
          <w:noProof/>
          <w:lang w:val="en-IE"/>
        </w:rPr>
        <w:t>differs across scenarios in 2040, with notable differences for some sectors. At this time horizon, gas consumption in the industrial sector is higher in S1 compared to S3 (3</w:t>
      </w:r>
      <w:r w:rsidR="004D0BE3">
        <w:rPr>
          <w:noProof/>
          <w:lang w:val="en-IE"/>
        </w:rPr>
        <w:t>5</w:t>
      </w:r>
      <w:r w:rsidRPr="001D5D62">
        <w:rPr>
          <w:noProof/>
          <w:lang w:val="en-IE"/>
        </w:rPr>
        <w:t xml:space="preserve"> Mtoe v</w:t>
      </w:r>
      <w:r w:rsidR="004D0BE3">
        <w:rPr>
          <w:noProof/>
          <w:lang w:val="en-IE"/>
        </w:rPr>
        <w:t>ersus</w:t>
      </w:r>
      <w:r w:rsidRPr="001D5D62">
        <w:rPr>
          <w:noProof/>
          <w:lang w:val="en-IE"/>
        </w:rPr>
        <w:t xml:space="preserve"> </w:t>
      </w:r>
      <w:r w:rsidR="00F253BC">
        <w:rPr>
          <w:noProof/>
          <w:lang w:val="en-IE"/>
        </w:rPr>
        <w:t>20</w:t>
      </w:r>
      <w:r w:rsidRPr="001D5D62">
        <w:rPr>
          <w:noProof/>
          <w:lang w:val="en-IE"/>
        </w:rPr>
        <w:t xml:space="preserve"> Mtoe). In the residential sector, consumption is </w:t>
      </w:r>
      <w:r w:rsidR="00DD2D89">
        <w:rPr>
          <w:noProof/>
          <w:lang w:val="en-IE"/>
        </w:rPr>
        <w:t>also significantly</w:t>
      </w:r>
      <w:r w:rsidRPr="001D5D62">
        <w:rPr>
          <w:noProof/>
          <w:lang w:val="en-IE"/>
        </w:rPr>
        <w:t xml:space="preserve"> higher in S1 compared to S3 (2</w:t>
      </w:r>
      <w:r w:rsidR="00F253BC">
        <w:rPr>
          <w:noProof/>
          <w:lang w:val="en-IE"/>
        </w:rPr>
        <w:t>5</w:t>
      </w:r>
      <w:r w:rsidRPr="001D5D62">
        <w:rPr>
          <w:noProof/>
          <w:lang w:val="en-IE"/>
        </w:rPr>
        <w:t xml:space="preserve"> Mtoe v</w:t>
      </w:r>
      <w:r w:rsidR="004D0BE3">
        <w:rPr>
          <w:noProof/>
          <w:lang w:val="en-IE"/>
        </w:rPr>
        <w:t>ersus</w:t>
      </w:r>
      <w:r w:rsidRPr="001D5D62">
        <w:rPr>
          <w:noProof/>
          <w:lang w:val="en-IE"/>
        </w:rPr>
        <w:t xml:space="preserve"> 1</w:t>
      </w:r>
      <w:r w:rsidR="00F253BC">
        <w:rPr>
          <w:noProof/>
          <w:lang w:val="en-IE"/>
        </w:rPr>
        <w:t>5</w:t>
      </w:r>
      <w:r w:rsidRPr="001D5D62">
        <w:rPr>
          <w:noProof/>
          <w:lang w:val="en-IE"/>
        </w:rPr>
        <w:t xml:space="preserve"> Mtoe) as well as in agriculture and services (1</w:t>
      </w:r>
      <w:r w:rsidR="004D0BE3">
        <w:rPr>
          <w:noProof/>
          <w:lang w:val="en-IE"/>
        </w:rPr>
        <w:t>5</w:t>
      </w:r>
      <w:r w:rsidRPr="001D5D62">
        <w:rPr>
          <w:noProof/>
          <w:lang w:val="en-IE"/>
        </w:rPr>
        <w:t xml:space="preserve"> Mtoe v</w:t>
      </w:r>
      <w:r w:rsidR="004D0BE3">
        <w:rPr>
          <w:noProof/>
          <w:lang w:val="en-IE"/>
        </w:rPr>
        <w:t>ersus</w:t>
      </w:r>
      <w:r w:rsidRPr="001D5D62">
        <w:rPr>
          <w:noProof/>
          <w:lang w:val="en-IE"/>
        </w:rPr>
        <w:t xml:space="preserve"> </w:t>
      </w:r>
      <w:r w:rsidR="00F253BC">
        <w:rPr>
          <w:noProof/>
          <w:lang w:val="en-IE"/>
        </w:rPr>
        <w:t>10</w:t>
      </w:r>
      <w:r w:rsidR="00F47B28">
        <w:rPr>
          <w:noProof/>
          <w:lang w:val="en-IE"/>
        </w:rPr>
        <w:t xml:space="preserve"> Mtoe</w:t>
      </w:r>
      <w:r w:rsidRPr="001D5D62">
        <w:rPr>
          <w:noProof/>
          <w:lang w:val="en-IE"/>
        </w:rPr>
        <w:t>).</w:t>
      </w:r>
      <w:r>
        <w:rPr>
          <w:noProof/>
          <w:lang w:val="en-IE"/>
        </w:rPr>
        <w:t xml:space="preserve"> </w:t>
      </w:r>
    </w:p>
    <w:p w14:paraId="2E15A33A" w14:textId="1F615DFA" w:rsidR="003F4B0F" w:rsidRDefault="00285F48" w:rsidP="003F4B0F">
      <w:pPr>
        <w:pStyle w:val="Text2"/>
        <w:rPr>
          <w:noProof/>
          <w:lang w:val="en-IE"/>
        </w:rPr>
      </w:pPr>
      <w:bookmarkStart w:id="180" w:name="_Hlk142579854"/>
      <w:r w:rsidRPr="00285F48">
        <w:rPr>
          <w:noProof/>
          <w:lang w:val="en-IE"/>
        </w:rPr>
        <w:t>Renewable hydrogen is a rapidly evolving technology and sector. The modelling results for 2030 reflect the EU RFNBO targets, and associated hydrogen production, as per the revision of the Renewable Energy Directive under the Fit-for-55 package. However, the modelling for the future design of the post-2030 policy framework will take into account the updates of the National Climate and Energy Plans due in June 2024.</w:t>
      </w:r>
      <w:r>
        <w:rPr>
          <w:noProof/>
          <w:lang w:val="en-IE"/>
        </w:rPr>
        <w:t xml:space="preserve"> </w:t>
      </w:r>
      <w:r w:rsidR="003F4B0F">
        <w:rPr>
          <w:noProof/>
          <w:lang w:val="en-IE"/>
        </w:rPr>
        <w:t>The consumption of hydrogen as energy vector beyond traditional applications (like the chemical sector and refineries) appears in the EU energy system and contributes to decarbonise the hard-to-abate sectors and to support the operation of the power sector with high shares of variables renewable energies providing seasonal storage. In this decade, the consumption of hydrogen remains limited</w:t>
      </w:r>
      <w:r w:rsidR="00F144C7">
        <w:rPr>
          <w:noProof/>
          <w:lang w:val="en-IE"/>
        </w:rPr>
        <w:t xml:space="preserve"> (see </w:t>
      </w:r>
      <w:r w:rsidR="00F144C7">
        <w:rPr>
          <w:noProof/>
          <w:lang w:val="en-IE"/>
        </w:rPr>
        <w:fldChar w:fldCharType="begin"/>
      </w:r>
      <w:r w:rsidR="00F144C7">
        <w:rPr>
          <w:noProof/>
          <w:lang w:val="en-IE"/>
        </w:rPr>
        <w:instrText xml:space="preserve"> REF _Ref146118543 \h </w:instrText>
      </w:r>
      <w:r w:rsidR="00F144C7">
        <w:rPr>
          <w:noProof/>
          <w:lang w:val="en-IE"/>
        </w:rPr>
      </w:r>
      <w:r w:rsidR="00F144C7">
        <w:rPr>
          <w:noProof/>
          <w:lang w:val="en-IE"/>
        </w:rPr>
        <w:fldChar w:fldCharType="separate"/>
      </w:r>
      <w:r w:rsidR="00170A3C">
        <w:rPr>
          <w:noProof/>
        </w:rPr>
        <w:t>Figure 31</w:t>
      </w:r>
      <w:r w:rsidR="00F144C7">
        <w:rPr>
          <w:noProof/>
          <w:lang w:val="en-IE"/>
        </w:rPr>
        <w:fldChar w:fldCharType="end"/>
      </w:r>
      <w:r w:rsidR="00F144C7">
        <w:rPr>
          <w:noProof/>
          <w:lang w:val="en-IE"/>
        </w:rPr>
        <w:t>)</w:t>
      </w:r>
      <w:r w:rsidR="003F4B0F">
        <w:rPr>
          <w:noProof/>
          <w:lang w:val="en-IE"/>
        </w:rPr>
        <w:t>, both because hydrogen-based technologies are generally characterised by relatively low maturity level and because the models prioritise the decarbonisation of sectors characterised by lower marginal abatement costs. Hydrogen consumption rapidly scales up, achieving in 2040 5</w:t>
      </w:r>
      <w:r w:rsidR="00842559">
        <w:rPr>
          <w:noProof/>
          <w:lang w:val="en-IE"/>
        </w:rPr>
        <w:t>5</w:t>
      </w:r>
      <w:r w:rsidR="003F4B0F">
        <w:rPr>
          <w:noProof/>
          <w:lang w:val="en-IE"/>
        </w:rPr>
        <w:t>-</w:t>
      </w:r>
      <w:r w:rsidR="00842559">
        <w:rPr>
          <w:noProof/>
          <w:lang w:val="en-IE"/>
        </w:rPr>
        <w:t>95</w:t>
      </w:r>
      <w:r w:rsidR="00F66954">
        <w:rPr>
          <w:noProof/>
          <w:lang w:val="en-IE"/>
        </w:rPr>
        <w:t xml:space="preserve"> Mtoe</w:t>
      </w:r>
      <w:r w:rsidR="003F4B0F">
        <w:rPr>
          <w:noProof/>
          <w:lang w:val="en-IE"/>
        </w:rPr>
        <w:t xml:space="preserve"> in the S1-S2-S3 scenarios. The production of </w:t>
      </w:r>
      <w:r w:rsidR="00205C57">
        <w:rPr>
          <w:noProof/>
          <w:lang w:val="en-IE"/>
        </w:rPr>
        <w:t>e-</w:t>
      </w:r>
      <w:r w:rsidR="003F4B0F">
        <w:rPr>
          <w:noProof/>
          <w:lang w:val="en-IE"/>
        </w:rPr>
        <w:t xml:space="preserve">fuels (both gaseous and liquid) accounts for the lion’s share of total hydrogen consumption in 2040, followed by industry and – very closely – transport (in the S1, in 2040 the consumption of hydrogen in transport is higher than in industry). These three sectors alone account for more than three-fourths of total hydrogen consumption in 2040 in all scenarios. As a large deployment of e-fuels </w:t>
      </w:r>
      <w:r w:rsidR="002F3031">
        <w:rPr>
          <w:noProof/>
          <w:lang w:val="en-IE"/>
        </w:rPr>
        <w:t>occurs</w:t>
      </w:r>
      <w:r w:rsidR="003F4B0F">
        <w:rPr>
          <w:noProof/>
          <w:lang w:val="en-IE"/>
        </w:rPr>
        <w:t xml:space="preserve"> in S3, this scenario experiences the highest level of hydrogen consumption in 2040 (</w:t>
      </w:r>
      <w:r w:rsidR="00803EC2" w:rsidRPr="00172917">
        <w:rPr>
          <w:i/>
          <w:noProof/>
          <w:lang w:val="en-IE"/>
        </w:rPr>
        <w:t>i.e.,</w:t>
      </w:r>
      <w:r w:rsidR="003F4B0F">
        <w:rPr>
          <w:noProof/>
          <w:lang w:val="en-IE"/>
        </w:rPr>
        <w:t xml:space="preserve"> about </w:t>
      </w:r>
      <w:r w:rsidR="002F3031">
        <w:rPr>
          <w:noProof/>
          <w:lang w:val="en-IE"/>
        </w:rPr>
        <w:t>95</w:t>
      </w:r>
      <w:r w:rsidR="003F4B0F">
        <w:rPr>
          <w:noProof/>
          <w:lang w:val="en-IE"/>
        </w:rPr>
        <w:t xml:space="preserve"> Mtoe) and is characterised by a tremendous growth in hydrogen use in the next decade. The main driver of the higher hydrogen consumption in the S3 scenario is the production of e-fuels, which consumes by itself </w:t>
      </w:r>
      <w:r w:rsidR="002F3031">
        <w:rPr>
          <w:noProof/>
          <w:lang w:val="en-IE"/>
        </w:rPr>
        <w:t>around</w:t>
      </w:r>
      <w:r w:rsidR="003F4B0F">
        <w:rPr>
          <w:noProof/>
          <w:lang w:val="en-IE"/>
        </w:rPr>
        <w:t xml:space="preserve"> </w:t>
      </w:r>
      <w:r w:rsidR="002F3031">
        <w:rPr>
          <w:noProof/>
          <w:lang w:val="en-IE"/>
        </w:rPr>
        <w:t>5</w:t>
      </w:r>
      <w:r w:rsidR="003F4B0F">
        <w:rPr>
          <w:noProof/>
          <w:lang w:val="en-IE"/>
        </w:rPr>
        <w:t>0 Mtoe of hydrogen. In 2050, the consumption of hydrogen doubles with respect to 2040, attaining about 1</w:t>
      </w:r>
      <w:r w:rsidR="00A0746F">
        <w:rPr>
          <w:noProof/>
          <w:lang w:val="en-IE"/>
        </w:rPr>
        <w:t>70</w:t>
      </w:r>
      <w:r w:rsidR="003F4B0F">
        <w:rPr>
          <w:noProof/>
          <w:lang w:val="en-IE"/>
        </w:rPr>
        <w:t>-17</w:t>
      </w:r>
      <w:r w:rsidR="002F3031">
        <w:rPr>
          <w:noProof/>
          <w:lang w:val="en-IE"/>
        </w:rPr>
        <w:t>5</w:t>
      </w:r>
      <w:r w:rsidR="00F66954">
        <w:rPr>
          <w:noProof/>
          <w:lang w:val="en-IE"/>
        </w:rPr>
        <w:t xml:space="preserve"> Mtoe</w:t>
      </w:r>
      <w:r w:rsidR="003F4B0F">
        <w:rPr>
          <w:noProof/>
          <w:lang w:val="en-IE"/>
        </w:rPr>
        <w:t xml:space="preserve"> in the S1-S2-S3 scenarios</w:t>
      </w:r>
      <w:r w:rsidR="002F3031">
        <w:rPr>
          <w:noProof/>
          <w:lang w:val="en-IE"/>
        </w:rPr>
        <w:t>.</w:t>
      </w:r>
      <w:r w:rsidR="003F4B0F">
        <w:rPr>
          <w:noProof/>
          <w:lang w:val="en-IE"/>
        </w:rPr>
        <w:t xml:space="preserve"> LIFE </w:t>
      </w:r>
      <w:r w:rsidR="002F3031">
        <w:rPr>
          <w:noProof/>
          <w:lang w:val="en-IE"/>
        </w:rPr>
        <w:t>measures would reduce the production of hydrogen by around 15 Mtoe</w:t>
      </w:r>
      <w:r w:rsidR="003F4B0F">
        <w:rPr>
          <w:noProof/>
          <w:lang w:val="en-IE"/>
        </w:rPr>
        <w:t xml:space="preserve">. In 2050, the production of </w:t>
      </w:r>
      <w:r w:rsidR="0013766F">
        <w:rPr>
          <w:noProof/>
          <w:lang w:val="en-IE"/>
        </w:rPr>
        <w:t>e-</w:t>
      </w:r>
      <w:r w:rsidR="003F4B0F">
        <w:rPr>
          <w:noProof/>
          <w:lang w:val="en-IE"/>
        </w:rPr>
        <w:t>fuels continues being the main driver of hydrogen use in the EU energy system (</w:t>
      </w:r>
      <w:r w:rsidR="002F3031">
        <w:rPr>
          <w:noProof/>
          <w:lang w:val="en-IE"/>
        </w:rPr>
        <w:t>70</w:t>
      </w:r>
      <w:r w:rsidR="003F4B0F">
        <w:rPr>
          <w:noProof/>
          <w:lang w:val="en-IE"/>
        </w:rPr>
        <w:t>-7</w:t>
      </w:r>
      <w:r w:rsidR="002F3031">
        <w:rPr>
          <w:noProof/>
          <w:lang w:val="en-IE"/>
        </w:rPr>
        <w:t>5</w:t>
      </w:r>
      <w:r w:rsidR="003F4B0F">
        <w:rPr>
          <w:noProof/>
          <w:lang w:val="en-IE"/>
        </w:rPr>
        <w:t xml:space="preserve"> Mtoe across scenarios), followed by non-energy uses (about 30 Mtoe across scenarios), then very closely followed by transport (about 30 Mtoe across scenarios) and finally by industry (</w:t>
      </w:r>
      <w:r w:rsidR="002F3031">
        <w:rPr>
          <w:noProof/>
          <w:lang w:val="en-IE"/>
        </w:rPr>
        <w:t>20</w:t>
      </w:r>
      <w:r w:rsidR="003F4B0F">
        <w:rPr>
          <w:noProof/>
          <w:lang w:val="en-IE"/>
        </w:rPr>
        <w:t xml:space="preserve"> Mtoe across scenarios). </w:t>
      </w:r>
    </w:p>
    <w:p w14:paraId="56E2C9E8" w14:textId="67A31A7F" w:rsidR="005E1BBC" w:rsidRDefault="005E1BBC" w:rsidP="005E1BBC">
      <w:pPr>
        <w:pStyle w:val="Caption"/>
        <w:jc w:val="left"/>
        <w:rPr>
          <w:noProof/>
        </w:rPr>
      </w:pPr>
      <w:bookmarkStart w:id="181" w:name="_Ref142581133"/>
      <w:bookmarkStart w:id="182" w:name="_Ref144218777"/>
      <w:bookmarkStart w:id="183" w:name="_Ref146118543"/>
      <w:bookmarkStart w:id="184" w:name="_Toc157679779"/>
      <w:bookmarkEnd w:id="180"/>
      <w:r>
        <w:rPr>
          <w:noProof/>
        </w:rPr>
        <w:t xml:space="preserve">Figure </w:t>
      </w:r>
      <w:bookmarkEnd w:id="181"/>
      <w:bookmarkEnd w:id="182"/>
      <w:r w:rsidR="00F2742D">
        <w:rPr>
          <w:noProof/>
        </w:rPr>
        <w:fldChar w:fldCharType="begin"/>
      </w:r>
      <w:r w:rsidR="00F2742D">
        <w:rPr>
          <w:noProof/>
        </w:rPr>
        <w:instrText xml:space="preserve"> SEQ Figure \* ARABIC </w:instrText>
      </w:r>
      <w:r w:rsidR="00F2742D">
        <w:rPr>
          <w:noProof/>
        </w:rPr>
        <w:fldChar w:fldCharType="separate"/>
      </w:r>
      <w:r w:rsidR="00170A3C">
        <w:rPr>
          <w:noProof/>
        </w:rPr>
        <w:t>31</w:t>
      </w:r>
      <w:r w:rsidR="00F2742D">
        <w:rPr>
          <w:noProof/>
        </w:rPr>
        <w:fldChar w:fldCharType="end"/>
      </w:r>
      <w:bookmarkEnd w:id="183"/>
      <w:r>
        <w:rPr>
          <w:noProof/>
        </w:rPr>
        <w:t xml:space="preserve">: </w:t>
      </w:r>
      <w:r w:rsidR="00F00E98">
        <w:rPr>
          <w:noProof/>
        </w:rPr>
        <w:t>Consumption of h</w:t>
      </w:r>
      <w:r>
        <w:rPr>
          <w:noProof/>
        </w:rPr>
        <w:t xml:space="preserve">ydrogen by sector, </w:t>
      </w:r>
      <w:r w:rsidR="00707B60">
        <w:rPr>
          <w:noProof/>
        </w:rPr>
        <w:t>2040-</w:t>
      </w:r>
      <w:r>
        <w:rPr>
          <w:noProof/>
        </w:rPr>
        <w:t>2050</w:t>
      </w:r>
      <w:bookmarkEnd w:id="184"/>
    </w:p>
    <w:p w14:paraId="3F472D5A" w14:textId="0AE90B13" w:rsidR="00255A25" w:rsidRDefault="00C53EDA" w:rsidP="00A438D4">
      <w:pPr>
        <w:pStyle w:val="Text2"/>
        <w:keepNext/>
        <w:jc w:val="center"/>
        <w:rPr>
          <w:noProof/>
        </w:rPr>
      </w:pPr>
      <w:r w:rsidRPr="00C53EDA">
        <w:rPr>
          <w:noProof/>
          <w:lang w:eastAsia="en-GB"/>
        </w:rPr>
        <w:drawing>
          <wp:inline distT="0" distB="0" distL="0" distR="0" wp14:anchorId="06FE3AA6" wp14:editId="29CE16C9">
            <wp:extent cx="5201285" cy="275526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201285" cy="2755265"/>
                    </a:xfrm>
                    <a:prstGeom prst="rect">
                      <a:avLst/>
                    </a:prstGeom>
                    <a:noFill/>
                    <a:ln>
                      <a:noFill/>
                    </a:ln>
                  </pic:spPr>
                </pic:pic>
              </a:graphicData>
            </a:graphic>
          </wp:inline>
        </w:drawing>
      </w:r>
    </w:p>
    <w:p w14:paraId="0F2EF843" w14:textId="16889878" w:rsidR="00DD57BD" w:rsidRPr="009A22D5" w:rsidRDefault="00DD57BD" w:rsidP="00951BEB">
      <w:pPr>
        <w:pStyle w:val="CT-SOURCE"/>
        <w:rPr>
          <w:i w:val="0"/>
          <w:noProof/>
        </w:rPr>
      </w:pPr>
      <w:r w:rsidRPr="009A22D5">
        <w:rPr>
          <w:noProof/>
        </w:rPr>
        <w:t>Source: PRIMES.</w:t>
      </w:r>
    </w:p>
    <w:p w14:paraId="20DDB4D2" w14:textId="77777777" w:rsidR="00D63778" w:rsidRPr="00473B73" w:rsidRDefault="00D63778" w:rsidP="00D63778">
      <w:pPr>
        <w:pStyle w:val="Heading3"/>
        <w:rPr>
          <w:noProof/>
        </w:rPr>
      </w:pPr>
      <w:bookmarkStart w:id="185" w:name="_Ref143333867"/>
      <w:bookmarkStart w:id="186" w:name="_Toc148605589"/>
      <w:bookmarkStart w:id="187" w:name="_Toc157692034"/>
      <w:r w:rsidRPr="00473B73">
        <w:rPr>
          <w:noProof/>
        </w:rPr>
        <w:t xml:space="preserve">Final </w:t>
      </w:r>
      <w:r w:rsidR="00DF1930" w:rsidRPr="00473B73">
        <w:rPr>
          <w:noProof/>
        </w:rPr>
        <w:t xml:space="preserve">Energy </w:t>
      </w:r>
      <w:r w:rsidRPr="00473B73">
        <w:rPr>
          <w:noProof/>
        </w:rPr>
        <w:t>Consumption</w:t>
      </w:r>
      <w:bookmarkEnd w:id="185"/>
      <w:bookmarkEnd w:id="186"/>
      <w:bookmarkEnd w:id="187"/>
    </w:p>
    <w:p w14:paraId="746EADBC" w14:textId="7E807337" w:rsidR="00D63778" w:rsidRDefault="00D63778" w:rsidP="00D63778">
      <w:pPr>
        <w:pStyle w:val="Text2"/>
        <w:rPr>
          <w:noProof/>
          <w:lang w:val="en-IE"/>
        </w:rPr>
      </w:pPr>
      <w:r w:rsidRPr="39813566">
        <w:rPr>
          <w:noProof/>
          <w:lang w:val="en-IE"/>
        </w:rPr>
        <w:t xml:space="preserve">Final Energy Consumption (FEC) declines steadily, </w:t>
      </w:r>
      <w:r w:rsidRPr="00094B63">
        <w:rPr>
          <w:noProof/>
          <w:lang w:val="en-IE"/>
        </w:rPr>
        <w:t>attaining in 2030 the 763 Mtoe targeted by the Energy Efficiency Directive</w:t>
      </w:r>
      <w:r>
        <w:rPr>
          <w:noProof/>
          <w:lang w:val="en-IE"/>
        </w:rPr>
        <w:t xml:space="preserve"> (</w:t>
      </w:r>
      <w:r w:rsidR="00D24DD7">
        <w:rPr>
          <w:noProof/>
          <w:color w:val="2B579A"/>
          <w:highlight w:val="yellow"/>
          <w:shd w:val="clear" w:color="auto" w:fill="E6E6E6"/>
          <w:lang w:val="en-IE"/>
        </w:rPr>
        <w:fldChar w:fldCharType="begin"/>
      </w:r>
      <w:r w:rsidR="00D24DD7">
        <w:rPr>
          <w:noProof/>
          <w:lang w:val="en-IE"/>
        </w:rPr>
        <w:instrText xml:space="preserve"> REF _Ref147312561 \h </w:instrText>
      </w:r>
      <w:r w:rsidR="00D24DD7">
        <w:rPr>
          <w:noProof/>
          <w:color w:val="2B579A"/>
          <w:highlight w:val="yellow"/>
          <w:shd w:val="clear" w:color="auto" w:fill="E6E6E6"/>
          <w:lang w:val="en-IE"/>
        </w:rPr>
      </w:r>
      <w:r w:rsidR="00D24DD7">
        <w:rPr>
          <w:noProof/>
          <w:color w:val="2B579A"/>
          <w:highlight w:val="yellow"/>
          <w:shd w:val="clear" w:color="auto" w:fill="E6E6E6"/>
          <w:lang w:val="en-IE"/>
        </w:rPr>
        <w:fldChar w:fldCharType="separate"/>
      </w:r>
      <w:r w:rsidR="00170A3C">
        <w:rPr>
          <w:noProof/>
        </w:rPr>
        <w:t>Figure 32</w:t>
      </w:r>
      <w:r w:rsidR="00D24DD7">
        <w:rPr>
          <w:noProof/>
          <w:color w:val="2B579A"/>
          <w:highlight w:val="yellow"/>
          <w:shd w:val="clear" w:color="auto" w:fill="E6E6E6"/>
          <w:lang w:val="en-IE"/>
        </w:rPr>
        <w:fldChar w:fldCharType="end"/>
      </w:r>
      <w:r>
        <w:rPr>
          <w:noProof/>
          <w:lang w:val="en-IE"/>
        </w:rPr>
        <w:t>). Then</w:t>
      </w:r>
      <w:r w:rsidRPr="39813566">
        <w:rPr>
          <w:noProof/>
          <w:lang w:val="en-IE"/>
        </w:rPr>
        <w:t xml:space="preserve">, </w:t>
      </w:r>
      <w:r>
        <w:rPr>
          <w:noProof/>
          <w:lang w:val="en-IE"/>
        </w:rPr>
        <w:t>FEC</w:t>
      </w:r>
      <w:r w:rsidRPr="39813566">
        <w:rPr>
          <w:noProof/>
          <w:lang w:val="en-IE"/>
        </w:rPr>
        <w:t xml:space="preserve"> further reduc</w:t>
      </w:r>
      <w:r>
        <w:rPr>
          <w:noProof/>
          <w:lang w:val="en-IE"/>
        </w:rPr>
        <w:t>es</w:t>
      </w:r>
      <w:r w:rsidRPr="39813566">
        <w:rPr>
          <w:noProof/>
          <w:lang w:val="en-IE"/>
        </w:rPr>
        <w:t xml:space="preserve"> </w:t>
      </w:r>
      <w:r w:rsidRPr="00CD114F">
        <w:rPr>
          <w:noProof/>
          <w:lang w:val="en-IE"/>
        </w:rPr>
        <w:t xml:space="preserve">to </w:t>
      </w:r>
      <w:r w:rsidR="00F66954">
        <w:rPr>
          <w:noProof/>
          <w:szCs w:val="22"/>
          <w:lang w:val="en-IE"/>
        </w:rPr>
        <w:t>606-</w:t>
      </w:r>
      <w:r>
        <w:rPr>
          <w:noProof/>
          <w:szCs w:val="22"/>
          <w:lang w:val="en-IE"/>
        </w:rPr>
        <w:t>62</w:t>
      </w:r>
      <w:r w:rsidR="00590F04">
        <w:rPr>
          <w:noProof/>
          <w:szCs w:val="22"/>
          <w:lang w:val="en-IE"/>
        </w:rPr>
        <w:t>4</w:t>
      </w:r>
      <w:r>
        <w:rPr>
          <w:noProof/>
          <w:szCs w:val="22"/>
          <w:lang w:val="en-IE"/>
        </w:rPr>
        <w:t xml:space="preserve"> Mtoe in the S1-</w:t>
      </w:r>
      <w:r w:rsidR="006750D6">
        <w:rPr>
          <w:noProof/>
          <w:szCs w:val="22"/>
          <w:lang w:val="en-IE"/>
        </w:rPr>
        <w:t>S2-</w:t>
      </w:r>
      <w:r>
        <w:rPr>
          <w:noProof/>
          <w:szCs w:val="22"/>
          <w:lang w:val="en-IE"/>
        </w:rPr>
        <w:t>S3 and scenarios</w:t>
      </w:r>
      <w:r w:rsidR="00F66954">
        <w:rPr>
          <w:noProof/>
          <w:szCs w:val="22"/>
          <w:lang w:val="en-IE"/>
        </w:rPr>
        <w:t xml:space="preserve">. LIFE measures are projected to reduce FEC by additional </w:t>
      </w:r>
      <w:r w:rsidR="0099050E">
        <w:rPr>
          <w:noProof/>
          <w:szCs w:val="22"/>
          <w:lang w:val="en-IE"/>
        </w:rPr>
        <w:t>12</w:t>
      </w:r>
      <w:r w:rsidR="00F66954">
        <w:rPr>
          <w:noProof/>
          <w:szCs w:val="22"/>
          <w:lang w:val="en-IE"/>
        </w:rPr>
        <w:t xml:space="preserve"> Mtoe. In 2050, FEC reaches</w:t>
      </w:r>
      <w:r w:rsidR="00496310">
        <w:rPr>
          <w:noProof/>
          <w:szCs w:val="22"/>
          <w:lang w:val="en-IE"/>
        </w:rPr>
        <w:t xml:space="preserve"> approximately </w:t>
      </w:r>
      <w:r>
        <w:rPr>
          <w:noProof/>
          <w:szCs w:val="22"/>
          <w:lang w:val="en-IE"/>
        </w:rPr>
        <w:t>560</w:t>
      </w:r>
      <w:r w:rsidRPr="39813566">
        <w:rPr>
          <w:noProof/>
          <w:lang w:val="en-IE"/>
        </w:rPr>
        <w:t xml:space="preserve"> Mtoe</w:t>
      </w:r>
      <w:r>
        <w:rPr>
          <w:noProof/>
          <w:lang w:val="en-IE"/>
        </w:rPr>
        <w:t>.</w:t>
      </w:r>
      <w:r w:rsidRPr="300222D6">
        <w:rPr>
          <w:noProof/>
          <w:lang w:val="en-IE"/>
        </w:rPr>
        <w:t xml:space="preserve"> </w:t>
      </w:r>
      <w:r w:rsidRPr="39813566">
        <w:rPr>
          <w:noProof/>
          <w:lang w:val="en-IE"/>
        </w:rPr>
        <w:t xml:space="preserve">The </w:t>
      </w:r>
      <w:r>
        <w:rPr>
          <w:noProof/>
          <w:lang w:val="en-IE"/>
        </w:rPr>
        <w:t>fuel and sector split of total</w:t>
      </w:r>
      <w:r w:rsidRPr="39813566">
        <w:rPr>
          <w:noProof/>
          <w:lang w:val="en-IE"/>
        </w:rPr>
        <w:t xml:space="preserve"> FEC also changes progressively and the sector-specific drivers and dynamics are described in the relevant sections</w:t>
      </w:r>
      <w:r>
        <w:rPr>
          <w:noProof/>
          <w:lang w:val="en-IE"/>
        </w:rPr>
        <w:t xml:space="preserve"> (</w:t>
      </w:r>
      <w:r w:rsidRPr="00180312">
        <w:rPr>
          <w:noProof/>
          <w:lang w:val="en-IE"/>
        </w:rPr>
        <w:t>Sections</w:t>
      </w:r>
      <w:r w:rsidR="00772BC6">
        <w:rPr>
          <w:noProof/>
          <w:lang w:val="en-IE"/>
        </w:rPr>
        <w:t xml:space="preserve"> </w:t>
      </w:r>
      <w:r w:rsidR="00772BC6">
        <w:rPr>
          <w:noProof/>
          <w:lang w:val="en-IE"/>
        </w:rPr>
        <w:fldChar w:fldCharType="begin"/>
      </w:r>
      <w:r w:rsidR="00772BC6">
        <w:rPr>
          <w:noProof/>
          <w:lang w:val="en-IE"/>
        </w:rPr>
        <w:instrText xml:space="preserve"> REF _Ref155262795 \r \h </w:instrText>
      </w:r>
      <w:r w:rsidR="00772BC6">
        <w:rPr>
          <w:noProof/>
          <w:lang w:val="en-IE"/>
        </w:rPr>
      </w:r>
      <w:r w:rsidR="00772BC6">
        <w:rPr>
          <w:noProof/>
          <w:lang w:val="en-IE"/>
        </w:rPr>
        <w:fldChar w:fldCharType="separate"/>
      </w:r>
      <w:r w:rsidR="00170A3C">
        <w:rPr>
          <w:noProof/>
          <w:lang w:val="en-IE"/>
        </w:rPr>
        <w:t>1.3</w:t>
      </w:r>
      <w:r w:rsidR="00772BC6">
        <w:rPr>
          <w:noProof/>
          <w:lang w:val="en-IE"/>
        </w:rPr>
        <w:fldChar w:fldCharType="end"/>
      </w:r>
      <w:r w:rsidR="00180312" w:rsidRPr="00180312">
        <w:rPr>
          <w:noProof/>
          <w:lang w:val="en-IE"/>
        </w:rPr>
        <w:t>,</w:t>
      </w:r>
      <w:r w:rsidR="00B165FC" w:rsidRPr="00180312">
        <w:rPr>
          <w:noProof/>
          <w:lang w:val="en-IE"/>
        </w:rPr>
        <w:t xml:space="preserve"> </w:t>
      </w:r>
      <w:r w:rsidR="00180312" w:rsidRPr="00180312">
        <w:rPr>
          <w:noProof/>
          <w:lang w:val="en-IE"/>
        </w:rPr>
        <w:fldChar w:fldCharType="begin"/>
      </w:r>
      <w:r w:rsidR="00180312" w:rsidRPr="00180312">
        <w:rPr>
          <w:noProof/>
          <w:lang w:val="en-IE"/>
        </w:rPr>
        <w:instrText xml:space="preserve"> REF _Ref147326883 \r \h </w:instrText>
      </w:r>
      <w:r w:rsidR="00180312">
        <w:rPr>
          <w:noProof/>
          <w:lang w:val="en-IE"/>
        </w:rPr>
        <w:instrText xml:space="preserve"> \* MERGEFORMAT </w:instrText>
      </w:r>
      <w:r w:rsidR="00180312" w:rsidRPr="00180312">
        <w:rPr>
          <w:noProof/>
          <w:lang w:val="en-IE"/>
        </w:rPr>
      </w:r>
      <w:r w:rsidR="00180312" w:rsidRPr="00180312">
        <w:rPr>
          <w:noProof/>
          <w:lang w:val="en-IE"/>
        </w:rPr>
        <w:fldChar w:fldCharType="separate"/>
      </w:r>
      <w:r w:rsidR="00170A3C">
        <w:rPr>
          <w:noProof/>
          <w:lang w:val="en-IE"/>
        </w:rPr>
        <w:t>1.4</w:t>
      </w:r>
      <w:r w:rsidR="00180312" w:rsidRPr="00180312">
        <w:rPr>
          <w:noProof/>
          <w:lang w:val="en-IE"/>
        </w:rPr>
        <w:fldChar w:fldCharType="end"/>
      </w:r>
      <w:r w:rsidR="00B165FC" w:rsidRPr="00180312">
        <w:rPr>
          <w:noProof/>
          <w:lang w:val="en-IE"/>
        </w:rPr>
        <w:t xml:space="preserve"> and </w:t>
      </w:r>
      <w:r w:rsidR="00B165FC" w:rsidRPr="00180312">
        <w:rPr>
          <w:noProof/>
          <w:lang w:val="en-IE"/>
        </w:rPr>
        <w:fldChar w:fldCharType="begin"/>
      </w:r>
      <w:r w:rsidR="00B165FC" w:rsidRPr="00954217">
        <w:rPr>
          <w:noProof/>
          <w:highlight w:val="yellow"/>
          <w:lang w:val="en-IE"/>
        </w:rPr>
        <w:instrText xml:space="preserve"> REF _Ref141916776 \n \h </w:instrText>
      </w:r>
      <w:r w:rsidR="00954217">
        <w:rPr>
          <w:noProof/>
          <w:highlight w:val="yellow"/>
          <w:lang w:val="en-IE"/>
        </w:rPr>
        <w:instrText xml:space="preserve"> \* MERGEFORMAT </w:instrText>
      </w:r>
      <w:r w:rsidR="00B165FC" w:rsidRPr="00180312">
        <w:rPr>
          <w:noProof/>
          <w:lang w:val="en-IE"/>
        </w:rPr>
      </w:r>
      <w:r w:rsidR="00B165FC" w:rsidRPr="00180312">
        <w:rPr>
          <w:noProof/>
          <w:lang w:val="en-IE"/>
        </w:rPr>
        <w:fldChar w:fldCharType="separate"/>
      </w:r>
      <w:r w:rsidR="00170A3C" w:rsidRPr="00170A3C">
        <w:rPr>
          <w:noProof/>
          <w:lang w:val="en-IE"/>
        </w:rPr>
        <w:t>1.5</w:t>
      </w:r>
      <w:r w:rsidR="00B165FC" w:rsidRPr="00180312">
        <w:rPr>
          <w:noProof/>
          <w:lang w:val="en-IE"/>
        </w:rPr>
        <w:fldChar w:fldCharType="end"/>
      </w:r>
      <w:r>
        <w:rPr>
          <w:noProof/>
          <w:lang w:val="en-IE"/>
        </w:rPr>
        <w:t>).</w:t>
      </w:r>
    </w:p>
    <w:p w14:paraId="550BF025" w14:textId="3982B77A" w:rsidR="00D63778" w:rsidRDefault="00D63778" w:rsidP="00D63778">
      <w:pPr>
        <w:pStyle w:val="Caption"/>
        <w:rPr>
          <w:noProof/>
        </w:rPr>
      </w:pPr>
      <w:bookmarkStart w:id="188" w:name="_Ref141777681"/>
      <w:bookmarkStart w:id="189" w:name="_Ref147312561"/>
      <w:bookmarkStart w:id="190" w:name="_Toc157679780"/>
      <w:r>
        <w:rPr>
          <w:noProof/>
        </w:rPr>
        <w:t xml:space="preserve">Figure </w:t>
      </w:r>
      <w:bookmarkEnd w:id="188"/>
      <w:r w:rsidR="00F2742D">
        <w:rPr>
          <w:noProof/>
        </w:rPr>
        <w:fldChar w:fldCharType="begin"/>
      </w:r>
      <w:r w:rsidR="00F2742D">
        <w:rPr>
          <w:noProof/>
        </w:rPr>
        <w:instrText xml:space="preserve"> SEQ Figure \* ARABIC </w:instrText>
      </w:r>
      <w:r w:rsidR="00F2742D">
        <w:rPr>
          <w:noProof/>
        </w:rPr>
        <w:fldChar w:fldCharType="separate"/>
      </w:r>
      <w:r w:rsidR="00170A3C">
        <w:rPr>
          <w:noProof/>
        </w:rPr>
        <w:t>32</w:t>
      </w:r>
      <w:r w:rsidR="00F2742D">
        <w:rPr>
          <w:noProof/>
        </w:rPr>
        <w:fldChar w:fldCharType="end"/>
      </w:r>
      <w:bookmarkEnd w:id="189"/>
      <w:r>
        <w:rPr>
          <w:noProof/>
        </w:rPr>
        <w:t>: Final Energy Consumption by fuel, 2015-2050</w:t>
      </w:r>
      <w:bookmarkEnd w:id="190"/>
    </w:p>
    <w:p w14:paraId="364D672F" w14:textId="5FBD05EA" w:rsidR="00D63778" w:rsidRPr="000B51D9" w:rsidRDefault="002B503B" w:rsidP="002B503B">
      <w:pPr>
        <w:jc w:val="center"/>
        <w:rPr>
          <w:noProof/>
        </w:rPr>
      </w:pPr>
      <w:r w:rsidRPr="002B503B">
        <w:rPr>
          <w:noProof/>
          <w:lang w:eastAsia="en-GB"/>
        </w:rPr>
        <w:drawing>
          <wp:inline distT="0" distB="0" distL="0" distR="0" wp14:anchorId="5D997558" wp14:editId="285854E1">
            <wp:extent cx="5403215" cy="2517775"/>
            <wp:effectExtent l="0" t="0" r="0" b="0"/>
            <wp:docPr id="363790916" name="Picture 363790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403215" cy="2517775"/>
                    </a:xfrm>
                    <a:prstGeom prst="rect">
                      <a:avLst/>
                    </a:prstGeom>
                    <a:noFill/>
                    <a:ln>
                      <a:noFill/>
                    </a:ln>
                  </pic:spPr>
                </pic:pic>
              </a:graphicData>
            </a:graphic>
          </wp:inline>
        </w:drawing>
      </w:r>
    </w:p>
    <w:p w14:paraId="52763B46" w14:textId="77777777" w:rsidR="00D63778" w:rsidRPr="00F21E13" w:rsidRDefault="00D63778" w:rsidP="00951BEB">
      <w:pPr>
        <w:pStyle w:val="CT-SOURCE"/>
        <w:rPr>
          <w:noProof/>
        </w:rPr>
      </w:pPr>
      <w:r w:rsidRPr="00F21E13">
        <w:rPr>
          <w:noProof/>
        </w:rPr>
        <w:t>Source: PRIMES.</w:t>
      </w:r>
    </w:p>
    <w:p w14:paraId="1CCCE118" w14:textId="0FF9D438" w:rsidR="00D63778" w:rsidRDefault="00D63778" w:rsidP="00D63778">
      <w:pPr>
        <w:pStyle w:val="Text2"/>
        <w:rPr>
          <w:noProof/>
          <w:lang w:val="en-IE"/>
        </w:rPr>
      </w:pPr>
      <w:r>
        <w:rPr>
          <w:noProof/>
          <w:lang w:val="en-IE"/>
        </w:rPr>
        <w:t>The share of f</w:t>
      </w:r>
      <w:r w:rsidRPr="0FFB8500">
        <w:rPr>
          <w:noProof/>
          <w:lang w:val="en-IE"/>
        </w:rPr>
        <w:t xml:space="preserve">ossil fuels </w:t>
      </w:r>
      <w:r>
        <w:rPr>
          <w:noProof/>
          <w:lang w:val="en-IE"/>
        </w:rPr>
        <w:t>in</w:t>
      </w:r>
      <w:r w:rsidRPr="0FFB8500">
        <w:rPr>
          <w:noProof/>
          <w:lang w:val="en-IE"/>
        </w:rPr>
        <w:t xml:space="preserve"> total FEC </w:t>
      </w:r>
      <w:r>
        <w:rPr>
          <w:noProof/>
          <w:lang w:val="en-IE"/>
        </w:rPr>
        <w:t xml:space="preserve">decreases </w:t>
      </w:r>
      <w:r w:rsidRPr="0FFB8500">
        <w:rPr>
          <w:noProof/>
          <w:lang w:val="en-IE"/>
        </w:rPr>
        <w:t xml:space="preserve">from above 60% in </w:t>
      </w:r>
      <w:r w:rsidR="0050354D" w:rsidRPr="0FFB8500">
        <w:rPr>
          <w:noProof/>
          <w:lang w:val="en-IE"/>
        </w:rPr>
        <w:t>201</w:t>
      </w:r>
      <w:r w:rsidR="0050354D">
        <w:rPr>
          <w:noProof/>
          <w:lang w:val="en-IE"/>
        </w:rPr>
        <w:t>9</w:t>
      </w:r>
      <w:r w:rsidR="0050354D" w:rsidRPr="0FFB8500">
        <w:rPr>
          <w:noProof/>
          <w:lang w:val="en-IE"/>
        </w:rPr>
        <w:t xml:space="preserve"> </w:t>
      </w:r>
      <w:r w:rsidRPr="0FFB8500">
        <w:rPr>
          <w:noProof/>
          <w:lang w:val="en-IE"/>
        </w:rPr>
        <w:t xml:space="preserve">to </w:t>
      </w:r>
      <w:r w:rsidR="00094B63" w:rsidRPr="00094B63">
        <w:rPr>
          <w:noProof/>
          <w:lang w:val="en-IE"/>
        </w:rPr>
        <w:t xml:space="preserve">52% in 2030, </w:t>
      </w:r>
      <w:r>
        <w:rPr>
          <w:noProof/>
          <w:lang w:val="en-IE"/>
        </w:rPr>
        <w:t xml:space="preserve">between </w:t>
      </w:r>
      <w:r w:rsidRPr="0FFB8500">
        <w:rPr>
          <w:noProof/>
          <w:lang w:val="en-IE"/>
        </w:rPr>
        <w:t>2</w:t>
      </w:r>
      <w:r w:rsidR="006C2D53">
        <w:rPr>
          <w:noProof/>
          <w:lang w:val="en-IE"/>
        </w:rPr>
        <w:t>3</w:t>
      </w:r>
      <w:r w:rsidR="00737B15">
        <w:rPr>
          <w:noProof/>
          <w:lang w:val="en-IE"/>
        </w:rPr>
        <w:t>%</w:t>
      </w:r>
      <w:r>
        <w:rPr>
          <w:noProof/>
          <w:lang w:val="en-IE"/>
        </w:rPr>
        <w:t xml:space="preserve"> and 30</w:t>
      </w:r>
      <w:r w:rsidRPr="0FFB8500">
        <w:rPr>
          <w:noProof/>
          <w:lang w:val="en-IE"/>
        </w:rPr>
        <w:t>% in 2040</w:t>
      </w:r>
      <w:r>
        <w:rPr>
          <w:noProof/>
          <w:lang w:val="en-IE"/>
        </w:rPr>
        <w:t xml:space="preserve"> under the various scenarios</w:t>
      </w:r>
      <w:r w:rsidRPr="0FFB8500">
        <w:rPr>
          <w:noProof/>
          <w:lang w:val="en-IE"/>
        </w:rPr>
        <w:t xml:space="preserve"> and </w:t>
      </w:r>
      <w:r w:rsidR="0061479B">
        <w:rPr>
          <w:noProof/>
          <w:lang w:val="en-IE"/>
        </w:rPr>
        <w:t>6</w:t>
      </w:r>
      <w:r>
        <w:rPr>
          <w:noProof/>
          <w:lang w:val="en-IE"/>
        </w:rPr>
        <w:t>%</w:t>
      </w:r>
      <w:r w:rsidRPr="0FFB8500">
        <w:rPr>
          <w:noProof/>
          <w:lang w:val="en-IE"/>
        </w:rPr>
        <w:t xml:space="preserve"> in 2050. </w:t>
      </w:r>
      <w:r w:rsidR="00094B63" w:rsidRPr="00094B63">
        <w:rPr>
          <w:noProof/>
          <w:lang w:val="en-IE"/>
        </w:rPr>
        <w:t>Coal FEC</w:t>
      </w:r>
      <w:r w:rsidRPr="0FFB8500">
        <w:rPr>
          <w:noProof/>
          <w:lang w:val="en-IE"/>
        </w:rPr>
        <w:t xml:space="preserve"> becomes </w:t>
      </w:r>
      <w:r w:rsidR="002E07FD">
        <w:rPr>
          <w:noProof/>
          <w:lang w:val="en-IE"/>
        </w:rPr>
        <w:t>very small</w:t>
      </w:r>
      <w:r w:rsidRPr="0FFB8500">
        <w:rPr>
          <w:noProof/>
          <w:lang w:val="en-IE"/>
        </w:rPr>
        <w:t xml:space="preserve"> in 2030 and disappears </w:t>
      </w:r>
      <w:r w:rsidR="006B2041">
        <w:rPr>
          <w:noProof/>
          <w:lang w:val="en-IE"/>
        </w:rPr>
        <w:t>shortly after</w:t>
      </w:r>
      <w:r w:rsidRPr="0FFB8500">
        <w:rPr>
          <w:noProof/>
          <w:lang w:val="en-IE"/>
        </w:rPr>
        <w:t xml:space="preserve"> 2040, driven by phase out in buildings </w:t>
      </w:r>
      <w:r w:rsidR="00094B63" w:rsidRPr="00094B63">
        <w:rPr>
          <w:noProof/>
          <w:lang w:val="en-IE"/>
        </w:rPr>
        <w:t xml:space="preserve">after 2030 </w:t>
      </w:r>
      <w:r>
        <w:rPr>
          <w:noProof/>
          <w:lang w:val="en-IE"/>
        </w:rPr>
        <w:t>(pushed</w:t>
      </w:r>
      <w:r w:rsidRPr="0FFB8500">
        <w:rPr>
          <w:noProof/>
          <w:lang w:val="en-IE"/>
        </w:rPr>
        <w:t xml:space="preserve"> </w:t>
      </w:r>
      <w:r>
        <w:rPr>
          <w:noProof/>
          <w:lang w:val="en-IE"/>
        </w:rPr>
        <w:t>by the</w:t>
      </w:r>
      <w:r w:rsidRPr="0FFB8500">
        <w:rPr>
          <w:noProof/>
          <w:lang w:val="en-IE"/>
        </w:rPr>
        <w:t xml:space="preserve"> policies </w:t>
      </w:r>
      <w:r>
        <w:rPr>
          <w:noProof/>
          <w:lang w:val="en-IE"/>
        </w:rPr>
        <w:t>of</w:t>
      </w:r>
      <w:r w:rsidRPr="0FFB8500">
        <w:rPr>
          <w:noProof/>
          <w:lang w:val="en-IE"/>
        </w:rPr>
        <w:t xml:space="preserve"> several Member States</w:t>
      </w:r>
      <w:r>
        <w:rPr>
          <w:noProof/>
          <w:lang w:val="en-IE"/>
        </w:rPr>
        <w:t>)</w:t>
      </w:r>
      <w:r w:rsidRPr="0FFB8500">
        <w:rPr>
          <w:noProof/>
          <w:lang w:val="en-IE"/>
        </w:rPr>
        <w:t xml:space="preserve"> and by significant reductions in industry after 2030. Encouraged by the gradually more stringent </w:t>
      </w:r>
      <w:r w:rsidR="000B4B14" w:rsidRPr="53A1CCF7">
        <w:rPr>
          <w:noProof/>
          <w:lang w:val="en-IE"/>
        </w:rPr>
        <w:t>CO</w:t>
      </w:r>
      <w:r w:rsidR="000B4B14" w:rsidRPr="004F3A79">
        <w:rPr>
          <w:noProof/>
          <w:vertAlign w:val="subscript"/>
          <w:lang w:val="en-IE"/>
        </w:rPr>
        <w:t xml:space="preserve">2 </w:t>
      </w:r>
      <w:r w:rsidRPr="0FFB8500">
        <w:rPr>
          <w:noProof/>
          <w:lang w:val="en-IE"/>
        </w:rPr>
        <w:t>emission standards</w:t>
      </w:r>
      <w:r w:rsidR="00094B63" w:rsidRPr="00094B63">
        <w:rPr>
          <w:noProof/>
          <w:lang w:val="en-IE"/>
        </w:rPr>
        <w:t xml:space="preserve">, oil FEC in 2030 reduces by </w:t>
      </w:r>
      <w:r w:rsidR="0050354D">
        <w:rPr>
          <w:noProof/>
          <w:lang w:val="en-IE"/>
        </w:rPr>
        <w:t>2</w:t>
      </w:r>
      <w:r w:rsidR="00094B63" w:rsidRPr="00094B63">
        <w:rPr>
          <w:noProof/>
          <w:lang w:val="en-IE"/>
        </w:rPr>
        <w:t>8% (</w:t>
      </w:r>
      <w:r w:rsidR="0050354D">
        <w:rPr>
          <w:noProof/>
          <w:lang w:val="en-IE"/>
        </w:rPr>
        <w:t>108</w:t>
      </w:r>
      <w:r w:rsidR="0050354D" w:rsidRPr="00094B63">
        <w:rPr>
          <w:noProof/>
          <w:lang w:val="en-IE"/>
        </w:rPr>
        <w:t xml:space="preserve"> </w:t>
      </w:r>
      <w:r w:rsidR="00094B63" w:rsidRPr="00094B63">
        <w:rPr>
          <w:noProof/>
          <w:lang w:val="en-IE"/>
        </w:rPr>
        <w:t>Mtoe) compared to 201</w:t>
      </w:r>
      <w:r w:rsidR="0050354D">
        <w:rPr>
          <w:noProof/>
          <w:lang w:val="en-IE"/>
        </w:rPr>
        <w:t>9</w:t>
      </w:r>
      <w:r w:rsidR="00094B63" w:rsidRPr="00094B63">
        <w:rPr>
          <w:noProof/>
          <w:lang w:val="en-IE"/>
        </w:rPr>
        <w:t xml:space="preserve"> levels. After 2035, the reduction in oil FEC accelerates</w:t>
      </w:r>
      <w:r w:rsidRPr="0FFB8500">
        <w:rPr>
          <w:noProof/>
          <w:lang w:val="en-IE"/>
        </w:rPr>
        <w:t xml:space="preserve"> in light of the CO</w:t>
      </w:r>
      <w:r w:rsidRPr="00DE2528">
        <w:rPr>
          <w:noProof/>
          <w:vertAlign w:val="subscript"/>
          <w:lang w:val="en-IE"/>
        </w:rPr>
        <w:t>2</w:t>
      </w:r>
      <w:r w:rsidRPr="0FFB8500">
        <w:rPr>
          <w:noProof/>
          <w:lang w:val="en-IE"/>
        </w:rPr>
        <w:t xml:space="preserve"> emission</w:t>
      </w:r>
      <w:r w:rsidR="0093306B">
        <w:rPr>
          <w:noProof/>
          <w:lang w:val="en-IE"/>
        </w:rPr>
        <w:t>s</w:t>
      </w:r>
      <w:r w:rsidRPr="0FFB8500">
        <w:rPr>
          <w:noProof/>
          <w:lang w:val="en-IE"/>
        </w:rPr>
        <w:t xml:space="preserve"> standards mandating sales of zero-emission vehicles</w:t>
      </w:r>
      <w:r w:rsidR="00094B63" w:rsidRPr="00094B63">
        <w:rPr>
          <w:noProof/>
          <w:lang w:val="en-IE"/>
        </w:rPr>
        <w:t xml:space="preserve"> only:</w:t>
      </w:r>
      <w:r>
        <w:rPr>
          <w:noProof/>
          <w:lang w:val="en-IE"/>
        </w:rPr>
        <w:t xml:space="preserve"> in 2040, oil FEC attains </w:t>
      </w:r>
      <w:r w:rsidR="004C0EF4">
        <w:rPr>
          <w:noProof/>
          <w:lang w:val="en-IE"/>
        </w:rPr>
        <w:t xml:space="preserve">approximately </w:t>
      </w:r>
      <w:r w:rsidR="007E1D5E">
        <w:rPr>
          <w:noProof/>
          <w:lang w:val="en-IE"/>
        </w:rPr>
        <w:t>100</w:t>
      </w:r>
      <w:r>
        <w:rPr>
          <w:noProof/>
          <w:lang w:val="en-IE"/>
        </w:rPr>
        <w:t>-110 Mtoe in the S1-</w:t>
      </w:r>
      <w:r w:rsidR="006750D6">
        <w:rPr>
          <w:noProof/>
          <w:lang w:val="en-IE"/>
        </w:rPr>
        <w:t>S2-</w:t>
      </w:r>
      <w:r>
        <w:rPr>
          <w:noProof/>
          <w:lang w:val="en-IE"/>
        </w:rPr>
        <w:t>S3 scenarios</w:t>
      </w:r>
      <w:r w:rsidRPr="0FFB8500">
        <w:rPr>
          <w:noProof/>
          <w:lang w:val="en-IE"/>
        </w:rPr>
        <w:t>.</w:t>
      </w:r>
      <w:r w:rsidR="0050354D">
        <w:rPr>
          <w:noProof/>
          <w:lang w:val="en-IE"/>
        </w:rPr>
        <w:t xml:space="preserve"> </w:t>
      </w:r>
      <w:r w:rsidR="00094B63" w:rsidRPr="00094B63">
        <w:rPr>
          <w:noProof/>
          <w:lang w:val="en-IE"/>
        </w:rPr>
        <w:t>Natural gas FEC</w:t>
      </w:r>
      <w:r w:rsidRPr="0FFB8500">
        <w:rPr>
          <w:noProof/>
          <w:lang w:val="en-IE"/>
        </w:rPr>
        <w:t xml:space="preserve"> gradually reduces </w:t>
      </w:r>
      <w:r w:rsidR="00D9369E">
        <w:rPr>
          <w:noProof/>
          <w:lang w:val="en-IE"/>
        </w:rPr>
        <w:t>to only small quantities</w:t>
      </w:r>
      <w:r w:rsidRPr="0FFB8500">
        <w:rPr>
          <w:noProof/>
          <w:lang w:val="en-IE"/>
        </w:rPr>
        <w:t xml:space="preserve"> </w:t>
      </w:r>
      <w:r w:rsidR="002E07FD">
        <w:rPr>
          <w:noProof/>
          <w:lang w:val="en-IE"/>
        </w:rPr>
        <w:t>by</w:t>
      </w:r>
      <w:r w:rsidRPr="0FFB8500">
        <w:rPr>
          <w:noProof/>
          <w:lang w:val="en-IE"/>
        </w:rPr>
        <w:t xml:space="preserve"> 2040</w:t>
      </w:r>
      <w:r w:rsidR="00DE2528" w:rsidRPr="00DE2528">
        <w:rPr>
          <w:noProof/>
          <w:lang w:val="en-IE"/>
        </w:rPr>
        <w:t> (</w:t>
      </w:r>
      <w:r w:rsidR="00DE2528">
        <w:rPr>
          <w:rStyle w:val="FootnoteReference"/>
          <w:noProof/>
          <w:lang w:val="en-IE"/>
        </w:rPr>
        <w:footnoteReference w:id="60"/>
      </w:r>
      <w:r w:rsidR="00DE2528">
        <w:rPr>
          <w:noProof/>
          <w:lang w:val="en-IE"/>
        </w:rPr>
        <w:t>)</w:t>
      </w:r>
      <w:r w:rsidRPr="0FFB8500">
        <w:rPr>
          <w:noProof/>
          <w:lang w:val="en-IE"/>
        </w:rPr>
        <w:t xml:space="preserve">. That is mainly due to improved energy performances of the building stock and to fuel switching towards mainly electricity in the building sector and hydrogen and electricity in the industrial sector. </w:t>
      </w:r>
      <w:r w:rsidR="00094B63" w:rsidRPr="00094B63">
        <w:rPr>
          <w:noProof/>
          <w:lang w:val="en-IE"/>
        </w:rPr>
        <w:t>Natural gas FEC</w:t>
      </w:r>
      <w:r w:rsidRPr="00CE36B8">
        <w:rPr>
          <w:noProof/>
          <w:lang w:val="en-IE"/>
        </w:rPr>
        <w:t xml:space="preserve"> differs significantly in the S1</w:t>
      </w:r>
      <w:r>
        <w:rPr>
          <w:noProof/>
          <w:lang w:val="en-IE"/>
        </w:rPr>
        <w:t xml:space="preserve"> and </w:t>
      </w:r>
      <w:r w:rsidRPr="00CE36B8">
        <w:rPr>
          <w:noProof/>
          <w:lang w:val="en-IE"/>
        </w:rPr>
        <w:t>S3 scenarios compared to the S2 scenario (</w:t>
      </w:r>
      <w:r w:rsidR="0062050D">
        <w:rPr>
          <w:noProof/>
          <w:lang w:val="en-IE"/>
        </w:rPr>
        <w:t>-27%</w:t>
      </w:r>
      <w:r w:rsidRPr="00CE36B8">
        <w:rPr>
          <w:noProof/>
          <w:lang w:val="en-IE"/>
        </w:rPr>
        <w:t xml:space="preserve"> </w:t>
      </w:r>
      <w:r w:rsidR="007C74A8">
        <w:rPr>
          <w:noProof/>
          <w:lang w:val="en-IE"/>
        </w:rPr>
        <w:t>in</w:t>
      </w:r>
      <w:r>
        <w:rPr>
          <w:noProof/>
          <w:lang w:val="en-IE"/>
        </w:rPr>
        <w:t xml:space="preserve"> S1 </w:t>
      </w:r>
      <w:r w:rsidR="007C74A8">
        <w:rPr>
          <w:noProof/>
          <w:lang w:val="en-IE"/>
        </w:rPr>
        <w:t xml:space="preserve">compared to S3 </w:t>
      </w:r>
      <w:r>
        <w:rPr>
          <w:noProof/>
          <w:lang w:val="en-IE"/>
        </w:rPr>
        <w:t xml:space="preserve">and </w:t>
      </w:r>
      <w:r w:rsidRPr="00CE36B8">
        <w:rPr>
          <w:noProof/>
          <w:lang w:val="en-IE"/>
        </w:rPr>
        <w:t>-</w:t>
      </w:r>
      <w:r w:rsidR="007C74A8">
        <w:rPr>
          <w:noProof/>
          <w:lang w:val="en-IE"/>
        </w:rPr>
        <w:t>46</w:t>
      </w:r>
      <w:r w:rsidRPr="00CE36B8">
        <w:rPr>
          <w:noProof/>
          <w:lang w:val="en-IE"/>
        </w:rPr>
        <w:t>%</w:t>
      </w:r>
      <w:r>
        <w:rPr>
          <w:noProof/>
          <w:lang w:val="en-IE"/>
        </w:rPr>
        <w:t xml:space="preserve"> for S3</w:t>
      </w:r>
      <w:r w:rsidRPr="00CE36B8">
        <w:rPr>
          <w:noProof/>
          <w:lang w:val="en-IE"/>
        </w:rPr>
        <w:t xml:space="preserve">), as the three scenarios are underpinned by different renovation rates </w:t>
      </w:r>
      <w:r>
        <w:rPr>
          <w:noProof/>
          <w:lang w:val="en-IE"/>
        </w:rPr>
        <w:t>(</w:t>
      </w:r>
      <w:r w:rsidR="005B473D">
        <w:rPr>
          <w:noProof/>
          <w:lang w:val="en-IE"/>
        </w:rPr>
        <w:t xml:space="preserve">see section </w:t>
      </w:r>
      <w:r w:rsidR="005B473D">
        <w:rPr>
          <w:noProof/>
          <w:highlight w:val="yellow"/>
          <w:lang w:val="en-IE"/>
        </w:rPr>
        <w:fldChar w:fldCharType="begin"/>
      </w:r>
      <w:r w:rsidR="005B473D">
        <w:rPr>
          <w:noProof/>
          <w:lang w:val="en-IE"/>
        </w:rPr>
        <w:instrText xml:space="preserve"> REF _Ref143334682 \r \h </w:instrText>
      </w:r>
      <w:r w:rsidR="005B473D">
        <w:rPr>
          <w:noProof/>
          <w:highlight w:val="yellow"/>
          <w:lang w:val="en-IE"/>
        </w:rPr>
      </w:r>
      <w:r w:rsidR="005B473D">
        <w:rPr>
          <w:noProof/>
          <w:highlight w:val="yellow"/>
          <w:lang w:val="en-IE"/>
        </w:rPr>
        <w:fldChar w:fldCharType="separate"/>
      </w:r>
      <w:r w:rsidR="00170A3C">
        <w:rPr>
          <w:noProof/>
          <w:lang w:val="en-IE"/>
        </w:rPr>
        <w:t>1.3.2</w:t>
      </w:r>
      <w:r w:rsidR="005B473D">
        <w:rPr>
          <w:noProof/>
          <w:highlight w:val="yellow"/>
          <w:lang w:val="en-IE"/>
        </w:rPr>
        <w:fldChar w:fldCharType="end"/>
      </w:r>
      <w:r w:rsidR="00094B63" w:rsidRPr="00094B63">
        <w:rPr>
          <w:noProof/>
          <w:lang w:val="en-IE"/>
        </w:rPr>
        <w:t>)</w:t>
      </w:r>
      <w:r>
        <w:rPr>
          <w:noProof/>
          <w:lang w:val="en-IE"/>
        </w:rPr>
        <w:t xml:space="preserve"> </w:t>
      </w:r>
      <w:r w:rsidRPr="00CE36B8">
        <w:rPr>
          <w:noProof/>
          <w:lang w:val="en-IE"/>
        </w:rPr>
        <w:t xml:space="preserve">and fuel switching to hydrogen and </w:t>
      </w:r>
      <w:r w:rsidR="00262CD5">
        <w:rPr>
          <w:noProof/>
          <w:lang w:val="en-IE"/>
        </w:rPr>
        <w:t>e-fuels</w:t>
      </w:r>
      <w:r w:rsidR="00094B63" w:rsidRPr="00094B63">
        <w:rPr>
          <w:noProof/>
          <w:lang w:val="en-IE"/>
        </w:rPr>
        <w:t>.</w:t>
      </w:r>
      <w:r w:rsidRPr="00CE36B8">
        <w:rPr>
          <w:noProof/>
          <w:lang w:val="en-IE"/>
        </w:rPr>
        <w:t xml:space="preserve"> </w:t>
      </w:r>
      <w:r w:rsidR="00AF5DCC" w:rsidRPr="00094B63">
        <w:rPr>
          <w:noProof/>
          <w:lang w:val="en-IE"/>
        </w:rPr>
        <w:t xml:space="preserve">The share of renewable energy in </w:t>
      </w:r>
      <w:r w:rsidR="0050354D">
        <w:rPr>
          <w:noProof/>
          <w:lang w:val="en-IE"/>
        </w:rPr>
        <w:t>g</w:t>
      </w:r>
      <w:r w:rsidR="0050354D" w:rsidRPr="00094B63">
        <w:rPr>
          <w:noProof/>
          <w:lang w:val="en-IE"/>
        </w:rPr>
        <w:t xml:space="preserve">ross </w:t>
      </w:r>
      <w:r w:rsidR="0050354D">
        <w:rPr>
          <w:noProof/>
          <w:lang w:val="en-IE"/>
        </w:rPr>
        <w:t>FEC</w:t>
      </w:r>
      <w:r w:rsidR="00AF5DCC" w:rsidRPr="00094B63">
        <w:rPr>
          <w:noProof/>
          <w:lang w:val="en-IE"/>
        </w:rPr>
        <w:t xml:space="preserve"> increases from 42.</w:t>
      </w:r>
      <w:r w:rsidR="00DE2528">
        <w:rPr>
          <w:noProof/>
          <w:lang w:val="en-IE"/>
        </w:rPr>
        <w:t>5</w:t>
      </w:r>
      <w:r w:rsidR="00AF5DCC" w:rsidRPr="00094B63">
        <w:rPr>
          <w:noProof/>
          <w:lang w:val="en-IE"/>
        </w:rPr>
        <w:t>% in 2030 (in line with the Renewable Energy Directive target) to between 65% and 75% in 2040 (with the S3 scenario requiring 10% more renewable energy than S1).</w:t>
      </w:r>
    </w:p>
    <w:p w14:paraId="5D42B875" w14:textId="1BFF74CB" w:rsidR="00D63778" w:rsidRDefault="00D63778" w:rsidP="00D63778">
      <w:pPr>
        <w:pStyle w:val="Text2"/>
        <w:rPr>
          <w:noProof/>
          <w:lang w:val="en-IE"/>
        </w:rPr>
      </w:pPr>
      <w:r w:rsidRPr="1F31FE8C">
        <w:rPr>
          <w:noProof/>
          <w:lang w:val="en-IE"/>
        </w:rPr>
        <w:t>The contribution of electricity in FEC increases across all scenarios, and electricity becomes the dominating energy vector in final energy sectors. From 2</w:t>
      </w:r>
      <w:r>
        <w:rPr>
          <w:noProof/>
          <w:lang w:val="en-IE"/>
        </w:rPr>
        <w:t>3</w:t>
      </w:r>
      <w:r w:rsidRPr="1F31FE8C">
        <w:rPr>
          <w:noProof/>
          <w:lang w:val="en-IE"/>
        </w:rPr>
        <w:t xml:space="preserve">% in 2015, the share of electricity in final demand </w:t>
      </w:r>
      <w:r>
        <w:rPr>
          <w:noProof/>
          <w:lang w:val="en-IE"/>
        </w:rPr>
        <w:t>increases</w:t>
      </w:r>
      <w:r w:rsidRPr="1F31FE8C">
        <w:rPr>
          <w:noProof/>
          <w:lang w:val="en-IE"/>
        </w:rPr>
        <w:t xml:space="preserve"> to </w:t>
      </w:r>
      <w:r w:rsidR="00094B63" w:rsidRPr="00094B63">
        <w:rPr>
          <w:noProof/>
          <w:lang w:val="en-IE"/>
        </w:rPr>
        <w:t xml:space="preserve">more than 30% in 2030 (240 Mtoe), to </w:t>
      </w:r>
      <w:r>
        <w:rPr>
          <w:noProof/>
          <w:lang w:val="en-IE"/>
        </w:rPr>
        <w:t>above 45%</w:t>
      </w:r>
      <w:r w:rsidRPr="1F31FE8C">
        <w:rPr>
          <w:noProof/>
          <w:lang w:val="en-IE"/>
        </w:rPr>
        <w:t xml:space="preserve"> in 2040</w:t>
      </w:r>
      <w:r>
        <w:rPr>
          <w:noProof/>
          <w:lang w:val="en-IE"/>
        </w:rPr>
        <w:t xml:space="preserve"> across scenarios</w:t>
      </w:r>
      <w:r w:rsidRPr="1F31FE8C">
        <w:rPr>
          <w:noProof/>
          <w:lang w:val="en-IE"/>
        </w:rPr>
        <w:t xml:space="preserve"> (2</w:t>
      </w:r>
      <w:r>
        <w:rPr>
          <w:noProof/>
          <w:lang w:val="en-IE"/>
        </w:rPr>
        <w:t>80</w:t>
      </w:r>
      <w:r w:rsidRPr="1F31FE8C">
        <w:rPr>
          <w:noProof/>
          <w:lang w:val="en-IE"/>
        </w:rPr>
        <w:t>-2</w:t>
      </w:r>
      <w:r>
        <w:rPr>
          <w:noProof/>
          <w:lang w:val="en-IE"/>
        </w:rPr>
        <w:t>90</w:t>
      </w:r>
      <w:r w:rsidRPr="1F31FE8C">
        <w:rPr>
          <w:noProof/>
          <w:lang w:val="en-IE"/>
        </w:rPr>
        <w:t xml:space="preserve"> Mtoe)</w:t>
      </w:r>
      <w:r w:rsidR="0050354D">
        <w:rPr>
          <w:noProof/>
          <w:lang w:val="en-IE"/>
        </w:rPr>
        <w:t>. The measures</w:t>
      </w:r>
      <w:r w:rsidR="001F2ED1">
        <w:rPr>
          <w:noProof/>
          <w:lang w:val="en-IE"/>
        </w:rPr>
        <w:t xml:space="preserve"> in</w:t>
      </w:r>
      <w:r w:rsidR="0050354D">
        <w:rPr>
          <w:noProof/>
          <w:lang w:val="en-IE"/>
        </w:rPr>
        <w:t xml:space="preserve"> </w:t>
      </w:r>
      <w:r w:rsidR="004D3667">
        <w:rPr>
          <w:noProof/>
          <w:lang w:val="en-IE"/>
        </w:rPr>
        <w:t>LIFE</w:t>
      </w:r>
      <w:r w:rsidR="0050354D">
        <w:rPr>
          <w:noProof/>
          <w:lang w:val="en-IE"/>
        </w:rPr>
        <w:t xml:space="preserve"> reduce the need for electricity in FEC by 9 Mtoe. In 2050, it</w:t>
      </w:r>
      <w:r w:rsidR="00C06043">
        <w:rPr>
          <w:noProof/>
          <w:lang w:val="en-IE"/>
        </w:rPr>
        <w:t xml:space="preserve"> </w:t>
      </w:r>
      <w:r w:rsidR="0050354D">
        <w:rPr>
          <w:noProof/>
          <w:lang w:val="en-IE"/>
        </w:rPr>
        <w:t>reaches</w:t>
      </w:r>
      <w:r w:rsidRPr="1F31FE8C">
        <w:rPr>
          <w:noProof/>
          <w:lang w:val="en-IE"/>
        </w:rPr>
        <w:t xml:space="preserve"> 5</w:t>
      </w:r>
      <w:r>
        <w:rPr>
          <w:noProof/>
          <w:lang w:val="en-IE"/>
        </w:rPr>
        <w:t>7%</w:t>
      </w:r>
      <w:r w:rsidR="00866DAC">
        <w:rPr>
          <w:noProof/>
          <w:lang w:val="en-IE"/>
        </w:rPr>
        <w:t xml:space="preserve"> </w:t>
      </w:r>
      <w:r w:rsidRPr="1F31FE8C">
        <w:rPr>
          <w:noProof/>
          <w:lang w:val="en-IE"/>
        </w:rPr>
        <w:t>(3</w:t>
      </w:r>
      <w:r>
        <w:rPr>
          <w:noProof/>
          <w:lang w:val="en-IE"/>
        </w:rPr>
        <w:t>20</w:t>
      </w:r>
      <w:r w:rsidRPr="1F31FE8C">
        <w:rPr>
          <w:noProof/>
          <w:lang w:val="en-IE"/>
        </w:rPr>
        <w:t xml:space="preserve"> Mtoe). Such increase is mainly driven by the uptake of electric vehicles in the transport sector, the penetration of heat pumps in buildings and electrification of </w:t>
      </w:r>
      <w:r>
        <w:rPr>
          <w:noProof/>
          <w:lang w:val="en-IE"/>
        </w:rPr>
        <w:t>low and medium temperature</w:t>
      </w:r>
      <w:r w:rsidRPr="1F31FE8C">
        <w:rPr>
          <w:noProof/>
          <w:lang w:val="en-IE"/>
        </w:rPr>
        <w:t xml:space="preserve"> industrial processes.</w:t>
      </w:r>
    </w:p>
    <w:p w14:paraId="7402AB0C" w14:textId="1A2C6058" w:rsidR="00285F48" w:rsidRDefault="00D63778" w:rsidP="00D63778">
      <w:pPr>
        <w:pStyle w:val="Text2"/>
        <w:rPr>
          <w:noProof/>
          <w:lang w:val="en-IE"/>
        </w:rPr>
      </w:pPr>
      <w:r w:rsidRPr="0FFB8500">
        <w:rPr>
          <w:noProof/>
          <w:lang w:val="en-IE"/>
        </w:rPr>
        <w:t xml:space="preserve">Fossil fuels are </w:t>
      </w:r>
      <w:r>
        <w:rPr>
          <w:noProof/>
          <w:lang w:val="en-IE"/>
        </w:rPr>
        <w:t xml:space="preserve">also </w:t>
      </w:r>
      <w:r w:rsidRPr="0FFB8500">
        <w:rPr>
          <w:noProof/>
          <w:lang w:val="en-IE"/>
        </w:rPr>
        <w:t xml:space="preserve">partially replaced by hydrogen and other RFNBOs, whose uptake only scales up at the end of this decade. </w:t>
      </w:r>
      <w:r w:rsidR="00285F48" w:rsidRPr="00285F48">
        <w:rPr>
          <w:noProof/>
          <w:lang w:val="en-IE"/>
        </w:rPr>
        <w:t>Renewable hydrogen is a rapidly evolving technology and sector. The modelling results for 2030 reflect the EU RFNBO targets, and associated hydrogen production, as per the revision of the Renewable Energy Directive under the Fit-for-55 package. However, the modelling for the future design of the post-2030 policy framework will take into account the updates of the National Climate and Energy Plans due in June 2024.</w:t>
      </w:r>
    </w:p>
    <w:p w14:paraId="3665D9B0" w14:textId="0D2232C7" w:rsidR="00D63778" w:rsidRDefault="00D63778" w:rsidP="00D63778">
      <w:pPr>
        <w:pStyle w:val="Text2"/>
        <w:rPr>
          <w:noProof/>
          <w:lang w:val="en-IE"/>
        </w:rPr>
      </w:pPr>
      <w:r w:rsidRPr="0FFB8500">
        <w:rPr>
          <w:noProof/>
          <w:lang w:val="en-IE"/>
        </w:rPr>
        <w:t xml:space="preserve">Combined, </w:t>
      </w:r>
      <w:r>
        <w:rPr>
          <w:noProof/>
          <w:lang w:val="en-IE"/>
        </w:rPr>
        <w:t>RFNBOs</w:t>
      </w:r>
      <w:r w:rsidRPr="0FFB8500">
        <w:rPr>
          <w:noProof/>
          <w:lang w:val="en-IE"/>
        </w:rPr>
        <w:t xml:space="preserve"> account</w:t>
      </w:r>
      <w:r>
        <w:rPr>
          <w:noProof/>
          <w:lang w:val="en-IE"/>
        </w:rPr>
        <w:t xml:space="preserve"> </w:t>
      </w:r>
      <w:r w:rsidRPr="0FFB8500">
        <w:rPr>
          <w:noProof/>
          <w:lang w:val="en-IE"/>
        </w:rPr>
        <w:t xml:space="preserve">for </w:t>
      </w:r>
      <w:r w:rsidR="00094B63" w:rsidRPr="00094B63">
        <w:rPr>
          <w:noProof/>
          <w:lang w:val="en-IE"/>
        </w:rPr>
        <w:t>1% of total FEC</w:t>
      </w:r>
      <w:r w:rsidRPr="0FFB8500">
        <w:rPr>
          <w:noProof/>
          <w:lang w:val="en-IE"/>
        </w:rPr>
        <w:t xml:space="preserve"> in </w:t>
      </w:r>
      <w:r w:rsidR="00094B63" w:rsidRPr="00094B63">
        <w:rPr>
          <w:noProof/>
          <w:lang w:val="en-IE"/>
        </w:rPr>
        <w:t>2030 (5</w:t>
      </w:r>
      <w:r w:rsidRPr="0FFB8500">
        <w:rPr>
          <w:noProof/>
          <w:lang w:val="en-IE"/>
        </w:rPr>
        <w:t xml:space="preserve"> Mtoe</w:t>
      </w:r>
      <w:r w:rsidR="00094B63" w:rsidRPr="00094B63">
        <w:rPr>
          <w:noProof/>
          <w:lang w:val="en-IE"/>
        </w:rPr>
        <w:t xml:space="preserve">), </w:t>
      </w:r>
      <w:r w:rsidR="009F7A27">
        <w:rPr>
          <w:noProof/>
          <w:lang w:val="en-IE"/>
        </w:rPr>
        <w:t>5-</w:t>
      </w:r>
      <w:r w:rsidR="00E05698">
        <w:rPr>
          <w:noProof/>
          <w:lang w:val="en-IE"/>
        </w:rPr>
        <w:t>12</w:t>
      </w:r>
      <w:r w:rsidR="00094B63" w:rsidRPr="00094B63">
        <w:rPr>
          <w:noProof/>
          <w:lang w:val="en-IE"/>
        </w:rPr>
        <w:t xml:space="preserve">% in 2040 (about </w:t>
      </w:r>
      <w:r w:rsidR="009F7A27">
        <w:rPr>
          <w:noProof/>
          <w:lang w:val="en-IE"/>
        </w:rPr>
        <w:t>30-</w:t>
      </w:r>
      <w:r w:rsidR="00F97B2C">
        <w:rPr>
          <w:noProof/>
          <w:lang w:val="en-IE"/>
        </w:rPr>
        <w:t>65</w:t>
      </w:r>
      <w:r w:rsidR="00094B63" w:rsidRPr="00094B63">
        <w:rPr>
          <w:noProof/>
          <w:lang w:val="en-IE"/>
        </w:rPr>
        <w:t xml:space="preserve"> Mtoe) and </w:t>
      </w:r>
      <w:r w:rsidR="00C24700">
        <w:rPr>
          <w:noProof/>
          <w:lang w:val="en-IE"/>
        </w:rPr>
        <w:t>20</w:t>
      </w:r>
      <w:r w:rsidR="00094B63" w:rsidRPr="00094B63">
        <w:rPr>
          <w:noProof/>
          <w:lang w:val="en-IE"/>
        </w:rPr>
        <w:t>% in 2050 (1</w:t>
      </w:r>
      <w:r w:rsidR="00754115">
        <w:rPr>
          <w:noProof/>
          <w:lang w:val="en-IE"/>
        </w:rPr>
        <w:t>0</w:t>
      </w:r>
      <w:r w:rsidR="00C24700">
        <w:rPr>
          <w:noProof/>
          <w:lang w:val="en-IE"/>
        </w:rPr>
        <w:t>5</w:t>
      </w:r>
      <w:r w:rsidR="00094B63" w:rsidRPr="00094B63">
        <w:rPr>
          <w:noProof/>
          <w:lang w:val="en-IE"/>
        </w:rPr>
        <w:t xml:space="preserve"> Mtoe).</w:t>
      </w:r>
      <w:r w:rsidR="009F7A27">
        <w:rPr>
          <w:noProof/>
          <w:lang w:val="en-IE"/>
        </w:rPr>
        <w:t xml:space="preserve"> Measures from </w:t>
      </w:r>
      <w:r w:rsidR="004D3667">
        <w:rPr>
          <w:noProof/>
          <w:lang w:val="en-IE"/>
        </w:rPr>
        <w:t>LIFE</w:t>
      </w:r>
      <w:r w:rsidR="009F7A27">
        <w:rPr>
          <w:noProof/>
          <w:lang w:val="en-IE"/>
        </w:rPr>
        <w:t xml:space="preserve"> in 2040 have only a limited impact on the FEC of RFNBOs.</w:t>
      </w:r>
      <w:r w:rsidRPr="0FFB8500">
        <w:rPr>
          <w:noProof/>
          <w:lang w:val="en-IE"/>
        </w:rPr>
        <w:t xml:space="preserve"> Hydrogen </w:t>
      </w:r>
      <w:r w:rsidRPr="001C0144">
        <w:rPr>
          <w:noProof/>
          <w:lang w:val="en-IE"/>
        </w:rPr>
        <w:t xml:space="preserve">is mostly consumed </w:t>
      </w:r>
      <w:r>
        <w:rPr>
          <w:noProof/>
          <w:lang w:val="en-IE"/>
        </w:rPr>
        <w:t>by</w:t>
      </w:r>
      <w:r w:rsidRPr="001C0144">
        <w:rPr>
          <w:noProof/>
          <w:lang w:val="en-IE"/>
        </w:rPr>
        <w:t xml:space="preserve"> </w:t>
      </w:r>
      <w:r>
        <w:rPr>
          <w:noProof/>
          <w:lang w:val="en-IE"/>
        </w:rPr>
        <w:t>heavy-duty trucks</w:t>
      </w:r>
      <w:r w:rsidRPr="001C0144">
        <w:rPr>
          <w:noProof/>
          <w:lang w:val="en-IE"/>
        </w:rPr>
        <w:t xml:space="preserve"> and in energy intensive industrial processes </w:t>
      </w:r>
      <w:r w:rsidRPr="00136C82">
        <w:rPr>
          <w:noProof/>
          <w:lang w:val="en-IE"/>
        </w:rPr>
        <w:t xml:space="preserve">that can be hardly electrified. </w:t>
      </w:r>
      <w:r w:rsidR="00635D88">
        <w:rPr>
          <w:noProof/>
          <w:lang w:val="en-IE"/>
        </w:rPr>
        <w:t>Gaseous e-fuels</w:t>
      </w:r>
      <w:r w:rsidRPr="00CE36B8">
        <w:rPr>
          <w:noProof/>
          <w:lang w:val="en-IE"/>
        </w:rPr>
        <w:t xml:space="preserve"> </w:t>
      </w:r>
      <w:r w:rsidR="00803EC2" w:rsidRPr="00CE36B8">
        <w:rPr>
          <w:noProof/>
          <w:lang w:val="en-IE"/>
        </w:rPr>
        <w:t>are</w:t>
      </w:r>
      <w:r w:rsidRPr="00CE36B8">
        <w:rPr>
          <w:noProof/>
          <w:lang w:val="en-IE"/>
        </w:rPr>
        <w:t xml:space="preserve"> consumed in almost equal proportions by the industrial sector and by the residential sector, and in lower amounts in the services sector as well. </w:t>
      </w:r>
      <w:r w:rsidR="00635D88">
        <w:rPr>
          <w:noProof/>
          <w:lang w:val="en-IE"/>
        </w:rPr>
        <w:t>Liquid e-fuels</w:t>
      </w:r>
      <w:r w:rsidRPr="00CE36B8">
        <w:rPr>
          <w:noProof/>
          <w:lang w:val="en-IE"/>
        </w:rPr>
        <w:t xml:space="preserve"> are consumed entirely in the transport sector. Under the S3 scenario, the decline of FEC of oil and natural gas accelerates and in 2040 fossil fuels only account for </w:t>
      </w:r>
      <w:r w:rsidR="002D3BB7">
        <w:rPr>
          <w:noProof/>
          <w:lang w:val="en-IE"/>
        </w:rPr>
        <w:t xml:space="preserve">approximately </w:t>
      </w:r>
      <w:r w:rsidR="000D0BFF" w:rsidRPr="00CE36B8">
        <w:rPr>
          <w:noProof/>
          <w:lang w:val="en-IE"/>
        </w:rPr>
        <w:t>2</w:t>
      </w:r>
      <w:r w:rsidR="000D0BFF">
        <w:rPr>
          <w:noProof/>
          <w:lang w:val="en-IE"/>
        </w:rPr>
        <w:t>3</w:t>
      </w:r>
      <w:r w:rsidRPr="00CE36B8">
        <w:rPr>
          <w:noProof/>
          <w:lang w:val="en-IE"/>
        </w:rPr>
        <w:t xml:space="preserve">% of total FEC. </w:t>
      </w:r>
      <w:r>
        <w:rPr>
          <w:noProof/>
          <w:lang w:val="en-IE"/>
        </w:rPr>
        <w:t xml:space="preserve">This acceleration is driven by the need to rapidly reduce </w:t>
      </w:r>
      <w:r w:rsidR="000B4B14" w:rsidRPr="53A1CCF7">
        <w:rPr>
          <w:noProof/>
          <w:lang w:val="en-IE"/>
        </w:rPr>
        <w:t>emissions</w:t>
      </w:r>
      <w:r>
        <w:rPr>
          <w:noProof/>
          <w:lang w:val="en-IE"/>
        </w:rPr>
        <w:t xml:space="preserve"> in industry, buildings and transport sectors, which should get to almost net zero in early 2040s.</w:t>
      </w:r>
    </w:p>
    <w:p w14:paraId="24AA2B9D" w14:textId="36AFEA65" w:rsidR="00D63778" w:rsidRDefault="00D63778" w:rsidP="00D63778">
      <w:pPr>
        <w:pStyle w:val="Text2"/>
        <w:rPr>
          <w:noProof/>
          <w:lang w:val="en-IE"/>
        </w:rPr>
      </w:pPr>
      <w:r>
        <w:rPr>
          <w:noProof/>
          <w:lang w:val="en-IE"/>
        </w:rPr>
        <w:t xml:space="preserve">All five energy system models used in this impact assessment project a major increase in the </w:t>
      </w:r>
      <w:r w:rsidRPr="1F31FE8C">
        <w:rPr>
          <w:noProof/>
          <w:lang w:val="en-IE"/>
        </w:rPr>
        <w:t xml:space="preserve">contribution of electricity in </w:t>
      </w:r>
      <w:r>
        <w:rPr>
          <w:noProof/>
          <w:lang w:val="en-IE"/>
        </w:rPr>
        <w:t xml:space="preserve">total </w:t>
      </w:r>
      <w:r w:rsidRPr="1F31FE8C">
        <w:rPr>
          <w:noProof/>
          <w:lang w:val="en-IE"/>
        </w:rPr>
        <w:t>FEC</w:t>
      </w:r>
      <w:r>
        <w:rPr>
          <w:noProof/>
          <w:lang w:val="en-IE"/>
        </w:rPr>
        <w:t>, with high similarity in the overall trend in four of the five models (see</w:t>
      </w:r>
      <w:r>
        <w:rPr>
          <w:noProof/>
        </w:rPr>
        <w:t xml:space="preserve"> </w:t>
      </w:r>
      <w:r w:rsidR="00766F54" w:rsidRPr="00A40621">
        <w:rPr>
          <w:noProof/>
        </w:rPr>
        <w:fldChar w:fldCharType="begin"/>
      </w:r>
      <w:r w:rsidR="00766F54" w:rsidRPr="00055F47">
        <w:rPr>
          <w:noProof/>
          <w:highlight w:val="yellow"/>
        </w:rPr>
        <w:instrText xml:space="preserve"> REF _Ref146275582 \h </w:instrText>
      </w:r>
      <w:r w:rsidR="00766F54">
        <w:rPr>
          <w:noProof/>
          <w:highlight w:val="yellow"/>
        </w:rPr>
        <w:instrText xml:space="preserve"> \* MERGEFORMAT </w:instrText>
      </w:r>
      <w:r w:rsidR="00766F54" w:rsidRPr="00A40621">
        <w:rPr>
          <w:noProof/>
        </w:rPr>
      </w:r>
      <w:r w:rsidR="00766F54" w:rsidRPr="00A40621">
        <w:rPr>
          <w:noProof/>
        </w:rPr>
        <w:fldChar w:fldCharType="separate"/>
      </w:r>
      <w:r w:rsidR="00170A3C">
        <w:rPr>
          <w:noProof/>
        </w:rPr>
        <w:t>Figure 33</w:t>
      </w:r>
      <w:r w:rsidR="00766F54" w:rsidRPr="00A40621">
        <w:rPr>
          <w:noProof/>
        </w:rPr>
        <w:fldChar w:fldCharType="end"/>
      </w:r>
      <w:r>
        <w:rPr>
          <w:noProof/>
          <w:lang w:val="en-IE"/>
        </w:rPr>
        <w:t>). In particular, POTEnCIA features a higher level of electrification than the other models from 2035 onwards: in 2040, it reaches 55% share of electricity in FEC compared to 4</w:t>
      </w:r>
      <w:r w:rsidR="005B70F2">
        <w:rPr>
          <w:noProof/>
          <w:lang w:val="en-IE"/>
        </w:rPr>
        <w:t>3</w:t>
      </w:r>
      <w:r>
        <w:rPr>
          <w:noProof/>
          <w:lang w:val="en-IE"/>
        </w:rPr>
        <w:t xml:space="preserve">-46% in the other models and in 2050 it reaches </w:t>
      </w:r>
      <w:r w:rsidRPr="00F27CC5">
        <w:rPr>
          <w:noProof/>
          <w:lang w:val="en-IE"/>
        </w:rPr>
        <w:t>63</w:t>
      </w:r>
      <w:r>
        <w:rPr>
          <w:noProof/>
          <w:lang w:val="en-IE"/>
        </w:rPr>
        <w:t xml:space="preserve">% compared to </w:t>
      </w:r>
      <w:r w:rsidRPr="00F27CC5">
        <w:rPr>
          <w:noProof/>
          <w:lang w:val="en-IE"/>
        </w:rPr>
        <w:t>49-5</w:t>
      </w:r>
      <w:r w:rsidR="005B70F2">
        <w:rPr>
          <w:noProof/>
          <w:lang w:val="en-IE"/>
        </w:rPr>
        <w:t>7</w:t>
      </w:r>
      <w:r>
        <w:rPr>
          <w:noProof/>
          <w:lang w:val="en-IE"/>
        </w:rPr>
        <w:t xml:space="preserve">%. The higher electrification rate in POTEnCIA is mainly explained by POTEnCIA’s technology choices in the transport and residential sectors, </w:t>
      </w:r>
      <w:r w:rsidR="00803EC2">
        <w:rPr>
          <w:noProof/>
          <w:lang w:val="en-IE"/>
        </w:rPr>
        <w:t>i.e.,</w:t>
      </w:r>
      <w:r>
        <w:rPr>
          <w:noProof/>
          <w:lang w:val="en-IE"/>
        </w:rPr>
        <w:t xml:space="preserve"> POTEnCIA features a larger adoption of heat pumps in buildings and higher roll-out of electric vehicles.</w:t>
      </w:r>
    </w:p>
    <w:p w14:paraId="5DB82947" w14:textId="032671DB" w:rsidR="00D63778" w:rsidRDefault="00D63778" w:rsidP="00182C01">
      <w:pPr>
        <w:pStyle w:val="Text2"/>
        <w:rPr>
          <w:noProof/>
        </w:rPr>
      </w:pPr>
      <w:r>
        <w:rPr>
          <w:noProof/>
          <w:lang w:val="en-IE"/>
        </w:rPr>
        <w:t>Regarding the share of RFNBOs in total FEC, the different models show a larger variability in the results, especially after 2035. In 203</w:t>
      </w:r>
      <w:r w:rsidR="005B70F2">
        <w:rPr>
          <w:noProof/>
          <w:lang w:val="en-IE"/>
        </w:rPr>
        <w:t>0</w:t>
      </w:r>
      <w:r>
        <w:rPr>
          <w:noProof/>
          <w:lang w:val="en-IE"/>
        </w:rPr>
        <w:t xml:space="preserve">, </w:t>
      </w:r>
      <w:r w:rsidR="005B70F2">
        <w:rPr>
          <w:noProof/>
          <w:lang w:val="en-IE"/>
        </w:rPr>
        <w:t>all five</w:t>
      </w:r>
      <w:r>
        <w:rPr>
          <w:noProof/>
          <w:lang w:val="en-IE"/>
        </w:rPr>
        <w:t xml:space="preserve"> models see the contribution of RFNBOs to total FEC at below 3%. Afterwards, a larger degree of variability emerges in the results, with </w:t>
      </w:r>
      <w:r w:rsidR="005B70F2">
        <w:rPr>
          <w:noProof/>
          <w:lang w:val="en-IE"/>
        </w:rPr>
        <w:t>EU-TIMES</w:t>
      </w:r>
      <w:r>
        <w:rPr>
          <w:noProof/>
          <w:lang w:val="en-IE"/>
        </w:rPr>
        <w:t xml:space="preserve"> showing the large</w:t>
      </w:r>
      <w:r w:rsidR="005B70F2">
        <w:rPr>
          <w:noProof/>
          <w:lang w:val="en-IE"/>
        </w:rPr>
        <w:t>st</w:t>
      </w:r>
      <w:r>
        <w:rPr>
          <w:noProof/>
          <w:lang w:val="en-IE"/>
        </w:rPr>
        <w:t xml:space="preserve"> uptake – at 9</w:t>
      </w:r>
      <w:r w:rsidR="005B70F2">
        <w:rPr>
          <w:noProof/>
          <w:lang w:val="en-IE"/>
        </w:rPr>
        <w:t>12</w:t>
      </w:r>
      <w:r>
        <w:rPr>
          <w:noProof/>
          <w:lang w:val="en-IE"/>
        </w:rPr>
        <w:t xml:space="preserve"> in 2040 and 2</w:t>
      </w:r>
      <w:r w:rsidR="005B70F2">
        <w:rPr>
          <w:noProof/>
          <w:lang w:val="en-IE"/>
        </w:rPr>
        <w:t>1</w:t>
      </w:r>
      <w:r>
        <w:rPr>
          <w:noProof/>
          <w:lang w:val="en-IE"/>
        </w:rPr>
        <w:t>% in 2050 - and AMADEUS-METIS the smalle</w:t>
      </w:r>
      <w:r w:rsidR="005B70F2">
        <w:rPr>
          <w:noProof/>
          <w:lang w:val="en-IE"/>
        </w:rPr>
        <w:t>st</w:t>
      </w:r>
      <w:r>
        <w:rPr>
          <w:noProof/>
          <w:lang w:val="en-IE"/>
        </w:rPr>
        <w:t xml:space="preserve"> one – </w:t>
      </w:r>
      <w:r w:rsidR="005B70F2">
        <w:rPr>
          <w:noProof/>
          <w:lang w:val="en-IE"/>
        </w:rPr>
        <w:t>3</w:t>
      </w:r>
      <w:r>
        <w:rPr>
          <w:noProof/>
          <w:lang w:val="en-IE"/>
        </w:rPr>
        <w:t xml:space="preserve">% in 2040 and </w:t>
      </w:r>
      <w:r w:rsidRPr="00F27CC5">
        <w:rPr>
          <w:noProof/>
          <w:lang w:val="en-IE"/>
        </w:rPr>
        <w:t>4</w:t>
      </w:r>
      <w:r>
        <w:rPr>
          <w:noProof/>
          <w:lang w:val="en-IE"/>
        </w:rPr>
        <w:t>% in 2050. This suggests that while electrification of end-use sectors is broadly considered a robust pathway for the decarbonisation of the EU energy system, there is more uncertainty on the actual role that RFNBOs are going to play.</w:t>
      </w:r>
    </w:p>
    <w:p w14:paraId="2A1A28F8" w14:textId="74CDC434" w:rsidR="00182C01" w:rsidRDefault="00182C01" w:rsidP="00182C01">
      <w:pPr>
        <w:pStyle w:val="Caption"/>
        <w:rPr>
          <w:noProof/>
        </w:rPr>
      </w:pPr>
      <w:bookmarkStart w:id="191" w:name="_Ref146275582"/>
      <w:bookmarkStart w:id="192" w:name="_Toc157679781"/>
      <w:r>
        <w:rPr>
          <w:noProof/>
        </w:rPr>
        <w:t xml:space="preserve">Figure </w:t>
      </w:r>
      <w:r w:rsidRPr="465898DF">
        <w:rPr>
          <w:noProof/>
        </w:rPr>
        <w:fldChar w:fldCharType="begin"/>
      </w:r>
      <w:r>
        <w:rPr>
          <w:noProof/>
        </w:rPr>
        <w:instrText xml:space="preserve"> SEQ Figure \* ARABIC </w:instrText>
      </w:r>
      <w:r w:rsidRPr="465898DF">
        <w:rPr>
          <w:noProof/>
        </w:rPr>
        <w:fldChar w:fldCharType="separate"/>
      </w:r>
      <w:r w:rsidR="00170A3C">
        <w:rPr>
          <w:noProof/>
        </w:rPr>
        <w:t>33</w:t>
      </w:r>
      <w:r w:rsidRPr="465898DF">
        <w:rPr>
          <w:noProof/>
        </w:rPr>
        <w:fldChar w:fldCharType="end"/>
      </w:r>
      <w:bookmarkEnd w:id="191"/>
      <w:r>
        <w:rPr>
          <w:noProof/>
        </w:rPr>
        <w:t>: Share of electricity (left) and RFNBOs (right) in F</w:t>
      </w:r>
      <w:r w:rsidR="00E9332A">
        <w:rPr>
          <w:noProof/>
        </w:rPr>
        <w:t xml:space="preserve">EC, </w:t>
      </w:r>
      <w:r>
        <w:rPr>
          <w:noProof/>
        </w:rPr>
        <w:t>2019-2050</w:t>
      </w:r>
      <w:bookmarkEnd w:id="192"/>
    </w:p>
    <w:p w14:paraId="7D147C7B" w14:textId="002CC1B1" w:rsidR="00D63778" w:rsidRPr="00811255" w:rsidRDefault="00094B63" w:rsidP="00D63778">
      <w:pPr>
        <w:rPr>
          <w:noProof/>
        </w:rPr>
      </w:pPr>
      <w:r w:rsidRPr="00094B63">
        <w:rPr>
          <w:noProof/>
          <w:lang w:eastAsia="en-GB"/>
        </w:rPr>
        <w:drawing>
          <wp:inline distT="0" distB="0" distL="0" distR="0" wp14:anchorId="2385E2AD" wp14:editId="66A53428">
            <wp:extent cx="5403215" cy="2618740"/>
            <wp:effectExtent l="0" t="0" r="6985" b="0"/>
            <wp:docPr id="1333008517" name="Picture 1333008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03215" cy="2618740"/>
                    </a:xfrm>
                    <a:prstGeom prst="rect">
                      <a:avLst/>
                    </a:prstGeom>
                    <a:noFill/>
                    <a:ln>
                      <a:noFill/>
                    </a:ln>
                  </pic:spPr>
                </pic:pic>
              </a:graphicData>
            </a:graphic>
          </wp:inline>
        </w:drawing>
      </w:r>
    </w:p>
    <w:p w14:paraId="15F865E9" w14:textId="77777777" w:rsidR="00D63778" w:rsidRPr="00811255" w:rsidRDefault="00D63778" w:rsidP="00951BEB">
      <w:pPr>
        <w:pStyle w:val="CT-SOURCE"/>
        <w:rPr>
          <w:i w:val="0"/>
          <w:noProof/>
          <w:lang w:val="pt-PT"/>
        </w:rPr>
      </w:pPr>
      <w:r w:rsidRPr="00390202">
        <w:rPr>
          <w:noProof/>
          <w:lang w:val="pt-PT"/>
        </w:rPr>
        <w:t>S</w:t>
      </w:r>
      <w:r w:rsidRPr="00182C01">
        <w:rPr>
          <w:i w:val="0"/>
          <w:noProof/>
          <w:lang w:val="pt-PT"/>
        </w:rPr>
        <w:t>ources</w:t>
      </w:r>
      <w:r w:rsidRPr="00811255">
        <w:rPr>
          <w:i w:val="0"/>
          <w:noProof/>
          <w:lang w:val="pt-PT"/>
        </w:rPr>
        <w:t>: AMADEUS-METIS, EU-TIMES, POLES, POTEnCIA, PRIMES.</w:t>
      </w:r>
    </w:p>
    <w:p w14:paraId="756A4C6B" w14:textId="77777777" w:rsidR="00D63778" w:rsidRDefault="00D63778" w:rsidP="00D63778">
      <w:pPr>
        <w:pStyle w:val="Text2"/>
        <w:rPr>
          <w:noProof/>
          <w:lang w:val="en-IE"/>
        </w:rPr>
      </w:pPr>
      <w:r w:rsidRPr="0FFB8500">
        <w:rPr>
          <w:noProof/>
          <w:lang w:val="en-IE"/>
        </w:rPr>
        <w:t xml:space="preserve">FEC of </w:t>
      </w:r>
      <w:r>
        <w:rPr>
          <w:noProof/>
          <w:lang w:val="en-IE"/>
        </w:rPr>
        <w:t xml:space="preserve">district </w:t>
      </w:r>
      <w:r w:rsidRPr="0FFB8500">
        <w:rPr>
          <w:noProof/>
          <w:lang w:val="en-IE"/>
        </w:rPr>
        <w:t>heat</w:t>
      </w:r>
      <w:r>
        <w:rPr>
          <w:noProof/>
          <w:lang w:val="en-IE"/>
        </w:rPr>
        <w:t>ing</w:t>
      </w:r>
      <w:r w:rsidRPr="0FFB8500">
        <w:rPr>
          <w:noProof/>
          <w:lang w:val="en-IE"/>
        </w:rPr>
        <w:t xml:space="preserve"> and renewable</w:t>
      </w:r>
      <w:r>
        <w:rPr>
          <w:noProof/>
          <w:lang w:val="en-IE"/>
        </w:rPr>
        <w:t xml:space="preserve"> heating</w:t>
      </w:r>
      <w:r w:rsidRPr="0FFB8500">
        <w:rPr>
          <w:noProof/>
          <w:lang w:val="en-IE"/>
        </w:rPr>
        <w:t xml:space="preserve"> (solar thermal, biomass and geothermal) </w:t>
      </w:r>
      <w:r>
        <w:rPr>
          <w:noProof/>
          <w:lang w:val="en-IE"/>
        </w:rPr>
        <w:t xml:space="preserve">in PRIMES </w:t>
      </w:r>
      <w:r w:rsidRPr="0FFB8500">
        <w:rPr>
          <w:noProof/>
          <w:lang w:val="en-IE"/>
        </w:rPr>
        <w:t>slightly reduce</w:t>
      </w:r>
      <w:r>
        <w:rPr>
          <w:noProof/>
          <w:lang w:val="en-IE"/>
        </w:rPr>
        <w:t>s</w:t>
      </w:r>
      <w:r w:rsidRPr="0FFB8500">
        <w:rPr>
          <w:noProof/>
          <w:lang w:val="en-IE"/>
        </w:rPr>
        <w:t xml:space="preserve"> over the time horizon, mainly due to better energy performances of the building </w:t>
      </w:r>
      <w:r>
        <w:rPr>
          <w:noProof/>
          <w:lang w:val="en-IE"/>
        </w:rPr>
        <w:t>stock</w:t>
      </w:r>
      <w:r w:rsidRPr="0FFB8500">
        <w:rPr>
          <w:noProof/>
          <w:lang w:val="en-IE"/>
        </w:rPr>
        <w:t xml:space="preserve">, without particular variations across scenarios. </w:t>
      </w:r>
      <w:r>
        <w:rPr>
          <w:noProof/>
          <w:lang w:val="en-IE"/>
        </w:rPr>
        <w:t xml:space="preserve">The reduction of renewables FEC is lower than that of total FEC. As a result, the share of renewable heating in total FEC grows from 10% in 2015 to about 15% in 2040 and 2050. </w:t>
      </w:r>
    </w:p>
    <w:p w14:paraId="2F179F98" w14:textId="51C42C41" w:rsidR="00782AE4" w:rsidRDefault="00D63778" w:rsidP="00D63778">
      <w:pPr>
        <w:pStyle w:val="Text2"/>
        <w:rPr>
          <w:noProof/>
        </w:rPr>
      </w:pPr>
      <w:bookmarkStart w:id="193" w:name="_Hlk142404474"/>
      <w:r w:rsidRPr="1F31FE8C">
        <w:rPr>
          <w:noProof/>
        </w:rPr>
        <w:t xml:space="preserve">Among the end-use sectors, the residential sector is expected to experience the largest reduction in energy consumption </w:t>
      </w:r>
      <w:r w:rsidR="00E81EBD" w:rsidRPr="00E81EBD">
        <w:rPr>
          <w:noProof/>
        </w:rPr>
        <w:t>in this decade with almost -30% in 2030 (17</w:t>
      </w:r>
      <w:r w:rsidR="00F468A0">
        <w:rPr>
          <w:noProof/>
        </w:rPr>
        <w:t>5</w:t>
      </w:r>
      <w:r w:rsidR="00E81EBD" w:rsidRPr="00E81EBD">
        <w:rPr>
          <w:noProof/>
        </w:rPr>
        <w:t xml:space="preserve"> Mtoe) with respect to 2015, </w:t>
      </w:r>
      <w:r w:rsidRPr="1F31FE8C">
        <w:rPr>
          <w:noProof/>
        </w:rPr>
        <w:t xml:space="preserve">triggered by </w:t>
      </w:r>
      <w:r w:rsidRPr="00D91ED3">
        <w:rPr>
          <w:noProof/>
        </w:rPr>
        <w:t>dedicated policies and measures (</w:t>
      </w:r>
      <w:r w:rsidR="00A438D4">
        <w:rPr>
          <w:noProof/>
          <w:color w:val="2B579A"/>
          <w:highlight w:val="yellow"/>
          <w:shd w:val="clear" w:color="auto" w:fill="E6E6E6"/>
        </w:rPr>
        <w:fldChar w:fldCharType="begin"/>
      </w:r>
      <w:r w:rsidR="00A438D4">
        <w:rPr>
          <w:noProof/>
          <w:color w:val="2B579A"/>
          <w:highlight w:val="yellow"/>
          <w:shd w:val="clear" w:color="auto" w:fill="E6E6E6"/>
        </w:rPr>
        <w:instrText xml:space="preserve"> REF _Ref147757014 \h </w:instrText>
      </w:r>
      <w:r w:rsidR="00A438D4">
        <w:rPr>
          <w:noProof/>
          <w:color w:val="2B579A"/>
          <w:highlight w:val="yellow"/>
          <w:shd w:val="clear" w:color="auto" w:fill="E6E6E6"/>
        </w:rPr>
      </w:r>
      <w:r w:rsidR="00A438D4">
        <w:rPr>
          <w:noProof/>
          <w:color w:val="2B579A"/>
          <w:highlight w:val="yellow"/>
          <w:shd w:val="clear" w:color="auto" w:fill="E6E6E6"/>
        </w:rPr>
        <w:fldChar w:fldCharType="separate"/>
      </w:r>
      <w:r w:rsidR="00170A3C">
        <w:rPr>
          <w:noProof/>
        </w:rPr>
        <w:t>Figure 34</w:t>
      </w:r>
      <w:r w:rsidR="00A438D4">
        <w:rPr>
          <w:noProof/>
          <w:color w:val="2B579A"/>
          <w:highlight w:val="yellow"/>
          <w:shd w:val="clear" w:color="auto" w:fill="E6E6E6"/>
        </w:rPr>
        <w:fldChar w:fldCharType="end"/>
      </w:r>
      <w:r w:rsidR="00C15A4C" w:rsidRPr="00D91ED3">
        <w:rPr>
          <w:noProof/>
        </w:rPr>
        <w:t>)</w:t>
      </w:r>
      <w:r w:rsidR="00C15A4C">
        <w:rPr>
          <w:noProof/>
        </w:rPr>
        <w:t>.</w:t>
      </w:r>
      <w:r w:rsidRPr="1F31FE8C">
        <w:rPr>
          <w:noProof/>
        </w:rPr>
        <w:t xml:space="preserve"> The residential sector is projected to </w:t>
      </w:r>
      <w:r w:rsidR="00E81EBD" w:rsidRPr="00E81EBD">
        <w:rPr>
          <w:noProof/>
        </w:rPr>
        <w:t xml:space="preserve">further </w:t>
      </w:r>
      <w:r w:rsidRPr="1F31FE8C">
        <w:rPr>
          <w:noProof/>
        </w:rPr>
        <w:t>reduce its energy consumption by</w:t>
      </w:r>
      <w:r>
        <w:rPr>
          <w:noProof/>
        </w:rPr>
        <w:t>39-41% under the S1-</w:t>
      </w:r>
      <w:r w:rsidR="006750D6">
        <w:rPr>
          <w:noProof/>
        </w:rPr>
        <w:t>S2-</w:t>
      </w:r>
      <w:r>
        <w:rPr>
          <w:noProof/>
        </w:rPr>
        <w:t>S3 scenarios (around 140-150 Mtoe), up to</w:t>
      </w:r>
      <w:r w:rsidRPr="1F31FE8C">
        <w:rPr>
          <w:noProof/>
        </w:rPr>
        <w:t xml:space="preserve"> </w:t>
      </w:r>
      <w:r>
        <w:rPr>
          <w:noProof/>
        </w:rPr>
        <w:t>reducing by 44</w:t>
      </w:r>
      <w:r w:rsidRPr="1F31FE8C">
        <w:rPr>
          <w:noProof/>
        </w:rPr>
        <w:t>% in 2050 (1</w:t>
      </w:r>
      <w:r>
        <w:rPr>
          <w:noProof/>
        </w:rPr>
        <w:t>40</w:t>
      </w:r>
      <w:r w:rsidRPr="1F31FE8C">
        <w:rPr>
          <w:noProof/>
        </w:rPr>
        <w:t xml:space="preserve"> Mtoe).</w:t>
      </w:r>
      <w:bookmarkEnd w:id="193"/>
      <w:r w:rsidR="00F468A0">
        <w:rPr>
          <w:noProof/>
        </w:rPr>
        <w:t xml:space="preserve"> The measures </w:t>
      </w:r>
      <w:r w:rsidR="004D3667">
        <w:rPr>
          <w:noProof/>
        </w:rPr>
        <w:t>of LIFE</w:t>
      </w:r>
      <w:r w:rsidR="00F468A0">
        <w:rPr>
          <w:noProof/>
        </w:rPr>
        <w:t xml:space="preserve"> only have a minor impact</w:t>
      </w:r>
      <w:r w:rsidR="004D3667">
        <w:rPr>
          <w:noProof/>
        </w:rPr>
        <w:t>.</w:t>
      </w:r>
    </w:p>
    <w:p w14:paraId="0A02AE98" w14:textId="54B999A6" w:rsidR="00D63778" w:rsidRDefault="00E81EBD" w:rsidP="00D63778">
      <w:pPr>
        <w:pStyle w:val="Text2"/>
        <w:rPr>
          <w:noProof/>
        </w:rPr>
      </w:pPr>
      <w:r w:rsidRPr="00AF4812">
        <w:rPr>
          <w:noProof/>
        </w:rPr>
        <w:t>Transport FEC</w:t>
      </w:r>
      <w:r w:rsidRPr="00E81EBD">
        <w:rPr>
          <w:noProof/>
        </w:rPr>
        <w:t xml:space="preserve"> undergoes a markedly different trajectory: the reduction </w:t>
      </w:r>
      <w:r w:rsidR="00092D36" w:rsidRPr="00E81EBD">
        <w:rPr>
          <w:noProof/>
        </w:rPr>
        <w:t>with respect to 2015</w:t>
      </w:r>
      <w:r w:rsidR="00092D36">
        <w:rPr>
          <w:noProof/>
        </w:rPr>
        <w:t xml:space="preserve"> </w:t>
      </w:r>
      <w:r w:rsidRPr="00E81EBD">
        <w:rPr>
          <w:noProof/>
        </w:rPr>
        <w:t xml:space="preserve">is limited to </w:t>
      </w:r>
      <w:r w:rsidR="00CA5098">
        <w:rPr>
          <w:noProof/>
        </w:rPr>
        <w:t>-</w:t>
      </w:r>
      <w:r w:rsidRPr="00E81EBD">
        <w:rPr>
          <w:noProof/>
        </w:rPr>
        <w:t>13% by 2030 (about 270 Mtoe), but afterwards it experiences</w:t>
      </w:r>
      <w:r w:rsidR="00D63778" w:rsidRPr="1F31FE8C">
        <w:rPr>
          <w:noProof/>
        </w:rPr>
        <w:t xml:space="preserve"> a steep reduction to reach </w:t>
      </w:r>
      <w:r w:rsidR="00D63778">
        <w:rPr>
          <w:noProof/>
        </w:rPr>
        <w:t>-</w:t>
      </w:r>
      <w:r w:rsidR="00D63778" w:rsidRPr="1F31FE8C">
        <w:rPr>
          <w:noProof/>
        </w:rPr>
        <w:t>4</w:t>
      </w:r>
      <w:r w:rsidR="00C517E4">
        <w:rPr>
          <w:noProof/>
        </w:rPr>
        <w:t>2</w:t>
      </w:r>
      <w:r w:rsidR="00D63778" w:rsidRPr="1F31FE8C">
        <w:rPr>
          <w:noProof/>
        </w:rPr>
        <w:t>% in 2040 (about 1</w:t>
      </w:r>
      <w:r w:rsidR="00D63778">
        <w:rPr>
          <w:noProof/>
        </w:rPr>
        <w:t>80</w:t>
      </w:r>
      <w:r w:rsidR="00D63778" w:rsidRPr="1F31FE8C">
        <w:rPr>
          <w:noProof/>
        </w:rPr>
        <w:t xml:space="preserve"> Mtoe) </w:t>
      </w:r>
      <w:r w:rsidR="00D63778">
        <w:rPr>
          <w:noProof/>
        </w:rPr>
        <w:t xml:space="preserve">across all scenarios </w:t>
      </w:r>
      <w:r w:rsidR="00D63778" w:rsidRPr="1F31FE8C">
        <w:rPr>
          <w:noProof/>
        </w:rPr>
        <w:t xml:space="preserve">and </w:t>
      </w:r>
      <w:r w:rsidR="00D63778">
        <w:rPr>
          <w:noProof/>
        </w:rPr>
        <w:t>-5</w:t>
      </w:r>
      <w:r w:rsidR="00ED6368">
        <w:rPr>
          <w:noProof/>
        </w:rPr>
        <w:t>3</w:t>
      </w:r>
      <w:r w:rsidR="00D63778" w:rsidRPr="1F31FE8C">
        <w:rPr>
          <w:noProof/>
        </w:rPr>
        <w:t>% in 2050 (about 1</w:t>
      </w:r>
      <w:r w:rsidR="00D63778">
        <w:rPr>
          <w:noProof/>
        </w:rPr>
        <w:t>50</w:t>
      </w:r>
      <w:r w:rsidR="00D63778" w:rsidRPr="1F31FE8C">
        <w:rPr>
          <w:noProof/>
        </w:rPr>
        <w:t xml:space="preserve"> Mtoe) – the largest reductions across end-use sectors. Such </w:t>
      </w:r>
      <w:r w:rsidR="00D63778" w:rsidRPr="00097CD8">
        <w:rPr>
          <w:noProof/>
        </w:rPr>
        <w:t>dynamic</w:t>
      </w:r>
      <w:r w:rsidR="00D63778">
        <w:rPr>
          <w:noProof/>
        </w:rPr>
        <w:t>s</w:t>
      </w:r>
      <w:r w:rsidR="00D63778" w:rsidRPr="00097CD8">
        <w:rPr>
          <w:noProof/>
        </w:rPr>
        <w:t xml:space="preserve"> is largely explained by the CO</w:t>
      </w:r>
      <w:r w:rsidR="00D63778" w:rsidRPr="00E81EBD">
        <w:rPr>
          <w:noProof/>
        </w:rPr>
        <w:t>2</w:t>
      </w:r>
      <w:r w:rsidR="00D63778" w:rsidRPr="00097CD8">
        <w:rPr>
          <w:noProof/>
        </w:rPr>
        <w:t xml:space="preserve"> emission standards, which are gradually tightening until 2030 and then from 2035 mandate sales of zero-emission vehicles only</w:t>
      </w:r>
      <w:r w:rsidR="00AA2DD0">
        <w:rPr>
          <w:noProof/>
        </w:rPr>
        <w:t xml:space="preserve"> (</w:t>
      </w:r>
      <w:r w:rsidR="00CA5098">
        <w:rPr>
          <w:noProof/>
        </w:rPr>
        <w:t>See</w:t>
      </w:r>
      <w:r w:rsidR="00AA2DD0">
        <w:rPr>
          <w:noProof/>
        </w:rPr>
        <w:t xml:space="preserve"> </w:t>
      </w:r>
      <w:r w:rsidR="00CA5098">
        <w:rPr>
          <w:noProof/>
        </w:rPr>
        <w:t>S</w:t>
      </w:r>
      <w:r w:rsidR="00AA2DD0" w:rsidRPr="00A438D4">
        <w:rPr>
          <w:noProof/>
        </w:rPr>
        <w:t xml:space="preserve">ection </w:t>
      </w:r>
      <w:r w:rsidR="00AA2DD0" w:rsidRPr="00A438D4">
        <w:rPr>
          <w:noProof/>
        </w:rPr>
        <w:fldChar w:fldCharType="begin"/>
      </w:r>
      <w:r w:rsidR="00AA2DD0" w:rsidRPr="00A438D4">
        <w:rPr>
          <w:noProof/>
        </w:rPr>
        <w:instrText xml:space="preserve"> REF _Ref143328889 \n \h </w:instrText>
      </w:r>
      <w:r w:rsidR="00782AE4" w:rsidRPr="00A438D4">
        <w:rPr>
          <w:noProof/>
        </w:rPr>
        <w:instrText xml:space="preserve"> \* MERGEFORMAT </w:instrText>
      </w:r>
      <w:r w:rsidR="00AA2DD0" w:rsidRPr="00A438D4">
        <w:rPr>
          <w:noProof/>
        </w:rPr>
      </w:r>
      <w:r w:rsidR="00AA2DD0" w:rsidRPr="00A438D4">
        <w:rPr>
          <w:noProof/>
        </w:rPr>
        <w:fldChar w:fldCharType="separate"/>
      </w:r>
      <w:r w:rsidR="00170A3C">
        <w:rPr>
          <w:noProof/>
        </w:rPr>
        <w:t>1.5.3</w:t>
      </w:r>
      <w:r w:rsidR="00AA2DD0" w:rsidRPr="00A438D4">
        <w:rPr>
          <w:noProof/>
        </w:rPr>
        <w:fldChar w:fldCharType="end"/>
      </w:r>
      <w:r w:rsidR="00AA2DD0">
        <w:rPr>
          <w:noProof/>
        </w:rPr>
        <w:t xml:space="preserve"> for more details)</w:t>
      </w:r>
      <w:r w:rsidR="00D63778" w:rsidRPr="00097CD8">
        <w:rPr>
          <w:noProof/>
        </w:rPr>
        <w:t>.</w:t>
      </w:r>
      <w:r w:rsidR="00D63778" w:rsidRPr="0008637E">
        <w:rPr>
          <w:noProof/>
        </w:rPr>
        <w:t xml:space="preserve"> </w:t>
      </w:r>
      <w:r w:rsidR="003639AB">
        <w:rPr>
          <w:noProof/>
        </w:rPr>
        <w:t>The impact of LIFE further reduces FEC in transport by 9 Mtoe n 2040.</w:t>
      </w:r>
      <w:r w:rsidR="00D63778" w:rsidRPr="0008637E">
        <w:rPr>
          <w:noProof/>
        </w:rPr>
        <w:t xml:space="preserve"> </w:t>
      </w:r>
      <w:r w:rsidR="00D63778" w:rsidRPr="00CE36B8">
        <w:rPr>
          <w:noProof/>
        </w:rPr>
        <w:t>FEC in services and agriculture combined reduces at slower pace than in the residential sector, attaining -</w:t>
      </w:r>
      <w:r w:rsidRPr="00E81EBD">
        <w:rPr>
          <w:noProof/>
        </w:rPr>
        <w:t>21% in 2030 (about 120 Mtoe) with respect to 2015</w:t>
      </w:r>
      <w:r w:rsidR="00C82C57">
        <w:rPr>
          <w:noProof/>
        </w:rPr>
        <w:t>;</w:t>
      </w:r>
      <w:r w:rsidRPr="00E81EBD">
        <w:rPr>
          <w:noProof/>
        </w:rPr>
        <w:t xml:space="preserve"> </w:t>
      </w:r>
      <w:r w:rsidR="00D63778">
        <w:rPr>
          <w:noProof/>
        </w:rPr>
        <w:t>-25</w:t>
      </w:r>
      <w:r w:rsidR="00645E1F">
        <w:rPr>
          <w:noProof/>
        </w:rPr>
        <w:t>,</w:t>
      </w:r>
      <w:r w:rsidR="00C5184B">
        <w:rPr>
          <w:noProof/>
        </w:rPr>
        <w:t xml:space="preserve"> </w:t>
      </w:r>
      <w:r w:rsidR="00D63778">
        <w:rPr>
          <w:noProof/>
        </w:rPr>
        <w:t>-29% under the S1-</w:t>
      </w:r>
      <w:r w:rsidR="006750D6">
        <w:rPr>
          <w:noProof/>
        </w:rPr>
        <w:t>S2-</w:t>
      </w:r>
      <w:r w:rsidR="00D63778">
        <w:rPr>
          <w:noProof/>
        </w:rPr>
        <w:t>S3 scenarios,</w:t>
      </w:r>
      <w:r w:rsidR="00D63778" w:rsidRPr="00CE36B8">
        <w:rPr>
          <w:noProof/>
        </w:rPr>
        <w:t xml:space="preserve"> and -29% in 2050 (about 110 Mtoe).</w:t>
      </w:r>
      <w:r w:rsidR="00F468A0">
        <w:rPr>
          <w:noProof/>
        </w:rPr>
        <w:t xml:space="preserve"> </w:t>
      </w:r>
      <w:r w:rsidR="00D63778" w:rsidRPr="00097CD8">
        <w:rPr>
          <w:noProof/>
        </w:rPr>
        <w:t xml:space="preserve">Finally, </w:t>
      </w:r>
      <w:r w:rsidR="00D63778" w:rsidRPr="0008637E">
        <w:rPr>
          <w:noProof/>
        </w:rPr>
        <w:t xml:space="preserve">industry undergoes </w:t>
      </w:r>
      <w:r w:rsidR="00D63778" w:rsidRPr="1F31FE8C">
        <w:rPr>
          <w:noProof/>
        </w:rPr>
        <w:t xml:space="preserve">the smallest reduction in </w:t>
      </w:r>
      <w:r w:rsidR="00D63778">
        <w:rPr>
          <w:noProof/>
        </w:rPr>
        <w:t>FEC</w:t>
      </w:r>
      <w:r w:rsidR="00D63778" w:rsidRPr="1F31FE8C">
        <w:rPr>
          <w:noProof/>
        </w:rPr>
        <w:t xml:space="preserve"> of all end-use sectors throughout the time horizon, with </w:t>
      </w:r>
      <w:r w:rsidR="00D63778">
        <w:rPr>
          <w:noProof/>
        </w:rPr>
        <w:t>-</w:t>
      </w:r>
      <w:r w:rsidRPr="00E81EBD">
        <w:rPr>
          <w:noProof/>
        </w:rPr>
        <w:t>13% in 2030 with respect to 2015 (about 200 Mtoe), -2</w:t>
      </w:r>
      <w:r w:rsidR="001D1A6F">
        <w:rPr>
          <w:noProof/>
        </w:rPr>
        <w:t>7</w:t>
      </w:r>
      <w:r w:rsidRPr="00E81EBD">
        <w:rPr>
          <w:noProof/>
        </w:rPr>
        <w:t>% in 2030</w:t>
      </w:r>
      <w:r w:rsidR="00D63778" w:rsidRPr="1F31FE8C">
        <w:rPr>
          <w:noProof/>
        </w:rPr>
        <w:t xml:space="preserve"> (about 170 Mtoe) and </w:t>
      </w:r>
      <w:r w:rsidR="00D63778">
        <w:rPr>
          <w:noProof/>
        </w:rPr>
        <w:t>-3</w:t>
      </w:r>
      <w:r w:rsidR="001D1A6F">
        <w:rPr>
          <w:noProof/>
        </w:rPr>
        <w:t>9</w:t>
      </w:r>
      <w:r w:rsidR="00D63778" w:rsidRPr="1F31FE8C">
        <w:rPr>
          <w:noProof/>
        </w:rPr>
        <w:t>% in 2050 (</w:t>
      </w:r>
      <w:r w:rsidR="00D63778">
        <w:rPr>
          <w:noProof/>
        </w:rPr>
        <w:t xml:space="preserve">about </w:t>
      </w:r>
      <w:r w:rsidR="00D63778" w:rsidRPr="1F31FE8C">
        <w:rPr>
          <w:noProof/>
        </w:rPr>
        <w:t>16</w:t>
      </w:r>
      <w:r w:rsidR="001D1A6F">
        <w:rPr>
          <w:noProof/>
        </w:rPr>
        <w:t>5</w:t>
      </w:r>
      <w:r w:rsidR="00D63778" w:rsidRPr="1F31FE8C">
        <w:rPr>
          <w:noProof/>
        </w:rPr>
        <w:t xml:space="preserve"> Mtoe). Such dynamic</w:t>
      </w:r>
      <w:r w:rsidR="00D63778">
        <w:rPr>
          <w:noProof/>
        </w:rPr>
        <w:t>s are</w:t>
      </w:r>
      <w:r w:rsidR="00D63778" w:rsidRPr="1F31FE8C">
        <w:rPr>
          <w:noProof/>
        </w:rPr>
        <w:t xml:space="preserve"> mainly due to the fact activity grows significantly</w:t>
      </w:r>
      <w:r w:rsidR="00D63778">
        <w:rPr>
          <w:noProof/>
        </w:rPr>
        <w:t xml:space="preserve"> in many energy-intensive sectors</w:t>
      </w:r>
      <w:r w:rsidR="00374327">
        <w:rPr>
          <w:noProof/>
        </w:rPr>
        <w:t>. Nevertheless, circular economy measures, as well as material, resource and</w:t>
      </w:r>
      <w:r w:rsidR="00D63778" w:rsidRPr="1F31FE8C">
        <w:rPr>
          <w:noProof/>
        </w:rPr>
        <w:t xml:space="preserve"> energy efficiency </w:t>
      </w:r>
      <w:r w:rsidR="00374327">
        <w:rPr>
          <w:noProof/>
        </w:rPr>
        <w:t xml:space="preserve">are able to partially offset the economic growth and still lead to a FEC reduction in the </w:t>
      </w:r>
      <w:r w:rsidR="00D63778" w:rsidRPr="1F31FE8C">
        <w:rPr>
          <w:noProof/>
        </w:rPr>
        <w:t>sector</w:t>
      </w:r>
      <w:r w:rsidR="00D63778">
        <w:rPr>
          <w:noProof/>
        </w:rPr>
        <w:t xml:space="preserve"> (</w:t>
      </w:r>
      <w:r w:rsidR="00D63778" w:rsidRPr="00A438D4">
        <w:rPr>
          <w:noProof/>
        </w:rPr>
        <w:t xml:space="preserve">see Section </w:t>
      </w:r>
      <w:r w:rsidR="00BA5B37" w:rsidRPr="00A438D4">
        <w:rPr>
          <w:noProof/>
        </w:rPr>
        <w:fldChar w:fldCharType="begin"/>
      </w:r>
      <w:r w:rsidR="00BA5B37" w:rsidRPr="00A438D4">
        <w:rPr>
          <w:noProof/>
        </w:rPr>
        <w:instrText xml:space="preserve"> REF _Ref143330757 \n \h </w:instrText>
      </w:r>
      <w:r w:rsidR="00782AE4" w:rsidRPr="00A438D4">
        <w:rPr>
          <w:noProof/>
        </w:rPr>
        <w:instrText xml:space="preserve"> \* MERGEFORMAT </w:instrText>
      </w:r>
      <w:r w:rsidR="00BA5B37" w:rsidRPr="00A438D4">
        <w:rPr>
          <w:noProof/>
        </w:rPr>
      </w:r>
      <w:r w:rsidR="00BA5B37" w:rsidRPr="00A438D4">
        <w:rPr>
          <w:noProof/>
        </w:rPr>
        <w:fldChar w:fldCharType="separate"/>
      </w:r>
      <w:r w:rsidR="00170A3C">
        <w:rPr>
          <w:noProof/>
        </w:rPr>
        <w:t>1.4.2</w:t>
      </w:r>
      <w:r w:rsidR="00BA5B37" w:rsidRPr="00A438D4">
        <w:rPr>
          <w:noProof/>
        </w:rPr>
        <w:fldChar w:fldCharType="end"/>
      </w:r>
      <w:r w:rsidR="00BA5B37" w:rsidRPr="00A438D4">
        <w:rPr>
          <w:noProof/>
        </w:rPr>
        <w:t xml:space="preserve"> and </w:t>
      </w:r>
      <w:r w:rsidR="00BA5B37" w:rsidRPr="00A438D4">
        <w:rPr>
          <w:noProof/>
        </w:rPr>
        <w:fldChar w:fldCharType="begin"/>
      </w:r>
      <w:r w:rsidR="00BA5B37" w:rsidRPr="00A438D4">
        <w:rPr>
          <w:noProof/>
        </w:rPr>
        <w:instrText xml:space="preserve"> REF _Ref143330758 \n \h </w:instrText>
      </w:r>
      <w:r w:rsidR="00782AE4" w:rsidRPr="00A438D4">
        <w:rPr>
          <w:noProof/>
        </w:rPr>
        <w:instrText xml:space="preserve"> \* MERGEFORMAT </w:instrText>
      </w:r>
      <w:r w:rsidR="00BA5B37" w:rsidRPr="00A438D4">
        <w:rPr>
          <w:noProof/>
        </w:rPr>
      </w:r>
      <w:r w:rsidR="00BA5B37" w:rsidRPr="00A438D4">
        <w:rPr>
          <w:noProof/>
        </w:rPr>
        <w:fldChar w:fldCharType="separate"/>
      </w:r>
      <w:r w:rsidR="00170A3C">
        <w:rPr>
          <w:noProof/>
        </w:rPr>
        <w:t>1.4.3</w:t>
      </w:r>
      <w:r w:rsidR="00BA5B37" w:rsidRPr="00A438D4">
        <w:rPr>
          <w:noProof/>
        </w:rPr>
        <w:fldChar w:fldCharType="end"/>
      </w:r>
      <w:r w:rsidR="00374327" w:rsidRPr="00A438D4">
        <w:rPr>
          <w:noProof/>
        </w:rPr>
        <w:t xml:space="preserve"> for more details</w:t>
      </w:r>
      <w:r w:rsidR="00374327">
        <w:rPr>
          <w:noProof/>
        </w:rPr>
        <w:t xml:space="preserve">). </w:t>
      </w:r>
    </w:p>
    <w:p w14:paraId="23F0AB4D" w14:textId="4B0F8AF7" w:rsidR="00D63778" w:rsidRDefault="00D63778" w:rsidP="00D63778">
      <w:pPr>
        <w:pStyle w:val="Caption"/>
        <w:rPr>
          <w:noProof/>
        </w:rPr>
      </w:pPr>
      <w:bookmarkStart w:id="194" w:name="_Ref141777955"/>
      <w:bookmarkStart w:id="195" w:name="_Ref147757014"/>
      <w:bookmarkStart w:id="196" w:name="_Toc157679782"/>
      <w:r>
        <w:rPr>
          <w:noProof/>
        </w:rPr>
        <w:t xml:space="preserve">Figure </w:t>
      </w:r>
      <w:bookmarkEnd w:id="194"/>
      <w:r w:rsidR="00F2742D">
        <w:rPr>
          <w:noProof/>
        </w:rPr>
        <w:fldChar w:fldCharType="begin"/>
      </w:r>
      <w:r w:rsidR="00F2742D">
        <w:rPr>
          <w:noProof/>
        </w:rPr>
        <w:instrText xml:space="preserve"> SEQ Figure \* ARABIC </w:instrText>
      </w:r>
      <w:r w:rsidR="00F2742D">
        <w:rPr>
          <w:noProof/>
        </w:rPr>
        <w:fldChar w:fldCharType="separate"/>
      </w:r>
      <w:r w:rsidR="00170A3C">
        <w:rPr>
          <w:noProof/>
        </w:rPr>
        <w:t>34</w:t>
      </w:r>
      <w:r w:rsidR="00F2742D">
        <w:rPr>
          <w:noProof/>
        </w:rPr>
        <w:fldChar w:fldCharType="end"/>
      </w:r>
      <w:bookmarkEnd w:id="195"/>
      <w:r>
        <w:rPr>
          <w:noProof/>
        </w:rPr>
        <w:t>: F</w:t>
      </w:r>
      <w:r w:rsidR="00836D51">
        <w:rPr>
          <w:noProof/>
        </w:rPr>
        <w:t xml:space="preserve">EC </w:t>
      </w:r>
      <w:r>
        <w:rPr>
          <w:noProof/>
        </w:rPr>
        <w:t>by sector</w:t>
      </w:r>
      <w:r w:rsidR="00782AE4">
        <w:rPr>
          <w:noProof/>
        </w:rPr>
        <w:t>, 2015-2050</w:t>
      </w:r>
      <w:bookmarkEnd w:id="196"/>
    </w:p>
    <w:p w14:paraId="14441DD5" w14:textId="401F1E3A" w:rsidR="00D63778" w:rsidRPr="000B51D9" w:rsidRDefault="004B1E94" w:rsidP="004B1E94">
      <w:pPr>
        <w:jc w:val="center"/>
        <w:rPr>
          <w:noProof/>
        </w:rPr>
      </w:pPr>
      <w:r w:rsidRPr="004B1E94">
        <w:rPr>
          <w:noProof/>
          <w:lang w:eastAsia="en-GB"/>
        </w:rPr>
        <w:drawing>
          <wp:inline distT="0" distB="0" distL="0" distR="0" wp14:anchorId="3298BAD7" wp14:editId="6C7ADA8C">
            <wp:extent cx="5403215" cy="2517775"/>
            <wp:effectExtent l="0" t="0" r="0" b="0"/>
            <wp:docPr id="363790917" name="Picture 363790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403215" cy="2517775"/>
                    </a:xfrm>
                    <a:prstGeom prst="rect">
                      <a:avLst/>
                    </a:prstGeom>
                    <a:noFill/>
                    <a:ln>
                      <a:noFill/>
                    </a:ln>
                  </pic:spPr>
                </pic:pic>
              </a:graphicData>
            </a:graphic>
          </wp:inline>
        </w:drawing>
      </w:r>
    </w:p>
    <w:p w14:paraId="0B42EA82" w14:textId="77777777" w:rsidR="00D63778" w:rsidRPr="00733984" w:rsidRDefault="00D63778" w:rsidP="00951BEB">
      <w:pPr>
        <w:pStyle w:val="CT-SOURCE"/>
        <w:rPr>
          <w:noProof/>
        </w:rPr>
      </w:pPr>
      <w:r w:rsidRPr="00733984">
        <w:rPr>
          <w:noProof/>
        </w:rPr>
        <w:t>Source: PRIMES.</w:t>
      </w:r>
    </w:p>
    <w:p w14:paraId="212B307B" w14:textId="77777777" w:rsidR="00D63778" w:rsidRDefault="00D63778" w:rsidP="00D63778">
      <w:pPr>
        <w:keepNext/>
        <w:rPr>
          <w:noProof/>
        </w:rPr>
      </w:pPr>
      <w:r w:rsidRPr="1F31FE8C">
        <w:rPr>
          <w:noProof/>
        </w:rPr>
        <w:t xml:space="preserve">The above-mentioned sectoral dynamics lead to a different sectoral composition of FEC, with industry and </w:t>
      </w:r>
      <w:r>
        <w:rPr>
          <w:noProof/>
        </w:rPr>
        <w:t xml:space="preserve">agriculture and </w:t>
      </w:r>
      <w:r w:rsidRPr="1F31FE8C">
        <w:rPr>
          <w:noProof/>
        </w:rPr>
        <w:t>services becoming relatively more important over time, while residential and transport are declining.</w:t>
      </w:r>
    </w:p>
    <w:p w14:paraId="10EF9B74" w14:textId="08D75FE2" w:rsidR="00D63778" w:rsidRDefault="00D63778" w:rsidP="00D63778">
      <w:pPr>
        <w:pStyle w:val="Text2"/>
        <w:rPr>
          <w:noProof/>
          <w:lang w:val="en-IE"/>
        </w:rPr>
      </w:pPr>
      <w:r w:rsidRPr="1F31FE8C">
        <w:rPr>
          <w:noProof/>
          <w:lang w:val="en-IE"/>
        </w:rPr>
        <w:t>The different scenario assumptions in</w:t>
      </w:r>
      <w:r>
        <w:rPr>
          <w:noProof/>
          <w:lang w:val="en-IE"/>
        </w:rPr>
        <w:t xml:space="preserve"> the</w:t>
      </w:r>
      <w:r w:rsidRPr="1F31FE8C">
        <w:rPr>
          <w:noProof/>
          <w:lang w:val="en-IE"/>
        </w:rPr>
        <w:t xml:space="preserve"> S1</w:t>
      </w:r>
      <w:r w:rsidR="006750D6">
        <w:rPr>
          <w:noProof/>
          <w:lang w:val="en-IE"/>
        </w:rPr>
        <w:t>-S2</w:t>
      </w:r>
      <w:r w:rsidRPr="1F31FE8C">
        <w:rPr>
          <w:noProof/>
          <w:lang w:val="en-IE"/>
        </w:rPr>
        <w:t>-S3</w:t>
      </w:r>
      <w:r>
        <w:rPr>
          <w:noProof/>
          <w:lang w:val="en-IE"/>
        </w:rPr>
        <w:t xml:space="preserve"> scenarios</w:t>
      </w:r>
      <w:r w:rsidRPr="1F31FE8C">
        <w:rPr>
          <w:noProof/>
          <w:lang w:val="en-IE"/>
        </w:rPr>
        <w:t xml:space="preserve"> have a somehow limited effect </w:t>
      </w:r>
      <w:r w:rsidR="000758AF">
        <w:rPr>
          <w:noProof/>
          <w:lang w:val="en-IE"/>
        </w:rPr>
        <w:t>on energy consumption by sector</w:t>
      </w:r>
      <w:r w:rsidRPr="1F31FE8C">
        <w:rPr>
          <w:noProof/>
          <w:lang w:val="en-IE"/>
        </w:rPr>
        <w:t xml:space="preserve">. </w:t>
      </w:r>
      <w:r w:rsidR="000758AF">
        <w:rPr>
          <w:noProof/>
          <w:lang w:val="en-IE"/>
        </w:rPr>
        <w:t>For each sector considered, the differences between scenarios are limited to approximately 5%.</w:t>
      </w:r>
      <w:r>
        <w:rPr>
          <w:noProof/>
        </w:rPr>
        <w:t xml:space="preserve"> </w:t>
      </w:r>
    </w:p>
    <w:p w14:paraId="4488DE82" w14:textId="2F04D493" w:rsidR="00D63778" w:rsidRDefault="00055F47" w:rsidP="00055F47">
      <w:pPr>
        <w:pStyle w:val="Text2"/>
        <w:rPr>
          <w:noProof/>
        </w:rPr>
      </w:pPr>
      <w:r w:rsidRPr="00A438D4">
        <w:rPr>
          <w:noProof/>
        </w:rPr>
        <w:fldChar w:fldCharType="begin"/>
      </w:r>
      <w:r w:rsidRPr="00055F47">
        <w:rPr>
          <w:noProof/>
          <w:highlight w:val="yellow"/>
        </w:rPr>
        <w:instrText xml:space="preserve"> REF _Ref146275771 \h </w:instrText>
      </w:r>
      <w:r>
        <w:rPr>
          <w:noProof/>
          <w:highlight w:val="yellow"/>
        </w:rPr>
        <w:instrText xml:space="preserve"> \* MERGEFORMAT </w:instrText>
      </w:r>
      <w:r w:rsidRPr="00A438D4">
        <w:rPr>
          <w:noProof/>
        </w:rPr>
      </w:r>
      <w:r w:rsidRPr="00A438D4">
        <w:rPr>
          <w:noProof/>
        </w:rPr>
        <w:fldChar w:fldCharType="separate"/>
      </w:r>
      <w:r w:rsidR="00170A3C">
        <w:rPr>
          <w:noProof/>
        </w:rPr>
        <w:t>Figure 35</w:t>
      </w:r>
      <w:r w:rsidRPr="00A438D4">
        <w:rPr>
          <w:noProof/>
        </w:rPr>
        <w:fldChar w:fldCharType="end"/>
      </w:r>
      <w:r w:rsidR="00D63778">
        <w:rPr>
          <w:noProof/>
        </w:rPr>
        <w:t xml:space="preserve"> compares projections for </w:t>
      </w:r>
      <w:r w:rsidR="00E81EBD" w:rsidRPr="00E81EBD">
        <w:rPr>
          <w:noProof/>
        </w:rPr>
        <w:t>Final Energy Consumption</w:t>
      </w:r>
      <w:r w:rsidR="00D63778">
        <w:rPr>
          <w:noProof/>
        </w:rPr>
        <w:t xml:space="preserve"> from different energy system models and finds good alignment between them.</w:t>
      </w:r>
      <w:r w:rsidR="00A1313E">
        <w:rPr>
          <w:noProof/>
        </w:rPr>
        <w:t xml:space="preserve"> In 2030, all models </w:t>
      </w:r>
      <w:r w:rsidR="00A60070">
        <w:rPr>
          <w:noProof/>
        </w:rPr>
        <w:t>fulfil</w:t>
      </w:r>
      <w:r w:rsidR="00A1313E">
        <w:rPr>
          <w:noProof/>
        </w:rPr>
        <w:t xml:space="preserve"> the target of the Energy Efficiency Directive</w:t>
      </w:r>
      <w:r w:rsidR="00A60070">
        <w:rPr>
          <w:noProof/>
        </w:rPr>
        <w:t>, but different trends can be appreciated afterwards. EU-TIMES in particular features the slowest pace of reduction in total FEC: its total FEC is 1</w:t>
      </w:r>
      <w:r w:rsidR="00E35869">
        <w:rPr>
          <w:noProof/>
        </w:rPr>
        <w:t>4</w:t>
      </w:r>
      <w:r w:rsidR="00A60070">
        <w:rPr>
          <w:noProof/>
        </w:rPr>
        <w:t>% and 2</w:t>
      </w:r>
      <w:r w:rsidR="00E35869">
        <w:rPr>
          <w:noProof/>
        </w:rPr>
        <w:t>1</w:t>
      </w:r>
      <w:r w:rsidR="00A60070">
        <w:rPr>
          <w:noProof/>
        </w:rPr>
        <w:t xml:space="preserve">% higher than PRIMES’s total FEC in 2040 and 2050 respectively. </w:t>
      </w:r>
      <w:r w:rsidR="00F61CC6">
        <w:rPr>
          <w:noProof/>
        </w:rPr>
        <w:t>EU-TIMES’</w:t>
      </w:r>
      <w:r w:rsidR="00E868D3">
        <w:rPr>
          <w:noProof/>
        </w:rPr>
        <w:t xml:space="preserve"> higher FEC than other models is largely explained by the fact that </w:t>
      </w:r>
      <w:r w:rsidR="00F61CC6">
        <w:rPr>
          <w:noProof/>
        </w:rPr>
        <w:t>it</w:t>
      </w:r>
      <w:r w:rsidR="00E868D3">
        <w:rPr>
          <w:noProof/>
        </w:rPr>
        <w:t xml:space="preserve"> features the lowest degree of electrification of end-use sectors and the highest reliance on RFNBOs </w:t>
      </w:r>
      <w:r w:rsidR="00E146FC">
        <w:rPr>
          <w:noProof/>
        </w:rPr>
        <w:t xml:space="preserve">(see also </w:t>
      </w:r>
      <w:r w:rsidR="00E146FC" w:rsidRPr="00A40621">
        <w:rPr>
          <w:noProof/>
        </w:rPr>
        <w:fldChar w:fldCharType="begin"/>
      </w:r>
      <w:r w:rsidR="00E146FC" w:rsidRPr="00A40621">
        <w:rPr>
          <w:noProof/>
        </w:rPr>
        <w:instrText xml:space="preserve"> REF _Ref146275582 \h  \* MERGEFORMAT </w:instrText>
      </w:r>
      <w:r w:rsidR="00E146FC" w:rsidRPr="00A40621">
        <w:rPr>
          <w:noProof/>
        </w:rPr>
      </w:r>
      <w:r w:rsidR="00E146FC" w:rsidRPr="00A40621">
        <w:rPr>
          <w:noProof/>
        </w:rPr>
        <w:fldChar w:fldCharType="separate"/>
      </w:r>
      <w:r w:rsidR="00170A3C">
        <w:rPr>
          <w:noProof/>
        </w:rPr>
        <w:t>Figure 33</w:t>
      </w:r>
      <w:r w:rsidR="00E146FC" w:rsidRPr="00A40621">
        <w:rPr>
          <w:noProof/>
        </w:rPr>
        <w:fldChar w:fldCharType="end"/>
      </w:r>
      <w:r w:rsidR="00E146FC">
        <w:rPr>
          <w:noProof/>
        </w:rPr>
        <w:t>).</w:t>
      </w:r>
      <w:r w:rsidR="00E868D3">
        <w:rPr>
          <w:noProof/>
        </w:rPr>
        <w:t xml:space="preserve"> </w:t>
      </w:r>
      <w:r w:rsidR="00A60070">
        <w:rPr>
          <w:noProof/>
        </w:rPr>
        <w:t>R</w:t>
      </w:r>
      <w:r w:rsidR="00D63778">
        <w:rPr>
          <w:noProof/>
        </w:rPr>
        <w:t xml:space="preserve">esults from the PRIMES and POTEnCIA models are very close throughout the time horizon (with a maximum difference below 4% over the 2035 – 2050 period). </w:t>
      </w:r>
    </w:p>
    <w:p w14:paraId="17FA825F" w14:textId="795C178A" w:rsidR="00055F47" w:rsidRDefault="00055F47" w:rsidP="00836D51">
      <w:pPr>
        <w:pStyle w:val="Caption"/>
        <w:jc w:val="left"/>
        <w:rPr>
          <w:noProof/>
        </w:rPr>
      </w:pPr>
      <w:bookmarkStart w:id="197" w:name="_Ref146275771"/>
      <w:bookmarkStart w:id="198" w:name="_Toc157679783"/>
      <w:r>
        <w:rPr>
          <w:noProof/>
        </w:rPr>
        <w:t xml:space="preserve">Figure </w:t>
      </w:r>
      <w:r w:rsidRPr="465898DF">
        <w:rPr>
          <w:noProof/>
        </w:rPr>
        <w:fldChar w:fldCharType="begin"/>
      </w:r>
      <w:r>
        <w:rPr>
          <w:noProof/>
        </w:rPr>
        <w:instrText xml:space="preserve"> SEQ Figure \* ARABIC </w:instrText>
      </w:r>
      <w:r w:rsidRPr="465898DF">
        <w:rPr>
          <w:noProof/>
        </w:rPr>
        <w:fldChar w:fldCharType="separate"/>
      </w:r>
      <w:r w:rsidR="00170A3C">
        <w:rPr>
          <w:noProof/>
        </w:rPr>
        <w:t>35</w:t>
      </w:r>
      <w:r w:rsidRPr="465898DF">
        <w:rPr>
          <w:noProof/>
        </w:rPr>
        <w:fldChar w:fldCharType="end"/>
      </w:r>
      <w:bookmarkEnd w:id="197"/>
      <w:r>
        <w:rPr>
          <w:noProof/>
        </w:rPr>
        <w:t>: Total F</w:t>
      </w:r>
      <w:r w:rsidR="00836D51">
        <w:rPr>
          <w:noProof/>
        </w:rPr>
        <w:t xml:space="preserve">EC </w:t>
      </w:r>
      <w:r>
        <w:rPr>
          <w:noProof/>
        </w:rPr>
        <w:t>from different energy models, 2019-2050</w:t>
      </w:r>
      <w:bookmarkEnd w:id="198"/>
    </w:p>
    <w:p w14:paraId="51CCF78B" w14:textId="2D92A439" w:rsidR="00D63778" w:rsidRPr="00811255" w:rsidRDefault="00E81EBD" w:rsidP="00E74E4C">
      <w:pPr>
        <w:keepNext/>
        <w:jc w:val="center"/>
        <w:rPr>
          <w:noProof/>
        </w:rPr>
      </w:pPr>
      <w:r>
        <w:rPr>
          <w:noProof/>
          <w:lang w:eastAsia="en-GB"/>
        </w:rPr>
        <w:drawing>
          <wp:inline distT="0" distB="0" distL="0" distR="0" wp14:anchorId="5D36FE45" wp14:editId="21C5794E">
            <wp:extent cx="5358765" cy="2627630"/>
            <wp:effectExtent l="0" t="0" r="0" b="1270"/>
            <wp:docPr id="1333008520" name="Picture 1333008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358765" cy="2627630"/>
                    </a:xfrm>
                    <a:prstGeom prst="rect">
                      <a:avLst/>
                    </a:prstGeom>
                    <a:noFill/>
                  </pic:spPr>
                </pic:pic>
              </a:graphicData>
            </a:graphic>
          </wp:inline>
        </w:drawing>
      </w:r>
    </w:p>
    <w:p w14:paraId="59B8AAEB" w14:textId="3F4172ED" w:rsidR="00D63778" w:rsidRPr="00465F10" w:rsidRDefault="00D63778" w:rsidP="001A0419">
      <w:pPr>
        <w:pStyle w:val="CT-SOURCE"/>
        <w:rPr>
          <w:noProof/>
          <w:lang w:val="pt-PT"/>
        </w:rPr>
      </w:pPr>
      <w:r w:rsidRPr="00465F10">
        <w:rPr>
          <w:noProof/>
          <w:lang w:val="pt-PT"/>
        </w:rPr>
        <w:t>Sources: AMADEUS-METIS, EU-TIMES, POLES, POTEnCIA, PRIMES</w:t>
      </w:r>
    </w:p>
    <w:p w14:paraId="7F4D3BCD" w14:textId="79AC9332" w:rsidR="000B4B14" w:rsidRDefault="00DF1930" w:rsidP="00BA5AF7">
      <w:pPr>
        <w:pStyle w:val="Heading3"/>
        <w:rPr>
          <w:noProof/>
          <w:lang w:val="en-IE"/>
        </w:rPr>
      </w:pPr>
      <w:bookmarkStart w:id="199" w:name="_Toc148605590"/>
      <w:bookmarkStart w:id="200" w:name="_Toc157692035"/>
      <w:r w:rsidRPr="53A1CCF7">
        <w:rPr>
          <w:noProof/>
          <w:lang w:val="en-IE"/>
        </w:rPr>
        <w:t xml:space="preserve">Energy related </w:t>
      </w:r>
      <w:r w:rsidR="000B4B14" w:rsidRPr="53A1CCF7">
        <w:rPr>
          <w:noProof/>
          <w:lang w:val="en-IE"/>
        </w:rPr>
        <w:t>CO</w:t>
      </w:r>
      <w:r w:rsidR="000B4B14" w:rsidRPr="00765976">
        <w:rPr>
          <w:noProof/>
          <w:vertAlign w:val="subscript"/>
          <w:lang w:val="en-IE"/>
        </w:rPr>
        <w:t>2</w:t>
      </w:r>
      <w:r w:rsidR="000B4B14" w:rsidRPr="53A1CCF7">
        <w:rPr>
          <w:noProof/>
          <w:lang w:val="en-IE"/>
        </w:rPr>
        <w:t xml:space="preserve"> emissions</w:t>
      </w:r>
      <w:bookmarkEnd w:id="199"/>
      <w:bookmarkEnd w:id="200"/>
    </w:p>
    <w:p w14:paraId="1F804DC5" w14:textId="77ABC197" w:rsidR="00B046A0" w:rsidRDefault="00A438D4" w:rsidP="0082262B">
      <w:pPr>
        <w:pStyle w:val="Text2"/>
        <w:rPr>
          <w:noProof/>
        </w:rPr>
      </w:pPr>
      <w:r>
        <w:rPr>
          <w:noProof/>
        </w:rPr>
        <w:fldChar w:fldCharType="begin"/>
      </w:r>
      <w:r>
        <w:rPr>
          <w:noProof/>
        </w:rPr>
        <w:instrText xml:space="preserve"> REF _Ref147757085 \h </w:instrText>
      </w:r>
      <w:r>
        <w:rPr>
          <w:noProof/>
        </w:rPr>
      </w:r>
      <w:r>
        <w:rPr>
          <w:noProof/>
        </w:rPr>
        <w:fldChar w:fldCharType="separate"/>
      </w:r>
      <w:r w:rsidR="00170A3C" w:rsidRPr="00E27364">
        <w:rPr>
          <w:noProof/>
        </w:rPr>
        <w:t xml:space="preserve">Figure </w:t>
      </w:r>
      <w:r w:rsidR="00170A3C">
        <w:rPr>
          <w:noProof/>
        </w:rPr>
        <w:t>36</w:t>
      </w:r>
      <w:r>
        <w:rPr>
          <w:noProof/>
        </w:rPr>
        <w:fldChar w:fldCharType="end"/>
      </w:r>
      <w:r w:rsidR="006A6832" w:rsidRPr="006A6832">
        <w:rPr>
          <w:noProof/>
        </w:rPr>
        <w:t xml:space="preserve"> illustrates the </w:t>
      </w:r>
      <w:r w:rsidR="00EB7593">
        <w:rPr>
          <w:noProof/>
        </w:rPr>
        <w:t xml:space="preserve">energy-related </w:t>
      </w:r>
      <w:r w:rsidR="006A6832" w:rsidRPr="006A6832">
        <w:rPr>
          <w:noProof/>
        </w:rPr>
        <w:t>CO</w:t>
      </w:r>
      <w:r w:rsidR="006A6832" w:rsidRPr="00DE2528">
        <w:rPr>
          <w:noProof/>
          <w:vertAlign w:val="subscript"/>
        </w:rPr>
        <w:t>2</w:t>
      </w:r>
      <w:r w:rsidR="006A6832" w:rsidRPr="006A6832">
        <w:rPr>
          <w:noProof/>
        </w:rPr>
        <w:t xml:space="preserve"> emission</w:t>
      </w:r>
      <w:r w:rsidR="00B046A0">
        <w:rPr>
          <w:noProof/>
        </w:rPr>
        <w:t>s</w:t>
      </w:r>
      <w:r w:rsidR="006A6832" w:rsidRPr="006A6832">
        <w:rPr>
          <w:noProof/>
        </w:rPr>
        <w:t xml:space="preserve"> profile </w:t>
      </w:r>
      <w:r w:rsidR="006A6832">
        <w:rPr>
          <w:noProof/>
        </w:rPr>
        <w:t xml:space="preserve">over the </w:t>
      </w:r>
      <w:r w:rsidR="001D7DB0">
        <w:rPr>
          <w:noProof/>
        </w:rPr>
        <w:t xml:space="preserve">modelling </w:t>
      </w:r>
      <w:r w:rsidR="006A6832">
        <w:rPr>
          <w:noProof/>
        </w:rPr>
        <w:t>time horizon for the main energy sectors and for all the scenarios assessed.</w:t>
      </w:r>
      <w:r w:rsidR="006A6832" w:rsidRPr="006A6832">
        <w:rPr>
          <w:noProof/>
        </w:rPr>
        <w:t xml:space="preserve"> </w:t>
      </w:r>
      <w:r w:rsidR="000F2A1D">
        <w:rPr>
          <w:noProof/>
        </w:rPr>
        <w:t>A</w:t>
      </w:r>
      <w:r w:rsidR="00B046A0">
        <w:rPr>
          <w:noProof/>
        </w:rPr>
        <w:t>chiev</w:t>
      </w:r>
      <w:r w:rsidR="000F2A1D">
        <w:rPr>
          <w:noProof/>
        </w:rPr>
        <w:t>ing</w:t>
      </w:r>
      <w:r w:rsidR="00B046A0">
        <w:rPr>
          <w:noProof/>
        </w:rPr>
        <w:t xml:space="preserve"> the climate neutrality objective in 2050 requires </w:t>
      </w:r>
      <w:r w:rsidR="00B661EB">
        <w:rPr>
          <w:noProof/>
        </w:rPr>
        <w:t xml:space="preserve">energy-related </w:t>
      </w:r>
      <w:r w:rsidR="00B046A0">
        <w:rPr>
          <w:noProof/>
        </w:rPr>
        <w:t>CO</w:t>
      </w:r>
      <w:r w:rsidR="00B046A0" w:rsidRPr="00DE2528">
        <w:rPr>
          <w:noProof/>
          <w:vertAlign w:val="subscript"/>
        </w:rPr>
        <w:t>2</w:t>
      </w:r>
      <w:r w:rsidR="00B046A0">
        <w:rPr>
          <w:noProof/>
        </w:rPr>
        <w:t xml:space="preserve"> emissions in 2040 to be in the range of 2</w:t>
      </w:r>
      <w:r w:rsidR="005B2595">
        <w:rPr>
          <w:noProof/>
        </w:rPr>
        <w:t>0</w:t>
      </w:r>
      <w:r w:rsidR="00B046A0">
        <w:rPr>
          <w:noProof/>
        </w:rPr>
        <w:t>0-5</w:t>
      </w:r>
      <w:r w:rsidR="003F4EB2">
        <w:rPr>
          <w:noProof/>
        </w:rPr>
        <w:t>9</w:t>
      </w:r>
      <w:r w:rsidR="00B046A0">
        <w:rPr>
          <w:noProof/>
        </w:rPr>
        <w:t>0 MtCO</w:t>
      </w:r>
      <w:r w:rsidR="00B046A0" w:rsidRPr="00DE2528">
        <w:rPr>
          <w:noProof/>
        </w:rPr>
        <w:t>2</w:t>
      </w:r>
      <w:r w:rsidR="00B046A0">
        <w:rPr>
          <w:noProof/>
        </w:rPr>
        <w:t xml:space="preserve"> across scenarios. This is equivalent to a reduction in CO</w:t>
      </w:r>
      <w:r w:rsidR="00B046A0" w:rsidRPr="00DE2528">
        <w:rPr>
          <w:noProof/>
        </w:rPr>
        <w:t>2</w:t>
      </w:r>
      <w:r w:rsidR="00B046A0">
        <w:rPr>
          <w:noProof/>
        </w:rPr>
        <w:t xml:space="preserve"> emissions with respect to </w:t>
      </w:r>
      <w:r w:rsidR="006E5667">
        <w:rPr>
          <w:noProof/>
        </w:rPr>
        <w:t>1990</w:t>
      </w:r>
      <w:r w:rsidR="00B046A0">
        <w:rPr>
          <w:noProof/>
        </w:rPr>
        <w:t xml:space="preserve"> in the range of </w:t>
      </w:r>
      <w:r w:rsidR="0082229A">
        <w:rPr>
          <w:noProof/>
        </w:rPr>
        <w:t>83</w:t>
      </w:r>
      <w:r w:rsidR="00B046A0">
        <w:rPr>
          <w:noProof/>
        </w:rPr>
        <w:t>-9</w:t>
      </w:r>
      <w:r w:rsidR="007973BE">
        <w:rPr>
          <w:noProof/>
        </w:rPr>
        <w:t>4</w:t>
      </w:r>
      <w:r w:rsidR="00B046A0">
        <w:rPr>
          <w:noProof/>
        </w:rPr>
        <w:t xml:space="preserve">%. </w:t>
      </w:r>
    </w:p>
    <w:p w14:paraId="43D06C8E" w14:textId="02B58A2C" w:rsidR="0095171B" w:rsidRDefault="002B2379" w:rsidP="00105420">
      <w:pPr>
        <w:pStyle w:val="Text2"/>
        <w:spacing w:after="0"/>
        <w:rPr>
          <w:noProof/>
        </w:rPr>
      </w:pPr>
      <w:r w:rsidRPr="00DE2528">
        <w:rPr>
          <w:noProof/>
        </w:rPr>
        <w:t>Historically, the power generation and district heating sectors were the largest emitter of CO</w:t>
      </w:r>
      <w:r w:rsidRPr="00DE2528">
        <w:rPr>
          <w:noProof/>
          <w:vertAlign w:val="subscript"/>
        </w:rPr>
        <w:t>2</w:t>
      </w:r>
      <w:r w:rsidRPr="00DE2528">
        <w:rPr>
          <w:noProof/>
        </w:rPr>
        <w:t xml:space="preserve"> from combustion processes. With about 1</w:t>
      </w:r>
      <w:r w:rsidR="000267F4" w:rsidRPr="00DE2528">
        <w:rPr>
          <w:noProof/>
        </w:rPr>
        <w:t> </w:t>
      </w:r>
      <w:r w:rsidRPr="00DE2528">
        <w:rPr>
          <w:noProof/>
        </w:rPr>
        <w:t>010 MtCO</w:t>
      </w:r>
      <w:r w:rsidRPr="00DE2528">
        <w:rPr>
          <w:noProof/>
          <w:vertAlign w:val="subscript"/>
        </w:rPr>
        <w:t>2</w:t>
      </w:r>
      <w:r w:rsidRPr="00DE2528">
        <w:rPr>
          <w:noProof/>
        </w:rPr>
        <w:t xml:space="preserve"> emitted in 2015, it accounted for 37% of all energy-related CO2 emissions. However, the power generation and district heating sectors reduce </w:t>
      </w:r>
      <w:r w:rsidR="0066535C" w:rsidRPr="00DE2528">
        <w:rPr>
          <w:noProof/>
        </w:rPr>
        <w:t>CO</w:t>
      </w:r>
      <w:r w:rsidR="0066535C" w:rsidRPr="00DE2528">
        <w:rPr>
          <w:noProof/>
          <w:vertAlign w:val="subscript"/>
        </w:rPr>
        <w:t>2</w:t>
      </w:r>
      <w:r w:rsidR="0066535C" w:rsidRPr="00DE2528">
        <w:rPr>
          <w:noProof/>
        </w:rPr>
        <w:t xml:space="preserve"> </w:t>
      </w:r>
      <w:r w:rsidRPr="00DE2528">
        <w:rPr>
          <w:noProof/>
        </w:rPr>
        <w:t>emissions at the fastest pace across the energy system</w:t>
      </w:r>
      <w:r w:rsidR="004634ED" w:rsidRPr="00DE2528">
        <w:rPr>
          <w:noProof/>
        </w:rPr>
        <w:t xml:space="preserve"> and are the first achieving net-zero emissions</w:t>
      </w:r>
      <w:r w:rsidR="00CE4B2D" w:rsidRPr="00DE2528">
        <w:rPr>
          <w:noProof/>
        </w:rPr>
        <w:t>. This result is in line with the findings of the public consultation on the EU climate targets for 2040, where</w:t>
      </w:r>
      <w:r w:rsidRPr="00DE2528">
        <w:rPr>
          <w:noProof/>
        </w:rPr>
        <w:t xml:space="preserve"> </w:t>
      </w:r>
      <w:r w:rsidR="00CE4B2D" w:rsidRPr="00DE2528">
        <w:rPr>
          <w:noProof/>
        </w:rPr>
        <w:t>respondents have most frequently identified “power generation and and district heating" as the first sector to achieve climate neutrality.</w:t>
      </w:r>
      <w:r w:rsidRPr="00DE2528">
        <w:rPr>
          <w:noProof/>
        </w:rPr>
        <w:t xml:space="preserve"> In 2040, less than 10 MtCO2 are emitted from these sectors in the S2 scenario (99% reduction with respect to </w:t>
      </w:r>
      <w:r w:rsidR="00CF2CBD" w:rsidRPr="00DE2528">
        <w:rPr>
          <w:noProof/>
        </w:rPr>
        <w:t>1990</w:t>
      </w:r>
      <w:r w:rsidRPr="00DE2528">
        <w:rPr>
          <w:noProof/>
        </w:rPr>
        <w:t>)</w:t>
      </w:r>
      <w:r w:rsidR="00E94491" w:rsidRPr="00DE2528">
        <w:rPr>
          <w:noProof/>
        </w:rPr>
        <w:t xml:space="preserve"> and u</w:t>
      </w:r>
      <w:r w:rsidRPr="00DE2528">
        <w:rPr>
          <w:noProof/>
        </w:rPr>
        <w:t xml:space="preserve">nder the S3 scenario negative emissions </w:t>
      </w:r>
      <w:r w:rsidR="00E94491" w:rsidRPr="00DE2528">
        <w:rPr>
          <w:noProof/>
        </w:rPr>
        <w:t>are achieved</w:t>
      </w:r>
      <w:r w:rsidRPr="00DE2528">
        <w:rPr>
          <w:noProof/>
        </w:rPr>
        <w:t xml:space="preserve"> (thanks to BECCS) </w:t>
      </w:r>
      <w:r w:rsidR="00B53518">
        <w:rPr>
          <w:noProof/>
        </w:rPr>
        <w:t>shortly</w:t>
      </w:r>
      <w:r w:rsidRPr="00DE2528">
        <w:rPr>
          <w:noProof/>
        </w:rPr>
        <w:t xml:space="preserve"> before 2040. In 2050, these sectors become a negative emitter in all the scenarios analysed, with </w:t>
      </w:r>
      <w:r w:rsidR="00E94491" w:rsidRPr="00DE2528">
        <w:rPr>
          <w:noProof/>
        </w:rPr>
        <w:t>30-40</w:t>
      </w:r>
      <w:r w:rsidRPr="00DE2528">
        <w:rPr>
          <w:noProof/>
        </w:rPr>
        <w:t xml:space="preserve"> MtCO</w:t>
      </w:r>
      <w:r w:rsidRPr="00DE2528">
        <w:rPr>
          <w:noProof/>
          <w:vertAlign w:val="subscript"/>
        </w:rPr>
        <w:t>2</w:t>
      </w:r>
      <w:r w:rsidRPr="00DE2528">
        <w:rPr>
          <w:noProof/>
        </w:rPr>
        <w:t xml:space="preserve"> of negative emissions</w:t>
      </w:r>
      <w:r w:rsidR="00E94491" w:rsidRPr="00DE2528">
        <w:rPr>
          <w:noProof/>
        </w:rPr>
        <w:t>,</w:t>
      </w:r>
      <w:r w:rsidRPr="00DE2528">
        <w:rPr>
          <w:noProof/>
        </w:rPr>
        <w:t xml:space="preserve"> thus partially offsetting residual emissions from the other sectors. The relatively fast pace in CO</w:t>
      </w:r>
      <w:r w:rsidRPr="00DE2528">
        <w:rPr>
          <w:noProof/>
          <w:vertAlign w:val="subscript"/>
        </w:rPr>
        <w:t>2</w:t>
      </w:r>
      <w:r w:rsidRPr="00DE2528">
        <w:rPr>
          <w:noProof/>
        </w:rPr>
        <w:t xml:space="preserve"> emission reductions from the power generation and district heating sectors is explained by the stringency of the emission reduction target and the availability of a broad set of technologies to generate carbon-free electricity </w:t>
      </w:r>
      <w:r w:rsidR="00E94491" w:rsidRPr="00DE2528">
        <w:rPr>
          <w:noProof/>
        </w:rPr>
        <w:t>backed</w:t>
      </w:r>
      <w:r w:rsidRPr="00DE2528">
        <w:rPr>
          <w:noProof/>
        </w:rPr>
        <w:t xml:space="preserve"> </w:t>
      </w:r>
      <w:r w:rsidR="00E94491" w:rsidRPr="00DE2528">
        <w:rPr>
          <w:noProof/>
        </w:rPr>
        <w:t>by</w:t>
      </w:r>
      <w:r w:rsidRPr="00DE2528">
        <w:rPr>
          <w:noProof/>
        </w:rPr>
        <w:t xml:space="preserve"> proven storage technologies.</w:t>
      </w:r>
      <w:r w:rsidR="0095171B" w:rsidRPr="00DE2528">
        <w:rPr>
          <w:noProof/>
        </w:rPr>
        <w:t xml:space="preserve"> The </w:t>
      </w:r>
      <w:r w:rsidR="007B16FC" w:rsidRPr="00DE2528">
        <w:rPr>
          <w:noProof/>
        </w:rPr>
        <w:t xml:space="preserve">reductions in energy-related emissions </w:t>
      </w:r>
      <w:r w:rsidR="00E94491" w:rsidRPr="00DE2528">
        <w:rPr>
          <w:noProof/>
        </w:rPr>
        <w:t>for the other energy sectors is</w:t>
      </w:r>
      <w:r w:rsidR="007B16FC" w:rsidRPr="00DE2528">
        <w:rPr>
          <w:noProof/>
        </w:rPr>
        <w:t xml:space="preserve"> discussed in dedicated sectoral </w:t>
      </w:r>
      <w:r w:rsidR="00E94491" w:rsidRPr="00DE2528">
        <w:rPr>
          <w:noProof/>
        </w:rPr>
        <w:t>sections</w:t>
      </w:r>
      <w:r w:rsidR="007B16FC" w:rsidRPr="00DE2528">
        <w:rPr>
          <w:noProof/>
        </w:rPr>
        <w:t xml:space="preserve">. </w:t>
      </w:r>
    </w:p>
    <w:p w14:paraId="36945A04" w14:textId="77777777" w:rsidR="0029211C" w:rsidRDefault="0029211C" w:rsidP="00105420">
      <w:pPr>
        <w:pStyle w:val="Text2"/>
        <w:spacing w:after="0"/>
        <w:rPr>
          <w:noProof/>
        </w:rPr>
      </w:pPr>
    </w:p>
    <w:p w14:paraId="3ACE72AE" w14:textId="77777777" w:rsidR="0029211C" w:rsidRPr="00DE2528" w:rsidRDefault="0029211C" w:rsidP="00105420">
      <w:pPr>
        <w:pStyle w:val="Text2"/>
        <w:spacing w:after="0"/>
        <w:rPr>
          <w:noProof/>
        </w:rPr>
      </w:pPr>
    </w:p>
    <w:p w14:paraId="3531C751" w14:textId="02370634" w:rsidR="000B4B14" w:rsidRPr="00E27364" w:rsidRDefault="000B4B14" w:rsidP="00105420">
      <w:pPr>
        <w:pStyle w:val="Caption"/>
        <w:spacing w:after="0"/>
        <w:rPr>
          <w:noProof/>
        </w:rPr>
      </w:pPr>
      <w:bookmarkStart w:id="201" w:name="_Ref140647655"/>
      <w:bookmarkStart w:id="202" w:name="_Ref147757085"/>
      <w:bookmarkStart w:id="203" w:name="_Toc157679784"/>
      <w:r w:rsidRPr="00E27364">
        <w:rPr>
          <w:noProof/>
        </w:rPr>
        <w:t xml:space="preserve">Figure </w:t>
      </w:r>
      <w:bookmarkEnd w:id="201"/>
      <w:r w:rsidR="00F2742D">
        <w:rPr>
          <w:noProof/>
        </w:rPr>
        <w:fldChar w:fldCharType="begin"/>
      </w:r>
      <w:r w:rsidR="00F2742D">
        <w:rPr>
          <w:noProof/>
        </w:rPr>
        <w:instrText xml:space="preserve"> SEQ Figure \* ARABIC </w:instrText>
      </w:r>
      <w:r w:rsidR="00F2742D">
        <w:rPr>
          <w:noProof/>
        </w:rPr>
        <w:fldChar w:fldCharType="separate"/>
      </w:r>
      <w:r w:rsidR="00170A3C">
        <w:rPr>
          <w:noProof/>
        </w:rPr>
        <w:t>36</w:t>
      </w:r>
      <w:r w:rsidR="00F2742D">
        <w:rPr>
          <w:noProof/>
        </w:rPr>
        <w:fldChar w:fldCharType="end"/>
      </w:r>
      <w:bookmarkEnd w:id="202"/>
      <w:r w:rsidRPr="00E27364">
        <w:rPr>
          <w:noProof/>
        </w:rPr>
        <w:t>: Domestic energy-related CO</w:t>
      </w:r>
      <w:r w:rsidRPr="0066535C">
        <w:rPr>
          <w:noProof/>
          <w:color w:val="2B579A"/>
          <w:shd w:val="clear" w:color="auto" w:fill="E6E6E6"/>
          <w:vertAlign w:val="subscript"/>
        </w:rPr>
        <w:t>2</w:t>
      </w:r>
      <w:r w:rsidRPr="00E27364">
        <w:rPr>
          <w:noProof/>
        </w:rPr>
        <w:t xml:space="preserve"> emissions by sector, 2015-2050</w:t>
      </w:r>
      <w:bookmarkEnd w:id="203"/>
      <w:r w:rsidRPr="00E27364">
        <w:rPr>
          <w:noProof/>
        </w:rPr>
        <w:t xml:space="preserve"> </w:t>
      </w:r>
    </w:p>
    <w:p w14:paraId="51B84617" w14:textId="0D856277" w:rsidR="000B4B14" w:rsidRDefault="004B1E94" w:rsidP="004B1E94">
      <w:pPr>
        <w:pStyle w:val="Text2"/>
        <w:keepNext/>
        <w:spacing w:after="0"/>
        <w:jc w:val="center"/>
        <w:rPr>
          <w:noProof/>
          <w:lang w:eastAsia="en-GB"/>
        </w:rPr>
      </w:pPr>
      <w:r w:rsidRPr="004B1E94">
        <w:rPr>
          <w:noProof/>
          <w:lang w:eastAsia="en-GB"/>
        </w:rPr>
        <w:drawing>
          <wp:inline distT="0" distB="0" distL="0" distR="0" wp14:anchorId="4EDDA233" wp14:editId="56581E0B">
            <wp:extent cx="5403215" cy="2517775"/>
            <wp:effectExtent l="0" t="0" r="0" b="0"/>
            <wp:docPr id="363790919" name="Picture 363790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403215" cy="2517775"/>
                    </a:xfrm>
                    <a:prstGeom prst="rect">
                      <a:avLst/>
                    </a:prstGeom>
                    <a:noFill/>
                    <a:ln>
                      <a:noFill/>
                    </a:ln>
                  </pic:spPr>
                </pic:pic>
              </a:graphicData>
            </a:graphic>
          </wp:inline>
        </w:drawing>
      </w:r>
    </w:p>
    <w:p w14:paraId="58C5E97E" w14:textId="77777777" w:rsidR="00CE1797" w:rsidRPr="00CF7916" w:rsidRDefault="00CE1797" w:rsidP="00105420">
      <w:pPr>
        <w:pStyle w:val="CT-NOTE"/>
        <w:rPr>
          <w:i w:val="0"/>
          <w:noProof/>
        </w:rPr>
      </w:pPr>
      <w:r w:rsidRPr="00CF7916">
        <w:rPr>
          <w:noProof/>
        </w:rPr>
        <w:t>N</w:t>
      </w:r>
      <w:r>
        <w:rPr>
          <w:i w:val="0"/>
          <w:noProof/>
        </w:rPr>
        <w:t>ote</w:t>
      </w:r>
      <w:r w:rsidRPr="00CF7916">
        <w:rPr>
          <w:i w:val="0"/>
          <w:noProof/>
        </w:rPr>
        <w:t>: the transport sector covers road, rail, inland navigation, domestic aviation and other transport.</w:t>
      </w:r>
    </w:p>
    <w:p w14:paraId="1707149C" w14:textId="77777777" w:rsidR="001E429A" w:rsidRDefault="001E429A" w:rsidP="00105420">
      <w:pPr>
        <w:pStyle w:val="CT-SOURCE"/>
        <w:rPr>
          <w:noProof/>
        </w:rPr>
      </w:pPr>
      <w:r w:rsidRPr="00C8608F">
        <w:rPr>
          <w:noProof/>
        </w:rPr>
        <w:t>Source: PRIMES.</w:t>
      </w:r>
    </w:p>
    <w:p w14:paraId="35651332" w14:textId="409DC786" w:rsidR="00FD5808" w:rsidRDefault="00240C1E" w:rsidP="0082262B">
      <w:pPr>
        <w:pStyle w:val="Text2"/>
        <w:rPr>
          <w:noProof/>
          <w:lang w:val="en-IE"/>
        </w:rPr>
      </w:pPr>
      <w:r>
        <w:rPr>
          <w:noProof/>
          <w:lang w:val="en-IE"/>
        </w:rPr>
        <w:t xml:space="preserve">The </w:t>
      </w:r>
      <w:r w:rsidR="007729BA">
        <w:rPr>
          <w:noProof/>
          <w:lang w:val="en-IE"/>
        </w:rPr>
        <w:t>energy-related</w:t>
      </w:r>
      <w:r w:rsidR="00277A9D">
        <w:rPr>
          <w:noProof/>
          <w:lang w:val="en-IE"/>
        </w:rPr>
        <w:t xml:space="preserve"> </w:t>
      </w:r>
      <w:r w:rsidR="00F271E6">
        <w:rPr>
          <w:noProof/>
          <w:lang w:val="en-IE"/>
        </w:rPr>
        <w:t>C</w:t>
      </w:r>
      <w:r w:rsidR="00834C55">
        <w:rPr>
          <w:noProof/>
          <w:lang w:val="en-IE"/>
        </w:rPr>
        <w:t>O</w:t>
      </w:r>
      <w:r w:rsidR="00F271E6" w:rsidRPr="003F7AB4">
        <w:rPr>
          <w:noProof/>
          <w:vertAlign w:val="subscript"/>
          <w:lang w:val="en-IE"/>
        </w:rPr>
        <w:t>2</w:t>
      </w:r>
      <w:r w:rsidR="00834C55">
        <w:rPr>
          <w:noProof/>
          <w:lang w:val="en-IE"/>
        </w:rPr>
        <w:t xml:space="preserve"> emission reduction </w:t>
      </w:r>
      <w:r w:rsidR="00277A9D">
        <w:rPr>
          <w:noProof/>
          <w:lang w:val="en-IE"/>
        </w:rPr>
        <w:t>trajectory</w:t>
      </w:r>
      <w:r w:rsidR="00834C55">
        <w:rPr>
          <w:noProof/>
          <w:lang w:val="en-IE"/>
        </w:rPr>
        <w:t xml:space="preserve"> is very similar </w:t>
      </w:r>
      <w:r w:rsidR="00F442EA">
        <w:rPr>
          <w:noProof/>
          <w:lang w:val="en-IE"/>
        </w:rPr>
        <w:t xml:space="preserve">in the S2 scenario </w:t>
      </w:r>
      <w:r w:rsidR="00834C55">
        <w:rPr>
          <w:noProof/>
          <w:lang w:val="en-IE"/>
        </w:rPr>
        <w:t xml:space="preserve">across </w:t>
      </w:r>
      <w:r w:rsidR="00F61CC6">
        <w:rPr>
          <w:noProof/>
          <w:lang w:val="en-IE"/>
        </w:rPr>
        <w:t xml:space="preserve">the energy </w:t>
      </w:r>
      <w:r w:rsidR="00834C55">
        <w:rPr>
          <w:noProof/>
          <w:lang w:val="en-IE"/>
        </w:rPr>
        <w:t>models</w:t>
      </w:r>
      <w:r w:rsidR="004319EC" w:rsidRPr="004319EC">
        <w:rPr>
          <w:noProof/>
          <w:lang w:val="en-IE"/>
        </w:rPr>
        <w:t xml:space="preserve"> </w:t>
      </w:r>
      <w:r w:rsidR="004319EC">
        <w:rPr>
          <w:noProof/>
          <w:lang w:val="en-IE"/>
        </w:rPr>
        <w:t>used in this impact assessment</w:t>
      </w:r>
      <w:r w:rsidR="00834C55">
        <w:rPr>
          <w:noProof/>
          <w:lang w:val="en-IE"/>
        </w:rPr>
        <w:t xml:space="preserve">. </w:t>
      </w:r>
      <w:r w:rsidR="00FD5808">
        <w:rPr>
          <w:noProof/>
          <w:lang w:val="en-IE"/>
        </w:rPr>
        <w:t xml:space="preserve">Overall, there is good agreement among the five </w:t>
      </w:r>
      <w:r w:rsidR="00614266">
        <w:rPr>
          <w:noProof/>
          <w:lang w:val="en-IE"/>
        </w:rPr>
        <w:t xml:space="preserve">energy </w:t>
      </w:r>
      <w:r w:rsidR="00FD5808">
        <w:rPr>
          <w:noProof/>
          <w:lang w:val="en-IE"/>
        </w:rPr>
        <w:t xml:space="preserve">models </w:t>
      </w:r>
      <w:r w:rsidR="00614266">
        <w:rPr>
          <w:noProof/>
          <w:lang w:val="en-IE"/>
        </w:rPr>
        <w:t>in identifying</w:t>
      </w:r>
      <w:r w:rsidR="00FD5808">
        <w:rPr>
          <w:noProof/>
          <w:lang w:val="en-IE"/>
        </w:rPr>
        <w:t xml:space="preserve"> </w:t>
      </w:r>
      <w:r w:rsidR="00E94491">
        <w:rPr>
          <w:noProof/>
          <w:lang w:val="en-IE"/>
        </w:rPr>
        <w:t>that</w:t>
      </w:r>
      <w:r w:rsidR="00FD5808">
        <w:rPr>
          <w:noProof/>
          <w:lang w:val="en-IE"/>
        </w:rPr>
        <w:t xml:space="preserve"> energy-related CO</w:t>
      </w:r>
      <w:r w:rsidR="00FD5808" w:rsidRPr="003F7AB4">
        <w:rPr>
          <w:noProof/>
          <w:vertAlign w:val="subscript"/>
          <w:lang w:val="en-IE"/>
        </w:rPr>
        <w:t>2</w:t>
      </w:r>
      <w:r w:rsidR="00FD5808">
        <w:rPr>
          <w:noProof/>
          <w:lang w:val="en-IE"/>
        </w:rPr>
        <w:t xml:space="preserve"> emissions in 2040 should reduce between </w:t>
      </w:r>
      <w:r w:rsidR="00FD5808" w:rsidRPr="003F7AB4">
        <w:rPr>
          <w:noProof/>
          <w:lang w:val="en-IE"/>
        </w:rPr>
        <w:t>8</w:t>
      </w:r>
      <w:r w:rsidR="00F442EA" w:rsidRPr="003F7AB4">
        <w:rPr>
          <w:noProof/>
          <w:lang w:val="en-IE"/>
        </w:rPr>
        <w:t>6</w:t>
      </w:r>
      <w:r w:rsidR="00FD5808" w:rsidRPr="003F7AB4">
        <w:rPr>
          <w:noProof/>
          <w:lang w:val="en-IE"/>
        </w:rPr>
        <w:t xml:space="preserve">% and </w:t>
      </w:r>
      <w:r w:rsidR="00E94491" w:rsidRPr="00F442EA">
        <w:rPr>
          <w:noProof/>
          <w:lang w:val="en-IE"/>
        </w:rPr>
        <w:t>9</w:t>
      </w:r>
      <w:r w:rsidR="00F442EA" w:rsidRPr="00F442EA">
        <w:rPr>
          <w:noProof/>
          <w:lang w:val="en-IE"/>
        </w:rPr>
        <w:t>0</w:t>
      </w:r>
      <w:r w:rsidR="00FD5808" w:rsidRPr="003F7AB4">
        <w:rPr>
          <w:noProof/>
          <w:lang w:val="en-IE"/>
        </w:rPr>
        <w:t>%</w:t>
      </w:r>
      <w:r w:rsidR="00FD5808" w:rsidRPr="00F442EA">
        <w:rPr>
          <w:noProof/>
          <w:lang w:val="en-IE"/>
        </w:rPr>
        <w:t xml:space="preserve"> </w:t>
      </w:r>
      <w:r w:rsidR="00FD5808">
        <w:rPr>
          <w:noProof/>
          <w:lang w:val="en-IE"/>
        </w:rPr>
        <w:t xml:space="preserve">compared to </w:t>
      </w:r>
      <w:r w:rsidR="00B770B9">
        <w:rPr>
          <w:noProof/>
          <w:lang w:val="en-IE"/>
        </w:rPr>
        <w:t>1990</w:t>
      </w:r>
      <w:r w:rsidR="00FD5808">
        <w:rPr>
          <w:noProof/>
          <w:lang w:val="en-IE"/>
        </w:rPr>
        <w:t xml:space="preserve"> (</w:t>
      </w:r>
      <w:r w:rsidR="00D20391">
        <w:rPr>
          <w:noProof/>
          <w:lang w:val="en-IE"/>
        </w:rPr>
        <w:fldChar w:fldCharType="begin"/>
      </w:r>
      <w:r w:rsidR="00D20391">
        <w:rPr>
          <w:noProof/>
          <w:lang w:val="en-IE"/>
        </w:rPr>
        <w:instrText xml:space="preserve"> REF _Ref146213427 \h </w:instrText>
      </w:r>
      <w:r w:rsidR="00D20391">
        <w:rPr>
          <w:noProof/>
          <w:lang w:val="en-IE"/>
        </w:rPr>
      </w:r>
      <w:r w:rsidR="00D20391">
        <w:rPr>
          <w:noProof/>
          <w:lang w:val="en-IE"/>
        </w:rPr>
        <w:fldChar w:fldCharType="separate"/>
      </w:r>
      <w:r w:rsidR="00170A3C">
        <w:rPr>
          <w:noProof/>
        </w:rPr>
        <w:t>Figure 37</w:t>
      </w:r>
      <w:r w:rsidR="00D20391">
        <w:rPr>
          <w:noProof/>
          <w:lang w:val="en-IE"/>
        </w:rPr>
        <w:fldChar w:fldCharType="end"/>
      </w:r>
      <w:r w:rsidR="000715B9">
        <w:rPr>
          <w:noProof/>
          <w:lang w:val="en-IE"/>
        </w:rPr>
        <w:t>)</w:t>
      </w:r>
      <w:r w:rsidR="00FD5808">
        <w:rPr>
          <w:noProof/>
          <w:lang w:val="en-IE"/>
        </w:rPr>
        <w:t xml:space="preserve">. The AMADEUS-METIS model </w:t>
      </w:r>
      <w:r w:rsidR="00F61CC6">
        <w:rPr>
          <w:noProof/>
          <w:lang w:val="en-IE"/>
        </w:rPr>
        <w:t>attains the largest CO</w:t>
      </w:r>
      <w:r w:rsidR="00F61CC6" w:rsidRPr="003F7AB4">
        <w:rPr>
          <w:noProof/>
          <w:lang w:val="en-IE"/>
        </w:rPr>
        <w:t>2</w:t>
      </w:r>
      <w:r w:rsidR="00F61CC6">
        <w:rPr>
          <w:noProof/>
          <w:lang w:val="en-IE"/>
        </w:rPr>
        <w:t xml:space="preserve"> emission reductions in 2050 and EU-TIMES </w:t>
      </w:r>
      <w:r w:rsidR="0063232F">
        <w:rPr>
          <w:noProof/>
          <w:lang w:val="en-IE"/>
        </w:rPr>
        <w:t>is</w:t>
      </w:r>
      <w:r w:rsidR="00FD5808">
        <w:rPr>
          <w:noProof/>
          <w:lang w:val="en-IE"/>
        </w:rPr>
        <w:t xml:space="preserve"> the least ambitious </w:t>
      </w:r>
      <w:r w:rsidR="00F61CC6">
        <w:rPr>
          <w:noProof/>
          <w:lang w:val="en-IE"/>
        </w:rPr>
        <w:t>model</w:t>
      </w:r>
      <w:r w:rsidR="00FD5808">
        <w:rPr>
          <w:noProof/>
          <w:lang w:val="en-IE"/>
        </w:rPr>
        <w:t xml:space="preserve">. In 2050, </w:t>
      </w:r>
      <w:r w:rsidR="00F61CC6">
        <w:rPr>
          <w:noProof/>
          <w:lang w:val="en-IE"/>
        </w:rPr>
        <w:t>three</w:t>
      </w:r>
      <w:r w:rsidR="00FD5808">
        <w:rPr>
          <w:noProof/>
          <w:lang w:val="en-IE"/>
        </w:rPr>
        <w:t xml:space="preserve"> models (</w:t>
      </w:r>
      <w:r w:rsidR="00803EC2">
        <w:rPr>
          <w:noProof/>
          <w:lang w:val="en-IE"/>
        </w:rPr>
        <w:t>i.e.,</w:t>
      </w:r>
      <w:r w:rsidR="00017717">
        <w:rPr>
          <w:noProof/>
          <w:lang w:val="en-IE"/>
        </w:rPr>
        <w:t xml:space="preserve"> </w:t>
      </w:r>
      <w:r w:rsidR="00F61CC6">
        <w:rPr>
          <w:noProof/>
          <w:lang w:val="en-IE"/>
        </w:rPr>
        <w:t>AMADEUS-METIS,</w:t>
      </w:r>
      <w:r w:rsidR="00017717">
        <w:rPr>
          <w:noProof/>
          <w:lang w:val="en-IE"/>
        </w:rPr>
        <w:t xml:space="preserve"> POLES</w:t>
      </w:r>
      <w:r w:rsidR="00FD5808">
        <w:rPr>
          <w:noProof/>
          <w:lang w:val="en-IE"/>
        </w:rPr>
        <w:t xml:space="preserve"> and POTEnCIA) attain negative energy-related CO</w:t>
      </w:r>
      <w:r w:rsidR="00FD5808" w:rsidRPr="003F7AB4">
        <w:rPr>
          <w:noProof/>
          <w:vertAlign w:val="subscript"/>
          <w:lang w:val="en-IE"/>
        </w:rPr>
        <w:t>2</w:t>
      </w:r>
      <w:r w:rsidR="00FD5808">
        <w:rPr>
          <w:noProof/>
          <w:lang w:val="en-IE"/>
        </w:rPr>
        <w:t xml:space="preserve"> emissions, while the other </w:t>
      </w:r>
      <w:r w:rsidR="00F61CC6">
        <w:rPr>
          <w:noProof/>
          <w:lang w:val="en-IE"/>
        </w:rPr>
        <w:t>two</w:t>
      </w:r>
      <w:r w:rsidR="00FD5808">
        <w:rPr>
          <w:noProof/>
          <w:lang w:val="en-IE"/>
        </w:rPr>
        <w:t xml:space="preserve"> models </w:t>
      </w:r>
      <w:r w:rsidR="00017717">
        <w:rPr>
          <w:noProof/>
          <w:lang w:val="en-IE"/>
        </w:rPr>
        <w:t>achieve</w:t>
      </w:r>
      <w:r w:rsidR="00FD5808">
        <w:rPr>
          <w:noProof/>
          <w:lang w:val="en-IE"/>
        </w:rPr>
        <w:t xml:space="preserve"> almost net-zero emissions. </w:t>
      </w:r>
    </w:p>
    <w:p w14:paraId="2901011F" w14:textId="6BAAE31E" w:rsidR="00A4567D" w:rsidRDefault="00A4567D" w:rsidP="00836D51">
      <w:pPr>
        <w:pStyle w:val="Caption"/>
        <w:jc w:val="left"/>
        <w:rPr>
          <w:noProof/>
        </w:rPr>
      </w:pPr>
      <w:bookmarkStart w:id="204" w:name="_Ref146213427"/>
      <w:bookmarkStart w:id="205" w:name="_Ref148009024"/>
      <w:bookmarkStart w:id="206" w:name="_Toc157679785"/>
      <w:r>
        <w:rPr>
          <w:noProof/>
        </w:rPr>
        <w:t xml:space="preserve">Figure </w:t>
      </w:r>
      <w:r>
        <w:rPr>
          <w:noProof/>
        </w:rPr>
        <w:fldChar w:fldCharType="begin"/>
      </w:r>
      <w:r>
        <w:rPr>
          <w:noProof/>
        </w:rPr>
        <w:instrText>SEQ Figure \* ARABIC</w:instrText>
      </w:r>
      <w:r>
        <w:rPr>
          <w:noProof/>
        </w:rPr>
        <w:fldChar w:fldCharType="separate"/>
      </w:r>
      <w:r w:rsidR="00170A3C">
        <w:rPr>
          <w:noProof/>
        </w:rPr>
        <w:t>37</w:t>
      </w:r>
      <w:r>
        <w:rPr>
          <w:noProof/>
        </w:rPr>
        <w:fldChar w:fldCharType="end"/>
      </w:r>
      <w:bookmarkEnd w:id="204"/>
      <w:r>
        <w:rPr>
          <w:noProof/>
        </w:rPr>
        <w:t xml:space="preserve">: </w:t>
      </w:r>
      <w:r w:rsidR="00836D51">
        <w:rPr>
          <w:noProof/>
        </w:rPr>
        <w:t>C</w:t>
      </w:r>
      <w:r w:rsidRPr="005E01A9">
        <w:rPr>
          <w:noProof/>
        </w:rPr>
        <w:t>omparison of domestic energy-related CO2 emissions, 2021-2050</w:t>
      </w:r>
      <w:bookmarkEnd w:id="205"/>
      <w:bookmarkEnd w:id="206"/>
    </w:p>
    <w:p w14:paraId="095CFDE4" w14:textId="05A5768B" w:rsidR="00834C55" w:rsidRDefault="00E81EBD" w:rsidP="005E45C3">
      <w:pPr>
        <w:keepNext/>
        <w:jc w:val="center"/>
        <w:rPr>
          <w:noProof/>
          <w:lang w:eastAsia="en-GB"/>
        </w:rPr>
      </w:pPr>
      <w:r>
        <w:rPr>
          <w:noProof/>
          <w:lang w:eastAsia="en-GB"/>
        </w:rPr>
        <w:drawing>
          <wp:inline distT="0" distB="0" distL="0" distR="0" wp14:anchorId="4D013610" wp14:editId="4283D569">
            <wp:extent cx="5389245" cy="2712720"/>
            <wp:effectExtent l="0" t="0" r="1905" b="0"/>
            <wp:docPr id="1333008522" name="Picture 1333008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389245" cy="2712720"/>
                    </a:xfrm>
                    <a:prstGeom prst="rect">
                      <a:avLst/>
                    </a:prstGeom>
                    <a:noFill/>
                  </pic:spPr>
                </pic:pic>
              </a:graphicData>
            </a:graphic>
          </wp:inline>
        </w:drawing>
      </w:r>
    </w:p>
    <w:p w14:paraId="1B7106B0" w14:textId="59C16F64" w:rsidR="00614266" w:rsidRPr="00614266" w:rsidRDefault="00614266" w:rsidP="00F219C8">
      <w:pPr>
        <w:pStyle w:val="CT-NOTE"/>
        <w:rPr>
          <w:i w:val="0"/>
          <w:noProof/>
          <w:lang w:eastAsia="en-GB"/>
        </w:rPr>
      </w:pPr>
      <w:r w:rsidRPr="00614266">
        <w:rPr>
          <w:noProof/>
        </w:rPr>
        <w:t xml:space="preserve">Note: the figures for the five energy models </w:t>
      </w:r>
      <w:r w:rsidRPr="00614266">
        <w:rPr>
          <w:i w:val="0"/>
          <w:noProof/>
          <w:lang w:eastAsia="en-GB"/>
        </w:rPr>
        <w:t>refer to the S2 scenario.</w:t>
      </w:r>
    </w:p>
    <w:p w14:paraId="4425BEEC" w14:textId="3B69B104" w:rsidR="00277A9D" w:rsidRDefault="007659B9" w:rsidP="00510994">
      <w:pPr>
        <w:pStyle w:val="CT-SOURCE"/>
        <w:keepNext w:val="0"/>
        <w:rPr>
          <w:noProof/>
          <w:lang w:val="pt-PT"/>
        </w:rPr>
      </w:pPr>
      <w:r>
        <w:rPr>
          <w:noProof/>
          <w:lang w:val="pt-PT"/>
        </w:rPr>
        <w:t>Sour</w:t>
      </w:r>
      <w:r w:rsidR="00277A9D" w:rsidRPr="007659B9">
        <w:rPr>
          <w:noProof/>
          <w:lang w:val="pt-PT"/>
        </w:rPr>
        <w:t>ce</w:t>
      </w:r>
      <w:r w:rsidR="00BD2B38" w:rsidRPr="007659B9">
        <w:rPr>
          <w:noProof/>
          <w:lang w:val="pt-PT"/>
        </w:rPr>
        <w:t>s</w:t>
      </w:r>
      <w:r w:rsidR="00277A9D" w:rsidRPr="007659B9">
        <w:rPr>
          <w:noProof/>
          <w:lang w:val="pt-PT"/>
        </w:rPr>
        <w:t>: AMADEUS-METIS, EU-</w:t>
      </w:r>
      <w:r w:rsidR="00277A9D" w:rsidRPr="00BD2B38">
        <w:rPr>
          <w:noProof/>
          <w:lang w:val="pt-PT"/>
        </w:rPr>
        <w:t>TIMES, POLES, POTEnCIA, PRIMES.</w:t>
      </w:r>
    </w:p>
    <w:p w14:paraId="49A41BB2" w14:textId="37C76551" w:rsidR="0029211C" w:rsidRDefault="0029211C" w:rsidP="00510994">
      <w:pPr>
        <w:pStyle w:val="CT-SOURCE"/>
        <w:keepNext w:val="0"/>
        <w:rPr>
          <w:noProof/>
          <w:lang w:val="pt-PT"/>
        </w:rPr>
      </w:pPr>
    </w:p>
    <w:p w14:paraId="3D040A64" w14:textId="484C34C7" w:rsidR="0029211C" w:rsidRPr="0029211C" w:rsidRDefault="0029211C" w:rsidP="0029211C">
      <w:pPr>
        <w:pStyle w:val="Heading3"/>
        <w:rPr>
          <w:noProof/>
          <w:lang w:val="en-IE"/>
        </w:rPr>
      </w:pPr>
      <w:bookmarkStart w:id="207" w:name="_Ref155262793"/>
      <w:bookmarkStart w:id="208" w:name="_Toc157692036"/>
      <w:r w:rsidRPr="0029211C">
        <w:rPr>
          <w:noProof/>
          <w:lang w:val="en-IE"/>
        </w:rPr>
        <w:t>Raw materials</w:t>
      </w:r>
      <w:r w:rsidR="000C064B">
        <w:rPr>
          <w:noProof/>
          <w:lang w:val="en-IE"/>
        </w:rPr>
        <w:t>’</w:t>
      </w:r>
      <w:r w:rsidRPr="0029211C">
        <w:rPr>
          <w:noProof/>
          <w:lang w:val="en-IE"/>
        </w:rPr>
        <w:t xml:space="preserve"> needs</w:t>
      </w:r>
      <w:bookmarkEnd w:id="207"/>
      <w:bookmarkEnd w:id="208"/>
    </w:p>
    <w:p w14:paraId="41DA6E06" w14:textId="096C3954" w:rsidR="00192AF7" w:rsidRDefault="0029211C" w:rsidP="0029211C">
      <w:pPr>
        <w:rPr>
          <w:noProof/>
        </w:rPr>
      </w:pPr>
      <w:r>
        <w:rPr>
          <w:rStyle w:val="normaltextrun"/>
          <w:noProof/>
          <w:color w:val="000000"/>
          <w:shd w:val="clear" w:color="auto" w:fill="FFFFFF"/>
        </w:rPr>
        <w:t xml:space="preserve">The manufacturing and deployment of net-zero technologies will increase the needs for Critical Raw Materials (CRMs). With the scenario S3, the deployment of five net-zero technologies (wind turbines, solar PV, batteries, electrolysers and heat pumps) in the decade 2031-2040 would imply the need of up to 500 000 tonnes of copper each year. </w:t>
      </w:r>
      <w:r w:rsidR="000C064B">
        <w:rPr>
          <w:rStyle w:val="normaltextrun"/>
          <w:noProof/>
          <w:color w:val="000000"/>
          <w:shd w:val="clear" w:color="auto" w:fill="FFFFFF"/>
        </w:rPr>
        <w:t xml:space="preserve">This compares with a </w:t>
      </w:r>
      <w:r w:rsidR="00192AF7">
        <w:rPr>
          <w:rStyle w:val="normaltextrun"/>
          <w:noProof/>
          <w:color w:val="000000"/>
          <w:shd w:val="clear" w:color="auto" w:fill="FFFFFF"/>
        </w:rPr>
        <w:t>global</w:t>
      </w:r>
      <w:r w:rsidR="000C064B">
        <w:rPr>
          <w:rStyle w:val="normaltextrun"/>
          <w:noProof/>
          <w:color w:val="000000"/>
          <w:shd w:val="clear" w:color="auto" w:fill="FFFFFF"/>
        </w:rPr>
        <w:t xml:space="preserve"> copper demand of 2</w:t>
      </w:r>
      <w:r w:rsidR="00192AF7">
        <w:rPr>
          <w:rStyle w:val="normaltextrun"/>
          <w:noProof/>
          <w:color w:val="000000"/>
          <w:shd w:val="clear" w:color="auto" w:fill="FFFFFF"/>
        </w:rPr>
        <w:t>6</w:t>
      </w:r>
      <w:r w:rsidR="000C064B">
        <w:rPr>
          <w:rStyle w:val="normaltextrun"/>
          <w:noProof/>
          <w:color w:val="000000"/>
          <w:shd w:val="clear" w:color="auto" w:fill="FFFFFF"/>
        </w:rPr>
        <w:t xml:space="preserve"> million tonnes in 202</w:t>
      </w:r>
      <w:r w:rsidR="00192AF7">
        <w:rPr>
          <w:rStyle w:val="normaltextrun"/>
          <w:noProof/>
          <w:color w:val="000000"/>
          <w:shd w:val="clear" w:color="auto" w:fill="FFFFFF"/>
        </w:rPr>
        <w:t>2</w:t>
      </w:r>
      <w:r w:rsidR="000C064B">
        <w:rPr>
          <w:rStyle w:val="normaltextrun"/>
          <w:noProof/>
          <w:color w:val="000000"/>
          <w:shd w:val="clear" w:color="auto" w:fill="FFFFFF"/>
        </w:rPr>
        <w:t xml:space="preserve"> according to the IEA, including </w:t>
      </w:r>
      <w:r w:rsidR="00192AF7">
        <w:rPr>
          <w:noProof/>
        </w:rPr>
        <w:t>370 000 tonnes for electric vehicles and 1.2 million tonnes for wind and solar</w:t>
      </w:r>
      <w:r w:rsidR="000C064B">
        <w:rPr>
          <w:rStyle w:val="normaltextrun"/>
          <w:noProof/>
          <w:color w:val="000000"/>
          <w:shd w:val="clear" w:color="auto" w:fill="FFFFFF"/>
        </w:rPr>
        <w:t xml:space="preserve">. </w:t>
      </w:r>
      <w:r w:rsidR="00192AF7">
        <w:rPr>
          <w:noProof/>
        </w:rPr>
        <w:t>In 2030, global demand for copper could achieve 261 million tonnes in the Net Zero Emissions by 2050 scenario of the IEA</w:t>
      </w:r>
      <w:r w:rsidR="00D40061" w:rsidRPr="00D40061">
        <w:rPr>
          <w:noProof/>
        </w:rPr>
        <w:t> (</w:t>
      </w:r>
      <w:r w:rsidR="00D40061">
        <w:rPr>
          <w:rStyle w:val="FootnoteReference"/>
          <w:noProof/>
        </w:rPr>
        <w:footnoteReference w:id="61"/>
      </w:r>
      <w:r w:rsidR="00D40061">
        <w:rPr>
          <w:noProof/>
        </w:rPr>
        <w:t>)</w:t>
      </w:r>
      <w:r w:rsidR="00192AF7">
        <w:rPr>
          <w:noProof/>
        </w:rPr>
        <w:t xml:space="preserve">. </w:t>
      </w:r>
    </w:p>
    <w:p w14:paraId="59FC2FB4" w14:textId="2D4FD001" w:rsidR="001550DA" w:rsidRDefault="0029211C" w:rsidP="00192AF7">
      <w:pPr>
        <w:rPr>
          <w:noProof/>
        </w:rPr>
      </w:pPr>
      <w:r>
        <w:rPr>
          <w:rStyle w:val="normaltextrun"/>
          <w:noProof/>
          <w:color w:val="000000"/>
          <w:shd w:val="clear" w:color="auto" w:fill="FFFFFF"/>
        </w:rPr>
        <w:t>Wind power on its own would create needs of up to 50</w:t>
      </w:r>
      <w:r w:rsidR="00772BC6">
        <w:rPr>
          <w:rStyle w:val="normaltextrun"/>
          <w:noProof/>
          <w:color w:val="000000"/>
          <w:shd w:val="clear" w:color="auto" w:fill="FFFFFF"/>
        </w:rPr>
        <w:t> </w:t>
      </w:r>
      <w:r>
        <w:rPr>
          <w:rStyle w:val="normaltextrun"/>
          <w:noProof/>
          <w:color w:val="000000"/>
          <w:shd w:val="clear" w:color="auto" w:fill="FFFFFF"/>
        </w:rPr>
        <w:t>000 tonnes of manganese and 125</w:t>
      </w:r>
      <w:r w:rsidR="00772BC6">
        <w:rPr>
          <w:rStyle w:val="normaltextrun"/>
          <w:noProof/>
          <w:color w:val="000000"/>
          <w:shd w:val="clear" w:color="auto" w:fill="FFFFFF"/>
        </w:rPr>
        <w:t> </w:t>
      </w:r>
      <w:r>
        <w:rPr>
          <w:rStyle w:val="normaltextrun"/>
          <w:noProof/>
          <w:color w:val="000000"/>
          <w:shd w:val="clear" w:color="auto" w:fill="FFFFFF"/>
        </w:rPr>
        <w:t>000 tonnes of copper per year. Batteries would create needs of up to 900</w:t>
      </w:r>
      <w:r w:rsidR="00772BC6">
        <w:rPr>
          <w:rStyle w:val="normaltextrun"/>
          <w:noProof/>
          <w:color w:val="000000"/>
          <w:shd w:val="clear" w:color="auto" w:fill="FFFFFF"/>
        </w:rPr>
        <w:t> </w:t>
      </w:r>
      <w:r>
        <w:rPr>
          <w:rStyle w:val="normaltextrun"/>
          <w:noProof/>
          <w:color w:val="000000"/>
          <w:shd w:val="clear" w:color="auto" w:fill="FFFFFF"/>
        </w:rPr>
        <w:t>000 tonnes of aluminium</w:t>
      </w:r>
      <w:r w:rsidR="00B500D0">
        <w:rPr>
          <w:rStyle w:val="normaltextrun"/>
          <w:noProof/>
          <w:color w:val="000000"/>
          <w:shd w:val="clear" w:color="auto" w:fill="FFFFFF"/>
        </w:rPr>
        <w:t>,</w:t>
      </w:r>
      <w:r w:rsidR="000C064B">
        <w:rPr>
          <w:rStyle w:val="normaltextrun"/>
          <w:noProof/>
          <w:color w:val="000000"/>
          <w:shd w:val="clear" w:color="auto" w:fill="FFFFFF"/>
        </w:rPr>
        <w:t xml:space="preserve"> </w:t>
      </w:r>
      <w:r w:rsidR="00B500D0">
        <w:rPr>
          <w:rStyle w:val="normaltextrun"/>
          <w:noProof/>
          <w:color w:val="000000"/>
          <w:shd w:val="clear" w:color="auto" w:fill="FFFFFF"/>
        </w:rPr>
        <w:t>8</w:t>
      </w:r>
      <w:r w:rsidR="000C064B">
        <w:rPr>
          <w:rStyle w:val="normaltextrun"/>
          <w:noProof/>
          <w:color w:val="000000"/>
          <w:shd w:val="clear" w:color="auto" w:fill="FFFFFF"/>
        </w:rPr>
        <w:t>0</w:t>
      </w:r>
      <w:r w:rsidR="00772BC6">
        <w:rPr>
          <w:rStyle w:val="normaltextrun"/>
          <w:noProof/>
          <w:color w:val="000000"/>
          <w:shd w:val="clear" w:color="auto" w:fill="FFFFFF"/>
        </w:rPr>
        <w:t> </w:t>
      </w:r>
      <w:r w:rsidR="000C064B">
        <w:rPr>
          <w:rStyle w:val="normaltextrun"/>
          <w:noProof/>
          <w:color w:val="000000"/>
          <w:shd w:val="clear" w:color="auto" w:fill="FFFFFF"/>
        </w:rPr>
        <w:t>000 tonnes of lithium</w:t>
      </w:r>
      <w:r w:rsidR="00B500D0">
        <w:rPr>
          <w:rStyle w:val="normaltextrun"/>
          <w:noProof/>
          <w:color w:val="000000"/>
          <w:shd w:val="clear" w:color="auto" w:fill="FFFFFF"/>
        </w:rPr>
        <w:t xml:space="preserve"> and 60</w:t>
      </w:r>
      <w:r w:rsidR="00772BC6">
        <w:rPr>
          <w:rStyle w:val="normaltextrun"/>
          <w:noProof/>
          <w:color w:val="000000"/>
          <w:shd w:val="clear" w:color="auto" w:fill="FFFFFF"/>
        </w:rPr>
        <w:t> </w:t>
      </w:r>
      <w:r w:rsidR="00B500D0">
        <w:rPr>
          <w:rStyle w:val="normaltextrun"/>
          <w:noProof/>
          <w:color w:val="000000"/>
          <w:shd w:val="clear" w:color="auto" w:fill="FFFFFF"/>
        </w:rPr>
        <w:t>000 tonnes of cobalt</w:t>
      </w:r>
      <w:r w:rsidR="000C064B">
        <w:rPr>
          <w:rStyle w:val="normaltextrun"/>
          <w:noProof/>
          <w:color w:val="000000"/>
          <w:shd w:val="clear" w:color="auto" w:fill="FFFFFF"/>
        </w:rPr>
        <w:t xml:space="preserve"> per year. </w:t>
      </w:r>
      <w:r>
        <w:rPr>
          <w:rStyle w:val="normaltextrun"/>
          <w:noProof/>
          <w:color w:val="000000"/>
          <w:shd w:val="clear" w:color="auto" w:fill="FFFFFF"/>
        </w:rPr>
        <w:t xml:space="preserve">Solar PV would also create needs of gallium (50 tonnes per year) and germanium (3 000 tonnes per year). </w:t>
      </w:r>
      <w:r w:rsidR="000C064B">
        <w:rPr>
          <w:rStyle w:val="normaltextrun"/>
          <w:noProof/>
          <w:color w:val="000000"/>
          <w:shd w:val="clear" w:color="auto" w:fill="FFFFFF"/>
        </w:rPr>
        <w:t>Raw materials’</w:t>
      </w:r>
      <w:r>
        <w:rPr>
          <w:rStyle w:val="normaltextrun"/>
          <w:noProof/>
          <w:color w:val="000000"/>
          <w:shd w:val="clear" w:color="auto" w:fill="FFFFFF"/>
        </w:rPr>
        <w:t xml:space="preserve"> needs would be lower in scenarios S1 and S2</w:t>
      </w:r>
      <w:r w:rsidR="000C064B">
        <w:rPr>
          <w:rStyle w:val="normaltextrun"/>
          <w:noProof/>
          <w:color w:val="000000"/>
          <w:shd w:val="clear" w:color="auto" w:fill="FFFFFF"/>
        </w:rPr>
        <w:t xml:space="preserve">, as </w:t>
      </w:r>
      <w:r>
        <w:rPr>
          <w:rStyle w:val="normaltextrun"/>
          <w:noProof/>
          <w:color w:val="000000"/>
          <w:shd w:val="clear" w:color="auto" w:fill="FFFFFF"/>
        </w:rPr>
        <w:t>in 2040, net installed renewable power capacity is lower by 7% in S2 and by 16% in S1 compared with S3. As regards batteries</w:t>
      </w:r>
      <w:r w:rsidR="000C064B">
        <w:rPr>
          <w:rStyle w:val="normaltextrun"/>
          <w:noProof/>
          <w:color w:val="000000"/>
          <w:shd w:val="clear" w:color="auto" w:fill="FFFFFF"/>
        </w:rPr>
        <w:t xml:space="preserve"> though</w:t>
      </w:r>
      <w:r>
        <w:rPr>
          <w:rStyle w:val="normaltextrun"/>
          <w:noProof/>
          <w:color w:val="000000"/>
          <w:shd w:val="clear" w:color="auto" w:fill="FFFFFF"/>
        </w:rPr>
        <w:t>, deployment is relatively comparable in S1, S2 and S3, as battery capacity in 2040 is lower by only 1% in S2, and by 2.6% in S1 compared with S3</w:t>
      </w:r>
      <w:r w:rsidRPr="0029211C">
        <w:rPr>
          <w:noProof/>
          <w:lang w:eastAsia="en-US"/>
        </w:rPr>
        <w:t>. </w:t>
      </w:r>
      <w:r w:rsidR="00192AF7">
        <w:rPr>
          <w:rStyle w:val="normaltextrun"/>
          <w:noProof/>
          <w:color w:val="000000"/>
          <w:shd w:val="clear" w:color="auto" w:fill="FFFFFF"/>
        </w:rPr>
        <w:t xml:space="preserve">As a comparison, </w:t>
      </w:r>
      <w:r w:rsidR="00192AF7">
        <w:rPr>
          <w:noProof/>
        </w:rPr>
        <w:t>global lithium demand in 2022 was 130 000 tonnes, including 69 000 tonnes for electric vehicles according to the IEA. In 2030, global demand for lithium could be as high as 721 000 tonnes in the Net Zero Emissions by 2050 scenario of the IEA</w:t>
      </w:r>
      <w:r w:rsidR="001544E6">
        <w:rPr>
          <w:noProof/>
        </w:rPr>
        <w:t xml:space="preserve"> </w:t>
      </w:r>
      <w:r w:rsidR="001544E6" w:rsidRPr="001544E6">
        <w:rPr>
          <w:noProof/>
        </w:rPr>
        <w:t>(</w:t>
      </w:r>
      <w:r w:rsidR="001544E6">
        <w:rPr>
          <w:rStyle w:val="FootnoteReference"/>
          <w:noProof/>
        </w:rPr>
        <w:footnoteReference w:id="62"/>
      </w:r>
      <w:r w:rsidR="001544E6">
        <w:rPr>
          <w:noProof/>
        </w:rPr>
        <w:t>)</w:t>
      </w:r>
      <w:r w:rsidR="00192AF7">
        <w:rPr>
          <w:noProof/>
        </w:rPr>
        <w:t>.</w:t>
      </w:r>
      <w:bookmarkStart w:id="209" w:name="_Ref143330448"/>
      <w:bookmarkStart w:id="210" w:name="_Toc148605591"/>
    </w:p>
    <w:p w14:paraId="43628C09" w14:textId="09F01256" w:rsidR="00350C25" w:rsidRPr="006642F8" w:rsidRDefault="00350C25" w:rsidP="006642F8">
      <w:pPr>
        <w:pStyle w:val="Heading2"/>
        <w:rPr>
          <w:rStyle w:val="Heading2Char"/>
          <w:b/>
          <w:noProof/>
        </w:rPr>
      </w:pPr>
      <w:bookmarkStart w:id="211" w:name="_Ref155262795"/>
      <w:bookmarkStart w:id="212" w:name="_Toc157692037"/>
      <w:r w:rsidRPr="006642F8">
        <w:rPr>
          <w:rStyle w:val="Heading2Char"/>
          <w:b/>
          <w:noProof/>
        </w:rPr>
        <w:t>Buildings</w:t>
      </w:r>
      <w:bookmarkEnd w:id="209"/>
      <w:bookmarkEnd w:id="210"/>
      <w:bookmarkEnd w:id="211"/>
      <w:bookmarkEnd w:id="212"/>
      <w:r w:rsidR="00E20AB5" w:rsidRPr="006642F8">
        <w:rPr>
          <w:rStyle w:val="Heading2Char"/>
          <w:noProof/>
        </w:rPr>
        <w:t> </w:t>
      </w:r>
    </w:p>
    <w:p w14:paraId="36A305F8" w14:textId="0F4DCD66" w:rsidR="00350C25" w:rsidRPr="008175F0" w:rsidRDefault="00350C25" w:rsidP="0005460E">
      <w:pPr>
        <w:pStyle w:val="Text2"/>
        <w:rPr>
          <w:noProof/>
          <w:lang w:val="en-IE"/>
        </w:rPr>
      </w:pPr>
      <w:r w:rsidRPr="11675022">
        <w:rPr>
          <w:noProof/>
          <w:lang w:val="en-IE"/>
        </w:rPr>
        <w:t>The building sector</w:t>
      </w:r>
      <w:r w:rsidR="0005460E">
        <w:rPr>
          <w:noProof/>
          <w:lang w:val="en-IE"/>
        </w:rPr>
        <w:t> </w:t>
      </w:r>
      <w:r w:rsidR="00A438D4" w:rsidRPr="00881407">
        <w:rPr>
          <w:noProof/>
        </w:rPr>
        <w:t>(</w:t>
      </w:r>
      <w:r w:rsidR="00A438D4" w:rsidRPr="00881407">
        <w:rPr>
          <w:noProof/>
          <w:vertAlign w:val="superscript"/>
        </w:rPr>
        <w:footnoteReference w:id="63"/>
      </w:r>
      <w:r w:rsidR="00A438D4" w:rsidRPr="00881407">
        <w:rPr>
          <w:noProof/>
        </w:rPr>
        <w:t>)</w:t>
      </w:r>
      <w:r w:rsidRPr="11675022">
        <w:rPr>
          <w:noProof/>
          <w:lang w:val="en-IE"/>
        </w:rPr>
        <w:t xml:space="preserve"> (</w:t>
      </w:r>
      <w:r w:rsidR="003F7AB4">
        <w:rPr>
          <w:noProof/>
          <w:lang w:val="en-IE"/>
        </w:rPr>
        <w:t>including</w:t>
      </w:r>
      <w:r w:rsidRPr="11675022">
        <w:rPr>
          <w:noProof/>
          <w:lang w:val="en-IE"/>
        </w:rPr>
        <w:t xml:space="preserve"> the residential and services sector</w:t>
      </w:r>
      <w:r>
        <w:rPr>
          <w:noProof/>
          <w:lang w:val="en-IE"/>
        </w:rPr>
        <w:t>s</w:t>
      </w:r>
      <w:r w:rsidRPr="11675022">
        <w:rPr>
          <w:noProof/>
          <w:lang w:val="en-IE"/>
        </w:rPr>
        <w:t>) accounted for 42% of final energy consumption in the EU in 2021</w:t>
      </w:r>
      <w:r w:rsidRPr="006B34E7">
        <w:rPr>
          <w:rFonts w:cs="Times New Roman"/>
          <w:noProof/>
          <w:lang w:val="en-IE"/>
        </w:rPr>
        <w:t> (</w:t>
      </w:r>
      <w:r>
        <w:rPr>
          <w:rStyle w:val="FootnoteReference"/>
          <w:noProof/>
          <w:lang w:val="en-IE"/>
        </w:rPr>
        <w:footnoteReference w:id="64"/>
      </w:r>
      <w:r>
        <w:rPr>
          <w:rFonts w:cs="Times New Roman"/>
          <w:noProof/>
          <w:lang w:val="en-IE"/>
        </w:rPr>
        <w:t>)</w:t>
      </w:r>
      <w:r w:rsidRPr="11675022">
        <w:rPr>
          <w:noProof/>
          <w:lang w:val="en-IE"/>
        </w:rPr>
        <w:t>.</w:t>
      </w:r>
      <w:r>
        <w:rPr>
          <w:noProof/>
          <w:lang w:val="en-IE"/>
        </w:rPr>
        <w:t xml:space="preserve"> </w:t>
      </w:r>
      <w:r w:rsidRPr="3E080532">
        <w:rPr>
          <w:noProof/>
          <w:lang w:val="en-IE"/>
        </w:rPr>
        <w:t xml:space="preserve">The projections discussed below show that </w:t>
      </w:r>
      <w:r w:rsidR="003126E9">
        <w:rPr>
          <w:noProof/>
          <w:lang w:val="en-IE"/>
        </w:rPr>
        <w:t xml:space="preserve">in this decade </w:t>
      </w:r>
      <w:r w:rsidRPr="3E080532">
        <w:rPr>
          <w:noProof/>
          <w:lang w:val="en-IE"/>
        </w:rPr>
        <w:t xml:space="preserve">energy efficiency </w:t>
      </w:r>
      <w:r>
        <w:rPr>
          <w:noProof/>
          <w:lang w:val="en-IE"/>
        </w:rPr>
        <w:t xml:space="preserve">measures </w:t>
      </w:r>
      <w:r w:rsidRPr="3E080532">
        <w:rPr>
          <w:noProof/>
          <w:lang w:val="en-IE"/>
        </w:rPr>
        <w:t xml:space="preserve">– </w:t>
      </w:r>
      <w:r w:rsidR="00803EC2" w:rsidRPr="3E080532">
        <w:rPr>
          <w:noProof/>
          <w:lang w:val="en-IE"/>
        </w:rPr>
        <w:t>i.e</w:t>
      </w:r>
      <w:r w:rsidR="00803EC2" w:rsidRPr="4854325F">
        <w:rPr>
          <w:noProof/>
          <w:lang w:val="en-IE"/>
        </w:rPr>
        <w:t>.,</w:t>
      </w:r>
      <w:r w:rsidRPr="3E080532">
        <w:rPr>
          <w:noProof/>
          <w:lang w:val="en-IE"/>
        </w:rPr>
        <w:t xml:space="preserve"> renovating the building envelope and adopting minimum energy performance standards </w:t>
      </w:r>
      <w:r>
        <w:rPr>
          <w:noProof/>
          <w:lang w:val="en-IE"/>
        </w:rPr>
        <w:t>–</w:t>
      </w:r>
      <w:r w:rsidRPr="3E080532">
        <w:rPr>
          <w:noProof/>
          <w:lang w:val="en-IE"/>
        </w:rPr>
        <w:t xml:space="preserve"> is the main lever for buildings to contribute to the Fit for 55 target</w:t>
      </w:r>
      <w:r>
        <w:rPr>
          <w:noProof/>
          <w:lang w:val="en-IE"/>
        </w:rPr>
        <w:t>s</w:t>
      </w:r>
      <w:r w:rsidR="003126E9">
        <w:rPr>
          <w:noProof/>
          <w:lang w:val="en-IE"/>
        </w:rPr>
        <w:t xml:space="preserve"> in 2030</w:t>
      </w:r>
      <w:r w:rsidRPr="3E080532">
        <w:rPr>
          <w:noProof/>
          <w:lang w:val="en-IE"/>
        </w:rPr>
        <w:t xml:space="preserve">. By reducing the useful energy needs, </w:t>
      </w:r>
      <w:r>
        <w:rPr>
          <w:noProof/>
          <w:lang w:val="en-IE"/>
        </w:rPr>
        <w:t>energy renovation</w:t>
      </w:r>
      <w:r w:rsidRPr="3E080532">
        <w:rPr>
          <w:noProof/>
          <w:lang w:val="en-IE"/>
        </w:rPr>
        <w:t xml:space="preserve"> enables to diminish the size of the heating and cooling equipment, thus reducing related capital and running costs and shielding vulnerable consumers from the impact of increasing energy prices. F</w:t>
      </w:r>
      <w:r w:rsidRPr="4B0A9C17">
        <w:rPr>
          <w:noProof/>
          <w:lang w:val="en-IE"/>
        </w:rPr>
        <w:t xml:space="preserve">uel switching from fossils to </w:t>
      </w:r>
      <w:r w:rsidR="007137A7">
        <w:rPr>
          <w:noProof/>
          <w:lang w:val="en-IE"/>
        </w:rPr>
        <w:t xml:space="preserve">renewable </w:t>
      </w:r>
      <w:r w:rsidRPr="4B0A9C17">
        <w:rPr>
          <w:noProof/>
          <w:lang w:val="en-IE"/>
        </w:rPr>
        <w:t xml:space="preserve">electricity for space heating is </w:t>
      </w:r>
      <w:r w:rsidR="007137A7">
        <w:rPr>
          <w:noProof/>
          <w:lang w:val="en-IE"/>
        </w:rPr>
        <w:t xml:space="preserve">a key decarbonisation lever </w:t>
      </w:r>
      <w:r w:rsidR="000917F2">
        <w:rPr>
          <w:noProof/>
          <w:lang w:val="en-IE"/>
        </w:rPr>
        <w:t>throughout</w:t>
      </w:r>
      <w:r w:rsidR="007137A7">
        <w:rPr>
          <w:noProof/>
          <w:lang w:val="en-IE"/>
        </w:rPr>
        <w:t xml:space="preserve"> the </w:t>
      </w:r>
      <w:r w:rsidR="000917F2">
        <w:rPr>
          <w:noProof/>
          <w:lang w:val="en-IE"/>
        </w:rPr>
        <w:t xml:space="preserve">time horizon and is </w:t>
      </w:r>
      <w:r w:rsidRPr="4B0A9C17">
        <w:rPr>
          <w:noProof/>
          <w:lang w:val="en-IE"/>
        </w:rPr>
        <w:t>also essential to contribute to security of supply. In order to achieve climate neutrality by 2050</w:t>
      </w:r>
      <w:r w:rsidR="000917F2">
        <w:rPr>
          <w:noProof/>
          <w:lang w:val="en-IE"/>
        </w:rPr>
        <w:t xml:space="preserve"> and to achieve significant emission reductions already in 2040</w:t>
      </w:r>
      <w:r w:rsidRPr="4B0A9C17">
        <w:rPr>
          <w:noProof/>
          <w:lang w:val="en-IE"/>
        </w:rPr>
        <w:t xml:space="preserve">, electrification </w:t>
      </w:r>
      <w:r w:rsidR="000917F2">
        <w:rPr>
          <w:noProof/>
          <w:lang w:val="en-IE"/>
        </w:rPr>
        <w:t xml:space="preserve">in buildings </w:t>
      </w:r>
      <w:r w:rsidRPr="4B0A9C17">
        <w:rPr>
          <w:noProof/>
          <w:lang w:val="en-IE"/>
        </w:rPr>
        <w:t>needs to be intensified and – to a lower extent - accompanied by fuel switch to low</w:t>
      </w:r>
      <w:r>
        <w:rPr>
          <w:noProof/>
          <w:lang w:val="en-IE"/>
        </w:rPr>
        <w:t>-</w:t>
      </w:r>
      <w:r w:rsidRPr="4B0A9C17">
        <w:rPr>
          <w:noProof/>
          <w:lang w:val="en-IE"/>
        </w:rPr>
        <w:t xml:space="preserve">carbon gases. Besides, the push for high standard renovation must be kept beyond 2030 at higher rates than </w:t>
      </w:r>
      <w:r w:rsidRPr="008175F0">
        <w:rPr>
          <w:noProof/>
          <w:lang w:val="en-IE"/>
        </w:rPr>
        <w:t>historically.</w:t>
      </w:r>
    </w:p>
    <w:p w14:paraId="2728C6A0" w14:textId="77777777" w:rsidR="00350C25" w:rsidRPr="00630343" w:rsidRDefault="00350C25" w:rsidP="00350C25">
      <w:pPr>
        <w:pStyle w:val="Heading3"/>
        <w:rPr>
          <w:noProof/>
        </w:rPr>
      </w:pPr>
      <w:bookmarkStart w:id="213" w:name="_Ref143334051"/>
      <w:bookmarkStart w:id="214" w:name="_Toc148605592"/>
      <w:bookmarkStart w:id="215" w:name="_Toc157692038"/>
      <w:r w:rsidRPr="00630343">
        <w:rPr>
          <w:noProof/>
        </w:rPr>
        <w:t>Buildings activity</w:t>
      </w:r>
      <w:bookmarkEnd w:id="213"/>
      <w:bookmarkEnd w:id="214"/>
      <w:bookmarkEnd w:id="215"/>
    </w:p>
    <w:p w14:paraId="62589F32" w14:textId="5D7BEC7B" w:rsidR="00350C25" w:rsidRDefault="00350C25" w:rsidP="00350C25">
      <w:pPr>
        <w:pStyle w:val="Text2"/>
        <w:rPr>
          <w:noProof/>
          <w:lang w:val="en-IE"/>
        </w:rPr>
      </w:pPr>
      <w:r w:rsidRPr="2DC284B4">
        <w:rPr>
          <w:noProof/>
          <w:lang w:val="en-IE"/>
        </w:rPr>
        <w:t xml:space="preserve">In the residential sector, the total </w:t>
      </w:r>
      <w:r>
        <w:rPr>
          <w:noProof/>
          <w:lang w:val="en-IE"/>
        </w:rPr>
        <w:t>floor area</w:t>
      </w:r>
      <w:r w:rsidRPr="2DC284B4">
        <w:rPr>
          <w:noProof/>
          <w:lang w:val="en-IE"/>
        </w:rPr>
        <w:t xml:space="preserve"> of households is projected to grow by 21% and 26% respectively in 2040 and 2050 with respect to 2015. </w:t>
      </w:r>
      <w:r w:rsidRPr="05FFAF62">
        <w:rPr>
          <w:noProof/>
          <w:lang w:val="en-IE"/>
        </w:rPr>
        <w:t xml:space="preserve">Although the </w:t>
      </w:r>
      <w:r w:rsidRPr="26D1DA50">
        <w:rPr>
          <w:noProof/>
          <w:lang w:val="en-IE"/>
        </w:rPr>
        <w:t>European</w:t>
      </w:r>
      <w:r w:rsidRPr="11675022">
        <w:rPr>
          <w:noProof/>
          <w:lang w:val="en-IE"/>
        </w:rPr>
        <w:t xml:space="preserve"> population is projected to remain quite stable in the first half of the century</w:t>
      </w:r>
      <w:r w:rsidRPr="4FB63965">
        <w:rPr>
          <w:noProof/>
          <w:lang w:val="en-IE"/>
        </w:rPr>
        <w:t xml:space="preserve"> (</w:t>
      </w:r>
      <w:r w:rsidR="00405300">
        <w:rPr>
          <w:noProof/>
          <w:lang w:val="en-IE"/>
        </w:rPr>
        <w:t>less than</w:t>
      </w:r>
      <w:r w:rsidR="00C84F2E">
        <w:rPr>
          <w:noProof/>
          <w:lang w:val="en-IE"/>
        </w:rPr>
        <w:t xml:space="preserve"> </w:t>
      </w:r>
      <w:r w:rsidRPr="11675022">
        <w:rPr>
          <w:noProof/>
          <w:lang w:val="en-IE"/>
        </w:rPr>
        <w:t>1% reduction in 2050</w:t>
      </w:r>
      <w:r w:rsidR="00C84F2E">
        <w:rPr>
          <w:noProof/>
          <w:lang w:val="en-IE"/>
        </w:rPr>
        <w:t xml:space="preserve"> compared to 2015</w:t>
      </w:r>
      <w:r w:rsidRPr="4FB63965">
        <w:rPr>
          <w:noProof/>
          <w:lang w:val="en-IE"/>
        </w:rPr>
        <w:t xml:space="preserve">), </w:t>
      </w:r>
      <w:r w:rsidRPr="202883C0">
        <w:rPr>
          <w:noProof/>
          <w:lang w:val="en-IE"/>
        </w:rPr>
        <w:t xml:space="preserve">the total </w:t>
      </w:r>
      <w:r>
        <w:rPr>
          <w:noProof/>
          <w:lang w:val="en-IE"/>
        </w:rPr>
        <w:t>floor area</w:t>
      </w:r>
      <w:r w:rsidRPr="202883C0">
        <w:rPr>
          <w:noProof/>
          <w:lang w:val="en-IE"/>
        </w:rPr>
        <w:t xml:space="preserve"> of households </w:t>
      </w:r>
      <w:r>
        <w:rPr>
          <w:noProof/>
          <w:lang w:val="en-IE"/>
        </w:rPr>
        <w:t>grows due to</w:t>
      </w:r>
      <w:r w:rsidRPr="202883C0">
        <w:rPr>
          <w:noProof/>
          <w:lang w:val="en-IE"/>
        </w:rPr>
        <w:t xml:space="preserve"> two concurring dynamics</w:t>
      </w:r>
      <w:r>
        <w:rPr>
          <w:noProof/>
          <w:lang w:val="en-IE"/>
        </w:rPr>
        <w:t>:</w:t>
      </w:r>
    </w:p>
    <w:p w14:paraId="7CE02E68" w14:textId="77777777" w:rsidR="00350C25" w:rsidRDefault="00350C25" w:rsidP="00C61267">
      <w:pPr>
        <w:pStyle w:val="Briefinglist1"/>
        <w:numPr>
          <w:ilvl w:val="0"/>
          <w:numId w:val="21"/>
        </w:numPr>
        <w:rPr>
          <w:noProof/>
          <w:lang w:val="en-IE"/>
        </w:rPr>
      </w:pPr>
      <w:r>
        <w:rPr>
          <w:noProof/>
          <w:lang w:val="en-IE"/>
        </w:rPr>
        <w:t>T</w:t>
      </w:r>
      <w:r w:rsidRPr="49CAF172">
        <w:rPr>
          <w:noProof/>
          <w:lang w:val="en-IE"/>
        </w:rPr>
        <w:t>he average number of inhabitants per household is projected to reduce over time</w:t>
      </w:r>
      <w:r w:rsidRPr="6B51116D">
        <w:rPr>
          <w:noProof/>
          <w:lang w:val="en-IE"/>
        </w:rPr>
        <w:t xml:space="preserve">, </w:t>
      </w:r>
      <w:r w:rsidRPr="07215A1A">
        <w:rPr>
          <w:noProof/>
          <w:lang w:val="en-IE"/>
        </w:rPr>
        <w:t xml:space="preserve">which </w:t>
      </w:r>
      <w:r>
        <w:rPr>
          <w:noProof/>
          <w:lang w:val="en-IE"/>
        </w:rPr>
        <w:t>tends to increase</w:t>
      </w:r>
      <w:r w:rsidRPr="07215A1A">
        <w:rPr>
          <w:noProof/>
          <w:lang w:val="en-IE"/>
        </w:rPr>
        <w:t xml:space="preserve"> the number of dwellings.</w:t>
      </w:r>
      <w:r w:rsidRPr="4353F539">
        <w:rPr>
          <w:noProof/>
          <w:lang w:val="en-IE"/>
        </w:rPr>
        <w:t xml:space="preserve"> </w:t>
      </w:r>
    </w:p>
    <w:p w14:paraId="3F61458A" w14:textId="27473477" w:rsidR="00350C25" w:rsidRDefault="00350C25" w:rsidP="00C61267">
      <w:pPr>
        <w:pStyle w:val="Briefinglist1"/>
        <w:numPr>
          <w:ilvl w:val="0"/>
          <w:numId w:val="21"/>
        </w:numPr>
        <w:rPr>
          <w:noProof/>
          <w:lang w:val="en-IE"/>
        </w:rPr>
      </w:pPr>
      <w:r>
        <w:rPr>
          <w:noProof/>
          <w:lang w:val="en-IE"/>
        </w:rPr>
        <w:t>T</w:t>
      </w:r>
      <w:r w:rsidRPr="1F32FA65">
        <w:rPr>
          <w:noProof/>
          <w:lang w:val="en-IE"/>
        </w:rPr>
        <w:t xml:space="preserve">he average size of the houses is projected to grow, </w:t>
      </w:r>
      <w:r>
        <w:rPr>
          <w:noProof/>
          <w:lang w:val="en-IE"/>
        </w:rPr>
        <w:t>as</w:t>
      </w:r>
      <w:r w:rsidRPr="1F32FA65">
        <w:rPr>
          <w:noProof/>
          <w:lang w:val="en-IE"/>
        </w:rPr>
        <w:t xml:space="preserve"> new houses </w:t>
      </w:r>
      <w:r>
        <w:rPr>
          <w:noProof/>
          <w:lang w:val="en-IE"/>
        </w:rPr>
        <w:t>have</w:t>
      </w:r>
      <w:r w:rsidRPr="1F32FA65">
        <w:rPr>
          <w:noProof/>
          <w:lang w:val="en-IE"/>
        </w:rPr>
        <w:t xml:space="preserve"> significantly larger </w:t>
      </w:r>
      <w:r>
        <w:rPr>
          <w:noProof/>
          <w:lang w:val="en-IE"/>
        </w:rPr>
        <w:t>surfaces than the</w:t>
      </w:r>
      <w:r w:rsidRPr="1F32FA65">
        <w:rPr>
          <w:noProof/>
          <w:lang w:val="en-IE"/>
        </w:rPr>
        <w:t xml:space="preserve"> existing </w:t>
      </w:r>
      <w:r>
        <w:rPr>
          <w:noProof/>
          <w:lang w:val="en-IE"/>
        </w:rPr>
        <w:t>ones</w:t>
      </w:r>
      <w:r w:rsidRPr="1F32FA65">
        <w:rPr>
          <w:noProof/>
          <w:lang w:val="en-IE"/>
        </w:rPr>
        <w:t xml:space="preserve">. </w:t>
      </w:r>
    </w:p>
    <w:p w14:paraId="5414CD5F" w14:textId="174AEBFF" w:rsidR="00B23D23" w:rsidRDefault="00350C25" w:rsidP="00350C25">
      <w:pPr>
        <w:pStyle w:val="Text2"/>
        <w:rPr>
          <w:noProof/>
          <w:lang w:val="en-IE"/>
        </w:rPr>
      </w:pPr>
      <w:r w:rsidRPr="249FCDD5">
        <w:rPr>
          <w:noProof/>
          <w:lang w:val="en-IE"/>
        </w:rPr>
        <w:t xml:space="preserve">In the commercial and services sector, the overall </w:t>
      </w:r>
      <w:r>
        <w:rPr>
          <w:noProof/>
          <w:lang w:val="en-IE"/>
        </w:rPr>
        <w:t>floor area</w:t>
      </w:r>
      <w:r w:rsidRPr="249FCDD5">
        <w:rPr>
          <w:noProof/>
          <w:lang w:val="en-IE"/>
        </w:rPr>
        <w:t xml:space="preserve"> </w:t>
      </w:r>
      <w:r w:rsidRPr="74A6AF83">
        <w:rPr>
          <w:noProof/>
          <w:lang w:val="en-IE"/>
        </w:rPr>
        <w:t xml:space="preserve">of </w:t>
      </w:r>
      <w:r>
        <w:rPr>
          <w:noProof/>
          <w:lang w:val="en-IE"/>
        </w:rPr>
        <w:t xml:space="preserve">the </w:t>
      </w:r>
      <w:r w:rsidRPr="74A6AF83">
        <w:rPr>
          <w:noProof/>
          <w:lang w:val="en-IE"/>
        </w:rPr>
        <w:t xml:space="preserve">buildings is projected to </w:t>
      </w:r>
      <w:r w:rsidRPr="3FA3A170">
        <w:rPr>
          <w:noProof/>
          <w:lang w:val="en-IE"/>
        </w:rPr>
        <w:t>slightly reduce</w:t>
      </w:r>
      <w:r w:rsidRPr="58F4DA2D">
        <w:rPr>
          <w:noProof/>
          <w:lang w:val="en-IE"/>
        </w:rPr>
        <w:t xml:space="preserve"> </w:t>
      </w:r>
      <w:r w:rsidRPr="2CE15E59">
        <w:rPr>
          <w:noProof/>
          <w:lang w:val="en-IE"/>
        </w:rPr>
        <w:t>reaching in 2040 and beyond</w:t>
      </w:r>
      <w:r w:rsidRPr="58F4DA2D">
        <w:rPr>
          <w:noProof/>
          <w:lang w:val="en-IE"/>
        </w:rPr>
        <w:t xml:space="preserve"> a </w:t>
      </w:r>
      <w:r w:rsidR="00405300">
        <w:rPr>
          <w:noProof/>
          <w:lang w:val="en-IE"/>
        </w:rPr>
        <w:t>floor area</w:t>
      </w:r>
      <w:r w:rsidRPr="58F4DA2D">
        <w:rPr>
          <w:noProof/>
          <w:lang w:val="en-IE"/>
        </w:rPr>
        <w:t xml:space="preserve"> around 5% higher than 2015</w:t>
      </w:r>
      <w:r w:rsidRPr="2CE15E59">
        <w:rPr>
          <w:noProof/>
          <w:lang w:val="en-IE"/>
        </w:rPr>
        <w:t>.</w:t>
      </w:r>
      <w:r>
        <w:rPr>
          <w:noProof/>
          <w:lang w:val="en-IE"/>
        </w:rPr>
        <w:t xml:space="preserve"> </w:t>
      </w:r>
      <w:r w:rsidRPr="5EFB08A6">
        <w:rPr>
          <w:noProof/>
          <w:lang w:val="en-IE"/>
        </w:rPr>
        <w:t xml:space="preserve">These socio-economic dynamics </w:t>
      </w:r>
      <w:r w:rsidRPr="6165BDD4">
        <w:rPr>
          <w:noProof/>
          <w:lang w:val="en-IE"/>
        </w:rPr>
        <w:t>push up the energy</w:t>
      </w:r>
      <w:r w:rsidRPr="5FA2B16D">
        <w:rPr>
          <w:noProof/>
          <w:lang w:val="en-IE"/>
        </w:rPr>
        <w:t xml:space="preserve"> consumption in </w:t>
      </w:r>
      <w:r w:rsidRPr="67DB584C">
        <w:rPr>
          <w:noProof/>
          <w:lang w:val="en-IE"/>
        </w:rPr>
        <w:t xml:space="preserve">building, which makes the effort to </w:t>
      </w:r>
      <w:r w:rsidRPr="5A373EC3">
        <w:rPr>
          <w:noProof/>
          <w:lang w:val="en-IE"/>
        </w:rPr>
        <w:t>mitigate energy demand and CO</w:t>
      </w:r>
      <w:r w:rsidRPr="00E63C1B">
        <w:rPr>
          <w:noProof/>
          <w:color w:val="2B579A"/>
          <w:shd w:val="clear" w:color="auto" w:fill="E6E6E6"/>
          <w:vertAlign w:val="subscript"/>
          <w:lang w:val="en-IE"/>
        </w:rPr>
        <w:t>2</w:t>
      </w:r>
      <w:r w:rsidRPr="5A373EC3">
        <w:rPr>
          <w:noProof/>
          <w:lang w:val="en-IE"/>
        </w:rPr>
        <w:t xml:space="preserve"> emissions of buildings harder.</w:t>
      </w:r>
    </w:p>
    <w:p w14:paraId="55C81149" w14:textId="769FA31D" w:rsidR="00A11F28" w:rsidRDefault="001630DC" w:rsidP="00E63C1B">
      <w:pPr>
        <w:pStyle w:val="Text2"/>
        <w:rPr>
          <w:noProof/>
          <w:lang w:val="en-IE"/>
        </w:rPr>
      </w:pPr>
      <w:r w:rsidRPr="001630DC">
        <w:rPr>
          <w:noProof/>
          <w:lang w:val="en-IE"/>
        </w:rPr>
        <w:t>Heating degree days (HDD) and cooling degree days (CDD) are climate-based indicators commonly used to represent buildings’ space heating and cooling needs in energy system models.</w:t>
      </w:r>
      <w:r>
        <w:rPr>
          <w:noProof/>
          <w:lang w:val="en-IE"/>
        </w:rPr>
        <w:t xml:space="preserve"> </w:t>
      </w:r>
      <w:r w:rsidRPr="001630DC">
        <w:rPr>
          <w:noProof/>
          <w:lang w:val="en-IE"/>
        </w:rPr>
        <w:t>HDDs and CDDs in historic years are based on EUROSTAT, and projections depart from statistics considering the effect of climate change on these indicators based on</w:t>
      </w:r>
      <w:r>
        <w:rPr>
          <w:noProof/>
          <w:lang w:val="en-IE"/>
        </w:rPr>
        <w:t xml:space="preserve"> the findings of climate models</w:t>
      </w:r>
      <w:r w:rsidRPr="001630DC">
        <w:rPr>
          <w:noProof/>
          <w:lang w:val="en-IE"/>
        </w:rPr>
        <w:t> (</w:t>
      </w:r>
      <w:r w:rsidRPr="00A11F28">
        <w:rPr>
          <w:noProof/>
          <w:vertAlign w:val="superscript"/>
        </w:rPr>
        <w:footnoteReference w:id="65"/>
      </w:r>
      <w:r>
        <w:rPr>
          <w:noProof/>
          <w:lang w:val="en-IE"/>
        </w:rPr>
        <w:t>)</w:t>
      </w:r>
      <w:r w:rsidRPr="001630DC">
        <w:rPr>
          <w:noProof/>
          <w:lang w:val="en-IE"/>
        </w:rPr>
        <w:t>. Projections of HDDs and CDDs are the same across the S1</w:t>
      </w:r>
      <w:r w:rsidR="006750D6">
        <w:rPr>
          <w:noProof/>
          <w:lang w:val="en-IE"/>
        </w:rPr>
        <w:t>-S2</w:t>
      </w:r>
      <w:r w:rsidRPr="001630DC">
        <w:rPr>
          <w:noProof/>
          <w:lang w:val="en-IE"/>
        </w:rPr>
        <w:t>-S3 scenarios, where - due to rising global average temperature - in the future HDDs are assumed to reduce in all member states with respect to today. In particular, in most member states the reduction in 2050 is in the range of -3/-1</w:t>
      </w:r>
      <w:r w:rsidR="004732D0">
        <w:rPr>
          <w:noProof/>
          <w:lang w:val="en-IE"/>
        </w:rPr>
        <w:t>1</w:t>
      </w:r>
      <w:r w:rsidRPr="001630DC">
        <w:rPr>
          <w:noProof/>
          <w:lang w:val="en-IE"/>
        </w:rPr>
        <w:t>% compared to 202</w:t>
      </w:r>
      <w:r w:rsidR="004732D0">
        <w:rPr>
          <w:noProof/>
          <w:lang w:val="en-IE"/>
        </w:rPr>
        <w:t>2</w:t>
      </w:r>
      <w:r w:rsidRPr="001630DC">
        <w:rPr>
          <w:noProof/>
          <w:lang w:val="en-IE"/>
        </w:rPr>
        <w:t xml:space="preserve">. Consistently, CDDs are assumed to increase in all </w:t>
      </w:r>
      <w:r w:rsidR="00E63C1B">
        <w:rPr>
          <w:noProof/>
          <w:lang w:val="en-IE"/>
        </w:rPr>
        <w:t>M</w:t>
      </w:r>
      <w:r w:rsidRPr="001630DC">
        <w:rPr>
          <w:noProof/>
          <w:lang w:val="en-IE"/>
        </w:rPr>
        <w:t xml:space="preserve">ember </w:t>
      </w:r>
      <w:r w:rsidR="00E63C1B">
        <w:rPr>
          <w:noProof/>
          <w:lang w:val="en-IE"/>
        </w:rPr>
        <w:t>S</w:t>
      </w:r>
      <w:r w:rsidRPr="001630DC">
        <w:rPr>
          <w:noProof/>
          <w:lang w:val="en-IE"/>
        </w:rPr>
        <w:t xml:space="preserve">tates compared to today. In particular, </w:t>
      </w:r>
      <w:r w:rsidR="00E63C1B">
        <w:rPr>
          <w:noProof/>
          <w:lang w:val="en-IE"/>
        </w:rPr>
        <w:t>M</w:t>
      </w:r>
      <w:r w:rsidRPr="001630DC">
        <w:rPr>
          <w:noProof/>
          <w:lang w:val="en-IE"/>
        </w:rPr>
        <w:t xml:space="preserve">ember </w:t>
      </w:r>
      <w:r w:rsidR="00E63C1B">
        <w:rPr>
          <w:noProof/>
          <w:lang w:val="en-IE"/>
        </w:rPr>
        <w:t>S</w:t>
      </w:r>
      <w:r w:rsidRPr="001630DC">
        <w:rPr>
          <w:noProof/>
          <w:lang w:val="en-IE"/>
        </w:rPr>
        <w:t>tates characterised by colder climates, which today do not use air conditioning or make very limited use of it, are expected to increase CDDs the most in the future in relative terms, in some cases more than tripling compared to today</w:t>
      </w:r>
      <w:r w:rsidR="004732D0" w:rsidRPr="004732D0">
        <w:rPr>
          <w:noProof/>
          <w:lang w:val="en-IE"/>
        </w:rPr>
        <w:t> (</w:t>
      </w:r>
      <w:r w:rsidR="004732D0" w:rsidRPr="00A11F28">
        <w:rPr>
          <w:noProof/>
          <w:vertAlign w:val="superscript"/>
        </w:rPr>
        <w:footnoteReference w:id="66"/>
      </w:r>
      <w:r w:rsidR="004732D0">
        <w:rPr>
          <w:noProof/>
          <w:lang w:val="en-IE"/>
        </w:rPr>
        <w:t>)</w:t>
      </w:r>
      <w:r w:rsidRPr="001630DC">
        <w:rPr>
          <w:noProof/>
          <w:lang w:val="en-IE"/>
        </w:rPr>
        <w:t>.</w:t>
      </w:r>
      <w:r>
        <w:rPr>
          <w:noProof/>
          <w:lang w:val="en-IE"/>
        </w:rPr>
        <w:t xml:space="preserve"> </w:t>
      </w:r>
      <w:r w:rsidR="00C459D4">
        <w:rPr>
          <w:noProof/>
          <w:lang w:val="en-IE"/>
        </w:rPr>
        <w:t>LIFE</w:t>
      </w:r>
      <w:r w:rsidRPr="001630DC">
        <w:rPr>
          <w:noProof/>
          <w:lang w:val="en-IE"/>
        </w:rPr>
        <w:t xml:space="preserve"> assumes a decrease/increase of the thermostat setpoint for heating and cooling respectively to mimic behavioural change related to thermal comfort. The thermostat setpoint is changed gradually, </w:t>
      </w:r>
      <w:r w:rsidR="004732D0">
        <w:rPr>
          <w:noProof/>
          <w:lang w:val="en-IE"/>
        </w:rPr>
        <w:t>reaching</w:t>
      </w:r>
      <w:r w:rsidRPr="001630DC">
        <w:rPr>
          <w:noProof/>
          <w:lang w:val="en-IE"/>
        </w:rPr>
        <w:t xml:space="preserve"> +/-1.5 degrees </w:t>
      </w:r>
      <w:r w:rsidR="004732D0">
        <w:rPr>
          <w:noProof/>
          <w:lang w:val="en-IE"/>
        </w:rPr>
        <w:t>in 2040 and remaining at that level until 2050</w:t>
      </w:r>
      <w:r w:rsidRPr="001630DC">
        <w:rPr>
          <w:noProof/>
          <w:lang w:val="en-IE"/>
        </w:rPr>
        <w:t>.</w:t>
      </w:r>
    </w:p>
    <w:p w14:paraId="7FB18F01" w14:textId="44824CC6" w:rsidR="00350C25" w:rsidRPr="00630343" w:rsidRDefault="00350C25" w:rsidP="00350C25">
      <w:pPr>
        <w:pStyle w:val="Heading3"/>
        <w:rPr>
          <w:noProof/>
        </w:rPr>
      </w:pPr>
      <w:bookmarkStart w:id="216" w:name="_Ref143334682"/>
      <w:bookmarkStart w:id="217" w:name="_Toc148605593"/>
      <w:bookmarkStart w:id="218" w:name="_Toc157692039"/>
      <w:r w:rsidRPr="00630343">
        <w:rPr>
          <w:noProof/>
        </w:rPr>
        <w:t>Energy efficiency in buildings</w:t>
      </w:r>
      <w:bookmarkEnd w:id="216"/>
      <w:bookmarkEnd w:id="217"/>
      <w:bookmarkEnd w:id="218"/>
    </w:p>
    <w:p w14:paraId="59C80FF9" w14:textId="4ACB0213" w:rsidR="00350C25" w:rsidRDefault="00350C25" w:rsidP="00350C25">
      <w:pPr>
        <w:pStyle w:val="Text2"/>
        <w:rPr>
          <w:noProof/>
          <w:lang w:val="en-IE"/>
        </w:rPr>
      </w:pPr>
      <w:r w:rsidRPr="65E1992B">
        <w:rPr>
          <w:noProof/>
          <w:lang w:val="en-IE"/>
        </w:rPr>
        <w:t xml:space="preserve">Energy efficiency in buildings consists in two main types of action. For existing buildings, it implies renovating the building envelope - in order to </w:t>
      </w:r>
      <w:r>
        <w:rPr>
          <w:noProof/>
          <w:lang w:val="en-IE"/>
        </w:rPr>
        <w:t>reduce</w:t>
      </w:r>
      <w:r w:rsidRPr="65E1992B">
        <w:rPr>
          <w:noProof/>
          <w:lang w:val="en-IE"/>
        </w:rPr>
        <w:t xml:space="preserve"> the demand for space heating and cooling while ensuring high comfort levels</w:t>
      </w:r>
      <w:r w:rsidR="004D2FDD">
        <w:rPr>
          <w:noProof/>
          <w:lang w:val="en-IE"/>
        </w:rPr>
        <w:t xml:space="preserve"> </w:t>
      </w:r>
      <w:r w:rsidRPr="65E1992B">
        <w:rPr>
          <w:noProof/>
          <w:lang w:val="en-IE"/>
        </w:rPr>
        <w:t>– and deploying renewables and energy efficien</w:t>
      </w:r>
      <w:r>
        <w:rPr>
          <w:noProof/>
          <w:lang w:val="en-IE"/>
        </w:rPr>
        <w:t>t</w:t>
      </w:r>
      <w:r w:rsidRPr="65E1992B">
        <w:rPr>
          <w:noProof/>
          <w:lang w:val="en-IE"/>
        </w:rPr>
        <w:t xml:space="preserve"> equipment for heating, cooling, cooking and appliances. For new </w:t>
      </w:r>
      <w:r w:rsidRPr="65E1992B" w:rsidDel="00405300">
        <w:rPr>
          <w:noProof/>
          <w:lang w:val="en-IE"/>
        </w:rPr>
        <w:t>buildings</w:t>
      </w:r>
      <w:r w:rsidR="00405300" w:rsidRPr="65E1992B">
        <w:rPr>
          <w:noProof/>
          <w:lang w:val="en-IE"/>
        </w:rPr>
        <w:t>,</w:t>
      </w:r>
      <w:r w:rsidRPr="65E1992B">
        <w:rPr>
          <w:noProof/>
          <w:lang w:val="en-IE"/>
        </w:rPr>
        <w:t xml:space="preserve"> it implies sticking to the minimum energy performance standards, as outlined in the E</w:t>
      </w:r>
      <w:r w:rsidR="00405300">
        <w:rPr>
          <w:noProof/>
          <w:lang w:val="en-IE"/>
        </w:rPr>
        <w:t xml:space="preserve">nergy </w:t>
      </w:r>
      <w:r w:rsidRPr="65E1992B">
        <w:rPr>
          <w:noProof/>
          <w:lang w:val="en-IE"/>
        </w:rPr>
        <w:t>P</w:t>
      </w:r>
      <w:r w:rsidR="00405300">
        <w:rPr>
          <w:noProof/>
          <w:lang w:val="en-IE"/>
        </w:rPr>
        <w:t xml:space="preserve">erformance of </w:t>
      </w:r>
      <w:r w:rsidRPr="65E1992B">
        <w:rPr>
          <w:noProof/>
          <w:lang w:val="en-IE"/>
        </w:rPr>
        <w:t>B</w:t>
      </w:r>
      <w:r w:rsidR="00405300">
        <w:rPr>
          <w:noProof/>
          <w:lang w:val="en-IE"/>
        </w:rPr>
        <w:t xml:space="preserve">uildings </w:t>
      </w:r>
      <w:r w:rsidRPr="65E1992B">
        <w:rPr>
          <w:noProof/>
          <w:lang w:val="en-IE"/>
        </w:rPr>
        <w:t>D</w:t>
      </w:r>
      <w:r w:rsidR="00405300">
        <w:rPr>
          <w:noProof/>
          <w:lang w:val="en-IE"/>
        </w:rPr>
        <w:t>irective (EPBD)</w:t>
      </w:r>
      <w:r w:rsidRPr="65E1992B">
        <w:rPr>
          <w:noProof/>
          <w:lang w:val="en-IE"/>
        </w:rPr>
        <w:t>.</w:t>
      </w:r>
    </w:p>
    <w:p w14:paraId="6B19B1F9" w14:textId="4C346F06" w:rsidR="00350C25" w:rsidRDefault="00350C25" w:rsidP="00350C25">
      <w:pPr>
        <w:pStyle w:val="Text2"/>
        <w:rPr>
          <w:noProof/>
          <w:lang w:val="en-IE"/>
        </w:rPr>
      </w:pPr>
      <w:r w:rsidRPr="5F7DD347">
        <w:rPr>
          <w:noProof/>
          <w:lang w:val="en-IE"/>
        </w:rPr>
        <w:t xml:space="preserve">The current policy context is expected to </w:t>
      </w:r>
      <w:r w:rsidRPr="2319227E">
        <w:rPr>
          <w:noProof/>
          <w:lang w:val="en-IE"/>
        </w:rPr>
        <w:t>significantly reduce energy consumption in buildings</w:t>
      </w:r>
      <w:r w:rsidR="000B5B98">
        <w:rPr>
          <w:noProof/>
          <w:lang w:val="en-IE"/>
        </w:rPr>
        <w:t xml:space="preserve"> already in</w:t>
      </w:r>
      <w:r w:rsidRPr="505C3BBE">
        <w:rPr>
          <w:noProof/>
          <w:lang w:val="en-IE"/>
        </w:rPr>
        <w:t xml:space="preserve"> the course of this decade. </w:t>
      </w:r>
      <w:r w:rsidRPr="38B5A6BC">
        <w:rPr>
          <w:noProof/>
          <w:lang w:val="en-IE"/>
        </w:rPr>
        <w:t>Climate neutrality by 2050</w:t>
      </w:r>
      <w:r w:rsidRPr="0011ED1B">
        <w:rPr>
          <w:noProof/>
          <w:lang w:val="en-IE"/>
        </w:rPr>
        <w:t xml:space="preserve"> </w:t>
      </w:r>
      <w:r>
        <w:rPr>
          <w:noProof/>
          <w:lang w:val="en-IE"/>
        </w:rPr>
        <w:t>requires</w:t>
      </w:r>
      <w:r w:rsidRPr="0011ED1B">
        <w:rPr>
          <w:noProof/>
          <w:lang w:val="en-IE"/>
        </w:rPr>
        <w:t xml:space="preserve"> </w:t>
      </w:r>
      <w:r w:rsidRPr="5C8FB168">
        <w:rPr>
          <w:noProof/>
          <w:lang w:val="en-IE"/>
        </w:rPr>
        <w:t xml:space="preserve">reductions in </w:t>
      </w:r>
      <w:r w:rsidR="004D2FDD">
        <w:rPr>
          <w:noProof/>
          <w:lang w:val="en-IE"/>
        </w:rPr>
        <w:t xml:space="preserve">buildings’ </w:t>
      </w:r>
      <w:r w:rsidRPr="5C8FB168">
        <w:rPr>
          <w:noProof/>
          <w:lang w:val="en-IE"/>
        </w:rPr>
        <w:t xml:space="preserve">energy demand </w:t>
      </w:r>
      <w:r w:rsidRPr="5039B4E5">
        <w:rPr>
          <w:noProof/>
          <w:lang w:val="en-IE"/>
        </w:rPr>
        <w:t>beyond the levels reached in 2030</w:t>
      </w:r>
      <w:r w:rsidRPr="44692838">
        <w:rPr>
          <w:noProof/>
          <w:lang w:val="en-IE"/>
        </w:rPr>
        <w:t>. Encouraged</w:t>
      </w:r>
      <w:r w:rsidRPr="4C020A82">
        <w:rPr>
          <w:noProof/>
          <w:lang w:val="en-IE"/>
        </w:rPr>
        <w:t xml:space="preserve"> by </w:t>
      </w:r>
      <w:r w:rsidR="00D17ED4">
        <w:rPr>
          <w:noProof/>
          <w:lang w:val="en-IE"/>
        </w:rPr>
        <w:t>several policy initiatives</w:t>
      </w:r>
      <w:r w:rsidR="00B350C3">
        <w:rPr>
          <w:noProof/>
          <w:lang w:val="en-IE"/>
        </w:rPr>
        <w:t xml:space="preserve"> </w:t>
      </w:r>
      <w:r w:rsidR="004D2FDD">
        <w:rPr>
          <w:noProof/>
          <w:lang w:val="en-IE"/>
        </w:rPr>
        <w:t>that</w:t>
      </w:r>
      <w:r w:rsidR="00B350C3">
        <w:rPr>
          <w:noProof/>
          <w:lang w:val="en-IE"/>
        </w:rPr>
        <w:t xml:space="preserve"> extend their impact after 2030</w:t>
      </w:r>
      <w:r w:rsidR="00D17ED4">
        <w:rPr>
          <w:noProof/>
          <w:lang w:val="en-IE"/>
        </w:rPr>
        <w:t xml:space="preserve">, as well as by </w:t>
      </w:r>
      <w:r w:rsidR="003E5B05">
        <w:rPr>
          <w:noProof/>
          <w:lang w:val="en-IE"/>
        </w:rPr>
        <w:t>possible long-term effect</w:t>
      </w:r>
      <w:r w:rsidR="004D2FDD">
        <w:rPr>
          <w:noProof/>
          <w:lang w:val="en-IE"/>
        </w:rPr>
        <w:t>s</w:t>
      </w:r>
      <w:r w:rsidR="003E5B05">
        <w:rPr>
          <w:noProof/>
          <w:lang w:val="en-IE"/>
        </w:rPr>
        <w:t xml:space="preserve"> of </w:t>
      </w:r>
      <w:r w:rsidR="00D17ED4">
        <w:rPr>
          <w:noProof/>
          <w:lang w:val="en-IE"/>
        </w:rPr>
        <w:t>current energy crisis and pressure on gas imports,</w:t>
      </w:r>
      <w:r>
        <w:rPr>
          <w:noProof/>
          <w:lang w:val="en-IE"/>
        </w:rPr>
        <w:t xml:space="preserve"> </w:t>
      </w:r>
      <w:r w:rsidRPr="44692838">
        <w:rPr>
          <w:noProof/>
          <w:lang w:val="en-IE"/>
        </w:rPr>
        <w:t>energy savings</w:t>
      </w:r>
      <w:r>
        <w:rPr>
          <w:noProof/>
          <w:lang w:val="en-IE"/>
        </w:rPr>
        <w:t xml:space="preserve"> in buildings</w:t>
      </w:r>
      <w:r w:rsidRPr="44692838">
        <w:rPr>
          <w:noProof/>
          <w:lang w:val="en-IE"/>
        </w:rPr>
        <w:t xml:space="preserve"> </w:t>
      </w:r>
      <w:r w:rsidRPr="5A0A697A">
        <w:rPr>
          <w:noProof/>
          <w:lang w:val="en-IE"/>
        </w:rPr>
        <w:t xml:space="preserve">reach </w:t>
      </w:r>
      <w:r w:rsidRPr="3AA2EE1E">
        <w:rPr>
          <w:noProof/>
          <w:lang w:val="en-IE"/>
        </w:rPr>
        <w:t>35-3</w:t>
      </w:r>
      <w:r w:rsidR="003353CD">
        <w:rPr>
          <w:noProof/>
          <w:lang w:val="en-IE"/>
        </w:rPr>
        <w:t>8</w:t>
      </w:r>
      <w:r w:rsidRPr="3AA2EE1E">
        <w:rPr>
          <w:noProof/>
          <w:lang w:val="en-IE"/>
        </w:rPr>
        <w:t xml:space="preserve">% across scenarios in 2040 and </w:t>
      </w:r>
      <w:r w:rsidR="003353CD">
        <w:rPr>
          <w:noProof/>
          <w:lang w:val="en-IE"/>
        </w:rPr>
        <w:t>40</w:t>
      </w:r>
      <w:r w:rsidRPr="3AA2EE1E">
        <w:rPr>
          <w:noProof/>
          <w:lang w:val="en-IE"/>
        </w:rPr>
        <w:t>% in 2050.</w:t>
      </w:r>
      <w:r w:rsidRPr="514D3192">
        <w:rPr>
          <w:noProof/>
          <w:lang w:val="en-IE"/>
        </w:rPr>
        <w:t xml:space="preserve"> The residential sector would contribute more than the </w:t>
      </w:r>
      <w:r w:rsidRPr="52DB211B">
        <w:rPr>
          <w:noProof/>
          <w:lang w:val="en-IE"/>
        </w:rPr>
        <w:t xml:space="preserve">services sector to the overall energy savings in </w:t>
      </w:r>
      <w:r w:rsidRPr="03934A29">
        <w:rPr>
          <w:noProof/>
          <w:lang w:val="en-IE"/>
        </w:rPr>
        <w:t>buildings, with</w:t>
      </w:r>
      <w:r w:rsidRPr="54E093C0">
        <w:rPr>
          <w:noProof/>
          <w:lang w:val="en-IE"/>
        </w:rPr>
        <w:t xml:space="preserve"> 2</w:t>
      </w:r>
      <w:r w:rsidR="00BC3F67">
        <w:rPr>
          <w:noProof/>
          <w:lang w:val="en-IE"/>
        </w:rPr>
        <w:t>9</w:t>
      </w:r>
      <w:r w:rsidRPr="54E093C0">
        <w:rPr>
          <w:noProof/>
          <w:lang w:val="en-IE"/>
        </w:rPr>
        <w:t>% savings in 2030 with respect to 2015 (</w:t>
      </w:r>
      <w:r w:rsidR="005138FB">
        <w:rPr>
          <w:noProof/>
          <w:lang w:val="en-IE"/>
        </w:rPr>
        <w:t xml:space="preserve">vs </w:t>
      </w:r>
      <w:r w:rsidRPr="54E093C0">
        <w:rPr>
          <w:noProof/>
          <w:lang w:val="en-IE"/>
        </w:rPr>
        <w:t>2</w:t>
      </w:r>
      <w:r w:rsidR="006561E8">
        <w:rPr>
          <w:noProof/>
          <w:lang w:val="en-IE"/>
        </w:rPr>
        <w:t>3</w:t>
      </w:r>
      <w:r w:rsidRPr="54E093C0">
        <w:rPr>
          <w:noProof/>
          <w:lang w:val="en-IE"/>
        </w:rPr>
        <w:t>% savings in services</w:t>
      </w:r>
      <w:r w:rsidRPr="75936F33">
        <w:rPr>
          <w:noProof/>
          <w:lang w:val="en-IE"/>
        </w:rPr>
        <w:t>), 3</w:t>
      </w:r>
      <w:r w:rsidR="005138FB">
        <w:rPr>
          <w:noProof/>
          <w:lang w:val="en-IE"/>
        </w:rPr>
        <w:t>9</w:t>
      </w:r>
      <w:r w:rsidRPr="75936F33">
        <w:rPr>
          <w:noProof/>
          <w:lang w:val="en-IE"/>
        </w:rPr>
        <w:t>-4</w:t>
      </w:r>
      <w:r w:rsidR="005138FB">
        <w:rPr>
          <w:noProof/>
          <w:lang w:val="en-IE"/>
        </w:rPr>
        <w:t>1</w:t>
      </w:r>
      <w:r w:rsidRPr="75936F33">
        <w:rPr>
          <w:noProof/>
          <w:lang w:val="en-IE"/>
        </w:rPr>
        <w:t xml:space="preserve">% </w:t>
      </w:r>
      <w:r w:rsidR="006561E8">
        <w:rPr>
          <w:noProof/>
          <w:lang w:val="en-IE"/>
        </w:rPr>
        <w:t xml:space="preserve">across scenarios </w:t>
      </w:r>
      <w:r w:rsidRPr="75936F33">
        <w:rPr>
          <w:noProof/>
          <w:lang w:val="en-IE"/>
        </w:rPr>
        <w:t>in 2040 (2</w:t>
      </w:r>
      <w:r w:rsidR="00F625E1">
        <w:rPr>
          <w:noProof/>
          <w:lang w:val="en-IE"/>
        </w:rPr>
        <w:t>7</w:t>
      </w:r>
      <w:r w:rsidRPr="75936F33">
        <w:rPr>
          <w:noProof/>
          <w:lang w:val="en-IE"/>
        </w:rPr>
        <w:t>-</w:t>
      </w:r>
      <w:r w:rsidRPr="74363CCD">
        <w:rPr>
          <w:noProof/>
          <w:lang w:val="en-IE"/>
        </w:rPr>
        <w:t>3</w:t>
      </w:r>
      <w:r w:rsidR="00A426B7">
        <w:rPr>
          <w:noProof/>
          <w:lang w:val="en-IE"/>
        </w:rPr>
        <w:t>2</w:t>
      </w:r>
      <w:r w:rsidRPr="74363CCD">
        <w:rPr>
          <w:noProof/>
          <w:lang w:val="en-IE"/>
        </w:rPr>
        <w:t>% savings in services) and 4</w:t>
      </w:r>
      <w:r w:rsidR="00483626">
        <w:rPr>
          <w:noProof/>
          <w:lang w:val="en-IE"/>
        </w:rPr>
        <w:t>4</w:t>
      </w:r>
      <w:r w:rsidRPr="6BDE7944">
        <w:rPr>
          <w:noProof/>
          <w:lang w:val="en-IE"/>
        </w:rPr>
        <w:t>% in 2050 (3</w:t>
      </w:r>
      <w:r>
        <w:rPr>
          <w:noProof/>
          <w:lang w:val="en-IE"/>
        </w:rPr>
        <w:t>1</w:t>
      </w:r>
      <w:r w:rsidRPr="6BDE7944">
        <w:rPr>
          <w:noProof/>
          <w:lang w:val="en-IE"/>
        </w:rPr>
        <w:t>% savings in services).</w:t>
      </w:r>
    </w:p>
    <w:p w14:paraId="53CD9A96" w14:textId="646E2151" w:rsidR="00350C25" w:rsidRDefault="00350C25" w:rsidP="00350C25">
      <w:pPr>
        <w:pStyle w:val="Text2"/>
        <w:rPr>
          <w:noProof/>
          <w:lang w:val="en-IE"/>
        </w:rPr>
      </w:pPr>
      <w:r w:rsidRPr="4CE15FDD">
        <w:rPr>
          <w:noProof/>
          <w:lang w:val="en-IE"/>
        </w:rPr>
        <w:t xml:space="preserve">The most important energy use in buildings is </w:t>
      </w:r>
      <w:r>
        <w:rPr>
          <w:noProof/>
          <w:lang w:val="en-IE"/>
        </w:rPr>
        <w:t>for</w:t>
      </w:r>
      <w:r w:rsidRPr="4CE15FDD">
        <w:rPr>
          <w:noProof/>
          <w:lang w:val="en-IE"/>
        </w:rPr>
        <w:t xml:space="preserve"> space heating</w:t>
      </w:r>
      <w:r w:rsidRPr="60D7C94F">
        <w:rPr>
          <w:noProof/>
          <w:lang w:val="en-IE"/>
        </w:rPr>
        <w:t xml:space="preserve">, which in 2015 accounted </w:t>
      </w:r>
      <w:r w:rsidRPr="1E4E5C9C">
        <w:rPr>
          <w:noProof/>
          <w:lang w:val="en-IE"/>
        </w:rPr>
        <w:t xml:space="preserve">for more than </w:t>
      </w:r>
      <w:r>
        <w:rPr>
          <w:noProof/>
          <w:lang w:val="en-IE"/>
        </w:rPr>
        <w:t>three-quarters</w:t>
      </w:r>
      <w:r w:rsidRPr="1E4E5C9C">
        <w:rPr>
          <w:noProof/>
          <w:lang w:val="en-IE"/>
        </w:rPr>
        <w:t xml:space="preserve"> of final energy consumption in buildings.</w:t>
      </w:r>
    </w:p>
    <w:p w14:paraId="11B05386" w14:textId="29D7164A" w:rsidR="00350C25" w:rsidRDefault="00350C25" w:rsidP="00FD3FFD">
      <w:pPr>
        <w:pStyle w:val="Caption"/>
        <w:spacing w:after="0"/>
        <w:rPr>
          <w:noProof/>
        </w:rPr>
      </w:pPr>
      <w:bookmarkStart w:id="219" w:name="_Ref142031996"/>
      <w:bookmarkStart w:id="220" w:name="_Toc157679786"/>
      <w:r>
        <w:rPr>
          <w:noProof/>
        </w:rPr>
        <w:t xml:space="preserve">Figure </w:t>
      </w:r>
      <w:bookmarkEnd w:id="219"/>
      <w:r w:rsidR="00F2742D">
        <w:rPr>
          <w:noProof/>
        </w:rPr>
        <w:fldChar w:fldCharType="begin"/>
      </w:r>
      <w:r w:rsidR="00F2742D">
        <w:rPr>
          <w:noProof/>
        </w:rPr>
        <w:instrText xml:space="preserve"> SEQ Figure \* ARABIC </w:instrText>
      </w:r>
      <w:r w:rsidR="00F2742D">
        <w:rPr>
          <w:noProof/>
        </w:rPr>
        <w:fldChar w:fldCharType="separate"/>
      </w:r>
      <w:r w:rsidR="00170A3C">
        <w:rPr>
          <w:noProof/>
        </w:rPr>
        <w:t>38</w:t>
      </w:r>
      <w:r w:rsidR="00F2742D">
        <w:rPr>
          <w:noProof/>
        </w:rPr>
        <w:fldChar w:fldCharType="end"/>
      </w:r>
      <w:r>
        <w:rPr>
          <w:noProof/>
        </w:rPr>
        <w:t xml:space="preserve">: </w:t>
      </w:r>
      <w:r w:rsidRPr="00C24327">
        <w:rPr>
          <w:noProof/>
        </w:rPr>
        <w:t>F</w:t>
      </w:r>
      <w:r w:rsidR="00836D51">
        <w:rPr>
          <w:noProof/>
        </w:rPr>
        <w:t xml:space="preserve">EC </w:t>
      </w:r>
      <w:r w:rsidRPr="00C24327">
        <w:rPr>
          <w:noProof/>
        </w:rPr>
        <w:t>in the residential sector by energy service, 2015-2050</w:t>
      </w:r>
      <w:bookmarkEnd w:id="220"/>
    </w:p>
    <w:p w14:paraId="0B09668A" w14:textId="4B657890" w:rsidR="001806BB" w:rsidRDefault="00920591" w:rsidP="5565220F">
      <w:pPr>
        <w:keepNext/>
        <w:spacing w:after="0"/>
        <w:jc w:val="center"/>
        <w:rPr>
          <w:noProof/>
        </w:rPr>
      </w:pPr>
      <w:r w:rsidRPr="00920591">
        <w:rPr>
          <w:noProof/>
          <w:lang w:eastAsia="en-GB"/>
        </w:rPr>
        <w:drawing>
          <wp:inline distT="0" distB="0" distL="0" distR="0" wp14:anchorId="4EB63EAE" wp14:editId="15968B2A">
            <wp:extent cx="5403215" cy="2517775"/>
            <wp:effectExtent l="0" t="0" r="0" b="0"/>
            <wp:docPr id="363790922" name="Picture 363790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403215" cy="2517775"/>
                    </a:xfrm>
                    <a:prstGeom prst="rect">
                      <a:avLst/>
                    </a:prstGeom>
                    <a:noFill/>
                    <a:ln>
                      <a:noFill/>
                    </a:ln>
                  </pic:spPr>
                </pic:pic>
              </a:graphicData>
            </a:graphic>
          </wp:inline>
        </w:drawing>
      </w:r>
    </w:p>
    <w:p w14:paraId="4FFC535E" w14:textId="43ACED2C" w:rsidR="00350C25" w:rsidRPr="00015BEC" w:rsidRDefault="00350C25" w:rsidP="00951BEB">
      <w:pPr>
        <w:pStyle w:val="CT-NOTE"/>
        <w:rPr>
          <w:i w:val="0"/>
          <w:noProof/>
        </w:rPr>
      </w:pPr>
      <w:r w:rsidRPr="00015BEC">
        <w:rPr>
          <w:noProof/>
        </w:rPr>
        <w:t>Note: heating refers to both space heating and water heating.</w:t>
      </w:r>
    </w:p>
    <w:p w14:paraId="1E1726F3" w14:textId="77777777" w:rsidR="00350C25" w:rsidRPr="00813B7E" w:rsidRDefault="00350C25" w:rsidP="007659B9">
      <w:pPr>
        <w:pStyle w:val="CT-SOURCE"/>
        <w:keepNext w:val="0"/>
        <w:rPr>
          <w:i w:val="0"/>
          <w:noProof/>
        </w:rPr>
      </w:pPr>
      <w:r w:rsidRPr="00813B7E">
        <w:rPr>
          <w:noProof/>
        </w:rPr>
        <w:t xml:space="preserve">Source: </w:t>
      </w:r>
      <w:r w:rsidRPr="00813B7E">
        <w:rPr>
          <w:i w:val="0"/>
          <w:noProof/>
        </w:rPr>
        <w:t>PRIMES.</w:t>
      </w:r>
    </w:p>
    <w:p w14:paraId="793DFE08" w14:textId="321BF059" w:rsidR="00350C25" w:rsidRDefault="00350C25" w:rsidP="00836D51">
      <w:pPr>
        <w:pStyle w:val="Caption"/>
        <w:spacing w:after="0"/>
        <w:rPr>
          <w:noProof/>
        </w:rPr>
      </w:pPr>
      <w:bookmarkStart w:id="221" w:name="_Ref142031998"/>
      <w:bookmarkStart w:id="222" w:name="_Toc157679787"/>
      <w:r>
        <w:rPr>
          <w:noProof/>
        </w:rPr>
        <w:t xml:space="preserve">Figure </w:t>
      </w:r>
      <w:bookmarkEnd w:id="221"/>
      <w:r w:rsidR="00F2742D">
        <w:rPr>
          <w:noProof/>
        </w:rPr>
        <w:fldChar w:fldCharType="begin"/>
      </w:r>
      <w:r w:rsidR="00F2742D">
        <w:rPr>
          <w:noProof/>
        </w:rPr>
        <w:instrText xml:space="preserve"> SEQ Figure \* ARABIC </w:instrText>
      </w:r>
      <w:r w:rsidR="00F2742D">
        <w:rPr>
          <w:noProof/>
        </w:rPr>
        <w:fldChar w:fldCharType="separate"/>
      </w:r>
      <w:r w:rsidR="00170A3C">
        <w:rPr>
          <w:noProof/>
        </w:rPr>
        <w:t>39</w:t>
      </w:r>
      <w:r w:rsidR="00F2742D">
        <w:rPr>
          <w:noProof/>
        </w:rPr>
        <w:fldChar w:fldCharType="end"/>
      </w:r>
      <w:r>
        <w:rPr>
          <w:noProof/>
        </w:rPr>
        <w:t xml:space="preserve">: </w:t>
      </w:r>
      <w:r w:rsidRPr="003F6815">
        <w:rPr>
          <w:noProof/>
        </w:rPr>
        <w:t>F</w:t>
      </w:r>
      <w:r w:rsidR="00836D51">
        <w:rPr>
          <w:noProof/>
        </w:rPr>
        <w:t xml:space="preserve">EC </w:t>
      </w:r>
      <w:r w:rsidRPr="003F6815">
        <w:rPr>
          <w:noProof/>
        </w:rPr>
        <w:t>in the services sector by energy service, 2015-2050</w:t>
      </w:r>
      <w:bookmarkEnd w:id="222"/>
    </w:p>
    <w:p w14:paraId="381D5BF5" w14:textId="785EF755" w:rsidR="001806BB" w:rsidRDefault="00920591" w:rsidP="00920591">
      <w:pPr>
        <w:keepNext/>
        <w:spacing w:after="0"/>
        <w:jc w:val="center"/>
        <w:rPr>
          <w:noProof/>
        </w:rPr>
      </w:pPr>
      <w:r w:rsidRPr="00920591">
        <w:rPr>
          <w:noProof/>
          <w:lang w:eastAsia="en-GB"/>
        </w:rPr>
        <w:drawing>
          <wp:inline distT="0" distB="0" distL="0" distR="0" wp14:anchorId="2AD6A995" wp14:editId="46E272E8">
            <wp:extent cx="5403215" cy="2517775"/>
            <wp:effectExtent l="0" t="0" r="0" b="0"/>
            <wp:docPr id="363790924" name="Picture 363790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403215" cy="2517775"/>
                    </a:xfrm>
                    <a:prstGeom prst="rect">
                      <a:avLst/>
                    </a:prstGeom>
                    <a:noFill/>
                    <a:ln>
                      <a:noFill/>
                    </a:ln>
                  </pic:spPr>
                </pic:pic>
              </a:graphicData>
            </a:graphic>
          </wp:inline>
        </w:drawing>
      </w:r>
    </w:p>
    <w:p w14:paraId="039C11E2" w14:textId="3CE12ED3" w:rsidR="00350C25" w:rsidRPr="00015BEC" w:rsidRDefault="00350C25" w:rsidP="00836D51">
      <w:pPr>
        <w:pStyle w:val="CT-NOTE"/>
        <w:rPr>
          <w:i w:val="0"/>
          <w:noProof/>
          <w:lang w:eastAsia="en-GB"/>
        </w:rPr>
      </w:pPr>
      <w:r w:rsidRPr="00015BEC">
        <w:rPr>
          <w:noProof/>
        </w:rPr>
        <w:t>Note</w:t>
      </w:r>
      <w:r w:rsidR="00CA156C">
        <w:rPr>
          <w:i w:val="0"/>
          <w:noProof/>
        </w:rPr>
        <w:t>:</w:t>
      </w:r>
      <w:r w:rsidRPr="00015BEC">
        <w:rPr>
          <w:i w:val="0"/>
          <w:noProof/>
        </w:rPr>
        <w:t xml:space="preserve"> </w:t>
      </w:r>
      <w:r w:rsidR="00CA156C">
        <w:rPr>
          <w:i w:val="0"/>
          <w:noProof/>
        </w:rPr>
        <w:t>“H</w:t>
      </w:r>
      <w:r w:rsidRPr="00015BEC">
        <w:rPr>
          <w:i w:val="0"/>
          <w:noProof/>
        </w:rPr>
        <w:t>eating</w:t>
      </w:r>
      <w:r w:rsidR="00CA156C">
        <w:rPr>
          <w:i w:val="0"/>
          <w:noProof/>
        </w:rPr>
        <w:t>”</w:t>
      </w:r>
      <w:r w:rsidRPr="00015BEC">
        <w:rPr>
          <w:i w:val="0"/>
          <w:noProof/>
        </w:rPr>
        <w:t xml:space="preserve"> refers to both space heating and water heating.</w:t>
      </w:r>
    </w:p>
    <w:p w14:paraId="1566CF97" w14:textId="77777777" w:rsidR="00350C25" w:rsidRPr="00813B7E" w:rsidRDefault="00350C25" w:rsidP="00836D51">
      <w:pPr>
        <w:pStyle w:val="CT-SOURCE"/>
        <w:rPr>
          <w:i w:val="0"/>
          <w:noProof/>
        </w:rPr>
      </w:pPr>
      <w:r w:rsidRPr="00813B7E">
        <w:rPr>
          <w:noProof/>
        </w:rPr>
        <w:t>Source: PRIMES.</w:t>
      </w:r>
    </w:p>
    <w:p w14:paraId="24368815" w14:textId="54749CC7" w:rsidR="00350C25" w:rsidRDefault="00350C25" w:rsidP="00350C25">
      <w:pPr>
        <w:pStyle w:val="Text2"/>
        <w:rPr>
          <w:noProof/>
          <w:lang w:val="en-IE"/>
        </w:rPr>
      </w:pPr>
      <w:r>
        <w:rPr>
          <w:noProof/>
          <w:lang w:val="en-IE"/>
        </w:rPr>
        <w:t>Final e</w:t>
      </w:r>
      <w:r w:rsidRPr="12CDCBAB">
        <w:rPr>
          <w:noProof/>
          <w:lang w:val="en-IE"/>
        </w:rPr>
        <w:t>nergy consumption related to heating</w:t>
      </w:r>
      <w:r w:rsidRPr="00CE36B8">
        <w:rPr>
          <w:noProof/>
          <w:lang w:val="en-IE"/>
        </w:rPr>
        <w:t xml:space="preserve"> in buildings is projected to reduce by </w:t>
      </w:r>
      <w:r w:rsidR="617CB52A" w:rsidRPr="00CE36B8">
        <w:rPr>
          <w:noProof/>
          <w:lang w:val="en-IE"/>
        </w:rPr>
        <w:t>one third in 2030 compared to 2015,</w:t>
      </w:r>
      <w:r w:rsidRPr="00CE36B8">
        <w:rPr>
          <w:noProof/>
          <w:lang w:val="en-IE"/>
        </w:rPr>
        <w:t xml:space="preserve"> by </w:t>
      </w:r>
      <w:r w:rsidRPr="6E3AC735">
        <w:rPr>
          <w:noProof/>
          <w:lang w:val="en-IE"/>
        </w:rPr>
        <w:t>46-4</w:t>
      </w:r>
      <w:r w:rsidR="00D60175">
        <w:rPr>
          <w:noProof/>
          <w:lang w:val="en-IE"/>
        </w:rPr>
        <w:t>7</w:t>
      </w:r>
      <w:r w:rsidRPr="6E3AC735">
        <w:rPr>
          <w:noProof/>
          <w:lang w:val="en-IE"/>
        </w:rPr>
        <w:t xml:space="preserve">% across </w:t>
      </w:r>
      <w:r w:rsidR="00CF09B2">
        <w:rPr>
          <w:noProof/>
          <w:lang w:val="en-IE"/>
        </w:rPr>
        <w:t>the S1-</w:t>
      </w:r>
      <w:r w:rsidR="006750D6">
        <w:rPr>
          <w:noProof/>
          <w:lang w:val="en-IE"/>
        </w:rPr>
        <w:t>S2-</w:t>
      </w:r>
      <w:r w:rsidR="00CF09B2">
        <w:rPr>
          <w:noProof/>
          <w:lang w:val="en-IE"/>
        </w:rPr>
        <w:t xml:space="preserve">S3 </w:t>
      </w:r>
      <w:r w:rsidRPr="6E3AC735">
        <w:rPr>
          <w:noProof/>
          <w:lang w:val="en-IE"/>
        </w:rPr>
        <w:t xml:space="preserve">scenarios </w:t>
      </w:r>
      <w:r w:rsidRPr="1AB367F2">
        <w:rPr>
          <w:noProof/>
          <w:lang w:val="en-IE"/>
        </w:rPr>
        <w:t xml:space="preserve">and by </w:t>
      </w:r>
      <w:r w:rsidRPr="00EA460F">
        <w:rPr>
          <w:noProof/>
          <w:lang w:val="en-IE"/>
        </w:rPr>
        <w:t>5</w:t>
      </w:r>
      <w:r w:rsidR="00A961FD">
        <w:rPr>
          <w:noProof/>
          <w:lang w:val="en-IE"/>
        </w:rPr>
        <w:t>1</w:t>
      </w:r>
      <w:r w:rsidRPr="1AB367F2">
        <w:rPr>
          <w:noProof/>
          <w:lang w:val="en-IE"/>
        </w:rPr>
        <w:t>% in 2050, with almost identical dynamics in the residential and services sector</w:t>
      </w:r>
      <w:r w:rsidR="00FD3FFD">
        <w:rPr>
          <w:noProof/>
          <w:lang w:val="en-IE"/>
        </w:rPr>
        <w:t xml:space="preserve"> (</w:t>
      </w:r>
      <w:r>
        <w:rPr>
          <w:rStyle w:val="FootnoteReference"/>
          <w:noProof/>
          <w:lang w:val="en-IE"/>
        </w:rPr>
        <w:footnoteReference w:id="67"/>
      </w:r>
      <w:r w:rsidR="00FD3FFD">
        <w:rPr>
          <w:noProof/>
          <w:lang w:val="en-IE"/>
        </w:rPr>
        <w:t>).</w:t>
      </w:r>
      <w:r w:rsidRPr="7B090B85">
        <w:rPr>
          <w:noProof/>
          <w:lang w:val="en-IE"/>
        </w:rPr>
        <w:t xml:space="preserve"> </w:t>
      </w:r>
      <w:r>
        <w:rPr>
          <w:noProof/>
          <w:lang w:val="en-IE"/>
        </w:rPr>
        <w:t>Final e</w:t>
      </w:r>
      <w:r w:rsidRPr="7B090B85">
        <w:rPr>
          <w:noProof/>
          <w:lang w:val="en-IE"/>
        </w:rPr>
        <w:t xml:space="preserve">nergy consumption </w:t>
      </w:r>
      <w:r w:rsidRPr="6905BE03">
        <w:rPr>
          <w:noProof/>
          <w:lang w:val="en-IE"/>
        </w:rPr>
        <w:t xml:space="preserve">related to </w:t>
      </w:r>
      <w:r w:rsidRPr="7B090B85">
        <w:rPr>
          <w:noProof/>
          <w:lang w:val="en-IE"/>
        </w:rPr>
        <w:t xml:space="preserve">cooling </w:t>
      </w:r>
      <w:r w:rsidRPr="6905BE03">
        <w:rPr>
          <w:noProof/>
          <w:lang w:val="en-IE"/>
        </w:rPr>
        <w:t xml:space="preserve">buildings </w:t>
      </w:r>
      <w:r w:rsidRPr="068895C0">
        <w:rPr>
          <w:noProof/>
          <w:lang w:val="en-IE"/>
        </w:rPr>
        <w:t>accounted for only 2% of the total in 2015, but it</w:t>
      </w:r>
      <w:r>
        <w:rPr>
          <w:noProof/>
          <w:lang w:val="en-IE"/>
        </w:rPr>
        <w:t>s share</w:t>
      </w:r>
      <w:r w:rsidRPr="068895C0">
        <w:rPr>
          <w:noProof/>
          <w:lang w:val="en-IE"/>
        </w:rPr>
        <w:t xml:space="preserve"> is</w:t>
      </w:r>
      <w:r w:rsidRPr="7B090B85">
        <w:rPr>
          <w:noProof/>
          <w:lang w:val="en-IE"/>
        </w:rPr>
        <w:t xml:space="preserve"> </w:t>
      </w:r>
      <w:r w:rsidRPr="6E3AC735">
        <w:rPr>
          <w:noProof/>
          <w:lang w:val="en-IE"/>
        </w:rPr>
        <w:t xml:space="preserve">projected to </w:t>
      </w:r>
      <w:r w:rsidR="00E90C99">
        <w:rPr>
          <w:noProof/>
          <w:lang w:val="en-IE"/>
        </w:rPr>
        <w:t xml:space="preserve">double by 2040 </w:t>
      </w:r>
      <w:r w:rsidR="00CF09B2">
        <w:rPr>
          <w:noProof/>
          <w:lang w:val="en-IE"/>
        </w:rPr>
        <w:t xml:space="preserve">mainly </w:t>
      </w:r>
      <w:r w:rsidRPr="6076F98A">
        <w:rPr>
          <w:noProof/>
          <w:lang w:val="en-IE"/>
        </w:rPr>
        <w:t>due to higher comfort needs</w:t>
      </w:r>
      <w:r w:rsidRPr="67787B19">
        <w:rPr>
          <w:noProof/>
          <w:lang w:val="en-IE"/>
        </w:rPr>
        <w:t>.</w:t>
      </w:r>
      <w:r w:rsidRPr="43613338">
        <w:rPr>
          <w:noProof/>
          <w:lang w:val="en-IE"/>
        </w:rPr>
        <w:t xml:space="preserve"> The </w:t>
      </w:r>
      <w:r>
        <w:rPr>
          <w:noProof/>
          <w:lang w:val="en-IE"/>
        </w:rPr>
        <w:t>final</w:t>
      </w:r>
      <w:r w:rsidRPr="43613338">
        <w:rPr>
          <w:noProof/>
          <w:lang w:val="en-IE"/>
        </w:rPr>
        <w:t xml:space="preserve"> energy consumption of appliances and lighting accounted for less than 20% of total energy consumption in buildings and the dynamics of this end-use sector are outlined </w:t>
      </w:r>
      <w:r w:rsidRPr="28D082FE">
        <w:rPr>
          <w:noProof/>
          <w:lang w:val="en-IE"/>
        </w:rPr>
        <w:t>in</w:t>
      </w:r>
      <w:r>
        <w:rPr>
          <w:noProof/>
          <w:lang w:val="en-IE"/>
        </w:rPr>
        <w:t xml:space="preserve"> </w:t>
      </w:r>
      <w:r w:rsidRPr="28D082FE">
        <w:rPr>
          <w:noProof/>
          <w:lang w:val="en-IE"/>
        </w:rPr>
        <w:t>detail</w:t>
      </w:r>
      <w:r w:rsidRPr="43613338">
        <w:rPr>
          <w:noProof/>
          <w:lang w:val="en-IE"/>
        </w:rPr>
        <w:t xml:space="preserve"> in </w:t>
      </w:r>
      <w:r>
        <w:rPr>
          <w:noProof/>
          <w:lang w:val="en-IE"/>
        </w:rPr>
        <w:t>S</w:t>
      </w:r>
      <w:r w:rsidRPr="43613338">
        <w:rPr>
          <w:noProof/>
          <w:lang w:val="en-IE"/>
        </w:rPr>
        <w:t>ection</w:t>
      </w:r>
      <w:r>
        <w:rPr>
          <w:noProof/>
          <w:lang w:val="en-IE"/>
        </w:rPr>
        <w:t xml:space="preserve"> </w:t>
      </w:r>
      <w:r w:rsidR="00CF09B2" w:rsidRPr="00A438D4">
        <w:rPr>
          <w:noProof/>
          <w:lang w:val="en-IE"/>
        </w:rPr>
        <w:t>8.1.3.4</w:t>
      </w:r>
      <w:r w:rsidR="000C6A24">
        <w:rPr>
          <w:noProof/>
          <w:lang w:val="en-IE"/>
        </w:rPr>
        <w:t xml:space="preserve"> </w:t>
      </w:r>
      <w:r>
        <w:rPr>
          <w:noProof/>
          <w:lang w:val="en-IE"/>
        </w:rPr>
        <w:t>below</w:t>
      </w:r>
      <w:r w:rsidRPr="43613338">
        <w:rPr>
          <w:noProof/>
          <w:lang w:val="en-IE"/>
        </w:rPr>
        <w:t>.</w:t>
      </w:r>
    </w:p>
    <w:p w14:paraId="5B0F5842" w14:textId="75565D47" w:rsidR="00350C25" w:rsidRDefault="00350C25" w:rsidP="00350C25">
      <w:pPr>
        <w:pStyle w:val="Text2"/>
        <w:rPr>
          <w:noProof/>
          <w:lang w:val="en-IE"/>
        </w:rPr>
      </w:pPr>
      <w:r w:rsidRPr="65E1992B">
        <w:rPr>
          <w:noProof/>
          <w:lang w:val="en-IE"/>
        </w:rPr>
        <w:t>The reduction of energy demand for space heating</w:t>
      </w:r>
      <w:r>
        <w:rPr>
          <w:noProof/>
          <w:lang w:val="en-IE"/>
        </w:rPr>
        <w:t xml:space="preserve"> &amp; cooling</w:t>
      </w:r>
      <w:r w:rsidRPr="65E1992B">
        <w:rPr>
          <w:noProof/>
          <w:lang w:val="en-IE"/>
        </w:rPr>
        <w:t xml:space="preserve"> is largely </w:t>
      </w:r>
      <w:r w:rsidRPr="1D5B8745">
        <w:rPr>
          <w:noProof/>
          <w:lang w:val="en-IE"/>
        </w:rPr>
        <w:t>achieved via</w:t>
      </w:r>
      <w:r w:rsidRPr="65E1992B">
        <w:rPr>
          <w:noProof/>
          <w:lang w:val="en-IE"/>
        </w:rPr>
        <w:t xml:space="preserve"> the improvement of the thermal integrity of the building envelopes via increased renovation rate</w:t>
      </w:r>
      <w:r w:rsidR="007419B7">
        <w:rPr>
          <w:noProof/>
          <w:lang w:val="en-IE"/>
        </w:rPr>
        <w:t>s</w:t>
      </w:r>
      <w:r w:rsidRPr="65E1992B">
        <w:rPr>
          <w:noProof/>
          <w:lang w:val="en-IE"/>
        </w:rPr>
        <w:t xml:space="preserve"> of existing buildings and high energy performance standards for renovated and new buildings.</w:t>
      </w:r>
      <w:r w:rsidRPr="33D760E7">
        <w:rPr>
          <w:noProof/>
          <w:lang w:val="en-IE"/>
        </w:rPr>
        <w:t xml:space="preserve"> </w:t>
      </w:r>
      <w:r w:rsidRPr="645ED064">
        <w:rPr>
          <w:noProof/>
          <w:lang w:val="en-IE"/>
        </w:rPr>
        <w:t>Renovation</w:t>
      </w:r>
      <w:r w:rsidRPr="5A17B4F5">
        <w:rPr>
          <w:noProof/>
          <w:lang w:val="en-IE"/>
        </w:rPr>
        <w:t xml:space="preserve"> rates </w:t>
      </w:r>
      <w:r w:rsidRPr="39441B65">
        <w:rPr>
          <w:noProof/>
          <w:lang w:val="en-IE"/>
        </w:rPr>
        <w:t xml:space="preserve">of the building envelope </w:t>
      </w:r>
      <w:r w:rsidRPr="04D4EED0">
        <w:rPr>
          <w:noProof/>
          <w:lang w:val="en-IE"/>
        </w:rPr>
        <w:t xml:space="preserve">increase significantly </w:t>
      </w:r>
      <w:r w:rsidRPr="39441B65">
        <w:rPr>
          <w:noProof/>
          <w:lang w:val="en-IE"/>
        </w:rPr>
        <w:t xml:space="preserve">in </w:t>
      </w:r>
      <w:r w:rsidRPr="07F7BD53">
        <w:rPr>
          <w:noProof/>
          <w:lang w:val="en-IE"/>
        </w:rPr>
        <w:t>the future</w:t>
      </w:r>
      <w:r w:rsidRPr="2A9F032C">
        <w:rPr>
          <w:noProof/>
          <w:lang w:val="en-IE"/>
        </w:rPr>
        <w:t xml:space="preserve"> compared to historically observed rates</w:t>
      </w:r>
      <w:r w:rsidR="00D811AE">
        <w:rPr>
          <w:noProof/>
          <w:lang w:val="en-IE"/>
        </w:rPr>
        <w:t>.</w:t>
      </w:r>
      <w:r w:rsidRPr="2A9F032C">
        <w:rPr>
          <w:noProof/>
          <w:lang w:val="en-IE"/>
        </w:rPr>
        <w:t xml:space="preserve"> </w:t>
      </w:r>
      <w:r w:rsidRPr="686BB347">
        <w:rPr>
          <w:noProof/>
          <w:lang w:val="en-IE"/>
        </w:rPr>
        <w:t xml:space="preserve">Higher renovation rates are </w:t>
      </w:r>
      <w:r w:rsidRPr="04D4EED0">
        <w:rPr>
          <w:noProof/>
          <w:lang w:val="en-IE"/>
        </w:rPr>
        <w:t xml:space="preserve">encouraged by </w:t>
      </w:r>
      <w:r>
        <w:rPr>
          <w:noProof/>
          <w:lang w:val="en-IE"/>
        </w:rPr>
        <w:t xml:space="preserve">existing policies (e.g., </w:t>
      </w:r>
      <w:r w:rsidRPr="04D4EED0">
        <w:rPr>
          <w:noProof/>
          <w:lang w:val="en-IE"/>
        </w:rPr>
        <w:t xml:space="preserve">the </w:t>
      </w:r>
      <w:r w:rsidRPr="1BE01DB4">
        <w:rPr>
          <w:noProof/>
          <w:lang w:val="en-IE"/>
        </w:rPr>
        <w:t>EPBD</w:t>
      </w:r>
      <w:r>
        <w:rPr>
          <w:noProof/>
          <w:lang w:val="en-IE"/>
        </w:rPr>
        <w:t>,</w:t>
      </w:r>
      <w:r w:rsidRPr="13C6F826">
        <w:rPr>
          <w:noProof/>
          <w:lang w:val="en-IE"/>
        </w:rPr>
        <w:t xml:space="preserve"> </w:t>
      </w:r>
      <w:r w:rsidRPr="364338F4">
        <w:rPr>
          <w:noProof/>
          <w:lang w:val="en-IE"/>
        </w:rPr>
        <w:t>ETS2</w:t>
      </w:r>
      <w:r w:rsidR="005979BB">
        <w:rPr>
          <w:noProof/>
          <w:lang w:val="en-IE"/>
        </w:rPr>
        <w:t>, Energy Efficiency Directive</w:t>
      </w:r>
      <w:r>
        <w:rPr>
          <w:noProof/>
          <w:lang w:val="en-IE"/>
        </w:rPr>
        <w:t>) and increasing material circularity,</w:t>
      </w:r>
      <w:r w:rsidRPr="686BB347">
        <w:rPr>
          <w:noProof/>
          <w:lang w:val="en-IE"/>
        </w:rPr>
        <w:t xml:space="preserve"> and assuming</w:t>
      </w:r>
      <w:r w:rsidRPr="2747CB27">
        <w:rPr>
          <w:noProof/>
          <w:lang w:val="en-IE"/>
        </w:rPr>
        <w:t xml:space="preserve"> that </w:t>
      </w:r>
      <w:r w:rsidRPr="1D5B8745">
        <w:rPr>
          <w:noProof/>
          <w:lang w:val="en-IE"/>
        </w:rPr>
        <w:t>market failures</w:t>
      </w:r>
      <w:r w:rsidRPr="63612C0D">
        <w:rPr>
          <w:noProof/>
          <w:lang w:val="en-IE"/>
        </w:rPr>
        <w:t xml:space="preserve"> -</w:t>
      </w:r>
      <w:r w:rsidRPr="1D5B8745">
        <w:rPr>
          <w:noProof/>
          <w:lang w:val="en-IE"/>
        </w:rPr>
        <w:t xml:space="preserve"> </w:t>
      </w:r>
      <w:r w:rsidRPr="2747CB27">
        <w:rPr>
          <w:noProof/>
          <w:lang w:val="en-IE"/>
        </w:rPr>
        <w:t>such as</w:t>
      </w:r>
      <w:r w:rsidRPr="1D5B8745">
        <w:rPr>
          <w:noProof/>
          <w:lang w:val="en-IE"/>
        </w:rPr>
        <w:t xml:space="preserve"> access to finance</w:t>
      </w:r>
      <w:r w:rsidRPr="2747CB27">
        <w:rPr>
          <w:noProof/>
          <w:lang w:val="en-IE"/>
        </w:rPr>
        <w:t xml:space="preserve"> and </w:t>
      </w:r>
      <w:r w:rsidRPr="1D5B8745">
        <w:rPr>
          <w:noProof/>
          <w:lang w:val="en-IE"/>
        </w:rPr>
        <w:t xml:space="preserve">split-incentives </w:t>
      </w:r>
      <w:r w:rsidRPr="63612C0D">
        <w:rPr>
          <w:noProof/>
          <w:lang w:val="en-IE"/>
        </w:rPr>
        <w:t>- that currently limit renovations are addressed</w:t>
      </w:r>
      <w:r w:rsidRPr="2A9F032C">
        <w:rPr>
          <w:noProof/>
          <w:lang w:val="en-IE"/>
        </w:rPr>
        <w:t>.</w:t>
      </w:r>
    </w:p>
    <w:p w14:paraId="76B9B284" w14:textId="1A797ACE" w:rsidR="00350C25" w:rsidRPr="00E878A0" w:rsidRDefault="5068C770" w:rsidP="00E47C5F">
      <w:pPr>
        <w:pStyle w:val="Caption"/>
        <w:rPr>
          <w:noProof/>
        </w:rPr>
      </w:pPr>
      <w:bookmarkStart w:id="223" w:name="_Toc157679788"/>
      <w:r>
        <w:rPr>
          <w:noProof/>
        </w:rPr>
        <w:t>Figure</w:t>
      </w:r>
      <w:r w:rsidR="00350C25">
        <w:rPr>
          <w:noProof/>
        </w:rPr>
        <w:t xml:space="preserve"> </w:t>
      </w:r>
      <w:r>
        <w:rPr>
          <w:noProof/>
        </w:rPr>
        <w:fldChar w:fldCharType="begin"/>
      </w:r>
      <w:r>
        <w:rPr>
          <w:noProof/>
        </w:rPr>
        <w:instrText>SEQ Figure \* ARABIC</w:instrText>
      </w:r>
      <w:r>
        <w:rPr>
          <w:noProof/>
        </w:rPr>
        <w:fldChar w:fldCharType="separate"/>
      </w:r>
      <w:r w:rsidR="00170A3C">
        <w:rPr>
          <w:noProof/>
        </w:rPr>
        <w:t>40</w:t>
      </w:r>
      <w:r>
        <w:rPr>
          <w:noProof/>
        </w:rPr>
        <w:fldChar w:fldCharType="end"/>
      </w:r>
      <w:r w:rsidR="00350C25">
        <w:rPr>
          <w:noProof/>
        </w:rPr>
        <w:t>: Renovation rates in the residential and services sector</w:t>
      </w:r>
      <w:r w:rsidR="005979BB">
        <w:rPr>
          <w:noProof/>
        </w:rPr>
        <w:t>s</w:t>
      </w:r>
      <w:r w:rsidR="00350C25">
        <w:rPr>
          <w:noProof/>
        </w:rPr>
        <w:t>, 20</w:t>
      </w:r>
      <w:r w:rsidR="005979BB">
        <w:rPr>
          <w:noProof/>
        </w:rPr>
        <w:t>20</w:t>
      </w:r>
      <w:r w:rsidR="00350C25">
        <w:rPr>
          <w:noProof/>
        </w:rPr>
        <w:t>-2050</w:t>
      </w:r>
      <w:bookmarkEnd w:id="223"/>
    </w:p>
    <w:p w14:paraId="4AAE50D5" w14:textId="58CD6A90" w:rsidR="00882677" w:rsidRPr="000D1890" w:rsidRDefault="00CC010F" w:rsidP="005E74B4">
      <w:pPr>
        <w:pStyle w:val="Text2"/>
        <w:keepNext/>
        <w:keepLines/>
        <w:spacing w:after="0"/>
        <w:rPr>
          <w:noProof/>
        </w:rPr>
      </w:pPr>
      <w:r w:rsidRPr="00CC010F">
        <w:rPr>
          <w:noProof/>
          <w:lang w:eastAsia="en-GB"/>
        </w:rPr>
        <w:drawing>
          <wp:inline distT="0" distB="0" distL="0" distR="0" wp14:anchorId="7C9E206B" wp14:editId="26113614">
            <wp:extent cx="5362984" cy="1911985"/>
            <wp:effectExtent l="0" t="0" r="9525" b="0"/>
            <wp:docPr id="1506651200" name="Picture 150665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r="24334"/>
                    <a:stretch/>
                  </pic:blipFill>
                  <pic:spPr bwMode="auto">
                    <a:xfrm>
                      <a:off x="0" y="0"/>
                      <a:ext cx="5400954" cy="1925522"/>
                    </a:xfrm>
                    <a:prstGeom prst="rect">
                      <a:avLst/>
                    </a:prstGeom>
                    <a:noFill/>
                    <a:ln>
                      <a:noFill/>
                    </a:ln>
                    <a:extLst>
                      <a:ext uri="{53640926-AAD7-44D8-BBD7-CCE9431645EC}">
                        <a14:shadowObscured xmlns:a14="http://schemas.microsoft.com/office/drawing/2010/main"/>
                      </a:ext>
                    </a:extLst>
                  </pic:spPr>
                </pic:pic>
              </a:graphicData>
            </a:graphic>
          </wp:inline>
        </w:drawing>
      </w:r>
    </w:p>
    <w:p w14:paraId="70B467EE" w14:textId="49F53D3F" w:rsidR="00350C25" w:rsidRPr="00813B7E" w:rsidRDefault="00350C25" w:rsidP="005E74B4">
      <w:pPr>
        <w:pStyle w:val="CT-SOURCE"/>
        <w:rPr>
          <w:i w:val="0"/>
          <w:noProof/>
        </w:rPr>
      </w:pPr>
      <w:r w:rsidRPr="00813B7E">
        <w:rPr>
          <w:noProof/>
        </w:rPr>
        <w:t>Source: PRIMES</w:t>
      </w:r>
    </w:p>
    <w:p w14:paraId="54040780" w14:textId="20DE61EB" w:rsidR="00350C25" w:rsidRPr="00B9712E" w:rsidRDefault="00350C25" w:rsidP="00350C25">
      <w:pPr>
        <w:pStyle w:val="Text2"/>
        <w:rPr>
          <w:noProof/>
          <w:lang w:val="en-IE"/>
        </w:rPr>
      </w:pPr>
      <w:r w:rsidRPr="001F6B55">
        <w:rPr>
          <w:noProof/>
          <w:lang w:val="en-IE"/>
        </w:rPr>
        <w:t>Over</w:t>
      </w:r>
      <w:r>
        <w:rPr>
          <w:noProof/>
          <w:lang w:val="en-IE"/>
        </w:rPr>
        <w:t xml:space="preserve"> the course of this decade, t</w:t>
      </w:r>
      <w:r w:rsidRPr="3C28502C">
        <w:rPr>
          <w:noProof/>
          <w:lang w:val="en-IE"/>
        </w:rPr>
        <w:t>he residential</w:t>
      </w:r>
      <w:r w:rsidRPr="68A47225">
        <w:rPr>
          <w:noProof/>
          <w:lang w:val="en-IE"/>
        </w:rPr>
        <w:t xml:space="preserve"> sector</w:t>
      </w:r>
      <w:r w:rsidRPr="5248FFD1">
        <w:rPr>
          <w:noProof/>
          <w:lang w:val="en-IE"/>
        </w:rPr>
        <w:t xml:space="preserve"> </w:t>
      </w:r>
      <w:r w:rsidRPr="5AAF146C">
        <w:rPr>
          <w:noProof/>
          <w:lang w:val="en-IE"/>
        </w:rPr>
        <w:t>doubl</w:t>
      </w:r>
      <w:r>
        <w:rPr>
          <w:noProof/>
          <w:lang w:val="en-IE"/>
        </w:rPr>
        <w:t>e</w:t>
      </w:r>
      <w:r w:rsidR="00FA53D9">
        <w:rPr>
          <w:noProof/>
          <w:lang w:val="en-IE"/>
        </w:rPr>
        <w:t>s</w:t>
      </w:r>
      <w:r w:rsidRPr="03742502">
        <w:rPr>
          <w:noProof/>
          <w:lang w:val="en-IE"/>
        </w:rPr>
        <w:t xml:space="preserve"> the building shell renovation rate, from</w:t>
      </w:r>
      <w:r w:rsidRPr="3F3F0DDC">
        <w:rPr>
          <w:noProof/>
          <w:lang w:val="en-IE"/>
        </w:rPr>
        <w:t xml:space="preserve"> 0.</w:t>
      </w:r>
      <w:r w:rsidRPr="0155EEA7">
        <w:rPr>
          <w:noProof/>
          <w:lang w:val="en-IE"/>
        </w:rPr>
        <w:t>9%</w:t>
      </w:r>
      <w:r w:rsidRPr="3F3F0DDC">
        <w:rPr>
          <w:noProof/>
          <w:lang w:val="en-IE"/>
        </w:rPr>
        <w:t xml:space="preserve"> </w:t>
      </w:r>
      <w:r w:rsidR="00FA53D9">
        <w:rPr>
          <w:noProof/>
          <w:lang w:val="en-IE"/>
        </w:rPr>
        <w:t xml:space="preserve">in 2020 </w:t>
      </w:r>
      <w:r w:rsidRPr="3F3F0DDC">
        <w:rPr>
          <w:noProof/>
          <w:lang w:val="en-IE"/>
        </w:rPr>
        <w:t xml:space="preserve">to </w:t>
      </w:r>
      <w:r w:rsidR="192284F3" w:rsidRPr="5565220F">
        <w:rPr>
          <w:noProof/>
          <w:lang w:val="en-IE"/>
        </w:rPr>
        <w:t>2.2</w:t>
      </w:r>
      <w:r w:rsidR="00E47C5F">
        <w:rPr>
          <w:noProof/>
          <w:lang w:val="en-IE"/>
        </w:rPr>
        <w:t>%</w:t>
      </w:r>
      <w:r w:rsidR="00FA53D9">
        <w:rPr>
          <w:noProof/>
          <w:lang w:val="en-IE"/>
        </w:rPr>
        <w:t xml:space="preserve"> in </w:t>
      </w:r>
      <w:r w:rsidR="192284F3" w:rsidRPr="5565220F">
        <w:rPr>
          <w:noProof/>
          <w:lang w:val="en-IE"/>
        </w:rPr>
        <w:t xml:space="preserve">2030 and </w:t>
      </w:r>
      <w:r w:rsidR="00E47C5F" w:rsidRPr="5565220F">
        <w:rPr>
          <w:noProof/>
          <w:lang w:val="en-IE"/>
        </w:rPr>
        <w:t>1.4</w:t>
      </w:r>
      <w:r w:rsidR="13EE86E7" w:rsidRPr="5565220F">
        <w:rPr>
          <w:noProof/>
          <w:lang w:val="en-IE"/>
        </w:rPr>
        <w:t>%</w:t>
      </w:r>
      <w:r w:rsidR="00E47C5F" w:rsidRPr="5565220F">
        <w:rPr>
          <w:noProof/>
          <w:lang w:val="en-IE"/>
        </w:rPr>
        <w:t xml:space="preserve"> to 1.9%</w:t>
      </w:r>
      <w:r w:rsidR="00FA53D9" w:rsidRPr="5565220F">
        <w:rPr>
          <w:noProof/>
          <w:lang w:val="en-IE"/>
        </w:rPr>
        <w:t xml:space="preserve"> in 20</w:t>
      </w:r>
      <w:r w:rsidR="00E47C5F" w:rsidRPr="5565220F">
        <w:rPr>
          <w:noProof/>
          <w:lang w:val="en-IE"/>
        </w:rPr>
        <w:t>4</w:t>
      </w:r>
      <w:r w:rsidR="00FA53D9" w:rsidRPr="5565220F">
        <w:rPr>
          <w:noProof/>
          <w:lang w:val="en-IE"/>
        </w:rPr>
        <w:t>0.</w:t>
      </w:r>
      <w:r w:rsidR="00FA53D9">
        <w:rPr>
          <w:noProof/>
          <w:lang w:val="en-IE"/>
        </w:rPr>
        <w:t xml:space="preserve"> </w:t>
      </w:r>
      <w:r w:rsidR="005F043E">
        <w:rPr>
          <w:noProof/>
          <w:lang w:val="en-IE"/>
        </w:rPr>
        <w:t xml:space="preserve">The faster renovation rate of buildings than historically is in line with the </w:t>
      </w:r>
      <w:r w:rsidR="00B25022">
        <w:rPr>
          <w:noProof/>
          <w:lang w:val="en-IE"/>
        </w:rPr>
        <w:t>findings</w:t>
      </w:r>
      <w:r w:rsidR="005F043E">
        <w:rPr>
          <w:noProof/>
          <w:lang w:val="en-IE"/>
        </w:rPr>
        <w:t xml:space="preserve"> of the public consultation on the climate </w:t>
      </w:r>
      <w:r w:rsidR="00B25022">
        <w:rPr>
          <w:noProof/>
          <w:lang w:val="en-IE"/>
        </w:rPr>
        <w:t>target</w:t>
      </w:r>
      <w:r w:rsidR="005F043E">
        <w:rPr>
          <w:noProof/>
          <w:lang w:val="en-IE"/>
        </w:rPr>
        <w:t xml:space="preserve"> for 2040</w:t>
      </w:r>
      <w:r w:rsidR="00B25022">
        <w:rPr>
          <w:noProof/>
          <w:lang w:val="en-IE"/>
        </w:rPr>
        <w:t>: 80% of individuals and 64% of organisations</w:t>
      </w:r>
      <w:r w:rsidR="005F043E">
        <w:rPr>
          <w:noProof/>
          <w:lang w:val="en-IE"/>
        </w:rPr>
        <w:t xml:space="preserve"> </w:t>
      </w:r>
      <w:r w:rsidR="00B25022">
        <w:rPr>
          <w:noProof/>
          <w:lang w:val="en-IE"/>
        </w:rPr>
        <w:t xml:space="preserve">claim that the </w:t>
      </w:r>
      <w:r w:rsidR="005F043E">
        <w:rPr>
          <w:noProof/>
          <w:lang w:val="en-IE"/>
        </w:rPr>
        <w:t xml:space="preserve">transition to climate neutrality </w:t>
      </w:r>
      <w:r w:rsidR="00B25022">
        <w:rPr>
          <w:noProof/>
          <w:lang w:val="en-IE"/>
        </w:rPr>
        <w:t>should accelerate up to 2040</w:t>
      </w:r>
      <w:r w:rsidR="005F043E">
        <w:rPr>
          <w:noProof/>
          <w:lang w:val="en-IE"/>
        </w:rPr>
        <w:t xml:space="preserve">. </w:t>
      </w:r>
      <w:r w:rsidR="00FA53D9">
        <w:rPr>
          <w:noProof/>
          <w:lang w:val="en-IE"/>
        </w:rPr>
        <w:t>In the S</w:t>
      </w:r>
      <w:r w:rsidR="00740B34">
        <w:rPr>
          <w:noProof/>
          <w:lang w:val="en-IE"/>
        </w:rPr>
        <w:t>3 scenario</w:t>
      </w:r>
      <w:r w:rsidR="00FA53D9">
        <w:rPr>
          <w:noProof/>
          <w:lang w:val="en-IE"/>
        </w:rPr>
        <w:t xml:space="preserve">, the renovation rate in the residential sector </w:t>
      </w:r>
      <w:r w:rsidR="001E2956">
        <w:rPr>
          <w:noProof/>
          <w:lang w:val="en-IE"/>
        </w:rPr>
        <w:t>change</w:t>
      </w:r>
      <w:r w:rsidR="00FA53D9">
        <w:rPr>
          <w:noProof/>
          <w:lang w:val="en-IE"/>
        </w:rPr>
        <w:t>s to 1.6% in 2040 and then stabili</w:t>
      </w:r>
      <w:r w:rsidR="00E13187">
        <w:rPr>
          <w:noProof/>
          <w:lang w:val="en-IE"/>
        </w:rPr>
        <w:t>s</w:t>
      </w:r>
      <w:r w:rsidR="00FA53D9">
        <w:rPr>
          <w:noProof/>
          <w:lang w:val="en-IE"/>
        </w:rPr>
        <w:t>es at that level</w:t>
      </w:r>
      <w:r w:rsidRPr="5AB78DD7">
        <w:rPr>
          <w:noProof/>
          <w:lang w:val="en-IE"/>
        </w:rPr>
        <w:t>.</w:t>
      </w:r>
      <w:r w:rsidR="00FA53D9" w:rsidRPr="00FA53D9">
        <w:rPr>
          <w:noProof/>
        </w:rPr>
        <w:t xml:space="preserve"> </w:t>
      </w:r>
      <w:r w:rsidR="00FA53D9">
        <w:rPr>
          <w:noProof/>
        </w:rPr>
        <w:t>The S3 and S1 are characterised by opposite dynamics after 2030</w:t>
      </w:r>
      <w:r w:rsidR="00B83505">
        <w:rPr>
          <w:noProof/>
        </w:rPr>
        <w:t>. T</w:t>
      </w:r>
      <w:r w:rsidR="00FA53D9">
        <w:rPr>
          <w:noProof/>
        </w:rPr>
        <w:t xml:space="preserve">he S3 scenario </w:t>
      </w:r>
      <w:r w:rsidR="002A5A67">
        <w:rPr>
          <w:noProof/>
        </w:rPr>
        <w:t xml:space="preserve">anticipates </w:t>
      </w:r>
      <w:r w:rsidR="00FA53D9">
        <w:rPr>
          <w:noProof/>
        </w:rPr>
        <w:t xml:space="preserve">the renovation effort in the next decade (attaining 1.9% in 2040, the maximum across scenarios) and then </w:t>
      </w:r>
      <w:r w:rsidR="00B83505">
        <w:rPr>
          <w:noProof/>
        </w:rPr>
        <w:t xml:space="preserve">limits the renovation in 2050 to a rate of 1.4% (the minimum level across scenarios). On the other hand, the S1 scenario after 2030 reduces substantially the renovation rate </w:t>
      </w:r>
      <w:r w:rsidR="00B83505" w:rsidRPr="00B9712E">
        <w:rPr>
          <w:noProof/>
        </w:rPr>
        <w:t xml:space="preserve">(attaining 1.4% in 2040) to then accelerate it in the 2040-2050 </w:t>
      </w:r>
      <w:r w:rsidR="005E74B4" w:rsidRPr="00B9712E">
        <w:rPr>
          <w:noProof/>
        </w:rPr>
        <w:t>decade until</w:t>
      </w:r>
      <w:r w:rsidR="00B83505" w:rsidRPr="00B9712E">
        <w:rPr>
          <w:noProof/>
        </w:rPr>
        <w:t xml:space="preserve"> 1.9% in 2050</w:t>
      </w:r>
      <w:r w:rsidR="001C3F04" w:rsidRPr="00B9712E">
        <w:rPr>
          <w:noProof/>
        </w:rPr>
        <w:t xml:space="preserve"> (</w:t>
      </w:r>
      <w:r w:rsidR="00B83505" w:rsidRPr="00B9712E">
        <w:rPr>
          <w:noProof/>
        </w:rPr>
        <w:t>the highest level across scenarios</w:t>
      </w:r>
      <w:r w:rsidR="001C3F04" w:rsidRPr="00B9712E">
        <w:rPr>
          <w:noProof/>
        </w:rPr>
        <w:t>) to</w:t>
      </w:r>
      <w:r w:rsidR="00C81556" w:rsidRPr="00B9712E">
        <w:rPr>
          <w:noProof/>
        </w:rPr>
        <w:t xml:space="preserve"> compensate for missed climate action in the earlier decade</w:t>
      </w:r>
      <w:r w:rsidR="00B83505" w:rsidRPr="00B9712E">
        <w:rPr>
          <w:noProof/>
        </w:rPr>
        <w:t>.</w:t>
      </w:r>
      <w:r w:rsidRPr="00B9712E">
        <w:rPr>
          <w:noProof/>
          <w:lang w:val="en-IE"/>
        </w:rPr>
        <w:t xml:space="preserve"> Similarly, in the services sector the renovation rate </w:t>
      </w:r>
      <w:r w:rsidR="00E47C5F" w:rsidRPr="00B9712E">
        <w:rPr>
          <w:noProof/>
          <w:lang w:val="en-IE"/>
        </w:rPr>
        <w:t>increases from 0.5%</w:t>
      </w:r>
      <w:r w:rsidRPr="00B9712E">
        <w:rPr>
          <w:noProof/>
          <w:lang w:val="en-IE"/>
        </w:rPr>
        <w:t xml:space="preserve"> in </w:t>
      </w:r>
      <w:r w:rsidR="00E47C5F" w:rsidRPr="00B9712E">
        <w:rPr>
          <w:noProof/>
          <w:lang w:val="en-IE"/>
        </w:rPr>
        <w:t>2020 to 0.6 to 1.3% in 2040.</w:t>
      </w:r>
      <w:r w:rsidRPr="00B9712E">
        <w:rPr>
          <w:noProof/>
          <w:lang w:val="en-IE"/>
        </w:rPr>
        <w:t xml:space="preserve"> </w:t>
      </w:r>
      <w:r w:rsidR="00E47C5F" w:rsidRPr="00B9712E">
        <w:rPr>
          <w:noProof/>
          <w:lang w:val="en-IE"/>
        </w:rPr>
        <w:t>I</w:t>
      </w:r>
      <w:r w:rsidR="00B83505" w:rsidRPr="00B9712E">
        <w:rPr>
          <w:noProof/>
          <w:lang w:val="en-IE"/>
        </w:rPr>
        <w:t xml:space="preserve">n the S2 </w:t>
      </w:r>
      <w:r w:rsidR="0054561D">
        <w:rPr>
          <w:noProof/>
          <w:lang w:val="en-IE"/>
        </w:rPr>
        <w:t>scenario</w:t>
      </w:r>
      <w:r w:rsidR="00B83505" w:rsidRPr="00B9712E">
        <w:rPr>
          <w:noProof/>
          <w:lang w:val="en-IE"/>
        </w:rPr>
        <w:t xml:space="preserve"> </w:t>
      </w:r>
      <w:r w:rsidRPr="00B9712E">
        <w:rPr>
          <w:noProof/>
          <w:lang w:val="en-IE"/>
        </w:rPr>
        <w:t xml:space="preserve">it gradually reduces (although at higher levels than historical) to </w:t>
      </w:r>
      <w:r w:rsidR="00B83505" w:rsidRPr="00B9712E">
        <w:rPr>
          <w:noProof/>
          <w:lang w:val="en-IE"/>
        </w:rPr>
        <w:t>0.9</w:t>
      </w:r>
      <w:r w:rsidRPr="00B9712E">
        <w:rPr>
          <w:noProof/>
          <w:lang w:val="en-IE"/>
        </w:rPr>
        <w:t xml:space="preserve">% in 2040 </w:t>
      </w:r>
      <w:r w:rsidR="00B83505" w:rsidRPr="00B9712E">
        <w:rPr>
          <w:noProof/>
          <w:lang w:val="en-IE"/>
        </w:rPr>
        <w:t>and finally stabilizes at that level</w:t>
      </w:r>
      <w:r w:rsidRPr="00B9712E">
        <w:rPr>
          <w:noProof/>
          <w:lang w:val="en-IE"/>
        </w:rPr>
        <w:t>.</w:t>
      </w:r>
      <w:r w:rsidR="00B83505" w:rsidRPr="00B9712E">
        <w:rPr>
          <w:noProof/>
          <w:lang w:val="en-IE"/>
        </w:rPr>
        <w:t xml:space="preserve"> The S1 and S3 scenarios show similar dynamics as in the residential sector, with the S3 </w:t>
      </w:r>
      <w:r w:rsidR="002A5A67">
        <w:rPr>
          <w:noProof/>
          <w:lang w:val="en-IE"/>
        </w:rPr>
        <w:t>anticipating</w:t>
      </w:r>
      <w:r w:rsidR="002A5A67" w:rsidRPr="00B9712E">
        <w:rPr>
          <w:noProof/>
          <w:lang w:val="en-IE"/>
        </w:rPr>
        <w:t xml:space="preserve"> </w:t>
      </w:r>
      <w:r w:rsidR="00B83505" w:rsidRPr="00B9712E">
        <w:rPr>
          <w:noProof/>
          <w:lang w:val="en-IE"/>
        </w:rPr>
        <w:t>the renovation effort and the S1 delaying it to the last decade of this analysis.</w:t>
      </w:r>
      <w:r w:rsidRPr="00B9712E">
        <w:rPr>
          <w:noProof/>
          <w:lang w:val="en-IE"/>
        </w:rPr>
        <w:t xml:space="preserve"> </w:t>
      </w:r>
    </w:p>
    <w:p w14:paraId="7110CA97" w14:textId="0D36A3C7" w:rsidR="00B07FFE" w:rsidRDefault="00B07FFE" w:rsidP="00350C25">
      <w:pPr>
        <w:pStyle w:val="Text2"/>
        <w:rPr>
          <w:noProof/>
          <w:lang w:val="en-IE"/>
        </w:rPr>
      </w:pPr>
      <w:r w:rsidRPr="00B9712E">
        <w:rPr>
          <w:noProof/>
          <w:lang w:val="en-IE"/>
        </w:rPr>
        <w:t>The renovation rates discussed above lead to 29% of the EU residential buildings</w:t>
      </w:r>
      <w:r w:rsidR="00A8158E" w:rsidRPr="00B9712E">
        <w:rPr>
          <w:noProof/>
          <w:lang w:val="en-IE"/>
        </w:rPr>
        <w:t xml:space="preserve"> fleet having</w:t>
      </w:r>
      <w:r w:rsidRPr="00B9712E">
        <w:rPr>
          <w:noProof/>
          <w:lang w:val="en-IE"/>
        </w:rPr>
        <w:t xml:space="preserve"> been renovated in 2030, up to 40</w:t>
      </w:r>
      <w:r w:rsidR="651F962D" w:rsidRPr="00B9712E">
        <w:rPr>
          <w:noProof/>
          <w:lang w:val="en-IE"/>
        </w:rPr>
        <w:t>%</w:t>
      </w:r>
      <w:r w:rsidR="00E944A7" w:rsidRPr="00B9712E">
        <w:rPr>
          <w:noProof/>
          <w:lang w:val="en-IE"/>
        </w:rPr>
        <w:t>-</w:t>
      </w:r>
      <w:r w:rsidRPr="00B9712E">
        <w:rPr>
          <w:noProof/>
          <w:lang w:val="en-IE"/>
        </w:rPr>
        <w:t>43% in the S1-</w:t>
      </w:r>
      <w:r w:rsidR="006750D6" w:rsidRPr="00B9712E">
        <w:rPr>
          <w:noProof/>
          <w:lang w:val="en-IE"/>
        </w:rPr>
        <w:t>S2-</w:t>
      </w:r>
      <w:r w:rsidRPr="00B9712E">
        <w:rPr>
          <w:noProof/>
          <w:lang w:val="en-IE"/>
        </w:rPr>
        <w:t>S3 scenarios) and finally to 55% in 2050.</w:t>
      </w:r>
      <w:r w:rsidR="00092517" w:rsidRPr="00B9712E">
        <w:rPr>
          <w:noProof/>
          <w:lang w:val="en-IE"/>
        </w:rPr>
        <w:t xml:space="preserve"> Regarding the services building fleet, 15% get renovated by 2030, 20% in the S2 scenario in 2040 (between 18% and 22% in the S1</w:t>
      </w:r>
      <w:r w:rsidR="00092517">
        <w:rPr>
          <w:noProof/>
          <w:lang w:val="en-IE"/>
        </w:rPr>
        <w:t>-</w:t>
      </w:r>
      <w:r w:rsidR="006750D6">
        <w:rPr>
          <w:noProof/>
          <w:lang w:val="en-IE"/>
        </w:rPr>
        <w:t>S2-</w:t>
      </w:r>
      <w:r w:rsidR="00092517">
        <w:rPr>
          <w:noProof/>
          <w:lang w:val="en-IE"/>
        </w:rPr>
        <w:t>S3 scenarios) up to 32% in 2050</w:t>
      </w:r>
      <w:r w:rsidR="005459D7">
        <w:rPr>
          <w:noProof/>
          <w:lang w:val="en-IE"/>
        </w:rPr>
        <w:t>.</w:t>
      </w:r>
    </w:p>
    <w:p w14:paraId="39A0A506" w14:textId="7DC23862" w:rsidR="00350C25" w:rsidRPr="004F6342" w:rsidRDefault="00350C25" w:rsidP="00350C25">
      <w:pPr>
        <w:pStyle w:val="Caption"/>
        <w:rPr>
          <w:b w:val="0"/>
          <w:bCs/>
          <w:noProof/>
          <w:sz w:val="24"/>
          <w:szCs w:val="24"/>
        </w:rPr>
      </w:pPr>
      <w:r w:rsidRPr="004F6342">
        <w:rPr>
          <w:b w:val="0"/>
          <w:bCs/>
          <w:noProof/>
          <w:sz w:val="24"/>
          <w:szCs w:val="24"/>
        </w:rPr>
        <w:t xml:space="preserve">The improvement of the energy performance standards and </w:t>
      </w:r>
      <w:r w:rsidR="00A8158E">
        <w:rPr>
          <w:b w:val="0"/>
          <w:bCs/>
          <w:noProof/>
          <w:sz w:val="24"/>
          <w:szCs w:val="24"/>
        </w:rPr>
        <w:t>the renovation of the building fleet</w:t>
      </w:r>
      <w:r w:rsidRPr="004F6342">
        <w:rPr>
          <w:b w:val="0"/>
          <w:bCs/>
          <w:noProof/>
          <w:sz w:val="24"/>
          <w:szCs w:val="24"/>
        </w:rPr>
        <w:t xml:space="preserve"> contribute to a gradual reduction in the average useful energy </w:t>
      </w:r>
      <w:r>
        <w:rPr>
          <w:b w:val="0"/>
          <w:noProof/>
          <w:sz w:val="24"/>
          <w:szCs w:val="24"/>
        </w:rPr>
        <w:t>consumption</w:t>
      </w:r>
      <w:r w:rsidRPr="004F6342">
        <w:rPr>
          <w:b w:val="0"/>
          <w:noProof/>
          <w:sz w:val="24"/>
          <w:szCs w:val="24"/>
        </w:rPr>
        <w:t xml:space="preserve"> </w:t>
      </w:r>
      <w:r w:rsidRPr="004F6342">
        <w:rPr>
          <w:b w:val="0"/>
          <w:bCs/>
          <w:noProof/>
          <w:sz w:val="24"/>
          <w:szCs w:val="24"/>
        </w:rPr>
        <w:t>for space heating</w:t>
      </w:r>
      <w:r w:rsidR="00205281">
        <w:rPr>
          <w:b w:val="0"/>
          <w:bCs/>
          <w:noProof/>
          <w:sz w:val="24"/>
          <w:szCs w:val="24"/>
        </w:rPr>
        <w:t xml:space="preserve"> (</w:t>
      </w:r>
      <w:r w:rsidR="003249B8" w:rsidRPr="00D811AE">
        <w:rPr>
          <w:b w:val="0"/>
          <w:noProof/>
          <w:sz w:val="24"/>
          <w:szCs w:val="24"/>
        </w:rPr>
        <w:fldChar w:fldCharType="begin"/>
      </w:r>
      <w:r w:rsidR="003249B8" w:rsidRPr="003249B8">
        <w:rPr>
          <w:b w:val="0"/>
          <w:bCs/>
          <w:noProof/>
          <w:sz w:val="24"/>
          <w:szCs w:val="24"/>
          <w:highlight w:val="yellow"/>
        </w:rPr>
        <w:instrText xml:space="preserve"> REF _Ref146211112 \h  \* MERGEFORMAT </w:instrText>
      </w:r>
      <w:r w:rsidR="003249B8" w:rsidRPr="00D811AE">
        <w:rPr>
          <w:b w:val="0"/>
          <w:noProof/>
          <w:sz w:val="24"/>
          <w:szCs w:val="24"/>
        </w:rPr>
      </w:r>
      <w:r w:rsidR="003249B8" w:rsidRPr="00D811AE">
        <w:rPr>
          <w:b w:val="0"/>
          <w:noProof/>
          <w:sz w:val="24"/>
          <w:szCs w:val="24"/>
        </w:rPr>
        <w:fldChar w:fldCharType="separate"/>
      </w:r>
      <w:r w:rsidR="00170A3C" w:rsidRPr="00170A3C">
        <w:rPr>
          <w:b w:val="0"/>
          <w:noProof/>
          <w:sz w:val="24"/>
          <w:szCs w:val="24"/>
        </w:rPr>
        <w:t>Figure 41</w:t>
      </w:r>
      <w:r w:rsidR="003249B8" w:rsidRPr="00D811AE">
        <w:rPr>
          <w:b w:val="0"/>
          <w:noProof/>
          <w:sz w:val="24"/>
          <w:szCs w:val="24"/>
        </w:rPr>
        <w:fldChar w:fldCharType="end"/>
      </w:r>
      <w:r w:rsidR="003249B8" w:rsidRPr="5565220F">
        <w:rPr>
          <w:b w:val="0"/>
          <w:noProof/>
          <w:sz w:val="24"/>
          <w:szCs w:val="24"/>
        </w:rPr>
        <w:t>)</w:t>
      </w:r>
      <w:r w:rsidRPr="004F6342">
        <w:rPr>
          <w:b w:val="0"/>
          <w:bCs/>
          <w:noProof/>
          <w:sz w:val="24"/>
          <w:szCs w:val="24"/>
        </w:rPr>
        <w:t xml:space="preserve">. </w:t>
      </w:r>
      <w:r>
        <w:rPr>
          <w:b w:val="0"/>
          <w:noProof/>
          <w:sz w:val="24"/>
          <w:szCs w:val="24"/>
        </w:rPr>
        <w:t>For new dwellings, t</w:t>
      </w:r>
      <w:r w:rsidRPr="004F6342">
        <w:rPr>
          <w:b w:val="0"/>
          <w:noProof/>
          <w:sz w:val="24"/>
          <w:szCs w:val="24"/>
        </w:rPr>
        <w:t xml:space="preserve">he </w:t>
      </w:r>
      <w:r>
        <w:rPr>
          <w:b w:val="0"/>
          <w:noProof/>
          <w:sz w:val="24"/>
          <w:szCs w:val="24"/>
        </w:rPr>
        <w:t>average useful energy for space heating</w:t>
      </w:r>
      <w:r w:rsidRPr="004F6342">
        <w:rPr>
          <w:b w:val="0"/>
          <w:noProof/>
          <w:sz w:val="24"/>
          <w:szCs w:val="24"/>
        </w:rPr>
        <w:t xml:space="preserve"> </w:t>
      </w:r>
      <w:r w:rsidR="006949EC">
        <w:rPr>
          <w:b w:val="0"/>
          <w:noProof/>
          <w:sz w:val="24"/>
          <w:szCs w:val="24"/>
        </w:rPr>
        <w:t xml:space="preserve">at EU level </w:t>
      </w:r>
      <w:r w:rsidR="00CA1935">
        <w:rPr>
          <w:b w:val="0"/>
          <w:noProof/>
          <w:sz w:val="24"/>
          <w:szCs w:val="24"/>
        </w:rPr>
        <w:t xml:space="preserve">will be pushed down </w:t>
      </w:r>
      <w:r w:rsidRPr="004F6342">
        <w:rPr>
          <w:b w:val="0"/>
          <w:noProof/>
          <w:sz w:val="24"/>
          <w:szCs w:val="24"/>
        </w:rPr>
        <w:t xml:space="preserve">from </w:t>
      </w:r>
      <w:r w:rsidRPr="004F6342">
        <w:rPr>
          <w:b w:val="0"/>
          <w:bCs/>
          <w:noProof/>
          <w:sz w:val="24"/>
          <w:szCs w:val="24"/>
        </w:rPr>
        <w:t>36 kWh/m</w:t>
      </w:r>
      <w:r w:rsidRPr="009537E4">
        <w:rPr>
          <w:b w:val="0"/>
          <w:noProof/>
          <w:sz w:val="24"/>
          <w:szCs w:val="24"/>
          <w:vertAlign w:val="superscript"/>
        </w:rPr>
        <w:t>2</w:t>
      </w:r>
      <w:r w:rsidR="1E93AB9A" w:rsidRPr="5565220F">
        <w:rPr>
          <w:b w:val="0"/>
          <w:noProof/>
          <w:sz w:val="24"/>
          <w:szCs w:val="24"/>
        </w:rPr>
        <w:t>/</w:t>
      </w:r>
      <w:r>
        <w:rPr>
          <w:b w:val="0"/>
          <w:noProof/>
          <w:sz w:val="24"/>
          <w:szCs w:val="24"/>
        </w:rPr>
        <w:t>year</w:t>
      </w:r>
      <w:r w:rsidRPr="004F6342">
        <w:rPr>
          <w:b w:val="0"/>
          <w:bCs/>
          <w:noProof/>
          <w:sz w:val="24"/>
          <w:szCs w:val="24"/>
        </w:rPr>
        <w:t xml:space="preserve"> in 2015 to 32 in 2030 (-11%), to 27 in 2040 across scenarios (-25% compared to 2015) </w:t>
      </w:r>
      <w:r w:rsidR="00AB1FAD">
        <w:rPr>
          <w:b w:val="0"/>
          <w:bCs/>
          <w:noProof/>
          <w:sz w:val="24"/>
          <w:szCs w:val="24"/>
        </w:rPr>
        <w:t>and</w:t>
      </w:r>
      <w:r w:rsidRPr="004F6342">
        <w:rPr>
          <w:b w:val="0"/>
          <w:bCs/>
          <w:noProof/>
          <w:sz w:val="24"/>
          <w:szCs w:val="24"/>
        </w:rPr>
        <w:t xml:space="preserve"> 24 kWh/m</w:t>
      </w:r>
      <w:r w:rsidRPr="009537E4">
        <w:rPr>
          <w:b w:val="0"/>
          <w:noProof/>
          <w:sz w:val="24"/>
          <w:szCs w:val="24"/>
          <w:vertAlign w:val="superscript"/>
        </w:rPr>
        <w:t>2</w:t>
      </w:r>
      <w:r w:rsidR="4073D159" w:rsidRPr="5565220F">
        <w:rPr>
          <w:b w:val="0"/>
          <w:noProof/>
          <w:sz w:val="24"/>
          <w:szCs w:val="24"/>
        </w:rPr>
        <w:t>/</w:t>
      </w:r>
      <w:r w:rsidRPr="009537E4">
        <w:rPr>
          <w:b w:val="0"/>
          <w:noProof/>
          <w:sz w:val="24"/>
          <w:szCs w:val="24"/>
        </w:rPr>
        <w:t>year</w:t>
      </w:r>
      <w:r w:rsidRPr="004F6342">
        <w:rPr>
          <w:b w:val="0"/>
          <w:bCs/>
          <w:noProof/>
          <w:sz w:val="24"/>
          <w:szCs w:val="24"/>
        </w:rPr>
        <w:t xml:space="preserve"> in 2050. </w:t>
      </w:r>
      <w:r w:rsidR="00CA1935">
        <w:rPr>
          <w:b w:val="0"/>
          <w:bCs/>
          <w:noProof/>
          <w:sz w:val="24"/>
          <w:szCs w:val="24"/>
        </w:rPr>
        <w:t>E</w:t>
      </w:r>
      <w:r w:rsidRPr="004F6342">
        <w:rPr>
          <w:b w:val="0"/>
          <w:bCs/>
          <w:noProof/>
          <w:sz w:val="24"/>
          <w:szCs w:val="24"/>
        </w:rPr>
        <w:t xml:space="preserve">xisting dwellings </w:t>
      </w:r>
      <w:r w:rsidR="00CA1935">
        <w:rPr>
          <w:b w:val="0"/>
          <w:bCs/>
          <w:noProof/>
          <w:sz w:val="24"/>
          <w:szCs w:val="24"/>
        </w:rPr>
        <w:t>will</w:t>
      </w:r>
      <w:r w:rsidRPr="004F6342">
        <w:rPr>
          <w:b w:val="0"/>
          <w:bCs/>
          <w:noProof/>
          <w:sz w:val="24"/>
          <w:szCs w:val="24"/>
        </w:rPr>
        <w:t xml:space="preserve"> reduce useful energy for space heating from almost 80 kWh/m</w:t>
      </w:r>
      <w:r w:rsidRPr="6E76CD22">
        <w:rPr>
          <w:b w:val="0"/>
          <w:noProof/>
          <w:sz w:val="24"/>
          <w:szCs w:val="24"/>
          <w:vertAlign w:val="superscript"/>
        </w:rPr>
        <w:t>2</w:t>
      </w:r>
      <w:r w:rsidR="62125DE7" w:rsidRPr="5565220F">
        <w:rPr>
          <w:b w:val="0"/>
          <w:noProof/>
          <w:sz w:val="24"/>
          <w:szCs w:val="24"/>
        </w:rPr>
        <w:t>/</w:t>
      </w:r>
      <w:r w:rsidR="006949EC">
        <w:rPr>
          <w:b w:val="0"/>
          <w:bCs/>
          <w:noProof/>
          <w:sz w:val="24"/>
          <w:szCs w:val="24"/>
        </w:rPr>
        <w:t>year</w:t>
      </w:r>
      <w:r w:rsidRPr="004F6342">
        <w:rPr>
          <w:b w:val="0"/>
          <w:bCs/>
          <w:noProof/>
          <w:sz w:val="24"/>
          <w:szCs w:val="24"/>
        </w:rPr>
        <w:t xml:space="preserve"> in 2015 to 6</w:t>
      </w:r>
      <w:r w:rsidR="006949EC">
        <w:rPr>
          <w:b w:val="0"/>
          <w:bCs/>
          <w:noProof/>
          <w:sz w:val="24"/>
          <w:szCs w:val="24"/>
        </w:rPr>
        <w:t>6</w:t>
      </w:r>
      <w:r w:rsidRPr="004F6342">
        <w:rPr>
          <w:b w:val="0"/>
          <w:bCs/>
          <w:noProof/>
          <w:sz w:val="24"/>
          <w:szCs w:val="24"/>
        </w:rPr>
        <w:t xml:space="preserve"> in 2030 (-1</w:t>
      </w:r>
      <w:r w:rsidR="006949EC">
        <w:rPr>
          <w:b w:val="0"/>
          <w:bCs/>
          <w:noProof/>
          <w:sz w:val="24"/>
          <w:szCs w:val="24"/>
        </w:rPr>
        <w:t>4</w:t>
      </w:r>
      <w:r w:rsidRPr="004F6342">
        <w:rPr>
          <w:b w:val="0"/>
          <w:bCs/>
          <w:noProof/>
          <w:sz w:val="24"/>
          <w:szCs w:val="24"/>
        </w:rPr>
        <w:t>% compared to 2015), 54-57 in 2040 across scenarios (-25/</w:t>
      </w:r>
      <w:r w:rsidR="006949EC">
        <w:rPr>
          <w:b w:val="0"/>
          <w:bCs/>
          <w:noProof/>
          <w:sz w:val="24"/>
          <w:szCs w:val="24"/>
        </w:rPr>
        <w:t>29</w:t>
      </w:r>
      <w:r w:rsidRPr="004F6342">
        <w:rPr>
          <w:b w:val="0"/>
          <w:bCs/>
          <w:noProof/>
          <w:sz w:val="24"/>
          <w:szCs w:val="24"/>
        </w:rPr>
        <w:t xml:space="preserve">% compared to 2015) </w:t>
      </w:r>
      <w:r w:rsidR="00F5791D">
        <w:rPr>
          <w:b w:val="0"/>
          <w:bCs/>
          <w:noProof/>
          <w:sz w:val="24"/>
          <w:szCs w:val="24"/>
        </w:rPr>
        <w:t>and</w:t>
      </w:r>
      <w:r w:rsidR="00A408E9">
        <w:rPr>
          <w:b w:val="0"/>
          <w:bCs/>
          <w:noProof/>
          <w:sz w:val="24"/>
          <w:szCs w:val="24"/>
        </w:rPr>
        <w:t xml:space="preserve"> approximately</w:t>
      </w:r>
      <w:r w:rsidRPr="004F6342">
        <w:rPr>
          <w:b w:val="0"/>
          <w:bCs/>
          <w:noProof/>
          <w:sz w:val="24"/>
          <w:szCs w:val="24"/>
        </w:rPr>
        <w:t xml:space="preserve"> 4</w:t>
      </w:r>
      <w:r w:rsidR="00A408E9">
        <w:rPr>
          <w:b w:val="0"/>
          <w:bCs/>
          <w:noProof/>
          <w:sz w:val="24"/>
          <w:szCs w:val="24"/>
        </w:rPr>
        <w:t>8</w:t>
      </w:r>
      <w:r w:rsidRPr="004F6342">
        <w:rPr>
          <w:b w:val="0"/>
          <w:bCs/>
          <w:noProof/>
          <w:sz w:val="24"/>
          <w:szCs w:val="24"/>
        </w:rPr>
        <w:t xml:space="preserve"> kWh/m</w:t>
      </w:r>
      <w:r w:rsidRPr="005459D7">
        <w:rPr>
          <w:b w:val="0"/>
          <w:noProof/>
          <w:sz w:val="24"/>
          <w:szCs w:val="24"/>
          <w:vertAlign w:val="superscript"/>
        </w:rPr>
        <w:t>2</w:t>
      </w:r>
      <w:r w:rsidR="4D1C7BB9" w:rsidRPr="5565220F">
        <w:rPr>
          <w:b w:val="0"/>
          <w:noProof/>
          <w:sz w:val="24"/>
          <w:szCs w:val="24"/>
        </w:rPr>
        <w:t>/</w:t>
      </w:r>
      <w:r w:rsidR="006949EC">
        <w:rPr>
          <w:b w:val="0"/>
          <w:bCs/>
          <w:noProof/>
          <w:sz w:val="24"/>
          <w:szCs w:val="24"/>
        </w:rPr>
        <w:t>year</w:t>
      </w:r>
      <w:r w:rsidRPr="004F6342">
        <w:rPr>
          <w:b w:val="0"/>
          <w:bCs/>
          <w:noProof/>
          <w:sz w:val="24"/>
          <w:szCs w:val="24"/>
        </w:rPr>
        <w:t xml:space="preserve"> in 2050 (-3</w:t>
      </w:r>
      <w:r w:rsidR="006949EC">
        <w:rPr>
          <w:b w:val="0"/>
          <w:bCs/>
          <w:noProof/>
          <w:sz w:val="24"/>
          <w:szCs w:val="24"/>
        </w:rPr>
        <w:t>6</w:t>
      </w:r>
      <w:r w:rsidRPr="004F6342">
        <w:rPr>
          <w:b w:val="0"/>
          <w:bCs/>
          <w:noProof/>
          <w:sz w:val="24"/>
          <w:szCs w:val="24"/>
        </w:rPr>
        <w:t>% compared to 2015).</w:t>
      </w:r>
    </w:p>
    <w:p w14:paraId="4430772C" w14:textId="23DB83DB" w:rsidR="008F4814" w:rsidRDefault="008F4814" w:rsidP="00836D51">
      <w:pPr>
        <w:pStyle w:val="Caption"/>
        <w:jc w:val="left"/>
        <w:rPr>
          <w:noProof/>
        </w:rPr>
      </w:pPr>
      <w:bookmarkStart w:id="224" w:name="_Ref146211112"/>
      <w:bookmarkStart w:id="225" w:name="_Toc157679789"/>
      <w:r>
        <w:rPr>
          <w:noProof/>
        </w:rPr>
        <w:t xml:space="preserve">Figure </w:t>
      </w:r>
      <w:r>
        <w:rPr>
          <w:noProof/>
        </w:rPr>
        <w:fldChar w:fldCharType="begin"/>
      </w:r>
      <w:r>
        <w:rPr>
          <w:noProof/>
        </w:rPr>
        <w:instrText>SEQ Figure \* ARABIC</w:instrText>
      </w:r>
      <w:r>
        <w:rPr>
          <w:noProof/>
        </w:rPr>
        <w:fldChar w:fldCharType="separate"/>
      </w:r>
      <w:r w:rsidR="00170A3C">
        <w:rPr>
          <w:noProof/>
        </w:rPr>
        <w:t>41</w:t>
      </w:r>
      <w:r>
        <w:rPr>
          <w:noProof/>
        </w:rPr>
        <w:fldChar w:fldCharType="end"/>
      </w:r>
      <w:bookmarkEnd w:id="224"/>
      <w:r>
        <w:rPr>
          <w:noProof/>
        </w:rPr>
        <w:t xml:space="preserve">: </w:t>
      </w:r>
      <w:r w:rsidRPr="00F03EBC">
        <w:rPr>
          <w:noProof/>
        </w:rPr>
        <w:t>Average useful energy for space heating</w:t>
      </w:r>
      <w:r w:rsidR="006F0155">
        <w:rPr>
          <w:noProof/>
        </w:rPr>
        <w:t xml:space="preserve"> (S</w:t>
      </w:r>
      <w:r w:rsidR="00A33D29">
        <w:rPr>
          <w:noProof/>
        </w:rPr>
        <w:t>3</w:t>
      </w:r>
      <w:r w:rsidR="006F0155">
        <w:rPr>
          <w:noProof/>
        </w:rPr>
        <w:t>)</w:t>
      </w:r>
      <w:bookmarkEnd w:id="225"/>
    </w:p>
    <w:p w14:paraId="6B821560" w14:textId="072AC1BE" w:rsidR="006949EC" w:rsidRDefault="00A33D29" w:rsidP="00350C25">
      <w:pPr>
        <w:jc w:val="center"/>
        <w:rPr>
          <w:noProof/>
        </w:rPr>
      </w:pPr>
      <w:r w:rsidRPr="00A33D29">
        <w:rPr>
          <w:noProof/>
          <w:lang w:eastAsia="en-GB"/>
        </w:rPr>
        <w:drawing>
          <wp:inline distT="0" distB="0" distL="0" distR="0" wp14:anchorId="403DD219" wp14:editId="1E3A8E17">
            <wp:extent cx="5374005" cy="251904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374005" cy="2519045"/>
                    </a:xfrm>
                    <a:prstGeom prst="rect">
                      <a:avLst/>
                    </a:prstGeom>
                    <a:noFill/>
                    <a:ln>
                      <a:noFill/>
                    </a:ln>
                  </pic:spPr>
                </pic:pic>
              </a:graphicData>
            </a:graphic>
          </wp:inline>
        </w:drawing>
      </w:r>
    </w:p>
    <w:p w14:paraId="787B0426" w14:textId="77777777" w:rsidR="00350C25" w:rsidRPr="00813B7E" w:rsidRDefault="00350C25" w:rsidP="005E74B4">
      <w:pPr>
        <w:pStyle w:val="CT-SOURCE"/>
        <w:rPr>
          <w:i w:val="0"/>
          <w:noProof/>
        </w:rPr>
      </w:pPr>
      <w:r w:rsidRPr="00813B7E">
        <w:rPr>
          <w:noProof/>
        </w:rPr>
        <w:t>Source: PRIMES.</w:t>
      </w:r>
    </w:p>
    <w:p w14:paraId="225B24CF" w14:textId="77777777" w:rsidR="00350C25" w:rsidRPr="00630343" w:rsidRDefault="00350C25" w:rsidP="00350C25">
      <w:pPr>
        <w:pStyle w:val="Heading3"/>
        <w:rPr>
          <w:noProof/>
        </w:rPr>
      </w:pPr>
      <w:bookmarkStart w:id="226" w:name="_Ref143329331"/>
      <w:bookmarkStart w:id="227" w:name="_Toc148605594"/>
      <w:bookmarkStart w:id="228" w:name="_Toc157692040"/>
      <w:r w:rsidRPr="00630343">
        <w:rPr>
          <w:noProof/>
        </w:rPr>
        <w:t>Fuel mix in buildings</w:t>
      </w:r>
      <w:bookmarkEnd w:id="226"/>
      <w:bookmarkEnd w:id="227"/>
      <w:bookmarkEnd w:id="228"/>
    </w:p>
    <w:p w14:paraId="1D9FEE8C" w14:textId="4B896808" w:rsidR="00350C25" w:rsidRDefault="00350C25" w:rsidP="00350C25">
      <w:pPr>
        <w:pStyle w:val="Text2"/>
        <w:rPr>
          <w:noProof/>
          <w:lang w:val="en-IE"/>
        </w:rPr>
      </w:pPr>
      <w:r w:rsidRPr="076F179E">
        <w:rPr>
          <w:noProof/>
          <w:lang w:val="en-IE"/>
        </w:rPr>
        <w:t xml:space="preserve">The main trend </w:t>
      </w:r>
      <w:r>
        <w:rPr>
          <w:noProof/>
          <w:lang w:val="en-IE"/>
        </w:rPr>
        <w:t>related to the fuel mix</w:t>
      </w:r>
      <w:r w:rsidRPr="076F179E">
        <w:rPr>
          <w:noProof/>
          <w:lang w:val="en-IE"/>
        </w:rPr>
        <w:t xml:space="preserve"> that can be observed in buildings is the rapid growth of electricity consumption and the decrease of fossil fuels (notably natural gas)</w:t>
      </w:r>
      <w:r>
        <w:rPr>
          <w:noProof/>
          <w:lang w:val="en-IE"/>
        </w:rPr>
        <w:t xml:space="preserve"> (see </w:t>
      </w:r>
      <w:r w:rsidR="009369F7">
        <w:rPr>
          <w:noProof/>
          <w:color w:val="2B579A"/>
          <w:shd w:val="clear" w:color="auto" w:fill="E6E6E6"/>
          <w:lang w:val="en-IE"/>
        </w:rPr>
        <w:fldChar w:fldCharType="begin"/>
      </w:r>
      <w:r w:rsidR="009369F7">
        <w:rPr>
          <w:noProof/>
          <w:lang w:val="en-IE"/>
        </w:rPr>
        <w:instrText xml:space="preserve"> REF _Ref147757346 \h </w:instrText>
      </w:r>
      <w:r w:rsidR="009369F7">
        <w:rPr>
          <w:noProof/>
          <w:color w:val="2B579A"/>
          <w:shd w:val="clear" w:color="auto" w:fill="E6E6E6"/>
          <w:lang w:val="en-IE"/>
        </w:rPr>
      </w:r>
      <w:r w:rsidR="009369F7">
        <w:rPr>
          <w:noProof/>
          <w:color w:val="2B579A"/>
          <w:shd w:val="clear" w:color="auto" w:fill="E6E6E6"/>
          <w:lang w:val="en-IE"/>
        </w:rPr>
        <w:fldChar w:fldCharType="separate"/>
      </w:r>
      <w:r w:rsidR="00170A3C">
        <w:rPr>
          <w:noProof/>
        </w:rPr>
        <w:t>Figure 42</w:t>
      </w:r>
      <w:r w:rsidR="009369F7">
        <w:rPr>
          <w:noProof/>
          <w:color w:val="2B579A"/>
          <w:shd w:val="clear" w:color="auto" w:fill="E6E6E6"/>
          <w:lang w:val="en-IE"/>
        </w:rPr>
        <w:fldChar w:fldCharType="end"/>
      </w:r>
      <w:r>
        <w:rPr>
          <w:noProof/>
          <w:lang w:val="en-IE"/>
        </w:rPr>
        <w:t xml:space="preserve"> and </w:t>
      </w:r>
      <w:r w:rsidR="009369F7">
        <w:rPr>
          <w:noProof/>
          <w:lang w:val="en-IE"/>
        </w:rPr>
        <w:fldChar w:fldCharType="begin"/>
      </w:r>
      <w:r w:rsidR="009369F7">
        <w:rPr>
          <w:noProof/>
          <w:lang w:val="en-IE"/>
        </w:rPr>
        <w:instrText xml:space="preserve"> REF _Ref147757368 \h </w:instrText>
      </w:r>
      <w:r w:rsidR="009369F7">
        <w:rPr>
          <w:noProof/>
          <w:lang w:val="en-IE"/>
        </w:rPr>
      </w:r>
      <w:r w:rsidR="009369F7">
        <w:rPr>
          <w:noProof/>
          <w:lang w:val="en-IE"/>
        </w:rPr>
        <w:fldChar w:fldCharType="separate"/>
      </w:r>
      <w:r w:rsidR="00170A3C">
        <w:rPr>
          <w:noProof/>
        </w:rPr>
        <w:t>Figure 43</w:t>
      </w:r>
      <w:r w:rsidR="009369F7">
        <w:rPr>
          <w:noProof/>
          <w:lang w:val="en-IE"/>
        </w:rPr>
        <w:fldChar w:fldCharType="end"/>
      </w:r>
      <w:r>
        <w:rPr>
          <w:noProof/>
          <w:lang w:val="en-IE"/>
        </w:rPr>
        <w:t>)</w:t>
      </w:r>
      <w:r w:rsidRPr="076F179E">
        <w:rPr>
          <w:noProof/>
          <w:lang w:val="en-IE"/>
        </w:rPr>
        <w:t>. In 2015, fossil fuels accounted for almost half of the final energy consumption in the buildings sector</w:t>
      </w:r>
      <w:r w:rsidR="00777715">
        <w:rPr>
          <w:noProof/>
          <w:lang w:val="en-IE"/>
        </w:rPr>
        <w:t xml:space="preserve"> (about 170 Mtoe)</w:t>
      </w:r>
      <w:r w:rsidRPr="076F179E">
        <w:rPr>
          <w:noProof/>
          <w:lang w:val="en-IE"/>
        </w:rPr>
        <w:t>, with natural gas giving the largest contribution</w:t>
      </w:r>
      <w:r w:rsidR="00777715">
        <w:rPr>
          <w:noProof/>
          <w:lang w:val="en-IE"/>
        </w:rPr>
        <w:t xml:space="preserve"> (about 110 Mtoe)</w:t>
      </w:r>
      <w:r w:rsidRPr="076F179E">
        <w:rPr>
          <w:noProof/>
          <w:lang w:val="en-IE"/>
        </w:rPr>
        <w:t xml:space="preserve">. By 2040, </w:t>
      </w:r>
      <w:r w:rsidR="00777715">
        <w:rPr>
          <w:noProof/>
          <w:lang w:val="en-IE"/>
        </w:rPr>
        <w:t>fossil fuels account for 9-15% under the S1-</w:t>
      </w:r>
      <w:r w:rsidR="006750D6">
        <w:rPr>
          <w:noProof/>
          <w:lang w:val="en-IE"/>
        </w:rPr>
        <w:t>S2-</w:t>
      </w:r>
      <w:r w:rsidR="00777715">
        <w:rPr>
          <w:noProof/>
          <w:lang w:val="en-IE"/>
        </w:rPr>
        <w:t>S3 scenarios (20-</w:t>
      </w:r>
      <w:r w:rsidR="00D709CC">
        <w:rPr>
          <w:noProof/>
          <w:lang w:val="en-IE"/>
        </w:rPr>
        <w:t>37</w:t>
      </w:r>
      <w:r w:rsidR="00777715">
        <w:rPr>
          <w:noProof/>
          <w:lang w:val="en-IE"/>
        </w:rPr>
        <w:t xml:space="preserve"> Mtoe). </w:t>
      </w:r>
      <w:r w:rsidR="001222E0">
        <w:rPr>
          <w:noProof/>
          <w:lang w:val="en-IE"/>
        </w:rPr>
        <w:t>I</w:t>
      </w:r>
      <w:r w:rsidR="00F04DC4">
        <w:rPr>
          <w:noProof/>
          <w:lang w:val="en-IE"/>
        </w:rPr>
        <w:t xml:space="preserve">n 2040 </w:t>
      </w:r>
      <w:r w:rsidRPr="076F179E">
        <w:rPr>
          <w:noProof/>
          <w:lang w:val="en-IE"/>
        </w:rPr>
        <w:t>the consumption of oil and coal in buildings is almost entirely phased-out</w:t>
      </w:r>
      <w:r w:rsidR="00777715">
        <w:rPr>
          <w:noProof/>
          <w:lang w:val="en-IE"/>
        </w:rPr>
        <w:t xml:space="preserve"> </w:t>
      </w:r>
      <w:r w:rsidR="00F04DC4">
        <w:rPr>
          <w:noProof/>
          <w:lang w:val="en-IE"/>
        </w:rPr>
        <w:t>in all</w:t>
      </w:r>
      <w:r w:rsidR="00777715">
        <w:rPr>
          <w:noProof/>
          <w:lang w:val="en-IE"/>
        </w:rPr>
        <w:t xml:space="preserve"> scenarios</w:t>
      </w:r>
      <w:r w:rsidRPr="076F179E">
        <w:rPr>
          <w:noProof/>
          <w:lang w:val="en-IE"/>
        </w:rPr>
        <w:t xml:space="preserve">. </w:t>
      </w:r>
      <w:r w:rsidR="001222E0">
        <w:rPr>
          <w:noProof/>
          <w:lang w:val="en-IE"/>
        </w:rPr>
        <w:t>By</w:t>
      </w:r>
      <w:r w:rsidRPr="076F179E">
        <w:rPr>
          <w:noProof/>
          <w:lang w:val="en-IE"/>
        </w:rPr>
        <w:t xml:space="preserve"> 2050, natural gas is phased-out from buildings as well. </w:t>
      </w:r>
    </w:p>
    <w:p w14:paraId="1B8F2011" w14:textId="787CFFC8" w:rsidR="00350C25" w:rsidRDefault="00350C25" w:rsidP="00350C25">
      <w:pPr>
        <w:pStyle w:val="Text2"/>
        <w:rPr>
          <w:noProof/>
          <w:lang w:val="en-IE"/>
        </w:rPr>
      </w:pPr>
      <w:r w:rsidRPr="076F179E">
        <w:rPr>
          <w:noProof/>
          <w:lang w:val="en-IE"/>
        </w:rPr>
        <w:t>Electricity becomes the backbone of the buildings sector</w:t>
      </w:r>
      <w:r w:rsidR="00F04DC4">
        <w:rPr>
          <w:noProof/>
          <w:lang w:val="en-IE"/>
        </w:rPr>
        <w:t xml:space="preserve">. It </w:t>
      </w:r>
      <w:r w:rsidRPr="076F179E">
        <w:rPr>
          <w:noProof/>
          <w:lang w:val="en-IE"/>
        </w:rPr>
        <w:t>increas</w:t>
      </w:r>
      <w:r w:rsidR="00F04DC4">
        <w:rPr>
          <w:noProof/>
          <w:lang w:val="en-IE"/>
        </w:rPr>
        <w:t>es</w:t>
      </w:r>
      <w:r w:rsidRPr="076F179E">
        <w:rPr>
          <w:noProof/>
          <w:lang w:val="en-IE"/>
        </w:rPr>
        <w:t xml:space="preserve"> from one-third of buildings energy demand in 2015</w:t>
      </w:r>
      <w:r w:rsidR="00F04DC4">
        <w:rPr>
          <w:noProof/>
          <w:lang w:val="en-IE"/>
        </w:rPr>
        <w:t xml:space="preserve"> (about 120 Mtoe)</w:t>
      </w:r>
      <w:r w:rsidRPr="076F179E">
        <w:rPr>
          <w:noProof/>
          <w:lang w:val="en-IE"/>
        </w:rPr>
        <w:t xml:space="preserve">, to </w:t>
      </w:r>
      <w:r>
        <w:rPr>
          <w:noProof/>
          <w:lang w:val="en-IE"/>
        </w:rPr>
        <w:t xml:space="preserve">more than </w:t>
      </w:r>
      <w:r w:rsidRPr="076F179E">
        <w:rPr>
          <w:noProof/>
          <w:lang w:val="en-IE"/>
        </w:rPr>
        <w:t>half in 2030</w:t>
      </w:r>
      <w:r w:rsidR="00F04DC4">
        <w:rPr>
          <w:noProof/>
          <w:lang w:val="en-IE"/>
        </w:rPr>
        <w:t xml:space="preserve"> (140 Mtoe)</w:t>
      </w:r>
      <w:r w:rsidRPr="076F179E">
        <w:rPr>
          <w:noProof/>
          <w:lang w:val="en-IE"/>
        </w:rPr>
        <w:t xml:space="preserve">, </w:t>
      </w:r>
      <w:r w:rsidR="00F04DC4">
        <w:rPr>
          <w:noProof/>
          <w:lang w:val="en-IE"/>
        </w:rPr>
        <w:t xml:space="preserve">up to </w:t>
      </w:r>
      <w:r w:rsidRPr="076F179E">
        <w:rPr>
          <w:noProof/>
          <w:lang w:val="en-IE"/>
        </w:rPr>
        <w:t>6</w:t>
      </w:r>
      <w:r w:rsidR="00F04DC4">
        <w:rPr>
          <w:noProof/>
          <w:lang w:val="en-IE"/>
        </w:rPr>
        <w:t>1</w:t>
      </w:r>
      <w:r w:rsidRPr="076F179E">
        <w:rPr>
          <w:noProof/>
          <w:lang w:val="en-IE"/>
        </w:rPr>
        <w:t xml:space="preserve">-64% </w:t>
      </w:r>
      <w:r w:rsidR="00F04DC4">
        <w:rPr>
          <w:noProof/>
          <w:lang w:val="en-IE"/>
        </w:rPr>
        <w:t>under the S1-</w:t>
      </w:r>
      <w:r w:rsidR="006750D6">
        <w:rPr>
          <w:noProof/>
          <w:lang w:val="en-IE"/>
        </w:rPr>
        <w:t>S2-</w:t>
      </w:r>
      <w:r w:rsidR="00F04DC4">
        <w:rPr>
          <w:noProof/>
          <w:lang w:val="en-IE"/>
        </w:rPr>
        <w:t>S3</w:t>
      </w:r>
      <w:r>
        <w:rPr>
          <w:noProof/>
          <w:lang w:val="en-IE"/>
        </w:rPr>
        <w:t xml:space="preserve"> scenarios </w:t>
      </w:r>
      <w:r w:rsidR="00F04DC4">
        <w:rPr>
          <w:noProof/>
          <w:lang w:val="en-IE"/>
        </w:rPr>
        <w:t>(about 150 Mtoe)</w:t>
      </w:r>
      <w:r>
        <w:rPr>
          <w:noProof/>
          <w:lang w:val="en-IE"/>
        </w:rPr>
        <w:t xml:space="preserve"> </w:t>
      </w:r>
      <w:r w:rsidRPr="076F179E">
        <w:rPr>
          <w:noProof/>
          <w:lang w:val="en-IE"/>
        </w:rPr>
        <w:t xml:space="preserve">in 2040 and </w:t>
      </w:r>
      <w:r w:rsidR="00F04DC4">
        <w:rPr>
          <w:noProof/>
          <w:lang w:val="en-IE"/>
        </w:rPr>
        <w:t>67</w:t>
      </w:r>
      <w:r w:rsidRPr="076F179E">
        <w:rPr>
          <w:noProof/>
          <w:lang w:val="en-IE"/>
        </w:rPr>
        <w:t xml:space="preserve">% in 2050. </w:t>
      </w:r>
      <w:r w:rsidR="00F04DC4">
        <w:rPr>
          <w:noProof/>
          <w:lang w:val="en-IE"/>
        </w:rPr>
        <w:t>The electrification pattern is quite different between the residential and services sectors.</w:t>
      </w:r>
      <w:r w:rsidRPr="076F179E">
        <w:rPr>
          <w:noProof/>
          <w:lang w:val="en-IE"/>
        </w:rPr>
        <w:t xml:space="preserve"> In the residential sector, the share of electricity is projected to grow from </w:t>
      </w:r>
      <w:r>
        <w:rPr>
          <w:noProof/>
          <w:lang w:val="en-IE"/>
        </w:rPr>
        <w:t>one-fourth</w:t>
      </w:r>
      <w:r w:rsidRPr="076F179E">
        <w:rPr>
          <w:noProof/>
          <w:lang w:val="en-IE"/>
        </w:rPr>
        <w:t xml:space="preserve"> today to just above 40% in 2030, 5</w:t>
      </w:r>
      <w:r>
        <w:rPr>
          <w:noProof/>
          <w:lang w:val="en-IE"/>
        </w:rPr>
        <w:t>3</w:t>
      </w:r>
      <w:r w:rsidRPr="076F179E">
        <w:rPr>
          <w:noProof/>
          <w:lang w:val="en-IE"/>
        </w:rPr>
        <w:t>-5</w:t>
      </w:r>
      <w:r>
        <w:rPr>
          <w:noProof/>
          <w:lang w:val="en-IE"/>
        </w:rPr>
        <w:t>6</w:t>
      </w:r>
      <w:r w:rsidRPr="076F179E">
        <w:rPr>
          <w:noProof/>
          <w:lang w:val="en-IE"/>
        </w:rPr>
        <w:t xml:space="preserve">% across </w:t>
      </w:r>
      <w:r w:rsidR="006C4136">
        <w:rPr>
          <w:noProof/>
          <w:lang w:val="en-IE"/>
        </w:rPr>
        <w:t xml:space="preserve">the S1, S2 and S3 </w:t>
      </w:r>
      <w:r w:rsidRPr="076F179E">
        <w:rPr>
          <w:noProof/>
          <w:lang w:val="en-IE"/>
        </w:rPr>
        <w:t xml:space="preserve">scenarios in 2040 and </w:t>
      </w:r>
      <w:r w:rsidR="00F04DC4">
        <w:rPr>
          <w:noProof/>
          <w:lang w:val="en-IE"/>
        </w:rPr>
        <w:t>up to</w:t>
      </w:r>
      <w:r w:rsidRPr="076F179E">
        <w:rPr>
          <w:noProof/>
          <w:lang w:val="en-IE"/>
        </w:rPr>
        <w:t xml:space="preserve"> 60% in 2050. In services, the electricity share today is already much higher: almost 50% and would increase to around </w:t>
      </w:r>
      <w:r>
        <w:rPr>
          <w:noProof/>
          <w:lang w:val="en-IE"/>
        </w:rPr>
        <w:t>two-thirds</w:t>
      </w:r>
      <w:r w:rsidRPr="076F179E">
        <w:rPr>
          <w:noProof/>
          <w:lang w:val="en-IE"/>
        </w:rPr>
        <w:t xml:space="preserve"> in 2030, more than 75% in all scenarios in 2040</w:t>
      </w:r>
      <w:r w:rsidR="00F04DC4">
        <w:rPr>
          <w:noProof/>
          <w:lang w:val="en-IE"/>
        </w:rPr>
        <w:t>, until achieving</w:t>
      </w:r>
      <w:r w:rsidRPr="076F179E">
        <w:rPr>
          <w:noProof/>
          <w:lang w:val="en-IE"/>
        </w:rPr>
        <w:t xml:space="preserve"> </w:t>
      </w:r>
      <w:r w:rsidR="00F04DC4">
        <w:rPr>
          <w:noProof/>
          <w:lang w:val="en-IE"/>
        </w:rPr>
        <w:t>almost</w:t>
      </w:r>
      <w:r w:rsidRPr="076F179E">
        <w:rPr>
          <w:noProof/>
          <w:lang w:val="en-IE"/>
        </w:rPr>
        <w:t xml:space="preserve"> 80% in 2050. </w:t>
      </w:r>
    </w:p>
    <w:p w14:paraId="5CCDF049" w14:textId="27511261" w:rsidR="00350C25" w:rsidRDefault="00350C25" w:rsidP="00350C25">
      <w:pPr>
        <w:pStyle w:val="Caption"/>
        <w:rPr>
          <w:noProof/>
        </w:rPr>
      </w:pPr>
      <w:bookmarkStart w:id="229" w:name="_Ref141973676"/>
      <w:bookmarkStart w:id="230" w:name="_Ref147757346"/>
      <w:bookmarkStart w:id="231" w:name="_Toc157679790"/>
      <w:r>
        <w:rPr>
          <w:noProof/>
        </w:rPr>
        <w:t xml:space="preserve">Figure </w:t>
      </w:r>
      <w:bookmarkEnd w:id="229"/>
      <w:r w:rsidR="00F2742D">
        <w:rPr>
          <w:noProof/>
        </w:rPr>
        <w:fldChar w:fldCharType="begin"/>
      </w:r>
      <w:r w:rsidR="00F2742D">
        <w:rPr>
          <w:noProof/>
        </w:rPr>
        <w:instrText xml:space="preserve"> SEQ Figure \* ARABIC </w:instrText>
      </w:r>
      <w:r w:rsidR="00F2742D">
        <w:rPr>
          <w:noProof/>
        </w:rPr>
        <w:fldChar w:fldCharType="separate"/>
      </w:r>
      <w:r w:rsidR="00170A3C">
        <w:rPr>
          <w:noProof/>
        </w:rPr>
        <w:t>42</w:t>
      </w:r>
      <w:r w:rsidR="00F2742D">
        <w:rPr>
          <w:noProof/>
        </w:rPr>
        <w:fldChar w:fldCharType="end"/>
      </w:r>
      <w:bookmarkEnd w:id="230"/>
      <w:r>
        <w:rPr>
          <w:noProof/>
        </w:rPr>
        <w:t>: F</w:t>
      </w:r>
      <w:r w:rsidR="009767FF">
        <w:rPr>
          <w:noProof/>
        </w:rPr>
        <w:t xml:space="preserve">EC </w:t>
      </w:r>
      <w:r>
        <w:rPr>
          <w:noProof/>
        </w:rPr>
        <w:t>in the residential sector, 2015-2050</w:t>
      </w:r>
      <w:bookmarkEnd w:id="231"/>
    </w:p>
    <w:p w14:paraId="17DAC607" w14:textId="2A6A6E17" w:rsidR="00117628" w:rsidRDefault="003F643D" w:rsidP="00690CC7">
      <w:pPr>
        <w:spacing w:after="0"/>
        <w:jc w:val="center"/>
        <w:rPr>
          <w:noProof/>
        </w:rPr>
      </w:pPr>
      <w:r w:rsidRPr="003F643D">
        <w:rPr>
          <w:noProof/>
          <w:lang w:eastAsia="en-GB"/>
        </w:rPr>
        <w:drawing>
          <wp:inline distT="0" distB="0" distL="0" distR="0" wp14:anchorId="5E117519" wp14:editId="611CD6D4">
            <wp:extent cx="5403215" cy="2517775"/>
            <wp:effectExtent l="0" t="0" r="0" b="0"/>
            <wp:docPr id="363790925" name="Picture 363790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403215" cy="2517775"/>
                    </a:xfrm>
                    <a:prstGeom prst="rect">
                      <a:avLst/>
                    </a:prstGeom>
                    <a:noFill/>
                    <a:ln>
                      <a:noFill/>
                    </a:ln>
                  </pic:spPr>
                </pic:pic>
              </a:graphicData>
            </a:graphic>
          </wp:inline>
        </w:drawing>
      </w:r>
    </w:p>
    <w:p w14:paraId="360EBE13" w14:textId="7430D456" w:rsidR="00C8481B" w:rsidRPr="00491CA0" w:rsidDel="00C8481B" w:rsidRDefault="00C8481B" w:rsidP="00690CC7">
      <w:pPr>
        <w:pStyle w:val="CT-NOTE"/>
        <w:rPr>
          <w:i w:val="0"/>
          <w:noProof/>
        </w:rPr>
      </w:pPr>
      <w:r w:rsidRPr="00491CA0">
        <w:rPr>
          <w:noProof/>
        </w:rPr>
        <w:t>Note: Biomass and waste include non-renewable was</w:t>
      </w:r>
      <w:r w:rsidRPr="005B4CF0">
        <w:rPr>
          <w:noProof/>
        </w:rPr>
        <w:t>te.</w:t>
      </w:r>
      <w:r w:rsidR="005B4CF0" w:rsidRPr="005B4CF0">
        <w:rPr>
          <w:noProof/>
        </w:rPr>
        <w:t xml:space="preserve"> Ambient heat is not shown.</w:t>
      </w:r>
    </w:p>
    <w:p w14:paraId="734045B8" w14:textId="5C949680" w:rsidR="00350C25" w:rsidRPr="00813B7E" w:rsidRDefault="00350C25" w:rsidP="00951BEB">
      <w:pPr>
        <w:pStyle w:val="CT-SOURCE"/>
        <w:rPr>
          <w:i w:val="0"/>
          <w:noProof/>
        </w:rPr>
      </w:pPr>
      <w:r w:rsidRPr="00813B7E">
        <w:rPr>
          <w:noProof/>
        </w:rPr>
        <w:t>Source: PRIMES.</w:t>
      </w:r>
    </w:p>
    <w:p w14:paraId="693EDB1A" w14:textId="2A05C7D3" w:rsidR="00350C25" w:rsidRDefault="00350C25" w:rsidP="00350C25">
      <w:pPr>
        <w:pStyle w:val="Caption"/>
        <w:rPr>
          <w:noProof/>
        </w:rPr>
      </w:pPr>
      <w:bookmarkStart w:id="232" w:name="_Ref141973683"/>
      <w:bookmarkStart w:id="233" w:name="_Ref147757368"/>
      <w:bookmarkStart w:id="234" w:name="_Toc157679791"/>
      <w:r>
        <w:rPr>
          <w:noProof/>
        </w:rPr>
        <w:t xml:space="preserve">Figure </w:t>
      </w:r>
      <w:bookmarkEnd w:id="232"/>
      <w:r w:rsidR="00F2742D">
        <w:rPr>
          <w:noProof/>
        </w:rPr>
        <w:fldChar w:fldCharType="begin"/>
      </w:r>
      <w:r w:rsidR="00F2742D">
        <w:rPr>
          <w:noProof/>
        </w:rPr>
        <w:instrText xml:space="preserve"> SEQ Figure \* ARABIC </w:instrText>
      </w:r>
      <w:r w:rsidR="00F2742D">
        <w:rPr>
          <w:noProof/>
        </w:rPr>
        <w:fldChar w:fldCharType="separate"/>
      </w:r>
      <w:r w:rsidR="00170A3C">
        <w:rPr>
          <w:noProof/>
        </w:rPr>
        <w:t>43</w:t>
      </w:r>
      <w:r w:rsidR="00F2742D">
        <w:rPr>
          <w:noProof/>
        </w:rPr>
        <w:fldChar w:fldCharType="end"/>
      </w:r>
      <w:bookmarkEnd w:id="233"/>
      <w:r>
        <w:rPr>
          <w:noProof/>
        </w:rPr>
        <w:t>: F</w:t>
      </w:r>
      <w:r w:rsidR="009767FF">
        <w:rPr>
          <w:noProof/>
        </w:rPr>
        <w:t xml:space="preserve">EC </w:t>
      </w:r>
      <w:r>
        <w:rPr>
          <w:noProof/>
        </w:rPr>
        <w:t>in the services sector, 2015-2050</w:t>
      </w:r>
      <w:bookmarkEnd w:id="234"/>
    </w:p>
    <w:p w14:paraId="3CBBBD9B" w14:textId="005CF223" w:rsidR="00117628" w:rsidRPr="00690CC7" w:rsidRDefault="00B634DA" w:rsidP="3D848F09">
      <w:pPr>
        <w:jc w:val="center"/>
        <w:rPr>
          <w:noProof/>
        </w:rPr>
      </w:pPr>
      <w:r w:rsidRPr="00B634DA">
        <w:rPr>
          <w:noProof/>
          <w:lang w:eastAsia="en-GB"/>
        </w:rPr>
        <w:drawing>
          <wp:inline distT="0" distB="0" distL="0" distR="0" wp14:anchorId="4C520F67" wp14:editId="3A5595B4">
            <wp:extent cx="5403215" cy="2517775"/>
            <wp:effectExtent l="0" t="0" r="0" b="0"/>
            <wp:docPr id="363790926" name="Picture 363790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403215" cy="2517775"/>
                    </a:xfrm>
                    <a:prstGeom prst="rect">
                      <a:avLst/>
                    </a:prstGeom>
                    <a:noFill/>
                    <a:ln>
                      <a:noFill/>
                    </a:ln>
                  </pic:spPr>
                </pic:pic>
              </a:graphicData>
            </a:graphic>
          </wp:inline>
        </w:drawing>
      </w:r>
    </w:p>
    <w:p w14:paraId="272F746F" w14:textId="104ED76A" w:rsidR="00C8481B" w:rsidRPr="00C8481B" w:rsidRDefault="00C8481B" w:rsidP="00690CC7">
      <w:pPr>
        <w:pStyle w:val="CT-NOTE"/>
        <w:rPr>
          <w:i w:val="0"/>
          <w:noProof/>
        </w:rPr>
      </w:pPr>
      <w:r w:rsidRPr="00690CC7">
        <w:rPr>
          <w:noProof/>
        </w:rPr>
        <w:t>Note: Biomass and waste include non-renewable waste.</w:t>
      </w:r>
      <w:r w:rsidR="005B4CF0" w:rsidRPr="005B4CF0">
        <w:rPr>
          <w:noProof/>
        </w:rPr>
        <w:t xml:space="preserve"> Ambient heat is not shown.</w:t>
      </w:r>
    </w:p>
    <w:p w14:paraId="5FF405A0" w14:textId="77777777" w:rsidR="00350C25" w:rsidRPr="00813B7E" w:rsidRDefault="00350C25" w:rsidP="00951BEB">
      <w:pPr>
        <w:pStyle w:val="CT-SOURCE"/>
        <w:rPr>
          <w:i w:val="0"/>
          <w:noProof/>
        </w:rPr>
      </w:pPr>
      <w:r w:rsidRPr="00813B7E">
        <w:rPr>
          <w:noProof/>
        </w:rPr>
        <w:t>Source: PRIMES.</w:t>
      </w:r>
    </w:p>
    <w:p w14:paraId="28194A4F" w14:textId="179C58BA" w:rsidR="00350C25" w:rsidRDefault="00350C25" w:rsidP="00350C25">
      <w:pPr>
        <w:pStyle w:val="Text2"/>
        <w:rPr>
          <w:noProof/>
          <w:lang w:val="en-IE"/>
        </w:rPr>
      </w:pPr>
      <w:r w:rsidRPr="5F53DADE">
        <w:rPr>
          <w:noProof/>
          <w:lang w:val="en-IE"/>
        </w:rPr>
        <w:t>Electrification of the building</w:t>
      </w:r>
      <w:r>
        <w:rPr>
          <w:noProof/>
          <w:lang w:val="en-IE"/>
        </w:rPr>
        <w:t>s</w:t>
      </w:r>
      <w:r w:rsidRPr="5F53DADE">
        <w:rPr>
          <w:noProof/>
          <w:lang w:val="en-IE"/>
        </w:rPr>
        <w:t xml:space="preserve"> sector </w:t>
      </w:r>
      <w:r w:rsidRPr="680EE7B7">
        <w:rPr>
          <w:noProof/>
          <w:lang w:val="en-IE"/>
        </w:rPr>
        <w:t xml:space="preserve">is </w:t>
      </w:r>
      <w:r>
        <w:rPr>
          <w:noProof/>
          <w:lang w:val="en-IE"/>
        </w:rPr>
        <w:t>characterised</w:t>
      </w:r>
      <w:r w:rsidRPr="680EE7B7">
        <w:rPr>
          <w:noProof/>
          <w:lang w:val="en-IE"/>
        </w:rPr>
        <w:t xml:space="preserve"> by the </w:t>
      </w:r>
      <w:r w:rsidRPr="22C1951B">
        <w:rPr>
          <w:noProof/>
          <w:lang w:val="en-IE"/>
        </w:rPr>
        <w:t xml:space="preserve">deployment of efficient </w:t>
      </w:r>
      <w:r>
        <w:rPr>
          <w:noProof/>
          <w:lang w:val="en-IE"/>
        </w:rPr>
        <w:t xml:space="preserve">electric </w:t>
      </w:r>
      <w:r w:rsidRPr="78250B81">
        <w:rPr>
          <w:noProof/>
          <w:lang w:val="en-IE"/>
        </w:rPr>
        <w:t>heating and cooling technologies</w:t>
      </w:r>
      <w:r w:rsidR="00094CF8">
        <w:rPr>
          <w:noProof/>
          <w:lang w:val="en-IE"/>
        </w:rPr>
        <w:t xml:space="preserve"> (notably heat pumps)</w:t>
      </w:r>
      <w:r>
        <w:rPr>
          <w:noProof/>
          <w:lang w:val="en-IE"/>
        </w:rPr>
        <w:t>,</w:t>
      </w:r>
      <w:r w:rsidRPr="78250B81">
        <w:rPr>
          <w:noProof/>
          <w:lang w:val="en-IE"/>
        </w:rPr>
        <w:t xml:space="preserve"> </w:t>
      </w:r>
      <w:r>
        <w:rPr>
          <w:noProof/>
          <w:lang w:val="en-IE"/>
        </w:rPr>
        <w:t xml:space="preserve">energy efficient </w:t>
      </w:r>
      <w:r w:rsidRPr="78250B81">
        <w:rPr>
          <w:noProof/>
          <w:lang w:val="en-IE"/>
        </w:rPr>
        <w:t>appliances</w:t>
      </w:r>
      <w:r>
        <w:rPr>
          <w:noProof/>
          <w:lang w:val="en-IE"/>
        </w:rPr>
        <w:t xml:space="preserve"> and LED lighting</w:t>
      </w:r>
      <w:r w:rsidRPr="78250B81">
        <w:rPr>
          <w:noProof/>
          <w:lang w:val="en-IE"/>
        </w:rPr>
        <w:t xml:space="preserve">. Efficiency of the electricity use in the buildings sector is well illustrated by the fact that the growing </w:t>
      </w:r>
      <w:r w:rsidR="00117628">
        <w:rPr>
          <w:noProof/>
          <w:lang w:val="en-IE"/>
        </w:rPr>
        <w:t>use</w:t>
      </w:r>
      <w:r w:rsidRPr="78250B81">
        <w:rPr>
          <w:noProof/>
          <w:lang w:val="en-IE"/>
        </w:rPr>
        <w:t xml:space="preserve"> of </w:t>
      </w:r>
      <w:r w:rsidR="00117628">
        <w:rPr>
          <w:noProof/>
          <w:lang w:val="en-IE"/>
        </w:rPr>
        <w:t xml:space="preserve">equipment consuming </w:t>
      </w:r>
      <w:r w:rsidRPr="78250B81">
        <w:rPr>
          <w:noProof/>
          <w:lang w:val="en-IE"/>
        </w:rPr>
        <w:t xml:space="preserve">electricity is accompanied by limited growth in absolute </w:t>
      </w:r>
      <w:r>
        <w:rPr>
          <w:noProof/>
          <w:lang w:val="en-IE"/>
        </w:rPr>
        <w:t>electricity</w:t>
      </w:r>
      <w:r w:rsidRPr="78250B81">
        <w:rPr>
          <w:noProof/>
          <w:lang w:val="en-IE"/>
        </w:rPr>
        <w:t xml:space="preserve"> consumption: f</w:t>
      </w:r>
      <w:r w:rsidRPr="00CE36B8">
        <w:rPr>
          <w:noProof/>
          <w:lang w:val="en-IE"/>
        </w:rPr>
        <w:t>rom 123 Mtoe in 2015 to almost 140 in 2030 (+12%</w:t>
      </w:r>
      <w:r w:rsidR="00117628">
        <w:rPr>
          <w:noProof/>
          <w:lang w:val="en-IE"/>
        </w:rPr>
        <w:t xml:space="preserve"> compared to 2015</w:t>
      </w:r>
      <w:r w:rsidRPr="00CE36B8">
        <w:rPr>
          <w:noProof/>
          <w:lang w:val="en-IE"/>
        </w:rPr>
        <w:t xml:space="preserve">), almost 150 Mtoe in 2040 </w:t>
      </w:r>
      <w:r w:rsidR="00117628">
        <w:rPr>
          <w:noProof/>
          <w:lang w:val="en-IE"/>
        </w:rPr>
        <w:t>across scenarios</w:t>
      </w:r>
      <w:r w:rsidRPr="00CE36B8">
        <w:rPr>
          <w:noProof/>
          <w:lang w:val="en-IE"/>
        </w:rPr>
        <w:t xml:space="preserve"> (+21% compared to 2015) and </w:t>
      </w:r>
      <w:r w:rsidR="00117628">
        <w:rPr>
          <w:noProof/>
          <w:lang w:val="en-IE"/>
        </w:rPr>
        <w:t xml:space="preserve">almost </w:t>
      </w:r>
      <w:r w:rsidRPr="00CE36B8">
        <w:rPr>
          <w:noProof/>
          <w:lang w:val="en-IE"/>
        </w:rPr>
        <w:t>15</w:t>
      </w:r>
      <w:r w:rsidR="00117628">
        <w:rPr>
          <w:noProof/>
          <w:lang w:val="en-IE"/>
        </w:rPr>
        <w:t>5</w:t>
      </w:r>
      <w:r w:rsidRPr="00CE36B8">
        <w:rPr>
          <w:noProof/>
          <w:lang w:val="en-IE"/>
        </w:rPr>
        <w:t xml:space="preserve"> Mtoe (+2</w:t>
      </w:r>
      <w:r w:rsidR="00117628">
        <w:rPr>
          <w:noProof/>
          <w:lang w:val="en-IE"/>
        </w:rPr>
        <w:t>4</w:t>
      </w:r>
      <w:r w:rsidRPr="00CE36B8">
        <w:rPr>
          <w:noProof/>
          <w:lang w:val="en-IE"/>
        </w:rPr>
        <w:t>%) in 2050</w:t>
      </w:r>
      <w:r w:rsidRPr="78250B81">
        <w:rPr>
          <w:noProof/>
          <w:lang w:val="en-IE"/>
        </w:rPr>
        <w:t>.</w:t>
      </w:r>
    </w:p>
    <w:p w14:paraId="6D448892" w14:textId="70C2419E" w:rsidR="00350C25" w:rsidRDefault="00350C25" w:rsidP="00350C25">
      <w:pPr>
        <w:pStyle w:val="Text2"/>
        <w:rPr>
          <w:noProof/>
          <w:lang w:val="en-IE"/>
        </w:rPr>
      </w:pPr>
      <w:r w:rsidRPr="211DD734">
        <w:rPr>
          <w:noProof/>
          <w:lang w:val="en-IE"/>
        </w:rPr>
        <w:t>Since space heating accounts for the lion</w:t>
      </w:r>
      <w:r>
        <w:rPr>
          <w:noProof/>
          <w:lang w:val="en-IE"/>
        </w:rPr>
        <w:t>’s</w:t>
      </w:r>
      <w:r w:rsidRPr="211DD734">
        <w:rPr>
          <w:noProof/>
          <w:lang w:val="en-IE"/>
        </w:rPr>
        <w:t xml:space="preserve"> share of </w:t>
      </w:r>
      <w:r w:rsidRPr="5E794048">
        <w:rPr>
          <w:noProof/>
          <w:lang w:val="en-IE"/>
        </w:rPr>
        <w:t xml:space="preserve">energy consumption in buildings, </w:t>
      </w:r>
      <w:r w:rsidRPr="211DD734">
        <w:rPr>
          <w:noProof/>
          <w:lang w:val="en-IE"/>
        </w:rPr>
        <w:t xml:space="preserve">fuel switch in </w:t>
      </w:r>
      <w:r w:rsidR="00117628">
        <w:rPr>
          <w:noProof/>
          <w:lang w:val="en-IE"/>
        </w:rPr>
        <w:t xml:space="preserve">buildings’ </w:t>
      </w:r>
      <w:r w:rsidRPr="211DD734">
        <w:rPr>
          <w:noProof/>
          <w:lang w:val="en-IE"/>
        </w:rPr>
        <w:t xml:space="preserve">heating </w:t>
      </w:r>
      <w:r w:rsidR="00117628">
        <w:rPr>
          <w:noProof/>
          <w:lang w:val="en-IE"/>
        </w:rPr>
        <w:t>services</w:t>
      </w:r>
      <w:r w:rsidRPr="211DD734">
        <w:rPr>
          <w:noProof/>
          <w:lang w:val="en-IE"/>
        </w:rPr>
        <w:t xml:space="preserve"> is the key avenue for buildings to contribute to </w:t>
      </w:r>
      <w:r w:rsidRPr="5E794048">
        <w:rPr>
          <w:noProof/>
          <w:lang w:val="en-IE"/>
        </w:rPr>
        <w:t xml:space="preserve">the carbon neutrality objective in </w:t>
      </w:r>
      <w:r w:rsidRPr="00301D67">
        <w:rPr>
          <w:noProof/>
          <w:lang w:val="en-IE"/>
        </w:rPr>
        <w:t>2050</w:t>
      </w:r>
      <w:r w:rsidR="00117628">
        <w:rPr>
          <w:noProof/>
          <w:lang w:val="en-IE"/>
        </w:rPr>
        <w:t xml:space="preserve"> and to curb emissions in 2040</w:t>
      </w:r>
      <w:r w:rsidRPr="00301D67">
        <w:rPr>
          <w:noProof/>
          <w:lang w:val="en-IE"/>
        </w:rPr>
        <w:t xml:space="preserve">. Electrification of space heating and cooling is driven by the </w:t>
      </w:r>
      <w:r>
        <w:rPr>
          <w:noProof/>
          <w:lang w:val="en-IE"/>
        </w:rPr>
        <w:t>uptake</w:t>
      </w:r>
      <w:r w:rsidRPr="00301D67">
        <w:rPr>
          <w:noProof/>
          <w:lang w:val="en-IE"/>
        </w:rPr>
        <w:t xml:space="preserve"> of heat pumps</w:t>
      </w:r>
      <w:r>
        <w:rPr>
          <w:noProof/>
          <w:lang w:val="en-IE"/>
        </w:rPr>
        <w:t xml:space="preserve"> (triggered partly by RepowerEU Plan)</w:t>
      </w:r>
      <w:r w:rsidRPr="00301D67">
        <w:rPr>
          <w:noProof/>
          <w:lang w:val="en-IE"/>
        </w:rPr>
        <w:t>, which</w:t>
      </w:r>
      <w:r w:rsidRPr="01CBEDC8">
        <w:rPr>
          <w:noProof/>
          <w:lang w:val="en-IE"/>
        </w:rPr>
        <w:t xml:space="preserve"> experience a tremendous growth especially in the next two decades</w:t>
      </w:r>
      <w:r>
        <w:rPr>
          <w:noProof/>
          <w:lang w:val="en-IE"/>
        </w:rPr>
        <w:t xml:space="preserve"> (see</w:t>
      </w:r>
      <w:r w:rsidR="00A058E4">
        <w:rPr>
          <w:noProof/>
          <w:lang w:val="en-IE"/>
        </w:rPr>
        <w:t xml:space="preserve"> </w:t>
      </w:r>
      <w:r w:rsidR="00A058E4" w:rsidRPr="009369F7">
        <w:rPr>
          <w:noProof/>
          <w:lang w:val="en-IE"/>
        </w:rPr>
        <w:fldChar w:fldCharType="begin"/>
      </w:r>
      <w:r w:rsidR="00A058E4" w:rsidRPr="00A058E4">
        <w:rPr>
          <w:noProof/>
          <w:highlight w:val="yellow"/>
          <w:lang w:val="en-IE"/>
        </w:rPr>
        <w:instrText xml:space="preserve"> REF _Ref146206961 \h </w:instrText>
      </w:r>
      <w:r w:rsidR="00A058E4">
        <w:rPr>
          <w:noProof/>
          <w:highlight w:val="yellow"/>
          <w:lang w:val="en-IE"/>
        </w:rPr>
        <w:instrText xml:space="preserve"> \* MERGEFORMAT </w:instrText>
      </w:r>
      <w:r w:rsidR="00A058E4" w:rsidRPr="009369F7">
        <w:rPr>
          <w:noProof/>
          <w:lang w:val="en-IE"/>
        </w:rPr>
      </w:r>
      <w:r w:rsidR="00A058E4" w:rsidRPr="009369F7">
        <w:rPr>
          <w:noProof/>
          <w:lang w:val="en-IE"/>
        </w:rPr>
        <w:fldChar w:fldCharType="separate"/>
      </w:r>
      <w:r w:rsidR="00170A3C">
        <w:rPr>
          <w:noProof/>
        </w:rPr>
        <w:t>Figure 44</w:t>
      </w:r>
      <w:r w:rsidR="00A058E4" w:rsidRPr="009369F7">
        <w:rPr>
          <w:noProof/>
          <w:lang w:val="en-IE"/>
        </w:rPr>
        <w:fldChar w:fldCharType="end"/>
      </w:r>
      <w:r>
        <w:rPr>
          <w:noProof/>
          <w:lang w:val="en-IE"/>
        </w:rPr>
        <w:t>)</w:t>
      </w:r>
      <w:r w:rsidRPr="01CBEDC8">
        <w:rPr>
          <w:noProof/>
          <w:lang w:val="en-IE"/>
        </w:rPr>
        <w:t xml:space="preserve">. </w:t>
      </w:r>
    </w:p>
    <w:p w14:paraId="29FB2143" w14:textId="631CECEA" w:rsidR="00DA097F" w:rsidRDefault="00DA097F" w:rsidP="00DA097F">
      <w:pPr>
        <w:pStyle w:val="Caption"/>
        <w:rPr>
          <w:noProof/>
        </w:rPr>
      </w:pPr>
      <w:bookmarkStart w:id="235" w:name="_Ref146206961"/>
      <w:bookmarkStart w:id="236" w:name="_Toc157679792"/>
      <w:r>
        <w:rPr>
          <w:noProof/>
        </w:rPr>
        <w:t xml:space="preserve">Figure </w:t>
      </w:r>
      <w:r>
        <w:rPr>
          <w:noProof/>
        </w:rPr>
        <w:fldChar w:fldCharType="begin"/>
      </w:r>
      <w:r>
        <w:rPr>
          <w:noProof/>
        </w:rPr>
        <w:instrText>SEQ Figure \* ARABIC</w:instrText>
      </w:r>
      <w:r>
        <w:rPr>
          <w:noProof/>
        </w:rPr>
        <w:fldChar w:fldCharType="separate"/>
      </w:r>
      <w:r w:rsidR="00170A3C">
        <w:rPr>
          <w:noProof/>
        </w:rPr>
        <w:t>44</w:t>
      </w:r>
      <w:r>
        <w:rPr>
          <w:noProof/>
        </w:rPr>
        <w:fldChar w:fldCharType="end"/>
      </w:r>
      <w:bookmarkEnd w:id="235"/>
      <w:r>
        <w:rPr>
          <w:noProof/>
        </w:rPr>
        <w:t xml:space="preserve">: </w:t>
      </w:r>
      <w:r w:rsidRPr="00CE64B2">
        <w:rPr>
          <w:noProof/>
        </w:rPr>
        <w:t>Stock of heat pumps in the residential and services sector, 2015-2050</w:t>
      </w:r>
      <w:bookmarkEnd w:id="236"/>
    </w:p>
    <w:p w14:paraId="4BF2F400" w14:textId="175B8CC4" w:rsidR="00350C25" w:rsidRDefault="00F032CA" w:rsidP="3D848F09">
      <w:pPr>
        <w:pStyle w:val="Text2"/>
        <w:spacing w:after="0"/>
        <w:jc w:val="center"/>
        <w:rPr>
          <w:noProof/>
        </w:rPr>
      </w:pPr>
      <w:r w:rsidRPr="00F032CA">
        <w:rPr>
          <w:noProof/>
          <w:lang w:eastAsia="en-GB"/>
        </w:rPr>
        <w:drawing>
          <wp:inline distT="0" distB="0" distL="0" distR="0" wp14:anchorId="010475BC" wp14:editId="7B3273A7">
            <wp:extent cx="5403215" cy="2292144"/>
            <wp:effectExtent l="0" t="0" r="0" b="0"/>
            <wp:docPr id="363790928" name="Picture 363790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t="8962"/>
                    <a:stretch/>
                  </pic:blipFill>
                  <pic:spPr bwMode="auto">
                    <a:xfrm>
                      <a:off x="0" y="0"/>
                      <a:ext cx="5403215" cy="2292144"/>
                    </a:xfrm>
                    <a:prstGeom prst="rect">
                      <a:avLst/>
                    </a:prstGeom>
                    <a:noFill/>
                    <a:ln>
                      <a:noFill/>
                    </a:ln>
                    <a:extLst>
                      <a:ext uri="{53640926-AAD7-44D8-BBD7-CCE9431645EC}">
                        <a14:shadowObscured xmlns:a14="http://schemas.microsoft.com/office/drawing/2010/main"/>
                      </a:ext>
                    </a:extLst>
                  </pic:spPr>
                </pic:pic>
              </a:graphicData>
            </a:graphic>
          </wp:inline>
        </w:drawing>
      </w:r>
    </w:p>
    <w:p w14:paraId="141B1D47" w14:textId="77777777" w:rsidR="00350C25" w:rsidRPr="00813B7E" w:rsidRDefault="00350C25" w:rsidP="00951BEB">
      <w:pPr>
        <w:pStyle w:val="CT-SOURCE"/>
        <w:rPr>
          <w:i w:val="0"/>
          <w:noProof/>
        </w:rPr>
      </w:pPr>
      <w:r w:rsidRPr="00813B7E">
        <w:rPr>
          <w:noProof/>
        </w:rPr>
        <w:t>Source: PRIMES.</w:t>
      </w:r>
    </w:p>
    <w:p w14:paraId="6F3EDD1F" w14:textId="58CF5CE6" w:rsidR="00350C25" w:rsidRDefault="00350C25" w:rsidP="00350C25">
      <w:pPr>
        <w:pStyle w:val="Text2"/>
        <w:rPr>
          <w:noProof/>
          <w:lang w:val="en-IE"/>
        </w:rPr>
      </w:pPr>
      <w:r w:rsidRPr="238CE280">
        <w:rPr>
          <w:noProof/>
          <w:lang w:val="en-IE"/>
        </w:rPr>
        <w:t xml:space="preserve">Hydrogen and </w:t>
      </w:r>
      <w:r w:rsidR="00635D88">
        <w:rPr>
          <w:noProof/>
          <w:lang w:val="en-IE"/>
        </w:rPr>
        <w:t>gaseous e-fuels</w:t>
      </w:r>
      <w:r w:rsidR="00285F48" w:rsidRPr="00285F48">
        <w:rPr>
          <w:noProof/>
          <w:lang w:val="en-IE"/>
        </w:rPr>
        <w:t> (</w:t>
      </w:r>
      <w:r w:rsidR="00285F48">
        <w:rPr>
          <w:rStyle w:val="FootnoteReference"/>
          <w:noProof/>
          <w:lang w:val="en-IE"/>
        </w:rPr>
        <w:footnoteReference w:id="68"/>
      </w:r>
      <w:r w:rsidR="00285F48">
        <w:rPr>
          <w:noProof/>
          <w:lang w:val="en-IE"/>
        </w:rPr>
        <w:t>)</w:t>
      </w:r>
      <w:r w:rsidRPr="238CE280">
        <w:rPr>
          <w:noProof/>
          <w:lang w:val="en-IE"/>
        </w:rPr>
        <w:t xml:space="preserve"> start featuring an uptake in the buildings sector from 2035</w:t>
      </w:r>
      <w:r w:rsidRPr="32FAF8DC">
        <w:rPr>
          <w:noProof/>
          <w:lang w:val="en-IE"/>
        </w:rPr>
        <w:t xml:space="preserve"> and </w:t>
      </w:r>
      <w:r>
        <w:rPr>
          <w:noProof/>
          <w:lang w:val="en-IE"/>
        </w:rPr>
        <w:t>partially</w:t>
      </w:r>
      <w:r w:rsidRPr="3496C93D">
        <w:rPr>
          <w:noProof/>
          <w:lang w:val="en-IE"/>
        </w:rPr>
        <w:t xml:space="preserve"> substitute</w:t>
      </w:r>
      <w:r w:rsidRPr="32FAF8DC">
        <w:rPr>
          <w:noProof/>
          <w:lang w:val="en-IE"/>
        </w:rPr>
        <w:t xml:space="preserve"> the</w:t>
      </w:r>
      <w:r w:rsidRPr="3496C93D">
        <w:rPr>
          <w:noProof/>
          <w:lang w:val="en-IE"/>
        </w:rPr>
        <w:t xml:space="preserve"> use of natural gas</w:t>
      </w:r>
      <w:r w:rsidRPr="7C0ED14B">
        <w:rPr>
          <w:noProof/>
          <w:lang w:val="en-IE"/>
        </w:rPr>
        <w:t>, thus supporting the phase</w:t>
      </w:r>
      <w:r>
        <w:rPr>
          <w:noProof/>
          <w:lang w:val="en-IE"/>
        </w:rPr>
        <w:t xml:space="preserve"> </w:t>
      </w:r>
      <w:r w:rsidRPr="7C0ED14B">
        <w:rPr>
          <w:noProof/>
          <w:lang w:val="en-IE"/>
        </w:rPr>
        <w:t>out of such fossil fuel</w:t>
      </w:r>
      <w:r w:rsidR="009341B9">
        <w:rPr>
          <w:noProof/>
          <w:lang w:val="en-IE"/>
        </w:rPr>
        <w:t xml:space="preserve"> (see Section </w:t>
      </w:r>
      <w:r w:rsidR="006426FA">
        <w:rPr>
          <w:noProof/>
          <w:lang w:val="en-IE"/>
        </w:rPr>
        <w:fldChar w:fldCharType="begin"/>
      </w:r>
      <w:r w:rsidR="006426FA">
        <w:rPr>
          <w:noProof/>
          <w:lang w:val="en-IE"/>
        </w:rPr>
        <w:instrText xml:space="preserve"> REF _Ref143333867 \n \h </w:instrText>
      </w:r>
      <w:r w:rsidR="006426FA">
        <w:rPr>
          <w:noProof/>
          <w:lang w:val="en-IE"/>
        </w:rPr>
      </w:r>
      <w:r w:rsidR="006426FA">
        <w:rPr>
          <w:noProof/>
          <w:lang w:val="en-IE"/>
        </w:rPr>
        <w:fldChar w:fldCharType="separate"/>
      </w:r>
      <w:r w:rsidR="00170A3C">
        <w:rPr>
          <w:noProof/>
          <w:lang w:val="en-IE"/>
        </w:rPr>
        <w:t>1.2.4</w:t>
      </w:r>
      <w:r w:rsidR="006426FA">
        <w:rPr>
          <w:noProof/>
          <w:lang w:val="en-IE"/>
        </w:rPr>
        <w:fldChar w:fldCharType="end"/>
      </w:r>
      <w:r w:rsidR="009341B9">
        <w:rPr>
          <w:noProof/>
          <w:lang w:val="en-IE"/>
        </w:rPr>
        <w:t>)</w:t>
      </w:r>
      <w:r w:rsidRPr="7C0ED14B">
        <w:rPr>
          <w:noProof/>
          <w:lang w:val="en-IE"/>
        </w:rPr>
        <w:t xml:space="preserve">. </w:t>
      </w:r>
      <w:r w:rsidRPr="7DAAA1AC">
        <w:rPr>
          <w:noProof/>
          <w:lang w:val="en-IE"/>
        </w:rPr>
        <w:t xml:space="preserve">However, the consumption of RFNBOs in the buildings sector remains extremely </w:t>
      </w:r>
      <w:r>
        <w:rPr>
          <w:noProof/>
          <w:lang w:val="en-IE"/>
        </w:rPr>
        <w:t>limited</w:t>
      </w:r>
      <w:r w:rsidRPr="2D33C4C6">
        <w:rPr>
          <w:noProof/>
          <w:lang w:val="en-IE"/>
        </w:rPr>
        <w:t xml:space="preserve">, at </w:t>
      </w:r>
      <w:r w:rsidR="00E36426">
        <w:rPr>
          <w:noProof/>
          <w:lang w:val="en-IE"/>
        </w:rPr>
        <w:t>1</w:t>
      </w:r>
      <w:r w:rsidR="000A176E">
        <w:rPr>
          <w:noProof/>
          <w:lang w:val="en-IE"/>
        </w:rPr>
        <w:t>-</w:t>
      </w:r>
      <w:r w:rsidR="00F329AA">
        <w:rPr>
          <w:noProof/>
          <w:lang w:val="en-IE"/>
        </w:rPr>
        <w:t>3</w:t>
      </w:r>
      <w:r w:rsidR="000A176E">
        <w:rPr>
          <w:noProof/>
          <w:lang w:val="en-IE"/>
        </w:rPr>
        <w:t>% in the S1-</w:t>
      </w:r>
      <w:r w:rsidR="006750D6">
        <w:rPr>
          <w:noProof/>
          <w:lang w:val="en-IE"/>
        </w:rPr>
        <w:t>S2-</w:t>
      </w:r>
      <w:r w:rsidR="000A176E">
        <w:rPr>
          <w:noProof/>
          <w:lang w:val="en-IE"/>
        </w:rPr>
        <w:t>S3 scenarios</w:t>
      </w:r>
      <w:r w:rsidRPr="2D33C4C6">
        <w:rPr>
          <w:noProof/>
          <w:lang w:val="en-IE"/>
        </w:rPr>
        <w:t xml:space="preserve"> and </w:t>
      </w:r>
      <w:r w:rsidRPr="496735CD">
        <w:rPr>
          <w:noProof/>
          <w:lang w:val="en-IE"/>
        </w:rPr>
        <w:t>below 10% in all scenarios in 2050.</w:t>
      </w:r>
    </w:p>
    <w:p w14:paraId="59B5CE2B" w14:textId="74D77A88" w:rsidR="00350C25" w:rsidRDefault="00350C25" w:rsidP="00350C25">
      <w:pPr>
        <w:pStyle w:val="Text2"/>
        <w:rPr>
          <w:noProof/>
          <w:lang w:val="en-IE"/>
        </w:rPr>
      </w:pPr>
      <w:r w:rsidRPr="3220B75A">
        <w:rPr>
          <w:noProof/>
          <w:lang w:val="en-IE"/>
        </w:rPr>
        <w:t>Renewable energy</w:t>
      </w:r>
      <w:r w:rsidR="52843FC9" w:rsidRPr="3D848F09">
        <w:rPr>
          <w:noProof/>
          <w:lang w:val="en-IE"/>
        </w:rPr>
        <w:t xml:space="preserve"> sources</w:t>
      </w:r>
      <w:r w:rsidRPr="3220B75A">
        <w:rPr>
          <w:noProof/>
          <w:lang w:val="en-IE"/>
        </w:rPr>
        <w:t xml:space="preserve"> </w:t>
      </w:r>
      <w:r>
        <w:rPr>
          <w:noProof/>
          <w:lang w:val="en-IE"/>
        </w:rPr>
        <w:t xml:space="preserve">(such as </w:t>
      </w:r>
      <w:r w:rsidRPr="3220B75A">
        <w:rPr>
          <w:noProof/>
          <w:lang w:val="en-IE"/>
        </w:rPr>
        <w:t>geothermal and solar heat</w:t>
      </w:r>
      <w:r>
        <w:rPr>
          <w:noProof/>
          <w:lang w:val="en-IE"/>
        </w:rPr>
        <w:t>)</w:t>
      </w:r>
      <w:r w:rsidRPr="3220B75A">
        <w:rPr>
          <w:noProof/>
          <w:lang w:val="en-IE"/>
        </w:rPr>
        <w:t xml:space="preserve"> have marginal shares in </w:t>
      </w:r>
      <w:r>
        <w:rPr>
          <w:noProof/>
          <w:lang w:val="en-IE"/>
        </w:rPr>
        <w:t xml:space="preserve">buildings </w:t>
      </w:r>
      <w:r w:rsidRPr="3220B75A">
        <w:rPr>
          <w:noProof/>
          <w:lang w:val="en-IE"/>
        </w:rPr>
        <w:t>energy consumption and only experience</w:t>
      </w:r>
      <w:r w:rsidR="000A176E">
        <w:rPr>
          <w:noProof/>
          <w:lang w:val="en-IE"/>
        </w:rPr>
        <w:t>s</w:t>
      </w:r>
      <w:r w:rsidRPr="3220B75A">
        <w:rPr>
          <w:noProof/>
          <w:lang w:val="en-IE"/>
        </w:rPr>
        <w:t xml:space="preserve"> a moderate growth during the time horizon</w:t>
      </w:r>
      <w:r>
        <w:rPr>
          <w:noProof/>
          <w:lang w:val="en-IE"/>
        </w:rPr>
        <w:t>. Rather,</w:t>
      </w:r>
      <w:r w:rsidRPr="3220B75A">
        <w:rPr>
          <w:noProof/>
          <w:lang w:val="en-IE"/>
        </w:rPr>
        <w:t xml:space="preserve"> the use of heat pumps with electricity provided by solar PV is expected be a more competitive technology option underpinned by faster cost reductions. Biomass </w:t>
      </w:r>
      <w:r w:rsidRPr="00CE36B8">
        <w:rPr>
          <w:noProof/>
          <w:lang w:val="en-IE"/>
        </w:rPr>
        <w:t xml:space="preserve">(used in modern stoves) </w:t>
      </w:r>
      <w:r>
        <w:rPr>
          <w:noProof/>
          <w:lang w:val="en-IE"/>
        </w:rPr>
        <w:t xml:space="preserve">broadly </w:t>
      </w:r>
      <w:r w:rsidRPr="3220B75A">
        <w:rPr>
          <w:noProof/>
          <w:lang w:val="en-IE"/>
        </w:rPr>
        <w:t xml:space="preserve">maintains </w:t>
      </w:r>
      <w:r>
        <w:rPr>
          <w:noProof/>
          <w:lang w:val="en-IE"/>
        </w:rPr>
        <w:t xml:space="preserve">constant </w:t>
      </w:r>
      <w:r w:rsidRPr="3220B75A">
        <w:rPr>
          <w:noProof/>
          <w:lang w:val="en-IE"/>
        </w:rPr>
        <w:t xml:space="preserve">its share of energy consumption in buildings throughout the </w:t>
      </w:r>
      <w:r>
        <w:rPr>
          <w:noProof/>
          <w:lang w:val="en-IE"/>
        </w:rPr>
        <w:t xml:space="preserve">projections’ </w:t>
      </w:r>
      <w:r w:rsidRPr="3220B75A">
        <w:rPr>
          <w:noProof/>
          <w:lang w:val="en-IE"/>
        </w:rPr>
        <w:t xml:space="preserve">time horizon. In the residential sector, where biomass accounted for 17% of residential energy consumption in 2015, the consumption of biomass </w:t>
      </w:r>
      <w:r w:rsidR="000A176E">
        <w:rPr>
          <w:noProof/>
          <w:lang w:val="en-IE"/>
        </w:rPr>
        <w:t xml:space="preserve">almost </w:t>
      </w:r>
      <w:r w:rsidRPr="3220B75A">
        <w:rPr>
          <w:noProof/>
          <w:lang w:val="en-IE"/>
        </w:rPr>
        <w:t>halves between 2015 and 2050, at the same pace as total energy consumption</w:t>
      </w:r>
      <w:r>
        <w:rPr>
          <w:noProof/>
          <w:lang w:val="en-IE"/>
        </w:rPr>
        <w:t xml:space="preserve"> in the residential sector</w:t>
      </w:r>
      <w:r w:rsidRPr="3220B75A">
        <w:rPr>
          <w:noProof/>
          <w:lang w:val="en-IE"/>
        </w:rPr>
        <w:t>.</w:t>
      </w:r>
      <w:r w:rsidR="00285F48" w:rsidRPr="00285F48">
        <w:rPr>
          <w:noProof/>
          <w:lang w:val="en-IE"/>
        </w:rPr>
        <w:t> (</w:t>
      </w:r>
      <w:r w:rsidR="00285F48">
        <w:rPr>
          <w:rStyle w:val="FootnoteReference"/>
          <w:noProof/>
          <w:lang w:val="en-IE"/>
        </w:rPr>
        <w:footnoteReference w:id="69"/>
      </w:r>
      <w:r w:rsidR="00285F48">
        <w:rPr>
          <w:noProof/>
          <w:lang w:val="en-IE"/>
        </w:rPr>
        <w:t>)</w:t>
      </w:r>
      <w:r w:rsidRPr="3220B75A">
        <w:rPr>
          <w:noProof/>
          <w:lang w:val="en-IE"/>
        </w:rPr>
        <w:t xml:space="preserve"> In the services sector</w:t>
      </w:r>
      <w:r>
        <w:rPr>
          <w:noProof/>
          <w:lang w:val="en-IE"/>
        </w:rPr>
        <w:t xml:space="preserve">, </w:t>
      </w:r>
      <w:r w:rsidRPr="3220B75A">
        <w:rPr>
          <w:noProof/>
          <w:lang w:val="en-IE"/>
        </w:rPr>
        <w:t xml:space="preserve">the share of biomass remains stable </w:t>
      </w:r>
      <w:r>
        <w:rPr>
          <w:noProof/>
          <w:lang w:val="en-IE"/>
        </w:rPr>
        <w:t>as well, although at much lower level than in the residential sector -</w:t>
      </w:r>
      <w:r w:rsidRPr="3220B75A">
        <w:rPr>
          <w:noProof/>
          <w:lang w:val="en-IE"/>
        </w:rPr>
        <w:t xml:space="preserve"> around 3%. </w:t>
      </w:r>
      <w:r w:rsidR="000A176E">
        <w:rPr>
          <w:noProof/>
          <w:lang w:val="en-IE"/>
        </w:rPr>
        <w:t>District heating</w:t>
      </w:r>
      <w:r w:rsidRPr="3220B75A">
        <w:rPr>
          <w:noProof/>
          <w:lang w:val="en-IE"/>
        </w:rPr>
        <w:t xml:space="preserve"> </w:t>
      </w:r>
      <w:r w:rsidR="005D1A26">
        <w:rPr>
          <w:noProof/>
          <w:lang w:val="en-IE"/>
        </w:rPr>
        <w:t>increases slightly its</w:t>
      </w:r>
      <w:r w:rsidRPr="3220B75A">
        <w:rPr>
          <w:noProof/>
          <w:lang w:val="en-IE"/>
        </w:rPr>
        <w:t xml:space="preserve"> share of total energy demand in buildings </w:t>
      </w:r>
      <w:r w:rsidR="0019010D">
        <w:rPr>
          <w:noProof/>
          <w:lang w:val="en-IE"/>
        </w:rPr>
        <w:t>reaching approximately</w:t>
      </w:r>
      <w:r w:rsidRPr="3220B75A">
        <w:rPr>
          <w:noProof/>
          <w:lang w:val="en-IE"/>
        </w:rPr>
        <w:t xml:space="preserve"> </w:t>
      </w:r>
      <w:r w:rsidR="009E6050">
        <w:rPr>
          <w:noProof/>
          <w:lang w:val="en-IE"/>
        </w:rPr>
        <w:t>1</w:t>
      </w:r>
      <w:r w:rsidR="001A4F25">
        <w:rPr>
          <w:noProof/>
          <w:lang w:val="en-IE"/>
        </w:rPr>
        <w:t>1</w:t>
      </w:r>
      <w:r w:rsidRPr="3220B75A">
        <w:rPr>
          <w:noProof/>
          <w:lang w:val="en-IE"/>
        </w:rPr>
        <w:t xml:space="preserve">% </w:t>
      </w:r>
      <w:r w:rsidR="0019010D">
        <w:rPr>
          <w:noProof/>
          <w:lang w:val="en-IE"/>
        </w:rPr>
        <w:t>in 2040</w:t>
      </w:r>
      <w:r w:rsidRPr="3220B75A">
        <w:rPr>
          <w:noProof/>
          <w:lang w:val="en-IE"/>
        </w:rPr>
        <w:t xml:space="preserve"> in all scenarios. </w:t>
      </w:r>
    </w:p>
    <w:p w14:paraId="517BFFFA" w14:textId="74AB9C41" w:rsidR="00932F9F" w:rsidRDefault="00FF4CA3" w:rsidP="00350C25">
      <w:pPr>
        <w:pStyle w:val="Text2"/>
        <w:rPr>
          <w:noProof/>
          <w:lang w:val="en-IE"/>
        </w:rPr>
      </w:pPr>
      <w:r w:rsidRPr="00255285">
        <w:rPr>
          <w:noProof/>
          <w:lang w:val="en-IE"/>
        </w:rPr>
        <w:t xml:space="preserve">It is worth noting that the role of RFNBOs in the </w:t>
      </w:r>
      <w:r>
        <w:rPr>
          <w:noProof/>
          <w:lang w:val="en-IE"/>
        </w:rPr>
        <w:t xml:space="preserve">decarbonisation of the </w:t>
      </w:r>
      <w:r w:rsidRPr="00255285">
        <w:rPr>
          <w:noProof/>
          <w:lang w:val="en-IE"/>
        </w:rPr>
        <w:t>building sector is highly uncertain. A literature review has found out that hydrogen’s role in global energy scenarios is extremely inconsistent: only two out of ten studies reviewed feature a contribution of hydrogen to space heating, which is less than 15% of total space heating demand even in the most</w:t>
      </w:r>
      <w:r>
        <w:rPr>
          <w:noProof/>
          <w:lang w:val="en-IE"/>
        </w:rPr>
        <w:t xml:space="preserve"> hydrogen ambitious scenarios in 2050. </w:t>
      </w:r>
      <w:r w:rsidRPr="001C1A38">
        <w:rPr>
          <w:noProof/>
          <w:lang w:val="en-IE"/>
        </w:rPr>
        <w:t>(</w:t>
      </w:r>
      <w:r>
        <w:rPr>
          <w:rStyle w:val="FootnoteReference"/>
          <w:noProof/>
          <w:lang w:val="en-IE"/>
        </w:rPr>
        <w:footnoteReference w:id="70"/>
      </w:r>
      <w:r>
        <w:rPr>
          <w:noProof/>
          <w:lang w:val="en-IE"/>
        </w:rPr>
        <w:t>). Another recent literature review has found out that few EU energy system models see RFNBOs used in buildings in 2030 (and with a share below 1% of total energy consumption in buildings). In 2040, more models feature hydrogen demand in buildings, which remains below 6% of final demand. In 2050, EU models are characterised by very different levels of RFNBOs consumption in buildings, ranging from nothing or extremely low levels up to 16% of final demand in buildings.</w:t>
      </w:r>
    </w:p>
    <w:p w14:paraId="39CB6C8E" w14:textId="316DF8FE" w:rsidR="005647DC" w:rsidRDefault="0094164B" w:rsidP="00350C25">
      <w:pPr>
        <w:pStyle w:val="Text2"/>
        <w:rPr>
          <w:noProof/>
          <w:lang w:val="en-IE"/>
        </w:rPr>
      </w:pPr>
      <w:r>
        <w:rPr>
          <w:noProof/>
          <w:lang w:val="en-IE"/>
        </w:rPr>
        <w:t xml:space="preserve">Both PRIMES and POTEnCIA project a similar growing trajectory in terms of </w:t>
      </w:r>
      <w:r w:rsidRPr="0094164B">
        <w:rPr>
          <w:noProof/>
          <w:lang w:val="en-IE"/>
        </w:rPr>
        <w:t xml:space="preserve">combined share of gaseous fuels </w:t>
      </w:r>
      <w:r>
        <w:rPr>
          <w:noProof/>
          <w:lang w:val="en-IE"/>
        </w:rPr>
        <w:t xml:space="preserve">(natural gas, hydrogen and synthetic gas) </w:t>
      </w:r>
      <w:r w:rsidRPr="0094164B">
        <w:rPr>
          <w:noProof/>
          <w:lang w:val="en-IE"/>
        </w:rPr>
        <w:t>and electricity in total buildings'</w:t>
      </w:r>
      <w:r>
        <w:rPr>
          <w:noProof/>
          <w:lang w:val="en-IE"/>
        </w:rPr>
        <w:t xml:space="preserve"> </w:t>
      </w:r>
      <w:r w:rsidRPr="0094164B">
        <w:rPr>
          <w:noProof/>
          <w:lang w:val="en-IE"/>
        </w:rPr>
        <w:t>FEC</w:t>
      </w:r>
      <w:r>
        <w:rPr>
          <w:noProof/>
          <w:lang w:val="en-IE"/>
        </w:rPr>
        <w:t xml:space="preserve"> (</w:t>
      </w:r>
      <w:r w:rsidR="00876614" w:rsidRPr="009369F7">
        <w:rPr>
          <w:noProof/>
          <w:lang w:val="en-IE"/>
        </w:rPr>
        <w:fldChar w:fldCharType="begin"/>
      </w:r>
      <w:r w:rsidR="00876614" w:rsidRPr="00876614">
        <w:rPr>
          <w:noProof/>
          <w:highlight w:val="yellow"/>
          <w:lang w:val="en-IE"/>
        </w:rPr>
        <w:instrText xml:space="preserve"> REF _Ref146272582 \h </w:instrText>
      </w:r>
      <w:r w:rsidR="00876614">
        <w:rPr>
          <w:noProof/>
          <w:highlight w:val="yellow"/>
          <w:lang w:val="en-IE"/>
        </w:rPr>
        <w:instrText xml:space="preserve"> \* MERGEFORMAT </w:instrText>
      </w:r>
      <w:r w:rsidR="00876614" w:rsidRPr="009369F7">
        <w:rPr>
          <w:noProof/>
          <w:lang w:val="en-IE"/>
        </w:rPr>
      </w:r>
      <w:r w:rsidR="00876614" w:rsidRPr="009369F7">
        <w:rPr>
          <w:noProof/>
          <w:lang w:val="en-IE"/>
        </w:rPr>
        <w:fldChar w:fldCharType="separate"/>
      </w:r>
      <w:r w:rsidR="00170A3C">
        <w:rPr>
          <w:noProof/>
        </w:rPr>
        <w:t>Figure 45</w:t>
      </w:r>
      <w:r w:rsidR="00876614" w:rsidRPr="009369F7">
        <w:rPr>
          <w:noProof/>
          <w:lang w:val="en-IE"/>
        </w:rPr>
        <w:fldChar w:fldCharType="end"/>
      </w:r>
      <w:r>
        <w:rPr>
          <w:noProof/>
          <w:lang w:val="en-IE"/>
        </w:rPr>
        <w:t xml:space="preserve">). However, </w:t>
      </w:r>
      <w:r w:rsidR="005647DC">
        <w:rPr>
          <w:noProof/>
          <w:lang w:val="en-IE"/>
        </w:rPr>
        <w:t xml:space="preserve">the two models differ in that PRIMES features a higher and longer reliance on the gas network to fulfil buildings’ energy needs, while </w:t>
      </w:r>
      <w:r>
        <w:rPr>
          <w:noProof/>
          <w:lang w:val="en-IE"/>
        </w:rPr>
        <w:t xml:space="preserve">POTEnCIA features a deeper and faster electrification. </w:t>
      </w:r>
      <w:r w:rsidR="005647DC">
        <w:rPr>
          <w:noProof/>
          <w:lang w:val="en-IE"/>
        </w:rPr>
        <w:t xml:space="preserve">Such difference is partially explained by the fact that PRIMES reduces the carbon intensity of the gas mix provided to buildings by producing RFNBOs to be injected in the gas network earlier and in larger amounts. </w:t>
      </w:r>
    </w:p>
    <w:p w14:paraId="65E2DE42" w14:textId="4860184A" w:rsidR="003A642D" w:rsidRDefault="003A642D" w:rsidP="009767FF">
      <w:pPr>
        <w:pStyle w:val="Caption"/>
        <w:jc w:val="left"/>
        <w:rPr>
          <w:noProof/>
        </w:rPr>
      </w:pPr>
      <w:bookmarkStart w:id="237" w:name="_Ref146272582"/>
      <w:bookmarkStart w:id="238" w:name="_Toc157679793"/>
      <w:r>
        <w:rPr>
          <w:noProof/>
        </w:rPr>
        <w:t xml:space="preserve">Figure </w:t>
      </w:r>
      <w:r>
        <w:rPr>
          <w:noProof/>
        </w:rPr>
        <w:fldChar w:fldCharType="begin"/>
      </w:r>
      <w:r>
        <w:rPr>
          <w:noProof/>
        </w:rPr>
        <w:instrText>SEQ Figure \* ARABIC</w:instrText>
      </w:r>
      <w:r>
        <w:rPr>
          <w:noProof/>
        </w:rPr>
        <w:fldChar w:fldCharType="separate"/>
      </w:r>
      <w:r w:rsidR="00170A3C">
        <w:rPr>
          <w:noProof/>
        </w:rPr>
        <w:t>45</w:t>
      </w:r>
      <w:r>
        <w:rPr>
          <w:noProof/>
        </w:rPr>
        <w:fldChar w:fldCharType="end"/>
      </w:r>
      <w:bookmarkEnd w:id="237"/>
      <w:r>
        <w:rPr>
          <w:noProof/>
        </w:rPr>
        <w:t xml:space="preserve">: </w:t>
      </w:r>
      <w:r w:rsidRPr="00812A72">
        <w:rPr>
          <w:noProof/>
        </w:rPr>
        <w:t>Contribution of electricity and gaseous fuels to buildings’ FEC, 2030-2050</w:t>
      </w:r>
      <w:bookmarkEnd w:id="238"/>
    </w:p>
    <w:p w14:paraId="140613DD" w14:textId="3A660B64" w:rsidR="00EA2022" w:rsidRDefault="4320FB98" w:rsidP="0001152D">
      <w:pPr>
        <w:keepNext/>
        <w:jc w:val="center"/>
        <w:rPr>
          <w:noProof/>
        </w:rPr>
      </w:pPr>
      <w:r>
        <w:rPr>
          <w:noProof/>
          <w:lang w:eastAsia="en-GB"/>
        </w:rPr>
        <w:drawing>
          <wp:inline distT="0" distB="0" distL="0" distR="0" wp14:anchorId="6FE6389E" wp14:editId="3205D4B1">
            <wp:extent cx="5088194" cy="2628900"/>
            <wp:effectExtent l="0" t="0" r="0" b="0"/>
            <wp:docPr id="1737456143" name="Picture 1737456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extLst>
                        <a:ext uri="{28A0092B-C50C-407E-A947-70E740481C1C}">
                          <a14:useLocalDpi xmlns:a14="http://schemas.microsoft.com/office/drawing/2010/main" val="0"/>
                        </a:ext>
                      </a:extLst>
                    </a:blip>
                    <a:stretch>
                      <a:fillRect/>
                    </a:stretch>
                  </pic:blipFill>
                  <pic:spPr>
                    <a:xfrm>
                      <a:off x="0" y="0"/>
                      <a:ext cx="5088194" cy="2628900"/>
                    </a:xfrm>
                    <a:prstGeom prst="rect">
                      <a:avLst/>
                    </a:prstGeom>
                  </pic:spPr>
                </pic:pic>
              </a:graphicData>
            </a:graphic>
          </wp:inline>
        </w:drawing>
      </w:r>
    </w:p>
    <w:p w14:paraId="0A6D80B6" w14:textId="6EF5CD1E" w:rsidR="00EA2022" w:rsidRPr="0094164B" w:rsidRDefault="00EA2022" w:rsidP="005E74B4">
      <w:pPr>
        <w:pStyle w:val="CT-SOURCE"/>
        <w:rPr>
          <w:i w:val="0"/>
          <w:noProof/>
        </w:rPr>
      </w:pPr>
      <w:r w:rsidRPr="00813B7E">
        <w:rPr>
          <w:noProof/>
        </w:rPr>
        <w:t>Sources: POTEnCIA, PRIMES</w:t>
      </w:r>
    </w:p>
    <w:p w14:paraId="73D298A5" w14:textId="5E07A8C6" w:rsidR="00EA6D4B" w:rsidRDefault="00EA6D4B" w:rsidP="00EA6D4B">
      <w:pPr>
        <w:pStyle w:val="Text2"/>
        <w:rPr>
          <w:noProof/>
          <w:lang w:val="en-IE"/>
        </w:rPr>
      </w:pPr>
      <w:r>
        <w:rPr>
          <w:noProof/>
          <w:lang w:val="en-IE"/>
        </w:rPr>
        <w:t>This</w:t>
      </w:r>
      <w:r w:rsidRPr="0094164B">
        <w:rPr>
          <w:noProof/>
          <w:lang w:val="en-IE"/>
        </w:rPr>
        <w:t xml:space="preserve"> analysis </w:t>
      </w:r>
      <w:r>
        <w:rPr>
          <w:noProof/>
          <w:lang w:val="en-IE"/>
        </w:rPr>
        <w:t>underlines that a very similar level of decarbonisation of the building sector – as other sectors - can be achieved via different pathways, with the largest differences around 2040. The balance between the use of heat pumps rather than RFNBOs to heat households has important implications on the economics of the gas network and on the sizing of the electricity distribution network.</w:t>
      </w:r>
    </w:p>
    <w:p w14:paraId="2EB334A5" w14:textId="77777777" w:rsidR="00350C25" w:rsidRPr="00A41B00" w:rsidRDefault="00350C25" w:rsidP="00350C25">
      <w:pPr>
        <w:pStyle w:val="Heading3"/>
        <w:rPr>
          <w:noProof/>
        </w:rPr>
      </w:pPr>
      <w:bookmarkStart w:id="239" w:name="_Toc148605595"/>
      <w:bookmarkStart w:id="240" w:name="_Toc157692041"/>
      <w:r w:rsidRPr="00A41B00">
        <w:rPr>
          <w:noProof/>
        </w:rPr>
        <w:t>Appliances</w:t>
      </w:r>
      <w:bookmarkEnd w:id="239"/>
      <w:bookmarkEnd w:id="240"/>
    </w:p>
    <w:p w14:paraId="2BF75C6F" w14:textId="37246D55" w:rsidR="00350C25" w:rsidRDefault="00350C25" w:rsidP="00350C25">
      <w:pPr>
        <w:rPr>
          <w:noProof/>
        </w:rPr>
      </w:pPr>
      <w:r>
        <w:rPr>
          <w:noProof/>
        </w:rPr>
        <w:t xml:space="preserve">The growing number of dwellings (Section </w:t>
      </w:r>
      <w:r w:rsidR="0001152D">
        <w:rPr>
          <w:noProof/>
        </w:rPr>
        <w:fldChar w:fldCharType="begin"/>
      </w:r>
      <w:r w:rsidR="0001152D">
        <w:rPr>
          <w:noProof/>
        </w:rPr>
        <w:instrText xml:space="preserve"> REF _Ref143334051 \n \h </w:instrText>
      </w:r>
      <w:r w:rsidR="0001152D">
        <w:rPr>
          <w:noProof/>
        </w:rPr>
      </w:r>
      <w:r w:rsidR="0001152D">
        <w:rPr>
          <w:noProof/>
        </w:rPr>
        <w:fldChar w:fldCharType="separate"/>
      </w:r>
      <w:r w:rsidR="00170A3C">
        <w:rPr>
          <w:noProof/>
        </w:rPr>
        <w:t>1.3.1</w:t>
      </w:r>
      <w:r w:rsidR="0001152D">
        <w:rPr>
          <w:noProof/>
        </w:rPr>
        <w:fldChar w:fldCharType="end"/>
      </w:r>
      <w:r>
        <w:rPr>
          <w:noProof/>
        </w:rPr>
        <w:t>), higher GDP and living standards drive up the number of appliances (</w:t>
      </w:r>
      <w:r w:rsidR="009369F7">
        <w:rPr>
          <w:noProof/>
        </w:rPr>
        <w:fldChar w:fldCharType="begin"/>
      </w:r>
      <w:r w:rsidR="009369F7">
        <w:rPr>
          <w:noProof/>
        </w:rPr>
        <w:instrText xml:space="preserve"> REF _Ref147757474 \h </w:instrText>
      </w:r>
      <w:r w:rsidR="009369F7">
        <w:rPr>
          <w:noProof/>
        </w:rPr>
      </w:r>
      <w:r w:rsidR="009369F7">
        <w:rPr>
          <w:noProof/>
        </w:rPr>
        <w:fldChar w:fldCharType="separate"/>
      </w:r>
      <w:r w:rsidR="00170A3C">
        <w:rPr>
          <w:noProof/>
        </w:rPr>
        <w:t>Figure 46</w:t>
      </w:r>
      <w:r w:rsidR="009369F7">
        <w:rPr>
          <w:noProof/>
        </w:rPr>
        <w:fldChar w:fldCharType="end"/>
      </w:r>
      <w:r>
        <w:rPr>
          <w:noProof/>
        </w:rPr>
        <w:t>). Compared to 2015, the stock of black appliances grows by 44%, 68% and 86% respectively in 2030, 2040 and 2050 respectively</w:t>
      </w:r>
      <w:r>
        <w:rPr>
          <w:rStyle w:val="FootnoteReference"/>
          <w:noProof/>
        </w:rPr>
        <w:footnoteReference w:id="71"/>
      </w:r>
      <w:r w:rsidR="00F37A99">
        <w:rPr>
          <w:noProof/>
        </w:rPr>
        <w:t>.</w:t>
      </w:r>
      <w:r>
        <w:rPr>
          <w:noProof/>
        </w:rPr>
        <w:t xml:space="preserve"> Information and communication appliances experience the largest growth, more than doubling their stock already in 2030. The stock of white appliances grows at slightly lower pace, by 41%, 55% and 65% respectively in 2030, 2040 and 2050 with respect to 2015</w:t>
      </w:r>
      <w:r w:rsidR="00F37A99">
        <w:rPr>
          <w:noProof/>
        </w:rPr>
        <w:t xml:space="preserve"> </w:t>
      </w:r>
      <w:r w:rsidR="00F37A99" w:rsidRPr="00F37A99">
        <w:rPr>
          <w:noProof/>
        </w:rPr>
        <w:t>(</w:t>
      </w:r>
      <w:r w:rsidR="00F37A99">
        <w:rPr>
          <w:rStyle w:val="FootnoteReference"/>
          <w:noProof/>
        </w:rPr>
        <w:footnoteReference w:id="72"/>
      </w:r>
      <w:r w:rsidR="00F37A99">
        <w:rPr>
          <w:noProof/>
        </w:rPr>
        <w:t>)</w:t>
      </w:r>
      <w:r>
        <w:rPr>
          <w:noProof/>
        </w:rPr>
        <w:t>. The growth of the stock of lighting equipment is more limited compared to that of appliances.</w:t>
      </w:r>
    </w:p>
    <w:p w14:paraId="4BA1D488" w14:textId="237D04F8" w:rsidR="00554332" w:rsidRDefault="00554332" w:rsidP="00554332">
      <w:pPr>
        <w:pStyle w:val="Caption"/>
        <w:rPr>
          <w:noProof/>
        </w:rPr>
      </w:pPr>
      <w:bookmarkStart w:id="241" w:name="_Ref147757474"/>
      <w:bookmarkStart w:id="242" w:name="_Toc157679794"/>
      <w:r>
        <w:rPr>
          <w:noProof/>
        </w:rPr>
        <w:t xml:space="preserve">Figure </w:t>
      </w:r>
      <w:r>
        <w:rPr>
          <w:noProof/>
        </w:rPr>
        <w:fldChar w:fldCharType="begin"/>
      </w:r>
      <w:r>
        <w:rPr>
          <w:noProof/>
        </w:rPr>
        <w:instrText>SEQ Figure \* ARABIC</w:instrText>
      </w:r>
      <w:r>
        <w:rPr>
          <w:noProof/>
        </w:rPr>
        <w:fldChar w:fldCharType="separate"/>
      </w:r>
      <w:r w:rsidR="00170A3C">
        <w:rPr>
          <w:noProof/>
        </w:rPr>
        <w:t>46</w:t>
      </w:r>
      <w:r>
        <w:rPr>
          <w:noProof/>
        </w:rPr>
        <w:fldChar w:fldCharType="end"/>
      </w:r>
      <w:bookmarkEnd w:id="241"/>
      <w:r>
        <w:rPr>
          <w:noProof/>
        </w:rPr>
        <w:t xml:space="preserve">: </w:t>
      </w:r>
      <w:r w:rsidRPr="00A663B5">
        <w:rPr>
          <w:noProof/>
        </w:rPr>
        <w:t>Stock of black and white appliances and of lighting equipment, 2015-2050</w:t>
      </w:r>
      <w:bookmarkEnd w:id="242"/>
    </w:p>
    <w:p w14:paraId="488C7823" w14:textId="77CFD11E" w:rsidR="00F37A99" w:rsidRPr="00F37A99" w:rsidRDefault="04A703D1" w:rsidP="0D65FB1A">
      <w:pPr>
        <w:jc w:val="center"/>
        <w:rPr>
          <w:noProof/>
        </w:rPr>
      </w:pPr>
      <w:r>
        <w:rPr>
          <w:noProof/>
          <w:lang w:eastAsia="en-GB"/>
        </w:rPr>
        <w:drawing>
          <wp:inline distT="0" distB="0" distL="0" distR="0" wp14:anchorId="61FFB896" wp14:editId="4FE23DE7">
            <wp:extent cx="5056274" cy="2538670"/>
            <wp:effectExtent l="0" t="0" r="0" b="0"/>
            <wp:docPr id="891343077" name="Picture 89134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extLst>
                        <a:ext uri="{28A0092B-C50C-407E-A947-70E740481C1C}">
                          <a14:useLocalDpi xmlns:a14="http://schemas.microsoft.com/office/drawing/2010/main" val="0"/>
                        </a:ext>
                      </a:extLst>
                    </a:blip>
                    <a:stretch>
                      <a:fillRect/>
                    </a:stretch>
                  </pic:blipFill>
                  <pic:spPr>
                    <a:xfrm>
                      <a:off x="0" y="0"/>
                      <a:ext cx="5056274" cy="2538670"/>
                    </a:xfrm>
                    <a:prstGeom prst="rect">
                      <a:avLst/>
                    </a:prstGeom>
                  </pic:spPr>
                </pic:pic>
              </a:graphicData>
            </a:graphic>
          </wp:inline>
        </w:drawing>
      </w:r>
    </w:p>
    <w:p w14:paraId="1A6346D1" w14:textId="574A213B" w:rsidR="00350C25" w:rsidRPr="00F9438F" w:rsidRDefault="00F9438F" w:rsidP="005E74B4">
      <w:pPr>
        <w:pStyle w:val="CT-NOTE"/>
        <w:rPr>
          <w:i w:val="0"/>
          <w:noProof/>
        </w:rPr>
      </w:pPr>
      <w:r w:rsidRPr="00F9438F">
        <w:rPr>
          <w:noProof/>
        </w:rPr>
        <w:t xml:space="preserve">Note: the stock of appliances and of </w:t>
      </w:r>
      <w:r w:rsidRPr="00F9438F">
        <w:rPr>
          <w:i w:val="0"/>
          <w:noProof/>
        </w:rPr>
        <w:t>lighting equipment does not vary across scenarios.</w:t>
      </w:r>
    </w:p>
    <w:p w14:paraId="6DA0787F" w14:textId="77777777" w:rsidR="00350C25" w:rsidRPr="00DB7406" w:rsidRDefault="00350C25" w:rsidP="005E74B4">
      <w:pPr>
        <w:pStyle w:val="CT-SOURCE"/>
        <w:rPr>
          <w:b/>
          <w:noProof/>
        </w:rPr>
      </w:pPr>
      <w:r w:rsidRPr="00813B7E">
        <w:rPr>
          <w:noProof/>
        </w:rPr>
        <w:t>Source: PRIMES.</w:t>
      </w:r>
    </w:p>
    <w:p w14:paraId="403B7F4C" w14:textId="2DE1FB76" w:rsidR="00350C25" w:rsidRDefault="00350C25" w:rsidP="00350C25">
      <w:pPr>
        <w:rPr>
          <w:noProof/>
        </w:rPr>
      </w:pPr>
      <w:r w:rsidRPr="7356C3B2">
        <w:rPr>
          <w:noProof/>
          <w:lang w:val="en-IE"/>
        </w:rPr>
        <w:t>Such</w:t>
      </w:r>
      <w:r w:rsidRPr="59DCBB58">
        <w:rPr>
          <w:noProof/>
          <w:lang w:val="en-IE"/>
        </w:rPr>
        <w:t xml:space="preserve"> ever increasing number and use of appliances </w:t>
      </w:r>
      <w:r w:rsidRPr="7356C3B2">
        <w:rPr>
          <w:noProof/>
          <w:lang w:val="en-IE"/>
        </w:rPr>
        <w:t>is</w:t>
      </w:r>
      <w:r w:rsidRPr="59DCBB58">
        <w:rPr>
          <w:noProof/>
          <w:lang w:val="en-IE"/>
        </w:rPr>
        <w:t xml:space="preserve"> moderated by energy efficiency measures</w:t>
      </w:r>
      <w:r w:rsidRPr="60AB4B18">
        <w:rPr>
          <w:noProof/>
          <w:lang w:val="en-IE"/>
        </w:rPr>
        <w:t xml:space="preserve"> </w:t>
      </w:r>
      <w:r>
        <w:rPr>
          <w:noProof/>
          <w:lang w:val="en-IE"/>
        </w:rPr>
        <w:t>(</w:t>
      </w:r>
      <w:r w:rsidRPr="60AB4B18">
        <w:rPr>
          <w:noProof/>
          <w:lang w:val="en-IE"/>
        </w:rPr>
        <w:t xml:space="preserve">such as eco-design and energy labelling </w:t>
      </w:r>
      <w:r w:rsidRPr="4B9C0DBC">
        <w:rPr>
          <w:noProof/>
          <w:lang w:val="en-IE"/>
        </w:rPr>
        <w:t>legislation</w:t>
      </w:r>
      <w:r w:rsidRPr="208C9393">
        <w:rPr>
          <w:noProof/>
          <w:lang w:val="en-IE"/>
        </w:rPr>
        <w:t xml:space="preserve"> </w:t>
      </w:r>
      <w:r>
        <w:rPr>
          <w:noProof/>
        </w:rPr>
        <w:t xml:space="preserve">targeting the energy efficiency of appliances) resulting in almost constant electricity demand from appliances and lighting, at around 35 Mtoe throughout the projections’ time horizon </w:t>
      </w:r>
      <w:r w:rsidRPr="0C6CB874">
        <w:rPr>
          <w:noProof/>
          <w:lang w:val="en-IE"/>
        </w:rPr>
        <w:t>(s</w:t>
      </w:r>
      <w:r w:rsidR="009F64C7">
        <w:rPr>
          <w:noProof/>
          <w:lang w:val="en-IE"/>
        </w:rPr>
        <w:t xml:space="preserve">ee </w:t>
      </w:r>
      <w:r w:rsidR="000B3259" w:rsidRPr="009369F7">
        <w:rPr>
          <w:noProof/>
          <w:lang w:val="en-IE"/>
        </w:rPr>
        <w:fldChar w:fldCharType="begin"/>
      </w:r>
      <w:r w:rsidR="000B3259" w:rsidRPr="000B3259">
        <w:rPr>
          <w:noProof/>
          <w:highlight w:val="yellow"/>
          <w:lang w:val="en-IE"/>
        </w:rPr>
        <w:instrText xml:space="preserve"> REF _Ref146207935 \h </w:instrText>
      </w:r>
      <w:r w:rsidR="000B3259">
        <w:rPr>
          <w:noProof/>
          <w:highlight w:val="yellow"/>
          <w:lang w:val="en-IE"/>
        </w:rPr>
        <w:instrText xml:space="preserve"> \* MERGEFORMAT </w:instrText>
      </w:r>
      <w:r w:rsidR="000B3259" w:rsidRPr="009369F7">
        <w:rPr>
          <w:noProof/>
          <w:lang w:val="en-IE"/>
        </w:rPr>
      </w:r>
      <w:r w:rsidR="000B3259" w:rsidRPr="009369F7">
        <w:rPr>
          <w:noProof/>
          <w:lang w:val="en-IE"/>
        </w:rPr>
        <w:fldChar w:fldCharType="separate"/>
      </w:r>
      <w:r w:rsidR="00170A3C">
        <w:rPr>
          <w:noProof/>
        </w:rPr>
        <w:t>Figure 47</w:t>
      </w:r>
      <w:r w:rsidR="000B3259" w:rsidRPr="009369F7">
        <w:rPr>
          <w:noProof/>
          <w:lang w:val="en-IE"/>
        </w:rPr>
        <w:fldChar w:fldCharType="end"/>
      </w:r>
      <w:r w:rsidRPr="009369F7">
        <w:rPr>
          <w:noProof/>
          <w:lang w:val="en-IE"/>
        </w:rPr>
        <w:t>)</w:t>
      </w:r>
      <w:r>
        <w:rPr>
          <w:noProof/>
        </w:rPr>
        <w:t>. Since energy demand for space heating is projected to reduce significantly, the share of energy demand for appliances out of total energy demand in buildings grows from 1</w:t>
      </w:r>
      <w:r w:rsidR="00DC463A">
        <w:rPr>
          <w:noProof/>
        </w:rPr>
        <w:t>4</w:t>
      </w:r>
      <w:r>
        <w:rPr>
          <w:noProof/>
        </w:rPr>
        <w:t xml:space="preserve">% in 2015 to </w:t>
      </w:r>
      <w:r w:rsidR="00DC463A">
        <w:rPr>
          <w:noProof/>
        </w:rPr>
        <w:t>19</w:t>
      </w:r>
      <w:r>
        <w:rPr>
          <w:noProof/>
        </w:rPr>
        <w:t xml:space="preserve">% in 2030, </w:t>
      </w:r>
      <w:r w:rsidR="00DC463A">
        <w:rPr>
          <w:noProof/>
        </w:rPr>
        <w:t>23%</w:t>
      </w:r>
      <w:r>
        <w:rPr>
          <w:noProof/>
        </w:rPr>
        <w:t xml:space="preserve"> in 2040 and 26% in 2050</w:t>
      </w:r>
      <w:r w:rsidR="00DC463A">
        <w:rPr>
          <w:noProof/>
        </w:rPr>
        <w:t xml:space="preserve"> across scenarios</w:t>
      </w:r>
      <w:r>
        <w:rPr>
          <w:noProof/>
        </w:rPr>
        <w:t>.</w:t>
      </w:r>
    </w:p>
    <w:p w14:paraId="7B51B062" w14:textId="093C33D6" w:rsidR="00FD422A" w:rsidRDefault="00FD422A" w:rsidP="00FD422A">
      <w:pPr>
        <w:pStyle w:val="Caption"/>
        <w:rPr>
          <w:noProof/>
        </w:rPr>
      </w:pPr>
      <w:bookmarkStart w:id="243" w:name="_Ref146207935"/>
      <w:bookmarkStart w:id="244" w:name="_Toc157679795"/>
      <w:r>
        <w:rPr>
          <w:noProof/>
        </w:rPr>
        <w:t xml:space="preserve">Figure </w:t>
      </w:r>
      <w:r>
        <w:rPr>
          <w:noProof/>
        </w:rPr>
        <w:fldChar w:fldCharType="begin"/>
      </w:r>
      <w:r>
        <w:rPr>
          <w:noProof/>
        </w:rPr>
        <w:instrText>SEQ Figure \* ARABIC</w:instrText>
      </w:r>
      <w:r>
        <w:rPr>
          <w:noProof/>
        </w:rPr>
        <w:fldChar w:fldCharType="separate"/>
      </w:r>
      <w:r w:rsidR="00170A3C">
        <w:rPr>
          <w:noProof/>
        </w:rPr>
        <w:t>47</w:t>
      </w:r>
      <w:r>
        <w:rPr>
          <w:noProof/>
        </w:rPr>
        <w:fldChar w:fldCharType="end"/>
      </w:r>
      <w:bookmarkEnd w:id="243"/>
      <w:r>
        <w:rPr>
          <w:noProof/>
        </w:rPr>
        <w:t xml:space="preserve">: </w:t>
      </w:r>
      <w:r w:rsidRPr="009F2659">
        <w:rPr>
          <w:noProof/>
        </w:rPr>
        <w:t>Electricity demand associated to appliances and lighting, 2015-2050</w:t>
      </w:r>
      <w:bookmarkEnd w:id="244"/>
    </w:p>
    <w:p w14:paraId="328F6F62" w14:textId="7A966B46" w:rsidR="002931B7" w:rsidRPr="002931B7" w:rsidRDefault="02204F69" w:rsidP="0D65FB1A">
      <w:pPr>
        <w:keepNext/>
        <w:keepLines/>
        <w:jc w:val="center"/>
        <w:rPr>
          <w:noProof/>
        </w:rPr>
      </w:pPr>
      <w:r>
        <w:rPr>
          <w:noProof/>
          <w:lang w:eastAsia="en-GB"/>
        </w:rPr>
        <w:drawing>
          <wp:inline distT="0" distB="0" distL="0" distR="0" wp14:anchorId="2FDE48A4" wp14:editId="47BC8455">
            <wp:extent cx="4857750" cy="2428875"/>
            <wp:effectExtent l="0" t="0" r="0" b="0"/>
            <wp:docPr id="1878113196" name="Picture 187811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extLst>
                        <a:ext uri="{28A0092B-C50C-407E-A947-70E740481C1C}">
                          <a14:useLocalDpi xmlns:a14="http://schemas.microsoft.com/office/drawing/2010/main" val="0"/>
                        </a:ext>
                      </a:extLst>
                    </a:blip>
                    <a:stretch>
                      <a:fillRect/>
                    </a:stretch>
                  </pic:blipFill>
                  <pic:spPr>
                    <a:xfrm>
                      <a:off x="0" y="0"/>
                      <a:ext cx="4857750" cy="2428875"/>
                    </a:xfrm>
                    <a:prstGeom prst="rect">
                      <a:avLst/>
                    </a:prstGeom>
                  </pic:spPr>
                </pic:pic>
              </a:graphicData>
            </a:graphic>
          </wp:inline>
        </w:drawing>
      </w:r>
    </w:p>
    <w:p w14:paraId="65B89A73" w14:textId="77777777" w:rsidR="002931B7" w:rsidRPr="00DB7406" w:rsidRDefault="002931B7" w:rsidP="005E74B4">
      <w:pPr>
        <w:pStyle w:val="CT-SOURCE"/>
        <w:keepLines/>
        <w:rPr>
          <w:b/>
          <w:noProof/>
        </w:rPr>
      </w:pPr>
      <w:r w:rsidRPr="00813B7E">
        <w:rPr>
          <w:noProof/>
        </w:rPr>
        <w:t>Source: PRIMES.</w:t>
      </w:r>
    </w:p>
    <w:p w14:paraId="082A8026" w14:textId="77777777" w:rsidR="00350C25" w:rsidRPr="00630343" w:rsidRDefault="00350C25" w:rsidP="00350C25">
      <w:pPr>
        <w:pStyle w:val="Heading3"/>
        <w:rPr>
          <w:noProof/>
        </w:rPr>
      </w:pPr>
      <w:bookmarkStart w:id="245" w:name="_Toc148605596"/>
      <w:bookmarkStart w:id="246" w:name="_Toc157692042"/>
      <w:r w:rsidRPr="00630343">
        <w:rPr>
          <w:noProof/>
        </w:rPr>
        <w:t>CO</w:t>
      </w:r>
      <w:r w:rsidRPr="00C21BD3">
        <w:rPr>
          <w:noProof/>
          <w:vertAlign w:val="subscript"/>
        </w:rPr>
        <w:t>2</w:t>
      </w:r>
      <w:r w:rsidRPr="00630343">
        <w:rPr>
          <w:noProof/>
        </w:rPr>
        <w:t xml:space="preserve"> emissions from buildings</w:t>
      </w:r>
      <w:bookmarkEnd w:id="245"/>
      <w:bookmarkEnd w:id="246"/>
    </w:p>
    <w:p w14:paraId="6182D518" w14:textId="6F61EC21" w:rsidR="00350C25" w:rsidRDefault="00350C25" w:rsidP="00350C25">
      <w:pPr>
        <w:rPr>
          <w:noProof/>
          <w:lang w:val="en-IE"/>
        </w:rPr>
      </w:pPr>
      <w:r>
        <w:rPr>
          <w:noProof/>
          <w:lang w:val="en-IE"/>
        </w:rPr>
        <w:t>Direct CO</w:t>
      </w:r>
      <w:r w:rsidRPr="00C21BD3">
        <w:rPr>
          <w:noProof/>
          <w:vertAlign w:val="subscript"/>
          <w:lang w:val="en-IE"/>
        </w:rPr>
        <w:t>2</w:t>
      </w:r>
      <w:r>
        <w:rPr>
          <w:noProof/>
          <w:lang w:val="en-IE"/>
        </w:rPr>
        <w:t xml:space="preserve"> emissions from buildings experience a rapid decrease already in this decade, from about 450 MtCO</w:t>
      </w:r>
      <w:r w:rsidRPr="00C21BD3">
        <w:rPr>
          <w:noProof/>
          <w:vertAlign w:val="subscript"/>
          <w:lang w:val="en-IE"/>
        </w:rPr>
        <w:t>2</w:t>
      </w:r>
      <w:r>
        <w:rPr>
          <w:noProof/>
          <w:lang w:val="en-IE"/>
        </w:rPr>
        <w:t xml:space="preserve"> in 2015 to 190 MtCO</w:t>
      </w:r>
      <w:r w:rsidRPr="00C21BD3">
        <w:rPr>
          <w:noProof/>
          <w:vertAlign w:val="subscript"/>
          <w:lang w:val="en-IE"/>
        </w:rPr>
        <w:t>2</w:t>
      </w:r>
      <w:r>
        <w:rPr>
          <w:noProof/>
          <w:lang w:val="en-IE"/>
        </w:rPr>
        <w:t xml:space="preserve"> in 2030</w:t>
      </w:r>
      <w:r w:rsidR="00A73C94">
        <w:rPr>
          <w:noProof/>
          <w:lang w:val="en-IE"/>
        </w:rPr>
        <w:t xml:space="preserve">, </w:t>
      </w:r>
      <w:r w:rsidR="00803EC2">
        <w:rPr>
          <w:noProof/>
          <w:lang w:val="en-IE"/>
        </w:rPr>
        <w:t>i.e.,</w:t>
      </w:r>
      <w:r>
        <w:rPr>
          <w:noProof/>
          <w:lang w:val="en-IE"/>
        </w:rPr>
        <w:t xml:space="preserve"> -5</w:t>
      </w:r>
      <w:r w:rsidR="00C21BD3">
        <w:rPr>
          <w:noProof/>
          <w:lang w:val="en-IE"/>
        </w:rPr>
        <w:t>7</w:t>
      </w:r>
      <w:r>
        <w:rPr>
          <w:noProof/>
          <w:lang w:val="en-IE"/>
        </w:rPr>
        <w:t xml:space="preserve">% </w:t>
      </w:r>
      <w:r w:rsidRPr="009369F7">
        <w:rPr>
          <w:noProof/>
          <w:lang w:val="en-IE"/>
        </w:rPr>
        <w:t>(</w:t>
      </w:r>
      <w:r w:rsidR="00F95325" w:rsidRPr="009369F7">
        <w:rPr>
          <w:noProof/>
          <w:color w:val="2B579A"/>
          <w:shd w:val="clear" w:color="auto" w:fill="E6E6E6"/>
          <w:lang w:val="en-IE"/>
        </w:rPr>
        <w:fldChar w:fldCharType="begin"/>
      </w:r>
      <w:r w:rsidR="00F95325" w:rsidRPr="00F95325">
        <w:rPr>
          <w:noProof/>
          <w:color w:val="2B579A"/>
          <w:highlight w:val="yellow"/>
          <w:shd w:val="clear" w:color="auto" w:fill="E6E6E6"/>
          <w:lang w:val="en-IE"/>
        </w:rPr>
        <w:instrText xml:space="preserve"> REF _Ref146208582 \h </w:instrText>
      </w:r>
      <w:r w:rsidR="00F95325">
        <w:rPr>
          <w:noProof/>
          <w:color w:val="2B579A"/>
          <w:highlight w:val="yellow"/>
          <w:shd w:val="clear" w:color="auto" w:fill="E6E6E6"/>
          <w:lang w:val="en-IE"/>
        </w:rPr>
        <w:instrText xml:space="preserve"> \* MERGEFORMAT </w:instrText>
      </w:r>
      <w:r w:rsidR="00F95325" w:rsidRPr="009369F7">
        <w:rPr>
          <w:noProof/>
          <w:color w:val="2B579A"/>
          <w:shd w:val="clear" w:color="auto" w:fill="E6E6E6"/>
          <w:lang w:val="en-IE"/>
        </w:rPr>
      </w:r>
      <w:r w:rsidR="00F95325" w:rsidRPr="009369F7">
        <w:rPr>
          <w:noProof/>
          <w:color w:val="2B579A"/>
          <w:shd w:val="clear" w:color="auto" w:fill="E6E6E6"/>
          <w:lang w:val="en-IE"/>
        </w:rPr>
        <w:fldChar w:fldCharType="separate"/>
      </w:r>
      <w:r w:rsidR="00170A3C">
        <w:rPr>
          <w:noProof/>
        </w:rPr>
        <w:t>Figure 48</w:t>
      </w:r>
      <w:r w:rsidR="00F95325" w:rsidRPr="009369F7">
        <w:rPr>
          <w:noProof/>
          <w:color w:val="2B579A"/>
          <w:shd w:val="clear" w:color="auto" w:fill="E6E6E6"/>
          <w:lang w:val="en-IE"/>
        </w:rPr>
        <w:fldChar w:fldCharType="end"/>
      </w:r>
      <w:r>
        <w:rPr>
          <w:noProof/>
          <w:lang w:val="en-IE"/>
        </w:rPr>
        <w:t>). Then, CO</w:t>
      </w:r>
      <w:r w:rsidRPr="00C21BD3">
        <w:rPr>
          <w:noProof/>
          <w:vertAlign w:val="subscript"/>
          <w:lang w:val="en-IE"/>
        </w:rPr>
        <w:t>2</w:t>
      </w:r>
      <w:r>
        <w:rPr>
          <w:noProof/>
          <w:lang w:val="en-IE"/>
        </w:rPr>
        <w:t xml:space="preserve"> emissions further reduce to about 50-</w:t>
      </w:r>
      <w:r w:rsidR="00C21BD3">
        <w:rPr>
          <w:noProof/>
          <w:lang w:val="en-IE"/>
        </w:rPr>
        <w:t>90</w:t>
      </w:r>
      <w:r>
        <w:rPr>
          <w:noProof/>
          <w:lang w:val="en-IE"/>
        </w:rPr>
        <w:t xml:space="preserve"> MtCO</w:t>
      </w:r>
      <w:r w:rsidRPr="00C21BD3">
        <w:rPr>
          <w:noProof/>
          <w:vertAlign w:val="subscript"/>
          <w:lang w:val="en-IE"/>
        </w:rPr>
        <w:t>2</w:t>
      </w:r>
      <w:r>
        <w:rPr>
          <w:noProof/>
          <w:lang w:val="en-IE"/>
        </w:rPr>
        <w:t xml:space="preserve"> under the S1-</w:t>
      </w:r>
      <w:r w:rsidR="006750D6">
        <w:rPr>
          <w:noProof/>
          <w:lang w:val="en-IE"/>
        </w:rPr>
        <w:t>S2-</w:t>
      </w:r>
      <w:r>
        <w:rPr>
          <w:noProof/>
          <w:lang w:val="en-IE"/>
        </w:rPr>
        <w:t xml:space="preserve">S3 scenarios </w:t>
      </w:r>
      <w:r w:rsidR="008625B5">
        <w:rPr>
          <w:noProof/>
          <w:lang w:val="en-IE"/>
        </w:rPr>
        <w:t xml:space="preserve">in 2040 </w:t>
      </w:r>
      <w:r>
        <w:rPr>
          <w:noProof/>
          <w:lang w:val="en-IE"/>
        </w:rPr>
        <w:t xml:space="preserve">and reach almost zero emissions in 2050 </w:t>
      </w:r>
      <w:r w:rsidR="00127786">
        <w:rPr>
          <w:noProof/>
          <w:lang w:val="en-IE"/>
        </w:rPr>
        <w:t>for all scenarios</w:t>
      </w:r>
      <w:r>
        <w:rPr>
          <w:noProof/>
          <w:lang w:val="en-IE"/>
        </w:rPr>
        <w:t>. The residential and services sectors face a similar pace of CO</w:t>
      </w:r>
      <w:r w:rsidRPr="00C21BD3">
        <w:rPr>
          <w:noProof/>
          <w:vertAlign w:val="subscript"/>
          <w:lang w:val="en-IE"/>
        </w:rPr>
        <w:t>2</w:t>
      </w:r>
      <w:r>
        <w:rPr>
          <w:noProof/>
          <w:lang w:val="en-IE"/>
        </w:rPr>
        <w:t xml:space="preserve"> emission reductions throughout the projection time horizon. This is largely explained by the fact both sectors rely on essentially the same mitigation options, which have very similar costs, and are t</w:t>
      </w:r>
      <w:r w:rsidR="00C21BD3">
        <w:rPr>
          <w:noProof/>
          <w:lang w:val="en-IE"/>
        </w:rPr>
        <w:t>riggered</w:t>
      </w:r>
      <w:r>
        <w:rPr>
          <w:noProof/>
          <w:lang w:val="en-IE"/>
        </w:rPr>
        <w:t xml:space="preserve"> by the same policy measures.</w:t>
      </w:r>
    </w:p>
    <w:p w14:paraId="171DDB98" w14:textId="1E3B7AE0" w:rsidR="005A3834" w:rsidRDefault="005A3834" w:rsidP="005A3834">
      <w:pPr>
        <w:pStyle w:val="Caption"/>
        <w:rPr>
          <w:noProof/>
        </w:rPr>
      </w:pPr>
      <w:bookmarkStart w:id="247" w:name="_Ref146208582"/>
      <w:bookmarkStart w:id="248" w:name="_Toc157679796"/>
      <w:r>
        <w:rPr>
          <w:noProof/>
        </w:rPr>
        <w:t xml:space="preserve">Figure </w:t>
      </w:r>
      <w:r>
        <w:rPr>
          <w:noProof/>
        </w:rPr>
        <w:fldChar w:fldCharType="begin"/>
      </w:r>
      <w:r>
        <w:rPr>
          <w:noProof/>
        </w:rPr>
        <w:instrText>SEQ Figure \* ARABIC</w:instrText>
      </w:r>
      <w:r>
        <w:rPr>
          <w:noProof/>
        </w:rPr>
        <w:fldChar w:fldCharType="separate"/>
      </w:r>
      <w:r w:rsidR="00170A3C">
        <w:rPr>
          <w:noProof/>
        </w:rPr>
        <w:t>48</w:t>
      </w:r>
      <w:r>
        <w:rPr>
          <w:noProof/>
        </w:rPr>
        <w:fldChar w:fldCharType="end"/>
      </w:r>
      <w:bookmarkEnd w:id="247"/>
      <w:r>
        <w:rPr>
          <w:noProof/>
        </w:rPr>
        <w:t xml:space="preserve">: </w:t>
      </w:r>
      <w:r w:rsidRPr="00A911C5">
        <w:rPr>
          <w:noProof/>
        </w:rPr>
        <w:t>Buildings CO2 emissions trajectory by sector, 2015-2050</w:t>
      </w:r>
      <w:bookmarkEnd w:id="248"/>
    </w:p>
    <w:p w14:paraId="30A94C02" w14:textId="1A3D9390" w:rsidR="00C21BD3" w:rsidRDefault="00F032CA" w:rsidP="0D65FB1A">
      <w:pPr>
        <w:jc w:val="center"/>
        <w:rPr>
          <w:noProof/>
        </w:rPr>
      </w:pPr>
      <w:r w:rsidRPr="00F032CA">
        <w:rPr>
          <w:noProof/>
          <w:lang w:eastAsia="en-GB"/>
        </w:rPr>
        <w:drawing>
          <wp:inline distT="0" distB="0" distL="0" distR="0" wp14:anchorId="4B33C396" wp14:editId="1346B294">
            <wp:extent cx="5403215" cy="2517775"/>
            <wp:effectExtent l="0" t="0" r="0" b="0"/>
            <wp:docPr id="363790929" name="Picture 363790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403215" cy="2517775"/>
                    </a:xfrm>
                    <a:prstGeom prst="rect">
                      <a:avLst/>
                    </a:prstGeom>
                    <a:noFill/>
                    <a:ln>
                      <a:noFill/>
                    </a:ln>
                  </pic:spPr>
                </pic:pic>
              </a:graphicData>
            </a:graphic>
          </wp:inline>
        </w:drawing>
      </w:r>
    </w:p>
    <w:p w14:paraId="7A2A191C" w14:textId="24921170" w:rsidR="00C21BD3" w:rsidRPr="0036526B" w:rsidRDefault="00C21BD3" w:rsidP="005E74B4">
      <w:pPr>
        <w:pStyle w:val="CT-NOTE"/>
        <w:rPr>
          <w:i w:val="0"/>
          <w:noProof/>
        </w:rPr>
      </w:pPr>
      <w:r w:rsidRPr="0036526B">
        <w:rPr>
          <w:noProof/>
        </w:rPr>
        <w:t>Note: CO</w:t>
      </w:r>
      <w:r w:rsidRPr="00C21BD3">
        <w:rPr>
          <w:i w:val="0"/>
          <w:noProof/>
          <w:vertAlign w:val="subscript"/>
        </w:rPr>
        <w:t>2</w:t>
      </w:r>
      <w:r w:rsidRPr="0036526B">
        <w:rPr>
          <w:i w:val="0"/>
          <w:noProof/>
        </w:rPr>
        <w:t xml:space="preserve"> emissions shown in the figure are only direct emissions, </w:t>
      </w:r>
      <w:r w:rsidR="00803EC2" w:rsidRPr="0036526B">
        <w:rPr>
          <w:i w:val="0"/>
          <w:noProof/>
        </w:rPr>
        <w:t>i.e.,</w:t>
      </w:r>
      <w:r w:rsidRPr="0036526B">
        <w:rPr>
          <w:i w:val="0"/>
          <w:noProof/>
        </w:rPr>
        <w:t xml:space="preserve"> related to the combustion of fuels consumed in the building sector. Emissions related to the </w:t>
      </w:r>
      <w:r>
        <w:rPr>
          <w:i w:val="0"/>
          <w:noProof/>
        </w:rPr>
        <w:t>production</w:t>
      </w:r>
      <w:r w:rsidRPr="0036526B">
        <w:rPr>
          <w:i w:val="0"/>
          <w:noProof/>
        </w:rPr>
        <w:t xml:space="preserve"> of </w:t>
      </w:r>
      <w:r>
        <w:rPr>
          <w:i w:val="0"/>
          <w:noProof/>
        </w:rPr>
        <w:t xml:space="preserve">the </w:t>
      </w:r>
      <w:r w:rsidRPr="0036526B">
        <w:rPr>
          <w:i w:val="0"/>
          <w:noProof/>
        </w:rPr>
        <w:t xml:space="preserve">electricity and RFNBOs </w:t>
      </w:r>
      <w:r>
        <w:rPr>
          <w:i w:val="0"/>
          <w:noProof/>
        </w:rPr>
        <w:t xml:space="preserve">consumed in the buildings sector </w:t>
      </w:r>
      <w:r w:rsidRPr="0036526B">
        <w:rPr>
          <w:i w:val="0"/>
          <w:noProof/>
        </w:rPr>
        <w:t xml:space="preserve">are accounted in the upstream </w:t>
      </w:r>
      <w:r w:rsidR="00824847" w:rsidRPr="0036526B">
        <w:rPr>
          <w:i w:val="0"/>
          <w:noProof/>
        </w:rPr>
        <w:t>sectors.</w:t>
      </w:r>
    </w:p>
    <w:p w14:paraId="12D04A49" w14:textId="77777777" w:rsidR="00350C25" w:rsidRPr="00813B7E" w:rsidRDefault="00350C25" w:rsidP="005E74B4">
      <w:pPr>
        <w:pStyle w:val="CT-SOURCE"/>
        <w:rPr>
          <w:i w:val="0"/>
          <w:noProof/>
        </w:rPr>
      </w:pPr>
      <w:r w:rsidRPr="00813B7E">
        <w:rPr>
          <w:noProof/>
        </w:rPr>
        <w:t>Source: PRIMES.</w:t>
      </w:r>
    </w:p>
    <w:p w14:paraId="225E8502" w14:textId="71B41977" w:rsidR="00350C25" w:rsidRDefault="00350C25" w:rsidP="00350C25">
      <w:pPr>
        <w:rPr>
          <w:noProof/>
          <w:lang w:val="en-IE"/>
        </w:rPr>
      </w:pPr>
      <w:r>
        <w:rPr>
          <w:noProof/>
          <w:lang w:val="en-IE"/>
        </w:rPr>
        <w:t>The CO</w:t>
      </w:r>
      <w:r w:rsidRPr="00C21BD3">
        <w:rPr>
          <w:noProof/>
          <w:vertAlign w:val="subscript"/>
          <w:lang w:val="en-IE"/>
        </w:rPr>
        <w:t>2</w:t>
      </w:r>
      <w:r>
        <w:rPr>
          <w:noProof/>
          <w:lang w:val="en-IE"/>
        </w:rPr>
        <w:t xml:space="preserve"> emissions discussed above only account for direct CO</w:t>
      </w:r>
      <w:r w:rsidRPr="00C21BD3">
        <w:rPr>
          <w:noProof/>
          <w:vertAlign w:val="subscript"/>
          <w:lang w:val="en-IE"/>
        </w:rPr>
        <w:t>2</w:t>
      </w:r>
      <w:r>
        <w:rPr>
          <w:noProof/>
          <w:lang w:val="en-IE"/>
        </w:rPr>
        <w:t xml:space="preserve"> emissions, </w:t>
      </w:r>
      <w:r w:rsidR="00824847">
        <w:rPr>
          <w:noProof/>
          <w:lang w:val="en-IE"/>
        </w:rPr>
        <w:t>i.e.,</w:t>
      </w:r>
      <w:r>
        <w:rPr>
          <w:noProof/>
          <w:lang w:val="en-IE"/>
        </w:rPr>
        <w:t xml:space="preserve"> those directly related to </w:t>
      </w:r>
      <w:r w:rsidRPr="00CB47F4">
        <w:rPr>
          <w:noProof/>
          <w:lang w:val="en-IE"/>
        </w:rPr>
        <w:t xml:space="preserve">the combustion of fuels consumed in the building sector. </w:t>
      </w:r>
      <w:r>
        <w:rPr>
          <w:noProof/>
          <w:lang w:val="en-IE"/>
        </w:rPr>
        <w:t>Instead, e</w:t>
      </w:r>
      <w:r w:rsidRPr="00CB47F4">
        <w:rPr>
          <w:noProof/>
          <w:lang w:val="en-IE"/>
        </w:rPr>
        <w:t xml:space="preserve">missions </w:t>
      </w:r>
      <w:r>
        <w:rPr>
          <w:noProof/>
          <w:lang w:val="en-IE"/>
        </w:rPr>
        <w:t>associated</w:t>
      </w:r>
      <w:r w:rsidRPr="00CB47F4">
        <w:rPr>
          <w:noProof/>
          <w:lang w:val="en-IE"/>
        </w:rPr>
        <w:t xml:space="preserve"> to the </w:t>
      </w:r>
      <w:r>
        <w:rPr>
          <w:noProof/>
          <w:lang w:val="en-IE"/>
        </w:rPr>
        <w:t xml:space="preserve">production </w:t>
      </w:r>
      <w:r w:rsidRPr="00CB47F4">
        <w:rPr>
          <w:noProof/>
          <w:lang w:val="en-IE"/>
        </w:rPr>
        <w:t xml:space="preserve">of electricity and RFNBOs </w:t>
      </w:r>
      <w:r>
        <w:rPr>
          <w:noProof/>
          <w:lang w:val="en-IE"/>
        </w:rPr>
        <w:t xml:space="preserve">consumed by buildings </w:t>
      </w:r>
      <w:r w:rsidRPr="00CB47F4">
        <w:rPr>
          <w:noProof/>
          <w:lang w:val="en-IE"/>
        </w:rPr>
        <w:t>are accounted in the upstream sectors</w:t>
      </w:r>
      <w:r>
        <w:rPr>
          <w:noProof/>
          <w:lang w:val="en-IE"/>
        </w:rPr>
        <w:t xml:space="preserve">. Given that the buildings sector is </w:t>
      </w:r>
      <w:r w:rsidR="008A3084">
        <w:rPr>
          <w:noProof/>
          <w:lang w:val="en-IE"/>
        </w:rPr>
        <w:t>expected</w:t>
      </w:r>
      <w:r>
        <w:rPr>
          <w:noProof/>
          <w:lang w:val="en-IE"/>
        </w:rPr>
        <w:t xml:space="preserve"> to experience a significant electrification </w:t>
      </w:r>
      <w:r w:rsidR="009B5602">
        <w:rPr>
          <w:noProof/>
          <w:lang w:val="en-IE"/>
        </w:rPr>
        <w:t>(see</w:t>
      </w:r>
      <w:r w:rsidR="001F2ED1">
        <w:rPr>
          <w:noProof/>
          <w:lang w:val="en-IE"/>
        </w:rPr>
        <w:t xml:space="preserve"> </w:t>
      </w:r>
      <w:r w:rsidR="001F2ED1">
        <w:rPr>
          <w:noProof/>
          <w:lang w:val="en-IE"/>
        </w:rPr>
        <w:fldChar w:fldCharType="begin"/>
      </w:r>
      <w:r w:rsidR="001F2ED1">
        <w:rPr>
          <w:noProof/>
          <w:lang w:val="en-IE"/>
        </w:rPr>
        <w:instrText xml:space="preserve"> REF _Ref147757346 \h </w:instrText>
      </w:r>
      <w:r w:rsidR="001F2ED1">
        <w:rPr>
          <w:noProof/>
          <w:lang w:val="en-IE"/>
        </w:rPr>
      </w:r>
      <w:r w:rsidR="001F2ED1">
        <w:rPr>
          <w:noProof/>
          <w:lang w:val="en-IE"/>
        </w:rPr>
        <w:fldChar w:fldCharType="separate"/>
      </w:r>
      <w:r w:rsidR="00170A3C">
        <w:rPr>
          <w:noProof/>
        </w:rPr>
        <w:t>Figure 42</w:t>
      </w:r>
      <w:r w:rsidR="001F2ED1">
        <w:rPr>
          <w:noProof/>
          <w:lang w:val="en-IE"/>
        </w:rPr>
        <w:fldChar w:fldCharType="end"/>
      </w:r>
      <w:r w:rsidR="001F2ED1">
        <w:rPr>
          <w:noProof/>
          <w:lang w:val="en-IE"/>
        </w:rPr>
        <w:t xml:space="preserve"> and </w:t>
      </w:r>
      <w:r w:rsidR="001F2ED1">
        <w:rPr>
          <w:noProof/>
          <w:lang w:val="en-IE"/>
        </w:rPr>
        <w:fldChar w:fldCharType="begin"/>
      </w:r>
      <w:r w:rsidR="001F2ED1">
        <w:rPr>
          <w:noProof/>
          <w:lang w:val="en-IE"/>
        </w:rPr>
        <w:instrText xml:space="preserve"> REF _Ref147757368 \h </w:instrText>
      </w:r>
      <w:r w:rsidR="001F2ED1">
        <w:rPr>
          <w:noProof/>
          <w:lang w:val="en-IE"/>
        </w:rPr>
      </w:r>
      <w:r w:rsidR="001F2ED1">
        <w:rPr>
          <w:noProof/>
          <w:lang w:val="en-IE"/>
        </w:rPr>
        <w:fldChar w:fldCharType="separate"/>
      </w:r>
      <w:r w:rsidR="00170A3C">
        <w:rPr>
          <w:noProof/>
        </w:rPr>
        <w:t>Figure 43</w:t>
      </w:r>
      <w:r w:rsidR="001F2ED1">
        <w:rPr>
          <w:noProof/>
          <w:lang w:val="en-IE"/>
        </w:rPr>
        <w:fldChar w:fldCharType="end"/>
      </w:r>
      <w:r>
        <w:rPr>
          <w:noProof/>
          <w:lang w:val="en-IE"/>
        </w:rPr>
        <w:t>)</w:t>
      </w:r>
      <w:r>
        <w:rPr>
          <w:noProof/>
        </w:rPr>
        <w:t xml:space="preserve"> </w:t>
      </w:r>
      <w:r>
        <w:rPr>
          <w:noProof/>
          <w:lang w:val="en-IE"/>
        </w:rPr>
        <w:t>and to consume – to a lower extent – RFNBOs, the building sector is responsible for significant amounts of indirect CO</w:t>
      </w:r>
      <w:r w:rsidRPr="008A3084">
        <w:rPr>
          <w:noProof/>
          <w:vertAlign w:val="subscript"/>
          <w:lang w:val="en-IE"/>
        </w:rPr>
        <w:t>2</w:t>
      </w:r>
      <w:r>
        <w:rPr>
          <w:noProof/>
          <w:lang w:val="en-IE"/>
        </w:rPr>
        <w:t xml:space="preserve"> emissions</w:t>
      </w:r>
      <w:r w:rsidR="008A3084">
        <w:rPr>
          <w:noProof/>
          <w:lang w:val="en-IE"/>
        </w:rPr>
        <w:t xml:space="preserve"> as well</w:t>
      </w:r>
      <w:r>
        <w:rPr>
          <w:noProof/>
          <w:lang w:val="en-IE"/>
        </w:rPr>
        <w:t>. However, the power generation sector is set to decarbonise rapidly and become completely carbon neutral by around 2040</w:t>
      </w:r>
      <w:r w:rsidRPr="00285804">
        <w:rPr>
          <w:noProof/>
          <w:lang w:val="en-IE"/>
        </w:rPr>
        <w:t>.</w:t>
      </w:r>
    </w:p>
    <w:p w14:paraId="4DB268BB" w14:textId="7F560B89" w:rsidR="004C2988" w:rsidRDefault="00350C25" w:rsidP="00B9712E">
      <w:pPr>
        <w:rPr>
          <w:rStyle w:val="Heading2Char"/>
          <w:rFonts w:eastAsia="Times New Roman,Italic"/>
          <w:noProof/>
        </w:rPr>
      </w:pPr>
      <w:r>
        <w:rPr>
          <w:noProof/>
          <w:lang w:val="en-IE"/>
        </w:rPr>
        <w:t>The reduction in CO</w:t>
      </w:r>
      <w:r w:rsidRPr="008A3084">
        <w:rPr>
          <w:noProof/>
          <w:vertAlign w:val="subscript"/>
          <w:lang w:val="en-IE"/>
        </w:rPr>
        <w:t>2</w:t>
      </w:r>
      <w:r>
        <w:rPr>
          <w:noProof/>
          <w:lang w:val="en-IE"/>
        </w:rPr>
        <w:t xml:space="preserve"> emissions from buildings is achieved mainly via the faster rate of renovation of the buildings’ envelopes, which reduces the overall energy consumption, and by the replacement of fossil fuels space heating equipment with heat pumps. The deployment of renewables and the blending of low-carbon gases in the gas network also contributes to lower emissions. </w:t>
      </w:r>
      <w:r w:rsidR="008A3084">
        <w:rPr>
          <w:noProof/>
          <w:lang w:val="en-IE"/>
        </w:rPr>
        <w:t xml:space="preserve">As discussed in detail in Sections </w:t>
      </w:r>
      <w:r w:rsidR="001D714F">
        <w:rPr>
          <w:noProof/>
          <w:lang w:val="en-IE"/>
        </w:rPr>
        <w:fldChar w:fldCharType="begin"/>
      </w:r>
      <w:r w:rsidR="001D714F">
        <w:rPr>
          <w:noProof/>
          <w:lang w:val="en-IE"/>
        </w:rPr>
        <w:instrText xml:space="preserve"> REF _Ref143334682 \n \h </w:instrText>
      </w:r>
      <w:r w:rsidR="001D714F">
        <w:rPr>
          <w:noProof/>
          <w:lang w:val="en-IE"/>
        </w:rPr>
      </w:r>
      <w:r w:rsidR="001D714F">
        <w:rPr>
          <w:noProof/>
          <w:lang w:val="en-IE"/>
        </w:rPr>
        <w:fldChar w:fldCharType="separate"/>
      </w:r>
      <w:r w:rsidR="00170A3C">
        <w:rPr>
          <w:noProof/>
          <w:lang w:val="en-IE"/>
        </w:rPr>
        <w:t>1.3.2</w:t>
      </w:r>
      <w:r w:rsidR="001D714F">
        <w:rPr>
          <w:noProof/>
          <w:lang w:val="en-IE"/>
        </w:rPr>
        <w:fldChar w:fldCharType="end"/>
      </w:r>
      <w:r w:rsidR="008A3084">
        <w:rPr>
          <w:noProof/>
          <w:lang w:val="en-IE"/>
        </w:rPr>
        <w:t xml:space="preserve"> and </w:t>
      </w:r>
      <w:r w:rsidR="001D714F">
        <w:rPr>
          <w:noProof/>
          <w:lang w:val="en-IE"/>
        </w:rPr>
        <w:fldChar w:fldCharType="begin"/>
      </w:r>
      <w:r w:rsidR="001D714F">
        <w:rPr>
          <w:noProof/>
          <w:lang w:val="en-IE"/>
        </w:rPr>
        <w:instrText xml:space="preserve"> REF _Ref143329331 \n \h </w:instrText>
      </w:r>
      <w:r w:rsidR="001D714F">
        <w:rPr>
          <w:noProof/>
          <w:lang w:val="en-IE"/>
        </w:rPr>
      </w:r>
      <w:r w:rsidR="001D714F">
        <w:rPr>
          <w:noProof/>
          <w:lang w:val="en-IE"/>
        </w:rPr>
        <w:fldChar w:fldCharType="separate"/>
      </w:r>
      <w:r w:rsidR="00170A3C">
        <w:rPr>
          <w:noProof/>
          <w:lang w:val="en-IE"/>
        </w:rPr>
        <w:t>1.3.3</w:t>
      </w:r>
      <w:r w:rsidR="001D714F">
        <w:rPr>
          <w:noProof/>
          <w:lang w:val="en-IE"/>
        </w:rPr>
        <w:fldChar w:fldCharType="end"/>
      </w:r>
      <w:r w:rsidR="008A3084">
        <w:rPr>
          <w:noProof/>
          <w:lang w:val="en-IE"/>
        </w:rPr>
        <w:t>, t</w:t>
      </w:r>
      <w:r>
        <w:rPr>
          <w:noProof/>
          <w:lang w:val="en-IE"/>
        </w:rPr>
        <w:t xml:space="preserve">hese transformations are largely driven by </w:t>
      </w:r>
      <w:r w:rsidR="00D95E78">
        <w:rPr>
          <w:noProof/>
          <w:lang w:val="en-IE"/>
        </w:rPr>
        <w:t xml:space="preserve">climate </w:t>
      </w:r>
      <w:r w:rsidR="00EE6F61">
        <w:rPr>
          <w:noProof/>
          <w:lang w:val="en-IE"/>
        </w:rPr>
        <w:t xml:space="preserve">policies extending their impact beyond 2030, such as the </w:t>
      </w:r>
      <w:r w:rsidR="00493C36">
        <w:rPr>
          <w:noProof/>
          <w:lang w:val="en-IE"/>
        </w:rPr>
        <w:t>ETS2.</w:t>
      </w:r>
      <w:r>
        <w:rPr>
          <w:noProof/>
          <w:lang w:val="en-IE"/>
        </w:rPr>
        <w:t xml:space="preserve"> Finally, CO</w:t>
      </w:r>
      <w:r w:rsidRPr="008A3084">
        <w:rPr>
          <w:noProof/>
          <w:vertAlign w:val="subscript"/>
          <w:lang w:val="en-IE"/>
        </w:rPr>
        <w:t>2</w:t>
      </w:r>
      <w:r>
        <w:rPr>
          <w:noProof/>
          <w:lang w:val="en-IE"/>
        </w:rPr>
        <w:t xml:space="preserve"> emission reductions are also achieved by reducing energy consumption from heating, cooling and</w:t>
      </w:r>
      <w:r w:rsidRPr="00455968">
        <w:rPr>
          <w:noProof/>
          <w:lang w:val="en-IE"/>
        </w:rPr>
        <w:t xml:space="preserve"> cooking </w:t>
      </w:r>
      <w:r>
        <w:rPr>
          <w:noProof/>
          <w:lang w:val="en-IE"/>
        </w:rPr>
        <w:t xml:space="preserve">equipment </w:t>
      </w:r>
      <w:r w:rsidRPr="00455968">
        <w:rPr>
          <w:noProof/>
          <w:lang w:val="en-IE"/>
        </w:rPr>
        <w:t>and appliances</w:t>
      </w:r>
      <w:r>
        <w:rPr>
          <w:noProof/>
          <w:lang w:val="en-IE"/>
        </w:rPr>
        <w:t xml:space="preserve"> – driven by the eco-labelling policy.</w:t>
      </w:r>
      <w:bookmarkStart w:id="249" w:name="_Ref141878460"/>
    </w:p>
    <w:p w14:paraId="5C52EE21" w14:textId="64132B5D" w:rsidR="00350C25" w:rsidRPr="00630343" w:rsidRDefault="00350C25" w:rsidP="00350C25">
      <w:pPr>
        <w:pStyle w:val="Heading2"/>
        <w:rPr>
          <w:rStyle w:val="Heading2Char"/>
          <w:b/>
          <w:noProof/>
        </w:rPr>
      </w:pPr>
      <w:bookmarkStart w:id="250" w:name="_Ref147836851"/>
      <w:bookmarkStart w:id="251" w:name="_Toc148605597"/>
      <w:bookmarkStart w:id="252" w:name="_Toc157692043"/>
      <w:bookmarkStart w:id="253" w:name="_Ref147326883"/>
      <w:r w:rsidRPr="00EE3AC3">
        <w:rPr>
          <w:rStyle w:val="Heading2Char"/>
          <w:b/>
          <w:noProof/>
        </w:rPr>
        <w:t>Industry</w:t>
      </w:r>
      <w:bookmarkEnd w:id="249"/>
      <w:bookmarkEnd w:id="250"/>
      <w:bookmarkEnd w:id="251"/>
      <w:bookmarkEnd w:id="252"/>
      <w:r w:rsidR="00EE3AC3" w:rsidRPr="00EE3AC3">
        <w:rPr>
          <w:rStyle w:val="Heading2Char"/>
          <w:b/>
          <w:bCs/>
          <w:noProof/>
        </w:rPr>
        <w:t> </w:t>
      </w:r>
      <w:bookmarkEnd w:id="253"/>
    </w:p>
    <w:p w14:paraId="583EB394" w14:textId="77777777" w:rsidR="00350C25" w:rsidRPr="00630343" w:rsidRDefault="00350C25" w:rsidP="00350C25">
      <w:pPr>
        <w:pStyle w:val="Heading3"/>
        <w:rPr>
          <w:noProof/>
        </w:rPr>
      </w:pPr>
      <w:bookmarkStart w:id="254" w:name="_Toc148605598"/>
      <w:bookmarkStart w:id="255" w:name="_Toc157692044"/>
      <w:r w:rsidRPr="00630343">
        <w:rPr>
          <w:noProof/>
        </w:rPr>
        <w:t>Introduction</w:t>
      </w:r>
      <w:bookmarkEnd w:id="254"/>
      <w:bookmarkEnd w:id="255"/>
    </w:p>
    <w:p w14:paraId="787C08AF" w14:textId="268635A8" w:rsidR="00350C25" w:rsidRDefault="00350C25" w:rsidP="00350C25">
      <w:pPr>
        <w:autoSpaceDE w:val="0"/>
        <w:autoSpaceDN w:val="0"/>
        <w:adjustRightInd w:val="0"/>
        <w:spacing w:after="0"/>
        <w:rPr>
          <w:rFonts w:cstheme="minorBidi"/>
          <w:noProof/>
        </w:rPr>
      </w:pPr>
      <w:r w:rsidRPr="2AB5521A">
        <w:rPr>
          <w:rFonts w:cstheme="minorBidi"/>
          <w:noProof/>
        </w:rPr>
        <w:t>According to IEA, global industry</w:t>
      </w:r>
      <w:r w:rsidR="00654417">
        <w:rPr>
          <w:rFonts w:cstheme="minorBidi"/>
          <w:noProof/>
        </w:rPr>
        <w:t xml:space="preserve"> </w:t>
      </w:r>
      <w:r w:rsidR="000A2E6F" w:rsidRPr="00EE3AC3">
        <w:rPr>
          <w:rStyle w:val="Heading2Char"/>
          <w:rFonts w:eastAsia="Times New Roman,Italic"/>
          <w:bCs/>
          <w:noProof/>
        </w:rPr>
        <w:t>(</w:t>
      </w:r>
      <w:r w:rsidR="000A2E6F">
        <w:rPr>
          <w:rStyle w:val="FootnoteReference"/>
          <w:bCs/>
          <w:noProof/>
        </w:rPr>
        <w:footnoteReference w:id="73"/>
      </w:r>
      <w:r w:rsidR="000A2E6F">
        <w:rPr>
          <w:rStyle w:val="Heading2Char"/>
          <w:rFonts w:eastAsia="Times New Roman,Italic"/>
          <w:bCs/>
          <w:noProof/>
        </w:rPr>
        <w:t>)</w:t>
      </w:r>
      <w:r w:rsidRPr="2AB5521A">
        <w:rPr>
          <w:rFonts w:cstheme="minorBidi"/>
          <w:noProof/>
        </w:rPr>
        <w:t xml:space="preserve"> accounts for one-third of total final energy consumption, and </w:t>
      </w:r>
      <w:r w:rsidR="00925DB7">
        <w:rPr>
          <w:rFonts w:cstheme="minorBidi"/>
          <w:noProof/>
        </w:rPr>
        <w:t>the</w:t>
      </w:r>
      <w:r w:rsidRPr="2AB5521A">
        <w:rPr>
          <w:rFonts w:cstheme="minorBidi"/>
          <w:noProof/>
        </w:rPr>
        <w:t xml:space="preserve"> </w:t>
      </w:r>
      <w:r w:rsidR="00446DC1">
        <w:rPr>
          <w:rFonts w:cstheme="minorBidi"/>
          <w:noProof/>
        </w:rPr>
        <w:t xml:space="preserve">CO2 </w:t>
      </w:r>
      <w:r w:rsidRPr="2AB5521A">
        <w:rPr>
          <w:rFonts w:cstheme="minorBidi"/>
          <w:noProof/>
        </w:rPr>
        <w:t>emi</w:t>
      </w:r>
      <w:r w:rsidR="00925DB7">
        <w:rPr>
          <w:rFonts w:cstheme="minorBidi"/>
          <w:noProof/>
        </w:rPr>
        <w:t>tted</w:t>
      </w:r>
      <w:r w:rsidRPr="2AB5521A">
        <w:rPr>
          <w:rFonts w:cstheme="minorBidi"/>
          <w:noProof/>
        </w:rPr>
        <w:t xml:space="preserve"> (9</w:t>
      </w:r>
      <w:r>
        <w:rPr>
          <w:rFonts w:cstheme="minorBidi"/>
          <w:noProof/>
        </w:rPr>
        <w:t xml:space="preserve"> </w:t>
      </w:r>
      <w:r w:rsidRPr="2AB5521A">
        <w:rPr>
          <w:rFonts w:cstheme="minorBidi"/>
          <w:noProof/>
        </w:rPr>
        <w:t>GtCO2) represent</w:t>
      </w:r>
      <w:r w:rsidR="00925DB7">
        <w:rPr>
          <w:rFonts w:cstheme="minorBidi"/>
          <w:noProof/>
        </w:rPr>
        <w:t>s</w:t>
      </w:r>
      <w:r w:rsidRPr="2AB5521A">
        <w:rPr>
          <w:rFonts w:cstheme="minorBidi"/>
          <w:noProof/>
        </w:rPr>
        <w:t xml:space="preserve"> one-quarter of all energy and process CO2 emissions</w:t>
      </w:r>
      <w:r w:rsidR="00925DB7">
        <w:rPr>
          <w:rFonts w:cstheme="minorBidi"/>
          <w:noProof/>
        </w:rPr>
        <w:t xml:space="preserve"> </w:t>
      </w:r>
      <w:r w:rsidRPr="002F79D6">
        <w:rPr>
          <w:noProof/>
        </w:rPr>
        <w:t>(</w:t>
      </w:r>
      <w:r w:rsidRPr="2AB5521A">
        <w:rPr>
          <w:rStyle w:val="FootnoteReference"/>
          <w:rFonts w:cstheme="minorBidi"/>
          <w:noProof/>
        </w:rPr>
        <w:footnoteReference w:id="74"/>
      </w:r>
      <w:r>
        <w:rPr>
          <w:noProof/>
        </w:rPr>
        <w:t>)</w:t>
      </w:r>
      <w:r w:rsidRPr="2AB5521A">
        <w:rPr>
          <w:rFonts w:cstheme="minorBidi"/>
          <w:noProof/>
        </w:rPr>
        <w:t>. In the EU</w:t>
      </w:r>
      <w:r w:rsidR="00446DC1">
        <w:rPr>
          <w:rFonts w:cstheme="minorBidi"/>
          <w:noProof/>
        </w:rPr>
        <w:t>, i</w:t>
      </w:r>
      <w:r w:rsidR="00446DC1" w:rsidRPr="2AB5521A">
        <w:rPr>
          <w:rFonts w:cstheme="minorBidi"/>
          <w:noProof/>
        </w:rPr>
        <w:t>ndustrial</w:t>
      </w:r>
      <w:r w:rsidRPr="2AB5521A">
        <w:rPr>
          <w:rFonts w:cstheme="minorBidi"/>
          <w:noProof/>
        </w:rPr>
        <w:t xml:space="preserve"> emissions have been decreasing steadily since 1990, overcoming also the rebound due to the restart of economic activity after the COVID-19 pandemic</w:t>
      </w:r>
      <w:r w:rsidRPr="002F79D6">
        <w:rPr>
          <w:noProof/>
        </w:rPr>
        <w:t> (</w:t>
      </w:r>
      <w:r w:rsidRPr="2AB5521A">
        <w:rPr>
          <w:rStyle w:val="FootnoteReference"/>
          <w:rFonts w:cstheme="minorBidi"/>
          <w:noProof/>
        </w:rPr>
        <w:footnoteReference w:id="75"/>
      </w:r>
      <w:r w:rsidR="00446DC1">
        <w:rPr>
          <w:noProof/>
        </w:rPr>
        <w:t xml:space="preserve">), </w:t>
      </w:r>
      <w:r w:rsidR="00925DB7">
        <w:rPr>
          <w:noProof/>
        </w:rPr>
        <w:t xml:space="preserve">and </w:t>
      </w:r>
      <w:r w:rsidR="00446DC1">
        <w:rPr>
          <w:noProof/>
        </w:rPr>
        <w:t xml:space="preserve">in </w:t>
      </w:r>
      <w:r w:rsidR="00446DC1" w:rsidRPr="2AB5521A">
        <w:rPr>
          <w:rFonts w:cstheme="minorBidi"/>
          <w:noProof/>
        </w:rPr>
        <w:t xml:space="preserve">2020, </w:t>
      </w:r>
      <w:r w:rsidR="00446DC1">
        <w:rPr>
          <w:rFonts w:cstheme="minorBidi"/>
          <w:noProof/>
        </w:rPr>
        <w:t xml:space="preserve">they represented </w:t>
      </w:r>
      <w:r w:rsidR="00446DC1" w:rsidRPr="2AB5521A">
        <w:rPr>
          <w:rFonts w:cstheme="minorBidi"/>
          <w:noProof/>
        </w:rPr>
        <w:t xml:space="preserve">26% of </w:t>
      </w:r>
      <w:r w:rsidR="00446DC1">
        <w:rPr>
          <w:rFonts w:cstheme="minorBidi"/>
          <w:noProof/>
        </w:rPr>
        <w:t xml:space="preserve">total net </w:t>
      </w:r>
      <w:r w:rsidR="00446DC1" w:rsidRPr="2AB5521A">
        <w:rPr>
          <w:rFonts w:cstheme="minorBidi"/>
          <w:noProof/>
        </w:rPr>
        <w:t>GHG</w:t>
      </w:r>
      <w:r w:rsidR="00446DC1">
        <w:rPr>
          <w:rFonts w:cstheme="minorBidi"/>
          <w:noProof/>
        </w:rPr>
        <w:t xml:space="preserve"> emissions</w:t>
      </w:r>
      <w:r w:rsidR="008D4894">
        <w:rPr>
          <w:rFonts w:cstheme="minorBidi"/>
          <w:noProof/>
        </w:rPr>
        <w:t> </w:t>
      </w:r>
      <w:r w:rsidR="00446DC1" w:rsidRPr="002F79D6">
        <w:rPr>
          <w:noProof/>
        </w:rPr>
        <w:t>(</w:t>
      </w:r>
      <w:r w:rsidR="00446DC1" w:rsidRPr="2AB5521A">
        <w:rPr>
          <w:rStyle w:val="FootnoteReference"/>
          <w:rFonts w:cstheme="minorBidi"/>
          <w:noProof/>
        </w:rPr>
        <w:footnoteReference w:id="76"/>
      </w:r>
      <w:r w:rsidR="00446DC1">
        <w:rPr>
          <w:noProof/>
        </w:rPr>
        <w:t>)</w:t>
      </w:r>
      <w:r w:rsidR="00446DC1" w:rsidRPr="2AB5521A">
        <w:rPr>
          <w:rFonts w:cstheme="minorBidi"/>
          <w:noProof/>
        </w:rPr>
        <w:t>.</w:t>
      </w:r>
      <w:r w:rsidR="00446DC1">
        <w:rPr>
          <w:rFonts w:cstheme="minorBidi"/>
          <w:noProof/>
        </w:rPr>
        <w:t xml:space="preserve"> </w:t>
      </w:r>
    </w:p>
    <w:p w14:paraId="49660C32" w14:textId="77777777" w:rsidR="00350C25" w:rsidRDefault="00350C25" w:rsidP="00350C25">
      <w:pPr>
        <w:autoSpaceDE w:val="0"/>
        <w:autoSpaceDN w:val="0"/>
        <w:adjustRightInd w:val="0"/>
        <w:spacing w:after="0"/>
        <w:rPr>
          <w:rFonts w:cstheme="minorBidi"/>
          <w:noProof/>
        </w:rPr>
      </w:pPr>
    </w:p>
    <w:p w14:paraId="6AEEC649" w14:textId="196C2546" w:rsidR="00350C25" w:rsidRDefault="00350C25" w:rsidP="008E643E">
      <w:pPr>
        <w:rPr>
          <w:rFonts w:cstheme="minorHAnsi"/>
          <w:noProof/>
        </w:rPr>
      </w:pPr>
      <w:r>
        <w:rPr>
          <w:noProof/>
          <w:lang w:val="en-IE"/>
        </w:rPr>
        <w:t>N</w:t>
      </w:r>
      <w:r w:rsidRPr="00D851D0">
        <w:rPr>
          <w:noProof/>
          <w:lang w:val="en-IE"/>
        </w:rPr>
        <w:t>o silver bullet</w:t>
      </w:r>
      <w:r>
        <w:rPr>
          <w:noProof/>
          <w:lang w:val="en-IE"/>
        </w:rPr>
        <w:t xml:space="preserve"> exists to decarbonise industry, </w:t>
      </w:r>
      <w:r w:rsidR="00925DB7">
        <w:rPr>
          <w:noProof/>
          <w:lang w:val="en-IE"/>
        </w:rPr>
        <w:t xml:space="preserve">and </w:t>
      </w:r>
      <w:r>
        <w:rPr>
          <w:noProof/>
          <w:lang w:val="en-IE"/>
        </w:rPr>
        <w:t xml:space="preserve">different solutions </w:t>
      </w:r>
      <w:r w:rsidR="00446DC1">
        <w:rPr>
          <w:noProof/>
          <w:lang w:val="en-IE"/>
        </w:rPr>
        <w:t>are to</w:t>
      </w:r>
      <w:r>
        <w:rPr>
          <w:noProof/>
          <w:lang w:val="en-IE"/>
        </w:rPr>
        <w:t xml:space="preserve"> be implemented to the various subsectors</w:t>
      </w:r>
      <w:r w:rsidR="00CE4180">
        <w:rPr>
          <w:noProof/>
          <w:lang w:val="en-IE"/>
        </w:rPr>
        <w:t xml:space="preserve"> to achieve climate neutrality</w:t>
      </w:r>
      <w:r>
        <w:rPr>
          <w:noProof/>
          <w:lang w:val="en-IE"/>
        </w:rPr>
        <w:t xml:space="preserve">. </w:t>
      </w:r>
      <w:r w:rsidR="00925DB7">
        <w:rPr>
          <w:noProof/>
          <w:lang w:val="en-IE"/>
        </w:rPr>
        <w:t>Reduction of raw materials demand, for instance by implementation of circular economy and demand-side actions, can reduce emissions by 20% in 2040 (</w:t>
      </w:r>
      <w:r w:rsidR="00925DB7">
        <w:rPr>
          <w:rStyle w:val="FootnoteReference"/>
          <w:noProof/>
          <w:lang w:val="en-IE"/>
        </w:rPr>
        <w:footnoteReference w:id="77"/>
      </w:r>
      <w:r w:rsidR="00925DB7">
        <w:rPr>
          <w:noProof/>
          <w:lang w:val="en-IE"/>
        </w:rPr>
        <w:t xml:space="preserve">). </w:t>
      </w:r>
      <w:r>
        <w:rPr>
          <w:noProof/>
          <w:lang w:val="en-IE"/>
        </w:rPr>
        <w:t>Energy efficiency, together with indirect and direct electrification can re</w:t>
      </w:r>
      <w:r w:rsidR="00446DC1">
        <w:rPr>
          <w:noProof/>
          <w:lang w:val="en-IE"/>
        </w:rPr>
        <w:t>duce emissions by</w:t>
      </w:r>
      <w:r>
        <w:rPr>
          <w:noProof/>
          <w:lang w:val="en-IE"/>
        </w:rPr>
        <w:t xml:space="preserve"> 25% </w:t>
      </w:r>
      <w:r w:rsidRPr="00381D9E">
        <w:rPr>
          <w:noProof/>
          <w:lang w:val="en-IE"/>
        </w:rPr>
        <w:t>(</w:t>
      </w:r>
      <w:bookmarkStart w:id="256" w:name="_Ref147843370"/>
      <w:r>
        <w:rPr>
          <w:rStyle w:val="FootnoteReference"/>
          <w:noProof/>
        </w:rPr>
        <w:footnoteReference w:id="78"/>
      </w:r>
      <w:bookmarkEnd w:id="256"/>
      <w:r>
        <w:rPr>
          <w:noProof/>
          <w:lang w:val="en-IE"/>
        </w:rPr>
        <w:t>)</w:t>
      </w:r>
      <w:r w:rsidR="00446DC1">
        <w:rPr>
          <w:noProof/>
          <w:lang w:val="en-IE"/>
        </w:rPr>
        <w:t>,</w:t>
      </w:r>
      <w:r>
        <w:rPr>
          <w:noProof/>
          <w:lang w:val="en-IE"/>
        </w:rPr>
        <w:t xml:space="preserve"> acting on the industry energy needs. </w:t>
      </w:r>
      <w:r w:rsidR="00446DC1">
        <w:rPr>
          <w:noProof/>
          <w:lang w:val="en-IE"/>
        </w:rPr>
        <w:t>Replacement of fossil</w:t>
      </w:r>
      <w:r>
        <w:rPr>
          <w:noProof/>
          <w:lang w:val="en-IE"/>
        </w:rPr>
        <w:t xml:space="preserve"> fuels</w:t>
      </w:r>
      <w:r w:rsidR="00446DC1">
        <w:rPr>
          <w:noProof/>
          <w:lang w:val="en-IE"/>
        </w:rPr>
        <w:t xml:space="preserve"> by </w:t>
      </w:r>
      <w:r>
        <w:rPr>
          <w:noProof/>
          <w:lang w:val="en-IE"/>
        </w:rPr>
        <w:t>bio- and e-fuels</w:t>
      </w:r>
      <w:r w:rsidR="00446DC1">
        <w:rPr>
          <w:noProof/>
          <w:lang w:val="en-IE"/>
        </w:rPr>
        <w:t xml:space="preserve"> can </w:t>
      </w:r>
      <w:r>
        <w:rPr>
          <w:noProof/>
          <w:lang w:val="en-IE"/>
        </w:rPr>
        <w:t xml:space="preserve">contribute to decarbonisation where electrification is not </w:t>
      </w:r>
      <w:r w:rsidR="00CE4180">
        <w:rPr>
          <w:noProof/>
          <w:lang w:val="en-IE"/>
        </w:rPr>
        <w:t xml:space="preserve">technically </w:t>
      </w:r>
      <w:r>
        <w:rPr>
          <w:noProof/>
          <w:lang w:val="en-IE"/>
        </w:rPr>
        <w:t>possible</w:t>
      </w:r>
      <w:r w:rsidR="00925DB7">
        <w:rPr>
          <w:noProof/>
          <w:lang w:val="en-IE"/>
        </w:rPr>
        <w:t xml:space="preserve"> and c</w:t>
      </w:r>
      <w:r>
        <w:rPr>
          <w:noProof/>
          <w:lang w:val="en-IE"/>
        </w:rPr>
        <w:t xml:space="preserve">arbon capture </w:t>
      </w:r>
      <w:r w:rsidR="00446DC1">
        <w:rPr>
          <w:noProof/>
          <w:lang w:val="en-IE"/>
        </w:rPr>
        <w:t>can</w:t>
      </w:r>
      <w:r>
        <w:rPr>
          <w:noProof/>
          <w:lang w:val="en-IE"/>
        </w:rPr>
        <w:t xml:space="preserve"> </w:t>
      </w:r>
      <w:r w:rsidR="00925DB7">
        <w:rPr>
          <w:noProof/>
          <w:lang w:val="en-IE"/>
        </w:rPr>
        <w:t xml:space="preserve">be implemented where low carbon alternative processes have limited potential. </w:t>
      </w:r>
      <w:r w:rsidR="00490443">
        <w:rPr>
          <w:noProof/>
          <w:lang w:val="en-IE"/>
        </w:rPr>
        <w:t>Literature shows that combining all approaches can reduce industrial emissions by 86% in 2050 compared to 2019</w:t>
      </w:r>
      <w:r w:rsidR="006F2220">
        <w:rPr>
          <w:noProof/>
          <w:lang w:val="en-IE"/>
        </w:rPr>
        <w:t xml:space="preserve"> </w:t>
      </w:r>
      <w:r w:rsidR="006F2220" w:rsidRPr="006F2220">
        <w:rPr>
          <w:noProof/>
          <w:lang w:val="en-IE"/>
        </w:rPr>
        <w:t>(</w:t>
      </w:r>
      <w:bookmarkStart w:id="257" w:name="_Ref146464218"/>
      <w:r w:rsidR="006F2220">
        <w:rPr>
          <w:rStyle w:val="FootnoteReference"/>
          <w:noProof/>
          <w:lang w:val="en-IE"/>
        </w:rPr>
        <w:footnoteReference w:id="79"/>
      </w:r>
      <w:bookmarkEnd w:id="257"/>
      <w:r w:rsidR="006F2220">
        <w:rPr>
          <w:noProof/>
          <w:lang w:val="en-IE"/>
        </w:rPr>
        <w:t>)</w:t>
      </w:r>
      <w:r w:rsidR="00925DB7">
        <w:rPr>
          <w:noProof/>
          <w:lang w:val="en-IE"/>
        </w:rPr>
        <w:t>.</w:t>
      </w:r>
    </w:p>
    <w:p w14:paraId="73008C21" w14:textId="78EED23F" w:rsidR="00350C25" w:rsidRPr="00630343" w:rsidRDefault="00350C25" w:rsidP="00A20B6F">
      <w:pPr>
        <w:pStyle w:val="Heading3"/>
        <w:rPr>
          <w:noProof/>
        </w:rPr>
      </w:pPr>
      <w:bookmarkStart w:id="260" w:name="_Ref143330757"/>
      <w:bookmarkStart w:id="261" w:name="_Toc148605599"/>
      <w:bookmarkStart w:id="262" w:name="_Toc157692045"/>
      <w:r w:rsidRPr="00630343">
        <w:rPr>
          <w:noProof/>
        </w:rPr>
        <w:t>Activity</w:t>
      </w:r>
      <w:bookmarkEnd w:id="260"/>
      <w:bookmarkEnd w:id="261"/>
      <w:bookmarkEnd w:id="262"/>
      <w:r w:rsidRPr="00630343">
        <w:rPr>
          <w:noProof/>
        </w:rPr>
        <w:t xml:space="preserve"> </w:t>
      </w:r>
    </w:p>
    <w:p w14:paraId="502D4DF3" w14:textId="16300324" w:rsidR="00A921C9" w:rsidRPr="003B4E4B" w:rsidRDefault="00BA5289" w:rsidP="00A921C9">
      <w:pPr>
        <w:rPr>
          <w:rFonts w:cs="Times New Roman"/>
          <w:bCs/>
          <w:noProof/>
          <w:lang w:val="en-IE"/>
        </w:rPr>
      </w:pPr>
      <w:r>
        <w:rPr>
          <w:rFonts w:cs="Times New Roman"/>
          <w:bCs/>
          <w:noProof/>
          <w:lang w:val="en-IE"/>
        </w:rPr>
        <w:t>The</w:t>
      </w:r>
      <w:r w:rsidR="00925DB7">
        <w:rPr>
          <w:rFonts w:cs="Times New Roman"/>
          <w:bCs/>
          <w:noProof/>
          <w:lang w:val="en-IE"/>
        </w:rPr>
        <w:t xml:space="preserve"> activity in the </w:t>
      </w:r>
      <w:r>
        <w:rPr>
          <w:rFonts w:cs="Times New Roman"/>
          <w:bCs/>
          <w:noProof/>
          <w:lang w:val="en-IE"/>
        </w:rPr>
        <w:t xml:space="preserve">three main scenarios build on a continuation of trends of </w:t>
      </w:r>
      <w:r w:rsidR="007A5B64">
        <w:rPr>
          <w:rFonts w:cs="Times New Roman"/>
          <w:bCs/>
          <w:noProof/>
          <w:lang w:val="en-IE"/>
        </w:rPr>
        <w:t xml:space="preserve">sector-specific </w:t>
      </w:r>
      <w:r>
        <w:rPr>
          <w:rFonts w:cs="Times New Roman"/>
          <w:bCs/>
          <w:noProof/>
          <w:lang w:val="en-IE"/>
        </w:rPr>
        <w:t xml:space="preserve">material demand and associated production. </w:t>
      </w:r>
      <w:r w:rsidR="00C459D4">
        <w:rPr>
          <w:rFonts w:cs="Times New Roman"/>
          <w:bCs/>
          <w:noProof/>
          <w:lang w:val="en-IE"/>
        </w:rPr>
        <w:t>LIFE</w:t>
      </w:r>
      <w:r>
        <w:rPr>
          <w:rFonts w:cs="Times New Roman"/>
          <w:bCs/>
          <w:noProof/>
          <w:lang w:val="en-IE"/>
        </w:rPr>
        <w:t xml:space="preserve"> illustrates how a more efficient use of materials resources, through technological </w:t>
      </w:r>
      <w:r w:rsidR="00350C25" w:rsidRPr="007B584F">
        <w:rPr>
          <w:rFonts w:cs="Times New Roman"/>
          <w:noProof/>
          <w:lang w:val="en-IE"/>
        </w:rPr>
        <w:t xml:space="preserve">innovations </w:t>
      </w:r>
      <w:r>
        <w:rPr>
          <w:rFonts w:cs="Times New Roman"/>
          <w:bCs/>
          <w:noProof/>
          <w:lang w:val="en-IE"/>
        </w:rPr>
        <w:t xml:space="preserve">and a higher circularity of the EU’s </w:t>
      </w:r>
      <w:r w:rsidR="007A5B64">
        <w:rPr>
          <w:rFonts w:cs="Times New Roman"/>
          <w:bCs/>
          <w:noProof/>
          <w:lang w:val="en-IE"/>
        </w:rPr>
        <w:t xml:space="preserve">economy, </w:t>
      </w:r>
      <w:r w:rsidR="007A5B64" w:rsidRPr="007B584F">
        <w:rPr>
          <w:rFonts w:cs="Times New Roman"/>
          <w:noProof/>
          <w:lang w:val="en-IE"/>
        </w:rPr>
        <w:t>can</w:t>
      </w:r>
      <w:r w:rsidR="002654FA" w:rsidRPr="00A921C9">
        <w:rPr>
          <w:rFonts w:cstheme="minorHAnsi"/>
          <w:bCs/>
          <w:noProof/>
          <w:lang w:val="en-IE"/>
        </w:rPr>
        <w:t xml:space="preserve"> </w:t>
      </w:r>
      <w:r w:rsidR="002654FA" w:rsidRPr="00A921C9">
        <w:rPr>
          <w:rFonts w:cstheme="minorHAnsi"/>
          <w:bCs/>
          <w:noProof/>
        </w:rPr>
        <w:t>impact positively</w:t>
      </w:r>
      <w:r w:rsidR="00350C25">
        <w:rPr>
          <w:rFonts w:cstheme="minorHAnsi"/>
          <w:noProof/>
        </w:rPr>
        <w:t xml:space="preserve"> sectoral </w:t>
      </w:r>
      <w:r>
        <w:rPr>
          <w:rFonts w:cstheme="minorHAnsi"/>
          <w:bCs/>
          <w:noProof/>
        </w:rPr>
        <w:t xml:space="preserve">CO2 </w:t>
      </w:r>
      <w:r w:rsidR="00350C25">
        <w:rPr>
          <w:rFonts w:cstheme="minorHAnsi"/>
          <w:noProof/>
        </w:rPr>
        <w:t>emissions.</w:t>
      </w:r>
    </w:p>
    <w:p w14:paraId="2DC4AE7F" w14:textId="258536BA" w:rsidR="00350C25" w:rsidRDefault="004B67A6" w:rsidP="00350C25">
      <w:pPr>
        <w:pStyle w:val="Text3"/>
        <w:ind w:left="0" w:firstLine="0"/>
        <w:rPr>
          <w:rFonts w:cstheme="minorHAnsi"/>
          <w:noProof/>
        </w:rPr>
      </w:pPr>
      <w:r>
        <w:rPr>
          <w:rFonts w:cstheme="minorBidi"/>
          <w:noProof/>
        </w:rPr>
        <w:t>F</w:t>
      </w:r>
      <w:r w:rsidR="00200A20" w:rsidRPr="009A292A">
        <w:rPr>
          <w:rFonts w:cstheme="minorBidi"/>
          <w:noProof/>
        </w:rPr>
        <w:t>uture</w:t>
      </w:r>
      <w:r w:rsidR="00350C25" w:rsidRPr="009A292A">
        <w:rPr>
          <w:rFonts w:cstheme="minorBidi"/>
          <w:noProof/>
        </w:rPr>
        <w:t xml:space="preserve"> production of steel in </w:t>
      </w:r>
      <w:r w:rsidR="00200A20" w:rsidRPr="009A292A">
        <w:rPr>
          <w:rFonts w:cstheme="minorBidi"/>
          <w:noProof/>
        </w:rPr>
        <w:t xml:space="preserve">EU </w:t>
      </w:r>
      <w:r>
        <w:rPr>
          <w:rFonts w:cstheme="minorBidi"/>
          <w:noProof/>
        </w:rPr>
        <w:t xml:space="preserve">is likely to </w:t>
      </w:r>
      <w:r w:rsidR="00200A20" w:rsidRPr="009A292A">
        <w:rPr>
          <w:rFonts w:cstheme="minorBidi"/>
          <w:noProof/>
        </w:rPr>
        <w:t>maintain current levels (</w:t>
      </w:r>
      <w:bookmarkStart w:id="263" w:name="_Ref146464278"/>
      <w:r w:rsidR="00200A20" w:rsidRPr="009A292A">
        <w:rPr>
          <w:rStyle w:val="FootnoteReference"/>
          <w:rFonts w:cstheme="minorBidi"/>
          <w:noProof/>
        </w:rPr>
        <w:footnoteReference w:id="80"/>
      </w:r>
      <w:bookmarkEnd w:id="263"/>
      <w:r w:rsidR="00200A20" w:rsidRPr="009A292A">
        <w:rPr>
          <w:rFonts w:cstheme="minorBidi"/>
          <w:noProof/>
        </w:rPr>
        <w:t>)</w:t>
      </w:r>
      <w:r w:rsidR="009A292A">
        <w:rPr>
          <w:rFonts w:cstheme="minorBidi"/>
          <w:noProof/>
        </w:rPr>
        <w:t>,</w:t>
      </w:r>
      <w:r w:rsidR="007A5B64">
        <w:rPr>
          <w:rFonts w:cstheme="minorBidi"/>
          <w:noProof/>
        </w:rPr>
        <w:t xml:space="preserve"> and this trend is </w:t>
      </w:r>
      <w:r>
        <w:rPr>
          <w:rFonts w:cstheme="minorBidi"/>
          <w:noProof/>
        </w:rPr>
        <w:t xml:space="preserve">reflected in </w:t>
      </w:r>
      <w:r w:rsidR="009A292A">
        <w:rPr>
          <w:rFonts w:cstheme="minorBidi"/>
          <w:noProof/>
        </w:rPr>
        <w:t>the main scenarios</w:t>
      </w:r>
      <w:r w:rsidR="00E34CE2">
        <w:rPr>
          <w:rFonts w:cstheme="minorBidi"/>
          <w:noProof/>
        </w:rPr>
        <w:t>, where s</w:t>
      </w:r>
      <w:r w:rsidR="003374F7" w:rsidRPr="009A292A">
        <w:rPr>
          <w:rFonts w:cstheme="minorBidi"/>
          <w:noProof/>
        </w:rPr>
        <w:t>ector d</w:t>
      </w:r>
      <w:r w:rsidR="00350C25" w:rsidRPr="009A292A">
        <w:rPr>
          <w:rFonts w:cstheme="minorBidi"/>
          <w:noProof/>
        </w:rPr>
        <w:t>ecarbonisation happen</w:t>
      </w:r>
      <w:r w:rsidR="003B0123" w:rsidRPr="009A292A">
        <w:rPr>
          <w:rFonts w:cstheme="minorBidi"/>
          <w:noProof/>
        </w:rPr>
        <w:t>s</w:t>
      </w:r>
      <w:r w:rsidR="003374F7" w:rsidRPr="009A292A">
        <w:rPr>
          <w:rFonts w:cstheme="minorBidi"/>
          <w:noProof/>
        </w:rPr>
        <w:t xml:space="preserve"> mainly</w:t>
      </w:r>
      <w:r w:rsidR="00350C25" w:rsidRPr="61BF51EC">
        <w:rPr>
          <w:rFonts w:cstheme="minorBidi"/>
          <w:noProof/>
        </w:rPr>
        <w:t xml:space="preserve"> through the increase of electric arc furnace share and </w:t>
      </w:r>
      <w:r w:rsidR="003374F7" w:rsidRPr="009A292A">
        <w:rPr>
          <w:rFonts w:cstheme="minorBidi"/>
          <w:noProof/>
        </w:rPr>
        <w:t>a larger</w:t>
      </w:r>
      <w:r w:rsidR="00350C25" w:rsidRPr="61BF51EC">
        <w:rPr>
          <w:rFonts w:cstheme="minorBidi"/>
          <w:noProof/>
        </w:rPr>
        <w:t xml:space="preserve"> use of hydrogen </w:t>
      </w:r>
      <w:r w:rsidR="003374F7" w:rsidRPr="009A292A">
        <w:rPr>
          <w:rFonts w:cstheme="minorBidi"/>
          <w:noProof/>
        </w:rPr>
        <w:t xml:space="preserve">in the </w:t>
      </w:r>
      <w:r w:rsidR="00350C25" w:rsidRPr="61BF51EC">
        <w:rPr>
          <w:rFonts w:cstheme="minorBidi"/>
          <w:noProof/>
        </w:rPr>
        <w:t>reduction of iron ore</w:t>
      </w:r>
      <w:r w:rsidR="00D96F21" w:rsidRPr="009A292A">
        <w:rPr>
          <w:rFonts w:cstheme="minorBidi"/>
          <w:noProof/>
        </w:rPr>
        <w:t> (</w:t>
      </w:r>
      <w:r w:rsidR="00D96F21" w:rsidRPr="009A292A">
        <w:rPr>
          <w:rStyle w:val="FootnoteReference"/>
          <w:rFonts w:cstheme="minorBidi"/>
          <w:noProof/>
        </w:rPr>
        <w:footnoteReference w:id="81"/>
      </w:r>
      <w:r w:rsidR="00D96F21" w:rsidRPr="009A292A">
        <w:rPr>
          <w:rFonts w:cstheme="minorBidi"/>
          <w:noProof/>
        </w:rPr>
        <w:t>)</w:t>
      </w:r>
      <w:r w:rsidR="00350C25" w:rsidRPr="009A292A">
        <w:rPr>
          <w:rFonts w:cstheme="minorBidi"/>
          <w:noProof/>
        </w:rPr>
        <w:t>.</w:t>
      </w:r>
      <w:r w:rsidR="00E34CE2">
        <w:rPr>
          <w:rFonts w:cstheme="minorBidi"/>
          <w:noProof/>
        </w:rPr>
        <w:t xml:space="preserve"> A </w:t>
      </w:r>
      <w:r>
        <w:rPr>
          <w:rFonts w:cstheme="minorBidi"/>
          <w:noProof/>
        </w:rPr>
        <w:t xml:space="preserve">more efficient use of steel and an </w:t>
      </w:r>
      <w:r w:rsidRPr="61BF51EC">
        <w:rPr>
          <w:rFonts w:cstheme="minorBidi"/>
          <w:noProof/>
        </w:rPr>
        <w:t xml:space="preserve">increasing recycling rate </w:t>
      </w:r>
      <w:r w:rsidRPr="009A292A">
        <w:rPr>
          <w:rFonts w:cstheme="minorBidi"/>
          <w:noProof/>
        </w:rPr>
        <w:t>could</w:t>
      </w:r>
      <w:r w:rsidRPr="61BF51EC">
        <w:rPr>
          <w:rFonts w:cstheme="minorBidi"/>
          <w:noProof/>
        </w:rPr>
        <w:t xml:space="preserve"> lead to a decrease</w:t>
      </w:r>
      <w:r>
        <w:rPr>
          <w:rFonts w:cstheme="minorBidi"/>
          <w:noProof/>
        </w:rPr>
        <w:t xml:space="preserve"> in</w:t>
      </w:r>
      <w:r w:rsidRPr="61BF51EC">
        <w:rPr>
          <w:rFonts w:cstheme="minorBidi"/>
          <w:noProof/>
        </w:rPr>
        <w:t xml:space="preserve"> primary production </w:t>
      </w:r>
      <w:r w:rsidRPr="009A292A">
        <w:rPr>
          <w:rFonts w:cstheme="minorBidi"/>
          <w:noProof/>
        </w:rPr>
        <w:t>and an increas</w:t>
      </w:r>
      <w:r w:rsidR="00E34CE2">
        <w:rPr>
          <w:rFonts w:cstheme="minorBidi"/>
          <w:noProof/>
        </w:rPr>
        <w:t>ed</w:t>
      </w:r>
      <w:r w:rsidRPr="009A292A">
        <w:rPr>
          <w:rFonts w:cstheme="minorBidi"/>
          <w:noProof/>
        </w:rPr>
        <w:t xml:space="preserve"> share </w:t>
      </w:r>
      <w:r w:rsidRPr="61BF51EC">
        <w:rPr>
          <w:rFonts w:cstheme="minorBidi"/>
          <w:noProof/>
        </w:rPr>
        <w:t>of secondary steel</w:t>
      </w:r>
      <w:r>
        <w:rPr>
          <w:rFonts w:cstheme="minorBidi"/>
          <w:noProof/>
        </w:rPr>
        <w:t>, reducing overall demand by</w:t>
      </w:r>
      <w:r w:rsidR="0012605E">
        <w:rPr>
          <w:rFonts w:cstheme="minorBidi"/>
          <w:noProof/>
        </w:rPr>
        <w:t xml:space="preserve"> </w:t>
      </w:r>
      <w:r w:rsidR="00165A65">
        <w:rPr>
          <w:rFonts w:cstheme="minorBidi"/>
          <w:noProof/>
        </w:rPr>
        <w:t xml:space="preserve">up to </w:t>
      </w:r>
      <w:r w:rsidR="0012605E">
        <w:rPr>
          <w:rFonts w:cstheme="minorBidi"/>
          <w:noProof/>
        </w:rPr>
        <w:t>15-</w:t>
      </w:r>
      <w:r w:rsidR="00165A65">
        <w:rPr>
          <w:rFonts w:cstheme="minorBidi"/>
          <w:noProof/>
        </w:rPr>
        <w:t>17</w:t>
      </w:r>
      <w:r w:rsidR="0012605E">
        <w:rPr>
          <w:rFonts w:cstheme="minorBidi"/>
          <w:noProof/>
        </w:rPr>
        <w:t xml:space="preserve">% </w:t>
      </w:r>
      <w:r w:rsidR="0034457A">
        <w:rPr>
          <w:rFonts w:cstheme="minorBidi"/>
          <w:noProof/>
        </w:rPr>
        <w:t>in the period 2040-</w:t>
      </w:r>
      <w:r w:rsidR="0012605E">
        <w:rPr>
          <w:rFonts w:cstheme="minorBidi"/>
          <w:noProof/>
        </w:rPr>
        <w:t xml:space="preserve">2050 compared to the </w:t>
      </w:r>
      <w:r w:rsidR="00165A65">
        <w:rPr>
          <w:rFonts w:cstheme="minorBidi"/>
          <w:noProof/>
        </w:rPr>
        <w:t>most recent</w:t>
      </w:r>
      <w:r w:rsidR="0012605E">
        <w:rPr>
          <w:rFonts w:cstheme="minorBidi"/>
          <w:noProof/>
        </w:rPr>
        <w:t xml:space="preserve"> years</w:t>
      </w:r>
      <w:r w:rsidR="00165A65">
        <w:rPr>
          <w:rFonts w:cstheme="minorBidi"/>
          <w:noProof/>
        </w:rPr>
        <w:t xml:space="preserve"> </w:t>
      </w:r>
      <w:r w:rsidR="001B31FB">
        <w:rPr>
          <w:rFonts w:cstheme="minorBidi"/>
          <w:noProof/>
        </w:rPr>
        <w:t>(</w:t>
      </w:r>
      <w:r w:rsidR="00796ECA" w:rsidRPr="00796ECA">
        <w:rPr>
          <w:rFonts w:cstheme="minorBidi"/>
          <w:noProof/>
          <w:vertAlign w:val="superscript"/>
        </w:rPr>
        <w:fldChar w:fldCharType="begin"/>
      </w:r>
      <w:r w:rsidR="00796ECA" w:rsidRPr="00796ECA">
        <w:rPr>
          <w:rFonts w:cstheme="minorBidi"/>
          <w:noProof/>
          <w:vertAlign w:val="superscript"/>
        </w:rPr>
        <w:instrText xml:space="preserve"> NOTEREF _Ref147843370 \h </w:instrText>
      </w:r>
      <w:r w:rsidR="00796ECA">
        <w:rPr>
          <w:rFonts w:cstheme="minorBidi"/>
          <w:noProof/>
          <w:vertAlign w:val="superscript"/>
        </w:rPr>
        <w:instrText xml:space="preserve"> \* MERGEFORMAT </w:instrText>
      </w:r>
      <w:r w:rsidR="00796ECA" w:rsidRPr="00796ECA">
        <w:rPr>
          <w:rFonts w:cstheme="minorBidi"/>
          <w:noProof/>
          <w:vertAlign w:val="superscript"/>
        </w:rPr>
      </w:r>
      <w:r w:rsidR="00796ECA" w:rsidRPr="00796ECA">
        <w:rPr>
          <w:rFonts w:cstheme="minorBidi"/>
          <w:noProof/>
          <w:vertAlign w:val="superscript"/>
        </w:rPr>
        <w:fldChar w:fldCharType="separate"/>
      </w:r>
      <w:r w:rsidR="00170A3C">
        <w:rPr>
          <w:rFonts w:cstheme="minorBidi"/>
          <w:noProof/>
          <w:vertAlign w:val="superscript"/>
        </w:rPr>
        <w:t>77</w:t>
      </w:r>
      <w:r w:rsidR="00796ECA" w:rsidRPr="00796ECA">
        <w:rPr>
          <w:rFonts w:cstheme="minorBidi"/>
          <w:noProof/>
          <w:vertAlign w:val="superscript"/>
        </w:rPr>
        <w:fldChar w:fldCharType="end"/>
      </w:r>
      <w:r w:rsidR="00796ECA">
        <w:rPr>
          <w:rFonts w:cstheme="minorBidi"/>
          <w:noProof/>
        </w:rPr>
        <w:t>)</w:t>
      </w:r>
      <w:r w:rsidR="001B31FB">
        <w:rPr>
          <w:rFonts w:cstheme="minorBidi"/>
          <w:noProof/>
        </w:rPr>
        <w:t>(</w:t>
      </w:r>
      <w:r w:rsidR="001B31FB">
        <w:rPr>
          <w:rFonts w:cstheme="minorBidi"/>
          <w:noProof/>
        </w:rPr>
        <w:fldChar w:fldCharType="begin"/>
      </w:r>
      <w:r w:rsidR="001B31FB">
        <w:rPr>
          <w:rFonts w:cstheme="minorBidi"/>
          <w:noProof/>
        </w:rPr>
        <w:instrText xml:space="preserve"> NOTEREF _Ref146464218 \f \h </w:instrText>
      </w:r>
      <w:r w:rsidR="001B31FB">
        <w:rPr>
          <w:rFonts w:cstheme="minorBidi"/>
          <w:noProof/>
        </w:rPr>
      </w:r>
      <w:r w:rsidR="001B31FB">
        <w:rPr>
          <w:rFonts w:cstheme="minorBidi"/>
          <w:noProof/>
        </w:rPr>
        <w:fldChar w:fldCharType="separate"/>
      </w:r>
      <w:r w:rsidR="00170A3C" w:rsidRPr="00170A3C">
        <w:rPr>
          <w:rStyle w:val="FootnoteReference"/>
          <w:noProof/>
        </w:rPr>
        <w:t>78</w:t>
      </w:r>
      <w:r w:rsidR="001B31FB">
        <w:rPr>
          <w:rFonts w:cstheme="minorBidi"/>
          <w:noProof/>
        </w:rPr>
        <w:fldChar w:fldCharType="end"/>
      </w:r>
      <w:r w:rsidR="001B31FB">
        <w:rPr>
          <w:rFonts w:cstheme="minorBidi"/>
          <w:noProof/>
        </w:rPr>
        <w:t>)</w:t>
      </w:r>
      <w:r w:rsidRPr="009A292A">
        <w:rPr>
          <w:rFonts w:cstheme="minorBidi"/>
          <w:noProof/>
        </w:rPr>
        <w:t xml:space="preserve">. </w:t>
      </w:r>
      <w:r w:rsidR="00C459D4">
        <w:rPr>
          <w:rFonts w:cstheme="minorBidi"/>
          <w:noProof/>
        </w:rPr>
        <w:t>LIFE</w:t>
      </w:r>
      <w:r w:rsidR="00EF0BED" w:rsidRPr="009A292A">
        <w:rPr>
          <w:rFonts w:cstheme="minorBidi"/>
          <w:noProof/>
        </w:rPr>
        <w:t xml:space="preserve"> </w:t>
      </w:r>
      <w:r w:rsidR="00E34CE2">
        <w:rPr>
          <w:rFonts w:cstheme="minorBidi"/>
          <w:noProof/>
        </w:rPr>
        <w:t xml:space="preserve">follows this approach and projects </w:t>
      </w:r>
      <w:r w:rsidR="00EF0BED" w:rsidRPr="009A292A">
        <w:rPr>
          <w:rFonts w:cstheme="minorBidi"/>
          <w:noProof/>
        </w:rPr>
        <w:t>a</w:t>
      </w:r>
      <w:r w:rsidR="00350C25" w:rsidRPr="61BF51EC">
        <w:rPr>
          <w:rFonts w:cstheme="minorBidi"/>
          <w:noProof/>
        </w:rPr>
        <w:t xml:space="preserve"> decrease in demand </w:t>
      </w:r>
      <w:r w:rsidR="0012605E">
        <w:rPr>
          <w:rFonts w:cstheme="minorBidi"/>
          <w:noProof/>
        </w:rPr>
        <w:t xml:space="preserve">of around </w:t>
      </w:r>
      <w:r w:rsidR="00165A65">
        <w:rPr>
          <w:rFonts w:cstheme="minorBidi"/>
          <w:noProof/>
        </w:rPr>
        <w:t xml:space="preserve">15% </w:t>
      </w:r>
      <w:r w:rsidR="004E3F81">
        <w:rPr>
          <w:rFonts w:cstheme="minorBidi"/>
          <w:noProof/>
        </w:rPr>
        <w:t xml:space="preserve">in 2050 </w:t>
      </w:r>
      <w:r w:rsidR="00654417">
        <w:rPr>
          <w:rFonts w:cstheme="minorBidi"/>
          <w:noProof/>
        </w:rPr>
        <w:t xml:space="preserve">(25% of primary) </w:t>
      </w:r>
      <w:r w:rsidR="00165A65">
        <w:rPr>
          <w:rFonts w:cstheme="minorBidi"/>
          <w:noProof/>
        </w:rPr>
        <w:t xml:space="preserve">compared to </w:t>
      </w:r>
      <w:r w:rsidR="00654417">
        <w:rPr>
          <w:rFonts w:cstheme="minorBidi"/>
          <w:noProof/>
        </w:rPr>
        <w:t>the main scenarios</w:t>
      </w:r>
      <w:r w:rsidR="00165A65">
        <w:rPr>
          <w:rFonts w:cstheme="minorBidi"/>
          <w:noProof/>
        </w:rPr>
        <w:t xml:space="preserve">. </w:t>
      </w:r>
    </w:p>
    <w:p w14:paraId="6D66FC1A" w14:textId="19C26C20" w:rsidR="00350C25" w:rsidRDefault="00165A65" w:rsidP="00350C25">
      <w:pPr>
        <w:pStyle w:val="Text3"/>
        <w:ind w:left="0" w:firstLine="0"/>
        <w:rPr>
          <w:rFonts w:cstheme="minorHAnsi"/>
          <w:noProof/>
        </w:rPr>
      </w:pPr>
      <w:r>
        <w:rPr>
          <w:rFonts w:cstheme="minorBidi"/>
          <w:noProof/>
        </w:rPr>
        <w:t>According to BNEF</w:t>
      </w:r>
      <w:r w:rsidR="00F450B2">
        <w:rPr>
          <w:rFonts w:cstheme="minorBidi"/>
          <w:noProof/>
        </w:rPr>
        <w:t xml:space="preserve"> </w:t>
      </w:r>
      <w:r w:rsidR="001B31FB">
        <w:rPr>
          <w:rFonts w:cstheme="minorBidi"/>
          <w:noProof/>
        </w:rPr>
        <w:t>(</w:t>
      </w:r>
      <w:r w:rsidR="001B31FB">
        <w:rPr>
          <w:rFonts w:cstheme="minorBidi"/>
          <w:noProof/>
        </w:rPr>
        <w:fldChar w:fldCharType="begin"/>
      </w:r>
      <w:r w:rsidR="001B31FB">
        <w:rPr>
          <w:rFonts w:cstheme="minorBidi"/>
          <w:noProof/>
        </w:rPr>
        <w:instrText xml:space="preserve"> NOTEREF _Ref146464278 \f \h </w:instrText>
      </w:r>
      <w:r w:rsidR="001B31FB">
        <w:rPr>
          <w:rFonts w:cstheme="minorBidi"/>
          <w:noProof/>
        </w:rPr>
      </w:r>
      <w:r w:rsidR="001B31FB">
        <w:rPr>
          <w:rFonts w:cstheme="minorBidi"/>
          <w:noProof/>
        </w:rPr>
        <w:fldChar w:fldCharType="separate"/>
      </w:r>
      <w:r w:rsidR="00170A3C" w:rsidRPr="00170A3C">
        <w:rPr>
          <w:rStyle w:val="FootnoteReference"/>
          <w:noProof/>
        </w:rPr>
        <w:t>79</w:t>
      </w:r>
      <w:r w:rsidR="001B31FB">
        <w:rPr>
          <w:rFonts w:cstheme="minorBidi"/>
          <w:noProof/>
        </w:rPr>
        <w:fldChar w:fldCharType="end"/>
      </w:r>
      <w:r w:rsidR="001B31FB">
        <w:rPr>
          <w:rFonts w:cstheme="minorBidi"/>
          <w:noProof/>
        </w:rPr>
        <w:t>)</w:t>
      </w:r>
      <w:r>
        <w:rPr>
          <w:rFonts w:cstheme="minorBidi"/>
          <w:noProof/>
        </w:rPr>
        <w:t>, global production f</w:t>
      </w:r>
      <w:r w:rsidR="00350C25" w:rsidRPr="61BF51EC">
        <w:rPr>
          <w:rFonts w:cstheme="minorBidi"/>
          <w:noProof/>
        </w:rPr>
        <w:t xml:space="preserve">or </w:t>
      </w:r>
      <w:r w:rsidR="003374F7" w:rsidRPr="009A292A">
        <w:rPr>
          <w:rFonts w:cstheme="minorBidi"/>
          <w:noProof/>
        </w:rPr>
        <w:t>a</w:t>
      </w:r>
      <w:r w:rsidR="00350C25" w:rsidRPr="009A292A">
        <w:rPr>
          <w:rFonts w:cstheme="minorBidi"/>
          <w:noProof/>
        </w:rPr>
        <w:t xml:space="preserve">luminium </w:t>
      </w:r>
      <w:r w:rsidR="00EF0BED" w:rsidRPr="009A292A">
        <w:rPr>
          <w:rFonts w:cstheme="minorBidi"/>
          <w:noProof/>
        </w:rPr>
        <w:t xml:space="preserve">is </w:t>
      </w:r>
      <w:r>
        <w:rPr>
          <w:rFonts w:cstheme="minorBidi"/>
          <w:noProof/>
        </w:rPr>
        <w:t xml:space="preserve">projected to increase by around 40% by 2050, intensifying especially secondary aluminum. </w:t>
      </w:r>
      <w:r w:rsidR="00870FAE">
        <w:rPr>
          <w:rFonts w:cstheme="minorBidi"/>
          <w:noProof/>
        </w:rPr>
        <w:t>Stud</w:t>
      </w:r>
      <w:r w:rsidR="00F450B2">
        <w:rPr>
          <w:rFonts w:cstheme="minorBidi"/>
          <w:noProof/>
        </w:rPr>
        <w:t>ies</w:t>
      </w:r>
      <w:r w:rsidR="00870FAE">
        <w:rPr>
          <w:rFonts w:cstheme="minorBidi"/>
          <w:noProof/>
        </w:rPr>
        <w:t xml:space="preserve"> </w:t>
      </w:r>
      <w:r w:rsidR="00E34CE2">
        <w:rPr>
          <w:rFonts w:cstheme="minorBidi"/>
          <w:noProof/>
        </w:rPr>
        <w:t xml:space="preserve">also </w:t>
      </w:r>
      <w:r w:rsidR="00870FAE">
        <w:rPr>
          <w:rFonts w:cstheme="minorBidi"/>
          <w:noProof/>
        </w:rPr>
        <w:t xml:space="preserve">show that a more efficient use of this material, especially in terms of scrap recycled and </w:t>
      </w:r>
      <w:r w:rsidR="00870FAE" w:rsidRPr="61BF51EC">
        <w:rPr>
          <w:rFonts w:cstheme="minorBidi"/>
          <w:noProof/>
        </w:rPr>
        <w:t xml:space="preserve">lifetime </w:t>
      </w:r>
      <w:r w:rsidR="00870FAE" w:rsidRPr="009A292A">
        <w:rPr>
          <w:rFonts w:cstheme="minorBidi"/>
          <w:noProof/>
        </w:rPr>
        <w:t>extension</w:t>
      </w:r>
      <w:r w:rsidR="00870FAE" w:rsidRPr="61BF51EC">
        <w:rPr>
          <w:rFonts w:cstheme="minorBidi"/>
          <w:noProof/>
        </w:rPr>
        <w:t xml:space="preserve"> of products</w:t>
      </w:r>
      <w:r w:rsidR="00870FAE">
        <w:rPr>
          <w:rFonts w:cstheme="minorBidi"/>
          <w:noProof/>
        </w:rPr>
        <w:t xml:space="preserve">, can instead maintain production level to similar values as today </w:t>
      </w:r>
      <w:r w:rsidR="001B31FB">
        <w:rPr>
          <w:rFonts w:cstheme="minorBidi"/>
          <w:noProof/>
        </w:rPr>
        <w:t>(</w:t>
      </w:r>
      <w:r w:rsidR="00796ECA" w:rsidRPr="00796ECA">
        <w:rPr>
          <w:rFonts w:cstheme="minorBidi"/>
          <w:noProof/>
          <w:vertAlign w:val="superscript"/>
        </w:rPr>
        <w:fldChar w:fldCharType="begin"/>
      </w:r>
      <w:r w:rsidR="00796ECA" w:rsidRPr="00796ECA">
        <w:rPr>
          <w:rFonts w:cstheme="minorBidi"/>
          <w:noProof/>
          <w:vertAlign w:val="superscript"/>
        </w:rPr>
        <w:instrText xml:space="preserve"> NOTEREF _Ref147843370 \h </w:instrText>
      </w:r>
      <w:r w:rsidR="00796ECA">
        <w:rPr>
          <w:rFonts w:cstheme="minorBidi"/>
          <w:noProof/>
          <w:vertAlign w:val="superscript"/>
        </w:rPr>
        <w:instrText xml:space="preserve"> \* MERGEFORMAT </w:instrText>
      </w:r>
      <w:r w:rsidR="00796ECA" w:rsidRPr="00796ECA">
        <w:rPr>
          <w:rFonts w:cstheme="minorBidi"/>
          <w:noProof/>
          <w:vertAlign w:val="superscript"/>
        </w:rPr>
      </w:r>
      <w:r w:rsidR="00796ECA" w:rsidRPr="00796ECA">
        <w:rPr>
          <w:rFonts w:cstheme="minorBidi"/>
          <w:noProof/>
          <w:vertAlign w:val="superscript"/>
        </w:rPr>
        <w:fldChar w:fldCharType="separate"/>
      </w:r>
      <w:r w:rsidR="00170A3C">
        <w:rPr>
          <w:rFonts w:cstheme="minorBidi"/>
          <w:noProof/>
          <w:vertAlign w:val="superscript"/>
        </w:rPr>
        <w:t>77</w:t>
      </w:r>
      <w:r w:rsidR="00796ECA" w:rsidRPr="00796ECA">
        <w:rPr>
          <w:rFonts w:cstheme="minorBidi"/>
          <w:noProof/>
          <w:vertAlign w:val="superscript"/>
        </w:rPr>
        <w:fldChar w:fldCharType="end"/>
      </w:r>
      <w:r w:rsidR="00796ECA">
        <w:rPr>
          <w:rFonts w:cstheme="minorBidi"/>
          <w:noProof/>
        </w:rPr>
        <w:t>)</w:t>
      </w:r>
      <w:r w:rsidR="00870FAE">
        <w:rPr>
          <w:rFonts w:cstheme="minorBidi"/>
          <w:noProof/>
        </w:rPr>
        <w:t>.</w:t>
      </w:r>
      <w:r w:rsidR="00E34CE2">
        <w:rPr>
          <w:rFonts w:cstheme="minorBidi"/>
          <w:noProof/>
        </w:rPr>
        <w:t xml:space="preserve"> In </w:t>
      </w:r>
      <w:r w:rsidR="003E0F3D">
        <w:rPr>
          <w:rFonts w:cstheme="minorBidi"/>
          <w:noProof/>
        </w:rPr>
        <w:t>S1,</w:t>
      </w:r>
      <w:r w:rsidR="001F2ED1">
        <w:rPr>
          <w:rFonts w:cstheme="minorBidi"/>
          <w:noProof/>
        </w:rPr>
        <w:t xml:space="preserve"> </w:t>
      </w:r>
      <w:r w:rsidR="003E0F3D">
        <w:rPr>
          <w:rFonts w:cstheme="minorBidi"/>
          <w:noProof/>
        </w:rPr>
        <w:t>S2 and S3</w:t>
      </w:r>
      <w:r w:rsidR="00E34CE2">
        <w:rPr>
          <w:rFonts w:cstheme="minorBidi"/>
          <w:noProof/>
        </w:rPr>
        <w:t xml:space="preserve">, </w:t>
      </w:r>
      <w:r w:rsidR="00870FAE">
        <w:rPr>
          <w:rFonts w:cstheme="minorBidi"/>
          <w:noProof/>
        </w:rPr>
        <w:t xml:space="preserve">an increase of aluminum production of around 35% </w:t>
      </w:r>
      <w:r w:rsidR="009C1C0A">
        <w:rPr>
          <w:rFonts w:cstheme="minorBidi"/>
          <w:noProof/>
        </w:rPr>
        <w:t xml:space="preserve">until 2050 </w:t>
      </w:r>
      <w:r w:rsidR="00E34CE2">
        <w:rPr>
          <w:rFonts w:cstheme="minorBidi"/>
          <w:noProof/>
        </w:rPr>
        <w:t>is assumed</w:t>
      </w:r>
      <w:r w:rsidR="00870FAE">
        <w:rPr>
          <w:rFonts w:cstheme="minorBidi"/>
          <w:noProof/>
        </w:rPr>
        <w:t xml:space="preserve">, </w:t>
      </w:r>
      <w:r w:rsidR="00E34CE2">
        <w:rPr>
          <w:rFonts w:cstheme="minorBidi"/>
          <w:noProof/>
        </w:rPr>
        <w:t xml:space="preserve">while LIFE models </w:t>
      </w:r>
      <w:r w:rsidR="00870FAE">
        <w:rPr>
          <w:rFonts w:cstheme="minorBidi"/>
          <w:noProof/>
        </w:rPr>
        <w:t xml:space="preserve">an optimisation of material use resulting in a reduction of 20% of production when compared to </w:t>
      </w:r>
      <w:r w:rsidR="00F95A39">
        <w:rPr>
          <w:rFonts w:cstheme="minorBidi"/>
          <w:noProof/>
        </w:rPr>
        <w:t>the</w:t>
      </w:r>
      <w:r w:rsidR="00870FAE">
        <w:rPr>
          <w:rFonts w:cstheme="minorBidi"/>
          <w:noProof/>
        </w:rPr>
        <w:t xml:space="preserve"> </w:t>
      </w:r>
      <w:r w:rsidR="00654417">
        <w:rPr>
          <w:rFonts w:cstheme="minorBidi"/>
          <w:noProof/>
        </w:rPr>
        <w:t>main scenarios.</w:t>
      </w:r>
      <w:r w:rsidR="00870FAE">
        <w:rPr>
          <w:rFonts w:cstheme="minorBidi"/>
          <w:noProof/>
        </w:rPr>
        <w:t xml:space="preserve">  </w:t>
      </w:r>
    </w:p>
    <w:p w14:paraId="22E2539A" w14:textId="52BAC72A" w:rsidR="00350C25" w:rsidRDefault="00F450B2" w:rsidP="00350C25">
      <w:pPr>
        <w:pStyle w:val="Text3"/>
        <w:ind w:left="0" w:firstLine="0"/>
        <w:rPr>
          <w:rFonts w:cstheme="minorHAnsi"/>
          <w:noProof/>
        </w:rPr>
      </w:pPr>
      <w:r>
        <w:rPr>
          <w:rFonts w:cstheme="minorBidi"/>
          <w:noProof/>
        </w:rPr>
        <w:t>T</w:t>
      </w:r>
      <w:r w:rsidR="00350C25" w:rsidRPr="61BF51EC">
        <w:rPr>
          <w:rFonts w:cstheme="minorBidi"/>
          <w:noProof/>
        </w:rPr>
        <w:t>he paper sector</w:t>
      </w:r>
      <w:r w:rsidR="009A292A">
        <w:rPr>
          <w:rFonts w:cstheme="minorBidi"/>
          <w:noProof/>
        </w:rPr>
        <w:t xml:space="preserve"> is </w:t>
      </w:r>
      <w:r w:rsidR="00240CAE">
        <w:rPr>
          <w:rFonts w:cstheme="minorBidi"/>
          <w:noProof/>
        </w:rPr>
        <w:t>expected</w:t>
      </w:r>
      <w:r w:rsidR="009A292A">
        <w:rPr>
          <w:rFonts w:cstheme="minorBidi"/>
          <w:noProof/>
        </w:rPr>
        <w:t xml:space="preserve"> to moderately increase produc</w:t>
      </w:r>
      <w:r w:rsidR="00377FF8">
        <w:rPr>
          <w:rFonts w:cstheme="minorBidi"/>
          <w:noProof/>
        </w:rPr>
        <w:t>ti</w:t>
      </w:r>
      <w:r w:rsidR="009A292A">
        <w:rPr>
          <w:rFonts w:cstheme="minorBidi"/>
          <w:noProof/>
        </w:rPr>
        <w:t>on</w:t>
      </w:r>
      <w:r>
        <w:rPr>
          <w:rFonts w:cstheme="minorBidi"/>
          <w:noProof/>
        </w:rPr>
        <w:t xml:space="preserve">, </w:t>
      </w:r>
      <w:r w:rsidRPr="00F450B2">
        <w:rPr>
          <w:rFonts w:cstheme="minorBidi"/>
          <w:noProof/>
        </w:rPr>
        <w:t>as the decline in printing-related paper production is outweighed by growth in packaging and sanitary paper products (</w:t>
      </w:r>
      <w:r>
        <w:rPr>
          <w:rStyle w:val="FootnoteReference"/>
          <w:rFonts w:cstheme="minorBidi"/>
          <w:noProof/>
        </w:rPr>
        <w:footnoteReference w:id="82"/>
      </w:r>
      <w:r>
        <w:rPr>
          <w:rFonts w:cstheme="minorBidi"/>
          <w:noProof/>
        </w:rPr>
        <w:t>)</w:t>
      </w:r>
      <w:r w:rsidR="009A292A">
        <w:rPr>
          <w:rFonts w:cstheme="minorBidi"/>
          <w:noProof/>
        </w:rPr>
        <w:t>.</w:t>
      </w:r>
      <w:r>
        <w:rPr>
          <w:rFonts w:cstheme="minorBidi"/>
          <w:noProof/>
        </w:rPr>
        <w:t xml:space="preserve"> The high recyclicling </w:t>
      </w:r>
      <w:r w:rsidR="00350C25" w:rsidRPr="61BF51EC">
        <w:rPr>
          <w:rFonts w:cstheme="minorBidi"/>
          <w:noProof/>
        </w:rPr>
        <w:t>rates</w:t>
      </w:r>
      <w:r>
        <w:rPr>
          <w:rFonts w:cstheme="minorBidi"/>
          <w:noProof/>
        </w:rPr>
        <w:t xml:space="preserve"> of today are </w:t>
      </w:r>
      <w:r w:rsidR="00350C25" w:rsidRPr="61BF51EC">
        <w:rPr>
          <w:rFonts w:cstheme="minorBidi"/>
          <w:noProof/>
        </w:rPr>
        <w:t>projected to</w:t>
      </w:r>
      <w:r>
        <w:rPr>
          <w:rFonts w:cstheme="minorBidi"/>
          <w:noProof/>
        </w:rPr>
        <w:t xml:space="preserve"> increase further</w:t>
      </w:r>
      <w:r w:rsidR="007D4416" w:rsidRPr="009A292A">
        <w:rPr>
          <w:rFonts w:cstheme="minorBidi"/>
          <w:noProof/>
        </w:rPr>
        <w:t> (</w:t>
      </w:r>
      <w:r w:rsidR="007D4416" w:rsidRPr="009A292A">
        <w:rPr>
          <w:rStyle w:val="FootnoteReference"/>
          <w:rFonts w:cstheme="minorBidi"/>
          <w:noProof/>
        </w:rPr>
        <w:footnoteReference w:id="83"/>
      </w:r>
      <w:r w:rsidR="007D4416" w:rsidRPr="009A292A">
        <w:rPr>
          <w:rFonts w:cstheme="minorBidi"/>
          <w:noProof/>
        </w:rPr>
        <w:t>)</w:t>
      </w:r>
      <w:r w:rsidR="00350C25" w:rsidRPr="009A292A">
        <w:rPr>
          <w:rFonts w:cstheme="minorBidi"/>
          <w:noProof/>
        </w:rPr>
        <w:t>,</w:t>
      </w:r>
      <w:r w:rsidR="00350C25" w:rsidRPr="61BF51EC">
        <w:rPr>
          <w:rFonts w:cstheme="minorBidi"/>
          <w:noProof/>
        </w:rPr>
        <w:t xml:space="preserve"> </w:t>
      </w:r>
      <w:r>
        <w:rPr>
          <w:rFonts w:cstheme="minorBidi"/>
          <w:noProof/>
        </w:rPr>
        <w:t>expanding the secondary share of production</w:t>
      </w:r>
      <w:r w:rsidR="00836503">
        <w:rPr>
          <w:rFonts w:cstheme="minorBidi"/>
          <w:noProof/>
        </w:rPr>
        <w:t xml:space="preserve"> and unlocking the possibility to reduced paper demand of up to 14% in 2050 (vs 2015) </w:t>
      </w:r>
      <w:r w:rsidR="001B31FB">
        <w:rPr>
          <w:rFonts w:cstheme="minorBidi"/>
          <w:noProof/>
        </w:rPr>
        <w:t>(</w:t>
      </w:r>
      <w:r w:rsidR="001B31FB">
        <w:rPr>
          <w:rFonts w:cstheme="minorBidi"/>
          <w:noProof/>
        </w:rPr>
        <w:fldChar w:fldCharType="begin"/>
      </w:r>
      <w:r w:rsidR="001B31FB">
        <w:rPr>
          <w:rFonts w:cstheme="minorBidi"/>
          <w:noProof/>
        </w:rPr>
        <w:instrText xml:space="preserve"> NOTEREF _Ref146464218 \f \h </w:instrText>
      </w:r>
      <w:r w:rsidR="001B31FB">
        <w:rPr>
          <w:rFonts w:cstheme="minorBidi"/>
          <w:noProof/>
        </w:rPr>
      </w:r>
      <w:r w:rsidR="001B31FB">
        <w:rPr>
          <w:rFonts w:cstheme="minorBidi"/>
          <w:noProof/>
        </w:rPr>
        <w:fldChar w:fldCharType="separate"/>
      </w:r>
      <w:r w:rsidR="00170A3C" w:rsidRPr="00170A3C">
        <w:rPr>
          <w:rStyle w:val="FootnoteReference"/>
          <w:noProof/>
        </w:rPr>
        <w:t>78</w:t>
      </w:r>
      <w:r w:rsidR="001B31FB">
        <w:rPr>
          <w:rFonts w:cstheme="minorBidi"/>
          <w:noProof/>
        </w:rPr>
        <w:fldChar w:fldCharType="end"/>
      </w:r>
      <w:r w:rsidR="001B31FB">
        <w:rPr>
          <w:rFonts w:cstheme="minorBidi"/>
          <w:noProof/>
        </w:rPr>
        <w:t>)</w:t>
      </w:r>
      <w:r>
        <w:rPr>
          <w:rFonts w:cstheme="minorBidi"/>
          <w:noProof/>
        </w:rPr>
        <w:t xml:space="preserve">. The </w:t>
      </w:r>
      <w:r w:rsidR="002D7634">
        <w:rPr>
          <w:rFonts w:cstheme="minorBidi"/>
          <w:noProof/>
        </w:rPr>
        <w:t xml:space="preserve">modelling </w:t>
      </w:r>
      <w:r w:rsidR="00836503">
        <w:rPr>
          <w:rFonts w:cstheme="minorBidi"/>
          <w:noProof/>
        </w:rPr>
        <w:t>capture</w:t>
      </w:r>
      <w:r w:rsidR="002D7634">
        <w:rPr>
          <w:rFonts w:cstheme="minorBidi"/>
          <w:noProof/>
        </w:rPr>
        <w:t>s</w:t>
      </w:r>
      <w:r w:rsidR="00836503">
        <w:rPr>
          <w:rFonts w:cstheme="minorBidi"/>
          <w:noProof/>
        </w:rPr>
        <w:t xml:space="preserve"> these trends, </w:t>
      </w:r>
      <w:r>
        <w:rPr>
          <w:rFonts w:cstheme="minorBidi"/>
          <w:noProof/>
        </w:rPr>
        <w:t>projecting a 5% increase of production by 2050</w:t>
      </w:r>
      <w:r w:rsidR="00836503">
        <w:rPr>
          <w:rFonts w:cstheme="minorBidi"/>
          <w:noProof/>
        </w:rPr>
        <w:t xml:space="preserve"> in </w:t>
      </w:r>
      <w:r w:rsidR="003E0F3D">
        <w:rPr>
          <w:rFonts w:cstheme="minorBidi"/>
          <w:noProof/>
        </w:rPr>
        <w:t>S1,</w:t>
      </w:r>
      <w:r w:rsidR="001F2ED1">
        <w:rPr>
          <w:rFonts w:cstheme="minorBidi"/>
          <w:noProof/>
        </w:rPr>
        <w:t xml:space="preserve"> </w:t>
      </w:r>
      <w:r w:rsidR="003E0F3D">
        <w:rPr>
          <w:rFonts w:cstheme="minorBidi"/>
          <w:noProof/>
        </w:rPr>
        <w:t>S2 and S3</w:t>
      </w:r>
      <w:r w:rsidR="00836503">
        <w:rPr>
          <w:rFonts w:cstheme="minorBidi"/>
          <w:noProof/>
        </w:rPr>
        <w:t xml:space="preserve"> and a decrease in LIFE of around 20%</w:t>
      </w:r>
      <w:r w:rsidR="00B102DD">
        <w:rPr>
          <w:rFonts w:cstheme="minorBidi"/>
          <w:noProof/>
        </w:rPr>
        <w:t xml:space="preserve"> in 2050</w:t>
      </w:r>
      <w:r w:rsidR="00654417">
        <w:rPr>
          <w:rFonts w:cstheme="minorBidi"/>
          <w:noProof/>
        </w:rPr>
        <w:t xml:space="preserve"> (40% for primary)</w:t>
      </w:r>
      <w:r w:rsidR="00836503">
        <w:rPr>
          <w:rFonts w:cstheme="minorBidi"/>
          <w:noProof/>
        </w:rPr>
        <w:t xml:space="preserve">, thanks to </w:t>
      </w:r>
      <w:r w:rsidR="009C1C0A">
        <w:rPr>
          <w:rFonts w:cstheme="minorBidi"/>
          <w:noProof/>
        </w:rPr>
        <w:t>higher</w:t>
      </w:r>
      <w:r w:rsidR="00836503">
        <w:rPr>
          <w:rFonts w:cstheme="minorBidi"/>
          <w:noProof/>
        </w:rPr>
        <w:t xml:space="preserve"> recycling rates and material efficiency, </w:t>
      </w:r>
      <w:r w:rsidR="00350C25" w:rsidRPr="61BF51EC">
        <w:rPr>
          <w:rFonts w:cstheme="minorBidi"/>
          <w:noProof/>
        </w:rPr>
        <w:t xml:space="preserve">and implementation of reusable packaging. </w:t>
      </w:r>
    </w:p>
    <w:p w14:paraId="5FAE12FC" w14:textId="4BFA2595" w:rsidR="00350C25" w:rsidRDefault="00D96F21" w:rsidP="00350C25">
      <w:pPr>
        <w:pStyle w:val="Text3"/>
        <w:ind w:left="0" w:firstLine="0"/>
        <w:rPr>
          <w:rFonts w:cstheme="minorHAnsi"/>
          <w:noProof/>
        </w:rPr>
      </w:pPr>
      <w:r w:rsidRPr="009A292A">
        <w:rPr>
          <w:rFonts w:cstheme="minorBidi"/>
          <w:noProof/>
        </w:rPr>
        <w:t>P</w:t>
      </w:r>
      <w:r w:rsidR="00350C25" w:rsidRPr="009A292A">
        <w:rPr>
          <w:rFonts w:cstheme="minorBidi"/>
          <w:noProof/>
        </w:rPr>
        <w:t>roduction</w:t>
      </w:r>
      <w:r w:rsidR="00350C25" w:rsidRPr="61BF51EC">
        <w:rPr>
          <w:rFonts w:cstheme="minorBidi"/>
          <w:noProof/>
        </w:rPr>
        <w:t xml:space="preserve"> of cement (including clinker) </w:t>
      </w:r>
      <w:r w:rsidR="002C7640">
        <w:rPr>
          <w:rFonts w:cstheme="minorBidi"/>
          <w:noProof/>
        </w:rPr>
        <w:t xml:space="preserve">in EU </w:t>
      </w:r>
      <w:r w:rsidR="00350C25" w:rsidRPr="61BF51EC">
        <w:rPr>
          <w:rFonts w:cstheme="minorBidi"/>
          <w:noProof/>
        </w:rPr>
        <w:t xml:space="preserve">is </w:t>
      </w:r>
      <w:r w:rsidR="009A292A">
        <w:rPr>
          <w:rFonts w:cstheme="minorBidi"/>
          <w:noProof/>
        </w:rPr>
        <w:t>assumed</w:t>
      </w:r>
      <w:r w:rsidR="00350C25" w:rsidRPr="61BF51EC">
        <w:rPr>
          <w:rFonts w:cstheme="minorBidi"/>
          <w:noProof/>
        </w:rPr>
        <w:t xml:space="preserve"> to increase </w:t>
      </w:r>
      <w:r w:rsidR="00377FF8">
        <w:rPr>
          <w:rFonts w:cstheme="minorBidi"/>
          <w:noProof/>
        </w:rPr>
        <w:t>by</w:t>
      </w:r>
      <w:r w:rsidR="00377FF8" w:rsidRPr="009A292A">
        <w:rPr>
          <w:rFonts w:cstheme="minorBidi"/>
          <w:noProof/>
        </w:rPr>
        <w:t xml:space="preserve"> </w:t>
      </w:r>
      <w:r w:rsidR="00200A20" w:rsidRPr="009A292A">
        <w:rPr>
          <w:rFonts w:cstheme="minorBidi"/>
          <w:noProof/>
        </w:rPr>
        <w:t xml:space="preserve">around </w:t>
      </w:r>
      <w:r w:rsidR="009A292A">
        <w:rPr>
          <w:rFonts w:cstheme="minorBidi"/>
          <w:noProof/>
        </w:rPr>
        <w:t>20</w:t>
      </w:r>
      <w:r w:rsidR="00200A20" w:rsidRPr="009A292A">
        <w:rPr>
          <w:rFonts w:cstheme="minorBidi"/>
          <w:noProof/>
        </w:rPr>
        <w:t>%</w:t>
      </w:r>
      <w:r w:rsidR="009A292A">
        <w:rPr>
          <w:rFonts w:cstheme="minorBidi"/>
          <w:noProof/>
        </w:rPr>
        <w:t xml:space="preserve"> in the main scenarios</w:t>
      </w:r>
      <w:r w:rsidR="00377FF8" w:rsidRPr="00377FF8">
        <w:rPr>
          <w:rFonts w:cstheme="minorBidi"/>
          <w:noProof/>
        </w:rPr>
        <w:t xml:space="preserve"> </w:t>
      </w:r>
      <w:r w:rsidR="00377FF8" w:rsidRPr="009A292A">
        <w:rPr>
          <w:rFonts w:cstheme="minorBidi"/>
          <w:noProof/>
        </w:rPr>
        <w:t>by 2050</w:t>
      </w:r>
      <w:r w:rsidR="002C7640">
        <w:rPr>
          <w:rFonts w:cstheme="minorBidi"/>
          <w:noProof/>
        </w:rPr>
        <w:t xml:space="preserve"> </w:t>
      </w:r>
      <w:r w:rsidR="001B31FB">
        <w:rPr>
          <w:rFonts w:cstheme="minorBidi"/>
          <w:noProof/>
        </w:rPr>
        <w:t>(</w:t>
      </w:r>
      <w:r w:rsidR="001B31FB">
        <w:rPr>
          <w:rFonts w:cstheme="minorBidi"/>
          <w:noProof/>
        </w:rPr>
        <w:fldChar w:fldCharType="begin"/>
      </w:r>
      <w:r w:rsidR="001B31FB">
        <w:rPr>
          <w:rFonts w:cstheme="minorBidi"/>
          <w:noProof/>
        </w:rPr>
        <w:instrText xml:space="preserve"> NOTEREF _Ref146464278 \f \h </w:instrText>
      </w:r>
      <w:r w:rsidR="001B31FB">
        <w:rPr>
          <w:rFonts w:cstheme="minorBidi"/>
          <w:noProof/>
        </w:rPr>
      </w:r>
      <w:r w:rsidR="001B31FB">
        <w:rPr>
          <w:rFonts w:cstheme="minorBidi"/>
          <w:noProof/>
        </w:rPr>
        <w:fldChar w:fldCharType="separate"/>
      </w:r>
      <w:r w:rsidR="00170A3C" w:rsidRPr="00170A3C">
        <w:rPr>
          <w:rStyle w:val="FootnoteReference"/>
          <w:noProof/>
        </w:rPr>
        <w:t>79</w:t>
      </w:r>
      <w:r w:rsidR="001B31FB">
        <w:rPr>
          <w:rFonts w:cstheme="minorBidi"/>
          <w:noProof/>
        </w:rPr>
        <w:fldChar w:fldCharType="end"/>
      </w:r>
      <w:r w:rsidR="001B31FB">
        <w:rPr>
          <w:rFonts w:cstheme="minorBidi"/>
          <w:noProof/>
        </w:rPr>
        <w:t>)</w:t>
      </w:r>
      <w:r w:rsidR="00350C25" w:rsidRPr="009A292A">
        <w:rPr>
          <w:rFonts w:cstheme="minorBidi"/>
          <w:noProof/>
        </w:rPr>
        <w:t>.</w:t>
      </w:r>
      <w:r w:rsidR="00350C25" w:rsidRPr="61BF51EC">
        <w:rPr>
          <w:rFonts w:cstheme="minorBidi"/>
          <w:noProof/>
        </w:rPr>
        <w:t xml:space="preserve"> However, </w:t>
      </w:r>
      <w:r w:rsidR="0034457A">
        <w:rPr>
          <w:rFonts w:cstheme="minorBidi"/>
          <w:noProof/>
        </w:rPr>
        <w:t xml:space="preserve">low-carbon cement alternatives, high share of recycled cement in concrete, and changes in lifetime and utilisation rate of buildings </w:t>
      </w:r>
      <w:r w:rsidR="00B47B3B">
        <w:rPr>
          <w:rFonts w:cstheme="minorBidi"/>
          <w:noProof/>
        </w:rPr>
        <w:t>could</w:t>
      </w:r>
      <w:r w:rsidR="0034457A">
        <w:rPr>
          <w:rFonts w:cstheme="minorBidi"/>
          <w:noProof/>
        </w:rPr>
        <w:t xml:space="preserve"> decrease demand</w:t>
      </w:r>
      <w:r w:rsidR="00B102DD">
        <w:rPr>
          <w:rFonts w:cstheme="minorBidi"/>
          <w:noProof/>
        </w:rPr>
        <w:t>,</w:t>
      </w:r>
      <w:r w:rsidR="0034457A">
        <w:rPr>
          <w:rFonts w:cstheme="minorBidi"/>
          <w:noProof/>
        </w:rPr>
        <w:t xml:space="preserve"> </w:t>
      </w:r>
      <w:r w:rsidR="00EA3988">
        <w:rPr>
          <w:rFonts w:cstheme="minorBidi"/>
          <w:noProof/>
        </w:rPr>
        <w:t xml:space="preserve">with estimates </w:t>
      </w:r>
      <w:r w:rsidR="003177E1">
        <w:rPr>
          <w:rFonts w:cstheme="minorBidi"/>
          <w:noProof/>
        </w:rPr>
        <w:t>showing</w:t>
      </w:r>
      <w:r w:rsidR="00EA3988">
        <w:rPr>
          <w:rFonts w:cstheme="minorBidi"/>
          <w:noProof/>
        </w:rPr>
        <w:t xml:space="preserve"> lower </w:t>
      </w:r>
      <w:r w:rsidR="003177E1">
        <w:rPr>
          <w:rFonts w:cstheme="minorBidi"/>
          <w:noProof/>
        </w:rPr>
        <w:t xml:space="preserve">demand </w:t>
      </w:r>
      <w:r w:rsidR="009262B4">
        <w:rPr>
          <w:rFonts w:cstheme="minorBidi"/>
          <w:noProof/>
        </w:rPr>
        <w:t xml:space="preserve">by </w:t>
      </w:r>
      <w:r w:rsidR="0034457A">
        <w:rPr>
          <w:rFonts w:cstheme="minorBidi"/>
          <w:noProof/>
        </w:rPr>
        <w:t xml:space="preserve">25% </w:t>
      </w:r>
      <w:r w:rsidR="003177E1">
        <w:rPr>
          <w:rFonts w:cstheme="minorBidi"/>
          <w:noProof/>
        </w:rPr>
        <w:t xml:space="preserve">in 2040 </w:t>
      </w:r>
      <w:r w:rsidR="0034457A">
        <w:rPr>
          <w:rFonts w:cstheme="minorBidi"/>
          <w:noProof/>
        </w:rPr>
        <w:t xml:space="preserve">compared to 2019 </w:t>
      </w:r>
      <w:r w:rsidR="001B31FB">
        <w:rPr>
          <w:rFonts w:cstheme="minorBidi"/>
          <w:noProof/>
        </w:rPr>
        <w:t>(</w:t>
      </w:r>
      <w:r w:rsidR="00796ECA" w:rsidRPr="00796ECA">
        <w:rPr>
          <w:rFonts w:cstheme="minorBidi"/>
          <w:noProof/>
          <w:vertAlign w:val="superscript"/>
        </w:rPr>
        <w:fldChar w:fldCharType="begin"/>
      </w:r>
      <w:r w:rsidR="00796ECA" w:rsidRPr="00796ECA">
        <w:rPr>
          <w:rFonts w:cstheme="minorBidi"/>
          <w:noProof/>
          <w:vertAlign w:val="superscript"/>
        </w:rPr>
        <w:instrText xml:space="preserve"> NOTEREF _Ref147843370 \h </w:instrText>
      </w:r>
      <w:r w:rsidR="00796ECA">
        <w:rPr>
          <w:rFonts w:cstheme="minorBidi"/>
          <w:noProof/>
          <w:vertAlign w:val="superscript"/>
        </w:rPr>
        <w:instrText xml:space="preserve"> \* MERGEFORMAT </w:instrText>
      </w:r>
      <w:r w:rsidR="00796ECA" w:rsidRPr="00796ECA">
        <w:rPr>
          <w:rFonts w:cstheme="minorBidi"/>
          <w:noProof/>
          <w:vertAlign w:val="superscript"/>
        </w:rPr>
      </w:r>
      <w:r w:rsidR="00796ECA" w:rsidRPr="00796ECA">
        <w:rPr>
          <w:rFonts w:cstheme="minorBidi"/>
          <w:noProof/>
          <w:vertAlign w:val="superscript"/>
        </w:rPr>
        <w:fldChar w:fldCharType="separate"/>
      </w:r>
      <w:r w:rsidR="00170A3C">
        <w:rPr>
          <w:rFonts w:cstheme="minorBidi"/>
          <w:noProof/>
          <w:vertAlign w:val="superscript"/>
        </w:rPr>
        <w:t>77</w:t>
      </w:r>
      <w:r w:rsidR="00796ECA" w:rsidRPr="00796ECA">
        <w:rPr>
          <w:rFonts w:cstheme="minorBidi"/>
          <w:noProof/>
          <w:vertAlign w:val="superscript"/>
        </w:rPr>
        <w:fldChar w:fldCharType="end"/>
      </w:r>
      <w:r w:rsidR="001B31FB">
        <w:rPr>
          <w:rFonts w:cstheme="minorBidi"/>
          <w:noProof/>
        </w:rPr>
        <w:t>)</w:t>
      </w:r>
      <w:r w:rsidR="0034457A">
        <w:rPr>
          <w:rFonts w:cstheme="minorBidi"/>
          <w:noProof/>
        </w:rPr>
        <w:t xml:space="preserve"> </w:t>
      </w:r>
      <w:r w:rsidR="00EA3988">
        <w:rPr>
          <w:rFonts w:cstheme="minorBidi"/>
          <w:noProof/>
        </w:rPr>
        <w:t>or</w:t>
      </w:r>
      <w:r w:rsidR="0034457A">
        <w:rPr>
          <w:rFonts w:cstheme="minorBidi"/>
          <w:noProof/>
        </w:rPr>
        <w:t xml:space="preserve"> </w:t>
      </w:r>
      <w:r w:rsidR="009C1C0A">
        <w:rPr>
          <w:rFonts w:cstheme="minorBidi"/>
          <w:noProof/>
        </w:rPr>
        <w:t xml:space="preserve">by </w:t>
      </w:r>
      <w:r w:rsidR="0034457A">
        <w:rPr>
          <w:rFonts w:cstheme="minorBidi"/>
          <w:noProof/>
        </w:rPr>
        <w:t xml:space="preserve">38% </w:t>
      </w:r>
      <w:r w:rsidR="003177E1">
        <w:rPr>
          <w:rFonts w:cstheme="minorBidi"/>
          <w:noProof/>
        </w:rPr>
        <w:t xml:space="preserve">in 2050 </w:t>
      </w:r>
      <w:r w:rsidR="0034457A">
        <w:rPr>
          <w:rFonts w:cstheme="minorBidi"/>
          <w:noProof/>
        </w:rPr>
        <w:t>compared to 2015</w:t>
      </w:r>
      <w:r w:rsidR="00A0224C">
        <w:rPr>
          <w:rFonts w:cstheme="minorBidi"/>
          <w:noProof/>
        </w:rPr>
        <w:t xml:space="preserve"> </w:t>
      </w:r>
      <w:r w:rsidR="001B31FB">
        <w:rPr>
          <w:rFonts w:cstheme="minorBidi"/>
          <w:noProof/>
        </w:rPr>
        <w:t>(</w:t>
      </w:r>
      <w:r w:rsidR="001B31FB">
        <w:rPr>
          <w:rFonts w:cstheme="minorBidi"/>
          <w:noProof/>
        </w:rPr>
        <w:fldChar w:fldCharType="begin"/>
      </w:r>
      <w:r w:rsidR="001B31FB">
        <w:rPr>
          <w:rFonts w:cstheme="minorBidi"/>
          <w:noProof/>
        </w:rPr>
        <w:instrText xml:space="preserve"> NOTEREF _Ref146464218 \f \h </w:instrText>
      </w:r>
      <w:r w:rsidR="001B31FB">
        <w:rPr>
          <w:rFonts w:cstheme="minorBidi"/>
          <w:noProof/>
        </w:rPr>
      </w:r>
      <w:r w:rsidR="001B31FB">
        <w:rPr>
          <w:rFonts w:cstheme="minorBidi"/>
          <w:noProof/>
        </w:rPr>
        <w:fldChar w:fldCharType="separate"/>
      </w:r>
      <w:r w:rsidR="00170A3C" w:rsidRPr="00170A3C">
        <w:rPr>
          <w:rStyle w:val="FootnoteReference"/>
          <w:noProof/>
        </w:rPr>
        <w:t>78</w:t>
      </w:r>
      <w:r w:rsidR="001B31FB">
        <w:rPr>
          <w:rFonts w:cstheme="minorBidi"/>
          <w:noProof/>
        </w:rPr>
        <w:fldChar w:fldCharType="end"/>
      </w:r>
      <w:r w:rsidR="001B31FB">
        <w:rPr>
          <w:rFonts w:cstheme="minorBidi"/>
          <w:noProof/>
        </w:rPr>
        <w:t>)</w:t>
      </w:r>
      <w:r w:rsidR="0034457A">
        <w:rPr>
          <w:rFonts w:cstheme="minorBidi"/>
          <w:noProof/>
        </w:rPr>
        <w:t xml:space="preserve">. </w:t>
      </w:r>
      <w:r w:rsidR="004D3667">
        <w:rPr>
          <w:rFonts w:cstheme="minorBidi"/>
          <w:noProof/>
        </w:rPr>
        <w:t>LIFE</w:t>
      </w:r>
      <w:r w:rsidR="002A2CB2">
        <w:rPr>
          <w:rFonts w:cstheme="minorBidi"/>
          <w:noProof/>
        </w:rPr>
        <w:t xml:space="preserve"> assumes a demand-driven production around 25% lower in 2050. </w:t>
      </w:r>
    </w:p>
    <w:p w14:paraId="341B37CC" w14:textId="0B9B449F" w:rsidR="00350C25" w:rsidRDefault="0011362F" w:rsidP="00350C25">
      <w:pPr>
        <w:pStyle w:val="Text3"/>
        <w:ind w:left="0" w:firstLine="0"/>
        <w:rPr>
          <w:rFonts w:cstheme="minorBidi"/>
          <w:noProof/>
        </w:rPr>
      </w:pPr>
      <w:bookmarkStart w:id="264" w:name="_Hlk146102543"/>
      <w:r>
        <w:rPr>
          <w:rFonts w:cstheme="minorBidi"/>
          <w:noProof/>
        </w:rPr>
        <w:t>T</w:t>
      </w:r>
      <w:r w:rsidR="00350C25" w:rsidRPr="61BF51EC">
        <w:rPr>
          <w:rFonts w:cstheme="minorBidi"/>
          <w:noProof/>
        </w:rPr>
        <w:t xml:space="preserve">he </w:t>
      </w:r>
      <w:r>
        <w:rPr>
          <w:rFonts w:cstheme="minorBidi"/>
          <w:noProof/>
        </w:rPr>
        <w:t xml:space="preserve">global </w:t>
      </w:r>
      <w:r w:rsidR="00350C25" w:rsidRPr="61BF51EC">
        <w:rPr>
          <w:rFonts w:cstheme="minorBidi"/>
          <w:noProof/>
        </w:rPr>
        <w:t xml:space="preserve">demand for </w:t>
      </w:r>
      <w:r>
        <w:rPr>
          <w:rFonts w:cstheme="minorBidi"/>
          <w:noProof/>
        </w:rPr>
        <w:t>petrochemicals, including a larger share of chemicall</w:t>
      </w:r>
      <w:r w:rsidR="00F422FD">
        <w:rPr>
          <w:rFonts w:cstheme="minorBidi"/>
          <w:noProof/>
        </w:rPr>
        <w:t>y</w:t>
      </w:r>
      <w:r>
        <w:rPr>
          <w:rFonts w:cstheme="minorBidi"/>
          <w:noProof/>
        </w:rPr>
        <w:t xml:space="preserve"> recycled feedstock,</w:t>
      </w:r>
      <w:r w:rsidRPr="61BF51EC" w:rsidDel="0011362F">
        <w:rPr>
          <w:rFonts w:cstheme="minorBidi"/>
          <w:noProof/>
        </w:rPr>
        <w:t xml:space="preserve"> </w:t>
      </w:r>
      <w:r w:rsidR="00350C25" w:rsidRPr="61BF51EC">
        <w:rPr>
          <w:rFonts w:cstheme="minorBidi"/>
          <w:noProof/>
        </w:rPr>
        <w:t xml:space="preserve">is projected to </w:t>
      </w:r>
      <w:r>
        <w:rPr>
          <w:rFonts w:cstheme="minorBidi"/>
          <w:noProof/>
        </w:rPr>
        <w:t xml:space="preserve">double by 2050 </w:t>
      </w:r>
      <w:r w:rsidR="00F422FD">
        <w:rPr>
          <w:rFonts w:cstheme="minorBidi"/>
          <w:noProof/>
        </w:rPr>
        <w:t>compared to 2021</w:t>
      </w:r>
      <w:r w:rsidR="00F54E13">
        <w:rPr>
          <w:rFonts w:cstheme="minorBidi"/>
          <w:noProof/>
        </w:rPr>
        <w:t>,</w:t>
      </w:r>
      <w:r w:rsidR="006C1A8B">
        <w:rPr>
          <w:rFonts w:cstheme="minorBidi"/>
          <w:noProof/>
        </w:rPr>
        <w:t xml:space="preserve"> </w:t>
      </w:r>
      <w:bookmarkEnd w:id="264"/>
      <w:r w:rsidR="006C1A8B">
        <w:rPr>
          <w:rFonts w:cstheme="minorBidi"/>
          <w:noProof/>
        </w:rPr>
        <w:t xml:space="preserve">with the EU </w:t>
      </w:r>
      <w:r w:rsidR="00F422FD">
        <w:rPr>
          <w:rFonts w:cstheme="minorBidi"/>
          <w:noProof/>
        </w:rPr>
        <w:t>representing around 4% of market share by mid-century</w:t>
      </w:r>
      <w:r w:rsidR="002D7634">
        <w:rPr>
          <w:rFonts w:cstheme="minorBidi"/>
          <w:noProof/>
        </w:rPr>
        <w:t xml:space="preserve"> </w:t>
      </w:r>
      <w:r w:rsidR="001B31FB">
        <w:rPr>
          <w:rFonts w:cstheme="minorBidi"/>
          <w:noProof/>
        </w:rPr>
        <w:t>(</w:t>
      </w:r>
      <w:r w:rsidR="001B31FB">
        <w:rPr>
          <w:rFonts w:cstheme="minorBidi"/>
          <w:noProof/>
        </w:rPr>
        <w:fldChar w:fldCharType="begin"/>
      </w:r>
      <w:r w:rsidR="001B31FB">
        <w:rPr>
          <w:rFonts w:cstheme="minorBidi"/>
          <w:noProof/>
        </w:rPr>
        <w:instrText xml:space="preserve"> NOTEREF _Ref146464278 \f \h </w:instrText>
      </w:r>
      <w:r w:rsidR="001B31FB">
        <w:rPr>
          <w:rFonts w:cstheme="minorBidi"/>
          <w:noProof/>
        </w:rPr>
      </w:r>
      <w:r w:rsidR="001B31FB">
        <w:rPr>
          <w:rFonts w:cstheme="minorBidi"/>
          <w:noProof/>
        </w:rPr>
        <w:fldChar w:fldCharType="separate"/>
      </w:r>
      <w:r w:rsidR="00170A3C" w:rsidRPr="00170A3C">
        <w:rPr>
          <w:rStyle w:val="FootnoteReference"/>
          <w:noProof/>
        </w:rPr>
        <w:t>79</w:t>
      </w:r>
      <w:r w:rsidR="001B31FB">
        <w:rPr>
          <w:rFonts w:cstheme="minorBidi"/>
          <w:noProof/>
        </w:rPr>
        <w:fldChar w:fldCharType="end"/>
      </w:r>
      <w:r w:rsidR="001B31FB">
        <w:rPr>
          <w:rFonts w:cstheme="minorBidi"/>
          <w:noProof/>
        </w:rPr>
        <w:t>)</w:t>
      </w:r>
      <w:r>
        <w:rPr>
          <w:rFonts w:cstheme="minorBidi"/>
          <w:noProof/>
        </w:rPr>
        <w:t xml:space="preserve">. </w:t>
      </w:r>
      <w:r w:rsidR="00F422FD">
        <w:rPr>
          <w:rFonts w:cstheme="minorBidi"/>
          <w:noProof/>
        </w:rPr>
        <w:t>I</w:t>
      </w:r>
      <w:r w:rsidR="00377FF8">
        <w:rPr>
          <w:rFonts w:cstheme="minorBidi"/>
          <w:noProof/>
        </w:rPr>
        <w:t xml:space="preserve">n the </w:t>
      </w:r>
      <w:r w:rsidR="003177E1">
        <w:rPr>
          <w:rFonts w:cstheme="minorBidi"/>
          <w:noProof/>
        </w:rPr>
        <w:t>main</w:t>
      </w:r>
      <w:r w:rsidR="00377FF8">
        <w:rPr>
          <w:rFonts w:cstheme="minorBidi"/>
          <w:noProof/>
        </w:rPr>
        <w:t xml:space="preserve"> scenarios</w:t>
      </w:r>
      <w:r w:rsidR="00F422FD">
        <w:rPr>
          <w:rFonts w:cstheme="minorBidi"/>
          <w:noProof/>
        </w:rPr>
        <w:t xml:space="preserve">, an </w:t>
      </w:r>
      <w:r w:rsidR="00350C25" w:rsidRPr="61BF51EC">
        <w:rPr>
          <w:rFonts w:cstheme="minorBidi"/>
          <w:noProof/>
        </w:rPr>
        <w:t xml:space="preserve">increase of </w:t>
      </w:r>
      <w:r w:rsidR="00F422FD">
        <w:rPr>
          <w:rFonts w:cstheme="minorBidi"/>
          <w:noProof/>
        </w:rPr>
        <w:t xml:space="preserve">demand for </w:t>
      </w:r>
      <w:r w:rsidR="00350C25" w:rsidRPr="00F522F6">
        <w:rPr>
          <w:rFonts w:cstheme="minorBidi"/>
          <w:noProof/>
        </w:rPr>
        <w:t>organic</w:t>
      </w:r>
      <w:r w:rsidR="00350C25" w:rsidRPr="61BF51EC">
        <w:rPr>
          <w:rFonts w:cstheme="minorBidi"/>
          <w:noProof/>
        </w:rPr>
        <w:t xml:space="preserve"> chemical </w:t>
      </w:r>
      <w:r w:rsidR="00350C25" w:rsidRPr="00F522F6">
        <w:rPr>
          <w:rFonts w:cstheme="minorBidi"/>
          <w:noProof/>
        </w:rPr>
        <w:t>and petrochemicals</w:t>
      </w:r>
      <w:r w:rsidR="00350C25" w:rsidRPr="61BF51EC">
        <w:rPr>
          <w:rFonts w:cstheme="minorBidi"/>
          <w:noProof/>
        </w:rPr>
        <w:t xml:space="preserve"> </w:t>
      </w:r>
      <w:r w:rsidR="007C0A5E">
        <w:rPr>
          <w:rFonts w:cstheme="minorBidi"/>
          <w:noProof/>
        </w:rPr>
        <w:t xml:space="preserve">in end-user products </w:t>
      </w:r>
      <w:r w:rsidR="00F422FD">
        <w:rPr>
          <w:rFonts w:cstheme="minorBidi"/>
          <w:noProof/>
        </w:rPr>
        <w:t xml:space="preserve">of around </w:t>
      </w:r>
      <w:r w:rsidR="003A070F">
        <w:rPr>
          <w:rFonts w:cstheme="minorBidi"/>
          <w:noProof/>
        </w:rPr>
        <w:t>23</w:t>
      </w:r>
      <w:r w:rsidR="00F422FD">
        <w:rPr>
          <w:rFonts w:cstheme="minorBidi"/>
          <w:noProof/>
        </w:rPr>
        <w:t>%</w:t>
      </w:r>
      <w:r w:rsidR="003A070F">
        <w:rPr>
          <w:rFonts w:cstheme="minorBidi"/>
          <w:noProof/>
        </w:rPr>
        <w:t xml:space="preserve"> with respect to the average production in 2015-2020</w:t>
      </w:r>
      <w:r w:rsidR="00F422FD">
        <w:rPr>
          <w:rFonts w:cstheme="minorBidi"/>
          <w:noProof/>
        </w:rPr>
        <w:t xml:space="preserve"> is assumed</w:t>
      </w:r>
      <w:r w:rsidR="00350C25" w:rsidRPr="61BF51EC">
        <w:rPr>
          <w:rFonts w:cstheme="minorBidi"/>
          <w:noProof/>
        </w:rPr>
        <w:t xml:space="preserve">, </w:t>
      </w:r>
      <w:r w:rsidR="00F422FD">
        <w:rPr>
          <w:rFonts w:cstheme="minorBidi"/>
          <w:noProof/>
        </w:rPr>
        <w:t>taking also into account a</w:t>
      </w:r>
      <w:r w:rsidR="007C0A5E">
        <w:rPr>
          <w:rFonts w:cstheme="minorBidi"/>
          <w:noProof/>
        </w:rPr>
        <w:t xml:space="preserve"> steep</w:t>
      </w:r>
      <w:r w:rsidR="00F422FD">
        <w:rPr>
          <w:rFonts w:cstheme="minorBidi"/>
          <w:noProof/>
        </w:rPr>
        <w:t xml:space="preserve"> increase in </w:t>
      </w:r>
      <w:r w:rsidR="00350C25" w:rsidRPr="61BF51EC">
        <w:rPr>
          <w:rFonts w:cstheme="minorBidi"/>
          <w:noProof/>
        </w:rPr>
        <w:t>recycling rate</w:t>
      </w:r>
      <w:r w:rsidR="00F422FD">
        <w:rPr>
          <w:rFonts w:cstheme="minorBidi"/>
          <w:noProof/>
        </w:rPr>
        <w:t>.</w:t>
      </w:r>
      <w:r w:rsidR="00350C25" w:rsidRPr="61BF51EC">
        <w:rPr>
          <w:rFonts w:cstheme="minorBidi"/>
          <w:noProof/>
        </w:rPr>
        <w:t xml:space="preserve"> </w:t>
      </w:r>
      <w:r w:rsidR="009634BD">
        <w:rPr>
          <w:rFonts w:cstheme="minorBidi"/>
          <w:noProof/>
        </w:rPr>
        <w:t>According to literature, a</w:t>
      </w:r>
      <w:r w:rsidR="00080A0D">
        <w:rPr>
          <w:rFonts w:cstheme="minorBidi"/>
          <w:noProof/>
        </w:rPr>
        <w:t xml:space="preserve">dditional demand-side actions </w:t>
      </w:r>
      <w:r w:rsidR="003177E1">
        <w:rPr>
          <w:rFonts w:cstheme="minorBidi"/>
          <w:noProof/>
        </w:rPr>
        <w:t>could</w:t>
      </w:r>
      <w:r w:rsidR="00080A0D">
        <w:rPr>
          <w:rFonts w:cstheme="minorBidi"/>
          <w:noProof/>
        </w:rPr>
        <w:t xml:space="preserve"> lead to an optimisation of production of chemicals, with savings of up to around 28% </w:t>
      </w:r>
      <w:r w:rsidR="00F54E13">
        <w:rPr>
          <w:rFonts w:cstheme="minorBidi"/>
          <w:noProof/>
        </w:rPr>
        <w:t>of olefins and ammonia</w:t>
      </w:r>
      <w:r w:rsidR="00F54E13" w:rsidRPr="00080A0D">
        <w:rPr>
          <w:rFonts w:cstheme="minorBidi"/>
          <w:noProof/>
        </w:rPr>
        <w:t> </w:t>
      </w:r>
      <w:r w:rsidR="00080A0D">
        <w:rPr>
          <w:rFonts w:cstheme="minorBidi"/>
          <w:noProof/>
        </w:rPr>
        <w:t xml:space="preserve">in 2040 (vs 2019) </w:t>
      </w:r>
      <w:r w:rsidR="001B31FB">
        <w:rPr>
          <w:rFonts w:cstheme="minorBidi"/>
          <w:noProof/>
        </w:rPr>
        <w:t>(</w:t>
      </w:r>
      <w:r w:rsidR="00796ECA" w:rsidRPr="00796ECA">
        <w:rPr>
          <w:rFonts w:cstheme="minorBidi"/>
          <w:noProof/>
          <w:vertAlign w:val="superscript"/>
        </w:rPr>
        <w:fldChar w:fldCharType="begin"/>
      </w:r>
      <w:r w:rsidR="00796ECA" w:rsidRPr="00796ECA">
        <w:rPr>
          <w:rFonts w:cstheme="minorBidi"/>
          <w:noProof/>
          <w:vertAlign w:val="superscript"/>
        </w:rPr>
        <w:instrText xml:space="preserve"> NOTEREF _Ref147843370 \h </w:instrText>
      </w:r>
      <w:r w:rsidR="00796ECA">
        <w:rPr>
          <w:rFonts w:cstheme="minorBidi"/>
          <w:noProof/>
          <w:vertAlign w:val="superscript"/>
        </w:rPr>
        <w:instrText xml:space="preserve"> \* MERGEFORMAT </w:instrText>
      </w:r>
      <w:r w:rsidR="00796ECA" w:rsidRPr="00796ECA">
        <w:rPr>
          <w:rFonts w:cstheme="minorBidi"/>
          <w:noProof/>
          <w:vertAlign w:val="superscript"/>
        </w:rPr>
      </w:r>
      <w:r w:rsidR="00796ECA" w:rsidRPr="00796ECA">
        <w:rPr>
          <w:rFonts w:cstheme="minorBidi"/>
          <w:noProof/>
          <w:vertAlign w:val="superscript"/>
        </w:rPr>
        <w:fldChar w:fldCharType="separate"/>
      </w:r>
      <w:r w:rsidR="00170A3C">
        <w:rPr>
          <w:rFonts w:cstheme="minorBidi"/>
          <w:noProof/>
          <w:vertAlign w:val="superscript"/>
        </w:rPr>
        <w:t>77</w:t>
      </w:r>
      <w:r w:rsidR="00796ECA" w:rsidRPr="00796ECA">
        <w:rPr>
          <w:rFonts w:cstheme="minorBidi"/>
          <w:noProof/>
          <w:vertAlign w:val="superscript"/>
        </w:rPr>
        <w:fldChar w:fldCharType="end"/>
      </w:r>
      <w:r w:rsidR="001B31FB">
        <w:rPr>
          <w:rFonts w:cstheme="minorBidi"/>
          <w:noProof/>
        </w:rPr>
        <w:t>)</w:t>
      </w:r>
      <w:r w:rsidR="001B31FB" w:rsidRPr="0012605E">
        <w:rPr>
          <w:rFonts w:cstheme="minorBidi"/>
          <w:noProof/>
        </w:rPr>
        <w:t> </w:t>
      </w:r>
      <w:r w:rsidR="00080A0D">
        <w:rPr>
          <w:rFonts w:cstheme="minorBidi"/>
          <w:noProof/>
        </w:rPr>
        <w:t xml:space="preserve">and up to </w:t>
      </w:r>
      <w:r w:rsidR="00F54E13">
        <w:rPr>
          <w:rFonts w:cstheme="minorBidi"/>
          <w:noProof/>
        </w:rPr>
        <w:t xml:space="preserve">23% in 2050 (vs 2015) when encompassing all chemicals </w:t>
      </w:r>
      <w:r w:rsidR="001B31FB">
        <w:rPr>
          <w:rFonts w:cstheme="minorBidi"/>
          <w:noProof/>
        </w:rPr>
        <w:t>(</w:t>
      </w:r>
      <w:r w:rsidR="001B31FB">
        <w:rPr>
          <w:rFonts w:cstheme="minorBidi"/>
          <w:noProof/>
        </w:rPr>
        <w:fldChar w:fldCharType="begin"/>
      </w:r>
      <w:r w:rsidR="001B31FB">
        <w:rPr>
          <w:rFonts w:cstheme="minorBidi"/>
          <w:noProof/>
        </w:rPr>
        <w:instrText xml:space="preserve"> NOTEREF _Ref146464218 \f \h </w:instrText>
      </w:r>
      <w:r w:rsidR="001B31FB">
        <w:rPr>
          <w:rFonts w:cstheme="minorBidi"/>
          <w:noProof/>
        </w:rPr>
      </w:r>
      <w:r w:rsidR="001B31FB">
        <w:rPr>
          <w:rFonts w:cstheme="minorBidi"/>
          <w:noProof/>
        </w:rPr>
        <w:fldChar w:fldCharType="separate"/>
      </w:r>
      <w:r w:rsidR="00170A3C" w:rsidRPr="00170A3C">
        <w:rPr>
          <w:rStyle w:val="FootnoteReference"/>
          <w:noProof/>
        </w:rPr>
        <w:t>78</w:t>
      </w:r>
      <w:r w:rsidR="001B31FB">
        <w:rPr>
          <w:rFonts w:cstheme="minorBidi"/>
          <w:noProof/>
        </w:rPr>
        <w:fldChar w:fldCharType="end"/>
      </w:r>
      <w:r w:rsidR="001B31FB">
        <w:rPr>
          <w:rFonts w:cstheme="minorBidi"/>
          <w:noProof/>
        </w:rPr>
        <w:t>)</w:t>
      </w:r>
      <w:r w:rsidR="00F54E13">
        <w:rPr>
          <w:rFonts w:cstheme="minorBidi"/>
          <w:noProof/>
        </w:rPr>
        <w:t xml:space="preserve">. </w:t>
      </w:r>
      <w:r w:rsidR="00350C25" w:rsidRPr="61BF51EC">
        <w:rPr>
          <w:rFonts w:cstheme="minorBidi"/>
          <w:noProof/>
        </w:rPr>
        <w:t xml:space="preserve">Introduction of additional measures in LIFE such as a ban of single use water bottles and strong reduction of plastic-packaging </w:t>
      </w:r>
      <w:r w:rsidR="00F54E13">
        <w:rPr>
          <w:rFonts w:cstheme="minorBidi"/>
          <w:noProof/>
        </w:rPr>
        <w:t xml:space="preserve">are projected to save approximately 15% of </w:t>
      </w:r>
      <w:r w:rsidR="00350C25" w:rsidRPr="61BF51EC">
        <w:rPr>
          <w:rFonts w:cstheme="minorBidi"/>
          <w:noProof/>
        </w:rPr>
        <w:t xml:space="preserve">primary input material </w:t>
      </w:r>
      <w:r w:rsidR="00F54E13">
        <w:rPr>
          <w:rFonts w:cstheme="minorBidi"/>
          <w:noProof/>
        </w:rPr>
        <w:t>in 2050</w:t>
      </w:r>
      <w:r w:rsidR="00350C25" w:rsidRPr="009A292A">
        <w:rPr>
          <w:rFonts w:cstheme="minorBidi"/>
          <w:noProof/>
        </w:rPr>
        <w:t xml:space="preserve">. </w:t>
      </w:r>
    </w:p>
    <w:p w14:paraId="5A638E03" w14:textId="53817377" w:rsidR="00A921C9" w:rsidRPr="00CB07AA" w:rsidRDefault="007C0A5E" w:rsidP="00A921C9">
      <w:pPr>
        <w:rPr>
          <w:noProof/>
        </w:rPr>
      </w:pPr>
      <w:r w:rsidRPr="000A2E6F">
        <w:rPr>
          <w:rFonts w:cstheme="minorHAnsi"/>
          <w:noProof/>
        </w:rPr>
        <w:fldChar w:fldCharType="begin"/>
      </w:r>
      <w:r w:rsidRPr="000A2E6F">
        <w:rPr>
          <w:rFonts w:cstheme="minorHAnsi"/>
          <w:noProof/>
        </w:rPr>
        <w:instrText xml:space="preserve"> REF _Ref146103144 \h  \* MERGEFORMAT </w:instrText>
      </w:r>
      <w:r w:rsidRPr="000A2E6F">
        <w:rPr>
          <w:rFonts w:cstheme="minorHAnsi"/>
          <w:noProof/>
        </w:rPr>
      </w:r>
      <w:r w:rsidRPr="000A2E6F">
        <w:rPr>
          <w:rFonts w:cstheme="minorHAnsi"/>
          <w:noProof/>
        </w:rPr>
        <w:fldChar w:fldCharType="separate"/>
      </w:r>
      <w:r w:rsidR="00170A3C">
        <w:rPr>
          <w:noProof/>
        </w:rPr>
        <w:t>Table 8</w:t>
      </w:r>
      <w:r w:rsidRPr="000A2E6F">
        <w:rPr>
          <w:rFonts w:cstheme="minorHAnsi"/>
          <w:noProof/>
        </w:rPr>
        <w:fldChar w:fldCharType="end"/>
      </w:r>
      <w:r>
        <w:rPr>
          <w:rFonts w:cstheme="minorHAnsi"/>
          <w:noProof/>
        </w:rPr>
        <w:t xml:space="preserve"> </w:t>
      </w:r>
      <w:r w:rsidR="00EF0BED">
        <w:rPr>
          <w:rFonts w:cstheme="minorHAnsi"/>
          <w:noProof/>
        </w:rPr>
        <w:t>summarises</w:t>
      </w:r>
      <w:r w:rsidR="00A921C9" w:rsidRPr="002654FA">
        <w:rPr>
          <w:rFonts w:cs="Times New Roman"/>
          <w:noProof/>
        </w:rPr>
        <w:t xml:space="preserve"> the variation of industrial production </w:t>
      </w:r>
      <w:r w:rsidR="00A921C9">
        <w:rPr>
          <w:rFonts w:cs="Times New Roman"/>
          <w:noProof/>
        </w:rPr>
        <w:t xml:space="preserve">assumed in the analysis. </w:t>
      </w:r>
    </w:p>
    <w:p w14:paraId="384BE4F4" w14:textId="33FEAB71" w:rsidR="00A921C9" w:rsidRDefault="007476E4" w:rsidP="007C0A5E">
      <w:pPr>
        <w:pStyle w:val="Caption"/>
        <w:rPr>
          <w:noProof/>
        </w:rPr>
      </w:pPr>
      <w:bookmarkStart w:id="265" w:name="_Ref146103144"/>
      <w:bookmarkStart w:id="266" w:name="_Toc157679891"/>
      <w:r>
        <w:rPr>
          <w:noProof/>
        </w:rPr>
        <w:t xml:space="preserve">Table </w:t>
      </w:r>
      <w:r>
        <w:rPr>
          <w:noProof/>
        </w:rPr>
        <w:fldChar w:fldCharType="begin"/>
      </w:r>
      <w:r>
        <w:rPr>
          <w:noProof/>
        </w:rPr>
        <w:instrText>SEQ Table \* ARABIC</w:instrText>
      </w:r>
      <w:r>
        <w:rPr>
          <w:noProof/>
        </w:rPr>
        <w:fldChar w:fldCharType="separate"/>
      </w:r>
      <w:r w:rsidR="00170A3C">
        <w:rPr>
          <w:noProof/>
        </w:rPr>
        <w:t>8</w:t>
      </w:r>
      <w:r>
        <w:rPr>
          <w:noProof/>
        </w:rPr>
        <w:fldChar w:fldCharType="end"/>
      </w:r>
      <w:bookmarkEnd w:id="265"/>
      <w:r w:rsidR="00A921C9">
        <w:rPr>
          <w:noProof/>
          <w:color w:val="2B579A"/>
          <w:shd w:val="clear" w:color="auto" w:fill="E6E6E6"/>
        </w:rPr>
        <w:fldChar w:fldCharType="begin"/>
      </w:r>
      <w:r w:rsidR="00A921C9">
        <w:rPr>
          <w:noProof/>
          <w:color w:val="2B579A"/>
          <w:shd w:val="clear" w:color="auto" w:fill="E6E6E6"/>
        </w:rPr>
        <w:fldChar w:fldCharType="end"/>
      </w:r>
      <w:r w:rsidR="00A921C9">
        <w:rPr>
          <w:noProof/>
        </w:rPr>
        <w:t xml:space="preserve">: </w:t>
      </w:r>
      <w:r w:rsidR="00280CFA">
        <w:rPr>
          <w:noProof/>
        </w:rPr>
        <w:t>Assumptions on e</w:t>
      </w:r>
      <w:r w:rsidR="00A921C9">
        <w:rPr>
          <w:noProof/>
        </w:rPr>
        <w:t xml:space="preserve">volution of industrial domestic production </w:t>
      </w:r>
      <w:r w:rsidR="00280CFA">
        <w:rPr>
          <w:noProof/>
        </w:rPr>
        <w:t>for selected materials</w:t>
      </w:r>
      <w:bookmarkEnd w:id="266"/>
    </w:p>
    <w:tbl>
      <w:tblPr>
        <w:tblStyle w:val="CV11"/>
        <w:tblW w:w="5000" w:type="pct"/>
        <w:tblLook w:val="04A0" w:firstRow="1" w:lastRow="0" w:firstColumn="1" w:lastColumn="0" w:noHBand="0" w:noVBand="1"/>
      </w:tblPr>
      <w:tblGrid>
        <w:gridCol w:w="4521"/>
        <w:gridCol w:w="1998"/>
        <w:gridCol w:w="2315"/>
      </w:tblGrid>
      <w:tr w:rsidR="00247869" w:rsidRPr="000F2EB7" w14:paraId="764D0BF6" w14:textId="77777777">
        <w:trPr>
          <w:trHeight w:val="300"/>
        </w:trPr>
        <w:tc>
          <w:tcPr>
            <w:tcW w:w="2559" w:type="pct"/>
            <w:vMerge w:val="restart"/>
            <w:noWrap/>
          </w:tcPr>
          <w:p w14:paraId="529B32A4" w14:textId="77777777" w:rsidR="00247869" w:rsidRPr="00343DE6" w:rsidRDefault="00247869" w:rsidP="007C0A5E">
            <w:pPr>
              <w:keepNext/>
              <w:spacing w:after="0"/>
              <w:jc w:val="left"/>
              <w:rPr>
                <w:rFonts w:ascii="EC Square Sans Cond Pro" w:eastAsiaTheme="minorHAnsi" w:hAnsi="EC Square Sans Cond Pro" w:cs="Avenir Next LT Pro"/>
                <w:noProof/>
                <w:sz w:val="22"/>
                <w:szCs w:val="22"/>
                <w:lang w:val="en-IE" w:eastAsia="en-US"/>
              </w:rPr>
            </w:pPr>
            <w:bookmarkStart w:id="267" w:name="_Hlk152185153"/>
          </w:p>
        </w:tc>
        <w:tc>
          <w:tcPr>
            <w:tcW w:w="1131" w:type="pct"/>
            <w:noWrap/>
          </w:tcPr>
          <w:p w14:paraId="26F29ACA" w14:textId="77777777" w:rsidR="00247869" w:rsidRPr="00343DE6" w:rsidRDefault="00247869" w:rsidP="007C0A5E">
            <w:pPr>
              <w:keepNext/>
              <w:spacing w:after="0"/>
              <w:jc w:val="center"/>
              <w:rPr>
                <w:rFonts w:ascii="EC Square Sans Cond Pro" w:eastAsiaTheme="minorHAnsi" w:hAnsi="EC Square Sans Cond Pro" w:cs="Avenir Next LT Pro"/>
                <w:noProof/>
                <w:sz w:val="22"/>
                <w:szCs w:val="22"/>
                <w:lang w:val="en-IE" w:eastAsia="en-US"/>
              </w:rPr>
            </w:pPr>
            <w:r w:rsidRPr="000261A7">
              <w:rPr>
                <w:rFonts w:ascii="EC Square Sans Cond Pro" w:eastAsiaTheme="minorHAnsi" w:hAnsi="EC Square Sans Cond Pro" w:cs="Avenir Next LT Pro"/>
                <w:b/>
                <w:noProof/>
                <w:sz w:val="22"/>
                <w:szCs w:val="22"/>
                <w:lang w:val="en-IE" w:eastAsia="en-US"/>
              </w:rPr>
              <w:t xml:space="preserve">S1, S2, S3 </w:t>
            </w:r>
          </w:p>
        </w:tc>
        <w:tc>
          <w:tcPr>
            <w:tcW w:w="1310" w:type="pct"/>
            <w:noWrap/>
          </w:tcPr>
          <w:p w14:paraId="44290FB9" w14:textId="6D850343" w:rsidR="00247869" w:rsidRPr="00343DE6" w:rsidRDefault="00247869" w:rsidP="007C0A5E">
            <w:pPr>
              <w:keepNext/>
              <w:spacing w:after="0"/>
              <w:jc w:val="center"/>
              <w:rPr>
                <w:rFonts w:ascii="EC Square Sans Cond Pro" w:eastAsiaTheme="minorHAnsi" w:hAnsi="EC Square Sans Cond Pro" w:cs="Avenir Next LT Pro"/>
                <w:noProof/>
                <w:sz w:val="22"/>
                <w:szCs w:val="22"/>
                <w:lang w:val="en-IE" w:eastAsia="en-US"/>
              </w:rPr>
            </w:pPr>
            <w:r w:rsidRPr="000261A7">
              <w:rPr>
                <w:rFonts w:ascii="EC Square Sans Cond Pro" w:eastAsiaTheme="minorHAnsi" w:hAnsi="EC Square Sans Cond Pro" w:cs="Avenir Next LT Pro"/>
                <w:b/>
                <w:noProof/>
                <w:sz w:val="22"/>
                <w:szCs w:val="22"/>
                <w:lang w:val="en-IE" w:eastAsia="en-US"/>
              </w:rPr>
              <w:t>LIFE</w:t>
            </w:r>
          </w:p>
        </w:tc>
      </w:tr>
      <w:tr w:rsidR="00247869" w:rsidRPr="000F2EB7" w14:paraId="140DF28A" w14:textId="77777777">
        <w:trPr>
          <w:trHeight w:val="300"/>
        </w:trPr>
        <w:tc>
          <w:tcPr>
            <w:tcW w:w="2559" w:type="pct"/>
            <w:vMerge/>
            <w:noWrap/>
          </w:tcPr>
          <w:p w14:paraId="04D0E1D2" w14:textId="77777777" w:rsidR="00247869" w:rsidRPr="004541C9" w:rsidRDefault="00247869" w:rsidP="007C0A5E">
            <w:pPr>
              <w:keepNext/>
              <w:spacing w:after="0"/>
              <w:jc w:val="left"/>
              <w:rPr>
                <w:rFonts w:ascii="EC Square Sans Cond Pro" w:eastAsiaTheme="minorHAnsi" w:hAnsi="EC Square Sans Cond Pro" w:cs="Avenir Next LT Pro"/>
                <w:b/>
                <w:noProof/>
                <w:sz w:val="22"/>
                <w:szCs w:val="22"/>
                <w:lang w:val="en-IE" w:eastAsia="en-US"/>
              </w:rPr>
            </w:pPr>
          </w:p>
        </w:tc>
        <w:tc>
          <w:tcPr>
            <w:tcW w:w="1131" w:type="pct"/>
            <w:noWrap/>
          </w:tcPr>
          <w:p w14:paraId="5C73D5BB" w14:textId="77777777" w:rsidR="00247869" w:rsidRPr="000261A7" w:rsidRDefault="00247869" w:rsidP="007C0A5E">
            <w:pPr>
              <w:keepNext/>
              <w:spacing w:after="0"/>
              <w:jc w:val="center"/>
              <w:rPr>
                <w:rFonts w:ascii="EC Square Sans Cond Pro" w:eastAsiaTheme="minorHAnsi" w:hAnsi="EC Square Sans Cond Pro" w:cs="Avenir Next LT Pro"/>
                <w:bCs/>
                <w:noProof/>
                <w:sz w:val="22"/>
                <w:szCs w:val="22"/>
                <w:lang w:val="en-IE" w:eastAsia="en-US"/>
              </w:rPr>
            </w:pPr>
            <w:r w:rsidRPr="000261A7">
              <w:rPr>
                <w:rFonts w:ascii="EC Square Sans Cond Pro" w:eastAsiaTheme="minorHAnsi" w:hAnsi="EC Square Sans Cond Pro" w:cs="Avenir Next LT Pro"/>
                <w:bCs/>
                <w:noProof/>
                <w:sz w:val="22"/>
                <w:szCs w:val="22"/>
                <w:lang w:val="en-IE" w:eastAsia="en-US"/>
              </w:rPr>
              <w:t>2050 vs 2015</w:t>
            </w:r>
          </w:p>
        </w:tc>
        <w:tc>
          <w:tcPr>
            <w:tcW w:w="1310" w:type="pct"/>
            <w:noWrap/>
          </w:tcPr>
          <w:p w14:paraId="62DB59B9" w14:textId="1DF5D170" w:rsidR="00247869" w:rsidRPr="000261A7" w:rsidRDefault="00247869" w:rsidP="007C0A5E">
            <w:pPr>
              <w:keepNext/>
              <w:spacing w:after="0"/>
              <w:jc w:val="center"/>
              <w:rPr>
                <w:rFonts w:ascii="EC Square Sans Cond Pro" w:eastAsiaTheme="minorHAnsi" w:hAnsi="EC Square Sans Cond Pro" w:cs="Avenir Next LT Pro"/>
                <w:bCs/>
                <w:noProof/>
                <w:sz w:val="22"/>
                <w:szCs w:val="22"/>
                <w:lang w:val="en-IE" w:eastAsia="en-US"/>
              </w:rPr>
            </w:pPr>
            <w:r w:rsidRPr="000261A7">
              <w:rPr>
                <w:rFonts w:ascii="EC Square Sans Cond Pro" w:eastAsiaTheme="minorHAnsi" w:hAnsi="EC Square Sans Cond Pro" w:cs="Avenir Next LT Pro"/>
                <w:bCs/>
                <w:noProof/>
                <w:sz w:val="22"/>
                <w:szCs w:val="22"/>
                <w:lang w:val="en-IE" w:eastAsia="en-US"/>
              </w:rPr>
              <w:t xml:space="preserve">vs </w:t>
            </w:r>
            <w:r w:rsidR="005A6BF3">
              <w:rPr>
                <w:rFonts w:ascii="EC Square Sans Cond Pro" w:eastAsiaTheme="minorHAnsi" w:hAnsi="EC Square Sans Cond Pro" w:cs="Avenir Next LT Pro"/>
                <w:bCs/>
                <w:noProof/>
                <w:sz w:val="22"/>
                <w:szCs w:val="22"/>
                <w:lang w:val="en-IE" w:eastAsia="en-US"/>
              </w:rPr>
              <w:t>S</w:t>
            </w:r>
            <w:r w:rsidR="00824847">
              <w:rPr>
                <w:rFonts w:ascii="EC Square Sans Cond Pro" w:eastAsiaTheme="minorHAnsi" w:hAnsi="EC Square Sans Cond Pro" w:cs="Avenir Next LT Pro"/>
                <w:bCs/>
                <w:noProof/>
                <w:sz w:val="22"/>
                <w:szCs w:val="22"/>
                <w:lang w:val="en-IE" w:eastAsia="en-US"/>
              </w:rPr>
              <w:t>1, S</w:t>
            </w:r>
            <w:r w:rsidR="005A6BF3">
              <w:rPr>
                <w:rFonts w:ascii="EC Square Sans Cond Pro" w:eastAsiaTheme="minorHAnsi" w:hAnsi="EC Square Sans Cond Pro" w:cs="Avenir Next LT Pro"/>
                <w:bCs/>
                <w:noProof/>
                <w:sz w:val="22"/>
                <w:szCs w:val="22"/>
                <w:lang w:val="en-IE" w:eastAsia="en-US"/>
              </w:rPr>
              <w:t>2,</w:t>
            </w:r>
            <w:r w:rsidR="00824847">
              <w:rPr>
                <w:rFonts w:ascii="EC Square Sans Cond Pro" w:eastAsiaTheme="minorHAnsi" w:hAnsi="EC Square Sans Cond Pro" w:cs="Avenir Next LT Pro"/>
                <w:bCs/>
                <w:noProof/>
                <w:sz w:val="22"/>
                <w:szCs w:val="22"/>
                <w:lang w:val="en-IE" w:eastAsia="en-US"/>
              </w:rPr>
              <w:t xml:space="preserve"> </w:t>
            </w:r>
            <w:r w:rsidR="005A6BF3">
              <w:rPr>
                <w:rFonts w:ascii="EC Square Sans Cond Pro" w:eastAsiaTheme="minorHAnsi" w:hAnsi="EC Square Sans Cond Pro" w:cs="Avenir Next LT Pro"/>
                <w:bCs/>
                <w:noProof/>
                <w:sz w:val="22"/>
                <w:szCs w:val="22"/>
                <w:lang w:val="en-IE" w:eastAsia="en-US"/>
              </w:rPr>
              <w:t xml:space="preserve">S3 </w:t>
            </w:r>
            <w:r w:rsidR="001F2ED1">
              <w:rPr>
                <w:rFonts w:ascii="EC Square Sans Cond Pro" w:eastAsiaTheme="minorHAnsi" w:hAnsi="EC Square Sans Cond Pro" w:cs="Avenir Next LT Pro"/>
                <w:bCs/>
                <w:noProof/>
                <w:sz w:val="22"/>
                <w:szCs w:val="22"/>
                <w:lang w:val="en-IE" w:eastAsia="en-US"/>
              </w:rPr>
              <w:t xml:space="preserve">in </w:t>
            </w:r>
            <w:r w:rsidRPr="000261A7">
              <w:rPr>
                <w:rFonts w:ascii="EC Square Sans Cond Pro" w:eastAsiaTheme="minorHAnsi" w:hAnsi="EC Square Sans Cond Pro" w:cs="Avenir Next LT Pro"/>
                <w:bCs/>
                <w:noProof/>
                <w:sz w:val="22"/>
                <w:szCs w:val="22"/>
                <w:lang w:val="en-IE" w:eastAsia="en-US"/>
              </w:rPr>
              <w:t>2050</w:t>
            </w:r>
          </w:p>
        </w:tc>
      </w:tr>
      <w:tr w:rsidR="00A921C9" w:rsidRPr="000F2EB7" w14:paraId="5F843C06" w14:textId="77777777">
        <w:tblPrEx>
          <w:tblBorders>
            <w:insideH w:val="none" w:sz="0" w:space="0" w:color="auto"/>
            <w:insideV w:val="none" w:sz="0" w:space="0" w:color="auto"/>
          </w:tblBorders>
        </w:tblPrEx>
        <w:trPr>
          <w:trHeight w:val="300"/>
        </w:trPr>
        <w:tc>
          <w:tcPr>
            <w:tcW w:w="2559" w:type="pct"/>
            <w:tcBorders>
              <w:top w:val="single" w:sz="4" w:space="0" w:color="auto"/>
              <w:bottom w:val="nil"/>
              <w:right w:val="single" w:sz="4" w:space="0" w:color="auto"/>
            </w:tcBorders>
            <w:noWrap/>
            <w:hideMark/>
          </w:tcPr>
          <w:p w14:paraId="761E53EC" w14:textId="77777777" w:rsidR="00A921C9" w:rsidRPr="000261A7" w:rsidRDefault="00A921C9" w:rsidP="007C0A5E">
            <w:pPr>
              <w:keepNext/>
              <w:spacing w:after="0"/>
              <w:jc w:val="left"/>
              <w:rPr>
                <w:rFonts w:ascii="EC Square Sans Cond Pro" w:eastAsiaTheme="minorHAnsi" w:hAnsi="EC Square Sans Cond Pro" w:cs="Avenir Next LT Pro"/>
                <w:noProof/>
                <w:sz w:val="22"/>
                <w:szCs w:val="22"/>
                <w:lang w:val="en-IE" w:eastAsia="en-US"/>
              </w:rPr>
            </w:pPr>
            <w:r w:rsidRPr="000261A7">
              <w:rPr>
                <w:rFonts w:ascii="EC Square Sans Cond Pro" w:eastAsiaTheme="minorHAnsi" w:hAnsi="EC Square Sans Cond Pro" w:cs="Avenir Next LT Pro"/>
                <w:noProof/>
                <w:sz w:val="22"/>
                <w:szCs w:val="22"/>
                <w:lang w:val="en-IE" w:eastAsia="en-US"/>
              </w:rPr>
              <w:t xml:space="preserve">Steel </w:t>
            </w:r>
          </w:p>
        </w:tc>
        <w:tc>
          <w:tcPr>
            <w:tcW w:w="1131" w:type="pct"/>
            <w:tcBorders>
              <w:top w:val="single" w:sz="4" w:space="0" w:color="auto"/>
              <w:left w:val="single" w:sz="4" w:space="0" w:color="auto"/>
              <w:bottom w:val="nil"/>
              <w:right w:val="single" w:sz="4" w:space="0" w:color="auto"/>
            </w:tcBorders>
            <w:noWrap/>
            <w:hideMark/>
          </w:tcPr>
          <w:p w14:paraId="048682FE" w14:textId="77777777" w:rsidR="00A921C9" w:rsidRPr="000261A7" w:rsidRDefault="00A921C9" w:rsidP="007C0A5E">
            <w:pPr>
              <w:keepNext/>
              <w:spacing w:after="0"/>
              <w:jc w:val="center"/>
              <w:rPr>
                <w:rFonts w:ascii="EC Square Sans Cond Pro" w:eastAsiaTheme="minorHAnsi" w:hAnsi="EC Square Sans Cond Pro" w:cs="Avenir Next LT Pro"/>
                <w:noProof/>
                <w:sz w:val="22"/>
                <w:szCs w:val="22"/>
                <w:lang w:val="en-IE" w:eastAsia="en-US"/>
              </w:rPr>
            </w:pPr>
            <w:r w:rsidRPr="000261A7">
              <w:rPr>
                <w:rFonts w:ascii="EC Square Sans Cond Pro" w:eastAsiaTheme="minorHAnsi" w:hAnsi="EC Square Sans Cond Pro" w:cs="Avenir Next LT Pro"/>
                <w:noProof/>
                <w:sz w:val="22"/>
                <w:szCs w:val="22"/>
                <w:lang w:val="en-IE" w:eastAsia="en-US"/>
              </w:rPr>
              <w:t>0%</w:t>
            </w:r>
          </w:p>
        </w:tc>
        <w:tc>
          <w:tcPr>
            <w:tcW w:w="1310" w:type="pct"/>
            <w:tcBorders>
              <w:top w:val="single" w:sz="4" w:space="0" w:color="auto"/>
              <w:left w:val="single" w:sz="4" w:space="0" w:color="auto"/>
              <w:bottom w:val="nil"/>
              <w:right w:val="single" w:sz="4" w:space="0" w:color="auto"/>
            </w:tcBorders>
            <w:noWrap/>
            <w:hideMark/>
          </w:tcPr>
          <w:p w14:paraId="375C004C" w14:textId="3F1907CD" w:rsidR="00A921C9" w:rsidRPr="006D7647" w:rsidRDefault="00A921C9" w:rsidP="007C0A5E">
            <w:pPr>
              <w:keepNext/>
              <w:spacing w:after="0"/>
              <w:jc w:val="center"/>
              <w:rPr>
                <w:rFonts w:ascii="EC Square Sans Cond Pro" w:eastAsiaTheme="minorHAnsi" w:hAnsi="EC Square Sans Cond Pro" w:cs="Avenir Next LT Pro"/>
                <w:noProof/>
                <w:sz w:val="22"/>
                <w:szCs w:val="22"/>
                <w:lang w:val="en-IE" w:eastAsia="en-US"/>
              </w:rPr>
            </w:pPr>
            <w:r w:rsidRPr="006D7647">
              <w:rPr>
                <w:rFonts w:ascii="EC Square Sans Cond Pro" w:eastAsiaTheme="minorHAnsi" w:hAnsi="EC Square Sans Cond Pro" w:cs="Avenir Next LT Pro"/>
                <w:noProof/>
                <w:sz w:val="22"/>
                <w:szCs w:val="22"/>
                <w:lang w:val="en-IE" w:eastAsia="en-US"/>
              </w:rPr>
              <w:t>-15%</w:t>
            </w:r>
            <w:r w:rsidR="005379B1">
              <w:rPr>
                <w:rFonts w:ascii="EC Square Sans Cond Pro" w:eastAsiaTheme="minorHAnsi" w:hAnsi="EC Square Sans Cond Pro" w:cs="Avenir Next LT Pro"/>
                <w:noProof/>
                <w:sz w:val="22"/>
                <w:szCs w:val="22"/>
                <w:lang w:val="en-IE" w:eastAsia="en-US"/>
              </w:rPr>
              <w:t xml:space="preserve"> (-25% primary)</w:t>
            </w:r>
          </w:p>
        </w:tc>
      </w:tr>
      <w:tr w:rsidR="00A921C9" w:rsidRPr="000F2EB7" w14:paraId="01F98252" w14:textId="77777777">
        <w:tblPrEx>
          <w:tblBorders>
            <w:insideH w:val="none" w:sz="0" w:space="0" w:color="auto"/>
            <w:insideV w:val="none" w:sz="0" w:space="0" w:color="auto"/>
          </w:tblBorders>
        </w:tblPrEx>
        <w:trPr>
          <w:trHeight w:val="300"/>
        </w:trPr>
        <w:tc>
          <w:tcPr>
            <w:tcW w:w="2559" w:type="pct"/>
            <w:tcBorders>
              <w:top w:val="nil"/>
              <w:bottom w:val="nil"/>
              <w:right w:val="single" w:sz="4" w:space="0" w:color="auto"/>
            </w:tcBorders>
            <w:noWrap/>
            <w:hideMark/>
          </w:tcPr>
          <w:p w14:paraId="6EFF98E7" w14:textId="77777777" w:rsidR="00A921C9" w:rsidRPr="00C20019" w:rsidRDefault="00A921C9" w:rsidP="007C0A5E">
            <w:pPr>
              <w:keepNext/>
              <w:spacing w:after="0"/>
              <w:jc w:val="left"/>
              <w:rPr>
                <w:rFonts w:ascii="EC Square Sans Cond Pro" w:eastAsiaTheme="minorHAnsi" w:hAnsi="EC Square Sans Cond Pro" w:cs="Avenir Next LT Pro"/>
                <w:noProof/>
                <w:sz w:val="22"/>
                <w:szCs w:val="22"/>
                <w:lang w:val="fr-BE" w:eastAsia="en-US"/>
              </w:rPr>
            </w:pPr>
            <w:r w:rsidRPr="00C20019">
              <w:rPr>
                <w:rFonts w:ascii="EC Square Sans Cond Pro" w:eastAsiaTheme="minorHAnsi" w:hAnsi="EC Square Sans Cond Pro" w:cs="Avenir Next LT Pro"/>
                <w:noProof/>
                <w:sz w:val="22"/>
                <w:szCs w:val="22"/>
                <w:lang w:val="fr-BE" w:eastAsia="en-US"/>
              </w:rPr>
              <w:t xml:space="preserve">Aluminum </w:t>
            </w:r>
          </w:p>
        </w:tc>
        <w:tc>
          <w:tcPr>
            <w:tcW w:w="1131" w:type="pct"/>
            <w:tcBorders>
              <w:top w:val="nil"/>
              <w:left w:val="single" w:sz="4" w:space="0" w:color="auto"/>
              <w:bottom w:val="nil"/>
              <w:right w:val="single" w:sz="4" w:space="0" w:color="auto"/>
            </w:tcBorders>
            <w:noWrap/>
            <w:hideMark/>
          </w:tcPr>
          <w:p w14:paraId="5E99D73E" w14:textId="77777777" w:rsidR="00A921C9" w:rsidRPr="00C20019" w:rsidRDefault="00A921C9" w:rsidP="007C0A5E">
            <w:pPr>
              <w:keepNext/>
              <w:spacing w:after="0"/>
              <w:jc w:val="center"/>
              <w:rPr>
                <w:rFonts w:ascii="EC Square Sans Cond Pro" w:eastAsiaTheme="minorHAnsi" w:hAnsi="EC Square Sans Cond Pro" w:cs="Avenir Next LT Pro"/>
                <w:noProof/>
                <w:sz w:val="22"/>
                <w:szCs w:val="22"/>
                <w:lang w:val="fr-BE" w:eastAsia="en-US"/>
              </w:rPr>
            </w:pPr>
            <w:r w:rsidRPr="00C20019">
              <w:rPr>
                <w:rFonts w:ascii="EC Square Sans Cond Pro" w:eastAsiaTheme="minorHAnsi" w:hAnsi="EC Square Sans Cond Pro" w:cs="Avenir Next LT Pro"/>
                <w:noProof/>
                <w:sz w:val="22"/>
                <w:szCs w:val="22"/>
                <w:lang w:val="fr-BE" w:eastAsia="en-US"/>
              </w:rPr>
              <w:t>35%</w:t>
            </w:r>
          </w:p>
        </w:tc>
        <w:tc>
          <w:tcPr>
            <w:tcW w:w="1310" w:type="pct"/>
            <w:tcBorders>
              <w:top w:val="nil"/>
              <w:left w:val="single" w:sz="4" w:space="0" w:color="auto"/>
              <w:bottom w:val="nil"/>
              <w:right w:val="single" w:sz="4" w:space="0" w:color="auto"/>
            </w:tcBorders>
            <w:noWrap/>
            <w:hideMark/>
          </w:tcPr>
          <w:p w14:paraId="4EE35325" w14:textId="36B3FA26" w:rsidR="00A921C9" w:rsidRPr="006D7647" w:rsidRDefault="00280CFA" w:rsidP="007C0A5E">
            <w:pPr>
              <w:keepNext/>
              <w:spacing w:after="0"/>
              <w:jc w:val="center"/>
              <w:rPr>
                <w:rFonts w:ascii="EC Square Sans Cond Pro" w:eastAsiaTheme="minorHAnsi" w:hAnsi="EC Square Sans Cond Pro" w:cs="Avenir Next LT Pro"/>
                <w:noProof/>
                <w:sz w:val="22"/>
                <w:szCs w:val="22"/>
                <w:lang w:val="fr-BE" w:eastAsia="en-US"/>
              </w:rPr>
            </w:pPr>
            <w:r w:rsidRPr="006D7647">
              <w:rPr>
                <w:rFonts w:ascii="EC Square Sans Cond Pro" w:eastAsiaTheme="minorHAnsi" w:hAnsi="EC Square Sans Cond Pro" w:cs="Avenir Next LT Pro"/>
                <w:noProof/>
                <w:sz w:val="22"/>
                <w:szCs w:val="22"/>
                <w:lang w:val="fr-BE" w:eastAsia="en-US"/>
              </w:rPr>
              <w:t>-2</w:t>
            </w:r>
            <w:r w:rsidR="00A921C9" w:rsidRPr="006D7647">
              <w:rPr>
                <w:rFonts w:ascii="EC Square Sans Cond Pro" w:eastAsiaTheme="minorHAnsi" w:hAnsi="EC Square Sans Cond Pro" w:cs="Avenir Next LT Pro"/>
                <w:noProof/>
                <w:sz w:val="22"/>
                <w:szCs w:val="22"/>
                <w:lang w:val="fr-BE" w:eastAsia="en-US"/>
              </w:rPr>
              <w:t>0%</w:t>
            </w:r>
          </w:p>
        </w:tc>
      </w:tr>
      <w:tr w:rsidR="00A921C9" w:rsidRPr="000F2EB7" w14:paraId="236361B4" w14:textId="77777777">
        <w:tblPrEx>
          <w:tblBorders>
            <w:insideH w:val="none" w:sz="0" w:space="0" w:color="auto"/>
            <w:insideV w:val="none" w:sz="0" w:space="0" w:color="auto"/>
          </w:tblBorders>
        </w:tblPrEx>
        <w:trPr>
          <w:trHeight w:val="300"/>
        </w:trPr>
        <w:tc>
          <w:tcPr>
            <w:tcW w:w="2559" w:type="pct"/>
            <w:tcBorders>
              <w:top w:val="nil"/>
              <w:bottom w:val="nil"/>
              <w:right w:val="single" w:sz="4" w:space="0" w:color="auto"/>
            </w:tcBorders>
            <w:noWrap/>
            <w:hideMark/>
          </w:tcPr>
          <w:p w14:paraId="5C092907" w14:textId="77777777" w:rsidR="00A921C9" w:rsidRPr="00C20019" w:rsidRDefault="00A921C9" w:rsidP="007C0A5E">
            <w:pPr>
              <w:keepNext/>
              <w:spacing w:after="0"/>
              <w:jc w:val="left"/>
              <w:rPr>
                <w:rFonts w:ascii="EC Square Sans Cond Pro" w:eastAsiaTheme="minorHAnsi" w:hAnsi="EC Square Sans Cond Pro" w:cs="Avenir Next LT Pro"/>
                <w:noProof/>
                <w:sz w:val="22"/>
                <w:szCs w:val="22"/>
                <w:lang w:val="fr-BE" w:eastAsia="en-US"/>
              </w:rPr>
            </w:pPr>
            <w:r w:rsidRPr="00C20019">
              <w:rPr>
                <w:rFonts w:ascii="EC Square Sans Cond Pro" w:eastAsiaTheme="minorHAnsi" w:hAnsi="EC Square Sans Cond Pro" w:cs="Avenir Next LT Pro"/>
                <w:noProof/>
                <w:sz w:val="22"/>
                <w:szCs w:val="22"/>
                <w:lang w:val="fr-BE" w:eastAsia="en-US"/>
              </w:rPr>
              <w:t xml:space="preserve">Paper </w:t>
            </w:r>
          </w:p>
        </w:tc>
        <w:tc>
          <w:tcPr>
            <w:tcW w:w="1131" w:type="pct"/>
            <w:tcBorders>
              <w:top w:val="nil"/>
              <w:left w:val="single" w:sz="4" w:space="0" w:color="auto"/>
              <w:bottom w:val="nil"/>
              <w:right w:val="single" w:sz="4" w:space="0" w:color="auto"/>
            </w:tcBorders>
            <w:noWrap/>
            <w:hideMark/>
          </w:tcPr>
          <w:p w14:paraId="6677D5F2" w14:textId="30FEDA5F" w:rsidR="00A921C9" w:rsidRPr="00C20019" w:rsidRDefault="00F450B2" w:rsidP="007C0A5E">
            <w:pPr>
              <w:keepNext/>
              <w:spacing w:after="0"/>
              <w:jc w:val="center"/>
              <w:rPr>
                <w:rFonts w:ascii="EC Square Sans Cond Pro" w:eastAsiaTheme="minorHAnsi" w:hAnsi="EC Square Sans Cond Pro" w:cs="Avenir Next LT Pro"/>
                <w:noProof/>
                <w:sz w:val="22"/>
                <w:szCs w:val="22"/>
                <w:lang w:val="fr-BE" w:eastAsia="en-US"/>
              </w:rPr>
            </w:pPr>
            <w:r>
              <w:rPr>
                <w:rFonts w:ascii="EC Square Sans Cond Pro" w:eastAsiaTheme="minorHAnsi" w:hAnsi="EC Square Sans Cond Pro" w:cs="Avenir Next LT Pro"/>
                <w:noProof/>
                <w:sz w:val="22"/>
                <w:szCs w:val="22"/>
                <w:lang w:val="fr-BE" w:eastAsia="en-US"/>
              </w:rPr>
              <w:t>5</w:t>
            </w:r>
            <w:r w:rsidR="00A921C9" w:rsidRPr="00C20019">
              <w:rPr>
                <w:rFonts w:ascii="EC Square Sans Cond Pro" w:eastAsiaTheme="minorHAnsi" w:hAnsi="EC Square Sans Cond Pro" w:cs="Avenir Next LT Pro"/>
                <w:noProof/>
                <w:sz w:val="22"/>
                <w:szCs w:val="22"/>
                <w:lang w:val="fr-BE" w:eastAsia="en-US"/>
              </w:rPr>
              <w:t>%</w:t>
            </w:r>
          </w:p>
        </w:tc>
        <w:tc>
          <w:tcPr>
            <w:tcW w:w="1310" w:type="pct"/>
            <w:tcBorders>
              <w:top w:val="nil"/>
              <w:left w:val="single" w:sz="4" w:space="0" w:color="auto"/>
              <w:bottom w:val="nil"/>
              <w:right w:val="single" w:sz="4" w:space="0" w:color="auto"/>
            </w:tcBorders>
            <w:noWrap/>
            <w:hideMark/>
          </w:tcPr>
          <w:p w14:paraId="1E57A50B" w14:textId="414CE4B6" w:rsidR="00A921C9" w:rsidRPr="006D7647" w:rsidRDefault="00A921C9" w:rsidP="007C0A5E">
            <w:pPr>
              <w:keepNext/>
              <w:spacing w:after="0"/>
              <w:jc w:val="center"/>
              <w:rPr>
                <w:rFonts w:ascii="EC Square Sans Cond Pro" w:eastAsiaTheme="minorHAnsi" w:hAnsi="EC Square Sans Cond Pro" w:cs="Avenir Next LT Pro"/>
                <w:noProof/>
                <w:sz w:val="22"/>
                <w:szCs w:val="22"/>
                <w:lang w:val="fr-BE" w:eastAsia="en-US"/>
              </w:rPr>
            </w:pPr>
            <w:r w:rsidRPr="006D7647">
              <w:rPr>
                <w:rFonts w:ascii="EC Square Sans Cond Pro" w:eastAsiaTheme="minorHAnsi" w:hAnsi="EC Square Sans Cond Pro" w:cs="Avenir Next LT Pro"/>
                <w:noProof/>
                <w:sz w:val="22"/>
                <w:szCs w:val="22"/>
                <w:lang w:val="fr-BE" w:eastAsia="en-US"/>
              </w:rPr>
              <w:t>-</w:t>
            </w:r>
            <w:r w:rsidR="00280CFA" w:rsidRPr="006D7647">
              <w:rPr>
                <w:rFonts w:ascii="EC Square Sans Cond Pro" w:eastAsiaTheme="minorHAnsi" w:hAnsi="EC Square Sans Cond Pro" w:cs="Avenir Next LT Pro"/>
                <w:noProof/>
                <w:sz w:val="22"/>
                <w:szCs w:val="22"/>
                <w:lang w:val="fr-BE" w:eastAsia="en-US"/>
              </w:rPr>
              <w:t>20</w:t>
            </w:r>
            <w:r w:rsidRPr="006D7647">
              <w:rPr>
                <w:rFonts w:ascii="EC Square Sans Cond Pro" w:eastAsiaTheme="minorHAnsi" w:hAnsi="EC Square Sans Cond Pro" w:cs="Avenir Next LT Pro"/>
                <w:noProof/>
                <w:sz w:val="22"/>
                <w:szCs w:val="22"/>
                <w:lang w:val="fr-BE" w:eastAsia="en-US"/>
              </w:rPr>
              <w:t>%</w:t>
            </w:r>
            <w:r w:rsidR="005379B1">
              <w:rPr>
                <w:rFonts w:ascii="EC Square Sans Cond Pro" w:eastAsiaTheme="minorHAnsi" w:hAnsi="EC Square Sans Cond Pro" w:cs="Avenir Next LT Pro"/>
                <w:noProof/>
                <w:sz w:val="22"/>
                <w:szCs w:val="22"/>
                <w:lang w:val="fr-BE" w:eastAsia="en-US"/>
              </w:rPr>
              <w:t xml:space="preserve"> (-40% primary)</w:t>
            </w:r>
          </w:p>
        </w:tc>
      </w:tr>
      <w:tr w:rsidR="00A921C9" w:rsidRPr="000F2EB7" w14:paraId="44F63205" w14:textId="77777777">
        <w:tblPrEx>
          <w:tblBorders>
            <w:insideH w:val="none" w:sz="0" w:space="0" w:color="auto"/>
            <w:insideV w:val="none" w:sz="0" w:space="0" w:color="auto"/>
          </w:tblBorders>
        </w:tblPrEx>
        <w:trPr>
          <w:trHeight w:val="300"/>
        </w:trPr>
        <w:tc>
          <w:tcPr>
            <w:tcW w:w="2559" w:type="pct"/>
            <w:tcBorders>
              <w:top w:val="nil"/>
              <w:bottom w:val="nil"/>
              <w:right w:val="single" w:sz="4" w:space="0" w:color="auto"/>
            </w:tcBorders>
            <w:noWrap/>
            <w:hideMark/>
          </w:tcPr>
          <w:p w14:paraId="54F3E4E0" w14:textId="15E9E6B5" w:rsidR="00A921C9" w:rsidRPr="00C20019" w:rsidRDefault="00A921C9" w:rsidP="007C0A5E">
            <w:pPr>
              <w:keepNext/>
              <w:spacing w:after="0"/>
              <w:jc w:val="left"/>
              <w:rPr>
                <w:rFonts w:ascii="EC Square Sans Cond Pro" w:eastAsiaTheme="minorHAnsi" w:hAnsi="EC Square Sans Cond Pro" w:cs="Avenir Next LT Pro"/>
                <w:noProof/>
                <w:sz w:val="22"/>
                <w:szCs w:val="22"/>
                <w:lang w:val="fr-BE" w:eastAsia="en-US"/>
              </w:rPr>
            </w:pPr>
            <w:r w:rsidRPr="00C20019">
              <w:rPr>
                <w:rFonts w:ascii="EC Square Sans Cond Pro" w:eastAsiaTheme="minorHAnsi" w:hAnsi="EC Square Sans Cond Pro" w:cs="Avenir Next LT Pro"/>
                <w:noProof/>
                <w:sz w:val="22"/>
                <w:szCs w:val="22"/>
                <w:lang w:val="fr-BE" w:eastAsia="en-US"/>
              </w:rPr>
              <w:t xml:space="preserve">Cement </w:t>
            </w:r>
            <w:r w:rsidR="00280CFA">
              <w:rPr>
                <w:rFonts w:ascii="EC Square Sans Cond Pro" w:eastAsiaTheme="minorHAnsi" w:hAnsi="EC Square Sans Cond Pro" w:cs="Avenir Next LT Pro"/>
                <w:noProof/>
                <w:sz w:val="22"/>
                <w:szCs w:val="22"/>
                <w:lang w:val="fr-BE" w:eastAsia="en-US"/>
              </w:rPr>
              <w:t>(including c</w:t>
            </w:r>
            <w:r w:rsidRPr="00C20019">
              <w:rPr>
                <w:rFonts w:ascii="EC Square Sans Cond Pro" w:eastAsiaTheme="minorHAnsi" w:hAnsi="EC Square Sans Cond Pro" w:cs="Avenir Next LT Pro"/>
                <w:noProof/>
                <w:sz w:val="22"/>
                <w:szCs w:val="22"/>
                <w:lang w:val="fr-BE" w:eastAsia="en-US"/>
              </w:rPr>
              <w:t>linker</w:t>
            </w:r>
            <w:r w:rsidR="00280CFA">
              <w:rPr>
                <w:rFonts w:ascii="EC Square Sans Cond Pro" w:eastAsiaTheme="minorHAnsi" w:hAnsi="EC Square Sans Cond Pro" w:cs="Avenir Next LT Pro"/>
                <w:noProof/>
                <w:sz w:val="22"/>
                <w:szCs w:val="22"/>
                <w:lang w:val="fr-BE" w:eastAsia="en-US"/>
              </w:rPr>
              <w:t>)</w:t>
            </w:r>
            <w:r w:rsidRPr="00C20019">
              <w:rPr>
                <w:rFonts w:ascii="EC Square Sans Cond Pro" w:eastAsiaTheme="minorHAnsi" w:hAnsi="EC Square Sans Cond Pro" w:cs="Avenir Next LT Pro"/>
                <w:noProof/>
                <w:sz w:val="22"/>
                <w:szCs w:val="22"/>
                <w:lang w:val="fr-BE" w:eastAsia="en-US"/>
              </w:rPr>
              <w:t xml:space="preserve"> </w:t>
            </w:r>
          </w:p>
        </w:tc>
        <w:tc>
          <w:tcPr>
            <w:tcW w:w="1131" w:type="pct"/>
            <w:tcBorders>
              <w:top w:val="nil"/>
              <w:left w:val="single" w:sz="4" w:space="0" w:color="auto"/>
              <w:bottom w:val="nil"/>
              <w:right w:val="single" w:sz="4" w:space="0" w:color="auto"/>
            </w:tcBorders>
            <w:noWrap/>
            <w:hideMark/>
          </w:tcPr>
          <w:p w14:paraId="2BA04D28" w14:textId="4944601B" w:rsidR="00A921C9" w:rsidRPr="00C20019" w:rsidRDefault="00F8514C" w:rsidP="007C0A5E">
            <w:pPr>
              <w:keepNext/>
              <w:spacing w:after="0"/>
              <w:jc w:val="center"/>
              <w:rPr>
                <w:rFonts w:ascii="EC Square Sans Cond Pro" w:eastAsiaTheme="minorHAnsi" w:hAnsi="EC Square Sans Cond Pro" w:cs="Avenir Next LT Pro"/>
                <w:noProof/>
                <w:sz w:val="22"/>
                <w:szCs w:val="22"/>
                <w:lang w:val="fr-BE" w:eastAsia="en-US"/>
              </w:rPr>
            </w:pPr>
            <w:r>
              <w:rPr>
                <w:rFonts w:ascii="EC Square Sans Cond Pro" w:eastAsiaTheme="minorHAnsi" w:hAnsi="EC Square Sans Cond Pro" w:cs="Avenir Next LT Pro"/>
                <w:noProof/>
                <w:sz w:val="22"/>
                <w:szCs w:val="22"/>
                <w:lang w:val="fr-BE" w:eastAsia="en-US"/>
              </w:rPr>
              <w:t>20</w:t>
            </w:r>
            <w:r w:rsidR="00A921C9" w:rsidRPr="00C20019">
              <w:rPr>
                <w:rFonts w:ascii="EC Square Sans Cond Pro" w:eastAsiaTheme="minorHAnsi" w:hAnsi="EC Square Sans Cond Pro" w:cs="Avenir Next LT Pro"/>
                <w:noProof/>
                <w:sz w:val="22"/>
                <w:szCs w:val="22"/>
                <w:lang w:val="fr-BE" w:eastAsia="en-US"/>
              </w:rPr>
              <w:t>%</w:t>
            </w:r>
            <w:r w:rsidR="00F450B2">
              <w:rPr>
                <w:rFonts w:ascii="EC Square Sans Cond Pro" w:eastAsiaTheme="minorHAnsi" w:hAnsi="EC Square Sans Cond Pro" w:cs="Avenir Next LT Pro"/>
                <w:noProof/>
                <w:sz w:val="22"/>
                <w:szCs w:val="22"/>
                <w:lang w:val="fr-BE" w:eastAsia="en-US"/>
              </w:rPr>
              <w:t xml:space="preserve"> </w:t>
            </w:r>
          </w:p>
        </w:tc>
        <w:tc>
          <w:tcPr>
            <w:tcW w:w="1310" w:type="pct"/>
            <w:tcBorders>
              <w:top w:val="nil"/>
              <w:left w:val="single" w:sz="4" w:space="0" w:color="auto"/>
              <w:bottom w:val="nil"/>
              <w:right w:val="single" w:sz="4" w:space="0" w:color="auto"/>
            </w:tcBorders>
            <w:noWrap/>
            <w:hideMark/>
          </w:tcPr>
          <w:p w14:paraId="3FBCB19A" w14:textId="5F27C80B" w:rsidR="00A921C9" w:rsidRPr="006D7647" w:rsidRDefault="00A921C9" w:rsidP="007C0A5E">
            <w:pPr>
              <w:keepNext/>
              <w:spacing w:after="0"/>
              <w:jc w:val="center"/>
              <w:rPr>
                <w:rFonts w:ascii="EC Square Sans Cond Pro" w:eastAsiaTheme="minorHAnsi" w:hAnsi="EC Square Sans Cond Pro" w:cs="Avenir Next LT Pro"/>
                <w:noProof/>
                <w:sz w:val="22"/>
                <w:szCs w:val="22"/>
                <w:lang w:val="fr-BE" w:eastAsia="en-US"/>
              </w:rPr>
            </w:pPr>
            <w:r w:rsidRPr="006D7647">
              <w:rPr>
                <w:rFonts w:ascii="EC Square Sans Cond Pro" w:eastAsiaTheme="minorHAnsi" w:hAnsi="EC Square Sans Cond Pro" w:cs="Avenir Next LT Pro"/>
                <w:noProof/>
                <w:sz w:val="22"/>
                <w:szCs w:val="22"/>
                <w:lang w:val="fr-BE" w:eastAsia="en-US"/>
              </w:rPr>
              <w:t>-</w:t>
            </w:r>
            <w:r w:rsidR="00280CFA" w:rsidRPr="006D7647">
              <w:rPr>
                <w:rFonts w:ascii="EC Square Sans Cond Pro" w:eastAsiaTheme="minorHAnsi" w:hAnsi="EC Square Sans Cond Pro" w:cs="Avenir Next LT Pro"/>
                <w:noProof/>
                <w:sz w:val="22"/>
                <w:szCs w:val="22"/>
                <w:lang w:val="fr-BE" w:eastAsia="en-US"/>
              </w:rPr>
              <w:t>25</w:t>
            </w:r>
            <w:r w:rsidRPr="006D7647">
              <w:rPr>
                <w:rFonts w:ascii="EC Square Sans Cond Pro" w:eastAsiaTheme="minorHAnsi" w:hAnsi="EC Square Sans Cond Pro" w:cs="Avenir Next LT Pro"/>
                <w:noProof/>
                <w:sz w:val="22"/>
                <w:szCs w:val="22"/>
                <w:lang w:val="fr-BE" w:eastAsia="en-US"/>
              </w:rPr>
              <w:t>%</w:t>
            </w:r>
          </w:p>
        </w:tc>
      </w:tr>
      <w:tr w:rsidR="00A921C9" w:rsidRPr="000F2EB7" w14:paraId="0D1EBDA0" w14:textId="77777777">
        <w:tblPrEx>
          <w:tblBorders>
            <w:insideH w:val="none" w:sz="0" w:space="0" w:color="auto"/>
            <w:insideV w:val="none" w:sz="0" w:space="0" w:color="auto"/>
          </w:tblBorders>
        </w:tblPrEx>
        <w:trPr>
          <w:trHeight w:val="300"/>
        </w:trPr>
        <w:tc>
          <w:tcPr>
            <w:tcW w:w="2559" w:type="pct"/>
            <w:tcBorders>
              <w:top w:val="nil"/>
              <w:bottom w:val="single" w:sz="4" w:space="0" w:color="auto"/>
              <w:right w:val="single" w:sz="4" w:space="0" w:color="auto"/>
            </w:tcBorders>
            <w:noWrap/>
            <w:hideMark/>
          </w:tcPr>
          <w:p w14:paraId="33E9B1D3" w14:textId="77777777" w:rsidR="00A921C9" w:rsidRPr="00C20019" w:rsidRDefault="00A921C9" w:rsidP="007C0A5E">
            <w:pPr>
              <w:keepNext/>
              <w:spacing w:after="0"/>
              <w:jc w:val="left"/>
              <w:rPr>
                <w:rFonts w:ascii="EC Square Sans Cond Pro" w:eastAsiaTheme="minorHAnsi" w:hAnsi="EC Square Sans Cond Pro" w:cs="Avenir Next LT Pro"/>
                <w:noProof/>
                <w:sz w:val="22"/>
                <w:szCs w:val="22"/>
                <w:lang w:val="fr-BE" w:eastAsia="en-US"/>
              </w:rPr>
            </w:pPr>
            <w:r>
              <w:rPr>
                <w:rFonts w:ascii="EC Square Sans Cond Pro" w:eastAsiaTheme="minorHAnsi" w:hAnsi="EC Square Sans Cond Pro" w:cs="Avenir Next LT Pro"/>
                <w:noProof/>
                <w:sz w:val="22"/>
                <w:szCs w:val="22"/>
                <w:lang w:val="fr-BE" w:eastAsia="en-US"/>
              </w:rPr>
              <w:t>Petrochemicals and organic materials</w:t>
            </w:r>
          </w:p>
        </w:tc>
        <w:tc>
          <w:tcPr>
            <w:tcW w:w="1131" w:type="pct"/>
            <w:tcBorders>
              <w:top w:val="nil"/>
              <w:left w:val="single" w:sz="4" w:space="0" w:color="auto"/>
              <w:bottom w:val="single" w:sz="4" w:space="0" w:color="auto"/>
              <w:right w:val="single" w:sz="4" w:space="0" w:color="auto"/>
            </w:tcBorders>
            <w:noWrap/>
            <w:hideMark/>
          </w:tcPr>
          <w:p w14:paraId="2757B47C" w14:textId="6CA89367" w:rsidR="00A921C9" w:rsidRPr="00C20019" w:rsidRDefault="003A070F" w:rsidP="007C0A5E">
            <w:pPr>
              <w:keepNext/>
              <w:spacing w:after="0"/>
              <w:jc w:val="center"/>
              <w:rPr>
                <w:rFonts w:ascii="EC Square Sans Cond Pro" w:eastAsiaTheme="minorHAnsi" w:hAnsi="EC Square Sans Cond Pro" w:cs="Avenir Next LT Pro"/>
                <w:noProof/>
                <w:sz w:val="22"/>
                <w:szCs w:val="22"/>
                <w:lang w:val="fr-BE" w:eastAsia="en-US"/>
              </w:rPr>
            </w:pPr>
            <w:r>
              <w:rPr>
                <w:rFonts w:ascii="EC Square Sans Cond Pro" w:eastAsiaTheme="minorHAnsi" w:hAnsi="EC Square Sans Cond Pro" w:cs="Avenir Next LT Pro"/>
                <w:noProof/>
                <w:sz w:val="22"/>
                <w:szCs w:val="22"/>
                <w:lang w:val="fr-BE" w:eastAsia="en-US"/>
              </w:rPr>
              <w:t>2</w:t>
            </w:r>
            <w:r w:rsidR="00654417">
              <w:rPr>
                <w:rFonts w:ascii="EC Square Sans Cond Pro" w:eastAsiaTheme="minorHAnsi" w:hAnsi="EC Square Sans Cond Pro" w:cs="Avenir Next LT Pro"/>
                <w:noProof/>
                <w:sz w:val="22"/>
                <w:szCs w:val="22"/>
                <w:lang w:val="fr-BE" w:eastAsia="en-US"/>
              </w:rPr>
              <w:t>5</w:t>
            </w:r>
            <w:r w:rsidR="00A921C9" w:rsidRPr="00C20019">
              <w:rPr>
                <w:rFonts w:ascii="EC Square Sans Cond Pro" w:eastAsiaTheme="minorHAnsi" w:hAnsi="EC Square Sans Cond Pro" w:cs="Avenir Next LT Pro"/>
                <w:noProof/>
                <w:sz w:val="22"/>
                <w:szCs w:val="22"/>
                <w:lang w:val="fr-BE" w:eastAsia="en-US"/>
              </w:rPr>
              <w:t>%</w:t>
            </w:r>
            <w:r>
              <w:rPr>
                <w:rFonts w:ascii="EC Square Sans Cond Pro" w:eastAsiaTheme="minorHAnsi" w:hAnsi="EC Square Sans Cond Pro" w:cs="Avenir Next LT Pro"/>
                <w:noProof/>
                <w:sz w:val="22"/>
                <w:szCs w:val="22"/>
                <w:lang w:val="fr-BE" w:eastAsia="en-US"/>
              </w:rPr>
              <w:t>*</w:t>
            </w:r>
          </w:p>
        </w:tc>
        <w:tc>
          <w:tcPr>
            <w:tcW w:w="1310" w:type="pct"/>
            <w:tcBorders>
              <w:top w:val="nil"/>
              <w:left w:val="single" w:sz="4" w:space="0" w:color="auto"/>
              <w:bottom w:val="single" w:sz="4" w:space="0" w:color="auto"/>
              <w:right w:val="single" w:sz="4" w:space="0" w:color="auto"/>
            </w:tcBorders>
            <w:noWrap/>
            <w:hideMark/>
          </w:tcPr>
          <w:p w14:paraId="6AB3C1CD" w14:textId="77777777" w:rsidR="00A921C9" w:rsidRPr="006D7647" w:rsidRDefault="00A921C9" w:rsidP="007C0A5E">
            <w:pPr>
              <w:keepNext/>
              <w:spacing w:after="0"/>
              <w:jc w:val="center"/>
              <w:rPr>
                <w:rFonts w:ascii="EC Square Sans Cond Pro" w:eastAsiaTheme="minorHAnsi" w:hAnsi="EC Square Sans Cond Pro" w:cs="Avenir Next LT Pro"/>
                <w:noProof/>
                <w:sz w:val="22"/>
                <w:szCs w:val="22"/>
                <w:lang w:val="fr-BE" w:eastAsia="en-US"/>
              </w:rPr>
            </w:pPr>
            <w:r w:rsidRPr="006D7647">
              <w:rPr>
                <w:rFonts w:ascii="EC Square Sans Cond Pro" w:eastAsiaTheme="minorHAnsi" w:hAnsi="EC Square Sans Cond Pro" w:cs="Avenir Next LT Pro"/>
                <w:noProof/>
                <w:sz w:val="22"/>
                <w:szCs w:val="22"/>
                <w:lang w:val="fr-BE" w:eastAsia="en-US"/>
              </w:rPr>
              <w:t>-15%</w:t>
            </w:r>
          </w:p>
        </w:tc>
      </w:tr>
    </w:tbl>
    <w:bookmarkEnd w:id="267"/>
    <w:p w14:paraId="7820E56E" w14:textId="2CD6673C" w:rsidR="007476E4" w:rsidRPr="007476E4" w:rsidRDefault="003A070F" w:rsidP="007C0A5E">
      <w:pPr>
        <w:keepNext/>
        <w:rPr>
          <w:noProof/>
        </w:rPr>
      </w:pPr>
      <w:r w:rsidRPr="00B44488">
        <w:rPr>
          <w:rStyle w:val="CT-NOTEChar"/>
          <w:noProof/>
        </w:rPr>
        <w:t>Note: *</w:t>
      </w:r>
      <w:r>
        <w:rPr>
          <w:rStyle w:val="CT-NOTEChar"/>
          <w:noProof/>
        </w:rPr>
        <w:t xml:space="preserve">Value calculated with respect to the 2015-2020 average production. </w:t>
      </w:r>
    </w:p>
    <w:p w14:paraId="13385651" w14:textId="601DD3E0" w:rsidR="00350C25" w:rsidRPr="00630343" w:rsidRDefault="00182915" w:rsidP="00350C25">
      <w:pPr>
        <w:pStyle w:val="Heading3"/>
        <w:rPr>
          <w:noProof/>
        </w:rPr>
      </w:pPr>
      <w:bookmarkStart w:id="268" w:name="_Ref143330758"/>
      <w:bookmarkStart w:id="269" w:name="_Toc148605600"/>
      <w:bookmarkStart w:id="270" w:name="_Toc157692046"/>
      <w:r>
        <w:rPr>
          <w:noProof/>
        </w:rPr>
        <w:t>Final Energy Consumption</w:t>
      </w:r>
      <w:bookmarkEnd w:id="268"/>
      <w:bookmarkEnd w:id="269"/>
      <w:bookmarkEnd w:id="270"/>
    </w:p>
    <w:p w14:paraId="735426A8" w14:textId="5ACC8C14" w:rsidR="00350C25" w:rsidRDefault="00350C25" w:rsidP="00350C25">
      <w:pPr>
        <w:autoSpaceDE w:val="0"/>
        <w:autoSpaceDN w:val="0"/>
        <w:adjustRightInd w:val="0"/>
        <w:spacing w:after="0"/>
        <w:rPr>
          <w:rFonts w:cstheme="minorHAnsi"/>
          <w:noProof/>
        </w:rPr>
      </w:pPr>
      <w:r>
        <w:rPr>
          <w:rFonts w:cstheme="minorHAnsi"/>
          <w:noProof/>
        </w:rPr>
        <w:t xml:space="preserve">As result of </w:t>
      </w:r>
      <w:r w:rsidR="009C1C0A">
        <w:rPr>
          <w:rFonts w:cstheme="minorHAnsi"/>
          <w:noProof/>
        </w:rPr>
        <w:t xml:space="preserve">improved </w:t>
      </w:r>
      <w:r>
        <w:rPr>
          <w:rFonts w:cstheme="minorHAnsi"/>
          <w:noProof/>
        </w:rPr>
        <w:t>energy efficiency and changes in activity, energy consumption</w:t>
      </w:r>
      <w:r w:rsidR="00DD4B99" w:rsidRPr="00DD4B99">
        <w:rPr>
          <w:rFonts w:cstheme="minorHAnsi"/>
          <w:noProof/>
        </w:rPr>
        <w:t> (</w:t>
      </w:r>
      <w:r w:rsidR="00DD4B99">
        <w:rPr>
          <w:rStyle w:val="FootnoteReference"/>
          <w:rFonts w:cstheme="minorHAnsi"/>
          <w:noProof/>
        </w:rPr>
        <w:footnoteReference w:id="84"/>
      </w:r>
      <w:r w:rsidR="00DD4B99">
        <w:rPr>
          <w:rFonts w:cstheme="minorHAnsi"/>
          <w:noProof/>
        </w:rPr>
        <w:t>)</w:t>
      </w:r>
      <w:r>
        <w:rPr>
          <w:rFonts w:cstheme="minorHAnsi"/>
          <w:noProof/>
        </w:rPr>
        <w:t xml:space="preserve"> in the industrial sector decrease</w:t>
      </w:r>
      <w:r w:rsidR="00895345">
        <w:rPr>
          <w:rFonts w:cstheme="minorHAnsi"/>
          <w:noProof/>
        </w:rPr>
        <w:t>s</w:t>
      </w:r>
      <w:r>
        <w:rPr>
          <w:rFonts w:cstheme="minorHAnsi"/>
          <w:noProof/>
        </w:rPr>
        <w:t xml:space="preserve"> by around </w:t>
      </w:r>
      <w:r w:rsidRPr="007C0A5E">
        <w:rPr>
          <w:rFonts w:cstheme="minorHAnsi"/>
          <w:noProof/>
        </w:rPr>
        <w:t>20</w:t>
      </w:r>
      <w:r>
        <w:rPr>
          <w:rFonts w:cstheme="minorHAnsi"/>
          <w:noProof/>
        </w:rPr>
        <w:t>% in the 203</w:t>
      </w:r>
      <w:r w:rsidR="00E8125A">
        <w:rPr>
          <w:rFonts w:cstheme="minorHAnsi"/>
          <w:noProof/>
        </w:rPr>
        <w:t>1</w:t>
      </w:r>
      <w:r>
        <w:rPr>
          <w:rFonts w:cstheme="minorHAnsi"/>
          <w:noProof/>
        </w:rPr>
        <w:t>-2040 decade</w:t>
      </w:r>
      <w:r w:rsidR="007C0A5E">
        <w:rPr>
          <w:rFonts w:cstheme="minorHAnsi"/>
          <w:noProof/>
        </w:rPr>
        <w:t xml:space="preserve"> </w:t>
      </w:r>
      <w:r w:rsidRPr="007C0A5E">
        <w:rPr>
          <w:rFonts w:cstheme="minorHAnsi"/>
          <w:noProof/>
        </w:rPr>
        <w:t xml:space="preserve">and </w:t>
      </w:r>
      <w:r w:rsidR="00E8125A" w:rsidRPr="007C0A5E">
        <w:rPr>
          <w:rFonts w:cstheme="minorHAnsi"/>
          <w:noProof/>
        </w:rPr>
        <w:t>by 7 additional</w:t>
      </w:r>
      <w:r w:rsidR="00E8125A">
        <w:rPr>
          <w:rFonts w:cstheme="minorHAnsi"/>
          <w:noProof/>
        </w:rPr>
        <w:t xml:space="preserve"> percentage point</w:t>
      </w:r>
      <w:r>
        <w:rPr>
          <w:rFonts w:cstheme="minorHAnsi"/>
          <w:noProof/>
        </w:rPr>
        <w:t xml:space="preserve"> in </w:t>
      </w:r>
      <w:r w:rsidR="00E8125A">
        <w:rPr>
          <w:rFonts w:cstheme="minorHAnsi"/>
          <w:noProof/>
        </w:rPr>
        <w:t>2041-</w:t>
      </w:r>
      <w:r>
        <w:rPr>
          <w:rFonts w:cstheme="minorHAnsi"/>
          <w:noProof/>
        </w:rPr>
        <w:t xml:space="preserve">2050 </w:t>
      </w:r>
      <w:r w:rsidR="009C1C0A">
        <w:rPr>
          <w:rFonts w:cstheme="minorHAnsi"/>
          <w:noProof/>
        </w:rPr>
        <w:t xml:space="preserve">(vs 2030) </w:t>
      </w:r>
      <w:r w:rsidR="007C0A5E">
        <w:rPr>
          <w:rFonts w:cstheme="minorHAnsi"/>
          <w:noProof/>
        </w:rPr>
        <w:t>in the main scenarios</w:t>
      </w:r>
      <w:r>
        <w:rPr>
          <w:rFonts w:cstheme="minorHAnsi"/>
          <w:noProof/>
        </w:rPr>
        <w:t xml:space="preserve">, showing that </w:t>
      </w:r>
      <w:r w:rsidR="009C1C0A">
        <w:rPr>
          <w:rFonts w:cstheme="minorHAnsi"/>
          <w:noProof/>
        </w:rPr>
        <w:t xml:space="preserve">a significant part of the </w:t>
      </w:r>
      <w:r w:rsidR="00E8125A">
        <w:rPr>
          <w:rFonts w:cstheme="minorHAnsi"/>
          <w:noProof/>
        </w:rPr>
        <w:t xml:space="preserve">mitigation </w:t>
      </w:r>
      <w:r>
        <w:rPr>
          <w:rFonts w:cstheme="minorHAnsi"/>
          <w:noProof/>
        </w:rPr>
        <w:t xml:space="preserve">potential </w:t>
      </w:r>
      <w:r w:rsidR="00E8125A">
        <w:rPr>
          <w:rFonts w:cstheme="minorHAnsi"/>
          <w:noProof/>
        </w:rPr>
        <w:t>allocated to</w:t>
      </w:r>
      <w:r>
        <w:rPr>
          <w:rFonts w:cstheme="minorHAnsi"/>
          <w:noProof/>
        </w:rPr>
        <w:t xml:space="preserve"> efficiency improvement </w:t>
      </w:r>
      <w:r w:rsidR="00895345">
        <w:rPr>
          <w:rFonts w:cstheme="minorHAnsi"/>
          <w:noProof/>
        </w:rPr>
        <w:t>is</w:t>
      </w:r>
      <w:r>
        <w:rPr>
          <w:rFonts w:cstheme="minorHAnsi"/>
          <w:noProof/>
        </w:rPr>
        <w:t xml:space="preserve"> attained already </w:t>
      </w:r>
      <w:r w:rsidR="00E8125A">
        <w:rPr>
          <w:rFonts w:cstheme="minorHAnsi"/>
          <w:noProof/>
        </w:rPr>
        <w:t>by</w:t>
      </w:r>
      <w:r>
        <w:rPr>
          <w:rFonts w:cstheme="minorHAnsi"/>
          <w:noProof/>
        </w:rPr>
        <w:t xml:space="preserve"> 2040. LIFE shows for 2040 </w:t>
      </w:r>
      <w:r w:rsidR="00AB633C">
        <w:rPr>
          <w:rFonts w:cstheme="minorHAnsi"/>
          <w:noProof/>
        </w:rPr>
        <w:t>a nearly identical value as the other scenarios and for</w:t>
      </w:r>
      <w:r>
        <w:rPr>
          <w:rFonts w:cstheme="minorHAnsi"/>
          <w:noProof/>
        </w:rPr>
        <w:t xml:space="preserve"> 2050 a</w:t>
      </w:r>
      <w:r w:rsidR="007C0A5E">
        <w:rPr>
          <w:rFonts w:cstheme="minorHAnsi"/>
          <w:noProof/>
        </w:rPr>
        <w:t xml:space="preserve">n additional </w:t>
      </w:r>
      <w:r>
        <w:rPr>
          <w:rFonts w:cstheme="minorHAnsi"/>
          <w:noProof/>
        </w:rPr>
        <w:t xml:space="preserve">reduction </w:t>
      </w:r>
      <w:r w:rsidR="00E61D21">
        <w:rPr>
          <w:rFonts w:cstheme="minorHAnsi"/>
          <w:noProof/>
        </w:rPr>
        <w:t>of few</w:t>
      </w:r>
      <w:r w:rsidR="007C0A5E">
        <w:rPr>
          <w:rFonts w:cstheme="minorHAnsi"/>
          <w:noProof/>
        </w:rPr>
        <w:t xml:space="preserve"> percentage </w:t>
      </w:r>
      <w:r w:rsidR="007C0A5E" w:rsidRPr="000A2E6F">
        <w:rPr>
          <w:rFonts w:cstheme="minorHAnsi"/>
          <w:noProof/>
        </w:rPr>
        <w:t>points</w:t>
      </w:r>
      <w:r w:rsidR="009C1C0A" w:rsidRPr="000A2E6F">
        <w:rPr>
          <w:rFonts w:cstheme="minorHAnsi"/>
          <w:noProof/>
        </w:rPr>
        <w:t xml:space="preserve"> (</w:t>
      </w:r>
      <w:r w:rsidR="009C1C0A" w:rsidRPr="000A2E6F">
        <w:rPr>
          <w:rFonts w:cstheme="minorHAnsi"/>
          <w:noProof/>
        </w:rPr>
        <w:fldChar w:fldCharType="begin"/>
      </w:r>
      <w:r w:rsidR="009C1C0A" w:rsidRPr="009C1C0A">
        <w:rPr>
          <w:rFonts w:cstheme="minorHAnsi"/>
          <w:noProof/>
          <w:highlight w:val="yellow"/>
        </w:rPr>
        <w:instrText xml:space="preserve"> REF _Ref145689207 \h </w:instrText>
      </w:r>
      <w:r w:rsidR="009C1C0A">
        <w:rPr>
          <w:rFonts w:cstheme="minorHAnsi"/>
          <w:noProof/>
          <w:highlight w:val="yellow"/>
        </w:rPr>
        <w:instrText xml:space="preserve"> \* MERGEFORMAT </w:instrText>
      </w:r>
      <w:r w:rsidR="009C1C0A" w:rsidRPr="000A2E6F">
        <w:rPr>
          <w:rFonts w:cstheme="minorHAnsi"/>
          <w:noProof/>
        </w:rPr>
      </w:r>
      <w:r w:rsidR="009C1C0A" w:rsidRPr="000A2E6F">
        <w:rPr>
          <w:rFonts w:cstheme="minorHAnsi"/>
          <w:noProof/>
        </w:rPr>
        <w:fldChar w:fldCharType="separate"/>
      </w:r>
      <w:r w:rsidR="00170A3C">
        <w:rPr>
          <w:noProof/>
        </w:rPr>
        <w:t>Figure 49</w:t>
      </w:r>
      <w:r w:rsidR="009C1C0A" w:rsidRPr="000A2E6F">
        <w:rPr>
          <w:rFonts w:cstheme="minorHAnsi"/>
          <w:noProof/>
        </w:rPr>
        <w:fldChar w:fldCharType="end"/>
      </w:r>
      <w:r w:rsidR="009C1C0A" w:rsidRPr="000A2E6F">
        <w:rPr>
          <w:rFonts w:cstheme="minorHAnsi"/>
          <w:noProof/>
        </w:rPr>
        <w:t>)</w:t>
      </w:r>
      <w:r w:rsidR="007C0A5E" w:rsidRPr="000A2E6F">
        <w:rPr>
          <w:rFonts w:cstheme="minorHAnsi"/>
          <w:noProof/>
        </w:rPr>
        <w:t>.</w:t>
      </w:r>
      <w:r>
        <w:rPr>
          <w:rFonts w:cstheme="minorHAnsi"/>
          <w:noProof/>
        </w:rPr>
        <w:t xml:space="preserve">  </w:t>
      </w:r>
    </w:p>
    <w:p w14:paraId="629DF9B0" w14:textId="77777777" w:rsidR="007476E4" w:rsidRDefault="007476E4" w:rsidP="00350C25">
      <w:pPr>
        <w:autoSpaceDE w:val="0"/>
        <w:autoSpaceDN w:val="0"/>
        <w:adjustRightInd w:val="0"/>
        <w:spacing w:after="0"/>
        <w:rPr>
          <w:rFonts w:cstheme="minorHAnsi"/>
          <w:noProof/>
        </w:rPr>
      </w:pPr>
    </w:p>
    <w:p w14:paraId="63343C1C" w14:textId="528745C0" w:rsidR="00350C25" w:rsidRDefault="00350C25" w:rsidP="00DD4B99">
      <w:pPr>
        <w:pStyle w:val="Caption"/>
        <w:spacing w:after="0"/>
        <w:rPr>
          <w:noProof/>
        </w:rPr>
      </w:pPr>
      <w:bookmarkStart w:id="271" w:name="_Ref145689207"/>
      <w:bookmarkStart w:id="272" w:name="_Toc157679797"/>
      <w:r>
        <w:rPr>
          <w:noProof/>
        </w:rPr>
        <w:t xml:space="preserve">Figure </w:t>
      </w:r>
      <w:r>
        <w:rPr>
          <w:noProof/>
        </w:rPr>
        <w:fldChar w:fldCharType="begin"/>
      </w:r>
      <w:r>
        <w:rPr>
          <w:noProof/>
        </w:rPr>
        <w:instrText>SEQ Figure \* ARABIC</w:instrText>
      </w:r>
      <w:r>
        <w:rPr>
          <w:noProof/>
        </w:rPr>
        <w:fldChar w:fldCharType="separate"/>
      </w:r>
      <w:r w:rsidR="00170A3C">
        <w:rPr>
          <w:noProof/>
        </w:rPr>
        <w:t>49</w:t>
      </w:r>
      <w:r>
        <w:rPr>
          <w:noProof/>
        </w:rPr>
        <w:fldChar w:fldCharType="end"/>
      </w:r>
      <w:bookmarkEnd w:id="271"/>
      <w:r>
        <w:rPr>
          <w:noProof/>
        </w:rPr>
        <w:t>: Final Energy Consumption in industry by sector</w:t>
      </w:r>
      <w:bookmarkEnd w:id="272"/>
    </w:p>
    <w:p w14:paraId="65F2FC80" w14:textId="5E981292" w:rsidR="00350C25" w:rsidRPr="009B1267" w:rsidRDefault="00A846BB" w:rsidP="00B44488">
      <w:pPr>
        <w:keepNext/>
        <w:spacing w:after="0"/>
        <w:rPr>
          <w:rFonts w:cstheme="minorBidi"/>
          <w:noProof/>
        </w:rPr>
      </w:pPr>
      <w:r w:rsidRPr="00A846BB">
        <w:rPr>
          <w:noProof/>
          <w:lang w:eastAsia="en-GB"/>
        </w:rPr>
        <w:drawing>
          <wp:inline distT="0" distB="0" distL="0" distR="0" wp14:anchorId="7F888DC5" wp14:editId="125012A3">
            <wp:extent cx="5402580" cy="2514600"/>
            <wp:effectExtent l="0" t="0" r="762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402580" cy="2514600"/>
                    </a:xfrm>
                    <a:prstGeom prst="rect">
                      <a:avLst/>
                    </a:prstGeom>
                    <a:noFill/>
                    <a:ln>
                      <a:noFill/>
                    </a:ln>
                  </pic:spPr>
                </pic:pic>
              </a:graphicData>
            </a:graphic>
          </wp:inline>
        </w:drawing>
      </w:r>
      <w:r w:rsidR="00350C25" w:rsidRPr="009B1267">
        <w:rPr>
          <w:rFonts w:cstheme="minorHAnsi"/>
          <w:noProof/>
        </w:rPr>
        <w:br/>
      </w:r>
      <w:r w:rsidR="00350C25" w:rsidRPr="00B44488">
        <w:rPr>
          <w:rStyle w:val="CT-NOTEChar"/>
          <w:noProof/>
        </w:rPr>
        <w:t xml:space="preserve">Note: *The iron </w:t>
      </w:r>
      <w:r w:rsidR="00385829">
        <w:rPr>
          <w:rStyle w:val="CT-NOTEChar"/>
          <w:noProof/>
        </w:rPr>
        <w:t>and</w:t>
      </w:r>
      <w:r w:rsidR="00350C25" w:rsidRPr="00B44488">
        <w:rPr>
          <w:rStyle w:val="CT-NOTEChar"/>
          <w:noProof/>
        </w:rPr>
        <w:t xml:space="preserve"> steel sector includes blast furnaces.</w:t>
      </w:r>
    </w:p>
    <w:p w14:paraId="35CD9DC8" w14:textId="77777777" w:rsidR="00350C25" w:rsidRPr="000F0236" w:rsidRDefault="00350C25" w:rsidP="00923B34">
      <w:pPr>
        <w:pStyle w:val="CT-SOURCE"/>
        <w:rPr>
          <w:noProof/>
        </w:rPr>
      </w:pPr>
      <w:r w:rsidRPr="000F0236">
        <w:rPr>
          <w:noProof/>
        </w:rPr>
        <w:t>Source: PRIMES.</w:t>
      </w:r>
    </w:p>
    <w:p w14:paraId="32152760" w14:textId="77CD6138" w:rsidR="00350C25" w:rsidRPr="004E0312" w:rsidRDefault="00E8125A" w:rsidP="00B9712E">
      <w:pPr>
        <w:autoSpaceDE w:val="0"/>
        <w:autoSpaceDN w:val="0"/>
        <w:adjustRightInd w:val="0"/>
        <w:spacing w:after="0"/>
        <w:rPr>
          <w:rFonts w:cstheme="minorBidi"/>
          <w:noProof/>
        </w:rPr>
      </w:pPr>
      <w:r>
        <w:rPr>
          <w:noProof/>
        </w:rPr>
        <w:t xml:space="preserve">When looking at the share of the different fuels in </w:t>
      </w:r>
      <w:r w:rsidR="00DD4B99">
        <w:rPr>
          <w:noProof/>
        </w:rPr>
        <w:t xml:space="preserve">industry consumption </w:t>
      </w:r>
      <w:r w:rsidR="00DD4B99" w:rsidRPr="000A2E6F">
        <w:rPr>
          <w:noProof/>
        </w:rPr>
        <w:t>(</w:t>
      </w:r>
      <w:r w:rsidR="00DD4B99" w:rsidRPr="000A2E6F">
        <w:rPr>
          <w:noProof/>
        </w:rPr>
        <w:fldChar w:fldCharType="begin"/>
      </w:r>
      <w:r w:rsidR="00DD4B99" w:rsidRPr="007C0A5E">
        <w:rPr>
          <w:noProof/>
          <w:highlight w:val="yellow"/>
        </w:rPr>
        <w:instrText xml:space="preserve"> REF _Ref145688337 \h </w:instrText>
      </w:r>
      <w:r w:rsidR="007C0A5E">
        <w:rPr>
          <w:noProof/>
          <w:highlight w:val="yellow"/>
        </w:rPr>
        <w:instrText xml:space="preserve"> \* MERGEFORMAT </w:instrText>
      </w:r>
      <w:r w:rsidR="00DD4B99" w:rsidRPr="000A2E6F">
        <w:rPr>
          <w:noProof/>
        </w:rPr>
      </w:r>
      <w:r w:rsidR="00DD4B99" w:rsidRPr="000A2E6F">
        <w:rPr>
          <w:noProof/>
        </w:rPr>
        <w:fldChar w:fldCharType="separate"/>
      </w:r>
      <w:r w:rsidR="00170A3C">
        <w:rPr>
          <w:noProof/>
        </w:rPr>
        <w:t>Figure 50</w:t>
      </w:r>
      <w:r w:rsidR="00DD4B99" w:rsidRPr="000A2E6F">
        <w:rPr>
          <w:noProof/>
        </w:rPr>
        <w:fldChar w:fldCharType="end"/>
      </w:r>
      <w:r w:rsidR="00DD4B99">
        <w:rPr>
          <w:noProof/>
        </w:rPr>
        <w:t>)</w:t>
      </w:r>
      <w:r>
        <w:rPr>
          <w:noProof/>
        </w:rPr>
        <w:t>, t</w:t>
      </w:r>
      <w:r w:rsidR="00350C25">
        <w:rPr>
          <w:noProof/>
        </w:rPr>
        <w:t>he model shows an increasing electrification trend in all scenarios</w:t>
      </w:r>
      <w:r w:rsidR="00304D96">
        <w:rPr>
          <w:noProof/>
        </w:rPr>
        <w:t>. E</w:t>
      </w:r>
      <w:r>
        <w:rPr>
          <w:noProof/>
        </w:rPr>
        <w:t xml:space="preserve">lectrification share </w:t>
      </w:r>
      <w:r w:rsidR="00350C25" w:rsidRPr="007C0A5E">
        <w:rPr>
          <w:noProof/>
        </w:rPr>
        <w:t>reach</w:t>
      </w:r>
      <w:r w:rsidR="00304D96">
        <w:rPr>
          <w:noProof/>
        </w:rPr>
        <w:t>es</w:t>
      </w:r>
      <w:r w:rsidR="00350C25" w:rsidRPr="007C0A5E">
        <w:rPr>
          <w:noProof/>
        </w:rPr>
        <w:t xml:space="preserve"> around 48% in 2040 and 62% in 2050</w:t>
      </w:r>
      <w:r w:rsidR="00350C25">
        <w:rPr>
          <w:noProof/>
        </w:rPr>
        <w:t xml:space="preserve"> from around 21% in 2021 </w:t>
      </w:r>
      <w:r w:rsidR="00350C25" w:rsidRPr="00A90916">
        <w:rPr>
          <w:noProof/>
        </w:rPr>
        <w:t>(</w:t>
      </w:r>
      <w:r w:rsidR="00350C25">
        <w:rPr>
          <w:rStyle w:val="FootnoteReference"/>
          <w:noProof/>
        </w:rPr>
        <w:footnoteReference w:id="85"/>
      </w:r>
      <w:r w:rsidR="00350C25">
        <w:rPr>
          <w:noProof/>
        </w:rPr>
        <w:t>)</w:t>
      </w:r>
      <w:r w:rsidR="00770012">
        <w:rPr>
          <w:noProof/>
        </w:rPr>
        <w:t xml:space="preserve">, in line with </w:t>
      </w:r>
      <w:r w:rsidR="00304D96">
        <w:rPr>
          <w:noProof/>
        </w:rPr>
        <w:t xml:space="preserve">figures </w:t>
      </w:r>
      <w:r w:rsidR="00050B6E">
        <w:rPr>
          <w:noProof/>
        </w:rPr>
        <w:t xml:space="preserve">of around 50% in 2040 and </w:t>
      </w:r>
      <w:r w:rsidR="006E1119">
        <w:rPr>
          <w:noProof/>
        </w:rPr>
        <w:t>6</w:t>
      </w:r>
      <w:r w:rsidR="00050B6E">
        <w:rPr>
          <w:noProof/>
        </w:rPr>
        <w:t xml:space="preserve">0% in 2050 </w:t>
      </w:r>
      <w:r w:rsidR="00304D96">
        <w:rPr>
          <w:noProof/>
        </w:rPr>
        <w:t>projected by Eurelectric</w:t>
      </w:r>
      <w:r w:rsidR="008D4B7C" w:rsidRPr="008D4B7C">
        <w:rPr>
          <w:noProof/>
        </w:rPr>
        <w:t> (</w:t>
      </w:r>
      <w:r w:rsidR="008D4B7C">
        <w:rPr>
          <w:rStyle w:val="FootnoteReference"/>
          <w:noProof/>
        </w:rPr>
        <w:footnoteReference w:id="86"/>
      </w:r>
      <w:r w:rsidR="008D4B7C">
        <w:rPr>
          <w:noProof/>
        </w:rPr>
        <w:t>)</w:t>
      </w:r>
      <w:r w:rsidR="00050B6E">
        <w:rPr>
          <w:noProof/>
        </w:rPr>
        <w:t xml:space="preserve">. </w:t>
      </w:r>
      <w:r w:rsidR="00770012">
        <w:rPr>
          <w:noProof/>
        </w:rPr>
        <w:t xml:space="preserve">The model also shows </w:t>
      </w:r>
      <w:r w:rsidR="007C0A5E">
        <w:rPr>
          <w:noProof/>
        </w:rPr>
        <w:t xml:space="preserve">a progressively higher contribution of RFNBOs, representing around 1%, 10% and 18% </w:t>
      </w:r>
      <w:r w:rsidR="009C1C0A">
        <w:rPr>
          <w:noProof/>
        </w:rPr>
        <w:t xml:space="preserve">of FEC </w:t>
      </w:r>
      <w:r w:rsidR="007C0A5E">
        <w:rPr>
          <w:noProof/>
        </w:rPr>
        <w:t>in 2030, 2040 and 2050</w:t>
      </w:r>
      <w:r w:rsidR="00C05185">
        <w:rPr>
          <w:noProof/>
        </w:rPr>
        <w:t xml:space="preserve">. </w:t>
      </w:r>
      <w:r w:rsidR="00DD4B99">
        <w:rPr>
          <w:noProof/>
        </w:rPr>
        <w:t>Electrification</w:t>
      </w:r>
      <w:r w:rsidR="00350C25">
        <w:rPr>
          <w:noProof/>
        </w:rPr>
        <w:t xml:space="preserve"> share in </w:t>
      </w:r>
      <w:r w:rsidR="00DD4B99">
        <w:rPr>
          <w:noProof/>
        </w:rPr>
        <w:t>Final Energy Consumption (FEC-E)</w:t>
      </w:r>
      <w:r w:rsidR="00350C25">
        <w:rPr>
          <w:noProof/>
        </w:rPr>
        <w:t xml:space="preserve"> varies little </w:t>
      </w:r>
      <w:r w:rsidR="009C1C0A">
        <w:rPr>
          <w:noProof/>
        </w:rPr>
        <w:t>across</w:t>
      </w:r>
      <w:r w:rsidR="00350C25">
        <w:rPr>
          <w:noProof/>
        </w:rPr>
        <w:t xml:space="preserve"> scenarios, indicating that </w:t>
      </w:r>
      <w:r w:rsidR="009C1C0A">
        <w:rPr>
          <w:noProof/>
        </w:rPr>
        <w:t xml:space="preserve">it is based on a number of commercial technologies and consolidated trends </w:t>
      </w:r>
      <w:r w:rsidR="002E3589">
        <w:rPr>
          <w:noProof/>
        </w:rPr>
        <w:t xml:space="preserve">already available in </w:t>
      </w:r>
      <w:r w:rsidR="009C1C0A">
        <w:rPr>
          <w:noProof/>
        </w:rPr>
        <w:t xml:space="preserve">S1 and </w:t>
      </w:r>
      <w:r w:rsidR="002E3589">
        <w:rPr>
          <w:noProof/>
        </w:rPr>
        <w:t>deployed similarly across S1, S2 and S3</w:t>
      </w:r>
      <w:r w:rsidR="009C1C0A">
        <w:rPr>
          <w:noProof/>
        </w:rPr>
        <w:t xml:space="preserve">. </w:t>
      </w:r>
      <w:r w:rsidR="002E3589">
        <w:rPr>
          <w:noProof/>
        </w:rPr>
        <w:t>F</w:t>
      </w:r>
      <w:r w:rsidR="00350C25">
        <w:rPr>
          <w:noProof/>
        </w:rPr>
        <w:t>ossil fuels, in particular natural gas</w:t>
      </w:r>
      <w:r w:rsidR="00DD4B99">
        <w:rPr>
          <w:noProof/>
        </w:rPr>
        <w:t>,</w:t>
      </w:r>
      <w:r w:rsidR="00350C25">
        <w:rPr>
          <w:noProof/>
        </w:rPr>
        <w:t xml:space="preserve"> are replaced </w:t>
      </w:r>
      <w:r w:rsidR="00BD1073">
        <w:rPr>
          <w:noProof/>
        </w:rPr>
        <w:t>partially by bio</w:t>
      </w:r>
      <w:r w:rsidR="00DD4B99">
        <w:rPr>
          <w:noProof/>
        </w:rPr>
        <w:t>fuels</w:t>
      </w:r>
      <w:r w:rsidR="00BD1073">
        <w:rPr>
          <w:noProof/>
        </w:rPr>
        <w:t xml:space="preserve"> and mostly </w:t>
      </w:r>
      <w:r w:rsidR="00350C25">
        <w:rPr>
          <w:noProof/>
        </w:rPr>
        <w:t xml:space="preserve">by an increasing amount of </w:t>
      </w:r>
      <w:r w:rsidR="00DD4B99">
        <w:rPr>
          <w:noProof/>
        </w:rPr>
        <w:t>RFNBOs</w:t>
      </w:r>
      <w:r w:rsidR="00350C25">
        <w:rPr>
          <w:noProof/>
        </w:rPr>
        <w:t xml:space="preserve">, in particular </w:t>
      </w:r>
      <w:r w:rsidR="00DD4B99">
        <w:rPr>
          <w:noProof/>
        </w:rPr>
        <w:t>hydrogen,</w:t>
      </w:r>
      <w:r w:rsidR="00350C25">
        <w:rPr>
          <w:noProof/>
        </w:rPr>
        <w:t xml:space="preserve"> </w:t>
      </w:r>
      <w:r w:rsidR="00DD4B99">
        <w:rPr>
          <w:noProof/>
        </w:rPr>
        <w:t>wh</w:t>
      </w:r>
      <w:r w:rsidR="002E3589">
        <w:rPr>
          <w:noProof/>
        </w:rPr>
        <w:t xml:space="preserve">ose share in FEC-E </w:t>
      </w:r>
      <w:r w:rsidR="00DD4B99">
        <w:rPr>
          <w:noProof/>
        </w:rPr>
        <w:t>increase</w:t>
      </w:r>
      <w:r w:rsidR="002E3589">
        <w:rPr>
          <w:noProof/>
        </w:rPr>
        <w:t>s</w:t>
      </w:r>
      <w:r w:rsidR="00DD4B99">
        <w:rPr>
          <w:noProof/>
        </w:rPr>
        <w:t xml:space="preserve"> from 7% to</w:t>
      </w:r>
      <w:r w:rsidR="007C0A5E">
        <w:rPr>
          <w:noProof/>
        </w:rPr>
        <w:t xml:space="preserve"> 9% and </w:t>
      </w:r>
      <w:r w:rsidR="00DD4B99">
        <w:rPr>
          <w:noProof/>
        </w:rPr>
        <w:t>1</w:t>
      </w:r>
      <w:r w:rsidR="007C0A5E">
        <w:rPr>
          <w:noProof/>
        </w:rPr>
        <w:t>2</w:t>
      </w:r>
      <w:r w:rsidR="00DD4B99">
        <w:rPr>
          <w:noProof/>
        </w:rPr>
        <w:t xml:space="preserve">% </w:t>
      </w:r>
      <w:r w:rsidR="00350C25">
        <w:rPr>
          <w:noProof/>
        </w:rPr>
        <w:t xml:space="preserve">when </w:t>
      </w:r>
      <w:r w:rsidR="00BD1073">
        <w:rPr>
          <w:noProof/>
        </w:rPr>
        <w:t>moving</w:t>
      </w:r>
      <w:r w:rsidR="00350C25">
        <w:rPr>
          <w:noProof/>
        </w:rPr>
        <w:t xml:space="preserve"> from S1 to</w:t>
      </w:r>
      <w:r w:rsidR="007C0A5E">
        <w:rPr>
          <w:noProof/>
        </w:rPr>
        <w:t xml:space="preserve"> S2 and </w:t>
      </w:r>
      <w:r w:rsidR="00350C25">
        <w:rPr>
          <w:noProof/>
        </w:rPr>
        <w:t>S3</w:t>
      </w:r>
      <w:r w:rsidR="004A02C9">
        <w:rPr>
          <w:noProof/>
        </w:rPr>
        <w:t xml:space="preserve"> (Eurelectric shows</w:t>
      </w:r>
      <w:r w:rsidR="00807C84">
        <w:rPr>
          <w:noProof/>
        </w:rPr>
        <w:t xml:space="preserve"> hydrogen shares of around 10-15%</w:t>
      </w:r>
      <w:r w:rsidR="00807C84" w:rsidRPr="00807C84">
        <w:rPr>
          <w:noProof/>
        </w:rPr>
        <w:t> (</w:t>
      </w:r>
      <w:r w:rsidR="00807C84">
        <w:rPr>
          <w:rStyle w:val="FootnoteReference"/>
          <w:noProof/>
        </w:rPr>
        <w:footnoteReference w:id="87"/>
      </w:r>
      <w:r w:rsidR="00807C84">
        <w:rPr>
          <w:noProof/>
        </w:rPr>
        <w:t>)</w:t>
      </w:r>
      <w:r w:rsidR="006E1119">
        <w:rPr>
          <w:noProof/>
        </w:rPr>
        <w:t>)</w:t>
      </w:r>
      <w:r w:rsidR="00350C25">
        <w:rPr>
          <w:noProof/>
        </w:rPr>
        <w:t xml:space="preserve">. </w:t>
      </w:r>
      <w:r w:rsidR="000639D9">
        <w:rPr>
          <w:noProof/>
        </w:rPr>
        <w:t>LIFE shows a use of RFNBOs in line with S2 and more moderate compared to S3: additional emission reductions in sectors outside energy and industry</w:t>
      </w:r>
      <w:r w:rsidR="005C31D6">
        <w:rPr>
          <w:noProof/>
        </w:rPr>
        <w:t xml:space="preserve"> slightly delays the need for extensive deployment of e-fuels. </w:t>
      </w:r>
      <w:r w:rsidR="00F60D66">
        <w:rPr>
          <w:noProof/>
        </w:rPr>
        <w:t xml:space="preserve">In 2050, </w:t>
      </w:r>
      <w:r w:rsidR="00EE3C03">
        <w:rPr>
          <w:noProof/>
        </w:rPr>
        <w:t>almost all fossil fuel</w:t>
      </w:r>
      <w:r w:rsidR="00DD4B99">
        <w:rPr>
          <w:noProof/>
        </w:rPr>
        <w:t>s</w:t>
      </w:r>
      <w:r w:rsidR="00EE3C03">
        <w:rPr>
          <w:noProof/>
        </w:rPr>
        <w:t xml:space="preserve"> disappear</w:t>
      </w:r>
      <w:r w:rsidR="00BF2FD8">
        <w:rPr>
          <w:noProof/>
        </w:rPr>
        <w:t xml:space="preserve">, </w:t>
      </w:r>
      <w:r w:rsidR="005B76B2">
        <w:rPr>
          <w:noProof/>
        </w:rPr>
        <w:t>as result of</w:t>
      </w:r>
      <w:r w:rsidR="00D1264F">
        <w:rPr>
          <w:noProof/>
        </w:rPr>
        <w:t xml:space="preserve"> </w:t>
      </w:r>
      <w:r w:rsidR="00E61ED7">
        <w:rPr>
          <w:noProof/>
        </w:rPr>
        <w:t>complete fuel switch</w:t>
      </w:r>
      <w:r w:rsidR="00865FF3">
        <w:rPr>
          <w:noProof/>
        </w:rPr>
        <w:t xml:space="preserve"> in furnaces</w:t>
      </w:r>
      <w:r w:rsidR="002E52CE">
        <w:rPr>
          <w:noProof/>
        </w:rPr>
        <w:t xml:space="preserve"> and introduction of </w:t>
      </w:r>
      <w:r w:rsidR="008A1A80">
        <w:rPr>
          <w:noProof/>
        </w:rPr>
        <w:t>alternative</w:t>
      </w:r>
      <w:r w:rsidR="002E52CE">
        <w:rPr>
          <w:noProof/>
        </w:rPr>
        <w:t xml:space="preserve"> </w:t>
      </w:r>
      <w:r w:rsidR="008A1A80">
        <w:rPr>
          <w:noProof/>
        </w:rPr>
        <w:t>heating processes</w:t>
      </w:r>
      <w:r w:rsidR="00DE2B9D">
        <w:rPr>
          <w:noProof/>
        </w:rPr>
        <w:t>.</w:t>
      </w:r>
    </w:p>
    <w:p w14:paraId="70945428" w14:textId="5EC7CD69" w:rsidR="00350C25" w:rsidRDefault="00350C25" w:rsidP="00DD4B99">
      <w:pPr>
        <w:pStyle w:val="Caption"/>
        <w:spacing w:after="0"/>
        <w:rPr>
          <w:noProof/>
        </w:rPr>
      </w:pPr>
      <w:bookmarkStart w:id="273" w:name="_Ref145688337"/>
      <w:bookmarkStart w:id="274" w:name="_Toc157679798"/>
      <w:r>
        <w:rPr>
          <w:noProof/>
        </w:rPr>
        <w:t xml:space="preserve">Figure </w:t>
      </w:r>
      <w:r>
        <w:rPr>
          <w:noProof/>
        </w:rPr>
        <w:fldChar w:fldCharType="begin"/>
      </w:r>
      <w:r>
        <w:rPr>
          <w:noProof/>
        </w:rPr>
        <w:instrText>SEQ Figure \* ARABIC</w:instrText>
      </w:r>
      <w:r>
        <w:rPr>
          <w:noProof/>
        </w:rPr>
        <w:fldChar w:fldCharType="separate"/>
      </w:r>
      <w:r w:rsidR="00170A3C">
        <w:rPr>
          <w:noProof/>
        </w:rPr>
        <w:t>50</w:t>
      </w:r>
      <w:r>
        <w:rPr>
          <w:noProof/>
        </w:rPr>
        <w:fldChar w:fldCharType="end"/>
      </w:r>
      <w:bookmarkEnd w:id="273"/>
      <w:r>
        <w:rPr>
          <w:noProof/>
        </w:rPr>
        <w:t xml:space="preserve">: </w:t>
      </w:r>
      <w:r w:rsidRPr="00CE5F2E">
        <w:rPr>
          <w:noProof/>
        </w:rPr>
        <w:t xml:space="preserve">Energy Consumption in </w:t>
      </w:r>
      <w:r w:rsidR="00403530">
        <w:rPr>
          <w:noProof/>
        </w:rPr>
        <w:t>i</w:t>
      </w:r>
      <w:r w:rsidRPr="00CE5F2E">
        <w:rPr>
          <w:noProof/>
        </w:rPr>
        <w:t xml:space="preserve">ndustry by </w:t>
      </w:r>
      <w:r w:rsidR="00403530">
        <w:rPr>
          <w:noProof/>
        </w:rPr>
        <w:t>f</w:t>
      </w:r>
      <w:r w:rsidRPr="00CE5F2E">
        <w:rPr>
          <w:noProof/>
        </w:rPr>
        <w:t>uel</w:t>
      </w:r>
      <w:bookmarkEnd w:id="274"/>
    </w:p>
    <w:p w14:paraId="056D6AE9" w14:textId="3068ACCC" w:rsidR="00350C25" w:rsidRDefault="00FB004B" w:rsidP="003E1E15">
      <w:pPr>
        <w:pStyle w:val="Text3"/>
        <w:keepNext/>
        <w:spacing w:after="0"/>
        <w:ind w:left="0" w:hanging="709"/>
        <w:jc w:val="center"/>
        <w:rPr>
          <w:noProof/>
        </w:rPr>
      </w:pPr>
      <w:r w:rsidRPr="00FB004B">
        <w:rPr>
          <w:noProof/>
          <w:lang w:eastAsia="en-GB"/>
        </w:rPr>
        <w:drawing>
          <wp:inline distT="0" distB="0" distL="0" distR="0" wp14:anchorId="51892986" wp14:editId="388A659B">
            <wp:extent cx="5402580" cy="2552700"/>
            <wp:effectExtent l="0" t="0" r="762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402580" cy="2552700"/>
                    </a:xfrm>
                    <a:prstGeom prst="rect">
                      <a:avLst/>
                    </a:prstGeom>
                    <a:noFill/>
                    <a:ln>
                      <a:noFill/>
                    </a:ln>
                  </pic:spPr>
                </pic:pic>
              </a:graphicData>
            </a:graphic>
          </wp:inline>
        </w:drawing>
      </w:r>
    </w:p>
    <w:p w14:paraId="51AB212B" w14:textId="1C5EAA6E" w:rsidR="00350C25" w:rsidRPr="008C0BF6" w:rsidRDefault="00350C25" w:rsidP="003E1E15">
      <w:pPr>
        <w:pStyle w:val="CT-NOTE"/>
        <w:rPr>
          <w:i w:val="0"/>
          <w:noProof/>
          <w:lang w:val="en-GB"/>
        </w:rPr>
      </w:pPr>
      <w:r w:rsidRPr="00BC0BA2">
        <w:rPr>
          <w:noProof/>
        </w:rPr>
        <w:t>Note: The energy consumption includes the final energy consumption plus the consumption in refineries.  *Natural gas including manufactured gas (coke-oven gas, blast furnace gas &amp; gasworks gas), but not e-gas. **Bioenergy including bio-solids, biofuels, biogas (including waste gas and biomethane) and solid waste.</w:t>
      </w:r>
      <w:r w:rsidR="008C0BF6">
        <w:rPr>
          <w:noProof/>
        </w:rPr>
        <w:t xml:space="preserve"> </w:t>
      </w:r>
    </w:p>
    <w:p w14:paraId="2D245520" w14:textId="77777777" w:rsidR="00350C25" w:rsidRPr="00C70331" w:rsidRDefault="00350C25" w:rsidP="00923B34">
      <w:pPr>
        <w:pStyle w:val="CT-SOURCE"/>
        <w:rPr>
          <w:i w:val="0"/>
          <w:noProof/>
        </w:rPr>
      </w:pPr>
      <w:r w:rsidRPr="00C70331">
        <w:rPr>
          <w:noProof/>
        </w:rPr>
        <w:t>Source: PRIMES.</w:t>
      </w:r>
    </w:p>
    <w:p w14:paraId="3B56770C" w14:textId="5281D3C9" w:rsidR="00350C25" w:rsidRDefault="00182915" w:rsidP="00350C25">
      <w:pPr>
        <w:pStyle w:val="Heading3"/>
        <w:rPr>
          <w:noProof/>
        </w:rPr>
      </w:pPr>
      <w:bookmarkStart w:id="275" w:name="_Ref146096027"/>
      <w:bookmarkStart w:id="276" w:name="_Toc148605601"/>
      <w:bookmarkStart w:id="277" w:name="_Toc157692047"/>
      <w:r>
        <w:rPr>
          <w:noProof/>
        </w:rPr>
        <w:t xml:space="preserve">Final </w:t>
      </w:r>
      <w:r w:rsidR="007C20B4">
        <w:rPr>
          <w:noProof/>
        </w:rPr>
        <w:t>N</w:t>
      </w:r>
      <w:r>
        <w:rPr>
          <w:noProof/>
        </w:rPr>
        <w:t>on-</w:t>
      </w:r>
      <w:r w:rsidR="007C20B4">
        <w:rPr>
          <w:noProof/>
        </w:rPr>
        <w:t>E</w:t>
      </w:r>
      <w:r>
        <w:rPr>
          <w:noProof/>
        </w:rPr>
        <w:t xml:space="preserve">nergy </w:t>
      </w:r>
      <w:r w:rsidR="007C20B4">
        <w:rPr>
          <w:noProof/>
        </w:rPr>
        <w:t>C</w:t>
      </w:r>
      <w:r>
        <w:rPr>
          <w:noProof/>
        </w:rPr>
        <w:t>onsumption</w:t>
      </w:r>
      <w:bookmarkEnd w:id="275"/>
      <w:bookmarkEnd w:id="276"/>
      <w:bookmarkEnd w:id="277"/>
    </w:p>
    <w:p w14:paraId="0CF77AC2" w14:textId="7AC84006" w:rsidR="00DC3D91" w:rsidRDefault="002E3589" w:rsidP="00350C25">
      <w:pPr>
        <w:pStyle w:val="Text3"/>
        <w:ind w:left="0" w:firstLine="0"/>
        <w:rPr>
          <w:rFonts w:cstheme="minorBidi"/>
          <w:noProof/>
          <w:lang w:val="en-IE"/>
        </w:rPr>
      </w:pPr>
      <w:r>
        <w:rPr>
          <w:rFonts w:cstheme="minorBidi"/>
          <w:noProof/>
          <w:lang w:val="en-IE"/>
        </w:rPr>
        <w:fldChar w:fldCharType="begin"/>
      </w:r>
      <w:r>
        <w:rPr>
          <w:rFonts w:cstheme="minorBidi"/>
          <w:noProof/>
          <w:lang w:val="en-IE"/>
        </w:rPr>
        <w:instrText xml:space="preserve"> REF _Ref146548165 \h </w:instrText>
      </w:r>
      <w:r>
        <w:rPr>
          <w:rFonts w:cstheme="minorBidi"/>
          <w:noProof/>
          <w:lang w:val="en-IE"/>
        </w:rPr>
      </w:r>
      <w:r>
        <w:rPr>
          <w:rFonts w:cstheme="minorBidi"/>
          <w:noProof/>
          <w:lang w:val="en-IE"/>
        </w:rPr>
        <w:fldChar w:fldCharType="separate"/>
      </w:r>
      <w:r w:rsidR="00170A3C">
        <w:rPr>
          <w:noProof/>
        </w:rPr>
        <w:t>Figure 51</w:t>
      </w:r>
      <w:r>
        <w:rPr>
          <w:rFonts w:cstheme="minorBidi"/>
          <w:noProof/>
          <w:lang w:val="en-IE"/>
        </w:rPr>
        <w:fldChar w:fldCharType="end"/>
      </w:r>
      <w:r>
        <w:rPr>
          <w:rFonts w:cstheme="minorBidi"/>
          <w:noProof/>
          <w:lang w:val="en-IE"/>
        </w:rPr>
        <w:t xml:space="preserve"> </w:t>
      </w:r>
      <w:r w:rsidR="00DC3D91">
        <w:rPr>
          <w:rFonts w:cstheme="minorBidi"/>
          <w:noProof/>
          <w:lang w:val="en-IE"/>
        </w:rPr>
        <w:t xml:space="preserve">shows the evolution </w:t>
      </w:r>
      <w:r w:rsidR="005B5EA7">
        <w:rPr>
          <w:rFonts w:cstheme="minorBidi"/>
          <w:noProof/>
          <w:lang w:val="en-IE"/>
        </w:rPr>
        <w:t>non-energy consumption in industry</w:t>
      </w:r>
      <w:r w:rsidR="003D7614">
        <w:rPr>
          <w:rFonts w:cstheme="minorBidi"/>
          <w:noProof/>
          <w:lang w:val="en-IE"/>
        </w:rPr>
        <w:t>, rep</w:t>
      </w:r>
      <w:r w:rsidR="005B2124">
        <w:rPr>
          <w:rFonts w:cstheme="minorBidi"/>
          <w:noProof/>
          <w:lang w:val="en-IE"/>
        </w:rPr>
        <w:t xml:space="preserve">resenting fuels that are used as raw materials (for instance </w:t>
      </w:r>
      <w:r w:rsidR="00460E41">
        <w:rPr>
          <w:rFonts w:cstheme="minorBidi"/>
          <w:noProof/>
          <w:lang w:val="en-IE"/>
        </w:rPr>
        <w:t xml:space="preserve">oil transformed in plastics or bitumen used in road construction). </w:t>
      </w:r>
      <w:r>
        <w:rPr>
          <w:rFonts w:cstheme="minorBidi"/>
          <w:noProof/>
          <w:lang w:val="en-IE"/>
        </w:rPr>
        <w:t xml:space="preserve">In 2031-2040, </w:t>
      </w:r>
      <w:r w:rsidR="004E185A">
        <w:rPr>
          <w:rFonts w:cstheme="minorBidi"/>
          <w:noProof/>
          <w:lang w:val="en-IE"/>
        </w:rPr>
        <w:t xml:space="preserve">total consumption </w:t>
      </w:r>
      <w:r w:rsidR="009B765F">
        <w:rPr>
          <w:rFonts w:cstheme="minorBidi"/>
          <w:noProof/>
          <w:lang w:val="en-IE"/>
        </w:rPr>
        <w:t xml:space="preserve">is maintained </w:t>
      </w:r>
      <w:r>
        <w:rPr>
          <w:rFonts w:cstheme="minorBidi"/>
          <w:noProof/>
          <w:lang w:val="en-IE"/>
        </w:rPr>
        <w:t xml:space="preserve">around 2030 levels, </w:t>
      </w:r>
      <w:r w:rsidR="009B765F">
        <w:rPr>
          <w:rFonts w:cstheme="minorBidi"/>
          <w:noProof/>
          <w:lang w:val="en-IE"/>
        </w:rPr>
        <w:t xml:space="preserve">while </w:t>
      </w:r>
      <w:r w:rsidR="00990E9E">
        <w:rPr>
          <w:rFonts w:cstheme="minorBidi"/>
          <w:noProof/>
          <w:lang w:val="en-IE"/>
        </w:rPr>
        <w:t xml:space="preserve">significant changes occur in </w:t>
      </w:r>
      <w:r w:rsidR="008A6A1A">
        <w:rPr>
          <w:rFonts w:cstheme="minorBidi"/>
          <w:noProof/>
          <w:lang w:val="en-IE"/>
        </w:rPr>
        <w:t>2041</w:t>
      </w:r>
      <w:r w:rsidR="00990E9E">
        <w:rPr>
          <w:rFonts w:cstheme="minorBidi"/>
          <w:noProof/>
          <w:lang w:val="en-IE"/>
        </w:rPr>
        <w:t>-</w:t>
      </w:r>
      <w:r w:rsidR="008A6A1A">
        <w:rPr>
          <w:rFonts w:cstheme="minorBidi"/>
          <w:noProof/>
          <w:lang w:val="en-IE"/>
        </w:rPr>
        <w:t>2050</w:t>
      </w:r>
      <w:r w:rsidR="00990E9E">
        <w:rPr>
          <w:rFonts w:cstheme="minorBidi"/>
          <w:noProof/>
          <w:lang w:val="en-IE"/>
        </w:rPr>
        <w:t>:</w:t>
      </w:r>
      <w:r w:rsidR="00FC5E55">
        <w:rPr>
          <w:rFonts w:cstheme="minorBidi"/>
          <w:noProof/>
          <w:lang w:val="en-IE"/>
        </w:rPr>
        <w:t xml:space="preserve"> fossil fuel</w:t>
      </w:r>
      <w:r w:rsidR="00367C0C">
        <w:rPr>
          <w:rFonts w:cstheme="minorBidi"/>
          <w:noProof/>
          <w:lang w:val="en-IE"/>
        </w:rPr>
        <w:t>s which represent</w:t>
      </w:r>
      <w:r w:rsidR="006E02F2">
        <w:rPr>
          <w:rFonts w:cstheme="minorBidi"/>
          <w:noProof/>
          <w:lang w:val="en-IE"/>
        </w:rPr>
        <w:t>s</w:t>
      </w:r>
      <w:r w:rsidR="00367C0C">
        <w:rPr>
          <w:rFonts w:cstheme="minorBidi"/>
          <w:noProof/>
          <w:lang w:val="en-IE"/>
        </w:rPr>
        <w:t xml:space="preserve"> </w:t>
      </w:r>
      <w:r w:rsidR="0044141E">
        <w:rPr>
          <w:rFonts w:cstheme="minorBidi"/>
          <w:noProof/>
          <w:lang w:val="en-IE"/>
        </w:rPr>
        <w:t>around</w:t>
      </w:r>
      <w:r w:rsidR="00367C0C">
        <w:rPr>
          <w:rFonts w:cstheme="minorBidi"/>
          <w:noProof/>
          <w:lang w:val="en-IE"/>
        </w:rPr>
        <w:t xml:space="preserve"> 90% of the</w:t>
      </w:r>
      <w:r w:rsidR="006E02F2">
        <w:rPr>
          <w:rFonts w:cstheme="minorBidi"/>
          <w:noProof/>
          <w:lang w:val="en-IE"/>
        </w:rPr>
        <w:t xml:space="preserve"> industrial feedstock </w:t>
      </w:r>
      <w:r w:rsidR="00A51704">
        <w:rPr>
          <w:rFonts w:cstheme="minorBidi"/>
          <w:noProof/>
          <w:lang w:val="en-IE"/>
        </w:rPr>
        <w:t xml:space="preserve">until 2040 </w:t>
      </w:r>
      <w:r w:rsidR="006E02F2">
        <w:rPr>
          <w:rFonts w:cstheme="minorBidi"/>
          <w:noProof/>
          <w:lang w:val="en-IE"/>
        </w:rPr>
        <w:t xml:space="preserve">decrease </w:t>
      </w:r>
      <w:r w:rsidR="006E02F2" w:rsidRPr="0044141E">
        <w:rPr>
          <w:rFonts w:cstheme="minorBidi"/>
          <w:noProof/>
          <w:lang w:val="en-IE"/>
        </w:rPr>
        <w:t xml:space="preserve">by 15 Mtoe and are </w:t>
      </w:r>
      <w:r w:rsidR="0044141E" w:rsidRPr="0044141E">
        <w:rPr>
          <w:rFonts w:cstheme="minorBidi"/>
          <w:noProof/>
          <w:lang w:val="en-IE"/>
        </w:rPr>
        <w:t xml:space="preserve">partially </w:t>
      </w:r>
      <w:r w:rsidR="006E02F2" w:rsidRPr="0044141E">
        <w:rPr>
          <w:rFonts w:cstheme="minorBidi"/>
          <w:noProof/>
          <w:lang w:val="en-IE"/>
        </w:rPr>
        <w:t xml:space="preserve">replaced by </w:t>
      </w:r>
      <w:r w:rsidR="00F32586" w:rsidRPr="0044141E">
        <w:rPr>
          <w:rFonts w:cstheme="minorBidi"/>
          <w:noProof/>
          <w:lang w:val="en-IE"/>
        </w:rPr>
        <w:t>h</w:t>
      </w:r>
      <w:r w:rsidR="006E02F2" w:rsidRPr="0044141E">
        <w:rPr>
          <w:rFonts w:cstheme="minorBidi"/>
          <w:noProof/>
          <w:lang w:val="en-IE"/>
        </w:rPr>
        <w:t>ydrogen</w:t>
      </w:r>
      <w:r w:rsidR="0044141E" w:rsidRPr="0044141E">
        <w:rPr>
          <w:rFonts w:cstheme="minorBidi"/>
          <w:noProof/>
          <w:lang w:val="en-IE"/>
        </w:rPr>
        <w:t xml:space="preserve"> and electricity. In the same decade, </w:t>
      </w:r>
      <w:r w:rsidR="0044141E">
        <w:rPr>
          <w:rFonts w:cstheme="minorBidi"/>
          <w:noProof/>
          <w:lang w:val="en-IE"/>
        </w:rPr>
        <w:t>hydrogen increases of around 25 Mtoe</w:t>
      </w:r>
      <w:r w:rsidR="00B56DC6">
        <w:rPr>
          <w:rFonts w:cstheme="minorBidi"/>
          <w:noProof/>
          <w:lang w:val="en-IE"/>
        </w:rPr>
        <w:t xml:space="preserve">. </w:t>
      </w:r>
      <w:r w:rsidR="003E0C76">
        <w:rPr>
          <w:rFonts w:cstheme="minorBidi"/>
          <w:noProof/>
          <w:lang w:val="en-IE"/>
        </w:rPr>
        <w:t>Negligible differences can be found between S1, S2 and S3</w:t>
      </w:r>
      <w:r w:rsidR="007E1756">
        <w:rPr>
          <w:rFonts w:cstheme="minorBidi"/>
          <w:noProof/>
          <w:lang w:val="en-IE"/>
        </w:rPr>
        <w:t xml:space="preserve">. </w:t>
      </w:r>
      <w:r w:rsidR="00442EB9">
        <w:rPr>
          <w:rFonts w:cstheme="minorBidi"/>
          <w:noProof/>
          <w:lang w:val="en-IE"/>
        </w:rPr>
        <w:t>A small decrease</w:t>
      </w:r>
      <w:r w:rsidR="0044141E">
        <w:rPr>
          <w:rFonts w:cstheme="minorBidi"/>
          <w:noProof/>
          <w:lang w:val="en-IE"/>
        </w:rPr>
        <w:t xml:space="preserve"> in non-energy consumption </w:t>
      </w:r>
      <w:r w:rsidR="00FC2869">
        <w:rPr>
          <w:rFonts w:cstheme="minorBidi"/>
          <w:noProof/>
          <w:lang w:val="en-IE"/>
        </w:rPr>
        <w:t xml:space="preserve">in LIFE is </w:t>
      </w:r>
      <w:r w:rsidR="007F72AE">
        <w:rPr>
          <w:rFonts w:cstheme="minorBidi"/>
          <w:noProof/>
          <w:lang w:val="en-IE"/>
        </w:rPr>
        <w:t>projected</w:t>
      </w:r>
      <w:r w:rsidR="00FC2869">
        <w:rPr>
          <w:rFonts w:cstheme="minorBidi"/>
          <w:noProof/>
          <w:lang w:val="en-IE"/>
        </w:rPr>
        <w:t xml:space="preserve"> in around </w:t>
      </w:r>
      <w:r w:rsidR="007E1756">
        <w:rPr>
          <w:rFonts w:cstheme="minorBidi"/>
          <w:noProof/>
          <w:lang w:val="en-IE"/>
        </w:rPr>
        <w:t xml:space="preserve">5% in 2040 and 10% in 2050, as result of </w:t>
      </w:r>
      <w:r w:rsidR="00977A6A">
        <w:rPr>
          <w:rFonts w:cstheme="minorBidi"/>
          <w:noProof/>
          <w:lang w:val="en-IE"/>
        </w:rPr>
        <w:t xml:space="preserve">decrease in activity in the petrochemical </w:t>
      </w:r>
      <w:r w:rsidR="007F72AE">
        <w:rPr>
          <w:rFonts w:cstheme="minorBidi"/>
          <w:noProof/>
          <w:lang w:val="en-IE"/>
        </w:rPr>
        <w:t xml:space="preserve">and other industrial </w:t>
      </w:r>
      <w:r w:rsidR="00977A6A">
        <w:rPr>
          <w:rFonts w:cstheme="minorBidi"/>
          <w:noProof/>
          <w:lang w:val="en-IE"/>
        </w:rPr>
        <w:t>sector</w:t>
      </w:r>
      <w:r w:rsidR="007F72AE">
        <w:rPr>
          <w:rFonts w:cstheme="minorBidi"/>
          <w:noProof/>
          <w:lang w:val="en-IE"/>
        </w:rPr>
        <w:t>s</w:t>
      </w:r>
      <w:r w:rsidR="00EE231C">
        <w:rPr>
          <w:rFonts w:cstheme="minorBidi"/>
          <w:noProof/>
          <w:lang w:val="en-IE"/>
        </w:rPr>
        <w:t xml:space="preserve">. </w:t>
      </w:r>
    </w:p>
    <w:p w14:paraId="1F74D75A" w14:textId="7C4CC845" w:rsidR="00BD0FD6" w:rsidRDefault="00BD0FD6" w:rsidP="00BD0FD6">
      <w:pPr>
        <w:pStyle w:val="Caption"/>
        <w:rPr>
          <w:noProof/>
        </w:rPr>
      </w:pPr>
      <w:bookmarkStart w:id="278" w:name="_Ref142586131"/>
      <w:bookmarkStart w:id="279" w:name="_Ref146548165"/>
      <w:bookmarkStart w:id="280" w:name="_Toc157679799"/>
      <w:r>
        <w:rPr>
          <w:noProof/>
        </w:rPr>
        <w:t xml:space="preserve">Figure </w:t>
      </w:r>
      <w:bookmarkEnd w:id="278"/>
      <w:r w:rsidR="00F2742D">
        <w:rPr>
          <w:noProof/>
        </w:rPr>
        <w:fldChar w:fldCharType="begin"/>
      </w:r>
      <w:r w:rsidR="00F2742D">
        <w:rPr>
          <w:noProof/>
        </w:rPr>
        <w:instrText xml:space="preserve"> SEQ Figure \* ARABIC </w:instrText>
      </w:r>
      <w:r w:rsidR="00F2742D">
        <w:rPr>
          <w:noProof/>
        </w:rPr>
        <w:fldChar w:fldCharType="separate"/>
      </w:r>
      <w:r w:rsidR="00170A3C">
        <w:rPr>
          <w:noProof/>
        </w:rPr>
        <w:t>51</w:t>
      </w:r>
      <w:r w:rsidR="00F2742D">
        <w:rPr>
          <w:noProof/>
        </w:rPr>
        <w:fldChar w:fldCharType="end"/>
      </w:r>
      <w:bookmarkEnd w:id="279"/>
      <w:r>
        <w:rPr>
          <w:noProof/>
        </w:rPr>
        <w:t xml:space="preserve">: Final </w:t>
      </w:r>
      <w:r w:rsidR="007C20B4">
        <w:rPr>
          <w:noProof/>
        </w:rPr>
        <w:t>N</w:t>
      </w:r>
      <w:r>
        <w:rPr>
          <w:noProof/>
        </w:rPr>
        <w:t>on-</w:t>
      </w:r>
      <w:r w:rsidR="007C20B4">
        <w:rPr>
          <w:noProof/>
        </w:rPr>
        <w:t>E</w:t>
      </w:r>
      <w:r>
        <w:rPr>
          <w:noProof/>
        </w:rPr>
        <w:t xml:space="preserve">nergy </w:t>
      </w:r>
      <w:r w:rsidR="007C20B4">
        <w:rPr>
          <w:noProof/>
        </w:rPr>
        <w:t>C</w:t>
      </w:r>
      <w:r>
        <w:rPr>
          <w:noProof/>
        </w:rPr>
        <w:t xml:space="preserve">onsumption </w:t>
      </w:r>
      <w:r w:rsidR="007C20B4">
        <w:rPr>
          <w:noProof/>
        </w:rPr>
        <w:t xml:space="preserve">in industry </w:t>
      </w:r>
      <w:r>
        <w:rPr>
          <w:noProof/>
        </w:rPr>
        <w:t xml:space="preserve">by </w:t>
      </w:r>
      <w:r w:rsidR="00403530">
        <w:rPr>
          <w:noProof/>
        </w:rPr>
        <w:t>f</w:t>
      </w:r>
      <w:r>
        <w:rPr>
          <w:noProof/>
        </w:rPr>
        <w:t>uel</w:t>
      </w:r>
      <w:bookmarkEnd w:id="280"/>
    </w:p>
    <w:p w14:paraId="1A1DA33F" w14:textId="7118E7A9" w:rsidR="00BD0FD6" w:rsidRPr="00B727B0" w:rsidRDefault="005F1C2E" w:rsidP="00B727B0">
      <w:pPr>
        <w:pStyle w:val="CT-NOTE"/>
        <w:rPr>
          <w:i w:val="0"/>
          <w:noProof/>
          <w:lang w:val="en-GB"/>
        </w:rPr>
      </w:pPr>
      <w:r w:rsidRPr="005F1C2E">
        <w:rPr>
          <w:noProof/>
          <w:lang w:val="en-GB" w:eastAsia="en-GB"/>
        </w:rPr>
        <w:drawing>
          <wp:inline distT="0" distB="0" distL="0" distR="0" wp14:anchorId="1034000B" wp14:editId="01BFF4CD">
            <wp:extent cx="5379720" cy="259080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379720" cy="2590800"/>
                    </a:xfrm>
                    <a:prstGeom prst="rect">
                      <a:avLst/>
                    </a:prstGeom>
                    <a:noFill/>
                    <a:ln>
                      <a:noFill/>
                    </a:ln>
                  </pic:spPr>
                </pic:pic>
              </a:graphicData>
            </a:graphic>
          </wp:inline>
        </w:drawing>
      </w:r>
      <w:r w:rsidR="00BD0FD6">
        <w:rPr>
          <w:rFonts w:cstheme="minorBidi"/>
          <w:noProof/>
        </w:rPr>
        <w:br/>
      </w:r>
      <w:r w:rsidR="00BD0FD6" w:rsidRPr="00BC0BA2">
        <w:rPr>
          <w:noProof/>
        </w:rPr>
        <w:t>Note</w:t>
      </w:r>
      <w:r w:rsidR="00BD0FD6">
        <w:rPr>
          <w:noProof/>
        </w:rPr>
        <w:t xml:space="preserve">: </w:t>
      </w:r>
      <w:r w:rsidR="00BD0FD6" w:rsidRPr="00BC0BA2">
        <w:rPr>
          <w:noProof/>
        </w:rPr>
        <w:t>*including manufactured gas (coke-oven gas, blast furnace gas &amp; gasworks gas), but not e-gas.</w:t>
      </w:r>
      <w:r w:rsidR="00BD0FD6">
        <w:rPr>
          <w:noProof/>
        </w:rPr>
        <w:t xml:space="preserve"> </w:t>
      </w:r>
    </w:p>
    <w:p w14:paraId="7E0C58D0" w14:textId="77777777" w:rsidR="00BD0FD6" w:rsidRPr="00C70331" w:rsidRDefault="00BD0FD6" w:rsidP="00923B34">
      <w:pPr>
        <w:pStyle w:val="CT-SOURCE"/>
        <w:rPr>
          <w:i w:val="0"/>
          <w:noProof/>
        </w:rPr>
      </w:pPr>
      <w:r w:rsidRPr="00C70331">
        <w:rPr>
          <w:noProof/>
        </w:rPr>
        <w:t>Source: PRIMES.</w:t>
      </w:r>
    </w:p>
    <w:p w14:paraId="4E091E65" w14:textId="77777777" w:rsidR="00350C25" w:rsidRPr="00630343" w:rsidRDefault="00350C25" w:rsidP="00350C25">
      <w:pPr>
        <w:pStyle w:val="Heading3"/>
        <w:rPr>
          <w:noProof/>
        </w:rPr>
      </w:pPr>
      <w:bookmarkStart w:id="281" w:name="_Toc148605602"/>
      <w:bookmarkStart w:id="282" w:name="_Toc157692048"/>
      <w:r w:rsidRPr="00630343">
        <w:rPr>
          <w:noProof/>
        </w:rPr>
        <w:t>CO2 emissions from industry</w:t>
      </w:r>
      <w:bookmarkEnd w:id="281"/>
      <w:bookmarkEnd w:id="282"/>
    </w:p>
    <w:p w14:paraId="7D3ED5DE" w14:textId="567891BD" w:rsidR="00350C25" w:rsidRPr="00F7719F" w:rsidRDefault="00350C25" w:rsidP="00F7719F">
      <w:pPr>
        <w:pStyle w:val="Heading4"/>
        <w:rPr>
          <w:noProof/>
        </w:rPr>
      </w:pPr>
      <w:r w:rsidRPr="00F7719F">
        <w:rPr>
          <w:noProof/>
        </w:rPr>
        <w:t>Energy-related CO2 emissions</w:t>
      </w:r>
    </w:p>
    <w:p w14:paraId="590D6AD4" w14:textId="6F4D2987" w:rsidR="005C31D6" w:rsidRDefault="00D95209" w:rsidP="000639D9">
      <w:pPr>
        <w:autoSpaceDE w:val="0"/>
        <w:autoSpaceDN w:val="0"/>
        <w:adjustRightInd w:val="0"/>
        <w:spacing w:after="0"/>
        <w:ind w:left="-142"/>
        <w:rPr>
          <w:rFonts w:cstheme="minorBidi"/>
          <w:noProof/>
          <w:lang w:val="en-IE"/>
        </w:rPr>
      </w:pPr>
      <w:r>
        <w:rPr>
          <w:rFonts w:cstheme="minorBidi"/>
          <w:noProof/>
          <w:lang w:val="en-IE"/>
        </w:rPr>
        <w:t>S</w:t>
      </w:r>
      <w:r w:rsidR="00350C25" w:rsidRPr="008F6F39">
        <w:rPr>
          <w:rFonts w:cstheme="minorBidi"/>
          <w:noProof/>
          <w:lang w:val="en-IE"/>
        </w:rPr>
        <w:t>ignificant reduction of</w:t>
      </w:r>
      <w:r w:rsidR="00350C25">
        <w:rPr>
          <w:rFonts w:cstheme="minorBidi"/>
          <w:noProof/>
          <w:lang w:val="en-IE"/>
        </w:rPr>
        <w:t xml:space="preserve"> the energy-related CO2 industrial emissions </w:t>
      </w:r>
      <w:r w:rsidR="00403530">
        <w:rPr>
          <w:rFonts w:cstheme="minorBidi"/>
          <w:noProof/>
          <w:lang w:val="en-IE"/>
        </w:rPr>
        <w:t xml:space="preserve">appears </w:t>
      </w:r>
      <w:r w:rsidR="00350C25">
        <w:rPr>
          <w:rFonts w:cstheme="minorBidi"/>
          <w:noProof/>
          <w:lang w:val="en-IE"/>
        </w:rPr>
        <w:t>in the decade 2031-2040</w:t>
      </w:r>
      <w:r w:rsidR="00945547">
        <w:rPr>
          <w:rFonts w:cstheme="minorBidi"/>
          <w:noProof/>
          <w:lang w:val="en-IE"/>
        </w:rPr>
        <w:t xml:space="preserve">: </w:t>
      </w:r>
      <w:r w:rsidR="00403530">
        <w:rPr>
          <w:rFonts w:cstheme="minorBidi"/>
          <w:noProof/>
          <w:lang w:val="en-IE"/>
        </w:rPr>
        <w:t>-</w:t>
      </w:r>
      <w:r w:rsidR="00945547" w:rsidRPr="0044141E">
        <w:rPr>
          <w:rFonts w:cstheme="minorBidi"/>
          <w:noProof/>
          <w:lang w:val="en-IE"/>
        </w:rPr>
        <w:t>4</w:t>
      </w:r>
      <w:r w:rsidR="0044141E" w:rsidRPr="0044141E">
        <w:rPr>
          <w:rFonts w:cstheme="minorBidi"/>
          <w:noProof/>
          <w:lang w:val="en-IE"/>
        </w:rPr>
        <w:t>7</w:t>
      </w:r>
      <w:r w:rsidR="00945547" w:rsidRPr="0044141E">
        <w:rPr>
          <w:rFonts w:cstheme="minorBidi"/>
          <w:noProof/>
          <w:lang w:val="en-IE"/>
        </w:rPr>
        <w:t xml:space="preserve">% </w:t>
      </w:r>
      <w:r w:rsidR="009E6972" w:rsidRPr="0044141E">
        <w:rPr>
          <w:rFonts w:cstheme="minorBidi"/>
          <w:noProof/>
          <w:lang w:val="en-IE"/>
        </w:rPr>
        <w:t>in S1</w:t>
      </w:r>
      <w:r w:rsidR="00CE0B2B" w:rsidRPr="0044141E">
        <w:rPr>
          <w:rFonts w:cstheme="minorBidi"/>
          <w:noProof/>
          <w:lang w:val="en-IE"/>
        </w:rPr>
        <w:t>,</w:t>
      </w:r>
      <w:r w:rsidR="009E6972" w:rsidRPr="0044141E">
        <w:rPr>
          <w:rFonts w:cstheme="minorBidi"/>
          <w:noProof/>
          <w:lang w:val="en-IE"/>
        </w:rPr>
        <w:t xml:space="preserve"> </w:t>
      </w:r>
      <w:r w:rsidR="00403530">
        <w:rPr>
          <w:rFonts w:cstheme="minorBidi"/>
          <w:noProof/>
          <w:lang w:val="en-IE"/>
        </w:rPr>
        <w:t>-</w:t>
      </w:r>
      <w:r w:rsidR="009E6972" w:rsidRPr="0044141E">
        <w:rPr>
          <w:rFonts w:cstheme="minorBidi"/>
          <w:noProof/>
          <w:lang w:val="en-IE"/>
        </w:rPr>
        <w:t>63% in S2 and</w:t>
      </w:r>
      <w:r w:rsidR="00945547" w:rsidRPr="0044141E">
        <w:rPr>
          <w:rFonts w:cstheme="minorBidi"/>
          <w:noProof/>
          <w:lang w:val="en-IE"/>
        </w:rPr>
        <w:t xml:space="preserve"> </w:t>
      </w:r>
      <w:r w:rsidR="00403530">
        <w:rPr>
          <w:rFonts w:cstheme="minorBidi"/>
          <w:noProof/>
          <w:lang w:val="en-IE"/>
        </w:rPr>
        <w:t>-</w:t>
      </w:r>
      <w:r w:rsidR="00945547" w:rsidRPr="0044141E">
        <w:rPr>
          <w:rFonts w:cstheme="minorBidi"/>
          <w:noProof/>
          <w:lang w:val="en-IE"/>
        </w:rPr>
        <w:t>80%</w:t>
      </w:r>
      <w:r w:rsidR="009E6972">
        <w:rPr>
          <w:rFonts w:cstheme="minorBidi"/>
          <w:noProof/>
          <w:lang w:val="en-IE"/>
        </w:rPr>
        <w:t xml:space="preserve"> in S3</w:t>
      </w:r>
      <w:r w:rsidR="00403530">
        <w:rPr>
          <w:rFonts w:cstheme="minorBidi"/>
          <w:noProof/>
          <w:lang w:val="en-IE"/>
        </w:rPr>
        <w:t xml:space="preserve"> (</w:t>
      </w:r>
      <w:r w:rsidR="000A2E6F">
        <w:rPr>
          <w:rFonts w:cstheme="minorBidi"/>
          <w:noProof/>
          <w:lang w:val="en-IE"/>
        </w:rPr>
        <w:fldChar w:fldCharType="begin"/>
      </w:r>
      <w:r w:rsidR="000A2E6F">
        <w:rPr>
          <w:rFonts w:cstheme="minorBidi"/>
          <w:noProof/>
          <w:lang w:val="en-IE"/>
        </w:rPr>
        <w:instrText xml:space="preserve"> REF _Ref147758479 \h </w:instrText>
      </w:r>
      <w:r w:rsidR="000A2E6F">
        <w:rPr>
          <w:rFonts w:cstheme="minorBidi"/>
          <w:noProof/>
          <w:lang w:val="en-IE"/>
        </w:rPr>
      </w:r>
      <w:r w:rsidR="000A2E6F">
        <w:rPr>
          <w:rFonts w:cstheme="minorBidi"/>
          <w:noProof/>
          <w:lang w:val="en-IE"/>
        </w:rPr>
        <w:fldChar w:fldCharType="separate"/>
      </w:r>
      <w:r w:rsidR="00170A3C">
        <w:rPr>
          <w:noProof/>
        </w:rPr>
        <w:t>Figure 52</w:t>
      </w:r>
      <w:r w:rsidR="000A2E6F">
        <w:rPr>
          <w:rFonts w:cstheme="minorBidi"/>
          <w:noProof/>
          <w:lang w:val="en-IE"/>
        </w:rPr>
        <w:fldChar w:fldCharType="end"/>
      </w:r>
      <w:r w:rsidR="00403530">
        <w:rPr>
          <w:rFonts w:cstheme="minorBidi"/>
          <w:noProof/>
          <w:lang w:val="en-IE"/>
        </w:rPr>
        <w:t>).</w:t>
      </w:r>
      <w:r w:rsidR="00945547">
        <w:rPr>
          <w:rFonts w:cstheme="minorBidi"/>
          <w:noProof/>
          <w:lang w:val="en-IE"/>
        </w:rPr>
        <w:t xml:space="preserve"> </w:t>
      </w:r>
      <w:r w:rsidR="009E6972">
        <w:rPr>
          <w:rFonts w:cstheme="minorBidi"/>
          <w:noProof/>
          <w:lang w:val="en-IE"/>
        </w:rPr>
        <w:t xml:space="preserve">Emissions </w:t>
      </w:r>
      <w:r w:rsidR="00945547">
        <w:rPr>
          <w:rFonts w:cstheme="minorBidi"/>
          <w:noProof/>
          <w:lang w:val="en-IE"/>
        </w:rPr>
        <w:t>reduce</w:t>
      </w:r>
      <w:r w:rsidR="00403530" w:rsidRPr="00403530">
        <w:rPr>
          <w:rFonts w:cstheme="minorBidi"/>
          <w:noProof/>
          <w:lang w:val="en-IE"/>
        </w:rPr>
        <w:t xml:space="preserve"> </w:t>
      </w:r>
      <w:r w:rsidR="009E6972">
        <w:rPr>
          <w:rFonts w:cstheme="minorBidi"/>
          <w:noProof/>
          <w:lang w:val="en-IE"/>
        </w:rPr>
        <w:t>in all</w:t>
      </w:r>
      <w:r w:rsidR="00945547">
        <w:rPr>
          <w:rFonts w:cstheme="minorBidi"/>
          <w:noProof/>
          <w:lang w:val="en-IE"/>
        </w:rPr>
        <w:t xml:space="preserve"> sectors</w:t>
      </w:r>
      <w:r w:rsidR="00F21F67">
        <w:rPr>
          <w:rFonts w:cstheme="minorBidi"/>
          <w:noProof/>
          <w:lang w:val="en-IE"/>
        </w:rPr>
        <w:t xml:space="preserve">, as result of electrification process and </w:t>
      </w:r>
      <w:r w:rsidR="00543E9E">
        <w:rPr>
          <w:rFonts w:cstheme="minorBidi"/>
          <w:noProof/>
          <w:lang w:val="en-IE"/>
        </w:rPr>
        <w:t xml:space="preserve">gradual </w:t>
      </w:r>
      <w:r w:rsidR="00F21F67">
        <w:rPr>
          <w:rFonts w:cstheme="minorBidi"/>
          <w:noProof/>
          <w:lang w:val="en-IE"/>
        </w:rPr>
        <w:t xml:space="preserve">uptake of </w:t>
      </w:r>
      <w:r w:rsidR="009E6972">
        <w:rPr>
          <w:rFonts w:cstheme="minorBidi"/>
          <w:noProof/>
          <w:lang w:val="en-IE"/>
        </w:rPr>
        <w:t xml:space="preserve">RFNBOs </w:t>
      </w:r>
      <w:r w:rsidR="00F21F67">
        <w:rPr>
          <w:rFonts w:cstheme="minorBidi"/>
          <w:noProof/>
          <w:lang w:val="en-IE"/>
        </w:rPr>
        <w:t>and</w:t>
      </w:r>
      <w:r w:rsidR="00543E9E">
        <w:rPr>
          <w:rFonts w:cstheme="minorBidi"/>
          <w:noProof/>
          <w:lang w:val="en-IE"/>
        </w:rPr>
        <w:t xml:space="preserve"> carbon capture</w:t>
      </w:r>
      <w:r w:rsidR="009E6972">
        <w:rPr>
          <w:rFonts w:cstheme="minorBidi"/>
          <w:noProof/>
          <w:lang w:val="en-IE"/>
        </w:rPr>
        <w:t xml:space="preserve"> technologies</w:t>
      </w:r>
      <w:r w:rsidR="00543E9E">
        <w:rPr>
          <w:rFonts w:cstheme="minorBidi"/>
          <w:noProof/>
          <w:lang w:val="en-IE"/>
        </w:rPr>
        <w:t xml:space="preserve">. </w:t>
      </w:r>
      <w:r w:rsidR="00AD558F">
        <w:rPr>
          <w:rFonts w:cstheme="minorBidi"/>
          <w:noProof/>
          <w:lang w:val="en-IE"/>
        </w:rPr>
        <w:t xml:space="preserve">The variation across scenarios for all main sectors ranges between 12 and 32 percentage point, with the chemical sector achieving the highest reduction in 2040 (down to 82% below 2030 level). The iron and steel </w:t>
      </w:r>
      <w:r w:rsidR="00AD558F" w:rsidRPr="0044141E">
        <w:rPr>
          <w:rFonts w:cstheme="minorBidi"/>
          <w:noProof/>
          <w:lang w:val="en-IE"/>
        </w:rPr>
        <w:t>emission</w:t>
      </w:r>
      <w:r w:rsidR="00AD558F">
        <w:rPr>
          <w:rFonts w:cstheme="minorBidi"/>
          <w:noProof/>
          <w:lang w:val="en-IE"/>
        </w:rPr>
        <w:t>s</w:t>
      </w:r>
      <w:r w:rsidR="00AD558F" w:rsidRPr="0044141E">
        <w:rPr>
          <w:rFonts w:cstheme="minorBidi"/>
          <w:noProof/>
          <w:lang w:val="en-IE"/>
        </w:rPr>
        <w:t xml:space="preserve"> achie</w:t>
      </w:r>
      <w:r w:rsidR="00AD558F">
        <w:rPr>
          <w:rFonts w:cstheme="minorBidi"/>
          <w:noProof/>
          <w:lang w:val="en-IE"/>
        </w:rPr>
        <w:t>ve</w:t>
      </w:r>
      <w:r w:rsidR="00AD558F" w:rsidRPr="0044141E">
        <w:rPr>
          <w:rFonts w:cstheme="minorBidi"/>
          <w:noProof/>
          <w:lang w:val="en-IE"/>
        </w:rPr>
        <w:t xml:space="preserve"> </w:t>
      </w:r>
      <w:r w:rsidR="00AD558F">
        <w:rPr>
          <w:rFonts w:cstheme="minorBidi"/>
          <w:noProof/>
          <w:lang w:val="en-IE"/>
        </w:rPr>
        <w:t xml:space="preserve">around </w:t>
      </w:r>
      <w:r w:rsidR="00AD558F" w:rsidRPr="0044141E">
        <w:rPr>
          <w:rFonts w:cstheme="minorBidi"/>
          <w:noProof/>
          <w:lang w:val="en-IE"/>
        </w:rPr>
        <w:t>-5</w:t>
      </w:r>
      <w:r w:rsidR="00AD558F">
        <w:rPr>
          <w:rFonts w:cstheme="minorBidi"/>
          <w:noProof/>
          <w:lang w:val="en-IE"/>
        </w:rPr>
        <w:t>5</w:t>
      </w:r>
      <w:r w:rsidR="00AD558F" w:rsidRPr="0044141E">
        <w:rPr>
          <w:rFonts w:cstheme="minorBidi"/>
          <w:noProof/>
          <w:lang w:val="en-IE"/>
        </w:rPr>
        <w:t>% in S1, -</w:t>
      </w:r>
      <w:r w:rsidR="00AD558F">
        <w:rPr>
          <w:rFonts w:cstheme="minorBidi"/>
          <w:noProof/>
          <w:lang w:val="en-IE"/>
        </w:rPr>
        <w:t>65</w:t>
      </w:r>
      <w:r w:rsidR="00AD558F" w:rsidRPr="0044141E">
        <w:rPr>
          <w:rFonts w:cstheme="minorBidi"/>
          <w:noProof/>
          <w:lang w:val="en-IE"/>
        </w:rPr>
        <w:t>% in S2 and -</w:t>
      </w:r>
      <w:r w:rsidR="00AD558F">
        <w:rPr>
          <w:rFonts w:cstheme="minorBidi"/>
          <w:noProof/>
          <w:lang w:val="en-IE"/>
        </w:rPr>
        <w:t>70</w:t>
      </w:r>
      <w:r w:rsidR="00AD558F" w:rsidRPr="0044141E">
        <w:rPr>
          <w:rFonts w:cstheme="minorBidi"/>
          <w:noProof/>
          <w:lang w:val="en-IE"/>
        </w:rPr>
        <w:t>% in S3 when compared to 2030 levels</w:t>
      </w:r>
      <w:r w:rsidR="00945547" w:rsidRPr="0044141E">
        <w:rPr>
          <w:rFonts w:cstheme="minorBidi"/>
          <w:noProof/>
          <w:lang w:val="en-IE"/>
        </w:rPr>
        <w:t>. These</w:t>
      </w:r>
      <w:r w:rsidR="00945547">
        <w:rPr>
          <w:rFonts w:cstheme="minorBidi"/>
          <w:noProof/>
          <w:lang w:val="en-IE"/>
        </w:rPr>
        <w:t xml:space="preserve"> </w:t>
      </w:r>
      <w:r w:rsidR="00CE0B2B">
        <w:rPr>
          <w:rFonts w:cstheme="minorBidi"/>
          <w:noProof/>
          <w:lang w:val="en-IE"/>
        </w:rPr>
        <w:t xml:space="preserve">values </w:t>
      </w:r>
      <w:r w:rsidR="00945547">
        <w:rPr>
          <w:rFonts w:cstheme="minorBidi"/>
          <w:noProof/>
          <w:lang w:val="en-IE"/>
        </w:rPr>
        <w:t xml:space="preserve">result from </w:t>
      </w:r>
      <w:r w:rsidR="00CE0B2B">
        <w:rPr>
          <w:rFonts w:cstheme="minorBidi"/>
          <w:noProof/>
          <w:lang w:val="en-IE"/>
        </w:rPr>
        <w:t>an increased</w:t>
      </w:r>
      <w:r w:rsidR="00945547">
        <w:rPr>
          <w:rFonts w:cstheme="minorBidi"/>
          <w:noProof/>
          <w:lang w:val="en-IE"/>
        </w:rPr>
        <w:t xml:space="preserve"> electrification </w:t>
      </w:r>
      <w:r w:rsidR="00BA6EB5">
        <w:rPr>
          <w:rFonts w:cstheme="minorBidi"/>
          <w:noProof/>
          <w:lang w:val="en-IE"/>
        </w:rPr>
        <w:t>occurring in S1</w:t>
      </w:r>
      <w:r w:rsidR="009E6972">
        <w:rPr>
          <w:rFonts w:cstheme="minorBidi"/>
          <w:noProof/>
          <w:lang w:val="en-IE"/>
        </w:rPr>
        <w:t>, on top of which</w:t>
      </w:r>
      <w:r w:rsidR="00945547">
        <w:rPr>
          <w:rFonts w:cstheme="minorBidi"/>
          <w:noProof/>
          <w:lang w:val="en-IE"/>
        </w:rPr>
        <w:t xml:space="preserve"> carbon capture and </w:t>
      </w:r>
      <w:r w:rsidR="00B47092">
        <w:rPr>
          <w:rFonts w:cstheme="minorBidi"/>
          <w:noProof/>
          <w:lang w:val="en-IE"/>
        </w:rPr>
        <w:t>RFNBOs</w:t>
      </w:r>
      <w:r w:rsidR="00945547">
        <w:rPr>
          <w:rFonts w:cstheme="minorBidi"/>
          <w:noProof/>
          <w:lang w:val="en-IE"/>
        </w:rPr>
        <w:t xml:space="preserve"> </w:t>
      </w:r>
      <w:r w:rsidR="00CE0B2B">
        <w:rPr>
          <w:rFonts w:cstheme="minorBidi"/>
          <w:noProof/>
          <w:lang w:val="en-IE"/>
        </w:rPr>
        <w:t xml:space="preserve">deploy progressively </w:t>
      </w:r>
      <w:r w:rsidR="00945547">
        <w:rPr>
          <w:rFonts w:cstheme="minorBidi"/>
          <w:noProof/>
          <w:lang w:val="en-IE"/>
        </w:rPr>
        <w:t>in S2 and S3.</w:t>
      </w:r>
      <w:r w:rsidR="007B6B72">
        <w:rPr>
          <w:rFonts w:cstheme="minorBidi"/>
          <w:noProof/>
          <w:lang w:val="en-IE"/>
        </w:rPr>
        <w:t xml:space="preserve"> </w:t>
      </w:r>
      <w:r w:rsidR="00945547">
        <w:rPr>
          <w:rFonts w:cstheme="minorBidi"/>
          <w:noProof/>
          <w:lang w:val="en-IE"/>
        </w:rPr>
        <w:t>In 2050, a</w:t>
      </w:r>
      <w:r w:rsidR="00EB76BC">
        <w:rPr>
          <w:rFonts w:cstheme="minorBidi"/>
          <w:noProof/>
          <w:lang w:val="en-IE"/>
        </w:rPr>
        <w:t>n</w:t>
      </w:r>
      <w:r w:rsidR="00945547">
        <w:rPr>
          <w:rFonts w:cstheme="minorBidi"/>
          <w:noProof/>
          <w:lang w:val="en-IE"/>
        </w:rPr>
        <w:t xml:space="preserve"> </w:t>
      </w:r>
      <w:r w:rsidR="00EB76BC">
        <w:rPr>
          <w:rFonts w:cstheme="minorBidi"/>
          <w:noProof/>
          <w:lang w:val="en-IE"/>
        </w:rPr>
        <w:t xml:space="preserve">even </w:t>
      </w:r>
      <w:r w:rsidR="00BA6EB5">
        <w:rPr>
          <w:rFonts w:cstheme="minorBidi"/>
          <w:noProof/>
          <w:lang w:val="en-IE"/>
        </w:rPr>
        <w:t xml:space="preserve">higher </w:t>
      </w:r>
      <w:r w:rsidR="00945547">
        <w:rPr>
          <w:rFonts w:cstheme="minorBidi"/>
          <w:noProof/>
          <w:lang w:val="en-IE"/>
        </w:rPr>
        <w:t>share of electricity</w:t>
      </w:r>
      <w:r w:rsidR="00F05DAE">
        <w:rPr>
          <w:rFonts w:cstheme="minorBidi"/>
          <w:noProof/>
          <w:lang w:val="en-IE"/>
        </w:rPr>
        <w:t xml:space="preserve"> and RFNBOs </w:t>
      </w:r>
      <w:r w:rsidR="00945547">
        <w:rPr>
          <w:rFonts w:cstheme="minorBidi"/>
          <w:noProof/>
          <w:lang w:val="en-IE"/>
        </w:rPr>
        <w:t>in industr</w:t>
      </w:r>
      <w:r w:rsidR="00CE0B2B">
        <w:rPr>
          <w:rFonts w:cstheme="minorBidi"/>
          <w:noProof/>
          <w:lang w:val="en-IE"/>
        </w:rPr>
        <w:t>ial consumption</w:t>
      </w:r>
      <w:r w:rsidR="00EB76BC">
        <w:rPr>
          <w:rFonts w:cstheme="minorBidi"/>
          <w:noProof/>
          <w:lang w:val="en-IE"/>
        </w:rPr>
        <w:t xml:space="preserve"> (see </w:t>
      </w:r>
      <w:r w:rsidR="00F05DAE" w:rsidRPr="000A2E6F">
        <w:rPr>
          <w:rFonts w:cstheme="minorBidi"/>
          <w:noProof/>
          <w:lang w:val="en-IE"/>
        </w:rPr>
        <w:fldChar w:fldCharType="begin"/>
      </w:r>
      <w:r w:rsidR="00F05DAE" w:rsidRPr="0044141E">
        <w:rPr>
          <w:rFonts w:cstheme="minorBidi"/>
          <w:noProof/>
          <w:highlight w:val="yellow"/>
          <w:lang w:val="en-IE"/>
        </w:rPr>
        <w:instrText xml:space="preserve"> REF _Ref145689207 \h </w:instrText>
      </w:r>
      <w:r w:rsidR="0044141E">
        <w:rPr>
          <w:rFonts w:cstheme="minorBidi"/>
          <w:noProof/>
          <w:highlight w:val="yellow"/>
          <w:lang w:val="en-IE"/>
        </w:rPr>
        <w:instrText xml:space="preserve"> \* MERGEFORMAT </w:instrText>
      </w:r>
      <w:r w:rsidR="00F05DAE" w:rsidRPr="000A2E6F">
        <w:rPr>
          <w:rFonts w:cstheme="minorBidi"/>
          <w:noProof/>
          <w:lang w:val="en-IE"/>
        </w:rPr>
      </w:r>
      <w:r w:rsidR="00F05DAE" w:rsidRPr="000A2E6F">
        <w:rPr>
          <w:rFonts w:cstheme="minorBidi"/>
          <w:noProof/>
          <w:lang w:val="en-IE"/>
        </w:rPr>
        <w:fldChar w:fldCharType="separate"/>
      </w:r>
      <w:r w:rsidR="00170A3C">
        <w:rPr>
          <w:noProof/>
        </w:rPr>
        <w:t>Figure 49</w:t>
      </w:r>
      <w:r w:rsidR="00F05DAE" w:rsidRPr="000A2E6F">
        <w:rPr>
          <w:rFonts w:cstheme="minorBidi"/>
          <w:noProof/>
          <w:lang w:val="en-IE"/>
        </w:rPr>
        <w:fldChar w:fldCharType="end"/>
      </w:r>
      <w:r w:rsidR="00EB76BC" w:rsidRPr="000A2E6F">
        <w:rPr>
          <w:rFonts w:cstheme="minorBidi"/>
          <w:noProof/>
          <w:lang w:val="en-IE"/>
        </w:rPr>
        <w:t>)</w:t>
      </w:r>
      <w:r w:rsidR="00CE0B2B" w:rsidRPr="000A2E6F">
        <w:rPr>
          <w:rFonts w:cstheme="minorBidi"/>
          <w:noProof/>
          <w:lang w:val="en-IE"/>
        </w:rPr>
        <w:t>,</w:t>
      </w:r>
      <w:r w:rsidR="00CE0B2B">
        <w:rPr>
          <w:rFonts w:cstheme="minorBidi"/>
          <w:noProof/>
          <w:lang w:val="en-IE"/>
        </w:rPr>
        <w:t xml:space="preserve"> together with </w:t>
      </w:r>
      <w:r w:rsidR="00BA6EB5">
        <w:rPr>
          <w:rFonts w:cstheme="minorBidi"/>
          <w:noProof/>
          <w:lang w:val="en-IE"/>
        </w:rPr>
        <w:t xml:space="preserve">larger development of </w:t>
      </w:r>
      <w:r w:rsidR="00CE0B2B">
        <w:rPr>
          <w:rFonts w:cstheme="minorBidi"/>
          <w:noProof/>
          <w:lang w:val="en-IE"/>
        </w:rPr>
        <w:t>carbon capture</w:t>
      </w:r>
      <w:r w:rsidR="00433C75">
        <w:rPr>
          <w:rFonts w:cstheme="minorBidi"/>
          <w:noProof/>
          <w:lang w:val="en-IE"/>
        </w:rPr>
        <w:t>,</w:t>
      </w:r>
      <w:r w:rsidR="00CE0B2B">
        <w:rPr>
          <w:rFonts w:cstheme="minorBidi"/>
          <w:noProof/>
          <w:lang w:val="en-IE"/>
        </w:rPr>
        <w:t xml:space="preserve"> </w:t>
      </w:r>
      <w:r w:rsidR="00945547">
        <w:rPr>
          <w:rFonts w:cstheme="minorBidi"/>
          <w:noProof/>
          <w:lang w:val="en-IE"/>
        </w:rPr>
        <w:t xml:space="preserve">reduce </w:t>
      </w:r>
      <w:r w:rsidR="00433C75">
        <w:rPr>
          <w:rFonts w:cstheme="minorBidi"/>
          <w:noProof/>
          <w:lang w:val="en-IE"/>
        </w:rPr>
        <w:t xml:space="preserve">or eliminate </w:t>
      </w:r>
      <w:r w:rsidR="00C27533">
        <w:rPr>
          <w:rFonts w:cstheme="minorBidi"/>
          <w:noProof/>
          <w:lang w:val="en-IE"/>
        </w:rPr>
        <w:t>further</w:t>
      </w:r>
      <w:r w:rsidR="00433C75">
        <w:rPr>
          <w:rFonts w:cstheme="minorBidi"/>
          <w:noProof/>
          <w:lang w:val="en-IE"/>
        </w:rPr>
        <w:t xml:space="preserve"> residual </w:t>
      </w:r>
      <w:r w:rsidR="00945547">
        <w:rPr>
          <w:rFonts w:cstheme="minorBidi"/>
          <w:noProof/>
          <w:lang w:val="en-IE"/>
        </w:rPr>
        <w:t>emissions in all sector</w:t>
      </w:r>
      <w:r w:rsidR="007D61D2">
        <w:rPr>
          <w:rFonts w:cstheme="minorBidi"/>
          <w:noProof/>
          <w:lang w:val="en-IE"/>
        </w:rPr>
        <w:t>s</w:t>
      </w:r>
      <w:r w:rsidR="00C27533">
        <w:rPr>
          <w:rFonts w:cstheme="minorBidi"/>
          <w:noProof/>
          <w:lang w:val="en-IE"/>
        </w:rPr>
        <w:t xml:space="preserve"> in a similar way across the three scenarios</w:t>
      </w:r>
      <w:r w:rsidR="00945547">
        <w:rPr>
          <w:rFonts w:cstheme="minorBidi"/>
          <w:noProof/>
          <w:lang w:val="en-IE"/>
        </w:rPr>
        <w:t xml:space="preserve">. </w:t>
      </w:r>
    </w:p>
    <w:p w14:paraId="7F599A8A" w14:textId="7E3F09EA" w:rsidR="00350C25" w:rsidRPr="008F6F39" w:rsidRDefault="004D3667" w:rsidP="00B9712E">
      <w:pPr>
        <w:autoSpaceDE w:val="0"/>
        <w:autoSpaceDN w:val="0"/>
        <w:adjustRightInd w:val="0"/>
        <w:spacing w:after="0"/>
        <w:ind w:left="-142"/>
        <w:rPr>
          <w:rFonts w:cstheme="minorBidi"/>
          <w:noProof/>
          <w:lang w:val="en-IE"/>
        </w:rPr>
      </w:pPr>
      <w:r>
        <w:rPr>
          <w:rFonts w:cstheme="minorBidi"/>
          <w:noProof/>
          <w:lang w:val="en-IE"/>
        </w:rPr>
        <w:t>LIFE</w:t>
      </w:r>
      <w:r w:rsidR="00945547">
        <w:rPr>
          <w:rFonts w:cstheme="minorBidi"/>
          <w:noProof/>
          <w:lang w:val="en-IE"/>
        </w:rPr>
        <w:t xml:space="preserve"> shows </w:t>
      </w:r>
      <w:r w:rsidR="000639D9">
        <w:rPr>
          <w:rFonts w:cstheme="minorBidi"/>
          <w:noProof/>
          <w:lang w:val="en-IE"/>
        </w:rPr>
        <w:t>emission</w:t>
      </w:r>
      <w:r w:rsidR="005C31D6">
        <w:rPr>
          <w:rFonts w:cstheme="minorBidi"/>
          <w:noProof/>
          <w:lang w:val="en-IE"/>
        </w:rPr>
        <w:t xml:space="preserve">s higher than S3 and in line with S2 in 2040, </w:t>
      </w:r>
      <w:r w:rsidR="000639D9">
        <w:rPr>
          <w:rFonts w:cstheme="minorBidi"/>
          <w:noProof/>
          <w:lang w:val="en-IE"/>
        </w:rPr>
        <w:t>since the additional reductions in non-CO2 and the LULUCF allow for less constraints in the energy and industrial emissions</w:t>
      </w:r>
      <w:r w:rsidR="005C31D6">
        <w:rPr>
          <w:rFonts w:cstheme="minorBidi"/>
          <w:noProof/>
          <w:lang w:val="en-IE"/>
        </w:rPr>
        <w:t xml:space="preserve">. This translates into a lower use of RFNBOs in 2040 (see also </w:t>
      </w:r>
      <w:r w:rsidR="005C31D6">
        <w:rPr>
          <w:rFonts w:cstheme="minorBidi"/>
          <w:noProof/>
          <w:lang w:val="en-IE"/>
        </w:rPr>
        <w:fldChar w:fldCharType="begin"/>
      </w:r>
      <w:r w:rsidR="005C31D6">
        <w:rPr>
          <w:rFonts w:cstheme="minorBidi"/>
          <w:noProof/>
          <w:lang w:val="en-IE"/>
        </w:rPr>
        <w:instrText xml:space="preserve"> REF _Ref145688337 \h </w:instrText>
      </w:r>
      <w:r w:rsidR="005C31D6">
        <w:rPr>
          <w:rFonts w:cstheme="minorBidi"/>
          <w:noProof/>
          <w:lang w:val="en-IE"/>
        </w:rPr>
      </w:r>
      <w:r w:rsidR="005C31D6">
        <w:rPr>
          <w:rFonts w:cstheme="minorBidi"/>
          <w:noProof/>
          <w:lang w:val="en-IE"/>
        </w:rPr>
        <w:fldChar w:fldCharType="separate"/>
      </w:r>
      <w:r w:rsidR="00170A3C">
        <w:rPr>
          <w:noProof/>
        </w:rPr>
        <w:t>Figure 50</w:t>
      </w:r>
      <w:r w:rsidR="005C31D6">
        <w:rPr>
          <w:rFonts w:cstheme="minorBidi"/>
          <w:noProof/>
          <w:lang w:val="en-IE"/>
        </w:rPr>
        <w:fldChar w:fldCharType="end"/>
      </w:r>
      <w:r w:rsidR="005C31D6">
        <w:rPr>
          <w:rFonts w:cstheme="minorBidi"/>
          <w:noProof/>
          <w:lang w:val="en-IE"/>
        </w:rPr>
        <w:t>) and a lower amount of carbon captured in 2050.</w:t>
      </w:r>
    </w:p>
    <w:p w14:paraId="0015F823" w14:textId="2A9E2A9F" w:rsidR="00945547" w:rsidRDefault="00350C25" w:rsidP="00DE5BEF">
      <w:pPr>
        <w:pStyle w:val="Caption"/>
        <w:spacing w:after="0"/>
        <w:rPr>
          <w:noProof/>
        </w:rPr>
      </w:pPr>
      <w:bookmarkStart w:id="283" w:name="_Ref143155818"/>
      <w:bookmarkStart w:id="284" w:name="_Ref147758479"/>
      <w:bookmarkStart w:id="285" w:name="_Toc157679800"/>
      <w:r>
        <w:rPr>
          <w:noProof/>
        </w:rPr>
        <w:t xml:space="preserve">Figure </w:t>
      </w:r>
      <w:bookmarkEnd w:id="283"/>
      <w:r w:rsidR="00F2742D">
        <w:rPr>
          <w:noProof/>
        </w:rPr>
        <w:fldChar w:fldCharType="begin"/>
      </w:r>
      <w:r w:rsidR="00F2742D">
        <w:rPr>
          <w:noProof/>
        </w:rPr>
        <w:instrText xml:space="preserve"> SEQ Figure \* ARABIC </w:instrText>
      </w:r>
      <w:r w:rsidR="00F2742D">
        <w:rPr>
          <w:noProof/>
        </w:rPr>
        <w:fldChar w:fldCharType="separate"/>
      </w:r>
      <w:r w:rsidR="00170A3C">
        <w:rPr>
          <w:noProof/>
        </w:rPr>
        <w:t>52</w:t>
      </w:r>
      <w:r w:rsidR="00F2742D">
        <w:rPr>
          <w:noProof/>
        </w:rPr>
        <w:fldChar w:fldCharType="end"/>
      </w:r>
      <w:bookmarkEnd w:id="284"/>
      <w:r>
        <w:rPr>
          <w:noProof/>
        </w:rPr>
        <w:t xml:space="preserve"> : Energy-related CO</w:t>
      </w:r>
      <w:r w:rsidRPr="00167A06">
        <w:rPr>
          <w:noProof/>
          <w:vertAlign w:val="subscript"/>
        </w:rPr>
        <w:t>2</w:t>
      </w:r>
      <w:r>
        <w:rPr>
          <w:noProof/>
        </w:rPr>
        <w:t xml:space="preserve"> emissions in industry by sector</w:t>
      </w:r>
      <w:bookmarkEnd w:id="285"/>
      <w:r w:rsidR="004C4766" w:rsidRPr="00444A4D">
        <w:rPr>
          <w:noProof/>
        </w:rPr>
        <w:t xml:space="preserve"> </w:t>
      </w:r>
    </w:p>
    <w:p w14:paraId="27F8F2FB" w14:textId="75F610C7" w:rsidR="002D4528" w:rsidRPr="002D4528" w:rsidRDefault="00D74CB3" w:rsidP="00FE26BE">
      <w:pPr>
        <w:rPr>
          <w:noProof/>
        </w:rPr>
      </w:pPr>
      <w:r w:rsidRPr="00D74CB3">
        <w:rPr>
          <w:noProof/>
          <w:lang w:eastAsia="en-GB"/>
        </w:rPr>
        <w:drawing>
          <wp:inline distT="0" distB="0" distL="0" distR="0" wp14:anchorId="41ECA4CB" wp14:editId="7E74D5B4">
            <wp:extent cx="5279390" cy="2472690"/>
            <wp:effectExtent l="0" t="0" r="0" b="381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279390" cy="2472690"/>
                    </a:xfrm>
                    <a:prstGeom prst="rect">
                      <a:avLst/>
                    </a:prstGeom>
                    <a:noFill/>
                    <a:ln>
                      <a:noFill/>
                    </a:ln>
                  </pic:spPr>
                </pic:pic>
              </a:graphicData>
            </a:graphic>
          </wp:inline>
        </w:drawing>
      </w:r>
      <w:r w:rsidRPr="00D74CB3">
        <w:rPr>
          <w:noProof/>
        </w:rPr>
        <w:t xml:space="preserve"> </w:t>
      </w:r>
    </w:p>
    <w:p w14:paraId="2216BA50" w14:textId="4F4C4FB8" w:rsidR="00475ED3" w:rsidRDefault="00444660" w:rsidP="003B4E4B">
      <w:pPr>
        <w:keepNext/>
        <w:spacing w:after="0"/>
        <w:rPr>
          <w:noProof/>
        </w:rPr>
      </w:pPr>
      <w:r w:rsidRPr="00444660">
        <w:rPr>
          <w:noProof/>
        </w:rPr>
        <w:t xml:space="preserve"> </w:t>
      </w:r>
    </w:p>
    <w:p w14:paraId="4F3B775F" w14:textId="415FCAC9" w:rsidR="00350C25" w:rsidRPr="009B1267" w:rsidRDefault="00350C25" w:rsidP="00475ED3">
      <w:pPr>
        <w:pStyle w:val="CT-SOURCE"/>
        <w:rPr>
          <w:noProof/>
        </w:rPr>
      </w:pPr>
      <w:r>
        <w:rPr>
          <w:noProof/>
        </w:rPr>
        <w:t>Source: PRIMES.</w:t>
      </w:r>
    </w:p>
    <w:p w14:paraId="375F4657" w14:textId="77777777" w:rsidR="00350C25" w:rsidRDefault="00350C25" w:rsidP="00475ED3">
      <w:pPr>
        <w:keepNext/>
        <w:autoSpaceDE w:val="0"/>
        <w:autoSpaceDN w:val="0"/>
        <w:adjustRightInd w:val="0"/>
        <w:spacing w:after="0"/>
        <w:ind w:left="-142"/>
        <w:rPr>
          <w:rFonts w:cstheme="minorBidi"/>
          <w:noProof/>
        </w:rPr>
      </w:pPr>
    </w:p>
    <w:p w14:paraId="3A3A31EE" w14:textId="5F32E795" w:rsidR="00350C25" w:rsidRPr="00630343" w:rsidRDefault="00BA6EB5" w:rsidP="00F7719F">
      <w:pPr>
        <w:pStyle w:val="Heading4"/>
        <w:rPr>
          <w:noProof/>
        </w:rPr>
      </w:pPr>
      <w:bookmarkStart w:id="286" w:name="_Ref146548384"/>
      <w:r>
        <w:rPr>
          <w:noProof/>
        </w:rPr>
        <w:t>Process</w:t>
      </w:r>
      <w:r w:rsidR="00350C25" w:rsidRPr="00630343">
        <w:rPr>
          <w:noProof/>
        </w:rPr>
        <w:t>-related CO</w:t>
      </w:r>
      <w:r w:rsidR="00350C25" w:rsidRPr="00167A06">
        <w:rPr>
          <w:noProof/>
          <w:vertAlign w:val="subscript"/>
        </w:rPr>
        <w:t>2</w:t>
      </w:r>
      <w:r w:rsidR="00350C25" w:rsidRPr="00630343">
        <w:rPr>
          <w:noProof/>
        </w:rPr>
        <w:t xml:space="preserve"> emissions</w:t>
      </w:r>
      <w:bookmarkEnd w:id="286"/>
    </w:p>
    <w:p w14:paraId="0AC4AD6C" w14:textId="4B327F11" w:rsidR="002C1E83" w:rsidRDefault="002A22BC" w:rsidP="002C1E83">
      <w:pPr>
        <w:ind w:left="-142"/>
        <w:rPr>
          <w:rFonts w:cstheme="minorBidi"/>
          <w:noProof/>
        </w:rPr>
      </w:pPr>
      <w:r>
        <w:rPr>
          <w:rFonts w:cstheme="minorBidi"/>
          <w:noProof/>
          <w:lang w:val="en-IE"/>
        </w:rPr>
        <w:fldChar w:fldCharType="begin"/>
      </w:r>
      <w:r>
        <w:rPr>
          <w:rFonts w:cstheme="minorBidi"/>
          <w:noProof/>
        </w:rPr>
        <w:instrText xml:space="preserve"> REF _Ref147758541 \h </w:instrText>
      </w:r>
      <w:r>
        <w:rPr>
          <w:rFonts w:cstheme="minorBidi"/>
          <w:noProof/>
          <w:lang w:val="en-IE"/>
        </w:rPr>
      </w:r>
      <w:r>
        <w:rPr>
          <w:rFonts w:cstheme="minorBidi"/>
          <w:noProof/>
          <w:lang w:val="en-IE"/>
        </w:rPr>
        <w:fldChar w:fldCharType="separate"/>
      </w:r>
      <w:r w:rsidR="00170A3C">
        <w:rPr>
          <w:noProof/>
        </w:rPr>
        <w:t>Figure 53</w:t>
      </w:r>
      <w:r>
        <w:rPr>
          <w:rFonts w:cstheme="minorBidi"/>
          <w:noProof/>
          <w:lang w:val="en-IE"/>
        </w:rPr>
        <w:fldChar w:fldCharType="end"/>
      </w:r>
      <w:r w:rsidR="00444A4D">
        <w:rPr>
          <w:rFonts w:cstheme="minorBidi"/>
          <w:noProof/>
          <w:lang w:val="en-IE"/>
        </w:rPr>
        <w:t xml:space="preserve"> </w:t>
      </w:r>
      <w:r w:rsidR="00945547">
        <w:rPr>
          <w:rFonts w:cstheme="minorBidi"/>
          <w:noProof/>
        </w:rPr>
        <w:t>shows that process-related CO2 emissions</w:t>
      </w:r>
      <w:r w:rsidR="00BA6EB5">
        <w:rPr>
          <w:rFonts w:cstheme="minorBidi"/>
          <w:noProof/>
        </w:rPr>
        <w:t>,</w:t>
      </w:r>
      <w:r w:rsidR="00945547">
        <w:rPr>
          <w:rFonts w:cstheme="minorBidi"/>
          <w:noProof/>
        </w:rPr>
        <w:t xml:space="preserve"> are projected to decreased by around 30% in 2030 compared to 2015. In 2040, emissions </w:t>
      </w:r>
      <w:r w:rsidR="003440D6">
        <w:rPr>
          <w:rFonts w:cstheme="minorBidi"/>
          <w:noProof/>
        </w:rPr>
        <w:t xml:space="preserve">amount </w:t>
      </w:r>
      <w:r w:rsidR="00945547">
        <w:rPr>
          <w:rFonts w:cstheme="minorBidi"/>
          <w:noProof/>
        </w:rPr>
        <w:t xml:space="preserve">respectively </w:t>
      </w:r>
      <w:r w:rsidR="003440D6">
        <w:rPr>
          <w:rFonts w:cstheme="minorBidi"/>
          <w:noProof/>
        </w:rPr>
        <w:t xml:space="preserve">to </w:t>
      </w:r>
      <w:r w:rsidR="00945547" w:rsidRPr="00EA56BF">
        <w:rPr>
          <w:rFonts w:cstheme="minorBidi"/>
          <w:noProof/>
        </w:rPr>
        <w:t>around 135, 85 and 10 MtCO2</w:t>
      </w:r>
      <w:r w:rsidR="00C83147" w:rsidRPr="00EA56BF">
        <w:rPr>
          <w:rFonts w:cstheme="minorBidi"/>
          <w:noProof/>
        </w:rPr>
        <w:t xml:space="preserve"> in S1, S2 and S3</w:t>
      </w:r>
      <w:r w:rsidR="00945547" w:rsidRPr="00EA56BF">
        <w:rPr>
          <w:rFonts w:cstheme="minorBidi"/>
          <w:noProof/>
        </w:rPr>
        <w:t xml:space="preserve">, </w:t>
      </w:r>
      <w:r w:rsidR="00824847" w:rsidRPr="00EA56BF">
        <w:rPr>
          <w:rFonts w:cstheme="minorBidi"/>
          <w:noProof/>
        </w:rPr>
        <w:t>i.e.,</w:t>
      </w:r>
      <w:r w:rsidR="00945547" w:rsidRPr="00EA56BF">
        <w:rPr>
          <w:rFonts w:cstheme="minorBidi"/>
          <w:noProof/>
        </w:rPr>
        <w:t xml:space="preserve"> </w:t>
      </w:r>
      <w:r w:rsidR="00C83147" w:rsidRPr="00EA56BF">
        <w:rPr>
          <w:rFonts w:cstheme="minorBidi"/>
          <w:noProof/>
        </w:rPr>
        <w:t xml:space="preserve">reducing </w:t>
      </w:r>
      <w:r w:rsidR="00945547" w:rsidRPr="00EA56BF">
        <w:rPr>
          <w:rFonts w:cstheme="minorBidi"/>
          <w:noProof/>
        </w:rPr>
        <w:t>approximately between 20% and 95</w:t>
      </w:r>
      <w:r w:rsidR="00945547">
        <w:rPr>
          <w:rFonts w:cstheme="minorBidi"/>
          <w:noProof/>
        </w:rPr>
        <w:t xml:space="preserve">% (vs 2030). </w:t>
      </w:r>
      <w:r w:rsidR="002C1E83">
        <w:rPr>
          <w:rFonts w:cstheme="minorBidi"/>
          <w:noProof/>
        </w:rPr>
        <w:t xml:space="preserve">By 2050, all scenarios show negligible residual emissions. </w:t>
      </w:r>
    </w:p>
    <w:p w14:paraId="25AE385D" w14:textId="3B405C9E" w:rsidR="00350C25" w:rsidRDefault="00350C25" w:rsidP="009642DE">
      <w:pPr>
        <w:pStyle w:val="Caption"/>
        <w:rPr>
          <w:noProof/>
        </w:rPr>
      </w:pPr>
      <w:bookmarkStart w:id="287" w:name="_Ref143176098"/>
      <w:bookmarkStart w:id="288" w:name="_Ref147758541"/>
      <w:bookmarkStart w:id="289" w:name="_Toc157679801"/>
      <w:r>
        <w:rPr>
          <w:noProof/>
        </w:rPr>
        <w:t xml:space="preserve">Figure </w:t>
      </w:r>
      <w:bookmarkEnd w:id="287"/>
      <w:r w:rsidR="00F2742D">
        <w:rPr>
          <w:noProof/>
        </w:rPr>
        <w:fldChar w:fldCharType="begin"/>
      </w:r>
      <w:r w:rsidR="00F2742D">
        <w:rPr>
          <w:noProof/>
        </w:rPr>
        <w:instrText xml:space="preserve"> SEQ Figure \* ARABIC </w:instrText>
      </w:r>
      <w:r w:rsidR="00F2742D">
        <w:rPr>
          <w:noProof/>
        </w:rPr>
        <w:fldChar w:fldCharType="separate"/>
      </w:r>
      <w:r w:rsidR="00170A3C">
        <w:rPr>
          <w:noProof/>
        </w:rPr>
        <w:t>53</w:t>
      </w:r>
      <w:r w:rsidR="00F2742D">
        <w:rPr>
          <w:noProof/>
        </w:rPr>
        <w:fldChar w:fldCharType="end"/>
      </w:r>
      <w:bookmarkEnd w:id="288"/>
      <w:r>
        <w:rPr>
          <w:noProof/>
        </w:rPr>
        <w:t xml:space="preserve">: </w:t>
      </w:r>
      <w:r w:rsidR="00BA6EB5">
        <w:rPr>
          <w:noProof/>
        </w:rPr>
        <w:t>Process</w:t>
      </w:r>
      <w:r>
        <w:rPr>
          <w:noProof/>
        </w:rPr>
        <w:t xml:space="preserve"> CO2 emissions in industry</w:t>
      </w:r>
      <w:r w:rsidR="00444A4D">
        <w:rPr>
          <w:noProof/>
        </w:rPr>
        <w:t xml:space="preserve"> by sector</w:t>
      </w:r>
      <w:bookmarkEnd w:id="289"/>
    </w:p>
    <w:p w14:paraId="56F9FE96" w14:textId="58D04F9B" w:rsidR="009642DE" w:rsidRPr="00442DA4" w:rsidRDefault="007113DD" w:rsidP="009642DE">
      <w:pPr>
        <w:keepNext/>
        <w:spacing w:after="0"/>
        <w:rPr>
          <w:noProof/>
        </w:rPr>
      </w:pPr>
      <w:r w:rsidRPr="007113DD">
        <w:rPr>
          <w:noProof/>
          <w:lang w:eastAsia="en-GB"/>
        </w:rPr>
        <w:drawing>
          <wp:inline distT="0" distB="0" distL="0" distR="0" wp14:anchorId="5927511B" wp14:editId="3E9442B8">
            <wp:extent cx="5234940" cy="2209800"/>
            <wp:effectExtent l="0" t="0" r="3810" b="0"/>
            <wp:docPr id="1406946432" name="Picture 1406946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234940" cy="2209800"/>
                    </a:xfrm>
                    <a:prstGeom prst="rect">
                      <a:avLst/>
                    </a:prstGeom>
                    <a:noFill/>
                    <a:ln>
                      <a:noFill/>
                    </a:ln>
                  </pic:spPr>
                </pic:pic>
              </a:graphicData>
            </a:graphic>
          </wp:inline>
        </w:drawing>
      </w:r>
    </w:p>
    <w:p w14:paraId="3DED0FD5" w14:textId="53769DA3" w:rsidR="00C83147" w:rsidRPr="00822700" w:rsidRDefault="009642DE" w:rsidP="00C83147">
      <w:pPr>
        <w:pStyle w:val="CT-NOTE"/>
        <w:rPr>
          <w:noProof/>
        </w:rPr>
      </w:pPr>
      <w:r w:rsidRPr="00822700">
        <w:rPr>
          <w:noProof/>
        </w:rPr>
        <w:t xml:space="preserve">Note: </w:t>
      </w:r>
      <w:r>
        <w:rPr>
          <w:noProof/>
        </w:rPr>
        <w:t>Metal production includes both ferrous and non</w:t>
      </w:r>
      <w:r w:rsidR="008A0E97">
        <w:rPr>
          <w:noProof/>
        </w:rPr>
        <w:t>-</w:t>
      </w:r>
      <w:r>
        <w:rPr>
          <w:noProof/>
        </w:rPr>
        <w:t>ferrous materials</w:t>
      </w:r>
      <w:r w:rsidRPr="00822700">
        <w:rPr>
          <w:noProof/>
        </w:rPr>
        <w:t>.</w:t>
      </w:r>
      <w:r w:rsidRPr="00D7731C">
        <w:rPr>
          <w:noProof/>
        </w:rPr>
        <w:t xml:space="preserve"> </w:t>
      </w:r>
      <w:r w:rsidR="00C83147">
        <w:rPr>
          <w:noProof/>
        </w:rPr>
        <w:t xml:space="preserve">For 2050, </w:t>
      </w:r>
      <w:r w:rsidR="001F094B">
        <w:rPr>
          <w:noProof/>
        </w:rPr>
        <w:t>S1 and S2 values are similar to S3</w:t>
      </w:r>
      <w:r w:rsidR="00C83147" w:rsidRPr="00D7731C">
        <w:rPr>
          <w:noProof/>
        </w:rPr>
        <w:t xml:space="preserve"> and not represented</w:t>
      </w:r>
      <w:r w:rsidR="00C83147">
        <w:rPr>
          <w:noProof/>
        </w:rPr>
        <w:t>.</w:t>
      </w:r>
    </w:p>
    <w:p w14:paraId="15BEF7D1" w14:textId="77777777" w:rsidR="009642DE" w:rsidRDefault="009642DE" w:rsidP="00B9712E">
      <w:pPr>
        <w:pStyle w:val="CT-SOURCE"/>
        <w:keepNext w:val="0"/>
        <w:rPr>
          <w:rFonts w:cstheme="minorBidi"/>
          <w:noProof/>
        </w:rPr>
      </w:pPr>
      <w:r>
        <w:rPr>
          <w:noProof/>
        </w:rPr>
        <w:t>Source: PRIMES</w:t>
      </w:r>
    </w:p>
    <w:p w14:paraId="0A1E8C2B" w14:textId="4621E31A" w:rsidR="00945547" w:rsidRDefault="00945547" w:rsidP="00945547">
      <w:pPr>
        <w:ind w:left="-142"/>
        <w:rPr>
          <w:rFonts w:cstheme="minorBidi"/>
          <w:noProof/>
        </w:rPr>
      </w:pPr>
      <w:r>
        <w:rPr>
          <w:rFonts w:cstheme="minorBidi"/>
          <w:noProof/>
        </w:rPr>
        <w:t>The</w:t>
      </w:r>
      <w:r w:rsidR="003A08D7">
        <w:rPr>
          <w:rFonts w:cstheme="minorBidi"/>
          <w:noProof/>
        </w:rPr>
        <w:t xml:space="preserve"> role of </w:t>
      </w:r>
      <w:r w:rsidR="0023138B">
        <w:rPr>
          <w:rFonts w:cstheme="minorBidi"/>
          <w:noProof/>
        </w:rPr>
        <w:t>carbon capture</w:t>
      </w:r>
      <w:r w:rsidR="009B09E1" w:rsidRPr="009B09E1">
        <w:rPr>
          <w:rFonts w:cstheme="minorBidi"/>
          <w:noProof/>
        </w:rPr>
        <w:t> (</w:t>
      </w:r>
      <w:r w:rsidR="009B09E1">
        <w:rPr>
          <w:rStyle w:val="FootnoteReference"/>
          <w:rFonts w:cstheme="minorBidi"/>
          <w:noProof/>
        </w:rPr>
        <w:footnoteReference w:id="88"/>
      </w:r>
      <w:r w:rsidR="009B09E1">
        <w:rPr>
          <w:rFonts w:cstheme="minorBidi"/>
          <w:noProof/>
        </w:rPr>
        <w:t>)</w:t>
      </w:r>
      <w:r w:rsidR="0023138B">
        <w:rPr>
          <w:rFonts w:cstheme="minorBidi"/>
          <w:noProof/>
        </w:rPr>
        <w:t xml:space="preserve"> </w:t>
      </w:r>
      <w:r w:rsidR="003C034F">
        <w:rPr>
          <w:rFonts w:cstheme="minorBidi"/>
          <w:noProof/>
        </w:rPr>
        <w:t xml:space="preserve">is pivotal to explain </w:t>
      </w:r>
      <w:r>
        <w:rPr>
          <w:rFonts w:cstheme="minorBidi"/>
          <w:noProof/>
        </w:rPr>
        <w:t xml:space="preserve">differences </w:t>
      </w:r>
      <w:r w:rsidR="0052180B">
        <w:rPr>
          <w:rFonts w:cstheme="minorBidi"/>
          <w:noProof/>
        </w:rPr>
        <w:t xml:space="preserve">on total net process emissions </w:t>
      </w:r>
      <w:r w:rsidR="001045CA">
        <w:rPr>
          <w:rFonts w:cstheme="minorBidi"/>
          <w:noProof/>
        </w:rPr>
        <w:t xml:space="preserve">across </w:t>
      </w:r>
      <w:r>
        <w:rPr>
          <w:rFonts w:cstheme="minorBidi"/>
          <w:noProof/>
        </w:rPr>
        <w:t>scenarios in 2040 and</w:t>
      </w:r>
      <w:r w:rsidR="009046EE">
        <w:rPr>
          <w:rFonts w:cstheme="minorBidi"/>
          <w:noProof/>
        </w:rPr>
        <w:t xml:space="preserve"> the negligible emissions </w:t>
      </w:r>
      <w:r w:rsidR="00BC7E46">
        <w:rPr>
          <w:rFonts w:cstheme="minorBidi"/>
          <w:noProof/>
        </w:rPr>
        <w:t>in</w:t>
      </w:r>
      <w:r>
        <w:rPr>
          <w:rFonts w:cstheme="minorBidi"/>
          <w:noProof/>
        </w:rPr>
        <w:t xml:space="preserve"> 2050 (</w:t>
      </w:r>
      <w:r w:rsidR="002A22BC">
        <w:rPr>
          <w:rFonts w:cstheme="minorBidi"/>
          <w:noProof/>
        </w:rPr>
        <w:fldChar w:fldCharType="begin"/>
      </w:r>
      <w:r w:rsidR="002A22BC">
        <w:rPr>
          <w:rFonts w:cstheme="minorBidi"/>
          <w:noProof/>
        </w:rPr>
        <w:instrText xml:space="preserve"> REF _Ref147758900 \h </w:instrText>
      </w:r>
      <w:r w:rsidR="002A22BC">
        <w:rPr>
          <w:rFonts w:cstheme="minorBidi"/>
          <w:noProof/>
        </w:rPr>
      </w:r>
      <w:r w:rsidR="002A22BC">
        <w:rPr>
          <w:rFonts w:cstheme="minorBidi"/>
          <w:noProof/>
        </w:rPr>
        <w:fldChar w:fldCharType="separate"/>
      </w:r>
      <w:r w:rsidR="00170A3C">
        <w:rPr>
          <w:noProof/>
        </w:rPr>
        <w:t>Figure 54</w:t>
      </w:r>
      <w:r w:rsidR="002A22BC">
        <w:rPr>
          <w:rFonts w:cstheme="minorBidi"/>
          <w:noProof/>
        </w:rPr>
        <w:fldChar w:fldCharType="end"/>
      </w:r>
      <w:r w:rsidR="00EF6BEB" w:rsidRPr="002A22BC">
        <w:rPr>
          <w:rFonts w:cstheme="minorBidi"/>
          <w:noProof/>
        </w:rPr>
        <w:t>)</w:t>
      </w:r>
      <w:r w:rsidRPr="002A22BC">
        <w:rPr>
          <w:rFonts w:cstheme="minorBidi"/>
          <w:noProof/>
        </w:rPr>
        <w:t>.</w:t>
      </w:r>
      <w:r>
        <w:rPr>
          <w:rFonts w:cstheme="minorBidi"/>
          <w:noProof/>
        </w:rPr>
        <w:t xml:space="preserve"> In S1 only </w:t>
      </w:r>
      <w:r w:rsidR="00523732">
        <w:rPr>
          <w:rFonts w:cstheme="minorBidi"/>
          <w:noProof/>
        </w:rPr>
        <w:t>around 40</w:t>
      </w:r>
      <w:r w:rsidR="00C83147">
        <w:rPr>
          <w:rFonts w:cstheme="minorBidi"/>
          <w:noProof/>
        </w:rPr>
        <w:t> </w:t>
      </w:r>
      <w:r>
        <w:rPr>
          <w:rFonts w:cstheme="minorBidi"/>
          <w:noProof/>
        </w:rPr>
        <w:t xml:space="preserve">MtCO2 are </w:t>
      </w:r>
      <w:r w:rsidR="001045CA">
        <w:rPr>
          <w:rFonts w:cstheme="minorBidi"/>
          <w:noProof/>
        </w:rPr>
        <w:t xml:space="preserve">projected to be </w:t>
      </w:r>
      <w:r>
        <w:rPr>
          <w:rFonts w:cstheme="minorBidi"/>
          <w:noProof/>
        </w:rPr>
        <w:t>captured in 2040, in line with the l</w:t>
      </w:r>
      <w:r w:rsidR="00333FDB">
        <w:rPr>
          <w:rFonts w:cstheme="minorBidi"/>
          <w:noProof/>
        </w:rPr>
        <w:t>imited</w:t>
      </w:r>
      <w:r>
        <w:rPr>
          <w:rFonts w:cstheme="minorBidi"/>
          <w:noProof/>
        </w:rPr>
        <w:t xml:space="preserve"> uptake of capture technologies. This value </w:t>
      </w:r>
      <w:r w:rsidR="00EE05B9">
        <w:rPr>
          <w:rFonts w:cstheme="minorBidi"/>
          <w:noProof/>
        </w:rPr>
        <w:t>leaps</w:t>
      </w:r>
      <w:r>
        <w:rPr>
          <w:rFonts w:cstheme="minorBidi"/>
          <w:noProof/>
        </w:rPr>
        <w:t xml:space="preserve"> to </w:t>
      </w:r>
      <w:r w:rsidRPr="001045CA">
        <w:rPr>
          <w:rFonts w:cstheme="minorBidi"/>
          <w:noProof/>
        </w:rPr>
        <w:t>around 12</w:t>
      </w:r>
      <w:r w:rsidR="00523732">
        <w:rPr>
          <w:rFonts w:cstheme="minorBidi"/>
          <w:noProof/>
        </w:rPr>
        <w:t>0</w:t>
      </w:r>
      <w:r w:rsidRPr="001045CA">
        <w:rPr>
          <w:rFonts w:cstheme="minorBidi"/>
          <w:noProof/>
        </w:rPr>
        <w:t xml:space="preserve"> MtCO2</w:t>
      </w:r>
      <w:r>
        <w:rPr>
          <w:rFonts w:cstheme="minorBidi"/>
          <w:noProof/>
        </w:rPr>
        <w:t xml:space="preserve"> in S2, of which around </w:t>
      </w:r>
      <w:r w:rsidR="00523732">
        <w:rPr>
          <w:rFonts w:cstheme="minorBidi"/>
          <w:noProof/>
        </w:rPr>
        <w:t>6</w:t>
      </w:r>
      <w:r w:rsidR="006F7D6E">
        <w:rPr>
          <w:rFonts w:cstheme="minorBidi"/>
          <w:noProof/>
        </w:rPr>
        <w:t xml:space="preserve">5% goes to e-fuel production and </w:t>
      </w:r>
      <w:r w:rsidR="00523732">
        <w:rPr>
          <w:rFonts w:cstheme="minorBidi"/>
          <w:noProof/>
        </w:rPr>
        <w:t>3</w:t>
      </w:r>
      <w:r>
        <w:rPr>
          <w:rFonts w:cstheme="minorBidi"/>
          <w:noProof/>
        </w:rPr>
        <w:t>5% goes to underground storage (</w:t>
      </w:r>
      <w:r w:rsidRPr="002A22BC">
        <w:rPr>
          <w:rFonts w:cstheme="minorBidi"/>
          <w:noProof/>
        </w:rPr>
        <w:t xml:space="preserve">see </w:t>
      </w:r>
      <w:r w:rsidRPr="002A22BC">
        <w:rPr>
          <w:rFonts w:cstheme="minorBidi"/>
          <w:noProof/>
        </w:rPr>
        <w:fldChar w:fldCharType="begin"/>
      </w:r>
      <w:r w:rsidRPr="001045CA">
        <w:rPr>
          <w:rFonts w:cstheme="minorBidi"/>
          <w:noProof/>
          <w:highlight w:val="yellow"/>
        </w:rPr>
        <w:instrText xml:space="preserve"> REF _Ref139442367 \h </w:instrText>
      </w:r>
      <w:r w:rsidR="001045CA">
        <w:rPr>
          <w:rFonts w:cstheme="minorBidi"/>
          <w:noProof/>
          <w:highlight w:val="yellow"/>
        </w:rPr>
        <w:instrText xml:space="preserve"> \* MERGEFORMAT </w:instrText>
      </w:r>
      <w:r w:rsidRPr="002A22BC">
        <w:rPr>
          <w:rFonts w:cstheme="minorBidi"/>
          <w:noProof/>
        </w:rPr>
      </w:r>
      <w:r w:rsidRPr="002A22BC">
        <w:rPr>
          <w:rFonts w:cstheme="minorBidi"/>
          <w:noProof/>
        </w:rPr>
        <w:fldChar w:fldCharType="separate"/>
      </w:r>
      <w:r w:rsidR="00170A3C" w:rsidRPr="009932B2">
        <w:rPr>
          <w:noProof/>
        </w:rPr>
        <w:t xml:space="preserve">Figure </w:t>
      </w:r>
      <w:r w:rsidR="00170A3C">
        <w:rPr>
          <w:noProof/>
        </w:rPr>
        <w:t>11</w:t>
      </w:r>
      <w:r w:rsidRPr="002A22BC">
        <w:rPr>
          <w:rFonts w:cstheme="minorBidi"/>
          <w:noProof/>
        </w:rPr>
        <w:fldChar w:fldCharType="end"/>
      </w:r>
      <w:r w:rsidRPr="002A22BC">
        <w:rPr>
          <w:rFonts w:cstheme="minorBidi"/>
          <w:noProof/>
        </w:rPr>
        <w:t xml:space="preserve"> </w:t>
      </w:r>
      <w:r>
        <w:rPr>
          <w:rFonts w:cstheme="minorBidi"/>
          <w:noProof/>
        </w:rPr>
        <w:t xml:space="preserve">section </w:t>
      </w:r>
      <w:r>
        <w:rPr>
          <w:rFonts w:cstheme="minorBidi"/>
          <w:noProof/>
        </w:rPr>
        <w:fldChar w:fldCharType="begin"/>
      </w:r>
      <w:r>
        <w:rPr>
          <w:rFonts w:cstheme="minorBidi"/>
          <w:noProof/>
        </w:rPr>
        <w:instrText xml:space="preserve"> REF _Ref141910741 \n \h </w:instrText>
      </w:r>
      <w:r>
        <w:rPr>
          <w:rFonts w:cstheme="minorBidi"/>
          <w:noProof/>
        </w:rPr>
      </w:r>
      <w:r>
        <w:rPr>
          <w:rFonts w:cstheme="minorBidi"/>
          <w:noProof/>
        </w:rPr>
        <w:fldChar w:fldCharType="separate"/>
      </w:r>
      <w:r w:rsidR="00170A3C">
        <w:rPr>
          <w:rFonts w:cstheme="minorBidi"/>
          <w:noProof/>
        </w:rPr>
        <w:t>1.1.3.2</w:t>
      </w:r>
      <w:r>
        <w:rPr>
          <w:rFonts w:cstheme="minorBidi"/>
          <w:noProof/>
        </w:rPr>
        <w:fldChar w:fldCharType="end"/>
      </w:r>
      <w:r>
        <w:rPr>
          <w:rFonts w:cstheme="minorBidi"/>
          <w:noProof/>
        </w:rPr>
        <w:t>)</w:t>
      </w:r>
      <w:r w:rsidR="006F7D6E">
        <w:rPr>
          <w:rFonts w:cstheme="minorBidi"/>
          <w:noProof/>
        </w:rPr>
        <w:t>. The stored CO2 is not considered as emitted, and</w:t>
      </w:r>
      <w:r>
        <w:rPr>
          <w:rFonts w:cstheme="minorBidi"/>
          <w:noProof/>
        </w:rPr>
        <w:t xml:space="preserve"> total </w:t>
      </w:r>
      <w:r w:rsidR="006F7D6E">
        <w:rPr>
          <w:rFonts w:cstheme="minorBidi"/>
          <w:noProof/>
        </w:rPr>
        <w:t xml:space="preserve">net </w:t>
      </w:r>
      <w:r>
        <w:rPr>
          <w:rFonts w:cstheme="minorBidi"/>
          <w:noProof/>
        </w:rPr>
        <w:t xml:space="preserve">industrial process emissions </w:t>
      </w:r>
      <w:r w:rsidR="006F7D6E">
        <w:rPr>
          <w:rFonts w:cstheme="minorBidi"/>
          <w:noProof/>
        </w:rPr>
        <w:t xml:space="preserve">reduce </w:t>
      </w:r>
      <w:r>
        <w:rPr>
          <w:rFonts w:cstheme="minorBidi"/>
          <w:noProof/>
        </w:rPr>
        <w:t xml:space="preserve">by a corresponding amount. In S3, </w:t>
      </w:r>
      <w:r w:rsidR="006F7D6E">
        <w:rPr>
          <w:rFonts w:cstheme="minorBidi"/>
          <w:noProof/>
        </w:rPr>
        <w:t xml:space="preserve">the </w:t>
      </w:r>
      <w:r>
        <w:rPr>
          <w:rFonts w:cstheme="minorBidi"/>
          <w:noProof/>
        </w:rPr>
        <w:t>carbon capture</w:t>
      </w:r>
      <w:r w:rsidR="006F7D6E">
        <w:rPr>
          <w:rFonts w:cstheme="minorBidi"/>
          <w:noProof/>
        </w:rPr>
        <w:t>d</w:t>
      </w:r>
      <w:r>
        <w:rPr>
          <w:rFonts w:cstheme="minorBidi"/>
          <w:noProof/>
        </w:rPr>
        <w:t xml:space="preserve"> increase</w:t>
      </w:r>
      <w:r w:rsidR="00333FDB">
        <w:rPr>
          <w:rFonts w:cstheme="minorBidi"/>
          <w:noProof/>
        </w:rPr>
        <w:t>s</w:t>
      </w:r>
      <w:r>
        <w:rPr>
          <w:rFonts w:cstheme="minorBidi"/>
          <w:noProof/>
        </w:rPr>
        <w:t xml:space="preserve"> moderately compared to S2, but it is </w:t>
      </w:r>
      <w:r w:rsidR="006F7D6E">
        <w:rPr>
          <w:rFonts w:cstheme="minorBidi"/>
          <w:noProof/>
        </w:rPr>
        <w:t>mostly stored</w:t>
      </w:r>
      <w:r>
        <w:rPr>
          <w:rFonts w:cstheme="minorBidi"/>
          <w:noProof/>
        </w:rPr>
        <w:t xml:space="preserve"> underground</w:t>
      </w:r>
      <w:r w:rsidR="00D74CB3">
        <w:rPr>
          <w:rFonts w:cstheme="minorBidi"/>
          <w:noProof/>
        </w:rPr>
        <w:t xml:space="preserve"> or in materials</w:t>
      </w:r>
      <w:r w:rsidR="00333FDB">
        <w:rPr>
          <w:rFonts w:cstheme="minorBidi"/>
          <w:noProof/>
        </w:rPr>
        <w:t xml:space="preserve"> and not </w:t>
      </w:r>
      <w:r w:rsidR="00374746">
        <w:rPr>
          <w:rFonts w:cstheme="minorBidi"/>
          <w:noProof/>
        </w:rPr>
        <w:t xml:space="preserve">dedicated to </w:t>
      </w:r>
      <w:r w:rsidR="00333FDB">
        <w:rPr>
          <w:rFonts w:cstheme="minorBidi"/>
          <w:noProof/>
        </w:rPr>
        <w:t>e-fuels</w:t>
      </w:r>
      <w:r w:rsidR="00374746">
        <w:rPr>
          <w:rFonts w:cstheme="minorBidi"/>
          <w:noProof/>
        </w:rPr>
        <w:t xml:space="preserve"> productions</w:t>
      </w:r>
      <w:r>
        <w:rPr>
          <w:rFonts w:cstheme="minorBidi"/>
          <w:noProof/>
        </w:rPr>
        <w:t xml:space="preserve">, reducing </w:t>
      </w:r>
      <w:r w:rsidR="00EE2474">
        <w:rPr>
          <w:rFonts w:cstheme="minorBidi"/>
          <w:noProof/>
        </w:rPr>
        <w:t xml:space="preserve">further </w:t>
      </w:r>
      <w:r>
        <w:rPr>
          <w:rFonts w:cstheme="minorBidi"/>
          <w:noProof/>
        </w:rPr>
        <w:t xml:space="preserve">the </w:t>
      </w:r>
      <w:r w:rsidR="006F7D6E">
        <w:rPr>
          <w:rFonts w:cstheme="minorBidi"/>
          <w:noProof/>
        </w:rPr>
        <w:t xml:space="preserve">net </w:t>
      </w:r>
      <w:r w:rsidR="00374746">
        <w:rPr>
          <w:rFonts w:cstheme="minorBidi"/>
          <w:noProof/>
        </w:rPr>
        <w:t xml:space="preserve">process </w:t>
      </w:r>
      <w:r>
        <w:rPr>
          <w:rFonts w:cstheme="minorBidi"/>
          <w:noProof/>
        </w:rPr>
        <w:t xml:space="preserve">emissions. By 2050, the amount of </w:t>
      </w:r>
      <w:r w:rsidR="00466495">
        <w:rPr>
          <w:rFonts w:cstheme="minorBidi"/>
          <w:noProof/>
        </w:rPr>
        <w:t>total</w:t>
      </w:r>
      <w:r>
        <w:rPr>
          <w:rFonts w:cstheme="minorBidi"/>
          <w:noProof/>
        </w:rPr>
        <w:t xml:space="preserve"> carbon captured increases for </w:t>
      </w:r>
      <w:r w:rsidR="00824847">
        <w:rPr>
          <w:rFonts w:cstheme="minorBidi"/>
          <w:noProof/>
        </w:rPr>
        <w:t>S1,</w:t>
      </w:r>
      <w:r w:rsidR="004C27E2">
        <w:rPr>
          <w:rFonts w:cstheme="minorBidi"/>
          <w:noProof/>
        </w:rPr>
        <w:t xml:space="preserve"> and</w:t>
      </w:r>
      <w:r>
        <w:rPr>
          <w:rFonts w:cstheme="minorBidi"/>
          <w:noProof/>
        </w:rPr>
        <w:t xml:space="preserve"> it is similar to </w:t>
      </w:r>
      <w:r w:rsidR="004C27E2">
        <w:rPr>
          <w:rFonts w:cstheme="minorBidi"/>
          <w:noProof/>
        </w:rPr>
        <w:t xml:space="preserve">2040 values for S2, </w:t>
      </w:r>
      <w:r w:rsidR="006F7D6E">
        <w:rPr>
          <w:rFonts w:cstheme="minorBidi"/>
          <w:noProof/>
        </w:rPr>
        <w:t>but in both scenario</w:t>
      </w:r>
      <w:r>
        <w:rPr>
          <w:rFonts w:cstheme="minorBidi"/>
          <w:noProof/>
        </w:rPr>
        <w:t xml:space="preserve"> it is </w:t>
      </w:r>
      <w:r w:rsidR="007E5E7F">
        <w:rPr>
          <w:rFonts w:cstheme="minorBidi"/>
          <w:noProof/>
        </w:rPr>
        <w:t>fully</w:t>
      </w:r>
      <w:r w:rsidR="004C27E2">
        <w:rPr>
          <w:rFonts w:cstheme="minorBidi"/>
          <w:noProof/>
        </w:rPr>
        <w:t xml:space="preserve"> </w:t>
      </w:r>
      <w:r w:rsidR="006F7D6E">
        <w:rPr>
          <w:rFonts w:cstheme="minorBidi"/>
          <w:noProof/>
        </w:rPr>
        <w:t>stored either</w:t>
      </w:r>
      <w:r w:rsidR="004C27E2">
        <w:rPr>
          <w:rFonts w:cstheme="minorBidi"/>
          <w:noProof/>
        </w:rPr>
        <w:t xml:space="preserve"> underground </w:t>
      </w:r>
      <w:r w:rsidR="006F7D6E">
        <w:rPr>
          <w:rFonts w:cstheme="minorBidi"/>
          <w:noProof/>
        </w:rPr>
        <w:t>or</w:t>
      </w:r>
      <w:r w:rsidR="004C27E2">
        <w:rPr>
          <w:rFonts w:cstheme="minorBidi"/>
          <w:noProof/>
        </w:rPr>
        <w:t xml:space="preserve"> in materials</w:t>
      </w:r>
      <w:r w:rsidR="007314C3">
        <w:rPr>
          <w:rFonts w:cstheme="minorBidi"/>
          <w:noProof/>
        </w:rPr>
        <w:t>,</w:t>
      </w:r>
      <w:r w:rsidR="00D74CB3">
        <w:rPr>
          <w:rFonts w:cstheme="minorBidi"/>
          <w:noProof/>
        </w:rPr>
        <w:t xml:space="preserve"> </w:t>
      </w:r>
      <w:r w:rsidR="008527C7">
        <w:rPr>
          <w:rFonts w:cstheme="minorBidi"/>
          <w:noProof/>
        </w:rPr>
        <w:t xml:space="preserve">reducing </w:t>
      </w:r>
      <w:r w:rsidR="00333FDB">
        <w:rPr>
          <w:rFonts w:cstheme="minorBidi"/>
          <w:noProof/>
        </w:rPr>
        <w:t xml:space="preserve">net </w:t>
      </w:r>
      <w:r w:rsidR="008527C7">
        <w:rPr>
          <w:rFonts w:cstheme="minorBidi"/>
          <w:noProof/>
        </w:rPr>
        <w:t xml:space="preserve">emission further </w:t>
      </w:r>
      <w:r w:rsidR="006F7D6E">
        <w:rPr>
          <w:rFonts w:cstheme="minorBidi"/>
          <w:noProof/>
        </w:rPr>
        <w:t xml:space="preserve">than in </w:t>
      </w:r>
      <w:r w:rsidR="008527C7">
        <w:rPr>
          <w:rFonts w:cstheme="minorBidi"/>
          <w:noProof/>
        </w:rPr>
        <w:t>2040</w:t>
      </w:r>
      <w:r w:rsidR="00D74CB3">
        <w:rPr>
          <w:rFonts w:cstheme="minorBidi"/>
          <w:noProof/>
        </w:rPr>
        <w:t xml:space="preserve"> and </w:t>
      </w:r>
      <w:r w:rsidR="00F42FE1">
        <w:rPr>
          <w:rFonts w:cstheme="minorBidi"/>
          <w:noProof/>
        </w:rPr>
        <w:t>reusing</w:t>
      </w:r>
      <w:r w:rsidR="00D74CB3">
        <w:rPr>
          <w:rFonts w:cstheme="minorBidi"/>
          <w:noProof/>
        </w:rPr>
        <w:t xml:space="preserve"> CO2 within the industry</w:t>
      </w:r>
      <w:r w:rsidR="008527C7">
        <w:rPr>
          <w:rFonts w:cstheme="minorBidi"/>
          <w:noProof/>
        </w:rPr>
        <w:t xml:space="preserve">. </w:t>
      </w:r>
      <w:r w:rsidR="006F7D6E">
        <w:rPr>
          <w:rFonts w:cstheme="minorBidi"/>
          <w:noProof/>
        </w:rPr>
        <w:t xml:space="preserve">In S3, </w:t>
      </w:r>
      <w:r w:rsidR="00333FDB">
        <w:rPr>
          <w:rFonts w:cstheme="minorBidi"/>
          <w:noProof/>
        </w:rPr>
        <w:t xml:space="preserve">a similar amount of </w:t>
      </w:r>
      <w:r w:rsidR="00AA5F61">
        <w:rPr>
          <w:rFonts w:cstheme="minorBidi"/>
          <w:noProof/>
        </w:rPr>
        <w:t xml:space="preserve">carbon </w:t>
      </w:r>
      <w:r w:rsidR="00333FDB">
        <w:rPr>
          <w:rFonts w:cstheme="minorBidi"/>
          <w:noProof/>
        </w:rPr>
        <w:t xml:space="preserve">is </w:t>
      </w:r>
      <w:r w:rsidR="00AA5F61">
        <w:rPr>
          <w:rFonts w:cstheme="minorBidi"/>
          <w:noProof/>
        </w:rPr>
        <w:t xml:space="preserve">captured </w:t>
      </w:r>
      <w:r w:rsidR="00333FDB">
        <w:rPr>
          <w:rFonts w:cstheme="minorBidi"/>
          <w:noProof/>
        </w:rPr>
        <w:t>yearly between</w:t>
      </w:r>
      <w:r w:rsidR="00F34198">
        <w:rPr>
          <w:rFonts w:cstheme="minorBidi"/>
          <w:noProof/>
        </w:rPr>
        <w:t xml:space="preserve"> </w:t>
      </w:r>
      <w:r>
        <w:rPr>
          <w:rFonts w:cstheme="minorBidi"/>
          <w:noProof/>
        </w:rPr>
        <w:t xml:space="preserve">2040 </w:t>
      </w:r>
      <w:r w:rsidR="00AA5F61">
        <w:rPr>
          <w:rFonts w:cstheme="minorBidi"/>
          <w:noProof/>
        </w:rPr>
        <w:t xml:space="preserve">and 2050, </w:t>
      </w:r>
      <w:r w:rsidR="00217F4F">
        <w:rPr>
          <w:rFonts w:cstheme="minorBidi"/>
          <w:noProof/>
        </w:rPr>
        <w:t xml:space="preserve">resulting in </w:t>
      </w:r>
      <w:r w:rsidR="00AA5F61">
        <w:rPr>
          <w:rFonts w:cstheme="minorBidi"/>
          <w:noProof/>
        </w:rPr>
        <w:t xml:space="preserve">limited reduction in </w:t>
      </w:r>
      <w:r w:rsidR="00217F4F">
        <w:rPr>
          <w:rFonts w:cstheme="minorBidi"/>
          <w:noProof/>
        </w:rPr>
        <w:t xml:space="preserve">net </w:t>
      </w:r>
      <w:r w:rsidR="00AA5F61">
        <w:rPr>
          <w:rFonts w:cstheme="minorBidi"/>
          <w:noProof/>
        </w:rPr>
        <w:t>emission</w:t>
      </w:r>
      <w:r w:rsidR="00333FDB">
        <w:rPr>
          <w:rFonts w:cstheme="minorBidi"/>
          <w:noProof/>
        </w:rPr>
        <w:t>s</w:t>
      </w:r>
      <w:r w:rsidR="00AA5F61">
        <w:rPr>
          <w:rFonts w:cstheme="minorBidi"/>
          <w:noProof/>
        </w:rPr>
        <w:t xml:space="preserve"> in the 2041-2050 decade</w:t>
      </w:r>
      <w:r w:rsidR="00217F4F">
        <w:rPr>
          <w:rFonts w:cstheme="minorBidi"/>
          <w:noProof/>
        </w:rPr>
        <w:t>.</w:t>
      </w:r>
      <w:r w:rsidR="000807AA">
        <w:rPr>
          <w:rFonts w:cstheme="minorBidi"/>
          <w:noProof/>
        </w:rPr>
        <w:t xml:space="preserve"> </w:t>
      </w:r>
      <w:r w:rsidR="00CB1E78">
        <w:rPr>
          <w:rFonts w:cstheme="minorBidi"/>
          <w:noProof/>
        </w:rPr>
        <w:t xml:space="preserve">In </w:t>
      </w:r>
      <w:r w:rsidR="00523732">
        <w:rPr>
          <w:rFonts w:cstheme="minorBidi"/>
          <w:noProof/>
        </w:rPr>
        <w:t>L</w:t>
      </w:r>
      <w:r w:rsidR="000F4132">
        <w:rPr>
          <w:rFonts w:cstheme="minorBidi"/>
          <w:noProof/>
        </w:rPr>
        <w:t>IFE, carbon capture falls short</w:t>
      </w:r>
      <w:r w:rsidR="00523732">
        <w:rPr>
          <w:rFonts w:cstheme="minorBidi"/>
          <w:noProof/>
        </w:rPr>
        <w:t xml:space="preserve"> to S3 in 2040 and 2050, as result of more emission reductions elsewhere</w:t>
      </w:r>
      <w:r w:rsidR="000F4132">
        <w:rPr>
          <w:rFonts w:cstheme="minorBidi"/>
          <w:noProof/>
        </w:rPr>
        <w:t xml:space="preserve"> (see </w:t>
      </w:r>
      <w:r w:rsidR="00333FDB">
        <w:rPr>
          <w:rFonts w:cstheme="minorBidi"/>
          <w:noProof/>
        </w:rPr>
        <w:fldChar w:fldCharType="begin"/>
      </w:r>
      <w:r w:rsidR="00333FDB">
        <w:rPr>
          <w:rFonts w:cstheme="minorBidi"/>
          <w:noProof/>
        </w:rPr>
        <w:instrText xml:space="preserve"> REF _Ref143330757 \n \h </w:instrText>
      </w:r>
      <w:r w:rsidR="00333FDB">
        <w:rPr>
          <w:rFonts w:cstheme="minorBidi"/>
          <w:noProof/>
        </w:rPr>
      </w:r>
      <w:r w:rsidR="00333FDB">
        <w:rPr>
          <w:rFonts w:cstheme="minorBidi"/>
          <w:noProof/>
        </w:rPr>
        <w:fldChar w:fldCharType="separate"/>
      </w:r>
      <w:r w:rsidR="00170A3C">
        <w:rPr>
          <w:rFonts w:cstheme="minorBidi"/>
          <w:noProof/>
        </w:rPr>
        <w:t>1.4.2</w:t>
      </w:r>
      <w:r w:rsidR="00333FDB">
        <w:rPr>
          <w:rFonts w:cstheme="minorBidi"/>
          <w:noProof/>
        </w:rPr>
        <w:fldChar w:fldCharType="end"/>
      </w:r>
      <w:r w:rsidR="00333FDB">
        <w:rPr>
          <w:rFonts w:cstheme="minorBidi"/>
          <w:noProof/>
        </w:rPr>
        <w:t xml:space="preserve"> in this Annex). </w:t>
      </w:r>
    </w:p>
    <w:p w14:paraId="5BD1E295" w14:textId="180D0D96" w:rsidR="00350C25" w:rsidRDefault="00350C25" w:rsidP="00350C25">
      <w:pPr>
        <w:pStyle w:val="Caption"/>
        <w:rPr>
          <w:noProof/>
        </w:rPr>
      </w:pPr>
      <w:bookmarkStart w:id="290" w:name="_Ref147758900"/>
      <w:bookmarkStart w:id="291" w:name="_Toc157679802"/>
      <w:r>
        <w:rPr>
          <w:noProof/>
        </w:rPr>
        <w:t xml:space="preserve">Figure </w:t>
      </w:r>
      <w:r>
        <w:rPr>
          <w:noProof/>
        </w:rPr>
        <w:fldChar w:fldCharType="begin"/>
      </w:r>
      <w:r>
        <w:rPr>
          <w:noProof/>
        </w:rPr>
        <w:instrText>SEQ Figure \* ARABIC</w:instrText>
      </w:r>
      <w:r>
        <w:rPr>
          <w:noProof/>
        </w:rPr>
        <w:fldChar w:fldCharType="separate"/>
      </w:r>
      <w:r w:rsidR="00170A3C">
        <w:rPr>
          <w:noProof/>
        </w:rPr>
        <w:t>54</w:t>
      </w:r>
      <w:r>
        <w:rPr>
          <w:noProof/>
        </w:rPr>
        <w:fldChar w:fldCharType="end"/>
      </w:r>
      <w:bookmarkEnd w:id="290"/>
      <w:r>
        <w:rPr>
          <w:noProof/>
        </w:rPr>
        <w:t xml:space="preserve">: </w:t>
      </w:r>
      <w:r w:rsidRPr="00054F11">
        <w:rPr>
          <w:noProof/>
        </w:rPr>
        <w:t>Carbon captured in industr</w:t>
      </w:r>
      <w:r w:rsidR="00523732">
        <w:rPr>
          <w:noProof/>
        </w:rPr>
        <w:t>ial processes</w:t>
      </w:r>
      <w:r w:rsidRPr="00054F11">
        <w:rPr>
          <w:noProof/>
        </w:rPr>
        <w:t>.</w:t>
      </w:r>
      <w:bookmarkEnd w:id="291"/>
      <w:r w:rsidRPr="00054F11">
        <w:rPr>
          <w:noProof/>
        </w:rPr>
        <w:t xml:space="preserve"> </w:t>
      </w:r>
    </w:p>
    <w:p w14:paraId="7BA23DAD" w14:textId="79E08F9D" w:rsidR="00945547" w:rsidRDefault="00BD0E2B" w:rsidP="00945547">
      <w:pPr>
        <w:autoSpaceDE w:val="0"/>
        <w:autoSpaceDN w:val="0"/>
        <w:adjustRightInd w:val="0"/>
        <w:spacing w:after="0"/>
        <w:ind w:left="-142"/>
        <w:rPr>
          <w:rFonts w:cstheme="minorBidi"/>
          <w:noProof/>
        </w:rPr>
      </w:pPr>
      <w:r w:rsidRPr="00BD0E2B">
        <w:rPr>
          <w:rFonts w:cstheme="minorBidi"/>
          <w:noProof/>
        </w:rPr>
        <w:t xml:space="preserve"> </w:t>
      </w:r>
      <w:r w:rsidRPr="00BD0E2B">
        <w:rPr>
          <w:noProof/>
          <w:lang w:eastAsia="en-GB"/>
        </w:rPr>
        <w:drawing>
          <wp:inline distT="0" distB="0" distL="0" distR="0" wp14:anchorId="5D801D99" wp14:editId="3B35D4E8">
            <wp:extent cx="5429250" cy="2676525"/>
            <wp:effectExtent l="0" t="0" r="0" b="952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429250" cy="2676525"/>
                    </a:xfrm>
                    <a:prstGeom prst="rect">
                      <a:avLst/>
                    </a:prstGeom>
                    <a:noFill/>
                    <a:ln>
                      <a:noFill/>
                    </a:ln>
                  </pic:spPr>
                </pic:pic>
              </a:graphicData>
            </a:graphic>
          </wp:inline>
        </w:drawing>
      </w:r>
    </w:p>
    <w:p w14:paraId="1A250977" w14:textId="2A3E84B5" w:rsidR="00945547" w:rsidRPr="00822700" w:rsidRDefault="00945547" w:rsidP="00945547">
      <w:pPr>
        <w:pStyle w:val="CT-NOTE"/>
        <w:rPr>
          <w:noProof/>
        </w:rPr>
      </w:pPr>
      <w:r w:rsidRPr="00822700">
        <w:rPr>
          <w:noProof/>
        </w:rPr>
        <w:t xml:space="preserve">Note: </w:t>
      </w:r>
      <w:r>
        <w:rPr>
          <w:noProof/>
        </w:rPr>
        <w:t>Metal production includes both ferrous and non</w:t>
      </w:r>
      <w:r w:rsidR="00923B34">
        <w:rPr>
          <w:noProof/>
        </w:rPr>
        <w:t>-</w:t>
      </w:r>
      <w:r>
        <w:rPr>
          <w:noProof/>
        </w:rPr>
        <w:t>ferrous materials</w:t>
      </w:r>
      <w:r w:rsidRPr="00822700">
        <w:rPr>
          <w:noProof/>
        </w:rPr>
        <w:t>.</w:t>
      </w:r>
      <w:r>
        <w:rPr>
          <w:noProof/>
        </w:rPr>
        <w:t xml:space="preserve"> </w:t>
      </w:r>
    </w:p>
    <w:p w14:paraId="1DEE5456" w14:textId="1A5DAFA0" w:rsidR="00350C25" w:rsidRDefault="00945547" w:rsidP="009642DE">
      <w:pPr>
        <w:pStyle w:val="CT-SOURCE"/>
        <w:rPr>
          <w:rFonts w:cstheme="minorHAnsi"/>
          <w:noProof/>
        </w:rPr>
      </w:pPr>
      <w:r>
        <w:rPr>
          <w:noProof/>
        </w:rPr>
        <w:t>Source: PRIMES</w:t>
      </w:r>
    </w:p>
    <w:p w14:paraId="4CF4B3BC" w14:textId="372ACA8F" w:rsidR="00CD0FD0" w:rsidRDefault="00CD0FD0" w:rsidP="00CD0FD0">
      <w:pPr>
        <w:ind w:left="-142"/>
        <w:rPr>
          <w:rFonts w:cstheme="minorBidi"/>
          <w:noProof/>
        </w:rPr>
      </w:pPr>
      <w:r>
        <w:rPr>
          <w:rFonts w:cstheme="minorBidi"/>
          <w:noProof/>
        </w:rPr>
        <w:t xml:space="preserve">The different reduction rates and residual emissions shown by the iron </w:t>
      </w:r>
      <w:r w:rsidR="00E44F27">
        <w:rPr>
          <w:rFonts w:cstheme="minorBidi"/>
          <w:noProof/>
        </w:rPr>
        <w:t>and</w:t>
      </w:r>
      <w:r>
        <w:rPr>
          <w:rFonts w:cstheme="minorBidi"/>
          <w:noProof/>
        </w:rPr>
        <w:t xml:space="preserve"> steel, the chemical and the mineral product sectors are explained by the different availabilit</w:t>
      </w:r>
      <w:r w:rsidR="00217F4F">
        <w:rPr>
          <w:rFonts w:cstheme="minorBidi"/>
          <w:noProof/>
        </w:rPr>
        <w:t>ies</w:t>
      </w:r>
      <w:r>
        <w:rPr>
          <w:rFonts w:cstheme="minorBidi"/>
          <w:noProof/>
        </w:rPr>
        <w:t xml:space="preserve"> of decarbonisation technologies in each sector </w:t>
      </w:r>
      <w:r w:rsidR="006F7D6E">
        <w:rPr>
          <w:rFonts w:cstheme="minorBidi"/>
          <w:noProof/>
        </w:rPr>
        <w:t xml:space="preserve">(in addition to </w:t>
      </w:r>
      <w:r>
        <w:rPr>
          <w:rFonts w:cstheme="minorBidi"/>
          <w:noProof/>
        </w:rPr>
        <w:t>carbon capture</w:t>
      </w:r>
      <w:r w:rsidR="006F7D6E">
        <w:rPr>
          <w:rFonts w:cstheme="minorBidi"/>
          <w:noProof/>
        </w:rPr>
        <w:t>)</w:t>
      </w:r>
      <w:r>
        <w:rPr>
          <w:rFonts w:cstheme="minorBidi"/>
          <w:noProof/>
        </w:rPr>
        <w:t xml:space="preserve">. In the steel sector, options </w:t>
      </w:r>
      <w:r w:rsidR="001045CA">
        <w:rPr>
          <w:rFonts w:cstheme="minorBidi"/>
          <w:noProof/>
        </w:rPr>
        <w:t xml:space="preserve">exist </w:t>
      </w:r>
      <w:r>
        <w:rPr>
          <w:rFonts w:cstheme="minorBidi"/>
          <w:noProof/>
        </w:rPr>
        <w:t>today</w:t>
      </w:r>
      <w:r w:rsidR="005530DC" w:rsidRPr="005530DC">
        <w:rPr>
          <w:rFonts w:cstheme="minorBidi"/>
          <w:noProof/>
        </w:rPr>
        <w:t> (</w:t>
      </w:r>
      <w:r w:rsidR="005530DC">
        <w:rPr>
          <w:rStyle w:val="FootnoteReference"/>
          <w:rFonts w:cstheme="minorBidi"/>
          <w:noProof/>
        </w:rPr>
        <w:footnoteReference w:id="89"/>
      </w:r>
      <w:r w:rsidR="005530DC">
        <w:rPr>
          <w:rFonts w:cstheme="minorBidi"/>
          <w:noProof/>
        </w:rPr>
        <w:t>)</w:t>
      </w:r>
      <w:r>
        <w:rPr>
          <w:rFonts w:cstheme="minorBidi"/>
          <w:noProof/>
        </w:rPr>
        <w:t xml:space="preserve">: </w:t>
      </w:r>
      <w:r w:rsidR="00D32749">
        <w:rPr>
          <w:rFonts w:cstheme="minorBidi"/>
          <w:noProof/>
        </w:rPr>
        <w:t xml:space="preserve">a large implementation of hydrogen-based alternative steelmaking process reduces </w:t>
      </w:r>
      <w:r>
        <w:rPr>
          <w:rFonts w:cstheme="minorBidi"/>
          <w:noProof/>
        </w:rPr>
        <w:t xml:space="preserve">emissions between </w:t>
      </w:r>
      <w:r w:rsidR="000C35DB">
        <w:rPr>
          <w:rFonts w:cstheme="minorBidi"/>
          <w:noProof/>
        </w:rPr>
        <w:t>65</w:t>
      </w:r>
      <w:r>
        <w:rPr>
          <w:rFonts w:cstheme="minorBidi"/>
          <w:noProof/>
        </w:rPr>
        <w:t xml:space="preserve">% and </w:t>
      </w:r>
      <w:r w:rsidR="000C35DB">
        <w:rPr>
          <w:rFonts w:cstheme="minorBidi"/>
          <w:noProof/>
        </w:rPr>
        <w:t>80</w:t>
      </w:r>
      <w:r>
        <w:rPr>
          <w:rFonts w:cstheme="minorBidi"/>
          <w:noProof/>
        </w:rPr>
        <w:t>% (</w:t>
      </w:r>
      <w:r w:rsidR="007220BF">
        <w:rPr>
          <w:rFonts w:cstheme="minorBidi"/>
          <w:noProof/>
        </w:rPr>
        <w:t xml:space="preserve">before carbon capture and </w:t>
      </w:r>
      <w:r>
        <w:rPr>
          <w:rFonts w:cstheme="minorBidi"/>
          <w:noProof/>
        </w:rPr>
        <w:t xml:space="preserve">depending on the scenario) by 2040, when compared to 2015. </w:t>
      </w:r>
      <w:r w:rsidR="00D32749">
        <w:rPr>
          <w:rFonts w:cstheme="minorBidi"/>
          <w:noProof/>
        </w:rPr>
        <w:t>C</w:t>
      </w:r>
      <w:r>
        <w:rPr>
          <w:rFonts w:cstheme="minorBidi"/>
          <w:noProof/>
        </w:rPr>
        <w:t xml:space="preserve">arbon capture </w:t>
      </w:r>
      <w:r w:rsidR="00D32749">
        <w:rPr>
          <w:rFonts w:cstheme="minorBidi"/>
          <w:noProof/>
        </w:rPr>
        <w:t>completes then</w:t>
      </w:r>
      <w:r>
        <w:rPr>
          <w:rFonts w:cstheme="minorBidi"/>
          <w:noProof/>
        </w:rPr>
        <w:t xml:space="preserve"> the </w:t>
      </w:r>
      <w:r w:rsidR="00D32749">
        <w:rPr>
          <w:rFonts w:cstheme="minorBidi"/>
          <w:noProof/>
        </w:rPr>
        <w:t>decarbonisation process.</w:t>
      </w:r>
      <w:r>
        <w:rPr>
          <w:rFonts w:cstheme="minorBidi"/>
          <w:noProof/>
        </w:rPr>
        <w:t xml:space="preserve"> The chemical sector relies almost exclusively on carbon capture by 2040</w:t>
      </w:r>
      <w:r w:rsidR="007220BF">
        <w:rPr>
          <w:rFonts w:cstheme="minorBidi"/>
          <w:noProof/>
        </w:rPr>
        <w:t xml:space="preserve"> while</w:t>
      </w:r>
      <w:r>
        <w:rPr>
          <w:rFonts w:cstheme="minorBidi"/>
          <w:noProof/>
        </w:rPr>
        <w:t xml:space="preserve"> implementation of low-carbon processe</w:t>
      </w:r>
      <w:r w:rsidR="00A140FB">
        <w:rPr>
          <w:rFonts w:cstheme="minorBidi"/>
          <w:noProof/>
        </w:rPr>
        <w:t>s</w:t>
      </w:r>
      <w:r>
        <w:rPr>
          <w:rFonts w:cstheme="minorBidi"/>
          <w:noProof/>
        </w:rPr>
        <w:t xml:space="preserve"> by replacement of fossil fuel feedstock </w:t>
      </w:r>
      <w:r w:rsidR="00D74CB3">
        <w:rPr>
          <w:rFonts w:cstheme="minorBidi"/>
          <w:noProof/>
        </w:rPr>
        <w:t xml:space="preserve">and use of fossil-fuel free CO2 as feedstock </w:t>
      </w:r>
      <w:r>
        <w:rPr>
          <w:rFonts w:cstheme="minorBidi"/>
          <w:noProof/>
        </w:rPr>
        <w:t>occurs only in 2041-2050. In the 2041-2050 decade, capture still plays a prominent role in chemi</w:t>
      </w:r>
      <w:r w:rsidR="00AC73E5">
        <w:rPr>
          <w:rFonts w:cstheme="minorBidi"/>
          <w:noProof/>
        </w:rPr>
        <w:t>s</w:t>
      </w:r>
      <w:r>
        <w:rPr>
          <w:rFonts w:cstheme="minorBidi"/>
          <w:noProof/>
        </w:rPr>
        <w:t>try, leading to</w:t>
      </w:r>
      <w:r w:rsidR="00F42FE1">
        <w:rPr>
          <w:rFonts w:cstheme="minorBidi"/>
          <w:noProof/>
        </w:rPr>
        <w:t xml:space="preserve"> </w:t>
      </w:r>
      <w:r>
        <w:rPr>
          <w:rFonts w:cstheme="minorBidi"/>
          <w:noProof/>
        </w:rPr>
        <w:t>even negative emissions in 2050, as result of</w:t>
      </w:r>
      <w:r w:rsidRPr="00B6393C">
        <w:rPr>
          <w:rFonts w:cstheme="minorBidi"/>
          <w:noProof/>
        </w:rPr>
        <w:t xml:space="preserve"> </w:t>
      </w:r>
      <w:r w:rsidR="00F42FE1">
        <w:rPr>
          <w:rFonts w:cstheme="minorBidi"/>
          <w:noProof/>
        </w:rPr>
        <w:t>improved flow of CO2 within the industrial sector and s</w:t>
      </w:r>
      <w:r>
        <w:rPr>
          <w:rFonts w:cstheme="minorBidi"/>
          <w:noProof/>
        </w:rPr>
        <w:t xml:space="preserve">torage in materials of carbon coming from non-fossil fuel feedstock </w:t>
      </w:r>
      <w:r w:rsidRPr="00BC7A2C">
        <w:rPr>
          <w:rFonts w:cstheme="minorBidi"/>
          <w:noProof/>
        </w:rPr>
        <w:t>(</w:t>
      </w:r>
      <w:r>
        <w:rPr>
          <w:rStyle w:val="FootnoteReference"/>
          <w:rFonts w:cstheme="minorBidi"/>
          <w:noProof/>
        </w:rPr>
        <w:footnoteReference w:id="90"/>
      </w:r>
      <w:r>
        <w:rPr>
          <w:rFonts w:cstheme="minorBidi"/>
          <w:noProof/>
        </w:rPr>
        <w:t>). Production of minerals, such as cement</w:t>
      </w:r>
      <w:r w:rsidR="00C55A6D">
        <w:rPr>
          <w:rFonts w:cstheme="minorBidi"/>
          <w:noProof/>
        </w:rPr>
        <w:t>,</w:t>
      </w:r>
      <w:r>
        <w:rPr>
          <w:rFonts w:cstheme="minorBidi"/>
          <w:noProof/>
        </w:rPr>
        <w:t xml:space="preserve"> are the h</w:t>
      </w:r>
      <w:r w:rsidR="00A82490">
        <w:rPr>
          <w:rFonts w:cstheme="minorBidi"/>
          <w:noProof/>
        </w:rPr>
        <w:t>ardest</w:t>
      </w:r>
      <w:r>
        <w:rPr>
          <w:rFonts w:cstheme="minorBidi"/>
          <w:noProof/>
        </w:rPr>
        <w:t xml:space="preserve"> to decarbonise: literature shows that residual emissions from cement in 2050 can be as high as 25% of 2017 levels </w:t>
      </w:r>
      <w:r w:rsidRPr="00F379D7">
        <w:rPr>
          <w:rFonts w:cstheme="minorBidi"/>
          <w:noProof/>
        </w:rPr>
        <w:t>(</w:t>
      </w:r>
      <w:r>
        <w:rPr>
          <w:rStyle w:val="FootnoteReference"/>
          <w:rFonts w:cstheme="minorBidi"/>
          <w:noProof/>
        </w:rPr>
        <w:footnoteReference w:id="91"/>
      </w:r>
      <w:r>
        <w:rPr>
          <w:rFonts w:cstheme="minorBidi"/>
          <w:noProof/>
        </w:rPr>
        <w:t xml:space="preserve">), and massive deployment of carbon capture and storage is projected to be the most </w:t>
      </w:r>
      <w:r w:rsidR="00812D93">
        <w:rPr>
          <w:rFonts w:cstheme="minorBidi"/>
          <w:noProof/>
        </w:rPr>
        <w:t>common</w:t>
      </w:r>
      <w:r>
        <w:rPr>
          <w:rFonts w:cstheme="minorBidi"/>
          <w:noProof/>
        </w:rPr>
        <w:t xml:space="preserve"> options for decarbonisation </w:t>
      </w:r>
      <w:r w:rsidR="00812D93">
        <w:rPr>
          <w:rFonts w:cstheme="minorBidi"/>
          <w:noProof/>
        </w:rPr>
        <w:t>of the sector</w:t>
      </w:r>
      <w:r>
        <w:rPr>
          <w:rFonts w:cstheme="minorBidi"/>
          <w:noProof/>
        </w:rPr>
        <w:t xml:space="preserve">. </w:t>
      </w:r>
    </w:p>
    <w:p w14:paraId="0DBB5E2D" w14:textId="77777777" w:rsidR="00350C25" w:rsidRDefault="00350C25" w:rsidP="00350C25">
      <w:pPr>
        <w:autoSpaceDE w:val="0"/>
        <w:autoSpaceDN w:val="0"/>
        <w:adjustRightInd w:val="0"/>
        <w:spacing w:after="0"/>
        <w:ind w:left="-142"/>
        <w:rPr>
          <w:rFonts w:cstheme="minorBidi"/>
          <w:noProof/>
        </w:rPr>
      </w:pPr>
    </w:p>
    <w:p w14:paraId="68189712" w14:textId="77777777" w:rsidR="00350C25" w:rsidRDefault="00350C25" w:rsidP="00F7719F">
      <w:pPr>
        <w:pStyle w:val="Heading4"/>
        <w:rPr>
          <w:noProof/>
        </w:rPr>
      </w:pPr>
      <w:r>
        <w:rPr>
          <w:noProof/>
        </w:rPr>
        <w:t>Total CO2 from industry</w:t>
      </w:r>
    </w:p>
    <w:p w14:paraId="5FB4C490" w14:textId="4461109D" w:rsidR="00FC3963" w:rsidRDefault="00411957" w:rsidP="00350C25">
      <w:pPr>
        <w:autoSpaceDE w:val="0"/>
        <w:autoSpaceDN w:val="0"/>
        <w:adjustRightInd w:val="0"/>
        <w:spacing w:after="0"/>
        <w:ind w:left="-142"/>
        <w:rPr>
          <w:rFonts w:cstheme="minorBidi"/>
          <w:noProof/>
        </w:rPr>
      </w:pPr>
      <w:r>
        <w:rPr>
          <w:rFonts w:cstheme="minorBidi"/>
          <w:noProof/>
        </w:rPr>
        <w:fldChar w:fldCharType="begin"/>
      </w:r>
      <w:r>
        <w:rPr>
          <w:rFonts w:cstheme="minorBidi"/>
          <w:noProof/>
        </w:rPr>
        <w:instrText xml:space="preserve"> REF _Ref147328886 \h </w:instrText>
      </w:r>
      <w:r>
        <w:rPr>
          <w:rFonts w:cstheme="minorBidi"/>
          <w:noProof/>
        </w:rPr>
      </w:r>
      <w:r>
        <w:rPr>
          <w:rFonts w:cstheme="minorBidi"/>
          <w:noProof/>
        </w:rPr>
        <w:fldChar w:fldCharType="separate"/>
      </w:r>
      <w:r w:rsidR="00170A3C">
        <w:rPr>
          <w:noProof/>
        </w:rPr>
        <w:t>Figure 55</w:t>
      </w:r>
      <w:r>
        <w:rPr>
          <w:rFonts w:cstheme="minorBidi"/>
          <w:noProof/>
        </w:rPr>
        <w:fldChar w:fldCharType="end"/>
      </w:r>
      <w:r w:rsidR="00FC3963">
        <w:rPr>
          <w:rFonts w:cstheme="minorBidi"/>
          <w:noProof/>
        </w:rPr>
        <w:t xml:space="preserve"> summarises the energy and </w:t>
      </w:r>
      <w:r w:rsidR="00911644">
        <w:rPr>
          <w:rFonts w:cstheme="minorBidi"/>
          <w:noProof/>
        </w:rPr>
        <w:t>process</w:t>
      </w:r>
      <w:r w:rsidR="00FC3963">
        <w:rPr>
          <w:rFonts w:cstheme="minorBidi"/>
          <w:noProof/>
        </w:rPr>
        <w:t xml:space="preserve"> related CO2 emission from the industrial sector</w:t>
      </w:r>
      <w:r w:rsidR="007B2569">
        <w:rPr>
          <w:rFonts w:cstheme="minorBidi"/>
          <w:noProof/>
        </w:rPr>
        <w:t xml:space="preserve">, showing that </w:t>
      </w:r>
      <w:r w:rsidR="004453AB">
        <w:rPr>
          <w:rFonts w:cstheme="minorBidi"/>
          <w:noProof/>
        </w:rPr>
        <w:t>total</w:t>
      </w:r>
      <w:r w:rsidR="007220BF">
        <w:rPr>
          <w:rFonts w:cstheme="minorBidi"/>
          <w:noProof/>
        </w:rPr>
        <w:t xml:space="preserve"> net</w:t>
      </w:r>
      <w:r w:rsidR="004453AB">
        <w:rPr>
          <w:rFonts w:cstheme="minorBidi"/>
          <w:noProof/>
        </w:rPr>
        <w:t xml:space="preserve"> CO2 </w:t>
      </w:r>
      <w:r w:rsidR="00CA1B86" w:rsidRPr="006F3EFB">
        <w:rPr>
          <w:rFonts w:cstheme="minorBidi"/>
          <w:noProof/>
        </w:rPr>
        <w:t xml:space="preserve">reduces by </w:t>
      </w:r>
      <w:r w:rsidR="004453AB" w:rsidRPr="006F3EFB">
        <w:rPr>
          <w:rFonts w:cstheme="minorBidi"/>
          <w:noProof/>
        </w:rPr>
        <w:t>37%</w:t>
      </w:r>
      <w:r w:rsidR="00CA1B86" w:rsidRPr="006F3EFB">
        <w:rPr>
          <w:rFonts w:cstheme="minorBidi"/>
          <w:noProof/>
        </w:rPr>
        <w:t xml:space="preserve">, </w:t>
      </w:r>
      <w:r w:rsidR="006F3EFB" w:rsidRPr="006F3EFB">
        <w:rPr>
          <w:rFonts w:cstheme="minorBidi"/>
          <w:noProof/>
        </w:rPr>
        <w:t>5</w:t>
      </w:r>
      <w:r w:rsidR="0003594E">
        <w:rPr>
          <w:rFonts w:cstheme="minorBidi"/>
          <w:noProof/>
        </w:rPr>
        <w:t>5</w:t>
      </w:r>
      <w:r w:rsidR="00CA1B86" w:rsidRPr="006F3EFB">
        <w:rPr>
          <w:rFonts w:cstheme="minorBidi"/>
          <w:noProof/>
        </w:rPr>
        <w:t xml:space="preserve">% and </w:t>
      </w:r>
      <w:r w:rsidR="0003594E">
        <w:rPr>
          <w:rFonts w:cstheme="minorBidi"/>
          <w:noProof/>
        </w:rPr>
        <w:t>76</w:t>
      </w:r>
      <w:r w:rsidR="004453AB" w:rsidRPr="006F3EFB">
        <w:rPr>
          <w:rFonts w:cstheme="minorBidi"/>
          <w:noProof/>
        </w:rPr>
        <w:t xml:space="preserve">% in </w:t>
      </w:r>
      <w:r w:rsidR="00CA1B86" w:rsidRPr="006F3EFB">
        <w:rPr>
          <w:rFonts w:cstheme="minorBidi"/>
          <w:noProof/>
        </w:rPr>
        <w:t>S1</w:t>
      </w:r>
      <w:r w:rsidR="00CA1B86">
        <w:rPr>
          <w:rFonts w:cstheme="minorBidi"/>
          <w:noProof/>
        </w:rPr>
        <w:t xml:space="preserve">, S2 and S3, in </w:t>
      </w:r>
      <w:r w:rsidR="004453AB">
        <w:rPr>
          <w:rFonts w:cstheme="minorBidi"/>
          <w:noProof/>
        </w:rPr>
        <w:t>2040 compared to 2030</w:t>
      </w:r>
      <w:r w:rsidR="00031713" w:rsidRPr="00031713">
        <w:rPr>
          <w:rFonts w:cstheme="minorBidi"/>
          <w:noProof/>
        </w:rPr>
        <w:t> (</w:t>
      </w:r>
      <w:r w:rsidR="00031713">
        <w:rPr>
          <w:rStyle w:val="FootnoteReference"/>
          <w:rFonts w:cstheme="minorBidi"/>
          <w:noProof/>
        </w:rPr>
        <w:footnoteReference w:id="92"/>
      </w:r>
      <w:r w:rsidR="00031713">
        <w:rPr>
          <w:rFonts w:cstheme="minorBidi"/>
          <w:noProof/>
        </w:rPr>
        <w:t>)</w:t>
      </w:r>
      <w:r w:rsidR="003C1261">
        <w:rPr>
          <w:rFonts w:cstheme="minorBidi"/>
          <w:noProof/>
        </w:rPr>
        <w:t xml:space="preserve">. </w:t>
      </w:r>
      <w:r w:rsidR="004453AB">
        <w:rPr>
          <w:rFonts w:cstheme="minorBidi"/>
          <w:noProof/>
        </w:rPr>
        <w:t xml:space="preserve">This correspond to a decrease between </w:t>
      </w:r>
      <w:r w:rsidR="003C1261">
        <w:rPr>
          <w:rFonts w:cstheme="minorBidi"/>
          <w:noProof/>
        </w:rPr>
        <w:t>6</w:t>
      </w:r>
      <w:r w:rsidR="004453AB">
        <w:rPr>
          <w:rFonts w:cstheme="minorBidi"/>
          <w:noProof/>
        </w:rPr>
        <w:t>0</w:t>
      </w:r>
      <w:r w:rsidR="003C1261">
        <w:rPr>
          <w:rFonts w:cstheme="minorBidi"/>
          <w:noProof/>
        </w:rPr>
        <w:t xml:space="preserve">% and </w:t>
      </w:r>
      <w:r w:rsidR="003771A5">
        <w:rPr>
          <w:rFonts w:cstheme="minorBidi"/>
          <w:noProof/>
        </w:rPr>
        <w:t>90</w:t>
      </w:r>
      <w:r w:rsidR="003C1261">
        <w:rPr>
          <w:rFonts w:cstheme="minorBidi"/>
          <w:noProof/>
        </w:rPr>
        <w:t xml:space="preserve">% </w:t>
      </w:r>
      <w:r w:rsidR="006F3EFB">
        <w:rPr>
          <w:rFonts w:cstheme="minorBidi"/>
          <w:noProof/>
        </w:rPr>
        <w:t>in comparison with</w:t>
      </w:r>
      <w:r w:rsidR="004453AB">
        <w:rPr>
          <w:rFonts w:cstheme="minorBidi"/>
          <w:noProof/>
        </w:rPr>
        <w:t xml:space="preserve"> 1990 levels, </w:t>
      </w:r>
      <w:r w:rsidR="006F3EFB">
        <w:rPr>
          <w:rFonts w:cstheme="minorBidi"/>
          <w:noProof/>
        </w:rPr>
        <w:t xml:space="preserve">well aligned </w:t>
      </w:r>
      <w:r w:rsidR="004453AB">
        <w:rPr>
          <w:rFonts w:cstheme="minorBidi"/>
          <w:noProof/>
        </w:rPr>
        <w:t>with literature</w:t>
      </w:r>
      <w:r w:rsidR="000F398F">
        <w:rPr>
          <w:rFonts w:cstheme="minorBidi"/>
          <w:noProof/>
        </w:rPr>
        <w:t xml:space="preserve">: </w:t>
      </w:r>
      <w:r w:rsidR="00014D2D">
        <w:rPr>
          <w:rFonts w:cstheme="minorBidi"/>
          <w:noProof/>
        </w:rPr>
        <w:t>a report from the NAVIGATE</w:t>
      </w:r>
      <w:r w:rsidR="00014D2D" w:rsidRPr="00DB0DF8">
        <w:rPr>
          <w:rFonts w:cstheme="minorBidi"/>
          <w:noProof/>
        </w:rPr>
        <w:t> </w:t>
      </w:r>
      <w:r w:rsidR="00014D2D">
        <w:rPr>
          <w:rFonts w:cstheme="minorBidi"/>
          <w:noProof/>
        </w:rPr>
        <w:t xml:space="preserve"> project compar</w:t>
      </w:r>
      <w:r w:rsidR="00E352D8">
        <w:rPr>
          <w:rFonts w:cstheme="minorBidi"/>
          <w:noProof/>
        </w:rPr>
        <w:t>ing</w:t>
      </w:r>
      <w:r w:rsidR="00014D2D">
        <w:rPr>
          <w:rFonts w:cstheme="minorBidi"/>
          <w:noProof/>
        </w:rPr>
        <w:t xml:space="preserve"> the results of seven IAM states that industrial emissions </w:t>
      </w:r>
      <w:r w:rsidR="00E352D8">
        <w:rPr>
          <w:rFonts w:cstheme="minorBidi"/>
          <w:noProof/>
        </w:rPr>
        <w:t>s</w:t>
      </w:r>
      <w:r w:rsidR="00014D2D">
        <w:rPr>
          <w:rFonts w:cstheme="minorBidi"/>
          <w:noProof/>
        </w:rPr>
        <w:t xml:space="preserve">hould reduce by at least </w:t>
      </w:r>
      <w:r w:rsidR="00710259">
        <w:rPr>
          <w:rFonts w:cstheme="minorBidi"/>
          <w:noProof/>
        </w:rPr>
        <w:t>55</w:t>
      </w:r>
      <w:r w:rsidR="00014D2D">
        <w:rPr>
          <w:rFonts w:cstheme="minorBidi"/>
          <w:noProof/>
        </w:rPr>
        <w:t xml:space="preserve">% </w:t>
      </w:r>
      <w:r w:rsidR="00710259">
        <w:rPr>
          <w:rFonts w:cstheme="minorBidi"/>
          <w:noProof/>
        </w:rPr>
        <w:t>in 2040 vs 2020</w:t>
      </w:r>
      <w:r w:rsidR="00014D2D">
        <w:rPr>
          <w:rFonts w:cstheme="minorBidi"/>
          <w:noProof/>
        </w:rPr>
        <w:t xml:space="preserve"> to be compatible with the 1.5</w:t>
      </w:r>
      <w:r w:rsidR="00014D2D" w:rsidRPr="00DE184D">
        <w:rPr>
          <w:rFonts w:cstheme="minorBidi"/>
          <w:noProof/>
        </w:rPr>
        <w:t>°C</w:t>
      </w:r>
      <w:r w:rsidR="00014D2D">
        <w:rPr>
          <w:rFonts w:cstheme="minorBidi"/>
          <w:noProof/>
        </w:rPr>
        <w:t xml:space="preserve"> case </w:t>
      </w:r>
      <w:r w:rsidR="00014D2D" w:rsidRPr="00DB0DF8">
        <w:rPr>
          <w:rFonts w:cstheme="minorBidi"/>
          <w:noProof/>
        </w:rPr>
        <w:t>(</w:t>
      </w:r>
      <w:r w:rsidR="00014D2D">
        <w:rPr>
          <w:rStyle w:val="FootnoteReference"/>
          <w:rFonts w:cstheme="minorBidi"/>
          <w:noProof/>
        </w:rPr>
        <w:footnoteReference w:id="93"/>
      </w:r>
      <w:r w:rsidR="00014D2D">
        <w:rPr>
          <w:rFonts w:cstheme="minorBidi"/>
          <w:noProof/>
        </w:rPr>
        <w:t>)</w:t>
      </w:r>
      <w:r w:rsidR="00E352D8">
        <w:rPr>
          <w:rFonts w:cstheme="minorBidi"/>
          <w:noProof/>
        </w:rPr>
        <w:t xml:space="preserve">, </w:t>
      </w:r>
      <w:r w:rsidR="006F3EFB">
        <w:rPr>
          <w:rFonts w:cstheme="minorBidi"/>
          <w:noProof/>
        </w:rPr>
        <w:t xml:space="preserve">report from the </w:t>
      </w:r>
      <w:r w:rsidR="004B4D6F">
        <w:rPr>
          <w:rFonts w:cstheme="minorBidi"/>
          <w:noProof/>
        </w:rPr>
        <w:t xml:space="preserve">CLEVER </w:t>
      </w:r>
      <w:r w:rsidR="006F3EFB">
        <w:rPr>
          <w:rFonts w:cstheme="minorBidi"/>
          <w:noProof/>
        </w:rPr>
        <w:t>project</w:t>
      </w:r>
      <w:r w:rsidR="004B4D6F">
        <w:rPr>
          <w:rFonts w:cstheme="minorBidi"/>
          <w:noProof/>
        </w:rPr>
        <w:t xml:space="preserve"> sho</w:t>
      </w:r>
      <w:r w:rsidR="00FE6B27">
        <w:rPr>
          <w:rFonts w:cstheme="minorBidi"/>
          <w:noProof/>
        </w:rPr>
        <w:t xml:space="preserve">w how industry can reduce emissions by 86% in 2050 vs 2019 </w:t>
      </w:r>
      <w:r w:rsidR="00FE6B27" w:rsidRPr="00FE6B27">
        <w:rPr>
          <w:rFonts w:cstheme="minorBidi"/>
          <w:noProof/>
        </w:rPr>
        <w:t>(</w:t>
      </w:r>
      <w:r w:rsidR="00FE6B27">
        <w:rPr>
          <w:rStyle w:val="FootnoteReference"/>
          <w:rFonts w:cstheme="minorBidi"/>
          <w:noProof/>
        </w:rPr>
        <w:footnoteReference w:id="94"/>
      </w:r>
      <w:r w:rsidR="00FE6B27">
        <w:rPr>
          <w:rFonts w:cstheme="minorBidi"/>
          <w:noProof/>
        </w:rPr>
        <w:t>)</w:t>
      </w:r>
      <w:r w:rsidR="00E352D8">
        <w:rPr>
          <w:rFonts w:cstheme="minorBidi"/>
          <w:noProof/>
        </w:rPr>
        <w:t xml:space="preserve"> and </w:t>
      </w:r>
      <w:r w:rsidR="00DF5EF1">
        <w:rPr>
          <w:rFonts w:cstheme="minorBidi"/>
          <w:noProof/>
        </w:rPr>
        <w:t>E</w:t>
      </w:r>
      <w:r w:rsidR="004453AB">
        <w:rPr>
          <w:rFonts w:cstheme="minorBidi"/>
          <w:noProof/>
        </w:rPr>
        <w:t>cologic</w:t>
      </w:r>
      <w:r w:rsidR="00DF5EF1">
        <w:rPr>
          <w:rFonts w:cstheme="minorBidi"/>
          <w:noProof/>
        </w:rPr>
        <w:t xml:space="preserve"> </w:t>
      </w:r>
      <w:r w:rsidR="008E6C84">
        <w:rPr>
          <w:rFonts w:cstheme="minorBidi"/>
          <w:noProof/>
        </w:rPr>
        <w:t>illustrates</w:t>
      </w:r>
      <w:r w:rsidR="004453AB">
        <w:rPr>
          <w:rFonts w:cstheme="minorBidi"/>
          <w:noProof/>
        </w:rPr>
        <w:t xml:space="preserve"> that </w:t>
      </w:r>
      <w:r w:rsidR="006F3EFB">
        <w:rPr>
          <w:rFonts w:cstheme="minorBidi"/>
          <w:noProof/>
        </w:rPr>
        <w:t xml:space="preserve">the </w:t>
      </w:r>
      <w:r w:rsidR="004453AB" w:rsidRPr="004453AB">
        <w:rPr>
          <w:rFonts w:cstheme="minorBidi"/>
          <w:noProof/>
        </w:rPr>
        <w:t xml:space="preserve">industrial sector should </w:t>
      </w:r>
      <w:r w:rsidR="006F3EFB">
        <w:rPr>
          <w:rFonts w:cstheme="minorBidi"/>
          <w:noProof/>
        </w:rPr>
        <w:t>reach</w:t>
      </w:r>
      <w:r w:rsidR="004453AB" w:rsidRPr="004453AB">
        <w:rPr>
          <w:rFonts w:cstheme="minorBidi"/>
          <w:noProof/>
        </w:rPr>
        <w:t xml:space="preserve"> emissions between -78% and -91% in 2040 </w:t>
      </w:r>
      <w:r w:rsidR="00710259">
        <w:rPr>
          <w:rFonts w:cstheme="minorBidi"/>
          <w:noProof/>
        </w:rPr>
        <w:t xml:space="preserve">vs 1990 </w:t>
      </w:r>
      <w:r w:rsidR="008E6C84">
        <w:rPr>
          <w:rFonts w:cstheme="minorBidi"/>
          <w:noProof/>
        </w:rPr>
        <w:t>t</w:t>
      </w:r>
      <w:r w:rsidR="008E6C84" w:rsidRPr="004453AB">
        <w:rPr>
          <w:rFonts w:cstheme="minorBidi"/>
          <w:noProof/>
        </w:rPr>
        <w:t>o comply with climate neutrality</w:t>
      </w:r>
      <w:r w:rsidR="00014D2D" w:rsidRPr="00014D2D">
        <w:rPr>
          <w:rFonts w:cs="Times New Roman"/>
          <w:noProof/>
        </w:rPr>
        <w:t xml:space="preserve"> (</w:t>
      </w:r>
      <w:r w:rsidR="00014D2D" w:rsidRPr="00014D2D">
        <w:rPr>
          <w:rStyle w:val="FootnoteReference"/>
          <w:rFonts w:cstheme="minorBidi"/>
          <w:noProof/>
        </w:rPr>
        <w:footnoteReference w:id="95"/>
      </w:r>
      <w:r w:rsidR="00014D2D" w:rsidRPr="00014D2D">
        <w:rPr>
          <w:rFonts w:cstheme="minorBidi"/>
          <w:noProof/>
        </w:rPr>
        <w:t>).</w:t>
      </w:r>
      <w:r w:rsidR="00014D2D" w:rsidRPr="00762966">
        <w:rPr>
          <w:rFonts w:cstheme="minorBidi"/>
          <w:i/>
          <w:iCs/>
          <w:noProof/>
        </w:rPr>
        <w:t xml:space="preserve"> </w:t>
      </w:r>
      <w:r w:rsidR="000F398F">
        <w:rPr>
          <w:rFonts w:cstheme="minorBidi"/>
          <w:noProof/>
        </w:rPr>
        <w:t xml:space="preserve"> </w:t>
      </w:r>
      <w:r w:rsidR="00A50DAA" w:rsidRPr="00A50DAA">
        <w:rPr>
          <w:rFonts w:cstheme="minorBidi"/>
          <w:noProof/>
        </w:rPr>
        <w:t xml:space="preserve">Acceleration of the decarbonisation of the industry is also supported by the public consultation results, where almost </w:t>
      </w:r>
      <w:r w:rsidR="000E02DD">
        <w:rPr>
          <w:rFonts w:cstheme="minorBidi"/>
          <w:noProof/>
        </w:rPr>
        <w:t>48</w:t>
      </w:r>
      <w:r w:rsidR="00A50DAA" w:rsidRPr="00A50DAA">
        <w:rPr>
          <w:rFonts w:cstheme="minorBidi"/>
          <w:noProof/>
        </w:rPr>
        <w:t>% of respondents</w:t>
      </w:r>
      <w:r w:rsidR="00404B47">
        <w:rPr>
          <w:rFonts w:cstheme="minorBidi"/>
          <w:noProof/>
        </w:rPr>
        <w:t xml:space="preserve">, and a number </w:t>
      </w:r>
      <w:r w:rsidR="00D06900">
        <w:rPr>
          <w:rFonts w:cstheme="minorBidi"/>
          <w:noProof/>
        </w:rPr>
        <w:t>of position papers</w:t>
      </w:r>
      <w:r w:rsidR="00A50DAA" w:rsidRPr="00A50DAA">
        <w:rPr>
          <w:rFonts w:cstheme="minorBidi"/>
          <w:noProof/>
        </w:rPr>
        <w:t xml:space="preserve"> indicated “Industrial processes </w:t>
      </w:r>
      <w:r w:rsidR="00E44F27">
        <w:rPr>
          <w:rFonts w:cstheme="minorBidi"/>
          <w:noProof/>
        </w:rPr>
        <w:t>and</w:t>
      </w:r>
      <w:r w:rsidR="00A50DAA" w:rsidRPr="00A50DAA">
        <w:rPr>
          <w:rFonts w:cstheme="minorBidi"/>
          <w:noProof/>
        </w:rPr>
        <w:t xml:space="preserve"> waste” as one of the sectors that </w:t>
      </w:r>
      <w:r w:rsidR="000B69F1">
        <w:rPr>
          <w:rFonts w:cstheme="minorBidi"/>
          <w:noProof/>
        </w:rPr>
        <w:t xml:space="preserve">can </w:t>
      </w:r>
      <w:r w:rsidR="00710259">
        <w:rPr>
          <w:rFonts w:cstheme="minorBidi"/>
          <w:noProof/>
        </w:rPr>
        <w:t>do</w:t>
      </w:r>
      <w:r w:rsidR="00A50DAA" w:rsidRPr="00A50DAA">
        <w:rPr>
          <w:rFonts w:cstheme="minorBidi"/>
          <w:noProof/>
        </w:rPr>
        <w:t xml:space="preserve"> more</w:t>
      </w:r>
      <w:r w:rsidR="00710259">
        <w:rPr>
          <w:rFonts w:cstheme="minorBidi"/>
          <w:noProof/>
        </w:rPr>
        <w:t xml:space="preserve"> to </w:t>
      </w:r>
      <w:r w:rsidR="000B69F1">
        <w:rPr>
          <w:rFonts w:cstheme="minorBidi"/>
          <w:noProof/>
        </w:rPr>
        <w:t xml:space="preserve">reduce </w:t>
      </w:r>
      <w:r w:rsidR="00A50DAA" w:rsidRPr="00A50DAA">
        <w:rPr>
          <w:rFonts w:cstheme="minorBidi"/>
          <w:noProof/>
        </w:rPr>
        <w:t>emissions.</w:t>
      </w:r>
    </w:p>
    <w:p w14:paraId="145AF0B9" w14:textId="747B8607" w:rsidR="00FC3963" w:rsidRDefault="00FC3963" w:rsidP="00FC3963">
      <w:pPr>
        <w:pStyle w:val="Caption"/>
        <w:rPr>
          <w:noProof/>
        </w:rPr>
      </w:pPr>
      <w:bookmarkStart w:id="292" w:name="_Ref143177343"/>
      <w:bookmarkStart w:id="293" w:name="_Ref147328886"/>
      <w:bookmarkStart w:id="294" w:name="_Toc157679803"/>
      <w:r>
        <w:rPr>
          <w:noProof/>
        </w:rPr>
        <w:t xml:space="preserve">Figure </w:t>
      </w:r>
      <w:bookmarkEnd w:id="292"/>
      <w:r w:rsidR="00F2742D">
        <w:rPr>
          <w:noProof/>
        </w:rPr>
        <w:fldChar w:fldCharType="begin"/>
      </w:r>
      <w:r w:rsidR="00F2742D">
        <w:rPr>
          <w:noProof/>
        </w:rPr>
        <w:instrText xml:space="preserve"> SEQ Figure \* ARABIC </w:instrText>
      </w:r>
      <w:r w:rsidR="00F2742D">
        <w:rPr>
          <w:noProof/>
        </w:rPr>
        <w:fldChar w:fldCharType="separate"/>
      </w:r>
      <w:r w:rsidR="00170A3C">
        <w:rPr>
          <w:noProof/>
        </w:rPr>
        <w:t>55</w:t>
      </w:r>
      <w:r w:rsidR="00F2742D">
        <w:rPr>
          <w:noProof/>
        </w:rPr>
        <w:fldChar w:fldCharType="end"/>
      </w:r>
      <w:bookmarkEnd w:id="293"/>
      <w:r>
        <w:rPr>
          <w:noProof/>
        </w:rPr>
        <w:t>: CO2 Emissions from industrial sector</w:t>
      </w:r>
      <w:bookmarkEnd w:id="294"/>
    </w:p>
    <w:p w14:paraId="54B144B7" w14:textId="79549886" w:rsidR="00FC3963" w:rsidRDefault="000C35DB" w:rsidP="00B9712E">
      <w:pPr>
        <w:keepNext/>
        <w:autoSpaceDE w:val="0"/>
        <w:autoSpaceDN w:val="0"/>
        <w:adjustRightInd w:val="0"/>
        <w:spacing w:after="0"/>
        <w:ind w:left="-142"/>
        <w:rPr>
          <w:rFonts w:cstheme="minorBidi"/>
          <w:noProof/>
        </w:rPr>
      </w:pPr>
      <w:r w:rsidRPr="000C35DB">
        <w:rPr>
          <w:rFonts w:cstheme="minorBidi"/>
          <w:noProof/>
        </w:rPr>
        <w:t xml:space="preserve"> </w:t>
      </w:r>
      <w:r w:rsidR="00537E2F" w:rsidRPr="00537E2F">
        <w:rPr>
          <w:noProof/>
          <w:lang w:eastAsia="en-GB"/>
        </w:rPr>
        <w:drawing>
          <wp:inline distT="0" distB="0" distL="0" distR="0" wp14:anchorId="25975A2E" wp14:editId="3A35BB76">
            <wp:extent cx="5384165" cy="2626995"/>
            <wp:effectExtent l="0" t="0" r="6985"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384165" cy="2626995"/>
                    </a:xfrm>
                    <a:prstGeom prst="rect">
                      <a:avLst/>
                    </a:prstGeom>
                    <a:noFill/>
                    <a:ln>
                      <a:noFill/>
                    </a:ln>
                  </pic:spPr>
                </pic:pic>
              </a:graphicData>
            </a:graphic>
          </wp:inline>
        </w:drawing>
      </w:r>
    </w:p>
    <w:p w14:paraId="6F25E85D" w14:textId="77777777" w:rsidR="00FC3963" w:rsidRDefault="00FC3963" w:rsidP="00FC3963">
      <w:pPr>
        <w:pStyle w:val="CT-SOURCE"/>
        <w:rPr>
          <w:rFonts w:cstheme="minorBidi"/>
          <w:noProof/>
        </w:rPr>
      </w:pPr>
      <w:r>
        <w:rPr>
          <w:noProof/>
        </w:rPr>
        <w:t>Source: PRIMES</w:t>
      </w:r>
    </w:p>
    <w:p w14:paraId="561246E9" w14:textId="77777777" w:rsidR="00350C25" w:rsidRPr="008D7826" w:rsidRDefault="00350C25" w:rsidP="00350C25">
      <w:pPr>
        <w:autoSpaceDE w:val="0"/>
        <w:autoSpaceDN w:val="0"/>
        <w:adjustRightInd w:val="0"/>
        <w:spacing w:after="0"/>
        <w:ind w:left="-142"/>
        <w:rPr>
          <w:rFonts w:cstheme="minorBidi"/>
          <w:noProof/>
        </w:rPr>
      </w:pPr>
    </w:p>
    <w:p w14:paraId="16373F73" w14:textId="7C4DFD47" w:rsidR="00350C25" w:rsidRDefault="003961C9" w:rsidP="00350C25">
      <w:pPr>
        <w:pStyle w:val="Heading3"/>
        <w:rPr>
          <w:noProof/>
        </w:rPr>
      </w:pPr>
      <w:bookmarkStart w:id="295" w:name="_Toc157692049"/>
      <w:r>
        <w:rPr>
          <w:noProof/>
        </w:rPr>
        <w:t>Complementary analysis</w:t>
      </w:r>
      <w:bookmarkEnd w:id="295"/>
      <w:r>
        <w:rPr>
          <w:noProof/>
        </w:rPr>
        <w:t xml:space="preserve"> </w:t>
      </w:r>
    </w:p>
    <w:p w14:paraId="26DB9DFA" w14:textId="17274B65" w:rsidR="00E133EE" w:rsidRPr="00630343" w:rsidRDefault="00E133EE" w:rsidP="00F7719F">
      <w:pPr>
        <w:pStyle w:val="Heading4"/>
        <w:rPr>
          <w:noProof/>
        </w:rPr>
      </w:pPr>
      <w:r>
        <w:rPr>
          <w:noProof/>
        </w:rPr>
        <w:t>Introduction</w:t>
      </w:r>
    </w:p>
    <w:p w14:paraId="399C5CFC" w14:textId="24E1C79D" w:rsidR="00E133EE" w:rsidRDefault="00E133EE" w:rsidP="00E133EE">
      <w:pPr>
        <w:autoSpaceDE w:val="0"/>
        <w:autoSpaceDN w:val="0"/>
        <w:adjustRightInd w:val="0"/>
        <w:spacing w:after="0"/>
        <w:ind w:left="-142"/>
        <w:rPr>
          <w:rFonts w:eastAsiaTheme="minorEastAsia"/>
          <w:noProof/>
        </w:rPr>
      </w:pPr>
      <w:r>
        <w:rPr>
          <w:rFonts w:eastAsiaTheme="minorEastAsia"/>
          <w:noProof/>
        </w:rPr>
        <w:t>Circular Economy (CE) actions can contribute significantly to decarbonise</w:t>
      </w:r>
      <w:r w:rsidR="00D75ECE">
        <w:rPr>
          <w:rFonts w:eastAsiaTheme="minorEastAsia"/>
          <w:noProof/>
        </w:rPr>
        <w:t xml:space="preserve"> </w:t>
      </w:r>
      <w:r w:rsidR="005A2D77">
        <w:rPr>
          <w:rFonts w:eastAsiaTheme="minorEastAsia"/>
          <w:noProof/>
        </w:rPr>
        <w:t>industrial sectors</w:t>
      </w:r>
      <w:r>
        <w:rPr>
          <w:rFonts w:eastAsiaTheme="minorEastAsia"/>
          <w:noProof/>
        </w:rPr>
        <w:t xml:space="preserve">, especially in fields </w:t>
      </w:r>
      <w:r w:rsidRPr="002C0FFF">
        <w:rPr>
          <w:rFonts w:eastAsiaTheme="minorEastAsia"/>
          <w:noProof/>
        </w:rPr>
        <w:t xml:space="preserve">where </w:t>
      </w:r>
      <w:r w:rsidR="005D2785">
        <w:rPr>
          <w:rFonts w:eastAsiaTheme="minorEastAsia"/>
          <w:noProof/>
        </w:rPr>
        <w:t>other mitigation options</w:t>
      </w:r>
      <w:r w:rsidRPr="002C0FFF">
        <w:rPr>
          <w:noProof/>
          <w:lang w:val="en-IE"/>
        </w:rPr>
        <w:t xml:space="preserve"> are under development </w:t>
      </w:r>
      <w:r>
        <w:rPr>
          <w:noProof/>
          <w:lang w:val="en-IE"/>
        </w:rPr>
        <w:t xml:space="preserve">or </w:t>
      </w:r>
      <w:r w:rsidRPr="002C0FFF">
        <w:rPr>
          <w:noProof/>
          <w:lang w:val="en-IE"/>
        </w:rPr>
        <w:t>available but still come at a cost premium (</w:t>
      </w:r>
      <w:r w:rsidR="00F42169" w:rsidRPr="002C0FFF">
        <w:rPr>
          <w:noProof/>
          <w:lang w:val="en-IE"/>
        </w:rPr>
        <w:t>e.g.,</w:t>
      </w:r>
      <w:r w:rsidRPr="002C0FFF">
        <w:rPr>
          <w:noProof/>
          <w:lang w:val="en-IE"/>
        </w:rPr>
        <w:t xml:space="preserve"> electrification of high temperature heat or hydrogen). </w:t>
      </w:r>
      <w:r w:rsidR="00654417" w:rsidRPr="1CF8454D">
        <w:rPr>
          <w:noProof/>
          <w:lang w:val="en-IE"/>
        </w:rPr>
        <w:t>One of the key channels through which CE actions</w:t>
      </w:r>
      <w:r w:rsidRPr="002C0FFF">
        <w:rPr>
          <w:noProof/>
          <w:lang w:val="en-IE"/>
        </w:rPr>
        <w:t xml:space="preserve"> can </w:t>
      </w:r>
      <w:r w:rsidR="00654417" w:rsidRPr="1CF8454D">
        <w:rPr>
          <w:noProof/>
          <w:lang w:val="en-IE"/>
        </w:rPr>
        <w:t>support industrial decarbonisation is by reducing the demand for primary production of industrial outputs through the extension of the lifetime of products and materials as well as the substitution of primary with less carbon-intensive</w:t>
      </w:r>
      <w:r w:rsidR="004A6BC6">
        <w:rPr>
          <w:noProof/>
          <w:lang w:val="en-IE"/>
        </w:rPr>
        <w:t>,</w:t>
      </w:r>
      <w:r w:rsidR="00654417" w:rsidRPr="1CF8454D">
        <w:rPr>
          <w:noProof/>
          <w:lang w:val="en-IE"/>
        </w:rPr>
        <w:t xml:space="preserve"> secondary materials. </w:t>
      </w:r>
      <w:r w:rsidR="00DF3F1C">
        <w:rPr>
          <w:noProof/>
          <w:lang w:val="en-IE"/>
        </w:rPr>
        <w:t xml:space="preserve">Literature reports </w:t>
      </w:r>
      <w:r w:rsidR="001335AE" w:rsidRPr="001335AE">
        <w:rPr>
          <w:noProof/>
          <w:lang w:val="en-IE"/>
        </w:rPr>
        <w:t xml:space="preserve">20% GHG emission saving potential </w:t>
      </w:r>
      <w:r w:rsidR="00D20356">
        <w:rPr>
          <w:noProof/>
          <w:lang w:val="en-IE"/>
        </w:rPr>
        <w:t xml:space="preserve">in the EU </w:t>
      </w:r>
      <w:r w:rsidR="001335AE" w:rsidRPr="001335AE">
        <w:rPr>
          <w:noProof/>
          <w:lang w:val="en-IE"/>
        </w:rPr>
        <w:t>due to CE actions until 2050</w:t>
      </w:r>
      <w:r w:rsidR="00D20356" w:rsidRPr="00D20356">
        <w:rPr>
          <w:noProof/>
          <w:lang w:val="en-IE"/>
        </w:rPr>
        <w:t> (</w:t>
      </w:r>
      <w:r w:rsidR="00D20356">
        <w:rPr>
          <w:rStyle w:val="FootnoteReference"/>
          <w:noProof/>
          <w:lang w:val="en-IE"/>
        </w:rPr>
        <w:footnoteReference w:id="96"/>
      </w:r>
      <w:r w:rsidR="00D20356">
        <w:rPr>
          <w:noProof/>
          <w:lang w:val="en-IE"/>
        </w:rPr>
        <w:t>), that can go up to 25% in certain Member States</w:t>
      </w:r>
      <w:r w:rsidR="00F064F1" w:rsidRPr="00F064F1">
        <w:rPr>
          <w:noProof/>
          <w:lang w:val="en-IE"/>
        </w:rPr>
        <w:t> (</w:t>
      </w:r>
      <w:r w:rsidR="00F064F1">
        <w:rPr>
          <w:rStyle w:val="FootnoteReference"/>
          <w:noProof/>
          <w:lang w:val="en-IE"/>
        </w:rPr>
        <w:footnoteReference w:id="97"/>
      </w:r>
      <w:r w:rsidR="00F064F1">
        <w:rPr>
          <w:noProof/>
          <w:lang w:val="en-IE"/>
        </w:rPr>
        <w:t xml:space="preserve">). </w:t>
      </w:r>
      <w:r w:rsidR="007B40D8">
        <w:rPr>
          <w:noProof/>
          <w:lang w:val="en-IE"/>
        </w:rPr>
        <w:t>M</w:t>
      </w:r>
      <w:r w:rsidR="00F064F1">
        <w:rPr>
          <w:noProof/>
          <w:lang w:val="en-IE"/>
        </w:rPr>
        <w:t xml:space="preserve">ore </w:t>
      </w:r>
      <w:r w:rsidR="00830744">
        <w:rPr>
          <w:noProof/>
          <w:lang w:val="en-IE"/>
        </w:rPr>
        <w:t>ambitious</w:t>
      </w:r>
      <w:r w:rsidR="00F064F1">
        <w:rPr>
          <w:noProof/>
          <w:lang w:val="en-IE"/>
        </w:rPr>
        <w:t xml:space="preserve"> </w:t>
      </w:r>
      <w:r w:rsidR="007B40D8">
        <w:rPr>
          <w:noProof/>
          <w:lang w:val="en-IE"/>
        </w:rPr>
        <w:t xml:space="preserve">estimates, </w:t>
      </w:r>
      <w:r w:rsidR="00865263">
        <w:rPr>
          <w:noProof/>
          <w:lang w:val="en-IE"/>
        </w:rPr>
        <w:t>which</w:t>
      </w:r>
      <w:r w:rsidR="007B40D8">
        <w:rPr>
          <w:noProof/>
          <w:lang w:val="en-IE"/>
        </w:rPr>
        <w:t xml:space="preserve"> also </w:t>
      </w:r>
      <w:r w:rsidR="00865263">
        <w:rPr>
          <w:noProof/>
          <w:lang w:val="en-IE"/>
        </w:rPr>
        <w:t>include</w:t>
      </w:r>
      <w:r w:rsidR="007B40D8">
        <w:rPr>
          <w:noProof/>
          <w:lang w:val="en-IE"/>
        </w:rPr>
        <w:t xml:space="preserve"> sufficiency actions</w:t>
      </w:r>
      <w:r w:rsidR="00433CD4">
        <w:rPr>
          <w:noProof/>
          <w:lang w:val="en-IE"/>
        </w:rPr>
        <w:t xml:space="preserve"> can go beyond that level</w:t>
      </w:r>
      <w:r w:rsidR="005F1A54" w:rsidRPr="005F1A54">
        <w:rPr>
          <w:noProof/>
          <w:lang w:val="en-IE"/>
        </w:rPr>
        <w:t> (</w:t>
      </w:r>
      <w:r w:rsidR="005F1A54">
        <w:rPr>
          <w:rStyle w:val="FootnoteReference"/>
          <w:noProof/>
          <w:lang w:val="en-IE"/>
        </w:rPr>
        <w:footnoteReference w:id="98"/>
      </w:r>
      <w:r w:rsidR="005F1A54">
        <w:rPr>
          <w:noProof/>
          <w:lang w:val="en-IE"/>
        </w:rPr>
        <w:t>)</w:t>
      </w:r>
      <w:r w:rsidR="00C91F3D">
        <w:rPr>
          <w:noProof/>
          <w:lang w:val="en-IE"/>
        </w:rPr>
        <w:t>,</w:t>
      </w:r>
      <w:r w:rsidR="00C91F3D" w:rsidRPr="00C91F3D">
        <w:rPr>
          <w:noProof/>
          <w:lang w:val="en-IE"/>
        </w:rPr>
        <w:t> (</w:t>
      </w:r>
      <w:r w:rsidR="00C91F3D">
        <w:rPr>
          <w:rStyle w:val="FootnoteReference"/>
          <w:noProof/>
          <w:lang w:val="en-IE"/>
        </w:rPr>
        <w:footnoteReference w:id="99"/>
      </w:r>
      <w:r w:rsidR="00C91F3D">
        <w:rPr>
          <w:noProof/>
          <w:lang w:val="en-IE"/>
        </w:rPr>
        <w:t>)</w:t>
      </w:r>
      <w:r w:rsidR="00433CD4">
        <w:rPr>
          <w:noProof/>
          <w:lang w:val="en-IE"/>
        </w:rPr>
        <w:t>.</w:t>
      </w:r>
      <w:r w:rsidR="00654417" w:rsidRPr="1CF8454D">
        <w:rPr>
          <w:noProof/>
          <w:lang w:val="en-IE"/>
        </w:rPr>
        <w:t xml:space="preserve"> </w:t>
      </w:r>
      <w:r w:rsidR="002C125B">
        <w:rPr>
          <w:noProof/>
          <w:lang w:val="en-IE"/>
        </w:rPr>
        <w:t>CE</w:t>
      </w:r>
      <w:r w:rsidRPr="002C0FFF">
        <w:rPr>
          <w:noProof/>
          <w:lang w:val="en-IE"/>
        </w:rPr>
        <w:t xml:space="preserve"> can also </w:t>
      </w:r>
      <w:r w:rsidRPr="002C0FFF">
        <w:rPr>
          <w:rFonts w:eastAsiaTheme="minorEastAsia"/>
          <w:noProof/>
        </w:rPr>
        <w:t xml:space="preserve">bring </w:t>
      </w:r>
      <w:r w:rsidR="00654417" w:rsidRPr="002C0FFF">
        <w:rPr>
          <w:rFonts w:eastAsiaTheme="minorEastAsia"/>
          <w:noProof/>
        </w:rPr>
        <w:t>several</w:t>
      </w:r>
      <w:r w:rsidRPr="002C0FFF">
        <w:rPr>
          <w:rFonts w:eastAsiaTheme="minorEastAsia"/>
          <w:noProof/>
        </w:rPr>
        <w:t xml:space="preserve"> add</w:t>
      </w:r>
      <w:r>
        <w:rPr>
          <w:rFonts w:eastAsiaTheme="minorEastAsia"/>
          <w:noProof/>
        </w:rPr>
        <w:t>itional co-benefits e.g., re</w:t>
      </w:r>
      <w:r w:rsidR="00E472BA">
        <w:rPr>
          <w:rFonts w:eastAsiaTheme="minorEastAsia"/>
          <w:noProof/>
        </w:rPr>
        <w:t xml:space="preserve">ducing the environmental pressure associated with natural resource consumption </w:t>
      </w:r>
      <w:r>
        <w:rPr>
          <w:rFonts w:eastAsiaTheme="minorEastAsia"/>
          <w:noProof/>
        </w:rPr>
        <w:t>nd increas</w:t>
      </w:r>
      <w:r w:rsidR="00E472BA">
        <w:rPr>
          <w:rFonts w:eastAsiaTheme="minorEastAsia"/>
          <w:noProof/>
        </w:rPr>
        <w:t>ing</w:t>
      </w:r>
      <w:r>
        <w:rPr>
          <w:rFonts w:eastAsiaTheme="minorEastAsia"/>
          <w:noProof/>
        </w:rPr>
        <w:t xml:space="preserve"> strategic autonomy </w:t>
      </w:r>
      <w:r w:rsidR="002F4C14">
        <w:rPr>
          <w:rFonts w:eastAsiaTheme="minorEastAsia"/>
          <w:noProof/>
        </w:rPr>
        <w:t xml:space="preserve">of the EU </w:t>
      </w:r>
      <w:r>
        <w:rPr>
          <w:rFonts w:eastAsiaTheme="minorEastAsia"/>
          <w:noProof/>
        </w:rPr>
        <w:t xml:space="preserve">by derisking supply chain for critical </w:t>
      </w:r>
      <w:r w:rsidR="002F4C14">
        <w:rPr>
          <w:rFonts w:eastAsiaTheme="minorEastAsia"/>
          <w:noProof/>
        </w:rPr>
        <w:t xml:space="preserve">and other </w:t>
      </w:r>
      <w:r>
        <w:rPr>
          <w:rFonts w:eastAsiaTheme="minorEastAsia"/>
          <w:noProof/>
        </w:rPr>
        <w:t xml:space="preserve">raw materials </w:t>
      </w:r>
      <w:r w:rsidR="004F2983">
        <w:rPr>
          <w:rFonts w:eastAsiaTheme="minorEastAsia"/>
          <w:noProof/>
        </w:rPr>
        <w:t xml:space="preserve">(see section </w:t>
      </w:r>
      <w:r w:rsidR="004C7FF3" w:rsidRPr="00753522">
        <w:rPr>
          <w:rFonts w:eastAsiaTheme="minorEastAsia"/>
          <w:noProof/>
        </w:rPr>
        <w:fldChar w:fldCharType="begin"/>
      </w:r>
      <w:r w:rsidR="004C7FF3" w:rsidRPr="00753522">
        <w:rPr>
          <w:rFonts w:eastAsiaTheme="minorEastAsia"/>
          <w:noProof/>
        </w:rPr>
        <w:instrText xml:space="preserve"> REF _Ref141190805 \r \h  \* MERGEFORMAT </w:instrText>
      </w:r>
      <w:r w:rsidR="004C7FF3" w:rsidRPr="00753522">
        <w:rPr>
          <w:rFonts w:eastAsiaTheme="minorEastAsia"/>
          <w:noProof/>
        </w:rPr>
      </w:r>
      <w:r w:rsidR="004C7FF3" w:rsidRPr="00753522">
        <w:rPr>
          <w:rFonts w:eastAsiaTheme="minorEastAsia"/>
          <w:noProof/>
        </w:rPr>
        <w:fldChar w:fldCharType="separate"/>
      </w:r>
      <w:r w:rsidR="00170A3C">
        <w:rPr>
          <w:rFonts w:eastAsiaTheme="minorEastAsia"/>
          <w:noProof/>
        </w:rPr>
        <w:t>1.9.4</w:t>
      </w:r>
      <w:r w:rsidR="004C7FF3" w:rsidRPr="00753522">
        <w:rPr>
          <w:rFonts w:eastAsiaTheme="minorEastAsia"/>
          <w:noProof/>
        </w:rPr>
        <w:fldChar w:fldCharType="end"/>
      </w:r>
      <w:r w:rsidR="004C7FF3" w:rsidRPr="00071E7A">
        <w:rPr>
          <w:rFonts w:eastAsiaTheme="minorEastAsia"/>
          <w:noProof/>
        </w:rPr>
        <w:t>).</w:t>
      </w:r>
      <w:r w:rsidRPr="00071E7A">
        <w:rPr>
          <w:rFonts w:eastAsiaTheme="minorEastAsia"/>
          <w:noProof/>
        </w:rPr>
        <w:t xml:space="preserve"> </w:t>
      </w:r>
    </w:p>
    <w:p w14:paraId="6E6F7C05" w14:textId="77777777" w:rsidR="00654417" w:rsidRDefault="00654417" w:rsidP="00E133EE">
      <w:pPr>
        <w:autoSpaceDE w:val="0"/>
        <w:autoSpaceDN w:val="0"/>
        <w:adjustRightInd w:val="0"/>
        <w:spacing w:after="0"/>
        <w:ind w:left="-142"/>
        <w:rPr>
          <w:rFonts w:eastAsiaTheme="minorEastAsia"/>
          <w:noProof/>
        </w:rPr>
      </w:pPr>
    </w:p>
    <w:p w14:paraId="4F716D27" w14:textId="31DEE8C6" w:rsidR="00E133EE" w:rsidRPr="00C100B8" w:rsidRDefault="00F30FD2" w:rsidP="00E133EE">
      <w:pPr>
        <w:autoSpaceDE w:val="0"/>
        <w:autoSpaceDN w:val="0"/>
        <w:adjustRightInd w:val="0"/>
        <w:spacing w:after="0"/>
        <w:ind w:left="-142"/>
        <w:rPr>
          <w:rFonts w:cstheme="minorHAnsi"/>
          <w:noProof/>
        </w:rPr>
      </w:pPr>
      <w:r>
        <w:rPr>
          <w:rFonts w:eastAsiaTheme="minorEastAsia"/>
          <w:noProof/>
        </w:rPr>
        <w:t>T</w:t>
      </w:r>
      <w:r w:rsidR="00E133EE">
        <w:rPr>
          <w:rFonts w:eastAsiaTheme="minorEastAsia"/>
          <w:noProof/>
        </w:rPr>
        <w:t xml:space="preserve">he </w:t>
      </w:r>
      <w:r w:rsidR="003961C9">
        <w:rPr>
          <w:rFonts w:eastAsiaTheme="minorEastAsia"/>
          <w:noProof/>
        </w:rPr>
        <w:t xml:space="preserve">following complementary analysis investigates the </w:t>
      </w:r>
      <w:r w:rsidR="00E133EE">
        <w:rPr>
          <w:rFonts w:eastAsiaTheme="minorEastAsia"/>
          <w:noProof/>
        </w:rPr>
        <w:t xml:space="preserve">impact </w:t>
      </w:r>
      <w:r w:rsidR="003961C9">
        <w:rPr>
          <w:rFonts w:eastAsiaTheme="minorEastAsia"/>
          <w:noProof/>
        </w:rPr>
        <w:t xml:space="preserve">of a </w:t>
      </w:r>
      <w:r w:rsidR="004C3F49">
        <w:rPr>
          <w:rFonts w:eastAsiaTheme="minorEastAsia"/>
          <w:noProof/>
        </w:rPr>
        <w:t xml:space="preserve">limited </w:t>
      </w:r>
      <w:r w:rsidR="003961C9">
        <w:rPr>
          <w:rFonts w:eastAsiaTheme="minorEastAsia"/>
          <w:noProof/>
        </w:rPr>
        <w:t xml:space="preserve">group of </w:t>
      </w:r>
      <w:r w:rsidR="00696824">
        <w:rPr>
          <w:rFonts w:eastAsiaTheme="minorEastAsia"/>
          <w:noProof/>
        </w:rPr>
        <w:t xml:space="preserve">relevant </w:t>
      </w:r>
      <w:r w:rsidR="003961C9">
        <w:rPr>
          <w:rFonts w:eastAsiaTheme="minorEastAsia"/>
          <w:noProof/>
        </w:rPr>
        <w:t xml:space="preserve">CE actions </w:t>
      </w:r>
      <w:r w:rsidR="004B3524">
        <w:rPr>
          <w:rFonts w:eastAsiaTheme="minorEastAsia"/>
          <w:noProof/>
        </w:rPr>
        <w:t xml:space="preserve">on </w:t>
      </w:r>
      <w:r w:rsidR="003961C9">
        <w:rPr>
          <w:rFonts w:eastAsiaTheme="minorEastAsia"/>
          <w:noProof/>
        </w:rPr>
        <w:t xml:space="preserve">the decarbonisation of </w:t>
      </w:r>
      <w:r w:rsidR="00696824">
        <w:rPr>
          <w:rFonts w:eastAsiaTheme="minorEastAsia"/>
          <w:noProof/>
        </w:rPr>
        <w:t xml:space="preserve">iron and steel, aluminum, paper and pulp, cement, ethylene, and glass sectors. It </w:t>
      </w:r>
      <w:r w:rsidR="003961C9">
        <w:rPr>
          <w:rFonts w:eastAsiaTheme="minorEastAsia"/>
          <w:noProof/>
        </w:rPr>
        <w:t>show</w:t>
      </w:r>
      <w:r w:rsidR="00696824">
        <w:rPr>
          <w:rFonts w:eastAsiaTheme="minorEastAsia"/>
          <w:noProof/>
        </w:rPr>
        <w:t>s</w:t>
      </w:r>
      <w:r w:rsidR="003961C9">
        <w:rPr>
          <w:rFonts w:eastAsiaTheme="minorEastAsia"/>
          <w:noProof/>
        </w:rPr>
        <w:t xml:space="preserve"> results on </w:t>
      </w:r>
      <w:r w:rsidR="00E133EE" w:rsidRPr="00C100B8">
        <w:rPr>
          <w:rFonts w:eastAsiaTheme="minorEastAsia"/>
          <w:noProof/>
        </w:rPr>
        <w:t xml:space="preserve">future </w:t>
      </w:r>
      <w:r w:rsidR="00E133EE">
        <w:rPr>
          <w:rFonts w:eastAsiaTheme="minorEastAsia"/>
          <w:noProof/>
        </w:rPr>
        <w:t xml:space="preserve">material </w:t>
      </w:r>
      <w:r w:rsidR="00E133EE" w:rsidRPr="00C100B8">
        <w:rPr>
          <w:rFonts w:eastAsiaTheme="minorEastAsia"/>
          <w:noProof/>
        </w:rPr>
        <w:t>production, GHG emissions and energy demand</w:t>
      </w:r>
      <w:r w:rsidR="001B0FED">
        <w:rPr>
          <w:rFonts w:eastAsiaTheme="minorEastAsia"/>
          <w:noProof/>
        </w:rPr>
        <w:t xml:space="preserve">. </w:t>
      </w:r>
      <w:r w:rsidR="004C3F49">
        <w:rPr>
          <w:rFonts w:eastAsiaTheme="minorEastAsia"/>
          <w:noProof/>
        </w:rPr>
        <w:t>A broad circular economy approach and t</w:t>
      </w:r>
      <w:r w:rsidR="00D849B9" w:rsidRPr="0056157E">
        <w:rPr>
          <w:rFonts w:eastAsiaTheme="minorEastAsia"/>
          <w:noProof/>
          <w:lang w:val="en-IE"/>
        </w:rPr>
        <w:t xml:space="preserve">he overall impact of CE actions across the </w:t>
      </w:r>
      <w:r w:rsidR="00D849B9">
        <w:rPr>
          <w:rFonts w:eastAsiaTheme="minorEastAsia"/>
          <w:noProof/>
          <w:lang w:val="en-IE"/>
        </w:rPr>
        <w:t xml:space="preserve">whole </w:t>
      </w:r>
      <w:r w:rsidR="00D849B9" w:rsidRPr="0056157E">
        <w:rPr>
          <w:rFonts w:eastAsiaTheme="minorEastAsia"/>
          <w:noProof/>
          <w:lang w:val="en-IE"/>
        </w:rPr>
        <w:t xml:space="preserve">economy </w:t>
      </w:r>
      <w:r w:rsidR="00D849B9">
        <w:rPr>
          <w:rFonts w:eastAsiaTheme="minorEastAsia"/>
          <w:noProof/>
          <w:lang w:val="en-IE"/>
        </w:rPr>
        <w:t xml:space="preserve">fall outside the scope of this </w:t>
      </w:r>
      <w:r w:rsidR="00F42169">
        <w:rPr>
          <w:rFonts w:eastAsiaTheme="minorEastAsia"/>
          <w:noProof/>
          <w:lang w:val="en-IE"/>
        </w:rPr>
        <w:t xml:space="preserve">study </w:t>
      </w:r>
      <w:r w:rsidR="00F42169" w:rsidRPr="00D849B9">
        <w:rPr>
          <w:rFonts w:eastAsiaTheme="minorEastAsia"/>
          <w:noProof/>
          <w:lang w:val="en-IE"/>
        </w:rPr>
        <w:t>(</w:t>
      </w:r>
      <w:r w:rsidR="00D849B9">
        <w:rPr>
          <w:rStyle w:val="FootnoteReference"/>
          <w:rFonts w:eastAsiaTheme="minorEastAsia"/>
          <w:noProof/>
          <w:lang w:val="en-IE"/>
        </w:rPr>
        <w:footnoteReference w:id="100"/>
      </w:r>
      <w:r w:rsidR="00D849B9">
        <w:rPr>
          <w:rFonts w:eastAsiaTheme="minorEastAsia"/>
          <w:noProof/>
          <w:lang w:val="en-IE"/>
        </w:rPr>
        <w:t>),</w:t>
      </w:r>
      <w:r w:rsidR="00D849B9" w:rsidRPr="00D849B9">
        <w:rPr>
          <w:rFonts w:eastAsiaTheme="minorEastAsia"/>
          <w:noProof/>
          <w:lang w:val="en-IE"/>
        </w:rPr>
        <w:t>(</w:t>
      </w:r>
      <w:r w:rsidR="00D849B9">
        <w:rPr>
          <w:rStyle w:val="FootnoteReference"/>
          <w:rFonts w:eastAsiaTheme="minorEastAsia"/>
          <w:noProof/>
          <w:lang w:val="en-IE"/>
        </w:rPr>
        <w:footnoteReference w:id="101"/>
      </w:r>
      <w:r w:rsidR="00D849B9">
        <w:rPr>
          <w:rFonts w:eastAsiaTheme="minorEastAsia"/>
          <w:noProof/>
          <w:lang w:val="en-IE"/>
        </w:rPr>
        <w:t>)</w:t>
      </w:r>
      <w:r w:rsidR="004C3F49">
        <w:rPr>
          <w:rFonts w:eastAsiaTheme="minorEastAsia"/>
          <w:noProof/>
          <w:lang w:val="en-IE"/>
        </w:rPr>
        <w:t xml:space="preserve">, and is </w:t>
      </w:r>
      <w:r w:rsidR="00D84455">
        <w:rPr>
          <w:rFonts w:eastAsiaTheme="minorEastAsia"/>
          <w:noProof/>
          <w:lang w:val="en-IE"/>
        </w:rPr>
        <w:t>taken into account</w:t>
      </w:r>
      <w:r w:rsidR="004C3F49">
        <w:rPr>
          <w:rFonts w:eastAsiaTheme="minorEastAsia"/>
          <w:noProof/>
          <w:lang w:val="en-IE"/>
        </w:rPr>
        <w:t xml:space="preserve"> in S1, S2, S3 and LIFE analysis.</w:t>
      </w:r>
    </w:p>
    <w:p w14:paraId="19A4F764" w14:textId="77777777" w:rsidR="00467742" w:rsidRPr="00C100B8" w:rsidRDefault="00467742" w:rsidP="00E133EE">
      <w:pPr>
        <w:autoSpaceDE w:val="0"/>
        <w:autoSpaceDN w:val="0"/>
        <w:adjustRightInd w:val="0"/>
        <w:spacing w:after="0"/>
        <w:ind w:left="-142"/>
        <w:rPr>
          <w:rFonts w:cstheme="minorHAnsi"/>
          <w:noProof/>
        </w:rPr>
      </w:pPr>
    </w:p>
    <w:p w14:paraId="2A3281B9" w14:textId="19FD1BB6" w:rsidR="00350C25" w:rsidRPr="00630343" w:rsidRDefault="00350C25" w:rsidP="00F7719F">
      <w:pPr>
        <w:pStyle w:val="Heading4"/>
        <w:rPr>
          <w:noProof/>
        </w:rPr>
      </w:pPr>
      <w:bookmarkStart w:id="296" w:name="_Ref143093006"/>
      <w:r w:rsidRPr="00630343">
        <w:rPr>
          <w:noProof/>
        </w:rPr>
        <w:t>Methodology</w:t>
      </w:r>
      <w:bookmarkEnd w:id="296"/>
    </w:p>
    <w:p w14:paraId="6EA7700B" w14:textId="01FA4249" w:rsidR="00E133EE" w:rsidRDefault="00E133EE" w:rsidP="00E133EE">
      <w:pPr>
        <w:autoSpaceDE w:val="0"/>
        <w:autoSpaceDN w:val="0"/>
        <w:adjustRightInd w:val="0"/>
        <w:spacing w:after="0"/>
        <w:ind w:left="-142"/>
        <w:rPr>
          <w:rFonts w:eastAsiaTheme="minorEastAsia"/>
          <w:noProof/>
        </w:rPr>
      </w:pPr>
      <w:r>
        <w:rPr>
          <w:rFonts w:eastAsiaTheme="minorEastAsia"/>
          <w:noProof/>
        </w:rPr>
        <w:t xml:space="preserve">The complementary analysis focuses on a subset of materials produced by energy-intensive industries </w:t>
      </w:r>
      <w:r w:rsidR="00493302">
        <w:rPr>
          <w:rFonts w:eastAsiaTheme="minorEastAsia"/>
          <w:noProof/>
        </w:rPr>
        <w:t xml:space="preserve">EIIs </w:t>
      </w:r>
      <w:r>
        <w:rPr>
          <w:rFonts w:eastAsiaTheme="minorEastAsia"/>
          <w:noProof/>
        </w:rPr>
        <w:t xml:space="preserve">(Iron </w:t>
      </w:r>
      <w:r w:rsidR="00E44F27">
        <w:rPr>
          <w:rFonts w:eastAsiaTheme="minorEastAsia"/>
          <w:noProof/>
        </w:rPr>
        <w:t>and</w:t>
      </w:r>
      <w:r>
        <w:rPr>
          <w:rFonts w:eastAsiaTheme="minorEastAsia"/>
          <w:noProof/>
        </w:rPr>
        <w:t xml:space="preserve"> Steel, Cement, Aluminium, Glass, Ethylene and Pulp and Paper)</w:t>
      </w:r>
      <w:r w:rsidR="00A608BA">
        <w:rPr>
          <w:rFonts w:eastAsiaTheme="minorEastAsia"/>
          <w:noProof/>
        </w:rPr>
        <w:t xml:space="preserve">. It </w:t>
      </w:r>
      <w:r w:rsidR="00297F06">
        <w:rPr>
          <w:rFonts w:eastAsiaTheme="minorEastAsia"/>
          <w:noProof/>
        </w:rPr>
        <w:t>projects</w:t>
      </w:r>
      <w:r w:rsidR="00114839">
        <w:rPr>
          <w:rFonts w:eastAsiaTheme="minorEastAsia"/>
          <w:noProof/>
        </w:rPr>
        <w:t xml:space="preserve"> </w:t>
      </w:r>
      <w:r w:rsidRPr="00C100B8">
        <w:rPr>
          <w:rFonts w:eastAsiaTheme="minorEastAsia"/>
          <w:noProof/>
        </w:rPr>
        <w:t xml:space="preserve">future </w:t>
      </w:r>
      <w:r>
        <w:rPr>
          <w:rFonts w:eastAsiaTheme="minorEastAsia"/>
          <w:noProof/>
        </w:rPr>
        <w:t xml:space="preserve">material </w:t>
      </w:r>
      <w:r w:rsidRPr="00C100B8">
        <w:rPr>
          <w:rFonts w:eastAsiaTheme="minorEastAsia"/>
          <w:noProof/>
        </w:rPr>
        <w:t xml:space="preserve">production, </w:t>
      </w:r>
      <w:r w:rsidR="00A608BA">
        <w:rPr>
          <w:rFonts w:eastAsiaTheme="minorEastAsia"/>
          <w:noProof/>
        </w:rPr>
        <w:t xml:space="preserve">and by mean of the FORECAST </w:t>
      </w:r>
      <w:r w:rsidR="00297F06">
        <w:rPr>
          <w:rFonts w:eastAsiaTheme="minorEastAsia"/>
          <w:noProof/>
        </w:rPr>
        <w:t xml:space="preserve">tool, </w:t>
      </w:r>
      <w:r w:rsidR="00A608BA">
        <w:rPr>
          <w:rFonts w:eastAsiaTheme="minorEastAsia"/>
          <w:noProof/>
        </w:rPr>
        <w:t xml:space="preserve"> (see Annex 6), </w:t>
      </w:r>
      <w:r w:rsidR="00297F06">
        <w:rPr>
          <w:rFonts w:eastAsiaTheme="minorEastAsia"/>
          <w:noProof/>
        </w:rPr>
        <w:t>it models</w:t>
      </w:r>
      <w:r w:rsidR="00A608BA">
        <w:rPr>
          <w:rFonts w:eastAsiaTheme="minorEastAsia"/>
          <w:noProof/>
        </w:rPr>
        <w:t xml:space="preserve"> </w:t>
      </w:r>
      <w:r w:rsidRPr="00C100B8">
        <w:rPr>
          <w:rFonts w:eastAsiaTheme="minorEastAsia"/>
          <w:noProof/>
        </w:rPr>
        <w:t>GHG emissions and energy demand</w:t>
      </w:r>
      <w:r>
        <w:rPr>
          <w:rFonts w:eastAsiaTheme="minorEastAsia"/>
          <w:noProof/>
        </w:rPr>
        <w:t xml:space="preserve"> in</w:t>
      </w:r>
      <w:r w:rsidR="003814AB">
        <w:rPr>
          <w:rFonts w:eastAsiaTheme="minorEastAsia"/>
          <w:noProof/>
        </w:rPr>
        <w:t xml:space="preserve"> </w:t>
      </w:r>
      <w:r w:rsidR="004B3524">
        <w:rPr>
          <w:rFonts w:eastAsiaTheme="minorEastAsia"/>
          <w:noProof/>
        </w:rPr>
        <w:t xml:space="preserve">two different </w:t>
      </w:r>
      <w:r w:rsidR="003814AB">
        <w:rPr>
          <w:rFonts w:eastAsiaTheme="minorEastAsia"/>
          <w:noProof/>
        </w:rPr>
        <w:t>decarbonisation</w:t>
      </w:r>
      <w:r>
        <w:rPr>
          <w:rFonts w:eastAsiaTheme="minorEastAsia"/>
          <w:noProof/>
        </w:rPr>
        <w:t xml:space="preserve"> scenarios</w:t>
      </w:r>
      <w:r w:rsidR="004B3524">
        <w:rPr>
          <w:rFonts w:eastAsiaTheme="minorEastAsia"/>
          <w:noProof/>
        </w:rPr>
        <w:t xml:space="preserve">: </w:t>
      </w:r>
      <w:r w:rsidR="0098666A">
        <w:rPr>
          <w:rFonts w:eastAsiaTheme="minorEastAsia"/>
          <w:noProof/>
        </w:rPr>
        <w:t>C</w:t>
      </w:r>
      <w:r w:rsidR="004B3524">
        <w:rPr>
          <w:rFonts w:eastAsiaTheme="minorEastAsia"/>
          <w:noProof/>
        </w:rPr>
        <w:t>IRC (after circularity)</w:t>
      </w:r>
      <w:r w:rsidR="0098666A" w:rsidRPr="0098666A">
        <w:rPr>
          <w:rFonts w:eastAsiaTheme="minorEastAsia"/>
          <w:noProof/>
        </w:rPr>
        <w:t xml:space="preserve"> </w:t>
      </w:r>
      <w:r w:rsidR="0098666A">
        <w:rPr>
          <w:rFonts w:eastAsiaTheme="minorEastAsia"/>
          <w:noProof/>
        </w:rPr>
        <w:t xml:space="preserve">and </w:t>
      </w:r>
      <w:r w:rsidR="006422F5">
        <w:rPr>
          <w:rFonts w:eastAsiaTheme="minorEastAsia"/>
          <w:noProof/>
        </w:rPr>
        <w:t>STD</w:t>
      </w:r>
      <w:r w:rsidR="0098666A">
        <w:rPr>
          <w:rFonts w:eastAsiaTheme="minorEastAsia"/>
          <w:noProof/>
        </w:rPr>
        <w:t xml:space="preserve"> (after </w:t>
      </w:r>
      <w:r w:rsidR="006422F5">
        <w:rPr>
          <w:rFonts w:eastAsiaTheme="minorEastAsia"/>
          <w:noProof/>
        </w:rPr>
        <w:t>standard</w:t>
      </w:r>
      <w:r w:rsidR="0098666A">
        <w:rPr>
          <w:rFonts w:eastAsiaTheme="minorEastAsia"/>
          <w:noProof/>
        </w:rPr>
        <w:t>)</w:t>
      </w:r>
      <w:r w:rsidR="004D1CE6">
        <w:rPr>
          <w:rFonts w:eastAsiaTheme="minorEastAsia"/>
          <w:noProof/>
        </w:rPr>
        <w:t xml:space="preserve">. </w:t>
      </w:r>
      <w:r w:rsidR="008C302C" w:rsidRPr="008C302C">
        <w:rPr>
          <w:rFonts w:eastAsiaTheme="minorEastAsia"/>
          <w:noProof/>
        </w:rPr>
        <w:t>While the STD assumes the partial implementation Circular Economy Action Plan (CEAP)</w:t>
      </w:r>
      <w:r w:rsidR="00067F49" w:rsidRPr="00067F49">
        <w:rPr>
          <w:rFonts w:eastAsiaTheme="minorEastAsia"/>
          <w:noProof/>
        </w:rPr>
        <w:t> (</w:t>
      </w:r>
      <w:r w:rsidR="00067F49">
        <w:rPr>
          <w:rStyle w:val="FootnoteReference"/>
          <w:rFonts w:eastAsiaTheme="minorEastAsia"/>
          <w:noProof/>
        </w:rPr>
        <w:footnoteReference w:id="102"/>
      </w:r>
      <w:r w:rsidR="00067F49">
        <w:rPr>
          <w:rFonts w:eastAsiaTheme="minorEastAsia"/>
          <w:noProof/>
        </w:rPr>
        <w:t>)</w:t>
      </w:r>
      <w:r w:rsidR="008C302C" w:rsidRPr="008C302C">
        <w:rPr>
          <w:rFonts w:eastAsiaTheme="minorEastAsia"/>
          <w:noProof/>
        </w:rPr>
        <w:t xml:space="preserve">, the CIRC includes additional </w:t>
      </w:r>
      <w:r w:rsidR="00BE7A17">
        <w:rPr>
          <w:rFonts w:eastAsiaTheme="minorEastAsia"/>
          <w:noProof/>
        </w:rPr>
        <w:t xml:space="preserve"> </w:t>
      </w:r>
      <w:r w:rsidR="008C302C" w:rsidRPr="008C302C">
        <w:rPr>
          <w:rFonts w:eastAsiaTheme="minorEastAsia"/>
          <w:noProof/>
        </w:rPr>
        <w:t xml:space="preserve">selected CE actions that </w:t>
      </w:r>
      <w:r w:rsidR="004B3524">
        <w:rPr>
          <w:rFonts w:eastAsiaTheme="minorEastAsia"/>
          <w:noProof/>
        </w:rPr>
        <w:t xml:space="preserve">are listed in </w:t>
      </w:r>
      <w:r w:rsidR="0098666A">
        <w:rPr>
          <w:noProof/>
          <w:lang w:val="pt-PT"/>
        </w:rPr>
        <w:fldChar w:fldCharType="begin"/>
      </w:r>
      <w:r w:rsidR="0098666A" w:rsidRPr="00555F9E">
        <w:rPr>
          <w:noProof/>
          <w:lang w:val="en-IE"/>
        </w:rPr>
        <w:instrText xml:space="preserve"> REF _Ref143267186 \h </w:instrText>
      </w:r>
      <w:r w:rsidR="0098666A">
        <w:rPr>
          <w:noProof/>
          <w:lang w:val="pt-PT"/>
        </w:rPr>
      </w:r>
      <w:r w:rsidR="0098666A">
        <w:rPr>
          <w:noProof/>
          <w:lang w:val="pt-PT"/>
        </w:rPr>
        <w:fldChar w:fldCharType="separate"/>
      </w:r>
      <w:r w:rsidR="00170A3C">
        <w:rPr>
          <w:noProof/>
        </w:rPr>
        <w:t>Table 9</w:t>
      </w:r>
      <w:r w:rsidR="0098666A">
        <w:rPr>
          <w:noProof/>
          <w:lang w:val="pt-PT"/>
        </w:rPr>
        <w:fldChar w:fldCharType="end"/>
      </w:r>
      <w:r>
        <w:rPr>
          <w:rFonts w:eastAsiaTheme="minorEastAsia"/>
          <w:noProof/>
        </w:rPr>
        <w:t xml:space="preserve">. The main common assumptions of the </w:t>
      </w:r>
      <w:r w:rsidR="004D1CE6">
        <w:rPr>
          <w:rFonts w:eastAsiaTheme="minorEastAsia"/>
          <w:noProof/>
        </w:rPr>
        <w:t xml:space="preserve">CIRC and STD </w:t>
      </w:r>
      <w:r>
        <w:rPr>
          <w:rFonts w:eastAsiaTheme="minorEastAsia"/>
          <w:noProof/>
        </w:rPr>
        <w:t xml:space="preserve">are in line with </w:t>
      </w:r>
      <w:r w:rsidR="004D1CE6">
        <w:rPr>
          <w:rFonts w:eastAsiaTheme="minorEastAsia"/>
          <w:noProof/>
        </w:rPr>
        <w:t>the main scenarios S1,</w:t>
      </w:r>
      <w:r w:rsidR="00BC7A6D">
        <w:rPr>
          <w:rFonts w:eastAsiaTheme="minorEastAsia"/>
          <w:noProof/>
        </w:rPr>
        <w:t xml:space="preserve"> </w:t>
      </w:r>
      <w:r w:rsidR="004D1CE6">
        <w:rPr>
          <w:rFonts w:eastAsiaTheme="minorEastAsia"/>
          <w:noProof/>
        </w:rPr>
        <w:t>S2,</w:t>
      </w:r>
      <w:r w:rsidR="00BC7A6D">
        <w:rPr>
          <w:rFonts w:eastAsiaTheme="minorEastAsia"/>
          <w:noProof/>
        </w:rPr>
        <w:t xml:space="preserve"> </w:t>
      </w:r>
      <w:r w:rsidR="004D1CE6">
        <w:rPr>
          <w:rFonts w:eastAsiaTheme="minorEastAsia"/>
          <w:noProof/>
        </w:rPr>
        <w:t xml:space="preserve">S3 with some </w:t>
      </w:r>
      <w:r w:rsidR="00ED549E">
        <w:rPr>
          <w:rFonts w:eastAsiaTheme="minorEastAsia"/>
          <w:noProof/>
        </w:rPr>
        <w:t>signficiant</w:t>
      </w:r>
      <w:r w:rsidR="004D1CE6">
        <w:rPr>
          <w:rFonts w:eastAsiaTheme="minorEastAsia"/>
          <w:noProof/>
        </w:rPr>
        <w:t xml:space="preserve"> differences</w:t>
      </w:r>
      <w:r w:rsidR="0052792A">
        <w:rPr>
          <w:rFonts w:eastAsiaTheme="minorEastAsia"/>
          <w:noProof/>
        </w:rPr>
        <w:t>. F</w:t>
      </w:r>
      <w:r w:rsidR="004D1CE6">
        <w:rPr>
          <w:rFonts w:eastAsiaTheme="minorEastAsia"/>
          <w:noProof/>
        </w:rPr>
        <w:t xml:space="preserve">or </w:t>
      </w:r>
      <w:r w:rsidR="00E11FA7">
        <w:rPr>
          <w:rFonts w:eastAsiaTheme="minorEastAsia"/>
          <w:noProof/>
        </w:rPr>
        <w:t xml:space="preserve">instance, in </w:t>
      </w:r>
      <w:r w:rsidR="006422F5">
        <w:rPr>
          <w:rFonts w:eastAsiaTheme="minorEastAsia"/>
          <w:noProof/>
        </w:rPr>
        <w:t>STD</w:t>
      </w:r>
      <w:r w:rsidR="00E11FA7">
        <w:rPr>
          <w:rFonts w:eastAsiaTheme="minorEastAsia"/>
          <w:noProof/>
        </w:rPr>
        <w:t xml:space="preserve"> and CIRC, deployment of carbon capture is limited </w:t>
      </w:r>
      <w:r w:rsidR="002425BA">
        <w:rPr>
          <w:rFonts w:eastAsiaTheme="minorEastAsia"/>
          <w:noProof/>
        </w:rPr>
        <w:t xml:space="preserve">to industrial processes in </w:t>
      </w:r>
      <w:r w:rsidR="00D06DCD">
        <w:rPr>
          <w:rFonts w:eastAsiaTheme="minorEastAsia"/>
          <w:noProof/>
        </w:rPr>
        <w:t xml:space="preserve">sectors where residual emissions are projected in </w:t>
      </w:r>
      <w:r w:rsidR="00020148">
        <w:rPr>
          <w:rFonts w:eastAsiaTheme="minorEastAsia"/>
          <w:noProof/>
        </w:rPr>
        <w:t>2050</w:t>
      </w:r>
      <w:r w:rsidR="0052792A">
        <w:rPr>
          <w:rFonts w:eastAsiaTheme="minorEastAsia"/>
          <w:noProof/>
        </w:rPr>
        <w:t xml:space="preserve"> (</w:t>
      </w:r>
      <w:r w:rsidR="00020148">
        <w:rPr>
          <w:rFonts w:eastAsiaTheme="minorEastAsia"/>
          <w:noProof/>
        </w:rPr>
        <w:t>the cement industry</w:t>
      </w:r>
      <w:r w:rsidR="00020148" w:rsidRPr="00020148">
        <w:rPr>
          <w:rFonts w:eastAsiaTheme="minorEastAsia"/>
          <w:noProof/>
        </w:rPr>
        <w:t> (</w:t>
      </w:r>
      <w:r w:rsidR="00020148">
        <w:rPr>
          <w:rStyle w:val="FootnoteReference"/>
          <w:rFonts w:eastAsiaTheme="minorEastAsia"/>
          <w:noProof/>
        </w:rPr>
        <w:footnoteReference w:id="103"/>
      </w:r>
      <w:r w:rsidR="00020148">
        <w:rPr>
          <w:rFonts w:eastAsiaTheme="minorEastAsia"/>
          <w:noProof/>
        </w:rPr>
        <w:t>)</w:t>
      </w:r>
      <w:r w:rsidR="00020148" w:rsidRPr="00020148">
        <w:rPr>
          <w:rFonts w:eastAsiaTheme="minorEastAsia"/>
          <w:noProof/>
        </w:rPr>
        <w:t> (</w:t>
      </w:r>
      <w:r w:rsidR="00020148">
        <w:rPr>
          <w:rStyle w:val="FootnoteReference"/>
          <w:rFonts w:eastAsiaTheme="minorEastAsia"/>
          <w:noProof/>
        </w:rPr>
        <w:footnoteReference w:id="104"/>
      </w:r>
      <w:r w:rsidR="00020148">
        <w:rPr>
          <w:rFonts w:eastAsiaTheme="minorEastAsia"/>
          <w:noProof/>
        </w:rPr>
        <w:t>)</w:t>
      </w:r>
      <w:r w:rsidR="0052792A">
        <w:rPr>
          <w:rFonts w:eastAsiaTheme="minorEastAsia"/>
          <w:noProof/>
        </w:rPr>
        <w:t>)</w:t>
      </w:r>
      <w:r w:rsidR="00081440">
        <w:rPr>
          <w:rFonts w:eastAsiaTheme="minorEastAsia"/>
          <w:noProof/>
        </w:rPr>
        <w:t xml:space="preserve">, </w:t>
      </w:r>
      <w:r w:rsidR="000F3420">
        <w:rPr>
          <w:rFonts w:eastAsiaTheme="minorEastAsia"/>
          <w:noProof/>
        </w:rPr>
        <w:t xml:space="preserve">and </w:t>
      </w:r>
      <w:r w:rsidR="00243FA6">
        <w:rPr>
          <w:rFonts w:eastAsiaTheme="minorEastAsia"/>
          <w:noProof/>
        </w:rPr>
        <w:t>removal compensation</w:t>
      </w:r>
      <w:r w:rsidR="0032792B">
        <w:rPr>
          <w:rFonts w:eastAsiaTheme="minorEastAsia"/>
          <w:noProof/>
        </w:rPr>
        <w:t xml:space="preserve"> </w:t>
      </w:r>
      <w:r w:rsidR="00493302">
        <w:rPr>
          <w:rFonts w:eastAsiaTheme="minorEastAsia"/>
          <w:noProof/>
        </w:rPr>
        <w:t xml:space="preserve">outside </w:t>
      </w:r>
      <w:r w:rsidR="00DC188C">
        <w:rPr>
          <w:rFonts w:eastAsiaTheme="minorEastAsia"/>
          <w:noProof/>
        </w:rPr>
        <w:t>EII sectors (</w:t>
      </w:r>
      <w:r w:rsidR="0032792B">
        <w:rPr>
          <w:rFonts w:eastAsiaTheme="minorEastAsia"/>
          <w:noProof/>
        </w:rPr>
        <w:t>DACCS</w:t>
      </w:r>
      <w:r w:rsidR="00DC188C">
        <w:rPr>
          <w:rFonts w:eastAsiaTheme="minorEastAsia"/>
          <w:noProof/>
        </w:rPr>
        <w:t>)</w:t>
      </w:r>
      <w:r w:rsidR="00F7007A">
        <w:rPr>
          <w:rFonts w:eastAsiaTheme="minorEastAsia"/>
          <w:noProof/>
        </w:rPr>
        <w:t>,</w:t>
      </w:r>
      <w:r w:rsidR="005A160B">
        <w:rPr>
          <w:rFonts w:eastAsiaTheme="minorEastAsia"/>
          <w:noProof/>
        </w:rPr>
        <w:t xml:space="preserve"> are not </w:t>
      </w:r>
      <w:r w:rsidR="000F3420">
        <w:rPr>
          <w:rFonts w:eastAsiaTheme="minorEastAsia"/>
          <w:noProof/>
        </w:rPr>
        <w:t>considered</w:t>
      </w:r>
      <w:r w:rsidR="005A160B">
        <w:rPr>
          <w:rFonts w:eastAsiaTheme="minorEastAsia"/>
          <w:noProof/>
        </w:rPr>
        <w:t>.</w:t>
      </w:r>
      <w:r w:rsidR="000F3420">
        <w:rPr>
          <w:rFonts w:eastAsiaTheme="minorEastAsia"/>
          <w:noProof/>
        </w:rPr>
        <w:t xml:space="preserve"> </w:t>
      </w:r>
      <w:r w:rsidR="000F1F4F">
        <w:rPr>
          <w:rFonts w:eastAsiaTheme="minorEastAsia"/>
          <w:noProof/>
        </w:rPr>
        <w:t>Moreover, the CIRC scenario only reflects selected CE action, without considering a large circular economy framework including sufficiency or shared economy measures. Finally</w:t>
      </w:r>
      <w:r w:rsidR="000F3420">
        <w:rPr>
          <w:rFonts w:eastAsiaTheme="minorEastAsia"/>
          <w:noProof/>
        </w:rPr>
        <w:t>,</w:t>
      </w:r>
      <w:r>
        <w:rPr>
          <w:rFonts w:eastAsiaTheme="minorEastAsia"/>
          <w:noProof/>
        </w:rPr>
        <w:t xml:space="preserve"> the </w:t>
      </w:r>
      <w:r w:rsidR="00F7007A">
        <w:rPr>
          <w:rFonts w:eastAsiaTheme="minorEastAsia"/>
          <w:noProof/>
        </w:rPr>
        <w:t xml:space="preserve">analysis focuses on the </w:t>
      </w:r>
      <w:r w:rsidR="004D1CE6">
        <w:rPr>
          <w:rFonts w:eastAsiaTheme="minorEastAsia"/>
          <w:noProof/>
        </w:rPr>
        <w:t xml:space="preserve">decarbonisation </w:t>
      </w:r>
      <w:r w:rsidR="00F42169">
        <w:rPr>
          <w:rFonts w:eastAsiaTheme="minorEastAsia"/>
          <w:noProof/>
        </w:rPr>
        <w:t>of industrial</w:t>
      </w:r>
      <w:r w:rsidR="00F7007A">
        <w:rPr>
          <w:rFonts w:eastAsiaTheme="minorEastAsia"/>
          <w:noProof/>
        </w:rPr>
        <w:t xml:space="preserve"> sectors and </w:t>
      </w:r>
      <w:r w:rsidR="004D1CE6">
        <w:rPr>
          <w:rFonts w:eastAsiaTheme="minorEastAsia"/>
          <w:noProof/>
        </w:rPr>
        <w:t xml:space="preserve">is limited to the savings that could be achieved </w:t>
      </w:r>
      <w:r w:rsidR="00D809FB">
        <w:rPr>
          <w:rFonts w:eastAsiaTheme="minorEastAsia"/>
          <w:noProof/>
        </w:rPr>
        <w:t xml:space="preserve">only </w:t>
      </w:r>
      <w:r w:rsidR="004D1CE6">
        <w:rPr>
          <w:rFonts w:eastAsiaTheme="minorEastAsia"/>
          <w:noProof/>
        </w:rPr>
        <w:t xml:space="preserve">during production stage. It </w:t>
      </w:r>
      <w:r w:rsidR="00F7007A">
        <w:rPr>
          <w:rFonts w:eastAsiaTheme="minorEastAsia"/>
          <w:noProof/>
        </w:rPr>
        <w:t xml:space="preserve">does not take into account decarbonisation in the other sectors leading to </w:t>
      </w:r>
      <w:r>
        <w:rPr>
          <w:rFonts w:eastAsiaTheme="minorEastAsia"/>
          <w:noProof/>
        </w:rPr>
        <w:t xml:space="preserve">EU economy-wide </w:t>
      </w:r>
      <w:r w:rsidR="00F7007A">
        <w:rPr>
          <w:rFonts w:eastAsiaTheme="minorEastAsia"/>
          <w:noProof/>
        </w:rPr>
        <w:t>climate neutrality</w:t>
      </w:r>
      <w:r>
        <w:rPr>
          <w:rFonts w:eastAsiaTheme="minorEastAsia"/>
          <w:noProof/>
        </w:rPr>
        <w:t xml:space="preserve">, </w:t>
      </w:r>
      <w:r w:rsidR="00F7007A">
        <w:rPr>
          <w:rFonts w:eastAsiaTheme="minorEastAsia"/>
          <w:noProof/>
        </w:rPr>
        <w:t xml:space="preserve">thus, </w:t>
      </w:r>
      <w:r>
        <w:rPr>
          <w:rFonts w:eastAsiaTheme="minorEastAsia"/>
          <w:noProof/>
        </w:rPr>
        <w:t>allowing only for comparison in relative terms with scenarios</w:t>
      </w:r>
      <w:r w:rsidR="0076495C">
        <w:rPr>
          <w:rFonts w:eastAsiaTheme="minorEastAsia"/>
          <w:noProof/>
        </w:rPr>
        <w:t xml:space="preserve"> S1, S2 and S3</w:t>
      </w:r>
      <w:r>
        <w:rPr>
          <w:rFonts w:eastAsiaTheme="minorEastAsia"/>
          <w:noProof/>
        </w:rPr>
        <w:t>.</w:t>
      </w:r>
      <w:r w:rsidR="0071406D">
        <w:rPr>
          <w:rFonts w:eastAsiaTheme="minorEastAsia"/>
          <w:noProof/>
        </w:rPr>
        <w:t xml:space="preserve"> </w:t>
      </w:r>
      <w:r w:rsidR="0071406D" w:rsidRPr="1CF8454D">
        <w:rPr>
          <w:rFonts w:eastAsiaTheme="minorEastAsia"/>
          <w:noProof/>
          <w:lang w:val="en-IE"/>
        </w:rPr>
        <w:t>These limitations need to be taken into account when interpreting the magnitude of the modelled impacts.</w:t>
      </w:r>
      <w:r w:rsidR="007D2C97" w:rsidRPr="007D2C97">
        <w:rPr>
          <w:rFonts w:eastAsiaTheme="minorEastAsia"/>
          <w:noProof/>
        </w:rPr>
        <w:t xml:space="preserve"> </w:t>
      </w:r>
      <w:r w:rsidR="007D2C97">
        <w:rPr>
          <w:rFonts w:eastAsiaTheme="minorEastAsia"/>
          <w:noProof/>
        </w:rPr>
        <w:t xml:space="preserve">More details on the methodology can be found elsewhere </w:t>
      </w:r>
      <w:r w:rsidR="007D2C97" w:rsidRPr="00C100B8">
        <w:rPr>
          <w:rFonts w:eastAsiaTheme="minorEastAsia" w:cs="Times New Roman"/>
          <w:noProof/>
        </w:rPr>
        <w:t>(</w:t>
      </w:r>
      <w:r w:rsidR="007D2C97" w:rsidRPr="00C100B8">
        <w:rPr>
          <w:rStyle w:val="FootnoteReference"/>
          <w:rFonts w:eastAsiaTheme="minorEastAsia"/>
          <w:noProof/>
        </w:rPr>
        <w:footnoteReference w:id="105"/>
      </w:r>
      <w:r w:rsidR="007D2C97" w:rsidRPr="00C100B8">
        <w:rPr>
          <w:rFonts w:eastAsiaTheme="minorEastAsia" w:cs="Times New Roman"/>
          <w:noProof/>
        </w:rPr>
        <w:t>)</w:t>
      </w:r>
      <w:r w:rsidR="007D2C97" w:rsidRPr="00C100B8">
        <w:rPr>
          <w:rFonts w:eastAsiaTheme="minorEastAsia"/>
          <w:noProof/>
        </w:rPr>
        <w:t>.</w:t>
      </w:r>
    </w:p>
    <w:p w14:paraId="0C9EC9B0" w14:textId="50652641" w:rsidR="00730818" w:rsidRDefault="00350C25" w:rsidP="00730818">
      <w:pPr>
        <w:pStyle w:val="Caption"/>
        <w:rPr>
          <w:noProof/>
        </w:rPr>
      </w:pPr>
      <w:bookmarkStart w:id="297" w:name="_Ref139639455"/>
      <w:bookmarkStart w:id="298" w:name="_Ref141364158"/>
      <w:bookmarkStart w:id="299" w:name="_Ref143267186"/>
      <w:bookmarkStart w:id="300" w:name="_Toc157679892"/>
      <w:r>
        <w:rPr>
          <w:noProof/>
        </w:rPr>
        <w:t xml:space="preserve">Table </w:t>
      </w:r>
      <w:bookmarkEnd w:id="297"/>
      <w:bookmarkEnd w:id="298"/>
      <w:r>
        <w:rPr>
          <w:noProof/>
        </w:rPr>
        <w:fldChar w:fldCharType="begin"/>
      </w:r>
      <w:r>
        <w:rPr>
          <w:noProof/>
        </w:rPr>
        <w:instrText>SEQ Table \* ARABIC</w:instrText>
      </w:r>
      <w:r>
        <w:rPr>
          <w:noProof/>
        </w:rPr>
        <w:fldChar w:fldCharType="separate"/>
      </w:r>
      <w:r w:rsidR="00170A3C">
        <w:rPr>
          <w:noProof/>
        </w:rPr>
        <w:t>9</w:t>
      </w:r>
      <w:r>
        <w:rPr>
          <w:noProof/>
        </w:rPr>
        <w:fldChar w:fldCharType="end"/>
      </w:r>
      <w:bookmarkEnd w:id="299"/>
      <w:r>
        <w:rPr>
          <w:noProof/>
        </w:rPr>
        <w:t xml:space="preserve">: List of </w:t>
      </w:r>
      <w:r w:rsidR="00A01AC5">
        <w:rPr>
          <w:noProof/>
        </w:rPr>
        <w:t>c</w:t>
      </w:r>
      <w:r>
        <w:rPr>
          <w:noProof/>
        </w:rPr>
        <w:t xml:space="preserve">ircular </w:t>
      </w:r>
      <w:r w:rsidR="00A01AC5">
        <w:rPr>
          <w:noProof/>
        </w:rPr>
        <w:t>e</w:t>
      </w:r>
      <w:r>
        <w:rPr>
          <w:noProof/>
        </w:rPr>
        <w:t xml:space="preserve">conomy </w:t>
      </w:r>
      <w:r w:rsidR="00A01AC5">
        <w:rPr>
          <w:noProof/>
        </w:rPr>
        <w:t>a</w:t>
      </w:r>
      <w:r>
        <w:rPr>
          <w:noProof/>
        </w:rPr>
        <w:t>ctions applied to the CIRC scenario</w:t>
      </w:r>
      <w:bookmarkEnd w:id="300"/>
    </w:p>
    <w:tbl>
      <w:tblPr>
        <w:tblStyle w:val="EurolookLightGrey"/>
        <w:tblW w:w="5000" w:type="pct"/>
        <w:tblLook w:val="04A0" w:firstRow="1" w:lastRow="0" w:firstColumn="1" w:lastColumn="0" w:noHBand="0" w:noVBand="1"/>
      </w:tblPr>
      <w:tblGrid>
        <w:gridCol w:w="966"/>
        <w:gridCol w:w="7868"/>
      </w:tblGrid>
      <w:tr w:rsidR="00350C25" w:rsidRPr="00820E87" w14:paraId="2A3ABC27"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47" w:type="pct"/>
            <w:hideMark/>
          </w:tcPr>
          <w:p w14:paraId="58B46827" w14:textId="77777777" w:rsidR="00350C25" w:rsidRPr="00D45C04" w:rsidRDefault="00350C25" w:rsidP="005D2893">
            <w:pPr>
              <w:keepNext/>
              <w:spacing w:after="0"/>
              <w:jc w:val="left"/>
              <w:rPr>
                <w:rFonts w:ascii="EC Square Sans Cond Pro" w:eastAsia="CharisSIL" w:hAnsi="EC Square Sans Cond Pro" w:cs="Calibri Light"/>
                <w:b/>
                <w:noProof/>
                <w:sz w:val="22"/>
                <w:szCs w:val="22"/>
                <w:lang w:val="en-IE"/>
              </w:rPr>
            </w:pPr>
            <w:r w:rsidRPr="00D45C04">
              <w:rPr>
                <w:rFonts w:ascii="EC Square Sans Cond Pro" w:eastAsia="CharisSIL" w:hAnsi="EC Square Sans Cond Pro" w:cs="Calibri Light"/>
                <w:b/>
                <w:noProof/>
                <w:sz w:val="22"/>
                <w:szCs w:val="22"/>
              </w:rPr>
              <w:t>Material</w:t>
            </w:r>
          </w:p>
        </w:tc>
        <w:tc>
          <w:tcPr>
            <w:tcW w:w="4453" w:type="pct"/>
            <w:hideMark/>
          </w:tcPr>
          <w:p w14:paraId="1C0C9848" w14:textId="77777777" w:rsidR="00350C25" w:rsidRPr="00D45C04" w:rsidRDefault="00350C25" w:rsidP="005D2893">
            <w:pPr>
              <w:keepNext/>
              <w:spacing w:after="0"/>
              <w:jc w:val="left"/>
              <w:cnfStyle w:val="100000000000" w:firstRow="1" w:lastRow="0" w:firstColumn="0" w:lastColumn="0" w:oddVBand="0" w:evenVBand="0" w:oddHBand="0" w:evenHBand="0" w:firstRowFirstColumn="0" w:firstRowLastColumn="0" w:lastRowFirstColumn="0" w:lastRowLastColumn="0"/>
              <w:rPr>
                <w:rFonts w:ascii="EC Square Sans Cond Pro" w:eastAsia="CharisSIL" w:hAnsi="EC Square Sans Cond Pro" w:cs="Calibri Light"/>
                <w:b/>
                <w:noProof/>
                <w:sz w:val="22"/>
                <w:szCs w:val="22"/>
                <w:lang w:val="en-IE"/>
              </w:rPr>
            </w:pPr>
            <w:r w:rsidRPr="00D45C04">
              <w:rPr>
                <w:rFonts w:ascii="EC Square Sans Cond Pro" w:eastAsia="CharisSIL" w:hAnsi="EC Square Sans Cond Pro" w:cs="Calibri Light"/>
                <w:b/>
                <w:noProof/>
                <w:sz w:val="22"/>
                <w:szCs w:val="22"/>
              </w:rPr>
              <w:t>CE action</w:t>
            </w:r>
          </w:p>
        </w:tc>
      </w:tr>
      <w:tr w:rsidR="00350C25" w:rsidRPr="00820E87" w14:paraId="72AE9967" w14:textId="7777777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val="restart"/>
            <w:textDirection w:val="btLr"/>
            <w:hideMark/>
          </w:tcPr>
          <w:p w14:paraId="2A50EE46" w14:textId="77777777" w:rsidR="00350C25" w:rsidRPr="00D45C04" w:rsidRDefault="00350C25" w:rsidP="005D2893">
            <w:pPr>
              <w:keepNext/>
              <w:spacing w:after="0"/>
              <w:ind w:left="113" w:right="113"/>
              <w:jc w:val="center"/>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Aluminium</w:t>
            </w:r>
          </w:p>
        </w:tc>
        <w:tc>
          <w:tcPr>
            <w:tcW w:w="4453" w:type="pct"/>
            <w:hideMark/>
          </w:tcPr>
          <w:p w14:paraId="7DD1BF8E" w14:textId="77777777" w:rsidR="00350C25" w:rsidRPr="00D45C04" w:rsidRDefault="00350C25" w:rsidP="005D2893">
            <w:pPr>
              <w:keepNext/>
              <w:spacing w:after="0"/>
              <w:jc w:val="left"/>
              <w:cnfStyle w:val="000000100000" w:firstRow="0" w:lastRow="0" w:firstColumn="0" w:lastColumn="0" w:oddVBand="0" w:evenVBand="0" w:oddHBand="1" w:evenHBand="0"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Increased aluminium recycling from buildings (increase collection rate from 96 to 100% by 2045)</w:t>
            </w:r>
          </w:p>
        </w:tc>
      </w:tr>
      <w:tr w:rsidR="00350C25" w:rsidRPr="00820E87" w14:paraId="36A2FC44" w14:textId="77777777">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textDirection w:val="btLr"/>
            <w:hideMark/>
          </w:tcPr>
          <w:p w14:paraId="2F3FF722" w14:textId="77777777" w:rsidR="00350C25" w:rsidRPr="00D45C04" w:rsidRDefault="00350C25" w:rsidP="005D2893">
            <w:pPr>
              <w:keepNext/>
              <w:spacing w:after="0"/>
              <w:ind w:left="113" w:right="113"/>
              <w:jc w:val="left"/>
              <w:rPr>
                <w:rFonts w:ascii="EC Square Sans Cond Pro" w:eastAsia="CharisSIL" w:hAnsi="EC Square Sans Cond Pro" w:cs="Calibri Light"/>
                <w:noProof/>
                <w:sz w:val="22"/>
                <w:szCs w:val="22"/>
                <w:lang w:val="en-IE"/>
              </w:rPr>
            </w:pPr>
          </w:p>
        </w:tc>
        <w:tc>
          <w:tcPr>
            <w:tcW w:w="4453" w:type="pct"/>
            <w:hideMark/>
          </w:tcPr>
          <w:p w14:paraId="43F8B0CA" w14:textId="77777777" w:rsidR="00350C25" w:rsidRPr="00D45C04" w:rsidRDefault="00350C25" w:rsidP="005D2893">
            <w:pPr>
              <w:keepNext/>
              <w:spacing w:after="0"/>
              <w:jc w:val="left"/>
              <w:cnfStyle w:val="000000010000" w:firstRow="0" w:lastRow="0" w:firstColumn="0" w:lastColumn="0" w:oddVBand="0" w:evenVBand="0" w:oddHBand="0" w:evenHBand="1"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Increased recycling of aluminium cans (reduce losses and disposal to 0 by 2030)</w:t>
            </w:r>
          </w:p>
        </w:tc>
      </w:tr>
      <w:tr w:rsidR="00350C25" w:rsidRPr="00820E87" w14:paraId="40D0CC6A" w14:textId="7777777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textDirection w:val="btLr"/>
            <w:hideMark/>
          </w:tcPr>
          <w:p w14:paraId="25B4901A" w14:textId="77777777" w:rsidR="00350C25" w:rsidRPr="00D45C04" w:rsidRDefault="00350C25" w:rsidP="005D2893">
            <w:pPr>
              <w:keepNext/>
              <w:spacing w:after="0"/>
              <w:ind w:left="113" w:right="113"/>
              <w:jc w:val="left"/>
              <w:rPr>
                <w:rFonts w:ascii="EC Square Sans Cond Pro" w:eastAsia="CharisSIL" w:hAnsi="EC Square Sans Cond Pro" w:cs="Calibri Light"/>
                <w:noProof/>
                <w:sz w:val="22"/>
                <w:szCs w:val="22"/>
                <w:lang w:val="en-IE"/>
              </w:rPr>
            </w:pPr>
          </w:p>
        </w:tc>
        <w:tc>
          <w:tcPr>
            <w:tcW w:w="4453" w:type="pct"/>
            <w:hideMark/>
          </w:tcPr>
          <w:p w14:paraId="1B08EF4B" w14:textId="77777777" w:rsidR="00350C25" w:rsidRPr="00D45C04" w:rsidRDefault="00350C25" w:rsidP="005D2893">
            <w:pPr>
              <w:keepNext/>
              <w:spacing w:after="0"/>
              <w:jc w:val="left"/>
              <w:cnfStyle w:val="000000100000" w:firstRow="0" w:lastRow="0" w:firstColumn="0" w:lastColumn="0" w:oddVBand="0" w:evenVBand="0" w:oddHBand="1" w:evenHBand="0"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Reduction of scrap exports (to 0 by 2050)</w:t>
            </w:r>
          </w:p>
        </w:tc>
      </w:tr>
      <w:tr w:rsidR="00350C25" w:rsidRPr="00820E87" w14:paraId="2F38EDBC" w14:textId="77777777">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textDirection w:val="btLr"/>
            <w:hideMark/>
          </w:tcPr>
          <w:p w14:paraId="253ED2E1" w14:textId="77777777" w:rsidR="00350C25" w:rsidRPr="00D45C04" w:rsidRDefault="00350C25" w:rsidP="005D2893">
            <w:pPr>
              <w:keepNext/>
              <w:spacing w:after="0"/>
              <w:ind w:left="113" w:right="113"/>
              <w:jc w:val="left"/>
              <w:rPr>
                <w:rFonts w:ascii="EC Square Sans Cond Pro" w:eastAsia="CharisSIL" w:hAnsi="EC Square Sans Cond Pro" w:cs="Calibri Light"/>
                <w:noProof/>
                <w:sz w:val="22"/>
                <w:szCs w:val="22"/>
                <w:lang w:val="en-IE"/>
              </w:rPr>
            </w:pPr>
          </w:p>
        </w:tc>
        <w:tc>
          <w:tcPr>
            <w:tcW w:w="4453" w:type="pct"/>
            <w:hideMark/>
          </w:tcPr>
          <w:p w14:paraId="762CC971" w14:textId="77777777" w:rsidR="00350C25" w:rsidRPr="00D45C04" w:rsidRDefault="00350C25" w:rsidP="005D2893">
            <w:pPr>
              <w:keepNext/>
              <w:spacing w:after="0"/>
              <w:jc w:val="left"/>
              <w:cnfStyle w:val="000000010000" w:firstRow="0" w:lastRow="0" w:firstColumn="0" w:lastColumn="0" w:oddVBand="0" w:evenVBand="0" w:oddHBand="0" w:evenHBand="1"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Reduction of exports of EoL cars (to 0 by 2050)</w:t>
            </w:r>
          </w:p>
        </w:tc>
      </w:tr>
      <w:tr w:rsidR="00350C25" w:rsidRPr="00820E87" w14:paraId="7FC0873A" w14:textId="7777777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textDirection w:val="btLr"/>
            <w:hideMark/>
          </w:tcPr>
          <w:p w14:paraId="36051E8A" w14:textId="77777777" w:rsidR="00350C25" w:rsidRPr="00D45C04" w:rsidRDefault="00350C25" w:rsidP="005D2893">
            <w:pPr>
              <w:keepNext/>
              <w:spacing w:after="0"/>
              <w:ind w:left="113" w:right="113"/>
              <w:jc w:val="left"/>
              <w:rPr>
                <w:rFonts w:ascii="EC Square Sans Cond Pro" w:eastAsia="CharisSIL" w:hAnsi="EC Square Sans Cond Pro" w:cs="Calibri Light"/>
                <w:noProof/>
                <w:sz w:val="22"/>
                <w:szCs w:val="22"/>
                <w:lang w:val="en-IE"/>
              </w:rPr>
            </w:pPr>
          </w:p>
        </w:tc>
        <w:tc>
          <w:tcPr>
            <w:tcW w:w="4453" w:type="pct"/>
            <w:hideMark/>
          </w:tcPr>
          <w:p w14:paraId="7D71546B" w14:textId="77777777" w:rsidR="00350C25" w:rsidRPr="00D45C04" w:rsidRDefault="00350C25" w:rsidP="005D2893">
            <w:pPr>
              <w:keepNext/>
              <w:spacing w:after="0"/>
              <w:jc w:val="left"/>
              <w:cnfStyle w:val="000000100000" w:firstRow="0" w:lastRow="0" w:firstColumn="0" w:lastColumn="0" w:oddVBand="0" w:evenVBand="0" w:oddHBand="1" w:evenHBand="0"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 xml:space="preserve">Alloy sorting of post-consumer scraps (reduce input of primary aluminium for dilution of scrap from 20 to 5%) </w:t>
            </w:r>
          </w:p>
        </w:tc>
      </w:tr>
      <w:tr w:rsidR="00350C25" w:rsidRPr="00820E87" w14:paraId="5AD8AEEA" w14:textId="77777777">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textDirection w:val="btLr"/>
            <w:hideMark/>
          </w:tcPr>
          <w:p w14:paraId="1810ADBD" w14:textId="77777777" w:rsidR="00350C25" w:rsidRPr="00D45C04" w:rsidRDefault="00350C25" w:rsidP="005D2893">
            <w:pPr>
              <w:keepNext/>
              <w:spacing w:after="0"/>
              <w:ind w:left="113" w:right="113"/>
              <w:jc w:val="left"/>
              <w:rPr>
                <w:rFonts w:ascii="EC Square Sans Cond Pro" w:eastAsia="CharisSIL" w:hAnsi="EC Square Sans Cond Pro" w:cs="Calibri Light"/>
                <w:noProof/>
                <w:sz w:val="22"/>
                <w:szCs w:val="22"/>
                <w:lang w:val="en-IE"/>
              </w:rPr>
            </w:pPr>
          </w:p>
        </w:tc>
        <w:tc>
          <w:tcPr>
            <w:tcW w:w="4453" w:type="pct"/>
            <w:hideMark/>
          </w:tcPr>
          <w:p w14:paraId="52E5F444" w14:textId="77777777" w:rsidR="00350C25" w:rsidRPr="00D45C04" w:rsidRDefault="00350C25" w:rsidP="005D2893">
            <w:pPr>
              <w:keepNext/>
              <w:spacing w:after="0"/>
              <w:jc w:val="left"/>
              <w:cnfStyle w:val="000000010000" w:firstRow="0" w:lastRow="0" w:firstColumn="0" w:lastColumn="0" w:oddVBand="0" w:evenVBand="0" w:oddHBand="0" w:evenHBand="1"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Lifetime extension of cars (increasing from 15 to 20 years on average)</w:t>
            </w:r>
          </w:p>
        </w:tc>
      </w:tr>
      <w:tr w:rsidR="00350C25" w:rsidRPr="00820E87" w14:paraId="55D3CD54" w14:textId="7777777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textDirection w:val="btLr"/>
            <w:hideMark/>
          </w:tcPr>
          <w:p w14:paraId="45BB3B85" w14:textId="77777777" w:rsidR="00350C25" w:rsidRPr="00D45C04" w:rsidRDefault="00350C25" w:rsidP="005D2893">
            <w:pPr>
              <w:keepNext/>
              <w:spacing w:after="0"/>
              <w:ind w:left="113" w:right="113"/>
              <w:jc w:val="left"/>
              <w:rPr>
                <w:rFonts w:ascii="EC Square Sans Cond Pro" w:eastAsia="CharisSIL" w:hAnsi="EC Square Sans Cond Pro" w:cs="Calibri Light"/>
                <w:noProof/>
                <w:sz w:val="22"/>
                <w:szCs w:val="22"/>
                <w:lang w:val="en-IE"/>
              </w:rPr>
            </w:pPr>
          </w:p>
        </w:tc>
        <w:tc>
          <w:tcPr>
            <w:tcW w:w="4453" w:type="pct"/>
            <w:hideMark/>
          </w:tcPr>
          <w:p w14:paraId="3AE74877" w14:textId="77777777" w:rsidR="00350C25" w:rsidRPr="00D45C04" w:rsidRDefault="00350C25" w:rsidP="005D2893">
            <w:pPr>
              <w:keepNext/>
              <w:spacing w:after="0"/>
              <w:jc w:val="left"/>
              <w:cnfStyle w:val="000000100000" w:firstRow="0" w:lastRow="0" w:firstColumn="0" w:lastColumn="0" w:oddVBand="0" w:evenVBand="0" w:oddHBand="1" w:evenHBand="0"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Lifetime extension of buildings (decreasing building demolition by up to 30%)</w:t>
            </w:r>
          </w:p>
        </w:tc>
      </w:tr>
      <w:tr w:rsidR="00350C25" w:rsidRPr="00820E87" w14:paraId="726BC497" w14:textId="77777777">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textDirection w:val="btLr"/>
            <w:hideMark/>
          </w:tcPr>
          <w:p w14:paraId="3978F006" w14:textId="77777777" w:rsidR="00350C25" w:rsidRPr="00D45C04" w:rsidRDefault="00350C25" w:rsidP="005D2893">
            <w:pPr>
              <w:keepNext/>
              <w:spacing w:after="0"/>
              <w:ind w:left="113" w:right="113"/>
              <w:jc w:val="left"/>
              <w:rPr>
                <w:rFonts w:ascii="EC Square Sans Cond Pro" w:eastAsia="CharisSIL" w:hAnsi="EC Square Sans Cond Pro" w:cs="Calibri Light"/>
                <w:noProof/>
                <w:sz w:val="22"/>
                <w:szCs w:val="22"/>
                <w:lang w:val="en-IE"/>
              </w:rPr>
            </w:pPr>
          </w:p>
        </w:tc>
        <w:tc>
          <w:tcPr>
            <w:tcW w:w="4453" w:type="pct"/>
            <w:hideMark/>
          </w:tcPr>
          <w:p w14:paraId="6F9CEE38" w14:textId="77777777" w:rsidR="00350C25" w:rsidRPr="00D45C04" w:rsidRDefault="00350C25" w:rsidP="005D2893">
            <w:pPr>
              <w:keepNext/>
              <w:spacing w:after="0"/>
              <w:jc w:val="left"/>
              <w:cnfStyle w:val="000000010000" w:firstRow="0" w:lastRow="0" w:firstColumn="0" w:lastColumn="0" w:oddVBand="0" w:evenVBand="0" w:oddHBand="0" w:evenHBand="1"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Lifetime extension of machinery (from 25 to 30 years on average)</w:t>
            </w:r>
          </w:p>
        </w:tc>
      </w:tr>
      <w:tr w:rsidR="00350C25" w:rsidRPr="00820E87" w14:paraId="1CA1C894" w14:textId="7777777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val="restart"/>
            <w:textDirection w:val="btLr"/>
            <w:hideMark/>
          </w:tcPr>
          <w:p w14:paraId="2B61C493" w14:textId="77777777" w:rsidR="00350C25" w:rsidRPr="00D45C04" w:rsidRDefault="00350C25" w:rsidP="005D2893">
            <w:pPr>
              <w:keepNext/>
              <w:spacing w:after="0"/>
              <w:ind w:left="113" w:right="113"/>
              <w:jc w:val="center"/>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Cement</w:t>
            </w:r>
          </w:p>
        </w:tc>
        <w:tc>
          <w:tcPr>
            <w:tcW w:w="4453" w:type="pct"/>
            <w:hideMark/>
          </w:tcPr>
          <w:p w14:paraId="60BF0EA5" w14:textId="77777777" w:rsidR="00350C25" w:rsidRPr="00D45C04" w:rsidRDefault="00350C25" w:rsidP="005D2893">
            <w:pPr>
              <w:keepNext/>
              <w:spacing w:after="0"/>
              <w:jc w:val="left"/>
              <w:cnfStyle w:val="000000100000" w:firstRow="0" w:lastRow="0" w:firstColumn="0" w:lastColumn="0" w:oddVBand="0" w:evenVBand="0" w:oddHBand="1" w:evenHBand="0"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Using up to 20% recycled cement in buildings</w:t>
            </w:r>
          </w:p>
        </w:tc>
      </w:tr>
      <w:tr w:rsidR="00350C25" w:rsidRPr="00820E87" w14:paraId="4D568FD8" w14:textId="77777777">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textDirection w:val="btLr"/>
            <w:hideMark/>
          </w:tcPr>
          <w:p w14:paraId="05989A2E" w14:textId="77777777" w:rsidR="00350C25" w:rsidRPr="00D45C04" w:rsidRDefault="00350C25" w:rsidP="005D2893">
            <w:pPr>
              <w:keepNext/>
              <w:spacing w:after="0"/>
              <w:ind w:left="113" w:right="113"/>
              <w:jc w:val="left"/>
              <w:rPr>
                <w:rFonts w:ascii="EC Square Sans Cond Pro" w:eastAsia="CharisSIL" w:hAnsi="EC Square Sans Cond Pro" w:cs="Calibri Light"/>
                <w:noProof/>
                <w:sz w:val="22"/>
                <w:szCs w:val="22"/>
                <w:lang w:val="en-IE"/>
              </w:rPr>
            </w:pPr>
          </w:p>
        </w:tc>
        <w:tc>
          <w:tcPr>
            <w:tcW w:w="4453" w:type="pct"/>
            <w:hideMark/>
          </w:tcPr>
          <w:p w14:paraId="4A5F83F8" w14:textId="77777777" w:rsidR="00350C25" w:rsidRPr="00D45C04" w:rsidRDefault="00350C25" w:rsidP="005D2893">
            <w:pPr>
              <w:keepNext/>
              <w:spacing w:after="0"/>
              <w:jc w:val="left"/>
              <w:cnfStyle w:val="000000010000" w:firstRow="0" w:lastRow="0" w:firstColumn="0" w:lastColumn="0" w:oddVBand="0" w:evenVBand="0" w:oddHBand="0" w:evenHBand="1"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Use innovative binders as substitute for ordinary cement (market share of up to 10%)</w:t>
            </w:r>
          </w:p>
        </w:tc>
      </w:tr>
      <w:tr w:rsidR="00350C25" w:rsidRPr="00820E87" w14:paraId="00C79C43" w14:textId="7777777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textDirection w:val="btLr"/>
            <w:hideMark/>
          </w:tcPr>
          <w:p w14:paraId="0CD927A4" w14:textId="77777777" w:rsidR="00350C25" w:rsidRPr="00D45C04" w:rsidRDefault="00350C25" w:rsidP="005D2893">
            <w:pPr>
              <w:keepNext/>
              <w:spacing w:after="0"/>
              <w:ind w:left="113" w:right="113"/>
              <w:jc w:val="left"/>
              <w:rPr>
                <w:rFonts w:ascii="EC Square Sans Cond Pro" w:eastAsia="CharisSIL" w:hAnsi="EC Square Sans Cond Pro" w:cs="Calibri Light"/>
                <w:noProof/>
                <w:sz w:val="22"/>
                <w:szCs w:val="22"/>
                <w:lang w:val="en-IE"/>
              </w:rPr>
            </w:pPr>
          </w:p>
        </w:tc>
        <w:tc>
          <w:tcPr>
            <w:tcW w:w="4453" w:type="pct"/>
            <w:hideMark/>
          </w:tcPr>
          <w:p w14:paraId="01D26DB6" w14:textId="77777777" w:rsidR="00350C25" w:rsidRPr="00D45C04" w:rsidRDefault="00350C25" w:rsidP="005D2893">
            <w:pPr>
              <w:keepNext/>
              <w:spacing w:after="0"/>
              <w:jc w:val="left"/>
              <w:cnfStyle w:val="000000100000" w:firstRow="0" w:lastRow="0" w:firstColumn="0" w:lastColumn="0" w:oddVBand="0" w:evenVBand="0" w:oddHBand="1" w:evenHBand="0"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Lifetime extension of buildings (decreasing building demolition by up to 30%)</w:t>
            </w:r>
          </w:p>
        </w:tc>
      </w:tr>
      <w:tr w:rsidR="00350C25" w:rsidRPr="00820E87" w14:paraId="64C88188" w14:textId="77777777">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textDirection w:val="btLr"/>
            <w:hideMark/>
          </w:tcPr>
          <w:p w14:paraId="04C27237" w14:textId="77777777" w:rsidR="00350C25" w:rsidRPr="00D45C04" w:rsidRDefault="00350C25" w:rsidP="005D2893">
            <w:pPr>
              <w:keepNext/>
              <w:spacing w:after="0"/>
              <w:ind w:left="113" w:right="113"/>
              <w:jc w:val="left"/>
              <w:rPr>
                <w:rFonts w:ascii="EC Square Sans Cond Pro" w:eastAsia="CharisSIL" w:hAnsi="EC Square Sans Cond Pro" w:cs="Calibri Light"/>
                <w:noProof/>
                <w:sz w:val="22"/>
                <w:szCs w:val="22"/>
                <w:lang w:val="en-IE"/>
              </w:rPr>
            </w:pPr>
          </w:p>
        </w:tc>
        <w:tc>
          <w:tcPr>
            <w:tcW w:w="4453" w:type="pct"/>
            <w:hideMark/>
          </w:tcPr>
          <w:p w14:paraId="32A4511D" w14:textId="77777777" w:rsidR="00350C25" w:rsidRPr="00D45C04" w:rsidRDefault="00350C25" w:rsidP="005D2893">
            <w:pPr>
              <w:keepNext/>
              <w:spacing w:after="0"/>
              <w:jc w:val="left"/>
              <w:cnfStyle w:val="000000010000" w:firstRow="0" w:lastRow="0" w:firstColumn="0" w:lastColumn="0" w:oddVBand="0" w:evenVBand="0" w:oddHBand="0" w:evenHBand="1"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Design for building disassembly, and make standardised building elements (reusing up to 38% of prefab building elements)</w:t>
            </w:r>
          </w:p>
        </w:tc>
      </w:tr>
      <w:tr w:rsidR="00350C25" w:rsidRPr="00820E87" w14:paraId="40D52E32" w14:textId="7777777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textDirection w:val="btLr"/>
            <w:hideMark/>
          </w:tcPr>
          <w:p w14:paraId="7B1E3311" w14:textId="77777777" w:rsidR="00350C25" w:rsidRPr="00D45C04" w:rsidRDefault="00350C25" w:rsidP="005D2893">
            <w:pPr>
              <w:keepNext/>
              <w:spacing w:after="0"/>
              <w:ind w:left="113" w:right="113"/>
              <w:jc w:val="left"/>
              <w:rPr>
                <w:rFonts w:ascii="EC Square Sans Cond Pro" w:eastAsia="CharisSIL" w:hAnsi="EC Square Sans Cond Pro" w:cs="Calibri Light"/>
                <w:noProof/>
                <w:sz w:val="22"/>
                <w:szCs w:val="22"/>
                <w:lang w:val="en-IE"/>
              </w:rPr>
            </w:pPr>
          </w:p>
        </w:tc>
        <w:tc>
          <w:tcPr>
            <w:tcW w:w="4453" w:type="pct"/>
            <w:hideMark/>
          </w:tcPr>
          <w:p w14:paraId="509A0C42" w14:textId="77777777" w:rsidR="00350C25" w:rsidRPr="00D45C04" w:rsidRDefault="00350C25" w:rsidP="005D2893">
            <w:pPr>
              <w:keepNext/>
              <w:spacing w:after="0"/>
              <w:jc w:val="left"/>
              <w:cnfStyle w:val="000000100000" w:firstRow="0" w:lastRow="0" w:firstColumn="0" w:lastColumn="0" w:oddVBand="0" w:evenVBand="0" w:oddHBand="1" w:evenHBand="0"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Reducing use of structural concrete at design stage by up to 41%</w:t>
            </w:r>
          </w:p>
        </w:tc>
      </w:tr>
      <w:tr w:rsidR="00350C25" w:rsidRPr="00820E87" w14:paraId="2ADA3BD6" w14:textId="77777777">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textDirection w:val="btLr"/>
            <w:hideMark/>
          </w:tcPr>
          <w:p w14:paraId="4D5A156C" w14:textId="77777777" w:rsidR="00350C25" w:rsidRPr="00D45C04" w:rsidRDefault="00350C25" w:rsidP="005D2893">
            <w:pPr>
              <w:keepNext/>
              <w:spacing w:after="0"/>
              <w:ind w:left="113" w:right="113"/>
              <w:jc w:val="left"/>
              <w:rPr>
                <w:rFonts w:ascii="EC Square Sans Cond Pro" w:eastAsia="CharisSIL" w:hAnsi="EC Square Sans Cond Pro" w:cs="Calibri Light"/>
                <w:noProof/>
                <w:sz w:val="22"/>
                <w:szCs w:val="22"/>
                <w:lang w:val="en-IE"/>
              </w:rPr>
            </w:pPr>
          </w:p>
        </w:tc>
        <w:tc>
          <w:tcPr>
            <w:tcW w:w="4453" w:type="pct"/>
            <w:hideMark/>
          </w:tcPr>
          <w:p w14:paraId="13F4A13C" w14:textId="345089D0" w:rsidR="00350C25" w:rsidRPr="00D45C04" w:rsidRDefault="00350C25" w:rsidP="005D2893">
            <w:pPr>
              <w:keepNext/>
              <w:spacing w:after="0"/>
              <w:jc w:val="left"/>
              <w:cnfStyle w:val="000000010000" w:firstRow="0" w:lastRow="0" w:firstColumn="0" w:lastColumn="0" w:oddVBand="0" w:evenVBand="0" w:oddHBand="0" w:evenHBand="1"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 xml:space="preserve">Using cement with lower clinker shares (reducing average from 0.73 </w:t>
            </w:r>
            <w:r w:rsidR="00F42169" w:rsidRPr="00D45C04">
              <w:rPr>
                <w:rFonts w:ascii="EC Square Sans Cond Pro" w:eastAsia="CharisSIL" w:hAnsi="EC Square Sans Cond Pro" w:cs="Calibri Light"/>
                <w:noProof/>
                <w:sz w:val="22"/>
                <w:szCs w:val="22"/>
              </w:rPr>
              <w:t>to 0.7</w:t>
            </w:r>
            <w:r w:rsidRPr="00D45C04">
              <w:rPr>
                <w:rFonts w:ascii="EC Square Sans Cond Pro" w:eastAsia="CharisSIL" w:hAnsi="EC Square Sans Cond Pro" w:cs="Calibri Light"/>
                <w:noProof/>
                <w:sz w:val="22"/>
                <w:szCs w:val="22"/>
              </w:rPr>
              <w:t>)</w:t>
            </w:r>
          </w:p>
        </w:tc>
      </w:tr>
      <w:tr w:rsidR="00350C25" w:rsidRPr="00820E87" w14:paraId="613D87AB" w14:textId="7777777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val="restart"/>
            <w:textDirection w:val="btLr"/>
            <w:hideMark/>
          </w:tcPr>
          <w:p w14:paraId="11364DB2" w14:textId="77777777" w:rsidR="00350C25" w:rsidRPr="00D45C04" w:rsidRDefault="00350C25" w:rsidP="005D2893">
            <w:pPr>
              <w:keepNext/>
              <w:spacing w:after="0"/>
              <w:ind w:left="113" w:right="113"/>
              <w:jc w:val="center"/>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Ethylene</w:t>
            </w:r>
          </w:p>
        </w:tc>
        <w:tc>
          <w:tcPr>
            <w:tcW w:w="4453" w:type="pct"/>
            <w:hideMark/>
          </w:tcPr>
          <w:p w14:paraId="6B4F6E0B" w14:textId="77777777" w:rsidR="00350C25" w:rsidRPr="00D45C04" w:rsidRDefault="00350C25" w:rsidP="005D2893">
            <w:pPr>
              <w:keepNext/>
              <w:spacing w:after="0"/>
              <w:jc w:val="left"/>
              <w:cnfStyle w:val="000000100000" w:firstRow="0" w:lastRow="0" w:firstColumn="0" w:lastColumn="0" w:oddVBand="0" w:evenVBand="0" w:oddHBand="1" w:evenHBand="0"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Redesign multi-material packaging of different layers to ensure recyclability from the year 2030</w:t>
            </w:r>
          </w:p>
        </w:tc>
      </w:tr>
      <w:tr w:rsidR="00350C25" w:rsidRPr="00820E87" w14:paraId="670AB2ED" w14:textId="77777777">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textDirection w:val="btLr"/>
            <w:hideMark/>
          </w:tcPr>
          <w:p w14:paraId="108A85B6" w14:textId="77777777" w:rsidR="00350C25" w:rsidRPr="00D45C04" w:rsidRDefault="00350C25" w:rsidP="005D2893">
            <w:pPr>
              <w:keepNext/>
              <w:spacing w:after="0"/>
              <w:ind w:left="113" w:right="113"/>
              <w:jc w:val="left"/>
              <w:rPr>
                <w:rFonts w:ascii="EC Square Sans Cond Pro" w:eastAsia="CharisSIL" w:hAnsi="EC Square Sans Cond Pro" w:cs="Calibri Light"/>
                <w:noProof/>
                <w:sz w:val="22"/>
                <w:szCs w:val="22"/>
                <w:lang w:val="en-IE"/>
              </w:rPr>
            </w:pPr>
          </w:p>
        </w:tc>
        <w:tc>
          <w:tcPr>
            <w:tcW w:w="4453" w:type="pct"/>
            <w:hideMark/>
          </w:tcPr>
          <w:p w14:paraId="2D3861BF" w14:textId="77777777" w:rsidR="00350C25" w:rsidRPr="00D45C04" w:rsidRDefault="00350C25" w:rsidP="005D2893">
            <w:pPr>
              <w:keepNext/>
              <w:spacing w:after="0"/>
              <w:jc w:val="left"/>
              <w:cnfStyle w:val="000000010000" w:firstRow="0" w:lastRow="0" w:firstColumn="0" w:lastColumn="0" w:oddVBand="0" w:evenVBand="0" w:oddHBand="0" w:evenHBand="1"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Increasing the recycled content in plastic bottles</w:t>
            </w:r>
          </w:p>
        </w:tc>
      </w:tr>
      <w:tr w:rsidR="00350C25" w:rsidRPr="00820E87" w14:paraId="107051D1" w14:textId="7777777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textDirection w:val="btLr"/>
            <w:hideMark/>
          </w:tcPr>
          <w:p w14:paraId="207F266F" w14:textId="77777777" w:rsidR="00350C25" w:rsidRPr="00D45C04" w:rsidRDefault="00350C25" w:rsidP="005D2893">
            <w:pPr>
              <w:keepNext/>
              <w:spacing w:after="0"/>
              <w:ind w:left="113" w:right="113"/>
              <w:jc w:val="left"/>
              <w:rPr>
                <w:rFonts w:ascii="EC Square Sans Cond Pro" w:eastAsia="CharisSIL" w:hAnsi="EC Square Sans Cond Pro" w:cs="Calibri Light"/>
                <w:noProof/>
                <w:sz w:val="22"/>
                <w:szCs w:val="22"/>
                <w:lang w:val="en-IE"/>
              </w:rPr>
            </w:pPr>
          </w:p>
        </w:tc>
        <w:tc>
          <w:tcPr>
            <w:tcW w:w="4453" w:type="pct"/>
            <w:hideMark/>
          </w:tcPr>
          <w:p w14:paraId="48F23F39" w14:textId="77777777" w:rsidR="00350C25" w:rsidRPr="00D45C04" w:rsidRDefault="00350C25" w:rsidP="005D2893">
            <w:pPr>
              <w:keepNext/>
              <w:spacing w:after="0"/>
              <w:jc w:val="left"/>
              <w:cnfStyle w:val="000000100000" w:firstRow="0" w:lastRow="0" w:firstColumn="0" w:lastColumn="0" w:oddVBand="0" w:evenVBand="0" w:oddHBand="1" w:evenHBand="0"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Reduction in single-use plastics packaging from supermarkets by 50%</w:t>
            </w:r>
          </w:p>
        </w:tc>
      </w:tr>
      <w:tr w:rsidR="00350C25" w:rsidRPr="00820E87" w14:paraId="2C7EED1D" w14:textId="77777777">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textDirection w:val="btLr"/>
            <w:hideMark/>
          </w:tcPr>
          <w:p w14:paraId="3FFF65D0" w14:textId="77777777" w:rsidR="00350C25" w:rsidRPr="00D45C04" w:rsidRDefault="00350C25" w:rsidP="005D2893">
            <w:pPr>
              <w:keepNext/>
              <w:spacing w:after="0"/>
              <w:ind w:left="113" w:right="113"/>
              <w:jc w:val="left"/>
              <w:rPr>
                <w:rFonts w:ascii="EC Square Sans Cond Pro" w:eastAsia="CharisSIL" w:hAnsi="EC Square Sans Cond Pro" w:cs="Calibri Light"/>
                <w:noProof/>
                <w:sz w:val="22"/>
                <w:szCs w:val="22"/>
                <w:lang w:val="en-IE"/>
              </w:rPr>
            </w:pPr>
          </w:p>
        </w:tc>
        <w:tc>
          <w:tcPr>
            <w:tcW w:w="4453" w:type="pct"/>
            <w:hideMark/>
          </w:tcPr>
          <w:p w14:paraId="43F1C0D1" w14:textId="77777777" w:rsidR="00350C25" w:rsidRPr="00D45C04" w:rsidRDefault="00350C25" w:rsidP="005D2893">
            <w:pPr>
              <w:keepNext/>
              <w:spacing w:after="0"/>
              <w:jc w:val="left"/>
              <w:cnfStyle w:val="000000010000" w:firstRow="0" w:lastRow="0" w:firstColumn="0" w:lastColumn="0" w:oddVBand="0" w:evenVBand="0" w:oddHBand="0" w:evenHBand="1"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Ban single use water bottles</w:t>
            </w:r>
          </w:p>
        </w:tc>
      </w:tr>
      <w:tr w:rsidR="00350C25" w:rsidRPr="00820E87" w14:paraId="1AC29A15" w14:textId="7777777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val="restart"/>
            <w:textDirection w:val="btLr"/>
            <w:hideMark/>
          </w:tcPr>
          <w:p w14:paraId="1C5B4D8D" w14:textId="77777777" w:rsidR="00350C25" w:rsidRPr="00D45C04" w:rsidRDefault="00350C25" w:rsidP="005D2893">
            <w:pPr>
              <w:keepNext/>
              <w:spacing w:after="0"/>
              <w:ind w:left="113" w:right="113"/>
              <w:jc w:val="center"/>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Glass</w:t>
            </w:r>
          </w:p>
        </w:tc>
        <w:tc>
          <w:tcPr>
            <w:tcW w:w="4453" w:type="pct"/>
            <w:hideMark/>
          </w:tcPr>
          <w:p w14:paraId="75BACFCB" w14:textId="77777777" w:rsidR="00350C25" w:rsidRPr="00D45C04" w:rsidRDefault="00350C25" w:rsidP="005D2893">
            <w:pPr>
              <w:keepNext/>
              <w:spacing w:after="0"/>
              <w:jc w:val="left"/>
              <w:cnfStyle w:val="000000100000" w:firstRow="0" w:lastRow="0" w:firstColumn="0" w:lastColumn="0" w:oddVBand="0" w:evenVBand="0" w:oddHBand="1" w:evenHBand="0"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Recycling of municipal waste to increase to 55%, 60% and 65% by weight by 2025, 2030 and 2035 respectively</w:t>
            </w:r>
          </w:p>
        </w:tc>
      </w:tr>
      <w:tr w:rsidR="00350C25" w:rsidRPr="00820E87" w14:paraId="549DA4F2" w14:textId="77777777">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textDirection w:val="btLr"/>
            <w:hideMark/>
          </w:tcPr>
          <w:p w14:paraId="369DCA82" w14:textId="77777777" w:rsidR="00350C25" w:rsidRPr="00D45C04" w:rsidRDefault="00350C25" w:rsidP="005D2893">
            <w:pPr>
              <w:keepNext/>
              <w:spacing w:after="0"/>
              <w:ind w:left="113" w:right="113"/>
              <w:jc w:val="left"/>
              <w:rPr>
                <w:rFonts w:ascii="EC Square Sans Cond Pro" w:eastAsia="CharisSIL" w:hAnsi="EC Square Sans Cond Pro" w:cs="Calibri Light"/>
                <w:noProof/>
                <w:sz w:val="22"/>
                <w:szCs w:val="22"/>
                <w:lang w:val="en-IE"/>
              </w:rPr>
            </w:pPr>
          </w:p>
        </w:tc>
        <w:tc>
          <w:tcPr>
            <w:tcW w:w="4453" w:type="pct"/>
            <w:hideMark/>
          </w:tcPr>
          <w:p w14:paraId="5E6E9D83" w14:textId="77777777" w:rsidR="00350C25" w:rsidRPr="00D45C04" w:rsidRDefault="00350C25" w:rsidP="005D2893">
            <w:pPr>
              <w:keepNext/>
              <w:spacing w:after="0"/>
              <w:jc w:val="left"/>
              <w:cnfStyle w:val="000000010000" w:firstRow="0" w:lastRow="0" w:firstColumn="0" w:lastColumn="0" w:oddVBand="0" w:evenVBand="0" w:oddHBand="0" w:evenHBand="1"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Increase share of reusable glass bottles and containers</w:t>
            </w:r>
          </w:p>
        </w:tc>
      </w:tr>
      <w:tr w:rsidR="00350C25" w:rsidRPr="00820E87" w14:paraId="72C0B9BF" w14:textId="7777777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val="restart"/>
            <w:textDirection w:val="btLr"/>
            <w:hideMark/>
          </w:tcPr>
          <w:p w14:paraId="3ECDC981" w14:textId="3721EA8D" w:rsidR="00350C25" w:rsidRPr="00D45C04" w:rsidRDefault="00350C25" w:rsidP="005D2893">
            <w:pPr>
              <w:keepNext/>
              <w:spacing w:after="0"/>
              <w:ind w:left="113" w:right="113"/>
              <w:jc w:val="center"/>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 xml:space="preserve">Iron </w:t>
            </w:r>
            <w:r w:rsidR="00E44F27">
              <w:rPr>
                <w:rFonts w:ascii="EC Square Sans Cond Pro" w:eastAsia="CharisSIL" w:hAnsi="EC Square Sans Cond Pro" w:cs="Calibri Light"/>
                <w:noProof/>
                <w:sz w:val="22"/>
                <w:szCs w:val="22"/>
              </w:rPr>
              <w:t>and</w:t>
            </w:r>
            <w:r w:rsidRPr="00D45C04">
              <w:rPr>
                <w:rFonts w:ascii="EC Square Sans Cond Pro" w:eastAsia="CharisSIL" w:hAnsi="EC Square Sans Cond Pro" w:cs="Calibri Light"/>
                <w:noProof/>
                <w:sz w:val="22"/>
                <w:szCs w:val="22"/>
              </w:rPr>
              <w:t xml:space="preserve"> Steel</w:t>
            </w:r>
          </w:p>
        </w:tc>
        <w:tc>
          <w:tcPr>
            <w:tcW w:w="4453" w:type="pct"/>
            <w:hideMark/>
          </w:tcPr>
          <w:p w14:paraId="77B841C9" w14:textId="77777777" w:rsidR="00350C25" w:rsidRPr="00D45C04" w:rsidRDefault="00350C25" w:rsidP="005D2893">
            <w:pPr>
              <w:keepNext/>
              <w:spacing w:after="0"/>
              <w:jc w:val="left"/>
              <w:cnfStyle w:val="000000100000" w:firstRow="0" w:lastRow="0" w:firstColumn="0" w:lastColumn="0" w:oddVBand="0" w:evenVBand="0" w:oddHBand="1" w:evenHBand="0"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Reduction of scrap exports from 28Mt in 2020 to 0 in 2050</w:t>
            </w:r>
          </w:p>
        </w:tc>
      </w:tr>
      <w:tr w:rsidR="00350C25" w:rsidRPr="00820E87" w14:paraId="65B1CDAC" w14:textId="77777777">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textDirection w:val="btLr"/>
            <w:hideMark/>
          </w:tcPr>
          <w:p w14:paraId="66A2CCCB" w14:textId="77777777" w:rsidR="00350C25" w:rsidRPr="00D45C04" w:rsidRDefault="00350C25" w:rsidP="005D2893">
            <w:pPr>
              <w:keepNext/>
              <w:spacing w:after="0"/>
              <w:ind w:left="113" w:right="113"/>
              <w:jc w:val="left"/>
              <w:rPr>
                <w:rFonts w:ascii="EC Square Sans Cond Pro" w:eastAsia="CharisSIL" w:hAnsi="EC Square Sans Cond Pro" w:cs="Calibri Light"/>
                <w:noProof/>
                <w:sz w:val="22"/>
                <w:szCs w:val="22"/>
                <w:lang w:val="en-IE"/>
              </w:rPr>
            </w:pPr>
          </w:p>
        </w:tc>
        <w:tc>
          <w:tcPr>
            <w:tcW w:w="4453" w:type="pct"/>
            <w:hideMark/>
          </w:tcPr>
          <w:p w14:paraId="0E97840E" w14:textId="77777777" w:rsidR="00350C25" w:rsidRPr="00D45C04" w:rsidRDefault="00350C25" w:rsidP="005D2893">
            <w:pPr>
              <w:keepNext/>
              <w:spacing w:after="0"/>
              <w:jc w:val="left"/>
              <w:cnfStyle w:val="000000010000" w:firstRow="0" w:lastRow="0" w:firstColumn="0" w:lastColumn="0" w:oddVBand="0" w:evenVBand="0" w:oddHBand="0" w:evenHBand="1"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Reduction of exports of EoL cars from 72600 cars in 2020 to 0 in 2050</w:t>
            </w:r>
          </w:p>
        </w:tc>
      </w:tr>
      <w:tr w:rsidR="00350C25" w:rsidRPr="00820E87" w14:paraId="68F151E5" w14:textId="7777777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textDirection w:val="btLr"/>
            <w:hideMark/>
          </w:tcPr>
          <w:p w14:paraId="712C2F5A" w14:textId="77777777" w:rsidR="00350C25" w:rsidRPr="00D45C04" w:rsidRDefault="00350C25" w:rsidP="005D2893">
            <w:pPr>
              <w:keepNext/>
              <w:spacing w:after="0"/>
              <w:ind w:left="113" w:right="113"/>
              <w:jc w:val="left"/>
              <w:rPr>
                <w:rFonts w:ascii="EC Square Sans Cond Pro" w:eastAsia="CharisSIL" w:hAnsi="EC Square Sans Cond Pro" w:cs="Calibri Light"/>
                <w:noProof/>
                <w:sz w:val="22"/>
                <w:szCs w:val="22"/>
                <w:lang w:val="en-IE"/>
              </w:rPr>
            </w:pPr>
          </w:p>
        </w:tc>
        <w:tc>
          <w:tcPr>
            <w:tcW w:w="4453" w:type="pct"/>
            <w:hideMark/>
          </w:tcPr>
          <w:p w14:paraId="472170CD" w14:textId="77777777" w:rsidR="00350C25" w:rsidRPr="00D45C04" w:rsidRDefault="00350C25" w:rsidP="005D2893">
            <w:pPr>
              <w:keepNext/>
              <w:spacing w:after="0"/>
              <w:jc w:val="left"/>
              <w:cnfStyle w:val="000000100000" w:firstRow="0" w:lastRow="0" w:firstColumn="0" w:lastColumn="0" w:oddVBand="0" w:evenVBand="0" w:oddHBand="1" w:evenHBand="0"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Alloy sorting of post-consumer scraps to increase the quality of recycled steel which enables the European usage of formerly exported and downcycled steel scrap</w:t>
            </w:r>
          </w:p>
        </w:tc>
      </w:tr>
      <w:tr w:rsidR="00350C25" w:rsidRPr="00820E87" w14:paraId="74A33156" w14:textId="77777777">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textDirection w:val="btLr"/>
            <w:hideMark/>
          </w:tcPr>
          <w:p w14:paraId="0CDFADD7" w14:textId="77777777" w:rsidR="00350C25" w:rsidRPr="00D45C04" w:rsidRDefault="00350C25" w:rsidP="005D2893">
            <w:pPr>
              <w:keepNext/>
              <w:spacing w:after="0"/>
              <w:ind w:left="113" w:right="113"/>
              <w:jc w:val="left"/>
              <w:rPr>
                <w:rFonts w:ascii="EC Square Sans Cond Pro" w:eastAsia="CharisSIL" w:hAnsi="EC Square Sans Cond Pro" w:cs="Calibri Light"/>
                <w:noProof/>
                <w:sz w:val="22"/>
                <w:szCs w:val="22"/>
                <w:lang w:val="en-IE"/>
              </w:rPr>
            </w:pPr>
          </w:p>
        </w:tc>
        <w:tc>
          <w:tcPr>
            <w:tcW w:w="4453" w:type="pct"/>
            <w:hideMark/>
          </w:tcPr>
          <w:p w14:paraId="7C1CB6F1" w14:textId="77777777" w:rsidR="00350C25" w:rsidRPr="00D45C04" w:rsidRDefault="00350C25" w:rsidP="005D2893">
            <w:pPr>
              <w:keepNext/>
              <w:spacing w:after="0"/>
              <w:jc w:val="left"/>
              <w:cnfStyle w:val="000000010000" w:firstRow="0" w:lastRow="0" w:firstColumn="0" w:lastColumn="0" w:oddVBand="0" w:evenVBand="0" w:oddHBand="0" w:evenHBand="1"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Lifetime extension of cars (increasing from 15 to 20 years on average)</w:t>
            </w:r>
          </w:p>
        </w:tc>
      </w:tr>
      <w:tr w:rsidR="00350C25" w:rsidRPr="00820E87" w14:paraId="25B2820F" w14:textId="7777777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textDirection w:val="btLr"/>
            <w:hideMark/>
          </w:tcPr>
          <w:p w14:paraId="33A89EC3" w14:textId="77777777" w:rsidR="00350C25" w:rsidRPr="00D45C04" w:rsidRDefault="00350C25" w:rsidP="005D2893">
            <w:pPr>
              <w:keepNext/>
              <w:spacing w:after="0"/>
              <w:ind w:left="113" w:right="113"/>
              <w:jc w:val="left"/>
              <w:rPr>
                <w:rFonts w:ascii="EC Square Sans Cond Pro" w:eastAsia="CharisSIL" w:hAnsi="EC Square Sans Cond Pro" w:cs="Calibri Light"/>
                <w:noProof/>
                <w:sz w:val="22"/>
                <w:szCs w:val="22"/>
                <w:lang w:val="en-IE"/>
              </w:rPr>
            </w:pPr>
          </w:p>
        </w:tc>
        <w:tc>
          <w:tcPr>
            <w:tcW w:w="4453" w:type="pct"/>
            <w:hideMark/>
          </w:tcPr>
          <w:p w14:paraId="66DF75AE" w14:textId="77777777" w:rsidR="00350C25" w:rsidRPr="00D45C04" w:rsidRDefault="00350C25" w:rsidP="005D2893">
            <w:pPr>
              <w:keepNext/>
              <w:spacing w:after="0"/>
              <w:jc w:val="left"/>
              <w:cnfStyle w:val="000000100000" w:firstRow="0" w:lastRow="0" w:firstColumn="0" w:lastColumn="0" w:oddVBand="0" w:evenVBand="0" w:oddHBand="1" w:evenHBand="0"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Lifetime extension of buildings (decreasing building demolition by up to 30%)</w:t>
            </w:r>
          </w:p>
        </w:tc>
      </w:tr>
      <w:tr w:rsidR="00350C25" w:rsidRPr="00820E87" w14:paraId="39F22FFE" w14:textId="77777777">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textDirection w:val="btLr"/>
            <w:hideMark/>
          </w:tcPr>
          <w:p w14:paraId="4C3437DD" w14:textId="77777777" w:rsidR="00350C25" w:rsidRPr="00D45C04" w:rsidRDefault="00350C25" w:rsidP="005D2893">
            <w:pPr>
              <w:keepNext/>
              <w:spacing w:after="0"/>
              <w:ind w:left="113" w:right="113"/>
              <w:jc w:val="left"/>
              <w:rPr>
                <w:rFonts w:ascii="EC Square Sans Cond Pro" w:eastAsia="CharisSIL" w:hAnsi="EC Square Sans Cond Pro" w:cs="Calibri Light"/>
                <w:noProof/>
                <w:sz w:val="22"/>
                <w:szCs w:val="22"/>
                <w:lang w:val="en-IE"/>
              </w:rPr>
            </w:pPr>
          </w:p>
        </w:tc>
        <w:tc>
          <w:tcPr>
            <w:tcW w:w="4453" w:type="pct"/>
            <w:hideMark/>
          </w:tcPr>
          <w:p w14:paraId="0A4FFEE4" w14:textId="77777777" w:rsidR="00350C25" w:rsidRPr="00D45C04" w:rsidRDefault="00350C25" w:rsidP="005D2893">
            <w:pPr>
              <w:keepNext/>
              <w:spacing w:after="0"/>
              <w:jc w:val="left"/>
              <w:cnfStyle w:val="000000010000" w:firstRow="0" w:lastRow="0" w:firstColumn="0" w:lastColumn="0" w:oddVBand="0" w:evenVBand="0" w:oddHBand="0" w:evenHBand="1"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Lifetime extension of machinery (increasing from 22 to 27 years on average)</w:t>
            </w:r>
          </w:p>
        </w:tc>
      </w:tr>
      <w:tr w:rsidR="00350C25" w:rsidRPr="00820E87" w14:paraId="3B0FC0C1" w14:textId="7777777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textDirection w:val="btLr"/>
            <w:hideMark/>
          </w:tcPr>
          <w:p w14:paraId="1B2801D6" w14:textId="77777777" w:rsidR="00350C25" w:rsidRPr="00D45C04" w:rsidRDefault="00350C25" w:rsidP="005D2893">
            <w:pPr>
              <w:keepNext/>
              <w:spacing w:after="0"/>
              <w:ind w:left="113" w:right="113"/>
              <w:jc w:val="left"/>
              <w:rPr>
                <w:rFonts w:ascii="EC Square Sans Cond Pro" w:eastAsia="CharisSIL" w:hAnsi="EC Square Sans Cond Pro" w:cs="Calibri Light"/>
                <w:noProof/>
                <w:sz w:val="22"/>
                <w:szCs w:val="22"/>
                <w:lang w:val="en-IE"/>
              </w:rPr>
            </w:pPr>
          </w:p>
        </w:tc>
        <w:tc>
          <w:tcPr>
            <w:tcW w:w="4453" w:type="pct"/>
            <w:hideMark/>
          </w:tcPr>
          <w:p w14:paraId="68DB2B0F" w14:textId="77777777" w:rsidR="00350C25" w:rsidRPr="00D45C04" w:rsidRDefault="00350C25" w:rsidP="005D2893">
            <w:pPr>
              <w:keepNext/>
              <w:spacing w:after="0"/>
              <w:jc w:val="left"/>
              <w:cnfStyle w:val="000000100000" w:firstRow="0" w:lastRow="0" w:firstColumn="0" w:lastColumn="0" w:oddVBand="0" w:evenVBand="0" w:oddHBand="1" w:evenHBand="0"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Reusing up to 6% structural steel from buildings</w:t>
            </w:r>
          </w:p>
        </w:tc>
      </w:tr>
      <w:tr w:rsidR="00350C25" w:rsidRPr="00820E87" w14:paraId="17230BF6" w14:textId="77777777">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textDirection w:val="btLr"/>
            <w:hideMark/>
          </w:tcPr>
          <w:p w14:paraId="666291F0" w14:textId="77777777" w:rsidR="00350C25" w:rsidRPr="00D45C04" w:rsidRDefault="00350C25" w:rsidP="005D2893">
            <w:pPr>
              <w:keepNext/>
              <w:spacing w:after="0"/>
              <w:ind w:left="113" w:right="113"/>
              <w:jc w:val="left"/>
              <w:rPr>
                <w:rFonts w:ascii="EC Square Sans Cond Pro" w:eastAsia="CharisSIL" w:hAnsi="EC Square Sans Cond Pro" w:cs="Calibri Light"/>
                <w:noProof/>
                <w:sz w:val="22"/>
                <w:szCs w:val="22"/>
                <w:lang w:val="en-IE"/>
              </w:rPr>
            </w:pPr>
          </w:p>
        </w:tc>
        <w:tc>
          <w:tcPr>
            <w:tcW w:w="4453" w:type="pct"/>
            <w:hideMark/>
          </w:tcPr>
          <w:p w14:paraId="6E859E9E" w14:textId="77777777" w:rsidR="00350C25" w:rsidRPr="00D45C04" w:rsidRDefault="00350C25" w:rsidP="005D2893">
            <w:pPr>
              <w:keepNext/>
              <w:spacing w:after="0"/>
              <w:jc w:val="left"/>
              <w:cnfStyle w:val="000000010000" w:firstRow="0" w:lastRow="0" w:firstColumn="0" w:lastColumn="0" w:oddVBand="0" w:evenVBand="0" w:oddHBand="0" w:evenHBand="1"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Design for building disassembly, and make standardised building elements (reusing up to 38% of prefab building elements)</w:t>
            </w:r>
          </w:p>
        </w:tc>
      </w:tr>
      <w:tr w:rsidR="00350C25" w:rsidRPr="00820E87" w14:paraId="2EF962D1" w14:textId="7777777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textDirection w:val="btLr"/>
            <w:hideMark/>
          </w:tcPr>
          <w:p w14:paraId="368E99E2" w14:textId="77777777" w:rsidR="00350C25" w:rsidRPr="00D45C04" w:rsidRDefault="00350C25" w:rsidP="005D2893">
            <w:pPr>
              <w:keepNext/>
              <w:spacing w:after="0"/>
              <w:ind w:left="113" w:right="113"/>
              <w:jc w:val="left"/>
              <w:rPr>
                <w:rFonts w:ascii="EC Square Sans Cond Pro" w:eastAsia="CharisSIL" w:hAnsi="EC Square Sans Cond Pro" w:cs="Calibri Light"/>
                <w:noProof/>
                <w:sz w:val="22"/>
                <w:szCs w:val="22"/>
                <w:lang w:val="en-IE"/>
              </w:rPr>
            </w:pPr>
          </w:p>
        </w:tc>
        <w:tc>
          <w:tcPr>
            <w:tcW w:w="4453" w:type="pct"/>
            <w:hideMark/>
          </w:tcPr>
          <w:p w14:paraId="17B251D0" w14:textId="77777777" w:rsidR="00350C25" w:rsidRPr="00D45C04" w:rsidRDefault="00350C25" w:rsidP="005D2893">
            <w:pPr>
              <w:keepNext/>
              <w:spacing w:after="0"/>
              <w:jc w:val="left"/>
              <w:cnfStyle w:val="000000100000" w:firstRow="0" w:lastRow="0" w:firstColumn="0" w:lastColumn="0" w:oddVBand="0" w:evenVBand="0" w:oddHBand="1" w:evenHBand="0"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Lightweighting of steel-intensive products (depending on product, reduction of 5-10% product weight by 2050)</w:t>
            </w:r>
          </w:p>
        </w:tc>
      </w:tr>
      <w:tr w:rsidR="00350C25" w:rsidRPr="00820E87" w14:paraId="1350C571" w14:textId="77777777">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textDirection w:val="btLr"/>
            <w:hideMark/>
          </w:tcPr>
          <w:p w14:paraId="3050C5FE" w14:textId="77777777" w:rsidR="00350C25" w:rsidRPr="00D45C04" w:rsidRDefault="00350C25" w:rsidP="005D2893">
            <w:pPr>
              <w:keepNext/>
              <w:spacing w:after="0"/>
              <w:ind w:left="113" w:right="113"/>
              <w:jc w:val="left"/>
              <w:rPr>
                <w:rFonts w:ascii="EC Square Sans Cond Pro" w:eastAsia="CharisSIL" w:hAnsi="EC Square Sans Cond Pro" w:cs="Calibri Light"/>
                <w:noProof/>
                <w:sz w:val="22"/>
                <w:szCs w:val="22"/>
                <w:lang w:val="en-IE"/>
              </w:rPr>
            </w:pPr>
          </w:p>
        </w:tc>
        <w:tc>
          <w:tcPr>
            <w:tcW w:w="4453" w:type="pct"/>
            <w:hideMark/>
          </w:tcPr>
          <w:p w14:paraId="25C8617D" w14:textId="77777777" w:rsidR="00350C25" w:rsidRPr="00D45C04" w:rsidRDefault="00350C25" w:rsidP="005D2893">
            <w:pPr>
              <w:keepNext/>
              <w:spacing w:after="0"/>
              <w:jc w:val="left"/>
              <w:cnfStyle w:val="000000010000" w:firstRow="0" w:lastRow="0" w:firstColumn="0" w:lastColumn="0" w:oddVBand="0" w:evenVBand="0" w:oddHBand="0" w:evenHBand="1"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Reducing use of structural steel at design stage (reducing overspecification up to 41%)</w:t>
            </w:r>
          </w:p>
        </w:tc>
      </w:tr>
      <w:tr w:rsidR="00350C25" w:rsidRPr="00820E87" w14:paraId="71C9C42D" w14:textId="7777777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val="restart"/>
            <w:textDirection w:val="btLr"/>
            <w:hideMark/>
          </w:tcPr>
          <w:p w14:paraId="1CB3290A" w14:textId="352D98FE" w:rsidR="00350C25" w:rsidRPr="00D45C04" w:rsidRDefault="00350C25" w:rsidP="005D2893">
            <w:pPr>
              <w:keepNext/>
              <w:spacing w:after="0"/>
              <w:ind w:left="113" w:right="113"/>
              <w:jc w:val="center"/>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 xml:space="preserve">Paper </w:t>
            </w:r>
            <w:r w:rsidR="00E44F27">
              <w:rPr>
                <w:rFonts w:ascii="EC Square Sans Cond Pro" w:eastAsia="CharisSIL" w:hAnsi="EC Square Sans Cond Pro" w:cs="Calibri Light"/>
                <w:noProof/>
                <w:sz w:val="22"/>
                <w:szCs w:val="22"/>
              </w:rPr>
              <w:t>and</w:t>
            </w:r>
            <w:r w:rsidRPr="00D45C04">
              <w:rPr>
                <w:rFonts w:ascii="EC Square Sans Cond Pro" w:eastAsia="CharisSIL" w:hAnsi="EC Square Sans Cond Pro" w:cs="Calibri Light"/>
                <w:noProof/>
                <w:sz w:val="22"/>
                <w:szCs w:val="22"/>
              </w:rPr>
              <w:t xml:space="preserve"> Pulp</w:t>
            </w:r>
          </w:p>
        </w:tc>
        <w:tc>
          <w:tcPr>
            <w:tcW w:w="4453" w:type="pct"/>
            <w:hideMark/>
          </w:tcPr>
          <w:p w14:paraId="203A25D3" w14:textId="77777777" w:rsidR="00350C25" w:rsidRPr="00D45C04" w:rsidRDefault="00350C25" w:rsidP="005D2893">
            <w:pPr>
              <w:keepNext/>
              <w:spacing w:after="0"/>
              <w:jc w:val="left"/>
              <w:cnfStyle w:val="000000100000" w:firstRow="0" w:lastRow="0" w:firstColumn="0" w:lastColumn="0" w:oddVBand="0" w:evenVBand="0" w:oddHBand="1" w:evenHBand="0"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 xml:space="preserve">Recycling of municipal waste to increase to 55%, 60% and 65% by weight by 2025, 2030 and 2035 respectively </w:t>
            </w:r>
          </w:p>
        </w:tc>
      </w:tr>
      <w:tr w:rsidR="00350C25" w:rsidRPr="00820E87" w14:paraId="3DEF3615" w14:textId="77777777">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hideMark/>
          </w:tcPr>
          <w:p w14:paraId="6477D8D9" w14:textId="77777777" w:rsidR="00350C25" w:rsidRPr="00D45C04" w:rsidRDefault="00350C25" w:rsidP="005D2893">
            <w:pPr>
              <w:keepNext/>
              <w:spacing w:after="0"/>
              <w:jc w:val="left"/>
              <w:rPr>
                <w:rFonts w:ascii="EC Square Sans Cond Pro" w:eastAsia="CharisSIL" w:hAnsi="EC Square Sans Cond Pro" w:cs="Calibri Light"/>
                <w:noProof/>
                <w:sz w:val="22"/>
                <w:szCs w:val="22"/>
                <w:lang w:val="en-IE"/>
              </w:rPr>
            </w:pPr>
          </w:p>
        </w:tc>
        <w:tc>
          <w:tcPr>
            <w:tcW w:w="4453" w:type="pct"/>
            <w:hideMark/>
          </w:tcPr>
          <w:p w14:paraId="64C6E940" w14:textId="77777777" w:rsidR="00350C25" w:rsidRPr="00D45C04" w:rsidRDefault="00350C25" w:rsidP="005D2893">
            <w:pPr>
              <w:keepNext/>
              <w:spacing w:after="0"/>
              <w:jc w:val="left"/>
              <w:cnfStyle w:val="000000010000" w:firstRow="0" w:lastRow="0" w:firstColumn="0" w:lastColumn="0" w:oddVBand="0" w:evenVBand="0" w:oddHBand="0" w:evenHBand="1"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Increase paper recycling</w:t>
            </w:r>
          </w:p>
        </w:tc>
      </w:tr>
      <w:tr w:rsidR="00350C25" w:rsidRPr="00820E87" w14:paraId="1E5968A2" w14:textId="7777777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hideMark/>
          </w:tcPr>
          <w:p w14:paraId="1CFAAACF" w14:textId="77777777" w:rsidR="00350C25" w:rsidRPr="00D45C04" w:rsidRDefault="00350C25" w:rsidP="005D2893">
            <w:pPr>
              <w:keepNext/>
              <w:spacing w:after="0"/>
              <w:jc w:val="left"/>
              <w:rPr>
                <w:rFonts w:ascii="EC Square Sans Cond Pro" w:eastAsia="CharisSIL" w:hAnsi="EC Square Sans Cond Pro" w:cs="Calibri Light"/>
                <w:noProof/>
                <w:sz w:val="22"/>
                <w:szCs w:val="22"/>
                <w:lang w:val="en-IE"/>
              </w:rPr>
            </w:pPr>
          </w:p>
        </w:tc>
        <w:tc>
          <w:tcPr>
            <w:tcW w:w="4453" w:type="pct"/>
            <w:hideMark/>
          </w:tcPr>
          <w:p w14:paraId="57777F3F" w14:textId="77777777" w:rsidR="00350C25" w:rsidRPr="00D45C04" w:rsidRDefault="00350C25" w:rsidP="005D2893">
            <w:pPr>
              <w:keepNext/>
              <w:spacing w:after="0"/>
              <w:jc w:val="left"/>
              <w:cnfStyle w:val="000000100000" w:firstRow="0" w:lastRow="0" w:firstColumn="0" w:lastColumn="0" w:oddVBand="0" w:evenVBand="0" w:oddHBand="1" w:evenHBand="0"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Increase the market share of reusable packaging to 40% by 2050</w:t>
            </w:r>
          </w:p>
        </w:tc>
      </w:tr>
      <w:tr w:rsidR="00350C25" w:rsidRPr="00820E87" w14:paraId="13AE6273" w14:textId="77777777">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7" w:type="pct"/>
            <w:vMerge/>
            <w:hideMark/>
          </w:tcPr>
          <w:p w14:paraId="670FD309" w14:textId="77777777" w:rsidR="00350C25" w:rsidRPr="00D45C04" w:rsidRDefault="00350C25" w:rsidP="005D2893">
            <w:pPr>
              <w:keepNext/>
              <w:spacing w:after="0"/>
              <w:jc w:val="left"/>
              <w:rPr>
                <w:rFonts w:ascii="EC Square Sans Cond Pro" w:eastAsia="CharisSIL" w:hAnsi="EC Square Sans Cond Pro" w:cs="Calibri Light"/>
                <w:noProof/>
                <w:sz w:val="22"/>
                <w:szCs w:val="22"/>
                <w:lang w:val="en-IE"/>
              </w:rPr>
            </w:pPr>
          </w:p>
        </w:tc>
        <w:tc>
          <w:tcPr>
            <w:tcW w:w="4453" w:type="pct"/>
            <w:hideMark/>
          </w:tcPr>
          <w:p w14:paraId="651FE559" w14:textId="77777777" w:rsidR="00350C25" w:rsidRPr="00D45C04" w:rsidRDefault="00350C25" w:rsidP="005D2893">
            <w:pPr>
              <w:keepNext/>
              <w:spacing w:after="0"/>
              <w:jc w:val="left"/>
              <w:cnfStyle w:val="000000010000" w:firstRow="0" w:lastRow="0" w:firstColumn="0" w:lastColumn="0" w:oddVBand="0" w:evenVBand="0" w:oddHBand="0" w:evenHBand="1" w:firstRowFirstColumn="0" w:firstRowLastColumn="0" w:lastRowFirstColumn="0" w:lastRowLastColumn="0"/>
              <w:rPr>
                <w:rFonts w:ascii="EC Square Sans Cond Pro" w:eastAsia="CharisSIL" w:hAnsi="EC Square Sans Cond Pro" w:cs="Calibri Light"/>
                <w:noProof/>
                <w:sz w:val="22"/>
                <w:szCs w:val="22"/>
                <w:lang w:val="en-IE"/>
              </w:rPr>
            </w:pPr>
            <w:r w:rsidRPr="00D45C04">
              <w:rPr>
                <w:rFonts w:ascii="EC Square Sans Cond Pro" w:eastAsia="CharisSIL" w:hAnsi="EC Square Sans Cond Pro" w:cs="Calibri Light"/>
                <w:noProof/>
                <w:sz w:val="22"/>
                <w:szCs w:val="22"/>
              </w:rPr>
              <w:t>Lightweighting of paper packaging (Decreasing paper packaging weight by 20% in 2050 compared to 2020)</w:t>
            </w:r>
          </w:p>
        </w:tc>
      </w:tr>
    </w:tbl>
    <w:p w14:paraId="24038476" w14:textId="393CF4DE" w:rsidR="00E133EE" w:rsidRPr="00822700" w:rsidRDefault="00E133EE" w:rsidP="00923B34">
      <w:pPr>
        <w:pStyle w:val="CT-NOTE"/>
        <w:rPr>
          <w:noProof/>
        </w:rPr>
      </w:pPr>
      <w:r w:rsidRPr="00822700">
        <w:rPr>
          <w:noProof/>
        </w:rPr>
        <w:t xml:space="preserve">Note: </w:t>
      </w:r>
      <w:r>
        <w:rPr>
          <w:noProof/>
        </w:rPr>
        <w:t>This list only appl</w:t>
      </w:r>
      <w:r w:rsidR="0085208E">
        <w:rPr>
          <w:noProof/>
        </w:rPr>
        <w:t>ies</w:t>
      </w:r>
      <w:r>
        <w:rPr>
          <w:noProof/>
        </w:rPr>
        <w:t xml:space="preserve"> to the CIRC scenario. </w:t>
      </w:r>
      <w:r w:rsidR="00B10B66">
        <w:rPr>
          <w:noProof/>
        </w:rPr>
        <w:t>The actions listed in the Circular Economy Action Plan are assumed to be already implemented up to the cutoff date of March 2023 both in the STD and the CIRC scenarios.</w:t>
      </w:r>
    </w:p>
    <w:p w14:paraId="58209A17" w14:textId="77777777" w:rsidR="00350C25" w:rsidRDefault="00350C25" w:rsidP="00350C25">
      <w:pPr>
        <w:tabs>
          <w:tab w:val="left" w:pos="1276"/>
        </w:tabs>
        <w:autoSpaceDE w:val="0"/>
        <w:autoSpaceDN w:val="0"/>
        <w:adjustRightInd w:val="0"/>
        <w:spacing w:after="0"/>
        <w:ind w:left="-142"/>
        <w:rPr>
          <w:rFonts w:cstheme="minorHAnsi"/>
          <w:noProof/>
        </w:rPr>
      </w:pPr>
    </w:p>
    <w:p w14:paraId="75C4586B" w14:textId="77777777" w:rsidR="00350C25" w:rsidRPr="00630343" w:rsidRDefault="00350C25" w:rsidP="00F7719F">
      <w:pPr>
        <w:pStyle w:val="Heading4"/>
        <w:rPr>
          <w:noProof/>
        </w:rPr>
      </w:pPr>
      <w:r w:rsidRPr="00630343">
        <w:rPr>
          <w:noProof/>
        </w:rPr>
        <w:t>Activity</w:t>
      </w:r>
    </w:p>
    <w:p w14:paraId="25D757EE" w14:textId="618FEAAD" w:rsidR="006A4B0A" w:rsidRDefault="007041DC" w:rsidP="0033557B">
      <w:pPr>
        <w:autoSpaceDE w:val="0"/>
        <w:autoSpaceDN w:val="0"/>
        <w:adjustRightInd w:val="0"/>
        <w:spacing w:after="0"/>
        <w:ind w:left="-142"/>
        <w:rPr>
          <w:rFonts w:cstheme="minorBidi"/>
          <w:noProof/>
        </w:rPr>
      </w:pPr>
      <w:r>
        <w:rPr>
          <w:rFonts w:cstheme="minorBidi"/>
          <w:noProof/>
        </w:rPr>
        <w:fldChar w:fldCharType="begin"/>
      </w:r>
      <w:r>
        <w:rPr>
          <w:rFonts w:cstheme="minorBidi"/>
          <w:noProof/>
        </w:rPr>
        <w:instrText xml:space="preserve"> REF _Ref142500564 \h </w:instrText>
      </w:r>
      <w:r>
        <w:rPr>
          <w:rFonts w:cstheme="minorBidi"/>
          <w:noProof/>
        </w:rPr>
      </w:r>
      <w:r>
        <w:rPr>
          <w:rFonts w:cstheme="minorBidi"/>
          <w:noProof/>
        </w:rPr>
        <w:fldChar w:fldCharType="separate"/>
      </w:r>
      <w:r w:rsidR="00170A3C">
        <w:rPr>
          <w:noProof/>
        </w:rPr>
        <w:t>Figure 56</w:t>
      </w:r>
      <w:r>
        <w:rPr>
          <w:rFonts w:cstheme="minorBidi"/>
          <w:noProof/>
        </w:rPr>
        <w:fldChar w:fldCharType="end"/>
      </w:r>
      <w:r w:rsidR="008856D1" w:rsidRPr="77BD018B">
        <w:rPr>
          <w:rFonts w:cstheme="minorBidi"/>
          <w:noProof/>
        </w:rPr>
        <w:t xml:space="preserve"> </w:t>
      </w:r>
      <w:r w:rsidR="002F3209" w:rsidRPr="77BD018B">
        <w:rPr>
          <w:rFonts w:cstheme="minorBidi"/>
          <w:noProof/>
        </w:rPr>
        <w:t>summarise</w:t>
      </w:r>
      <w:r w:rsidR="00AE6666" w:rsidRPr="77BD018B">
        <w:rPr>
          <w:rFonts w:cstheme="minorBidi"/>
          <w:noProof/>
        </w:rPr>
        <w:t>s</w:t>
      </w:r>
      <w:r w:rsidR="002F3209" w:rsidRPr="77BD018B">
        <w:rPr>
          <w:rFonts w:cstheme="minorBidi"/>
          <w:noProof/>
        </w:rPr>
        <w:t xml:space="preserve"> the projections of the total </w:t>
      </w:r>
      <w:r w:rsidR="005331BE" w:rsidRPr="77BD018B">
        <w:rPr>
          <w:rFonts w:cstheme="minorBidi"/>
          <w:noProof/>
        </w:rPr>
        <w:t>demand</w:t>
      </w:r>
      <w:r w:rsidR="002F3209" w:rsidRPr="77BD018B">
        <w:rPr>
          <w:rFonts w:cstheme="minorBidi"/>
          <w:noProof/>
        </w:rPr>
        <w:t xml:space="preserve"> for the different materials in the </w:t>
      </w:r>
      <w:r w:rsidR="006422F5">
        <w:rPr>
          <w:rFonts w:cstheme="minorBidi"/>
          <w:noProof/>
        </w:rPr>
        <w:t>STD</w:t>
      </w:r>
      <w:r w:rsidR="002F3209" w:rsidRPr="77BD018B">
        <w:rPr>
          <w:rFonts w:cstheme="minorBidi"/>
          <w:noProof/>
        </w:rPr>
        <w:t xml:space="preserve"> and the CIRC scenario</w:t>
      </w:r>
      <w:r w:rsidR="00387796">
        <w:rPr>
          <w:rFonts w:cstheme="minorBidi"/>
          <w:noProof/>
        </w:rPr>
        <w:t xml:space="preserve"> and includes historical data of the material production in EU as reference</w:t>
      </w:r>
      <w:r w:rsidR="002F3209" w:rsidRPr="77BD018B">
        <w:rPr>
          <w:rFonts w:cstheme="minorBidi"/>
          <w:noProof/>
        </w:rPr>
        <w:t>.</w:t>
      </w:r>
      <w:r w:rsidR="003E580A" w:rsidRPr="77BD018B">
        <w:rPr>
          <w:rFonts w:cstheme="minorBidi"/>
          <w:noProof/>
        </w:rPr>
        <w:t xml:space="preserve"> </w:t>
      </w:r>
    </w:p>
    <w:p w14:paraId="7BBBB63B" w14:textId="77777777" w:rsidR="00417CCB" w:rsidRDefault="00417CCB" w:rsidP="0033557B">
      <w:pPr>
        <w:autoSpaceDE w:val="0"/>
        <w:autoSpaceDN w:val="0"/>
        <w:adjustRightInd w:val="0"/>
        <w:spacing w:after="0"/>
        <w:ind w:left="-142"/>
        <w:rPr>
          <w:rFonts w:cstheme="minorHAnsi"/>
          <w:i/>
          <w:noProof/>
        </w:rPr>
      </w:pPr>
    </w:p>
    <w:p w14:paraId="1C30E065" w14:textId="6FF820E6" w:rsidR="008856D1" w:rsidRDefault="008856D1" w:rsidP="008856D1">
      <w:pPr>
        <w:pStyle w:val="Caption"/>
        <w:rPr>
          <w:noProof/>
        </w:rPr>
      </w:pPr>
      <w:bookmarkStart w:id="301" w:name="_Ref142500564"/>
      <w:bookmarkStart w:id="302" w:name="_Toc157679804"/>
      <w:r>
        <w:rPr>
          <w:noProof/>
        </w:rPr>
        <w:t xml:space="preserve">Figure </w:t>
      </w:r>
      <w:r>
        <w:rPr>
          <w:noProof/>
        </w:rPr>
        <w:fldChar w:fldCharType="begin"/>
      </w:r>
      <w:r>
        <w:rPr>
          <w:noProof/>
        </w:rPr>
        <w:instrText>SEQ Figure \* ARABIC</w:instrText>
      </w:r>
      <w:r>
        <w:rPr>
          <w:noProof/>
        </w:rPr>
        <w:fldChar w:fldCharType="separate"/>
      </w:r>
      <w:r w:rsidR="00170A3C">
        <w:rPr>
          <w:noProof/>
        </w:rPr>
        <w:t>56</w:t>
      </w:r>
      <w:r>
        <w:rPr>
          <w:noProof/>
        </w:rPr>
        <w:fldChar w:fldCharType="end"/>
      </w:r>
      <w:bookmarkEnd w:id="301"/>
      <w:r>
        <w:rPr>
          <w:noProof/>
        </w:rPr>
        <w:t xml:space="preserve">: </w:t>
      </w:r>
      <w:r w:rsidR="00EF5D1D">
        <w:rPr>
          <w:noProof/>
        </w:rPr>
        <w:t>Historical EU production and future d</w:t>
      </w:r>
      <w:r w:rsidR="00151A6C">
        <w:rPr>
          <w:noProof/>
        </w:rPr>
        <w:t>emand</w:t>
      </w:r>
      <w:r w:rsidR="00DF7AA6">
        <w:rPr>
          <w:noProof/>
        </w:rPr>
        <w:t xml:space="preserve"> for specific materials</w:t>
      </w:r>
      <w:bookmarkEnd w:id="302"/>
      <w:r w:rsidR="00151A6C">
        <w:rPr>
          <w:noProof/>
        </w:rPr>
        <w:t xml:space="preserve"> </w:t>
      </w:r>
    </w:p>
    <w:p w14:paraId="3C98E9E2" w14:textId="548DBFA0" w:rsidR="002F3209" w:rsidRDefault="006422F5" w:rsidP="007041DC">
      <w:pPr>
        <w:keepNext/>
        <w:tabs>
          <w:tab w:val="left" w:pos="1276"/>
        </w:tabs>
        <w:autoSpaceDE w:val="0"/>
        <w:autoSpaceDN w:val="0"/>
        <w:adjustRightInd w:val="0"/>
        <w:spacing w:after="0"/>
        <w:rPr>
          <w:rFonts w:cstheme="minorBidi"/>
          <w:noProof/>
        </w:rPr>
      </w:pPr>
      <w:r w:rsidRPr="006422F5">
        <w:rPr>
          <w:rFonts w:cstheme="minorBidi"/>
          <w:noProof/>
        </w:rPr>
        <w:t xml:space="preserve"> </w:t>
      </w:r>
      <w:r w:rsidRPr="006422F5">
        <w:rPr>
          <w:noProof/>
          <w:lang w:eastAsia="en-GB"/>
        </w:rPr>
        <w:drawing>
          <wp:inline distT="0" distB="0" distL="0" distR="0" wp14:anchorId="5A50EB92" wp14:editId="71E65149">
            <wp:extent cx="5381625" cy="4343400"/>
            <wp:effectExtent l="0" t="0" r="9525"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381625" cy="4343400"/>
                    </a:xfrm>
                    <a:prstGeom prst="rect">
                      <a:avLst/>
                    </a:prstGeom>
                    <a:noFill/>
                    <a:ln>
                      <a:noFill/>
                    </a:ln>
                  </pic:spPr>
                </pic:pic>
              </a:graphicData>
            </a:graphic>
          </wp:inline>
        </w:drawing>
      </w:r>
    </w:p>
    <w:p w14:paraId="2726126B" w14:textId="1DBB4F8F" w:rsidR="00281125" w:rsidRPr="00AB3F69" w:rsidRDefault="00281125" w:rsidP="00923B34">
      <w:pPr>
        <w:pStyle w:val="CT-NOTE"/>
        <w:rPr>
          <w:noProof/>
        </w:rPr>
      </w:pPr>
      <w:r w:rsidRPr="00AB3F69">
        <w:rPr>
          <w:noProof/>
        </w:rPr>
        <w:t>Note:</w:t>
      </w:r>
      <w:r w:rsidR="0085208E">
        <w:rPr>
          <w:noProof/>
        </w:rPr>
        <w:t xml:space="preserve"> 2019 is taken as the calibration year for the FORECAST model. </w:t>
      </w:r>
      <w:r w:rsidR="002F2CAB" w:rsidRPr="00AB3F69">
        <w:rPr>
          <w:noProof/>
        </w:rPr>
        <w:t xml:space="preserve">In case </w:t>
      </w:r>
      <w:r w:rsidR="0084475F" w:rsidRPr="00AB3F69">
        <w:rPr>
          <w:noProof/>
        </w:rPr>
        <w:t xml:space="preserve">2019 historic values are not available, first </w:t>
      </w:r>
      <w:r w:rsidR="00AB3F69" w:rsidRPr="00AB3F69">
        <w:rPr>
          <w:noProof/>
        </w:rPr>
        <w:t>previously</w:t>
      </w:r>
      <w:r w:rsidR="0084475F" w:rsidRPr="00AB3F69">
        <w:rPr>
          <w:noProof/>
        </w:rPr>
        <w:t xml:space="preserve"> available year is represent</w:t>
      </w:r>
      <w:r w:rsidR="0085208E">
        <w:rPr>
          <w:noProof/>
        </w:rPr>
        <w:t>ed</w:t>
      </w:r>
      <w:r w:rsidR="0084475F" w:rsidRPr="00AB3F69">
        <w:rPr>
          <w:noProof/>
        </w:rPr>
        <w:t xml:space="preserve"> (</w:t>
      </w:r>
      <w:r w:rsidR="00F42169" w:rsidRPr="00AB3F69">
        <w:rPr>
          <w:noProof/>
        </w:rPr>
        <w:t>e.g.,</w:t>
      </w:r>
      <w:r w:rsidR="0084475F" w:rsidRPr="00AB3F69">
        <w:rPr>
          <w:noProof/>
        </w:rPr>
        <w:t xml:space="preserve"> 2018 for Aluminum).</w:t>
      </w:r>
    </w:p>
    <w:p w14:paraId="0532A4AF" w14:textId="2FA67C76" w:rsidR="00106770" w:rsidRDefault="00106770" w:rsidP="00923B34">
      <w:pPr>
        <w:pStyle w:val="CT-SOURCE"/>
        <w:rPr>
          <w:i w:val="0"/>
          <w:noProof/>
        </w:rPr>
      </w:pPr>
      <w:r w:rsidRPr="00C70331">
        <w:rPr>
          <w:noProof/>
        </w:rPr>
        <w:t xml:space="preserve">Source: </w:t>
      </w:r>
      <w:r w:rsidR="007932FB" w:rsidRPr="007932FB">
        <w:rPr>
          <w:i w:val="0"/>
          <w:noProof/>
        </w:rPr>
        <w:t>FORECAST production database</w:t>
      </w:r>
      <w:r w:rsidR="007932FB">
        <w:rPr>
          <w:i w:val="0"/>
          <w:noProof/>
        </w:rPr>
        <w:t xml:space="preserve">, </w:t>
      </w:r>
      <w:r w:rsidR="00AD7AE6">
        <w:rPr>
          <w:i w:val="0"/>
          <w:noProof/>
        </w:rPr>
        <w:t>FORECAST</w:t>
      </w:r>
      <w:r w:rsidR="007932FB">
        <w:rPr>
          <w:i w:val="0"/>
          <w:noProof/>
        </w:rPr>
        <w:t xml:space="preserve"> model</w:t>
      </w:r>
      <w:r w:rsidRPr="00C70331">
        <w:rPr>
          <w:i w:val="0"/>
          <w:noProof/>
        </w:rPr>
        <w:t>.</w:t>
      </w:r>
    </w:p>
    <w:p w14:paraId="34E6A996" w14:textId="003A3577" w:rsidR="00417CCB" w:rsidRDefault="00417CCB" w:rsidP="00417CCB">
      <w:pPr>
        <w:autoSpaceDE w:val="0"/>
        <w:autoSpaceDN w:val="0"/>
        <w:adjustRightInd w:val="0"/>
        <w:spacing w:after="0"/>
        <w:ind w:left="-142"/>
        <w:rPr>
          <w:rFonts w:eastAsiaTheme="minorEastAsia"/>
          <w:noProof/>
        </w:rPr>
      </w:pPr>
      <w:r w:rsidRPr="77BD018B">
        <w:rPr>
          <w:rFonts w:cstheme="minorBidi"/>
          <w:noProof/>
        </w:rPr>
        <w:t>For all materials, the material demand</w:t>
      </w:r>
      <w:r w:rsidR="00B41E61">
        <w:rPr>
          <w:rFonts w:cstheme="minorBidi"/>
          <w:noProof/>
        </w:rPr>
        <w:t xml:space="preserve"> reduces, leaving a </w:t>
      </w:r>
      <w:r w:rsidRPr="77BD018B">
        <w:rPr>
          <w:rFonts w:cstheme="minorBidi"/>
          <w:noProof/>
        </w:rPr>
        <w:t xml:space="preserve">gap between the two scenarios </w:t>
      </w:r>
      <w:r w:rsidR="00B41E61">
        <w:rPr>
          <w:rFonts w:cstheme="minorBidi"/>
          <w:noProof/>
        </w:rPr>
        <w:t xml:space="preserve">that increases </w:t>
      </w:r>
      <w:r w:rsidRPr="77BD018B">
        <w:rPr>
          <w:rFonts w:cstheme="minorBidi"/>
          <w:noProof/>
        </w:rPr>
        <w:t>over time in the period 2030-2050. Around 5% and 10% of</w:t>
      </w:r>
      <w:r>
        <w:rPr>
          <w:rFonts w:cstheme="minorBidi"/>
          <w:noProof/>
        </w:rPr>
        <w:t xml:space="preserve"> total</w:t>
      </w:r>
      <w:r w:rsidRPr="77BD018B">
        <w:rPr>
          <w:rFonts w:cstheme="minorBidi"/>
          <w:noProof/>
        </w:rPr>
        <w:t xml:space="preserve"> cement are saved in CIRC in 2040 and 2050 compared to </w:t>
      </w:r>
      <w:r w:rsidR="006422F5">
        <w:rPr>
          <w:rFonts w:cstheme="minorBidi"/>
          <w:noProof/>
        </w:rPr>
        <w:t>STD</w:t>
      </w:r>
      <w:r w:rsidR="00EF157D">
        <w:rPr>
          <w:rFonts w:cstheme="minorBidi"/>
          <w:noProof/>
        </w:rPr>
        <w:t>, which</w:t>
      </w:r>
      <w:r w:rsidR="00180EBD">
        <w:rPr>
          <w:rFonts w:cstheme="minorBidi"/>
          <w:noProof/>
        </w:rPr>
        <w:t xml:space="preserve"> in 2050</w:t>
      </w:r>
      <w:r w:rsidR="00EF157D">
        <w:rPr>
          <w:rFonts w:cstheme="minorBidi"/>
          <w:noProof/>
        </w:rPr>
        <w:t xml:space="preserve"> splits into around </w:t>
      </w:r>
      <w:r w:rsidR="00F55F29">
        <w:rPr>
          <w:rFonts w:cstheme="minorBidi"/>
          <w:noProof/>
        </w:rPr>
        <w:t>10</w:t>
      </w:r>
      <w:r w:rsidR="00EF157D">
        <w:rPr>
          <w:rFonts w:cstheme="minorBidi"/>
          <w:noProof/>
        </w:rPr>
        <w:t xml:space="preserve">% of </w:t>
      </w:r>
      <w:r w:rsidR="007D7406">
        <w:rPr>
          <w:rFonts w:cstheme="minorBidi"/>
          <w:noProof/>
        </w:rPr>
        <w:t xml:space="preserve">reduction of conventional cement and 10% </w:t>
      </w:r>
      <w:r w:rsidR="00F55F29">
        <w:rPr>
          <w:rFonts w:cstheme="minorBidi"/>
          <w:noProof/>
        </w:rPr>
        <w:t xml:space="preserve">replacement of conventional cement by </w:t>
      </w:r>
      <w:r w:rsidR="0074610E">
        <w:rPr>
          <w:rFonts w:cstheme="minorBidi"/>
          <w:noProof/>
        </w:rPr>
        <w:t>low-carbon cement. B</w:t>
      </w:r>
      <w:r w:rsidRPr="77BD018B">
        <w:rPr>
          <w:rFonts w:cstheme="minorBidi"/>
          <w:noProof/>
        </w:rPr>
        <w:t xml:space="preserve">uilding lifetime extension and </w:t>
      </w:r>
      <w:r>
        <w:rPr>
          <w:rFonts w:cstheme="minorBidi"/>
          <w:noProof/>
        </w:rPr>
        <w:t>demand reduction through reuse</w:t>
      </w:r>
      <w:r w:rsidR="00D849B9">
        <w:rPr>
          <w:rFonts w:cstheme="minorBidi"/>
          <w:noProof/>
        </w:rPr>
        <w:t xml:space="preserve">, preparing for re-use, </w:t>
      </w:r>
      <w:r>
        <w:rPr>
          <w:rFonts w:cstheme="minorBidi"/>
          <w:noProof/>
        </w:rPr>
        <w:t xml:space="preserve">and modification of overspecification </w:t>
      </w:r>
      <w:r w:rsidRPr="77BD018B">
        <w:rPr>
          <w:rFonts w:cstheme="minorBidi"/>
          <w:noProof/>
        </w:rPr>
        <w:t xml:space="preserve">has the highest </w:t>
      </w:r>
      <w:r>
        <w:rPr>
          <w:rFonts w:cstheme="minorBidi"/>
          <w:noProof/>
        </w:rPr>
        <w:t xml:space="preserve">optimisation </w:t>
      </w:r>
      <w:r w:rsidRPr="77BD018B">
        <w:rPr>
          <w:rFonts w:cstheme="minorBidi"/>
          <w:noProof/>
        </w:rPr>
        <w:t>potential among the actions analysed, followed by the substitution of conventional cement by wood and low</w:t>
      </w:r>
      <w:r>
        <w:rPr>
          <w:rFonts w:cstheme="minorBidi"/>
          <w:noProof/>
        </w:rPr>
        <w:t xml:space="preserve"> carbon</w:t>
      </w:r>
      <w:r w:rsidRPr="77BD018B">
        <w:rPr>
          <w:rFonts w:cstheme="minorBidi"/>
          <w:noProof/>
        </w:rPr>
        <w:t xml:space="preserve"> cement produced using alternative </w:t>
      </w:r>
      <w:r w:rsidRPr="00666B98">
        <w:rPr>
          <w:rFonts w:eastAsiaTheme="minorEastAsia"/>
          <w:noProof/>
        </w:rPr>
        <w:t>cement constituents</w:t>
      </w:r>
      <w:r w:rsidRPr="001A4101">
        <w:rPr>
          <w:rFonts w:eastAsiaTheme="minorEastAsia"/>
          <w:noProof/>
        </w:rPr>
        <w:t> (</w:t>
      </w:r>
      <w:r>
        <w:rPr>
          <w:rStyle w:val="FootnoteReference"/>
          <w:rFonts w:eastAsiaTheme="minorEastAsia"/>
          <w:noProof/>
        </w:rPr>
        <w:footnoteReference w:id="106"/>
      </w:r>
      <w:r>
        <w:rPr>
          <w:rFonts w:eastAsiaTheme="minorEastAsia"/>
          <w:noProof/>
        </w:rPr>
        <w:t>), (</w:t>
      </w:r>
      <w:r>
        <w:rPr>
          <w:rStyle w:val="FootnoteReference"/>
          <w:rFonts w:eastAsiaTheme="minorEastAsia"/>
          <w:noProof/>
        </w:rPr>
        <w:footnoteReference w:id="107"/>
      </w:r>
      <w:r>
        <w:rPr>
          <w:rFonts w:eastAsiaTheme="minorEastAsia"/>
          <w:noProof/>
        </w:rPr>
        <w:t xml:space="preserve">). </w:t>
      </w:r>
      <w:r w:rsidRPr="77BD018B">
        <w:rPr>
          <w:rFonts w:cstheme="minorBidi"/>
          <w:noProof/>
        </w:rPr>
        <w:t xml:space="preserve">The use of wood has been restricted </w:t>
      </w:r>
      <w:r w:rsidR="00B41E61">
        <w:rPr>
          <w:rFonts w:cstheme="minorBidi"/>
          <w:noProof/>
        </w:rPr>
        <w:t>only</w:t>
      </w:r>
      <w:r w:rsidRPr="77BD018B">
        <w:rPr>
          <w:rFonts w:cstheme="minorBidi"/>
          <w:noProof/>
        </w:rPr>
        <w:t xml:space="preserve"> to certain construction elements and in single family houses (</w:t>
      </w:r>
      <w:r w:rsidRPr="77BD018B">
        <w:rPr>
          <w:rStyle w:val="FootnoteReference"/>
          <w:rFonts w:cstheme="minorBidi"/>
          <w:noProof/>
        </w:rPr>
        <w:footnoteReference w:id="108"/>
      </w:r>
      <w:r w:rsidRPr="77BD018B">
        <w:rPr>
          <w:rFonts w:cstheme="minorBidi"/>
          <w:noProof/>
        </w:rPr>
        <w:t>),</w:t>
      </w:r>
      <w:r>
        <w:rPr>
          <w:rFonts w:cstheme="minorBidi"/>
          <w:noProof/>
        </w:rPr>
        <w:t xml:space="preserve"> </w:t>
      </w:r>
      <w:r w:rsidR="00B41E61">
        <w:rPr>
          <w:rFonts w:cstheme="minorBidi"/>
          <w:noProof/>
        </w:rPr>
        <w:t>largely</w:t>
      </w:r>
      <w:r>
        <w:rPr>
          <w:rFonts w:eastAsiaTheme="minorEastAsia"/>
          <w:noProof/>
        </w:rPr>
        <w:t xml:space="preserve"> in line with sustainable use of biomass and limiting its possible negative impact on the LULUCF net removals. Total steel and aluminium demand reduce around 1</w:t>
      </w:r>
      <w:r w:rsidR="00251A2F">
        <w:rPr>
          <w:rFonts w:eastAsiaTheme="minorEastAsia"/>
          <w:noProof/>
        </w:rPr>
        <w:t>5</w:t>
      </w:r>
      <w:r>
        <w:rPr>
          <w:rFonts w:eastAsiaTheme="minorEastAsia"/>
          <w:noProof/>
        </w:rPr>
        <w:t>%-</w:t>
      </w:r>
      <w:r w:rsidR="00251A2F">
        <w:rPr>
          <w:rFonts w:eastAsiaTheme="minorEastAsia"/>
          <w:noProof/>
        </w:rPr>
        <w:t>20</w:t>
      </w:r>
      <w:r>
        <w:rPr>
          <w:rFonts w:eastAsiaTheme="minorEastAsia"/>
          <w:noProof/>
        </w:rPr>
        <w:t xml:space="preserve">% in 2050 compared to </w:t>
      </w:r>
      <w:r w:rsidR="006422F5">
        <w:rPr>
          <w:rFonts w:eastAsiaTheme="minorEastAsia"/>
          <w:noProof/>
        </w:rPr>
        <w:t>STD</w:t>
      </w:r>
      <w:r>
        <w:rPr>
          <w:rFonts w:eastAsiaTheme="minorEastAsia"/>
          <w:noProof/>
        </w:rPr>
        <w:t xml:space="preserve">: this reduction affects mostly primary production, </w:t>
      </w:r>
      <w:r w:rsidR="00387C53">
        <w:rPr>
          <w:rFonts w:eastAsiaTheme="minorEastAsia"/>
          <w:noProof/>
        </w:rPr>
        <w:t>which reduced for the two materials by around half</w:t>
      </w:r>
      <w:r>
        <w:rPr>
          <w:rFonts w:eastAsiaTheme="minorEastAsia"/>
          <w:noProof/>
        </w:rPr>
        <w:t xml:space="preserve">, while secondary production remains stable or increases due to higher availability of scrap and higher recyclability. Ethylene demand, which already decreases in </w:t>
      </w:r>
      <w:r w:rsidR="006422F5">
        <w:rPr>
          <w:rFonts w:eastAsiaTheme="minorEastAsia"/>
          <w:noProof/>
        </w:rPr>
        <w:t>STD</w:t>
      </w:r>
      <w:r>
        <w:rPr>
          <w:rFonts w:eastAsiaTheme="minorEastAsia"/>
          <w:noProof/>
        </w:rPr>
        <w:t xml:space="preserve"> due to the high recycling rates, shows a possible additional reduction of around 20% in CIRC. </w:t>
      </w:r>
      <w:r w:rsidR="00B41E61">
        <w:rPr>
          <w:rFonts w:eastAsiaTheme="minorEastAsia"/>
          <w:noProof/>
        </w:rPr>
        <w:t>T</w:t>
      </w:r>
      <w:r>
        <w:rPr>
          <w:rFonts w:eastAsiaTheme="minorEastAsia"/>
          <w:noProof/>
        </w:rPr>
        <w:t>he demand in the paper and pulp sector by around 20-25% until 2050</w:t>
      </w:r>
      <w:r w:rsidR="00B41E61">
        <w:rPr>
          <w:rFonts w:eastAsiaTheme="minorEastAsia"/>
          <w:noProof/>
        </w:rPr>
        <w:t xml:space="preserve"> in CIRC</w:t>
      </w:r>
      <w:r>
        <w:rPr>
          <w:rFonts w:eastAsiaTheme="minorEastAsia"/>
          <w:noProof/>
        </w:rPr>
        <w:t>, driven mostly by an increase market share of reusable packaging and light weighting of paper packaging.</w:t>
      </w:r>
    </w:p>
    <w:p w14:paraId="1999A0CE" w14:textId="77777777" w:rsidR="00417CCB" w:rsidRPr="00417CCB" w:rsidRDefault="00417CCB" w:rsidP="00417CCB">
      <w:pPr>
        <w:autoSpaceDE w:val="0"/>
        <w:autoSpaceDN w:val="0"/>
        <w:adjustRightInd w:val="0"/>
        <w:spacing w:after="0"/>
        <w:ind w:left="-142"/>
        <w:rPr>
          <w:i/>
          <w:noProof/>
        </w:rPr>
      </w:pPr>
    </w:p>
    <w:p w14:paraId="7581BA8C" w14:textId="54A3FB2A" w:rsidR="00350C25" w:rsidRPr="00630343" w:rsidRDefault="003C4C9C" w:rsidP="00F7719F">
      <w:pPr>
        <w:pStyle w:val="Heading4"/>
        <w:rPr>
          <w:noProof/>
        </w:rPr>
      </w:pPr>
      <w:r>
        <w:rPr>
          <w:noProof/>
        </w:rPr>
        <w:t>Final Energy Consumption</w:t>
      </w:r>
    </w:p>
    <w:p w14:paraId="0CDE7131" w14:textId="3B3216C3" w:rsidR="00350C25" w:rsidRDefault="00350C25" w:rsidP="00350C25">
      <w:pPr>
        <w:rPr>
          <w:noProof/>
        </w:rPr>
      </w:pPr>
      <w:r w:rsidRPr="003D1637">
        <w:rPr>
          <w:noProof/>
        </w:rPr>
        <w:t xml:space="preserve">The resulting </w:t>
      </w:r>
      <w:r>
        <w:rPr>
          <w:noProof/>
        </w:rPr>
        <w:t>FEC</w:t>
      </w:r>
      <w:r w:rsidR="000C2C72">
        <w:rPr>
          <w:noProof/>
        </w:rPr>
        <w:t xml:space="preserve">, </w:t>
      </w:r>
      <w:r w:rsidR="00BB0768">
        <w:rPr>
          <w:noProof/>
        </w:rPr>
        <w:t>FEC-E</w:t>
      </w:r>
      <w:r w:rsidR="000C2C72">
        <w:rPr>
          <w:noProof/>
        </w:rPr>
        <w:t xml:space="preserve"> and FEC-RFNBOs</w:t>
      </w:r>
      <w:r w:rsidR="00BB0768">
        <w:rPr>
          <w:noProof/>
        </w:rPr>
        <w:t xml:space="preserve"> </w:t>
      </w:r>
      <w:r w:rsidR="00061759">
        <w:rPr>
          <w:noProof/>
        </w:rPr>
        <w:t>(hydrogen + e-fuels)</w:t>
      </w:r>
      <w:r w:rsidR="00BB0768">
        <w:rPr>
          <w:noProof/>
        </w:rPr>
        <w:t xml:space="preserve"> </w:t>
      </w:r>
      <w:r>
        <w:rPr>
          <w:noProof/>
        </w:rPr>
        <w:t xml:space="preserve">in </w:t>
      </w:r>
      <w:r w:rsidR="006422F5">
        <w:rPr>
          <w:noProof/>
        </w:rPr>
        <w:t>STD</w:t>
      </w:r>
      <w:r>
        <w:rPr>
          <w:noProof/>
        </w:rPr>
        <w:t xml:space="preserve"> and CIRC </w:t>
      </w:r>
      <w:r w:rsidRPr="003D1637">
        <w:rPr>
          <w:noProof/>
        </w:rPr>
        <w:t xml:space="preserve">scenarios </w:t>
      </w:r>
      <w:r w:rsidR="000C2D7D">
        <w:rPr>
          <w:noProof/>
        </w:rPr>
        <w:t>are</w:t>
      </w:r>
      <w:r w:rsidRPr="003D1637">
        <w:rPr>
          <w:noProof/>
        </w:rPr>
        <w:t xml:space="preserve"> shown</w:t>
      </w:r>
      <w:r>
        <w:rPr>
          <w:noProof/>
        </w:rPr>
        <w:t xml:space="preserve"> in </w:t>
      </w:r>
      <w:r w:rsidR="00793818">
        <w:rPr>
          <w:noProof/>
        </w:rPr>
        <w:fldChar w:fldCharType="begin"/>
      </w:r>
      <w:r w:rsidR="00793818">
        <w:rPr>
          <w:noProof/>
        </w:rPr>
        <w:instrText xml:space="preserve"> REF _Ref147329019 \h </w:instrText>
      </w:r>
      <w:r w:rsidR="00793818">
        <w:rPr>
          <w:noProof/>
        </w:rPr>
      </w:r>
      <w:r w:rsidR="00793818">
        <w:rPr>
          <w:noProof/>
        </w:rPr>
        <w:fldChar w:fldCharType="separate"/>
      </w:r>
      <w:r w:rsidR="00170A3C">
        <w:rPr>
          <w:noProof/>
        </w:rPr>
        <w:t>Figure 57</w:t>
      </w:r>
      <w:r w:rsidR="00793818">
        <w:rPr>
          <w:noProof/>
        </w:rPr>
        <w:fldChar w:fldCharType="end"/>
      </w:r>
      <w:r>
        <w:rPr>
          <w:noProof/>
        </w:rPr>
        <w:t xml:space="preserve">. </w:t>
      </w:r>
    </w:p>
    <w:p w14:paraId="0F571EFC" w14:textId="665C8C66" w:rsidR="00350C25" w:rsidRDefault="00350C25" w:rsidP="004A3739">
      <w:pPr>
        <w:pStyle w:val="Caption"/>
        <w:rPr>
          <w:noProof/>
        </w:rPr>
      </w:pPr>
      <w:bookmarkStart w:id="303" w:name="_Ref142550570"/>
      <w:bookmarkStart w:id="304" w:name="_Ref147329019"/>
      <w:bookmarkStart w:id="305" w:name="_Toc157679805"/>
      <w:r>
        <w:rPr>
          <w:noProof/>
        </w:rPr>
        <w:t xml:space="preserve">Figure </w:t>
      </w:r>
      <w:bookmarkEnd w:id="303"/>
      <w:r w:rsidR="00F2742D">
        <w:rPr>
          <w:noProof/>
        </w:rPr>
        <w:fldChar w:fldCharType="begin"/>
      </w:r>
      <w:r w:rsidR="00F2742D">
        <w:rPr>
          <w:noProof/>
        </w:rPr>
        <w:instrText xml:space="preserve"> SEQ Figure \* ARABIC </w:instrText>
      </w:r>
      <w:r w:rsidR="00F2742D">
        <w:rPr>
          <w:noProof/>
        </w:rPr>
        <w:fldChar w:fldCharType="separate"/>
      </w:r>
      <w:r w:rsidR="00170A3C">
        <w:rPr>
          <w:noProof/>
        </w:rPr>
        <w:t>57</w:t>
      </w:r>
      <w:r w:rsidR="00F2742D">
        <w:rPr>
          <w:noProof/>
        </w:rPr>
        <w:fldChar w:fldCharType="end"/>
      </w:r>
      <w:bookmarkEnd w:id="304"/>
      <w:r>
        <w:rPr>
          <w:noProof/>
        </w:rPr>
        <w:t xml:space="preserve">: </w:t>
      </w:r>
      <w:r w:rsidR="00F42169">
        <w:rPr>
          <w:noProof/>
        </w:rPr>
        <w:t>FEC, FEC</w:t>
      </w:r>
      <w:r w:rsidR="007C1DDC">
        <w:rPr>
          <w:noProof/>
        </w:rPr>
        <w:t>-E</w:t>
      </w:r>
      <w:r>
        <w:rPr>
          <w:noProof/>
        </w:rPr>
        <w:t xml:space="preserve"> </w:t>
      </w:r>
      <w:r w:rsidR="000C2C72">
        <w:rPr>
          <w:noProof/>
        </w:rPr>
        <w:t xml:space="preserve">and FEC-RFNBOs </w:t>
      </w:r>
      <w:r>
        <w:rPr>
          <w:noProof/>
        </w:rPr>
        <w:t xml:space="preserve">as % of </w:t>
      </w:r>
      <w:r w:rsidR="002901E5">
        <w:rPr>
          <w:noProof/>
        </w:rPr>
        <w:t>2019</w:t>
      </w:r>
      <w:bookmarkEnd w:id="305"/>
    </w:p>
    <w:p w14:paraId="4CE7543D" w14:textId="53D2A4F6" w:rsidR="00DF7AA6" w:rsidRPr="00DF7AA6" w:rsidRDefault="006422F5" w:rsidP="000C2C72">
      <w:pPr>
        <w:keepNext/>
        <w:spacing w:after="0"/>
        <w:jc w:val="center"/>
        <w:rPr>
          <w:noProof/>
        </w:rPr>
      </w:pPr>
      <w:r w:rsidRPr="006422F5">
        <w:rPr>
          <w:noProof/>
        </w:rPr>
        <w:t xml:space="preserve"> </w:t>
      </w:r>
      <w:r w:rsidRPr="006422F5">
        <w:rPr>
          <w:noProof/>
          <w:lang w:eastAsia="en-GB"/>
        </w:rPr>
        <w:drawing>
          <wp:inline distT="0" distB="0" distL="0" distR="0" wp14:anchorId="62D2DFBF" wp14:editId="2D297D25">
            <wp:extent cx="5429250" cy="2371725"/>
            <wp:effectExtent l="0" t="0" r="0" b="952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429250" cy="2371725"/>
                    </a:xfrm>
                    <a:prstGeom prst="rect">
                      <a:avLst/>
                    </a:prstGeom>
                    <a:noFill/>
                    <a:ln>
                      <a:noFill/>
                    </a:ln>
                  </pic:spPr>
                </pic:pic>
              </a:graphicData>
            </a:graphic>
          </wp:inline>
        </w:drawing>
      </w:r>
    </w:p>
    <w:p w14:paraId="72A96718" w14:textId="657BFE58" w:rsidR="00CF405F" w:rsidRDefault="00CF405F" w:rsidP="00923B34">
      <w:pPr>
        <w:pStyle w:val="CT-NOTE"/>
        <w:rPr>
          <w:noProof/>
        </w:rPr>
      </w:pPr>
      <w:r w:rsidRPr="00822700">
        <w:rPr>
          <w:noProof/>
        </w:rPr>
        <w:t xml:space="preserve">Note: </w:t>
      </w:r>
      <w:r>
        <w:rPr>
          <w:noProof/>
        </w:rPr>
        <w:t xml:space="preserve">2019 is taken as the calibration year for the FORECAST model. </w:t>
      </w:r>
    </w:p>
    <w:p w14:paraId="6CB262C8" w14:textId="1963ECEE" w:rsidR="00106770" w:rsidRPr="00C70331" w:rsidRDefault="00106770" w:rsidP="00923B34">
      <w:pPr>
        <w:pStyle w:val="CT-SOURCE"/>
        <w:rPr>
          <w:i w:val="0"/>
          <w:noProof/>
        </w:rPr>
      </w:pPr>
      <w:r w:rsidRPr="00C70331">
        <w:rPr>
          <w:noProof/>
        </w:rPr>
        <w:t xml:space="preserve">Source: </w:t>
      </w:r>
      <w:r w:rsidR="00AD7AE6">
        <w:rPr>
          <w:i w:val="0"/>
          <w:noProof/>
        </w:rPr>
        <w:t>FORECAST</w:t>
      </w:r>
      <w:r w:rsidRPr="00C70331">
        <w:rPr>
          <w:i w:val="0"/>
          <w:noProof/>
        </w:rPr>
        <w:t>.</w:t>
      </w:r>
    </w:p>
    <w:p w14:paraId="5A168FA5" w14:textId="18FB61C7" w:rsidR="00417CCB" w:rsidRDefault="00417CCB" w:rsidP="00417CCB">
      <w:pPr>
        <w:rPr>
          <w:noProof/>
        </w:rPr>
      </w:pPr>
      <w:r w:rsidRPr="003D1637">
        <w:rPr>
          <w:noProof/>
        </w:rPr>
        <w:t xml:space="preserve">A significant decrease in </w:t>
      </w:r>
      <w:r>
        <w:rPr>
          <w:noProof/>
        </w:rPr>
        <w:t xml:space="preserve">FEC in </w:t>
      </w:r>
      <w:r w:rsidR="006422F5">
        <w:rPr>
          <w:noProof/>
        </w:rPr>
        <w:t>STD</w:t>
      </w:r>
      <w:r>
        <w:rPr>
          <w:noProof/>
        </w:rPr>
        <w:t xml:space="preserve"> occurs until 2040 (around -10% vs 2019) and stabilises until 2050. This decline is given mainly by efficiency gains from the electrification of processes or the shift to hydrogen-based production, which in part compensate for the assumed growth in industrial value added. </w:t>
      </w:r>
      <w:r w:rsidR="00B41E61">
        <w:rPr>
          <w:noProof/>
        </w:rPr>
        <w:t xml:space="preserve">Additional savings </w:t>
      </w:r>
      <w:r w:rsidR="00F42169">
        <w:rPr>
          <w:noProof/>
        </w:rPr>
        <w:t>of 3</w:t>
      </w:r>
      <w:r>
        <w:rPr>
          <w:noProof/>
        </w:rPr>
        <w:t xml:space="preserve">%, 5% and 8% in 2030, 2040 and 2050 </w:t>
      </w:r>
      <w:r w:rsidR="00B41E61">
        <w:rPr>
          <w:noProof/>
        </w:rPr>
        <w:t xml:space="preserve">are achieved in CIRC </w:t>
      </w:r>
      <w:r>
        <w:rPr>
          <w:noProof/>
        </w:rPr>
        <w:t xml:space="preserve">compared to </w:t>
      </w:r>
      <w:r w:rsidR="006422F5">
        <w:rPr>
          <w:noProof/>
        </w:rPr>
        <w:t>STD</w:t>
      </w:r>
      <w:r>
        <w:rPr>
          <w:noProof/>
        </w:rPr>
        <w:t xml:space="preserve">, leading to an overall decrease of around 20% in 2050 compared to 2019. </w:t>
      </w:r>
      <w:r w:rsidRPr="00D164DD">
        <w:rPr>
          <w:noProof/>
        </w:rPr>
        <w:t xml:space="preserve">This </w:t>
      </w:r>
      <w:r>
        <w:rPr>
          <w:noProof/>
        </w:rPr>
        <w:t>trend</w:t>
      </w:r>
      <w:r w:rsidRPr="00D164DD">
        <w:rPr>
          <w:noProof/>
        </w:rPr>
        <w:t xml:space="preserve"> is </w:t>
      </w:r>
      <w:r>
        <w:rPr>
          <w:noProof/>
        </w:rPr>
        <w:t>attributed</w:t>
      </w:r>
      <w:r w:rsidRPr="00D164DD">
        <w:rPr>
          <w:noProof/>
        </w:rPr>
        <w:t xml:space="preserve"> to </w:t>
      </w:r>
      <w:r>
        <w:rPr>
          <w:noProof/>
        </w:rPr>
        <w:t xml:space="preserve">additional </w:t>
      </w:r>
      <w:r w:rsidRPr="00D164DD">
        <w:rPr>
          <w:noProof/>
        </w:rPr>
        <w:t>energy and material efficiency measures, as well as the increase in recycling-based processes</w:t>
      </w:r>
      <w:r>
        <w:rPr>
          <w:noProof/>
        </w:rPr>
        <w:t xml:space="preserve">, and confirm that impact of CE actions becomes more visible on the long term. Electricity and RFNBOs consumptions in the sector under analysis increase considerably both in </w:t>
      </w:r>
      <w:r w:rsidR="006422F5">
        <w:rPr>
          <w:noProof/>
        </w:rPr>
        <w:t>STD</w:t>
      </w:r>
      <w:r>
        <w:rPr>
          <w:noProof/>
        </w:rPr>
        <w:t xml:space="preserve"> and CIRC. In </w:t>
      </w:r>
      <w:r w:rsidR="006422F5">
        <w:rPr>
          <w:noProof/>
        </w:rPr>
        <w:t>STD</w:t>
      </w:r>
      <w:r>
        <w:rPr>
          <w:noProof/>
        </w:rPr>
        <w:t xml:space="preserve">, FEC-E grows by around 21%, 55% and 68% in 2030, 2040 and 2050 compared to 2019, and FEC-RFNBOs rises from 0 to 1%, 6% and 15% in the same years. </w:t>
      </w:r>
      <w:r w:rsidR="00B41E61">
        <w:rPr>
          <w:noProof/>
        </w:rPr>
        <w:t>C</w:t>
      </w:r>
      <w:r>
        <w:rPr>
          <w:noProof/>
        </w:rPr>
        <w:t xml:space="preserve">IRC allows for lower consumption, leading to electricity savings of around 3-4% in 2030-2040 and up to 6% in 2050, and RFNBOs savings of around 1% in 2040 and 3% in 2050 (with respect to </w:t>
      </w:r>
      <w:r w:rsidR="006422F5">
        <w:rPr>
          <w:noProof/>
        </w:rPr>
        <w:t>STD</w:t>
      </w:r>
      <w:r>
        <w:rPr>
          <w:noProof/>
        </w:rPr>
        <w:t xml:space="preserve">). </w:t>
      </w:r>
    </w:p>
    <w:p w14:paraId="3EAD41A9" w14:textId="0EDCABFC" w:rsidR="008150DB" w:rsidRDefault="008150DB" w:rsidP="00B03008">
      <w:pPr>
        <w:rPr>
          <w:noProof/>
        </w:rPr>
      </w:pPr>
      <w:r>
        <w:rPr>
          <w:noProof/>
        </w:rPr>
        <w:t>The share of FEC a</w:t>
      </w:r>
      <w:r w:rsidR="00D21174">
        <w:rPr>
          <w:noProof/>
        </w:rPr>
        <w:t>cross energy carriers also changes</w:t>
      </w:r>
      <w:r w:rsidR="00D64004">
        <w:rPr>
          <w:noProof/>
        </w:rPr>
        <w:t xml:space="preserve"> (</w:t>
      </w:r>
      <w:r w:rsidR="00D64004">
        <w:rPr>
          <w:noProof/>
        </w:rPr>
        <w:fldChar w:fldCharType="begin"/>
      </w:r>
      <w:r w:rsidR="00D64004">
        <w:rPr>
          <w:noProof/>
        </w:rPr>
        <w:instrText xml:space="preserve"> REF _Ref144976598 \h </w:instrText>
      </w:r>
      <w:r w:rsidR="00B03008">
        <w:rPr>
          <w:noProof/>
        </w:rPr>
        <w:instrText xml:space="preserve"> \* MERGEFORMAT </w:instrText>
      </w:r>
      <w:r w:rsidR="00D64004">
        <w:rPr>
          <w:noProof/>
        </w:rPr>
      </w:r>
      <w:r w:rsidR="00D64004">
        <w:rPr>
          <w:noProof/>
        </w:rPr>
        <w:fldChar w:fldCharType="separate"/>
      </w:r>
      <w:r w:rsidR="00170A3C">
        <w:rPr>
          <w:noProof/>
        </w:rPr>
        <w:t>Figure 58</w:t>
      </w:r>
      <w:r w:rsidR="00D64004">
        <w:rPr>
          <w:noProof/>
        </w:rPr>
        <w:fldChar w:fldCharType="end"/>
      </w:r>
      <w:r w:rsidR="00D64004">
        <w:rPr>
          <w:noProof/>
        </w:rPr>
        <w:t>)</w:t>
      </w:r>
      <w:r w:rsidR="00D21174">
        <w:rPr>
          <w:noProof/>
        </w:rPr>
        <w:t xml:space="preserve">. </w:t>
      </w:r>
      <w:r>
        <w:rPr>
          <w:noProof/>
        </w:rPr>
        <w:t>As result of decrease of FEC and increase of FEC-E, electricity becomes the dominant energy carrier, growing from around 30% of FEC share in 2019, to above 50% already in 2040 and up to around 65% in 2050.</w:t>
      </w:r>
      <w:r w:rsidR="004C57F7">
        <w:rPr>
          <w:noProof/>
        </w:rPr>
        <w:t xml:space="preserve"> </w:t>
      </w:r>
      <w:r w:rsidR="00B03008">
        <w:rPr>
          <w:noProof/>
        </w:rPr>
        <w:t xml:space="preserve">To replace fossil fuels in processes where electrification is </w:t>
      </w:r>
      <w:r w:rsidR="00F97DDB">
        <w:rPr>
          <w:noProof/>
        </w:rPr>
        <w:t>currently</w:t>
      </w:r>
      <w:r w:rsidR="00B03008">
        <w:rPr>
          <w:noProof/>
        </w:rPr>
        <w:t xml:space="preserve"> not viable, t</w:t>
      </w:r>
      <w:r w:rsidR="004C57F7">
        <w:rPr>
          <w:noProof/>
        </w:rPr>
        <w:t>he amount of</w:t>
      </w:r>
      <w:r w:rsidR="00962DA6">
        <w:rPr>
          <w:noProof/>
        </w:rPr>
        <w:t xml:space="preserve"> </w:t>
      </w:r>
      <w:r w:rsidR="00061759">
        <w:rPr>
          <w:noProof/>
        </w:rPr>
        <w:t>RFNBOs</w:t>
      </w:r>
      <w:r w:rsidR="00962DA6">
        <w:rPr>
          <w:noProof/>
        </w:rPr>
        <w:t xml:space="preserve"> </w:t>
      </w:r>
      <w:r w:rsidR="003D574A">
        <w:rPr>
          <w:noProof/>
        </w:rPr>
        <w:t xml:space="preserve">increases </w:t>
      </w:r>
      <w:r w:rsidR="004A3739">
        <w:rPr>
          <w:noProof/>
        </w:rPr>
        <w:t>in absolute terms and as share of FEC,</w:t>
      </w:r>
      <w:r w:rsidR="003D574A">
        <w:rPr>
          <w:noProof/>
        </w:rPr>
        <w:t xml:space="preserve"> </w:t>
      </w:r>
      <w:r w:rsidR="0051529A">
        <w:rPr>
          <w:noProof/>
        </w:rPr>
        <w:t xml:space="preserve">growing from around 1% in 2030, to </w:t>
      </w:r>
      <w:r w:rsidR="000664EF">
        <w:rPr>
          <w:noProof/>
        </w:rPr>
        <w:t>above 5% in 2040 and above 10% in 2050.</w:t>
      </w:r>
      <w:r w:rsidR="00AC31FD">
        <w:rPr>
          <w:noProof/>
        </w:rPr>
        <w:t xml:space="preserve"> </w:t>
      </w:r>
      <w:r w:rsidR="00263D00">
        <w:rPr>
          <w:noProof/>
        </w:rPr>
        <w:t>When comparing the two scenarios</w:t>
      </w:r>
      <w:r w:rsidR="00061759">
        <w:rPr>
          <w:noProof/>
        </w:rPr>
        <w:t xml:space="preserve"> in relative terms</w:t>
      </w:r>
      <w:r w:rsidR="00061759" w:rsidRPr="00061759">
        <w:rPr>
          <w:noProof/>
        </w:rPr>
        <w:t> (</w:t>
      </w:r>
      <w:r w:rsidR="00061759">
        <w:rPr>
          <w:rStyle w:val="FootnoteReference"/>
          <w:noProof/>
        </w:rPr>
        <w:footnoteReference w:id="109"/>
      </w:r>
      <w:r w:rsidR="00061759">
        <w:rPr>
          <w:noProof/>
        </w:rPr>
        <w:t>)</w:t>
      </w:r>
      <w:r w:rsidR="00263D00">
        <w:rPr>
          <w:noProof/>
        </w:rPr>
        <w:t xml:space="preserve">, </w:t>
      </w:r>
      <w:r w:rsidR="00ED7256">
        <w:rPr>
          <w:noProof/>
        </w:rPr>
        <w:t xml:space="preserve">the </w:t>
      </w:r>
      <w:r w:rsidR="004A3739">
        <w:rPr>
          <w:noProof/>
        </w:rPr>
        <w:t xml:space="preserve">shares for the </w:t>
      </w:r>
      <w:r w:rsidR="00ED7256">
        <w:rPr>
          <w:noProof/>
        </w:rPr>
        <w:t xml:space="preserve">two energy carriers behave differently: </w:t>
      </w:r>
      <w:r w:rsidR="00A06656">
        <w:rPr>
          <w:noProof/>
        </w:rPr>
        <w:t xml:space="preserve">in CIRC, </w:t>
      </w:r>
      <w:r w:rsidR="00570240">
        <w:rPr>
          <w:noProof/>
        </w:rPr>
        <w:t xml:space="preserve">CE </w:t>
      </w:r>
      <w:r w:rsidR="00F97DDB">
        <w:rPr>
          <w:noProof/>
        </w:rPr>
        <w:t>actions</w:t>
      </w:r>
      <w:r w:rsidR="00570240">
        <w:rPr>
          <w:noProof/>
        </w:rPr>
        <w:t xml:space="preserve"> </w:t>
      </w:r>
      <w:r w:rsidR="00214262">
        <w:rPr>
          <w:noProof/>
        </w:rPr>
        <w:t>boost electricity</w:t>
      </w:r>
      <w:r w:rsidR="004A3739">
        <w:rPr>
          <w:noProof/>
        </w:rPr>
        <w:t xml:space="preserve"> share</w:t>
      </w:r>
      <w:r w:rsidR="00214262">
        <w:rPr>
          <w:noProof/>
        </w:rPr>
        <w:t xml:space="preserve"> </w:t>
      </w:r>
      <w:r w:rsidR="006307AE">
        <w:rPr>
          <w:noProof/>
        </w:rPr>
        <w:t>by around 1%</w:t>
      </w:r>
      <w:r w:rsidR="002E5B41">
        <w:rPr>
          <w:noProof/>
        </w:rPr>
        <w:t xml:space="preserve"> in 2040 and 2050</w:t>
      </w:r>
      <w:r w:rsidR="00B82CB9">
        <w:rPr>
          <w:noProof/>
        </w:rPr>
        <w:t xml:space="preserve"> when compared to the</w:t>
      </w:r>
      <w:r w:rsidR="004A3739">
        <w:rPr>
          <w:noProof/>
        </w:rPr>
        <w:t xml:space="preserve"> shares of the</w:t>
      </w:r>
      <w:r w:rsidR="00B82CB9">
        <w:rPr>
          <w:noProof/>
        </w:rPr>
        <w:t xml:space="preserve"> same years in </w:t>
      </w:r>
      <w:r w:rsidR="006422F5">
        <w:rPr>
          <w:noProof/>
        </w:rPr>
        <w:t>STD</w:t>
      </w:r>
      <w:r w:rsidR="002E5B41">
        <w:rPr>
          <w:noProof/>
        </w:rPr>
        <w:t xml:space="preserve">, </w:t>
      </w:r>
      <w:r w:rsidR="00194BD1">
        <w:rPr>
          <w:noProof/>
        </w:rPr>
        <w:t xml:space="preserve">while </w:t>
      </w:r>
      <w:r w:rsidR="004A3739">
        <w:rPr>
          <w:noProof/>
        </w:rPr>
        <w:t>share</w:t>
      </w:r>
      <w:r w:rsidR="002E5B41">
        <w:rPr>
          <w:noProof/>
        </w:rPr>
        <w:t xml:space="preserve"> of </w:t>
      </w:r>
      <w:r w:rsidR="00061759">
        <w:rPr>
          <w:noProof/>
        </w:rPr>
        <w:t>RFNBOs</w:t>
      </w:r>
      <w:r w:rsidR="002E5B41">
        <w:rPr>
          <w:noProof/>
        </w:rPr>
        <w:t xml:space="preserve"> </w:t>
      </w:r>
      <w:r w:rsidR="00206A2B">
        <w:rPr>
          <w:noProof/>
        </w:rPr>
        <w:t xml:space="preserve">reduces by 1% and 3% respectively in 2040 and 2050. </w:t>
      </w:r>
      <w:r w:rsidR="003B06D6">
        <w:rPr>
          <w:noProof/>
        </w:rPr>
        <w:t xml:space="preserve">This </w:t>
      </w:r>
      <w:r w:rsidR="00931C45">
        <w:rPr>
          <w:noProof/>
        </w:rPr>
        <w:t>indicates</w:t>
      </w:r>
      <w:r w:rsidR="003B06D6">
        <w:rPr>
          <w:noProof/>
        </w:rPr>
        <w:t xml:space="preserve"> that </w:t>
      </w:r>
      <w:r w:rsidR="00125086">
        <w:rPr>
          <w:noProof/>
        </w:rPr>
        <w:t xml:space="preserve">CE </w:t>
      </w:r>
      <w:r w:rsidR="00B82CB9">
        <w:rPr>
          <w:noProof/>
        </w:rPr>
        <w:t>actions</w:t>
      </w:r>
      <w:r w:rsidR="004A3739">
        <w:rPr>
          <w:noProof/>
        </w:rPr>
        <w:t xml:space="preserve">, in addition to reducing overall FEC, </w:t>
      </w:r>
      <w:r w:rsidR="003327F8">
        <w:rPr>
          <w:noProof/>
        </w:rPr>
        <w:t xml:space="preserve">especially contributes </w:t>
      </w:r>
      <w:r w:rsidR="00073642">
        <w:rPr>
          <w:noProof/>
        </w:rPr>
        <w:t>to</w:t>
      </w:r>
      <w:r w:rsidR="003327F8">
        <w:rPr>
          <w:noProof/>
        </w:rPr>
        <w:t xml:space="preserve"> reduc</w:t>
      </w:r>
      <w:r w:rsidR="00073642">
        <w:rPr>
          <w:noProof/>
        </w:rPr>
        <w:t>e</w:t>
      </w:r>
      <w:r w:rsidR="003327F8">
        <w:rPr>
          <w:noProof/>
        </w:rPr>
        <w:t xml:space="preserve"> </w:t>
      </w:r>
      <w:r w:rsidR="00061759">
        <w:rPr>
          <w:noProof/>
        </w:rPr>
        <w:t>the</w:t>
      </w:r>
      <w:r w:rsidR="004A3739">
        <w:rPr>
          <w:noProof/>
        </w:rPr>
        <w:t xml:space="preserve"> </w:t>
      </w:r>
      <w:r w:rsidR="003327F8">
        <w:rPr>
          <w:noProof/>
        </w:rPr>
        <w:t xml:space="preserve">final energy demand </w:t>
      </w:r>
      <w:r w:rsidR="00061759">
        <w:rPr>
          <w:noProof/>
        </w:rPr>
        <w:t>(and relative FEC shares)</w:t>
      </w:r>
      <w:r w:rsidR="003327F8">
        <w:rPr>
          <w:noProof/>
        </w:rPr>
        <w:t xml:space="preserve"> </w:t>
      </w:r>
      <w:r w:rsidR="004A3739">
        <w:rPr>
          <w:noProof/>
        </w:rPr>
        <w:t>for</w:t>
      </w:r>
      <w:r w:rsidR="008F4E06">
        <w:rPr>
          <w:noProof/>
        </w:rPr>
        <w:t xml:space="preserve"> </w:t>
      </w:r>
      <w:r w:rsidR="00D218A8">
        <w:rPr>
          <w:noProof/>
        </w:rPr>
        <w:t>carriers</w:t>
      </w:r>
      <w:r w:rsidR="006707DD">
        <w:rPr>
          <w:noProof/>
        </w:rPr>
        <w:t xml:space="preserve"> that are more expensive or more complex to implement</w:t>
      </w:r>
      <w:r w:rsidR="00154F47">
        <w:rPr>
          <w:noProof/>
        </w:rPr>
        <w:t xml:space="preserve">, </w:t>
      </w:r>
      <w:r w:rsidR="00D218A8">
        <w:rPr>
          <w:noProof/>
        </w:rPr>
        <w:t xml:space="preserve">like hydrogen and e-fuels. </w:t>
      </w:r>
      <w:r w:rsidR="004A3739">
        <w:rPr>
          <w:noProof/>
        </w:rPr>
        <w:t xml:space="preserve">A similar effect of reduction of hydrogen and e-fuels due to circular economy actions could be witnessed also in the final non-energy consumption (see </w:t>
      </w:r>
      <w:r w:rsidR="004A3739">
        <w:rPr>
          <w:noProof/>
        </w:rPr>
        <w:fldChar w:fldCharType="begin"/>
      </w:r>
      <w:r w:rsidR="004A3739">
        <w:rPr>
          <w:noProof/>
        </w:rPr>
        <w:instrText xml:space="preserve"> REF _Ref146096027 \r \h </w:instrText>
      </w:r>
      <w:r w:rsidR="004A3739">
        <w:rPr>
          <w:noProof/>
        </w:rPr>
      </w:r>
      <w:r w:rsidR="004A3739">
        <w:rPr>
          <w:noProof/>
        </w:rPr>
        <w:fldChar w:fldCharType="separate"/>
      </w:r>
      <w:r w:rsidR="00170A3C">
        <w:rPr>
          <w:noProof/>
        </w:rPr>
        <w:t>1.4.4</w:t>
      </w:r>
      <w:r w:rsidR="004A3739">
        <w:rPr>
          <w:noProof/>
        </w:rPr>
        <w:fldChar w:fldCharType="end"/>
      </w:r>
      <w:r w:rsidR="004A3739">
        <w:rPr>
          <w:noProof/>
        </w:rPr>
        <w:t xml:space="preserve"> in this Annex).</w:t>
      </w:r>
    </w:p>
    <w:p w14:paraId="678295D8" w14:textId="799A1E92" w:rsidR="00EC76CB" w:rsidRDefault="00EC76CB" w:rsidP="00EC76CB">
      <w:pPr>
        <w:pStyle w:val="Caption"/>
        <w:jc w:val="left"/>
        <w:rPr>
          <w:noProof/>
        </w:rPr>
      </w:pPr>
      <w:bookmarkStart w:id="306" w:name="_Ref144976598"/>
      <w:bookmarkStart w:id="307" w:name="_Toc157679806"/>
      <w:r>
        <w:rPr>
          <w:noProof/>
        </w:rPr>
        <w:t xml:space="preserve">Figure </w:t>
      </w:r>
      <w:r>
        <w:rPr>
          <w:noProof/>
        </w:rPr>
        <w:fldChar w:fldCharType="begin"/>
      </w:r>
      <w:r>
        <w:rPr>
          <w:noProof/>
        </w:rPr>
        <w:instrText>SEQ Figure \* ARABIC</w:instrText>
      </w:r>
      <w:r>
        <w:rPr>
          <w:noProof/>
        </w:rPr>
        <w:fldChar w:fldCharType="separate"/>
      </w:r>
      <w:r w:rsidR="00170A3C">
        <w:rPr>
          <w:noProof/>
        </w:rPr>
        <w:t>58</w:t>
      </w:r>
      <w:r>
        <w:rPr>
          <w:noProof/>
        </w:rPr>
        <w:fldChar w:fldCharType="end"/>
      </w:r>
      <w:bookmarkEnd w:id="306"/>
      <w:r>
        <w:rPr>
          <w:noProof/>
        </w:rPr>
        <w:t>: Share of electricity</w:t>
      </w:r>
      <w:r w:rsidR="00061759">
        <w:rPr>
          <w:noProof/>
        </w:rPr>
        <w:t xml:space="preserve"> and RFNBOs </w:t>
      </w:r>
      <w:r>
        <w:rPr>
          <w:noProof/>
        </w:rPr>
        <w:t>in FEC</w:t>
      </w:r>
      <w:bookmarkEnd w:id="307"/>
    </w:p>
    <w:p w14:paraId="2112737B" w14:textId="0DFB3993" w:rsidR="002C658A" w:rsidRDefault="006422F5" w:rsidP="004A3739">
      <w:pPr>
        <w:keepNext/>
        <w:jc w:val="left"/>
        <w:rPr>
          <w:rFonts w:ascii="EC Square Sans Cond Pro" w:eastAsiaTheme="minorEastAsia" w:hAnsi="EC Square Sans Cond Pro" w:cs="Avenir Next LT Pro"/>
          <w:i/>
          <w:noProof/>
          <w:sz w:val="22"/>
          <w:szCs w:val="22"/>
          <w:lang w:val="en-IE" w:eastAsia="en-US"/>
        </w:rPr>
      </w:pPr>
      <w:r w:rsidRPr="006422F5">
        <w:rPr>
          <w:rFonts w:ascii="EC Square Sans Cond Pro" w:eastAsiaTheme="minorEastAsia" w:hAnsi="EC Square Sans Cond Pro" w:cs="Avenir Next LT Pro"/>
          <w:i/>
          <w:noProof/>
          <w:sz w:val="22"/>
          <w:szCs w:val="22"/>
          <w:lang w:val="en-IE" w:eastAsia="en-US"/>
        </w:rPr>
        <w:t xml:space="preserve"> </w:t>
      </w:r>
      <w:r w:rsidRPr="006422F5">
        <w:rPr>
          <w:noProof/>
          <w:lang w:eastAsia="en-GB"/>
        </w:rPr>
        <w:drawing>
          <wp:inline distT="0" distB="0" distL="0" distR="0" wp14:anchorId="4C8E083D" wp14:editId="36DE99F7">
            <wp:extent cx="5429250" cy="2657475"/>
            <wp:effectExtent l="0" t="0" r="0" b="952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429250" cy="2657475"/>
                    </a:xfrm>
                    <a:prstGeom prst="rect">
                      <a:avLst/>
                    </a:prstGeom>
                    <a:noFill/>
                    <a:ln>
                      <a:noFill/>
                    </a:ln>
                  </pic:spPr>
                </pic:pic>
              </a:graphicData>
            </a:graphic>
          </wp:inline>
        </w:drawing>
      </w:r>
    </w:p>
    <w:p w14:paraId="44857131" w14:textId="35CDA3FC" w:rsidR="003338E3" w:rsidRDefault="005E7B9A" w:rsidP="00923B34">
      <w:pPr>
        <w:pStyle w:val="CT-NOTE"/>
        <w:rPr>
          <w:noProof/>
        </w:rPr>
      </w:pPr>
      <w:r w:rsidRPr="00822700">
        <w:rPr>
          <w:noProof/>
        </w:rPr>
        <w:t xml:space="preserve">Note: </w:t>
      </w:r>
      <w:r w:rsidR="006422F5">
        <w:rPr>
          <w:noProof/>
        </w:rPr>
        <w:t>STD</w:t>
      </w:r>
      <w:r w:rsidR="00061759">
        <w:rPr>
          <w:noProof/>
        </w:rPr>
        <w:t xml:space="preserve"> and CIRC shows different FEC, meaning that the comparison between FEC shares in </w:t>
      </w:r>
      <w:r w:rsidR="006422F5">
        <w:rPr>
          <w:noProof/>
        </w:rPr>
        <w:t>STD</w:t>
      </w:r>
      <w:r w:rsidR="00061759">
        <w:rPr>
          <w:noProof/>
        </w:rPr>
        <w:t xml:space="preserve"> and CIRC can only apply in relative terms.</w:t>
      </w:r>
      <w:r w:rsidRPr="00822700">
        <w:rPr>
          <w:noProof/>
        </w:rPr>
        <w:t xml:space="preserve"> </w:t>
      </w:r>
      <w:r>
        <w:rPr>
          <w:noProof/>
        </w:rPr>
        <w:t>A phase out of fossil fuel to less than 3% share of FEC in 2050 is projected</w:t>
      </w:r>
      <w:r w:rsidR="00061759">
        <w:rPr>
          <w:noProof/>
        </w:rPr>
        <w:t>, and t</w:t>
      </w:r>
      <w:r w:rsidR="00DD50FE">
        <w:rPr>
          <w:noProof/>
        </w:rPr>
        <w:t xml:space="preserve">he rest of FEC is covered by other RES sources. </w:t>
      </w:r>
      <w:r>
        <w:rPr>
          <w:noProof/>
        </w:rPr>
        <w:t xml:space="preserve">2019 is taken as the calibration year for the FORECAST model. </w:t>
      </w:r>
    </w:p>
    <w:p w14:paraId="6F661069" w14:textId="77777777" w:rsidR="00D64004" w:rsidRDefault="00D64004" w:rsidP="00923B34">
      <w:pPr>
        <w:pStyle w:val="CT-SOURCE"/>
        <w:rPr>
          <w:i w:val="0"/>
          <w:noProof/>
        </w:rPr>
      </w:pPr>
      <w:r w:rsidRPr="00C70331">
        <w:rPr>
          <w:noProof/>
        </w:rPr>
        <w:t xml:space="preserve">Source: </w:t>
      </w:r>
      <w:r>
        <w:rPr>
          <w:i w:val="0"/>
          <w:noProof/>
        </w:rPr>
        <w:t>FORECAST</w:t>
      </w:r>
      <w:r w:rsidRPr="00C70331">
        <w:rPr>
          <w:i w:val="0"/>
          <w:noProof/>
        </w:rPr>
        <w:t>.</w:t>
      </w:r>
    </w:p>
    <w:p w14:paraId="37BAD842" w14:textId="357E28AA" w:rsidR="00350C25" w:rsidRPr="00E325DB" w:rsidRDefault="00CE50FA" w:rsidP="00F7719F">
      <w:pPr>
        <w:pStyle w:val="Heading4"/>
        <w:rPr>
          <w:noProof/>
        </w:rPr>
      </w:pPr>
      <w:r>
        <w:rPr>
          <w:noProof/>
        </w:rPr>
        <w:t xml:space="preserve">GHG </w:t>
      </w:r>
      <w:r w:rsidR="00350C25" w:rsidRPr="00E325DB">
        <w:rPr>
          <w:noProof/>
        </w:rPr>
        <w:t>Emissions</w:t>
      </w:r>
    </w:p>
    <w:p w14:paraId="160728A2" w14:textId="6A9ED81E" w:rsidR="00350C25" w:rsidRDefault="002425BA" w:rsidP="00350C25">
      <w:pPr>
        <w:rPr>
          <w:rFonts w:cstheme="minorHAnsi"/>
          <w:noProof/>
        </w:rPr>
      </w:pPr>
      <w:r w:rsidRPr="002425BA">
        <w:rPr>
          <w:rFonts w:cstheme="minorHAnsi"/>
          <w:noProof/>
          <w:highlight w:val="yellow"/>
        </w:rPr>
        <w:fldChar w:fldCharType="begin"/>
      </w:r>
      <w:r w:rsidRPr="002425BA">
        <w:rPr>
          <w:rFonts w:cstheme="minorHAnsi"/>
          <w:noProof/>
          <w:highlight w:val="yellow"/>
        </w:rPr>
        <w:instrText xml:space="preserve"> REF _Ref142570640 \h </w:instrText>
      </w:r>
      <w:r>
        <w:rPr>
          <w:rFonts w:cstheme="minorHAnsi"/>
          <w:noProof/>
          <w:highlight w:val="yellow"/>
        </w:rPr>
        <w:instrText xml:space="preserve"> \* MERGEFORMAT </w:instrText>
      </w:r>
      <w:r w:rsidRPr="002425BA">
        <w:rPr>
          <w:rFonts w:cstheme="minorHAnsi"/>
          <w:noProof/>
          <w:highlight w:val="yellow"/>
        </w:rPr>
      </w:r>
      <w:r w:rsidRPr="002425BA">
        <w:rPr>
          <w:rFonts w:cstheme="minorHAnsi"/>
          <w:noProof/>
          <w:highlight w:val="yellow"/>
        </w:rPr>
        <w:fldChar w:fldCharType="separate"/>
      </w:r>
      <w:r w:rsidR="00170A3C" w:rsidRPr="00921E9F">
        <w:rPr>
          <w:noProof/>
        </w:rPr>
        <w:t xml:space="preserve">Figure </w:t>
      </w:r>
      <w:r w:rsidR="00170A3C">
        <w:rPr>
          <w:noProof/>
        </w:rPr>
        <w:t>59</w:t>
      </w:r>
      <w:r w:rsidRPr="002425BA">
        <w:rPr>
          <w:rFonts w:cstheme="minorHAnsi"/>
          <w:noProof/>
          <w:highlight w:val="yellow"/>
        </w:rPr>
        <w:fldChar w:fldCharType="end"/>
      </w:r>
      <w:r w:rsidR="00350C25">
        <w:rPr>
          <w:rFonts w:cstheme="minorHAnsi"/>
          <w:noProof/>
        </w:rPr>
        <w:t xml:space="preserve"> shows the evolution of GHG emissions in the industrial sector. </w:t>
      </w:r>
      <w:r w:rsidR="00297275">
        <w:rPr>
          <w:rFonts w:cstheme="minorHAnsi"/>
          <w:noProof/>
        </w:rPr>
        <w:t xml:space="preserve">In </w:t>
      </w:r>
      <w:r w:rsidR="006422F5">
        <w:rPr>
          <w:rFonts w:cstheme="minorHAnsi"/>
          <w:noProof/>
        </w:rPr>
        <w:t>STD</w:t>
      </w:r>
      <w:r w:rsidR="00297275">
        <w:rPr>
          <w:rFonts w:cstheme="minorHAnsi"/>
          <w:noProof/>
        </w:rPr>
        <w:t>,</w:t>
      </w:r>
      <w:r w:rsidR="00350C25">
        <w:rPr>
          <w:rFonts w:cstheme="minorHAnsi"/>
          <w:noProof/>
        </w:rPr>
        <w:t xml:space="preserve"> net GHG </w:t>
      </w:r>
      <w:r w:rsidR="00297275">
        <w:rPr>
          <w:rFonts w:cstheme="minorHAnsi"/>
          <w:noProof/>
        </w:rPr>
        <w:t>emissions reduce</w:t>
      </w:r>
      <w:r w:rsidR="00350C25">
        <w:rPr>
          <w:rFonts w:cstheme="minorHAnsi"/>
          <w:noProof/>
        </w:rPr>
        <w:t xml:space="preserve"> </w:t>
      </w:r>
      <w:r w:rsidR="00CA6BB1">
        <w:rPr>
          <w:rFonts w:cstheme="minorHAnsi"/>
          <w:noProof/>
        </w:rPr>
        <w:t xml:space="preserve">by </w:t>
      </w:r>
      <w:r w:rsidR="00CF482B">
        <w:rPr>
          <w:rFonts w:cstheme="minorHAnsi"/>
          <w:noProof/>
        </w:rPr>
        <w:t>29%</w:t>
      </w:r>
      <w:r w:rsidR="0082067E">
        <w:rPr>
          <w:rFonts w:cstheme="minorHAnsi"/>
          <w:noProof/>
        </w:rPr>
        <w:t xml:space="preserve">, </w:t>
      </w:r>
      <w:r w:rsidR="00A929E2">
        <w:rPr>
          <w:rFonts w:cstheme="minorHAnsi"/>
          <w:noProof/>
        </w:rPr>
        <w:t>69</w:t>
      </w:r>
      <w:r w:rsidR="0082067E">
        <w:rPr>
          <w:rFonts w:cstheme="minorHAnsi"/>
          <w:noProof/>
        </w:rPr>
        <w:t xml:space="preserve">% and </w:t>
      </w:r>
      <w:r w:rsidR="00A929E2">
        <w:rPr>
          <w:rFonts w:cstheme="minorHAnsi"/>
          <w:noProof/>
        </w:rPr>
        <w:t>90</w:t>
      </w:r>
      <w:r w:rsidR="0082067E">
        <w:rPr>
          <w:rFonts w:cstheme="minorHAnsi"/>
          <w:noProof/>
        </w:rPr>
        <w:t>%</w:t>
      </w:r>
      <w:r w:rsidR="00350C25">
        <w:rPr>
          <w:rFonts w:cstheme="minorHAnsi"/>
          <w:noProof/>
        </w:rPr>
        <w:t xml:space="preserve"> in </w:t>
      </w:r>
      <w:r w:rsidR="0082067E">
        <w:rPr>
          <w:rFonts w:cstheme="minorHAnsi"/>
          <w:noProof/>
        </w:rPr>
        <w:t>2030, 2040 and 2050 compared to 2019</w:t>
      </w:r>
      <w:r w:rsidR="00350C25">
        <w:rPr>
          <w:rFonts w:cstheme="minorHAnsi"/>
          <w:noProof/>
        </w:rPr>
        <w:t xml:space="preserve">. </w:t>
      </w:r>
      <w:r w:rsidR="00443EC4">
        <w:rPr>
          <w:rFonts w:cstheme="minorHAnsi"/>
          <w:noProof/>
        </w:rPr>
        <w:t xml:space="preserve">GHG emissions in the CIRC scenario </w:t>
      </w:r>
      <w:r w:rsidR="00D0419D">
        <w:rPr>
          <w:rFonts w:cstheme="minorHAnsi"/>
          <w:noProof/>
        </w:rPr>
        <w:t>red</w:t>
      </w:r>
      <w:r w:rsidR="00897B0F">
        <w:rPr>
          <w:rFonts w:cstheme="minorHAnsi"/>
          <w:noProof/>
        </w:rPr>
        <w:t>uce</w:t>
      </w:r>
      <w:r w:rsidR="00443EC4">
        <w:rPr>
          <w:rFonts w:cstheme="minorHAnsi"/>
          <w:noProof/>
        </w:rPr>
        <w:t xml:space="preserve"> </w:t>
      </w:r>
      <w:r w:rsidR="000D1ED1">
        <w:rPr>
          <w:rFonts w:cstheme="minorHAnsi"/>
          <w:noProof/>
        </w:rPr>
        <w:t>by 31%, 72% and 91% for the same years</w:t>
      </w:r>
      <w:r w:rsidR="00787E43">
        <w:rPr>
          <w:rFonts w:cstheme="minorHAnsi"/>
          <w:noProof/>
        </w:rPr>
        <w:t xml:space="preserve">. </w:t>
      </w:r>
    </w:p>
    <w:p w14:paraId="7005FE33" w14:textId="3E131A10" w:rsidR="007A06D8" w:rsidRDefault="00350C25" w:rsidP="00350C25">
      <w:pPr>
        <w:rPr>
          <w:noProof/>
          <w:lang w:val="en-US"/>
        </w:rPr>
      </w:pPr>
      <w:r>
        <w:rPr>
          <w:rFonts w:cstheme="minorHAnsi"/>
          <w:noProof/>
        </w:rPr>
        <w:t xml:space="preserve">Energy-related emissions decrease in </w:t>
      </w:r>
      <w:r w:rsidR="006422F5">
        <w:rPr>
          <w:rFonts w:cstheme="minorHAnsi"/>
          <w:noProof/>
        </w:rPr>
        <w:t>STD</w:t>
      </w:r>
      <w:r w:rsidR="000E4F05">
        <w:rPr>
          <w:rFonts w:cstheme="minorHAnsi"/>
          <w:noProof/>
        </w:rPr>
        <w:t xml:space="preserve"> in line with </w:t>
      </w:r>
      <w:r>
        <w:rPr>
          <w:rFonts w:cstheme="minorHAnsi"/>
          <w:noProof/>
        </w:rPr>
        <w:t xml:space="preserve">the </w:t>
      </w:r>
      <w:r w:rsidR="00F26762">
        <w:rPr>
          <w:rFonts w:cstheme="minorHAnsi"/>
          <w:noProof/>
        </w:rPr>
        <w:t xml:space="preserve">strong electrification </w:t>
      </w:r>
      <w:r>
        <w:rPr>
          <w:rFonts w:cstheme="minorHAnsi"/>
          <w:noProof/>
        </w:rPr>
        <w:t xml:space="preserve">of the power system and the reduction of energy needs. </w:t>
      </w:r>
      <w:r w:rsidR="00B41E61">
        <w:rPr>
          <w:rFonts w:cstheme="minorHAnsi"/>
          <w:noProof/>
        </w:rPr>
        <w:t xml:space="preserve">In an already well decarbonised sector, the CIRC assumptions </w:t>
      </w:r>
      <w:r>
        <w:rPr>
          <w:rFonts w:cstheme="minorHAnsi"/>
          <w:noProof/>
        </w:rPr>
        <w:t xml:space="preserve">can further decrease </w:t>
      </w:r>
      <w:r w:rsidR="00B41E61">
        <w:rPr>
          <w:rFonts w:cstheme="minorHAnsi"/>
          <w:noProof/>
        </w:rPr>
        <w:t>energy-related</w:t>
      </w:r>
      <w:r>
        <w:rPr>
          <w:rFonts w:cstheme="minorHAnsi"/>
          <w:noProof/>
        </w:rPr>
        <w:t xml:space="preserve"> emissions </w:t>
      </w:r>
      <w:r w:rsidR="00F60E57">
        <w:rPr>
          <w:rFonts w:cstheme="minorHAnsi"/>
          <w:noProof/>
        </w:rPr>
        <w:t xml:space="preserve">by around </w:t>
      </w:r>
      <w:r w:rsidR="000A59D4">
        <w:rPr>
          <w:rFonts w:cstheme="minorHAnsi"/>
          <w:noProof/>
        </w:rPr>
        <w:t>7</w:t>
      </w:r>
      <w:r w:rsidR="00F60E57">
        <w:rPr>
          <w:rFonts w:cstheme="minorHAnsi"/>
          <w:noProof/>
        </w:rPr>
        <w:t>%</w:t>
      </w:r>
      <w:r w:rsidR="000A59D4">
        <w:rPr>
          <w:rFonts w:cstheme="minorHAnsi"/>
          <w:noProof/>
        </w:rPr>
        <w:t xml:space="preserve"> and 12%</w:t>
      </w:r>
      <w:r w:rsidR="00F60E57">
        <w:rPr>
          <w:rFonts w:cstheme="minorHAnsi"/>
          <w:noProof/>
        </w:rPr>
        <w:t xml:space="preserve"> compared to </w:t>
      </w:r>
      <w:r w:rsidR="006422F5">
        <w:rPr>
          <w:rFonts w:cstheme="minorHAnsi"/>
          <w:noProof/>
        </w:rPr>
        <w:t>STD</w:t>
      </w:r>
      <w:r w:rsidR="00F60E57">
        <w:rPr>
          <w:rFonts w:cstheme="minorHAnsi"/>
          <w:noProof/>
        </w:rPr>
        <w:t xml:space="preserve"> in 20</w:t>
      </w:r>
      <w:r w:rsidR="009858B8">
        <w:rPr>
          <w:rFonts w:cstheme="minorHAnsi"/>
          <w:noProof/>
        </w:rPr>
        <w:t>40</w:t>
      </w:r>
      <w:r w:rsidR="000A59D4">
        <w:rPr>
          <w:rFonts w:cstheme="minorHAnsi"/>
          <w:noProof/>
        </w:rPr>
        <w:t xml:space="preserve"> and 2050</w:t>
      </w:r>
      <w:r w:rsidR="009858B8">
        <w:rPr>
          <w:rFonts w:cstheme="minorHAnsi"/>
          <w:noProof/>
        </w:rPr>
        <w:t xml:space="preserve">. </w:t>
      </w:r>
      <w:r>
        <w:rPr>
          <w:noProof/>
          <w:lang w:val="en-US"/>
        </w:rPr>
        <w:t xml:space="preserve">The use of alternative processes also reduces </w:t>
      </w:r>
      <w:r w:rsidR="00C44836">
        <w:rPr>
          <w:noProof/>
          <w:lang w:val="en-US"/>
        </w:rPr>
        <w:t xml:space="preserve">significantly </w:t>
      </w:r>
      <w:r>
        <w:rPr>
          <w:noProof/>
          <w:lang w:val="en-US"/>
        </w:rPr>
        <w:t>process emissions</w:t>
      </w:r>
      <w:r w:rsidR="00B41E61">
        <w:rPr>
          <w:noProof/>
          <w:lang w:val="en-US"/>
        </w:rPr>
        <w:t xml:space="preserve"> in comparison with today level</w:t>
      </w:r>
      <w:r w:rsidR="00C91358">
        <w:rPr>
          <w:noProof/>
          <w:lang w:val="en-US"/>
        </w:rPr>
        <w:t xml:space="preserve">: </w:t>
      </w:r>
      <w:r w:rsidR="00C91358" w:rsidRPr="00E5293A">
        <w:rPr>
          <w:noProof/>
          <w:lang w:val="en-US"/>
        </w:rPr>
        <w:t>process changes in the steel and chemical industries</w:t>
      </w:r>
      <w:r w:rsidR="00C91358">
        <w:rPr>
          <w:noProof/>
          <w:lang w:val="en-US"/>
        </w:rPr>
        <w:t xml:space="preserve">, </w:t>
      </w:r>
      <w:r w:rsidR="00C91358" w:rsidRPr="00E5293A">
        <w:rPr>
          <w:noProof/>
          <w:lang w:val="en-US"/>
        </w:rPr>
        <w:t>reduced use of hydrofluorocarbons (HFCs)</w:t>
      </w:r>
      <w:r w:rsidR="00C91358">
        <w:rPr>
          <w:noProof/>
          <w:lang w:val="en-US"/>
        </w:rPr>
        <w:t xml:space="preserve"> and </w:t>
      </w:r>
      <w:r w:rsidR="00C91358" w:rsidRPr="00E5293A">
        <w:rPr>
          <w:noProof/>
          <w:lang w:val="en-US"/>
        </w:rPr>
        <w:t>additives or low-CO2 binders</w:t>
      </w:r>
      <w:r w:rsidR="00C91358">
        <w:rPr>
          <w:noProof/>
          <w:lang w:val="en-US"/>
        </w:rPr>
        <w:t xml:space="preserve"> in cement and lime production can cut </w:t>
      </w:r>
      <w:r w:rsidR="00075FED">
        <w:rPr>
          <w:noProof/>
          <w:lang w:val="en-US"/>
        </w:rPr>
        <w:t xml:space="preserve">by </w:t>
      </w:r>
      <w:r w:rsidR="00676E2B">
        <w:rPr>
          <w:noProof/>
          <w:lang w:val="en-US"/>
        </w:rPr>
        <w:t xml:space="preserve">around </w:t>
      </w:r>
      <w:r w:rsidR="00B41E61">
        <w:rPr>
          <w:noProof/>
          <w:lang w:val="en-US"/>
        </w:rPr>
        <w:t xml:space="preserve">50% </w:t>
      </w:r>
      <w:r w:rsidR="00075FED">
        <w:rPr>
          <w:noProof/>
          <w:lang w:val="en-US"/>
        </w:rPr>
        <w:t>process-related emissions (excl. carbon capture) in 20</w:t>
      </w:r>
      <w:r w:rsidR="004C2F45">
        <w:rPr>
          <w:noProof/>
          <w:lang w:val="en-US"/>
        </w:rPr>
        <w:t>5</w:t>
      </w:r>
      <w:r w:rsidR="0053083C">
        <w:rPr>
          <w:noProof/>
          <w:lang w:val="en-US"/>
        </w:rPr>
        <w:t>0</w:t>
      </w:r>
      <w:r w:rsidR="00075FED">
        <w:rPr>
          <w:noProof/>
          <w:lang w:val="en-US"/>
        </w:rPr>
        <w:t xml:space="preserve"> </w:t>
      </w:r>
      <w:r w:rsidR="0051301A">
        <w:rPr>
          <w:noProof/>
          <w:lang w:val="en-US"/>
        </w:rPr>
        <w:t>compared 2019</w:t>
      </w:r>
      <w:r w:rsidR="00B41E61">
        <w:rPr>
          <w:noProof/>
          <w:lang w:val="en-US"/>
        </w:rPr>
        <w:t xml:space="preserve"> in the industrial sector considered</w:t>
      </w:r>
      <w:r w:rsidR="0005602D">
        <w:rPr>
          <w:noProof/>
          <w:lang w:val="en-US"/>
        </w:rPr>
        <w:t>. I</w:t>
      </w:r>
      <w:r w:rsidR="007A06D8">
        <w:rPr>
          <w:noProof/>
          <w:lang w:val="en-US"/>
        </w:rPr>
        <w:t xml:space="preserve">mplementation of </w:t>
      </w:r>
      <w:r w:rsidR="00022D8A">
        <w:rPr>
          <w:noProof/>
          <w:lang w:val="en-US"/>
        </w:rPr>
        <w:t xml:space="preserve">the selected list of </w:t>
      </w:r>
      <w:r w:rsidR="007A06D8">
        <w:rPr>
          <w:noProof/>
          <w:lang w:val="en-US"/>
        </w:rPr>
        <w:t xml:space="preserve">CE </w:t>
      </w:r>
      <w:r w:rsidR="00414D98">
        <w:rPr>
          <w:noProof/>
          <w:lang w:val="en-US"/>
        </w:rPr>
        <w:t>action</w:t>
      </w:r>
      <w:r w:rsidR="00022D8A">
        <w:rPr>
          <w:noProof/>
          <w:lang w:val="en-US"/>
        </w:rPr>
        <w:t xml:space="preserve"> </w:t>
      </w:r>
      <w:r w:rsidR="00C00DFA">
        <w:rPr>
          <w:noProof/>
          <w:lang w:val="en-US"/>
        </w:rPr>
        <w:t>leads to</w:t>
      </w:r>
      <w:r w:rsidR="007A06D8">
        <w:rPr>
          <w:noProof/>
          <w:lang w:val="en-US"/>
        </w:rPr>
        <w:t xml:space="preserve"> additional savings</w:t>
      </w:r>
      <w:r w:rsidR="0033361A">
        <w:rPr>
          <w:noProof/>
          <w:lang w:val="en-US"/>
        </w:rPr>
        <w:t xml:space="preserve"> in 2040</w:t>
      </w:r>
      <w:r w:rsidR="00D77588">
        <w:rPr>
          <w:noProof/>
          <w:lang w:val="en-US"/>
        </w:rPr>
        <w:t xml:space="preserve">-2050 compared to </w:t>
      </w:r>
      <w:r w:rsidR="006422F5">
        <w:rPr>
          <w:noProof/>
          <w:lang w:val="en-US"/>
        </w:rPr>
        <w:t>STD</w:t>
      </w:r>
      <w:r w:rsidR="00204663">
        <w:rPr>
          <w:noProof/>
          <w:lang w:val="en-US"/>
        </w:rPr>
        <w:t xml:space="preserve"> of around 10%</w:t>
      </w:r>
      <w:r w:rsidR="00217D39">
        <w:rPr>
          <w:noProof/>
          <w:lang w:val="en-US"/>
        </w:rPr>
        <w:t>.</w:t>
      </w:r>
      <w:r w:rsidR="007A06D8">
        <w:rPr>
          <w:rFonts w:cstheme="minorHAnsi"/>
          <w:noProof/>
        </w:rPr>
        <w:t xml:space="preserve"> </w:t>
      </w:r>
      <w:r w:rsidR="007A06D8">
        <w:rPr>
          <w:noProof/>
          <w:lang w:val="en-US"/>
        </w:rPr>
        <w:t xml:space="preserve"> </w:t>
      </w:r>
      <w:r w:rsidR="00570839">
        <w:rPr>
          <w:noProof/>
          <w:lang w:val="en-US"/>
        </w:rPr>
        <w:t xml:space="preserve">Carbon </w:t>
      </w:r>
      <w:r w:rsidR="00BF6714">
        <w:rPr>
          <w:noProof/>
          <w:lang w:val="en-US"/>
        </w:rPr>
        <w:t>capture also plays a role</w:t>
      </w:r>
      <w:r w:rsidR="00C63A57">
        <w:rPr>
          <w:noProof/>
          <w:lang w:val="en-US"/>
        </w:rPr>
        <w:t xml:space="preserve"> in the decarbonisation of process emissions</w:t>
      </w:r>
      <w:r w:rsidR="006154EC">
        <w:rPr>
          <w:noProof/>
          <w:lang w:val="en-US"/>
        </w:rPr>
        <w:t xml:space="preserve">, </w:t>
      </w:r>
      <w:r w:rsidR="00F11DDB">
        <w:rPr>
          <w:noProof/>
          <w:lang w:val="en-US"/>
        </w:rPr>
        <w:t xml:space="preserve">and </w:t>
      </w:r>
      <w:r w:rsidR="006154EC">
        <w:rPr>
          <w:noProof/>
          <w:lang w:val="en-US"/>
        </w:rPr>
        <w:t>CE action</w:t>
      </w:r>
      <w:r w:rsidR="00F11DDB">
        <w:rPr>
          <w:noProof/>
          <w:lang w:val="en-US"/>
        </w:rPr>
        <w:t>s</w:t>
      </w:r>
      <w:r w:rsidR="006154EC">
        <w:rPr>
          <w:noProof/>
          <w:lang w:val="en-US"/>
        </w:rPr>
        <w:t xml:space="preserve"> help slightly reduce the carbon capture needs</w:t>
      </w:r>
      <w:r w:rsidR="002445E1">
        <w:rPr>
          <w:noProof/>
          <w:lang w:val="en-US"/>
        </w:rPr>
        <w:t xml:space="preserve">. </w:t>
      </w:r>
    </w:p>
    <w:p w14:paraId="0AF9FBCC" w14:textId="7FF9D994" w:rsidR="00073E19" w:rsidRDefault="00073E19" w:rsidP="00073E19">
      <w:pPr>
        <w:rPr>
          <w:noProof/>
          <w:lang w:val="en-US"/>
        </w:rPr>
      </w:pPr>
      <w:r>
        <w:rPr>
          <w:noProof/>
          <w:lang w:val="en-US"/>
        </w:rPr>
        <w:t xml:space="preserve">The differences in GHG emissions between STD and CIRC only capture a fraction of the positive impact of CE on the decarbonisation of the economy for two main reasons. First, part of the CE impact is already covered in the STD, which assumes implementation of the CEAP; second, the additional CE actions apply into an already well decarbonised energy system, limiting their potential to cut emissions. The contribution to emission reduction of the CE actions can be disaggregated from the one of the decarbonisation of the energy system by assuming a constant carbon intensity in the period from the year of reference (2019) until 2050. In constant carbon intensity settings, the analysis shows that selected list of CE actions could reduce industrial emissions </w:t>
      </w:r>
      <w:r w:rsidR="007C483B">
        <w:rPr>
          <w:noProof/>
          <w:lang w:val="en-US"/>
        </w:rPr>
        <w:t>in the</w:t>
      </w:r>
      <w:r w:rsidR="00F07C6D">
        <w:rPr>
          <w:noProof/>
          <w:lang w:val="en-US"/>
        </w:rPr>
        <w:t xml:space="preserve"> sectors under scrutiny</w:t>
      </w:r>
      <w:r w:rsidR="007C483B">
        <w:rPr>
          <w:noProof/>
          <w:lang w:val="en-US"/>
        </w:rPr>
        <w:t xml:space="preserve"> </w:t>
      </w:r>
      <w:r>
        <w:rPr>
          <w:noProof/>
          <w:lang w:val="en-US"/>
        </w:rPr>
        <w:t>by around 20% in the CIRC scenario with respect to STD (in 2050).</w:t>
      </w:r>
    </w:p>
    <w:p w14:paraId="06C0FD44" w14:textId="75395841" w:rsidR="007A06D8" w:rsidRDefault="00675CD9" w:rsidP="007A06D8">
      <w:pPr>
        <w:rPr>
          <w:noProof/>
          <w:lang w:val="en-US"/>
        </w:rPr>
      </w:pPr>
      <w:r>
        <w:rPr>
          <w:rFonts w:cstheme="minorHAnsi"/>
          <w:noProof/>
        </w:rPr>
        <w:t>Net r</w:t>
      </w:r>
      <w:r w:rsidR="0074038B">
        <w:rPr>
          <w:rFonts w:cstheme="minorHAnsi"/>
          <w:noProof/>
        </w:rPr>
        <w:t>esidual</w:t>
      </w:r>
      <w:r w:rsidR="00911C94">
        <w:rPr>
          <w:rFonts w:cstheme="minorHAnsi"/>
          <w:noProof/>
        </w:rPr>
        <w:t xml:space="preserve"> emissions </w:t>
      </w:r>
      <w:r w:rsidR="00AF7791">
        <w:rPr>
          <w:rFonts w:cstheme="minorHAnsi"/>
          <w:noProof/>
        </w:rPr>
        <w:t xml:space="preserve">of around 10% </w:t>
      </w:r>
      <w:r w:rsidR="006E6F4D">
        <w:rPr>
          <w:rFonts w:cstheme="minorHAnsi"/>
          <w:noProof/>
        </w:rPr>
        <w:t xml:space="preserve">of 2019 values are projected </w:t>
      </w:r>
      <w:r w:rsidR="00911C94">
        <w:rPr>
          <w:rFonts w:cstheme="minorHAnsi"/>
          <w:noProof/>
        </w:rPr>
        <w:t>in 2050</w:t>
      </w:r>
      <w:r w:rsidR="007A50B9">
        <w:rPr>
          <w:rFonts w:cstheme="minorHAnsi"/>
          <w:noProof/>
        </w:rPr>
        <w:t xml:space="preserve"> (see</w:t>
      </w:r>
      <w:r w:rsidR="007B1037">
        <w:rPr>
          <w:rFonts w:cstheme="minorHAnsi"/>
          <w:noProof/>
        </w:rPr>
        <w:t xml:space="preserve"> </w:t>
      </w:r>
      <w:r w:rsidR="007A50B9" w:rsidRPr="00BE1DA4">
        <w:rPr>
          <w:rFonts w:cstheme="minorHAnsi"/>
          <w:noProof/>
        </w:rPr>
        <w:fldChar w:fldCharType="begin"/>
      </w:r>
      <w:r w:rsidR="007A50B9" w:rsidRPr="00BE1DA4">
        <w:rPr>
          <w:rFonts w:cstheme="minorHAnsi"/>
          <w:noProof/>
        </w:rPr>
        <w:instrText xml:space="preserve"> REF _Ref142570640 \h  \* MERGEFORMA</w:instrText>
      </w:r>
      <w:r w:rsidR="007A50B9">
        <w:rPr>
          <w:rFonts w:cstheme="minorHAnsi"/>
          <w:noProof/>
          <w:highlight w:val="yellow"/>
        </w:rPr>
        <w:instrText xml:space="preserve">T </w:instrText>
      </w:r>
      <w:r w:rsidR="007A50B9" w:rsidRPr="00BE1DA4">
        <w:rPr>
          <w:rFonts w:cstheme="minorHAnsi"/>
          <w:noProof/>
        </w:rPr>
      </w:r>
      <w:r w:rsidR="007A50B9" w:rsidRPr="00BE1DA4">
        <w:rPr>
          <w:rFonts w:cstheme="minorHAnsi"/>
          <w:noProof/>
        </w:rPr>
        <w:fldChar w:fldCharType="separate"/>
      </w:r>
      <w:r w:rsidR="00170A3C" w:rsidRPr="00921E9F">
        <w:rPr>
          <w:noProof/>
        </w:rPr>
        <w:t xml:space="preserve">Figure </w:t>
      </w:r>
      <w:r w:rsidR="00170A3C">
        <w:rPr>
          <w:noProof/>
        </w:rPr>
        <w:t>59</w:t>
      </w:r>
      <w:r w:rsidR="007A50B9" w:rsidRPr="00BE1DA4">
        <w:rPr>
          <w:rFonts w:cstheme="minorHAnsi"/>
          <w:noProof/>
        </w:rPr>
        <w:fldChar w:fldCharType="end"/>
      </w:r>
      <w:r w:rsidR="007A50B9">
        <w:rPr>
          <w:rFonts w:cstheme="minorHAnsi"/>
          <w:noProof/>
        </w:rPr>
        <w:t>)</w:t>
      </w:r>
      <w:r w:rsidR="006E6F4D">
        <w:rPr>
          <w:rFonts w:cstheme="minorHAnsi"/>
          <w:noProof/>
        </w:rPr>
        <w:t xml:space="preserve">. </w:t>
      </w:r>
      <w:r w:rsidR="00177FD3">
        <w:rPr>
          <w:rFonts w:cstheme="minorHAnsi"/>
          <w:noProof/>
        </w:rPr>
        <w:t>This</w:t>
      </w:r>
      <w:r w:rsidR="006E6F4D">
        <w:rPr>
          <w:rFonts w:cstheme="minorHAnsi"/>
          <w:noProof/>
        </w:rPr>
        <w:t xml:space="preserve"> </w:t>
      </w:r>
      <w:r w:rsidR="00166B02">
        <w:rPr>
          <w:rFonts w:cstheme="minorHAnsi"/>
          <w:noProof/>
        </w:rPr>
        <w:t>is</w:t>
      </w:r>
      <w:r w:rsidR="007A06D8">
        <w:rPr>
          <w:rFonts w:cstheme="minorHAnsi"/>
          <w:noProof/>
        </w:rPr>
        <w:t xml:space="preserve"> explained </w:t>
      </w:r>
      <w:r w:rsidR="00BA6723">
        <w:rPr>
          <w:rFonts w:cstheme="minorHAnsi"/>
          <w:noProof/>
        </w:rPr>
        <w:t>mainly</w:t>
      </w:r>
      <w:r w:rsidR="007A06D8">
        <w:rPr>
          <w:rFonts w:cstheme="minorHAnsi"/>
          <w:noProof/>
        </w:rPr>
        <w:t xml:space="preserve"> by the assumption</w:t>
      </w:r>
      <w:r w:rsidR="00D61981">
        <w:rPr>
          <w:rFonts w:cstheme="minorHAnsi"/>
          <w:noProof/>
        </w:rPr>
        <w:t>s</w:t>
      </w:r>
      <w:r w:rsidR="007A06D8">
        <w:rPr>
          <w:rFonts w:cstheme="minorHAnsi"/>
          <w:noProof/>
        </w:rPr>
        <w:t xml:space="preserve"> </w:t>
      </w:r>
      <w:r w:rsidR="00F74ADA">
        <w:rPr>
          <w:rFonts w:cstheme="minorHAnsi"/>
          <w:noProof/>
        </w:rPr>
        <w:t xml:space="preserve">taken on the </w:t>
      </w:r>
      <w:r w:rsidR="008A1BED">
        <w:rPr>
          <w:rFonts w:cstheme="minorHAnsi"/>
          <w:noProof/>
        </w:rPr>
        <w:t>role of carbon capture</w:t>
      </w:r>
      <w:r w:rsidR="00801EA5">
        <w:rPr>
          <w:rFonts w:cstheme="minorHAnsi"/>
          <w:noProof/>
        </w:rPr>
        <w:t xml:space="preserve"> in these scenarios</w:t>
      </w:r>
      <w:r w:rsidR="00D34E6A">
        <w:rPr>
          <w:rFonts w:cstheme="minorHAnsi"/>
          <w:noProof/>
        </w:rPr>
        <w:t xml:space="preserve">, which has </w:t>
      </w:r>
      <w:r w:rsidR="00AE772E">
        <w:rPr>
          <w:rFonts w:cstheme="minorHAnsi"/>
          <w:noProof/>
        </w:rPr>
        <w:t xml:space="preserve">been </w:t>
      </w:r>
      <w:r w:rsidR="002C19A7">
        <w:rPr>
          <w:rFonts w:cstheme="minorHAnsi"/>
          <w:noProof/>
        </w:rPr>
        <w:t xml:space="preserve">applied only </w:t>
      </w:r>
      <w:r w:rsidR="00AE772E">
        <w:rPr>
          <w:rFonts w:cstheme="minorHAnsi"/>
          <w:noProof/>
        </w:rPr>
        <w:t xml:space="preserve">to the </w:t>
      </w:r>
      <w:r w:rsidR="007B1037">
        <w:rPr>
          <w:rFonts w:cstheme="minorHAnsi"/>
          <w:noProof/>
        </w:rPr>
        <w:t>emissions of processes</w:t>
      </w:r>
      <w:r w:rsidR="00AE772E">
        <w:rPr>
          <w:rFonts w:cstheme="minorHAnsi"/>
          <w:noProof/>
        </w:rPr>
        <w:t xml:space="preserve"> where </w:t>
      </w:r>
      <w:r w:rsidR="00BE7576">
        <w:rPr>
          <w:rFonts w:cstheme="minorHAnsi"/>
          <w:noProof/>
        </w:rPr>
        <w:t>other mitigation strategies (</w:t>
      </w:r>
      <w:r w:rsidR="00F42169">
        <w:rPr>
          <w:rFonts w:cstheme="minorHAnsi"/>
          <w:noProof/>
        </w:rPr>
        <w:t>e.g.,</w:t>
      </w:r>
      <w:r w:rsidR="00BE7576">
        <w:rPr>
          <w:rFonts w:cstheme="minorHAnsi"/>
          <w:noProof/>
        </w:rPr>
        <w:t xml:space="preserve"> fuel and process</w:t>
      </w:r>
      <w:r w:rsidR="00F32E54">
        <w:rPr>
          <w:rFonts w:cstheme="minorHAnsi"/>
          <w:noProof/>
        </w:rPr>
        <w:t xml:space="preserve"> switch) are lacking today, </w:t>
      </w:r>
      <w:r w:rsidR="00C4152F">
        <w:rPr>
          <w:rFonts w:cstheme="minorHAnsi"/>
          <w:noProof/>
        </w:rPr>
        <w:t>i.e.,</w:t>
      </w:r>
      <w:r w:rsidR="00F32E54">
        <w:rPr>
          <w:rFonts w:cstheme="minorHAnsi"/>
          <w:noProof/>
        </w:rPr>
        <w:t xml:space="preserve"> </w:t>
      </w:r>
      <w:r w:rsidR="0024188F">
        <w:rPr>
          <w:rFonts w:cstheme="minorHAnsi"/>
          <w:noProof/>
        </w:rPr>
        <w:t xml:space="preserve">in </w:t>
      </w:r>
      <w:r w:rsidR="00D34E6A">
        <w:rPr>
          <w:rFonts w:cstheme="minorHAnsi"/>
          <w:noProof/>
        </w:rPr>
        <w:t xml:space="preserve">the </w:t>
      </w:r>
      <w:r w:rsidR="00F32E54">
        <w:rPr>
          <w:rFonts w:cstheme="minorHAnsi"/>
          <w:noProof/>
        </w:rPr>
        <w:t>cement</w:t>
      </w:r>
      <w:r w:rsidR="00D34E6A">
        <w:rPr>
          <w:rFonts w:cstheme="minorHAnsi"/>
          <w:noProof/>
        </w:rPr>
        <w:t xml:space="preserve"> sector</w:t>
      </w:r>
      <w:r w:rsidR="0024188F">
        <w:rPr>
          <w:rFonts w:cstheme="minorHAnsi"/>
          <w:noProof/>
        </w:rPr>
        <w:t xml:space="preserve">. Residual </w:t>
      </w:r>
      <w:r w:rsidR="00A94244">
        <w:rPr>
          <w:rFonts w:cstheme="minorHAnsi"/>
          <w:noProof/>
        </w:rPr>
        <w:t>emission</w:t>
      </w:r>
      <w:r w:rsidR="0024188F">
        <w:rPr>
          <w:rFonts w:cstheme="minorHAnsi"/>
          <w:noProof/>
        </w:rPr>
        <w:t xml:space="preserve"> </w:t>
      </w:r>
      <w:r w:rsidR="00F42169">
        <w:rPr>
          <w:rFonts w:cstheme="minorHAnsi"/>
          <w:noProof/>
        </w:rPr>
        <w:t>confirms</w:t>
      </w:r>
      <w:r w:rsidR="00CC1B7A">
        <w:rPr>
          <w:rFonts w:cstheme="minorHAnsi"/>
          <w:noProof/>
        </w:rPr>
        <w:t xml:space="preserve"> that</w:t>
      </w:r>
      <w:r w:rsidR="00801EA5">
        <w:rPr>
          <w:rFonts w:cstheme="minorHAnsi"/>
          <w:noProof/>
        </w:rPr>
        <w:t xml:space="preserve"> </w:t>
      </w:r>
      <w:r w:rsidR="0024188F">
        <w:rPr>
          <w:rFonts w:cstheme="minorHAnsi"/>
          <w:noProof/>
        </w:rPr>
        <w:t>a larger deployment of carbon capture</w:t>
      </w:r>
      <w:r w:rsidR="00353E19">
        <w:rPr>
          <w:rFonts w:cstheme="minorHAnsi"/>
          <w:noProof/>
        </w:rPr>
        <w:t xml:space="preserve"> in additional (</w:t>
      </w:r>
      <w:r w:rsidR="00C4152F">
        <w:rPr>
          <w:rFonts w:cstheme="minorHAnsi"/>
          <w:noProof/>
        </w:rPr>
        <w:t>e.g.,</w:t>
      </w:r>
      <w:r w:rsidR="00227BF2">
        <w:rPr>
          <w:rFonts w:cstheme="minorHAnsi"/>
          <w:noProof/>
        </w:rPr>
        <w:t xml:space="preserve"> </w:t>
      </w:r>
      <w:r w:rsidR="00353E19">
        <w:rPr>
          <w:rFonts w:cstheme="minorHAnsi"/>
          <w:noProof/>
        </w:rPr>
        <w:t>steel, chemical) and emerging (</w:t>
      </w:r>
      <w:r w:rsidR="00765D8E">
        <w:rPr>
          <w:rFonts w:cstheme="minorHAnsi"/>
          <w:noProof/>
        </w:rPr>
        <w:t>e.g.,</w:t>
      </w:r>
      <w:r w:rsidR="00BF6714">
        <w:rPr>
          <w:rFonts w:cstheme="minorHAnsi"/>
          <w:noProof/>
        </w:rPr>
        <w:t xml:space="preserve"> </w:t>
      </w:r>
      <w:r w:rsidR="00353E19">
        <w:rPr>
          <w:rFonts w:cstheme="minorHAnsi"/>
          <w:noProof/>
        </w:rPr>
        <w:t>DAC</w:t>
      </w:r>
      <w:r w:rsidR="00317BEB">
        <w:rPr>
          <w:rFonts w:cstheme="minorHAnsi"/>
          <w:noProof/>
        </w:rPr>
        <w:t>C</w:t>
      </w:r>
      <w:r w:rsidR="00353E19">
        <w:rPr>
          <w:rFonts w:cstheme="minorHAnsi"/>
          <w:noProof/>
        </w:rPr>
        <w:t>) sectors</w:t>
      </w:r>
      <w:r w:rsidR="00091668">
        <w:rPr>
          <w:rFonts w:cstheme="minorHAnsi"/>
          <w:noProof/>
        </w:rPr>
        <w:t xml:space="preserve">, or compensation of emission by other sectors </w:t>
      </w:r>
      <w:r w:rsidR="00BF6714">
        <w:rPr>
          <w:rFonts w:cstheme="minorHAnsi"/>
          <w:noProof/>
        </w:rPr>
        <w:t>(e.g. LULUCF)</w:t>
      </w:r>
      <w:r w:rsidR="00353E19">
        <w:rPr>
          <w:rFonts w:cstheme="minorHAnsi"/>
          <w:noProof/>
        </w:rPr>
        <w:t xml:space="preserve"> </w:t>
      </w:r>
      <w:r w:rsidR="00317BEB">
        <w:rPr>
          <w:rFonts w:cstheme="minorHAnsi"/>
          <w:noProof/>
        </w:rPr>
        <w:t>are</w:t>
      </w:r>
      <w:r w:rsidR="00353E19">
        <w:rPr>
          <w:rFonts w:cstheme="minorHAnsi"/>
          <w:noProof/>
        </w:rPr>
        <w:t xml:space="preserve"> be needed</w:t>
      </w:r>
      <w:r w:rsidR="00134E94">
        <w:rPr>
          <w:rFonts w:cstheme="minorHAnsi"/>
          <w:noProof/>
        </w:rPr>
        <w:t xml:space="preserve"> to reach </w:t>
      </w:r>
      <w:r w:rsidR="00E33813">
        <w:rPr>
          <w:rFonts w:cstheme="minorHAnsi"/>
          <w:noProof/>
        </w:rPr>
        <w:t>climate</w:t>
      </w:r>
      <w:r w:rsidR="00134E94">
        <w:rPr>
          <w:rFonts w:cstheme="minorHAnsi"/>
          <w:noProof/>
        </w:rPr>
        <w:t xml:space="preserve"> neutrality in industry.</w:t>
      </w:r>
    </w:p>
    <w:p w14:paraId="2EEA4463" w14:textId="1E602C56" w:rsidR="00350C25" w:rsidRPr="00921E9F" w:rsidRDefault="00350C25" w:rsidP="00947B26">
      <w:pPr>
        <w:pStyle w:val="Caption"/>
        <w:keepLines/>
        <w:spacing w:after="0"/>
        <w:rPr>
          <w:noProof/>
        </w:rPr>
      </w:pPr>
      <w:bookmarkStart w:id="308" w:name="_Ref142570640"/>
      <w:bookmarkStart w:id="309" w:name="_Toc157679807"/>
      <w:r w:rsidRPr="00921E9F">
        <w:rPr>
          <w:noProof/>
        </w:rPr>
        <w:t xml:space="preserve">Figure </w:t>
      </w:r>
      <w:r>
        <w:rPr>
          <w:noProof/>
        </w:rPr>
        <w:fldChar w:fldCharType="begin"/>
      </w:r>
      <w:r>
        <w:rPr>
          <w:noProof/>
        </w:rPr>
        <w:instrText>SEQ Figure \* ARABIC</w:instrText>
      </w:r>
      <w:r>
        <w:rPr>
          <w:noProof/>
        </w:rPr>
        <w:fldChar w:fldCharType="separate"/>
      </w:r>
      <w:r w:rsidR="00170A3C">
        <w:rPr>
          <w:noProof/>
        </w:rPr>
        <w:t>59</w:t>
      </w:r>
      <w:r>
        <w:rPr>
          <w:noProof/>
        </w:rPr>
        <w:fldChar w:fldCharType="end"/>
      </w:r>
      <w:bookmarkEnd w:id="308"/>
      <w:r w:rsidRPr="00921E9F">
        <w:rPr>
          <w:noProof/>
        </w:rPr>
        <w:t xml:space="preserve">: </w:t>
      </w:r>
      <w:r w:rsidR="002901E5">
        <w:rPr>
          <w:noProof/>
        </w:rPr>
        <w:t>GHG</w:t>
      </w:r>
      <w:r w:rsidRPr="00921E9F">
        <w:rPr>
          <w:noProof/>
        </w:rPr>
        <w:t xml:space="preserve"> emissions by </w:t>
      </w:r>
      <w:r>
        <w:rPr>
          <w:bCs/>
          <w:noProof/>
        </w:rPr>
        <w:t xml:space="preserve">type </w:t>
      </w:r>
      <w:r w:rsidR="002901E5">
        <w:rPr>
          <w:bCs/>
          <w:noProof/>
        </w:rPr>
        <w:t xml:space="preserve">in </w:t>
      </w:r>
      <w:r w:rsidR="002901E5" w:rsidRPr="002901E5">
        <w:rPr>
          <w:bCs/>
          <w:noProof/>
        </w:rPr>
        <w:t>% of</w:t>
      </w:r>
      <w:r>
        <w:rPr>
          <w:bCs/>
          <w:noProof/>
        </w:rPr>
        <w:t xml:space="preserve"> 2019 values</w:t>
      </w:r>
      <w:bookmarkEnd w:id="309"/>
    </w:p>
    <w:p w14:paraId="6C4E43F5" w14:textId="4C87A338" w:rsidR="00350C25" w:rsidRDefault="006422F5" w:rsidP="00FE33FA">
      <w:pPr>
        <w:keepNext/>
        <w:keepLines/>
        <w:autoSpaceDE w:val="0"/>
        <w:autoSpaceDN w:val="0"/>
        <w:adjustRightInd w:val="0"/>
        <w:spacing w:after="0"/>
        <w:ind w:left="-142"/>
        <w:rPr>
          <w:rFonts w:cstheme="minorBidi"/>
          <w:i/>
          <w:noProof/>
        </w:rPr>
      </w:pPr>
      <w:r w:rsidRPr="006422F5">
        <w:rPr>
          <w:rFonts w:cstheme="minorBidi"/>
          <w:i/>
          <w:noProof/>
        </w:rPr>
        <w:t xml:space="preserve"> </w:t>
      </w:r>
      <w:r w:rsidRPr="006422F5">
        <w:rPr>
          <w:noProof/>
          <w:lang w:eastAsia="en-GB"/>
        </w:rPr>
        <w:drawing>
          <wp:inline distT="0" distB="0" distL="0" distR="0" wp14:anchorId="7E4134CB" wp14:editId="145EC39B">
            <wp:extent cx="5429250" cy="2543175"/>
            <wp:effectExtent l="0" t="0" r="0" b="952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429250" cy="2543175"/>
                    </a:xfrm>
                    <a:prstGeom prst="rect">
                      <a:avLst/>
                    </a:prstGeom>
                    <a:noFill/>
                    <a:ln>
                      <a:noFill/>
                    </a:ln>
                  </pic:spPr>
                </pic:pic>
              </a:graphicData>
            </a:graphic>
          </wp:inline>
        </w:drawing>
      </w:r>
    </w:p>
    <w:p w14:paraId="103D8E07" w14:textId="77777777" w:rsidR="008134DC" w:rsidRDefault="008134DC" w:rsidP="00FE33FA">
      <w:pPr>
        <w:pStyle w:val="CT-NOTE"/>
        <w:rPr>
          <w:noProof/>
        </w:rPr>
      </w:pPr>
      <w:r w:rsidRPr="00822700">
        <w:rPr>
          <w:noProof/>
        </w:rPr>
        <w:t xml:space="preserve">Note: </w:t>
      </w:r>
      <w:r>
        <w:rPr>
          <w:noProof/>
        </w:rPr>
        <w:t xml:space="preserve">2019 is taken as the calibration year for the FORECAST model. </w:t>
      </w:r>
    </w:p>
    <w:p w14:paraId="247E5A84" w14:textId="77777777" w:rsidR="008134DC" w:rsidRPr="00C70331" w:rsidRDefault="008134DC" w:rsidP="00FE33FA">
      <w:pPr>
        <w:pStyle w:val="CT-SOURCE"/>
        <w:spacing w:after="0"/>
        <w:rPr>
          <w:i w:val="0"/>
          <w:noProof/>
        </w:rPr>
      </w:pPr>
      <w:r w:rsidRPr="00C70331">
        <w:rPr>
          <w:noProof/>
        </w:rPr>
        <w:t xml:space="preserve">Source: </w:t>
      </w:r>
      <w:r>
        <w:rPr>
          <w:i w:val="0"/>
          <w:noProof/>
        </w:rPr>
        <w:t>FORECAST</w:t>
      </w:r>
      <w:r w:rsidRPr="00C70331">
        <w:rPr>
          <w:i w:val="0"/>
          <w:noProof/>
        </w:rPr>
        <w:t>.</w:t>
      </w:r>
    </w:p>
    <w:p w14:paraId="4C81918A" w14:textId="018736CE" w:rsidR="005406DD" w:rsidRPr="003F6B63" w:rsidRDefault="008A2B48" w:rsidP="003F6B63">
      <w:pPr>
        <w:pStyle w:val="Heading2"/>
        <w:rPr>
          <w:rStyle w:val="Heading2Char"/>
          <w:b/>
          <w:noProof/>
        </w:rPr>
      </w:pPr>
      <w:bookmarkStart w:id="310" w:name="_Ref141916776"/>
      <w:bookmarkStart w:id="311" w:name="_Toc148605604"/>
      <w:bookmarkStart w:id="312" w:name="_Toc157692050"/>
      <w:r w:rsidRPr="003F6B63">
        <w:rPr>
          <w:rStyle w:val="Heading2Char"/>
          <w:b/>
          <w:noProof/>
        </w:rPr>
        <w:t>Transport</w:t>
      </w:r>
      <w:bookmarkEnd w:id="310"/>
      <w:bookmarkEnd w:id="311"/>
      <w:bookmarkEnd w:id="312"/>
    </w:p>
    <w:p w14:paraId="65CA1012" w14:textId="5ABEEE01" w:rsidR="00894380" w:rsidRDefault="003F6B63" w:rsidP="003F6B63">
      <w:pPr>
        <w:pStyle w:val="Heading3"/>
        <w:rPr>
          <w:noProof/>
        </w:rPr>
      </w:pPr>
      <w:bookmarkStart w:id="313" w:name="_Toc148605605"/>
      <w:bookmarkStart w:id="314" w:name="_Toc157692051"/>
      <w:r>
        <w:rPr>
          <w:noProof/>
        </w:rPr>
        <w:t>Introduction</w:t>
      </w:r>
      <w:bookmarkEnd w:id="313"/>
      <w:bookmarkEnd w:id="314"/>
    </w:p>
    <w:p w14:paraId="0A86A7B1" w14:textId="5CFD40B3" w:rsidR="00A375AB" w:rsidRPr="00A375AB" w:rsidRDefault="00A375AB" w:rsidP="00A375AB">
      <w:pPr>
        <w:rPr>
          <w:noProof/>
          <w:lang w:val="en-IE"/>
        </w:rPr>
      </w:pPr>
      <w:r w:rsidRPr="00A375AB">
        <w:rPr>
          <w:noProof/>
          <w:lang w:val="en-IE"/>
        </w:rPr>
        <w:t>All the decarbonisation pathways for the transport sector</w:t>
      </w:r>
      <w:r w:rsidR="007F7385">
        <w:rPr>
          <w:noProof/>
          <w:lang w:val="en-IE"/>
        </w:rPr>
        <w:t xml:space="preserve"> </w:t>
      </w:r>
      <w:r w:rsidR="008507CE" w:rsidRPr="002755AF">
        <w:rPr>
          <w:rStyle w:val="Heading2Char"/>
          <w:rFonts w:eastAsia="Times New Roman,Italic"/>
          <w:noProof/>
        </w:rPr>
        <w:t>(</w:t>
      </w:r>
      <w:r w:rsidR="008507CE">
        <w:rPr>
          <w:rStyle w:val="FootnoteReference"/>
          <w:noProof/>
        </w:rPr>
        <w:footnoteReference w:id="110"/>
      </w:r>
      <w:r w:rsidR="008507CE">
        <w:rPr>
          <w:rStyle w:val="Heading2Char"/>
          <w:rFonts w:eastAsia="Times New Roman,Italic"/>
          <w:noProof/>
        </w:rPr>
        <w:t>)</w:t>
      </w:r>
      <w:r w:rsidRPr="00A375AB">
        <w:rPr>
          <w:noProof/>
          <w:lang w:val="en-IE"/>
        </w:rPr>
        <w:t xml:space="preserve"> analysed in this impact assessment show a sustained growth in transport activity at EU level, as well as a modal shift to rail, from </w:t>
      </w:r>
      <w:r w:rsidR="00872B17">
        <w:rPr>
          <w:noProof/>
          <w:lang w:val="en-IE"/>
        </w:rPr>
        <w:t>now</w:t>
      </w:r>
      <w:r w:rsidRPr="00A375AB">
        <w:rPr>
          <w:noProof/>
          <w:lang w:val="en-IE"/>
        </w:rPr>
        <w:t xml:space="preserve"> to 2040 and 2050</w:t>
      </w:r>
      <w:r w:rsidR="004C5B07">
        <w:rPr>
          <w:noProof/>
          <w:lang w:val="en-IE"/>
        </w:rPr>
        <w:t xml:space="preserve"> </w:t>
      </w:r>
      <w:r w:rsidR="004C5B07" w:rsidRPr="00036EBE">
        <w:rPr>
          <w:noProof/>
          <w:lang w:val="en-IE"/>
        </w:rPr>
        <w:t xml:space="preserve">(see Section </w:t>
      </w:r>
      <w:r w:rsidR="004C5B07" w:rsidRPr="00036EBE">
        <w:rPr>
          <w:noProof/>
          <w:lang w:val="en-IE"/>
        </w:rPr>
        <w:fldChar w:fldCharType="begin"/>
      </w:r>
      <w:r w:rsidR="004C5B07" w:rsidRPr="00036EBE">
        <w:rPr>
          <w:noProof/>
          <w:lang w:val="en-IE"/>
        </w:rPr>
        <w:instrText xml:space="preserve"> REF _Ref143242989 \r \h </w:instrText>
      </w:r>
      <w:r w:rsidR="00036EBE">
        <w:rPr>
          <w:noProof/>
          <w:lang w:val="en-IE"/>
        </w:rPr>
        <w:instrText xml:space="preserve"> \* MERGEFORMAT </w:instrText>
      </w:r>
      <w:r w:rsidR="004C5B07" w:rsidRPr="00036EBE">
        <w:rPr>
          <w:noProof/>
          <w:lang w:val="en-IE"/>
        </w:rPr>
      </w:r>
      <w:r w:rsidR="004C5B07" w:rsidRPr="00036EBE">
        <w:rPr>
          <w:noProof/>
          <w:lang w:val="en-IE"/>
        </w:rPr>
        <w:fldChar w:fldCharType="separate"/>
      </w:r>
      <w:r w:rsidR="00170A3C">
        <w:rPr>
          <w:noProof/>
          <w:lang w:val="en-IE"/>
        </w:rPr>
        <w:t>1.5.2</w:t>
      </w:r>
      <w:r w:rsidR="004C5B07" w:rsidRPr="00036EBE">
        <w:rPr>
          <w:noProof/>
          <w:lang w:val="en-IE"/>
        </w:rPr>
        <w:fldChar w:fldCharType="end"/>
      </w:r>
      <w:r w:rsidR="004C5B07" w:rsidRPr="00036EBE">
        <w:rPr>
          <w:noProof/>
          <w:lang w:val="en-IE"/>
        </w:rPr>
        <w:t>)</w:t>
      </w:r>
      <w:r w:rsidRPr="00036EBE">
        <w:rPr>
          <w:noProof/>
          <w:lang w:val="en-IE"/>
        </w:rPr>
        <w:t>.</w:t>
      </w:r>
      <w:r w:rsidRPr="00A375AB">
        <w:rPr>
          <w:noProof/>
          <w:lang w:val="en-IE"/>
        </w:rPr>
        <w:t xml:space="preserve"> Nevertheless, </w:t>
      </w:r>
      <w:r w:rsidR="004C5B07">
        <w:rPr>
          <w:noProof/>
          <w:lang w:val="en-IE"/>
        </w:rPr>
        <w:t xml:space="preserve">as explained in </w:t>
      </w:r>
      <w:r w:rsidR="004C5B07" w:rsidRPr="00036EBE">
        <w:rPr>
          <w:noProof/>
          <w:lang w:val="en-IE"/>
        </w:rPr>
        <w:t xml:space="preserve">Section </w:t>
      </w:r>
      <w:r w:rsidR="004C5B07" w:rsidRPr="00036EBE">
        <w:rPr>
          <w:noProof/>
          <w:lang w:val="en-IE"/>
        </w:rPr>
        <w:fldChar w:fldCharType="begin"/>
      </w:r>
      <w:r w:rsidR="004C5B07" w:rsidRPr="00036EBE">
        <w:rPr>
          <w:noProof/>
          <w:lang w:val="en-IE"/>
        </w:rPr>
        <w:instrText xml:space="preserve"> REF _Ref145092521 \r \h  \* MERGEFORMAT </w:instrText>
      </w:r>
      <w:r w:rsidR="004C5B07" w:rsidRPr="00036EBE">
        <w:rPr>
          <w:noProof/>
          <w:lang w:val="en-IE"/>
        </w:rPr>
      </w:r>
      <w:r w:rsidR="004C5B07" w:rsidRPr="00036EBE">
        <w:rPr>
          <w:noProof/>
          <w:lang w:val="en-IE"/>
        </w:rPr>
        <w:fldChar w:fldCharType="separate"/>
      </w:r>
      <w:r w:rsidR="00170A3C">
        <w:rPr>
          <w:noProof/>
          <w:lang w:val="en-IE"/>
        </w:rPr>
        <w:t>1.5.3</w:t>
      </w:r>
      <w:r w:rsidR="004C5B07" w:rsidRPr="00036EBE">
        <w:rPr>
          <w:noProof/>
          <w:lang w:val="en-IE"/>
        </w:rPr>
        <w:fldChar w:fldCharType="end"/>
      </w:r>
      <w:r w:rsidR="004C5B07">
        <w:rPr>
          <w:noProof/>
          <w:lang w:val="en-IE"/>
        </w:rPr>
        <w:t>,</w:t>
      </w:r>
      <w:r w:rsidRPr="00A375AB">
        <w:rPr>
          <w:noProof/>
          <w:lang w:val="en-IE"/>
        </w:rPr>
        <w:t xml:space="preserve"> the total amount of energy consumed by the EU’s transport sector is projected to decline significantly because of large-scale electrification (notably in road transport) and implementation of technological and operational measures to improve energy efficiency (notably in maritime and air transport). </w:t>
      </w:r>
      <w:r w:rsidR="00B86335">
        <w:rPr>
          <w:noProof/>
          <w:lang w:val="en-IE"/>
        </w:rPr>
        <w:t>Furthermore, t</w:t>
      </w:r>
      <w:r w:rsidRPr="00A375AB">
        <w:rPr>
          <w:noProof/>
          <w:lang w:val="en-IE"/>
        </w:rPr>
        <w:t>he fuel mix of the transport sector is projected to undergo a deep transformation characterised by a significant reduction in the consumption of fossil fuels, which are largely replaced by zero-</w:t>
      </w:r>
      <w:r w:rsidR="003364CE">
        <w:rPr>
          <w:noProof/>
          <w:lang w:val="en-IE"/>
        </w:rPr>
        <w:t xml:space="preserve"> and low-</w:t>
      </w:r>
      <w:r w:rsidRPr="00A375AB">
        <w:rPr>
          <w:noProof/>
          <w:lang w:val="en-IE"/>
        </w:rPr>
        <w:t xml:space="preserve">emission energy carriers (i.e., electricity, advanced </w:t>
      </w:r>
      <w:r w:rsidR="007F6C7B">
        <w:rPr>
          <w:noProof/>
          <w:lang w:val="en-IE"/>
        </w:rPr>
        <w:t xml:space="preserve">liquid </w:t>
      </w:r>
      <w:r w:rsidRPr="00A375AB">
        <w:rPr>
          <w:noProof/>
          <w:lang w:val="en-IE"/>
        </w:rPr>
        <w:t>biofuels</w:t>
      </w:r>
      <w:r w:rsidR="007F6C7B">
        <w:rPr>
          <w:noProof/>
          <w:lang w:val="en-IE"/>
        </w:rPr>
        <w:t xml:space="preserve"> and biogas</w:t>
      </w:r>
      <w:r w:rsidRPr="00A375AB">
        <w:rPr>
          <w:noProof/>
          <w:lang w:val="en-IE"/>
        </w:rPr>
        <w:t>, e-fuels and hydrogen) by 2040 and almost fully replaced by the</w:t>
      </w:r>
      <w:r w:rsidR="00910C90">
        <w:rPr>
          <w:noProof/>
          <w:lang w:val="en-IE"/>
        </w:rPr>
        <w:t>m</w:t>
      </w:r>
      <w:r w:rsidRPr="00A375AB">
        <w:rPr>
          <w:noProof/>
          <w:lang w:val="en-IE"/>
        </w:rPr>
        <w:t xml:space="preserve"> by 2050. In terms of decarbonisation options deployed, road and rail transport are largely electrified over time, whereas the maritime and air transport sectors, which are hard to electrify, deploy measures to improve energy efficiency combined with a </w:t>
      </w:r>
      <w:r w:rsidR="00F364FE">
        <w:rPr>
          <w:noProof/>
          <w:lang w:val="en-IE"/>
        </w:rPr>
        <w:t>significant</w:t>
      </w:r>
      <w:r w:rsidRPr="00A375AB">
        <w:rPr>
          <w:noProof/>
          <w:lang w:val="en-IE"/>
        </w:rPr>
        <w:t xml:space="preserve"> uptake of zero-</w:t>
      </w:r>
      <w:r w:rsidR="006C7B13">
        <w:rPr>
          <w:noProof/>
          <w:lang w:val="en-IE"/>
        </w:rPr>
        <w:t xml:space="preserve"> and low-</w:t>
      </w:r>
      <w:r w:rsidRPr="00A375AB">
        <w:rPr>
          <w:noProof/>
          <w:lang w:val="en-IE"/>
        </w:rPr>
        <w:t xml:space="preserve">emission fuels, particularly </w:t>
      </w:r>
      <w:r w:rsidR="00F3693F">
        <w:rPr>
          <w:noProof/>
          <w:lang w:val="en-IE"/>
        </w:rPr>
        <w:t xml:space="preserve">liquid </w:t>
      </w:r>
      <w:r w:rsidRPr="00A375AB">
        <w:rPr>
          <w:noProof/>
          <w:lang w:val="en-IE"/>
        </w:rPr>
        <w:t>biofuels</w:t>
      </w:r>
      <w:r w:rsidR="00F3693F">
        <w:rPr>
          <w:noProof/>
          <w:lang w:val="en-IE"/>
        </w:rPr>
        <w:t>, biogas</w:t>
      </w:r>
      <w:r w:rsidRPr="00A375AB">
        <w:rPr>
          <w:noProof/>
          <w:lang w:val="en-IE"/>
        </w:rPr>
        <w:t xml:space="preserve"> and e-fuels</w:t>
      </w:r>
      <w:r w:rsidR="004C5B07">
        <w:rPr>
          <w:noProof/>
          <w:lang w:val="en-IE"/>
        </w:rPr>
        <w:t xml:space="preserve"> </w:t>
      </w:r>
      <w:r w:rsidR="004C5B07" w:rsidRPr="00036EBE">
        <w:rPr>
          <w:noProof/>
          <w:lang w:val="en-IE"/>
        </w:rPr>
        <w:t xml:space="preserve">(see Section </w:t>
      </w:r>
      <w:r w:rsidR="004C5B07" w:rsidRPr="00036EBE">
        <w:rPr>
          <w:noProof/>
          <w:lang w:val="en-IE"/>
        </w:rPr>
        <w:fldChar w:fldCharType="begin"/>
      </w:r>
      <w:r w:rsidR="004C5B07" w:rsidRPr="00036EBE">
        <w:rPr>
          <w:noProof/>
          <w:lang w:val="en-IE"/>
        </w:rPr>
        <w:instrText xml:space="preserve"> REF _Ref145692354 \r \h </w:instrText>
      </w:r>
      <w:r w:rsidR="00036EBE">
        <w:rPr>
          <w:noProof/>
          <w:lang w:val="en-IE"/>
        </w:rPr>
        <w:instrText xml:space="preserve"> \* MERGEFORMAT </w:instrText>
      </w:r>
      <w:r w:rsidR="004C5B07" w:rsidRPr="00036EBE">
        <w:rPr>
          <w:noProof/>
          <w:lang w:val="en-IE"/>
        </w:rPr>
      </w:r>
      <w:r w:rsidR="004C5B07" w:rsidRPr="00036EBE">
        <w:rPr>
          <w:noProof/>
          <w:lang w:val="en-IE"/>
        </w:rPr>
        <w:fldChar w:fldCharType="separate"/>
      </w:r>
      <w:r w:rsidR="00170A3C">
        <w:rPr>
          <w:noProof/>
          <w:lang w:val="en-IE"/>
        </w:rPr>
        <w:t>1.5.4</w:t>
      </w:r>
      <w:r w:rsidR="004C5B07" w:rsidRPr="00036EBE">
        <w:rPr>
          <w:noProof/>
          <w:lang w:val="en-IE"/>
        </w:rPr>
        <w:fldChar w:fldCharType="end"/>
      </w:r>
      <w:r w:rsidR="004C5B07" w:rsidRPr="00036EBE">
        <w:rPr>
          <w:noProof/>
          <w:lang w:val="en-IE"/>
        </w:rPr>
        <w:t>)</w:t>
      </w:r>
      <w:r w:rsidRPr="00036EBE">
        <w:rPr>
          <w:noProof/>
          <w:lang w:val="en-IE"/>
        </w:rPr>
        <w:t>.</w:t>
      </w:r>
      <w:r w:rsidRPr="00A375AB">
        <w:rPr>
          <w:noProof/>
          <w:lang w:val="en-IE"/>
        </w:rPr>
        <w:t xml:space="preserve"> Consequently, direct CO2 emissions from the EU’s transport sector are projected to decrease dramatically in the next decades, especially after 2030</w:t>
      </w:r>
      <w:r w:rsidR="004C5B07">
        <w:rPr>
          <w:noProof/>
          <w:lang w:val="en-IE"/>
        </w:rPr>
        <w:t xml:space="preserve"> </w:t>
      </w:r>
      <w:r w:rsidR="004C5B07" w:rsidRPr="00036EBE">
        <w:rPr>
          <w:noProof/>
          <w:lang w:val="en-IE"/>
        </w:rPr>
        <w:t xml:space="preserve">(see Section </w:t>
      </w:r>
      <w:r w:rsidR="004C5B07" w:rsidRPr="00036EBE">
        <w:rPr>
          <w:noProof/>
          <w:lang w:val="en-IE"/>
        </w:rPr>
        <w:fldChar w:fldCharType="begin"/>
      </w:r>
      <w:r w:rsidR="004C5B07" w:rsidRPr="00036EBE">
        <w:rPr>
          <w:noProof/>
          <w:lang w:val="en-IE"/>
        </w:rPr>
        <w:instrText xml:space="preserve"> REF _Ref145692364 \r \h </w:instrText>
      </w:r>
      <w:r w:rsidR="00036EBE">
        <w:rPr>
          <w:noProof/>
          <w:lang w:val="en-IE"/>
        </w:rPr>
        <w:instrText xml:space="preserve"> \* MERGEFORMAT </w:instrText>
      </w:r>
      <w:r w:rsidR="004C5B07" w:rsidRPr="00036EBE">
        <w:rPr>
          <w:noProof/>
          <w:lang w:val="en-IE"/>
        </w:rPr>
      </w:r>
      <w:r w:rsidR="004C5B07" w:rsidRPr="00036EBE">
        <w:rPr>
          <w:noProof/>
          <w:lang w:val="en-IE"/>
        </w:rPr>
        <w:fldChar w:fldCharType="separate"/>
      </w:r>
      <w:r w:rsidR="00170A3C">
        <w:rPr>
          <w:noProof/>
          <w:lang w:val="en-IE"/>
        </w:rPr>
        <w:t>1.5.5</w:t>
      </w:r>
      <w:r w:rsidR="004C5B07" w:rsidRPr="00036EBE">
        <w:rPr>
          <w:noProof/>
          <w:lang w:val="en-IE"/>
        </w:rPr>
        <w:fldChar w:fldCharType="end"/>
      </w:r>
      <w:r w:rsidR="004C5B07" w:rsidRPr="00036EBE">
        <w:rPr>
          <w:noProof/>
          <w:lang w:val="en-IE"/>
        </w:rPr>
        <w:t>)</w:t>
      </w:r>
      <w:r w:rsidRPr="00036EBE">
        <w:rPr>
          <w:noProof/>
          <w:lang w:val="en-IE"/>
        </w:rPr>
        <w:t>.</w:t>
      </w:r>
      <w:r w:rsidRPr="00A375AB">
        <w:rPr>
          <w:noProof/>
          <w:lang w:val="en-IE"/>
        </w:rPr>
        <w:t xml:space="preserve"> Road and maritime transport are the modes reducing their CO2 emissions the most by 2040</w:t>
      </w:r>
      <w:r w:rsidR="00B86335">
        <w:rPr>
          <w:noProof/>
          <w:lang w:val="en-IE"/>
        </w:rPr>
        <w:t>, and m</w:t>
      </w:r>
      <w:r w:rsidRPr="00A375AB">
        <w:rPr>
          <w:noProof/>
          <w:lang w:val="en-IE"/>
        </w:rPr>
        <w:t xml:space="preserve">ost of the transport-related emissions remaining in 2050 are projected to come from the international aviation sector. </w:t>
      </w:r>
    </w:p>
    <w:p w14:paraId="19063358" w14:textId="5F807B15" w:rsidR="006A3CCB" w:rsidRPr="00683BDC" w:rsidRDefault="00A375AB" w:rsidP="00BD37D3">
      <w:pPr>
        <w:rPr>
          <w:noProof/>
          <w:lang w:val="en-IE"/>
        </w:rPr>
      </w:pPr>
      <w:r w:rsidRPr="00A375AB">
        <w:rPr>
          <w:noProof/>
          <w:lang w:val="en-IE"/>
        </w:rPr>
        <w:t xml:space="preserve">The </w:t>
      </w:r>
      <w:r w:rsidRPr="0035139E">
        <w:rPr>
          <w:noProof/>
          <w:lang w:val="en-IE"/>
        </w:rPr>
        <w:t xml:space="preserve">decarbonisation pathways </w:t>
      </w:r>
      <w:r w:rsidR="00573A34" w:rsidRPr="0035139E">
        <w:rPr>
          <w:noProof/>
          <w:lang w:val="en-IE"/>
        </w:rPr>
        <w:t xml:space="preserve">for </w:t>
      </w:r>
      <w:bookmarkStart w:id="315" w:name="_Hlk145692595"/>
      <w:r w:rsidR="00573A34" w:rsidRPr="0035139E">
        <w:rPr>
          <w:noProof/>
          <w:lang w:val="en-IE"/>
        </w:rPr>
        <w:t>the transport sector</w:t>
      </w:r>
      <w:r w:rsidRPr="0035139E">
        <w:rPr>
          <w:noProof/>
          <w:lang w:val="en-IE"/>
        </w:rPr>
        <w:t xml:space="preserve"> </w:t>
      </w:r>
      <w:bookmarkEnd w:id="315"/>
      <w:r w:rsidRPr="0035139E">
        <w:rPr>
          <w:noProof/>
          <w:lang w:val="en-IE"/>
        </w:rPr>
        <w:t xml:space="preserve">are in line with the results of the public consultation. </w:t>
      </w:r>
      <w:r w:rsidR="00BF3EFB" w:rsidRPr="0035139E">
        <w:rPr>
          <w:noProof/>
          <w:lang w:val="en-IE"/>
        </w:rPr>
        <w:t>T</w:t>
      </w:r>
      <w:r w:rsidR="00236CE7" w:rsidRPr="0035139E">
        <w:rPr>
          <w:noProof/>
          <w:lang w:val="en-IE"/>
        </w:rPr>
        <w:t xml:space="preserve">he participants </w:t>
      </w:r>
      <w:r w:rsidR="00BF3EFB" w:rsidRPr="0035139E">
        <w:rPr>
          <w:noProof/>
          <w:lang w:val="en-IE"/>
        </w:rPr>
        <w:t>to</w:t>
      </w:r>
      <w:r w:rsidR="00236CE7" w:rsidRPr="0035139E">
        <w:rPr>
          <w:noProof/>
          <w:lang w:val="en-IE"/>
        </w:rPr>
        <w:t xml:space="preserve"> the “expert section” of the public consultation</w:t>
      </w:r>
      <w:r w:rsidRPr="0035139E">
        <w:rPr>
          <w:noProof/>
          <w:lang w:val="en-IE"/>
        </w:rPr>
        <w:t xml:space="preserve"> think that the transport sector will be one of the key sectors affected by the green transition after 2030, particularly because of the transition to electric vehicles and alternative fuels</w:t>
      </w:r>
      <w:r w:rsidR="00BF3EFB" w:rsidRPr="0035139E">
        <w:rPr>
          <w:noProof/>
          <w:lang w:val="en-IE"/>
        </w:rPr>
        <w:t xml:space="preserve"> (this</w:t>
      </w:r>
      <w:r w:rsidR="00360E6C" w:rsidRPr="0035139E">
        <w:rPr>
          <w:noProof/>
          <w:lang w:val="en-IE"/>
        </w:rPr>
        <w:t xml:space="preserve"> </w:t>
      </w:r>
      <w:r w:rsidR="00BF3EFB" w:rsidRPr="0035139E">
        <w:rPr>
          <w:noProof/>
          <w:lang w:val="en-IE"/>
        </w:rPr>
        <w:t>is mentioned by 20% of the respondents)</w:t>
      </w:r>
      <w:r w:rsidRPr="0035139E">
        <w:rPr>
          <w:noProof/>
          <w:lang w:val="en-IE"/>
        </w:rPr>
        <w:t xml:space="preserve">. The results of the public consultation also show that, amongst all economic sectors, </w:t>
      </w:r>
      <w:r w:rsidR="00BF3EFB" w:rsidRPr="0035139E">
        <w:rPr>
          <w:noProof/>
          <w:lang w:val="en-IE"/>
        </w:rPr>
        <w:t>the respondents</w:t>
      </w:r>
      <w:r w:rsidRPr="0035139E">
        <w:rPr>
          <w:noProof/>
          <w:lang w:val="en-IE"/>
        </w:rPr>
        <w:t xml:space="preserve"> give the highest priority to reduce emissions </w:t>
      </w:r>
      <w:r w:rsidR="00042960" w:rsidRPr="0035139E">
        <w:rPr>
          <w:noProof/>
          <w:lang w:val="en-IE"/>
        </w:rPr>
        <w:t>caused by</w:t>
      </w:r>
      <w:r w:rsidRPr="0035139E">
        <w:rPr>
          <w:noProof/>
          <w:lang w:val="en-IE"/>
        </w:rPr>
        <w:t xml:space="preserve"> the transport sector</w:t>
      </w:r>
      <w:r w:rsidR="00042960" w:rsidRPr="0035139E">
        <w:rPr>
          <w:noProof/>
          <w:lang w:val="en-IE"/>
        </w:rPr>
        <w:t>,</w:t>
      </w:r>
      <w:r w:rsidRPr="0035139E">
        <w:rPr>
          <w:noProof/>
          <w:lang w:val="en-IE"/>
        </w:rPr>
        <w:t xml:space="preserve"> particularly </w:t>
      </w:r>
      <w:r w:rsidR="001C4610" w:rsidRPr="0035139E">
        <w:rPr>
          <w:noProof/>
          <w:lang w:val="en-IE"/>
        </w:rPr>
        <w:t>“</w:t>
      </w:r>
      <w:r w:rsidRPr="0035139E">
        <w:rPr>
          <w:noProof/>
          <w:lang w:val="en-IE"/>
        </w:rPr>
        <w:t>aviation</w:t>
      </w:r>
      <w:r w:rsidR="00042960" w:rsidRPr="0035139E">
        <w:rPr>
          <w:noProof/>
          <w:lang w:val="en-IE"/>
        </w:rPr>
        <w:t xml:space="preserve"> and</w:t>
      </w:r>
      <w:r w:rsidRPr="0035139E">
        <w:rPr>
          <w:noProof/>
          <w:lang w:val="en-IE"/>
        </w:rPr>
        <w:t xml:space="preserve"> maritime transport</w:t>
      </w:r>
      <w:r w:rsidR="001C4610" w:rsidRPr="0035139E">
        <w:rPr>
          <w:noProof/>
          <w:lang w:val="en-IE"/>
        </w:rPr>
        <w:t>”</w:t>
      </w:r>
      <w:r w:rsidRPr="0035139E">
        <w:rPr>
          <w:noProof/>
          <w:lang w:val="en-IE"/>
        </w:rPr>
        <w:t xml:space="preserve"> </w:t>
      </w:r>
      <w:r w:rsidR="00042960" w:rsidRPr="0035139E">
        <w:rPr>
          <w:noProof/>
          <w:lang w:val="en-IE"/>
        </w:rPr>
        <w:t xml:space="preserve">(with an average priority of 4.42 between 1 and 5, 5 being the highest priority level) </w:t>
      </w:r>
      <w:r w:rsidRPr="0035139E">
        <w:rPr>
          <w:noProof/>
          <w:lang w:val="en-IE"/>
        </w:rPr>
        <w:t xml:space="preserve">and </w:t>
      </w:r>
      <w:r w:rsidR="001C4610" w:rsidRPr="0035139E">
        <w:rPr>
          <w:noProof/>
          <w:lang w:val="en-IE"/>
        </w:rPr>
        <w:t>“</w:t>
      </w:r>
      <w:r w:rsidRPr="0035139E">
        <w:rPr>
          <w:noProof/>
          <w:lang w:val="en-IE"/>
        </w:rPr>
        <w:t>road transport</w:t>
      </w:r>
      <w:r w:rsidR="001C4610" w:rsidRPr="0035139E">
        <w:rPr>
          <w:noProof/>
          <w:lang w:val="en-IE"/>
        </w:rPr>
        <w:t>”</w:t>
      </w:r>
      <w:r w:rsidR="00042960" w:rsidRPr="0035139E">
        <w:rPr>
          <w:noProof/>
          <w:lang w:val="en-IE"/>
        </w:rPr>
        <w:t xml:space="preserve"> (with an average priority of 4.39 between 1 and 5</w:t>
      </w:r>
      <w:r w:rsidRPr="0035139E">
        <w:rPr>
          <w:noProof/>
          <w:lang w:val="en-IE"/>
        </w:rPr>
        <w:t>)</w:t>
      </w:r>
      <w:r w:rsidR="00042960" w:rsidRPr="0035139E">
        <w:rPr>
          <w:noProof/>
          <w:lang w:val="en-IE"/>
        </w:rPr>
        <w:t xml:space="preserve">. However, </w:t>
      </w:r>
      <w:r w:rsidR="00BC5075" w:rsidRPr="0035139E">
        <w:rPr>
          <w:noProof/>
          <w:lang w:val="en-IE"/>
        </w:rPr>
        <w:t xml:space="preserve">overall, </w:t>
      </w:r>
      <w:r w:rsidR="00042960" w:rsidRPr="0035139E">
        <w:rPr>
          <w:noProof/>
          <w:lang w:val="en-IE"/>
        </w:rPr>
        <w:t>the respondents</w:t>
      </w:r>
      <w:r w:rsidRPr="0035139E">
        <w:rPr>
          <w:noProof/>
          <w:lang w:val="en-IE"/>
        </w:rPr>
        <w:t xml:space="preserve"> think </w:t>
      </w:r>
      <w:r w:rsidR="00042960" w:rsidRPr="0035139E">
        <w:rPr>
          <w:noProof/>
          <w:lang w:val="en-IE"/>
        </w:rPr>
        <w:t>that</w:t>
      </w:r>
      <w:r w:rsidRPr="0035139E">
        <w:rPr>
          <w:noProof/>
          <w:lang w:val="en-IE"/>
        </w:rPr>
        <w:t xml:space="preserve"> </w:t>
      </w:r>
      <w:r w:rsidR="001C4610" w:rsidRPr="0035139E">
        <w:rPr>
          <w:noProof/>
          <w:lang w:val="en-IE"/>
        </w:rPr>
        <w:t>“</w:t>
      </w:r>
      <w:r w:rsidR="00042960" w:rsidRPr="0035139E">
        <w:rPr>
          <w:noProof/>
          <w:lang w:val="en-IE"/>
        </w:rPr>
        <w:t>aviation and maritime transport</w:t>
      </w:r>
      <w:r w:rsidR="001C4610" w:rsidRPr="0035139E">
        <w:rPr>
          <w:noProof/>
          <w:lang w:val="en-IE"/>
        </w:rPr>
        <w:t>”</w:t>
      </w:r>
      <w:r w:rsidRPr="0035139E">
        <w:rPr>
          <w:noProof/>
          <w:lang w:val="en-IE"/>
        </w:rPr>
        <w:t xml:space="preserve"> will be the last </w:t>
      </w:r>
      <w:r w:rsidR="00781C1E" w:rsidRPr="0035139E">
        <w:rPr>
          <w:noProof/>
          <w:lang w:val="en-IE"/>
        </w:rPr>
        <w:t xml:space="preserve">economic </w:t>
      </w:r>
      <w:r w:rsidRPr="0035139E">
        <w:rPr>
          <w:noProof/>
          <w:lang w:val="en-IE"/>
        </w:rPr>
        <w:t>sector</w:t>
      </w:r>
      <w:r w:rsidR="00A4172A">
        <w:rPr>
          <w:noProof/>
          <w:lang w:val="en-IE"/>
        </w:rPr>
        <w:t>s</w:t>
      </w:r>
      <w:r w:rsidRPr="0035139E">
        <w:rPr>
          <w:noProof/>
          <w:lang w:val="en-IE"/>
        </w:rPr>
        <w:t xml:space="preserve"> to become climate neutral</w:t>
      </w:r>
      <w:r w:rsidR="00BC5075" w:rsidRPr="0035139E">
        <w:rPr>
          <w:noProof/>
          <w:lang w:val="en-IE"/>
        </w:rPr>
        <w:t>, compared to “production of electricity and district heating”, “industrial processes and waste”, “buildings”, “agriculture, forestry and other land use” and “road transport”.</w:t>
      </w:r>
    </w:p>
    <w:p w14:paraId="37F0F0FC" w14:textId="0F52DA41" w:rsidR="00554F69" w:rsidRPr="003F6B63" w:rsidRDefault="00052C13" w:rsidP="003F6B63">
      <w:pPr>
        <w:pStyle w:val="Heading3"/>
        <w:rPr>
          <w:noProof/>
        </w:rPr>
      </w:pPr>
      <w:bookmarkStart w:id="316" w:name="_Ref143242989"/>
      <w:bookmarkStart w:id="317" w:name="_Toc148605606"/>
      <w:bookmarkStart w:id="318" w:name="_Toc157692052"/>
      <w:r>
        <w:rPr>
          <w:noProof/>
        </w:rPr>
        <w:t>A</w:t>
      </w:r>
      <w:r w:rsidR="005C6D7E" w:rsidRPr="003F6B63">
        <w:rPr>
          <w:noProof/>
        </w:rPr>
        <w:t>ctivity</w:t>
      </w:r>
      <w:bookmarkEnd w:id="316"/>
      <w:bookmarkEnd w:id="317"/>
      <w:bookmarkEnd w:id="318"/>
    </w:p>
    <w:p w14:paraId="6272A259" w14:textId="64286AA8" w:rsidR="00103CAC" w:rsidRDefault="00103CAC" w:rsidP="00103CAC">
      <w:pPr>
        <w:rPr>
          <w:noProof/>
        </w:rPr>
      </w:pPr>
      <w:r w:rsidRPr="00103CAC">
        <w:rPr>
          <w:noProof/>
        </w:rPr>
        <w:t xml:space="preserve">A sustained growth in transport activity at EU level </w:t>
      </w:r>
      <w:r w:rsidR="0008438E">
        <w:rPr>
          <w:noProof/>
        </w:rPr>
        <w:t xml:space="preserve">is </w:t>
      </w:r>
      <w:r w:rsidRPr="00103CAC">
        <w:rPr>
          <w:noProof/>
        </w:rPr>
        <w:t>observed in all scenarios</w:t>
      </w:r>
      <w:r w:rsidR="0008438E">
        <w:rPr>
          <w:noProof/>
        </w:rPr>
        <w:t>, following the post-COVID recovery</w:t>
      </w:r>
      <w:r w:rsidRPr="00103CAC">
        <w:rPr>
          <w:noProof/>
        </w:rPr>
        <w:t xml:space="preserve">. Total </w:t>
      </w:r>
      <w:r w:rsidRPr="00F2024B">
        <w:rPr>
          <w:b/>
          <w:noProof/>
        </w:rPr>
        <w:t>passenger transport</w:t>
      </w:r>
      <w:r w:rsidRPr="00103CAC">
        <w:rPr>
          <w:noProof/>
        </w:rPr>
        <w:t xml:space="preserve"> activity</w:t>
      </w:r>
      <w:r w:rsidR="00F1274A">
        <w:rPr>
          <w:noProof/>
        </w:rPr>
        <w:t xml:space="preserve"> (expressed in passenger-km</w:t>
      </w:r>
      <w:r w:rsidR="00D553A1" w:rsidRPr="00D553A1">
        <w:rPr>
          <w:noProof/>
        </w:rPr>
        <w:t>, excluding international navigation</w:t>
      </w:r>
      <w:r w:rsidR="004A0D8B">
        <w:rPr>
          <w:noProof/>
        </w:rPr>
        <w:t xml:space="preserve"> and extra-EU aviation</w:t>
      </w:r>
      <w:r w:rsidR="005642F6">
        <w:rPr>
          <w:noProof/>
        </w:rPr>
        <w:t>)</w:t>
      </w:r>
      <w:r w:rsidR="00F1274A">
        <w:rPr>
          <w:noProof/>
        </w:rPr>
        <w:t>,</w:t>
      </w:r>
      <w:r w:rsidRPr="00103CAC">
        <w:rPr>
          <w:noProof/>
        </w:rPr>
        <w:t xml:space="preserve"> increases to a similar extent in the </w:t>
      </w:r>
      <w:r w:rsidR="00511344">
        <w:rPr>
          <w:noProof/>
        </w:rPr>
        <w:t xml:space="preserve">main </w:t>
      </w:r>
      <w:r w:rsidRPr="00103CAC">
        <w:rPr>
          <w:noProof/>
        </w:rPr>
        <w:t>scenarios</w:t>
      </w:r>
      <w:r w:rsidR="00511344">
        <w:rPr>
          <w:noProof/>
        </w:rPr>
        <w:t xml:space="preserve"> (</w:t>
      </w:r>
      <w:r w:rsidRPr="00103CAC">
        <w:rPr>
          <w:noProof/>
        </w:rPr>
        <w:t>S1, S2 and S3</w:t>
      </w:r>
      <w:r w:rsidR="00511344">
        <w:rPr>
          <w:noProof/>
        </w:rPr>
        <w:t>)</w:t>
      </w:r>
      <w:r w:rsidRPr="00103CAC">
        <w:rPr>
          <w:noProof/>
        </w:rPr>
        <w:t xml:space="preserve">. </w:t>
      </w:r>
      <w:r w:rsidRPr="00E301F6">
        <w:rPr>
          <w:noProof/>
        </w:rPr>
        <w:t>A</w:t>
      </w:r>
      <w:r>
        <w:rPr>
          <w:noProof/>
        </w:rPr>
        <w:t>s</w:t>
      </w:r>
      <w:r w:rsidRPr="00E301F6">
        <w:rPr>
          <w:noProof/>
        </w:rPr>
        <w:t xml:space="preserve"> shown in </w:t>
      </w:r>
      <w:r w:rsidRPr="008507CE">
        <w:rPr>
          <w:noProof/>
          <w:color w:val="2B579A"/>
          <w:shd w:val="clear" w:color="auto" w:fill="E6E6E6"/>
        </w:rPr>
        <w:fldChar w:fldCharType="begin"/>
      </w:r>
      <w:r>
        <w:rPr>
          <w:noProof/>
        </w:rPr>
        <w:instrText xml:space="preserve"> REF _Ref140858771 \h </w:instrText>
      </w:r>
      <w:r>
        <w:rPr>
          <w:noProof/>
          <w:color w:val="2B579A"/>
          <w:shd w:val="clear" w:color="auto" w:fill="E6E6E6"/>
        </w:rPr>
        <w:instrText xml:space="preserve"> \* MERGEFORMAT </w:instrText>
      </w:r>
      <w:r w:rsidRPr="008507CE">
        <w:rPr>
          <w:noProof/>
          <w:color w:val="2B579A"/>
          <w:shd w:val="clear" w:color="auto" w:fill="E6E6E6"/>
        </w:rPr>
      </w:r>
      <w:r w:rsidRPr="008507CE">
        <w:rPr>
          <w:noProof/>
          <w:color w:val="2B579A"/>
          <w:shd w:val="clear" w:color="auto" w:fill="E6E6E6"/>
        </w:rPr>
        <w:fldChar w:fldCharType="separate"/>
      </w:r>
      <w:r w:rsidR="00170A3C">
        <w:rPr>
          <w:noProof/>
        </w:rPr>
        <w:t>Figure 60</w:t>
      </w:r>
      <w:r w:rsidRPr="008507CE">
        <w:rPr>
          <w:noProof/>
          <w:color w:val="2B579A"/>
          <w:shd w:val="clear" w:color="auto" w:fill="E6E6E6"/>
        </w:rPr>
        <w:fldChar w:fldCharType="end"/>
      </w:r>
      <w:r w:rsidRPr="008507CE">
        <w:rPr>
          <w:noProof/>
        </w:rPr>
        <w:t xml:space="preserve"> and </w:t>
      </w:r>
      <w:r w:rsidR="000576F4" w:rsidRPr="008507CE">
        <w:rPr>
          <w:noProof/>
        </w:rPr>
        <w:fldChar w:fldCharType="begin"/>
      </w:r>
      <w:r w:rsidR="000576F4" w:rsidRPr="008507CE">
        <w:rPr>
          <w:noProof/>
        </w:rPr>
        <w:instrText xml:space="preserve"> REF _Ref140858789 \h </w:instrText>
      </w:r>
      <w:r w:rsidR="00036039" w:rsidRPr="008507CE">
        <w:rPr>
          <w:noProof/>
        </w:rPr>
        <w:instrText xml:space="preserve"> \* MERGEFORMAT </w:instrText>
      </w:r>
      <w:r w:rsidR="000576F4" w:rsidRPr="008507CE">
        <w:rPr>
          <w:noProof/>
        </w:rPr>
      </w:r>
      <w:r w:rsidR="000576F4" w:rsidRPr="008507CE">
        <w:rPr>
          <w:noProof/>
        </w:rPr>
        <w:fldChar w:fldCharType="separate"/>
      </w:r>
      <w:r w:rsidR="00170A3C">
        <w:rPr>
          <w:noProof/>
        </w:rPr>
        <w:t>Figure 61</w:t>
      </w:r>
      <w:r w:rsidR="000576F4" w:rsidRPr="008507CE">
        <w:rPr>
          <w:noProof/>
        </w:rPr>
        <w:fldChar w:fldCharType="end"/>
      </w:r>
      <w:r w:rsidRPr="00103CAC">
        <w:rPr>
          <w:noProof/>
        </w:rPr>
        <w:t xml:space="preserve">, in these scenarios, total activity </w:t>
      </w:r>
      <w:r w:rsidRPr="00F242F7">
        <w:rPr>
          <w:noProof/>
        </w:rPr>
        <w:t xml:space="preserve">increases by </w:t>
      </w:r>
      <w:r w:rsidR="00036039" w:rsidRPr="00F242F7">
        <w:rPr>
          <w:noProof/>
        </w:rPr>
        <w:t>26-27</w:t>
      </w:r>
      <w:r w:rsidRPr="00F242F7">
        <w:rPr>
          <w:noProof/>
        </w:rPr>
        <w:t xml:space="preserve">% (depending on the scenario) in 2040 and </w:t>
      </w:r>
      <w:r w:rsidR="00036039" w:rsidRPr="00F242F7">
        <w:rPr>
          <w:noProof/>
        </w:rPr>
        <w:t>32</w:t>
      </w:r>
      <w:r w:rsidRPr="00F242F7">
        <w:rPr>
          <w:noProof/>
        </w:rPr>
        <w:t>% in 2050 compared to 2015. However, there are differences between transport modes with respect to activity growth. The modes showing the greatest increase in activity relative to 2015 are rail (65-67% in 2040 and 83-86% in 2050)</w:t>
      </w:r>
      <w:r w:rsidR="004220D1" w:rsidRPr="00F242F7">
        <w:rPr>
          <w:noProof/>
        </w:rPr>
        <w:t>, driven mainly by the revision of the TEN-T Regulation, CEF funding, the proposal for the increase in railway capacity use and the action plan to boost long-distance and cross-border passenger rail,</w:t>
      </w:r>
      <w:r w:rsidRPr="00F242F7">
        <w:rPr>
          <w:noProof/>
        </w:rPr>
        <w:t xml:space="preserve"> and </w:t>
      </w:r>
      <w:r w:rsidR="00A85033" w:rsidRPr="00F242F7">
        <w:rPr>
          <w:noProof/>
        </w:rPr>
        <w:t xml:space="preserve">intra-EU </w:t>
      </w:r>
      <w:r w:rsidRPr="00F242F7">
        <w:rPr>
          <w:noProof/>
        </w:rPr>
        <w:t>aviation (</w:t>
      </w:r>
      <w:r w:rsidR="00A85033" w:rsidRPr="00F242F7">
        <w:rPr>
          <w:noProof/>
        </w:rPr>
        <w:t>56-57</w:t>
      </w:r>
      <w:r w:rsidRPr="00F242F7">
        <w:rPr>
          <w:noProof/>
        </w:rPr>
        <w:t>% increase in 2040 and 7</w:t>
      </w:r>
      <w:r w:rsidR="00A85033" w:rsidRPr="00F242F7">
        <w:rPr>
          <w:noProof/>
        </w:rPr>
        <w:t>4</w:t>
      </w:r>
      <w:r w:rsidRPr="00F242F7">
        <w:rPr>
          <w:noProof/>
        </w:rPr>
        <w:t>% increase in 2050)</w:t>
      </w:r>
      <w:r w:rsidR="004220D1" w:rsidRPr="00F242F7">
        <w:rPr>
          <w:noProof/>
        </w:rPr>
        <w:t>, driven by the sustained economic growth and the post-COVID recovery</w:t>
      </w:r>
      <w:r w:rsidRPr="00F242F7">
        <w:rPr>
          <w:noProof/>
        </w:rPr>
        <w:t xml:space="preserve">. Road transport activity grows by 20-21% between 2015 and 2040 (see </w:t>
      </w:r>
      <w:r w:rsidR="00B90A6F" w:rsidRPr="00F242F7">
        <w:rPr>
          <w:noProof/>
        </w:rPr>
        <w:fldChar w:fldCharType="begin"/>
      </w:r>
      <w:r w:rsidR="00B90A6F" w:rsidRPr="00F242F7">
        <w:rPr>
          <w:noProof/>
        </w:rPr>
        <w:instrText xml:space="preserve"> REF _Ref140858789 \h </w:instrText>
      </w:r>
      <w:r w:rsidR="00511344" w:rsidRPr="00F242F7">
        <w:rPr>
          <w:noProof/>
        </w:rPr>
        <w:instrText xml:space="preserve"> \* MERGEFORMAT </w:instrText>
      </w:r>
      <w:r w:rsidR="00B90A6F" w:rsidRPr="00F242F7">
        <w:rPr>
          <w:noProof/>
        </w:rPr>
      </w:r>
      <w:r w:rsidR="00B90A6F" w:rsidRPr="00F242F7">
        <w:rPr>
          <w:noProof/>
        </w:rPr>
        <w:fldChar w:fldCharType="separate"/>
      </w:r>
      <w:r w:rsidR="00170A3C">
        <w:rPr>
          <w:noProof/>
        </w:rPr>
        <w:t>Figure 61</w:t>
      </w:r>
      <w:r w:rsidR="00B90A6F" w:rsidRPr="00F242F7">
        <w:rPr>
          <w:noProof/>
        </w:rPr>
        <w:fldChar w:fldCharType="end"/>
      </w:r>
      <w:r w:rsidRPr="00F242F7">
        <w:rPr>
          <w:noProof/>
        </w:rPr>
        <w:t>) and then mostly stabilises (</w:t>
      </w:r>
      <w:r w:rsidR="006D4866">
        <w:rPr>
          <w:noProof/>
        </w:rPr>
        <w:t xml:space="preserve">between 2015 and 2050, activity grows by </w:t>
      </w:r>
      <w:r w:rsidR="00375DC1" w:rsidRPr="00375DC1">
        <w:rPr>
          <w:noProof/>
        </w:rPr>
        <w:t>23%</w:t>
      </w:r>
      <w:r w:rsidR="006D4866">
        <w:rPr>
          <w:noProof/>
        </w:rPr>
        <w:t xml:space="preserve">, </w:t>
      </w:r>
      <w:r w:rsidRPr="00F242F7">
        <w:rPr>
          <w:noProof/>
        </w:rPr>
        <w:t>see</w:t>
      </w:r>
      <w:r w:rsidR="00B90A6F" w:rsidRPr="00F242F7">
        <w:rPr>
          <w:noProof/>
        </w:rPr>
        <w:t xml:space="preserve"> </w:t>
      </w:r>
      <w:r w:rsidR="00B90A6F" w:rsidRPr="00F242F7">
        <w:rPr>
          <w:noProof/>
        </w:rPr>
        <w:fldChar w:fldCharType="begin"/>
      </w:r>
      <w:r w:rsidR="00B90A6F" w:rsidRPr="00F242F7">
        <w:rPr>
          <w:noProof/>
        </w:rPr>
        <w:instrText xml:space="preserve"> REF _Ref140858771 \h </w:instrText>
      </w:r>
      <w:r w:rsidR="00511344" w:rsidRPr="00F242F7">
        <w:rPr>
          <w:noProof/>
        </w:rPr>
        <w:instrText xml:space="preserve"> \* MERGEFORMAT </w:instrText>
      </w:r>
      <w:r w:rsidR="00B90A6F" w:rsidRPr="00F242F7">
        <w:rPr>
          <w:noProof/>
        </w:rPr>
      </w:r>
      <w:r w:rsidR="00B90A6F" w:rsidRPr="00F242F7">
        <w:rPr>
          <w:noProof/>
        </w:rPr>
        <w:fldChar w:fldCharType="separate"/>
      </w:r>
      <w:r w:rsidR="00170A3C">
        <w:rPr>
          <w:noProof/>
        </w:rPr>
        <w:t>Figure 60</w:t>
      </w:r>
      <w:r w:rsidR="00B90A6F" w:rsidRPr="00F242F7">
        <w:rPr>
          <w:noProof/>
        </w:rPr>
        <w:fldChar w:fldCharType="end"/>
      </w:r>
      <w:r w:rsidRPr="00F242F7">
        <w:rPr>
          <w:noProof/>
        </w:rPr>
        <w:t xml:space="preserve">). </w:t>
      </w:r>
      <w:r w:rsidR="00FF6502" w:rsidRPr="00FF6502">
        <w:rPr>
          <w:noProof/>
        </w:rPr>
        <w:t xml:space="preserve">Domestic navigation activity is projected to increase by 12-17% in 2040 </w:t>
      </w:r>
      <w:r w:rsidR="00CB6F25">
        <w:rPr>
          <w:noProof/>
        </w:rPr>
        <w:t>and by 20-23%</w:t>
      </w:r>
      <w:r w:rsidR="006E0226">
        <w:rPr>
          <w:noProof/>
        </w:rPr>
        <w:t xml:space="preserve"> in 2050, </w:t>
      </w:r>
      <w:r w:rsidR="00FF6502" w:rsidRPr="00FF6502">
        <w:rPr>
          <w:noProof/>
        </w:rPr>
        <w:t>relative to 2015</w:t>
      </w:r>
      <w:r w:rsidR="003169CE" w:rsidRPr="003169CE">
        <w:rPr>
          <w:noProof/>
        </w:rPr>
        <w:t> (</w:t>
      </w:r>
      <w:r w:rsidR="003169CE">
        <w:rPr>
          <w:rStyle w:val="FootnoteReference"/>
          <w:noProof/>
        </w:rPr>
        <w:footnoteReference w:id="111"/>
      </w:r>
      <w:r w:rsidR="003169CE">
        <w:rPr>
          <w:noProof/>
        </w:rPr>
        <w:t>)</w:t>
      </w:r>
      <w:r w:rsidR="006E0226">
        <w:rPr>
          <w:noProof/>
        </w:rPr>
        <w:t xml:space="preserve">. </w:t>
      </w:r>
      <w:r w:rsidR="00511344" w:rsidRPr="00F242F7">
        <w:rPr>
          <w:noProof/>
        </w:rPr>
        <w:t>There are slight differences between the three</w:t>
      </w:r>
      <w:r w:rsidR="00511344">
        <w:rPr>
          <w:noProof/>
        </w:rPr>
        <w:t xml:space="preserve"> main scenarios.</w:t>
      </w:r>
      <w:r w:rsidRPr="00103CAC">
        <w:rPr>
          <w:noProof/>
        </w:rPr>
        <w:t xml:space="preserve"> The S3 scenario </w:t>
      </w:r>
      <w:r w:rsidR="002E774C">
        <w:rPr>
          <w:noProof/>
        </w:rPr>
        <w:t>shows</w:t>
      </w:r>
      <w:r w:rsidRPr="00103CAC">
        <w:rPr>
          <w:noProof/>
        </w:rPr>
        <w:t xml:space="preserve"> the highest increase in rail transport activity and the lowest increase in road and air transport activity over </w:t>
      </w:r>
      <w:r w:rsidR="00A700B6">
        <w:rPr>
          <w:noProof/>
        </w:rPr>
        <w:t>time</w:t>
      </w:r>
      <w:r w:rsidRPr="00103CAC">
        <w:rPr>
          <w:noProof/>
        </w:rPr>
        <w:t>, whereas the S1 scenario shows the lowest increase in rail transport activity and the highest increase in road and air transport activity.</w:t>
      </w:r>
    </w:p>
    <w:p w14:paraId="4BADF962" w14:textId="0BE538FE" w:rsidR="00922C80" w:rsidRPr="005269A4" w:rsidRDefault="00922C80" w:rsidP="00103CAC">
      <w:pPr>
        <w:rPr>
          <w:noProof/>
        </w:rPr>
      </w:pPr>
      <w:r w:rsidRPr="004C58B2">
        <w:rPr>
          <w:noProof/>
        </w:rPr>
        <w:t xml:space="preserve">In </w:t>
      </w:r>
      <w:r w:rsidR="00C459D4">
        <w:rPr>
          <w:noProof/>
        </w:rPr>
        <w:t>LIFE</w:t>
      </w:r>
      <w:r w:rsidRPr="004C58B2">
        <w:rPr>
          <w:noProof/>
        </w:rPr>
        <w:t>,</w:t>
      </w:r>
      <w:r w:rsidR="004C58B2" w:rsidRPr="004C58B2">
        <w:rPr>
          <w:noProof/>
        </w:rPr>
        <w:t xml:space="preserve"> total passenger transport activity </w:t>
      </w:r>
      <w:r w:rsidR="00D56190">
        <w:rPr>
          <w:noProof/>
        </w:rPr>
        <w:t>(</w:t>
      </w:r>
      <w:r w:rsidR="00D56190" w:rsidRPr="00D56190">
        <w:rPr>
          <w:noProof/>
        </w:rPr>
        <w:t>excluding international navigation</w:t>
      </w:r>
      <w:r w:rsidR="004A0D8B">
        <w:rPr>
          <w:noProof/>
        </w:rPr>
        <w:t xml:space="preserve"> and extra-EU </w:t>
      </w:r>
      <w:r w:rsidR="00D56190" w:rsidRPr="00D56190">
        <w:rPr>
          <w:noProof/>
        </w:rPr>
        <w:t>aviation</w:t>
      </w:r>
      <w:r w:rsidR="00D56190">
        <w:rPr>
          <w:noProof/>
        </w:rPr>
        <w:t>)</w:t>
      </w:r>
      <w:r w:rsidR="004C58B2" w:rsidRPr="004C58B2">
        <w:rPr>
          <w:noProof/>
        </w:rPr>
        <w:t xml:space="preserve"> </w:t>
      </w:r>
      <w:r w:rsidR="00263C91">
        <w:rPr>
          <w:noProof/>
        </w:rPr>
        <w:t xml:space="preserve">still </w:t>
      </w:r>
      <w:r w:rsidR="004C58B2" w:rsidRPr="004C58B2">
        <w:rPr>
          <w:noProof/>
        </w:rPr>
        <w:t>increases</w:t>
      </w:r>
      <w:r w:rsidR="00263C91">
        <w:rPr>
          <w:noProof/>
        </w:rPr>
        <w:t xml:space="preserve"> over time, but</w:t>
      </w:r>
      <w:r w:rsidR="004C58B2" w:rsidRPr="004C58B2">
        <w:rPr>
          <w:noProof/>
        </w:rPr>
        <w:t xml:space="preserve"> less </w:t>
      </w:r>
      <w:r w:rsidR="004C58B2" w:rsidRPr="005269A4">
        <w:rPr>
          <w:noProof/>
        </w:rPr>
        <w:t xml:space="preserve">than in the </w:t>
      </w:r>
      <w:r w:rsidR="0063749A" w:rsidRPr="005269A4">
        <w:rPr>
          <w:noProof/>
        </w:rPr>
        <w:t xml:space="preserve">three </w:t>
      </w:r>
      <w:r w:rsidR="00A40504">
        <w:rPr>
          <w:noProof/>
        </w:rPr>
        <w:t xml:space="preserve">main </w:t>
      </w:r>
      <w:r w:rsidR="004C58B2" w:rsidRPr="005269A4">
        <w:rPr>
          <w:noProof/>
        </w:rPr>
        <w:t>scenarios</w:t>
      </w:r>
      <w:r w:rsidR="0035139E" w:rsidRPr="005269A4">
        <w:rPr>
          <w:noProof/>
        </w:rPr>
        <w:t xml:space="preserve"> </w:t>
      </w:r>
      <w:r w:rsidR="00CD649B" w:rsidRPr="005269A4">
        <w:rPr>
          <w:noProof/>
        </w:rPr>
        <w:t>(</w:t>
      </w:r>
      <w:r w:rsidR="00CD649B" w:rsidRPr="005269A4">
        <w:rPr>
          <w:rStyle w:val="FootnoteReference"/>
          <w:noProof/>
        </w:rPr>
        <w:footnoteReference w:id="112"/>
      </w:r>
      <w:r w:rsidR="00CD649B" w:rsidRPr="005269A4">
        <w:rPr>
          <w:noProof/>
        </w:rPr>
        <w:t>)</w:t>
      </w:r>
      <w:r w:rsidR="004C58B2" w:rsidRPr="005269A4">
        <w:rPr>
          <w:noProof/>
        </w:rPr>
        <w:t xml:space="preserve">. As shown in </w:t>
      </w:r>
      <w:r w:rsidR="00336BBF" w:rsidRPr="005269A4">
        <w:rPr>
          <w:noProof/>
        </w:rPr>
        <w:fldChar w:fldCharType="begin"/>
      </w:r>
      <w:r w:rsidR="00336BBF" w:rsidRPr="005269A4">
        <w:rPr>
          <w:noProof/>
        </w:rPr>
        <w:instrText xml:space="preserve"> REF _Ref145094073 \h  \* MERGEFORMAT </w:instrText>
      </w:r>
      <w:r w:rsidR="00336BBF" w:rsidRPr="005269A4">
        <w:rPr>
          <w:noProof/>
        </w:rPr>
      </w:r>
      <w:r w:rsidR="00336BBF" w:rsidRPr="005269A4">
        <w:rPr>
          <w:noProof/>
        </w:rPr>
        <w:fldChar w:fldCharType="separate"/>
      </w:r>
      <w:r w:rsidR="00170A3C">
        <w:rPr>
          <w:noProof/>
        </w:rPr>
        <w:t>Figure 60</w:t>
      </w:r>
      <w:r w:rsidR="00336BBF" w:rsidRPr="005269A4">
        <w:rPr>
          <w:noProof/>
        </w:rPr>
        <w:fldChar w:fldCharType="end"/>
      </w:r>
      <w:r w:rsidR="00336BBF" w:rsidRPr="005269A4">
        <w:rPr>
          <w:noProof/>
        </w:rPr>
        <w:t xml:space="preserve"> </w:t>
      </w:r>
      <w:r w:rsidR="004C58B2" w:rsidRPr="005269A4">
        <w:rPr>
          <w:noProof/>
        </w:rPr>
        <w:t xml:space="preserve">and </w:t>
      </w:r>
      <w:r w:rsidR="00336BBF" w:rsidRPr="005269A4">
        <w:rPr>
          <w:noProof/>
        </w:rPr>
        <w:fldChar w:fldCharType="begin"/>
      </w:r>
      <w:r w:rsidR="00336BBF" w:rsidRPr="005269A4">
        <w:rPr>
          <w:noProof/>
        </w:rPr>
        <w:instrText xml:space="preserve"> REF _Ref145094078 \h  \* MERGEFORMAT </w:instrText>
      </w:r>
      <w:r w:rsidR="00336BBF" w:rsidRPr="005269A4">
        <w:rPr>
          <w:noProof/>
        </w:rPr>
      </w:r>
      <w:r w:rsidR="00336BBF" w:rsidRPr="005269A4">
        <w:rPr>
          <w:noProof/>
        </w:rPr>
        <w:fldChar w:fldCharType="separate"/>
      </w:r>
      <w:r w:rsidR="00170A3C">
        <w:rPr>
          <w:noProof/>
        </w:rPr>
        <w:t>Figure 61</w:t>
      </w:r>
      <w:r w:rsidR="00336BBF" w:rsidRPr="005269A4">
        <w:rPr>
          <w:noProof/>
        </w:rPr>
        <w:fldChar w:fldCharType="end"/>
      </w:r>
      <w:r w:rsidR="004C58B2" w:rsidRPr="005269A4">
        <w:rPr>
          <w:noProof/>
        </w:rPr>
        <w:t xml:space="preserve">, </w:t>
      </w:r>
      <w:r w:rsidR="00737166">
        <w:rPr>
          <w:noProof/>
        </w:rPr>
        <w:t xml:space="preserve">total </w:t>
      </w:r>
      <w:r w:rsidR="004C58B2" w:rsidRPr="005269A4">
        <w:rPr>
          <w:noProof/>
        </w:rPr>
        <w:t>passenger activity increases by 2</w:t>
      </w:r>
      <w:r w:rsidR="007E7F0E" w:rsidRPr="005269A4">
        <w:rPr>
          <w:noProof/>
        </w:rPr>
        <w:t>2</w:t>
      </w:r>
      <w:r w:rsidR="004C58B2" w:rsidRPr="005269A4">
        <w:rPr>
          <w:noProof/>
        </w:rPr>
        <w:t xml:space="preserve">% in 2040 and </w:t>
      </w:r>
      <w:r w:rsidR="007E7F0E" w:rsidRPr="005269A4">
        <w:rPr>
          <w:noProof/>
        </w:rPr>
        <w:t>27</w:t>
      </w:r>
      <w:r w:rsidR="004C58B2" w:rsidRPr="005269A4">
        <w:rPr>
          <w:noProof/>
        </w:rPr>
        <w:t xml:space="preserve">% in 2050 compared to 2015 (i.e., </w:t>
      </w:r>
      <w:r w:rsidR="00C8170E" w:rsidRPr="005269A4">
        <w:rPr>
          <w:noProof/>
        </w:rPr>
        <w:t>4-</w:t>
      </w:r>
      <w:r w:rsidR="004C58B2" w:rsidRPr="005269A4">
        <w:rPr>
          <w:noProof/>
        </w:rPr>
        <w:t xml:space="preserve">5 </w:t>
      </w:r>
      <w:r w:rsidR="00737166">
        <w:rPr>
          <w:noProof/>
        </w:rPr>
        <w:t xml:space="preserve">and </w:t>
      </w:r>
      <w:r w:rsidR="004C58B2" w:rsidRPr="005269A4">
        <w:rPr>
          <w:noProof/>
        </w:rPr>
        <w:t>5</w:t>
      </w:r>
      <w:r w:rsidR="00737166">
        <w:rPr>
          <w:noProof/>
        </w:rPr>
        <w:t>-6</w:t>
      </w:r>
      <w:r w:rsidR="004C58B2" w:rsidRPr="005269A4">
        <w:rPr>
          <w:noProof/>
        </w:rPr>
        <w:t xml:space="preserve"> percentage points less than </w:t>
      </w:r>
      <w:r w:rsidR="0063749A" w:rsidRPr="005269A4">
        <w:rPr>
          <w:noProof/>
        </w:rPr>
        <w:t xml:space="preserve">in </w:t>
      </w:r>
      <w:r w:rsidR="004C58B2" w:rsidRPr="005269A4">
        <w:rPr>
          <w:noProof/>
        </w:rPr>
        <w:t>the other scenarios</w:t>
      </w:r>
      <w:r w:rsidR="00737166">
        <w:rPr>
          <w:noProof/>
        </w:rPr>
        <w:t>, respectively</w:t>
      </w:r>
      <w:r w:rsidR="004C58B2" w:rsidRPr="005269A4">
        <w:rPr>
          <w:noProof/>
        </w:rPr>
        <w:t xml:space="preserve">). If one looks at the activity per mode, </w:t>
      </w:r>
      <w:r w:rsidR="0063749A" w:rsidRPr="005269A4">
        <w:rPr>
          <w:noProof/>
        </w:rPr>
        <w:t xml:space="preserve">intra-EU </w:t>
      </w:r>
      <w:r w:rsidR="004C58B2" w:rsidRPr="005269A4">
        <w:rPr>
          <w:noProof/>
        </w:rPr>
        <w:t xml:space="preserve">aviation shows much lower activity growth rates relative to 2015 than the </w:t>
      </w:r>
      <w:r w:rsidR="00C204CA" w:rsidRPr="005269A4">
        <w:rPr>
          <w:noProof/>
        </w:rPr>
        <w:t>other</w:t>
      </w:r>
      <w:r w:rsidR="004C58B2" w:rsidRPr="005269A4">
        <w:rPr>
          <w:noProof/>
        </w:rPr>
        <w:t xml:space="preserve"> scenarios (4</w:t>
      </w:r>
      <w:r w:rsidR="0063749A" w:rsidRPr="005269A4">
        <w:rPr>
          <w:noProof/>
        </w:rPr>
        <w:t>2</w:t>
      </w:r>
      <w:r w:rsidR="004C58B2" w:rsidRPr="005269A4">
        <w:rPr>
          <w:noProof/>
        </w:rPr>
        <w:t>% in 2040, i.e., 15</w:t>
      </w:r>
      <w:r w:rsidR="00737166">
        <w:rPr>
          <w:noProof/>
        </w:rPr>
        <w:t>-16</w:t>
      </w:r>
      <w:r w:rsidR="004C58B2" w:rsidRPr="005269A4">
        <w:rPr>
          <w:noProof/>
        </w:rPr>
        <w:t xml:space="preserve"> pp less than </w:t>
      </w:r>
      <w:r w:rsidR="0063749A" w:rsidRPr="005269A4">
        <w:rPr>
          <w:noProof/>
        </w:rPr>
        <w:t xml:space="preserve">in </w:t>
      </w:r>
      <w:r w:rsidR="00C204CA" w:rsidRPr="005269A4">
        <w:rPr>
          <w:noProof/>
        </w:rPr>
        <w:t>S2</w:t>
      </w:r>
      <w:r w:rsidR="002A3E95">
        <w:rPr>
          <w:noProof/>
        </w:rPr>
        <w:t xml:space="preserve"> and S3</w:t>
      </w:r>
      <w:r w:rsidR="004C58B2" w:rsidRPr="005269A4">
        <w:rPr>
          <w:noProof/>
        </w:rPr>
        <w:t xml:space="preserve">, and </w:t>
      </w:r>
      <w:r w:rsidR="0063749A" w:rsidRPr="005269A4">
        <w:rPr>
          <w:noProof/>
        </w:rPr>
        <w:t>47</w:t>
      </w:r>
      <w:r w:rsidR="004C58B2" w:rsidRPr="005269A4">
        <w:rPr>
          <w:noProof/>
        </w:rPr>
        <w:t>% in 2050, i.e., 2</w:t>
      </w:r>
      <w:r w:rsidR="0063749A" w:rsidRPr="005269A4">
        <w:rPr>
          <w:noProof/>
        </w:rPr>
        <w:t>7</w:t>
      </w:r>
      <w:r w:rsidR="004C58B2" w:rsidRPr="005269A4">
        <w:rPr>
          <w:noProof/>
        </w:rPr>
        <w:t xml:space="preserve"> pp less)</w:t>
      </w:r>
      <w:r w:rsidR="00253893" w:rsidRPr="00253893">
        <w:rPr>
          <w:noProof/>
        </w:rPr>
        <w:t xml:space="preserve">, driven by the assumed </w:t>
      </w:r>
      <w:r w:rsidR="00964C69">
        <w:rPr>
          <w:noProof/>
        </w:rPr>
        <w:t>substitution</w:t>
      </w:r>
      <w:r w:rsidR="00253893" w:rsidRPr="00253893">
        <w:rPr>
          <w:noProof/>
        </w:rPr>
        <w:t xml:space="preserve"> of some </w:t>
      </w:r>
      <w:r w:rsidR="00FC6C31">
        <w:rPr>
          <w:noProof/>
        </w:rPr>
        <w:t xml:space="preserve">business </w:t>
      </w:r>
      <w:r w:rsidR="00253893" w:rsidRPr="00253893">
        <w:rPr>
          <w:noProof/>
        </w:rPr>
        <w:t xml:space="preserve">trips </w:t>
      </w:r>
      <w:r w:rsidR="006D10EA">
        <w:rPr>
          <w:noProof/>
        </w:rPr>
        <w:t>with</w:t>
      </w:r>
      <w:r w:rsidR="00253893" w:rsidRPr="00253893">
        <w:rPr>
          <w:noProof/>
        </w:rPr>
        <w:t xml:space="preserve"> video</w:t>
      </w:r>
      <w:r w:rsidR="004E2DD3">
        <w:rPr>
          <w:noProof/>
        </w:rPr>
        <w:t xml:space="preserve"> </w:t>
      </w:r>
      <w:r w:rsidR="00253893" w:rsidRPr="00253893">
        <w:rPr>
          <w:noProof/>
        </w:rPr>
        <w:t>conferenc</w:t>
      </w:r>
      <w:r w:rsidR="007D0579">
        <w:rPr>
          <w:noProof/>
        </w:rPr>
        <w:t>es</w:t>
      </w:r>
      <w:r w:rsidR="00253893" w:rsidRPr="00253893">
        <w:rPr>
          <w:noProof/>
        </w:rPr>
        <w:t>, reduction in the distance travelled for trips for personal purposes</w:t>
      </w:r>
      <w:r w:rsidR="005B6F06">
        <w:rPr>
          <w:noProof/>
        </w:rPr>
        <w:t>,</w:t>
      </w:r>
      <w:r w:rsidR="00253893" w:rsidRPr="00253893">
        <w:rPr>
          <w:noProof/>
        </w:rPr>
        <w:t xml:space="preserve"> and </w:t>
      </w:r>
      <w:r w:rsidR="005B6F06">
        <w:rPr>
          <w:noProof/>
        </w:rPr>
        <w:t xml:space="preserve">modal </w:t>
      </w:r>
      <w:r w:rsidR="00253893" w:rsidRPr="00253893">
        <w:rPr>
          <w:noProof/>
        </w:rPr>
        <w:t>shift towards high</w:t>
      </w:r>
      <w:r w:rsidR="00BF584E">
        <w:rPr>
          <w:noProof/>
        </w:rPr>
        <w:t>-</w:t>
      </w:r>
      <w:r w:rsidR="00253893" w:rsidRPr="00253893">
        <w:rPr>
          <w:noProof/>
        </w:rPr>
        <w:t>speed rail where available</w:t>
      </w:r>
      <w:r w:rsidR="004C58B2" w:rsidRPr="005269A4">
        <w:rPr>
          <w:noProof/>
        </w:rPr>
        <w:t xml:space="preserve">. Passenger road transport also shows lower activity growth rates relative to 2015 than in the </w:t>
      </w:r>
      <w:r w:rsidR="00C204CA" w:rsidRPr="005269A4">
        <w:rPr>
          <w:noProof/>
        </w:rPr>
        <w:t>other</w:t>
      </w:r>
      <w:r w:rsidR="004C58B2" w:rsidRPr="005269A4">
        <w:rPr>
          <w:noProof/>
        </w:rPr>
        <w:t xml:space="preserve"> scenarios (15% in 2040 and 18% in 2050, i.e., </w:t>
      </w:r>
      <w:r w:rsidR="00E30817">
        <w:rPr>
          <w:noProof/>
        </w:rPr>
        <w:t>4-</w:t>
      </w:r>
      <w:r w:rsidR="004C58B2" w:rsidRPr="005269A4">
        <w:rPr>
          <w:noProof/>
        </w:rPr>
        <w:t>5 pp less</w:t>
      </w:r>
      <w:r w:rsidR="00C204CA" w:rsidRPr="005269A4">
        <w:rPr>
          <w:noProof/>
        </w:rPr>
        <w:t xml:space="preserve"> than in S2 </w:t>
      </w:r>
      <w:r w:rsidR="00E30817">
        <w:rPr>
          <w:noProof/>
        </w:rPr>
        <w:t>and S3</w:t>
      </w:r>
      <w:r w:rsidR="00C204CA" w:rsidRPr="005269A4">
        <w:rPr>
          <w:noProof/>
        </w:rPr>
        <w:t xml:space="preserve"> in both years</w:t>
      </w:r>
      <w:r w:rsidR="004C58B2" w:rsidRPr="005269A4">
        <w:rPr>
          <w:noProof/>
        </w:rPr>
        <w:t>). Note that it is assumed that part of this difference in road transport activity growth is replaced by an increase</w:t>
      </w:r>
      <w:r w:rsidR="00CF4DA5">
        <w:rPr>
          <w:noProof/>
        </w:rPr>
        <w:t>d use of active modes</w:t>
      </w:r>
      <w:r w:rsidR="004C58B2" w:rsidRPr="005269A4">
        <w:rPr>
          <w:noProof/>
        </w:rPr>
        <w:t xml:space="preserve">, </w:t>
      </w:r>
      <w:r w:rsidR="00982D2F" w:rsidRPr="005269A4">
        <w:rPr>
          <w:noProof/>
        </w:rPr>
        <w:t>which</w:t>
      </w:r>
      <w:r w:rsidR="004C58B2" w:rsidRPr="005269A4">
        <w:rPr>
          <w:noProof/>
        </w:rPr>
        <w:t xml:space="preserve"> is not </w:t>
      </w:r>
      <w:r w:rsidR="00431440" w:rsidRPr="005269A4">
        <w:rPr>
          <w:noProof/>
        </w:rPr>
        <w:t>represented</w:t>
      </w:r>
      <w:r w:rsidR="004C58B2" w:rsidRPr="005269A4">
        <w:rPr>
          <w:noProof/>
        </w:rPr>
        <w:t xml:space="preserve"> in the PRIMES model. Instead, passenger rail activity increases much more than in the other scenarios (74% in 2040, i.e., </w:t>
      </w:r>
      <w:r w:rsidR="00E30817">
        <w:rPr>
          <w:noProof/>
        </w:rPr>
        <w:t>7-</w:t>
      </w:r>
      <w:r w:rsidR="004C58B2" w:rsidRPr="005269A4">
        <w:rPr>
          <w:noProof/>
        </w:rPr>
        <w:t xml:space="preserve">9 pp more than in </w:t>
      </w:r>
      <w:r w:rsidR="00793579" w:rsidRPr="005269A4">
        <w:rPr>
          <w:noProof/>
        </w:rPr>
        <w:t>S2</w:t>
      </w:r>
      <w:r w:rsidR="00E30817">
        <w:rPr>
          <w:noProof/>
        </w:rPr>
        <w:t xml:space="preserve"> and S3</w:t>
      </w:r>
      <w:r w:rsidR="004C58B2" w:rsidRPr="005269A4">
        <w:rPr>
          <w:noProof/>
        </w:rPr>
        <w:t xml:space="preserve">, and 97% in 2050, i.e., </w:t>
      </w:r>
      <w:r w:rsidR="00E30817">
        <w:rPr>
          <w:noProof/>
        </w:rPr>
        <w:t>10-</w:t>
      </w:r>
      <w:r w:rsidR="004C58B2" w:rsidRPr="005269A4">
        <w:rPr>
          <w:noProof/>
        </w:rPr>
        <w:t>1</w:t>
      </w:r>
      <w:r w:rsidR="00793579" w:rsidRPr="005269A4">
        <w:rPr>
          <w:noProof/>
        </w:rPr>
        <w:t>3</w:t>
      </w:r>
      <w:r w:rsidR="004C58B2" w:rsidRPr="005269A4">
        <w:rPr>
          <w:noProof/>
        </w:rPr>
        <w:t xml:space="preserve"> pp more). </w:t>
      </w:r>
      <w:r w:rsidR="00A31AAB" w:rsidRPr="00A31AAB">
        <w:rPr>
          <w:noProof/>
        </w:rPr>
        <w:t xml:space="preserve">Domestic navigation activity is projected to increase by 12% in 2040 </w:t>
      </w:r>
      <w:r w:rsidR="008C6D0D">
        <w:rPr>
          <w:noProof/>
        </w:rPr>
        <w:t xml:space="preserve">and by 22% in 2050, </w:t>
      </w:r>
      <w:r w:rsidR="00A31AAB" w:rsidRPr="00A31AAB">
        <w:rPr>
          <w:noProof/>
        </w:rPr>
        <w:t xml:space="preserve">relative to 2015, </w:t>
      </w:r>
      <w:r w:rsidR="002D00A5">
        <w:rPr>
          <w:noProof/>
        </w:rPr>
        <w:t>that is to say</w:t>
      </w:r>
      <w:r w:rsidR="00756607">
        <w:rPr>
          <w:noProof/>
        </w:rPr>
        <w:t>,</w:t>
      </w:r>
      <w:r w:rsidR="008C6D0D">
        <w:rPr>
          <w:noProof/>
        </w:rPr>
        <w:t xml:space="preserve"> similar</w:t>
      </w:r>
      <w:r w:rsidR="007D3F1A">
        <w:rPr>
          <w:noProof/>
        </w:rPr>
        <w:t>ly</w:t>
      </w:r>
      <w:r w:rsidR="008C6D0D">
        <w:rPr>
          <w:noProof/>
        </w:rPr>
        <w:t xml:space="preserve"> to </w:t>
      </w:r>
      <w:r w:rsidR="007D3F1A">
        <w:rPr>
          <w:noProof/>
        </w:rPr>
        <w:t>the main scenarios</w:t>
      </w:r>
      <w:r w:rsidR="00A31AAB" w:rsidRPr="00A31AAB">
        <w:rPr>
          <w:noProof/>
        </w:rPr>
        <w:t>.</w:t>
      </w:r>
      <w:r w:rsidR="00A31AAB">
        <w:rPr>
          <w:noProof/>
        </w:rPr>
        <w:t xml:space="preserve"> </w:t>
      </w:r>
      <w:r w:rsidR="004C58B2" w:rsidRPr="005269A4">
        <w:rPr>
          <w:noProof/>
        </w:rPr>
        <w:t xml:space="preserve">Consequently, in </w:t>
      </w:r>
      <w:r w:rsidR="00C459D4" w:rsidRPr="005269A4">
        <w:rPr>
          <w:noProof/>
        </w:rPr>
        <w:t>LIFE</w:t>
      </w:r>
      <w:r w:rsidR="004C58B2" w:rsidRPr="005269A4">
        <w:rPr>
          <w:noProof/>
        </w:rPr>
        <w:t>, air transport represents a lower share of the total passenger transport activity (</w:t>
      </w:r>
      <w:r w:rsidR="00E9480A" w:rsidRPr="005269A4">
        <w:rPr>
          <w:noProof/>
        </w:rPr>
        <w:t>9</w:t>
      </w:r>
      <w:r w:rsidR="004C58B2" w:rsidRPr="005269A4">
        <w:rPr>
          <w:noProof/>
        </w:rPr>
        <w:t>% in 2040 and 2050) than in the other scenarios (</w:t>
      </w:r>
      <w:r w:rsidR="00E9480A" w:rsidRPr="005269A4">
        <w:rPr>
          <w:noProof/>
        </w:rPr>
        <w:t>10</w:t>
      </w:r>
      <w:r w:rsidR="004C58B2" w:rsidRPr="005269A4">
        <w:rPr>
          <w:noProof/>
        </w:rPr>
        <w:t>% in 2040 and 2050), whereas rail transport represents a higher share of the total passenger transport activity (</w:t>
      </w:r>
      <w:r w:rsidR="000957FD" w:rsidRPr="005269A4">
        <w:rPr>
          <w:noProof/>
        </w:rPr>
        <w:t>12</w:t>
      </w:r>
      <w:r w:rsidR="004C58B2" w:rsidRPr="005269A4">
        <w:rPr>
          <w:noProof/>
        </w:rPr>
        <w:t xml:space="preserve">% in 2040 and </w:t>
      </w:r>
      <w:r w:rsidR="000957FD" w:rsidRPr="005269A4">
        <w:rPr>
          <w:noProof/>
        </w:rPr>
        <w:t>13</w:t>
      </w:r>
      <w:r w:rsidR="004C58B2" w:rsidRPr="005269A4">
        <w:rPr>
          <w:noProof/>
        </w:rPr>
        <w:t>% 2050) than in the other scenarios (</w:t>
      </w:r>
      <w:r w:rsidR="000957FD" w:rsidRPr="005269A4">
        <w:rPr>
          <w:noProof/>
        </w:rPr>
        <w:t>11</w:t>
      </w:r>
      <w:r w:rsidR="004C58B2" w:rsidRPr="005269A4">
        <w:rPr>
          <w:noProof/>
        </w:rPr>
        <w:t>% in 2040 and 2050). This indicates a modal shift to rail.</w:t>
      </w:r>
    </w:p>
    <w:p w14:paraId="47377330" w14:textId="52287078" w:rsidR="004A0D8B" w:rsidRPr="00922C80" w:rsidRDefault="004A0D8B" w:rsidP="00103CAC">
      <w:pPr>
        <w:rPr>
          <w:noProof/>
        </w:rPr>
      </w:pPr>
      <w:r w:rsidRPr="005269A4">
        <w:rPr>
          <w:noProof/>
        </w:rPr>
        <w:t xml:space="preserve">International extra-EU aviation activity (expressed in passenger-km) increases by </w:t>
      </w:r>
      <w:r w:rsidR="00361075" w:rsidRPr="005269A4">
        <w:rPr>
          <w:noProof/>
        </w:rPr>
        <w:t>62</w:t>
      </w:r>
      <w:r w:rsidRPr="005269A4">
        <w:rPr>
          <w:noProof/>
        </w:rPr>
        <w:t xml:space="preserve">% in 2040 and </w:t>
      </w:r>
      <w:r w:rsidR="00361075" w:rsidRPr="005269A4">
        <w:rPr>
          <w:noProof/>
        </w:rPr>
        <w:t>80-81</w:t>
      </w:r>
      <w:r w:rsidRPr="005269A4">
        <w:rPr>
          <w:noProof/>
        </w:rPr>
        <w:t xml:space="preserve">% in 2050 compared to 2015 in the three main scenarios (S1, S2 and S3), whereas in </w:t>
      </w:r>
      <w:r w:rsidR="00C459D4" w:rsidRPr="005269A4">
        <w:rPr>
          <w:noProof/>
        </w:rPr>
        <w:t>LIFE</w:t>
      </w:r>
      <w:r w:rsidRPr="005269A4">
        <w:rPr>
          <w:noProof/>
        </w:rPr>
        <w:t xml:space="preserve"> it increases to a lesser extent (</w:t>
      </w:r>
      <w:r w:rsidR="00361075" w:rsidRPr="005269A4">
        <w:rPr>
          <w:noProof/>
        </w:rPr>
        <w:t>46</w:t>
      </w:r>
      <w:r w:rsidRPr="005269A4">
        <w:rPr>
          <w:noProof/>
        </w:rPr>
        <w:t xml:space="preserve">% in 2040 and </w:t>
      </w:r>
      <w:r w:rsidR="00361075" w:rsidRPr="005269A4">
        <w:rPr>
          <w:noProof/>
        </w:rPr>
        <w:t>57</w:t>
      </w:r>
      <w:r w:rsidRPr="005269A4">
        <w:rPr>
          <w:noProof/>
        </w:rPr>
        <w:t xml:space="preserve">% in 2050 relative to 2015, </w:t>
      </w:r>
      <w:r w:rsidR="005A68F5" w:rsidRPr="005269A4">
        <w:rPr>
          <w:noProof/>
        </w:rPr>
        <w:t xml:space="preserve">i.e., </w:t>
      </w:r>
      <w:r w:rsidR="008D5A1D" w:rsidRPr="005269A4">
        <w:rPr>
          <w:noProof/>
        </w:rPr>
        <w:t>16</w:t>
      </w:r>
      <w:r w:rsidRPr="005269A4">
        <w:rPr>
          <w:noProof/>
        </w:rPr>
        <w:t xml:space="preserve"> and </w:t>
      </w:r>
      <w:r w:rsidR="008D5A1D" w:rsidRPr="005269A4">
        <w:rPr>
          <w:noProof/>
        </w:rPr>
        <w:t>23</w:t>
      </w:r>
      <w:r w:rsidR="009F5CB6">
        <w:rPr>
          <w:noProof/>
        </w:rPr>
        <w:t>-24</w:t>
      </w:r>
      <w:r w:rsidRPr="005269A4">
        <w:rPr>
          <w:noProof/>
        </w:rPr>
        <w:t xml:space="preserve"> percentage points less than in </w:t>
      </w:r>
      <w:r w:rsidR="00AC62B7" w:rsidRPr="005269A4">
        <w:rPr>
          <w:noProof/>
        </w:rPr>
        <w:t>S2</w:t>
      </w:r>
      <w:r w:rsidR="007869F0">
        <w:rPr>
          <w:noProof/>
        </w:rPr>
        <w:t xml:space="preserve"> and S3 in 2040 and 2050</w:t>
      </w:r>
      <w:r w:rsidRPr="005269A4">
        <w:rPr>
          <w:noProof/>
        </w:rPr>
        <w:t>, respectively)</w:t>
      </w:r>
      <w:r w:rsidR="005269A4">
        <w:rPr>
          <w:noProof/>
        </w:rPr>
        <w:t xml:space="preserve"> </w:t>
      </w:r>
      <w:r w:rsidR="003A4CBA" w:rsidRPr="005269A4">
        <w:rPr>
          <w:noProof/>
        </w:rPr>
        <w:t>(</w:t>
      </w:r>
      <w:r w:rsidR="003A4CBA" w:rsidRPr="005269A4">
        <w:rPr>
          <w:rStyle w:val="FootnoteReference"/>
          <w:noProof/>
        </w:rPr>
        <w:footnoteReference w:id="113"/>
      </w:r>
      <w:r w:rsidRPr="005269A4">
        <w:rPr>
          <w:noProof/>
        </w:rPr>
        <w:t>).</w:t>
      </w:r>
      <w:r>
        <w:rPr>
          <w:noProof/>
        </w:rPr>
        <w:t xml:space="preserve">   </w:t>
      </w:r>
    </w:p>
    <w:p w14:paraId="753C1A72" w14:textId="04035A0F" w:rsidR="00C57314" w:rsidRDefault="004302D0" w:rsidP="004C2DB1">
      <w:pPr>
        <w:pStyle w:val="Caption"/>
        <w:rPr>
          <w:noProof/>
          <w:lang w:val="en-IE"/>
        </w:rPr>
      </w:pPr>
      <w:bookmarkStart w:id="319" w:name="_Ref140858771"/>
      <w:bookmarkStart w:id="320" w:name="_Ref145094073"/>
      <w:bookmarkStart w:id="321" w:name="_Toc157679808"/>
      <w:r>
        <w:rPr>
          <w:noProof/>
        </w:rPr>
        <w:t xml:space="preserve">Figure </w:t>
      </w:r>
      <w:r>
        <w:rPr>
          <w:noProof/>
        </w:rPr>
        <w:fldChar w:fldCharType="begin"/>
      </w:r>
      <w:r>
        <w:rPr>
          <w:noProof/>
        </w:rPr>
        <w:instrText>SEQ Figure \* ARABIC</w:instrText>
      </w:r>
      <w:r>
        <w:rPr>
          <w:noProof/>
        </w:rPr>
        <w:fldChar w:fldCharType="separate"/>
      </w:r>
      <w:r w:rsidR="00170A3C">
        <w:rPr>
          <w:noProof/>
        </w:rPr>
        <w:t>60</w:t>
      </w:r>
      <w:r>
        <w:rPr>
          <w:noProof/>
        </w:rPr>
        <w:fldChar w:fldCharType="end"/>
      </w:r>
      <w:bookmarkEnd w:id="319"/>
      <w:bookmarkEnd w:id="320"/>
      <w:r>
        <w:rPr>
          <w:noProof/>
        </w:rPr>
        <w:t xml:space="preserve">: </w:t>
      </w:r>
      <w:r w:rsidRPr="006430AD">
        <w:rPr>
          <w:noProof/>
        </w:rPr>
        <w:t>Passenger transport activity in the EU</w:t>
      </w:r>
      <w:r w:rsidR="001B3B79">
        <w:rPr>
          <w:noProof/>
        </w:rPr>
        <w:t xml:space="preserve"> disaggregated by</w:t>
      </w:r>
      <w:r w:rsidR="001B3B79" w:rsidRPr="006430AD">
        <w:rPr>
          <w:noProof/>
        </w:rPr>
        <w:t xml:space="preserve"> </w:t>
      </w:r>
      <w:r w:rsidRPr="006430AD">
        <w:rPr>
          <w:noProof/>
        </w:rPr>
        <w:t>mode</w:t>
      </w:r>
      <w:bookmarkEnd w:id="321"/>
    </w:p>
    <w:p w14:paraId="2E8839F0" w14:textId="2E5AD2A9" w:rsidR="00D76091" w:rsidRDefault="00D76091" w:rsidP="00431440">
      <w:pPr>
        <w:pStyle w:val="Text3"/>
        <w:keepNext/>
        <w:tabs>
          <w:tab w:val="clear" w:pos="1899"/>
        </w:tabs>
        <w:spacing w:after="0"/>
        <w:ind w:left="0" w:firstLine="0"/>
        <w:jc w:val="center"/>
        <w:rPr>
          <w:noProof/>
          <w:lang w:val="en-IE"/>
        </w:rPr>
      </w:pPr>
      <w:r w:rsidRPr="00D76091">
        <w:rPr>
          <w:noProof/>
          <w:lang w:eastAsia="en-GB"/>
        </w:rPr>
        <w:drawing>
          <wp:inline distT="0" distB="0" distL="0" distR="0" wp14:anchorId="42A134F9" wp14:editId="31E95BD0">
            <wp:extent cx="5472430" cy="2418080"/>
            <wp:effectExtent l="0" t="0" r="0" b="127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472430" cy="2418080"/>
                    </a:xfrm>
                    <a:prstGeom prst="rect">
                      <a:avLst/>
                    </a:prstGeom>
                    <a:noFill/>
                    <a:ln>
                      <a:noFill/>
                    </a:ln>
                  </pic:spPr>
                </pic:pic>
              </a:graphicData>
            </a:graphic>
          </wp:inline>
        </w:drawing>
      </w:r>
    </w:p>
    <w:p w14:paraId="1C00D797" w14:textId="1092478C" w:rsidR="00B17C1B" w:rsidRDefault="00B17C1B" w:rsidP="00C21AC2">
      <w:pPr>
        <w:pStyle w:val="CT-NOTE"/>
        <w:rPr>
          <w:noProof/>
        </w:rPr>
      </w:pPr>
      <w:r>
        <w:rPr>
          <w:noProof/>
        </w:rPr>
        <w:t xml:space="preserve">Note: </w:t>
      </w:r>
      <w:r w:rsidR="00876359">
        <w:rPr>
          <w:noProof/>
        </w:rPr>
        <w:t>T</w:t>
      </w:r>
      <w:r w:rsidR="00CD2A94" w:rsidRPr="00CD2A94">
        <w:rPr>
          <w:noProof/>
        </w:rPr>
        <w:t>he y-axis</w:t>
      </w:r>
      <w:r w:rsidR="00876359">
        <w:rPr>
          <w:noProof/>
        </w:rPr>
        <w:t xml:space="preserve"> label (“Tpkm”) </w:t>
      </w:r>
      <w:r w:rsidR="00CD2A94" w:rsidRPr="00CD2A94">
        <w:rPr>
          <w:noProof/>
        </w:rPr>
        <w:t>stands for trillion passenger-kilometres.</w:t>
      </w:r>
    </w:p>
    <w:p w14:paraId="730C49BE" w14:textId="1D568A35" w:rsidR="004302D0" w:rsidRDefault="004302D0" w:rsidP="00431440">
      <w:pPr>
        <w:pStyle w:val="CT-SOURCE"/>
        <w:keepNext w:val="0"/>
        <w:rPr>
          <w:noProof/>
        </w:rPr>
      </w:pPr>
      <w:r w:rsidRPr="61BF51EC">
        <w:rPr>
          <w:noProof/>
        </w:rPr>
        <w:t>Source: PRIMES.</w:t>
      </w:r>
    </w:p>
    <w:p w14:paraId="19751BA0" w14:textId="1195E83A" w:rsidR="004A1530" w:rsidRPr="00C62A52" w:rsidRDefault="004302D0" w:rsidP="00C62A52">
      <w:pPr>
        <w:pStyle w:val="Caption"/>
        <w:rPr>
          <w:noProof/>
        </w:rPr>
      </w:pPr>
      <w:bookmarkStart w:id="322" w:name="_Ref140858789"/>
      <w:bookmarkStart w:id="323" w:name="_Ref145094078"/>
      <w:bookmarkStart w:id="324" w:name="_Toc157679809"/>
      <w:r>
        <w:rPr>
          <w:noProof/>
        </w:rPr>
        <w:t xml:space="preserve">Figure </w:t>
      </w:r>
      <w:r>
        <w:rPr>
          <w:noProof/>
        </w:rPr>
        <w:fldChar w:fldCharType="begin"/>
      </w:r>
      <w:r>
        <w:rPr>
          <w:noProof/>
        </w:rPr>
        <w:instrText>SEQ Figure \* ARABIC</w:instrText>
      </w:r>
      <w:r>
        <w:rPr>
          <w:noProof/>
        </w:rPr>
        <w:fldChar w:fldCharType="separate"/>
      </w:r>
      <w:r w:rsidR="00170A3C">
        <w:rPr>
          <w:noProof/>
        </w:rPr>
        <w:t>61</w:t>
      </w:r>
      <w:r>
        <w:rPr>
          <w:noProof/>
        </w:rPr>
        <w:fldChar w:fldCharType="end"/>
      </w:r>
      <w:bookmarkEnd w:id="322"/>
      <w:bookmarkEnd w:id="323"/>
      <w:r>
        <w:rPr>
          <w:noProof/>
        </w:rPr>
        <w:t xml:space="preserve">: </w:t>
      </w:r>
      <w:r w:rsidRPr="004302D0">
        <w:rPr>
          <w:noProof/>
        </w:rPr>
        <w:t xml:space="preserve">Change in </w:t>
      </w:r>
      <w:r w:rsidR="00922C80">
        <w:rPr>
          <w:noProof/>
        </w:rPr>
        <w:t xml:space="preserve">passenger </w:t>
      </w:r>
      <w:r w:rsidRPr="004302D0">
        <w:rPr>
          <w:noProof/>
        </w:rPr>
        <w:t xml:space="preserve">transport activity between 2015 and 2040 </w:t>
      </w:r>
      <w:r w:rsidR="00E878A0">
        <w:rPr>
          <w:noProof/>
        </w:rPr>
        <w:t>by</w:t>
      </w:r>
      <w:r w:rsidRPr="004302D0">
        <w:rPr>
          <w:noProof/>
        </w:rPr>
        <w:t xml:space="preserve"> mode</w:t>
      </w:r>
      <w:bookmarkEnd w:id="324"/>
    </w:p>
    <w:p w14:paraId="626FFD74" w14:textId="0B7F5E86" w:rsidR="00086FB1" w:rsidRDefault="00086FB1" w:rsidP="00431440">
      <w:pPr>
        <w:pStyle w:val="Text3"/>
        <w:keepNext/>
        <w:tabs>
          <w:tab w:val="clear" w:pos="1899"/>
        </w:tabs>
        <w:spacing w:after="0"/>
        <w:ind w:left="0" w:firstLine="0"/>
        <w:jc w:val="center"/>
        <w:rPr>
          <w:noProof/>
          <w:lang w:val="en-IE"/>
        </w:rPr>
      </w:pPr>
      <w:r w:rsidRPr="00086FB1">
        <w:rPr>
          <w:noProof/>
          <w:lang w:eastAsia="en-GB"/>
        </w:rPr>
        <w:drawing>
          <wp:inline distT="0" distB="0" distL="0" distR="0" wp14:anchorId="7D0D0C3F" wp14:editId="291C1248">
            <wp:extent cx="5472430" cy="242125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472430" cy="2421255"/>
                    </a:xfrm>
                    <a:prstGeom prst="rect">
                      <a:avLst/>
                    </a:prstGeom>
                    <a:noFill/>
                    <a:ln>
                      <a:noFill/>
                    </a:ln>
                  </pic:spPr>
                </pic:pic>
              </a:graphicData>
            </a:graphic>
          </wp:inline>
        </w:drawing>
      </w:r>
    </w:p>
    <w:p w14:paraId="299EF23C" w14:textId="0D4CB0D1" w:rsidR="00EA41D7" w:rsidRDefault="00EA41D7" w:rsidP="00431440">
      <w:pPr>
        <w:pStyle w:val="CT-NOTE"/>
        <w:rPr>
          <w:noProof/>
        </w:rPr>
      </w:pPr>
      <w:r>
        <w:rPr>
          <w:noProof/>
        </w:rPr>
        <w:t>Note: *</w:t>
      </w:r>
      <w:r w:rsidR="00137829">
        <w:rPr>
          <w:noProof/>
        </w:rPr>
        <w:t>T</w:t>
      </w:r>
      <w:r>
        <w:rPr>
          <w:noProof/>
        </w:rPr>
        <w:t xml:space="preserve">he total </w:t>
      </w:r>
      <w:r w:rsidR="00137829">
        <w:rPr>
          <w:noProof/>
        </w:rPr>
        <w:t xml:space="preserve">passenger transport activity </w:t>
      </w:r>
      <w:r>
        <w:rPr>
          <w:noProof/>
        </w:rPr>
        <w:t>excludes international navigation and extra-EU aviation.</w:t>
      </w:r>
    </w:p>
    <w:p w14:paraId="02C0F7BC" w14:textId="4625CA1D" w:rsidR="004302D0" w:rsidRPr="00BD6C0C" w:rsidRDefault="004302D0" w:rsidP="00431440">
      <w:pPr>
        <w:pStyle w:val="CT-SOURCE"/>
        <w:rPr>
          <w:noProof/>
        </w:rPr>
      </w:pPr>
      <w:r w:rsidRPr="61BF51EC">
        <w:rPr>
          <w:noProof/>
        </w:rPr>
        <w:t>Source: PRIMES.</w:t>
      </w:r>
    </w:p>
    <w:p w14:paraId="5CFDE0AD" w14:textId="3372938B" w:rsidR="00762CD6" w:rsidRDefault="00D12DA8" w:rsidP="00431440">
      <w:pPr>
        <w:rPr>
          <w:noProof/>
        </w:rPr>
      </w:pPr>
      <w:r w:rsidRPr="00D12DA8">
        <w:rPr>
          <w:noProof/>
        </w:rPr>
        <w:t xml:space="preserve">Total </w:t>
      </w:r>
      <w:r w:rsidRPr="00F2024B">
        <w:rPr>
          <w:b/>
          <w:noProof/>
        </w:rPr>
        <w:t>freight transport</w:t>
      </w:r>
      <w:r w:rsidRPr="00D12DA8">
        <w:rPr>
          <w:noProof/>
        </w:rPr>
        <w:t xml:space="preserve"> activity (expressed in tonnes-km</w:t>
      </w:r>
      <w:r w:rsidR="005642F6">
        <w:rPr>
          <w:noProof/>
        </w:rPr>
        <w:t>, including international shipping),</w:t>
      </w:r>
      <w:r w:rsidRPr="00D12DA8">
        <w:rPr>
          <w:noProof/>
        </w:rPr>
        <w:t xml:space="preserve"> also increases to a similar extent in the S1, S2 and S3 scenarios. As shown in</w:t>
      </w:r>
      <w:r w:rsidRPr="00036EBE">
        <w:rPr>
          <w:noProof/>
        </w:rPr>
        <w:t xml:space="preserve"> </w:t>
      </w:r>
      <w:r w:rsidR="00194B6C" w:rsidRPr="00036EBE">
        <w:rPr>
          <w:noProof/>
        </w:rPr>
        <w:fldChar w:fldCharType="begin"/>
      </w:r>
      <w:r w:rsidR="00194B6C" w:rsidRPr="00036EBE">
        <w:rPr>
          <w:noProof/>
        </w:rPr>
        <w:instrText xml:space="preserve"> REF _Ref143189932 \h </w:instrText>
      </w:r>
      <w:r w:rsidR="00544AF6" w:rsidRPr="00036EBE">
        <w:rPr>
          <w:noProof/>
        </w:rPr>
        <w:instrText xml:space="preserve"> \* MERGEFORMAT </w:instrText>
      </w:r>
      <w:r w:rsidR="00194B6C" w:rsidRPr="00036EBE">
        <w:rPr>
          <w:noProof/>
        </w:rPr>
      </w:r>
      <w:r w:rsidR="00194B6C" w:rsidRPr="00036EBE">
        <w:rPr>
          <w:noProof/>
        </w:rPr>
        <w:fldChar w:fldCharType="separate"/>
      </w:r>
      <w:r w:rsidR="00D1114E">
        <w:rPr>
          <w:noProof/>
        </w:rPr>
        <w:t>Figure 63</w:t>
      </w:r>
      <w:r w:rsidR="00194B6C" w:rsidRPr="00036EBE">
        <w:rPr>
          <w:noProof/>
        </w:rPr>
        <w:fldChar w:fldCharType="end"/>
      </w:r>
      <w:r w:rsidRPr="00D12DA8">
        <w:rPr>
          <w:noProof/>
        </w:rPr>
        <w:t xml:space="preserve">, in these scenarios, total activity </w:t>
      </w:r>
      <w:r w:rsidRPr="005269A4">
        <w:rPr>
          <w:noProof/>
        </w:rPr>
        <w:t>increases by 35</w:t>
      </w:r>
      <w:r w:rsidR="00583840" w:rsidRPr="005269A4">
        <w:rPr>
          <w:noProof/>
        </w:rPr>
        <w:t>-36</w:t>
      </w:r>
      <w:r w:rsidRPr="005269A4">
        <w:rPr>
          <w:noProof/>
        </w:rPr>
        <w:t xml:space="preserve">% in 2040 and 51% in 2050 compared to 2015. Note, however, that there are significant differences in activity growth between transport modes. </w:t>
      </w:r>
      <w:r w:rsidR="00607A60">
        <w:rPr>
          <w:noProof/>
        </w:rPr>
        <w:t>T</w:t>
      </w:r>
      <w:r w:rsidRPr="005269A4">
        <w:rPr>
          <w:noProof/>
        </w:rPr>
        <w:t xml:space="preserve">he activity of </w:t>
      </w:r>
      <w:r w:rsidR="002E149B">
        <w:rPr>
          <w:noProof/>
        </w:rPr>
        <w:t>international navigation</w:t>
      </w:r>
      <w:r w:rsidRPr="005269A4">
        <w:rPr>
          <w:noProof/>
        </w:rPr>
        <w:t xml:space="preserve"> increases by 34% in 2040 and by 50-51% in 2050 compared to 2015, and </w:t>
      </w:r>
      <w:r w:rsidR="00061B38">
        <w:rPr>
          <w:noProof/>
        </w:rPr>
        <w:t xml:space="preserve">the </w:t>
      </w:r>
      <w:r w:rsidRPr="005269A4">
        <w:rPr>
          <w:noProof/>
        </w:rPr>
        <w:t>activity growth is slightly higher in the S3 scenario than in the S1 and S2 scenarios. Rail shows the greatest increase in freight transport activity relative to 2015 amongst all modes (77-79% in 2040 and 99-102% in 2050)</w:t>
      </w:r>
      <w:r w:rsidR="00C94247" w:rsidRPr="005269A4">
        <w:rPr>
          <w:noProof/>
        </w:rPr>
        <w:t>, driven mainly by the revision of the TEN</w:t>
      </w:r>
      <w:r w:rsidR="00244CCC">
        <w:rPr>
          <w:noProof/>
        </w:rPr>
        <w:noBreakHyphen/>
      </w:r>
      <w:r w:rsidR="00C94247" w:rsidRPr="005269A4">
        <w:rPr>
          <w:noProof/>
        </w:rPr>
        <w:t>T Regulation, CEF funding</w:t>
      </w:r>
      <w:r w:rsidR="00B14AB8">
        <w:rPr>
          <w:noProof/>
        </w:rPr>
        <w:t>,</w:t>
      </w:r>
      <w:r w:rsidR="00C94247" w:rsidRPr="005269A4">
        <w:rPr>
          <w:noProof/>
        </w:rPr>
        <w:t xml:space="preserve"> the proposal for the increase in railway capacity</w:t>
      </w:r>
      <w:r w:rsidR="007B6919" w:rsidRPr="005269A4">
        <w:rPr>
          <w:noProof/>
        </w:rPr>
        <w:t xml:space="preserve"> use</w:t>
      </w:r>
      <w:r w:rsidR="00765B2B">
        <w:rPr>
          <w:noProof/>
        </w:rPr>
        <w:t>,</w:t>
      </w:r>
      <w:r w:rsidR="0045073B" w:rsidRPr="0045073B">
        <w:rPr>
          <w:noProof/>
        </w:rPr>
        <w:t xml:space="preserve"> and the proposed revision of the Combined Transport Directive</w:t>
      </w:r>
      <w:r w:rsidRPr="005269A4">
        <w:rPr>
          <w:noProof/>
        </w:rPr>
        <w:t xml:space="preserve">. The S3 scenario </w:t>
      </w:r>
      <w:r w:rsidR="00344EB2">
        <w:rPr>
          <w:noProof/>
        </w:rPr>
        <w:t>shows</w:t>
      </w:r>
      <w:r w:rsidRPr="005269A4">
        <w:rPr>
          <w:noProof/>
        </w:rPr>
        <w:t xml:space="preserve"> the highest increase in rail transport activity over the 2015-2040 and</w:t>
      </w:r>
      <w:r w:rsidRPr="00D12DA8">
        <w:rPr>
          <w:noProof/>
        </w:rPr>
        <w:t xml:space="preserve"> 2015-2050 periods, </w:t>
      </w:r>
      <w:r w:rsidR="00AB7A7C">
        <w:rPr>
          <w:noProof/>
        </w:rPr>
        <w:t>a</w:t>
      </w:r>
      <w:r w:rsidR="004977D3">
        <w:rPr>
          <w:noProof/>
        </w:rPr>
        <w:t>nd</w:t>
      </w:r>
      <w:r w:rsidR="004977D3" w:rsidRPr="00D12DA8">
        <w:rPr>
          <w:noProof/>
        </w:rPr>
        <w:t xml:space="preserve"> </w:t>
      </w:r>
      <w:r w:rsidRPr="00D12DA8">
        <w:rPr>
          <w:noProof/>
        </w:rPr>
        <w:t xml:space="preserve">the S1 scenario shows the lowest increase over the same periods (see </w:t>
      </w:r>
      <w:r w:rsidR="002B63E7" w:rsidRPr="00036EBE">
        <w:rPr>
          <w:noProof/>
        </w:rPr>
        <w:fldChar w:fldCharType="begin"/>
      </w:r>
      <w:r w:rsidR="002B63E7" w:rsidRPr="00036EBE">
        <w:rPr>
          <w:noProof/>
        </w:rPr>
        <w:instrText xml:space="preserve"> REF _Ref143189928 \h </w:instrText>
      </w:r>
      <w:r w:rsidR="00544AF6" w:rsidRPr="00036EBE">
        <w:rPr>
          <w:noProof/>
        </w:rPr>
        <w:instrText xml:space="preserve"> \* MERGEFORMAT </w:instrText>
      </w:r>
      <w:r w:rsidR="002B63E7" w:rsidRPr="00036EBE">
        <w:rPr>
          <w:noProof/>
        </w:rPr>
      </w:r>
      <w:r w:rsidR="002B63E7" w:rsidRPr="00036EBE">
        <w:rPr>
          <w:noProof/>
        </w:rPr>
        <w:fldChar w:fldCharType="separate"/>
      </w:r>
      <w:r w:rsidR="00170A3C">
        <w:rPr>
          <w:noProof/>
        </w:rPr>
        <w:t>Figure 62</w:t>
      </w:r>
      <w:r w:rsidR="002B63E7" w:rsidRPr="00036EBE">
        <w:rPr>
          <w:noProof/>
        </w:rPr>
        <w:fldChar w:fldCharType="end"/>
      </w:r>
      <w:r w:rsidRPr="00036EBE">
        <w:rPr>
          <w:noProof/>
        </w:rPr>
        <w:t xml:space="preserve"> and </w:t>
      </w:r>
      <w:r w:rsidR="002B63E7" w:rsidRPr="00036EBE">
        <w:rPr>
          <w:noProof/>
        </w:rPr>
        <w:fldChar w:fldCharType="begin"/>
      </w:r>
      <w:r w:rsidR="002B63E7" w:rsidRPr="00036EBE">
        <w:rPr>
          <w:noProof/>
        </w:rPr>
        <w:instrText xml:space="preserve"> REF _Ref143189932 \h </w:instrText>
      </w:r>
      <w:r w:rsidR="00544AF6" w:rsidRPr="00036EBE">
        <w:rPr>
          <w:noProof/>
        </w:rPr>
        <w:instrText xml:space="preserve"> \* MERGEFORMAT </w:instrText>
      </w:r>
      <w:r w:rsidR="002B63E7" w:rsidRPr="00036EBE">
        <w:rPr>
          <w:noProof/>
        </w:rPr>
      </w:r>
      <w:r w:rsidR="002B63E7" w:rsidRPr="00036EBE">
        <w:rPr>
          <w:noProof/>
        </w:rPr>
        <w:fldChar w:fldCharType="separate"/>
      </w:r>
      <w:r w:rsidR="00170A3C">
        <w:rPr>
          <w:noProof/>
        </w:rPr>
        <w:t>Figure 63</w:t>
      </w:r>
      <w:r w:rsidR="002B63E7" w:rsidRPr="00036EBE">
        <w:rPr>
          <w:noProof/>
        </w:rPr>
        <w:fldChar w:fldCharType="end"/>
      </w:r>
      <w:r w:rsidRPr="00D12DA8">
        <w:rPr>
          <w:noProof/>
        </w:rPr>
        <w:t xml:space="preserve">). Regarding road transport, the S3 scenario shows a lower increase in activity over the 2015-2040 and 2015-2050 periods </w:t>
      </w:r>
      <w:r w:rsidR="00B219BB">
        <w:rPr>
          <w:noProof/>
        </w:rPr>
        <w:t xml:space="preserve">(36% and 40%, respectively) </w:t>
      </w:r>
      <w:r w:rsidRPr="00D12DA8">
        <w:rPr>
          <w:noProof/>
        </w:rPr>
        <w:t>than the S1 and S2 scenarios. Instead, the S1 scenario shows the highest growth in activity between 2015 and 2040</w:t>
      </w:r>
      <w:r w:rsidR="00241B4A">
        <w:rPr>
          <w:noProof/>
        </w:rPr>
        <w:t xml:space="preserve"> </w:t>
      </w:r>
      <w:r w:rsidR="00241B4A" w:rsidRPr="00241B4A">
        <w:rPr>
          <w:noProof/>
        </w:rPr>
        <w:t>(</w:t>
      </w:r>
      <w:r w:rsidR="00241B4A">
        <w:rPr>
          <w:noProof/>
        </w:rPr>
        <w:t>41</w:t>
      </w:r>
      <w:r w:rsidR="00241B4A" w:rsidRPr="00241B4A">
        <w:rPr>
          <w:noProof/>
        </w:rPr>
        <w:t>%)</w:t>
      </w:r>
      <w:r w:rsidRPr="00D12DA8">
        <w:rPr>
          <w:noProof/>
        </w:rPr>
        <w:t>. Road transport activity increases to a similar degree over the 2015-2050 period in the S1 and S2 scenarios</w:t>
      </w:r>
      <w:r w:rsidR="00F32F52">
        <w:rPr>
          <w:noProof/>
        </w:rPr>
        <w:t xml:space="preserve"> (49%)</w:t>
      </w:r>
      <w:r w:rsidRPr="00D12DA8">
        <w:rPr>
          <w:noProof/>
        </w:rPr>
        <w:t xml:space="preserve">, which is </w:t>
      </w:r>
      <w:r w:rsidR="00142E41">
        <w:rPr>
          <w:noProof/>
        </w:rPr>
        <w:t>great</w:t>
      </w:r>
      <w:r w:rsidRPr="00D12DA8">
        <w:rPr>
          <w:noProof/>
        </w:rPr>
        <w:t>er than that of the S3 scenario.</w:t>
      </w:r>
      <w:r w:rsidR="00AC4AD2" w:rsidRPr="00AC4AD2">
        <w:rPr>
          <w:noProof/>
        </w:rPr>
        <w:t xml:space="preserve"> All three scenarios reflect the proposed revision of the Weights and Dimensions Directive. Domestic navigation </w:t>
      </w:r>
      <w:r w:rsidR="005707AB">
        <w:rPr>
          <w:noProof/>
        </w:rPr>
        <w:t xml:space="preserve">activity </w:t>
      </w:r>
      <w:r w:rsidR="00AC4AD2" w:rsidRPr="00AC4AD2">
        <w:rPr>
          <w:noProof/>
        </w:rPr>
        <w:t xml:space="preserve">is projected to grow by 40-44% over the 2015-2040 period and </w:t>
      </w:r>
      <w:r w:rsidR="00A7109E">
        <w:rPr>
          <w:noProof/>
        </w:rPr>
        <w:t xml:space="preserve">by </w:t>
      </w:r>
      <w:r w:rsidR="00AC4AD2" w:rsidRPr="00AC4AD2">
        <w:rPr>
          <w:noProof/>
        </w:rPr>
        <w:t xml:space="preserve">48-51% over </w:t>
      </w:r>
      <w:r w:rsidR="00A7109E">
        <w:rPr>
          <w:noProof/>
        </w:rPr>
        <w:t xml:space="preserve">the </w:t>
      </w:r>
      <w:r w:rsidR="00AC4AD2" w:rsidRPr="00AC4AD2">
        <w:rPr>
          <w:noProof/>
        </w:rPr>
        <w:t>2015-2050</w:t>
      </w:r>
      <w:r w:rsidR="00A7109E">
        <w:rPr>
          <w:noProof/>
        </w:rPr>
        <w:t xml:space="preserve"> period</w:t>
      </w:r>
      <w:r w:rsidR="00AC4AD2" w:rsidRPr="00AC4AD2">
        <w:rPr>
          <w:noProof/>
        </w:rPr>
        <w:t>.</w:t>
      </w:r>
    </w:p>
    <w:p w14:paraId="0FED3ABE" w14:textId="4903CEEA" w:rsidR="00762CD6" w:rsidRPr="00922C80" w:rsidRDefault="00762CD6" w:rsidP="00762CD6">
      <w:pPr>
        <w:rPr>
          <w:noProof/>
        </w:rPr>
      </w:pPr>
      <w:r w:rsidRPr="00C34A4E">
        <w:rPr>
          <w:noProof/>
        </w:rPr>
        <w:t xml:space="preserve">In </w:t>
      </w:r>
      <w:r w:rsidR="00C459D4">
        <w:rPr>
          <w:noProof/>
        </w:rPr>
        <w:t>LIFE</w:t>
      </w:r>
      <w:r w:rsidRPr="00C34A4E">
        <w:rPr>
          <w:noProof/>
        </w:rPr>
        <w:t>,</w:t>
      </w:r>
      <w:r w:rsidR="00C34A4E" w:rsidRPr="00C34A4E">
        <w:rPr>
          <w:noProof/>
        </w:rPr>
        <w:t xml:space="preserve"> the increase in total freight transport activity (expressed in t</w:t>
      </w:r>
      <w:r w:rsidR="00483855">
        <w:rPr>
          <w:noProof/>
        </w:rPr>
        <w:t>onnes-</w:t>
      </w:r>
      <w:r w:rsidR="00C34A4E" w:rsidRPr="00C34A4E">
        <w:rPr>
          <w:noProof/>
        </w:rPr>
        <w:t xml:space="preserve">km) is similar to the other scenarios. However, there are small differences between modes. As shown in </w:t>
      </w:r>
      <w:r w:rsidR="00C34A4E" w:rsidRPr="005269A4">
        <w:rPr>
          <w:noProof/>
        </w:rPr>
        <w:fldChar w:fldCharType="begin"/>
      </w:r>
      <w:r w:rsidR="00C34A4E" w:rsidRPr="005269A4">
        <w:rPr>
          <w:noProof/>
        </w:rPr>
        <w:instrText xml:space="preserve"> REF _Ref145094335 \h  \* MERGEFORMAT </w:instrText>
      </w:r>
      <w:r w:rsidR="00C34A4E" w:rsidRPr="005269A4">
        <w:rPr>
          <w:noProof/>
        </w:rPr>
      </w:r>
      <w:r w:rsidR="00C34A4E" w:rsidRPr="005269A4">
        <w:rPr>
          <w:noProof/>
        </w:rPr>
        <w:fldChar w:fldCharType="separate"/>
      </w:r>
      <w:r w:rsidR="00170A3C">
        <w:rPr>
          <w:noProof/>
        </w:rPr>
        <w:t>Figure 63</w:t>
      </w:r>
      <w:r w:rsidR="00C34A4E" w:rsidRPr="005269A4">
        <w:rPr>
          <w:noProof/>
        </w:rPr>
        <w:fldChar w:fldCharType="end"/>
      </w:r>
      <w:r w:rsidR="00C34A4E" w:rsidRPr="005269A4">
        <w:rPr>
          <w:noProof/>
        </w:rPr>
        <w:t>, road transport shows a</w:t>
      </w:r>
      <w:r w:rsidR="002C165E">
        <w:rPr>
          <w:noProof/>
        </w:rPr>
        <w:t>n</w:t>
      </w:r>
      <w:r w:rsidR="00C34A4E" w:rsidRPr="005269A4">
        <w:rPr>
          <w:noProof/>
        </w:rPr>
        <w:t xml:space="preserve"> increase in activity compared to 2015 </w:t>
      </w:r>
      <w:r w:rsidR="002C165E">
        <w:rPr>
          <w:noProof/>
        </w:rPr>
        <w:t xml:space="preserve">that is lower than in S2 but higher </w:t>
      </w:r>
      <w:r w:rsidR="00C34A4E" w:rsidRPr="005269A4">
        <w:rPr>
          <w:noProof/>
        </w:rPr>
        <w:t xml:space="preserve">than </w:t>
      </w:r>
      <w:r w:rsidR="002C165E">
        <w:rPr>
          <w:noProof/>
        </w:rPr>
        <w:t xml:space="preserve">in </w:t>
      </w:r>
      <w:r w:rsidR="00C34A4E" w:rsidRPr="005269A4">
        <w:rPr>
          <w:noProof/>
        </w:rPr>
        <w:t>S</w:t>
      </w:r>
      <w:r w:rsidR="002C165E">
        <w:rPr>
          <w:noProof/>
        </w:rPr>
        <w:t xml:space="preserve">3 </w:t>
      </w:r>
      <w:r w:rsidR="00C34A4E" w:rsidRPr="005269A4">
        <w:rPr>
          <w:noProof/>
        </w:rPr>
        <w:t>(36% in 2040 and 45% in 2050, i.e., 4 percentage points less than S2 in both years</w:t>
      </w:r>
      <w:r w:rsidR="00622C2B" w:rsidRPr="00622C2B">
        <w:rPr>
          <w:noProof/>
        </w:rPr>
        <w:t>, 1 pp more than in S3 in 2040 and 5 pp more than in S3 in 2050</w:t>
      </w:r>
      <w:r w:rsidR="00C34A4E" w:rsidRPr="005269A4">
        <w:rPr>
          <w:noProof/>
        </w:rPr>
        <w:t xml:space="preserve">). Instead, rail transport shows slightly higher activity growth rates relative to 2015 than the S2 scenario (80% in 2040 and 102% in 2050, i.e., </w:t>
      </w:r>
      <w:r w:rsidR="00610F0B">
        <w:rPr>
          <w:noProof/>
        </w:rPr>
        <w:t xml:space="preserve">up to </w:t>
      </w:r>
      <w:r w:rsidR="00C34A4E" w:rsidRPr="005269A4">
        <w:rPr>
          <w:noProof/>
        </w:rPr>
        <w:t xml:space="preserve">2 pp </w:t>
      </w:r>
      <w:r w:rsidR="00C204CA" w:rsidRPr="005269A4">
        <w:rPr>
          <w:noProof/>
        </w:rPr>
        <w:t>more</w:t>
      </w:r>
      <w:r w:rsidR="00C34A4E" w:rsidRPr="005269A4">
        <w:rPr>
          <w:noProof/>
        </w:rPr>
        <w:t xml:space="preserve"> than S2 </w:t>
      </w:r>
      <w:r w:rsidR="00610F0B">
        <w:rPr>
          <w:noProof/>
        </w:rPr>
        <w:t xml:space="preserve">and S3 </w:t>
      </w:r>
      <w:r w:rsidR="00C34A4E" w:rsidRPr="005269A4">
        <w:rPr>
          <w:noProof/>
        </w:rPr>
        <w:t xml:space="preserve">in both years). Furthermore, the increase in domestic navigation activity between 2015 and 2040 is also slightly higher </w:t>
      </w:r>
      <w:r w:rsidR="00610F0B">
        <w:rPr>
          <w:noProof/>
        </w:rPr>
        <w:t xml:space="preserve">in </w:t>
      </w:r>
      <w:r w:rsidR="00C459D4" w:rsidRPr="005269A4">
        <w:rPr>
          <w:noProof/>
        </w:rPr>
        <w:t>LIFE</w:t>
      </w:r>
      <w:r w:rsidR="00932AA7">
        <w:rPr>
          <w:noProof/>
        </w:rPr>
        <w:t xml:space="preserve"> </w:t>
      </w:r>
      <w:r w:rsidR="00610F0B">
        <w:rPr>
          <w:noProof/>
        </w:rPr>
        <w:t>than in S2 and S3</w:t>
      </w:r>
      <w:r w:rsidR="00C34A4E" w:rsidRPr="005269A4">
        <w:rPr>
          <w:noProof/>
        </w:rPr>
        <w:t>.</w:t>
      </w:r>
      <w:r w:rsidR="00CE4087" w:rsidRPr="005269A4">
        <w:rPr>
          <w:noProof/>
        </w:rPr>
        <w:t xml:space="preserve"> This indicates a modal shift to rail and domestic navigation.</w:t>
      </w:r>
    </w:p>
    <w:p w14:paraId="430CAB7C" w14:textId="21BE2EF9" w:rsidR="008B1F37" w:rsidRDefault="001B03A9" w:rsidP="006E40D3">
      <w:pPr>
        <w:pStyle w:val="Caption"/>
        <w:rPr>
          <w:noProof/>
        </w:rPr>
      </w:pPr>
      <w:bookmarkStart w:id="325" w:name="_Ref143189928"/>
      <w:bookmarkStart w:id="326" w:name="_Toc157679810"/>
      <w:r>
        <w:rPr>
          <w:noProof/>
        </w:rPr>
        <w:t xml:space="preserve">Figure </w:t>
      </w:r>
      <w:r>
        <w:rPr>
          <w:noProof/>
        </w:rPr>
        <w:fldChar w:fldCharType="begin"/>
      </w:r>
      <w:r>
        <w:rPr>
          <w:noProof/>
        </w:rPr>
        <w:instrText>SEQ Figure \* ARABIC</w:instrText>
      </w:r>
      <w:r>
        <w:rPr>
          <w:noProof/>
        </w:rPr>
        <w:fldChar w:fldCharType="separate"/>
      </w:r>
      <w:r w:rsidR="00170A3C">
        <w:rPr>
          <w:noProof/>
        </w:rPr>
        <w:t>62</w:t>
      </w:r>
      <w:r>
        <w:rPr>
          <w:noProof/>
        </w:rPr>
        <w:fldChar w:fldCharType="end"/>
      </w:r>
      <w:bookmarkEnd w:id="325"/>
      <w:r>
        <w:rPr>
          <w:noProof/>
        </w:rPr>
        <w:t xml:space="preserve">: </w:t>
      </w:r>
      <w:r w:rsidR="00F9205E">
        <w:rPr>
          <w:noProof/>
        </w:rPr>
        <w:t xml:space="preserve">EU </w:t>
      </w:r>
      <w:r w:rsidR="003D4CE8">
        <w:rPr>
          <w:noProof/>
        </w:rPr>
        <w:t>f</w:t>
      </w:r>
      <w:r w:rsidR="002E20B8" w:rsidRPr="002E20B8">
        <w:rPr>
          <w:noProof/>
        </w:rPr>
        <w:t xml:space="preserve">reight transport activity </w:t>
      </w:r>
      <w:r w:rsidR="001B3B79">
        <w:rPr>
          <w:noProof/>
        </w:rPr>
        <w:t>by</w:t>
      </w:r>
      <w:r w:rsidR="002E20B8" w:rsidRPr="002E20B8">
        <w:rPr>
          <w:noProof/>
        </w:rPr>
        <w:t xml:space="preserve"> mode </w:t>
      </w:r>
      <w:r w:rsidR="00F40CCE">
        <w:rPr>
          <w:noProof/>
        </w:rPr>
        <w:t xml:space="preserve">(excluding </w:t>
      </w:r>
      <w:r w:rsidR="0057125F">
        <w:rPr>
          <w:noProof/>
        </w:rPr>
        <w:t>international navigation)</w:t>
      </w:r>
      <w:bookmarkEnd w:id="326"/>
    </w:p>
    <w:p w14:paraId="4F4428EF" w14:textId="3D607D55" w:rsidR="004F037A" w:rsidRPr="00194B6C" w:rsidRDefault="004F037A" w:rsidP="00194B6C">
      <w:pPr>
        <w:keepNext/>
        <w:jc w:val="center"/>
        <w:rPr>
          <w:noProof/>
        </w:rPr>
      </w:pPr>
      <w:r w:rsidRPr="004F037A">
        <w:rPr>
          <w:noProof/>
          <w:lang w:eastAsia="en-GB"/>
        </w:rPr>
        <w:drawing>
          <wp:inline distT="0" distB="0" distL="0" distR="0" wp14:anchorId="354171B8" wp14:editId="3E07FF02">
            <wp:extent cx="5472430" cy="236918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472430" cy="2369185"/>
                    </a:xfrm>
                    <a:prstGeom prst="rect">
                      <a:avLst/>
                    </a:prstGeom>
                    <a:noFill/>
                    <a:ln>
                      <a:noFill/>
                    </a:ln>
                  </pic:spPr>
                </pic:pic>
              </a:graphicData>
            </a:graphic>
          </wp:inline>
        </w:drawing>
      </w:r>
    </w:p>
    <w:p w14:paraId="331AE8D9" w14:textId="61413E94" w:rsidR="00455F29" w:rsidRPr="00194B6C" w:rsidRDefault="00455F29" w:rsidP="00226A85">
      <w:pPr>
        <w:pStyle w:val="CT-NOTE"/>
        <w:rPr>
          <w:noProof/>
        </w:rPr>
      </w:pPr>
      <w:r w:rsidRPr="00455F29">
        <w:rPr>
          <w:noProof/>
        </w:rPr>
        <w:t>Note: The y-axis label (“T</w:t>
      </w:r>
      <w:r w:rsidR="007F15A8">
        <w:rPr>
          <w:noProof/>
        </w:rPr>
        <w:t>t</w:t>
      </w:r>
      <w:r w:rsidRPr="00455F29">
        <w:rPr>
          <w:noProof/>
        </w:rPr>
        <w:t xml:space="preserve">km”) stands for trillion </w:t>
      </w:r>
      <w:r w:rsidR="007F15A8">
        <w:rPr>
          <w:noProof/>
        </w:rPr>
        <w:t>tonne</w:t>
      </w:r>
      <w:r w:rsidRPr="00455F29">
        <w:rPr>
          <w:noProof/>
        </w:rPr>
        <w:t>-kilometres.</w:t>
      </w:r>
    </w:p>
    <w:p w14:paraId="1ADFAADE" w14:textId="1A3157BA" w:rsidR="00322956" w:rsidRPr="00E36E4A" w:rsidRDefault="00322956" w:rsidP="00E36E4A">
      <w:pPr>
        <w:pStyle w:val="CT-SOURCE"/>
        <w:rPr>
          <w:rFonts w:ascii="Cambria Math" w:hAnsi="Cambria Math"/>
          <w:noProof/>
          <w:szCs w:val="18"/>
        </w:rPr>
      </w:pPr>
      <w:r w:rsidRPr="61BF51EC">
        <w:rPr>
          <w:noProof/>
        </w:rPr>
        <w:t>Source: PRIMES.</w:t>
      </w:r>
    </w:p>
    <w:p w14:paraId="65FF81D4" w14:textId="56AB2703" w:rsidR="00CC47C4" w:rsidRDefault="00194B6C" w:rsidP="008B07CC">
      <w:pPr>
        <w:pStyle w:val="Caption"/>
        <w:rPr>
          <w:noProof/>
        </w:rPr>
      </w:pPr>
      <w:bookmarkStart w:id="327" w:name="_Ref143189932"/>
      <w:bookmarkStart w:id="328" w:name="_Ref145094335"/>
      <w:bookmarkStart w:id="329" w:name="_Toc157679811"/>
      <w:r>
        <w:rPr>
          <w:noProof/>
        </w:rPr>
        <w:t xml:space="preserve">Figure </w:t>
      </w:r>
      <w:r>
        <w:rPr>
          <w:noProof/>
        </w:rPr>
        <w:fldChar w:fldCharType="begin"/>
      </w:r>
      <w:r>
        <w:rPr>
          <w:noProof/>
        </w:rPr>
        <w:instrText>SEQ Figure \* ARABIC</w:instrText>
      </w:r>
      <w:r>
        <w:rPr>
          <w:noProof/>
        </w:rPr>
        <w:fldChar w:fldCharType="separate"/>
      </w:r>
      <w:r w:rsidR="00170A3C">
        <w:rPr>
          <w:noProof/>
        </w:rPr>
        <w:t>63</w:t>
      </w:r>
      <w:r>
        <w:rPr>
          <w:noProof/>
        </w:rPr>
        <w:fldChar w:fldCharType="end"/>
      </w:r>
      <w:bookmarkEnd w:id="327"/>
      <w:bookmarkEnd w:id="328"/>
      <w:r>
        <w:rPr>
          <w:noProof/>
        </w:rPr>
        <w:t xml:space="preserve">: </w:t>
      </w:r>
      <w:r w:rsidRPr="00194B6C">
        <w:rPr>
          <w:noProof/>
        </w:rPr>
        <w:t xml:space="preserve">Change in </w:t>
      </w:r>
      <w:r w:rsidR="00F9205E">
        <w:rPr>
          <w:noProof/>
        </w:rPr>
        <w:t xml:space="preserve">EU </w:t>
      </w:r>
      <w:r w:rsidRPr="00194B6C">
        <w:rPr>
          <w:noProof/>
        </w:rPr>
        <w:t xml:space="preserve">freight transport activity between 2015 and 2040 </w:t>
      </w:r>
      <w:r w:rsidR="00F9205E">
        <w:rPr>
          <w:noProof/>
        </w:rPr>
        <w:t>by</w:t>
      </w:r>
      <w:r w:rsidRPr="00194B6C">
        <w:rPr>
          <w:noProof/>
        </w:rPr>
        <w:t xml:space="preserve"> mode</w:t>
      </w:r>
      <w:bookmarkEnd w:id="329"/>
    </w:p>
    <w:p w14:paraId="79EBC978" w14:textId="7C85287D" w:rsidR="00CF3094" w:rsidRPr="00194B6C" w:rsidRDefault="00CF3094" w:rsidP="00194B6C">
      <w:pPr>
        <w:keepNext/>
        <w:jc w:val="center"/>
        <w:rPr>
          <w:noProof/>
        </w:rPr>
      </w:pPr>
      <w:r w:rsidRPr="00CF3094">
        <w:rPr>
          <w:noProof/>
          <w:lang w:eastAsia="en-GB"/>
        </w:rPr>
        <w:drawing>
          <wp:inline distT="0" distB="0" distL="0" distR="0" wp14:anchorId="2584BBB0" wp14:editId="02D9E725">
            <wp:extent cx="5431155" cy="236918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431155" cy="2369185"/>
                    </a:xfrm>
                    <a:prstGeom prst="rect">
                      <a:avLst/>
                    </a:prstGeom>
                    <a:noFill/>
                    <a:ln>
                      <a:noFill/>
                    </a:ln>
                  </pic:spPr>
                </pic:pic>
              </a:graphicData>
            </a:graphic>
          </wp:inline>
        </w:drawing>
      </w:r>
    </w:p>
    <w:p w14:paraId="1EF89180" w14:textId="4C635B02" w:rsidR="000B129E" w:rsidRDefault="000B129E" w:rsidP="000B129E">
      <w:pPr>
        <w:pStyle w:val="CT-NOTE"/>
        <w:rPr>
          <w:noProof/>
        </w:rPr>
      </w:pPr>
      <w:r>
        <w:rPr>
          <w:noProof/>
        </w:rPr>
        <w:t>Note: *The total freight transport activity includes international navigation.</w:t>
      </w:r>
    </w:p>
    <w:p w14:paraId="4C4266FE" w14:textId="04507DD9" w:rsidR="00194B6C" w:rsidRPr="00F7031A" w:rsidRDefault="00194B6C" w:rsidP="00923B34">
      <w:pPr>
        <w:pStyle w:val="CT-SOURCE"/>
        <w:rPr>
          <w:noProof/>
          <w:szCs w:val="18"/>
        </w:rPr>
      </w:pPr>
      <w:r w:rsidRPr="61BF51EC">
        <w:rPr>
          <w:noProof/>
        </w:rPr>
        <w:t>Source: PRIMES.</w:t>
      </w:r>
    </w:p>
    <w:p w14:paraId="344EA665" w14:textId="12F61476" w:rsidR="008E3B6B" w:rsidRPr="003F6B63" w:rsidRDefault="00EE3A52" w:rsidP="003F6B63">
      <w:pPr>
        <w:pStyle w:val="Heading3"/>
        <w:rPr>
          <w:noProof/>
        </w:rPr>
      </w:pPr>
      <w:bookmarkStart w:id="330" w:name="_Ref140238210"/>
      <w:bookmarkStart w:id="331" w:name="_Ref145092521"/>
      <w:bookmarkStart w:id="332" w:name="_Toc148605607"/>
      <w:bookmarkStart w:id="333" w:name="_Toc157692053"/>
      <w:bookmarkStart w:id="334" w:name="_Ref143328889"/>
      <w:r w:rsidRPr="003F6B63">
        <w:rPr>
          <w:noProof/>
        </w:rPr>
        <w:t xml:space="preserve">Energy </w:t>
      </w:r>
      <w:r w:rsidR="002B1991">
        <w:rPr>
          <w:noProof/>
        </w:rPr>
        <w:t>consumption</w:t>
      </w:r>
      <w:r w:rsidR="008E3B6B" w:rsidRPr="003F6B63">
        <w:rPr>
          <w:noProof/>
        </w:rPr>
        <w:t xml:space="preserve"> and fuel mix</w:t>
      </w:r>
      <w:bookmarkEnd w:id="330"/>
      <w:bookmarkEnd w:id="331"/>
      <w:bookmarkEnd w:id="332"/>
      <w:bookmarkEnd w:id="333"/>
    </w:p>
    <w:bookmarkEnd w:id="334"/>
    <w:p w14:paraId="2E4F8D3A" w14:textId="130FABD0" w:rsidR="00B62FFE" w:rsidRPr="00932AA7" w:rsidRDefault="0075314C" w:rsidP="0075314C">
      <w:pPr>
        <w:rPr>
          <w:noProof/>
        </w:rPr>
      </w:pPr>
      <w:r>
        <w:rPr>
          <w:noProof/>
        </w:rPr>
        <w:t xml:space="preserve">The total amount of energy consumed by the transport sector in the EU significantly decreases between 2015 and 2050 in all scenarios (even though transport activity increases over that period, as discussed in Section </w:t>
      </w:r>
      <w:r w:rsidR="007F68AA" w:rsidRPr="00036EBE">
        <w:rPr>
          <w:noProof/>
        </w:rPr>
        <w:fldChar w:fldCharType="begin"/>
      </w:r>
      <w:r w:rsidR="007F68AA" w:rsidRPr="00036EBE">
        <w:rPr>
          <w:noProof/>
        </w:rPr>
        <w:instrText xml:space="preserve"> REF _Ref143242989 \r \h </w:instrText>
      </w:r>
      <w:r w:rsidR="00622F72" w:rsidRPr="00036EBE">
        <w:rPr>
          <w:noProof/>
        </w:rPr>
        <w:instrText xml:space="preserve"> \* MERGEFORMAT </w:instrText>
      </w:r>
      <w:r w:rsidR="007F68AA" w:rsidRPr="00036EBE">
        <w:rPr>
          <w:noProof/>
        </w:rPr>
      </w:r>
      <w:r w:rsidR="007F68AA" w:rsidRPr="00036EBE">
        <w:rPr>
          <w:noProof/>
        </w:rPr>
        <w:fldChar w:fldCharType="separate"/>
      </w:r>
      <w:r w:rsidR="00170A3C">
        <w:rPr>
          <w:noProof/>
        </w:rPr>
        <w:t>1.5.2</w:t>
      </w:r>
      <w:r w:rsidR="007F68AA" w:rsidRPr="00036EBE">
        <w:rPr>
          <w:noProof/>
        </w:rPr>
        <w:fldChar w:fldCharType="end"/>
      </w:r>
      <w:r>
        <w:rPr>
          <w:noProof/>
        </w:rPr>
        <w:t>)</w:t>
      </w:r>
      <w:r w:rsidR="00B96298">
        <w:rPr>
          <w:noProof/>
        </w:rPr>
        <w:t>,</w:t>
      </w:r>
      <w:r w:rsidR="00B96298" w:rsidRPr="00B96298">
        <w:rPr>
          <w:noProof/>
        </w:rPr>
        <w:t xml:space="preserve"> thanks to major energy consumption reductions in road transport</w:t>
      </w:r>
      <w:r>
        <w:rPr>
          <w:noProof/>
        </w:rPr>
        <w:t>. The main reasons are electrification</w:t>
      </w:r>
      <w:r w:rsidRPr="0075314C">
        <w:rPr>
          <w:noProof/>
        </w:rPr>
        <w:t> (</w:t>
      </w:r>
      <w:r>
        <w:rPr>
          <w:rStyle w:val="FootnoteReference"/>
          <w:noProof/>
        </w:rPr>
        <w:footnoteReference w:id="114"/>
      </w:r>
      <w:r>
        <w:rPr>
          <w:noProof/>
        </w:rPr>
        <w:t xml:space="preserve">) (notably in road transport) and energy efficiency improvements. As shown in </w:t>
      </w:r>
      <w:r w:rsidR="00374F16" w:rsidRPr="00036EBE">
        <w:rPr>
          <w:noProof/>
        </w:rPr>
        <w:fldChar w:fldCharType="begin"/>
      </w:r>
      <w:r w:rsidR="00374F16" w:rsidRPr="00036EBE">
        <w:rPr>
          <w:noProof/>
        </w:rPr>
        <w:instrText xml:space="preserve"> REF _Ref143242754 \h </w:instrText>
      </w:r>
      <w:r w:rsidR="00BD043A" w:rsidRPr="00036EBE">
        <w:rPr>
          <w:noProof/>
        </w:rPr>
        <w:instrText xml:space="preserve"> \* MERGEFORMAT </w:instrText>
      </w:r>
      <w:r w:rsidR="00374F16" w:rsidRPr="00036EBE">
        <w:rPr>
          <w:noProof/>
        </w:rPr>
      </w:r>
      <w:r w:rsidR="00374F16" w:rsidRPr="00036EBE">
        <w:rPr>
          <w:noProof/>
        </w:rPr>
        <w:fldChar w:fldCharType="separate"/>
      </w:r>
      <w:r w:rsidR="00170A3C">
        <w:rPr>
          <w:noProof/>
        </w:rPr>
        <w:t>Figure 64</w:t>
      </w:r>
      <w:r w:rsidR="00374F16" w:rsidRPr="00036EBE">
        <w:rPr>
          <w:noProof/>
        </w:rPr>
        <w:fldChar w:fldCharType="end"/>
      </w:r>
      <w:r w:rsidRPr="00036EBE">
        <w:rPr>
          <w:noProof/>
        </w:rPr>
        <w:t xml:space="preserve"> and </w:t>
      </w:r>
      <w:r w:rsidR="00374F16" w:rsidRPr="00036EBE">
        <w:rPr>
          <w:noProof/>
        </w:rPr>
        <w:fldChar w:fldCharType="begin"/>
      </w:r>
      <w:r w:rsidR="00374F16" w:rsidRPr="00036EBE">
        <w:rPr>
          <w:noProof/>
        </w:rPr>
        <w:instrText xml:space="preserve"> REF _Ref143242774 \h </w:instrText>
      </w:r>
      <w:r w:rsidR="00BD043A" w:rsidRPr="00036EBE">
        <w:rPr>
          <w:noProof/>
        </w:rPr>
        <w:instrText xml:space="preserve"> \* MERGEFORMAT </w:instrText>
      </w:r>
      <w:r w:rsidR="00374F16" w:rsidRPr="00036EBE">
        <w:rPr>
          <w:noProof/>
        </w:rPr>
      </w:r>
      <w:r w:rsidR="00374F16" w:rsidRPr="00036EBE">
        <w:rPr>
          <w:noProof/>
        </w:rPr>
        <w:fldChar w:fldCharType="separate"/>
      </w:r>
      <w:r w:rsidR="00170A3C">
        <w:rPr>
          <w:noProof/>
        </w:rPr>
        <w:t>Figure 65</w:t>
      </w:r>
      <w:r w:rsidR="00374F16" w:rsidRPr="00036EBE">
        <w:rPr>
          <w:noProof/>
        </w:rPr>
        <w:fldChar w:fldCharType="end"/>
      </w:r>
      <w:r w:rsidRPr="00036EBE">
        <w:rPr>
          <w:noProof/>
        </w:rPr>
        <w:t>,</w:t>
      </w:r>
      <w:r>
        <w:rPr>
          <w:noProof/>
        </w:rPr>
        <w:t xml:space="preserve"> in the S1, S2 and S3 scenarios, total energy </w:t>
      </w:r>
      <w:r w:rsidRPr="00932AA7">
        <w:rPr>
          <w:noProof/>
        </w:rPr>
        <w:t>consumption (expressed in Mtoe</w:t>
      </w:r>
      <w:r w:rsidR="007D18DD" w:rsidRPr="00932AA7">
        <w:rPr>
          <w:noProof/>
        </w:rPr>
        <w:t xml:space="preserve">, including international </w:t>
      </w:r>
      <w:r w:rsidR="007149A7" w:rsidRPr="00932AA7">
        <w:rPr>
          <w:noProof/>
        </w:rPr>
        <w:t>aviation and navigation</w:t>
      </w:r>
      <w:r w:rsidRPr="00932AA7">
        <w:rPr>
          <w:noProof/>
        </w:rPr>
        <w:t>) decreases by 3</w:t>
      </w:r>
      <w:r w:rsidR="00B62FFE" w:rsidRPr="00932AA7">
        <w:rPr>
          <w:noProof/>
        </w:rPr>
        <w:t>3</w:t>
      </w:r>
      <w:r w:rsidRPr="00932AA7">
        <w:rPr>
          <w:noProof/>
        </w:rPr>
        <w:t>-35% in 2040 and by 4</w:t>
      </w:r>
      <w:r w:rsidR="00B62FFE" w:rsidRPr="00932AA7">
        <w:rPr>
          <w:noProof/>
        </w:rPr>
        <w:t>2</w:t>
      </w:r>
      <w:r w:rsidRPr="00932AA7">
        <w:rPr>
          <w:noProof/>
        </w:rPr>
        <w:t xml:space="preserve">-44% in 2050 compared to 2015. The greatest reduction is observed in the S3 scenario, whereas the lowest reduction is observed in the S1 scenario. </w:t>
      </w:r>
    </w:p>
    <w:p w14:paraId="6FC54DB3" w14:textId="0FA83155" w:rsidR="0075314C" w:rsidRDefault="0075314C" w:rsidP="0075314C">
      <w:pPr>
        <w:rPr>
          <w:noProof/>
        </w:rPr>
      </w:pPr>
      <w:r w:rsidRPr="00932AA7">
        <w:rPr>
          <w:noProof/>
        </w:rPr>
        <w:t xml:space="preserve">There are significant differences between transport modes. As shown in </w:t>
      </w:r>
      <w:r w:rsidR="00357C38" w:rsidRPr="00932AA7">
        <w:rPr>
          <w:noProof/>
        </w:rPr>
        <w:fldChar w:fldCharType="begin"/>
      </w:r>
      <w:r w:rsidR="00357C38" w:rsidRPr="00932AA7">
        <w:rPr>
          <w:noProof/>
        </w:rPr>
        <w:instrText xml:space="preserve"> REF _Ref143242754 \h </w:instrText>
      </w:r>
      <w:r w:rsidR="00B62FFE" w:rsidRPr="00932AA7">
        <w:rPr>
          <w:noProof/>
        </w:rPr>
        <w:instrText xml:space="preserve"> \* MERGEFORMAT </w:instrText>
      </w:r>
      <w:r w:rsidR="00357C38" w:rsidRPr="00932AA7">
        <w:rPr>
          <w:noProof/>
        </w:rPr>
      </w:r>
      <w:r w:rsidR="00357C38" w:rsidRPr="00932AA7">
        <w:rPr>
          <w:noProof/>
        </w:rPr>
        <w:fldChar w:fldCharType="separate"/>
      </w:r>
      <w:r w:rsidR="00170A3C">
        <w:rPr>
          <w:noProof/>
        </w:rPr>
        <w:t>Figure 64</w:t>
      </w:r>
      <w:r w:rsidR="00357C38" w:rsidRPr="00932AA7">
        <w:rPr>
          <w:noProof/>
        </w:rPr>
        <w:fldChar w:fldCharType="end"/>
      </w:r>
      <w:r w:rsidRPr="00932AA7">
        <w:rPr>
          <w:noProof/>
        </w:rPr>
        <w:t xml:space="preserve"> and </w:t>
      </w:r>
      <w:r w:rsidR="00357C38" w:rsidRPr="00932AA7">
        <w:rPr>
          <w:noProof/>
        </w:rPr>
        <w:fldChar w:fldCharType="begin"/>
      </w:r>
      <w:r w:rsidR="00357C38" w:rsidRPr="00932AA7">
        <w:rPr>
          <w:noProof/>
        </w:rPr>
        <w:instrText xml:space="preserve"> REF _Ref143242774 \h </w:instrText>
      </w:r>
      <w:r w:rsidR="00B62FFE" w:rsidRPr="00932AA7">
        <w:rPr>
          <w:noProof/>
        </w:rPr>
        <w:instrText xml:space="preserve"> \* MERGEFORMAT </w:instrText>
      </w:r>
      <w:r w:rsidR="00357C38" w:rsidRPr="00932AA7">
        <w:rPr>
          <w:noProof/>
        </w:rPr>
      </w:r>
      <w:r w:rsidR="00357C38" w:rsidRPr="00932AA7">
        <w:rPr>
          <w:noProof/>
        </w:rPr>
        <w:fldChar w:fldCharType="separate"/>
      </w:r>
      <w:r w:rsidR="00170A3C">
        <w:rPr>
          <w:noProof/>
        </w:rPr>
        <w:t>Figure 65</w:t>
      </w:r>
      <w:r w:rsidR="00357C38" w:rsidRPr="00932AA7">
        <w:rPr>
          <w:noProof/>
        </w:rPr>
        <w:fldChar w:fldCharType="end"/>
      </w:r>
      <w:r w:rsidRPr="00932AA7">
        <w:rPr>
          <w:noProof/>
        </w:rPr>
        <w:t xml:space="preserve">, a large reduction in energy consumption is observed in </w:t>
      </w:r>
      <w:r w:rsidRPr="00932AA7">
        <w:rPr>
          <w:b/>
          <w:noProof/>
        </w:rPr>
        <w:t>road transport</w:t>
      </w:r>
      <w:r w:rsidRPr="00932AA7">
        <w:rPr>
          <w:noProof/>
        </w:rPr>
        <w:t xml:space="preserve"> (</w:t>
      </w:r>
      <w:r w:rsidR="000F5D4C" w:rsidRPr="00932AA7">
        <w:rPr>
          <w:noProof/>
        </w:rPr>
        <w:t xml:space="preserve">by </w:t>
      </w:r>
      <w:r w:rsidRPr="00932AA7">
        <w:rPr>
          <w:noProof/>
        </w:rPr>
        <w:t>52-53% in 2040 and 65-67% in 2050 relative to 2015, depending on the scenario). The main reason is the large-scale electrification of the fleet. As a result, the percentage of the total energy consumption in the transport sector attributable to road transport drops from 74% in 2015 to 53</w:t>
      </w:r>
      <w:r w:rsidR="00964EFB" w:rsidRPr="00932AA7">
        <w:rPr>
          <w:noProof/>
        </w:rPr>
        <w:t>-54</w:t>
      </w:r>
      <w:r w:rsidRPr="00932AA7">
        <w:rPr>
          <w:noProof/>
        </w:rPr>
        <w:t xml:space="preserve">% in 2040 and around 44% in 2050. The decrease in energy consumption is especially significant for passenger cars: </w:t>
      </w:r>
      <w:r w:rsidR="00964EFB" w:rsidRPr="00932AA7">
        <w:rPr>
          <w:noProof/>
        </w:rPr>
        <w:t>roughly</w:t>
      </w:r>
      <w:r w:rsidRPr="00932AA7">
        <w:rPr>
          <w:noProof/>
        </w:rPr>
        <w:t xml:space="preserve"> 10</w:t>
      </w:r>
      <w:r w:rsidR="00964EFB" w:rsidRPr="00932AA7">
        <w:rPr>
          <w:noProof/>
        </w:rPr>
        <w:t>5</w:t>
      </w:r>
      <w:r w:rsidRPr="00932AA7">
        <w:rPr>
          <w:noProof/>
        </w:rPr>
        <w:t xml:space="preserve"> Mtoe in 2040 compared to 2015 (i.e., 6</w:t>
      </w:r>
      <w:r w:rsidR="00964EFB" w:rsidRPr="00932AA7">
        <w:rPr>
          <w:noProof/>
        </w:rPr>
        <w:t>0</w:t>
      </w:r>
      <w:r w:rsidRPr="00932AA7">
        <w:rPr>
          <w:noProof/>
        </w:rPr>
        <w:t xml:space="preserve">% reduction) and </w:t>
      </w:r>
      <w:r w:rsidR="00964EFB" w:rsidRPr="00932AA7">
        <w:rPr>
          <w:noProof/>
        </w:rPr>
        <w:t>135</w:t>
      </w:r>
      <w:r w:rsidRPr="00932AA7">
        <w:rPr>
          <w:noProof/>
        </w:rPr>
        <w:t xml:space="preserve"> Mtoe in 2050 relative to 2015 (i.e., around 7</w:t>
      </w:r>
      <w:r w:rsidR="00964EFB" w:rsidRPr="00932AA7">
        <w:rPr>
          <w:noProof/>
        </w:rPr>
        <w:t>5</w:t>
      </w:r>
      <w:r w:rsidRPr="00932AA7">
        <w:rPr>
          <w:noProof/>
        </w:rPr>
        <w:t xml:space="preserve">% reduction). For trucks, the reduction is </w:t>
      </w:r>
      <w:r w:rsidR="00EB5E4A">
        <w:rPr>
          <w:noProof/>
        </w:rPr>
        <w:t xml:space="preserve">significant but </w:t>
      </w:r>
      <w:r w:rsidRPr="00932AA7">
        <w:rPr>
          <w:noProof/>
        </w:rPr>
        <w:t>more moderate, because</w:t>
      </w:r>
      <w:r>
        <w:rPr>
          <w:noProof/>
        </w:rPr>
        <w:t xml:space="preserve"> of lower levels of electrification (see </w:t>
      </w:r>
      <w:r w:rsidR="00357C38" w:rsidRPr="00036EBE">
        <w:rPr>
          <w:noProof/>
        </w:rPr>
        <w:fldChar w:fldCharType="begin"/>
      </w:r>
      <w:r w:rsidR="00357C38" w:rsidRPr="00036EBE">
        <w:rPr>
          <w:noProof/>
        </w:rPr>
        <w:instrText xml:space="preserve"> REF _Ref143242754 \h </w:instrText>
      </w:r>
      <w:r w:rsidR="00964EFB" w:rsidRPr="00036EBE">
        <w:rPr>
          <w:noProof/>
        </w:rPr>
        <w:instrText xml:space="preserve"> \* MERGEFORMAT </w:instrText>
      </w:r>
      <w:r w:rsidR="00357C38" w:rsidRPr="00036EBE">
        <w:rPr>
          <w:noProof/>
        </w:rPr>
      </w:r>
      <w:r w:rsidR="00357C38" w:rsidRPr="00036EBE">
        <w:rPr>
          <w:noProof/>
        </w:rPr>
        <w:fldChar w:fldCharType="separate"/>
      </w:r>
      <w:r w:rsidR="00170A3C">
        <w:rPr>
          <w:noProof/>
        </w:rPr>
        <w:t>Figure 64</w:t>
      </w:r>
      <w:r w:rsidR="00357C38" w:rsidRPr="00036EBE">
        <w:rPr>
          <w:noProof/>
        </w:rPr>
        <w:fldChar w:fldCharType="end"/>
      </w:r>
      <w:r>
        <w:rPr>
          <w:noProof/>
        </w:rPr>
        <w:t xml:space="preserve">). </w:t>
      </w:r>
    </w:p>
    <w:p w14:paraId="7F42C316" w14:textId="3EDD8D1F" w:rsidR="0075314C" w:rsidRDefault="0075314C" w:rsidP="0075314C">
      <w:pPr>
        <w:rPr>
          <w:noProof/>
        </w:rPr>
      </w:pPr>
      <w:r>
        <w:rPr>
          <w:noProof/>
        </w:rPr>
        <w:t xml:space="preserve">All </w:t>
      </w:r>
      <w:r w:rsidRPr="00BF1D16">
        <w:rPr>
          <w:b/>
          <w:noProof/>
        </w:rPr>
        <w:t>modes other than road transport</w:t>
      </w:r>
      <w:r>
        <w:rPr>
          <w:noProof/>
        </w:rPr>
        <w:t xml:space="preserve"> increase their energy consumption. These are modes for which the shift to electrification is less prominent than for road transport</w:t>
      </w:r>
      <w:r w:rsidR="005C775E" w:rsidRPr="005C775E">
        <w:rPr>
          <w:noProof/>
        </w:rPr>
        <w:t> (</w:t>
      </w:r>
      <w:r w:rsidR="005C775E">
        <w:rPr>
          <w:rStyle w:val="FootnoteReference"/>
          <w:noProof/>
        </w:rPr>
        <w:footnoteReference w:id="115"/>
      </w:r>
      <w:r w:rsidR="005C775E">
        <w:rPr>
          <w:noProof/>
        </w:rPr>
        <w:t>)</w:t>
      </w:r>
      <w:r>
        <w:rPr>
          <w:noProof/>
        </w:rPr>
        <w:t xml:space="preserve">, so their energy consumption increases mainly because of the increased transport activity. However, in relative terms, the increase in energy consumption is significantly lower than the increase in transport activity (see </w:t>
      </w:r>
      <w:r w:rsidRPr="00036EBE">
        <w:rPr>
          <w:noProof/>
        </w:rPr>
        <w:t xml:space="preserve">Section </w:t>
      </w:r>
      <w:r w:rsidR="007F68AA" w:rsidRPr="00036EBE">
        <w:rPr>
          <w:noProof/>
        </w:rPr>
        <w:fldChar w:fldCharType="begin"/>
      </w:r>
      <w:r w:rsidR="007F68AA" w:rsidRPr="00036EBE">
        <w:rPr>
          <w:noProof/>
        </w:rPr>
        <w:instrText xml:space="preserve"> REF _Ref143242989 \r \h </w:instrText>
      </w:r>
      <w:r w:rsidR="007F47A3" w:rsidRPr="00036EBE">
        <w:rPr>
          <w:noProof/>
        </w:rPr>
        <w:instrText xml:space="preserve"> \* MERGEFORMAT </w:instrText>
      </w:r>
      <w:r w:rsidR="007F68AA" w:rsidRPr="00036EBE">
        <w:rPr>
          <w:noProof/>
        </w:rPr>
      </w:r>
      <w:r w:rsidR="007F68AA" w:rsidRPr="00036EBE">
        <w:rPr>
          <w:noProof/>
        </w:rPr>
        <w:fldChar w:fldCharType="separate"/>
      </w:r>
      <w:r w:rsidR="00170A3C">
        <w:rPr>
          <w:noProof/>
        </w:rPr>
        <w:t>1.5.2</w:t>
      </w:r>
      <w:r w:rsidR="007F68AA" w:rsidRPr="00036EBE">
        <w:rPr>
          <w:noProof/>
        </w:rPr>
        <w:fldChar w:fldCharType="end"/>
      </w:r>
      <w:r>
        <w:rPr>
          <w:noProof/>
        </w:rPr>
        <w:t>), which indicates important energy efficiency gains over time in these transport modes.</w:t>
      </w:r>
    </w:p>
    <w:p w14:paraId="6A786E64" w14:textId="606ABFA7" w:rsidR="00BB3217" w:rsidRDefault="0075314C" w:rsidP="00F038F7">
      <w:pPr>
        <w:rPr>
          <w:noProof/>
          <w:lang w:val="en-IE"/>
        </w:rPr>
      </w:pPr>
      <w:r w:rsidRPr="00F038F7">
        <w:rPr>
          <w:noProof/>
        </w:rPr>
        <w:t xml:space="preserve">In </w:t>
      </w:r>
      <w:r w:rsidR="00C459D4">
        <w:rPr>
          <w:noProof/>
        </w:rPr>
        <w:t>LIFE</w:t>
      </w:r>
      <w:r w:rsidRPr="00F038F7">
        <w:rPr>
          <w:noProof/>
        </w:rPr>
        <w:t xml:space="preserve">, </w:t>
      </w:r>
      <w:r w:rsidR="00F038F7" w:rsidRPr="00F038F7">
        <w:rPr>
          <w:noProof/>
        </w:rPr>
        <w:t xml:space="preserve">the total amount of energy consumed by the transport sector decreases over time a bit more than in the other </w:t>
      </w:r>
      <w:r w:rsidR="00F038F7" w:rsidRPr="00932AA7">
        <w:rPr>
          <w:noProof/>
        </w:rPr>
        <w:t xml:space="preserve">scenarios, mainly because of a </w:t>
      </w:r>
      <w:r w:rsidR="00FA7B41" w:rsidRPr="00932AA7">
        <w:rPr>
          <w:noProof/>
        </w:rPr>
        <w:t>different</w:t>
      </w:r>
      <w:r w:rsidR="00F038F7" w:rsidRPr="00932AA7">
        <w:rPr>
          <w:noProof/>
        </w:rPr>
        <w:t xml:space="preserve"> transport activity </w:t>
      </w:r>
      <w:r w:rsidR="00FA7B41" w:rsidRPr="00932AA7">
        <w:rPr>
          <w:noProof/>
        </w:rPr>
        <w:t xml:space="preserve">pattern </w:t>
      </w:r>
      <w:r w:rsidR="00017E76" w:rsidRPr="00932AA7">
        <w:rPr>
          <w:noProof/>
        </w:rPr>
        <w:t>(</w:t>
      </w:r>
      <w:r w:rsidR="00FA7B41" w:rsidRPr="00932AA7">
        <w:rPr>
          <w:noProof/>
        </w:rPr>
        <w:t>including</w:t>
      </w:r>
      <w:r w:rsidR="00F038F7" w:rsidRPr="00932AA7">
        <w:rPr>
          <w:noProof/>
        </w:rPr>
        <w:t xml:space="preserve"> a </w:t>
      </w:r>
      <w:r w:rsidR="00786B95">
        <w:rPr>
          <w:noProof/>
        </w:rPr>
        <w:t>higher</w:t>
      </w:r>
      <w:r w:rsidR="00F038F7" w:rsidRPr="00932AA7">
        <w:rPr>
          <w:noProof/>
        </w:rPr>
        <w:t xml:space="preserve"> shift to rail transport, which is a very energy-efficient mode</w:t>
      </w:r>
      <w:r w:rsidR="004237E1">
        <w:rPr>
          <w:noProof/>
        </w:rPr>
        <w:t>, and to active modes</w:t>
      </w:r>
      <w:r w:rsidR="00017E76" w:rsidRPr="00932AA7">
        <w:rPr>
          <w:noProof/>
        </w:rPr>
        <w:t>)</w:t>
      </w:r>
      <w:r w:rsidR="00F038F7" w:rsidRPr="00932AA7">
        <w:rPr>
          <w:noProof/>
        </w:rPr>
        <w:t xml:space="preserve">. As shown in </w:t>
      </w:r>
      <w:r w:rsidR="00805771" w:rsidRPr="00932AA7">
        <w:rPr>
          <w:noProof/>
        </w:rPr>
        <w:fldChar w:fldCharType="begin"/>
      </w:r>
      <w:r w:rsidR="00805771" w:rsidRPr="00932AA7">
        <w:rPr>
          <w:noProof/>
        </w:rPr>
        <w:instrText xml:space="preserve"> REF _Ref145094519 \h </w:instrText>
      </w:r>
      <w:r w:rsidR="009F6909" w:rsidRPr="00932AA7">
        <w:rPr>
          <w:noProof/>
        </w:rPr>
        <w:instrText xml:space="preserve"> \* MERGEFORMAT </w:instrText>
      </w:r>
      <w:r w:rsidR="00805771" w:rsidRPr="00932AA7">
        <w:rPr>
          <w:noProof/>
        </w:rPr>
      </w:r>
      <w:r w:rsidR="00805771" w:rsidRPr="00932AA7">
        <w:rPr>
          <w:noProof/>
        </w:rPr>
        <w:fldChar w:fldCharType="separate"/>
      </w:r>
      <w:r w:rsidR="00170A3C">
        <w:rPr>
          <w:noProof/>
        </w:rPr>
        <w:t>Figure 64</w:t>
      </w:r>
      <w:r w:rsidR="00805771" w:rsidRPr="00932AA7">
        <w:rPr>
          <w:noProof/>
        </w:rPr>
        <w:fldChar w:fldCharType="end"/>
      </w:r>
      <w:r w:rsidR="00805771" w:rsidRPr="00932AA7">
        <w:rPr>
          <w:noProof/>
        </w:rPr>
        <w:t xml:space="preserve"> </w:t>
      </w:r>
      <w:r w:rsidR="00F038F7" w:rsidRPr="00932AA7">
        <w:rPr>
          <w:noProof/>
        </w:rPr>
        <w:t xml:space="preserve">and </w:t>
      </w:r>
      <w:r w:rsidR="00805771" w:rsidRPr="00932AA7">
        <w:rPr>
          <w:noProof/>
        </w:rPr>
        <w:fldChar w:fldCharType="begin"/>
      </w:r>
      <w:r w:rsidR="00805771" w:rsidRPr="00932AA7">
        <w:rPr>
          <w:noProof/>
        </w:rPr>
        <w:instrText xml:space="preserve"> REF _Ref145094527 \h </w:instrText>
      </w:r>
      <w:r w:rsidR="009F6909" w:rsidRPr="00932AA7">
        <w:rPr>
          <w:noProof/>
        </w:rPr>
        <w:instrText xml:space="preserve"> \* MERGEFORMAT </w:instrText>
      </w:r>
      <w:r w:rsidR="00805771" w:rsidRPr="00932AA7">
        <w:rPr>
          <w:noProof/>
        </w:rPr>
      </w:r>
      <w:r w:rsidR="00805771" w:rsidRPr="00932AA7">
        <w:rPr>
          <w:noProof/>
        </w:rPr>
        <w:fldChar w:fldCharType="separate"/>
      </w:r>
      <w:r w:rsidR="00170A3C">
        <w:rPr>
          <w:noProof/>
        </w:rPr>
        <w:t>Figure 65</w:t>
      </w:r>
      <w:r w:rsidR="00805771" w:rsidRPr="00932AA7">
        <w:rPr>
          <w:noProof/>
        </w:rPr>
        <w:fldChar w:fldCharType="end"/>
      </w:r>
      <w:r w:rsidR="00F038F7" w:rsidRPr="00932AA7">
        <w:rPr>
          <w:noProof/>
        </w:rPr>
        <w:t>, total energy consumption drops by 3</w:t>
      </w:r>
      <w:r w:rsidR="00131A4B">
        <w:rPr>
          <w:noProof/>
        </w:rPr>
        <w:t>7</w:t>
      </w:r>
      <w:r w:rsidR="00F038F7" w:rsidRPr="00932AA7">
        <w:rPr>
          <w:noProof/>
        </w:rPr>
        <w:t xml:space="preserve">% in 2040 and 46% in 2050 compared to 2015 (i.e., </w:t>
      </w:r>
      <w:r w:rsidR="00131A4B">
        <w:rPr>
          <w:noProof/>
        </w:rPr>
        <w:t>1-3</w:t>
      </w:r>
      <w:r w:rsidR="00F038F7" w:rsidRPr="00932AA7">
        <w:rPr>
          <w:noProof/>
        </w:rPr>
        <w:t xml:space="preserve"> percentage points </w:t>
      </w:r>
      <w:r w:rsidR="0087171F" w:rsidRPr="00932AA7">
        <w:rPr>
          <w:noProof/>
        </w:rPr>
        <w:t>more</w:t>
      </w:r>
      <w:r w:rsidR="00F038F7" w:rsidRPr="00932AA7">
        <w:rPr>
          <w:noProof/>
        </w:rPr>
        <w:t xml:space="preserve"> than </w:t>
      </w:r>
      <w:r w:rsidR="00BE3B01" w:rsidRPr="00932AA7">
        <w:rPr>
          <w:noProof/>
        </w:rPr>
        <w:t xml:space="preserve">in </w:t>
      </w:r>
      <w:r w:rsidR="00F038F7" w:rsidRPr="00932AA7">
        <w:rPr>
          <w:noProof/>
        </w:rPr>
        <w:t xml:space="preserve">S2 </w:t>
      </w:r>
      <w:r w:rsidR="00131A4B">
        <w:rPr>
          <w:noProof/>
        </w:rPr>
        <w:t xml:space="preserve">and S3 in 2040, and </w:t>
      </w:r>
      <w:r w:rsidR="008D1D9A">
        <w:rPr>
          <w:noProof/>
        </w:rPr>
        <w:t>3</w:t>
      </w:r>
      <w:r w:rsidR="00131A4B">
        <w:rPr>
          <w:noProof/>
        </w:rPr>
        <w:t>-4 pp more in 2050</w:t>
      </w:r>
      <w:r w:rsidR="00F038F7" w:rsidRPr="00932AA7">
        <w:rPr>
          <w:noProof/>
        </w:rPr>
        <w:t xml:space="preserve">). Road transport shows a slightly </w:t>
      </w:r>
      <w:r w:rsidR="004C531B" w:rsidRPr="00932AA7">
        <w:rPr>
          <w:noProof/>
        </w:rPr>
        <w:t>great</w:t>
      </w:r>
      <w:r w:rsidR="00F038F7" w:rsidRPr="00932AA7">
        <w:rPr>
          <w:noProof/>
        </w:rPr>
        <w:t>er decrease in energy consumption relative to 2015 than the other scenarios (5</w:t>
      </w:r>
      <w:r w:rsidR="008D1D9A">
        <w:rPr>
          <w:noProof/>
        </w:rPr>
        <w:t>5</w:t>
      </w:r>
      <w:r w:rsidR="00F038F7" w:rsidRPr="00932AA7">
        <w:rPr>
          <w:noProof/>
        </w:rPr>
        <w:t>% in 2040 and 6</w:t>
      </w:r>
      <w:r w:rsidR="008D1D9A">
        <w:rPr>
          <w:noProof/>
        </w:rPr>
        <w:t>9</w:t>
      </w:r>
      <w:r w:rsidR="00F038F7" w:rsidRPr="00932AA7">
        <w:rPr>
          <w:noProof/>
        </w:rPr>
        <w:t xml:space="preserve">% in 2050, i.e., </w:t>
      </w:r>
      <w:r w:rsidR="004C531B" w:rsidRPr="00932AA7">
        <w:rPr>
          <w:noProof/>
        </w:rPr>
        <w:t>2</w:t>
      </w:r>
      <w:r w:rsidR="00F038F7" w:rsidRPr="00932AA7">
        <w:rPr>
          <w:noProof/>
        </w:rPr>
        <w:t xml:space="preserve"> pp more than in S2</w:t>
      </w:r>
      <w:r w:rsidR="008D1D9A">
        <w:rPr>
          <w:noProof/>
        </w:rPr>
        <w:t xml:space="preserve"> and S3</w:t>
      </w:r>
      <w:r w:rsidR="0080636F">
        <w:rPr>
          <w:noProof/>
        </w:rPr>
        <w:t xml:space="preserve"> in </w:t>
      </w:r>
      <w:r w:rsidR="00C05969">
        <w:rPr>
          <w:noProof/>
        </w:rPr>
        <w:t>2040</w:t>
      </w:r>
      <w:r w:rsidR="006A3FC5">
        <w:rPr>
          <w:noProof/>
        </w:rPr>
        <w:t xml:space="preserve"> and </w:t>
      </w:r>
      <w:r w:rsidR="006A3FC5" w:rsidRPr="006A3FC5">
        <w:rPr>
          <w:noProof/>
        </w:rPr>
        <w:t>2-3 pp more than in S2 and S3 in 2050</w:t>
      </w:r>
      <w:r w:rsidR="00F038F7" w:rsidRPr="00932AA7">
        <w:rPr>
          <w:noProof/>
        </w:rPr>
        <w:t>), while aviation shows a much lower increase (6% in 2040, i.e., 1</w:t>
      </w:r>
      <w:r w:rsidR="008D1D9A">
        <w:rPr>
          <w:noProof/>
        </w:rPr>
        <w:t>1</w:t>
      </w:r>
      <w:r w:rsidR="00F038F7" w:rsidRPr="00932AA7">
        <w:rPr>
          <w:noProof/>
        </w:rPr>
        <w:t xml:space="preserve"> pp less than </w:t>
      </w:r>
      <w:r w:rsidR="00BE3B01" w:rsidRPr="00932AA7">
        <w:rPr>
          <w:noProof/>
        </w:rPr>
        <w:t xml:space="preserve">in </w:t>
      </w:r>
      <w:r w:rsidR="00F038F7" w:rsidRPr="00932AA7">
        <w:rPr>
          <w:noProof/>
        </w:rPr>
        <w:t>S2</w:t>
      </w:r>
      <w:r w:rsidR="008D1D9A">
        <w:rPr>
          <w:noProof/>
        </w:rPr>
        <w:t xml:space="preserve"> and S3</w:t>
      </w:r>
      <w:r w:rsidR="00F038F7" w:rsidRPr="00932AA7">
        <w:rPr>
          <w:noProof/>
        </w:rPr>
        <w:t xml:space="preserve">, and </w:t>
      </w:r>
      <w:r w:rsidR="008D1D9A">
        <w:rPr>
          <w:noProof/>
        </w:rPr>
        <w:t>0.5</w:t>
      </w:r>
      <w:r w:rsidR="00F038F7" w:rsidRPr="00932AA7">
        <w:rPr>
          <w:noProof/>
        </w:rPr>
        <w:t>% in 2050, i.e., 1</w:t>
      </w:r>
      <w:r w:rsidR="00BE3B01" w:rsidRPr="00932AA7">
        <w:rPr>
          <w:noProof/>
        </w:rPr>
        <w:t>6</w:t>
      </w:r>
      <w:r w:rsidR="008D1D9A">
        <w:rPr>
          <w:noProof/>
        </w:rPr>
        <w:t>-17</w:t>
      </w:r>
      <w:r w:rsidR="00F038F7" w:rsidRPr="00932AA7">
        <w:rPr>
          <w:noProof/>
        </w:rPr>
        <w:t xml:space="preserve"> pp less). Instead, energy consumption in rail transport increases more in </w:t>
      </w:r>
      <w:r w:rsidR="00C459D4" w:rsidRPr="00932AA7">
        <w:rPr>
          <w:noProof/>
        </w:rPr>
        <w:t>LIFE</w:t>
      </w:r>
      <w:r w:rsidR="00F038F7" w:rsidRPr="00932AA7">
        <w:rPr>
          <w:noProof/>
        </w:rPr>
        <w:t xml:space="preserve"> than in the other scenarios (by 48% in 2040, i.e., </w:t>
      </w:r>
      <w:r w:rsidR="007F6AF2">
        <w:rPr>
          <w:noProof/>
        </w:rPr>
        <w:t>4-</w:t>
      </w:r>
      <w:r w:rsidR="00F038F7" w:rsidRPr="00932AA7">
        <w:rPr>
          <w:noProof/>
        </w:rPr>
        <w:t xml:space="preserve">5 pp more than </w:t>
      </w:r>
      <w:r w:rsidR="00BE3B01" w:rsidRPr="00932AA7">
        <w:rPr>
          <w:noProof/>
        </w:rPr>
        <w:t xml:space="preserve">in </w:t>
      </w:r>
      <w:r w:rsidR="00F038F7" w:rsidRPr="00932AA7">
        <w:rPr>
          <w:noProof/>
        </w:rPr>
        <w:t>S2</w:t>
      </w:r>
      <w:r w:rsidR="007F6AF2">
        <w:rPr>
          <w:noProof/>
        </w:rPr>
        <w:t xml:space="preserve"> and S3</w:t>
      </w:r>
      <w:r w:rsidR="00F038F7" w:rsidRPr="00932AA7">
        <w:rPr>
          <w:noProof/>
        </w:rPr>
        <w:t>, and by 5</w:t>
      </w:r>
      <w:r w:rsidR="0080636F">
        <w:rPr>
          <w:noProof/>
        </w:rPr>
        <w:t>4</w:t>
      </w:r>
      <w:r w:rsidR="00F038F7" w:rsidRPr="00932AA7">
        <w:rPr>
          <w:noProof/>
        </w:rPr>
        <w:t xml:space="preserve">% in 2050, i.e., </w:t>
      </w:r>
      <w:r w:rsidR="007F6AF2">
        <w:rPr>
          <w:noProof/>
        </w:rPr>
        <w:t>4-</w:t>
      </w:r>
      <w:r w:rsidR="00F038F7" w:rsidRPr="00932AA7">
        <w:rPr>
          <w:noProof/>
        </w:rPr>
        <w:t>6 pp more)</w:t>
      </w:r>
      <w:r w:rsidR="00C92C08" w:rsidRPr="00C92C08">
        <w:rPr>
          <w:noProof/>
        </w:rPr>
        <w:t>, driven by the higher increase in activity</w:t>
      </w:r>
      <w:r w:rsidR="00F038F7" w:rsidRPr="00932AA7">
        <w:rPr>
          <w:noProof/>
        </w:rPr>
        <w:t>.</w:t>
      </w:r>
    </w:p>
    <w:p w14:paraId="0572792C" w14:textId="29976B02" w:rsidR="001F2944" w:rsidRPr="002B0761" w:rsidRDefault="00CE4147" w:rsidP="002B0761">
      <w:pPr>
        <w:pStyle w:val="Caption"/>
        <w:rPr>
          <w:noProof/>
        </w:rPr>
      </w:pPr>
      <w:bookmarkStart w:id="335" w:name="_Ref143242754"/>
      <w:bookmarkStart w:id="336" w:name="_Ref145094519"/>
      <w:bookmarkStart w:id="337" w:name="_Toc157679812"/>
      <w:r>
        <w:rPr>
          <w:noProof/>
        </w:rPr>
        <w:t xml:space="preserve">Figure </w:t>
      </w:r>
      <w:r>
        <w:rPr>
          <w:noProof/>
        </w:rPr>
        <w:fldChar w:fldCharType="begin"/>
      </w:r>
      <w:r>
        <w:rPr>
          <w:noProof/>
        </w:rPr>
        <w:instrText>SEQ Figure \* ARABIC</w:instrText>
      </w:r>
      <w:r>
        <w:rPr>
          <w:noProof/>
        </w:rPr>
        <w:fldChar w:fldCharType="separate"/>
      </w:r>
      <w:r w:rsidR="00170A3C">
        <w:rPr>
          <w:noProof/>
        </w:rPr>
        <w:t>64</w:t>
      </w:r>
      <w:r>
        <w:rPr>
          <w:noProof/>
        </w:rPr>
        <w:fldChar w:fldCharType="end"/>
      </w:r>
      <w:bookmarkEnd w:id="335"/>
      <w:bookmarkEnd w:id="336"/>
      <w:r w:rsidR="00126138">
        <w:rPr>
          <w:noProof/>
        </w:rPr>
        <w:t>:</w:t>
      </w:r>
      <w:r w:rsidR="009F592E" w:rsidRPr="00CD264D">
        <w:rPr>
          <w:noProof/>
        </w:rPr>
        <w:t xml:space="preserve"> </w:t>
      </w:r>
      <w:r w:rsidR="00F9205E">
        <w:rPr>
          <w:noProof/>
        </w:rPr>
        <w:t xml:space="preserve">EU </w:t>
      </w:r>
      <w:r w:rsidR="0068510F">
        <w:rPr>
          <w:noProof/>
        </w:rPr>
        <w:t>e</w:t>
      </w:r>
      <w:r w:rsidR="009F592E" w:rsidRPr="00CD264D">
        <w:rPr>
          <w:noProof/>
        </w:rPr>
        <w:t xml:space="preserve">nergy </w:t>
      </w:r>
      <w:r w:rsidR="00CD264D" w:rsidRPr="00CD264D">
        <w:rPr>
          <w:noProof/>
        </w:rPr>
        <w:t>consumption</w:t>
      </w:r>
      <w:r w:rsidR="009F592E" w:rsidRPr="00CD264D">
        <w:rPr>
          <w:noProof/>
        </w:rPr>
        <w:t xml:space="preserve"> in </w:t>
      </w:r>
      <w:r w:rsidR="00CD264D" w:rsidRPr="00CD264D">
        <w:rPr>
          <w:noProof/>
        </w:rPr>
        <w:t xml:space="preserve">the transport sector </w:t>
      </w:r>
      <w:r w:rsidR="001B3B79">
        <w:rPr>
          <w:noProof/>
        </w:rPr>
        <w:t>by</w:t>
      </w:r>
      <w:r w:rsidR="004F254B">
        <w:rPr>
          <w:noProof/>
        </w:rPr>
        <w:t xml:space="preserve"> mode</w:t>
      </w:r>
      <w:bookmarkEnd w:id="337"/>
    </w:p>
    <w:p w14:paraId="3C055161" w14:textId="54192422" w:rsidR="004767C2" w:rsidRPr="004F254B" w:rsidRDefault="004767C2" w:rsidP="0079433B">
      <w:pPr>
        <w:keepNext/>
        <w:jc w:val="center"/>
        <w:rPr>
          <w:noProof/>
          <w:lang w:val="en-IE"/>
        </w:rPr>
      </w:pPr>
      <w:r w:rsidRPr="004767C2">
        <w:rPr>
          <w:noProof/>
          <w:lang w:eastAsia="en-GB"/>
        </w:rPr>
        <w:drawing>
          <wp:inline distT="0" distB="0" distL="0" distR="0" wp14:anchorId="15BBBBB8" wp14:editId="7E30D19F">
            <wp:extent cx="5472430" cy="23514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472430" cy="2351405"/>
                    </a:xfrm>
                    <a:prstGeom prst="rect">
                      <a:avLst/>
                    </a:prstGeom>
                    <a:noFill/>
                    <a:ln>
                      <a:noFill/>
                    </a:ln>
                  </pic:spPr>
                </pic:pic>
              </a:graphicData>
            </a:graphic>
          </wp:inline>
        </w:drawing>
      </w:r>
    </w:p>
    <w:p w14:paraId="3DC85B36" w14:textId="2B356976" w:rsidR="00EB0B44" w:rsidRDefault="00EB0B44" w:rsidP="00EB0B44">
      <w:pPr>
        <w:pStyle w:val="CT-NOTE"/>
        <w:rPr>
          <w:noProof/>
        </w:rPr>
      </w:pPr>
      <w:r w:rsidRPr="00EB0B44">
        <w:rPr>
          <w:noProof/>
        </w:rPr>
        <w:t>Note: *</w:t>
      </w:r>
      <w:r>
        <w:rPr>
          <w:noProof/>
        </w:rPr>
        <w:t>Aviation includes domestic aviation a</w:t>
      </w:r>
      <w:r w:rsidR="00241035">
        <w:rPr>
          <w:noProof/>
        </w:rPr>
        <w:t>s well as</w:t>
      </w:r>
      <w:r>
        <w:rPr>
          <w:noProof/>
        </w:rPr>
        <w:t xml:space="preserve"> </w:t>
      </w:r>
      <w:r w:rsidRPr="00EB0B44">
        <w:rPr>
          <w:noProof/>
        </w:rPr>
        <w:t xml:space="preserve">international </w:t>
      </w:r>
      <w:r w:rsidR="003759E9" w:rsidRPr="003759E9">
        <w:rPr>
          <w:noProof/>
        </w:rPr>
        <w:t>intra-EU and extra-EU</w:t>
      </w:r>
      <w:r w:rsidRPr="00EB0B44">
        <w:rPr>
          <w:noProof/>
        </w:rPr>
        <w:t xml:space="preserve"> aviation.</w:t>
      </w:r>
    </w:p>
    <w:p w14:paraId="4C12F44C" w14:textId="3C471D41" w:rsidR="004F254B" w:rsidRPr="00833408" w:rsidRDefault="004F254B" w:rsidP="00CB0155">
      <w:pPr>
        <w:pStyle w:val="CT-SOURCE"/>
        <w:keepNext w:val="0"/>
        <w:rPr>
          <w:rFonts w:ascii="Cambria Math" w:hAnsi="Cambria Math"/>
          <w:noProof/>
          <w:szCs w:val="18"/>
        </w:rPr>
      </w:pPr>
      <w:r w:rsidRPr="61BF51EC">
        <w:rPr>
          <w:noProof/>
        </w:rPr>
        <w:t>Source: PRIMES.</w:t>
      </w:r>
    </w:p>
    <w:p w14:paraId="6B98F348" w14:textId="3C48AD9D" w:rsidR="00EE3CB4" w:rsidRDefault="00CE4147" w:rsidP="00741D90">
      <w:pPr>
        <w:pStyle w:val="Caption"/>
        <w:rPr>
          <w:noProof/>
        </w:rPr>
      </w:pPr>
      <w:bookmarkStart w:id="338" w:name="_Ref143242774"/>
      <w:bookmarkStart w:id="339" w:name="_Ref145094527"/>
      <w:bookmarkStart w:id="340" w:name="_Toc157679813"/>
      <w:r>
        <w:rPr>
          <w:noProof/>
        </w:rPr>
        <w:t xml:space="preserve">Figure </w:t>
      </w:r>
      <w:r>
        <w:rPr>
          <w:noProof/>
        </w:rPr>
        <w:fldChar w:fldCharType="begin"/>
      </w:r>
      <w:r>
        <w:rPr>
          <w:noProof/>
        </w:rPr>
        <w:instrText>SEQ Figure \* ARABIC</w:instrText>
      </w:r>
      <w:r>
        <w:rPr>
          <w:noProof/>
        </w:rPr>
        <w:fldChar w:fldCharType="separate"/>
      </w:r>
      <w:r w:rsidR="00170A3C">
        <w:rPr>
          <w:noProof/>
        </w:rPr>
        <w:t>65</w:t>
      </w:r>
      <w:r>
        <w:rPr>
          <w:noProof/>
        </w:rPr>
        <w:fldChar w:fldCharType="end"/>
      </w:r>
      <w:bookmarkEnd w:id="338"/>
      <w:bookmarkEnd w:id="339"/>
      <w:r w:rsidR="0079433B">
        <w:rPr>
          <w:noProof/>
        </w:rPr>
        <w:t xml:space="preserve">: </w:t>
      </w:r>
      <w:r w:rsidR="0079433B" w:rsidRPr="0079433B">
        <w:rPr>
          <w:noProof/>
        </w:rPr>
        <w:t xml:space="preserve">Change in </w:t>
      </w:r>
      <w:r w:rsidR="00F9205E">
        <w:rPr>
          <w:noProof/>
        </w:rPr>
        <w:t xml:space="preserve">EU </w:t>
      </w:r>
      <w:r w:rsidR="0079433B" w:rsidRPr="0079433B">
        <w:rPr>
          <w:noProof/>
        </w:rPr>
        <w:t>energy consumption</w:t>
      </w:r>
      <w:r w:rsidR="00CC2FCF">
        <w:rPr>
          <w:noProof/>
        </w:rPr>
        <w:t xml:space="preserve"> </w:t>
      </w:r>
      <w:r w:rsidR="00AF5E9C">
        <w:rPr>
          <w:noProof/>
        </w:rPr>
        <w:t>between 2015 and 2040</w:t>
      </w:r>
      <w:r w:rsidR="0079433B" w:rsidRPr="0079433B">
        <w:rPr>
          <w:noProof/>
        </w:rPr>
        <w:t xml:space="preserve"> </w:t>
      </w:r>
      <w:r w:rsidR="00F9205E">
        <w:rPr>
          <w:noProof/>
        </w:rPr>
        <w:t>by</w:t>
      </w:r>
      <w:r w:rsidR="0079433B" w:rsidRPr="0079433B">
        <w:rPr>
          <w:noProof/>
        </w:rPr>
        <w:t xml:space="preserve"> mode</w:t>
      </w:r>
      <w:bookmarkEnd w:id="340"/>
    </w:p>
    <w:p w14:paraId="35537CB9" w14:textId="13E8BA04" w:rsidR="00A341AC" w:rsidRDefault="00A341AC" w:rsidP="00CB0155">
      <w:pPr>
        <w:keepNext/>
        <w:rPr>
          <w:noProof/>
        </w:rPr>
      </w:pPr>
      <w:r w:rsidRPr="00A341AC">
        <w:rPr>
          <w:noProof/>
          <w:lang w:eastAsia="en-GB"/>
        </w:rPr>
        <w:drawing>
          <wp:inline distT="0" distB="0" distL="0" distR="0" wp14:anchorId="0D4E7F53" wp14:editId="55637464">
            <wp:extent cx="5472430" cy="234569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472430" cy="2345690"/>
                    </a:xfrm>
                    <a:prstGeom prst="rect">
                      <a:avLst/>
                    </a:prstGeom>
                    <a:noFill/>
                    <a:ln>
                      <a:noFill/>
                    </a:ln>
                  </pic:spPr>
                </pic:pic>
              </a:graphicData>
            </a:graphic>
          </wp:inline>
        </w:drawing>
      </w:r>
    </w:p>
    <w:p w14:paraId="1177CEA7" w14:textId="6BAE0636" w:rsidR="00241035" w:rsidRPr="0058331C" w:rsidRDefault="00241035" w:rsidP="00241035">
      <w:pPr>
        <w:pStyle w:val="CT-NOTE"/>
        <w:rPr>
          <w:noProof/>
        </w:rPr>
      </w:pPr>
      <w:r w:rsidRPr="00241035">
        <w:rPr>
          <w:noProof/>
        </w:rPr>
        <w:t xml:space="preserve">Note: *The total </w:t>
      </w:r>
      <w:r>
        <w:rPr>
          <w:noProof/>
        </w:rPr>
        <w:t>energy consumption</w:t>
      </w:r>
      <w:r w:rsidRPr="00241035">
        <w:rPr>
          <w:noProof/>
        </w:rPr>
        <w:t xml:space="preserve"> includes international </w:t>
      </w:r>
      <w:r>
        <w:rPr>
          <w:noProof/>
        </w:rPr>
        <w:t>transport</w:t>
      </w:r>
      <w:r w:rsidRPr="00241035">
        <w:rPr>
          <w:noProof/>
        </w:rPr>
        <w:t>.</w:t>
      </w:r>
      <w:r>
        <w:rPr>
          <w:noProof/>
        </w:rPr>
        <w:t xml:space="preserve"> </w:t>
      </w:r>
      <w:r w:rsidRPr="00241035">
        <w:rPr>
          <w:noProof/>
        </w:rPr>
        <w:t>*</w:t>
      </w:r>
      <w:r>
        <w:rPr>
          <w:noProof/>
        </w:rPr>
        <w:t>*</w:t>
      </w:r>
      <w:r w:rsidRPr="00241035">
        <w:rPr>
          <w:noProof/>
        </w:rPr>
        <w:t>Aviation includes domestic aviation a</w:t>
      </w:r>
      <w:r>
        <w:rPr>
          <w:noProof/>
        </w:rPr>
        <w:t>s well as</w:t>
      </w:r>
      <w:r w:rsidRPr="00241035">
        <w:rPr>
          <w:noProof/>
        </w:rPr>
        <w:t xml:space="preserve"> international </w:t>
      </w:r>
      <w:r w:rsidR="003759E9">
        <w:rPr>
          <w:noProof/>
        </w:rPr>
        <w:t xml:space="preserve">intra-EU and extra-EU </w:t>
      </w:r>
      <w:r w:rsidRPr="00241035">
        <w:rPr>
          <w:noProof/>
        </w:rPr>
        <w:t>aviation.</w:t>
      </w:r>
    </w:p>
    <w:p w14:paraId="5C4F03ED" w14:textId="212B2E2E" w:rsidR="0079433B" w:rsidRPr="0079433B" w:rsidRDefault="0079433B" w:rsidP="00923B34">
      <w:pPr>
        <w:pStyle w:val="CT-SOURCE"/>
        <w:rPr>
          <w:noProof/>
        </w:rPr>
      </w:pPr>
      <w:r>
        <w:rPr>
          <w:noProof/>
        </w:rPr>
        <w:t>Source: PRIMES.</w:t>
      </w:r>
    </w:p>
    <w:p w14:paraId="17AF95CA" w14:textId="580916E2" w:rsidR="0081150B" w:rsidRPr="004C3674" w:rsidRDefault="0081150B" w:rsidP="0081150B">
      <w:pPr>
        <w:rPr>
          <w:noProof/>
        </w:rPr>
      </w:pPr>
      <w:r>
        <w:rPr>
          <w:noProof/>
        </w:rPr>
        <w:t xml:space="preserve">The analysis of the fuel mix in the transport sector shows a significant reduction in the consumption of </w:t>
      </w:r>
      <w:r w:rsidRPr="00932AA7">
        <w:rPr>
          <w:noProof/>
        </w:rPr>
        <w:t xml:space="preserve">fossil fuels (i.e., oil products and natural gas) between 2015 and 2050, which are partially replaced by </w:t>
      </w:r>
      <w:r w:rsidRPr="004C3674">
        <w:rPr>
          <w:noProof/>
        </w:rPr>
        <w:t xml:space="preserve">electricity, advanced </w:t>
      </w:r>
      <w:r w:rsidR="00DA3983">
        <w:rPr>
          <w:noProof/>
        </w:rPr>
        <w:t xml:space="preserve">liquid </w:t>
      </w:r>
      <w:r w:rsidRPr="004C3674">
        <w:rPr>
          <w:noProof/>
        </w:rPr>
        <w:t>biofuels</w:t>
      </w:r>
      <w:r w:rsidR="00DA3983">
        <w:rPr>
          <w:noProof/>
        </w:rPr>
        <w:t xml:space="preserve"> and biogas</w:t>
      </w:r>
      <w:r w:rsidRPr="004C3674">
        <w:rPr>
          <w:noProof/>
        </w:rPr>
        <w:t>, e-fuels and hydrogen. As shown in</w:t>
      </w:r>
      <w:r w:rsidR="0099567E" w:rsidRPr="004C3674">
        <w:rPr>
          <w:noProof/>
        </w:rPr>
        <w:t xml:space="preserve"> </w:t>
      </w:r>
      <w:r w:rsidR="0099567E" w:rsidRPr="004C3674">
        <w:rPr>
          <w:noProof/>
        </w:rPr>
        <w:fldChar w:fldCharType="begin"/>
      </w:r>
      <w:r w:rsidR="0099567E" w:rsidRPr="004C3674">
        <w:rPr>
          <w:noProof/>
        </w:rPr>
        <w:instrText xml:space="preserve"> REF _Ref145092769 \h  \* MERGEFORMAT </w:instrText>
      </w:r>
      <w:r w:rsidR="0099567E" w:rsidRPr="004C3674">
        <w:rPr>
          <w:noProof/>
        </w:rPr>
      </w:r>
      <w:r w:rsidR="0099567E" w:rsidRPr="004C3674">
        <w:rPr>
          <w:noProof/>
        </w:rPr>
        <w:fldChar w:fldCharType="separate"/>
      </w:r>
      <w:r w:rsidR="00170A3C">
        <w:rPr>
          <w:noProof/>
        </w:rPr>
        <w:t>Figure 66</w:t>
      </w:r>
      <w:r w:rsidR="0099567E" w:rsidRPr="004C3674">
        <w:rPr>
          <w:noProof/>
        </w:rPr>
        <w:fldChar w:fldCharType="end"/>
      </w:r>
      <w:r w:rsidRPr="004C3674">
        <w:rPr>
          <w:noProof/>
        </w:rPr>
        <w:t>, in the S1, S2 and S3 scenarios, fossil fuel consumption in the EU drops from a</w:t>
      </w:r>
      <w:r w:rsidR="00F115E8" w:rsidRPr="004C3674">
        <w:rPr>
          <w:noProof/>
        </w:rPr>
        <w:t>lmost</w:t>
      </w:r>
      <w:r w:rsidRPr="004C3674">
        <w:rPr>
          <w:noProof/>
        </w:rPr>
        <w:t xml:space="preserve"> </w:t>
      </w:r>
      <w:r w:rsidR="00DE2642">
        <w:rPr>
          <w:noProof/>
        </w:rPr>
        <w:t>326</w:t>
      </w:r>
      <w:r w:rsidRPr="004C3674">
        <w:rPr>
          <w:noProof/>
        </w:rPr>
        <w:t xml:space="preserve"> Mtoe in 2015 to </w:t>
      </w:r>
      <w:r w:rsidR="0091619A">
        <w:rPr>
          <w:noProof/>
        </w:rPr>
        <w:t>12-16</w:t>
      </w:r>
      <w:r w:rsidRPr="004C3674">
        <w:rPr>
          <w:noProof/>
        </w:rPr>
        <w:t xml:space="preserve"> Mtoe in 2050 (i.e., 95</w:t>
      </w:r>
      <w:r w:rsidR="000C7BE1">
        <w:rPr>
          <w:noProof/>
        </w:rPr>
        <w:t>-96</w:t>
      </w:r>
      <w:r w:rsidRPr="004C3674">
        <w:rPr>
          <w:noProof/>
        </w:rPr>
        <w:t>% reduction). Most of the fossil fuel consumption remaining in 2050 occurs in the aviation sector. In 2040, fossil fuel consumption is 68</w:t>
      </w:r>
      <w:r w:rsidR="00B57057">
        <w:rPr>
          <w:noProof/>
        </w:rPr>
        <w:t>%</w:t>
      </w:r>
      <w:r w:rsidRPr="004C3674">
        <w:rPr>
          <w:noProof/>
        </w:rPr>
        <w:t xml:space="preserve"> to 77% lower than in 2015, depending on the scenario (68% in S1, 74% in S2 and 77% in S3). Fossil fuel consumption constituted 95% of the total energy consumption in 2015, but this share drops to 33-45% in 2040 and </w:t>
      </w:r>
      <w:r w:rsidR="00F90B8C" w:rsidRPr="004C3674">
        <w:rPr>
          <w:noProof/>
        </w:rPr>
        <w:t>6</w:t>
      </w:r>
      <w:r w:rsidRPr="004C3674">
        <w:rPr>
          <w:noProof/>
        </w:rPr>
        <w:t xml:space="preserve">-8% in 2050, depending on the scenario. </w:t>
      </w:r>
    </w:p>
    <w:p w14:paraId="46122C5E" w14:textId="41B6C89D" w:rsidR="0081150B" w:rsidRPr="004C3674" w:rsidRDefault="0081150B" w:rsidP="0081150B">
      <w:pPr>
        <w:rPr>
          <w:noProof/>
        </w:rPr>
      </w:pPr>
      <w:r w:rsidRPr="004C3674">
        <w:rPr>
          <w:noProof/>
        </w:rPr>
        <w:t xml:space="preserve">Instead, electricity consumption in the EU’s transport sector increases from less than 5 Mtoe in 2015 to </w:t>
      </w:r>
      <w:r w:rsidR="00F31383">
        <w:rPr>
          <w:noProof/>
        </w:rPr>
        <w:t>42-43</w:t>
      </w:r>
      <w:r w:rsidR="00997896">
        <w:rPr>
          <w:noProof/>
        </w:rPr>
        <w:t xml:space="preserve"> Mtoe in 2040</w:t>
      </w:r>
      <w:r w:rsidRPr="004C3674">
        <w:rPr>
          <w:noProof/>
        </w:rPr>
        <w:t xml:space="preserve"> and </w:t>
      </w:r>
      <w:r w:rsidR="00F23E7F">
        <w:rPr>
          <w:noProof/>
        </w:rPr>
        <w:t>53-54</w:t>
      </w:r>
      <w:r w:rsidRPr="004C3674">
        <w:rPr>
          <w:noProof/>
        </w:rPr>
        <w:t xml:space="preserve"> Mtoe in 2050</w:t>
      </w:r>
      <w:r w:rsidR="00F84993" w:rsidRPr="004C3674">
        <w:rPr>
          <w:noProof/>
        </w:rPr>
        <w:t xml:space="preserve"> in the S1, S2 and S3 scenarios</w:t>
      </w:r>
      <w:r w:rsidRPr="004C3674">
        <w:rPr>
          <w:noProof/>
        </w:rPr>
        <w:t xml:space="preserve"> (see </w:t>
      </w:r>
      <w:r w:rsidR="00EE6D9A" w:rsidRPr="004C3674">
        <w:rPr>
          <w:noProof/>
        </w:rPr>
        <w:fldChar w:fldCharType="begin"/>
      </w:r>
      <w:r w:rsidR="00EE6D9A" w:rsidRPr="004C3674">
        <w:rPr>
          <w:noProof/>
        </w:rPr>
        <w:instrText xml:space="preserve"> REF _Ref145092769 \h  \* MERGEFORMAT </w:instrText>
      </w:r>
      <w:r w:rsidR="00EE6D9A" w:rsidRPr="004C3674">
        <w:rPr>
          <w:noProof/>
        </w:rPr>
      </w:r>
      <w:r w:rsidR="00EE6D9A" w:rsidRPr="004C3674">
        <w:rPr>
          <w:noProof/>
        </w:rPr>
        <w:fldChar w:fldCharType="separate"/>
      </w:r>
      <w:r w:rsidR="00170A3C">
        <w:rPr>
          <w:noProof/>
        </w:rPr>
        <w:t>Figure 66</w:t>
      </w:r>
      <w:r w:rsidR="00EE6D9A" w:rsidRPr="004C3674">
        <w:rPr>
          <w:noProof/>
        </w:rPr>
        <w:fldChar w:fldCharType="end"/>
      </w:r>
      <w:r w:rsidRPr="004C3674">
        <w:rPr>
          <w:noProof/>
        </w:rPr>
        <w:t xml:space="preserve">). </w:t>
      </w:r>
      <w:r w:rsidR="00CE7980" w:rsidRPr="004C3674">
        <w:rPr>
          <w:noProof/>
        </w:rPr>
        <w:t xml:space="preserve">This represents </w:t>
      </w:r>
      <w:r w:rsidR="004A31C8">
        <w:rPr>
          <w:noProof/>
        </w:rPr>
        <w:t>15-16%</w:t>
      </w:r>
      <w:r w:rsidR="00CE7980" w:rsidRPr="004C3674">
        <w:rPr>
          <w:noProof/>
        </w:rPr>
        <w:t xml:space="preserve"> of the EU’s total final electricity consumption </w:t>
      </w:r>
      <w:r w:rsidR="00787A35">
        <w:rPr>
          <w:noProof/>
        </w:rPr>
        <w:t>across all sectors</w:t>
      </w:r>
      <w:r w:rsidR="00787A35" w:rsidRPr="004C3674">
        <w:rPr>
          <w:noProof/>
        </w:rPr>
        <w:t xml:space="preserve"> </w:t>
      </w:r>
      <w:r w:rsidR="00CE7980" w:rsidRPr="004C3674">
        <w:rPr>
          <w:noProof/>
        </w:rPr>
        <w:t xml:space="preserve">in 2040 and </w:t>
      </w:r>
      <w:r w:rsidR="00BB26DC">
        <w:rPr>
          <w:noProof/>
        </w:rPr>
        <w:t xml:space="preserve">around </w:t>
      </w:r>
      <w:r w:rsidR="008F2AF8">
        <w:rPr>
          <w:noProof/>
        </w:rPr>
        <w:t xml:space="preserve">17% in </w:t>
      </w:r>
      <w:r w:rsidR="00CE7980" w:rsidRPr="004C3674">
        <w:rPr>
          <w:noProof/>
        </w:rPr>
        <w:t xml:space="preserve">2050 (with small differences </w:t>
      </w:r>
      <w:r w:rsidR="00906F4A" w:rsidRPr="004C3674">
        <w:rPr>
          <w:noProof/>
        </w:rPr>
        <w:t>between</w:t>
      </w:r>
      <w:r w:rsidR="00CE7980" w:rsidRPr="004C3674">
        <w:rPr>
          <w:noProof/>
        </w:rPr>
        <w:t xml:space="preserve"> the scenarios).</w:t>
      </w:r>
      <w:r w:rsidRPr="004C3674">
        <w:rPr>
          <w:noProof/>
        </w:rPr>
        <w:t xml:space="preserve"> The main </w:t>
      </w:r>
      <w:r w:rsidR="008C3EEC">
        <w:rPr>
          <w:noProof/>
        </w:rPr>
        <w:t>driver</w:t>
      </w:r>
      <w:r w:rsidRPr="004C3674">
        <w:rPr>
          <w:noProof/>
        </w:rPr>
        <w:t xml:space="preserve"> is the electrification of road transport; however, it should be noted that electricity consumption in rail transport also increases significantly (it almost doubles between 2015 and 2050). As a result, the share of electricity in the total energy consumption of the transport sector increases from </w:t>
      </w:r>
      <w:r w:rsidR="001C0646">
        <w:rPr>
          <w:noProof/>
        </w:rPr>
        <w:t xml:space="preserve">around </w:t>
      </w:r>
      <w:r w:rsidRPr="004C3674">
        <w:rPr>
          <w:noProof/>
        </w:rPr>
        <w:t>1% in 2015 to 19% in 2040 and 2</w:t>
      </w:r>
      <w:r w:rsidR="00906F4A" w:rsidRPr="004C3674">
        <w:rPr>
          <w:noProof/>
        </w:rPr>
        <w:t>7</w:t>
      </w:r>
      <w:r w:rsidRPr="004C3674">
        <w:rPr>
          <w:noProof/>
        </w:rPr>
        <w:t xml:space="preserve">-28% in 2050, depending on the scenario (the highest shares are observed in S3, and the lowest shares are observed in S1). </w:t>
      </w:r>
    </w:p>
    <w:p w14:paraId="423CDEA7" w14:textId="32B70927" w:rsidR="0081150B" w:rsidRDefault="0081150B" w:rsidP="0081150B">
      <w:pPr>
        <w:rPr>
          <w:noProof/>
        </w:rPr>
      </w:pPr>
      <w:r w:rsidRPr="004C3674">
        <w:rPr>
          <w:noProof/>
        </w:rPr>
        <w:t xml:space="preserve">Hydrogen consumption in the EU’s transport sector increases from almost zero in 2015 to </w:t>
      </w:r>
      <w:r w:rsidR="009A7ED7">
        <w:rPr>
          <w:noProof/>
        </w:rPr>
        <w:t>14-16</w:t>
      </w:r>
      <w:r w:rsidRPr="004C3674">
        <w:rPr>
          <w:noProof/>
        </w:rPr>
        <w:t xml:space="preserve"> Mtoe in 2040 and 35-40 Mtoe in 2050 </w:t>
      </w:r>
      <w:r w:rsidR="003D3BAD" w:rsidRPr="004C3674">
        <w:rPr>
          <w:noProof/>
        </w:rPr>
        <w:t>in the S1, S2 and S3</w:t>
      </w:r>
      <w:r w:rsidRPr="004C3674">
        <w:rPr>
          <w:noProof/>
        </w:rPr>
        <w:t xml:space="preserve"> scenario</w:t>
      </w:r>
      <w:r w:rsidR="003D3BAD" w:rsidRPr="004C3674">
        <w:rPr>
          <w:noProof/>
        </w:rPr>
        <w:t>s</w:t>
      </w:r>
      <w:r w:rsidRPr="004C3674">
        <w:rPr>
          <w:noProof/>
        </w:rPr>
        <w:t xml:space="preserve"> (see </w:t>
      </w:r>
      <w:r w:rsidR="00EE6D9A" w:rsidRPr="004C3674">
        <w:rPr>
          <w:noProof/>
        </w:rPr>
        <w:fldChar w:fldCharType="begin"/>
      </w:r>
      <w:r w:rsidR="00EE6D9A" w:rsidRPr="004C3674">
        <w:rPr>
          <w:noProof/>
        </w:rPr>
        <w:instrText xml:space="preserve"> REF _Ref145092769 \h  \* MERGEFORMAT </w:instrText>
      </w:r>
      <w:r w:rsidR="00EE6D9A" w:rsidRPr="004C3674">
        <w:rPr>
          <w:noProof/>
        </w:rPr>
      </w:r>
      <w:r w:rsidR="00EE6D9A" w:rsidRPr="004C3674">
        <w:rPr>
          <w:noProof/>
        </w:rPr>
        <w:fldChar w:fldCharType="separate"/>
      </w:r>
      <w:r w:rsidR="00170A3C">
        <w:rPr>
          <w:noProof/>
        </w:rPr>
        <w:t>Figure 66</w:t>
      </w:r>
      <w:r w:rsidR="00EE6D9A" w:rsidRPr="004C3674">
        <w:rPr>
          <w:noProof/>
        </w:rPr>
        <w:fldChar w:fldCharType="end"/>
      </w:r>
      <w:r w:rsidRPr="004C3674">
        <w:rPr>
          <w:noProof/>
        </w:rPr>
        <w:t>).</w:t>
      </w:r>
      <w:r w:rsidR="00EC5972">
        <w:rPr>
          <w:noProof/>
        </w:rPr>
        <w:t xml:space="preserve"> </w:t>
      </w:r>
      <w:r w:rsidR="00EC5972" w:rsidRPr="00EC5972">
        <w:rPr>
          <w:noProof/>
        </w:rPr>
        <w:t xml:space="preserve">Based on the assumptions on hydrogen production pathways and efficiency, producing this amount of hydrogen will require </w:t>
      </w:r>
      <w:r w:rsidR="004E2C66">
        <w:rPr>
          <w:noProof/>
        </w:rPr>
        <w:t xml:space="preserve">around </w:t>
      </w:r>
      <w:r w:rsidR="00EC5972" w:rsidRPr="00EC5972">
        <w:rPr>
          <w:noProof/>
        </w:rPr>
        <w:t>17-19 Mtoe of (renewable) electricity in 2040 and 42-48 Mtoe in 2050.</w:t>
      </w:r>
      <w:r w:rsidRPr="004C3674">
        <w:rPr>
          <w:noProof/>
        </w:rPr>
        <w:t xml:space="preserve"> In 2040, almost all hydrogen used in the transport sector (more than 90%) is consumed by road transport alone. In 2050, this percentage drops to 75-80% (depending on the scenario), </w:t>
      </w:r>
      <w:r w:rsidR="003D3BAD" w:rsidRPr="004C3674">
        <w:rPr>
          <w:noProof/>
        </w:rPr>
        <w:t>because</w:t>
      </w:r>
      <w:r w:rsidRPr="004C3674">
        <w:rPr>
          <w:noProof/>
        </w:rPr>
        <w:t xml:space="preserve"> the navigation and aviation sectors also consume significant amounts of hydrogen. </w:t>
      </w:r>
      <w:r w:rsidR="006B2221" w:rsidRPr="006B2221">
        <w:rPr>
          <w:noProof/>
        </w:rPr>
        <w:t xml:space="preserve">The use of hydrogen in rail </w:t>
      </w:r>
      <w:r w:rsidR="00DE6D87">
        <w:rPr>
          <w:noProof/>
        </w:rPr>
        <w:t xml:space="preserve">transport </w:t>
      </w:r>
      <w:r w:rsidR="006B2221" w:rsidRPr="006B2221">
        <w:rPr>
          <w:noProof/>
        </w:rPr>
        <w:t xml:space="preserve">is more limited; </w:t>
      </w:r>
      <w:r w:rsidR="006B2221">
        <w:rPr>
          <w:noProof/>
        </w:rPr>
        <w:t xml:space="preserve">it is </w:t>
      </w:r>
      <w:r w:rsidR="006B2221" w:rsidRPr="006B2221">
        <w:rPr>
          <w:noProof/>
        </w:rPr>
        <w:t>mainly used where electrification is not possible.</w:t>
      </w:r>
      <w:r w:rsidR="006B2221">
        <w:rPr>
          <w:noProof/>
        </w:rPr>
        <w:t xml:space="preserve"> </w:t>
      </w:r>
      <w:r w:rsidRPr="004C3674">
        <w:rPr>
          <w:noProof/>
        </w:rPr>
        <w:t>In the S1, S2 and S3 scenarios</w:t>
      </w:r>
      <w:r w:rsidRPr="00932AA7">
        <w:rPr>
          <w:noProof/>
        </w:rPr>
        <w:t>, the share of hydrogen in the total energy consumption of the transport sector increases from almost zero in 2015 to 6-7% in 2040 and 18-21% in 2050 (the highest shares are observed in S3, and the lowest shares are observed in S1).</w:t>
      </w:r>
      <w:r>
        <w:rPr>
          <w:noProof/>
        </w:rPr>
        <w:t xml:space="preserve"> </w:t>
      </w:r>
    </w:p>
    <w:p w14:paraId="3436719A" w14:textId="38B9D9CC" w:rsidR="0081150B" w:rsidRPr="004C3674" w:rsidRDefault="0081150B" w:rsidP="0081150B">
      <w:pPr>
        <w:rPr>
          <w:noProof/>
        </w:rPr>
      </w:pPr>
      <w:r>
        <w:rPr>
          <w:noProof/>
        </w:rPr>
        <w:t xml:space="preserve">As shown in </w:t>
      </w:r>
      <w:r w:rsidR="00D30DF2" w:rsidRPr="00036EBE">
        <w:rPr>
          <w:noProof/>
        </w:rPr>
        <w:fldChar w:fldCharType="begin"/>
      </w:r>
      <w:r w:rsidR="00D30DF2" w:rsidRPr="00036EBE">
        <w:rPr>
          <w:noProof/>
        </w:rPr>
        <w:instrText xml:space="preserve"> REF _Ref145092769 \h  \* MERGEFORMAT </w:instrText>
      </w:r>
      <w:r w:rsidR="00D30DF2" w:rsidRPr="00036EBE">
        <w:rPr>
          <w:noProof/>
        </w:rPr>
      </w:r>
      <w:r w:rsidR="00D30DF2" w:rsidRPr="00036EBE">
        <w:rPr>
          <w:noProof/>
        </w:rPr>
        <w:fldChar w:fldCharType="separate"/>
      </w:r>
      <w:r w:rsidR="00170A3C">
        <w:rPr>
          <w:noProof/>
        </w:rPr>
        <w:t>Figure 66</w:t>
      </w:r>
      <w:r w:rsidR="00D30DF2" w:rsidRPr="00036EBE">
        <w:rPr>
          <w:noProof/>
        </w:rPr>
        <w:fldChar w:fldCharType="end"/>
      </w:r>
      <w:r>
        <w:rPr>
          <w:noProof/>
        </w:rPr>
        <w:t xml:space="preserve">, the </w:t>
      </w:r>
      <w:r w:rsidRPr="004C3674">
        <w:rPr>
          <w:noProof/>
        </w:rPr>
        <w:t xml:space="preserve">consumption of </w:t>
      </w:r>
      <w:r w:rsidR="00320472">
        <w:rPr>
          <w:noProof/>
        </w:rPr>
        <w:t xml:space="preserve">liquid </w:t>
      </w:r>
      <w:r w:rsidRPr="004C3674">
        <w:rPr>
          <w:noProof/>
        </w:rPr>
        <w:t xml:space="preserve">biofuels </w:t>
      </w:r>
      <w:r w:rsidR="00320472">
        <w:rPr>
          <w:noProof/>
        </w:rPr>
        <w:t>and biogas</w:t>
      </w:r>
      <w:r w:rsidRPr="004C3674">
        <w:rPr>
          <w:noProof/>
        </w:rPr>
        <w:t xml:space="preserve"> increases from </w:t>
      </w:r>
      <w:r w:rsidR="00EB2E0C">
        <w:rPr>
          <w:noProof/>
        </w:rPr>
        <w:t>around 13</w:t>
      </w:r>
      <w:r w:rsidRPr="004C3674">
        <w:rPr>
          <w:noProof/>
        </w:rPr>
        <w:t xml:space="preserve"> Mtoe in 2015 (mostly bioliquids used in road transport) to </w:t>
      </w:r>
      <w:r w:rsidR="00B275D1">
        <w:rPr>
          <w:noProof/>
        </w:rPr>
        <w:t>48-52</w:t>
      </w:r>
      <w:r w:rsidRPr="004C3674">
        <w:rPr>
          <w:noProof/>
        </w:rPr>
        <w:t xml:space="preserve"> Mtoe in 2040 </w:t>
      </w:r>
      <w:r w:rsidR="00E902FC" w:rsidRPr="004C3674">
        <w:rPr>
          <w:noProof/>
        </w:rPr>
        <w:t>in</w:t>
      </w:r>
      <w:r w:rsidRPr="004C3674">
        <w:rPr>
          <w:noProof/>
        </w:rPr>
        <w:t xml:space="preserve"> the </w:t>
      </w:r>
      <w:r w:rsidR="00E902FC" w:rsidRPr="004C3674">
        <w:rPr>
          <w:noProof/>
        </w:rPr>
        <w:t xml:space="preserve">three main </w:t>
      </w:r>
      <w:r w:rsidRPr="004C3674">
        <w:rPr>
          <w:noProof/>
        </w:rPr>
        <w:t>scenario</w:t>
      </w:r>
      <w:r w:rsidR="00E902FC" w:rsidRPr="004C3674">
        <w:rPr>
          <w:noProof/>
        </w:rPr>
        <w:t>s</w:t>
      </w:r>
      <w:r w:rsidRPr="004C3674">
        <w:rPr>
          <w:noProof/>
        </w:rPr>
        <w:t>, mainly because of increased consumption in the navigation and aviation sectors</w:t>
      </w:r>
      <w:r w:rsidR="00F23B5E">
        <w:rPr>
          <w:noProof/>
        </w:rPr>
        <w:t xml:space="preserve"> </w:t>
      </w:r>
      <w:r w:rsidR="00F23B5E" w:rsidRPr="00F613F3">
        <w:rPr>
          <w:noProof/>
        </w:rPr>
        <w:t>(</w:t>
      </w:r>
      <w:r w:rsidR="00F23B5E">
        <w:rPr>
          <w:rStyle w:val="FootnoteReference"/>
          <w:noProof/>
        </w:rPr>
        <w:footnoteReference w:id="116"/>
      </w:r>
      <w:r w:rsidR="00F23B5E">
        <w:rPr>
          <w:noProof/>
        </w:rPr>
        <w:t>)</w:t>
      </w:r>
      <w:r w:rsidRPr="004C3674">
        <w:rPr>
          <w:noProof/>
        </w:rPr>
        <w:t xml:space="preserve">, which are generally considered hard to decarbonise through electrification. In 2050, instead, </w:t>
      </w:r>
      <w:r w:rsidR="00C7708B">
        <w:rPr>
          <w:noProof/>
        </w:rPr>
        <w:t>the</w:t>
      </w:r>
      <w:r w:rsidRPr="004C3674">
        <w:rPr>
          <w:noProof/>
        </w:rPr>
        <w:t xml:space="preserve"> consumption </w:t>
      </w:r>
      <w:r w:rsidR="00C7708B">
        <w:rPr>
          <w:noProof/>
        </w:rPr>
        <w:t xml:space="preserve">of liquid biofuels and biogas </w:t>
      </w:r>
      <w:r w:rsidRPr="004C3674">
        <w:rPr>
          <w:noProof/>
        </w:rPr>
        <w:t xml:space="preserve">decreases to </w:t>
      </w:r>
      <w:r w:rsidR="00C85A75">
        <w:rPr>
          <w:noProof/>
        </w:rPr>
        <w:t>41-47</w:t>
      </w:r>
      <w:r w:rsidRPr="004C3674">
        <w:rPr>
          <w:noProof/>
        </w:rPr>
        <w:t xml:space="preserve"> Mtoe</w:t>
      </w:r>
      <w:r w:rsidR="003870B5">
        <w:rPr>
          <w:noProof/>
        </w:rPr>
        <w:t>,</w:t>
      </w:r>
      <w:r w:rsidRPr="004C3674">
        <w:rPr>
          <w:noProof/>
        </w:rPr>
        <w:t xml:space="preserve"> </w:t>
      </w:r>
      <w:r w:rsidR="000C5085" w:rsidRPr="004C3674">
        <w:rPr>
          <w:noProof/>
        </w:rPr>
        <w:t>depending on the scenario</w:t>
      </w:r>
      <w:r w:rsidRPr="004C3674">
        <w:rPr>
          <w:noProof/>
        </w:rPr>
        <w:t xml:space="preserve">. The </w:t>
      </w:r>
      <w:r w:rsidR="000C5085" w:rsidRPr="004C3674">
        <w:rPr>
          <w:noProof/>
        </w:rPr>
        <w:t>main</w:t>
      </w:r>
      <w:r w:rsidRPr="004C3674">
        <w:rPr>
          <w:noProof/>
        </w:rPr>
        <w:t xml:space="preserve"> reason is a strong reduction in </w:t>
      </w:r>
      <w:r w:rsidR="00552639">
        <w:rPr>
          <w:noProof/>
        </w:rPr>
        <w:t xml:space="preserve">liquid </w:t>
      </w:r>
      <w:r w:rsidRPr="004C3674">
        <w:rPr>
          <w:noProof/>
        </w:rPr>
        <w:t xml:space="preserve">biofuel consumption in the road transport sector relative to 2040 (due to growing electrification and </w:t>
      </w:r>
      <w:r w:rsidR="00C26060" w:rsidRPr="004C3674">
        <w:rPr>
          <w:noProof/>
        </w:rPr>
        <w:t xml:space="preserve">use of </w:t>
      </w:r>
      <w:r w:rsidRPr="004C3674">
        <w:rPr>
          <w:noProof/>
        </w:rPr>
        <w:t xml:space="preserve">hydrogen), even if consumption in the navigation and aviation sectors continues to rise. In the S1, S2 and S3 scenarios, </w:t>
      </w:r>
      <w:r w:rsidR="00C34BBF">
        <w:rPr>
          <w:noProof/>
        </w:rPr>
        <w:t>the</w:t>
      </w:r>
      <w:r w:rsidRPr="004C3674">
        <w:rPr>
          <w:noProof/>
        </w:rPr>
        <w:t xml:space="preserve"> consumption </w:t>
      </w:r>
      <w:r w:rsidR="00C34BBF">
        <w:rPr>
          <w:noProof/>
        </w:rPr>
        <w:t>of liquid biofuels and biogas</w:t>
      </w:r>
      <w:r w:rsidRPr="004C3674">
        <w:rPr>
          <w:noProof/>
        </w:rPr>
        <w:t xml:space="preserve"> represents 21 to 23% of the total energy consumption of the transport sector (depending on the scenario) in 2040</w:t>
      </w:r>
      <w:r w:rsidR="005963AE">
        <w:rPr>
          <w:noProof/>
        </w:rPr>
        <w:t>,</w:t>
      </w:r>
      <w:r w:rsidRPr="004C3674">
        <w:rPr>
          <w:noProof/>
        </w:rPr>
        <w:t xml:space="preserve"> and </w:t>
      </w:r>
      <w:r w:rsidR="00546CEA">
        <w:rPr>
          <w:noProof/>
        </w:rPr>
        <w:t xml:space="preserve">22-23% in </w:t>
      </w:r>
      <w:r w:rsidRPr="004C3674">
        <w:rPr>
          <w:noProof/>
        </w:rPr>
        <w:t xml:space="preserve">2050. Bioliquids dominate, but the importance of biogas, which is mostly used in the navigation sector, grows over time: biogas use constitutes 7-8% of </w:t>
      </w:r>
      <w:r w:rsidR="0060518B">
        <w:rPr>
          <w:noProof/>
        </w:rPr>
        <w:t xml:space="preserve">the total consumption </w:t>
      </w:r>
      <w:r w:rsidR="00375733">
        <w:rPr>
          <w:noProof/>
        </w:rPr>
        <w:t>of bioliquids and biogas</w:t>
      </w:r>
      <w:r w:rsidRPr="004C3674">
        <w:rPr>
          <w:noProof/>
        </w:rPr>
        <w:t xml:space="preserve"> in 2040</w:t>
      </w:r>
      <w:r w:rsidR="00D80E69" w:rsidRPr="004C3674">
        <w:rPr>
          <w:noProof/>
        </w:rPr>
        <w:t xml:space="preserve"> (depending on the scenario)</w:t>
      </w:r>
      <w:r w:rsidRPr="004C3674">
        <w:rPr>
          <w:noProof/>
        </w:rPr>
        <w:t>, but this share increases to 16% in 2050</w:t>
      </w:r>
      <w:r w:rsidR="0022785E">
        <w:rPr>
          <w:noProof/>
        </w:rPr>
        <w:t xml:space="preserve"> (in all three main scenarios)</w:t>
      </w:r>
      <w:r w:rsidRPr="004C3674">
        <w:rPr>
          <w:noProof/>
        </w:rPr>
        <w:t xml:space="preserve">. </w:t>
      </w:r>
    </w:p>
    <w:p w14:paraId="0548DFFF" w14:textId="1630099F" w:rsidR="0079433B" w:rsidRPr="0079433B" w:rsidRDefault="0081150B" w:rsidP="0079433B">
      <w:pPr>
        <w:rPr>
          <w:noProof/>
        </w:rPr>
      </w:pPr>
      <w:r w:rsidRPr="004C3674">
        <w:rPr>
          <w:noProof/>
        </w:rPr>
        <w:t xml:space="preserve">In the S1, S2 and S3 scenarios, </w:t>
      </w:r>
      <w:r w:rsidR="00BC3201">
        <w:rPr>
          <w:noProof/>
        </w:rPr>
        <w:t>the</w:t>
      </w:r>
      <w:r w:rsidRPr="004C3674">
        <w:rPr>
          <w:noProof/>
        </w:rPr>
        <w:t xml:space="preserve"> consumption </w:t>
      </w:r>
      <w:r w:rsidR="00BC3201">
        <w:rPr>
          <w:noProof/>
        </w:rPr>
        <w:t xml:space="preserve">of </w:t>
      </w:r>
      <w:r w:rsidRPr="004C3674">
        <w:rPr>
          <w:noProof/>
        </w:rPr>
        <w:t>e-</w:t>
      </w:r>
      <w:r w:rsidR="00BC3201">
        <w:rPr>
          <w:noProof/>
        </w:rPr>
        <w:t xml:space="preserve">fuels </w:t>
      </w:r>
      <w:r w:rsidRPr="004C3674">
        <w:rPr>
          <w:noProof/>
        </w:rPr>
        <w:t>(</w:t>
      </w:r>
      <w:r w:rsidR="003577F6">
        <w:rPr>
          <w:noProof/>
        </w:rPr>
        <w:t xml:space="preserve">including </w:t>
      </w:r>
      <w:r w:rsidRPr="004C3674">
        <w:rPr>
          <w:noProof/>
        </w:rPr>
        <w:t xml:space="preserve">e-gas </w:t>
      </w:r>
      <w:r w:rsidR="003577F6">
        <w:rPr>
          <w:noProof/>
        </w:rPr>
        <w:t>and</w:t>
      </w:r>
      <w:r w:rsidRPr="004C3674">
        <w:rPr>
          <w:noProof/>
        </w:rPr>
        <w:t xml:space="preserve"> e-liquids</w:t>
      </w:r>
      <w:r w:rsidR="00CF124A" w:rsidRPr="00CF124A">
        <w:rPr>
          <w:noProof/>
        </w:rPr>
        <w:t> (</w:t>
      </w:r>
      <w:r w:rsidR="00CF124A">
        <w:rPr>
          <w:rStyle w:val="FootnoteReference"/>
          <w:noProof/>
        </w:rPr>
        <w:footnoteReference w:id="117"/>
      </w:r>
      <w:r w:rsidR="00CF124A">
        <w:rPr>
          <w:noProof/>
        </w:rPr>
        <w:t>)</w:t>
      </w:r>
      <w:r w:rsidRPr="004C3674">
        <w:rPr>
          <w:noProof/>
        </w:rPr>
        <w:t>) in the EU rises from zero in 2015 to 2</w:t>
      </w:r>
      <w:r w:rsidR="00A067F6" w:rsidRPr="004C3674">
        <w:rPr>
          <w:noProof/>
        </w:rPr>
        <w:t>2</w:t>
      </w:r>
      <w:r w:rsidRPr="004C3674">
        <w:rPr>
          <w:noProof/>
        </w:rPr>
        <w:t xml:space="preserve">-40 Mtoe in 2040 </w:t>
      </w:r>
      <w:r w:rsidR="00DD47E9">
        <w:rPr>
          <w:noProof/>
        </w:rPr>
        <w:t xml:space="preserve">and 45-49 Mtoe in 2050 </w:t>
      </w:r>
      <w:r w:rsidRPr="004C3674">
        <w:rPr>
          <w:noProof/>
        </w:rPr>
        <w:t>(depending on the scenario), which are mainly consumed by road transport, navigation and aviation</w:t>
      </w:r>
      <w:r w:rsidR="00DC7D66" w:rsidRPr="00DC7D66">
        <w:rPr>
          <w:noProof/>
        </w:rPr>
        <w:t> (</w:t>
      </w:r>
      <w:r w:rsidR="00DC7D66">
        <w:rPr>
          <w:rStyle w:val="FootnoteReference"/>
          <w:noProof/>
        </w:rPr>
        <w:footnoteReference w:id="118"/>
      </w:r>
      <w:r w:rsidR="00DC7D66">
        <w:rPr>
          <w:noProof/>
        </w:rPr>
        <w:t>)</w:t>
      </w:r>
      <w:r w:rsidRPr="004C3674">
        <w:rPr>
          <w:noProof/>
        </w:rPr>
        <w:t>.</w:t>
      </w:r>
      <w:r w:rsidR="004E2C66">
        <w:rPr>
          <w:noProof/>
        </w:rPr>
        <w:t xml:space="preserve"> </w:t>
      </w:r>
      <w:r w:rsidR="004E2C66" w:rsidRPr="004E2C66">
        <w:rPr>
          <w:noProof/>
        </w:rPr>
        <w:t xml:space="preserve">Based on the assumptions on e-fuel production pathways and efficiency, producing this amount of e-fuels will require </w:t>
      </w:r>
      <w:r w:rsidR="004E2C66">
        <w:rPr>
          <w:noProof/>
        </w:rPr>
        <w:t xml:space="preserve">around </w:t>
      </w:r>
      <w:r w:rsidR="00CE3032">
        <w:rPr>
          <w:noProof/>
        </w:rPr>
        <w:t>38-69</w:t>
      </w:r>
      <w:r w:rsidR="004E2C66" w:rsidRPr="004E2C66">
        <w:rPr>
          <w:noProof/>
        </w:rPr>
        <w:t xml:space="preserve"> Mtoe of (renewable) electricity in 2040 and </w:t>
      </w:r>
      <w:r w:rsidR="0099347B">
        <w:rPr>
          <w:noProof/>
        </w:rPr>
        <w:t>76-84</w:t>
      </w:r>
      <w:r w:rsidR="004E2C66" w:rsidRPr="004E2C66">
        <w:rPr>
          <w:noProof/>
        </w:rPr>
        <w:t xml:space="preserve"> Mtoe in 2050.</w:t>
      </w:r>
      <w:r w:rsidRPr="004C3674">
        <w:rPr>
          <w:noProof/>
        </w:rPr>
        <w:t xml:space="preserve"> Note that there are significant differences in e-fuel use between scenarios in 2040: 2</w:t>
      </w:r>
      <w:r w:rsidR="00B86B21" w:rsidRPr="004C3674">
        <w:rPr>
          <w:noProof/>
        </w:rPr>
        <w:t>2</w:t>
      </w:r>
      <w:r w:rsidRPr="004C3674">
        <w:rPr>
          <w:noProof/>
        </w:rPr>
        <w:t xml:space="preserve"> Mtoe in S1, 3</w:t>
      </w:r>
      <w:r w:rsidR="00B86B21" w:rsidRPr="004C3674">
        <w:rPr>
          <w:noProof/>
        </w:rPr>
        <w:t>4</w:t>
      </w:r>
      <w:r w:rsidRPr="004C3674">
        <w:rPr>
          <w:noProof/>
        </w:rPr>
        <w:t xml:space="preserve"> Mtoe in S2 and 40 Mtoe in S3 (see </w:t>
      </w:r>
      <w:r w:rsidR="00EE6D9A" w:rsidRPr="004C3674">
        <w:rPr>
          <w:noProof/>
        </w:rPr>
        <w:fldChar w:fldCharType="begin"/>
      </w:r>
      <w:r w:rsidR="00EE6D9A" w:rsidRPr="004C3674">
        <w:rPr>
          <w:noProof/>
        </w:rPr>
        <w:instrText xml:space="preserve"> REF _Ref145092769 \h  \* MERGEFORMAT </w:instrText>
      </w:r>
      <w:r w:rsidR="00EE6D9A" w:rsidRPr="004C3674">
        <w:rPr>
          <w:noProof/>
        </w:rPr>
      </w:r>
      <w:r w:rsidR="00EE6D9A" w:rsidRPr="004C3674">
        <w:rPr>
          <w:noProof/>
        </w:rPr>
        <w:fldChar w:fldCharType="separate"/>
      </w:r>
      <w:r w:rsidR="00170A3C">
        <w:rPr>
          <w:noProof/>
        </w:rPr>
        <w:t>Figure 66</w:t>
      </w:r>
      <w:r w:rsidR="00EE6D9A" w:rsidRPr="004C3674">
        <w:rPr>
          <w:noProof/>
        </w:rPr>
        <w:fldChar w:fldCharType="end"/>
      </w:r>
      <w:r w:rsidRPr="004C3674">
        <w:rPr>
          <w:noProof/>
        </w:rPr>
        <w:t xml:space="preserve">). These differences are caused mainly by differences in e-fuel consumption in the road transport sector, in which reduced consumption of fossil fuels in the most ambitious scenarios is mostly compensated by increased consumption of e-fuels. </w:t>
      </w:r>
      <w:r w:rsidR="00DB1E5F" w:rsidRPr="004C3674">
        <w:rPr>
          <w:noProof/>
        </w:rPr>
        <w:t>E</w:t>
      </w:r>
      <w:r w:rsidRPr="004C3674">
        <w:rPr>
          <w:noProof/>
        </w:rPr>
        <w:t xml:space="preserve">-fuel consumption in road transport </w:t>
      </w:r>
      <w:r w:rsidR="00DB1E5F" w:rsidRPr="004C3674">
        <w:rPr>
          <w:noProof/>
        </w:rPr>
        <w:t>in 2040</w:t>
      </w:r>
      <w:r w:rsidRPr="004C3674">
        <w:rPr>
          <w:noProof/>
        </w:rPr>
        <w:t xml:space="preserve"> is rather small</w:t>
      </w:r>
      <w:r w:rsidR="00B41A1E" w:rsidRPr="004C3674">
        <w:rPr>
          <w:noProof/>
        </w:rPr>
        <w:t xml:space="preserve"> in </w:t>
      </w:r>
      <w:r w:rsidR="001F7F6F" w:rsidRPr="004C3674">
        <w:rPr>
          <w:noProof/>
        </w:rPr>
        <w:t>the S1 scenario</w:t>
      </w:r>
      <w:r w:rsidR="00A067F6" w:rsidRPr="004C3674">
        <w:rPr>
          <w:noProof/>
        </w:rPr>
        <w:t xml:space="preserve"> (roughly 3 Mtoe)</w:t>
      </w:r>
      <w:r w:rsidRPr="004C3674">
        <w:rPr>
          <w:noProof/>
        </w:rPr>
        <w:t xml:space="preserve">, </w:t>
      </w:r>
      <w:r w:rsidR="000E476C" w:rsidRPr="004C3674">
        <w:rPr>
          <w:noProof/>
        </w:rPr>
        <w:t>but</w:t>
      </w:r>
      <w:r w:rsidRPr="004C3674">
        <w:rPr>
          <w:noProof/>
        </w:rPr>
        <w:t xml:space="preserve"> </w:t>
      </w:r>
      <w:r w:rsidR="00B41A1E" w:rsidRPr="004C3674">
        <w:rPr>
          <w:noProof/>
        </w:rPr>
        <w:t>it</w:t>
      </w:r>
      <w:r w:rsidRPr="004C3674">
        <w:rPr>
          <w:noProof/>
        </w:rPr>
        <w:t xml:space="preserve"> </w:t>
      </w:r>
      <w:r w:rsidR="00DB1E5F" w:rsidRPr="004C3674">
        <w:rPr>
          <w:noProof/>
        </w:rPr>
        <w:t>is</w:t>
      </w:r>
      <w:r w:rsidRPr="004C3674">
        <w:rPr>
          <w:noProof/>
        </w:rPr>
        <w:t xml:space="preserve"> significantly </w:t>
      </w:r>
      <w:r w:rsidR="00DB1E5F" w:rsidRPr="004C3674">
        <w:rPr>
          <w:noProof/>
        </w:rPr>
        <w:t xml:space="preserve">higher </w:t>
      </w:r>
      <w:r w:rsidRPr="004C3674">
        <w:rPr>
          <w:noProof/>
        </w:rPr>
        <w:t>in the S2 and S3 scenarios</w:t>
      </w:r>
      <w:r w:rsidR="002C005C" w:rsidRPr="004C3674">
        <w:rPr>
          <w:noProof/>
        </w:rPr>
        <w:t xml:space="preserve"> (12 and 17 Mtoe, respectively)</w:t>
      </w:r>
      <w:r w:rsidRPr="004C3674">
        <w:rPr>
          <w:noProof/>
        </w:rPr>
        <w:t>. As a result of the above, in the S1, S2 and S3 scenarios, the share of e-fuels in the total energy consumption of the transport sector increases from zero in 2015 to 10-</w:t>
      </w:r>
      <w:r w:rsidR="00D5150E" w:rsidRPr="004C3674">
        <w:rPr>
          <w:noProof/>
        </w:rPr>
        <w:t>18</w:t>
      </w:r>
      <w:r w:rsidRPr="004C3674">
        <w:rPr>
          <w:noProof/>
        </w:rPr>
        <w:t xml:space="preserve">% in 2040 and </w:t>
      </w:r>
      <w:r w:rsidR="002B504A">
        <w:rPr>
          <w:noProof/>
        </w:rPr>
        <w:t>23-</w:t>
      </w:r>
      <w:r w:rsidRPr="004C3674">
        <w:rPr>
          <w:noProof/>
        </w:rPr>
        <w:t xml:space="preserve">25% in 2050. The consumption of liquid e-fuels is much higher than that of gaseous e-fuels. However, the importance of e-gas, which is mostly used in the navigation sector, increases over time: 4-6% of e-fuel consumption in 2040 corresponds to e-gas, depending on the scenario, whereas </w:t>
      </w:r>
      <w:r w:rsidR="006770D4" w:rsidRPr="004C3674">
        <w:rPr>
          <w:noProof/>
        </w:rPr>
        <w:t xml:space="preserve">in 2050 </w:t>
      </w:r>
      <w:r w:rsidRPr="004C3674">
        <w:rPr>
          <w:noProof/>
        </w:rPr>
        <w:t>this share is 1</w:t>
      </w:r>
      <w:r w:rsidR="001E785E" w:rsidRPr="004C3674">
        <w:rPr>
          <w:noProof/>
        </w:rPr>
        <w:t>3</w:t>
      </w:r>
      <w:r w:rsidRPr="004C3674">
        <w:rPr>
          <w:noProof/>
        </w:rPr>
        <w:t>-14%.</w:t>
      </w:r>
    </w:p>
    <w:p w14:paraId="6EE93C8E" w14:textId="3C896A69" w:rsidR="00DD0CCD" w:rsidRPr="0079433B" w:rsidRDefault="00DD0CCD" w:rsidP="0079433B">
      <w:pPr>
        <w:rPr>
          <w:noProof/>
        </w:rPr>
      </w:pPr>
      <w:r w:rsidRPr="00DD0CCD">
        <w:rPr>
          <w:noProof/>
        </w:rPr>
        <w:t xml:space="preserve">In </w:t>
      </w:r>
      <w:r w:rsidR="00C459D4">
        <w:rPr>
          <w:noProof/>
        </w:rPr>
        <w:t>LIFE</w:t>
      </w:r>
      <w:r w:rsidRPr="00DD0CCD">
        <w:rPr>
          <w:noProof/>
        </w:rPr>
        <w:t xml:space="preserve">, the total amount of energy consumed by the transport sector decreases over time a bit more than in the other scenarios, mainly because of </w:t>
      </w:r>
      <w:r w:rsidR="00DC2009">
        <w:rPr>
          <w:noProof/>
        </w:rPr>
        <w:t>the different</w:t>
      </w:r>
      <w:r w:rsidRPr="00DD0CCD">
        <w:rPr>
          <w:noProof/>
        </w:rPr>
        <w:t xml:space="preserve"> transport activity </w:t>
      </w:r>
      <w:r w:rsidR="00DC2009">
        <w:rPr>
          <w:noProof/>
        </w:rPr>
        <w:t>pattern</w:t>
      </w:r>
      <w:r w:rsidRPr="00DD0CCD">
        <w:rPr>
          <w:noProof/>
        </w:rPr>
        <w:t xml:space="preserve">, as already explained above. However, in relative terms, the fuel mix of the transport sector is very similar to that of the S2 </w:t>
      </w:r>
      <w:r w:rsidR="003166EF">
        <w:rPr>
          <w:noProof/>
        </w:rPr>
        <w:t xml:space="preserve">and S3 </w:t>
      </w:r>
      <w:r w:rsidRPr="00DD0CCD">
        <w:rPr>
          <w:noProof/>
        </w:rPr>
        <w:t>scenario</w:t>
      </w:r>
      <w:r w:rsidR="003166EF">
        <w:rPr>
          <w:noProof/>
        </w:rPr>
        <w:t>s</w:t>
      </w:r>
      <w:r w:rsidRPr="00DD0CCD">
        <w:rPr>
          <w:noProof/>
        </w:rPr>
        <w:t xml:space="preserve"> (</w:t>
      </w:r>
      <w:r w:rsidRPr="00036EBE">
        <w:rPr>
          <w:noProof/>
        </w:rPr>
        <w:t xml:space="preserve">see </w:t>
      </w:r>
      <w:r w:rsidRPr="00036EBE">
        <w:rPr>
          <w:noProof/>
        </w:rPr>
        <w:fldChar w:fldCharType="begin"/>
      </w:r>
      <w:r w:rsidRPr="00DD0CCD">
        <w:rPr>
          <w:noProof/>
          <w:highlight w:val="yellow"/>
        </w:rPr>
        <w:instrText xml:space="preserve"> REF _Ref145092769 \h </w:instrText>
      </w:r>
      <w:r>
        <w:rPr>
          <w:noProof/>
          <w:highlight w:val="yellow"/>
        </w:rPr>
        <w:instrText xml:space="preserve"> \* MERGEFORMAT </w:instrText>
      </w:r>
      <w:r w:rsidRPr="00036EBE">
        <w:rPr>
          <w:noProof/>
        </w:rPr>
      </w:r>
      <w:r w:rsidRPr="00036EBE">
        <w:rPr>
          <w:noProof/>
        </w:rPr>
        <w:fldChar w:fldCharType="separate"/>
      </w:r>
      <w:r w:rsidR="00170A3C">
        <w:rPr>
          <w:noProof/>
        </w:rPr>
        <w:t>Figure 66</w:t>
      </w:r>
      <w:r w:rsidRPr="00036EBE">
        <w:rPr>
          <w:noProof/>
        </w:rPr>
        <w:fldChar w:fldCharType="end"/>
      </w:r>
      <w:r w:rsidRPr="00DD0CCD">
        <w:rPr>
          <w:noProof/>
        </w:rPr>
        <w:t xml:space="preserve">). </w:t>
      </w:r>
      <w:r w:rsidR="00E64025">
        <w:rPr>
          <w:noProof/>
        </w:rPr>
        <w:t xml:space="preserve">More specifically, in LIFE, in 2040, </w:t>
      </w:r>
      <w:r w:rsidR="00E64025" w:rsidRPr="00E64025">
        <w:rPr>
          <w:noProof/>
        </w:rPr>
        <w:t>fossil fuel and e-fuel</w:t>
      </w:r>
      <w:r w:rsidR="00E64025">
        <w:rPr>
          <w:noProof/>
        </w:rPr>
        <w:t xml:space="preserve"> shares are</w:t>
      </w:r>
      <w:r w:rsidR="00E64025" w:rsidRPr="00E64025">
        <w:rPr>
          <w:noProof/>
        </w:rPr>
        <w:t xml:space="preserve"> in between those observed in S2 and S3,</w:t>
      </w:r>
      <w:r w:rsidRPr="00DD0CCD">
        <w:rPr>
          <w:noProof/>
        </w:rPr>
        <w:t xml:space="preserve"> </w:t>
      </w:r>
      <w:r w:rsidR="00E64025">
        <w:rPr>
          <w:noProof/>
        </w:rPr>
        <w:t xml:space="preserve">whereas electricity, hydrogen and </w:t>
      </w:r>
      <w:r w:rsidR="008C2869">
        <w:rPr>
          <w:noProof/>
        </w:rPr>
        <w:t xml:space="preserve">liquid </w:t>
      </w:r>
      <w:r w:rsidR="00E64025">
        <w:rPr>
          <w:noProof/>
        </w:rPr>
        <w:t xml:space="preserve">biofuel </w:t>
      </w:r>
      <w:r w:rsidR="008C2869">
        <w:rPr>
          <w:noProof/>
        </w:rPr>
        <w:t>and biogas</w:t>
      </w:r>
      <w:r w:rsidR="00E64025">
        <w:rPr>
          <w:noProof/>
        </w:rPr>
        <w:t xml:space="preserve"> shares are similar</w:t>
      </w:r>
      <w:r w:rsidR="008C2869">
        <w:rPr>
          <w:noProof/>
        </w:rPr>
        <w:t xml:space="preserve"> in S2, S3 and LIFE</w:t>
      </w:r>
      <w:r w:rsidR="00E64025">
        <w:rPr>
          <w:noProof/>
        </w:rPr>
        <w:t>.</w:t>
      </w:r>
    </w:p>
    <w:p w14:paraId="02AD5E36" w14:textId="78354268" w:rsidR="004652D2" w:rsidRPr="005C318D" w:rsidRDefault="00CE4147" w:rsidP="005C318D">
      <w:pPr>
        <w:pStyle w:val="Caption"/>
        <w:rPr>
          <w:noProof/>
        </w:rPr>
      </w:pPr>
      <w:bookmarkStart w:id="341" w:name="_Ref143244039"/>
      <w:bookmarkStart w:id="342" w:name="_Ref143244087"/>
      <w:bookmarkStart w:id="343" w:name="_Ref145092769"/>
      <w:bookmarkStart w:id="344" w:name="_Toc157679814"/>
      <w:r>
        <w:rPr>
          <w:noProof/>
        </w:rPr>
        <w:t>Figure</w:t>
      </w:r>
      <w:bookmarkEnd w:id="341"/>
      <w:r>
        <w:rPr>
          <w:noProof/>
        </w:rPr>
        <w:t xml:space="preserve"> </w:t>
      </w:r>
      <w:bookmarkEnd w:id="342"/>
      <w:r w:rsidR="00F2742D">
        <w:rPr>
          <w:noProof/>
        </w:rPr>
        <w:fldChar w:fldCharType="begin"/>
      </w:r>
      <w:r w:rsidR="00F2742D">
        <w:rPr>
          <w:noProof/>
        </w:rPr>
        <w:instrText xml:space="preserve"> SEQ Figure \* ARABIC </w:instrText>
      </w:r>
      <w:r w:rsidR="00F2742D">
        <w:rPr>
          <w:noProof/>
        </w:rPr>
        <w:fldChar w:fldCharType="separate"/>
      </w:r>
      <w:r w:rsidR="00170A3C">
        <w:rPr>
          <w:noProof/>
        </w:rPr>
        <w:t>66</w:t>
      </w:r>
      <w:r w:rsidR="00F2742D">
        <w:rPr>
          <w:noProof/>
        </w:rPr>
        <w:fldChar w:fldCharType="end"/>
      </w:r>
      <w:bookmarkEnd w:id="343"/>
      <w:r w:rsidR="00126138">
        <w:rPr>
          <w:noProof/>
        </w:rPr>
        <w:t>:</w:t>
      </w:r>
      <w:r w:rsidR="009F592E" w:rsidRPr="00CD264D">
        <w:rPr>
          <w:noProof/>
        </w:rPr>
        <w:t xml:space="preserve"> </w:t>
      </w:r>
      <w:r w:rsidR="00F9205E">
        <w:rPr>
          <w:noProof/>
        </w:rPr>
        <w:t xml:space="preserve">EU </w:t>
      </w:r>
      <w:r w:rsidR="00C30D26">
        <w:rPr>
          <w:noProof/>
        </w:rPr>
        <w:t>e</w:t>
      </w:r>
      <w:r w:rsidR="009F592E" w:rsidRPr="00CD264D">
        <w:rPr>
          <w:noProof/>
        </w:rPr>
        <w:t xml:space="preserve">nergy </w:t>
      </w:r>
      <w:r w:rsidR="00CD264D" w:rsidRPr="00CD264D">
        <w:rPr>
          <w:noProof/>
        </w:rPr>
        <w:t>consumption</w:t>
      </w:r>
      <w:r w:rsidR="009F592E" w:rsidRPr="00CD264D">
        <w:rPr>
          <w:noProof/>
        </w:rPr>
        <w:t xml:space="preserve"> in </w:t>
      </w:r>
      <w:r w:rsidR="00CD264D" w:rsidRPr="00CD264D">
        <w:rPr>
          <w:noProof/>
        </w:rPr>
        <w:t xml:space="preserve">the transport sector </w:t>
      </w:r>
      <w:r w:rsidR="001B3B79">
        <w:rPr>
          <w:noProof/>
        </w:rPr>
        <w:t>by</w:t>
      </w:r>
      <w:r w:rsidR="00CD264D" w:rsidRPr="00CD264D">
        <w:rPr>
          <w:noProof/>
        </w:rPr>
        <w:t xml:space="preserve"> fuel</w:t>
      </w:r>
      <w:r w:rsidR="00FB23A7">
        <w:rPr>
          <w:noProof/>
        </w:rPr>
        <w:t>/energy carrier</w:t>
      </w:r>
      <w:r w:rsidR="00CD264D" w:rsidRPr="00CD264D">
        <w:rPr>
          <w:noProof/>
        </w:rPr>
        <w:t xml:space="preserve"> type</w:t>
      </w:r>
      <w:bookmarkEnd w:id="344"/>
    </w:p>
    <w:p w14:paraId="7D29EF39" w14:textId="09648D27" w:rsidR="00795B37" w:rsidRPr="00757245" w:rsidRDefault="00795B37" w:rsidP="0079433B">
      <w:pPr>
        <w:keepNext/>
        <w:jc w:val="center"/>
        <w:rPr>
          <w:noProof/>
          <w:lang w:val="en-IE"/>
        </w:rPr>
      </w:pPr>
      <w:r w:rsidRPr="00795B37">
        <w:rPr>
          <w:noProof/>
          <w:lang w:eastAsia="en-GB"/>
        </w:rPr>
        <w:drawing>
          <wp:inline distT="0" distB="0" distL="0" distR="0" wp14:anchorId="42148BCF" wp14:editId="1A4FFB33">
            <wp:extent cx="5448300" cy="2409825"/>
            <wp:effectExtent l="0" t="0" r="0"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448300" cy="2409825"/>
                    </a:xfrm>
                    <a:prstGeom prst="rect">
                      <a:avLst/>
                    </a:prstGeom>
                    <a:noFill/>
                    <a:ln>
                      <a:noFill/>
                    </a:ln>
                  </pic:spPr>
                </pic:pic>
              </a:graphicData>
            </a:graphic>
          </wp:inline>
        </w:drawing>
      </w:r>
    </w:p>
    <w:p w14:paraId="1806E44D" w14:textId="3C23CD6A" w:rsidR="003759E9" w:rsidRPr="00757245" w:rsidRDefault="003759E9" w:rsidP="003759E9">
      <w:pPr>
        <w:pStyle w:val="CT-NOTE"/>
        <w:rPr>
          <w:noProof/>
        </w:rPr>
      </w:pPr>
      <w:r w:rsidRPr="003759E9">
        <w:rPr>
          <w:noProof/>
        </w:rPr>
        <w:t xml:space="preserve">Note: </w:t>
      </w:r>
      <w:r>
        <w:rPr>
          <w:noProof/>
        </w:rPr>
        <w:t>E</w:t>
      </w:r>
      <w:r w:rsidRPr="003759E9">
        <w:rPr>
          <w:noProof/>
        </w:rPr>
        <w:t>nergy consumption includ</w:t>
      </w:r>
      <w:r>
        <w:rPr>
          <w:noProof/>
        </w:rPr>
        <w:t>ing</w:t>
      </w:r>
      <w:r w:rsidRPr="003759E9">
        <w:rPr>
          <w:noProof/>
        </w:rPr>
        <w:t xml:space="preserve"> international </w:t>
      </w:r>
      <w:r>
        <w:rPr>
          <w:noProof/>
        </w:rPr>
        <w:t>aviation and navigation</w:t>
      </w:r>
      <w:r w:rsidRPr="003759E9">
        <w:rPr>
          <w:noProof/>
        </w:rPr>
        <w:t>.</w:t>
      </w:r>
    </w:p>
    <w:p w14:paraId="55AEE218" w14:textId="3B9CA199" w:rsidR="005F2310" w:rsidRPr="00CF1ED8" w:rsidRDefault="005F2310" w:rsidP="00923B34">
      <w:pPr>
        <w:pStyle w:val="CT-SOURCE"/>
        <w:rPr>
          <w:rFonts w:ascii="Cambria Math" w:hAnsi="Cambria Math"/>
          <w:noProof/>
          <w:szCs w:val="18"/>
        </w:rPr>
      </w:pPr>
      <w:r w:rsidRPr="61BF51EC">
        <w:rPr>
          <w:noProof/>
        </w:rPr>
        <w:t>Source: PRIMES.</w:t>
      </w:r>
    </w:p>
    <w:p w14:paraId="29EC8464" w14:textId="558D22F9" w:rsidR="006E2259" w:rsidRPr="003F6B63" w:rsidRDefault="006E2259" w:rsidP="003F6B63">
      <w:pPr>
        <w:pStyle w:val="Heading3"/>
        <w:rPr>
          <w:noProof/>
        </w:rPr>
      </w:pPr>
      <w:bookmarkStart w:id="345" w:name="_Ref145692354"/>
      <w:bookmarkStart w:id="346" w:name="_Toc148605608"/>
      <w:bookmarkStart w:id="347" w:name="_Toc157692054"/>
      <w:r w:rsidRPr="003F6B63">
        <w:rPr>
          <w:noProof/>
        </w:rPr>
        <w:t>Technology developments per transport mode</w:t>
      </w:r>
      <w:bookmarkEnd w:id="345"/>
      <w:bookmarkEnd w:id="346"/>
      <w:bookmarkEnd w:id="347"/>
    </w:p>
    <w:p w14:paraId="45E8B863" w14:textId="0455752C" w:rsidR="006B6998" w:rsidRPr="003F6B63" w:rsidRDefault="00C35BDA" w:rsidP="00F7719F">
      <w:pPr>
        <w:pStyle w:val="Heading4"/>
        <w:rPr>
          <w:noProof/>
        </w:rPr>
      </w:pPr>
      <w:r w:rsidRPr="007D4A96">
        <w:rPr>
          <w:noProof/>
        </w:rPr>
        <w:t xml:space="preserve"> </w:t>
      </w:r>
      <w:bookmarkStart w:id="348" w:name="_Ref145093234"/>
      <w:r w:rsidR="00304E9C" w:rsidRPr="003F6B63">
        <w:rPr>
          <w:noProof/>
        </w:rPr>
        <w:t>Passenger cars</w:t>
      </w:r>
      <w:r w:rsidR="006B6998" w:rsidRPr="003F6B63">
        <w:rPr>
          <w:noProof/>
        </w:rPr>
        <w:t xml:space="preserve"> and</w:t>
      </w:r>
      <w:r w:rsidR="00304E9C" w:rsidRPr="003F6B63">
        <w:rPr>
          <w:noProof/>
        </w:rPr>
        <w:t xml:space="preserve"> vans</w:t>
      </w:r>
      <w:bookmarkEnd w:id="348"/>
      <w:r w:rsidR="00304E9C" w:rsidRPr="003F6B63">
        <w:rPr>
          <w:noProof/>
        </w:rPr>
        <w:t xml:space="preserve"> </w:t>
      </w:r>
    </w:p>
    <w:p w14:paraId="346281C7" w14:textId="5E652917" w:rsidR="00A46035" w:rsidRPr="006775FB" w:rsidRDefault="007027CC" w:rsidP="007027CC">
      <w:pPr>
        <w:rPr>
          <w:noProof/>
          <w:lang w:val="en-IE"/>
        </w:rPr>
      </w:pPr>
      <w:r w:rsidRPr="007027CC">
        <w:rPr>
          <w:noProof/>
          <w:lang w:val="en-IE"/>
        </w:rPr>
        <w:t xml:space="preserve">A deep transformation of the EU’s car and van </w:t>
      </w:r>
      <w:r w:rsidR="00660606">
        <w:rPr>
          <w:noProof/>
          <w:lang w:val="en-IE"/>
        </w:rPr>
        <w:t>fleet</w:t>
      </w:r>
      <w:r w:rsidRPr="007027CC">
        <w:rPr>
          <w:noProof/>
          <w:lang w:val="en-IE"/>
        </w:rPr>
        <w:t xml:space="preserve"> occurs between 2015 and 2050, driven mainly by the new regulation strengthening the CO2 emission performance standards </w:t>
      </w:r>
      <w:r w:rsidR="00EC508D">
        <w:rPr>
          <w:noProof/>
          <w:lang w:val="en-IE"/>
        </w:rPr>
        <w:t>applicable to</w:t>
      </w:r>
      <w:r w:rsidRPr="007027CC">
        <w:rPr>
          <w:noProof/>
          <w:lang w:val="en-IE"/>
        </w:rPr>
        <w:t xml:space="preserve"> these </w:t>
      </w:r>
      <w:r w:rsidR="00660606">
        <w:rPr>
          <w:noProof/>
          <w:lang w:val="en-IE"/>
        </w:rPr>
        <w:t xml:space="preserve">types of </w:t>
      </w:r>
      <w:r w:rsidRPr="007027CC">
        <w:rPr>
          <w:noProof/>
          <w:lang w:val="en-IE"/>
        </w:rPr>
        <w:t xml:space="preserve">vehicles. In 2015, the fleet consists practically only of conventional ICE </w:t>
      </w:r>
      <w:r w:rsidR="00123512">
        <w:rPr>
          <w:noProof/>
          <w:lang w:val="en-IE"/>
        </w:rPr>
        <w:t>cars and vans</w:t>
      </w:r>
      <w:r w:rsidRPr="007027CC">
        <w:rPr>
          <w:noProof/>
          <w:lang w:val="en-IE"/>
        </w:rPr>
        <w:t>. Over time, however, the share of ICE vehicles rapidly declines, and these vehicles are replaced by battery-electric vehicles and, to a lesser degree, fuel-cell and plug-in hybrid vehicles</w:t>
      </w:r>
      <w:r w:rsidR="008B5C54" w:rsidRPr="008B5C54">
        <w:rPr>
          <w:noProof/>
          <w:lang w:val="en-IE"/>
        </w:rPr>
        <w:t> (</w:t>
      </w:r>
      <w:r w:rsidR="008B5C54">
        <w:rPr>
          <w:rStyle w:val="FootnoteReference"/>
          <w:noProof/>
          <w:lang w:val="en-IE"/>
        </w:rPr>
        <w:footnoteReference w:id="119"/>
      </w:r>
      <w:r w:rsidR="008B5C54">
        <w:rPr>
          <w:noProof/>
          <w:lang w:val="en-IE"/>
        </w:rPr>
        <w:t>)</w:t>
      </w:r>
      <w:r w:rsidR="008B5C54" w:rsidRPr="008B5C54">
        <w:rPr>
          <w:noProof/>
          <w:lang w:val="en-IE"/>
        </w:rPr>
        <w:t> (</w:t>
      </w:r>
      <w:r w:rsidR="008B5C54">
        <w:rPr>
          <w:rStyle w:val="FootnoteReference"/>
          <w:noProof/>
          <w:lang w:val="en-IE"/>
        </w:rPr>
        <w:footnoteReference w:id="120"/>
      </w:r>
      <w:r w:rsidR="008B5C54">
        <w:rPr>
          <w:noProof/>
          <w:lang w:val="en-IE"/>
        </w:rPr>
        <w:t>)</w:t>
      </w:r>
      <w:r w:rsidRPr="007027CC">
        <w:rPr>
          <w:noProof/>
          <w:lang w:val="en-IE"/>
        </w:rPr>
        <w:t>. As a result, the EU’s car and van fleet goes from consuming almost only fossil fuels in 2015 to consuming energy mostly in the form of electricity and hydrogen in 2050.</w:t>
      </w:r>
    </w:p>
    <w:p w14:paraId="6D5AF678" w14:textId="7F4F16C7" w:rsidR="00DA3F4B" w:rsidRPr="006775FB" w:rsidRDefault="00DA3F4B" w:rsidP="007027CC">
      <w:pPr>
        <w:rPr>
          <w:noProof/>
          <w:lang w:val="en-IE"/>
        </w:rPr>
      </w:pPr>
      <w:r w:rsidRPr="00DA3F4B">
        <w:rPr>
          <w:noProof/>
          <w:lang w:val="en-IE"/>
        </w:rPr>
        <w:t xml:space="preserve">As shown in </w:t>
      </w:r>
      <w:r w:rsidR="00660606" w:rsidRPr="004C3674">
        <w:rPr>
          <w:noProof/>
          <w:lang w:val="en-IE"/>
        </w:rPr>
        <w:fldChar w:fldCharType="begin"/>
      </w:r>
      <w:r w:rsidR="00660606" w:rsidRPr="004C3674">
        <w:rPr>
          <w:noProof/>
          <w:lang w:val="en-IE"/>
        </w:rPr>
        <w:instrText xml:space="preserve"> REF _Ref146725205 \h  \* MERGEFORMAT </w:instrText>
      </w:r>
      <w:r w:rsidR="00660606" w:rsidRPr="004C3674">
        <w:rPr>
          <w:noProof/>
          <w:lang w:val="en-IE"/>
        </w:rPr>
      </w:r>
      <w:r w:rsidR="00660606" w:rsidRPr="004C3674">
        <w:rPr>
          <w:noProof/>
          <w:lang w:val="en-IE"/>
        </w:rPr>
        <w:fldChar w:fldCharType="separate"/>
      </w:r>
      <w:r w:rsidR="00170A3C">
        <w:rPr>
          <w:noProof/>
        </w:rPr>
        <w:t>Figure 67</w:t>
      </w:r>
      <w:r w:rsidR="00660606" w:rsidRPr="004C3674">
        <w:rPr>
          <w:noProof/>
          <w:lang w:val="en-IE"/>
        </w:rPr>
        <w:fldChar w:fldCharType="end"/>
      </w:r>
      <w:r w:rsidRPr="004C3674">
        <w:rPr>
          <w:noProof/>
          <w:lang w:val="en-IE"/>
        </w:rPr>
        <w:t xml:space="preserve">, in the S1, S2 and S3 scenarios, the share of ICE </w:t>
      </w:r>
      <w:r w:rsidRPr="004C3674">
        <w:rPr>
          <w:b/>
          <w:noProof/>
          <w:lang w:val="en-IE"/>
        </w:rPr>
        <w:t>passenger cars</w:t>
      </w:r>
      <w:r w:rsidRPr="004C3674">
        <w:rPr>
          <w:noProof/>
          <w:lang w:val="en-IE"/>
        </w:rPr>
        <w:t xml:space="preserve"> (including diesel, gasoline, LPG and CNG vehicles) in the EU’s car stock declines from practically 100% in 2015, to 26% in 2040 and 2% in 2050. These vehicles are substituted by battery-electric, fuel-cell and plug-in hybrid cars. </w:t>
      </w:r>
      <w:r w:rsidR="00660606" w:rsidRPr="004C3674">
        <w:rPr>
          <w:noProof/>
          <w:lang w:val="en-IE"/>
        </w:rPr>
        <w:t>T</w:t>
      </w:r>
      <w:r w:rsidRPr="004C3674">
        <w:rPr>
          <w:noProof/>
          <w:lang w:val="en-IE"/>
        </w:rPr>
        <w:t xml:space="preserve">he share of battery-electric cars increases to 57-58% in 2040 and 79-80% in 2050 (depending on the scenario), and the share of fuel-cell cars increases to 5% in 2040 and 14% in 2050. The share of plug-in hybrids increases to 11% in 2040, which indicates that this technology has a role to play in the transition away from fossil fuels. However, in 2050, the share of plug-in hybrids decreases to 5%, as zero-emission powertrains become dominant. As a result of the above, the </w:t>
      </w:r>
      <w:r w:rsidR="008137FF" w:rsidRPr="004C3674">
        <w:rPr>
          <w:noProof/>
          <w:lang w:val="en-IE"/>
        </w:rPr>
        <w:t>passenger</w:t>
      </w:r>
      <w:r w:rsidRPr="004C3674">
        <w:rPr>
          <w:noProof/>
          <w:lang w:val="en-IE"/>
        </w:rPr>
        <w:t xml:space="preserve"> car fleet goes from consuming mostly only fossil fuels in 2015 (</w:t>
      </w:r>
      <w:r w:rsidR="00502A9E">
        <w:rPr>
          <w:noProof/>
          <w:lang w:val="en-IE"/>
        </w:rPr>
        <w:t>95%</w:t>
      </w:r>
      <w:r w:rsidRPr="004C3674">
        <w:rPr>
          <w:noProof/>
          <w:lang w:val="en-IE"/>
        </w:rPr>
        <w:t xml:space="preserve"> of the total amount of energy consumed by cars) to consuming mostly electricity and hydrogen (91% of the total energy consumption) and almost no fossil fuels in 2050 (see </w:t>
      </w:r>
      <w:r w:rsidR="008137FF" w:rsidRPr="004C3674">
        <w:rPr>
          <w:noProof/>
          <w:lang w:val="en-IE"/>
        </w:rPr>
        <w:fldChar w:fldCharType="begin"/>
      </w:r>
      <w:r w:rsidR="008137FF" w:rsidRPr="004C3674">
        <w:rPr>
          <w:noProof/>
          <w:lang w:val="en-IE"/>
        </w:rPr>
        <w:instrText xml:space="preserve"> REF _Ref146725530 \h  \* MERGEFORMAT </w:instrText>
      </w:r>
      <w:r w:rsidR="008137FF" w:rsidRPr="004C3674">
        <w:rPr>
          <w:noProof/>
          <w:lang w:val="en-IE"/>
        </w:rPr>
      </w:r>
      <w:r w:rsidR="008137FF" w:rsidRPr="004C3674">
        <w:rPr>
          <w:noProof/>
          <w:lang w:val="en-IE"/>
        </w:rPr>
        <w:fldChar w:fldCharType="separate"/>
      </w:r>
      <w:r w:rsidR="00170A3C">
        <w:rPr>
          <w:noProof/>
        </w:rPr>
        <w:t>Figure 68</w:t>
      </w:r>
      <w:r w:rsidR="008137FF" w:rsidRPr="004C3674">
        <w:rPr>
          <w:noProof/>
          <w:lang w:val="en-IE"/>
        </w:rPr>
        <w:fldChar w:fldCharType="end"/>
      </w:r>
      <w:r w:rsidRPr="004C3674">
        <w:rPr>
          <w:noProof/>
          <w:lang w:val="en-IE"/>
        </w:rPr>
        <w:t>). Finally, it should be noted that the total energy consumption by cars drops from a</w:t>
      </w:r>
      <w:r w:rsidR="005020FF" w:rsidRPr="004C3674">
        <w:rPr>
          <w:noProof/>
          <w:lang w:val="en-IE"/>
        </w:rPr>
        <w:t>round</w:t>
      </w:r>
      <w:r w:rsidRPr="004C3674">
        <w:rPr>
          <w:noProof/>
          <w:lang w:val="en-IE"/>
        </w:rPr>
        <w:t xml:space="preserve"> 1</w:t>
      </w:r>
      <w:r w:rsidR="005020FF" w:rsidRPr="004C3674">
        <w:rPr>
          <w:noProof/>
          <w:lang w:val="en-IE"/>
        </w:rPr>
        <w:t>8</w:t>
      </w:r>
      <w:r w:rsidRPr="004C3674">
        <w:rPr>
          <w:noProof/>
          <w:lang w:val="en-IE"/>
        </w:rPr>
        <w:t xml:space="preserve">0 Mtoe in 2015 to </w:t>
      </w:r>
      <w:r w:rsidR="005020FF" w:rsidRPr="004C3674">
        <w:rPr>
          <w:noProof/>
          <w:lang w:val="en-IE"/>
        </w:rPr>
        <w:t>72-73</w:t>
      </w:r>
      <w:r w:rsidRPr="004C3674">
        <w:rPr>
          <w:noProof/>
          <w:lang w:val="en-IE"/>
        </w:rPr>
        <w:t xml:space="preserve"> Mtoe in 2040 and 4</w:t>
      </w:r>
      <w:r w:rsidR="005020FF" w:rsidRPr="004C3674">
        <w:rPr>
          <w:noProof/>
          <w:lang w:val="en-IE"/>
        </w:rPr>
        <w:t>5-46</w:t>
      </w:r>
      <w:r w:rsidRPr="004C3674">
        <w:rPr>
          <w:noProof/>
          <w:lang w:val="en-IE"/>
        </w:rPr>
        <w:t xml:space="preserve"> Mtoe in 2050 (which means it decreases by roughly 60% and 75% in 2040 and 2050, respectively, relative to 2015). </w:t>
      </w:r>
      <w:r w:rsidR="00F34077">
        <w:rPr>
          <w:noProof/>
          <w:lang w:val="en-IE"/>
        </w:rPr>
        <w:t>T</w:t>
      </w:r>
      <w:r w:rsidRPr="004C3674">
        <w:rPr>
          <w:noProof/>
          <w:lang w:val="en-IE"/>
        </w:rPr>
        <w:t>his occurs even if transport activity by car (expressed in pa</w:t>
      </w:r>
      <w:r w:rsidR="00A86358" w:rsidRPr="004C3674">
        <w:rPr>
          <w:noProof/>
          <w:lang w:val="en-IE"/>
        </w:rPr>
        <w:t>ssenger</w:t>
      </w:r>
      <w:r w:rsidRPr="004C3674">
        <w:rPr>
          <w:noProof/>
          <w:lang w:val="en-IE"/>
        </w:rPr>
        <w:t>-km) increases by 20</w:t>
      </w:r>
      <w:r w:rsidR="00A86358" w:rsidRPr="004C3674">
        <w:rPr>
          <w:noProof/>
          <w:lang w:val="en-IE"/>
        </w:rPr>
        <w:t>-21</w:t>
      </w:r>
      <w:r w:rsidRPr="004C3674">
        <w:rPr>
          <w:noProof/>
          <w:lang w:val="en-IE"/>
        </w:rPr>
        <w:t>% and 21</w:t>
      </w:r>
      <w:r w:rsidR="00A86358" w:rsidRPr="004C3674">
        <w:rPr>
          <w:noProof/>
          <w:lang w:val="en-IE"/>
        </w:rPr>
        <w:t>-22</w:t>
      </w:r>
      <w:r w:rsidRPr="004C3674">
        <w:rPr>
          <w:noProof/>
          <w:lang w:val="en-IE"/>
        </w:rPr>
        <w:t xml:space="preserve">% over the 2015-2040 and 2015-2050 periods, respectively (see Section </w:t>
      </w:r>
      <w:r w:rsidRPr="004C3674">
        <w:rPr>
          <w:noProof/>
          <w:lang w:val="en-IE"/>
        </w:rPr>
        <w:fldChar w:fldCharType="begin"/>
      </w:r>
      <w:r w:rsidRPr="004C3674">
        <w:rPr>
          <w:noProof/>
          <w:lang w:val="en-IE"/>
        </w:rPr>
        <w:instrText xml:space="preserve"> REF _Ref143242989 \r \h </w:instrText>
      </w:r>
      <w:r w:rsidR="00A639F6" w:rsidRPr="004C3674">
        <w:rPr>
          <w:noProof/>
          <w:lang w:val="en-IE"/>
        </w:rPr>
        <w:instrText xml:space="preserve"> \* MERGEFORMAT </w:instrText>
      </w:r>
      <w:r w:rsidRPr="004C3674">
        <w:rPr>
          <w:noProof/>
          <w:lang w:val="en-IE"/>
        </w:rPr>
      </w:r>
      <w:r w:rsidRPr="004C3674">
        <w:rPr>
          <w:noProof/>
          <w:lang w:val="en-IE"/>
        </w:rPr>
        <w:fldChar w:fldCharType="separate"/>
      </w:r>
      <w:r w:rsidR="00170A3C">
        <w:rPr>
          <w:noProof/>
          <w:lang w:val="en-IE"/>
        </w:rPr>
        <w:t>1.5.2</w:t>
      </w:r>
      <w:r w:rsidRPr="004C3674">
        <w:rPr>
          <w:noProof/>
          <w:lang w:val="en-IE"/>
        </w:rPr>
        <w:fldChar w:fldCharType="end"/>
      </w:r>
      <w:r w:rsidRPr="004C3674">
        <w:rPr>
          <w:noProof/>
          <w:lang w:val="en-IE"/>
        </w:rPr>
        <w:t xml:space="preserve">). </w:t>
      </w:r>
      <w:r w:rsidR="00DF70CE" w:rsidRPr="004C3674">
        <w:rPr>
          <w:noProof/>
          <w:lang w:val="en-IE"/>
        </w:rPr>
        <w:t>This</w:t>
      </w:r>
      <w:r w:rsidRPr="004C3674">
        <w:rPr>
          <w:noProof/>
          <w:lang w:val="en-IE"/>
        </w:rPr>
        <w:t xml:space="preserve"> can be explained by the significant energy efficiency gains related to electrification.</w:t>
      </w:r>
    </w:p>
    <w:p w14:paraId="54109FF1" w14:textId="191ED3A4" w:rsidR="006B2B11" w:rsidRPr="006B2B11" w:rsidRDefault="006B2B11" w:rsidP="006B2B11">
      <w:pPr>
        <w:rPr>
          <w:noProof/>
          <w:lang w:val="en-IE"/>
        </w:rPr>
      </w:pPr>
      <w:r w:rsidRPr="006B2B11">
        <w:rPr>
          <w:noProof/>
          <w:lang w:val="en-IE"/>
        </w:rPr>
        <w:t xml:space="preserve">The picture looks similar for </w:t>
      </w:r>
      <w:r w:rsidRPr="006B2B11">
        <w:rPr>
          <w:b/>
          <w:bCs/>
          <w:noProof/>
          <w:lang w:val="en-IE"/>
        </w:rPr>
        <w:t>vans</w:t>
      </w:r>
      <w:r w:rsidRPr="006B2B11">
        <w:rPr>
          <w:noProof/>
          <w:lang w:val="en-IE"/>
        </w:rPr>
        <w:t xml:space="preserve">, although in </w:t>
      </w:r>
      <w:r w:rsidRPr="004C3674">
        <w:rPr>
          <w:noProof/>
          <w:lang w:val="en-IE"/>
        </w:rPr>
        <w:t>this case the switch to alternative drivetrains is slightly more moderate than for cars</w:t>
      </w:r>
      <w:r w:rsidR="00457672" w:rsidRPr="004C3674">
        <w:rPr>
          <w:noProof/>
          <w:lang w:val="en-IE"/>
        </w:rPr>
        <w:t xml:space="preserve"> in 2040</w:t>
      </w:r>
      <w:r w:rsidRPr="004C3674">
        <w:rPr>
          <w:noProof/>
          <w:lang w:val="en-IE"/>
        </w:rPr>
        <w:t>. In the S1, S2 and S3 scenarios, the share of ICE vehicles in the E</w:t>
      </w:r>
      <w:r w:rsidR="00FC67BE" w:rsidRPr="004C3674">
        <w:rPr>
          <w:noProof/>
          <w:lang w:val="en-IE"/>
        </w:rPr>
        <w:t>U’s</w:t>
      </w:r>
      <w:r w:rsidRPr="004C3674">
        <w:rPr>
          <w:noProof/>
          <w:lang w:val="en-IE"/>
        </w:rPr>
        <w:t xml:space="preserve"> van stock declines from virtually 100% in 2015, to 38% in 2040 and 3% in 2050, as ICE vans are replaced by battery-electric, fuel-cell and plug-in hybrid vans. The share of battery-electric vehicles increases to 39-40% in 2040 (depending on the scenario) and 74% in 2050, and the share of fuel-cell vans rises to 5% in 2040 and 15-16% in 2050. As a result, the van fleet goes from consuming mostly only fossil fuels in 2015 (94% of the total amount of energy consumed by vans) to consuming mainly electricity and hydrogen (91% of the total energy consumption) and almost no fossil fuels in 2050</w:t>
      </w:r>
      <w:r w:rsidR="00A36179" w:rsidRPr="004C3674">
        <w:rPr>
          <w:noProof/>
          <w:lang w:val="en-IE"/>
        </w:rPr>
        <w:t>,</w:t>
      </w:r>
      <w:r w:rsidRPr="004C3674">
        <w:rPr>
          <w:noProof/>
          <w:lang w:val="en-IE"/>
        </w:rPr>
        <w:t xml:space="preserve"> similarly to passenger cars</w:t>
      </w:r>
      <w:r w:rsidR="00A36179" w:rsidRPr="004C3674">
        <w:rPr>
          <w:noProof/>
          <w:lang w:val="en-IE"/>
        </w:rPr>
        <w:t>. Also</w:t>
      </w:r>
      <w:r w:rsidRPr="004C3674">
        <w:rPr>
          <w:noProof/>
          <w:lang w:val="en-IE"/>
        </w:rPr>
        <w:t xml:space="preserve">, the total amount of energy consumed by vans in the EU drops by </w:t>
      </w:r>
      <w:r w:rsidR="004D391B" w:rsidRPr="004C3674">
        <w:rPr>
          <w:noProof/>
          <w:lang w:val="en-IE"/>
        </w:rPr>
        <w:t>47-48</w:t>
      </w:r>
      <w:r w:rsidRPr="004C3674">
        <w:rPr>
          <w:noProof/>
          <w:lang w:val="en-IE"/>
        </w:rPr>
        <w:t xml:space="preserve">% in 2040 and </w:t>
      </w:r>
      <w:r w:rsidR="00EA3C7E">
        <w:rPr>
          <w:noProof/>
          <w:lang w:val="en-IE"/>
        </w:rPr>
        <w:t xml:space="preserve">by </w:t>
      </w:r>
      <w:r w:rsidRPr="004C3674">
        <w:rPr>
          <w:noProof/>
          <w:lang w:val="en-IE"/>
        </w:rPr>
        <w:t>6</w:t>
      </w:r>
      <w:r w:rsidR="004D391B" w:rsidRPr="004C3674">
        <w:rPr>
          <w:noProof/>
          <w:lang w:val="en-IE"/>
        </w:rPr>
        <w:t>0-63</w:t>
      </w:r>
      <w:r w:rsidRPr="004C3674">
        <w:rPr>
          <w:noProof/>
          <w:lang w:val="en-IE"/>
        </w:rPr>
        <w:t>% in 2050, relative to 2015, even though transport activity by van</w:t>
      </w:r>
      <w:r w:rsidR="00614E5E">
        <w:rPr>
          <w:noProof/>
          <w:lang w:val="en-IE"/>
        </w:rPr>
        <w:t>s</w:t>
      </w:r>
      <w:r w:rsidRPr="004C3674">
        <w:rPr>
          <w:noProof/>
          <w:lang w:val="en-IE"/>
        </w:rPr>
        <w:t xml:space="preserve"> actually increases over the same periods (see Section </w:t>
      </w:r>
      <w:r w:rsidRPr="004C3674">
        <w:rPr>
          <w:noProof/>
          <w:lang w:val="en-IE"/>
        </w:rPr>
        <w:fldChar w:fldCharType="begin"/>
      </w:r>
      <w:r w:rsidRPr="004C3674">
        <w:rPr>
          <w:noProof/>
          <w:lang w:val="en-IE"/>
        </w:rPr>
        <w:instrText xml:space="preserve"> REF _Ref143242989 \r \h </w:instrText>
      </w:r>
      <w:r w:rsidR="00A639F6" w:rsidRPr="004C3674">
        <w:rPr>
          <w:noProof/>
          <w:lang w:val="en-IE"/>
        </w:rPr>
        <w:instrText xml:space="preserve"> \* MERGEFORMAT </w:instrText>
      </w:r>
      <w:r w:rsidRPr="004C3674">
        <w:rPr>
          <w:noProof/>
          <w:lang w:val="en-IE"/>
        </w:rPr>
      </w:r>
      <w:r w:rsidRPr="004C3674">
        <w:rPr>
          <w:noProof/>
          <w:lang w:val="en-IE"/>
        </w:rPr>
        <w:fldChar w:fldCharType="separate"/>
      </w:r>
      <w:r w:rsidR="00170A3C">
        <w:rPr>
          <w:noProof/>
          <w:lang w:val="en-IE"/>
        </w:rPr>
        <w:t>1.5.2</w:t>
      </w:r>
      <w:r w:rsidRPr="004C3674">
        <w:rPr>
          <w:noProof/>
          <w:lang w:val="en-IE"/>
        </w:rPr>
        <w:fldChar w:fldCharType="end"/>
      </w:r>
      <w:r w:rsidRPr="004C3674">
        <w:rPr>
          <w:noProof/>
          <w:lang w:val="en-IE"/>
        </w:rPr>
        <w:t>).</w:t>
      </w:r>
      <w:r w:rsidRPr="006B2B11">
        <w:rPr>
          <w:noProof/>
          <w:lang w:val="en-IE"/>
        </w:rPr>
        <w:t xml:space="preserve"> </w:t>
      </w:r>
      <w:r w:rsidR="00522DCA">
        <w:rPr>
          <w:noProof/>
          <w:lang w:val="en-IE"/>
        </w:rPr>
        <w:t>Again, t</w:t>
      </w:r>
      <w:r w:rsidR="00522DCA" w:rsidRPr="00522DCA">
        <w:rPr>
          <w:noProof/>
          <w:lang w:val="en-IE"/>
        </w:rPr>
        <w:t>his can be explained by the significant energy efficiency gains related to electrification.</w:t>
      </w:r>
    </w:p>
    <w:p w14:paraId="1CD4D18C" w14:textId="3CD267C1" w:rsidR="006B2B11" w:rsidRPr="004C3674" w:rsidRDefault="006B2B11" w:rsidP="006B2B11">
      <w:pPr>
        <w:rPr>
          <w:noProof/>
          <w:lang w:val="en-IE"/>
        </w:rPr>
      </w:pPr>
      <w:r w:rsidRPr="006B2B11">
        <w:rPr>
          <w:noProof/>
          <w:lang w:val="en-IE"/>
        </w:rPr>
        <w:t xml:space="preserve">It should be noted that the carbon intensity of the fuels used by ICE cars and vans is significantly lower in 2040 and 2050 than in 2015, owing to the increased consumption of </w:t>
      </w:r>
      <w:r w:rsidR="0035784E">
        <w:rPr>
          <w:noProof/>
          <w:lang w:val="en-IE"/>
        </w:rPr>
        <w:t xml:space="preserve">liquid </w:t>
      </w:r>
      <w:r w:rsidRPr="006B2B11">
        <w:rPr>
          <w:noProof/>
          <w:lang w:val="en-IE"/>
        </w:rPr>
        <w:t>biofuels</w:t>
      </w:r>
      <w:r w:rsidR="0035784E">
        <w:rPr>
          <w:noProof/>
          <w:lang w:val="en-IE"/>
        </w:rPr>
        <w:t>, biogas</w:t>
      </w:r>
      <w:r w:rsidRPr="006B2B11">
        <w:rPr>
          <w:noProof/>
          <w:lang w:val="en-IE"/>
        </w:rPr>
        <w:t xml:space="preserve"> and e-fuels relative to fossil fuels. This is particularly important in 2040, with significant differences between the </w:t>
      </w:r>
      <w:r w:rsidRPr="004C3674">
        <w:rPr>
          <w:noProof/>
          <w:lang w:val="en-IE"/>
        </w:rPr>
        <w:t>S1, S2 and S3 scenarios</w:t>
      </w:r>
      <w:r w:rsidR="00B05E89" w:rsidRPr="004C3674">
        <w:rPr>
          <w:noProof/>
          <w:lang w:val="en-IE"/>
        </w:rPr>
        <w:t xml:space="preserve"> (see</w:t>
      </w:r>
      <w:r w:rsidRPr="004C3674">
        <w:rPr>
          <w:noProof/>
          <w:lang w:val="en-IE"/>
        </w:rPr>
        <w:t xml:space="preserve"> </w:t>
      </w:r>
      <w:r w:rsidR="00A36179" w:rsidRPr="004C3674">
        <w:rPr>
          <w:noProof/>
          <w:lang w:val="en-IE"/>
        </w:rPr>
        <w:fldChar w:fldCharType="begin"/>
      </w:r>
      <w:r w:rsidR="00A36179" w:rsidRPr="004C3674">
        <w:rPr>
          <w:noProof/>
          <w:lang w:val="en-IE"/>
        </w:rPr>
        <w:instrText xml:space="preserve"> REF _Ref146725530 \h  \* MERGEFORMAT </w:instrText>
      </w:r>
      <w:r w:rsidR="00A36179" w:rsidRPr="004C3674">
        <w:rPr>
          <w:noProof/>
          <w:lang w:val="en-IE"/>
        </w:rPr>
      </w:r>
      <w:r w:rsidR="00A36179" w:rsidRPr="004C3674">
        <w:rPr>
          <w:noProof/>
          <w:lang w:val="en-IE"/>
        </w:rPr>
        <w:fldChar w:fldCharType="separate"/>
      </w:r>
      <w:r w:rsidR="00170A3C">
        <w:rPr>
          <w:noProof/>
        </w:rPr>
        <w:t>Figure 68</w:t>
      </w:r>
      <w:r w:rsidR="00A36179" w:rsidRPr="004C3674">
        <w:rPr>
          <w:noProof/>
          <w:lang w:val="en-IE"/>
        </w:rPr>
        <w:fldChar w:fldCharType="end"/>
      </w:r>
      <w:r w:rsidR="00B05E89" w:rsidRPr="004C3674">
        <w:rPr>
          <w:noProof/>
          <w:lang w:val="en-IE"/>
        </w:rPr>
        <w:t>).</w:t>
      </w:r>
      <w:r w:rsidRPr="004C3674">
        <w:rPr>
          <w:noProof/>
          <w:lang w:val="en-IE"/>
        </w:rPr>
        <w:t xml:space="preserve"> </w:t>
      </w:r>
      <w:r w:rsidR="00B05E89" w:rsidRPr="004C3674">
        <w:rPr>
          <w:noProof/>
          <w:lang w:val="en-IE"/>
        </w:rPr>
        <w:t>T</w:t>
      </w:r>
      <w:r w:rsidRPr="004C3674">
        <w:rPr>
          <w:noProof/>
          <w:lang w:val="en-IE"/>
        </w:rPr>
        <w:t xml:space="preserve">he </w:t>
      </w:r>
      <w:r w:rsidR="00501950">
        <w:rPr>
          <w:noProof/>
          <w:lang w:val="en-IE"/>
        </w:rPr>
        <w:t>total amount of</w:t>
      </w:r>
      <w:r w:rsidRPr="004C3674">
        <w:rPr>
          <w:noProof/>
          <w:lang w:val="en-IE"/>
        </w:rPr>
        <w:t xml:space="preserve"> fossil fuels, </w:t>
      </w:r>
      <w:r w:rsidR="00AC192D">
        <w:rPr>
          <w:noProof/>
          <w:lang w:val="en-IE"/>
        </w:rPr>
        <w:t xml:space="preserve">liquid </w:t>
      </w:r>
      <w:r w:rsidRPr="004C3674">
        <w:rPr>
          <w:noProof/>
          <w:lang w:val="en-IE"/>
        </w:rPr>
        <w:t>biofuels</w:t>
      </w:r>
      <w:r w:rsidR="00AC192D">
        <w:rPr>
          <w:noProof/>
          <w:lang w:val="en-IE"/>
        </w:rPr>
        <w:t>, biogas</w:t>
      </w:r>
      <w:r w:rsidRPr="004C3674">
        <w:rPr>
          <w:noProof/>
          <w:lang w:val="en-IE"/>
        </w:rPr>
        <w:t xml:space="preserve"> and e-fuels consumed by passenger cars </w:t>
      </w:r>
      <w:r w:rsidR="00B05E89" w:rsidRPr="004C3674">
        <w:rPr>
          <w:noProof/>
          <w:lang w:val="en-IE"/>
        </w:rPr>
        <w:t xml:space="preserve">and vans </w:t>
      </w:r>
      <w:r w:rsidRPr="004C3674">
        <w:rPr>
          <w:noProof/>
          <w:lang w:val="en-IE"/>
        </w:rPr>
        <w:t xml:space="preserve">in 2040 is similar in </w:t>
      </w:r>
      <w:r w:rsidR="004B2BDC" w:rsidRPr="004C3674">
        <w:rPr>
          <w:noProof/>
          <w:lang w:val="en-IE"/>
        </w:rPr>
        <w:t>the three main</w:t>
      </w:r>
      <w:r w:rsidRPr="004C3674">
        <w:rPr>
          <w:noProof/>
          <w:lang w:val="en-IE"/>
        </w:rPr>
        <w:t xml:space="preserve"> scenarios (</w:t>
      </w:r>
      <w:r w:rsidR="004B2BDC" w:rsidRPr="004C3674">
        <w:rPr>
          <w:noProof/>
          <w:lang w:val="en-IE"/>
        </w:rPr>
        <w:t>4</w:t>
      </w:r>
      <w:r w:rsidR="00B05E89" w:rsidRPr="004C3674">
        <w:rPr>
          <w:noProof/>
          <w:lang w:val="en-IE"/>
        </w:rPr>
        <w:t>5</w:t>
      </w:r>
      <w:r w:rsidR="004B2BDC" w:rsidRPr="004C3674">
        <w:rPr>
          <w:noProof/>
          <w:lang w:val="en-IE"/>
        </w:rPr>
        <w:t>-4</w:t>
      </w:r>
      <w:r w:rsidR="00B05E89" w:rsidRPr="004C3674">
        <w:rPr>
          <w:noProof/>
          <w:lang w:val="en-IE"/>
        </w:rPr>
        <w:t>6</w:t>
      </w:r>
      <w:r w:rsidRPr="004C3674">
        <w:rPr>
          <w:noProof/>
          <w:lang w:val="en-IE"/>
        </w:rPr>
        <w:t xml:space="preserve"> Mtoe). However, disaggregating per fuel shows that, in 2040, fossil fuel consumption is </w:t>
      </w:r>
      <w:r w:rsidR="00E87AB0" w:rsidRPr="004C3674">
        <w:rPr>
          <w:noProof/>
          <w:lang w:val="en-IE"/>
        </w:rPr>
        <w:t>higher,</w:t>
      </w:r>
      <w:r w:rsidRPr="004C3674">
        <w:rPr>
          <w:noProof/>
          <w:lang w:val="en-IE"/>
        </w:rPr>
        <w:t xml:space="preserve"> and </w:t>
      </w:r>
      <w:r w:rsidR="00484171">
        <w:rPr>
          <w:noProof/>
          <w:lang w:val="en-IE"/>
        </w:rPr>
        <w:t xml:space="preserve">liquid </w:t>
      </w:r>
      <w:r w:rsidRPr="004C3674">
        <w:rPr>
          <w:noProof/>
          <w:lang w:val="en-IE"/>
        </w:rPr>
        <w:t xml:space="preserve">biofuel and </w:t>
      </w:r>
      <w:r w:rsidR="007468DC">
        <w:rPr>
          <w:noProof/>
          <w:lang w:val="en-IE"/>
        </w:rPr>
        <w:t>e-liquid</w:t>
      </w:r>
      <w:r w:rsidRPr="004C3674">
        <w:rPr>
          <w:noProof/>
          <w:lang w:val="en-IE"/>
        </w:rPr>
        <w:t xml:space="preserve"> consumption is lower in the S1 scenario than in the S2 and S3 scenarios. Instead, the S3 scenario shows a lower consumption of fossil fuels and a greater consumption of </w:t>
      </w:r>
      <w:r w:rsidR="004D33E9">
        <w:rPr>
          <w:noProof/>
          <w:lang w:val="en-IE"/>
        </w:rPr>
        <w:t xml:space="preserve">liquid </w:t>
      </w:r>
      <w:r w:rsidRPr="004C3674">
        <w:rPr>
          <w:noProof/>
          <w:lang w:val="en-IE"/>
        </w:rPr>
        <w:t xml:space="preserve">biofuels and </w:t>
      </w:r>
      <w:r w:rsidR="004D33E9">
        <w:rPr>
          <w:noProof/>
          <w:lang w:val="en-IE"/>
        </w:rPr>
        <w:t>e-liquids</w:t>
      </w:r>
      <w:r w:rsidRPr="004C3674">
        <w:rPr>
          <w:noProof/>
          <w:lang w:val="en-IE"/>
        </w:rPr>
        <w:t xml:space="preserve"> than the S1 and S2 scenarios. </w:t>
      </w:r>
      <w:r w:rsidR="0068666E">
        <w:rPr>
          <w:noProof/>
          <w:lang w:val="en-IE"/>
        </w:rPr>
        <w:t>Biogas</w:t>
      </w:r>
      <w:r w:rsidR="009641D6">
        <w:rPr>
          <w:noProof/>
          <w:lang w:val="en-IE"/>
        </w:rPr>
        <w:t xml:space="preserve"> </w:t>
      </w:r>
      <w:r w:rsidR="0068666E">
        <w:rPr>
          <w:noProof/>
          <w:lang w:val="en-IE"/>
        </w:rPr>
        <w:t xml:space="preserve">and e-gas </w:t>
      </w:r>
      <w:r w:rsidR="009641D6">
        <w:rPr>
          <w:noProof/>
          <w:lang w:val="en-IE"/>
        </w:rPr>
        <w:t>consumptio</w:t>
      </w:r>
      <w:r w:rsidR="003229FA">
        <w:rPr>
          <w:noProof/>
          <w:lang w:val="en-IE"/>
        </w:rPr>
        <w:t>n</w:t>
      </w:r>
      <w:r w:rsidR="00F21655">
        <w:rPr>
          <w:noProof/>
          <w:lang w:val="en-IE"/>
        </w:rPr>
        <w:t xml:space="preserve"> is</w:t>
      </w:r>
      <w:r w:rsidR="009641D6">
        <w:rPr>
          <w:noProof/>
          <w:lang w:val="en-IE"/>
        </w:rPr>
        <w:t xml:space="preserve"> similar in the three main scenarios.</w:t>
      </w:r>
      <w:r w:rsidRPr="004C3674">
        <w:rPr>
          <w:noProof/>
          <w:lang w:val="en-IE"/>
        </w:rPr>
        <w:t xml:space="preserve"> This implies that the carbon intensity </w:t>
      </w:r>
      <w:r w:rsidR="0012014A">
        <w:rPr>
          <w:noProof/>
          <w:lang w:val="en-IE"/>
        </w:rPr>
        <w:t>(</w:t>
      </w:r>
      <w:r w:rsidR="0077763A">
        <w:rPr>
          <w:noProof/>
          <w:lang w:val="en-IE"/>
        </w:rPr>
        <w:t>expressed in tCO2/toe)</w:t>
      </w:r>
      <w:r w:rsidRPr="004C3674">
        <w:rPr>
          <w:noProof/>
          <w:lang w:val="en-IE"/>
        </w:rPr>
        <w:t xml:space="preserve"> of fuels used by the ICE </w:t>
      </w:r>
      <w:r w:rsidR="00B05E89" w:rsidRPr="004C3674">
        <w:rPr>
          <w:noProof/>
          <w:lang w:val="en-IE"/>
        </w:rPr>
        <w:t>passenger cars and vans</w:t>
      </w:r>
      <w:r w:rsidRPr="004C3674">
        <w:rPr>
          <w:noProof/>
          <w:lang w:val="en-IE"/>
        </w:rPr>
        <w:t xml:space="preserve"> remaining </w:t>
      </w:r>
      <w:r w:rsidR="00FD497A" w:rsidRPr="004C3674">
        <w:rPr>
          <w:noProof/>
          <w:lang w:val="en-IE"/>
        </w:rPr>
        <w:t>in the fleet</w:t>
      </w:r>
      <w:r w:rsidRPr="004C3674">
        <w:rPr>
          <w:noProof/>
          <w:lang w:val="en-IE"/>
        </w:rPr>
        <w:t xml:space="preserve"> in 2040 is highest in the S1 scenario </w:t>
      </w:r>
      <w:r w:rsidR="008008F2" w:rsidRPr="004C3674">
        <w:rPr>
          <w:noProof/>
          <w:lang w:val="en-IE"/>
        </w:rPr>
        <w:t xml:space="preserve">(21% lower </w:t>
      </w:r>
      <w:r w:rsidR="004B2BDC" w:rsidRPr="004C3674">
        <w:rPr>
          <w:noProof/>
          <w:lang w:val="en-IE"/>
        </w:rPr>
        <w:t xml:space="preserve">intensity </w:t>
      </w:r>
      <w:r w:rsidR="008008F2" w:rsidRPr="004C3674">
        <w:rPr>
          <w:noProof/>
          <w:lang w:val="en-IE"/>
        </w:rPr>
        <w:t xml:space="preserve">than in 2015) and lowest in the S3 scenario (49% lower </w:t>
      </w:r>
      <w:r w:rsidR="004B2BDC" w:rsidRPr="004C3674">
        <w:rPr>
          <w:noProof/>
          <w:lang w:val="en-IE"/>
        </w:rPr>
        <w:t xml:space="preserve">intensity </w:t>
      </w:r>
      <w:r w:rsidR="008008F2" w:rsidRPr="004C3674">
        <w:rPr>
          <w:noProof/>
          <w:lang w:val="en-IE"/>
        </w:rPr>
        <w:t>than in 2015)</w:t>
      </w:r>
      <w:r w:rsidR="002F4768" w:rsidRPr="004C3674">
        <w:rPr>
          <w:noProof/>
          <w:lang w:val="en-IE"/>
        </w:rPr>
        <w:t>. I</w:t>
      </w:r>
      <w:r w:rsidR="008008F2" w:rsidRPr="004C3674">
        <w:rPr>
          <w:noProof/>
          <w:lang w:val="en-IE"/>
        </w:rPr>
        <w:t>n 2050</w:t>
      </w:r>
      <w:r w:rsidR="002F4768" w:rsidRPr="004C3674">
        <w:rPr>
          <w:noProof/>
          <w:lang w:val="en-IE"/>
        </w:rPr>
        <w:t>,</w:t>
      </w:r>
      <w:r w:rsidR="008008F2" w:rsidRPr="004C3674">
        <w:rPr>
          <w:noProof/>
          <w:lang w:val="en-IE"/>
        </w:rPr>
        <w:t xml:space="preserve"> the carbon intensity is </w:t>
      </w:r>
      <w:r w:rsidR="00BC5F6F">
        <w:rPr>
          <w:noProof/>
          <w:lang w:val="en-IE"/>
        </w:rPr>
        <w:t>89-93%</w:t>
      </w:r>
      <w:r w:rsidR="008008F2" w:rsidRPr="004C3674">
        <w:rPr>
          <w:noProof/>
          <w:lang w:val="en-IE"/>
        </w:rPr>
        <w:t xml:space="preserve"> lower than in 2015</w:t>
      </w:r>
      <w:r w:rsidR="002F4768" w:rsidRPr="004C3674">
        <w:rPr>
          <w:noProof/>
          <w:lang w:val="en-IE"/>
        </w:rPr>
        <w:t xml:space="preserve"> in </w:t>
      </w:r>
      <w:r w:rsidR="0033210A">
        <w:rPr>
          <w:noProof/>
          <w:lang w:val="en-IE"/>
        </w:rPr>
        <w:t xml:space="preserve">the </w:t>
      </w:r>
      <w:r w:rsidR="001D2BE3">
        <w:rPr>
          <w:noProof/>
          <w:lang w:val="en-IE"/>
        </w:rPr>
        <w:t xml:space="preserve">main </w:t>
      </w:r>
      <w:r w:rsidR="002F4768" w:rsidRPr="004C3674">
        <w:rPr>
          <w:noProof/>
          <w:lang w:val="en-IE"/>
        </w:rPr>
        <w:t>scenarios</w:t>
      </w:r>
      <w:r w:rsidR="00CA2256" w:rsidRPr="00CA2256">
        <w:rPr>
          <w:noProof/>
          <w:lang w:val="en-IE"/>
        </w:rPr>
        <w:t xml:space="preserve">, with S3 scenario showing the </w:t>
      </w:r>
      <w:r w:rsidR="004D2E97">
        <w:rPr>
          <w:noProof/>
          <w:lang w:val="en-IE"/>
        </w:rPr>
        <w:t>large</w:t>
      </w:r>
      <w:r w:rsidR="00CA2256" w:rsidRPr="00CA2256">
        <w:rPr>
          <w:noProof/>
          <w:lang w:val="en-IE"/>
        </w:rPr>
        <w:t>st decrease</w:t>
      </w:r>
      <w:r w:rsidR="004D2E97">
        <w:rPr>
          <w:noProof/>
          <w:lang w:val="en-IE"/>
        </w:rPr>
        <w:t xml:space="preserve"> (93%)</w:t>
      </w:r>
      <w:r w:rsidR="008008F2" w:rsidRPr="004C3674">
        <w:rPr>
          <w:noProof/>
          <w:lang w:val="en-IE"/>
        </w:rPr>
        <w:t>.</w:t>
      </w:r>
    </w:p>
    <w:p w14:paraId="0C57A815" w14:textId="344A059D" w:rsidR="007227A5" w:rsidRPr="006B2B11" w:rsidRDefault="007227A5" w:rsidP="007227A5">
      <w:pPr>
        <w:rPr>
          <w:noProof/>
          <w:lang w:val="en-IE"/>
        </w:rPr>
      </w:pPr>
      <w:r w:rsidRPr="004C3674">
        <w:rPr>
          <w:noProof/>
          <w:lang w:val="en-IE"/>
        </w:rPr>
        <w:t xml:space="preserve">In </w:t>
      </w:r>
      <w:r w:rsidR="00C459D4" w:rsidRPr="004C3674">
        <w:rPr>
          <w:noProof/>
          <w:lang w:val="en-IE"/>
        </w:rPr>
        <w:t>LIFE</w:t>
      </w:r>
      <w:r w:rsidRPr="004C3674">
        <w:rPr>
          <w:noProof/>
          <w:lang w:val="en-IE"/>
        </w:rPr>
        <w:t xml:space="preserve">, the total amount of energy consumed by cars and vans decreases over time a bit more than in the other scenarios, mainly because </w:t>
      </w:r>
      <w:r w:rsidR="008335E4" w:rsidRPr="004C3674">
        <w:rPr>
          <w:noProof/>
          <w:lang w:val="en-IE"/>
        </w:rPr>
        <w:t xml:space="preserve">of </w:t>
      </w:r>
      <w:r w:rsidR="00E45BF0" w:rsidRPr="004C3674">
        <w:rPr>
          <w:noProof/>
          <w:lang w:val="en-IE"/>
        </w:rPr>
        <w:t>the</w:t>
      </w:r>
      <w:r w:rsidR="008335E4" w:rsidRPr="004C3674">
        <w:rPr>
          <w:noProof/>
          <w:lang w:val="en-IE"/>
        </w:rPr>
        <w:t xml:space="preserve"> lower </w:t>
      </w:r>
      <w:r w:rsidRPr="004C3674">
        <w:rPr>
          <w:noProof/>
          <w:lang w:val="en-IE"/>
        </w:rPr>
        <w:t xml:space="preserve">transport activity (expressed in passenger-km for cars, and in tonnes-km for vans). For passenger cars, </w:t>
      </w:r>
      <w:r w:rsidR="008335E4" w:rsidRPr="004C3674">
        <w:rPr>
          <w:noProof/>
          <w:lang w:val="en-IE"/>
        </w:rPr>
        <w:t xml:space="preserve">total </w:t>
      </w:r>
      <w:r w:rsidRPr="004C3674">
        <w:rPr>
          <w:noProof/>
          <w:lang w:val="en-IE"/>
        </w:rPr>
        <w:t xml:space="preserve">energy consumption drops by 62% in 2040 and </w:t>
      </w:r>
      <w:r w:rsidR="004247FC">
        <w:rPr>
          <w:noProof/>
          <w:lang w:val="en-IE"/>
        </w:rPr>
        <w:t xml:space="preserve">by </w:t>
      </w:r>
      <w:r w:rsidRPr="004C3674">
        <w:rPr>
          <w:noProof/>
          <w:lang w:val="en-IE"/>
        </w:rPr>
        <w:t xml:space="preserve">78% in 2050 compared to 2015 (i.e., 2 percentage points more than in the </w:t>
      </w:r>
      <w:r w:rsidR="00CE21DC">
        <w:rPr>
          <w:noProof/>
          <w:lang w:val="en-IE"/>
        </w:rPr>
        <w:t>S2 and S3</w:t>
      </w:r>
      <w:r w:rsidRPr="004C3674">
        <w:rPr>
          <w:noProof/>
          <w:lang w:val="en-IE"/>
        </w:rPr>
        <w:t xml:space="preserve"> scenario</w:t>
      </w:r>
      <w:r w:rsidR="002065CA">
        <w:rPr>
          <w:noProof/>
          <w:lang w:val="en-IE"/>
        </w:rPr>
        <w:t>s in 2040</w:t>
      </w:r>
      <w:r w:rsidR="00CE21DC">
        <w:rPr>
          <w:noProof/>
          <w:lang w:val="en-IE"/>
        </w:rPr>
        <w:t>,</w:t>
      </w:r>
      <w:r w:rsidR="002065CA">
        <w:rPr>
          <w:noProof/>
          <w:lang w:val="en-IE"/>
        </w:rPr>
        <w:t xml:space="preserve"> and </w:t>
      </w:r>
      <w:r w:rsidR="004F0E8F">
        <w:rPr>
          <w:noProof/>
          <w:lang w:val="en-IE"/>
        </w:rPr>
        <w:t xml:space="preserve">3 pp more in </w:t>
      </w:r>
      <w:r w:rsidR="002065CA">
        <w:rPr>
          <w:noProof/>
          <w:lang w:val="en-IE"/>
        </w:rPr>
        <w:t>2050</w:t>
      </w:r>
      <w:r w:rsidRPr="004C3674">
        <w:rPr>
          <w:noProof/>
          <w:lang w:val="en-IE"/>
        </w:rPr>
        <w:t xml:space="preserve">). For vans, energy consumption drops by 52% in 2040 and 63% in 2050 compared to 2015 </w:t>
      </w:r>
      <w:r w:rsidRPr="0059026B">
        <w:rPr>
          <w:noProof/>
          <w:lang w:val="en-IE"/>
        </w:rPr>
        <w:t>(i.e., 4</w:t>
      </w:r>
      <w:r w:rsidR="0059026B">
        <w:rPr>
          <w:noProof/>
          <w:lang w:val="en-IE"/>
        </w:rPr>
        <w:t>-5</w:t>
      </w:r>
      <w:r w:rsidRPr="0059026B">
        <w:rPr>
          <w:noProof/>
          <w:lang w:val="en-IE"/>
        </w:rPr>
        <w:t xml:space="preserve"> pp more than in </w:t>
      </w:r>
      <w:r w:rsidR="0059026B">
        <w:rPr>
          <w:noProof/>
          <w:lang w:val="en-IE"/>
        </w:rPr>
        <w:t xml:space="preserve">the </w:t>
      </w:r>
      <w:r w:rsidR="00AE540B">
        <w:rPr>
          <w:noProof/>
          <w:lang w:val="en-IE"/>
        </w:rPr>
        <w:t>S2 and S3</w:t>
      </w:r>
      <w:r w:rsidR="0059026B">
        <w:rPr>
          <w:noProof/>
          <w:lang w:val="en-IE"/>
        </w:rPr>
        <w:t xml:space="preserve"> scenarios in 2040, and 1-3 pp more in 2050</w:t>
      </w:r>
      <w:r w:rsidRPr="0059026B">
        <w:rPr>
          <w:noProof/>
          <w:lang w:val="en-IE"/>
        </w:rPr>
        <w:t>)</w:t>
      </w:r>
      <w:r w:rsidRPr="004C3674">
        <w:rPr>
          <w:noProof/>
          <w:lang w:val="en-IE"/>
        </w:rPr>
        <w:t>.</w:t>
      </w:r>
      <w:r w:rsidR="00802B29">
        <w:rPr>
          <w:noProof/>
          <w:lang w:val="en-IE"/>
        </w:rPr>
        <w:t xml:space="preserve"> I</w:t>
      </w:r>
      <w:r w:rsidR="00802B29" w:rsidRPr="00802B29">
        <w:rPr>
          <w:noProof/>
          <w:lang w:val="en-IE"/>
        </w:rPr>
        <w:t>n 2040</w:t>
      </w:r>
      <w:r w:rsidR="00802B29">
        <w:rPr>
          <w:noProof/>
          <w:lang w:val="en-IE"/>
        </w:rPr>
        <w:t>, both for cars and vans,</w:t>
      </w:r>
      <w:r w:rsidR="00802B29" w:rsidRPr="00802B29">
        <w:rPr>
          <w:noProof/>
          <w:lang w:val="en-IE"/>
        </w:rPr>
        <w:t xml:space="preserve"> the fuel mix is similar to that of the S2 scenario (in relative terms).</w:t>
      </w:r>
    </w:p>
    <w:p w14:paraId="2E832981" w14:textId="3162F5C5" w:rsidR="003F068C" w:rsidRDefault="006A4576" w:rsidP="00F30383">
      <w:pPr>
        <w:pStyle w:val="Caption"/>
        <w:rPr>
          <w:noProof/>
        </w:rPr>
      </w:pPr>
      <w:bookmarkStart w:id="349" w:name="_Ref143330533"/>
      <w:bookmarkStart w:id="350" w:name="_Ref146725205"/>
      <w:bookmarkStart w:id="351" w:name="_Toc157679815"/>
      <w:r>
        <w:rPr>
          <w:noProof/>
        </w:rPr>
        <w:t xml:space="preserve">Figure </w:t>
      </w:r>
      <w:bookmarkEnd w:id="349"/>
      <w:r w:rsidR="00F2742D">
        <w:rPr>
          <w:noProof/>
        </w:rPr>
        <w:fldChar w:fldCharType="begin"/>
      </w:r>
      <w:r w:rsidR="00F2742D">
        <w:rPr>
          <w:noProof/>
        </w:rPr>
        <w:instrText xml:space="preserve"> SEQ Figure \* ARABIC </w:instrText>
      </w:r>
      <w:r w:rsidR="00F2742D">
        <w:rPr>
          <w:noProof/>
        </w:rPr>
        <w:fldChar w:fldCharType="separate"/>
      </w:r>
      <w:r w:rsidR="00170A3C">
        <w:rPr>
          <w:noProof/>
        </w:rPr>
        <w:t>67</w:t>
      </w:r>
      <w:r w:rsidR="00F2742D">
        <w:rPr>
          <w:noProof/>
        </w:rPr>
        <w:fldChar w:fldCharType="end"/>
      </w:r>
      <w:bookmarkEnd w:id="350"/>
      <w:r w:rsidRPr="00CD264D">
        <w:rPr>
          <w:noProof/>
        </w:rPr>
        <w:t xml:space="preserve">: </w:t>
      </w:r>
      <w:r w:rsidR="00F25DCC" w:rsidRPr="00F25DCC">
        <w:rPr>
          <w:noProof/>
        </w:rPr>
        <w:t xml:space="preserve">Distribution of </w:t>
      </w:r>
      <w:r w:rsidRPr="00CD264D">
        <w:rPr>
          <w:noProof/>
        </w:rPr>
        <w:t xml:space="preserve">the EU </w:t>
      </w:r>
      <w:r w:rsidR="00C26A34">
        <w:rPr>
          <w:noProof/>
        </w:rPr>
        <w:t xml:space="preserve">passenger </w:t>
      </w:r>
      <w:r w:rsidR="00F25DCC" w:rsidRPr="00F25DCC">
        <w:rPr>
          <w:noProof/>
        </w:rPr>
        <w:t>car stock</w:t>
      </w:r>
      <w:r w:rsidRPr="00CD264D">
        <w:rPr>
          <w:noProof/>
        </w:rPr>
        <w:t xml:space="preserve"> </w:t>
      </w:r>
      <w:r>
        <w:rPr>
          <w:noProof/>
        </w:rPr>
        <w:t xml:space="preserve">per </w:t>
      </w:r>
      <w:r w:rsidR="00F25DCC" w:rsidRPr="00F25DCC">
        <w:rPr>
          <w:noProof/>
        </w:rPr>
        <w:t>type of drivetrain</w:t>
      </w:r>
      <w:bookmarkEnd w:id="351"/>
    </w:p>
    <w:p w14:paraId="65D41763" w14:textId="4E685A0D" w:rsidR="00F30383" w:rsidRPr="00564E20" w:rsidRDefault="00F30383" w:rsidP="006845CF">
      <w:pPr>
        <w:keepNext/>
        <w:rPr>
          <w:noProof/>
        </w:rPr>
      </w:pPr>
      <w:r w:rsidRPr="00F30383">
        <w:rPr>
          <w:noProof/>
          <w:lang w:eastAsia="en-GB"/>
        </w:rPr>
        <w:drawing>
          <wp:inline distT="0" distB="0" distL="0" distR="0" wp14:anchorId="058E6B48" wp14:editId="608E4E8D">
            <wp:extent cx="5440680" cy="2369820"/>
            <wp:effectExtent l="0" t="0" r="762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440680" cy="2369820"/>
                    </a:xfrm>
                    <a:prstGeom prst="rect">
                      <a:avLst/>
                    </a:prstGeom>
                    <a:noFill/>
                    <a:ln>
                      <a:noFill/>
                    </a:ln>
                  </pic:spPr>
                </pic:pic>
              </a:graphicData>
            </a:graphic>
          </wp:inline>
        </w:drawing>
      </w:r>
    </w:p>
    <w:p w14:paraId="0B2F31E3" w14:textId="3B6B2F54" w:rsidR="00C62BF6" w:rsidRPr="00B262E0" w:rsidRDefault="00C62BF6" w:rsidP="00E87AB0">
      <w:pPr>
        <w:pStyle w:val="CT-SOURCE"/>
        <w:keepNext w:val="0"/>
        <w:rPr>
          <w:rFonts w:ascii="Cambria Math" w:hAnsi="Cambria Math"/>
          <w:noProof/>
          <w:szCs w:val="18"/>
        </w:rPr>
      </w:pPr>
      <w:r w:rsidRPr="61BF51EC">
        <w:rPr>
          <w:noProof/>
        </w:rPr>
        <w:t>Source: PRIMES.</w:t>
      </w:r>
    </w:p>
    <w:p w14:paraId="49E493D8" w14:textId="7BB07A8F" w:rsidR="00081049" w:rsidRDefault="006A4576" w:rsidP="00057DD6">
      <w:pPr>
        <w:pStyle w:val="Caption"/>
        <w:rPr>
          <w:noProof/>
          <w:lang w:eastAsia="en-GB"/>
        </w:rPr>
      </w:pPr>
      <w:bookmarkStart w:id="352" w:name="_Ref146725530"/>
      <w:bookmarkStart w:id="353" w:name="_Toc157679816"/>
      <w:r>
        <w:rPr>
          <w:noProof/>
        </w:rPr>
        <w:t xml:space="preserve">Figure </w:t>
      </w:r>
      <w:r>
        <w:rPr>
          <w:noProof/>
        </w:rPr>
        <w:fldChar w:fldCharType="begin"/>
      </w:r>
      <w:r>
        <w:rPr>
          <w:noProof/>
        </w:rPr>
        <w:instrText>SEQ Figure \* ARABIC</w:instrText>
      </w:r>
      <w:r>
        <w:rPr>
          <w:noProof/>
        </w:rPr>
        <w:fldChar w:fldCharType="separate"/>
      </w:r>
      <w:r w:rsidR="00170A3C">
        <w:rPr>
          <w:noProof/>
        </w:rPr>
        <w:t>68</w:t>
      </w:r>
      <w:r>
        <w:rPr>
          <w:noProof/>
        </w:rPr>
        <w:fldChar w:fldCharType="end"/>
      </w:r>
      <w:bookmarkEnd w:id="352"/>
      <w:r w:rsidR="00FF4D10">
        <w:rPr>
          <w:noProof/>
        </w:rPr>
        <w:t xml:space="preserve">: </w:t>
      </w:r>
      <w:r w:rsidR="00F9205E">
        <w:rPr>
          <w:noProof/>
        </w:rPr>
        <w:t>EU</w:t>
      </w:r>
      <w:r w:rsidR="00FF4D10">
        <w:rPr>
          <w:noProof/>
        </w:rPr>
        <w:t xml:space="preserve"> </w:t>
      </w:r>
      <w:r w:rsidR="0041129E">
        <w:rPr>
          <w:noProof/>
        </w:rPr>
        <w:t>e</w:t>
      </w:r>
      <w:r w:rsidR="00FF4D10" w:rsidRPr="00B101FB">
        <w:rPr>
          <w:noProof/>
        </w:rPr>
        <w:t xml:space="preserve">nergy consumption </w:t>
      </w:r>
      <w:r w:rsidR="00FF4D10">
        <w:rPr>
          <w:noProof/>
        </w:rPr>
        <w:t xml:space="preserve">by passenger cars </w:t>
      </w:r>
      <w:r w:rsidR="001B3B79">
        <w:rPr>
          <w:noProof/>
        </w:rPr>
        <w:t>by</w:t>
      </w:r>
      <w:r w:rsidR="00FF4D10" w:rsidRPr="00B101FB">
        <w:rPr>
          <w:noProof/>
        </w:rPr>
        <w:t xml:space="preserve"> fuel</w:t>
      </w:r>
      <w:r w:rsidR="00FB23A7">
        <w:rPr>
          <w:noProof/>
        </w:rPr>
        <w:t>/energy carrier</w:t>
      </w:r>
      <w:r w:rsidR="00FF4D10" w:rsidRPr="00B101FB">
        <w:rPr>
          <w:noProof/>
        </w:rPr>
        <w:t xml:space="preserve"> </w:t>
      </w:r>
      <w:r w:rsidR="0060335D" w:rsidRPr="00B101FB">
        <w:rPr>
          <w:noProof/>
        </w:rPr>
        <w:t>type</w:t>
      </w:r>
      <w:bookmarkEnd w:id="353"/>
    </w:p>
    <w:p w14:paraId="656FE96D" w14:textId="4E8A403E" w:rsidR="00FB2B0E" w:rsidRPr="006845CF" w:rsidRDefault="00FB2B0E" w:rsidP="006845CF">
      <w:pPr>
        <w:rPr>
          <w:noProof/>
          <w:lang w:eastAsia="en-GB"/>
        </w:rPr>
      </w:pPr>
      <w:r w:rsidRPr="00FB2B0E">
        <w:rPr>
          <w:noProof/>
          <w:lang w:eastAsia="en-GB"/>
        </w:rPr>
        <w:drawing>
          <wp:inline distT="0" distB="0" distL="0" distR="0" wp14:anchorId="44621DD8" wp14:editId="60CA4E73">
            <wp:extent cx="5472430" cy="232473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5472430" cy="2324735"/>
                    </a:xfrm>
                    <a:prstGeom prst="rect">
                      <a:avLst/>
                    </a:prstGeom>
                    <a:noFill/>
                    <a:ln>
                      <a:noFill/>
                    </a:ln>
                  </pic:spPr>
                </pic:pic>
              </a:graphicData>
            </a:graphic>
          </wp:inline>
        </w:drawing>
      </w:r>
    </w:p>
    <w:p w14:paraId="3A4CE259" w14:textId="18780F88" w:rsidR="009F4824" w:rsidRPr="000622EA" w:rsidRDefault="009F4824" w:rsidP="000A22B1">
      <w:pPr>
        <w:pStyle w:val="CT-SOURCE"/>
        <w:keepNext w:val="0"/>
        <w:rPr>
          <w:noProof/>
        </w:rPr>
      </w:pPr>
      <w:r w:rsidRPr="61BF51EC">
        <w:rPr>
          <w:noProof/>
        </w:rPr>
        <w:t>Source: P</w:t>
      </w:r>
      <w:r w:rsidRPr="000622EA">
        <w:rPr>
          <w:noProof/>
        </w:rPr>
        <w:t>RIMES.</w:t>
      </w:r>
    </w:p>
    <w:p w14:paraId="7A698509" w14:textId="063070A9" w:rsidR="00E46086" w:rsidRPr="00630343" w:rsidRDefault="00906120" w:rsidP="00F7719F">
      <w:pPr>
        <w:pStyle w:val="Heading4"/>
        <w:rPr>
          <w:noProof/>
        </w:rPr>
      </w:pPr>
      <w:r>
        <w:rPr>
          <w:noProof/>
        </w:rPr>
        <w:t xml:space="preserve"> </w:t>
      </w:r>
      <w:r w:rsidR="00E46086" w:rsidRPr="00630343">
        <w:rPr>
          <w:noProof/>
        </w:rPr>
        <w:t>Heavy Goods Vehicles (</w:t>
      </w:r>
      <w:r w:rsidR="000B7075">
        <w:rPr>
          <w:noProof/>
        </w:rPr>
        <w:t>HGV</w:t>
      </w:r>
      <w:r w:rsidR="00E46086" w:rsidRPr="00630343">
        <w:rPr>
          <w:noProof/>
        </w:rPr>
        <w:t>s)</w:t>
      </w:r>
    </w:p>
    <w:p w14:paraId="2E857DA9" w14:textId="1F77C3DC" w:rsidR="008B5768" w:rsidRPr="008B5768" w:rsidRDefault="008B5768" w:rsidP="008B5768">
      <w:pPr>
        <w:rPr>
          <w:noProof/>
          <w:lang w:val="en-IE"/>
        </w:rPr>
      </w:pPr>
      <w:r w:rsidRPr="008B5768">
        <w:rPr>
          <w:noProof/>
          <w:lang w:val="en-IE"/>
        </w:rPr>
        <w:t xml:space="preserve">The EU’s HGV stock undergoes a deep transformation between 2015 and 2050, driven </w:t>
      </w:r>
      <w:r w:rsidR="005B0192">
        <w:rPr>
          <w:noProof/>
          <w:lang w:val="en-IE"/>
        </w:rPr>
        <w:t xml:space="preserve">mainly </w:t>
      </w:r>
      <w:r w:rsidRPr="008B5768">
        <w:rPr>
          <w:noProof/>
          <w:lang w:val="en-IE"/>
        </w:rPr>
        <w:t>by the proposed revision of the regulation on CO2 emission standards for heavy duty vehicles (</w:t>
      </w:r>
      <w:r>
        <w:rPr>
          <w:rStyle w:val="FootnoteReference"/>
          <w:noProof/>
          <w:lang w:val="en-IE"/>
        </w:rPr>
        <w:footnoteReference w:id="121"/>
      </w:r>
      <w:r>
        <w:rPr>
          <w:noProof/>
          <w:lang w:val="en-IE"/>
        </w:rPr>
        <w:t>)</w:t>
      </w:r>
      <w:r w:rsidRPr="008B5768">
        <w:rPr>
          <w:noProof/>
          <w:lang w:val="en-IE"/>
        </w:rPr>
        <w:t>. In 2015</w:t>
      </w:r>
      <w:r w:rsidR="005B0192">
        <w:rPr>
          <w:noProof/>
          <w:lang w:val="en-IE"/>
        </w:rPr>
        <w:t>,</w:t>
      </w:r>
      <w:r w:rsidRPr="008B5768">
        <w:rPr>
          <w:noProof/>
          <w:lang w:val="en-IE"/>
        </w:rPr>
        <w:t xml:space="preserve"> the fleet consisted almost </w:t>
      </w:r>
      <w:r w:rsidR="005574E4">
        <w:rPr>
          <w:noProof/>
          <w:lang w:val="en-IE"/>
        </w:rPr>
        <w:t>entirely</w:t>
      </w:r>
      <w:r w:rsidRPr="008B5768">
        <w:rPr>
          <w:noProof/>
          <w:lang w:val="en-IE"/>
        </w:rPr>
        <w:t xml:space="preserve"> of </w:t>
      </w:r>
      <w:r w:rsidR="005574E4">
        <w:rPr>
          <w:noProof/>
          <w:lang w:val="en-IE"/>
        </w:rPr>
        <w:t xml:space="preserve">diesel </w:t>
      </w:r>
      <w:r w:rsidRPr="008B5768">
        <w:rPr>
          <w:noProof/>
          <w:lang w:val="en-IE"/>
        </w:rPr>
        <w:t>conventional ICE vehicles, but over time the</w:t>
      </w:r>
      <w:r w:rsidR="00C66092">
        <w:rPr>
          <w:noProof/>
          <w:lang w:val="en-IE"/>
        </w:rPr>
        <w:t>ir</w:t>
      </w:r>
      <w:r w:rsidRPr="008B5768">
        <w:rPr>
          <w:noProof/>
          <w:lang w:val="en-IE"/>
        </w:rPr>
        <w:t xml:space="preserve"> share </w:t>
      </w:r>
      <w:r w:rsidR="005B0192">
        <w:rPr>
          <w:noProof/>
          <w:lang w:val="en-IE"/>
        </w:rPr>
        <w:t xml:space="preserve">is projected to </w:t>
      </w:r>
      <w:r w:rsidR="00E87AB0" w:rsidRPr="008B5768">
        <w:rPr>
          <w:noProof/>
          <w:lang w:val="en-IE"/>
        </w:rPr>
        <w:t>decline,</w:t>
      </w:r>
      <w:r w:rsidRPr="008B5768">
        <w:rPr>
          <w:noProof/>
          <w:lang w:val="en-IE"/>
        </w:rPr>
        <w:t xml:space="preserve"> and these vehicles are largely replaced by battery-electric vehicles and </w:t>
      </w:r>
      <w:r w:rsidR="002765E9">
        <w:rPr>
          <w:noProof/>
          <w:lang w:val="en-IE"/>
        </w:rPr>
        <w:t>hydrogen</w:t>
      </w:r>
      <w:r w:rsidRPr="008B5768">
        <w:rPr>
          <w:noProof/>
          <w:lang w:val="en-IE"/>
        </w:rPr>
        <w:t xml:space="preserve"> vehicles (</w:t>
      </w:r>
      <w:r w:rsidR="0032445D">
        <w:rPr>
          <w:noProof/>
          <w:lang w:val="en-IE"/>
        </w:rPr>
        <w:t xml:space="preserve">the latter, mostly </w:t>
      </w:r>
      <w:r w:rsidRPr="008B5768">
        <w:rPr>
          <w:noProof/>
          <w:lang w:val="en-IE"/>
        </w:rPr>
        <w:t>for long-haul transport)</w:t>
      </w:r>
      <w:r w:rsidR="00743DD1" w:rsidRPr="00743DD1">
        <w:rPr>
          <w:noProof/>
          <w:lang w:val="en-IE"/>
        </w:rPr>
        <w:t> (</w:t>
      </w:r>
      <w:r w:rsidR="00743DD1">
        <w:rPr>
          <w:rStyle w:val="FootnoteReference"/>
          <w:noProof/>
          <w:lang w:val="en-IE"/>
        </w:rPr>
        <w:footnoteReference w:id="122"/>
      </w:r>
      <w:r w:rsidRPr="008B5768">
        <w:rPr>
          <w:noProof/>
          <w:lang w:val="en-IE"/>
        </w:rPr>
        <w:t>). Consequently, the EU’s HGV fleet goes from consuming almost only fossil fuels in 2015 to consuming mostly electricity and hydrogen in 2050.</w:t>
      </w:r>
    </w:p>
    <w:p w14:paraId="03A28137" w14:textId="0E50B085" w:rsidR="00B87618" w:rsidRPr="004C3674" w:rsidRDefault="00B87618" w:rsidP="00B87618">
      <w:pPr>
        <w:rPr>
          <w:noProof/>
          <w:lang w:val="en-IE"/>
        </w:rPr>
      </w:pPr>
      <w:r w:rsidRPr="00B87618">
        <w:rPr>
          <w:noProof/>
          <w:lang w:val="en-IE"/>
        </w:rPr>
        <w:t xml:space="preserve">As </w:t>
      </w:r>
      <w:r w:rsidRPr="004C3674">
        <w:rPr>
          <w:noProof/>
          <w:lang w:val="en-IE"/>
        </w:rPr>
        <w:t xml:space="preserve">shown in </w:t>
      </w:r>
      <w:r w:rsidR="005B0192" w:rsidRPr="004C3674">
        <w:rPr>
          <w:noProof/>
          <w:lang w:val="en-IE"/>
        </w:rPr>
        <w:fldChar w:fldCharType="begin"/>
      </w:r>
      <w:r w:rsidR="005B0192" w:rsidRPr="004C3674">
        <w:rPr>
          <w:noProof/>
          <w:lang w:val="en-IE"/>
        </w:rPr>
        <w:instrText xml:space="preserve"> REF _Ref146731427 \h  \* MERGEFORMAT </w:instrText>
      </w:r>
      <w:r w:rsidR="005B0192" w:rsidRPr="004C3674">
        <w:rPr>
          <w:noProof/>
          <w:lang w:val="en-IE"/>
        </w:rPr>
      </w:r>
      <w:r w:rsidR="005B0192" w:rsidRPr="004C3674">
        <w:rPr>
          <w:noProof/>
          <w:lang w:val="en-IE"/>
        </w:rPr>
        <w:fldChar w:fldCharType="separate"/>
      </w:r>
      <w:r w:rsidR="00170A3C">
        <w:rPr>
          <w:noProof/>
        </w:rPr>
        <w:t>Figure 69</w:t>
      </w:r>
      <w:r w:rsidR="005B0192" w:rsidRPr="004C3674">
        <w:rPr>
          <w:noProof/>
          <w:lang w:val="en-IE"/>
        </w:rPr>
        <w:fldChar w:fldCharType="end"/>
      </w:r>
      <w:r w:rsidRPr="004C3674">
        <w:rPr>
          <w:noProof/>
          <w:lang w:val="en-IE"/>
        </w:rPr>
        <w:t xml:space="preserve">, in the S1, S2 and S3 scenarios, the </w:t>
      </w:r>
      <w:r w:rsidR="00522FC1">
        <w:rPr>
          <w:noProof/>
          <w:lang w:val="en-IE"/>
        </w:rPr>
        <w:t xml:space="preserve">total </w:t>
      </w:r>
      <w:r w:rsidRPr="004C3674">
        <w:rPr>
          <w:noProof/>
          <w:lang w:val="en-IE"/>
        </w:rPr>
        <w:t>share of diesel conventional, diesel hybrid</w:t>
      </w:r>
      <w:r w:rsidR="006872AE" w:rsidRPr="006872AE">
        <w:rPr>
          <w:noProof/>
          <w:lang w:val="en-IE"/>
        </w:rPr>
        <w:t> (</w:t>
      </w:r>
      <w:r w:rsidR="006872AE">
        <w:rPr>
          <w:rStyle w:val="FootnoteReference"/>
          <w:noProof/>
          <w:lang w:val="en-IE"/>
        </w:rPr>
        <w:footnoteReference w:id="123"/>
      </w:r>
      <w:r w:rsidR="006872AE">
        <w:rPr>
          <w:noProof/>
          <w:lang w:val="en-IE"/>
        </w:rPr>
        <w:t>)</w:t>
      </w:r>
      <w:r w:rsidRPr="004C3674">
        <w:rPr>
          <w:noProof/>
          <w:lang w:val="en-IE"/>
        </w:rPr>
        <w:t xml:space="preserve">, LPG and LNG vehicles in the EU’s HGV stock drops from virtually 100% in 2015, to 62-64% in 2040 and 21-29% in 2050 (depending on the scenario). These vehicles are replaced mostly by battery-electric and </w:t>
      </w:r>
      <w:r w:rsidR="00AA2DF9">
        <w:rPr>
          <w:noProof/>
          <w:lang w:val="en-IE"/>
        </w:rPr>
        <w:t xml:space="preserve">hydrogen </w:t>
      </w:r>
      <w:r w:rsidRPr="004C3674">
        <w:rPr>
          <w:noProof/>
          <w:lang w:val="en-IE"/>
        </w:rPr>
        <w:t xml:space="preserve">HGVs. The share of battery-electric vehicles in the HGV stock increases to 24-25% in 2040 and 45-48% in 2050, and the share of </w:t>
      </w:r>
      <w:r w:rsidR="00B45433">
        <w:rPr>
          <w:noProof/>
          <w:lang w:val="en-IE"/>
        </w:rPr>
        <w:t>hydrogen</w:t>
      </w:r>
      <w:r w:rsidRPr="004C3674">
        <w:rPr>
          <w:noProof/>
          <w:lang w:val="en-IE"/>
        </w:rPr>
        <w:t xml:space="preserve"> HGVs increases to 12-14% in 2040 and 26-31% in 2050. As already mentioned above, however, there is still a significant percentage of </w:t>
      </w:r>
      <w:r w:rsidR="0066480E" w:rsidRPr="0066480E">
        <w:rPr>
          <w:noProof/>
          <w:lang w:val="en-IE"/>
        </w:rPr>
        <w:t>diesel conventional, diesel hybrid and ICE gaseous vehicles</w:t>
      </w:r>
      <w:r w:rsidRPr="004C3674">
        <w:rPr>
          <w:noProof/>
          <w:lang w:val="en-IE"/>
        </w:rPr>
        <w:t xml:space="preserve"> left in 2050 (21-29% of the HGV stock, depending on the scenario). </w:t>
      </w:r>
      <w:r w:rsidR="00AE416D" w:rsidRPr="004C3674">
        <w:rPr>
          <w:noProof/>
          <w:lang w:val="en-IE"/>
        </w:rPr>
        <w:t>T</w:t>
      </w:r>
      <w:r w:rsidRPr="004C3674">
        <w:rPr>
          <w:noProof/>
          <w:lang w:val="en-IE"/>
        </w:rPr>
        <w:t>he differences between scenarios</w:t>
      </w:r>
      <w:r w:rsidR="002011C3" w:rsidRPr="004C3674">
        <w:rPr>
          <w:noProof/>
          <w:lang w:val="en-IE"/>
        </w:rPr>
        <w:t>,</w:t>
      </w:r>
      <w:r w:rsidRPr="004C3674">
        <w:rPr>
          <w:noProof/>
          <w:lang w:val="en-IE"/>
        </w:rPr>
        <w:t xml:space="preserve"> particularly observed in 2050</w:t>
      </w:r>
      <w:r w:rsidR="002011C3" w:rsidRPr="004C3674">
        <w:rPr>
          <w:noProof/>
          <w:lang w:val="en-IE"/>
        </w:rPr>
        <w:t>,</w:t>
      </w:r>
      <w:r w:rsidRPr="004C3674">
        <w:rPr>
          <w:noProof/>
          <w:lang w:val="en-IE"/>
        </w:rPr>
        <w:t xml:space="preserve"> are mainly due to differen</w:t>
      </w:r>
      <w:r w:rsidR="00A575E9" w:rsidRPr="004C3674">
        <w:rPr>
          <w:noProof/>
          <w:lang w:val="en-IE"/>
        </w:rPr>
        <w:t>t</w:t>
      </w:r>
      <w:r w:rsidRPr="004C3674">
        <w:rPr>
          <w:noProof/>
          <w:lang w:val="en-IE"/>
        </w:rPr>
        <w:t xml:space="preserve"> assumptions on HDV CO2 standards from 2040 onwards (see </w:t>
      </w:r>
      <w:r w:rsidR="00457CDB" w:rsidRPr="004C3674">
        <w:rPr>
          <w:noProof/>
          <w:lang w:val="en-IE"/>
        </w:rPr>
        <w:t>Annex 6</w:t>
      </w:r>
      <w:r w:rsidRPr="004C3674">
        <w:rPr>
          <w:noProof/>
          <w:lang w:val="en-IE"/>
        </w:rPr>
        <w:t xml:space="preserve">). S1 is the scenario assuming the least stringent CO2 standards in the 2040-2050 period, and S3 is the scenario assuming the most stringent ones. This is why the S1 scenario shows the largest share of </w:t>
      </w:r>
      <w:r w:rsidR="006A1905" w:rsidRPr="006A1905">
        <w:rPr>
          <w:noProof/>
          <w:lang w:val="en-IE"/>
        </w:rPr>
        <w:t>diesel conventional, diesel hybrid and ICE gaseous</w:t>
      </w:r>
      <w:r w:rsidRPr="004C3674">
        <w:rPr>
          <w:noProof/>
          <w:lang w:val="en-IE"/>
        </w:rPr>
        <w:t xml:space="preserve"> vehicles (29%) and the smallest share of battery-electric and </w:t>
      </w:r>
      <w:r w:rsidR="00B20D5F">
        <w:rPr>
          <w:noProof/>
          <w:lang w:val="en-IE"/>
        </w:rPr>
        <w:t>hydrogen</w:t>
      </w:r>
      <w:r w:rsidRPr="004C3674">
        <w:rPr>
          <w:noProof/>
          <w:lang w:val="en-IE"/>
        </w:rPr>
        <w:t xml:space="preserve"> vehicles (71% taken together) in 2050, whereas S3 is the scenario showing the smallest share of </w:t>
      </w:r>
      <w:r w:rsidR="009744B0" w:rsidRPr="009744B0">
        <w:rPr>
          <w:noProof/>
          <w:lang w:val="en-IE"/>
        </w:rPr>
        <w:t>diesel conventional, diesel hybrid and ICE gaseous</w:t>
      </w:r>
      <w:r w:rsidRPr="004C3674">
        <w:rPr>
          <w:noProof/>
          <w:lang w:val="en-IE"/>
        </w:rPr>
        <w:t xml:space="preserve"> vehicles (21%) and the biggest share of battery-electric and </w:t>
      </w:r>
      <w:r w:rsidR="009744B0">
        <w:rPr>
          <w:noProof/>
          <w:lang w:val="en-IE"/>
        </w:rPr>
        <w:t>hydrogen</w:t>
      </w:r>
      <w:r w:rsidRPr="004C3674">
        <w:rPr>
          <w:noProof/>
          <w:lang w:val="en-IE"/>
        </w:rPr>
        <w:t xml:space="preserve"> vehicles </w:t>
      </w:r>
      <w:r w:rsidR="0007172F" w:rsidRPr="004C3674">
        <w:rPr>
          <w:noProof/>
          <w:lang w:val="en-IE"/>
        </w:rPr>
        <w:t xml:space="preserve">that year </w:t>
      </w:r>
      <w:r w:rsidRPr="004C3674">
        <w:rPr>
          <w:noProof/>
          <w:lang w:val="en-IE"/>
        </w:rPr>
        <w:t xml:space="preserve">(79% in aggregate). </w:t>
      </w:r>
    </w:p>
    <w:p w14:paraId="537D07EF" w14:textId="2A415EDE" w:rsidR="00B87618" w:rsidRPr="008B5768" w:rsidRDefault="00B87618" w:rsidP="00B87618">
      <w:pPr>
        <w:rPr>
          <w:noProof/>
          <w:lang w:val="en-IE"/>
        </w:rPr>
      </w:pPr>
      <w:r w:rsidRPr="004C3674">
        <w:rPr>
          <w:noProof/>
          <w:lang w:val="en-IE"/>
        </w:rPr>
        <w:t xml:space="preserve">As a result of the fleet transformation described above, the HGV </w:t>
      </w:r>
      <w:r w:rsidR="004160B4" w:rsidRPr="004C3674">
        <w:rPr>
          <w:noProof/>
          <w:lang w:val="en-IE"/>
        </w:rPr>
        <w:t>fleet</w:t>
      </w:r>
      <w:r w:rsidRPr="004C3674">
        <w:rPr>
          <w:noProof/>
          <w:lang w:val="en-IE"/>
        </w:rPr>
        <w:t xml:space="preserve"> goes from consuming mostly only fossil fuels in 2015 (94% of the total amount of energy consumed by HGVs) to consuming mostly hydrogen and electricity (70-84% of the total energy consumption, depending on the scenario) and almost no fossil fuels in 2050 (see </w:t>
      </w:r>
      <w:r w:rsidR="004160B4" w:rsidRPr="004C3674">
        <w:rPr>
          <w:noProof/>
          <w:lang w:val="en-IE"/>
        </w:rPr>
        <w:fldChar w:fldCharType="begin"/>
      </w:r>
      <w:r w:rsidR="004160B4" w:rsidRPr="004C3674">
        <w:rPr>
          <w:noProof/>
          <w:lang w:val="en-IE"/>
        </w:rPr>
        <w:instrText xml:space="preserve"> REF _Ref146732147 \h  \* MERGEFORMAT </w:instrText>
      </w:r>
      <w:r w:rsidR="004160B4" w:rsidRPr="004C3674">
        <w:rPr>
          <w:noProof/>
          <w:lang w:val="en-IE"/>
        </w:rPr>
      </w:r>
      <w:r w:rsidR="004160B4" w:rsidRPr="004C3674">
        <w:rPr>
          <w:noProof/>
          <w:lang w:val="en-IE"/>
        </w:rPr>
        <w:fldChar w:fldCharType="separate"/>
      </w:r>
      <w:r w:rsidR="00170A3C">
        <w:rPr>
          <w:noProof/>
        </w:rPr>
        <w:t>Figure 70</w:t>
      </w:r>
      <w:r w:rsidR="004160B4" w:rsidRPr="004C3674">
        <w:rPr>
          <w:noProof/>
          <w:lang w:val="en-IE"/>
        </w:rPr>
        <w:fldChar w:fldCharType="end"/>
      </w:r>
      <w:r w:rsidRPr="004C3674">
        <w:rPr>
          <w:noProof/>
          <w:lang w:val="en-IE"/>
        </w:rPr>
        <w:t xml:space="preserve">). Moreover, </w:t>
      </w:r>
      <w:r w:rsidR="001326A6" w:rsidRPr="004C3674">
        <w:rPr>
          <w:noProof/>
          <w:lang w:val="en-IE"/>
        </w:rPr>
        <w:t xml:space="preserve">as in the case of </w:t>
      </w:r>
      <w:r w:rsidR="00FD3AD7" w:rsidRPr="004C3674">
        <w:rPr>
          <w:noProof/>
          <w:lang w:val="en-IE"/>
        </w:rPr>
        <w:t xml:space="preserve">passenger </w:t>
      </w:r>
      <w:r w:rsidR="001326A6" w:rsidRPr="004C3674">
        <w:rPr>
          <w:noProof/>
          <w:lang w:val="en-IE"/>
        </w:rPr>
        <w:t>cars and vans</w:t>
      </w:r>
      <w:r w:rsidRPr="004C3674">
        <w:rPr>
          <w:noProof/>
          <w:lang w:val="en-IE"/>
        </w:rPr>
        <w:t xml:space="preserve">, the </w:t>
      </w:r>
      <w:r w:rsidR="00A32285" w:rsidRPr="00A32285">
        <w:rPr>
          <w:noProof/>
          <w:lang w:val="en-IE"/>
        </w:rPr>
        <w:t>diesel conventional, diesel hybrid and ICE gaseous vehicles</w:t>
      </w:r>
      <w:r w:rsidRPr="004C3674">
        <w:rPr>
          <w:noProof/>
          <w:lang w:val="en-IE"/>
        </w:rPr>
        <w:t xml:space="preserve"> remaining in </w:t>
      </w:r>
      <w:r w:rsidR="0012440C">
        <w:rPr>
          <w:noProof/>
          <w:lang w:val="en-IE"/>
        </w:rPr>
        <w:t xml:space="preserve">the fleet </w:t>
      </w:r>
      <w:r w:rsidRPr="004C3674">
        <w:rPr>
          <w:noProof/>
          <w:lang w:val="en-IE"/>
        </w:rPr>
        <w:t xml:space="preserve">in 2040 and 2050 use fuels that have a significantly lower carbon intensity than in 2015, owing to the increased consumption of </w:t>
      </w:r>
      <w:r w:rsidR="00456B66">
        <w:rPr>
          <w:noProof/>
          <w:lang w:val="en-IE"/>
        </w:rPr>
        <w:t xml:space="preserve">liquid </w:t>
      </w:r>
      <w:r w:rsidRPr="004C3674">
        <w:rPr>
          <w:noProof/>
          <w:lang w:val="en-IE"/>
        </w:rPr>
        <w:t>biofuels</w:t>
      </w:r>
      <w:r w:rsidR="00456B66">
        <w:rPr>
          <w:noProof/>
          <w:lang w:val="en-IE"/>
        </w:rPr>
        <w:t>, biogas</w:t>
      </w:r>
      <w:r w:rsidRPr="004C3674">
        <w:rPr>
          <w:noProof/>
          <w:lang w:val="en-IE"/>
        </w:rPr>
        <w:t xml:space="preserve"> and e-fuels relative to fossil fuels. This is particularly important in 2040, with significant differences in carbon intensity between the S1, S2 and S3 scenarios. </w:t>
      </w:r>
      <w:r w:rsidR="001326A6" w:rsidRPr="004C3674">
        <w:rPr>
          <w:noProof/>
          <w:lang w:val="en-IE"/>
        </w:rPr>
        <w:t>More specifically,</w:t>
      </w:r>
      <w:r w:rsidRPr="004C3674">
        <w:rPr>
          <w:noProof/>
          <w:lang w:val="en-IE"/>
        </w:rPr>
        <w:t xml:space="preserve"> the carbon intensity of fuels used by </w:t>
      </w:r>
      <w:r w:rsidR="00A40CD1" w:rsidRPr="00A40CD1">
        <w:rPr>
          <w:noProof/>
          <w:lang w:val="en-IE"/>
        </w:rPr>
        <w:t>diesel conventional, diesel hybrid and ICE gaseous vehicles</w:t>
      </w:r>
      <w:r w:rsidRPr="004C3674">
        <w:rPr>
          <w:noProof/>
          <w:lang w:val="en-IE"/>
        </w:rPr>
        <w:t xml:space="preserve"> in 2040 is highest in the S1 scenario </w:t>
      </w:r>
      <w:r w:rsidR="00F12792" w:rsidRPr="004C3674">
        <w:rPr>
          <w:noProof/>
          <w:lang w:val="en-IE"/>
        </w:rPr>
        <w:t xml:space="preserve">(24% lower </w:t>
      </w:r>
      <w:r w:rsidR="009E6A7D" w:rsidRPr="004C3674">
        <w:rPr>
          <w:noProof/>
          <w:lang w:val="en-IE"/>
        </w:rPr>
        <w:t xml:space="preserve">intensity </w:t>
      </w:r>
      <w:r w:rsidR="00F12792" w:rsidRPr="004C3674">
        <w:rPr>
          <w:noProof/>
          <w:lang w:val="en-IE"/>
        </w:rPr>
        <w:t>than</w:t>
      </w:r>
      <w:r w:rsidRPr="004C3674">
        <w:rPr>
          <w:noProof/>
          <w:lang w:val="en-IE"/>
        </w:rPr>
        <w:t xml:space="preserve"> in </w:t>
      </w:r>
      <w:r w:rsidR="00F12792" w:rsidRPr="004C3674">
        <w:rPr>
          <w:noProof/>
          <w:lang w:val="en-IE"/>
        </w:rPr>
        <w:t xml:space="preserve">2015) and lowest in the S3 scenario (52% lower </w:t>
      </w:r>
      <w:r w:rsidR="009E6A7D" w:rsidRPr="004C3674">
        <w:rPr>
          <w:noProof/>
          <w:lang w:val="en-IE"/>
        </w:rPr>
        <w:t xml:space="preserve">intensity </w:t>
      </w:r>
      <w:r w:rsidR="00F12792" w:rsidRPr="004C3674">
        <w:rPr>
          <w:noProof/>
          <w:lang w:val="en-IE"/>
        </w:rPr>
        <w:t>than in 2015)</w:t>
      </w:r>
      <w:r w:rsidRPr="004C3674">
        <w:rPr>
          <w:noProof/>
          <w:lang w:val="en-IE"/>
        </w:rPr>
        <w:t xml:space="preserve">. In 2050, instead, the remaining </w:t>
      </w:r>
      <w:r w:rsidR="00732537" w:rsidRPr="00732537">
        <w:rPr>
          <w:noProof/>
          <w:lang w:val="en-IE"/>
        </w:rPr>
        <w:t>diesel conventional, diesel hybrid and ICE gaseous vehicles</w:t>
      </w:r>
      <w:r w:rsidRPr="004C3674">
        <w:rPr>
          <w:noProof/>
          <w:lang w:val="en-IE"/>
        </w:rPr>
        <w:t xml:space="preserve"> use almost no fossil fuels in all three scenarios (see </w:t>
      </w:r>
      <w:r w:rsidR="009E6A7D" w:rsidRPr="004C3674">
        <w:rPr>
          <w:noProof/>
          <w:lang w:val="en-IE"/>
        </w:rPr>
        <w:fldChar w:fldCharType="begin"/>
      </w:r>
      <w:r w:rsidR="009E6A7D" w:rsidRPr="004C3674">
        <w:rPr>
          <w:noProof/>
          <w:lang w:val="en-IE"/>
        </w:rPr>
        <w:instrText xml:space="preserve"> REF _Ref146732147 \h  \* MERGEFORMAT </w:instrText>
      </w:r>
      <w:r w:rsidR="009E6A7D" w:rsidRPr="004C3674">
        <w:rPr>
          <w:noProof/>
          <w:lang w:val="en-IE"/>
        </w:rPr>
      </w:r>
      <w:r w:rsidR="009E6A7D" w:rsidRPr="004C3674">
        <w:rPr>
          <w:noProof/>
          <w:lang w:val="en-IE"/>
        </w:rPr>
        <w:fldChar w:fldCharType="separate"/>
      </w:r>
      <w:r w:rsidR="00170A3C">
        <w:rPr>
          <w:noProof/>
        </w:rPr>
        <w:t>Figure 70</w:t>
      </w:r>
      <w:r w:rsidR="009E6A7D" w:rsidRPr="004C3674">
        <w:rPr>
          <w:noProof/>
          <w:lang w:val="en-IE"/>
        </w:rPr>
        <w:fldChar w:fldCharType="end"/>
      </w:r>
      <w:r w:rsidRPr="004C3674">
        <w:rPr>
          <w:noProof/>
          <w:lang w:val="en-IE"/>
        </w:rPr>
        <w:t xml:space="preserve">); </w:t>
      </w:r>
      <w:r w:rsidR="003136FB" w:rsidRPr="004C3674">
        <w:rPr>
          <w:noProof/>
          <w:lang w:val="en-IE"/>
        </w:rPr>
        <w:t>hence</w:t>
      </w:r>
      <w:r w:rsidR="0059425F" w:rsidRPr="004C3674">
        <w:rPr>
          <w:noProof/>
          <w:lang w:val="en-IE"/>
        </w:rPr>
        <w:t>,</w:t>
      </w:r>
      <w:r w:rsidRPr="004C3674">
        <w:rPr>
          <w:noProof/>
          <w:lang w:val="en-IE"/>
        </w:rPr>
        <w:t xml:space="preserve"> the carbon intensity is similar </w:t>
      </w:r>
      <w:r w:rsidR="006006E3">
        <w:rPr>
          <w:noProof/>
          <w:lang w:val="en-IE"/>
        </w:rPr>
        <w:t>in the three main</w:t>
      </w:r>
      <w:r w:rsidR="006006E3" w:rsidRPr="004C3674">
        <w:rPr>
          <w:noProof/>
          <w:lang w:val="en-IE"/>
        </w:rPr>
        <w:t xml:space="preserve"> </w:t>
      </w:r>
      <w:r w:rsidRPr="004C3674">
        <w:rPr>
          <w:noProof/>
          <w:lang w:val="en-IE"/>
        </w:rPr>
        <w:t>scenario</w:t>
      </w:r>
      <w:r w:rsidR="003136FB" w:rsidRPr="004C3674">
        <w:rPr>
          <w:noProof/>
          <w:lang w:val="en-IE"/>
        </w:rPr>
        <w:t>s</w:t>
      </w:r>
      <w:r w:rsidR="00F12792" w:rsidRPr="004C3674">
        <w:rPr>
          <w:noProof/>
          <w:lang w:val="en-IE"/>
        </w:rPr>
        <w:t xml:space="preserve"> (95</w:t>
      </w:r>
      <w:r w:rsidR="00CA0ACE">
        <w:rPr>
          <w:noProof/>
          <w:lang w:val="en-IE"/>
        </w:rPr>
        <w:t>-98</w:t>
      </w:r>
      <w:r w:rsidR="00F12792" w:rsidRPr="004C3674">
        <w:rPr>
          <w:noProof/>
          <w:lang w:val="en-IE"/>
        </w:rPr>
        <w:t>% lower than in 2015).</w:t>
      </w:r>
    </w:p>
    <w:p w14:paraId="6DA8B4ED" w14:textId="4B3BB4CE" w:rsidR="0059425F" w:rsidRPr="0059425F" w:rsidRDefault="00493DEA" w:rsidP="0059425F">
      <w:pPr>
        <w:rPr>
          <w:noProof/>
          <w:lang w:val="en-IE"/>
        </w:rPr>
      </w:pPr>
      <w:r>
        <w:rPr>
          <w:noProof/>
          <w:lang w:val="en-IE"/>
        </w:rPr>
        <w:t>Furthermore</w:t>
      </w:r>
      <w:r w:rsidR="0059425F" w:rsidRPr="0059425F">
        <w:rPr>
          <w:noProof/>
          <w:lang w:val="en-IE"/>
        </w:rPr>
        <w:t xml:space="preserve">, </w:t>
      </w:r>
      <w:r w:rsidR="0059425F" w:rsidRPr="004C3674">
        <w:rPr>
          <w:noProof/>
          <w:lang w:val="en-IE"/>
        </w:rPr>
        <w:t xml:space="preserve">it should be noted that the total amount of energy consumed by HGVs in the EU, which is almost 50 Mtoe in 2015, decreases by 29% in S1 and S2 and 32% in S3 in 2040, and by 36% in S1, 37% in S2 and 42% in S3 in 2050, </w:t>
      </w:r>
      <w:r w:rsidRPr="004C3674">
        <w:rPr>
          <w:noProof/>
          <w:lang w:val="en-IE"/>
        </w:rPr>
        <w:t>compared</w:t>
      </w:r>
      <w:r w:rsidR="0059425F" w:rsidRPr="004C3674">
        <w:rPr>
          <w:noProof/>
          <w:lang w:val="en-IE"/>
        </w:rPr>
        <w:t xml:space="preserve"> to 2015 (see </w:t>
      </w:r>
      <w:r w:rsidRPr="004C3674">
        <w:rPr>
          <w:noProof/>
          <w:lang w:val="en-IE"/>
        </w:rPr>
        <w:fldChar w:fldCharType="begin"/>
      </w:r>
      <w:r w:rsidRPr="004C3674">
        <w:rPr>
          <w:noProof/>
          <w:lang w:val="en-IE"/>
        </w:rPr>
        <w:instrText xml:space="preserve"> REF _Ref146732147 \h  \* MERGEFORMAT </w:instrText>
      </w:r>
      <w:r w:rsidRPr="004C3674">
        <w:rPr>
          <w:noProof/>
          <w:lang w:val="en-IE"/>
        </w:rPr>
      </w:r>
      <w:r w:rsidRPr="004C3674">
        <w:rPr>
          <w:noProof/>
          <w:lang w:val="en-IE"/>
        </w:rPr>
        <w:fldChar w:fldCharType="separate"/>
      </w:r>
      <w:r w:rsidR="00170A3C">
        <w:rPr>
          <w:noProof/>
        </w:rPr>
        <w:t>Figure 70</w:t>
      </w:r>
      <w:r w:rsidRPr="004C3674">
        <w:rPr>
          <w:noProof/>
          <w:lang w:val="en-IE"/>
        </w:rPr>
        <w:fldChar w:fldCharType="end"/>
      </w:r>
      <w:r w:rsidR="0059425F" w:rsidRPr="004C3674">
        <w:rPr>
          <w:noProof/>
          <w:lang w:val="en-IE"/>
        </w:rPr>
        <w:t xml:space="preserve">). This occurs even if the HGV transport activity (expressed in tonnes-km) increases by 35-41% and 40-49% (depending on the scenario) over the 2015-2040 and 2015-2050 periods, respectively (see Section </w:t>
      </w:r>
      <w:r w:rsidR="0059425F" w:rsidRPr="004C3674">
        <w:rPr>
          <w:noProof/>
          <w:lang w:val="en-IE"/>
        </w:rPr>
        <w:fldChar w:fldCharType="begin"/>
      </w:r>
      <w:r w:rsidR="0059425F" w:rsidRPr="004C3674">
        <w:rPr>
          <w:noProof/>
          <w:lang w:val="en-IE"/>
        </w:rPr>
        <w:instrText xml:space="preserve"> REF _Ref143242989 \r \h </w:instrText>
      </w:r>
      <w:r w:rsidR="00A639F6" w:rsidRPr="004C3674">
        <w:rPr>
          <w:noProof/>
          <w:lang w:val="en-IE"/>
        </w:rPr>
        <w:instrText xml:space="preserve"> \* MERGEFORMAT </w:instrText>
      </w:r>
      <w:r w:rsidR="0059425F" w:rsidRPr="004C3674">
        <w:rPr>
          <w:noProof/>
          <w:lang w:val="en-IE"/>
        </w:rPr>
      </w:r>
      <w:r w:rsidR="0059425F" w:rsidRPr="004C3674">
        <w:rPr>
          <w:noProof/>
          <w:lang w:val="en-IE"/>
        </w:rPr>
        <w:fldChar w:fldCharType="separate"/>
      </w:r>
      <w:r w:rsidR="00170A3C">
        <w:rPr>
          <w:noProof/>
          <w:lang w:val="en-IE"/>
        </w:rPr>
        <w:t>1.5.2</w:t>
      </w:r>
      <w:r w:rsidR="0059425F" w:rsidRPr="004C3674">
        <w:rPr>
          <w:noProof/>
          <w:lang w:val="en-IE"/>
        </w:rPr>
        <w:fldChar w:fldCharType="end"/>
      </w:r>
      <w:r w:rsidR="0059425F" w:rsidRPr="004C3674">
        <w:rPr>
          <w:noProof/>
          <w:lang w:val="en-IE"/>
        </w:rPr>
        <w:t xml:space="preserve">). </w:t>
      </w:r>
      <w:r w:rsidRPr="004C3674">
        <w:rPr>
          <w:noProof/>
          <w:lang w:val="en-IE"/>
        </w:rPr>
        <w:t>This</w:t>
      </w:r>
      <w:r w:rsidR="0059425F" w:rsidRPr="004C3674">
        <w:rPr>
          <w:noProof/>
          <w:lang w:val="en-IE"/>
        </w:rPr>
        <w:t xml:space="preserve"> </w:t>
      </w:r>
      <w:r w:rsidR="00472151">
        <w:rPr>
          <w:noProof/>
          <w:lang w:val="en-IE"/>
        </w:rPr>
        <w:t>is</w:t>
      </w:r>
      <w:r w:rsidR="0059425F" w:rsidRPr="004C3674">
        <w:rPr>
          <w:noProof/>
          <w:lang w:val="en-IE"/>
        </w:rPr>
        <w:t xml:space="preserve"> </w:t>
      </w:r>
      <w:r w:rsidR="000931BF">
        <w:rPr>
          <w:noProof/>
          <w:lang w:val="en-IE"/>
        </w:rPr>
        <w:t>mostly</w:t>
      </w:r>
      <w:r w:rsidR="0059425F" w:rsidRPr="004C3674">
        <w:rPr>
          <w:noProof/>
          <w:lang w:val="en-IE"/>
        </w:rPr>
        <w:t xml:space="preserve"> explained by the energy efficiency gains linked to electrification.</w:t>
      </w:r>
    </w:p>
    <w:p w14:paraId="7ECAF9EB" w14:textId="4DD44B93" w:rsidR="00E46086" w:rsidRDefault="00C60C47" w:rsidP="00BA5880">
      <w:pPr>
        <w:rPr>
          <w:noProof/>
          <w:color w:val="4472C4" w:themeColor="accent1"/>
          <w:lang w:val="en-IE"/>
        </w:rPr>
      </w:pPr>
      <w:r w:rsidRPr="00C60C47">
        <w:rPr>
          <w:noProof/>
          <w:lang w:val="en-IE"/>
        </w:rPr>
        <w:t xml:space="preserve">In </w:t>
      </w:r>
      <w:r w:rsidR="00C459D4">
        <w:rPr>
          <w:noProof/>
          <w:lang w:val="en-IE"/>
        </w:rPr>
        <w:t>LIFE</w:t>
      </w:r>
      <w:r w:rsidRPr="00C60C47">
        <w:rPr>
          <w:noProof/>
          <w:lang w:val="en-IE"/>
        </w:rPr>
        <w:t xml:space="preserve">, the total amount of energy consumed by HGVs decreases over time a bit more than in the </w:t>
      </w:r>
      <w:r w:rsidR="00B24B9E">
        <w:rPr>
          <w:noProof/>
          <w:lang w:val="en-IE"/>
        </w:rPr>
        <w:t xml:space="preserve">S1 and </w:t>
      </w:r>
      <w:r w:rsidRPr="00482466">
        <w:rPr>
          <w:noProof/>
          <w:lang w:val="en-IE"/>
        </w:rPr>
        <w:t>S2 scenario</w:t>
      </w:r>
      <w:r w:rsidR="00482466" w:rsidRPr="00482466">
        <w:rPr>
          <w:noProof/>
          <w:lang w:val="en-IE"/>
        </w:rPr>
        <w:t>s</w:t>
      </w:r>
      <w:r w:rsidRPr="004C3674">
        <w:rPr>
          <w:noProof/>
          <w:lang w:val="en-IE"/>
        </w:rPr>
        <w:t>, mainly because of a slightly lower level of HGV transport activity (expressed in tonnes-km)</w:t>
      </w:r>
      <w:r w:rsidR="00724923" w:rsidRPr="004C3674">
        <w:rPr>
          <w:noProof/>
          <w:lang w:val="en-IE"/>
        </w:rPr>
        <w:t>,</w:t>
      </w:r>
      <w:r w:rsidRPr="004C3674">
        <w:rPr>
          <w:noProof/>
          <w:lang w:val="en-IE"/>
        </w:rPr>
        <w:t xml:space="preserve"> due to a shift to other modes, such as rail. </w:t>
      </w:r>
      <w:r w:rsidR="00B24B9E">
        <w:rPr>
          <w:noProof/>
          <w:lang w:val="en-IE"/>
        </w:rPr>
        <w:t xml:space="preserve">However, the total energy consumption in LIFE is slightly higher than in S3, mainly </w:t>
      </w:r>
      <w:r w:rsidR="00A95BA9">
        <w:rPr>
          <w:noProof/>
          <w:lang w:val="en-IE"/>
        </w:rPr>
        <w:t>because of</w:t>
      </w:r>
      <w:r w:rsidR="00B24B9E">
        <w:rPr>
          <w:noProof/>
          <w:lang w:val="en-IE"/>
        </w:rPr>
        <w:t xml:space="preserve"> </w:t>
      </w:r>
      <w:r w:rsidR="00A95BA9">
        <w:rPr>
          <w:noProof/>
          <w:lang w:val="en-IE"/>
        </w:rPr>
        <w:t>the</w:t>
      </w:r>
      <w:r w:rsidR="00B24B9E">
        <w:rPr>
          <w:noProof/>
          <w:lang w:val="en-IE"/>
        </w:rPr>
        <w:t xml:space="preserve"> </w:t>
      </w:r>
      <w:r w:rsidR="00A95BA9">
        <w:rPr>
          <w:noProof/>
          <w:lang w:val="en-IE"/>
        </w:rPr>
        <w:t>somewhat</w:t>
      </w:r>
      <w:r w:rsidR="00B24B9E">
        <w:rPr>
          <w:noProof/>
          <w:lang w:val="en-IE"/>
        </w:rPr>
        <w:t xml:space="preserve"> higher </w:t>
      </w:r>
      <w:r w:rsidR="00B24B9E" w:rsidRPr="004C3674">
        <w:rPr>
          <w:noProof/>
          <w:lang w:val="en-IE"/>
        </w:rPr>
        <w:t>level of HGV transport activity</w:t>
      </w:r>
      <w:r w:rsidR="00B24B9E">
        <w:rPr>
          <w:noProof/>
          <w:lang w:val="en-IE"/>
        </w:rPr>
        <w:t>.</w:t>
      </w:r>
      <w:r w:rsidR="00B24B9E" w:rsidRPr="004C3674">
        <w:rPr>
          <w:noProof/>
          <w:lang w:val="en-IE"/>
        </w:rPr>
        <w:t xml:space="preserve"> </w:t>
      </w:r>
      <w:r w:rsidR="00B24B9E">
        <w:rPr>
          <w:noProof/>
          <w:lang w:val="en-IE"/>
        </w:rPr>
        <w:t>More specifically, t</w:t>
      </w:r>
      <w:r w:rsidRPr="004C3674">
        <w:rPr>
          <w:noProof/>
          <w:lang w:val="en-IE"/>
        </w:rPr>
        <w:t>he total energy consumption drops by 3</w:t>
      </w:r>
      <w:r w:rsidR="009F3CBF">
        <w:rPr>
          <w:noProof/>
          <w:lang w:val="en-IE"/>
        </w:rPr>
        <w:t>2</w:t>
      </w:r>
      <w:r w:rsidRPr="004C3674">
        <w:rPr>
          <w:noProof/>
          <w:lang w:val="en-IE"/>
        </w:rPr>
        <w:t xml:space="preserve">% in 2040 and </w:t>
      </w:r>
      <w:r w:rsidR="00B24B9E">
        <w:rPr>
          <w:noProof/>
          <w:lang w:val="en-IE"/>
        </w:rPr>
        <w:t>40</w:t>
      </w:r>
      <w:r w:rsidRPr="004C3674">
        <w:rPr>
          <w:noProof/>
          <w:lang w:val="en-IE"/>
        </w:rPr>
        <w:t xml:space="preserve">% in 2050 compared to 2015 (i.e., </w:t>
      </w:r>
      <w:r w:rsidR="00B24B9E">
        <w:rPr>
          <w:noProof/>
          <w:lang w:val="en-IE"/>
        </w:rPr>
        <w:t>3</w:t>
      </w:r>
      <w:r w:rsidRPr="004C3674">
        <w:rPr>
          <w:noProof/>
          <w:lang w:val="en-IE"/>
        </w:rPr>
        <w:t xml:space="preserve"> percentage points more than in </w:t>
      </w:r>
      <w:r w:rsidR="00B24B9E">
        <w:rPr>
          <w:noProof/>
          <w:lang w:val="en-IE"/>
        </w:rPr>
        <w:t xml:space="preserve">S1 and </w:t>
      </w:r>
      <w:r w:rsidRPr="004C3674">
        <w:rPr>
          <w:noProof/>
          <w:lang w:val="en-IE"/>
        </w:rPr>
        <w:t xml:space="preserve">S2 </w:t>
      </w:r>
      <w:r w:rsidR="00B24B9E">
        <w:rPr>
          <w:noProof/>
          <w:lang w:val="en-IE"/>
        </w:rPr>
        <w:t xml:space="preserve">in 2040 and </w:t>
      </w:r>
      <w:r w:rsidR="00C10ACC">
        <w:rPr>
          <w:noProof/>
          <w:lang w:val="en-IE"/>
        </w:rPr>
        <w:t>3-4</w:t>
      </w:r>
      <w:r w:rsidR="00B24B9E">
        <w:rPr>
          <w:noProof/>
          <w:lang w:val="en-IE"/>
        </w:rPr>
        <w:t xml:space="preserve"> pp </w:t>
      </w:r>
      <w:r w:rsidR="00C10ACC">
        <w:rPr>
          <w:noProof/>
          <w:lang w:val="en-IE"/>
        </w:rPr>
        <w:t xml:space="preserve">more in </w:t>
      </w:r>
      <w:r w:rsidR="00B24B9E">
        <w:rPr>
          <w:noProof/>
          <w:lang w:val="en-IE"/>
        </w:rPr>
        <w:t xml:space="preserve">2050, and 0.1 pp less than in S3 in </w:t>
      </w:r>
      <w:r w:rsidR="006C3B99">
        <w:rPr>
          <w:noProof/>
        </w:rPr>
        <w:t xml:space="preserve">2040 and 2 pp </w:t>
      </w:r>
      <w:r w:rsidR="008619DB">
        <w:rPr>
          <w:noProof/>
        </w:rPr>
        <w:t>l</w:t>
      </w:r>
      <w:r w:rsidR="006C3B99">
        <w:rPr>
          <w:noProof/>
        </w:rPr>
        <w:t>e</w:t>
      </w:r>
      <w:r w:rsidR="008619DB">
        <w:rPr>
          <w:noProof/>
        </w:rPr>
        <w:t>ss</w:t>
      </w:r>
      <w:r w:rsidR="006C3B99">
        <w:rPr>
          <w:noProof/>
        </w:rPr>
        <w:t xml:space="preserve"> in 2050</w:t>
      </w:r>
      <w:r w:rsidRPr="00030F01">
        <w:rPr>
          <w:noProof/>
        </w:rPr>
        <w:t>).</w:t>
      </w:r>
      <w:r w:rsidR="00A95BA9" w:rsidRPr="00030F01">
        <w:rPr>
          <w:noProof/>
        </w:rPr>
        <w:t xml:space="preserve"> </w:t>
      </w:r>
      <w:r w:rsidR="00030F01" w:rsidRPr="00030F01">
        <w:rPr>
          <w:noProof/>
        </w:rPr>
        <w:t>In 2040, t</w:t>
      </w:r>
      <w:r w:rsidR="00030F01" w:rsidRPr="00030F01">
        <w:rPr>
          <w:noProof/>
          <w:lang w:val="en-IE"/>
        </w:rPr>
        <w:t xml:space="preserve">he fuel mix </w:t>
      </w:r>
      <w:r w:rsidR="00FF7AC6">
        <w:rPr>
          <w:noProof/>
          <w:lang w:val="en-IE"/>
        </w:rPr>
        <w:t xml:space="preserve">in LIFE </w:t>
      </w:r>
      <w:r w:rsidR="00FA22B4">
        <w:rPr>
          <w:noProof/>
          <w:lang w:val="en-IE"/>
        </w:rPr>
        <w:t xml:space="preserve">has </w:t>
      </w:r>
      <w:r w:rsidR="00030F01" w:rsidRPr="00030F01">
        <w:rPr>
          <w:noProof/>
          <w:lang w:val="en-IE"/>
        </w:rPr>
        <w:t xml:space="preserve">similar </w:t>
      </w:r>
      <w:r w:rsidR="00FA22B4">
        <w:rPr>
          <w:noProof/>
          <w:lang w:val="en-IE"/>
        </w:rPr>
        <w:t xml:space="preserve">characteristics </w:t>
      </w:r>
      <w:r w:rsidR="00030F01" w:rsidRPr="00030F01">
        <w:rPr>
          <w:noProof/>
          <w:lang w:val="en-IE"/>
        </w:rPr>
        <w:t>to th</w:t>
      </w:r>
      <w:r w:rsidR="00FA22B4">
        <w:rPr>
          <w:noProof/>
          <w:lang w:val="en-IE"/>
        </w:rPr>
        <w:t>e fuel mix</w:t>
      </w:r>
      <w:r w:rsidR="00030F01" w:rsidRPr="00030F01">
        <w:rPr>
          <w:noProof/>
          <w:lang w:val="en-IE"/>
        </w:rPr>
        <w:t xml:space="preserve"> </w:t>
      </w:r>
      <w:r w:rsidR="005800E0">
        <w:rPr>
          <w:noProof/>
          <w:lang w:val="en-IE"/>
        </w:rPr>
        <w:t>of both</w:t>
      </w:r>
      <w:r w:rsidR="00030F01" w:rsidRPr="00030F01">
        <w:rPr>
          <w:noProof/>
          <w:lang w:val="en-IE"/>
        </w:rPr>
        <w:t xml:space="preserve"> the </w:t>
      </w:r>
      <w:r w:rsidR="00030F01" w:rsidRPr="00030F01">
        <w:rPr>
          <w:noProof/>
        </w:rPr>
        <w:t>S2</w:t>
      </w:r>
      <w:r w:rsidR="00E1162C">
        <w:rPr>
          <w:noProof/>
        </w:rPr>
        <w:t xml:space="preserve"> and S3</w:t>
      </w:r>
      <w:r w:rsidR="00030F01" w:rsidRPr="00030F01">
        <w:rPr>
          <w:noProof/>
          <w:lang w:val="en-IE"/>
        </w:rPr>
        <w:t xml:space="preserve"> scenario</w:t>
      </w:r>
      <w:r w:rsidR="00E1162C">
        <w:rPr>
          <w:noProof/>
          <w:lang w:val="en-IE"/>
        </w:rPr>
        <w:t>s</w:t>
      </w:r>
      <w:r w:rsidR="00030F01" w:rsidRPr="00030F01">
        <w:rPr>
          <w:noProof/>
          <w:lang w:val="en-IE"/>
        </w:rPr>
        <w:t xml:space="preserve"> (in relative terms)</w:t>
      </w:r>
      <w:r w:rsidR="00030F01" w:rsidRPr="00030F01">
        <w:rPr>
          <w:noProof/>
        </w:rPr>
        <w:t>.</w:t>
      </w:r>
    </w:p>
    <w:p w14:paraId="6D7B783C" w14:textId="016BB78F" w:rsidR="00585498" w:rsidRPr="00E46086" w:rsidRDefault="00E46086" w:rsidP="00DB0C26">
      <w:pPr>
        <w:pStyle w:val="Caption"/>
        <w:rPr>
          <w:noProof/>
        </w:rPr>
      </w:pPr>
      <w:bookmarkStart w:id="354" w:name="_Ref143331489"/>
      <w:bookmarkStart w:id="355" w:name="_Ref146731427"/>
      <w:bookmarkStart w:id="356" w:name="_Toc157679817"/>
      <w:r>
        <w:rPr>
          <w:noProof/>
        </w:rPr>
        <w:t xml:space="preserve">Figure </w:t>
      </w:r>
      <w:bookmarkEnd w:id="354"/>
      <w:r w:rsidR="00F2742D">
        <w:rPr>
          <w:noProof/>
        </w:rPr>
        <w:fldChar w:fldCharType="begin"/>
      </w:r>
      <w:r w:rsidR="00F2742D">
        <w:rPr>
          <w:noProof/>
        </w:rPr>
        <w:instrText xml:space="preserve"> SEQ Figure \* ARABIC </w:instrText>
      </w:r>
      <w:r w:rsidR="00F2742D">
        <w:rPr>
          <w:noProof/>
        </w:rPr>
        <w:fldChar w:fldCharType="separate"/>
      </w:r>
      <w:r w:rsidR="00170A3C">
        <w:rPr>
          <w:noProof/>
        </w:rPr>
        <w:t>69</w:t>
      </w:r>
      <w:r w:rsidR="00F2742D">
        <w:rPr>
          <w:noProof/>
        </w:rPr>
        <w:fldChar w:fldCharType="end"/>
      </w:r>
      <w:bookmarkEnd w:id="355"/>
      <w:r>
        <w:rPr>
          <w:noProof/>
        </w:rPr>
        <w:t xml:space="preserve">: </w:t>
      </w:r>
      <w:r w:rsidRPr="00E52E07">
        <w:rPr>
          <w:noProof/>
        </w:rPr>
        <w:t xml:space="preserve">Distribution of the EU </w:t>
      </w:r>
      <w:r>
        <w:rPr>
          <w:noProof/>
        </w:rPr>
        <w:t>HGV</w:t>
      </w:r>
      <w:r w:rsidRPr="00E52E07">
        <w:rPr>
          <w:noProof/>
        </w:rPr>
        <w:t xml:space="preserve"> stock </w:t>
      </w:r>
      <w:r w:rsidR="00F9205E">
        <w:rPr>
          <w:noProof/>
        </w:rPr>
        <w:t>by</w:t>
      </w:r>
      <w:r w:rsidRPr="00E52E07">
        <w:rPr>
          <w:noProof/>
        </w:rPr>
        <w:t xml:space="preserve"> type of drivetrain</w:t>
      </w:r>
      <w:bookmarkEnd w:id="356"/>
    </w:p>
    <w:p w14:paraId="6DB3CF4B" w14:textId="7B200FA6" w:rsidR="0030426B" w:rsidRDefault="0030426B" w:rsidP="00E46086">
      <w:pPr>
        <w:keepNext/>
        <w:jc w:val="center"/>
        <w:rPr>
          <w:noProof/>
        </w:rPr>
      </w:pPr>
      <w:r w:rsidRPr="0030426B">
        <w:rPr>
          <w:noProof/>
          <w:lang w:eastAsia="en-GB"/>
        </w:rPr>
        <w:drawing>
          <wp:inline distT="0" distB="0" distL="0" distR="0" wp14:anchorId="6EE2D5F6" wp14:editId="16A2B5AB">
            <wp:extent cx="5454650" cy="2374900"/>
            <wp:effectExtent l="0" t="0" r="0" b="63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5454650" cy="2374900"/>
                    </a:xfrm>
                    <a:prstGeom prst="rect">
                      <a:avLst/>
                    </a:prstGeom>
                    <a:noFill/>
                    <a:ln>
                      <a:noFill/>
                    </a:ln>
                  </pic:spPr>
                </pic:pic>
              </a:graphicData>
            </a:graphic>
          </wp:inline>
        </w:drawing>
      </w:r>
    </w:p>
    <w:p w14:paraId="121406F9" w14:textId="549C0492" w:rsidR="00DB0C26" w:rsidRPr="00F4296D" w:rsidRDefault="00DB0C26" w:rsidP="009925D5">
      <w:pPr>
        <w:pStyle w:val="CT-NOTE"/>
        <w:rPr>
          <w:noProof/>
        </w:rPr>
      </w:pPr>
      <w:r w:rsidRPr="00F4296D">
        <w:rPr>
          <w:noProof/>
        </w:rPr>
        <w:t xml:space="preserve">Note: </w:t>
      </w:r>
      <w:r w:rsidR="006A5E04">
        <w:rPr>
          <w:noProof/>
        </w:rPr>
        <w:t xml:space="preserve">*Diesel hybrid vehicles include plug-in hybrids. </w:t>
      </w:r>
      <w:r w:rsidR="00F4296D" w:rsidRPr="00F4296D">
        <w:rPr>
          <w:noProof/>
        </w:rPr>
        <w:t xml:space="preserve">**Hydrogen vehicles include fuel-cell vehicles and </w:t>
      </w:r>
      <w:r w:rsidR="00D87A20">
        <w:rPr>
          <w:noProof/>
        </w:rPr>
        <w:t>hydrogen ICE vehicles.</w:t>
      </w:r>
    </w:p>
    <w:p w14:paraId="5128E35F" w14:textId="65351A97" w:rsidR="00E46086" w:rsidRPr="00C63E27" w:rsidRDefault="00E46086" w:rsidP="00E87AB0">
      <w:pPr>
        <w:pStyle w:val="CT-SOURCE"/>
        <w:keepNext w:val="0"/>
        <w:rPr>
          <w:noProof/>
          <w:szCs w:val="18"/>
        </w:rPr>
      </w:pPr>
      <w:r w:rsidRPr="00C63E27">
        <w:rPr>
          <w:noProof/>
        </w:rPr>
        <w:t>Source: PRIMES.</w:t>
      </w:r>
    </w:p>
    <w:p w14:paraId="0A42CB05" w14:textId="107946A2" w:rsidR="00FD2E9E" w:rsidRPr="00402FB8" w:rsidRDefault="00E46086" w:rsidP="00402FB8">
      <w:pPr>
        <w:pStyle w:val="Caption"/>
        <w:rPr>
          <w:noProof/>
        </w:rPr>
      </w:pPr>
      <w:bookmarkStart w:id="357" w:name="_Ref143331529"/>
      <w:bookmarkStart w:id="358" w:name="_Ref146732147"/>
      <w:bookmarkStart w:id="359" w:name="_Toc157679818"/>
      <w:r>
        <w:rPr>
          <w:noProof/>
        </w:rPr>
        <w:t xml:space="preserve">Figure </w:t>
      </w:r>
      <w:bookmarkEnd w:id="357"/>
      <w:r w:rsidR="00F2742D">
        <w:rPr>
          <w:noProof/>
        </w:rPr>
        <w:fldChar w:fldCharType="begin"/>
      </w:r>
      <w:r w:rsidR="00F2742D">
        <w:rPr>
          <w:noProof/>
        </w:rPr>
        <w:instrText xml:space="preserve"> SEQ Figure \* ARABIC </w:instrText>
      </w:r>
      <w:r w:rsidR="00F2742D">
        <w:rPr>
          <w:noProof/>
        </w:rPr>
        <w:fldChar w:fldCharType="separate"/>
      </w:r>
      <w:r w:rsidR="00170A3C">
        <w:rPr>
          <w:noProof/>
        </w:rPr>
        <w:t>70</w:t>
      </w:r>
      <w:r w:rsidR="00F2742D">
        <w:rPr>
          <w:noProof/>
        </w:rPr>
        <w:fldChar w:fldCharType="end"/>
      </w:r>
      <w:bookmarkEnd w:id="358"/>
      <w:r>
        <w:rPr>
          <w:noProof/>
        </w:rPr>
        <w:t xml:space="preserve">: </w:t>
      </w:r>
      <w:r w:rsidR="00F9205E">
        <w:rPr>
          <w:noProof/>
        </w:rPr>
        <w:t xml:space="preserve">EU </w:t>
      </w:r>
      <w:r w:rsidR="00F445A3">
        <w:rPr>
          <w:noProof/>
        </w:rPr>
        <w:t>e</w:t>
      </w:r>
      <w:r w:rsidRPr="00B101FB">
        <w:rPr>
          <w:noProof/>
        </w:rPr>
        <w:t xml:space="preserve">nergy consumption </w:t>
      </w:r>
      <w:r>
        <w:rPr>
          <w:noProof/>
        </w:rPr>
        <w:t xml:space="preserve">by HGVs </w:t>
      </w:r>
      <w:r w:rsidR="001B3B79">
        <w:rPr>
          <w:noProof/>
        </w:rPr>
        <w:t>by</w:t>
      </w:r>
      <w:r w:rsidRPr="00B101FB">
        <w:rPr>
          <w:noProof/>
        </w:rPr>
        <w:t xml:space="preserve"> fuel</w:t>
      </w:r>
      <w:r w:rsidR="00FB23A7">
        <w:rPr>
          <w:noProof/>
        </w:rPr>
        <w:t>/energy carrier</w:t>
      </w:r>
      <w:r w:rsidRPr="00B101FB">
        <w:rPr>
          <w:noProof/>
        </w:rPr>
        <w:t xml:space="preserve"> type</w:t>
      </w:r>
      <w:bookmarkEnd w:id="359"/>
    </w:p>
    <w:p w14:paraId="546AB5FF" w14:textId="187F77E1" w:rsidR="00BD782D" w:rsidRPr="00801B9F" w:rsidRDefault="00BD782D" w:rsidP="00E46086">
      <w:pPr>
        <w:keepNext/>
        <w:jc w:val="center"/>
        <w:rPr>
          <w:noProof/>
          <w:lang w:val="en-IE"/>
        </w:rPr>
      </w:pPr>
      <w:r w:rsidRPr="00BD782D">
        <w:rPr>
          <w:noProof/>
          <w:lang w:eastAsia="en-GB"/>
        </w:rPr>
        <w:drawing>
          <wp:inline distT="0" distB="0" distL="0" distR="0" wp14:anchorId="753E848A" wp14:editId="7C9FB284">
            <wp:extent cx="5472430" cy="232473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472430" cy="2324735"/>
                    </a:xfrm>
                    <a:prstGeom prst="rect">
                      <a:avLst/>
                    </a:prstGeom>
                    <a:noFill/>
                    <a:ln>
                      <a:noFill/>
                    </a:ln>
                  </pic:spPr>
                </pic:pic>
              </a:graphicData>
            </a:graphic>
          </wp:inline>
        </w:drawing>
      </w:r>
    </w:p>
    <w:p w14:paraId="26B2D9EC" w14:textId="416E7B0C" w:rsidR="00E46086" w:rsidRDefault="00E46086" w:rsidP="00E87AB0">
      <w:pPr>
        <w:pStyle w:val="CT-SOURCE"/>
        <w:keepNext w:val="0"/>
        <w:rPr>
          <w:noProof/>
          <w:szCs w:val="18"/>
        </w:rPr>
      </w:pPr>
      <w:r w:rsidRPr="61BF51EC">
        <w:rPr>
          <w:noProof/>
        </w:rPr>
        <w:t>Source: PRIMES.</w:t>
      </w:r>
    </w:p>
    <w:p w14:paraId="3346202D" w14:textId="1ABA8E5B" w:rsidR="00FE16C2" w:rsidRDefault="00906120" w:rsidP="00F7719F">
      <w:pPr>
        <w:pStyle w:val="Heading4"/>
        <w:rPr>
          <w:noProof/>
        </w:rPr>
      </w:pPr>
      <w:r>
        <w:rPr>
          <w:noProof/>
        </w:rPr>
        <w:t xml:space="preserve"> </w:t>
      </w:r>
      <w:r w:rsidR="00FE16C2">
        <w:rPr>
          <w:noProof/>
        </w:rPr>
        <w:t>Other road transport</w:t>
      </w:r>
    </w:p>
    <w:p w14:paraId="1032720A" w14:textId="52CC9FAF" w:rsidR="00FE16C2" w:rsidRPr="004C3674" w:rsidRDefault="00FE16C2" w:rsidP="00FE16C2">
      <w:pPr>
        <w:rPr>
          <w:noProof/>
          <w:lang w:val="en-IE"/>
        </w:rPr>
      </w:pPr>
      <w:r w:rsidRPr="00FE16C2">
        <w:rPr>
          <w:noProof/>
          <w:lang w:val="en-IE"/>
        </w:rPr>
        <w:t xml:space="preserve">The EU’s </w:t>
      </w:r>
      <w:r w:rsidR="00497DF2">
        <w:rPr>
          <w:noProof/>
          <w:lang w:val="en-IE"/>
        </w:rPr>
        <w:t xml:space="preserve">fleet of </w:t>
      </w:r>
      <w:r w:rsidRPr="00FE16C2">
        <w:rPr>
          <w:noProof/>
          <w:lang w:val="en-IE"/>
        </w:rPr>
        <w:t>bus</w:t>
      </w:r>
      <w:r w:rsidR="00497DF2">
        <w:rPr>
          <w:noProof/>
          <w:lang w:val="en-IE"/>
        </w:rPr>
        <w:t>es</w:t>
      </w:r>
      <w:r w:rsidRPr="00FE16C2">
        <w:rPr>
          <w:noProof/>
          <w:lang w:val="en-IE"/>
        </w:rPr>
        <w:t xml:space="preserve"> and coach</w:t>
      </w:r>
      <w:r w:rsidR="00497DF2">
        <w:rPr>
          <w:noProof/>
          <w:lang w:val="en-IE"/>
        </w:rPr>
        <w:t>es</w:t>
      </w:r>
      <w:r w:rsidR="00437317">
        <w:rPr>
          <w:noProof/>
          <w:lang w:val="en-IE"/>
        </w:rPr>
        <w:t xml:space="preserve"> is</w:t>
      </w:r>
      <w:r w:rsidRPr="00FE16C2">
        <w:rPr>
          <w:noProof/>
          <w:lang w:val="en-IE"/>
        </w:rPr>
        <w:t xml:space="preserve"> projected to undergo significant changes between 2015 and 2050, driven </w:t>
      </w:r>
      <w:r w:rsidRPr="004C3674">
        <w:rPr>
          <w:noProof/>
          <w:lang w:val="en-IE"/>
        </w:rPr>
        <w:t>mainly by the proposed revision of the regulation on CO2 emission standards for heavy duty vehicles (</w:t>
      </w:r>
      <w:r w:rsidRPr="004C3674">
        <w:rPr>
          <w:rStyle w:val="FootnoteReference"/>
          <w:noProof/>
          <w:lang w:val="en-IE"/>
        </w:rPr>
        <w:footnoteReference w:id="124"/>
      </w:r>
      <w:r w:rsidRPr="004C3674">
        <w:rPr>
          <w:noProof/>
          <w:lang w:val="en-IE"/>
        </w:rPr>
        <w:t>). In 2015, th</w:t>
      </w:r>
      <w:r w:rsidR="00E5298D">
        <w:rPr>
          <w:noProof/>
          <w:lang w:val="en-IE"/>
        </w:rPr>
        <w:t>e</w:t>
      </w:r>
      <w:r w:rsidRPr="004C3674">
        <w:rPr>
          <w:noProof/>
          <w:lang w:val="en-IE"/>
        </w:rPr>
        <w:t xml:space="preserve"> fleet consisted almost entirely of </w:t>
      </w:r>
      <w:r w:rsidR="00731607">
        <w:rPr>
          <w:noProof/>
          <w:lang w:val="en-IE"/>
        </w:rPr>
        <w:t xml:space="preserve">diesel </w:t>
      </w:r>
      <w:r w:rsidRPr="004C3674">
        <w:rPr>
          <w:noProof/>
          <w:lang w:val="en-IE"/>
        </w:rPr>
        <w:t xml:space="preserve">ICE vehicles. However, </w:t>
      </w:r>
      <w:r w:rsidR="00ED5B32">
        <w:rPr>
          <w:noProof/>
          <w:lang w:val="en-IE"/>
        </w:rPr>
        <w:t>battery-</w:t>
      </w:r>
      <w:r w:rsidRPr="004C3674">
        <w:rPr>
          <w:noProof/>
          <w:lang w:val="en-IE"/>
        </w:rPr>
        <w:t xml:space="preserve">electric </w:t>
      </w:r>
      <w:r w:rsidR="00ED5B32">
        <w:rPr>
          <w:noProof/>
          <w:lang w:val="en-IE"/>
        </w:rPr>
        <w:t>and hydrogen</w:t>
      </w:r>
      <w:r w:rsidRPr="004C3674">
        <w:rPr>
          <w:noProof/>
          <w:lang w:val="en-IE"/>
        </w:rPr>
        <w:t xml:space="preserve"> vehicles are expected to largely replace </w:t>
      </w:r>
      <w:r w:rsidR="00E70B56">
        <w:rPr>
          <w:noProof/>
          <w:lang w:val="en-IE"/>
        </w:rPr>
        <w:t>this type of</w:t>
      </w:r>
      <w:r w:rsidRPr="004C3674">
        <w:rPr>
          <w:noProof/>
          <w:lang w:val="en-IE"/>
        </w:rPr>
        <w:t xml:space="preserve"> vehicles by 2050</w:t>
      </w:r>
      <w:r w:rsidR="00D873F9" w:rsidRPr="00D873F9">
        <w:rPr>
          <w:noProof/>
          <w:lang w:val="en-IE"/>
        </w:rPr>
        <w:t> (</w:t>
      </w:r>
      <w:r w:rsidR="00D873F9">
        <w:rPr>
          <w:rStyle w:val="FootnoteReference"/>
          <w:noProof/>
          <w:lang w:val="en-IE"/>
        </w:rPr>
        <w:footnoteReference w:id="125"/>
      </w:r>
      <w:r w:rsidR="00D873F9">
        <w:rPr>
          <w:noProof/>
          <w:lang w:val="en-IE"/>
        </w:rPr>
        <w:t>)</w:t>
      </w:r>
      <w:r w:rsidRPr="004C3674">
        <w:rPr>
          <w:noProof/>
          <w:lang w:val="en-IE"/>
        </w:rPr>
        <w:t>. Buses are used mostly</w:t>
      </w:r>
      <w:r w:rsidRPr="00497DF2">
        <w:rPr>
          <w:noProof/>
          <w:lang w:val="en-IE"/>
        </w:rPr>
        <w:t xml:space="preserve"> within urban areas, where </w:t>
      </w:r>
      <w:r w:rsidR="009A734E">
        <w:rPr>
          <w:noProof/>
          <w:lang w:val="en-IE"/>
        </w:rPr>
        <w:t>batter</w:t>
      </w:r>
      <w:r w:rsidR="00C53889">
        <w:rPr>
          <w:noProof/>
          <w:lang w:val="en-IE"/>
        </w:rPr>
        <w:t>y</w:t>
      </w:r>
      <w:r w:rsidR="00235EB8" w:rsidRPr="00497DF2">
        <w:rPr>
          <w:noProof/>
          <w:lang w:val="en-IE"/>
        </w:rPr>
        <w:t>-</w:t>
      </w:r>
      <w:r w:rsidR="00C53889">
        <w:rPr>
          <w:noProof/>
          <w:lang w:val="en-IE"/>
        </w:rPr>
        <w:t>electric</w:t>
      </w:r>
      <w:r w:rsidR="009A734E">
        <w:rPr>
          <w:noProof/>
          <w:lang w:val="en-IE"/>
        </w:rPr>
        <w:t xml:space="preserve"> </w:t>
      </w:r>
      <w:r w:rsidR="00235EB8">
        <w:rPr>
          <w:noProof/>
          <w:lang w:val="en-IE"/>
        </w:rPr>
        <w:t>vehicles are</w:t>
      </w:r>
      <w:r w:rsidRPr="00497DF2">
        <w:rPr>
          <w:noProof/>
          <w:lang w:val="en-IE"/>
        </w:rPr>
        <w:t xml:space="preserve"> generally a fully viable alternative, and this allows high shares of </w:t>
      </w:r>
      <w:r w:rsidR="00235EB8">
        <w:rPr>
          <w:noProof/>
          <w:lang w:val="en-IE"/>
        </w:rPr>
        <w:t xml:space="preserve">this type of </w:t>
      </w:r>
      <w:r w:rsidRPr="00497DF2">
        <w:rPr>
          <w:noProof/>
          <w:lang w:val="en-IE"/>
        </w:rPr>
        <w:t xml:space="preserve">vehicles. Instead, coaches are mainly used for long inter-urban trips, which imposes operational limitations on the use of battery-electric vehicles; as a result, </w:t>
      </w:r>
      <w:r w:rsidR="00497DF2" w:rsidRPr="00497DF2">
        <w:rPr>
          <w:noProof/>
          <w:lang w:val="en-IE"/>
        </w:rPr>
        <w:t xml:space="preserve">the share of </w:t>
      </w:r>
      <w:r w:rsidR="00EA4FA1">
        <w:rPr>
          <w:noProof/>
          <w:lang w:val="en-IE"/>
        </w:rPr>
        <w:t>hydrogen</w:t>
      </w:r>
      <w:r w:rsidRPr="00497DF2">
        <w:rPr>
          <w:noProof/>
          <w:lang w:val="en-IE"/>
        </w:rPr>
        <w:t xml:space="preserve"> vehicles </w:t>
      </w:r>
      <w:r w:rsidR="00497DF2" w:rsidRPr="00497DF2">
        <w:rPr>
          <w:noProof/>
          <w:lang w:val="en-IE"/>
        </w:rPr>
        <w:t xml:space="preserve">in </w:t>
      </w:r>
      <w:r w:rsidR="00497DF2" w:rsidRPr="004C3674">
        <w:rPr>
          <w:noProof/>
          <w:lang w:val="en-IE"/>
        </w:rPr>
        <w:t>the fleet is higher for coaches than for buses</w:t>
      </w:r>
      <w:r w:rsidRPr="004C3674">
        <w:rPr>
          <w:noProof/>
          <w:lang w:val="en-IE"/>
        </w:rPr>
        <w:t xml:space="preserve">. </w:t>
      </w:r>
      <w:r w:rsidR="000718E6" w:rsidRPr="004C3674">
        <w:rPr>
          <w:noProof/>
          <w:lang w:val="en-IE"/>
        </w:rPr>
        <w:t>I</w:t>
      </w:r>
      <w:r w:rsidRPr="004C3674">
        <w:rPr>
          <w:noProof/>
          <w:lang w:val="en-IE"/>
        </w:rPr>
        <w:t xml:space="preserve">n the S1, S2 and S3 scenarios, the share of battery-electric vehicles in the bus </w:t>
      </w:r>
      <w:r w:rsidR="001F3B76" w:rsidRPr="004C3674">
        <w:rPr>
          <w:noProof/>
          <w:lang w:val="en-IE"/>
        </w:rPr>
        <w:t>and coach</w:t>
      </w:r>
      <w:r w:rsidRPr="004C3674">
        <w:rPr>
          <w:noProof/>
          <w:lang w:val="en-IE"/>
        </w:rPr>
        <w:t xml:space="preserve"> </w:t>
      </w:r>
      <w:r w:rsidR="001F3B76" w:rsidRPr="004C3674">
        <w:rPr>
          <w:noProof/>
          <w:lang w:val="en-IE"/>
        </w:rPr>
        <w:t>fleet</w:t>
      </w:r>
      <w:r w:rsidRPr="004C3674">
        <w:rPr>
          <w:noProof/>
          <w:lang w:val="en-IE"/>
        </w:rPr>
        <w:t xml:space="preserve"> increases to </w:t>
      </w:r>
      <w:r w:rsidR="001F3B76" w:rsidRPr="004C3674">
        <w:rPr>
          <w:noProof/>
          <w:lang w:val="en-IE"/>
        </w:rPr>
        <w:t>36-37</w:t>
      </w:r>
      <w:r w:rsidRPr="004C3674">
        <w:rPr>
          <w:noProof/>
          <w:lang w:val="en-IE"/>
        </w:rPr>
        <w:t xml:space="preserve">% in 2040 and </w:t>
      </w:r>
      <w:r w:rsidR="001F3B76" w:rsidRPr="004C3674">
        <w:rPr>
          <w:noProof/>
          <w:lang w:val="en-IE"/>
        </w:rPr>
        <w:t>43-44</w:t>
      </w:r>
      <w:r w:rsidRPr="004C3674">
        <w:rPr>
          <w:noProof/>
          <w:lang w:val="en-IE"/>
        </w:rPr>
        <w:t xml:space="preserve">% in 2050, while the share of </w:t>
      </w:r>
      <w:r w:rsidR="00012846">
        <w:rPr>
          <w:noProof/>
          <w:lang w:val="en-IE"/>
        </w:rPr>
        <w:t>hydrogen</w:t>
      </w:r>
      <w:r w:rsidRPr="004C3674">
        <w:rPr>
          <w:noProof/>
          <w:lang w:val="en-IE"/>
        </w:rPr>
        <w:t xml:space="preserve"> </w:t>
      </w:r>
      <w:r w:rsidR="001F3B76" w:rsidRPr="004C3674">
        <w:rPr>
          <w:noProof/>
          <w:lang w:val="en-IE"/>
        </w:rPr>
        <w:t>vehicle</w:t>
      </w:r>
      <w:r w:rsidRPr="004C3674">
        <w:rPr>
          <w:noProof/>
          <w:lang w:val="en-IE"/>
        </w:rPr>
        <w:t xml:space="preserve">s reaches </w:t>
      </w:r>
      <w:r w:rsidR="001F3B76" w:rsidRPr="004C3674">
        <w:rPr>
          <w:noProof/>
          <w:lang w:val="en-IE"/>
        </w:rPr>
        <w:t>15-16</w:t>
      </w:r>
      <w:r w:rsidRPr="004C3674">
        <w:rPr>
          <w:noProof/>
          <w:lang w:val="en-IE"/>
        </w:rPr>
        <w:t xml:space="preserve">% in 2040 and </w:t>
      </w:r>
      <w:r w:rsidR="001F3B76" w:rsidRPr="004C3674">
        <w:rPr>
          <w:noProof/>
          <w:lang w:val="en-IE"/>
        </w:rPr>
        <w:t>32-37</w:t>
      </w:r>
      <w:r w:rsidRPr="004C3674">
        <w:rPr>
          <w:noProof/>
          <w:lang w:val="en-IE"/>
        </w:rPr>
        <w:t>% in 2050</w:t>
      </w:r>
      <w:r w:rsidR="001F3B76" w:rsidRPr="004C3674">
        <w:rPr>
          <w:noProof/>
          <w:lang w:val="en-IE"/>
        </w:rPr>
        <w:t xml:space="preserve"> (the exact share depends on the scenario)</w:t>
      </w:r>
      <w:r w:rsidRPr="004C3674">
        <w:rPr>
          <w:noProof/>
          <w:lang w:val="en-IE"/>
        </w:rPr>
        <w:t xml:space="preserve">. It is important to note that, even though the </w:t>
      </w:r>
      <w:r w:rsidR="00CB5524">
        <w:rPr>
          <w:noProof/>
          <w:lang w:val="en-IE"/>
        </w:rPr>
        <w:t xml:space="preserve">total </w:t>
      </w:r>
      <w:r w:rsidRPr="004C3674">
        <w:rPr>
          <w:noProof/>
          <w:lang w:val="en-IE"/>
        </w:rPr>
        <w:t xml:space="preserve">share of </w:t>
      </w:r>
      <w:r w:rsidR="005429B8" w:rsidRPr="005429B8">
        <w:rPr>
          <w:noProof/>
          <w:lang w:val="en-IE"/>
        </w:rPr>
        <w:t>diesel conventional, diesel hybrid</w:t>
      </w:r>
      <w:r w:rsidR="00021117" w:rsidRPr="00021117">
        <w:rPr>
          <w:noProof/>
          <w:lang w:val="en-IE"/>
        </w:rPr>
        <w:t> (</w:t>
      </w:r>
      <w:r w:rsidR="00021117">
        <w:rPr>
          <w:rStyle w:val="FootnoteReference"/>
          <w:noProof/>
          <w:lang w:val="en-IE"/>
        </w:rPr>
        <w:footnoteReference w:id="126"/>
      </w:r>
      <w:r w:rsidR="00021117">
        <w:rPr>
          <w:noProof/>
          <w:lang w:val="en-IE"/>
        </w:rPr>
        <w:t>)</w:t>
      </w:r>
      <w:r w:rsidR="005429B8" w:rsidRPr="005429B8">
        <w:rPr>
          <w:noProof/>
          <w:lang w:val="en-IE"/>
        </w:rPr>
        <w:t xml:space="preserve"> and ICE gaseous</w:t>
      </w:r>
      <w:r w:rsidRPr="004C3674">
        <w:rPr>
          <w:noProof/>
          <w:lang w:val="en-IE"/>
        </w:rPr>
        <w:t xml:space="preserve"> buses and coaches is projected to decline over time, </w:t>
      </w:r>
      <w:r w:rsidR="00D05ADF">
        <w:rPr>
          <w:noProof/>
          <w:lang w:val="en-IE"/>
        </w:rPr>
        <w:t xml:space="preserve">their share remains </w:t>
      </w:r>
      <w:r w:rsidRPr="004C3674">
        <w:rPr>
          <w:noProof/>
          <w:lang w:val="en-IE"/>
        </w:rPr>
        <w:t xml:space="preserve">significant </w:t>
      </w:r>
      <w:r w:rsidR="00397FFC">
        <w:rPr>
          <w:noProof/>
          <w:lang w:val="en-IE"/>
        </w:rPr>
        <w:t>in</w:t>
      </w:r>
      <w:r w:rsidRPr="004C3674">
        <w:rPr>
          <w:noProof/>
          <w:lang w:val="en-IE"/>
        </w:rPr>
        <w:t xml:space="preserve"> 2040 and 2050. </w:t>
      </w:r>
      <w:r w:rsidR="000718E6" w:rsidRPr="004C3674">
        <w:rPr>
          <w:noProof/>
          <w:lang w:val="en-IE"/>
        </w:rPr>
        <w:t>More specifically, t</w:t>
      </w:r>
      <w:r w:rsidRPr="004C3674">
        <w:rPr>
          <w:noProof/>
          <w:lang w:val="en-IE"/>
        </w:rPr>
        <w:t xml:space="preserve">he share of </w:t>
      </w:r>
      <w:r w:rsidR="00F977E6" w:rsidRPr="00F977E6">
        <w:rPr>
          <w:noProof/>
          <w:lang w:val="en-IE"/>
        </w:rPr>
        <w:t>diesel conventional, diesel hybrid and ICE gaseous</w:t>
      </w:r>
      <w:r w:rsidRPr="004C3674">
        <w:rPr>
          <w:noProof/>
          <w:lang w:val="en-IE"/>
        </w:rPr>
        <w:t xml:space="preserve"> </w:t>
      </w:r>
      <w:r w:rsidR="00A038CE" w:rsidRPr="004C3674">
        <w:rPr>
          <w:noProof/>
          <w:lang w:val="en-IE"/>
        </w:rPr>
        <w:t>vehicles</w:t>
      </w:r>
      <w:r w:rsidRPr="004C3674">
        <w:rPr>
          <w:noProof/>
          <w:lang w:val="en-IE"/>
        </w:rPr>
        <w:t xml:space="preserve"> in the EU’s bus </w:t>
      </w:r>
      <w:r w:rsidR="001F3B76" w:rsidRPr="004C3674">
        <w:rPr>
          <w:noProof/>
          <w:lang w:val="en-IE"/>
        </w:rPr>
        <w:t>and coach</w:t>
      </w:r>
      <w:r w:rsidR="00A038CE" w:rsidRPr="004C3674">
        <w:rPr>
          <w:noProof/>
          <w:lang w:val="en-IE"/>
        </w:rPr>
        <w:t xml:space="preserve"> </w:t>
      </w:r>
      <w:r w:rsidRPr="004C3674">
        <w:rPr>
          <w:noProof/>
          <w:lang w:val="en-IE"/>
        </w:rPr>
        <w:t>fleet is 4</w:t>
      </w:r>
      <w:r w:rsidR="001F3B76" w:rsidRPr="004C3674">
        <w:rPr>
          <w:noProof/>
          <w:lang w:val="en-IE"/>
        </w:rPr>
        <w:t>7-49</w:t>
      </w:r>
      <w:r w:rsidRPr="004C3674">
        <w:rPr>
          <w:noProof/>
          <w:lang w:val="en-IE"/>
        </w:rPr>
        <w:t>% in 2040 and 2</w:t>
      </w:r>
      <w:r w:rsidR="001F3B76" w:rsidRPr="004C3674">
        <w:rPr>
          <w:noProof/>
          <w:lang w:val="en-IE"/>
        </w:rPr>
        <w:t>0-25</w:t>
      </w:r>
      <w:r w:rsidRPr="004C3674">
        <w:rPr>
          <w:noProof/>
          <w:lang w:val="en-IE"/>
        </w:rPr>
        <w:t xml:space="preserve">% in 2050. Note that the exact fleet composition shares differ per scenario. In particular, significant differences can be observed in 2050, which is mainly due to different assumptions on CO2 emission standards </w:t>
      </w:r>
      <w:r w:rsidR="000718E6" w:rsidRPr="004C3674">
        <w:rPr>
          <w:noProof/>
          <w:lang w:val="en-IE"/>
        </w:rPr>
        <w:t xml:space="preserve">for coaches </w:t>
      </w:r>
      <w:r w:rsidRPr="004C3674">
        <w:rPr>
          <w:noProof/>
          <w:lang w:val="en-IE"/>
        </w:rPr>
        <w:t xml:space="preserve">from 2040 onwards (see </w:t>
      </w:r>
      <w:r w:rsidR="000718E6" w:rsidRPr="004C3674">
        <w:rPr>
          <w:noProof/>
          <w:lang w:val="en-IE"/>
        </w:rPr>
        <w:t>Annex 6</w:t>
      </w:r>
      <w:r w:rsidRPr="004C3674">
        <w:rPr>
          <w:noProof/>
          <w:lang w:val="en-IE"/>
        </w:rPr>
        <w:t>). As a result of th</w:t>
      </w:r>
      <w:r w:rsidR="001E0840" w:rsidRPr="004C3674">
        <w:rPr>
          <w:noProof/>
          <w:lang w:val="en-IE"/>
        </w:rPr>
        <w:t>e</w:t>
      </w:r>
      <w:r w:rsidRPr="004C3674">
        <w:rPr>
          <w:noProof/>
          <w:lang w:val="en-IE"/>
        </w:rPr>
        <w:t xml:space="preserve"> fleet transformation</w:t>
      </w:r>
      <w:r w:rsidR="001E0840" w:rsidRPr="004C3674">
        <w:rPr>
          <w:noProof/>
          <w:lang w:val="en-IE"/>
        </w:rPr>
        <w:t xml:space="preserve"> described above</w:t>
      </w:r>
      <w:r w:rsidRPr="004C3674">
        <w:rPr>
          <w:noProof/>
          <w:lang w:val="en-IE"/>
        </w:rPr>
        <w:t>, the EU’s bus and coach fleet go</w:t>
      </w:r>
      <w:r w:rsidR="00AA53A8" w:rsidRPr="004C3674">
        <w:rPr>
          <w:noProof/>
          <w:lang w:val="en-IE"/>
        </w:rPr>
        <w:t>es</w:t>
      </w:r>
      <w:r w:rsidRPr="004C3674">
        <w:rPr>
          <w:noProof/>
          <w:lang w:val="en-IE"/>
        </w:rPr>
        <w:t xml:space="preserve"> from consuming almost only fossil fuels in 2015 (</w:t>
      </w:r>
      <w:r w:rsidR="00FE7D9E">
        <w:rPr>
          <w:noProof/>
          <w:lang w:val="en-IE"/>
        </w:rPr>
        <w:t>94</w:t>
      </w:r>
      <w:r w:rsidRPr="004C3674">
        <w:rPr>
          <w:noProof/>
          <w:lang w:val="en-IE"/>
        </w:rPr>
        <w:t xml:space="preserve">% of the total energy consumption) to using mostly alternative energy carriers in 2050 (electricity, hydrogen, </w:t>
      </w:r>
      <w:r w:rsidR="00F751C6">
        <w:rPr>
          <w:noProof/>
          <w:lang w:val="en-IE"/>
        </w:rPr>
        <w:t xml:space="preserve">liquid </w:t>
      </w:r>
      <w:r w:rsidRPr="004C3674">
        <w:rPr>
          <w:noProof/>
          <w:lang w:val="en-IE"/>
        </w:rPr>
        <w:t>biofuels</w:t>
      </w:r>
      <w:r w:rsidR="00F751C6">
        <w:rPr>
          <w:noProof/>
          <w:lang w:val="en-IE"/>
        </w:rPr>
        <w:t>, biogas</w:t>
      </w:r>
      <w:r w:rsidRPr="004C3674">
        <w:rPr>
          <w:noProof/>
          <w:lang w:val="en-IE"/>
        </w:rPr>
        <w:t xml:space="preserve"> and e-fuels represent 9</w:t>
      </w:r>
      <w:r w:rsidR="007A67B8" w:rsidRPr="004C3674">
        <w:rPr>
          <w:noProof/>
          <w:lang w:val="en-IE"/>
        </w:rPr>
        <w:t>5</w:t>
      </w:r>
      <w:r w:rsidR="004E5AE6">
        <w:rPr>
          <w:noProof/>
          <w:lang w:val="en-IE"/>
        </w:rPr>
        <w:t>-96</w:t>
      </w:r>
      <w:r w:rsidRPr="004C3674">
        <w:rPr>
          <w:noProof/>
          <w:lang w:val="en-IE"/>
        </w:rPr>
        <w:t>% of the total energy consumption</w:t>
      </w:r>
      <w:r w:rsidR="00767048" w:rsidRPr="004C3674">
        <w:rPr>
          <w:noProof/>
          <w:lang w:val="en-IE"/>
        </w:rPr>
        <w:t xml:space="preserve"> </w:t>
      </w:r>
      <w:r w:rsidR="00011E33" w:rsidRPr="004C3674">
        <w:rPr>
          <w:noProof/>
          <w:lang w:val="en-IE"/>
        </w:rPr>
        <w:t xml:space="preserve">in </w:t>
      </w:r>
      <w:r w:rsidR="00767048" w:rsidRPr="004C3674">
        <w:rPr>
          <w:noProof/>
          <w:lang w:val="en-IE"/>
        </w:rPr>
        <w:t>that year</w:t>
      </w:r>
      <w:r w:rsidRPr="004C3674">
        <w:rPr>
          <w:noProof/>
          <w:lang w:val="en-IE"/>
        </w:rPr>
        <w:t xml:space="preserve">).  </w:t>
      </w:r>
    </w:p>
    <w:p w14:paraId="5A3A28C8" w14:textId="4CF4183C" w:rsidR="00260B5E" w:rsidRPr="004C3674" w:rsidRDefault="00260B5E" w:rsidP="00260B5E">
      <w:pPr>
        <w:rPr>
          <w:noProof/>
          <w:lang w:val="en-IE"/>
        </w:rPr>
      </w:pPr>
      <w:r w:rsidRPr="004C3674">
        <w:rPr>
          <w:noProof/>
          <w:lang w:val="en-IE"/>
        </w:rPr>
        <w:t>The EU’s fleet of powered 2-wheelers becomes largely electrified between 2015 and 2050</w:t>
      </w:r>
      <w:r w:rsidR="003040F5" w:rsidRPr="003040F5">
        <w:rPr>
          <w:noProof/>
          <w:lang w:val="en-IE"/>
        </w:rPr>
        <w:t> (</w:t>
      </w:r>
      <w:r w:rsidR="003040F5">
        <w:rPr>
          <w:rStyle w:val="FootnoteReference"/>
          <w:noProof/>
          <w:lang w:val="en-IE"/>
        </w:rPr>
        <w:footnoteReference w:id="127"/>
      </w:r>
      <w:r w:rsidR="003040F5">
        <w:rPr>
          <w:noProof/>
          <w:lang w:val="en-IE"/>
        </w:rPr>
        <w:t>)</w:t>
      </w:r>
      <w:r w:rsidRPr="004C3674">
        <w:rPr>
          <w:noProof/>
          <w:lang w:val="en-IE"/>
        </w:rPr>
        <w:t>. In the S1, S2 and S3 scenarios, the share of ICE 2-wheelers in the EU’s stock declines from virtually 100% in 2015, to 32% in 2040 and 10% in 2050, as ICE vehicles are rapidly replaced by battery-electric vehicles. On the other hand, the share of battery-electric vehicles increases to 68% in 2040 and 90% in 2050. As a result, the 2-wheeler fleet goes from consuming mostly only fossil fuels in 2015 (97% of the total energy consumption) to consuming mainly electricity (</w:t>
      </w:r>
      <w:r w:rsidR="00722D9E" w:rsidRPr="004C3674">
        <w:rPr>
          <w:noProof/>
          <w:lang w:val="en-IE"/>
        </w:rPr>
        <w:t>78-</w:t>
      </w:r>
      <w:r w:rsidRPr="004C3674">
        <w:rPr>
          <w:noProof/>
          <w:lang w:val="en-IE"/>
        </w:rPr>
        <w:t xml:space="preserve">79% of the total energy consumption) and almost no fossil fuels in 2050. </w:t>
      </w:r>
    </w:p>
    <w:p w14:paraId="043B5854" w14:textId="68FA6C12" w:rsidR="00260B5E" w:rsidRPr="004C3674" w:rsidRDefault="00260B5E" w:rsidP="00260B5E">
      <w:pPr>
        <w:rPr>
          <w:noProof/>
          <w:lang w:val="en-IE"/>
        </w:rPr>
      </w:pPr>
      <w:r w:rsidRPr="004C3674">
        <w:rPr>
          <w:noProof/>
          <w:lang w:val="en-IE"/>
        </w:rPr>
        <w:t xml:space="preserve">It should be noted that the total amount of energy consumed by buses, coaches and powered 2-wheelers taken together decreases by </w:t>
      </w:r>
      <w:r w:rsidR="00354C41">
        <w:rPr>
          <w:noProof/>
          <w:lang w:val="en-IE"/>
        </w:rPr>
        <w:t>39-</w:t>
      </w:r>
      <w:r w:rsidRPr="004C3674">
        <w:rPr>
          <w:noProof/>
          <w:lang w:val="en-IE"/>
        </w:rPr>
        <w:t xml:space="preserve">40% in 2040 and </w:t>
      </w:r>
      <w:r w:rsidR="00C14FE3">
        <w:rPr>
          <w:noProof/>
          <w:lang w:val="en-IE"/>
        </w:rPr>
        <w:t>49-51%</w:t>
      </w:r>
      <w:r w:rsidRPr="004C3674">
        <w:rPr>
          <w:noProof/>
          <w:lang w:val="en-IE"/>
        </w:rPr>
        <w:t xml:space="preserve"> in 2050 compared to 2015. </w:t>
      </w:r>
      <w:r w:rsidR="0027731A">
        <w:rPr>
          <w:noProof/>
          <w:lang w:val="en-IE"/>
        </w:rPr>
        <w:t>T</w:t>
      </w:r>
      <w:r w:rsidRPr="004C3674">
        <w:rPr>
          <w:noProof/>
          <w:lang w:val="en-IE"/>
        </w:rPr>
        <w:t>his occurs even if transport activity (expressed in pa</w:t>
      </w:r>
      <w:r w:rsidR="00A639F6" w:rsidRPr="004C3674">
        <w:rPr>
          <w:noProof/>
          <w:lang w:val="en-IE"/>
        </w:rPr>
        <w:t>ssengers</w:t>
      </w:r>
      <w:r w:rsidRPr="004C3674">
        <w:rPr>
          <w:noProof/>
          <w:lang w:val="en-IE"/>
        </w:rPr>
        <w:t xml:space="preserve">-km) by these transport modes </w:t>
      </w:r>
      <w:r w:rsidR="00064210">
        <w:rPr>
          <w:noProof/>
          <w:lang w:val="en-IE"/>
        </w:rPr>
        <w:t xml:space="preserve">taken together </w:t>
      </w:r>
      <w:r w:rsidRPr="004C3674">
        <w:rPr>
          <w:noProof/>
          <w:lang w:val="en-IE"/>
        </w:rPr>
        <w:t xml:space="preserve">increases by </w:t>
      </w:r>
      <w:r w:rsidR="00930DCF">
        <w:rPr>
          <w:noProof/>
          <w:lang w:val="en-IE"/>
        </w:rPr>
        <w:t>19-21%</w:t>
      </w:r>
      <w:r w:rsidRPr="004C3674">
        <w:rPr>
          <w:noProof/>
          <w:lang w:val="en-IE"/>
        </w:rPr>
        <w:t xml:space="preserve"> and </w:t>
      </w:r>
      <w:r w:rsidR="006A41C1">
        <w:rPr>
          <w:noProof/>
          <w:lang w:val="en-IE"/>
        </w:rPr>
        <w:t>35-36</w:t>
      </w:r>
      <w:r w:rsidRPr="004C3674">
        <w:rPr>
          <w:noProof/>
          <w:lang w:val="en-IE"/>
        </w:rPr>
        <w:t>% over the 2015-2040 and 2015-2050 periods, respectively (see Section</w:t>
      </w:r>
      <w:r w:rsidR="00A639F6" w:rsidRPr="004C3674">
        <w:rPr>
          <w:noProof/>
          <w:lang w:val="en-IE"/>
        </w:rPr>
        <w:t xml:space="preserve"> </w:t>
      </w:r>
      <w:r w:rsidR="00A639F6" w:rsidRPr="004C3674">
        <w:rPr>
          <w:noProof/>
          <w:lang w:val="en-IE"/>
        </w:rPr>
        <w:fldChar w:fldCharType="begin"/>
      </w:r>
      <w:r w:rsidR="00A639F6" w:rsidRPr="004C3674">
        <w:rPr>
          <w:noProof/>
          <w:lang w:val="en-IE"/>
        </w:rPr>
        <w:instrText xml:space="preserve"> REF _Ref143242989 \r \h  \* MERGEFORMAT </w:instrText>
      </w:r>
      <w:r w:rsidR="00A639F6" w:rsidRPr="004C3674">
        <w:rPr>
          <w:noProof/>
          <w:lang w:val="en-IE"/>
        </w:rPr>
      </w:r>
      <w:r w:rsidR="00A639F6" w:rsidRPr="004C3674">
        <w:rPr>
          <w:noProof/>
          <w:lang w:val="en-IE"/>
        </w:rPr>
        <w:fldChar w:fldCharType="separate"/>
      </w:r>
      <w:r w:rsidR="00170A3C">
        <w:rPr>
          <w:noProof/>
          <w:lang w:val="en-IE"/>
        </w:rPr>
        <w:t>1.5.2</w:t>
      </w:r>
      <w:r w:rsidR="00A639F6" w:rsidRPr="004C3674">
        <w:rPr>
          <w:noProof/>
          <w:lang w:val="en-IE"/>
        </w:rPr>
        <w:fldChar w:fldCharType="end"/>
      </w:r>
      <w:r w:rsidRPr="004C3674">
        <w:rPr>
          <w:noProof/>
          <w:lang w:val="en-IE"/>
        </w:rPr>
        <w:t>). Th</w:t>
      </w:r>
      <w:r w:rsidR="00853222" w:rsidRPr="004C3674">
        <w:rPr>
          <w:noProof/>
          <w:lang w:val="en-IE"/>
        </w:rPr>
        <w:t>is</w:t>
      </w:r>
      <w:r w:rsidRPr="004C3674">
        <w:rPr>
          <w:noProof/>
          <w:lang w:val="en-IE"/>
        </w:rPr>
        <w:t xml:space="preserve"> can be explained by the significant energy efficiency gains related to electrification.</w:t>
      </w:r>
    </w:p>
    <w:p w14:paraId="73B82F8E" w14:textId="1243EA7B" w:rsidR="00260B5E" w:rsidRPr="004C3674" w:rsidRDefault="00260B5E" w:rsidP="00260B5E">
      <w:pPr>
        <w:rPr>
          <w:noProof/>
          <w:lang w:val="en-IE"/>
        </w:rPr>
      </w:pPr>
      <w:r w:rsidRPr="004C3674">
        <w:rPr>
          <w:noProof/>
          <w:lang w:val="en-IE"/>
        </w:rPr>
        <w:t xml:space="preserve">Finally, the </w:t>
      </w:r>
      <w:r w:rsidR="00000802" w:rsidRPr="00000802">
        <w:rPr>
          <w:noProof/>
          <w:lang w:val="en-IE"/>
        </w:rPr>
        <w:t>diesel conventional, diesel hybrid and ICE gaseous</w:t>
      </w:r>
      <w:r w:rsidRPr="004C3674">
        <w:rPr>
          <w:noProof/>
          <w:lang w:val="en-IE"/>
        </w:rPr>
        <w:t xml:space="preserve"> buses </w:t>
      </w:r>
      <w:r w:rsidR="00424280">
        <w:rPr>
          <w:noProof/>
          <w:lang w:val="en-IE"/>
        </w:rPr>
        <w:t>and</w:t>
      </w:r>
      <w:r w:rsidRPr="004C3674">
        <w:rPr>
          <w:noProof/>
          <w:lang w:val="en-IE"/>
        </w:rPr>
        <w:t xml:space="preserve"> coaches and </w:t>
      </w:r>
      <w:r w:rsidR="008F7DF7">
        <w:rPr>
          <w:noProof/>
          <w:lang w:val="en-IE"/>
        </w:rPr>
        <w:t>the ICE</w:t>
      </w:r>
      <w:r w:rsidRPr="004C3674">
        <w:rPr>
          <w:noProof/>
          <w:lang w:val="en-IE"/>
        </w:rPr>
        <w:t xml:space="preserve"> 2-wheelers that remain in the fleet in 2040 and 2050 use fuels that have a significantly lower carbon intensity than in 2015, due to the increased consumption of </w:t>
      </w:r>
      <w:r w:rsidR="00601C0A">
        <w:rPr>
          <w:noProof/>
          <w:lang w:val="en-IE"/>
        </w:rPr>
        <w:t xml:space="preserve">liquid </w:t>
      </w:r>
      <w:r w:rsidRPr="004C3674">
        <w:rPr>
          <w:noProof/>
          <w:lang w:val="en-IE"/>
        </w:rPr>
        <w:t>biofuels</w:t>
      </w:r>
      <w:r w:rsidR="00601C0A">
        <w:rPr>
          <w:noProof/>
          <w:lang w:val="en-IE"/>
        </w:rPr>
        <w:t>, biogas</w:t>
      </w:r>
      <w:r w:rsidRPr="004C3674">
        <w:rPr>
          <w:noProof/>
          <w:lang w:val="en-IE"/>
        </w:rPr>
        <w:t xml:space="preserve"> and e-fuels relative to fossil fuels. This is particularly important in 2040, with significant differences in carbon intensity between scenarios. More specifically, the carbon intensity of fuels used by ICE vehicles in 2040 is highest in the S1 scenario </w:t>
      </w:r>
      <w:r w:rsidR="00B326B7" w:rsidRPr="004C3674">
        <w:rPr>
          <w:noProof/>
          <w:lang w:val="en-IE"/>
        </w:rPr>
        <w:t xml:space="preserve">(22% lower </w:t>
      </w:r>
      <w:r w:rsidR="00244210" w:rsidRPr="004C3674">
        <w:rPr>
          <w:noProof/>
          <w:lang w:val="en-IE"/>
        </w:rPr>
        <w:t xml:space="preserve">intensity </w:t>
      </w:r>
      <w:r w:rsidR="00B326B7" w:rsidRPr="004C3674">
        <w:rPr>
          <w:noProof/>
          <w:lang w:val="en-IE"/>
        </w:rPr>
        <w:t xml:space="preserve">than in 2015) and lowest in the S3 scenario (51% lower </w:t>
      </w:r>
      <w:r w:rsidR="00244210" w:rsidRPr="004C3674">
        <w:rPr>
          <w:noProof/>
          <w:lang w:val="en-IE"/>
        </w:rPr>
        <w:t xml:space="preserve">intensity </w:t>
      </w:r>
      <w:r w:rsidR="00B326B7" w:rsidRPr="004C3674">
        <w:rPr>
          <w:noProof/>
          <w:lang w:val="en-IE"/>
        </w:rPr>
        <w:t>than in 2015), while in 2050 the carbon intensity is similar in all scenarios (</w:t>
      </w:r>
      <w:r w:rsidR="00590745">
        <w:rPr>
          <w:noProof/>
          <w:lang w:val="en-IE"/>
        </w:rPr>
        <w:t>8</w:t>
      </w:r>
      <w:r w:rsidR="00790CA3">
        <w:rPr>
          <w:noProof/>
          <w:lang w:val="en-IE"/>
        </w:rPr>
        <w:t>8</w:t>
      </w:r>
      <w:r w:rsidR="00590745">
        <w:rPr>
          <w:noProof/>
          <w:lang w:val="en-IE"/>
        </w:rPr>
        <w:t>-91%</w:t>
      </w:r>
      <w:r w:rsidR="00B326B7" w:rsidRPr="004C3674">
        <w:rPr>
          <w:noProof/>
          <w:lang w:val="en-IE"/>
        </w:rPr>
        <w:t xml:space="preserve"> lower </w:t>
      </w:r>
      <w:r w:rsidR="00244210" w:rsidRPr="004C3674">
        <w:rPr>
          <w:noProof/>
          <w:lang w:val="en-IE"/>
        </w:rPr>
        <w:t xml:space="preserve">intensity </w:t>
      </w:r>
      <w:r w:rsidR="00B326B7" w:rsidRPr="004C3674">
        <w:rPr>
          <w:noProof/>
          <w:lang w:val="en-IE"/>
        </w:rPr>
        <w:t>than in 2015).</w:t>
      </w:r>
    </w:p>
    <w:p w14:paraId="25D1146E" w14:textId="782A173A" w:rsidR="00FE16C2" w:rsidRPr="00BB33EB" w:rsidRDefault="00825D5E" w:rsidP="00260B5E">
      <w:pPr>
        <w:rPr>
          <w:noProof/>
          <w:lang w:val="en-IE"/>
        </w:rPr>
      </w:pPr>
      <w:r w:rsidRPr="004C3674">
        <w:rPr>
          <w:noProof/>
          <w:lang w:val="en-IE"/>
        </w:rPr>
        <w:t xml:space="preserve">In </w:t>
      </w:r>
      <w:r w:rsidR="00C459D4" w:rsidRPr="004C3674">
        <w:rPr>
          <w:noProof/>
          <w:lang w:val="en-IE"/>
        </w:rPr>
        <w:t>LIFE</w:t>
      </w:r>
      <w:r w:rsidRPr="004C3674">
        <w:rPr>
          <w:noProof/>
          <w:lang w:val="en-IE"/>
        </w:rPr>
        <w:t>, the total amount of energy consumed by buses, coaches</w:t>
      </w:r>
      <w:r>
        <w:rPr>
          <w:noProof/>
          <w:lang w:val="en-IE"/>
        </w:rPr>
        <w:t xml:space="preserve"> and 2-wheel</w:t>
      </w:r>
      <w:r w:rsidR="00944818">
        <w:rPr>
          <w:noProof/>
          <w:lang w:val="en-IE"/>
        </w:rPr>
        <w:t>e</w:t>
      </w:r>
      <w:r>
        <w:rPr>
          <w:noProof/>
          <w:lang w:val="en-IE"/>
        </w:rPr>
        <w:t xml:space="preserve">rs </w:t>
      </w:r>
      <w:r w:rsidR="00EB2137">
        <w:rPr>
          <w:noProof/>
          <w:lang w:val="en-IE"/>
        </w:rPr>
        <w:t>taken together</w:t>
      </w:r>
      <w:r w:rsidRPr="00825D5E">
        <w:rPr>
          <w:noProof/>
          <w:lang w:val="en-IE"/>
        </w:rPr>
        <w:t xml:space="preserve"> </w:t>
      </w:r>
      <w:r w:rsidR="002651D3">
        <w:rPr>
          <w:noProof/>
          <w:lang w:val="en-IE"/>
        </w:rPr>
        <w:t>is similar to th</w:t>
      </w:r>
      <w:r w:rsidR="00373FF6">
        <w:rPr>
          <w:noProof/>
          <w:lang w:val="en-IE"/>
        </w:rPr>
        <w:t>at of th</w:t>
      </w:r>
      <w:r w:rsidR="002651D3">
        <w:rPr>
          <w:noProof/>
          <w:lang w:val="en-IE"/>
        </w:rPr>
        <w:t>e other scenarios</w:t>
      </w:r>
      <w:r w:rsidR="008C6377">
        <w:rPr>
          <w:noProof/>
          <w:lang w:val="en-IE"/>
        </w:rPr>
        <w:t xml:space="preserve"> both in 2040 and 2050 (around 8 and 6 Mtoe, respectively)</w:t>
      </w:r>
      <w:r w:rsidRPr="00825D5E">
        <w:rPr>
          <w:noProof/>
          <w:lang w:val="en-IE"/>
        </w:rPr>
        <w:t>.</w:t>
      </w:r>
      <w:r w:rsidR="00FE57CF" w:rsidRPr="00FE57CF">
        <w:rPr>
          <w:noProof/>
        </w:rPr>
        <w:t xml:space="preserve"> </w:t>
      </w:r>
      <w:r w:rsidR="00BE4D45">
        <w:rPr>
          <w:noProof/>
        </w:rPr>
        <w:t>Furthermore, i</w:t>
      </w:r>
      <w:r w:rsidR="00FE57CF" w:rsidRPr="00FE57CF">
        <w:rPr>
          <w:noProof/>
          <w:lang w:val="en-IE"/>
        </w:rPr>
        <w:t xml:space="preserve">n 2040, the </w:t>
      </w:r>
      <w:r w:rsidR="00FE57CF">
        <w:rPr>
          <w:noProof/>
          <w:lang w:val="en-IE"/>
        </w:rPr>
        <w:t xml:space="preserve">combined </w:t>
      </w:r>
      <w:r w:rsidR="00FE57CF" w:rsidRPr="00FE57CF">
        <w:rPr>
          <w:noProof/>
          <w:lang w:val="en-IE"/>
        </w:rPr>
        <w:t xml:space="preserve">fuel mix </w:t>
      </w:r>
      <w:r w:rsidR="00FE57CF">
        <w:rPr>
          <w:noProof/>
          <w:lang w:val="en-IE"/>
        </w:rPr>
        <w:t xml:space="preserve">for </w:t>
      </w:r>
      <w:r w:rsidR="00373FF6">
        <w:rPr>
          <w:noProof/>
          <w:lang w:val="en-IE"/>
        </w:rPr>
        <w:t xml:space="preserve">all </w:t>
      </w:r>
      <w:r w:rsidR="00FE57CF">
        <w:rPr>
          <w:noProof/>
          <w:lang w:val="en-IE"/>
        </w:rPr>
        <w:t xml:space="preserve">these modes </w:t>
      </w:r>
      <w:r w:rsidR="00FE57CF" w:rsidRPr="00FE57CF">
        <w:rPr>
          <w:noProof/>
          <w:lang w:val="en-IE"/>
        </w:rPr>
        <w:t>is similar to that of the S2 scenario.</w:t>
      </w:r>
    </w:p>
    <w:p w14:paraId="420815A4" w14:textId="01F3EF50" w:rsidR="00923CE2" w:rsidRPr="00630343" w:rsidRDefault="00906120" w:rsidP="00F7719F">
      <w:pPr>
        <w:pStyle w:val="Heading4"/>
        <w:rPr>
          <w:noProof/>
        </w:rPr>
      </w:pPr>
      <w:bookmarkStart w:id="360" w:name="_Ref145093242"/>
      <w:r>
        <w:rPr>
          <w:noProof/>
        </w:rPr>
        <w:t xml:space="preserve"> </w:t>
      </w:r>
      <w:r w:rsidR="00923CE2" w:rsidRPr="00630343">
        <w:rPr>
          <w:noProof/>
        </w:rPr>
        <w:t>Rail</w:t>
      </w:r>
      <w:bookmarkEnd w:id="360"/>
    </w:p>
    <w:p w14:paraId="0E5E6D49" w14:textId="56E4F4E9" w:rsidR="00AE5D2A" w:rsidRPr="00AE5D2A" w:rsidRDefault="00AE5D2A" w:rsidP="00AE5D2A">
      <w:pPr>
        <w:rPr>
          <w:noProof/>
          <w:lang w:val="en-IE"/>
        </w:rPr>
      </w:pPr>
      <w:r w:rsidRPr="00AE5D2A">
        <w:rPr>
          <w:noProof/>
          <w:lang w:val="en-IE"/>
        </w:rPr>
        <w:t xml:space="preserve">The EU’s rail transport sector is projected to undergo significant </w:t>
      </w:r>
      <w:r w:rsidR="00383B59">
        <w:rPr>
          <w:noProof/>
          <w:lang w:val="en-IE"/>
        </w:rPr>
        <w:t>further</w:t>
      </w:r>
      <w:r w:rsidRPr="00AE5D2A">
        <w:rPr>
          <w:noProof/>
          <w:lang w:val="en-IE"/>
        </w:rPr>
        <w:t xml:space="preserve"> electrification between 2015 and 2050. In 2015, </w:t>
      </w:r>
      <w:r w:rsidRPr="004C3674">
        <w:rPr>
          <w:noProof/>
          <w:lang w:val="en-IE"/>
        </w:rPr>
        <w:t xml:space="preserve">around 67% of the rolling stock used for passenger transport was </w:t>
      </w:r>
      <w:r w:rsidR="00383B59" w:rsidRPr="004C3674">
        <w:rPr>
          <w:noProof/>
          <w:lang w:val="en-IE"/>
        </w:rPr>
        <w:t xml:space="preserve">already </w:t>
      </w:r>
      <w:r w:rsidRPr="004C3674">
        <w:rPr>
          <w:noProof/>
          <w:lang w:val="en-IE"/>
        </w:rPr>
        <w:t xml:space="preserve">electric, while in the case of freight transport this share was a bit lower (55%). The remainder was internal combustion rolling stock. </w:t>
      </w:r>
      <w:r w:rsidR="00383B59" w:rsidRPr="004C3674">
        <w:rPr>
          <w:noProof/>
          <w:lang w:val="en-IE"/>
        </w:rPr>
        <w:t>The proportion of electrified lines in use in the EU is increasing gradually (56% in 2015, 57% in 2020), and</w:t>
      </w:r>
      <w:r w:rsidRPr="004C3674">
        <w:rPr>
          <w:noProof/>
          <w:lang w:val="en-IE"/>
        </w:rPr>
        <w:t xml:space="preserve"> the share of electric rolling stock is projected to increase considerably by 2040 and 2050. More specifically, in the S1, S2 and S3 scenarios, the share of electric rolling stock used for passenger transport increases to 85-86% in 2040 and 95% in 2050, and the share of electric rolling stock used for freight transport increases to 76-77% in 2040 and 88-89% in 2050 (the exact shares differ slightly per scenario). At the same time, the share of internal combustion rolling stock used for passenger transport drops to 12-13% in 2040 and 4% in 2050, and in the case of freight rail transport, it goes down to 21-22% in 2040 and 10% in 2050</w:t>
      </w:r>
      <w:r w:rsidR="00427E22">
        <w:rPr>
          <w:noProof/>
          <w:lang w:val="en-IE"/>
        </w:rPr>
        <w:t>.</w:t>
      </w:r>
      <w:r w:rsidRPr="004C3674">
        <w:rPr>
          <w:noProof/>
          <w:lang w:val="en-IE"/>
        </w:rPr>
        <w:t xml:space="preserve"> </w:t>
      </w:r>
      <w:r w:rsidR="00427E22">
        <w:rPr>
          <w:noProof/>
          <w:lang w:val="en-IE"/>
        </w:rPr>
        <w:t xml:space="preserve">The share of </w:t>
      </w:r>
      <w:r w:rsidRPr="004C3674">
        <w:rPr>
          <w:noProof/>
          <w:lang w:val="en-IE"/>
        </w:rPr>
        <w:t xml:space="preserve">hydrogen rolling stock </w:t>
      </w:r>
      <w:r w:rsidR="008D7AD1">
        <w:rPr>
          <w:noProof/>
          <w:lang w:val="en-IE"/>
        </w:rPr>
        <w:t>is projected to be limited</w:t>
      </w:r>
      <w:r w:rsidR="00B6448B">
        <w:rPr>
          <w:noProof/>
          <w:lang w:val="en-IE"/>
        </w:rPr>
        <w:t>; it will be mainly</w:t>
      </w:r>
      <w:r w:rsidR="0020508E">
        <w:rPr>
          <w:noProof/>
          <w:lang w:val="en-IE"/>
        </w:rPr>
        <w:t xml:space="preserve"> used</w:t>
      </w:r>
      <w:r w:rsidR="00B6448B">
        <w:rPr>
          <w:noProof/>
          <w:lang w:val="en-IE"/>
        </w:rPr>
        <w:t xml:space="preserve"> where electrification </w:t>
      </w:r>
      <w:r w:rsidR="0020508E">
        <w:rPr>
          <w:noProof/>
          <w:lang w:val="en-IE"/>
        </w:rPr>
        <w:t>is not possible</w:t>
      </w:r>
      <w:r w:rsidRPr="004C3674">
        <w:rPr>
          <w:noProof/>
          <w:lang w:val="en-IE"/>
        </w:rPr>
        <w:t>. This transformation requires substantial investments in electric rolling stock as well as significant efforts to largely electrify the European rail infrastructure by 2050</w:t>
      </w:r>
      <w:r w:rsidR="001A64FA" w:rsidRPr="004C3674">
        <w:rPr>
          <w:noProof/>
          <w:lang w:val="en-IE"/>
        </w:rPr>
        <w:t> (</w:t>
      </w:r>
      <w:r w:rsidR="001A64FA" w:rsidRPr="004C3674">
        <w:rPr>
          <w:rStyle w:val="FootnoteReference"/>
          <w:noProof/>
          <w:lang w:val="en-IE"/>
        </w:rPr>
        <w:footnoteReference w:id="128"/>
      </w:r>
      <w:r w:rsidRPr="004C3674">
        <w:rPr>
          <w:noProof/>
          <w:lang w:val="en-IE"/>
        </w:rPr>
        <w:t>), and it is supported by the assumed completion of the core TEN-T network by 2030 and the comprehensive TEN-T network by 2050.</w:t>
      </w:r>
    </w:p>
    <w:p w14:paraId="5793447D" w14:textId="0BAB5676" w:rsidR="00AE5D2A" w:rsidRPr="00AE5D2A" w:rsidRDefault="00AE5D2A" w:rsidP="00AE5D2A">
      <w:pPr>
        <w:rPr>
          <w:noProof/>
          <w:lang w:val="en-IE"/>
        </w:rPr>
      </w:pPr>
      <w:r w:rsidRPr="00AE5D2A">
        <w:rPr>
          <w:noProof/>
          <w:lang w:val="en-IE"/>
        </w:rPr>
        <w:t xml:space="preserve">As a result of the </w:t>
      </w:r>
      <w:r w:rsidRPr="004C3674">
        <w:rPr>
          <w:noProof/>
          <w:lang w:val="en-IE"/>
        </w:rPr>
        <w:t xml:space="preserve">transformation described above, in the S1, S2 and S3 scenarios, the EU’s rail transport sector transitions from meeting 25% of its energy demand with fossil fuels in 2015 (the remainder being electricity), to using almost only electricity and no fossil fuels in 2050 (see </w:t>
      </w:r>
      <w:r w:rsidR="00B5530C" w:rsidRPr="004C3674">
        <w:rPr>
          <w:noProof/>
          <w:lang w:val="en-IE"/>
        </w:rPr>
        <w:fldChar w:fldCharType="begin"/>
      </w:r>
      <w:r w:rsidR="00B5530C" w:rsidRPr="004C3674">
        <w:rPr>
          <w:noProof/>
          <w:lang w:val="en-IE"/>
        </w:rPr>
        <w:instrText xml:space="preserve"> REF _Ref143870966 \h  \* MERGEFORMAT </w:instrText>
      </w:r>
      <w:r w:rsidR="00B5530C" w:rsidRPr="004C3674">
        <w:rPr>
          <w:noProof/>
          <w:lang w:val="en-IE"/>
        </w:rPr>
      </w:r>
      <w:r w:rsidR="00B5530C" w:rsidRPr="004C3674">
        <w:rPr>
          <w:noProof/>
          <w:lang w:val="en-IE"/>
        </w:rPr>
        <w:fldChar w:fldCharType="separate"/>
      </w:r>
      <w:r w:rsidR="00170A3C">
        <w:rPr>
          <w:noProof/>
        </w:rPr>
        <w:t>Figure 71</w:t>
      </w:r>
      <w:r w:rsidR="00B5530C" w:rsidRPr="004C3674">
        <w:rPr>
          <w:noProof/>
          <w:lang w:val="en-IE"/>
        </w:rPr>
        <w:fldChar w:fldCharType="end"/>
      </w:r>
      <w:r w:rsidRPr="004C3674">
        <w:rPr>
          <w:noProof/>
          <w:lang w:val="en-IE"/>
        </w:rPr>
        <w:t xml:space="preserve">). Note that, although the share of internal combustion rolling stock is projected to decline over time, there is still some left both in 2040 and in 2050; however, in these two years, and particularly in 2050, the internal combustion rolling stock uses </w:t>
      </w:r>
      <w:r w:rsidR="00703C30" w:rsidRPr="004C3674">
        <w:rPr>
          <w:noProof/>
          <w:lang w:val="en-IE"/>
        </w:rPr>
        <w:t xml:space="preserve">a </w:t>
      </w:r>
      <w:r w:rsidRPr="004C3674">
        <w:rPr>
          <w:noProof/>
          <w:lang w:val="en-IE"/>
        </w:rPr>
        <w:t>fuel</w:t>
      </w:r>
      <w:r w:rsidR="00703C30" w:rsidRPr="004C3674">
        <w:rPr>
          <w:noProof/>
          <w:lang w:val="en-IE"/>
        </w:rPr>
        <w:t xml:space="preserve"> blend</w:t>
      </w:r>
      <w:r w:rsidRPr="004C3674">
        <w:rPr>
          <w:noProof/>
          <w:lang w:val="en-IE"/>
        </w:rPr>
        <w:t xml:space="preserve"> that ha</w:t>
      </w:r>
      <w:r w:rsidR="00703C30" w:rsidRPr="004C3674">
        <w:rPr>
          <w:noProof/>
          <w:lang w:val="en-IE"/>
        </w:rPr>
        <w:t>s</w:t>
      </w:r>
      <w:r w:rsidRPr="004C3674">
        <w:rPr>
          <w:noProof/>
          <w:lang w:val="en-IE"/>
        </w:rPr>
        <w:t xml:space="preserve"> a significantly lower carbon intensity than in 2015, due to the increased consumption of </w:t>
      </w:r>
      <w:r w:rsidR="00E844D2">
        <w:rPr>
          <w:noProof/>
          <w:lang w:val="en-IE"/>
        </w:rPr>
        <w:t xml:space="preserve">liquid </w:t>
      </w:r>
      <w:r w:rsidRPr="004C3674">
        <w:rPr>
          <w:noProof/>
          <w:lang w:val="en-IE"/>
        </w:rPr>
        <w:t xml:space="preserve">biofuels and e-fuels relative to fossil fuels (see </w:t>
      </w:r>
      <w:r w:rsidR="00B5530C" w:rsidRPr="004C3674">
        <w:rPr>
          <w:noProof/>
          <w:lang w:val="en-IE"/>
        </w:rPr>
        <w:fldChar w:fldCharType="begin"/>
      </w:r>
      <w:r w:rsidR="00B5530C" w:rsidRPr="004C3674">
        <w:rPr>
          <w:noProof/>
          <w:lang w:val="en-IE"/>
        </w:rPr>
        <w:instrText xml:space="preserve"> REF _Ref143870966 \h  \* MERGEFORMAT </w:instrText>
      </w:r>
      <w:r w:rsidR="00B5530C" w:rsidRPr="004C3674">
        <w:rPr>
          <w:noProof/>
          <w:lang w:val="en-IE"/>
        </w:rPr>
      </w:r>
      <w:r w:rsidR="00B5530C" w:rsidRPr="004C3674">
        <w:rPr>
          <w:noProof/>
          <w:lang w:val="en-IE"/>
        </w:rPr>
        <w:fldChar w:fldCharType="separate"/>
      </w:r>
      <w:r w:rsidR="00170A3C">
        <w:rPr>
          <w:noProof/>
        </w:rPr>
        <w:t>Figure 71</w:t>
      </w:r>
      <w:r w:rsidR="00B5530C" w:rsidRPr="004C3674">
        <w:rPr>
          <w:noProof/>
          <w:lang w:val="en-IE"/>
        </w:rPr>
        <w:fldChar w:fldCharType="end"/>
      </w:r>
      <w:r w:rsidRPr="004C3674">
        <w:rPr>
          <w:noProof/>
          <w:lang w:val="en-IE"/>
        </w:rPr>
        <w:t xml:space="preserve">). </w:t>
      </w:r>
      <w:r w:rsidR="008178DD" w:rsidRPr="004C3674">
        <w:rPr>
          <w:noProof/>
          <w:lang w:val="en-IE"/>
        </w:rPr>
        <w:t xml:space="preserve">More specifically, </w:t>
      </w:r>
      <w:r w:rsidR="004A2A70" w:rsidRPr="004C3674">
        <w:rPr>
          <w:noProof/>
          <w:lang w:val="en-IE"/>
        </w:rPr>
        <w:t xml:space="preserve">in 2040, </w:t>
      </w:r>
      <w:r w:rsidR="008178DD" w:rsidRPr="004C3674">
        <w:rPr>
          <w:noProof/>
          <w:lang w:val="en-IE"/>
        </w:rPr>
        <w:t>this carbon intensity is 26</w:t>
      </w:r>
      <w:r w:rsidR="004A2A70" w:rsidRPr="004C3674">
        <w:rPr>
          <w:noProof/>
          <w:lang w:val="en-IE"/>
        </w:rPr>
        <w:t xml:space="preserve">% lower in S1, 46% lower in S2 and </w:t>
      </w:r>
      <w:r w:rsidR="008178DD" w:rsidRPr="004C3674">
        <w:rPr>
          <w:noProof/>
          <w:lang w:val="en-IE"/>
        </w:rPr>
        <w:t xml:space="preserve">56% lower </w:t>
      </w:r>
      <w:r w:rsidR="004A2A70" w:rsidRPr="004C3674">
        <w:rPr>
          <w:noProof/>
          <w:lang w:val="en-IE"/>
        </w:rPr>
        <w:t>in S3</w:t>
      </w:r>
      <w:r w:rsidR="008178DD" w:rsidRPr="004C3674">
        <w:rPr>
          <w:noProof/>
          <w:lang w:val="en-IE"/>
        </w:rPr>
        <w:t xml:space="preserve"> than in 2015</w:t>
      </w:r>
      <w:r w:rsidR="00423FC1" w:rsidRPr="004C3674">
        <w:rPr>
          <w:noProof/>
          <w:lang w:val="en-IE"/>
        </w:rPr>
        <w:t>. I</w:t>
      </w:r>
      <w:r w:rsidR="004A2A70" w:rsidRPr="004C3674">
        <w:rPr>
          <w:noProof/>
          <w:lang w:val="en-IE"/>
        </w:rPr>
        <w:t>n 2050, it is</w:t>
      </w:r>
      <w:r w:rsidR="008178DD" w:rsidRPr="004C3674">
        <w:rPr>
          <w:noProof/>
          <w:lang w:val="en-IE"/>
        </w:rPr>
        <w:t xml:space="preserve"> more than 95% lower than in 2015</w:t>
      </w:r>
      <w:r w:rsidR="00423FC1" w:rsidRPr="004C3674">
        <w:rPr>
          <w:noProof/>
          <w:lang w:val="en-IE"/>
        </w:rPr>
        <w:t xml:space="preserve"> in all three scenarios</w:t>
      </w:r>
      <w:r w:rsidR="008178DD" w:rsidRPr="004C3674">
        <w:rPr>
          <w:noProof/>
          <w:lang w:val="en-IE"/>
        </w:rPr>
        <w:t>.</w:t>
      </w:r>
      <w:r w:rsidRPr="004C3674">
        <w:rPr>
          <w:noProof/>
          <w:lang w:val="en-IE"/>
        </w:rPr>
        <w:t xml:space="preserve"> Furthermore, it should be noted that the total amount of energy consumed by rail transport in the EU increase</w:t>
      </w:r>
      <w:r w:rsidR="00454232" w:rsidRPr="004C3674">
        <w:rPr>
          <w:noProof/>
          <w:lang w:val="en-IE"/>
        </w:rPr>
        <w:t>s</w:t>
      </w:r>
      <w:r w:rsidRPr="004C3674">
        <w:rPr>
          <w:noProof/>
          <w:lang w:val="en-IE"/>
        </w:rPr>
        <w:t xml:space="preserve"> by around 4</w:t>
      </w:r>
      <w:r w:rsidR="00797489" w:rsidRPr="004C3674">
        <w:rPr>
          <w:noProof/>
          <w:lang w:val="en-IE"/>
        </w:rPr>
        <w:t>3-44</w:t>
      </w:r>
      <w:r w:rsidRPr="004C3674">
        <w:rPr>
          <w:noProof/>
          <w:lang w:val="en-IE"/>
        </w:rPr>
        <w:t xml:space="preserve">% in 2040 and </w:t>
      </w:r>
      <w:r w:rsidR="00797489" w:rsidRPr="004C3674">
        <w:rPr>
          <w:noProof/>
          <w:lang w:val="en-IE"/>
        </w:rPr>
        <w:t>48-</w:t>
      </w:r>
      <w:r w:rsidRPr="004C3674">
        <w:rPr>
          <w:noProof/>
          <w:lang w:val="en-IE"/>
        </w:rPr>
        <w:t>5</w:t>
      </w:r>
      <w:r w:rsidR="00797489" w:rsidRPr="004C3674">
        <w:rPr>
          <w:noProof/>
          <w:lang w:val="en-IE"/>
        </w:rPr>
        <w:t>1</w:t>
      </w:r>
      <w:r w:rsidRPr="004C3674">
        <w:rPr>
          <w:noProof/>
          <w:lang w:val="en-IE"/>
        </w:rPr>
        <w:t xml:space="preserve">% in 2050 compared to 2015 (see </w:t>
      </w:r>
      <w:r w:rsidR="00B5530C" w:rsidRPr="004C3674">
        <w:rPr>
          <w:noProof/>
          <w:lang w:val="en-IE"/>
        </w:rPr>
        <w:fldChar w:fldCharType="begin"/>
      </w:r>
      <w:r w:rsidR="00B5530C" w:rsidRPr="004C3674">
        <w:rPr>
          <w:noProof/>
          <w:lang w:val="en-IE"/>
        </w:rPr>
        <w:instrText xml:space="preserve"> REF _Ref143870966 \h  \* MERGEFORMAT </w:instrText>
      </w:r>
      <w:r w:rsidR="00B5530C" w:rsidRPr="004C3674">
        <w:rPr>
          <w:noProof/>
          <w:lang w:val="en-IE"/>
        </w:rPr>
      </w:r>
      <w:r w:rsidR="00B5530C" w:rsidRPr="004C3674">
        <w:rPr>
          <w:noProof/>
          <w:lang w:val="en-IE"/>
        </w:rPr>
        <w:fldChar w:fldCharType="separate"/>
      </w:r>
      <w:r w:rsidR="00170A3C">
        <w:rPr>
          <w:noProof/>
        </w:rPr>
        <w:t>Figure 71</w:t>
      </w:r>
      <w:r w:rsidR="00B5530C" w:rsidRPr="004C3674">
        <w:rPr>
          <w:noProof/>
          <w:lang w:val="en-IE"/>
        </w:rPr>
        <w:fldChar w:fldCharType="end"/>
      </w:r>
      <w:r w:rsidR="00B5530C" w:rsidRPr="004C3674">
        <w:rPr>
          <w:noProof/>
          <w:lang w:val="en-IE"/>
        </w:rPr>
        <w:t>)</w:t>
      </w:r>
      <w:r w:rsidRPr="004C3674">
        <w:rPr>
          <w:noProof/>
          <w:lang w:val="en-IE"/>
        </w:rPr>
        <w:t xml:space="preserve">, </w:t>
      </w:r>
      <w:r w:rsidR="00043F7A" w:rsidRPr="004C3674">
        <w:rPr>
          <w:noProof/>
          <w:lang w:val="en-IE"/>
        </w:rPr>
        <w:t xml:space="preserve">mainly </w:t>
      </w:r>
      <w:r w:rsidR="008B396B" w:rsidRPr="004C3674">
        <w:rPr>
          <w:noProof/>
          <w:lang w:val="en-IE"/>
        </w:rPr>
        <w:t>due to increased</w:t>
      </w:r>
      <w:r w:rsidR="00280848" w:rsidRPr="004C3674">
        <w:rPr>
          <w:noProof/>
          <w:lang w:val="en-IE"/>
        </w:rPr>
        <w:t xml:space="preserve"> </w:t>
      </w:r>
      <w:r w:rsidRPr="004C3674">
        <w:rPr>
          <w:noProof/>
          <w:lang w:val="en-IE"/>
        </w:rPr>
        <w:t xml:space="preserve">rail transport activity (see Section </w:t>
      </w:r>
      <w:r w:rsidR="009C0119" w:rsidRPr="004C3674">
        <w:rPr>
          <w:noProof/>
          <w:lang w:val="en-IE"/>
        </w:rPr>
        <w:fldChar w:fldCharType="begin"/>
      </w:r>
      <w:r w:rsidR="009C0119" w:rsidRPr="004C3674">
        <w:rPr>
          <w:noProof/>
          <w:lang w:val="en-IE"/>
        </w:rPr>
        <w:instrText xml:space="preserve"> REF _Ref143242989 \r \h  \* MERGEFORMAT </w:instrText>
      </w:r>
      <w:r w:rsidR="009C0119" w:rsidRPr="004C3674">
        <w:rPr>
          <w:noProof/>
          <w:lang w:val="en-IE"/>
        </w:rPr>
      </w:r>
      <w:r w:rsidR="009C0119" w:rsidRPr="004C3674">
        <w:rPr>
          <w:noProof/>
          <w:lang w:val="en-IE"/>
        </w:rPr>
        <w:fldChar w:fldCharType="separate"/>
      </w:r>
      <w:r w:rsidR="00170A3C">
        <w:rPr>
          <w:noProof/>
          <w:lang w:val="en-IE"/>
        </w:rPr>
        <w:t>1.5.2</w:t>
      </w:r>
      <w:r w:rsidR="009C0119" w:rsidRPr="004C3674">
        <w:rPr>
          <w:noProof/>
          <w:lang w:val="en-IE"/>
        </w:rPr>
        <w:fldChar w:fldCharType="end"/>
      </w:r>
      <w:r w:rsidRPr="004C3674">
        <w:rPr>
          <w:noProof/>
          <w:lang w:val="en-IE"/>
        </w:rPr>
        <w:t xml:space="preserve">). </w:t>
      </w:r>
      <w:r w:rsidR="008B396B" w:rsidRPr="004C3674">
        <w:rPr>
          <w:noProof/>
          <w:lang w:val="en-IE"/>
        </w:rPr>
        <w:t>However, the</w:t>
      </w:r>
      <w:r w:rsidR="00043F7A" w:rsidRPr="004C3674">
        <w:rPr>
          <w:noProof/>
          <w:lang w:val="en-IE"/>
        </w:rPr>
        <w:t>se</w:t>
      </w:r>
      <w:r w:rsidR="008B396B" w:rsidRPr="004C3674">
        <w:rPr>
          <w:noProof/>
          <w:lang w:val="en-IE"/>
        </w:rPr>
        <w:t xml:space="preserve"> energy consumption growth rates are lower</w:t>
      </w:r>
      <w:r w:rsidRPr="004C3674">
        <w:rPr>
          <w:noProof/>
          <w:lang w:val="en-IE"/>
        </w:rPr>
        <w:t xml:space="preserve"> than the </w:t>
      </w:r>
      <w:r w:rsidR="000857E2" w:rsidRPr="004C3674">
        <w:rPr>
          <w:noProof/>
          <w:lang w:val="en-IE"/>
        </w:rPr>
        <w:t xml:space="preserve">activity </w:t>
      </w:r>
      <w:r w:rsidR="00280848" w:rsidRPr="004C3674">
        <w:rPr>
          <w:noProof/>
          <w:lang w:val="en-IE"/>
        </w:rPr>
        <w:t>growth rate</w:t>
      </w:r>
      <w:r w:rsidR="008B396B" w:rsidRPr="004C3674">
        <w:rPr>
          <w:noProof/>
          <w:lang w:val="en-IE"/>
        </w:rPr>
        <w:t>s</w:t>
      </w:r>
      <w:r w:rsidR="00280848" w:rsidRPr="004C3674">
        <w:rPr>
          <w:noProof/>
          <w:lang w:val="en-IE"/>
        </w:rPr>
        <w:t xml:space="preserve"> observed </w:t>
      </w:r>
      <w:r w:rsidRPr="004C3674">
        <w:rPr>
          <w:noProof/>
          <w:lang w:val="en-IE"/>
        </w:rPr>
        <w:t xml:space="preserve">over the same period. </w:t>
      </w:r>
      <w:r w:rsidR="000857E2" w:rsidRPr="004C3674">
        <w:rPr>
          <w:noProof/>
          <w:lang w:val="en-IE"/>
        </w:rPr>
        <w:t xml:space="preserve">The main reason is that the rail sector is </w:t>
      </w:r>
      <w:r w:rsidR="00043F7A" w:rsidRPr="004C3674">
        <w:rPr>
          <w:noProof/>
          <w:lang w:val="en-IE"/>
        </w:rPr>
        <w:t xml:space="preserve">projected to be </w:t>
      </w:r>
      <w:r w:rsidR="000857E2" w:rsidRPr="004C3674">
        <w:rPr>
          <w:noProof/>
          <w:lang w:val="en-IE"/>
        </w:rPr>
        <w:t>further electrified</w:t>
      </w:r>
      <w:r w:rsidR="00043F7A" w:rsidRPr="004C3674">
        <w:rPr>
          <w:noProof/>
          <w:lang w:val="en-IE"/>
        </w:rPr>
        <w:t xml:space="preserve"> during the next decades</w:t>
      </w:r>
      <w:r w:rsidR="000857E2">
        <w:rPr>
          <w:noProof/>
          <w:lang w:val="en-IE"/>
        </w:rPr>
        <w:t>, which brings significant energy efficiency gains</w:t>
      </w:r>
      <w:r w:rsidRPr="00AE5D2A">
        <w:rPr>
          <w:noProof/>
          <w:lang w:val="en-IE"/>
        </w:rPr>
        <w:t>.</w:t>
      </w:r>
    </w:p>
    <w:p w14:paraId="62DD428F" w14:textId="4D6EAB04" w:rsidR="006C1708" w:rsidRPr="00664723" w:rsidRDefault="006C1708" w:rsidP="006C1708">
      <w:pPr>
        <w:rPr>
          <w:noProof/>
          <w:lang w:val="en-IE"/>
        </w:rPr>
      </w:pPr>
      <w:r w:rsidRPr="006C1708">
        <w:rPr>
          <w:noProof/>
          <w:lang w:val="en-IE"/>
        </w:rPr>
        <w:t xml:space="preserve">In </w:t>
      </w:r>
      <w:r w:rsidR="00C459D4">
        <w:rPr>
          <w:noProof/>
          <w:lang w:val="en-IE"/>
        </w:rPr>
        <w:t>LIFE</w:t>
      </w:r>
      <w:r w:rsidRPr="006C1708">
        <w:rPr>
          <w:noProof/>
          <w:lang w:val="en-IE"/>
        </w:rPr>
        <w:t xml:space="preserve">, the total </w:t>
      </w:r>
      <w:r w:rsidRPr="004C3674">
        <w:rPr>
          <w:noProof/>
          <w:lang w:val="en-IE"/>
        </w:rPr>
        <w:t xml:space="preserve">amount of energy consumed by the rail sector increases over time a bit more than in the </w:t>
      </w:r>
      <w:r w:rsidR="005A50C8">
        <w:rPr>
          <w:noProof/>
          <w:lang w:val="en-IE"/>
        </w:rPr>
        <w:t xml:space="preserve">S1, S2 and S3 </w:t>
      </w:r>
      <w:r w:rsidRPr="004C3674">
        <w:rPr>
          <w:noProof/>
          <w:lang w:val="en-IE"/>
        </w:rPr>
        <w:t>scenario</w:t>
      </w:r>
      <w:r w:rsidR="00482466">
        <w:rPr>
          <w:noProof/>
          <w:lang w:val="en-IE"/>
        </w:rPr>
        <w:t>s</w:t>
      </w:r>
      <w:r w:rsidRPr="004C3674">
        <w:rPr>
          <w:noProof/>
          <w:lang w:val="en-IE"/>
        </w:rPr>
        <w:t xml:space="preserve">, mainly because of a higher level of rail transport activity (both in passenger-km and tonnes-km) due to a </w:t>
      </w:r>
      <w:r w:rsidR="005C3BB4">
        <w:rPr>
          <w:noProof/>
          <w:lang w:val="en-IE"/>
        </w:rPr>
        <w:t xml:space="preserve">higher </w:t>
      </w:r>
      <w:r w:rsidRPr="004C3674">
        <w:rPr>
          <w:noProof/>
          <w:lang w:val="en-IE"/>
        </w:rPr>
        <w:t>shift from other modes to rail. The total energy consumption increases by 48% in 2040 and 5</w:t>
      </w:r>
      <w:r w:rsidR="00DE08B6">
        <w:rPr>
          <w:noProof/>
          <w:lang w:val="en-IE"/>
        </w:rPr>
        <w:t>4</w:t>
      </w:r>
      <w:r w:rsidRPr="004C3674">
        <w:rPr>
          <w:noProof/>
          <w:lang w:val="en-IE"/>
        </w:rPr>
        <w:t xml:space="preserve">% in 2050 compared to 2015 (i.e., </w:t>
      </w:r>
      <w:r w:rsidR="00DE08B6">
        <w:rPr>
          <w:noProof/>
          <w:lang w:val="en-IE"/>
        </w:rPr>
        <w:t>4</w:t>
      </w:r>
      <w:r w:rsidRPr="004C3674">
        <w:rPr>
          <w:noProof/>
          <w:lang w:val="en-IE"/>
        </w:rPr>
        <w:t>-</w:t>
      </w:r>
      <w:r w:rsidR="00DE08B6">
        <w:rPr>
          <w:noProof/>
          <w:lang w:val="en-IE"/>
        </w:rPr>
        <w:t>5</w:t>
      </w:r>
      <w:r w:rsidRPr="004C3674">
        <w:rPr>
          <w:noProof/>
          <w:lang w:val="en-IE"/>
        </w:rPr>
        <w:t xml:space="preserve"> percentage points more than in </w:t>
      </w:r>
      <w:r w:rsidR="00DE08B6">
        <w:rPr>
          <w:noProof/>
          <w:lang w:val="en-IE"/>
        </w:rPr>
        <w:t>the core scenarios</w:t>
      </w:r>
      <w:r w:rsidRPr="004C3674">
        <w:rPr>
          <w:noProof/>
          <w:lang w:val="en-IE"/>
        </w:rPr>
        <w:t xml:space="preserve"> in </w:t>
      </w:r>
      <w:r w:rsidR="00DE08B6">
        <w:rPr>
          <w:noProof/>
          <w:lang w:val="en-IE"/>
        </w:rPr>
        <w:t xml:space="preserve">2040, and 4-7 pp </w:t>
      </w:r>
      <w:r w:rsidR="00432AD3">
        <w:rPr>
          <w:noProof/>
          <w:lang w:val="en-IE"/>
        </w:rPr>
        <w:t xml:space="preserve">more </w:t>
      </w:r>
      <w:r w:rsidR="00DE08B6">
        <w:rPr>
          <w:noProof/>
          <w:lang w:val="en-IE"/>
        </w:rPr>
        <w:t>in 2050</w:t>
      </w:r>
      <w:r w:rsidRPr="004C3674">
        <w:rPr>
          <w:noProof/>
          <w:lang w:val="en-IE"/>
        </w:rPr>
        <w:t>). Nevertheless,</w:t>
      </w:r>
      <w:r w:rsidRPr="006C1708">
        <w:rPr>
          <w:noProof/>
          <w:lang w:val="en-IE"/>
        </w:rPr>
        <w:t xml:space="preserve"> the fuel mix </w:t>
      </w:r>
      <w:r w:rsidR="00482466">
        <w:rPr>
          <w:noProof/>
          <w:lang w:val="en-IE"/>
        </w:rPr>
        <w:t>remains</w:t>
      </w:r>
      <w:r w:rsidRPr="006C1708">
        <w:rPr>
          <w:noProof/>
          <w:lang w:val="en-IE"/>
        </w:rPr>
        <w:t xml:space="preserve"> similar to that of the </w:t>
      </w:r>
      <w:r w:rsidR="00D62C84">
        <w:rPr>
          <w:noProof/>
          <w:lang w:val="en-IE"/>
        </w:rPr>
        <w:t xml:space="preserve">core </w:t>
      </w:r>
      <w:r w:rsidRPr="006C1708">
        <w:rPr>
          <w:noProof/>
          <w:lang w:val="en-IE"/>
        </w:rPr>
        <w:t>scenario</w:t>
      </w:r>
      <w:r w:rsidR="00DE08B6">
        <w:rPr>
          <w:noProof/>
          <w:lang w:val="en-IE"/>
        </w:rPr>
        <w:t>s</w:t>
      </w:r>
      <w:r w:rsidRPr="006C1708">
        <w:rPr>
          <w:noProof/>
          <w:lang w:val="en-IE"/>
        </w:rPr>
        <w:t xml:space="preserve"> (in relative terms)</w:t>
      </w:r>
      <w:r w:rsidR="00D62C84">
        <w:rPr>
          <w:noProof/>
          <w:lang w:val="en-IE"/>
        </w:rPr>
        <w:t>, particularly S2 and S3</w:t>
      </w:r>
      <w:r w:rsidRPr="006C1708">
        <w:rPr>
          <w:noProof/>
          <w:lang w:val="en-IE"/>
        </w:rPr>
        <w:t>.</w:t>
      </w:r>
    </w:p>
    <w:p w14:paraId="3E6177D0" w14:textId="77777777" w:rsidR="003939AD" w:rsidRDefault="003939AD" w:rsidP="00F732B7">
      <w:pPr>
        <w:pStyle w:val="Caption"/>
        <w:rPr>
          <w:noProof/>
        </w:rPr>
      </w:pPr>
    </w:p>
    <w:p w14:paraId="5E3EF968" w14:textId="0D546A4A" w:rsidR="00F13FEF" w:rsidRDefault="000E1139" w:rsidP="006330BC">
      <w:pPr>
        <w:pStyle w:val="Caption"/>
        <w:rPr>
          <w:noProof/>
        </w:rPr>
      </w:pPr>
      <w:bookmarkStart w:id="361" w:name="_Ref143870966"/>
      <w:bookmarkStart w:id="362" w:name="_Ref146789180"/>
      <w:bookmarkStart w:id="363" w:name="_Toc157679819"/>
      <w:r>
        <w:rPr>
          <w:noProof/>
        </w:rPr>
        <w:t xml:space="preserve">Figure </w:t>
      </w:r>
      <w:r>
        <w:rPr>
          <w:noProof/>
        </w:rPr>
        <w:fldChar w:fldCharType="begin"/>
      </w:r>
      <w:r>
        <w:rPr>
          <w:noProof/>
        </w:rPr>
        <w:instrText>SEQ Figure \* ARABIC</w:instrText>
      </w:r>
      <w:r>
        <w:rPr>
          <w:noProof/>
        </w:rPr>
        <w:fldChar w:fldCharType="separate"/>
      </w:r>
      <w:r w:rsidR="00170A3C">
        <w:rPr>
          <w:noProof/>
        </w:rPr>
        <w:t>71</w:t>
      </w:r>
      <w:r>
        <w:rPr>
          <w:noProof/>
        </w:rPr>
        <w:fldChar w:fldCharType="end"/>
      </w:r>
      <w:bookmarkEnd w:id="361"/>
      <w:r>
        <w:rPr>
          <w:noProof/>
        </w:rPr>
        <w:t xml:space="preserve">: </w:t>
      </w:r>
      <w:r w:rsidR="00F9205E">
        <w:rPr>
          <w:noProof/>
        </w:rPr>
        <w:t xml:space="preserve">EU </w:t>
      </w:r>
      <w:r w:rsidR="00220EB8">
        <w:rPr>
          <w:noProof/>
        </w:rPr>
        <w:t>e</w:t>
      </w:r>
      <w:r w:rsidRPr="00B101FB">
        <w:rPr>
          <w:noProof/>
        </w:rPr>
        <w:t xml:space="preserve">nergy consumption in the </w:t>
      </w:r>
      <w:r>
        <w:rPr>
          <w:noProof/>
        </w:rPr>
        <w:t>rail</w:t>
      </w:r>
      <w:r w:rsidRPr="00B101FB">
        <w:rPr>
          <w:noProof/>
        </w:rPr>
        <w:t xml:space="preserve"> sector </w:t>
      </w:r>
      <w:r w:rsidR="001B3B79">
        <w:rPr>
          <w:noProof/>
        </w:rPr>
        <w:t>by</w:t>
      </w:r>
      <w:r w:rsidRPr="00B101FB">
        <w:rPr>
          <w:noProof/>
        </w:rPr>
        <w:t xml:space="preserve"> fuel</w:t>
      </w:r>
      <w:r w:rsidR="00FB23A7">
        <w:rPr>
          <w:noProof/>
        </w:rPr>
        <w:t>/energy carrier</w:t>
      </w:r>
      <w:r w:rsidRPr="00B101FB">
        <w:rPr>
          <w:noProof/>
        </w:rPr>
        <w:t xml:space="preserve"> type</w:t>
      </w:r>
      <w:bookmarkEnd w:id="362"/>
      <w:bookmarkEnd w:id="363"/>
    </w:p>
    <w:p w14:paraId="31CB182B" w14:textId="46715158" w:rsidR="00B45CC7" w:rsidRPr="00F732B7" w:rsidRDefault="00B45CC7" w:rsidP="00664723">
      <w:pPr>
        <w:keepNext/>
        <w:jc w:val="center"/>
        <w:rPr>
          <w:noProof/>
        </w:rPr>
      </w:pPr>
      <w:r w:rsidRPr="00B45CC7">
        <w:rPr>
          <w:noProof/>
          <w:lang w:eastAsia="en-GB"/>
        </w:rPr>
        <w:drawing>
          <wp:inline distT="0" distB="0" distL="0" distR="0" wp14:anchorId="2615D1A4" wp14:editId="5986C32A">
            <wp:extent cx="5472430" cy="232473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472430" cy="2324735"/>
                    </a:xfrm>
                    <a:prstGeom prst="rect">
                      <a:avLst/>
                    </a:prstGeom>
                    <a:noFill/>
                    <a:ln>
                      <a:noFill/>
                    </a:ln>
                  </pic:spPr>
                </pic:pic>
              </a:graphicData>
            </a:graphic>
          </wp:inline>
        </w:drawing>
      </w:r>
    </w:p>
    <w:p w14:paraId="6A0BC20C" w14:textId="5F62F84E" w:rsidR="000A22B1" w:rsidRPr="00F732B7" w:rsidRDefault="000A22B1" w:rsidP="000A22B1">
      <w:pPr>
        <w:pStyle w:val="CT-NOTE"/>
        <w:rPr>
          <w:noProof/>
        </w:rPr>
      </w:pPr>
      <w:r>
        <w:rPr>
          <w:noProof/>
        </w:rPr>
        <w:t xml:space="preserve">Note: </w:t>
      </w:r>
      <w:r w:rsidR="00B03970">
        <w:rPr>
          <w:noProof/>
        </w:rPr>
        <w:t xml:space="preserve">Energy consumption </w:t>
      </w:r>
      <w:r>
        <w:rPr>
          <w:noProof/>
        </w:rPr>
        <w:t>including passenger and freight rail transport.</w:t>
      </w:r>
    </w:p>
    <w:p w14:paraId="1E13BF5B" w14:textId="74A8BFB0" w:rsidR="009F4824" w:rsidRPr="00F7031A" w:rsidRDefault="009F4824" w:rsidP="00923B34">
      <w:pPr>
        <w:pStyle w:val="CT-SOURCE"/>
        <w:rPr>
          <w:rFonts w:ascii="Cambria Math" w:hAnsi="Cambria Math"/>
          <w:noProof/>
          <w:szCs w:val="18"/>
          <w:lang w:val="fr-BE"/>
        </w:rPr>
      </w:pPr>
      <w:r w:rsidRPr="61BF51EC">
        <w:rPr>
          <w:noProof/>
        </w:rPr>
        <w:t>Source: PRIMES.</w:t>
      </w:r>
    </w:p>
    <w:p w14:paraId="13B41FC5" w14:textId="7872FECA" w:rsidR="00923CE2" w:rsidRPr="00630343" w:rsidRDefault="009E2ED5" w:rsidP="00F7719F">
      <w:pPr>
        <w:pStyle w:val="Heading4"/>
        <w:rPr>
          <w:noProof/>
        </w:rPr>
      </w:pPr>
      <w:r w:rsidRPr="00630343">
        <w:rPr>
          <w:noProof/>
        </w:rPr>
        <w:t xml:space="preserve"> </w:t>
      </w:r>
      <w:r w:rsidR="00EA00C1" w:rsidRPr="00630343">
        <w:rPr>
          <w:noProof/>
        </w:rPr>
        <w:t>Domestic navigation</w:t>
      </w:r>
    </w:p>
    <w:p w14:paraId="6A613B09" w14:textId="4B43AFAA" w:rsidR="00CC74A1" w:rsidRDefault="000151A6" w:rsidP="00CC74A1">
      <w:pPr>
        <w:rPr>
          <w:noProof/>
          <w:lang w:val="en-IE"/>
        </w:rPr>
      </w:pPr>
      <w:r w:rsidRPr="000151A6">
        <w:rPr>
          <w:noProof/>
          <w:lang w:val="en-IE"/>
        </w:rPr>
        <w:t xml:space="preserve">As explained in </w:t>
      </w:r>
      <w:r w:rsidR="00A5579B">
        <w:rPr>
          <w:noProof/>
          <w:lang w:val="en-IE"/>
        </w:rPr>
        <w:t>S</w:t>
      </w:r>
      <w:r w:rsidRPr="000151A6">
        <w:rPr>
          <w:noProof/>
          <w:lang w:val="en-IE"/>
        </w:rPr>
        <w:t>ection</w:t>
      </w:r>
      <w:r w:rsidR="00A5579B">
        <w:rPr>
          <w:noProof/>
          <w:lang w:val="en-IE"/>
        </w:rPr>
        <w:t xml:space="preserve"> </w:t>
      </w:r>
      <w:r w:rsidR="00A5579B">
        <w:rPr>
          <w:noProof/>
          <w:lang w:val="en-IE"/>
        </w:rPr>
        <w:fldChar w:fldCharType="begin"/>
      </w:r>
      <w:r w:rsidR="00A5579B">
        <w:rPr>
          <w:noProof/>
          <w:lang w:val="en-IE"/>
        </w:rPr>
        <w:instrText xml:space="preserve"> REF _Ref143242989 \r \h </w:instrText>
      </w:r>
      <w:r w:rsidR="00A5579B">
        <w:rPr>
          <w:noProof/>
          <w:lang w:val="en-IE"/>
        </w:rPr>
      </w:r>
      <w:r w:rsidR="00A5579B">
        <w:rPr>
          <w:noProof/>
          <w:lang w:val="en-IE"/>
        </w:rPr>
        <w:fldChar w:fldCharType="separate"/>
      </w:r>
      <w:r w:rsidR="00170A3C">
        <w:rPr>
          <w:noProof/>
          <w:lang w:val="en-IE"/>
        </w:rPr>
        <w:t>1.5.2</w:t>
      </w:r>
      <w:r w:rsidR="00A5579B">
        <w:rPr>
          <w:noProof/>
          <w:lang w:val="en-IE"/>
        </w:rPr>
        <w:fldChar w:fldCharType="end"/>
      </w:r>
      <w:r w:rsidRPr="000151A6">
        <w:rPr>
          <w:noProof/>
          <w:lang w:val="en-IE"/>
        </w:rPr>
        <w:t>,</w:t>
      </w:r>
      <w:r w:rsidR="00453848">
        <w:rPr>
          <w:noProof/>
          <w:lang w:val="en-IE"/>
        </w:rPr>
        <w:t xml:space="preserve"> in</w:t>
      </w:r>
      <w:r w:rsidR="00541481" w:rsidRPr="00541481">
        <w:rPr>
          <w:noProof/>
          <w:lang w:val="en-IE"/>
        </w:rPr>
        <w:t xml:space="preserve"> this impact assessment, the term </w:t>
      </w:r>
      <w:r w:rsidR="00541481" w:rsidRPr="00541481">
        <w:rPr>
          <w:i/>
          <w:iCs/>
          <w:noProof/>
          <w:lang w:val="en-IE"/>
        </w:rPr>
        <w:t>domestic navigation</w:t>
      </w:r>
      <w:r w:rsidR="00541481" w:rsidRPr="00541481">
        <w:rPr>
          <w:noProof/>
          <w:lang w:val="en-IE"/>
        </w:rPr>
        <w:t xml:space="preserve"> includes inland waterway transport and national maritime transport </w:t>
      </w:r>
      <w:r w:rsidR="00541481" w:rsidRPr="004C3674">
        <w:rPr>
          <w:noProof/>
          <w:lang w:val="en-IE"/>
        </w:rPr>
        <w:t>(</w:t>
      </w:r>
      <w:r w:rsidR="00541481" w:rsidRPr="004C3674">
        <w:rPr>
          <w:rStyle w:val="FootnoteReference"/>
          <w:noProof/>
          <w:lang w:val="en-IE"/>
        </w:rPr>
        <w:footnoteReference w:id="129"/>
      </w:r>
      <w:r w:rsidR="00541481" w:rsidRPr="004C3674">
        <w:rPr>
          <w:noProof/>
          <w:lang w:val="en-IE"/>
        </w:rPr>
        <w:t xml:space="preserve">). The composition of the vessel fleet used for domestic navigation in the EU is projected to undergo significant changes between 2015 and 2050, in a similar way across all scenarios. In 2015, the fleet consisted almost entirely of conventional vessels powered by liquid fossil fuels (i.e., diesel, gasoline and fuel oil). However, the share of </w:t>
      </w:r>
      <w:r w:rsidR="002E0646">
        <w:rPr>
          <w:noProof/>
          <w:lang w:val="en-IE"/>
        </w:rPr>
        <w:t>vessels</w:t>
      </w:r>
      <w:r w:rsidR="00541481" w:rsidRPr="004C3674">
        <w:rPr>
          <w:noProof/>
          <w:lang w:val="en-IE"/>
        </w:rPr>
        <w:t xml:space="preserve"> using alternative propulsion technologies is expected to grow in the next decades. More specifically, in the S1, S2 and S3 scenarios, the share of battery-electric vessels in the fleet increases to 14% in 2040 and 24% in 2050, while the share of fuel-cell ships, which are deployed only after 2040, becomes 6% in 2050. Furthermore, the share of vessels using gaseous fuels grows over time, reaching 8% of the fleet in 2040 and 11-12% in 2050. It is important to note that, even though the share of vessels </w:t>
      </w:r>
      <w:r w:rsidR="0008779B" w:rsidRPr="004C3674">
        <w:rPr>
          <w:noProof/>
          <w:lang w:val="en-IE"/>
        </w:rPr>
        <w:t>equipped with</w:t>
      </w:r>
      <w:r w:rsidR="00541481" w:rsidRPr="004C3674">
        <w:rPr>
          <w:noProof/>
          <w:lang w:val="en-IE"/>
        </w:rPr>
        <w:t xml:space="preserve"> conventional propulsion systems </w:t>
      </w:r>
      <w:r w:rsidR="0008779B" w:rsidRPr="004C3674">
        <w:rPr>
          <w:noProof/>
          <w:lang w:val="en-IE"/>
        </w:rPr>
        <w:t>using</w:t>
      </w:r>
      <w:r w:rsidR="00541481" w:rsidRPr="004C3674">
        <w:rPr>
          <w:noProof/>
          <w:lang w:val="en-IE"/>
        </w:rPr>
        <w:t xml:space="preserve"> liquid fuels is projected to decline over time, this ship type remains the predominant one, representing 78% of the EU fleet in 2040 and 58% in 2050.</w:t>
      </w:r>
    </w:p>
    <w:p w14:paraId="0865B52C" w14:textId="020C9DDD" w:rsidR="003846C1" w:rsidRPr="007B5650" w:rsidRDefault="00CC74A1" w:rsidP="00CC74A1">
      <w:pPr>
        <w:rPr>
          <w:noProof/>
          <w:lang w:val="en-IE"/>
        </w:rPr>
      </w:pPr>
      <w:r w:rsidRPr="00CC74A1">
        <w:rPr>
          <w:noProof/>
          <w:lang w:val="en-IE"/>
        </w:rPr>
        <w:t xml:space="preserve">As a result of the fleet composition changes described above, along with a significant uptake of </w:t>
      </w:r>
      <w:r w:rsidR="001116CF">
        <w:rPr>
          <w:noProof/>
          <w:lang w:val="en-IE"/>
        </w:rPr>
        <w:t xml:space="preserve">liquid </w:t>
      </w:r>
      <w:r w:rsidRPr="00CC74A1">
        <w:rPr>
          <w:noProof/>
          <w:lang w:val="en-IE"/>
        </w:rPr>
        <w:t>biofuels</w:t>
      </w:r>
      <w:r w:rsidR="001116CF">
        <w:rPr>
          <w:noProof/>
          <w:lang w:val="en-IE"/>
        </w:rPr>
        <w:t>, biogas</w:t>
      </w:r>
      <w:r w:rsidRPr="00CC74A1">
        <w:rPr>
          <w:noProof/>
          <w:lang w:val="en-IE"/>
        </w:rPr>
        <w:t xml:space="preserve"> and e-fuels after 2030, the EU’s fleet goes from consuming almost only fossil fuels in 2015 to using mostly zero-</w:t>
      </w:r>
      <w:r w:rsidR="000854CC">
        <w:rPr>
          <w:noProof/>
          <w:lang w:val="en-IE"/>
        </w:rPr>
        <w:t xml:space="preserve"> and low-</w:t>
      </w:r>
      <w:r w:rsidRPr="00CC74A1">
        <w:rPr>
          <w:noProof/>
          <w:lang w:val="en-IE"/>
        </w:rPr>
        <w:t xml:space="preserve">emission energy carriers in 2050. </w:t>
      </w:r>
      <w:r w:rsidR="00460EB4">
        <w:rPr>
          <w:noProof/>
          <w:lang w:val="en-IE"/>
        </w:rPr>
        <w:t>In the S1, S2 and S3 scenarios, p</w:t>
      </w:r>
      <w:r w:rsidRPr="00CC74A1">
        <w:rPr>
          <w:noProof/>
          <w:lang w:val="en-IE"/>
        </w:rPr>
        <w:t>rojections show that liquid oil products and natural gas represent only 6-7% and 1% of the total amount of energy consumed by domestic navigation in 2050, respectively (see</w:t>
      </w:r>
      <w:r w:rsidR="00313BE4">
        <w:rPr>
          <w:noProof/>
          <w:lang w:val="en-IE"/>
        </w:rPr>
        <w:t xml:space="preserve"> </w:t>
      </w:r>
      <w:r w:rsidR="00313BE4" w:rsidRPr="005948CC">
        <w:rPr>
          <w:noProof/>
          <w:lang w:val="en-IE"/>
        </w:rPr>
        <w:fldChar w:fldCharType="begin"/>
      </w:r>
      <w:r w:rsidR="00313BE4" w:rsidRPr="00313BE4">
        <w:rPr>
          <w:noProof/>
          <w:highlight w:val="yellow"/>
          <w:lang w:val="en-IE"/>
        </w:rPr>
        <w:instrText xml:space="preserve"> REF _Ref144396093 \h </w:instrText>
      </w:r>
      <w:r w:rsidR="00313BE4">
        <w:rPr>
          <w:noProof/>
          <w:highlight w:val="yellow"/>
          <w:lang w:val="en-IE"/>
        </w:rPr>
        <w:instrText xml:space="preserve"> \* MERGEFORMAT </w:instrText>
      </w:r>
      <w:r w:rsidR="00313BE4" w:rsidRPr="005948CC">
        <w:rPr>
          <w:noProof/>
          <w:lang w:val="en-IE"/>
        </w:rPr>
      </w:r>
      <w:r w:rsidR="00313BE4" w:rsidRPr="005948CC">
        <w:rPr>
          <w:noProof/>
          <w:lang w:val="en-IE"/>
        </w:rPr>
        <w:fldChar w:fldCharType="separate"/>
      </w:r>
      <w:r w:rsidR="00170A3C">
        <w:rPr>
          <w:noProof/>
        </w:rPr>
        <w:t>Figure 72</w:t>
      </w:r>
      <w:r w:rsidR="00313BE4" w:rsidRPr="005948CC">
        <w:rPr>
          <w:noProof/>
          <w:lang w:val="en-IE"/>
        </w:rPr>
        <w:fldChar w:fldCharType="end"/>
      </w:r>
      <w:r w:rsidR="00313BE4">
        <w:rPr>
          <w:noProof/>
          <w:lang w:val="en-IE"/>
        </w:rPr>
        <w:t>)</w:t>
      </w:r>
      <w:r w:rsidRPr="00CC74A1">
        <w:rPr>
          <w:noProof/>
          <w:lang w:val="en-IE"/>
        </w:rPr>
        <w:t xml:space="preserve">. </w:t>
      </w:r>
      <w:r w:rsidR="00CA3803" w:rsidRPr="00CA3803">
        <w:rPr>
          <w:noProof/>
          <w:lang w:val="en-IE"/>
        </w:rPr>
        <w:t xml:space="preserve">Instead, </w:t>
      </w:r>
      <w:r w:rsidR="00FE5B9E">
        <w:rPr>
          <w:noProof/>
          <w:lang w:val="en-IE"/>
        </w:rPr>
        <w:t xml:space="preserve">liquid </w:t>
      </w:r>
      <w:r w:rsidR="00CA3803" w:rsidRPr="00CA3803">
        <w:rPr>
          <w:noProof/>
          <w:lang w:val="en-IE"/>
        </w:rPr>
        <w:t>biofuels</w:t>
      </w:r>
      <w:r w:rsidR="00FE5B9E">
        <w:rPr>
          <w:noProof/>
          <w:lang w:val="en-IE"/>
        </w:rPr>
        <w:t>, biogas</w:t>
      </w:r>
      <w:r w:rsidR="00CA3803" w:rsidRPr="00CA3803">
        <w:rPr>
          <w:noProof/>
          <w:lang w:val="en-IE"/>
        </w:rPr>
        <w:t xml:space="preserve"> and e-fuels (in gaseous </w:t>
      </w:r>
      <w:r w:rsidR="00A60892">
        <w:rPr>
          <w:noProof/>
          <w:lang w:val="en-IE"/>
        </w:rPr>
        <w:t>or</w:t>
      </w:r>
      <w:r w:rsidR="00CA3803" w:rsidRPr="00CA3803">
        <w:rPr>
          <w:noProof/>
          <w:lang w:val="en-IE"/>
        </w:rPr>
        <w:t xml:space="preserve"> liquid form) are projected to represent 76-77% of the total energy consumption in 2050, while </w:t>
      </w:r>
      <w:r w:rsidR="00C82204">
        <w:rPr>
          <w:noProof/>
          <w:lang w:val="en-IE"/>
        </w:rPr>
        <w:t xml:space="preserve">the share of </w:t>
      </w:r>
      <w:r w:rsidR="00CA3803" w:rsidRPr="00CA3803">
        <w:rPr>
          <w:noProof/>
          <w:lang w:val="en-IE"/>
        </w:rPr>
        <w:t xml:space="preserve">electricity and hydrogen </w:t>
      </w:r>
      <w:r w:rsidR="00C82204">
        <w:rPr>
          <w:noProof/>
          <w:lang w:val="en-IE"/>
        </w:rPr>
        <w:t>taken together reaches</w:t>
      </w:r>
      <w:r w:rsidR="00CA3803" w:rsidRPr="00CA3803">
        <w:rPr>
          <w:noProof/>
          <w:lang w:val="en-IE"/>
        </w:rPr>
        <w:t xml:space="preserve"> 16%</w:t>
      </w:r>
      <w:r w:rsidR="00CA3803">
        <w:rPr>
          <w:noProof/>
          <w:lang w:val="en-IE"/>
        </w:rPr>
        <w:t xml:space="preserve">. </w:t>
      </w:r>
      <w:r w:rsidRPr="00CC74A1">
        <w:rPr>
          <w:noProof/>
          <w:lang w:val="en-IE"/>
        </w:rPr>
        <w:t xml:space="preserve">Note that the fuels used by conventional vessels have a significantly lower carbon intensity in 2040 and 2050 than in 2015, due to the increased consumption of </w:t>
      </w:r>
      <w:r w:rsidR="00323EF3">
        <w:rPr>
          <w:noProof/>
          <w:lang w:val="en-IE"/>
        </w:rPr>
        <w:t xml:space="preserve">liquid </w:t>
      </w:r>
      <w:r w:rsidRPr="00CC74A1">
        <w:rPr>
          <w:noProof/>
          <w:lang w:val="en-IE"/>
        </w:rPr>
        <w:t>biofuels</w:t>
      </w:r>
      <w:r w:rsidR="00323EF3">
        <w:rPr>
          <w:noProof/>
          <w:lang w:val="en-IE"/>
        </w:rPr>
        <w:t>, biogas</w:t>
      </w:r>
      <w:r w:rsidRPr="00CC74A1">
        <w:rPr>
          <w:noProof/>
          <w:lang w:val="en-IE"/>
        </w:rPr>
        <w:t xml:space="preserve"> and e-fuels (both in gaseous and liquid form) relative to fossil fuels (see</w:t>
      </w:r>
      <w:r w:rsidR="00460EB4">
        <w:rPr>
          <w:noProof/>
          <w:lang w:val="en-IE"/>
        </w:rPr>
        <w:t xml:space="preserve"> </w:t>
      </w:r>
      <w:r w:rsidR="00460EB4" w:rsidRPr="005948CC">
        <w:rPr>
          <w:noProof/>
          <w:lang w:val="en-IE"/>
        </w:rPr>
        <w:fldChar w:fldCharType="begin"/>
      </w:r>
      <w:r w:rsidR="00460EB4" w:rsidRPr="005948CC">
        <w:rPr>
          <w:noProof/>
          <w:lang w:val="en-IE"/>
        </w:rPr>
        <w:instrText xml:space="preserve"> REF _Ref144396093 \h  \* MERGEFORMAT </w:instrText>
      </w:r>
      <w:r w:rsidR="00460EB4" w:rsidRPr="005948CC">
        <w:rPr>
          <w:noProof/>
          <w:lang w:val="en-IE"/>
        </w:rPr>
      </w:r>
      <w:r w:rsidR="00460EB4" w:rsidRPr="005948CC">
        <w:rPr>
          <w:noProof/>
          <w:lang w:val="en-IE"/>
        </w:rPr>
        <w:fldChar w:fldCharType="separate"/>
      </w:r>
      <w:r w:rsidR="00170A3C">
        <w:rPr>
          <w:noProof/>
        </w:rPr>
        <w:t>Figure 72</w:t>
      </w:r>
      <w:r w:rsidR="00460EB4" w:rsidRPr="005948CC">
        <w:rPr>
          <w:noProof/>
          <w:lang w:val="en-IE"/>
        </w:rPr>
        <w:fldChar w:fldCharType="end"/>
      </w:r>
      <w:r w:rsidR="00460EB4">
        <w:rPr>
          <w:noProof/>
          <w:lang w:val="en-IE"/>
        </w:rPr>
        <w:t>)</w:t>
      </w:r>
      <w:r w:rsidRPr="00CC74A1">
        <w:rPr>
          <w:noProof/>
          <w:lang w:val="en-IE"/>
        </w:rPr>
        <w:t xml:space="preserve">. This is particularly important in 2040, with </w:t>
      </w:r>
      <w:r w:rsidRPr="007B5650">
        <w:rPr>
          <w:noProof/>
          <w:lang w:val="en-IE"/>
        </w:rPr>
        <w:t xml:space="preserve">significant differences in carbon intensity between scenarios. More specifically, the carbon intensity of fuels used by conventional </w:t>
      </w:r>
      <w:r w:rsidR="00D01784">
        <w:rPr>
          <w:noProof/>
          <w:lang w:val="en-IE"/>
        </w:rPr>
        <w:t>vessels</w:t>
      </w:r>
      <w:r w:rsidRPr="007B5650">
        <w:rPr>
          <w:noProof/>
          <w:lang w:val="en-IE"/>
        </w:rPr>
        <w:t xml:space="preserve"> in 2040 is highest in the S1 scenario </w:t>
      </w:r>
      <w:r w:rsidR="00F71E85" w:rsidRPr="007B5650">
        <w:rPr>
          <w:noProof/>
          <w:lang w:val="en-IE"/>
        </w:rPr>
        <w:t xml:space="preserve">(31% lower </w:t>
      </w:r>
      <w:r w:rsidR="00460EB4" w:rsidRPr="007B5650">
        <w:rPr>
          <w:noProof/>
          <w:lang w:val="en-IE"/>
        </w:rPr>
        <w:t xml:space="preserve">intensity </w:t>
      </w:r>
      <w:r w:rsidR="00F71E85" w:rsidRPr="007B5650">
        <w:rPr>
          <w:noProof/>
          <w:lang w:val="en-IE"/>
        </w:rPr>
        <w:t xml:space="preserve">than in 2015) </w:t>
      </w:r>
      <w:r w:rsidRPr="007B5650">
        <w:rPr>
          <w:noProof/>
          <w:lang w:val="en-IE"/>
        </w:rPr>
        <w:t>and lowest in the S3 scenario</w:t>
      </w:r>
      <w:r w:rsidR="00F71E85" w:rsidRPr="007B5650">
        <w:rPr>
          <w:noProof/>
          <w:lang w:val="en-IE"/>
        </w:rPr>
        <w:t xml:space="preserve"> (54% lower </w:t>
      </w:r>
      <w:r w:rsidR="00460EB4" w:rsidRPr="007B5650">
        <w:rPr>
          <w:noProof/>
          <w:lang w:val="en-IE"/>
        </w:rPr>
        <w:t xml:space="preserve">intensity </w:t>
      </w:r>
      <w:r w:rsidR="00F71E85" w:rsidRPr="007B5650">
        <w:rPr>
          <w:noProof/>
          <w:lang w:val="en-IE"/>
        </w:rPr>
        <w:t xml:space="preserve">than in 2015), while in 2050 it is </w:t>
      </w:r>
      <w:r w:rsidR="004866AD">
        <w:rPr>
          <w:noProof/>
          <w:lang w:val="en-IE"/>
        </w:rPr>
        <w:t>91-93%</w:t>
      </w:r>
      <w:r w:rsidR="00F71E85" w:rsidRPr="007B5650">
        <w:rPr>
          <w:noProof/>
          <w:lang w:val="en-IE"/>
        </w:rPr>
        <w:t xml:space="preserve"> lower than in 2015 in </w:t>
      </w:r>
      <w:r w:rsidR="00252359">
        <w:rPr>
          <w:noProof/>
          <w:lang w:val="en-IE"/>
        </w:rPr>
        <w:t>the three main</w:t>
      </w:r>
      <w:r w:rsidR="00F71E85" w:rsidRPr="007B5650">
        <w:rPr>
          <w:noProof/>
          <w:lang w:val="en-IE"/>
        </w:rPr>
        <w:t xml:space="preserve"> scenarios.</w:t>
      </w:r>
      <w:r w:rsidRPr="007B5650">
        <w:rPr>
          <w:noProof/>
          <w:lang w:val="en-IE"/>
        </w:rPr>
        <w:t xml:space="preserve"> </w:t>
      </w:r>
    </w:p>
    <w:p w14:paraId="4F1EBB6F" w14:textId="592BE112" w:rsidR="00CC74A1" w:rsidRPr="007B5650" w:rsidRDefault="00CC74A1" w:rsidP="00CC74A1">
      <w:pPr>
        <w:rPr>
          <w:noProof/>
          <w:lang w:val="en-IE"/>
        </w:rPr>
      </w:pPr>
      <w:r w:rsidRPr="007B5650">
        <w:rPr>
          <w:noProof/>
          <w:lang w:val="en-IE"/>
        </w:rPr>
        <w:t>Furthermore, it should be noted that</w:t>
      </w:r>
      <w:r w:rsidR="00366CD1">
        <w:rPr>
          <w:noProof/>
          <w:lang w:val="en-IE"/>
        </w:rPr>
        <w:t>,</w:t>
      </w:r>
      <w:r w:rsidRPr="007B5650">
        <w:rPr>
          <w:noProof/>
          <w:lang w:val="en-IE"/>
        </w:rPr>
        <w:t xml:space="preserve"> </w:t>
      </w:r>
      <w:r w:rsidR="008778EF">
        <w:rPr>
          <w:noProof/>
          <w:lang w:val="en-IE"/>
        </w:rPr>
        <w:t>in S1, S2 and S3</w:t>
      </w:r>
      <w:r w:rsidR="00326E32">
        <w:rPr>
          <w:noProof/>
          <w:lang w:val="en-IE"/>
        </w:rPr>
        <w:t>,</w:t>
      </w:r>
      <w:r w:rsidRPr="007B5650">
        <w:rPr>
          <w:noProof/>
          <w:lang w:val="en-IE"/>
        </w:rPr>
        <w:t xml:space="preserve"> the total amount of energy consumed by domestic navigation in the EU increases by around 18-25% in 2040 </w:t>
      </w:r>
      <w:r w:rsidR="00EF2A70" w:rsidRPr="007B5650">
        <w:rPr>
          <w:noProof/>
          <w:lang w:val="en-IE"/>
        </w:rPr>
        <w:t xml:space="preserve">and </w:t>
      </w:r>
      <w:r w:rsidRPr="007B5650">
        <w:rPr>
          <w:noProof/>
          <w:lang w:val="en-IE"/>
        </w:rPr>
        <w:t>9-11% in 2050 compared to 2015 (see</w:t>
      </w:r>
      <w:r w:rsidR="003846C1" w:rsidRPr="007B5650">
        <w:rPr>
          <w:noProof/>
          <w:lang w:val="en-IE"/>
        </w:rPr>
        <w:t xml:space="preserve"> </w:t>
      </w:r>
      <w:r w:rsidR="003846C1" w:rsidRPr="007B5650">
        <w:rPr>
          <w:noProof/>
          <w:lang w:val="en-IE"/>
        </w:rPr>
        <w:fldChar w:fldCharType="begin"/>
      </w:r>
      <w:r w:rsidR="003846C1" w:rsidRPr="007B5650">
        <w:rPr>
          <w:noProof/>
          <w:lang w:val="en-IE"/>
        </w:rPr>
        <w:instrText xml:space="preserve"> REF _Ref144396093 \h  \* MERGEFORMAT </w:instrText>
      </w:r>
      <w:r w:rsidR="003846C1" w:rsidRPr="007B5650">
        <w:rPr>
          <w:noProof/>
          <w:lang w:val="en-IE"/>
        </w:rPr>
      </w:r>
      <w:r w:rsidR="003846C1" w:rsidRPr="007B5650">
        <w:rPr>
          <w:noProof/>
          <w:lang w:val="en-IE"/>
        </w:rPr>
        <w:fldChar w:fldCharType="separate"/>
      </w:r>
      <w:r w:rsidR="00170A3C">
        <w:rPr>
          <w:noProof/>
        </w:rPr>
        <w:t>Figure 72</w:t>
      </w:r>
      <w:r w:rsidR="003846C1" w:rsidRPr="007B5650">
        <w:rPr>
          <w:noProof/>
          <w:lang w:val="en-IE"/>
        </w:rPr>
        <w:fldChar w:fldCharType="end"/>
      </w:r>
      <w:r w:rsidR="003846C1" w:rsidRPr="007B5650">
        <w:rPr>
          <w:noProof/>
          <w:lang w:val="en-IE"/>
        </w:rPr>
        <w:t>)</w:t>
      </w:r>
      <w:r w:rsidRPr="007B5650">
        <w:rPr>
          <w:noProof/>
          <w:lang w:val="en-IE"/>
        </w:rPr>
        <w:t xml:space="preserve">. This </w:t>
      </w:r>
      <w:r w:rsidR="00C022A5" w:rsidRPr="007B5650">
        <w:rPr>
          <w:noProof/>
          <w:lang w:val="en-IE"/>
        </w:rPr>
        <w:t>occurs in parallel to</w:t>
      </w:r>
      <w:r w:rsidRPr="007B5650">
        <w:rPr>
          <w:noProof/>
          <w:lang w:val="en-IE"/>
        </w:rPr>
        <w:t xml:space="preserve"> the deployment of technological and operational measures to improve energy efficiency (e.g., hull design, slow steaming, optimisation of cargo capacity utilisation, etc.) as well as the energy efficiency gains linked to the partial electrification of the fleet.</w:t>
      </w:r>
    </w:p>
    <w:p w14:paraId="7B63D33A" w14:textId="30EFCA83" w:rsidR="00916C32" w:rsidRPr="00CC74A1" w:rsidRDefault="00916C32" w:rsidP="00916C32">
      <w:pPr>
        <w:rPr>
          <w:noProof/>
          <w:lang w:val="en-IE"/>
        </w:rPr>
      </w:pPr>
      <w:r w:rsidRPr="007B5650">
        <w:rPr>
          <w:noProof/>
          <w:lang w:val="en-IE"/>
        </w:rPr>
        <w:t xml:space="preserve">In </w:t>
      </w:r>
      <w:r w:rsidR="00C459D4" w:rsidRPr="007B5650">
        <w:rPr>
          <w:noProof/>
          <w:lang w:val="en-IE"/>
        </w:rPr>
        <w:t>LIFE</w:t>
      </w:r>
      <w:r w:rsidRPr="007B5650">
        <w:rPr>
          <w:noProof/>
          <w:lang w:val="en-IE"/>
        </w:rPr>
        <w:t xml:space="preserve">, the total amount of energy consumed </w:t>
      </w:r>
      <w:r w:rsidR="00923103">
        <w:rPr>
          <w:noProof/>
          <w:lang w:val="en-IE"/>
        </w:rPr>
        <w:t>in</w:t>
      </w:r>
      <w:r w:rsidRPr="007B5650">
        <w:rPr>
          <w:noProof/>
          <w:lang w:val="en-IE"/>
        </w:rPr>
        <w:t xml:space="preserve"> the domestic</w:t>
      </w:r>
      <w:r>
        <w:rPr>
          <w:noProof/>
          <w:lang w:val="en-IE"/>
        </w:rPr>
        <w:t xml:space="preserve"> navigation</w:t>
      </w:r>
      <w:r w:rsidRPr="00916C32">
        <w:rPr>
          <w:noProof/>
          <w:lang w:val="en-IE"/>
        </w:rPr>
        <w:t xml:space="preserve"> sector </w:t>
      </w:r>
      <w:r w:rsidR="00A231DB">
        <w:rPr>
          <w:noProof/>
          <w:lang w:val="en-IE"/>
        </w:rPr>
        <w:t>evolve</w:t>
      </w:r>
      <w:r w:rsidRPr="00916C32">
        <w:rPr>
          <w:noProof/>
          <w:lang w:val="en-IE"/>
        </w:rPr>
        <w:t xml:space="preserve">s over time </w:t>
      </w:r>
      <w:r w:rsidR="00A231DB">
        <w:rPr>
          <w:noProof/>
          <w:lang w:val="en-IE"/>
        </w:rPr>
        <w:t>in the same way as</w:t>
      </w:r>
      <w:r w:rsidRPr="00916C32">
        <w:rPr>
          <w:noProof/>
          <w:lang w:val="en-IE"/>
        </w:rPr>
        <w:t xml:space="preserve"> in </w:t>
      </w:r>
      <w:r w:rsidR="00482466">
        <w:rPr>
          <w:noProof/>
          <w:lang w:val="en-IE"/>
        </w:rPr>
        <w:t>the core scenarios</w:t>
      </w:r>
      <w:r w:rsidR="00106B35">
        <w:rPr>
          <w:noProof/>
          <w:lang w:val="en-IE"/>
        </w:rPr>
        <w:t xml:space="preserve"> (reaching almost 5 Mtoe in 2040 and a bit more than 4 Mtoe in 2050)</w:t>
      </w:r>
      <w:r w:rsidRPr="00916C32">
        <w:rPr>
          <w:noProof/>
          <w:lang w:val="en-IE"/>
        </w:rPr>
        <w:t xml:space="preserve">. </w:t>
      </w:r>
      <w:r w:rsidR="00923103">
        <w:rPr>
          <w:noProof/>
          <w:lang w:val="en-IE"/>
        </w:rPr>
        <w:t xml:space="preserve">In 2040, </w:t>
      </w:r>
      <w:r w:rsidR="00E717C3">
        <w:rPr>
          <w:noProof/>
          <w:lang w:val="en-IE"/>
        </w:rPr>
        <w:t xml:space="preserve">the </w:t>
      </w:r>
      <w:r w:rsidR="00A231DB">
        <w:rPr>
          <w:noProof/>
          <w:lang w:val="en-IE"/>
        </w:rPr>
        <w:t>fuel mix</w:t>
      </w:r>
      <w:r w:rsidRPr="00916C32">
        <w:rPr>
          <w:noProof/>
          <w:lang w:val="en-IE"/>
        </w:rPr>
        <w:t xml:space="preserve"> </w:t>
      </w:r>
      <w:r w:rsidR="00020633">
        <w:rPr>
          <w:noProof/>
          <w:lang w:val="en-IE"/>
        </w:rPr>
        <w:t xml:space="preserve">is similar </w:t>
      </w:r>
      <w:r w:rsidR="00923103">
        <w:rPr>
          <w:noProof/>
          <w:lang w:val="en-IE"/>
        </w:rPr>
        <w:t>to that of the S2 scenario</w:t>
      </w:r>
      <w:r w:rsidRPr="00916C32">
        <w:rPr>
          <w:noProof/>
          <w:lang w:val="en-IE"/>
        </w:rPr>
        <w:t>.</w:t>
      </w:r>
    </w:p>
    <w:p w14:paraId="5FF518CE" w14:textId="4FAA3A57" w:rsidR="00657CDE" w:rsidRDefault="00E26466" w:rsidP="00824D8F">
      <w:pPr>
        <w:pStyle w:val="Caption"/>
        <w:rPr>
          <w:noProof/>
        </w:rPr>
      </w:pPr>
      <w:bookmarkStart w:id="364" w:name="_Ref144396093"/>
      <w:bookmarkStart w:id="365" w:name="_Toc157679820"/>
      <w:r>
        <w:rPr>
          <w:noProof/>
        </w:rPr>
        <w:t xml:space="preserve">Figure </w:t>
      </w:r>
      <w:r>
        <w:rPr>
          <w:noProof/>
        </w:rPr>
        <w:fldChar w:fldCharType="begin"/>
      </w:r>
      <w:r>
        <w:rPr>
          <w:noProof/>
        </w:rPr>
        <w:instrText>SEQ Figure \* ARABIC</w:instrText>
      </w:r>
      <w:r>
        <w:rPr>
          <w:noProof/>
        </w:rPr>
        <w:fldChar w:fldCharType="separate"/>
      </w:r>
      <w:r w:rsidR="00170A3C">
        <w:rPr>
          <w:noProof/>
        </w:rPr>
        <w:t>72</w:t>
      </w:r>
      <w:r>
        <w:rPr>
          <w:noProof/>
        </w:rPr>
        <w:fldChar w:fldCharType="end"/>
      </w:r>
      <w:bookmarkEnd w:id="364"/>
      <w:r>
        <w:rPr>
          <w:noProof/>
        </w:rPr>
        <w:t xml:space="preserve">: </w:t>
      </w:r>
      <w:r w:rsidR="00F9205E">
        <w:rPr>
          <w:noProof/>
        </w:rPr>
        <w:t xml:space="preserve">EU </w:t>
      </w:r>
      <w:r w:rsidR="003044B4">
        <w:rPr>
          <w:noProof/>
        </w:rPr>
        <w:t>e</w:t>
      </w:r>
      <w:r w:rsidRPr="00B101FB">
        <w:rPr>
          <w:noProof/>
        </w:rPr>
        <w:t xml:space="preserve">nergy consumption in </w:t>
      </w:r>
      <w:r>
        <w:rPr>
          <w:noProof/>
        </w:rPr>
        <w:t>domestic navigation</w:t>
      </w:r>
      <w:r w:rsidRPr="00B101FB">
        <w:rPr>
          <w:noProof/>
        </w:rPr>
        <w:t xml:space="preserve"> </w:t>
      </w:r>
      <w:r w:rsidR="00CC74A1">
        <w:rPr>
          <w:noProof/>
        </w:rPr>
        <w:t>by</w:t>
      </w:r>
      <w:r w:rsidRPr="00B101FB">
        <w:rPr>
          <w:noProof/>
        </w:rPr>
        <w:t xml:space="preserve"> fuel</w:t>
      </w:r>
      <w:r w:rsidR="00FB23A7">
        <w:rPr>
          <w:noProof/>
        </w:rPr>
        <w:t>/energy carrier</w:t>
      </w:r>
      <w:r w:rsidR="00B56930">
        <w:rPr>
          <w:noProof/>
        </w:rPr>
        <w:t xml:space="preserve"> type</w:t>
      </w:r>
      <w:bookmarkEnd w:id="365"/>
      <w:r w:rsidRPr="00B101FB">
        <w:rPr>
          <w:noProof/>
        </w:rPr>
        <w:t xml:space="preserve"> </w:t>
      </w:r>
    </w:p>
    <w:p w14:paraId="7E2D96B5" w14:textId="7660795A" w:rsidR="00FA0419" w:rsidRPr="0074366A" w:rsidRDefault="00824D8F" w:rsidP="00E90F62">
      <w:pPr>
        <w:keepNext/>
        <w:jc w:val="center"/>
        <w:rPr>
          <w:noProof/>
        </w:rPr>
      </w:pPr>
      <w:r w:rsidRPr="00824D8F">
        <w:rPr>
          <w:noProof/>
          <w:lang w:eastAsia="en-GB"/>
        </w:rPr>
        <w:drawing>
          <wp:inline distT="0" distB="0" distL="0" distR="0" wp14:anchorId="03B8AADF" wp14:editId="5CEA9D8A">
            <wp:extent cx="5472430" cy="234442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472430" cy="2344420"/>
                    </a:xfrm>
                    <a:prstGeom prst="rect">
                      <a:avLst/>
                    </a:prstGeom>
                    <a:noFill/>
                    <a:ln>
                      <a:noFill/>
                    </a:ln>
                  </pic:spPr>
                </pic:pic>
              </a:graphicData>
            </a:graphic>
          </wp:inline>
        </w:drawing>
      </w:r>
    </w:p>
    <w:p w14:paraId="5BD9C824" w14:textId="18A495F3" w:rsidR="00F367A3" w:rsidRPr="00F367A3" w:rsidRDefault="00F367A3" w:rsidP="00923B34">
      <w:pPr>
        <w:pStyle w:val="CT-NOTE"/>
        <w:rPr>
          <w:noProof/>
        </w:rPr>
      </w:pPr>
      <w:r w:rsidRPr="00F367A3">
        <w:rPr>
          <w:noProof/>
        </w:rPr>
        <w:t xml:space="preserve">Note: </w:t>
      </w:r>
      <w:r w:rsidR="000A22B1">
        <w:rPr>
          <w:noProof/>
        </w:rPr>
        <w:t>Including passenger and freight transport.</w:t>
      </w:r>
      <w:r w:rsidRPr="00F367A3">
        <w:rPr>
          <w:noProof/>
        </w:rPr>
        <w:t xml:space="preserve"> The category «E-Liquids» includes e-methanol, </w:t>
      </w:r>
      <w:r w:rsidR="004C0703">
        <w:rPr>
          <w:noProof/>
        </w:rPr>
        <w:t>e-</w:t>
      </w:r>
      <w:r w:rsidRPr="00F367A3">
        <w:rPr>
          <w:noProof/>
        </w:rPr>
        <w:t>ammonia, synthetic diesel and synthetic fuel oil.</w:t>
      </w:r>
    </w:p>
    <w:p w14:paraId="3E249EC3" w14:textId="59F8658E" w:rsidR="00633232" w:rsidRDefault="00633232" w:rsidP="00E90F62">
      <w:pPr>
        <w:pStyle w:val="CT-SOURCE"/>
        <w:rPr>
          <w:noProof/>
        </w:rPr>
      </w:pPr>
      <w:r w:rsidRPr="61BF51EC">
        <w:rPr>
          <w:noProof/>
        </w:rPr>
        <w:t>Source: PRIMES.</w:t>
      </w:r>
    </w:p>
    <w:p w14:paraId="50C7871C" w14:textId="13587EA0" w:rsidR="00485101" w:rsidRPr="00630343" w:rsidRDefault="009E2ED5" w:rsidP="00F7719F">
      <w:pPr>
        <w:pStyle w:val="Heading4"/>
        <w:rPr>
          <w:noProof/>
        </w:rPr>
      </w:pPr>
      <w:r w:rsidRPr="00630343">
        <w:rPr>
          <w:noProof/>
        </w:rPr>
        <w:t xml:space="preserve"> </w:t>
      </w:r>
      <w:bookmarkStart w:id="366" w:name="_Ref145093285"/>
      <w:r w:rsidR="00485101" w:rsidRPr="00630343">
        <w:rPr>
          <w:noProof/>
        </w:rPr>
        <w:t xml:space="preserve">International </w:t>
      </w:r>
      <w:r w:rsidR="005C2E9A" w:rsidRPr="00630343">
        <w:rPr>
          <w:noProof/>
        </w:rPr>
        <w:t>n</w:t>
      </w:r>
      <w:r w:rsidR="00485101" w:rsidRPr="00630343">
        <w:rPr>
          <w:noProof/>
        </w:rPr>
        <w:t>avi</w:t>
      </w:r>
      <w:r w:rsidR="007204A1" w:rsidRPr="00630343">
        <w:rPr>
          <w:noProof/>
        </w:rPr>
        <w:t>g</w:t>
      </w:r>
      <w:r w:rsidR="006E723B" w:rsidRPr="00630343">
        <w:rPr>
          <w:noProof/>
        </w:rPr>
        <w:t>a</w:t>
      </w:r>
      <w:r w:rsidR="00485101" w:rsidRPr="00630343">
        <w:rPr>
          <w:noProof/>
        </w:rPr>
        <w:t>tion</w:t>
      </w:r>
      <w:bookmarkEnd w:id="366"/>
    </w:p>
    <w:p w14:paraId="44FE8C07" w14:textId="1D752064" w:rsidR="00AC59B1" w:rsidRDefault="00AC59B1" w:rsidP="00AC59B1">
      <w:pPr>
        <w:rPr>
          <w:noProof/>
          <w:lang w:val="en-IE"/>
        </w:rPr>
      </w:pPr>
      <w:r w:rsidRPr="00AC59B1">
        <w:rPr>
          <w:noProof/>
          <w:lang w:val="en-IE"/>
        </w:rPr>
        <w:t xml:space="preserve">The composition of the vessel fleet used for international maritime transport in the EU is projected to change considerably between 2015 </w:t>
      </w:r>
      <w:r w:rsidRPr="007B5650">
        <w:rPr>
          <w:noProof/>
          <w:lang w:val="en-IE"/>
        </w:rPr>
        <w:t xml:space="preserve">and 2050. The transformation is driven by policy measures aimed at decarbonising this sector adopted by the EU (e.g., FuelEU Maritime) and by the International Maritime Organisation (see </w:t>
      </w:r>
      <w:r w:rsidR="00EE66A1" w:rsidRPr="007B5650">
        <w:rPr>
          <w:noProof/>
          <w:lang w:val="en-IE"/>
        </w:rPr>
        <w:t>Annex</w:t>
      </w:r>
      <w:r w:rsidR="00EE66A1" w:rsidRPr="005948CC">
        <w:rPr>
          <w:noProof/>
          <w:lang w:val="en-IE"/>
        </w:rPr>
        <w:t xml:space="preserve"> 6</w:t>
      </w:r>
      <w:r w:rsidRPr="00AC59B1">
        <w:rPr>
          <w:noProof/>
          <w:lang w:val="en-IE"/>
        </w:rPr>
        <w:t xml:space="preserve">). In 2015, the EU’s fleet consisted almost entirely of vessels with conventional engines powered by liquid fossil fuels (i.e., diesel and fuel oil). However, the number of ships using alternative propulsion technologies is projected to grow in the next decades. More specifically, in the S1, S2 and S3 scenarios, the share of battery-electric vessels in the fleet increases </w:t>
      </w:r>
      <w:r w:rsidRPr="007B5650">
        <w:rPr>
          <w:noProof/>
          <w:lang w:val="en-IE"/>
        </w:rPr>
        <w:t>to 2-3% in 2040 and 6-7% in 2050, while the share of fuel-cell ships increases to 3-7% in 2040 and 2</w:t>
      </w:r>
      <w:r w:rsidR="008E0E02" w:rsidRPr="007B5650">
        <w:rPr>
          <w:noProof/>
          <w:lang w:val="en-IE"/>
        </w:rPr>
        <w:t>1</w:t>
      </w:r>
      <w:r w:rsidRPr="007B5650">
        <w:rPr>
          <w:noProof/>
          <w:lang w:val="en-IE"/>
        </w:rPr>
        <w:t>-29% in 2050 (depending on the scenario), as shown in</w:t>
      </w:r>
      <w:r w:rsidR="008E0E02" w:rsidRPr="007B5650">
        <w:rPr>
          <w:noProof/>
          <w:lang w:val="en-IE"/>
        </w:rPr>
        <w:t xml:space="preserve"> </w:t>
      </w:r>
      <w:r w:rsidR="008E0E02" w:rsidRPr="007B5650">
        <w:rPr>
          <w:noProof/>
          <w:lang w:val="en-IE"/>
        </w:rPr>
        <w:fldChar w:fldCharType="begin"/>
      </w:r>
      <w:r w:rsidR="008E0E02" w:rsidRPr="007B5650">
        <w:rPr>
          <w:noProof/>
          <w:lang w:val="en-IE"/>
        </w:rPr>
        <w:instrText xml:space="preserve"> REF _Ref144397820 \h  \* MERGEFORMAT </w:instrText>
      </w:r>
      <w:r w:rsidR="008E0E02" w:rsidRPr="007B5650">
        <w:rPr>
          <w:noProof/>
          <w:lang w:val="en-IE"/>
        </w:rPr>
      </w:r>
      <w:r w:rsidR="008E0E02" w:rsidRPr="007B5650">
        <w:rPr>
          <w:noProof/>
          <w:lang w:val="en-IE"/>
        </w:rPr>
        <w:fldChar w:fldCharType="separate"/>
      </w:r>
      <w:r w:rsidR="00170A3C">
        <w:rPr>
          <w:noProof/>
        </w:rPr>
        <w:t>Figure 73</w:t>
      </w:r>
      <w:r w:rsidR="008E0E02" w:rsidRPr="007B5650">
        <w:rPr>
          <w:noProof/>
          <w:lang w:val="en-IE"/>
        </w:rPr>
        <w:fldChar w:fldCharType="end"/>
      </w:r>
      <w:r w:rsidR="008E0E02" w:rsidRPr="007B5650">
        <w:rPr>
          <w:noProof/>
          <w:lang w:val="en-IE"/>
        </w:rPr>
        <w:t>.</w:t>
      </w:r>
      <w:r w:rsidRPr="007B5650">
        <w:rPr>
          <w:noProof/>
          <w:lang w:val="en-IE"/>
        </w:rPr>
        <w:t xml:space="preserve"> Furthermore, the share of vessels powered by engines that can use gaseous fuels (</w:t>
      </w:r>
      <w:r w:rsidR="004A30D5">
        <w:rPr>
          <w:noProof/>
          <w:lang w:val="en-IE"/>
        </w:rPr>
        <w:t>which are gradually decarbonised</w:t>
      </w:r>
      <w:r w:rsidR="001001B5">
        <w:rPr>
          <w:noProof/>
          <w:lang w:val="en-IE"/>
        </w:rPr>
        <w:t xml:space="preserve"> over time</w:t>
      </w:r>
      <w:r w:rsidRPr="007B5650">
        <w:rPr>
          <w:noProof/>
          <w:lang w:val="en-IE"/>
        </w:rPr>
        <w:t>) grows significantly until 2040 (reaching 20-21% in 2040) and it remains relatively stable after that year (</w:t>
      </w:r>
      <w:r w:rsidR="0056194F" w:rsidRPr="007B5650">
        <w:rPr>
          <w:noProof/>
          <w:lang w:val="en-IE"/>
        </w:rPr>
        <w:t xml:space="preserve">reaching </w:t>
      </w:r>
      <w:r w:rsidRPr="007B5650">
        <w:rPr>
          <w:noProof/>
          <w:lang w:val="en-IE"/>
        </w:rPr>
        <w:t xml:space="preserve">21-23% in 2050). It is important to remark that, even though the share of vessels </w:t>
      </w:r>
      <w:r w:rsidR="00F42B1D" w:rsidRPr="007B5650">
        <w:rPr>
          <w:noProof/>
          <w:lang w:val="en-IE"/>
        </w:rPr>
        <w:t xml:space="preserve">equipped </w:t>
      </w:r>
      <w:r w:rsidRPr="007B5650">
        <w:rPr>
          <w:noProof/>
          <w:lang w:val="en-IE"/>
        </w:rPr>
        <w:t xml:space="preserve">with conventional propulsion systems using liquid fuels is projected to decline over time, this ship type remains the predominant one, representing 71-74% of the EU fleet in 2040 and 44-49% in 2050 (depending on the scenario). Note </w:t>
      </w:r>
      <w:r w:rsidR="00F42B1D" w:rsidRPr="007B5650">
        <w:rPr>
          <w:noProof/>
          <w:lang w:val="en-IE"/>
        </w:rPr>
        <w:t xml:space="preserve">also </w:t>
      </w:r>
      <w:r w:rsidRPr="007B5650">
        <w:rPr>
          <w:noProof/>
          <w:lang w:val="en-IE"/>
        </w:rPr>
        <w:t>that the fleet composition is similar in the S1 and S2 scenarios, whereas in the S3 scenario it shows slightly lower shares of ships with conventional engines along with slightly higher shares of fuel-cell vessels</w:t>
      </w:r>
      <w:r w:rsidR="002C1507" w:rsidRPr="007B5650">
        <w:rPr>
          <w:noProof/>
          <w:lang w:val="en-IE"/>
        </w:rPr>
        <w:t xml:space="preserve"> (see </w:t>
      </w:r>
      <w:r w:rsidR="007133F8" w:rsidRPr="007B5650">
        <w:rPr>
          <w:noProof/>
          <w:lang w:val="en-IE"/>
        </w:rPr>
        <w:fldChar w:fldCharType="begin"/>
      </w:r>
      <w:r w:rsidR="007133F8" w:rsidRPr="007B5650">
        <w:rPr>
          <w:noProof/>
          <w:lang w:val="en-IE"/>
        </w:rPr>
        <w:instrText xml:space="preserve"> REF _Ref144397820 \h  \* MERGEFORMAT </w:instrText>
      </w:r>
      <w:r w:rsidR="007133F8" w:rsidRPr="007B5650">
        <w:rPr>
          <w:noProof/>
          <w:lang w:val="en-IE"/>
        </w:rPr>
      </w:r>
      <w:r w:rsidR="007133F8" w:rsidRPr="007B5650">
        <w:rPr>
          <w:noProof/>
          <w:lang w:val="en-IE"/>
        </w:rPr>
        <w:fldChar w:fldCharType="separate"/>
      </w:r>
      <w:r w:rsidR="00170A3C">
        <w:rPr>
          <w:noProof/>
        </w:rPr>
        <w:t>Figure 73</w:t>
      </w:r>
      <w:r w:rsidR="007133F8" w:rsidRPr="007B5650">
        <w:rPr>
          <w:noProof/>
          <w:lang w:val="en-IE"/>
        </w:rPr>
        <w:fldChar w:fldCharType="end"/>
      </w:r>
      <w:r w:rsidR="002C1507" w:rsidRPr="007B5650">
        <w:rPr>
          <w:noProof/>
          <w:lang w:val="en-IE"/>
        </w:rPr>
        <w:t>)</w:t>
      </w:r>
      <w:r w:rsidRPr="007B5650">
        <w:rPr>
          <w:noProof/>
          <w:lang w:val="en-IE"/>
        </w:rPr>
        <w:t>.</w:t>
      </w:r>
    </w:p>
    <w:p w14:paraId="0B0BEF68" w14:textId="514B9B4F" w:rsidR="00E76259" w:rsidRPr="007B5650" w:rsidRDefault="00E76259" w:rsidP="00AC59B1">
      <w:pPr>
        <w:rPr>
          <w:noProof/>
        </w:rPr>
      </w:pPr>
      <w:r w:rsidRPr="00E76259">
        <w:rPr>
          <w:noProof/>
          <w:lang w:val="en-IE"/>
        </w:rPr>
        <w:t xml:space="preserve">As a result of the fleet composition changes described above, combined with a </w:t>
      </w:r>
      <w:r w:rsidR="006060E0">
        <w:rPr>
          <w:noProof/>
          <w:lang w:val="en-IE"/>
        </w:rPr>
        <w:t>significant</w:t>
      </w:r>
      <w:r w:rsidRPr="00E76259">
        <w:rPr>
          <w:noProof/>
          <w:lang w:val="en-IE"/>
        </w:rPr>
        <w:t xml:space="preserve"> uptake of </w:t>
      </w:r>
      <w:r w:rsidR="006060E0">
        <w:rPr>
          <w:noProof/>
          <w:lang w:val="en-IE"/>
        </w:rPr>
        <w:t xml:space="preserve">liquid </w:t>
      </w:r>
      <w:r w:rsidRPr="00E76259">
        <w:rPr>
          <w:noProof/>
          <w:lang w:val="en-IE"/>
        </w:rPr>
        <w:t>biofuels</w:t>
      </w:r>
      <w:r w:rsidR="006060E0">
        <w:rPr>
          <w:noProof/>
          <w:lang w:val="en-IE"/>
        </w:rPr>
        <w:t>, biogas</w:t>
      </w:r>
      <w:r w:rsidRPr="00E76259">
        <w:rPr>
          <w:noProof/>
          <w:lang w:val="en-IE"/>
        </w:rPr>
        <w:t xml:space="preserve"> and e-fuels (</w:t>
      </w:r>
      <w:r>
        <w:rPr>
          <w:rStyle w:val="FootnoteReference"/>
          <w:noProof/>
          <w:lang w:val="en-IE"/>
        </w:rPr>
        <w:footnoteReference w:id="130"/>
      </w:r>
      <w:r>
        <w:rPr>
          <w:noProof/>
          <w:lang w:val="en-IE"/>
        </w:rPr>
        <w:t>)</w:t>
      </w:r>
      <w:r w:rsidRPr="00E76259">
        <w:rPr>
          <w:noProof/>
          <w:lang w:val="en-IE"/>
        </w:rPr>
        <w:t xml:space="preserve"> after 2030, the EU’s fleet goes from consuming almost only liquid fossil fuels in 2015 to using </w:t>
      </w:r>
      <w:r w:rsidR="00AA5C62" w:rsidRPr="00E76259">
        <w:rPr>
          <w:noProof/>
          <w:lang w:val="en-IE"/>
        </w:rPr>
        <w:t xml:space="preserve">almost </w:t>
      </w:r>
      <w:r w:rsidR="00AA5C62">
        <w:rPr>
          <w:noProof/>
          <w:lang w:val="en-IE"/>
        </w:rPr>
        <w:t>exclusively</w:t>
      </w:r>
      <w:r w:rsidR="00AA5C62" w:rsidRPr="00E76259">
        <w:rPr>
          <w:noProof/>
          <w:lang w:val="en-IE"/>
        </w:rPr>
        <w:t xml:space="preserve"> </w:t>
      </w:r>
      <w:r w:rsidRPr="00E76259">
        <w:rPr>
          <w:noProof/>
          <w:lang w:val="en-IE"/>
        </w:rPr>
        <w:t>zero-</w:t>
      </w:r>
      <w:r w:rsidR="00AA5C62">
        <w:rPr>
          <w:noProof/>
          <w:lang w:val="en-IE"/>
        </w:rPr>
        <w:t xml:space="preserve"> and low-</w:t>
      </w:r>
      <w:r w:rsidRPr="00E76259">
        <w:rPr>
          <w:noProof/>
          <w:lang w:val="en-IE"/>
        </w:rPr>
        <w:t xml:space="preserve">emission energy carriers </w:t>
      </w:r>
      <w:r w:rsidRPr="007B5650">
        <w:rPr>
          <w:noProof/>
          <w:lang w:val="en-IE"/>
        </w:rPr>
        <w:t>in 2050</w:t>
      </w:r>
      <w:r w:rsidR="00D574F9" w:rsidRPr="00D574F9">
        <w:rPr>
          <w:noProof/>
          <w:lang w:val="en-IE"/>
        </w:rPr>
        <w:t> (</w:t>
      </w:r>
      <w:r w:rsidR="00D574F9">
        <w:rPr>
          <w:rStyle w:val="FootnoteReference"/>
          <w:noProof/>
          <w:lang w:val="en-IE"/>
        </w:rPr>
        <w:footnoteReference w:id="131"/>
      </w:r>
      <w:r w:rsidR="00D574F9">
        <w:rPr>
          <w:noProof/>
          <w:lang w:val="en-IE"/>
        </w:rPr>
        <w:t>)</w:t>
      </w:r>
      <w:r w:rsidRPr="007B5650">
        <w:rPr>
          <w:noProof/>
          <w:lang w:val="en-IE"/>
        </w:rPr>
        <w:t xml:space="preserve">. </w:t>
      </w:r>
      <w:r w:rsidR="00190B02" w:rsidRPr="007B5650">
        <w:rPr>
          <w:noProof/>
          <w:lang w:val="en-IE"/>
        </w:rPr>
        <w:t>In the S1, S2 and S3 scenarios, l</w:t>
      </w:r>
      <w:r w:rsidRPr="007B5650">
        <w:rPr>
          <w:noProof/>
          <w:lang w:val="en-IE"/>
        </w:rPr>
        <w:t xml:space="preserve">iquid oil products are projected to represent almost 0% of the total amount of energy consumed by </w:t>
      </w:r>
      <w:r w:rsidR="007D2657" w:rsidRPr="007B5650">
        <w:rPr>
          <w:noProof/>
          <w:lang w:val="en-IE"/>
        </w:rPr>
        <w:t>international</w:t>
      </w:r>
      <w:r w:rsidRPr="007B5650">
        <w:rPr>
          <w:noProof/>
          <w:lang w:val="en-IE"/>
        </w:rPr>
        <w:t xml:space="preserve"> navigation in 2050 (see</w:t>
      </w:r>
      <w:r w:rsidR="00B60F43" w:rsidRPr="007B5650">
        <w:rPr>
          <w:noProof/>
          <w:lang w:val="en-IE"/>
        </w:rPr>
        <w:t xml:space="preserve"> </w:t>
      </w:r>
      <w:r w:rsidR="00B60F43" w:rsidRPr="007B5650">
        <w:rPr>
          <w:noProof/>
          <w:lang w:val="en-IE"/>
        </w:rPr>
        <w:fldChar w:fldCharType="begin"/>
      </w:r>
      <w:r w:rsidR="00B60F43" w:rsidRPr="007B5650">
        <w:rPr>
          <w:noProof/>
          <w:lang w:val="en-IE"/>
        </w:rPr>
        <w:instrText xml:space="preserve"> REF _Ref147161432 \h  \* MERGEFORMAT </w:instrText>
      </w:r>
      <w:r w:rsidR="00B60F43" w:rsidRPr="007B5650">
        <w:rPr>
          <w:noProof/>
          <w:lang w:val="en-IE"/>
        </w:rPr>
      </w:r>
      <w:r w:rsidR="00B60F43" w:rsidRPr="007B5650">
        <w:rPr>
          <w:noProof/>
          <w:lang w:val="en-IE"/>
        </w:rPr>
        <w:fldChar w:fldCharType="separate"/>
      </w:r>
      <w:r w:rsidR="00170A3C">
        <w:rPr>
          <w:noProof/>
        </w:rPr>
        <w:t>Figure 74</w:t>
      </w:r>
      <w:r w:rsidR="00B60F43" w:rsidRPr="007B5650">
        <w:rPr>
          <w:noProof/>
          <w:lang w:val="en-IE"/>
        </w:rPr>
        <w:fldChar w:fldCharType="end"/>
      </w:r>
      <w:r w:rsidR="00BD45BD" w:rsidRPr="007B5650">
        <w:rPr>
          <w:noProof/>
          <w:lang w:val="en-IE"/>
        </w:rPr>
        <w:t>).</w:t>
      </w:r>
      <w:r w:rsidRPr="007B5650">
        <w:rPr>
          <w:noProof/>
          <w:lang w:val="en-IE"/>
        </w:rPr>
        <w:t xml:space="preserve"> </w:t>
      </w:r>
      <w:r w:rsidR="00190B02" w:rsidRPr="007B5650">
        <w:rPr>
          <w:noProof/>
          <w:lang w:val="en-IE"/>
        </w:rPr>
        <w:t>T</w:t>
      </w:r>
      <w:r w:rsidRPr="007B5650">
        <w:rPr>
          <w:noProof/>
          <w:lang w:val="en-IE"/>
        </w:rPr>
        <w:t xml:space="preserve">he use of </w:t>
      </w:r>
      <w:r w:rsidR="00B60F43" w:rsidRPr="007B5650">
        <w:rPr>
          <w:noProof/>
          <w:lang w:val="en-IE"/>
        </w:rPr>
        <w:t>gaseous</w:t>
      </w:r>
      <w:r w:rsidRPr="007B5650">
        <w:rPr>
          <w:noProof/>
          <w:lang w:val="en-IE"/>
        </w:rPr>
        <w:t xml:space="preserve"> fuel</w:t>
      </w:r>
      <w:r w:rsidR="00B60F43" w:rsidRPr="007B5650">
        <w:rPr>
          <w:noProof/>
          <w:lang w:val="en-IE"/>
        </w:rPr>
        <w:t>s</w:t>
      </w:r>
      <w:r w:rsidRPr="007B5650">
        <w:rPr>
          <w:noProof/>
          <w:lang w:val="en-IE"/>
        </w:rPr>
        <w:t xml:space="preserve"> </w:t>
      </w:r>
      <w:r w:rsidR="00B60F43" w:rsidRPr="007B5650">
        <w:rPr>
          <w:noProof/>
          <w:lang w:val="en-IE"/>
        </w:rPr>
        <w:t xml:space="preserve">(LNG, biogas and e-gas) </w:t>
      </w:r>
      <w:r w:rsidRPr="007B5650">
        <w:rPr>
          <w:noProof/>
          <w:lang w:val="en-IE"/>
        </w:rPr>
        <w:t xml:space="preserve">is projected to increase gradually this decade and the next one, reaching </w:t>
      </w:r>
      <w:r w:rsidR="00B60F43" w:rsidRPr="007B5650">
        <w:rPr>
          <w:noProof/>
          <w:lang w:val="en-IE"/>
        </w:rPr>
        <w:t xml:space="preserve">23-24% </w:t>
      </w:r>
      <w:r w:rsidRPr="007B5650">
        <w:rPr>
          <w:noProof/>
          <w:lang w:val="en-IE"/>
        </w:rPr>
        <w:t xml:space="preserve">of the total energy consumption in </w:t>
      </w:r>
      <w:r w:rsidR="00B60F43" w:rsidRPr="007B5650">
        <w:rPr>
          <w:noProof/>
          <w:lang w:val="en-IE"/>
        </w:rPr>
        <w:t>2050</w:t>
      </w:r>
      <w:r w:rsidRPr="007B5650">
        <w:rPr>
          <w:noProof/>
          <w:lang w:val="en-IE"/>
        </w:rPr>
        <w:t xml:space="preserve">. </w:t>
      </w:r>
      <w:r w:rsidR="00190B02" w:rsidRPr="007B5650">
        <w:rPr>
          <w:noProof/>
          <w:lang w:val="en-IE"/>
        </w:rPr>
        <w:t>It should be noted that g</w:t>
      </w:r>
      <w:r w:rsidR="00B60F43" w:rsidRPr="007B5650">
        <w:rPr>
          <w:noProof/>
          <w:lang w:val="en-IE"/>
        </w:rPr>
        <w:t xml:space="preserve">aseous fuels are gradually decarbonised over time: </w:t>
      </w:r>
      <w:r w:rsidR="00190B02" w:rsidRPr="007B5650">
        <w:rPr>
          <w:noProof/>
          <w:lang w:val="en-IE"/>
        </w:rPr>
        <w:t>biogas and e-gas taken together represent 63-70% of the consumption of gaseous fuels in the international navigation sector in 2040, whereas in 2050 this share is close to 100%</w:t>
      </w:r>
      <w:r w:rsidR="004F0A49" w:rsidRPr="007B5650">
        <w:rPr>
          <w:noProof/>
          <w:lang w:val="en-IE"/>
        </w:rPr>
        <w:t>,</w:t>
      </w:r>
      <w:r w:rsidR="00190B02" w:rsidRPr="007B5650">
        <w:rPr>
          <w:noProof/>
          <w:lang w:val="en-IE"/>
        </w:rPr>
        <w:t xml:space="preserve"> as </w:t>
      </w:r>
      <w:r w:rsidR="004F0A49" w:rsidRPr="007B5650">
        <w:rPr>
          <w:noProof/>
          <w:lang w:val="en-IE"/>
        </w:rPr>
        <w:t>biogas an</w:t>
      </w:r>
      <w:r w:rsidR="004742F5">
        <w:rPr>
          <w:noProof/>
          <w:lang w:val="en-IE"/>
        </w:rPr>
        <w:t>d</w:t>
      </w:r>
      <w:r w:rsidR="004F0A49" w:rsidRPr="007B5650">
        <w:rPr>
          <w:noProof/>
          <w:lang w:val="en-IE"/>
        </w:rPr>
        <w:t xml:space="preserve"> e-gas </w:t>
      </w:r>
      <w:r w:rsidR="001C0A69" w:rsidRPr="007B5650">
        <w:rPr>
          <w:noProof/>
          <w:lang w:val="en-IE"/>
        </w:rPr>
        <w:t>progressively</w:t>
      </w:r>
      <w:r w:rsidR="005132BF" w:rsidRPr="007B5650">
        <w:rPr>
          <w:noProof/>
          <w:lang w:val="en-IE"/>
        </w:rPr>
        <w:t xml:space="preserve"> </w:t>
      </w:r>
      <w:r w:rsidR="00190B02" w:rsidRPr="007B5650">
        <w:rPr>
          <w:noProof/>
          <w:lang w:val="en-IE"/>
        </w:rPr>
        <w:t>replace</w:t>
      </w:r>
      <w:r w:rsidR="004F0A49" w:rsidRPr="007B5650">
        <w:rPr>
          <w:noProof/>
          <w:lang w:val="en-IE"/>
        </w:rPr>
        <w:t xml:space="preserve"> </w:t>
      </w:r>
      <w:r w:rsidR="00190B02" w:rsidRPr="007B5650">
        <w:rPr>
          <w:noProof/>
          <w:lang w:val="en-IE"/>
        </w:rPr>
        <w:t>LNG</w:t>
      </w:r>
      <w:r w:rsidRPr="007B5650">
        <w:rPr>
          <w:noProof/>
          <w:lang w:val="en-IE"/>
        </w:rPr>
        <w:t xml:space="preserve"> (see</w:t>
      </w:r>
      <w:r w:rsidR="002A447A" w:rsidRPr="007B5650">
        <w:rPr>
          <w:noProof/>
          <w:lang w:val="en-IE"/>
        </w:rPr>
        <w:t xml:space="preserve"> </w:t>
      </w:r>
      <w:r w:rsidR="002A447A" w:rsidRPr="007B5650">
        <w:rPr>
          <w:noProof/>
          <w:lang w:val="en-IE"/>
        </w:rPr>
        <w:fldChar w:fldCharType="begin"/>
      </w:r>
      <w:r w:rsidR="002A447A" w:rsidRPr="007B5650">
        <w:rPr>
          <w:noProof/>
          <w:lang w:val="en-IE"/>
        </w:rPr>
        <w:instrText xml:space="preserve"> REF _Ref147161432 \h  \* MERGEFORMAT </w:instrText>
      </w:r>
      <w:r w:rsidR="002A447A" w:rsidRPr="007B5650">
        <w:rPr>
          <w:noProof/>
          <w:lang w:val="en-IE"/>
        </w:rPr>
      </w:r>
      <w:r w:rsidR="002A447A" w:rsidRPr="007B5650">
        <w:rPr>
          <w:noProof/>
          <w:lang w:val="en-IE"/>
        </w:rPr>
        <w:fldChar w:fldCharType="separate"/>
      </w:r>
      <w:r w:rsidR="00170A3C">
        <w:rPr>
          <w:noProof/>
        </w:rPr>
        <w:t>Figure 74</w:t>
      </w:r>
      <w:r w:rsidR="002A447A" w:rsidRPr="007B5650">
        <w:rPr>
          <w:noProof/>
          <w:lang w:val="en-IE"/>
        </w:rPr>
        <w:fldChar w:fldCharType="end"/>
      </w:r>
      <w:r w:rsidR="002C1507" w:rsidRPr="007B5650">
        <w:rPr>
          <w:noProof/>
          <w:lang w:val="en-IE"/>
        </w:rPr>
        <w:t>).</w:t>
      </w:r>
      <w:r w:rsidRPr="007B5650">
        <w:rPr>
          <w:noProof/>
          <w:lang w:val="en-IE"/>
        </w:rPr>
        <w:t xml:space="preserve"> </w:t>
      </w:r>
      <w:r w:rsidR="000D1EBC" w:rsidRPr="007B5650">
        <w:rPr>
          <w:noProof/>
          <w:lang w:val="en-IE"/>
        </w:rPr>
        <w:t>Liquid b</w:t>
      </w:r>
      <w:r w:rsidRPr="007B5650">
        <w:rPr>
          <w:noProof/>
          <w:lang w:val="en-IE"/>
        </w:rPr>
        <w:t>iofuels and e-</w:t>
      </w:r>
      <w:r w:rsidR="002169D8">
        <w:rPr>
          <w:noProof/>
          <w:lang w:val="en-IE"/>
        </w:rPr>
        <w:t>liquids</w:t>
      </w:r>
      <w:r w:rsidRPr="007B5650">
        <w:rPr>
          <w:noProof/>
          <w:lang w:val="en-IE"/>
        </w:rPr>
        <w:t xml:space="preserve"> are projected to represent </w:t>
      </w:r>
      <w:r w:rsidR="00EE6E7B" w:rsidRPr="007B5650">
        <w:rPr>
          <w:noProof/>
          <w:lang w:val="en-IE"/>
        </w:rPr>
        <w:t>61-62</w:t>
      </w:r>
      <w:r w:rsidRPr="007B5650">
        <w:rPr>
          <w:noProof/>
          <w:lang w:val="en-IE"/>
        </w:rPr>
        <w:t>% of the total energy consumption in 2050, whereas electricity and hydrogen represent the remain</w:t>
      </w:r>
      <w:r w:rsidR="007D2657" w:rsidRPr="007B5650">
        <w:rPr>
          <w:noProof/>
          <w:lang w:val="en-IE"/>
        </w:rPr>
        <w:t>ing</w:t>
      </w:r>
      <w:r w:rsidRPr="007B5650">
        <w:rPr>
          <w:noProof/>
          <w:lang w:val="en-IE"/>
        </w:rPr>
        <w:t xml:space="preserve"> 14-16%. Note that the fuels used by vessels equipped with conventional liquid fuel engines or </w:t>
      </w:r>
      <w:r w:rsidR="006134FB" w:rsidRPr="007B5650">
        <w:rPr>
          <w:noProof/>
          <w:lang w:val="en-IE"/>
        </w:rPr>
        <w:t xml:space="preserve">engines that can use </w:t>
      </w:r>
      <w:r w:rsidRPr="007B5650">
        <w:rPr>
          <w:noProof/>
          <w:lang w:val="en-IE"/>
        </w:rPr>
        <w:t>gas</w:t>
      </w:r>
      <w:r w:rsidR="00AB5E60" w:rsidRPr="007B5650">
        <w:rPr>
          <w:noProof/>
          <w:lang w:val="en-IE"/>
        </w:rPr>
        <w:t>eous fuels</w:t>
      </w:r>
      <w:r w:rsidRPr="007B5650">
        <w:rPr>
          <w:noProof/>
          <w:lang w:val="en-IE"/>
        </w:rPr>
        <w:t xml:space="preserve"> have a significantly lower carbon intensity in 2040 and 2050 than in 2015, due to the increased consumption of </w:t>
      </w:r>
      <w:r w:rsidR="00811E06">
        <w:rPr>
          <w:noProof/>
          <w:lang w:val="en-IE"/>
        </w:rPr>
        <w:t xml:space="preserve">liquid </w:t>
      </w:r>
      <w:r w:rsidRPr="007B5650">
        <w:rPr>
          <w:noProof/>
          <w:lang w:val="en-IE"/>
        </w:rPr>
        <w:t>biofuels</w:t>
      </w:r>
      <w:r w:rsidR="00811E06">
        <w:rPr>
          <w:noProof/>
          <w:lang w:val="en-IE"/>
        </w:rPr>
        <w:t>, biogas</w:t>
      </w:r>
      <w:r w:rsidRPr="007B5650">
        <w:rPr>
          <w:noProof/>
          <w:lang w:val="en-IE"/>
        </w:rPr>
        <w:t xml:space="preserve"> and e-fuels (both in gaseous and liquid form) relative to fossil fuels. This is particularly important in 2040, with significant differences in carbon intensity between scenarios. More specifically, the carbon intensity of liquid and gaseous fuels in 2040 is highest in the S1 scenario </w:t>
      </w:r>
      <w:r w:rsidR="00BD4A11" w:rsidRPr="007B5650">
        <w:rPr>
          <w:noProof/>
          <w:lang w:val="en-IE"/>
        </w:rPr>
        <w:t>(73% lower</w:t>
      </w:r>
      <w:r w:rsidR="000643C2" w:rsidRPr="007B5650">
        <w:rPr>
          <w:noProof/>
          <w:lang w:val="en-IE"/>
        </w:rPr>
        <w:t xml:space="preserve"> intensity</w:t>
      </w:r>
      <w:r w:rsidR="00BD4A11" w:rsidRPr="007B5650">
        <w:rPr>
          <w:noProof/>
          <w:lang w:val="en-IE"/>
        </w:rPr>
        <w:t xml:space="preserve"> than</w:t>
      </w:r>
      <w:r w:rsidRPr="007B5650">
        <w:rPr>
          <w:noProof/>
          <w:lang w:val="en-IE"/>
        </w:rPr>
        <w:t xml:space="preserve"> in </w:t>
      </w:r>
      <w:r w:rsidR="00BD4A11" w:rsidRPr="007B5650">
        <w:rPr>
          <w:noProof/>
          <w:lang w:val="en-IE"/>
        </w:rPr>
        <w:t xml:space="preserve">2015) and lowest in the S3 scenario (82% lower </w:t>
      </w:r>
      <w:r w:rsidR="000643C2" w:rsidRPr="007B5650">
        <w:rPr>
          <w:noProof/>
          <w:lang w:val="en-IE"/>
        </w:rPr>
        <w:t xml:space="preserve">intensity </w:t>
      </w:r>
      <w:r w:rsidR="00BD4A11" w:rsidRPr="007B5650">
        <w:rPr>
          <w:noProof/>
          <w:lang w:val="en-IE"/>
        </w:rPr>
        <w:t>than in 2015).</w:t>
      </w:r>
      <w:r w:rsidRPr="007B5650">
        <w:rPr>
          <w:noProof/>
          <w:lang w:val="en-IE"/>
        </w:rPr>
        <w:t xml:space="preserve"> In 2050, the carbon intensity of these fuels is </w:t>
      </w:r>
      <w:r w:rsidR="000643C2" w:rsidRPr="007B5650">
        <w:rPr>
          <w:noProof/>
          <w:lang w:val="en-IE"/>
        </w:rPr>
        <w:t xml:space="preserve">projected to be </w:t>
      </w:r>
      <w:r w:rsidRPr="007B5650">
        <w:rPr>
          <w:noProof/>
          <w:lang w:val="en-IE"/>
        </w:rPr>
        <w:t>almost zero in al</w:t>
      </w:r>
      <w:r w:rsidR="00FD2BF3">
        <w:rPr>
          <w:noProof/>
          <w:lang w:val="en-IE"/>
        </w:rPr>
        <w:t>l</w:t>
      </w:r>
      <w:r w:rsidRPr="007B5650">
        <w:rPr>
          <w:noProof/>
          <w:lang w:val="en-IE"/>
        </w:rPr>
        <w:t xml:space="preserve"> scenarios, due to the very low share of fossil fuels in the fuel blend.</w:t>
      </w:r>
    </w:p>
    <w:p w14:paraId="2FE8ED32" w14:textId="564E581D" w:rsidR="00AA5581" w:rsidRDefault="00806EB0" w:rsidP="00AA5581">
      <w:pPr>
        <w:rPr>
          <w:noProof/>
          <w:lang w:val="en-IE"/>
        </w:rPr>
      </w:pPr>
      <w:r w:rsidRPr="007B5650">
        <w:rPr>
          <w:noProof/>
          <w:lang w:val="en-IE"/>
        </w:rPr>
        <w:t>I</w:t>
      </w:r>
      <w:r w:rsidR="00AA5581" w:rsidRPr="007B5650">
        <w:rPr>
          <w:noProof/>
          <w:lang w:val="en-IE"/>
        </w:rPr>
        <w:t>t should be noted that the total amount of energy consumed by international navigation in the EU increases by around 10-21% in 2040 and 19-30% in 2050 compared to 2015 in the S1, S2 and S3 scenarios (see</w:t>
      </w:r>
      <w:r w:rsidR="008E264B" w:rsidRPr="007B5650">
        <w:rPr>
          <w:noProof/>
          <w:lang w:val="en-IE"/>
        </w:rPr>
        <w:t xml:space="preserve"> </w:t>
      </w:r>
      <w:r w:rsidR="008E264B" w:rsidRPr="007B5650">
        <w:rPr>
          <w:noProof/>
          <w:lang w:val="en-IE"/>
        </w:rPr>
        <w:fldChar w:fldCharType="begin"/>
      </w:r>
      <w:r w:rsidR="008E264B" w:rsidRPr="007B5650">
        <w:rPr>
          <w:noProof/>
          <w:lang w:val="en-IE"/>
        </w:rPr>
        <w:instrText xml:space="preserve"> REF _Ref147161432 \h  \* MERGEFORMAT </w:instrText>
      </w:r>
      <w:r w:rsidR="008E264B" w:rsidRPr="007B5650">
        <w:rPr>
          <w:noProof/>
          <w:lang w:val="en-IE"/>
        </w:rPr>
      </w:r>
      <w:r w:rsidR="008E264B" w:rsidRPr="007B5650">
        <w:rPr>
          <w:noProof/>
          <w:lang w:val="en-IE"/>
        </w:rPr>
        <w:fldChar w:fldCharType="separate"/>
      </w:r>
      <w:r w:rsidR="00170A3C">
        <w:rPr>
          <w:noProof/>
        </w:rPr>
        <w:t>Figure 74</w:t>
      </w:r>
      <w:r w:rsidR="008E264B" w:rsidRPr="007B5650">
        <w:rPr>
          <w:noProof/>
          <w:lang w:val="en-IE"/>
        </w:rPr>
        <w:fldChar w:fldCharType="end"/>
      </w:r>
      <w:r w:rsidR="008E264B" w:rsidRPr="007B5650">
        <w:rPr>
          <w:noProof/>
          <w:lang w:val="en-IE"/>
        </w:rPr>
        <w:t>)</w:t>
      </w:r>
      <w:r w:rsidR="00B81C43">
        <w:rPr>
          <w:noProof/>
          <w:lang w:val="en-IE"/>
        </w:rPr>
        <w:t xml:space="preserve">. </w:t>
      </w:r>
      <w:r w:rsidR="00CB25F3">
        <w:rPr>
          <w:noProof/>
          <w:lang w:val="en-IE"/>
        </w:rPr>
        <w:t>However, these growth rates are lower than the increase in</w:t>
      </w:r>
      <w:r w:rsidR="00AA5581" w:rsidRPr="007B5650">
        <w:rPr>
          <w:noProof/>
          <w:lang w:val="en-IE"/>
        </w:rPr>
        <w:t xml:space="preserve"> </w:t>
      </w:r>
      <w:r w:rsidR="003303A4" w:rsidRPr="007B5650">
        <w:rPr>
          <w:noProof/>
          <w:lang w:val="en-IE"/>
        </w:rPr>
        <w:t>international</w:t>
      </w:r>
      <w:r w:rsidR="00AA5581" w:rsidRPr="007B5650">
        <w:rPr>
          <w:noProof/>
          <w:lang w:val="en-IE"/>
        </w:rPr>
        <w:t xml:space="preserve"> navigation activity </w:t>
      </w:r>
      <w:r w:rsidR="00CB25F3">
        <w:rPr>
          <w:noProof/>
          <w:lang w:val="en-IE"/>
        </w:rPr>
        <w:t xml:space="preserve">projected </w:t>
      </w:r>
      <w:r w:rsidR="00AA5581" w:rsidRPr="007B5650">
        <w:rPr>
          <w:noProof/>
          <w:lang w:val="en-IE"/>
        </w:rPr>
        <w:t xml:space="preserve">over the same period (see Section </w:t>
      </w:r>
      <w:r w:rsidR="001E3ACD" w:rsidRPr="007B5650">
        <w:rPr>
          <w:noProof/>
          <w:lang w:val="en-IE"/>
        </w:rPr>
        <w:fldChar w:fldCharType="begin"/>
      </w:r>
      <w:r w:rsidR="001E3ACD" w:rsidRPr="007B5650">
        <w:rPr>
          <w:noProof/>
          <w:lang w:val="en-IE"/>
        </w:rPr>
        <w:instrText xml:space="preserve"> REF _Ref143242989 \r \h </w:instrText>
      </w:r>
      <w:r w:rsidR="001F4F92" w:rsidRPr="007B5650">
        <w:rPr>
          <w:noProof/>
          <w:lang w:val="en-IE"/>
        </w:rPr>
        <w:instrText xml:space="preserve"> \* MERGEFORMAT </w:instrText>
      </w:r>
      <w:r w:rsidR="001E3ACD" w:rsidRPr="007B5650">
        <w:rPr>
          <w:noProof/>
          <w:lang w:val="en-IE"/>
        </w:rPr>
      </w:r>
      <w:r w:rsidR="001E3ACD" w:rsidRPr="007B5650">
        <w:rPr>
          <w:noProof/>
          <w:lang w:val="en-IE"/>
        </w:rPr>
        <w:fldChar w:fldCharType="separate"/>
      </w:r>
      <w:r w:rsidR="00170A3C">
        <w:rPr>
          <w:noProof/>
          <w:lang w:val="en-IE"/>
        </w:rPr>
        <w:t>1.5.2</w:t>
      </w:r>
      <w:r w:rsidR="001E3ACD" w:rsidRPr="007B5650">
        <w:rPr>
          <w:noProof/>
          <w:lang w:val="en-IE"/>
        </w:rPr>
        <w:fldChar w:fldCharType="end"/>
      </w:r>
      <w:r w:rsidR="00AA5581" w:rsidRPr="007B5650">
        <w:rPr>
          <w:noProof/>
          <w:lang w:val="en-IE"/>
        </w:rPr>
        <w:t xml:space="preserve">). This can be explained mainly by the deployment of technological and operational measures to improve the energy efficiency of maritime transport (e.g., </w:t>
      </w:r>
      <w:r w:rsidR="00FC7BE5" w:rsidRPr="007B5650">
        <w:rPr>
          <w:noProof/>
          <w:lang w:val="en-IE"/>
        </w:rPr>
        <w:t xml:space="preserve">hull design, </w:t>
      </w:r>
      <w:r w:rsidR="00AA5581" w:rsidRPr="007B5650">
        <w:rPr>
          <w:noProof/>
          <w:lang w:val="en-IE"/>
        </w:rPr>
        <w:t xml:space="preserve">slow steaming, optimisation of cargo capacity utilisation, increased vessel size, etc.). </w:t>
      </w:r>
      <w:r w:rsidR="001820BC" w:rsidRPr="00133EEB">
        <w:rPr>
          <w:noProof/>
          <w:lang w:val="en-IE"/>
        </w:rPr>
        <w:t xml:space="preserve">The energy intensity of international navigation (expressed in toe/tkm) decreases by 9-18% between 2015 and 2040 and by </w:t>
      </w:r>
      <w:r w:rsidR="00D46A10">
        <w:rPr>
          <w:noProof/>
          <w:lang w:val="en-IE"/>
        </w:rPr>
        <w:t>13-21%</w:t>
      </w:r>
      <w:r w:rsidR="001820BC" w:rsidRPr="00133EEB">
        <w:rPr>
          <w:noProof/>
          <w:lang w:val="en-IE"/>
        </w:rPr>
        <w:t xml:space="preserve"> between 2015 and 2050 (the exact rate depends on the scenario), mostly as a result of these measures.</w:t>
      </w:r>
      <w:r w:rsidR="001820BC" w:rsidRPr="001820BC">
        <w:rPr>
          <w:noProof/>
          <w:lang w:val="en-IE"/>
        </w:rPr>
        <w:t xml:space="preserve"> Note that there are significant differences between scenarios, with S3 showing the </w:t>
      </w:r>
      <w:r w:rsidR="00DA0D75">
        <w:rPr>
          <w:noProof/>
          <w:lang w:val="en-IE"/>
        </w:rPr>
        <w:t xml:space="preserve">lowest increase </w:t>
      </w:r>
      <w:r w:rsidR="001820BC" w:rsidRPr="001820BC">
        <w:rPr>
          <w:noProof/>
          <w:lang w:val="en-IE"/>
        </w:rPr>
        <w:t xml:space="preserve">in total energy consumption </w:t>
      </w:r>
      <w:r w:rsidR="006D77CD">
        <w:rPr>
          <w:noProof/>
          <w:lang w:val="en-IE"/>
        </w:rPr>
        <w:t xml:space="preserve">relative to 2015 </w:t>
      </w:r>
      <w:r w:rsidR="001820BC" w:rsidRPr="001820BC">
        <w:rPr>
          <w:noProof/>
          <w:lang w:val="en-IE"/>
        </w:rPr>
        <w:t>(see</w:t>
      </w:r>
      <w:r w:rsidR="001820BC">
        <w:rPr>
          <w:noProof/>
          <w:lang w:val="en-IE"/>
        </w:rPr>
        <w:t xml:space="preserve"> </w:t>
      </w:r>
      <w:r w:rsidR="001820BC" w:rsidRPr="005948CC">
        <w:rPr>
          <w:noProof/>
          <w:lang w:val="en-IE"/>
        </w:rPr>
        <w:fldChar w:fldCharType="begin"/>
      </w:r>
      <w:r w:rsidR="001820BC" w:rsidRPr="005948CC">
        <w:rPr>
          <w:noProof/>
          <w:lang w:val="en-IE"/>
        </w:rPr>
        <w:instrText xml:space="preserve"> REF _Ref147161432 \h  \* MERGEFORMAT </w:instrText>
      </w:r>
      <w:r w:rsidR="001820BC" w:rsidRPr="005948CC">
        <w:rPr>
          <w:noProof/>
          <w:lang w:val="en-IE"/>
        </w:rPr>
      </w:r>
      <w:r w:rsidR="001820BC" w:rsidRPr="005948CC">
        <w:rPr>
          <w:noProof/>
          <w:lang w:val="en-IE"/>
        </w:rPr>
        <w:fldChar w:fldCharType="separate"/>
      </w:r>
      <w:r w:rsidR="00170A3C">
        <w:rPr>
          <w:noProof/>
        </w:rPr>
        <w:t>Figure 74</w:t>
      </w:r>
      <w:r w:rsidR="001820BC" w:rsidRPr="005948CC">
        <w:rPr>
          <w:noProof/>
          <w:lang w:val="en-IE"/>
        </w:rPr>
        <w:fldChar w:fldCharType="end"/>
      </w:r>
      <w:r w:rsidR="001820BC">
        <w:rPr>
          <w:noProof/>
          <w:lang w:val="en-IE"/>
        </w:rPr>
        <w:t>)</w:t>
      </w:r>
      <w:r w:rsidR="001820BC" w:rsidRPr="001820BC">
        <w:rPr>
          <w:noProof/>
          <w:lang w:val="en-IE"/>
        </w:rPr>
        <w:t xml:space="preserve">, although it is the scenario with the highest level of transport activity (see </w:t>
      </w:r>
      <w:r w:rsidR="001820BC" w:rsidRPr="005948CC">
        <w:rPr>
          <w:noProof/>
          <w:lang w:val="en-IE"/>
        </w:rPr>
        <w:t xml:space="preserve">Section </w:t>
      </w:r>
      <w:r w:rsidR="00514B24" w:rsidRPr="005948CC">
        <w:rPr>
          <w:noProof/>
          <w:lang w:val="en-IE"/>
        </w:rPr>
        <w:fldChar w:fldCharType="begin"/>
      </w:r>
      <w:r w:rsidR="00514B24" w:rsidRPr="005948CC">
        <w:rPr>
          <w:noProof/>
          <w:lang w:val="en-IE"/>
        </w:rPr>
        <w:instrText xml:space="preserve"> REF _Ref143242989 \r \h  \* MERGEFORMAT </w:instrText>
      </w:r>
      <w:r w:rsidR="00514B24" w:rsidRPr="005948CC">
        <w:rPr>
          <w:noProof/>
          <w:lang w:val="en-IE"/>
        </w:rPr>
      </w:r>
      <w:r w:rsidR="00514B24" w:rsidRPr="005948CC">
        <w:rPr>
          <w:noProof/>
          <w:lang w:val="en-IE"/>
        </w:rPr>
        <w:fldChar w:fldCharType="separate"/>
      </w:r>
      <w:r w:rsidR="00170A3C">
        <w:rPr>
          <w:noProof/>
          <w:lang w:val="en-IE"/>
        </w:rPr>
        <w:t>1.5.2</w:t>
      </w:r>
      <w:r w:rsidR="00514B24" w:rsidRPr="005948CC">
        <w:rPr>
          <w:noProof/>
          <w:lang w:val="en-IE"/>
        </w:rPr>
        <w:fldChar w:fldCharType="end"/>
      </w:r>
      <w:r w:rsidR="001820BC" w:rsidRPr="001820BC">
        <w:rPr>
          <w:noProof/>
          <w:lang w:val="en-IE"/>
        </w:rPr>
        <w:t>). The main reason for this difference is a larger deployment of energy efficiency measures compared to the S1 and S2 scenarios.</w:t>
      </w:r>
    </w:p>
    <w:p w14:paraId="0B0A5A48" w14:textId="1A92FF96" w:rsidR="0013727F" w:rsidRPr="005458EB" w:rsidRDefault="00DF56CD" w:rsidP="00DF56CD">
      <w:pPr>
        <w:rPr>
          <w:noProof/>
        </w:rPr>
      </w:pPr>
      <w:r w:rsidRPr="00DF56CD">
        <w:rPr>
          <w:noProof/>
        </w:rPr>
        <w:t xml:space="preserve">In </w:t>
      </w:r>
      <w:r w:rsidR="00C459D4">
        <w:rPr>
          <w:noProof/>
        </w:rPr>
        <w:t>LIFE</w:t>
      </w:r>
      <w:r w:rsidRPr="00DF56CD">
        <w:rPr>
          <w:noProof/>
        </w:rPr>
        <w:t xml:space="preserve">, the total amount of energy consumed </w:t>
      </w:r>
      <w:r w:rsidR="00482466">
        <w:rPr>
          <w:noProof/>
        </w:rPr>
        <w:t>in</w:t>
      </w:r>
      <w:r w:rsidRPr="00DF56CD">
        <w:rPr>
          <w:noProof/>
        </w:rPr>
        <w:t xml:space="preserve"> the </w:t>
      </w:r>
      <w:r w:rsidR="009009E4">
        <w:rPr>
          <w:noProof/>
        </w:rPr>
        <w:t>international</w:t>
      </w:r>
      <w:r w:rsidRPr="00DF56CD">
        <w:rPr>
          <w:noProof/>
        </w:rPr>
        <w:t xml:space="preserve"> navigation sector evolves over time in the same way as in </w:t>
      </w:r>
      <w:r w:rsidR="00545B92">
        <w:rPr>
          <w:noProof/>
        </w:rPr>
        <w:t>S2</w:t>
      </w:r>
      <w:r w:rsidRPr="00DF56CD">
        <w:rPr>
          <w:noProof/>
        </w:rPr>
        <w:t xml:space="preserve">. </w:t>
      </w:r>
      <w:r w:rsidR="00545B92">
        <w:rPr>
          <w:noProof/>
        </w:rPr>
        <w:t xml:space="preserve">However, in 2040, </w:t>
      </w:r>
      <w:r w:rsidR="00E717C3">
        <w:rPr>
          <w:noProof/>
        </w:rPr>
        <w:t xml:space="preserve">the </w:t>
      </w:r>
      <w:r w:rsidRPr="00DF56CD">
        <w:rPr>
          <w:noProof/>
        </w:rPr>
        <w:t xml:space="preserve">fuel mix is similar </w:t>
      </w:r>
      <w:r w:rsidR="00D6481C">
        <w:rPr>
          <w:noProof/>
        </w:rPr>
        <w:t>to that of the S</w:t>
      </w:r>
      <w:r w:rsidR="00545B92">
        <w:rPr>
          <w:noProof/>
        </w:rPr>
        <w:t>3</w:t>
      </w:r>
      <w:r w:rsidR="00D6481C">
        <w:rPr>
          <w:noProof/>
        </w:rPr>
        <w:t xml:space="preserve"> scenario</w:t>
      </w:r>
      <w:r w:rsidR="00545B92">
        <w:rPr>
          <w:noProof/>
        </w:rPr>
        <w:t xml:space="preserve"> (in relative terms)</w:t>
      </w:r>
      <w:r w:rsidRPr="00DF56CD">
        <w:rPr>
          <w:noProof/>
        </w:rPr>
        <w:t>.</w:t>
      </w:r>
    </w:p>
    <w:p w14:paraId="78C9DE46" w14:textId="7FB1D498" w:rsidR="002210B6" w:rsidRDefault="0013727F" w:rsidP="00DB30DE">
      <w:pPr>
        <w:pStyle w:val="Caption"/>
        <w:rPr>
          <w:noProof/>
        </w:rPr>
      </w:pPr>
      <w:bookmarkStart w:id="367" w:name="_Ref144397820"/>
      <w:bookmarkStart w:id="368" w:name="_Toc157679821"/>
      <w:r>
        <w:rPr>
          <w:noProof/>
        </w:rPr>
        <w:t xml:space="preserve">Figure </w:t>
      </w:r>
      <w:r>
        <w:rPr>
          <w:noProof/>
        </w:rPr>
        <w:fldChar w:fldCharType="begin"/>
      </w:r>
      <w:r>
        <w:rPr>
          <w:noProof/>
        </w:rPr>
        <w:instrText>SEQ Figure \* ARABIC</w:instrText>
      </w:r>
      <w:r>
        <w:rPr>
          <w:noProof/>
        </w:rPr>
        <w:fldChar w:fldCharType="separate"/>
      </w:r>
      <w:r w:rsidR="00170A3C">
        <w:rPr>
          <w:noProof/>
        </w:rPr>
        <w:t>73</w:t>
      </w:r>
      <w:r>
        <w:rPr>
          <w:noProof/>
        </w:rPr>
        <w:fldChar w:fldCharType="end"/>
      </w:r>
      <w:bookmarkEnd w:id="367"/>
      <w:r>
        <w:rPr>
          <w:noProof/>
        </w:rPr>
        <w:t xml:space="preserve">: </w:t>
      </w:r>
      <w:r w:rsidRPr="0013727F">
        <w:rPr>
          <w:noProof/>
        </w:rPr>
        <w:t>Composition of the EU vessel fleet used for international navigation</w:t>
      </w:r>
      <w:bookmarkEnd w:id="368"/>
    </w:p>
    <w:p w14:paraId="2338A69B" w14:textId="17F1D040" w:rsidR="007627C8" w:rsidRPr="0013727F" w:rsidRDefault="00E12747" w:rsidP="00E12747">
      <w:pPr>
        <w:keepNext/>
        <w:jc w:val="center"/>
        <w:rPr>
          <w:noProof/>
        </w:rPr>
      </w:pPr>
      <w:r w:rsidRPr="00E12747">
        <w:rPr>
          <w:noProof/>
          <w:lang w:eastAsia="en-GB"/>
        </w:rPr>
        <w:drawing>
          <wp:inline distT="0" distB="0" distL="0" distR="0" wp14:anchorId="7B8A09C8" wp14:editId="1D1F8976">
            <wp:extent cx="5472430" cy="23888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5472430" cy="2388870"/>
                    </a:xfrm>
                    <a:prstGeom prst="rect">
                      <a:avLst/>
                    </a:prstGeom>
                    <a:noFill/>
                    <a:ln>
                      <a:noFill/>
                    </a:ln>
                  </pic:spPr>
                </pic:pic>
              </a:graphicData>
            </a:graphic>
          </wp:inline>
        </w:drawing>
      </w:r>
    </w:p>
    <w:p w14:paraId="12C53913" w14:textId="77777777" w:rsidR="0013727F" w:rsidRPr="0013727F" w:rsidRDefault="0013727F" w:rsidP="00E90F62">
      <w:pPr>
        <w:pStyle w:val="CT-SOURCE"/>
        <w:rPr>
          <w:noProof/>
        </w:rPr>
      </w:pPr>
      <w:r w:rsidRPr="0013727F">
        <w:rPr>
          <w:noProof/>
        </w:rPr>
        <w:t>Source: PRIMES.</w:t>
      </w:r>
    </w:p>
    <w:p w14:paraId="391AB8B7" w14:textId="301E58B1" w:rsidR="009B3CB4" w:rsidRDefault="0044529C" w:rsidP="00E07429">
      <w:pPr>
        <w:pStyle w:val="Caption"/>
        <w:rPr>
          <w:noProof/>
        </w:rPr>
      </w:pPr>
      <w:bookmarkStart w:id="369" w:name="_Ref144398063"/>
      <w:bookmarkStart w:id="370" w:name="_Ref147161432"/>
      <w:bookmarkStart w:id="371" w:name="_Toc157679822"/>
      <w:r>
        <w:rPr>
          <w:noProof/>
        </w:rPr>
        <w:t xml:space="preserve">Figure </w:t>
      </w:r>
      <w:r>
        <w:rPr>
          <w:noProof/>
        </w:rPr>
        <w:fldChar w:fldCharType="begin"/>
      </w:r>
      <w:r>
        <w:rPr>
          <w:noProof/>
        </w:rPr>
        <w:instrText>SEQ Figure \* ARABIC</w:instrText>
      </w:r>
      <w:r>
        <w:rPr>
          <w:noProof/>
        </w:rPr>
        <w:fldChar w:fldCharType="separate"/>
      </w:r>
      <w:r w:rsidR="00170A3C">
        <w:rPr>
          <w:noProof/>
        </w:rPr>
        <w:t>74</w:t>
      </w:r>
      <w:r>
        <w:rPr>
          <w:noProof/>
        </w:rPr>
        <w:fldChar w:fldCharType="end"/>
      </w:r>
      <w:bookmarkEnd w:id="369"/>
      <w:bookmarkEnd w:id="370"/>
      <w:r w:rsidR="00B101FB">
        <w:rPr>
          <w:noProof/>
        </w:rPr>
        <w:t xml:space="preserve">: </w:t>
      </w:r>
      <w:r w:rsidR="00F9205E">
        <w:rPr>
          <w:noProof/>
        </w:rPr>
        <w:t xml:space="preserve">EU </w:t>
      </w:r>
      <w:r w:rsidR="00D41BA6">
        <w:rPr>
          <w:noProof/>
        </w:rPr>
        <w:t>e</w:t>
      </w:r>
      <w:r w:rsidR="00B101FB" w:rsidRPr="00B101FB">
        <w:rPr>
          <w:noProof/>
        </w:rPr>
        <w:t>nergy consumption in intern</w:t>
      </w:r>
      <w:r w:rsidR="00016171">
        <w:rPr>
          <w:noProof/>
        </w:rPr>
        <w:t>ational</w:t>
      </w:r>
      <w:r w:rsidR="00847036">
        <w:rPr>
          <w:noProof/>
        </w:rPr>
        <w:t xml:space="preserve"> </w:t>
      </w:r>
      <w:r w:rsidR="00B101FB" w:rsidRPr="00B101FB">
        <w:rPr>
          <w:noProof/>
        </w:rPr>
        <w:t xml:space="preserve">navigation </w:t>
      </w:r>
      <w:r w:rsidR="00930EBA">
        <w:rPr>
          <w:noProof/>
        </w:rPr>
        <w:t>by</w:t>
      </w:r>
      <w:r w:rsidR="00B101FB" w:rsidRPr="00B101FB">
        <w:rPr>
          <w:noProof/>
        </w:rPr>
        <w:t xml:space="preserve"> fuel</w:t>
      </w:r>
      <w:r w:rsidR="00930EBA">
        <w:rPr>
          <w:noProof/>
        </w:rPr>
        <w:t>/energy carrier</w:t>
      </w:r>
      <w:r w:rsidR="002E2E0B">
        <w:rPr>
          <w:noProof/>
        </w:rPr>
        <w:t xml:space="preserve"> type</w:t>
      </w:r>
      <w:bookmarkEnd w:id="371"/>
    </w:p>
    <w:p w14:paraId="000D0FAC" w14:textId="4974EAF2" w:rsidR="00676C87" w:rsidRPr="0074366A" w:rsidRDefault="00DE7184" w:rsidP="00E90F62">
      <w:pPr>
        <w:keepNext/>
        <w:jc w:val="center"/>
        <w:rPr>
          <w:noProof/>
        </w:rPr>
      </w:pPr>
      <w:r w:rsidRPr="00DE7184">
        <w:rPr>
          <w:noProof/>
          <w:lang w:eastAsia="en-GB"/>
        </w:rPr>
        <w:drawing>
          <wp:inline distT="0" distB="0" distL="0" distR="0" wp14:anchorId="0EF6EE94" wp14:editId="506B8FB5">
            <wp:extent cx="5471160" cy="236982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5471160" cy="2369820"/>
                    </a:xfrm>
                    <a:prstGeom prst="rect">
                      <a:avLst/>
                    </a:prstGeom>
                    <a:noFill/>
                    <a:ln>
                      <a:noFill/>
                    </a:ln>
                  </pic:spPr>
                </pic:pic>
              </a:graphicData>
            </a:graphic>
          </wp:inline>
        </w:drawing>
      </w:r>
    </w:p>
    <w:p w14:paraId="1593C76F" w14:textId="27C396B7" w:rsidR="00E46020" w:rsidRPr="00F67DD6" w:rsidRDefault="00E46020" w:rsidP="00E90F62">
      <w:pPr>
        <w:pStyle w:val="CT-NOTE"/>
        <w:rPr>
          <w:noProof/>
          <w:szCs w:val="18"/>
        </w:rPr>
      </w:pPr>
      <w:r w:rsidRPr="61BF51EC">
        <w:rPr>
          <w:noProof/>
        </w:rPr>
        <w:t>Note: The category «E-</w:t>
      </w:r>
      <w:r w:rsidR="0028112A" w:rsidRPr="61BF51EC">
        <w:rPr>
          <w:noProof/>
        </w:rPr>
        <w:t>Liquids</w:t>
      </w:r>
      <w:r w:rsidRPr="61BF51EC">
        <w:rPr>
          <w:rFonts w:cs="Cambria Math"/>
          <w:noProof/>
        </w:rPr>
        <w:t>»</w:t>
      </w:r>
      <w:r w:rsidRPr="61BF51EC">
        <w:rPr>
          <w:noProof/>
        </w:rPr>
        <w:t xml:space="preserve"> includes e-methanol, </w:t>
      </w:r>
      <w:r w:rsidR="00E90F62">
        <w:rPr>
          <w:noProof/>
        </w:rPr>
        <w:t>e-</w:t>
      </w:r>
      <w:r w:rsidRPr="61BF51EC">
        <w:rPr>
          <w:noProof/>
        </w:rPr>
        <w:t xml:space="preserve">ammonia, </w:t>
      </w:r>
      <w:r w:rsidR="004C7BA3" w:rsidRPr="61BF51EC">
        <w:rPr>
          <w:noProof/>
        </w:rPr>
        <w:t>synt</w:t>
      </w:r>
      <w:r w:rsidR="00196397" w:rsidRPr="61BF51EC">
        <w:rPr>
          <w:noProof/>
        </w:rPr>
        <w:t>h</w:t>
      </w:r>
      <w:r w:rsidR="004C7BA3" w:rsidRPr="61BF51EC">
        <w:rPr>
          <w:noProof/>
        </w:rPr>
        <w:t>etic</w:t>
      </w:r>
      <w:r w:rsidR="00196397" w:rsidRPr="61BF51EC">
        <w:rPr>
          <w:noProof/>
        </w:rPr>
        <w:t xml:space="preserve"> diesel and synthetic fuel oil.</w:t>
      </w:r>
    </w:p>
    <w:p w14:paraId="23182004" w14:textId="41E783ED" w:rsidR="000D6BCD" w:rsidRPr="00F7031A" w:rsidRDefault="000D6BCD" w:rsidP="00E90F62">
      <w:pPr>
        <w:pStyle w:val="CT-SOURCE"/>
        <w:rPr>
          <w:rFonts w:ascii="Cambria Math" w:hAnsi="Cambria Math"/>
          <w:noProof/>
        </w:rPr>
      </w:pPr>
      <w:r w:rsidRPr="00F67DD6">
        <w:rPr>
          <w:noProof/>
        </w:rPr>
        <w:t>Source: PRIMES</w:t>
      </w:r>
      <w:r w:rsidRPr="7F0378BA">
        <w:rPr>
          <w:rFonts w:ascii="Cambria Math" w:hAnsi="Cambria Math"/>
          <w:noProof/>
        </w:rPr>
        <w:t>.</w:t>
      </w:r>
    </w:p>
    <w:p w14:paraId="535FF3C8" w14:textId="2E92F26A" w:rsidR="000D6BCD" w:rsidRPr="006E58A5" w:rsidRDefault="000D6BCD" w:rsidP="00687A40">
      <w:pPr>
        <w:pStyle w:val="Text3"/>
        <w:ind w:left="0"/>
        <w:rPr>
          <w:noProof/>
          <w:color w:val="4472C4" w:themeColor="accent1"/>
        </w:rPr>
      </w:pPr>
    </w:p>
    <w:p w14:paraId="4F81F1BE" w14:textId="60D1BF27" w:rsidR="00733E6B" w:rsidRPr="00C355C1" w:rsidRDefault="005C2E9A" w:rsidP="00F7719F">
      <w:pPr>
        <w:pStyle w:val="Heading4"/>
        <w:rPr>
          <w:noProof/>
        </w:rPr>
      </w:pPr>
      <w:r w:rsidRPr="00C355C1">
        <w:rPr>
          <w:noProof/>
        </w:rPr>
        <w:t xml:space="preserve"> </w:t>
      </w:r>
      <w:bookmarkStart w:id="372" w:name="_Ref145093292"/>
      <w:r w:rsidR="003B0D0B">
        <w:rPr>
          <w:noProof/>
        </w:rPr>
        <w:t>A</w:t>
      </w:r>
      <w:r w:rsidR="00733E6B" w:rsidRPr="00C355C1">
        <w:rPr>
          <w:noProof/>
        </w:rPr>
        <w:t>viation</w:t>
      </w:r>
      <w:bookmarkEnd w:id="372"/>
    </w:p>
    <w:p w14:paraId="3C2BF16C" w14:textId="15430946" w:rsidR="004D6B66" w:rsidRPr="004D6B66" w:rsidRDefault="004D6B66" w:rsidP="004D6B66">
      <w:pPr>
        <w:rPr>
          <w:noProof/>
          <w:lang w:val="en-IE"/>
        </w:rPr>
      </w:pPr>
      <w:r w:rsidRPr="004D6B66">
        <w:rPr>
          <w:noProof/>
          <w:lang w:val="en-IE"/>
        </w:rPr>
        <w:t xml:space="preserve">The European aviation sector is projected to undergo a significant transformation over the next </w:t>
      </w:r>
      <w:r w:rsidRPr="006E20AA">
        <w:rPr>
          <w:noProof/>
          <w:lang w:val="en-IE"/>
        </w:rPr>
        <w:t>decades, driven by policy measures aimed at decarbonising this sector</w:t>
      </w:r>
      <w:r w:rsidR="00D53130">
        <w:rPr>
          <w:noProof/>
          <w:lang w:val="en-IE"/>
        </w:rPr>
        <w:t>,</w:t>
      </w:r>
      <w:r w:rsidRPr="006E20AA">
        <w:rPr>
          <w:noProof/>
          <w:lang w:val="en-IE"/>
        </w:rPr>
        <w:t xml:space="preserve"> such as the EU Emissions Trading System and ReFuelEU Aviation</w:t>
      </w:r>
      <w:r w:rsidR="008432C9" w:rsidRPr="006E20AA">
        <w:rPr>
          <w:noProof/>
          <w:lang w:val="en-IE"/>
        </w:rPr>
        <w:t>, which mandate</w:t>
      </w:r>
      <w:r w:rsidR="00D223C2">
        <w:rPr>
          <w:noProof/>
          <w:lang w:val="en-IE"/>
        </w:rPr>
        <w:t>s</w:t>
      </w:r>
      <w:r w:rsidR="008432C9" w:rsidRPr="006E20AA">
        <w:rPr>
          <w:noProof/>
          <w:lang w:val="en-IE"/>
        </w:rPr>
        <w:t xml:space="preserve"> the supply of Sustainable Aviation Fuels (SAF)</w:t>
      </w:r>
      <w:r w:rsidRPr="006E20AA">
        <w:rPr>
          <w:noProof/>
          <w:lang w:val="en-IE"/>
        </w:rPr>
        <w:t xml:space="preserve"> (see </w:t>
      </w:r>
      <w:r w:rsidR="00447D82" w:rsidRPr="006E20AA">
        <w:rPr>
          <w:noProof/>
          <w:lang w:val="en-IE"/>
        </w:rPr>
        <w:t>Annex</w:t>
      </w:r>
      <w:r w:rsidR="00447D82" w:rsidRPr="005948CC">
        <w:rPr>
          <w:noProof/>
          <w:lang w:val="en-IE"/>
        </w:rPr>
        <w:t xml:space="preserve"> 6</w:t>
      </w:r>
      <w:r w:rsidRPr="004D6B66">
        <w:rPr>
          <w:noProof/>
          <w:lang w:val="en-IE"/>
        </w:rPr>
        <w:t xml:space="preserve">). This transformation is multi-dimensional, </w:t>
      </w:r>
      <w:r w:rsidR="008432C9">
        <w:rPr>
          <w:noProof/>
          <w:lang w:val="en-IE"/>
        </w:rPr>
        <w:t xml:space="preserve">mainly driven by </w:t>
      </w:r>
      <w:r w:rsidRPr="004D6B66">
        <w:rPr>
          <w:noProof/>
          <w:lang w:val="en-IE"/>
        </w:rPr>
        <w:t>significant improvements in energy efficiency and a large uptake of zero-</w:t>
      </w:r>
      <w:r w:rsidR="008432C9">
        <w:rPr>
          <w:noProof/>
          <w:lang w:val="en-IE"/>
        </w:rPr>
        <w:t xml:space="preserve"> and low</w:t>
      </w:r>
      <w:r w:rsidRPr="004D6B66">
        <w:rPr>
          <w:noProof/>
          <w:lang w:val="en-IE"/>
        </w:rPr>
        <w:t xml:space="preserve">-emission fuels (such as </w:t>
      </w:r>
      <w:r w:rsidR="00691DA6">
        <w:rPr>
          <w:noProof/>
          <w:lang w:val="en-IE"/>
        </w:rPr>
        <w:t xml:space="preserve">liquid </w:t>
      </w:r>
      <w:r w:rsidRPr="004D6B66">
        <w:rPr>
          <w:noProof/>
          <w:lang w:val="en-IE"/>
        </w:rPr>
        <w:t>biofuels and e-fuels)</w:t>
      </w:r>
      <w:r w:rsidR="0078756A" w:rsidRPr="0078756A">
        <w:rPr>
          <w:noProof/>
          <w:lang w:val="en-IE"/>
        </w:rPr>
        <w:t> (</w:t>
      </w:r>
      <w:r w:rsidR="0078756A">
        <w:rPr>
          <w:rStyle w:val="FootnoteReference"/>
          <w:noProof/>
          <w:lang w:val="en-IE"/>
        </w:rPr>
        <w:footnoteReference w:id="132"/>
      </w:r>
      <w:r w:rsidRPr="004D6B66">
        <w:rPr>
          <w:noProof/>
          <w:lang w:val="en-IE"/>
        </w:rPr>
        <w:t xml:space="preserve">), along with a moderate deployment of battery-electric and fuel-cell-electric aircraft. </w:t>
      </w:r>
    </w:p>
    <w:p w14:paraId="173DDB57" w14:textId="4B8919A1" w:rsidR="004D6B66" w:rsidRPr="006E20AA" w:rsidRDefault="004D6B66" w:rsidP="004D6B66">
      <w:pPr>
        <w:rPr>
          <w:noProof/>
          <w:lang w:val="en-IE"/>
        </w:rPr>
      </w:pPr>
      <w:r w:rsidRPr="004D6B66">
        <w:rPr>
          <w:noProof/>
          <w:lang w:val="en-IE"/>
        </w:rPr>
        <w:t>In the S1, S2 and S3 scenarios, the total amount of energy consumed by the aviation sector in the EU</w:t>
      </w:r>
      <w:r w:rsidRPr="00F50C12">
        <w:rPr>
          <w:noProof/>
        </w:rPr>
        <w:t xml:space="preserve"> </w:t>
      </w:r>
      <w:r w:rsidR="00F50C12">
        <w:rPr>
          <w:noProof/>
        </w:rPr>
        <w:t>(</w:t>
      </w:r>
      <w:r w:rsidR="00F50C12" w:rsidRPr="00F50C12">
        <w:rPr>
          <w:noProof/>
          <w:lang w:val="en-IE"/>
        </w:rPr>
        <w:t>including domestic and international intra-</w:t>
      </w:r>
      <w:r w:rsidR="00F50C12">
        <w:rPr>
          <w:noProof/>
          <w:lang w:val="en-IE"/>
        </w:rPr>
        <w:t xml:space="preserve">EU </w:t>
      </w:r>
      <w:r w:rsidR="00F50C12" w:rsidRPr="00F50C12">
        <w:rPr>
          <w:noProof/>
          <w:lang w:val="en-IE"/>
        </w:rPr>
        <w:t>and extra-EU aviation</w:t>
      </w:r>
      <w:r w:rsidR="00F50C12">
        <w:rPr>
          <w:noProof/>
          <w:lang w:val="en-IE"/>
        </w:rPr>
        <w:t>)</w:t>
      </w:r>
      <w:r w:rsidRPr="004D6B66">
        <w:rPr>
          <w:noProof/>
          <w:lang w:val="en-IE"/>
        </w:rPr>
        <w:t xml:space="preserve"> </w:t>
      </w:r>
      <w:r w:rsidR="00410D2F" w:rsidRPr="00410D2F">
        <w:rPr>
          <w:noProof/>
          <w:lang w:val="en-IE"/>
        </w:rPr>
        <w:t xml:space="preserve">is projected to increase </w:t>
      </w:r>
      <w:r w:rsidRPr="004D6B66">
        <w:rPr>
          <w:noProof/>
          <w:lang w:val="en-IE"/>
        </w:rPr>
        <w:t xml:space="preserve">by </w:t>
      </w:r>
      <w:r w:rsidRPr="006E20AA">
        <w:rPr>
          <w:noProof/>
          <w:lang w:val="en-IE"/>
        </w:rPr>
        <w:t xml:space="preserve">around </w:t>
      </w:r>
      <w:r w:rsidR="008D7A9A" w:rsidRPr="006E20AA">
        <w:rPr>
          <w:noProof/>
          <w:lang w:val="en-IE"/>
        </w:rPr>
        <w:t>16-17</w:t>
      </w:r>
      <w:r w:rsidRPr="006E20AA">
        <w:rPr>
          <w:noProof/>
          <w:lang w:val="en-IE"/>
        </w:rPr>
        <w:t xml:space="preserve">% between 2015 and 2040, </w:t>
      </w:r>
      <w:r w:rsidR="00410D2F" w:rsidRPr="006E20AA">
        <w:rPr>
          <w:noProof/>
          <w:lang w:val="en-IE"/>
        </w:rPr>
        <w:t>remaining</w:t>
      </w:r>
      <w:r w:rsidRPr="006E20AA">
        <w:rPr>
          <w:noProof/>
          <w:lang w:val="en-IE"/>
        </w:rPr>
        <w:t xml:space="preserve"> relatively stable after 2040 (see </w:t>
      </w:r>
      <w:r w:rsidR="00F72BEC" w:rsidRPr="006E20AA">
        <w:rPr>
          <w:noProof/>
          <w:lang w:val="en-IE"/>
        </w:rPr>
        <w:fldChar w:fldCharType="begin"/>
      </w:r>
      <w:r w:rsidR="00F72BEC" w:rsidRPr="006E20AA">
        <w:rPr>
          <w:noProof/>
          <w:lang w:val="en-IE"/>
        </w:rPr>
        <w:instrText xml:space="preserve"> REF _Ref144746067 \h </w:instrText>
      </w:r>
      <w:r w:rsidR="00410D2F" w:rsidRPr="006E20AA">
        <w:rPr>
          <w:noProof/>
          <w:lang w:val="en-IE"/>
        </w:rPr>
        <w:instrText xml:space="preserve"> \* MERGEFORMAT </w:instrText>
      </w:r>
      <w:r w:rsidR="00F72BEC" w:rsidRPr="006E20AA">
        <w:rPr>
          <w:noProof/>
          <w:lang w:val="en-IE"/>
        </w:rPr>
      </w:r>
      <w:r w:rsidR="00F72BEC" w:rsidRPr="006E20AA">
        <w:rPr>
          <w:noProof/>
          <w:lang w:val="en-IE"/>
        </w:rPr>
        <w:fldChar w:fldCharType="separate"/>
      </w:r>
      <w:r w:rsidR="00170A3C">
        <w:rPr>
          <w:noProof/>
        </w:rPr>
        <w:t>Figure 75</w:t>
      </w:r>
      <w:r w:rsidR="00F72BEC" w:rsidRPr="006E20AA">
        <w:rPr>
          <w:noProof/>
          <w:lang w:val="en-IE"/>
        </w:rPr>
        <w:fldChar w:fldCharType="end"/>
      </w:r>
      <w:r w:rsidR="00F26D86" w:rsidRPr="006E20AA">
        <w:rPr>
          <w:noProof/>
          <w:lang w:val="en-IE"/>
        </w:rPr>
        <w:t>).</w:t>
      </w:r>
      <w:r w:rsidRPr="006E20AA">
        <w:rPr>
          <w:noProof/>
          <w:lang w:val="en-IE"/>
        </w:rPr>
        <w:t xml:space="preserve"> This increase is much lower than the growth in air transport activity (expressed in p</w:t>
      </w:r>
      <w:r w:rsidR="008D7A9A" w:rsidRPr="006E20AA">
        <w:rPr>
          <w:noProof/>
          <w:lang w:val="en-IE"/>
        </w:rPr>
        <w:t>assenger-</w:t>
      </w:r>
      <w:r w:rsidRPr="006E20AA">
        <w:rPr>
          <w:noProof/>
          <w:lang w:val="en-IE"/>
        </w:rPr>
        <w:t xml:space="preserve">km) over the same period (see Section </w:t>
      </w:r>
      <w:r w:rsidR="00F72BEC" w:rsidRPr="006E20AA">
        <w:rPr>
          <w:noProof/>
          <w:lang w:val="en-IE"/>
        </w:rPr>
        <w:fldChar w:fldCharType="begin"/>
      </w:r>
      <w:r w:rsidR="00F72BEC" w:rsidRPr="006E20AA">
        <w:rPr>
          <w:noProof/>
          <w:lang w:val="en-IE"/>
        </w:rPr>
        <w:instrText xml:space="preserve"> REF _Ref143242989 \r \h </w:instrText>
      </w:r>
      <w:r w:rsidR="008D7A9A" w:rsidRPr="006E20AA">
        <w:rPr>
          <w:noProof/>
          <w:lang w:val="en-IE"/>
        </w:rPr>
        <w:instrText xml:space="preserve"> \* MERGEFORMAT </w:instrText>
      </w:r>
      <w:r w:rsidR="00F72BEC" w:rsidRPr="006E20AA">
        <w:rPr>
          <w:noProof/>
          <w:lang w:val="en-IE"/>
        </w:rPr>
      </w:r>
      <w:r w:rsidR="00F72BEC" w:rsidRPr="006E20AA">
        <w:rPr>
          <w:noProof/>
          <w:lang w:val="en-IE"/>
        </w:rPr>
        <w:fldChar w:fldCharType="separate"/>
      </w:r>
      <w:r w:rsidR="00170A3C">
        <w:rPr>
          <w:noProof/>
          <w:lang w:val="en-IE"/>
        </w:rPr>
        <w:t>1.5.2</w:t>
      </w:r>
      <w:r w:rsidR="00F72BEC" w:rsidRPr="006E20AA">
        <w:rPr>
          <w:noProof/>
          <w:lang w:val="en-IE"/>
        </w:rPr>
        <w:fldChar w:fldCharType="end"/>
      </w:r>
      <w:r w:rsidRPr="006E20AA">
        <w:rPr>
          <w:noProof/>
          <w:lang w:val="en-IE"/>
        </w:rPr>
        <w:t xml:space="preserve">). </w:t>
      </w:r>
      <w:r w:rsidR="008432C9" w:rsidRPr="006E20AA">
        <w:rPr>
          <w:noProof/>
          <w:lang w:val="en-IE"/>
        </w:rPr>
        <w:t xml:space="preserve">There is a decoupling between energy consumption and </w:t>
      </w:r>
      <w:r w:rsidR="00E553FF" w:rsidRPr="006E20AA">
        <w:rPr>
          <w:noProof/>
          <w:lang w:val="en-IE"/>
        </w:rPr>
        <w:t xml:space="preserve">market </w:t>
      </w:r>
      <w:r w:rsidR="008432C9" w:rsidRPr="006E20AA">
        <w:rPr>
          <w:noProof/>
          <w:lang w:val="en-IE"/>
        </w:rPr>
        <w:t xml:space="preserve">growth. </w:t>
      </w:r>
      <w:r w:rsidRPr="006E20AA">
        <w:rPr>
          <w:noProof/>
          <w:lang w:val="en-IE"/>
        </w:rPr>
        <w:t xml:space="preserve">The difference between transport activity growth and energy consumption growth is mainly due to the large-scale deployment of technological and operational measures to improve energy efficiency (e.g., measures related to </w:t>
      </w:r>
      <w:r w:rsidR="0029423B" w:rsidRPr="006E20AA">
        <w:rPr>
          <w:noProof/>
          <w:lang w:val="en-IE"/>
        </w:rPr>
        <w:t xml:space="preserve">aircraft structure </w:t>
      </w:r>
      <w:r w:rsidR="00BF0246" w:rsidRPr="006E20AA">
        <w:rPr>
          <w:noProof/>
          <w:lang w:val="en-IE"/>
        </w:rPr>
        <w:t xml:space="preserve">design </w:t>
      </w:r>
      <w:r w:rsidR="0029423B" w:rsidRPr="006E20AA">
        <w:rPr>
          <w:noProof/>
          <w:lang w:val="en-IE"/>
        </w:rPr>
        <w:t xml:space="preserve">and aerodynamics, </w:t>
      </w:r>
      <w:r w:rsidR="00AF3CF3" w:rsidRPr="006E20AA">
        <w:rPr>
          <w:noProof/>
          <w:lang w:val="en-IE"/>
        </w:rPr>
        <w:t xml:space="preserve">propulsion system technology, </w:t>
      </w:r>
      <w:r w:rsidRPr="006E20AA">
        <w:rPr>
          <w:noProof/>
          <w:lang w:val="en-IE"/>
        </w:rPr>
        <w:t xml:space="preserve">and </w:t>
      </w:r>
      <w:r w:rsidR="00AF3CF3" w:rsidRPr="006E20AA">
        <w:rPr>
          <w:noProof/>
          <w:lang w:val="en-IE"/>
        </w:rPr>
        <w:t xml:space="preserve">transport </w:t>
      </w:r>
      <w:r w:rsidRPr="006E20AA">
        <w:rPr>
          <w:noProof/>
          <w:lang w:val="en-IE"/>
        </w:rPr>
        <w:t xml:space="preserve">capacity utilisation). </w:t>
      </w:r>
      <w:r w:rsidR="00216A76" w:rsidRPr="007A5BAE">
        <w:rPr>
          <w:noProof/>
          <w:lang w:val="en-IE"/>
        </w:rPr>
        <w:t>The</w:t>
      </w:r>
      <w:r w:rsidRPr="007A5BAE">
        <w:rPr>
          <w:noProof/>
          <w:lang w:val="en-IE"/>
        </w:rPr>
        <w:t xml:space="preserve"> energy intensity of air transport (expressed in toe/pkm) decreases by </w:t>
      </w:r>
      <w:r w:rsidR="00216A76" w:rsidRPr="007A5BAE">
        <w:rPr>
          <w:noProof/>
          <w:lang w:val="en-IE"/>
        </w:rPr>
        <w:t>2</w:t>
      </w:r>
      <w:r w:rsidR="00947D2F" w:rsidRPr="007A5BAE">
        <w:rPr>
          <w:noProof/>
          <w:lang w:val="en-IE"/>
        </w:rPr>
        <w:t>7-28</w:t>
      </w:r>
      <w:r w:rsidRPr="007A5BAE">
        <w:rPr>
          <w:noProof/>
          <w:lang w:val="en-IE"/>
        </w:rPr>
        <w:t xml:space="preserve">% between 2015 and 2040, and by </w:t>
      </w:r>
      <w:r w:rsidR="00216A76" w:rsidRPr="007A5BAE">
        <w:rPr>
          <w:noProof/>
          <w:lang w:val="en-IE"/>
        </w:rPr>
        <w:t>3</w:t>
      </w:r>
      <w:r w:rsidR="00947D2F" w:rsidRPr="007A5BAE">
        <w:rPr>
          <w:noProof/>
          <w:lang w:val="en-IE"/>
        </w:rPr>
        <w:t>4-35</w:t>
      </w:r>
      <w:r w:rsidRPr="007A5BAE">
        <w:rPr>
          <w:noProof/>
          <w:lang w:val="en-IE"/>
        </w:rPr>
        <w:t>% between 2015 and 2050</w:t>
      </w:r>
      <w:r w:rsidR="00216A76" w:rsidRPr="007A5BAE">
        <w:rPr>
          <w:noProof/>
          <w:lang w:val="en-IE"/>
        </w:rPr>
        <w:t>, mostly as a result of these measures</w:t>
      </w:r>
      <w:r w:rsidRPr="007A5BAE">
        <w:rPr>
          <w:noProof/>
          <w:lang w:val="en-IE"/>
        </w:rPr>
        <w:t>.</w:t>
      </w:r>
    </w:p>
    <w:p w14:paraId="7B995730" w14:textId="3B4923B3" w:rsidR="00D55CF3" w:rsidRPr="00D55CF3" w:rsidRDefault="00D55CF3" w:rsidP="00D55CF3">
      <w:pPr>
        <w:rPr>
          <w:noProof/>
          <w:lang w:val="en-IE"/>
        </w:rPr>
      </w:pPr>
      <w:r w:rsidRPr="006E20AA">
        <w:rPr>
          <w:noProof/>
          <w:lang w:val="en-IE"/>
        </w:rPr>
        <w:t>Furthermore, the S1, S2 and S3 scenarios show an increasing use of zero-</w:t>
      </w:r>
      <w:r w:rsidR="00444FA1" w:rsidRPr="006E20AA">
        <w:rPr>
          <w:noProof/>
          <w:lang w:val="en-IE"/>
        </w:rPr>
        <w:t xml:space="preserve"> and low</w:t>
      </w:r>
      <w:r w:rsidRPr="006E20AA">
        <w:rPr>
          <w:noProof/>
          <w:lang w:val="en-IE"/>
        </w:rPr>
        <w:t>-emission energy carriers (particularly after 2030), which partially replaces the consumption of fossil fuels in the EU aviation sector. In this respect, the sector transitions from consuming almost only fossil fuels (kerosene) in 2015 to using mostly zero-</w:t>
      </w:r>
      <w:r w:rsidR="00444FA1" w:rsidRPr="006E20AA">
        <w:rPr>
          <w:noProof/>
          <w:lang w:val="en-IE"/>
        </w:rPr>
        <w:t xml:space="preserve"> and low</w:t>
      </w:r>
      <w:r w:rsidRPr="006E20AA">
        <w:rPr>
          <w:noProof/>
          <w:lang w:val="en-IE"/>
        </w:rPr>
        <w:t>-emission energy carriers in 2050. As shown in</w:t>
      </w:r>
      <w:r w:rsidR="00F20B6A" w:rsidRPr="006E20AA">
        <w:rPr>
          <w:noProof/>
          <w:lang w:val="en-IE"/>
        </w:rPr>
        <w:t xml:space="preserve"> </w:t>
      </w:r>
      <w:r w:rsidR="00F20B6A" w:rsidRPr="006E20AA">
        <w:rPr>
          <w:noProof/>
          <w:lang w:val="en-IE"/>
        </w:rPr>
        <w:fldChar w:fldCharType="begin"/>
      </w:r>
      <w:r w:rsidR="00F20B6A" w:rsidRPr="006E20AA">
        <w:rPr>
          <w:noProof/>
          <w:lang w:val="en-IE"/>
        </w:rPr>
        <w:instrText xml:space="preserve"> REF _Ref144746067 \h  \* MERGEFORMAT </w:instrText>
      </w:r>
      <w:r w:rsidR="00F20B6A" w:rsidRPr="006E20AA">
        <w:rPr>
          <w:noProof/>
          <w:lang w:val="en-IE"/>
        </w:rPr>
      </w:r>
      <w:r w:rsidR="00F20B6A" w:rsidRPr="006E20AA">
        <w:rPr>
          <w:noProof/>
          <w:lang w:val="en-IE"/>
        </w:rPr>
        <w:fldChar w:fldCharType="separate"/>
      </w:r>
      <w:r w:rsidR="00170A3C">
        <w:rPr>
          <w:noProof/>
        </w:rPr>
        <w:t>Figure 75</w:t>
      </w:r>
      <w:r w:rsidR="00F20B6A" w:rsidRPr="006E20AA">
        <w:rPr>
          <w:noProof/>
          <w:lang w:val="en-IE"/>
        </w:rPr>
        <w:fldChar w:fldCharType="end"/>
      </w:r>
      <w:r w:rsidR="00D32437" w:rsidRPr="006E20AA">
        <w:rPr>
          <w:noProof/>
          <w:lang w:val="en-IE"/>
        </w:rPr>
        <w:t>,</w:t>
      </w:r>
      <w:r w:rsidRPr="006E20AA">
        <w:rPr>
          <w:noProof/>
          <w:lang w:val="en-IE"/>
        </w:rPr>
        <w:t xml:space="preserve"> oil products are projected to represent 62-66% of the total amount of energy consumed by the aviation sector in 2040, and 24-30% in 2050 (the exact shares depend on the scenario). </w:t>
      </w:r>
      <w:r w:rsidR="001B630F" w:rsidRPr="006E20AA">
        <w:rPr>
          <w:noProof/>
          <w:lang w:val="en-IE"/>
        </w:rPr>
        <w:t xml:space="preserve">Thanks to </w:t>
      </w:r>
      <w:r w:rsidRPr="006E20AA">
        <w:rPr>
          <w:noProof/>
          <w:lang w:val="en-IE"/>
        </w:rPr>
        <w:t xml:space="preserve">the </w:t>
      </w:r>
      <w:r w:rsidR="001B630F" w:rsidRPr="006E20AA">
        <w:rPr>
          <w:noProof/>
          <w:lang w:val="en-IE"/>
        </w:rPr>
        <w:t xml:space="preserve">mandates in ReFuelEU Aviation, </w:t>
      </w:r>
      <w:r w:rsidRPr="006E20AA">
        <w:rPr>
          <w:noProof/>
          <w:lang w:val="en-IE"/>
        </w:rPr>
        <w:t xml:space="preserve">the share of </w:t>
      </w:r>
      <w:r w:rsidR="00882915">
        <w:rPr>
          <w:noProof/>
          <w:lang w:val="en-IE"/>
        </w:rPr>
        <w:t>liquid</w:t>
      </w:r>
      <w:r w:rsidRPr="006E20AA">
        <w:rPr>
          <w:noProof/>
          <w:lang w:val="en-IE"/>
        </w:rPr>
        <w:t xml:space="preserve"> bio</w:t>
      </w:r>
      <w:r w:rsidR="001B630F" w:rsidRPr="006E20AA">
        <w:rPr>
          <w:noProof/>
          <w:lang w:val="en-IE"/>
        </w:rPr>
        <w:t>fuels</w:t>
      </w:r>
      <w:r w:rsidRPr="006E20AA">
        <w:rPr>
          <w:noProof/>
          <w:lang w:val="en-IE"/>
        </w:rPr>
        <w:t xml:space="preserve"> in the total energy consumption increases to 24% in 2040 and 35% in 2050, </w:t>
      </w:r>
      <w:r w:rsidR="001B630F" w:rsidRPr="006E20AA">
        <w:rPr>
          <w:noProof/>
          <w:lang w:val="en-IE"/>
        </w:rPr>
        <w:t xml:space="preserve">and </w:t>
      </w:r>
      <w:r w:rsidRPr="006E20AA">
        <w:rPr>
          <w:noProof/>
          <w:lang w:val="en-IE"/>
        </w:rPr>
        <w:t>the share of e-</w:t>
      </w:r>
      <w:r w:rsidR="001B630F" w:rsidRPr="006E20AA">
        <w:rPr>
          <w:noProof/>
          <w:lang w:val="en-IE"/>
        </w:rPr>
        <w:t>fuels</w:t>
      </w:r>
      <w:r w:rsidRPr="006E20AA">
        <w:rPr>
          <w:noProof/>
          <w:lang w:val="en-IE"/>
        </w:rPr>
        <w:t xml:space="preserve"> grows to 10-13% in 2040 and 33-34% in 2050</w:t>
      </w:r>
      <w:r w:rsidR="001B630F" w:rsidRPr="006E20AA">
        <w:rPr>
          <w:noProof/>
          <w:lang w:val="en-IE"/>
        </w:rPr>
        <w:t>. In addition, hydrogen is</w:t>
      </w:r>
      <w:r w:rsidRPr="006E20AA">
        <w:rPr>
          <w:noProof/>
          <w:lang w:val="en-IE"/>
        </w:rPr>
        <w:t xml:space="preserve"> </w:t>
      </w:r>
      <w:r w:rsidR="001B630F" w:rsidRPr="006E20AA">
        <w:rPr>
          <w:noProof/>
          <w:lang w:val="en-IE"/>
        </w:rPr>
        <w:t>projected to represent 0.2-1.1% of the aviation fuel mix in 2040 and 1.6-6%</w:t>
      </w:r>
      <w:r w:rsidRPr="006E20AA">
        <w:rPr>
          <w:noProof/>
          <w:lang w:val="en-IE"/>
        </w:rPr>
        <w:t xml:space="preserve"> in 2050</w:t>
      </w:r>
      <w:r w:rsidR="00D32437" w:rsidRPr="006E20AA">
        <w:rPr>
          <w:noProof/>
          <w:lang w:val="en-IE"/>
        </w:rPr>
        <w:t>.</w:t>
      </w:r>
      <w:r w:rsidRPr="006E20AA">
        <w:rPr>
          <w:noProof/>
          <w:lang w:val="en-IE"/>
        </w:rPr>
        <w:t xml:space="preserve"> The use of electricity as </w:t>
      </w:r>
      <w:r w:rsidR="00612842" w:rsidRPr="006E20AA">
        <w:rPr>
          <w:noProof/>
          <w:lang w:val="en-IE"/>
        </w:rPr>
        <w:t>an</w:t>
      </w:r>
      <w:r w:rsidRPr="006E20AA">
        <w:rPr>
          <w:noProof/>
          <w:lang w:val="en-IE"/>
        </w:rPr>
        <w:t xml:space="preserve"> energy carrier in the aviation sector remains limited to very specific niche markets; consequently, it represents a very small share of the</w:t>
      </w:r>
      <w:r w:rsidRPr="00D55CF3">
        <w:rPr>
          <w:noProof/>
          <w:lang w:val="en-IE"/>
        </w:rPr>
        <w:t xml:space="preserve"> total amount of energy consumed by the aviation sector </w:t>
      </w:r>
      <w:r w:rsidR="00007380">
        <w:rPr>
          <w:noProof/>
          <w:lang w:val="en-IE"/>
        </w:rPr>
        <w:t>by</w:t>
      </w:r>
      <w:r w:rsidRPr="00D55CF3">
        <w:rPr>
          <w:noProof/>
          <w:lang w:val="en-IE"/>
        </w:rPr>
        <w:t xml:space="preserve"> 2050 (see </w:t>
      </w:r>
      <w:r w:rsidR="00F50C12" w:rsidRPr="005948CC">
        <w:rPr>
          <w:noProof/>
          <w:lang w:val="en-IE"/>
        </w:rPr>
        <w:fldChar w:fldCharType="begin"/>
      </w:r>
      <w:r w:rsidR="00F50C12" w:rsidRPr="005948CC">
        <w:rPr>
          <w:noProof/>
          <w:lang w:val="en-IE"/>
        </w:rPr>
        <w:instrText xml:space="preserve"> REF _Ref144746067 \h  \* MERGEFORMAT </w:instrText>
      </w:r>
      <w:r w:rsidR="00F50C12" w:rsidRPr="005948CC">
        <w:rPr>
          <w:noProof/>
          <w:lang w:val="en-IE"/>
        </w:rPr>
      </w:r>
      <w:r w:rsidR="00F50C12" w:rsidRPr="005948CC">
        <w:rPr>
          <w:noProof/>
          <w:lang w:val="en-IE"/>
        </w:rPr>
        <w:fldChar w:fldCharType="separate"/>
      </w:r>
      <w:r w:rsidR="00170A3C">
        <w:rPr>
          <w:noProof/>
        </w:rPr>
        <w:t>Figure 75</w:t>
      </w:r>
      <w:r w:rsidR="00F50C12" w:rsidRPr="005948CC">
        <w:rPr>
          <w:noProof/>
          <w:lang w:val="en-IE"/>
        </w:rPr>
        <w:fldChar w:fldCharType="end"/>
      </w:r>
      <w:r w:rsidR="00F50C12">
        <w:rPr>
          <w:noProof/>
          <w:lang w:val="en-IE"/>
        </w:rPr>
        <w:t>)</w:t>
      </w:r>
      <w:r w:rsidRPr="00D55CF3">
        <w:rPr>
          <w:noProof/>
          <w:lang w:val="en-IE"/>
        </w:rPr>
        <w:t xml:space="preserve">. Note that the fuel mix in 2040 and 2050 differs between scenarios: S1 is the scenario showing the highest share of oil products and the lowest shares of e-fuels and hydrogen, whereas S3 shows the lowest share of oil products and the highest shares of e-fuels and hydrogen. The </w:t>
      </w:r>
      <w:r w:rsidR="006F151E">
        <w:rPr>
          <w:noProof/>
          <w:lang w:val="en-IE"/>
        </w:rPr>
        <w:t>liquid</w:t>
      </w:r>
      <w:r w:rsidRPr="00D55CF3">
        <w:rPr>
          <w:noProof/>
          <w:lang w:val="en-IE"/>
        </w:rPr>
        <w:t xml:space="preserve"> biofuel shares in 2040 and 2050, instead, are </w:t>
      </w:r>
      <w:r w:rsidR="00F50C12">
        <w:rPr>
          <w:noProof/>
          <w:lang w:val="en-IE"/>
        </w:rPr>
        <w:t xml:space="preserve">almost </w:t>
      </w:r>
      <w:r w:rsidRPr="00D55CF3">
        <w:rPr>
          <w:noProof/>
          <w:lang w:val="en-IE"/>
        </w:rPr>
        <w:t xml:space="preserve">the same across scenarios. </w:t>
      </w:r>
    </w:p>
    <w:p w14:paraId="204578C6" w14:textId="0FCEFAEF" w:rsidR="003146F3" w:rsidRDefault="003146F3" w:rsidP="00D55CF3">
      <w:pPr>
        <w:rPr>
          <w:noProof/>
          <w:lang w:val="en-IE"/>
        </w:rPr>
      </w:pPr>
      <w:r w:rsidRPr="003146F3">
        <w:rPr>
          <w:noProof/>
          <w:lang w:val="en-IE"/>
        </w:rPr>
        <w:t xml:space="preserve">It is important to </w:t>
      </w:r>
      <w:r w:rsidRPr="006E20AA">
        <w:rPr>
          <w:noProof/>
          <w:lang w:val="en-IE"/>
        </w:rPr>
        <w:t xml:space="preserve">remark that the </w:t>
      </w:r>
      <w:r w:rsidR="00C3387B" w:rsidRPr="006E20AA">
        <w:rPr>
          <w:noProof/>
          <w:lang w:val="en-IE"/>
        </w:rPr>
        <w:t>aviation</w:t>
      </w:r>
      <w:r w:rsidRPr="006E20AA">
        <w:rPr>
          <w:noProof/>
          <w:lang w:val="en-IE"/>
        </w:rPr>
        <w:t xml:space="preserve"> fuel blend </w:t>
      </w:r>
      <w:r w:rsidR="004A61E5">
        <w:rPr>
          <w:noProof/>
          <w:lang w:val="en-IE"/>
        </w:rPr>
        <w:t xml:space="preserve">(excluding electricity and hydrogen) </w:t>
      </w:r>
      <w:r w:rsidRPr="006E20AA">
        <w:rPr>
          <w:noProof/>
          <w:lang w:val="en-IE"/>
        </w:rPr>
        <w:t xml:space="preserve">is projected to have a considerably lower carbon intensity in 2040 and 2050 than in 2015, mainly because of the increased consumption of </w:t>
      </w:r>
      <w:r w:rsidR="00583C5F">
        <w:rPr>
          <w:noProof/>
          <w:lang w:val="en-IE"/>
        </w:rPr>
        <w:t xml:space="preserve">liquid </w:t>
      </w:r>
      <w:r w:rsidRPr="006E20AA">
        <w:rPr>
          <w:noProof/>
          <w:lang w:val="en-IE"/>
        </w:rPr>
        <w:t xml:space="preserve">biofuels and e-fuels relative to fossil fuels. </w:t>
      </w:r>
      <w:r w:rsidR="00631975" w:rsidRPr="006E20AA">
        <w:rPr>
          <w:noProof/>
          <w:lang w:val="en-IE"/>
        </w:rPr>
        <w:t>T</w:t>
      </w:r>
      <w:r w:rsidRPr="006E20AA">
        <w:rPr>
          <w:noProof/>
          <w:lang w:val="en-IE"/>
        </w:rPr>
        <w:t xml:space="preserve">here are significant differences between scenarios; more specifically, the carbon intensities are highest in the S1 scenario (34% lower </w:t>
      </w:r>
      <w:r w:rsidR="00631975" w:rsidRPr="006E20AA">
        <w:rPr>
          <w:noProof/>
          <w:lang w:val="en-IE"/>
        </w:rPr>
        <w:t xml:space="preserve">intensity in 2040 </w:t>
      </w:r>
      <w:r w:rsidRPr="006E20AA">
        <w:rPr>
          <w:noProof/>
          <w:lang w:val="en-IE"/>
        </w:rPr>
        <w:t xml:space="preserve">than in 2015, and 70% lower </w:t>
      </w:r>
      <w:r w:rsidR="00631975" w:rsidRPr="006E20AA">
        <w:rPr>
          <w:noProof/>
          <w:lang w:val="en-IE"/>
        </w:rPr>
        <w:t xml:space="preserve">intensity in 2050 </w:t>
      </w:r>
      <w:r w:rsidRPr="006E20AA">
        <w:rPr>
          <w:noProof/>
          <w:lang w:val="en-IE"/>
        </w:rPr>
        <w:t xml:space="preserve">than in 2015) and lowest in the S3 scenario (37% lower </w:t>
      </w:r>
      <w:r w:rsidR="00631975" w:rsidRPr="006E20AA">
        <w:rPr>
          <w:noProof/>
          <w:lang w:val="en-IE"/>
        </w:rPr>
        <w:t>intensity in 2040</w:t>
      </w:r>
      <w:r w:rsidRPr="006E20AA">
        <w:rPr>
          <w:noProof/>
          <w:lang w:val="en-IE"/>
        </w:rPr>
        <w:t xml:space="preserve"> than in 2015, and 74% lower </w:t>
      </w:r>
      <w:r w:rsidR="00631975" w:rsidRPr="006E20AA">
        <w:rPr>
          <w:noProof/>
          <w:lang w:val="en-IE"/>
        </w:rPr>
        <w:t xml:space="preserve">intensity in 2050 </w:t>
      </w:r>
      <w:r w:rsidRPr="006E20AA">
        <w:rPr>
          <w:noProof/>
          <w:lang w:val="en-IE"/>
        </w:rPr>
        <w:t>than in 2015).</w:t>
      </w:r>
    </w:p>
    <w:p w14:paraId="704C2E5A" w14:textId="614FC6C6" w:rsidR="00A5234E" w:rsidRPr="00D55CF3" w:rsidRDefault="00A5234E" w:rsidP="00A5234E">
      <w:pPr>
        <w:rPr>
          <w:noProof/>
          <w:lang w:val="en-IE"/>
        </w:rPr>
      </w:pPr>
      <w:r w:rsidRPr="00A5234E">
        <w:rPr>
          <w:noProof/>
          <w:lang w:val="en-IE"/>
        </w:rPr>
        <w:t xml:space="preserve">In </w:t>
      </w:r>
      <w:r w:rsidR="00C459D4">
        <w:rPr>
          <w:noProof/>
          <w:lang w:val="en-IE"/>
        </w:rPr>
        <w:t>LIFE</w:t>
      </w:r>
      <w:r w:rsidRPr="00A5234E">
        <w:rPr>
          <w:noProof/>
          <w:lang w:val="en-IE"/>
        </w:rPr>
        <w:t xml:space="preserve">, the total amount of energy consumed by the aviation sector increases over time less than in </w:t>
      </w:r>
      <w:r w:rsidR="00482466">
        <w:rPr>
          <w:noProof/>
          <w:lang w:val="en-IE"/>
        </w:rPr>
        <w:t>the core scenarios</w:t>
      </w:r>
      <w:r w:rsidRPr="00A5234E">
        <w:rPr>
          <w:noProof/>
          <w:lang w:val="en-IE"/>
        </w:rPr>
        <w:t>, mainly because of lower levels of air transport activity</w:t>
      </w:r>
      <w:r w:rsidR="000727F5">
        <w:rPr>
          <w:noProof/>
          <w:lang w:val="en-IE"/>
        </w:rPr>
        <w:t>,</w:t>
      </w:r>
      <w:r w:rsidRPr="00A5234E">
        <w:rPr>
          <w:noProof/>
          <w:lang w:val="en-IE"/>
        </w:rPr>
        <w:t xml:space="preserve"> as explained in </w:t>
      </w:r>
      <w:r w:rsidRPr="005948CC">
        <w:rPr>
          <w:noProof/>
          <w:lang w:val="en-IE"/>
        </w:rPr>
        <w:t>Section</w:t>
      </w:r>
      <w:r w:rsidR="00E0127D" w:rsidRPr="005948CC">
        <w:rPr>
          <w:noProof/>
          <w:lang w:val="en-IE"/>
        </w:rPr>
        <w:t xml:space="preserve"> </w:t>
      </w:r>
      <w:r w:rsidR="00E0127D" w:rsidRPr="005948CC">
        <w:rPr>
          <w:noProof/>
          <w:lang w:val="en-IE"/>
        </w:rPr>
        <w:fldChar w:fldCharType="begin"/>
      </w:r>
      <w:r w:rsidR="00E0127D" w:rsidRPr="005948CC">
        <w:rPr>
          <w:noProof/>
          <w:lang w:val="en-IE"/>
        </w:rPr>
        <w:instrText xml:space="preserve"> REF _Ref143242989 \r \h  \* MERGEFORMAT </w:instrText>
      </w:r>
      <w:r w:rsidR="00E0127D" w:rsidRPr="005948CC">
        <w:rPr>
          <w:noProof/>
          <w:lang w:val="en-IE"/>
        </w:rPr>
      </w:r>
      <w:r w:rsidR="00E0127D" w:rsidRPr="005948CC">
        <w:rPr>
          <w:noProof/>
          <w:lang w:val="en-IE"/>
        </w:rPr>
        <w:fldChar w:fldCharType="separate"/>
      </w:r>
      <w:r w:rsidR="00170A3C">
        <w:rPr>
          <w:noProof/>
          <w:lang w:val="en-IE"/>
        </w:rPr>
        <w:t>1.5.2</w:t>
      </w:r>
      <w:r w:rsidR="00E0127D" w:rsidRPr="005948CC">
        <w:rPr>
          <w:noProof/>
          <w:lang w:val="en-IE"/>
        </w:rPr>
        <w:fldChar w:fldCharType="end"/>
      </w:r>
      <w:r w:rsidRPr="00A5234E">
        <w:rPr>
          <w:noProof/>
          <w:lang w:val="en-IE"/>
        </w:rPr>
        <w:t xml:space="preserve">. </w:t>
      </w:r>
      <w:r w:rsidR="00426BAC">
        <w:rPr>
          <w:noProof/>
          <w:lang w:val="en-IE"/>
        </w:rPr>
        <w:t>In LIFE, t</w:t>
      </w:r>
      <w:r w:rsidRPr="00A5234E">
        <w:rPr>
          <w:noProof/>
          <w:lang w:val="en-IE"/>
        </w:rPr>
        <w:t xml:space="preserve">otal energy consumption is 6% higher in 2040 and </w:t>
      </w:r>
      <w:r w:rsidR="00426BAC">
        <w:rPr>
          <w:noProof/>
          <w:lang w:val="en-IE"/>
        </w:rPr>
        <w:t>0.5</w:t>
      </w:r>
      <w:r w:rsidRPr="00A5234E">
        <w:rPr>
          <w:noProof/>
          <w:lang w:val="en-IE"/>
        </w:rPr>
        <w:t xml:space="preserve">% higher in 2050 relative to 2015 (i.e., 11 percentage points less </w:t>
      </w:r>
      <w:r w:rsidR="00426BAC" w:rsidRPr="00A5234E">
        <w:rPr>
          <w:noProof/>
          <w:lang w:val="en-IE"/>
        </w:rPr>
        <w:t xml:space="preserve">than in the </w:t>
      </w:r>
      <w:r w:rsidR="00426BAC">
        <w:rPr>
          <w:noProof/>
          <w:lang w:val="en-IE"/>
        </w:rPr>
        <w:t>main</w:t>
      </w:r>
      <w:r w:rsidR="00426BAC" w:rsidRPr="00A5234E">
        <w:rPr>
          <w:noProof/>
          <w:lang w:val="en-IE"/>
        </w:rPr>
        <w:t xml:space="preserve"> scenario</w:t>
      </w:r>
      <w:r w:rsidR="00426BAC">
        <w:rPr>
          <w:noProof/>
          <w:lang w:val="en-IE"/>
        </w:rPr>
        <w:t>s</w:t>
      </w:r>
      <w:r w:rsidR="00426BAC" w:rsidRPr="00A5234E">
        <w:rPr>
          <w:noProof/>
          <w:lang w:val="en-IE"/>
        </w:rPr>
        <w:t xml:space="preserve"> </w:t>
      </w:r>
      <w:r w:rsidRPr="00A5234E">
        <w:rPr>
          <w:noProof/>
          <w:lang w:val="en-IE"/>
        </w:rPr>
        <w:t>in 2040, and 16</w:t>
      </w:r>
      <w:r w:rsidR="00426BAC">
        <w:rPr>
          <w:noProof/>
          <w:lang w:val="en-IE"/>
        </w:rPr>
        <w:t>-17</w:t>
      </w:r>
      <w:r w:rsidRPr="00A5234E">
        <w:rPr>
          <w:noProof/>
          <w:lang w:val="en-IE"/>
        </w:rPr>
        <w:t xml:space="preserve"> pp less in 2050)</w:t>
      </w:r>
      <w:r w:rsidR="00671E4E">
        <w:rPr>
          <w:noProof/>
          <w:lang w:val="en-IE"/>
        </w:rPr>
        <w:t xml:space="preserve">, as shown in </w:t>
      </w:r>
      <w:r w:rsidR="00671E4E" w:rsidRPr="005948CC">
        <w:rPr>
          <w:noProof/>
          <w:lang w:val="en-IE"/>
        </w:rPr>
        <w:fldChar w:fldCharType="begin"/>
      </w:r>
      <w:r w:rsidR="00671E4E" w:rsidRPr="005948CC">
        <w:rPr>
          <w:noProof/>
          <w:lang w:val="en-IE"/>
        </w:rPr>
        <w:instrText xml:space="preserve"> REF _Ref144746067 \h  \* MERGEFORMAT </w:instrText>
      </w:r>
      <w:r w:rsidR="00671E4E" w:rsidRPr="005948CC">
        <w:rPr>
          <w:noProof/>
          <w:lang w:val="en-IE"/>
        </w:rPr>
      </w:r>
      <w:r w:rsidR="00671E4E" w:rsidRPr="005948CC">
        <w:rPr>
          <w:noProof/>
          <w:lang w:val="en-IE"/>
        </w:rPr>
        <w:fldChar w:fldCharType="separate"/>
      </w:r>
      <w:r w:rsidR="00170A3C">
        <w:rPr>
          <w:noProof/>
        </w:rPr>
        <w:t>Figure 75</w:t>
      </w:r>
      <w:r w:rsidR="00671E4E" w:rsidRPr="005948CC">
        <w:rPr>
          <w:noProof/>
          <w:lang w:val="en-IE"/>
        </w:rPr>
        <w:fldChar w:fldCharType="end"/>
      </w:r>
      <w:r w:rsidRPr="00A5234E">
        <w:rPr>
          <w:noProof/>
          <w:lang w:val="en-IE"/>
        </w:rPr>
        <w:t xml:space="preserve">. However, the energy efficiency of air transport (expressed in toe/pkm) is </w:t>
      </w:r>
      <w:r w:rsidR="00426BAC">
        <w:rPr>
          <w:noProof/>
          <w:lang w:val="en-IE"/>
        </w:rPr>
        <w:t xml:space="preserve">very </w:t>
      </w:r>
      <w:r w:rsidRPr="00A5234E">
        <w:rPr>
          <w:noProof/>
          <w:lang w:val="en-IE"/>
        </w:rPr>
        <w:t xml:space="preserve">similar in </w:t>
      </w:r>
      <w:r w:rsidR="00426BAC">
        <w:rPr>
          <w:noProof/>
          <w:lang w:val="en-IE"/>
        </w:rPr>
        <w:t>all</w:t>
      </w:r>
      <w:r w:rsidRPr="00A5234E">
        <w:rPr>
          <w:noProof/>
          <w:lang w:val="en-IE"/>
        </w:rPr>
        <w:t xml:space="preserve"> scenarios. </w:t>
      </w:r>
      <w:r w:rsidR="00F71E22">
        <w:rPr>
          <w:noProof/>
          <w:lang w:val="en-IE"/>
        </w:rPr>
        <w:t>Furthermore, t</w:t>
      </w:r>
      <w:r w:rsidRPr="00A5234E">
        <w:rPr>
          <w:noProof/>
          <w:lang w:val="en-IE"/>
        </w:rPr>
        <w:t xml:space="preserve">he fuel mix </w:t>
      </w:r>
      <w:r w:rsidR="00426BAC">
        <w:rPr>
          <w:noProof/>
          <w:lang w:val="en-IE"/>
        </w:rPr>
        <w:t xml:space="preserve">in LIFE </w:t>
      </w:r>
      <w:r w:rsidRPr="00A5234E">
        <w:rPr>
          <w:noProof/>
          <w:lang w:val="en-IE"/>
        </w:rPr>
        <w:t>is similar</w:t>
      </w:r>
      <w:r w:rsidR="00426BAC">
        <w:rPr>
          <w:noProof/>
          <w:lang w:val="en-IE"/>
        </w:rPr>
        <w:t xml:space="preserve"> to that of </w:t>
      </w:r>
      <w:r w:rsidR="00FE00F8">
        <w:rPr>
          <w:noProof/>
          <w:lang w:val="en-IE"/>
        </w:rPr>
        <w:t xml:space="preserve">the </w:t>
      </w:r>
      <w:r w:rsidR="00426BAC">
        <w:rPr>
          <w:noProof/>
          <w:lang w:val="en-IE"/>
        </w:rPr>
        <w:t>S3</w:t>
      </w:r>
      <w:r w:rsidRPr="00A5234E">
        <w:rPr>
          <w:noProof/>
          <w:lang w:val="en-IE"/>
        </w:rPr>
        <w:t xml:space="preserve"> </w:t>
      </w:r>
      <w:r w:rsidR="00FE00F8">
        <w:rPr>
          <w:noProof/>
          <w:lang w:val="en-IE"/>
        </w:rPr>
        <w:t>scenario</w:t>
      </w:r>
      <w:r w:rsidRPr="00A5234E">
        <w:rPr>
          <w:noProof/>
          <w:lang w:val="en-IE"/>
        </w:rPr>
        <w:t xml:space="preserve"> (in relative terms)</w:t>
      </w:r>
      <w:r w:rsidR="00993331">
        <w:rPr>
          <w:noProof/>
          <w:lang w:val="en-IE"/>
        </w:rPr>
        <w:t xml:space="preserve">, </w:t>
      </w:r>
      <w:r w:rsidR="00993331" w:rsidRPr="00993331">
        <w:rPr>
          <w:noProof/>
          <w:lang w:val="en-IE"/>
        </w:rPr>
        <w:t xml:space="preserve">although showing </w:t>
      </w:r>
      <w:r w:rsidR="00993331">
        <w:rPr>
          <w:noProof/>
          <w:lang w:val="en-IE"/>
        </w:rPr>
        <w:t xml:space="preserve">a </w:t>
      </w:r>
      <w:r w:rsidR="00993331" w:rsidRPr="00993331">
        <w:rPr>
          <w:noProof/>
          <w:lang w:val="en-IE"/>
        </w:rPr>
        <w:t>somewhat lower uptake of hydrogen</w:t>
      </w:r>
      <w:r w:rsidRPr="00A5234E">
        <w:rPr>
          <w:noProof/>
          <w:lang w:val="en-IE"/>
        </w:rPr>
        <w:t>.</w:t>
      </w:r>
    </w:p>
    <w:p w14:paraId="3D2F2C99" w14:textId="154ABC08" w:rsidR="00386CB4" w:rsidRDefault="00890EAD" w:rsidP="00332B5D">
      <w:pPr>
        <w:pStyle w:val="Caption"/>
        <w:rPr>
          <w:noProof/>
        </w:rPr>
      </w:pPr>
      <w:bookmarkStart w:id="373" w:name="_Ref144746067"/>
      <w:bookmarkStart w:id="374" w:name="_Toc157679823"/>
      <w:r>
        <w:rPr>
          <w:noProof/>
        </w:rPr>
        <w:t xml:space="preserve">Figure </w:t>
      </w:r>
      <w:r>
        <w:rPr>
          <w:noProof/>
        </w:rPr>
        <w:fldChar w:fldCharType="begin"/>
      </w:r>
      <w:r>
        <w:rPr>
          <w:noProof/>
        </w:rPr>
        <w:instrText>SEQ Figure \* ARABIC</w:instrText>
      </w:r>
      <w:r>
        <w:rPr>
          <w:noProof/>
        </w:rPr>
        <w:fldChar w:fldCharType="separate"/>
      </w:r>
      <w:r w:rsidR="00170A3C">
        <w:rPr>
          <w:noProof/>
        </w:rPr>
        <w:t>75</w:t>
      </w:r>
      <w:r>
        <w:rPr>
          <w:noProof/>
        </w:rPr>
        <w:fldChar w:fldCharType="end"/>
      </w:r>
      <w:bookmarkEnd w:id="373"/>
      <w:r>
        <w:rPr>
          <w:noProof/>
        </w:rPr>
        <w:t xml:space="preserve">: </w:t>
      </w:r>
      <w:r w:rsidR="00F9205E">
        <w:rPr>
          <w:noProof/>
        </w:rPr>
        <w:t xml:space="preserve">EU </w:t>
      </w:r>
      <w:r w:rsidR="00F52BC5">
        <w:rPr>
          <w:noProof/>
        </w:rPr>
        <w:t>e</w:t>
      </w:r>
      <w:r w:rsidRPr="00890EAD">
        <w:rPr>
          <w:noProof/>
        </w:rPr>
        <w:t xml:space="preserve">nergy consumption in aviation </w:t>
      </w:r>
      <w:r w:rsidR="00930EBA">
        <w:rPr>
          <w:noProof/>
        </w:rPr>
        <w:t>by</w:t>
      </w:r>
      <w:r w:rsidRPr="00890EAD">
        <w:rPr>
          <w:noProof/>
        </w:rPr>
        <w:t xml:space="preserve"> fuel</w:t>
      </w:r>
      <w:r w:rsidR="00930EBA">
        <w:rPr>
          <w:noProof/>
        </w:rPr>
        <w:t>/energy carrier</w:t>
      </w:r>
      <w:r w:rsidR="00F52BC5">
        <w:rPr>
          <w:noProof/>
        </w:rPr>
        <w:t xml:space="preserve"> type</w:t>
      </w:r>
      <w:bookmarkEnd w:id="374"/>
    </w:p>
    <w:p w14:paraId="766CBF60" w14:textId="5737DCAE" w:rsidR="000B3BCB" w:rsidRDefault="000B3BCB" w:rsidP="000B3BCB">
      <w:pPr>
        <w:pStyle w:val="CT-SOURCE"/>
        <w:jc w:val="center"/>
        <w:rPr>
          <w:noProof/>
        </w:rPr>
      </w:pPr>
      <w:r w:rsidRPr="000B3BCB">
        <w:rPr>
          <w:noProof/>
          <w:lang w:val="en-GB" w:eastAsia="en-GB"/>
        </w:rPr>
        <w:drawing>
          <wp:inline distT="0" distB="0" distL="0" distR="0" wp14:anchorId="713BEA8A" wp14:editId="7A8D789A">
            <wp:extent cx="5472430" cy="2331720"/>
            <wp:effectExtent l="0" t="0" r="0" b="0"/>
            <wp:docPr id="363790912" name="Picture 363790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472430" cy="2331720"/>
                    </a:xfrm>
                    <a:prstGeom prst="rect">
                      <a:avLst/>
                    </a:prstGeom>
                    <a:noFill/>
                    <a:ln>
                      <a:noFill/>
                    </a:ln>
                  </pic:spPr>
                </pic:pic>
              </a:graphicData>
            </a:graphic>
          </wp:inline>
        </w:drawing>
      </w:r>
    </w:p>
    <w:p w14:paraId="1ECEFCA7" w14:textId="3318A56D" w:rsidR="000207EA" w:rsidRPr="000207EA" w:rsidRDefault="000207EA" w:rsidP="000207EA">
      <w:pPr>
        <w:pStyle w:val="CT-NOTE"/>
        <w:rPr>
          <w:noProof/>
        </w:rPr>
      </w:pPr>
      <w:r w:rsidRPr="000207EA">
        <w:rPr>
          <w:noProof/>
        </w:rPr>
        <w:t xml:space="preserve">Note: </w:t>
      </w:r>
      <w:r>
        <w:rPr>
          <w:noProof/>
        </w:rPr>
        <w:t>Energy consumption including domestic and international (intra-EU and extra-EU) aviation</w:t>
      </w:r>
      <w:r w:rsidRPr="000207EA">
        <w:rPr>
          <w:noProof/>
        </w:rPr>
        <w:t>.</w:t>
      </w:r>
    </w:p>
    <w:p w14:paraId="40448F9B" w14:textId="724010BC" w:rsidR="008021D3" w:rsidRPr="000207EA" w:rsidRDefault="008021D3" w:rsidP="00923B34">
      <w:pPr>
        <w:pStyle w:val="CT-SOURCE"/>
        <w:rPr>
          <w:noProof/>
        </w:rPr>
      </w:pPr>
      <w:r w:rsidRPr="00DC53A8">
        <w:rPr>
          <w:noProof/>
        </w:rPr>
        <w:t>Source: PRIMES.</w:t>
      </w:r>
    </w:p>
    <w:p w14:paraId="6E2F79C9" w14:textId="484B6CA8" w:rsidR="006B15FA" w:rsidRPr="00630343" w:rsidRDefault="00367169" w:rsidP="00630343">
      <w:pPr>
        <w:pStyle w:val="Heading3"/>
        <w:rPr>
          <w:noProof/>
        </w:rPr>
      </w:pPr>
      <w:bookmarkStart w:id="375" w:name="_Ref145692364"/>
      <w:bookmarkStart w:id="376" w:name="_Toc148605609"/>
      <w:bookmarkStart w:id="377" w:name="_Toc157692055"/>
      <w:r>
        <w:rPr>
          <w:noProof/>
        </w:rPr>
        <w:t>CO2</w:t>
      </w:r>
      <w:r w:rsidR="00FE22F1" w:rsidRPr="00630343">
        <w:rPr>
          <w:noProof/>
        </w:rPr>
        <w:t xml:space="preserve"> emissions</w:t>
      </w:r>
      <w:r w:rsidR="006E05DA" w:rsidRPr="00630343">
        <w:rPr>
          <w:noProof/>
        </w:rPr>
        <w:t xml:space="preserve"> from transport</w:t>
      </w:r>
      <w:bookmarkEnd w:id="375"/>
      <w:bookmarkEnd w:id="376"/>
      <w:bookmarkEnd w:id="377"/>
    </w:p>
    <w:p w14:paraId="5ADA227D" w14:textId="234FC2CD" w:rsidR="002A0C42" w:rsidRPr="006E20AA" w:rsidRDefault="002A0C42" w:rsidP="002A0C42">
      <w:pPr>
        <w:rPr>
          <w:noProof/>
        </w:rPr>
      </w:pPr>
      <w:r>
        <w:rPr>
          <w:noProof/>
        </w:rPr>
        <w:t xml:space="preserve">Direct CO2 emissions from the EU transport sector are projected to decrease dramatically between 2015 and 2050, especially after 2030. It should be noted that this occurs within a context of increased transport activity (see </w:t>
      </w:r>
      <w:r w:rsidRPr="005948CC">
        <w:rPr>
          <w:noProof/>
        </w:rPr>
        <w:t xml:space="preserve">Section </w:t>
      </w:r>
      <w:r w:rsidRPr="005948CC">
        <w:rPr>
          <w:noProof/>
        </w:rPr>
        <w:fldChar w:fldCharType="begin"/>
      </w:r>
      <w:r w:rsidRPr="005948CC">
        <w:rPr>
          <w:noProof/>
        </w:rPr>
        <w:instrText xml:space="preserve"> REF _Ref143242989 \r \h  \* MERGEFORMAT </w:instrText>
      </w:r>
      <w:r w:rsidRPr="005948CC">
        <w:rPr>
          <w:noProof/>
        </w:rPr>
      </w:r>
      <w:r w:rsidRPr="005948CC">
        <w:rPr>
          <w:noProof/>
        </w:rPr>
        <w:fldChar w:fldCharType="separate"/>
      </w:r>
      <w:r w:rsidR="00170A3C">
        <w:rPr>
          <w:noProof/>
        </w:rPr>
        <w:t>1.5.2</w:t>
      </w:r>
      <w:r w:rsidRPr="005948CC">
        <w:rPr>
          <w:noProof/>
        </w:rPr>
        <w:fldChar w:fldCharType="end"/>
      </w:r>
      <w:r>
        <w:rPr>
          <w:noProof/>
        </w:rPr>
        <w:t>). Even so, emissions drop because of a sharp decline in fossil fuel consumption, which is mainly caused by a decrease in energy consumption in the transport sector (resulting mainly from electrification and measures to improve energy efficiency) combined with an increased use of zero-</w:t>
      </w:r>
      <w:r w:rsidR="00C45644">
        <w:rPr>
          <w:noProof/>
        </w:rPr>
        <w:t xml:space="preserve"> and low-</w:t>
      </w:r>
      <w:r>
        <w:rPr>
          <w:noProof/>
        </w:rPr>
        <w:t xml:space="preserve">emission energy carriers, i.e., electricity, hydrogen, </w:t>
      </w:r>
      <w:r w:rsidR="006B055B">
        <w:rPr>
          <w:noProof/>
        </w:rPr>
        <w:t xml:space="preserve">liquid </w:t>
      </w:r>
      <w:r>
        <w:rPr>
          <w:noProof/>
        </w:rPr>
        <w:t>biofuels</w:t>
      </w:r>
      <w:r w:rsidR="006B055B">
        <w:rPr>
          <w:noProof/>
        </w:rPr>
        <w:t>, biogas</w:t>
      </w:r>
      <w:r>
        <w:rPr>
          <w:noProof/>
        </w:rPr>
        <w:t xml:space="preserve"> and e-fuels (see </w:t>
      </w:r>
      <w:r w:rsidRPr="005948CC">
        <w:rPr>
          <w:noProof/>
        </w:rPr>
        <w:t xml:space="preserve">Section </w:t>
      </w:r>
      <w:r w:rsidRPr="005948CC">
        <w:rPr>
          <w:noProof/>
        </w:rPr>
        <w:fldChar w:fldCharType="begin"/>
      </w:r>
      <w:r w:rsidRPr="005948CC">
        <w:rPr>
          <w:noProof/>
        </w:rPr>
        <w:instrText xml:space="preserve"> REF _Ref145092521 \r \h  \* MERGEFORMAT </w:instrText>
      </w:r>
      <w:r w:rsidRPr="005948CC">
        <w:rPr>
          <w:noProof/>
        </w:rPr>
      </w:r>
      <w:r w:rsidRPr="005948CC">
        <w:rPr>
          <w:noProof/>
        </w:rPr>
        <w:fldChar w:fldCharType="separate"/>
      </w:r>
      <w:r w:rsidR="00170A3C">
        <w:rPr>
          <w:noProof/>
        </w:rPr>
        <w:t>1.5.3</w:t>
      </w:r>
      <w:r w:rsidRPr="005948CC">
        <w:rPr>
          <w:noProof/>
        </w:rPr>
        <w:fldChar w:fldCharType="end"/>
      </w:r>
      <w:r>
        <w:rPr>
          <w:noProof/>
        </w:rPr>
        <w:t xml:space="preserve">). As a result of the latter, the carbon intensity </w:t>
      </w:r>
      <w:r w:rsidR="005B61D5">
        <w:rPr>
          <w:noProof/>
        </w:rPr>
        <w:t>(expressed in tCO2/toe)</w:t>
      </w:r>
      <w:r>
        <w:rPr>
          <w:noProof/>
        </w:rPr>
        <w:t xml:space="preserve"> of all </w:t>
      </w:r>
      <w:r w:rsidRPr="006E20AA">
        <w:rPr>
          <w:noProof/>
        </w:rPr>
        <w:t xml:space="preserve">the energy carriers employed in the transport sector taken together decreases by more than 90% between 2015 and 2050 </w:t>
      </w:r>
      <w:r w:rsidR="001E4201" w:rsidRPr="006E20AA">
        <w:rPr>
          <w:noProof/>
        </w:rPr>
        <w:t>in all scenarios</w:t>
      </w:r>
      <w:r w:rsidRPr="006E20AA">
        <w:rPr>
          <w:noProof/>
        </w:rPr>
        <w:t xml:space="preserve">. </w:t>
      </w:r>
    </w:p>
    <w:p w14:paraId="1D6EAA40" w14:textId="0D86BE1A" w:rsidR="002A0C42" w:rsidRDefault="002A0C42" w:rsidP="002A0C42">
      <w:pPr>
        <w:rPr>
          <w:noProof/>
        </w:rPr>
      </w:pPr>
      <w:r w:rsidRPr="006E20AA">
        <w:rPr>
          <w:noProof/>
        </w:rPr>
        <w:t xml:space="preserve">As shown in </w:t>
      </w:r>
      <w:r w:rsidR="000D08DA" w:rsidRPr="006E20AA">
        <w:rPr>
          <w:noProof/>
        </w:rPr>
        <w:fldChar w:fldCharType="begin"/>
      </w:r>
      <w:r w:rsidR="000D08DA" w:rsidRPr="006E20AA">
        <w:rPr>
          <w:noProof/>
        </w:rPr>
        <w:instrText xml:space="preserve"> REF _Ref145092600 \h  \* MERGEFORMAT </w:instrText>
      </w:r>
      <w:r w:rsidR="000D08DA" w:rsidRPr="006E20AA">
        <w:rPr>
          <w:noProof/>
        </w:rPr>
      </w:r>
      <w:r w:rsidR="000D08DA" w:rsidRPr="006E20AA">
        <w:rPr>
          <w:noProof/>
        </w:rPr>
        <w:fldChar w:fldCharType="separate"/>
      </w:r>
      <w:r w:rsidR="00170A3C">
        <w:rPr>
          <w:noProof/>
        </w:rPr>
        <w:t>Figure 76</w:t>
      </w:r>
      <w:r w:rsidR="000D08DA" w:rsidRPr="006E20AA">
        <w:rPr>
          <w:noProof/>
        </w:rPr>
        <w:fldChar w:fldCharType="end"/>
      </w:r>
      <w:r w:rsidRPr="006E20AA">
        <w:rPr>
          <w:noProof/>
        </w:rPr>
        <w:t xml:space="preserve">, in the S1, S2 and S3 scenarios, the total CO2 emissions from the EU transport sector (including international navigation and aviation) are projected to drop from almost 1000 MtCO2 in 2015 to </w:t>
      </w:r>
      <w:r w:rsidR="00D90BD6">
        <w:rPr>
          <w:noProof/>
        </w:rPr>
        <w:t>37-46</w:t>
      </w:r>
      <w:r w:rsidRPr="006E20AA">
        <w:rPr>
          <w:noProof/>
        </w:rPr>
        <w:t xml:space="preserve"> MtCO2 </w:t>
      </w:r>
      <w:r w:rsidR="0047502D">
        <w:rPr>
          <w:noProof/>
        </w:rPr>
        <w:t xml:space="preserve">(depending on the scenario) </w:t>
      </w:r>
      <w:r w:rsidRPr="006E20AA">
        <w:rPr>
          <w:noProof/>
        </w:rPr>
        <w:t>in 2050</w:t>
      </w:r>
      <w:r w:rsidR="003479AA">
        <w:rPr>
          <w:noProof/>
        </w:rPr>
        <w:t>,</w:t>
      </w:r>
      <w:r w:rsidRPr="006E20AA">
        <w:rPr>
          <w:noProof/>
        </w:rPr>
        <w:t xml:space="preserve"> i.e., a 95</w:t>
      </w:r>
      <w:r w:rsidR="00FF3055">
        <w:rPr>
          <w:noProof/>
        </w:rPr>
        <w:t>-96</w:t>
      </w:r>
      <w:r w:rsidRPr="006E20AA">
        <w:rPr>
          <w:noProof/>
        </w:rPr>
        <w:t xml:space="preserve">% reduction. It should be noted that, in 2015, almost </w:t>
      </w:r>
      <w:r w:rsidR="00B53F8A">
        <w:rPr>
          <w:noProof/>
        </w:rPr>
        <w:t>74</w:t>
      </w:r>
      <w:r w:rsidRPr="006E20AA">
        <w:rPr>
          <w:noProof/>
        </w:rPr>
        <w:t xml:space="preserve">% of the transport-related CO2 emissions were caused by road transport; instead, roughly 90% of the emissions remaining in 2050 are </w:t>
      </w:r>
      <w:r w:rsidR="00C0556E" w:rsidRPr="006E20AA">
        <w:rPr>
          <w:noProof/>
        </w:rPr>
        <w:t>projected to come from</w:t>
      </w:r>
      <w:r w:rsidRPr="006E20AA">
        <w:rPr>
          <w:noProof/>
        </w:rPr>
        <w:t xml:space="preserve"> the aviation sector, particularly </w:t>
      </w:r>
      <w:r w:rsidR="006C7117" w:rsidRPr="006E20AA">
        <w:rPr>
          <w:noProof/>
        </w:rPr>
        <w:t>from</w:t>
      </w:r>
      <w:r w:rsidRPr="006E20AA">
        <w:rPr>
          <w:noProof/>
        </w:rPr>
        <w:t xml:space="preserve"> the international aviation sector. In 2040, the total amount of transport-related emissions differs significantly between scenarios</w:t>
      </w:r>
      <w:r w:rsidR="007217FD" w:rsidRPr="006E20AA">
        <w:rPr>
          <w:noProof/>
        </w:rPr>
        <w:t xml:space="preserve"> (see </w:t>
      </w:r>
      <w:r w:rsidR="005053C6" w:rsidRPr="006E20AA">
        <w:rPr>
          <w:noProof/>
        </w:rPr>
        <w:fldChar w:fldCharType="begin"/>
      </w:r>
      <w:r w:rsidR="005053C6" w:rsidRPr="006E20AA">
        <w:rPr>
          <w:noProof/>
        </w:rPr>
        <w:instrText xml:space="preserve"> REF _Ref145092600 \h  \* MERGEFORMAT </w:instrText>
      </w:r>
      <w:r w:rsidR="005053C6" w:rsidRPr="006E20AA">
        <w:rPr>
          <w:noProof/>
        </w:rPr>
      </w:r>
      <w:r w:rsidR="005053C6" w:rsidRPr="006E20AA">
        <w:rPr>
          <w:noProof/>
        </w:rPr>
        <w:fldChar w:fldCharType="separate"/>
      </w:r>
      <w:r w:rsidR="00170A3C">
        <w:rPr>
          <w:noProof/>
        </w:rPr>
        <w:t>Figure 76</w:t>
      </w:r>
      <w:r w:rsidR="005053C6" w:rsidRPr="006E20AA">
        <w:rPr>
          <w:noProof/>
        </w:rPr>
        <w:fldChar w:fldCharType="end"/>
      </w:r>
      <w:r w:rsidR="005053C6" w:rsidRPr="006E20AA">
        <w:rPr>
          <w:noProof/>
        </w:rPr>
        <w:t xml:space="preserve"> and </w:t>
      </w:r>
      <w:r w:rsidR="007217FD" w:rsidRPr="006E20AA">
        <w:rPr>
          <w:noProof/>
        </w:rPr>
        <w:fldChar w:fldCharType="begin"/>
      </w:r>
      <w:r w:rsidR="007217FD" w:rsidRPr="006E20AA">
        <w:rPr>
          <w:noProof/>
        </w:rPr>
        <w:instrText xml:space="preserve"> REF _Ref145092624 \h  \* MERGEFORMAT </w:instrText>
      </w:r>
      <w:r w:rsidR="007217FD" w:rsidRPr="006E20AA">
        <w:rPr>
          <w:noProof/>
        </w:rPr>
      </w:r>
      <w:r w:rsidR="007217FD" w:rsidRPr="006E20AA">
        <w:rPr>
          <w:noProof/>
        </w:rPr>
        <w:fldChar w:fldCharType="separate"/>
      </w:r>
      <w:r w:rsidR="00170A3C">
        <w:rPr>
          <w:noProof/>
        </w:rPr>
        <w:t>Figure 77</w:t>
      </w:r>
      <w:r w:rsidR="007217FD" w:rsidRPr="006E20AA">
        <w:rPr>
          <w:noProof/>
        </w:rPr>
        <w:fldChar w:fldCharType="end"/>
      </w:r>
      <w:r w:rsidR="007217FD" w:rsidRPr="006E20AA">
        <w:rPr>
          <w:noProof/>
        </w:rPr>
        <w:t>)</w:t>
      </w:r>
      <w:r w:rsidRPr="006E20AA">
        <w:rPr>
          <w:noProof/>
        </w:rPr>
        <w:t>: 31</w:t>
      </w:r>
      <w:r w:rsidR="006F75B8" w:rsidRPr="006E20AA">
        <w:rPr>
          <w:noProof/>
        </w:rPr>
        <w:t>0</w:t>
      </w:r>
      <w:r w:rsidRPr="006E20AA">
        <w:rPr>
          <w:noProof/>
        </w:rPr>
        <w:t xml:space="preserve"> MtCO2 in the S1 scenario (i.e., a 6</w:t>
      </w:r>
      <w:r w:rsidR="00C16944" w:rsidRPr="006E20AA">
        <w:rPr>
          <w:noProof/>
        </w:rPr>
        <w:t>9</w:t>
      </w:r>
      <w:r w:rsidRPr="006E20AA">
        <w:rPr>
          <w:noProof/>
        </w:rPr>
        <w:t>% reduction relative to 2015), 25</w:t>
      </w:r>
      <w:r w:rsidR="006F75B8" w:rsidRPr="006E20AA">
        <w:rPr>
          <w:noProof/>
        </w:rPr>
        <w:t>2</w:t>
      </w:r>
      <w:r w:rsidRPr="006E20AA">
        <w:rPr>
          <w:noProof/>
        </w:rPr>
        <w:t xml:space="preserve"> MtCO2 in the S2 scenario (-7</w:t>
      </w:r>
      <w:r w:rsidR="00C16944" w:rsidRPr="006E20AA">
        <w:rPr>
          <w:noProof/>
        </w:rPr>
        <w:t>5</w:t>
      </w:r>
      <w:r w:rsidRPr="006E20AA">
        <w:rPr>
          <w:noProof/>
        </w:rPr>
        <w:t>% compared to 2015), and 2</w:t>
      </w:r>
      <w:r w:rsidR="006F75B8" w:rsidRPr="006E20AA">
        <w:rPr>
          <w:noProof/>
        </w:rPr>
        <w:t>19</w:t>
      </w:r>
      <w:r w:rsidRPr="006E20AA">
        <w:rPr>
          <w:noProof/>
        </w:rPr>
        <w:t xml:space="preserve"> MtCO2 in the S3 scenario (-78% compared to 2015). </w:t>
      </w:r>
      <w:r w:rsidR="00F754A8">
        <w:rPr>
          <w:noProof/>
        </w:rPr>
        <w:t xml:space="preserve">Relative to 1990, this means </w:t>
      </w:r>
      <w:r w:rsidR="00806641" w:rsidRPr="00806641">
        <w:rPr>
          <w:noProof/>
        </w:rPr>
        <w:t>CO2 emission</w:t>
      </w:r>
      <w:r w:rsidR="00F570E3">
        <w:rPr>
          <w:noProof/>
        </w:rPr>
        <w:t>s</w:t>
      </w:r>
      <w:r w:rsidR="00F754A8">
        <w:rPr>
          <w:noProof/>
        </w:rPr>
        <w:t xml:space="preserve"> reductions of </w:t>
      </w:r>
      <w:r w:rsidR="00806641" w:rsidRPr="00806641">
        <w:rPr>
          <w:noProof/>
        </w:rPr>
        <w:t>62% in S1, 69% in S2 and 73% in S3</w:t>
      </w:r>
      <w:r w:rsidR="00F31D00">
        <w:rPr>
          <w:noProof/>
        </w:rPr>
        <w:t xml:space="preserve"> </w:t>
      </w:r>
      <w:r w:rsidR="00F754A8">
        <w:rPr>
          <w:noProof/>
        </w:rPr>
        <w:t>by 2040</w:t>
      </w:r>
      <w:r w:rsidR="00806641" w:rsidRPr="00806641">
        <w:rPr>
          <w:noProof/>
        </w:rPr>
        <w:t>.</w:t>
      </w:r>
      <w:r w:rsidR="00806641">
        <w:rPr>
          <w:noProof/>
        </w:rPr>
        <w:t xml:space="preserve"> </w:t>
      </w:r>
      <w:r w:rsidRPr="006E20AA">
        <w:rPr>
          <w:noProof/>
        </w:rPr>
        <w:t>Emissions are lower in S2 compared to S1</w:t>
      </w:r>
      <w:r w:rsidR="006A4A77" w:rsidRPr="006E20AA">
        <w:rPr>
          <w:noProof/>
        </w:rPr>
        <w:t>,</w:t>
      </w:r>
      <w:r w:rsidRPr="006E20AA">
        <w:rPr>
          <w:noProof/>
        </w:rPr>
        <w:t xml:space="preserve"> and in S3 compared</w:t>
      </w:r>
      <w:r>
        <w:rPr>
          <w:noProof/>
        </w:rPr>
        <w:t xml:space="preserve"> to S2</w:t>
      </w:r>
      <w:r w:rsidR="006A4A77">
        <w:rPr>
          <w:noProof/>
        </w:rPr>
        <w:t>,</w:t>
      </w:r>
      <w:r>
        <w:rPr>
          <w:noProof/>
        </w:rPr>
        <w:t xml:space="preserve"> mainly because of a greater consumption of e-fuels</w:t>
      </w:r>
      <w:r w:rsidR="007F7CFA">
        <w:rPr>
          <w:noProof/>
        </w:rPr>
        <w:t>,</w:t>
      </w:r>
      <w:r w:rsidR="000A4A66">
        <w:rPr>
          <w:noProof/>
        </w:rPr>
        <w:t xml:space="preserve"> hydrogen</w:t>
      </w:r>
      <w:r w:rsidR="00686BAC">
        <w:rPr>
          <w:noProof/>
        </w:rPr>
        <w:t xml:space="preserve"> and electricity taken together</w:t>
      </w:r>
      <w:r>
        <w:rPr>
          <w:noProof/>
        </w:rPr>
        <w:t>, which replace fossil fuels (see</w:t>
      </w:r>
      <w:r w:rsidR="000F6E0C">
        <w:rPr>
          <w:noProof/>
        </w:rPr>
        <w:t xml:space="preserve"> </w:t>
      </w:r>
      <w:r w:rsidR="000F6E0C" w:rsidRPr="005948CC">
        <w:rPr>
          <w:noProof/>
        </w:rPr>
        <w:fldChar w:fldCharType="begin"/>
      </w:r>
      <w:r w:rsidR="000F6E0C" w:rsidRPr="000F6E0C">
        <w:rPr>
          <w:noProof/>
          <w:highlight w:val="yellow"/>
        </w:rPr>
        <w:instrText xml:space="preserve"> REF _Ref145092769 \h </w:instrText>
      </w:r>
      <w:r w:rsidR="000F6E0C">
        <w:rPr>
          <w:noProof/>
          <w:highlight w:val="yellow"/>
        </w:rPr>
        <w:instrText xml:space="preserve"> \* MERGEFORMAT </w:instrText>
      </w:r>
      <w:r w:rsidR="000F6E0C" w:rsidRPr="005948CC">
        <w:rPr>
          <w:noProof/>
        </w:rPr>
      </w:r>
      <w:r w:rsidR="000F6E0C" w:rsidRPr="005948CC">
        <w:rPr>
          <w:noProof/>
        </w:rPr>
        <w:fldChar w:fldCharType="separate"/>
      </w:r>
      <w:r w:rsidR="00170A3C">
        <w:rPr>
          <w:noProof/>
        </w:rPr>
        <w:t>Figure 66</w:t>
      </w:r>
      <w:r w:rsidR="000F6E0C" w:rsidRPr="005948CC">
        <w:rPr>
          <w:noProof/>
        </w:rPr>
        <w:fldChar w:fldCharType="end"/>
      </w:r>
      <w:r w:rsidR="001B29A6">
        <w:rPr>
          <w:noProof/>
        </w:rPr>
        <w:t>).</w:t>
      </w:r>
    </w:p>
    <w:p w14:paraId="7CACB737" w14:textId="11032325" w:rsidR="00013891" w:rsidRDefault="00013891" w:rsidP="002A0C42">
      <w:pPr>
        <w:rPr>
          <w:noProof/>
        </w:rPr>
      </w:pPr>
      <w:r w:rsidRPr="006E20AA">
        <w:rPr>
          <w:noProof/>
        </w:rPr>
        <w:t xml:space="preserve">In the S1, S2 and S3 scenarios, emissions from road and rail transport decrease by 77-86% and 62-78% in 2040 compared to 2015, respectively, and they are almost fully eliminated by 2050 (see </w:t>
      </w:r>
      <w:r w:rsidRPr="006E20AA">
        <w:rPr>
          <w:noProof/>
        </w:rPr>
        <w:fldChar w:fldCharType="begin"/>
      </w:r>
      <w:r w:rsidRPr="006E20AA">
        <w:rPr>
          <w:noProof/>
        </w:rPr>
        <w:instrText xml:space="preserve"> REF _Ref145092600 \h  \* MERGEFORMAT </w:instrText>
      </w:r>
      <w:r w:rsidRPr="006E20AA">
        <w:rPr>
          <w:noProof/>
        </w:rPr>
      </w:r>
      <w:r w:rsidRPr="006E20AA">
        <w:rPr>
          <w:noProof/>
        </w:rPr>
        <w:fldChar w:fldCharType="separate"/>
      </w:r>
      <w:r w:rsidR="00170A3C">
        <w:rPr>
          <w:noProof/>
        </w:rPr>
        <w:t>Figure 76</w:t>
      </w:r>
      <w:r w:rsidRPr="006E20AA">
        <w:rPr>
          <w:noProof/>
        </w:rPr>
        <w:fldChar w:fldCharType="end"/>
      </w:r>
      <w:r w:rsidRPr="006E20AA">
        <w:rPr>
          <w:noProof/>
        </w:rPr>
        <w:t xml:space="preserve"> and </w:t>
      </w:r>
      <w:r w:rsidRPr="006E20AA">
        <w:rPr>
          <w:noProof/>
        </w:rPr>
        <w:fldChar w:fldCharType="begin"/>
      </w:r>
      <w:r w:rsidRPr="006E20AA">
        <w:rPr>
          <w:noProof/>
        </w:rPr>
        <w:instrText xml:space="preserve"> REF _Ref145092624 \h  \* MERGEFORMAT </w:instrText>
      </w:r>
      <w:r w:rsidRPr="006E20AA">
        <w:rPr>
          <w:noProof/>
        </w:rPr>
      </w:r>
      <w:r w:rsidRPr="006E20AA">
        <w:rPr>
          <w:noProof/>
        </w:rPr>
        <w:fldChar w:fldCharType="separate"/>
      </w:r>
      <w:r w:rsidR="00170A3C">
        <w:rPr>
          <w:noProof/>
        </w:rPr>
        <w:t>Figure 77</w:t>
      </w:r>
      <w:r w:rsidRPr="006E20AA">
        <w:rPr>
          <w:noProof/>
        </w:rPr>
        <w:fldChar w:fldCharType="end"/>
      </w:r>
      <w:r w:rsidR="00DF6E25" w:rsidRPr="006E20AA">
        <w:rPr>
          <w:noProof/>
        </w:rPr>
        <w:t>).</w:t>
      </w:r>
      <w:r w:rsidRPr="006E20AA">
        <w:rPr>
          <w:noProof/>
        </w:rPr>
        <w:t xml:space="preserve"> In 2040, both modes show the highest level of emissions in the S1 scenario, and the lowest level in the S3 scenario. These emissions reductions are driven mostly by </w:t>
      </w:r>
      <w:r w:rsidR="005140BD">
        <w:rPr>
          <w:noProof/>
        </w:rPr>
        <w:t>large-scale</w:t>
      </w:r>
      <w:r w:rsidRPr="006E20AA">
        <w:rPr>
          <w:noProof/>
        </w:rPr>
        <w:t xml:space="preserve"> electrification combined with a switch to zero-</w:t>
      </w:r>
      <w:r w:rsidR="007B4C52">
        <w:rPr>
          <w:noProof/>
        </w:rPr>
        <w:t xml:space="preserve"> and low-</w:t>
      </w:r>
      <w:r w:rsidRPr="006E20AA">
        <w:rPr>
          <w:noProof/>
        </w:rPr>
        <w:t xml:space="preserve">emission fuels (i.e., advanced </w:t>
      </w:r>
      <w:r w:rsidR="0093686C">
        <w:rPr>
          <w:noProof/>
        </w:rPr>
        <w:t xml:space="preserve">liquid </w:t>
      </w:r>
      <w:r w:rsidRPr="006E20AA">
        <w:rPr>
          <w:noProof/>
        </w:rPr>
        <w:t>biofuels</w:t>
      </w:r>
      <w:r w:rsidR="0093686C">
        <w:rPr>
          <w:noProof/>
        </w:rPr>
        <w:t>, biogas</w:t>
      </w:r>
      <w:r w:rsidRPr="006E20AA">
        <w:rPr>
          <w:noProof/>
        </w:rPr>
        <w:t xml:space="preserve"> and e-fuels) to power the remaining internal-combustion engine vehicles and rolling stock (see Sections </w:t>
      </w:r>
      <w:r w:rsidR="003E2AC3" w:rsidRPr="006E20AA">
        <w:rPr>
          <w:noProof/>
        </w:rPr>
        <w:fldChar w:fldCharType="begin"/>
      </w:r>
      <w:r w:rsidR="003E2AC3" w:rsidRPr="006E20AA">
        <w:rPr>
          <w:noProof/>
        </w:rPr>
        <w:instrText xml:space="preserve"> REF _Ref145093234 \r \h  \* MERGEFORMAT </w:instrText>
      </w:r>
      <w:r w:rsidR="003E2AC3" w:rsidRPr="006E20AA">
        <w:rPr>
          <w:noProof/>
        </w:rPr>
      </w:r>
      <w:r w:rsidR="003E2AC3" w:rsidRPr="006E20AA">
        <w:rPr>
          <w:noProof/>
        </w:rPr>
        <w:fldChar w:fldCharType="separate"/>
      </w:r>
      <w:r w:rsidR="00170A3C">
        <w:rPr>
          <w:noProof/>
        </w:rPr>
        <w:t>1.5.4.1</w:t>
      </w:r>
      <w:r w:rsidR="003E2AC3" w:rsidRPr="006E20AA">
        <w:rPr>
          <w:noProof/>
        </w:rPr>
        <w:fldChar w:fldCharType="end"/>
      </w:r>
      <w:r w:rsidR="008D63B7" w:rsidRPr="006E20AA">
        <w:rPr>
          <w:noProof/>
        </w:rPr>
        <w:t xml:space="preserve"> to </w:t>
      </w:r>
      <w:r w:rsidR="003E2AC3" w:rsidRPr="006E20AA">
        <w:rPr>
          <w:noProof/>
        </w:rPr>
        <w:fldChar w:fldCharType="begin"/>
      </w:r>
      <w:r w:rsidR="003E2AC3" w:rsidRPr="006E20AA">
        <w:rPr>
          <w:noProof/>
        </w:rPr>
        <w:instrText xml:space="preserve"> REF _Ref145093242 \r \h  \* MERGEFORMAT </w:instrText>
      </w:r>
      <w:r w:rsidR="003E2AC3" w:rsidRPr="006E20AA">
        <w:rPr>
          <w:noProof/>
        </w:rPr>
      </w:r>
      <w:r w:rsidR="003E2AC3" w:rsidRPr="006E20AA">
        <w:rPr>
          <w:noProof/>
        </w:rPr>
        <w:fldChar w:fldCharType="separate"/>
      </w:r>
      <w:r w:rsidR="00170A3C">
        <w:rPr>
          <w:noProof/>
        </w:rPr>
        <w:t>1.5.4.4</w:t>
      </w:r>
      <w:r w:rsidR="003E2AC3" w:rsidRPr="006E20AA">
        <w:rPr>
          <w:noProof/>
        </w:rPr>
        <w:fldChar w:fldCharType="end"/>
      </w:r>
      <w:r w:rsidRPr="006E20AA">
        <w:rPr>
          <w:noProof/>
        </w:rPr>
        <w:t xml:space="preserve">). As </w:t>
      </w:r>
      <w:r w:rsidR="007D7383" w:rsidRPr="006E20AA">
        <w:rPr>
          <w:noProof/>
        </w:rPr>
        <w:t>sho</w:t>
      </w:r>
      <w:r w:rsidR="005948CC" w:rsidRPr="006E20AA">
        <w:rPr>
          <w:noProof/>
        </w:rPr>
        <w:t>w</w:t>
      </w:r>
      <w:r w:rsidR="007D7383" w:rsidRPr="006E20AA">
        <w:rPr>
          <w:noProof/>
        </w:rPr>
        <w:t>n</w:t>
      </w:r>
      <w:r w:rsidRPr="006E20AA">
        <w:rPr>
          <w:noProof/>
        </w:rPr>
        <w:t xml:space="preserve"> in </w:t>
      </w:r>
      <w:r w:rsidRPr="006E20AA">
        <w:rPr>
          <w:noProof/>
        </w:rPr>
        <w:fldChar w:fldCharType="begin"/>
      </w:r>
      <w:r w:rsidRPr="006E20AA">
        <w:rPr>
          <w:noProof/>
        </w:rPr>
        <w:instrText xml:space="preserve"> REF _Ref145092600 \h  \* MERGEFORMAT </w:instrText>
      </w:r>
      <w:r w:rsidRPr="006E20AA">
        <w:rPr>
          <w:noProof/>
        </w:rPr>
      </w:r>
      <w:r w:rsidRPr="006E20AA">
        <w:rPr>
          <w:noProof/>
        </w:rPr>
        <w:fldChar w:fldCharType="separate"/>
      </w:r>
      <w:r w:rsidR="00170A3C">
        <w:rPr>
          <w:noProof/>
        </w:rPr>
        <w:t>Figure 76</w:t>
      </w:r>
      <w:r w:rsidRPr="006E20AA">
        <w:rPr>
          <w:noProof/>
        </w:rPr>
        <w:fldChar w:fldCharType="end"/>
      </w:r>
      <w:r w:rsidRPr="006E20AA">
        <w:rPr>
          <w:noProof/>
        </w:rPr>
        <w:t xml:space="preserve"> and </w:t>
      </w:r>
      <w:r w:rsidRPr="006E20AA">
        <w:rPr>
          <w:noProof/>
        </w:rPr>
        <w:fldChar w:fldCharType="begin"/>
      </w:r>
      <w:r w:rsidRPr="006E20AA">
        <w:rPr>
          <w:noProof/>
        </w:rPr>
        <w:instrText xml:space="preserve"> REF _Ref145092624 \h  \* MERGEFORMAT </w:instrText>
      </w:r>
      <w:r w:rsidRPr="006E20AA">
        <w:rPr>
          <w:noProof/>
        </w:rPr>
      </w:r>
      <w:r w:rsidRPr="006E20AA">
        <w:rPr>
          <w:noProof/>
        </w:rPr>
        <w:fldChar w:fldCharType="separate"/>
      </w:r>
      <w:r w:rsidR="00170A3C">
        <w:rPr>
          <w:noProof/>
        </w:rPr>
        <w:t>Figure 77</w:t>
      </w:r>
      <w:r w:rsidRPr="006E20AA">
        <w:rPr>
          <w:noProof/>
        </w:rPr>
        <w:fldChar w:fldCharType="end"/>
      </w:r>
      <w:r w:rsidRPr="006E20AA">
        <w:rPr>
          <w:noProof/>
        </w:rPr>
        <w:t xml:space="preserve">, </w:t>
      </w:r>
      <w:r w:rsidR="00AB441A">
        <w:rPr>
          <w:noProof/>
        </w:rPr>
        <w:t>direct</w:t>
      </w:r>
      <w:r w:rsidRPr="006E20AA">
        <w:rPr>
          <w:noProof/>
        </w:rPr>
        <w:t xml:space="preserve"> emissions from the international navigation sector decrease by 68-81% in 2040 compared to 2015 and they are almost fully eliminated by 2050. The aviation sector (including both domestic and international </w:t>
      </w:r>
      <w:r w:rsidR="0061385C">
        <w:rPr>
          <w:noProof/>
        </w:rPr>
        <w:t xml:space="preserve">air </w:t>
      </w:r>
      <w:r w:rsidRPr="006E20AA">
        <w:rPr>
          <w:noProof/>
        </w:rPr>
        <w:t>transport) is projected to reduce its CO2 emissions by 2</w:t>
      </w:r>
      <w:r w:rsidR="00C76A98" w:rsidRPr="006E20AA">
        <w:rPr>
          <w:noProof/>
        </w:rPr>
        <w:t>3</w:t>
      </w:r>
      <w:r w:rsidRPr="006E20AA">
        <w:rPr>
          <w:noProof/>
        </w:rPr>
        <w:t>-2</w:t>
      </w:r>
      <w:r w:rsidR="00C76A98" w:rsidRPr="006E20AA">
        <w:rPr>
          <w:noProof/>
        </w:rPr>
        <w:t>8</w:t>
      </w:r>
      <w:r w:rsidRPr="006E20AA">
        <w:rPr>
          <w:noProof/>
        </w:rPr>
        <w:t>% in 2040 and 6</w:t>
      </w:r>
      <w:r w:rsidR="00C76A98" w:rsidRPr="006E20AA">
        <w:rPr>
          <w:noProof/>
        </w:rPr>
        <w:t>5</w:t>
      </w:r>
      <w:r w:rsidRPr="006E20AA">
        <w:rPr>
          <w:noProof/>
        </w:rPr>
        <w:t>-7</w:t>
      </w:r>
      <w:r w:rsidR="00C76A98" w:rsidRPr="006E20AA">
        <w:rPr>
          <w:noProof/>
        </w:rPr>
        <w:t>2</w:t>
      </w:r>
      <w:r w:rsidRPr="006E20AA">
        <w:rPr>
          <w:noProof/>
        </w:rPr>
        <w:t>% in 2050 relative to 2015</w:t>
      </w:r>
      <w:r w:rsidR="005220ED" w:rsidRPr="006E20AA">
        <w:rPr>
          <w:noProof/>
        </w:rPr>
        <w:t xml:space="preserve">, thanks </w:t>
      </w:r>
      <w:r w:rsidR="00FE2A4B" w:rsidRPr="006E20AA">
        <w:rPr>
          <w:noProof/>
        </w:rPr>
        <w:t xml:space="preserve">mainly </w:t>
      </w:r>
      <w:r w:rsidR="005220ED" w:rsidRPr="006E20AA">
        <w:rPr>
          <w:noProof/>
        </w:rPr>
        <w:t>to the uptake of SAF as a major emissions reduction driver</w:t>
      </w:r>
      <w:r w:rsidRPr="006E20AA">
        <w:rPr>
          <w:noProof/>
        </w:rPr>
        <w:t>. In 2040, both modes show the highest level of emissions in the S1 scenario and the lowest level in the S3 scenario. The</w:t>
      </w:r>
      <w:r w:rsidR="00402AE1" w:rsidRPr="006E20AA">
        <w:rPr>
          <w:noProof/>
        </w:rPr>
        <w:t xml:space="preserve"> </w:t>
      </w:r>
      <w:r w:rsidRPr="006E20AA">
        <w:rPr>
          <w:noProof/>
        </w:rPr>
        <w:t xml:space="preserve">emissions reductions </w:t>
      </w:r>
      <w:r w:rsidR="00402AE1" w:rsidRPr="006E20AA">
        <w:rPr>
          <w:noProof/>
        </w:rPr>
        <w:t>in the maritime and air transport sectors</w:t>
      </w:r>
      <w:r w:rsidRPr="006E20AA">
        <w:rPr>
          <w:noProof/>
        </w:rPr>
        <w:t xml:space="preserve"> are driven mainly by </w:t>
      </w:r>
      <w:r w:rsidR="0058576C" w:rsidRPr="006E20AA">
        <w:rPr>
          <w:noProof/>
        </w:rPr>
        <w:t>the uptake of zero- and low-emission fuels and the deployment of zero-emission airplanes and vessels, along with further</w:t>
      </w:r>
      <w:r w:rsidRPr="006E20AA">
        <w:rPr>
          <w:noProof/>
        </w:rPr>
        <w:t xml:space="preserve"> improvements in energy efficiency (see Sections </w:t>
      </w:r>
      <w:r w:rsidR="003E2AC3" w:rsidRPr="006E20AA">
        <w:rPr>
          <w:noProof/>
        </w:rPr>
        <w:fldChar w:fldCharType="begin"/>
      </w:r>
      <w:r w:rsidR="003E2AC3" w:rsidRPr="006E20AA">
        <w:rPr>
          <w:noProof/>
        </w:rPr>
        <w:instrText xml:space="preserve"> REF _Ref145093285 \r \h  \* MERGEFORMAT </w:instrText>
      </w:r>
      <w:r w:rsidR="003E2AC3" w:rsidRPr="006E20AA">
        <w:rPr>
          <w:noProof/>
        </w:rPr>
      </w:r>
      <w:r w:rsidR="003E2AC3" w:rsidRPr="006E20AA">
        <w:rPr>
          <w:noProof/>
        </w:rPr>
        <w:fldChar w:fldCharType="separate"/>
      </w:r>
      <w:r w:rsidR="00170A3C">
        <w:rPr>
          <w:noProof/>
        </w:rPr>
        <w:t>1.5.4.6</w:t>
      </w:r>
      <w:r w:rsidR="003E2AC3" w:rsidRPr="006E20AA">
        <w:rPr>
          <w:noProof/>
        </w:rPr>
        <w:fldChar w:fldCharType="end"/>
      </w:r>
      <w:r w:rsidR="003E2AC3" w:rsidRPr="006E20AA">
        <w:rPr>
          <w:noProof/>
        </w:rPr>
        <w:t xml:space="preserve"> and </w:t>
      </w:r>
      <w:r w:rsidR="003E2AC3" w:rsidRPr="006E20AA">
        <w:rPr>
          <w:noProof/>
        </w:rPr>
        <w:fldChar w:fldCharType="begin"/>
      </w:r>
      <w:r w:rsidR="003E2AC3" w:rsidRPr="006E20AA">
        <w:rPr>
          <w:noProof/>
        </w:rPr>
        <w:instrText xml:space="preserve"> REF _Ref145093292 \r \h  \* MERGEFORMAT </w:instrText>
      </w:r>
      <w:r w:rsidR="003E2AC3" w:rsidRPr="006E20AA">
        <w:rPr>
          <w:noProof/>
        </w:rPr>
      </w:r>
      <w:r w:rsidR="003E2AC3" w:rsidRPr="006E20AA">
        <w:rPr>
          <w:noProof/>
        </w:rPr>
        <w:fldChar w:fldCharType="separate"/>
      </w:r>
      <w:r w:rsidR="00170A3C">
        <w:rPr>
          <w:noProof/>
        </w:rPr>
        <w:t>1.5.4.7</w:t>
      </w:r>
      <w:r w:rsidR="003E2AC3" w:rsidRPr="006E20AA">
        <w:rPr>
          <w:noProof/>
        </w:rPr>
        <w:fldChar w:fldCharType="end"/>
      </w:r>
      <w:r w:rsidRPr="006E20AA">
        <w:rPr>
          <w:noProof/>
        </w:rPr>
        <w:t>). If one analyses domestic and international transport emissions separately, domestic transport emissions decrease by 7</w:t>
      </w:r>
      <w:r w:rsidR="00696C12" w:rsidRPr="006E20AA">
        <w:rPr>
          <w:noProof/>
        </w:rPr>
        <w:t>6</w:t>
      </w:r>
      <w:r w:rsidRPr="006E20AA">
        <w:rPr>
          <w:noProof/>
        </w:rPr>
        <w:t>-85% in 2040 compared to 2015 and they reach very low levels in 2050, whereas international transport emissions (including navigation and aviation) decrease by 4</w:t>
      </w:r>
      <w:r w:rsidR="00696C12" w:rsidRPr="006E20AA">
        <w:rPr>
          <w:noProof/>
        </w:rPr>
        <w:t>7</w:t>
      </w:r>
      <w:r w:rsidRPr="006E20AA">
        <w:rPr>
          <w:noProof/>
        </w:rPr>
        <w:t>-5</w:t>
      </w:r>
      <w:r w:rsidR="00696C12" w:rsidRPr="006E20AA">
        <w:rPr>
          <w:noProof/>
        </w:rPr>
        <w:t>6</w:t>
      </w:r>
      <w:r w:rsidRPr="006E20AA">
        <w:rPr>
          <w:noProof/>
        </w:rPr>
        <w:t>% in 2040 and by 8</w:t>
      </w:r>
      <w:r w:rsidR="00696C12" w:rsidRPr="006E20AA">
        <w:rPr>
          <w:noProof/>
        </w:rPr>
        <w:t>4</w:t>
      </w:r>
      <w:r w:rsidRPr="006E20AA">
        <w:rPr>
          <w:noProof/>
        </w:rPr>
        <w:t>-8</w:t>
      </w:r>
      <w:r w:rsidR="00696C12" w:rsidRPr="006E20AA">
        <w:rPr>
          <w:noProof/>
        </w:rPr>
        <w:t>7</w:t>
      </w:r>
      <w:r w:rsidRPr="006E20AA">
        <w:rPr>
          <w:noProof/>
        </w:rPr>
        <w:t>% in 2050 compared to 2015</w:t>
      </w:r>
      <w:r w:rsidR="008D63B7" w:rsidRPr="006E20AA">
        <w:rPr>
          <w:noProof/>
        </w:rPr>
        <w:t>.</w:t>
      </w:r>
      <w:r w:rsidRPr="006E20AA">
        <w:rPr>
          <w:noProof/>
        </w:rPr>
        <w:t xml:space="preserve"> However, as already mentioned above, in 2050, most emissions are caused by international air transport, while the international</w:t>
      </w:r>
      <w:r w:rsidRPr="00013891">
        <w:rPr>
          <w:noProof/>
        </w:rPr>
        <w:t xml:space="preserve"> navigation sector is fully decarbonised.</w:t>
      </w:r>
    </w:p>
    <w:p w14:paraId="1E14C9B1" w14:textId="451B3D86" w:rsidR="00AC0D4D" w:rsidRDefault="00AC0D4D" w:rsidP="00AC0D4D">
      <w:pPr>
        <w:rPr>
          <w:noProof/>
        </w:rPr>
      </w:pPr>
      <w:r>
        <w:rPr>
          <w:noProof/>
        </w:rPr>
        <w:t xml:space="preserve">In </w:t>
      </w:r>
      <w:r w:rsidR="00C459D4">
        <w:rPr>
          <w:noProof/>
        </w:rPr>
        <w:t>LIFE</w:t>
      </w:r>
      <w:r>
        <w:rPr>
          <w:noProof/>
        </w:rPr>
        <w:t xml:space="preserve">, which is designed </w:t>
      </w:r>
      <w:r w:rsidR="00A14BA9">
        <w:rPr>
          <w:noProof/>
        </w:rPr>
        <w:t xml:space="preserve">to meet the same climate target </w:t>
      </w:r>
      <w:r w:rsidR="00715836">
        <w:rPr>
          <w:noProof/>
        </w:rPr>
        <w:t xml:space="preserve">in 2040 </w:t>
      </w:r>
      <w:r w:rsidR="00A14BA9">
        <w:rPr>
          <w:noProof/>
        </w:rPr>
        <w:t>as the</w:t>
      </w:r>
      <w:r w:rsidRPr="006E20AA">
        <w:rPr>
          <w:noProof/>
        </w:rPr>
        <w:t xml:space="preserve"> S</w:t>
      </w:r>
      <w:r w:rsidR="00A14BA9">
        <w:rPr>
          <w:noProof/>
        </w:rPr>
        <w:t>3</w:t>
      </w:r>
      <w:r w:rsidRPr="006E20AA">
        <w:rPr>
          <w:noProof/>
        </w:rPr>
        <w:t xml:space="preserve"> scenario, transport-related CO2 emissions are </w:t>
      </w:r>
      <w:r w:rsidR="00F248D2">
        <w:rPr>
          <w:noProof/>
        </w:rPr>
        <w:t xml:space="preserve">in </w:t>
      </w:r>
      <w:r w:rsidRPr="006E20AA">
        <w:rPr>
          <w:noProof/>
        </w:rPr>
        <w:t xml:space="preserve">between those </w:t>
      </w:r>
      <w:r w:rsidR="003315F2">
        <w:rPr>
          <w:noProof/>
        </w:rPr>
        <w:t xml:space="preserve">observed </w:t>
      </w:r>
      <w:r w:rsidR="00A14BA9">
        <w:rPr>
          <w:noProof/>
        </w:rPr>
        <w:t>in</w:t>
      </w:r>
      <w:r w:rsidRPr="006E20AA">
        <w:rPr>
          <w:noProof/>
        </w:rPr>
        <w:t xml:space="preserve"> S2 and S3 </w:t>
      </w:r>
      <w:r w:rsidR="00F248D2">
        <w:rPr>
          <w:noProof/>
        </w:rPr>
        <w:t xml:space="preserve">(although closer to S3) </w:t>
      </w:r>
      <w:r w:rsidR="00715836">
        <w:rPr>
          <w:noProof/>
        </w:rPr>
        <w:t xml:space="preserve">in 2040 </w:t>
      </w:r>
      <w:r w:rsidRPr="006E20AA">
        <w:rPr>
          <w:noProof/>
        </w:rPr>
        <w:t>(</w:t>
      </w:r>
      <w:r w:rsidR="008A7F64">
        <w:rPr>
          <w:noProof/>
        </w:rPr>
        <w:t>226</w:t>
      </w:r>
      <w:r w:rsidRPr="006E20AA">
        <w:rPr>
          <w:noProof/>
        </w:rPr>
        <w:t xml:space="preserve"> MtCO2)</w:t>
      </w:r>
      <w:r w:rsidR="00BF05E6" w:rsidRPr="00BF05E6">
        <w:rPr>
          <w:noProof/>
        </w:rPr>
        <w:t> (</w:t>
      </w:r>
      <w:r w:rsidR="00BF05E6">
        <w:rPr>
          <w:rStyle w:val="FootnoteReference"/>
          <w:noProof/>
        </w:rPr>
        <w:footnoteReference w:id="133"/>
      </w:r>
      <w:r w:rsidR="00BF05E6">
        <w:rPr>
          <w:noProof/>
        </w:rPr>
        <w:t>)</w:t>
      </w:r>
      <w:r w:rsidRPr="006E20AA">
        <w:rPr>
          <w:noProof/>
        </w:rPr>
        <w:t>, and similar to those observed in the other scenarios in 2050 (</w:t>
      </w:r>
      <w:r w:rsidR="00CC51BD" w:rsidRPr="006E20AA">
        <w:rPr>
          <w:noProof/>
        </w:rPr>
        <w:t>35</w:t>
      </w:r>
      <w:r w:rsidRPr="006E20AA">
        <w:rPr>
          <w:noProof/>
        </w:rPr>
        <w:t xml:space="preserve"> MtCO2). Th</w:t>
      </w:r>
      <w:r w:rsidR="00CE3459">
        <w:rPr>
          <w:noProof/>
        </w:rPr>
        <w:t xml:space="preserve">is is </w:t>
      </w:r>
      <w:r w:rsidR="006C44F6">
        <w:rPr>
          <w:noProof/>
        </w:rPr>
        <w:t>driven</w:t>
      </w:r>
      <w:r w:rsidR="00CE3459">
        <w:rPr>
          <w:noProof/>
        </w:rPr>
        <w:t xml:space="preserve"> by</w:t>
      </w:r>
      <w:r w:rsidRPr="006E20AA">
        <w:rPr>
          <w:noProof/>
        </w:rPr>
        <w:t xml:space="preserve"> a </w:t>
      </w:r>
      <w:r w:rsidR="00D9184D">
        <w:rPr>
          <w:noProof/>
        </w:rPr>
        <w:t>combination of</w:t>
      </w:r>
      <w:r w:rsidR="00CE3459">
        <w:rPr>
          <w:noProof/>
        </w:rPr>
        <w:t xml:space="preserve"> two factors</w:t>
      </w:r>
      <w:r w:rsidR="00D9184D">
        <w:rPr>
          <w:noProof/>
        </w:rPr>
        <w:t xml:space="preserve">: a) </w:t>
      </w:r>
      <w:r w:rsidRPr="006E20AA">
        <w:rPr>
          <w:noProof/>
        </w:rPr>
        <w:t xml:space="preserve">lower energy consumption compared to </w:t>
      </w:r>
      <w:r w:rsidR="00A14BA9">
        <w:rPr>
          <w:noProof/>
        </w:rPr>
        <w:t xml:space="preserve">the </w:t>
      </w:r>
      <w:r w:rsidRPr="006E20AA">
        <w:rPr>
          <w:noProof/>
        </w:rPr>
        <w:t xml:space="preserve">S2 </w:t>
      </w:r>
      <w:r w:rsidR="00A14BA9">
        <w:rPr>
          <w:noProof/>
        </w:rPr>
        <w:t>and S3 scenarios</w:t>
      </w:r>
      <w:r w:rsidRPr="006E20AA">
        <w:rPr>
          <w:noProof/>
        </w:rPr>
        <w:t xml:space="preserve">, which is caused by a </w:t>
      </w:r>
      <w:r w:rsidR="00F21982" w:rsidRPr="006E20AA">
        <w:rPr>
          <w:noProof/>
        </w:rPr>
        <w:t>different</w:t>
      </w:r>
      <w:r w:rsidRPr="006E20AA">
        <w:rPr>
          <w:noProof/>
        </w:rPr>
        <w:t xml:space="preserve"> transport activity </w:t>
      </w:r>
      <w:r w:rsidR="00F21982" w:rsidRPr="006E20AA">
        <w:rPr>
          <w:noProof/>
        </w:rPr>
        <w:t xml:space="preserve">pattern </w:t>
      </w:r>
      <w:r w:rsidR="00126B9B" w:rsidRPr="006E20AA">
        <w:rPr>
          <w:noProof/>
        </w:rPr>
        <w:t>including</w:t>
      </w:r>
      <w:r w:rsidRPr="006E20AA">
        <w:rPr>
          <w:noProof/>
        </w:rPr>
        <w:t xml:space="preserve"> a </w:t>
      </w:r>
      <w:r w:rsidR="00380403">
        <w:rPr>
          <w:noProof/>
        </w:rPr>
        <w:t>higher</w:t>
      </w:r>
      <w:r w:rsidRPr="006E20AA">
        <w:rPr>
          <w:noProof/>
        </w:rPr>
        <w:t xml:space="preserve"> modal shift to rail</w:t>
      </w:r>
      <w:r w:rsidR="00380403">
        <w:rPr>
          <w:noProof/>
        </w:rPr>
        <w:t xml:space="preserve"> and </w:t>
      </w:r>
      <w:r w:rsidR="00D4789F">
        <w:rPr>
          <w:noProof/>
        </w:rPr>
        <w:t xml:space="preserve">to </w:t>
      </w:r>
      <w:r w:rsidR="00380403">
        <w:rPr>
          <w:noProof/>
        </w:rPr>
        <w:t>active modes</w:t>
      </w:r>
      <w:r w:rsidR="00D9184D">
        <w:rPr>
          <w:noProof/>
        </w:rPr>
        <w:t xml:space="preserve">; </w:t>
      </w:r>
      <w:r w:rsidR="00CE3459">
        <w:rPr>
          <w:noProof/>
        </w:rPr>
        <w:t xml:space="preserve">b) </w:t>
      </w:r>
      <w:r w:rsidR="00B25965">
        <w:rPr>
          <w:noProof/>
        </w:rPr>
        <w:t xml:space="preserve">a </w:t>
      </w:r>
      <w:r w:rsidR="00CE3459">
        <w:rPr>
          <w:noProof/>
        </w:rPr>
        <w:t xml:space="preserve">fuel mix </w:t>
      </w:r>
      <w:r w:rsidR="00157C19">
        <w:rPr>
          <w:noProof/>
        </w:rPr>
        <w:t>combining</w:t>
      </w:r>
      <w:r w:rsidR="00CE3459">
        <w:rPr>
          <w:noProof/>
        </w:rPr>
        <w:t xml:space="preserve"> characteristics </w:t>
      </w:r>
      <w:r w:rsidR="00246141">
        <w:rPr>
          <w:noProof/>
        </w:rPr>
        <w:t>from</w:t>
      </w:r>
      <w:r w:rsidR="00CE3459">
        <w:rPr>
          <w:noProof/>
        </w:rPr>
        <w:t xml:space="preserve"> S2 and S3</w:t>
      </w:r>
      <w:r w:rsidR="00005926">
        <w:rPr>
          <w:noProof/>
        </w:rPr>
        <w:t xml:space="preserve"> </w:t>
      </w:r>
      <w:r w:rsidR="00005926" w:rsidRPr="006E20AA">
        <w:rPr>
          <w:noProof/>
        </w:rPr>
        <w:t>(see Section</w:t>
      </w:r>
      <w:r w:rsidR="00005926">
        <w:rPr>
          <w:noProof/>
        </w:rPr>
        <w:t>s</w:t>
      </w:r>
      <w:r w:rsidR="00005926" w:rsidRPr="006E20AA">
        <w:rPr>
          <w:noProof/>
        </w:rPr>
        <w:t xml:space="preserve"> </w:t>
      </w:r>
      <w:r w:rsidR="00005926" w:rsidRPr="006E20AA">
        <w:rPr>
          <w:noProof/>
        </w:rPr>
        <w:fldChar w:fldCharType="begin"/>
      </w:r>
      <w:r w:rsidR="00005926" w:rsidRPr="006E20AA">
        <w:rPr>
          <w:noProof/>
        </w:rPr>
        <w:instrText xml:space="preserve"> REF _Ref143242989 \r \h  \* MERGEFORMAT </w:instrText>
      </w:r>
      <w:r w:rsidR="00005926" w:rsidRPr="006E20AA">
        <w:rPr>
          <w:noProof/>
        </w:rPr>
      </w:r>
      <w:r w:rsidR="00005926" w:rsidRPr="006E20AA">
        <w:rPr>
          <w:noProof/>
        </w:rPr>
        <w:fldChar w:fldCharType="separate"/>
      </w:r>
      <w:r w:rsidR="00170A3C">
        <w:rPr>
          <w:noProof/>
        </w:rPr>
        <w:t>1.5.2</w:t>
      </w:r>
      <w:r w:rsidR="00005926" w:rsidRPr="006E20AA">
        <w:rPr>
          <w:noProof/>
        </w:rPr>
        <w:fldChar w:fldCharType="end"/>
      </w:r>
      <w:r w:rsidR="00005926" w:rsidRPr="003315F2">
        <w:rPr>
          <w:noProof/>
        </w:rPr>
        <w:t xml:space="preserve"> </w:t>
      </w:r>
      <w:r w:rsidR="00005926">
        <w:rPr>
          <w:noProof/>
        </w:rPr>
        <w:t xml:space="preserve">and </w:t>
      </w:r>
      <w:r w:rsidR="00005926" w:rsidRPr="005948CC">
        <w:rPr>
          <w:noProof/>
        </w:rPr>
        <w:fldChar w:fldCharType="begin"/>
      </w:r>
      <w:r w:rsidR="00005926" w:rsidRPr="005948CC">
        <w:rPr>
          <w:noProof/>
        </w:rPr>
        <w:instrText xml:space="preserve"> REF _Ref145092521 \r \h  \* MERGEFORMAT </w:instrText>
      </w:r>
      <w:r w:rsidR="00005926" w:rsidRPr="005948CC">
        <w:rPr>
          <w:noProof/>
        </w:rPr>
      </w:r>
      <w:r w:rsidR="00005926" w:rsidRPr="005948CC">
        <w:rPr>
          <w:noProof/>
        </w:rPr>
        <w:fldChar w:fldCharType="separate"/>
      </w:r>
      <w:r w:rsidR="00170A3C">
        <w:rPr>
          <w:noProof/>
        </w:rPr>
        <w:t>1.5.3</w:t>
      </w:r>
      <w:r w:rsidR="00005926" w:rsidRPr="005948CC">
        <w:rPr>
          <w:noProof/>
        </w:rPr>
        <w:fldChar w:fldCharType="end"/>
      </w:r>
      <w:r w:rsidR="00005926" w:rsidRPr="006E20AA">
        <w:rPr>
          <w:noProof/>
        </w:rPr>
        <w:t>)</w:t>
      </w:r>
      <w:r>
        <w:rPr>
          <w:noProof/>
        </w:rPr>
        <w:t>.</w:t>
      </w:r>
      <w:r w:rsidR="00715836">
        <w:rPr>
          <w:noProof/>
        </w:rPr>
        <w:t xml:space="preserve">  </w:t>
      </w:r>
    </w:p>
    <w:p w14:paraId="32DA66AF" w14:textId="3830B983" w:rsidR="00AC0D4D" w:rsidRDefault="00AC0D4D" w:rsidP="00AC0D4D">
      <w:pPr>
        <w:rPr>
          <w:noProof/>
        </w:rPr>
      </w:pPr>
      <w:r>
        <w:rPr>
          <w:noProof/>
        </w:rPr>
        <w:t xml:space="preserve">In addition to the above, it should be noted that the transport sector also has significant non-CO2-related impacts on the climate. These effects are caused by emissions of non-CO2 greenhouse gases such as methane and nitrogen oxides, but also by emissions of black carbon from maritime transport, and </w:t>
      </w:r>
      <w:r w:rsidR="00126B9B">
        <w:rPr>
          <w:noProof/>
        </w:rPr>
        <w:t xml:space="preserve">various types of </w:t>
      </w:r>
      <w:r>
        <w:rPr>
          <w:noProof/>
        </w:rPr>
        <w:t xml:space="preserve">particles </w:t>
      </w:r>
      <w:r w:rsidR="00126B9B">
        <w:rPr>
          <w:noProof/>
        </w:rPr>
        <w:t xml:space="preserve">from air transport </w:t>
      </w:r>
      <w:r>
        <w:rPr>
          <w:noProof/>
        </w:rPr>
        <w:t xml:space="preserve">causing the formation of contrail cirrus. Methane and nitrous oxides emissions from the EU transport sector are presented in </w:t>
      </w:r>
      <w:r w:rsidRPr="005948CC">
        <w:rPr>
          <w:noProof/>
        </w:rPr>
        <w:t>Sectio</w:t>
      </w:r>
      <w:r w:rsidRPr="000A1097">
        <w:rPr>
          <w:noProof/>
        </w:rPr>
        <w:t xml:space="preserve">n </w:t>
      </w:r>
      <w:r w:rsidR="003E2AC3" w:rsidRPr="000A1097">
        <w:rPr>
          <w:noProof/>
        </w:rPr>
        <w:fldChar w:fldCharType="begin"/>
      </w:r>
      <w:r w:rsidR="003E2AC3" w:rsidRPr="000A1097">
        <w:rPr>
          <w:noProof/>
        </w:rPr>
        <w:instrText xml:space="preserve"> REF _Ref141885995 \r \h  \* MERGEFORMAT </w:instrText>
      </w:r>
      <w:r w:rsidR="003E2AC3" w:rsidRPr="000A1097">
        <w:rPr>
          <w:noProof/>
        </w:rPr>
      </w:r>
      <w:r w:rsidR="003E2AC3" w:rsidRPr="000A1097">
        <w:rPr>
          <w:noProof/>
        </w:rPr>
        <w:fldChar w:fldCharType="separate"/>
      </w:r>
      <w:r w:rsidR="00170A3C">
        <w:rPr>
          <w:noProof/>
        </w:rPr>
        <w:t>1.6</w:t>
      </w:r>
      <w:r w:rsidR="003E2AC3" w:rsidRPr="000A1097">
        <w:rPr>
          <w:noProof/>
        </w:rPr>
        <w:fldChar w:fldCharType="end"/>
      </w:r>
      <w:r w:rsidRPr="000A1097">
        <w:rPr>
          <w:noProof/>
        </w:rPr>
        <w:t>.</w:t>
      </w:r>
      <w:r>
        <w:rPr>
          <w:noProof/>
        </w:rPr>
        <w:t xml:space="preserve"> Other non-CO2 effects are not quantified in this impact assessment, but they are discussed in </w:t>
      </w:r>
      <w:r w:rsidRPr="005948CC">
        <w:rPr>
          <w:noProof/>
        </w:rPr>
        <w:t>Annex 1</w:t>
      </w:r>
      <w:r w:rsidR="00D960FC" w:rsidRPr="005948CC">
        <w:rPr>
          <w:noProof/>
        </w:rPr>
        <w:t>2</w:t>
      </w:r>
      <w:r>
        <w:rPr>
          <w:noProof/>
        </w:rPr>
        <w:t>.</w:t>
      </w:r>
    </w:p>
    <w:p w14:paraId="3DFE78DA" w14:textId="77777777" w:rsidR="002A0C42" w:rsidRDefault="002A0C42" w:rsidP="005D5164">
      <w:pPr>
        <w:pStyle w:val="Caption"/>
        <w:rPr>
          <w:noProof/>
        </w:rPr>
      </w:pPr>
    </w:p>
    <w:p w14:paraId="03FA90A2" w14:textId="34564EF3" w:rsidR="00E22AC2" w:rsidRDefault="00CF6A95" w:rsidP="00E20CF8">
      <w:pPr>
        <w:pStyle w:val="Caption"/>
        <w:rPr>
          <w:noProof/>
          <w:lang w:eastAsia="en-GB"/>
        </w:rPr>
      </w:pPr>
      <w:bookmarkStart w:id="378" w:name="_Ref145092600"/>
      <w:bookmarkStart w:id="379" w:name="_Toc157679824"/>
      <w:r>
        <w:rPr>
          <w:noProof/>
        </w:rPr>
        <w:t xml:space="preserve">Figure </w:t>
      </w:r>
      <w:r>
        <w:rPr>
          <w:noProof/>
        </w:rPr>
        <w:fldChar w:fldCharType="begin"/>
      </w:r>
      <w:r>
        <w:rPr>
          <w:noProof/>
        </w:rPr>
        <w:instrText>SEQ Figure \* ARABIC</w:instrText>
      </w:r>
      <w:r>
        <w:rPr>
          <w:noProof/>
        </w:rPr>
        <w:fldChar w:fldCharType="separate"/>
      </w:r>
      <w:r w:rsidR="00170A3C">
        <w:rPr>
          <w:noProof/>
        </w:rPr>
        <w:t>76</w:t>
      </w:r>
      <w:r>
        <w:rPr>
          <w:noProof/>
        </w:rPr>
        <w:fldChar w:fldCharType="end"/>
      </w:r>
      <w:bookmarkEnd w:id="378"/>
      <w:r w:rsidRPr="00CD264D">
        <w:rPr>
          <w:noProof/>
        </w:rPr>
        <w:t xml:space="preserve">: </w:t>
      </w:r>
      <w:r w:rsidR="004E2330" w:rsidRPr="004E2330">
        <w:rPr>
          <w:noProof/>
        </w:rPr>
        <w:t xml:space="preserve">Direct CO2 emissions from the EU transport sector </w:t>
      </w:r>
      <w:r w:rsidR="00F9205E">
        <w:rPr>
          <w:noProof/>
        </w:rPr>
        <w:t>by</w:t>
      </w:r>
      <w:r w:rsidR="004E2330" w:rsidRPr="004E2330">
        <w:rPr>
          <w:noProof/>
        </w:rPr>
        <w:t xml:space="preserve"> mode</w:t>
      </w:r>
      <w:bookmarkEnd w:id="379"/>
    </w:p>
    <w:p w14:paraId="7807AE58" w14:textId="2DCB70E6" w:rsidR="00E3048D" w:rsidRDefault="00E3048D" w:rsidP="005D5164">
      <w:pPr>
        <w:pStyle w:val="Text3"/>
        <w:keepNext/>
        <w:ind w:left="0"/>
        <w:jc w:val="center"/>
        <w:rPr>
          <w:noProof/>
          <w:lang w:eastAsia="en-GB"/>
        </w:rPr>
      </w:pPr>
      <w:r w:rsidRPr="00E3048D">
        <w:rPr>
          <w:noProof/>
          <w:lang w:eastAsia="en-GB"/>
        </w:rPr>
        <w:drawing>
          <wp:inline distT="0" distB="0" distL="0" distR="0" wp14:anchorId="6C804985" wp14:editId="632DA023">
            <wp:extent cx="5472430" cy="2353945"/>
            <wp:effectExtent l="0" t="0" r="0" b="825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472430" cy="2353945"/>
                    </a:xfrm>
                    <a:prstGeom prst="rect">
                      <a:avLst/>
                    </a:prstGeom>
                    <a:noFill/>
                    <a:ln>
                      <a:noFill/>
                    </a:ln>
                  </pic:spPr>
                </pic:pic>
              </a:graphicData>
            </a:graphic>
          </wp:inline>
        </w:drawing>
      </w:r>
    </w:p>
    <w:p w14:paraId="0650C51C" w14:textId="2531F333" w:rsidR="0058224C" w:rsidRPr="00C355C1" w:rsidRDefault="0058224C" w:rsidP="00923B34">
      <w:pPr>
        <w:pStyle w:val="CT-SOURCE"/>
        <w:rPr>
          <w:rFonts w:ascii="Cambria Math" w:hAnsi="Cambria Math"/>
          <w:noProof/>
          <w:szCs w:val="18"/>
        </w:rPr>
      </w:pPr>
      <w:r w:rsidRPr="00C355C1">
        <w:rPr>
          <w:noProof/>
        </w:rPr>
        <w:t>Source: PRIMES</w:t>
      </w:r>
      <w:r>
        <w:rPr>
          <w:noProof/>
        </w:rPr>
        <w:t>.</w:t>
      </w:r>
    </w:p>
    <w:p w14:paraId="6EB5520C" w14:textId="46649ADD" w:rsidR="00A23984" w:rsidRDefault="004572FA" w:rsidP="004B635E">
      <w:pPr>
        <w:pStyle w:val="Caption"/>
        <w:rPr>
          <w:noProof/>
        </w:rPr>
      </w:pPr>
      <w:bookmarkStart w:id="380" w:name="_Ref145092624"/>
      <w:bookmarkStart w:id="381" w:name="_Toc157679825"/>
      <w:r>
        <w:rPr>
          <w:noProof/>
        </w:rPr>
        <w:t xml:space="preserve">Figure </w:t>
      </w:r>
      <w:r>
        <w:rPr>
          <w:noProof/>
        </w:rPr>
        <w:fldChar w:fldCharType="begin"/>
      </w:r>
      <w:r>
        <w:rPr>
          <w:noProof/>
        </w:rPr>
        <w:instrText>SEQ Figure \* ARABIC</w:instrText>
      </w:r>
      <w:r>
        <w:rPr>
          <w:noProof/>
        </w:rPr>
        <w:fldChar w:fldCharType="separate"/>
      </w:r>
      <w:r w:rsidR="00170A3C">
        <w:rPr>
          <w:noProof/>
        </w:rPr>
        <w:t>77</w:t>
      </w:r>
      <w:r>
        <w:rPr>
          <w:noProof/>
        </w:rPr>
        <w:fldChar w:fldCharType="end"/>
      </w:r>
      <w:bookmarkEnd w:id="380"/>
      <w:r>
        <w:rPr>
          <w:noProof/>
        </w:rPr>
        <w:t xml:space="preserve">: </w:t>
      </w:r>
      <w:r w:rsidRPr="004572FA">
        <w:rPr>
          <w:noProof/>
        </w:rPr>
        <w:t xml:space="preserve">Change in </w:t>
      </w:r>
      <w:r w:rsidR="00E467D0">
        <w:rPr>
          <w:noProof/>
        </w:rPr>
        <w:t xml:space="preserve">EU transport </w:t>
      </w:r>
      <w:r w:rsidRPr="004572FA">
        <w:rPr>
          <w:noProof/>
        </w:rPr>
        <w:t>direct CO2 emissions</w:t>
      </w:r>
      <w:r w:rsidR="008838AD">
        <w:rPr>
          <w:noProof/>
        </w:rPr>
        <w:t xml:space="preserve"> between</w:t>
      </w:r>
      <w:r w:rsidR="00E467D0">
        <w:rPr>
          <w:noProof/>
        </w:rPr>
        <w:t xml:space="preserve"> 2015</w:t>
      </w:r>
      <w:r w:rsidR="008838AD">
        <w:rPr>
          <w:noProof/>
        </w:rPr>
        <w:t xml:space="preserve"> and </w:t>
      </w:r>
      <w:r w:rsidR="00E467D0">
        <w:rPr>
          <w:noProof/>
        </w:rPr>
        <w:t xml:space="preserve">2040 </w:t>
      </w:r>
      <w:r w:rsidR="00F9205E">
        <w:rPr>
          <w:noProof/>
        </w:rPr>
        <w:t>by</w:t>
      </w:r>
      <w:r w:rsidRPr="004572FA">
        <w:rPr>
          <w:noProof/>
        </w:rPr>
        <w:t xml:space="preserve"> mode</w:t>
      </w:r>
      <w:bookmarkEnd w:id="381"/>
    </w:p>
    <w:p w14:paraId="63B5F93F" w14:textId="6D411C1A" w:rsidR="00DE48DA" w:rsidRDefault="00DE48DA" w:rsidP="00C71592">
      <w:pPr>
        <w:keepNext/>
        <w:jc w:val="center"/>
        <w:rPr>
          <w:noProof/>
        </w:rPr>
      </w:pPr>
      <w:r w:rsidRPr="00DE48DA">
        <w:rPr>
          <w:noProof/>
          <w:lang w:eastAsia="en-GB"/>
        </w:rPr>
        <w:drawing>
          <wp:inline distT="0" distB="0" distL="0" distR="0" wp14:anchorId="5647B22E" wp14:editId="42E3F91E">
            <wp:extent cx="5472430" cy="233172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472430" cy="2331720"/>
                    </a:xfrm>
                    <a:prstGeom prst="rect">
                      <a:avLst/>
                    </a:prstGeom>
                    <a:noFill/>
                    <a:ln>
                      <a:noFill/>
                    </a:ln>
                  </pic:spPr>
                </pic:pic>
              </a:graphicData>
            </a:graphic>
          </wp:inline>
        </w:drawing>
      </w:r>
    </w:p>
    <w:p w14:paraId="4E8314B0" w14:textId="77777777" w:rsidR="004572FA" w:rsidRDefault="004572FA" w:rsidP="00923B34">
      <w:pPr>
        <w:pStyle w:val="CT-SOURCE"/>
        <w:rPr>
          <w:noProof/>
        </w:rPr>
      </w:pPr>
      <w:r w:rsidRPr="00C355C1">
        <w:rPr>
          <w:noProof/>
        </w:rPr>
        <w:t>Source: PRIMES</w:t>
      </w:r>
      <w:r>
        <w:rPr>
          <w:noProof/>
        </w:rPr>
        <w:t>.</w:t>
      </w:r>
    </w:p>
    <w:p w14:paraId="37F021CF" w14:textId="3C6194B7" w:rsidR="008729DE" w:rsidRPr="00C355C1" w:rsidRDefault="008729DE" w:rsidP="00CF6A95">
      <w:pPr>
        <w:pStyle w:val="Text3"/>
        <w:ind w:left="0"/>
        <w:rPr>
          <w:noProof/>
          <w:lang w:val="en-IE"/>
        </w:rPr>
      </w:pPr>
    </w:p>
    <w:p w14:paraId="6AF92B42" w14:textId="1C46AC89" w:rsidR="002F120B" w:rsidRPr="00143A51" w:rsidRDefault="008A06C9" w:rsidP="00143A51">
      <w:pPr>
        <w:pStyle w:val="Heading2"/>
        <w:rPr>
          <w:noProof/>
          <w:lang w:val="en-IE"/>
        </w:rPr>
      </w:pPr>
      <w:bookmarkStart w:id="382" w:name="_Ref141885995"/>
      <w:bookmarkStart w:id="383" w:name="_Toc148605610"/>
      <w:bookmarkStart w:id="384" w:name="_Toc157692056"/>
      <w:r>
        <w:rPr>
          <w:noProof/>
          <w:lang w:val="en-IE"/>
        </w:rPr>
        <w:t>N</w:t>
      </w:r>
      <w:r w:rsidR="00143A51" w:rsidRPr="00143A51">
        <w:rPr>
          <w:noProof/>
          <w:lang w:val="en-IE"/>
        </w:rPr>
        <w:t xml:space="preserve">on-CO2 </w:t>
      </w:r>
      <w:r w:rsidR="00DA5DBA">
        <w:rPr>
          <w:noProof/>
          <w:lang w:val="en-IE"/>
        </w:rPr>
        <w:t>GHG</w:t>
      </w:r>
      <w:r w:rsidR="00143A51" w:rsidRPr="00143A51">
        <w:rPr>
          <w:noProof/>
          <w:lang w:val="en-IE"/>
        </w:rPr>
        <w:t xml:space="preserve"> emissions</w:t>
      </w:r>
      <w:r w:rsidR="005B46F0">
        <w:rPr>
          <w:noProof/>
          <w:lang w:val="en-IE"/>
        </w:rPr>
        <w:t xml:space="preserve"> in </w:t>
      </w:r>
      <w:r w:rsidR="00DA5DBA">
        <w:rPr>
          <w:noProof/>
          <w:lang w:val="en-IE"/>
        </w:rPr>
        <w:t xml:space="preserve">non-land-related </w:t>
      </w:r>
      <w:r w:rsidR="005B46F0">
        <w:rPr>
          <w:noProof/>
          <w:lang w:val="en-IE"/>
        </w:rPr>
        <w:t>sectors</w:t>
      </w:r>
      <w:bookmarkEnd w:id="382"/>
      <w:bookmarkEnd w:id="383"/>
      <w:bookmarkEnd w:id="384"/>
    </w:p>
    <w:p w14:paraId="1CDBE421" w14:textId="0430E621" w:rsidR="00143A51" w:rsidRDefault="0090121A" w:rsidP="00143A51">
      <w:pPr>
        <w:pStyle w:val="Heading3"/>
        <w:rPr>
          <w:noProof/>
        </w:rPr>
      </w:pPr>
      <w:bookmarkStart w:id="385" w:name="_Ref142041052"/>
      <w:bookmarkStart w:id="386" w:name="_Toc148605611"/>
      <w:bookmarkStart w:id="387" w:name="_Toc157692057"/>
      <w:r>
        <w:rPr>
          <w:noProof/>
        </w:rPr>
        <w:t>E</w:t>
      </w:r>
      <w:r w:rsidR="00E811C3">
        <w:rPr>
          <w:noProof/>
        </w:rPr>
        <w:t>volution of e</w:t>
      </w:r>
      <w:r w:rsidR="00641F79">
        <w:rPr>
          <w:noProof/>
        </w:rPr>
        <w:t>missions</w:t>
      </w:r>
      <w:r w:rsidR="001F5B4F">
        <w:rPr>
          <w:noProof/>
        </w:rPr>
        <w:t xml:space="preserve"> without additional mitigation</w:t>
      </w:r>
      <w:bookmarkEnd w:id="385"/>
      <w:bookmarkEnd w:id="386"/>
      <w:bookmarkEnd w:id="387"/>
    </w:p>
    <w:p w14:paraId="192682EC" w14:textId="6236A958" w:rsidR="00143A51" w:rsidRPr="00EA56BF" w:rsidRDefault="002E61ED" w:rsidP="004F6B02">
      <w:pPr>
        <w:rPr>
          <w:noProof/>
        </w:rPr>
      </w:pPr>
      <w:r w:rsidRPr="002E61ED">
        <w:rPr>
          <w:noProof/>
        </w:rPr>
        <w:t xml:space="preserve">For non-land-related sectors, the concept of “non-CO2 GHG emissions </w:t>
      </w:r>
      <w:r w:rsidR="00D102E1">
        <w:rPr>
          <w:noProof/>
        </w:rPr>
        <w:t xml:space="preserve">without additional mitigation” </w:t>
      </w:r>
      <w:r w:rsidRPr="002E61ED">
        <w:rPr>
          <w:noProof/>
        </w:rPr>
        <w:t xml:space="preserve">refers to the emissions trajectory resulting from </w:t>
      </w:r>
      <w:r w:rsidR="00D93718">
        <w:rPr>
          <w:noProof/>
        </w:rPr>
        <w:t>applying a carbon value equal to zero to non-CO2 GHG emissions up to 2050. Th</w:t>
      </w:r>
      <w:r w:rsidR="003D6A15">
        <w:rPr>
          <w:noProof/>
        </w:rPr>
        <w:t>us</w:t>
      </w:r>
      <w:r w:rsidR="00D93718">
        <w:rPr>
          <w:noProof/>
        </w:rPr>
        <w:t xml:space="preserve">, this emissions trajectory results </w:t>
      </w:r>
      <w:r w:rsidR="00BC105C">
        <w:rPr>
          <w:noProof/>
        </w:rPr>
        <w:t xml:space="preserve">solely </w:t>
      </w:r>
      <w:r w:rsidR="00D93718">
        <w:rPr>
          <w:noProof/>
        </w:rPr>
        <w:t xml:space="preserve">from </w:t>
      </w:r>
      <w:r w:rsidRPr="002E61ED">
        <w:rPr>
          <w:noProof/>
        </w:rPr>
        <w:t xml:space="preserve">the combination of </w:t>
      </w:r>
      <w:r w:rsidR="00BC105C">
        <w:rPr>
          <w:noProof/>
        </w:rPr>
        <w:t xml:space="preserve">the following </w:t>
      </w:r>
      <w:r w:rsidRPr="002E61ED">
        <w:rPr>
          <w:noProof/>
        </w:rPr>
        <w:t xml:space="preserve">two types of drivers for emissions reductions: a) transformation of the energy system on its way to meet climate neutrality by 2050; and b) relevant existing and proposed legislation, particularly </w:t>
      </w:r>
      <w:r w:rsidR="00DC3BC8">
        <w:rPr>
          <w:noProof/>
        </w:rPr>
        <w:t>the Landfill Directive</w:t>
      </w:r>
      <w:r w:rsidR="00DC3BC8" w:rsidRPr="00DC3BC8">
        <w:rPr>
          <w:noProof/>
        </w:rPr>
        <w:t> (</w:t>
      </w:r>
      <w:r w:rsidR="00DC3BC8">
        <w:rPr>
          <w:rStyle w:val="FootnoteReference"/>
          <w:noProof/>
        </w:rPr>
        <w:footnoteReference w:id="134"/>
      </w:r>
      <w:r w:rsidR="00DC3BC8">
        <w:rPr>
          <w:noProof/>
        </w:rPr>
        <w:t>), the Waste Framework Directive</w:t>
      </w:r>
      <w:r w:rsidR="00DC3BC8" w:rsidRPr="00DC3BC8">
        <w:rPr>
          <w:noProof/>
        </w:rPr>
        <w:t> (</w:t>
      </w:r>
      <w:r w:rsidR="00DC3BC8">
        <w:rPr>
          <w:rStyle w:val="FootnoteReference"/>
          <w:noProof/>
        </w:rPr>
        <w:footnoteReference w:id="135"/>
      </w:r>
      <w:r w:rsidR="00DC3BC8">
        <w:rPr>
          <w:noProof/>
        </w:rPr>
        <w:t xml:space="preserve">), and </w:t>
      </w:r>
      <w:r w:rsidRPr="002E61ED">
        <w:rPr>
          <w:noProof/>
        </w:rPr>
        <w:t>the proposals for a regulation to reduce methane emissions in the energy sector (</w:t>
      </w:r>
      <w:r>
        <w:rPr>
          <w:rStyle w:val="FootnoteReference"/>
          <w:noProof/>
        </w:rPr>
        <w:footnoteReference w:id="136"/>
      </w:r>
      <w:r>
        <w:rPr>
          <w:noProof/>
        </w:rPr>
        <w:t>)</w:t>
      </w:r>
      <w:r w:rsidRPr="002E61ED">
        <w:rPr>
          <w:noProof/>
        </w:rPr>
        <w:t>, a revised Urban Wastewater Treatment Directive (</w:t>
      </w:r>
      <w:r>
        <w:rPr>
          <w:rStyle w:val="FootnoteReference"/>
          <w:noProof/>
        </w:rPr>
        <w:footnoteReference w:id="137"/>
      </w:r>
      <w:r>
        <w:rPr>
          <w:noProof/>
        </w:rPr>
        <w:t>)</w:t>
      </w:r>
      <w:r w:rsidRPr="002E61ED">
        <w:rPr>
          <w:noProof/>
        </w:rPr>
        <w:t xml:space="preserve"> and a revised F-gas regulation (</w:t>
      </w:r>
      <w:r>
        <w:rPr>
          <w:rStyle w:val="FootnoteReference"/>
          <w:noProof/>
        </w:rPr>
        <w:footnoteReference w:id="138"/>
      </w:r>
      <w:r>
        <w:rPr>
          <w:noProof/>
        </w:rPr>
        <w:t>)</w:t>
      </w:r>
      <w:r w:rsidRPr="002E61ED">
        <w:rPr>
          <w:noProof/>
        </w:rPr>
        <w:t>.</w:t>
      </w:r>
      <w:r w:rsidR="00D93718">
        <w:rPr>
          <w:noProof/>
        </w:rPr>
        <w:t xml:space="preserve"> </w:t>
      </w:r>
      <w:r w:rsidRPr="002E61ED">
        <w:rPr>
          <w:noProof/>
        </w:rPr>
        <w:t>In this impact assessment, the</w:t>
      </w:r>
      <w:r w:rsidRPr="00EA56BF">
        <w:rPr>
          <w:noProof/>
        </w:rPr>
        <w:t xml:space="preserve"> non-CO2 GHG emissions</w:t>
      </w:r>
      <w:r w:rsidR="00D102E1" w:rsidRPr="00D102E1">
        <w:rPr>
          <w:noProof/>
        </w:rPr>
        <w:t xml:space="preserve"> without additional mitigation</w:t>
      </w:r>
      <w:r w:rsidRPr="00EA56BF">
        <w:rPr>
          <w:noProof/>
        </w:rPr>
        <w:t xml:space="preserve"> in the non-land-related sectors are assumed to be the same in all scenarios. There is, however, significant mitigation potential beyond </w:t>
      </w:r>
      <w:r w:rsidR="00D102E1">
        <w:rPr>
          <w:noProof/>
        </w:rPr>
        <w:t xml:space="preserve">this level of </w:t>
      </w:r>
      <w:r w:rsidRPr="00EA56BF">
        <w:rPr>
          <w:noProof/>
        </w:rPr>
        <w:t xml:space="preserve">emissions. This additional mitigation potential is discussed in Section </w:t>
      </w:r>
      <w:r w:rsidRPr="00EA56BF">
        <w:rPr>
          <w:noProof/>
          <w:color w:val="2B579A"/>
          <w:shd w:val="clear" w:color="auto" w:fill="E6E6E6"/>
        </w:rPr>
        <w:fldChar w:fldCharType="begin"/>
      </w:r>
      <w:r w:rsidRPr="00EA56BF">
        <w:rPr>
          <w:noProof/>
        </w:rPr>
        <w:instrText xml:space="preserve"> REF _Ref141954119 \r \h </w:instrText>
      </w:r>
      <w:r w:rsidR="00307296" w:rsidRPr="00EA56BF">
        <w:rPr>
          <w:noProof/>
          <w:color w:val="2B579A"/>
          <w:shd w:val="clear" w:color="auto" w:fill="E6E6E6"/>
        </w:rPr>
        <w:instrText xml:space="preserve"> \* MERGEFORMAT </w:instrText>
      </w:r>
      <w:r w:rsidRPr="00EA56BF">
        <w:rPr>
          <w:noProof/>
          <w:color w:val="2B579A"/>
          <w:shd w:val="clear" w:color="auto" w:fill="E6E6E6"/>
        </w:rPr>
      </w:r>
      <w:r w:rsidRPr="00EA56BF">
        <w:rPr>
          <w:noProof/>
          <w:color w:val="2B579A"/>
          <w:shd w:val="clear" w:color="auto" w:fill="E6E6E6"/>
        </w:rPr>
        <w:fldChar w:fldCharType="separate"/>
      </w:r>
      <w:r w:rsidR="00170A3C">
        <w:rPr>
          <w:noProof/>
        </w:rPr>
        <w:t>1.6.2</w:t>
      </w:r>
      <w:r w:rsidRPr="00EA56BF">
        <w:rPr>
          <w:noProof/>
          <w:color w:val="2B579A"/>
          <w:shd w:val="clear" w:color="auto" w:fill="E6E6E6"/>
        </w:rPr>
        <w:fldChar w:fldCharType="end"/>
      </w:r>
      <w:r w:rsidRPr="00EA56BF">
        <w:rPr>
          <w:noProof/>
        </w:rPr>
        <w:t>.</w:t>
      </w:r>
      <w:r w:rsidR="00D93718">
        <w:rPr>
          <w:noProof/>
        </w:rPr>
        <w:t xml:space="preserve"> </w:t>
      </w:r>
    </w:p>
    <w:p w14:paraId="13784C90" w14:textId="0B24C004" w:rsidR="00131F12" w:rsidRDefault="00131F12" w:rsidP="004F6B02">
      <w:pPr>
        <w:rPr>
          <w:noProof/>
        </w:rPr>
      </w:pPr>
      <w:r w:rsidRPr="00EA56BF">
        <w:rPr>
          <w:noProof/>
        </w:rPr>
        <w:t xml:space="preserve">The non-CO2 GHG emissions </w:t>
      </w:r>
      <w:r w:rsidR="00D102E1">
        <w:rPr>
          <w:noProof/>
        </w:rPr>
        <w:t xml:space="preserve">without additional mitigation </w:t>
      </w:r>
      <w:r w:rsidRPr="00EA56BF">
        <w:rPr>
          <w:noProof/>
        </w:rPr>
        <w:t xml:space="preserve">corresponding to all non-land-related sectors </w:t>
      </w:r>
      <w:r w:rsidR="00D102E1">
        <w:rPr>
          <w:noProof/>
        </w:rPr>
        <w:t xml:space="preserve">taken </w:t>
      </w:r>
      <w:r w:rsidRPr="00EA56BF">
        <w:rPr>
          <w:noProof/>
        </w:rPr>
        <w:t xml:space="preserve">together equal </w:t>
      </w:r>
      <w:r w:rsidR="000C3D90">
        <w:rPr>
          <w:noProof/>
        </w:rPr>
        <w:t>116</w:t>
      </w:r>
      <w:r w:rsidRPr="00EA56BF">
        <w:rPr>
          <w:noProof/>
        </w:rPr>
        <w:t xml:space="preserve"> MtCO2-eq in 2040, which represents a </w:t>
      </w:r>
      <w:r w:rsidR="000C3D90">
        <w:rPr>
          <w:noProof/>
        </w:rPr>
        <w:t>65%</w:t>
      </w:r>
      <w:r w:rsidRPr="00EA56BF">
        <w:rPr>
          <w:noProof/>
        </w:rPr>
        <w:t xml:space="preserve"> reduction relative to 20</w:t>
      </w:r>
      <w:r w:rsidR="00307296" w:rsidRPr="00EA56BF">
        <w:rPr>
          <w:noProof/>
        </w:rPr>
        <w:t>1</w:t>
      </w:r>
      <w:r w:rsidRPr="00EA56BF">
        <w:rPr>
          <w:noProof/>
        </w:rPr>
        <w:t xml:space="preserve">5 levels. The degree of reduction varies across sectors (see </w:t>
      </w:r>
      <w:r w:rsidRPr="00EA56BF">
        <w:rPr>
          <w:noProof/>
          <w:color w:val="2B579A"/>
          <w:shd w:val="clear" w:color="auto" w:fill="E6E6E6"/>
        </w:rPr>
        <w:fldChar w:fldCharType="begin"/>
      </w:r>
      <w:r w:rsidRPr="00EA56BF">
        <w:rPr>
          <w:noProof/>
        </w:rPr>
        <w:instrText xml:space="preserve"> REF _Ref141954468 \h </w:instrText>
      </w:r>
      <w:r w:rsidR="00307296" w:rsidRPr="00EA56BF">
        <w:rPr>
          <w:noProof/>
          <w:color w:val="2B579A"/>
          <w:shd w:val="clear" w:color="auto" w:fill="E6E6E6"/>
        </w:rPr>
        <w:instrText xml:space="preserve"> \* MERGEFORMAT </w:instrText>
      </w:r>
      <w:r w:rsidRPr="00EA56BF">
        <w:rPr>
          <w:noProof/>
          <w:color w:val="2B579A"/>
          <w:shd w:val="clear" w:color="auto" w:fill="E6E6E6"/>
        </w:rPr>
      </w:r>
      <w:r w:rsidRPr="00EA56BF">
        <w:rPr>
          <w:noProof/>
          <w:color w:val="2B579A"/>
          <w:shd w:val="clear" w:color="auto" w:fill="E6E6E6"/>
        </w:rPr>
        <w:fldChar w:fldCharType="separate"/>
      </w:r>
      <w:r w:rsidR="00170A3C">
        <w:rPr>
          <w:noProof/>
        </w:rPr>
        <w:t>Table 10</w:t>
      </w:r>
      <w:r w:rsidRPr="00EA56BF">
        <w:rPr>
          <w:noProof/>
          <w:color w:val="2B579A"/>
          <w:shd w:val="clear" w:color="auto" w:fill="E6E6E6"/>
        </w:rPr>
        <w:fldChar w:fldCharType="end"/>
      </w:r>
      <w:r w:rsidRPr="00EA56BF">
        <w:rPr>
          <w:noProof/>
        </w:rPr>
        <w:t xml:space="preserve">), but all of them reduce their non-CO2 GHG emissions by more than </w:t>
      </w:r>
      <w:r w:rsidR="00307296" w:rsidRPr="00EA56BF">
        <w:rPr>
          <w:noProof/>
        </w:rPr>
        <w:t>40%</w:t>
      </w:r>
      <w:r w:rsidRPr="00EA56BF">
        <w:rPr>
          <w:noProof/>
        </w:rPr>
        <w:t xml:space="preserve"> in 2040 compared to 20</w:t>
      </w:r>
      <w:r w:rsidR="00307296" w:rsidRPr="00EA56BF">
        <w:rPr>
          <w:noProof/>
        </w:rPr>
        <w:t>1</w:t>
      </w:r>
      <w:r w:rsidRPr="00EA56BF">
        <w:rPr>
          <w:noProof/>
        </w:rPr>
        <w:t xml:space="preserve">5. In the energy and transport sector, non-CO2 GHG emissions drop by </w:t>
      </w:r>
      <w:r w:rsidR="000C3D90">
        <w:rPr>
          <w:noProof/>
        </w:rPr>
        <w:t>71%</w:t>
      </w:r>
      <w:r w:rsidRPr="00EA56BF">
        <w:rPr>
          <w:noProof/>
        </w:rPr>
        <w:t xml:space="preserve"> in 2040 compared to 20</w:t>
      </w:r>
      <w:r w:rsidR="00CC5885" w:rsidRPr="00EA56BF">
        <w:rPr>
          <w:noProof/>
        </w:rPr>
        <w:t>1</w:t>
      </w:r>
      <w:r w:rsidRPr="00EA56BF">
        <w:rPr>
          <w:noProof/>
        </w:rPr>
        <w:t>5. Heating and cooling is the sector showing the largest decline in emissions (9</w:t>
      </w:r>
      <w:r w:rsidR="00CC5885" w:rsidRPr="00EA56BF">
        <w:rPr>
          <w:noProof/>
        </w:rPr>
        <w:t>7</w:t>
      </w:r>
      <w:r w:rsidRPr="00EA56BF">
        <w:rPr>
          <w:noProof/>
        </w:rPr>
        <w:t>% reduction in 2040 relative to 20</w:t>
      </w:r>
      <w:r w:rsidR="00CC5885" w:rsidRPr="00EA56BF">
        <w:rPr>
          <w:noProof/>
        </w:rPr>
        <w:t>1</w:t>
      </w:r>
      <w:r w:rsidRPr="00EA56BF">
        <w:rPr>
          <w:noProof/>
        </w:rPr>
        <w:t>5, close to the maximum mitigation potential), mainly due to the impact of the proposal for a revised F-gas regulation.</w:t>
      </w:r>
      <w:r w:rsidR="00CC5885" w:rsidRPr="00EA56BF">
        <w:rPr>
          <w:noProof/>
        </w:rPr>
        <w:t xml:space="preserve"> Finally</w:t>
      </w:r>
      <w:r w:rsidR="003F4720">
        <w:rPr>
          <w:noProof/>
        </w:rPr>
        <w:t>,</w:t>
      </w:r>
      <w:r w:rsidR="00CC5885" w:rsidRPr="00EA56BF">
        <w:rPr>
          <w:noProof/>
        </w:rPr>
        <w:t xml:space="preserve"> in industry and other sectors, emissions decrease by 50% </w:t>
      </w:r>
      <w:r w:rsidR="006F357D" w:rsidRPr="00EA56BF">
        <w:rPr>
          <w:noProof/>
        </w:rPr>
        <w:t>over</w:t>
      </w:r>
      <w:r w:rsidR="00CC5885" w:rsidRPr="00EA56BF">
        <w:rPr>
          <w:noProof/>
        </w:rPr>
        <w:t xml:space="preserve"> </w:t>
      </w:r>
      <w:r w:rsidR="00596B97" w:rsidRPr="00EA56BF">
        <w:rPr>
          <w:noProof/>
        </w:rPr>
        <w:t>the same period</w:t>
      </w:r>
      <w:r w:rsidR="00CC5885" w:rsidRPr="00EA56BF">
        <w:rPr>
          <w:noProof/>
        </w:rPr>
        <w:t>.</w:t>
      </w:r>
    </w:p>
    <w:p w14:paraId="04EF5362" w14:textId="40E4BC77" w:rsidR="00975052" w:rsidRDefault="00975052" w:rsidP="003B1577">
      <w:pPr>
        <w:pStyle w:val="Caption"/>
        <w:rPr>
          <w:noProof/>
        </w:rPr>
      </w:pPr>
      <w:bookmarkStart w:id="388" w:name="_Ref141954468"/>
      <w:bookmarkStart w:id="389" w:name="_Toc157679893"/>
      <w:r>
        <w:rPr>
          <w:noProof/>
        </w:rPr>
        <w:t xml:space="preserve">Table </w:t>
      </w:r>
      <w:r>
        <w:rPr>
          <w:noProof/>
        </w:rPr>
        <w:fldChar w:fldCharType="begin"/>
      </w:r>
      <w:r>
        <w:rPr>
          <w:noProof/>
        </w:rPr>
        <w:instrText>SEQ Table \* ARABIC</w:instrText>
      </w:r>
      <w:r>
        <w:rPr>
          <w:noProof/>
        </w:rPr>
        <w:fldChar w:fldCharType="separate"/>
      </w:r>
      <w:r w:rsidR="00170A3C">
        <w:rPr>
          <w:noProof/>
        </w:rPr>
        <w:t>10</w:t>
      </w:r>
      <w:r>
        <w:rPr>
          <w:noProof/>
        </w:rPr>
        <w:fldChar w:fldCharType="end"/>
      </w:r>
      <w:bookmarkEnd w:id="388"/>
      <w:r>
        <w:rPr>
          <w:noProof/>
        </w:rPr>
        <w:t xml:space="preserve">: </w:t>
      </w:r>
      <w:r w:rsidR="00372BBD">
        <w:rPr>
          <w:noProof/>
        </w:rPr>
        <w:t>Non-CO2 GHG</w:t>
      </w:r>
      <w:r w:rsidRPr="00975052">
        <w:rPr>
          <w:noProof/>
        </w:rPr>
        <w:t xml:space="preserve"> emissions</w:t>
      </w:r>
      <w:r w:rsidR="00BC105C">
        <w:rPr>
          <w:noProof/>
        </w:rPr>
        <w:t xml:space="preserve"> without add</w:t>
      </w:r>
      <w:r w:rsidR="00EB4603">
        <w:rPr>
          <w:noProof/>
        </w:rPr>
        <w:t>.</w:t>
      </w:r>
      <w:r w:rsidR="00BC105C">
        <w:rPr>
          <w:noProof/>
        </w:rPr>
        <w:t xml:space="preserve"> mitigation </w:t>
      </w:r>
      <w:r w:rsidRPr="00975052">
        <w:rPr>
          <w:noProof/>
        </w:rPr>
        <w:t>in non-land-related sectors</w:t>
      </w:r>
      <w:bookmarkEnd w:id="389"/>
    </w:p>
    <w:tbl>
      <w:tblPr>
        <w:tblW w:w="8755" w:type="dxa"/>
        <w:tblLayout w:type="fixed"/>
        <w:tblLook w:val="04A0" w:firstRow="1" w:lastRow="0" w:firstColumn="1" w:lastColumn="0" w:noHBand="0" w:noVBand="1"/>
      </w:tblPr>
      <w:tblGrid>
        <w:gridCol w:w="1531"/>
        <w:gridCol w:w="420"/>
        <w:gridCol w:w="850"/>
        <w:gridCol w:w="851"/>
        <w:gridCol w:w="850"/>
        <w:gridCol w:w="851"/>
        <w:gridCol w:w="850"/>
        <w:gridCol w:w="44"/>
        <w:gridCol w:w="807"/>
        <w:gridCol w:w="850"/>
        <w:gridCol w:w="851"/>
      </w:tblGrid>
      <w:tr w:rsidR="00975052" w:rsidRPr="00975052" w14:paraId="615BFF15" w14:textId="77777777" w:rsidTr="000D2F9B">
        <w:trPr>
          <w:trHeight w:val="278"/>
        </w:trPr>
        <w:tc>
          <w:tcPr>
            <w:tcW w:w="1531" w:type="dxa"/>
            <w:tcBorders>
              <w:bottom w:val="single" w:sz="12" w:space="0" w:color="auto"/>
            </w:tcBorders>
            <w:noWrap/>
            <w:vAlign w:val="center"/>
          </w:tcPr>
          <w:p w14:paraId="383F2AC6" w14:textId="77777777" w:rsidR="00975052" w:rsidRPr="00975052" w:rsidRDefault="00975052" w:rsidP="003B1577">
            <w:pPr>
              <w:keepNext/>
              <w:spacing w:after="0"/>
              <w:jc w:val="left"/>
              <w:rPr>
                <w:rFonts w:ascii="EC Square Sans Cond Pro" w:hAnsi="EC Square Sans Cond Pro"/>
                <w:noProof/>
                <w:sz w:val="18"/>
                <w:szCs w:val="18"/>
                <w:lang w:val="en-IE"/>
              </w:rPr>
            </w:pPr>
          </w:p>
        </w:tc>
        <w:tc>
          <w:tcPr>
            <w:tcW w:w="4716" w:type="dxa"/>
            <w:gridSpan w:val="7"/>
            <w:tcBorders>
              <w:bottom w:val="single" w:sz="12" w:space="0" w:color="auto"/>
            </w:tcBorders>
          </w:tcPr>
          <w:p w14:paraId="6A58D04F" w14:textId="47C11B61" w:rsidR="00975052" w:rsidRPr="00975052" w:rsidRDefault="00975052" w:rsidP="003B1577">
            <w:pPr>
              <w:keepNext/>
              <w:spacing w:after="0"/>
              <w:jc w:val="center"/>
              <w:rPr>
                <w:rFonts w:ascii="EC Square Sans Cond Pro" w:hAnsi="EC Square Sans Cond Pro" w:cs="Avenir Next LT Pro"/>
                <w:b/>
                <w:noProof/>
                <w:sz w:val="18"/>
                <w:szCs w:val="18"/>
                <w:lang w:val="en-IE"/>
              </w:rPr>
            </w:pPr>
            <w:r w:rsidRPr="00975052">
              <w:rPr>
                <w:rFonts w:ascii="EC Square Sans Cond Pro" w:hAnsi="EC Square Sans Cond Pro" w:cs="Avenir Next LT Pro"/>
                <w:b/>
                <w:smallCaps/>
                <w:noProof/>
                <w:sz w:val="18"/>
                <w:szCs w:val="18"/>
                <w:lang w:val="en-IE"/>
              </w:rPr>
              <w:t>Non-CO2 greenhouse gas emissions (MtCO2-eq)</w:t>
            </w:r>
            <w:r w:rsidR="00C22B4D">
              <w:rPr>
                <w:rFonts w:ascii="EC Square Sans Cond Pro" w:hAnsi="EC Square Sans Cond Pro" w:cs="Avenir Next LT Pro"/>
                <w:b/>
                <w:smallCaps/>
                <w:noProof/>
                <w:sz w:val="18"/>
                <w:szCs w:val="18"/>
                <w:lang w:val="en-IE"/>
              </w:rPr>
              <w:t>*</w:t>
            </w:r>
          </w:p>
        </w:tc>
        <w:tc>
          <w:tcPr>
            <w:tcW w:w="2508" w:type="dxa"/>
            <w:gridSpan w:val="3"/>
            <w:tcBorders>
              <w:bottom w:val="single" w:sz="12" w:space="0" w:color="auto"/>
            </w:tcBorders>
          </w:tcPr>
          <w:p w14:paraId="6C3C537E" w14:textId="77777777" w:rsidR="00975052" w:rsidRPr="00975052" w:rsidRDefault="00975052" w:rsidP="003B1577">
            <w:pPr>
              <w:keepNext/>
              <w:spacing w:after="0"/>
              <w:jc w:val="center"/>
              <w:rPr>
                <w:rFonts w:ascii="EC Square Sans Cond Pro" w:hAnsi="EC Square Sans Cond Pro" w:cs="Avenir Next LT Pro"/>
                <w:b/>
                <w:noProof/>
                <w:sz w:val="18"/>
                <w:szCs w:val="18"/>
                <w:lang w:val="en-IE"/>
              </w:rPr>
            </w:pPr>
            <w:r w:rsidRPr="00975052">
              <w:rPr>
                <w:rFonts w:ascii="EC Square Sans Cond Pro" w:hAnsi="EC Square Sans Cond Pro" w:cs="Avenir Next LT Pro"/>
                <w:b/>
                <w:smallCaps/>
                <w:noProof/>
                <w:sz w:val="18"/>
                <w:szCs w:val="18"/>
                <w:lang w:val="en-IE"/>
              </w:rPr>
              <w:t>Change in emissions (%)</w:t>
            </w:r>
          </w:p>
        </w:tc>
      </w:tr>
      <w:tr w:rsidR="00975052" w:rsidRPr="00975052" w14:paraId="633AF1EA" w14:textId="77777777" w:rsidTr="000D2F9B">
        <w:trPr>
          <w:trHeight w:val="278"/>
        </w:trPr>
        <w:tc>
          <w:tcPr>
            <w:tcW w:w="1951" w:type="dxa"/>
            <w:gridSpan w:val="2"/>
            <w:tcBorders>
              <w:bottom w:val="single" w:sz="12" w:space="0" w:color="auto"/>
            </w:tcBorders>
            <w:noWrap/>
            <w:vAlign w:val="center"/>
          </w:tcPr>
          <w:p w14:paraId="2155C1A4" w14:textId="77777777" w:rsidR="00975052" w:rsidRPr="00975052" w:rsidRDefault="00975052" w:rsidP="003B1577">
            <w:pPr>
              <w:keepNext/>
              <w:spacing w:after="0"/>
              <w:jc w:val="left"/>
              <w:rPr>
                <w:rFonts w:ascii="EC Square Sans Cond Pro" w:hAnsi="EC Square Sans Cond Pro"/>
                <w:noProof/>
                <w:sz w:val="18"/>
                <w:szCs w:val="18"/>
                <w:lang w:val="en-IE"/>
              </w:rPr>
            </w:pPr>
          </w:p>
        </w:tc>
        <w:tc>
          <w:tcPr>
            <w:tcW w:w="850" w:type="dxa"/>
            <w:tcBorders>
              <w:bottom w:val="single" w:sz="12" w:space="0" w:color="auto"/>
            </w:tcBorders>
            <w:vAlign w:val="center"/>
          </w:tcPr>
          <w:p w14:paraId="71F27177" w14:textId="77777777" w:rsidR="00975052" w:rsidRPr="00975052" w:rsidRDefault="00975052" w:rsidP="003B1577">
            <w:pPr>
              <w:keepNext/>
              <w:spacing w:after="0"/>
              <w:jc w:val="center"/>
              <w:rPr>
                <w:rFonts w:ascii="EC Square Sans Cond Pro" w:hAnsi="EC Square Sans Cond Pro" w:cs="Avenir Next LT Pro"/>
                <w:b/>
                <w:smallCaps/>
                <w:noProof/>
                <w:sz w:val="18"/>
                <w:szCs w:val="18"/>
                <w:lang w:val="en-IE"/>
              </w:rPr>
            </w:pPr>
            <w:r w:rsidRPr="00975052">
              <w:rPr>
                <w:rFonts w:ascii="EC Square Sans Cond Pro" w:hAnsi="EC Square Sans Cond Pro" w:cs="Avenir Next LT Pro"/>
                <w:b/>
                <w:smallCaps/>
                <w:noProof/>
                <w:sz w:val="18"/>
                <w:szCs w:val="18"/>
                <w:lang w:val="en-IE"/>
              </w:rPr>
              <w:t>2005</w:t>
            </w:r>
          </w:p>
        </w:tc>
        <w:tc>
          <w:tcPr>
            <w:tcW w:w="851" w:type="dxa"/>
            <w:tcBorders>
              <w:bottom w:val="single" w:sz="12" w:space="0" w:color="auto"/>
            </w:tcBorders>
            <w:noWrap/>
            <w:vAlign w:val="center"/>
          </w:tcPr>
          <w:p w14:paraId="7CF7C79B" w14:textId="77777777" w:rsidR="00975052" w:rsidRPr="00975052" w:rsidRDefault="00975052" w:rsidP="003B1577">
            <w:pPr>
              <w:keepNext/>
              <w:spacing w:after="0"/>
              <w:jc w:val="center"/>
              <w:rPr>
                <w:rFonts w:ascii="EC Square Sans Cond Pro" w:hAnsi="EC Square Sans Cond Pro" w:cs="Avenir Next LT Pro"/>
                <w:b/>
                <w:smallCaps/>
                <w:noProof/>
                <w:sz w:val="18"/>
                <w:szCs w:val="18"/>
                <w:lang w:val="en-IE"/>
              </w:rPr>
            </w:pPr>
            <w:r w:rsidRPr="00975052">
              <w:rPr>
                <w:rFonts w:ascii="EC Square Sans Cond Pro" w:hAnsi="EC Square Sans Cond Pro" w:cs="Avenir Next LT Pro"/>
                <w:b/>
                <w:smallCaps/>
                <w:noProof/>
                <w:sz w:val="18"/>
                <w:szCs w:val="18"/>
                <w:lang w:val="en-IE"/>
              </w:rPr>
              <w:t>2015</w:t>
            </w:r>
          </w:p>
        </w:tc>
        <w:tc>
          <w:tcPr>
            <w:tcW w:w="850" w:type="dxa"/>
            <w:tcBorders>
              <w:bottom w:val="single" w:sz="12" w:space="0" w:color="auto"/>
            </w:tcBorders>
            <w:vAlign w:val="center"/>
          </w:tcPr>
          <w:p w14:paraId="48B17C5F" w14:textId="77777777" w:rsidR="00975052" w:rsidRPr="00975052" w:rsidRDefault="00975052" w:rsidP="003B1577">
            <w:pPr>
              <w:keepNext/>
              <w:spacing w:after="0"/>
              <w:jc w:val="center"/>
              <w:rPr>
                <w:rFonts w:ascii="EC Square Sans Cond Pro" w:hAnsi="EC Square Sans Cond Pro" w:cs="Avenir Next LT Pro"/>
                <w:b/>
                <w:smallCaps/>
                <w:noProof/>
                <w:sz w:val="18"/>
                <w:szCs w:val="18"/>
                <w:lang w:val="en-IE"/>
              </w:rPr>
            </w:pPr>
            <w:r w:rsidRPr="00975052">
              <w:rPr>
                <w:rFonts w:ascii="EC Square Sans Cond Pro" w:hAnsi="EC Square Sans Cond Pro" w:cs="Avenir Next LT Pro"/>
                <w:b/>
                <w:smallCaps/>
                <w:noProof/>
                <w:sz w:val="18"/>
                <w:szCs w:val="18"/>
                <w:lang w:val="en-IE"/>
              </w:rPr>
              <w:t>2030</w:t>
            </w:r>
          </w:p>
        </w:tc>
        <w:tc>
          <w:tcPr>
            <w:tcW w:w="851" w:type="dxa"/>
            <w:tcBorders>
              <w:bottom w:val="single" w:sz="12" w:space="0" w:color="auto"/>
            </w:tcBorders>
            <w:vAlign w:val="center"/>
          </w:tcPr>
          <w:p w14:paraId="5BFD141D" w14:textId="77777777" w:rsidR="00975052" w:rsidRPr="00975052" w:rsidRDefault="00975052" w:rsidP="003B1577">
            <w:pPr>
              <w:keepNext/>
              <w:spacing w:after="0"/>
              <w:jc w:val="center"/>
              <w:rPr>
                <w:rFonts w:ascii="EC Square Sans Cond Pro" w:hAnsi="EC Square Sans Cond Pro" w:cs="Avenir Next LT Pro"/>
                <w:b/>
                <w:smallCaps/>
                <w:noProof/>
                <w:sz w:val="18"/>
                <w:szCs w:val="18"/>
                <w:lang w:val="en-IE"/>
              </w:rPr>
            </w:pPr>
            <w:r w:rsidRPr="00975052">
              <w:rPr>
                <w:rFonts w:ascii="EC Square Sans Cond Pro" w:hAnsi="EC Square Sans Cond Pro" w:cs="Avenir Next LT Pro"/>
                <w:b/>
                <w:noProof/>
                <w:sz w:val="18"/>
                <w:szCs w:val="18"/>
                <w:lang w:val="en-IE"/>
              </w:rPr>
              <w:t>2040</w:t>
            </w:r>
          </w:p>
        </w:tc>
        <w:tc>
          <w:tcPr>
            <w:tcW w:w="850" w:type="dxa"/>
            <w:tcBorders>
              <w:bottom w:val="single" w:sz="12" w:space="0" w:color="auto"/>
            </w:tcBorders>
            <w:vAlign w:val="center"/>
          </w:tcPr>
          <w:p w14:paraId="16F980F1" w14:textId="77777777" w:rsidR="00975052" w:rsidRPr="00975052" w:rsidRDefault="00975052" w:rsidP="003B1577">
            <w:pPr>
              <w:keepNext/>
              <w:spacing w:after="0"/>
              <w:jc w:val="center"/>
              <w:rPr>
                <w:rFonts w:ascii="EC Square Sans Cond Pro" w:hAnsi="EC Square Sans Cond Pro" w:cs="Avenir Next LT Pro"/>
                <w:b/>
                <w:smallCaps/>
                <w:noProof/>
                <w:sz w:val="18"/>
                <w:szCs w:val="18"/>
                <w:lang w:val="en-IE"/>
              </w:rPr>
            </w:pPr>
            <w:r w:rsidRPr="00975052">
              <w:rPr>
                <w:rFonts w:ascii="EC Square Sans Cond Pro" w:hAnsi="EC Square Sans Cond Pro" w:cs="Avenir Next LT Pro"/>
                <w:b/>
                <w:noProof/>
                <w:sz w:val="18"/>
                <w:szCs w:val="18"/>
                <w:lang w:val="en-IE"/>
              </w:rPr>
              <w:t>2050</w:t>
            </w:r>
          </w:p>
        </w:tc>
        <w:tc>
          <w:tcPr>
            <w:tcW w:w="851" w:type="dxa"/>
            <w:gridSpan w:val="2"/>
            <w:tcBorders>
              <w:bottom w:val="single" w:sz="12" w:space="0" w:color="auto"/>
            </w:tcBorders>
            <w:vAlign w:val="center"/>
          </w:tcPr>
          <w:p w14:paraId="7CD4604F" w14:textId="775A4E77" w:rsidR="00975052" w:rsidRPr="00975052" w:rsidRDefault="00975052" w:rsidP="003B1577">
            <w:pPr>
              <w:keepNext/>
              <w:spacing w:after="0"/>
              <w:jc w:val="center"/>
              <w:rPr>
                <w:rFonts w:ascii="EC Square Sans Cond Pro" w:hAnsi="EC Square Sans Cond Pro" w:cs="Avenir Next LT Pro"/>
                <w:b/>
                <w:smallCaps/>
                <w:noProof/>
                <w:sz w:val="18"/>
                <w:szCs w:val="18"/>
                <w:lang w:val="en-IE"/>
              </w:rPr>
            </w:pPr>
            <w:r w:rsidRPr="00975052">
              <w:rPr>
                <w:rFonts w:ascii="EC Square Sans Cond Pro" w:hAnsi="EC Square Sans Cond Pro" w:cs="Avenir Next LT Pro"/>
                <w:b/>
                <w:noProof/>
                <w:sz w:val="18"/>
                <w:szCs w:val="18"/>
                <w:lang w:val="en-IE"/>
              </w:rPr>
              <w:t>20</w:t>
            </w:r>
            <w:r w:rsidR="00105AC1">
              <w:rPr>
                <w:rFonts w:ascii="EC Square Sans Cond Pro" w:hAnsi="EC Square Sans Cond Pro" w:cs="Avenir Next LT Pro"/>
                <w:b/>
                <w:noProof/>
                <w:sz w:val="18"/>
                <w:szCs w:val="18"/>
                <w:lang w:val="en-IE"/>
              </w:rPr>
              <w:t>1</w:t>
            </w:r>
            <w:r w:rsidRPr="00975052">
              <w:rPr>
                <w:rFonts w:ascii="EC Square Sans Cond Pro" w:hAnsi="EC Square Sans Cond Pro" w:cs="Avenir Next LT Pro"/>
                <w:b/>
                <w:noProof/>
                <w:sz w:val="18"/>
                <w:szCs w:val="18"/>
                <w:lang w:val="en-IE"/>
              </w:rPr>
              <w:t>5-30</w:t>
            </w:r>
          </w:p>
        </w:tc>
        <w:tc>
          <w:tcPr>
            <w:tcW w:w="850" w:type="dxa"/>
            <w:tcBorders>
              <w:bottom w:val="single" w:sz="12" w:space="0" w:color="auto"/>
            </w:tcBorders>
            <w:vAlign w:val="center"/>
          </w:tcPr>
          <w:p w14:paraId="7A7FB0D4" w14:textId="1CFEAC8E" w:rsidR="00975052" w:rsidRPr="00975052" w:rsidRDefault="00975052" w:rsidP="003B1577">
            <w:pPr>
              <w:keepNext/>
              <w:spacing w:after="0"/>
              <w:jc w:val="center"/>
              <w:rPr>
                <w:rFonts w:ascii="EC Square Sans Cond Pro" w:hAnsi="EC Square Sans Cond Pro" w:cs="Avenir Next LT Pro"/>
                <w:b/>
                <w:noProof/>
                <w:sz w:val="18"/>
                <w:szCs w:val="18"/>
                <w:lang w:val="en-IE"/>
              </w:rPr>
            </w:pPr>
            <w:r w:rsidRPr="00975052">
              <w:rPr>
                <w:rFonts w:ascii="EC Square Sans Cond Pro" w:hAnsi="EC Square Sans Cond Pro" w:cs="Avenir Next LT Pro"/>
                <w:b/>
                <w:noProof/>
                <w:sz w:val="18"/>
                <w:szCs w:val="18"/>
                <w:lang w:val="en-IE"/>
              </w:rPr>
              <w:t>20</w:t>
            </w:r>
            <w:r w:rsidR="00105AC1">
              <w:rPr>
                <w:rFonts w:ascii="EC Square Sans Cond Pro" w:hAnsi="EC Square Sans Cond Pro" w:cs="Avenir Next LT Pro"/>
                <w:b/>
                <w:noProof/>
                <w:sz w:val="18"/>
                <w:szCs w:val="18"/>
                <w:lang w:val="en-IE"/>
              </w:rPr>
              <w:t>1</w:t>
            </w:r>
            <w:r w:rsidRPr="00975052">
              <w:rPr>
                <w:rFonts w:ascii="EC Square Sans Cond Pro" w:hAnsi="EC Square Sans Cond Pro" w:cs="Avenir Next LT Pro"/>
                <w:b/>
                <w:noProof/>
                <w:sz w:val="18"/>
                <w:szCs w:val="18"/>
                <w:lang w:val="en-IE"/>
              </w:rPr>
              <w:t>5-40</w:t>
            </w:r>
          </w:p>
        </w:tc>
        <w:tc>
          <w:tcPr>
            <w:tcW w:w="851" w:type="dxa"/>
            <w:tcBorders>
              <w:bottom w:val="single" w:sz="12" w:space="0" w:color="auto"/>
            </w:tcBorders>
            <w:vAlign w:val="center"/>
          </w:tcPr>
          <w:p w14:paraId="0FAFB838" w14:textId="1DDF9AE5" w:rsidR="00975052" w:rsidRPr="00975052" w:rsidRDefault="00975052" w:rsidP="003B1577">
            <w:pPr>
              <w:keepNext/>
              <w:spacing w:after="0"/>
              <w:jc w:val="center"/>
              <w:rPr>
                <w:rFonts w:ascii="EC Square Sans Cond Pro" w:hAnsi="EC Square Sans Cond Pro" w:cs="Avenir Next LT Pro"/>
                <w:b/>
                <w:smallCaps/>
                <w:noProof/>
                <w:sz w:val="18"/>
                <w:szCs w:val="18"/>
                <w:lang w:val="en-IE"/>
              </w:rPr>
            </w:pPr>
            <w:r w:rsidRPr="00975052">
              <w:rPr>
                <w:rFonts w:ascii="EC Square Sans Cond Pro" w:hAnsi="EC Square Sans Cond Pro" w:cs="Avenir Next LT Pro"/>
                <w:b/>
                <w:noProof/>
                <w:sz w:val="18"/>
                <w:szCs w:val="18"/>
                <w:lang w:val="en-IE"/>
              </w:rPr>
              <w:t>20</w:t>
            </w:r>
            <w:r w:rsidR="00105AC1">
              <w:rPr>
                <w:rFonts w:ascii="EC Square Sans Cond Pro" w:hAnsi="EC Square Sans Cond Pro" w:cs="Avenir Next LT Pro"/>
                <w:b/>
                <w:noProof/>
                <w:sz w:val="18"/>
                <w:szCs w:val="18"/>
                <w:lang w:val="en-IE"/>
              </w:rPr>
              <w:t>1</w:t>
            </w:r>
            <w:r w:rsidRPr="00975052">
              <w:rPr>
                <w:rFonts w:ascii="EC Square Sans Cond Pro" w:hAnsi="EC Square Sans Cond Pro" w:cs="Avenir Next LT Pro"/>
                <w:b/>
                <w:noProof/>
                <w:sz w:val="18"/>
                <w:szCs w:val="18"/>
                <w:lang w:val="en-IE"/>
              </w:rPr>
              <w:t>5-50</w:t>
            </w:r>
          </w:p>
        </w:tc>
      </w:tr>
      <w:tr w:rsidR="00975052" w:rsidRPr="00975052" w14:paraId="4DC49A03" w14:textId="77777777" w:rsidTr="000D2F9B">
        <w:trPr>
          <w:trHeight w:val="311"/>
        </w:trPr>
        <w:tc>
          <w:tcPr>
            <w:tcW w:w="1951" w:type="dxa"/>
            <w:gridSpan w:val="2"/>
            <w:noWrap/>
            <w:vAlign w:val="center"/>
          </w:tcPr>
          <w:p w14:paraId="675F9956" w14:textId="32F48109" w:rsidR="00975052" w:rsidRPr="00975052" w:rsidRDefault="00975052" w:rsidP="003B1577">
            <w:pPr>
              <w:keepNext/>
              <w:spacing w:after="0"/>
              <w:jc w:val="left"/>
              <w:rPr>
                <w:rFonts w:ascii="EC Square Sans Cond Pro" w:hAnsi="EC Square Sans Cond Pro" w:cs="Avenir Next LT Pro"/>
                <w:b/>
                <w:noProof/>
                <w:sz w:val="18"/>
                <w:szCs w:val="18"/>
                <w:lang w:val="en-IE"/>
              </w:rPr>
            </w:pPr>
            <w:r w:rsidRPr="00975052">
              <w:rPr>
                <w:rFonts w:ascii="EC Square Sans Cond Pro" w:hAnsi="EC Square Sans Cond Pro" w:cs="Avenir Next LT Pro"/>
                <w:b/>
                <w:noProof/>
                <w:sz w:val="18"/>
                <w:szCs w:val="18"/>
                <w:lang w:val="en-IE"/>
              </w:rPr>
              <w:t>Waste treatment*</w:t>
            </w:r>
            <w:r w:rsidR="00C22B4D">
              <w:rPr>
                <w:rFonts w:ascii="EC Square Sans Cond Pro" w:hAnsi="EC Square Sans Cond Pro" w:cs="Avenir Next LT Pro"/>
                <w:b/>
                <w:noProof/>
                <w:sz w:val="18"/>
                <w:szCs w:val="18"/>
                <w:lang w:val="en-IE"/>
              </w:rPr>
              <w:t>*</w:t>
            </w:r>
          </w:p>
        </w:tc>
        <w:tc>
          <w:tcPr>
            <w:tcW w:w="850" w:type="dxa"/>
            <w:vAlign w:val="center"/>
          </w:tcPr>
          <w:p w14:paraId="598A77B2"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1" w:type="dxa"/>
            <w:noWrap/>
            <w:vAlign w:val="center"/>
          </w:tcPr>
          <w:p w14:paraId="301EC061"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0" w:type="dxa"/>
            <w:vAlign w:val="center"/>
          </w:tcPr>
          <w:p w14:paraId="26C7257A"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1" w:type="dxa"/>
            <w:vAlign w:val="center"/>
          </w:tcPr>
          <w:p w14:paraId="40F583CD"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0" w:type="dxa"/>
            <w:vAlign w:val="center"/>
          </w:tcPr>
          <w:p w14:paraId="25CE1815"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1" w:type="dxa"/>
            <w:gridSpan w:val="2"/>
            <w:vAlign w:val="center"/>
          </w:tcPr>
          <w:p w14:paraId="6E7E917A"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0" w:type="dxa"/>
            <w:vAlign w:val="center"/>
          </w:tcPr>
          <w:p w14:paraId="089FE9D6"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1" w:type="dxa"/>
            <w:vAlign w:val="center"/>
          </w:tcPr>
          <w:p w14:paraId="79DA7B99"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r>
      <w:tr w:rsidR="00975052" w:rsidRPr="00975052" w14:paraId="4D56C068" w14:textId="77777777" w:rsidTr="000D2F9B">
        <w:trPr>
          <w:trHeight w:val="311"/>
        </w:trPr>
        <w:tc>
          <w:tcPr>
            <w:tcW w:w="1951" w:type="dxa"/>
            <w:gridSpan w:val="2"/>
            <w:noWrap/>
            <w:vAlign w:val="center"/>
          </w:tcPr>
          <w:p w14:paraId="0A5541A1" w14:textId="77777777" w:rsidR="00975052" w:rsidRPr="00975052" w:rsidRDefault="00975052" w:rsidP="003B1577">
            <w:pPr>
              <w:keepNext/>
              <w:spacing w:after="0"/>
              <w:jc w:val="left"/>
              <w:rPr>
                <w:rFonts w:ascii="EC Square Sans Cond Pro" w:hAnsi="EC Square Sans Cond Pro" w:cs="Avenir Next LT Pro"/>
                <w:noProof/>
                <w:sz w:val="18"/>
                <w:szCs w:val="18"/>
                <w:lang w:val="en-IE"/>
              </w:rPr>
            </w:pPr>
            <w:r w:rsidRPr="00975052">
              <w:rPr>
                <w:rFonts w:ascii="EC Square Sans Cond Pro" w:hAnsi="EC Square Sans Cond Pro" w:cs="Avenir Next LT Pro"/>
                <w:noProof/>
                <w:sz w:val="18"/>
                <w:szCs w:val="18"/>
                <w:lang w:val="en-IE"/>
              </w:rPr>
              <w:t>CH4</w:t>
            </w:r>
          </w:p>
        </w:tc>
        <w:tc>
          <w:tcPr>
            <w:tcW w:w="850" w:type="dxa"/>
            <w:vAlign w:val="center"/>
          </w:tcPr>
          <w:p w14:paraId="03C37D7B" w14:textId="2FCD19F4" w:rsidR="00975052" w:rsidRPr="00975052" w:rsidRDefault="000F599E"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145</w:t>
            </w:r>
          </w:p>
        </w:tc>
        <w:tc>
          <w:tcPr>
            <w:tcW w:w="851" w:type="dxa"/>
            <w:noWrap/>
            <w:vAlign w:val="center"/>
          </w:tcPr>
          <w:p w14:paraId="7DB18FCD" w14:textId="679519AC" w:rsidR="00975052" w:rsidRPr="00975052" w:rsidRDefault="000F599E" w:rsidP="003B1577">
            <w:pPr>
              <w:keepNext/>
              <w:spacing w:after="0"/>
              <w:jc w:val="center"/>
              <w:rPr>
                <w:rFonts w:ascii="EC Square Sans Cond Pro" w:hAnsi="EC Square Sans Cond Pro" w:cs="Avenir Next LT Pro"/>
                <w:noProof/>
                <w:sz w:val="18"/>
                <w:szCs w:val="18"/>
                <w:lang w:val="en-IE"/>
              </w:rPr>
            </w:pPr>
            <w:r w:rsidRPr="00523283">
              <w:rPr>
                <w:rFonts w:ascii="EC Square Sans Cond Pro" w:hAnsi="EC Square Sans Cond Pro" w:cs="Calibri"/>
                <w:noProof/>
                <w:sz w:val="18"/>
                <w:szCs w:val="18"/>
              </w:rPr>
              <w:t>109</w:t>
            </w:r>
          </w:p>
        </w:tc>
        <w:tc>
          <w:tcPr>
            <w:tcW w:w="850" w:type="dxa"/>
            <w:vAlign w:val="center"/>
          </w:tcPr>
          <w:p w14:paraId="1FE6AD8D" w14:textId="43023BD7" w:rsidR="00975052" w:rsidRPr="00975052" w:rsidRDefault="000F599E"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78</w:t>
            </w:r>
          </w:p>
        </w:tc>
        <w:tc>
          <w:tcPr>
            <w:tcW w:w="851" w:type="dxa"/>
            <w:vAlign w:val="center"/>
          </w:tcPr>
          <w:p w14:paraId="6F9CBA49" w14:textId="7379892B" w:rsidR="00975052" w:rsidRPr="00975052" w:rsidRDefault="000F599E"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59</w:t>
            </w:r>
          </w:p>
        </w:tc>
        <w:tc>
          <w:tcPr>
            <w:tcW w:w="850" w:type="dxa"/>
            <w:vAlign w:val="center"/>
          </w:tcPr>
          <w:p w14:paraId="6AA367F8" w14:textId="6DB6E3DD" w:rsidR="00975052" w:rsidRPr="00975052" w:rsidRDefault="000F599E"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47</w:t>
            </w:r>
          </w:p>
        </w:tc>
        <w:tc>
          <w:tcPr>
            <w:tcW w:w="851" w:type="dxa"/>
            <w:gridSpan w:val="2"/>
            <w:vAlign w:val="center"/>
          </w:tcPr>
          <w:p w14:paraId="19D89333" w14:textId="5A868DF4" w:rsidR="00975052" w:rsidRPr="00975052" w:rsidRDefault="00975052"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w:t>
            </w:r>
            <w:r w:rsidR="000F599E" w:rsidRPr="00523283">
              <w:rPr>
                <w:rFonts w:ascii="EC Square Sans Cond Pro" w:hAnsi="EC Square Sans Cond Pro" w:cs="Calibri"/>
                <w:noProof/>
                <w:sz w:val="18"/>
                <w:szCs w:val="18"/>
              </w:rPr>
              <w:t>29</w:t>
            </w:r>
            <w:r w:rsidRPr="00523283">
              <w:rPr>
                <w:rFonts w:ascii="EC Square Sans Cond Pro" w:hAnsi="EC Square Sans Cond Pro" w:cs="Calibri"/>
                <w:noProof/>
                <w:sz w:val="18"/>
                <w:szCs w:val="18"/>
              </w:rPr>
              <w:t>%</w:t>
            </w:r>
          </w:p>
        </w:tc>
        <w:tc>
          <w:tcPr>
            <w:tcW w:w="850" w:type="dxa"/>
            <w:vAlign w:val="center"/>
          </w:tcPr>
          <w:p w14:paraId="2493D9E8" w14:textId="6DDD1F3E" w:rsidR="00975052" w:rsidRPr="00975052" w:rsidRDefault="00975052" w:rsidP="003B1577">
            <w:pPr>
              <w:keepNext/>
              <w:spacing w:after="0"/>
              <w:jc w:val="center"/>
              <w:rPr>
                <w:rFonts w:ascii="EC Square Sans Cond Pro" w:hAnsi="EC Square Sans Cond Pro" w:cs="Avenir Next LT Pro"/>
                <w:noProof/>
                <w:sz w:val="18"/>
                <w:szCs w:val="18"/>
              </w:rPr>
            </w:pPr>
            <w:r w:rsidRPr="00523283">
              <w:rPr>
                <w:rFonts w:ascii="EC Square Sans Cond Pro" w:hAnsi="EC Square Sans Cond Pro" w:cs="Calibri"/>
                <w:noProof/>
                <w:sz w:val="18"/>
                <w:szCs w:val="18"/>
              </w:rPr>
              <w:t>-</w:t>
            </w:r>
            <w:r w:rsidR="000F599E" w:rsidRPr="00523283">
              <w:rPr>
                <w:rFonts w:ascii="EC Square Sans Cond Pro" w:hAnsi="EC Square Sans Cond Pro" w:cs="Calibri"/>
                <w:noProof/>
                <w:sz w:val="18"/>
                <w:szCs w:val="18"/>
              </w:rPr>
              <w:t>46</w:t>
            </w:r>
            <w:r w:rsidRPr="00523283">
              <w:rPr>
                <w:rFonts w:ascii="EC Square Sans Cond Pro" w:hAnsi="EC Square Sans Cond Pro" w:cs="Calibri"/>
                <w:noProof/>
                <w:sz w:val="18"/>
                <w:szCs w:val="18"/>
              </w:rPr>
              <w:t>%</w:t>
            </w:r>
          </w:p>
        </w:tc>
        <w:tc>
          <w:tcPr>
            <w:tcW w:w="851" w:type="dxa"/>
            <w:vAlign w:val="center"/>
          </w:tcPr>
          <w:p w14:paraId="571B4C9B" w14:textId="621D4894" w:rsidR="00975052" w:rsidRPr="00975052" w:rsidRDefault="00975052"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w:t>
            </w:r>
            <w:r w:rsidR="000F599E" w:rsidRPr="00523283">
              <w:rPr>
                <w:rFonts w:ascii="EC Square Sans Cond Pro" w:hAnsi="EC Square Sans Cond Pro" w:cs="Calibri"/>
                <w:noProof/>
                <w:sz w:val="18"/>
                <w:szCs w:val="18"/>
              </w:rPr>
              <w:t>57</w:t>
            </w:r>
            <w:r w:rsidRPr="00523283">
              <w:rPr>
                <w:rFonts w:ascii="EC Square Sans Cond Pro" w:hAnsi="EC Square Sans Cond Pro" w:cs="Calibri"/>
                <w:noProof/>
                <w:sz w:val="18"/>
                <w:szCs w:val="18"/>
              </w:rPr>
              <w:t>%</w:t>
            </w:r>
          </w:p>
        </w:tc>
      </w:tr>
      <w:tr w:rsidR="00975052" w:rsidRPr="00975052" w14:paraId="601CE61F" w14:textId="77777777" w:rsidTr="000D2F9B">
        <w:trPr>
          <w:trHeight w:val="311"/>
        </w:trPr>
        <w:tc>
          <w:tcPr>
            <w:tcW w:w="1951" w:type="dxa"/>
            <w:gridSpan w:val="2"/>
            <w:noWrap/>
            <w:vAlign w:val="center"/>
          </w:tcPr>
          <w:p w14:paraId="1420376A" w14:textId="77777777" w:rsidR="00975052" w:rsidRPr="00975052" w:rsidRDefault="00975052" w:rsidP="003B1577">
            <w:pPr>
              <w:keepNext/>
              <w:spacing w:after="0"/>
              <w:jc w:val="left"/>
              <w:rPr>
                <w:rFonts w:ascii="EC Square Sans Cond Pro" w:hAnsi="EC Square Sans Cond Pro" w:cs="Avenir Next LT Pro"/>
                <w:noProof/>
                <w:sz w:val="18"/>
                <w:szCs w:val="18"/>
                <w:lang w:val="en-IE"/>
              </w:rPr>
            </w:pPr>
            <w:r w:rsidRPr="00975052">
              <w:rPr>
                <w:rFonts w:ascii="EC Square Sans Cond Pro" w:hAnsi="EC Square Sans Cond Pro" w:cs="Avenir Next LT Pro"/>
                <w:noProof/>
                <w:sz w:val="18"/>
                <w:szCs w:val="18"/>
                <w:lang w:val="en-IE"/>
              </w:rPr>
              <w:t>N2O</w:t>
            </w:r>
          </w:p>
        </w:tc>
        <w:tc>
          <w:tcPr>
            <w:tcW w:w="850" w:type="dxa"/>
            <w:vAlign w:val="center"/>
          </w:tcPr>
          <w:p w14:paraId="32FAAAFC" w14:textId="0AD06AAE" w:rsidR="00975052" w:rsidRPr="00975052" w:rsidRDefault="00523283"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10</w:t>
            </w:r>
          </w:p>
        </w:tc>
        <w:tc>
          <w:tcPr>
            <w:tcW w:w="851" w:type="dxa"/>
            <w:noWrap/>
            <w:vAlign w:val="center"/>
          </w:tcPr>
          <w:p w14:paraId="557E5857" w14:textId="7814CA6E" w:rsidR="00975052" w:rsidRPr="00975052" w:rsidRDefault="00523283" w:rsidP="003B1577">
            <w:pPr>
              <w:keepNext/>
              <w:spacing w:after="0"/>
              <w:jc w:val="center"/>
              <w:rPr>
                <w:rFonts w:ascii="EC Square Sans Cond Pro" w:hAnsi="EC Square Sans Cond Pro" w:cs="Avenir Next LT Pro"/>
                <w:noProof/>
                <w:sz w:val="18"/>
                <w:szCs w:val="18"/>
                <w:lang w:val="en-IE"/>
              </w:rPr>
            </w:pPr>
            <w:r w:rsidRPr="00523283">
              <w:rPr>
                <w:rFonts w:ascii="EC Square Sans Cond Pro" w:hAnsi="EC Square Sans Cond Pro" w:cs="Calibri"/>
                <w:noProof/>
                <w:sz w:val="18"/>
                <w:szCs w:val="18"/>
              </w:rPr>
              <w:t>9.2</w:t>
            </w:r>
          </w:p>
        </w:tc>
        <w:tc>
          <w:tcPr>
            <w:tcW w:w="850" w:type="dxa"/>
            <w:vAlign w:val="center"/>
          </w:tcPr>
          <w:p w14:paraId="6B0FF6CA" w14:textId="2A5E3D2F" w:rsidR="00975052" w:rsidRPr="00975052" w:rsidRDefault="00523283"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9.2</w:t>
            </w:r>
          </w:p>
        </w:tc>
        <w:tc>
          <w:tcPr>
            <w:tcW w:w="851" w:type="dxa"/>
            <w:vAlign w:val="center"/>
          </w:tcPr>
          <w:p w14:paraId="5E7BA6E1" w14:textId="3E1AC942" w:rsidR="00975052" w:rsidRPr="00975052" w:rsidRDefault="00523283"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9.1</w:t>
            </w:r>
          </w:p>
        </w:tc>
        <w:tc>
          <w:tcPr>
            <w:tcW w:w="850" w:type="dxa"/>
            <w:vAlign w:val="center"/>
          </w:tcPr>
          <w:p w14:paraId="48BDFD8C" w14:textId="54764BC0" w:rsidR="00975052" w:rsidRPr="00975052" w:rsidRDefault="00523283"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9.1</w:t>
            </w:r>
          </w:p>
        </w:tc>
        <w:tc>
          <w:tcPr>
            <w:tcW w:w="851" w:type="dxa"/>
            <w:gridSpan w:val="2"/>
            <w:vAlign w:val="center"/>
          </w:tcPr>
          <w:p w14:paraId="3BB4CEB5" w14:textId="0E2EF513" w:rsidR="00975052" w:rsidRPr="00975052" w:rsidRDefault="00523283"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0</w:t>
            </w:r>
            <w:r w:rsidR="00975052" w:rsidRPr="00523283">
              <w:rPr>
                <w:rFonts w:ascii="EC Square Sans Cond Pro" w:hAnsi="EC Square Sans Cond Pro" w:cs="Calibri"/>
                <w:noProof/>
                <w:sz w:val="18"/>
                <w:szCs w:val="18"/>
              </w:rPr>
              <w:t>%</w:t>
            </w:r>
          </w:p>
        </w:tc>
        <w:tc>
          <w:tcPr>
            <w:tcW w:w="850" w:type="dxa"/>
            <w:vAlign w:val="center"/>
          </w:tcPr>
          <w:p w14:paraId="226AD058" w14:textId="55EFA36E" w:rsidR="00975052" w:rsidRPr="00975052" w:rsidRDefault="00523283" w:rsidP="003B1577">
            <w:pPr>
              <w:keepNext/>
              <w:spacing w:after="0"/>
              <w:jc w:val="center"/>
              <w:rPr>
                <w:rFonts w:ascii="EC Square Sans Cond Pro" w:hAnsi="EC Square Sans Cond Pro" w:cs="Avenir Next LT Pro"/>
                <w:noProof/>
                <w:sz w:val="18"/>
                <w:szCs w:val="18"/>
              </w:rPr>
            </w:pPr>
            <w:r w:rsidRPr="00523283">
              <w:rPr>
                <w:rFonts w:ascii="EC Square Sans Cond Pro" w:hAnsi="EC Square Sans Cond Pro" w:cs="Calibri"/>
                <w:noProof/>
                <w:sz w:val="18"/>
                <w:szCs w:val="18"/>
              </w:rPr>
              <w:t>-1</w:t>
            </w:r>
            <w:r w:rsidR="00975052" w:rsidRPr="00523283">
              <w:rPr>
                <w:rFonts w:ascii="EC Square Sans Cond Pro" w:hAnsi="EC Square Sans Cond Pro" w:cs="Calibri"/>
                <w:noProof/>
                <w:sz w:val="18"/>
                <w:szCs w:val="18"/>
              </w:rPr>
              <w:t>%</w:t>
            </w:r>
          </w:p>
        </w:tc>
        <w:tc>
          <w:tcPr>
            <w:tcW w:w="851" w:type="dxa"/>
            <w:vAlign w:val="center"/>
          </w:tcPr>
          <w:p w14:paraId="76C78A98" w14:textId="503D2E29" w:rsidR="00975052" w:rsidRPr="00975052" w:rsidRDefault="00523283"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-1</w:t>
            </w:r>
            <w:r w:rsidR="00975052" w:rsidRPr="00523283">
              <w:rPr>
                <w:rFonts w:ascii="EC Square Sans Cond Pro" w:hAnsi="EC Square Sans Cond Pro" w:cs="Calibri"/>
                <w:noProof/>
                <w:sz w:val="18"/>
                <w:szCs w:val="18"/>
              </w:rPr>
              <w:t>%</w:t>
            </w:r>
          </w:p>
        </w:tc>
      </w:tr>
      <w:tr w:rsidR="00975052" w:rsidRPr="00975052" w14:paraId="44DAA046" w14:textId="77777777" w:rsidTr="000D2F9B">
        <w:trPr>
          <w:trHeight w:val="311"/>
        </w:trPr>
        <w:tc>
          <w:tcPr>
            <w:tcW w:w="1951" w:type="dxa"/>
            <w:gridSpan w:val="2"/>
            <w:noWrap/>
            <w:vAlign w:val="center"/>
          </w:tcPr>
          <w:p w14:paraId="4FB52BAC" w14:textId="77777777" w:rsidR="00975052" w:rsidRPr="00975052" w:rsidRDefault="00975052" w:rsidP="003B1577">
            <w:pPr>
              <w:keepNext/>
              <w:spacing w:after="0"/>
              <w:jc w:val="left"/>
              <w:rPr>
                <w:rFonts w:ascii="EC Square Sans Cond Pro" w:hAnsi="EC Square Sans Cond Pro" w:cs="Avenir Next LT Pro"/>
                <w:b/>
                <w:noProof/>
                <w:sz w:val="18"/>
                <w:szCs w:val="18"/>
                <w:lang w:val="en-IE"/>
              </w:rPr>
            </w:pPr>
            <w:r w:rsidRPr="00975052">
              <w:rPr>
                <w:rFonts w:ascii="EC Square Sans Cond Pro" w:hAnsi="EC Square Sans Cond Pro" w:cs="Avenir Next LT Pro"/>
                <w:noProof/>
                <w:sz w:val="18"/>
                <w:szCs w:val="18"/>
                <w:lang w:val="en-IE"/>
              </w:rPr>
              <w:t>Total (all gases)</w:t>
            </w:r>
          </w:p>
        </w:tc>
        <w:tc>
          <w:tcPr>
            <w:tcW w:w="850" w:type="dxa"/>
            <w:vAlign w:val="center"/>
          </w:tcPr>
          <w:p w14:paraId="74593B59" w14:textId="437CB708" w:rsidR="00975052" w:rsidRPr="00975052" w:rsidRDefault="000F599E"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155</w:t>
            </w:r>
          </w:p>
        </w:tc>
        <w:tc>
          <w:tcPr>
            <w:tcW w:w="851" w:type="dxa"/>
            <w:noWrap/>
            <w:vAlign w:val="center"/>
          </w:tcPr>
          <w:p w14:paraId="1E46CBAE" w14:textId="1FEFA698" w:rsidR="00975052" w:rsidRPr="00975052" w:rsidRDefault="000F599E" w:rsidP="003B1577">
            <w:pPr>
              <w:keepNext/>
              <w:spacing w:after="0"/>
              <w:jc w:val="center"/>
              <w:rPr>
                <w:rFonts w:ascii="EC Square Sans Cond Pro" w:hAnsi="EC Square Sans Cond Pro" w:cs="Avenir Next LT Pro"/>
                <w:noProof/>
                <w:sz w:val="18"/>
                <w:szCs w:val="18"/>
                <w:lang w:val="en-IE"/>
              </w:rPr>
            </w:pPr>
            <w:r w:rsidRPr="00523283">
              <w:rPr>
                <w:rFonts w:ascii="EC Square Sans Cond Pro" w:hAnsi="EC Square Sans Cond Pro" w:cs="Calibri"/>
                <w:noProof/>
                <w:sz w:val="18"/>
                <w:szCs w:val="18"/>
              </w:rPr>
              <w:t>118</w:t>
            </w:r>
          </w:p>
        </w:tc>
        <w:tc>
          <w:tcPr>
            <w:tcW w:w="850" w:type="dxa"/>
            <w:vAlign w:val="center"/>
          </w:tcPr>
          <w:p w14:paraId="1D009FEA" w14:textId="16C41BFE" w:rsidR="00975052" w:rsidRPr="00975052" w:rsidRDefault="000F599E"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87</w:t>
            </w:r>
          </w:p>
        </w:tc>
        <w:tc>
          <w:tcPr>
            <w:tcW w:w="851" w:type="dxa"/>
            <w:vAlign w:val="center"/>
          </w:tcPr>
          <w:p w14:paraId="3C039559" w14:textId="54B9474C" w:rsidR="00975052" w:rsidRPr="00975052" w:rsidRDefault="000F599E"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68</w:t>
            </w:r>
          </w:p>
        </w:tc>
        <w:tc>
          <w:tcPr>
            <w:tcW w:w="850" w:type="dxa"/>
            <w:vAlign w:val="center"/>
          </w:tcPr>
          <w:p w14:paraId="708539CA" w14:textId="5587624F" w:rsidR="00975052" w:rsidRPr="00975052" w:rsidRDefault="000F599E"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56</w:t>
            </w:r>
          </w:p>
        </w:tc>
        <w:tc>
          <w:tcPr>
            <w:tcW w:w="851" w:type="dxa"/>
            <w:gridSpan w:val="2"/>
            <w:vAlign w:val="center"/>
          </w:tcPr>
          <w:p w14:paraId="4206FF02" w14:textId="56639BDB" w:rsidR="00975052" w:rsidRPr="00975052" w:rsidRDefault="00975052"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w:t>
            </w:r>
            <w:r w:rsidR="000F599E" w:rsidRPr="00523283">
              <w:rPr>
                <w:rFonts w:ascii="EC Square Sans Cond Pro" w:hAnsi="EC Square Sans Cond Pro" w:cs="Calibri"/>
                <w:noProof/>
                <w:sz w:val="18"/>
                <w:szCs w:val="18"/>
              </w:rPr>
              <w:t>27</w:t>
            </w:r>
            <w:r w:rsidRPr="00523283">
              <w:rPr>
                <w:rFonts w:ascii="EC Square Sans Cond Pro" w:hAnsi="EC Square Sans Cond Pro" w:cs="Calibri"/>
                <w:noProof/>
                <w:sz w:val="18"/>
                <w:szCs w:val="18"/>
              </w:rPr>
              <w:t>%</w:t>
            </w:r>
          </w:p>
        </w:tc>
        <w:tc>
          <w:tcPr>
            <w:tcW w:w="850" w:type="dxa"/>
            <w:vAlign w:val="center"/>
          </w:tcPr>
          <w:p w14:paraId="2171B6B0" w14:textId="44FDE99F" w:rsidR="00975052" w:rsidRPr="00975052" w:rsidRDefault="00975052" w:rsidP="003B1577">
            <w:pPr>
              <w:keepNext/>
              <w:spacing w:after="0"/>
              <w:jc w:val="center"/>
              <w:rPr>
                <w:rFonts w:ascii="EC Square Sans Cond Pro" w:hAnsi="EC Square Sans Cond Pro" w:cs="Avenir Next LT Pro"/>
                <w:noProof/>
                <w:sz w:val="18"/>
                <w:szCs w:val="18"/>
              </w:rPr>
            </w:pPr>
            <w:r w:rsidRPr="00523283">
              <w:rPr>
                <w:rFonts w:ascii="EC Square Sans Cond Pro" w:hAnsi="EC Square Sans Cond Pro" w:cs="Calibri"/>
                <w:noProof/>
                <w:sz w:val="18"/>
                <w:szCs w:val="18"/>
              </w:rPr>
              <w:t>-</w:t>
            </w:r>
            <w:r w:rsidR="000F599E" w:rsidRPr="00523283">
              <w:rPr>
                <w:rFonts w:ascii="EC Square Sans Cond Pro" w:hAnsi="EC Square Sans Cond Pro" w:cs="Calibri"/>
                <w:noProof/>
                <w:sz w:val="18"/>
                <w:szCs w:val="18"/>
              </w:rPr>
              <w:t>42</w:t>
            </w:r>
            <w:r w:rsidRPr="00523283">
              <w:rPr>
                <w:rFonts w:ascii="EC Square Sans Cond Pro" w:hAnsi="EC Square Sans Cond Pro" w:cs="Calibri"/>
                <w:noProof/>
                <w:sz w:val="18"/>
                <w:szCs w:val="18"/>
              </w:rPr>
              <w:t>%</w:t>
            </w:r>
          </w:p>
        </w:tc>
        <w:tc>
          <w:tcPr>
            <w:tcW w:w="851" w:type="dxa"/>
            <w:vAlign w:val="center"/>
          </w:tcPr>
          <w:p w14:paraId="227A31F1" w14:textId="62E15475" w:rsidR="00975052" w:rsidRPr="00975052" w:rsidRDefault="00975052"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w:t>
            </w:r>
            <w:r w:rsidR="000F599E" w:rsidRPr="00523283">
              <w:rPr>
                <w:rFonts w:ascii="EC Square Sans Cond Pro" w:hAnsi="EC Square Sans Cond Pro" w:cs="Calibri"/>
                <w:noProof/>
                <w:sz w:val="18"/>
                <w:szCs w:val="18"/>
              </w:rPr>
              <w:t>53</w:t>
            </w:r>
            <w:r w:rsidRPr="00523283">
              <w:rPr>
                <w:rFonts w:ascii="EC Square Sans Cond Pro" w:hAnsi="EC Square Sans Cond Pro" w:cs="Calibri"/>
                <w:noProof/>
                <w:sz w:val="18"/>
                <w:szCs w:val="18"/>
              </w:rPr>
              <w:t>%</w:t>
            </w:r>
          </w:p>
        </w:tc>
      </w:tr>
      <w:tr w:rsidR="00975052" w:rsidRPr="00975052" w14:paraId="5A82492B" w14:textId="77777777" w:rsidTr="000D2F9B">
        <w:trPr>
          <w:trHeight w:val="311"/>
        </w:trPr>
        <w:tc>
          <w:tcPr>
            <w:tcW w:w="1951" w:type="dxa"/>
            <w:gridSpan w:val="2"/>
            <w:noWrap/>
            <w:vAlign w:val="center"/>
          </w:tcPr>
          <w:p w14:paraId="12438057" w14:textId="77777777" w:rsidR="00975052" w:rsidRPr="00975052" w:rsidRDefault="00975052" w:rsidP="003B1577">
            <w:pPr>
              <w:keepNext/>
              <w:spacing w:after="0"/>
              <w:jc w:val="left"/>
              <w:rPr>
                <w:rFonts w:ascii="EC Square Sans Cond Pro" w:hAnsi="EC Square Sans Cond Pro" w:cs="Avenir Next LT Pro"/>
                <w:b/>
                <w:noProof/>
                <w:sz w:val="18"/>
                <w:szCs w:val="18"/>
                <w:lang w:val="en-IE"/>
              </w:rPr>
            </w:pPr>
            <w:r w:rsidRPr="00975052">
              <w:rPr>
                <w:rFonts w:ascii="EC Square Sans Cond Pro" w:hAnsi="EC Square Sans Cond Pro" w:cs="Avenir Next LT Pro"/>
                <w:b/>
                <w:noProof/>
                <w:sz w:val="18"/>
                <w:szCs w:val="18"/>
                <w:lang w:val="en-IE"/>
              </w:rPr>
              <w:t>Energy and transport</w:t>
            </w:r>
          </w:p>
        </w:tc>
        <w:tc>
          <w:tcPr>
            <w:tcW w:w="850" w:type="dxa"/>
            <w:vAlign w:val="center"/>
          </w:tcPr>
          <w:p w14:paraId="429F3417"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1" w:type="dxa"/>
            <w:noWrap/>
            <w:vAlign w:val="center"/>
          </w:tcPr>
          <w:p w14:paraId="709E2FD1"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0" w:type="dxa"/>
            <w:vAlign w:val="center"/>
          </w:tcPr>
          <w:p w14:paraId="7F9D607B"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1" w:type="dxa"/>
            <w:vAlign w:val="center"/>
          </w:tcPr>
          <w:p w14:paraId="538B3CC1"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0" w:type="dxa"/>
            <w:vAlign w:val="center"/>
          </w:tcPr>
          <w:p w14:paraId="1FA68B83"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1" w:type="dxa"/>
            <w:gridSpan w:val="2"/>
            <w:vAlign w:val="center"/>
          </w:tcPr>
          <w:p w14:paraId="5342DA6F"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0" w:type="dxa"/>
            <w:vAlign w:val="center"/>
          </w:tcPr>
          <w:p w14:paraId="46C2B6DB"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1" w:type="dxa"/>
            <w:vAlign w:val="center"/>
          </w:tcPr>
          <w:p w14:paraId="36EDC3EE"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r>
      <w:tr w:rsidR="00975052" w:rsidRPr="00975052" w14:paraId="6AF2B0EE" w14:textId="77777777" w:rsidTr="000D2F9B">
        <w:trPr>
          <w:trHeight w:val="311"/>
        </w:trPr>
        <w:tc>
          <w:tcPr>
            <w:tcW w:w="1951" w:type="dxa"/>
            <w:gridSpan w:val="2"/>
            <w:noWrap/>
            <w:vAlign w:val="center"/>
          </w:tcPr>
          <w:p w14:paraId="533DC9F1" w14:textId="77777777" w:rsidR="00975052" w:rsidRPr="00975052" w:rsidRDefault="00975052" w:rsidP="003B1577">
            <w:pPr>
              <w:keepNext/>
              <w:spacing w:after="0"/>
              <w:jc w:val="left"/>
              <w:rPr>
                <w:rFonts w:ascii="EC Square Sans Cond Pro" w:hAnsi="EC Square Sans Cond Pro" w:cs="Avenir Next LT Pro"/>
                <w:noProof/>
                <w:sz w:val="18"/>
                <w:szCs w:val="18"/>
                <w:lang w:val="en-IE"/>
              </w:rPr>
            </w:pPr>
            <w:r w:rsidRPr="00975052">
              <w:rPr>
                <w:rFonts w:ascii="EC Square Sans Cond Pro" w:hAnsi="EC Square Sans Cond Pro" w:cs="Avenir Next LT Pro"/>
                <w:noProof/>
                <w:sz w:val="18"/>
                <w:szCs w:val="18"/>
                <w:lang w:val="en-IE"/>
              </w:rPr>
              <w:t>CH4</w:t>
            </w:r>
          </w:p>
        </w:tc>
        <w:tc>
          <w:tcPr>
            <w:tcW w:w="850" w:type="dxa"/>
            <w:vAlign w:val="center"/>
          </w:tcPr>
          <w:p w14:paraId="0478FBCB" w14:textId="2416F331" w:rsidR="00975052" w:rsidRPr="00975052" w:rsidRDefault="000F599E"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110</w:t>
            </w:r>
          </w:p>
        </w:tc>
        <w:tc>
          <w:tcPr>
            <w:tcW w:w="851" w:type="dxa"/>
            <w:noWrap/>
            <w:vAlign w:val="center"/>
          </w:tcPr>
          <w:p w14:paraId="30605B09" w14:textId="017E27AC" w:rsidR="00975052" w:rsidRPr="00FA0505" w:rsidRDefault="000F599E" w:rsidP="003B1577">
            <w:pPr>
              <w:keepNext/>
              <w:spacing w:after="0"/>
              <w:jc w:val="center"/>
              <w:rPr>
                <w:rFonts w:ascii="EC Square Sans Cond Pro" w:hAnsi="EC Square Sans Cond Pro" w:cs="Avenir Next LT Pro"/>
                <w:noProof/>
                <w:sz w:val="18"/>
                <w:szCs w:val="18"/>
                <w:lang w:val="en-IE"/>
              </w:rPr>
            </w:pPr>
            <w:r w:rsidRPr="00FA0505">
              <w:rPr>
                <w:rFonts w:ascii="EC Square Sans Cond Pro" w:hAnsi="EC Square Sans Cond Pro" w:cs="Calibri"/>
                <w:noProof/>
                <w:sz w:val="18"/>
                <w:szCs w:val="18"/>
              </w:rPr>
              <w:t>86</w:t>
            </w:r>
          </w:p>
        </w:tc>
        <w:tc>
          <w:tcPr>
            <w:tcW w:w="850" w:type="dxa"/>
            <w:vAlign w:val="center"/>
          </w:tcPr>
          <w:p w14:paraId="7B913C43" w14:textId="4328FC99" w:rsidR="00975052" w:rsidRPr="00FA0505" w:rsidRDefault="00E25476" w:rsidP="003B1577">
            <w:pPr>
              <w:keepNext/>
              <w:spacing w:after="0"/>
              <w:jc w:val="center"/>
              <w:rPr>
                <w:rFonts w:ascii="EC Square Sans Cond Pro" w:hAnsi="EC Square Sans Cond Pro" w:cs="Cambria Math"/>
                <w:noProof/>
                <w:sz w:val="18"/>
                <w:szCs w:val="18"/>
              </w:rPr>
            </w:pPr>
            <w:r w:rsidRPr="00FA0505">
              <w:rPr>
                <w:rFonts w:ascii="EC Square Sans Cond Pro" w:hAnsi="EC Square Sans Cond Pro" w:cs="Calibri"/>
                <w:noProof/>
                <w:sz w:val="18"/>
                <w:szCs w:val="18"/>
              </w:rPr>
              <w:t>38</w:t>
            </w:r>
          </w:p>
        </w:tc>
        <w:tc>
          <w:tcPr>
            <w:tcW w:w="851" w:type="dxa"/>
            <w:vAlign w:val="center"/>
          </w:tcPr>
          <w:p w14:paraId="0DC1C7EF" w14:textId="32030583" w:rsidR="00975052" w:rsidRPr="00FA0505" w:rsidRDefault="000F599E" w:rsidP="003B1577">
            <w:pPr>
              <w:keepNext/>
              <w:spacing w:after="0"/>
              <w:jc w:val="center"/>
              <w:rPr>
                <w:rFonts w:ascii="EC Square Sans Cond Pro" w:hAnsi="EC Square Sans Cond Pro" w:cs="Cambria Math"/>
                <w:noProof/>
                <w:sz w:val="18"/>
                <w:szCs w:val="18"/>
              </w:rPr>
            </w:pPr>
            <w:r w:rsidRPr="00FA0505">
              <w:rPr>
                <w:rFonts w:ascii="EC Square Sans Cond Pro" w:hAnsi="EC Square Sans Cond Pro" w:cs="Calibri"/>
                <w:noProof/>
                <w:sz w:val="18"/>
                <w:szCs w:val="18"/>
              </w:rPr>
              <w:t>2</w:t>
            </w:r>
            <w:r w:rsidR="00681A15" w:rsidRPr="00FA0505">
              <w:rPr>
                <w:rFonts w:ascii="EC Square Sans Cond Pro" w:hAnsi="EC Square Sans Cond Pro" w:cs="Calibri"/>
                <w:noProof/>
                <w:sz w:val="18"/>
                <w:szCs w:val="18"/>
              </w:rPr>
              <w:t>0</w:t>
            </w:r>
          </w:p>
        </w:tc>
        <w:tc>
          <w:tcPr>
            <w:tcW w:w="850" w:type="dxa"/>
            <w:vAlign w:val="center"/>
          </w:tcPr>
          <w:p w14:paraId="5E1FDD63" w14:textId="658E2FEF" w:rsidR="00975052" w:rsidRPr="00FA0505" w:rsidRDefault="00E25476" w:rsidP="003B1577">
            <w:pPr>
              <w:keepNext/>
              <w:spacing w:after="0"/>
              <w:jc w:val="center"/>
              <w:rPr>
                <w:rFonts w:ascii="EC Square Sans Cond Pro" w:hAnsi="EC Square Sans Cond Pro" w:cs="Cambria Math"/>
                <w:noProof/>
                <w:sz w:val="18"/>
                <w:szCs w:val="18"/>
              </w:rPr>
            </w:pPr>
            <w:r w:rsidRPr="00FA0505">
              <w:rPr>
                <w:rFonts w:ascii="EC Square Sans Cond Pro" w:hAnsi="EC Square Sans Cond Pro" w:cs="Calibri"/>
                <w:noProof/>
                <w:sz w:val="18"/>
                <w:szCs w:val="18"/>
              </w:rPr>
              <w:t>14</w:t>
            </w:r>
          </w:p>
        </w:tc>
        <w:tc>
          <w:tcPr>
            <w:tcW w:w="851" w:type="dxa"/>
            <w:gridSpan w:val="2"/>
            <w:vAlign w:val="center"/>
          </w:tcPr>
          <w:p w14:paraId="077CF656" w14:textId="3EAA6011" w:rsidR="00975052" w:rsidRPr="00FA0505" w:rsidRDefault="00975052" w:rsidP="003B1577">
            <w:pPr>
              <w:keepNext/>
              <w:spacing w:after="0"/>
              <w:jc w:val="center"/>
              <w:rPr>
                <w:rFonts w:ascii="EC Square Sans Cond Pro" w:hAnsi="EC Square Sans Cond Pro" w:cs="Cambria Math"/>
                <w:noProof/>
                <w:sz w:val="18"/>
                <w:szCs w:val="18"/>
              </w:rPr>
            </w:pPr>
            <w:r w:rsidRPr="00FA0505">
              <w:rPr>
                <w:rFonts w:ascii="EC Square Sans Cond Pro" w:hAnsi="EC Square Sans Cond Pro" w:cs="Calibri"/>
                <w:noProof/>
                <w:sz w:val="18"/>
                <w:szCs w:val="18"/>
              </w:rPr>
              <w:t>-</w:t>
            </w:r>
            <w:r w:rsidR="000F599E" w:rsidRPr="00FA0505">
              <w:rPr>
                <w:rFonts w:ascii="EC Square Sans Cond Pro" w:hAnsi="EC Square Sans Cond Pro" w:cs="Calibri"/>
                <w:noProof/>
                <w:sz w:val="18"/>
                <w:szCs w:val="18"/>
              </w:rPr>
              <w:t>5</w:t>
            </w:r>
            <w:r w:rsidR="00327367" w:rsidRPr="00FA0505">
              <w:rPr>
                <w:rFonts w:ascii="EC Square Sans Cond Pro" w:hAnsi="EC Square Sans Cond Pro" w:cs="Calibri"/>
                <w:noProof/>
                <w:sz w:val="18"/>
                <w:szCs w:val="18"/>
              </w:rPr>
              <w:t>6</w:t>
            </w:r>
            <w:r w:rsidRPr="00FA0505">
              <w:rPr>
                <w:rFonts w:ascii="EC Square Sans Cond Pro" w:hAnsi="EC Square Sans Cond Pro" w:cs="Calibri"/>
                <w:noProof/>
                <w:sz w:val="18"/>
                <w:szCs w:val="18"/>
              </w:rPr>
              <w:t>%</w:t>
            </w:r>
          </w:p>
        </w:tc>
        <w:tc>
          <w:tcPr>
            <w:tcW w:w="850" w:type="dxa"/>
            <w:vAlign w:val="center"/>
          </w:tcPr>
          <w:p w14:paraId="6002ECC6" w14:textId="178EB1FC" w:rsidR="00975052" w:rsidRPr="00FA0505" w:rsidRDefault="00975052" w:rsidP="003B1577">
            <w:pPr>
              <w:keepNext/>
              <w:spacing w:after="0"/>
              <w:jc w:val="center"/>
              <w:rPr>
                <w:rFonts w:ascii="EC Square Sans Cond Pro" w:hAnsi="EC Square Sans Cond Pro" w:cs="Avenir Next LT Pro"/>
                <w:noProof/>
                <w:sz w:val="18"/>
                <w:szCs w:val="18"/>
              </w:rPr>
            </w:pPr>
            <w:r w:rsidRPr="00FA0505">
              <w:rPr>
                <w:rFonts w:ascii="EC Square Sans Cond Pro" w:hAnsi="EC Square Sans Cond Pro" w:cs="Calibri"/>
                <w:noProof/>
                <w:sz w:val="18"/>
                <w:szCs w:val="18"/>
              </w:rPr>
              <w:t>-</w:t>
            </w:r>
            <w:r w:rsidR="000F599E" w:rsidRPr="00FA0505">
              <w:rPr>
                <w:rFonts w:ascii="EC Square Sans Cond Pro" w:hAnsi="EC Square Sans Cond Pro" w:cs="Calibri"/>
                <w:noProof/>
                <w:sz w:val="18"/>
                <w:szCs w:val="18"/>
              </w:rPr>
              <w:t>7</w:t>
            </w:r>
            <w:r w:rsidR="00327367" w:rsidRPr="00FA0505">
              <w:rPr>
                <w:rFonts w:ascii="EC Square Sans Cond Pro" w:hAnsi="EC Square Sans Cond Pro" w:cs="Calibri"/>
                <w:noProof/>
                <w:sz w:val="18"/>
                <w:szCs w:val="18"/>
              </w:rPr>
              <w:t>6</w:t>
            </w:r>
            <w:r w:rsidRPr="00FA0505">
              <w:rPr>
                <w:rFonts w:ascii="EC Square Sans Cond Pro" w:hAnsi="EC Square Sans Cond Pro" w:cs="Calibri"/>
                <w:noProof/>
                <w:sz w:val="18"/>
                <w:szCs w:val="18"/>
              </w:rPr>
              <w:t>%</w:t>
            </w:r>
          </w:p>
        </w:tc>
        <w:tc>
          <w:tcPr>
            <w:tcW w:w="851" w:type="dxa"/>
            <w:vAlign w:val="center"/>
          </w:tcPr>
          <w:p w14:paraId="6B425639" w14:textId="682293DD" w:rsidR="00975052" w:rsidRPr="00FA0505" w:rsidRDefault="00975052" w:rsidP="003B1577">
            <w:pPr>
              <w:keepNext/>
              <w:spacing w:after="0"/>
              <w:jc w:val="center"/>
              <w:rPr>
                <w:rFonts w:ascii="EC Square Sans Cond Pro" w:hAnsi="EC Square Sans Cond Pro" w:cs="Cambria Math"/>
                <w:noProof/>
                <w:sz w:val="18"/>
                <w:szCs w:val="18"/>
              </w:rPr>
            </w:pPr>
            <w:r w:rsidRPr="00FA0505">
              <w:rPr>
                <w:rFonts w:ascii="EC Square Sans Cond Pro" w:hAnsi="EC Square Sans Cond Pro" w:cs="Calibri"/>
                <w:noProof/>
                <w:sz w:val="18"/>
                <w:szCs w:val="18"/>
              </w:rPr>
              <w:t>-</w:t>
            </w:r>
            <w:r w:rsidR="00327367" w:rsidRPr="00FA0505">
              <w:rPr>
                <w:rFonts w:ascii="EC Square Sans Cond Pro" w:hAnsi="EC Square Sans Cond Pro" w:cs="Calibri"/>
                <w:noProof/>
                <w:sz w:val="18"/>
                <w:szCs w:val="18"/>
              </w:rPr>
              <w:t>83</w:t>
            </w:r>
            <w:r w:rsidRPr="00FA0505">
              <w:rPr>
                <w:rFonts w:ascii="EC Square Sans Cond Pro" w:hAnsi="EC Square Sans Cond Pro" w:cs="Calibri"/>
                <w:noProof/>
                <w:sz w:val="18"/>
                <w:szCs w:val="18"/>
              </w:rPr>
              <w:t>%</w:t>
            </w:r>
          </w:p>
        </w:tc>
      </w:tr>
      <w:tr w:rsidR="00975052" w:rsidRPr="00975052" w14:paraId="202A8073" w14:textId="77777777" w:rsidTr="000D2F9B">
        <w:trPr>
          <w:trHeight w:val="311"/>
        </w:trPr>
        <w:tc>
          <w:tcPr>
            <w:tcW w:w="1951" w:type="dxa"/>
            <w:gridSpan w:val="2"/>
            <w:noWrap/>
            <w:vAlign w:val="center"/>
          </w:tcPr>
          <w:p w14:paraId="7B7A8DC6" w14:textId="77777777" w:rsidR="00975052" w:rsidRPr="00975052" w:rsidRDefault="00975052" w:rsidP="003B1577">
            <w:pPr>
              <w:keepNext/>
              <w:spacing w:after="0"/>
              <w:jc w:val="left"/>
              <w:rPr>
                <w:rFonts w:ascii="EC Square Sans Cond Pro" w:hAnsi="EC Square Sans Cond Pro" w:cs="Avenir Next LT Pro"/>
                <w:noProof/>
                <w:sz w:val="18"/>
                <w:szCs w:val="18"/>
                <w:lang w:val="en-IE"/>
              </w:rPr>
            </w:pPr>
            <w:r w:rsidRPr="00975052">
              <w:rPr>
                <w:rFonts w:ascii="EC Square Sans Cond Pro" w:hAnsi="EC Square Sans Cond Pro" w:cs="Avenir Next LT Pro"/>
                <w:noProof/>
                <w:sz w:val="18"/>
                <w:szCs w:val="18"/>
                <w:lang w:val="en-IE"/>
              </w:rPr>
              <w:t>N2O</w:t>
            </w:r>
          </w:p>
        </w:tc>
        <w:tc>
          <w:tcPr>
            <w:tcW w:w="850" w:type="dxa"/>
            <w:vAlign w:val="center"/>
          </w:tcPr>
          <w:p w14:paraId="279DD3C0" w14:textId="77777777" w:rsidR="00975052" w:rsidRPr="00975052" w:rsidRDefault="00975052" w:rsidP="003B1577">
            <w:pPr>
              <w:keepNext/>
              <w:spacing w:after="0"/>
              <w:jc w:val="center"/>
              <w:rPr>
                <w:rFonts w:ascii="EC Square Sans Cond Pro" w:hAnsi="EC Square Sans Cond Pro" w:cs="Cambria Math"/>
                <w:noProof/>
                <w:sz w:val="18"/>
                <w:szCs w:val="18"/>
              </w:rPr>
            </w:pPr>
            <w:r w:rsidRPr="00975052">
              <w:rPr>
                <w:rFonts w:ascii="EC Square Sans Cond Pro" w:hAnsi="EC Square Sans Cond Pro" w:cs="Arial"/>
                <w:noProof/>
                <w:sz w:val="18"/>
                <w:szCs w:val="18"/>
              </w:rPr>
              <w:t>24</w:t>
            </w:r>
          </w:p>
        </w:tc>
        <w:tc>
          <w:tcPr>
            <w:tcW w:w="851" w:type="dxa"/>
            <w:noWrap/>
            <w:vAlign w:val="center"/>
          </w:tcPr>
          <w:p w14:paraId="6CD13919" w14:textId="77777777" w:rsidR="00975052" w:rsidRPr="00FA0505" w:rsidRDefault="00975052" w:rsidP="003B1577">
            <w:pPr>
              <w:keepNext/>
              <w:spacing w:after="0"/>
              <w:jc w:val="center"/>
              <w:rPr>
                <w:rFonts w:ascii="EC Square Sans Cond Pro" w:hAnsi="EC Square Sans Cond Pro" w:cs="Avenir Next LT Pro"/>
                <w:noProof/>
                <w:sz w:val="18"/>
                <w:szCs w:val="18"/>
                <w:lang w:val="en-IE"/>
              </w:rPr>
            </w:pPr>
            <w:r w:rsidRPr="00FA0505">
              <w:rPr>
                <w:rFonts w:ascii="EC Square Sans Cond Pro" w:hAnsi="EC Square Sans Cond Pro" w:cs="Arial"/>
                <w:noProof/>
                <w:sz w:val="18"/>
                <w:szCs w:val="18"/>
              </w:rPr>
              <w:t>23</w:t>
            </w:r>
          </w:p>
        </w:tc>
        <w:tc>
          <w:tcPr>
            <w:tcW w:w="850" w:type="dxa"/>
            <w:vAlign w:val="center"/>
          </w:tcPr>
          <w:p w14:paraId="318877CF" w14:textId="2D9B34CC" w:rsidR="00975052" w:rsidRPr="00FA0505" w:rsidRDefault="000F599E" w:rsidP="003B1577">
            <w:pPr>
              <w:keepNext/>
              <w:spacing w:after="0"/>
              <w:jc w:val="center"/>
              <w:rPr>
                <w:rFonts w:ascii="EC Square Sans Cond Pro" w:hAnsi="EC Square Sans Cond Pro" w:cs="Cambria Math"/>
                <w:noProof/>
                <w:sz w:val="18"/>
                <w:szCs w:val="18"/>
              </w:rPr>
            </w:pPr>
            <w:r w:rsidRPr="00FA0505">
              <w:rPr>
                <w:rFonts w:ascii="EC Square Sans Cond Pro" w:hAnsi="EC Square Sans Cond Pro" w:cs="Calibri"/>
                <w:noProof/>
                <w:sz w:val="18"/>
                <w:szCs w:val="18"/>
              </w:rPr>
              <w:t>18</w:t>
            </w:r>
          </w:p>
        </w:tc>
        <w:tc>
          <w:tcPr>
            <w:tcW w:w="851" w:type="dxa"/>
            <w:vAlign w:val="center"/>
          </w:tcPr>
          <w:p w14:paraId="5B690043" w14:textId="1A86810F" w:rsidR="00975052" w:rsidRPr="00FA0505" w:rsidRDefault="000F599E" w:rsidP="003B1577">
            <w:pPr>
              <w:keepNext/>
              <w:spacing w:after="0"/>
              <w:jc w:val="center"/>
              <w:rPr>
                <w:rFonts w:ascii="EC Square Sans Cond Pro" w:hAnsi="EC Square Sans Cond Pro" w:cs="Cambria Math"/>
                <w:noProof/>
                <w:sz w:val="18"/>
                <w:szCs w:val="18"/>
              </w:rPr>
            </w:pPr>
            <w:r w:rsidRPr="00FA0505">
              <w:rPr>
                <w:rFonts w:ascii="EC Square Sans Cond Pro" w:hAnsi="EC Square Sans Cond Pro" w:cs="Calibri"/>
                <w:noProof/>
                <w:sz w:val="18"/>
                <w:szCs w:val="18"/>
              </w:rPr>
              <w:t>11</w:t>
            </w:r>
          </w:p>
        </w:tc>
        <w:tc>
          <w:tcPr>
            <w:tcW w:w="850" w:type="dxa"/>
            <w:vAlign w:val="center"/>
          </w:tcPr>
          <w:p w14:paraId="663BEFCA" w14:textId="5349BB5C" w:rsidR="00975052" w:rsidRPr="00FA0505" w:rsidRDefault="000F599E" w:rsidP="003B1577">
            <w:pPr>
              <w:keepNext/>
              <w:spacing w:after="0"/>
              <w:jc w:val="center"/>
              <w:rPr>
                <w:rFonts w:ascii="EC Square Sans Cond Pro" w:hAnsi="EC Square Sans Cond Pro" w:cs="Cambria Math"/>
                <w:noProof/>
                <w:sz w:val="18"/>
                <w:szCs w:val="18"/>
              </w:rPr>
            </w:pPr>
            <w:r w:rsidRPr="00FA0505">
              <w:rPr>
                <w:rFonts w:ascii="EC Square Sans Cond Pro" w:hAnsi="EC Square Sans Cond Pro" w:cs="Calibri"/>
                <w:noProof/>
                <w:sz w:val="18"/>
                <w:szCs w:val="18"/>
              </w:rPr>
              <w:t>8</w:t>
            </w:r>
            <w:r w:rsidR="00523283" w:rsidRPr="00FA0505">
              <w:rPr>
                <w:rFonts w:ascii="EC Square Sans Cond Pro" w:hAnsi="EC Square Sans Cond Pro" w:cs="Calibri"/>
                <w:noProof/>
                <w:sz w:val="18"/>
                <w:szCs w:val="18"/>
              </w:rPr>
              <w:t>.1</w:t>
            </w:r>
          </w:p>
        </w:tc>
        <w:tc>
          <w:tcPr>
            <w:tcW w:w="851" w:type="dxa"/>
            <w:gridSpan w:val="2"/>
            <w:vAlign w:val="center"/>
          </w:tcPr>
          <w:p w14:paraId="246B1657" w14:textId="747AD611" w:rsidR="00975052" w:rsidRPr="00FA0505" w:rsidRDefault="00975052" w:rsidP="003B1577">
            <w:pPr>
              <w:keepNext/>
              <w:spacing w:after="0"/>
              <w:jc w:val="center"/>
              <w:rPr>
                <w:rFonts w:ascii="EC Square Sans Cond Pro" w:hAnsi="EC Square Sans Cond Pro" w:cs="Cambria Math"/>
                <w:noProof/>
                <w:sz w:val="18"/>
                <w:szCs w:val="18"/>
              </w:rPr>
            </w:pPr>
            <w:r w:rsidRPr="00FA0505">
              <w:rPr>
                <w:rFonts w:ascii="EC Square Sans Cond Pro" w:hAnsi="EC Square Sans Cond Pro" w:cs="Calibri"/>
                <w:noProof/>
                <w:sz w:val="18"/>
                <w:szCs w:val="18"/>
              </w:rPr>
              <w:t>-</w:t>
            </w:r>
            <w:r w:rsidR="000F599E" w:rsidRPr="00FA0505">
              <w:rPr>
                <w:rFonts w:ascii="EC Square Sans Cond Pro" w:hAnsi="EC Square Sans Cond Pro" w:cs="Calibri"/>
                <w:noProof/>
                <w:sz w:val="18"/>
                <w:szCs w:val="18"/>
              </w:rPr>
              <w:t>22</w:t>
            </w:r>
            <w:r w:rsidRPr="00FA0505">
              <w:rPr>
                <w:rFonts w:ascii="EC Square Sans Cond Pro" w:hAnsi="EC Square Sans Cond Pro" w:cs="Calibri"/>
                <w:noProof/>
                <w:sz w:val="18"/>
                <w:szCs w:val="18"/>
              </w:rPr>
              <w:t>%</w:t>
            </w:r>
          </w:p>
        </w:tc>
        <w:tc>
          <w:tcPr>
            <w:tcW w:w="850" w:type="dxa"/>
            <w:vAlign w:val="center"/>
          </w:tcPr>
          <w:p w14:paraId="3B44C80B" w14:textId="093EE7ED" w:rsidR="00975052" w:rsidRPr="00FA0505" w:rsidRDefault="00975052" w:rsidP="003B1577">
            <w:pPr>
              <w:keepNext/>
              <w:spacing w:after="0"/>
              <w:jc w:val="center"/>
              <w:rPr>
                <w:rFonts w:ascii="EC Square Sans Cond Pro" w:hAnsi="EC Square Sans Cond Pro" w:cs="Avenir Next LT Pro"/>
                <w:noProof/>
                <w:sz w:val="18"/>
                <w:szCs w:val="18"/>
              </w:rPr>
            </w:pPr>
            <w:r w:rsidRPr="00FA0505">
              <w:rPr>
                <w:rFonts w:ascii="EC Square Sans Cond Pro" w:hAnsi="EC Square Sans Cond Pro" w:cs="Calibri"/>
                <w:noProof/>
                <w:sz w:val="18"/>
                <w:szCs w:val="18"/>
              </w:rPr>
              <w:t>-</w:t>
            </w:r>
            <w:r w:rsidR="000F599E" w:rsidRPr="00FA0505">
              <w:rPr>
                <w:rFonts w:ascii="EC Square Sans Cond Pro" w:hAnsi="EC Square Sans Cond Pro" w:cs="Calibri"/>
                <w:noProof/>
                <w:sz w:val="18"/>
                <w:szCs w:val="18"/>
              </w:rPr>
              <w:t>52</w:t>
            </w:r>
            <w:r w:rsidRPr="00FA0505">
              <w:rPr>
                <w:rFonts w:ascii="EC Square Sans Cond Pro" w:hAnsi="EC Square Sans Cond Pro" w:cs="Calibri"/>
                <w:noProof/>
                <w:sz w:val="18"/>
                <w:szCs w:val="18"/>
              </w:rPr>
              <w:t>%</w:t>
            </w:r>
          </w:p>
        </w:tc>
        <w:tc>
          <w:tcPr>
            <w:tcW w:w="851" w:type="dxa"/>
            <w:vAlign w:val="center"/>
          </w:tcPr>
          <w:p w14:paraId="58BB2FED" w14:textId="2ECADE11" w:rsidR="00975052" w:rsidRPr="00FA0505" w:rsidRDefault="00975052" w:rsidP="003B1577">
            <w:pPr>
              <w:keepNext/>
              <w:spacing w:after="0"/>
              <w:jc w:val="center"/>
              <w:rPr>
                <w:rFonts w:ascii="EC Square Sans Cond Pro" w:hAnsi="EC Square Sans Cond Pro" w:cs="Cambria Math"/>
                <w:noProof/>
                <w:sz w:val="18"/>
                <w:szCs w:val="18"/>
              </w:rPr>
            </w:pPr>
            <w:r w:rsidRPr="00FA0505">
              <w:rPr>
                <w:rFonts w:ascii="EC Square Sans Cond Pro" w:hAnsi="EC Square Sans Cond Pro" w:cs="Calibri"/>
                <w:noProof/>
                <w:sz w:val="18"/>
                <w:szCs w:val="18"/>
              </w:rPr>
              <w:t>-</w:t>
            </w:r>
            <w:r w:rsidR="000F599E" w:rsidRPr="00FA0505">
              <w:rPr>
                <w:rFonts w:ascii="EC Square Sans Cond Pro" w:hAnsi="EC Square Sans Cond Pro" w:cs="Calibri"/>
                <w:noProof/>
                <w:sz w:val="18"/>
                <w:szCs w:val="18"/>
              </w:rPr>
              <w:t>65</w:t>
            </w:r>
            <w:r w:rsidRPr="00FA0505">
              <w:rPr>
                <w:rFonts w:ascii="EC Square Sans Cond Pro" w:hAnsi="EC Square Sans Cond Pro" w:cs="Calibri"/>
                <w:noProof/>
                <w:sz w:val="18"/>
                <w:szCs w:val="18"/>
              </w:rPr>
              <w:t>%</w:t>
            </w:r>
          </w:p>
        </w:tc>
      </w:tr>
      <w:tr w:rsidR="00975052" w:rsidRPr="00975052" w14:paraId="2844659F" w14:textId="77777777" w:rsidTr="000D2F9B">
        <w:trPr>
          <w:trHeight w:val="311"/>
        </w:trPr>
        <w:tc>
          <w:tcPr>
            <w:tcW w:w="1951" w:type="dxa"/>
            <w:gridSpan w:val="2"/>
            <w:noWrap/>
            <w:vAlign w:val="center"/>
          </w:tcPr>
          <w:p w14:paraId="198E7E17" w14:textId="77777777" w:rsidR="00975052" w:rsidRPr="00975052" w:rsidRDefault="00975052" w:rsidP="003B1577">
            <w:pPr>
              <w:keepNext/>
              <w:spacing w:after="0"/>
              <w:jc w:val="left"/>
              <w:rPr>
                <w:rFonts w:ascii="EC Square Sans Cond Pro" w:hAnsi="EC Square Sans Cond Pro" w:cs="Avenir Next LT Pro"/>
                <w:noProof/>
                <w:sz w:val="18"/>
                <w:szCs w:val="18"/>
                <w:lang w:val="en-IE"/>
              </w:rPr>
            </w:pPr>
            <w:r w:rsidRPr="00975052">
              <w:rPr>
                <w:rFonts w:ascii="EC Square Sans Cond Pro" w:hAnsi="EC Square Sans Cond Pro" w:cs="Avenir Next LT Pro"/>
                <w:noProof/>
                <w:sz w:val="18"/>
                <w:szCs w:val="18"/>
                <w:lang w:val="en-IE"/>
              </w:rPr>
              <w:t>Total (all gases)</w:t>
            </w:r>
          </w:p>
        </w:tc>
        <w:tc>
          <w:tcPr>
            <w:tcW w:w="850" w:type="dxa"/>
            <w:vAlign w:val="center"/>
          </w:tcPr>
          <w:p w14:paraId="0A8808AF" w14:textId="5EA71F3C" w:rsidR="00975052" w:rsidRPr="00975052" w:rsidRDefault="000F599E"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135</w:t>
            </w:r>
          </w:p>
        </w:tc>
        <w:tc>
          <w:tcPr>
            <w:tcW w:w="851" w:type="dxa"/>
            <w:noWrap/>
            <w:vAlign w:val="center"/>
          </w:tcPr>
          <w:p w14:paraId="1FC1CA43" w14:textId="0699B40D" w:rsidR="00975052" w:rsidRPr="00FA0505" w:rsidRDefault="000F599E" w:rsidP="003B1577">
            <w:pPr>
              <w:keepNext/>
              <w:spacing w:after="0"/>
              <w:jc w:val="center"/>
              <w:rPr>
                <w:rFonts w:ascii="EC Square Sans Cond Pro" w:hAnsi="EC Square Sans Cond Pro" w:cs="Avenir Next LT Pro"/>
                <w:noProof/>
                <w:sz w:val="18"/>
                <w:szCs w:val="18"/>
                <w:lang w:val="en-IE"/>
              </w:rPr>
            </w:pPr>
            <w:r w:rsidRPr="00FA0505">
              <w:rPr>
                <w:rFonts w:ascii="EC Square Sans Cond Pro" w:hAnsi="EC Square Sans Cond Pro" w:cs="Calibri"/>
                <w:noProof/>
                <w:sz w:val="18"/>
                <w:szCs w:val="18"/>
              </w:rPr>
              <w:t>109</w:t>
            </w:r>
          </w:p>
        </w:tc>
        <w:tc>
          <w:tcPr>
            <w:tcW w:w="850" w:type="dxa"/>
            <w:vAlign w:val="center"/>
          </w:tcPr>
          <w:p w14:paraId="68793804" w14:textId="3F90A137" w:rsidR="00975052" w:rsidRPr="00FA0505" w:rsidRDefault="000F599E" w:rsidP="003B1577">
            <w:pPr>
              <w:keepNext/>
              <w:spacing w:after="0"/>
              <w:jc w:val="center"/>
              <w:rPr>
                <w:rFonts w:ascii="EC Square Sans Cond Pro" w:hAnsi="EC Square Sans Cond Pro" w:cs="Cambria Math"/>
                <w:noProof/>
                <w:sz w:val="18"/>
                <w:szCs w:val="18"/>
              </w:rPr>
            </w:pPr>
            <w:r w:rsidRPr="00FA0505">
              <w:rPr>
                <w:rFonts w:ascii="EC Square Sans Cond Pro" w:hAnsi="EC Square Sans Cond Pro" w:cs="Calibri"/>
                <w:noProof/>
                <w:sz w:val="18"/>
                <w:szCs w:val="18"/>
              </w:rPr>
              <w:t>5</w:t>
            </w:r>
            <w:r w:rsidR="00E25476" w:rsidRPr="00FA0505">
              <w:rPr>
                <w:rFonts w:ascii="EC Square Sans Cond Pro" w:hAnsi="EC Square Sans Cond Pro" w:cs="Calibri"/>
                <w:noProof/>
                <w:sz w:val="18"/>
                <w:szCs w:val="18"/>
              </w:rPr>
              <w:t>6</w:t>
            </w:r>
          </w:p>
        </w:tc>
        <w:tc>
          <w:tcPr>
            <w:tcW w:w="851" w:type="dxa"/>
            <w:vAlign w:val="center"/>
          </w:tcPr>
          <w:p w14:paraId="0D66DCD4" w14:textId="2C32A0D3" w:rsidR="00975052" w:rsidRPr="00FA0505" w:rsidRDefault="000F599E" w:rsidP="003B1577">
            <w:pPr>
              <w:keepNext/>
              <w:spacing w:after="0"/>
              <w:jc w:val="center"/>
              <w:rPr>
                <w:rFonts w:ascii="EC Square Sans Cond Pro" w:hAnsi="EC Square Sans Cond Pro" w:cs="Cambria Math"/>
                <w:noProof/>
                <w:sz w:val="18"/>
                <w:szCs w:val="18"/>
              </w:rPr>
            </w:pPr>
            <w:r w:rsidRPr="00FA0505">
              <w:rPr>
                <w:rFonts w:ascii="EC Square Sans Cond Pro" w:hAnsi="EC Square Sans Cond Pro" w:cs="Calibri"/>
                <w:noProof/>
                <w:sz w:val="18"/>
                <w:szCs w:val="18"/>
              </w:rPr>
              <w:t>3</w:t>
            </w:r>
            <w:r w:rsidR="00681A15" w:rsidRPr="00FA0505">
              <w:rPr>
                <w:rFonts w:ascii="EC Square Sans Cond Pro" w:hAnsi="EC Square Sans Cond Pro" w:cs="Calibri"/>
                <w:noProof/>
                <w:sz w:val="18"/>
                <w:szCs w:val="18"/>
              </w:rPr>
              <w:t>1</w:t>
            </w:r>
          </w:p>
        </w:tc>
        <w:tc>
          <w:tcPr>
            <w:tcW w:w="850" w:type="dxa"/>
            <w:vAlign w:val="center"/>
          </w:tcPr>
          <w:p w14:paraId="3E326FA8" w14:textId="1FDEBAD6" w:rsidR="00975052" w:rsidRPr="00FA0505" w:rsidRDefault="00E25476" w:rsidP="003B1577">
            <w:pPr>
              <w:keepNext/>
              <w:spacing w:after="0"/>
              <w:jc w:val="center"/>
              <w:rPr>
                <w:rFonts w:ascii="EC Square Sans Cond Pro" w:hAnsi="EC Square Sans Cond Pro" w:cs="Cambria Math"/>
                <w:noProof/>
                <w:sz w:val="18"/>
                <w:szCs w:val="18"/>
              </w:rPr>
            </w:pPr>
            <w:r w:rsidRPr="00FA0505">
              <w:rPr>
                <w:rFonts w:ascii="EC Square Sans Cond Pro" w:hAnsi="EC Square Sans Cond Pro" w:cs="Calibri"/>
                <w:noProof/>
                <w:sz w:val="18"/>
                <w:szCs w:val="18"/>
              </w:rPr>
              <w:t>23</w:t>
            </w:r>
          </w:p>
        </w:tc>
        <w:tc>
          <w:tcPr>
            <w:tcW w:w="851" w:type="dxa"/>
            <w:gridSpan w:val="2"/>
            <w:vAlign w:val="center"/>
          </w:tcPr>
          <w:p w14:paraId="2FF2542D" w14:textId="1C3466C3" w:rsidR="00975052" w:rsidRPr="00FA0505" w:rsidRDefault="00975052" w:rsidP="003B1577">
            <w:pPr>
              <w:keepNext/>
              <w:spacing w:after="0"/>
              <w:jc w:val="center"/>
              <w:rPr>
                <w:rFonts w:ascii="EC Square Sans Cond Pro" w:hAnsi="EC Square Sans Cond Pro" w:cs="Cambria Math"/>
                <w:noProof/>
                <w:sz w:val="18"/>
                <w:szCs w:val="18"/>
              </w:rPr>
            </w:pPr>
            <w:r w:rsidRPr="00FA0505">
              <w:rPr>
                <w:rFonts w:ascii="EC Square Sans Cond Pro" w:hAnsi="EC Square Sans Cond Pro" w:cs="Calibri"/>
                <w:noProof/>
                <w:sz w:val="18"/>
                <w:szCs w:val="18"/>
              </w:rPr>
              <w:t>-</w:t>
            </w:r>
            <w:r w:rsidR="000F599E" w:rsidRPr="00FA0505">
              <w:rPr>
                <w:rFonts w:ascii="EC Square Sans Cond Pro" w:hAnsi="EC Square Sans Cond Pro" w:cs="Calibri"/>
                <w:noProof/>
                <w:sz w:val="18"/>
                <w:szCs w:val="18"/>
              </w:rPr>
              <w:t>4</w:t>
            </w:r>
            <w:r w:rsidR="002C7E51" w:rsidRPr="00FA0505">
              <w:rPr>
                <w:rFonts w:ascii="EC Square Sans Cond Pro" w:hAnsi="EC Square Sans Cond Pro" w:cs="Calibri"/>
                <w:noProof/>
                <w:sz w:val="18"/>
                <w:szCs w:val="18"/>
              </w:rPr>
              <w:t>9</w:t>
            </w:r>
            <w:r w:rsidRPr="00FA0505">
              <w:rPr>
                <w:rFonts w:ascii="EC Square Sans Cond Pro" w:hAnsi="EC Square Sans Cond Pro" w:cs="Calibri"/>
                <w:noProof/>
                <w:sz w:val="18"/>
                <w:szCs w:val="18"/>
              </w:rPr>
              <w:t>%</w:t>
            </w:r>
          </w:p>
        </w:tc>
        <w:tc>
          <w:tcPr>
            <w:tcW w:w="850" w:type="dxa"/>
            <w:vAlign w:val="center"/>
          </w:tcPr>
          <w:p w14:paraId="7E941B82" w14:textId="0F5C45D1" w:rsidR="00975052" w:rsidRPr="00FA0505" w:rsidRDefault="00975052" w:rsidP="003B1577">
            <w:pPr>
              <w:keepNext/>
              <w:spacing w:after="0"/>
              <w:jc w:val="center"/>
              <w:rPr>
                <w:rFonts w:ascii="EC Square Sans Cond Pro" w:hAnsi="EC Square Sans Cond Pro" w:cs="Avenir Next LT Pro"/>
                <w:noProof/>
                <w:sz w:val="18"/>
                <w:szCs w:val="18"/>
              </w:rPr>
            </w:pPr>
            <w:r w:rsidRPr="00FA0505">
              <w:rPr>
                <w:rFonts w:ascii="EC Square Sans Cond Pro" w:hAnsi="EC Square Sans Cond Pro" w:cs="Calibri"/>
                <w:noProof/>
                <w:sz w:val="18"/>
                <w:szCs w:val="18"/>
              </w:rPr>
              <w:t>-</w:t>
            </w:r>
            <w:r w:rsidR="000F599E" w:rsidRPr="00FA0505">
              <w:rPr>
                <w:rFonts w:ascii="EC Square Sans Cond Pro" w:hAnsi="EC Square Sans Cond Pro" w:cs="Calibri"/>
                <w:noProof/>
                <w:sz w:val="18"/>
                <w:szCs w:val="18"/>
              </w:rPr>
              <w:t>7</w:t>
            </w:r>
            <w:r w:rsidR="002C7E51" w:rsidRPr="00FA0505">
              <w:rPr>
                <w:rFonts w:ascii="EC Square Sans Cond Pro" w:hAnsi="EC Square Sans Cond Pro" w:cs="Calibri"/>
                <w:noProof/>
                <w:sz w:val="18"/>
                <w:szCs w:val="18"/>
              </w:rPr>
              <w:t>1</w:t>
            </w:r>
            <w:r w:rsidRPr="00FA0505">
              <w:rPr>
                <w:rFonts w:ascii="EC Square Sans Cond Pro" w:hAnsi="EC Square Sans Cond Pro" w:cs="Calibri"/>
                <w:noProof/>
                <w:sz w:val="18"/>
                <w:szCs w:val="18"/>
              </w:rPr>
              <w:t>%</w:t>
            </w:r>
          </w:p>
        </w:tc>
        <w:tc>
          <w:tcPr>
            <w:tcW w:w="851" w:type="dxa"/>
            <w:vAlign w:val="center"/>
          </w:tcPr>
          <w:p w14:paraId="12F05047" w14:textId="77EE462E" w:rsidR="00975052" w:rsidRPr="00FA0505" w:rsidRDefault="00975052" w:rsidP="003B1577">
            <w:pPr>
              <w:keepNext/>
              <w:spacing w:after="0"/>
              <w:jc w:val="center"/>
              <w:rPr>
                <w:rFonts w:ascii="EC Square Sans Cond Pro" w:hAnsi="EC Square Sans Cond Pro" w:cs="Cambria Math"/>
                <w:noProof/>
                <w:sz w:val="18"/>
                <w:szCs w:val="18"/>
              </w:rPr>
            </w:pPr>
            <w:r w:rsidRPr="00FA0505">
              <w:rPr>
                <w:rFonts w:ascii="EC Square Sans Cond Pro" w:hAnsi="EC Square Sans Cond Pro" w:cs="Calibri"/>
                <w:noProof/>
                <w:sz w:val="18"/>
                <w:szCs w:val="18"/>
              </w:rPr>
              <w:t>-</w:t>
            </w:r>
            <w:r w:rsidR="000F599E" w:rsidRPr="00FA0505">
              <w:rPr>
                <w:rFonts w:ascii="EC Square Sans Cond Pro" w:hAnsi="EC Square Sans Cond Pro" w:cs="Calibri"/>
                <w:noProof/>
                <w:sz w:val="18"/>
                <w:szCs w:val="18"/>
              </w:rPr>
              <w:t>7</w:t>
            </w:r>
            <w:r w:rsidR="002C7E51" w:rsidRPr="00FA0505">
              <w:rPr>
                <w:rFonts w:ascii="EC Square Sans Cond Pro" w:hAnsi="EC Square Sans Cond Pro" w:cs="Calibri"/>
                <w:noProof/>
                <w:sz w:val="18"/>
                <w:szCs w:val="18"/>
              </w:rPr>
              <w:t>9</w:t>
            </w:r>
            <w:r w:rsidRPr="00FA0505">
              <w:rPr>
                <w:rFonts w:ascii="EC Square Sans Cond Pro" w:hAnsi="EC Square Sans Cond Pro" w:cs="Calibri"/>
                <w:noProof/>
                <w:sz w:val="18"/>
                <w:szCs w:val="18"/>
              </w:rPr>
              <w:t>%</w:t>
            </w:r>
          </w:p>
        </w:tc>
      </w:tr>
      <w:tr w:rsidR="00975052" w:rsidRPr="00975052" w14:paraId="14495EE0" w14:textId="77777777" w:rsidTr="000D2F9B">
        <w:trPr>
          <w:trHeight w:val="311"/>
        </w:trPr>
        <w:tc>
          <w:tcPr>
            <w:tcW w:w="1951" w:type="dxa"/>
            <w:gridSpan w:val="2"/>
            <w:noWrap/>
            <w:vAlign w:val="center"/>
          </w:tcPr>
          <w:p w14:paraId="62FB5695" w14:textId="77777777" w:rsidR="00975052" w:rsidRPr="00975052" w:rsidRDefault="00975052" w:rsidP="003B1577">
            <w:pPr>
              <w:keepNext/>
              <w:spacing w:after="0"/>
              <w:jc w:val="left"/>
              <w:rPr>
                <w:rFonts w:ascii="EC Square Sans Cond Pro" w:hAnsi="EC Square Sans Cond Pro" w:cs="Avenir Next LT Pro"/>
                <w:b/>
                <w:noProof/>
                <w:sz w:val="18"/>
                <w:szCs w:val="18"/>
                <w:lang w:val="en-IE"/>
              </w:rPr>
            </w:pPr>
            <w:r w:rsidRPr="00975052">
              <w:rPr>
                <w:rFonts w:ascii="EC Square Sans Cond Pro" w:hAnsi="EC Square Sans Cond Pro" w:cs="Avenir Next LT Pro"/>
                <w:b/>
                <w:noProof/>
                <w:sz w:val="18"/>
                <w:szCs w:val="18"/>
                <w:lang w:val="en-IE"/>
              </w:rPr>
              <w:t>Heating and cooling</w:t>
            </w:r>
          </w:p>
        </w:tc>
        <w:tc>
          <w:tcPr>
            <w:tcW w:w="850" w:type="dxa"/>
            <w:vAlign w:val="center"/>
          </w:tcPr>
          <w:p w14:paraId="5F357974"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1" w:type="dxa"/>
            <w:noWrap/>
            <w:vAlign w:val="center"/>
          </w:tcPr>
          <w:p w14:paraId="2181437D"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0" w:type="dxa"/>
            <w:vAlign w:val="center"/>
          </w:tcPr>
          <w:p w14:paraId="7706DEE9"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1" w:type="dxa"/>
            <w:vAlign w:val="center"/>
          </w:tcPr>
          <w:p w14:paraId="5DA27BF1"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0" w:type="dxa"/>
            <w:vAlign w:val="center"/>
          </w:tcPr>
          <w:p w14:paraId="3D79AA96"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1" w:type="dxa"/>
            <w:gridSpan w:val="2"/>
            <w:vAlign w:val="center"/>
          </w:tcPr>
          <w:p w14:paraId="7F9214C1"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0" w:type="dxa"/>
            <w:vAlign w:val="center"/>
          </w:tcPr>
          <w:p w14:paraId="22332F45"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1" w:type="dxa"/>
            <w:vAlign w:val="center"/>
          </w:tcPr>
          <w:p w14:paraId="20A926FC"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r>
      <w:tr w:rsidR="00975052" w:rsidRPr="00975052" w14:paraId="5B90DFD2" w14:textId="77777777" w:rsidTr="000D2F9B">
        <w:trPr>
          <w:trHeight w:val="311"/>
        </w:trPr>
        <w:tc>
          <w:tcPr>
            <w:tcW w:w="1951" w:type="dxa"/>
            <w:gridSpan w:val="2"/>
            <w:noWrap/>
            <w:vAlign w:val="center"/>
          </w:tcPr>
          <w:p w14:paraId="5DC97C3C" w14:textId="77777777" w:rsidR="00975052" w:rsidRPr="00975052" w:rsidRDefault="00975052" w:rsidP="003B1577">
            <w:pPr>
              <w:keepNext/>
              <w:spacing w:after="0"/>
              <w:jc w:val="left"/>
              <w:rPr>
                <w:rFonts w:ascii="EC Square Sans Cond Pro" w:hAnsi="EC Square Sans Cond Pro" w:cs="Avenir Next LT Pro"/>
                <w:noProof/>
                <w:sz w:val="18"/>
                <w:szCs w:val="18"/>
                <w:lang w:val="en-IE"/>
              </w:rPr>
            </w:pPr>
            <w:r w:rsidRPr="00975052">
              <w:rPr>
                <w:rFonts w:ascii="EC Square Sans Cond Pro" w:hAnsi="EC Square Sans Cond Pro" w:cs="Avenir Next LT Pro"/>
                <w:noProof/>
                <w:sz w:val="18"/>
                <w:szCs w:val="18"/>
                <w:lang w:val="en-IE"/>
              </w:rPr>
              <w:t>F-gases</w:t>
            </w:r>
          </w:p>
        </w:tc>
        <w:tc>
          <w:tcPr>
            <w:tcW w:w="850" w:type="dxa"/>
            <w:vAlign w:val="center"/>
          </w:tcPr>
          <w:p w14:paraId="15AFE0DE" w14:textId="77777777" w:rsidR="00975052" w:rsidRPr="00975052" w:rsidRDefault="00975052" w:rsidP="003B1577">
            <w:pPr>
              <w:keepNext/>
              <w:spacing w:after="0"/>
              <w:jc w:val="center"/>
              <w:rPr>
                <w:rFonts w:ascii="EC Square Sans Cond Pro" w:hAnsi="EC Square Sans Cond Pro" w:cs="Cambria Math"/>
                <w:noProof/>
                <w:sz w:val="18"/>
                <w:szCs w:val="18"/>
              </w:rPr>
            </w:pPr>
            <w:r w:rsidRPr="00975052">
              <w:rPr>
                <w:rFonts w:ascii="EC Square Sans Cond Pro" w:hAnsi="EC Square Sans Cond Pro" w:cs="Arial"/>
                <w:noProof/>
                <w:sz w:val="18"/>
                <w:szCs w:val="18"/>
              </w:rPr>
              <w:t>43</w:t>
            </w:r>
          </w:p>
        </w:tc>
        <w:tc>
          <w:tcPr>
            <w:tcW w:w="851" w:type="dxa"/>
            <w:noWrap/>
            <w:vAlign w:val="center"/>
          </w:tcPr>
          <w:p w14:paraId="17525AAD"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r w:rsidRPr="00975052">
              <w:rPr>
                <w:rFonts w:ascii="EC Square Sans Cond Pro" w:hAnsi="EC Square Sans Cond Pro" w:cs="Arial"/>
                <w:noProof/>
                <w:sz w:val="18"/>
                <w:szCs w:val="18"/>
              </w:rPr>
              <w:t>76</w:t>
            </w:r>
          </w:p>
        </w:tc>
        <w:tc>
          <w:tcPr>
            <w:tcW w:w="850" w:type="dxa"/>
            <w:vAlign w:val="center"/>
          </w:tcPr>
          <w:p w14:paraId="4D6D50E6" w14:textId="77777777" w:rsidR="00975052" w:rsidRPr="00975052" w:rsidRDefault="00975052" w:rsidP="003B1577">
            <w:pPr>
              <w:keepNext/>
              <w:spacing w:after="0"/>
              <w:jc w:val="center"/>
              <w:rPr>
                <w:rFonts w:ascii="EC Square Sans Cond Pro" w:hAnsi="EC Square Sans Cond Pro" w:cs="Cambria Math"/>
                <w:noProof/>
                <w:sz w:val="18"/>
                <w:szCs w:val="18"/>
              </w:rPr>
            </w:pPr>
            <w:r w:rsidRPr="00975052">
              <w:rPr>
                <w:rFonts w:ascii="EC Square Sans Cond Pro" w:hAnsi="EC Square Sans Cond Pro" w:cs="Arial"/>
                <w:noProof/>
                <w:sz w:val="18"/>
                <w:szCs w:val="18"/>
              </w:rPr>
              <w:t>21</w:t>
            </w:r>
          </w:p>
        </w:tc>
        <w:tc>
          <w:tcPr>
            <w:tcW w:w="851" w:type="dxa"/>
            <w:vAlign w:val="center"/>
          </w:tcPr>
          <w:p w14:paraId="75C56E47" w14:textId="375C716D" w:rsidR="00975052" w:rsidRPr="00975052" w:rsidRDefault="00975052"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2.6</w:t>
            </w:r>
          </w:p>
        </w:tc>
        <w:tc>
          <w:tcPr>
            <w:tcW w:w="850" w:type="dxa"/>
            <w:vAlign w:val="center"/>
          </w:tcPr>
          <w:p w14:paraId="32249B1F" w14:textId="4C88CAD4" w:rsidR="00975052" w:rsidRPr="00975052" w:rsidRDefault="00975052"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0.7</w:t>
            </w:r>
          </w:p>
        </w:tc>
        <w:tc>
          <w:tcPr>
            <w:tcW w:w="851" w:type="dxa"/>
            <w:gridSpan w:val="2"/>
            <w:vAlign w:val="center"/>
          </w:tcPr>
          <w:p w14:paraId="415FBB85" w14:textId="0845A629" w:rsidR="00975052" w:rsidRPr="00975052" w:rsidRDefault="00975052"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w:t>
            </w:r>
            <w:r w:rsidR="00523283" w:rsidRPr="00523283">
              <w:rPr>
                <w:rFonts w:ascii="EC Square Sans Cond Pro" w:hAnsi="EC Square Sans Cond Pro" w:cs="Calibri"/>
                <w:noProof/>
                <w:sz w:val="18"/>
                <w:szCs w:val="18"/>
              </w:rPr>
              <w:t>72</w:t>
            </w:r>
            <w:r w:rsidRPr="00523283">
              <w:rPr>
                <w:rFonts w:ascii="EC Square Sans Cond Pro" w:hAnsi="EC Square Sans Cond Pro" w:cs="Calibri"/>
                <w:noProof/>
                <w:sz w:val="18"/>
                <w:szCs w:val="18"/>
              </w:rPr>
              <w:t>%</w:t>
            </w:r>
          </w:p>
        </w:tc>
        <w:tc>
          <w:tcPr>
            <w:tcW w:w="850" w:type="dxa"/>
            <w:vAlign w:val="center"/>
          </w:tcPr>
          <w:p w14:paraId="10A9AD31" w14:textId="009A23B0" w:rsidR="00975052" w:rsidRPr="00975052" w:rsidRDefault="00975052" w:rsidP="003B1577">
            <w:pPr>
              <w:keepNext/>
              <w:spacing w:after="0"/>
              <w:jc w:val="center"/>
              <w:rPr>
                <w:rFonts w:ascii="EC Square Sans Cond Pro" w:hAnsi="EC Square Sans Cond Pro" w:cs="Avenir Next LT Pro"/>
                <w:noProof/>
                <w:sz w:val="18"/>
                <w:szCs w:val="18"/>
              </w:rPr>
            </w:pPr>
            <w:r w:rsidRPr="00523283">
              <w:rPr>
                <w:rFonts w:ascii="EC Square Sans Cond Pro" w:hAnsi="EC Square Sans Cond Pro" w:cs="Calibri"/>
                <w:noProof/>
                <w:sz w:val="18"/>
                <w:szCs w:val="18"/>
              </w:rPr>
              <w:t>-</w:t>
            </w:r>
            <w:r w:rsidR="00523283" w:rsidRPr="00523283">
              <w:rPr>
                <w:rFonts w:ascii="EC Square Sans Cond Pro" w:hAnsi="EC Square Sans Cond Pro" w:cs="Calibri"/>
                <w:noProof/>
                <w:sz w:val="18"/>
                <w:szCs w:val="18"/>
              </w:rPr>
              <w:t>97</w:t>
            </w:r>
            <w:r w:rsidRPr="00523283">
              <w:rPr>
                <w:rFonts w:ascii="EC Square Sans Cond Pro" w:hAnsi="EC Square Sans Cond Pro" w:cs="Calibri"/>
                <w:noProof/>
                <w:sz w:val="18"/>
                <w:szCs w:val="18"/>
              </w:rPr>
              <w:t>%</w:t>
            </w:r>
          </w:p>
        </w:tc>
        <w:tc>
          <w:tcPr>
            <w:tcW w:w="851" w:type="dxa"/>
            <w:vAlign w:val="center"/>
          </w:tcPr>
          <w:p w14:paraId="5865FC67" w14:textId="283F07B3" w:rsidR="00975052" w:rsidRPr="00975052" w:rsidRDefault="00975052"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w:t>
            </w:r>
            <w:r w:rsidR="00523283" w:rsidRPr="00523283">
              <w:rPr>
                <w:rFonts w:ascii="EC Square Sans Cond Pro" w:hAnsi="EC Square Sans Cond Pro" w:cs="Calibri"/>
                <w:noProof/>
                <w:sz w:val="18"/>
                <w:szCs w:val="18"/>
              </w:rPr>
              <w:t>99</w:t>
            </w:r>
            <w:r w:rsidRPr="00523283">
              <w:rPr>
                <w:rFonts w:ascii="EC Square Sans Cond Pro" w:hAnsi="EC Square Sans Cond Pro" w:cs="Calibri"/>
                <w:noProof/>
                <w:sz w:val="18"/>
                <w:szCs w:val="18"/>
              </w:rPr>
              <w:t>%</w:t>
            </w:r>
          </w:p>
        </w:tc>
      </w:tr>
      <w:tr w:rsidR="00975052" w:rsidRPr="00975052" w14:paraId="3836D8AA" w14:textId="77777777" w:rsidTr="000D2F9B">
        <w:trPr>
          <w:trHeight w:val="311"/>
        </w:trPr>
        <w:tc>
          <w:tcPr>
            <w:tcW w:w="1951" w:type="dxa"/>
            <w:gridSpan w:val="2"/>
            <w:noWrap/>
            <w:vAlign w:val="center"/>
          </w:tcPr>
          <w:p w14:paraId="5FE76469" w14:textId="77777777" w:rsidR="00975052" w:rsidRPr="00975052" w:rsidRDefault="00975052" w:rsidP="003B1577">
            <w:pPr>
              <w:keepNext/>
              <w:spacing w:after="0"/>
              <w:jc w:val="left"/>
              <w:rPr>
                <w:rFonts w:ascii="EC Square Sans Cond Pro" w:hAnsi="EC Square Sans Cond Pro" w:cs="Avenir Next LT Pro"/>
                <w:noProof/>
                <w:sz w:val="18"/>
                <w:szCs w:val="18"/>
                <w:lang w:val="en-IE"/>
              </w:rPr>
            </w:pPr>
            <w:r w:rsidRPr="00975052">
              <w:rPr>
                <w:rFonts w:ascii="EC Square Sans Cond Pro" w:hAnsi="EC Square Sans Cond Pro" w:cs="Avenir Next LT Pro"/>
                <w:noProof/>
                <w:sz w:val="18"/>
                <w:szCs w:val="18"/>
                <w:lang w:val="en-IE"/>
              </w:rPr>
              <w:t>Total (all gases)</w:t>
            </w:r>
          </w:p>
        </w:tc>
        <w:tc>
          <w:tcPr>
            <w:tcW w:w="850" w:type="dxa"/>
            <w:vAlign w:val="center"/>
          </w:tcPr>
          <w:p w14:paraId="4B040A47" w14:textId="77777777" w:rsidR="00975052" w:rsidRPr="00975052" w:rsidRDefault="00975052" w:rsidP="003B1577">
            <w:pPr>
              <w:keepNext/>
              <w:spacing w:after="0"/>
              <w:jc w:val="center"/>
              <w:rPr>
                <w:rFonts w:ascii="EC Square Sans Cond Pro" w:hAnsi="EC Square Sans Cond Pro" w:cs="Cambria Math"/>
                <w:noProof/>
                <w:sz w:val="18"/>
                <w:szCs w:val="18"/>
              </w:rPr>
            </w:pPr>
            <w:r w:rsidRPr="00975052">
              <w:rPr>
                <w:rFonts w:ascii="EC Square Sans Cond Pro" w:hAnsi="EC Square Sans Cond Pro" w:cs="Arial"/>
                <w:noProof/>
                <w:sz w:val="18"/>
                <w:szCs w:val="18"/>
              </w:rPr>
              <w:t>43</w:t>
            </w:r>
          </w:p>
        </w:tc>
        <w:tc>
          <w:tcPr>
            <w:tcW w:w="851" w:type="dxa"/>
            <w:vAlign w:val="center"/>
          </w:tcPr>
          <w:p w14:paraId="750B227A" w14:textId="77777777" w:rsidR="00975052" w:rsidRPr="00975052" w:rsidRDefault="00975052" w:rsidP="003B1577">
            <w:pPr>
              <w:keepNext/>
              <w:spacing w:after="0"/>
              <w:jc w:val="center"/>
              <w:rPr>
                <w:rFonts w:ascii="EC Square Sans Cond Pro" w:hAnsi="EC Square Sans Cond Pro" w:cs="Avenir Next LT Pro"/>
                <w:b/>
                <w:noProof/>
                <w:sz w:val="18"/>
                <w:szCs w:val="18"/>
                <w:lang w:val="en-IE"/>
              </w:rPr>
            </w:pPr>
            <w:r w:rsidRPr="00975052">
              <w:rPr>
                <w:rFonts w:ascii="EC Square Sans Cond Pro" w:hAnsi="EC Square Sans Cond Pro" w:cs="Arial"/>
                <w:noProof/>
                <w:sz w:val="18"/>
                <w:szCs w:val="18"/>
              </w:rPr>
              <w:t>76</w:t>
            </w:r>
          </w:p>
        </w:tc>
        <w:tc>
          <w:tcPr>
            <w:tcW w:w="850" w:type="dxa"/>
            <w:vAlign w:val="center"/>
          </w:tcPr>
          <w:p w14:paraId="4736969C" w14:textId="77777777" w:rsidR="00975052" w:rsidRPr="00975052" w:rsidRDefault="00975052" w:rsidP="003B1577">
            <w:pPr>
              <w:keepNext/>
              <w:spacing w:after="0"/>
              <w:jc w:val="center"/>
              <w:rPr>
                <w:rFonts w:ascii="EC Square Sans Cond Pro" w:hAnsi="EC Square Sans Cond Pro" w:cs="Cambria Math"/>
                <w:noProof/>
                <w:sz w:val="18"/>
                <w:szCs w:val="18"/>
              </w:rPr>
            </w:pPr>
            <w:r w:rsidRPr="00975052">
              <w:rPr>
                <w:rFonts w:ascii="EC Square Sans Cond Pro" w:hAnsi="EC Square Sans Cond Pro" w:cs="Arial"/>
                <w:noProof/>
                <w:sz w:val="18"/>
                <w:szCs w:val="18"/>
              </w:rPr>
              <w:t>21</w:t>
            </w:r>
          </w:p>
        </w:tc>
        <w:tc>
          <w:tcPr>
            <w:tcW w:w="851" w:type="dxa"/>
            <w:vAlign w:val="center"/>
          </w:tcPr>
          <w:p w14:paraId="143CB4EB" w14:textId="65FD909B" w:rsidR="00975052" w:rsidRPr="00975052" w:rsidRDefault="00975052"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2.6</w:t>
            </w:r>
          </w:p>
        </w:tc>
        <w:tc>
          <w:tcPr>
            <w:tcW w:w="850" w:type="dxa"/>
            <w:vAlign w:val="center"/>
          </w:tcPr>
          <w:p w14:paraId="77F55177" w14:textId="0C887514" w:rsidR="00975052" w:rsidRPr="00975052" w:rsidRDefault="00975052"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0.7</w:t>
            </w:r>
          </w:p>
        </w:tc>
        <w:tc>
          <w:tcPr>
            <w:tcW w:w="851" w:type="dxa"/>
            <w:gridSpan w:val="2"/>
            <w:vAlign w:val="center"/>
          </w:tcPr>
          <w:p w14:paraId="194347FB" w14:textId="7BF0A20C" w:rsidR="00975052" w:rsidRPr="00975052" w:rsidRDefault="00975052"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w:t>
            </w:r>
            <w:r w:rsidR="00523283" w:rsidRPr="00523283">
              <w:rPr>
                <w:rFonts w:ascii="EC Square Sans Cond Pro" w:hAnsi="EC Square Sans Cond Pro" w:cs="Calibri"/>
                <w:noProof/>
                <w:sz w:val="18"/>
                <w:szCs w:val="18"/>
              </w:rPr>
              <w:t>72</w:t>
            </w:r>
            <w:r w:rsidRPr="00523283">
              <w:rPr>
                <w:rFonts w:ascii="EC Square Sans Cond Pro" w:hAnsi="EC Square Sans Cond Pro" w:cs="Calibri"/>
                <w:noProof/>
                <w:sz w:val="18"/>
                <w:szCs w:val="18"/>
              </w:rPr>
              <w:t>%</w:t>
            </w:r>
          </w:p>
        </w:tc>
        <w:tc>
          <w:tcPr>
            <w:tcW w:w="850" w:type="dxa"/>
            <w:vAlign w:val="center"/>
          </w:tcPr>
          <w:p w14:paraId="452D2480" w14:textId="791CBF91" w:rsidR="00975052" w:rsidRPr="00975052" w:rsidRDefault="00975052" w:rsidP="003B1577">
            <w:pPr>
              <w:keepNext/>
              <w:spacing w:after="0"/>
              <w:jc w:val="center"/>
              <w:rPr>
                <w:rFonts w:ascii="EC Square Sans Cond Pro" w:hAnsi="EC Square Sans Cond Pro" w:cs="Avenir Next LT Pro"/>
                <w:noProof/>
                <w:sz w:val="18"/>
                <w:szCs w:val="18"/>
              </w:rPr>
            </w:pPr>
            <w:r w:rsidRPr="00523283">
              <w:rPr>
                <w:rFonts w:ascii="EC Square Sans Cond Pro" w:hAnsi="EC Square Sans Cond Pro" w:cs="Calibri"/>
                <w:noProof/>
                <w:sz w:val="18"/>
                <w:szCs w:val="18"/>
              </w:rPr>
              <w:t>-</w:t>
            </w:r>
            <w:r w:rsidR="00523283" w:rsidRPr="00523283">
              <w:rPr>
                <w:rFonts w:ascii="EC Square Sans Cond Pro" w:hAnsi="EC Square Sans Cond Pro" w:cs="Calibri"/>
                <w:noProof/>
                <w:sz w:val="18"/>
                <w:szCs w:val="18"/>
              </w:rPr>
              <w:t>97</w:t>
            </w:r>
            <w:r w:rsidRPr="00523283">
              <w:rPr>
                <w:rFonts w:ascii="EC Square Sans Cond Pro" w:hAnsi="EC Square Sans Cond Pro" w:cs="Calibri"/>
                <w:noProof/>
                <w:sz w:val="18"/>
                <w:szCs w:val="18"/>
              </w:rPr>
              <w:t>%</w:t>
            </w:r>
          </w:p>
        </w:tc>
        <w:tc>
          <w:tcPr>
            <w:tcW w:w="851" w:type="dxa"/>
            <w:vAlign w:val="center"/>
          </w:tcPr>
          <w:p w14:paraId="6FDE24CE" w14:textId="718CA095" w:rsidR="00975052" w:rsidRPr="00975052" w:rsidRDefault="00975052"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w:t>
            </w:r>
            <w:r w:rsidR="00523283" w:rsidRPr="00523283">
              <w:rPr>
                <w:rFonts w:ascii="EC Square Sans Cond Pro" w:hAnsi="EC Square Sans Cond Pro" w:cs="Calibri"/>
                <w:noProof/>
                <w:sz w:val="18"/>
                <w:szCs w:val="18"/>
              </w:rPr>
              <w:t>99</w:t>
            </w:r>
            <w:r w:rsidRPr="00523283">
              <w:rPr>
                <w:rFonts w:ascii="EC Square Sans Cond Pro" w:hAnsi="EC Square Sans Cond Pro" w:cs="Calibri"/>
                <w:noProof/>
                <w:sz w:val="18"/>
                <w:szCs w:val="18"/>
              </w:rPr>
              <w:t>%</w:t>
            </w:r>
          </w:p>
        </w:tc>
      </w:tr>
      <w:tr w:rsidR="00975052" w:rsidRPr="00975052" w14:paraId="4371F29C" w14:textId="77777777" w:rsidTr="000D2F9B">
        <w:trPr>
          <w:trHeight w:val="311"/>
        </w:trPr>
        <w:tc>
          <w:tcPr>
            <w:tcW w:w="1951" w:type="dxa"/>
            <w:gridSpan w:val="2"/>
            <w:noWrap/>
            <w:vAlign w:val="center"/>
          </w:tcPr>
          <w:p w14:paraId="2B22C5E7" w14:textId="77777777" w:rsidR="00975052" w:rsidRPr="00975052" w:rsidRDefault="00975052" w:rsidP="003B1577">
            <w:pPr>
              <w:keepNext/>
              <w:spacing w:after="0"/>
              <w:jc w:val="left"/>
              <w:rPr>
                <w:rFonts w:ascii="EC Square Sans Cond Pro" w:hAnsi="EC Square Sans Cond Pro" w:cs="Avenir Next LT Pro"/>
                <w:b/>
                <w:noProof/>
                <w:sz w:val="18"/>
                <w:szCs w:val="18"/>
                <w:lang w:val="en-IE"/>
              </w:rPr>
            </w:pPr>
            <w:r w:rsidRPr="00975052">
              <w:rPr>
                <w:rFonts w:ascii="EC Square Sans Cond Pro" w:hAnsi="EC Square Sans Cond Pro" w:cs="Avenir Next LT Pro"/>
                <w:b/>
                <w:noProof/>
                <w:sz w:val="18"/>
                <w:szCs w:val="18"/>
                <w:lang w:val="en-IE"/>
              </w:rPr>
              <w:t>Industry and other</w:t>
            </w:r>
          </w:p>
        </w:tc>
        <w:tc>
          <w:tcPr>
            <w:tcW w:w="850" w:type="dxa"/>
            <w:vAlign w:val="center"/>
          </w:tcPr>
          <w:p w14:paraId="700F0814"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1" w:type="dxa"/>
            <w:noWrap/>
            <w:vAlign w:val="center"/>
          </w:tcPr>
          <w:p w14:paraId="0BB5ED51"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0" w:type="dxa"/>
            <w:vAlign w:val="center"/>
          </w:tcPr>
          <w:p w14:paraId="5D5DEE40"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1" w:type="dxa"/>
            <w:vAlign w:val="center"/>
          </w:tcPr>
          <w:p w14:paraId="778A056F"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0" w:type="dxa"/>
            <w:vAlign w:val="center"/>
          </w:tcPr>
          <w:p w14:paraId="04FF5AA7"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1" w:type="dxa"/>
            <w:gridSpan w:val="2"/>
            <w:vAlign w:val="center"/>
          </w:tcPr>
          <w:p w14:paraId="53457EBA"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0" w:type="dxa"/>
            <w:vAlign w:val="center"/>
          </w:tcPr>
          <w:p w14:paraId="2C1B790B"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c>
          <w:tcPr>
            <w:tcW w:w="851" w:type="dxa"/>
            <w:vAlign w:val="center"/>
          </w:tcPr>
          <w:p w14:paraId="34FF5BCF"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p>
        </w:tc>
      </w:tr>
      <w:tr w:rsidR="00975052" w:rsidRPr="00975052" w14:paraId="79926077" w14:textId="77777777" w:rsidTr="000D2F9B">
        <w:trPr>
          <w:trHeight w:val="311"/>
        </w:trPr>
        <w:tc>
          <w:tcPr>
            <w:tcW w:w="1951" w:type="dxa"/>
            <w:gridSpan w:val="2"/>
            <w:noWrap/>
            <w:vAlign w:val="center"/>
          </w:tcPr>
          <w:p w14:paraId="05751F6B" w14:textId="77777777" w:rsidR="00975052" w:rsidRPr="00975052" w:rsidRDefault="00975052" w:rsidP="003B1577">
            <w:pPr>
              <w:keepNext/>
              <w:spacing w:after="0"/>
              <w:jc w:val="left"/>
              <w:rPr>
                <w:rFonts w:ascii="EC Square Sans Cond Pro" w:hAnsi="EC Square Sans Cond Pro" w:cs="Avenir Next LT Pro"/>
                <w:noProof/>
                <w:sz w:val="18"/>
                <w:szCs w:val="18"/>
                <w:lang w:val="en-IE"/>
              </w:rPr>
            </w:pPr>
            <w:r w:rsidRPr="00975052">
              <w:rPr>
                <w:rFonts w:ascii="EC Square Sans Cond Pro" w:hAnsi="EC Square Sans Cond Pro" w:cs="Avenir Next LT Pro"/>
                <w:noProof/>
                <w:sz w:val="18"/>
                <w:szCs w:val="18"/>
                <w:lang w:val="en-IE"/>
              </w:rPr>
              <w:t>N2O</w:t>
            </w:r>
          </w:p>
        </w:tc>
        <w:tc>
          <w:tcPr>
            <w:tcW w:w="850" w:type="dxa"/>
            <w:vAlign w:val="center"/>
          </w:tcPr>
          <w:p w14:paraId="7943100D" w14:textId="0B9AF91D" w:rsidR="00975052" w:rsidRPr="00975052" w:rsidRDefault="00523283"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48</w:t>
            </w:r>
          </w:p>
        </w:tc>
        <w:tc>
          <w:tcPr>
            <w:tcW w:w="851" w:type="dxa"/>
            <w:noWrap/>
            <w:vAlign w:val="center"/>
          </w:tcPr>
          <w:p w14:paraId="1CCBCE2B" w14:textId="1D6455B3" w:rsidR="00975052" w:rsidRPr="00975052" w:rsidRDefault="00523283" w:rsidP="003B1577">
            <w:pPr>
              <w:keepNext/>
              <w:spacing w:after="0"/>
              <w:jc w:val="center"/>
              <w:rPr>
                <w:rFonts w:ascii="EC Square Sans Cond Pro" w:hAnsi="EC Square Sans Cond Pro" w:cs="Avenir Next LT Pro"/>
                <w:noProof/>
                <w:sz w:val="18"/>
                <w:szCs w:val="18"/>
                <w:lang w:val="en-IE"/>
              </w:rPr>
            </w:pPr>
            <w:r w:rsidRPr="00523283">
              <w:rPr>
                <w:rFonts w:ascii="EC Square Sans Cond Pro" w:hAnsi="EC Square Sans Cond Pro" w:cs="Calibri"/>
                <w:noProof/>
                <w:sz w:val="18"/>
                <w:szCs w:val="18"/>
              </w:rPr>
              <w:t>8.3</w:t>
            </w:r>
          </w:p>
        </w:tc>
        <w:tc>
          <w:tcPr>
            <w:tcW w:w="850" w:type="dxa"/>
            <w:vAlign w:val="center"/>
          </w:tcPr>
          <w:p w14:paraId="51B0FC72" w14:textId="6B2EEBC5" w:rsidR="00975052" w:rsidRPr="00975052" w:rsidRDefault="00523283"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6.9</w:t>
            </w:r>
          </w:p>
        </w:tc>
        <w:tc>
          <w:tcPr>
            <w:tcW w:w="851" w:type="dxa"/>
            <w:vAlign w:val="center"/>
          </w:tcPr>
          <w:p w14:paraId="0DD17D6E" w14:textId="67828466" w:rsidR="00975052" w:rsidRPr="00975052" w:rsidRDefault="00523283"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7.2</w:t>
            </w:r>
          </w:p>
        </w:tc>
        <w:tc>
          <w:tcPr>
            <w:tcW w:w="850" w:type="dxa"/>
            <w:vAlign w:val="center"/>
          </w:tcPr>
          <w:p w14:paraId="38C59A89" w14:textId="442F5501" w:rsidR="00975052" w:rsidRPr="00975052" w:rsidRDefault="00523283"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7.6</w:t>
            </w:r>
          </w:p>
        </w:tc>
        <w:tc>
          <w:tcPr>
            <w:tcW w:w="851" w:type="dxa"/>
            <w:gridSpan w:val="2"/>
            <w:vAlign w:val="center"/>
          </w:tcPr>
          <w:p w14:paraId="0FC64EBE" w14:textId="4458BD6B" w:rsidR="00975052" w:rsidRPr="00975052" w:rsidRDefault="00975052"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w:t>
            </w:r>
            <w:r w:rsidR="00523283" w:rsidRPr="00523283">
              <w:rPr>
                <w:rFonts w:ascii="EC Square Sans Cond Pro" w:hAnsi="EC Square Sans Cond Pro" w:cs="Calibri"/>
                <w:noProof/>
                <w:sz w:val="18"/>
                <w:szCs w:val="18"/>
              </w:rPr>
              <w:t>16</w:t>
            </w:r>
            <w:r w:rsidRPr="00523283">
              <w:rPr>
                <w:rFonts w:ascii="EC Square Sans Cond Pro" w:hAnsi="EC Square Sans Cond Pro" w:cs="Calibri"/>
                <w:noProof/>
                <w:sz w:val="18"/>
                <w:szCs w:val="18"/>
              </w:rPr>
              <w:t>%</w:t>
            </w:r>
          </w:p>
        </w:tc>
        <w:tc>
          <w:tcPr>
            <w:tcW w:w="850" w:type="dxa"/>
            <w:vAlign w:val="center"/>
          </w:tcPr>
          <w:p w14:paraId="45C781C0" w14:textId="7089BE37" w:rsidR="00975052" w:rsidRPr="00975052" w:rsidRDefault="00975052"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w:t>
            </w:r>
            <w:r w:rsidR="00523283" w:rsidRPr="00523283">
              <w:rPr>
                <w:rFonts w:ascii="EC Square Sans Cond Pro" w:hAnsi="EC Square Sans Cond Pro" w:cs="Calibri"/>
                <w:noProof/>
                <w:sz w:val="18"/>
                <w:szCs w:val="18"/>
              </w:rPr>
              <w:t>13</w:t>
            </w:r>
            <w:r w:rsidRPr="00523283">
              <w:rPr>
                <w:rFonts w:ascii="EC Square Sans Cond Pro" w:hAnsi="EC Square Sans Cond Pro" w:cs="Calibri"/>
                <w:noProof/>
                <w:sz w:val="18"/>
                <w:szCs w:val="18"/>
              </w:rPr>
              <w:t>%</w:t>
            </w:r>
          </w:p>
        </w:tc>
        <w:tc>
          <w:tcPr>
            <w:tcW w:w="851" w:type="dxa"/>
            <w:vAlign w:val="center"/>
          </w:tcPr>
          <w:p w14:paraId="11C97B78" w14:textId="65FEACC1" w:rsidR="00975052" w:rsidRPr="00975052" w:rsidRDefault="00975052"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w:t>
            </w:r>
            <w:r w:rsidR="00523283" w:rsidRPr="00523283">
              <w:rPr>
                <w:rFonts w:ascii="EC Square Sans Cond Pro" w:hAnsi="EC Square Sans Cond Pro" w:cs="Calibri"/>
                <w:noProof/>
                <w:sz w:val="18"/>
                <w:szCs w:val="18"/>
              </w:rPr>
              <w:t>8</w:t>
            </w:r>
            <w:r w:rsidRPr="00523283">
              <w:rPr>
                <w:rFonts w:ascii="EC Square Sans Cond Pro" w:hAnsi="EC Square Sans Cond Pro" w:cs="Calibri"/>
                <w:noProof/>
                <w:sz w:val="18"/>
                <w:szCs w:val="18"/>
              </w:rPr>
              <w:t>%</w:t>
            </w:r>
          </w:p>
        </w:tc>
      </w:tr>
      <w:tr w:rsidR="00975052" w:rsidRPr="00975052" w14:paraId="4DC8B695" w14:textId="77777777" w:rsidTr="000D2F9B">
        <w:trPr>
          <w:trHeight w:val="311"/>
        </w:trPr>
        <w:tc>
          <w:tcPr>
            <w:tcW w:w="1951" w:type="dxa"/>
            <w:gridSpan w:val="2"/>
            <w:noWrap/>
            <w:vAlign w:val="center"/>
          </w:tcPr>
          <w:p w14:paraId="7F8BA612" w14:textId="77777777" w:rsidR="00975052" w:rsidRPr="00975052" w:rsidRDefault="00975052" w:rsidP="003B1577">
            <w:pPr>
              <w:keepNext/>
              <w:spacing w:after="0"/>
              <w:jc w:val="left"/>
              <w:rPr>
                <w:rFonts w:ascii="EC Square Sans Cond Pro" w:hAnsi="EC Square Sans Cond Pro" w:cs="Avenir Next LT Pro"/>
                <w:noProof/>
                <w:sz w:val="18"/>
                <w:szCs w:val="18"/>
                <w:lang w:val="en-IE"/>
              </w:rPr>
            </w:pPr>
            <w:r w:rsidRPr="00975052">
              <w:rPr>
                <w:rFonts w:ascii="EC Square Sans Cond Pro" w:hAnsi="EC Square Sans Cond Pro" w:cs="Avenir Next LT Pro"/>
                <w:noProof/>
                <w:sz w:val="18"/>
                <w:szCs w:val="18"/>
                <w:lang w:val="en-IE"/>
              </w:rPr>
              <w:t>F-gases</w:t>
            </w:r>
          </w:p>
        </w:tc>
        <w:tc>
          <w:tcPr>
            <w:tcW w:w="850" w:type="dxa"/>
            <w:vAlign w:val="center"/>
          </w:tcPr>
          <w:p w14:paraId="2B6EEFA9" w14:textId="77777777" w:rsidR="00975052" w:rsidRPr="00975052" w:rsidRDefault="00975052" w:rsidP="003B1577">
            <w:pPr>
              <w:keepNext/>
              <w:spacing w:after="0"/>
              <w:jc w:val="center"/>
              <w:rPr>
                <w:rFonts w:ascii="EC Square Sans Cond Pro" w:hAnsi="EC Square Sans Cond Pro" w:cs="Cambria Math"/>
                <w:noProof/>
                <w:sz w:val="18"/>
                <w:szCs w:val="18"/>
              </w:rPr>
            </w:pPr>
            <w:r w:rsidRPr="00975052">
              <w:rPr>
                <w:rFonts w:ascii="EC Square Sans Cond Pro" w:hAnsi="EC Square Sans Cond Pro" w:cs="Arial"/>
                <w:noProof/>
                <w:sz w:val="18"/>
                <w:szCs w:val="18"/>
              </w:rPr>
              <w:t>28</w:t>
            </w:r>
          </w:p>
        </w:tc>
        <w:tc>
          <w:tcPr>
            <w:tcW w:w="851" w:type="dxa"/>
            <w:noWrap/>
            <w:vAlign w:val="center"/>
          </w:tcPr>
          <w:p w14:paraId="59ECE841" w14:textId="77777777" w:rsidR="00975052" w:rsidRPr="00975052" w:rsidRDefault="00975052" w:rsidP="003B1577">
            <w:pPr>
              <w:keepNext/>
              <w:spacing w:after="0"/>
              <w:jc w:val="center"/>
              <w:rPr>
                <w:rFonts w:ascii="EC Square Sans Cond Pro" w:hAnsi="EC Square Sans Cond Pro" w:cs="Avenir Next LT Pro"/>
                <w:noProof/>
                <w:sz w:val="18"/>
                <w:szCs w:val="18"/>
                <w:lang w:val="en-IE"/>
              </w:rPr>
            </w:pPr>
            <w:r w:rsidRPr="00975052">
              <w:rPr>
                <w:rFonts w:ascii="EC Square Sans Cond Pro" w:hAnsi="EC Square Sans Cond Pro" w:cs="Arial"/>
                <w:noProof/>
                <w:sz w:val="18"/>
                <w:szCs w:val="18"/>
              </w:rPr>
              <w:t>18</w:t>
            </w:r>
          </w:p>
        </w:tc>
        <w:tc>
          <w:tcPr>
            <w:tcW w:w="850" w:type="dxa"/>
            <w:vAlign w:val="center"/>
          </w:tcPr>
          <w:p w14:paraId="7096F8DA" w14:textId="2E8361DB" w:rsidR="00975052" w:rsidRPr="00975052" w:rsidRDefault="00975052"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8.</w:t>
            </w:r>
            <w:r w:rsidRPr="00975052">
              <w:rPr>
                <w:rFonts w:ascii="EC Square Sans Cond Pro" w:hAnsi="EC Square Sans Cond Pro" w:cs="Arial"/>
                <w:noProof/>
                <w:sz w:val="18"/>
                <w:szCs w:val="18"/>
              </w:rPr>
              <w:t>9</w:t>
            </w:r>
          </w:p>
        </w:tc>
        <w:tc>
          <w:tcPr>
            <w:tcW w:w="851" w:type="dxa"/>
            <w:vAlign w:val="center"/>
          </w:tcPr>
          <w:p w14:paraId="6AD5AAF8" w14:textId="224A0037" w:rsidR="00975052" w:rsidRPr="00975052" w:rsidRDefault="00975052" w:rsidP="003B1577">
            <w:pPr>
              <w:keepNext/>
              <w:spacing w:after="0"/>
              <w:jc w:val="center"/>
              <w:rPr>
                <w:rFonts w:ascii="EC Square Sans Cond Pro" w:hAnsi="EC Square Sans Cond Pro" w:cs="Cambria Math"/>
                <w:noProof/>
                <w:sz w:val="18"/>
                <w:szCs w:val="18"/>
              </w:rPr>
            </w:pPr>
            <w:r w:rsidRPr="00975052">
              <w:rPr>
                <w:rFonts w:ascii="EC Square Sans Cond Pro" w:hAnsi="EC Square Sans Cond Pro" w:cs="Arial"/>
                <w:noProof/>
                <w:sz w:val="18"/>
                <w:szCs w:val="18"/>
              </w:rPr>
              <w:t>6</w:t>
            </w:r>
            <w:r w:rsidRPr="00523283">
              <w:rPr>
                <w:rFonts w:ascii="EC Square Sans Cond Pro" w:hAnsi="EC Square Sans Cond Pro" w:cs="Calibri"/>
                <w:noProof/>
                <w:sz w:val="18"/>
                <w:szCs w:val="18"/>
              </w:rPr>
              <w:t>.1</w:t>
            </w:r>
          </w:p>
        </w:tc>
        <w:tc>
          <w:tcPr>
            <w:tcW w:w="850" w:type="dxa"/>
            <w:vAlign w:val="center"/>
          </w:tcPr>
          <w:p w14:paraId="220CDBF7" w14:textId="1E5D12DE" w:rsidR="00975052" w:rsidRPr="00975052" w:rsidRDefault="00975052"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6.8</w:t>
            </w:r>
          </w:p>
        </w:tc>
        <w:tc>
          <w:tcPr>
            <w:tcW w:w="851" w:type="dxa"/>
            <w:gridSpan w:val="2"/>
            <w:vAlign w:val="center"/>
          </w:tcPr>
          <w:p w14:paraId="625F4D8C" w14:textId="39A4CD7C" w:rsidR="00975052" w:rsidRPr="00975052" w:rsidRDefault="00975052"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w:t>
            </w:r>
            <w:r w:rsidR="00523283" w:rsidRPr="00523283">
              <w:rPr>
                <w:rFonts w:ascii="EC Square Sans Cond Pro" w:hAnsi="EC Square Sans Cond Pro" w:cs="Calibri"/>
                <w:noProof/>
                <w:sz w:val="18"/>
                <w:szCs w:val="18"/>
              </w:rPr>
              <w:t>51</w:t>
            </w:r>
            <w:r w:rsidRPr="00523283">
              <w:rPr>
                <w:rFonts w:ascii="EC Square Sans Cond Pro" w:hAnsi="EC Square Sans Cond Pro" w:cs="Calibri"/>
                <w:noProof/>
                <w:sz w:val="18"/>
                <w:szCs w:val="18"/>
              </w:rPr>
              <w:t>%</w:t>
            </w:r>
          </w:p>
        </w:tc>
        <w:tc>
          <w:tcPr>
            <w:tcW w:w="850" w:type="dxa"/>
            <w:vAlign w:val="center"/>
          </w:tcPr>
          <w:p w14:paraId="7D2EE440" w14:textId="7E221E5C" w:rsidR="00975052" w:rsidRPr="00975052" w:rsidRDefault="00975052" w:rsidP="003B1577">
            <w:pPr>
              <w:keepNext/>
              <w:spacing w:after="0"/>
              <w:jc w:val="center"/>
              <w:rPr>
                <w:rFonts w:ascii="EC Square Sans Cond Pro" w:hAnsi="EC Square Sans Cond Pro" w:cs="Avenir Next LT Pro"/>
                <w:noProof/>
                <w:sz w:val="18"/>
                <w:szCs w:val="18"/>
              </w:rPr>
            </w:pPr>
            <w:r w:rsidRPr="00523283">
              <w:rPr>
                <w:rFonts w:ascii="EC Square Sans Cond Pro" w:hAnsi="EC Square Sans Cond Pro" w:cs="Calibri"/>
                <w:noProof/>
                <w:sz w:val="18"/>
                <w:szCs w:val="18"/>
              </w:rPr>
              <w:t>-</w:t>
            </w:r>
            <w:r w:rsidR="00523283" w:rsidRPr="00523283">
              <w:rPr>
                <w:rFonts w:ascii="EC Square Sans Cond Pro" w:hAnsi="EC Square Sans Cond Pro" w:cs="Calibri"/>
                <w:noProof/>
                <w:sz w:val="18"/>
                <w:szCs w:val="18"/>
              </w:rPr>
              <w:t>67</w:t>
            </w:r>
            <w:r w:rsidRPr="00523283">
              <w:rPr>
                <w:rFonts w:ascii="EC Square Sans Cond Pro" w:hAnsi="EC Square Sans Cond Pro" w:cs="Calibri"/>
                <w:noProof/>
                <w:sz w:val="18"/>
                <w:szCs w:val="18"/>
              </w:rPr>
              <w:t>%</w:t>
            </w:r>
          </w:p>
        </w:tc>
        <w:tc>
          <w:tcPr>
            <w:tcW w:w="851" w:type="dxa"/>
            <w:vAlign w:val="center"/>
          </w:tcPr>
          <w:p w14:paraId="0AF756C7" w14:textId="0A2C6437" w:rsidR="00975052" w:rsidRPr="00975052" w:rsidRDefault="00975052"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w:t>
            </w:r>
            <w:r w:rsidR="00523283" w:rsidRPr="00523283">
              <w:rPr>
                <w:rFonts w:ascii="EC Square Sans Cond Pro" w:hAnsi="EC Square Sans Cond Pro" w:cs="Calibri"/>
                <w:noProof/>
                <w:sz w:val="18"/>
                <w:szCs w:val="18"/>
              </w:rPr>
              <w:t>63</w:t>
            </w:r>
            <w:r w:rsidRPr="00523283">
              <w:rPr>
                <w:rFonts w:ascii="EC Square Sans Cond Pro" w:hAnsi="EC Square Sans Cond Pro" w:cs="Calibri"/>
                <w:noProof/>
                <w:sz w:val="18"/>
                <w:szCs w:val="18"/>
              </w:rPr>
              <w:t>%</w:t>
            </w:r>
          </w:p>
        </w:tc>
      </w:tr>
      <w:tr w:rsidR="00975052" w:rsidRPr="00975052" w14:paraId="727A648E" w14:textId="77777777" w:rsidTr="000D2F9B">
        <w:trPr>
          <w:trHeight w:val="311"/>
        </w:trPr>
        <w:tc>
          <w:tcPr>
            <w:tcW w:w="1951" w:type="dxa"/>
            <w:gridSpan w:val="2"/>
            <w:noWrap/>
            <w:vAlign w:val="center"/>
          </w:tcPr>
          <w:p w14:paraId="28114500" w14:textId="77777777" w:rsidR="00975052" w:rsidRPr="00975052" w:rsidRDefault="00975052" w:rsidP="003B1577">
            <w:pPr>
              <w:keepNext/>
              <w:spacing w:after="0"/>
              <w:jc w:val="left"/>
              <w:rPr>
                <w:rFonts w:ascii="EC Square Sans Cond Pro" w:hAnsi="EC Square Sans Cond Pro" w:cs="Avenir Next LT Pro"/>
                <w:b/>
                <w:noProof/>
                <w:sz w:val="18"/>
                <w:szCs w:val="18"/>
                <w:lang w:val="en-IE"/>
              </w:rPr>
            </w:pPr>
            <w:r w:rsidRPr="00975052">
              <w:rPr>
                <w:rFonts w:ascii="EC Square Sans Cond Pro" w:hAnsi="EC Square Sans Cond Pro" w:cs="Avenir Next LT Pro"/>
                <w:noProof/>
                <w:sz w:val="18"/>
                <w:szCs w:val="18"/>
                <w:lang w:val="en-IE"/>
              </w:rPr>
              <w:t>Total (all gases)</w:t>
            </w:r>
          </w:p>
        </w:tc>
        <w:tc>
          <w:tcPr>
            <w:tcW w:w="850" w:type="dxa"/>
            <w:vAlign w:val="center"/>
          </w:tcPr>
          <w:p w14:paraId="3990E6CB" w14:textId="6D03219A" w:rsidR="00975052" w:rsidRPr="00975052" w:rsidRDefault="000F599E"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76</w:t>
            </w:r>
          </w:p>
        </w:tc>
        <w:tc>
          <w:tcPr>
            <w:tcW w:w="851" w:type="dxa"/>
            <w:noWrap/>
            <w:vAlign w:val="center"/>
          </w:tcPr>
          <w:p w14:paraId="06F2D2C4" w14:textId="58312DF7" w:rsidR="00975052" w:rsidRPr="00975052" w:rsidRDefault="000F599E" w:rsidP="003B1577">
            <w:pPr>
              <w:keepNext/>
              <w:spacing w:after="0"/>
              <w:jc w:val="center"/>
              <w:rPr>
                <w:rFonts w:ascii="EC Square Sans Cond Pro" w:hAnsi="EC Square Sans Cond Pro" w:cs="Avenir Next LT Pro"/>
                <w:noProof/>
                <w:sz w:val="18"/>
                <w:szCs w:val="18"/>
                <w:lang w:val="en-IE"/>
              </w:rPr>
            </w:pPr>
            <w:r w:rsidRPr="00523283">
              <w:rPr>
                <w:rFonts w:ascii="EC Square Sans Cond Pro" w:hAnsi="EC Square Sans Cond Pro" w:cs="Calibri"/>
                <w:noProof/>
                <w:sz w:val="18"/>
                <w:szCs w:val="18"/>
              </w:rPr>
              <w:t>27</w:t>
            </w:r>
          </w:p>
        </w:tc>
        <w:tc>
          <w:tcPr>
            <w:tcW w:w="850" w:type="dxa"/>
            <w:vAlign w:val="center"/>
          </w:tcPr>
          <w:p w14:paraId="2C8C5497" w14:textId="0302EF4B" w:rsidR="00975052" w:rsidRPr="00975052" w:rsidRDefault="000F599E"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16</w:t>
            </w:r>
          </w:p>
        </w:tc>
        <w:tc>
          <w:tcPr>
            <w:tcW w:w="851" w:type="dxa"/>
            <w:vAlign w:val="center"/>
          </w:tcPr>
          <w:p w14:paraId="1E95DEDA" w14:textId="5821AE8E" w:rsidR="00975052" w:rsidRPr="00975052" w:rsidRDefault="000F599E"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13</w:t>
            </w:r>
          </w:p>
        </w:tc>
        <w:tc>
          <w:tcPr>
            <w:tcW w:w="850" w:type="dxa"/>
            <w:vAlign w:val="center"/>
          </w:tcPr>
          <w:p w14:paraId="76931B4C" w14:textId="69FA5AA3" w:rsidR="00975052" w:rsidRPr="00975052" w:rsidRDefault="000F599E"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14</w:t>
            </w:r>
          </w:p>
        </w:tc>
        <w:tc>
          <w:tcPr>
            <w:tcW w:w="851" w:type="dxa"/>
            <w:gridSpan w:val="2"/>
            <w:vAlign w:val="center"/>
          </w:tcPr>
          <w:p w14:paraId="048B251B" w14:textId="33E394B1" w:rsidR="00975052" w:rsidRPr="00975052" w:rsidRDefault="00975052"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w:t>
            </w:r>
            <w:r w:rsidR="000F599E" w:rsidRPr="00523283">
              <w:rPr>
                <w:rFonts w:ascii="EC Square Sans Cond Pro" w:hAnsi="EC Square Sans Cond Pro" w:cs="Calibri"/>
                <w:noProof/>
                <w:sz w:val="18"/>
                <w:szCs w:val="18"/>
              </w:rPr>
              <w:t>41</w:t>
            </w:r>
            <w:r w:rsidRPr="00523283">
              <w:rPr>
                <w:rFonts w:ascii="EC Square Sans Cond Pro" w:hAnsi="EC Square Sans Cond Pro" w:cs="Calibri"/>
                <w:noProof/>
                <w:sz w:val="18"/>
                <w:szCs w:val="18"/>
              </w:rPr>
              <w:t>%</w:t>
            </w:r>
          </w:p>
        </w:tc>
        <w:tc>
          <w:tcPr>
            <w:tcW w:w="850" w:type="dxa"/>
            <w:vAlign w:val="center"/>
          </w:tcPr>
          <w:p w14:paraId="691B1EE6" w14:textId="7FD25C64" w:rsidR="00975052" w:rsidRPr="00975052" w:rsidRDefault="00975052" w:rsidP="003B1577">
            <w:pPr>
              <w:keepNext/>
              <w:spacing w:after="0"/>
              <w:jc w:val="center"/>
              <w:rPr>
                <w:rFonts w:ascii="EC Square Sans Cond Pro" w:hAnsi="EC Square Sans Cond Pro" w:cs="Avenir Next LT Pro"/>
                <w:noProof/>
                <w:sz w:val="18"/>
                <w:szCs w:val="18"/>
              </w:rPr>
            </w:pPr>
            <w:r w:rsidRPr="00523283">
              <w:rPr>
                <w:rFonts w:ascii="EC Square Sans Cond Pro" w:hAnsi="EC Square Sans Cond Pro" w:cs="Calibri"/>
                <w:noProof/>
                <w:sz w:val="18"/>
                <w:szCs w:val="18"/>
              </w:rPr>
              <w:t>-</w:t>
            </w:r>
            <w:r w:rsidR="000F599E" w:rsidRPr="00523283">
              <w:rPr>
                <w:rFonts w:ascii="EC Square Sans Cond Pro" w:hAnsi="EC Square Sans Cond Pro" w:cs="Calibri"/>
                <w:noProof/>
                <w:sz w:val="18"/>
                <w:szCs w:val="18"/>
              </w:rPr>
              <w:t>50</w:t>
            </w:r>
            <w:r w:rsidRPr="00523283">
              <w:rPr>
                <w:rFonts w:ascii="EC Square Sans Cond Pro" w:hAnsi="EC Square Sans Cond Pro" w:cs="Calibri"/>
                <w:noProof/>
                <w:sz w:val="18"/>
                <w:szCs w:val="18"/>
              </w:rPr>
              <w:t>%</w:t>
            </w:r>
          </w:p>
        </w:tc>
        <w:tc>
          <w:tcPr>
            <w:tcW w:w="851" w:type="dxa"/>
            <w:vAlign w:val="center"/>
          </w:tcPr>
          <w:p w14:paraId="507D5032" w14:textId="6A28D6CF" w:rsidR="00975052" w:rsidRPr="00975052" w:rsidRDefault="00975052" w:rsidP="003B1577">
            <w:pPr>
              <w:keepNext/>
              <w:spacing w:after="0"/>
              <w:jc w:val="center"/>
              <w:rPr>
                <w:rFonts w:ascii="EC Square Sans Cond Pro" w:hAnsi="EC Square Sans Cond Pro" w:cs="Cambria Math"/>
                <w:noProof/>
                <w:sz w:val="18"/>
                <w:szCs w:val="18"/>
              </w:rPr>
            </w:pPr>
            <w:r w:rsidRPr="00523283">
              <w:rPr>
                <w:rFonts w:ascii="EC Square Sans Cond Pro" w:hAnsi="EC Square Sans Cond Pro" w:cs="Calibri"/>
                <w:noProof/>
                <w:sz w:val="18"/>
                <w:szCs w:val="18"/>
              </w:rPr>
              <w:t>-</w:t>
            </w:r>
            <w:r w:rsidR="000F599E" w:rsidRPr="00523283">
              <w:rPr>
                <w:rFonts w:ascii="EC Square Sans Cond Pro" w:hAnsi="EC Square Sans Cond Pro" w:cs="Calibri"/>
                <w:noProof/>
                <w:sz w:val="18"/>
                <w:szCs w:val="18"/>
              </w:rPr>
              <w:t>46</w:t>
            </w:r>
            <w:r w:rsidRPr="00523283">
              <w:rPr>
                <w:rFonts w:ascii="EC Square Sans Cond Pro" w:hAnsi="EC Square Sans Cond Pro" w:cs="Calibri"/>
                <w:noProof/>
                <w:sz w:val="18"/>
                <w:szCs w:val="18"/>
              </w:rPr>
              <w:t>%</w:t>
            </w:r>
          </w:p>
        </w:tc>
      </w:tr>
      <w:tr w:rsidR="00975052" w:rsidRPr="00975052" w14:paraId="6DEEE7F6" w14:textId="77777777" w:rsidTr="000D2F9B">
        <w:trPr>
          <w:trHeight w:val="311"/>
        </w:trPr>
        <w:tc>
          <w:tcPr>
            <w:tcW w:w="1951" w:type="dxa"/>
            <w:gridSpan w:val="2"/>
            <w:noWrap/>
            <w:vAlign w:val="center"/>
          </w:tcPr>
          <w:p w14:paraId="5C7085FC" w14:textId="77777777" w:rsidR="00975052" w:rsidRPr="00975052" w:rsidRDefault="00975052" w:rsidP="003B1577">
            <w:pPr>
              <w:keepNext/>
              <w:spacing w:after="0"/>
              <w:jc w:val="left"/>
              <w:rPr>
                <w:rFonts w:ascii="EC Square Sans Cond Pro" w:hAnsi="EC Square Sans Cond Pro" w:cs="Avenir Next LT Pro"/>
                <w:noProof/>
                <w:sz w:val="18"/>
                <w:szCs w:val="18"/>
                <w:lang w:val="en-IE"/>
              </w:rPr>
            </w:pPr>
            <w:r w:rsidRPr="00975052">
              <w:rPr>
                <w:rFonts w:ascii="EC Square Sans Cond Pro" w:hAnsi="EC Square Sans Cond Pro" w:cs="Avenir Next LT Pro"/>
                <w:b/>
                <w:noProof/>
                <w:sz w:val="18"/>
                <w:szCs w:val="18"/>
                <w:lang w:val="en-IE"/>
              </w:rPr>
              <w:t>Total</w:t>
            </w:r>
          </w:p>
        </w:tc>
        <w:tc>
          <w:tcPr>
            <w:tcW w:w="850" w:type="dxa"/>
            <w:vAlign w:val="center"/>
          </w:tcPr>
          <w:p w14:paraId="63D0EBB0" w14:textId="77777777" w:rsidR="00975052" w:rsidRPr="00975052" w:rsidRDefault="00975052" w:rsidP="003B1577">
            <w:pPr>
              <w:keepNext/>
              <w:spacing w:after="0"/>
              <w:jc w:val="center"/>
              <w:rPr>
                <w:rFonts w:ascii="EC Square Sans Cond Pro" w:hAnsi="EC Square Sans Cond Pro" w:cs="Arial"/>
                <w:noProof/>
                <w:sz w:val="18"/>
                <w:szCs w:val="18"/>
              </w:rPr>
            </w:pPr>
          </w:p>
        </w:tc>
        <w:tc>
          <w:tcPr>
            <w:tcW w:w="851" w:type="dxa"/>
            <w:noWrap/>
            <w:vAlign w:val="center"/>
          </w:tcPr>
          <w:p w14:paraId="60EEA24A" w14:textId="77777777" w:rsidR="00975052" w:rsidRPr="00975052" w:rsidRDefault="00975052" w:rsidP="003B1577">
            <w:pPr>
              <w:keepNext/>
              <w:spacing w:after="0"/>
              <w:jc w:val="center"/>
              <w:rPr>
                <w:rFonts w:ascii="EC Square Sans Cond Pro" w:hAnsi="EC Square Sans Cond Pro" w:cs="Arial"/>
                <w:noProof/>
                <w:sz w:val="18"/>
                <w:szCs w:val="18"/>
              </w:rPr>
            </w:pPr>
          </w:p>
        </w:tc>
        <w:tc>
          <w:tcPr>
            <w:tcW w:w="850" w:type="dxa"/>
            <w:vAlign w:val="center"/>
          </w:tcPr>
          <w:p w14:paraId="3DD4EB8A" w14:textId="77777777" w:rsidR="00975052" w:rsidRPr="00975052" w:rsidRDefault="00975052" w:rsidP="003B1577">
            <w:pPr>
              <w:keepNext/>
              <w:spacing w:after="0"/>
              <w:jc w:val="center"/>
              <w:rPr>
                <w:rFonts w:ascii="EC Square Sans Cond Pro" w:hAnsi="EC Square Sans Cond Pro" w:cs="Arial"/>
                <w:noProof/>
                <w:sz w:val="18"/>
                <w:szCs w:val="18"/>
              </w:rPr>
            </w:pPr>
          </w:p>
        </w:tc>
        <w:tc>
          <w:tcPr>
            <w:tcW w:w="851" w:type="dxa"/>
            <w:vAlign w:val="center"/>
          </w:tcPr>
          <w:p w14:paraId="2C5CF43C" w14:textId="77777777" w:rsidR="00975052" w:rsidRPr="00975052" w:rsidRDefault="00975052" w:rsidP="003B1577">
            <w:pPr>
              <w:keepNext/>
              <w:spacing w:after="0"/>
              <w:jc w:val="center"/>
              <w:rPr>
                <w:rFonts w:ascii="EC Square Sans Cond Pro" w:hAnsi="EC Square Sans Cond Pro" w:cs="Arial"/>
                <w:noProof/>
                <w:sz w:val="18"/>
                <w:szCs w:val="18"/>
              </w:rPr>
            </w:pPr>
          </w:p>
        </w:tc>
        <w:tc>
          <w:tcPr>
            <w:tcW w:w="850" w:type="dxa"/>
            <w:vAlign w:val="center"/>
          </w:tcPr>
          <w:p w14:paraId="0512793E" w14:textId="77777777" w:rsidR="00975052" w:rsidRPr="00975052" w:rsidRDefault="00975052" w:rsidP="003B1577">
            <w:pPr>
              <w:keepNext/>
              <w:spacing w:after="0"/>
              <w:jc w:val="center"/>
              <w:rPr>
                <w:rFonts w:ascii="EC Square Sans Cond Pro" w:hAnsi="EC Square Sans Cond Pro" w:cs="Arial"/>
                <w:noProof/>
                <w:sz w:val="18"/>
                <w:szCs w:val="18"/>
              </w:rPr>
            </w:pPr>
          </w:p>
        </w:tc>
        <w:tc>
          <w:tcPr>
            <w:tcW w:w="851" w:type="dxa"/>
            <w:gridSpan w:val="2"/>
            <w:vAlign w:val="center"/>
          </w:tcPr>
          <w:p w14:paraId="30C1F207" w14:textId="77777777" w:rsidR="00975052" w:rsidRPr="00975052" w:rsidRDefault="00975052" w:rsidP="003B1577">
            <w:pPr>
              <w:keepNext/>
              <w:spacing w:after="0"/>
              <w:jc w:val="center"/>
              <w:rPr>
                <w:rFonts w:ascii="EC Square Sans Cond Pro" w:hAnsi="EC Square Sans Cond Pro" w:cs="Arial"/>
                <w:noProof/>
                <w:sz w:val="18"/>
                <w:szCs w:val="18"/>
              </w:rPr>
            </w:pPr>
          </w:p>
        </w:tc>
        <w:tc>
          <w:tcPr>
            <w:tcW w:w="850" w:type="dxa"/>
            <w:vAlign w:val="center"/>
          </w:tcPr>
          <w:p w14:paraId="1B6EBA5B" w14:textId="77777777" w:rsidR="00975052" w:rsidRPr="00975052" w:rsidRDefault="00975052" w:rsidP="003B1577">
            <w:pPr>
              <w:keepNext/>
              <w:spacing w:after="0"/>
              <w:jc w:val="center"/>
              <w:rPr>
                <w:rFonts w:ascii="EC Square Sans Cond Pro" w:hAnsi="EC Square Sans Cond Pro" w:cs="Arial"/>
                <w:noProof/>
                <w:sz w:val="18"/>
                <w:szCs w:val="18"/>
              </w:rPr>
            </w:pPr>
          </w:p>
        </w:tc>
        <w:tc>
          <w:tcPr>
            <w:tcW w:w="851" w:type="dxa"/>
            <w:vAlign w:val="center"/>
          </w:tcPr>
          <w:p w14:paraId="01EFF74D" w14:textId="77777777" w:rsidR="00975052" w:rsidRPr="00975052" w:rsidRDefault="00975052" w:rsidP="003B1577">
            <w:pPr>
              <w:keepNext/>
              <w:spacing w:after="0"/>
              <w:jc w:val="center"/>
              <w:rPr>
                <w:rFonts w:ascii="EC Square Sans Cond Pro" w:hAnsi="EC Square Sans Cond Pro" w:cs="Arial"/>
                <w:noProof/>
                <w:sz w:val="18"/>
                <w:szCs w:val="18"/>
              </w:rPr>
            </w:pPr>
          </w:p>
        </w:tc>
      </w:tr>
      <w:tr w:rsidR="00975052" w:rsidRPr="00975052" w14:paraId="30303F60" w14:textId="77777777" w:rsidTr="000D2F9B">
        <w:trPr>
          <w:trHeight w:val="311"/>
        </w:trPr>
        <w:tc>
          <w:tcPr>
            <w:tcW w:w="1951" w:type="dxa"/>
            <w:gridSpan w:val="2"/>
            <w:noWrap/>
            <w:vAlign w:val="center"/>
          </w:tcPr>
          <w:p w14:paraId="0145C1E8" w14:textId="77777777" w:rsidR="00975052" w:rsidRPr="00975052" w:rsidRDefault="00975052" w:rsidP="003B1577">
            <w:pPr>
              <w:keepNext/>
              <w:spacing w:after="0"/>
              <w:jc w:val="left"/>
              <w:rPr>
                <w:rFonts w:ascii="EC Square Sans Cond Pro" w:hAnsi="EC Square Sans Cond Pro" w:cs="Avenir Next LT Pro"/>
                <w:noProof/>
                <w:sz w:val="18"/>
                <w:szCs w:val="18"/>
                <w:lang w:val="en-IE"/>
              </w:rPr>
            </w:pPr>
            <w:r w:rsidRPr="00975052">
              <w:rPr>
                <w:rFonts w:ascii="EC Square Sans Cond Pro" w:hAnsi="EC Square Sans Cond Pro" w:cs="Avenir Next LT Pro"/>
                <w:noProof/>
                <w:sz w:val="18"/>
                <w:szCs w:val="18"/>
                <w:lang w:val="en-IE"/>
              </w:rPr>
              <w:t>CH4</w:t>
            </w:r>
          </w:p>
        </w:tc>
        <w:tc>
          <w:tcPr>
            <w:tcW w:w="850" w:type="dxa"/>
            <w:vAlign w:val="center"/>
          </w:tcPr>
          <w:p w14:paraId="6C2C9D4C" w14:textId="29B2DCF3" w:rsidR="00975052" w:rsidRPr="00975052" w:rsidRDefault="000F599E"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255</w:t>
            </w:r>
          </w:p>
        </w:tc>
        <w:tc>
          <w:tcPr>
            <w:tcW w:w="851" w:type="dxa"/>
            <w:noWrap/>
            <w:vAlign w:val="center"/>
          </w:tcPr>
          <w:p w14:paraId="069B5969" w14:textId="37A23AD3" w:rsidR="00975052" w:rsidRPr="00975052" w:rsidRDefault="000F599E"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196</w:t>
            </w:r>
          </w:p>
        </w:tc>
        <w:tc>
          <w:tcPr>
            <w:tcW w:w="850" w:type="dxa"/>
            <w:vAlign w:val="center"/>
          </w:tcPr>
          <w:p w14:paraId="10C1C646" w14:textId="0C95C2B1" w:rsidR="00975052" w:rsidRPr="00975052" w:rsidRDefault="000F599E"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11</w:t>
            </w:r>
            <w:r w:rsidR="00805AD9">
              <w:rPr>
                <w:rFonts w:ascii="EC Square Sans Cond Pro" w:hAnsi="EC Square Sans Cond Pro" w:cs="Calibri"/>
                <w:noProof/>
                <w:sz w:val="18"/>
                <w:szCs w:val="18"/>
              </w:rPr>
              <w:t>6</w:t>
            </w:r>
          </w:p>
        </w:tc>
        <w:tc>
          <w:tcPr>
            <w:tcW w:w="851" w:type="dxa"/>
            <w:vAlign w:val="center"/>
          </w:tcPr>
          <w:p w14:paraId="74E01696" w14:textId="66472870" w:rsidR="00975052" w:rsidRPr="00975052" w:rsidRDefault="000F599E"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8</w:t>
            </w:r>
            <w:r w:rsidR="00805AD9">
              <w:rPr>
                <w:rFonts w:ascii="EC Square Sans Cond Pro" w:hAnsi="EC Square Sans Cond Pro" w:cs="Calibri"/>
                <w:noProof/>
                <w:sz w:val="18"/>
                <w:szCs w:val="18"/>
              </w:rPr>
              <w:t>0</w:t>
            </w:r>
          </w:p>
        </w:tc>
        <w:tc>
          <w:tcPr>
            <w:tcW w:w="850" w:type="dxa"/>
            <w:vAlign w:val="center"/>
          </w:tcPr>
          <w:p w14:paraId="53CF6A4F" w14:textId="6A28EE42" w:rsidR="00975052" w:rsidRPr="00975052" w:rsidRDefault="000F599E"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6</w:t>
            </w:r>
            <w:r w:rsidR="00805AD9">
              <w:rPr>
                <w:rFonts w:ascii="EC Square Sans Cond Pro" w:hAnsi="EC Square Sans Cond Pro" w:cs="Calibri"/>
                <w:noProof/>
                <w:sz w:val="18"/>
                <w:szCs w:val="18"/>
              </w:rPr>
              <w:t>1</w:t>
            </w:r>
          </w:p>
        </w:tc>
        <w:tc>
          <w:tcPr>
            <w:tcW w:w="851" w:type="dxa"/>
            <w:gridSpan w:val="2"/>
            <w:vAlign w:val="center"/>
          </w:tcPr>
          <w:p w14:paraId="572E2F3E" w14:textId="74637958" w:rsidR="00975052" w:rsidRPr="00975052" w:rsidRDefault="00975052"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w:t>
            </w:r>
            <w:r w:rsidR="000F599E" w:rsidRPr="00523283">
              <w:rPr>
                <w:rFonts w:ascii="EC Square Sans Cond Pro" w:hAnsi="EC Square Sans Cond Pro" w:cs="Calibri"/>
                <w:noProof/>
                <w:sz w:val="18"/>
                <w:szCs w:val="18"/>
              </w:rPr>
              <w:t>4</w:t>
            </w:r>
            <w:r w:rsidR="00805AD9">
              <w:rPr>
                <w:rFonts w:ascii="EC Square Sans Cond Pro" w:hAnsi="EC Square Sans Cond Pro" w:cs="Calibri"/>
                <w:noProof/>
                <w:sz w:val="18"/>
                <w:szCs w:val="18"/>
              </w:rPr>
              <w:t>1</w:t>
            </w:r>
            <w:r w:rsidRPr="00523283">
              <w:rPr>
                <w:rFonts w:ascii="EC Square Sans Cond Pro" w:hAnsi="EC Square Sans Cond Pro" w:cs="Calibri"/>
                <w:noProof/>
                <w:sz w:val="18"/>
                <w:szCs w:val="18"/>
              </w:rPr>
              <w:t>%</w:t>
            </w:r>
          </w:p>
        </w:tc>
        <w:tc>
          <w:tcPr>
            <w:tcW w:w="850" w:type="dxa"/>
            <w:vAlign w:val="center"/>
          </w:tcPr>
          <w:p w14:paraId="21D72F7F" w14:textId="24415D35" w:rsidR="00975052" w:rsidRPr="00975052" w:rsidRDefault="00975052"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w:t>
            </w:r>
            <w:r w:rsidR="000F599E" w:rsidRPr="00523283">
              <w:rPr>
                <w:rFonts w:ascii="EC Square Sans Cond Pro" w:hAnsi="EC Square Sans Cond Pro" w:cs="Calibri"/>
                <w:noProof/>
                <w:sz w:val="18"/>
                <w:szCs w:val="18"/>
              </w:rPr>
              <w:t>5</w:t>
            </w:r>
            <w:r w:rsidR="00805AD9">
              <w:rPr>
                <w:rFonts w:ascii="EC Square Sans Cond Pro" w:hAnsi="EC Square Sans Cond Pro" w:cs="Calibri"/>
                <w:noProof/>
                <w:sz w:val="18"/>
                <w:szCs w:val="18"/>
              </w:rPr>
              <w:t>9</w:t>
            </w:r>
            <w:r w:rsidRPr="00523283">
              <w:rPr>
                <w:rFonts w:ascii="EC Square Sans Cond Pro" w:hAnsi="EC Square Sans Cond Pro" w:cs="Calibri"/>
                <w:noProof/>
                <w:sz w:val="18"/>
                <w:szCs w:val="18"/>
              </w:rPr>
              <w:t>%</w:t>
            </w:r>
          </w:p>
        </w:tc>
        <w:tc>
          <w:tcPr>
            <w:tcW w:w="851" w:type="dxa"/>
            <w:vAlign w:val="center"/>
          </w:tcPr>
          <w:p w14:paraId="5745EA09" w14:textId="761ED741" w:rsidR="00975052" w:rsidRPr="00975052" w:rsidRDefault="00975052"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w:t>
            </w:r>
            <w:r w:rsidR="000F599E" w:rsidRPr="00523283">
              <w:rPr>
                <w:rFonts w:ascii="EC Square Sans Cond Pro" w:hAnsi="EC Square Sans Cond Pro" w:cs="Calibri"/>
                <w:noProof/>
                <w:sz w:val="18"/>
                <w:szCs w:val="18"/>
              </w:rPr>
              <w:t>6</w:t>
            </w:r>
            <w:r w:rsidR="00805AD9">
              <w:rPr>
                <w:rFonts w:ascii="EC Square Sans Cond Pro" w:hAnsi="EC Square Sans Cond Pro" w:cs="Calibri"/>
                <w:noProof/>
                <w:sz w:val="18"/>
                <w:szCs w:val="18"/>
              </w:rPr>
              <w:t>9</w:t>
            </w:r>
            <w:r w:rsidRPr="00523283">
              <w:rPr>
                <w:rFonts w:ascii="EC Square Sans Cond Pro" w:hAnsi="EC Square Sans Cond Pro" w:cs="Calibri"/>
                <w:noProof/>
                <w:sz w:val="18"/>
                <w:szCs w:val="18"/>
              </w:rPr>
              <w:t>%</w:t>
            </w:r>
          </w:p>
        </w:tc>
      </w:tr>
      <w:tr w:rsidR="00975052" w:rsidRPr="00975052" w14:paraId="65020951" w14:textId="77777777" w:rsidTr="000D2F9B">
        <w:trPr>
          <w:trHeight w:val="311"/>
        </w:trPr>
        <w:tc>
          <w:tcPr>
            <w:tcW w:w="1951" w:type="dxa"/>
            <w:gridSpan w:val="2"/>
            <w:noWrap/>
            <w:vAlign w:val="center"/>
          </w:tcPr>
          <w:p w14:paraId="45FC1320" w14:textId="77777777" w:rsidR="00975052" w:rsidRPr="00975052" w:rsidRDefault="00975052" w:rsidP="003B1577">
            <w:pPr>
              <w:keepNext/>
              <w:spacing w:after="0"/>
              <w:jc w:val="left"/>
              <w:rPr>
                <w:rFonts w:ascii="EC Square Sans Cond Pro" w:hAnsi="EC Square Sans Cond Pro" w:cs="Avenir Next LT Pro"/>
                <w:noProof/>
                <w:sz w:val="18"/>
                <w:szCs w:val="18"/>
                <w:lang w:val="en-IE"/>
              </w:rPr>
            </w:pPr>
            <w:r w:rsidRPr="00975052">
              <w:rPr>
                <w:rFonts w:ascii="EC Square Sans Cond Pro" w:hAnsi="EC Square Sans Cond Pro" w:cs="Avenir Next LT Pro"/>
                <w:noProof/>
                <w:sz w:val="18"/>
                <w:szCs w:val="18"/>
                <w:lang w:val="en-IE"/>
              </w:rPr>
              <w:t>N2O</w:t>
            </w:r>
          </w:p>
        </w:tc>
        <w:tc>
          <w:tcPr>
            <w:tcW w:w="850" w:type="dxa"/>
            <w:vAlign w:val="center"/>
          </w:tcPr>
          <w:p w14:paraId="727696E0" w14:textId="45653D0F" w:rsidR="00975052" w:rsidRPr="00975052" w:rsidRDefault="000F599E"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83</w:t>
            </w:r>
          </w:p>
        </w:tc>
        <w:tc>
          <w:tcPr>
            <w:tcW w:w="851" w:type="dxa"/>
            <w:noWrap/>
            <w:vAlign w:val="center"/>
          </w:tcPr>
          <w:p w14:paraId="4A8710ED" w14:textId="6A8DD0FE" w:rsidR="00975052" w:rsidRPr="00975052" w:rsidRDefault="000F599E"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41</w:t>
            </w:r>
          </w:p>
        </w:tc>
        <w:tc>
          <w:tcPr>
            <w:tcW w:w="850" w:type="dxa"/>
            <w:vAlign w:val="center"/>
          </w:tcPr>
          <w:p w14:paraId="3AA1302F" w14:textId="18A46BA8" w:rsidR="00975052" w:rsidRPr="00975052" w:rsidRDefault="000F599E"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34</w:t>
            </w:r>
          </w:p>
        </w:tc>
        <w:tc>
          <w:tcPr>
            <w:tcW w:w="851" w:type="dxa"/>
            <w:vAlign w:val="center"/>
          </w:tcPr>
          <w:p w14:paraId="54C25DFB" w14:textId="2998601F" w:rsidR="00975052" w:rsidRPr="00975052" w:rsidRDefault="000F599E"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27</w:t>
            </w:r>
          </w:p>
        </w:tc>
        <w:tc>
          <w:tcPr>
            <w:tcW w:w="850" w:type="dxa"/>
            <w:vAlign w:val="center"/>
          </w:tcPr>
          <w:p w14:paraId="3F9C3708" w14:textId="501CC1E0" w:rsidR="00975052" w:rsidRPr="00975052" w:rsidRDefault="000F599E"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25</w:t>
            </w:r>
          </w:p>
        </w:tc>
        <w:tc>
          <w:tcPr>
            <w:tcW w:w="851" w:type="dxa"/>
            <w:gridSpan w:val="2"/>
            <w:vAlign w:val="center"/>
          </w:tcPr>
          <w:p w14:paraId="66F8075E" w14:textId="01629AF2" w:rsidR="00975052" w:rsidRPr="00975052" w:rsidRDefault="00975052"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w:t>
            </w:r>
            <w:r w:rsidR="000F599E" w:rsidRPr="00523283">
              <w:rPr>
                <w:rFonts w:ascii="EC Square Sans Cond Pro" w:hAnsi="EC Square Sans Cond Pro" w:cs="Calibri"/>
                <w:noProof/>
                <w:sz w:val="18"/>
                <w:szCs w:val="18"/>
              </w:rPr>
              <w:t>16</w:t>
            </w:r>
            <w:r w:rsidRPr="00523283">
              <w:rPr>
                <w:rFonts w:ascii="EC Square Sans Cond Pro" w:hAnsi="EC Square Sans Cond Pro" w:cs="Calibri"/>
                <w:noProof/>
                <w:sz w:val="18"/>
                <w:szCs w:val="18"/>
              </w:rPr>
              <w:t>%</w:t>
            </w:r>
          </w:p>
        </w:tc>
        <w:tc>
          <w:tcPr>
            <w:tcW w:w="850" w:type="dxa"/>
            <w:vAlign w:val="center"/>
          </w:tcPr>
          <w:p w14:paraId="543F9CB4" w14:textId="097B69B1" w:rsidR="00975052" w:rsidRPr="00975052" w:rsidRDefault="00975052"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w:t>
            </w:r>
            <w:r w:rsidR="000F599E" w:rsidRPr="00523283">
              <w:rPr>
                <w:rFonts w:ascii="EC Square Sans Cond Pro" w:hAnsi="EC Square Sans Cond Pro" w:cs="Calibri"/>
                <w:noProof/>
                <w:sz w:val="18"/>
                <w:szCs w:val="18"/>
              </w:rPr>
              <w:t>33</w:t>
            </w:r>
            <w:r w:rsidRPr="00523283">
              <w:rPr>
                <w:rFonts w:ascii="EC Square Sans Cond Pro" w:hAnsi="EC Square Sans Cond Pro" w:cs="Calibri"/>
                <w:noProof/>
                <w:sz w:val="18"/>
                <w:szCs w:val="18"/>
              </w:rPr>
              <w:t>%</w:t>
            </w:r>
          </w:p>
        </w:tc>
        <w:tc>
          <w:tcPr>
            <w:tcW w:w="851" w:type="dxa"/>
            <w:vAlign w:val="center"/>
          </w:tcPr>
          <w:p w14:paraId="276B9363" w14:textId="3378455E" w:rsidR="00975052" w:rsidRPr="00975052" w:rsidRDefault="00975052"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w:t>
            </w:r>
            <w:r w:rsidR="000F599E" w:rsidRPr="00523283">
              <w:rPr>
                <w:rFonts w:ascii="EC Square Sans Cond Pro" w:hAnsi="EC Square Sans Cond Pro" w:cs="Calibri"/>
                <w:noProof/>
                <w:sz w:val="18"/>
                <w:szCs w:val="18"/>
              </w:rPr>
              <w:t>39</w:t>
            </w:r>
            <w:r w:rsidRPr="00523283">
              <w:rPr>
                <w:rFonts w:ascii="EC Square Sans Cond Pro" w:hAnsi="EC Square Sans Cond Pro" w:cs="Calibri"/>
                <w:noProof/>
                <w:sz w:val="18"/>
                <w:szCs w:val="18"/>
              </w:rPr>
              <w:t>%</w:t>
            </w:r>
          </w:p>
        </w:tc>
      </w:tr>
      <w:tr w:rsidR="00975052" w:rsidRPr="00975052" w14:paraId="02599A61" w14:textId="77777777" w:rsidTr="000D2F9B">
        <w:trPr>
          <w:trHeight w:val="311"/>
        </w:trPr>
        <w:tc>
          <w:tcPr>
            <w:tcW w:w="1951" w:type="dxa"/>
            <w:gridSpan w:val="2"/>
            <w:noWrap/>
            <w:vAlign w:val="center"/>
          </w:tcPr>
          <w:p w14:paraId="1A2C45CA" w14:textId="77777777" w:rsidR="00975052" w:rsidRPr="00975052" w:rsidRDefault="00975052" w:rsidP="003B1577">
            <w:pPr>
              <w:keepNext/>
              <w:spacing w:after="0"/>
              <w:jc w:val="left"/>
              <w:rPr>
                <w:rFonts w:ascii="EC Square Sans Cond Pro" w:hAnsi="EC Square Sans Cond Pro" w:cs="Avenir Next LT Pro"/>
                <w:noProof/>
                <w:sz w:val="18"/>
                <w:szCs w:val="18"/>
                <w:lang w:val="en-IE"/>
              </w:rPr>
            </w:pPr>
            <w:r w:rsidRPr="00975052">
              <w:rPr>
                <w:rFonts w:ascii="EC Square Sans Cond Pro" w:hAnsi="EC Square Sans Cond Pro" w:cs="Avenir Next LT Pro"/>
                <w:noProof/>
                <w:sz w:val="18"/>
                <w:szCs w:val="18"/>
                <w:lang w:val="en-IE"/>
              </w:rPr>
              <w:t>F-gases</w:t>
            </w:r>
          </w:p>
        </w:tc>
        <w:tc>
          <w:tcPr>
            <w:tcW w:w="850" w:type="dxa"/>
            <w:vAlign w:val="center"/>
          </w:tcPr>
          <w:p w14:paraId="2F7E164C" w14:textId="77777777" w:rsidR="00975052" w:rsidRPr="00975052" w:rsidRDefault="00975052"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71</w:t>
            </w:r>
          </w:p>
        </w:tc>
        <w:tc>
          <w:tcPr>
            <w:tcW w:w="851" w:type="dxa"/>
            <w:noWrap/>
            <w:vAlign w:val="center"/>
          </w:tcPr>
          <w:p w14:paraId="132A3921" w14:textId="77777777" w:rsidR="00975052" w:rsidRPr="00975052" w:rsidRDefault="00975052"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94</w:t>
            </w:r>
          </w:p>
        </w:tc>
        <w:tc>
          <w:tcPr>
            <w:tcW w:w="850" w:type="dxa"/>
            <w:vAlign w:val="center"/>
          </w:tcPr>
          <w:p w14:paraId="55DE6075" w14:textId="77777777" w:rsidR="00975052" w:rsidRPr="00975052" w:rsidRDefault="00975052"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30</w:t>
            </w:r>
          </w:p>
        </w:tc>
        <w:tc>
          <w:tcPr>
            <w:tcW w:w="851" w:type="dxa"/>
            <w:vAlign w:val="center"/>
          </w:tcPr>
          <w:p w14:paraId="4F274E8E" w14:textId="62416F00" w:rsidR="00975052" w:rsidRPr="00975052" w:rsidRDefault="00975052"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8.7</w:t>
            </w:r>
          </w:p>
        </w:tc>
        <w:tc>
          <w:tcPr>
            <w:tcW w:w="850" w:type="dxa"/>
            <w:vAlign w:val="center"/>
          </w:tcPr>
          <w:p w14:paraId="31FD8690" w14:textId="1D5DFA66" w:rsidR="00975052" w:rsidRPr="00975052" w:rsidRDefault="00975052"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7.6</w:t>
            </w:r>
          </w:p>
        </w:tc>
        <w:tc>
          <w:tcPr>
            <w:tcW w:w="851" w:type="dxa"/>
            <w:gridSpan w:val="2"/>
            <w:vAlign w:val="center"/>
          </w:tcPr>
          <w:p w14:paraId="66200825" w14:textId="254AD5E6" w:rsidR="00975052" w:rsidRPr="00975052" w:rsidRDefault="00975052"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w:t>
            </w:r>
            <w:r w:rsidR="00523283" w:rsidRPr="00523283">
              <w:rPr>
                <w:rFonts w:ascii="EC Square Sans Cond Pro" w:hAnsi="EC Square Sans Cond Pro" w:cs="Calibri"/>
                <w:noProof/>
                <w:sz w:val="18"/>
                <w:szCs w:val="18"/>
              </w:rPr>
              <w:t>68</w:t>
            </w:r>
            <w:r w:rsidRPr="00523283">
              <w:rPr>
                <w:rFonts w:ascii="EC Square Sans Cond Pro" w:hAnsi="EC Square Sans Cond Pro" w:cs="Calibri"/>
                <w:noProof/>
                <w:sz w:val="18"/>
                <w:szCs w:val="18"/>
              </w:rPr>
              <w:t>%</w:t>
            </w:r>
          </w:p>
        </w:tc>
        <w:tc>
          <w:tcPr>
            <w:tcW w:w="850" w:type="dxa"/>
            <w:vAlign w:val="center"/>
          </w:tcPr>
          <w:p w14:paraId="75E5585E" w14:textId="70917E2D" w:rsidR="00975052" w:rsidRPr="00975052" w:rsidRDefault="00975052"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w:t>
            </w:r>
            <w:r w:rsidR="00523283" w:rsidRPr="00523283">
              <w:rPr>
                <w:rFonts w:ascii="EC Square Sans Cond Pro" w:hAnsi="EC Square Sans Cond Pro" w:cs="Calibri"/>
                <w:noProof/>
                <w:sz w:val="18"/>
                <w:szCs w:val="18"/>
              </w:rPr>
              <w:t>91</w:t>
            </w:r>
            <w:r w:rsidRPr="00523283">
              <w:rPr>
                <w:rFonts w:ascii="EC Square Sans Cond Pro" w:hAnsi="EC Square Sans Cond Pro" w:cs="Calibri"/>
                <w:noProof/>
                <w:sz w:val="18"/>
                <w:szCs w:val="18"/>
              </w:rPr>
              <w:t>%</w:t>
            </w:r>
          </w:p>
        </w:tc>
        <w:tc>
          <w:tcPr>
            <w:tcW w:w="851" w:type="dxa"/>
            <w:vAlign w:val="center"/>
          </w:tcPr>
          <w:p w14:paraId="7A7C01AF" w14:textId="2A658DC5" w:rsidR="00975052" w:rsidRPr="00975052" w:rsidRDefault="00975052"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w:t>
            </w:r>
            <w:r w:rsidR="00523283" w:rsidRPr="00523283">
              <w:rPr>
                <w:rFonts w:ascii="EC Square Sans Cond Pro" w:hAnsi="EC Square Sans Cond Pro" w:cs="Calibri"/>
                <w:noProof/>
                <w:sz w:val="18"/>
                <w:szCs w:val="18"/>
              </w:rPr>
              <w:t>92</w:t>
            </w:r>
            <w:r w:rsidRPr="00523283">
              <w:rPr>
                <w:rFonts w:ascii="EC Square Sans Cond Pro" w:hAnsi="EC Square Sans Cond Pro" w:cs="Calibri"/>
                <w:noProof/>
                <w:sz w:val="18"/>
                <w:szCs w:val="18"/>
              </w:rPr>
              <w:t>%</w:t>
            </w:r>
          </w:p>
        </w:tc>
      </w:tr>
      <w:tr w:rsidR="00975052" w:rsidRPr="00975052" w14:paraId="25F4C37E" w14:textId="77777777" w:rsidTr="000D2F9B">
        <w:trPr>
          <w:trHeight w:val="311"/>
        </w:trPr>
        <w:tc>
          <w:tcPr>
            <w:tcW w:w="1951" w:type="dxa"/>
            <w:gridSpan w:val="2"/>
            <w:noWrap/>
            <w:vAlign w:val="center"/>
          </w:tcPr>
          <w:p w14:paraId="42841BD5" w14:textId="77777777" w:rsidR="00975052" w:rsidRPr="00975052" w:rsidRDefault="00975052" w:rsidP="003B1577">
            <w:pPr>
              <w:keepNext/>
              <w:spacing w:after="0"/>
              <w:jc w:val="left"/>
              <w:rPr>
                <w:rFonts w:ascii="EC Square Sans Cond Pro" w:hAnsi="EC Square Sans Cond Pro" w:cs="Avenir Next LT Pro"/>
                <w:noProof/>
                <w:sz w:val="18"/>
                <w:szCs w:val="18"/>
                <w:lang w:val="en-IE"/>
              </w:rPr>
            </w:pPr>
            <w:r w:rsidRPr="00975052">
              <w:rPr>
                <w:rFonts w:ascii="EC Square Sans Cond Pro" w:hAnsi="EC Square Sans Cond Pro" w:cs="Avenir Next LT Pro"/>
                <w:noProof/>
                <w:sz w:val="18"/>
                <w:szCs w:val="18"/>
                <w:lang w:val="en-IE"/>
              </w:rPr>
              <w:t>Total (all gases)</w:t>
            </w:r>
          </w:p>
        </w:tc>
        <w:tc>
          <w:tcPr>
            <w:tcW w:w="850" w:type="dxa"/>
            <w:vAlign w:val="center"/>
          </w:tcPr>
          <w:p w14:paraId="612C94BE" w14:textId="35F7676A" w:rsidR="00975052" w:rsidRPr="00975052" w:rsidRDefault="000F599E"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409</w:t>
            </w:r>
          </w:p>
        </w:tc>
        <w:tc>
          <w:tcPr>
            <w:tcW w:w="851" w:type="dxa"/>
            <w:noWrap/>
            <w:vAlign w:val="center"/>
          </w:tcPr>
          <w:p w14:paraId="0653301E" w14:textId="18C8A6FB" w:rsidR="00975052" w:rsidRPr="00975052" w:rsidRDefault="000F599E"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330</w:t>
            </w:r>
          </w:p>
        </w:tc>
        <w:tc>
          <w:tcPr>
            <w:tcW w:w="850" w:type="dxa"/>
            <w:vAlign w:val="center"/>
          </w:tcPr>
          <w:p w14:paraId="4069A260" w14:textId="750636A1" w:rsidR="00975052" w:rsidRPr="00975052" w:rsidRDefault="000F599E"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18</w:t>
            </w:r>
            <w:r w:rsidR="00805AD9">
              <w:rPr>
                <w:rFonts w:ascii="EC Square Sans Cond Pro" w:hAnsi="EC Square Sans Cond Pro" w:cs="Calibri"/>
                <w:noProof/>
                <w:sz w:val="18"/>
                <w:szCs w:val="18"/>
              </w:rPr>
              <w:t>0</w:t>
            </w:r>
          </w:p>
        </w:tc>
        <w:tc>
          <w:tcPr>
            <w:tcW w:w="851" w:type="dxa"/>
            <w:vAlign w:val="center"/>
          </w:tcPr>
          <w:p w14:paraId="2F870E8C" w14:textId="01EF062C" w:rsidR="00975052" w:rsidRPr="00975052" w:rsidRDefault="000F599E"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1</w:t>
            </w:r>
            <w:r w:rsidR="00805AD9">
              <w:rPr>
                <w:rFonts w:ascii="EC Square Sans Cond Pro" w:hAnsi="EC Square Sans Cond Pro" w:cs="Calibri"/>
                <w:noProof/>
                <w:sz w:val="18"/>
                <w:szCs w:val="18"/>
              </w:rPr>
              <w:t>16</w:t>
            </w:r>
          </w:p>
        </w:tc>
        <w:tc>
          <w:tcPr>
            <w:tcW w:w="850" w:type="dxa"/>
            <w:vAlign w:val="center"/>
          </w:tcPr>
          <w:p w14:paraId="6B45EA3F" w14:textId="3C0E90CD" w:rsidR="00975052" w:rsidRPr="00975052" w:rsidRDefault="000F599E"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9</w:t>
            </w:r>
            <w:r w:rsidR="00805AD9">
              <w:rPr>
                <w:rFonts w:ascii="EC Square Sans Cond Pro" w:hAnsi="EC Square Sans Cond Pro" w:cs="Calibri"/>
                <w:noProof/>
                <w:sz w:val="18"/>
                <w:szCs w:val="18"/>
              </w:rPr>
              <w:t>3</w:t>
            </w:r>
          </w:p>
        </w:tc>
        <w:tc>
          <w:tcPr>
            <w:tcW w:w="851" w:type="dxa"/>
            <w:gridSpan w:val="2"/>
            <w:vAlign w:val="center"/>
          </w:tcPr>
          <w:p w14:paraId="74386779" w14:textId="33EDC7A2" w:rsidR="00975052" w:rsidRPr="00975052" w:rsidRDefault="00975052"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w:t>
            </w:r>
            <w:r w:rsidR="000F599E" w:rsidRPr="00523283">
              <w:rPr>
                <w:rFonts w:ascii="EC Square Sans Cond Pro" w:hAnsi="EC Square Sans Cond Pro" w:cs="Calibri"/>
                <w:noProof/>
                <w:sz w:val="18"/>
                <w:szCs w:val="18"/>
              </w:rPr>
              <w:t>4</w:t>
            </w:r>
            <w:r w:rsidR="00805AD9">
              <w:rPr>
                <w:rFonts w:ascii="EC Square Sans Cond Pro" w:hAnsi="EC Square Sans Cond Pro" w:cs="Calibri"/>
                <w:noProof/>
                <w:sz w:val="18"/>
                <w:szCs w:val="18"/>
              </w:rPr>
              <w:t>6</w:t>
            </w:r>
            <w:r w:rsidRPr="00523283">
              <w:rPr>
                <w:rFonts w:ascii="EC Square Sans Cond Pro" w:hAnsi="EC Square Sans Cond Pro" w:cs="Calibri"/>
                <w:noProof/>
                <w:sz w:val="18"/>
                <w:szCs w:val="18"/>
              </w:rPr>
              <w:t>%</w:t>
            </w:r>
          </w:p>
        </w:tc>
        <w:tc>
          <w:tcPr>
            <w:tcW w:w="850" w:type="dxa"/>
            <w:vAlign w:val="center"/>
          </w:tcPr>
          <w:p w14:paraId="32E67F13" w14:textId="0D14A37E" w:rsidR="00975052" w:rsidRPr="00975052" w:rsidRDefault="00975052"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w:t>
            </w:r>
            <w:r w:rsidR="000F599E" w:rsidRPr="00523283">
              <w:rPr>
                <w:rFonts w:ascii="EC Square Sans Cond Pro" w:hAnsi="EC Square Sans Cond Pro" w:cs="Calibri"/>
                <w:noProof/>
                <w:sz w:val="18"/>
                <w:szCs w:val="18"/>
              </w:rPr>
              <w:t>6</w:t>
            </w:r>
            <w:r w:rsidR="00805AD9">
              <w:rPr>
                <w:rFonts w:ascii="EC Square Sans Cond Pro" w:hAnsi="EC Square Sans Cond Pro" w:cs="Calibri"/>
                <w:noProof/>
                <w:sz w:val="18"/>
                <w:szCs w:val="18"/>
              </w:rPr>
              <w:t>5</w:t>
            </w:r>
            <w:r w:rsidRPr="00523283">
              <w:rPr>
                <w:rFonts w:ascii="EC Square Sans Cond Pro" w:hAnsi="EC Square Sans Cond Pro" w:cs="Calibri"/>
                <w:noProof/>
                <w:sz w:val="18"/>
                <w:szCs w:val="18"/>
              </w:rPr>
              <w:t>%</w:t>
            </w:r>
          </w:p>
        </w:tc>
        <w:tc>
          <w:tcPr>
            <w:tcW w:w="851" w:type="dxa"/>
            <w:vAlign w:val="center"/>
          </w:tcPr>
          <w:p w14:paraId="4FA5C7F4" w14:textId="25DA4DE0" w:rsidR="00975052" w:rsidRPr="00975052" w:rsidRDefault="00975052" w:rsidP="003B1577">
            <w:pPr>
              <w:keepNext/>
              <w:spacing w:after="0"/>
              <w:jc w:val="center"/>
              <w:rPr>
                <w:rFonts w:ascii="EC Square Sans Cond Pro" w:hAnsi="EC Square Sans Cond Pro" w:cs="Arial"/>
                <w:noProof/>
                <w:sz w:val="18"/>
                <w:szCs w:val="18"/>
              </w:rPr>
            </w:pPr>
            <w:r w:rsidRPr="00523283">
              <w:rPr>
                <w:rFonts w:ascii="EC Square Sans Cond Pro" w:hAnsi="EC Square Sans Cond Pro" w:cs="Calibri"/>
                <w:noProof/>
                <w:sz w:val="18"/>
                <w:szCs w:val="18"/>
              </w:rPr>
              <w:t>-</w:t>
            </w:r>
            <w:r w:rsidR="000F599E" w:rsidRPr="00523283">
              <w:rPr>
                <w:rFonts w:ascii="EC Square Sans Cond Pro" w:hAnsi="EC Square Sans Cond Pro" w:cs="Calibri"/>
                <w:noProof/>
                <w:sz w:val="18"/>
                <w:szCs w:val="18"/>
              </w:rPr>
              <w:t>7</w:t>
            </w:r>
            <w:r w:rsidR="00805AD9">
              <w:rPr>
                <w:rFonts w:ascii="EC Square Sans Cond Pro" w:hAnsi="EC Square Sans Cond Pro" w:cs="Calibri"/>
                <w:noProof/>
                <w:sz w:val="18"/>
                <w:szCs w:val="18"/>
              </w:rPr>
              <w:t>2</w:t>
            </w:r>
            <w:r w:rsidRPr="00523283">
              <w:rPr>
                <w:rFonts w:ascii="EC Square Sans Cond Pro" w:hAnsi="EC Square Sans Cond Pro" w:cs="Calibri"/>
                <w:noProof/>
                <w:sz w:val="18"/>
                <w:szCs w:val="18"/>
              </w:rPr>
              <w:t>%</w:t>
            </w:r>
          </w:p>
        </w:tc>
      </w:tr>
    </w:tbl>
    <w:p w14:paraId="7E73B6F7" w14:textId="1E1F0F39" w:rsidR="00975052" w:rsidRPr="003B1577" w:rsidRDefault="00975052" w:rsidP="003B1577">
      <w:pPr>
        <w:keepNext/>
        <w:rPr>
          <w:noProof/>
          <w:sz w:val="2"/>
          <w:szCs w:val="2"/>
        </w:rPr>
      </w:pPr>
    </w:p>
    <w:p w14:paraId="535924F2" w14:textId="00EFC2CA" w:rsidR="00975052" w:rsidRPr="005E74B4" w:rsidRDefault="00975052" w:rsidP="005E74B4">
      <w:pPr>
        <w:pStyle w:val="CT-NOTE"/>
        <w:rPr>
          <w:noProof/>
        </w:rPr>
      </w:pPr>
      <w:r w:rsidRPr="005E74B4">
        <w:rPr>
          <w:noProof/>
        </w:rPr>
        <w:t xml:space="preserve">Note: </w:t>
      </w:r>
      <w:r w:rsidR="00C22B4D">
        <w:rPr>
          <w:noProof/>
        </w:rPr>
        <w:t>*Non-CO2 GHG emissions without additional mitigation, i.e., assuming a carbon value equal to zero. *</w:t>
      </w:r>
      <w:r w:rsidRPr="005E74B4">
        <w:rPr>
          <w:noProof/>
        </w:rPr>
        <w:t xml:space="preserve">*The waste treatment sector includes solid waste and wastewater treatment. </w:t>
      </w:r>
    </w:p>
    <w:p w14:paraId="2897B169" w14:textId="6B8DA3C1" w:rsidR="00975052" w:rsidRDefault="00975052" w:rsidP="009D4B78">
      <w:pPr>
        <w:pStyle w:val="CT-SOURCE"/>
        <w:rPr>
          <w:noProof/>
        </w:rPr>
      </w:pPr>
      <w:r>
        <w:rPr>
          <w:noProof/>
        </w:rPr>
        <w:t>Source: GAINS.</w:t>
      </w:r>
    </w:p>
    <w:p w14:paraId="49164A7D" w14:textId="3E6705AC" w:rsidR="00143A51" w:rsidRDefault="00641F79" w:rsidP="00143A51">
      <w:pPr>
        <w:pStyle w:val="Heading3"/>
        <w:rPr>
          <w:noProof/>
        </w:rPr>
      </w:pPr>
      <w:bookmarkStart w:id="390" w:name="_Ref141954119"/>
      <w:bookmarkStart w:id="391" w:name="_Toc148605612"/>
      <w:bookmarkStart w:id="392" w:name="_Toc157692058"/>
      <w:r>
        <w:rPr>
          <w:noProof/>
        </w:rPr>
        <w:t>Additional m</w:t>
      </w:r>
      <w:r w:rsidR="00143A51">
        <w:rPr>
          <w:noProof/>
        </w:rPr>
        <w:t>itigation potential</w:t>
      </w:r>
      <w:bookmarkEnd w:id="390"/>
      <w:bookmarkEnd w:id="391"/>
      <w:bookmarkEnd w:id="392"/>
    </w:p>
    <w:p w14:paraId="1DBBEB17" w14:textId="4BC18A3E" w:rsidR="00C158A4" w:rsidRDefault="00EF1D53" w:rsidP="00C158A4">
      <w:pPr>
        <w:rPr>
          <w:noProof/>
        </w:rPr>
      </w:pPr>
      <w:r w:rsidRPr="005948CC">
        <w:rPr>
          <w:noProof/>
        </w:rPr>
        <w:fldChar w:fldCharType="begin"/>
      </w:r>
      <w:r w:rsidRPr="005948CC">
        <w:rPr>
          <w:noProof/>
        </w:rPr>
        <w:instrText xml:space="preserve"> REF _Ref147396210 \h  \* MERGEFORMAT </w:instrText>
      </w:r>
      <w:r w:rsidRPr="005948CC">
        <w:rPr>
          <w:noProof/>
        </w:rPr>
      </w:r>
      <w:r w:rsidRPr="005948CC">
        <w:rPr>
          <w:noProof/>
        </w:rPr>
        <w:fldChar w:fldCharType="separate"/>
      </w:r>
      <w:r w:rsidR="00170A3C">
        <w:rPr>
          <w:noProof/>
        </w:rPr>
        <w:t>Figure 78</w:t>
      </w:r>
      <w:r w:rsidRPr="005948CC">
        <w:rPr>
          <w:noProof/>
        </w:rPr>
        <w:fldChar w:fldCharType="end"/>
      </w:r>
      <w:r w:rsidR="00C158A4" w:rsidRPr="005948CC">
        <w:rPr>
          <w:noProof/>
        </w:rPr>
        <w:t xml:space="preserve"> and </w:t>
      </w:r>
      <w:r w:rsidRPr="005948CC">
        <w:rPr>
          <w:noProof/>
        </w:rPr>
        <w:fldChar w:fldCharType="begin"/>
      </w:r>
      <w:r w:rsidRPr="005948CC">
        <w:rPr>
          <w:noProof/>
        </w:rPr>
        <w:instrText xml:space="preserve"> REF _Ref147396212 \h  \* MERGEFORMAT </w:instrText>
      </w:r>
      <w:r w:rsidRPr="005948CC">
        <w:rPr>
          <w:noProof/>
        </w:rPr>
      </w:r>
      <w:r w:rsidRPr="005948CC">
        <w:rPr>
          <w:noProof/>
        </w:rPr>
        <w:fldChar w:fldCharType="separate"/>
      </w:r>
      <w:r w:rsidR="00170A3C">
        <w:rPr>
          <w:noProof/>
        </w:rPr>
        <w:t>Figure 79</w:t>
      </w:r>
      <w:r w:rsidRPr="005948CC">
        <w:rPr>
          <w:noProof/>
        </w:rPr>
        <w:fldChar w:fldCharType="end"/>
      </w:r>
      <w:r w:rsidR="00C158A4">
        <w:rPr>
          <w:noProof/>
        </w:rPr>
        <w:t xml:space="preserve"> show the 2040 marginal abatement cost curves (MACC) corresponding to non-land-related sectors specified per </w:t>
      </w:r>
      <w:r w:rsidR="005B2196">
        <w:rPr>
          <w:noProof/>
        </w:rPr>
        <w:t xml:space="preserve">gas and </w:t>
      </w:r>
      <w:r w:rsidR="00C158A4">
        <w:rPr>
          <w:noProof/>
        </w:rPr>
        <w:t xml:space="preserve">per </w:t>
      </w:r>
      <w:r w:rsidR="005B2196">
        <w:rPr>
          <w:noProof/>
        </w:rPr>
        <w:t>sector</w:t>
      </w:r>
      <w:r w:rsidR="00C158A4">
        <w:rPr>
          <w:noProof/>
        </w:rPr>
        <w:t xml:space="preserve">, respectively. These curves indicate the marginal cost of the additional reductions in non-CO2 GHG emissions, which come on top of the </w:t>
      </w:r>
      <w:r w:rsidR="00026A2D">
        <w:rPr>
          <w:noProof/>
        </w:rPr>
        <w:t>“</w:t>
      </w:r>
      <w:r w:rsidR="00C158A4">
        <w:rPr>
          <w:noProof/>
        </w:rPr>
        <w:t xml:space="preserve">emissions </w:t>
      </w:r>
      <w:r w:rsidR="00026A2D">
        <w:rPr>
          <w:noProof/>
        </w:rPr>
        <w:t>without additional mitigation” described in</w:t>
      </w:r>
      <w:r w:rsidR="00C158A4">
        <w:rPr>
          <w:noProof/>
        </w:rPr>
        <w:t xml:space="preserve"> Section </w:t>
      </w:r>
      <w:r w:rsidR="00F956F7" w:rsidRPr="005948CC">
        <w:rPr>
          <w:noProof/>
          <w:color w:val="2B579A"/>
          <w:shd w:val="clear" w:color="auto" w:fill="E6E6E6"/>
        </w:rPr>
        <w:fldChar w:fldCharType="begin"/>
      </w:r>
      <w:r w:rsidR="00F956F7" w:rsidRPr="005948CC">
        <w:rPr>
          <w:noProof/>
        </w:rPr>
        <w:instrText xml:space="preserve"> REF _Ref142041052 \r \h </w:instrText>
      </w:r>
      <w:r w:rsidR="00360634" w:rsidRPr="005948CC">
        <w:rPr>
          <w:noProof/>
          <w:color w:val="2B579A"/>
          <w:shd w:val="clear" w:color="auto" w:fill="E6E6E6"/>
        </w:rPr>
        <w:instrText xml:space="preserve"> \* MERGEFORMAT </w:instrText>
      </w:r>
      <w:r w:rsidR="00F956F7" w:rsidRPr="005948CC">
        <w:rPr>
          <w:noProof/>
          <w:color w:val="2B579A"/>
          <w:shd w:val="clear" w:color="auto" w:fill="E6E6E6"/>
        </w:rPr>
      </w:r>
      <w:r w:rsidR="00F956F7" w:rsidRPr="005948CC">
        <w:rPr>
          <w:noProof/>
          <w:color w:val="2B579A"/>
          <w:shd w:val="clear" w:color="auto" w:fill="E6E6E6"/>
        </w:rPr>
        <w:fldChar w:fldCharType="separate"/>
      </w:r>
      <w:r w:rsidR="00170A3C">
        <w:rPr>
          <w:noProof/>
        </w:rPr>
        <w:t>1.6.1</w:t>
      </w:r>
      <w:r w:rsidR="00F956F7" w:rsidRPr="005948CC">
        <w:rPr>
          <w:noProof/>
          <w:color w:val="2B579A"/>
          <w:shd w:val="clear" w:color="auto" w:fill="E6E6E6"/>
        </w:rPr>
        <w:fldChar w:fldCharType="end"/>
      </w:r>
      <w:r w:rsidR="00C158A4">
        <w:rPr>
          <w:noProof/>
        </w:rPr>
        <w:t xml:space="preserve">. Similarly, </w:t>
      </w:r>
      <w:r w:rsidR="00083DC0" w:rsidRPr="005948CC">
        <w:rPr>
          <w:noProof/>
          <w:color w:val="2B579A"/>
          <w:shd w:val="clear" w:color="auto" w:fill="E6E6E6"/>
        </w:rPr>
        <w:fldChar w:fldCharType="begin"/>
      </w:r>
      <w:r w:rsidR="00083DC0" w:rsidRPr="005948CC">
        <w:rPr>
          <w:noProof/>
        </w:rPr>
        <w:instrText xml:space="preserve"> REF _Ref142041140 \h </w:instrText>
      </w:r>
      <w:r w:rsidR="00360634" w:rsidRPr="005948CC">
        <w:rPr>
          <w:noProof/>
          <w:color w:val="2B579A"/>
          <w:shd w:val="clear" w:color="auto" w:fill="E6E6E6"/>
        </w:rPr>
        <w:instrText xml:space="preserve"> \* MERGEFORMAT </w:instrText>
      </w:r>
      <w:r w:rsidR="00083DC0" w:rsidRPr="005948CC">
        <w:rPr>
          <w:noProof/>
          <w:color w:val="2B579A"/>
          <w:shd w:val="clear" w:color="auto" w:fill="E6E6E6"/>
        </w:rPr>
      </w:r>
      <w:r w:rsidR="00083DC0" w:rsidRPr="005948CC">
        <w:rPr>
          <w:noProof/>
          <w:color w:val="2B579A"/>
          <w:shd w:val="clear" w:color="auto" w:fill="E6E6E6"/>
        </w:rPr>
        <w:fldChar w:fldCharType="separate"/>
      </w:r>
      <w:r w:rsidR="00170A3C">
        <w:rPr>
          <w:noProof/>
        </w:rPr>
        <w:t>Table 11</w:t>
      </w:r>
      <w:r w:rsidR="00083DC0" w:rsidRPr="005948CC">
        <w:rPr>
          <w:noProof/>
          <w:color w:val="2B579A"/>
          <w:shd w:val="clear" w:color="auto" w:fill="E6E6E6"/>
        </w:rPr>
        <w:fldChar w:fldCharType="end"/>
      </w:r>
      <w:r w:rsidR="00C158A4">
        <w:rPr>
          <w:noProof/>
        </w:rPr>
        <w:t xml:space="preserve"> and </w:t>
      </w:r>
      <w:r w:rsidR="00083DC0" w:rsidRPr="005948CC">
        <w:rPr>
          <w:noProof/>
          <w:color w:val="2B579A"/>
          <w:shd w:val="clear" w:color="auto" w:fill="E6E6E6"/>
        </w:rPr>
        <w:fldChar w:fldCharType="begin"/>
      </w:r>
      <w:r w:rsidR="00083DC0" w:rsidRPr="005948CC">
        <w:rPr>
          <w:noProof/>
        </w:rPr>
        <w:instrText xml:space="preserve"> REF _Ref142041149 \h </w:instrText>
      </w:r>
      <w:r w:rsidR="00360634" w:rsidRPr="005948CC">
        <w:rPr>
          <w:noProof/>
          <w:color w:val="2B579A"/>
          <w:shd w:val="clear" w:color="auto" w:fill="E6E6E6"/>
        </w:rPr>
        <w:instrText xml:space="preserve"> \* MERGEFORMAT </w:instrText>
      </w:r>
      <w:r w:rsidR="00083DC0" w:rsidRPr="005948CC">
        <w:rPr>
          <w:noProof/>
          <w:color w:val="2B579A"/>
          <w:shd w:val="clear" w:color="auto" w:fill="E6E6E6"/>
        </w:rPr>
      </w:r>
      <w:r w:rsidR="00083DC0" w:rsidRPr="005948CC">
        <w:rPr>
          <w:noProof/>
          <w:color w:val="2B579A"/>
          <w:shd w:val="clear" w:color="auto" w:fill="E6E6E6"/>
        </w:rPr>
        <w:fldChar w:fldCharType="separate"/>
      </w:r>
      <w:r w:rsidR="00170A3C">
        <w:rPr>
          <w:noProof/>
        </w:rPr>
        <w:t>Table 12</w:t>
      </w:r>
      <w:r w:rsidR="00083DC0" w:rsidRPr="005948CC">
        <w:rPr>
          <w:noProof/>
          <w:color w:val="2B579A"/>
          <w:shd w:val="clear" w:color="auto" w:fill="E6E6E6"/>
        </w:rPr>
        <w:fldChar w:fldCharType="end"/>
      </w:r>
      <w:r w:rsidR="00083DC0">
        <w:rPr>
          <w:noProof/>
        </w:rPr>
        <w:t xml:space="preserve"> </w:t>
      </w:r>
      <w:r w:rsidR="00C158A4">
        <w:rPr>
          <w:noProof/>
        </w:rPr>
        <w:t>show the reductions in emissions achievable at various marginal abatement cost levels. Note that the marginal abatement cost curves corresponding to non-land-related sectors are assumed to be the same in all scenarios.</w:t>
      </w:r>
    </w:p>
    <w:p w14:paraId="203FBB89" w14:textId="2AA221BF" w:rsidR="00143A51" w:rsidRPr="00BB33EB" w:rsidRDefault="00523364" w:rsidP="00C158A4">
      <w:pPr>
        <w:rPr>
          <w:noProof/>
        </w:rPr>
      </w:pPr>
      <w:r w:rsidRPr="005948CC">
        <w:rPr>
          <w:noProof/>
          <w:color w:val="2B579A"/>
          <w:shd w:val="clear" w:color="auto" w:fill="E6E6E6"/>
        </w:rPr>
        <w:fldChar w:fldCharType="begin"/>
      </w:r>
      <w:r w:rsidRPr="00B53181">
        <w:rPr>
          <w:noProof/>
          <w:highlight w:val="yellow"/>
        </w:rPr>
        <w:instrText xml:space="preserve"> REF _Ref142041140 \h </w:instrText>
      </w:r>
      <w:r w:rsidR="00B53181">
        <w:rPr>
          <w:noProof/>
          <w:color w:val="2B579A"/>
          <w:highlight w:val="yellow"/>
          <w:shd w:val="clear" w:color="auto" w:fill="E6E6E6"/>
        </w:rPr>
        <w:instrText xml:space="preserve"> \* MERGEFORMAT </w:instrText>
      </w:r>
      <w:r w:rsidRPr="005948CC">
        <w:rPr>
          <w:noProof/>
          <w:color w:val="2B579A"/>
          <w:shd w:val="clear" w:color="auto" w:fill="E6E6E6"/>
        </w:rPr>
      </w:r>
      <w:r w:rsidRPr="005948CC">
        <w:rPr>
          <w:noProof/>
          <w:color w:val="2B579A"/>
          <w:shd w:val="clear" w:color="auto" w:fill="E6E6E6"/>
        </w:rPr>
        <w:fldChar w:fldCharType="separate"/>
      </w:r>
      <w:r w:rsidR="00170A3C">
        <w:rPr>
          <w:noProof/>
        </w:rPr>
        <w:t>Table 11</w:t>
      </w:r>
      <w:r w:rsidRPr="005948CC">
        <w:rPr>
          <w:noProof/>
          <w:color w:val="2B579A"/>
          <w:shd w:val="clear" w:color="auto" w:fill="E6E6E6"/>
        </w:rPr>
        <w:fldChar w:fldCharType="end"/>
      </w:r>
      <w:r w:rsidR="00C158A4" w:rsidRPr="005948CC">
        <w:rPr>
          <w:noProof/>
        </w:rPr>
        <w:t xml:space="preserve"> and </w:t>
      </w:r>
      <w:r w:rsidRPr="005948CC">
        <w:rPr>
          <w:noProof/>
          <w:color w:val="2B579A"/>
          <w:shd w:val="clear" w:color="auto" w:fill="E6E6E6"/>
        </w:rPr>
        <w:fldChar w:fldCharType="begin"/>
      </w:r>
      <w:r w:rsidRPr="00B53181">
        <w:rPr>
          <w:noProof/>
          <w:highlight w:val="yellow"/>
        </w:rPr>
        <w:instrText xml:space="preserve"> REF _Ref142041149 \h </w:instrText>
      </w:r>
      <w:r w:rsidR="00B53181">
        <w:rPr>
          <w:noProof/>
          <w:color w:val="2B579A"/>
          <w:highlight w:val="yellow"/>
          <w:shd w:val="clear" w:color="auto" w:fill="E6E6E6"/>
        </w:rPr>
        <w:instrText xml:space="preserve"> \* MERGEFORMAT </w:instrText>
      </w:r>
      <w:r w:rsidRPr="005948CC">
        <w:rPr>
          <w:noProof/>
          <w:color w:val="2B579A"/>
          <w:shd w:val="clear" w:color="auto" w:fill="E6E6E6"/>
        </w:rPr>
      </w:r>
      <w:r w:rsidRPr="005948CC">
        <w:rPr>
          <w:noProof/>
          <w:color w:val="2B579A"/>
          <w:shd w:val="clear" w:color="auto" w:fill="E6E6E6"/>
        </w:rPr>
        <w:fldChar w:fldCharType="separate"/>
      </w:r>
      <w:r w:rsidR="00170A3C">
        <w:rPr>
          <w:noProof/>
        </w:rPr>
        <w:t>Table 12</w:t>
      </w:r>
      <w:r w:rsidRPr="005948CC">
        <w:rPr>
          <w:noProof/>
          <w:color w:val="2B579A"/>
          <w:shd w:val="clear" w:color="auto" w:fill="E6E6E6"/>
        </w:rPr>
        <w:fldChar w:fldCharType="end"/>
      </w:r>
      <w:r w:rsidR="00C158A4" w:rsidRPr="00360634">
        <w:rPr>
          <w:noProof/>
        </w:rPr>
        <w:t xml:space="preserve"> show</w:t>
      </w:r>
      <w:r w:rsidR="00C158A4">
        <w:rPr>
          <w:noProof/>
        </w:rPr>
        <w:t xml:space="preserve"> that, in the non-land-</w:t>
      </w:r>
      <w:r w:rsidR="00C158A4" w:rsidRPr="006101E5">
        <w:rPr>
          <w:noProof/>
        </w:rPr>
        <w:t>related sectors, there is significant additional mitigation potential: 4</w:t>
      </w:r>
      <w:r w:rsidR="00D3579F" w:rsidRPr="006101E5">
        <w:rPr>
          <w:noProof/>
        </w:rPr>
        <w:t>1</w:t>
      </w:r>
      <w:r w:rsidR="00C158A4" w:rsidRPr="006101E5">
        <w:rPr>
          <w:noProof/>
        </w:rPr>
        <w:t xml:space="preserve"> MtCO2-eq in 2040, considering all sectors</w:t>
      </w:r>
      <w:r w:rsidR="001F339A" w:rsidRPr="006101E5">
        <w:rPr>
          <w:noProof/>
        </w:rPr>
        <w:t xml:space="preserve"> and </w:t>
      </w:r>
      <w:r w:rsidR="00C158A4" w:rsidRPr="006101E5">
        <w:rPr>
          <w:noProof/>
        </w:rPr>
        <w:t>gases. If fully achieved, this mitigation potential would reduce the EU’s total non-land-related non-CO2 GHG emissions to 7</w:t>
      </w:r>
      <w:r w:rsidR="00D3579F" w:rsidRPr="006101E5">
        <w:rPr>
          <w:noProof/>
        </w:rPr>
        <w:t>9</w:t>
      </w:r>
      <w:r w:rsidR="00C158A4" w:rsidRPr="006101E5">
        <w:rPr>
          <w:noProof/>
        </w:rPr>
        <w:t xml:space="preserve"> MtCO2-eq by 2040 (i.e., </w:t>
      </w:r>
      <w:r w:rsidR="00D3579F" w:rsidRPr="006101E5">
        <w:rPr>
          <w:noProof/>
        </w:rPr>
        <w:t>76</w:t>
      </w:r>
      <w:r w:rsidR="00C158A4" w:rsidRPr="006101E5">
        <w:rPr>
          <w:noProof/>
        </w:rPr>
        <w:t>% less than in 20</w:t>
      </w:r>
      <w:r w:rsidR="00D3579F" w:rsidRPr="006101E5">
        <w:rPr>
          <w:noProof/>
        </w:rPr>
        <w:t>1</w:t>
      </w:r>
      <w:r w:rsidR="00C158A4" w:rsidRPr="006101E5">
        <w:rPr>
          <w:noProof/>
        </w:rPr>
        <w:t>5). It is important to mention that 6</w:t>
      </w:r>
      <w:r w:rsidR="003B4F1F" w:rsidRPr="006101E5">
        <w:rPr>
          <w:noProof/>
        </w:rPr>
        <w:t>1</w:t>
      </w:r>
      <w:r w:rsidR="00C158A4" w:rsidRPr="006101E5">
        <w:rPr>
          <w:noProof/>
        </w:rPr>
        <w:t>% of this maximum mitigation potential (i.e., 2</w:t>
      </w:r>
      <w:r w:rsidR="003B4F1F" w:rsidRPr="006101E5">
        <w:rPr>
          <w:noProof/>
        </w:rPr>
        <w:t>5</w:t>
      </w:r>
      <w:r w:rsidR="00C158A4" w:rsidRPr="006101E5">
        <w:rPr>
          <w:noProof/>
        </w:rPr>
        <w:t xml:space="preserve"> MtCO2-eq) could be reached at a marginal cost </w:t>
      </w:r>
      <w:r w:rsidR="00D128B9" w:rsidRPr="006101E5">
        <w:rPr>
          <w:noProof/>
        </w:rPr>
        <w:t>close to zero</w:t>
      </w:r>
      <w:r w:rsidR="003B4F1F" w:rsidRPr="006101E5">
        <w:rPr>
          <w:noProof/>
        </w:rPr>
        <w:t>.</w:t>
      </w:r>
      <w:r w:rsidR="00C158A4" w:rsidRPr="006101E5">
        <w:rPr>
          <w:noProof/>
        </w:rPr>
        <w:t xml:space="preserve"> Note, however, that even in cases where marginal abatement costs are nearly zero, policy intervention is usually needed to overcome market barriers, lack of information and split incentives. The largest share of this near-zero-cost potential is found in the waste treatment sector. The remaining share of the maximum mitigation potential (3</w:t>
      </w:r>
      <w:r w:rsidR="001F339A" w:rsidRPr="006101E5">
        <w:rPr>
          <w:noProof/>
        </w:rPr>
        <w:t>9</w:t>
      </w:r>
      <w:r w:rsidR="00C158A4" w:rsidRPr="006101E5">
        <w:rPr>
          <w:noProof/>
        </w:rPr>
        <w:t xml:space="preserve">%) comes at a marginal cost significantly higher than zero. Nevertheless, </w:t>
      </w:r>
      <w:r w:rsidR="001F339A" w:rsidRPr="006101E5">
        <w:rPr>
          <w:noProof/>
        </w:rPr>
        <w:t>80</w:t>
      </w:r>
      <w:r w:rsidR="00C158A4" w:rsidRPr="006101E5">
        <w:rPr>
          <w:noProof/>
        </w:rPr>
        <w:t xml:space="preserve">% and 85% of the maximum mitigation potential (including all </w:t>
      </w:r>
      <w:r w:rsidR="001F339A" w:rsidRPr="006101E5">
        <w:rPr>
          <w:noProof/>
        </w:rPr>
        <w:t xml:space="preserve">sectors and </w:t>
      </w:r>
      <w:r w:rsidR="00C158A4" w:rsidRPr="006101E5">
        <w:rPr>
          <w:noProof/>
        </w:rPr>
        <w:t>gases) may be reached at a marginal cost lower than 10 and 50 EUR/tCO2-eq, respectively, leaving only a small part of the maximum mitigation potential untapped (8 and 6 MtCO2-eq, respectively).</w:t>
      </w:r>
      <w:r w:rsidR="00C158A4">
        <w:rPr>
          <w:noProof/>
        </w:rPr>
        <w:t xml:space="preserve"> </w:t>
      </w:r>
      <w:r w:rsidR="00143A51" w:rsidRPr="008C0A46">
        <w:rPr>
          <w:noProof/>
        </w:rPr>
        <w:t xml:space="preserve"> </w:t>
      </w:r>
    </w:p>
    <w:p w14:paraId="0335FC61" w14:textId="5CC89E7F" w:rsidR="00143A51" w:rsidRPr="00BB33EB" w:rsidRDefault="00143A51" w:rsidP="00052621">
      <w:pPr>
        <w:pStyle w:val="Caption"/>
        <w:rPr>
          <w:noProof/>
        </w:rPr>
      </w:pPr>
      <w:bookmarkStart w:id="393" w:name="_Ref142040964"/>
      <w:bookmarkStart w:id="394" w:name="_Ref147396210"/>
      <w:bookmarkStart w:id="395" w:name="_Toc157679826"/>
      <w:r>
        <w:rPr>
          <w:noProof/>
        </w:rPr>
        <w:t xml:space="preserve">Figure </w:t>
      </w:r>
      <w:bookmarkEnd w:id="393"/>
      <w:r w:rsidR="00F2742D">
        <w:rPr>
          <w:noProof/>
        </w:rPr>
        <w:fldChar w:fldCharType="begin"/>
      </w:r>
      <w:r w:rsidR="00F2742D">
        <w:rPr>
          <w:noProof/>
        </w:rPr>
        <w:instrText xml:space="preserve"> SEQ Figure \* ARABIC </w:instrText>
      </w:r>
      <w:r w:rsidR="00F2742D">
        <w:rPr>
          <w:noProof/>
        </w:rPr>
        <w:fldChar w:fldCharType="separate"/>
      </w:r>
      <w:r w:rsidR="00170A3C">
        <w:rPr>
          <w:noProof/>
        </w:rPr>
        <w:t>78</w:t>
      </w:r>
      <w:r w:rsidR="00F2742D">
        <w:rPr>
          <w:noProof/>
        </w:rPr>
        <w:fldChar w:fldCharType="end"/>
      </w:r>
      <w:bookmarkEnd w:id="394"/>
      <w:r>
        <w:rPr>
          <w:noProof/>
        </w:rPr>
        <w:t xml:space="preserve">: </w:t>
      </w:r>
      <w:r w:rsidR="00C83BD9">
        <w:rPr>
          <w:noProof/>
        </w:rPr>
        <w:t>MACC across</w:t>
      </w:r>
      <w:r w:rsidR="0008472F" w:rsidRPr="0008472F">
        <w:rPr>
          <w:noProof/>
        </w:rPr>
        <w:t xml:space="preserve"> all non-land-related sectors in 2040 </w:t>
      </w:r>
      <w:r w:rsidR="00052621">
        <w:rPr>
          <w:noProof/>
        </w:rPr>
        <w:t>(per gas)</w:t>
      </w:r>
      <w:bookmarkEnd w:id="395"/>
      <w:r w:rsidR="0008472F" w:rsidRPr="0008472F">
        <w:rPr>
          <w:noProof/>
        </w:rPr>
        <w:t xml:space="preserve"> </w:t>
      </w:r>
    </w:p>
    <w:p w14:paraId="45303EF1" w14:textId="050B4977" w:rsidR="00052621" w:rsidRDefault="00052621" w:rsidP="00534E10">
      <w:pPr>
        <w:keepNext/>
        <w:spacing w:after="0"/>
        <w:jc w:val="center"/>
        <w:rPr>
          <w:noProof/>
          <w:color w:val="FF0000"/>
        </w:rPr>
      </w:pPr>
      <w:r w:rsidRPr="00052621">
        <w:rPr>
          <w:noProof/>
          <w:lang w:eastAsia="en-GB"/>
        </w:rPr>
        <w:drawing>
          <wp:inline distT="0" distB="0" distL="0" distR="0" wp14:anchorId="14083F56" wp14:editId="313B575E">
            <wp:extent cx="5472430" cy="26797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472430" cy="2679700"/>
                    </a:xfrm>
                    <a:prstGeom prst="rect">
                      <a:avLst/>
                    </a:prstGeom>
                    <a:noFill/>
                    <a:ln>
                      <a:noFill/>
                    </a:ln>
                  </pic:spPr>
                </pic:pic>
              </a:graphicData>
            </a:graphic>
          </wp:inline>
        </w:drawing>
      </w:r>
    </w:p>
    <w:p w14:paraId="4929C2E3" w14:textId="18A2B34D" w:rsidR="005F5095" w:rsidRDefault="005F5095" w:rsidP="005F5095">
      <w:pPr>
        <w:pStyle w:val="CT-NOTE"/>
        <w:rPr>
          <w:noProof/>
        </w:rPr>
      </w:pPr>
      <w:r>
        <w:rPr>
          <w:noProof/>
        </w:rPr>
        <w:t xml:space="preserve">Note: </w:t>
      </w:r>
      <w:r w:rsidR="000C6C38" w:rsidRPr="000C6C38">
        <w:rPr>
          <w:noProof/>
        </w:rPr>
        <w:t>MACC including all non-CO2 greenhouse gases, and MACCs per gas</w:t>
      </w:r>
      <w:r w:rsidR="000C6C38">
        <w:rPr>
          <w:noProof/>
        </w:rPr>
        <w:t>.</w:t>
      </w:r>
      <w:r>
        <w:rPr>
          <w:noProof/>
        </w:rPr>
        <w:t xml:space="preserve"> Marginal abatement costs are expressed in </w:t>
      </w:r>
      <w:r w:rsidRPr="006101E5">
        <w:rPr>
          <w:noProof/>
        </w:rPr>
        <w:t>constant EUR 2015.</w:t>
      </w:r>
      <w:r w:rsidR="00143A51" w:rsidRPr="61BF51EC">
        <w:rPr>
          <w:noProof/>
        </w:rPr>
        <w:t xml:space="preserve"> </w:t>
      </w:r>
    </w:p>
    <w:p w14:paraId="0F73DBEF" w14:textId="321ACCA6" w:rsidR="00143A51" w:rsidRPr="00F70912" w:rsidRDefault="00143A51" w:rsidP="009D4B78">
      <w:pPr>
        <w:pStyle w:val="CT-SOURCE"/>
        <w:rPr>
          <w:rFonts w:ascii="Cambria Math" w:hAnsi="Cambria Math"/>
          <w:i w:val="0"/>
          <w:noProof/>
          <w:szCs w:val="18"/>
        </w:rPr>
      </w:pPr>
      <w:r w:rsidRPr="61BF51EC">
        <w:rPr>
          <w:noProof/>
        </w:rPr>
        <w:t>Source: GAINS.</w:t>
      </w:r>
    </w:p>
    <w:p w14:paraId="6C7AB1C7" w14:textId="1F7EAC14" w:rsidR="00143A51" w:rsidRPr="00C6367A" w:rsidRDefault="00015BEC" w:rsidP="00052621">
      <w:pPr>
        <w:pStyle w:val="Caption"/>
        <w:rPr>
          <w:noProof/>
        </w:rPr>
      </w:pPr>
      <w:bookmarkStart w:id="396" w:name="_Ref142040972"/>
      <w:bookmarkStart w:id="397" w:name="_Ref147396212"/>
      <w:bookmarkStart w:id="398" w:name="_Toc157679827"/>
      <w:r>
        <w:rPr>
          <w:noProof/>
        </w:rPr>
        <w:t xml:space="preserve">Figure </w:t>
      </w:r>
      <w:bookmarkEnd w:id="396"/>
      <w:r w:rsidR="00F2742D">
        <w:rPr>
          <w:noProof/>
        </w:rPr>
        <w:fldChar w:fldCharType="begin"/>
      </w:r>
      <w:r w:rsidR="00F2742D">
        <w:rPr>
          <w:noProof/>
        </w:rPr>
        <w:instrText xml:space="preserve"> SEQ Figure \* ARABIC </w:instrText>
      </w:r>
      <w:r w:rsidR="00F2742D">
        <w:rPr>
          <w:noProof/>
        </w:rPr>
        <w:fldChar w:fldCharType="separate"/>
      </w:r>
      <w:r w:rsidR="00170A3C">
        <w:rPr>
          <w:noProof/>
        </w:rPr>
        <w:t>79</w:t>
      </w:r>
      <w:r w:rsidR="00F2742D">
        <w:rPr>
          <w:noProof/>
        </w:rPr>
        <w:fldChar w:fldCharType="end"/>
      </w:r>
      <w:bookmarkEnd w:id="397"/>
      <w:r w:rsidR="00143A51">
        <w:rPr>
          <w:noProof/>
        </w:rPr>
        <w:t xml:space="preserve">: </w:t>
      </w:r>
      <w:r w:rsidR="00C83BD9">
        <w:rPr>
          <w:noProof/>
        </w:rPr>
        <w:t>MACC</w:t>
      </w:r>
      <w:r w:rsidR="00143A51">
        <w:rPr>
          <w:noProof/>
        </w:rPr>
        <w:t xml:space="preserve"> </w:t>
      </w:r>
      <w:r w:rsidR="0008472F" w:rsidRPr="0008472F">
        <w:rPr>
          <w:noProof/>
        </w:rPr>
        <w:t xml:space="preserve">across all non-CO2 greenhouse gases in 2040 </w:t>
      </w:r>
      <w:r w:rsidR="00052621">
        <w:rPr>
          <w:noProof/>
        </w:rPr>
        <w:t>(per sector)</w:t>
      </w:r>
      <w:bookmarkEnd w:id="398"/>
    </w:p>
    <w:p w14:paraId="651198C2" w14:textId="6C56496D" w:rsidR="00052621" w:rsidRPr="00C6367A" w:rsidRDefault="00052621" w:rsidP="00534E10">
      <w:pPr>
        <w:keepNext/>
        <w:spacing w:after="0"/>
        <w:jc w:val="center"/>
        <w:rPr>
          <w:noProof/>
        </w:rPr>
      </w:pPr>
      <w:r w:rsidRPr="00052621">
        <w:rPr>
          <w:noProof/>
          <w:lang w:eastAsia="en-GB"/>
        </w:rPr>
        <w:drawing>
          <wp:inline distT="0" distB="0" distL="0" distR="0" wp14:anchorId="3F2A6247" wp14:editId="77A177E5">
            <wp:extent cx="5472430" cy="267970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5472430" cy="2679700"/>
                    </a:xfrm>
                    <a:prstGeom prst="rect">
                      <a:avLst/>
                    </a:prstGeom>
                    <a:noFill/>
                    <a:ln>
                      <a:noFill/>
                    </a:ln>
                  </pic:spPr>
                </pic:pic>
              </a:graphicData>
            </a:graphic>
          </wp:inline>
        </w:drawing>
      </w:r>
    </w:p>
    <w:p w14:paraId="02CDDB94" w14:textId="2C4B7B13" w:rsidR="005F5095" w:rsidRPr="00C6367A" w:rsidRDefault="005F5095" w:rsidP="005F5095">
      <w:pPr>
        <w:pStyle w:val="CT-NOTE"/>
        <w:rPr>
          <w:noProof/>
        </w:rPr>
      </w:pPr>
      <w:r>
        <w:rPr>
          <w:noProof/>
        </w:rPr>
        <w:t xml:space="preserve">Note: </w:t>
      </w:r>
      <w:r w:rsidR="000C6C38" w:rsidRPr="000C6C38">
        <w:rPr>
          <w:noProof/>
        </w:rPr>
        <w:t>MACC including all non-land-related sectors, and MACCs per sector</w:t>
      </w:r>
      <w:r w:rsidR="000C6C38">
        <w:rPr>
          <w:noProof/>
        </w:rPr>
        <w:t>.</w:t>
      </w:r>
      <w:r>
        <w:rPr>
          <w:noProof/>
        </w:rPr>
        <w:t xml:space="preserve"> Marginal abatement costs are expressed in </w:t>
      </w:r>
      <w:r w:rsidRPr="006101E5">
        <w:rPr>
          <w:noProof/>
        </w:rPr>
        <w:t>constant EUR 2015.</w:t>
      </w:r>
    </w:p>
    <w:p w14:paraId="3A0320B2" w14:textId="6033975E" w:rsidR="00143A51" w:rsidRPr="00803CC9" w:rsidRDefault="00143A51" w:rsidP="009D4B78">
      <w:pPr>
        <w:pStyle w:val="CT-SOURCE"/>
        <w:rPr>
          <w:noProof/>
        </w:rPr>
      </w:pPr>
      <w:r w:rsidRPr="00005BC6">
        <w:rPr>
          <w:noProof/>
        </w:rPr>
        <w:t xml:space="preserve">Source: </w:t>
      </w:r>
      <w:r w:rsidRPr="00FA265B">
        <w:rPr>
          <w:noProof/>
        </w:rPr>
        <w:t>GAINS.</w:t>
      </w:r>
    </w:p>
    <w:p w14:paraId="0FB388B7" w14:textId="6DA27CBE" w:rsidR="00143A51" w:rsidRPr="00CC4675" w:rsidRDefault="00E01527" w:rsidP="00E01527">
      <w:pPr>
        <w:rPr>
          <w:noProof/>
        </w:rPr>
      </w:pPr>
      <w:r w:rsidRPr="00E01527">
        <w:rPr>
          <w:noProof/>
        </w:rPr>
        <w:t xml:space="preserve">By analysing the </w:t>
      </w:r>
      <w:r w:rsidR="00026A2D">
        <w:rPr>
          <w:noProof/>
        </w:rPr>
        <w:t xml:space="preserve">additional </w:t>
      </w:r>
      <w:r w:rsidRPr="00E01527">
        <w:rPr>
          <w:noProof/>
        </w:rPr>
        <w:t xml:space="preserve">mitigation potential across all non-land-related sectors separately for each gas, one can see that in all cases most of the maximum mitigation potential could be tapped at a low marginal cost. </w:t>
      </w:r>
      <w:r w:rsidR="00C63270">
        <w:rPr>
          <w:noProof/>
        </w:rPr>
        <w:t>For instance,</w:t>
      </w:r>
      <w:r w:rsidRPr="00E01527">
        <w:rPr>
          <w:noProof/>
        </w:rPr>
        <w:t xml:space="preserve"> there exists </w:t>
      </w:r>
      <w:r w:rsidRPr="006101E5">
        <w:rPr>
          <w:noProof/>
        </w:rPr>
        <w:t xml:space="preserve">potential to reduce </w:t>
      </w:r>
      <w:r w:rsidR="00C63270" w:rsidRPr="006101E5">
        <w:rPr>
          <w:noProof/>
        </w:rPr>
        <w:t xml:space="preserve">methane </w:t>
      </w:r>
      <w:r w:rsidRPr="006101E5">
        <w:rPr>
          <w:noProof/>
        </w:rPr>
        <w:t xml:space="preserve">emissions by </w:t>
      </w:r>
      <w:r w:rsidR="00C63270" w:rsidRPr="006101E5">
        <w:rPr>
          <w:noProof/>
        </w:rPr>
        <w:t xml:space="preserve">as much as </w:t>
      </w:r>
      <w:r w:rsidRPr="006101E5">
        <w:rPr>
          <w:noProof/>
        </w:rPr>
        <w:t>2</w:t>
      </w:r>
      <w:r w:rsidR="00C63270" w:rsidRPr="006101E5">
        <w:rPr>
          <w:noProof/>
        </w:rPr>
        <w:t>3</w:t>
      </w:r>
      <w:r w:rsidRPr="006101E5">
        <w:rPr>
          <w:noProof/>
        </w:rPr>
        <w:t xml:space="preserve"> MtCO2-eq </w:t>
      </w:r>
      <w:r w:rsidR="00C63270" w:rsidRPr="006101E5">
        <w:rPr>
          <w:noProof/>
        </w:rPr>
        <w:t xml:space="preserve">below the </w:t>
      </w:r>
      <w:r w:rsidR="002B7CAB">
        <w:rPr>
          <w:noProof/>
        </w:rPr>
        <w:t xml:space="preserve">“emissions without additional mitigation” </w:t>
      </w:r>
      <w:r w:rsidRPr="006101E5">
        <w:rPr>
          <w:noProof/>
        </w:rPr>
        <w:t xml:space="preserve">in 2040 (see </w:t>
      </w:r>
      <w:r w:rsidR="005E6ACA" w:rsidRPr="006101E5">
        <w:rPr>
          <w:noProof/>
          <w:color w:val="2B579A"/>
          <w:shd w:val="clear" w:color="auto" w:fill="E6E6E6"/>
        </w:rPr>
        <w:fldChar w:fldCharType="begin"/>
      </w:r>
      <w:r w:rsidR="005E6ACA" w:rsidRPr="006101E5">
        <w:rPr>
          <w:noProof/>
        </w:rPr>
        <w:instrText xml:space="preserve"> REF _Ref142041140 \h </w:instrText>
      </w:r>
      <w:r w:rsidR="002F19C6" w:rsidRPr="006101E5">
        <w:rPr>
          <w:noProof/>
          <w:color w:val="2B579A"/>
          <w:shd w:val="clear" w:color="auto" w:fill="E6E6E6"/>
        </w:rPr>
        <w:instrText xml:space="preserve"> \* MERGEFORMAT </w:instrText>
      </w:r>
      <w:r w:rsidR="005E6ACA" w:rsidRPr="006101E5">
        <w:rPr>
          <w:noProof/>
          <w:color w:val="2B579A"/>
          <w:shd w:val="clear" w:color="auto" w:fill="E6E6E6"/>
        </w:rPr>
      </w:r>
      <w:r w:rsidR="005E6ACA" w:rsidRPr="006101E5">
        <w:rPr>
          <w:noProof/>
          <w:color w:val="2B579A"/>
          <w:shd w:val="clear" w:color="auto" w:fill="E6E6E6"/>
        </w:rPr>
        <w:fldChar w:fldCharType="separate"/>
      </w:r>
      <w:r w:rsidR="00170A3C">
        <w:rPr>
          <w:noProof/>
        </w:rPr>
        <w:t>Table 11</w:t>
      </w:r>
      <w:r w:rsidR="005E6ACA" w:rsidRPr="006101E5">
        <w:rPr>
          <w:noProof/>
          <w:color w:val="2B579A"/>
          <w:shd w:val="clear" w:color="auto" w:fill="E6E6E6"/>
        </w:rPr>
        <w:fldChar w:fldCharType="end"/>
      </w:r>
      <w:r w:rsidRPr="006101E5">
        <w:rPr>
          <w:noProof/>
        </w:rPr>
        <w:t>). Around 8</w:t>
      </w:r>
      <w:r w:rsidR="000903B5" w:rsidRPr="006101E5">
        <w:rPr>
          <w:noProof/>
        </w:rPr>
        <w:t>2</w:t>
      </w:r>
      <w:r w:rsidRPr="006101E5">
        <w:rPr>
          <w:noProof/>
        </w:rPr>
        <w:t xml:space="preserve">% of this maximum mitigation potential could be tapped at a marginal abatement cost lower than 10 EUR/tCO2-eq, mainly in the waste treatment sector and the energy and transport sector. </w:t>
      </w:r>
      <w:r w:rsidR="000C6207" w:rsidRPr="006101E5">
        <w:rPr>
          <w:noProof/>
        </w:rPr>
        <w:t>In the case of n</w:t>
      </w:r>
      <w:r w:rsidRPr="006101E5">
        <w:rPr>
          <w:noProof/>
        </w:rPr>
        <w:t xml:space="preserve">itrous oxide, there exists potential </w:t>
      </w:r>
      <w:r w:rsidR="000C6207" w:rsidRPr="006101E5">
        <w:rPr>
          <w:noProof/>
        </w:rPr>
        <w:t>to reduce</w:t>
      </w:r>
      <w:r w:rsidRPr="006101E5">
        <w:rPr>
          <w:noProof/>
        </w:rPr>
        <w:t xml:space="preserve"> emissions </w:t>
      </w:r>
      <w:r w:rsidR="000C6207" w:rsidRPr="006101E5">
        <w:rPr>
          <w:noProof/>
        </w:rPr>
        <w:t>by as much as</w:t>
      </w:r>
      <w:r w:rsidRPr="006101E5">
        <w:rPr>
          <w:noProof/>
        </w:rPr>
        <w:t xml:space="preserve"> 1</w:t>
      </w:r>
      <w:r w:rsidR="000C6207" w:rsidRPr="006101E5">
        <w:rPr>
          <w:noProof/>
        </w:rPr>
        <w:t>0</w:t>
      </w:r>
      <w:r w:rsidRPr="006101E5">
        <w:rPr>
          <w:noProof/>
        </w:rPr>
        <w:t xml:space="preserve"> MtCO2-eq </w:t>
      </w:r>
      <w:r w:rsidR="002B7CAB" w:rsidRPr="002B7CAB">
        <w:rPr>
          <w:noProof/>
        </w:rPr>
        <w:t>below the “emissions without additional mitigation”</w:t>
      </w:r>
      <w:r w:rsidRPr="006101E5">
        <w:rPr>
          <w:noProof/>
        </w:rPr>
        <w:t xml:space="preserve"> in 2040, about half of which is to be found in the waste treatment sector</w:t>
      </w:r>
      <w:r w:rsidR="00BE311F" w:rsidRPr="006101E5">
        <w:rPr>
          <w:noProof/>
        </w:rPr>
        <w:t>, and the other half is to be found in industry and other sectors</w:t>
      </w:r>
      <w:r w:rsidRPr="006101E5">
        <w:rPr>
          <w:noProof/>
        </w:rPr>
        <w:t>. Around 82% of th</w:t>
      </w:r>
      <w:r w:rsidR="00BE311F" w:rsidRPr="006101E5">
        <w:rPr>
          <w:noProof/>
        </w:rPr>
        <w:t>e</w:t>
      </w:r>
      <w:r w:rsidRPr="006101E5">
        <w:rPr>
          <w:noProof/>
        </w:rPr>
        <w:t xml:space="preserve"> maximum mitigation potential </w:t>
      </w:r>
      <w:r w:rsidR="00BE311F" w:rsidRPr="006101E5">
        <w:rPr>
          <w:noProof/>
        </w:rPr>
        <w:t xml:space="preserve">for N2O emissions </w:t>
      </w:r>
      <w:r w:rsidRPr="006101E5">
        <w:rPr>
          <w:noProof/>
        </w:rPr>
        <w:t>could be reached at a marginal abatement cost lower than 10 EUR/tCO2-eq</w:t>
      </w:r>
      <w:r w:rsidR="00BE311F" w:rsidRPr="006101E5">
        <w:rPr>
          <w:noProof/>
        </w:rPr>
        <w:t>.</w:t>
      </w:r>
      <w:r w:rsidRPr="006101E5">
        <w:rPr>
          <w:noProof/>
        </w:rPr>
        <w:t xml:space="preserve"> Finally, </w:t>
      </w:r>
      <w:r w:rsidR="00FF28EF" w:rsidRPr="006101E5">
        <w:rPr>
          <w:noProof/>
        </w:rPr>
        <w:t xml:space="preserve">for fluorinated gases, </w:t>
      </w:r>
      <w:r w:rsidRPr="006101E5">
        <w:rPr>
          <w:noProof/>
        </w:rPr>
        <w:t xml:space="preserve">the </w:t>
      </w:r>
      <w:r w:rsidR="00FF28EF" w:rsidRPr="006101E5">
        <w:rPr>
          <w:noProof/>
        </w:rPr>
        <w:t xml:space="preserve">maximum </w:t>
      </w:r>
      <w:r w:rsidR="009B2AFA">
        <w:rPr>
          <w:noProof/>
        </w:rPr>
        <w:t xml:space="preserve">additional </w:t>
      </w:r>
      <w:r w:rsidR="00FF28EF" w:rsidRPr="006101E5">
        <w:rPr>
          <w:noProof/>
        </w:rPr>
        <w:t>mitigation potential</w:t>
      </w:r>
      <w:r w:rsidRPr="006101E5">
        <w:rPr>
          <w:noProof/>
        </w:rPr>
        <w:t xml:space="preserve"> </w:t>
      </w:r>
      <w:r w:rsidR="00FF28EF" w:rsidRPr="006101E5">
        <w:rPr>
          <w:noProof/>
        </w:rPr>
        <w:t>is around</w:t>
      </w:r>
      <w:r w:rsidRPr="006101E5">
        <w:rPr>
          <w:noProof/>
        </w:rPr>
        <w:t xml:space="preserve"> 8 MtCO2-eq </w:t>
      </w:r>
      <w:r w:rsidR="00C228F8" w:rsidRPr="006101E5">
        <w:rPr>
          <w:noProof/>
        </w:rPr>
        <w:t xml:space="preserve">in 2040 </w:t>
      </w:r>
      <w:r w:rsidRPr="006101E5">
        <w:rPr>
          <w:noProof/>
        </w:rPr>
        <w:t xml:space="preserve">(see </w:t>
      </w:r>
      <w:r w:rsidR="005E6ACA" w:rsidRPr="006101E5">
        <w:rPr>
          <w:noProof/>
          <w:color w:val="2B579A"/>
          <w:shd w:val="clear" w:color="auto" w:fill="E6E6E6"/>
        </w:rPr>
        <w:fldChar w:fldCharType="begin"/>
      </w:r>
      <w:r w:rsidR="005E6ACA" w:rsidRPr="006101E5">
        <w:rPr>
          <w:noProof/>
        </w:rPr>
        <w:instrText xml:space="preserve"> REF _Ref142041140 \h </w:instrText>
      </w:r>
      <w:r w:rsidR="006101E5" w:rsidRPr="006101E5">
        <w:rPr>
          <w:noProof/>
          <w:color w:val="2B579A"/>
          <w:shd w:val="clear" w:color="auto" w:fill="E6E6E6"/>
        </w:rPr>
        <w:instrText xml:space="preserve"> \* MERGEFORMAT </w:instrText>
      </w:r>
      <w:r w:rsidR="005E6ACA" w:rsidRPr="006101E5">
        <w:rPr>
          <w:noProof/>
          <w:color w:val="2B579A"/>
          <w:shd w:val="clear" w:color="auto" w:fill="E6E6E6"/>
        </w:rPr>
      </w:r>
      <w:r w:rsidR="005E6ACA" w:rsidRPr="006101E5">
        <w:rPr>
          <w:noProof/>
          <w:color w:val="2B579A"/>
          <w:shd w:val="clear" w:color="auto" w:fill="E6E6E6"/>
        </w:rPr>
        <w:fldChar w:fldCharType="separate"/>
      </w:r>
      <w:r w:rsidR="00170A3C">
        <w:rPr>
          <w:noProof/>
        </w:rPr>
        <w:t>Table 11</w:t>
      </w:r>
      <w:r w:rsidR="005E6ACA" w:rsidRPr="006101E5">
        <w:rPr>
          <w:noProof/>
          <w:color w:val="2B579A"/>
          <w:shd w:val="clear" w:color="auto" w:fill="E6E6E6"/>
        </w:rPr>
        <w:fldChar w:fldCharType="end"/>
      </w:r>
      <w:r w:rsidRPr="006101E5">
        <w:rPr>
          <w:noProof/>
        </w:rPr>
        <w:t xml:space="preserve">), </w:t>
      </w:r>
      <w:r w:rsidR="00F16277" w:rsidRPr="006101E5">
        <w:rPr>
          <w:noProof/>
        </w:rPr>
        <w:t xml:space="preserve">which is to be found </w:t>
      </w:r>
      <w:r w:rsidRPr="006101E5">
        <w:rPr>
          <w:noProof/>
        </w:rPr>
        <w:t>mostly in heating and cooling</w:t>
      </w:r>
      <w:r w:rsidR="00FF28EF" w:rsidRPr="006101E5">
        <w:rPr>
          <w:noProof/>
        </w:rPr>
        <w:t xml:space="preserve">, </w:t>
      </w:r>
      <w:r w:rsidRPr="006101E5">
        <w:rPr>
          <w:noProof/>
        </w:rPr>
        <w:t xml:space="preserve">industry </w:t>
      </w:r>
      <w:r w:rsidR="00FF28EF" w:rsidRPr="006101E5">
        <w:rPr>
          <w:noProof/>
        </w:rPr>
        <w:t xml:space="preserve">and other </w:t>
      </w:r>
      <w:r w:rsidRPr="006101E5">
        <w:rPr>
          <w:noProof/>
        </w:rPr>
        <w:t>sector</w:t>
      </w:r>
      <w:r w:rsidR="00FF28EF" w:rsidRPr="006101E5">
        <w:rPr>
          <w:noProof/>
        </w:rPr>
        <w:t>s</w:t>
      </w:r>
      <w:r w:rsidRPr="006101E5">
        <w:rPr>
          <w:noProof/>
        </w:rPr>
        <w:t xml:space="preserve">. About </w:t>
      </w:r>
      <w:r w:rsidR="00F16277" w:rsidRPr="006101E5">
        <w:rPr>
          <w:noProof/>
        </w:rPr>
        <w:t>70</w:t>
      </w:r>
      <w:r w:rsidRPr="006101E5">
        <w:rPr>
          <w:noProof/>
        </w:rPr>
        <w:t>% of this maximum mitigation potential could be reached at a marginal cost lower than 10 EUR/tCO2-eq and 80% may be tapped at a marginal cost lower than 50 EUR/tCO2-eq, leaving only a very small part of the maximum mitigation potential untapped (</w:t>
      </w:r>
      <w:r w:rsidR="00803F16" w:rsidRPr="006101E5">
        <w:rPr>
          <w:noProof/>
        </w:rPr>
        <w:t>3</w:t>
      </w:r>
      <w:r w:rsidRPr="006101E5">
        <w:rPr>
          <w:noProof/>
        </w:rPr>
        <w:t xml:space="preserve"> and 2 MtCO2-eq, respectively).</w:t>
      </w:r>
    </w:p>
    <w:p w14:paraId="75907E36" w14:textId="25D36049" w:rsidR="00143A51" w:rsidRDefault="00143A51" w:rsidP="00492F90">
      <w:pPr>
        <w:pStyle w:val="Caption"/>
        <w:rPr>
          <w:noProof/>
        </w:rPr>
      </w:pPr>
      <w:bookmarkStart w:id="399" w:name="_Ref142041140"/>
      <w:bookmarkStart w:id="400" w:name="_Toc157679894"/>
      <w:r>
        <w:rPr>
          <w:noProof/>
        </w:rPr>
        <w:t xml:space="preserve">Table </w:t>
      </w:r>
      <w:r>
        <w:rPr>
          <w:noProof/>
          <w:color w:val="2B579A"/>
          <w:shd w:val="clear" w:color="auto" w:fill="E6E6E6"/>
        </w:rPr>
        <w:fldChar w:fldCharType="begin"/>
      </w:r>
      <w:r>
        <w:rPr>
          <w:noProof/>
        </w:rPr>
        <w:instrText>SEQ Table \* ARABIC</w:instrText>
      </w:r>
      <w:r>
        <w:rPr>
          <w:noProof/>
          <w:color w:val="2B579A"/>
          <w:shd w:val="clear" w:color="auto" w:fill="E6E6E6"/>
        </w:rPr>
        <w:fldChar w:fldCharType="separate"/>
      </w:r>
      <w:r w:rsidR="00170A3C">
        <w:rPr>
          <w:noProof/>
        </w:rPr>
        <w:t>11</w:t>
      </w:r>
      <w:r>
        <w:rPr>
          <w:noProof/>
          <w:color w:val="2B579A"/>
          <w:shd w:val="clear" w:color="auto" w:fill="E6E6E6"/>
        </w:rPr>
        <w:fldChar w:fldCharType="end"/>
      </w:r>
      <w:bookmarkEnd w:id="399"/>
      <w:r>
        <w:rPr>
          <w:noProof/>
        </w:rPr>
        <w:t xml:space="preserve">: </w:t>
      </w:r>
      <w:bookmarkStart w:id="401" w:name="_Hlk142040452"/>
      <w:r w:rsidR="00492F90">
        <w:rPr>
          <w:noProof/>
        </w:rPr>
        <w:t>Additional m</w:t>
      </w:r>
      <w:r>
        <w:rPr>
          <w:noProof/>
        </w:rPr>
        <w:t xml:space="preserve">itigation potentials of non-CO2 </w:t>
      </w:r>
      <w:r w:rsidR="00906859">
        <w:rPr>
          <w:noProof/>
        </w:rPr>
        <w:t>GHG</w:t>
      </w:r>
      <w:r>
        <w:rPr>
          <w:noProof/>
        </w:rPr>
        <w:t xml:space="preserve"> emissions across all </w:t>
      </w:r>
      <w:r w:rsidR="00492F90">
        <w:rPr>
          <w:noProof/>
        </w:rPr>
        <w:t xml:space="preserve">non-land-related </w:t>
      </w:r>
      <w:r>
        <w:rPr>
          <w:noProof/>
        </w:rPr>
        <w:t xml:space="preserve">sectors in 2040 </w:t>
      </w:r>
      <w:r w:rsidR="00F9205E">
        <w:rPr>
          <w:noProof/>
        </w:rPr>
        <w:t>(</w:t>
      </w:r>
      <w:r w:rsidR="00492F90">
        <w:rPr>
          <w:noProof/>
        </w:rPr>
        <w:t>by</w:t>
      </w:r>
      <w:r>
        <w:rPr>
          <w:noProof/>
        </w:rPr>
        <w:t xml:space="preserve"> gas</w:t>
      </w:r>
      <w:r w:rsidR="00F9205E">
        <w:rPr>
          <w:noProof/>
        </w:rPr>
        <w:t>)</w:t>
      </w:r>
      <w:bookmarkEnd w:id="400"/>
      <w:r>
        <w:rPr>
          <w:noProof/>
        </w:rPr>
        <w:t xml:space="preserve"> </w:t>
      </w:r>
      <w:bookmarkEnd w:id="401"/>
    </w:p>
    <w:tbl>
      <w:tblPr>
        <w:tblW w:w="8834" w:type="dxa"/>
        <w:tblLayout w:type="fixed"/>
        <w:tblLook w:val="04A0" w:firstRow="1" w:lastRow="0" w:firstColumn="1" w:lastColumn="0" w:noHBand="0" w:noVBand="1"/>
      </w:tblPr>
      <w:tblGrid>
        <w:gridCol w:w="2518"/>
        <w:gridCol w:w="902"/>
        <w:gridCol w:w="902"/>
        <w:gridCol w:w="902"/>
        <w:gridCol w:w="903"/>
        <w:gridCol w:w="902"/>
        <w:gridCol w:w="902"/>
        <w:gridCol w:w="903"/>
      </w:tblGrid>
      <w:tr w:rsidR="00492F90" w:rsidRPr="00492F90" w14:paraId="3B37174B" w14:textId="77777777" w:rsidTr="004D39EB">
        <w:trPr>
          <w:trHeight w:val="300"/>
        </w:trPr>
        <w:tc>
          <w:tcPr>
            <w:tcW w:w="2518" w:type="dxa"/>
            <w:vMerge w:val="restart"/>
            <w:noWrap/>
            <w:vAlign w:val="center"/>
          </w:tcPr>
          <w:p w14:paraId="708BE632" w14:textId="77777777" w:rsidR="00492F90" w:rsidRPr="00FA3FEC" w:rsidRDefault="00492F90" w:rsidP="00492F90">
            <w:pPr>
              <w:keepNext/>
              <w:spacing w:after="0"/>
              <w:jc w:val="left"/>
              <w:rPr>
                <w:rFonts w:ascii="EC Square Sans Cond Pro" w:hAnsi="EC Square Sans Cond Pro" w:cs="Avenir Next LT Pro"/>
                <w:b/>
                <w:noProof/>
                <w:sz w:val="18"/>
                <w:szCs w:val="18"/>
                <w:lang w:val="en-IE"/>
              </w:rPr>
            </w:pPr>
          </w:p>
        </w:tc>
        <w:tc>
          <w:tcPr>
            <w:tcW w:w="6316" w:type="dxa"/>
            <w:gridSpan w:val="7"/>
            <w:noWrap/>
            <w:vAlign w:val="center"/>
          </w:tcPr>
          <w:p w14:paraId="420B0121" w14:textId="2E353DE1" w:rsidR="00492F90" w:rsidRPr="00FA3FEC" w:rsidRDefault="00492F90" w:rsidP="00492F90">
            <w:pPr>
              <w:keepNext/>
              <w:spacing w:after="0"/>
              <w:jc w:val="center"/>
              <w:rPr>
                <w:rFonts w:ascii="EC Square Sans Cond Pro" w:hAnsi="EC Square Sans Cond Pro" w:cs="Avenir Next LT Pro"/>
                <w:b/>
                <w:noProof/>
                <w:sz w:val="18"/>
                <w:szCs w:val="18"/>
                <w:lang w:val="en-IE"/>
              </w:rPr>
            </w:pPr>
            <w:r w:rsidRPr="00FA3FEC">
              <w:rPr>
                <w:rFonts w:ascii="EC Square Sans Cond Pro" w:hAnsi="EC Square Sans Cond Pro" w:cs="Avenir Next LT Pro"/>
                <w:b/>
                <w:noProof/>
                <w:sz w:val="18"/>
                <w:szCs w:val="18"/>
                <w:lang w:val="en-IE"/>
              </w:rPr>
              <w:t>Marginal abatement cost for non-CO2 GHG emissions (EUR/tCO2-eq)</w:t>
            </w:r>
            <w:r w:rsidR="005456CF" w:rsidRPr="00FA3FEC">
              <w:rPr>
                <w:rFonts w:ascii="EC Square Sans Cond Pro" w:hAnsi="EC Square Sans Cond Pro" w:cs="Avenir Next LT Pro"/>
                <w:b/>
                <w:noProof/>
                <w:sz w:val="18"/>
                <w:szCs w:val="18"/>
                <w:lang w:val="en-IE"/>
              </w:rPr>
              <w:t>**</w:t>
            </w:r>
          </w:p>
        </w:tc>
      </w:tr>
      <w:tr w:rsidR="00492F90" w:rsidRPr="00492F90" w14:paraId="257E3D06" w14:textId="77777777" w:rsidTr="004D39EB">
        <w:trPr>
          <w:trHeight w:val="460"/>
        </w:trPr>
        <w:tc>
          <w:tcPr>
            <w:tcW w:w="2518" w:type="dxa"/>
            <w:vMerge/>
            <w:tcBorders>
              <w:bottom w:val="single" w:sz="12" w:space="0" w:color="auto"/>
            </w:tcBorders>
            <w:noWrap/>
            <w:vAlign w:val="center"/>
            <w:hideMark/>
          </w:tcPr>
          <w:p w14:paraId="4B857CF3" w14:textId="77777777" w:rsidR="00492F90" w:rsidRPr="00492F90" w:rsidRDefault="00492F90" w:rsidP="00492F90">
            <w:pPr>
              <w:keepNext/>
              <w:spacing w:after="0"/>
              <w:jc w:val="left"/>
              <w:rPr>
                <w:rFonts w:ascii="EC Square Sans Cond Pro" w:hAnsi="EC Square Sans Cond Pro"/>
                <w:noProof/>
                <w:sz w:val="18"/>
                <w:szCs w:val="18"/>
                <w:lang w:val="en-IE"/>
              </w:rPr>
            </w:pPr>
          </w:p>
        </w:tc>
        <w:tc>
          <w:tcPr>
            <w:tcW w:w="902" w:type="dxa"/>
            <w:tcBorders>
              <w:bottom w:val="single" w:sz="12" w:space="0" w:color="auto"/>
            </w:tcBorders>
            <w:noWrap/>
            <w:vAlign w:val="center"/>
            <w:hideMark/>
          </w:tcPr>
          <w:p w14:paraId="5B1754E9" w14:textId="77777777" w:rsidR="00492F90" w:rsidRPr="00FA3FEC" w:rsidRDefault="00492F90" w:rsidP="00492F90">
            <w:pPr>
              <w:keepNext/>
              <w:spacing w:after="0"/>
              <w:jc w:val="center"/>
              <w:rPr>
                <w:rFonts w:ascii="EC Square Sans Cond Pro" w:hAnsi="EC Square Sans Cond Pro" w:cs="Avenir Next LT Pro"/>
                <w:b/>
                <w:noProof/>
                <w:sz w:val="18"/>
                <w:szCs w:val="18"/>
                <w:lang w:val="en-IE"/>
              </w:rPr>
            </w:pPr>
            <w:r w:rsidRPr="00FA3FEC">
              <w:rPr>
                <w:rFonts w:ascii="EC Square Sans Cond Pro" w:hAnsi="EC Square Sans Cond Pro" w:cs="Avenir Next LT Pro"/>
                <w:b/>
                <w:noProof/>
                <w:sz w:val="18"/>
                <w:szCs w:val="18"/>
                <w:lang w:val="en-IE"/>
              </w:rPr>
              <w:t>0*</w:t>
            </w:r>
          </w:p>
        </w:tc>
        <w:tc>
          <w:tcPr>
            <w:tcW w:w="902" w:type="dxa"/>
            <w:tcBorders>
              <w:bottom w:val="single" w:sz="12" w:space="0" w:color="auto"/>
            </w:tcBorders>
            <w:noWrap/>
            <w:vAlign w:val="center"/>
            <w:hideMark/>
          </w:tcPr>
          <w:p w14:paraId="2921584C" w14:textId="77777777" w:rsidR="00492F90" w:rsidRPr="00FA3FEC" w:rsidRDefault="00492F90" w:rsidP="00492F90">
            <w:pPr>
              <w:keepNext/>
              <w:spacing w:after="0"/>
              <w:jc w:val="center"/>
              <w:rPr>
                <w:rFonts w:ascii="EC Square Sans Cond Pro" w:hAnsi="EC Square Sans Cond Pro" w:cs="Avenir Next LT Pro"/>
                <w:b/>
                <w:smallCaps/>
                <w:noProof/>
                <w:sz w:val="18"/>
                <w:szCs w:val="18"/>
                <w:lang w:val="en-IE"/>
              </w:rPr>
            </w:pPr>
            <w:r w:rsidRPr="00FA3FEC">
              <w:rPr>
                <w:rFonts w:ascii="EC Square Sans Cond Pro" w:hAnsi="EC Square Sans Cond Pro" w:cs="Avenir Next LT Pro"/>
                <w:b/>
                <w:smallCaps/>
                <w:noProof/>
                <w:sz w:val="18"/>
                <w:szCs w:val="18"/>
                <w:lang w:val="en-IE"/>
              </w:rPr>
              <w:t>0.1</w:t>
            </w:r>
          </w:p>
        </w:tc>
        <w:tc>
          <w:tcPr>
            <w:tcW w:w="902" w:type="dxa"/>
            <w:tcBorders>
              <w:bottom w:val="single" w:sz="12" w:space="0" w:color="auto"/>
            </w:tcBorders>
            <w:vAlign w:val="center"/>
          </w:tcPr>
          <w:p w14:paraId="7F45136D" w14:textId="77777777" w:rsidR="00492F90" w:rsidRPr="00FA3FEC" w:rsidRDefault="00492F90" w:rsidP="00492F90">
            <w:pPr>
              <w:keepNext/>
              <w:spacing w:after="0"/>
              <w:jc w:val="center"/>
              <w:rPr>
                <w:rFonts w:ascii="EC Square Sans Cond Pro" w:hAnsi="EC Square Sans Cond Pro" w:cs="Avenir Next LT Pro"/>
                <w:b/>
                <w:noProof/>
                <w:sz w:val="18"/>
                <w:szCs w:val="18"/>
                <w:lang w:val="en-IE"/>
              </w:rPr>
            </w:pPr>
            <w:r w:rsidRPr="00FA3FEC">
              <w:rPr>
                <w:rFonts w:ascii="EC Square Sans Cond Pro" w:hAnsi="EC Square Sans Cond Pro" w:cs="Avenir Next LT Pro"/>
                <w:b/>
                <w:smallCaps/>
                <w:noProof/>
                <w:sz w:val="18"/>
                <w:szCs w:val="18"/>
                <w:lang w:val="en-IE"/>
              </w:rPr>
              <w:t>10</w:t>
            </w:r>
          </w:p>
        </w:tc>
        <w:tc>
          <w:tcPr>
            <w:tcW w:w="903" w:type="dxa"/>
            <w:tcBorders>
              <w:bottom w:val="single" w:sz="12" w:space="0" w:color="auto"/>
            </w:tcBorders>
            <w:vAlign w:val="center"/>
          </w:tcPr>
          <w:p w14:paraId="1807492A" w14:textId="77777777" w:rsidR="00492F90" w:rsidRPr="00FA3FEC" w:rsidRDefault="00492F90" w:rsidP="00492F90">
            <w:pPr>
              <w:keepNext/>
              <w:spacing w:after="0"/>
              <w:jc w:val="center"/>
              <w:rPr>
                <w:rFonts w:ascii="EC Square Sans Cond Pro" w:hAnsi="EC Square Sans Cond Pro" w:cs="Avenir Next LT Pro"/>
                <w:b/>
                <w:noProof/>
                <w:sz w:val="18"/>
                <w:szCs w:val="18"/>
                <w:lang w:val="en-IE"/>
              </w:rPr>
            </w:pPr>
            <w:r w:rsidRPr="00FA3FEC">
              <w:rPr>
                <w:rFonts w:ascii="EC Square Sans Cond Pro" w:hAnsi="EC Square Sans Cond Pro" w:cs="Avenir Next LT Pro"/>
                <w:b/>
                <w:noProof/>
                <w:sz w:val="18"/>
                <w:szCs w:val="18"/>
                <w:lang w:val="en-IE"/>
              </w:rPr>
              <w:t>50</w:t>
            </w:r>
          </w:p>
        </w:tc>
        <w:tc>
          <w:tcPr>
            <w:tcW w:w="902" w:type="dxa"/>
            <w:tcBorders>
              <w:bottom w:val="single" w:sz="12" w:space="0" w:color="auto"/>
            </w:tcBorders>
            <w:vAlign w:val="center"/>
          </w:tcPr>
          <w:p w14:paraId="6A8EA0CE" w14:textId="77777777" w:rsidR="00492F90" w:rsidRPr="00FA3FEC" w:rsidRDefault="00492F90" w:rsidP="00492F90">
            <w:pPr>
              <w:keepNext/>
              <w:spacing w:after="0"/>
              <w:jc w:val="center"/>
              <w:rPr>
                <w:rFonts w:ascii="EC Square Sans Cond Pro" w:hAnsi="EC Square Sans Cond Pro" w:cs="Avenir Next LT Pro"/>
                <w:b/>
                <w:noProof/>
                <w:sz w:val="18"/>
                <w:szCs w:val="18"/>
                <w:lang w:val="en-IE"/>
              </w:rPr>
            </w:pPr>
            <w:r w:rsidRPr="00FA3FEC">
              <w:rPr>
                <w:rFonts w:ascii="EC Square Sans Cond Pro" w:hAnsi="EC Square Sans Cond Pro" w:cs="Avenir Next LT Pro"/>
                <w:b/>
                <w:noProof/>
                <w:sz w:val="18"/>
                <w:szCs w:val="18"/>
                <w:lang w:val="en-IE"/>
              </w:rPr>
              <w:t>100</w:t>
            </w:r>
          </w:p>
        </w:tc>
        <w:tc>
          <w:tcPr>
            <w:tcW w:w="902" w:type="dxa"/>
            <w:tcBorders>
              <w:bottom w:val="single" w:sz="12" w:space="0" w:color="auto"/>
            </w:tcBorders>
            <w:vAlign w:val="center"/>
          </w:tcPr>
          <w:p w14:paraId="7CBBE2C9" w14:textId="77777777" w:rsidR="00492F90" w:rsidRPr="00FA3FEC" w:rsidRDefault="00492F90" w:rsidP="00492F90">
            <w:pPr>
              <w:keepNext/>
              <w:spacing w:after="0"/>
              <w:jc w:val="center"/>
              <w:rPr>
                <w:rFonts w:ascii="EC Square Sans Cond Pro" w:hAnsi="EC Square Sans Cond Pro" w:cs="Avenir Next LT Pro"/>
                <w:b/>
                <w:noProof/>
                <w:sz w:val="18"/>
                <w:szCs w:val="18"/>
                <w:lang w:val="en-IE"/>
              </w:rPr>
            </w:pPr>
            <w:r w:rsidRPr="00FA3FEC">
              <w:rPr>
                <w:rFonts w:ascii="EC Square Sans Cond Pro" w:hAnsi="EC Square Sans Cond Pro" w:cs="Avenir Next LT Pro"/>
                <w:b/>
                <w:noProof/>
                <w:sz w:val="18"/>
                <w:szCs w:val="18"/>
                <w:lang w:val="en-IE"/>
              </w:rPr>
              <w:t>300</w:t>
            </w:r>
          </w:p>
        </w:tc>
        <w:tc>
          <w:tcPr>
            <w:tcW w:w="903" w:type="dxa"/>
            <w:tcBorders>
              <w:bottom w:val="single" w:sz="12" w:space="0" w:color="auto"/>
            </w:tcBorders>
            <w:vAlign w:val="center"/>
          </w:tcPr>
          <w:p w14:paraId="4EF8450F" w14:textId="77777777" w:rsidR="00492F90" w:rsidRPr="00FA3FEC" w:rsidRDefault="00492F90" w:rsidP="00492F90">
            <w:pPr>
              <w:keepNext/>
              <w:spacing w:after="0"/>
              <w:jc w:val="center"/>
              <w:rPr>
                <w:rFonts w:ascii="EC Square Sans Cond Pro" w:hAnsi="EC Square Sans Cond Pro" w:cs="Avenir Next LT Pro"/>
                <w:b/>
                <w:noProof/>
                <w:sz w:val="18"/>
                <w:szCs w:val="18"/>
                <w:lang w:val="en-IE"/>
              </w:rPr>
            </w:pPr>
            <w:r w:rsidRPr="00FA3FEC">
              <w:rPr>
                <w:rFonts w:ascii="EC Square Sans Cond Pro" w:hAnsi="EC Square Sans Cond Pro" w:cs="Avenir Next LT Pro"/>
                <w:b/>
                <w:noProof/>
                <w:sz w:val="18"/>
                <w:szCs w:val="18"/>
                <w:lang w:val="en-IE"/>
              </w:rPr>
              <w:t>Max</w:t>
            </w:r>
          </w:p>
        </w:tc>
      </w:tr>
      <w:tr w:rsidR="00492F90" w:rsidRPr="00492F90" w14:paraId="2E3231D0" w14:textId="77777777" w:rsidTr="004D39EB">
        <w:trPr>
          <w:trHeight w:val="460"/>
        </w:trPr>
        <w:tc>
          <w:tcPr>
            <w:tcW w:w="2518" w:type="dxa"/>
            <w:tcBorders>
              <w:top w:val="single" w:sz="12" w:space="0" w:color="auto"/>
            </w:tcBorders>
            <w:noWrap/>
            <w:vAlign w:val="center"/>
            <w:hideMark/>
          </w:tcPr>
          <w:p w14:paraId="76F7CA38" w14:textId="77777777" w:rsidR="00492F90" w:rsidRPr="00492F90" w:rsidRDefault="00492F90" w:rsidP="00492F90">
            <w:pPr>
              <w:keepNext/>
              <w:spacing w:after="0"/>
              <w:jc w:val="left"/>
              <w:rPr>
                <w:rFonts w:ascii="EC Square Sans Cond Pro" w:hAnsi="EC Square Sans Cond Pro" w:cs="Avenir Next LT Pro"/>
                <w:b/>
                <w:noProof/>
                <w:sz w:val="18"/>
                <w:szCs w:val="18"/>
                <w:lang w:val="en-IE"/>
              </w:rPr>
            </w:pPr>
            <w:r w:rsidRPr="00492F90">
              <w:rPr>
                <w:rFonts w:ascii="EC Square Sans Cond Pro" w:hAnsi="EC Square Sans Cond Pro" w:cs="Avenir Next LT Pro"/>
                <w:b/>
                <w:noProof/>
                <w:sz w:val="18"/>
                <w:szCs w:val="18"/>
                <w:lang w:val="en-IE"/>
              </w:rPr>
              <w:t>Emissions mitigation in 2040 (MtCO2-eq)</w:t>
            </w:r>
          </w:p>
        </w:tc>
        <w:tc>
          <w:tcPr>
            <w:tcW w:w="6316" w:type="dxa"/>
            <w:gridSpan w:val="7"/>
            <w:tcBorders>
              <w:top w:val="single" w:sz="12" w:space="0" w:color="auto"/>
            </w:tcBorders>
            <w:noWrap/>
            <w:vAlign w:val="center"/>
          </w:tcPr>
          <w:p w14:paraId="1B15CBA5" w14:textId="77777777" w:rsidR="00492F90" w:rsidRPr="00FA3FEC" w:rsidRDefault="00492F90" w:rsidP="00492F90">
            <w:pPr>
              <w:keepNext/>
              <w:spacing w:after="0"/>
              <w:jc w:val="center"/>
              <w:rPr>
                <w:rFonts w:ascii="EC Square Sans Cond Pro" w:hAnsi="EC Square Sans Cond Pro" w:cs="Avenir Next LT Pro"/>
                <w:noProof/>
                <w:sz w:val="18"/>
                <w:szCs w:val="18"/>
                <w:lang w:val="en-IE"/>
              </w:rPr>
            </w:pPr>
          </w:p>
        </w:tc>
      </w:tr>
      <w:tr w:rsidR="00492F90" w:rsidRPr="00492F90" w14:paraId="2F48E686" w14:textId="77777777" w:rsidTr="004D39EB">
        <w:trPr>
          <w:trHeight w:val="320"/>
        </w:trPr>
        <w:tc>
          <w:tcPr>
            <w:tcW w:w="2518" w:type="dxa"/>
            <w:noWrap/>
            <w:vAlign w:val="center"/>
            <w:hideMark/>
          </w:tcPr>
          <w:p w14:paraId="56ADCD3B" w14:textId="77777777" w:rsidR="00492F90" w:rsidRPr="00492F90" w:rsidRDefault="00492F90" w:rsidP="00492F90">
            <w:pPr>
              <w:keepNext/>
              <w:spacing w:after="0"/>
              <w:jc w:val="left"/>
              <w:rPr>
                <w:rFonts w:ascii="EC Square Sans Cond Pro" w:hAnsi="EC Square Sans Cond Pro" w:cs="Avenir Next LT Pro"/>
                <w:noProof/>
                <w:sz w:val="18"/>
                <w:szCs w:val="18"/>
                <w:lang w:val="en-IE"/>
              </w:rPr>
            </w:pPr>
            <w:r w:rsidRPr="00492F90">
              <w:rPr>
                <w:rFonts w:ascii="EC Square Sans Cond Pro" w:hAnsi="EC Square Sans Cond Pro" w:cs="Avenir Next LT Pro"/>
                <w:noProof/>
                <w:sz w:val="18"/>
                <w:szCs w:val="18"/>
                <w:lang w:val="en-IE"/>
              </w:rPr>
              <w:t>CH4</w:t>
            </w:r>
          </w:p>
        </w:tc>
        <w:tc>
          <w:tcPr>
            <w:tcW w:w="902" w:type="dxa"/>
            <w:noWrap/>
            <w:vAlign w:val="center"/>
          </w:tcPr>
          <w:p w14:paraId="64A73403" w14:textId="3938110A" w:rsidR="00492F90" w:rsidRPr="00492F90" w:rsidRDefault="00492F90" w:rsidP="00492F90">
            <w:pPr>
              <w:keepNext/>
              <w:spacing w:after="0"/>
              <w:jc w:val="center"/>
              <w:rPr>
                <w:rFonts w:ascii="EC Square Sans Cond Pro" w:hAnsi="EC Square Sans Cond Pro" w:cs="Avenir Next LT Pro"/>
                <w:noProof/>
                <w:sz w:val="18"/>
                <w:szCs w:val="18"/>
                <w:lang w:val="en-IE"/>
              </w:rPr>
            </w:pPr>
            <w:r w:rsidRPr="00492F90">
              <w:rPr>
                <w:rFonts w:ascii="EC Square Sans Cond Pro" w:hAnsi="EC Square Sans Cond Pro" w:cs="Calibri"/>
                <w:noProof/>
                <w:sz w:val="18"/>
                <w:szCs w:val="18"/>
              </w:rPr>
              <w:t>0</w:t>
            </w:r>
          </w:p>
        </w:tc>
        <w:tc>
          <w:tcPr>
            <w:tcW w:w="902" w:type="dxa"/>
            <w:noWrap/>
            <w:vAlign w:val="center"/>
          </w:tcPr>
          <w:p w14:paraId="7D834049" w14:textId="122EB559" w:rsidR="00492F90" w:rsidRPr="00492F90" w:rsidRDefault="00FA3FEC"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16</w:t>
            </w:r>
          </w:p>
        </w:tc>
        <w:tc>
          <w:tcPr>
            <w:tcW w:w="902" w:type="dxa"/>
            <w:noWrap/>
            <w:vAlign w:val="center"/>
          </w:tcPr>
          <w:p w14:paraId="2F46319F" w14:textId="1D05273B" w:rsidR="00492F90" w:rsidRPr="00492F90" w:rsidRDefault="00FA3FEC"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19</w:t>
            </w:r>
          </w:p>
        </w:tc>
        <w:tc>
          <w:tcPr>
            <w:tcW w:w="903" w:type="dxa"/>
            <w:vAlign w:val="center"/>
          </w:tcPr>
          <w:p w14:paraId="32EA7967" w14:textId="53D42323" w:rsidR="00492F90" w:rsidRPr="00492F90" w:rsidRDefault="00FA3FEC"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20</w:t>
            </w:r>
          </w:p>
        </w:tc>
        <w:tc>
          <w:tcPr>
            <w:tcW w:w="902" w:type="dxa"/>
            <w:vAlign w:val="center"/>
          </w:tcPr>
          <w:p w14:paraId="684039AF" w14:textId="2BA5B807" w:rsidR="00492F90" w:rsidRPr="00492F90" w:rsidRDefault="00FA3FEC"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20</w:t>
            </w:r>
          </w:p>
        </w:tc>
        <w:tc>
          <w:tcPr>
            <w:tcW w:w="902" w:type="dxa"/>
            <w:vAlign w:val="center"/>
          </w:tcPr>
          <w:p w14:paraId="02F1E38B" w14:textId="63E5B6EC" w:rsidR="00492F90" w:rsidRPr="00492F90" w:rsidRDefault="00FA3FEC"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20</w:t>
            </w:r>
          </w:p>
        </w:tc>
        <w:tc>
          <w:tcPr>
            <w:tcW w:w="903" w:type="dxa"/>
            <w:vAlign w:val="center"/>
          </w:tcPr>
          <w:p w14:paraId="14B2ED5E" w14:textId="74769AFA" w:rsidR="00492F90" w:rsidRPr="00492F90" w:rsidRDefault="00FA3FEC"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23</w:t>
            </w:r>
          </w:p>
        </w:tc>
      </w:tr>
      <w:tr w:rsidR="00492F90" w:rsidRPr="00492F90" w14:paraId="51C3D38D" w14:textId="77777777" w:rsidTr="004D39EB">
        <w:trPr>
          <w:trHeight w:val="320"/>
        </w:trPr>
        <w:tc>
          <w:tcPr>
            <w:tcW w:w="2518" w:type="dxa"/>
            <w:noWrap/>
            <w:vAlign w:val="center"/>
            <w:hideMark/>
          </w:tcPr>
          <w:p w14:paraId="1AC07614" w14:textId="77777777" w:rsidR="00492F90" w:rsidRPr="00492F90" w:rsidRDefault="00492F90" w:rsidP="00492F90">
            <w:pPr>
              <w:keepNext/>
              <w:spacing w:after="0"/>
              <w:jc w:val="left"/>
              <w:rPr>
                <w:rFonts w:ascii="EC Square Sans Cond Pro" w:hAnsi="EC Square Sans Cond Pro" w:cs="Avenir Next LT Pro"/>
                <w:noProof/>
                <w:sz w:val="18"/>
                <w:szCs w:val="18"/>
                <w:lang w:val="en-IE"/>
              </w:rPr>
            </w:pPr>
            <w:r w:rsidRPr="00492F90">
              <w:rPr>
                <w:rFonts w:ascii="EC Square Sans Cond Pro" w:hAnsi="EC Square Sans Cond Pro" w:cs="Avenir Next LT Pro"/>
                <w:noProof/>
                <w:sz w:val="18"/>
                <w:szCs w:val="18"/>
                <w:lang w:val="en-IE"/>
              </w:rPr>
              <w:t>N2O</w:t>
            </w:r>
          </w:p>
        </w:tc>
        <w:tc>
          <w:tcPr>
            <w:tcW w:w="902" w:type="dxa"/>
            <w:noWrap/>
            <w:vAlign w:val="center"/>
          </w:tcPr>
          <w:p w14:paraId="647E971C" w14:textId="5F626DFF" w:rsidR="00492F90" w:rsidRPr="00492F90" w:rsidRDefault="00492F90" w:rsidP="00492F90">
            <w:pPr>
              <w:keepNext/>
              <w:spacing w:after="0"/>
              <w:jc w:val="center"/>
              <w:rPr>
                <w:rFonts w:ascii="EC Square Sans Cond Pro" w:hAnsi="EC Square Sans Cond Pro" w:cs="Avenir Next LT Pro"/>
                <w:noProof/>
                <w:sz w:val="18"/>
                <w:szCs w:val="18"/>
                <w:lang w:val="en-IE"/>
              </w:rPr>
            </w:pPr>
            <w:r w:rsidRPr="00492F90">
              <w:rPr>
                <w:rFonts w:ascii="EC Square Sans Cond Pro" w:hAnsi="EC Square Sans Cond Pro" w:cs="Calibri"/>
                <w:noProof/>
                <w:sz w:val="18"/>
                <w:szCs w:val="18"/>
              </w:rPr>
              <w:t>0</w:t>
            </w:r>
          </w:p>
        </w:tc>
        <w:tc>
          <w:tcPr>
            <w:tcW w:w="902" w:type="dxa"/>
            <w:noWrap/>
            <w:vAlign w:val="center"/>
          </w:tcPr>
          <w:p w14:paraId="6777EFB3" w14:textId="74CF07D7" w:rsidR="00492F90" w:rsidRPr="00492F90" w:rsidRDefault="00FA3FEC"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6.6</w:t>
            </w:r>
          </w:p>
        </w:tc>
        <w:tc>
          <w:tcPr>
            <w:tcW w:w="902" w:type="dxa"/>
            <w:noWrap/>
            <w:vAlign w:val="center"/>
          </w:tcPr>
          <w:p w14:paraId="7F33A0C2" w14:textId="772BEF46" w:rsidR="00492F90" w:rsidRPr="00492F90" w:rsidRDefault="00492F90" w:rsidP="00492F90">
            <w:pPr>
              <w:keepNext/>
              <w:spacing w:after="0"/>
              <w:jc w:val="center"/>
              <w:rPr>
                <w:rFonts w:ascii="EC Square Sans Cond Pro" w:hAnsi="EC Square Sans Cond Pro" w:cs="Avenir Next LT Pro"/>
                <w:noProof/>
                <w:sz w:val="18"/>
                <w:szCs w:val="18"/>
                <w:lang w:val="en-IE"/>
              </w:rPr>
            </w:pPr>
            <w:r w:rsidRPr="00492F90">
              <w:rPr>
                <w:rFonts w:ascii="EC Square Sans Cond Pro" w:hAnsi="EC Square Sans Cond Pro" w:cs="Calibri"/>
                <w:noProof/>
                <w:sz w:val="18"/>
                <w:szCs w:val="18"/>
              </w:rPr>
              <w:t>8</w:t>
            </w:r>
            <w:r w:rsidR="00FA3FEC" w:rsidRPr="00FA3FEC">
              <w:rPr>
                <w:rFonts w:ascii="EC Square Sans Cond Pro" w:hAnsi="EC Square Sans Cond Pro" w:cs="Calibri"/>
                <w:noProof/>
                <w:sz w:val="18"/>
                <w:szCs w:val="18"/>
              </w:rPr>
              <w:t>.4</w:t>
            </w:r>
          </w:p>
        </w:tc>
        <w:tc>
          <w:tcPr>
            <w:tcW w:w="903" w:type="dxa"/>
            <w:vAlign w:val="center"/>
          </w:tcPr>
          <w:p w14:paraId="7AAB208B" w14:textId="42553B5A" w:rsidR="00492F90" w:rsidRPr="00492F90" w:rsidRDefault="00FA3FEC"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8.7</w:t>
            </w:r>
          </w:p>
        </w:tc>
        <w:tc>
          <w:tcPr>
            <w:tcW w:w="902" w:type="dxa"/>
            <w:vAlign w:val="center"/>
          </w:tcPr>
          <w:p w14:paraId="120C6E42" w14:textId="649A574D" w:rsidR="00492F90" w:rsidRPr="00492F90" w:rsidRDefault="00FA3FEC"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8.7</w:t>
            </w:r>
          </w:p>
        </w:tc>
        <w:tc>
          <w:tcPr>
            <w:tcW w:w="902" w:type="dxa"/>
            <w:vAlign w:val="center"/>
          </w:tcPr>
          <w:p w14:paraId="01EE93E6" w14:textId="6AA77D48" w:rsidR="00492F90" w:rsidRPr="00492F90" w:rsidRDefault="00FA3FEC"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8.7</w:t>
            </w:r>
          </w:p>
        </w:tc>
        <w:tc>
          <w:tcPr>
            <w:tcW w:w="903" w:type="dxa"/>
            <w:vAlign w:val="center"/>
          </w:tcPr>
          <w:p w14:paraId="38ACA1B1" w14:textId="22CA1EFE" w:rsidR="00492F90" w:rsidRPr="00492F90" w:rsidRDefault="00FA3FEC"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10</w:t>
            </w:r>
          </w:p>
        </w:tc>
      </w:tr>
      <w:tr w:rsidR="00492F90" w:rsidRPr="00492F90" w14:paraId="07B7F55D" w14:textId="77777777" w:rsidTr="004D39EB">
        <w:trPr>
          <w:trHeight w:val="320"/>
        </w:trPr>
        <w:tc>
          <w:tcPr>
            <w:tcW w:w="2518" w:type="dxa"/>
            <w:noWrap/>
            <w:vAlign w:val="center"/>
          </w:tcPr>
          <w:p w14:paraId="6097A74E" w14:textId="77777777" w:rsidR="00492F90" w:rsidRPr="00492F90" w:rsidRDefault="00492F90" w:rsidP="00492F90">
            <w:pPr>
              <w:keepNext/>
              <w:spacing w:after="0"/>
              <w:jc w:val="left"/>
              <w:rPr>
                <w:rFonts w:ascii="EC Square Sans Cond Pro" w:hAnsi="EC Square Sans Cond Pro" w:cs="Avenir Next LT Pro"/>
                <w:noProof/>
                <w:sz w:val="18"/>
                <w:szCs w:val="18"/>
                <w:lang w:val="en-IE"/>
              </w:rPr>
            </w:pPr>
            <w:r w:rsidRPr="00492F90">
              <w:rPr>
                <w:rFonts w:ascii="EC Square Sans Cond Pro" w:hAnsi="EC Square Sans Cond Pro" w:cs="Avenir Next LT Pro"/>
                <w:noProof/>
                <w:sz w:val="18"/>
                <w:szCs w:val="18"/>
                <w:lang w:val="en-IE"/>
              </w:rPr>
              <w:t xml:space="preserve">F-gas </w:t>
            </w:r>
          </w:p>
        </w:tc>
        <w:tc>
          <w:tcPr>
            <w:tcW w:w="902" w:type="dxa"/>
            <w:noWrap/>
            <w:vAlign w:val="center"/>
          </w:tcPr>
          <w:p w14:paraId="34FA486F" w14:textId="72BFA143" w:rsidR="00492F90" w:rsidRPr="00492F90" w:rsidRDefault="00492F90"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0</w:t>
            </w:r>
          </w:p>
        </w:tc>
        <w:tc>
          <w:tcPr>
            <w:tcW w:w="902" w:type="dxa"/>
            <w:noWrap/>
            <w:vAlign w:val="center"/>
          </w:tcPr>
          <w:p w14:paraId="00B98FC9" w14:textId="0C075702" w:rsidR="00492F90" w:rsidRPr="00492F90" w:rsidRDefault="00492F90"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2.7</w:t>
            </w:r>
          </w:p>
        </w:tc>
        <w:tc>
          <w:tcPr>
            <w:tcW w:w="902" w:type="dxa"/>
            <w:noWrap/>
            <w:vAlign w:val="center"/>
          </w:tcPr>
          <w:p w14:paraId="69CDD41B" w14:textId="25E26800" w:rsidR="00492F90" w:rsidRPr="00492F90" w:rsidRDefault="00492F90"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5.</w:t>
            </w:r>
            <w:r w:rsidR="00FA3FEC" w:rsidRPr="00FA3FEC">
              <w:rPr>
                <w:rFonts w:ascii="EC Square Sans Cond Pro" w:hAnsi="EC Square Sans Cond Pro" w:cs="Calibri"/>
                <w:noProof/>
                <w:sz w:val="18"/>
                <w:szCs w:val="18"/>
              </w:rPr>
              <w:t>8</w:t>
            </w:r>
          </w:p>
        </w:tc>
        <w:tc>
          <w:tcPr>
            <w:tcW w:w="903" w:type="dxa"/>
            <w:vAlign w:val="center"/>
          </w:tcPr>
          <w:p w14:paraId="184EF198" w14:textId="516C0B60" w:rsidR="00492F90" w:rsidRPr="00492F90" w:rsidRDefault="00492F90"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6.</w:t>
            </w:r>
            <w:r w:rsidR="00FA3FEC" w:rsidRPr="00FA3FEC">
              <w:rPr>
                <w:rFonts w:ascii="EC Square Sans Cond Pro" w:hAnsi="EC Square Sans Cond Pro" w:cs="Calibri"/>
                <w:noProof/>
                <w:sz w:val="18"/>
                <w:szCs w:val="18"/>
              </w:rPr>
              <w:t>7</w:t>
            </w:r>
          </w:p>
        </w:tc>
        <w:tc>
          <w:tcPr>
            <w:tcW w:w="902" w:type="dxa"/>
            <w:vAlign w:val="center"/>
          </w:tcPr>
          <w:p w14:paraId="279714BC" w14:textId="68279349" w:rsidR="00492F90" w:rsidRPr="00492F90" w:rsidRDefault="00492F90"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7.</w:t>
            </w:r>
            <w:r w:rsidR="00FA3FEC" w:rsidRPr="00FA3FEC">
              <w:rPr>
                <w:rFonts w:ascii="EC Square Sans Cond Pro" w:hAnsi="EC Square Sans Cond Pro" w:cs="Calibri"/>
                <w:noProof/>
                <w:sz w:val="18"/>
                <w:szCs w:val="18"/>
              </w:rPr>
              <w:t>5</w:t>
            </w:r>
          </w:p>
        </w:tc>
        <w:tc>
          <w:tcPr>
            <w:tcW w:w="902" w:type="dxa"/>
            <w:vAlign w:val="center"/>
          </w:tcPr>
          <w:p w14:paraId="6A0332D5" w14:textId="293A06BB" w:rsidR="00492F90" w:rsidRPr="00492F90" w:rsidRDefault="00492F90"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7.5</w:t>
            </w:r>
          </w:p>
        </w:tc>
        <w:tc>
          <w:tcPr>
            <w:tcW w:w="903" w:type="dxa"/>
            <w:vAlign w:val="center"/>
          </w:tcPr>
          <w:p w14:paraId="17C1FA9C" w14:textId="34ECE6B6" w:rsidR="00492F90" w:rsidRPr="00492F90" w:rsidRDefault="00492F90"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8.3</w:t>
            </w:r>
          </w:p>
        </w:tc>
      </w:tr>
      <w:tr w:rsidR="00492F90" w:rsidRPr="00492F90" w14:paraId="08FD69BE" w14:textId="77777777" w:rsidTr="004D39EB">
        <w:trPr>
          <w:trHeight w:val="320"/>
        </w:trPr>
        <w:tc>
          <w:tcPr>
            <w:tcW w:w="2518" w:type="dxa"/>
            <w:noWrap/>
            <w:vAlign w:val="center"/>
          </w:tcPr>
          <w:p w14:paraId="374C9739" w14:textId="77777777" w:rsidR="00492F90" w:rsidRPr="00492F90" w:rsidRDefault="00492F90" w:rsidP="00492F90">
            <w:pPr>
              <w:keepNext/>
              <w:spacing w:after="0"/>
              <w:jc w:val="left"/>
              <w:rPr>
                <w:rFonts w:ascii="EC Square Sans Cond Pro" w:hAnsi="EC Square Sans Cond Pro" w:cs="Avenir Next LT Pro"/>
                <w:noProof/>
                <w:sz w:val="18"/>
                <w:szCs w:val="18"/>
                <w:lang w:val="en-IE"/>
              </w:rPr>
            </w:pPr>
            <w:r w:rsidRPr="00492F90">
              <w:rPr>
                <w:rFonts w:ascii="EC Square Sans Cond Pro" w:hAnsi="EC Square Sans Cond Pro" w:cs="Avenir Next LT Pro"/>
                <w:noProof/>
                <w:sz w:val="18"/>
                <w:szCs w:val="18"/>
                <w:lang w:val="en-IE"/>
              </w:rPr>
              <w:t>Total</w:t>
            </w:r>
          </w:p>
        </w:tc>
        <w:tc>
          <w:tcPr>
            <w:tcW w:w="902" w:type="dxa"/>
            <w:noWrap/>
            <w:vAlign w:val="center"/>
          </w:tcPr>
          <w:p w14:paraId="10524685" w14:textId="7AE2A509" w:rsidR="00492F90" w:rsidRPr="00492F90" w:rsidRDefault="00492F90" w:rsidP="00492F90">
            <w:pPr>
              <w:keepNext/>
              <w:spacing w:after="0"/>
              <w:jc w:val="center"/>
              <w:rPr>
                <w:rFonts w:ascii="EC Square Sans Cond Pro" w:hAnsi="EC Square Sans Cond Pro" w:cs="Avenir Next LT Pro"/>
                <w:noProof/>
                <w:sz w:val="18"/>
                <w:szCs w:val="18"/>
                <w:lang w:val="en-IE"/>
              </w:rPr>
            </w:pPr>
            <w:r w:rsidRPr="00492F90">
              <w:rPr>
                <w:rFonts w:ascii="EC Square Sans Cond Pro" w:hAnsi="EC Square Sans Cond Pro" w:cs="Calibri"/>
                <w:noProof/>
                <w:sz w:val="18"/>
                <w:szCs w:val="18"/>
              </w:rPr>
              <w:t>0</w:t>
            </w:r>
          </w:p>
        </w:tc>
        <w:tc>
          <w:tcPr>
            <w:tcW w:w="902" w:type="dxa"/>
            <w:noWrap/>
            <w:vAlign w:val="center"/>
          </w:tcPr>
          <w:p w14:paraId="3F680381" w14:textId="7A0DE42F" w:rsidR="00492F90" w:rsidRPr="00FA3FEC" w:rsidRDefault="00FA3FEC"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25</w:t>
            </w:r>
          </w:p>
        </w:tc>
        <w:tc>
          <w:tcPr>
            <w:tcW w:w="902" w:type="dxa"/>
            <w:noWrap/>
            <w:vAlign w:val="center"/>
          </w:tcPr>
          <w:p w14:paraId="145B45A1" w14:textId="1E658B4C" w:rsidR="00492F90" w:rsidRPr="00492F90" w:rsidRDefault="00FA3FEC"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33</w:t>
            </w:r>
          </w:p>
        </w:tc>
        <w:tc>
          <w:tcPr>
            <w:tcW w:w="903" w:type="dxa"/>
            <w:vAlign w:val="center"/>
          </w:tcPr>
          <w:p w14:paraId="0C8AFC32" w14:textId="123A3FA9" w:rsidR="00492F90" w:rsidRPr="00492F90" w:rsidRDefault="00FA3FEC"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35</w:t>
            </w:r>
          </w:p>
        </w:tc>
        <w:tc>
          <w:tcPr>
            <w:tcW w:w="902" w:type="dxa"/>
            <w:vAlign w:val="center"/>
          </w:tcPr>
          <w:p w14:paraId="4AF9C150" w14:textId="6DE76445" w:rsidR="00492F90" w:rsidRPr="00492F90" w:rsidRDefault="00FA3FEC"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36</w:t>
            </w:r>
          </w:p>
        </w:tc>
        <w:tc>
          <w:tcPr>
            <w:tcW w:w="902" w:type="dxa"/>
            <w:vAlign w:val="center"/>
          </w:tcPr>
          <w:p w14:paraId="6A79E7E9" w14:textId="2006C0FA" w:rsidR="00492F90" w:rsidRPr="00492F90" w:rsidRDefault="00FA3FEC"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36</w:t>
            </w:r>
          </w:p>
        </w:tc>
        <w:tc>
          <w:tcPr>
            <w:tcW w:w="903" w:type="dxa"/>
            <w:vAlign w:val="center"/>
          </w:tcPr>
          <w:p w14:paraId="61C2CB48" w14:textId="53576C37" w:rsidR="00492F90" w:rsidRPr="00492F90" w:rsidRDefault="00FA3FEC"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41</w:t>
            </w:r>
          </w:p>
        </w:tc>
      </w:tr>
      <w:tr w:rsidR="00492F90" w:rsidRPr="00492F90" w14:paraId="2D7894E8" w14:textId="77777777" w:rsidTr="004D39EB">
        <w:trPr>
          <w:trHeight w:val="300"/>
        </w:trPr>
        <w:tc>
          <w:tcPr>
            <w:tcW w:w="2518" w:type="dxa"/>
            <w:noWrap/>
          </w:tcPr>
          <w:p w14:paraId="7CCE56AA" w14:textId="77777777" w:rsidR="00492F90" w:rsidRPr="00492F90" w:rsidRDefault="00492F90" w:rsidP="00492F90">
            <w:pPr>
              <w:keepNext/>
              <w:spacing w:after="0"/>
              <w:jc w:val="left"/>
              <w:rPr>
                <w:rFonts w:ascii="EC Square Sans Cond Pro" w:hAnsi="EC Square Sans Cond Pro" w:cs="Avenir Next LT Pro"/>
                <w:b/>
                <w:noProof/>
                <w:sz w:val="18"/>
                <w:szCs w:val="18"/>
                <w:lang w:val="en-IE"/>
              </w:rPr>
            </w:pPr>
            <w:r w:rsidRPr="00492F90">
              <w:rPr>
                <w:rFonts w:ascii="EC Square Sans Cond Pro" w:hAnsi="EC Square Sans Cond Pro" w:cs="Avenir Next LT Pro"/>
                <w:b/>
                <w:noProof/>
                <w:sz w:val="18"/>
                <w:szCs w:val="18"/>
                <w:lang w:val="en-IE"/>
              </w:rPr>
              <w:t>Share of maximum mitigation potential achieved in 2040 (%)</w:t>
            </w:r>
          </w:p>
        </w:tc>
        <w:tc>
          <w:tcPr>
            <w:tcW w:w="6316" w:type="dxa"/>
            <w:gridSpan w:val="7"/>
            <w:noWrap/>
            <w:vAlign w:val="center"/>
          </w:tcPr>
          <w:p w14:paraId="12DFC440" w14:textId="77777777" w:rsidR="00492F90" w:rsidRPr="00492F90" w:rsidRDefault="00492F90" w:rsidP="00492F90">
            <w:pPr>
              <w:keepNext/>
              <w:spacing w:after="0"/>
              <w:jc w:val="center"/>
              <w:rPr>
                <w:rFonts w:ascii="EC Square Sans Cond Pro" w:hAnsi="EC Square Sans Cond Pro" w:cs="Avenir Next LT Pro"/>
                <w:noProof/>
                <w:sz w:val="18"/>
                <w:szCs w:val="18"/>
                <w:lang w:val="en-IE"/>
              </w:rPr>
            </w:pPr>
          </w:p>
        </w:tc>
      </w:tr>
      <w:tr w:rsidR="00492F90" w:rsidRPr="00492F90" w14:paraId="4AD51238" w14:textId="77777777" w:rsidTr="004D39EB">
        <w:trPr>
          <w:trHeight w:val="300"/>
        </w:trPr>
        <w:tc>
          <w:tcPr>
            <w:tcW w:w="2518" w:type="dxa"/>
            <w:noWrap/>
            <w:vAlign w:val="center"/>
          </w:tcPr>
          <w:p w14:paraId="05F550F7" w14:textId="77777777" w:rsidR="00492F90" w:rsidRPr="00492F90" w:rsidRDefault="00492F90" w:rsidP="00492F90">
            <w:pPr>
              <w:keepNext/>
              <w:spacing w:after="0"/>
              <w:jc w:val="left"/>
              <w:rPr>
                <w:rFonts w:ascii="EC Square Sans Cond Pro" w:hAnsi="EC Square Sans Cond Pro" w:cs="Avenir Next LT Pro"/>
                <w:noProof/>
                <w:sz w:val="18"/>
                <w:szCs w:val="18"/>
                <w:lang w:val="en-IE"/>
              </w:rPr>
            </w:pPr>
            <w:r w:rsidRPr="00492F90">
              <w:rPr>
                <w:rFonts w:ascii="EC Square Sans Cond Pro" w:hAnsi="EC Square Sans Cond Pro" w:cs="Avenir Next LT Pro"/>
                <w:noProof/>
                <w:sz w:val="18"/>
                <w:szCs w:val="18"/>
                <w:lang w:val="en-IE"/>
              </w:rPr>
              <w:t>CH4</w:t>
            </w:r>
          </w:p>
        </w:tc>
        <w:tc>
          <w:tcPr>
            <w:tcW w:w="902" w:type="dxa"/>
            <w:noWrap/>
            <w:vAlign w:val="center"/>
          </w:tcPr>
          <w:p w14:paraId="2F2FCE8D" w14:textId="394961E6" w:rsidR="00492F90" w:rsidRPr="00492F90" w:rsidRDefault="00492F90" w:rsidP="00492F90">
            <w:pPr>
              <w:keepNext/>
              <w:spacing w:after="0"/>
              <w:jc w:val="center"/>
              <w:rPr>
                <w:rFonts w:ascii="EC Square Sans Cond Pro" w:hAnsi="EC Square Sans Cond Pro" w:cs="Avenir Next LT Pro"/>
                <w:noProof/>
                <w:sz w:val="18"/>
                <w:szCs w:val="18"/>
                <w:lang w:val="en-IE"/>
              </w:rPr>
            </w:pPr>
            <w:r w:rsidRPr="00492F90">
              <w:rPr>
                <w:rFonts w:ascii="EC Square Sans Cond Pro" w:hAnsi="EC Square Sans Cond Pro" w:cs="Calibri"/>
                <w:noProof/>
                <w:sz w:val="18"/>
                <w:szCs w:val="18"/>
              </w:rPr>
              <w:t>0%</w:t>
            </w:r>
          </w:p>
        </w:tc>
        <w:tc>
          <w:tcPr>
            <w:tcW w:w="902" w:type="dxa"/>
            <w:noWrap/>
            <w:vAlign w:val="center"/>
          </w:tcPr>
          <w:p w14:paraId="5813C140" w14:textId="07530CF4" w:rsidR="00492F90" w:rsidRPr="00492F90" w:rsidRDefault="00FA3FEC" w:rsidP="00492F90">
            <w:pPr>
              <w:keepNext/>
              <w:spacing w:after="0"/>
              <w:jc w:val="center"/>
              <w:rPr>
                <w:rFonts w:ascii="EC Square Sans Cond Pro" w:hAnsi="EC Square Sans Cond Pro" w:cs="Avenir Next LT Pro"/>
                <w:noProof/>
                <w:sz w:val="18"/>
                <w:szCs w:val="18"/>
              </w:rPr>
            </w:pPr>
            <w:r w:rsidRPr="00FA3FEC">
              <w:rPr>
                <w:rFonts w:ascii="EC Square Sans Cond Pro" w:hAnsi="EC Square Sans Cond Pro" w:cs="Calibri"/>
                <w:noProof/>
                <w:sz w:val="18"/>
                <w:szCs w:val="18"/>
              </w:rPr>
              <w:t>71</w:t>
            </w:r>
            <w:r w:rsidR="00492F90" w:rsidRPr="00492F90">
              <w:rPr>
                <w:rFonts w:ascii="EC Square Sans Cond Pro" w:hAnsi="EC Square Sans Cond Pro" w:cs="Calibri"/>
                <w:noProof/>
                <w:sz w:val="18"/>
                <w:szCs w:val="18"/>
              </w:rPr>
              <w:t>%</w:t>
            </w:r>
          </w:p>
        </w:tc>
        <w:tc>
          <w:tcPr>
            <w:tcW w:w="902" w:type="dxa"/>
            <w:noWrap/>
            <w:vAlign w:val="center"/>
          </w:tcPr>
          <w:p w14:paraId="08E99FC7" w14:textId="50E8A784" w:rsidR="00492F90" w:rsidRPr="00492F90" w:rsidRDefault="00FA3FEC"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82</w:t>
            </w:r>
            <w:r w:rsidR="00492F90" w:rsidRPr="00492F90">
              <w:rPr>
                <w:rFonts w:ascii="EC Square Sans Cond Pro" w:hAnsi="EC Square Sans Cond Pro" w:cs="Calibri"/>
                <w:noProof/>
                <w:sz w:val="18"/>
                <w:szCs w:val="18"/>
              </w:rPr>
              <w:t>%</w:t>
            </w:r>
          </w:p>
        </w:tc>
        <w:tc>
          <w:tcPr>
            <w:tcW w:w="903" w:type="dxa"/>
            <w:vAlign w:val="center"/>
          </w:tcPr>
          <w:p w14:paraId="05A33B83" w14:textId="3393BA61" w:rsidR="00492F90" w:rsidRPr="00492F90" w:rsidRDefault="00FA3FEC"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86</w:t>
            </w:r>
            <w:r w:rsidR="00492F90" w:rsidRPr="00492F90">
              <w:rPr>
                <w:rFonts w:ascii="EC Square Sans Cond Pro" w:hAnsi="EC Square Sans Cond Pro" w:cs="Calibri"/>
                <w:noProof/>
                <w:sz w:val="18"/>
                <w:szCs w:val="18"/>
              </w:rPr>
              <w:t>%</w:t>
            </w:r>
          </w:p>
        </w:tc>
        <w:tc>
          <w:tcPr>
            <w:tcW w:w="902" w:type="dxa"/>
            <w:vAlign w:val="center"/>
          </w:tcPr>
          <w:p w14:paraId="622EB621" w14:textId="5B34843A" w:rsidR="00492F90" w:rsidRPr="00492F90" w:rsidRDefault="00FA3FEC"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87</w:t>
            </w:r>
            <w:r w:rsidR="00492F90" w:rsidRPr="00492F90">
              <w:rPr>
                <w:rFonts w:ascii="EC Square Sans Cond Pro" w:hAnsi="EC Square Sans Cond Pro" w:cs="Calibri"/>
                <w:noProof/>
                <w:sz w:val="18"/>
                <w:szCs w:val="18"/>
              </w:rPr>
              <w:t>%</w:t>
            </w:r>
          </w:p>
        </w:tc>
        <w:tc>
          <w:tcPr>
            <w:tcW w:w="902" w:type="dxa"/>
            <w:vAlign w:val="center"/>
          </w:tcPr>
          <w:p w14:paraId="350DE9E7" w14:textId="05A3DA7D" w:rsidR="00492F90" w:rsidRPr="00492F90" w:rsidRDefault="00FA3FEC"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87</w:t>
            </w:r>
            <w:r w:rsidR="00492F90" w:rsidRPr="00492F90">
              <w:rPr>
                <w:rFonts w:ascii="EC Square Sans Cond Pro" w:hAnsi="EC Square Sans Cond Pro" w:cs="Calibri"/>
                <w:noProof/>
                <w:sz w:val="18"/>
                <w:szCs w:val="18"/>
              </w:rPr>
              <w:t>%</w:t>
            </w:r>
          </w:p>
        </w:tc>
        <w:tc>
          <w:tcPr>
            <w:tcW w:w="903" w:type="dxa"/>
            <w:vAlign w:val="center"/>
          </w:tcPr>
          <w:p w14:paraId="71D31B8E" w14:textId="2AF63C9B" w:rsidR="00492F90" w:rsidRPr="00492F90" w:rsidRDefault="00492F90" w:rsidP="00492F90">
            <w:pPr>
              <w:keepNext/>
              <w:spacing w:after="0"/>
              <w:jc w:val="center"/>
              <w:rPr>
                <w:rFonts w:ascii="EC Square Sans Cond Pro" w:hAnsi="EC Square Sans Cond Pro" w:cs="Avenir Next LT Pro"/>
                <w:noProof/>
                <w:sz w:val="18"/>
                <w:szCs w:val="18"/>
                <w:lang w:val="en-IE"/>
              </w:rPr>
            </w:pPr>
            <w:r w:rsidRPr="00492F90">
              <w:rPr>
                <w:rFonts w:ascii="EC Square Sans Cond Pro" w:hAnsi="EC Square Sans Cond Pro" w:cs="Calibri"/>
                <w:noProof/>
                <w:sz w:val="18"/>
                <w:szCs w:val="18"/>
              </w:rPr>
              <w:t>100%</w:t>
            </w:r>
          </w:p>
        </w:tc>
      </w:tr>
      <w:tr w:rsidR="00492F90" w:rsidRPr="00492F90" w14:paraId="6563F836" w14:textId="77777777" w:rsidTr="004D39EB">
        <w:trPr>
          <w:trHeight w:val="300"/>
        </w:trPr>
        <w:tc>
          <w:tcPr>
            <w:tcW w:w="2518" w:type="dxa"/>
            <w:noWrap/>
            <w:vAlign w:val="center"/>
          </w:tcPr>
          <w:p w14:paraId="6B28BD17" w14:textId="77777777" w:rsidR="00492F90" w:rsidRPr="00492F90" w:rsidRDefault="00492F90" w:rsidP="00492F90">
            <w:pPr>
              <w:keepNext/>
              <w:spacing w:after="0"/>
              <w:jc w:val="left"/>
              <w:rPr>
                <w:rFonts w:ascii="EC Square Sans Cond Pro" w:hAnsi="EC Square Sans Cond Pro" w:cs="Avenir Next LT Pro"/>
                <w:noProof/>
                <w:sz w:val="18"/>
                <w:szCs w:val="18"/>
                <w:lang w:val="en-IE"/>
              </w:rPr>
            </w:pPr>
            <w:r w:rsidRPr="00492F90">
              <w:rPr>
                <w:rFonts w:ascii="EC Square Sans Cond Pro" w:hAnsi="EC Square Sans Cond Pro" w:cs="Avenir Next LT Pro"/>
                <w:noProof/>
                <w:sz w:val="18"/>
                <w:szCs w:val="18"/>
                <w:lang w:val="en-IE"/>
              </w:rPr>
              <w:t>N2O</w:t>
            </w:r>
          </w:p>
        </w:tc>
        <w:tc>
          <w:tcPr>
            <w:tcW w:w="902" w:type="dxa"/>
            <w:noWrap/>
            <w:vAlign w:val="center"/>
          </w:tcPr>
          <w:p w14:paraId="14EB17E4" w14:textId="18180DE6" w:rsidR="00492F90" w:rsidRPr="00492F90" w:rsidRDefault="00492F90" w:rsidP="00492F90">
            <w:pPr>
              <w:keepNext/>
              <w:spacing w:after="0"/>
              <w:jc w:val="center"/>
              <w:rPr>
                <w:rFonts w:ascii="EC Square Sans Cond Pro" w:hAnsi="EC Square Sans Cond Pro" w:cs="Avenir Next LT Pro"/>
                <w:noProof/>
                <w:sz w:val="18"/>
                <w:szCs w:val="18"/>
                <w:lang w:val="en-IE"/>
              </w:rPr>
            </w:pPr>
            <w:r w:rsidRPr="00492F90">
              <w:rPr>
                <w:rFonts w:ascii="EC Square Sans Cond Pro" w:hAnsi="EC Square Sans Cond Pro" w:cs="Calibri"/>
                <w:noProof/>
                <w:sz w:val="18"/>
                <w:szCs w:val="18"/>
              </w:rPr>
              <w:t>0%</w:t>
            </w:r>
          </w:p>
        </w:tc>
        <w:tc>
          <w:tcPr>
            <w:tcW w:w="902" w:type="dxa"/>
            <w:noWrap/>
            <w:vAlign w:val="center"/>
          </w:tcPr>
          <w:p w14:paraId="1A00351C" w14:textId="5C5589D5" w:rsidR="00492F90" w:rsidRPr="00492F90" w:rsidRDefault="00FA3FEC" w:rsidP="00492F90">
            <w:pPr>
              <w:keepNext/>
              <w:spacing w:after="0"/>
              <w:jc w:val="center"/>
              <w:rPr>
                <w:rFonts w:ascii="EC Square Sans Cond Pro" w:hAnsi="EC Square Sans Cond Pro" w:cs="Avenir Next LT Pro"/>
                <w:noProof/>
                <w:sz w:val="18"/>
                <w:szCs w:val="18"/>
              </w:rPr>
            </w:pPr>
            <w:r w:rsidRPr="00FA3FEC">
              <w:rPr>
                <w:rFonts w:ascii="EC Square Sans Cond Pro" w:hAnsi="EC Square Sans Cond Pro" w:cs="Calibri"/>
                <w:noProof/>
                <w:sz w:val="18"/>
                <w:szCs w:val="18"/>
              </w:rPr>
              <w:t>64</w:t>
            </w:r>
            <w:r w:rsidR="00492F90" w:rsidRPr="00492F90">
              <w:rPr>
                <w:rFonts w:ascii="EC Square Sans Cond Pro" w:hAnsi="EC Square Sans Cond Pro" w:cs="Calibri"/>
                <w:noProof/>
                <w:sz w:val="18"/>
                <w:szCs w:val="18"/>
              </w:rPr>
              <w:t>%</w:t>
            </w:r>
          </w:p>
        </w:tc>
        <w:tc>
          <w:tcPr>
            <w:tcW w:w="902" w:type="dxa"/>
            <w:noWrap/>
            <w:vAlign w:val="center"/>
          </w:tcPr>
          <w:p w14:paraId="15023E41" w14:textId="0028A6E0" w:rsidR="00492F90" w:rsidRPr="00492F90" w:rsidRDefault="00492F90" w:rsidP="00492F90">
            <w:pPr>
              <w:keepNext/>
              <w:spacing w:after="0"/>
              <w:jc w:val="center"/>
              <w:rPr>
                <w:rFonts w:ascii="EC Square Sans Cond Pro" w:hAnsi="EC Square Sans Cond Pro" w:cs="Avenir Next LT Pro"/>
                <w:noProof/>
                <w:sz w:val="18"/>
                <w:szCs w:val="18"/>
                <w:lang w:val="en-IE"/>
              </w:rPr>
            </w:pPr>
            <w:r w:rsidRPr="00492F90">
              <w:rPr>
                <w:rFonts w:ascii="EC Square Sans Cond Pro" w:hAnsi="EC Square Sans Cond Pro" w:cs="Calibri"/>
                <w:noProof/>
                <w:sz w:val="18"/>
                <w:szCs w:val="18"/>
              </w:rPr>
              <w:t>82%</w:t>
            </w:r>
          </w:p>
        </w:tc>
        <w:tc>
          <w:tcPr>
            <w:tcW w:w="903" w:type="dxa"/>
            <w:vAlign w:val="center"/>
          </w:tcPr>
          <w:p w14:paraId="121AF73E" w14:textId="5683BBBF" w:rsidR="00492F90" w:rsidRPr="00492F90" w:rsidRDefault="00FA3FEC"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85</w:t>
            </w:r>
            <w:r w:rsidR="00492F90" w:rsidRPr="00492F90">
              <w:rPr>
                <w:rFonts w:ascii="EC Square Sans Cond Pro" w:hAnsi="EC Square Sans Cond Pro" w:cs="Calibri"/>
                <w:noProof/>
                <w:sz w:val="18"/>
                <w:szCs w:val="18"/>
              </w:rPr>
              <w:t>%</w:t>
            </w:r>
          </w:p>
        </w:tc>
        <w:tc>
          <w:tcPr>
            <w:tcW w:w="902" w:type="dxa"/>
            <w:vAlign w:val="center"/>
          </w:tcPr>
          <w:p w14:paraId="2F8BBEC5" w14:textId="55514277" w:rsidR="00492F90" w:rsidRPr="00492F90" w:rsidRDefault="00FA3FEC"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85</w:t>
            </w:r>
            <w:r w:rsidR="00492F90" w:rsidRPr="00492F90">
              <w:rPr>
                <w:rFonts w:ascii="EC Square Sans Cond Pro" w:hAnsi="EC Square Sans Cond Pro" w:cs="Calibri"/>
                <w:noProof/>
                <w:sz w:val="18"/>
                <w:szCs w:val="18"/>
              </w:rPr>
              <w:t>%</w:t>
            </w:r>
          </w:p>
        </w:tc>
        <w:tc>
          <w:tcPr>
            <w:tcW w:w="902" w:type="dxa"/>
            <w:vAlign w:val="center"/>
          </w:tcPr>
          <w:p w14:paraId="1F225CB7" w14:textId="3C5CA1B6" w:rsidR="00492F90" w:rsidRPr="00492F90" w:rsidRDefault="00FA3FEC"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85</w:t>
            </w:r>
            <w:r w:rsidR="00492F90" w:rsidRPr="00492F90">
              <w:rPr>
                <w:rFonts w:ascii="EC Square Sans Cond Pro" w:hAnsi="EC Square Sans Cond Pro" w:cs="Calibri"/>
                <w:noProof/>
                <w:sz w:val="18"/>
                <w:szCs w:val="18"/>
              </w:rPr>
              <w:t>%</w:t>
            </w:r>
          </w:p>
        </w:tc>
        <w:tc>
          <w:tcPr>
            <w:tcW w:w="903" w:type="dxa"/>
            <w:vAlign w:val="center"/>
          </w:tcPr>
          <w:p w14:paraId="044BA775" w14:textId="5291C4B6" w:rsidR="00492F90" w:rsidRPr="00492F90" w:rsidRDefault="00492F90" w:rsidP="00492F90">
            <w:pPr>
              <w:keepNext/>
              <w:spacing w:after="0"/>
              <w:jc w:val="center"/>
              <w:rPr>
                <w:rFonts w:ascii="EC Square Sans Cond Pro" w:hAnsi="EC Square Sans Cond Pro" w:cs="Avenir Next LT Pro"/>
                <w:noProof/>
                <w:sz w:val="18"/>
                <w:szCs w:val="18"/>
                <w:lang w:val="en-IE"/>
              </w:rPr>
            </w:pPr>
            <w:r w:rsidRPr="00492F90">
              <w:rPr>
                <w:rFonts w:ascii="EC Square Sans Cond Pro" w:hAnsi="EC Square Sans Cond Pro" w:cs="Calibri"/>
                <w:noProof/>
                <w:sz w:val="18"/>
                <w:szCs w:val="18"/>
              </w:rPr>
              <w:t>100%</w:t>
            </w:r>
          </w:p>
        </w:tc>
      </w:tr>
      <w:tr w:rsidR="00492F90" w:rsidRPr="00492F90" w14:paraId="3ABC7110" w14:textId="77777777" w:rsidTr="004D39EB">
        <w:trPr>
          <w:trHeight w:val="300"/>
        </w:trPr>
        <w:tc>
          <w:tcPr>
            <w:tcW w:w="2518" w:type="dxa"/>
            <w:noWrap/>
            <w:vAlign w:val="center"/>
          </w:tcPr>
          <w:p w14:paraId="47361F1C" w14:textId="77777777" w:rsidR="00492F90" w:rsidRPr="00492F90" w:rsidRDefault="00492F90" w:rsidP="00492F90">
            <w:pPr>
              <w:keepNext/>
              <w:spacing w:after="0"/>
              <w:jc w:val="left"/>
              <w:rPr>
                <w:rFonts w:ascii="EC Square Sans Cond Pro" w:hAnsi="EC Square Sans Cond Pro" w:cs="Avenir Next LT Pro"/>
                <w:noProof/>
                <w:sz w:val="18"/>
                <w:szCs w:val="18"/>
                <w:lang w:val="en-IE"/>
              </w:rPr>
            </w:pPr>
            <w:r w:rsidRPr="00492F90">
              <w:rPr>
                <w:rFonts w:ascii="EC Square Sans Cond Pro" w:hAnsi="EC Square Sans Cond Pro" w:cs="Avenir Next LT Pro"/>
                <w:noProof/>
                <w:sz w:val="18"/>
                <w:szCs w:val="18"/>
                <w:lang w:val="en-IE"/>
              </w:rPr>
              <w:t xml:space="preserve">F-gas </w:t>
            </w:r>
          </w:p>
        </w:tc>
        <w:tc>
          <w:tcPr>
            <w:tcW w:w="902" w:type="dxa"/>
            <w:noWrap/>
            <w:vAlign w:val="center"/>
          </w:tcPr>
          <w:p w14:paraId="025459CE" w14:textId="1D4BDB3F" w:rsidR="00492F90" w:rsidRPr="00492F90" w:rsidRDefault="00492F90"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0%</w:t>
            </w:r>
          </w:p>
        </w:tc>
        <w:tc>
          <w:tcPr>
            <w:tcW w:w="902" w:type="dxa"/>
            <w:noWrap/>
            <w:vAlign w:val="center"/>
          </w:tcPr>
          <w:p w14:paraId="7905E523" w14:textId="21D2C76D" w:rsidR="00492F90" w:rsidRPr="00492F90" w:rsidRDefault="00FA3FEC" w:rsidP="00492F90">
            <w:pPr>
              <w:keepNext/>
              <w:spacing w:after="0"/>
              <w:jc w:val="center"/>
              <w:rPr>
                <w:rFonts w:ascii="EC Square Sans Cond Pro" w:hAnsi="EC Square Sans Cond Pro" w:cs="Avenir Next LT Pro"/>
                <w:noProof/>
                <w:sz w:val="18"/>
                <w:szCs w:val="18"/>
              </w:rPr>
            </w:pPr>
            <w:r w:rsidRPr="00FA3FEC">
              <w:rPr>
                <w:rFonts w:ascii="EC Square Sans Cond Pro" w:hAnsi="EC Square Sans Cond Pro" w:cs="Calibri"/>
                <w:noProof/>
                <w:sz w:val="18"/>
                <w:szCs w:val="18"/>
              </w:rPr>
              <w:t>33</w:t>
            </w:r>
            <w:r w:rsidR="00492F90" w:rsidRPr="00FA3FEC">
              <w:rPr>
                <w:rFonts w:ascii="EC Square Sans Cond Pro" w:hAnsi="EC Square Sans Cond Pro" w:cs="Calibri"/>
                <w:noProof/>
                <w:sz w:val="18"/>
                <w:szCs w:val="18"/>
              </w:rPr>
              <w:t>%</w:t>
            </w:r>
          </w:p>
        </w:tc>
        <w:tc>
          <w:tcPr>
            <w:tcW w:w="902" w:type="dxa"/>
            <w:noWrap/>
            <w:vAlign w:val="center"/>
          </w:tcPr>
          <w:p w14:paraId="72345D7C" w14:textId="6918FD0A" w:rsidR="00492F90" w:rsidRPr="00492F90" w:rsidRDefault="00FA3FEC"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70</w:t>
            </w:r>
            <w:r w:rsidR="00492F90" w:rsidRPr="00FA3FEC">
              <w:rPr>
                <w:rFonts w:ascii="EC Square Sans Cond Pro" w:hAnsi="EC Square Sans Cond Pro" w:cs="Calibri"/>
                <w:noProof/>
                <w:sz w:val="18"/>
                <w:szCs w:val="18"/>
              </w:rPr>
              <w:t>%</w:t>
            </w:r>
          </w:p>
        </w:tc>
        <w:tc>
          <w:tcPr>
            <w:tcW w:w="903" w:type="dxa"/>
            <w:vAlign w:val="center"/>
          </w:tcPr>
          <w:p w14:paraId="5DF352DC" w14:textId="4EC161C9" w:rsidR="00492F90" w:rsidRPr="00492F90" w:rsidRDefault="00492F90"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80%</w:t>
            </w:r>
          </w:p>
        </w:tc>
        <w:tc>
          <w:tcPr>
            <w:tcW w:w="902" w:type="dxa"/>
            <w:vAlign w:val="center"/>
          </w:tcPr>
          <w:p w14:paraId="5ABEA2A7" w14:textId="57592492" w:rsidR="00492F90" w:rsidRPr="00492F90" w:rsidRDefault="00FA3FEC"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90</w:t>
            </w:r>
            <w:r w:rsidR="00492F90" w:rsidRPr="00FA3FEC">
              <w:rPr>
                <w:rFonts w:ascii="EC Square Sans Cond Pro" w:hAnsi="EC Square Sans Cond Pro" w:cs="Calibri"/>
                <w:noProof/>
                <w:sz w:val="18"/>
                <w:szCs w:val="18"/>
              </w:rPr>
              <w:t>%</w:t>
            </w:r>
          </w:p>
        </w:tc>
        <w:tc>
          <w:tcPr>
            <w:tcW w:w="902" w:type="dxa"/>
            <w:vAlign w:val="center"/>
          </w:tcPr>
          <w:p w14:paraId="5E72CD9D" w14:textId="614F4482" w:rsidR="00492F90" w:rsidRPr="00492F90" w:rsidRDefault="00492F90"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90%</w:t>
            </w:r>
          </w:p>
        </w:tc>
        <w:tc>
          <w:tcPr>
            <w:tcW w:w="903" w:type="dxa"/>
            <w:vAlign w:val="center"/>
          </w:tcPr>
          <w:p w14:paraId="7546DDEB" w14:textId="6E91382B" w:rsidR="00492F90" w:rsidRPr="00492F90" w:rsidRDefault="00492F90"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100%</w:t>
            </w:r>
          </w:p>
        </w:tc>
      </w:tr>
      <w:tr w:rsidR="00492F90" w:rsidRPr="00492F90" w14:paraId="7959EDFC" w14:textId="77777777" w:rsidTr="004D39EB">
        <w:trPr>
          <w:trHeight w:val="300"/>
        </w:trPr>
        <w:tc>
          <w:tcPr>
            <w:tcW w:w="2518" w:type="dxa"/>
            <w:noWrap/>
            <w:vAlign w:val="center"/>
          </w:tcPr>
          <w:p w14:paraId="6A4A53D8" w14:textId="77777777" w:rsidR="00492F90" w:rsidRPr="00492F90" w:rsidRDefault="00492F90" w:rsidP="00492F90">
            <w:pPr>
              <w:keepNext/>
              <w:spacing w:after="0"/>
              <w:jc w:val="left"/>
              <w:rPr>
                <w:rFonts w:ascii="EC Square Sans Cond Pro" w:hAnsi="EC Square Sans Cond Pro" w:cs="Avenir Next LT Pro"/>
                <w:noProof/>
                <w:sz w:val="18"/>
                <w:szCs w:val="18"/>
                <w:lang w:val="en-IE"/>
              </w:rPr>
            </w:pPr>
            <w:r w:rsidRPr="00492F90">
              <w:rPr>
                <w:rFonts w:ascii="EC Square Sans Cond Pro" w:hAnsi="EC Square Sans Cond Pro" w:cs="Avenir Next LT Pro"/>
                <w:noProof/>
                <w:sz w:val="18"/>
                <w:szCs w:val="18"/>
                <w:lang w:val="en-IE"/>
              </w:rPr>
              <w:t>Total</w:t>
            </w:r>
          </w:p>
        </w:tc>
        <w:tc>
          <w:tcPr>
            <w:tcW w:w="902" w:type="dxa"/>
            <w:noWrap/>
            <w:vAlign w:val="center"/>
          </w:tcPr>
          <w:p w14:paraId="407F67ED" w14:textId="1FB913EC" w:rsidR="00492F90" w:rsidRPr="00492F90" w:rsidRDefault="00492F90" w:rsidP="00492F90">
            <w:pPr>
              <w:keepNext/>
              <w:spacing w:after="0"/>
              <w:jc w:val="center"/>
              <w:rPr>
                <w:rFonts w:ascii="EC Square Sans Cond Pro" w:hAnsi="EC Square Sans Cond Pro" w:cs="Avenir Next LT Pro"/>
                <w:noProof/>
                <w:sz w:val="18"/>
                <w:szCs w:val="18"/>
                <w:lang w:val="en-IE"/>
              </w:rPr>
            </w:pPr>
            <w:r w:rsidRPr="00492F90">
              <w:rPr>
                <w:rFonts w:ascii="EC Square Sans Cond Pro" w:hAnsi="EC Square Sans Cond Pro" w:cs="Calibri"/>
                <w:noProof/>
                <w:sz w:val="18"/>
                <w:szCs w:val="18"/>
              </w:rPr>
              <w:t>0%</w:t>
            </w:r>
          </w:p>
        </w:tc>
        <w:tc>
          <w:tcPr>
            <w:tcW w:w="902" w:type="dxa"/>
            <w:noWrap/>
            <w:vAlign w:val="center"/>
          </w:tcPr>
          <w:p w14:paraId="72C2BC7F" w14:textId="59677EC2" w:rsidR="00492F90" w:rsidRPr="00FA3FEC" w:rsidRDefault="00FA3FEC" w:rsidP="00492F90">
            <w:pPr>
              <w:keepNext/>
              <w:spacing w:after="0"/>
              <w:jc w:val="center"/>
              <w:rPr>
                <w:rFonts w:ascii="EC Square Sans Cond Pro" w:hAnsi="EC Square Sans Cond Pro" w:cs="Avenir Next LT Pro"/>
                <w:noProof/>
                <w:sz w:val="18"/>
                <w:szCs w:val="18"/>
              </w:rPr>
            </w:pPr>
            <w:r w:rsidRPr="00FA3FEC">
              <w:rPr>
                <w:rFonts w:ascii="EC Square Sans Cond Pro" w:hAnsi="EC Square Sans Cond Pro" w:cs="Calibri"/>
                <w:noProof/>
                <w:sz w:val="18"/>
                <w:szCs w:val="18"/>
              </w:rPr>
              <w:t>61</w:t>
            </w:r>
            <w:r w:rsidR="00492F90" w:rsidRPr="00492F90">
              <w:rPr>
                <w:rFonts w:ascii="EC Square Sans Cond Pro" w:hAnsi="EC Square Sans Cond Pro" w:cs="Calibri"/>
                <w:noProof/>
                <w:sz w:val="18"/>
                <w:szCs w:val="18"/>
              </w:rPr>
              <w:t>%</w:t>
            </w:r>
          </w:p>
        </w:tc>
        <w:tc>
          <w:tcPr>
            <w:tcW w:w="902" w:type="dxa"/>
            <w:noWrap/>
            <w:vAlign w:val="center"/>
          </w:tcPr>
          <w:p w14:paraId="33C64654" w14:textId="5066EACB" w:rsidR="00492F90" w:rsidRPr="00492F90" w:rsidRDefault="00FA3FEC" w:rsidP="00492F90">
            <w:pPr>
              <w:keepNext/>
              <w:spacing w:after="0"/>
              <w:jc w:val="center"/>
              <w:rPr>
                <w:rFonts w:ascii="EC Square Sans Cond Pro" w:hAnsi="EC Square Sans Cond Pro" w:cs="Avenir Next LT Pro"/>
                <w:noProof/>
                <w:sz w:val="18"/>
                <w:szCs w:val="18"/>
                <w:lang w:val="en-IE"/>
              </w:rPr>
            </w:pPr>
            <w:r w:rsidRPr="00FA3FEC">
              <w:rPr>
                <w:rFonts w:ascii="EC Square Sans Cond Pro" w:hAnsi="EC Square Sans Cond Pro" w:cs="Calibri"/>
                <w:noProof/>
                <w:sz w:val="18"/>
                <w:szCs w:val="18"/>
              </w:rPr>
              <w:t>80</w:t>
            </w:r>
            <w:r w:rsidR="00492F90" w:rsidRPr="00492F90">
              <w:rPr>
                <w:rFonts w:ascii="EC Square Sans Cond Pro" w:hAnsi="EC Square Sans Cond Pro" w:cs="Calibri"/>
                <w:noProof/>
                <w:sz w:val="18"/>
                <w:szCs w:val="18"/>
              </w:rPr>
              <w:t>%</w:t>
            </w:r>
          </w:p>
        </w:tc>
        <w:tc>
          <w:tcPr>
            <w:tcW w:w="903" w:type="dxa"/>
            <w:vAlign w:val="center"/>
          </w:tcPr>
          <w:p w14:paraId="5884D776" w14:textId="18610EE4" w:rsidR="00492F90" w:rsidRPr="00492F90" w:rsidRDefault="00492F90" w:rsidP="00492F90">
            <w:pPr>
              <w:keepNext/>
              <w:spacing w:after="0"/>
              <w:jc w:val="center"/>
              <w:rPr>
                <w:rFonts w:ascii="EC Square Sans Cond Pro" w:hAnsi="EC Square Sans Cond Pro" w:cs="Avenir Next LT Pro"/>
                <w:noProof/>
                <w:sz w:val="18"/>
                <w:szCs w:val="18"/>
                <w:lang w:val="en-IE"/>
              </w:rPr>
            </w:pPr>
            <w:r w:rsidRPr="00492F90">
              <w:rPr>
                <w:rFonts w:ascii="EC Square Sans Cond Pro" w:hAnsi="EC Square Sans Cond Pro" w:cs="Calibri"/>
                <w:noProof/>
                <w:sz w:val="18"/>
                <w:szCs w:val="18"/>
              </w:rPr>
              <w:t>85%</w:t>
            </w:r>
          </w:p>
        </w:tc>
        <w:tc>
          <w:tcPr>
            <w:tcW w:w="902" w:type="dxa"/>
            <w:vAlign w:val="center"/>
          </w:tcPr>
          <w:p w14:paraId="7B4AA6A0" w14:textId="2E43DE82" w:rsidR="00492F90" w:rsidRPr="00492F90" w:rsidRDefault="00492F90" w:rsidP="00492F90">
            <w:pPr>
              <w:keepNext/>
              <w:spacing w:after="0"/>
              <w:jc w:val="center"/>
              <w:rPr>
                <w:rFonts w:ascii="EC Square Sans Cond Pro" w:hAnsi="EC Square Sans Cond Pro" w:cs="Avenir Next LT Pro"/>
                <w:noProof/>
                <w:sz w:val="18"/>
                <w:szCs w:val="18"/>
                <w:lang w:val="en-IE"/>
              </w:rPr>
            </w:pPr>
            <w:r w:rsidRPr="00492F90">
              <w:rPr>
                <w:rFonts w:ascii="EC Square Sans Cond Pro" w:hAnsi="EC Square Sans Cond Pro" w:cs="Calibri"/>
                <w:noProof/>
                <w:sz w:val="18"/>
                <w:szCs w:val="18"/>
              </w:rPr>
              <w:t>87%</w:t>
            </w:r>
          </w:p>
        </w:tc>
        <w:tc>
          <w:tcPr>
            <w:tcW w:w="902" w:type="dxa"/>
            <w:vAlign w:val="center"/>
          </w:tcPr>
          <w:p w14:paraId="79E74361" w14:textId="51371CE2" w:rsidR="00492F90" w:rsidRPr="00492F90" w:rsidRDefault="00492F90" w:rsidP="00492F90">
            <w:pPr>
              <w:keepNext/>
              <w:spacing w:after="0"/>
              <w:jc w:val="center"/>
              <w:rPr>
                <w:rFonts w:ascii="EC Square Sans Cond Pro" w:hAnsi="EC Square Sans Cond Pro" w:cs="Avenir Next LT Pro"/>
                <w:noProof/>
                <w:sz w:val="18"/>
                <w:szCs w:val="18"/>
                <w:lang w:val="en-IE"/>
              </w:rPr>
            </w:pPr>
            <w:r w:rsidRPr="00492F90">
              <w:rPr>
                <w:rFonts w:ascii="EC Square Sans Cond Pro" w:hAnsi="EC Square Sans Cond Pro" w:cs="Calibri"/>
                <w:noProof/>
                <w:sz w:val="18"/>
                <w:szCs w:val="18"/>
              </w:rPr>
              <w:t>87%</w:t>
            </w:r>
          </w:p>
        </w:tc>
        <w:tc>
          <w:tcPr>
            <w:tcW w:w="903" w:type="dxa"/>
            <w:vAlign w:val="center"/>
          </w:tcPr>
          <w:p w14:paraId="3810D8CC" w14:textId="44105188" w:rsidR="00492F90" w:rsidRPr="00492F90" w:rsidRDefault="00492F90" w:rsidP="00492F90">
            <w:pPr>
              <w:keepNext/>
              <w:spacing w:after="0"/>
              <w:jc w:val="center"/>
              <w:rPr>
                <w:rFonts w:ascii="EC Square Sans Cond Pro" w:hAnsi="EC Square Sans Cond Pro" w:cs="Avenir Next LT Pro"/>
                <w:noProof/>
                <w:sz w:val="18"/>
                <w:szCs w:val="18"/>
                <w:lang w:val="en-IE"/>
              </w:rPr>
            </w:pPr>
            <w:r w:rsidRPr="00492F90">
              <w:rPr>
                <w:rFonts w:ascii="EC Square Sans Cond Pro" w:hAnsi="EC Square Sans Cond Pro" w:cs="Calibri"/>
                <w:noProof/>
                <w:sz w:val="18"/>
                <w:szCs w:val="18"/>
              </w:rPr>
              <w:t>100%</w:t>
            </w:r>
          </w:p>
        </w:tc>
      </w:tr>
    </w:tbl>
    <w:p w14:paraId="2FFB92BB" w14:textId="38A21248" w:rsidR="00492F90" w:rsidRPr="00492F90" w:rsidRDefault="00492F90" w:rsidP="00492F90">
      <w:pPr>
        <w:keepNext/>
        <w:rPr>
          <w:noProof/>
          <w:sz w:val="2"/>
          <w:szCs w:val="2"/>
        </w:rPr>
      </w:pPr>
    </w:p>
    <w:p w14:paraId="3CA414D2" w14:textId="680F29DF" w:rsidR="00492F90" w:rsidRPr="006101E5" w:rsidRDefault="00492F90" w:rsidP="00BC0E1D">
      <w:pPr>
        <w:pStyle w:val="CT-NOTE"/>
        <w:rPr>
          <w:noProof/>
        </w:rPr>
      </w:pPr>
      <w:r w:rsidRPr="00492F90">
        <w:rPr>
          <w:noProof/>
        </w:rPr>
        <w:t xml:space="preserve">Note: *In this table, the non-CO2 GHG emissions at zero marginal abatement cost correspond to the emissions </w:t>
      </w:r>
      <w:r w:rsidR="00E76859">
        <w:rPr>
          <w:noProof/>
        </w:rPr>
        <w:t xml:space="preserve">without additional mitigation </w:t>
      </w:r>
      <w:r w:rsidRPr="00492F90">
        <w:rPr>
          <w:noProof/>
        </w:rPr>
        <w:t>in 2040.</w:t>
      </w:r>
      <w:r w:rsidR="005456CF" w:rsidRPr="005456CF">
        <w:rPr>
          <w:noProof/>
        </w:rPr>
        <w:t xml:space="preserve"> **Marginal abatement costs are </w:t>
      </w:r>
      <w:r w:rsidR="005456CF" w:rsidRPr="006101E5">
        <w:rPr>
          <w:noProof/>
        </w:rPr>
        <w:t>expressed in constant EUR 2015.</w:t>
      </w:r>
    </w:p>
    <w:p w14:paraId="3B61D7E9" w14:textId="346F55D1" w:rsidR="00143A51" w:rsidRPr="006101E5" w:rsidRDefault="00143A51" w:rsidP="00923B34">
      <w:pPr>
        <w:pStyle w:val="CT-SOURCE"/>
        <w:rPr>
          <w:noProof/>
        </w:rPr>
      </w:pPr>
      <w:r w:rsidRPr="006101E5">
        <w:rPr>
          <w:noProof/>
        </w:rPr>
        <w:t>Source: GAINS</w:t>
      </w:r>
      <w:r w:rsidR="00492F90" w:rsidRPr="006101E5">
        <w:rPr>
          <w:noProof/>
        </w:rPr>
        <w:t>.</w:t>
      </w:r>
    </w:p>
    <w:p w14:paraId="7E8498F4" w14:textId="51DF3B2F" w:rsidR="00143A51" w:rsidRDefault="001F5EE4" w:rsidP="0080079C">
      <w:pPr>
        <w:rPr>
          <w:noProof/>
        </w:rPr>
      </w:pPr>
      <w:r w:rsidRPr="006101E5">
        <w:rPr>
          <w:noProof/>
        </w:rPr>
        <w:t xml:space="preserve">By analysing the mitigation potential separately for each non-land-related sector, one can see that in almost all cases most of the maximum mitigation potential could be reached at a low marginal cost. In the </w:t>
      </w:r>
      <w:r w:rsidRPr="006101E5">
        <w:rPr>
          <w:b/>
          <w:noProof/>
        </w:rPr>
        <w:t>waste treatment</w:t>
      </w:r>
      <w:r w:rsidRPr="006101E5">
        <w:rPr>
          <w:noProof/>
        </w:rPr>
        <w:t xml:space="preserve"> sector, there exists </w:t>
      </w:r>
      <w:r w:rsidR="00150896" w:rsidRPr="006101E5">
        <w:rPr>
          <w:noProof/>
        </w:rPr>
        <w:t>p</w:t>
      </w:r>
      <w:r w:rsidRPr="006101E5">
        <w:rPr>
          <w:noProof/>
        </w:rPr>
        <w:t xml:space="preserve">otential to reduce emissions by </w:t>
      </w:r>
      <w:r w:rsidR="00A53D15" w:rsidRPr="006101E5">
        <w:rPr>
          <w:noProof/>
        </w:rPr>
        <w:t>as much as</w:t>
      </w:r>
      <w:r w:rsidRPr="006101E5">
        <w:rPr>
          <w:noProof/>
        </w:rPr>
        <w:t xml:space="preserve"> 1</w:t>
      </w:r>
      <w:r w:rsidR="00150896" w:rsidRPr="006101E5">
        <w:rPr>
          <w:noProof/>
        </w:rPr>
        <w:t>4</w:t>
      </w:r>
      <w:r w:rsidRPr="006101E5">
        <w:rPr>
          <w:noProof/>
        </w:rPr>
        <w:t xml:space="preserve"> MtCO2-eq </w:t>
      </w:r>
      <w:r w:rsidR="006F5311">
        <w:rPr>
          <w:noProof/>
        </w:rPr>
        <w:t xml:space="preserve">below the “emissions without additional mitigation” </w:t>
      </w:r>
      <w:r w:rsidRPr="006101E5">
        <w:rPr>
          <w:noProof/>
        </w:rPr>
        <w:t>in 2040. Around 9</w:t>
      </w:r>
      <w:r w:rsidR="00150896" w:rsidRPr="006101E5">
        <w:rPr>
          <w:noProof/>
        </w:rPr>
        <w:t>6</w:t>
      </w:r>
      <w:r w:rsidRPr="006101E5">
        <w:rPr>
          <w:noProof/>
        </w:rPr>
        <w:t xml:space="preserve">% of this maximum mitigation potential could be tapped at a marginal abatement cost lower than 10 EUR/tCO2-eq (see </w:t>
      </w:r>
      <w:r w:rsidR="00E333BE" w:rsidRPr="006101E5">
        <w:rPr>
          <w:noProof/>
          <w:color w:val="2B579A"/>
          <w:shd w:val="clear" w:color="auto" w:fill="E6E6E6"/>
        </w:rPr>
        <w:fldChar w:fldCharType="begin"/>
      </w:r>
      <w:r w:rsidR="00E333BE" w:rsidRPr="006101E5">
        <w:rPr>
          <w:noProof/>
        </w:rPr>
        <w:instrText xml:space="preserve"> REF _Ref142041149 \h </w:instrText>
      </w:r>
      <w:r w:rsidR="0043135B" w:rsidRPr="006101E5">
        <w:rPr>
          <w:noProof/>
          <w:color w:val="2B579A"/>
          <w:shd w:val="clear" w:color="auto" w:fill="E6E6E6"/>
        </w:rPr>
        <w:instrText xml:space="preserve"> \* MERGEFORMAT </w:instrText>
      </w:r>
      <w:r w:rsidR="00E333BE" w:rsidRPr="006101E5">
        <w:rPr>
          <w:noProof/>
          <w:color w:val="2B579A"/>
          <w:shd w:val="clear" w:color="auto" w:fill="E6E6E6"/>
        </w:rPr>
      </w:r>
      <w:r w:rsidR="00E333BE" w:rsidRPr="006101E5">
        <w:rPr>
          <w:noProof/>
          <w:color w:val="2B579A"/>
          <w:shd w:val="clear" w:color="auto" w:fill="E6E6E6"/>
        </w:rPr>
        <w:fldChar w:fldCharType="separate"/>
      </w:r>
      <w:r w:rsidR="00170A3C">
        <w:rPr>
          <w:noProof/>
        </w:rPr>
        <w:t>Table 12</w:t>
      </w:r>
      <w:r w:rsidR="00E333BE" w:rsidRPr="006101E5">
        <w:rPr>
          <w:noProof/>
          <w:color w:val="2B579A"/>
          <w:shd w:val="clear" w:color="auto" w:fill="E6E6E6"/>
        </w:rPr>
        <w:fldChar w:fldCharType="end"/>
      </w:r>
      <w:r w:rsidRPr="006101E5">
        <w:rPr>
          <w:noProof/>
        </w:rPr>
        <w:t xml:space="preserve">), mainly through process optimisation and </w:t>
      </w:r>
      <w:r w:rsidR="004D20C4" w:rsidRPr="006101E5">
        <w:rPr>
          <w:noProof/>
        </w:rPr>
        <w:t>depl</w:t>
      </w:r>
      <w:r w:rsidR="006F5311">
        <w:rPr>
          <w:noProof/>
        </w:rPr>
        <w:t>o</w:t>
      </w:r>
      <w:r w:rsidR="004D20C4" w:rsidRPr="006101E5">
        <w:rPr>
          <w:noProof/>
        </w:rPr>
        <w:t>yment</w:t>
      </w:r>
      <w:r w:rsidRPr="006101E5">
        <w:rPr>
          <w:noProof/>
        </w:rPr>
        <w:t xml:space="preserve"> of anaerobic digestion technology with biogas recovery. In the </w:t>
      </w:r>
      <w:r w:rsidRPr="006101E5">
        <w:rPr>
          <w:b/>
          <w:noProof/>
        </w:rPr>
        <w:t>energy and transport</w:t>
      </w:r>
      <w:r w:rsidRPr="006101E5">
        <w:rPr>
          <w:noProof/>
        </w:rPr>
        <w:t xml:space="preserve"> sector, the </w:t>
      </w:r>
      <w:r w:rsidR="0043135B" w:rsidRPr="006101E5">
        <w:rPr>
          <w:noProof/>
        </w:rPr>
        <w:t xml:space="preserve">maximum </w:t>
      </w:r>
      <w:r w:rsidR="00C73D49">
        <w:rPr>
          <w:noProof/>
        </w:rPr>
        <w:t xml:space="preserve">additional </w:t>
      </w:r>
      <w:r w:rsidR="0043135B" w:rsidRPr="006101E5">
        <w:rPr>
          <w:noProof/>
        </w:rPr>
        <w:t xml:space="preserve">mitigation potential </w:t>
      </w:r>
      <w:r w:rsidR="00C228F8" w:rsidRPr="006101E5">
        <w:rPr>
          <w:noProof/>
        </w:rPr>
        <w:t>i</w:t>
      </w:r>
      <w:r w:rsidRPr="006101E5">
        <w:rPr>
          <w:noProof/>
        </w:rPr>
        <w:t>s 1</w:t>
      </w:r>
      <w:r w:rsidR="0043135B" w:rsidRPr="006101E5">
        <w:rPr>
          <w:noProof/>
        </w:rPr>
        <w:t>4</w:t>
      </w:r>
      <w:r w:rsidRPr="006101E5">
        <w:rPr>
          <w:noProof/>
        </w:rPr>
        <w:t xml:space="preserve"> MtCO2-e</w:t>
      </w:r>
      <w:r w:rsidR="0043135B" w:rsidRPr="006101E5">
        <w:rPr>
          <w:noProof/>
        </w:rPr>
        <w:t>q</w:t>
      </w:r>
      <w:r w:rsidR="00C228F8" w:rsidRPr="006101E5">
        <w:rPr>
          <w:noProof/>
        </w:rPr>
        <w:t xml:space="preserve"> in 2040</w:t>
      </w:r>
      <w:r w:rsidR="0043135B" w:rsidRPr="006101E5">
        <w:rPr>
          <w:noProof/>
        </w:rPr>
        <w:t xml:space="preserve">. </w:t>
      </w:r>
      <w:r w:rsidRPr="006101E5">
        <w:rPr>
          <w:noProof/>
        </w:rPr>
        <w:t>About 7</w:t>
      </w:r>
      <w:r w:rsidR="0043135B" w:rsidRPr="006101E5">
        <w:rPr>
          <w:noProof/>
        </w:rPr>
        <w:t>3</w:t>
      </w:r>
      <w:r w:rsidRPr="006101E5">
        <w:rPr>
          <w:noProof/>
        </w:rPr>
        <w:t>% of this mitigation potential could be achieved at a marginal cost lower than 10 EUR/tCO2-eq, and 8</w:t>
      </w:r>
      <w:r w:rsidR="0043135B" w:rsidRPr="006101E5">
        <w:rPr>
          <w:noProof/>
        </w:rPr>
        <w:t>2</w:t>
      </w:r>
      <w:r w:rsidRPr="006101E5">
        <w:rPr>
          <w:noProof/>
        </w:rPr>
        <w:t xml:space="preserve">% could be </w:t>
      </w:r>
      <w:r w:rsidR="00976A9C" w:rsidRPr="006101E5">
        <w:rPr>
          <w:noProof/>
        </w:rPr>
        <w:t>tapped</w:t>
      </w:r>
      <w:r w:rsidRPr="006101E5">
        <w:rPr>
          <w:noProof/>
        </w:rPr>
        <w:t xml:space="preserve"> at a marginal cost </w:t>
      </w:r>
      <w:r w:rsidR="00976A9C" w:rsidRPr="006101E5">
        <w:rPr>
          <w:noProof/>
        </w:rPr>
        <w:t>below</w:t>
      </w:r>
      <w:r w:rsidRPr="006101E5">
        <w:rPr>
          <w:noProof/>
        </w:rPr>
        <w:t xml:space="preserve"> 50 EUR/tCO2-eq (in both cases, mostly through implementation of best</w:t>
      </w:r>
      <w:r w:rsidRPr="001F5EE4">
        <w:rPr>
          <w:noProof/>
        </w:rPr>
        <w:t xml:space="preserve"> available technology in bunker fuel use and leak detection and repair programs, and by flooding abandoned coal mines). Higher emission reductions could be achieved only at very high marginal costs, mainly by upgrading long-distance gas pipelines to minimum leakage rates, replacing steel gas distribution networks by PE/PVC networks, and additional leak detection and repair. Non-CO2 GHG emissions from the </w:t>
      </w:r>
      <w:r w:rsidRPr="00B446B9">
        <w:rPr>
          <w:b/>
          <w:noProof/>
        </w:rPr>
        <w:t>heating and cooling</w:t>
      </w:r>
      <w:r w:rsidRPr="001F5EE4">
        <w:rPr>
          <w:noProof/>
        </w:rPr>
        <w:t xml:space="preserve"> sector are mostly F-gas emissions. In this sector, the </w:t>
      </w:r>
      <w:r w:rsidR="00C73D49" w:rsidRPr="00C73D49">
        <w:rPr>
          <w:noProof/>
        </w:rPr>
        <w:t>“emissions without additional mitigation”</w:t>
      </w:r>
      <w:r w:rsidR="00C73D49">
        <w:rPr>
          <w:noProof/>
        </w:rPr>
        <w:t xml:space="preserve"> </w:t>
      </w:r>
      <w:r w:rsidRPr="001F5EE4">
        <w:rPr>
          <w:noProof/>
        </w:rPr>
        <w:t xml:space="preserve">are </w:t>
      </w:r>
      <w:r w:rsidR="00C228F8">
        <w:rPr>
          <w:noProof/>
        </w:rPr>
        <w:t>already very low in 2040 (</w:t>
      </w:r>
      <w:r w:rsidRPr="001F5EE4">
        <w:rPr>
          <w:noProof/>
        </w:rPr>
        <w:t xml:space="preserve">less than 3 MtCO2-eq); however, there is enough additional mitigation potential in 2040 to almost eliminate these </w:t>
      </w:r>
      <w:r w:rsidRPr="006101E5">
        <w:rPr>
          <w:noProof/>
        </w:rPr>
        <w:t>emissions fully (by using alternative agents). Around 57% of th</w:t>
      </w:r>
      <w:r w:rsidR="00976A9C" w:rsidRPr="006101E5">
        <w:rPr>
          <w:noProof/>
        </w:rPr>
        <w:t>e</w:t>
      </w:r>
      <w:r w:rsidRPr="006101E5">
        <w:rPr>
          <w:noProof/>
        </w:rPr>
        <w:t xml:space="preserve"> maximum mitigation potential could be tapped at a marginal cost lower than 10 EUR/tCO2-eq, and 62% could be reached at a marginal cost </w:t>
      </w:r>
      <w:r w:rsidR="00976A9C" w:rsidRPr="006101E5">
        <w:rPr>
          <w:noProof/>
        </w:rPr>
        <w:t>be</w:t>
      </w:r>
      <w:r w:rsidRPr="006101E5">
        <w:rPr>
          <w:noProof/>
        </w:rPr>
        <w:t>low 50 EUR/tCO2-eq, leaving only a small part of the maximum mitigation potential untapped (</w:t>
      </w:r>
      <w:r w:rsidR="00005307" w:rsidRPr="006101E5">
        <w:rPr>
          <w:noProof/>
        </w:rPr>
        <w:t xml:space="preserve">around </w:t>
      </w:r>
      <w:r w:rsidRPr="006101E5">
        <w:rPr>
          <w:noProof/>
        </w:rPr>
        <w:t>1</w:t>
      </w:r>
      <w:r w:rsidR="00005307" w:rsidRPr="006101E5">
        <w:rPr>
          <w:noProof/>
        </w:rPr>
        <w:t xml:space="preserve"> </w:t>
      </w:r>
      <w:r w:rsidRPr="006101E5">
        <w:rPr>
          <w:noProof/>
        </w:rPr>
        <w:t>MtCO2-eq</w:t>
      </w:r>
      <w:r w:rsidR="00005307" w:rsidRPr="006101E5">
        <w:rPr>
          <w:noProof/>
        </w:rPr>
        <w:t xml:space="preserve"> in both cases</w:t>
      </w:r>
      <w:r w:rsidRPr="006101E5">
        <w:rPr>
          <w:noProof/>
        </w:rPr>
        <w:t xml:space="preserve">). Finally, in </w:t>
      </w:r>
      <w:r w:rsidRPr="006101E5">
        <w:rPr>
          <w:b/>
          <w:noProof/>
        </w:rPr>
        <w:t>industry and other</w:t>
      </w:r>
      <w:r w:rsidRPr="006101E5">
        <w:rPr>
          <w:noProof/>
        </w:rPr>
        <w:t xml:space="preserve"> sector</w:t>
      </w:r>
      <w:r w:rsidR="004B2707" w:rsidRPr="006101E5">
        <w:rPr>
          <w:noProof/>
        </w:rPr>
        <w:t>s</w:t>
      </w:r>
      <w:r w:rsidR="00A53D15" w:rsidRPr="006101E5">
        <w:rPr>
          <w:noProof/>
        </w:rPr>
        <w:t xml:space="preserve">, the maximum </w:t>
      </w:r>
      <w:r w:rsidR="00C73D49">
        <w:rPr>
          <w:noProof/>
        </w:rPr>
        <w:t xml:space="preserve">additional </w:t>
      </w:r>
      <w:r w:rsidR="00A53D15" w:rsidRPr="006101E5">
        <w:rPr>
          <w:noProof/>
        </w:rPr>
        <w:t>mitigation potential</w:t>
      </w:r>
      <w:r w:rsidRPr="006101E5">
        <w:rPr>
          <w:noProof/>
        </w:rPr>
        <w:t xml:space="preserve"> </w:t>
      </w:r>
      <w:r w:rsidR="00A53D15" w:rsidRPr="006101E5">
        <w:rPr>
          <w:noProof/>
        </w:rPr>
        <w:t>is</w:t>
      </w:r>
      <w:r w:rsidRPr="006101E5">
        <w:rPr>
          <w:noProof/>
        </w:rPr>
        <w:t xml:space="preserve"> 1</w:t>
      </w:r>
      <w:r w:rsidR="004B2707" w:rsidRPr="006101E5">
        <w:rPr>
          <w:noProof/>
        </w:rPr>
        <w:t>1</w:t>
      </w:r>
      <w:r w:rsidRPr="006101E5">
        <w:rPr>
          <w:noProof/>
        </w:rPr>
        <w:t xml:space="preserve"> MtCO2-eq</w:t>
      </w:r>
      <w:r w:rsidR="00A53D15" w:rsidRPr="006101E5">
        <w:rPr>
          <w:noProof/>
        </w:rPr>
        <w:t xml:space="preserve"> in 2040</w:t>
      </w:r>
      <w:r w:rsidRPr="006101E5">
        <w:rPr>
          <w:noProof/>
        </w:rPr>
        <w:t>. About 7</w:t>
      </w:r>
      <w:r w:rsidR="004B2707" w:rsidRPr="006101E5">
        <w:rPr>
          <w:noProof/>
        </w:rPr>
        <w:t>2</w:t>
      </w:r>
      <w:r w:rsidRPr="006101E5">
        <w:rPr>
          <w:noProof/>
        </w:rPr>
        <w:t>% of this potential could be tapped at a marginal abatement cost lower than 10 EUR/tCO2</w:t>
      </w:r>
      <w:r w:rsidR="004E2DE1">
        <w:rPr>
          <w:noProof/>
        </w:rPr>
        <w:noBreakHyphen/>
      </w:r>
      <w:r w:rsidRPr="006101E5">
        <w:rPr>
          <w:noProof/>
        </w:rPr>
        <w:t>eq, while 7</w:t>
      </w:r>
      <w:r w:rsidR="004B2707" w:rsidRPr="006101E5">
        <w:rPr>
          <w:noProof/>
        </w:rPr>
        <w:t>9</w:t>
      </w:r>
      <w:r w:rsidRPr="006101E5">
        <w:rPr>
          <w:noProof/>
        </w:rPr>
        <w:t xml:space="preserve">% </w:t>
      </w:r>
      <w:r w:rsidR="00B446B9" w:rsidRPr="006101E5">
        <w:rPr>
          <w:noProof/>
        </w:rPr>
        <w:t>may</w:t>
      </w:r>
      <w:r w:rsidRPr="006101E5">
        <w:rPr>
          <w:noProof/>
        </w:rPr>
        <w:t xml:space="preserve"> be </w:t>
      </w:r>
      <w:r w:rsidR="00B446B9" w:rsidRPr="006101E5">
        <w:rPr>
          <w:noProof/>
        </w:rPr>
        <w:t>reach</w:t>
      </w:r>
      <w:r w:rsidRPr="006101E5">
        <w:rPr>
          <w:noProof/>
        </w:rPr>
        <w:t xml:space="preserve">ed at </w:t>
      </w:r>
      <w:r w:rsidR="00B446B9" w:rsidRPr="006101E5">
        <w:rPr>
          <w:noProof/>
        </w:rPr>
        <w:t>less</w:t>
      </w:r>
      <w:r w:rsidRPr="006101E5">
        <w:rPr>
          <w:noProof/>
        </w:rPr>
        <w:t xml:space="preserve"> than 50 EUR/tCO2-eq</w:t>
      </w:r>
      <w:r w:rsidR="004B2707" w:rsidRPr="006101E5">
        <w:rPr>
          <w:noProof/>
        </w:rPr>
        <w:t>.</w:t>
      </w:r>
    </w:p>
    <w:p w14:paraId="3FECB237" w14:textId="658D1956" w:rsidR="00143A51" w:rsidRDefault="00143A51" w:rsidP="00FB5D12">
      <w:pPr>
        <w:pStyle w:val="Caption"/>
        <w:rPr>
          <w:noProof/>
        </w:rPr>
      </w:pPr>
      <w:bookmarkStart w:id="402" w:name="_Ref142041149"/>
      <w:bookmarkStart w:id="403" w:name="_Toc157679895"/>
      <w:r>
        <w:rPr>
          <w:noProof/>
        </w:rPr>
        <w:t xml:space="preserve">Table </w:t>
      </w:r>
      <w:r>
        <w:rPr>
          <w:noProof/>
          <w:color w:val="2B579A"/>
          <w:shd w:val="clear" w:color="auto" w:fill="E6E6E6"/>
        </w:rPr>
        <w:fldChar w:fldCharType="begin"/>
      </w:r>
      <w:r>
        <w:rPr>
          <w:noProof/>
        </w:rPr>
        <w:instrText>SEQ Table \* ARABIC</w:instrText>
      </w:r>
      <w:r>
        <w:rPr>
          <w:noProof/>
          <w:color w:val="2B579A"/>
          <w:shd w:val="clear" w:color="auto" w:fill="E6E6E6"/>
        </w:rPr>
        <w:fldChar w:fldCharType="separate"/>
      </w:r>
      <w:r w:rsidR="00170A3C">
        <w:rPr>
          <w:noProof/>
        </w:rPr>
        <w:t>12</w:t>
      </w:r>
      <w:r>
        <w:rPr>
          <w:noProof/>
          <w:color w:val="2B579A"/>
          <w:shd w:val="clear" w:color="auto" w:fill="E6E6E6"/>
        </w:rPr>
        <w:fldChar w:fldCharType="end"/>
      </w:r>
      <w:bookmarkEnd w:id="402"/>
      <w:r>
        <w:rPr>
          <w:noProof/>
        </w:rPr>
        <w:t xml:space="preserve">: </w:t>
      </w:r>
      <w:r w:rsidR="00492F90" w:rsidRPr="00492F90">
        <w:rPr>
          <w:noProof/>
        </w:rPr>
        <w:t>Additional mitigation</w:t>
      </w:r>
      <w:r>
        <w:rPr>
          <w:noProof/>
        </w:rPr>
        <w:t xml:space="preserve"> potentials of non-CO2 </w:t>
      </w:r>
      <w:r w:rsidR="00906859">
        <w:rPr>
          <w:noProof/>
        </w:rPr>
        <w:t>GHG</w:t>
      </w:r>
      <w:r>
        <w:rPr>
          <w:noProof/>
        </w:rPr>
        <w:t xml:space="preserve"> emissions in 2040 </w:t>
      </w:r>
      <w:r w:rsidR="00546314">
        <w:rPr>
          <w:noProof/>
        </w:rPr>
        <w:t>(</w:t>
      </w:r>
      <w:r w:rsidR="00492F90">
        <w:rPr>
          <w:noProof/>
        </w:rPr>
        <w:t>by</w:t>
      </w:r>
      <w:r w:rsidR="00492F90" w:rsidRPr="00492F90">
        <w:rPr>
          <w:noProof/>
        </w:rPr>
        <w:t xml:space="preserve"> </w:t>
      </w:r>
      <w:r w:rsidR="00492F90">
        <w:rPr>
          <w:noProof/>
        </w:rPr>
        <w:t>non-land-related</w:t>
      </w:r>
      <w:r>
        <w:rPr>
          <w:noProof/>
        </w:rPr>
        <w:t xml:space="preserve"> sector</w:t>
      </w:r>
      <w:r w:rsidR="00546314">
        <w:rPr>
          <w:noProof/>
        </w:rPr>
        <w:t>)</w:t>
      </w:r>
      <w:bookmarkEnd w:id="403"/>
    </w:p>
    <w:tbl>
      <w:tblPr>
        <w:tblW w:w="8834" w:type="dxa"/>
        <w:tblLayout w:type="fixed"/>
        <w:tblLook w:val="04A0" w:firstRow="1" w:lastRow="0" w:firstColumn="1" w:lastColumn="0" w:noHBand="0" w:noVBand="1"/>
      </w:tblPr>
      <w:tblGrid>
        <w:gridCol w:w="2518"/>
        <w:gridCol w:w="902"/>
        <w:gridCol w:w="902"/>
        <w:gridCol w:w="902"/>
        <w:gridCol w:w="903"/>
        <w:gridCol w:w="902"/>
        <w:gridCol w:w="902"/>
        <w:gridCol w:w="903"/>
      </w:tblGrid>
      <w:tr w:rsidR="00FB5D12" w:rsidRPr="00FB5D12" w14:paraId="4AC2E5D6" w14:textId="77777777" w:rsidTr="004D364D">
        <w:trPr>
          <w:trHeight w:val="300"/>
        </w:trPr>
        <w:tc>
          <w:tcPr>
            <w:tcW w:w="2518" w:type="dxa"/>
            <w:vMerge w:val="restart"/>
            <w:noWrap/>
            <w:vAlign w:val="center"/>
          </w:tcPr>
          <w:p w14:paraId="2C178CB2" w14:textId="77777777" w:rsidR="00FB5D12" w:rsidRPr="00786B4F" w:rsidRDefault="00FB5D12" w:rsidP="00FB5D12">
            <w:pPr>
              <w:keepNext/>
              <w:spacing w:after="0"/>
              <w:jc w:val="left"/>
              <w:rPr>
                <w:rFonts w:ascii="EC Square Sans Cond Pro" w:hAnsi="EC Square Sans Cond Pro" w:cs="Avenir Next LT Pro"/>
                <w:b/>
                <w:noProof/>
                <w:sz w:val="18"/>
                <w:szCs w:val="18"/>
                <w:lang w:val="en-IE"/>
              </w:rPr>
            </w:pPr>
          </w:p>
        </w:tc>
        <w:tc>
          <w:tcPr>
            <w:tcW w:w="6316" w:type="dxa"/>
            <w:gridSpan w:val="7"/>
            <w:noWrap/>
            <w:vAlign w:val="center"/>
          </w:tcPr>
          <w:p w14:paraId="1E7D5F6F" w14:textId="3BA3242F" w:rsidR="00FB5D12" w:rsidRPr="00786B4F" w:rsidRDefault="00FB5D12" w:rsidP="00FB5D12">
            <w:pPr>
              <w:keepNext/>
              <w:spacing w:after="0"/>
              <w:jc w:val="center"/>
              <w:rPr>
                <w:rFonts w:ascii="EC Square Sans Cond Pro" w:hAnsi="EC Square Sans Cond Pro" w:cs="Avenir Next LT Pro"/>
                <w:b/>
                <w:noProof/>
                <w:sz w:val="18"/>
                <w:szCs w:val="18"/>
                <w:lang w:val="en-IE"/>
              </w:rPr>
            </w:pPr>
            <w:r w:rsidRPr="00786B4F">
              <w:rPr>
                <w:rFonts w:ascii="EC Square Sans Cond Pro" w:hAnsi="EC Square Sans Cond Pro" w:cs="Avenir Next LT Pro"/>
                <w:b/>
                <w:noProof/>
                <w:sz w:val="18"/>
                <w:szCs w:val="18"/>
                <w:lang w:val="en-IE"/>
              </w:rPr>
              <w:t>Marginal abatement cost for non-CO2 GHG emissions (EUR/tCO2-eq)</w:t>
            </w:r>
            <w:r w:rsidR="005456CF" w:rsidRPr="00786B4F">
              <w:rPr>
                <w:rFonts w:ascii="EC Square Sans Cond Pro" w:hAnsi="EC Square Sans Cond Pro" w:cs="Avenir Next LT Pro"/>
                <w:b/>
                <w:noProof/>
                <w:sz w:val="18"/>
                <w:szCs w:val="18"/>
                <w:lang w:val="en-IE"/>
              </w:rPr>
              <w:t>**</w:t>
            </w:r>
          </w:p>
        </w:tc>
      </w:tr>
      <w:tr w:rsidR="00FB5D12" w:rsidRPr="00FB5D12" w14:paraId="4EF5A33C" w14:textId="77777777" w:rsidTr="004D364D">
        <w:trPr>
          <w:trHeight w:val="460"/>
        </w:trPr>
        <w:tc>
          <w:tcPr>
            <w:tcW w:w="2518" w:type="dxa"/>
            <w:vMerge/>
            <w:tcBorders>
              <w:bottom w:val="single" w:sz="12" w:space="0" w:color="auto"/>
            </w:tcBorders>
            <w:noWrap/>
            <w:vAlign w:val="center"/>
            <w:hideMark/>
          </w:tcPr>
          <w:p w14:paraId="31F82BA5" w14:textId="77777777" w:rsidR="00FB5D12" w:rsidRPr="00FB5D12" w:rsidRDefault="00FB5D12" w:rsidP="00FB5D12">
            <w:pPr>
              <w:keepNext/>
              <w:spacing w:after="0"/>
              <w:jc w:val="left"/>
              <w:rPr>
                <w:rFonts w:ascii="EC Square Sans Cond Pro" w:hAnsi="EC Square Sans Cond Pro"/>
                <w:noProof/>
                <w:sz w:val="18"/>
                <w:szCs w:val="18"/>
                <w:lang w:val="en-IE"/>
              </w:rPr>
            </w:pPr>
          </w:p>
        </w:tc>
        <w:tc>
          <w:tcPr>
            <w:tcW w:w="902" w:type="dxa"/>
            <w:tcBorders>
              <w:bottom w:val="single" w:sz="12" w:space="0" w:color="auto"/>
            </w:tcBorders>
            <w:noWrap/>
            <w:vAlign w:val="center"/>
            <w:hideMark/>
          </w:tcPr>
          <w:p w14:paraId="18AF17CF" w14:textId="77777777" w:rsidR="00FB5D12" w:rsidRPr="00786B4F" w:rsidRDefault="00FB5D12" w:rsidP="00FB5D12">
            <w:pPr>
              <w:keepNext/>
              <w:spacing w:after="0"/>
              <w:jc w:val="center"/>
              <w:rPr>
                <w:rFonts w:ascii="EC Square Sans Cond Pro" w:hAnsi="EC Square Sans Cond Pro" w:cs="Avenir Next LT Pro"/>
                <w:b/>
                <w:noProof/>
                <w:sz w:val="18"/>
                <w:szCs w:val="18"/>
                <w:lang w:val="en-IE"/>
              </w:rPr>
            </w:pPr>
            <w:r w:rsidRPr="00786B4F">
              <w:rPr>
                <w:rFonts w:ascii="EC Square Sans Cond Pro" w:hAnsi="EC Square Sans Cond Pro" w:cs="Avenir Next LT Pro"/>
                <w:b/>
                <w:noProof/>
                <w:sz w:val="18"/>
                <w:szCs w:val="18"/>
                <w:lang w:val="en-IE"/>
              </w:rPr>
              <w:t>0*</w:t>
            </w:r>
          </w:p>
        </w:tc>
        <w:tc>
          <w:tcPr>
            <w:tcW w:w="902" w:type="dxa"/>
            <w:tcBorders>
              <w:bottom w:val="single" w:sz="12" w:space="0" w:color="auto"/>
            </w:tcBorders>
            <w:noWrap/>
            <w:vAlign w:val="center"/>
            <w:hideMark/>
          </w:tcPr>
          <w:p w14:paraId="103122E3" w14:textId="77777777" w:rsidR="00FB5D12" w:rsidRPr="00786B4F" w:rsidRDefault="00FB5D12" w:rsidP="00FB5D12">
            <w:pPr>
              <w:keepNext/>
              <w:spacing w:after="0"/>
              <w:jc w:val="center"/>
              <w:rPr>
                <w:rFonts w:ascii="EC Square Sans Cond Pro" w:hAnsi="EC Square Sans Cond Pro" w:cs="Avenir Next LT Pro"/>
                <w:b/>
                <w:smallCaps/>
                <w:noProof/>
                <w:sz w:val="18"/>
                <w:szCs w:val="18"/>
                <w:lang w:val="en-IE"/>
              </w:rPr>
            </w:pPr>
            <w:r w:rsidRPr="00786B4F">
              <w:rPr>
                <w:rFonts w:ascii="EC Square Sans Cond Pro" w:hAnsi="EC Square Sans Cond Pro" w:cs="Avenir Next LT Pro"/>
                <w:b/>
                <w:smallCaps/>
                <w:noProof/>
                <w:sz w:val="18"/>
                <w:szCs w:val="18"/>
                <w:lang w:val="en-IE"/>
              </w:rPr>
              <w:t>0.1</w:t>
            </w:r>
          </w:p>
        </w:tc>
        <w:tc>
          <w:tcPr>
            <w:tcW w:w="902" w:type="dxa"/>
            <w:tcBorders>
              <w:bottom w:val="single" w:sz="12" w:space="0" w:color="auto"/>
            </w:tcBorders>
            <w:vAlign w:val="center"/>
          </w:tcPr>
          <w:p w14:paraId="48142B44" w14:textId="77777777" w:rsidR="00FB5D12" w:rsidRPr="00786B4F" w:rsidRDefault="00FB5D12" w:rsidP="00FB5D12">
            <w:pPr>
              <w:keepNext/>
              <w:spacing w:after="0"/>
              <w:jc w:val="center"/>
              <w:rPr>
                <w:rFonts w:ascii="EC Square Sans Cond Pro" w:hAnsi="EC Square Sans Cond Pro" w:cs="Avenir Next LT Pro"/>
                <w:b/>
                <w:noProof/>
                <w:sz w:val="18"/>
                <w:szCs w:val="18"/>
                <w:lang w:val="en-IE"/>
              </w:rPr>
            </w:pPr>
            <w:r w:rsidRPr="00786B4F">
              <w:rPr>
                <w:rFonts w:ascii="EC Square Sans Cond Pro" w:hAnsi="EC Square Sans Cond Pro" w:cs="Avenir Next LT Pro"/>
                <w:b/>
                <w:noProof/>
                <w:sz w:val="18"/>
                <w:szCs w:val="18"/>
                <w:lang w:val="en-IE"/>
              </w:rPr>
              <w:t>10</w:t>
            </w:r>
          </w:p>
        </w:tc>
        <w:tc>
          <w:tcPr>
            <w:tcW w:w="903" w:type="dxa"/>
            <w:tcBorders>
              <w:bottom w:val="single" w:sz="12" w:space="0" w:color="auto"/>
            </w:tcBorders>
            <w:vAlign w:val="center"/>
          </w:tcPr>
          <w:p w14:paraId="48CCB083" w14:textId="77777777" w:rsidR="00FB5D12" w:rsidRPr="00786B4F" w:rsidRDefault="00FB5D12" w:rsidP="00FB5D12">
            <w:pPr>
              <w:keepNext/>
              <w:spacing w:after="0"/>
              <w:jc w:val="center"/>
              <w:rPr>
                <w:rFonts w:ascii="EC Square Sans Cond Pro" w:hAnsi="EC Square Sans Cond Pro" w:cs="Avenir Next LT Pro"/>
                <w:b/>
                <w:noProof/>
                <w:sz w:val="18"/>
                <w:szCs w:val="18"/>
                <w:lang w:val="en-IE"/>
              </w:rPr>
            </w:pPr>
            <w:r w:rsidRPr="00786B4F">
              <w:rPr>
                <w:rFonts w:ascii="EC Square Sans Cond Pro" w:hAnsi="EC Square Sans Cond Pro" w:cs="Avenir Next LT Pro"/>
                <w:b/>
                <w:noProof/>
                <w:sz w:val="18"/>
                <w:szCs w:val="18"/>
                <w:lang w:val="en-IE"/>
              </w:rPr>
              <w:t>50</w:t>
            </w:r>
          </w:p>
        </w:tc>
        <w:tc>
          <w:tcPr>
            <w:tcW w:w="902" w:type="dxa"/>
            <w:tcBorders>
              <w:bottom w:val="single" w:sz="12" w:space="0" w:color="auto"/>
            </w:tcBorders>
            <w:vAlign w:val="center"/>
          </w:tcPr>
          <w:p w14:paraId="6F9C5F23" w14:textId="77777777" w:rsidR="00FB5D12" w:rsidRPr="00786B4F" w:rsidRDefault="00FB5D12" w:rsidP="00FB5D12">
            <w:pPr>
              <w:keepNext/>
              <w:spacing w:after="0"/>
              <w:jc w:val="center"/>
              <w:rPr>
                <w:rFonts w:ascii="EC Square Sans Cond Pro" w:hAnsi="EC Square Sans Cond Pro" w:cs="Avenir Next LT Pro"/>
                <w:b/>
                <w:noProof/>
                <w:sz w:val="18"/>
                <w:szCs w:val="18"/>
                <w:lang w:val="en-IE"/>
              </w:rPr>
            </w:pPr>
            <w:r w:rsidRPr="00786B4F">
              <w:rPr>
                <w:rFonts w:ascii="EC Square Sans Cond Pro" w:hAnsi="EC Square Sans Cond Pro" w:cs="Avenir Next LT Pro"/>
                <w:b/>
                <w:noProof/>
                <w:sz w:val="18"/>
                <w:szCs w:val="18"/>
                <w:lang w:val="en-IE"/>
              </w:rPr>
              <w:t>100</w:t>
            </w:r>
          </w:p>
        </w:tc>
        <w:tc>
          <w:tcPr>
            <w:tcW w:w="902" w:type="dxa"/>
            <w:tcBorders>
              <w:bottom w:val="single" w:sz="12" w:space="0" w:color="auto"/>
            </w:tcBorders>
            <w:vAlign w:val="center"/>
          </w:tcPr>
          <w:p w14:paraId="5CFAC1D7" w14:textId="77777777" w:rsidR="00FB5D12" w:rsidRPr="00786B4F" w:rsidRDefault="00FB5D12" w:rsidP="00FB5D12">
            <w:pPr>
              <w:keepNext/>
              <w:spacing w:after="0"/>
              <w:jc w:val="center"/>
              <w:rPr>
                <w:rFonts w:ascii="EC Square Sans Cond Pro" w:hAnsi="EC Square Sans Cond Pro" w:cs="Avenir Next LT Pro"/>
                <w:b/>
                <w:noProof/>
                <w:sz w:val="18"/>
                <w:szCs w:val="18"/>
                <w:lang w:val="en-IE"/>
              </w:rPr>
            </w:pPr>
            <w:r w:rsidRPr="00786B4F">
              <w:rPr>
                <w:rFonts w:ascii="EC Square Sans Cond Pro" w:hAnsi="EC Square Sans Cond Pro" w:cs="Avenir Next LT Pro"/>
                <w:b/>
                <w:noProof/>
                <w:sz w:val="18"/>
                <w:szCs w:val="18"/>
                <w:lang w:val="en-IE"/>
              </w:rPr>
              <w:t>300</w:t>
            </w:r>
          </w:p>
        </w:tc>
        <w:tc>
          <w:tcPr>
            <w:tcW w:w="903" w:type="dxa"/>
            <w:tcBorders>
              <w:bottom w:val="single" w:sz="12" w:space="0" w:color="auto"/>
            </w:tcBorders>
            <w:vAlign w:val="center"/>
          </w:tcPr>
          <w:p w14:paraId="1AEB4653" w14:textId="77777777" w:rsidR="00FB5D12" w:rsidRPr="00786B4F" w:rsidRDefault="00FB5D12" w:rsidP="00FB5D12">
            <w:pPr>
              <w:keepNext/>
              <w:spacing w:after="0"/>
              <w:jc w:val="center"/>
              <w:rPr>
                <w:rFonts w:ascii="EC Square Sans Cond Pro" w:hAnsi="EC Square Sans Cond Pro" w:cs="Avenir Next LT Pro"/>
                <w:b/>
                <w:noProof/>
                <w:sz w:val="18"/>
                <w:szCs w:val="18"/>
                <w:lang w:val="en-IE"/>
              </w:rPr>
            </w:pPr>
            <w:r w:rsidRPr="00786B4F">
              <w:rPr>
                <w:rFonts w:ascii="EC Square Sans Cond Pro" w:hAnsi="EC Square Sans Cond Pro" w:cs="Avenir Next LT Pro"/>
                <w:b/>
                <w:noProof/>
                <w:sz w:val="18"/>
                <w:szCs w:val="18"/>
                <w:lang w:val="en-IE"/>
              </w:rPr>
              <w:t>Max</w:t>
            </w:r>
          </w:p>
        </w:tc>
      </w:tr>
      <w:tr w:rsidR="00FB5D12" w:rsidRPr="00FB5D12" w14:paraId="557F7B65" w14:textId="77777777" w:rsidTr="004D364D">
        <w:trPr>
          <w:trHeight w:val="460"/>
        </w:trPr>
        <w:tc>
          <w:tcPr>
            <w:tcW w:w="2518" w:type="dxa"/>
            <w:tcBorders>
              <w:top w:val="single" w:sz="12" w:space="0" w:color="auto"/>
            </w:tcBorders>
            <w:noWrap/>
            <w:vAlign w:val="center"/>
            <w:hideMark/>
          </w:tcPr>
          <w:p w14:paraId="408420C5" w14:textId="77777777" w:rsidR="00FB5D12" w:rsidRPr="00FB5D12" w:rsidRDefault="00FB5D12" w:rsidP="00FB5D12">
            <w:pPr>
              <w:keepNext/>
              <w:spacing w:after="0"/>
              <w:jc w:val="left"/>
              <w:rPr>
                <w:rFonts w:ascii="EC Square Sans Cond Pro" w:hAnsi="EC Square Sans Cond Pro" w:cs="Avenir Next LT Pro"/>
                <w:b/>
                <w:noProof/>
                <w:sz w:val="18"/>
                <w:szCs w:val="18"/>
                <w:lang w:val="en-IE"/>
              </w:rPr>
            </w:pPr>
            <w:r w:rsidRPr="00FB5D12">
              <w:rPr>
                <w:rFonts w:ascii="EC Square Sans Cond Pro" w:hAnsi="EC Square Sans Cond Pro" w:cs="Avenir Next LT Pro"/>
                <w:b/>
                <w:noProof/>
                <w:sz w:val="18"/>
                <w:szCs w:val="18"/>
                <w:lang w:val="en-IE"/>
              </w:rPr>
              <w:t>Emissions mitigation in 2040 (MtCO2-eq)</w:t>
            </w:r>
          </w:p>
        </w:tc>
        <w:tc>
          <w:tcPr>
            <w:tcW w:w="6316" w:type="dxa"/>
            <w:gridSpan w:val="7"/>
            <w:tcBorders>
              <w:top w:val="single" w:sz="12" w:space="0" w:color="auto"/>
            </w:tcBorders>
            <w:noWrap/>
            <w:vAlign w:val="center"/>
          </w:tcPr>
          <w:p w14:paraId="27E9F597" w14:textId="77777777" w:rsidR="00FB5D12" w:rsidRPr="00FB5D12" w:rsidRDefault="00FB5D12" w:rsidP="00FB5D12">
            <w:pPr>
              <w:keepNext/>
              <w:spacing w:after="0"/>
              <w:jc w:val="center"/>
              <w:rPr>
                <w:rFonts w:ascii="EC Square Sans Cond Pro" w:hAnsi="EC Square Sans Cond Pro" w:cs="Avenir Next LT Pro"/>
                <w:noProof/>
                <w:sz w:val="18"/>
                <w:szCs w:val="18"/>
                <w:lang w:val="en-IE"/>
              </w:rPr>
            </w:pPr>
          </w:p>
        </w:tc>
      </w:tr>
      <w:tr w:rsidR="00FB5D12" w:rsidRPr="00FB5D12" w14:paraId="478638B0" w14:textId="77777777" w:rsidTr="004D364D">
        <w:trPr>
          <w:trHeight w:val="320"/>
        </w:trPr>
        <w:tc>
          <w:tcPr>
            <w:tcW w:w="2518" w:type="dxa"/>
            <w:noWrap/>
            <w:vAlign w:val="center"/>
            <w:hideMark/>
          </w:tcPr>
          <w:p w14:paraId="16ADADDB" w14:textId="671D6B6B" w:rsidR="00FB5D12" w:rsidRPr="00FB5D12" w:rsidRDefault="00FB5D12" w:rsidP="00FB5D12">
            <w:pPr>
              <w:keepNext/>
              <w:spacing w:after="0"/>
              <w:jc w:val="left"/>
              <w:rPr>
                <w:rFonts w:ascii="EC Square Sans Cond Pro" w:hAnsi="EC Square Sans Cond Pro" w:cs="Avenir Next LT Pro"/>
                <w:noProof/>
                <w:sz w:val="18"/>
                <w:szCs w:val="18"/>
                <w:lang w:val="en-IE"/>
              </w:rPr>
            </w:pPr>
            <w:r w:rsidRPr="00FB5D12">
              <w:rPr>
                <w:rFonts w:ascii="EC Square Sans Cond Pro" w:hAnsi="EC Square Sans Cond Pro" w:cs="Avenir Next LT Pro"/>
                <w:noProof/>
                <w:sz w:val="18"/>
                <w:szCs w:val="18"/>
                <w:lang w:val="en-IE"/>
              </w:rPr>
              <w:t>Waste treatment**</w:t>
            </w:r>
            <w:r w:rsidR="005456CF">
              <w:rPr>
                <w:rFonts w:ascii="EC Square Sans Cond Pro" w:hAnsi="EC Square Sans Cond Pro" w:cs="Avenir Next LT Pro"/>
                <w:noProof/>
                <w:sz w:val="18"/>
                <w:szCs w:val="18"/>
                <w:lang w:val="en-IE"/>
              </w:rPr>
              <w:t>*</w:t>
            </w:r>
          </w:p>
        </w:tc>
        <w:tc>
          <w:tcPr>
            <w:tcW w:w="902" w:type="dxa"/>
            <w:noWrap/>
            <w:vAlign w:val="center"/>
          </w:tcPr>
          <w:p w14:paraId="1FF36E12" w14:textId="077C1EE6"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0</w:t>
            </w:r>
          </w:p>
        </w:tc>
        <w:tc>
          <w:tcPr>
            <w:tcW w:w="902" w:type="dxa"/>
            <w:noWrap/>
            <w:vAlign w:val="center"/>
          </w:tcPr>
          <w:p w14:paraId="58D27544" w14:textId="61F81CE2"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12</w:t>
            </w:r>
          </w:p>
        </w:tc>
        <w:tc>
          <w:tcPr>
            <w:tcW w:w="902" w:type="dxa"/>
            <w:noWrap/>
            <w:vAlign w:val="center"/>
          </w:tcPr>
          <w:p w14:paraId="1CE98B8B" w14:textId="6B67F132"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13</w:t>
            </w:r>
          </w:p>
        </w:tc>
        <w:tc>
          <w:tcPr>
            <w:tcW w:w="903" w:type="dxa"/>
            <w:vAlign w:val="center"/>
          </w:tcPr>
          <w:p w14:paraId="469B252B" w14:textId="5C796A84"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13</w:t>
            </w:r>
          </w:p>
        </w:tc>
        <w:tc>
          <w:tcPr>
            <w:tcW w:w="902" w:type="dxa"/>
            <w:vAlign w:val="center"/>
          </w:tcPr>
          <w:p w14:paraId="48EDBC03" w14:textId="238788A7"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13</w:t>
            </w:r>
          </w:p>
        </w:tc>
        <w:tc>
          <w:tcPr>
            <w:tcW w:w="902" w:type="dxa"/>
            <w:vAlign w:val="center"/>
          </w:tcPr>
          <w:p w14:paraId="63528D50" w14:textId="7F6E0903"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13</w:t>
            </w:r>
          </w:p>
        </w:tc>
        <w:tc>
          <w:tcPr>
            <w:tcW w:w="903" w:type="dxa"/>
            <w:vAlign w:val="center"/>
          </w:tcPr>
          <w:p w14:paraId="7104282D" w14:textId="70B1F492"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14</w:t>
            </w:r>
          </w:p>
        </w:tc>
      </w:tr>
      <w:tr w:rsidR="00FB5D12" w:rsidRPr="00FB5D12" w14:paraId="44E6C372" w14:textId="77777777" w:rsidTr="004D364D">
        <w:trPr>
          <w:trHeight w:val="320"/>
        </w:trPr>
        <w:tc>
          <w:tcPr>
            <w:tcW w:w="2518" w:type="dxa"/>
            <w:noWrap/>
            <w:vAlign w:val="center"/>
          </w:tcPr>
          <w:p w14:paraId="033998F9" w14:textId="77777777" w:rsidR="00FB5D12" w:rsidRPr="00FB5D12" w:rsidRDefault="00FB5D12" w:rsidP="00FB5D12">
            <w:pPr>
              <w:keepNext/>
              <w:spacing w:after="0"/>
              <w:jc w:val="left"/>
              <w:rPr>
                <w:rFonts w:ascii="EC Square Sans Cond Pro" w:hAnsi="EC Square Sans Cond Pro" w:cs="Avenir Next LT Pro"/>
                <w:noProof/>
                <w:sz w:val="18"/>
                <w:szCs w:val="18"/>
                <w:lang w:val="en-IE"/>
              </w:rPr>
            </w:pPr>
            <w:r w:rsidRPr="00FB5D12">
              <w:rPr>
                <w:rFonts w:ascii="EC Square Sans Cond Pro" w:hAnsi="EC Square Sans Cond Pro" w:cs="Avenir Next LT Pro"/>
                <w:noProof/>
                <w:sz w:val="18"/>
                <w:szCs w:val="18"/>
                <w:lang w:val="en-IE"/>
              </w:rPr>
              <w:t>Energy and transport</w:t>
            </w:r>
          </w:p>
        </w:tc>
        <w:tc>
          <w:tcPr>
            <w:tcW w:w="902" w:type="dxa"/>
            <w:noWrap/>
            <w:vAlign w:val="center"/>
          </w:tcPr>
          <w:p w14:paraId="53AE448C" w14:textId="0CF60DFF"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0</w:t>
            </w:r>
          </w:p>
        </w:tc>
        <w:tc>
          <w:tcPr>
            <w:tcW w:w="902" w:type="dxa"/>
            <w:noWrap/>
            <w:vAlign w:val="center"/>
          </w:tcPr>
          <w:p w14:paraId="5F88A2A0" w14:textId="12746874"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9</w:t>
            </w:r>
          </w:p>
        </w:tc>
        <w:tc>
          <w:tcPr>
            <w:tcW w:w="902" w:type="dxa"/>
            <w:noWrap/>
            <w:vAlign w:val="center"/>
          </w:tcPr>
          <w:p w14:paraId="17D3B6F5" w14:textId="726387CF"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10</w:t>
            </w:r>
          </w:p>
        </w:tc>
        <w:tc>
          <w:tcPr>
            <w:tcW w:w="903" w:type="dxa"/>
            <w:vAlign w:val="center"/>
          </w:tcPr>
          <w:p w14:paraId="301E9EE2" w14:textId="055AA02C"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12</w:t>
            </w:r>
          </w:p>
        </w:tc>
        <w:tc>
          <w:tcPr>
            <w:tcW w:w="902" w:type="dxa"/>
            <w:vAlign w:val="center"/>
          </w:tcPr>
          <w:p w14:paraId="21C221B0" w14:textId="486DF7DA"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12</w:t>
            </w:r>
          </w:p>
        </w:tc>
        <w:tc>
          <w:tcPr>
            <w:tcW w:w="902" w:type="dxa"/>
            <w:vAlign w:val="center"/>
          </w:tcPr>
          <w:p w14:paraId="2F9331C2" w14:textId="1415AA40"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12</w:t>
            </w:r>
          </w:p>
        </w:tc>
        <w:tc>
          <w:tcPr>
            <w:tcW w:w="903" w:type="dxa"/>
            <w:vAlign w:val="center"/>
          </w:tcPr>
          <w:p w14:paraId="3CE8AAA1" w14:textId="5EAD401B"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14</w:t>
            </w:r>
          </w:p>
        </w:tc>
      </w:tr>
      <w:tr w:rsidR="00FB5D12" w:rsidRPr="00FB5D12" w14:paraId="2BC70ADB" w14:textId="77777777" w:rsidTr="004D364D">
        <w:trPr>
          <w:trHeight w:val="320"/>
        </w:trPr>
        <w:tc>
          <w:tcPr>
            <w:tcW w:w="2518" w:type="dxa"/>
            <w:noWrap/>
            <w:vAlign w:val="center"/>
          </w:tcPr>
          <w:p w14:paraId="63E4C7E6" w14:textId="77777777" w:rsidR="00FB5D12" w:rsidRPr="00FB5D12" w:rsidRDefault="00FB5D12" w:rsidP="00FB5D12">
            <w:pPr>
              <w:keepNext/>
              <w:spacing w:after="0"/>
              <w:jc w:val="left"/>
              <w:rPr>
                <w:rFonts w:ascii="EC Square Sans Cond Pro" w:hAnsi="EC Square Sans Cond Pro" w:cs="Avenir Next LT Pro"/>
                <w:noProof/>
                <w:sz w:val="18"/>
                <w:szCs w:val="18"/>
                <w:lang w:val="en-IE"/>
              </w:rPr>
            </w:pPr>
            <w:r w:rsidRPr="00FB5D12">
              <w:rPr>
                <w:rFonts w:ascii="EC Square Sans Cond Pro" w:hAnsi="EC Square Sans Cond Pro" w:cs="Avenir Next LT Pro"/>
                <w:noProof/>
                <w:sz w:val="18"/>
                <w:szCs w:val="18"/>
                <w:lang w:val="en-IE"/>
              </w:rPr>
              <w:t>Heating and cooling</w:t>
            </w:r>
          </w:p>
        </w:tc>
        <w:tc>
          <w:tcPr>
            <w:tcW w:w="902" w:type="dxa"/>
            <w:noWrap/>
            <w:vAlign w:val="center"/>
          </w:tcPr>
          <w:p w14:paraId="5AD5BA70" w14:textId="736B21FF"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0</w:t>
            </w:r>
          </w:p>
        </w:tc>
        <w:tc>
          <w:tcPr>
            <w:tcW w:w="902" w:type="dxa"/>
            <w:noWrap/>
            <w:vAlign w:val="center"/>
          </w:tcPr>
          <w:p w14:paraId="545E4C81" w14:textId="69F28B8C"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0.8</w:t>
            </w:r>
          </w:p>
        </w:tc>
        <w:tc>
          <w:tcPr>
            <w:tcW w:w="902" w:type="dxa"/>
            <w:noWrap/>
            <w:vAlign w:val="center"/>
          </w:tcPr>
          <w:p w14:paraId="40A9C755" w14:textId="72453CB2"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1.4</w:t>
            </w:r>
          </w:p>
        </w:tc>
        <w:tc>
          <w:tcPr>
            <w:tcW w:w="903" w:type="dxa"/>
            <w:vAlign w:val="center"/>
          </w:tcPr>
          <w:p w14:paraId="4C50D2E2" w14:textId="73100DB0"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1.6</w:t>
            </w:r>
          </w:p>
        </w:tc>
        <w:tc>
          <w:tcPr>
            <w:tcW w:w="902" w:type="dxa"/>
            <w:vAlign w:val="center"/>
          </w:tcPr>
          <w:p w14:paraId="53B6FB1F" w14:textId="35C7A0C2"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2.4</w:t>
            </w:r>
          </w:p>
        </w:tc>
        <w:tc>
          <w:tcPr>
            <w:tcW w:w="902" w:type="dxa"/>
            <w:vAlign w:val="center"/>
          </w:tcPr>
          <w:p w14:paraId="2DCCB7FE" w14:textId="2C667A8A"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2.4</w:t>
            </w:r>
          </w:p>
        </w:tc>
        <w:tc>
          <w:tcPr>
            <w:tcW w:w="903" w:type="dxa"/>
            <w:vAlign w:val="center"/>
          </w:tcPr>
          <w:p w14:paraId="21BB5C0C" w14:textId="79F7E261"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2.5</w:t>
            </w:r>
          </w:p>
        </w:tc>
      </w:tr>
      <w:tr w:rsidR="00FB5D12" w:rsidRPr="00FB5D12" w14:paraId="506D38FD" w14:textId="77777777" w:rsidTr="004D364D">
        <w:trPr>
          <w:trHeight w:val="320"/>
        </w:trPr>
        <w:tc>
          <w:tcPr>
            <w:tcW w:w="2518" w:type="dxa"/>
            <w:noWrap/>
            <w:vAlign w:val="center"/>
          </w:tcPr>
          <w:p w14:paraId="0DF84CE0" w14:textId="77777777" w:rsidR="00FB5D12" w:rsidRPr="00FB5D12" w:rsidRDefault="00FB5D12" w:rsidP="00FB5D12">
            <w:pPr>
              <w:keepNext/>
              <w:spacing w:after="0"/>
              <w:jc w:val="left"/>
              <w:rPr>
                <w:rFonts w:ascii="EC Square Sans Cond Pro" w:hAnsi="EC Square Sans Cond Pro" w:cs="Avenir Next LT Pro"/>
                <w:noProof/>
                <w:sz w:val="18"/>
                <w:szCs w:val="18"/>
                <w:lang w:val="en-IE"/>
              </w:rPr>
            </w:pPr>
            <w:r w:rsidRPr="00FB5D12">
              <w:rPr>
                <w:rFonts w:ascii="EC Square Sans Cond Pro" w:hAnsi="EC Square Sans Cond Pro" w:cs="Avenir Next LT Pro"/>
                <w:noProof/>
                <w:sz w:val="18"/>
                <w:szCs w:val="18"/>
                <w:lang w:val="en-IE"/>
              </w:rPr>
              <w:t>Industry and other</w:t>
            </w:r>
          </w:p>
        </w:tc>
        <w:tc>
          <w:tcPr>
            <w:tcW w:w="902" w:type="dxa"/>
            <w:noWrap/>
            <w:vAlign w:val="center"/>
          </w:tcPr>
          <w:p w14:paraId="09A9F4A3" w14:textId="6A1DA3C4"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0</w:t>
            </w:r>
          </w:p>
        </w:tc>
        <w:tc>
          <w:tcPr>
            <w:tcW w:w="902" w:type="dxa"/>
            <w:noWrap/>
            <w:vAlign w:val="center"/>
          </w:tcPr>
          <w:p w14:paraId="581ABAB9" w14:textId="117399C3"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3</w:t>
            </w:r>
            <w:r w:rsidR="00FB5D12" w:rsidRPr="00786B4F">
              <w:rPr>
                <w:rFonts w:ascii="EC Square Sans Cond Pro" w:hAnsi="EC Square Sans Cond Pro" w:cs="Calibri"/>
                <w:noProof/>
                <w:sz w:val="18"/>
                <w:szCs w:val="18"/>
              </w:rPr>
              <w:t>.5</w:t>
            </w:r>
          </w:p>
        </w:tc>
        <w:tc>
          <w:tcPr>
            <w:tcW w:w="902" w:type="dxa"/>
            <w:noWrap/>
            <w:vAlign w:val="center"/>
          </w:tcPr>
          <w:p w14:paraId="147A3D2D" w14:textId="643C3BCC"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7.8</w:t>
            </w:r>
          </w:p>
        </w:tc>
        <w:tc>
          <w:tcPr>
            <w:tcW w:w="903" w:type="dxa"/>
            <w:vAlign w:val="center"/>
          </w:tcPr>
          <w:p w14:paraId="3089A564" w14:textId="1BF48AFA"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8.6</w:t>
            </w:r>
          </w:p>
        </w:tc>
        <w:tc>
          <w:tcPr>
            <w:tcW w:w="902" w:type="dxa"/>
            <w:vAlign w:val="center"/>
          </w:tcPr>
          <w:p w14:paraId="2B9AB017" w14:textId="646C6EE1"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8.6</w:t>
            </w:r>
          </w:p>
        </w:tc>
        <w:tc>
          <w:tcPr>
            <w:tcW w:w="902" w:type="dxa"/>
            <w:vAlign w:val="center"/>
          </w:tcPr>
          <w:p w14:paraId="68623620" w14:textId="5F4D6F05"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8.6</w:t>
            </w:r>
          </w:p>
        </w:tc>
        <w:tc>
          <w:tcPr>
            <w:tcW w:w="903" w:type="dxa"/>
            <w:vAlign w:val="center"/>
          </w:tcPr>
          <w:p w14:paraId="1AC34650" w14:textId="44C7EC7A"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11</w:t>
            </w:r>
          </w:p>
        </w:tc>
      </w:tr>
      <w:tr w:rsidR="00FB5D12" w:rsidRPr="00FB5D12" w14:paraId="210B21E1" w14:textId="77777777" w:rsidTr="004D364D">
        <w:trPr>
          <w:trHeight w:val="320"/>
        </w:trPr>
        <w:tc>
          <w:tcPr>
            <w:tcW w:w="2518" w:type="dxa"/>
            <w:noWrap/>
            <w:vAlign w:val="center"/>
          </w:tcPr>
          <w:p w14:paraId="09301828" w14:textId="77777777" w:rsidR="00FB5D12" w:rsidRPr="00FB5D12" w:rsidRDefault="00FB5D12" w:rsidP="00FB5D12">
            <w:pPr>
              <w:keepNext/>
              <w:spacing w:after="0"/>
              <w:jc w:val="left"/>
              <w:rPr>
                <w:rFonts w:ascii="EC Square Sans Cond Pro" w:hAnsi="EC Square Sans Cond Pro" w:cs="Avenir Next LT Pro"/>
                <w:noProof/>
                <w:sz w:val="18"/>
                <w:szCs w:val="18"/>
                <w:lang w:val="en-IE"/>
              </w:rPr>
            </w:pPr>
            <w:r w:rsidRPr="00FB5D12">
              <w:rPr>
                <w:rFonts w:ascii="EC Square Sans Cond Pro" w:hAnsi="EC Square Sans Cond Pro" w:cs="Avenir Next LT Pro"/>
                <w:noProof/>
                <w:sz w:val="18"/>
                <w:szCs w:val="18"/>
                <w:lang w:val="en-IE"/>
              </w:rPr>
              <w:t>Total</w:t>
            </w:r>
          </w:p>
        </w:tc>
        <w:tc>
          <w:tcPr>
            <w:tcW w:w="902" w:type="dxa"/>
            <w:noWrap/>
            <w:vAlign w:val="center"/>
          </w:tcPr>
          <w:p w14:paraId="151B6CA2" w14:textId="439F9130"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0</w:t>
            </w:r>
          </w:p>
        </w:tc>
        <w:tc>
          <w:tcPr>
            <w:tcW w:w="902" w:type="dxa"/>
            <w:noWrap/>
            <w:vAlign w:val="center"/>
          </w:tcPr>
          <w:p w14:paraId="58233BDF" w14:textId="7DAB2C3E"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25</w:t>
            </w:r>
          </w:p>
        </w:tc>
        <w:tc>
          <w:tcPr>
            <w:tcW w:w="902" w:type="dxa"/>
            <w:noWrap/>
            <w:vAlign w:val="center"/>
          </w:tcPr>
          <w:p w14:paraId="5ABCBC9E" w14:textId="1D8FBCCE"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33</w:t>
            </w:r>
          </w:p>
        </w:tc>
        <w:tc>
          <w:tcPr>
            <w:tcW w:w="903" w:type="dxa"/>
            <w:vAlign w:val="center"/>
          </w:tcPr>
          <w:p w14:paraId="159CD4BD" w14:textId="0D0DE8E5"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35</w:t>
            </w:r>
          </w:p>
        </w:tc>
        <w:tc>
          <w:tcPr>
            <w:tcW w:w="902" w:type="dxa"/>
            <w:vAlign w:val="center"/>
          </w:tcPr>
          <w:p w14:paraId="3C9A1A3F" w14:textId="155047E7"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36</w:t>
            </w:r>
          </w:p>
        </w:tc>
        <w:tc>
          <w:tcPr>
            <w:tcW w:w="902" w:type="dxa"/>
            <w:vAlign w:val="center"/>
          </w:tcPr>
          <w:p w14:paraId="7EEDB694" w14:textId="7DB91E59"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36</w:t>
            </w:r>
          </w:p>
        </w:tc>
        <w:tc>
          <w:tcPr>
            <w:tcW w:w="903" w:type="dxa"/>
            <w:vAlign w:val="center"/>
          </w:tcPr>
          <w:p w14:paraId="008247DA" w14:textId="1E7116E7"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41</w:t>
            </w:r>
          </w:p>
        </w:tc>
      </w:tr>
      <w:tr w:rsidR="00FB5D12" w:rsidRPr="00FB5D12" w14:paraId="4770130F" w14:textId="77777777" w:rsidTr="004D364D">
        <w:trPr>
          <w:trHeight w:val="300"/>
        </w:trPr>
        <w:tc>
          <w:tcPr>
            <w:tcW w:w="2518" w:type="dxa"/>
            <w:noWrap/>
          </w:tcPr>
          <w:p w14:paraId="431F8A9B" w14:textId="77777777" w:rsidR="00FB5D12" w:rsidRPr="00FB5D12" w:rsidRDefault="00FB5D12" w:rsidP="00FB5D12">
            <w:pPr>
              <w:keepNext/>
              <w:spacing w:after="0"/>
              <w:jc w:val="left"/>
              <w:rPr>
                <w:rFonts w:ascii="EC Square Sans Cond Pro" w:hAnsi="EC Square Sans Cond Pro" w:cs="Avenir Next LT Pro"/>
                <w:b/>
                <w:noProof/>
                <w:sz w:val="18"/>
                <w:szCs w:val="18"/>
                <w:lang w:val="en-IE"/>
              </w:rPr>
            </w:pPr>
            <w:r w:rsidRPr="00FB5D12">
              <w:rPr>
                <w:rFonts w:ascii="EC Square Sans Cond Pro" w:hAnsi="EC Square Sans Cond Pro" w:cs="Avenir Next LT Pro"/>
                <w:b/>
                <w:noProof/>
                <w:sz w:val="18"/>
                <w:szCs w:val="18"/>
                <w:lang w:val="en-IE"/>
              </w:rPr>
              <w:t>Share of maximum mitigation potential achieved in 2040 (%)</w:t>
            </w:r>
          </w:p>
        </w:tc>
        <w:tc>
          <w:tcPr>
            <w:tcW w:w="6316" w:type="dxa"/>
            <w:gridSpan w:val="7"/>
            <w:noWrap/>
            <w:vAlign w:val="center"/>
          </w:tcPr>
          <w:p w14:paraId="2C1547CB" w14:textId="77777777" w:rsidR="00FB5D12" w:rsidRPr="00FB5D12" w:rsidRDefault="00FB5D12" w:rsidP="00FB5D12">
            <w:pPr>
              <w:keepNext/>
              <w:spacing w:after="0"/>
              <w:jc w:val="center"/>
              <w:rPr>
                <w:rFonts w:ascii="EC Square Sans Cond Pro" w:hAnsi="EC Square Sans Cond Pro" w:cs="Avenir Next LT Pro"/>
                <w:noProof/>
                <w:sz w:val="18"/>
                <w:szCs w:val="18"/>
                <w:lang w:val="en-IE"/>
              </w:rPr>
            </w:pPr>
          </w:p>
        </w:tc>
      </w:tr>
      <w:tr w:rsidR="00FB5D12" w:rsidRPr="00FB5D12" w14:paraId="2283AD64" w14:textId="77777777" w:rsidTr="004D364D">
        <w:trPr>
          <w:trHeight w:val="300"/>
        </w:trPr>
        <w:tc>
          <w:tcPr>
            <w:tcW w:w="2518" w:type="dxa"/>
            <w:noWrap/>
            <w:vAlign w:val="center"/>
          </w:tcPr>
          <w:p w14:paraId="3197F7E6" w14:textId="4D770C45" w:rsidR="00FB5D12" w:rsidRPr="00FB5D12" w:rsidRDefault="00FB5D12" w:rsidP="00FB5D12">
            <w:pPr>
              <w:keepNext/>
              <w:spacing w:after="0"/>
              <w:jc w:val="left"/>
              <w:rPr>
                <w:rFonts w:ascii="EC Square Sans Cond Pro" w:hAnsi="EC Square Sans Cond Pro" w:cs="Avenir Next LT Pro"/>
                <w:noProof/>
                <w:sz w:val="18"/>
                <w:szCs w:val="18"/>
                <w:lang w:val="en-IE"/>
              </w:rPr>
            </w:pPr>
            <w:r w:rsidRPr="00FB5D12">
              <w:rPr>
                <w:rFonts w:ascii="EC Square Sans Cond Pro" w:hAnsi="EC Square Sans Cond Pro" w:cs="Avenir Next LT Pro"/>
                <w:noProof/>
                <w:sz w:val="18"/>
                <w:szCs w:val="18"/>
                <w:lang w:val="en-IE"/>
              </w:rPr>
              <w:t>Waste treatment**</w:t>
            </w:r>
            <w:r w:rsidR="005456CF">
              <w:rPr>
                <w:rFonts w:ascii="EC Square Sans Cond Pro" w:hAnsi="EC Square Sans Cond Pro" w:cs="Avenir Next LT Pro"/>
                <w:noProof/>
                <w:sz w:val="18"/>
                <w:szCs w:val="18"/>
                <w:lang w:val="en-IE"/>
              </w:rPr>
              <w:t>*</w:t>
            </w:r>
          </w:p>
        </w:tc>
        <w:tc>
          <w:tcPr>
            <w:tcW w:w="902" w:type="dxa"/>
            <w:noWrap/>
            <w:vAlign w:val="center"/>
          </w:tcPr>
          <w:p w14:paraId="2E0DF70A" w14:textId="658492A1"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0%</w:t>
            </w:r>
          </w:p>
        </w:tc>
        <w:tc>
          <w:tcPr>
            <w:tcW w:w="902" w:type="dxa"/>
            <w:noWrap/>
            <w:vAlign w:val="center"/>
          </w:tcPr>
          <w:p w14:paraId="68CB1538" w14:textId="77E697CA" w:rsidR="00FB5D12" w:rsidRPr="00FB5D12" w:rsidRDefault="00786B4F" w:rsidP="00FB5D12">
            <w:pPr>
              <w:keepNext/>
              <w:spacing w:after="0"/>
              <w:jc w:val="center"/>
              <w:rPr>
                <w:rFonts w:ascii="EC Square Sans Cond Pro" w:hAnsi="EC Square Sans Cond Pro" w:cs="Avenir Next LT Pro"/>
                <w:noProof/>
                <w:sz w:val="18"/>
                <w:szCs w:val="18"/>
              </w:rPr>
            </w:pPr>
            <w:r w:rsidRPr="00786B4F">
              <w:rPr>
                <w:rFonts w:ascii="EC Square Sans Cond Pro" w:hAnsi="EC Square Sans Cond Pro" w:cs="Calibri"/>
                <w:noProof/>
                <w:sz w:val="18"/>
                <w:szCs w:val="18"/>
              </w:rPr>
              <w:t>85</w:t>
            </w:r>
            <w:r w:rsidR="00FB5D12" w:rsidRPr="00786B4F">
              <w:rPr>
                <w:rFonts w:ascii="EC Square Sans Cond Pro" w:hAnsi="EC Square Sans Cond Pro" w:cs="Calibri"/>
                <w:noProof/>
                <w:sz w:val="18"/>
                <w:szCs w:val="18"/>
              </w:rPr>
              <w:t>%</w:t>
            </w:r>
          </w:p>
        </w:tc>
        <w:tc>
          <w:tcPr>
            <w:tcW w:w="902" w:type="dxa"/>
            <w:noWrap/>
            <w:vAlign w:val="center"/>
          </w:tcPr>
          <w:p w14:paraId="51F9F656" w14:textId="6CCF9835"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96</w:t>
            </w:r>
            <w:r w:rsidR="00FB5D12" w:rsidRPr="00786B4F">
              <w:rPr>
                <w:rFonts w:ascii="EC Square Sans Cond Pro" w:hAnsi="EC Square Sans Cond Pro" w:cs="Calibri"/>
                <w:noProof/>
                <w:sz w:val="18"/>
                <w:szCs w:val="18"/>
              </w:rPr>
              <w:t>%</w:t>
            </w:r>
          </w:p>
        </w:tc>
        <w:tc>
          <w:tcPr>
            <w:tcW w:w="903" w:type="dxa"/>
            <w:vAlign w:val="center"/>
          </w:tcPr>
          <w:p w14:paraId="7D6C17C8" w14:textId="25F2F3A2"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96</w:t>
            </w:r>
            <w:r w:rsidR="00FB5D12" w:rsidRPr="00786B4F">
              <w:rPr>
                <w:rFonts w:ascii="EC Square Sans Cond Pro" w:hAnsi="EC Square Sans Cond Pro" w:cs="Calibri"/>
                <w:noProof/>
                <w:sz w:val="18"/>
                <w:szCs w:val="18"/>
              </w:rPr>
              <w:t>%</w:t>
            </w:r>
          </w:p>
        </w:tc>
        <w:tc>
          <w:tcPr>
            <w:tcW w:w="902" w:type="dxa"/>
            <w:vAlign w:val="center"/>
          </w:tcPr>
          <w:p w14:paraId="36D94BFE" w14:textId="6C0DF6B3"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96</w:t>
            </w:r>
            <w:r w:rsidR="00FB5D12" w:rsidRPr="00786B4F">
              <w:rPr>
                <w:rFonts w:ascii="EC Square Sans Cond Pro" w:hAnsi="EC Square Sans Cond Pro" w:cs="Calibri"/>
                <w:noProof/>
                <w:sz w:val="18"/>
                <w:szCs w:val="18"/>
              </w:rPr>
              <w:t>%</w:t>
            </w:r>
          </w:p>
        </w:tc>
        <w:tc>
          <w:tcPr>
            <w:tcW w:w="902" w:type="dxa"/>
            <w:vAlign w:val="center"/>
          </w:tcPr>
          <w:p w14:paraId="49451E53" w14:textId="1139F8C5"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96</w:t>
            </w:r>
            <w:r w:rsidR="00FB5D12" w:rsidRPr="00786B4F">
              <w:rPr>
                <w:rFonts w:ascii="EC Square Sans Cond Pro" w:hAnsi="EC Square Sans Cond Pro" w:cs="Calibri"/>
                <w:noProof/>
                <w:sz w:val="18"/>
                <w:szCs w:val="18"/>
              </w:rPr>
              <w:t>%</w:t>
            </w:r>
          </w:p>
        </w:tc>
        <w:tc>
          <w:tcPr>
            <w:tcW w:w="903" w:type="dxa"/>
            <w:vAlign w:val="center"/>
          </w:tcPr>
          <w:p w14:paraId="7BA921D4" w14:textId="1A4E4F76"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100%</w:t>
            </w:r>
          </w:p>
        </w:tc>
      </w:tr>
      <w:tr w:rsidR="00FB5D12" w:rsidRPr="00FB5D12" w14:paraId="06818B78" w14:textId="77777777" w:rsidTr="004D364D">
        <w:trPr>
          <w:trHeight w:val="300"/>
        </w:trPr>
        <w:tc>
          <w:tcPr>
            <w:tcW w:w="2518" w:type="dxa"/>
            <w:noWrap/>
            <w:vAlign w:val="center"/>
          </w:tcPr>
          <w:p w14:paraId="309F940B" w14:textId="77777777" w:rsidR="00FB5D12" w:rsidRPr="00FB5D12" w:rsidRDefault="00FB5D12" w:rsidP="00FB5D12">
            <w:pPr>
              <w:keepNext/>
              <w:spacing w:after="0"/>
              <w:jc w:val="left"/>
              <w:rPr>
                <w:rFonts w:ascii="EC Square Sans Cond Pro" w:hAnsi="EC Square Sans Cond Pro" w:cs="Avenir Next LT Pro"/>
                <w:noProof/>
                <w:sz w:val="18"/>
                <w:szCs w:val="18"/>
                <w:lang w:val="en-IE"/>
              </w:rPr>
            </w:pPr>
            <w:r w:rsidRPr="00FB5D12">
              <w:rPr>
                <w:rFonts w:ascii="EC Square Sans Cond Pro" w:hAnsi="EC Square Sans Cond Pro" w:cs="Avenir Next LT Pro"/>
                <w:noProof/>
                <w:sz w:val="18"/>
                <w:szCs w:val="18"/>
                <w:lang w:val="en-IE"/>
              </w:rPr>
              <w:t xml:space="preserve">Energy and transport </w:t>
            </w:r>
          </w:p>
        </w:tc>
        <w:tc>
          <w:tcPr>
            <w:tcW w:w="902" w:type="dxa"/>
            <w:noWrap/>
            <w:vAlign w:val="center"/>
          </w:tcPr>
          <w:p w14:paraId="74FF451B" w14:textId="62A689CF"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0%</w:t>
            </w:r>
          </w:p>
        </w:tc>
        <w:tc>
          <w:tcPr>
            <w:tcW w:w="902" w:type="dxa"/>
            <w:noWrap/>
            <w:vAlign w:val="center"/>
          </w:tcPr>
          <w:p w14:paraId="000B1838" w14:textId="1E158D41" w:rsidR="00FB5D12" w:rsidRPr="00FB5D12" w:rsidRDefault="00786B4F" w:rsidP="00FB5D12">
            <w:pPr>
              <w:keepNext/>
              <w:spacing w:after="0"/>
              <w:jc w:val="center"/>
              <w:rPr>
                <w:rFonts w:ascii="EC Square Sans Cond Pro" w:hAnsi="EC Square Sans Cond Pro" w:cs="Avenir Next LT Pro"/>
                <w:noProof/>
                <w:sz w:val="18"/>
                <w:szCs w:val="18"/>
              </w:rPr>
            </w:pPr>
            <w:r w:rsidRPr="00786B4F">
              <w:rPr>
                <w:rFonts w:ascii="EC Square Sans Cond Pro" w:hAnsi="EC Square Sans Cond Pro" w:cs="Calibri"/>
                <w:noProof/>
                <w:sz w:val="18"/>
                <w:szCs w:val="18"/>
              </w:rPr>
              <w:t>65</w:t>
            </w:r>
            <w:r w:rsidR="00FB5D12" w:rsidRPr="00786B4F">
              <w:rPr>
                <w:rFonts w:ascii="EC Square Sans Cond Pro" w:hAnsi="EC Square Sans Cond Pro" w:cs="Calibri"/>
                <w:noProof/>
                <w:sz w:val="18"/>
                <w:szCs w:val="18"/>
              </w:rPr>
              <w:t>%</w:t>
            </w:r>
          </w:p>
        </w:tc>
        <w:tc>
          <w:tcPr>
            <w:tcW w:w="902" w:type="dxa"/>
            <w:noWrap/>
            <w:vAlign w:val="center"/>
          </w:tcPr>
          <w:p w14:paraId="44ACD61D" w14:textId="020D8584"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73</w:t>
            </w:r>
            <w:r w:rsidR="00FB5D12" w:rsidRPr="00786B4F">
              <w:rPr>
                <w:rFonts w:ascii="EC Square Sans Cond Pro" w:hAnsi="EC Square Sans Cond Pro" w:cs="Calibri"/>
                <w:noProof/>
                <w:sz w:val="18"/>
                <w:szCs w:val="18"/>
              </w:rPr>
              <w:t>%</w:t>
            </w:r>
          </w:p>
        </w:tc>
        <w:tc>
          <w:tcPr>
            <w:tcW w:w="903" w:type="dxa"/>
            <w:vAlign w:val="center"/>
          </w:tcPr>
          <w:p w14:paraId="359EF21A" w14:textId="1870C6DE"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82</w:t>
            </w:r>
            <w:r w:rsidR="00FB5D12" w:rsidRPr="00786B4F">
              <w:rPr>
                <w:rFonts w:ascii="EC Square Sans Cond Pro" w:hAnsi="EC Square Sans Cond Pro" w:cs="Calibri"/>
                <w:noProof/>
                <w:sz w:val="18"/>
                <w:szCs w:val="18"/>
              </w:rPr>
              <w:t>%</w:t>
            </w:r>
          </w:p>
        </w:tc>
        <w:tc>
          <w:tcPr>
            <w:tcW w:w="902" w:type="dxa"/>
            <w:vAlign w:val="center"/>
          </w:tcPr>
          <w:p w14:paraId="2DBA8F36" w14:textId="7987D438"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83</w:t>
            </w:r>
            <w:r w:rsidR="00FB5D12" w:rsidRPr="00786B4F">
              <w:rPr>
                <w:rFonts w:ascii="EC Square Sans Cond Pro" w:hAnsi="EC Square Sans Cond Pro" w:cs="Calibri"/>
                <w:noProof/>
                <w:sz w:val="18"/>
                <w:szCs w:val="18"/>
              </w:rPr>
              <w:t>%</w:t>
            </w:r>
          </w:p>
        </w:tc>
        <w:tc>
          <w:tcPr>
            <w:tcW w:w="902" w:type="dxa"/>
            <w:vAlign w:val="center"/>
          </w:tcPr>
          <w:p w14:paraId="6914D432" w14:textId="7A761C3B"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83</w:t>
            </w:r>
            <w:r w:rsidR="00FB5D12" w:rsidRPr="00786B4F">
              <w:rPr>
                <w:rFonts w:ascii="EC Square Sans Cond Pro" w:hAnsi="EC Square Sans Cond Pro" w:cs="Calibri"/>
                <w:noProof/>
                <w:sz w:val="18"/>
                <w:szCs w:val="18"/>
              </w:rPr>
              <w:t>%</w:t>
            </w:r>
          </w:p>
        </w:tc>
        <w:tc>
          <w:tcPr>
            <w:tcW w:w="903" w:type="dxa"/>
            <w:vAlign w:val="center"/>
          </w:tcPr>
          <w:p w14:paraId="5F1D6A3D" w14:textId="6D385807"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100%</w:t>
            </w:r>
          </w:p>
        </w:tc>
      </w:tr>
      <w:tr w:rsidR="00FB5D12" w:rsidRPr="00FB5D12" w14:paraId="5E329597" w14:textId="77777777" w:rsidTr="004D364D">
        <w:trPr>
          <w:trHeight w:val="300"/>
        </w:trPr>
        <w:tc>
          <w:tcPr>
            <w:tcW w:w="2518" w:type="dxa"/>
            <w:noWrap/>
            <w:vAlign w:val="center"/>
          </w:tcPr>
          <w:p w14:paraId="32D01DE3" w14:textId="77777777" w:rsidR="00FB5D12" w:rsidRPr="00FB5D12" w:rsidRDefault="00FB5D12" w:rsidP="00FB5D12">
            <w:pPr>
              <w:keepNext/>
              <w:spacing w:after="0"/>
              <w:jc w:val="left"/>
              <w:rPr>
                <w:rFonts w:ascii="EC Square Sans Cond Pro" w:hAnsi="EC Square Sans Cond Pro" w:cs="Avenir Next LT Pro"/>
                <w:noProof/>
                <w:sz w:val="18"/>
                <w:szCs w:val="18"/>
                <w:lang w:val="en-IE"/>
              </w:rPr>
            </w:pPr>
            <w:r w:rsidRPr="00FB5D12">
              <w:rPr>
                <w:rFonts w:ascii="EC Square Sans Cond Pro" w:hAnsi="EC Square Sans Cond Pro" w:cs="Avenir Next LT Pro"/>
                <w:noProof/>
                <w:sz w:val="18"/>
                <w:szCs w:val="18"/>
                <w:lang w:val="en-IE"/>
              </w:rPr>
              <w:t>Heating and cooling</w:t>
            </w:r>
          </w:p>
        </w:tc>
        <w:tc>
          <w:tcPr>
            <w:tcW w:w="902" w:type="dxa"/>
            <w:noWrap/>
            <w:vAlign w:val="center"/>
          </w:tcPr>
          <w:p w14:paraId="75175624" w14:textId="069D0C95"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0%</w:t>
            </w:r>
          </w:p>
        </w:tc>
        <w:tc>
          <w:tcPr>
            <w:tcW w:w="902" w:type="dxa"/>
            <w:noWrap/>
            <w:vAlign w:val="center"/>
          </w:tcPr>
          <w:p w14:paraId="1B50AAA0" w14:textId="43CC838E" w:rsidR="00FB5D12" w:rsidRPr="00FB5D12" w:rsidRDefault="00FB5D12" w:rsidP="00FB5D12">
            <w:pPr>
              <w:keepNext/>
              <w:spacing w:after="0"/>
              <w:jc w:val="center"/>
              <w:rPr>
                <w:rFonts w:ascii="EC Square Sans Cond Pro" w:hAnsi="EC Square Sans Cond Pro" w:cs="Avenir Next LT Pro"/>
                <w:noProof/>
                <w:sz w:val="18"/>
                <w:szCs w:val="18"/>
              </w:rPr>
            </w:pPr>
            <w:r w:rsidRPr="00786B4F">
              <w:rPr>
                <w:rFonts w:ascii="EC Square Sans Cond Pro" w:hAnsi="EC Square Sans Cond Pro" w:cs="Calibri"/>
                <w:noProof/>
                <w:sz w:val="18"/>
                <w:szCs w:val="18"/>
              </w:rPr>
              <w:t>33%</w:t>
            </w:r>
          </w:p>
        </w:tc>
        <w:tc>
          <w:tcPr>
            <w:tcW w:w="902" w:type="dxa"/>
            <w:noWrap/>
            <w:vAlign w:val="center"/>
          </w:tcPr>
          <w:p w14:paraId="00AE863C" w14:textId="7C0966E5"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57%</w:t>
            </w:r>
          </w:p>
        </w:tc>
        <w:tc>
          <w:tcPr>
            <w:tcW w:w="903" w:type="dxa"/>
            <w:vAlign w:val="center"/>
          </w:tcPr>
          <w:p w14:paraId="42605190" w14:textId="70E181EA"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62%</w:t>
            </w:r>
          </w:p>
        </w:tc>
        <w:tc>
          <w:tcPr>
            <w:tcW w:w="902" w:type="dxa"/>
            <w:vAlign w:val="center"/>
          </w:tcPr>
          <w:p w14:paraId="0425C9C6" w14:textId="76FB265D"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94%</w:t>
            </w:r>
          </w:p>
        </w:tc>
        <w:tc>
          <w:tcPr>
            <w:tcW w:w="902" w:type="dxa"/>
            <w:vAlign w:val="center"/>
          </w:tcPr>
          <w:p w14:paraId="38BA624F" w14:textId="21E5998E"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94%</w:t>
            </w:r>
          </w:p>
        </w:tc>
        <w:tc>
          <w:tcPr>
            <w:tcW w:w="903" w:type="dxa"/>
            <w:vAlign w:val="center"/>
          </w:tcPr>
          <w:p w14:paraId="615A3F13" w14:textId="4B9AFCAD"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100%</w:t>
            </w:r>
          </w:p>
        </w:tc>
      </w:tr>
      <w:tr w:rsidR="00FB5D12" w:rsidRPr="00FB5D12" w14:paraId="004D80DF" w14:textId="77777777" w:rsidTr="004D364D">
        <w:trPr>
          <w:trHeight w:val="300"/>
        </w:trPr>
        <w:tc>
          <w:tcPr>
            <w:tcW w:w="2518" w:type="dxa"/>
            <w:noWrap/>
            <w:vAlign w:val="center"/>
          </w:tcPr>
          <w:p w14:paraId="55A1ABF4" w14:textId="77777777" w:rsidR="00FB5D12" w:rsidRPr="00FB5D12" w:rsidRDefault="00FB5D12" w:rsidP="00FB5D12">
            <w:pPr>
              <w:keepNext/>
              <w:spacing w:after="0"/>
              <w:jc w:val="left"/>
              <w:rPr>
                <w:rFonts w:ascii="EC Square Sans Cond Pro" w:hAnsi="EC Square Sans Cond Pro" w:cs="Avenir Next LT Pro"/>
                <w:noProof/>
                <w:sz w:val="18"/>
                <w:szCs w:val="18"/>
                <w:lang w:val="en-IE"/>
              </w:rPr>
            </w:pPr>
            <w:r w:rsidRPr="00FB5D12">
              <w:rPr>
                <w:rFonts w:ascii="EC Square Sans Cond Pro" w:hAnsi="EC Square Sans Cond Pro" w:cs="Avenir Next LT Pro"/>
                <w:noProof/>
                <w:sz w:val="18"/>
                <w:szCs w:val="18"/>
                <w:lang w:val="en-IE"/>
              </w:rPr>
              <w:t>Industry and other</w:t>
            </w:r>
          </w:p>
        </w:tc>
        <w:tc>
          <w:tcPr>
            <w:tcW w:w="902" w:type="dxa"/>
            <w:noWrap/>
            <w:vAlign w:val="center"/>
          </w:tcPr>
          <w:p w14:paraId="364E9146" w14:textId="08D84D6B"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0%</w:t>
            </w:r>
          </w:p>
        </w:tc>
        <w:tc>
          <w:tcPr>
            <w:tcW w:w="902" w:type="dxa"/>
            <w:noWrap/>
            <w:vAlign w:val="center"/>
          </w:tcPr>
          <w:p w14:paraId="7F27F7E7" w14:textId="4ED500DB" w:rsidR="00FB5D12" w:rsidRPr="00FB5D12" w:rsidRDefault="00786B4F" w:rsidP="00FB5D12">
            <w:pPr>
              <w:keepNext/>
              <w:spacing w:after="0"/>
              <w:jc w:val="center"/>
              <w:rPr>
                <w:rFonts w:ascii="EC Square Sans Cond Pro" w:hAnsi="EC Square Sans Cond Pro" w:cs="Avenir Next LT Pro"/>
                <w:noProof/>
                <w:sz w:val="18"/>
                <w:szCs w:val="18"/>
              </w:rPr>
            </w:pPr>
            <w:r w:rsidRPr="00786B4F">
              <w:rPr>
                <w:rFonts w:ascii="EC Square Sans Cond Pro" w:hAnsi="EC Square Sans Cond Pro" w:cs="Calibri"/>
                <w:noProof/>
                <w:sz w:val="18"/>
                <w:szCs w:val="18"/>
              </w:rPr>
              <w:t>32</w:t>
            </w:r>
            <w:r w:rsidR="00FB5D12" w:rsidRPr="00786B4F">
              <w:rPr>
                <w:rFonts w:ascii="EC Square Sans Cond Pro" w:hAnsi="EC Square Sans Cond Pro" w:cs="Calibri"/>
                <w:noProof/>
                <w:sz w:val="18"/>
                <w:szCs w:val="18"/>
              </w:rPr>
              <w:t>%</w:t>
            </w:r>
          </w:p>
        </w:tc>
        <w:tc>
          <w:tcPr>
            <w:tcW w:w="902" w:type="dxa"/>
            <w:noWrap/>
            <w:vAlign w:val="center"/>
          </w:tcPr>
          <w:p w14:paraId="3B5E5214" w14:textId="6999EAFB"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72</w:t>
            </w:r>
            <w:r w:rsidR="00FB5D12" w:rsidRPr="00786B4F">
              <w:rPr>
                <w:rFonts w:ascii="EC Square Sans Cond Pro" w:hAnsi="EC Square Sans Cond Pro" w:cs="Calibri"/>
                <w:noProof/>
                <w:sz w:val="18"/>
                <w:szCs w:val="18"/>
              </w:rPr>
              <w:t>%</w:t>
            </w:r>
          </w:p>
        </w:tc>
        <w:tc>
          <w:tcPr>
            <w:tcW w:w="903" w:type="dxa"/>
            <w:vAlign w:val="center"/>
          </w:tcPr>
          <w:p w14:paraId="2C7F982B" w14:textId="1FEBFBB6"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79</w:t>
            </w:r>
            <w:r w:rsidR="00FB5D12" w:rsidRPr="00786B4F">
              <w:rPr>
                <w:rFonts w:ascii="EC Square Sans Cond Pro" w:hAnsi="EC Square Sans Cond Pro" w:cs="Calibri"/>
                <w:noProof/>
                <w:sz w:val="18"/>
                <w:szCs w:val="18"/>
              </w:rPr>
              <w:t>%</w:t>
            </w:r>
          </w:p>
        </w:tc>
        <w:tc>
          <w:tcPr>
            <w:tcW w:w="902" w:type="dxa"/>
            <w:vAlign w:val="center"/>
          </w:tcPr>
          <w:p w14:paraId="35FD675D" w14:textId="762D55C4"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79</w:t>
            </w:r>
            <w:r w:rsidR="00FB5D12" w:rsidRPr="00786B4F">
              <w:rPr>
                <w:rFonts w:ascii="EC Square Sans Cond Pro" w:hAnsi="EC Square Sans Cond Pro" w:cs="Calibri"/>
                <w:noProof/>
                <w:sz w:val="18"/>
                <w:szCs w:val="18"/>
              </w:rPr>
              <w:t>%</w:t>
            </w:r>
          </w:p>
        </w:tc>
        <w:tc>
          <w:tcPr>
            <w:tcW w:w="902" w:type="dxa"/>
            <w:vAlign w:val="center"/>
          </w:tcPr>
          <w:p w14:paraId="55732809" w14:textId="6E83B814"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79</w:t>
            </w:r>
            <w:r w:rsidR="00FB5D12" w:rsidRPr="00786B4F">
              <w:rPr>
                <w:rFonts w:ascii="EC Square Sans Cond Pro" w:hAnsi="EC Square Sans Cond Pro" w:cs="Calibri"/>
                <w:noProof/>
                <w:sz w:val="18"/>
                <w:szCs w:val="18"/>
              </w:rPr>
              <w:t>%</w:t>
            </w:r>
          </w:p>
        </w:tc>
        <w:tc>
          <w:tcPr>
            <w:tcW w:w="903" w:type="dxa"/>
            <w:vAlign w:val="center"/>
          </w:tcPr>
          <w:p w14:paraId="3DD3C586" w14:textId="1B960DB8"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100%</w:t>
            </w:r>
          </w:p>
        </w:tc>
      </w:tr>
      <w:tr w:rsidR="00FB5D12" w:rsidRPr="00FB5D12" w14:paraId="6EC8E632" w14:textId="77777777" w:rsidTr="004D364D">
        <w:trPr>
          <w:trHeight w:val="300"/>
        </w:trPr>
        <w:tc>
          <w:tcPr>
            <w:tcW w:w="2518" w:type="dxa"/>
            <w:noWrap/>
            <w:vAlign w:val="center"/>
          </w:tcPr>
          <w:p w14:paraId="3855A0A9" w14:textId="77777777" w:rsidR="00FB5D12" w:rsidRPr="00FB5D12" w:rsidRDefault="00FB5D12" w:rsidP="00FB5D12">
            <w:pPr>
              <w:keepNext/>
              <w:spacing w:after="0"/>
              <w:jc w:val="left"/>
              <w:rPr>
                <w:rFonts w:ascii="EC Square Sans Cond Pro" w:hAnsi="EC Square Sans Cond Pro" w:cs="Avenir Next LT Pro"/>
                <w:noProof/>
                <w:sz w:val="18"/>
                <w:szCs w:val="18"/>
                <w:lang w:val="en-IE"/>
              </w:rPr>
            </w:pPr>
            <w:r w:rsidRPr="00FB5D12">
              <w:rPr>
                <w:rFonts w:ascii="EC Square Sans Cond Pro" w:hAnsi="EC Square Sans Cond Pro" w:cs="Avenir Next LT Pro"/>
                <w:noProof/>
                <w:sz w:val="18"/>
                <w:szCs w:val="18"/>
                <w:lang w:val="en-IE"/>
              </w:rPr>
              <w:t>Total</w:t>
            </w:r>
          </w:p>
        </w:tc>
        <w:tc>
          <w:tcPr>
            <w:tcW w:w="902" w:type="dxa"/>
            <w:noWrap/>
            <w:vAlign w:val="center"/>
          </w:tcPr>
          <w:p w14:paraId="48014F55" w14:textId="1AE02C6A"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FB5D12">
              <w:rPr>
                <w:rFonts w:ascii="EC Square Sans Cond Pro" w:hAnsi="EC Square Sans Cond Pro" w:cs="Calibri"/>
                <w:noProof/>
                <w:sz w:val="18"/>
                <w:szCs w:val="18"/>
              </w:rPr>
              <w:t>0%</w:t>
            </w:r>
          </w:p>
        </w:tc>
        <w:tc>
          <w:tcPr>
            <w:tcW w:w="902" w:type="dxa"/>
            <w:noWrap/>
            <w:vAlign w:val="center"/>
          </w:tcPr>
          <w:p w14:paraId="754D533B" w14:textId="239586AD" w:rsidR="00FB5D12" w:rsidRPr="00FB5D12" w:rsidRDefault="00786B4F" w:rsidP="00FB5D12">
            <w:pPr>
              <w:keepNext/>
              <w:spacing w:after="0"/>
              <w:jc w:val="center"/>
              <w:rPr>
                <w:rFonts w:ascii="EC Square Sans Cond Pro" w:hAnsi="EC Square Sans Cond Pro" w:cs="Avenir Next LT Pro"/>
                <w:noProof/>
                <w:sz w:val="18"/>
                <w:szCs w:val="18"/>
              </w:rPr>
            </w:pPr>
            <w:r w:rsidRPr="00786B4F">
              <w:rPr>
                <w:rFonts w:ascii="EC Square Sans Cond Pro" w:hAnsi="EC Square Sans Cond Pro" w:cs="Calibri"/>
                <w:noProof/>
                <w:sz w:val="18"/>
                <w:szCs w:val="18"/>
              </w:rPr>
              <w:t>61</w:t>
            </w:r>
            <w:r w:rsidR="00FB5D12" w:rsidRPr="00786B4F">
              <w:rPr>
                <w:rFonts w:ascii="EC Square Sans Cond Pro" w:hAnsi="EC Square Sans Cond Pro" w:cs="Calibri"/>
                <w:noProof/>
                <w:sz w:val="18"/>
                <w:szCs w:val="18"/>
              </w:rPr>
              <w:t>%</w:t>
            </w:r>
          </w:p>
        </w:tc>
        <w:tc>
          <w:tcPr>
            <w:tcW w:w="902" w:type="dxa"/>
            <w:noWrap/>
            <w:vAlign w:val="center"/>
          </w:tcPr>
          <w:p w14:paraId="327EF918" w14:textId="02D3B0B7" w:rsidR="00FB5D12" w:rsidRPr="00FB5D12" w:rsidRDefault="00786B4F" w:rsidP="00FB5D12">
            <w:pPr>
              <w:keepNext/>
              <w:spacing w:after="0"/>
              <w:jc w:val="center"/>
              <w:rPr>
                <w:rFonts w:ascii="EC Square Sans Cond Pro" w:hAnsi="EC Square Sans Cond Pro" w:cs="Avenir Next LT Pro"/>
                <w:noProof/>
                <w:sz w:val="18"/>
                <w:szCs w:val="18"/>
                <w:lang w:val="en-IE"/>
              </w:rPr>
            </w:pPr>
            <w:r w:rsidRPr="00786B4F">
              <w:rPr>
                <w:rFonts w:ascii="EC Square Sans Cond Pro" w:hAnsi="EC Square Sans Cond Pro" w:cs="Calibri"/>
                <w:noProof/>
                <w:sz w:val="18"/>
                <w:szCs w:val="18"/>
              </w:rPr>
              <w:t>80</w:t>
            </w:r>
            <w:r w:rsidR="00FB5D12" w:rsidRPr="00FB5D12">
              <w:rPr>
                <w:rFonts w:ascii="EC Square Sans Cond Pro" w:hAnsi="EC Square Sans Cond Pro" w:cs="Calibri"/>
                <w:noProof/>
                <w:sz w:val="18"/>
                <w:szCs w:val="18"/>
              </w:rPr>
              <w:t>%</w:t>
            </w:r>
          </w:p>
        </w:tc>
        <w:tc>
          <w:tcPr>
            <w:tcW w:w="903" w:type="dxa"/>
            <w:vAlign w:val="center"/>
          </w:tcPr>
          <w:p w14:paraId="4C26CE88" w14:textId="3EF9D660"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FB5D12">
              <w:rPr>
                <w:rFonts w:ascii="EC Square Sans Cond Pro" w:hAnsi="EC Square Sans Cond Pro" w:cs="Calibri"/>
                <w:noProof/>
                <w:sz w:val="18"/>
                <w:szCs w:val="18"/>
              </w:rPr>
              <w:t>85%</w:t>
            </w:r>
          </w:p>
        </w:tc>
        <w:tc>
          <w:tcPr>
            <w:tcW w:w="902" w:type="dxa"/>
            <w:vAlign w:val="center"/>
          </w:tcPr>
          <w:p w14:paraId="07CE15D2" w14:textId="0F2A4400"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FB5D12">
              <w:rPr>
                <w:rFonts w:ascii="EC Square Sans Cond Pro" w:hAnsi="EC Square Sans Cond Pro" w:cs="Calibri"/>
                <w:noProof/>
                <w:sz w:val="18"/>
                <w:szCs w:val="18"/>
              </w:rPr>
              <w:t>87%</w:t>
            </w:r>
          </w:p>
        </w:tc>
        <w:tc>
          <w:tcPr>
            <w:tcW w:w="902" w:type="dxa"/>
            <w:vAlign w:val="center"/>
          </w:tcPr>
          <w:p w14:paraId="0827C7AC" w14:textId="29108C3C"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FB5D12">
              <w:rPr>
                <w:rFonts w:ascii="EC Square Sans Cond Pro" w:hAnsi="EC Square Sans Cond Pro" w:cs="Calibri"/>
                <w:noProof/>
                <w:sz w:val="18"/>
                <w:szCs w:val="18"/>
              </w:rPr>
              <w:t>87%</w:t>
            </w:r>
          </w:p>
        </w:tc>
        <w:tc>
          <w:tcPr>
            <w:tcW w:w="903" w:type="dxa"/>
            <w:vAlign w:val="center"/>
          </w:tcPr>
          <w:p w14:paraId="7923D5AA" w14:textId="195E05A1" w:rsidR="00FB5D12" w:rsidRPr="00FB5D12" w:rsidRDefault="00FB5D12" w:rsidP="00FB5D12">
            <w:pPr>
              <w:keepNext/>
              <w:spacing w:after="0"/>
              <w:jc w:val="center"/>
              <w:rPr>
                <w:rFonts w:ascii="EC Square Sans Cond Pro" w:hAnsi="EC Square Sans Cond Pro" w:cs="Avenir Next LT Pro"/>
                <w:noProof/>
                <w:sz w:val="18"/>
                <w:szCs w:val="18"/>
                <w:lang w:val="en-IE"/>
              </w:rPr>
            </w:pPr>
            <w:r w:rsidRPr="00FB5D12">
              <w:rPr>
                <w:rFonts w:ascii="EC Square Sans Cond Pro" w:hAnsi="EC Square Sans Cond Pro" w:cs="Calibri"/>
                <w:noProof/>
                <w:sz w:val="18"/>
                <w:szCs w:val="18"/>
              </w:rPr>
              <w:t>100%</w:t>
            </w:r>
          </w:p>
        </w:tc>
      </w:tr>
    </w:tbl>
    <w:p w14:paraId="42ACFE78" w14:textId="593DC25E" w:rsidR="00FB5D12" w:rsidRPr="00FB5D12" w:rsidRDefault="00FB5D12" w:rsidP="00F16805">
      <w:pPr>
        <w:pStyle w:val="CT-NOTE"/>
        <w:rPr>
          <w:noProof/>
        </w:rPr>
      </w:pPr>
    </w:p>
    <w:p w14:paraId="3D4ACA75" w14:textId="549D1711" w:rsidR="00FB5D12" w:rsidRPr="006101E5" w:rsidRDefault="00FB5D12" w:rsidP="00F16805">
      <w:pPr>
        <w:pStyle w:val="CT-NOTE"/>
        <w:rPr>
          <w:noProof/>
        </w:rPr>
      </w:pPr>
      <w:r>
        <w:rPr>
          <w:noProof/>
        </w:rPr>
        <w:t>Note</w:t>
      </w:r>
      <w:r w:rsidR="00F16805">
        <w:rPr>
          <w:noProof/>
        </w:rPr>
        <w:t>:</w:t>
      </w:r>
      <w:r>
        <w:rPr>
          <w:noProof/>
        </w:rPr>
        <w:t xml:space="preserve"> *In this table, the non-CO2 GHG emissions at zero marginal abatement cost correspond to the emissions</w:t>
      </w:r>
      <w:r w:rsidR="00443C60" w:rsidRPr="00443C60">
        <w:rPr>
          <w:noProof/>
        </w:rPr>
        <w:t xml:space="preserve"> without additional mitigation</w:t>
      </w:r>
      <w:r>
        <w:rPr>
          <w:noProof/>
        </w:rPr>
        <w:t xml:space="preserve"> in 2040. </w:t>
      </w:r>
      <w:r w:rsidR="005456CF" w:rsidRPr="005456CF">
        <w:rPr>
          <w:noProof/>
        </w:rPr>
        <w:t xml:space="preserve">**Marginal abatement costs are </w:t>
      </w:r>
      <w:r w:rsidR="005456CF" w:rsidRPr="006101E5">
        <w:rPr>
          <w:noProof/>
        </w:rPr>
        <w:t>expressed in constant EUR 2015. *</w:t>
      </w:r>
      <w:r w:rsidRPr="006101E5">
        <w:rPr>
          <w:noProof/>
        </w:rPr>
        <w:t>**The waste treatment sector includes solid waste and wastewater treatment.</w:t>
      </w:r>
    </w:p>
    <w:p w14:paraId="5D8D33D8" w14:textId="68275D97" w:rsidR="00CD247C" w:rsidRPr="006101E5" w:rsidRDefault="00143A51" w:rsidP="00923B34">
      <w:pPr>
        <w:pStyle w:val="CT-SOURCE"/>
        <w:rPr>
          <w:noProof/>
        </w:rPr>
      </w:pPr>
      <w:r w:rsidRPr="006101E5">
        <w:rPr>
          <w:noProof/>
        </w:rPr>
        <w:t>Source: GAINS</w:t>
      </w:r>
      <w:r w:rsidR="00FB5D12" w:rsidRPr="006101E5">
        <w:rPr>
          <w:noProof/>
        </w:rPr>
        <w:t>.</w:t>
      </w:r>
    </w:p>
    <w:p w14:paraId="790E5602" w14:textId="244F2369" w:rsidR="00641F79" w:rsidRPr="006101E5" w:rsidRDefault="00287E6C" w:rsidP="00641F79">
      <w:pPr>
        <w:pStyle w:val="Heading3"/>
        <w:rPr>
          <w:noProof/>
        </w:rPr>
      </w:pPr>
      <w:bookmarkStart w:id="404" w:name="_Toc148605613"/>
      <w:bookmarkStart w:id="405" w:name="_Toc157692059"/>
      <w:r w:rsidRPr="006101E5">
        <w:rPr>
          <w:noProof/>
        </w:rPr>
        <w:t>E</w:t>
      </w:r>
      <w:r w:rsidR="00641F79" w:rsidRPr="006101E5">
        <w:rPr>
          <w:noProof/>
        </w:rPr>
        <w:t xml:space="preserve">missions </w:t>
      </w:r>
      <w:r w:rsidR="000764DF" w:rsidRPr="006101E5">
        <w:rPr>
          <w:noProof/>
        </w:rPr>
        <w:t>projections</w:t>
      </w:r>
      <w:bookmarkEnd w:id="404"/>
      <w:bookmarkEnd w:id="405"/>
    </w:p>
    <w:p w14:paraId="21BC3B77" w14:textId="6D2C3E8C" w:rsidR="00F16805" w:rsidRPr="006101E5" w:rsidRDefault="0096551F" w:rsidP="000764DF">
      <w:pPr>
        <w:rPr>
          <w:noProof/>
        </w:rPr>
      </w:pPr>
      <w:r w:rsidRPr="006101E5">
        <w:rPr>
          <w:noProof/>
        </w:rPr>
        <w:t xml:space="preserve">As described in the previous section, </w:t>
      </w:r>
      <w:r w:rsidR="000764DF" w:rsidRPr="006101E5">
        <w:rPr>
          <w:noProof/>
        </w:rPr>
        <w:t xml:space="preserve">the non-land-related sectors </w:t>
      </w:r>
      <w:r w:rsidR="005974D5" w:rsidRPr="006101E5">
        <w:rPr>
          <w:noProof/>
        </w:rPr>
        <w:t>show</w:t>
      </w:r>
      <w:r w:rsidR="00385B72" w:rsidRPr="006101E5">
        <w:rPr>
          <w:noProof/>
        </w:rPr>
        <w:t xml:space="preserve"> </w:t>
      </w:r>
      <w:r w:rsidR="005974D5" w:rsidRPr="006101E5">
        <w:rPr>
          <w:noProof/>
        </w:rPr>
        <w:t>relatively</w:t>
      </w:r>
      <w:r w:rsidR="00385B72" w:rsidRPr="006101E5">
        <w:rPr>
          <w:noProof/>
        </w:rPr>
        <w:t xml:space="preserve"> low</w:t>
      </w:r>
      <w:r w:rsidR="005974D5" w:rsidRPr="006101E5">
        <w:rPr>
          <w:noProof/>
        </w:rPr>
        <w:t>-</w:t>
      </w:r>
      <w:r w:rsidR="00385B72" w:rsidRPr="006101E5">
        <w:rPr>
          <w:noProof/>
        </w:rPr>
        <w:t>cost mitigation potentials, which translates into very close emission profiles across all scenarios</w:t>
      </w:r>
      <w:r w:rsidR="007E597D">
        <w:rPr>
          <w:noProof/>
        </w:rPr>
        <w:t xml:space="preserve"> except S1</w:t>
      </w:r>
      <w:r w:rsidRPr="006101E5">
        <w:rPr>
          <w:noProof/>
        </w:rPr>
        <w:t xml:space="preserve"> (see </w:t>
      </w:r>
      <w:r w:rsidRPr="006101E5">
        <w:rPr>
          <w:noProof/>
        </w:rPr>
        <w:fldChar w:fldCharType="begin"/>
      </w:r>
      <w:r w:rsidRPr="006101E5">
        <w:rPr>
          <w:noProof/>
        </w:rPr>
        <w:instrText xml:space="preserve"> REF _Ref144212834 \h  \* MERGEFORMAT </w:instrText>
      </w:r>
      <w:r w:rsidRPr="006101E5">
        <w:rPr>
          <w:noProof/>
        </w:rPr>
      </w:r>
      <w:r w:rsidRPr="006101E5">
        <w:rPr>
          <w:noProof/>
        </w:rPr>
        <w:fldChar w:fldCharType="separate"/>
      </w:r>
      <w:r w:rsidR="00170A3C" w:rsidRPr="006101E5">
        <w:rPr>
          <w:noProof/>
        </w:rPr>
        <w:t xml:space="preserve">Table </w:t>
      </w:r>
      <w:r w:rsidR="00170A3C">
        <w:rPr>
          <w:noProof/>
        </w:rPr>
        <w:t>13</w:t>
      </w:r>
      <w:r w:rsidRPr="006101E5">
        <w:rPr>
          <w:noProof/>
        </w:rPr>
        <w:fldChar w:fldCharType="end"/>
      </w:r>
      <w:r w:rsidRPr="006101E5">
        <w:rPr>
          <w:noProof/>
        </w:rPr>
        <w:t>)</w:t>
      </w:r>
      <w:r w:rsidR="00385B72" w:rsidRPr="006101E5">
        <w:rPr>
          <w:noProof/>
        </w:rPr>
        <w:t xml:space="preserve">. </w:t>
      </w:r>
      <w:r w:rsidR="00992E0D">
        <w:rPr>
          <w:noProof/>
        </w:rPr>
        <w:t xml:space="preserve">The S1 scenario assumes a carbon value equal to zero up to 2040. Therefore, in this scenario, the non-CO2 GHG emissions trajectory is the emissions trajectory without additional mitigation </w:t>
      </w:r>
      <w:r w:rsidR="002E6442">
        <w:rPr>
          <w:noProof/>
        </w:rPr>
        <w:t>(see</w:t>
      </w:r>
      <w:r w:rsidR="00992E0D">
        <w:rPr>
          <w:noProof/>
        </w:rPr>
        <w:t xml:space="preserve"> Section </w:t>
      </w:r>
      <w:r w:rsidR="00BF5A0A">
        <w:rPr>
          <w:noProof/>
        </w:rPr>
        <w:fldChar w:fldCharType="begin"/>
      </w:r>
      <w:r w:rsidR="00BF5A0A">
        <w:rPr>
          <w:noProof/>
        </w:rPr>
        <w:instrText xml:space="preserve"> REF _Ref142041052 \r \h </w:instrText>
      </w:r>
      <w:r w:rsidR="00BF5A0A">
        <w:rPr>
          <w:noProof/>
        </w:rPr>
      </w:r>
      <w:r w:rsidR="00BF5A0A">
        <w:rPr>
          <w:noProof/>
        </w:rPr>
        <w:fldChar w:fldCharType="separate"/>
      </w:r>
      <w:r w:rsidR="00170A3C">
        <w:rPr>
          <w:noProof/>
        </w:rPr>
        <w:t>1.6.1</w:t>
      </w:r>
      <w:r w:rsidR="00BF5A0A">
        <w:rPr>
          <w:noProof/>
        </w:rPr>
        <w:fldChar w:fldCharType="end"/>
      </w:r>
      <w:r w:rsidR="00992E0D">
        <w:rPr>
          <w:noProof/>
        </w:rPr>
        <w:t>)</w:t>
      </w:r>
      <w:r w:rsidR="002E6442">
        <w:rPr>
          <w:noProof/>
        </w:rPr>
        <w:t xml:space="preserve"> until 2040</w:t>
      </w:r>
      <w:r w:rsidR="00992E0D">
        <w:rPr>
          <w:noProof/>
        </w:rPr>
        <w:t>.</w:t>
      </w:r>
      <w:r w:rsidR="002E6442">
        <w:rPr>
          <w:noProof/>
        </w:rPr>
        <w:t xml:space="preserve"> The level of non-CO2 GHG emissions in 2050 is the same across al</w:t>
      </w:r>
      <w:r w:rsidR="008C3D7D">
        <w:rPr>
          <w:noProof/>
        </w:rPr>
        <w:t>l</w:t>
      </w:r>
      <w:r w:rsidR="002E6442">
        <w:rPr>
          <w:noProof/>
        </w:rPr>
        <w:t xml:space="preserve"> scenarios (since the carbon value assumed is also the same). </w:t>
      </w:r>
      <w:r w:rsidR="00992E0D">
        <w:rPr>
          <w:noProof/>
        </w:rPr>
        <w:t xml:space="preserve">  </w:t>
      </w:r>
    </w:p>
    <w:p w14:paraId="2B20DE75" w14:textId="001F0BE8" w:rsidR="000764DF" w:rsidRPr="006101E5" w:rsidRDefault="00385B72" w:rsidP="000764DF">
      <w:pPr>
        <w:rPr>
          <w:noProof/>
        </w:rPr>
      </w:pPr>
      <w:r w:rsidRPr="006101E5">
        <w:rPr>
          <w:noProof/>
        </w:rPr>
        <w:t xml:space="preserve">The non-CO2 GHG emissions from the </w:t>
      </w:r>
      <w:r w:rsidRPr="006101E5">
        <w:rPr>
          <w:b/>
          <w:bCs/>
          <w:noProof/>
        </w:rPr>
        <w:t xml:space="preserve">waste management </w:t>
      </w:r>
      <w:r w:rsidRPr="006101E5">
        <w:rPr>
          <w:noProof/>
        </w:rPr>
        <w:t xml:space="preserve">sector </w:t>
      </w:r>
      <w:r w:rsidR="008C3D7D">
        <w:rPr>
          <w:noProof/>
        </w:rPr>
        <w:t xml:space="preserve">in 2040 </w:t>
      </w:r>
      <w:r w:rsidRPr="006101E5">
        <w:rPr>
          <w:noProof/>
        </w:rPr>
        <w:t xml:space="preserve">are projected to be </w:t>
      </w:r>
      <w:r w:rsidR="00F859C4">
        <w:rPr>
          <w:noProof/>
        </w:rPr>
        <w:t xml:space="preserve">42% </w:t>
      </w:r>
      <w:r w:rsidRPr="006101E5">
        <w:rPr>
          <w:noProof/>
        </w:rPr>
        <w:t>lower than in 20</w:t>
      </w:r>
      <w:r w:rsidR="008C0E7C" w:rsidRPr="006101E5">
        <w:rPr>
          <w:noProof/>
        </w:rPr>
        <w:t>1</w:t>
      </w:r>
      <w:r w:rsidRPr="006101E5">
        <w:rPr>
          <w:noProof/>
        </w:rPr>
        <w:t xml:space="preserve">5 </w:t>
      </w:r>
      <w:r w:rsidR="008C3D7D">
        <w:rPr>
          <w:noProof/>
        </w:rPr>
        <w:t>in S1, and 54% lower in the other scenarios. In 2050, emissions from the waste management sector are 73% lower than in 2015 in all scenarios</w:t>
      </w:r>
      <w:r w:rsidRPr="006101E5">
        <w:rPr>
          <w:noProof/>
        </w:rPr>
        <w:t>.</w:t>
      </w:r>
      <w:r w:rsidR="000764DF" w:rsidRPr="006101E5">
        <w:rPr>
          <w:noProof/>
        </w:rPr>
        <w:t xml:space="preserve"> In </w:t>
      </w:r>
      <w:r w:rsidR="005E0BD0">
        <w:rPr>
          <w:noProof/>
        </w:rPr>
        <w:t>2040, in S2, S3 and LIFE</w:t>
      </w:r>
      <w:r w:rsidR="000764DF" w:rsidRPr="006101E5">
        <w:rPr>
          <w:noProof/>
        </w:rPr>
        <w:t xml:space="preserve">, </w:t>
      </w:r>
      <w:r w:rsidR="005E0BD0">
        <w:rPr>
          <w:noProof/>
        </w:rPr>
        <w:t>the additional</w:t>
      </w:r>
      <w:r w:rsidR="000764DF" w:rsidRPr="006101E5">
        <w:rPr>
          <w:noProof/>
        </w:rPr>
        <w:t xml:space="preserve"> mitigation is achieved mainly through the implementation of: a) source separation and anaerobic digestion with biogas recovery to treat solid waste; and b) 2-stage treatment (anaerobic with biogas recovery and then aerobic) combined with process optimisation to treat wastewater. In 2050, energy recovery technologies are used in addition to the above-mentioned ones</w:t>
      </w:r>
      <w:r w:rsidR="005E0BD0">
        <w:rPr>
          <w:noProof/>
        </w:rPr>
        <w:t xml:space="preserve"> in all scenarios</w:t>
      </w:r>
      <w:r w:rsidR="000764DF" w:rsidRPr="006101E5">
        <w:rPr>
          <w:noProof/>
        </w:rPr>
        <w:t xml:space="preserve">. </w:t>
      </w:r>
    </w:p>
    <w:p w14:paraId="75B4327A" w14:textId="01F4DEBE" w:rsidR="000764DF" w:rsidRPr="006101E5" w:rsidRDefault="00385B72" w:rsidP="000764DF">
      <w:pPr>
        <w:rPr>
          <w:noProof/>
        </w:rPr>
      </w:pPr>
      <w:r w:rsidRPr="006101E5">
        <w:rPr>
          <w:noProof/>
        </w:rPr>
        <w:t xml:space="preserve">The non-CO2 GHG emissions from the </w:t>
      </w:r>
      <w:r w:rsidRPr="006101E5">
        <w:rPr>
          <w:b/>
          <w:bCs/>
          <w:noProof/>
        </w:rPr>
        <w:t xml:space="preserve">energy and transport </w:t>
      </w:r>
      <w:r w:rsidRPr="006101E5">
        <w:rPr>
          <w:noProof/>
        </w:rPr>
        <w:t xml:space="preserve">sector go down to </w:t>
      </w:r>
      <w:r w:rsidR="004F6EC7">
        <w:rPr>
          <w:noProof/>
        </w:rPr>
        <w:t xml:space="preserve">31 MtCO2-eq in S1 and </w:t>
      </w:r>
      <w:r w:rsidR="005065D5" w:rsidRPr="006101E5">
        <w:rPr>
          <w:noProof/>
        </w:rPr>
        <w:t>24</w:t>
      </w:r>
      <w:r w:rsidRPr="006101E5">
        <w:rPr>
          <w:noProof/>
        </w:rPr>
        <w:t xml:space="preserve"> MtCO2-eq </w:t>
      </w:r>
      <w:r w:rsidR="004F6EC7">
        <w:rPr>
          <w:noProof/>
        </w:rPr>
        <w:t>in the other scenarios</w:t>
      </w:r>
      <w:r w:rsidR="00FE4ACD">
        <w:rPr>
          <w:noProof/>
        </w:rPr>
        <w:t xml:space="preserve"> in 2040</w:t>
      </w:r>
      <w:r w:rsidRPr="006101E5">
        <w:rPr>
          <w:noProof/>
        </w:rPr>
        <w:t xml:space="preserve">, which means a decrease by </w:t>
      </w:r>
      <w:r w:rsidR="004F6EC7">
        <w:rPr>
          <w:noProof/>
        </w:rPr>
        <w:t>71% and 78%</w:t>
      </w:r>
      <w:r w:rsidRPr="006101E5">
        <w:rPr>
          <w:noProof/>
        </w:rPr>
        <w:t>, respectively, compared to 20</w:t>
      </w:r>
      <w:r w:rsidR="005065D5" w:rsidRPr="006101E5">
        <w:rPr>
          <w:noProof/>
        </w:rPr>
        <w:t>1</w:t>
      </w:r>
      <w:r w:rsidR="006B19F3" w:rsidRPr="006101E5">
        <w:rPr>
          <w:noProof/>
        </w:rPr>
        <w:t>5.</w:t>
      </w:r>
      <w:r w:rsidR="000764DF" w:rsidRPr="006101E5">
        <w:rPr>
          <w:noProof/>
        </w:rPr>
        <w:t xml:space="preserve"> </w:t>
      </w:r>
      <w:r w:rsidR="004F6EC7">
        <w:rPr>
          <w:noProof/>
        </w:rPr>
        <w:t xml:space="preserve">In 2050, emissions are projected to be 83% lower than in 2015 in all scenarios. </w:t>
      </w:r>
      <w:r w:rsidR="000764DF" w:rsidRPr="006101E5">
        <w:rPr>
          <w:noProof/>
        </w:rPr>
        <w:t>This mitigation is</w:t>
      </w:r>
      <w:r w:rsidRPr="006101E5">
        <w:rPr>
          <w:noProof/>
        </w:rPr>
        <w:t xml:space="preserve"> largely driven by the evolution of the energy system and the lower consumption of fossil fuels, complemented </w:t>
      </w:r>
      <w:r w:rsidR="00FE4ACD">
        <w:rPr>
          <w:noProof/>
        </w:rPr>
        <w:t xml:space="preserve">in S2, S2 and LIFE </w:t>
      </w:r>
      <w:r w:rsidRPr="006101E5">
        <w:rPr>
          <w:noProof/>
        </w:rPr>
        <w:t xml:space="preserve">by </w:t>
      </w:r>
      <w:r w:rsidR="000764DF" w:rsidRPr="006101E5">
        <w:rPr>
          <w:noProof/>
        </w:rPr>
        <w:t xml:space="preserve">implementation of technologies to improve bunker fuel use, leak detection and repair programs in gas networks, leakage control and gas recovery in crude oil and natural gas production sites, oxidation of ventilation air methane in coal mines, and flooding of abandoned coal mines. </w:t>
      </w:r>
    </w:p>
    <w:p w14:paraId="1FBBEE16" w14:textId="13ACF5CE" w:rsidR="000764DF" w:rsidRPr="006101E5" w:rsidRDefault="00385B72" w:rsidP="000764DF">
      <w:pPr>
        <w:rPr>
          <w:noProof/>
        </w:rPr>
      </w:pPr>
      <w:r w:rsidRPr="006101E5">
        <w:rPr>
          <w:noProof/>
        </w:rPr>
        <w:t>N</w:t>
      </w:r>
      <w:r w:rsidR="000764DF" w:rsidRPr="006101E5">
        <w:rPr>
          <w:noProof/>
        </w:rPr>
        <w:t xml:space="preserve">on-CO2 GHG emissions from the </w:t>
      </w:r>
      <w:r w:rsidR="000764DF" w:rsidRPr="006101E5">
        <w:rPr>
          <w:b/>
          <w:noProof/>
        </w:rPr>
        <w:t>heating and cooling</w:t>
      </w:r>
      <w:r w:rsidR="000764DF" w:rsidRPr="006101E5">
        <w:rPr>
          <w:noProof/>
        </w:rPr>
        <w:t xml:space="preserve"> sector </w:t>
      </w:r>
      <w:r w:rsidRPr="006101E5">
        <w:rPr>
          <w:noProof/>
        </w:rPr>
        <w:t xml:space="preserve">are </w:t>
      </w:r>
      <w:r w:rsidR="00F66F10">
        <w:rPr>
          <w:noProof/>
        </w:rPr>
        <w:t>projected</w:t>
      </w:r>
      <w:r w:rsidRPr="006101E5">
        <w:rPr>
          <w:noProof/>
        </w:rPr>
        <w:t xml:space="preserve"> to decrease to </w:t>
      </w:r>
      <w:r w:rsidR="003E2F00">
        <w:rPr>
          <w:noProof/>
        </w:rPr>
        <w:t>around 2.5 MtCO2-eq in S1 and</w:t>
      </w:r>
      <w:r w:rsidR="00DF36A3">
        <w:rPr>
          <w:noProof/>
        </w:rPr>
        <w:t xml:space="preserve"> to</w:t>
      </w:r>
      <w:r w:rsidR="003E2F00">
        <w:rPr>
          <w:noProof/>
        </w:rPr>
        <w:t xml:space="preserve"> </w:t>
      </w:r>
      <w:r w:rsidRPr="006101E5">
        <w:rPr>
          <w:noProof/>
        </w:rPr>
        <w:t>almost zero</w:t>
      </w:r>
      <w:r w:rsidR="006B19F3" w:rsidRPr="006101E5">
        <w:rPr>
          <w:noProof/>
        </w:rPr>
        <w:t xml:space="preserve"> </w:t>
      </w:r>
      <w:r w:rsidR="003E2F00">
        <w:rPr>
          <w:noProof/>
        </w:rPr>
        <w:t xml:space="preserve">in the other scenarios </w:t>
      </w:r>
      <w:r w:rsidR="00180435">
        <w:rPr>
          <w:noProof/>
        </w:rPr>
        <w:t>in</w:t>
      </w:r>
      <w:r w:rsidR="006B19F3" w:rsidRPr="006101E5">
        <w:rPr>
          <w:noProof/>
        </w:rPr>
        <w:t xml:space="preserve"> 2040</w:t>
      </w:r>
      <w:r w:rsidRPr="006101E5">
        <w:rPr>
          <w:noProof/>
        </w:rPr>
        <w:t xml:space="preserve">, largely driven by </w:t>
      </w:r>
      <w:r w:rsidR="000764DF" w:rsidRPr="006101E5">
        <w:rPr>
          <w:noProof/>
        </w:rPr>
        <w:t xml:space="preserve">the impact of the proposal for a revised F-gas regulation </w:t>
      </w:r>
      <w:r w:rsidR="003E2F00">
        <w:rPr>
          <w:noProof/>
        </w:rPr>
        <w:t>(</w:t>
      </w:r>
      <w:r w:rsidRPr="006101E5">
        <w:rPr>
          <w:noProof/>
        </w:rPr>
        <w:t xml:space="preserve">reflected </w:t>
      </w:r>
      <w:r w:rsidR="003E2F00">
        <w:rPr>
          <w:noProof/>
        </w:rPr>
        <w:t xml:space="preserve">already </w:t>
      </w:r>
      <w:r w:rsidRPr="006101E5">
        <w:rPr>
          <w:noProof/>
        </w:rPr>
        <w:t>in the</w:t>
      </w:r>
      <w:r w:rsidR="003E2F00">
        <w:rPr>
          <w:noProof/>
        </w:rPr>
        <w:t xml:space="preserve"> S1 scenario, </w:t>
      </w:r>
      <w:r w:rsidR="00180435">
        <w:rPr>
          <w:noProof/>
        </w:rPr>
        <w:t>which assumes no</w:t>
      </w:r>
      <w:r w:rsidR="003E2F00">
        <w:rPr>
          <w:noProof/>
        </w:rPr>
        <w:t xml:space="preserve"> additional mitigation)</w:t>
      </w:r>
      <w:r w:rsidRPr="006101E5">
        <w:rPr>
          <w:noProof/>
        </w:rPr>
        <w:t>.</w:t>
      </w:r>
      <w:r w:rsidR="006F501E" w:rsidRPr="006101E5">
        <w:rPr>
          <w:noProof/>
        </w:rPr>
        <w:t xml:space="preserve"> </w:t>
      </w:r>
      <w:r w:rsidR="000C2FFD">
        <w:rPr>
          <w:noProof/>
        </w:rPr>
        <w:t xml:space="preserve">Emissions from this sector are almost fully eliminated by 2050 in all scenarios. </w:t>
      </w:r>
      <w:r w:rsidR="005065D5" w:rsidRPr="006101E5">
        <w:rPr>
          <w:noProof/>
        </w:rPr>
        <w:t>Finally</w:t>
      </w:r>
      <w:r w:rsidR="000764DF" w:rsidRPr="006101E5">
        <w:rPr>
          <w:noProof/>
        </w:rPr>
        <w:t xml:space="preserve">, the non-CO2 GHG emissions from </w:t>
      </w:r>
      <w:r w:rsidRPr="006101E5">
        <w:rPr>
          <w:b/>
          <w:bCs/>
          <w:noProof/>
        </w:rPr>
        <w:t xml:space="preserve">industry and other </w:t>
      </w:r>
      <w:r w:rsidRPr="006101E5">
        <w:rPr>
          <w:noProof/>
        </w:rPr>
        <w:t>sector</w:t>
      </w:r>
      <w:r w:rsidR="0040289D" w:rsidRPr="006101E5">
        <w:rPr>
          <w:noProof/>
        </w:rPr>
        <w:t>s</w:t>
      </w:r>
      <w:r w:rsidR="000764DF" w:rsidRPr="006101E5">
        <w:rPr>
          <w:noProof/>
        </w:rPr>
        <w:t xml:space="preserve"> are projected to be around </w:t>
      </w:r>
      <w:r w:rsidR="004846DE">
        <w:rPr>
          <w:noProof/>
        </w:rPr>
        <w:t xml:space="preserve">13 MtCO2-eq in S1 and </w:t>
      </w:r>
      <w:r w:rsidR="005065D5" w:rsidRPr="006101E5">
        <w:rPr>
          <w:noProof/>
        </w:rPr>
        <w:t>5</w:t>
      </w:r>
      <w:r w:rsidRPr="006101E5">
        <w:rPr>
          <w:noProof/>
        </w:rPr>
        <w:t xml:space="preserve"> MtCO2-eq in </w:t>
      </w:r>
      <w:r w:rsidR="004846DE">
        <w:rPr>
          <w:noProof/>
        </w:rPr>
        <w:t xml:space="preserve">the other scenarios in </w:t>
      </w:r>
      <w:r w:rsidRPr="006101E5">
        <w:rPr>
          <w:noProof/>
        </w:rPr>
        <w:t xml:space="preserve">2040 </w:t>
      </w:r>
      <w:r w:rsidR="00355BA3">
        <w:rPr>
          <w:noProof/>
        </w:rPr>
        <w:t>(</w:t>
      </w:r>
      <w:r w:rsidRPr="006101E5">
        <w:rPr>
          <w:noProof/>
        </w:rPr>
        <w:t xml:space="preserve">i.e., </w:t>
      </w:r>
      <w:r w:rsidR="00180435">
        <w:rPr>
          <w:noProof/>
        </w:rPr>
        <w:t xml:space="preserve">50% and </w:t>
      </w:r>
      <w:r w:rsidR="005065D5" w:rsidRPr="006101E5">
        <w:rPr>
          <w:noProof/>
        </w:rPr>
        <w:t>8</w:t>
      </w:r>
      <w:r w:rsidR="00180435">
        <w:rPr>
          <w:noProof/>
        </w:rPr>
        <w:t>2</w:t>
      </w:r>
      <w:r w:rsidRPr="006101E5">
        <w:rPr>
          <w:noProof/>
        </w:rPr>
        <w:t>% less than in 20</w:t>
      </w:r>
      <w:r w:rsidR="005065D5" w:rsidRPr="006101E5">
        <w:rPr>
          <w:noProof/>
        </w:rPr>
        <w:t>1</w:t>
      </w:r>
      <w:r w:rsidR="0040289D" w:rsidRPr="006101E5">
        <w:rPr>
          <w:noProof/>
        </w:rPr>
        <w:t>5</w:t>
      </w:r>
      <w:r w:rsidR="00093693">
        <w:rPr>
          <w:noProof/>
        </w:rPr>
        <w:t>, respectively</w:t>
      </w:r>
      <w:r w:rsidR="00355BA3">
        <w:rPr>
          <w:noProof/>
        </w:rPr>
        <w:t>)</w:t>
      </w:r>
      <w:r w:rsidR="0040289D" w:rsidRPr="006101E5">
        <w:rPr>
          <w:noProof/>
        </w:rPr>
        <w:t>.</w:t>
      </w:r>
      <w:r w:rsidR="000C2FFD">
        <w:rPr>
          <w:noProof/>
        </w:rPr>
        <w:t xml:space="preserve"> In 2050, non-CO2 GHG emissions from this sector remain at around 5 MtCO2-eq in all scenarios.</w:t>
      </w:r>
    </w:p>
    <w:p w14:paraId="67DE0370" w14:textId="5E4872BF" w:rsidR="00F16805" w:rsidRPr="006101E5" w:rsidRDefault="00F16805" w:rsidP="00416E22">
      <w:pPr>
        <w:pStyle w:val="Caption"/>
        <w:rPr>
          <w:noProof/>
        </w:rPr>
      </w:pPr>
      <w:bookmarkStart w:id="406" w:name="_Ref144212834"/>
      <w:bookmarkStart w:id="407" w:name="_Toc157679896"/>
      <w:r w:rsidRPr="006101E5">
        <w:rPr>
          <w:noProof/>
        </w:rPr>
        <w:t xml:space="preserve">Table </w:t>
      </w:r>
      <w:r w:rsidRPr="006101E5">
        <w:rPr>
          <w:noProof/>
        </w:rPr>
        <w:fldChar w:fldCharType="begin"/>
      </w:r>
      <w:r w:rsidRPr="006101E5">
        <w:rPr>
          <w:noProof/>
        </w:rPr>
        <w:instrText>SEQ Table \* ARABIC</w:instrText>
      </w:r>
      <w:r w:rsidRPr="006101E5">
        <w:rPr>
          <w:noProof/>
        </w:rPr>
        <w:fldChar w:fldCharType="separate"/>
      </w:r>
      <w:r w:rsidR="00170A3C">
        <w:rPr>
          <w:noProof/>
        </w:rPr>
        <w:t>13</w:t>
      </w:r>
      <w:r w:rsidRPr="006101E5">
        <w:rPr>
          <w:noProof/>
        </w:rPr>
        <w:fldChar w:fldCharType="end"/>
      </w:r>
      <w:bookmarkEnd w:id="406"/>
      <w:r w:rsidRPr="006101E5">
        <w:rPr>
          <w:noProof/>
        </w:rPr>
        <w:t xml:space="preserve">: Non-CO2 </w:t>
      </w:r>
      <w:r w:rsidR="00906859" w:rsidRPr="006101E5">
        <w:rPr>
          <w:noProof/>
        </w:rPr>
        <w:t>GHG</w:t>
      </w:r>
      <w:r w:rsidRPr="006101E5">
        <w:rPr>
          <w:noProof/>
        </w:rPr>
        <w:t xml:space="preserve"> emissions from the non-land-related sectors</w:t>
      </w:r>
      <w:bookmarkEnd w:id="407"/>
      <w:r w:rsidRPr="006101E5">
        <w:rPr>
          <w:noProof/>
        </w:rPr>
        <w:t xml:space="preserve"> </w:t>
      </w:r>
    </w:p>
    <w:tbl>
      <w:tblPr>
        <w:tblW w:w="5000" w:type="pct"/>
        <w:tblLook w:val="04A0" w:firstRow="1" w:lastRow="0" w:firstColumn="1" w:lastColumn="0" w:noHBand="0" w:noVBand="1"/>
      </w:tblPr>
      <w:tblGrid>
        <w:gridCol w:w="1720"/>
        <w:gridCol w:w="600"/>
        <w:gridCol w:w="1011"/>
        <w:gridCol w:w="896"/>
        <w:gridCol w:w="958"/>
        <w:gridCol w:w="1011"/>
        <w:gridCol w:w="836"/>
        <w:gridCol w:w="885"/>
        <w:gridCol w:w="917"/>
      </w:tblGrid>
      <w:tr w:rsidR="00F16805" w:rsidRPr="006101E5" w14:paraId="2EC62A29" w14:textId="77777777" w:rsidTr="005166D5">
        <w:trPr>
          <w:trHeight w:val="330"/>
        </w:trPr>
        <w:tc>
          <w:tcPr>
            <w:tcW w:w="974" w:type="pct"/>
            <w:tcBorders>
              <w:top w:val="nil"/>
              <w:left w:val="nil"/>
              <w:bottom w:val="single" w:sz="12" w:space="0" w:color="auto"/>
              <w:right w:val="nil"/>
            </w:tcBorders>
            <w:shd w:val="clear" w:color="auto" w:fill="auto"/>
            <w:noWrap/>
            <w:vAlign w:val="center"/>
            <w:hideMark/>
          </w:tcPr>
          <w:p w14:paraId="40FF55E0" w14:textId="77777777" w:rsidR="00F16805" w:rsidRPr="006101E5" w:rsidRDefault="00F16805" w:rsidP="00416E22">
            <w:pPr>
              <w:keepNext/>
              <w:spacing w:after="0"/>
              <w:jc w:val="left"/>
              <w:rPr>
                <w:rFonts w:ascii="EC Square Sans Cond Pro" w:eastAsia="Times New Roman" w:hAnsi="EC Square Sans Cond Pro" w:cs="Calibri"/>
                <w:noProof/>
                <w:sz w:val="18"/>
                <w:szCs w:val="18"/>
                <w:lang w:val="en-IE"/>
              </w:rPr>
            </w:pPr>
            <w:r w:rsidRPr="006101E5">
              <w:rPr>
                <w:rFonts w:ascii="Calibri" w:eastAsia="Times New Roman" w:hAnsi="Calibri" w:cs="Calibri"/>
                <w:noProof/>
                <w:sz w:val="18"/>
                <w:szCs w:val="18"/>
                <w:lang w:val="en-IE"/>
              </w:rPr>
              <w:t> </w:t>
            </w:r>
          </w:p>
        </w:tc>
        <w:tc>
          <w:tcPr>
            <w:tcW w:w="2533" w:type="pct"/>
            <w:gridSpan w:val="5"/>
            <w:tcBorders>
              <w:top w:val="nil"/>
              <w:left w:val="nil"/>
              <w:bottom w:val="single" w:sz="12" w:space="0" w:color="auto"/>
              <w:right w:val="nil"/>
            </w:tcBorders>
            <w:shd w:val="clear" w:color="auto" w:fill="auto"/>
            <w:noWrap/>
            <w:vAlign w:val="center"/>
            <w:hideMark/>
          </w:tcPr>
          <w:p w14:paraId="1E8E3DC1" w14:textId="77777777" w:rsidR="00F16805" w:rsidRPr="006101E5" w:rsidRDefault="00F16805" w:rsidP="00416E22">
            <w:pPr>
              <w:keepNext/>
              <w:spacing w:after="0"/>
              <w:jc w:val="center"/>
              <w:rPr>
                <w:rFonts w:ascii="EC Square Sans Cond Pro" w:eastAsia="Times New Roman" w:hAnsi="EC Square Sans Cond Pro" w:cs="Calibri"/>
                <w:b/>
                <w:bCs/>
                <w:noProof/>
                <w:sz w:val="18"/>
                <w:szCs w:val="18"/>
                <w:lang w:val="en-IE"/>
              </w:rPr>
            </w:pPr>
            <w:r w:rsidRPr="006101E5">
              <w:rPr>
                <w:rFonts w:ascii="EC Square Sans Cond Pro" w:eastAsia="Times New Roman" w:hAnsi="EC Square Sans Cond Pro" w:cs="Calibri"/>
                <w:b/>
                <w:bCs/>
                <w:noProof/>
                <w:sz w:val="18"/>
                <w:szCs w:val="18"/>
                <w:lang w:val="en-IE"/>
              </w:rPr>
              <w:t>Non-CO2 greenhouse gas emissions (MtCO2-eq)</w:t>
            </w:r>
          </w:p>
        </w:tc>
        <w:tc>
          <w:tcPr>
            <w:tcW w:w="1493" w:type="pct"/>
            <w:gridSpan w:val="3"/>
            <w:tcBorders>
              <w:top w:val="nil"/>
              <w:left w:val="nil"/>
              <w:bottom w:val="single" w:sz="12" w:space="0" w:color="auto"/>
              <w:right w:val="nil"/>
            </w:tcBorders>
            <w:shd w:val="clear" w:color="auto" w:fill="auto"/>
            <w:noWrap/>
            <w:vAlign w:val="center"/>
            <w:hideMark/>
          </w:tcPr>
          <w:p w14:paraId="51E3E49D" w14:textId="77777777" w:rsidR="00F16805" w:rsidRPr="006101E5" w:rsidRDefault="00F16805" w:rsidP="00416E22">
            <w:pPr>
              <w:keepNext/>
              <w:spacing w:after="0"/>
              <w:jc w:val="center"/>
              <w:rPr>
                <w:rFonts w:ascii="EC Square Sans Cond Pro" w:eastAsia="Times New Roman" w:hAnsi="EC Square Sans Cond Pro" w:cs="Calibri"/>
                <w:b/>
                <w:bCs/>
                <w:noProof/>
                <w:sz w:val="18"/>
                <w:szCs w:val="18"/>
                <w:lang w:val="en-IE"/>
              </w:rPr>
            </w:pPr>
            <w:r w:rsidRPr="006101E5">
              <w:rPr>
                <w:rFonts w:ascii="EC Square Sans Cond Pro" w:eastAsia="Times New Roman" w:hAnsi="EC Square Sans Cond Pro" w:cs="Calibri"/>
                <w:b/>
                <w:bCs/>
                <w:noProof/>
                <w:sz w:val="18"/>
                <w:szCs w:val="18"/>
                <w:lang w:val="en-IE"/>
              </w:rPr>
              <w:t>Change in emissions (%)</w:t>
            </w:r>
          </w:p>
        </w:tc>
      </w:tr>
      <w:tr w:rsidR="00F16805" w:rsidRPr="006101E5" w14:paraId="6E2CEE7D" w14:textId="77777777" w:rsidTr="007E5133">
        <w:trPr>
          <w:trHeight w:val="330"/>
        </w:trPr>
        <w:tc>
          <w:tcPr>
            <w:tcW w:w="974" w:type="pct"/>
            <w:tcBorders>
              <w:top w:val="nil"/>
              <w:left w:val="nil"/>
              <w:bottom w:val="nil"/>
              <w:right w:val="nil"/>
            </w:tcBorders>
            <w:shd w:val="clear" w:color="auto" w:fill="auto"/>
            <w:noWrap/>
            <w:vAlign w:val="center"/>
            <w:hideMark/>
          </w:tcPr>
          <w:p w14:paraId="034C398B" w14:textId="77777777" w:rsidR="00F16805" w:rsidRPr="006101E5" w:rsidRDefault="00F16805" w:rsidP="00416E22">
            <w:pPr>
              <w:keepNext/>
              <w:spacing w:after="0"/>
              <w:jc w:val="left"/>
              <w:rPr>
                <w:rFonts w:ascii="EC Square Sans Cond Pro" w:eastAsia="Times New Roman" w:hAnsi="EC Square Sans Cond Pro" w:cs="Calibri"/>
                <w:noProof/>
                <w:sz w:val="18"/>
                <w:szCs w:val="18"/>
                <w:lang w:val="en-IE"/>
              </w:rPr>
            </w:pPr>
            <w:r w:rsidRPr="006101E5">
              <w:rPr>
                <w:rFonts w:ascii="Calibri" w:eastAsia="Times New Roman" w:hAnsi="Calibri" w:cs="Calibri"/>
                <w:noProof/>
                <w:sz w:val="18"/>
                <w:szCs w:val="18"/>
                <w:lang w:val="en-IE"/>
              </w:rPr>
              <w:t> </w:t>
            </w:r>
          </w:p>
        </w:tc>
        <w:tc>
          <w:tcPr>
            <w:tcW w:w="340" w:type="pct"/>
            <w:vMerge w:val="restart"/>
            <w:tcBorders>
              <w:top w:val="nil"/>
              <w:left w:val="nil"/>
              <w:right w:val="nil"/>
            </w:tcBorders>
            <w:shd w:val="clear" w:color="auto" w:fill="auto"/>
            <w:noWrap/>
            <w:vAlign w:val="center"/>
            <w:hideMark/>
          </w:tcPr>
          <w:p w14:paraId="323EE130" w14:textId="77777777" w:rsidR="008C0E7C" w:rsidRPr="006101E5" w:rsidRDefault="00F16805" w:rsidP="00416E22">
            <w:pPr>
              <w:keepNext/>
              <w:spacing w:after="0"/>
              <w:jc w:val="center"/>
              <w:rPr>
                <w:rFonts w:ascii="EC Square Sans Cond Pro" w:eastAsia="Times New Roman" w:hAnsi="EC Square Sans Cond Pro" w:cs="Calibri"/>
                <w:b/>
                <w:bCs/>
                <w:noProof/>
                <w:sz w:val="18"/>
                <w:szCs w:val="18"/>
                <w:lang w:val="en-IE"/>
              </w:rPr>
            </w:pPr>
            <w:r w:rsidRPr="006101E5">
              <w:rPr>
                <w:rFonts w:ascii="EC Square Sans Cond Pro" w:eastAsia="Times New Roman" w:hAnsi="EC Square Sans Cond Pro" w:cs="Calibri"/>
                <w:b/>
                <w:bCs/>
                <w:noProof/>
                <w:sz w:val="18"/>
                <w:szCs w:val="18"/>
                <w:lang w:val="en-IE"/>
              </w:rPr>
              <w:t>2005</w:t>
            </w:r>
          </w:p>
          <w:p w14:paraId="1E484A63" w14:textId="3151BA0B" w:rsidR="00F16805" w:rsidRPr="006101E5" w:rsidRDefault="008C0E7C" w:rsidP="00416E22">
            <w:pPr>
              <w:keepNext/>
              <w:spacing w:after="0"/>
              <w:jc w:val="center"/>
              <w:rPr>
                <w:rFonts w:ascii="EC Square Sans Cond Pro" w:eastAsia="Times New Roman" w:hAnsi="EC Square Sans Cond Pro" w:cs="Calibri"/>
                <w:b/>
                <w:bCs/>
                <w:noProof/>
                <w:sz w:val="18"/>
                <w:szCs w:val="18"/>
                <w:lang w:val="en-IE"/>
              </w:rPr>
            </w:pPr>
            <w:r w:rsidRPr="006101E5">
              <w:rPr>
                <w:rFonts w:ascii="Calibri" w:eastAsia="Times New Roman" w:hAnsi="Calibri" w:cs="Calibri"/>
                <w:b/>
                <w:bCs/>
                <w:noProof/>
                <w:sz w:val="18"/>
                <w:szCs w:val="18"/>
                <w:lang w:val="en-IE"/>
              </w:rPr>
              <w:t> </w:t>
            </w:r>
          </w:p>
        </w:tc>
        <w:tc>
          <w:tcPr>
            <w:tcW w:w="572" w:type="pct"/>
            <w:vMerge w:val="restart"/>
            <w:tcBorders>
              <w:top w:val="nil"/>
              <w:left w:val="nil"/>
              <w:right w:val="nil"/>
            </w:tcBorders>
            <w:shd w:val="clear" w:color="auto" w:fill="auto"/>
            <w:vAlign w:val="center"/>
            <w:hideMark/>
          </w:tcPr>
          <w:p w14:paraId="764020F8" w14:textId="77777777" w:rsidR="008C0E7C" w:rsidRPr="006101E5" w:rsidRDefault="00F16805" w:rsidP="00416E22">
            <w:pPr>
              <w:keepNext/>
              <w:spacing w:after="0"/>
              <w:jc w:val="center"/>
              <w:rPr>
                <w:rFonts w:ascii="EC Square Sans Cond Pro" w:eastAsia="Times New Roman" w:hAnsi="EC Square Sans Cond Pro" w:cs="Calibri"/>
                <w:b/>
                <w:bCs/>
                <w:noProof/>
                <w:sz w:val="18"/>
                <w:szCs w:val="18"/>
                <w:lang w:val="en-IE"/>
              </w:rPr>
            </w:pPr>
            <w:r w:rsidRPr="006101E5">
              <w:rPr>
                <w:rFonts w:ascii="EC Square Sans Cond Pro" w:eastAsia="Times New Roman" w:hAnsi="EC Square Sans Cond Pro" w:cs="Calibri"/>
                <w:b/>
                <w:bCs/>
                <w:noProof/>
                <w:sz w:val="18"/>
                <w:szCs w:val="18"/>
                <w:lang w:val="en-IE"/>
              </w:rPr>
              <w:t>2015</w:t>
            </w:r>
          </w:p>
          <w:p w14:paraId="565A76FB" w14:textId="153DAE6D" w:rsidR="00F16805" w:rsidRPr="006101E5" w:rsidRDefault="008C0E7C" w:rsidP="00416E22">
            <w:pPr>
              <w:keepNext/>
              <w:spacing w:after="0"/>
              <w:jc w:val="center"/>
              <w:rPr>
                <w:rFonts w:ascii="EC Square Sans Cond Pro" w:eastAsia="Times New Roman" w:hAnsi="EC Square Sans Cond Pro" w:cs="Calibri"/>
                <w:b/>
                <w:bCs/>
                <w:noProof/>
                <w:sz w:val="18"/>
                <w:szCs w:val="18"/>
                <w:lang w:val="en-IE"/>
              </w:rPr>
            </w:pPr>
            <w:r w:rsidRPr="006101E5">
              <w:rPr>
                <w:rFonts w:ascii="Calibri" w:eastAsia="Times New Roman" w:hAnsi="Calibri" w:cs="Calibri"/>
                <w:b/>
                <w:bCs/>
                <w:noProof/>
                <w:sz w:val="18"/>
                <w:szCs w:val="18"/>
                <w:lang w:val="en-IE"/>
              </w:rPr>
              <w:t> </w:t>
            </w:r>
          </w:p>
        </w:tc>
        <w:tc>
          <w:tcPr>
            <w:tcW w:w="1049" w:type="pct"/>
            <w:gridSpan w:val="2"/>
            <w:tcBorders>
              <w:top w:val="single" w:sz="12" w:space="0" w:color="auto"/>
              <w:left w:val="nil"/>
              <w:bottom w:val="single" w:sz="12" w:space="0" w:color="auto"/>
              <w:right w:val="nil"/>
            </w:tcBorders>
            <w:shd w:val="clear" w:color="auto" w:fill="auto"/>
            <w:vAlign w:val="center"/>
            <w:hideMark/>
          </w:tcPr>
          <w:p w14:paraId="679362CF" w14:textId="77777777" w:rsidR="00F16805" w:rsidRPr="006101E5" w:rsidRDefault="00F16805" w:rsidP="00416E22">
            <w:pPr>
              <w:keepNext/>
              <w:spacing w:after="0"/>
              <w:jc w:val="center"/>
              <w:rPr>
                <w:rFonts w:ascii="EC Square Sans Cond Pro" w:eastAsia="Times New Roman" w:hAnsi="EC Square Sans Cond Pro" w:cs="Calibri"/>
                <w:b/>
                <w:bCs/>
                <w:noProof/>
                <w:sz w:val="18"/>
                <w:szCs w:val="18"/>
                <w:lang w:val="en-IE"/>
              </w:rPr>
            </w:pPr>
            <w:r w:rsidRPr="006101E5">
              <w:rPr>
                <w:rFonts w:ascii="EC Square Sans Cond Pro" w:eastAsia="Times New Roman" w:hAnsi="EC Square Sans Cond Pro" w:cs="Calibri"/>
                <w:b/>
                <w:bCs/>
                <w:noProof/>
                <w:sz w:val="18"/>
                <w:szCs w:val="18"/>
                <w:lang w:val="en-IE"/>
              </w:rPr>
              <w:t>2040</w:t>
            </w:r>
          </w:p>
        </w:tc>
        <w:tc>
          <w:tcPr>
            <w:tcW w:w="572" w:type="pct"/>
            <w:tcBorders>
              <w:top w:val="nil"/>
              <w:left w:val="nil"/>
              <w:bottom w:val="single" w:sz="12" w:space="0" w:color="auto"/>
              <w:right w:val="nil"/>
            </w:tcBorders>
            <w:shd w:val="clear" w:color="auto" w:fill="auto"/>
            <w:vAlign w:val="center"/>
            <w:hideMark/>
          </w:tcPr>
          <w:p w14:paraId="1C42810F" w14:textId="77777777" w:rsidR="00F16805" w:rsidRPr="006101E5" w:rsidRDefault="00F16805" w:rsidP="00416E22">
            <w:pPr>
              <w:keepNext/>
              <w:spacing w:after="0"/>
              <w:jc w:val="center"/>
              <w:rPr>
                <w:rFonts w:ascii="EC Square Sans Cond Pro" w:eastAsia="Times New Roman" w:hAnsi="EC Square Sans Cond Pro" w:cs="Calibri"/>
                <w:b/>
                <w:bCs/>
                <w:noProof/>
                <w:sz w:val="18"/>
                <w:szCs w:val="18"/>
                <w:lang w:val="en-IE"/>
              </w:rPr>
            </w:pPr>
            <w:r w:rsidRPr="006101E5">
              <w:rPr>
                <w:rFonts w:ascii="EC Square Sans Cond Pro" w:eastAsia="Times New Roman" w:hAnsi="EC Square Sans Cond Pro" w:cs="Calibri"/>
                <w:b/>
                <w:bCs/>
                <w:noProof/>
                <w:sz w:val="18"/>
                <w:szCs w:val="18"/>
                <w:lang w:val="en-IE"/>
              </w:rPr>
              <w:t>2050</w:t>
            </w:r>
          </w:p>
        </w:tc>
        <w:tc>
          <w:tcPr>
            <w:tcW w:w="974" w:type="pct"/>
            <w:gridSpan w:val="2"/>
            <w:tcBorders>
              <w:top w:val="single" w:sz="12" w:space="0" w:color="auto"/>
              <w:left w:val="nil"/>
              <w:bottom w:val="single" w:sz="12" w:space="0" w:color="auto"/>
              <w:right w:val="nil"/>
            </w:tcBorders>
            <w:shd w:val="clear" w:color="auto" w:fill="auto"/>
            <w:vAlign w:val="center"/>
            <w:hideMark/>
          </w:tcPr>
          <w:p w14:paraId="3E5DD878" w14:textId="04C3B591" w:rsidR="00F16805" w:rsidRPr="006101E5" w:rsidRDefault="00F16805" w:rsidP="00416E22">
            <w:pPr>
              <w:keepNext/>
              <w:spacing w:after="0"/>
              <w:jc w:val="center"/>
              <w:rPr>
                <w:rFonts w:ascii="EC Square Sans Cond Pro" w:eastAsia="Times New Roman" w:hAnsi="EC Square Sans Cond Pro" w:cs="Calibri"/>
                <w:b/>
                <w:bCs/>
                <w:noProof/>
                <w:sz w:val="18"/>
                <w:szCs w:val="18"/>
                <w:lang w:val="en-IE"/>
              </w:rPr>
            </w:pPr>
            <w:r w:rsidRPr="006101E5">
              <w:rPr>
                <w:rFonts w:ascii="EC Square Sans Cond Pro" w:eastAsia="Times New Roman" w:hAnsi="EC Square Sans Cond Pro" w:cs="Calibri"/>
                <w:b/>
                <w:bCs/>
                <w:noProof/>
                <w:sz w:val="18"/>
                <w:szCs w:val="18"/>
                <w:lang w:val="en-IE"/>
              </w:rPr>
              <w:t>20</w:t>
            </w:r>
            <w:r w:rsidR="005166D5" w:rsidRPr="006101E5">
              <w:rPr>
                <w:rFonts w:ascii="EC Square Sans Cond Pro" w:eastAsia="Times New Roman" w:hAnsi="EC Square Sans Cond Pro" w:cs="Calibri"/>
                <w:b/>
                <w:bCs/>
                <w:noProof/>
                <w:sz w:val="18"/>
                <w:szCs w:val="18"/>
                <w:lang w:val="en-IE"/>
              </w:rPr>
              <w:t>1</w:t>
            </w:r>
            <w:r w:rsidRPr="006101E5">
              <w:rPr>
                <w:rFonts w:ascii="EC Square Sans Cond Pro" w:eastAsia="Times New Roman" w:hAnsi="EC Square Sans Cond Pro" w:cs="Calibri"/>
                <w:b/>
                <w:bCs/>
                <w:noProof/>
                <w:sz w:val="18"/>
                <w:szCs w:val="18"/>
                <w:lang w:val="en-IE"/>
              </w:rPr>
              <w:t>5-40</w:t>
            </w:r>
          </w:p>
        </w:tc>
        <w:tc>
          <w:tcPr>
            <w:tcW w:w="519" w:type="pct"/>
            <w:tcBorders>
              <w:top w:val="nil"/>
              <w:left w:val="nil"/>
              <w:bottom w:val="single" w:sz="12" w:space="0" w:color="auto"/>
              <w:right w:val="nil"/>
            </w:tcBorders>
            <w:shd w:val="clear" w:color="auto" w:fill="auto"/>
            <w:vAlign w:val="center"/>
            <w:hideMark/>
          </w:tcPr>
          <w:p w14:paraId="31463A07" w14:textId="078F7E14" w:rsidR="00F16805" w:rsidRPr="006101E5" w:rsidRDefault="00F16805" w:rsidP="00416E22">
            <w:pPr>
              <w:keepNext/>
              <w:spacing w:after="0"/>
              <w:jc w:val="center"/>
              <w:rPr>
                <w:rFonts w:ascii="EC Square Sans Cond Pro" w:eastAsia="Times New Roman" w:hAnsi="EC Square Sans Cond Pro" w:cs="Calibri"/>
                <w:b/>
                <w:bCs/>
                <w:noProof/>
                <w:sz w:val="18"/>
                <w:szCs w:val="18"/>
                <w:lang w:val="en-IE"/>
              </w:rPr>
            </w:pPr>
            <w:r w:rsidRPr="006101E5">
              <w:rPr>
                <w:rFonts w:ascii="EC Square Sans Cond Pro" w:eastAsia="Times New Roman" w:hAnsi="EC Square Sans Cond Pro" w:cs="Calibri"/>
                <w:b/>
                <w:bCs/>
                <w:noProof/>
                <w:sz w:val="18"/>
                <w:szCs w:val="18"/>
                <w:lang w:val="en-IE"/>
              </w:rPr>
              <w:t>20</w:t>
            </w:r>
            <w:r w:rsidR="005166D5" w:rsidRPr="006101E5">
              <w:rPr>
                <w:rFonts w:ascii="EC Square Sans Cond Pro" w:eastAsia="Times New Roman" w:hAnsi="EC Square Sans Cond Pro" w:cs="Calibri"/>
                <w:b/>
                <w:bCs/>
                <w:noProof/>
                <w:sz w:val="18"/>
                <w:szCs w:val="18"/>
                <w:lang w:val="en-IE"/>
              </w:rPr>
              <w:t>1</w:t>
            </w:r>
            <w:r w:rsidRPr="006101E5">
              <w:rPr>
                <w:rFonts w:ascii="EC Square Sans Cond Pro" w:eastAsia="Times New Roman" w:hAnsi="EC Square Sans Cond Pro" w:cs="Calibri"/>
                <w:b/>
                <w:bCs/>
                <w:noProof/>
                <w:sz w:val="18"/>
                <w:szCs w:val="18"/>
                <w:lang w:val="en-IE"/>
              </w:rPr>
              <w:t>5-50</w:t>
            </w:r>
          </w:p>
        </w:tc>
      </w:tr>
      <w:tr w:rsidR="00F16805" w:rsidRPr="006101E5" w14:paraId="3F4A17D1" w14:textId="77777777" w:rsidTr="007E5133">
        <w:trPr>
          <w:trHeight w:val="540"/>
        </w:trPr>
        <w:tc>
          <w:tcPr>
            <w:tcW w:w="974" w:type="pct"/>
            <w:tcBorders>
              <w:top w:val="nil"/>
              <w:left w:val="nil"/>
              <w:bottom w:val="single" w:sz="12" w:space="0" w:color="000000"/>
              <w:right w:val="nil"/>
            </w:tcBorders>
            <w:shd w:val="clear" w:color="auto" w:fill="auto"/>
            <w:noWrap/>
            <w:vAlign w:val="center"/>
            <w:hideMark/>
          </w:tcPr>
          <w:p w14:paraId="4CC62A58" w14:textId="77777777" w:rsidR="00F16805" w:rsidRPr="006101E5" w:rsidRDefault="00F16805" w:rsidP="00416E22">
            <w:pPr>
              <w:keepNext/>
              <w:spacing w:after="0"/>
              <w:jc w:val="left"/>
              <w:rPr>
                <w:rFonts w:ascii="EC Square Sans Cond Pro" w:eastAsia="Times New Roman" w:hAnsi="EC Square Sans Cond Pro" w:cs="Calibri"/>
                <w:noProof/>
                <w:sz w:val="18"/>
                <w:szCs w:val="18"/>
                <w:lang w:val="en-IE"/>
              </w:rPr>
            </w:pPr>
            <w:r w:rsidRPr="006101E5">
              <w:rPr>
                <w:rFonts w:ascii="Calibri" w:eastAsia="Times New Roman" w:hAnsi="Calibri" w:cs="Calibri"/>
                <w:noProof/>
                <w:sz w:val="18"/>
                <w:szCs w:val="18"/>
                <w:lang w:val="en-IE"/>
              </w:rPr>
              <w:t> </w:t>
            </w:r>
          </w:p>
        </w:tc>
        <w:tc>
          <w:tcPr>
            <w:tcW w:w="340" w:type="pct"/>
            <w:vMerge/>
            <w:tcBorders>
              <w:left w:val="nil"/>
              <w:bottom w:val="single" w:sz="12" w:space="0" w:color="000000"/>
              <w:right w:val="nil"/>
            </w:tcBorders>
            <w:shd w:val="clear" w:color="auto" w:fill="auto"/>
            <w:noWrap/>
            <w:vAlign w:val="center"/>
            <w:hideMark/>
          </w:tcPr>
          <w:p w14:paraId="69535266" w14:textId="34222F59" w:rsidR="00F16805" w:rsidRPr="006101E5" w:rsidRDefault="00F16805" w:rsidP="00416E22">
            <w:pPr>
              <w:keepNext/>
              <w:spacing w:after="0"/>
              <w:jc w:val="center"/>
              <w:rPr>
                <w:rFonts w:ascii="EC Square Sans Cond Pro" w:eastAsia="Times New Roman" w:hAnsi="EC Square Sans Cond Pro" w:cs="Calibri"/>
                <w:b/>
                <w:bCs/>
                <w:noProof/>
                <w:sz w:val="18"/>
                <w:szCs w:val="18"/>
                <w:lang w:val="en-IE"/>
              </w:rPr>
            </w:pPr>
          </w:p>
        </w:tc>
        <w:tc>
          <w:tcPr>
            <w:tcW w:w="572" w:type="pct"/>
            <w:vMerge/>
            <w:tcBorders>
              <w:left w:val="nil"/>
              <w:bottom w:val="single" w:sz="12" w:space="0" w:color="000000"/>
              <w:right w:val="nil"/>
            </w:tcBorders>
            <w:shd w:val="clear" w:color="auto" w:fill="auto"/>
            <w:vAlign w:val="center"/>
            <w:hideMark/>
          </w:tcPr>
          <w:p w14:paraId="3C8D0A7E" w14:textId="04B5C65A" w:rsidR="00F16805" w:rsidRPr="006101E5" w:rsidRDefault="00F16805" w:rsidP="00416E22">
            <w:pPr>
              <w:keepNext/>
              <w:spacing w:after="0"/>
              <w:jc w:val="center"/>
              <w:rPr>
                <w:rFonts w:ascii="EC Square Sans Cond Pro" w:eastAsia="Times New Roman" w:hAnsi="EC Square Sans Cond Pro" w:cs="Calibri"/>
                <w:b/>
                <w:bCs/>
                <w:noProof/>
                <w:sz w:val="18"/>
                <w:szCs w:val="18"/>
                <w:lang w:val="en-IE"/>
              </w:rPr>
            </w:pPr>
          </w:p>
        </w:tc>
        <w:tc>
          <w:tcPr>
            <w:tcW w:w="507" w:type="pct"/>
            <w:tcBorders>
              <w:top w:val="nil"/>
              <w:left w:val="nil"/>
              <w:bottom w:val="single" w:sz="12" w:space="0" w:color="auto"/>
              <w:right w:val="nil"/>
            </w:tcBorders>
            <w:shd w:val="clear" w:color="auto" w:fill="auto"/>
            <w:vAlign w:val="center"/>
            <w:hideMark/>
          </w:tcPr>
          <w:p w14:paraId="09D84BC8" w14:textId="77777777" w:rsidR="00F16805" w:rsidRPr="006101E5" w:rsidRDefault="00F16805" w:rsidP="00416E22">
            <w:pPr>
              <w:keepNext/>
              <w:spacing w:after="0"/>
              <w:jc w:val="center"/>
              <w:rPr>
                <w:rFonts w:ascii="EC Square Sans Cond Pro" w:eastAsia="Times New Roman" w:hAnsi="EC Square Sans Cond Pro" w:cs="Calibri"/>
                <w:b/>
                <w:bCs/>
                <w:noProof/>
                <w:sz w:val="18"/>
                <w:szCs w:val="18"/>
                <w:lang w:val="en-IE"/>
              </w:rPr>
            </w:pPr>
            <w:r w:rsidRPr="006101E5">
              <w:rPr>
                <w:rFonts w:ascii="EC Square Sans Cond Pro" w:eastAsia="Times New Roman" w:hAnsi="EC Square Sans Cond Pro" w:cs="Calibri"/>
                <w:b/>
                <w:bCs/>
                <w:noProof/>
                <w:sz w:val="18"/>
                <w:szCs w:val="18"/>
                <w:lang w:val="en-IE"/>
              </w:rPr>
              <w:t>S1</w:t>
            </w:r>
          </w:p>
        </w:tc>
        <w:tc>
          <w:tcPr>
            <w:tcW w:w="542" w:type="pct"/>
            <w:tcBorders>
              <w:top w:val="nil"/>
              <w:left w:val="nil"/>
              <w:bottom w:val="single" w:sz="12" w:space="0" w:color="auto"/>
              <w:right w:val="nil"/>
            </w:tcBorders>
            <w:shd w:val="clear" w:color="auto" w:fill="auto"/>
            <w:vAlign w:val="center"/>
            <w:hideMark/>
          </w:tcPr>
          <w:p w14:paraId="49E0007C" w14:textId="77777777" w:rsidR="00F16805" w:rsidRPr="006101E5" w:rsidRDefault="00F16805" w:rsidP="00416E22">
            <w:pPr>
              <w:keepNext/>
              <w:spacing w:after="0"/>
              <w:jc w:val="center"/>
              <w:rPr>
                <w:rFonts w:ascii="EC Square Sans Cond Pro" w:eastAsia="Times New Roman" w:hAnsi="EC Square Sans Cond Pro" w:cs="Calibri"/>
                <w:b/>
                <w:bCs/>
                <w:noProof/>
                <w:sz w:val="18"/>
                <w:szCs w:val="18"/>
                <w:lang w:val="en-IE"/>
              </w:rPr>
            </w:pPr>
            <w:r w:rsidRPr="006101E5">
              <w:rPr>
                <w:rFonts w:ascii="EC Square Sans Cond Pro" w:eastAsia="Times New Roman" w:hAnsi="EC Square Sans Cond Pro" w:cs="Calibri"/>
                <w:b/>
                <w:bCs/>
                <w:noProof/>
                <w:sz w:val="18"/>
                <w:szCs w:val="18"/>
                <w:lang w:val="en-IE"/>
              </w:rPr>
              <w:t>S2, S3 &amp; LIFE</w:t>
            </w:r>
          </w:p>
        </w:tc>
        <w:tc>
          <w:tcPr>
            <w:tcW w:w="572" w:type="pct"/>
            <w:tcBorders>
              <w:top w:val="nil"/>
              <w:left w:val="nil"/>
              <w:bottom w:val="single" w:sz="12" w:space="0" w:color="auto"/>
              <w:right w:val="nil"/>
            </w:tcBorders>
            <w:shd w:val="clear" w:color="auto" w:fill="auto"/>
            <w:vAlign w:val="center"/>
            <w:hideMark/>
          </w:tcPr>
          <w:p w14:paraId="317F842B" w14:textId="77777777" w:rsidR="00F16805" w:rsidRPr="006101E5" w:rsidRDefault="00F16805" w:rsidP="00416E22">
            <w:pPr>
              <w:keepNext/>
              <w:spacing w:after="0"/>
              <w:jc w:val="center"/>
              <w:rPr>
                <w:rFonts w:ascii="EC Square Sans Cond Pro" w:eastAsia="Times New Roman" w:hAnsi="EC Square Sans Cond Pro" w:cs="Calibri"/>
                <w:b/>
                <w:bCs/>
                <w:noProof/>
                <w:sz w:val="18"/>
                <w:szCs w:val="18"/>
                <w:lang w:val="en-IE"/>
              </w:rPr>
            </w:pPr>
            <w:r w:rsidRPr="006101E5">
              <w:rPr>
                <w:rFonts w:ascii="EC Square Sans Cond Pro" w:eastAsia="Times New Roman" w:hAnsi="EC Square Sans Cond Pro" w:cs="Calibri"/>
                <w:b/>
                <w:bCs/>
                <w:noProof/>
                <w:sz w:val="18"/>
                <w:szCs w:val="18"/>
                <w:lang w:val="en-IE"/>
              </w:rPr>
              <w:t>S1, S2, S3 &amp; LIFE</w:t>
            </w:r>
          </w:p>
        </w:tc>
        <w:tc>
          <w:tcPr>
            <w:tcW w:w="473" w:type="pct"/>
            <w:tcBorders>
              <w:top w:val="nil"/>
              <w:left w:val="nil"/>
              <w:bottom w:val="single" w:sz="12" w:space="0" w:color="auto"/>
              <w:right w:val="nil"/>
            </w:tcBorders>
            <w:shd w:val="clear" w:color="auto" w:fill="auto"/>
            <w:vAlign w:val="center"/>
            <w:hideMark/>
          </w:tcPr>
          <w:p w14:paraId="03FE276A" w14:textId="77777777" w:rsidR="00F16805" w:rsidRPr="006101E5" w:rsidRDefault="00F16805" w:rsidP="00416E22">
            <w:pPr>
              <w:keepNext/>
              <w:spacing w:after="0"/>
              <w:jc w:val="center"/>
              <w:rPr>
                <w:rFonts w:ascii="EC Square Sans Cond Pro" w:eastAsia="Times New Roman" w:hAnsi="EC Square Sans Cond Pro" w:cs="Calibri"/>
                <w:b/>
                <w:bCs/>
                <w:noProof/>
                <w:sz w:val="18"/>
                <w:szCs w:val="18"/>
                <w:lang w:val="en-IE"/>
              </w:rPr>
            </w:pPr>
            <w:r w:rsidRPr="006101E5">
              <w:rPr>
                <w:rFonts w:ascii="EC Square Sans Cond Pro" w:eastAsia="Times New Roman" w:hAnsi="EC Square Sans Cond Pro" w:cs="Calibri"/>
                <w:b/>
                <w:bCs/>
                <w:noProof/>
                <w:sz w:val="18"/>
                <w:szCs w:val="18"/>
                <w:lang w:val="en-IE"/>
              </w:rPr>
              <w:t>S1</w:t>
            </w:r>
          </w:p>
        </w:tc>
        <w:tc>
          <w:tcPr>
            <w:tcW w:w="501" w:type="pct"/>
            <w:tcBorders>
              <w:top w:val="nil"/>
              <w:left w:val="nil"/>
              <w:bottom w:val="single" w:sz="12" w:space="0" w:color="auto"/>
              <w:right w:val="nil"/>
            </w:tcBorders>
            <w:shd w:val="clear" w:color="auto" w:fill="auto"/>
            <w:vAlign w:val="center"/>
            <w:hideMark/>
          </w:tcPr>
          <w:p w14:paraId="483AAD0D" w14:textId="77777777" w:rsidR="00F16805" w:rsidRPr="006101E5" w:rsidRDefault="00F16805" w:rsidP="00416E22">
            <w:pPr>
              <w:keepNext/>
              <w:spacing w:after="0"/>
              <w:jc w:val="center"/>
              <w:rPr>
                <w:rFonts w:ascii="EC Square Sans Cond Pro" w:eastAsia="Times New Roman" w:hAnsi="EC Square Sans Cond Pro" w:cs="Calibri"/>
                <w:b/>
                <w:bCs/>
                <w:noProof/>
                <w:sz w:val="18"/>
                <w:szCs w:val="18"/>
                <w:lang w:val="en-IE"/>
              </w:rPr>
            </w:pPr>
            <w:r w:rsidRPr="006101E5">
              <w:rPr>
                <w:rFonts w:ascii="EC Square Sans Cond Pro" w:eastAsia="Times New Roman" w:hAnsi="EC Square Sans Cond Pro" w:cs="Calibri"/>
                <w:b/>
                <w:bCs/>
                <w:noProof/>
                <w:sz w:val="18"/>
                <w:szCs w:val="18"/>
                <w:lang w:val="en-IE"/>
              </w:rPr>
              <w:t>S2, S3 &amp; LIFE</w:t>
            </w:r>
          </w:p>
        </w:tc>
        <w:tc>
          <w:tcPr>
            <w:tcW w:w="519" w:type="pct"/>
            <w:tcBorders>
              <w:top w:val="nil"/>
              <w:left w:val="nil"/>
              <w:bottom w:val="single" w:sz="12" w:space="0" w:color="auto"/>
              <w:right w:val="nil"/>
            </w:tcBorders>
            <w:shd w:val="clear" w:color="auto" w:fill="auto"/>
            <w:vAlign w:val="center"/>
            <w:hideMark/>
          </w:tcPr>
          <w:p w14:paraId="0E0DB79F" w14:textId="77777777" w:rsidR="00F16805" w:rsidRPr="006101E5" w:rsidRDefault="00F16805" w:rsidP="00416E22">
            <w:pPr>
              <w:keepNext/>
              <w:spacing w:after="0"/>
              <w:jc w:val="center"/>
              <w:rPr>
                <w:rFonts w:ascii="EC Square Sans Cond Pro" w:eastAsia="Times New Roman" w:hAnsi="EC Square Sans Cond Pro" w:cs="Calibri"/>
                <w:b/>
                <w:bCs/>
                <w:noProof/>
                <w:sz w:val="18"/>
                <w:szCs w:val="18"/>
                <w:lang w:val="en-IE"/>
              </w:rPr>
            </w:pPr>
            <w:r w:rsidRPr="006101E5">
              <w:rPr>
                <w:rFonts w:ascii="EC Square Sans Cond Pro" w:eastAsia="Times New Roman" w:hAnsi="EC Square Sans Cond Pro" w:cs="Calibri"/>
                <w:b/>
                <w:bCs/>
                <w:noProof/>
                <w:sz w:val="18"/>
                <w:szCs w:val="18"/>
                <w:lang w:val="en-IE"/>
              </w:rPr>
              <w:t>S1, S2, S3 &amp; LIFE</w:t>
            </w:r>
          </w:p>
        </w:tc>
      </w:tr>
      <w:tr w:rsidR="00F16805" w:rsidRPr="006101E5" w14:paraId="1B1A3EA1" w14:textId="77777777" w:rsidTr="005166D5">
        <w:trPr>
          <w:trHeight w:val="315"/>
        </w:trPr>
        <w:tc>
          <w:tcPr>
            <w:tcW w:w="974" w:type="pct"/>
            <w:tcBorders>
              <w:top w:val="nil"/>
              <w:left w:val="nil"/>
              <w:bottom w:val="nil"/>
              <w:right w:val="nil"/>
            </w:tcBorders>
            <w:shd w:val="clear" w:color="auto" w:fill="auto"/>
            <w:noWrap/>
            <w:vAlign w:val="center"/>
            <w:hideMark/>
          </w:tcPr>
          <w:p w14:paraId="18808A97" w14:textId="77777777" w:rsidR="00F16805" w:rsidRPr="006101E5" w:rsidRDefault="00F16805" w:rsidP="00416E22">
            <w:pPr>
              <w:keepNext/>
              <w:spacing w:after="0"/>
              <w:jc w:val="left"/>
              <w:rPr>
                <w:rFonts w:ascii="EC Square Sans Cond Pro" w:eastAsia="Times New Roman" w:hAnsi="EC Square Sans Cond Pro" w:cs="Calibri"/>
                <w:b/>
                <w:bCs/>
                <w:noProof/>
                <w:sz w:val="18"/>
                <w:szCs w:val="18"/>
                <w:lang w:val="en-IE"/>
              </w:rPr>
            </w:pPr>
            <w:r w:rsidRPr="006101E5">
              <w:rPr>
                <w:rFonts w:ascii="EC Square Sans Cond Pro" w:eastAsia="Times New Roman" w:hAnsi="EC Square Sans Cond Pro" w:cs="Calibri"/>
                <w:b/>
                <w:bCs/>
                <w:noProof/>
                <w:sz w:val="18"/>
                <w:szCs w:val="18"/>
                <w:lang w:val="en-IE"/>
              </w:rPr>
              <w:t>Waste management*</w:t>
            </w:r>
          </w:p>
        </w:tc>
        <w:tc>
          <w:tcPr>
            <w:tcW w:w="340" w:type="pct"/>
            <w:tcBorders>
              <w:top w:val="nil"/>
              <w:left w:val="nil"/>
              <w:bottom w:val="nil"/>
              <w:right w:val="nil"/>
            </w:tcBorders>
            <w:shd w:val="clear" w:color="auto" w:fill="auto"/>
            <w:noWrap/>
            <w:vAlign w:val="center"/>
            <w:hideMark/>
          </w:tcPr>
          <w:p w14:paraId="16517848" w14:textId="77777777" w:rsidR="00F16805" w:rsidRPr="006101E5" w:rsidRDefault="00F16805" w:rsidP="00416E22">
            <w:pPr>
              <w:keepNext/>
              <w:spacing w:after="0"/>
              <w:jc w:val="left"/>
              <w:rPr>
                <w:rFonts w:ascii="EC Square Sans Cond Pro" w:eastAsia="Times New Roman" w:hAnsi="EC Square Sans Cond Pro" w:cs="Calibri"/>
                <w:b/>
                <w:bCs/>
                <w:noProof/>
                <w:sz w:val="18"/>
                <w:szCs w:val="18"/>
                <w:lang w:val="en-IE"/>
              </w:rPr>
            </w:pPr>
            <w:r w:rsidRPr="006101E5">
              <w:rPr>
                <w:rFonts w:ascii="Calibri" w:eastAsia="Times New Roman" w:hAnsi="Calibri" w:cs="Calibri"/>
                <w:b/>
                <w:bCs/>
                <w:noProof/>
                <w:sz w:val="18"/>
                <w:szCs w:val="18"/>
                <w:lang w:val="en-IE"/>
              </w:rPr>
              <w:t> </w:t>
            </w:r>
          </w:p>
        </w:tc>
        <w:tc>
          <w:tcPr>
            <w:tcW w:w="572" w:type="pct"/>
            <w:tcBorders>
              <w:top w:val="nil"/>
              <w:left w:val="nil"/>
              <w:bottom w:val="nil"/>
              <w:right w:val="nil"/>
            </w:tcBorders>
            <w:shd w:val="clear" w:color="auto" w:fill="auto"/>
            <w:vAlign w:val="center"/>
            <w:hideMark/>
          </w:tcPr>
          <w:p w14:paraId="4E802930" w14:textId="77777777" w:rsidR="00F16805" w:rsidRPr="006101E5" w:rsidRDefault="00F16805" w:rsidP="00416E22">
            <w:pPr>
              <w:keepNext/>
              <w:spacing w:after="0"/>
              <w:jc w:val="left"/>
              <w:rPr>
                <w:rFonts w:ascii="EC Square Sans Cond Pro" w:eastAsia="Times New Roman" w:hAnsi="EC Square Sans Cond Pro" w:cs="Calibri"/>
                <w:b/>
                <w:bCs/>
                <w:noProof/>
                <w:sz w:val="18"/>
                <w:szCs w:val="18"/>
                <w:lang w:val="en-IE"/>
              </w:rPr>
            </w:pPr>
          </w:p>
        </w:tc>
        <w:tc>
          <w:tcPr>
            <w:tcW w:w="507" w:type="pct"/>
            <w:tcBorders>
              <w:top w:val="nil"/>
              <w:left w:val="nil"/>
              <w:bottom w:val="nil"/>
              <w:right w:val="nil"/>
            </w:tcBorders>
            <w:shd w:val="clear" w:color="auto" w:fill="auto"/>
            <w:vAlign w:val="center"/>
            <w:hideMark/>
          </w:tcPr>
          <w:p w14:paraId="25B8F7C5" w14:textId="77777777" w:rsidR="00F16805" w:rsidRPr="006101E5" w:rsidRDefault="00F16805" w:rsidP="00416E22">
            <w:pPr>
              <w:keepNext/>
              <w:spacing w:after="0"/>
              <w:jc w:val="left"/>
              <w:rPr>
                <w:rFonts w:ascii="EC Square Sans Cond Pro" w:eastAsia="Times New Roman" w:hAnsi="EC Square Sans Cond Pro" w:cs="Times New Roman"/>
                <w:noProof/>
                <w:sz w:val="18"/>
                <w:szCs w:val="18"/>
                <w:lang w:val="en-IE"/>
              </w:rPr>
            </w:pPr>
          </w:p>
        </w:tc>
        <w:tc>
          <w:tcPr>
            <w:tcW w:w="542" w:type="pct"/>
            <w:tcBorders>
              <w:top w:val="nil"/>
              <w:left w:val="nil"/>
              <w:bottom w:val="nil"/>
              <w:right w:val="nil"/>
            </w:tcBorders>
            <w:shd w:val="clear" w:color="auto" w:fill="auto"/>
            <w:vAlign w:val="center"/>
            <w:hideMark/>
          </w:tcPr>
          <w:p w14:paraId="44061888" w14:textId="77777777" w:rsidR="00F16805" w:rsidRPr="006101E5" w:rsidRDefault="00F16805" w:rsidP="00416E22">
            <w:pPr>
              <w:keepNext/>
              <w:spacing w:after="0"/>
              <w:jc w:val="left"/>
              <w:rPr>
                <w:rFonts w:ascii="EC Square Sans Cond Pro" w:eastAsia="Times New Roman" w:hAnsi="EC Square Sans Cond Pro" w:cs="Times New Roman"/>
                <w:noProof/>
                <w:sz w:val="18"/>
                <w:szCs w:val="18"/>
                <w:lang w:val="en-IE"/>
              </w:rPr>
            </w:pPr>
          </w:p>
        </w:tc>
        <w:tc>
          <w:tcPr>
            <w:tcW w:w="572" w:type="pct"/>
            <w:tcBorders>
              <w:top w:val="nil"/>
              <w:left w:val="nil"/>
              <w:bottom w:val="nil"/>
              <w:right w:val="nil"/>
            </w:tcBorders>
            <w:shd w:val="clear" w:color="auto" w:fill="auto"/>
            <w:vAlign w:val="center"/>
            <w:hideMark/>
          </w:tcPr>
          <w:p w14:paraId="38E7FCB0" w14:textId="77777777" w:rsidR="00F16805" w:rsidRPr="006101E5" w:rsidRDefault="00F16805" w:rsidP="00416E22">
            <w:pPr>
              <w:keepNext/>
              <w:spacing w:after="0"/>
              <w:jc w:val="left"/>
              <w:rPr>
                <w:rFonts w:ascii="EC Square Sans Cond Pro" w:eastAsia="Times New Roman" w:hAnsi="EC Square Sans Cond Pro" w:cs="Times New Roman"/>
                <w:noProof/>
                <w:sz w:val="18"/>
                <w:szCs w:val="18"/>
                <w:lang w:val="en-IE"/>
              </w:rPr>
            </w:pPr>
          </w:p>
        </w:tc>
        <w:tc>
          <w:tcPr>
            <w:tcW w:w="473" w:type="pct"/>
            <w:tcBorders>
              <w:top w:val="nil"/>
              <w:left w:val="nil"/>
              <w:bottom w:val="nil"/>
              <w:right w:val="nil"/>
            </w:tcBorders>
            <w:shd w:val="clear" w:color="auto" w:fill="auto"/>
            <w:vAlign w:val="center"/>
            <w:hideMark/>
          </w:tcPr>
          <w:p w14:paraId="36D5B944" w14:textId="77777777" w:rsidR="00F16805" w:rsidRPr="006101E5" w:rsidRDefault="00F16805" w:rsidP="00416E22">
            <w:pPr>
              <w:keepNext/>
              <w:spacing w:after="0"/>
              <w:jc w:val="left"/>
              <w:rPr>
                <w:rFonts w:ascii="EC Square Sans Cond Pro" w:eastAsia="Times New Roman" w:hAnsi="EC Square Sans Cond Pro" w:cs="Times New Roman"/>
                <w:noProof/>
                <w:sz w:val="18"/>
                <w:szCs w:val="18"/>
                <w:lang w:val="en-IE"/>
              </w:rPr>
            </w:pPr>
          </w:p>
        </w:tc>
        <w:tc>
          <w:tcPr>
            <w:tcW w:w="501" w:type="pct"/>
            <w:tcBorders>
              <w:top w:val="nil"/>
              <w:left w:val="nil"/>
              <w:bottom w:val="nil"/>
              <w:right w:val="nil"/>
            </w:tcBorders>
            <w:shd w:val="clear" w:color="auto" w:fill="auto"/>
            <w:vAlign w:val="center"/>
            <w:hideMark/>
          </w:tcPr>
          <w:p w14:paraId="40312A90" w14:textId="77777777" w:rsidR="00F16805" w:rsidRPr="006101E5" w:rsidRDefault="00F16805" w:rsidP="00416E22">
            <w:pPr>
              <w:keepNext/>
              <w:spacing w:after="0"/>
              <w:jc w:val="left"/>
              <w:rPr>
                <w:rFonts w:ascii="EC Square Sans Cond Pro" w:eastAsia="Times New Roman" w:hAnsi="EC Square Sans Cond Pro" w:cs="Times New Roman"/>
                <w:noProof/>
                <w:sz w:val="18"/>
                <w:szCs w:val="18"/>
                <w:lang w:val="en-IE"/>
              </w:rPr>
            </w:pPr>
          </w:p>
        </w:tc>
        <w:tc>
          <w:tcPr>
            <w:tcW w:w="519" w:type="pct"/>
            <w:tcBorders>
              <w:top w:val="nil"/>
              <w:left w:val="nil"/>
              <w:bottom w:val="nil"/>
              <w:right w:val="nil"/>
            </w:tcBorders>
            <w:shd w:val="clear" w:color="auto" w:fill="auto"/>
            <w:vAlign w:val="center"/>
            <w:hideMark/>
          </w:tcPr>
          <w:p w14:paraId="393AAD61" w14:textId="77777777" w:rsidR="00F16805" w:rsidRPr="006101E5" w:rsidRDefault="00F16805" w:rsidP="00416E22">
            <w:pPr>
              <w:keepNext/>
              <w:spacing w:after="0"/>
              <w:jc w:val="left"/>
              <w:rPr>
                <w:rFonts w:ascii="EC Square Sans Cond Pro" w:eastAsia="Times New Roman" w:hAnsi="EC Square Sans Cond Pro" w:cs="Times New Roman"/>
                <w:noProof/>
                <w:sz w:val="18"/>
                <w:szCs w:val="18"/>
                <w:lang w:val="en-IE"/>
              </w:rPr>
            </w:pPr>
          </w:p>
        </w:tc>
      </w:tr>
      <w:tr w:rsidR="00DC71FD" w:rsidRPr="006101E5" w14:paraId="0E1EBD40" w14:textId="77777777" w:rsidTr="005166D5">
        <w:trPr>
          <w:trHeight w:val="300"/>
        </w:trPr>
        <w:tc>
          <w:tcPr>
            <w:tcW w:w="974" w:type="pct"/>
            <w:tcBorders>
              <w:top w:val="nil"/>
              <w:left w:val="nil"/>
              <w:bottom w:val="nil"/>
              <w:right w:val="nil"/>
            </w:tcBorders>
            <w:shd w:val="clear" w:color="auto" w:fill="auto"/>
            <w:noWrap/>
            <w:vAlign w:val="center"/>
            <w:hideMark/>
          </w:tcPr>
          <w:p w14:paraId="58E1588A" w14:textId="77777777" w:rsidR="00DC71FD" w:rsidRPr="006101E5" w:rsidRDefault="00DC71FD" w:rsidP="00DC71FD">
            <w:pPr>
              <w:keepNext/>
              <w:spacing w:after="0"/>
              <w:jc w:val="left"/>
              <w:rPr>
                <w:rFonts w:ascii="EC Square Sans Cond Pro" w:eastAsia="Times New Roman" w:hAnsi="EC Square Sans Cond Pro" w:cs="Calibri"/>
                <w:noProof/>
                <w:sz w:val="18"/>
                <w:szCs w:val="18"/>
                <w:lang w:val="en-IE"/>
              </w:rPr>
            </w:pPr>
            <w:r w:rsidRPr="006101E5">
              <w:rPr>
                <w:rFonts w:ascii="EC Square Sans Cond Pro" w:eastAsia="Times New Roman" w:hAnsi="EC Square Sans Cond Pro" w:cs="Calibri"/>
                <w:noProof/>
                <w:sz w:val="18"/>
                <w:szCs w:val="18"/>
                <w:lang w:val="en-IE"/>
              </w:rPr>
              <w:t>CH4</w:t>
            </w:r>
          </w:p>
        </w:tc>
        <w:tc>
          <w:tcPr>
            <w:tcW w:w="340" w:type="pct"/>
            <w:tcBorders>
              <w:top w:val="nil"/>
              <w:left w:val="nil"/>
              <w:bottom w:val="nil"/>
              <w:right w:val="nil"/>
            </w:tcBorders>
            <w:shd w:val="clear" w:color="auto" w:fill="auto"/>
            <w:noWrap/>
            <w:vAlign w:val="center"/>
            <w:hideMark/>
          </w:tcPr>
          <w:p w14:paraId="580E8CDC" w14:textId="03C0D7D1"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145</w:t>
            </w:r>
          </w:p>
        </w:tc>
        <w:tc>
          <w:tcPr>
            <w:tcW w:w="572" w:type="pct"/>
            <w:tcBorders>
              <w:top w:val="nil"/>
              <w:left w:val="nil"/>
              <w:bottom w:val="nil"/>
              <w:right w:val="nil"/>
            </w:tcBorders>
            <w:shd w:val="clear" w:color="auto" w:fill="auto"/>
            <w:noWrap/>
            <w:vAlign w:val="center"/>
            <w:hideMark/>
          </w:tcPr>
          <w:p w14:paraId="413EAEE3" w14:textId="3A979CA3"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109</w:t>
            </w:r>
          </w:p>
        </w:tc>
        <w:tc>
          <w:tcPr>
            <w:tcW w:w="507" w:type="pct"/>
            <w:tcBorders>
              <w:top w:val="nil"/>
              <w:left w:val="nil"/>
              <w:bottom w:val="nil"/>
              <w:right w:val="nil"/>
            </w:tcBorders>
            <w:shd w:val="clear" w:color="auto" w:fill="auto"/>
            <w:noWrap/>
            <w:vAlign w:val="center"/>
            <w:hideMark/>
          </w:tcPr>
          <w:p w14:paraId="1CC80193" w14:textId="6E6E85CC"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5</w:t>
            </w:r>
            <w:r>
              <w:rPr>
                <w:rFonts w:ascii="EC Square Sans Cond Pro" w:hAnsi="EC Square Sans Cond Pro" w:cs="Calibri"/>
                <w:noProof/>
                <w:sz w:val="18"/>
                <w:szCs w:val="18"/>
              </w:rPr>
              <w:t>9</w:t>
            </w:r>
          </w:p>
        </w:tc>
        <w:tc>
          <w:tcPr>
            <w:tcW w:w="542" w:type="pct"/>
            <w:tcBorders>
              <w:top w:val="nil"/>
              <w:left w:val="nil"/>
              <w:bottom w:val="nil"/>
              <w:right w:val="nil"/>
            </w:tcBorders>
            <w:shd w:val="clear" w:color="auto" w:fill="auto"/>
            <w:noWrap/>
            <w:vAlign w:val="center"/>
            <w:hideMark/>
          </w:tcPr>
          <w:p w14:paraId="3FF12657" w14:textId="2E85ED4A"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51</w:t>
            </w:r>
          </w:p>
        </w:tc>
        <w:tc>
          <w:tcPr>
            <w:tcW w:w="572" w:type="pct"/>
            <w:tcBorders>
              <w:top w:val="nil"/>
              <w:left w:val="nil"/>
              <w:bottom w:val="nil"/>
              <w:right w:val="nil"/>
            </w:tcBorders>
            <w:shd w:val="clear" w:color="auto" w:fill="auto"/>
            <w:noWrap/>
            <w:vAlign w:val="center"/>
            <w:hideMark/>
          </w:tcPr>
          <w:p w14:paraId="2158AB74" w14:textId="395BBE3C"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28</w:t>
            </w:r>
          </w:p>
        </w:tc>
        <w:tc>
          <w:tcPr>
            <w:tcW w:w="473" w:type="pct"/>
            <w:tcBorders>
              <w:top w:val="nil"/>
              <w:left w:val="nil"/>
              <w:bottom w:val="nil"/>
              <w:right w:val="nil"/>
            </w:tcBorders>
            <w:shd w:val="clear" w:color="auto" w:fill="auto"/>
            <w:vAlign w:val="center"/>
            <w:hideMark/>
          </w:tcPr>
          <w:p w14:paraId="61B63E6E" w14:textId="1122FE90" w:rsidR="00DC71FD" w:rsidRPr="00DC71FD" w:rsidRDefault="00DC71FD" w:rsidP="00DC71FD">
            <w:pPr>
              <w:keepNext/>
              <w:spacing w:after="0"/>
              <w:jc w:val="center"/>
              <w:rPr>
                <w:rFonts w:ascii="EC Square Sans Cond Pro" w:hAnsi="EC Square Sans Cond Pro" w:cs="Calibri"/>
                <w:noProof/>
                <w:sz w:val="18"/>
                <w:szCs w:val="18"/>
              </w:rPr>
            </w:pPr>
            <w:r w:rsidRPr="00DC71FD">
              <w:rPr>
                <w:rFonts w:ascii="EC Square Sans Cond Pro" w:hAnsi="EC Square Sans Cond Pro" w:cs="Calibri"/>
                <w:noProof/>
                <w:sz w:val="18"/>
                <w:szCs w:val="18"/>
              </w:rPr>
              <w:t>-46%</w:t>
            </w:r>
          </w:p>
        </w:tc>
        <w:tc>
          <w:tcPr>
            <w:tcW w:w="501" w:type="pct"/>
            <w:tcBorders>
              <w:top w:val="nil"/>
              <w:left w:val="nil"/>
              <w:bottom w:val="nil"/>
              <w:right w:val="nil"/>
            </w:tcBorders>
            <w:shd w:val="clear" w:color="auto" w:fill="auto"/>
            <w:vAlign w:val="center"/>
            <w:hideMark/>
          </w:tcPr>
          <w:p w14:paraId="2785F221" w14:textId="3658CEA9"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-53%</w:t>
            </w:r>
          </w:p>
        </w:tc>
        <w:tc>
          <w:tcPr>
            <w:tcW w:w="519" w:type="pct"/>
            <w:tcBorders>
              <w:top w:val="nil"/>
              <w:left w:val="nil"/>
              <w:bottom w:val="nil"/>
              <w:right w:val="nil"/>
            </w:tcBorders>
            <w:shd w:val="clear" w:color="auto" w:fill="auto"/>
            <w:vAlign w:val="center"/>
            <w:hideMark/>
          </w:tcPr>
          <w:p w14:paraId="58A6B29B" w14:textId="0F16161F"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-74%</w:t>
            </w:r>
          </w:p>
        </w:tc>
      </w:tr>
      <w:tr w:rsidR="00DC71FD" w:rsidRPr="006101E5" w14:paraId="16BC6DB1" w14:textId="77777777" w:rsidTr="005166D5">
        <w:trPr>
          <w:trHeight w:val="300"/>
        </w:trPr>
        <w:tc>
          <w:tcPr>
            <w:tcW w:w="974" w:type="pct"/>
            <w:tcBorders>
              <w:top w:val="nil"/>
              <w:left w:val="nil"/>
              <w:bottom w:val="nil"/>
              <w:right w:val="nil"/>
            </w:tcBorders>
            <w:shd w:val="clear" w:color="auto" w:fill="auto"/>
            <w:noWrap/>
            <w:vAlign w:val="center"/>
            <w:hideMark/>
          </w:tcPr>
          <w:p w14:paraId="4C4F0B07" w14:textId="77777777" w:rsidR="00DC71FD" w:rsidRPr="006101E5" w:rsidRDefault="00DC71FD" w:rsidP="00DC71FD">
            <w:pPr>
              <w:keepNext/>
              <w:spacing w:after="0"/>
              <w:jc w:val="left"/>
              <w:rPr>
                <w:rFonts w:ascii="EC Square Sans Cond Pro" w:eastAsia="Times New Roman" w:hAnsi="EC Square Sans Cond Pro" w:cs="Calibri"/>
                <w:noProof/>
                <w:sz w:val="18"/>
                <w:szCs w:val="18"/>
                <w:lang w:val="en-IE"/>
              </w:rPr>
            </w:pPr>
            <w:r w:rsidRPr="006101E5">
              <w:rPr>
                <w:rFonts w:ascii="EC Square Sans Cond Pro" w:eastAsia="Times New Roman" w:hAnsi="EC Square Sans Cond Pro" w:cs="Calibri"/>
                <w:noProof/>
                <w:sz w:val="18"/>
                <w:szCs w:val="18"/>
                <w:lang w:val="en-IE"/>
              </w:rPr>
              <w:t>N2O</w:t>
            </w:r>
          </w:p>
        </w:tc>
        <w:tc>
          <w:tcPr>
            <w:tcW w:w="340" w:type="pct"/>
            <w:tcBorders>
              <w:top w:val="nil"/>
              <w:left w:val="nil"/>
              <w:bottom w:val="nil"/>
              <w:right w:val="nil"/>
            </w:tcBorders>
            <w:shd w:val="clear" w:color="auto" w:fill="auto"/>
            <w:noWrap/>
            <w:vAlign w:val="center"/>
            <w:hideMark/>
          </w:tcPr>
          <w:p w14:paraId="0F66F006" w14:textId="1407433E"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10</w:t>
            </w:r>
          </w:p>
        </w:tc>
        <w:tc>
          <w:tcPr>
            <w:tcW w:w="572" w:type="pct"/>
            <w:tcBorders>
              <w:top w:val="nil"/>
              <w:left w:val="nil"/>
              <w:bottom w:val="nil"/>
              <w:right w:val="nil"/>
            </w:tcBorders>
            <w:shd w:val="clear" w:color="auto" w:fill="auto"/>
            <w:noWrap/>
            <w:vAlign w:val="center"/>
            <w:hideMark/>
          </w:tcPr>
          <w:p w14:paraId="7B12DFE8" w14:textId="2CFA192D"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9</w:t>
            </w:r>
            <w:r>
              <w:rPr>
                <w:rFonts w:ascii="EC Square Sans Cond Pro" w:hAnsi="EC Square Sans Cond Pro" w:cs="Calibri"/>
                <w:noProof/>
                <w:sz w:val="18"/>
                <w:szCs w:val="18"/>
              </w:rPr>
              <w:t>.2</w:t>
            </w:r>
          </w:p>
        </w:tc>
        <w:tc>
          <w:tcPr>
            <w:tcW w:w="507" w:type="pct"/>
            <w:tcBorders>
              <w:top w:val="nil"/>
              <w:left w:val="nil"/>
              <w:bottom w:val="nil"/>
              <w:right w:val="nil"/>
            </w:tcBorders>
            <w:shd w:val="clear" w:color="auto" w:fill="auto"/>
            <w:noWrap/>
            <w:vAlign w:val="center"/>
            <w:hideMark/>
          </w:tcPr>
          <w:p w14:paraId="1E24BD4C" w14:textId="5E20A89A"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Pr>
                <w:rFonts w:ascii="EC Square Sans Cond Pro" w:hAnsi="EC Square Sans Cond Pro" w:cs="Calibri"/>
                <w:noProof/>
                <w:sz w:val="18"/>
                <w:szCs w:val="18"/>
              </w:rPr>
              <w:t>9.1</w:t>
            </w:r>
          </w:p>
        </w:tc>
        <w:tc>
          <w:tcPr>
            <w:tcW w:w="542" w:type="pct"/>
            <w:tcBorders>
              <w:top w:val="nil"/>
              <w:left w:val="nil"/>
              <w:bottom w:val="nil"/>
              <w:right w:val="nil"/>
            </w:tcBorders>
            <w:shd w:val="clear" w:color="auto" w:fill="auto"/>
            <w:noWrap/>
            <w:vAlign w:val="center"/>
            <w:hideMark/>
          </w:tcPr>
          <w:p w14:paraId="027EC363" w14:textId="4B9133A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4.2</w:t>
            </w:r>
          </w:p>
        </w:tc>
        <w:tc>
          <w:tcPr>
            <w:tcW w:w="572" w:type="pct"/>
            <w:tcBorders>
              <w:top w:val="nil"/>
              <w:left w:val="nil"/>
              <w:bottom w:val="nil"/>
              <w:right w:val="nil"/>
            </w:tcBorders>
            <w:shd w:val="clear" w:color="auto" w:fill="auto"/>
            <w:noWrap/>
            <w:vAlign w:val="center"/>
            <w:hideMark/>
          </w:tcPr>
          <w:p w14:paraId="541A57F9" w14:textId="297A928B"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3.8</w:t>
            </w:r>
          </w:p>
        </w:tc>
        <w:tc>
          <w:tcPr>
            <w:tcW w:w="473" w:type="pct"/>
            <w:tcBorders>
              <w:top w:val="nil"/>
              <w:left w:val="nil"/>
              <w:bottom w:val="nil"/>
              <w:right w:val="nil"/>
            </w:tcBorders>
            <w:shd w:val="clear" w:color="auto" w:fill="auto"/>
            <w:vAlign w:val="center"/>
            <w:hideMark/>
          </w:tcPr>
          <w:p w14:paraId="11ADCF58" w14:textId="5B86EBC5" w:rsidR="00DC71FD" w:rsidRPr="00DC71FD" w:rsidRDefault="00DC71FD" w:rsidP="00DC71FD">
            <w:pPr>
              <w:keepNext/>
              <w:spacing w:after="0"/>
              <w:jc w:val="center"/>
              <w:rPr>
                <w:rFonts w:ascii="EC Square Sans Cond Pro" w:hAnsi="EC Square Sans Cond Pro" w:cs="Calibri"/>
                <w:noProof/>
                <w:sz w:val="18"/>
                <w:szCs w:val="18"/>
              </w:rPr>
            </w:pPr>
            <w:r w:rsidRPr="00DC71FD">
              <w:rPr>
                <w:rFonts w:ascii="EC Square Sans Cond Pro" w:hAnsi="EC Square Sans Cond Pro" w:cs="Calibri"/>
                <w:noProof/>
                <w:sz w:val="18"/>
                <w:szCs w:val="18"/>
              </w:rPr>
              <w:t>-1%</w:t>
            </w:r>
          </w:p>
        </w:tc>
        <w:tc>
          <w:tcPr>
            <w:tcW w:w="501" w:type="pct"/>
            <w:tcBorders>
              <w:top w:val="nil"/>
              <w:left w:val="nil"/>
              <w:bottom w:val="nil"/>
              <w:right w:val="nil"/>
            </w:tcBorders>
            <w:shd w:val="clear" w:color="auto" w:fill="auto"/>
            <w:vAlign w:val="center"/>
            <w:hideMark/>
          </w:tcPr>
          <w:p w14:paraId="53F80BF4" w14:textId="01FC69B5"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-54%</w:t>
            </w:r>
          </w:p>
        </w:tc>
        <w:tc>
          <w:tcPr>
            <w:tcW w:w="519" w:type="pct"/>
            <w:tcBorders>
              <w:top w:val="nil"/>
              <w:left w:val="nil"/>
              <w:bottom w:val="nil"/>
              <w:right w:val="nil"/>
            </w:tcBorders>
            <w:shd w:val="clear" w:color="auto" w:fill="auto"/>
            <w:vAlign w:val="center"/>
            <w:hideMark/>
          </w:tcPr>
          <w:p w14:paraId="6DEF7730" w14:textId="2358ECAD"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-59%</w:t>
            </w:r>
          </w:p>
        </w:tc>
      </w:tr>
      <w:tr w:rsidR="00DC71FD" w:rsidRPr="006101E5" w14:paraId="111630BE" w14:textId="77777777" w:rsidTr="005166D5">
        <w:trPr>
          <w:trHeight w:val="300"/>
        </w:trPr>
        <w:tc>
          <w:tcPr>
            <w:tcW w:w="974" w:type="pct"/>
            <w:tcBorders>
              <w:top w:val="nil"/>
              <w:left w:val="nil"/>
              <w:bottom w:val="nil"/>
              <w:right w:val="nil"/>
            </w:tcBorders>
            <w:shd w:val="clear" w:color="auto" w:fill="auto"/>
            <w:noWrap/>
            <w:vAlign w:val="center"/>
            <w:hideMark/>
          </w:tcPr>
          <w:p w14:paraId="55C8DF83" w14:textId="77777777" w:rsidR="00DC71FD" w:rsidRPr="006101E5" w:rsidRDefault="00DC71FD" w:rsidP="00DC71FD">
            <w:pPr>
              <w:keepNext/>
              <w:spacing w:after="0"/>
              <w:jc w:val="left"/>
              <w:rPr>
                <w:rFonts w:ascii="EC Square Sans Cond Pro" w:eastAsia="Times New Roman" w:hAnsi="EC Square Sans Cond Pro" w:cs="Calibri"/>
                <w:noProof/>
                <w:sz w:val="18"/>
                <w:szCs w:val="18"/>
                <w:lang w:val="en-IE"/>
              </w:rPr>
            </w:pPr>
            <w:r w:rsidRPr="006101E5">
              <w:rPr>
                <w:rFonts w:ascii="EC Square Sans Cond Pro" w:eastAsia="Times New Roman" w:hAnsi="EC Square Sans Cond Pro" w:cs="Calibri"/>
                <w:noProof/>
                <w:sz w:val="18"/>
                <w:szCs w:val="18"/>
                <w:lang w:val="en-IE"/>
              </w:rPr>
              <w:t>Total (all gases)</w:t>
            </w:r>
          </w:p>
        </w:tc>
        <w:tc>
          <w:tcPr>
            <w:tcW w:w="340" w:type="pct"/>
            <w:tcBorders>
              <w:top w:val="nil"/>
              <w:left w:val="nil"/>
              <w:bottom w:val="nil"/>
              <w:right w:val="nil"/>
            </w:tcBorders>
            <w:shd w:val="clear" w:color="auto" w:fill="auto"/>
            <w:noWrap/>
            <w:vAlign w:val="center"/>
            <w:hideMark/>
          </w:tcPr>
          <w:p w14:paraId="163397FB" w14:textId="32782516"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155</w:t>
            </w:r>
          </w:p>
        </w:tc>
        <w:tc>
          <w:tcPr>
            <w:tcW w:w="572" w:type="pct"/>
            <w:tcBorders>
              <w:top w:val="nil"/>
              <w:left w:val="nil"/>
              <w:bottom w:val="nil"/>
              <w:right w:val="nil"/>
            </w:tcBorders>
            <w:shd w:val="clear" w:color="auto" w:fill="auto"/>
            <w:noWrap/>
            <w:vAlign w:val="center"/>
            <w:hideMark/>
          </w:tcPr>
          <w:p w14:paraId="545A4788" w14:textId="450B9118"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118</w:t>
            </w:r>
          </w:p>
        </w:tc>
        <w:tc>
          <w:tcPr>
            <w:tcW w:w="507" w:type="pct"/>
            <w:tcBorders>
              <w:top w:val="nil"/>
              <w:left w:val="nil"/>
              <w:bottom w:val="nil"/>
              <w:right w:val="nil"/>
            </w:tcBorders>
            <w:shd w:val="clear" w:color="auto" w:fill="auto"/>
            <w:noWrap/>
            <w:vAlign w:val="center"/>
            <w:hideMark/>
          </w:tcPr>
          <w:p w14:paraId="267713F6" w14:textId="430B1A0F"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Pr>
                <w:rFonts w:ascii="EC Square Sans Cond Pro" w:hAnsi="EC Square Sans Cond Pro" w:cs="Calibri"/>
                <w:noProof/>
                <w:sz w:val="18"/>
                <w:szCs w:val="18"/>
              </w:rPr>
              <w:t>68</w:t>
            </w:r>
          </w:p>
        </w:tc>
        <w:tc>
          <w:tcPr>
            <w:tcW w:w="542" w:type="pct"/>
            <w:tcBorders>
              <w:top w:val="nil"/>
              <w:left w:val="nil"/>
              <w:bottom w:val="nil"/>
              <w:right w:val="nil"/>
            </w:tcBorders>
            <w:shd w:val="clear" w:color="auto" w:fill="auto"/>
            <w:noWrap/>
            <w:vAlign w:val="center"/>
            <w:hideMark/>
          </w:tcPr>
          <w:p w14:paraId="414578E4" w14:textId="1E6B23FF"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55</w:t>
            </w:r>
          </w:p>
        </w:tc>
        <w:tc>
          <w:tcPr>
            <w:tcW w:w="572" w:type="pct"/>
            <w:tcBorders>
              <w:top w:val="nil"/>
              <w:left w:val="nil"/>
              <w:bottom w:val="nil"/>
              <w:right w:val="nil"/>
            </w:tcBorders>
            <w:shd w:val="clear" w:color="auto" w:fill="auto"/>
            <w:noWrap/>
            <w:vAlign w:val="center"/>
            <w:hideMark/>
          </w:tcPr>
          <w:p w14:paraId="213BA955" w14:textId="22F12AD5"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32</w:t>
            </w:r>
          </w:p>
        </w:tc>
        <w:tc>
          <w:tcPr>
            <w:tcW w:w="473" w:type="pct"/>
            <w:tcBorders>
              <w:top w:val="nil"/>
              <w:left w:val="nil"/>
              <w:bottom w:val="nil"/>
              <w:right w:val="nil"/>
            </w:tcBorders>
            <w:shd w:val="clear" w:color="auto" w:fill="auto"/>
            <w:vAlign w:val="center"/>
            <w:hideMark/>
          </w:tcPr>
          <w:p w14:paraId="08DBE7F1" w14:textId="1186E7C4" w:rsidR="00DC71FD" w:rsidRPr="00DC71FD" w:rsidRDefault="00DC71FD" w:rsidP="00DC71FD">
            <w:pPr>
              <w:keepNext/>
              <w:spacing w:after="0"/>
              <w:jc w:val="center"/>
              <w:rPr>
                <w:rFonts w:ascii="EC Square Sans Cond Pro" w:hAnsi="EC Square Sans Cond Pro" w:cs="Calibri"/>
                <w:noProof/>
                <w:sz w:val="18"/>
                <w:szCs w:val="18"/>
              </w:rPr>
            </w:pPr>
            <w:r w:rsidRPr="00DC71FD">
              <w:rPr>
                <w:rFonts w:ascii="EC Square Sans Cond Pro" w:hAnsi="EC Square Sans Cond Pro" w:cs="Calibri"/>
                <w:noProof/>
                <w:sz w:val="18"/>
                <w:szCs w:val="18"/>
              </w:rPr>
              <w:t>-42%</w:t>
            </w:r>
          </w:p>
        </w:tc>
        <w:tc>
          <w:tcPr>
            <w:tcW w:w="501" w:type="pct"/>
            <w:tcBorders>
              <w:top w:val="nil"/>
              <w:left w:val="nil"/>
              <w:bottom w:val="nil"/>
              <w:right w:val="nil"/>
            </w:tcBorders>
            <w:shd w:val="clear" w:color="auto" w:fill="auto"/>
            <w:vAlign w:val="center"/>
            <w:hideMark/>
          </w:tcPr>
          <w:p w14:paraId="775DB5A8" w14:textId="34D9178C"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-54%</w:t>
            </w:r>
          </w:p>
        </w:tc>
        <w:tc>
          <w:tcPr>
            <w:tcW w:w="519" w:type="pct"/>
            <w:tcBorders>
              <w:top w:val="nil"/>
              <w:left w:val="nil"/>
              <w:bottom w:val="nil"/>
              <w:right w:val="nil"/>
            </w:tcBorders>
            <w:shd w:val="clear" w:color="auto" w:fill="auto"/>
            <w:vAlign w:val="center"/>
            <w:hideMark/>
          </w:tcPr>
          <w:p w14:paraId="610ED535" w14:textId="6954D7D4"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-73%</w:t>
            </w:r>
          </w:p>
        </w:tc>
      </w:tr>
      <w:tr w:rsidR="00DC71FD" w:rsidRPr="006101E5" w14:paraId="2E63A1DF" w14:textId="77777777" w:rsidTr="005166D5">
        <w:trPr>
          <w:trHeight w:val="300"/>
        </w:trPr>
        <w:tc>
          <w:tcPr>
            <w:tcW w:w="1313" w:type="pct"/>
            <w:gridSpan w:val="2"/>
            <w:tcBorders>
              <w:top w:val="nil"/>
              <w:left w:val="nil"/>
              <w:bottom w:val="nil"/>
              <w:right w:val="nil"/>
            </w:tcBorders>
            <w:shd w:val="clear" w:color="auto" w:fill="auto"/>
            <w:noWrap/>
            <w:vAlign w:val="center"/>
            <w:hideMark/>
          </w:tcPr>
          <w:p w14:paraId="1B589E60" w14:textId="77777777" w:rsidR="00DC71FD" w:rsidRPr="006101E5" w:rsidRDefault="00DC71FD" w:rsidP="00DC71FD">
            <w:pPr>
              <w:keepNext/>
              <w:spacing w:after="0"/>
              <w:jc w:val="left"/>
              <w:rPr>
                <w:rFonts w:ascii="EC Square Sans Cond Pro" w:eastAsia="Times New Roman" w:hAnsi="EC Square Sans Cond Pro" w:cs="Calibri"/>
                <w:b/>
                <w:bCs/>
                <w:noProof/>
                <w:sz w:val="18"/>
                <w:szCs w:val="18"/>
                <w:lang w:val="en-IE"/>
              </w:rPr>
            </w:pPr>
            <w:r w:rsidRPr="006101E5">
              <w:rPr>
                <w:rFonts w:ascii="EC Square Sans Cond Pro" w:eastAsia="Times New Roman" w:hAnsi="EC Square Sans Cond Pro" w:cs="Calibri"/>
                <w:b/>
                <w:bCs/>
                <w:noProof/>
                <w:sz w:val="18"/>
                <w:szCs w:val="18"/>
                <w:lang w:val="en-IE"/>
              </w:rPr>
              <w:t>Energy and transport</w:t>
            </w:r>
          </w:p>
        </w:tc>
        <w:tc>
          <w:tcPr>
            <w:tcW w:w="572" w:type="pct"/>
            <w:tcBorders>
              <w:top w:val="nil"/>
              <w:left w:val="nil"/>
              <w:bottom w:val="nil"/>
              <w:right w:val="nil"/>
            </w:tcBorders>
            <w:shd w:val="clear" w:color="auto" w:fill="auto"/>
            <w:noWrap/>
            <w:vAlign w:val="center"/>
            <w:hideMark/>
          </w:tcPr>
          <w:p w14:paraId="31C088F1" w14:textId="77777777" w:rsidR="00DC71FD" w:rsidRPr="006101E5" w:rsidRDefault="00DC71FD" w:rsidP="00DC71FD">
            <w:pPr>
              <w:keepNext/>
              <w:spacing w:after="0"/>
              <w:jc w:val="left"/>
              <w:rPr>
                <w:rFonts w:ascii="EC Square Sans Cond Pro" w:eastAsia="Times New Roman" w:hAnsi="EC Square Sans Cond Pro" w:cs="Calibri"/>
                <w:b/>
                <w:bCs/>
                <w:noProof/>
                <w:sz w:val="18"/>
                <w:szCs w:val="18"/>
                <w:lang w:val="en-IE"/>
              </w:rPr>
            </w:pPr>
          </w:p>
        </w:tc>
        <w:tc>
          <w:tcPr>
            <w:tcW w:w="507" w:type="pct"/>
            <w:tcBorders>
              <w:top w:val="nil"/>
              <w:left w:val="nil"/>
              <w:bottom w:val="nil"/>
              <w:right w:val="nil"/>
            </w:tcBorders>
            <w:shd w:val="clear" w:color="auto" w:fill="auto"/>
            <w:noWrap/>
            <w:vAlign w:val="center"/>
            <w:hideMark/>
          </w:tcPr>
          <w:p w14:paraId="425244A4" w14:textId="77777777" w:rsidR="00DC71FD" w:rsidRPr="006101E5" w:rsidRDefault="00DC71FD" w:rsidP="00DC71FD">
            <w:pPr>
              <w:keepNext/>
              <w:spacing w:after="0"/>
              <w:jc w:val="center"/>
              <w:rPr>
                <w:rFonts w:ascii="EC Square Sans Cond Pro" w:eastAsia="Times New Roman" w:hAnsi="EC Square Sans Cond Pro" w:cs="Times New Roman"/>
                <w:noProof/>
                <w:sz w:val="18"/>
                <w:szCs w:val="18"/>
                <w:lang w:val="en-IE"/>
              </w:rPr>
            </w:pPr>
          </w:p>
        </w:tc>
        <w:tc>
          <w:tcPr>
            <w:tcW w:w="542" w:type="pct"/>
            <w:tcBorders>
              <w:top w:val="nil"/>
              <w:left w:val="nil"/>
              <w:bottom w:val="nil"/>
              <w:right w:val="nil"/>
            </w:tcBorders>
            <w:shd w:val="clear" w:color="auto" w:fill="auto"/>
            <w:noWrap/>
            <w:vAlign w:val="center"/>
            <w:hideMark/>
          </w:tcPr>
          <w:p w14:paraId="69201F2B" w14:textId="77777777" w:rsidR="00DC71FD" w:rsidRPr="006101E5" w:rsidRDefault="00DC71FD" w:rsidP="00DC71FD">
            <w:pPr>
              <w:keepNext/>
              <w:spacing w:after="0"/>
              <w:jc w:val="center"/>
              <w:rPr>
                <w:rFonts w:ascii="EC Square Sans Cond Pro" w:eastAsia="Times New Roman" w:hAnsi="EC Square Sans Cond Pro" w:cs="Times New Roman"/>
                <w:noProof/>
                <w:sz w:val="18"/>
                <w:szCs w:val="18"/>
                <w:lang w:val="en-IE"/>
              </w:rPr>
            </w:pPr>
          </w:p>
        </w:tc>
        <w:tc>
          <w:tcPr>
            <w:tcW w:w="572" w:type="pct"/>
            <w:tcBorders>
              <w:top w:val="nil"/>
              <w:left w:val="nil"/>
              <w:bottom w:val="nil"/>
              <w:right w:val="nil"/>
            </w:tcBorders>
            <w:shd w:val="clear" w:color="auto" w:fill="auto"/>
            <w:noWrap/>
            <w:vAlign w:val="center"/>
            <w:hideMark/>
          </w:tcPr>
          <w:p w14:paraId="10589B6D" w14:textId="77777777" w:rsidR="00DC71FD" w:rsidRPr="006101E5" w:rsidRDefault="00DC71FD" w:rsidP="00DC71FD">
            <w:pPr>
              <w:keepNext/>
              <w:spacing w:after="0"/>
              <w:jc w:val="center"/>
              <w:rPr>
                <w:rFonts w:ascii="EC Square Sans Cond Pro" w:eastAsia="Times New Roman" w:hAnsi="EC Square Sans Cond Pro" w:cs="Times New Roman"/>
                <w:noProof/>
                <w:sz w:val="18"/>
                <w:szCs w:val="18"/>
                <w:lang w:val="en-IE"/>
              </w:rPr>
            </w:pPr>
          </w:p>
        </w:tc>
        <w:tc>
          <w:tcPr>
            <w:tcW w:w="473" w:type="pct"/>
            <w:tcBorders>
              <w:top w:val="nil"/>
              <w:left w:val="nil"/>
              <w:bottom w:val="nil"/>
              <w:right w:val="nil"/>
            </w:tcBorders>
            <w:shd w:val="clear" w:color="auto" w:fill="auto"/>
            <w:vAlign w:val="center"/>
            <w:hideMark/>
          </w:tcPr>
          <w:p w14:paraId="324F602B" w14:textId="77777777" w:rsidR="00DC71FD" w:rsidRPr="00DC71FD" w:rsidRDefault="00DC71FD" w:rsidP="00DC71FD">
            <w:pPr>
              <w:keepNext/>
              <w:spacing w:after="0"/>
              <w:jc w:val="center"/>
              <w:rPr>
                <w:rFonts w:ascii="EC Square Sans Cond Pro" w:hAnsi="EC Square Sans Cond Pro" w:cs="Calibri"/>
                <w:noProof/>
                <w:sz w:val="18"/>
                <w:szCs w:val="18"/>
              </w:rPr>
            </w:pPr>
          </w:p>
        </w:tc>
        <w:tc>
          <w:tcPr>
            <w:tcW w:w="501" w:type="pct"/>
            <w:tcBorders>
              <w:top w:val="nil"/>
              <w:left w:val="nil"/>
              <w:bottom w:val="nil"/>
              <w:right w:val="nil"/>
            </w:tcBorders>
            <w:shd w:val="clear" w:color="auto" w:fill="auto"/>
            <w:vAlign w:val="center"/>
            <w:hideMark/>
          </w:tcPr>
          <w:p w14:paraId="2A29149C" w14:textId="77777777" w:rsidR="00DC71FD" w:rsidRPr="006101E5" w:rsidRDefault="00DC71FD" w:rsidP="00DC71FD">
            <w:pPr>
              <w:keepNext/>
              <w:spacing w:after="0"/>
              <w:jc w:val="center"/>
              <w:rPr>
                <w:rFonts w:ascii="EC Square Sans Cond Pro" w:eastAsia="Times New Roman" w:hAnsi="EC Square Sans Cond Pro" w:cs="Times New Roman"/>
                <w:noProof/>
                <w:sz w:val="18"/>
                <w:szCs w:val="18"/>
                <w:lang w:val="en-IE"/>
              </w:rPr>
            </w:pPr>
          </w:p>
        </w:tc>
        <w:tc>
          <w:tcPr>
            <w:tcW w:w="519" w:type="pct"/>
            <w:tcBorders>
              <w:top w:val="nil"/>
              <w:left w:val="nil"/>
              <w:bottom w:val="nil"/>
              <w:right w:val="nil"/>
            </w:tcBorders>
            <w:shd w:val="clear" w:color="auto" w:fill="auto"/>
            <w:vAlign w:val="center"/>
            <w:hideMark/>
          </w:tcPr>
          <w:p w14:paraId="050866FD" w14:textId="77777777" w:rsidR="00DC71FD" w:rsidRPr="006101E5" w:rsidRDefault="00DC71FD" w:rsidP="00DC71FD">
            <w:pPr>
              <w:keepNext/>
              <w:spacing w:after="0"/>
              <w:jc w:val="center"/>
              <w:rPr>
                <w:rFonts w:ascii="EC Square Sans Cond Pro" w:eastAsia="Times New Roman" w:hAnsi="EC Square Sans Cond Pro" w:cs="Times New Roman"/>
                <w:noProof/>
                <w:sz w:val="18"/>
                <w:szCs w:val="18"/>
                <w:lang w:val="en-IE"/>
              </w:rPr>
            </w:pPr>
          </w:p>
        </w:tc>
      </w:tr>
      <w:tr w:rsidR="00DC71FD" w:rsidRPr="006101E5" w14:paraId="6C23FB98" w14:textId="77777777" w:rsidTr="005166D5">
        <w:trPr>
          <w:trHeight w:val="300"/>
        </w:trPr>
        <w:tc>
          <w:tcPr>
            <w:tcW w:w="974" w:type="pct"/>
            <w:tcBorders>
              <w:top w:val="nil"/>
              <w:left w:val="nil"/>
              <w:bottom w:val="nil"/>
              <w:right w:val="nil"/>
            </w:tcBorders>
            <w:shd w:val="clear" w:color="auto" w:fill="auto"/>
            <w:noWrap/>
            <w:vAlign w:val="center"/>
            <w:hideMark/>
          </w:tcPr>
          <w:p w14:paraId="3F45B710" w14:textId="77777777" w:rsidR="00DC71FD" w:rsidRPr="006101E5" w:rsidRDefault="00DC71FD" w:rsidP="00DC71FD">
            <w:pPr>
              <w:keepNext/>
              <w:spacing w:after="0"/>
              <w:jc w:val="left"/>
              <w:rPr>
                <w:rFonts w:ascii="EC Square Sans Cond Pro" w:eastAsia="Times New Roman" w:hAnsi="EC Square Sans Cond Pro" w:cs="Calibri"/>
                <w:noProof/>
                <w:sz w:val="18"/>
                <w:szCs w:val="18"/>
                <w:lang w:val="en-IE"/>
              </w:rPr>
            </w:pPr>
            <w:r w:rsidRPr="006101E5">
              <w:rPr>
                <w:rFonts w:ascii="EC Square Sans Cond Pro" w:eastAsia="Times New Roman" w:hAnsi="EC Square Sans Cond Pro" w:cs="Calibri"/>
                <w:noProof/>
                <w:sz w:val="18"/>
                <w:szCs w:val="18"/>
                <w:lang w:val="en-IE"/>
              </w:rPr>
              <w:t>CH4</w:t>
            </w:r>
          </w:p>
        </w:tc>
        <w:tc>
          <w:tcPr>
            <w:tcW w:w="340" w:type="pct"/>
            <w:tcBorders>
              <w:top w:val="nil"/>
              <w:left w:val="nil"/>
              <w:bottom w:val="nil"/>
              <w:right w:val="nil"/>
            </w:tcBorders>
            <w:shd w:val="clear" w:color="auto" w:fill="auto"/>
            <w:noWrap/>
            <w:vAlign w:val="center"/>
            <w:hideMark/>
          </w:tcPr>
          <w:p w14:paraId="708CAC7D" w14:textId="771A1170"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110</w:t>
            </w:r>
          </w:p>
        </w:tc>
        <w:tc>
          <w:tcPr>
            <w:tcW w:w="572" w:type="pct"/>
            <w:tcBorders>
              <w:top w:val="nil"/>
              <w:left w:val="nil"/>
              <w:bottom w:val="nil"/>
              <w:right w:val="nil"/>
            </w:tcBorders>
            <w:shd w:val="clear" w:color="auto" w:fill="auto"/>
            <w:noWrap/>
            <w:vAlign w:val="center"/>
            <w:hideMark/>
          </w:tcPr>
          <w:p w14:paraId="5FC222C8" w14:textId="51B4FD93"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86</w:t>
            </w:r>
          </w:p>
        </w:tc>
        <w:tc>
          <w:tcPr>
            <w:tcW w:w="507" w:type="pct"/>
            <w:tcBorders>
              <w:top w:val="nil"/>
              <w:left w:val="nil"/>
              <w:bottom w:val="nil"/>
              <w:right w:val="nil"/>
            </w:tcBorders>
            <w:shd w:val="clear" w:color="auto" w:fill="auto"/>
            <w:noWrap/>
            <w:vAlign w:val="center"/>
            <w:hideMark/>
          </w:tcPr>
          <w:p w14:paraId="35BD37BC" w14:textId="6B531B90"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Pr>
                <w:rFonts w:ascii="EC Square Sans Cond Pro" w:eastAsia="Times New Roman" w:hAnsi="EC Square Sans Cond Pro" w:cs="Calibri"/>
                <w:noProof/>
                <w:sz w:val="18"/>
                <w:szCs w:val="18"/>
                <w:lang w:val="en-IE"/>
              </w:rPr>
              <w:t>20</w:t>
            </w:r>
          </w:p>
        </w:tc>
        <w:tc>
          <w:tcPr>
            <w:tcW w:w="542" w:type="pct"/>
            <w:tcBorders>
              <w:top w:val="nil"/>
              <w:left w:val="nil"/>
              <w:bottom w:val="nil"/>
              <w:right w:val="nil"/>
            </w:tcBorders>
            <w:shd w:val="clear" w:color="auto" w:fill="auto"/>
            <w:noWrap/>
            <w:vAlign w:val="center"/>
            <w:hideMark/>
          </w:tcPr>
          <w:p w14:paraId="37100269" w14:textId="716AE073"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14</w:t>
            </w:r>
          </w:p>
        </w:tc>
        <w:tc>
          <w:tcPr>
            <w:tcW w:w="572" w:type="pct"/>
            <w:tcBorders>
              <w:top w:val="nil"/>
              <w:left w:val="nil"/>
              <w:bottom w:val="nil"/>
              <w:right w:val="nil"/>
            </w:tcBorders>
            <w:shd w:val="clear" w:color="auto" w:fill="auto"/>
            <w:noWrap/>
            <w:vAlign w:val="center"/>
            <w:hideMark/>
          </w:tcPr>
          <w:p w14:paraId="7C394B2F" w14:textId="0431756B"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10</w:t>
            </w:r>
          </w:p>
        </w:tc>
        <w:tc>
          <w:tcPr>
            <w:tcW w:w="473" w:type="pct"/>
            <w:tcBorders>
              <w:top w:val="nil"/>
              <w:left w:val="nil"/>
              <w:bottom w:val="nil"/>
              <w:right w:val="nil"/>
            </w:tcBorders>
            <w:shd w:val="clear" w:color="auto" w:fill="auto"/>
            <w:vAlign w:val="center"/>
            <w:hideMark/>
          </w:tcPr>
          <w:p w14:paraId="3D06507F" w14:textId="6E12FC8D" w:rsidR="00DC71FD" w:rsidRPr="00DC71FD" w:rsidRDefault="00DC71FD" w:rsidP="00DC71FD">
            <w:pPr>
              <w:keepNext/>
              <w:spacing w:after="0"/>
              <w:jc w:val="center"/>
              <w:rPr>
                <w:rFonts w:ascii="EC Square Sans Cond Pro" w:hAnsi="EC Square Sans Cond Pro" w:cs="Calibri"/>
                <w:noProof/>
                <w:sz w:val="18"/>
                <w:szCs w:val="18"/>
              </w:rPr>
            </w:pPr>
            <w:r w:rsidRPr="00DC71FD">
              <w:rPr>
                <w:rFonts w:ascii="EC Square Sans Cond Pro" w:hAnsi="EC Square Sans Cond Pro" w:cs="Calibri"/>
                <w:noProof/>
                <w:sz w:val="18"/>
                <w:szCs w:val="18"/>
              </w:rPr>
              <w:t>-76%</w:t>
            </w:r>
          </w:p>
        </w:tc>
        <w:tc>
          <w:tcPr>
            <w:tcW w:w="501" w:type="pct"/>
            <w:tcBorders>
              <w:top w:val="nil"/>
              <w:left w:val="nil"/>
              <w:bottom w:val="nil"/>
              <w:right w:val="nil"/>
            </w:tcBorders>
            <w:shd w:val="clear" w:color="auto" w:fill="auto"/>
            <w:vAlign w:val="center"/>
            <w:hideMark/>
          </w:tcPr>
          <w:p w14:paraId="364AECE2" w14:textId="5266F0EB"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-84%</w:t>
            </w:r>
          </w:p>
        </w:tc>
        <w:tc>
          <w:tcPr>
            <w:tcW w:w="519" w:type="pct"/>
            <w:tcBorders>
              <w:top w:val="nil"/>
              <w:left w:val="nil"/>
              <w:bottom w:val="nil"/>
              <w:right w:val="nil"/>
            </w:tcBorders>
            <w:shd w:val="clear" w:color="auto" w:fill="auto"/>
            <w:vAlign w:val="center"/>
            <w:hideMark/>
          </w:tcPr>
          <w:p w14:paraId="736E5E49" w14:textId="6104FB6D"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-88%</w:t>
            </w:r>
          </w:p>
        </w:tc>
      </w:tr>
      <w:tr w:rsidR="00DC71FD" w:rsidRPr="006101E5" w14:paraId="0379EDA4" w14:textId="77777777" w:rsidTr="005166D5">
        <w:trPr>
          <w:trHeight w:val="300"/>
        </w:trPr>
        <w:tc>
          <w:tcPr>
            <w:tcW w:w="974" w:type="pct"/>
            <w:tcBorders>
              <w:top w:val="nil"/>
              <w:left w:val="nil"/>
              <w:bottom w:val="nil"/>
              <w:right w:val="nil"/>
            </w:tcBorders>
            <w:shd w:val="clear" w:color="auto" w:fill="auto"/>
            <w:noWrap/>
            <w:vAlign w:val="center"/>
            <w:hideMark/>
          </w:tcPr>
          <w:p w14:paraId="3B77F7C5" w14:textId="77777777" w:rsidR="00DC71FD" w:rsidRPr="006101E5" w:rsidRDefault="00DC71FD" w:rsidP="00DC71FD">
            <w:pPr>
              <w:keepNext/>
              <w:spacing w:after="0"/>
              <w:jc w:val="left"/>
              <w:rPr>
                <w:rFonts w:ascii="EC Square Sans Cond Pro" w:eastAsia="Times New Roman" w:hAnsi="EC Square Sans Cond Pro" w:cs="Calibri"/>
                <w:noProof/>
                <w:sz w:val="18"/>
                <w:szCs w:val="18"/>
                <w:lang w:val="en-IE"/>
              </w:rPr>
            </w:pPr>
            <w:r w:rsidRPr="006101E5">
              <w:rPr>
                <w:rFonts w:ascii="EC Square Sans Cond Pro" w:eastAsia="Times New Roman" w:hAnsi="EC Square Sans Cond Pro" w:cs="Calibri"/>
                <w:noProof/>
                <w:sz w:val="18"/>
                <w:szCs w:val="18"/>
                <w:lang w:val="en-IE"/>
              </w:rPr>
              <w:t>N2O</w:t>
            </w:r>
          </w:p>
        </w:tc>
        <w:tc>
          <w:tcPr>
            <w:tcW w:w="340" w:type="pct"/>
            <w:tcBorders>
              <w:top w:val="nil"/>
              <w:left w:val="nil"/>
              <w:bottom w:val="nil"/>
              <w:right w:val="nil"/>
            </w:tcBorders>
            <w:shd w:val="clear" w:color="auto" w:fill="auto"/>
            <w:noWrap/>
            <w:vAlign w:val="center"/>
            <w:hideMark/>
          </w:tcPr>
          <w:p w14:paraId="04691CA8" w14:textId="7777777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24</w:t>
            </w:r>
          </w:p>
        </w:tc>
        <w:tc>
          <w:tcPr>
            <w:tcW w:w="572" w:type="pct"/>
            <w:tcBorders>
              <w:top w:val="nil"/>
              <w:left w:val="nil"/>
              <w:bottom w:val="nil"/>
              <w:right w:val="nil"/>
            </w:tcBorders>
            <w:shd w:val="clear" w:color="auto" w:fill="auto"/>
            <w:noWrap/>
            <w:vAlign w:val="center"/>
            <w:hideMark/>
          </w:tcPr>
          <w:p w14:paraId="4F7D1593" w14:textId="7777777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23</w:t>
            </w:r>
          </w:p>
        </w:tc>
        <w:tc>
          <w:tcPr>
            <w:tcW w:w="507" w:type="pct"/>
            <w:tcBorders>
              <w:top w:val="nil"/>
              <w:left w:val="nil"/>
              <w:bottom w:val="nil"/>
              <w:right w:val="nil"/>
            </w:tcBorders>
            <w:shd w:val="clear" w:color="auto" w:fill="auto"/>
            <w:noWrap/>
            <w:vAlign w:val="center"/>
            <w:hideMark/>
          </w:tcPr>
          <w:p w14:paraId="0CB17941" w14:textId="6ACFDB00"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11</w:t>
            </w:r>
          </w:p>
        </w:tc>
        <w:tc>
          <w:tcPr>
            <w:tcW w:w="542" w:type="pct"/>
            <w:tcBorders>
              <w:top w:val="nil"/>
              <w:left w:val="nil"/>
              <w:bottom w:val="nil"/>
              <w:right w:val="nil"/>
            </w:tcBorders>
            <w:shd w:val="clear" w:color="auto" w:fill="auto"/>
            <w:noWrap/>
            <w:vAlign w:val="center"/>
            <w:hideMark/>
          </w:tcPr>
          <w:p w14:paraId="0F8565B8" w14:textId="511B2059"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11</w:t>
            </w:r>
          </w:p>
        </w:tc>
        <w:tc>
          <w:tcPr>
            <w:tcW w:w="572" w:type="pct"/>
            <w:tcBorders>
              <w:top w:val="nil"/>
              <w:left w:val="nil"/>
              <w:bottom w:val="nil"/>
              <w:right w:val="nil"/>
            </w:tcBorders>
            <w:shd w:val="clear" w:color="auto" w:fill="auto"/>
            <w:noWrap/>
            <w:vAlign w:val="center"/>
            <w:hideMark/>
          </w:tcPr>
          <w:p w14:paraId="0B9BF2AD" w14:textId="553090E1"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7.9</w:t>
            </w:r>
          </w:p>
        </w:tc>
        <w:tc>
          <w:tcPr>
            <w:tcW w:w="473" w:type="pct"/>
            <w:tcBorders>
              <w:top w:val="nil"/>
              <w:left w:val="nil"/>
              <w:bottom w:val="nil"/>
              <w:right w:val="nil"/>
            </w:tcBorders>
            <w:shd w:val="clear" w:color="auto" w:fill="auto"/>
            <w:vAlign w:val="center"/>
            <w:hideMark/>
          </w:tcPr>
          <w:p w14:paraId="78B99E7A" w14:textId="7A071B3E" w:rsidR="00DC71FD" w:rsidRPr="00DC71FD" w:rsidRDefault="00DC71FD" w:rsidP="00DC71FD">
            <w:pPr>
              <w:keepNext/>
              <w:spacing w:after="0"/>
              <w:jc w:val="center"/>
              <w:rPr>
                <w:rFonts w:ascii="EC Square Sans Cond Pro" w:hAnsi="EC Square Sans Cond Pro" w:cs="Calibri"/>
                <w:noProof/>
                <w:sz w:val="18"/>
                <w:szCs w:val="18"/>
              </w:rPr>
            </w:pPr>
            <w:r w:rsidRPr="00DC71FD">
              <w:rPr>
                <w:rFonts w:ascii="EC Square Sans Cond Pro" w:hAnsi="EC Square Sans Cond Pro" w:cs="Calibri"/>
                <w:noProof/>
                <w:sz w:val="18"/>
                <w:szCs w:val="18"/>
              </w:rPr>
              <w:t>-52%</w:t>
            </w:r>
          </w:p>
        </w:tc>
        <w:tc>
          <w:tcPr>
            <w:tcW w:w="501" w:type="pct"/>
            <w:tcBorders>
              <w:top w:val="nil"/>
              <w:left w:val="nil"/>
              <w:bottom w:val="nil"/>
              <w:right w:val="nil"/>
            </w:tcBorders>
            <w:shd w:val="clear" w:color="auto" w:fill="auto"/>
            <w:vAlign w:val="center"/>
            <w:hideMark/>
          </w:tcPr>
          <w:p w14:paraId="0401A10A" w14:textId="05CE86CB"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-53%</w:t>
            </w:r>
          </w:p>
        </w:tc>
        <w:tc>
          <w:tcPr>
            <w:tcW w:w="519" w:type="pct"/>
            <w:tcBorders>
              <w:top w:val="nil"/>
              <w:left w:val="nil"/>
              <w:bottom w:val="nil"/>
              <w:right w:val="nil"/>
            </w:tcBorders>
            <w:shd w:val="clear" w:color="auto" w:fill="auto"/>
            <w:vAlign w:val="center"/>
            <w:hideMark/>
          </w:tcPr>
          <w:p w14:paraId="4D8BB3B4" w14:textId="64C79A59"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-66%</w:t>
            </w:r>
          </w:p>
        </w:tc>
      </w:tr>
      <w:tr w:rsidR="00DC71FD" w:rsidRPr="006101E5" w14:paraId="4B054484" w14:textId="77777777" w:rsidTr="005166D5">
        <w:trPr>
          <w:trHeight w:val="300"/>
        </w:trPr>
        <w:tc>
          <w:tcPr>
            <w:tcW w:w="974" w:type="pct"/>
            <w:tcBorders>
              <w:top w:val="nil"/>
              <w:left w:val="nil"/>
              <w:bottom w:val="nil"/>
              <w:right w:val="nil"/>
            </w:tcBorders>
            <w:shd w:val="clear" w:color="auto" w:fill="auto"/>
            <w:noWrap/>
            <w:vAlign w:val="center"/>
            <w:hideMark/>
          </w:tcPr>
          <w:p w14:paraId="779E599B" w14:textId="77777777" w:rsidR="00DC71FD" w:rsidRPr="006101E5" w:rsidRDefault="00DC71FD" w:rsidP="00DC71FD">
            <w:pPr>
              <w:keepNext/>
              <w:spacing w:after="0"/>
              <w:jc w:val="left"/>
              <w:rPr>
                <w:rFonts w:ascii="EC Square Sans Cond Pro" w:eastAsia="Times New Roman" w:hAnsi="EC Square Sans Cond Pro" w:cs="Calibri"/>
                <w:noProof/>
                <w:sz w:val="18"/>
                <w:szCs w:val="18"/>
                <w:lang w:val="en-IE"/>
              </w:rPr>
            </w:pPr>
            <w:r w:rsidRPr="006101E5">
              <w:rPr>
                <w:rFonts w:ascii="EC Square Sans Cond Pro" w:eastAsia="Times New Roman" w:hAnsi="EC Square Sans Cond Pro" w:cs="Calibri"/>
                <w:noProof/>
                <w:sz w:val="18"/>
                <w:szCs w:val="18"/>
                <w:lang w:val="en-IE"/>
              </w:rPr>
              <w:t>Total (all gases)</w:t>
            </w:r>
          </w:p>
        </w:tc>
        <w:tc>
          <w:tcPr>
            <w:tcW w:w="340" w:type="pct"/>
            <w:tcBorders>
              <w:top w:val="nil"/>
              <w:left w:val="nil"/>
              <w:bottom w:val="nil"/>
              <w:right w:val="nil"/>
            </w:tcBorders>
            <w:shd w:val="clear" w:color="auto" w:fill="auto"/>
            <w:noWrap/>
            <w:vAlign w:val="center"/>
            <w:hideMark/>
          </w:tcPr>
          <w:p w14:paraId="10E095E2" w14:textId="3D374018"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135</w:t>
            </w:r>
          </w:p>
        </w:tc>
        <w:tc>
          <w:tcPr>
            <w:tcW w:w="572" w:type="pct"/>
            <w:tcBorders>
              <w:top w:val="nil"/>
              <w:left w:val="nil"/>
              <w:bottom w:val="nil"/>
              <w:right w:val="nil"/>
            </w:tcBorders>
            <w:shd w:val="clear" w:color="auto" w:fill="auto"/>
            <w:noWrap/>
            <w:vAlign w:val="center"/>
            <w:hideMark/>
          </w:tcPr>
          <w:p w14:paraId="12E2BB46" w14:textId="787B6E38"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109</w:t>
            </w:r>
          </w:p>
        </w:tc>
        <w:tc>
          <w:tcPr>
            <w:tcW w:w="507" w:type="pct"/>
            <w:tcBorders>
              <w:top w:val="nil"/>
              <w:left w:val="nil"/>
              <w:bottom w:val="nil"/>
              <w:right w:val="nil"/>
            </w:tcBorders>
            <w:shd w:val="clear" w:color="auto" w:fill="auto"/>
            <w:noWrap/>
            <w:vAlign w:val="center"/>
            <w:hideMark/>
          </w:tcPr>
          <w:p w14:paraId="1F371A70" w14:textId="62A3B455"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Pr>
                <w:rFonts w:ascii="EC Square Sans Cond Pro" w:hAnsi="EC Square Sans Cond Pro" w:cs="Calibri"/>
                <w:noProof/>
                <w:sz w:val="18"/>
                <w:szCs w:val="18"/>
              </w:rPr>
              <w:t>31</w:t>
            </w:r>
          </w:p>
        </w:tc>
        <w:tc>
          <w:tcPr>
            <w:tcW w:w="542" w:type="pct"/>
            <w:tcBorders>
              <w:top w:val="nil"/>
              <w:left w:val="nil"/>
              <w:bottom w:val="nil"/>
              <w:right w:val="nil"/>
            </w:tcBorders>
            <w:shd w:val="clear" w:color="auto" w:fill="auto"/>
            <w:noWrap/>
            <w:vAlign w:val="center"/>
            <w:hideMark/>
          </w:tcPr>
          <w:p w14:paraId="1FFE0265" w14:textId="1DCF24A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24</w:t>
            </w:r>
          </w:p>
        </w:tc>
        <w:tc>
          <w:tcPr>
            <w:tcW w:w="572" w:type="pct"/>
            <w:tcBorders>
              <w:top w:val="nil"/>
              <w:left w:val="nil"/>
              <w:bottom w:val="nil"/>
              <w:right w:val="nil"/>
            </w:tcBorders>
            <w:shd w:val="clear" w:color="auto" w:fill="auto"/>
            <w:noWrap/>
            <w:vAlign w:val="center"/>
            <w:hideMark/>
          </w:tcPr>
          <w:p w14:paraId="6EAEB002" w14:textId="44D079A3"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18</w:t>
            </w:r>
          </w:p>
        </w:tc>
        <w:tc>
          <w:tcPr>
            <w:tcW w:w="473" w:type="pct"/>
            <w:tcBorders>
              <w:top w:val="nil"/>
              <w:left w:val="nil"/>
              <w:bottom w:val="nil"/>
              <w:right w:val="nil"/>
            </w:tcBorders>
            <w:shd w:val="clear" w:color="auto" w:fill="auto"/>
            <w:vAlign w:val="center"/>
            <w:hideMark/>
          </w:tcPr>
          <w:p w14:paraId="3EA33C54" w14:textId="71F50697" w:rsidR="00DC71FD" w:rsidRPr="00DC71FD" w:rsidRDefault="00DC71FD" w:rsidP="00DC71FD">
            <w:pPr>
              <w:keepNext/>
              <w:spacing w:after="0"/>
              <w:jc w:val="center"/>
              <w:rPr>
                <w:rFonts w:ascii="EC Square Sans Cond Pro" w:hAnsi="EC Square Sans Cond Pro" w:cs="Calibri"/>
                <w:noProof/>
                <w:sz w:val="18"/>
                <w:szCs w:val="18"/>
              </w:rPr>
            </w:pPr>
            <w:r w:rsidRPr="00DC71FD">
              <w:rPr>
                <w:rFonts w:ascii="EC Square Sans Cond Pro" w:hAnsi="EC Square Sans Cond Pro" w:cs="Calibri"/>
                <w:noProof/>
                <w:sz w:val="18"/>
                <w:szCs w:val="18"/>
              </w:rPr>
              <w:t>-71%</w:t>
            </w:r>
          </w:p>
        </w:tc>
        <w:tc>
          <w:tcPr>
            <w:tcW w:w="501" w:type="pct"/>
            <w:tcBorders>
              <w:top w:val="nil"/>
              <w:left w:val="nil"/>
              <w:bottom w:val="nil"/>
              <w:right w:val="nil"/>
            </w:tcBorders>
            <w:shd w:val="clear" w:color="auto" w:fill="auto"/>
            <w:vAlign w:val="center"/>
            <w:hideMark/>
          </w:tcPr>
          <w:p w14:paraId="174E493F" w14:textId="3F4E75D4"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-78%</w:t>
            </w:r>
          </w:p>
        </w:tc>
        <w:tc>
          <w:tcPr>
            <w:tcW w:w="519" w:type="pct"/>
            <w:tcBorders>
              <w:top w:val="nil"/>
              <w:left w:val="nil"/>
              <w:bottom w:val="nil"/>
              <w:right w:val="nil"/>
            </w:tcBorders>
            <w:shd w:val="clear" w:color="auto" w:fill="auto"/>
            <w:vAlign w:val="center"/>
            <w:hideMark/>
          </w:tcPr>
          <w:p w14:paraId="315CAA7D" w14:textId="04AF934C"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-83%</w:t>
            </w:r>
          </w:p>
        </w:tc>
      </w:tr>
      <w:tr w:rsidR="00DC71FD" w:rsidRPr="006101E5" w14:paraId="66A7FFD0" w14:textId="77777777" w:rsidTr="005166D5">
        <w:trPr>
          <w:trHeight w:val="300"/>
        </w:trPr>
        <w:tc>
          <w:tcPr>
            <w:tcW w:w="1313" w:type="pct"/>
            <w:gridSpan w:val="2"/>
            <w:tcBorders>
              <w:top w:val="nil"/>
              <w:left w:val="nil"/>
              <w:bottom w:val="nil"/>
              <w:right w:val="nil"/>
            </w:tcBorders>
            <w:shd w:val="clear" w:color="auto" w:fill="auto"/>
            <w:noWrap/>
            <w:vAlign w:val="center"/>
            <w:hideMark/>
          </w:tcPr>
          <w:p w14:paraId="24226441" w14:textId="77777777" w:rsidR="00DC71FD" w:rsidRPr="006101E5" w:rsidRDefault="00DC71FD" w:rsidP="00DC71FD">
            <w:pPr>
              <w:keepNext/>
              <w:spacing w:after="0"/>
              <w:jc w:val="left"/>
              <w:rPr>
                <w:rFonts w:ascii="EC Square Sans Cond Pro" w:eastAsia="Times New Roman" w:hAnsi="EC Square Sans Cond Pro" w:cs="Calibri"/>
                <w:b/>
                <w:bCs/>
                <w:noProof/>
                <w:sz w:val="18"/>
                <w:szCs w:val="18"/>
                <w:lang w:val="en-IE"/>
              </w:rPr>
            </w:pPr>
            <w:r w:rsidRPr="006101E5">
              <w:rPr>
                <w:rFonts w:ascii="EC Square Sans Cond Pro" w:eastAsia="Times New Roman" w:hAnsi="EC Square Sans Cond Pro" w:cs="Calibri"/>
                <w:b/>
                <w:bCs/>
                <w:noProof/>
                <w:sz w:val="18"/>
                <w:szCs w:val="18"/>
                <w:lang w:val="en-IE"/>
              </w:rPr>
              <w:t>Heating and cooling</w:t>
            </w:r>
          </w:p>
        </w:tc>
        <w:tc>
          <w:tcPr>
            <w:tcW w:w="572" w:type="pct"/>
            <w:tcBorders>
              <w:top w:val="nil"/>
              <w:left w:val="nil"/>
              <w:bottom w:val="nil"/>
              <w:right w:val="nil"/>
            </w:tcBorders>
            <w:shd w:val="clear" w:color="auto" w:fill="auto"/>
            <w:noWrap/>
            <w:vAlign w:val="center"/>
            <w:hideMark/>
          </w:tcPr>
          <w:p w14:paraId="566CE575" w14:textId="77777777" w:rsidR="00DC71FD" w:rsidRPr="006101E5" w:rsidRDefault="00DC71FD" w:rsidP="00DC71FD">
            <w:pPr>
              <w:keepNext/>
              <w:spacing w:after="0"/>
              <w:jc w:val="left"/>
              <w:rPr>
                <w:rFonts w:ascii="EC Square Sans Cond Pro" w:eastAsia="Times New Roman" w:hAnsi="EC Square Sans Cond Pro" w:cs="Calibri"/>
                <w:b/>
                <w:bCs/>
                <w:noProof/>
                <w:sz w:val="18"/>
                <w:szCs w:val="18"/>
                <w:lang w:val="en-IE"/>
              </w:rPr>
            </w:pPr>
          </w:p>
        </w:tc>
        <w:tc>
          <w:tcPr>
            <w:tcW w:w="507" w:type="pct"/>
            <w:tcBorders>
              <w:top w:val="nil"/>
              <w:left w:val="nil"/>
              <w:bottom w:val="nil"/>
              <w:right w:val="nil"/>
            </w:tcBorders>
            <w:shd w:val="clear" w:color="auto" w:fill="auto"/>
            <w:noWrap/>
            <w:vAlign w:val="center"/>
            <w:hideMark/>
          </w:tcPr>
          <w:p w14:paraId="2AAB9D29" w14:textId="77777777" w:rsidR="00DC71FD" w:rsidRPr="006101E5" w:rsidRDefault="00DC71FD" w:rsidP="00DC71FD">
            <w:pPr>
              <w:keepNext/>
              <w:spacing w:after="0"/>
              <w:jc w:val="center"/>
              <w:rPr>
                <w:rFonts w:ascii="EC Square Sans Cond Pro" w:eastAsia="Times New Roman" w:hAnsi="EC Square Sans Cond Pro" w:cs="Times New Roman"/>
                <w:noProof/>
                <w:sz w:val="18"/>
                <w:szCs w:val="18"/>
                <w:lang w:val="en-IE"/>
              </w:rPr>
            </w:pPr>
          </w:p>
        </w:tc>
        <w:tc>
          <w:tcPr>
            <w:tcW w:w="542" w:type="pct"/>
            <w:tcBorders>
              <w:top w:val="nil"/>
              <w:left w:val="nil"/>
              <w:bottom w:val="nil"/>
              <w:right w:val="nil"/>
            </w:tcBorders>
            <w:shd w:val="clear" w:color="auto" w:fill="auto"/>
            <w:noWrap/>
            <w:vAlign w:val="center"/>
            <w:hideMark/>
          </w:tcPr>
          <w:p w14:paraId="14B8F7B4" w14:textId="77777777" w:rsidR="00DC71FD" w:rsidRPr="006101E5" w:rsidRDefault="00DC71FD" w:rsidP="00DC71FD">
            <w:pPr>
              <w:keepNext/>
              <w:spacing w:after="0"/>
              <w:jc w:val="center"/>
              <w:rPr>
                <w:rFonts w:ascii="EC Square Sans Cond Pro" w:eastAsia="Times New Roman" w:hAnsi="EC Square Sans Cond Pro" w:cs="Times New Roman"/>
                <w:noProof/>
                <w:sz w:val="18"/>
                <w:szCs w:val="18"/>
                <w:lang w:val="en-IE"/>
              </w:rPr>
            </w:pPr>
          </w:p>
        </w:tc>
        <w:tc>
          <w:tcPr>
            <w:tcW w:w="572" w:type="pct"/>
            <w:tcBorders>
              <w:top w:val="nil"/>
              <w:left w:val="nil"/>
              <w:bottom w:val="nil"/>
              <w:right w:val="nil"/>
            </w:tcBorders>
            <w:shd w:val="clear" w:color="auto" w:fill="auto"/>
            <w:noWrap/>
            <w:vAlign w:val="center"/>
            <w:hideMark/>
          </w:tcPr>
          <w:p w14:paraId="170364A6" w14:textId="77777777" w:rsidR="00DC71FD" w:rsidRPr="006101E5" w:rsidRDefault="00DC71FD" w:rsidP="00DC71FD">
            <w:pPr>
              <w:keepNext/>
              <w:spacing w:after="0"/>
              <w:jc w:val="center"/>
              <w:rPr>
                <w:rFonts w:ascii="EC Square Sans Cond Pro" w:eastAsia="Times New Roman" w:hAnsi="EC Square Sans Cond Pro" w:cs="Times New Roman"/>
                <w:noProof/>
                <w:sz w:val="18"/>
                <w:szCs w:val="18"/>
                <w:lang w:val="en-IE"/>
              </w:rPr>
            </w:pPr>
          </w:p>
        </w:tc>
        <w:tc>
          <w:tcPr>
            <w:tcW w:w="473" w:type="pct"/>
            <w:tcBorders>
              <w:top w:val="nil"/>
              <w:left w:val="nil"/>
              <w:bottom w:val="nil"/>
              <w:right w:val="nil"/>
            </w:tcBorders>
            <w:shd w:val="clear" w:color="auto" w:fill="auto"/>
            <w:vAlign w:val="center"/>
            <w:hideMark/>
          </w:tcPr>
          <w:p w14:paraId="7838E6E1" w14:textId="77777777" w:rsidR="00DC71FD" w:rsidRPr="00DC71FD" w:rsidRDefault="00DC71FD" w:rsidP="00DC71FD">
            <w:pPr>
              <w:keepNext/>
              <w:spacing w:after="0"/>
              <w:jc w:val="center"/>
              <w:rPr>
                <w:rFonts w:ascii="EC Square Sans Cond Pro" w:hAnsi="EC Square Sans Cond Pro" w:cs="Calibri"/>
                <w:noProof/>
                <w:sz w:val="18"/>
                <w:szCs w:val="18"/>
              </w:rPr>
            </w:pPr>
          </w:p>
        </w:tc>
        <w:tc>
          <w:tcPr>
            <w:tcW w:w="501" w:type="pct"/>
            <w:tcBorders>
              <w:top w:val="nil"/>
              <w:left w:val="nil"/>
              <w:bottom w:val="nil"/>
              <w:right w:val="nil"/>
            </w:tcBorders>
            <w:shd w:val="clear" w:color="auto" w:fill="auto"/>
            <w:vAlign w:val="center"/>
            <w:hideMark/>
          </w:tcPr>
          <w:p w14:paraId="39FE36E1" w14:textId="77777777" w:rsidR="00DC71FD" w:rsidRPr="006101E5" w:rsidRDefault="00DC71FD" w:rsidP="00DC71FD">
            <w:pPr>
              <w:keepNext/>
              <w:spacing w:after="0"/>
              <w:jc w:val="center"/>
              <w:rPr>
                <w:rFonts w:ascii="EC Square Sans Cond Pro" w:eastAsia="Times New Roman" w:hAnsi="EC Square Sans Cond Pro" w:cs="Times New Roman"/>
                <w:noProof/>
                <w:sz w:val="18"/>
                <w:szCs w:val="18"/>
                <w:lang w:val="en-IE"/>
              </w:rPr>
            </w:pPr>
          </w:p>
        </w:tc>
        <w:tc>
          <w:tcPr>
            <w:tcW w:w="519" w:type="pct"/>
            <w:tcBorders>
              <w:top w:val="nil"/>
              <w:left w:val="nil"/>
              <w:bottom w:val="nil"/>
              <w:right w:val="nil"/>
            </w:tcBorders>
            <w:shd w:val="clear" w:color="auto" w:fill="auto"/>
            <w:vAlign w:val="center"/>
            <w:hideMark/>
          </w:tcPr>
          <w:p w14:paraId="688C3A5D" w14:textId="77777777" w:rsidR="00DC71FD" w:rsidRPr="006101E5" w:rsidRDefault="00DC71FD" w:rsidP="00DC71FD">
            <w:pPr>
              <w:keepNext/>
              <w:spacing w:after="0"/>
              <w:jc w:val="center"/>
              <w:rPr>
                <w:rFonts w:ascii="EC Square Sans Cond Pro" w:eastAsia="Times New Roman" w:hAnsi="EC Square Sans Cond Pro" w:cs="Times New Roman"/>
                <w:noProof/>
                <w:sz w:val="18"/>
                <w:szCs w:val="18"/>
                <w:lang w:val="en-IE"/>
              </w:rPr>
            </w:pPr>
          </w:p>
        </w:tc>
      </w:tr>
      <w:tr w:rsidR="00DC71FD" w:rsidRPr="006101E5" w14:paraId="09D62D6E" w14:textId="77777777" w:rsidTr="005166D5">
        <w:trPr>
          <w:trHeight w:val="300"/>
        </w:trPr>
        <w:tc>
          <w:tcPr>
            <w:tcW w:w="974" w:type="pct"/>
            <w:tcBorders>
              <w:top w:val="nil"/>
              <w:left w:val="nil"/>
              <w:bottom w:val="nil"/>
              <w:right w:val="nil"/>
            </w:tcBorders>
            <w:shd w:val="clear" w:color="auto" w:fill="auto"/>
            <w:noWrap/>
            <w:vAlign w:val="center"/>
            <w:hideMark/>
          </w:tcPr>
          <w:p w14:paraId="560DBC55" w14:textId="77777777" w:rsidR="00DC71FD" w:rsidRPr="006101E5" w:rsidRDefault="00DC71FD" w:rsidP="00DC71FD">
            <w:pPr>
              <w:keepNext/>
              <w:spacing w:after="0"/>
              <w:jc w:val="left"/>
              <w:rPr>
                <w:rFonts w:ascii="EC Square Sans Cond Pro" w:eastAsia="Times New Roman" w:hAnsi="EC Square Sans Cond Pro" w:cs="Calibri"/>
                <w:noProof/>
                <w:sz w:val="18"/>
                <w:szCs w:val="18"/>
                <w:lang w:val="en-IE"/>
              </w:rPr>
            </w:pPr>
            <w:r w:rsidRPr="006101E5">
              <w:rPr>
                <w:rFonts w:ascii="EC Square Sans Cond Pro" w:eastAsia="Times New Roman" w:hAnsi="EC Square Sans Cond Pro" w:cs="Calibri"/>
                <w:noProof/>
                <w:sz w:val="18"/>
                <w:szCs w:val="18"/>
                <w:lang w:val="en-IE"/>
              </w:rPr>
              <w:t>F-gases</w:t>
            </w:r>
          </w:p>
        </w:tc>
        <w:tc>
          <w:tcPr>
            <w:tcW w:w="340" w:type="pct"/>
            <w:tcBorders>
              <w:top w:val="nil"/>
              <w:left w:val="nil"/>
              <w:bottom w:val="nil"/>
              <w:right w:val="nil"/>
            </w:tcBorders>
            <w:shd w:val="clear" w:color="auto" w:fill="auto"/>
            <w:noWrap/>
            <w:vAlign w:val="center"/>
            <w:hideMark/>
          </w:tcPr>
          <w:p w14:paraId="67FEE6B0" w14:textId="7777777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43</w:t>
            </w:r>
          </w:p>
        </w:tc>
        <w:tc>
          <w:tcPr>
            <w:tcW w:w="572" w:type="pct"/>
            <w:tcBorders>
              <w:top w:val="nil"/>
              <w:left w:val="nil"/>
              <w:bottom w:val="nil"/>
              <w:right w:val="nil"/>
            </w:tcBorders>
            <w:shd w:val="clear" w:color="auto" w:fill="auto"/>
            <w:noWrap/>
            <w:vAlign w:val="center"/>
            <w:hideMark/>
          </w:tcPr>
          <w:p w14:paraId="38E4D7A9" w14:textId="7777777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76</w:t>
            </w:r>
          </w:p>
        </w:tc>
        <w:tc>
          <w:tcPr>
            <w:tcW w:w="507" w:type="pct"/>
            <w:tcBorders>
              <w:top w:val="nil"/>
              <w:left w:val="nil"/>
              <w:bottom w:val="nil"/>
              <w:right w:val="nil"/>
            </w:tcBorders>
            <w:shd w:val="clear" w:color="auto" w:fill="auto"/>
            <w:noWrap/>
            <w:vAlign w:val="center"/>
            <w:hideMark/>
          </w:tcPr>
          <w:p w14:paraId="3E32538C" w14:textId="46ECD9F1"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Pr>
                <w:rFonts w:ascii="EC Square Sans Cond Pro" w:hAnsi="EC Square Sans Cond Pro" w:cs="Calibri"/>
                <w:noProof/>
                <w:sz w:val="18"/>
                <w:szCs w:val="18"/>
              </w:rPr>
              <w:t>2.6</w:t>
            </w:r>
          </w:p>
        </w:tc>
        <w:tc>
          <w:tcPr>
            <w:tcW w:w="542" w:type="pct"/>
            <w:tcBorders>
              <w:top w:val="nil"/>
              <w:left w:val="nil"/>
              <w:bottom w:val="nil"/>
              <w:right w:val="nil"/>
            </w:tcBorders>
            <w:shd w:val="clear" w:color="auto" w:fill="auto"/>
            <w:noWrap/>
            <w:vAlign w:val="center"/>
            <w:hideMark/>
          </w:tcPr>
          <w:p w14:paraId="2BBC03F1" w14:textId="7777777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0.2</w:t>
            </w:r>
          </w:p>
        </w:tc>
        <w:tc>
          <w:tcPr>
            <w:tcW w:w="572" w:type="pct"/>
            <w:tcBorders>
              <w:top w:val="nil"/>
              <w:left w:val="nil"/>
              <w:bottom w:val="nil"/>
              <w:right w:val="nil"/>
            </w:tcBorders>
            <w:shd w:val="clear" w:color="auto" w:fill="auto"/>
            <w:noWrap/>
            <w:vAlign w:val="center"/>
            <w:hideMark/>
          </w:tcPr>
          <w:p w14:paraId="66F00579" w14:textId="7777777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0.1</w:t>
            </w:r>
          </w:p>
        </w:tc>
        <w:tc>
          <w:tcPr>
            <w:tcW w:w="473" w:type="pct"/>
            <w:tcBorders>
              <w:top w:val="nil"/>
              <w:left w:val="nil"/>
              <w:bottom w:val="nil"/>
              <w:right w:val="nil"/>
            </w:tcBorders>
            <w:shd w:val="clear" w:color="auto" w:fill="auto"/>
            <w:vAlign w:val="center"/>
            <w:hideMark/>
          </w:tcPr>
          <w:p w14:paraId="210ED364" w14:textId="1A4BBD79" w:rsidR="00DC71FD" w:rsidRPr="00DC71FD" w:rsidRDefault="00DC71FD" w:rsidP="00DC71FD">
            <w:pPr>
              <w:keepNext/>
              <w:spacing w:after="0"/>
              <w:jc w:val="center"/>
              <w:rPr>
                <w:rFonts w:ascii="EC Square Sans Cond Pro" w:hAnsi="EC Square Sans Cond Pro" w:cs="Calibri"/>
                <w:noProof/>
                <w:sz w:val="18"/>
                <w:szCs w:val="18"/>
              </w:rPr>
            </w:pPr>
            <w:r w:rsidRPr="00DC71FD">
              <w:rPr>
                <w:rFonts w:ascii="EC Square Sans Cond Pro" w:hAnsi="EC Square Sans Cond Pro" w:cs="Calibri"/>
                <w:noProof/>
                <w:sz w:val="18"/>
                <w:szCs w:val="18"/>
              </w:rPr>
              <w:t>-97%</w:t>
            </w:r>
          </w:p>
        </w:tc>
        <w:tc>
          <w:tcPr>
            <w:tcW w:w="501" w:type="pct"/>
            <w:tcBorders>
              <w:top w:val="nil"/>
              <w:left w:val="nil"/>
              <w:bottom w:val="nil"/>
              <w:right w:val="nil"/>
            </w:tcBorders>
            <w:shd w:val="clear" w:color="auto" w:fill="auto"/>
            <w:vAlign w:val="center"/>
            <w:hideMark/>
          </w:tcPr>
          <w:p w14:paraId="50D07466" w14:textId="7777777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-100%</w:t>
            </w:r>
          </w:p>
        </w:tc>
        <w:tc>
          <w:tcPr>
            <w:tcW w:w="519" w:type="pct"/>
            <w:tcBorders>
              <w:top w:val="nil"/>
              <w:left w:val="nil"/>
              <w:bottom w:val="nil"/>
              <w:right w:val="nil"/>
            </w:tcBorders>
            <w:shd w:val="clear" w:color="auto" w:fill="auto"/>
            <w:vAlign w:val="center"/>
            <w:hideMark/>
          </w:tcPr>
          <w:p w14:paraId="680E5B6C" w14:textId="7777777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-100%</w:t>
            </w:r>
          </w:p>
        </w:tc>
      </w:tr>
      <w:tr w:rsidR="00DC71FD" w:rsidRPr="006101E5" w14:paraId="317D731F" w14:textId="77777777" w:rsidTr="005166D5">
        <w:trPr>
          <w:trHeight w:val="300"/>
        </w:trPr>
        <w:tc>
          <w:tcPr>
            <w:tcW w:w="974" w:type="pct"/>
            <w:tcBorders>
              <w:top w:val="nil"/>
              <w:left w:val="nil"/>
              <w:bottom w:val="nil"/>
              <w:right w:val="nil"/>
            </w:tcBorders>
            <w:shd w:val="clear" w:color="auto" w:fill="auto"/>
            <w:noWrap/>
            <w:vAlign w:val="center"/>
            <w:hideMark/>
          </w:tcPr>
          <w:p w14:paraId="78999DB7" w14:textId="77777777" w:rsidR="00DC71FD" w:rsidRPr="006101E5" w:rsidRDefault="00DC71FD" w:rsidP="00DC71FD">
            <w:pPr>
              <w:keepNext/>
              <w:spacing w:after="0"/>
              <w:jc w:val="left"/>
              <w:rPr>
                <w:rFonts w:ascii="EC Square Sans Cond Pro" w:eastAsia="Times New Roman" w:hAnsi="EC Square Sans Cond Pro" w:cs="Calibri"/>
                <w:noProof/>
                <w:sz w:val="18"/>
                <w:szCs w:val="18"/>
                <w:lang w:val="en-IE"/>
              </w:rPr>
            </w:pPr>
            <w:r w:rsidRPr="006101E5">
              <w:rPr>
                <w:rFonts w:ascii="EC Square Sans Cond Pro" w:eastAsia="Times New Roman" w:hAnsi="EC Square Sans Cond Pro" w:cs="Calibri"/>
                <w:noProof/>
                <w:sz w:val="18"/>
                <w:szCs w:val="18"/>
                <w:lang w:val="en-IE"/>
              </w:rPr>
              <w:t>Total (all gases)</w:t>
            </w:r>
          </w:p>
        </w:tc>
        <w:tc>
          <w:tcPr>
            <w:tcW w:w="340" w:type="pct"/>
            <w:tcBorders>
              <w:top w:val="nil"/>
              <w:left w:val="nil"/>
              <w:bottom w:val="nil"/>
              <w:right w:val="nil"/>
            </w:tcBorders>
            <w:shd w:val="clear" w:color="auto" w:fill="auto"/>
            <w:noWrap/>
            <w:vAlign w:val="center"/>
            <w:hideMark/>
          </w:tcPr>
          <w:p w14:paraId="38445DA2" w14:textId="7777777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43</w:t>
            </w:r>
          </w:p>
        </w:tc>
        <w:tc>
          <w:tcPr>
            <w:tcW w:w="572" w:type="pct"/>
            <w:tcBorders>
              <w:top w:val="nil"/>
              <w:left w:val="nil"/>
              <w:bottom w:val="nil"/>
              <w:right w:val="nil"/>
            </w:tcBorders>
            <w:shd w:val="clear" w:color="auto" w:fill="auto"/>
            <w:noWrap/>
            <w:vAlign w:val="center"/>
            <w:hideMark/>
          </w:tcPr>
          <w:p w14:paraId="31C8D5E9" w14:textId="7777777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76</w:t>
            </w:r>
          </w:p>
        </w:tc>
        <w:tc>
          <w:tcPr>
            <w:tcW w:w="507" w:type="pct"/>
            <w:tcBorders>
              <w:top w:val="nil"/>
              <w:left w:val="nil"/>
              <w:bottom w:val="nil"/>
              <w:right w:val="nil"/>
            </w:tcBorders>
            <w:shd w:val="clear" w:color="auto" w:fill="auto"/>
            <w:noWrap/>
            <w:vAlign w:val="center"/>
            <w:hideMark/>
          </w:tcPr>
          <w:p w14:paraId="00C31F1E" w14:textId="170182E9"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Pr>
                <w:rFonts w:ascii="EC Square Sans Cond Pro" w:eastAsia="Times New Roman" w:hAnsi="EC Square Sans Cond Pro" w:cs="Calibri"/>
                <w:noProof/>
                <w:sz w:val="18"/>
                <w:szCs w:val="18"/>
                <w:lang w:val="en-IE"/>
              </w:rPr>
              <w:t>2.6</w:t>
            </w:r>
          </w:p>
        </w:tc>
        <w:tc>
          <w:tcPr>
            <w:tcW w:w="542" w:type="pct"/>
            <w:tcBorders>
              <w:top w:val="nil"/>
              <w:left w:val="nil"/>
              <w:bottom w:val="nil"/>
              <w:right w:val="nil"/>
            </w:tcBorders>
            <w:shd w:val="clear" w:color="auto" w:fill="auto"/>
            <w:noWrap/>
            <w:vAlign w:val="center"/>
            <w:hideMark/>
          </w:tcPr>
          <w:p w14:paraId="588D82B6" w14:textId="7777777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0.2</w:t>
            </w:r>
          </w:p>
        </w:tc>
        <w:tc>
          <w:tcPr>
            <w:tcW w:w="572" w:type="pct"/>
            <w:tcBorders>
              <w:top w:val="nil"/>
              <w:left w:val="nil"/>
              <w:bottom w:val="nil"/>
              <w:right w:val="nil"/>
            </w:tcBorders>
            <w:shd w:val="clear" w:color="auto" w:fill="auto"/>
            <w:noWrap/>
            <w:vAlign w:val="center"/>
            <w:hideMark/>
          </w:tcPr>
          <w:p w14:paraId="47DC5E87" w14:textId="7777777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0.1</w:t>
            </w:r>
          </w:p>
        </w:tc>
        <w:tc>
          <w:tcPr>
            <w:tcW w:w="473" w:type="pct"/>
            <w:tcBorders>
              <w:top w:val="nil"/>
              <w:left w:val="nil"/>
              <w:bottom w:val="nil"/>
              <w:right w:val="nil"/>
            </w:tcBorders>
            <w:shd w:val="clear" w:color="auto" w:fill="auto"/>
            <w:vAlign w:val="center"/>
            <w:hideMark/>
          </w:tcPr>
          <w:p w14:paraId="6C234140" w14:textId="1F4AB354" w:rsidR="00DC71FD" w:rsidRPr="00DC71FD" w:rsidRDefault="00DC71FD" w:rsidP="00DC71FD">
            <w:pPr>
              <w:keepNext/>
              <w:spacing w:after="0"/>
              <w:jc w:val="center"/>
              <w:rPr>
                <w:rFonts w:ascii="EC Square Sans Cond Pro" w:hAnsi="EC Square Sans Cond Pro" w:cs="Calibri"/>
                <w:noProof/>
                <w:sz w:val="18"/>
                <w:szCs w:val="18"/>
              </w:rPr>
            </w:pPr>
            <w:r w:rsidRPr="00DC71FD">
              <w:rPr>
                <w:rFonts w:ascii="EC Square Sans Cond Pro" w:hAnsi="EC Square Sans Cond Pro" w:cs="Calibri"/>
                <w:noProof/>
                <w:sz w:val="18"/>
                <w:szCs w:val="18"/>
              </w:rPr>
              <w:t>-97%</w:t>
            </w:r>
          </w:p>
        </w:tc>
        <w:tc>
          <w:tcPr>
            <w:tcW w:w="501" w:type="pct"/>
            <w:tcBorders>
              <w:top w:val="nil"/>
              <w:left w:val="nil"/>
              <w:bottom w:val="nil"/>
              <w:right w:val="nil"/>
            </w:tcBorders>
            <w:shd w:val="clear" w:color="auto" w:fill="auto"/>
            <w:vAlign w:val="center"/>
            <w:hideMark/>
          </w:tcPr>
          <w:p w14:paraId="1F8B16C8" w14:textId="7777777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-100%</w:t>
            </w:r>
          </w:p>
        </w:tc>
        <w:tc>
          <w:tcPr>
            <w:tcW w:w="519" w:type="pct"/>
            <w:tcBorders>
              <w:top w:val="nil"/>
              <w:left w:val="nil"/>
              <w:bottom w:val="nil"/>
              <w:right w:val="nil"/>
            </w:tcBorders>
            <w:shd w:val="clear" w:color="auto" w:fill="auto"/>
            <w:vAlign w:val="center"/>
            <w:hideMark/>
          </w:tcPr>
          <w:p w14:paraId="35F5CB1A" w14:textId="7777777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-100%</w:t>
            </w:r>
          </w:p>
        </w:tc>
      </w:tr>
      <w:tr w:rsidR="00DC71FD" w:rsidRPr="006101E5" w14:paraId="71E3526C" w14:textId="77777777" w:rsidTr="005166D5">
        <w:trPr>
          <w:trHeight w:val="300"/>
        </w:trPr>
        <w:tc>
          <w:tcPr>
            <w:tcW w:w="1313" w:type="pct"/>
            <w:gridSpan w:val="2"/>
            <w:tcBorders>
              <w:top w:val="nil"/>
              <w:left w:val="nil"/>
              <w:bottom w:val="nil"/>
              <w:right w:val="nil"/>
            </w:tcBorders>
            <w:shd w:val="clear" w:color="auto" w:fill="auto"/>
            <w:noWrap/>
            <w:vAlign w:val="center"/>
            <w:hideMark/>
          </w:tcPr>
          <w:p w14:paraId="34B63B76" w14:textId="77777777" w:rsidR="00DC71FD" w:rsidRPr="006101E5" w:rsidRDefault="00DC71FD" w:rsidP="00DC71FD">
            <w:pPr>
              <w:keepNext/>
              <w:spacing w:after="0"/>
              <w:jc w:val="left"/>
              <w:rPr>
                <w:rFonts w:ascii="EC Square Sans Cond Pro" w:eastAsia="Times New Roman" w:hAnsi="EC Square Sans Cond Pro" w:cs="Calibri"/>
                <w:b/>
                <w:bCs/>
                <w:noProof/>
                <w:sz w:val="18"/>
                <w:szCs w:val="18"/>
                <w:lang w:val="en-IE"/>
              </w:rPr>
            </w:pPr>
            <w:r w:rsidRPr="006101E5">
              <w:rPr>
                <w:rFonts w:ascii="EC Square Sans Cond Pro" w:eastAsia="Times New Roman" w:hAnsi="EC Square Sans Cond Pro" w:cs="Calibri"/>
                <w:b/>
                <w:bCs/>
                <w:noProof/>
                <w:sz w:val="18"/>
                <w:szCs w:val="18"/>
                <w:lang w:val="en-IE"/>
              </w:rPr>
              <w:t>Industry and other</w:t>
            </w:r>
          </w:p>
        </w:tc>
        <w:tc>
          <w:tcPr>
            <w:tcW w:w="572" w:type="pct"/>
            <w:tcBorders>
              <w:top w:val="nil"/>
              <w:left w:val="nil"/>
              <w:bottom w:val="nil"/>
              <w:right w:val="nil"/>
            </w:tcBorders>
            <w:shd w:val="clear" w:color="auto" w:fill="auto"/>
            <w:noWrap/>
            <w:vAlign w:val="center"/>
            <w:hideMark/>
          </w:tcPr>
          <w:p w14:paraId="4E13F77B" w14:textId="77777777" w:rsidR="00DC71FD" w:rsidRPr="006101E5" w:rsidRDefault="00DC71FD" w:rsidP="00DC71FD">
            <w:pPr>
              <w:keepNext/>
              <w:spacing w:after="0"/>
              <w:jc w:val="left"/>
              <w:rPr>
                <w:rFonts w:ascii="EC Square Sans Cond Pro" w:eastAsia="Times New Roman" w:hAnsi="EC Square Sans Cond Pro" w:cs="Calibri"/>
                <w:b/>
                <w:bCs/>
                <w:noProof/>
                <w:sz w:val="18"/>
                <w:szCs w:val="18"/>
                <w:lang w:val="en-IE"/>
              </w:rPr>
            </w:pPr>
          </w:p>
        </w:tc>
        <w:tc>
          <w:tcPr>
            <w:tcW w:w="507" w:type="pct"/>
            <w:tcBorders>
              <w:top w:val="nil"/>
              <w:left w:val="nil"/>
              <w:bottom w:val="nil"/>
              <w:right w:val="nil"/>
            </w:tcBorders>
            <w:shd w:val="clear" w:color="auto" w:fill="auto"/>
            <w:noWrap/>
            <w:vAlign w:val="center"/>
            <w:hideMark/>
          </w:tcPr>
          <w:p w14:paraId="6F0A0CD0" w14:textId="77777777" w:rsidR="00DC71FD" w:rsidRPr="006101E5" w:rsidRDefault="00DC71FD" w:rsidP="00DC71FD">
            <w:pPr>
              <w:keepNext/>
              <w:spacing w:after="0"/>
              <w:jc w:val="center"/>
              <w:rPr>
                <w:rFonts w:ascii="EC Square Sans Cond Pro" w:eastAsia="Times New Roman" w:hAnsi="EC Square Sans Cond Pro" w:cs="Times New Roman"/>
                <w:noProof/>
                <w:sz w:val="18"/>
                <w:szCs w:val="18"/>
                <w:lang w:val="en-IE"/>
              </w:rPr>
            </w:pPr>
          </w:p>
        </w:tc>
        <w:tc>
          <w:tcPr>
            <w:tcW w:w="542" w:type="pct"/>
            <w:tcBorders>
              <w:top w:val="nil"/>
              <w:left w:val="nil"/>
              <w:bottom w:val="nil"/>
              <w:right w:val="nil"/>
            </w:tcBorders>
            <w:shd w:val="clear" w:color="auto" w:fill="auto"/>
            <w:noWrap/>
            <w:vAlign w:val="center"/>
            <w:hideMark/>
          </w:tcPr>
          <w:p w14:paraId="6F9A6D50" w14:textId="77777777" w:rsidR="00DC71FD" w:rsidRPr="006101E5" w:rsidRDefault="00DC71FD" w:rsidP="00DC71FD">
            <w:pPr>
              <w:keepNext/>
              <w:spacing w:after="0"/>
              <w:jc w:val="center"/>
              <w:rPr>
                <w:rFonts w:ascii="EC Square Sans Cond Pro" w:eastAsia="Times New Roman" w:hAnsi="EC Square Sans Cond Pro" w:cs="Times New Roman"/>
                <w:noProof/>
                <w:sz w:val="18"/>
                <w:szCs w:val="18"/>
                <w:lang w:val="en-IE"/>
              </w:rPr>
            </w:pPr>
          </w:p>
        </w:tc>
        <w:tc>
          <w:tcPr>
            <w:tcW w:w="572" w:type="pct"/>
            <w:tcBorders>
              <w:top w:val="nil"/>
              <w:left w:val="nil"/>
              <w:bottom w:val="nil"/>
              <w:right w:val="nil"/>
            </w:tcBorders>
            <w:shd w:val="clear" w:color="auto" w:fill="auto"/>
            <w:noWrap/>
            <w:vAlign w:val="center"/>
            <w:hideMark/>
          </w:tcPr>
          <w:p w14:paraId="126089AE" w14:textId="77777777" w:rsidR="00DC71FD" w:rsidRPr="006101E5" w:rsidRDefault="00DC71FD" w:rsidP="00DC71FD">
            <w:pPr>
              <w:keepNext/>
              <w:spacing w:after="0"/>
              <w:jc w:val="center"/>
              <w:rPr>
                <w:rFonts w:ascii="EC Square Sans Cond Pro" w:eastAsia="Times New Roman" w:hAnsi="EC Square Sans Cond Pro" w:cs="Times New Roman"/>
                <w:noProof/>
                <w:sz w:val="18"/>
                <w:szCs w:val="18"/>
                <w:lang w:val="en-IE"/>
              </w:rPr>
            </w:pPr>
          </w:p>
        </w:tc>
        <w:tc>
          <w:tcPr>
            <w:tcW w:w="473" w:type="pct"/>
            <w:tcBorders>
              <w:top w:val="nil"/>
              <w:left w:val="nil"/>
              <w:bottom w:val="nil"/>
              <w:right w:val="nil"/>
            </w:tcBorders>
            <w:shd w:val="clear" w:color="auto" w:fill="auto"/>
            <w:vAlign w:val="center"/>
            <w:hideMark/>
          </w:tcPr>
          <w:p w14:paraId="1C8E962E" w14:textId="77777777" w:rsidR="00DC71FD" w:rsidRPr="00DC71FD" w:rsidRDefault="00DC71FD" w:rsidP="00DC71FD">
            <w:pPr>
              <w:keepNext/>
              <w:spacing w:after="0"/>
              <w:jc w:val="center"/>
              <w:rPr>
                <w:rFonts w:ascii="EC Square Sans Cond Pro" w:hAnsi="EC Square Sans Cond Pro" w:cs="Calibri"/>
                <w:noProof/>
                <w:sz w:val="18"/>
                <w:szCs w:val="18"/>
              </w:rPr>
            </w:pPr>
          </w:p>
        </w:tc>
        <w:tc>
          <w:tcPr>
            <w:tcW w:w="501" w:type="pct"/>
            <w:tcBorders>
              <w:top w:val="nil"/>
              <w:left w:val="nil"/>
              <w:bottom w:val="nil"/>
              <w:right w:val="nil"/>
            </w:tcBorders>
            <w:shd w:val="clear" w:color="auto" w:fill="auto"/>
            <w:vAlign w:val="center"/>
            <w:hideMark/>
          </w:tcPr>
          <w:p w14:paraId="25241E81" w14:textId="77777777" w:rsidR="00DC71FD" w:rsidRPr="006101E5" w:rsidRDefault="00DC71FD" w:rsidP="00DC71FD">
            <w:pPr>
              <w:keepNext/>
              <w:spacing w:after="0"/>
              <w:jc w:val="center"/>
              <w:rPr>
                <w:rFonts w:ascii="EC Square Sans Cond Pro" w:eastAsia="Times New Roman" w:hAnsi="EC Square Sans Cond Pro" w:cs="Times New Roman"/>
                <w:noProof/>
                <w:sz w:val="18"/>
                <w:szCs w:val="18"/>
                <w:lang w:val="en-IE"/>
              </w:rPr>
            </w:pPr>
          </w:p>
        </w:tc>
        <w:tc>
          <w:tcPr>
            <w:tcW w:w="519" w:type="pct"/>
            <w:tcBorders>
              <w:top w:val="nil"/>
              <w:left w:val="nil"/>
              <w:bottom w:val="nil"/>
              <w:right w:val="nil"/>
            </w:tcBorders>
            <w:shd w:val="clear" w:color="auto" w:fill="auto"/>
            <w:vAlign w:val="center"/>
            <w:hideMark/>
          </w:tcPr>
          <w:p w14:paraId="75B312C0" w14:textId="77777777" w:rsidR="00DC71FD" w:rsidRPr="006101E5" w:rsidRDefault="00DC71FD" w:rsidP="00DC71FD">
            <w:pPr>
              <w:keepNext/>
              <w:spacing w:after="0"/>
              <w:jc w:val="center"/>
              <w:rPr>
                <w:rFonts w:ascii="EC Square Sans Cond Pro" w:eastAsia="Times New Roman" w:hAnsi="EC Square Sans Cond Pro" w:cs="Times New Roman"/>
                <w:noProof/>
                <w:sz w:val="18"/>
                <w:szCs w:val="18"/>
                <w:lang w:val="en-IE"/>
              </w:rPr>
            </w:pPr>
          </w:p>
        </w:tc>
      </w:tr>
      <w:tr w:rsidR="00DC71FD" w:rsidRPr="006101E5" w14:paraId="629F10EA" w14:textId="77777777" w:rsidTr="005166D5">
        <w:trPr>
          <w:trHeight w:val="300"/>
        </w:trPr>
        <w:tc>
          <w:tcPr>
            <w:tcW w:w="974" w:type="pct"/>
            <w:tcBorders>
              <w:top w:val="nil"/>
              <w:left w:val="nil"/>
              <w:bottom w:val="nil"/>
              <w:right w:val="nil"/>
            </w:tcBorders>
            <w:shd w:val="clear" w:color="auto" w:fill="auto"/>
            <w:noWrap/>
            <w:vAlign w:val="center"/>
            <w:hideMark/>
          </w:tcPr>
          <w:p w14:paraId="38DDF10C" w14:textId="77777777" w:rsidR="00DC71FD" w:rsidRPr="006101E5" w:rsidRDefault="00DC71FD" w:rsidP="00DC71FD">
            <w:pPr>
              <w:keepNext/>
              <w:spacing w:after="0"/>
              <w:jc w:val="left"/>
              <w:rPr>
                <w:rFonts w:ascii="EC Square Sans Cond Pro" w:eastAsia="Times New Roman" w:hAnsi="EC Square Sans Cond Pro" w:cs="Calibri"/>
                <w:noProof/>
                <w:sz w:val="18"/>
                <w:szCs w:val="18"/>
                <w:lang w:val="en-IE"/>
              </w:rPr>
            </w:pPr>
            <w:r w:rsidRPr="006101E5">
              <w:rPr>
                <w:rFonts w:ascii="EC Square Sans Cond Pro" w:eastAsia="Times New Roman" w:hAnsi="EC Square Sans Cond Pro" w:cs="Calibri"/>
                <w:noProof/>
                <w:sz w:val="18"/>
                <w:szCs w:val="18"/>
                <w:lang w:val="en-IE"/>
              </w:rPr>
              <w:t>N2O</w:t>
            </w:r>
          </w:p>
        </w:tc>
        <w:tc>
          <w:tcPr>
            <w:tcW w:w="340" w:type="pct"/>
            <w:tcBorders>
              <w:top w:val="nil"/>
              <w:left w:val="nil"/>
              <w:bottom w:val="nil"/>
              <w:right w:val="nil"/>
            </w:tcBorders>
            <w:shd w:val="clear" w:color="auto" w:fill="auto"/>
            <w:noWrap/>
            <w:vAlign w:val="center"/>
            <w:hideMark/>
          </w:tcPr>
          <w:p w14:paraId="35751DEB" w14:textId="692183FD"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48</w:t>
            </w:r>
          </w:p>
        </w:tc>
        <w:tc>
          <w:tcPr>
            <w:tcW w:w="572" w:type="pct"/>
            <w:tcBorders>
              <w:top w:val="nil"/>
              <w:left w:val="nil"/>
              <w:bottom w:val="nil"/>
              <w:right w:val="nil"/>
            </w:tcBorders>
            <w:shd w:val="clear" w:color="auto" w:fill="auto"/>
            <w:noWrap/>
            <w:vAlign w:val="center"/>
            <w:hideMark/>
          </w:tcPr>
          <w:p w14:paraId="6909A1ED" w14:textId="1E4DCA0C"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8.3</w:t>
            </w:r>
          </w:p>
        </w:tc>
        <w:tc>
          <w:tcPr>
            <w:tcW w:w="507" w:type="pct"/>
            <w:tcBorders>
              <w:top w:val="nil"/>
              <w:left w:val="nil"/>
              <w:bottom w:val="nil"/>
              <w:right w:val="nil"/>
            </w:tcBorders>
            <w:shd w:val="clear" w:color="auto" w:fill="auto"/>
            <w:noWrap/>
            <w:vAlign w:val="center"/>
            <w:hideMark/>
          </w:tcPr>
          <w:p w14:paraId="3195EDF8" w14:textId="064CBB4C"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7</w:t>
            </w:r>
            <w:r>
              <w:rPr>
                <w:rFonts w:ascii="EC Square Sans Cond Pro" w:hAnsi="EC Square Sans Cond Pro" w:cs="Calibri"/>
                <w:noProof/>
                <w:sz w:val="18"/>
                <w:szCs w:val="18"/>
              </w:rPr>
              <w:t>.2</w:t>
            </w:r>
          </w:p>
        </w:tc>
        <w:tc>
          <w:tcPr>
            <w:tcW w:w="542" w:type="pct"/>
            <w:tcBorders>
              <w:top w:val="nil"/>
              <w:left w:val="nil"/>
              <w:bottom w:val="nil"/>
              <w:right w:val="nil"/>
            </w:tcBorders>
            <w:shd w:val="clear" w:color="auto" w:fill="auto"/>
            <w:noWrap/>
            <w:vAlign w:val="center"/>
            <w:hideMark/>
          </w:tcPr>
          <w:p w14:paraId="5FD71A02" w14:textId="39EDF7D3"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3.7</w:t>
            </w:r>
          </w:p>
        </w:tc>
        <w:tc>
          <w:tcPr>
            <w:tcW w:w="572" w:type="pct"/>
            <w:tcBorders>
              <w:top w:val="nil"/>
              <w:left w:val="nil"/>
              <w:bottom w:val="nil"/>
              <w:right w:val="nil"/>
            </w:tcBorders>
            <w:shd w:val="clear" w:color="auto" w:fill="auto"/>
            <w:noWrap/>
            <w:vAlign w:val="center"/>
            <w:hideMark/>
          </w:tcPr>
          <w:p w14:paraId="5A0DB38A" w14:textId="04ABA418"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4.0</w:t>
            </w:r>
          </w:p>
        </w:tc>
        <w:tc>
          <w:tcPr>
            <w:tcW w:w="473" w:type="pct"/>
            <w:tcBorders>
              <w:top w:val="nil"/>
              <w:left w:val="nil"/>
              <w:bottom w:val="nil"/>
              <w:right w:val="nil"/>
            </w:tcBorders>
            <w:shd w:val="clear" w:color="auto" w:fill="auto"/>
            <w:vAlign w:val="center"/>
            <w:hideMark/>
          </w:tcPr>
          <w:p w14:paraId="5AAD95CA" w14:textId="7E051864" w:rsidR="00DC71FD" w:rsidRPr="00DC71FD" w:rsidRDefault="00DC71FD" w:rsidP="00DC71FD">
            <w:pPr>
              <w:keepNext/>
              <w:spacing w:after="0"/>
              <w:jc w:val="center"/>
              <w:rPr>
                <w:rFonts w:ascii="EC Square Sans Cond Pro" w:hAnsi="EC Square Sans Cond Pro" w:cs="Calibri"/>
                <w:noProof/>
                <w:sz w:val="18"/>
                <w:szCs w:val="18"/>
              </w:rPr>
            </w:pPr>
            <w:r w:rsidRPr="00DC71FD">
              <w:rPr>
                <w:rFonts w:ascii="EC Square Sans Cond Pro" w:hAnsi="EC Square Sans Cond Pro" w:cs="Calibri"/>
                <w:noProof/>
                <w:sz w:val="18"/>
                <w:szCs w:val="18"/>
              </w:rPr>
              <w:t>-13%</w:t>
            </w:r>
          </w:p>
        </w:tc>
        <w:tc>
          <w:tcPr>
            <w:tcW w:w="501" w:type="pct"/>
            <w:tcBorders>
              <w:top w:val="nil"/>
              <w:left w:val="nil"/>
              <w:bottom w:val="nil"/>
              <w:right w:val="nil"/>
            </w:tcBorders>
            <w:shd w:val="clear" w:color="auto" w:fill="auto"/>
            <w:vAlign w:val="center"/>
            <w:hideMark/>
          </w:tcPr>
          <w:p w14:paraId="50584C5C" w14:textId="54F500C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-55%</w:t>
            </w:r>
          </w:p>
        </w:tc>
        <w:tc>
          <w:tcPr>
            <w:tcW w:w="519" w:type="pct"/>
            <w:tcBorders>
              <w:top w:val="nil"/>
              <w:left w:val="nil"/>
              <w:bottom w:val="nil"/>
              <w:right w:val="nil"/>
            </w:tcBorders>
            <w:shd w:val="clear" w:color="auto" w:fill="auto"/>
            <w:vAlign w:val="center"/>
            <w:hideMark/>
          </w:tcPr>
          <w:p w14:paraId="6676476D" w14:textId="671DC780"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-52%</w:t>
            </w:r>
          </w:p>
        </w:tc>
      </w:tr>
      <w:tr w:rsidR="00DC71FD" w:rsidRPr="006101E5" w14:paraId="32A2E386" w14:textId="77777777" w:rsidTr="005166D5">
        <w:trPr>
          <w:trHeight w:val="300"/>
        </w:trPr>
        <w:tc>
          <w:tcPr>
            <w:tcW w:w="974" w:type="pct"/>
            <w:tcBorders>
              <w:top w:val="nil"/>
              <w:left w:val="nil"/>
              <w:bottom w:val="nil"/>
              <w:right w:val="nil"/>
            </w:tcBorders>
            <w:shd w:val="clear" w:color="auto" w:fill="auto"/>
            <w:noWrap/>
            <w:vAlign w:val="center"/>
            <w:hideMark/>
          </w:tcPr>
          <w:p w14:paraId="0B58C591" w14:textId="77777777" w:rsidR="00DC71FD" w:rsidRPr="006101E5" w:rsidRDefault="00DC71FD" w:rsidP="00DC71FD">
            <w:pPr>
              <w:keepNext/>
              <w:spacing w:after="0"/>
              <w:jc w:val="left"/>
              <w:rPr>
                <w:rFonts w:ascii="EC Square Sans Cond Pro" w:eastAsia="Times New Roman" w:hAnsi="EC Square Sans Cond Pro" w:cs="Calibri"/>
                <w:noProof/>
                <w:sz w:val="18"/>
                <w:szCs w:val="18"/>
                <w:lang w:val="en-IE"/>
              </w:rPr>
            </w:pPr>
            <w:r w:rsidRPr="006101E5">
              <w:rPr>
                <w:rFonts w:ascii="EC Square Sans Cond Pro" w:eastAsia="Times New Roman" w:hAnsi="EC Square Sans Cond Pro" w:cs="Calibri"/>
                <w:noProof/>
                <w:sz w:val="18"/>
                <w:szCs w:val="18"/>
                <w:lang w:val="en-IE"/>
              </w:rPr>
              <w:t>F-gases</w:t>
            </w:r>
          </w:p>
        </w:tc>
        <w:tc>
          <w:tcPr>
            <w:tcW w:w="340" w:type="pct"/>
            <w:tcBorders>
              <w:top w:val="nil"/>
              <w:left w:val="nil"/>
              <w:bottom w:val="nil"/>
              <w:right w:val="nil"/>
            </w:tcBorders>
            <w:shd w:val="clear" w:color="auto" w:fill="auto"/>
            <w:noWrap/>
            <w:vAlign w:val="center"/>
            <w:hideMark/>
          </w:tcPr>
          <w:p w14:paraId="679FF602" w14:textId="7777777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28</w:t>
            </w:r>
          </w:p>
        </w:tc>
        <w:tc>
          <w:tcPr>
            <w:tcW w:w="572" w:type="pct"/>
            <w:tcBorders>
              <w:top w:val="nil"/>
              <w:left w:val="nil"/>
              <w:bottom w:val="nil"/>
              <w:right w:val="nil"/>
            </w:tcBorders>
            <w:shd w:val="clear" w:color="auto" w:fill="auto"/>
            <w:noWrap/>
            <w:vAlign w:val="center"/>
            <w:hideMark/>
          </w:tcPr>
          <w:p w14:paraId="7EAD9C9D" w14:textId="7777777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18</w:t>
            </w:r>
          </w:p>
        </w:tc>
        <w:tc>
          <w:tcPr>
            <w:tcW w:w="507" w:type="pct"/>
            <w:tcBorders>
              <w:top w:val="nil"/>
              <w:left w:val="nil"/>
              <w:bottom w:val="nil"/>
              <w:right w:val="nil"/>
            </w:tcBorders>
            <w:shd w:val="clear" w:color="auto" w:fill="auto"/>
            <w:noWrap/>
            <w:vAlign w:val="center"/>
            <w:hideMark/>
          </w:tcPr>
          <w:p w14:paraId="655E36D5" w14:textId="3ECB8514"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Pr>
                <w:rFonts w:ascii="EC Square Sans Cond Pro" w:eastAsia="Times New Roman" w:hAnsi="EC Square Sans Cond Pro" w:cs="Calibri"/>
                <w:noProof/>
                <w:sz w:val="18"/>
                <w:szCs w:val="18"/>
                <w:lang w:val="en-IE"/>
              </w:rPr>
              <w:t>6.1</w:t>
            </w:r>
          </w:p>
        </w:tc>
        <w:tc>
          <w:tcPr>
            <w:tcW w:w="542" w:type="pct"/>
            <w:tcBorders>
              <w:top w:val="nil"/>
              <w:left w:val="nil"/>
              <w:bottom w:val="nil"/>
              <w:right w:val="nil"/>
            </w:tcBorders>
            <w:shd w:val="clear" w:color="auto" w:fill="auto"/>
            <w:noWrap/>
            <w:vAlign w:val="center"/>
            <w:hideMark/>
          </w:tcPr>
          <w:p w14:paraId="6A6A76B2" w14:textId="7777777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1.0</w:t>
            </w:r>
          </w:p>
        </w:tc>
        <w:tc>
          <w:tcPr>
            <w:tcW w:w="572" w:type="pct"/>
            <w:tcBorders>
              <w:top w:val="nil"/>
              <w:left w:val="nil"/>
              <w:bottom w:val="nil"/>
              <w:right w:val="nil"/>
            </w:tcBorders>
            <w:shd w:val="clear" w:color="auto" w:fill="auto"/>
            <w:noWrap/>
            <w:vAlign w:val="center"/>
            <w:hideMark/>
          </w:tcPr>
          <w:p w14:paraId="11588B65" w14:textId="7777777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0.7</w:t>
            </w:r>
          </w:p>
        </w:tc>
        <w:tc>
          <w:tcPr>
            <w:tcW w:w="473" w:type="pct"/>
            <w:tcBorders>
              <w:top w:val="nil"/>
              <w:left w:val="nil"/>
              <w:bottom w:val="nil"/>
              <w:right w:val="nil"/>
            </w:tcBorders>
            <w:shd w:val="clear" w:color="auto" w:fill="auto"/>
            <w:vAlign w:val="center"/>
            <w:hideMark/>
          </w:tcPr>
          <w:p w14:paraId="0CE8576B" w14:textId="397CAAF1" w:rsidR="00DC71FD" w:rsidRPr="00DC71FD" w:rsidRDefault="00DC71FD" w:rsidP="00DC71FD">
            <w:pPr>
              <w:keepNext/>
              <w:spacing w:after="0"/>
              <w:jc w:val="center"/>
              <w:rPr>
                <w:rFonts w:ascii="EC Square Sans Cond Pro" w:hAnsi="EC Square Sans Cond Pro" w:cs="Calibri"/>
                <w:noProof/>
                <w:sz w:val="18"/>
                <w:szCs w:val="18"/>
              </w:rPr>
            </w:pPr>
            <w:r w:rsidRPr="00DC71FD">
              <w:rPr>
                <w:rFonts w:ascii="EC Square Sans Cond Pro" w:hAnsi="EC Square Sans Cond Pro" w:cs="Calibri"/>
                <w:noProof/>
                <w:sz w:val="18"/>
                <w:szCs w:val="18"/>
              </w:rPr>
              <w:t>-67%</w:t>
            </w:r>
          </w:p>
        </w:tc>
        <w:tc>
          <w:tcPr>
            <w:tcW w:w="501" w:type="pct"/>
            <w:tcBorders>
              <w:top w:val="nil"/>
              <w:left w:val="nil"/>
              <w:bottom w:val="nil"/>
              <w:right w:val="nil"/>
            </w:tcBorders>
            <w:shd w:val="clear" w:color="auto" w:fill="auto"/>
            <w:vAlign w:val="center"/>
            <w:hideMark/>
          </w:tcPr>
          <w:p w14:paraId="486E606A" w14:textId="144BF98B"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-94%</w:t>
            </w:r>
          </w:p>
        </w:tc>
        <w:tc>
          <w:tcPr>
            <w:tcW w:w="519" w:type="pct"/>
            <w:tcBorders>
              <w:top w:val="nil"/>
              <w:left w:val="nil"/>
              <w:bottom w:val="nil"/>
              <w:right w:val="nil"/>
            </w:tcBorders>
            <w:shd w:val="clear" w:color="auto" w:fill="auto"/>
            <w:vAlign w:val="center"/>
            <w:hideMark/>
          </w:tcPr>
          <w:p w14:paraId="4D75935B" w14:textId="41A5C2EF"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-96%</w:t>
            </w:r>
          </w:p>
        </w:tc>
      </w:tr>
      <w:tr w:rsidR="00DC71FD" w:rsidRPr="006101E5" w14:paraId="36555925" w14:textId="77777777" w:rsidTr="005166D5">
        <w:trPr>
          <w:trHeight w:val="300"/>
        </w:trPr>
        <w:tc>
          <w:tcPr>
            <w:tcW w:w="974" w:type="pct"/>
            <w:tcBorders>
              <w:top w:val="nil"/>
              <w:left w:val="nil"/>
              <w:bottom w:val="nil"/>
              <w:right w:val="nil"/>
            </w:tcBorders>
            <w:shd w:val="clear" w:color="auto" w:fill="auto"/>
            <w:noWrap/>
            <w:vAlign w:val="center"/>
            <w:hideMark/>
          </w:tcPr>
          <w:p w14:paraId="2DFF60E0" w14:textId="77777777" w:rsidR="00DC71FD" w:rsidRPr="006101E5" w:rsidRDefault="00DC71FD" w:rsidP="00DC71FD">
            <w:pPr>
              <w:keepNext/>
              <w:spacing w:after="0"/>
              <w:jc w:val="left"/>
              <w:rPr>
                <w:rFonts w:ascii="EC Square Sans Cond Pro" w:eastAsia="Times New Roman" w:hAnsi="EC Square Sans Cond Pro" w:cs="Calibri"/>
                <w:noProof/>
                <w:sz w:val="18"/>
                <w:szCs w:val="18"/>
                <w:lang w:val="en-IE"/>
              </w:rPr>
            </w:pPr>
            <w:r w:rsidRPr="006101E5">
              <w:rPr>
                <w:rFonts w:ascii="EC Square Sans Cond Pro" w:eastAsia="Times New Roman" w:hAnsi="EC Square Sans Cond Pro" w:cs="Calibri"/>
                <w:noProof/>
                <w:sz w:val="18"/>
                <w:szCs w:val="18"/>
                <w:lang w:val="en-IE"/>
              </w:rPr>
              <w:t>Total (all gases)</w:t>
            </w:r>
          </w:p>
        </w:tc>
        <w:tc>
          <w:tcPr>
            <w:tcW w:w="340" w:type="pct"/>
            <w:tcBorders>
              <w:top w:val="nil"/>
              <w:left w:val="nil"/>
              <w:bottom w:val="nil"/>
              <w:right w:val="nil"/>
            </w:tcBorders>
            <w:shd w:val="clear" w:color="auto" w:fill="auto"/>
            <w:noWrap/>
            <w:vAlign w:val="center"/>
            <w:hideMark/>
          </w:tcPr>
          <w:p w14:paraId="39343902" w14:textId="5F105830"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76</w:t>
            </w:r>
          </w:p>
        </w:tc>
        <w:tc>
          <w:tcPr>
            <w:tcW w:w="572" w:type="pct"/>
            <w:tcBorders>
              <w:top w:val="nil"/>
              <w:left w:val="nil"/>
              <w:bottom w:val="nil"/>
              <w:right w:val="nil"/>
            </w:tcBorders>
            <w:shd w:val="clear" w:color="auto" w:fill="auto"/>
            <w:noWrap/>
            <w:vAlign w:val="center"/>
            <w:hideMark/>
          </w:tcPr>
          <w:p w14:paraId="237BCE15" w14:textId="47A64E46"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27</w:t>
            </w:r>
          </w:p>
        </w:tc>
        <w:tc>
          <w:tcPr>
            <w:tcW w:w="507" w:type="pct"/>
            <w:tcBorders>
              <w:top w:val="nil"/>
              <w:left w:val="nil"/>
              <w:bottom w:val="nil"/>
              <w:right w:val="nil"/>
            </w:tcBorders>
            <w:shd w:val="clear" w:color="auto" w:fill="auto"/>
            <w:noWrap/>
            <w:vAlign w:val="center"/>
            <w:hideMark/>
          </w:tcPr>
          <w:p w14:paraId="5F9DB2A0" w14:textId="0E16114F"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Pr>
                <w:rFonts w:ascii="EC Square Sans Cond Pro" w:hAnsi="EC Square Sans Cond Pro" w:cs="Calibri"/>
                <w:noProof/>
                <w:sz w:val="18"/>
                <w:szCs w:val="18"/>
              </w:rPr>
              <w:t>13</w:t>
            </w:r>
          </w:p>
        </w:tc>
        <w:tc>
          <w:tcPr>
            <w:tcW w:w="542" w:type="pct"/>
            <w:tcBorders>
              <w:top w:val="nil"/>
              <w:left w:val="nil"/>
              <w:bottom w:val="nil"/>
              <w:right w:val="nil"/>
            </w:tcBorders>
            <w:shd w:val="clear" w:color="auto" w:fill="auto"/>
            <w:noWrap/>
            <w:vAlign w:val="center"/>
            <w:hideMark/>
          </w:tcPr>
          <w:p w14:paraId="3FDA8A67" w14:textId="2AF5790C"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4.7</w:t>
            </w:r>
          </w:p>
        </w:tc>
        <w:tc>
          <w:tcPr>
            <w:tcW w:w="572" w:type="pct"/>
            <w:tcBorders>
              <w:top w:val="nil"/>
              <w:left w:val="nil"/>
              <w:bottom w:val="nil"/>
              <w:right w:val="nil"/>
            </w:tcBorders>
            <w:shd w:val="clear" w:color="auto" w:fill="auto"/>
            <w:noWrap/>
            <w:vAlign w:val="center"/>
            <w:hideMark/>
          </w:tcPr>
          <w:p w14:paraId="3DFC68EF" w14:textId="553BE64E"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4.7</w:t>
            </w:r>
          </w:p>
        </w:tc>
        <w:tc>
          <w:tcPr>
            <w:tcW w:w="473" w:type="pct"/>
            <w:tcBorders>
              <w:top w:val="nil"/>
              <w:left w:val="nil"/>
              <w:bottom w:val="nil"/>
              <w:right w:val="nil"/>
            </w:tcBorders>
            <w:shd w:val="clear" w:color="auto" w:fill="auto"/>
            <w:vAlign w:val="center"/>
            <w:hideMark/>
          </w:tcPr>
          <w:p w14:paraId="175278A9" w14:textId="43CA994D" w:rsidR="00DC71FD" w:rsidRPr="00DC71FD" w:rsidRDefault="00DC71FD" w:rsidP="00DC71FD">
            <w:pPr>
              <w:keepNext/>
              <w:spacing w:after="0"/>
              <w:jc w:val="center"/>
              <w:rPr>
                <w:rFonts w:ascii="EC Square Sans Cond Pro" w:hAnsi="EC Square Sans Cond Pro" w:cs="Calibri"/>
                <w:noProof/>
                <w:sz w:val="18"/>
                <w:szCs w:val="18"/>
              </w:rPr>
            </w:pPr>
            <w:r w:rsidRPr="00DC71FD">
              <w:rPr>
                <w:rFonts w:ascii="EC Square Sans Cond Pro" w:hAnsi="EC Square Sans Cond Pro" w:cs="Calibri"/>
                <w:noProof/>
                <w:sz w:val="18"/>
                <w:szCs w:val="18"/>
              </w:rPr>
              <w:t>-50%</w:t>
            </w:r>
          </w:p>
        </w:tc>
        <w:tc>
          <w:tcPr>
            <w:tcW w:w="501" w:type="pct"/>
            <w:tcBorders>
              <w:top w:val="nil"/>
              <w:left w:val="nil"/>
              <w:bottom w:val="nil"/>
              <w:right w:val="nil"/>
            </w:tcBorders>
            <w:shd w:val="clear" w:color="auto" w:fill="auto"/>
            <w:vAlign w:val="center"/>
            <w:hideMark/>
          </w:tcPr>
          <w:p w14:paraId="51EBAB15" w14:textId="30A92F2C"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-82%</w:t>
            </w:r>
          </w:p>
        </w:tc>
        <w:tc>
          <w:tcPr>
            <w:tcW w:w="519" w:type="pct"/>
            <w:tcBorders>
              <w:top w:val="nil"/>
              <w:left w:val="nil"/>
              <w:bottom w:val="nil"/>
              <w:right w:val="nil"/>
            </w:tcBorders>
            <w:shd w:val="clear" w:color="auto" w:fill="auto"/>
            <w:vAlign w:val="center"/>
            <w:hideMark/>
          </w:tcPr>
          <w:p w14:paraId="590F2D9A" w14:textId="7FBF7903"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-82%</w:t>
            </w:r>
          </w:p>
        </w:tc>
      </w:tr>
      <w:tr w:rsidR="00DC71FD" w:rsidRPr="006101E5" w14:paraId="3492FF1C" w14:textId="77777777" w:rsidTr="005166D5">
        <w:trPr>
          <w:trHeight w:val="300"/>
        </w:trPr>
        <w:tc>
          <w:tcPr>
            <w:tcW w:w="974" w:type="pct"/>
            <w:tcBorders>
              <w:top w:val="nil"/>
              <w:left w:val="nil"/>
              <w:bottom w:val="nil"/>
              <w:right w:val="nil"/>
            </w:tcBorders>
            <w:shd w:val="clear" w:color="auto" w:fill="auto"/>
            <w:noWrap/>
            <w:vAlign w:val="center"/>
            <w:hideMark/>
          </w:tcPr>
          <w:p w14:paraId="03499F03" w14:textId="77777777" w:rsidR="00DC71FD" w:rsidRPr="006101E5" w:rsidRDefault="00DC71FD" w:rsidP="00DC71FD">
            <w:pPr>
              <w:keepNext/>
              <w:spacing w:after="0"/>
              <w:jc w:val="left"/>
              <w:rPr>
                <w:rFonts w:ascii="EC Square Sans Cond Pro" w:eastAsia="Times New Roman" w:hAnsi="EC Square Sans Cond Pro" w:cs="Calibri"/>
                <w:b/>
                <w:bCs/>
                <w:noProof/>
                <w:sz w:val="18"/>
                <w:szCs w:val="18"/>
                <w:lang w:val="en-IE"/>
              </w:rPr>
            </w:pPr>
            <w:r w:rsidRPr="006101E5">
              <w:rPr>
                <w:rFonts w:ascii="EC Square Sans Cond Pro" w:eastAsia="Times New Roman" w:hAnsi="EC Square Sans Cond Pro" w:cs="Calibri"/>
                <w:b/>
                <w:bCs/>
                <w:noProof/>
                <w:sz w:val="18"/>
                <w:szCs w:val="18"/>
                <w:lang w:val="en-IE"/>
              </w:rPr>
              <w:t>Total</w:t>
            </w:r>
          </w:p>
        </w:tc>
        <w:tc>
          <w:tcPr>
            <w:tcW w:w="340" w:type="pct"/>
            <w:tcBorders>
              <w:top w:val="nil"/>
              <w:left w:val="nil"/>
              <w:bottom w:val="nil"/>
              <w:right w:val="nil"/>
            </w:tcBorders>
            <w:shd w:val="clear" w:color="auto" w:fill="auto"/>
            <w:noWrap/>
            <w:vAlign w:val="center"/>
            <w:hideMark/>
          </w:tcPr>
          <w:p w14:paraId="3A65DCE7" w14:textId="77777777" w:rsidR="00DC71FD" w:rsidRPr="006101E5" w:rsidRDefault="00DC71FD" w:rsidP="00DC71FD">
            <w:pPr>
              <w:keepNext/>
              <w:spacing w:after="0"/>
              <w:jc w:val="left"/>
              <w:rPr>
                <w:rFonts w:ascii="EC Square Sans Cond Pro" w:eastAsia="Times New Roman" w:hAnsi="EC Square Sans Cond Pro" w:cs="Calibri"/>
                <w:b/>
                <w:bCs/>
                <w:noProof/>
                <w:sz w:val="18"/>
                <w:szCs w:val="18"/>
                <w:lang w:val="en-IE"/>
              </w:rPr>
            </w:pPr>
          </w:p>
        </w:tc>
        <w:tc>
          <w:tcPr>
            <w:tcW w:w="572" w:type="pct"/>
            <w:tcBorders>
              <w:top w:val="nil"/>
              <w:left w:val="nil"/>
              <w:bottom w:val="nil"/>
              <w:right w:val="nil"/>
            </w:tcBorders>
            <w:shd w:val="clear" w:color="auto" w:fill="auto"/>
            <w:noWrap/>
            <w:vAlign w:val="center"/>
            <w:hideMark/>
          </w:tcPr>
          <w:p w14:paraId="70D86734" w14:textId="77777777" w:rsidR="00DC71FD" w:rsidRPr="006101E5" w:rsidRDefault="00DC71FD" w:rsidP="00DC71FD">
            <w:pPr>
              <w:keepNext/>
              <w:spacing w:after="0"/>
              <w:jc w:val="center"/>
              <w:rPr>
                <w:rFonts w:ascii="EC Square Sans Cond Pro" w:eastAsia="Times New Roman" w:hAnsi="EC Square Sans Cond Pro" w:cs="Times New Roman"/>
                <w:noProof/>
                <w:sz w:val="18"/>
                <w:szCs w:val="18"/>
                <w:lang w:val="en-IE"/>
              </w:rPr>
            </w:pPr>
          </w:p>
        </w:tc>
        <w:tc>
          <w:tcPr>
            <w:tcW w:w="507" w:type="pct"/>
            <w:tcBorders>
              <w:top w:val="nil"/>
              <w:left w:val="nil"/>
              <w:bottom w:val="nil"/>
              <w:right w:val="nil"/>
            </w:tcBorders>
            <w:shd w:val="clear" w:color="auto" w:fill="auto"/>
            <w:noWrap/>
            <w:vAlign w:val="center"/>
            <w:hideMark/>
          </w:tcPr>
          <w:p w14:paraId="38FC2C34" w14:textId="77777777" w:rsidR="00DC71FD" w:rsidRPr="006101E5" w:rsidRDefault="00DC71FD" w:rsidP="00DC71FD">
            <w:pPr>
              <w:keepNext/>
              <w:spacing w:after="0"/>
              <w:jc w:val="center"/>
              <w:rPr>
                <w:rFonts w:ascii="EC Square Sans Cond Pro" w:eastAsia="Times New Roman" w:hAnsi="EC Square Sans Cond Pro" w:cs="Times New Roman"/>
                <w:noProof/>
                <w:sz w:val="18"/>
                <w:szCs w:val="18"/>
                <w:lang w:val="en-IE"/>
              </w:rPr>
            </w:pPr>
          </w:p>
        </w:tc>
        <w:tc>
          <w:tcPr>
            <w:tcW w:w="542" w:type="pct"/>
            <w:tcBorders>
              <w:top w:val="nil"/>
              <w:left w:val="nil"/>
              <w:bottom w:val="nil"/>
              <w:right w:val="nil"/>
            </w:tcBorders>
            <w:shd w:val="clear" w:color="auto" w:fill="auto"/>
            <w:noWrap/>
            <w:vAlign w:val="center"/>
            <w:hideMark/>
          </w:tcPr>
          <w:p w14:paraId="3D389989" w14:textId="77777777" w:rsidR="00DC71FD" w:rsidRPr="006101E5" w:rsidRDefault="00DC71FD" w:rsidP="00DC71FD">
            <w:pPr>
              <w:keepNext/>
              <w:spacing w:after="0"/>
              <w:jc w:val="center"/>
              <w:rPr>
                <w:rFonts w:ascii="EC Square Sans Cond Pro" w:eastAsia="Times New Roman" w:hAnsi="EC Square Sans Cond Pro" w:cs="Times New Roman"/>
                <w:noProof/>
                <w:sz w:val="18"/>
                <w:szCs w:val="18"/>
                <w:lang w:val="en-IE"/>
              </w:rPr>
            </w:pPr>
          </w:p>
        </w:tc>
        <w:tc>
          <w:tcPr>
            <w:tcW w:w="572" w:type="pct"/>
            <w:tcBorders>
              <w:top w:val="nil"/>
              <w:left w:val="nil"/>
              <w:bottom w:val="nil"/>
              <w:right w:val="nil"/>
            </w:tcBorders>
            <w:shd w:val="clear" w:color="auto" w:fill="auto"/>
            <w:noWrap/>
            <w:vAlign w:val="center"/>
            <w:hideMark/>
          </w:tcPr>
          <w:p w14:paraId="3F670405" w14:textId="77777777" w:rsidR="00DC71FD" w:rsidRPr="006101E5" w:rsidRDefault="00DC71FD" w:rsidP="00DC71FD">
            <w:pPr>
              <w:keepNext/>
              <w:spacing w:after="0"/>
              <w:jc w:val="center"/>
              <w:rPr>
                <w:rFonts w:ascii="EC Square Sans Cond Pro" w:eastAsia="Times New Roman" w:hAnsi="EC Square Sans Cond Pro" w:cs="Times New Roman"/>
                <w:noProof/>
                <w:sz w:val="18"/>
                <w:szCs w:val="18"/>
                <w:lang w:val="en-IE"/>
              </w:rPr>
            </w:pPr>
          </w:p>
        </w:tc>
        <w:tc>
          <w:tcPr>
            <w:tcW w:w="473" w:type="pct"/>
            <w:tcBorders>
              <w:top w:val="nil"/>
              <w:left w:val="nil"/>
              <w:bottom w:val="nil"/>
              <w:right w:val="nil"/>
            </w:tcBorders>
            <w:shd w:val="clear" w:color="auto" w:fill="auto"/>
            <w:vAlign w:val="center"/>
            <w:hideMark/>
          </w:tcPr>
          <w:p w14:paraId="6E121931" w14:textId="77777777" w:rsidR="00DC71FD" w:rsidRPr="00DC71FD" w:rsidRDefault="00DC71FD" w:rsidP="00DC71FD">
            <w:pPr>
              <w:keepNext/>
              <w:spacing w:after="0"/>
              <w:jc w:val="center"/>
              <w:rPr>
                <w:rFonts w:ascii="EC Square Sans Cond Pro" w:hAnsi="EC Square Sans Cond Pro" w:cs="Calibri"/>
                <w:noProof/>
                <w:sz w:val="18"/>
                <w:szCs w:val="18"/>
              </w:rPr>
            </w:pPr>
          </w:p>
        </w:tc>
        <w:tc>
          <w:tcPr>
            <w:tcW w:w="501" w:type="pct"/>
            <w:tcBorders>
              <w:top w:val="nil"/>
              <w:left w:val="nil"/>
              <w:bottom w:val="nil"/>
              <w:right w:val="nil"/>
            </w:tcBorders>
            <w:shd w:val="clear" w:color="auto" w:fill="auto"/>
            <w:vAlign w:val="center"/>
            <w:hideMark/>
          </w:tcPr>
          <w:p w14:paraId="475D63C9" w14:textId="77777777" w:rsidR="00DC71FD" w:rsidRPr="006101E5" w:rsidRDefault="00DC71FD" w:rsidP="00DC71FD">
            <w:pPr>
              <w:keepNext/>
              <w:spacing w:after="0"/>
              <w:jc w:val="center"/>
              <w:rPr>
                <w:rFonts w:ascii="EC Square Sans Cond Pro" w:eastAsia="Times New Roman" w:hAnsi="EC Square Sans Cond Pro" w:cs="Times New Roman"/>
                <w:noProof/>
                <w:sz w:val="18"/>
                <w:szCs w:val="18"/>
                <w:lang w:val="en-IE"/>
              </w:rPr>
            </w:pPr>
          </w:p>
        </w:tc>
        <w:tc>
          <w:tcPr>
            <w:tcW w:w="519" w:type="pct"/>
            <w:tcBorders>
              <w:top w:val="nil"/>
              <w:left w:val="nil"/>
              <w:bottom w:val="nil"/>
              <w:right w:val="nil"/>
            </w:tcBorders>
            <w:shd w:val="clear" w:color="auto" w:fill="auto"/>
            <w:vAlign w:val="center"/>
            <w:hideMark/>
          </w:tcPr>
          <w:p w14:paraId="64CA00F1" w14:textId="77777777" w:rsidR="00DC71FD" w:rsidRPr="006101E5" w:rsidRDefault="00DC71FD" w:rsidP="00DC71FD">
            <w:pPr>
              <w:keepNext/>
              <w:spacing w:after="0"/>
              <w:jc w:val="center"/>
              <w:rPr>
                <w:rFonts w:ascii="EC Square Sans Cond Pro" w:eastAsia="Times New Roman" w:hAnsi="EC Square Sans Cond Pro" w:cs="Times New Roman"/>
                <w:noProof/>
                <w:sz w:val="18"/>
                <w:szCs w:val="18"/>
                <w:lang w:val="en-IE"/>
              </w:rPr>
            </w:pPr>
          </w:p>
        </w:tc>
      </w:tr>
      <w:tr w:rsidR="00DC71FD" w:rsidRPr="006101E5" w14:paraId="0110C840" w14:textId="77777777" w:rsidTr="005166D5">
        <w:trPr>
          <w:trHeight w:val="300"/>
        </w:trPr>
        <w:tc>
          <w:tcPr>
            <w:tcW w:w="974" w:type="pct"/>
            <w:tcBorders>
              <w:top w:val="nil"/>
              <w:left w:val="nil"/>
              <w:bottom w:val="nil"/>
              <w:right w:val="nil"/>
            </w:tcBorders>
            <w:shd w:val="clear" w:color="auto" w:fill="auto"/>
            <w:noWrap/>
            <w:vAlign w:val="center"/>
            <w:hideMark/>
          </w:tcPr>
          <w:p w14:paraId="06519BAF" w14:textId="77777777" w:rsidR="00DC71FD" w:rsidRPr="006101E5" w:rsidRDefault="00DC71FD" w:rsidP="00DC71FD">
            <w:pPr>
              <w:keepNext/>
              <w:spacing w:after="0"/>
              <w:jc w:val="left"/>
              <w:rPr>
                <w:rFonts w:ascii="EC Square Sans Cond Pro" w:eastAsia="Times New Roman" w:hAnsi="EC Square Sans Cond Pro" w:cs="Calibri"/>
                <w:noProof/>
                <w:sz w:val="18"/>
                <w:szCs w:val="18"/>
                <w:lang w:val="en-IE"/>
              </w:rPr>
            </w:pPr>
            <w:r w:rsidRPr="006101E5">
              <w:rPr>
                <w:rFonts w:ascii="EC Square Sans Cond Pro" w:eastAsia="Times New Roman" w:hAnsi="EC Square Sans Cond Pro" w:cs="Calibri"/>
                <w:noProof/>
                <w:sz w:val="18"/>
                <w:szCs w:val="18"/>
                <w:lang w:val="en-IE"/>
              </w:rPr>
              <w:t>CH4</w:t>
            </w:r>
          </w:p>
        </w:tc>
        <w:tc>
          <w:tcPr>
            <w:tcW w:w="340" w:type="pct"/>
            <w:tcBorders>
              <w:top w:val="nil"/>
              <w:left w:val="nil"/>
              <w:bottom w:val="nil"/>
              <w:right w:val="nil"/>
            </w:tcBorders>
            <w:shd w:val="clear" w:color="auto" w:fill="auto"/>
            <w:noWrap/>
            <w:vAlign w:val="center"/>
            <w:hideMark/>
          </w:tcPr>
          <w:p w14:paraId="03CE3922" w14:textId="6A4BBE52"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255</w:t>
            </w:r>
          </w:p>
        </w:tc>
        <w:tc>
          <w:tcPr>
            <w:tcW w:w="572" w:type="pct"/>
            <w:tcBorders>
              <w:top w:val="nil"/>
              <w:left w:val="nil"/>
              <w:bottom w:val="nil"/>
              <w:right w:val="nil"/>
            </w:tcBorders>
            <w:shd w:val="clear" w:color="auto" w:fill="auto"/>
            <w:noWrap/>
            <w:vAlign w:val="center"/>
            <w:hideMark/>
          </w:tcPr>
          <w:p w14:paraId="19727571" w14:textId="525A9A12"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196</w:t>
            </w:r>
          </w:p>
        </w:tc>
        <w:tc>
          <w:tcPr>
            <w:tcW w:w="507" w:type="pct"/>
            <w:tcBorders>
              <w:top w:val="nil"/>
              <w:left w:val="nil"/>
              <w:bottom w:val="nil"/>
              <w:right w:val="nil"/>
            </w:tcBorders>
            <w:shd w:val="clear" w:color="auto" w:fill="auto"/>
            <w:noWrap/>
            <w:vAlign w:val="center"/>
            <w:hideMark/>
          </w:tcPr>
          <w:p w14:paraId="57102A58" w14:textId="2EA2A770"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Pr>
                <w:rFonts w:ascii="EC Square Sans Cond Pro" w:hAnsi="EC Square Sans Cond Pro" w:cs="Calibri"/>
                <w:noProof/>
                <w:sz w:val="18"/>
                <w:szCs w:val="18"/>
              </w:rPr>
              <w:t>80</w:t>
            </w:r>
          </w:p>
        </w:tc>
        <w:tc>
          <w:tcPr>
            <w:tcW w:w="542" w:type="pct"/>
            <w:tcBorders>
              <w:top w:val="nil"/>
              <w:left w:val="nil"/>
              <w:bottom w:val="nil"/>
              <w:right w:val="nil"/>
            </w:tcBorders>
            <w:shd w:val="clear" w:color="auto" w:fill="auto"/>
            <w:noWrap/>
            <w:vAlign w:val="center"/>
            <w:hideMark/>
          </w:tcPr>
          <w:p w14:paraId="223557F3" w14:textId="627A0DE4"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64</w:t>
            </w:r>
          </w:p>
        </w:tc>
        <w:tc>
          <w:tcPr>
            <w:tcW w:w="572" w:type="pct"/>
            <w:tcBorders>
              <w:top w:val="nil"/>
              <w:left w:val="nil"/>
              <w:bottom w:val="nil"/>
              <w:right w:val="nil"/>
            </w:tcBorders>
            <w:shd w:val="clear" w:color="auto" w:fill="auto"/>
            <w:noWrap/>
            <w:vAlign w:val="center"/>
            <w:hideMark/>
          </w:tcPr>
          <w:p w14:paraId="737BC0EB" w14:textId="1617DC9B"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38</w:t>
            </w:r>
          </w:p>
        </w:tc>
        <w:tc>
          <w:tcPr>
            <w:tcW w:w="473" w:type="pct"/>
            <w:tcBorders>
              <w:top w:val="nil"/>
              <w:left w:val="nil"/>
              <w:bottom w:val="nil"/>
              <w:right w:val="nil"/>
            </w:tcBorders>
            <w:shd w:val="clear" w:color="auto" w:fill="auto"/>
            <w:vAlign w:val="center"/>
            <w:hideMark/>
          </w:tcPr>
          <w:p w14:paraId="6DA4E7B0" w14:textId="055F59A3" w:rsidR="00DC71FD" w:rsidRPr="00DC71FD" w:rsidRDefault="00DC71FD" w:rsidP="00DC71FD">
            <w:pPr>
              <w:keepNext/>
              <w:spacing w:after="0"/>
              <w:jc w:val="center"/>
              <w:rPr>
                <w:rFonts w:ascii="EC Square Sans Cond Pro" w:hAnsi="EC Square Sans Cond Pro" w:cs="Calibri"/>
                <w:noProof/>
                <w:sz w:val="18"/>
                <w:szCs w:val="18"/>
              </w:rPr>
            </w:pPr>
            <w:r w:rsidRPr="00DC71FD">
              <w:rPr>
                <w:rFonts w:ascii="EC Square Sans Cond Pro" w:hAnsi="EC Square Sans Cond Pro" w:cs="Calibri"/>
                <w:noProof/>
                <w:sz w:val="18"/>
                <w:szCs w:val="18"/>
              </w:rPr>
              <w:t>-59%</w:t>
            </w:r>
          </w:p>
        </w:tc>
        <w:tc>
          <w:tcPr>
            <w:tcW w:w="501" w:type="pct"/>
            <w:tcBorders>
              <w:top w:val="nil"/>
              <w:left w:val="nil"/>
              <w:bottom w:val="nil"/>
              <w:right w:val="nil"/>
            </w:tcBorders>
            <w:shd w:val="clear" w:color="auto" w:fill="auto"/>
            <w:vAlign w:val="center"/>
            <w:hideMark/>
          </w:tcPr>
          <w:p w14:paraId="6A592F90" w14:textId="3A6E77A0"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-67%</w:t>
            </w:r>
          </w:p>
        </w:tc>
        <w:tc>
          <w:tcPr>
            <w:tcW w:w="519" w:type="pct"/>
            <w:tcBorders>
              <w:top w:val="nil"/>
              <w:left w:val="nil"/>
              <w:bottom w:val="nil"/>
              <w:right w:val="nil"/>
            </w:tcBorders>
            <w:shd w:val="clear" w:color="auto" w:fill="auto"/>
            <w:vAlign w:val="center"/>
            <w:hideMark/>
          </w:tcPr>
          <w:p w14:paraId="7A82A56A" w14:textId="239B0C83"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-80%</w:t>
            </w:r>
          </w:p>
        </w:tc>
      </w:tr>
      <w:tr w:rsidR="00DC71FD" w:rsidRPr="006101E5" w14:paraId="1AB0DFC4" w14:textId="77777777" w:rsidTr="005166D5">
        <w:trPr>
          <w:trHeight w:val="300"/>
        </w:trPr>
        <w:tc>
          <w:tcPr>
            <w:tcW w:w="974" w:type="pct"/>
            <w:tcBorders>
              <w:top w:val="nil"/>
              <w:left w:val="nil"/>
              <w:bottom w:val="nil"/>
              <w:right w:val="nil"/>
            </w:tcBorders>
            <w:shd w:val="clear" w:color="auto" w:fill="auto"/>
            <w:noWrap/>
            <w:vAlign w:val="center"/>
            <w:hideMark/>
          </w:tcPr>
          <w:p w14:paraId="7BDEF2B9" w14:textId="77777777" w:rsidR="00DC71FD" w:rsidRPr="006101E5" w:rsidRDefault="00DC71FD" w:rsidP="00DC71FD">
            <w:pPr>
              <w:keepNext/>
              <w:spacing w:after="0"/>
              <w:jc w:val="left"/>
              <w:rPr>
                <w:rFonts w:ascii="EC Square Sans Cond Pro" w:eastAsia="Times New Roman" w:hAnsi="EC Square Sans Cond Pro" w:cs="Calibri"/>
                <w:noProof/>
                <w:sz w:val="18"/>
                <w:szCs w:val="18"/>
                <w:lang w:val="en-IE"/>
              </w:rPr>
            </w:pPr>
            <w:r w:rsidRPr="006101E5">
              <w:rPr>
                <w:rFonts w:ascii="EC Square Sans Cond Pro" w:eastAsia="Times New Roman" w:hAnsi="EC Square Sans Cond Pro" w:cs="Calibri"/>
                <w:noProof/>
                <w:sz w:val="18"/>
                <w:szCs w:val="18"/>
                <w:lang w:val="en-IE"/>
              </w:rPr>
              <w:t>N2O</w:t>
            </w:r>
          </w:p>
        </w:tc>
        <w:tc>
          <w:tcPr>
            <w:tcW w:w="340" w:type="pct"/>
            <w:tcBorders>
              <w:top w:val="nil"/>
              <w:left w:val="nil"/>
              <w:bottom w:val="nil"/>
              <w:right w:val="nil"/>
            </w:tcBorders>
            <w:shd w:val="clear" w:color="auto" w:fill="auto"/>
            <w:noWrap/>
            <w:vAlign w:val="center"/>
            <w:hideMark/>
          </w:tcPr>
          <w:p w14:paraId="33129B3F" w14:textId="25D34A85"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83</w:t>
            </w:r>
          </w:p>
        </w:tc>
        <w:tc>
          <w:tcPr>
            <w:tcW w:w="572" w:type="pct"/>
            <w:tcBorders>
              <w:top w:val="nil"/>
              <w:left w:val="nil"/>
              <w:bottom w:val="nil"/>
              <w:right w:val="nil"/>
            </w:tcBorders>
            <w:shd w:val="clear" w:color="auto" w:fill="auto"/>
            <w:noWrap/>
            <w:vAlign w:val="center"/>
            <w:hideMark/>
          </w:tcPr>
          <w:p w14:paraId="6BDA7E73" w14:textId="35364BA0"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41</w:t>
            </w:r>
          </w:p>
        </w:tc>
        <w:tc>
          <w:tcPr>
            <w:tcW w:w="507" w:type="pct"/>
            <w:tcBorders>
              <w:top w:val="nil"/>
              <w:left w:val="nil"/>
              <w:bottom w:val="nil"/>
              <w:right w:val="nil"/>
            </w:tcBorders>
            <w:shd w:val="clear" w:color="auto" w:fill="auto"/>
            <w:noWrap/>
            <w:vAlign w:val="center"/>
            <w:hideMark/>
          </w:tcPr>
          <w:p w14:paraId="3831F551" w14:textId="4FF85BBA"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Pr>
                <w:rFonts w:ascii="EC Square Sans Cond Pro" w:hAnsi="EC Square Sans Cond Pro" w:cs="Calibri"/>
                <w:noProof/>
                <w:sz w:val="18"/>
                <w:szCs w:val="18"/>
              </w:rPr>
              <w:t>27</w:t>
            </w:r>
          </w:p>
        </w:tc>
        <w:tc>
          <w:tcPr>
            <w:tcW w:w="542" w:type="pct"/>
            <w:tcBorders>
              <w:top w:val="nil"/>
              <w:left w:val="nil"/>
              <w:bottom w:val="nil"/>
              <w:right w:val="nil"/>
            </w:tcBorders>
            <w:shd w:val="clear" w:color="auto" w:fill="auto"/>
            <w:noWrap/>
            <w:vAlign w:val="center"/>
            <w:hideMark/>
          </w:tcPr>
          <w:p w14:paraId="6F9D01DC" w14:textId="7F48D193"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19</w:t>
            </w:r>
          </w:p>
        </w:tc>
        <w:tc>
          <w:tcPr>
            <w:tcW w:w="572" w:type="pct"/>
            <w:tcBorders>
              <w:top w:val="nil"/>
              <w:left w:val="nil"/>
              <w:bottom w:val="nil"/>
              <w:right w:val="nil"/>
            </w:tcBorders>
            <w:shd w:val="clear" w:color="auto" w:fill="auto"/>
            <w:noWrap/>
            <w:vAlign w:val="center"/>
            <w:hideMark/>
          </w:tcPr>
          <w:p w14:paraId="755D422A" w14:textId="488690E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16</w:t>
            </w:r>
          </w:p>
        </w:tc>
        <w:tc>
          <w:tcPr>
            <w:tcW w:w="473" w:type="pct"/>
            <w:tcBorders>
              <w:top w:val="nil"/>
              <w:left w:val="nil"/>
              <w:bottom w:val="nil"/>
              <w:right w:val="nil"/>
            </w:tcBorders>
            <w:shd w:val="clear" w:color="auto" w:fill="auto"/>
            <w:vAlign w:val="center"/>
            <w:hideMark/>
          </w:tcPr>
          <w:p w14:paraId="15C03F2B" w14:textId="7BE4F0C4" w:rsidR="00DC71FD" w:rsidRPr="00DC71FD" w:rsidRDefault="00DC71FD" w:rsidP="00DC71FD">
            <w:pPr>
              <w:keepNext/>
              <w:spacing w:after="0"/>
              <w:jc w:val="center"/>
              <w:rPr>
                <w:rFonts w:ascii="EC Square Sans Cond Pro" w:hAnsi="EC Square Sans Cond Pro" w:cs="Calibri"/>
                <w:noProof/>
                <w:sz w:val="18"/>
                <w:szCs w:val="18"/>
              </w:rPr>
            </w:pPr>
            <w:r w:rsidRPr="00DC71FD">
              <w:rPr>
                <w:rFonts w:ascii="EC Square Sans Cond Pro" w:hAnsi="EC Square Sans Cond Pro" w:cs="Calibri"/>
                <w:noProof/>
                <w:sz w:val="18"/>
                <w:szCs w:val="18"/>
              </w:rPr>
              <w:t>-33%</w:t>
            </w:r>
          </w:p>
        </w:tc>
        <w:tc>
          <w:tcPr>
            <w:tcW w:w="501" w:type="pct"/>
            <w:tcBorders>
              <w:top w:val="nil"/>
              <w:left w:val="nil"/>
              <w:bottom w:val="nil"/>
              <w:right w:val="nil"/>
            </w:tcBorders>
            <w:shd w:val="clear" w:color="auto" w:fill="auto"/>
            <w:vAlign w:val="center"/>
            <w:hideMark/>
          </w:tcPr>
          <w:p w14:paraId="0B441C7B" w14:textId="1AD39182"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-54%</w:t>
            </w:r>
          </w:p>
        </w:tc>
        <w:tc>
          <w:tcPr>
            <w:tcW w:w="519" w:type="pct"/>
            <w:tcBorders>
              <w:top w:val="nil"/>
              <w:left w:val="nil"/>
              <w:bottom w:val="nil"/>
              <w:right w:val="nil"/>
            </w:tcBorders>
            <w:shd w:val="clear" w:color="auto" w:fill="auto"/>
            <w:vAlign w:val="center"/>
            <w:hideMark/>
          </w:tcPr>
          <w:p w14:paraId="4F055594" w14:textId="2EA550C1"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-61%</w:t>
            </w:r>
          </w:p>
        </w:tc>
      </w:tr>
      <w:tr w:rsidR="00DC71FD" w:rsidRPr="006101E5" w14:paraId="135ACCB0" w14:textId="77777777" w:rsidTr="005166D5">
        <w:trPr>
          <w:trHeight w:val="300"/>
        </w:trPr>
        <w:tc>
          <w:tcPr>
            <w:tcW w:w="974" w:type="pct"/>
            <w:tcBorders>
              <w:top w:val="nil"/>
              <w:left w:val="nil"/>
              <w:bottom w:val="nil"/>
              <w:right w:val="nil"/>
            </w:tcBorders>
            <w:shd w:val="clear" w:color="auto" w:fill="auto"/>
            <w:noWrap/>
            <w:vAlign w:val="center"/>
            <w:hideMark/>
          </w:tcPr>
          <w:p w14:paraId="0E85233F" w14:textId="77777777" w:rsidR="00DC71FD" w:rsidRPr="006101E5" w:rsidRDefault="00DC71FD" w:rsidP="00DC71FD">
            <w:pPr>
              <w:keepNext/>
              <w:spacing w:after="0"/>
              <w:jc w:val="left"/>
              <w:rPr>
                <w:rFonts w:ascii="EC Square Sans Cond Pro" w:eastAsia="Times New Roman" w:hAnsi="EC Square Sans Cond Pro" w:cs="Calibri"/>
                <w:noProof/>
                <w:sz w:val="18"/>
                <w:szCs w:val="18"/>
                <w:lang w:val="en-IE"/>
              </w:rPr>
            </w:pPr>
            <w:r w:rsidRPr="006101E5">
              <w:rPr>
                <w:rFonts w:ascii="EC Square Sans Cond Pro" w:eastAsia="Times New Roman" w:hAnsi="EC Square Sans Cond Pro" w:cs="Calibri"/>
                <w:noProof/>
                <w:sz w:val="18"/>
                <w:szCs w:val="18"/>
                <w:lang w:val="en-IE"/>
              </w:rPr>
              <w:t>F-gases</w:t>
            </w:r>
          </w:p>
        </w:tc>
        <w:tc>
          <w:tcPr>
            <w:tcW w:w="340" w:type="pct"/>
            <w:tcBorders>
              <w:top w:val="nil"/>
              <w:left w:val="nil"/>
              <w:bottom w:val="nil"/>
              <w:right w:val="nil"/>
            </w:tcBorders>
            <w:shd w:val="clear" w:color="auto" w:fill="auto"/>
            <w:noWrap/>
            <w:vAlign w:val="center"/>
            <w:hideMark/>
          </w:tcPr>
          <w:p w14:paraId="24A5CE7A" w14:textId="7777777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71</w:t>
            </w:r>
          </w:p>
        </w:tc>
        <w:tc>
          <w:tcPr>
            <w:tcW w:w="572" w:type="pct"/>
            <w:tcBorders>
              <w:top w:val="nil"/>
              <w:left w:val="nil"/>
              <w:bottom w:val="nil"/>
              <w:right w:val="nil"/>
            </w:tcBorders>
            <w:shd w:val="clear" w:color="auto" w:fill="auto"/>
            <w:noWrap/>
            <w:vAlign w:val="center"/>
            <w:hideMark/>
          </w:tcPr>
          <w:p w14:paraId="07EEE6B4" w14:textId="7777777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94</w:t>
            </w:r>
          </w:p>
        </w:tc>
        <w:tc>
          <w:tcPr>
            <w:tcW w:w="507" w:type="pct"/>
            <w:tcBorders>
              <w:top w:val="nil"/>
              <w:left w:val="nil"/>
              <w:bottom w:val="nil"/>
              <w:right w:val="nil"/>
            </w:tcBorders>
            <w:shd w:val="clear" w:color="auto" w:fill="auto"/>
            <w:noWrap/>
            <w:vAlign w:val="center"/>
            <w:hideMark/>
          </w:tcPr>
          <w:p w14:paraId="73154CB2" w14:textId="1F3D3DBE"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Pr>
                <w:rFonts w:ascii="EC Square Sans Cond Pro" w:hAnsi="EC Square Sans Cond Pro" w:cs="Calibri"/>
                <w:noProof/>
                <w:sz w:val="18"/>
                <w:szCs w:val="18"/>
              </w:rPr>
              <w:t>8.7</w:t>
            </w:r>
          </w:p>
        </w:tc>
        <w:tc>
          <w:tcPr>
            <w:tcW w:w="542" w:type="pct"/>
            <w:tcBorders>
              <w:top w:val="nil"/>
              <w:left w:val="nil"/>
              <w:bottom w:val="nil"/>
              <w:right w:val="nil"/>
            </w:tcBorders>
            <w:shd w:val="clear" w:color="auto" w:fill="auto"/>
            <w:noWrap/>
            <w:vAlign w:val="center"/>
            <w:hideMark/>
          </w:tcPr>
          <w:p w14:paraId="132C498B" w14:textId="7777777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1.2</w:t>
            </w:r>
          </w:p>
        </w:tc>
        <w:tc>
          <w:tcPr>
            <w:tcW w:w="572" w:type="pct"/>
            <w:tcBorders>
              <w:top w:val="nil"/>
              <w:left w:val="nil"/>
              <w:bottom w:val="nil"/>
              <w:right w:val="nil"/>
            </w:tcBorders>
            <w:shd w:val="clear" w:color="auto" w:fill="auto"/>
            <w:noWrap/>
            <w:vAlign w:val="center"/>
            <w:hideMark/>
          </w:tcPr>
          <w:p w14:paraId="250E1D29" w14:textId="7777777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0.8</w:t>
            </w:r>
          </w:p>
        </w:tc>
        <w:tc>
          <w:tcPr>
            <w:tcW w:w="473" w:type="pct"/>
            <w:tcBorders>
              <w:top w:val="nil"/>
              <w:left w:val="nil"/>
              <w:bottom w:val="nil"/>
              <w:right w:val="nil"/>
            </w:tcBorders>
            <w:shd w:val="clear" w:color="auto" w:fill="auto"/>
            <w:vAlign w:val="center"/>
            <w:hideMark/>
          </w:tcPr>
          <w:p w14:paraId="29816232" w14:textId="1E212AD3" w:rsidR="00DC71FD" w:rsidRPr="00DC71FD" w:rsidRDefault="00DC71FD" w:rsidP="00DC71FD">
            <w:pPr>
              <w:keepNext/>
              <w:spacing w:after="0"/>
              <w:jc w:val="center"/>
              <w:rPr>
                <w:rFonts w:ascii="EC Square Sans Cond Pro" w:hAnsi="EC Square Sans Cond Pro" w:cs="Calibri"/>
                <w:noProof/>
                <w:sz w:val="18"/>
                <w:szCs w:val="18"/>
              </w:rPr>
            </w:pPr>
            <w:r w:rsidRPr="00DC71FD">
              <w:rPr>
                <w:rFonts w:ascii="EC Square Sans Cond Pro" w:hAnsi="EC Square Sans Cond Pro" w:cs="Calibri"/>
                <w:noProof/>
                <w:sz w:val="18"/>
                <w:szCs w:val="18"/>
              </w:rPr>
              <w:t>-91%</w:t>
            </w:r>
          </w:p>
        </w:tc>
        <w:tc>
          <w:tcPr>
            <w:tcW w:w="501" w:type="pct"/>
            <w:tcBorders>
              <w:top w:val="nil"/>
              <w:left w:val="nil"/>
              <w:bottom w:val="nil"/>
              <w:right w:val="nil"/>
            </w:tcBorders>
            <w:shd w:val="clear" w:color="auto" w:fill="auto"/>
            <w:vAlign w:val="center"/>
            <w:hideMark/>
          </w:tcPr>
          <w:p w14:paraId="63A0E9C2" w14:textId="7CA0F6BF"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-99%</w:t>
            </w:r>
          </w:p>
        </w:tc>
        <w:tc>
          <w:tcPr>
            <w:tcW w:w="519" w:type="pct"/>
            <w:tcBorders>
              <w:top w:val="nil"/>
              <w:left w:val="nil"/>
              <w:bottom w:val="nil"/>
              <w:right w:val="nil"/>
            </w:tcBorders>
            <w:shd w:val="clear" w:color="auto" w:fill="auto"/>
            <w:vAlign w:val="center"/>
            <w:hideMark/>
          </w:tcPr>
          <w:p w14:paraId="2F34B043" w14:textId="7777777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-99%</w:t>
            </w:r>
          </w:p>
        </w:tc>
      </w:tr>
      <w:tr w:rsidR="00DC71FD" w:rsidRPr="006101E5" w14:paraId="59F379FF" w14:textId="77777777" w:rsidTr="005166D5">
        <w:trPr>
          <w:trHeight w:val="300"/>
        </w:trPr>
        <w:tc>
          <w:tcPr>
            <w:tcW w:w="974" w:type="pct"/>
            <w:tcBorders>
              <w:top w:val="nil"/>
              <w:left w:val="nil"/>
              <w:bottom w:val="nil"/>
              <w:right w:val="nil"/>
            </w:tcBorders>
            <w:shd w:val="clear" w:color="auto" w:fill="auto"/>
            <w:noWrap/>
            <w:vAlign w:val="center"/>
            <w:hideMark/>
          </w:tcPr>
          <w:p w14:paraId="1D6B4751" w14:textId="77777777" w:rsidR="00DC71FD" w:rsidRPr="006101E5" w:rsidRDefault="00DC71FD" w:rsidP="00DC71FD">
            <w:pPr>
              <w:keepNext/>
              <w:spacing w:after="0"/>
              <w:jc w:val="left"/>
              <w:rPr>
                <w:rFonts w:ascii="EC Square Sans Cond Pro" w:eastAsia="Times New Roman" w:hAnsi="EC Square Sans Cond Pro" w:cs="Calibri"/>
                <w:noProof/>
                <w:sz w:val="18"/>
                <w:szCs w:val="18"/>
                <w:lang w:val="en-IE"/>
              </w:rPr>
            </w:pPr>
            <w:r w:rsidRPr="006101E5">
              <w:rPr>
                <w:rFonts w:ascii="EC Square Sans Cond Pro" w:eastAsia="Times New Roman" w:hAnsi="EC Square Sans Cond Pro" w:cs="Calibri"/>
                <w:noProof/>
                <w:sz w:val="18"/>
                <w:szCs w:val="18"/>
                <w:lang w:val="en-IE"/>
              </w:rPr>
              <w:t>Total (all gases)</w:t>
            </w:r>
          </w:p>
        </w:tc>
        <w:tc>
          <w:tcPr>
            <w:tcW w:w="340" w:type="pct"/>
            <w:tcBorders>
              <w:top w:val="nil"/>
              <w:left w:val="nil"/>
              <w:bottom w:val="nil"/>
              <w:right w:val="nil"/>
            </w:tcBorders>
            <w:shd w:val="clear" w:color="auto" w:fill="auto"/>
            <w:noWrap/>
            <w:vAlign w:val="center"/>
            <w:hideMark/>
          </w:tcPr>
          <w:p w14:paraId="379BBDED" w14:textId="0E62C6F0"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409</w:t>
            </w:r>
          </w:p>
        </w:tc>
        <w:tc>
          <w:tcPr>
            <w:tcW w:w="572" w:type="pct"/>
            <w:tcBorders>
              <w:top w:val="nil"/>
              <w:left w:val="nil"/>
              <w:bottom w:val="nil"/>
              <w:right w:val="nil"/>
            </w:tcBorders>
            <w:shd w:val="clear" w:color="auto" w:fill="auto"/>
            <w:noWrap/>
            <w:vAlign w:val="center"/>
            <w:hideMark/>
          </w:tcPr>
          <w:p w14:paraId="6CD1FC38" w14:textId="264A2940"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330</w:t>
            </w:r>
          </w:p>
        </w:tc>
        <w:tc>
          <w:tcPr>
            <w:tcW w:w="507" w:type="pct"/>
            <w:tcBorders>
              <w:top w:val="nil"/>
              <w:left w:val="nil"/>
              <w:bottom w:val="nil"/>
              <w:right w:val="nil"/>
            </w:tcBorders>
            <w:shd w:val="clear" w:color="auto" w:fill="auto"/>
            <w:noWrap/>
            <w:vAlign w:val="center"/>
            <w:hideMark/>
          </w:tcPr>
          <w:p w14:paraId="4EC5E95A" w14:textId="1AEBD6BA"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Pr>
                <w:rFonts w:ascii="EC Square Sans Cond Pro" w:hAnsi="EC Square Sans Cond Pro" w:cs="Calibri"/>
                <w:noProof/>
                <w:sz w:val="18"/>
                <w:szCs w:val="18"/>
              </w:rPr>
              <w:t>116</w:t>
            </w:r>
          </w:p>
        </w:tc>
        <w:tc>
          <w:tcPr>
            <w:tcW w:w="542" w:type="pct"/>
            <w:tcBorders>
              <w:top w:val="nil"/>
              <w:left w:val="nil"/>
              <w:bottom w:val="nil"/>
              <w:right w:val="nil"/>
            </w:tcBorders>
            <w:shd w:val="clear" w:color="auto" w:fill="auto"/>
            <w:noWrap/>
            <w:vAlign w:val="center"/>
            <w:hideMark/>
          </w:tcPr>
          <w:p w14:paraId="19960906" w14:textId="4022AFCD"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84</w:t>
            </w:r>
          </w:p>
        </w:tc>
        <w:tc>
          <w:tcPr>
            <w:tcW w:w="572" w:type="pct"/>
            <w:tcBorders>
              <w:top w:val="nil"/>
              <w:left w:val="nil"/>
              <w:bottom w:val="nil"/>
              <w:right w:val="nil"/>
            </w:tcBorders>
            <w:shd w:val="clear" w:color="auto" w:fill="auto"/>
            <w:noWrap/>
            <w:vAlign w:val="center"/>
            <w:hideMark/>
          </w:tcPr>
          <w:p w14:paraId="2BE4F12A" w14:textId="786C06B7"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55</w:t>
            </w:r>
          </w:p>
        </w:tc>
        <w:tc>
          <w:tcPr>
            <w:tcW w:w="473" w:type="pct"/>
            <w:tcBorders>
              <w:top w:val="nil"/>
              <w:left w:val="nil"/>
              <w:bottom w:val="nil"/>
              <w:right w:val="nil"/>
            </w:tcBorders>
            <w:shd w:val="clear" w:color="auto" w:fill="auto"/>
            <w:vAlign w:val="center"/>
            <w:hideMark/>
          </w:tcPr>
          <w:p w14:paraId="0904A4C3" w14:textId="0C7138FA" w:rsidR="00DC71FD" w:rsidRPr="00DC71FD" w:rsidRDefault="00DC71FD" w:rsidP="00DC71FD">
            <w:pPr>
              <w:keepNext/>
              <w:spacing w:after="0"/>
              <w:jc w:val="center"/>
              <w:rPr>
                <w:rFonts w:ascii="EC Square Sans Cond Pro" w:hAnsi="EC Square Sans Cond Pro" w:cs="Calibri"/>
                <w:noProof/>
                <w:sz w:val="18"/>
                <w:szCs w:val="18"/>
              </w:rPr>
            </w:pPr>
            <w:r w:rsidRPr="00DC71FD">
              <w:rPr>
                <w:rFonts w:ascii="EC Square Sans Cond Pro" w:hAnsi="EC Square Sans Cond Pro" w:cs="Calibri"/>
                <w:noProof/>
                <w:sz w:val="18"/>
                <w:szCs w:val="18"/>
              </w:rPr>
              <w:t>-65%</w:t>
            </w:r>
          </w:p>
        </w:tc>
        <w:tc>
          <w:tcPr>
            <w:tcW w:w="501" w:type="pct"/>
            <w:tcBorders>
              <w:top w:val="nil"/>
              <w:left w:val="nil"/>
              <w:bottom w:val="nil"/>
              <w:right w:val="nil"/>
            </w:tcBorders>
            <w:shd w:val="clear" w:color="auto" w:fill="auto"/>
            <w:vAlign w:val="center"/>
            <w:hideMark/>
          </w:tcPr>
          <w:p w14:paraId="123191C7" w14:textId="4BCC8D02"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-74%</w:t>
            </w:r>
          </w:p>
        </w:tc>
        <w:tc>
          <w:tcPr>
            <w:tcW w:w="519" w:type="pct"/>
            <w:tcBorders>
              <w:top w:val="nil"/>
              <w:left w:val="nil"/>
              <w:bottom w:val="nil"/>
              <w:right w:val="nil"/>
            </w:tcBorders>
            <w:shd w:val="clear" w:color="auto" w:fill="auto"/>
            <w:vAlign w:val="center"/>
            <w:hideMark/>
          </w:tcPr>
          <w:p w14:paraId="12B236F8" w14:textId="20744A7E" w:rsidR="00DC71FD" w:rsidRPr="006101E5" w:rsidRDefault="00DC71FD" w:rsidP="00DC71FD">
            <w:pPr>
              <w:keepNext/>
              <w:spacing w:after="0"/>
              <w:jc w:val="center"/>
              <w:rPr>
                <w:rFonts w:ascii="EC Square Sans Cond Pro" w:eastAsia="Times New Roman" w:hAnsi="EC Square Sans Cond Pro" w:cs="Calibri"/>
                <w:noProof/>
                <w:sz w:val="18"/>
                <w:szCs w:val="18"/>
                <w:lang w:val="en-IE"/>
              </w:rPr>
            </w:pPr>
            <w:r w:rsidRPr="006101E5">
              <w:rPr>
                <w:rFonts w:ascii="EC Square Sans Cond Pro" w:hAnsi="EC Square Sans Cond Pro" w:cs="Calibri"/>
                <w:noProof/>
                <w:sz w:val="18"/>
                <w:szCs w:val="18"/>
              </w:rPr>
              <w:t>-83%</w:t>
            </w:r>
          </w:p>
        </w:tc>
      </w:tr>
    </w:tbl>
    <w:p w14:paraId="4332AC89" w14:textId="5DAF597D" w:rsidR="00F16805" w:rsidRPr="00BC4FF7" w:rsidRDefault="00F16805" w:rsidP="00416E22">
      <w:pPr>
        <w:pStyle w:val="Text2"/>
        <w:keepNext/>
        <w:rPr>
          <w:noProof/>
          <w:color w:val="FF0000"/>
          <w:sz w:val="8"/>
          <w:szCs w:val="8"/>
        </w:rPr>
      </w:pPr>
    </w:p>
    <w:p w14:paraId="12906E16" w14:textId="3CD26F63" w:rsidR="00F16805" w:rsidRPr="006101E5" w:rsidRDefault="00F16805" w:rsidP="00416E22">
      <w:pPr>
        <w:pStyle w:val="CT-NOTE"/>
        <w:rPr>
          <w:noProof/>
        </w:rPr>
      </w:pPr>
      <w:r w:rsidRPr="006101E5">
        <w:rPr>
          <w:noProof/>
        </w:rPr>
        <w:t>Note: *The waste management sector includes solid waste and wastewater treatment.</w:t>
      </w:r>
      <w:r w:rsidR="00590244" w:rsidRPr="006101E5">
        <w:rPr>
          <w:noProof/>
        </w:rPr>
        <w:t xml:space="preserve">  </w:t>
      </w:r>
    </w:p>
    <w:p w14:paraId="66E8DE46" w14:textId="6A444B2E" w:rsidR="00331E46" w:rsidRPr="006101E5" w:rsidRDefault="00F16805" w:rsidP="006F501E">
      <w:pPr>
        <w:pStyle w:val="CT2040-SOURCE"/>
        <w:rPr>
          <w:noProof/>
        </w:rPr>
      </w:pPr>
      <w:r w:rsidRPr="006101E5">
        <w:rPr>
          <w:noProof/>
        </w:rPr>
        <w:t>Source: GAINS.</w:t>
      </w:r>
    </w:p>
    <w:p w14:paraId="185B033F" w14:textId="310D48C1" w:rsidR="0045543E" w:rsidRPr="006101E5" w:rsidRDefault="007E3B7F" w:rsidP="00534E10">
      <w:pPr>
        <w:pStyle w:val="Heading2"/>
        <w:keepNext w:val="0"/>
        <w:rPr>
          <w:rStyle w:val="Heading2Char"/>
          <w:rFonts w:ascii="EC Square Sans Cond Pro" w:eastAsiaTheme="minorHAnsi" w:hAnsi="EC Square Sans Cond Pro" w:cs="Avenir Next LT Pro"/>
          <w:b/>
          <w:i/>
          <w:iCs/>
          <w:noProof/>
          <w:sz w:val="22"/>
          <w:szCs w:val="22"/>
          <w:lang w:val="en-IE"/>
        </w:rPr>
      </w:pPr>
      <w:bookmarkStart w:id="408" w:name="_Ref143779233"/>
      <w:bookmarkStart w:id="409" w:name="_Toc148605614"/>
      <w:bookmarkStart w:id="410" w:name="_Toc157692060"/>
      <w:bookmarkStart w:id="411" w:name="_Hlk145538892"/>
      <w:r w:rsidRPr="006101E5">
        <w:rPr>
          <w:rStyle w:val="Heading2Char"/>
          <w:noProof/>
        </w:rPr>
        <w:t>Agriculture</w:t>
      </w:r>
      <w:bookmarkEnd w:id="408"/>
      <w:bookmarkEnd w:id="409"/>
      <w:bookmarkEnd w:id="410"/>
    </w:p>
    <w:p w14:paraId="0494A6A1" w14:textId="5C120718" w:rsidR="001352B6" w:rsidRPr="006101E5" w:rsidRDefault="00E325DB" w:rsidP="00886789">
      <w:pPr>
        <w:pStyle w:val="Heading3"/>
        <w:rPr>
          <w:noProof/>
          <w:lang w:val="en-IE"/>
        </w:rPr>
      </w:pPr>
      <w:bookmarkStart w:id="412" w:name="_Toc148605615"/>
      <w:bookmarkStart w:id="413" w:name="_Toc157692061"/>
      <w:r w:rsidRPr="006101E5">
        <w:rPr>
          <w:noProof/>
        </w:rPr>
        <w:t>Introduction</w:t>
      </w:r>
      <w:bookmarkEnd w:id="412"/>
      <w:bookmarkEnd w:id="413"/>
    </w:p>
    <w:p w14:paraId="4B51A0C9" w14:textId="6CE9881D" w:rsidR="00E6594B" w:rsidRPr="006101E5" w:rsidRDefault="0088740E" w:rsidP="00E6594B">
      <w:pPr>
        <w:pStyle w:val="Text3"/>
        <w:tabs>
          <w:tab w:val="clear" w:pos="1899"/>
        </w:tabs>
        <w:ind w:left="0" w:firstLine="0"/>
        <w:rPr>
          <w:noProof/>
          <w:lang w:val="en-IE"/>
        </w:rPr>
      </w:pPr>
      <w:r w:rsidRPr="006101E5">
        <w:rPr>
          <w:noProof/>
          <w:lang w:val="en-IE"/>
        </w:rPr>
        <w:t xml:space="preserve">Emissions in the </w:t>
      </w:r>
      <w:r w:rsidR="00B428C0" w:rsidRPr="006101E5">
        <w:rPr>
          <w:noProof/>
          <w:lang w:val="en-IE"/>
        </w:rPr>
        <w:t>a</w:t>
      </w:r>
      <w:r w:rsidRPr="006101E5">
        <w:rPr>
          <w:noProof/>
          <w:lang w:val="en-IE"/>
        </w:rPr>
        <w:t xml:space="preserve">gricultural sector declined since </w:t>
      </w:r>
      <w:r w:rsidR="008A286E" w:rsidRPr="006101E5">
        <w:rPr>
          <w:noProof/>
          <w:lang w:val="en-IE"/>
        </w:rPr>
        <w:t xml:space="preserve">1990 by </w:t>
      </w:r>
      <w:r w:rsidR="003D460A" w:rsidRPr="006101E5">
        <w:rPr>
          <w:noProof/>
          <w:lang w:val="en-IE"/>
        </w:rPr>
        <w:t>23%</w:t>
      </w:r>
      <w:r w:rsidR="00F8026A" w:rsidRPr="006101E5">
        <w:rPr>
          <w:noProof/>
          <w:lang w:val="en-IE"/>
        </w:rPr>
        <w:t xml:space="preserve"> </w:t>
      </w:r>
      <w:r w:rsidR="000C02A1" w:rsidRPr="006101E5">
        <w:rPr>
          <w:noProof/>
          <w:lang w:val="en-IE"/>
        </w:rPr>
        <w:t>with an increase in outut efficicency (i.e., lower emissions per unit of outpu</w:t>
      </w:r>
      <w:r w:rsidR="0086506A" w:rsidRPr="006101E5">
        <w:rPr>
          <w:noProof/>
          <w:lang w:val="en-IE"/>
        </w:rPr>
        <w:t>t</w:t>
      </w:r>
      <w:r w:rsidR="000C02A1" w:rsidRPr="006101E5">
        <w:rPr>
          <w:noProof/>
          <w:lang w:val="en-IE"/>
        </w:rPr>
        <w:t xml:space="preserve">), </w:t>
      </w:r>
      <w:r w:rsidR="00F8026A" w:rsidRPr="006101E5">
        <w:rPr>
          <w:noProof/>
          <w:lang w:val="en-IE"/>
        </w:rPr>
        <w:t>but remain</w:t>
      </w:r>
      <w:r w:rsidR="000C02A1" w:rsidRPr="006101E5">
        <w:rPr>
          <w:noProof/>
          <w:lang w:val="en-IE"/>
        </w:rPr>
        <w:t>ed</w:t>
      </w:r>
      <w:r w:rsidR="00F8026A" w:rsidRPr="006101E5">
        <w:rPr>
          <w:noProof/>
          <w:lang w:val="en-IE"/>
        </w:rPr>
        <w:t xml:space="preserve"> stable </w:t>
      </w:r>
      <w:r w:rsidR="000C02A1" w:rsidRPr="006101E5">
        <w:rPr>
          <w:noProof/>
          <w:lang w:val="en-IE"/>
        </w:rPr>
        <w:t>over</w:t>
      </w:r>
      <w:r w:rsidR="009C0970" w:rsidRPr="006101E5">
        <w:rPr>
          <w:noProof/>
          <w:lang w:val="en-IE"/>
        </w:rPr>
        <w:t xml:space="preserve"> the last 10 years</w:t>
      </w:r>
      <w:r w:rsidR="00E6594B" w:rsidRPr="006101E5">
        <w:rPr>
          <w:noProof/>
          <w:lang w:val="en-IE"/>
        </w:rPr>
        <w:t xml:space="preserve"> (see</w:t>
      </w:r>
      <w:r w:rsidR="000D2F9B" w:rsidRPr="006101E5">
        <w:rPr>
          <w:noProof/>
          <w:lang w:val="en-IE"/>
        </w:rPr>
        <w:t xml:space="preserve"> </w:t>
      </w:r>
      <w:r w:rsidR="000D2F9B" w:rsidRPr="006101E5">
        <w:rPr>
          <w:noProof/>
          <w:lang w:val="en-IE"/>
        </w:rPr>
        <w:fldChar w:fldCharType="begin"/>
      </w:r>
      <w:r w:rsidR="000D2F9B" w:rsidRPr="006101E5">
        <w:rPr>
          <w:noProof/>
          <w:lang w:val="en-IE"/>
        </w:rPr>
        <w:instrText xml:space="preserve"> REF _Ref146055933 \h </w:instrText>
      </w:r>
      <w:r w:rsidR="006101E5">
        <w:rPr>
          <w:noProof/>
          <w:lang w:val="en-IE"/>
        </w:rPr>
        <w:instrText xml:space="preserve"> \* MERGEFORMAT </w:instrText>
      </w:r>
      <w:r w:rsidR="000D2F9B" w:rsidRPr="006101E5">
        <w:rPr>
          <w:noProof/>
          <w:lang w:val="en-IE"/>
        </w:rPr>
      </w:r>
      <w:r w:rsidR="000D2F9B" w:rsidRPr="006101E5">
        <w:rPr>
          <w:noProof/>
          <w:lang w:val="en-IE"/>
        </w:rPr>
        <w:fldChar w:fldCharType="separate"/>
      </w:r>
      <w:r w:rsidR="00170A3C">
        <w:rPr>
          <w:noProof/>
        </w:rPr>
        <w:t>Figure 80</w:t>
      </w:r>
      <w:r w:rsidR="000D2F9B" w:rsidRPr="006101E5">
        <w:rPr>
          <w:noProof/>
          <w:lang w:val="en-IE"/>
        </w:rPr>
        <w:fldChar w:fldCharType="end"/>
      </w:r>
      <w:r w:rsidR="00E6594B" w:rsidRPr="006101E5">
        <w:rPr>
          <w:noProof/>
          <w:lang w:val="en-IE"/>
        </w:rPr>
        <w:t>)</w:t>
      </w:r>
      <w:r w:rsidR="009C0970" w:rsidRPr="006101E5">
        <w:rPr>
          <w:noProof/>
          <w:lang w:val="en-IE"/>
        </w:rPr>
        <w:t xml:space="preserve">. </w:t>
      </w:r>
      <w:r w:rsidR="002A4749" w:rsidRPr="006101E5">
        <w:rPr>
          <w:noProof/>
          <w:lang w:val="en-IE"/>
        </w:rPr>
        <w:t>This</w:t>
      </w:r>
      <w:r w:rsidR="00516A36" w:rsidRPr="006101E5">
        <w:rPr>
          <w:noProof/>
          <w:lang w:val="en-IE"/>
        </w:rPr>
        <w:t xml:space="preserve"> </w:t>
      </w:r>
      <w:r w:rsidR="00D145E1" w:rsidRPr="006101E5">
        <w:rPr>
          <w:noProof/>
          <w:lang w:val="en-IE"/>
        </w:rPr>
        <w:t>relative</w:t>
      </w:r>
      <w:r w:rsidR="00516A36" w:rsidRPr="006101E5">
        <w:rPr>
          <w:noProof/>
          <w:lang w:val="en-IE"/>
        </w:rPr>
        <w:t xml:space="preserve"> </w:t>
      </w:r>
      <w:r w:rsidR="002A4749" w:rsidRPr="006101E5">
        <w:rPr>
          <w:noProof/>
          <w:lang w:val="en-IE"/>
        </w:rPr>
        <w:t xml:space="preserve">stability in emissions also applies </w:t>
      </w:r>
      <w:r w:rsidR="0065628B" w:rsidRPr="006101E5">
        <w:rPr>
          <w:noProof/>
          <w:lang w:val="en-IE"/>
        </w:rPr>
        <w:t xml:space="preserve">to </w:t>
      </w:r>
      <w:r w:rsidR="002A4749" w:rsidRPr="006101E5">
        <w:rPr>
          <w:noProof/>
          <w:lang w:val="en-IE"/>
        </w:rPr>
        <w:t>livestock emissions</w:t>
      </w:r>
      <w:r w:rsidR="0065628B" w:rsidRPr="006101E5">
        <w:rPr>
          <w:noProof/>
          <w:lang w:val="en-IE"/>
        </w:rPr>
        <w:t>,</w:t>
      </w:r>
      <w:r w:rsidR="002A4749" w:rsidRPr="006101E5">
        <w:rPr>
          <w:noProof/>
          <w:lang w:val="en-IE"/>
        </w:rPr>
        <w:t xml:space="preserve"> which throughout the average 2019-2021 compared to 10 years ago only reduced emissions by around 1%. </w:t>
      </w:r>
      <w:r w:rsidR="009C0970" w:rsidRPr="006101E5">
        <w:rPr>
          <w:noProof/>
          <w:lang w:val="en-IE"/>
        </w:rPr>
        <w:t xml:space="preserve">Since 1990, livestock emissions consistently make up around 65% of all emissions in the agriculture sector. </w:t>
      </w:r>
      <w:r w:rsidR="00787E96" w:rsidRPr="006101E5">
        <w:rPr>
          <w:noProof/>
          <w:lang w:val="en-IE"/>
        </w:rPr>
        <w:t>Emissions from agricultural soil</w:t>
      </w:r>
      <w:r w:rsidR="002A78C3" w:rsidRPr="006101E5">
        <w:rPr>
          <w:noProof/>
          <w:lang w:val="en-IE"/>
        </w:rPr>
        <w:t xml:space="preserve"> management increase</w:t>
      </w:r>
      <w:r w:rsidR="005C7060" w:rsidRPr="006101E5">
        <w:rPr>
          <w:noProof/>
          <w:lang w:val="en-IE"/>
        </w:rPr>
        <w:t>d</w:t>
      </w:r>
      <w:r w:rsidR="002A78C3" w:rsidRPr="006101E5">
        <w:rPr>
          <w:noProof/>
          <w:lang w:val="en-IE"/>
        </w:rPr>
        <w:t xml:space="preserve"> in the last 10 years by about 4% </w:t>
      </w:r>
      <w:r w:rsidR="004C3E48" w:rsidRPr="006101E5">
        <w:rPr>
          <w:noProof/>
          <w:lang w:val="en-IE"/>
        </w:rPr>
        <w:t xml:space="preserve">(on a </w:t>
      </w:r>
      <w:r w:rsidR="0066770C" w:rsidRPr="006101E5">
        <w:rPr>
          <w:noProof/>
          <w:lang w:val="en-IE"/>
        </w:rPr>
        <w:t>three-year</w:t>
      </w:r>
      <w:r w:rsidR="004C3E48" w:rsidRPr="006101E5">
        <w:rPr>
          <w:noProof/>
          <w:lang w:val="en-IE"/>
        </w:rPr>
        <w:t xml:space="preserve"> average)</w:t>
      </w:r>
      <w:r w:rsidR="00787E96" w:rsidRPr="006101E5">
        <w:rPr>
          <w:noProof/>
          <w:lang w:val="en-IE"/>
        </w:rPr>
        <w:t xml:space="preserve"> </w:t>
      </w:r>
      <w:r w:rsidR="0065628B" w:rsidRPr="006101E5">
        <w:rPr>
          <w:noProof/>
          <w:lang w:val="en-IE"/>
        </w:rPr>
        <w:t>and</w:t>
      </w:r>
      <w:r w:rsidR="005C7060" w:rsidRPr="006101E5">
        <w:rPr>
          <w:noProof/>
          <w:lang w:val="en-IE"/>
        </w:rPr>
        <w:t xml:space="preserve"> make </w:t>
      </w:r>
      <w:r w:rsidR="009A502E" w:rsidRPr="006101E5">
        <w:rPr>
          <w:noProof/>
          <w:lang w:val="en-IE"/>
        </w:rPr>
        <w:t xml:space="preserve">up around 30% </w:t>
      </w:r>
      <w:r w:rsidR="0065628B" w:rsidRPr="006101E5">
        <w:rPr>
          <w:noProof/>
          <w:lang w:val="en-IE"/>
        </w:rPr>
        <w:t>of</w:t>
      </w:r>
      <w:r w:rsidR="009A502E" w:rsidRPr="006101E5">
        <w:rPr>
          <w:noProof/>
          <w:lang w:val="en-IE"/>
        </w:rPr>
        <w:t xml:space="preserve"> all emissions in the agriculture sector.</w:t>
      </w:r>
      <w:r w:rsidR="00E6594B" w:rsidRPr="006101E5">
        <w:rPr>
          <w:noProof/>
          <w:lang w:val="en-IE"/>
        </w:rPr>
        <w:t xml:space="preserve"> </w:t>
      </w:r>
    </w:p>
    <w:p w14:paraId="4A005526" w14:textId="5B0CA145" w:rsidR="00D013DF" w:rsidRPr="003D460A" w:rsidRDefault="00D013DF" w:rsidP="00E6594B">
      <w:pPr>
        <w:pStyle w:val="Text3"/>
        <w:tabs>
          <w:tab w:val="clear" w:pos="1899"/>
        </w:tabs>
        <w:ind w:left="0" w:firstLine="0"/>
        <w:rPr>
          <w:noProof/>
          <w:lang w:val="en-IE"/>
        </w:rPr>
      </w:pPr>
      <w:r w:rsidRPr="006101E5">
        <w:rPr>
          <w:noProof/>
          <w:lang w:val="en-IE"/>
        </w:rPr>
        <w:t>Although agricultural GHG emissions changed very little at EU level</w:t>
      </w:r>
      <w:r w:rsidR="00E6594B" w:rsidRPr="006101E5">
        <w:rPr>
          <w:noProof/>
          <w:lang w:val="en-IE"/>
        </w:rPr>
        <w:t xml:space="preserve"> in</w:t>
      </w:r>
      <w:r w:rsidR="00536E4E" w:rsidRPr="006101E5">
        <w:rPr>
          <w:noProof/>
          <w:lang w:val="en-IE"/>
        </w:rPr>
        <w:t xml:space="preserve"> </w:t>
      </w:r>
      <w:r w:rsidR="00D0588D" w:rsidRPr="006101E5">
        <w:rPr>
          <w:noProof/>
          <w:lang w:val="en-IE"/>
        </w:rPr>
        <w:t xml:space="preserve">the </w:t>
      </w:r>
      <w:r w:rsidR="00E6594B" w:rsidRPr="006101E5">
        <w:rPr>
          <w:noProof/>
          <w:lang w:val="en-IE"/>
        </w:rPr>
        <w:t>past</w:t>
      </w:r>
      <w:r w:rsidR="00536E4E" w:rsidRPr="006101E5">
        <w:rPr>
          <w:noProof/>
          <w:lang w:val="en-IE"/>
        </w:rPr>
        <w:t xml:space="preserve">, </w:t>
      </w:r>
      <w:r w:rsidR="00D0588D" w:rsidRPr="006101E5">
        <w:rPr>
          <w:noProof/>
          <w:lang w:val="en-IE"/>
        </w:rPr>
        <w:t>the trend show</w:t>
      </w:r>
      <w:r w:rsidR="00E6594B" w:rsidRPr="006101E5">
        <w:rPr>
          <w:noProof/>
          <w:lang w:val="en-IE"/>
        </w:rPr>
        <w:t>s</w:t>
      </w:r>
      <w:r w:rsidR="00D0588D" w:rsidRPr="006101E5">
        <w:rPr>
          <w:noProof/>
          <w:lang w:val="en-IE"/>
        </w:rPr>
        <w:t xml:space="preserve"> considerable variation between Member States, with some decreasing or increasing by </w:t>
      </w:r>
      <w:r w:rsidR="00E6594B" w:rsidRPr="006101E5">
        <w:rPr>
          <w:noProof/>
          <w:lang w:val="en-IE"/>
        </w:rPr>
        <w:t>about 2</w:t>
      </w:r>
      <w:r w:rsidR="00D0588D" w:rsidRPr="006101E5">
        <w:rPr>
          <w:noProof/>
          <w:lang w:val="en-IE"/>
        </w:rPr>
        <w:t>0%</w:t>
      </w:r>
      <w:r w:rsidR="00E6594B" w:rsidRPr="006101E5">
        <w:rPr>
          <w:noProof/>
          <w:lang w:val="en-IE"/>
        </w:rPr>
        <w:t xml:space="preserve">, </w:t>
      </w:r>
      <w:r w:rsidR="0007096B" w:rsidRPr="006101E5">
        <w:rPr>
          <w:noProof/>
          <w:lang w:val="en-IE"/>
        </w:rPr>
        <w:t>which highlights the dynamic of emissions from agriculture and</w:t>
      </w:r>
      <w:r w:rsidR="00CC3514" w:rsidRPr="006101E5">
        <w:rPr>
          <w:noProof/>
          <w:lang w:val="en-IE"/>
        </w:rPr>
        <w:t> </w:t>
      </w:r>
      <w:r w:rsidR="00AE7189" w:rsidRPr="006101E5">
        <w:rPr>
          <w:noProof/>
          <w:lang w:val="en-IE"/>
        </w:rPr>
        <w:t xml:space="preserve">the room for additional emission reduction in some Member States in relation to their specific emission profiles and sectorial context </w:t>
      </w:r>
      <w:r w:rsidR="00CC3514" w:rsidRPr="006101E5">
        <w:rPr>
          <w:noProof/>
          <w:lang w:val="en-IE"/>
        </w:rPr>
        <w:t>(</w:t>
      </w:r>
      <w:r w:rsidR="00CC3514" w:rsidRPr="006101E5">
        <w:rPr>
          <w:rStyle w:val="FootnoteReference"/>
          <w:noProof/>
          <w:lang w:val="en-IE"/>
        </w:rPr>
        <w:footnoteReference w:id="139"/>
      </w:r>
      <w:r w:rsidR="00CC3514" w:rsidRPr="006101E5">
        <w:rPr>
          <w:noProof/>
          <w:lang w:val="en-IE"/>
        </w:rPr>
        <w:t>)</w:t>
      </w:r>
      <w:r w:rsidR="00D0588D" w:rsidRPr="006101E5">
        <w:rPr>
          <w:noProof/>
          <w:lang w:val="en-IE"/>
        </w:rPr>
        <w:t>.</w:t>
      </w:r>
      <w:r w:rsidR="00737037" w:rsidRPr="006101E5">
        <w:rPr>
          <w:noProof/>
          <w:lang w:val="en-IE"/>
        </w:rPr>
        <w:t xml:space="preserve"> </w:t>
      </w:r>
      <w:r w:rsidR="00B222E5" w:rsidRPr="006101E5">
        <w:rPr>
          <w:noProof/>
          <w:lang w:val="en-IE"/>
        </w:rPr>
        <w:t>It is important to note that t</w:t>
      </w:r>
      <w:r w:rsidR="00737037" w:rsidRPr="006101E5">
        <w:rPr>
          <w:noProof/>
          <w:lang w:val="en-IE"/>
        </w:rPr>
        <w:t>he reduction of uncertainty in the GHG inventories in the</w:t>
      </w:r>
      <w:r w:rsidR="00737037" w:rsidRPr="00737037">
        <w:rPr>
          <w:noProof/>
          <w:lang w:val="en-IE"/>
        </w:rPr>
        <w:t xml:space="preserve"> agricultural sector</w:t>
      </w:r>
      <w:r w:rsidR="00737037">
        <w:rPr>
          <w:noProof/>
          <w:lang w:val="en-IE"/>
        </w:rPr>
        <w:t>,</w:t>
      </w:r>
      <w:r w:rsidR="00737037" w:rsidRPr="00737037">
        <w:rPr>
          <w:noProof/>
          <w:lang w:val="en-IE"/>
        </w:rPr>
        <w:t xml:space="preserve"> which </w:t>
      </w:r>
      <w:r w:rsidR="000E5045">
        <w:rPr>
          <w:noProof/>
          <w:lang w:val="en-IE"/>
        </w:rPr>
        <w:t>doe</w:t>
      </w:r>
      <w:r w:rsidR="00737037" w:rsidRPr="00737037">
        <w:rPr>
          <w:noProof/>
          <w:lang w:val="en-IE"/>
        </w:rPr>
        <w:t>s not fully capture the implementation of emission reduction practices at farm level</w:t>
      </w:r>
      <w:r w:rsidR="00737037">
        <w:rPr>
          <w:noProof/>
          <w:lang w:val="en-IE"/>
        </w:rPr>
        <w:t>, remains a significant challenge</w:t>
      </w:r>
      <w:r w:rsidR="00737037" w:rsidRPr="00737037">
        <w:rPr>
          <w:noProof/>
          <w:lang w:val="en-IE"/>
        </w:rPr>
        <w:t>.</w:t>
      </w:r>
    </w:p>
    <w:p w14:paraId="5758B8A7" w14:textId="1B8BD1AA" w:rsidR="0087595F" w:rsidRDefault="0087595F" w:rsidP="00371138">
      <w:pPr>
        <w:pStyle w:val="Caption"/>
        <w:rPr>
          <w:noProof/>
        </w:rPr>
      </w:pPr>
      <w:bookmarkStart w:id="414" w:name="_Ref145514349"/>
      <w:bookmarkStart w:id="415" w:name="_Ref146055933"/>
      <w:bookmarkStart w:id="416" w:name="_Toc157679828"/>
      <w:r>
        <w:rPr>
          <w:noProof/>
        </w:rPr>
        <w:t xml:space="preserve">Figure </w:t>
      </w:r>
      <w:bookmarkEnd w:id="414"/>
      <w:r w:rsidR="00F2742D">
        <w:rPr>
          <w:noProof/>
        </w:rPr>
        <w:fldChar w:fldCharType="begin"/>
      </w:r>
      <w:r w:rsidR="00F2742D">
        <w:rPr>
          <w:noProof/>
        </w:rPr>
        <w:instrText xml:space="preserve"> SEQ Figure \* ARABIC </w:instrText>
      </w:r>
      <w:r w:rsidR="00F2742D">
        <w:rPr>
          <w:noProof/>
        </w:rPr>
        <w:fldChar w:fldCharType="separate"/>
      </w:r>
      <w:r w:rsidR="00170A3C">
        <w:rPr>
          <w:noProof/>
        </w:rPr>
        <w:t>80</w:t>
      </w:r>
      <w:r w:rsidR="00F2742D">
        <w:rPr>
          <w:noProof/>
        </w:rPr>
        <w:fldChar w:fldCharType="end"/>
      </w:r>
      <w:bookmarkEnd w:id="415"/>
      <w:r>
        <w:rPr>
          <w:noProof/>
        </w:rPr>
        <w:t xml:space="preserve">: </w:t>
      </w:r>
      <w:r w:rsidR="00080F05">
        <w:rPr>
          <w:noProof/>
        </w:rPr>
        <w:t>E</w:t>
      </w:r>
      <w:r>
        <w:rPr>
          <w:noProof/>
        </w:rPr>
        <w:t>missions</w:t>
      </w:r>
      <w:r w:rsidR="00080F05">
        <w:rPr>
          <w:noProof/>
        </w:rPr>
        <w:t xml:space="preserve"> from Agriculture in the EU by sector</w:t>
      </w:r>
      <w:bookmarkEnd w:id="416"/>
    </w:p>
    <w:p w14:paraId="13CF5491" w14:textId="1F4E698B" w:rsidR="0087595F" w:rsidRDefault="00EF6122" w:rsidP="00E704B6">
      <w:pPr>
        <w:spacing w:after="0"/>
        <w:rPr>
          <w:noProof/>
        </w:rPr>
      </w:pPr>
      <w:r w:rsidRPr="00EF6122">
        <w:rPr>
          <w:noProof/>
          <w:lang w:eastAsia="en-GB"/>
        </w:rPr>
        <w:drawing>
          <wp:inline distT="0" distB="0" distL="0" distR="0" wp14:anchorId="23083562" wp14:editId="598B9413">
            <wp:extent cx="5382895" cy="25190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382895" cy="2519045"/>
                    </a:xfrm>
                    <a:prstGeom prst="rect">
                      <a:avLst/>
                    </a:prstGeom>
                    <a:noFill/>
                    <a:ln>
                      <a:noFill/>
                    </a:ln>
                  </pic:spPr>
                </pic:pic>
              </a:graphicData>
            </a:graphic>
          </wp:inline>
        </w:drawing>
      </w:r>
    </w:p>
    <w:p w14:paraId="234E2C67" w14:textId="5A95E8DB" w:rsidR="004D25D4" w:rsidRDefault="004D25D4" w:rsidP="00CC3E5B">
      <w:pPr>
        <w:pStyle w:val="CT-NOTE"/>
        <w:rPr>
          <w:noProof/>
        </w:rPr>
      </w:pPr>
      <w:r>
        <w:rPr>
          <w:noProof/>
        </w:rPr>
        <w:t xml:space="preserve">Note: </w:t>
      </w:r>
      <w:r w:rsidR="00F3750D">
        <w:rPr>
          <w:noProof/>
        </w:rPr>
        <w:t>Emissions based on UNFCCC categories.</w:t>
      </w:r>
      <w:r>
        <w:rPr>
          <w:noProof/>
        </w:rPr>
        <w:t xml:space="preserve"> </w:t>
      </w:r>
      <w:r w:rsidR="008E3ADB">
        <w:rPr>
          <w:noProof/>
        </w:rPr>
        <w:t>‘</w:t>
      </w:r>
      <w:r w:rsidR="00F7327E">
        <w:rPr>
          <w:noProof/>
        </w:rPr>
        <w:t>Livestock</w:t>
      </w:r>
      <w:r w:rsidR="008E3ADB">
        <w:rPr>
          <w:noProof/>
        </w:rPr>
        <w:t>’</w:t>
      </w:r>
      <w:r w:rsidR="00F7327E">
        <w:rPr>
          <w:noProof/>
        </w:rPr>
        <w:t xml:space="preserve"> </w:t>
      </w:r>
      <w:r w:rsidR="008E3ADB">
        <w:rPr>
          <w:noProof/>
        </w:rPr>
        <w:t>depicts</w:t>
      </w:r>
      <w:r w:rsidR="00F7327E">
        <w:rPr>
          <w:noProof/>
        </w:rPr>
        <w:t xml:space="preserve"> category 3.1 (3.A</w:t>
      </w:r>
      <w:r w:rsidR="008D3328">
        <w:rPr>
          <w:noProof/>
        </w:rPr>
        <w:t>+</w:t>
      </w:r>
      <w:r w:rsidR="00F7327E">
        <w:rPr>
          <w:noProof/>
        </w:rPr>
        <w:t xml:space="preserve">3.B) </w:t>
      </w:r>
      <w:r w:rsidR="008E3ADB">
        <w:rPr>
          <w:noProof/>
        </w:rPr>
        <w:t>‘</w:t>
      </w:r>
      <w:r w:rsidR="004E51D2">
        <w:rPr>
          <w:noProof/>
        </w:rPr>
        <w:t>enteric fermentation</w:t>
      </w:r>
      <w:r w:rsidR="008E3ADB">
        <w:rPr>
          <w:noProof/>
        </w:rPr>
        <w:t>’</w:t>
      </w:r>
      <w:r w:rsidR="004E51D2">
        <w:rPr>
          <w:noProof/>
        </w:rPr>
        <w:t xml:space="preserve"> </w:t>
      </w:r>
      <w:r w:rsidR="00F7327E">
        <w:rPr>
          <w:noProof/>
        </w:rPr>
        <w:t xml:space="preserve">3.A, </w:t>
      </w:r>
      <w:r w:rsidR="008E3ADB">
        <w:rPr>
          <w:noProof/>
        </w:rPr>
        <w:t>‘</w:t>
      </w:r>
      <w:r w:rsidR="007B42D0">
        <w:rPr>
          <w:noProof/>
        </w:rPr>
        <w:t>manure management</w:t>
      </w:r>
      <w:r w:rsidR="008E3ADB">
        <w:rPr>
          <w:noProof/>
        </w:rPr>
        <w:t>’</w:t>
      </w:r>
      <w:r w:rsidR="007B42D0">
        <w:rPr>
          <w:noProof/>
        </w:rPr>
        <w:t xml:space="preserve"> 3.B, </w:t>
      </w:r>
      <w:r w:rsidR="008E3ADB">
        <w:rPr>
          <w:noProof/>
        </w:rPr>
        <w:t>‘</w:t>
      </w:r>
      <w:r w:rsidR="00FA0746">
        <w:rPr>
          <w:noProof/>
        </w:rPr>
        <w:t>a</w:t>
      </w:r>
      <w:r w:rsidR="007B42D0">
        <w:rPr>
          <w:noProof/>
        </w:rPr>
        <w:t>gricultur</w:t>
      </w:r>
      <w:r w:rsidR="00FA0746">
        <w:rPr>
          <w:noProof/>
        </w:rPr>
        <w:t>al</w:t>
      </w:r>
      <w:r w:rsidR="007B42D0">
        <w:rPr>
          <w:noProof/>
        </w:rPr>
        <w:t xml:space="preserve"> soils</w:t>
      </w:r>
      <w:r w:rsidR="008E3ADB">
        <w:rPr>
          <w:noProof/>
        </w:rPr>
        <w:t>’</w:t>
      </w:r>
      <w:r w:rsidR="007B42D0">
        <w:rPr>
          <w:noProof/>
        </w:rPr>
        <w:t xml:space="preserve"> </w:t>
      </w:r>
      <w:r w:rsidR="008D3328">
        <w:rPr>
          <w:noProof/>
        </w:rPr>
        <w:t xml:space="preserve">3.D. </w:t>
      </w:r>
      <w:r w:rsidR="00342B98">
        <w:rPr>
          <w:noProof/>
        </w:rPr>
        <w:t>‘</w:t>
      </w:r>
      <w:r w:rsidR="008E2507">
        <w:rPr>
          <w:noProof/>
        </w:rPr>
        <w:t>Other</w:t>
      </w:r>
      <w:r w:rsidR="00342B98">
        <w:rPr>
          <w:noProof/>
        </w:rPr>
        <w:t>’ summari</w:t>
      </w:r>
      <w:r w:rsidR="00B4028A">
        <w:rPr>
          <w:noProof/>
        </w:rPr>
        <w:t>s</w:t>
      </w:r>
      <w:r w:rsidR="00342B98">
        <w:rPr>
          <w:noProof/>
        </w:rPr>
        <w:t xml:space="preserve">es emissions from 3.C </w:t>
      </w:r>
      <w:r w:rsidR="00732EAF">
        <w:rPr>
          <w:noProof/>
        </w:rPr>
        <w:t xml:space="preserve">Rice Cultivation, </w:t>
      </w:r>
      <w:r w:rsidR="00EC3177" w:rsidRPr="00EC3177">
        <w:rPr>
          <w:noProof/>
        </w:rPr>
        <w:t>3.F - Field Burning of Agricultural Residues</w:t>
      </w:r>
      <w:r w:rsidR="008831FF">
        <w:rPr>
          <w:noProof/>
        </w:rPr>
        <w:t>,</w:t>
      </w:r>
      <w:r w:rsidR="00C22B84">
        <w:rPr>
          <w:noProof/>
        </w:rPr>
        <w:t xml:space="preserve"> </w:t>
      </w:r>
      <w:r w:rsidR="00C22B84" w:rsidRPr="00C22B84">
        <w:rPr>
          <w:noProof/>
        </w:rPr>
        <w:t xml:space="preserve">3.G </w:t>
      </w:r>
      <w:r w:rsidR="00C22B84">
        <w:rPr>
          <w:noProof/>
        </w:rPr>
        <w:t>–</w:t>
      </w:r>
      <w:r w:rsidR="00C22B84" w:rsidRPr="00C22B84">
        <w:rPr>
          <w:noProof/>
        </w:rPr>
        <w:t xml:space="preserve"> Liming</w:t>
      </w:r>
      <w:r w:rsidR="008831FF">
        <w:rPr>
          <w:noProof/>
        </w:rPr>
        <w:t>,</w:t>
      </w:r>
      <w:r w:rsidR="00C22B84">
        <w:rPr>
          <w:noProof/>
        </w:rPr>
        <w:t xml:space="preserve"> </w:t>
      </w:r>
      <w:r w:rsidR="00C22B84" w:rsidRPr="00C22B84">
        <w:rPr>
          <w:noProof/>
        </w:rPr>
        <w:t>3.H - Urea Application</w:t>
      </w:r>
      <w:r w:rsidR="008831FF">
        <w:rPr>
          <w:noProof/>
        </w:rPr>
        <w:t xml:space="preserve">, </w:t>
      </w:r>
      <w:r w:rsidR="008831FF" w:rsidRPr="008831FF">
        <w:rPr>
          <w:noProof/>
        </w:rPr>
        <w:t>3.I - Other Carbon-containing Fertili</w:t>
      </w:r>
      <w:r w:rsidR="00B4028A">
        <w:rPr>
          <w:noProof/>
        </w:rPr>
        <w:t>s</w:t>
      </w:r>
      <w:r w:rsidR="008831FF" w:rsidRPr="008831FF">
        <w:rPr>
          <w:noProof/>
        </w:rPr>
        <w:t>ers</w:t>
      </w:r>
      <w:r w:rsidR="008831FF">
        <w:rPr>
          <w:noProof/>
        </w:rPr>
        <w:t xml:space="preserve">, </w:t>
      </w:r>
      <w:r w:rsidR="008831FF" w:rsidRPr="008831FF">
        <w:rPr>
          <w:noProof/>
        </w:rPr>
        <w:t>3.J - Other agriculture emissions</w:t>
      </w:r>
      <w:r w:rsidR="008831FF">
        <w:rPr>
          <w:noProof/>
        </w:rPr>
        <w:t xml:space="preserve">. </w:t>
      </w:r>
      <w:r w:rsidR="008E2507">
        <w:rPr>
          <w:noProof/>
        </w:rPr>
        <w:t xml:space="preserve"> </w:t>
      </w:r>
      <w:r w:rsidR="008D3328">
        <w:rPr>
          <w:noProof/>
        </w:rPr>
        <w:t xml:space="preserve"> </w:t>
      </w:r>
      <w:r w:rsidR="004E51D2">
        <w:rPr>
          <w:noProof/>
        </w:rPr>
        <w:t xml:space="preserve"> </w:t>
      </w:r>
    </w:p>
    <w:p w14:paraId="65BA51AB" w14:textId="4D67CF08" w:rsidR="0087595F" w:rsidRPr="00471158" w:rsidRDefault="0087595F" w:rsidP="00CC3E5B">
      <w:pPr>
        <w:pStyle w:val="CT-SOURCE"/>
        <w:rPr>
          <w:noProof/>
        </w:rPr>
      </w:pPr>
      <w:r w:rsidRPr="00471158">
        <w:rPr>
          <w:noProof/>
        </w:rPr>
        <w:t>Source: UNFCCC 2023</w:t>
      </w:r>
      <w:r w:rsidR="00F3750D">
        <w:rPr>
          <w:noProof/>
        </w:rPr>
        <w:t>.</w:t>
      </w:r>
    </w:p>
    <w:p w14:paraId="13C337C7" w14:textId="4DCB086F" w:rsidR="00EC0C09" w:rsidRPr="009A5EFB" w:rsidRDefault="00EC0C09" w:rsidP="00311BF6">
      <w:pPr>
        <w:pStyle w:val="Text3"/>
        <w:ind w:left="0"/>
        <w:rPr>
          <w:noProof/>
          <w:lang w:val="en-IE"/>
        </w:rPr>
      </w:pPr>
      <w:r>
        <w:rPr>
          <w:noProof/>
          <w:lang w:val="en-IE"/>
        </w:rPr>
        <w:tab/>
        <w:t xml:space="preserve">Opinions on whether the </w:t>
      </w:r>
      <w:r w:rsidR="00C10ABD">
        <w:rPr>
          <w:noProof/>
          <w:lang w:val="en-IE"/>
        </w:rPr>
        <w:t>land</w:t>
      </w:r>
      <w:r>
        <w:rPr>
          <w:noProof/>
          <w:lang w:val="en-IE"/>
        </w:rPr>
        <w:t xml:space="preserve"> sector should do more to reduce GHG emissions were divided among stakeholders responding to the Public Consultation questionnaire. On a 5-point scale from ‘can reduce little more’ (1) to ‘can reduce a lot more’ (5)</w:t>
      </w:r>
      <w:r w:rsidR="00C8029C">
        <w:rPr>
          <w:noProof/>
          <w:lang w:val="en-IE"/>
        </w:rPr>
        <w:t xml:space="preserve">, on average all respondents found that the </w:t>
      </w:r>
      <w:r w:rsidR="00D502C2">
        <w:rPr>
          <w:noProof/>
          <w:lang w:val="en-IE"/>
        </w:rPr>
        <w:t>land</w:t>
      </w:r>
      <w:r w:rsidR="00C8029C">
        <w:rPr>
          <w:noProof/>
          <w:lang w:val="en-IE"/>
        </w:rPr>
        <w:t xml:space="preserve"> sector could do somewhat more to reduce emissions (Average: 3.96)</w:t>
      </w:r>
      <w:r w:rsidR="00D502C2">
        <w:rPr>
          <w:noProof/>
          <w:lang w:val="en-IE"/>
        </w:rPr>
        <w:t>. B</w:t>
      </w:r>
      <w:r w:rsidR="00C8029C">
        <w:rPr>
          <w:noProof/>
          <w:lang w:val="en-IE"/>
        </w:rPr>
        <w:t>ut civil societ</w:t>
      </w:r>
      <w:r w:rsidR="00D502C2">
        <w:rPr>
          <w:noProof/>
          <w:lang w:val="en-IE"/>
        </w:rPr>
        <w:t>y</w:t>
      </w:r>
      <w:r w:rsidR="00C8029C">
        <w:rPr>
          <w:noProof/>
          <w:lang w:val="en-IE"/>
        </w:rPr>
        <w:t xml:space="preserve"> organi</w:t>
      </w:r>
      <w:r w:rsidR="00D502C2">
        <w:rPr>
          <w:noProof/>
          <w:lang w:val="en-IE"/>
        </w:rPr>
        <w:t>s</w:t>
      </w:r>
      <w:r w:rsidR="00C8029C">
        <w:rPr>
          <w:noProof/>
          <w:lang w:val="en-IE"/>
        </w:rPr>
        <w:t xml:space="preserve">ations (Average: 4.59) and academic/research institutions (Average: 4.28) </w:t>
      </w:r>
      <w:r w:rsidR="00D502C2">
        <w:rPr>
          <w:noProof/>
          <w:lang w:val="en-IE"/>
        </w:rPr>
        <w:t>find that the land sector could contribute much more, while SME’s, EU citizens and public authorities assessed the sector’s potential for further reduction less positive (Average: 3.53 to 3.81)</w:t>
      </w:r>
      <w:r w:rsidR="00443285">
        <w:rPr>
          <w:noProof/>
          <w:lang w:val="en-IE"/>
        </w:rPr>
        <w:t xml:space="preserve">. This divided assessment was also reflected in the question on which sector would achieve climate neutrality first. While about 22% of the respondents believed </w:t>
      </w:r>
      <w:r w:rsidR="00971CF7">
        <w:rPr>
          <w:noProof/>
          <w:lang w:val="en-IE"/>
        </w:rPr>
        <w:t>that</w:t>
      </w:r>
      <w:r w:rsidR="00443285">
        <w:rPr>
          <w:noProof/>
          <w:lang w:val="en-IE"/>
        </w:rPr>
        <w:t xml:space="preserve"> the land sector </w:t>
      </w:r>
      <w:r w:rsidR="00971CF7">
        <w:rPr>
          <w:noProof/>
          <w:lang w:val="en-IE"/>
        </w:rPr>
        <w:t xml:space="preserve">will </w:t>
      </w:r>
      <w:r w:rsidR="00443285">
        <w:rPr>
          <w:noProof/>
          <w:lang w:val="en-IE"/>
        </w:rPr>
        <w:t xml:space="preserve">be the first one to achieve climate neutrality, 30% believed </w:t>
      </w:r>
      <w:r w:rsidR="00971CF7">
        <w:rPr>
          <w:noProof/>
          <w:lang w:val="en-IE"/>
        </w:rPr>
        <w:t>that it will</w:t>
      </w:r>
      <w:r w:rsidR="00443285">
        <w:rPr>
          <w:noProof/>
          <w:lang w:val="en-IE"/>
        </w:rPr>
        <w:t xml:space="preserve"> be the last sector, a d</w:t>
      </w:r>
      <w:r w:rsidR="00971CF7">
        <w:rPr>
          <w:noProof/>
          <w:lang w:val="en-IE"/>
        </w:rPr>
        <w:t>i</w:t>
      </w:r>
      <w:r w:rsidR="00443285">
        <w:rPr>
          <w:noProof/>
          <w:lang w:val="en-IE"/>
        </w:rPr>
        <w:t>vision presumably due to differ</w:t>
      </w:r>
      <w:r w:rsidR="00971CF7">
        <w:rPr>
          <w:noProof/>
          <w:lang w:val="en-IE"/>
        </w:rPr>
        <w:t>ent</w:t>
      </w:r>
      <w:r w:rsidR="00443285">
        <w:rPr>
          <w:noProof/>
          <w:lang w:val="en-IE"/>
        </w:rPr>
        <w:t xml:space="preserve"> </w:t>
      </w:r>
      <w:r w:rsidR="00443285" w:rsidRPr="00443285">
        <w:rPr>
          <w:noProof/>
          <w:lang w:val="en-IE"/>
        </w:rPr>
        <w:t xml:space="preserve">expectations about </w:t>
      </w:r>
      <w:r w:rsidR="00443285">
        <w:rPr>
          <w:noProof/>
          <w:lang w:val="en-IE"/>
        </w:rPr>
        <w:t xml:space="preserve">the potential of </w:t>
      </w:r>
      <w:r w:rsidR="00443285" w:rsidRPr="00443285">
        <w:rPr>
          <w:noProof/>
          <w:lang w:val="en-IE"/>
        </w:rPr>
        <w:t>nature-based removal</w:t>
      </w:r>
      <w:r w:rsidR="00443285">
        <w:rPr>
          <w:noProof/>
          <w:lang w:val="en-IE"/>
        </w:rPr>
        <w:t>s</w:t>
      </w:r>
      <w:r w:rsidR="00443285" w:rsidRPr="00443285">
        <w:rPr>
          <w:noProof/>
          <w:lang w:val="en-IE"/>
        </w:rPr>
        <w:t xml:space="preserve"> and the </w:t>
      </w:r>
      <w:r w:rsidR="00443285">
        <w:rPr>
          <w:noProof/>
          <w:lang w:val="en-IE"/>
        </w:rPr>
        <w:t>potential</w:t>
      </w:r>
      <w:r w:rsidR="00443285" w:rsidRPr="00443285">
        <w:rPr>
          <w:noProof/>
          <w:lang w:val="en-IE"/>
        </w:rPr>
        <w:t xml:space="preserve"> to reduce agricultural emissions.</w:t>
      </w:r>
      <w:r w:rsidR="00D502C2">
        <w:rPr>
          <w:noProof/>
          <w:lang w:val="en-IE"/>
        </w:rPr>
        <w:t xml:space="preserve"> </w:t>
      </w:r>
    </w:p>
    <w:p w14:paraId="4C9FB835" w14:textId="3E17BAE7" w:rsidR="00BF2470" w:rsidRPr="00E325DB" w:rsidRDefault="00745352" w:rsidP="00E325DB">
      <w:pPr>
        <w:pStyle w:val="Heading3"/>
        <w:rPr>
          <w:noProof/>
        </w:rPr>
      </w:pPr>
      <w:bookmarkStart w:id="417" w:name="_Toc148605616"/>
      <w:bookmarkStart w:id="418" w:name="_Toc157692062"/>
      <w:r w:rsidRPr="00E325DB">
        <w:rPr>
          <w:noProof/>
        </w:rPr>
        <w:t>Activity</w:t>
      </w:r>
      <w:bookmarkEnd w:id="417"/>
      <w:bookmarkEnd w:id="418"/>
    </w:p>
    <w:p w14:paraId="1D9C042D" w14:textId="536F4604" w:rsidR="00E9774C" w:rsidRPr="00680783" w:rsidRDefault="00E9774C" w:rsidP="00F7719F">
      <w:pPr>
        <w:pStyle w:val="Heading4"/>
        <w:rPr>
          <w:noProof/>
        </w:rPr>
      </w:pPr>
      <w:r>
        <w:rPr>
          <w:noProof/>
        </w:rPr>
        <w:t>Mitigation options in the food system</w:t>
      </w:r>
    </w:p>
    <w:p w14:paraId="55A0E464" w14:textId="778A3E32" w:rsidR="00CF7F54" w:rsidRDefault="00CF7F54" w:rsidP="00F25BFE">
      <w:pPr>
        <w:rPr>
          <w:noProof/>
          <w:lang w:val="en-IE"/>
        </w:rPr>
      </w:pPr>
      <w:r>
        <w:rPr>
          <w:noProof/>
          <w:lang w:val="en-IE"/>
        </w:rPr>
        <w:t>Agricultur</w:t>
      </w:r>
      <w:r w:rsidR="002A417F">
        <w:rPr>
          <w:noProof/>
          <w:lang w:val="en-IE"/>
        </w:rPr>
        <w:t>al</w:t>
      </w:r>
      <w:r>
        <w:rPr>
          <w:noProof/>
          <w:lang w:val="en-IE"/>
        </w:rPr>
        <w:t xml:space="preserve"> </w:t>
      </w:r>
      <w:r w:rsidR="00DE74E0">
        <w:rPr>
          <w:noProof/>
          <w:lang w:val="en-IE"/>
        </w:rPr>
        <w:t>and forest</w:t>
      </w:r>
      <w:r w:rsidR="002A417F">
        <w:rPr>
          <w:noProof/>
          <w:lang w:val="en-IE"/>
        </w:rPr>
        <w:t xml:space="preserve"> land</w:t>
      </w:r>
      <w:r w:rsidR="00DE74E0">
        <w:rPr>
          <w:noProof/>
          <w:lang w:val="en-IE"/>
        </w:rPr>
        <w:t xml:space="preserve"> are</w:t>
      </w:r>
      <w:r>
        <w:rPr>
          <w:noProof/>
          <w:lang w:val="en-IE"/>
        </w:rPr>
        <w:t xml:space="preserve"> the </w:t>
      </w:r>
      <w:r w:rsidR="00DE74E0">
        <w:rPr>
          <w:noProof/>
          <w:lang w:val="en-IE"/>
        </w:rPr>
        <w:t xml:space="preserve">two </w:t>
      </w:r>
      <w:r>
        <w:rPr>
          <w:noProof/>
          <w:lang w:val="en-IE"/>
        </w:rPr>
        <w:t>primary user</w:t>
      </w:r>
      <w:r w:rsidR="00DE74E0">
        <w:rPr>
          <w:noProof/>
          <w:lang w:val="en-IE"/>
        </w:rPr>
        <w:t>s</w:t>
      </w:r>
      <w:r>
        <w:rPr>
          <w:noProof/>
          <w:lang w:val="en-IE"/>
        </w:rPr>
        <w:t xml:space="preserve"> of land in the EU</w:t>
      </w:r>
      <w:r w:rsidR="00B15A39">
        <w:rPr>
          <w:noProof/>
          <w:lang w:val="en-IE"/>
        </w:rPr>
        <w:t>.</w:t>
      </w:r>
      <w:r>
        <w:rPr>
          <w:noProof/>
          <w:lang w:val="en-IE"/>
        </w:rPr>
        <w:t xml:space="preserve"> </w:t>
      </w:r>
      <w:r w:rsidR="002A417F">
        <w:rPr>
          <w:noProof/>
          <w:lang w:val="en-IE"/>
        </w:rPr>
        <w:t>A conversion of a</w:t>
      </w:r>
      <w:r w:rsidR="00B15A39" w:rsidRPr="00E93330">
        <w:rPr>
          <w:noProof/>
          <w:lang w:val="en-IE"/>
        </w:rPr>
        <w:t xml:space="preserve">gricultural </w:t>
      </w:r>
      <w:r w:rsidR="002A417F">
        <w:rPr>
          <w:noProof/>
          <w:lang w:val="en-IE"/>
        </w:rPr>
        <w:t>land</w:t>
      </w:r>
      <w:r w:rsidR="00E97F24">
        <w:rPr>
          <w:noProof/>
          <w:lang w:val="en-IE"/>
        </w:rPr>
        <w:t xml:space="preserve"> </w:t>
      </w:r>
      <w:r w:rsidR="002A417F">
        <w:rPr>
          <w:noProof/>
          <w:lang w:val="en-IE"/>
        </w:rPr>
        <w:t xml:space="preserve">has impacts on </w:t>
      </w:r>
      <w:r w:rsidR="00B15A39" w:rsidRPr="00E93330">
        <w:rPr>
          <w:noProof/>
          <w:lang w:val="en-IE"/>
        </w:rPr>
        <w:t xml:space="preserve">GHG </w:t>
      </w:r>
      <w:r w:rsidR="002A417F" w:rsidRPr="00E93330">
        <w:rPr>
          <w:noProof/>
          <w:lang w:val="en-IE"/>
        </w:rPr>
        <w:t>emissions</w:t>
      </w:r>
      <w:r w:rsidR="002A417F">
        <w:rPr>
          <w:noProof/>
          <w:lang w:val="en-IE"/>
        </w:rPr>
        <w:t xml:space="preserve"> when</w:t>
      </w:r>
      <w:r w:rsidR="00B15A39" w:rsidRPr="00E93330">
        <w:rPr>
          <w:noProof/>
          <w:lang w:val="en-IE"/>
        </w:rPr>
        <w:t xml:space="preserve"> forests or grasslands are converted into </w:t>
      </w:r>
      <w:r w:rsidR="0007096B">
        <w:rPr>
          <w:noProof/>
          <w:lang w:val="en-IE"/>
        </w:rPr>
        <w:t>crop</w:t>
      </w:r>
      <w:r w:rsidR="00B15A39" w:rsidRPr="00E93330">
        <w:rPr>
          <w:noProof/>
          <w:lang w:val="en-IE"/>
        </w:rPr>
        <w:t>lands</w:t>
      </w:r>
      <w:r w:rsidR="004E57A0">
        <w:rPr>
          <w:noProof/>
          <w:lang w:val="en-IE"/>
        </w:rPr>
        <w:t xml:space="preserve"> and</w:t>
      </w:r>
      <w:r w:rsidR="00B15A39" w:rsidRPr="00E93330">
        <w:rPr>
          <w:noProof/>
          <w:lang w:val="en-IE"/>
        </w:rPr>
        <w:t xml:space="preserve"> carbon stored in vegetation and soil is released into the atmosphere. </w:t>
      </w:r>
      <w:r w:rsidR="002A417F">
        <w:rPr>
          <w:noProof/>
          <w:lang w:val="en-IE"/>
        </w:rPr>
        <w:t xml:space="preserve">However, current trends show a positive trend with a slow decline of cropland and a slow increase of forest land. </w:t>
      </w:r>
    </w:p>
    <w:p w14:paraId="45227C68" w14:textId="6B568F8E" w:rsidR="00451C7E" w:rsidRDefault="006B79F5" w:rsidP="00F25BFE">
      <w:pPr>
        <w:rPr>
          <w:noProof/>
          <w:lang w:val="en-IE"/>
        </w:rPr>
      </w:pPr>
      <w:r w:rsidRPr="00252D19">
        <w:rPr>
          <w:noProof/>
          <w:lang w:val="en-IE"/>
        </w:rPr>
        <w:t>Implementing sustainable land management practices</w:t>
      </w:r>
      <w:r w:rsidR="00252D19">
        <w:rPr>
          <w:noProof/>
          <w:lang w:val="en-IE"/>
        </w:rPr>
        <w:t xml:space="preserve"> in agriculture</w:t>
      </w:r>
      <w:r w:rsidRPr="00252D19">
        <w:rPr>
          <w:noProof/>
          <w:lang w:val="en-IE"/>
        </w:rPr>
        <w:t>, such as agroforestry, conservation agriculture</w:t>
      </w:r>
      <w:r w:rsidR="00E0675D">
        <w:rPr>
          <w:noProof/>
          <w:lang w:val="en-IE"/>
        </w:rPr>
        <w:t xml:space="preserve"> practices</w:t>
      </w:r>
      <w:r w:rsidRPr="00252D19">
        <w:rPr>
          <w:noProof/>
          <w:lang w:val="en-IE"/>
        </w:rPr>
        <w:t>, and proper land-use planning, can help minimi</w:t>
      </w:r>
      <w:r w:rsidR="00B4028A">
        <w:rPr>
          <w:noProof/>
          <w:lang w:val="en-IE"/>
        </w:rPr>
        <w:t>s</w:t>
      </w:r>
      <w:r w:rsidRPr="00252D19">
        <w:rPr>
          <w:noProof/>
          <w:lang w:val="en-IE"/>
        </w:rPr>
        <w:t xml:space="preserve">e </w:t>
      </w:r>
      <w:r w:rsidR="00252D19">
        <w:rPr>
          <w:noProof/>
          <w:lang w:val="en-IE"/>
        </w:rPr>
        <w:t xml:space="preserve">impacts of </w:t>
      </w:r>
      <w:r w:rsidRPr="00252D19">
        <w:rPr>
          <w:noProof/>
          <w:lang w:val="en-IE"/>
        </w:rPr>
        <w:t>land use change and deforestation</w:t>
      </w:r>
      <w:r w:rsidR="00252D19">
        <w:rPr>
          <w:noProof/>
          <w:lang w:val="en-IE"/>
        </w:rPr>
        <w:t xml:space="preserve"> and</w:t>
      </w:r>
      <w:r w:rsidRPr="00252D19">
        <w:rPr>
          <w:noProof/>
          <w:lang w:val="en-IE"/>
        </w:rPr>
        <w:t xml:space="preserve"> thus preserving carbon stocks.</w:t>
      </w:r>
      <w:r w:rsidR="00293E0C">
        <w:rPr>
          <w:noProof/>
          <w:lang w:val="en-IE"/>
        </w:rPr>
        <w:t xml:space="preserve"> </w:t>
      </w:r>
      <w:r w:rsidR="0038546D">
        <w:rPr>
          <w:noProof/>
          <w:lang w:val="en-IE"/>
        </w:rPr>
        <w:t>P</w:t>
      </w:r>
      <w:r w:rsidR="0038546D" w:rsidRPr="0038546D">
        <w:rPr>
          <w:noProof/>
          <w:lang w:val="en-IE"/>
        </w:rPr>
        <w:t xml:space="preserve">romoting carbon farming practices under the Common Agricultural Policy (CAP) and other EU </w:t>
      </w:r>
      <w:r w:rsidR="00E65B72">
        <w:rPr>
          <w:noProof/>
          <w:lang w:val="en-IE"/>
        </w:rPr>
        <w:t xml:space="preserve">and national </w:t>
      </w:r>
      <w:r w:rsidR="0038546D" w:rsidRPr="0038546D">
        <w:rPr>
          <w:noProof/>
          <w:lang w:val="en-IE"/>
        </w:rPr>
        <w:t>programmes</w:t>
      </w:r>
      <w:r w:rsidR="00CA633D">
        <w:rPr>
          <w:noProof/>
          <w:lang w:val="en-IE"/>
        </w:rPr>
        <w:t xml:space="preserve"> </w:t>
      </w:r>
      <w:r w:rsidR="0038546D">
        <w:rPr>
          <w:noProof/>
          <w:lang w:val="en-IE"/>
        </w:rPr>
        <w:t xml:space="preserve">with </w:t>
      </w:r>
      <w:r w:rsidR="0038546D" w:rsidRPr="0038546D">
        <w:rPr>
          <w:noProof/>
          <w:lang w:val="en-IE"/>
        </w:rPr>
        <w:t>financial incentives to farmers and foresters</w:t>
      </w:r>
      <w:r w:rsidR="0038546D">
        <w:rPr>
          <w:noProof/>
          <w:lang w:val="en-IE"/>
        </w:rPr>
        <w:t xml:space="preserve"> can enhance </w:t>
      </w:r>
      <w:r w:rsidR="0007096B">
        <w:rPr>
          <w:noProof/>
          <w:lang w:val="en-IE"/>
        </w:rPr>
        <w:t xml:space="preserve">practices such as </w:t>
      </w:r>
      <w:r w:rsidR="006D15A7">
        <w:rPr>
          <w:noProof/>
          <w:lang w:val="en-IE"/>
        </w:rPr>
        <w:t>afforestation</w:t>
      </w:r>
      <w:r w:rsidR="00E65B72">
        <w:rPr>
          <w:noProof/>
          <w:lang w:val="en-IE"/>
        </w:rPr>
        <w:t>,</w:t>
      </w:r>
      <w:r w:rsidR="006D15A7">
        <w:rPr>
          <w:noProof/>
          <w:lang w:val="en-IE"/>
        </w:rPr>
        <w:t xml:space="preserve"> reforestation</w:t>
      </w:r>
      <w:r w:rsidR="00E65B72" w:rsidRPr="00E65B72">
        <w:rPr>
          <w:noProof/>
          <w:lang w:val="en-IE"/>
        </w:rPr>
        <w:t>, agroforestry, conservation agriculture practices and soil protection, appropriate peatland management</w:t>
      </w:r>
      <w:r w:rsidR="00E65B72">
        <w:rPr>
          <w:noProof/>
          <w:lang w:val="en-IE"/>
        </w:rPr>
        <w:t>,</w:t>
      </w:r>
      <w:r w:rsidR="0007096B">
        <w:rPr>
          <w:noProof/>
          <w:lang w:val="en-IE"/>
        </w:rPr>
        <w:t xml:space="preserve"> and sustainable and precision farming</w:t>
      </w:r>
      <w:r w:rsidR="006D15A7">
        <w:rPr>
          <w:noProof/>
          <w:lang w:val="en-IE"/>
        </w:rPr>
        <w:t xml:space="preserve">, which </w:t>
      </w:r>
      <w:r w:rsidR="006D15A7" w:rsidRPr="006B79F5">
        <w:rPr>
          <w:noProof/>
          <w:lang w:val="en-IE"/>
        </w:rPr>
        <w:t xml:space="preserve">contribute to carbon </w:t>
      </w:r>
      <w:r w:rsidR="0007096B">
        <w:rPr>
          <w:noProof/>
          <w:lang w:val="en-IE"/>
        </w:rPr>
        <w:t>removals</w:t>
      </w:r>
      <w:r w:rsidR="006D15A7" w:rsidRPr="006B79F5">
        <w:rPr>
          <w:noProof/>
          <w:lang w:val="en-IE"/>
        </w:rPr>
        <w:t xml:space="preserve"> </w:t>
      </w:r>
      <w:r w:rsidR="00E65B72">
        <w:rPr>
          <w:noProof/>
          <w:lang w:val="en-IE"/>
        </w:rPr>
        <w:t>with the potential to offset</w:t>
      </w:r>
      <w:r w:rsidR="006D15A7" w:rsidRPr="006B79F5">
        <w:rPr>
          <w:noProof/>
          <w:lang w:val="en-IE"/>
        </w:rPr>
        <w:t xml:space="preserve"> agricultural emissions</w:t>
      </w:r>
      <w:r w:rsidR="006D15A7">
        <w:rPr>
          <w:noProof/>
          <w:lang w:val="en-IE"/>
        </w:rPr>
        <w:t xml:space="preserve">. </w:t>
      </w:r>
      <w:r w:rsidR="00A41262" w:rsidRPr="00A41262">
        <w:rPr>
          <w:noProof/>
          <w:lang w:val="en-IE"/>
        </w:rPr>
        <w:t>Through</w:t>
      </w:r>
      <w:r w:rsidR="00777965">
        <w:rPr>
          <w:noProof/>
          <w:lang w:val="en-IE"/>
        </w:rPr>
        <w:t>ou</w:t>
      </w:r>
      <w:r w:rsidR="00A41262" w:rsidRPr="00A41262">
        <w:rPr>
          <w:noProof/>
          <w:lang w:val="en-IE"/>
        </w:rPr>
        <w:t>t a combination of mandatory and voluntatry interventions, M</w:t>
      </w:r>
      <w:r w:rsidR="00777965">
        <w:rPr>
          <w:noProof/>
          <w:lang w:val="en-IE"/>
        </w:rPr>
        <w:t xml:space="preserve">ember </w:t>
      </w:r>
      <w:r w:rsidR="00A41262" w:rsidRPr="00A41262">
        <w:rPr>
          <w:noProof/>
          <w:lang w:val="en-IE"/>
        </w:rPr>
        <w:t>S</w:t>
      </w:r>
      <w:r w:rsidR="00777965">
        <w:rPr>
          <w:noProof/>
          <w:lang w:val="en-IE"/>
        </w:rPr>
        <w:t>tates</w:t>
      </w:r>
      <w:r w:rsidR="00A41262" w:rsidRPr="00A41262">
        <w:rPr>
          <w:noProof/>
          <w:lang w:val="en-IE"/>
        </w:rPr>
        <w:t xml:space="preserve"> planned significative support </w:t>
      </w:r>
      <w:r w:rsidR="00777965">
        <w:rPr>
          <w:noProof/>
          <w:lang w:val="en-IE"/>
        </w:rPr>
        <w:t>to</w:t>
      </w:r>
      <w:r w:rsidR="00A41262" w:rsidRPr="00A41262">
        <w:rPr>
          <w:noProof/>
          <w:lang w:val="en-IE"/>
        </w:rPr>
        <w:t xml:space="preserve"> farmers in the approved Common Agricultural Policy Strategic Planning Regulation, for the uptake of carbon farming practices, protection of carbon in soil and reduction of emissions.</w:t>
      </w:r>
    </w:p>
    <w:p w14:paraId="4D0B0169" w14:textId="44A9EC54" w:rsidR="00346A2F" w:rsidRPr="004E57A0" w:rsidRDefault="00B5243F" w:rsidP="000A6462">
      <w:pPr>
        <w:rPr>
          <w:rFonts w:ascii="Avenir Next LT Pro" w:hAnsi="Avenir Next LT Pro" w:cs="Avenir Next LT Pro"/>
          <w:noProof/>
          <w:sz w:val="22"/>
          <w:szCs w:val="22"/>
          <w:lang w:val="en-IE"/>
        </w:rPr>
      </w:pPr>
      <w:r w:rsidRPr="00747C2A">
        <w:rPr>
          <w:noProof/>
          <w:lang w:val="en-IE"/>
        </w:rPr>
        <w:t xml:space="preserve">Livestock production, particularly from ruminant animals like cows, sheep, and goats, is a significant contributor to GHG emissions in the EU's agriculture sector. Ruminant animals produce methane through enteric fermentation, a natural digestive process, </w:t>
      </w:r>
      <w:r w:rsidRPr="00D0588D">
        <w:rPr>
          <w:noProof/>
          <w:lang w:val="en-IE"/>
        </w:rPr>
        <w:t>responsible for roughly 38% of emissions</w:t>
      </w:r>
      <w:r w:rsidR="00747C2A">
        <w:rPr>
          <w:noProof/>
          <w:lang w:val="en-IE"/>
        </w:rPr>
        <w:t xml:space="preserve"> in the agriculture sector</w:t>
      </w:r>
      <w:r w:rsidRPr="00747C2A">
        <w:rPr>
          <w:noProof/>
          <w:lang w:val="en-IE"/>
        </w:rPr>
        <w:t>. Additionally, the management of manure from livestock release</w:t>
      </w:r>
      <w:r w:rsidR="00474F6D">
        <w:rPr>
          <w:noProof/>
          <w:lang w:val="en-IE"/>
        </w:rPr>
        <w:t>s</w:t>
      </w:r>
      <w:r w:rsidRPr="00747C2A">
        <w:rPr>
          <w:noProof/>
          <w:lang w:val="en-IE"/>
        </w:rPr>
        <w:t xml:space="preserve"> methane and nitrous oxide</w:t>
      </w:r>
      <w:r w:rsidR="004E57A0">
        <w:rPr>
          <w:noProof/>
          <w:lang w:val="en-IE"/>
        </w:rPr>
        <w:t xml:space="preserve"> and is</w:t>
      </w:r>
      <w:r w:rsidR="00747C2A" w:rsidRPr="00747C2A">
        <w:rPr>
          <w:noProof/>
          <w:lang w:val="en-IE"/>
        </w:rPr>
        <w:t xml:space="preserve"> </w:t>
      </w:r>
      <w:r w:rsidR="00747C2A" w:rsidRPr="00D0588D">
        <w:rPr>
          <w:noProof/>
          <w:lang w:val="en-IE"/>
        </w:rPr>
        <w:t>responsible for about 13% of emissions throughout the last 10 years</w:t>
      </w:r>
      <w:r w:rsidR="00747C2A" w:rsidRPr="00932411">
        <w:rPr>
          <w:rFonts w:ascii="Avenir Next LT Pro" w:hAnsi="Avenir Next LT Pro" w:cs="Avenir Next LT Pro"/>
          <w:noProof/>
          <w:sz w:val="22"/>
          <w:szCs w:val="22"/>
          <w:lang w:val="en-IE"/>
        </w:rPr>
        <w:t> (</w:t>
      </w:r>
      <w:r w:rsidR="00747C2A">
        <w:rPr>
          <w:rStyle w:val="FootnoteReference"/>
          <w:rFonts w:ascii="Avenir Next LT Pro" w:hAnsi="Avenir Next LT Pro" w:cs="Avenir Next LT Pro"/>
          <w:noProof/>
          <w:sz w:val="22"/>
          <w:szCs w:val="22"/>
          <w:lang w:val="en-IE"/>
        </w:rPr>
        <w:footnoteReference w:id="140"/>
      </w:r>
      <w:r w:rsidR="00747C2A">
        <w:rPr>
          <w:rFonts w:ascii="Avenir Next LT Pro" w:hAnsi="Avenir Next LT Pro" w:cs="Avenir Next LT Pro"/>
          <w:noProof/>
          <w:sz w:val="22"/>
          <w:szCs w:val="22"/>
          <w:lang w:val="en-IE"/>
        </w:rPr>
        <w:t>)</w:t>
      </w:r>
      <w:r w:rsidR="004E57A0">
        <w:rPr>
          <w:rFonts w:ascii="Avenir Next LT Pro" w:hAnsi="Avenir Next LT Pro" w:cs="Avenir Next LT Pro"/>
          <w:noProof/>
          <w:sz w:val="22"/>
          <w:szCs w:val="22"/>
          <w:lang w:val="en-IE"/>
        </w:rPr>
        <w:t xml:space="preserve">. </w:t>
      </w:r>
      <w:r w:rsidR="00346A2F" w:rsidRPr="00C3341F">
        <w:rPr>
          <w:noProof/>
          <w:lang w:val="en-IE"/>
        </w:rPr>
        <w:t>Implementing practices such as optimi</w:t>
      </w:r>
      <w:r w:rsidR="009C4D9C">
        <w:rPr>
          <w:noProof/>
          <w:lang w:val="en-IE"/>
        </w:rPr>
        <w:t>s</w:t>
      </w:r>
      <w:r w:rsidR="00346A2F" w:rsidRPr="00C3341F">
        <w:rPr>
          <w:noProof/>
          <w:lang w:val="en-IE"/>
        </w:rPr>
        <w:t xml:space="preserve">ed </w:t>
      </w:r>
      <w:r w:rsidR="00C3341F">
        <w:rPr>
          <w:noProof/>
          <w:lang w:val="en-IE"/>
        </w:rPr>
        <w:t>fodder</w:t>
      </w:r>
      <w:r w:rsidR="00346A2F" w:rsidRPr="00C3341F">
        <w:rPr>
          <w:noProof/>
          <w:lang w:val="en-IE"/>
        </w:rPr>
        <w:t>,</w:t>
      </w:r>
      <w:r w:rsidR="00DE4DC6">
        <w:rPr>
          <w:noProof/>
          <w:lang w:val="en-IE"/>
        </w:rPr>
        <w:t xml:space="preserve"> feed additives,</w:t>
      </w:r>
      <w:r w:rsidR="00346A2F" w:rsidRPr="00C3341F">
        <w:rPr>
          <w:noProof/>
          <w:lang w:val="en-IE"/>
        </w:rPr>
        <w:t xml:space="preserve"> </w:t>
      </w:r>
      <w:r w:rsidR="00C3341F">
        <w:rPr>
          <w:noProof/>
          <w:lang w:val="en-IE"/>
        </w:rPr>
        <w:t xml:space="preserve">more favourable </w:t>
      </w:r>
      <w:r w:rsidR="00346A2F" w:rsidRPr="00C3341F">
        <w:rPr>
          <w:noProof/>
          <w:lang w:val="en-IE"/>
        </w:rPr>
        <w:t>animal genetics</w:t>
      </w:r>
      <w:r w:rsidR="00B508D4" w:rsidRPr="00B508D4">
        <w:rPr>
          <w:rFonts w:cs="CharisSIL"/>
          <w:noProof/>
          <w:lang w:val="en-IE"/>
        </w:rPr>
        <w:t> (</w:t>
      </w:r>
      <w:r w:rsidR="00B508D4">
        <w:rPr>
          <w:rStyle w:val="FootnoteReference"/>
          <w:noProof/>
          <w:lang w:val="en-IE"/>
        </w:rPr>
        <w:footnoteReference w:id="141"/>
      </w:r>
      <w:r w:rsidR="00B508D4">
        <w:rPr>
          <w:rFonts w:cs="CharisSIL"/>
          <w:noProof/>
          <w:lang w:val="en-IE"/>
        </w:rPr>
        <w:t>)</w:t>
      </w:r>
      <w:r w:rsidR="00346A2F" w:rsidRPr="00C3341F">
        <w:rPr>
          <w:noProof/>
          <w:lang w:val="en-IE"/>
        </w:rPr>
        <w:t xml:space="preserve">, and improved herd management help reduce enteric fermentation and, consequently, methane emissions from </w:t>
      </w:r>
      <w:r w:rsidR="00293E0C">
        <w:rPr>
          <w:noProof/>
          <w:lang w:val="en-IE"/>
        </w:rPr>
        <w:t xml:space="preserve">the </w:t>
      </w:r>
      <w:r w:rsidR="00346A2F" w:rsidRPr="00C3341F">
        <w:rPr>
          <w:noProof/>
          <w:lang w:val="en-IE"/>
        </w:rPr>
        <w:t>livestock.</w:t>
      </w:r>
      <w:r w:rsidR="00293E0C">
        <w:rPr>
          <w:noProof/>
          <w:lang w:val="en-IE"/>
        </w:rPr>
        <w:t xml:space="preserve"> </w:t>
      </w:r>
      <w:r w:rsidR="00EC7BD4" w:rsidRPr="00EC7BD4">
        <w:rPr>
          <w:noProof/>
          <w:lang w:val="en-IE"/>
        </w:rPr>
        <w:t xml:space="preserve">Anareobic digestion of manure and other biomass </w:t>
      </w:r>
      <w:r w:rsidR="00E11329">
        <w:rPr>
          <w:noProof/>
          <w:lang w:val="en-IE"/>
        </w:rPr>
        <w:t>does not only mitigate emissions</w:t>
      </w:r>
      <w:r w:rsidR="00F92110">
        <w:rPr>
          <w:noProof/>
          <w:lang w:val="en-IE"/>
        </w:rPr>
        <w:t xml:space="preserve"> but also provides a new source of income for farmers</w:t>
      </w:r>
      <w:r w:rsidR="00FB583A">
        <w:rPr>
          <w:noProof/>
          <w:lang w:val="en-IE"/>
        </w:rPr>
        <w:t xml:space="preserve"> </w:t>
      </w:r>
      <w:r w:rsidR="00EC7BD4" w:rsidRPr="00EC7BD4">
        <w:rPr>
          <w:noProof/>
          <w:lang w:val="en-IE"/>
        </w:rPr>
        <w:t>(since it produces biogas,</w:t>
      </w:r>
      <w:r w:rsidR="00EC7BD4">
        <w:rPr>
          <w:noProof/>
          <w:lang w:val="en-IE"/>
        </w:rPr>
        <w:t xml:space="preserve"> </w:t>
      </w:r>
      <w:r w:rsidR="00EC7BD4" w:rsidRPr="00EC7BD4">
        <w:rPr>
          <w:noProof/>
          <w:lang w:val="en-IE"/>
        </w:rPr>
        <w:t>which can be</w:t>
      </w:r>
      <w:r w:rsidR="00EC7BD4">
        <w:rPr>
          <w:noProof/>
          <w:lang w:val="en-IE"/>
        </w:rPr>
        <w:t xml:space="preserve"> recovered and</w:t>
      </w:r>
      <w:r w:rsidR="00EC7BD4" w:rsidRPr="00EC7BD4">
        <w:rPr>
          <w:noProof/>
          <w:lang w:val="en-IE"/>
        </w:rPr>
        <w:t xml:space="preserve"> used for energy production or other purposes) </w:t>
      </w:r>
      <w:r w:rsidR="00FB583A">
        <w:rPr>
          <w:noProof/>
          <w:lang w:val="en-IE"/>
        </w:rPr>
        <w:t>and can help to prevent excessive nutrient losses.</w:t>
      </w:r>
    </w:p>
    <w:p w14:paraId="258E761A" w14:textId="3BC275E3" w:rsidR="00576EA1" w:rsidRPr="00E93330" w:rsidRDefault="00E93330" w:rsidP="000A6462">
      <w:pPr>
        <w:rPr>
          <w:noProof/>
          <w:lang w:val="en-IE"/>
        </w:rPr>
      </w:pPr>
      <w:r w:rsidRPr="00C264BA">
        <w:rPr>
          <w:noProof/>
          <w:lang w:val="en-IE"/>
        </w:rPr>
        <w:t>Nitrogen fertili</w:t>
      </w:r>
      <w:r w:rsidR="00B4028A">
        <w:rPr>
          <w:noProof/>
          <w:lang w:val="en-IE"/>
        </w:rPr>
        <w:t>s</w:t>
      </w:r>
      <w:r w:rsidRPr="00C264BA">
        <w:rPr>
          <w:noProof/>
          <w:lang w:val="en-IE"/>
        </w:rPr>
        <w:t xml:space="preserve">ers are widely used in agriculture to enhance crop </w:t>
      </w:r>
      <w:r w:rsidR="00BC276A">
        <w:rPr>
          <w:noProof/>
          <w:lang w:val="en-IE"/>
        </w:rPr>
        <w:t>production</w:t>
      </w:r>
      <w:r w:rsidRPr="00C264BA">
        <w:rPr>
          <w:noProof/>
          <w:lang w:val="en-IE"/>
        </w:rPr>
        <w:t>. However, the excessive or inefficient application of nitrogen fertili</w:t>
      </w:r>
      <w:r w:rsidR="00B4028A">
        <w:rPr>
          <w:noProof/>
          <w:lang w:val="en-IE"/>
        </w:rPr>
        <w:t>s</w:t>
      </w:r>
      <w:r w:rsidRPr="00C264BA">
        <w:rPr>
          <w:noProof/>
          <w:lang w:val="en-IE"/>
        </w:rPr>
        <w:t>ers lead</w:t>
      </w:r>
      <w:r w:rsidR="003B76D5">
        <w:rPr>
          <w:noProof/>
          <w:lang w:val="en-IE"/>
        </w:rPr>
        <w:t>s</w:t>
      </w:r>
      <w:r w:rsidRPr="00C264BA">
        <w:rPr>
          <w:noProof/>
          <w:lang w:val="en-IE"/>
        </w:rPr>
        <w:t xml:space="preserve"> to the release of N</w:t>
      </w:r>
      <w:r w:rsidR="008E3675" w:rsidRPr="008E3675">
        <w:rPr>
          <w:noProof/>
          <w:vertAlign w:val="subscript"/>
          <w:lang w:val="en-IE"/>
        </w:rPr>
        <w:t>2</w:t>
      </w:r>
      <w:r w:rsidRPr="00C264BA">
        <w:rPr>
          <w:noProof/>
          <w:lang w:val="en-IE"/>
        </w:rPr>
        <w:t>O</w:t>
      </w:r>
      <w:r w:rsidR="008E3675">
        <w:rPr>
          <w:noProof/>
          <w:lang w:val="en-IE"/>
        </w:rPr>
        <w:t xml:space="preserve"> into the atmosphere</w:t>
      </w:r>
      <w:r w:rsidR="003B76D5">
        <w:rPr>
          <w:noProof/>
          <w:lang w:val="en-IE"/>
        </w:rPr>
        <w:t xml:space="preserve"> and losses of other nitrogen components to water and atmosphere</w:t>
      </w:r>
      <w:r w:rsidR="008E3675">
        <w:rPr>
          <w:noProof/>
          <w:lang w:val="en-IE"/>
        </w:rPr>
        <w:t>.</w:t>
      </w:r>
      <w:r w:rsidRPr="00C264BA">
        <w:rPr>
          <w:noProof/>
          <w:lang w:val="en-IE"/>
        </w:rPr>
        <w:t xml:space="preserve"> </w:t>
      </w:r>
      <w:r w:rsidR="00576EA1" w:rsidRPr="000D1C1A">
        <w:rPr>
          <w:noProof/>
          <w:lang w:val="en-IE"/>
        </w:rPr>
        <w:t>Util</w:t>
      </w:r>
      <w:r w:rsidR="000D1C1A">
        <w:rPr>
          <w:noProof/>
          <w:lang w:val="en-IE"/>
        </w:rPr>
        <w:t xml:space="preserve">isation of </w:t>
      </w:r>
      <w:r w:rsidR="00576EA1" w:rsidRPr="000D1C1A">
        <w:rPr>
          <w:noProof/>
          <w:lang w:val="en-IE"/>
        </w:rPr>
        <w:t>precision agriculture techniques</w:t>
      </w:r>
      <w:r w:rsidR="00BD5D9D" w:rsidRPr="00BD5D9D">
        <w:rPr>
          <w:rFonts w:cs="CharisSIL"/>
          <w:noProof/>
          <w:lang w:val="en-IE"/>
        </w:rPr>
        <w:t> (</w:t>
      </w:r>
      <w:r w:rsidR="00BD5D9D">
        <w:rPr>
          <w:rStyle w:val="FootnoteReference"/>
          <w:noProof/>
          <w:lang w:val="en-IE"/>
        </w:rPr>
        <w:footnoteReference w:id="142"/>
      </w:r>
      <w:r w:rsidR="00BD5D9D">
        <w:rPr>
          <w:rFonts w:cs="CharisSIL"/>
          <w:noProof/>
          <w:lang w:val="en-IE"/>
        </w:rPr>
        <w:t>)</w:t>
      </w:r>
      <w:r w:rsidR="00576EA1" w:rsidRPr="000D1C1A">
        <w:rPr>
          <w:noProof/>
          <w:lang w:val="en-IE"/>
        </w:rPr>
        <w:t xml:space="preserve">, such as site-specific </w:t>
      </w:r>
      <w:r w:rsidR="00E71AB3">
        <w:rPr>
          <w:noProof/>
          <w:lang w:val="en-IE"/>
        </w:rPr>
        <w:t>fertili</w:t>
      </w:r>
      <w:r w:rsidR="00B4028A">
        <w:rPr>
          <w:noProof/>
          <w:lang w:val="en-IE"/>
        </w:rPr>
        <w:t>s</w:t>
      </w:r>
      <w:r w:rsidR="00E71AB3">
        <w:rPr>
          <w:noProof/>
          <w:lang w:val="en-IE"/>
        </w:rPr>
        <w:t>er</w:t>
      </w:r>
      <w:r w:rsidR="00576EA1" w:rsidRPr="000D1C1A">
        <w:rPr>
          <w:noProof/>
          <w:lang w:val="en-IE"/>
        </w:rPr>
        <w:t xml:space="preserve"> management</w:t>
      </w:r>
      <w:r w:rsidR="00950AEB">
        <w:rPr>
          <w:noProof/>
          <w:lang w:val="en-IE"/>
        </w:rPr>
        <w:t xml:space="preserve"> with variable rate distribution techniques</w:t>
      </w:r>
      <w:r w:rsidR="00576EA1" w:rsidRPr="000D1C1A">
        <w:rPr>
          <w:noProof/>
          <w:lang w:val="en-IE"/>
        </w:rPr>
        <w:t>, can help optimi</w:t>
      </w:r>
      <w:r w:rsidR="00B4028A">
        <w:rPr>
          <w:noProof/>
          <w:lang w:val="en-IE"/>
        </w:rPr>
        <w:t>s</w:t>
      </w:r>
      <w:r w:rsidR="00576EA1" w:rsidRPr="000D1C1A">
        <w:rPr>
          <w:noProof/>
          <w:lang w:val="en-IE"/>
        </w:rPr>
        <w:t>e fertili</w:t>
      </w:r>
      <w:r w:rsidR="002727B9">
        <w:rPr>
          <w:noProof/>
          <w:lang w:val="en-IE"/>
        </w:rPr>
        <w:t>s</w:t>
      </w:r>
      <w:r w:rsidR="00576EA1" w:rsidRPr="000D1C1A">
        <w:rPr>
          <w:noProof/>
          <w:lang w:val="en-IE"/>
        </w:rPr>
        <w:t>er application and minimi</w:t>
      </w:r>
      <w:r w:rsidR="00B4028A">
        <w:rPr>
          <w:noProof/>
          <w:lang w:val="en-IE"/>
        </w:rPr>
        <w:t>s</w:t>
      </w:r>
      <w:r w:rsidR="00576EA1" w:rsidRPr="000D1C1A">
        <w:rPr>
          <w:noProof/>
          <w:lang w:val="en-IE"/>
        </w:rPr>
        <w:t xml:space="preserve">e nitrogen losses, reducing </w:t>
      </w:r>
      <w:r w:rsidR="002727B9">
        <w:rPr>
          <w:noProof/>
          <w:lang w:val="en-IE"/>
        </w:rPr>
        <w:t>N</w:t>
      </w:r>
      <w:r w:rsidR="002727B9" w:rsidRPr="002727B9">
        <w:rPr>
          <w:noProof/>
          <w:vertAlign w:val="subscript"/>
          <w:lang w:val="en-IE"/>
        </w:rPr>
        <w:t>2</w:t>
      </w:r>
      <w:r w:rsidR="002727B9">
        <w:rPr>
          <w:noProof/>
          <w:lang w:val="en-IE"/>
        </w:rPr>
        <w:t xml:space="preserve">O </w:t>
      </w:r>
      <w:r w:rsidR="00576EA1" w:rsidRPr="000D1C1A">
        <w:rPr>
          <w:noProof/>
          <w:lang w:val="en-IE"/>
        </w:rPr>
        <w:t>emissions.</w:t>
      </w:r>
      <w:r w:rsidR="002727B9">
        <w:rPr>
          <w:noProof/>
          <w:lang w:val="en-IE"/>
        </w:rPr>
        <w:t xml:space="preserve"> Mo</w:t>
      </w:r>
      <w:r w:rsidR="006B1874">
        <w:rPr>
          <w:noProof/>
          <w:lang w:val="en-IE"/>
        </w:rPr>
        <w:t>r</w:t>
      </w:r>
      <w:r w:rsidR="002727B9">
        <w:rPr>
          <w:noProof/>
          <w:lang w:val="en-IE"/>
        </w:rPr>
        <w:t>eover, the use of N</w:t>
      </w:r>
      <w:r w:rsidR="002727B9" w:rsidRPr="002727B9">
        <w:rPr>
          <w:noProof/>
          <w:vertAlign w:val="subscript"/>
          <w:lang w:val="en-IE"/>
        </w:rPr>
        <w:t>2</w:t>
      </w:r>
      <w:r w:rsidR="002727B9">
        <w:rPr>
          <w:noProof/>
          <w:lang w:val="en-IE"/>
        </w:rPr>
        <w:t>O</w:t>
      </w:r>
      <w:r w:rsidR="002727B9" w:rsidRPr="00576EA1">
        <w:rPr>
          <w:noProof/>
          <w:lang w:val="en-IE"/>
        </w:rPr>
        <w:t xml:space="preserve"> </w:t>
      </w:r>
      <w:r w:rsidR="00576EA1" w:rsidRPr="00576EA1">
        <w:rPr>
          <w:noProof/>
          <w:lang w:val="en-IE"/>
        </w:rPr>
        <w:t>stabili</w:t>
      </w:r>
      <w:r w:rsidR="00B4028A">
        <w:rPr>
          <w:noProof/>
          <w:lang w:val="en-IE"/>
        </w:rPr>
        <w:t>s</w:t>
      </w:r>
      <w:r w:rsidR="00576EA1" w:rsidRPr="00576EA1">
        <w:rPr>
          <w:noProof/>
          <w:lang w:val="en-IE"/>
        </w:rPr>
        <w:t>ers</w:t>
      </w:r>
      <w:r w:rsidR="001F0C79" w:rsidRPr="001F0C79">
        <w:rPr>
          <w:rFonts w:cs="CharisSIL"/>
          <w:noProof/>
          <w:lang w:val="en-IE"/>
        </w:rPr>
        <w:t> (</w:t>
      </w:r>
      <w:r w:rsidR="001F0C79">
        <w:rPr>
          <w:rStyle w:val="FootnoteReference"/>
          <w:noProof/>
          <w:lang w:val="en-IE"/>
        </w:rPr>
        <w:footnoteReference w:id="143"/>
      </w:r>
      <w:r w:rsidR="001F0C79">
        <w:rPr>
          <w:rFonts w:cs="CharisSIL"/>
          <w:noProof/>
          <w:lang w:val="en-IE"/>
        </w:rPr>
        <w:t>)</w:t>
      </w:r>
      <w:r w:rsidR="00950AEB">
        <w:rPr>
          <w:rFonts w:cs="CharisSIL"/>
          <w:noProof/>
          <w:lang w:val="en-IE"/>
        </w:rPr>
        <w:t>,</w:t>
      </w:r>
      <w:r w:rsidR="00576EA1" w:rsidRPr="00576EA1">
        <w:rPr>
          <w:noProof/>
          <w:lang w:val="en-IE"/>
        </w:rPr>
        <w:t xml:space="preserve"> inhibitors </w:t>
      </w:r>
      <w:r w:rsidR="00950AEB" w:rsidRPr="00950AEB">
        <w:rPr>
          <w:noProof/>
          <w:lang w:val="en-IE"/>
        </w:rPr>
        <w:t>and nitrogen in more complex formulation (such as in organic fertilisers)</w:t>
      </w:r>
      <w:r w:rsidR="00950AEB">
        <w:rPr>
          <w:noProof/>
          <w:lang w:val="en-IE"/>
        </w:rPr>
        <w:t xml:space="preserve"> </w:t>
      </w:r>
      <w:r w:rsidR="00576EA1" w:rsidRPr="00576EA1">
        <w:rPr>
          <w:noProof/>
          <w:lang w:val="en-IE"/>
        </w:rPr>
        <w:t>can enhance fertili</w:t>
      </w:r>
      <w:r w:rsidR="00B4028A">
        <w:rPr>
          <w:noProof/>
          <w:lang w:val="en-IE"/>
        </w:rPr>
        <w:t>s</w:t>
      </w:r>
      <w:r w:rsidR="00576EA1" w:rsidRPr="00576EA1">
        <w:rPr>
          <w:noProof/>
          <w:lang w:val="en-IE"/>
        </w:rPr>
        <w:t>er efficiency and reduce nitrogen losses, ultimately lowering nitrous oxide emissions.</w:t>
      </w:r>
      <w:r w:rsidR="004E57A0">
        <w:rPr>
          <w:noProof/>
          <w:lang w:val="en-IE"/>
        </w:rPr>
        <w:t xml:space="preserve"> </w:t>
      </w:r>
      <w:r w:rsidR="00C415BC">
        <w:rPr>
          <w:noProof/>
          <w:lang w:val="en-IE"/>
        </w:rPr>
        <w:t>With regard to nutrient</w:t>
      </w:r>
      <w:r w:rsidR="004E57A0">
        <w:rPr>
          <w:noProof/>
          <w:lang w:val="en-IE"/>
        </w:rPr>
        <w:t>s</w:t>
      </w:r>
      <w:r w:rsidR="00C415BC">
        <w:rPr>
          <w:noProof/>
          <w:lang w:val="en-IE"/>
        </w:rPr>
        <w:t xml:space="preserve"> and the </w:t>
      </w:r>
      <w:r w:rsidR="00D16CD8">
        <w:rPr>
          <w:noProof/>
          <w:lang w:val="en-IE"/>
        </w:rPr>
        <w:t xml:space="preserve">objective to reduce </w:t>
      </w:r>
      <w:r w:rsidR="00897DA0">
        <w:rPr>
          <w:noProof/>
          <w:lang w:val="en-IE"/>
        </w:rPr>
        <w:t>nutrient losses within the EU</w:t>
      </w:r>
      <w:r w:rsidR="00897DA0" w:rsidRPr="00897DA0">
        <w:rPr>
          <w:rFonts w:cs="CharisSIL"/>
          <w:noProof/>
          <w:lang w:val="en-IE"/>
        </w:rPr>
        <w:t> (</w:t>
      </w:r>
      <w:r w:rsidR="00897DA0">
        <w:rPr>
          <w:rStyle w:val="FootnoteReference"/>
          <w:noProof/>
          <w:lang w:val="en-IE"/>
        </w:rPr>
        <w:footnoteReference w:id="144"/>
      </w:r>
      <w:r w:rsidR="00897DA0">
        <w:rPr>
          <w:rFonts w:cs="CharisSIL"/>
          <w:noProof/>
          <w:lang w:val="en-IE"/>
        </w:rPr>
        <w:t>), i</w:t>
      </w:r>
      <w:r w:rsidR="00897DA0" w:rsidRPr="00897DA0">
        <w:rPr>
          <w:noProof/>
          <w:lang w:val="en-IE"/>
        </w:rPr>
        <w:t>mplementing precision nutrient management</w:t>
      </w:r>
      <w:r w:rsidR="00897DA0">
        <w:rPr>
          <w:noProof/>
          <w:lang w:val="en-IE"/>
        </w:rPr>
        <w:t xml:space="preserve"> and</w:t>
      </w:r>
      <w:r w:rsidR="00897DA0" w:rsidRPr="00897DA0">
        <w:rPr>
          <w:noProof/>
          <w:lang w:val="en-IE"/>
        </w:rPr>
        <w:t xml:space="preserve"> optimi</w:t>
      </w:r>
      <w:r w:rsidR="00B4028A">
        <w:rPr>
          <w:noProof/>
          <w:lang w:val="en-IE"/>
        </w:rPr>
        <w:t>s</w:t>
      </w:r>
      <w:r w:rsidR="00897DA0" w:rsidRPr="00897DA0">
        <w:rPr>
          <w:noProof/>
          <w:lang w:val="en-IE"/>
        </w:rPr>
        <w:t xml:space="preserve">ing </w:t>
      </w:r>
      <w:r w:rsidR="00897DA0">
        <w:rPr>
          <w:noProof/>
          <w:lang w:val="en-IE"/>
        </w:rPr>
        <w:t xml:space="preserve">the use of </w:t>
      </w:r>
      <w:r w:rsidR="00897DA0" w:rsidRPr="00897DA0">
        <w:rPr>
          <w:noProof/>
          <w:lang w:val="en-IE"/>
        </w:rPr>
        <w:t>organic fertili</w:t>
      </w:r>
      <w:r w:rsidR="00897DA0">
        <w:rPr>
          <w:noProof/>
          <w:lang w:val="en-IE"/>
        </w:rPr>
        <w:t>s</w:t>
      </w:r>
      <w:r w:rsidR="00897DA0" w:rsidRPr="00897DA0">
        <w:rPr>
          <w:noProof/>
          <w:lang w:val="en-IE"/>
        </w:rPr>
        <w:t>er improve</w:t>
      </w:r>
      <w:r w:rsidR="00190799">
        <w:rPr>
          <w:noProof/>
          <w:lang w:val="en-IE"/>
        </w:rPr>
        <w:t>s</w:t>
      </w:r>
      <w:r w:rsidR="00897DA0" w:rsidRPr="00897DA0">
        <w:rPr>
          <w:noProof/>
          <w:lang w:val="en-IE"/>
        </w:rPr>
        <w:t xml:space="preserve"> </w:t>
      </w:r>
      <w:r w:rsidR="00190799">
        <w:rPr>
          <w:noProof/>
          <w:lang w:val="en-IE"/>
        </w:rPr>
        <w:t xml:space="preserve">the </w:t>
      </w:r>
      <w:r w:rsidR="00897DA0" w:rsidRPr="00897DA0">
        <w:rPr>
          <w:noProof/>
          <w:lang w:val="en-IE"/>
        </w:rPr>
        <w:t>nutrient cycl</w:t>
      </w:r>
      <w:r w:rsidR="00190799">
        <w:rPr>
          <w:noProof/>
          <w:lang w:val="en-IE"/>
        </w:rPr>
        <w:t>e</w:t>
      </w:r>
      <w:r w:rsidR="00897DA0" w:rsidRPr="00897DA0">
        <w:rPr>
          <w:noProof/>
          <w:lang w:val="en-IE"/>
        </w:rPr>
        <w:t xml:space="preserve"> and </w:t>
      </w:r>
      <w:r w:rsidR="004E57A0">
        <w:rPr>
          <w:noProof/>
          <w:lang w:val="en-IE"/>
        </w:rPr>
        <w:t xml:space="preserve">provides co-benefits for environmental protection. </w:t>
      </w:r>
    </w:p>
    <w:p w14:paraId="5C8C6D84" w14:textId="0B004319" w:rsidR="00E93330" w:rsidRDefault="00190799" w:rsidP="000A6462">
      <w:pPr>
        <w:rPr>
          <w:noProof/>
          <w:lang w:val="en-IE"/>
        </w:rPr>
      </w:pPr>
      <w:r w:rsidRPr="00190799">
        <w:rPr>
          <w:noProof/>
          <w:lang w:val="en-IE"/>
        </w:rPr>
        <w:t xml:space="preserve">It's worth noting that the effectiveness and feasibility of these mitigation options </w:t>
      </w:r>
      <w:r w:rsidR="001F0C79">
        <w:rPr>
          <w:noProof/>
          <w:lang w:val="en-IE"/>
        </w:rPr>
        <w:t>depends</w:t>
      </w:r>
      <w:r w:rsidRPr="00190799">
        <w:rPr>
          <w:noProof/>
          <w:lang w:val="en-IE"/>
        </w:rPr>
        <w:t xml:space="preserve"> on local conditions, farm-scale factors, and policy support. Ongoing research and innovation play a crucial role in further developing and implementing these technologies to achieve sustainable agricultural practices with reduced emissions.</w:t>
      </w:r>
    </w:p>
    <w:p w14:paraId="090B16A4" w14:textId="6688B269" w:rsidR="004E57A0" w:rsidRDefault="0007096B" w:rsidP="000A6462">
      <w:pPr>
        <w:rPr>
          <w:noProof/>
          <w:lang w:val="en-IE"/>
        </w:rPr>
      </w:pPr>
      <w:r>
        <w:rPr>
          <w:noProof/>
          <w:lang w:val="en-IE"/>
        </w:rPr>
        <w:t>Importantly,</w:t>
      </w:r>
      <w:r w:rsidR="004E57A0">
        <w:rPr>
          <w:noProof/>
          <w:lang w:val="en-IE"/>
        </w:rPr>
        <w:t xml:space="preserve"> action addressing primary agriculture </w:t>
      </w:r>
      <w:r w:rsidR="005C35B1">
        <w:rPr>
          <w:noProof/>
          <w:lang w:val="en-IE"/>
        </w:rPr>
        <w:t>is</w:t>
      </w:r>
      <w:r w:rsidR="004E57A0">
        <w:rPr>
          <w:noProof/>
          <w:lang w:val="en-IE"/>
        </w:rPr>
        <w:t xml:space="preserve"> necessary to drive down emissions </w:t>
      </w:r>
      <w:r w:rsidR="005C35B1">
        <w:rPr>
          <w:noProof/>
          <w:lang w:val="en-IE"/>
        </w:rPr>
        <w:t xml:space="preserve">from </w:t>
      </w:r>
      <w:r w:rsidR="004E57A0">
        <w:rPr>
          <w:noProof/>
          <w:lang w:val="en-IE"/>
        </w:rPr>
        <w:t xml:space="preserve">the food system. </w:t>
      </w:r>
      <w:r w:rsidR="00CC6734">
        <w:rPr>
          <w:noProof/>
          <w:lang w:val="en-IE"/>
        </w:rPr>
        <w:t xml:space="preserve">But </w:t>
      </w:r>
      <w:r w:rsidR="005C35B1">
        <w:rPr>
          <w:noProof/>
          <w:lang w:val="en-IE"/>
        </w:rPr>
        <w:t xml:space="preserve">for the EU </w:t>
      </w:r>
      <w:r w:rsidR="00CC6734">
        <w:rPr>
          <w:noProof/>
          <w:lang w:val="en-IE"/>
        </w:rPr>
        <w:t xml:space="preserve">to achieve climate neutrality in 2050, the </w:t>
      </w:r>
      <w:r w:rsidR="005C35B1">
        <w:rPr>
          <w:noProof/>
          <w:lang w:val="en-IE"/>
        </w:rPr>
        <w:t>food system</w:t>
      </w:r>
      <w:r w:rsidR="00CC6734">
        <w:rPr>
          <w:noProof/>
          <w:lang w:val="en-IE"/>
        </w:rPr>
        <w:t xml:space="preserve"> needs to take action along the entire value chain, which </w:t>
      </w:r>
      <w:r w:rsidR="00DD195C">
        <w:rPr>
          <w:noProof/>
          <w:lang w:val="en-IE"/>
        </w:rPr>
        <w:t xml:space="preserve">goes beyond primary agriculture and </w:t>
      </w:r>
      <w:r w:rsidR="00CC6734">
        <w:rPr>
          <w:noProof/>
          <w:lang w:val="en-IE"/>
        </w:rPr>
        <w:t>includes secondary agriculture</w:t>
      </w:r>
      <w:r w:rsidR="00DD195C" w:rsidRPr="00DD195C">
        <w:rPr>
          <w:noProof/>
          <w:lang w:val="en-IE"/>
        </w:rPr>
        <w:t> (</w:t>
      </w:r>
      <w:r w:rsidR="00DD195C">
        <w:rPr>
          <w:rStyle w:val="FootnoteReference"/>
          <w:noProof/>
          <w:lang w:val="en-IE"/>
        </w:rPr>
        <w:footnoteReference w:id="145"/>
      </w:r>
      <w:r w:rsidR="00DD195C">
        <w:rPr>
          <w:noProof/>
          <w:lang w:val="en-IE"/>
        </w:rPr>
        <w:t>)</w:t>
      </w:r>
      <w:r w:rsidR="00E9774C">
        <w:rPr>
          <w:noProof/>
          <w:lang w:val="en-IE"/>
        </w:rPr>
        <w:t>,</w:t>
      </w:r>
      <w:r w:rsidR="00CC6734">
        <w:rPr>
          <w:noProof/>
          <w:lang w:val="en-IE"/>
        </w:rPr>
        <w:t xml:space="preserve"> retail</w:t>
      </w:r>
      <w:r w:rsidR="00E9774C">
        <w:rPr>
          <w:noProof/>
          <w:lang w:val="en-IE"/>
        </w:rPr>
        <w:t>, and consumption</w:t>
      </w:r>
      <w:r w:rsidR="00CC6734">
        <w:rPr>
          <w:noProof/>
          <w:lang w:val="en-IE"/>
        </w:rPr>
        <w:t xml:space="preserve"> </w:t>
      </w:r>
      <w:r w:rsidR="00CC6734" w:rsidRPr="00CC6734">
        <w:rPr>
          <w:noProof/>
          <w:lang w:val="en-IE"/>
        </w:rPr>
        <w:t>(</w:t>
      </w:r>
      <w:r w:rsidR="00CC6734">
        <w:rPr>
          <w:rStyle w:val="FootnoteReference"/>
          <w:noProof/>
          <w:lang w:val="en-IE"/>
        </w:rPr>
        <w:footnoteReference w:id="146"/>
      </w:r>
      <w:r w:rsidR="00CC6734">
        <w:rPr>
          <w:noProof/>
          <w:lang w:val="en-IE"/>
        </w:rPr>
        <w:t>).</w:t>
      </w:r>
      <w:r w:rsidR="00E9774C">
        <w:rPr>
          <w:noProof/>
          <w:lang w:val="en-IE"/>
        </w:rPr>
        <w:t xml:space="preserve"> In other words, the adoption of </w:t>
      </w:r>
      <w:r w:rsidR="00433065">
        <w:rPr>
          <w:noProof/>
          <w:lang w:val="en-IE"/>
        </w:rPr>
        <w:t xml:space="preserve">certain </w:t>
      </w:r>
      <w:r w:rsidR="00E9774C">
        <w:rPr>
          <w:noProof/>
          <w:lang w:val="en-IE"/>
        </w:rPr>
        <w:t xml:space="preserve">practices and technologies </w:t>
      </w:r>
      <w:r w:rsidR="00433065">
        <w:rPr>
          <w:noProof/>
          <w:lang w:val="en-IE"/>
        </w:rPr>
        <w:t xml:space="preserve">can </w:t>
      </w:r>
      <w:r w:rsidR="00E9774C">
        <w:rPr>
          <w:noProof/>
          <w:lang w:val="en-IE"/>
        </w:rPr>
        <w:t xml:space="preserve">reduce </w:t>
      </w:r>
      <w:r w:rsidR="00F320B0">
        <w:rPr>
          <w:noProof/>
          <w:lang w:val="en-IE"/>
        </w:rPr>
        <w:t xml:space="preserve">GHG emissions </w:t>
      </w:r>
      <w:r w:rsidR="00433065">
        <w:rPr>
          <w:noProof/>
          <w:lang w:val="en-IE"/>
        </w:rPr>
        <w:t xml:space="preserve">from </w:t>
      </w:r>
      <w:r w:rsidR="00F320B0">
        <w:rPr>
          <w:noProof/>
          <w:lang w:val="en-IE"/>
        </w:rPr>
        <w:t xml:space="preserve">agriculture, but </w:t>
      </w:r>
      <w:r w:rsidR="00433065">
        <w:rPr>
          <w:noProof/>
          <w:lang w:val="en-IE"/>
        </w:rPr>
        <w:t>reducing</w:t>
      </w:r>
      <w:r w:rsidR="00F320B0">
        <w:rPr>
          <w:noProof/>
          <w:lang w:val="en-IE"/>
        </w:rPr>
        <w:t xml:space="preserve"> food loss and food waste, diet</w:t>
      </w:r>
      <w:r w:rsidR="00433065">
        <w:rPr>
          <w:noProof/>
          <w:lang w:val="en-IE"/>
        </w:rPr>
        <w:t>ary</w:t>
      </w:r>
      <w:r w:rsidR="00F320B0">
        <w:rPr>
          <w:noProof/>
          <w:lang w:val="en-IE"/>
        </w:rPr>
        <w:t xml:space="preserve"> shifts away from animal protein</w:t>
      </w:r>
      <w:r w:rsidR="001B6EE0">
        <w:rPr>
          <w:noProof/>
          <w:lang w:val="en-IE"/>
        </w:rPr>
        <w:t xml:space="preserve"> and </w:t>
      </w:r>
      <w:r w:rsidR="00433065">
        <w:rPr>
          <w:noProof/>
          <w:lang w:val="en-IE"/>
        </w:rPr>
        <w:t xml:space="preserve">use of </w:t>
      </w:r>
      <w:r w:rsidR="001B6EE0">
        <w:rPr>
          <w:noProof/>
          <w:lang w:val="en-IE"/>
        </w:rPr>
        <w:t>land resources for nature-based mitigation solutions is unavoidable</w:t>
      </w:r>
      <w:r w:rsidR="001B6EE0" w:rsidRPr="001B6EE0">
        <w:rPr>
          <w:noProof/>
          <w:lang w:val="en-IE"/>
        </w:rPr>
        <w:t> </w:t>
      </w:r>
      <w:r w:rsidR="00A06CE4">
        <w:rPr>
          <w:noProof/>
          <w:lang w:val="en-IE"/>
        </w:rPr>
        <w:t xml:space="preserve">to get to climate neutrality </w:t>
      </w:r>
      <w:r w:rsidR="001B6EE0" w:rsidRPr="001B6EE0">
        <w:rPr>
          <w:noProof/>
          <w:lang w:val="en-IE"/>
        </w:rPr>
        <w:t>(</w:t>
      </w:r>
      <w:r w:rsidR="001B6EE0">
        <w:rPr>
          <w:rStyle w:val="FootnoteReference"/>
          <w:noProof/>
          <w:lang w:val="en-IE"/>
        </w:rPr>
        <w:footnoteReference w:id="147"/>
      </w:r>
      <w:r w:rsidR="001B6EE0">
        <w:rPr>
          <w:noProof/>
          <w:lang w:val="en-IE"/>
        </w:rPr>
        <w:t xml:space="preserve">). </w:t>
      </w:r>
      <w:r w:rsidR="00CC6734">
        <w:rPr>
          <w:noProof/>
          <w:lang w:val="en-IE"/>
        </w:rPr>
        <w:t xml:space="preserve"> </w:t>
      </w:r>
    </w:p>
    <w:p w14:paraId="383DA131" w14:textId="52EF535F" w:rsidR="00E9774C" w:rsidRPr="00680783" w:rsidRDefault="00E9774C" w:rsidP="00F7719F">
      <w:pPr>
        <w:pStyle w:val="Heading4"/>
        <w:rPr>
          <w:noProof/>
        </w:rPr>
      </w:pPr>
      <w:r>
        <w:rPr>
          <w:noProof/>
        </w:rPr>
        <w:t>Sustainable Agriculture and bioeconomy</w:t>
      </w:r>
    </w:p>
    <w:p w14:paraId="5E4D9404" w14:textId="0F8DC29D" w:rsidR="009132BF" w:rsidRDefault="001B6EE0" w:rsidP="001B6EE0">
      <w:pPr>
        <w:rPr>
          <w:noProof/>
          <w:lang w:val="en-IE"/>
        </w:rPr>
      </w:pPr>
      <w:r>
        <w:rPr>
          <w:noProof/>
          <w:lang w:val="en-IE"/>
        </w:rPr>
        <w:t xml:space="preserve">A living and functioning environment is vital for a functioning and resilient food system. Agriculture </w:t>
      </w:r>
      <w:r w:rsidR="008B64A6">
        <w:rPr>
          <w:noProof/>
          <w:lang w:val="en-IE"/>
        </w:rPr>
        <w:t>needs</w:t>
      </w:r>
      <w:r>
        <w:rPr>
          <w:noProof/>
          <w:lang w:val="en-IE"/>
        </w:rPr>
        <w:t xml:space="preserve"> pollinators, healthy soils and functioning ecosystems. </w:t>
      </w:r>
      <w:r w:rsidR="008B64A6">
        <w:rPr>
          <w:noProof/>
          <w:lang w:val="en-IE"/>
        </w:rPr>
        <w:t>A</w:t>
      </w:r>
      <w:r>
        <w:rPr>
          <w:noProof/>
          <w:lang w:val="en-IE"/>
        </w:rPr>
        <w:t xml:space="preserve"> more sustainable agricultural production will increase resilience </w:t>
      </w:r>
      <w:r w:rsidR="00B72656">
        <w:rPr>
          <w:noProof/>
          <w:lang w:val="en-IE"/>
        </w:rPr>
        <w:t>and protect the food system in the long term. But s</w:t>
      </w:r>
      <w:r>
        <w:rPr>
          <w:noProof/>
          <w:lang w:val="en-IE"/>
        </w:rPr>
        <w:t>ustainable agricultural practices may reduce agricultural intensity and agricultural output</w:t>
      </w:r>
      <w:r w:rsidR="00B72656">
        <w:rPr>
          <w:noProof/>
          <w:lang w:val="en-IE"/>
        </w:rPr>
        <w:t xml:space="preserve">, which in turn may affect economic income in the sector. It is therefore important to </w:t>
      </w:r>
      <w:r w:rsidR="008B64A6">
        <w:rPr>
          <w:noProof/>
          <w:lang w:val="en-IE"/>
        </w:rPr>
        <w:t xml:space="preserve">ensure adequate support and </w:t>
      </w:r>
      <w:r w:rsidR="00B72656">
        <w:rPr>
          <w:noProof/>
          <w:lang w:val="en-IE"/>
        </w:rPr>
        <w:t>discus</w:t>
      </w:r>
      <w:r w:rsidR="008B64A6">
        <w:rPr>
          <w:noProof/>
          <w:lang w:val="en-IE"/>
        </w:rPr>
        <w:t>s</w:t>
      </w:r>
      <w:r>
        <w:rPr>
          <w:noProof/>
          <w:lang w:val="en-IE"/>
        </w:rPr>
        <w:t xml:space="preserve"> new business models</w:t>
      </w:r>
      <w:r w:rsidR="008B64A6">
        <w:rPr>
          <w:noProof/>
          <w:lang w:val="en-IE"/>
        </w:rPr>
        <w:t>,</w:t>
      </w:r>
      <w:r>
        <w:rPr>
          <w:noProof/>
          <w:lang w:val="en-IE"/>
        </w:rPr>
        <w:t xml:space="preserve"> such as </w:t>
      </w:r>
      <w:r w:rsidR="00B72656">
        <w:rPr>
          <w:noProof/>
          <w:lang w:val="en-IE"/>
        </w:rPr>
        <w:t xml:space="preserve">the </w:t>
      </w:r>
      <w:r>
        <w:rPr>
          <w:noProof/>
          <w:lang w:val="en-IE"/>
        </w:rPr>
        <w:t>provision of biogenic carbon as industrial feedstock and</w:t>
      </w:r>
      <w:r w:rsidR="00B72656">
        <w:rPr>
          <w:noProof/>
          <w:lang w:val="en-IE"/>
        </w:rPr>
        <w:t xml:space="preserve"> the</w:t>
      </w:r>
      <w:r>
        <w:rPr>
          <w:noProof/>
          <w:lang w:val="en-IE"/>
        </w:rPr>
        <w:t xml:space="preserve"> </w:t>
      </w:r>
      <w:r w:rsidRPr="001B6EE0">
        <w:rPr>
          <w:noProof/>
          <w:lang w:val="en-IE"/>
        </w:rPr>
        <w:t>remuneration of ecosystem services</w:t>
      </w:r>
      <w:r w:rsidR="00B72656">
        <w:rPr>
          <w:noProof/>
          <w:lang w:val="en-IE"/>
        </w:rPr>
        <w:t xml:space="preserve"> as </w:t>
      </w:r>
      <w:r w:rsidR="008B64A6">
        <w:rPr>
          <w:noProof/>
          <w:lang w:val="en-IE"/>
        </w:rPr>
        <w:t>additional</w:t>
      </w:r>
      <w:r w:rsidR="00B72656">
        <w:rPr>
          <w:noProof/>
          <w:lang w:val="en-IE"/>
        </w:rPr>
        <w:t xml:space="preserve"> income opportunities for European farmers (see Annex 9 for more details). </w:t>
      </w:r>
    </w:p>
    <w:p w14:paraId="2B1C73A8" w14:textId="1E0DFB62" w:rsidR="007A6959" w:rsidRDefault="007A6959" w:rsidP="007A6959">
      <w:pPr>
        <w:pStyle w:val="Heading3"/>
        <w:rPr>
          <w:noProof/>
          <w:lang w:val="en-IE"/>
        </w:rPr>
      </w:pPr>
      <w:bookmarkStart w:id="419" w:name="_Ref146637045"/>
      <w:bookmarkStart w:id="420" w:name="_Toc148605617"/>
      <w:bookmarkStart w:id="421" w:name="_Ref151826660"/>
      <w:bookmarkStart w:id="422" w:name="_Toc157692063"/>
      <w:r>
        <w:rPr>
          <w:noProof/>
          <w:lang w:val="en-IE"/>
        </w:rPr>
        <w:t xml:space="preserve">Evolution of emissions without </w:t>
      </w:r>
      <w:r w:rsidR="00E811C3">
        <w:rPr>
          <w:noProof/>
          <w:lang w:val="en-IE"/>
        </w:rPr>
        <w:t xml:space="preserve">additional </w:t>
      </w:r>
      <w:r>
        <w:rPr>
          <w:noProof/>
          <w:lang w:val="en-IE"/>
        </w:rPr>
        <w:t>mitigat</w:t>
      </w:r>
      <w:r w:rsidR="00112A15">
        <w:rPr>
          <w:noProof/>
          <w:lang w:val="en-IE"/>
        </w:rPr>
        <w:t>i</w:t>
      </w:r>
      <w:r>
        <w:rPr>
          <w:noProof/>
          <w:lang w:val="en-IE"/>
        </w:rPr>
        <w:t>on</w:t>
      </w:r>
      <w:bookmarkEnd w:id="419"/>
      <w:bookmarkEnd w:id="420"/>
      <w:r w:rsidR="00E811C3">
        <w:rPr>
          <w:noProof/>
          <w:lang w:val="en-IE"/>
        </w:rPr>
        <w:t xml:space="preserve"> measures</w:t>
      </w:r>
      <w:bookmarkEnd w:id="421"/>
      <w:bookmarkEnd w:id="422"/>
    </w:p>
    <w:p w14:paraId="0BE260DC" w14:textId="43A6AE73" w:rsidR="0079601A" w:rsidRDefault="00D80262" w:rsidP="007A6959">
      <w:pPr>
        <w:pStyle w:val="Heading4"/>
        <w:rPr>
          <w:noProof/>
        </w:rPr>
      </w:pPr>
      <w:bookmarkStart w:id="423" w:name="_Hlk146028818"/>
      <w:r>
        <w:rPr>
          <w:noProof/>
        </w:rPr>
        <w:t>S1, S2 and S3 scenarios</w:t>
      </w:r>
      <w:r w:rsidR="00DE1ABB" w:rsidRPr="00DE1ABB">
        <w:rPr>
          <w:noProof/>
        </w:rPr>
        <w:t xml:space="preserve"> </w:t>
      </w:r>
    </w:p>
    <w:p w14:paraId="6E8EF88D" w14:textId="26DC481E" w:rsidR="00AC6E03" w:rsidRDefault="00165F4C" w:rsidP="00D145E1">
      <w:pPr>
        <w:rPr>
          <w:noProof/>
          <w:lang w:val="en-IE"/>
        </w:rPr>
      </w:pPr>
      <w:r w:rsidRPr="00165F4C">
        <w:rPr>
          <w:noProof/>
          <w:lang w:val="en-IE"/>
        </w:rPr>
        <w:t xml:space="preserve">In </w:t>
      </w:r>
      <w:r w:rsidR="00745159" w:rsidRPr="00745159">
        <w:rPr>
          <w:noProof/>
          <w:lang w:val="en-IE"/>
        </w:rPr>
        <w:t>this impact assessment</w:t>
      </w:r>
      <w:r w:rsidRPr="00165F4C">
        <w:rPr>
          <w:noProof/>
          <w:lang w:val="en-IE"/>
        </w:rPr>
        <w:t>, the concept of “</w:t>
      </w:r>
      <w:r w:rsidR="00470A31">
        <w:rPr>
          <w:noProof/>
          <w:lang w:val="en-IE"/>
        </w:rPr>
        <w:t>emissions without additional mitigation”</w:t>
      </w:r>
      <w:r w:rsidRPr="00165F4C">
        <w:rPr>
          <w:noProof/>
          <w:lang w:val="en-IE"/>
        </w:rPr>
        <w:t xml:space="preserve"> </w:t>
      </w:r>
      <w:r w:rsidR="00745159" w:rsidRPr="00745159">
        <w:rPr>
          <w:noProof/>
          <w:lang w:val="en-IE"/>
        </w:rPr>
        <w:t xml:space="preserve">in the agriculture sector </w:t>
      </w:r>
      <w:r w:rsidRPr="00165F4C">
        <w:rPr>
          <w:noProof/>
          <w:lang w:val="en-IE"/>
        </w:rPr>
        <w:t xml:space="preserve">refers to the emissions trajectory resulting from </w:t>
      </w:r>
      <w:r w:rsidR="00470A31" w:rsidRPr="00470A31">
        <w:rPr>
          <w:noProof/>
          <w:lang w:val="en-IE"/>
        </w:rPr>
        <w:t xml:space="preserve">applying a carbon value equal to zero to non-CO2 GHG emissions up to 2050. Thus, this emissions trajectory results solely from </w:t>
      </w:r>
      <w:r w:rsidRPr="00165F4C">
        <w:rPr>
          <w:noProof/>
          <w:lang w:val="en-IE"/>
        </w:rPr>
        <w:t>the combination of two main types of drivers for emissions reductions: a) agriculture policy as reflected in the EU Agricultural Outlook 2022</w:t>
      </w:r>
      <w:r>
        <w:rPr>
          <w:noProof/>
          <w:lang w:val="en-IE"/>
        </w:rPr>
        <w:t xml:space="preserve"> </w:t>
      </w:r>
      <w:r w:rsidRPr="000354EB">
        <w:rPr>
          <w:noProof/>
          <w:lang w:val="en-IE"/>
        </w:rPr>
        <w:t>(</w:t>
      </w:r>
      <w:r>
        <w:rPr>
          <w:rStyle w:val="FootnoteReference"/>
          <w:noProof/>
          <w:lang w:val="en-IE"/>
        </w:rPr>
        <w:footnoteReference w:id="148"/>
      </w:r>
      <w:r>
        <w:rPr>
          <w:noProof/>
          <w:lang w:val="en-IE"/>
        </w:rPr>
        <w:t>)</w:t>
      </w:r>
      <w:r w:rsidRPr="00165F4C">
        <w:rPr>
          <w:noProof/>
          <w:lang w:val="en-IE"/>
        </w:rPr>
        <w:t xml:space="preserve">; and b) relevant existing and proposed legislation, particularly the proposal for a revised Industrial Emissions Directive </w:t>
      </w:r>
      <w:r w:rsidRPr="000354EB">
        <w:rPr>
          <w:noProof/>
          <w:lang w:val="en-IE"/>
        </w:rPr>
        <w:t>(</w:t>
      </w:r>
      <w:r>
        <w:rPr>
          <w:rStyle w:val="FootnoteReference"/>
          <w:noProof/>
          <w:lang w:val="en-IE"/>
        </w:rPr>
        <w:footnoteReference w:id="149"/>
      </w:r>
      <w:r>
        <w:rPr>
          <w:noProof/>
          <w:lang w:val="en-IE"/>
        </w:rPr>
        <w:t>)</w:t>
      </w:r>
      <w:r w:rsidR="009B2677">
        <w:rPr>
          <w:noProof/>
          <w:lang w:val="en-IE"/>
        </w:rPr>
        <w:t xml:space="preserve"> (see Annex</w:t>
      </w:r>
      <w:r w:rsidR="00996BCF">
        <w:rPr>
          <w:noProof/>
          <w:lang w:val="en-IE"/>
        </w:rPr>
        <w:t xml:space="preserve"> 1</w:t>
      </w:r>
      <w:r w:rsidR="00687524">
        <w:rPr>
          <w:noProof/>
          <w:lang w:val="en-IE"/>
        </w:rPr>
        <w:t>1</w:t>
      </w:r>
      <w:r w:rsidR="00996BCF">
        <w:rPr>
          <w:noProof/>
          <w:lang w:val="en-IE"/>
        </w:rPr>
        <w:t>)</w:t>
      </w:r>
      <w:r w:rsidR="00D145E1">
        <w:rPr>
          <w:noProof/>
          <w:lang w:val="en-IE"/>
        </w:rPr>
        <w:t>.</w:t>
      </w:r>
      <w:r w:rsidR="00D145E1" w:rsidDel="00074F19">
        <w:rPr>
          <w:noProof/>
          <w:lang w:val="en-IE"/>
        </w:rPr>
        <w:t xml:space="preserve"> </w:t>
      </w:r>
      <w:r w:rsidR="00074F19">
        <w:rPr>
          <w:noProof/>
          <w:lang w:val="en-IE"/>
        </w:rPr>
        <w:t>T</w:t>
      </w:r>
      <w:r w:rsidR="00D145E1">
        <w:rPr>
          <w:noProof/>
          <w:lang w:val="en-IE"/>
        </w:rPr>
        <w:t xml:space="preserve">he </w:t>
      </w:r>
      <w:r w:rsidR="000D5C58">
        <w:rPr>
          <w:noProof/>
          <w:lang w:val="en-IE"/>
        </w:rPr>
        <w:t xml:space="preserve">“emissions without additional mitigation” </w:t>
      </w:r>
      <w:r w:rsidR="00D145E1">
        <w:rPr>
          <w:noProof/>
          <w:lang w:val="en-IE"/>
        </w:rPr>
        <w:t xml:space="preserve">do not </w:t>
      </w:r>
      <w:r w:rsidR="000D5C58">
        <w:rPr>
          <w:noProof/>
          <w:lang w:val="en-IE"/>
        </w:rPr>
        <w:t>consider</w:t>
      </w:r>
      <w:r w:rsidR="00D145E1">
        <w:rPr>
          <w:noProof/>
          <w:lang w:val="en-IE"/>
        </w:rPr>
        <w:t xml:space="preserve"> any </w:t>
      </w:r>
      <w:r w:rsidR="000D5C58">
        <w:rPr>
          <w:noProof/>
          <w:lang w:val="en-IE"/>
        </w:rPr>
        <w:t xml:space="preserve">other </w:t>
      </w:r>
      <w:r w:rsidR="00D145E1">
        <w:rPr>
          <w:noProof/>
          <w:lang w:val="en-IE"/>
        </w:rPr>
        <w:t xml:space="preserve">policies that would enable </w:t>
      </w:r>
      <w:r w:rsidR="00084718">
        <w:rPr>
          <w:noProof/>
          <w:lang w:val="en-IE"/>
        </w:rPr>
        <w:t xml:space="preserve">the implementation of </w:t>
      </w:r>
      <w:r w:rsidR="00B37A8E">
        <w:rPr>
          <w:noProof/>
          <w:lang w:val="en-IE"/>
        </w:rPr>
        <w:t xml:space="preserve">extra </w:t>
      </w:r>
      <w:r w:rsidR="00D145E1">
        <w:rPr>
          <w:noProof/>
          <w:lang w:val="en-IE"/>
        </w:rPr>
        <w:t xml:space="preserve">practices and technologies. </w:t>
      </w:r>
    </w:p>
    <w:p w14:paraId="73B20E86" w14:textId="14509630" w:rsidR="00D145E1" w:rsidRDefault="00E71E9E" w:rsidP="00D145E1">
      <w:pPr>
        <w:rPr>
          <w:noProof/>
          <w:lang w:val="en-IE"/>
        </w:rPr>
      </w:pPr>
      <w:r w:rsidRPr="00E71E9E">
        <w:rPr>
          <w:noProof/>
          <w:lang w:val="en-IE"/>
        </w:rPr>
        <w:t>In the S1, S2 and S3 scenarios, t</w:t>
      </w:r>
      <w:r w:rsidR="002073DA">
        <w:rPr>
          <w:noProof/>
          <w:lang w:val="en-IE"/>
        </w:rPr>
        <w:t xml:space="preserve">he </w:t>
      </w:r>
      <w:r w:rsidR="008C63A1" w:rsidRPr="008C63A1">
        <w:rPr>
          <w:noProof/>
          <w:lang w:val="en-IE"/>
        </w:rPr>
        <w:t xml:space="preserve">GHG emissions </w:t>
      </w:r>
      <w:r w:rsidR="002073DA">
        <w:rPr>
          <w:noProof/>
          <w:lang w:val="en-IE"/>
        </w:rPr>
        <w:t xml:space="preserve">without additional mitigation </w:t>
      </w:r>
      <w:r w:rsidR="0090227A">
        <w:rPr>
          <w:noProof/>
          <w:lang w:val="en-IE"/>
        </w:rPr>
        <w:t>from</w:t>
      </w:r>
      <w:r w:rsidR="008C63A1" w:rsidRPr="008C63A1">
        <w:rPr>
          <w:noProof/>
          <w:lang w:val="en-IE"/>
        </w:rPr>
        <w:t xml:space="preserve"> the agriculture sector are </w:t>
      </w:r>
      <w:r w:rsidR="006B542C" w:rsidRPr="006B542C">
        <w:rPr>
          <w:noProof/>
          <w:lang w:val="en-IE"/>
        </w:rPr>
        <w:t>3</w:t>
      </w:r>
      <w:r w:rsidR="001A6D00">
        <w:rPr>
          <w:noProof/>
          <w:lang w:val="en-IE"/>
        </w:rPr>
        <w:t>5</w:t>
      </w:r>
      <w:r w:rsidR="006B542C" w:rsidRPr="006B542C">
        <w:rPr>
          <w:noProof/>
          <w:lang w:val="en-IE"/>
        </w:rPr>
        <w:t>1</w:t>
      </w:r>
      <w:r w:rsidR="008C63A1" w:rsidRPr="008C63A1">
        <w:rPr>
          <w:noProof/>
          <w:lang w:val="en-IE"/>
        </w:rPr>
        <w:t xml:space="preserve"> MtCO2-eq in 2040 </w:t>
      </w:r>
      <w:r w:rsidR="0090227A">
        <w:rPr>
          <w:noProof/>
          <w:lang w:val="en-IE"/>
        </w:rPr>
        <w:t>and 3</w:t>
      </w:r>
      <w:r w:rsidR="001A6D00">
        <w:rPr>
          <w:noProof/>
          <w:lang w:val="en-IE"/>
        </w:rPr>
        <w:t>4</w:t>
      </w:r>
      <w:r w:rsidR="0090227A">
        <w:rPr>
          <w:noProof/>
          <w:lang w:val="en-IE"/>
        </w:rPr>
        <w:t xml:space="preserve">7 MtCO2-eq in 2050 </w:t>
      </w:r>
      <w:r w:rsidR="008C63A1" w:rsidRPr="008C63A1">
        <w:rPr>
          <w:noProof/>
          <w:lang w:val="en-IE"/>
        </w:rPr>
        <w:t xml:space="preserve">(including all greenhouse gases), which </w:t>
      </w:r>
      <w:r w:rsidR="006B542C" w:rsidRPr="006B542C">
        <w:rPr>
          <w:noProof/>
          <w:lang w:val="en-IE"/>
        </w:rPr>
        <w:t>implies</w:t>
      </w:r>
      <w:r w:rsidR="008C63A1" w:rsidRPr="008C63A1">
        <w:rPr>
          <w:noProof/>
          <w:lang w:val="en-IE"/>
        </w:rPr>
        <w:t xml:space="preserve"> a </w:t>
      </w:r>
      <w:r w:rsidR="006B542C" w:rsidRPr="006B542C">
        <w:rPr>
          <w:noProof/>
          <w:lang w:val="en-IE"/>
        </w:rPr>
        <w:t>9</w:t>
      </w:r>
      <w:r w:rsidR="00D145E1">
        <w:rPr>
          <w:noProof/>
          <w:lang w:val="en-IE"/>
        </w:rPr>
        <w:t xml:space="preserve">% </w:t>
      </w:r>
      <w:r w:rsidR="008C63A1" w:rsidRPr="008C63A1">
        <w:rPr>
          <w:noProof/>
          <w:lang w:val="en-IE"/>
        </w:rPr>
        <w:t xml:space="preserve">reduction </w:t>
      </w:r>
      <w:r w:rsidR="0090227A">
        <w:rPr>
          <w:noProof/>
          <w:lang w:val="en-IE"/>
        </w:rPr>
        <w:t xml:space="preserve">by 2040 and a 10% reduction by 2050 </w:t>
      </w:r>
      <w:r w:rsidR="001D28E9">
        <w:rPr>
          <w:noProof/>
          <w:lang w:val="en-IE"/>
        </w:rPr>
        <w:t>relative</w:t>
      </w:r>
      <w:r w:rsidR="008C63A1" w:rsidRPr="008C63A1">
        <w:rPr>
          <w:noProof/>
          <w:lang w:val="en-IE"/>
        </w:rPr>
        <w:t xml:space="preserve"> to </w:t>
      </w:r>
      <w:r w:rsidR="00D145E1">
        <w:rPr>
          <w:noProof/>
          <w:lang w:val="en-IE"/>
        </w:rPr>
        <w:t>2015</w:t>
      </w:r>
      <w:r w:rsidR="008C63A1" w:rsidRPr="008C63A1">
        <w:rPr>
          <w:noProof/>
          <w:lang w:val="en-IE"/>
        </w:rPr>
        <w:t xml:space="preserve"> levels</w:t>
      </w:r>
      <w:r w:rsidR="00951E2B">
        <w:rPr>
          <w:noProof/>
          <w:lang w:val="en-IE"/>
        </w:rPr>
        <w:t xml:space="preserve"> (see </w:t>
      </w:r>
      <w:r w:rsidR="00951E2B" w:rsidRPr="005948CC">
        <w:rPr>
          <w:noProof/>
          <w:lang w:val="en-IE"/>
        </w:rPr>
        <w:fldChar w:fldCharType="begin"/>
      </w:r>
      <w:r w:rsidR="00951E2B" w:rsidRPr="00951E2B">
        <w:rPr>
          <w:noProof/>
          <w:highlight w:val="yellow"/>
          <w:lang w:val="en-IE"/>
        </w:rPr>
        <w:instrText xml:space="preserve"> REF _Ref141948371 \h </w:instrText>
      </w:r>
      <w:r w:rsidR="00951E2B">
        <w:rPr>
          <w:noProof/>
          <w:highlight w:val="yellow"/>
          <w:lang w:val="en-IE"/>
        </w:rPr>
        <w:instrText xml:space="preserve"> \* MERGEFORMAT </w:instrText>
      </w:r>
      <w:r w:rsidR="00951E2B" w:rsidRPr="005948CC">
        <w:rPr>
          <w:noProof/>
          <w:lang w:val="en-IE"/>
        </w:rPr>
      </w:r>
      <w:r w:rsidR="00951E2B" w:rsidRPr="005948CC">
        <w:rPr>
          <w:noProof/>
          <w:lang w:val="en-IE"/>
        </w:rPr>
        <w:fldChar w:fldCharType="separate"/>
      </w:r>
      <w:r w:rsidR="00170A3C">
        <w:rPr>
          <w:noProof/>
        </w:rPr>
        <w:t>Table 14</w:t>
      </w:r>
      <w:r w:rsidR="00951E2B" w:rsidRPr="005948CC">
        <w:rPr>
          <w:noProof/>
          <w:lang w:val="en-IE"/>
        </w:rPr>
        <w:fldChar w:fldCharType="end"/>
      </w:r>
      <w:r w:rsidR="00951E2B">
        <w:rPr>
          <w:noProof/>
          <w:lang w:val="en-IE"/>
        </w:rPr>
        <w:t>)</w:t>
      </w:r>
      <w:r w:rsidR="00D145E1">
        <w:rPr>
          <w:noProof/>
          <w:lang w:val="en-IE"/>
        </w:rPr>
        <w:t>.</w:t>
      </w:r>
      <w:r w:rsidR="00410811">
        <w:rPr>
          <w:noProof/>
          <w:lang w:val="en-IE"/>
        </w:rPr>
        <w:t xml:space="preserve"> </w:t>
      </w:r>
      <w:r w:rsidR="00063C8F">
        <w:rPr>
          <w:noProof/>
          <w:lang w:val="en-IE"/>
        </w:rPr>
        <w:t>It should be noted that, i</w:t>
      </w:r>
      <w:r w:rsidR="00D145E1">
        <w:rPr>
          <w:noProof/>
          <w:lang w:val="en-IE"/>
        </w:rPr>
        <w:t>n all scenarios</w:t>
      </w:r>
      <w:r w:rsidR="00A76494">
        <w:rPr>
          <w:noProof/>
          <w:lang w:val="en-IE"/>
        </w:rPr>
        <w:t>,</w:t>
      </w:r>
      <w:r w:rsidR="00D145E1">
        <w:rPr>
          <w:noProof/>
          <w:lang w:val="en-IE"/>
        </w:rPr>
        <w:t xml:space="preserve"> there </w:t>
      </w:r>
      <w:r w:rsidR="0007561D">
        <w:rPr>
          <w:noProof/>
          <w:lang w:val="en-IE"/>
        </w:rPr>
        <w:t>exists</w:t>
      </w:r>
      <w:r w:rsidR="00D145E1">
        <w:rPr>
          <w:noProof/>
          <w:lang w:val="en-IE"/>
        </w:rPr>
        <w:t xml:space="preserve"> significant </w:t>
      </w:r>
      <w:r w:rsidR="00882C0B">
        <w:rPr>
          <w:noProof/>
          <w:lang w:val="en-IE"/>
        </w:rPr>
        <w:t xml:space="preserve">additional </w:t>
      </w:r>
      <w:r w:rsidR="00D145E1">
        <w:rPr>
          <w:noProof/>
          <w:lang w:val="en-IE"/>
        </w:rPr>
        <w:t xml:space="preserve">mitigation potential through different practices and technological solutions. This additional mitigation potential is discussed in </w:t>
      </w:r>
      <w:r w:rsidR="00D145E1" w:rsidRPr="005948CC">
        <w:rPr>
          <w:noProof/>
          <w:lang w:val="en-IE"/>
        </w:rPr>
        <w:t xml:space="preserve">Section </w:t>
      </w:r>
      <w:r w:rsidR="00410811" w:rsidRPr="005948CC">
        <w:rPr>
          <w:noProof/>
          <w:lang w:val="en-IE"/>
        </w:rPr>
        <w:fldChar w:fldCharType="begin"/>
      </w:r>
      <w:r w:rsidR="00410811" w:rsidRPr="005948CC">
        <w:rPr>
          <w:noProof/>
          <w:lang w:val="en-IE"/>
        </w:rPr>
        <w:instrText xml:space="preserve"> REF _Ref145610094 \r \h  \* MERGEFORMAT </w:instrText>
      </w:r>
      <w:r w:rsidR="00410811" w:rsidRPr="005948CC">
        <w:rPr>
          <w:noProof/>
          <w:lang w:val="en-IE"/>
        </w:rPr>
      </w:r>
      <w:r w:rsidR="00410811" w:rsidRPr="005948CC">
        <w:rPr>
          <w:noProof/>
          <w:lang w:val="en-IE"/>
        </w:rPr>
        <w:fldChar w:fldCharType="separate"/>
      </w:r>
      <w:r w:rsidR="00170A3C">
        <w:rPr>
          <w:noProof/>
          <w:lang w:val="en-IE"/>
        </w:rPr>
        <w:t>1.7.4</w:t>
      </w:r>
      <w:r w:rsidR="00410811" w:rsidRPr="005948CC">
        <w:rPr>
          <w:noProof/>
          <w:lang w:val="en-IE"/>
        </w:rPr>
        <w:fldChar w:fldCharType="end"/>
      </w:r>
      <w:r w:rsidR="00D145E1">
        <w:rPr>
          <w:noProof/>
          <w:lang w:val="en-IE"/>
        </w:rPr>
        <w:t xml:space="preserve">. </w:t>
      </w:r>
    </w:p>
    <w:p w14:paraId="702951F8" w14:textId="3940A676" w:rsidR="00583AF8" w:rsidRDefault="00583AF8" w:rsidP="00FC02C0">
      <w:pPr>
        <w:pStyle w:val="Caption"/>
        <w:rPr>
          <w:noProof/>
          <w:lang w:val="en-IE"/>
        </w:rPr>
      </w:pPr>
      <w:bookmarkStart w:id="424" w:name="_Ref141948371"/>
      <w:bookmarkStart w:id="425" w:name="_Ref141948353"/>
      <w:bookmarkStart w:id="426" w:name="_Toc157679897"/>
      <w:r>
        <w:rPr>
          <w:noProof/>
        </w:rPr>
        <w:t xml:space="preserve">Table </w:t>
      </w:r>
      <w:r>
        <w:rPr>
          <w:noProof/>
        </w:rPr>
        <w:fldChar w:fldCharType="begin"/>
      </w:r>
      <w:r>
        <w:rPr>
          <w:noProof/>
        </w:rPr>
        <w:instrText>SEQ Table \* ARABIC</w:instrText>
      </w:r>
      <w:r>
        <w:rPr>
          <w:noProof/>
        </w:rPr>
        <w:fldChar w:fldCharType="separate"/>
      </w:r>
      <w:r w:rsidR="00170A3C">
        <w:rPr>
          <w:noProof/>
        </w:rPr>
        <w:t>14</w:t>
      </w:r>
      <w:r>
        <w:rPr>
          <w:noProof/>
        </w:rPr>
        <w:fldChar w:fldCharType="end"/>
      </w:r>
      <w:bookmarkEnd w:id="424"/>
      <w:r>
        <w:rPr>
          <w:noProof/>
        </w:rPr>
        <w:t xml:space="preserve">: </w:t>
      </w:r>
      <w:r w:rsidRPr="00583AF8">
        <w:rPr>
          <w:noProof/>
        </w:rPr>
        <w:t xml:space="preserve">GHG emissions </w:t>
      </w:r>
      <w:r>
        <w:rPr>
          <w:noProof/>
        </w:rPr>
        <w:t xml:space="preserve">in agriculture </w:t>
      </w:r>
      <w:bookmarkEnd w:id="425"/>
      <w:r w:rsidR="00A77783">
        <w:rPr>
          <w:noProof/>
        </w:rPr>
        <w:t>without additional mitigation</w:t>
      </w:r>
      <w:r w:rsidR="00E96ECC">
        <w:rPr>
          <w:noProof/>
        </w:rPr>
        <w:t xml:space="preserve"> in S1,</w:t>
      </w:r>
      <w:r w:rsidR="006048E1">
        <w:rPr>
          <w:noProof/>
        </w:rPr>
        <w:t xml:space="preserve"> </w:t>
      </w:r>
      <w:r w:rsidR="00E96ECC">
        <w:rPr>
          <w:noProof/>
        </w:rPr>
        <w:t>S2,</w:t>
      </w:r>
      <w:r w:rsidR="006048E1">
        <w:rPr>
          <w:noProof/>
        </w:rPr>
        <w:t xml:space="preserve"> </w:t>
      </w:r>
      <w:r w:rsidR="00E96ECC">
        <w:rPr>
          <w:noProof/>
        </w:rPr>
        <w:t>S3</w:t>
      </w:r>
      <w:bookmarkEnd w:id="426"/>
    </w:p>
    <w:tbl>
      <w:tblPr>
        <w:tblW w:w="5000" w:type="pct"/>
        <w:tblLook w:val="04A0" w:firstRow="1" w:lastRow="0" w:firstColumn="1" w:lastColumn="0" w:noHBand="0" w:noVBand="1"/>
      </w:tblPr>
      <w:tblGrid>
        <w:gridCol w:w="1709"/>
        <w:gridCol w:w="891"/>
        <w:gridCol w:w="891"/>
        <w:gridCol w:w="891"/>
        <w:gridCol w:w="890"/>
        <w:gridCol w:w="890"/>
        <w:gridCol w:w="890"/>
        <w:gridCol w:w="890"/>
        <w:gridCol w:w="892"/>
      </w:tblGrid>
      <w:tr w:rsidR="001B683A" w:rsidRPr="0091475D" w14:paraId="5C315C76" w14:textId="77777777" w:rsidTr="006C245F">
        <w:trPr>
          <w:trHeight w:val="278"/>
        </w:trPr>
        <w:tc>
          <w:tcPr>
            <w:tcW w:w="967" w:type="pct"/>
            <w:tcBorders>
              <w:bottom w:val="single" w:sz="12" w:space="0" w:color="auto"/>
            </w:tcBorders>
            <w:noWrap/>
            <w:vAlign w:val="center"/>
          </w:tcPr>
          <w:p w14:paraId="1CB4D8AF" w14:textId="77777777" w:rsidR="001B683A" w:rsidRPr="0091475D" w:rsidRDefault="001B683A" w:rsidP="006C245F">
            <w:pPr>
              <w:keepNext/>
              <w:spacing w:after="0"/>
              <w:jc w:val="left"/>
              <w:rPr>
                <w:rFonts w:ascii="EC Square Sans Cond Pro" w:hAnsi="EC Square Sans Cond Pro"/>
                <w:noProof/>
                <w:sz w:val="18"/>
                <w:szCs w:val="18"/>
                <w:lang w:val="en-IE"/>
              </w:rPr>
            </w:pPr>
          </w:p>
        </w:tc>
        <w:tc>
          <w:tcPr>
            <w:tcW w:w="2520" w:type="pct"/>
            <w:gridSpan w:val="5"/>
            <w:tcBorders>
              <w:bottom w:val="single" w:sz="12" w:space="0" w:color="auto"/>
            </w:tcBorders>
          </w:tcPr>
          <w:p w14:paraId="60E97070" w14:textId="7848ABBF" w:rsidR="001B683A" w:rsidRPr="0091475D" w:rsidRDefault="00F30959" w:rsidP="006C245F">
            <w:pPr>
              <w:keepNext/>
              <w:spacing w:after="0"/>
              <w:jc w:val="center"/>
              <w:rPr>
                <w:rFonts w:ascii="EC Square Sans Cond Pro" w:hAnsi="EC Square Sans Cond Pro" w:cs="Avenir Next LT Pro"/>
                <w:b/>
                <w:noProof/>
                <w:sz w:val="18"/>
                <w:szCs w:val="18"/>
                <w:lang w:val="en-IE"/>
              </w:rPr>
            </w:pPr>
            <w:r>
              <w:rPr>
                <w:rFonts w:ascii="EC Square Sans Cond Pro" w:hAnsi="EC Square Sans Cond Pro" w:cs="Avenir Next LT Pro"/>
                <w:b/>
                <w:smallCaps/>
                <w:noProof/>
                <w:sz w:val="18"/>
                <w:szCs w:val="18"/>
                <w:lang w:val="en-IE"/>
              </w:rPr>
              <w:t>G</w:t>
            </w:r>
            <w:r w:rsidR="001B683A" w:rsidRPr="0091475D">
              <w:rPr>
                <w:rFonts w:ascii="EC Square Sans Cond Pro" w:hAnsi="EC Square Sans Cond Pro" w:cs="Avenir Next LT Pro"/>
                <w:b/>
                <w:smallCaps/>
                <w:noProof/>
                <w:sz w:val="18"/>
                <w:szCs w:val="18"/>
                <w:lang w:val="en-IE"/>
              </w:rPr>
              <w:t>reenhouse gas emissions (MtCO2-eq)</w:t>
            </w:r>
          </w:p>
        </w:tc>
        <w:tc>
          <w:tcPr>
            <w:tcW w:w="1512" w:type="pct"/>
            <w:gridSpan w:val="3"/>
            <w:tcBorders>
              <w:bottom w:val="single" w:sz="12" w:space="0" w:color="auto"/>
            </w:tcBorders>
          </w:tcPr>
          <w:p w14:paraId="768B61BC" w14:textId="77777777" w:rsidR="001B683A" w:rsidRPr="0091475D" w:rsidRDefault="001B683A" w:rsidP="006C245F">
            <w:pPr>
              <w:keepNext/>
              <w:spacing w:after="0"/>
              <w:jc w:val="center"/>
              <w:rPr>
                <w:rFonts w:ascii="EC Square Sans Cond Pro" w:hAnsi="EC Square Sans Cond Pro" w:cs="Avenir Next LT Pro"/>
                <w:b/>
                <w:noProof/>
                <w:sz w:val="18"/>
                <w:szCs w:val="18"/>
                <w:lang w:val="en-IE"/>
              </w:rPr>
            </w:pPr>
            <w:r w:rsidRPr="0091475D">
              <w:rPr>
                <w:rFonts w:ascii="EC Square Sans Cond Pro" w:hAnsi="EC Square Sans Cond Pro" w:cs="Avenir Next LT Pro"/>
                <w:b/>
                <w:smallCaps/>
                <w:noProof/>
                <w:sz w:val="18"/>
                <w:szCs w:val="18"/>
                <w:lang w:val="en-IE"/>
              </w:rPr>
              <w:t>Change in emissions (%)</w:t>
            </w:r>
          </w:p>
        </w:tc>
      </w:tr>
      <w:tr w:rsidR="001B683A" w:rsidRPr="0091475D" w14:paraId="32161DE6" w14:textId="77777777" w:rsidTr="006C245F">
        <w:trPr>
          <w:trHeight w:val="278"/>
        </w:trPr>
        <w:tc>
          <w:tcPr>
            <w:tcW w:w="967" w:type="pct"/>
            <w:tcBorders>
              <w:bottom w:val="single" w:sz="12" w:space="0" w:color="auto"/>
            </w:tcBorders>
            <w:noWrap/>
            <w:vAlign w:val="center"/>
          </w:tcPr>
          <w:p w14:paraId="6CB4FBBF" w14:textId="77777777" w:rsidR="001B683A" w:rsidRPr="0091475D" w:rsidRDefault="001B683A" w:rsidP="006C245F">
            <w:pPr>
              <w:keepNext/>
              <w:spacing w:after="0"/>
              <w:jc w:val="left"/>
              <w:rPr>
                <w:rFonts w:ascii="EC Square Sans Cond Pro" w:hAnsi="EC Square Sans Cond Pro"/>
                <w:noProof/>
                <w:sz w:val="18"/>
                <w:szCs w:val="18"/>
                <w:lang w:val="en-IE"/>
              </w:rPr>
            </w:pPr>
          </w:p>
        </w:tc>
        <w:tc>
          <w:tcPr>
            <w:tcW w:w="504" w:type="pct"/>
            <w:tcBorders>
              <w:bottom w:val="single" w:sz="12" w:space="0" w:color="auto"/>
            </w:tcBorders>
            <w:vAlign w:val="center"/>
          </w:tcPr>
          <w:p w14:paraId="762AC944" w14:textId="77777777" w:rsidR="001B683A" w:rsidRPr="0091475D" w:rsidRDefault="001B683A" w:rsidP="006C245F">
            <w:pPr>
              <w:keepNext/>
              <w:spacing w:after="0"/>
              <w:jc w:val="center"/>
              <w:rPr>
                <w:rFonts w:ascii="EC Square Sans Cond Pro" w:hAnsi="EC Square Sans Cond Pro" w:cs="Avenir Next LT Pro"/>
                <w:b/>
                <w:smallCaps/>
                <w:noProof/>
                <w:sz w:val="18"/>
                <w:szCs w:val="18"/>
                <w:lang w:val="en-IE"/>
              </w:rPr>
            </w:pPr>
            <w:r w:rsidRPr="0091475D">
              <w:rPr>
                <w:rFonts w:ascii="EC Square Sans Cond Pro" w:hAnsi="EC Square Sans Cond Pro" w:cs="Avenir Next LT Pro"/>
                <w:b/>
                <w:smallCaps/>
                <w:noProof/>
                <w:sz w:val="18"/>
                <w:szCs w:val="18"/>
                <w:lang w:val="en-IE"/>
              </w:rPr>
              <w:t>2005</w:t>
            </w:r>
          </w:p>
        </w:tc>
        <w:tc>
          <w:tcPr>
            <w:tcW w:w="504" w:type="pct"/>
            <w:tcBorders>
              <w:bottom w:val="single" w:sz="12" w:space="0" w:color="auto"/>
            </w:tcBorders>
            <w:noWrap/>
            <w:vAlign w:val="center"/>
          </w:tcPr>
          <w:p w14:paraId="627831B5" w14:textId="77777777" w:rsidR="001B683A" w:rsidRPr="0091475D" w:rsidRDefault="001B683A" w:rsidP="006C245F">
            <w:pPr>
              <w:keepNext/>
              <w:spacing w:after="0"/>
              <w:jc w:val="center"/>
              <w:rPr>
                <w:rFonts w:ascii="EC Square Sans Cond Pro" w:hAnsi="EC Square Sans Cond Pro" w:cs="Avenir Next LT Pro"/>
                <w:b/>
                <w:smallCaps/>
                <w:noProof/>
                <w:sz w:val="18"/>
                <w:szCs w:val="18"/>
                <w:lang w:val="en-IE"/>
              </w:rPr>
            </w:pPr>
            <w:r w:rsidRPr="0091475D">
              <w:rPr>
                <w:rFonts w:ascii="EC Square Sans Cond Pro" w:hAnsi="EC Square Sans Cond Pro" w:cs="Avenir Next LT Pro"/>
                <w:b/>
                <w:smallCaps/>
                <w:noProof/>
                <w:sz w:val="18"/>
                <w:szCs w:val="18"/>
                <w:lang w:val="en-IE"/>
              </w:rPr>
              <w:t>2015</w:t>
            </w:r>
          </w:p>
        </w:tc>
        <w:tc>
          <w:tcPr>
            <w:tcW w:w="504" w:type="pct"/>
            <w:tcBorders>
              <w:bottom w:val="single" w:sz="12" w:space="0" w:color="auto"/>
            </w:tcBorders>
            <w:vAlign w:val="center"/>
          </w:tcPr>
          <w:p w14:paraId="3817DE45" w14:textId="77777777" w:rsidR="001B683A" w:rsidRPr="0091475D" w:rsidRDefault="001B683A" w:rsidP="006C245F">
            <w:pPr>
              <w:keepNext/>
              <w:spacing w:after="0"/>
              <w:jc w:val="center"/>
              <w:rPr>
                <w:rFonts w:ascii="EC Square Sans Cond Pro" w:hAnsi="EC Square Sans Cond Pro" w:cs="Avenir Next LT Pro"/>
                <w:b/>
                <w:smallCaps/>
                <w:noProof/>
                <w:sz w:val="18"/>
                <w:szCs w:val="18"/>
                <w:lang w:val="en-IE"/>
              </w:rPr>
            </w:pPr>
            <w:r w:rsidRPr="0091475D">
              <w:rPr>
                <w:rFonts w:ascii="EC Square Sans Cond Pro" w:hAnsi="EC Square Sans Cond Pro" w:cs="Avenir Next LT Pro"/>
                <w:b/>
                <w:smallCaps/>
                <w:noProof/>
                <w:sz w:val="18"/>
                <w:szCs w:val="18"/>
                <w:lang w:val="en-IE"/>
              </w:rPr>
              <w:t>2030</w:t>
            </w:r>
          </w:p>
        </w:tc>
        <w:tc>
          <w:tcPr>
            <w:tcW w:w="504" w:type="pct"/>
            <w:tcBorders>
              <w:bottom w:val="single" w:sz="12" w:space="0" w:color="auto"/>
            </w:tcBorders>
            <w:vAlign w:val="center"/>
          </w:tcPr>
          <w:p w14:paraId="06B6DE07" w14:textId="77777777" w:rsidR="001B683A" w:rsidRPr="0091475D" w:rsidRDefault="001B683A" w:rsidP="006C245F">
            <w:pPr>
              <w:keepNext/>
              <w:spacing w:after="0"/>
              <w:jc w:val="center"/>
              <w:rPr>
                <w:rFonts w:ascii="EC Square Sans Cond Pro" w:hAnsi="EC Square Sans Cond Pro" w:cs="Avenir Next LT Pro"/>
                <w:b/>
                <w:smallCaps/>
                <w:noProof/>
                <w:sz w:val="18"/>
                <w:szCs w:val="18"/>
                <w:lang w:val="en-IE"/>
              </w:rPr>
            </w:pPr>
            <w:r w:rsidRPr="0091475D">
              <w:rPr>
                <w:rFonts w:ascii="EC Square Sans Cond Pro" w:hAnsi="EC Square Sans Cond Pro" w:cs="Avenir Next LT Pro"/>
                <w:b/>
                <w:noProof/>
                <w:sz w:val="18"/>
                <w:szCs w:val="18"/>
                <w:lang w:val="en-IE"/>
              </w:rPr>
              <w:t>2040</w:t>
            </w:r>
          </w:p>
        </w:tc>
        <w:tc>
          <w:tcPr>
            <w:tcW w:w="504" w:type="pct"/>
            <w:tcBorders>
              <w:bottom w:val="single" w:sz="12" w:space="0" w:color="auto"/>
            </w:tcBorders>
            <w:vAlign w:val="center"/>
          </w:tcPr>
          <w:p w14:paraId="307067AB" w14:textId="77777777" w:rsidR="001B683A" w:rsidRPr="0091475D" w:rsidRDefault="001B683A" w:rsidP="006C245F">
            <w:pPr>
              <w:keepNext/>
              <w:spacing w:after="0"/>
              <w:jc w:val="center"/>
              <w:rPr>
                <w:rFonts w:ascii="EC Square Sans Cond Pro" w:hAnsi="EC Square Sans Cond Pro" w:cs="Avenir Next LT Pro"/>
                <w:b/>
                <w:smallCaps/>
                <w:noProof/>
                <w:sz w:val="18"/>
                <w:szCs w:val="18"/>
                <w:lang w:val="en-IE"/>
              </w:rPr>
            </w:pPr>
            <w:r w:rsidRPr="0091475D">
              <w:rPr>
                <w:rFonts w:ascii="EC Square Sans Cond Pro" w:hAnsi="EC Square Sans Cond Pro" w:cs="Avenir Next LT Pro"/>
                <w:b/>
                <w:noProof/>
                <w:sz w:val="18"/>
                <w:szCs w:val="18"/>
                <w:lang w:val="en-IE"/>
              </w:rPr>
              <w:t>2050</w:t>
            </w:r>
          </w:p>
        </w:tc>
        <w:tc>
          <w:tcPr>
            <w:tcW w:w="504" w:type="pct"/>
            <w:tcBorders>
              <w:bottom w:val="single" w:sz="12" w:space="0" w:color="auto"/>
            </w:tcBorders>
            <w:vAlign w:val="center"/>
          </w:tcPr>
          <w:p w14:paraId="6345DCA4" w14:textId="77777777" w:rsidR="001B683A" w:rsidRPr="0091475D" w:rsidRDefault="001B683A" w:rsidP="006C245F">
            <w:pPr>
              <w:keepNext/>
              <w:spacing w:after="0"/>
              <w:jc w:val="center"/>
              <w:rPr>
                <w:rFonts w:ascii="EC Square Sans Cond Pro" w:hAnsi="EC Square Sans Cond Pro" w:cs="Avenir Next LT Pro"/>
                <w:b/>
                <w:smallCaps/>
                <w:noProof/>
                <w:sz w:val="18"/>
                <w:szCs w:val="18"/>
                <w:lang w:val="en-IE"/>
              </w:rPr>
            </w:pPr>
            <w:r w:rsidRPr="0091475D">
              <w:rPr>
                <w:rFonts w:ascii="EC Square Sans Cond Pro" w:hAnsi="EC Square Sans Cond Pro" w:cs="Avenir Next LT Pro"/>
                <w:b/>
                <w:noProof/>
                <w:sz w:val="18"/>
                <w:szCs w:val="18"/>
                <w:lang w:val="en-IE"/>
              </w:rPr>
              <w:t>20</w:t>
            </w:r>
            <w:r>
              <w:rPr>
                <w:rFonts w:ascii="EC Square Sans Cond Pro" w:hAnsi="EC Square Sans Cond Pro" w:cs="Avenir Next LT Pro"/>
                <w:b/>
                <w:noProof/>
                <w:sz w:val="18"/>
                <w:szCs w:val="18"/>
                <w:lang w:val="en-IE"/>
              </w:rPr>
              <w:t>1</w:t>
            </w:r>
            <w:r w:rsidRPr="0091475D">
              <w:rPr>
                <w:rFonts w:ascii="EC Square Sans Cond Pro" w:hAnsi="EC Square Sans Cond Pro" w:cs="Avenir Next LT Pro"/>
                <w:b/>
                <w:noProof/>
                <w:sz w:val="18"/>
                <w:szCs w:val="18"/>
                <w:lang w:val="en-IE"/>
              </w:rPr>
              <w:t>5-30</w:t>
            </w:r>
          </w:p>
        </w:tc>
        <w:tc>
          <w:tcPr>
            <w:tcW w:w="504" w:type="pct"/>
            <w:tcBorders>
              <w:bottom w:val="single" w:sz="12" w:space="0" w:color="auto"/>
            </w:tcBorders>
            <w:vAlign w:val="center"/>
          </w:tcPr>
          <w:p w14:paraId="0A2E7166" w14:textId="77777777" w:rsidR="001B683A" w:rsidRPr="0091475D" w:rsidRDefault="001B683A" w:rsidP="006C245F">
            <w:pPr>
              <w:keepNext/>
              <w:spacing w:after="0"/>
              <w:jc w:val="center"/>
              <w:rPr>
                <w:rFonts w:ascii="EC Square Sans Cond Pro" w:hAnsi="EC Square Sans Cond Pro" w:cs="Avenir Next LT Pro"/>
                <w:b/>
                <w:noProof/>
                <w:sz w:val="18"/>
                <w:szCs w:val="18"/>
                <w:lang w:val="en-IE"/>
              </w:rPr>
            </w:pPr>
            <w:r w:rsidRPr="0091475D">
              <w:rPr>
                <w:rFonts w:ascii="EC Square Sans Cond Pro" w:hAnsi="EC Square Sans Cond Pro" w:cs="Avenir Next LT Pro"/>
                <w:b/>
                <w:noProof/>
                <w:sz w:val="18"/>
                <w:szCs w:val="18"/>
                <w:lang w:val="en-IE"/>
              </w:rPr>
              <w:t>20</w:t>
            </w:r>
            <w:r>
              <w:rPr>
                <w:rFonts w:ascii="EC Square Sans Cond Pro" w:hAnsi="EC Square Sans Cond Pro" w:cs="Avenir Next LT Pro"/>
                <w:b/>
                <w:noProof/>
                <w:sz w:val="18"/>
                <w:szCs w:val="18"/>
                <w:lang w:val="en-IE"/>
              </w:rPr>
              <w:t>1</w:t>
            </w:r>
            <w:r w:rsidRPr="0091475D">
              <w:rPr>
                <w:rFonts w:ascii="EC Square Sans Cond Pro" w:hAnsi="EC Square Sans Cond Pro" w:cs="Avenir Next LT Pro"/>
                <w:b/>
                <w:noProof/>
                <w:sz w:val="18"/>
                <w:szCs w:val="18"/>
                <w:lang w:val="en-IE"/>
              </w:rPr>
              <w:t>5-40</w:t>
            </w:r>
          </w:p>
        </w:tc>
        <w:tc>
          <w:tcPr>
            <w:tcW w:w="505" w:type="pct"/>
            <w:tcBorders>
              <w:bottom w:val="single" w:sz="12" w:space="0" w:color="auto"/>
            </w:tcBorders>
            <w:vAlign w:val="center"/>
          </w:tcPr>
          <w:p w14:paraId="32C10629" w14:textId="77777777" w:rsidR="001B683A" w:rsidRPr="0091475D" w:rsidRDefault="001B683A" w:rsidP="006C245F">
            <w:pPr>
              <w:keepNext/>
              <w:spacing w:after="0"/>
              <w:jc w:val="center"/>
              <w:rPr>
                <w:rFonts w:ascii="EC Square Sans Cond Pro" w:hAnsi="EC Square Sans Cond Pro" w:cs="Avenir Next LT Pro"/>
                <w:b/>
                <w:smallCaps/>
                <w:noProof/>
                <w:sz w:val="18"/>
                <w:szCs w:val="18"/>
                <w:lang w:val="en-IE"/>
              </w:rPr>
            </w:pPr>
            <w:r w:rsidRPr="0091475D">
              <w:rPr>
                <w:rFonts w:ascii="EC Square Sans Cond Pro" w:hAnsi="EC Square Sans Cond Pro" w:cs="Avenir Next LT Pro"/>
                <w:b/>
                <w:noProof/>
                <w:sz w:val="18"/>
                <w:szCs w:val="18"/>
                <w:lang w:val="en-IE"/>
              </w:rPr>
              <w:t>20</w:t>
            </w:r>
            <w:r>
              <w:rPr>
                <w:rFonts w:ascii="EC Square Sans Cond Pro" w:hAnsi="EC Square Sans Cond Pro" w:cs="Avenir Next LT Pro"/>
                <w:b/>
                <w:noProof/>
                <w:sz w:val="18"/>
                <w:szCs w:val="18"/>
                <w:lang w:val="en-IE"/>
              </w:rPr>
              <w:t>1</w:t>
            </w:r>
            <w:r w:rsidRPr="0091475D">
              <w:rPr>
                <w:rFonts w:ascii="EC Square Sans Cond Pro" w:hAnsi="EC Square Sans Cond Pro" w:cs="Avenir Next LT Pro"/>
                <w:b/>
                <w:noProof/>
                <w:sz w:val="18"/>
                <w:szCs w:val="18"/>
                <w:lang w:val="en-IE"/>
              </w:rPr>
              <w:t>5-50</w:t>
            </w:r>
          </w:p>
        </w:tc>
      </w:tr>
      <w:tr w:rsidR="001B683A" w:rsidRPr="0091475D" w14:paraId="72A81482" w14:textId="77777777" w:rsidTr="006C245F">
        <w:trPr>
          <w:trHeight w:val="311"/>
        </w:trPr>
        <w:tc>
          <w:tcPr>
            <w:tcW w:w="967" w:type="pct"/>
            <w:tcBorders>
              <w:top w:val="single" w:sz="12" w:space="0" w:color="auto"/>
            </w:tcBorders>
            <w:noWrap/>
            <w:vAlign w:val="center"/>
            <w:hideMark/>
          </w:tcPr>
          <w:p w14:paraId="1585D394" w14:textId="77777777" w:rsidR="001B683A" w:rsidRPr="0091475D" w:rsidRDefault="001B683A" w:rsidP="006C245F">
            <w:pPr>
              <w:keepNext/>
              <w:spacing w:after="0"/>
              <w:jc w:val="left"/>
              <w:rPr>
                <w:rFonts w:ascii="EC Square Sans Cond Pro" w:hAnsi="EC Square Sans Cond Pro" w:cs="Avenir Next LT Pro"/>
                <w:b/>
                <w:noProof/>
                <w:sz w:val="18"/>
                <w:szCs w:val="18"/>
                <w:lang w:val="en-IE"/>
              </w:rPr>
            </w:pPr>
            <w:r w:rsidRPr="0091475D">
              <w:rPr>
                <w:rFonts w:ascii="EC Square Sans Cond Pro" w:hAnsi="EC Square Sans Cond Pro" w:cs="Avenir Next LT Pro"/>
                <w:b/>
                <w:noProof/>
                <w:sz w:val="18"/>
                <w:szCs w:val="18"/>
                <w:lang w:val="en-IE"/>
              </w:rPr>
              <w:t>Agriculture</w:t>
            </w:r>
          </w:p>
        </w:tc>
        <w:tc>
          <w:tcPr>
            <w:tcW w:w="504" w:type="pct"/>
            <w:tcBorders>
              <w:top w:val="single" w:sz="12" w:space="0" w:color="auto"/>
            </w:tcBorders>
            <w:vAlign w:val="center"/>
          </w:tcPr>
          <w:p w14:paraId="4A129222" w14:textId="77777777" w:rsidR="001B683A" w:rsidRPr="0091475D" w:rsidRDefault="001B683A" w:rsidP="006C245F">
            <w:pPr>
              <w:keepNext/>
              <w:spacing w:after="0"/>
              <w:jc w:val="center"/>
              <w:rPr>
                <w:rFonts w:ascii="EC Square Sans Cond Pro" w:hAnsi="EC Square Sans Cond Pro" w:cs="Avenir Next LT Pro"/>
                <w:noProof/>
                <w:sz w:val="18"/>
                <w:szCs w:val="18"/>
                <w:lang w:val="en-IE"/>
              </w:rPr>
            </w:pPr>
          </w:p>
        </w:tc>
        <w:tc>
          <w:tcPr>
            <w:tcW w:w="504" w:type="pct"/>
            <w:tcBorders>
              <w:top w:val="single" w:sz="12" w:space="0" w:color="auto"/>
            </w:tcBorders>
            <w:noWrap/>
            <w:vAlign w:val="center"/>
          </w:tcPr>
          <w:p w14:paraId="457CF320" w14:textId="77777777" w:rsidR="001B683A" w:rsidRPr="0091475D" w:rsidRDefault="001B683A" w:rsidP="006C245F">
            <w:pPr>
              <w:keepNext/>
              <w:spacing w:after="0"/>
              <w:jc w:val="center"/>
              <w:rPr>
                <w:rFonts w:ascii="EC Square Sans Cond Pro" w:hAnsi="EC Square Sans Cond Pro" w:cs="Avenir Next LT Pro"/>
                <w:noProof/>
                <w:sz w:val="18"/>
                <w:szCs w:val="18"/>
                <w:lang w:val="en-IE"/>
              </w:rPr>
            </w:pPr>
          </w:p>
        </w:tc>
        <w:tc>
          <w:tcPr>
            <w:tcW w:w="504" w:type="pct"/>
            <w:tcBorders>
              <w:top w:val="single" w:sz="12" w:space="0" w:color="auto"/>
            </w:tcBorders>
            <w:vAlign w:val="center"/>
          </w:tcPr>
          <w:p w14:paraId="6587E51E" w14:textId="77777777" w:rsidR="001B683A" w:rsidRPr="0091475D" w:rsidRDefault="001B683A" w:rsidP="006C245F">
            <w:pPr>
              <w:keepNext/>
              <w:spacing w:after="0"/>
              <w:jc w:val="center"/>
              <w:rPr>
                <w:rFonts w:ascii="EC Square Sans Cond Pro" w:hAnsi="EC Square Sans Cond Pro" w:cs="Avenir Next LT Pro"/>
                <w:noProof/>
                <w:sz w:val="18"/>
                <w:szCs w:val="18"/>
                <w:lang w:val="en-IE"/>
              </w:rPr>
            </w:pPr>
          </w:p>
        </w:tc>
        <w:tc>
          <w:tcPr>
            <w:tcW w:w="504" w:type="pct"/>
            <w:tcBorders>
              <w:top w:val="single" w:sz="12" w:space="0" w:color="auto"/>
            </w:tcBorders>
            <w:vAlign w:val="center"/>
          </w:tcPr>
          <w:p w14:paraId="296DAF94" w14:textId="77777777" w:rsidR="001B683A" w:rsidRPr="0091475D" w:rsidRDefault="001B683A" w:rsidP="006C245F">
            <w:pPr>
              <w:keepNext/>
              <w:spacing w:after="0"/>
              <w:jc w:val="center"/>
              <w:rPr>
                <w:rFonts w:ascii="EC Square Sans Cond Pro" w:hAnsi="EC Square Sans Cond Pro" w:cs="Avenir Next LT Pro"/>
                <w:noProof/>
                <w:sz w:val="18"/>
                <w:szCs w:val="18"/>
                <w:lang w:val="en-IE"/>
              </w:rPr>
            </w:pPr>
          </w:p>
        </w:tc>
        <w:tc>
          <w:tcPr>
            <w:tcW w:w="504" w:type="pct"/>
            <w:tcBorders>
              <w:top w:val="single" w:sz="12" w:space="0" w:color="auto"/>
            </w:tcBorders>
            <w:vAlign w:val="center"/>
          </w:tcPr>
          <w:p w14:paraId="6FF58805" w14:textId="77777777" w:rsidR="001B683A" w:rsidRPr="0091475D" w:rsidRDefault="001B683A" w:rsidP="006C245F">
            <w:pPr>
              <w:keepNext/>
              <w:spacing w:after="0"/>
              <w:jc w:val="center"/>
              <w:rPr>
                <w:rFonts w:ascii="EC Square Sans Cond Pro" w:hAnsi="EC Square Sans Cond Pro" w:cs="Avenir Next LT Pro"/>
                <w:noProof/>
                <w:sz w:val="18"/>
                <w:szCs w:val="18"/>
                <w:lang w:val="en-IE"/>
              </w:rPr>
            </w:pPr>
          </w:p>
        </w:tc>
        <w:tc>
          <w:tcPr>
            <w:tcW w:w="504" w:type="pct"/>
            <w:tcBorders>
              <w:top w:val="single" w:sz="12" w:space="0" w:color="auto"/>
            </w:tcBorders>
            <w:vAlign w:val="center"/>
          </w:tcPr>
          <w:p w14:paraId="39701E0E" w14:textId="77777777" w:rsidR="001B683A" w:rsidRPr="0091475D" w:rsidRDefault="001B683A" w:rsidP="006C245F">
            <w:pPr>
              <w:keepNext/>
              <w:spacing w:after="0"/>
              <w:jc w:val="center"/>
              <w:rPr>
                <w:rFonts w:ascii="EC Square Sans Cond Pro" w:hAnsi="EC Square Sans Cond Pro" w:cs="Avenir Next LT Pro"/>
                <w:noProof/>
                <w:sz w:val="18"/>
                <w:szCs w:val="18"/>
                <w:lang w:val="en-IE"/>
              </w:rPr>
            </w:pPr>
          </w:p>
        </w:tc>
        <w:tc>
          <w:tcPr>
            <w:tcW w:w="504" w:type="pct"/>
            <w:tcBorders>
              <w:top w:val="single" w:sz="12" w:space="0" w:color="auto"/>
            </w:tcBorders>
            <w:vAlign w:val="center"/>
          </w:tcPr>
          <w:p w14:paraId="1D3DCAD7" w14:textId="77777777" w:rsidR="001B683A" w:rsidRPr="0091475D" w:rsidRDefault="001B683A" w:rsidP="006C245F">
            <w:pPr>
              <w:keepNext/>
              <w:spacing w:after="0"/>
              <w:jc w:val="center"/>
              <w:rPr>
                <w:rFonts w:ascii="EC Square Sans Cond Pro" w:hAnsi="EC Square Sans Cond Pro" w:cs="Avenir Next LT Pro"/>
                <w:noProof/>
                <w:sz w:val="18"/>
                <w:szCs w:val="18"/>
                <w:lang w:val="en-IE"/>
              </w:rPr>
            </w:pPr>
          </w:p>
        </w:tc>
        <w:tc>
          <w:tcPr>
            <w:tcW w:w="505" w:type="pct"/>
            <w:tcBorders>
              <w:top w:val="single" w:sz="12" w:space="0" w:color="auto"/>
            </w:tcBorders>
            <w:vAlign w:val="center"/>
          </w:tcPr>
          <w:p w14:paraId="669B6615" w14:textId="77777777" w:rsidR="001B683A" w:rsidRPr="0091475D" w:rsidRDefault="001B683A" w:rsidP="006C245F">
            <w:pPr>
              <w:keepNext/>
              <w:spacing w:after="0"/>
              <w:jc w:val="center"/>
              <w:rPr>
                <w:rFonts w:ascii="EC Square Sans Cond Pro" w:hAnsi="EC Square Sans Cond Pro" w:cs="Avenir Next LT Pro"/>
                <w:noProof/>
                <w:sz w:val="18"/>
                <w:szCs w:val="18"/>
                <w:lang w:val="en-IE"/>
              </w:rPr>
            </w:pPr>
          </w:p>
        </w:tc>
      </w:tr>
      <w:tr w:rsidR="001B683A" w:rsidRPr="0091475D" w14:paraId="147467A3" w14:textId="77777777" w:rsidTr="006C245F">
        <w:trPr>
          <w:trHeight w:val="311"/>
        </w:trPr>
        <w:tc>
          <w:tcPr>
            <w:tcW w:w="967" w:type="pct"/>
            <w:noWrap/>
            <w:vAlign w:val="center"/>
            <w:hideMark/>
          </w:tcPr>
          <w:p w14:paraId="3527BA1C" w14:textId="77777777" w:rsidR="001B683A" w:rsidRPr="0091475D" w:rsidRDefault="001B683A" w:rsidP="001B683A">
            <w:pPr>
              <w:keepNext/>
              <w:spacing w:after="0"/>
              <w:jc w:val="left"/>
              <w:rPr>
                <w:rFonts w:ascii="EC Square Sans Cond Pro" w:hAnsi="EC Square Sans Cond Pro" w:cs="Avenir Next LT Pro"/>
                <w:noProof/>
                <w:sz w:val="18"/>
                <w:szCs w:val="18"/>
                <w:lang w:val="en-IE"/>
              </w:rPr>
            </w:pPr>
            <w:r w:rsidRPr="0091475D">
              <w:rPr>
                <w:rFonts w:ascii="EC Square Sans Cond Pro" w:hAnsi="EC Square Sans Cond Pro" w:cs="Avenir Next LT Pro"/>
                <w:noProof/>
                <w:sz w:val="18"/>
                <w:szCs w:val="18"/>
                <w:lang w:val="en-IE"/>
              </w:rPr>
              <w:t>CH4</w:t>
            </w:r>
          </w:p>
        </w:tc>
        <w:tc>
          <w:tcPr>
            <w:tcW w:w="504" w:type="pct"/>
            <w:vAlign w:val="center"/>
          </w:tcPr>
          <w:p w14:paraId="501B99D0" w14:textId="45E2EC76" w:rsidR="001B683A" w:rsidRPr="0091475D" w:rsidRDefault="001B683A" w:rsidP="001B683A">
            <w:pPr>
              <w:keepNext/>
              <w:spacing w:after="0"/>
              <w:jc w:val="center"/>
              <w:rPr>
                <w:rFonts w:ascii="EC Square Sans Cond Pro" w:hAnsi="EC Square Sans Cond Pro" w:cs="Cambria Math"/>
                <w:noProof/>
                <w:sz w:val="18"/>
                <w:szCs w:val="18"/>
              </w:rPr>
            </w:pPr>
            <w:r>
              <w:rPr>
                <w:rFonts w:ascii="EC Square Sans Cond Pro" w:hAnsi="EC Square Sans Cond Pro" w:cs="Arial"/>
                <w:noProof/>
                <w:color w:val="000000"/>
                <w:sz w:val="18"/>
                <w:szCs w:val="18"/>
              </w:rPr>
              <w:t>242</w:t>
            </w:r>
          </w:p>
        </w:tc>
        <w:tc>
          <w:tcPr>
            <w:tcW w:w="504" w:type="pct"/>
            <w:noWrap/>
            <w:vAlign w:val="center"/>
          </w:tcPr>
          <w:p w14:paraId="4DE8B201" w14:textId="760805C1" w:rsidR="001B683A" w:rsidRPr="0091475D" w:rsidRDefault="001B683A" w:rsidP="001B683A">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Arial"/>
                <w:noProof/>
                <w:color w:val="000000"/>
                <w:sz w:val="18"/>
                <w:szCs w:val="18"/>
              </w:rPr>
              <w:t>237</w:t>
            </w:r>
          </w:p>
        </w:tc>
        <w:tc>
          <w:tcPr>
            <w:tcW w:w="504" w:type="pct"/>
            <w:vAlign w:val="center"/>
          </w:tcPr>
          <w:p w14:paraId="7301AA59" w14:textId="0472A886" w:rsidR="001B683A" w:rsidRPr="0091475D" w:rsidRDefault="001B683A" w:rsidP="001B683A">
            <w:pPr>
              <w:keepNext/>
              <w:spacing w:after="0"/>
              <w:jc w:val="center"/>
              <w:rPr>
                <w:rFonts w:ascii="EC Square Sans Cond Pro" w:hAnsi="EC Square Sans Cond Pro" w:cs="Cambria Math"/>
                <w:noProof/>
                <w:sz w:val="18"/>
                <w:szCs w:val="18"/>
              </w:rPr>
            </w:pPr>
            <w:r>
              <w:rPr>
                <w:rFonts w:ascii="EC Square Sans Cond Pro" w:hAnsi="EC Square Sans Cond Pro" w:cs="Arial"/>
                <w:noProof/>
                <w:color w:val="000000"/>
                <w:sz w:val="18"/>
                <w:szCs w:val="18"/>
              </w:rPr>
              <w:t>223</w:t>
            </w:r>
          </w:p>
        </w:tc>
        <w:tc>
          <w:tcPr>
            <w:tcW w:w="504" w:type="pct"/>
            <w:vAlign w:val="center"/>
          </w:tcPr>
          <w:p w14:paraId="21F11E4E" w14:textId="4E5D8FDA" w:rsidR="001B683A" w:rsidRPr="0091475D" w:rsidRDefault="001B683A" w:rsidP="001B683A">
            <w:pPr>
              <w:keepNext/>
              <w:spacing w:after="0"/>
              <w:jc w:val="center"/>
              <w:rPr>
                <w:rFonts w:ascii="EC Square Sans Cond Pro" w:hAnsi="EC Square Sans Cond Pro" w:cs="Cambria Math"/>
                <w:noProof/>
                <w:sz w:val="18"/>
                <w:szCs w:val="18"/>
              </w:rPr>
            </w:pPr>
            <w:r>
              <w:rPr>
                <w:rFonts w:ascii="EC Square Sans Cond Pro" w:hAnsi="EC Square Sans Cond Pro" w:cs="Arial"/>
                <w:noProof/>
                <w:color w:val="000000"/>
                <w:sz w:val="18"/>
                <w:szCs w:val="18"/>
              </w:rPr>
              <w:t>214</w:t>
            </w:r>
          </w:p>
        </w:tc>
        <w:tc>
          <w:tcPr>
            <w:tcW w:w="504" w:type="pct"/>
            <w:vAlign w:val="center"/>
          </w:tcPr>
          <w:p w14:paraId="3A24677C" w14:textId="0749A3DA" w:rsidR="001B683A" w:rsidRPr="0091475D" w:rsidRDefault="001B683A" w:rsidP="001B683A">
            <w:pPr>
              <w:keepNext/>
              <w:spacing w:after="0"/>
              <w:jc w:val="center"/>
              <w:rPr>
                <w:rFonts w:ascii="EC Square Sans Cond Pro" w:hAnsi="EC Square Sans Cond Pro" w:cs="Cambria Math"/>
                <w:noProof/>
                <w:sz w:val="18"/>
                <w:szCs w:val="18"/>
              </w:rPr>
            </w:pPr>
            <w:r>
              <w:rPr>
                <w:rFonts w:ascii="EC Square Sans Cond Pro" w:hAnsi="EC Square Sans Cond Pro" w:cs="Arial"/>
                <w:noProof/>
                <w:color w:val="000000"/>
                <w:sz w:val="18"/>
                <w:szCs w:val="18"/>
              </w:rPr>
              <w:t>213</w:t>
            </w:r>
          </w:p>
        </w:tc>
        <w:tc>
          <w:tcPr>
            <w:tcW w:w="504" w:type="pct"/>
            <w:vAlign w:val="center"/>
          </w:tcPr>
          <w:p w14:paraId="21A2CF06" w14:textId="68424A3A" w:rsidR="001B683A" w:rsidRPr="0091475D" w:rsidRDefault="001B683A" w:rsidP="001B683A">
            <w:pPr>
              <w:keepNext/>
              <w:spacing w:after="0"/>
              <w:jc w:val="center"/>
              <w:rPr>
                <w:rFonts w:ascii="EC Square Sans Cond Pro" w:hAnsi="EC Square Sans Cond Pro" w:cs="Cambria Math"/>
                <w:noProof/>
                <w:sz w:val="18"/>
                <w:szCs w:val="18"/>
              </w:rPr>
            </w:pPr>
            <w:r>
              <w:rPr>
                <w:rFonts w:ascii="EC Square Sans Cond Pro" w:hAnsi="EC Square Sans Cond Pro" w:cs="Arial"/>
                <w:noProof/>
                <w:color w:val="000000"/>
                <w:sz w:val="18"/>
                <w:szCs w:val="18"/>
              </w:rPr>
              <w:t>-6%</w:t>
            </w:r>
          </w:p>
        </w:tc>
        <w:tc>
          <w:tcPr>
            <w:tcW w:w="504" w:type="pct"/>
            <w:vAlign w:val="center"/>
          </w:tcPr>
          <w:p w14:paraId="7DECDDE3" w14:textId="28242D32" w:rsidR="001B683A" w:rsidRPr="0091475D" w:rsidRDefault="001B683A" w:rsidP="001B683A">
            <w:pPr>
              <w:keepNext/>
              <w:spacing w:after="0"/>
              <w:jc w:val="center"/>
              <w:rPr>
                <w:rFonts w:ascii="EC Square Sans Cond Pro" w:hAnsi="EC Square Sans Cond Pro" w:cs="Avenir Next LT Pro"/>
                <w:noProof/>
                <w:sz w:val="18"/>
                <w:szCs w:val="18"/>
              </w:rPr>
            </w:pPr>
            <w:r>
              <w:rPr>
                <w:rFonts w:ascii="EC Square Sans Cond Pro" w:hAnsi="EC Square Sans Cond Pro" w:cs="Arial"/>
                <w:noProof/>
                <w:color w:val="000000"/>
                <w:sz w:val="18"/>
                <w:szCs w:val="18"/>
              </w:rPr>
              <w:t>-10%</w:t>
            </w:r>
          </w:p>
        </w:tc>
        <w:tc>
          <w:tcPr>
            <w:tcW w:w="505" w:type="pct"/>
            <w:vAlign w:val="center"/>
          </w:tcPr>
          <w:p w14:paraId="03093CF6" w14:textId="41B15597" w:rsidR="001B683A" w:rsidRPr="0091475D" w:rsidRDefault="001B683A" w:rsidP="001B683A">
            <w:pPr>
              <w:keepNext/>
              <w:spacing w:after="0"/>
              <w:jc w:val="center"/>
              <w:rPr>
                <w:rFonts w:ascii="EC Square Sans Cond Pro" w:hAnsi="EC Square Sans Cond Pro" w:cs="Cambria Math"/>
                <w:noProof/>
                <w:sz w:val="18"/>
                <w:szCs w:val="18"/>
              </w:rPr>
            </w:pPr>
            <w:r>
              <w:rPr>
                <w:rFonts w:ascii="EC Square Sans Cond Pro" w:hAnsi="EC Square Sans Cond Pro" w:cs="Arial"/>
                <w:noProof/>
                <w:color w:val="000000"/>
                <w:sz w:val="18"/>
                <w:szCs w:val="18"/>
              </w:rPr>
              <w:t>-10%</w:t>
            </w:r>
          </w:p>
        </w:tc>
      </w:tr>
      <w:tr w:rsidR="001B683A" w:rsidRPr="0091475D" w14:paraId="010DCBFE" w14:textId="77777777" w:rsidTr="006C245F">
        <w:trPr>
          <w:trHeight w:val="311"/>
        </w:trPr>
        <w:tc>
          <w:tcPr>
            <w:tcW w:w="967" w:type="pct"/>
            <w:noWrap/>
            <w:vAlign w:val="center"/>
            <w:hideMark/>
          </w:tcPr>
          <w:p w14:paraId="50B88985" w14:textId="77777777" w:rsidR="001B683A" w:rsidRPr="0091475D" w:rsidRDefault="001B683A" w:rsidP="001B683A">
            <w:pPr>
              <w:keepNext/>
              <w:spacing w:after="0"/>
              <w:jc w:val="left"/>
              <w:rPr>
                <w:rFonts w:ascii="EC Square Sans Cond Pro" w:hAnsi="EC Square Sans Cond Pro" w:cs="Avenir Next LT Pro"/>
                <w:noProof/>
                <w:sz w:val="18"/>
                <w:szCs w:val="18"/>
                <w:lang w:val="en-IE"/>
              </w:rPr>
            </w:pPr>
            <w:r w:rsidRPr="0091475D">
              <w:rPr>
                <w:rFonts w:ascii="EC Square Sans Cond Pro" w:hAnsi="EC Square Sans Cond Pro" w:cs="Avenir Next LT Pro"/>
                <w:noProof/>
                <w:sz w:val="18"/>
                <w:szCs w:val="18"/>
                <w:lang w:val="en-IE"/>
              </w:rPr>
              <w:t>N2O</w:t>
            </w:r>
          </w:p>
        </w:tc>
        <w:tc>
          <w:tcPr>
            <w:tcW w:w="504" w:type="pct"/>
            <w:vAlign w:val="center"/>
          </w:tcPr>
          <w:p w14:paraId="528091BA" w14:textId="24A25EAB" w:rsidR="001B683A" w:rsidRPr="0091475D" w:rsidRDefault="001B683A" w:rsidP="001B683A">
            <w:pPr>
              <w:keepNext/>
              <w:spacing w:after="0"/>
              <w:jc w:val="center"/>
              <w:rPr>
                <w:rFonts w:ascii="EC Square Sans Cond Pro" w:hAnsi="EC Square Sans Cond Pro" w:cs="Cambria Math"/>
                <w:noProof/>
                <w:sz w:val="18"/>
                <w:szCs w:val="18"/>
              </w:rPr>
            </w:pPr>
            <w:r>
              <w:rPr>
                <w:rFonts w:ascii="EC Square Sans Cond Pro" w:hAnsi="EC Square Sans Cond Pro" w:cs="Arial"/>
                <w:noProof/>
                <w:color w:val="000000"/>
                <w:sz w:val="18"/>
                <w:szCs w:val="18"/>
              </w:rPr>
              <w:t>138</w:t>
            </w:r>
          </w:p>
        </w:tc>
        <w:tc>
          <w:tcPr>
            <w:tcW w:w="504" w:type="pct"/>
            <w:noWrap/>
            <w:vAlign w:val="center"/>
          </w:tcPr>
          <w:p w14:paraId="29636151" w14:textId="6F771AE7" w:rsidR="001B683A" w:rsidRPr="0091475D" w:rsidRDefault="001B683A" w:rsidP="001B683A">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Arial"/>
                <w:noProof/>
                <w:color w:val="000000"/>
                <w:sz w:val="18"/>
                <w:szCs w:val="18"/>
              </w:rPr>
              <w:t>138</w:t>
            </w:r>
          </w:p>
        </w:tc>
        <w:tc>
          <w:tcPr>
            <w:tcW w:w="504" w:type="pct"/>
            <w:vAlign w:val="center"/>
          </w:tcPr>
          <w:p w14:paraId="6499249C" w14:textId="65258B67" w:rsidR="001B683A" w:rsidRPr="0091475D" w:rsidRDefault="001B683A" w:rsidP="001B683A">
            <w:pPr>
              <w:keepNext/>
              <w:spacing w:after="0"/>
              <w:jc w:val="center"/>
              <w:rPr>
                <w:rFonts w:ascii="EC Square Sans Cond Pro" w:hAnsi="EC Square Sans Cond Pro" w:cs="Cambria Math"/>
                <w:noProof/>
                <w:sz w:val="18"/>
                <w:szCs w:val="18"/>
              </w:rPr>
            </w:pPr>
            <w:r>
              <w:rPr>
                <w:rFonts w:ascii="EC Square Sans Cond Pro" w:hAnsi="EC Square Sans Cond Pro" w:cs="Arial"/>
                <w:noProof/>
                <w:color w:val="000000"/>
                <w:sz w:val="18"/>
                <w:szCs w:val="18"/>
              </w:rPr>
              <w:t>128</w:t>
            </w:r>
          </w:p>
        </w:tc>
        <w:tc>
          <w:tcPr>
            <w:tcW w:w="504" w:type="pct"/>
            <w:vAlign w:val="center"/>
          </w:tcPr>
          <w:p w14:paraId="621E59C0" w14:textId="03068735" w:rsidR="001B683A" w:rsidRPr="0091475D" w:rsidRDefault="001B683A" w:rsidP="001B683A">
            <w:pPr>
              <w:keepNext/>
              <w:spacing w:after="0"/>
              <w:jc w:val="center"/>
              <w:rPr>
                <w:rFonts w:ascii="EC Square Sans Cond Pro" w:hAnsi="EC Square Sans Cond Pro" w:cs="Cambria Math"/>
                <w:noProof/>
                <w:sz w:val="18"/>
                <w:szCs w:val="18"/>
              </w:rPr>
            </w:pPr>
            <w:r>
              <w:rPr>
                <w:rFonts w:ascii="EC Square Sans Cond Pro" w:hAnsi="EC Square Sans Cond Pro" w:cs="Arial"/>
                <w:noProof/>
                <w:color w:val="000000"/>
                <w:sz w:val="18"/>
                <w:szCs w:val="18"/>
              </w:rPr>
              <w:t>127</w:t>
            </w:r>
          </w:p>
        </w:tc>
        <w:tc>
          <w:tcPr>
            <w:tcW w:w="504" w:type="pct"/>
            <w:vAlign w:val="center"/>
          </w:tcPr>
          <w:p w14:paraId="4165F5DD" w14:textId="6B727A20" w:rsidR="001B683A" w:rsidRPr="0091475D" w:rsidRDefault="001B683A" w:rsidP="001B683A">
            <w:pPr>
              <w:keepNext/>
              <w:spacing w:after="0"/>
              <w:jc w:val="center"/>
              <w:rPr>
                <w:rFonts w:ascii="EC Square Sans Cond Pro" w:hAnsi="EC Square Sans Cond Pro" w:cs="Cambria Math"/>
                <w:noProof/>
                <w:sz w:val="18"/>
                <w:szCs w:val="18"/>
              </w:rPr>
            </w:pPr>
            <w:r>
              <w:rPr>
                <w:rFonts w:ascii="EC Square Sans Cond Pro" w:hAnsi="EC Square Sans Cond Pro" w:cs="Arial"/>
                <w:noProof/>
                <w:color w:val="000000"/>
                <w:sz w:val="18"/>
                <w:szCs w:val="18"/>
              </w:rPr>
              <w:t>124</w:t>
            </w:r>
          </w:p>
        </w:tc>
        <w:tc>
          <w:tcPr>
            <w:tcW w:w="504" w:type="pct"/>
            <w:vAlign w:val="center"/>
          </w:tcPr>
          <w:p w14:paraId="7F95F453" w14:textId="78B9A237" w:rsidR="001B683A" w:rsidRPr="0091475D" w:rsidRDefault="001B683A" w:rsidP="001B683A">
            <w:pPr>
              <w:keepNext/>
              <w:spacing w:after="0"/>
              <w:jc w:val="center"/>
              <w:rPr>
                <w:rFonts w:ascii="EC Square Sans Cond Pro" w:hAnsi="EC Square Sans Cond Pro" w:cs="Cambria Math"/>
                <w:noProof/>
                <w:sz w:val="18"/>
                <w:szCs w:val="18"/>
              </w:rPr>
            </w:pPr>
            <w:r>
              <w:rPr>
                <w:rFonts w:ascii="EC Square Sans Cond Pro" w:hAnsi="EC Square Sans Cond Pro" w:cs="Calibri"/>
                <w:noProof/>
                <w:color w:val="000000"/>
                <w:sz w:val="18"/>
                <w:szCs w:val="18"/>
              </w:rPr>
              <w:t>-7%</w:t>
            </w:r>
          </w:p>
        </w:tc>
        <w:tc>
          <w:tcPr>
            <w:tcW w:w="504" w:type="pct"/>
            <w:vAlign w:val="center"/>
          </w:tcPr>
          <w:p w14:paraId="36CB1A93" w14:textId="4B73CAC0" w:rsidR="001B683A" w:rsidRPr="0091475D" w:rsidRDefault="001B683A" w:rsidP="001B683A">
            <w:pPr>
              <w:keepNext/>
              <w:spacing w:after="0"/>
              <w:jc w:val="center"/>
              <w:rPr>
                <w:rFonts w:ascii="EC Square Sans Cond Pro" w:hAnsi="EC Square Sans Cond Pro" w:cs="Avenir Next LT Pro"/>
                <w:noProof/>
                <w:sz w:val="18"/>
                <w:szCs w:val="18"/>
              </w:rPr>
            </w:pPr>
            <w:r>
              <w:rPr>
                <w:rFonts w:ascii="EC Square Sans Cond Pro" w:hAnsi="EC Square Sans Cond Pro" w:cs="Calibri"/>
                <w:noProof/>
                <w:color w:val="000000"/>
                <w:sz w:val="18"/>
                <w:szCs w:val="18"/>
              </w:rPr>
              <w:t>-8%</w:t>
            </w:r>
          </w:p>
        </w:tc>
        <w:tc>
          <w:tcPr>
            <w:tcW w:w="505" w:type="pct"/>
            <w:vAlign w:val="center"/>
          </w:tcPr>
          <w:p w14:paraId="28C74E26" w14:textId="19D04E09" w:rsidR="001B683A" w:rsidRPr="0091475D" w:rsidRDefault="001B683A" w:rsidP="001B683A">
            <w:pPr>
              <w:keepNext/>
              <w:spacing w:after="0"/>
              <w:jc w:val="center"/>
              <w:rPr>
                <w:rFonts w:ascii="EC Square Sans Cond Pro" w:hAnsi="EC Square Sans Cond Pro" w:cs="Cambria Math"/>
                <w:noProof/>
                <w:sz w:val="18"/>
                <w:szCs w:val="18"/>
              </w:rPr>
            </w:pPr>
            <w:r>
              <w:rPr>
                <w:rFonts w:ascii="EC Square Sans Cond Pro" w:hAnsi="EC Square Sans Cond Pro" w:cs="Calibri"/>
                <w:noProof/>
                <w:color w:val="000000"/>
                <w:sz w:val="18"/>
                <w:szCs w:val="18"/>
              </w:rPr>
              <w:t>-10%</w:t>
            </w:r>
          </w:p>
        </w:tc>
      </w:tr>
      <w:tr w:rsidR="00887E0C" w:rsidRPr="0091475D" w14:paraId="235968C1" w14:textId="77777777" w:rsidTr="006C245F">
        <w:trPr>
          <w:trHeight w:val="311"/>
        </w:trPr>
        <w:tc>
          <w:tcPr>
            <w:tcW w:w="967" w:type="pct"/>
            <w:noWrap/>
            <w:vAlign w:val="center"/>
          </w:tcPr>
          <w:p w14:paraId="7E120E43" w14:textId="23F8CEAA" w:rsidR="00887E0C" w:rsidRPr="0091475D" w:rsidRDefault="00887E0C" w:rsidP="001B683A">
            <w:pPr>
              <w:keepNext/>
              <w:spacing w:after="0"/>
              <w:jc w:val="left"/>
              <w:rPr>
                <w:rFonts w:ascii="EC Square Sans Cond Pro" w:hAnsi="EC Square Sans Cond Pro" w:cs="Avenir Next LT Pro"/>
                <w:noProof/>
                <w:sz w:val="18"/>
                <w:szCs w:val="18"/>
                <w:lang w:val="en-IE"/>
              </w:rPr>
            </w:pPr>
            <w:r>
              <w:rPr>
                <w:rFonts w:ascii="EC Square Sans Cond Pro" w:hAnsi="EC Square Sans Cond Pro" w:cs="Avenir Next LT Pro"/>
                <w:noProof/>
                <w:sz w:val="18"/>
                <w:szCs w:val="18"/>
                <w:lang w:val="en-IE"/>
              </w:rPr>
              <w:t>CO2</w:t>
            </w:r>
          </w:p>
        </w:tc>
        <w:tc>
          <w:tcPr>
            <w:tcW w:w="504" w:type="pct"/>
            <w:vAlign w:val="center"/>
          </w:tcPr>
          <w:p w14:paraId="15BA1335" w14:textId="3AB493CE" w:rsidR="00887E0C" w:rsidRDefault="00D6789A" w:rsidP="001B683A">
            <w:pPr>
              <w:keepNext/>
              <w:spacing w:after="0"/>
              <w:jc w:val="center"/>
              <w:rPr>
                <w:rFonts w:ascii="EC Square Sans Cond Pro" w:hAnsi="EC Square Sans Cond Pro" w:cs="Arial"/>
                <w:noProof/>
                <w:color w:val="000000"/>
                <w:sz w:val="18"/>
                <w:szCs w:val="18"/>
              </w:rPr>
            </w:pPr>
            <w:r>
              <w:rPr>
                <w:rFonts w:ascii="EC Square Sans Cond Pro" w:hAnsi="EC Square Sans Cond Pro" w:cs="Arial"/>
                <w:noProof/>
                <w:color w:val="000000"/>
                <w:sz w:val="18"/>
                <w:szCs w:val="18"/>
              </w:rPr>
              <w:t>9</w:t>
            </w:r>
          </w:p>
        </w:tc>
        <w:tc>
          <w:tcPr>
            <w:tcW w:w="504" w:type="pct"/>
            <w:noWrap/>
            <w:vAlign w:val="center"/>
          </w:tcPr>
          <w:p w14:paraId="1E7F9D44" w14:textId="1EE0A4F0" w:rsidR="00887E0C" w:rsidRDefault="00B66BAC" w:rsidP="001B683A">
            <w:pPr>
              <w:keepNext/>
              <w:spacing w:after="0"/>
              <w:jc w:val="center"/>
              <w:rPr>
                <w:rFonts w:ascii="EC Square Sans Cond Pro" w:hAnsi="EC Square Sans Cond Pro" w:cs="Arial"/>
                <w:noProof/>
                <w:color w:val="000000"/>
                <w:sz w:val="18"/>
                <w:szCs w:val="18"/>
              </w:rPr>
            </w:pPr>
            <w:r>
              <w:rPr>
                <w:rFonts w:ascii="EC Square Sans Cond Pro" w:hAnsi="EC Square Sans Cond Pro" w:cs="Arial"/>
                <w:noProof/>
                <w:color w:val="000000"/>
                <w:sz w:val="18"/>
                <w:szCs w:val="18"/>
              </w:rPr>
              <w:t>10</w:t>
            </w:r>
          </w:p>
        </w:tc>
        <w:tc>
          <w:tcPr>
            <w:tcW w:w="504" w:type="pct"/>
            <w:vAlign w:val="center"/>
          </w:tcPr>
          <w:p w14:paraId="20C0F858" w14:textId="6FBB277D" w:rsidR="00887E0C" w:rsidRDefault="00D6789A" w:rsidP="001B683A">
            <w:pPr>
              <w:keepNext/>
              <w:spacing w:after="0"/>
              <w:jc w:val="center"/>
              <w:rPr>
                <w:rFonts w:ascii="EC Square Sans Cond Pro" w:hAnsi="EC Square Sans Cond Pro" w:cs="Arial"/>
                <w:noProof/>
                <w:color w:val="000000"/>
                <w:sz w:val="18"/>
                <w:szCs w:val="18"/>
              </w:rPr>
            </w:pPr>
            <w:r>
              <w:rPr>
                <w:rFonts w:ascii="EC Square Sans Cond Pro" w:hAnsi="EC Square Sans Cond Pro" w:cs="Arial"/>
                <w:noProof/>
                <w:color w:val="000000"/>
                <w:sz w:val="18"/>
                <w:szCs w:val="18"/>
              </w:rPr>
              <w:t>10</w:t>
            </w:r>
          </w:p>
        </w:tc>
        <w:tc>
          <w:tcPr>
            <w:tcW w:w="504" w:type="pct"/>
            <w:vAlign w:val="center"/>
          </w:tcPr>
          <w:p w14:paraId="26041C1D" w14:textId="54D3E87C" w:rsidR="00887E0C" w:rsidRDefault="00D6789A" w:rsidP="001B683A">
            <w:pPr>
              <w:keepNext/>
              <w:spacing w:after="0"/>
              <w:jc w:val="center"/>
              <w:rPr>
                <w:rFonts w:ascii="EC Square Sans Cond Pro" w:hAnsi="EC Square Sans Cond Pro" w:cs="Arial"/>
                <w:noProof/>
                <w:color w:val="000000"/>
                <w:sz w:val="18"/>
                <w:szCs w:val="18"/>
              </w:rPr>
            </w:pPr>
            <w:r>
              <w:rPr>
                <w:rFonts w:ascii="EC Square Sans Cond Pro" w:hAnsi="EC Square Sans Cond Pro" w:cs="Arial"/>
                <w:noProof/>
                <w:color w:val="000000"/>
                <w:sz w:val="18"/>
                <w:szCs w:val="18"/>
              </w:rPr>
              <w:t>1</w:t>
            </w:r>
            <w:r w:rsidR="00B66BAC">
              <w:rPr>
                <w:rFonts w:ascii="EC Square Sans Cond Pro" w:hAnsi="EC Square Sans Cond Pro" w:cs="Arial"/>
                <w:noProof/>
                <w:color w:val="000000"/>
                <w:sz w:val="18"/>
                <w:szCs w:val="18"/>
              </w:rPr>
              <w:t>0</w:t>
            </w:r>
          </w:p>
        </w:tc>
        <w:tc>
          <w:tcPr>
            <w:tcW w:w="504" w:type="pct"/>
            <w:vAlign w:val="center"/>
          </w:tcPr>
          <w:p w14:paraId="06B75DB4" w14:textId="095163BA" w:rsidR="00887E0C" w:rsidRDefault="00D6789A" w:rsidP="001B683A">
            <w:pPr>
              <w:keepNext/>
              <w:spacing w:after="0"/>
              <w:jc w:val="center"/>
              <w:rPr>
                <w:rFonts w:ascii="EC Square Sans Cond Pro" w:hAnsi="EC Square Sans Cond Pro" w:cs="Arial"/>
                <w:noProof/>
                <w:color w:val="000000"/>
                <w:sz w:val="18"/>
                <w:szCs w:val="18"/>
              </w:rPr>
            </w:pPr>
            <w:r>
              <w:rPr>
                <w:rFonts w:ascii="EC Square Sans Cond Pro" w:hAnsi="EC Square Sans Cond Pro" w:cs="Arial"/>
                <w:noProof/>
                <w:color w:val="000000"/>
                <w:sz w:val="18"/>
                <w:szCs w:val="18"/>
              </w:rPr>
              <w:t>10</w:t>
            </w:r>
          </w:p>
        </w:tc>
        <w:tc>
          <w:tcPr>
            <w:tcW w:w="504" w:type="pct"/>
            <w:vAlign w:val="center"/>
          </w:tcPr>
          <w:p w14:paraId="43927BB6" w14:textId="14BDAFBA" w:rsidR="00887E0C" w:rsidRDefault="00D31A8B" w:rsidP="001B683A">
            <w:pPr>
              <w:keepNext/>
              <w:spacing w:after="0"/>
              <w:jc w:val="center"/>
              <w:rPr>
                <w:rFonts w:ascii="EC Square Sans Cond Pro" w:hAnsi="EC Square Sans Cond Pro" w:cs="Calibri"/>
                <w:noProof/>
                <w:color w:val="000000"/>
                <w:sz w:val="18"/>
                <w:szCs w:val="18"/>
              </w:rPr>
            </w:pPr>
            <w:r>
              <w:rPr>
                <w:rFonts w:ascii="EC Square Sans Cond Pro" w:hAnsi="EC Square Sans Cond Pro" w:cs="Calibri"/>
                <w:noProof/>
                <w:color w:val="000000"/>
                <w:sz w:val="18"/>
                <w:szCs w:val="18"/>
              </w:rPr>
              <w:t>3%</w:t>
            </w:r>
          </w:p>
        </w:tc>
        <w:tc>
          <w:tcPr>
            <w:tcW w:w="504" w:type="pct"/>
            <w:vAlign w:val="center"/>
          </w:tcPr>
          <w:p w14:paraId="65A0CD3B" w14:textId="26A41D3D" w:rsidR="00887E0C" w:rsidRDefault="00D31A8B" w:rsidP="001B683A">
            <w:pPr>
              <w:keepNext/>
              <w:spacing w:after="0"/>
              <w:jc w:val="center"/>
              <w:rPr>
                <w:rFonts w:ascii="EC Square Sans Cond Pro" w:hAnsi="EC Square Sans Cond Pro" w:cs="Calibri"/>
                <w:noProof/>
                <w:color w:val="000000"/>
                <w:sz w:val="18"/>
                <w:szCs w:val="18"/>
              </w:rPr>
            </w:pPr>
            <w:r>
              <w:rPr>
                <w:rFonts w:ascii="EC Square Sans Cond Pro" w:hAnsi="EC Square Sans Cond Pro" w:cs="Calibri"/>
                <w:noProof/>
                <w:color w:val="000000"/>
                <w:sz w:val="18"/>
                <w:szCs w:val="18"/>
              </w:rPr>
              <w:t>3%</w:t>
            </w:r>
          </w:p>
        </w:tc>
        <w:tc>
          <w:tcPr>
            <w:tcW w:w="505" w:type="pct"/>
            <w:vAlign w:val="center"/>
          </w:tcPr>
          <w:p w14:paraId="64EE41A6" w14:textId="5F95582F" w:rsidR="00887E0C" w:rsidRDefault="00D31A8B" w:rsidP="001B683A">
            <w:pPr>
              <w:keepNext/>
              <w:spacing w:after="0"/>
              <w:jc w:val="center"/>
              <w:rPr>
                <w:rFonts w:ascii="EC Square Sans Cond Pro" w:hAnsi="EC Square Sans Cond Pro" w:cs="Calibri"/>
                <w:noProof/>
                <w:color w:val="000000"/>
                <w:sz w:val="18"/>
                <w:szCs w:val="18"/>
              </w:rPr>
            </w:pPr>
            <w:r>
              <w:rPr>
                <w:rFonts w:ascii="EC Square Sans Cond Pro" w:hAnsi="EC Square Sans Cond Pro" w:cs="Calibri"/>
                <w:noProof/>
                <w:color w:val="000000"/>
                <w:sz w:val="18"/>
                <w:szCs w:val="18"/>
              </w:rPr>
              <w:t>3%</w:t>
            </w:r>
          </w:p>
        </w:tc>
      </w:tr>
      <w:tr w:rsidR="001B683A" w:rsidRPr="0091475D" w14:paraId="1F0D2B8A" w14:textId="77777777" w:rsidTr="006C245F">
        <w:trPr>
          <w:trHeight w:val="311"/>
        </w:trPr>
        <w:tc>
          <w:tcPr>
            <w:tcW w:w="967" w:type="pct"/>
            <w:noWrap/>
            <w:vAlign w:val="center"/>
          </w:tcPr>
          <w:p w14:paraId="09578DFE" w14:textId="77777777" w:rsidR="001B683A" w:rsidRPr="0091475D" w:rsidRDefault="001B683A" w:rsidP="001B683A">
            <w:pPr>
              <w:keepNext/>
              <w:spacing w:after="0"/>
              <w:jc w:val="left"/>
              <w:rPr>
                <w:rFonts w:ascii="EC Square Sans Cond Pro" w:hAnsi="EC Square Sans Cond Pro" w:cs="Avenir Next LT Pro"/>
                <w:noProof/>
                <w:sz w:val="18"/>
                <w:szCs w:val="18"/>
                <w:lang w:val="en-IE"/>
              </w:rPr>
            </w:pPr>
            <w:r w:rsidRPr="0091475D">
              <w:rPr>
                <w:rFonts w:ascii="EC Square Sans Cond Pro" w:hAnsi="EC Square Sans Cond Pro" w:cs="Avenir Next LT Pro"/>
                <w:noProof/>
                <w:sz w:val="18"/>
                <w:szCs w:val="18"/>
                <w:lang w:val="en-IE"/>
              </w:rPr>
              <w:t>Total (all gases)</w:t>
            </w:r>
          </w:p>
        </w:tc>
        <w:tc>
          <w:tcPr>
            <w:tcW w:w="504" w:type="pct"/>
            <w:vAlign w:val="center"/>
          </w:tcPr>
          <w:p w14:paraId="7EEEFE05" w14:textId="717C90B8" w:rsidR="001B683A" w:rsidRPr="0091475D" w:rsidRDefault="001B683A" w:rsidP="001B683A">
            <w:pPr>
              <w:keepNext/>
              <w:spacing w:after="0"/>
              <w:jc w:val="center"/>
              <w:rPr>
                <w:rFonts w:ascii="EC Square Sans Cond Pro" w:hAnsi="EC Square Sans Cond Pro" w:cs="Cambria Math"/>
                <w:noProof/>
                <w:sz w:val="18"/>
                <w:szCs w:val="18"/>
              </w:rPr>
            </w:pPr>
            <w:r>
              <w:rPr>
                <w:rFonts w:ascii="EC Square Sans Cond Pro" w:hAnsi="EC Square Sans Cond Pro" w:cs="Calibri"/>
                <w:noProof/>
                <w:color w:val="000000"/>
                <w:sz w:val="18"/>
                <w:szCs w:val="18"/>
              </w:rPr>
              <w:t>3</w:t>
            </w:r>
            <w:r w:rsidR="005B2D4A">
              <w:rPr>
                <w:rFonts w:ascii="EC Square Sans Cond Pro" w:hAnsi="EC Square Sans Cond Pro" w:cs="Calibri"/>
                <w:noProof/>
                <w:color w:val="000000"/>
                <w:sz w:val="18"/>
                <w:szCs w:val="18"/>
              </w:rPr>
              <w:t>9</w:t>
            </w:r>
            <w:r w:rsidR="003E244B">
              <w:rPr>
                <w:rFonts w:ascii="EC Square Sans Cond Pro" w:hAnsi="EC Square Sans Cond Pro" w:cs="Calibri"/>
                <w:noProof/>
                <w:color w:val="000000"/>
                <w:sz w:val="18"/>
                <w:szCs w:val="18"/>
              </w:rPr>
              <w:t>0</w:t>
            </w:r>
          </w:p>
        </w:tc>
        <w:tc>
          <w:tcPr>
            <w:tcW w:w="504" w:type="pct"/>
            <w:noWrap/>
            <w:vAlign w:val="center"/>
          </w:tcPr>
          <w:p w14:paraId="31940CBA" w14:textId="7ACB1A91" w:rsidR="001B683A" w:rsidRPr="0091475D" w:rsidRDefault="001B683A" w:rsidP="001B683A">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3</w:t>
            </w:r>
            <w:r w:rsidR="005B2D4A">
              <w:rPr>
                <w:rFonts w:ascii="EC Square Sans Cond Pro" w:hAnsi="EC Square Sans Cond Pro" w:cs="Calibri"/>
                <w:noProof/>
                <w:color w:val="000000"/>
                <w:sz w:val="18"/>
                <w:szCs w:val="18"/>
              </w:rPr>
              <w:t>8</w:t>
            </w:r>
            <w:r>
              <w:rPr>
                <w:rFonts w:ascii="EC Square Sans Cond Pro" w:hAnsi="EC Square Sans Cond Pro" w:cs="Calibri"/>
                <w:noProof/>
                <w:color w:val="000000"/>
                <w:sz w:val="18"/>
                <w:szCs w:val="18"/>
              </w:rPr>
              <w:t>5</w:t>
            </w:r>
          </w:p>
        </w:tc>
        <w:tc>
          <w:tcPr>
            <w:tcW w:w="504" w:type="pct"/>
            <w:vAlign w:val="center"/>
          </w:tcPr>
          <w:p w14:paraId="17B90407" w14:textId="76BF4697" w:rsidR="001B683A" w:rsidRPr="0091475D" w:rsidRDefault="001B683A" w:rsidP="001B683A">
            <w:pPr>
              <w:keepNext/>
              <w:spacing w:after="0"/>
              <w:jc w:val="center"/>
              <w:rPr>
                <w:rFonts w:ascii="EC Square Sans Cond Pro" w:hAnsi="EC Square Sans Cond Pro" w:cs="Cambria Math"/>
                <w:noProof/>
                <w:sz w:val="18"/>
                <w:szCs w:val="18"/>
              </w:rPr>
            </w:pPr>
            <w:r>
              <w:rPr>
                <w:rFonts w:ascii="EC Square Sans Cond Pro" w:hAnsi="EC Square Sans Cond Pro" w:cs="Calibri"/>
                <w:noProof/>
                <w:color w:val="000000"/>
                <w:sz w:val="18"/>
                <w:szCs w:val="18"/>
              </w:rPr>
              <w:t>3</w:t>
            </w:r>
            <w:r w:rsidR="005B2D4A">
              <w:rPr>
                <w:rFonts w:ascii="EC Square Sans Cond Pro" w:hAnsi="EC Square Sans Cond Pro" w:cs="Calibri"/>
                <w:noProof/>
                <w:color w:val="000000"/>
                <w:sz w:val="18"/>
                <w:szCs w:val="18"/>
              </w:rPr>
              <w:t>6</w:t>
            </w:r>
            <w:r>
              <w:rPr>
                <w:rFonts w:ascii="EC Square Sans Cond Pro" w:hAnsi="EC Square Sans Cond Pro" w:cs="Calibri"/>
                <w:noProof/>
                <w:color w:val="000000"/>
                <w:sz w:val="18"/>
                <w:szCs w:val="18"/>
              </w:rPr>
              <w:t>1</w:t>
            </w:r>
          </w:p>
        </w:tc>
        <w:tc>
          <w:tcPr>
            <w:tcW w:w="504" w:type="pct"/>
            <w:vAlign w:val="center"/>
          </w:tcPr>
          <w:p w14:paraId="2FDC4CD2" w14:textId="65BAD410" w:rsidR="001B683A" w:rsidRPr="0091475D" w:rsidRDefault="001B683A" w:rsidP="001B683A">
            <w:pPr>
              <w:keepNext/>
              <w:spacing w:after="0"/>
              <w:jc w:val="center"/>
              <w:rPr>
                <w:rFonts w:ascii="EC Square Sans Cond Pro" w:hAnsi="EC Square Sans Cond Pro" w:cs="Cambria Math"/>
                <w:noProof/>
                <w:sz w:val="18"/>
                <w:szCs w:val="18"/>
              </w:rPr>
            </w:pPr>
            <w:r>
              <w:rPr>
                <w:rFonts w:ascii="EC Square Sans Cond Pro" w:hAnsi="EC Square Sans Cond Pro" w:cs="Calibri"/>
                <w:noProof/>
                <w:color w:val="000000"/>
                <w:sz w:val="18"/>
                <w:szCs w:val="18"/>
              </w:rPr>
              <w:t>3</w:t>
            </w:r>
            <w:r w:rsidR="005B2D4A">
              <w:rPr>
                <w:rFonts w:ascii="EC Square Sans Cond Pro" w:hAnsi="EC Square Sans Cond Pro" w:cs="Calibri"/>
                <w:noProof/>
                <w:color w:val="000000"/>
                <w:sz w:val="18"/>
                <w:szCs w:val="18"/>
              </w:rPr>
              <w:t>5</w:t>
            </w:r>
            <w:r>
              <w:rPr>
                <w:rFonts w:ascii="EC Square Sans Cond Pro" w:hAnsi="EC Square Sans Cond Pro" w:cs="Calibri"/>
                <w:noProof/>
                <w:color w:val="000000"/>
                <w:sz w:val="18"/>
                <w:szCs w:val="18"/>
              </w:rPr>
              <w:t>1</w:t>
            </w:r>
          </w:p>
        </w:tc>
        <w:tc>
          <w:tcPr>
            <w:tcW w:w="504" w:type="pct"/>
            <w:vAlign w:val="center"/>
          </w:tcPr>
          <w:p w14:paraId="317BEAAF" w14:textId="62AA4621" w:rsidR="001B683A" w:rsidRPr="0091475D" w:rsidRDefault="001B683A" w:rsidP="001B683A">
            <w:pPr>
              <w:keepNext/>
              <w:spacing w:after="0"/>
              <w:jc w:val="center"/>
              <w:rPr>
                <w:rFonts w:ascii="EC Square Sans Cond Pro" w:hAnsi="EC Square Sans Cond Pro" w:cs="Cambria Math"/>
                <w:noProof/>
                <w:sz w:val="18"/>
                <w:szCs w:val="18"/>
              </w:rPr>
            </w:pPr>
            <w:r>
              <w:rPr>
                <w:rFonts w:ascii="EC Square Sans Cond Pro" w:hAnsi="EC Square Sans Cond Pro" w:cs="Calibri"/>
                <w:noProof/>
                <w:color w:val="000000"/>
                <w:sz w:val="18"/>
                <w:szCs w:val="18"/>
              </w:rPr>
              <w:t>3</w:t>
            </w:r>
            <w:r w:rsidR="005B2D4A">
              <w:rPr>
                <w:rFonts w:ascii="EC Square Sans Cond Pro" w:hAnsi="EC Square Sans Cond Pro" w:cs="Calibri"/>
                <w:noProof/>
                <w:color w:val="000000"/>
                <w:sz w:val="18"/>
                <w:szCs w:val="18"/>
              </w:rPr>
              <w:t>4</w:t>
            </w:r>
            <w:r>
              <w:rPr>
                <w:rFonts w:ascii="EC Square Sans Cond Pro" w:hAnsi="EC Square Sans Cond Pro" w:cs="Calibri"/>
                <w:noProof/>
                <w:color w:val="000000"/>
                <w:sz w:val="18"/>
                <w:szCs w:val="18"/>
              </w:rPr>
              <w:t>7</w:t>
            </w:r>
          </w:p>
        </w:tc>
        <w:tc>
          <w:tcPr>
            <w:tcW w:w="504" w:type="pct"/>
            <w:vAlign w:val="center"/>
          </w:tcPr>
          <w:p w14:paraId="79E6FF9B" w14:textId="715695EC" w:rsidR="001B683A" w:rsidRPr="0091475D" w:rsidRDefault="001B683A" w:rsidP="001B683A">
            <w:pPr>
              <w:keepNext/>
              <w:spacing w:after="0"/>
              <w:jc w:val="center"/>
              <w:rPr>
                <w:rFonts w:ascii="EC Square Sans Cond Pro" w:hAnsi="EC Square Sans Cond Pro" w:cs="Cambria Math"/>
                <w:noProof/>
                <w:sz w:val="18"/>
                <w:szCs w:val="18"/>
              </w:rPr>
            </w:pPr>
            <w:r>
              <w:rPr>
                <w:rFonts w:ascii="EC Square Sans Cond Pro" w:hAnsi="EC Square Sans Cond Pro" w:cs="Calibri"/>
                <w:noProof/>
                <w:color w:val="000000"/>
                <w:sz w:val="18"/>
                <w:szCs w:val="18"/>
              </w:rPr>
              <w:t>-6%</w:t>
            </w:r>
          </w:p>
        </w:tc>
        <w:tc>
          <w:tcPr>
            <w:tcW w:w="504" w:type="pct"/>
            <w:vAlign w:val="center"/>
          </w:tcPr>
          <w:p w14:paraId="2DE8DAD1" w14:textId="3ADD8DC5" w:rsidR="001B683A" w:rsidRPr="0091475D" w:rsidRDefault="001B683A" w:rsidP="001B683A">
            <w:pPr>
              <w:keepNext/>
              <w:spacing w:after="0"/>
              <w:jc w:val="center"/>
              <w:rPr>
                <w:rFonts w:ascii="EC Square Sans Cond Pro" w:hAnsi="EC Square Sans Cond Pro" w:cs="Avenir Next LT Pro"/>
                <w:noProof/>
                <w:sz w:val="18"/>
                <w:szCs w:val="18"/>
              </w:rPr>
            </w:pPr>
            <w:r>
              <w:rPr>
                <w:rFonts w:ascii="EC Square Sans Cond Pro" w:hAnsi="EC Square Sans Cond Pro" w:cs="Calibri"/>
                <w:noProof/>
                <w:color w:val="000000"/>
                <w:sz w:val="18"/>
                <w:szCs w:val="18"/>
              </w:rPr>
              <w:t>-9%</w:t>
            </w:r>
          </w:p>
        </w:tc>
        <w:tc>
          <w:tcPr>
            <w:tcW w:w="505" w:type="pct"/>
            <w:vAlign w:val="center"/>
          </w:tcPr>
          <w:p w14:paraId="591F40FE" w14:textId="3DB655D4" w:rsidR="001B683A" w:rsidRPr="0091475D" w:rsidRDefault="001B683A" w:rsidP="001B683A">
            <w:pPr>
              <w:keepNext/>
              <w:spacing w:after="0"/>
              <w:jc w:val="center"/>
              <w:rPr>
                <w:rFonts w:ascii="EC Square Sans Cond Pro" w:hAnsi="EC Square Sans Cond Pro" w:cs="Cambria Math"/>
                <w:noProof/>
                <w:sz w:val="18"/>
                <w:szCs w:val="18"/>
              </w:rPr>
            </w:pPr>
            <w:r>
              <w:rPr>
                <w:rFonts w:ascii="EC Square Sans Cond Pro" w:hAnsi="EC Square Sans Cond Pro" w:cs="Calibri"/>
                <w:noProof/>
                <w:color w:val="000000"/>
                <w:sz w:val="18"/>
                <w:szCs w:val="18"/>
              </w:rPr>
              <w:t>-10%</w:t>
            </w:r>
          </w:p>
        </w:tc>
      </w:tr>
    </w:tbl>
    <w:p w14:paraId="022975BB" w14:textId="1A851FB3" w:rsidR="00A65228" w:rsidRPr="00E914AC" w:rsidRDefault="00A65228" w:rsidP="00AC3A30">
      <w:pPr>
        <w:pStyle w:val="CT-NOTE"/>
        <w:rPr>
          <w:noProof/>
        </w:rPr>
      </w:pPr>
    </w:p>
    <w:p w14:paraId="0B96334B" w14:textId="036A0318" w:rsidR="0053435C" w:rsidRPr="008D3328" w:rsidRDefault="0053435C" w:rsidP="00AC3A30">
      <w:pPr>
        <w:pStyle w:val="CT-SOURCE"/>
        <w:rPr>
          <w:noProof/>
        </w:rPr>
      </w:pPr>
      <w:r w:rsidRPr="008D3328">
        <w:rPr>
          <w:noProof/>
        </w:rPr>
        <w:t>Source: GAINS.</w:t>
      </w:r>
    </w:p>
    <w:bookmarkEnd w:id="423"/>
    <w:p w14:paraId="135D1F7A" w14:textId="47261D4F" w:rsidR="00A65228" w:rsidRPr="00386315" w:rsidRDefault="00C459D4" w:rsidP="007A6959">
      <w:pPr>
        <w:pStyle w:val="Heading4"/>
        <w:rPr>
          <w:noProof/>
        </w:rPr>
      </w:pPr>
      <w:r>
        <w:rPr>
          <w:noProof/>
        </w:rPr>
        <w:t>LIFE</w:t>
      </w:r>
      <w:r w:rsidR="00B04ADF">
        <w:rPr>
          <w:noProof/>
        </w:rPr>
        <w:t xml:space="preserve"> scenario</w:t>
      </w:r>
    </w:p>
    <w:p w14:paraId="25286726" w14:textId="1EA78C45" w:rsidR="00611838" w:rsidRDefault="00C459D4" w:rsidP="00E97252">
      <w:pPr>
        <w:rPr>
          <w:noProof/>
          <w:lang w:val="en-IE"/>
        </w:rPr>
      </w:pPr>
      <w:r>
        <w:rPr>
          <w:noProof/>
          <w:lang w:val="en-IE"/>
        </w:rPr>
        <w:t>LIFE</w:t>
      </w:r>
      <w:r w:rsidR="00206593" w:rsidRPr="00206593">
        <w:rPr>
          <w:noProof/>
          <w:lang w:val="en-IE"/>
        </w:rPr>
        <w:t xml:space="preserve"> considers a more sustainable lifestyle guided by consumer climate-friendy choices and a more efficient use of the resources</w:t>
      </w:r>
      <w:r w:rsidR="00206593">
        <w:rPr>
          <w:noProof/>
          <w:lang w:val="en-IE"/>
        </w:rPr>
        <w:t>.</w:t>
      </w:r>
      <w:r w:rsidR="00206593" w:rsidRPr="00206593">
        <w:rPr>
          <w:noProof/>
          <w:lang w:val="en-IE"/>
        </w:rPr>
        <w:t xml:space="preserve"> </w:t>
      </w:r>
      <w:r w:rsidR="00887E0C">
        <w:rPr>
          <w:noProof/>
          <w:lang w:val="en-IE"/>
        </w:rPr>
        <w:t xml:space="preserve">Besides the impact of the existing policy framework, </w:t>
      </w:r>
      <w:r w:rsidR="00E97252" w:rsidRPr="008C63A1">
        <w:rPr>
          <w:noProof/>
          <w:lang w:val="en-IE"/>
        </w:rPr>
        <w:t>LIFE</w:t>
      </w:r>
      <w:r w:rsidR="00E97252">
        <w:rPr>
          <w:noProof/>
          <w:lang w:val="en-IE"/>
        </w:rPr>
        <w:t xml:space="preserve"> assume</w:t>
      </w:r>
      <w:r w:rsidR="00386315">
        <w:rPr>
          <w:noProof/>
          <w:lang w:val="en-IE"/>
        </w:rPr>
        <w:t>s</w:t>
      </w:r>
      <w:r w:rsidR="00E97252">
        <w:rPr>
          <w:noProof/>
          <w:lang w:val="en-IE"/>
        </w:rPr>
        <w:t xml:space="preserve"> changes in the food system </w:t>
      </w:r>
      <w:r w:rsidR="00611838">
        <w:rPr>
          <w:noProof/>
          <w:lang w:val="en-IE"/>
        </w:rPr>
        <w:t>in terms of</w:t>
      </w:r>
      <w:r w:rsidR="00611838" w:rsidRPr="00291402">
        <w:rPr>
          <w:noProof/>
          <w:lang w:val="en-IE"/>
        </w:rPr>
        <w:t xml:space="preserve"> dietary changes, food waste reduction and </w:t>
      </w:r>
      <w:r w:rsidR="00611838">
        <w:rPr>
          <w:noProof/>
          <w:lang w:val="en-IE"/>
        </w:rPr>
        <w:t>a gradual</w:t>
      </w:r>
      <w:r w:rsidR="00611838" w:rsidRPr="00291402">
        <w:rPr>
          <w:noProof/>
          <w:lang w:val="en-IE"/>
        </w:rPr>
        <w:t xml:space="preserve"> implementation </w:t>
      </w:r>
      <w:r w:rsidR="00611838">
        <w:rPr>
          <w:noProof/>
          <w:lang w:val="en-IE"/>
        </w:rPr>
        <w:t>by 2040</w:t>
      </w:r>
      <w:r w:rsidR="00611838" w:rsidRPr="00291402">
        <w:rPr>
          <w:noProof/>
          <w:lang w:val="en-IE"/>
        </w:rPr>
        <w:t xml:space="preserve"> of the </w:t>
      </w:r>
      <w:r w:rsidR="00611838">
        <w:rPr>
          <w:noProof/>
          <w:lang w:val="en-IE"/>
        </w:rPr>
        <w:t xml:space="preserve">objectives of the </w:t>
      </w:r>
      <w:r w:rsidR="00611838" w:rsidRPr="00291402">
        <w:rPr>
          <w:noProof/>
          <w:lang w:val="en-IE"/>
        </w:rPr>
        <w:t>Farm to Fork Strategy</w:t>
      </w:r>
      <w:r w:rsidR="00611838">
        <w:rPr>
          <w:noProof/>
          <w:lang w:val="en-IE"/>
        </w:rPr>
        <w:t xml:space="preserve"> </w:t>
      </w:r>
      <w:r w:rsidR="00611838" w:rsidRPr="00291402">
        <w:rPr>
          <w:noProof/>
          <w:lang w:val="en-IE"/>
        </w:rPr>
        <w:t>(</w:t>
      </w:r>
      <w:r w:rsidR="00611838" w:rsidRPr="00291402">
        <w:rPr>
          <w:rStyle w:val="FootnoteReference"/>
          <w:noProof/>
          <w:lang w:val="en-IE"/>
        </w:rPr>
        <w:footnoteReference w:id="150"/>
      </w:r>
      <w:r w:rsidR="00611838" w:rsidRPr="00291402">
        <w:rPr>
          <w:noProof/>
          <w:lang w:val="en-IE"/>
        </w:rPr>
        <w:t>)</w:t>
      </w:r>
      <w:r w:rsidR="006F17EC">
        <w:rPr>
          <w:noProof/>
          <w:lang w:val="en-IE"/>
        </w:rPr>
        <w:t>. This</w:t>
      </w:r>
      <w:r w:rsidR="00611838" w:rsidRPr="00291402">
        <w:rPr>
          <w:noProof/>
          <w:lang w:val="en-IE"/>
        </w:rPr>
        <w:t xml:space="preserve"> lead</w:t>
      </w:r>
      <w:r w:rsidR="006F17EC">
        <w:rPr>
          <w:noProof/>
          <w:lang w:val="en-IE"/>
        </w:rPr>
        <w:t>s</w:t>
      </w:r>
      <w:r w:rsidR="00611838" w:rsidRPr="00291402">
        <w:rPr>
          <w:noProof/>
          <w:lang w:val="en-IE"/>
        </w:rPr>
        <w:t xml:space="preserve"> to changes in sectoral activity</w:t>
      </w:r>
      <w:r w:rsidR="00611838">
        <w:rPr>
          <w:noProof/>
          <w:lang w:val="en-IE"/>
        </w:rPr>
        <w:t xml:space="preserve"> </w:t>
      </w:r>
      <w:r w:rsidR="006F17EC">
        <w:rPr>
          <w:noProof/>
          <w:lang w:val="en-IE"/>
        </w:rPr>
        <w:t>(</w:t>
      </w:r>
      <w:r w:rsidR="00611838">
        <w:rPr>
          <w:noProof/>
          <w:lang w:val="en-IE"/>
        </w:rPr>
        <w:t xml:space="preserve">notably </w:t>
      </w:r>
      <w:r w:rsidR="00611838" w:rsidRPr="00291402">
        <w:rPr>
          <w:noProof/>
          <w:lang w:val="en-IE"/>
        </w:rPr>
        <w:t xml:space="preserve">in livestock of cattle and other animals as well as </w:t>
      </w:r>
      <w:r w:rsidR="00D855E5">
        <w:rPr>
          <w:noProof/>
          <w:lang w:val="en-IE"/>
        </w:rPr>
        <w:t xml:space="preserve">in </w:t>
      </w:r>
      <w:r w:rsidR="00611838" w:rsidRPr="00291402">
        <w:rPr>
          <w:noProof/>
          <w:lang w:val="en-IE"/>
        </w:rPr>
        <w:t>use of manure and mineral fertilisers</w:t>
      </w:r>
      <w:r w:rsidR="006F17EC">
        <w:rPr>
          <w:noProof/>
          <w:lang w:val="en-IE"/>
        </w:rPr>
        <w:t>)</w:t>
      </w:r>
      <w:r w:rsidR="00611838" w:rsidRPr="00291402">
        <w:rPr>
          <w:noProof/>
          <w:lang w:val="en-IE"/>
        </w:rPr>
        <w:t xml:space="preserve"> compared to the </w:t>
      </w:r>
      <w:r w:rsidR="00611838" w:rsidRPr="00386315">
        <w:rPr>
          <w:noProof/>
          <w:lang w:val="en-IE"/>
        </w:rPr>
        <w:t>main</w:t>
      </w:r>
      <w:r w:rsidR="00611838" w:rsidRPr="00291402">
        <w:rPr>
          <w:noProof/>
          <w:lang w:val="en-IE"/>
        </w:rPr>
        <w:t xml:space="preserve"> scenarios</w:t>
      </w:r>
      <w:r w:rsidR="00611838" w:rsidRPr="00386315">
        <w:rPr>
          <w:noProof/>
          <w:lang w:val="en-IE"/>
        </w:rPr>
        <w:t xml:space="preserve"> </w:t>
      </w:r>
      <w:r w:rsidR="00611838">
        <w:rPr>
          <w:noProof/>
          <w:lang w:val="en-IE"/>
        </w:rPr>
        <w:t>(</w:t>
      </w:r>
      <w:r w:rsidR="00611838" w:rsidRPr="00386315">
        <w:rPr>
          <w:noProof/>
          <w:lang w:val="en-IE"/>
        </w:rPr>
        <w:t>S1, S2 and S3</w:t>
      </w:r>
      <w:r w:rsidR="00611838">
        <w:rPr>
          <w:noProof/>
          <w:lang w:val="en-IE"/>
        </w:rPr>
        <w:t>)</w:t>
      </w:r>
      <w:r w:rsidR="00611838" w:rsidRPr="00291402">
        <w:rPr>
          <w:noProof/>
          <w:lang w:val="en-IE"/>
        </w:rPr>
        <w:t>.</w:t>
      </w:r>
    </w:p>
    <w:p w14:paraId="0A4029FA" w14:textId="14B367A6" w:rsidR="00C9792C" w:rsidRDefault="00D52CAB" w:rsidP="00E97252">
      <w:pPr>
        <w:rPr>
          <w:noProof/>
          <w:lang w:val="en-IE"/>
        </w:rPr>
      </w:pPr>
      <w:r>
        <w:rPr>
          <w:noProof/>
          <w:lang w:val="en-IE"/>
        </w:rPr>
        <w:t xml:space="preserve">As a result, </w:t>
      </w:r>
      <w:r w:rsidR="00E71E9E">
        <w:rPr>
          <w:noProof/>
          <w:lang w:val="en-IE"/>
        </w:rPr>
        <w:t xml:space="preserve">assuming no deployment of </w:t>
      </w:r>
      <w:r>
        <w:rPr>
          <w:noProof/>
          <w:lang w:val="en-IE"/>
        </w:rPr>
        <w:t>additional</w:t>
      </w:r>
      <w:r w:rsidR="008C4C5C">
        <w:rPr>
          <w:noProof/>
          <w:lang w:val="en-IE"/>
        </w:rPr>
        <w:t xml:space="preserve"> mitigation </w:t>
      </w:r>
      <w:r>
        <w:rPr>
          <w:noProof/>
          <w:lang w:val="en-IE"/>
        </w:rPr>
        <w:t xml:space="preserve">practices and </w:t>
      </w:r>
      <w:r w:rsidR="008C4C5C">
        <w:rPr>
          <w:noProof/>
          <w:lang w:val="en-IE"/>
        </w:rPr>
        <w:t xml:space="preserve">technologies, </w:t>
      </w:r>
      <w:r w:rsidR="00E71E9E">
        <w:rPr>
          <w:noProof/>
          <w:lang w:val="en-IE"/>
        </w:rPr>
        <w:t xml:space="preserve">the GHG emissions from the agriculture sector are lower in </w:t>
      </w:r>
      <w:r w:rsidR="00C459D4">
        <w:rPr>
          <w:noProof/>
          <w:lang w:val="en-IE"/>
        </w:rPr>
        <w:t>LIFE</w:t>
      </w:r>
      <w:r w:rsidR="00611838">
        <w:rPr>
          <w:noProof/>
          <w:lang w:val="en-IE"/>
        </w:rPr>
        <w:t xml:space="preserve"> </w:t>
      </w:r>
      <w:r w:rsidR="00E71E9E">
        <w:rPr>
          <w:noProof/>
          <w:lang w:val="en-IE"/>
        </w:rPr>
        <w:t xml:space="preserve">than in the other scenarios </w:t>
      </w:r>
      <w:r w:rsidR="008704B5">
        <w:rPr>
          <w:noProof/>
          <w:lang w:val="en-IE"/>
        </w:rPr>
        <w:t>(around 80 MtCO2-eq less</w:t>
      </w:r>
      <w:r w:rsidR="00E71E9E">
        <w:rPr>
          <w:noProof/>
          <w:lang w:val="en-IE"/>
        </w:rPr>
        <w:t>,</w:t>
      </w:r>
      <w:r w:rsidR="008704B5">
        <w:rPr>
          <w:noProof/>
          <w:lang w:val="en-IE"/>
        </w:rPr>
        <w:t xml:space="preserve"> both in 2040 and 2050). More specifically, the level of emissions in </w:t>
      </w:r>
      <w:r w:rsidR="00C459D4">
        <w:rPr>
          <w:noProof/>
          <w:lang w:val="en-IE"/>
        </w:rPr>
        <w:t>LIFE</w:t>
      </w:r>
      <w:r w:rsidR="008704B5">
        <w:rPr>
          <w:noProof/>
          <w:lang w:val="en-IE"/>
        </w:rPr>
        <w:t xml:space="preserve"> is projected to be around </w:t>
      </w:r>
      <w:r w:rsidR="00424F2A">
        <w:rPr>
          <w:noProof/>
          <w:lang w:val="en-IE"/>
        </w:rPr>
        <w:t>2</w:t>
      </w:r>
      <w:r w:rsidR="00EA6CA0">
        <w:rPr>
          <w:noProof/>
          <w:lang w:val="en-IE"/>
        </w:rPr>
        <w:t>7</w:t>
      </w:r>
      <w:r w:rsidR="00424F2A">
        <w:rPr>
          <w:noProof/>
          <w:lang w:val="en-IE"/>
        </w:rPr>
        <w:t>1 MtCO2-eq</w:t>
      </w:r>
      <w:r w:rsidR="00291402">
        <w:rPr>
          <w:noProof/>
          <w:lang w:val="en-IE"/>
        </w:rPr>
        <w:t xml:space="preserve"> in 2040</w:t>
      </w:r>
      <w:r w:rsidR="008704B5">
        <w:rPr>
          <w:noProof/>
          <w:lang w:val="en-IE"/>
        </w:rPr>
        <w:t xml:space="preserve"> and 2</w:t>
      </w:r>
      <w:r w:rsidR="00EA6CA0">
        <w:rPr>
          <w:noProof/>
          <w:lang w:val="en-IE"/>
        </w:rPr>
        <w:t>6</w:t>
      </w:r>
      <w:r w:rsidR="008704B5">
        <w:rPr>
          <w:noProof/>
          <w:lang w:val="en-IE"/>
        </w:rPr>
        <w:t xml:space="preserve">9 MtCO2-eq in 2050 </w:t>
      </w:r>
      <w:r w:rsidR="00291402">
        <w:rPr>
          <w:noProof/>
          <w:lang w:val="en-IE"/>
        </w:rPr>
        <w:t>(</w:t>
      </w:r>
      <w:r w:rsidR="00386315">
        <w:rPr>
          <w:noProof/>
          <w:lang w:val="en-IE"/>
        </w:rPr>
        <w:t xml:space="preserve">i.e., </w:t>
      </w:r>
      <w:r w:rsidR="00291402">
        <w:rPr>
          <w:noProof/>
          <w:lang w:val="en-IE"/>
        </w:rPr>
        <w:t xml:space="preserve">30% </w:t>
      </w:r>
      <w:r w:rsidR="008704B5">
        <w:rPr>
          <w:noProof/>
          <w:lang w:val="en-IE"/>
        </w:rPr>
        <w:t>lower than in</w:t>
      </w:r>
      <w:r w:rsidR="00291402">
        <w:rPr>
          <w:noProof/>
          <w:lang w:val="en-IE"/>
        </w:rPr>
        <w:t xml:space="preserve"> 2015</w:t>
      </w:r>
      <w:r w:rsidR="00EA6CA0">
        <w:rPr>
          <w:noProof/>
          <w:lang w:val="en-IE"/>
        </w:rPr>
        <w:t xml:space="preserve"> in both years</w:t>
      </w:r>
      <w:r w:rsidR="00386315">
        <w:rPr>
          <w:noProof/>
          <w:lang w:val="en-IE"/>
        </w:rPr>
        <w:t>)</w:t>
      </w:r>
      <w:r w:rsidR="00346D34">
        <w:rPr>
          <w:noProof/>
          <w:lang w:val="en-IE"/>
        </w:rPr>
        <w:t xml:space="preserve">, as shown in </w:t>
      </w:r>
      <w:r w:rsidR="00346D34" w:rsidRPr="005948CC">
        <w:rPr>
          <w:noProof/>
          <w:lang w:val="en-IE"/>
        </w:rPr>
        <w:fldChar w:fldCharType="begin"/>
      </w:r>
      <w:r w:rsidR="00346D34" w:rsidRPr="00951E2B">
        <w:rPr>
          <w:noProof/>
          <w:highlight w:val="yellow"/>
          <w:lang w:val="en-IE"/>
        </w:rPr>
        <w:instrText xml:space="preserve"> REF _Ref146527213 \h </w:instrText>
      </w:r>
      <w:r w:rsidR="00951E2B">
        <w:rPr>
          <w:noProof/>
          <w:highlight w:val="yellow"/>
          <w:lang w:val="en-IE"/>
        </w:rPr>
        <w:instrText xml:space="preserve"> \* MERGEFORMAT </w:instrText>
      </w:r>
      <w:r w:rsidR="00346D34" w:rsidRPr="005948CC">
        <w:rPr>
          <w:noProof/>
          <w:lang w:val="en-IE"/>
        </w:rPr>
      </w:r>
      <w:r w:rsidR="00346D34" w:rsidRPr="005948CC">
        <w:rPr>
          <w:noProof/>
          <w:lang w:val="en-IE"/>
        </w:rPr>
        <w:fldChar w:fldCharType="separate"/>
      </w:r>
      <w:r w:rsidR="00170A3C">
        <w:rPr>
          <w:noProof/>
        </w:rPr>
        <w:t>Table 15</w:t>
      </w:r>
      <w:r w:rsidR="00346D34" w:rsidRPr="005948CC">
        <w:rPr>
          <w:noProof/>
          <w:lang w:val="en-IE"/>
        </w:rPr>
        <w:fldChar w:fldCharType="end"/>
      </w:r>
      <w:r w:rsidR="00291402">
        <w:rPr>
          <w:noProof/>
          <w:lang w:val="en-IE"/>
        </w:rPr>
        <w:t>.</w:t>
      </w:r>
      <w:r w:rsidR="00E97252" w:rsidRPr="00291402" w:rsidDel="00291402">
        <w:rPr>
          <w:noProof/>
          <w:lang w:val="en-IE"/>
        </w:rPr>
        <w:t xml:space="preserve"> </w:t>
      </w:r>
      <w:r w:rsidR="00A01A29">
        <w:rPr>
          <w:noProof/>
          <w:lang w:val="en-IE"/>
        </w:rPr>
        <w:t>Note that b</w:t>
      </w:r>
      <w:r w:rsidR="00E87D54">
        <w:rPr>
          <w:noProof/>
          <w:lang w:val="en-IE"/>
        </w:rPr>
        <w:t xml:space="preserve">oth CH4 and N2O emissions are </w:t>
      </w:r>
      <w:r w:rsidR="00F64ABD">
        <w:rPr>
          <w:noProof/>
          <w:lang w:val="en-IE"/>
        </w:rPr>
        <w:t>lower</w:t>
      </w:r>
      <w:r w:rsidR="00A01A29">
        <w:rPr>
          <w:noProof/>
          <w:lang w:val="en-IE"/>
        </w:rPr>
        <w:t xml:space="preserve"> than in</w:t>
      </w:r>
      <w:r w:rsidR="00E71E9E">
        <w:rPr>
          <w:noProof/>
          <w:lang w:val="en-IE"/>
        </w:rPr>
        <w:t xml:space="preserve"> scenarios S1, S2 and S3</w:t>
      </w:r>
      <w:r w:rsidR="00912BC8">
        <w:rPr>
          <w:noProof/>
          <w:lang w:val="en-IE"/>
        </w:rPr>
        <w:t>;</w:t>
      </w:r>
      <w:r w:rsidR="00ED36DF">
        <w:rPr>
          <w:noProof/>
          <w:lang w:val="en-IE"/>
        </w:rPr>
        <w:t xml:space="preserve"> </w:t>
      </w:r>
      <w:r w:rsidR="00912BC8">
        <w:rPr>
          <w:noProof/>
          <w:lang w:val="en-IE"/>
        </w:rPr>
        <w:t>f</w:t>
      </w:r>
      <w:r w:rsidR="00ED36DF">
        <w:rPr>
          <w:noProof/>
          <w:lang w:val="en-IE"/>
        </w:rPr>
        <w:t>or instance, i</w:t>
      </w:r>
      <w:r w:rsidR="00A01A29">
        <w:rPr>
          <w:noProof/>
          <w:lang w:val="en-IE"/>
        </w:rPr>
        <w:t>n 2040</w:t>
      </w:r>
      <w:r w:rsidR="00ED36DF">
        <w:rPr>
          <w:noProof/>
          <w:lang w:val="en-IE"/>
        </w:rPr>
        <w:t>,</w:t>
      </w:r>
      <w:r w:rsidR="00A01A29">
        <w:rPr>
          <w:noProof/>
          <w:lang w:val="en-IE"/>
        </w:rPr>
        <w:t xml:space="preserve"> CH4 emissions are</w:t>
      </w:r>
      <w:r w:rsidR="00E87D54">
        <w:rPr>
          <w:noProof/>
          <w:lang w:val="en-IE"/>
        </w:rPr>
        <w:t xml:space="preserve"> </w:t>
      </w:r>
      <w:r w:rsidR="00ED36DF">
        <w:rPr>
          <w:noProof/>
          <w:lang w:val="en-IE"/>
        </w:rPr>
        <w:t>48</w:t>
      </w:r>
      <w:r w:rsidR="00E87D54">
        <w:rPr>
          <w:noProof/>
          <w:lang w:val="en-IE"/>
        </w:rPr>
        <w:t xml:space="preserve"> MtCO2-eq (</w:t>
      </w:r>
      <w:r w:rsidR="008D4C8F">
        <w:rPr>
          <w:noProof/>
          <w:lang w:val="en-IE"/>
        </w:rPr>
        <w:t>22</w:t>
      </w:r>
      <w:r w:rsidR="00E87D54">
        <w:rPr>
          <w:noProof/>
          <w:lang w:val="en-IE"/>
        </w:rPr>
        <w:t>%</w:t>
      </w:r>
      <w:r w:rsidR="00A01A29">
        <w:rPr>
          <w:noProof/>
          <w:lang w:val="en-IE"/>
        </w:rPr>
        <w:t>) lower, while N2O emissions are</w:t>
      </w:r>
      <w:r w:rsidR="00E87D54">
        <w:rPr>
          <w:noProof/>
          <w:lang w:val="en-IE"/>
        </w:rPr>
        <w:t xml:space="preserve"> 3</w:t>
      </w:r>
      <w:r w:rsidR="00554FBD">
        <w:rPr>
          <w:noProof/>
          <w:lang w:val="en-IE"/>
        </w:rPr>
        <w:t>2</w:t>
      </w:r>
      <w:r w:rsidR="00E87D54">
        <w:rPr>
          <w:noProof/>
          <w:lang w:val="en-IE"/>
        </w:rPr>
        <w:t xml:space="preserve"> MtCO2-eq (</w:t>
      </w:r>
      <w:r w:rsidR="008D4C8F">
        <w:rPr>
          <w:noProof/>
          <w:lang w:val="en-IE"/>
        </w:rPr>
        <w:t>25</w:t>
      </w:r>
      <w:r w:rsidR="00E87D54">
        <w:rPr>
          <w:noProof/>
          <w:lang w:val="en-IE"/>
        </w:rPr>
        <w:t>%</w:t>
      </w:r>
      <w:r w:rsidR="00A01A29">
        <w:rPr>
          <w:noProof/>
          <w:lang w:val="en-IE"/>
        </w:rPr>
        <w:t>)</w:t>
      </w:r>
      <w:r w:rsidR="00E87D54">
        <w:rPr>
          <w:noProof/>
          <w:lang w:val="en-IE"/>
        </w:rPr>
        <w:t xml:space="preserve"> lower.</w:t>
      </w:r>
    </w:p>
    <w:p w14:paraId="057EBDD0" w14:textId="2F11EFEC" w:rsidR="00E97252" w:rsidRPr="00A454D2" w:rsidRDefault="00E97252" w:rsidP="00E97252">
      <w:pPr>
        <w:pStyle w:val="Caption"/>
        <w:rPr>
          <w:noProof/>
        </w:rPr>
      </w:pPr>
      <w:bookmarkStart w:id="427" w:name="_Ref146527213"/>
      <w:bookmarkStart w:id="428" w:name="_Toc157679898"/>
      <w:r>
        <w:rPr>
          <w:noProof/>
        </w:rPr>
        <w:t xml:space="preserve">Table </w:t>
      </w:r>
      <w:r>
        <w:rPr>
          <w:noProof/>
        </w:rPr>
        <w:fldChar w:fldCharType="begin"/>
      </w:r>
      <w:r>
        <w:rPr>
          <w:noProof/>
        </w:rPr>
        <w:instrText>SEQ Table \* ARABIC</w:instrText>
      </w:r>
      <w:r>
        <w:rPr>
          <w:noProof/>
        </w:rPr>
        <w:fldChar w:fldCharType="separate"/>
      </w:r>
      <w:r w:rsidR="00170A3C">
        <w:rPr>
          <w:noProof/>
        </w:rPr>
        <w:t>15</w:t>
      </w:r>
      <w:r>
        <w:rPr>
          <w:noProof/>
        </w:rPr>
        <w:fldChar w:fldCharType="end"/>
      </w:r>
      <w:bookmarkEnd w:id="427"/>
      <w:r>
        <w:rPr>
          <w:noProof/>
        </w:rPr>
        <w:t xml:space="preserve">: </w:t>
      </w:r>
      <w:r w:rsidRPr="00583AF8">
        <w:rPr>
          <w:noProof/>
        </w:rPr>
        <w:t xml:space="preserve">GHG emissions </w:t>
      </w:r>
      <w:r>
        <w:rPr>
          <w:noProof/>
        </w:rPr>
        <w:t xml:space="preserve">in the agriculture without additional </w:t>
      </w:r>
      <w:r w:rsidR="00A77783">
        <w:rPr>
          <w:noProof/>
        </w:rPr>
        <w:t xml:space="preserve">mitigation </w:t>
      </w:r>
      <w:r w:rsidR="00A77783" w:rsidRPr="00583AF8">
        <w:rPr>
          <w:noProof/>
        </w:rPr>
        <w:t xml:space="preserve">in </w:t>
      </w:r>
      <w:r w:rsidR="00A77783">
        <w:rPr>
          <w:noProof/>
        </w:rPr>
        <w:t>LIFE</w:t>
      </w:r>
      <w:bookmarkEnd w:id="428"/>
    </w:p>
    <w:tbl>
      <w:tblPr>
        <w:tblW w:w="5000" w:type="pct"/>
        <w:tblLayout w:type="fixed"/>
        <w:tblLook w:val="04A0" w:firstRow="1" w:lastRow="0" w:firstColumn="1" w:lastColumn="0" w:noHBand="0" w:noVBand="1"/>
      </w:tblPr>
      <w:tblGrid>
        <w:gridCol w:w="1725"/>
        <w:gridCol w:w="983"/>
        <w:gridCol w:w="982"/>
        <w:gridCol w:w="984"/>
        <w:gridCol w:w="1118"/>
        <w:gridCol w:w="1120"/>
        <w:gridCol w:w="961"/>
        <w:gridCol w:w="961"/>
      </w:tblGrid>
      <w:tr w:rsidR="00171274" w:rsidRPr="00B05798" w14:paraId="127C193B" w14:textId="77777777" w:rsidTr="00A77783">
        <w:trPr>
          <w:trHeight w:val="583"/>
        </w:trPr>
        <w:tc>
          <w:tcPr>
            <w:tcW w:w="976" w:type="pct"/>
            <w:vMerge w:val="restart"/>
            <w:tcBorders>
              <w:top w:val="nil"/>
              <w:left w:val="nil"/>
              <w:right w:val="nil"/>
            </w:tcBorders>
            <w:shd w:val="clear" w:color="auto" w:fill="auto"/>
            <w:noWrap/>
            <w:vAlign w:val="center"/>
            <w:hideMark/>
          </w:tcPr>
          <w:p w14:paraId="0A4CD2AB" w14:textId="3962E7A9" w:rsidR="00171274" w:rsidRPr="00171274" w:rsidRDefault="00171274" w:rsidP="00171274">
            <w:pPr>
              <w:spacing w:after="0"/>
              <w:jc w:val="left"/>
              <w:rPr>
                <w:rFonts w:ascii="EC Square Sans Cond Pro" w:eastAsia="Times New Roman" w:hAnsi="EC Square Sans Cond Pro" w:cs="Times New Roman"/>
                <w:noProof/>
                <w:sz w:val="18"/>
                <w:szCs w:val="18"/>
                <w:lang w:val="en-IE"/>
              </w:rPr>
            </w:pPr>
            <w:r w:rsidRPr="00171274">
              <w:rPr>
                <w:rFonts w:ascii="Calibri" w:eastAsia="Times New Roman" w:hAnsi="Calibri" w:cs="Calibri"/>
                <w:noProof/>
                <w:color w:val="000000"/>
                <w:sz w:val="18"/>
                <w:szCs w:val="18"/>
                <w:lang w:val="en-IE"/>
              </w:rPr>
              <w:t> </w:t>
            </w:r>
          </w:p>
        </w:tc>
        <w:tc>
          <w:tcPr>
            <w:tcW w:w="1669" w:type="pct"/>
            <w:gridSpan w:val="3"/>
            <w:tcBorders>
              <w:top w:val="nil"/>
              <w:left w:val="nil"/>
              <w:bottom w:val="nil"/>
              <w:right w:val="nil"/>
            </w:tcBorders>
            <w:shd w:val="clear" w:color="auto" w:fill="auto"/>
            <w:vAlign w:val="center"/>
            <w:hideMark/>
          </w:tcPr>
          <w:p w14:paraId="7D8722BD" w14:textId="77777777" w:rsidR="00A77783" w:rsidRDefault="00171274" w:rsidP="00171274">
            <w:pPr>
              <w:keepNext/>
              <w:spacing w:after="0"/>
              <w:jc w:val="center"/>
              <w:rPr>
                <w:rFonts w:ascii="EC Square Sans Cond Pro" w:hAnsi="EC Square Sans Cond Pro" w:cs="Avenir Next LT Pro"/>
                <w:b/>
                <w:smallCaps/>
                <w:noProof/>
                <w:sz w:val="18"/>
                <w:szCs w:val="18"/>
                <w:lang w:val="en-IE"/>
              </w:rPr>
            </w:pPr>
            <w:r w:rsidRPr="00171274">
              <w:rPr>
                <w:rFonts w:ascii="EC Square Sans Cond Pro" w:hAnsi="EC Square Sans Cond Pro" w:cs="Avenir Next LT Pro"/>
                <w:b/>
                <w:smallCaps/>
                <w:noProof/>
                <w:sz w:val="18"/>
                <w:szCs w:val="18"/>
                <w:lang w:val="en-IE"/>
              </w:rPr>
              <w:t xml:space="preserve">Greenhouse gas emissions </w:t>
            </w:r>
          </w:p>
          <w:p w14:paraId="403AA41E" w14:textId="4D52D376" w:rsidR="00171274" w:rsidRPr="00171274" w:rsidRDefault="00171274" w:rsidP="00171274">
            <w:pPr>
              <w:keepNext/>
              <w:spacing w:after="0"/>
              <w:jc w:val="center"/>
              <w:rPr>
                <w:rFonts w:ascii="EC Square Sans Cond Pro" w:eastAsia="Times New Roman" w:hAnsi="EC Square Sans Cond Pro" w:cs="Calibri"/>
                <w:b/>
                <w:bCs/>
                <w:noProof/>
                <w:color w:val="000000"/>
                <w:sz w:val="18"/>
                <w:szCs w:val="18"/>
                <w:lang w:val="en-IE"/>
              </w:rPr>
            </w:pPr>
            <w:r w:rsidRPr="00171274">
              <w:rPr>
                <w:rFonts w:ascii="EC Square Sans Cond Pro" w:hAnsi="EC Square Sans Cond Pro" w:cs="Avenir Next LT Pro"/>
                <w:b/>
                <w:smallCaps/>
                <w:noProof/>
                <w:sz w:val="18"/>
                <w:szCs w:val="18"/>
                <w:lang w:val="en-IE"/>
              </w:rPr>
              <w:t>(MtCO2-eq)</w:t>
            </w:r>
          </w:p>
        </w:tc>
        <w:tc>
          <w:tcPr>
            <w:tcW w:w="1267" w:type="pct"/>
            <w:gridSpan w:val="2"/>
            <w:tcBorders>
              <w:top w:val="nil"/>
              <w:left w:val="nil"/>
              <w:bottom w:val="nil"/>
              <w:right w:val="nil"/>
            </w:tcBorders>
            <w:shd w:val="clear" w:color="auto" w:fill="auto"/>
            <w:vAlign w:val="center"/>
            <w:hideMark/>
          </w:tcPr>
          <w:p w14:paraId="6CA397F8" w14:textId="77777777" w:rsidR="00A77783" w:rsidRDefault="00171274" w:rsidP="00171274">
            <w:pPr>
              <w:keepNext/>
              <w:spacing w:after="0"/>
              <w:jc w:val="center"/>
              <w:rPr>
                <w:rFonts w:ascii="EC Square Sans Cond Pro" w:hAnsi="EC Square Sans Cond Pro" w:cs="Avenir Next LT Pro"/>
                <w:b/>
                <w:smallCaps/>
                <w:noProof/>
                <w:sz w:val="18"/>
                <w:szCs w:val="18"/>
                <w:lang w:val="en-IE"/>
              </w:rPr>
            </w:pPr>
            <w:r w:rsidRPr="00171274">
              <w:rPr>
                <w:rFonts w:ascii="EC Square Sans Cond Pro" w:hAnsi="EC Square Sans Cond Pro" w:cs="Avenir Next LT Pro"/>
                <w:b/>
                <w:smallCaps/>
                <w:noProof/>
                <w:sz w:val="18"/>
                <w:szCs w:val="18"/>
                <w:lang w:val="en-IE"/>
              </w:rPr>
              <w:t xml:space="preserve">Change in emissions </w:t>
            </w:r>
          </w:p>
          <w:p w14:paraId="24B6DD01" w14:textId="75AC436D" w:rsidR="00171274" w:rsidRPr="00171274" w:rsidRDefault="00171274" w:rsidP="00171274">
            <w:pPr>
              <w:keepNext/>
              <w:spacing w:after="0"/>
              <w:jc w:val="center"/>
              <w:rPr>
                <w:rFonts w:ascii="EC Square Sans Cond Pro" w:hAnsi="EC Square Sans Cond Pro" w:cs="Avenir Next LT Pro"/>
                <w:b/>
                <w:smallCaps/>
                <w:noProof/>
                <w:sz w:val="18"/>
                <w:szCs w:val="18"/>
                <w:lang w:val="en-IE"/>
              </w:rPr>
            </w:pPr>
            <w:r w:rsidRPr="00171274">
              <w:rPr>
                <w:rFonts w:ascii="EC Square Sans Cond Pro" w:hAnsi="EC Square Sans Cond Pro" w:cs="Avenir Next LT Pro"/>
                <w:b/>
                <w:smallCaps/>
                <w:noProof/>
                <w:sz w:val="18"/>
                <w:szCs w:val="18"/>
                <w:lang w:val="en-IE"/>
              </w:rPr>
              <w:t>(%)</w:t>
            </w:r>
          </w:p>
        </w:tc>
        <w:tc>
          <w:tcPr>
            <w:tcW w:w="1088" w:type="pct"/>
            <w:gridSpan w:val="2"/>
            <w:tcBorders>
              <w:top w:val="nil"/>
              <w:left w:val="nil"/>
              <w:bottom w:val="nil"/>
              <w:right w:val="nil"/>
            </w:tcBorders>
            <w:shd w:val="clear" w:color="auto" w:fill="auto"/>
            <w:vAlign w:val="center"/>
            <w:hideMark/>
          </w:tcPr>
          <w:p w14:paraId="16493B7E" w14:textId="0BF5A426" w:rsidR="00171274" w:rsidRPr="00171274" w:rsidRDefault="00171274" w:rsidP="00171274">
            <w:pPr>
              <w:spacing w:after="0"/>
              <w:jc w:val="center"/>
              <w:rPr>
                <w:rFonts w:ascii="EC Square Sans Cond Pro" w:hAnsi="EC Square Sans Cond Pro" w:cs="Avenir Next LT Pro"/>
                <w:b/>
                <w:smallCaps/>
                <w:noProof/>
                <w:sz w:val="18"/>
                <w:szCs w:val="18"/>
                <w:lang w:val="en-IE"/>
              </w:rPr>
            </w:pPr>
            <w:r w:rsidRPr="00171274">
              <w:rPr>
                <w:rFonts w:ascii="EC Square Sans Cond Pro" w:hAnsi="EC Square Sans Cond Pro" w:cs="Avenir Next LT Pro"/>
                <w:b/>
                <w:smallCaps/>
                <w:noProof/>
                <w:sz w:val="18"/>
                <w:szCs w:val="18"/>
                <w:lang w:val="en-IE"/>
              </w:rPr>
              <w:t xml:space="preserve">Difference compared to </w:t>
            </w:r>
            <w:r w:rsidR="00CC4D88">
              <w:rPr>
                <w:rFonts w:ascii="EC Square Sans Cond Pro" w:hAnsi="EC Square Sans Cond Pro" w:cs="Avenir Next LT Pro"/>
                <w:b/>
                <w:smallCaps/>
                <w:noProof/>
                <w:sz w:val="18"/>
                <w:szCs w:val="18"/>
                <w:lang w:val="en-IE"/>
              </w:rPr>
              <w:t>S1, S2 &amp; S3</w:t>
            </w:r>
            <w:r w:rsidRPr="00171274">
              <w:rPr>
                <w:rFonts w:ascii="EC Square Sans Cond Pro" w:hAnsi="EC Square Sans Cond Pro" w:cs="Avenir Next LT Pro"/>
                <w:b/>
                <w:smallCaps/>
                <w:noProof/>
                <w:sz w:val="18"/>
                <w:szCs w:val="18"/>
                <w:lang w:val="en-IE"/>
              </w:rPr>
              <w:t xml:space="preserve"> (MtCO2-eq)</w:t>
            </w:r>
          </w:p>
        </w:tc>
      </w:tr>
      <w:tr w:rsidR="00A77783" w:rsidRPr="00B05798" w14:paraId="2E5A0D0B" w14:textId="77777777" w:rsidTr="00A77783">
        <w:trPr>
          <w:trHeight w:val="330"/>
        </w:trPr>
        <w:tc>
          <w:tcPr>
            <w:tcW w:w="976" w:type="pct"/>
            <w:vMerge/>
            <w:tcBorders>
              <w:left w:val="nil"/>
              <w:bottom w:val="single" w:sz="12" w:space="0" w:color="auto"/>
              <w:right w:val="nil"/>
            </w:tcBorders>
            <w:shd w:val="clear" w:color="auto" w:fill="auto"/>
            <w:noWrap/>
            <w:vAlign w:val="center"/>
            <w:hideMark/>
          </w:tcPr>
          <w:p w14:paraId="3DE0B8B6" w14:textId="075A6F59" w:rsidR="00717B50" w:rsidRPr="00171274" w:rsidRDefault="00717B50" w:rsidP="00717B50">
            <w:pPr>
              <w:spacing w:after="0"/>
              <w:jc w:val="left"/>
              <w:rPr>
                <w:rFonts w:ascii="EC Square Sans Cond Pro" w:eastAsia="Times New Roman" w:hAnsi="EC Square Sans Cond Pro" w:cs="Calibri"/>
                <w:noProof/>
                <w:color w:val="000000"/>
                <w:sz w:val="18"/>
                <w:szCs w:val="18"/>
                <w:lang w:val="en-IE"/>
              </w:rPr>
            </w:pPr>
          </w:p>
        </w:tc>
        <w:tc>
          <w:tcPr>
            <w:tcW w:w="556" w:type="pct"/>
            <w:tcBorders>
              <w:top w:val="nil"/>
              <w:left w:val="nil"/>
              <w:bottom w:val="single" w:sz="12" w:space="0" w:color="auto"/>
            </w:tcBorders>
            <w:shd w:val="clear" w:color="auto" w:fill="auto"/>
            <w:vAlign w:val="center"/>
            <w:hideMark/>
          </w:tcPr>
          <w:p w14:paraId="711AF482" w14:textId="77777777" w:rsidR="00717B50" w:rsidRPr="00171274" w:rsidRDefault="00717B50" w:rsidP="00717B50">
            <w:pPr>
              <w:spacing w:after="0"/>
              <w:jc w:val="center"/>
              <w:rPr>
                <w:rFonts w:ascii="EC Square Sans Cond Pro" w:eastAsia="Times New Roman" w:hAnsi="EC Square Sans Cond Pro" w:cs="Calibri"/>
                <w:b/>
                <w:bCs/>
                <w:noProof/>
                <w:color w:val="000000"/>
                <w:sz w:val="18"/>
                <w:szCs w:val="18"/>
                <w:lang w:val="en-IE"/>
              </w:rPr>
            </w:pPr>
            <w:r w:rsidRPr="00171274">
              <w:rPr>
                <w:rFonts w:ascii="EC Square Sans Cond Pro" w:eastAsia="Times New Roman" w:hAnsi="EC Square Sans Cond Pro" w:cs="Calibri"/>
                <w:b/>
                <w:bCs/>
                <w:noProof/>
                <w:color w:val="000000"/>
                <w:sz w:val="18"/>
                <w:szCs w:val="18"/>
                <w:lang w:val="en-IE"/>
              </w:rPr>
              <w:t>2015</w:t>
            </w:r>
          </w:p>
        </w:tc>
        <w:tc>
          <w:tcPr>
            <w:tcW w:w="556" w:type="pct"/>
            <w:tcBorders>
              <w:top w:val="nil"/>
              <w:left w:val="nil"/>
              <w:bottom w:val="single" w:sz="12" w:space="0" w:color="auto"/>
              <w:right w:val="nil"/>
            </w:tcBorders>
            <w:shd w:val="clear" w:color="auto" w:fill="auto"/>
            <w:vAlign w:val="center"/>
          </w:tcPr>
          <w:p w14:paraId="7E61C5C1" w14:textId="3125C2F7" w:rsidR="00717B50" w:rsidRPr="00171274" w:rsidRDefault="00717B50" w:rsidP="00717B50">
            <w:pPr>
              <w:spacing w:after="0"/>
              <w:jc w:val="center"/>
              <w:rPr>
                <w:rFonts w:ascii="EC Square Sans Cond Pro" w:eastAsia="Times New Roman" w:hAnsi="EC Square Sans Cond Pro" w:cs="Calibri"/>
                <w:b/>
                <w:bCs/>
                <w:noProof/>
                <w:color w:val="000000"/>
                <w:sz w:val="18"/>
                <w:szCs w:val="18"/>
                <w:lang w:val="en-IE"/>
              </w:rPr>
            </w:pPr>
            <w:r w:rsidRPr="00171274">
              <w:rPr>
                <w:rFonts w:ascii="EC Square Sans Cond Pro" w:eastAsia="Times New Roman" w:hAnsi="EC Square Sans Cond Pro" w:cs="Calibri"/>
                <w:b/>
                <w:bCs/>
                <w:noProof/>
                <w:color w:val="000000"/>
                <w:sz w:val="18"/>
                <w:szCs w:val="18"/>
                <w:lang w:val="en-IE"/>
              </w:rPr>
              <w:t>2040</w:t>
            </w:r>
          </w:p>
        </w:tc>
        <w:tc>
          <w:tcPr>
            <w:tcW w:w="557" w:type="pct"/>
            <w:tcBorders>
              <w:top w:val="nil"/>
              <w:left w:val="nil"/>
              <w:bottom w:val="single" w:sz="12" w:space="0" w:color="auto"/>
              <w:right w:val="nil"/>
            </w:tcBorders>
            <w:shd w:val="clear" w:color="auto" w:fill="auto"/>
            <w:noWrap/>
            <w:vAlign w:val="center"/>
            <w:hideMark/>
          </w:tcPr>
          <w:p w14:paraId="322309A0" w14:textId="14C70557" w:rsidR="00717B50" w:rsidRPr="00171274" w:rsidRDefault="00717B50" w:rsidP="00717B50">
            <w:pPr>
              <w:spacing w:after="0"/>
              <w:jc w:val="center"/>
              <w:rPr>
                <w:rFonts w:ascii="EC Square Sans Cond Pro" w:eastAsia="Times New Roman" w:hAnsi="EC Square Sans Cond Pro" w:cs="Calibri"/>
                <w:b/>
                <w:bCs/>
                <w:noProof/>
                <w:color w:val="000000"/>
                <w:sz w:val="18"/>
                <w:szCs w:val="18"/>
                <w:lang w:val="en-IE"/>
              </w:rPr>
            </w:pPr>
            <w:r w:rsidRPr="00171274">
              <w:rPr>
                <w:rFonts w:ascii="EC Square Sans Cond Pro" w:eastAsia="Times New Roman" w:hAnsi="EC Square Sans Cond Pro" w:cs="Calibri"/>
                <w:b/>
                <w:bCs/>
                <w:noProof/>
                <w:color w:val="000000"/>
                <w:sz w:val="18"/>
                <w:szCs w:val="18"/>
                <w:lang w:val="en-IE"/>
              </w:rPr>
              <w:t>2050</w:t>
            </w:r>
          </w:p>
        </w:tc>
        <w:tc>
          <w:tcPr>
            <w:tcW w:w="633" w:type="pct"/>
            <w:tcBorders>
              <w:top w:val="nil"/>
              <w:left w:val="nil"/>
              <w:bottom w:val="single" w:sz="12" w:space="0" w:color="auto"/>
              <w:right w:val="nil"/>
            </w:tcBorders>
            <w:shd w:val="clear" w:color="auto" w:fill="auto"/>
            <w:vAlign w:val="center"/>
          </w:tcPr>
          <w:p w14:paraId="05351645" w14:textId="22625996" w:rsidR="00717B50" w:rsidRPr="00171274" w:rsidRDefault="00717B50" w:rsidP="00717B50">
            <w:pPr>
              <w:spacing w:after="0"/>
              <w:jc w:val="center"/>
              <w:rPr>
                <w:rFonts w:ascii="EC Square Sans Cond Pro" w:eastAsia="Times New Roman" w:hAnsi="EC Square Sans Cond Pro" w:cs="Calibri"/>
                <w:b/>
                <w:bCs/>
                <w:noProof/>
                <w:color w:val="000000"/>
                <w:sz w:val="18"/>
                <w:szCs w:val="18"/>
                <w:lang w:val="en-IE"/>
              </w:rPr>
            </w:pPr>
            <w:r w:rsidRPr="00171274">
              <w:rPr>
                <w:rFonts w:ascii="EC Square Sans Cond Pro" w:eastAsia="Times New Roman" w:hAnsi="EC Square Sans Cond Pro" w:cs="Calibri"/>
                <w:b/>
                <w:bCs/>
                <w:noProof/>
                <w:color w:val="000000"/>
                <w:sz w:val="18"/>
                <w:szCs w:val="18"/>
                <w:lang w:val="en-IE"/>
              </w:rPr>
              <w:t>2015-40</w:t>
            </w:r>
          </w:p>
        </w:tc>
        <w:tc>
          <w:tcPr>
            <w:tcW w:w="634" w:type="pct"/>
            <w:tcBorders>
              <w:top w:val="nil"/>
              <w:left w:val="nil"/>
              <w:bottom w:val="single" w:sz="12" w:space="0" w:color="auto"/>
              <w:right w:val="nil"/>
            </w:tcBorders>
            <w:shd w:val="clear" w:color="auto" w:fill="auto"/>
            <w:vAlign w:val="center"/>
            <w:hideMark/>
          </w:tcPr>
          <w:p w14:paraId="60A4120E" w14:textId="341DD88A" w:rsidR="00717B50" w:rsidRPr="00171274" w:rsidRDefault="00717B50" w:rsidP="00717B50">
            <w:pPr>
              <w:spacing w:after="0"/>
              <w:jc w:val="center"/>
              <w:rPr>
                <w:rFonts w:ascii="EC Square Sans Cond Pro" w:eastAsia="Times New Roman" w:hAnsi="EC Square Sans Cond Pro" w:cs="Calibri"/>
                <w:b/>
                <w:bCs/>
                <w:noProof/>
                <w:color w:val="000000"/>
                <w:sz w:val="18"/>
                <w:szCs w:val="18"/>
                <w:lang w:val="en-IE"/>
              </w:rPr>
            </w:pPr>
            <w:r w:rsidRPr="00171274">
              <w:rPr>
                <w:rFonts w:ascii="EC Square Sans Cond Pro" w:eastAsia="Times New Roman" w:hAnsi="EC Square Sans Cond Pro" w:cs="Calibri"/>
                <w:b/>
                <w:bCs/>
                <w:noProof/>
                <w:color w:val="000000"/>
                <w:sz w:val="18"/>
                <w:szCs w:val="18"/>
                <w:lang w:val="en-IE"/>
              </w:rPr>
              <w:t>2015-50</w:t>
            </w:r>
          </w:p>
        </w:tc>
        <w:tc>
          <w:tcPr>
            <w:tcW w:w="544" w:type="pct"/>
            <w:tcBorders>
              <w:top w:val="nil"/>
              <w:left w:val="nil"/>
              <w:bottom w:val="single" w:sz="12" w:space="0" w:color="auto"/>
              <w:right w:val="nil"/>
            </w:tcBorders>
            <w:shd w:val="clear" w:color="auto" w:fill="auto"/>
            <w:vAlign w:val="center"/>
          </w:tcPr>
          <w:p w14:paraId="1C916921" w14:textId="77777777" w:rsidR="00717B50" w:rsidRPr="00171274" w:rsidRDefault="00717B50" w:rsidP="00717B50">
            <w:pPr>
              <w:spacing w:after="0"/>
              <w:jc w:val="center"/>
              <w:rPr>
                <w:rFonts w:ascii="EC Square Sans Cond Pro" w:eastAsia="Times New Roman" w:hAnsi="EC Square Sans Cond Pro" w:cs="Calibri"/>
                <w:b/>
                <w:bCs/>
                <w:noProof/>
                <w:color w:val="000000"/>
                <w:sz w:val="18"/>
                <w:szCs w:val="18"/>
                <w:lang w:val="en-IE"/>
              </w:rPr>
            </w:pPr>
            <w:r w:rsidRPr="00171274">
              <w:rPr>
                <w:rFonts w:ascii="EC Square Sans Cond Pro" w:eastAsia="Times New Roman" w:hAnsi="EC Square Sans Cond Pro" w:cs="Calibri"/>
                <w:b/>
                <w:bCs/>
                <w:noProof/>
                <w:color w:val="000000"/>
                <w:sz w:val="18"/>
                <w:szCs w:val="18"/>
                <w:lang w:val="en-IE"/>
              </w:rPr>
              <w:t>2040</w:t>
            </w:r>
          </w:p>
        </w:tc>
        <w:tc>
          <w:tcPr>
            <w:tcW w:w="544" w:type="pct"/>
            <w:tcBorders>
              <w:top w:val="nil"/>
              <w:left w:val="nil"/>
              <w:bottom w:val="single" w:sz="12" w:space="0" w:color="auto"/>
              <w:right w:val="nil"/>
            </w:tcBorders>
            <w:shd w:val="clear" w:color="auto" w:fill="auto"/>
            <w:vAlign w:val="center"/>
            <w:hideMark/>
          </w:tcPr>
          <w:p w14:paraId="117AC812" w14:textId="77777777" w:rsidR="00717B50" w:rsidRPr="00171274" w:rsidRDefault="00717B50" w:rsidP="00717B50">
            <w:pPr>
              <w:spacing w:after="0"/>
              <w:jc w:val="center"/>
              <w:rPr>
                <w:rFonts w:ascii="EC Square Sans Cond Pro" w:eastAsia="Times New Roman" w:hAnsi="EC Square Sans Cond Pro" w:cs="Calibri"/>
                <w:b/>
                <w:bCs/>
                <w:noProof/>
                <w:color w:val="000000"/>
                <w:sz w:val="18"/>
                <w:szCs w:val="18"/>
                <w:lang w:val="en-IE"/>
              </w:rPr>
            </w:pPr>
            <w:r w:rsidRPr="00171274">
              <w:rPr>
                <w:rFonts w:ascii="EC Square Sans Cond Pro" w:eastAsia="Times New Roman" w:hAnsi="EC Square Sans Cond Pro" w:cs="Calibri"/>
                <w:b/>
                <w:bCs/>
                <w:noProof/>
                <w:color w:val="000000"/>
                <w:sz w:val="18"/>
                <w:szCs w:val="18"/>
                <w:lang w:val="en-IE"/>
              </w:rPr>
              <w:t>2050</w:t>
            </w:r>
          </w:p>
        </w:tc>
      </w:tr>
      <w:tr w:rsidR="00A77783" w:rsidRPr="00171274" w14:paraId="7AB87AA6" w14:textId="77777777" w:rsidTr="00A77783">
        <w:trPr>
          <w:trHeight w:val="315"/>
        </w:trPr>
        <w:tc>
          <w:tcPr>
            <w:tcW w:w="976" w:type="pct"/>
            <w:tcBorders>
              <w:top w:val="single" w:sz="12" w:space="0" w:color="auto"/>
              <w:left w:val="nil"/>
              <w:bottom w:val="nil"/>
              <w:right w:val="nil"/>
            </w:tcBorders>
            <w:shd w:val="clear" w:color="auto" w:fill="auto"/>
            <w:noWrap/>
            <w:vAlign w:val="center"/>
            <w:hideMark/>
          </w:tcPr>
          <w:p w14:paraId="4FB322CE" w14:textId="77777777" w:rsidR="00717B50" w:rsidRPr="00171274" w:rsidRDefault="00717B50" w:rsidP="00717B50">
            <w:pPr>
              <w:spacing w:after="0"/>
              <w:jc w:val="left"/>
              <w:rPr>
                <w:rFonts w:ascii="EC Square Sans Cond Pro" w:eastAsia="Times New Roman" w:hAnsi="EC Square Sans Cond Pro" w:cs="Calibri"/>
                <w:b/>
                <w:bCs/>
                <w:noProof/>
                <w:color w:val="000000"/>
                <w:sz w:val="18"/>
                <w:szCs w:val="18"/>
                <w:lang w:val="en-IE"/>
              </w:rPr>
            </w:pPr>
            <w:r w:rsidRPr="00171274">
              <w:rPr>
                <w:rFonts w:ascii="EC Square Sans Cond Pro" w:eastAsia="Times New Roman" w:hAnsi="EC Square Sans Cond Pro" w:cs="Calibri"/>
                <w:b/>
                <w:bCs/>
                <w:noProof/>
                <w:color w:val="000000"/>
                <w:sz w:val="18"/>
                <w:szCs w:val="18"/>
                <w:lang w:val="en-IE"/>
              </w:rPr>
              <w:t>Agriculture</w:t>
            </w:r>
          </w:p>
        </w:tc>
        <w:tc>
          <w:tcPr>
            <w:tcW w:w="556" w:type="pct"/>
            <w:tcBorders>
              <w:top w:val="nil"/>
              <w:left w:val="nil"/>
              <w:bottom w:val="nil"/>
            </w:tcBorders>
            <w:shd w:val="clear" w:color="auto" w:fill="auto"/>
            <w:vAlign w:val="center"/>
            <w:hideMark/>
          </w:tcPr>
          <w:p w14:paraId="264B2170" w14:textId="77777777" w:rsidR="00717B50" w:rsidRPr="00171274" w:rsidRDefault="00717B50" w:rsidP="00717B50">
            <w:pPr>
              <w:spacing w:after="0"/>
              <w:jc w:val="left"/>
              <w:rPr>
                <w:rFonts w:ascii="EC Square Sans Cond Pro" w:eastAsia="Times New Roman" w:hAnsi="EC Square Sans Cond Pro" w:cs="Calibri"/>
                <w:b/>
                <w:bCs/>
                <w:noProof/>
                <w:color w:val="000000"/>
                <w:sz w:val="18"/>
                <w:szCs w:val="18"/>
                <w:lang w:val="en-IE"/>
              </w:rPr>
            </w:pPr>
          </w:p>
        </w:tc>
        <w:tc>
          <w:tcPr>
            <w:tcW w:w="556" w:type="pct"/>
            <w:tcBorders>
              <w:top w:val="nil"/>
              <w:left w:val="nil"/>
              <w:bottom w:val="nil"/>
              <w:right w:val="nil"/>
            </w:tcBorders>
            <w:shd w:val="clear" w:color="auto" w:fill="auto"/>
            <w:vAlign w:val="center"/>
          </w:tcPr>
          <w:p w14:paraId="61A131CD" w14:textId="77777777" w:rsidR="00717B50" w:rsidRPr="00171274" w:rsidRDefault="00717B50" w:rsidP="00717B50">
            <w:pPr>
              <w:spacing w:after="0"/>
              <w:jc w:val="left"/>
              <w:rPr>
                <w:rFonts w:ascii="EC Square Sans Cond Pro" w:eastAsia="Times New Roman" w:hAnsi="EC Square Sans Cond Pro" w:cs="Calibri"/>
                <w:b/>
                <w:bCs/>
                <w:noProof/>
                <w:color w:val="000000"/>
                <w:sz w:val="18"/>
                <w:szCs w:val="18"/>
                <w:lang w:val="en-IE"/>
              </w:rPr>
            </w:pPr>
          </w:p>
        </w:tc>
        <w:tc>
          <w:tcPr>
            <w:tcW w:w="557" w:type="pct"/>
            <w:tcBorders>
              <w:top w:val="nil"/>
              <w:left w:val="nil"/>
              <w:bottom w:val="nil"/>
              <w:right w:val="nil"/>
            </w:tcBorders>
            <w:shd w:val="clear" w:color="auto" w:fill="auto"/>
            <w:noWrap/>
            <w:vAlign w:val="center"/>
            <w:hideMark/>
          </w:tcPr>
          <w:p w14:paraId="2B4E8F0B" w14:textId="776B1212" w:rsidR="00717B50" w:rsidRPr="00171274" w:rsidRDefault="00717B50" w:rsidP="00717B50">
            <w:pPr>
              <w:spacing w:after="0"/>
              <w:jc w:val="center"/>
              <w:rPr>
                <w:rFonts w:ascii="EC Square Sans Cond Pro" w:eastAsia="Times New Roman" w:hAnsi="EC Square Sans Cond Pro" w:cs="Times New Roman"/>
                <w:noProof/>
                <w:sz w:val="18"/>
                <w:szCs w:val="18"/>
                <w:lang w:val="en-IE"/>
              </w:rPr>
            </w:pPr>
          </w:p>
        </w:tc>
        <w:tc>
          <w:tcPr>
            <w:tcW w:w="633" w:type="pct"/>
            <w:tcBorders>
              <w:top w:val="nil"/>
              <w:left w:val="nil"/>
              <w:bottom w:val="nil"/>
              <w:right w:val="nil"/>
            </w:tcBorders>
            <w:shd w:val="clear" w:color="auto" w:fill="auto"/>
            <w:vAlign w:val="center"/>
          </w:tcPr>
          <w:p w14:paraId="7FD26C2A" w14:textId="77777777" w:rsidR="00717B50" w:rsidRPr="00171274" w:rsidRDefault="00717B50" w:rsidP="00717B50">
            <w:pPr>
              <w:spacing w:after="0"/>
              <w:jc w:val="center"/>
              <w:rPr>
                <w:rFonts w:ascii="EC Square Sans Cond Pro" w:eastAsia="Times New Roman" w:hAnsi="EC Square Sans Cond Pro" w:cs="Times New Roman"/>
                <w:noProof/>
                <w:sz w:val="18"/>
                <w:szCs w:val="18"/>
                <w:lang w:val="en-IE"/>
              </w:rPr>
            </w:pPr>
          </w:p>
        </w:tc>
        <w:tc>
          <w:tcPr>
            <w:tcW w:w="634" w:type="pct"/>
            <w:tcBorders>
              <w:top w:val="nil"/>
              <w:left w:val="nil"/>
              <w:bottom w:val="nil"/>
              <w:right w:val="nil"/>
            </w:tcBorders>
            <w:shd w:val="clear" w:color="auto" w:fill="auto"/>
            <w:vAlign w:val="center"/>
            <w:hideMark/>
          </w:tcPr>
          <w:p w14:paraId="468C78ED" w14:textId="77777777" w:rsidR="00717B50" w:rsidRPr="00171274" w:rsidRDefault="00717B50" w:rsidP="00717B50">
            <w:pPr>
              <w:spacing w:after="0"/>
              <w:jc w:val="center"/>
              <w:rPr>
                <w:rFonts w:ascii="EC Square Sans Cond Pro" w:eastAsia="Times New Roman" w:hAnsi="EC Square Sans Cond Pro" w:cs="Times New Roman"/>
                <w:noProof/>
                <w:sz w:val="18"/>
                <w:szCs w:val="18"/>
                <w:lang w:val="en-IE"/>
              </w:rPr>
            </w:pPr>
          </w:p>
        </w:tc>
        <w:tc>
          <w:tcPr>
            <w:tcW w:w="544" w:type="pct"/>
            <w:tcBorders>
              <w:top w:val="nil"/>
              <w:left w:val="nil"/>
              <w:bottom w:val="nil"/>
              <w:right w:val="nil"/>
            </w:tcBorders>
            <w:shd w:val="clear" w:color="auto" w:fill="auto"/>
            <w:vAlign w:val="center"/>
          </w:tcPr>
          <w:p w14:paraId="47DDA79B" w14:textId="77777777" w:rsidR="00717B50" w:rsidRPr="00171274" w:rsidRDefault="00717B50" w:rsidP="00717B50">
            <w:pPr>
              <w:spacing w:after="0"/>
              <w:jc w:val="center"/>
              <w:rPr>
                <w:rFonts w:ascii="EC Square Sans Cond Pro" w:eastAsia="Times New Roman" w:hAnsi="EC Square Sans Cond Pro" w:cs="Times New Roman"/>
                <w:noProof/>
                <w:sz w:val="18"/>
                <w:szCs w:val="18"/>
                <w:lang w:val="en-IE"/>
              </w:rPr>
            </w:pPr>
          </w:p>
        </w:tc>
        <w:tc>
          <w:tcPr>
            <w:tcW w:w="544" w:type="pct"/>
            <w:tcBorders>
              <w:top w:val="nil"/>
              <w:left w:val="nil"/>
              <w:bottom w:val="nil"/>
              <w:right w:val="nil"/>
            </w:tcBorders>
            <w:shd w:val="clear" w:color="auto" w:fill="auto"/>
            <w:vAlign w:val="center"/>
            <w:hideMark/>
          </w:tcPr>
          <w:p w14:paraId="1D73B376" w14:textId="77777777" w:rsidR="00717B50" w:rsidRPr="00171274" w:rsidRDefault="00717B50" w:rsidP="00717B50">
            <w:pPr>
              <w:spacing w:after="0"/>
              <w:jc w:val="center"/>
              <w:rPr>
                <w:rFonts w:ascii="EC Square Sans Cond Pro" w:eastAsia="Times New Roman" w:hAnsi="EC Square Sans Cond Pro" w:cs="Times New Roman"/>
                <w:noProof/>
                <w:sz w:val="18"/>
                <w:szCs w:val="18"/>
                <w:lang w:val="en-IE"/>
              </w:rPr>
            </w:pPr>
          </w:p>
        </w:tc>
      </w:tr>
      <w:tr w:rsidR="00A77783" w:rsidRPr="00171274" w14:paraId="5FE33363" w14:textId="77777777" w:rsidTr="00A77783">
        <w:trPr>
          <w:trHeight w:val="300"/>
        </w:trPr>
        <w:tc>
          <w:tcPr>
            <w:tcW w:w="976" w:type="pct"/>
            <w:tcBorders>
              <w:top w:val="nil"/>
              <w:left w:val="nil"/>
              <w:bottom w:val="nil"/>
              <w:right w:val="nil"/>
            </w:tcBorders>
            <w:shd w:val="clear" w:color="auto" w:fill="auto"/>
            <w:noWrap/>
            <w:vAlign w:val="center"/>
            <w:hideMark/>
          </w:tcPr>
          <w:p w14:paraId="124628C5" w14:textId="77777777" w:rsidR="00717B50" w:rsidRPr="00171274" w:rsidRDefault="00717B50" w:rsidP="00717B50">
            <w:pPr>
              <w:spacing w:after="0"/>
              <w:jc w:val="left"/>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lang w:val="en-IE"/>
              </w:rPr>
              <w:t>CH4</w:t>
            </w:r>
          </w:p>
        </w:tc>
        <w:tc>
          <w:tcPr>
            <w:tcW w:w="556" w:type="pct"/>
            <w:tcBorders>
              <w:top w:val="nil"/>
              <w:left w:val="nil"/>
              <w:bottom w:val="nil"/>
            </w:tcBorders>
            <w:shd w:val="clear" w:color="auto" w:fill="auto"/>
            <w:vAlign w:val="center"/>
            <w:hideMark/>
          </w:tcPr>
          <w:p w14:paraId="2896C7CA" w14:textId="77777777" w:rsidR="00717B50" w:rsidRPr="00171274" w:rsidRDefault="00717B50" w:rsidP="00717B50">
            <w:pPr>
              <w:spacing w:after="0"/>
              <w:jc w:val="center"/>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rPr>
              <w:t>237</w:t>
            </w:r>
          </w:p>
        </w:tc>
        <w:tc>
          <w:tcPr>
            <w:tcW w:w="556" w:type="pct"/>
            <w:tcBorders>
              <w:top w:val="nil"/>
              <w:left w:val="nil"/>
              <w:bottom w:val="nil"/>
              <w:right w:val="nil"/>
            </w:tcBorders>
            <w:shd w:val="clear" w:color="auto" w:fill="auto"/>
            <w:vAlign w:val="center"/>
          </w:tcPr>
          <w:p w14:paraId="296FB241" w14:textId="10B54F08" w:rsidR="00717B50" w:rsidRPr="00171274" w:rsidRDefault="00717B50" w:rsidP="00717B50">
            <w:pPr>
              <w:spacing w:after="0"/>
              <w:jc w:val="center"/>
              <w:rPr>
                <w:rFonts w:ascii="EC Square Sans Cond Pro" w:eastAsia="Times New Roman" w:hAnsi="EC Square Sans Cond Pro" w:cs="Calibri"/>
                <w:noProof/>
                <w:color w:val="000000"/>
                <w:sz w:val="18"/>
                <w:szCs w:val="18"/>
              </w:rPr>
            </w:pPr>
            <w:r w:rsidRPr="00171274">
              <w:rPr>
                <w:rFonts w:ascii="EC Square Sans Cond Pro" w:eastAsia="Times New Roman" w:hAnsi="EC Square Sans Cond Pro" w:cs="Calibri"/>
                <w:noProof/>
                <w:color w:val="000000"/>
                <w:sz w:val="18"/>
                <w:szCs w:val="18"/>
              </w:rPr>
              <w:t>166</w:t>
            </w:r>
          </w:p>
        </w:tc>
        <w:tc>
          <w:tcPr>
            <w:tcW w:w="557" w:type="pct"/>
            <w:tcBorders>
              <w:top w:val="nil"/>
              <w:left w:val="nil"/>
              <w:bottom w:val="nil"/>
              <w:right w:val="nil"/>
            </w:tcBorders>
            <w:shd w:val="clear" w:color="auto" w:fill="auto"/>
            <w:noWrap/>
            <w:vAlign w:val="center"/>
            <w:hideMark/>
          </w:tcPr>
          <w:p w14:paraId="3B7B4907" w14:textId="3E1B3C6F" w:rsidR="00717B50" w:rsidRPr="00171274" w:rsidRDefault="00717B50" w:rsidP="00717B50">
            <w:pPr>
              <w:spacing w:after="0"/>
              <w:jc w:val="center"/>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rPr>
              <w:t>167</w:t>
            </w:r>
          </w:p>
        </w:tc>
        <w:tc>
          <w:tcPr>
            <w:tcW w:w="633" w:type="pct"/>
            <w:tcBorders>
              <w:top w:val="nil"/>
              <w:left w:val="nil"/>
              <w:bottom w:val="nil"/>
              <w:right w:val="nil"/>
            </w:tcBorders>
            <w:shd w:val="clear" w:color="auto" w:fill="auto"/>
            <w:vAlign w:val="center"/>
          </w:tcPr>
          <w:p w14:paraId="03AD77AD" w14:textId="7808F4E1" w:rsidR="00717B50" w:rsidRPr="00171274" w:rsidRDefault="00717B50" w:rsidP="00717B50">
            <w:pPr>
              <w:spacing w:after="0"/>
              <w:jc w:val="center"/>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rPr>
              <w:t>-30%</w:t>
            </w:r>
          </w:p>
        </w:tc>
        <w:tc>
          <w:tcPr>
            <w:tcW w:w="634" w:type="pct"/>
            <w:tcBorders>
              <w:top w:val="nil"/>
              <w:left w:val="nil"/>
              <w:bottom w:val="nil"/>
              <w:right w:val="nil"/>
            </w:tcBorders>
            <w:shd w:val="clear" w:color="auto" w:fill="auto"/>
            <w:vAlign w:val="center"/>
            <w:hideMark/>
          </w:tcPr>
          <w:p w14:paraId="30D4CB11" w14:textId="50F224B5" w:rsidR="00717B50" w:rsidRPr="00171274" w:rsidRDefault="00717B50" w:rsidP="00717B50">
            <w:pPr>
              <w:spacing w:after="0"/>
              <w:jc w:val="center"/>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rPr>
              <w:t>-29%</w:t>
            </w:r>
          </w:p>
        </w:tc>
        <w:tc>
          <w:tcPr>
            <w:tcW w:w="544" w:type="pct"/>
            <w:tcBorders>
              <w:top w:val="nil"/>
              <w:left w:val="nil"/>
              <w:bottom w:val="nil"/>
              <w:right w:val="nil"/>
            </w:tcBorders>
            <w:shd w:val="clear" w:color="auto" w:fill="auto"/>
            <w:vAlign w:val="center"/>
          </w:tcPr>
          <w:p w14:paraId="1B1E45C5" w14:textId="77777777" w:rsidR="00717B50" w:rsidRPr="00171274" w:rsidRDefault="00717B50" w:rsidP="00717B50">
            <w:pPr>
              <w:spacing w:after="0"/>
              <w:jc w:val="center"/>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rPr>
              <w:t>-48</w:t>
            </w:r>
          </w:p>
        </w:tc>
        <w:tc>
          <w:tcPr>
            <w:tcW w:w="544" w:type="pct"/>
            <w:tcBorders>
              <w:top w:val="nil"/>
              <w:left w:val="nil"/>
              <w:bottom w:val="nil"/>
              <w:right w:val="nil"/>
            </w:tcBorders>
            <w:shd w:val="clear" w:color="auto" w:fill="auto"/>
            <w:vAlign w:val="center"/>
            <w:hideMark/>
          </w:tcPr>
          <w:p w14:paraId="73676038" w14:textId="77777777" w:rsidR="00717B50" w:rsidRPr="00171274" w:rsidRDefault="00717B50" w:rsidP="00717B50">
            <w:pPr>
              <w:spacing w:after="0"/>
              <w:jc w:val="center"/>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rPr>
              <w:t>-46</w:t>
            </w:r>
          </w:p>
        </w:tc>
      </w:tr>
      <w:tr w:rsidR="00A77783" w:rsidRPr="00171274" w14:paraId="7176A38A" w14:textId="77777777" w:rsidTr="00A77783">
        <w:trPr>
          <w:trHeight w:val="300"/>
        </w:trPr>
        <w:tc>
          <w:tcPr>
            <w:tcW w:w="976" w:type="pct"/>
            <w:tcBorders>
              <w:top w:val="nil"/>
              <w:left w:val="nil"/>
              <w:bottom w:val="nil"/>
              <w:right w:val="nil"/>
            </w:tcBorders>
            <w:shd w:val="clear" w:color="auto" w:fill="auto"/>
            <w:noWrap/>
            <w:vAlign w:val="center"/>
            <w:hideMark/>
          </w:tcPr>
          <w:p w14:paraId="2A373E4C" w14:textId="77777777" w:rsidR="00717B50" w:rsidRPr="00171274" w:rsidRDefault="00717B50" w:rsidP="00717B50">
            <w:pPr>
              <w:spacing w:after="0"/>
              <w:jc w:val="left"/>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lang w:val="en-IE"/>
              </w:rPr>
              <w:t>N2O</w:t>
            </w:r>
          </w:p>
        </w:tc>
        <w:tc>
          <w:tcPr>
            <w:tcW w:w="556" w:type="pct"/>
            <w:tcBorders>
              <w:top w:val="nil"/>
              <w:left w:val="nil"/>
              <w:bottom w:val="nil"/>
            </w:tcBorders>
            <w:shd w:val="clear" w:color="auto" w:fill="auto"/>
            <w:vAlign w:val="center"/>
            <w:hideMark/>
          </w:tcPr>
          <w:p w14:paraId="245DC194" w14:textId="77777777" w:rsidR="00717B50" w:rsidRPr="00171274" w:rsidRDefault="00717B50" w:rsidP="00717B50">
            <w:pPr>
              <w:spacing w:after="0"/>
              <w:jc w:val="center"/>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rPr>
              <w:t>138</w:t>
            </w:r>
          </w:p>
        </w:tc>
        <w:tc>
          <w:tcPr>
            <w:tcW w:w="556" w:type="pct"/>
            <w:tcBorders>
              <w:top w:val="nil"/>
              <w:left w:val="nil"/>
              <w:bottom w:val="nil"/>
              <w:right w:val="nil"/>
            </w:tcBorders>
            <w:shd w:val="clear" w:color="auto" w:fill="auto"/>
            <w:vAlign w:val="center"/>
          </w:tcPr>
          <w:p w14:paraId="1C0FE926" w14:textId="16A59C75" w:rsidR="00717B50" w:rsidRPr="00171274" w:rsidRDefault="00717B50" w:rsidP="00717B50">
            <w:pPr>
              <w:spacing w:after="0"/>
              <w:jc w:val="center"/>
              <w:rPr>
                <w:rFonts w:ascii="EC Square Sans Cond Pro" w:eastAsia="Times New Roman" w:hAnsi="EC Square Sans Cond Pro" w:cs="Calibri"/>
                <w:noProof/>
                <w:color w:val="000000"/>
                <w:sz w:val="18"/>
                <w:szCs w:val="18"/>
              </w:rPr>
            </w:pPr>
            <w:r w:rsidRPr="00171274">
              <w:rPr>
                <w:rFonts w:ascii="EC Square Sans Cond Pro" w:eastAsia="Times New Roman" w:hAnsi="EC Square Sans Cond Pro" w:cs="Calibri"/>
                <w:noProof/>
                <w:color w:val="000000"/>
                <w:sz w:val="18"/>
                <w:szCs w:val="18"/>
              </w:rPr>
              <w:t>95</w:t>
            </w:r>
          </w:p>
        </w:tc>
        <w:tc>
          <w:tcPr>
            <w:tcW w:w="557" w:type="pct"/>
            <w:tcBorders>
              <w:top w:val="nil"/>
              <w:left w:val="nil"/>
              <w:bottom w:val="nil"/>
              <w:right w:val="nil"/>
            </w:tcBorders>
            <w:shd w:val="clear" w:color="auto" w:fill="auto"/>
            <w:noWrap/>
            <w:vAlign w:val="center"/>
            <w:hideMark/>
          </w:tcPr>
          <w:p w14:paraId="3BD807AF" w14:textId="7552C249" w:rsidR="00717B50" w:rsidRPr="00171274" w:rsidRDefault="00717B50" w:rsidP="00717B50">
            <w:pPr>
              <w:spacing w:after="0"/>
              <w:jc w:val="center"/>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rPr>
              <w:t>92</w:t>
            </w:r>
          </w:p>
        </w:tc>
        <w:tc>
          <w:tcPr>
            <w:tcW w:w="633" w:type="pct"/>
            <w:tcBorders>
              <w:top w:val="nil"/>
              <w:left w:val="nil"/>
              <w:bottom w:val="nil"/>
              <w:right w:val="nil"/>
            </w:tcBorders>
            <w:shd w:val="clear" w:color="auto" w:fill="auto"/>
            <w:vAlign w:val="center"/>
          </w:tcPr>
          <w:p w14:paraId="69AB91E6" w14:textId="74772531" w:rsidR="00717B50" w:rsidRPr="00171274" w:rsidRDefault="00717B50" w:rsidP="00717B50">
            <w:pPr>
              <w:spacing w:after="0"/>
              <w:jc w:val="center"/>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rPr>
              <w:t>-31%</w:t>
            </w:r>
          </w:p>
        </w:tc>
        <w:tc>
          <w:tcPr>
            <w:tcW w:w="634" w:type="pct"/>
            <w:tcBorders>
              <w:top w:val="nil"/>
              <w:left w:val="nil"/>
              <w:bottom w:val="nil"/>
              <w:right w:val="nil"/>
            </w:tcBorders>
            <w:shd w:val="clear" w:color="auto" w:fill="auto"/>
            <w:vAlign w:val="center"/>
            <w:hideMark/>
          </w:tcPr>
          <w:p w14:paraId="76090FC6" w14:textId="7963BCD9" w:rsidR="00717B50" w:rsidRPr="00171274" w:rsidRDefault="00717B50" w:rsidP="00717B50">
            <w:pPr>
              <w:spacing w:after="0"/>
              <w:jc w:val="center"/>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rPr>
              <w:t>-33%</w:t>
            </w:r>
          </w:p>
        </w:tc>
        <w:tc>
          <w:tcPr>
            <w:tcW w:w="544" w:type="pct"/>
            <w:tcBorders>
              <w:top w:val="nil"/>
              <w:left w:val="nil"/>
              <w:bottom w:val="nil"/>
              <w:right w:val="nil"/>
            </w:tcBorders>
            <w:shd w:val="clear" w:color="auto" w:fill="auto"/>
            <w:vAlign w:val="center"/>
          </w:tcPr>
          <w:p w14:paraId="5CDFD1F5" w14:textId="77777777" w:rsidR="00717B50" w:rsidRPr="00171274" w:rsidRDefault="00717B50" w:rsidP="00717B50">
            <w:pPr>
              <w:spacing w:after="0"/>
              <w:jc w:val="center"/>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rPr>
              <w:t>-32</w:t>
            </w:r>
          </w:p>
        </w:tc>
        <w:tc>
          <w:tcPr>
            <w:tcW w:w="544" w:type="pct"/>
            <w:tcBorders>
              <w:top w:val="nil"/>
              <w:left w:val="nil"/>
              <w:bottom w:val="nil"/>
              <w:right w:val="nil"/>
            </w:tcBorders>
            <w:shd w:val="clear" w:color="auto" w:fill="auto"/>
            <w:vAlign w:val="center"/>
            <w:hideMark/>
          </w:tcPr>
          <w:p w14:paraId="11868A5C" w14:textId="77777777" w:rsidR="00717B50" w:rsidRPr="00171274" w:rsidRDefault="00717B50" w:rsidP="00717B50">
            <w:pPr>
              <w:spacing w:after="0"/>
              <w:jc w:val="center"/>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rPr>
              <w:t>-32</w:t>
            </w:r>
          </w:p>
        </w:tc>
      </w:tr>
      <w:tr w:rsidR="00A77783" w:rsidRPr="00171274" w14:paraId="676110D0" w14:textId="77777777" w:rsidTr="00A77783">
        <w:trPr>
          <w:trHeight w:val="300"/>
        </w:trPr>
        <w:tc>
          <w:tcPr>
            <w:tcW w:w="976" w:type="pct"/>
            <w:tcBorders>
              <w:top w:val="nil"/>
              <w:left w:val="nil"/>
              <w:bottom w:val="nil"/>
              <w:right w:val="nil"/>
            </w:tcBorders>
            <w:shd w:val="clear" w:color="auto" w:fill="auto"/>
            <w:noWrap/>
            <w:vAlign w:val="center"/>
            <w:hideMark/>
          </w:tcPr>
          <w:p w14:paraId="6F6CE735" w14:textId="77777777" w:rsidR="00717B50" w:rsidRPr="00171274" w:rsidRDefault="00717B50" w:rsidP="00717B50">
            <w:pPr>
              <w:spacing w:after="0"/>
              <w:jc w:val="left"/>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lang w:val="en-IE"/>
              </w:rPr>
              <w:t>CO2</w:t>
            </w:r>
          </w:p>
        </w:tc>
        <w:tc>
          <w:tcPr>
            <w:tcW w:w="556" w:type="pct"/>
            <w:tcBorders>
              <w:top w:val="nil"/>
              <w:left w:val="nil"/>
            </w:tcBorders>
            <w:shd w:val="clear" w:color="auto" w:fill="auto"/>
            <w:vAlign w:val="center"/>
            <w:hideMark/>
          </w:tcPr>
          <w:p w14:paraId="3FEEC2AE" w14:textId="77777777" w:rsidR="00717B50" w:rsidRPr="00171274" w:rsidRDefault="00717B50" w:rsidP="00717B50">
            <w:pPr>
              <w:spacing w:after="0"/>
              <w:jc w:val="center"/>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rPr>
              <w:t>10</w:t>
            </w:r>
          </w:p>
        </w:tc>
        <w:tc>
          <w:tcPr>
            <w:tcW w:w="556" w:type="pct"/>
            <w:tcBorders>
              <w:top w:val="nil"/>
              <w:left w:val="nil"/>
              <w:right w:val="nil"/>
            </w:tcBorders>
            <w:shd w:val="clear" w:color="auto" w:fill="auto"/>
            <w:vAlign w:val="center"/>
          </w:tcPr>
          <w:p w14:paraId="3E7C5D64" w14:textId="6A6FF0F8" w:rsidR="00717B50" w:rsidRPr="00171274" w:rsidRDefault="00717B50" w:rsidP="00717B50">
            <w:pPr>
              <w:spacing w:after="0"/>
              <w:jc w:val="center"/>
              <w:rPr>
                <w:rFonts w:ascii="EC Square Sans Cond Pro" w:eastAsia="Times New Roman" w:hAnsi="EC Square Sans Cond Pro" w:cs="Calibri"/>
                <w:noProof/>
                <w:color w:val="000000"/>
                <w:sz w:val="18"/>
                <w:szCs w:val="18"/>
              </w:rPr>
            </w:pPr>
            <w:r w:rsidRPr="00171274">
              <w:rPr>
                <w:rFonts w:ascii="EC Square Sans Cond Pro" w:eastAsia="Times New Roman" w:hAnsi="EC Square Sans Cond Pro" w:cs="Calibri"/>
                <w:noProof/>
                <w:color w:val="000000"/>
                <w:sz w:val="18"/>
                <w:szCs w:val="18"/>
              </w:rPr>
              <w:t>10</w:t>
            </w:r>
          </w:p>
        </w:tc>
        <w:tc>
          <w:tcPr>
            <w:tcW w:w="557" w:type="pct"/>
            <w:tcBorders>
              <w:top w:val="nil"/>
              <w:left w:val="nil"/>
              <w:bottom w:val="nil"/>
              <w:right w:val="nil"/>
            </w:tcBorders>
            <w:shd w:val="clear" w:color="auto" w:fill="auto"/>
            <w:noWrap/>
            <w:vAlign w:val="center"/>
            <w:hideMark/>
          </w:tcPr>
          <w:p w14:paraId="45AF72BD" w14:textId="7214568A" w:rsidR="00717B50" w:rsidRPr="00171274" w:rsidRDefault="00717B50" w:rsidP="00717B50">
            <w:pPr>
              <w:spacing w:after="0"/>
              <w:jc w:val="center"/>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rPr>
              <w:t>10</w:t>
            </w:r>
          </w:p>
        </w:tc>
        <w:tc>
          <w:tcPr>
            <w:tcW w:w="633" w:type="pct"/>
            <w:tcBorders>
              <w:top w:val="nil"/>
              <w:left w:val="nil"/>
              <w:bottom w:val="nil"/>
              <w:right w:val="nil"/>
            </w:tcBorders>
            <w:shd w:val="clear" w:color="auto" w:fill="auto"/>
            <w:vAlign w:val="center"/>
          </w:tcPr>
          <w:p w14:paraId="76D19B37" w14:textId="0250CF51" w:rsidR="00717B50" w:rsidRPr="00171274" w:rsidRDefault="00717B50" w:rsidP="00717B50">
            <w:pPr>
              <w:spacing w:after="0"/>
              <w:jc w:val="center"/>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rPr>
              <w:t>3%</w:t>
            </w:r>
          </w:p>
        </w:tc>
        <w:tc>
          <w:tcPr>
            <w:tcW w:w="634" w:type="pct"/>
            <w:tcBorders>
              <w:top w:val="nil"/>
              <w:left w:val="nil"/>
              <w:bottom w:val="nil"/>
              <w:right w:val="nil"/>
            </w:tcBorders>
            <w:shd w:val="clear" w:color="auto" w:fill="auto"/>
            <w:vAlign w:val="center"/>
            <w:hideMark/>
          </w:tcPr>
          <w:p w14:paraId="623C9606" w14:textId="0BFFCE76" w:rsidR="00717B50" w:rsidRPr="00171274" w:rsidRDefault="00717B50" w:rsidP="00717B50">
            <w:pPr>
              <w:spacing w:after="0"/>
              <w:jc w:val="center"/>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rPr>
              <w:t>3%</w:t>
            </w:r>
          </w:p>
        </w:tc>
        <w:tc>
          <w:tcPr>
            <w:tcW w:w="544" w:type="pct"/>
            <w:tcBorders>
              <w:top w:val="nil"/>
              <w:left w:val="nil"/>
              <w:bottom w:val="nil"/>
              <w:right w:val="nil"/>
            </w:tcBorders>
            <w:shd w:val="clear" w:color="auto" w:fill="auto"/>
            <w:vAlign w:val="center"/>
          </w:tcPr>
          <w:p w14:paraId="4123C8BF" w14:textId="77777777" w:rsidR="00717B50" w:rsidRPr="00171274" w:rsidRDefault="00717B50" w:rsidP="00717B50">
            <w:pPr>
              <w:spacing w:after="0"/>
              <w:jc w:val="center"/>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rPr>
              <w:t>0</w:t>
            </w:r>
          </w:p>
        </w:tc>
        <w:tc>
          <w:tcPr>
            <w:tcW w:w="544" w:type="pct"/>
            <w:tcBorders>
              <w:top w:val="nil"/>
              <w:left w:val="nil"/>
              <w:bottom w:val="nil"/>
              <w:right w:val="nil"/>
            </w:tcBorders>
            <w:shd w:val="clear" w:color="auto" w:fill="auto"/>
            <w:vAlign w:val="center"/>
            <w:hideMark/>
          </w:tcPr>
          <w:p w14:paraId="14D91757" w14:textId="77777777" w:rsidR="00717B50" w:rsidRPr="00171274" w:rsidRDefault="00717B50" w:rsidP="00717B50">
            <w:pPr>
              <w:spacing w:after="0"/>
              <w:jc w:val="center"/>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rPr>
              <w:t>0</w:t>
            </w:r>
          </w:p>
        </w:tc>
      </w:tr>
      <w:tr w:rsidR="00A77783" w:rsidRPr="00171274" w14:paraId="7E3214D0" w14:textId="77777777" w:rsidTr="00A77783">
        <w:trPr>
          <w:trHeight w:val="300"/>
        </w:trPr>
        <w:tc>
          <w:tcPr>
            <w:tcW w:w="976" w:type="pct"/>
            <w:tcBorders>
              <w:top w:val="nil"/>
              <w:left w:val="nil"/>
              <w:bottom w:val="nil"/>
              <w:right w:val="nil"/>
            </w:tcBorders>
            <w:shd w:val="clear" w:color="auto" w:fill="auto"/>
            <w:noWrap/>
            <w:vAlign w:val="center"/>
            <w:hideMark/>
          </w:tcPr>
          <w:p w14:paraId="11CEDBD9" w14:textId="77777777" w:rsidR="00717B50" w:rsidRPr="00171274" w:rsidRDefault="00717B50" w:rsidP="00717B50">
            <w:pPr>
              <w:spacing w:after="0"/>
              <w:jc w:val="left"/>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lang w:val="en-IE"/>
              </w:rPr>
              <w:t>Total (all gases)</w:t>
            </w:r>
          </w:p>
        </w:tc>
        <w:tc>
          <w:tcPr>
            <w:tcW w:w="556" w:type="pct"/>
            <w:tcBorders>
              <w:top w:val="nil"/>
              <w:left w:val="nil"/>
              <w:bottom w:val="nil"/>
            </w:tcBorders>
            <w:shd w:val="clear" w:color="auto" w:fill="auto"/>
            <w:vAlign w:val="center"/>
            <w:hideMark/>
          </w:tcPr>
          <w:p w14:paraId="47D4D6F8" w14:textId="62CF14D5" w:rsidR="00717B50" w:rsidRPr="00171274" w:rsidRDefault="00717B50" w:rsidP="00717B50">
            <w:pPr>
              <w:spacing w:after="0"/>
              <w:jc w:val="center"/>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rPr>
              <w:t>3</w:t>
            </w:r>
            <w:r w:rsidR="000F3523">
              <w:rPr>
                <w:rFonts w:ascii="EC Square Sans Cond Pro" w:eastAsia="Times New Roman" w:hAnsi="EC Square Sans Cond Pro" w:cs="Calibri"/>
                <w:noProof/>
                <w:color w:val="000000"/>
                <w:sz w:val="18"/>
                <w:szCs w:val="18"/>
              </w:rPr>
              <w:t>8</w:t>
            </w:r>
            <w:r w:rsidRPr="00171274">
              <w:rPr>
                <w:rFonts w:ascii="EC Square Sans Cond Pro" w:eastAsia="Times New Roman" w:hAnsi="EC Square Sans Cond Pro" w:cs="Calibri"/>
                <w:noProof/>
                <w:color w:val="000000"/>
                <w:sz w:val="18"/>
                <w:szCs w:val="18"/>
              </w:rPr>
              <w:t>5</w:t>
            </w:r>
          </w:p>
        </w:tc>
        <w:tc>
          <w:tcPr>
            <w:tcW w:w="556" w:type="pct"/>
            <w:tcBorders>
              <w:top w:val="nil"/>
              <w:left w:val="nil"/>
              <w:bottom w:val="nil"/>
              <w:right w:val="nil"/>
            </w:tcBorders>
            <w:shd w:val="clear" w:color="auto" w:fill="auto"/>
            <w:vAlign w:val="center"/>
          </w:tcPr>
          <w:p w14:paraId="7E7DE98A" w14:textId="16AB38AA" w:rsidR="00717B50" w:rsidRPr="00171274" w:rsidRDefault="00717B50" w:rsidP="00717B50">
            <w:pPr>
              <w:spacing w:after="0"/>
              <w:jc w:val="center"/>
              <w:rPr>
                <w:rFonts w:ascii="EC Square Sans Cond Pro" w:eastAsia="Times New Roman" w:hAnsi="EC Square Sans Cond Pro" w:cs="Calibri"/>
                <w:noProof/>
                <w:color w:val="000000"/>
                <w:sz w:val="18"/>
                <w:szCs w:val="18"/>
              </w:rPr>
            </w:pPr>
            <w:r w:rsidRPr="00171274">
              <w:rPr>
                <w:rFonts w:ascii="EC Square Sans Cond Pro" w:eastAsia="Times New Roman" w:hAnsi="EC Square Sans Cond Pro" w:cs="Calibri"/>
                <w:noProof/>
                <w:color w:val="000000"/>
                <w:sz w:val="18"/>
                <w:szCs w:val="18"/>
              </w:rPr>
              <w:t>2</w:t>
            </w:r>
            <w:r w:rsidR="000F3523">
              <w:rPr>
                <w:rFonts w:ascii="EC Square Sans Cond Pro" w:eastAsia="Times New Roman" w:hAnsi="EC Square Sans Cond Pro" w:cs="Calibri"/>
                <w:noProof/>
                <w:color w:val="000000"/>
                <w:sz w:val="18"/>
                <w:szCs w:val="18"/>
              </w:rPr>
              <w:t>7</w:t>
            </w:r>
            <w:r w:rsidRPr="00171274">
              <w:rPr>
                <w:rFonts w:ascii="EC Square Sans Cond Pro" w:eastAsia="Times New Roman" w:hAnsi="EC Square Sans Cond Pro" w:cs="Calibri"/>
                <w:noProof/>
                <w:color w:val="000000"/>
                <w:sz w:val="18"/>
                <w:szCs w:val="18"/>
              </w:rPr>
              <w:t>1</w:t>
            </w:r>
          </w:p>
        </w:tc>
        <w:tc>
          <w:tcPr>
            <w:tcW w:w="557" w:type="pct"/>
            <w:tcBorders>
              <w:top w:val="nil"/>
              <w:left w:val="nil"/>
              <w:bottom w:val="nil"/>
            </w:tcBorders>
            <w:shd w:val="clear" w:color="auto" w:fill="auto"/>
            <w:noWrap/>
            <w:vAlign w:val="center"/>
            <w:hideMark/>
          </w:tcPr>
          <w:p w14:paraId="4B47B857" w14:textId="22C2B585" w:rsidR="00717B50" w:rsidRPr="00171274" w:rsidRDefault="00717B50" w:rsidP="00717B50">
            <w:pPr>
              <w:spacing w:after="0"/>
              <w:jc w:val="center"/>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rPr>
              <w:t>2</w:t>
            </w:r>
            <w:r w:rsidR="000F3523">
              <w:rPr>
                <w:rFonts w:ascii="EC Square Sans Cond Pro" w:eastAsia="Times New Roman" w:hAnsi="EC Square Sans Cond Pro" w:cs="Calibri"/>
                <w:noProof/>
                <w:color w:val="000000"/>
                <w:sz w:val="18"/>
                <w:szCs w:val="18"/>
              </w:rPr>
              <w:t>6</w:t>
            </w:r>
            <w:r w:rsidRPr="00171274">
              <w:rPr>
                <w:rFonts w:ascii="EC Square Sans Cond Pro" w:eastAsia="Times New Roman" w:hAnsi="EC Square Sans Cond Pro" w:cs="Calibri"/>
                <w:noProof/>
                <w:color w:val="000000"/>
                <w:sz w:val="18"/>
                <w:szCs w:val="18"/>
              </w:rPr>
              <w:t>9</w:t>
            </w:r>
          </w:p>
        </w:tc>
        <w:tc>
          <w:tcPr>
            <w:tcW w:w="633" w:type="pct"/>
            <w:tcBorders>
              <w:top w:val="nil"/>
              <w:left w:val="nil"/>
              <w:bottom w:val="nil"/>
              <w:right w:val="nil"/>
            </w:tcBorders>
            <w:shd w:val="clear" w:color="auto" w:fill="auto"/>
            <w:vAlign w:val="center"/>
          </w:tcPr>
          <w:p w14:paraId="1977D00D" w14:textId="6FA03B30" w:rsidR="00717B50" w:rsidRPr="00171274" w:rsidRDefault="00717B50" w:rsidP="00717B50">
            <w:pPr>
              <w:spacing w:after="0"/>
              <w:jc w:val="center"/>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rPr>
              <w:t>-30%</w:t>
            </w:r>
          </w:p>
        </w:tc>
        <w:tc>
          <w:tcPr>
            <w:tcW w:w="634" w:type="pct"/>
            <w:tcBorders>
              <w:top w:val="nil"/>
              <w:left w:val="nil"/>
              <w:bottom w:val="nil"/>
              <w:right w:val="nil"/>
            </w:tcBorders>
            <w:shd w:val="clear" w:color="auto" w:fill="auto"/>
            <w:vAlign w:val="center"/>
            <w:hideMark/>
          </w:tcPr>
          <w:p w14:paraId="24755286" w14:textId="476F069D" w:rsidR="00717B50" w:rsidRPr="00171274" w:rsidRDefault="00717B50" w:rsidP="00717B50">
            <w:pPr>
              <w:spacing w:after="0"/>
              <w:jc w:val="center"/>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rPr>
              <w:t>-3</w:t>
            </w:r>
            <w:r w:rsidR="00FB4BB1">
              <w:rPr>
                <w:rFonts w:ascii="EC Square Sans Cond Pro" w:eastAsia="Times New Roman" w:hAnsi="EC Square Sans Cond Pro" w:cs="Calibri"/>
                <w:noProof/>
                <w:color w:val="000000"/>
                <w:sz w:val="18"/>
                <w:szCs w:val="18"/>
              </w:rPr>
              <w:t>0</w:t>
            </w:r>
            <w:r w:rsidRPr="00171274">
              <w:rPr>
                <w:rFonts w:ascii="EC Square Sans Cond Pro" w:eastAsia="Times New Roman" w:hAnsi="EC Square Sans Cond Pro" w:cs="Calibri"/>
                <w:noProof/>
                <w:color w:val="000000"/>
                <w:sz w:val="18"/>
                <w:szCs w:val="18"/>
              </w:rPr>
              <w:t>%</w:t>
            </w:r>
          </w:p>
        </w:tc>
        <w:tc>
          <w:tcPr>
            <w:tcW w:w="544" w:type="pct"/>
            <w:tcBorders>
              <w:top w:val="nil"/>
              <w:left w:val="nil"/>
              <w:bottom w:val="nil"/>
              <w:right w:val="nil"/>
            </w:tcBorders>
            <w:shd w:val="clear" w:color="auto" w:fill="auto"/>
            <w:vAlign w:val="center"/>
          </w:tcPr>
          <w:p w14:paraId="41E51C96" w14:textId="77777777" w:rsidR="00717B50" w:rsidRPr="00171274" w:rsidRDefault="00717B50" w:rsidP="00717B50">
            <w:pPr>
              <w:spacing w:after="0"/>
              <w:jc w:val="center"/>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rPr>
              <w:t>-80</w:t>
            </w:r>
          </w:p>
        </w:tc>
        <w:tc>
          <w:tcPr>
            <w:tcW w:w="544" w:type="pct"/>
            <w:tcBorders>
              <w:top w:val="nil"/>
              <w:left w:val="nil"/>
              <w:bottom w:val="nil"/>
              <w:right w:val="nil"/>
            </w:tcBorders>
            <w:shd w:val="clear" w:color="auto" w:fill="auto"/>
            <w:vAlign w:val="center"/>
            <w:hideMark/>
          </w:tcPr>
          <w:p w14:paraId="0D868F3F" w14:textId="77777777" w:rsidR="00717B50" w:rsidRPr="00171274" w:rsidRDefault="00717B50" w:rsidP="00717B50">
            <w:pPr>
              <w:spacing w:after="0"/>
              <w:jc w:val="center"/>
              <w:rPr>
                <w:rFonts w:ascii="EC Square Sans Cond Pro" w:eastAsia="Times New Roman" w:hAnsi="EC Square Sans Cond Pro" w:cs="Calibri"/>
                <w:noProof/>
                <w:color w:val="000000"/>
                <w:sz w:val="18"/>
                <w:szCs w:val="18"/>
                <w:lang w:val="en-IE"/>
              </w:rPr>
            </w:pPr>
            <w:r w:rsidRPr="00171274">
              <w:rPr>
                <w:rFonts w:ascii="EC Square Sans Cond Pro" w:eastAsia="Times New Roman" w:hAnsi="EC Square Sans Cond Pro" w:cs="Calibri"/>
                <w:noProof/>
                <w:color w:val="000000"/>
                <w:sz w:val="18"/>
                <w:szCs w:val="18"/>
              </w:rPr>
              <w:t>-78</w:t>
            </w:r>
          </w:p>
        </w:tc>
      </w:tr>
    </w:tbl>
    <w:p w14:paraId="0F726FBD" w14:textId="77777777" w:rsidR="00A77783" w:rsidRPr="00A77783" w:rsidRDefault="00A77783" w:rsidP="00E97252">
      <w:pPr>
        <w:pStyle w:val="CT-SOURCE"/>
        <w:rPr>
          <w:noProof/>
          <w:sz w:val="2"/>
          <w:szCs w:val="2"/>
        </w:rPr>
      </w:pPr>
    </w:p>
    <w:p w14:paraId="072C7174" w14:textId="2C63E5C5" w:rsidR="00E97252" w:rsidRDefault="00E97252" w:rsidP="00E97252">
      <w:pPr>
        <w:pStyle w:val="CT-SOURCE"/>
        <w:rPr>
          <w:noProof/>
        </w:rPr>
      </w:pPr>
      <w:r w:rsidRPr="00A454D2">
        <w:rPr>
          <w:noProof/>
        </w:rPr>
        <w:t>Source: GAINS.</w:t>
      </w:r>
    </w:p>
    <w:p w14:paraId="53B0FC60" w14:textId="399A6DA5" w:rsidR="0045543E" w:rsidRPr="00680783" w:rsidRDefault="00B46C30" w:rsidP="00680783">
      <w:pPr>
        <w:pStyle w:val="Heading3"/>
        <w:rPr>
          <w:noProof/>
        </w:rPr>
      </w:pPr>
      <w:bookmarkStart w:id="429" w:name="_Ref141948223"/>
      <w:bookmarkStart w:id="430" w:name="_Ref145610094"/>
      <w:bookmarkStart w:id="431" w:name="_Toc148605618"/>
      <w:bookmarkStart w:id="432" w:name="_Toc157692064"/>
      <w:r>
        <w:rPr>
          <w:noProof/>
        </w:rPr>
        <w:t>M</w:t>
      </w:r>
      <w:r w:rsidR="00BA545D">
        <w:rPr>
          <w:noProof/>
        </w:rPr>
        <w:t>itigation potential</w:t>
      </w:r>
      <w:bookmarkEnd w:id="429"/>
      <w:r w:rsidR="00E33D7C">
        <w:rPr>
          <w:noProof/>
        </w:rPr>
        <w:t xml:space="preserve"> for non-CO2 GHG emissions</w:t>
      </w:r>
      <w:bookmarkEnd w:id="430"/>
      <w:bookmarkEnd w:id="431"/>
      <w:bookmarkEnd w:id="432"/>
    </w:p>
    <w:p w14:paraId="3801CA60" w14:textId="1E36E030" w:rsidR="00D95613" w:rsidRPr="007C7B30" w:rsidRDefault="00BB38BD" w:rsidP="00D95613">
      <w:pPr>
        <w:rPr>
          <w:noProof/>
        </w:rPr>
      </w:pPr>
      <w:r>
        <w:rPr>
          <w:noProof/>
        </w:rPr>
        <w:t xml:space="preserve">The GAINS model provides </w:t>
      </w:r>
      <w:r w:rsidR="00586BD6">
        <w:rPr>
          <w:noProof/>
        </w:rPr>
        <w:t>marginal abatement cost</w:t>
      </w:r>
      <w:r w:rsidR="00CA7023" w:rsidRPr="00CA7023">
        <w:rPr>
          <w:noProof/>
        </w:rPr>
        <w:t> (</w:t>
      </w:r>
      <w:r w:rsidR="00CA7023">
        <w:rPr>
          <w:rStyle w:val="FootnoteReference"/>
          <w:noProof/>
        </w:rPr>
        <w:footnoteReference w:id="151"/>
      </w:r>
      <w:r w:rsidR="00CA7023">
        <w:rPr>
          <w:noProof/>
        </w:rPr>
        <w:t>)</w:t>
      </w:r>
      <w:r w:rsidR="00586BD6">
        <w:rPr>
          <w:noProof/>
        </w:rPr>
        <w:t xml:space="preserve"> curves (MACC) </w:t>
      </w:r>
      <w:r w:rsidR="001635E4">
        <w:rPr>
          <w:noProof/>
        </w:rPr>
        <w:t xml:space="preserve">for non-CO2 GHG emissions </w:t>
      </w:r>
      <w:r w:rsidR="00586BD6">
        <w:rPr>
          <w:noProof/>
        </w:rPr>
        <w:t>corresponding to the agriculture sector</w:t>
      </w:r>
      <w:r w:rsidR="000432DD">
        <w:rPr>
          <w:noProof/>
        </w:rPr>
        <w:t>,</w:t>
      </w:r>
      <w:r w:rsidR="00586BD6">
        <w:rPr>
          <w:noProof/>
        </w:rPr>
        <w:t xml:space="preserve"> specified per gas and per type of source</w:t>
      </w:r>
      <w:r w:rsidR="008F64EF">
        <w:rPr>
          <w:noProof/>
        </w:rPr>
        <w:t xml:space="preserve">, </w:t>
      </w:r>
      <w:r w:rsidR="00586BD6">
        <w:rPr>
          <w:noProof/>
        </w:rPr>
        <w:t>com</w:t>
      </w:r>
      <w:r w:rsidR="008F64EF">
        <w:rPr>
          <w:noProof/>
        </w:rPr>
        <w:t>ing</w:t>
      </w:r>
      <w:r w:rsidR="00586BD6">
        <w:rPr>
          <w:noProof/>
        </w:rPr>
        <w:t xml:space="preserve"> on top of the </w:t>
      </w:r>
      <w:r w:rsidR="00207147">
        <w:rPr>
          <w:noProof/>
        </w:rPr>
        <w:t>“</w:t>
      </w:r>
      <w:r w:rsidR="008F64EF">
        <w:rPr>
          <w:noProof/>
        </w:rPr>
        <w:t>emissions</w:t>
      </w:r>
      <w:r w:rsidR="00207147">
        <w:rPr>
          <w:noProof/>
        </w:rPr>
        <w:t xml:space="preserve"> without additional mi</w:t>
      </w:r>
      <w:r w:rsidR="009F1E84">
        <w:rPr>
          <w:noProof/>
        </w:rPr>
        <w:t>t</w:t>
      </w:r>
      <w:r w:rsidR="00207147">
        <w:rPr>
          <w:noProof/>
        </w:rPr>
        <w:t xml:space="preserve">igation” described in Section </w:t>
      </w:r>
      <w:r w:rsidR="00207147">
        <w:rPr>
          <w:noProof/>
        </w:rPr>
        <w:fldChar w:fldCharType="begin"/>
      </w:r>
      <w:r w:rsidR="00207147">
        <w:rPr>
          <w:noProof/>
        </w:rPr>
        <w:instrText xml:space="preserve"> REF _Ref151826660 \r \h </w:instrText>
      </w:r>
      <w:r w:rsidR="00207147">
        <w:rPr>
          <w:noProof/>
        </w:rPr>
      </w:r>
      <w:r w:rsidR="00207147">
        <w:rPr>
          <w:noProof/>
        </w:rPr>
        <w:fldChar w:fldCharType="separate"/>
      </w:r>
      <w:r w:rsidR="00170A3C">
        <w:rPr>
          <w:noProof/>
        </w:rPr>
        <w:t>1.7.3</w:t>
      </w:r>
      <w:r w:rsidR="00207147">
        <w:rPr>
          <w:noProof/>
        </w:rPr>
        <w:fldChar w:fldCharType="end"/>
      </w:r>
      <w:r w:rsidR="00586BD6">
        <w:rPr>
          <w:noProof/>
        </w:rPr>
        <w:t xml:space="preserve">. Note that the S1, S2 and S3 scenarios are assumed to share the same MACCs, whereas </w:t>
      </w:r>
      <w:r w:rsidR="00C459D4">
        <w:rPr>
          <w:noProof/>
        </w:rPr>
        <w:t>LIFE</w:t>
      </w:r>
      <w:r w:rsidR="00586BD6">
        <w:rPr>
          <w:noProof/>
        </w:rPr>
        <w:t xml:space="preserve"> has scenario-specific MACCs. </w:t>
      </w:r>
      <w:r w:rsidR="00D95613" w:rsidRPr="005948CC">
        <w:rPr>
          <w:noProof/>
        </w:rPr>
        <w:fldChar w:fldCharType="begin"/>
      </w:r>
      <w:r w:rsidR="00D95613" w:rsidRPr="00CF1C19">
        <w:rPr>
          <w:noProof/>
          <w:highlight w:val="yellow"/>
        </w:rPr>
        <w:instrText xml:space="preserve"> REF _Ref146530833 \h </w:instrText>
      </w:r>
      <w:r w:rsidR="00D95613">
        <w:rPr>
          <w:noProof/>
          <w:highlight w:val="yellow"/>
        </w:rPr>
        <w:instrText xml:space="preserve"> \* MERGEFORMAT </w:instrText>
      </w:r>
      <w:r w:rsidR="00D95613" w:rsidRPr="005948CC">
        <w:rPr>
          <w:noProof/>
        </w:rPr>
      </w:r>
      <w:r w:rsidR="00D95613" w:rsidRPr="005948CC">
        <w:rPr>
          <w:noProof/>
        </w:rPr>
        <w:fldChar w:fldCharType="separate"/>
      </w:r>
      <w:r w:rsidR="00170A3C">
        <w:rPr>
          <w:noProof/>
        </w:rPr>
        <w:t>Figure 81</w:t>
      </w:r>
      <w:r w:rsidR="00D95613" w:rsidRPr="005948CC">
        <w:rPr>
          <w:noProof/>
        </w:rPr>
        <w:fldChar w:fldCharType="end"/>
      </w:r>
      <w:r w:rsidR="00D95613">
        <w:rPr>
          <w:noProof/>
        </w:rPr>
        <w:t xml:space="preserve"> shows the MACC applicable to the agriculture sector in 2040 in the different scenarios.</w:t>
      </w:r>
    </w:p>
    <w:p w14:paraId="0B23B44C" w14:textId="794BEBBC" w:rsidR="00586BD6" w:rsidRPr="00FF5625" w:rsidRDefault="00D24198" w:rsidP="00586BD6">
      <w:pPr>
        <w:rPr>
          <w:noProof/>
        </w:rPr>
      </w:pPr>
      <w:r w:rsidRPr="00FF5625">
        <w:rPr>
          <w:noProof/>
        </w:rPr>
        <w:t xml:space="preserve">For the </w:t>
      </w:r>
      <w:r w:rsidR="00207147" w:rsidRPr="00FF5625">
        <w:rPr>
          <w:noProof/>
        </w:rPr>
        <w:t>S1, S2 and S3</w:t>
      </w:r>
      <w:r w:rsidRPr="00FF5625">
        <w:rPr>
          <w:noProof/>
        </w:rPr>
        <w:t xml:space="preserve"> scenarios, t</w:t>
      </w:r>
      <w:r w:rsidR="00BA37D9" w:rsidRPr="00FF5625">
        <w:rPr>
          <w:noProof/>
        </w:rPr>
        <w:t>he</w:t>
      </w:r>
      <w:r w:rsidR="007E27F7" w:rsidRPr="00FF5625">
        <w:rPr>
          <w:noProof/>
        </w:rPr>
        <w:t xml:space="preserve"> maximum</w:t>
      </w:r>
      <w:r w:rsidR="00BA37D9" w:rsidRPr="00FF5625">
        <w:rPr>
          <w:noProof/>
        </w:rPr>
        <w:t xml:space="preserve"> abatement potential </w:t>
      </w:r>
      <w:r w:rsidR="008F64EF" w:rsidRPr="00FF5625">
        <w:rPr>
          <w:noProof/>
        </w:rPr>
        <w:t>is estimated t</w:t>
      </w:r>
      <w:r w:rsidR="00550480" w:rsidRPr="00FF5625">
        <w:rPr>
          <w:noProof/>
        </w:rPr>
        <w:t>o be</w:t>
      </w:r>
      <w:r w:rsidR="008F64EF" w:rsidRPr="00FF5625">
        <w:rPr>
          <w:noProof/>
        </w:rPr>
        <w:t xml:space="preserve"> </w:t>
      </w:r>
      <w:r w:rsidR="00586BD6" w:rsidRPr="00FF5625">
        <w:rPr>
          <w:noProof/>
        </w:rPr>
        <w:t>8</w:t>
      </w:r>
      <w:r w:rsidR="007E27F7" w:rsidRPr="00FF5625">
        <w:rPr>
          <w:noProof/>
        </w:rPr>
        <w:t>3</w:t>
      </w:r>
      <w:r w:rsidR="00586BD6" w:rsidRPr="00FF5625">
        <w:rPr>
          <w:noProof/>
        </w:rPr>
        <w:t xml:space="preserve"> MtCO2-eq</w:t>
      </w:r>
      <w:r w:rsidR="008F64EF" w:rsidRPr="00FF5625">
        <w:rPr>
          <w:noProof/>
        </w:rPr>
        <w:t xml:space="preserve"> in 2040</w:t>
      </w:r>
      <w:r w:rsidR="00586BD6" w:rsidRPr="00FF5625">
        <w:rPr>
          <w:noProof/>
        </w:rPr>
        <w:t xml:space="preserve">, </w:t>
      </w:r>
      <w:r w:rsidR="008F64EF" w:rsidRPr="00FF5625">
        <w:rPr>
          <w:noProof/>
        </w:rPr>
        <w:t xml:space="preserve">which would bring total </w:t>
      </w:r>
      <w:r w:rsidR="001635E4" w:rsidRPr="00FF5625">
        <w:rPr>
          <w:noProof/>
        </w:rPr>
        <w:t>non-CO2 GHG</w:t>
      </w:r>
      <w:r w:rsidR="008F64EF" w:rsidRPr="00FF5625">
        <w:rPr>
          <w:noProof/>
        </w:rPr>
        <w:t xml:space="preserve"> emissions d</w:t>
      </w:r>
      <w:r w:rsidR="00586BD6" w:rsidRPr="00FF5625">
        <w:rPr>
          <w:noProof/>
        </w:rPr>
        <w:t>own to 2</w:t>
      </w:r>
      <w:r w:rsidR="007E27F7" w:rsidRPr="00FF5625">
        <w:rPr>
          <w:noProof/>
        </w:rPr>
        <w:t>58</w:t>
      </w:r>
      <w:r w:rsidR="00586BD6" w:rsidRPr="00FF5625">
        <w:rPr>
          <w:noProof/>
        </w:rPr>
        <w:t xml:space="preserve"> MtCO2-eq (i.e., a level 3</w:t>
      </w:r>
      <w:r w:rsidR="001961B9" w:rsidRPr="00FF5625">
        <w:rPr>
          <w:noProof/>
        </w:rPr>
        <w:t>1</w:t>
      </w:r>
      <w:r w:rsidR="00586BD6" w:rsidRPr="00FF5625">
        <w:rPr>
          <w:noProof/>
        </w:rPr>
        <w:t>% lower than in 20</w:t>
      </w:r>
      <w:r w:rsidR="00333194" w:rsidRPr="00FF5625">
        <w:rPr>
          <w:noProof/>
        </w:rPr>
        <w:t>1</w:t>
      </w:r>
      <w:r w:rsidR="00586BD6" w:rsidRPr="00FF5625">
        <w:rPr>
          <w:noProof/>
        </w:rPr>
        <w:t xml:space="preserve">5). </w:t>
      </w:r>
      <w:r w:rsidR="00FD391F" w:rsidRPr="00FF5625">
        <w:rPr>
          <w:noProof/>
        </w:rPr>
        <w:t xml:space="preserve">A bit more than </w:t>
      </w:r>
      <w:r w:rsidR="00586BD6" w:rsidRPr="00FF5625">
        <w:rPr>
          <w:noProof/>
        </w:rPr>
        <w:t>25% of</w:t>
      </w:r>
      <w:r w:rsidR="00586BD6">
        <w:rPr>
          <w:noProof/>
        </w:rPr>
        <w:t xml:space="preserve"> th</w:t>
      </w:r>
      <w:r w:rsidR="00D95613">
        <w:rPr>
          <w:noProof/>
        </w:rPr>
        <w:t>is</w:t>
      </w:r>
      <w:r w:rsidR="00586BD6">
        <w:rPr>
          <w:noProof/>
        </w:rPr>
        <w:t xml:space="preserve"> mitigation potential may be tapped at near-zero cost</w:t>
      </w:r>
      <w:r w:rsidR="00F528F4" w:rsidRPr="00F528F4">
        <w:rPr>
          <w:noProof/>
        </w:rPr>
        <w:t> (</w:t>
      </w:r>
      <w:r w:rsidR="00F528F4">
        <w:rPr>
          <w:rStyle w:val="FootnoteReference"/>
          <w:noProof/>
        </w:rPr>
        <w:footnoteReference w:id="152"/>
      </w:r>
      <w:r w:rsidR="00F528F4">
        <w:rPr>
          <w:noProof/>
        </w:rPr>
        <w:t>)</w:t>
      </w:r>
      <w:r w:rsidR="00CD2457">
        <w:rPr>
          <w:noProof/>
        </w:rPr>
        <w:t xml:space="preserve">, </w:t>
      </w:r>
      <w:r w:rsidR="00586BD6">
        <w:rPr>
          <w:noProof/>
        </w:rPr>
        <w:t xml:space="preserve">mainly by introducing breeding through selection </w:t>
      </w:r>
      <w:r w:rsidR="00550480" w:rsidRPr="00550480">
        <w:rPr>
          <w:noProof/>
        </w:rPr>
        <w:t>to enhance productivity, fertility and longevity</w:t>
      </w:r>
      <w:r w:rsidR="00550480">
        <w:rPr>
          <w:noProof/>
        </w:rPr>
        <w:t>,</w:t>
      </w:r>
      <w:r w:rsidR="00550480" w:rsidRPr="00550480">
        <w:rPr>
          <w:noProof/>
        </w:rPr>
        <w:t xml:space="preserve"> </w:t>
      </w:r>
      <w:r w:rsidR="00586BD6">
        <w:rPr>
          <w:noProof/>
        </w:rPr>
        <w:t>and farm-scale anaerobic digestion with biogas recovery</w:t>
      </w:r>
      <w:r w:rsidR="00586BD6" w:rsidRPr="00FF5625">
        <w:rPr>
          <w:noProof/>
        </w:rPr>
        <w:t xml:space="preserve">, which reduce CH4 emissions. </w:t>
      </w:r>
      <w:r w:rsidR="001961B9" w:rsidRPr="00FF5625">
        <w:rPr>
          <w:noProof/>
        </w:rPr>
        <w:t>A</w:t>
      </w:r>
      <w:r w:rsidR="00201888" w:rsidRPr="00FF5625">
        <w:rPr>
          <w:noProof/>
        </w:rPr>
        <w:t>lmost 40% of</w:t>
      </w:r>
      <w:r w:rsidR="00F44886" w:rsidRPr="00FF5625">
        <w:rPr>
          <w:noProof/>
        </w:rPr>
        <w:t xml:space="preserve"> </w:t>
      </w:r>
      <w:r w:rsidR="00586BD6" w:rsidRPr="00FF5625">
        <w:rPr>
          <w:noProof/>
        </w:rPr>
        <w:t xml:space="preserve">the maximum mitigation potential could be reached at a marginal abatement cost lower than </w:t>
      </w:r>
      <w:r w:rsidR="00201888" w:rsidRPr="00FF5625">
        <w:rPr>
          <w:noProof/>
        </w:rPr>
        <w:t>2</w:t>
      </w:r>
      <w:r w:rsidR="00586BD6" w:rsidRPr="00FF5625">
        <w:rPr>
          <w:noProof/>
        </w:rPr>
        <w:t>0 EUR/tCO2-eq</w:t>
      </w:r>
      <w:r w:rsidR="00550480" w:rsidRPr="00FF5625">
        <w:rPr>
          <w:noProof/>
        </w:rPr>
        <w:t xml:space="preserve">, </w:t>
      </w:r>
      <w:r w:rsidR="00586BD6" w:rsidRPr="00FF5625">
        <w:rPr>
          <w:noProof/>
        </w:rPr>
        <w:t xml:space="preserve">mainly by using feeding additives that reduce CH4 emissions in addition to the near-zero-cost mitigation options. </w:t>
      </w:r>
      <w:r w:rsidR="00586BD6" w:rsidRPr="00FF5625" w:rsidDel="00BC4B65">
        <w:rPr>
          <w:noProof/>
        </w:rPr>
        <w:t xml:space="preserve">Finally, </w:t>
      </w:r>
      <w:r w:rsidR="00FD391F" w:rsidRPr="00FF5625">
        <w:rPr>
          <w:noProof/>
        </w:rPr>
        <w:t>around 85</w:t>
      </w:r>
      <w:r w:rsidR="00586BD6" w:rsidRPr="00FF5625">
        <w:rPr>
          <w:noProof/>
        </w:rPr>
        <w:t xml:space="preserve">% of the maximum mitigation potential </w:t>
      </w:r>
      <w:r w:rsidR="00BC4B65" w:rsidRPr="00FF5625">
        <w:rPr>
          <w:noProof/>
        </w:rPr>
        <w:t xml:space="preserve">can be achieved with </w:t>
      </w:r>
      <w:r w:rsidR="00586BD6" w:rsidRPr="00FF5625">
        <w:rPr>
          <w:noProof/>
        </w:rPr>
        <w:t xml:space="preserve">a marginal cost </w:t>
      </w:r>
      <w:r w:rsidR="00CD6012" w:rsidRPr="00FF5625">
        <w:rPr>
          <w:noProof/>
        </w:rPr>
        <w:t>lower than</w:t>
      </w:r>
      <w:r w:rsidR="00586BD6" w:rsidRPr="00FF5625">
        <w:rPr>
          <w:noProof/>
        </w:rPr>
        <w:t xml:space="preserve"> 1</w:t>
      </w:r>
      <w:r w:rsidR="00D95613" w:rsidRPr="00FF5625">
        <w:rPr>
          <w:noProof/>
        </w:rPr>
        <w:t>4</w:t>
      </w:r>
      <w:r w:rsidR="00CD6012" w:rsidRPr="00FF5625">
        <w:rPr>
          <w:noProof/>
        </w:rPr>
        <w:t>0</w:t>
      </w:r>
      <w:r w:rsidR="00586BD6" w:rsidRPr="00FF5625">
        <w:rPr>
          <w:noProof/>
        </w:rPr>
        <w:t xml:space="preserve"> EUR/tCO2-eq, mostly by scaling up the use of various mitigation options to reduce N2O emissions (such as nitrification inhibitors and variable rate technology) on top of the options mentioned above.</w:t>
      </w:r>
    </w:p>
    <w:p w14:paraId="5008B17B" w14:textId="4EC8A53F" w:rsidR="00A1028F" w:rsidRDefault="00586BD6" w:rsidP="00973306">
      <w:pPr>
        <w:rPr>
          <w:noProof/>
        </w:rPr>
      </w:pPr>
      <w:r w:rsidRPr="00FF5625" w:rsidDel="00615744">
        <w:rPr>
          <w:noProof/>
        </w:rPr>
        <w:t xml:space="preserve">In </w:t>
      </w:r>
      <w:r w:rsidR="00C459D4" w:rsidRPr="00FF5625">
        <w:rPr>
          <w:noProof/>
        </w:rPr>
        <w:t>LIFE</w:t>
      </w:r>
      <w:r w:rsidRPr="00FF5625" w:rsidDel="00615744">
        <w:rPr>
          <w:noProof/>
        </w:rPr>
        <w:t xml:space="preserve">, </w:t>
      </w:r>
      <w:r w:rsidR="001635E4" w:rsidRPr="00FF5625">
        <w:rPr>
          <w:noProof/>
        </w:rPr>
        <w:t>s</w:t>
      </w:r>
      <w:r w:rsidR="00615744" w:rsidRPr="00FF5625">
        <w:rPr>
          <w:noProof/>
        </w:rPr>
        <w:t>tarting with lower emissions</w:t>
      </w:r>
      <w:r w:rsidR="001635E4" w:rsidRPr="00FF5625">
        <w:rPr>
          <w:noProof/>
        </w:rPr>
        <w:t xml:space="preserve"> than in the</w:t>
      </w:r>
      <w:r w:rsidR="00207147">
        <w:rPr>
          <w:noProof/>
        </w:rPr>
        <w:t xml:space="preserve"> S1, S2 and S3 scenarios</w:t>
      </w:r>
      <w:r w:rsidR="00615744" w:rsidRPr="00FF5625">
        <w:rPr>
          <w:noProof/>
        </w:rPr>
        <w:t xml:space="preserve">, </w:t>
      </w:r>
      <w:r w:rsidR="00A1028F" w:rsidRPr="00FF5625">
        <w:rPr>
          <w:noProof/>
        </w:rPr>
        <w:t>t</w:t>
      </w:r>
      <w:r w:rsidRPr="00FF5625">
        <w:rPr>
          <w:noProof/>
        </w:rPr>
        <w:t xml:space="preserve">he </w:t>
      </w:r>
      <w:r w:rsidR="0076200A" w:rsidRPr="00FF5625">
        <w:rPr>
          <w:noProof/>
        </w:rPr>
        <w:t xml:space="preserve">additional </w:t>
      </w:r>
      <w:r w:rsidRPr="00FF5625">
        <w:rPr>
          <w:noProof/>
        </w:rPr>
        <w:t>mitigation potential</w:t>
      </w:r>
      <w:r w:rsidR="00122D4E" w:rsidRPr="00FF5625">
        <w:rPr>
          <w:noProof/>
        </w:rPr>
        <w:t xml:space="preserve"> </w:t>
      </w:r>
      <w:r w:rsidR="001635E4" w:rsidRPr="00FF5625">
        <w:rPr>
          <w:noProof/>
        </w:rPr>
        <w:t>for non-CO2 GHG emissions stemming</w:t>
      </w:r>
      <w:r w:rsidR="001B3F3D" w:rsidRPr="00FF5625">
        <w:rPr>
          <w:noProof/>
        </w:rPr>
        <w:t xml:space="preserve"> </w:t>
      </w:r>
      <w:r w:rsidR="0076200A" w:rsidRPr="00FF5625">
        <w:rPr>
          <w:noProof/>
        </w:rPr>
        <w:t>from</w:t>
      </w:r>
      <w:r w:rsidR="00122D4E" w:rsidRPr="00FF5625">
        <w:rPr>
          <w:noProof/>
        </w:rPr>
        <w:t xml:space="preserve"> the </w:t>
      </w:r>
      <w:r w:rsidR="0076200A" w:rsidRPr="00FF5625">
        <w:rPr>
          <w:noProof/>
        </w:rPr>
        <w:t xml:space="preserve">deployment </w:t>
      </w:r>
      <w:r w:rsidR="00122D4E" w:rsidRPr="00FF5625">
        <w:rPr>
          <w:noProof/>
        </w:rPr>
        <w:t xml:space="preserve">of </w:t>
      </w:r>
      <w:r w:rsidR="001635E4" w:rsidRPr="00FF5625">
        <w:rPr>
          <w:noProof/>
        </w:rPr>
        <w:t>extra mitigation practices and</w:t>
      </w:r>
      <w:r w:rsidR="00122D4E" w:rsidRPr="00FF5625">
        <w:rPr>
          <w:noProof/>
        </w:rPr>
        <w:t xml:space="preserve"> technologies</w:t>
      </w:r>
      <w:r w:rsidR="001B3F3D" w:rsidRPr="00FF5625">
        <w:rPr>
          <w:noProof/>
        </w:rPr>
        <w:t xml:space="preserve"> </w:t>
      </w:r>
      <w:r w:rsidRPr="00FF5625">
        <w:rPr>
          <w:noProof/>
        </w:rPr>
        <w:t xml:space="preserve">is </w:t>
      </w:r>
      <w:r w:rsidR="001635E4" w:rsidRPr="00FF5625">
        <w:rPr>
          <w:noProof/>
        </w:rPr>
        <w:t xml:space="preserve">estimated to be </w:t>
      </w:r>
      <w:r w:rsidR="0076200A" w:rsidRPr="00FF5625">
        <w:rPr>
          <w:noProof/>
        </w:rPr>
        <w:t xml:space="preserve">still </w:t>
      </w:r>
      <w:r w:rsidRPr="00FF5625">
        <w:rPr>
          <w:noProof/>
        </w:rPr>
        <w:t>6</w:t>
      </w:r>
      <w:r w:rsidR="001635E4" w:rsidRPr="00FF5625">
        <w:rPr>
          <w:noProof/>
        </w:rPr>
        <w:t>4</w:t>
      </w:r>
      <w:r w:rsidRPr="00FF5625">
        <w:rPr>
          <w:noProof/>
        </w:rPr>
        <w:t xml:space="preserve"> MtCO2-eq</w:t>
      </w:r>
      <w:r w:rsidR="00122D4E" w:rsidRPr="00FF5625">
        <w:rPr>
          <w:noProof/>
        </w:rPr>
        <w:t xml:space="preserve"> in 2040</w:t>
      </w:r>
      <w:r w:rsidRPr="00FF5625" w:rsidDel="0076200A">
        <w:rPr>
          <w:noProof/>
        </w:rPr>
        <w:t>.</w:t>
      </w:r>
      <w:r w:rsidRPr="00FF5625">
        <w:rPr>
          <w:noProof/>
        </w:rPr>
        <w:t xml:space="preserve"> Fully reaching this potential would reduce </w:t>
      </w:r>
      <w:r w:rsidR="001635E4" w:rsidRPr="00FF5625">
        <w:rPr>
          <w:noProof/>
        </w:rPr>
        <w:t xml:space="preserve">total </w:t>
      </w:r>
      <w:r w:rsidRPr="00FF5625">
        <w:rPr>
          <w:noProof/>
        </w:rPr>
        <w:t xml:space="preserve">non-CO2 GHG emissions </w:t>
      </w:r>
      <w:r w:rsidR="001635E4" w:rsidRPr="00FF5625">
        <w:rPr>
          <w:noProof/>
        </w:rPr>
        <w:t xml:space="preserve">from the agriculture sector </w:t>
      </w:r>
      <w:r w:rsidRPr="00FF5625">
        <w:rPr>
          <w:noProof/>
        </w:rPr>
        <w:t xml:space="preserve">to </w:t>
      </w:r>
      <w:r w:rsidR="001635E4" w:rsidRPr="00FF5625">
        <w:rPr>
          <w:noProof/>
        </w:rPr>
        <w:t>198</w:t>
      </w:r>
      <w:r w:rsidRPr="00FF5625">
        <w:rPr>
          <w:noProof/>
        </w:rPr>
        <w:t xml:space="preserve"> MtCO2-eq in that year, which i</w:t>
      </w:r>
      <w:r w:rsidR="001635E4" w:rsidRPr="00FF5625">
        <w:rPr>
          <w:noProof/>
        </w:rPr>
        <w:t>mplie</w:t>
      </w:r>
      <w:r w:rsidRPr="00FF5625">
        <w:rPr>
          <w:noProof/>
        </w:rPr>
        <w:t xml:space="preserve">s </w:t>
      </w:r>
      <w:r w:rsidR="001635E4" w:rsidRPr="00FF5625">
        <w:rPr>
          <w:noProof/>
        </w:rPr>
        <w:t>a 47% reduction re</w:t>
      </w:r>
      <w:r w:rsidR="009265CD" w:rsidRPr="00FF5625">
        <w:rPr>
          <w:noProof/>
        </w:rPr>
        <w:t>l</w:t>
      </w:r>
      <w:r w:rsidR="001635E4" w:rsidRPr="00FF5625">
        <w:rPr>
          <w:noProof/>
        </w:rPr>
        <w:t>ative to</w:t>
      </w:r>
      <w:r>
        <w:rPr>
          <w:noProof/>
        </w:rPr>
        <w:t xml:space="preserve"> 20</w:t>
      </w:r>
      <w:r w:rsidR="001635E4">
        <w:rPr>
          <w:noProof/>
        </w:rPr>
        <w:t>1</w:t>
      </w:r>
      <w:r>
        <w:rPr>
          <w:noProof/>
        </w:rPr>
        <w:t>5</w:t>
      </w:r>
      <w:r w:rsidR="00A460D9">
        <w:rPr>
          <w:noProof/>
        </w:rPr>
        <w:t>.</w:t>
      </w:r>
    </w:p>
    <w:p w14:paraId="3F39644F" w14:textId="2DE25764" w:rsidR="00753F59" w:rsidRDefault="004545D1" w:rsidP="00C75309">
      <w:pPr>
        <w:pStyle w:val="Caption"/>
        <w:rPr>
          <w:noProof/>
        </w:rPr>
      </w:pPr>
      <w:bookmarkStart w:id="433" w:name="_Ref142125884"/>
      <w:bookmarkStart w:id="434" w:name="_Ref146530833"/>
      <w:bookmarkStart w:id="435" w:name="_Ref142127522"/>
      <w:bookmarkStart w:id="436" w:name="_Toc157679829"/>
      <w:r>
        <w:rPr>
          <w:noProof/>
        </w:rPr>
        <w:t xml:space="preserve">Figure </w:t>
      </w:r>
      <w:bookmarkEnd w:id="433"/>
      <w:r w:rsidR="00F2742D">
        <w:rPr>
          <w:noProof/>
        </w:rPr>
        <w:fldChar w:fldCharType="begin"/>
      </w:r>
      <w:r w:rsidR="00F2742D">
        <w:rPr>
          <w:noProof/>
        </w:rPr>
        <w:instrText xml:space="preserve"> SEQ Figure \* ARABIC </w:instrText>
      </w:r>
      <w:r w:rsidR="00F2742D">
        <w:rPr>
          <w:noProof/>
        </w:rPr>
        <w:fldChar w:fldCharType="separate"/>
      </w:r>
      <w:r w:rsidR="00170A3C">
        <w:rPr>
          <w:noProof/>
        </w:rPr>
        <w:t>81</w:t>
      </w:r>
      <w:r w:rsidR="00F2742D">
        <w:rPr>
          <w:noProof/>
        </w:rPr>
        <w:fldChar w:fldCharType="end"/>
      </w:r>
      <w:bookmarkEnd w:id="434"/>
      <w:r>
        <w:rPr>
          <w:noProof/>
        </w:rPr>
        <w:t xml:space="preserve">: </w:t>
      </w:r>
      <w:r w:rsidR="0065207A">
        <w:rPr>
          <w:noProof/>
        </w:rPr>
        <w:t>MACC</w:t>
      </w:r>
      <w:r w:rsidR="00BE3C3E" w:rsidRPr="00BE3C3E">
        <w:rPr>
          <w:noProof/>
        </w:rPr>
        <w:t xml:space="preserve"> of</w:t>
      </w:r>
      <w:r w:rsidR="00751764" w:rsidRPr="00751764">
        <w:rPr>
          <w:noProof/>
        </w:rPr>
        <w:t xml:space="preserve"> the agriculture sector in 2040 per scenario</w:t>
      </w:r>
      <w:bookmarkEnd w:id="435"/>
      <w:bookmarkEnd w:id="436"/>
    </w:p>
    <w:p w14:paraId="04865223" w14:textId="75CA0AE9" w:rsidR="00751764" w:rsidRPr="00751764" w:rsidRDefault="008C70F7" w:rsidP="00EC7359">
      <w:pPr>
        <w:keepNext/>
        <w:spacing w:after="0"/>
        <w:jc w:val="center"/>
        <w:rPr>
          <w:noProof/>
        </w:rPr>
      </w:pPr>
      <w:r w:rsidRPr="008C70F7">
        <w:rPr>
          <w:noProof/>
          <w:lang w:eastAsia="en-GB"/>
        </w:rPr>
        <w:drawing>
          <wp:inline distT="0" distB="0" distL="0" distR="0" wp14:anchorId="644F836B" wp14:editId="410BEA9B">
            <wp:extent cx="5472430" cy="2685415"/>
            <wp:effectExtent l="0" t="0" r="0" b="6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5472430" cy="2685415"/>
                    </a:xfrm>
                    <a:prstGeom prst="rect">
                      <a:avLst/>
                    </a:prstGeom>
                    <a:noFill/>
                    <a:ln>
                      <a:noFill/>
                    </a:ln>
                  </pic:spPr>
                </pic:pic>
              </a:graphicData>
            </a:graphic>
          </wp:inline>
        </w:drawing>
      </w:r>
    </w:p>
    <w:p w14:paraId="08A42813" w14:textId="2D3876CE" w:rsidR="00B33E51" w:rsidRDefault="00B33E51" w:rsidP="00B33E51">
      <w:pPr>
        <w:pStyle w:val="CT-NOTE"/>
        <w:rPr>
          <w:noProof/>
        </w:rPr>
      </w:pPr>
      <w:r>
        <w:rPr>
          <w:noProof/>
        </w:rPr>
        <w:t xml:space="preserve">Note: Marginal abatement costs are expressed in </w:t>
      </w:r>
      <w:r w:rsidRPr="00FF5625">
        <w:rPr>
          <w:noProof/>
        </w:rPr>
        <w:t>constant EUR 20</w:t>
      </w:r>
      <w:r w:rsidR="00D53637" w:rsidRPr="00FF5625">
        <w:rPr>
          <w:noProof/>
        </w:rPr>
        <w:t>15</w:t>
      </w:r>
      <w:r w:rsidRPr="00FF5625">
        <w:rPr>
          <w:noProof/>
        </w:rPr>
        <w:t>.</w:t>
      </w:r>
    </w:p>
    <w:p w14:paraId="2B7C93BE" w14:textId="076FCDC0" w:rsidR="006C7645" w:rsidRPr="00E648A3" w:rsidRDefault="006C7645" w:rsidP="00CC3E5B">
      <w:pPr>
        <w:pStyle w:val="CT-SOURCE"/>
        <w:rPr>
          <w:noProof/>
        </w:rPr>
      </w:pPr>
      <w:r w:rsidRPr="00E648A3">
        <w:rPr>
          <w:noProof/>
        </w:rPr>
        <w:t>Source: GAINS.</w:t>
      </w:r>
    </w:p>
    <w:p w14:paraId="0B98415F" w14:textId="41E7D0CB" w:rsidR="006C7645" w:rsidRDefault="006C7645" w:rsidP="00680FFD">
      <w:pPr>
        <w:pStyle w:val="Caption"/>
        <w:rPr>
          <w:noProof/>
        </w:rPr>
      </w:pPr>
    </w:p>
    <w:p w14:paraId="4D60AE66" w14:textId="1644FBD6" w:rsidR="00634FB5" w:rsidRDefault="00861C5D" w:rsidP="00861C5D">
      <w:pPr>
        <w:rPr>
          <w:noProof/>
        </w:rPr>
      </w:pPr>
      <w:r w:rsidRPr="00215F55">
        <w:rPr>
          <w:noProof/>
        </w:rPr>
        <w:t>By analysing the additional mitigation potential separately for each gas, one can see that most of the mitigation potential associated to CH4 emissions may be tapped at a relatively low marginal cost; instead, in the case of N2O emissions, higher marginal costs are observed</w:t>
      </w:r>
      <w:r w:rsidR="00311197">
        <w:rPr>
          <w:noProof/>
        </w:rPr>
        <w:t xml:space="preserve"> (see </w:t>
      </w:r>
      <w:r w:rsidR="00D45537" w:rsidRPr="005948CC">
        <w:rPr>
          <w:noProof/>
        </w:rPr>
        <w:fldChar w:fldCharType="begin"/>
      </w:r>
      <w:r w:rsidR="00D45537" w:rsidRPr="005948CC">
        <w:rPr>
          <w:noProof/>
        </w:rPr>
        <w:instrText xml:space="preserve"> REF _Ref147327995 \h  \* MERGEFORMAT </w:instrText>
      </w:r>
      <w:r w:rsidR="00D45537" w:rsidRPr="005948CC">
        <w:rPr>
          <w:noProof/>
        </w:rPr>
      </w:r>
      <w:r w:rsidR="00D45537" w:rsidRPr="005948CC">
        <w:rPr>
          <w:noProof/>
        </w:rPr>
        <w:fldChar w:fldCharType="separate"/>
      </w:r>
      <w:r w:rsidR="00170A3C" w:rsidRPr="00FF5625">
        <w:rPr>
          <w:noProof/>
        </w:rPr>
        <w:t xml:space="preserve">Table </w:t>
      </w:r>
      <w:r w:rsidR="00170A3C">
        <w:rPr>
          <w:noProof/>
        </w:rPr>
        <w:t>16</w:t>
      </w:r>
      <w:r w:rsidR="00D45537" w:rsidRPr="005948CC">
        <w:rPr>
          <w:noProof/>
        </w:rPr>
        <w:fldChar w:fldCharType="end"/>
      </w:r>
      <w:r w:rsidR="00311197">
        <w:rPr>
          <w:noProof/>
        </w:rPr>
        <w:t xml:space="preserve"> and </w:t>
      </w:r>
      <w:r w:rsidR="00311197" w:rsidRPr="005948CC">
        <w:rPr>
          <w:noProof/>
        </w:rPr>
        <w:fldChar w:fldCharType="begin"/>
      </w:r>
      <w:r w:rsidR="00311197" w:rsidRPr="00311197">
        <w:rPr>
          <w:noProof/>
          <w:highlight w:val="yellow"/>
        </w:rPr>
        <w:instrText xml:space="preserve"> REF _Ref142126691 \h </w:instrText>
      </w:r>
      <w:r w:rsidR="00311197">
        <w:rPr>
          <w:noProof/>
          <w:highlight w:val="yellow"/>
        </w:rPr>
        <w:instrText xml:space="preserve"> \* MERGEFORMAT </w:instrText>
      </w:r>
      <w:r w:rsidR="00311197" w:rsidRPr="005948CC">
        <w:rPr>
          <w:noProof/>
        </w:rPr>
      </w:r>
      <w:r w:rsidR="00311197" w:rsidRPr="005948CC">
        <w:rPr>
          <w:noProof/>
        </w:rPr>
        <w:fldChar w:fldCharType="separate"/>
      </w:r>
      <w:r w:rsidR="00170A3C">
        <w:rPr>
          <w:noProof/>
        </w:rPr>
        <w:t>Table 17</w:t>
      </w:r>
      <w:r w:rsidR="00311197" w:rsidRPr="005948CC">
        <w:rPr>
          <w:noProof/>
        </w:rPr>
        <w:fldChar w:fldCharType="end"/>
      </w:r>
      <w:r w:rsidR="00311197">
        <w:rPr>
          <w:noProof/>
        </w:rPr>
        <w:t>)</w:t>
      </w:r>
      <w:r w:rsidRPr="00215F55">
        <w:rPr>
          <w:noProof/>
        </w:rPr>
        <w:t xml:space="preserve">. </w:t>
      </w:r>
    </w:p>
    <w:p w14:paraId="13E6730F" w14:textId="7FC2BCFA" w:rsidR="00861C5D" w:rsidRPr="00FF5625" w:rsidRDefault="007D1B76" w:rsidP="00861C5D">
      <w:pPr>
        <w:rPr>
          <w:noProof/>
        </w:rPr>
      </w:pPr>
      <w:r>
        <w:rPr>
          <w:noProof/>
        </w:rPr>
        <w:t>For</w:t>
      </w:r>
      <w:r w:rsidR="00BE3A1C">
        <w:rPr>
          <w:noProof/>
        </w:rPr>
        <w:t xml:space="preserve"> CH4</w:t>
      </w:r>
      <w:r>
        <w:rPr>
          <w:noProof/>
        </w:rPr>
        <w:t>, the</w:t>
      </w:r>
      <w:r w:rsidR="00FF7355">
        <w:rPr>
          <w:noProof/>
        </w:rPr>
        <w:t xml:space="preserve"> </w:t>
      </w:r>
      <w:r w:rsidR="00F066F0">
        <w:rPr>
          <w:noProof/>
        </w:rPr>
        <w:t>a</w:t>
      </w:r>
      <w:r w:rsidR="001B4A91">
        <w:rPr>
          <w:noProof/>
        </w:rPr>
        <w:t>b</w:t>
      </w:r>
      <w:r w:rsidR="00F066F0">
        <w:rPr>
          <w:noProof/>
        </w:rPr>
        <w:t>atement</w:t>
      </w:r>
      <w:r w:rsidR="00FF7355">
        <w:rPr>
          <w:noProof/>
        </w:rPr>
        <w:t xml:space="preserve"> </w:t>
      </w:r>
      <w:r w:rsidR="000A0BD2">
        <w:rPr>
          <w:noProof/>
        </w:rPr>
        <w:t xml:space="preserve">potential is </w:t>
      </w:r>
      <w:r w:rsidR="00BE3A1C">
        <w:rPr>
          <w:noProof/>
        </w:rPr>
        <w:t xml:space="preserve">mostly </w:t>
      </w:r>
      <w:r w:rsidR="00F066F0">
        <w:rPr>
          <w:noProof/>
        </w:rPr>
        <w:t>linked</w:t>
      </w:r>
      <w:r w:rsidR="000A0BD2">
        <w:rPr>
          <w:noProof/>
        </w:rPr>
        <w:t xml:space="preserve"> to </w:t>
      </w:r>
      <w:r w:rsidR="00F066F0">
        <w:rPr>
          <w:noProof/>
        </w:rPr>
        <w:t xml:space="preserve">mitigation options to reduce </w:t>
      </w:r>
      <w:r w:rsidR="00844487">
        <w:rPr>
          <w:noProof/>
        </w:rPr>
        <w:t>livestock</w:t>
      </w:r>
      <w:r w:rsidR="00F066F0">
        <w:rPr>
          <w:noProof/>
        </w:rPr>
        <w:t xml:space="preserve"> emissions</w:t>
      </w:r>
      <w:r w:rsidR="00844487">
        <w:rPr>
          <w:noProof/>
        </w:rPr>
        <w:t xml:space="preserve">, with a </w:t>
      </w:r>
      <w:r w:rsidR="000A0BD2">
        <w:rPr>
          <w:noProof/>
        </w:rPr>
        <w:t>small</w:t>
      </w:r>
      <w:r w:rsidR="00844487">
        <w:rPr>
          <w:noProof/>
        </w:rPr>
        <w:t xml:space="preserve"> contribution </w:t>
      </w:r>
      <w:r w:rsidR="00F066F0">
        <w:rPr>
          <w:noProof/>
        </w:rPr>
        <w:t>from mitigation options to reduce</w:t>
      </w:r>
      <w:r w:rsidR="00844487">
        <w:rPr>
          <w:noProof/>
        </w:rPr>
        <w:t xml:space="preserve"> </w:t>
      </w:r>
      <w:r w:rsidR="000A0BD2">
        <w:rPr>
          <w:noProof/>
        </w:rPr>
        <w:t xml:space="preserve">emissions from </w:t>
      </w:r>
      <w:r w:rsidR="00844487">
        <w:rPr>
          <w:noProof/>
        </w:rPr>
        <w:t>rice cultivation</w:t>
      </w:r>
      <w:r w:rsidR="00A97B46">
        <w:rPr>
          <w:noProof/>
        </w:rPr>
        <w:t xml:space="preserve"> and other</w:t>
      </w:r>
      <w:r w:rsidR="00BE3A1C">
        <w:rPr>
          <w:noProof/>
        </w:rPr>
        <w:t xml:space="preserve"> activitie</w:t>
      </w:r>
      <w:r w:rsidR="00A97B46">
        <w:rPr>
          <w:noProof/>
        </w:rPr>
        <w:t>s</w:t>
      </w:r>
      <w:r w:rsidR="002D47AD">
        <w:rPr>
          <w:noProof/>
        </w:rPr>
        <w:t xml:space="preserve"> (see </w:t>
      </w:r>
      <w:r w:rsidR="002D47AD" w:rsidRPr="005948CC">
        <w:rPr>
          <w:noProof/>
        </w:rPr>
        <w:fldChar w:fldCharType="begin"/>
      </w:r>
      <w:r w:rsidR="002D47AD" w:rsidRPr="002D47AD">
        <w:rPr>
          <w:noProof/>
          <w:highlight w:val="yellow"/>
        </w:rPr>
        <w:instrText xml:space="preserve"> REF _Ref146563187 \h </w:instrText>
      </w:r>
      <w:r w:rsidR="002D47AD">
        <w:rPr>
          <w:noProof/>
          <w:highlight w:val="yellow"/>
        </w:rPr>
        <w:instrText xml:space="preserve"> \* MERGEFORMAT </w:instrText>
      </w:r>
      <w:r w:rsidR="002D47AD" w:rsidRPr="005948CC">
        <w:rPr>
          <w:noProof/>
        </w:rPr>
      </w:r>
      <w:r w:rsidR="002D47AD" w:rsidRPr="005948CC">
        <w:rPr>
          <w:noProof/>
        </w:rPr>
        <w:fldChar w:fldCharType="separate"/>
      </w:r>
      <w:r w:rsidR="00170A3C">
        <w:rPr>
          <w:noProof/>
        </w:rPr>
        <w:t>Figure 82</w:t>
      </w:r>
      <w:r w:rsidR="002D47AD" w:rsidRPr="005948CC">
        <w:rPr>
          <w:noProof/>
        </w:rPr>
        <w:fldChar w:fldCharType="end"/>
      </w:r>
      <w:r w:rsidR="002D47AD">
        <w:rPr>
          <w:noProof/>
        </w:rPr>
        <w:t xml:space="preserve"> and </w:t>
      </w:r>
      <w:r w:rsidR="002D47AD" w:rsidRPr="005948CC">
        <w:rPr>
          <w:noProof/>
        </w:rPr>
        <w:fldChar w:fldCharType="begin"/>
      </w:r>
      <w:r w:rsidR="002D47AD" w:rsidRPr="002D47AD">
        <w:rPr>
          <w:noProof/>
          <w:highlight w:val="yellow"/>
        </w:rPr>
        <w:instrText xml:space="preserve"> REF _Ref146563194 \h </w:instrText>
      </w:r>
      <w:r w:rsidR="002D47AD">
        <w:rPr>
          <w:noProof/>
          <w:highlight w:val="yellow"/>
        </w:rPr>
        <w:instrText xml:space="preserve"> \* MERGEFORMAT </w:instrText>
      </w:r>
      <w:r w:rsidR="002D47AD" w:rsidRPr="005948CC">
        <w:rPr>
          <w:noProof/>
        </w:rPr>
      </w:r>
      <w:r w:rsidR="002D47AD" w:rsidRPr="005948CC">
        <w:rPr>
          <w:noProof/>
        </w:rPr>
        <w:fldChar w:fldCharType="separate"/>
      </w:r>
      <w:r w:rsidR="00170A3C">
        <w:rPr>
          <w:noProof/>
        </w:rPr>
        <w:t>Figure 83</w:t>
      </w:r>
      <w:r w:rsidR="002D47AD" w:rsidRPr="005948CC">
        <w:rPr>
          <w:noProof/>
        </w:rPr>
        <w:fldChar w:fldCharType="end"/>
      </w:r>
      <w:r w:rsidR="002D47AD">
        <w:rPr>
          <w:noProof/>
        </w:rPr>
        <w:t>).</w:t>
      </w:r>
      <w:r w:rsidR="000A0BD2">
        <w:rPr>
          <w:noProof/>
        </w:rPr>
        <w:t xml:space="preserve"> </w:t>
      </w:r>
      <w:r w:rsidR="001D7D0B">
        <w:rPr>
          <w:noProof/>
        </w:rPr>
        <w:t>I</w:t>
      </w:r>
      <w:r w:rsidR="00E4154E">
        <w:rPr>
          <w:noProof/>
        </w:rPr>
        <w:t>n 2040</w:t>
      </w:r>
      <w:r w:rsidR="00E4154E" w:rsidRPr="00FF5625">
        <w:rPr>
          <w:noProof/>
        </w:rPr>
        <w:t xml:space="preserve">, </w:t>
      </w:r>
      <w:r w:rsidR="00BE3A1C" w:rsidRPr="00FF5625">
        <w:rPr>
          <w:noProof/>
        </w:rPr>
        <w:t>t</w:t>
      </w:r>
      <w:r w:rsidR="007E5143" w:rsidRPr="00FF5625">
        <w:rPr>
          <w:noProof/>
        </w:rPr>
        <w:t>he</w:t>
      </w:r>
      <w:r w:rsidR="00BE3A1C" w:rsidRPr="00FF5625">
        <w:rPr>
          <w:noProof/>
        </w:rPr>
        <w:t xml:space="preserve"> </w:t>
      </w:r>
      <w:r w:rsidR="00960A77" w:rsidRPr="00FF5625">
        <w:rPr>
          <w:noProof/>
        </w:rPr>
        <w:t xml:space="preserve">total </w:t>
      </w:r>
      <w:r w:rsidRPr="00FF5625">
        <w:rPr>
          <w:noProof/>
        </w:rPr>
        <w:t xml:space="preserve">maximum </w:t>
      </w:r>
      <w:r w:rsidR="00AD34B5">
        <w:rPr>
          <w:noProof/>
        </w:rPr>
        <w:t xml:space="preserve">additional </w:t>
      </w:r>
      <w:r w:rsidR="00861C5D" w:rsidRPr="00FF5625">
        <w:rPr>
          <w:noProof/>
        </w:rPr>
        <w:t xml:space="preserve">potential to reduce </w:t>
      </w:r>
      <w:r w:rsidR="000A0BD2" w:rsidRPr="00FF5625">
        <w:rPr>
          <w:noProof/>
        </w:rPr>
        <w:t xml:space="preserve">CH4 </w:t>
      </w:r>
      <w:r w:rsidR="00861C5D" w:rsidRPr="00FF5625">
        <w:rPr>
          <w:noProof/>
        </w:rPr>
        <w:t xml:space="preserve">emissions </w:t>
      </w:r>
      <w:r w:rsidR="00616717" w:rsidRPr="00FF5625">
        <w:rPr>
          <w:noProof/>
        </w:rPr>
        <w:t xml:space="preserve">is </w:t>
      </w:r>
      <w:r w:rsidR="00861C5D" w:rsidRPr="00FF5625">
        <w:rPr>
          <w:noProof/>
        </w:rPr>
        <w:t>38 MtCO2-eq</w:t>
      </w:r>
      <w:r w:rsidR="00E839CF" w:rsidRPr="00FF5625">
        <w:rPr>
          <w:noProof/>
        </w:rPr>
        <w:t xml:space="preserve"> </w:t>
      </w:r>
      <w:r w:rsidR="00634FB5" w:rsidRPr="00FF5625">
        <w:rPr>
          <w:noProof/>
        </w:rPr>
        <w:t xml:space="preserve">in the three main scenarios </w:t>
      </w:r>
      <w:r w:rsidR="00E839CF" w:rsidRPr="00FF5625">
        <w:rPr>
          <w:noProof/>
        </w:rPr>
        <w:t xml:space="preserve">(30 MtCO2-eq in </w:t>
      </w:r>
      <w:r w:rsidR="00C459D4" w:rsidRPr="00FF5625">
        <w:rPr>
          <w:noProof/>
        </w:rPr>
        <w:t>LIFE</w:t>
      </w:r>
      <w:r w:rsidR="00E839CF" w:rsidRPr="00FF5625">
        <w:rPr>
          <w:noProof/>
        </w:rPr>
        <w:t xml:space="preserve">, </w:t>
      </w:r>
      <w:r w:rsidR="000A0BD2" w:rsidRPr="00FF5625">
        <w:rPr>
          <w:noProof/>
        </w:rPr>
        <w:t xml:space="preserve">which </w:t>
      </w:r>
      <w:r w:rsidR="00E839CF" w:rsidRPr="00FF5625">
        <w:rPr>
          <w:noProof/>
        </w:rPr>
        <w:t>start</w:t>
      </w:r>
      <w:r w:rsidR="000A0BD2" w:rsidRPr="00FF5625">
        <w:rPr>
          <w:noProof/>
        </w:rPr>
        <w:t>s</w:t>
      </w:r>
      <w:r w:rsidR="00E839CF" w:rsidRPr="00FF5625">
        <w:rPr>
          <w:noProof/>
        </w:rPr>
        <w:t xml:space="preserve"> from lower emissions)</w:t>
      </w:r>
      <w:r w:rsidR="00E05D62" w:rsidRPr="00FF5625" w:rsidDel="00634FB5">
        <w:rPr>
          <w:noProof/>
        </w:rPr>
        <w:fldChar w:fldCharType="begin"/>
      </w:r>
      <w:r w:rsidR="00E05D62" w:rsidRPr="00FF5625" w:rsidDel="00634FB5">
        <w:rPr>
          <w:noProof/>
        </w:rPr>
        <w:fldChar w:fldCharType="end"/>
      </w:r>
      <w:r w:rsidR="00524073" w:rsidRPr="00FF5625">
        <w:rPr>
          <w:noProof/>
        </w:rPr>
        <w:t>. A</w:t>
      </w:r>
      <w:r w:rsidR="00861C5D" w:rsidRPr="00FF5625">
        <w:rPr>
          <w:noProof/>
        </w:rPr>
        <w:t>round 5</w:t>
      </w:r>
      <w:r w:rsidR="00CF61EA" w:rsidRPr="00FF5625">
        <w:rPr>
          <w:noProof/>
        </w:rPr>
        <w:t>7</w:t>
      </w:r>
      <w:r w:rsidR="00861C5D" w:rsidRPr="00FF5625">
        <w:rPr>
          <w:noProof/>
        </w:rPr>
        <w:t xml:space="preserve">% </w:t>
      </w:r>
      <w:r w:rsidR="00861C5D" w:rsidRPr="00FF5625" w:rsidDel="00616717">
        <w:rPr>
          <w:noProof/>
        </w:rPr>
        <w:t xml:space="preserve">of this potential </w:t>
      </w:r>
      <w:r w:rsidR="00646EF6" w:rsidRPr="00FF5625">
        <w:rPr>
          <w:noProof/>
        </w:rPr>
        <w:t>would be accessible</w:t>
      </w:r>
      <w:r w:rsidR="00616717" w:rsidRPr="00FF5625">
        <w:rPr>
          <w:noProof/>
        </w:rPr>
        <w:t xml:space="preserve"> at</w:t>
      </w:r>
      <w:r w:rsidR="00861C5D" w:rsidRPr="00FF5625" w:rsidDel="00616717">
        <w:rPr>
          <w:noProof/>
        </w:rPr>
        <w:t xml:space="preserve"> </w:t>
      </w:r>
      <w:r w:rsidR="00861C5D" w:rsidRPr="00FF5625">
        <w:rPr>
          <w:noProof/>
        </w:rPr>
        <w:t xml:space="preserve">near-zero marginal </w:t>
      </w:r>
      <w:r w:rsidR="002A29B9" w:rsidRPr="00FF5625">
        <w:rPr>
          <w:noProof/>
        </w:rPr>
        <w:t xml:space="preserve">abatement </w:t>
      </w:r>
      <w:r w:rsidR="00861C5D" w:rsidRPr="00FF5625">
        <w:rPr>
          <w:noProof/>
        </w:rPr>
        <w:t>cost</w:t>
      </w:r>
      <w:r w:rsidR="00CD3424" w:rsidRPr="00FF5625">
        <w:rPr>
          <w:noProof/>
        </w:rPr>
        <w:t xml:space="preserve"> (mainly through breeding through selection to enhance productivity, fertility and longevity, and farm-scale anaerobic digestion with biogas recovery)</w:t>
      </w:r>
      <w:r w:rsidR="002A29B9" w:rsidRPr="00FF5625">
        <w:rPr>
          <w:noProof/>
        </w:rPr>
        <w:t>,</w:t>
      </w:r>
      <w:r w:rsidR="00A44EEF" w:rsidRPr="00FF5625">
        <w:rPr>
          <w:noProof/>
        </w:rPr>
        <w:t xml:space="preserve"> and </w:t>
      </w:r>
      <w:r w:rsidR="00861C5D" w:rsidRPr="00FF5625">
        <w:rPr>
          <w:noProof/>
        </w:rPr>
        <w:t>9</w:t>
      </w:r>
      <w:r w:rsidR="006B6556" w:rsidRPr="00FF5625">
        <w:rPr>
          <w:noProof/>
        </w:rPr>
        <w:t>0</w:t>
      </w:r>
      <w:r w:rsidR="00861C5D" w:rsidRPr="00FF5625">
        <w:rPr>
          <w:noProof/>
        </w:rPr>
        <w:t>%</w:t>
      </w:r>
      <w:r w:rsidR="00861C5D" w:rsidRPr="00FF5625" w:rsidDel="00616717">
        <w:rPr>
          <w:noProof/>
        </w:rPr>
        <w:t xml:space="preserve"> </w:t>
      </w:r>
      <w:r w:rsidR="00861C5D" w:rsidRPr="00FF5625">
        <w:rPr>
          <w:noProof/>
        </w:rPr>
        <w:t xml:space="preserve">could be achieved at a marginal cost lower than </w:t>
      </w:r>
      <w:r w:rsidR="006B6556" w:rsidRPr="00FF5625">
        <w:rPr>
          <w:noProof/>
        </w:rPr>
        <w:t>35</w:t>
      </w:r>
      <w:r w:rsidR="00861C5D" w:rsidRPr="00FF5625">
        <w:rPr>
          <w:noProof/>
        </w:rPr>
        <w:t xml:space="preserve"> EUR/tCO2-eq</w:t>
      </w:r>
      <w:r w:rsidR="00CD3424" w:rsidRPr="00FF5625">
        <w:rPr>
          <w:noProof/>
        </w:rPr>
        <w:t xml:space="preserve"> (by including feeding additives)</w:t>
      </w:r>
      <w:r w:rsidR="00D45537" w:rsidRPr="00FF5625">
        <w:rPr>
          <w:noProof/>
        </w:rPr>
        <w:t>.</w:t>
      </w:r>
    </w:p>
    <w:p w14:paraId="7541D582" w14:textId="055181C7" w:rsidR="00861C5D" w:rsidRPr="00861C5D" w:rsidRDefault="0076337D" w:rsidP="00861C5D">
      <w:pPr>
        <w:rPr>
          <w:noProof/>
        </w:rPr>
      </w:pPr>
      <w:r w:rsidRPr="00FF5625">
        <w:rPr>
          <w:noProof/>
        </w:rPr>
        <w:t>For N2O</w:t>
      </w:r>
      <w:r w:rsidR="001505C6" w:rsidRPr="00FF5625">
        <w:rPr>
          <w:noProof/>
        </w:rPr>
        <w:t>,</w:t>
      </w:r>
      <w:r w:rsidR="002A29B9" w:rsidRPr="00FF5625">
        <w:rPr>
          <w:noProof/>
        </w:rPr>
        <w:t xml:space="preserve"> </w:t>
      </w:r>
      <w:r w:rsidR="001505C6" w:rsidRPr="00FF5625">
        <w:rPr>
          <w:noProof/>
        </w:rPr>
        <w:t>the</w:t>
      </w:r>
      <w:r w:rsidR="00FF7355" w:rsidRPr="00FF5625">
        <w:rPr>
          <w:noProof/>
        </w:rPr>
        <w:t xml:space="preserve"> </w:t>
      </w:r>
      <w:r w:rsidR="00F066F0" w:rsidRPr="00FF5625">
        <w:rPr>
          <w:noProof/>
        </w:rPr>
        <w:t>abatement</w:t>
      </w:r>
      <w:r w:rsidR="00FF7355" w:rsidRPr="00FF5625">
        <w:rPr>
          <w:noProof/>
        </w:rPr>
        <w:t xml:space="preserve"> potential </w:t>
      </w:r>
      <w:r w:rsidR="00A97B46" w:rsidRPr="00FF5625">
        <w:rPr>
          <w:noProof/>
        </w:rPr>
        <w:t>is</w:t>
      </w:r>
      <w:r w:rsidR="001505C6" w:rsidRPr="00FF5625">
        <w:rPr>
          <w:noProof/>
        </w:rPr>
        <w:t xml:space="preserve"> </w:t>
      </w:r>
      <w:r w:rsidR="00F066F0" w:rsidRPr="00FF5625">
        <w:rPr>
          <w:noProof/>
        </w:rPr>
        <w:t xml:space="preserve">entirely </w:t>
      </w:r>
      <w:r w:rsidR="00A97B46" w:rsidRPr="00FF5625">
        <w:rPr>
          <w:noProof/>
        </w:rPr>
        <w:t>linked to</w:t>
      </w:r>
      <w:r w:rsidR="00844487" w:rsidRPr="00FF5625">
        <w:rPr>
          <w:noProof/>
        </w:rPr>
        <w:t xml:space="preserve"> </w:t>
      </w:r>
      <w:r w:rsidR="00F066F0" w:rsidRPr="00FF5625">
        <w:rPr>
          <w:noProof/>
        </w:rPr>
        <w:t xml:space="preserve">mitigation practices and technologies to reduce </w:t>
      </w:r>
      <w:r w:rsidR="001505C6" w:rsidRPr="00FF5625">
        <w:rPr>
          <w:noProof/>
        </w:rPr>
        <w:t xml:space="preserve">emissions from </w:t>
      </w:r>
      <w:r w:rsidR="00844487" w:rsidRPr="00FF5625">
        <w:rPr>
          <w:noProof/>
        </w:rPr>
        <w:t>agricultural soils</w:t>
      </w:r>
      <w:r w:rsidR="00BB04CD" w:rsidRPr="00FF5625">
        <w:rPr>
          <w:noProof/>
        </w:rPr>
        <w:t>, such as nitrification inhibitors and variable rate technology</w:t>
      </w:r>
      <w:r w:rsidR="001505C6" w:rsidRPr="00FF5625">
        <w:rPr>
          <w:noProof/>
        </w:rPr>
        <w:t>. In 2040, the maximum</w:t>
      </w:r>
      <w:r w:rsidR="00861C5D" w:rsidRPr="00FF5625">
        <w:rPr>
          <w:noProof/>
        </w:rPr>
        <w:t xml:space="preserve"> </w:t>
      </w:r>
      <w:r w:rsidR="009F1E84">
        <w:rPr>
          <w:noProof/>
        </w:rPr>
        <w:t xml:space="preserve">additional </w:t>
      </w:r>
      <w:r w:rsidR="00861C5D" w:rsidRPr="00FF5625">
        <w:rPr>
          <w:noProof/>
        </w:rPr>
        <w:t xml:space="preserve">potential </w:t>
      </w:r>
      <w:r w:rsidR="001505C6" w:rsidRPr="00FF5625">
        <w:rPr>
          <w:noProof/>
        </w:rPr>
        <w:t xml:space="preserve">to reduce N2O emissions </w:t>
      </w:r>
      <w:r w:rsidRPr="00FF5625">
        <w:rPr>
          <w:noProof/>
        </w:rPr>
        <w:t xml:space="preserve">is </w:t>
      </w:r>
      <w:r w:rsidR="000F0EED" w:rsidRPr="00FF5625">
        <w:rPr>
          <w:noProof/>
        </w:rPr>
        <w:t>44</w:t>
      </w:r>
      <w:r w:rsidR="00861C5D" w:rsidRPr="00FF5625">
        <w:rPr>
          <w:noProof/>
        </w:rPr>
        <w:t xml:space="preserve"> MtCO2-eq</w:t>
      </w:r>
      <w:r w:rsidRPr="00FF5625">
        <w:rPr>
          <w:noProof/>
        </w:rPr>
        <w:t xml:space="preserve"> in the three main scenarios</w:t>
      </w:r>
      <w:r w:rsidR="00E839CF" w:rsidRPr="00FF5625">
        <w:rPr>
          <w:noProof/>
        </w:rPr>
        <w:t xml:space="preserve"> (3</w:t>
      </w:r>
      <w:r w:rsidR="000F0EED" w:rsidRPr="00FF5625">
        <w:rPr>
          <w:noProof/>
        </w:rPr>
        <w:t>4</w:t>
      </w:r>
      <w:r w:rsidR="00E839CF" w:rsidRPr="00FF5625">
        <w:rPr>
          <w:noProof/>
        </w:rPr>
        <w:t xml:space="preserve"> MtCO2-eq in LIFE, starting from lower emissions)</w:t>
      </w:r>
      <w:r w:rsidR="00D24BAA" w:rsidRPr="00FF5625">
        <w:rPr>
          <w:noProof/>
        </w:rPr>
        <w:t>. A</w:t>
      </w:r>
      <w:r w:rsidR="00861C5D" w:rsidRPr="00FF5625">
        <w:rPr>
          <w:noProof/>
        </w:rPr>
        <w:t>round 3</w:t>
      </w:r>
      <w:r w:rsidR="00716925" w:rsidRPr="00FF5625">
        <w:rPr>
          <w:noProof/>
        </w:rPr>
        <w:t>2</w:t>
      </w:r>
      <w:r w:rsidR="00861C5D" w:rsidRPr="00FF5625">
        <w:rPr>
          <w:noProof/>
        </w:rPr>
        <w:t>% of th</w:t>
      </w:r>
      <w:r w:rsidR="000F0EED" w:rsidRPr="00FF5625">
        <w:rPr>
          <w:noProof/>
        </w:rPr>
        <w:t>is</w:t>
      </w:r>
      <w:r w:rsidR="00D24BAA" w:rsidRPr="00FF5625">
        <w:rPr>
          <w:noProof/>
        </w:rPr>
        <w:t xml:space="preserve"> potential </w:t>
      </w:r>
      <w:r w:rsidR="00861C5D" w:rsidRPr="00FF5625">
        <w:rPr>
          <w:noProof/>
        </w:rPr>
        <w:t xml:space="preserve">could be reached at </w:t>
      </w:r>
      <w:r w:rsidR="000F0EED" w:rsidRPr="00FF5625">
        <w:rPr>
          <w:noProof/>
        </w:rPr>
        <w:t xml:space="preserve">a </w:t>
      </w:r>
      <w:r w:rsidR="00861C5D" w:rsidRPr="00FF5625">
        <w:rPr>
          <w:noProof/>
        </w:rPr>
        <w:t xml:space="preserve">marginal cost </w:t>
      </w:r>
      <w:r w:rsidR="005D41DC" w:rsidRPr="00FF5625">
        <w:rPr>
          <w:noProof/>
        </w:rPr>
        <w:t>between</w:t>
      </w:r>
      <w:r w:rsidR="005C0187" w:rsidRPr="00FF5625">
        <w:rPr>
          <w:noProof/>
        </w:rPr>
        <w:t xml:space="preserve"> 2</w:t>
      </w:r>
      <w:r w:rsidR="00704ED7" w:rsidRPr="00FF5625">
        <w:rPr>
          <w:noProof/>
        </w:rPr>
        <w:t>5</w:t>
      </w:r>
      <w:r w:rsidR="005D41DC" w:rsidRPr="00FF5625">
        <w:rPr>
          <w:noProof/>
        </w:rPr>
        <w:t xml:space="preserve"> and</w:t>
      </w:r>
      <w:r w:rsidR="00861C5D" w:rsidRPr="00FF5625">
        <w:rPr>
          <w:noProof/>
        </w:rPr>
        <w:t xml:space="preserve"> 50 EUR/tCO2</w:t>
      </w:r>
      <w:r w:rsidR="00D24BAA" w:rsidRPr="00FF5625">
        <w:rPr>
          <w:noProof/>
        </w:rPr>
        <w:noBreakHyphen/>
      </w:r>
      <w:r w:rsidR="00861C5D" w:rsidRPr="00FF5625">
        <w:rPr>
          <w:noProof/>
        </w:rPr>
        <w:t>eq</w:t>
      </w:r>
      <w:r w:rsidR="00D24BAA" w:rsidRPr="00FF5625">
        <w:rPr>
          <w:noProof/>
        </w:rPr>
        <w:t xml:space="preserve">, </w:t>
      </w:r>
      <w:r w:rsidR="002A29B9" w:rsidRPr="00FF5625">
        <w:rPr>
          <w:noProof/>
        </w:rPr>
        <w:t>while</w:t>
      </w:r>
      <w:r w:rsidR="00D24BAA" w:rsidRPr="00FF5625">
        <w:rPr>
          <w:noProof/>
        </w:rPr>
        <w:t xml:space="preserve"> </w:t>
      </w:r>
      <w:r w:rsidR="00716925" w:rsidRPr="00FF5625">
        <w:rPr>
          <w:noProof/>
        </w:rPr>
        <w:t>75</w:t>
      </w:r>
      <w:r w:rsidR="00861C5D" w:rsidRPr="00FF5625">
        <w:rPr>
          <w:noProof/>
        </w:rPr>
        <w:t xml:space="preserve">% </w:t>
      </w:r>
      <w:r w:rsidR="002A29B9" w:rsidRPr="00FF5625">
        <w:rPr>
          <w:noProof/>
        </w:rPr>
        <w:t xml:space="preserve">could be reached </w:t>
      </w:r>
      <w:r w:rsidR="004549D2" w:rsidRPr="00FF5625">
        <w:rPr>
          <w:noProof/>
        </w:rPr>
        <w:t xml:space="preserve">at a marginal cost </w:t>
      </w:r>
      <w:r w:rsidR="00004F88" w:rsidRPr="00FF5625">
        <w:rPr>
          <w:noProof/>
        </w:rPr>
        <w:t>below</w:t>
      </w:r>
      <w:r w:rsidR="00861C5D" w:rsidRPr="00FF5625">
        <w:rPr>
          <w:noProof/>
        </w:rPr>
        <w:t xml:space="preserve"> 1</w:t>
      </w:r>
      <w:r w:rsidR="00716925" w:rsidRPr="00FF5625">
        <w:rPr>
          <w:noProof/>
        </w:rPr>
        <w:t>4</w:t>
      </w:r>
      <w:r w:rsidR="00861C5D" w:rsidRPr="00FF5625">
        <w:rPr>
          <w:noProof/>
        </w:rPr>
        <w:t>0 EUR/tCO2</w:t>
      </w:r>
      <w:r w:rsidR="006A7235" w:rsidRPr="00FF5625">
        <w:rPr>
          <w:noProof/>
        </w:rPr>
        <w:noBreakHyphen/>
      </w:r>
      <w:r w:rsidR="00861C5D" w:rsidRPr="00FF5625">
        <w:rPr>
          <w:noProof/>
        </w:rPr>
        <w:t>eq</w:t>
      </w:r>
      <w:r w:rsidR="00716925" w:rsidRPr="00FF5625">
        <w:rPr>
          <w:noProof/>
        </w:rPr>
        <w:t xml:space="preserve"> and 95% could be reached at a marginal cost below 190 EUR/tCO2</w:t>
      </w:r>
      <w:r w:rsidR="00716925" w:rsidRPr="00FF5625">
        <w:rPr>
          <w:noProof/>
        </w:rPr>
        <w:noBreakHyphen/>
        <w:t>eq</w:t>
      </w:r>
      <w:r w:rsidR="00861C5D" w:rsidRPr="00FF5625">
        <w:rPr>
          <w:noProof/>
        </w:rPr>
        <w:t>.</w:t>
      </w:r>
      <w:r w:rsidR="00861C5D" w:rsidRPr="00215F55">
        <w:rPr>
          <w:noProof/>
        </w:rPr>
        <w:t xml:space="preserve"> </w:t>
      </w:r>
    </w:p>
    <w:p w14:paraId="7AD224C8" w14:textId="0F2BD3A5" w:rsidR="00371C2B" w:rsidRDefault="00371C2B" w:rsidP="00371C2B">
      <w:pPr>
        <w:pStyle w:val="Caption"/>
        <w:rPr>
          <w:noProof/>
        </w:rPr>
      </w:pPr>
      <w:bookmarkStart w:id="437" w:name="_Ref142125895"/>
      <w:bookmarkStart w:id="438" w:name="_Ref146563187"/>
      <w:bookmarkStart w:id="439" w:name="_Toc157679830"/>
      <w:r>
        <w:rPr>
          <w:noProof/>
        </w:rPr>
        <w:t xml:space="preserve">Figure </w:t>
      </w:r>
      <w:bookmarkEnd w:id="437"/>
      <w:r w:rsidR="00F2742D">
        <w:rPr>
          <w:noProof/>
        </w:rPr>
        <w:fldChar w:fldCharType="begin"/>
      </w:r>
      <w:r w:rsidR="00F2742D">
        <w:rPr>
          <w:noProof/>
        </w:rPr>
        <w:instrText xml:space="preserve"> SEQ Figure \* ARABIC </w:instrText>
      </w:r>
      <w:r w:rsidR="00F2742D">
        <w:rPr>
          <w:noProof/>
        </w:rPr>
        <w:fldChar w:fldCharType="separate"/>
      </w:r>
      <w:r w:rsidR="00170A3C">
        <w:rPr>
          <w:noProof/>
        </w:rPr>
        <w:t>82</w:t>
      </w:r>
      <w:r w:rsidR="00F2742D">
        <w:rPr>
          <w:noProof/>
        </w:rPr>
        <w:fldChar w:fldCharType="end"/>
      </w:r>
      <w:bookmarkEnd w:id="438"/>
      <w:r>
        <w:rPr>
          <w:noProof/>
        </w:rPr>
        <w:t>:</w:t>
      </w:r>
      <w:r w:rsidRPr="00844873">
        <w:rPr>
          <w:noProof/>
        </w:rPr>
        <w:t xml:space="preserve"> </w:t>
      </w:r>
      <w:r w:rsidR="0065207A">
        <w:rPr>
          <w:noProof/>
        </w:rPr>
        <w:t xml:space="preserve">MACC </w:t>
      </w:r>
      <w:r w:rsidR="00220830">
        <w:rPr>
          <w:noProof/>
        </w:rPr>
        <w:t>of</w:t>
      </w:r>
      <w:r w:rsidRPr="00844873">
        <w:rPr>
          <w:noProof/>
        </w:rPr>
        <w:t xml:space="preserve"> the agriculture sector in 2040 in S1, S2 and S3 </w:t>
      </w:r>
      <w:r w:rsidR="00546314">
        <w:rPr>
          <w:noProof/>
        </w:rPr>
        <w:t>(by</w:t>
      </w:r>
      <w:r w:rsidRPr="00844873">
        <w:rPr>
          <w:noProof/>
        </w:rPr>
        <w:t xml:space="preserve"> </w:t>
      </w:r>
      <w:r w:rsidR="001B4A91">
        <w:rPr>
          <w:noProof/>
        </w:rPr>
        <w:t xml:space="preserve">gas and </w:t>
      </w:r>
      <w:r w:rsidR="0076557A">
        <w:rPr>
          <w:noProof/>
        </w:rPr>
        <w:t>area</w:t>
      </w:r>
      <w:r w:rsidRPr="00844873">
        <w:rPr>
          <w:noProof/>
        </w:rPr>
        <w:t xml:space="preserve"> of </w:t>
      </w:r>
      <w:r w:rsidR="0076557A">
        <w:rPr>
          <w:noProof/>
        </w:rPr>
        <w:t>application</w:t>
      </w:r>
      <w:r w:rsidR="00546314">
        <w:rPr>
          <w:noProof/>
        </w:rPr>
        <w:t>)</w:t>
      </w:r>
      <w:bookmarkEnd w:id="439"/>
    </w:p>
    <w:p w14:paraId="1F95B895" w14:textId="348CD62E" w:rsidR="00371C2B" w:rsidRPr="00844873" w:rsidRDefault="00572948" w:rsidP="00371C2B">
      <w:pPr>
        <w:keepNext/>
        <w:jc w:val="center"/>
        <w:rPr>
          <w:noProof/>
        </w:rPr>
      </w:pPr>
      <w:r w:rsidRPr="00572948">
        <w:rPr>
          <w:noProof/>
          <w:lang w:eastAsia="en-GB"/>
        </w:rPr>
        <w:drawing>
          <wp:inline distT="0" distB="0" distL="0" distR="0" wp14:anchorId="1893C23C" wp14:editId="5EFE982B">
            <wp:extent cx="5472430" cy="2685415"/>
            <wp:effectExtent l="0" t="0" r="0"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5472430" cy="2685415"/>
                    </a:xfrm>
                    <a:prstGeom prst="rect">
                      <a:avLst/>
                    </a:prstGeom>
                    <a:noFill/>
                    <a:ln>
                      <a:noFill/>
                    </a:ln>
                  </pic:spPr>
                </pic:pic>
              </a:graphicData>
            </a:graphic>
          </wp:inline>
        </w:drawing>
      </w:r>
    </w:p>
    <w:p w14:paraId="695B651B" w14:textId="160A4F6B" w:rsidR="00B33E51" w:rsidRDefault="00B33E51" w:rsidP="00B33E51">
      <w:pPr>
        <w:pStyle w:val="CT-NOTE"/>
        <w:rPr>
          <w:noProof/>
        </w:rPr>
      </w:pPr>
      <w:r w:rsidRPr="00FF5625">
        <w:rPr>
          <w:noProof/>
        </w:rPr>
        <w:t xml:space="preserve">Note: </w:t>
      </w:r>
      <w:r w:rsidR="000C5870" w:rsidRPr="00FF5625">
        <w:rPr>
          <w:noProof/>
        </w:rPr>
        <w:t xml:space="preserve">The MACCs </w:t>
      </w:r>
      <w:r w:rsidR="000C6C38" w:rsidRPr="00FF5625">
        <w:rPr>
          <w:noProof/>
        </w:rPr>
        <w:t>includ</w:t>
      </w:r>
      <w:r w:rsidR="000C5870" w:rsidRPr="00FF5625">
        <w:rPr>
          <w:noProof/>
        </w:rPr>
        <w:t>e</w:t>
      </w:r>
      <w:r w:rsidR="000C6C38" w:rsidRPr="00FF5625">
        <w:rPr>
          <w:noProof/>
        </w:rPr>
        <w:t xml:space="preserve"> all non-CO2 greenhouse gases.</w:t>
      </w:r>
      <w:r w:rsidRPr="00FF5625">
        <w:rPr>
          <w:noProof/>
        </w:rPr>
        <w:t xml:space="preserve"> Marginal abatement costs are expressed in constant EUR 20</w:t>
      </w:r>
      <w:r w:rsidR="00572948" w:rsidRPr="00FF5625">
        <w:rPr>
          <w:noProof/>
        </w:rPr>
        <w:t>15</w:t>
      </w:r>
      <w:r w:rsidRPr="00FF5625">
        <w:rPr>
          <w:noProof/>
        </w:rPr>
        <w:t>.</w:t>
      </w:r>
    </w:p>
    <w:p w14:paraId="4888788D" w14:textId="42A77455" w:rsidR="00371C2B" w:rsidRPr="00844873" w:rsidRDefault="00371C2B" w:rsidP="00767618">
      <w:pPr>
        <w:pStyle w:val="CT-SOURCE"/>
        <w:keepNext w:val="0"/>
        <w:rPr>
          <w:noProof/>
        </w:rPr>
      </w:pPr>
      <w:r w:rsidRPr="00E648A3">
        <w:rPr>
          <w:noProof/>
        </w:rPr>
        <w:t>Source: GAINS.</w:t>
      </w:r>
    </w:p>
    <w:p w14:paraId="3C92E80E" w14:textId="1CBA9162" w:rsidR="00371C2B" w:rsidRPr="00844873" w:rsidRDefault="00371C2B" w:rsidP="00572948">
      <w:pPr>
        <w:pStyle w:val="Caption"/>
        <w:rPr>
          <w:noProof/>
        </w:rPr>
      </w:pPr>
      <w:bookmarkStart w:id="440" w:name="_Ref142125898"/>
      <w:bookmarkStart w:id="441" w:name="_Ref146563194"/>
      <w:bookmarkStart w:id="442" w:name="_Toc157679831"/>
      <w:r>
        <w:rPr>
          <w:noProof/>
        </w:rPr>
        <w:t xml:space="preserve">Figure </w:t>
      </w:r>
      <w:bookmarkEnd w:id="440"/>
      <w:r w:rsidR="00F2742D">
        <w:rPr>
          <w:noProof/>
        </w:rPr>
        <w:fldChar w:fldCharType="begin"/>
      </w:r>
      <w:r w:rsidR="00F2742D">
        <w:rPr>
          <w:noProof/>
        </w:rPr>
        <w:instrText xml:space="preserve"> SEQ Figure \* ARABIC </w:instrText>
      </w:r>
      <w:r w:rsidR="00F2742D">
        <w:rPr>
          <w:noProof/>
        </w:rPr>
        <w:fldChar w:fldCharType="separate"/>
      </w:r>
      <w:r w:rsidR="00170A3C">
        <w:rPr>
          <w:noProof/>
        </w:rPr>
        <w:t>83</w:t>
      </w:r>
      <w:r w:rsidR="00F2742D">
        <w:rPr>
          <w:noProof/>
        </w:rPr>
        <w:fldChar w:fldCharType="end"/>
      </w:r>
      <w:bookmarkEnd w:id="441"/>
      <w:r>
        <w:rPr>
          <w:noProof/>
        </w:rPr>
        <w:t>:</w:t>
      </w:r>
      <w:r w:rsidRPr="00844873">
        <w:rPr>
          <w:noProof/>
        </w:rPr>
        <w:t xml:space="preserve"> </w:t>
      </w:r>
      <w:r w:rsidR="0065207A">
        <w:rPr>
          <w:noProof/>
        </w:rPr>
        <w:t>MACC</w:t>
      </w:r>
      <w:r w:rsidRPr="00844873">
        <w:rPr>
          <w:noProof/>
        </w:rPr>
        <w:t xml:space="preserve"> </w:t>
      </w:r>
      <w:r w:rsidR="00220830" w:rsidRPr="00220830">
        <w:rPr>
          <w:noProof/>
        </w:rPr>
        <w:t>of</w:t>
      </w:r>
      <w:r w:rsidRPr="00844873">
        <w:rPr>
          <w:noProof/>
        </w:rPr>
        <w:t xml:space="preserve"> the agriculture sector in </w:t>
      </w:r>
      <w:r w:rsidR="00220830" w:rsidRPr="00220830">
        <w:rPr>
          <w:noProof/>
        </w:rPr>
        <w:t xml:space="preserve">2040 in </w:t>
      </w:r>
      <w:r w:rsidR="00C459D4">
        <w:rPr>
          <w:noProof/>
        </w:rPr>
        <w:t>LIFE</w:t>
      </w:r>
      <w:r w:rsidR="00220830" w:rsidRPr="00220830">
        <w:rPr>
          <w:noProof/>
        </w:rPr>
        <w:t xml:space="preserve"> </w:t>
      </w:r>
      <w:r w:rsidR="00546314">
        <w:rPr>
          <w:noProof/>
        </w:rPr>
        <w:t>(by</w:t>
      </w:r>
      <w:r w:rsidRPr="00844873">
        <w:rPr>
          <w:noProof/>
        </w:rPr>
        <w:t xml:space="preserve"> </w:t>
      </w:r>
      <w:r w:rsidR="001B4A91">
        <w:rPr>
          <w:noProof/>
        </w:rPr>
        <w:t xml:space="preserve">gas and </w:t>
      </w:r>
      <w:r w:rsidR="0076557A">
        <w:rPr>
          <w:noProof/>
        </w:rPr>
        <w:t>area</w:t>
      </w:r>
      <w:r w:rsidRPr="00844873">
        <w:rPr>
          <w:noProof/>
        </w:rPr>
        <w:t xml:space="preserve"> of </w:t>
      </w:r>
      <w:r w:rsidR="0076557A">
        <w:rPr>
          <w:noProof/>
        </w:rPr>
        <w:t>application</w:t>
      </w:r>
      <w:r w:rsidR="00546314">
        <w:rPr>
          <w:noProof/>
        </w:rPr>
        <w:t>)</w:t>
      </w:r>
      <w:bookmarkEnd w:id="442"/>
    </w:p>
    <w:p w14:paraId="15338B9E" w14:textId="3E28DCB9" w:rsidR="00572948" w:rsidRPr="00FF5625" w:rsidRDefault="00572948" w:rsidP="00EC7359">
      <w:pPr>
        <w:keepNext/>
        <w:spacing w:after="0"/>
        <w:jc w:val="center"/>
        <w:rPr>
          <w:noProof/>
        </w:rPr>
      </w:pPr>
      <w:r w:rsidRPr="00FF5625">
        <w:rPr>
          <w:noProof/>
          <w:lang w:eastAsia="en-GB"/>
        </w:rPr>
        <w:drawing>
          <wp:inline distT="0" distB="0" distL="0" distR="0" wp14:anchorId="266A913A" wp14:editId="7A197997">
            <wp:extent cx="5472430" cy="2685415"/>
            <wp:effectExtent l="0" t="0" r="0" b="63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5472430" cy="2685415"/>
                    </a:xfrm>
                    <a:prstGeom prst="rect">
                      <a:avLst/>
                    </a:prstGeom>
                    <a:noFill/>
                    <a:ln>
                      <a:noFill/>
                    </a:ln>
                  </pic:spPr>
                </pic:pic>
              </a:graphicData>
            </a:graphic>
          </wp:inline>
        </w:drawing>
      </w:r>
    </w:p>
    <w:p w14:paraId="00191D2D" w14:textId="50772F81" w:rsidR="00B33E51" w:rsidRPr="00FF5625" w:rsidRDefault="00B33E51" w:rsidP="00B33E51">
      <w:pPr>
        <w:pStyle w:val="CT-NOTE"/>
        <w:rPr>
          <w:noProof/>
        </w:rPr>
      </w:pPr>
      <w:r w:rsidRPr="00FF5625">
        <w:rPr>
          <w:noProof/>
        </w:rPr>
        <w:t xml:space="preserve">Note: </w:t>
      </w:r>
      <w:r w:rsidR="000C5870" w:rsidRPr="00FF5625">
        <w:rPr>
          <w:noProof/>
        </w:rPr>
        <w:t xml:space="preserve">The MACCs </w:t>
      </w:r>
      <w:r w:rsidR="000C6C38" w:rsidRPr="00FF5625">
        <w:rPr>
          <w:noProof/>
        </w:rPr>
        <w:t>includ</w:t>
      </w:r>
      <w:r w:rsidR="000C5870" w:rsidRPr="00FF5625">
        <w:rPr>
          <w:noProof/>
        </w:rPr>
        <w:t>e</w:t>
      </w:r>
      <w:r w:rsidR="000C6C38" w:rsidRPr="00FF5625">
        <w:rPr>
          <w:noProof/>
        </w:rPr>
        <w:t xml:space="preserve"> all non-CO2 greenhouse gases.</w:t>
      </w:r>
      <w:r w:rsidRPr="00FF5625">
        <w:rPr>
          <w:noProof/>
        </w:rPr>
        <w:t xml:space="preserve"> Marginal abatement costs are expressed in constant EUR 20</w:t>
      </w:r>
      <w:r w:rsidR="00B50111" w:rsidRPr="00FF5625">
        <w:rPr>
          <w:noProof/>
        </w:rPr>
        <w:t>15</w:t>
      </w:r>
      <w:r w:rsidRPr="00FF5625">
        <w:rPr>
          <w:noProof/>
        </w:rPr>
        <w:t>.</w:t>
      </w:r>
    </w:p>
    <w:p w14:paraId="6ADD3886" w14:textId="4390A299" w:rsidR="00371C2B" w:rsidRPr="00FF5625" w:rsidRDefault="00371C2B" w:rsidP="00767618">
      <w:pPr>
        <w:pStyle w:val="CT-SOURCE"/>
        <w:keepNext w:val="0"/>
        <w:rPr>
          <w:noProof/>
        </w:rPr>
      </w:pPr>
      <w:r w:rsidRPr="00FF5625">
        <w:rPr>
          <w:noProof/>
        </w:rPr>
        <w:t>Source: GAINS.</w:t>
      </w:r>
    </w:p>
    <w:p w14:paraId="7A86C684" w14:textId="3450C22E" w:rsidR="005670D5" w:rsidRPr="00FF5625" w:rsidRDefault="005670D5" w:rsidP="00EB106D">
      <w:pPr>
        <w:pStyle w:val="Caption"/>
        <w:rPr>
          <w:noProof/>
        </w:rPr>
      </w:pPr>
      <w:bookmarkStart w:id="443" w:name="_Ref147327995"/>
      <w:bookmarkStart w:id="444" w:name="_Ref142126690"/>
      <w:bookmarkStart w:id="445" w:name="_Toc157679899"/>
      <w:bookmarkStart w:id="446" w:name="_Ref147327978"/>
      <w:bookmarkStart w:id="447" w:name="_Ref142128318"/>
      <w:r w:rsidRPr="00FF5625">
        <w:rPr>
          <w:noProof/>
        </w:rPr>
        <w:t xml:space="preserve">Table </w:t>
      </w:r>
      <w:r w:rsidRPr="00FF5625">
        <w:rPr>
          <w:noProof/>
        </w:rPr>
        <w:fldChar w:fldCharType="begin"/>
      </w:r>
      <w:r w:rsidRPr="00FF5625">
        <w:rPr>
          <w:noProof/>
        </w:rPr>
        <w:instrText>SEQ Table \* ARABIC</w:instrText>
      </w:r>
      <w:r w:rsidRPr="00FF5625">
        <w:rPr>
          <w:noProof/>
        </w:rPr>
        <w:fldChar w:fldCharType="separate"/>
      </w:r>
      <w:r w:rsidR="00170A3C">
        <w:rPr>
          <w:noProof/>
        </w:rPr>
        <w:t>16</w:t>
      </w:r>
      <w:r w:rsidRPr="00FF5625">
        <w:rPr>
          <w:noProof/>
        </w:rPr>
        <w:fldChar w:fldCharType="end"/>
      </w:r>
      <w:bookmarkEnd w:id="443"/>
      <w:r w:rsidRPr="00FF5625">
        <w:rPr>
          <w:noProof/>
        </w:rPr>
        <w:t>:</w:t>
      </w:r>
      <w:r w:rsidR="004E5087" w:rsidRPr="00FF5625">
        <w:rPr>
          <w:noProof/>
        </w:rPr>
        <w:t xml:space="preserve"> </w:t>
      </w:r>
      <w:r w:rsidR="006D03BF" w:rsidRPr="00FF5625">
        <w:rPr>
          <w:noProof/>
        </w:rPr>
        <w:t>M</w:t>
      </w:r>
      <w:r w:rsidR="004E5087" w:rsidRPr="00FF5625">
        <w:rPr>
          <w:noProof/>
        </w:rPr>
        <w:t>itigation</w:t>
      </w:r>
      <w:bookmarkStart w:id="448" w:name="_Hlk146031786"/>
      <w:bookmarkEnd w:id="444"/>
      <w:r w:rsidR="004E5087" w:rsidRPr="00FF5625">
        <w:rPr>
          <w:noProof/>
        </w:rPr>
        <w:t xml:space="preserve"> </w:t>
      </w:r>
      <w:r w:rsidR="00D40579" w:rsidRPr="00FF5625">
        <w:rPr>
          <w:noProof/>
        </w:rPr>
        <w:t xml:space="preserve">potential </w:t>
      </w:r>
      <w:r w:rsidR="0076557A" w:rsidRPr="00FF5625">
        <w:rPr>
          <w:noProof/>
        </w:rPr>
        <w:t xml:space="preserve">in the agriculture sector </w:t>
      </w:r>
      <w:r w:rsidR="00D40579" w:rsidRPr="00FF5625" w:rsidDel="006D03BF">
        <w:rPr>
          <w:noProof/>
        </w:rPr>
        <w:t xml:space="preserve">in </w:t>
      </w:r>
      <w:r w:rsidR="00D40579" w:rsidRPr="00FF5625">
        <w:rPr>
          <w:noProof/>
        </w:rPr>
        <w:t>S1, S2 and S3</w:t>
      </w:r>
      <w:bookmarkEnd w:id="445"/>
      <w:r w:rsidR="00D40579" w:rsidRPr="00FF5625">
        <w:rPr>
          <w:noProof/>
        </w:rPr>
        <w:t xml:space="preserve"> </w:t>
      </w:r>
      <w:bookmarkEnd w:id="446"/>
      <w:bookmarkEnd w:id="447"/>
      <w:bookmarkEnd w:id="448"/>
    </w:p>
    <w:tbl>
      <w:tblPr>
        <w:tblW w:w="8834" w:type="dxa"/>
        <w:tblLayout w:type="fixed"/>
        <w:tblLook w:val="04A0" w:firstRow="1" w:lastRow="0" w:firstColumn="1" w:lastColumn="0" w:noHBand="0" w:noVBand="1"/>
      </w:tblPr>
      <w:tblGrid>
        <w:gridCol w:w="2518"/>
        <w:gridCol w:w="902"/>
        <w:gridCol w:w="902"/>
        <w:gridCol w:w="902"/>
        <w:gridCol w:w="903"/>
        <w:gridCol w:w="902"/>
        <w:gridCol w:w="902"/>
        <w:gridCol w:w="903"/>
      </w:tblGrid>
      <w:tr w:rsidR="00C94F82" w:rsidRPr="00FF5625" w14:paraId="40FE9E5A" w14:textId="77777777" w:rsidTr="00BA009A">
        <w:trPr>
          <w:trHeight w:val="300"/>
        </w:trPr>
        <w:tc>
          <w:tcPr>
            <w:tcW w:w="2518" w:type="dxa"/>
            <w:vMerge w:val="restart"/>
            <w:noWrap/>
            <w:vAlign w:val="center"/>
          </w:tcPr>
          <w:p w14:paraId="7B0CAA47" w14:textId="77777777" w:rsidR="00C94F82" w:rsidRPr="00FF5625" w:rsidRDefault="00C94F82" w:rsidP="00EB106D">
            <w:pPr>
              <w:keepNext/>
              <w:spacing w:after="0"/>
              <w:jc w:val="left"/>
              <w:rPr>
                <w:rFonts w:ascii="EC Square Sans Cond Pro" w:hAnsi="EC Square Sans Cond Pro" w:cs="Avenir Next LT Pro"/>
                <w:b/>
                <w:noProof/>
                <w:color w:val="000000"/>
                <w:sz w:val="18"/>
                <w:szCs w:val="18"/>
                <w:lang w:val="en-IE"/>
              </w:rPr>
            </w:pPr>
          </w:p>
        </w:tc>
        <w:tc>
          <w:tcPr>
            <w:tcW w:w="6316" w:type="dxa"/>
            <w:gridSpan w:val="7"/>
            <w:noWrap/>
            <w:vAlign w:val="center"/>
          </w:tcPr>
          <w:p w14:paraId="2FED6313" w14:textId="6042C14F" w:rsidR="00C94F82" w:rsidRPr="00FF5625" w:rsidRDefault="00C94F82" w:rsidP="00EB106D">
            <w:pPr>
              <w:keepNext/>
              <w:spacing w:after="0"/>
              <w:jc w:val="center"/>
              <w:rPr>
                <w:rFonts w:ascii="EC Square Sans Cond Pro" w:hAnsi="EC Square Sans Cond Pro" w:cs="Avenir Next LT Pro"/>
                <w:b/>
                <w:noProof/>
                <w:color w:val="000000"/>
                <w:sz w:val="18"/>
                <w:szCs w:val="18"/>
                <w:lang w:val="en-IE"/>
              </w:rPr>
            </w:pPr>
            <w:r w:rsidRPr="00FF5625">
              <w:rPr>
                <w:rFonts w:ascii="EC Square Sans Cond Pro" w:hAnsi="EC Square Sans Cond Pro" w:cs="Avenir Next LT Pro"/>
                <w:b/>
                <w:noProof/>
                <w:color w:val="000000"/>
                <w:sz w:val="18"/>
                <w:szCs w:val="18"/>
                <w:lang w:val="en-IE"/>
              </w:rPr>
              <w:t>Marginal abatement cost for non-CO2 GHG emissions (EUR/tCO2-eq)</w:t>
            </w:r>
            <w:r w:rsidR="00B576B2" w:rsidRPr="00FF5625" w:rsidDel="00944AFC">
              <w:rPr>
                <w:rFonts w:ascii="EC Square Sans Cond Pro" w:hAnsi="EC Square Sans Cond Pro" w:cs="Avenir Next LT Pro"/>
                <w:b/>
                <w:noProof/>
                <w:color w:val="000000"/>
                <w:sz w:val="18"/>
                <w:szCs w:val="18"/>
                <w:lang w:val="en-IE"/>
              </w:rPr>
              <w:t>**</w:t>
            </w:r>
          </w:p>
        </w:tc>
      </w:tr>
      <w:tr w:rsidR="00C94F82" w:rsidRPr="00FF5625" w14:paraId="0F0ADA9E" w14:textId="77777777" w:rsidTr="00BA009A">
        <w:trPr>
          <w:trHeight w:val="460"/>
        </w:trPr>
        <w:tc>
          <w:tcPr>
            <w:tcW w:w="2518" w:type="dxa"/>
            <w:vMerge/>
            <w:tcBorders>
              <w:bottom w:val="single" w:sz="12" w:space="0" w:color="auto"/>
            </w:tcBorders>
            <w:noWrap/>
            <w:vAlign w:val="center"/>
            <w:hideMark/>
          </w:tcPr>
          <w:p w14:paraId="030DC35B" w14:textId="77777777" w:rsidR="00C94F82" w:rsidRPr="00FF5625" w:rsidRDefault="00C94F82" w:rsidP="00EB106D">
            <w:pPr>
              <w:keepNext/>
              <w:spacing w:after="0"/>
              <w:jc w:val="left"/>
              <w:rPr>
                <w:rFonts w:ascii="EC Square Sans Cond Pro" w:hAnsi="EC Square Sans Cond Pro"/>
                <w:noProof/>
                <w:sz w:val="18"/>
                <w:szCs w:val="18"/>
                <w:lang w:val="en-IE"/>
              </w:rPr>
            </w:pPr>
          </w:p>
        </w:tc>
        <w:tc>
          <w:tcPr>
            <w:tcW w:w="902" w:type="dxa"/>
            <w:tcBorders>
              <w:bottom w:val="single" w:sz="12" w:space="0" w:color="auto"/>
            </w:tcBorders>
            <w:noWrap/>
            <w:vAlign w:val="center"/>
            <w:hideMark/>
          </w:tcPr>
          <w:p w14:paraId="420C39AC" w14:textId="77777777" w:rsidR="00C94F82" w:rsidRPr="00FF5625" w:rsidRDefault="00C94F82" w:rsidP="00EB106D">
            <w:pPr>
              <w:keepNext/>
              <w:spacing w:after="0"/>
              <w:jc w:val="center"/>
              <w:rPr>
                <w:rFonts w:ascii="EC Square Sans Cond Pro" w:hAnsi="EC Square Sans Cond Pro" w:cs="Avenir Next LT Pro"/>
                <w:b/>
                <w:noProof/>
                <w:color w:val="000000"/>
                <w:sz w:val="18"/>
                <w:szCs w:val="18"/>
                <w:lang w:val="en-IE"/>
              </w:rPr>
            </w:pPr>
            <w:r w:rsidRPr="00FF5625">
              <w:rPr>
                <w:rFonts w:ascii="EC Square Sans Cond Pro" w:hAnsi="EC Square Sans Cond Pro" w:cs="Avenir Next LT Pro"/>
                <w:b/>
                <w:noProof/>
                <w:color w:val="000000"/>
                <w:sz w:val="18"/>
                <w:szCs w:val="18"/>
                <w:lang w:val="en-IE"/>
              </w:rPr>
              <w:t>0*</w:t>
            </w:r>
          </w:p>
        </w:tc>
        <w:tc>
          <w:tcPr>
            <w:tcW w:w="902" w:type="dxa"/>
            <w:tcBorders>
              <w:bottom w:val="single" w:sz="12" w:space="0" w:color="auto"/>
            </w:tcBorders>
            <w:noWrap/>
            <w:vAlign w:val="center"/>
            <w:hideMark/>
          </w:tcPr>
          <w:p w14:paraId="6A0D5D7E" w14:textId="77777777" w:rsidR="00C94F82" w:rsidRPr="00FF5625" w:rsidRDefault="00C94F82" w:rsidP="00EB106D">
            <w:pPr>
              <w:keepNext/>
              <w:spacing w:after="0"/>
              <w:jc w:val="center"/>
              <w:rPr>
                <w:rFonts w:ascii="EC Square Sans Cond Pro" w:hAnsi="EC Square Sans Cond Pro" w:cs="Avenir Next LT Pro"/>
                <w:b/>
                <w:smallCaps/>
                <w:noProof/>
                <w:color w:val="000000"/>
                <w:sz w:val="18"/>
                <w:szCs w:val="18"/>
                <w:lang w:val="en-IE"/>
              </w:rPr>
            </w:pPr>
            <w:r w:rsidRPr="00FF5625">
              <w:rPr>
                <w:rFonts w:ascii="EC Square Sans Cond Pro" w:hAnsi="EC Square Sans Cond Pro" w:cs="Avenir Next LT Pro"/>
                <w:b/>
                <w:smallCaps/>
                <w:noProof/>
                <w:color w:val="000000"/>
                <w:sz w:val="18"/>
                <w:szCs w:val="18"/>
                <w:lang w:val="en-IE"/>
              </w:rPr>
              <w:t>0.1</w:t>
            </w:r>
          </w:p>
        </w:tc>
        <w:tc>
          <w:tcPr>
            <w:tcW w:w="902" w:type="dxa"/>
            <w:tcBorders>
              <w:bottom w:val="single" w:sz="12" w:space="0" w:color="auto"/>
            </w:tcBorders>
            <w:vAlign w:val="center"/>
          </w:tcPr>
          <w:p w14:paraId="1DC88BBC" w14:textId="77777777" w:rsidR="00C94F82" w:rsidRPr="00FF5625" w:rsidRDefault="00C94F82" w:rsidP="00EB106D">
            <w:pPr>
              <w:keepNext/>
              <w:spacing w:after="0"/>
              <w:jc w:val="center"/>
              <w:rPr>
                <w:rFonts w:ascii="EC Square Sans Cond Pro" w:hAnsi="EC Square Sans Cond Pro" w:cs="Avenir Next LT Pro"/>
                <w:b/>
                <w:noProof/>
                <w:color w:val="000000"/>
                <w:sz w:val="18"/>
                <w:szCs w:val="18"/>
                <w:lang w:val="en-IE"/>
              </w:rPr>
            </w:pPr>
            <w:r w:rsidRPr="00FF5625">
              <w:rPr>
                <w:rFonts w:ascii="EC Square Sans Cond Pro" w:hAnsi="EC Square Sans Cond Pro" w:cs="Avenir Next LT Pro"/>
                <w:b/>
                <w:smallCaps/>
                <w:noProof/>
                <w:color w:val="000000"/>
                <w:sz w:val="18"/>
                <w:szCs w:val="18"/>
                <w:lang w:val="en-IE"/>
              </w:rPr>
              <w:t>10</w:t>
            </w:r>
          </w:p>
        </w:tc>
        <w:tc>
          <w:tcPr>
            <w:tcW w:w="903" w:type="dxa"/>
            <w:tcBorders>
              <w:bottom w:val="single" w:sz="12" w:space="0" w:color="auto"/>
            </w:tcBorders>
            <w:vAlign w:val="center"/>
          </w:tcPr>
          <w:p w14:paraId="31A5606C" w14:textId="77777777" w:rsidR="00C94F82" w:rsidRPr="00FF5625" w:rsidRDefault="00C94F82" w:rsidP="00EB106D">
            <w:pPr>
              <w:keepNext/>
              <w:spacing w:after="0"/>
              <w:jc w:val="center"/>
              <w:rPr>
                <w:rFonts w:ascii="EC Square Sans Cond Pro" w:hAnsi="EC Square Sans Cond Pro" w:cs="Avenir Next LT Pro"/>
                <w:b/>
                <w:noProof/>
                <w:color w:val="000000"/>
                <w:sz w:val="18"/>
                <w:szCs w:val="18"/>
                <w:lang w:val="en-IE"/>
              </w:rPr>
            </w:pPr>
            <w:r w:rsidRPr="00FF5625">
              <w:rPr>
                <w:rFonts w:ascii="EC Square Sans Cond Pro" w:hAnsi="EC Square Sans Cond Pro" w:cs="Avenir Next LT Pro"/>
                <w:b/>
                <w:noProof/>
                <w:color w:val="000000"/>
                <w:sz w:val="18"/>
                <w:szCs w:val="18"/>
                <w:lang w:val="en-IE"/>
              </w:rPr>
              <w:t>50</w:t>
            </w:r>
          </w:p>
        </w:tc>
        <w:tc>
          <w:tcPr>
            <w:tcW w:w="902" w:type="dxa"/>
            <w:tcBorders>
              <w:bottom w:val="single" w:sz="12" w:space="0" w:color="auto"/>
            </w:tcBorders>
            <w:vAlign w:val="center"/>
          </w:tcPr>
          <w:p w14:paraId="3070E0C2" w14:textId="77777777" w:rsidR="00C94F82" w:rsidRPr="00FF5625" w:rsidRDefault="00C94F82" w:rsidP="00EB106D">
            <w:pPr>
              <w:keepNext/>
              <w:spacing w:after="0"/>
              <w:jc w:val="center"/>
              <w:rPr>
                <w:rFonts w:ascii="EC Square Sans Cond Pro" w:hAnsi="EC Square Sans Cond Pro" w:cs="Avenir Next LT Pro"/>
                <w:b/>
                <w:noProof/>
                <w:color w:val="000000"/>
                <w:sz w:val="18"/>
                <w:szCs w:val="18"/>
                <w:lang w:val="en-IE"/>
              </w:rPr>
            </w:pPr>
            <w:r w:rsidRPr="00FF5625">
              <w:rPr>
                <w:rFonts w:ascii="EC Square Sans Cond Pro" w:hAnsi="EC Square Sans Cond Pro" w:cs="Avenir Next LT Pro"/>
                <w:b/>
                <w:noProof/>
                <w:color w:val="000000"/>
                <w:sz w:val="18"/>
                <w:szCs w:val="18"/>
                <w:lang w:val="en-IE"/>
              </w:rPr>
              <w:t>100</w:t>
            </w:r>
          </w:p>
        </w:tc>
        <w:tc>
          <w:tcPr>
            <w:tcW w:w="902" w:type="dxa"/>
            <w:tcBorders>
              <w:bottom w:val="single" w:sz="12" w:space="0" w:color="auto"/>
            </w:tcBorders>
            <w:vAlign w:val="center"/>
          </w:tcPr>
          <w:p w14:paraId="756B3DED" w14:textId="77777777" w:rsidR="00C94F82" w:rsidRPr="00FF5625" w:rsidRDefault="00C94F82" w:rsidP="00EB106D">
            <w:pPr>
              <w:keepNext/>
              <w:spacing w:after="0"/>
              <w:jc w:val="center"/>
              <w:rPr>
                <w:rFonts w:ascii="EC Square Sans Cond Pro" w:hAnsi="EC Square Sans Cond Pro" w:cs="Avenir Next LT Pro"/>
                <w:b/>
                <w:noProof/>
                <w:color w:val="000000"/>
                <w:sz w:val="18"/>
                <w:szCs w:val="18"/>
                <w:lang w:val="en-IE"/>
              </w:rPr>
            </w:pPr>
            <w:r w:rsidRPr="00FF5625">
              <w:rPr>
                <w:rFonts w:ascii="EC Square Sans Cond Pro" w:hAnsi="EC Square Sans Cond Pro" w:cs="Avenir Next LT Pro"/>
                <w:b/>
                <w:noProof/>
                <w:color w:val="000000"/>
                <w:sz w:val="18"/>
                <w:szCs w:val="18"/>
                <w:lang w:val="en-IE"/>
              </w:rPr>
              <w:t>300</w:t>
            </w:r>
          </w:p>
        </w:tc>
        <w:tc>
          <w:tcPr>
            <w:tcW w:w="903" w:type="dxa"/>
            <w:tcBorders>
              <w:bottom w:val="single" w:sz="12" w:space="0" w:color="auto"/>
            </w:tcBorders>
            <w:vAlign w:val="center"/>
          </w:tcPr>
          <w:p w14:paraId="2E33A9EE" w14:textId="77777777" w:rsidR="00C94F82" w:rsidRPr="00FF5625" w:rsidRDefault="00C94F82" w:rsidP="00EB106D">
            <w:pPr>
              <w:keepNext/>
              <w:spacing w:after="0"/>
              <w:jc w:val="center"/>
              <w:rPr>
                <w:rFonts w:ascii="EC Square Sans Cond Pro" w:hAnsi="EC Square Sans Cond Pro" w:cs="Avenir Next LT Pro"/>
                <w:b/>
                <w:noProof/>
                <w:color w:val="000000"/>
                <w:sz w:val="18"/>
                <w:szCs w:val="18"/>
                <w:lang w:val="en-IE"/>
              </w:rPr>
            </w:pPr>
            <w:r w:rsidRPr="00FF5625">
              <w:rPr>
                <w:rFonts w:ascii="EC Square Sans Cond Pro" w:hAnsi="EC Square Sans Cond Pro" w:cs="Avenir Next LT Pro"/>
                <w:b/>
                <w:noProof/>
                <w:color w:val="000000"/>
                <w:sz w:val="18"/>
                <w:szCs w:val="18"/>
                <w:lang w:val="en-IE"/>
              </w:rPr>
              <w:t>Max</w:t>
            </w:r>
          </w:p>
        </w:tc>
      </w:tr>
      <w:tr w:rsidR="00C94F82" w:rsidRPr="00FF5625" w14:paraId="07B18A5E" w14:textId="77777777" w:rsidTr="00BA009A">
        <w:trPr>
          <w:trHeight w:val="460"/>
        </w:trPr>
        <w:tc>
          <w:tcPr>
            <w:tcW w:w="2518" w:type="dxa"/>
            <w:tcBorders>
              <w:top w:val="single" w:sz="12" w:space="0" w:color="auto"/>
            </w:tcBorders>
            <w:noWrap/>
            <w:vAlign w:val="center"/>
            <w:hideMark/>
          </w:tcPr>
          <w:p w14:paraId="2E7199FE" w14:textId="77777777" w:rsidR="00C94F82" w:rsidRPr="00FF5625" w:rsidRDefault="00C94F82" w:rsidP="00EB106D">
            <w:pPr>
              <w:keepNext/>
              <w:spacing w:after="0"/>
              <w:jc w:val="left"/>
              <w:rPr>
                <w:rFonts w:ascii="EC Square Sans Cond Pro" w:hAnsi="EC Square Sans Cond Pro" w:cs="Avenir Next LT Pro"/>
                <w:b/>
                <w:noProof/>
                <w:sz w:val="18"/>
                <w:szCs w:val="18"/>
                <w:lang w:val="en-IE"/>
              </w:rPr>
            </w:pPr>
            <w:r w:rsidRPr="00FF5625">
              <w:rPr>
                <w:rFonts w:ascii="EC Square Sans Cond Pro" w:hAnsi="EC Square Sans Cond Pro" w:cs="Avenir Next LT Pro"/>
                <w:b/>
                <w:noProof/>
                <w:sz w:val="18"/>
                <w:szCs w:val="18"/>
                <w:lang w:val="en-IE"/>
              </w:rPr>
              <w:t>Emissions mitigation in 2040 (MtCO2-eq)</w:t>
            </w:r>
          </w:p>
        </w:tc>
        <w:tc>
          <w:tcPr>
            <w:tcW w:w="6316" w:type="dxa"/>
            <w:gridSpan w:val="7"/>
            <w:tcBorders>
              <w:top w:val="single" w:sz="12" w:space="0" w:color="auto"/>
            </w:tcBorders>
            <w:noWrap/>
            <w:vAlign w:val="center"/>
          </w:tcPr>
          <w:p w14:paraId="572D80C3" w14:textId="77777777" w:rsidR="00C94F82" w:rsidRPr="00FF5625" w:rsidRDefault="00C94F82" w:rsidP="00EB106D">
            <w:pPr>
              <w:keepNext/>
              <w:spacing w:after="0"/>
              <w:jc w:val="center"/>
              <w:rPr>
                <w:rFonts w:ascii="EC Square Sans Cond Pro" w:hAnsi="EC Square Sans Cond Pro" w:cs="Avenir Next LT Pro"/>
                <w:noProof/>
                <w:sz w:val="18"/>
                <w:szCs w:val="18"/>
                <w:lang w:val="en-IE"/>
              </w:rPr>
            </w:pPr>
          </w:p>
        </w:tc>
      </w:tr>
      <w:tr w:rsidR="00C94F82" w:rsidRPr="00FF5625" w14:paraId="28FCDDD9" w14:textId="77777777" w:rsidTr="00BA009A">
        <w:trPr>
          <w:trHeight w:val="320"/>
        </w:trPr>
        <w:tc>
          <w:tcPr>
            <w:tcW w:w="2518" w:type="dxa"/>
            <w:noWrap/>
            <w:vAlign w:val="center"/>
          </w:tcPr>
          <w:p w14:paraId="4115DD3D" w14:textId="612AA561" w:rsidR="00C94F82" w:rsidRPr="00FF5625" w:rsidRDefault="00296A21" w:rsidP="00EB106D">
            <w:pPr>
              <w:keepNext/>
              <w:spacing w:after="0"/>
              <w:jc w:val="left"/>
              <w:rPr>
                <w:rFonts w:ascii="EC Square Sans Cond Pro" w:hAnsi="EC Square Sans Cond Pro" w:cs="Avenir Next LT Pro"/>
                <w:noProof/>
                <w:sz w:val="18"/>
                <w:szCs w:val="18"/>
                <w:lang w:val="en-IE"/>
              </w:rPr>
            </w:pPr>
            <w:r w:rsidRPr="00FF5625">
              <w:rPr>
                <w:rFonts w:ascii="EC Square Sans Cond Pro" w:hAnsi="EC Square Sans Cond Pro" w:cs="Avenir Next LT Pro"/>
                <w:noProof/>
                <w:sz w:val="18"/>
                <w:szCs w:val="18"/>
                <w:lang w:val="en-IE"/>
              </w:rPr>
              <w:t>CH4 (</w:t>
            </w:r>
            <w:r w:rsidR="00C94F82" w:rsidRPr="00FF5625" w:rsidDel="00296A21">
              <w:rPr>
                <w:rFonts w:ascii="EC Square Sans Cond Pro" w:hAnsi="EC Square Sans Cond Pro" w:cs="Avenir Next LT Pro"/>
                <w:noProof/>
                <w:sz w:val="18"/>
                <w:szCs w:val="18"/>
                <w:lang w:val="en-IE"/>
              </w:rPr>
              <w:t>L</w:t>
            </w:r>
            <w:r w:rsidR="00C94F82" w:rsidRPr="00FF5625">
              <w:rPr>
                <w:rFonts w:ascii="EC Square Sans Cond Pro" w:hAnsi="EC Square Sans Cond Pro" w:cs="Avenir Next LT Pro"/>
                <w:noProof/>
                <w:sz w:val="18"/>
                <w:szCs w:val="18"/>
                <w:lang w:val="en-IE"/>
              </w:rPr>
              <w:t>ivestock</w:t>
            </w:r>
            <w:r w:rsidRPr="00FF5625">
              <w:rPr>
                <w:rFonts w:ascii="EC Square Sans Cond Pro" w:hAnsi="EC Square Sans Cond Pro" w:cs="Avenir Next LT Pro"/>
                <w:noProof/>
                <w:sz w:val="18"/>
                <w:szCs w:val="18"/>
                <w:lang w:val="en-IE"/>
              </w:rPr>
              <w:t>)</w:t>
            </w:r>
          </w:p>
        </w:tc>
        <w:tc>
          <w:tcPr>
            <w:tcW w:w="902" w:type="dxa"/>
            <w:noWrap/>
            <w:vAlign w:val="center"/>
          </w:tcPr>
          <w:p w14:paraId="7ED543A0" w14:textId="27EC676C"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0</w:t>
            </w:r>
          </w:p>
        </w:tc>
        <w:tc>
          <w:tcPr>
            <w:tcW w:w="902" w:type="dxa"/>
            <w:noWrap/>
            <w:vAlign w:val="center"/>
          </w:tcPr>
          <w:p w14:paraId="5690427E" w14:textId="2ABEE243"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21</w:t>
            </w:r>
          </w:p>
        </w:tc>
        <w:tc>
          <w:tcPr>
            <w:tcW w:w="902" w:type="dxa"/>
            <w:noWrap/>
            <w:vAlign w:val="center"/>
          </w:tcPr>
          <w:p w14:paraId="7753AEDE" w14:textId="66C93540"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2</w:t>
            </w:r>
            <w:r w:rsidR="00E734B9" w:rsidRPr="00FF5625">
              <w:rPr>
                <w:rFonts w:ascii="EC Square Sans Cond Pro" w:hAnsi="EC Square Sans Cond Pro" w:cs="Calibri"/>
                <w:noProof/>
                <w:color w:val="000000"/>
                <w:sz w:val="18"/>
                <w:szCs w:val="18"/>
              </w:rPr>
              <w:t>2</w:t>
            </w:r>
          </w:p>
        </w:tc>
        <w:tc>
          <w:tcPr>
            <w:tcW w:w="903" w:type="dxa"/>
            <w:vAlign w:val="center"/>
          </w:tcPr>
          <w:p w14:paraId="60686558" w14:textId="4F2CC94C"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3</w:t>
            </w:r>
            <w:r w:rsidR="00F637C3" w:rsidRPr="00FF5625">
              <w:rPr>
                <w:rFonts w:ascii="EC Square Sans Cond Pro" w:hAnsi="EC Square Sans Cond Pro" w:cs="Calibri"/>
                <w:noProof/>
                <w:color w:val="000000"/>
                <w:sz w:val="18"/>
                <w:szCs w:val="18"/>
              </w:rPr>
              <w:t>4</w:t>
            </w:r>
          </w:p>
        </w:tc>
        <w:tc>
          <w:tcPr>
            <w:tcW w:w="902" w:type="dxa"/>
            <w:vAlign w:val="center"/>
          </w:tcPr>
          <w:p w14:paraId="2004D3FC" w14:textId="725A99D3"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35</w:t>
            </w:r>
          </w:p>
        </w:tc>
        <w:tc>
          <w:tcPr>
            <w:tcW w:w="902" w:type="dxa"/>
            <w:vAlign w:val="center"/>
          </w:tcPr>
          <w:p w14:paraId="74453D6A" w14:textId="6D41867A"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36</w:t>
            </w:r>
          </w:p>
        </w:tc>
        <w:tc>
          <w:tcPr>
            <w:tcW w:w="903" w:type="dxa"/>
            <w:vAlign w:val="center"/>
          </w:tcPr>
          <w:p w14:paraId="1F5207AB" w14:textId="467870B8"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3</w:t>
            </w:r>
            <w:r w:rsidR="00F637C3" w:rsidRPr="00FF5625">
              <w:rPr>
                <w:rFonts w:ascii="EC Square Sans Cond Pro" w:hAnsi="EC Square Sans Cond Pro" w:cs="Calibri"/>
                <w:noProof/>
                <w:color w:val="000000"/>
                <w:sz w:val="18"/>
                <w:szCs w:val="18"/>
              </w:rPr>
              <w:t>7</w:t>
            </w:r>
          </w:p>
        </w:tc>
      </w:tr>
      <w:tr w:rsidR="00C94F82" w:rsidRPr="00FF5625" w14:paraId="195AA090" w14:textId="77777777" w:rsidTr="00BA009A">
        <w:trPr>
          <w:trHeight w:val="320"/>
        </w:trPr>
        <w:tc>
          <w:tcPr>
            <w:tcW w:w="2518" w:type="dxa"/>
            <w:noWrap/>
            <w:vAlign w:val="center"/>
          </w:tcPr>
          <w:p w14:paraId="2BA5D8D7" w14:textId="696E0D7E" w:rsidR="00C94F82" w:rsidRPr="00FF5625" w:rsidRDefault="00296A21" w:rsidP="00EB106D">
            <w:pPr>
              <w:keepNext/>
              <w:spacing w:after="0"/>
              <w:jc w:val="left"/>
              <w:rPr>
                <w:rFonts w:ascii="EC Square Sans Cond Pro" w:hAnsi="EC Square Sans Cond Pro" w:cs="Avenir Next LT Pro"/>
                <w:noProof/>
                <w:sz w:val="18"/>
                <w:szCs w:val="18"/>
                <w:lang w:val="en-IE"/>
              </w:rPr>
            </w:pPr>
            <w:r w:rsidRPr="00FF5625">
              <w:rPr>
                <w:rFonts w:ascii="EC Square Sans Cond Pro" w:hAnsi="EC Square Sans Cond Pro" w:cs="Avenir Next LT Pro"/>
                <w:noProof/>
                <w:sz w:val="18"/>
                <w:szCs w:val="18"/>
                <w:lang w:val="en-IE"/>
              </w:rPr>
              <w:t>CH4 (</w:t>
            </w:r>
            <w:r w:rsidR="00C94F82" w:rsidRPr="00FF5625" w:rsidDel="00296A21">
              <w:rPr>
                <w:rFonts w:ascii="EC Square Sans Cond Pro" w:hAnsi="EC Square Sans Cond Pro" w:cs="Avenir Next LT Pro"/>
                <w:noProof/>
                <w:sz w:val="18"/>
                <w:szCs w:val="18"/>
                <w:lang w:val="en-IE"/>
              </w:rPr>
              <w:t>R</w:t>
            </w:r>
            <w:r w:rsidR="00C94F82" w:rsidRPr="00FF5625">
              <w:rPr>
                <w:rFonts w:ascii="EC Square Sans Cond Pro" w:hAnsi="EC Square Sans Cond Pro" w:cs="Avenir Next LT Pro"/>
                <w:noProof/>
                <w:sz w:val="18"/>
                <w:szCs w:val="18"/>
                <w:lang w:val="en-IE"/>
              </w:rPr>
              <w:t>ice cultivation and other</w:t>
            </w:r>
            <w:r w:rsidRPr="00FF5625">
              <w:rPr>
                <w:rFonts w:ascii="EC Square Sans Cond Pro" w:hAnsi="EC Square Sans Cond Pro" w:cs="Avenir Next LT Pro"/>
                <w:noProof/>
                <w:sz w:val="18"/>
                <w:szCs w:val="18"/>
                <w:lang w:val="en-IE"/>
              </w:rPr>
              <w:t>)</w:t>
            </w:r>
          </w:p>
        </w:tc>
        <w:tc>
          <w:tcPr>
            <w:tcW w:w="902" w:type="dxa"/>
            <w:noWrap/>
            <w:vAlign w:val="center"/>
          </w:tcPr>
          <w:p w14:paraId="147C7724" w14:textId="7A66936E"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0</w:t>
            </w:r>
          </w:p>
        </w:tc>
        <w:tc>
          <w:tcPr>
            <w:tcW w:w="902" w:type="dxa"/>
            <w:noWrap/>
            <w:vAlign w:val="center"/>
          </w:tcPr>
          <w:p w14:paraId="05F35B0D" w14:textId="6EC00CE1"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1</w:t>
            </w:r>
          </w:p>
        </w:tc>
        <w:tc>
          <w:tcPr>
            <w:tcW w:w="902" w:type="dxa"/>
            <w:noWrap/>
            <w:vAlign w:val="center"/>
          </w:tcPr>
          <w:p w14:paraId="63F8B353" w14:textId="17CB8669"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1</w:t>
            </w:r>
          </w:p>
        </w:tc>
        <w:tc>
          <w:tcPr>
            <w:tcW w:w="903" w:type="dxa"/>
            <w:vAlign w:val="center"/>
          </w:tcPr>
          <w:p w14:paraId="57045A6E" w14:textId="760AE529" w:rsidR="00C94F82" w:rsidRPr="00FF5625" w:rsidRDefault="00E734B9"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Avenir Next LT Pro"/>
                <w:noProof/>
                <w:sz w:val="18"/>
                <w:szCs w:val="18"/>
                <w:lang w:val="en-IE"/>
              </w:rPr>
              <w:t>2</w:t>
            </w:r>
          </w:p>
        </w:tc>
        <w:tc>
          <w:tcPr>
            <w:tcW w:w="902" w:type="dxa"/>
            <w:vAlign w:val="center"/>
          </w:tcPr>
          <w:p w14:paraId="5D0E21A6" w14:textId="420D9B18" w:rsidR="00C94F82" w:rsidRPr="00FF5625" w:rsidRDefault="00E734B9"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2</w:t>
            </w:r>
          </w:p>
        </w:tc>
        <w:tc>
          <w:tcPr>
            <w:tcW w:w="902" w:type="dxa"/>
            <w:vAlign w:val="center"/>
          </w:tcPr>
          <w:p w14:paraId="022DC888" w14:textId="3B038D5E" w:rsidR="00C94F82" w:rsidRPr="00FF5625" w:rsidRDefault="00E734B9"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2</w:t>
            </w:r>
          </w:p>
        </w:tc>
        <w:tc>
          <w:tcPr>
            <w:tcW w:w="903" w:type="dxa"/>
            <w:vAlign w:val="center"/>
          </w:tcPr>
          <w:p w14:paraId="3172BA1C" w14:textId="6D48F22E" w:rsidR="00C94F82" w:rsidRPr="00FF5625" w:rsidRDefault="00E734B9"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2</w:t>
            </w:r>
          </w:p>
        </w:tc>
      </w:tr>
      <w:tr w:rsidR="00296A21" w:rsidRPr="00FF5625" w14:paraId="086979F6" w14:textId="77777777" w:rsidTr="00BA009A">
        <w:trPr>
          <w:trHeight w:val="320"/>
        </w:trPr>
        <w:tc>
          <w:tcPr>
            <w:tcW w:w="2518" w:type="dxa"/>
            <w:noWrap/>
            <w:vAlign w:val="center"/>
          </w:tcPr>
          <w:p w14:paraId="18D8C1F8" w14:textId="66B90DD5" w:rsidR="00296A21" w:rsidRPr="00FF5625" w:rsidRDefault="00296A21" w:rsidP="00EB106D">
            <w:pPr>
              <w:keepNext/>
              <w:spacing w:after="0"/>
              <w:jc w:val="left"/>
              <w:rPr>
                <w:rFonts w:ascii="EC Square Sans Cond Pro" w:hAnsi="EC Square Sans Cond Pro" w:cs="Avenir Next LT Pro"/>
                <w:noProof/>
                <w:sz w:val="18"/>
                <w:szCs w:val="18"/>
                <w:lang w:val="en-IE"/>
              </w:rPr>
            </w:pPr>
            <w:r w:rsidRPr="00FF5625">
              <w:rPr>
                <w:rFonts w:ascii="EC Square Sans Cond Pro" w:hAnsi="EC Square Sans Cond Pro" w:cs="Avenir Next LT Pro"/>
                <w:noProof/>
                <w:sz w:val="18"/>
                <w:szCs w:val="18"/>
                <w:lang w:val="en-IE"/>
              </w:rPr>
              <w:t>N2O (</w:t>
            </w:r>
            <w:r w:rsidR="001B4A91" w:rsidRPr="00FF5625">
              <w:rPr>
                <w:rFonts w:ascii="EC Square Sans Cond Pro" w:hAnsi="EC Square Sans Cond Pro" w:cs="Avenir Next LT Pro"/>
                <w:noProof/>
                <w:sz w:val="18"/>
                <w:szCs w:val="18"/>
                <w:lang w:val="en-IE"/>
              </w:rPr>
              <w:t>A</w:t>
            </w:r>
            <w:r w:rsidRPr="00FF5625">
              <w:rPr>
                <w:rFonts w:ascii="EC Square Sans Cond Pro" w:hAnsi="EC Square Sans Cond Pro" w:cs="Avenir Next LT Pro"/>
                <w:noProof/>
                <w:sz w:val="18"/>
                <w:szCs w:val="18"/>
                <w:lang w:val="en-IE"/>
              </w:rPr>
              <w:t>gricultural soils)</w:t>
            </w:r>
          </w:p>
        </w:tc>
        <w:tc>
          <w:tcPr>
            <w:tcW w:w="902" w:type="dxa"/>
            <w:noWrap/>
            <w:vAlign w:val="center"/>
          </w:tcPr>
          <w:p w14:paraId="4E95F4CD" w14:textId="2E65D4DB" w:rsidR="00296A21" w:rsidRPr="00FF5625" w:rsidRDefault="00E734B9" w:rsidP="00EB106D">
            <w:pPr>
              <w:keepNext/>
              <w:spacing w:after="0"/>
              <w:jc w:val="center"/>
              <w:rPr>
                <w:rFonts w:ascii="EC Square Sans Cond Pro" w:hAnsi="EC Square Sans Cond Pro" w:cs="Calibri"/>
                <w:noProof/>
                <w:color w:val="000000"/>
                <w:sz w:val="18"/>
                <w:szCs w:val="18"/>
              </w:rPr>
            </w:pPr>
            <w:r w:rsidRPr="00FF5625">
              <w:rPr>
                <w:rFonts w:ascii="EC Square Sans Cond Pro" w:hAnsi="EC Square Sans Cond Pro" w:cs="Calibri"/>
                <w:noProof/>
                <w:color w:val="000000"/>
                <w:sz w:val="18"/>
                <w:szCs w:val="18"/>
              </w:rPr>
              <w:t>0</w:t>
            </w:r>
          </w:p>
        </w:tc>
        <w:tc>
          <w:tcPr>
            <w:tcW w:w="902" w:type="dxa"/>
            <w:noWrap/>
            <w:vAlign w:val="center"/>
          </w:tcPr>
          <w:p w14:paraId="69DD2EAB" w14:textId="13A39C85" w:rsidR="00296A21" w:rsidRPr="00FF5625" w:rsidRDefault="00E734B9" w:rsidP="00EB106D">
            <w:pPr>
              <w:keepNext/>
              <w:spacing w:after="0"/>
              <w:jc w:val="center"/>
              <w:rPr>
                <w:rFonts w:ascii="EC Square Sans Cond Pro" w:hAnsi="EC Square Sans Cond Pro" w:cs="Calibri"/>
                <w:noProof/>
                <w:color w:val="000000"/>
                <w:sz w:val="18"/>
                <w:szCs w:val="18"/>
              </w:rPr>
            </w:pPr>
            <w:r w:rsidRPr="00FF5625">
              <w:rPr>
                <w:rFonts w:ascii="EC Square Sans Cond Pro" w:hAnsi="EC Square Sans Cond Pro" w:cs="Calibri"/>
                <w:noProof/>
                <w:color w:val="000000"/>
                <w:sz w:val="18"/>
                <w:szCs w:val="18"/>
              </w:rPr>
              <w:t>0</w:t>
            </w:r>
          </w:p>
        </w:tc>
        <w:tc>
          <w:tcPr>
            <w:tcW w:w="902" w:type="dxa"/>
            <w:noWrap/>
            <w:vAlign w:val="center"/>
          </w:tcPr>
          <w:p w14:paraId="655439EC" w14:textId="06B84E52" w:rsidR="00296A21" w:rsidRPr="00FF5625" w:rsidRDefault="00E734B9" w:rsidP="00EB106D">
            <w:pPr>
              <w:keepNext/>
              <w:spacing w:after="0"/>
              <w:jc w:val="center"/>
              <w:rPr>
                <w:rFonts w:ascii="EC Square Sans Cond Pro" w:hAnsi="EC Square Sans Cond Pro" w:cs="Calibri"/>
                <w:noProof/>
                <w:color w:val="000000"/>
                <w:sz w:val="18"/>
                <w:szCs w:val="18"/>
              </w:rPr>
            </w:pPr>
            <w:r w:rsidRPr="00FF5625">
              <w:rPr>
                <w:rFonts w:ascii="EC Square Sans Cond Pro" w:hAnsi="EC Square Sans Cond Pro" w:cs="Calibri"/>
                <w:noProof/>
                <w:color w:val="000000"/>
                <w:sz w:val="18"/>
                <w:szCs w:val="18"/>
              </w:rPr>
              <w:t>0</w:t>
            </w:r>
          </w:p>
        </w:tc>
        <w:tc>
          <w:tcPr>
            <w:tcW w:w="903" w:type="dxa"/>
            <w:vAlign w:val="center"/>
          </w:tcPr>
          <w:p w14:paraId="6B3F10D6" w14:textId="0FED760A" w:rsidR="00296A21" w:rsidRPr="00FF5625" w:rsidRDefault="00E734B9" w:rsidP="00EB106D">
            <w:pPr>
              <w:keepNext/>
              <w:spacing w:after="0"/>
              <w:jc w:val="center"/>
              <w:rPr>
                <w:rFonts w:ascii="EC Square Sans Cond Pro" w:hAnsi="EC Square Sans Cond Pro" w:cs="Calibri"/>
                <w:noProof/>
                <w:color w:val="000000"/>
                <w:sz w:val="18"/>
                <w:szCs w:val="18"/>
              </w:rPr>
            </w:pPr>
            <w:r w:rsidRPr="00FF5625">
              <w:rPr>
                <w:rFonts w:ascii="EC Square Sans Cond Pro" w:hAnsi="EC Square Sans Cond Pro" w:cs="Calibri"/>
                <w:noProof/>
                <w:color w:val="000000"/>
                <w:sz w:val="18"/>
                <w:szCs w:val="18"/>
              </w:rPr>
              <w:t>1</w:t>
            </w:r>
            <w:r w:rsidR="00F637C3" w:rsidRPr="00FF5625">
              <w:rPr>
                <w:rFonts w:ascii="EC Square Sans Cond Pro" w:hAnsi="EC Square Sans Cond Pro" w:cs="Calibri"/>
                <w:noProof/>
                <w:color w:val="000000"/>
                <w:sz w:val="18"/>
                <w:szCs w:val="18"/>
              </w:rPr>
              <w:t>4</w:t>
            </w:r>
          </w:p>
        </w:tc>
        <w:tc>
          <w:tcPr>
            <w:tcW w:w="902" w:type="dxa"/>
            <w:vAlign w:val="center"/>
          </w:tcPr>
          <w:p w14:paraId="6D75D67A" w14:textId="597B059D" w:rsidR="00296A21" w:rsidRPr="00FF5625" w:rsidRDefault="00E734B9" w:rsidP="00EB106D">
            <w:pPr>
              <w:keepNext/>
              <w:spacing w:after="0"/>
              <w:jc w:val="center"/>
              <w:rPr>
                <w:rFonts w:ascii="EC Square Sans Cond Pro" w:hAnsi="EC Square Sans Cond Pro" w:cs="Calibri"/>
                <w:noProof/>
                <w:color w:val="000000"/>
                <w:sz w:val="18"/>
                <w:szCs w:val="18"/>
              </w:rPr>
            </w:pPr>
            <w:r w:rsidRPr="00FF5625">
              <w:rPr>
                <w:rFonts w:ascii="EC Square Sans Cond Pro" w:hAnsi="EC Square Sans Cond Pro" w:cs="Calibri"/>
                <w:noProof/>
                <w:color w:val="000000"/>
                <w:sz w:val="18"/>
                <w:szCs w:val="18"/>
              </w:rPr>
              <w:t>2</w:t>
            </w:r>
            <w:r w:rsidR="00F637C3" w:rsidRPr="00FF5625">
              <w:rPr>
                <w:rFonts w:ascii="EC Square Sans Cond Pro" w:hAnsi="EC Square Sans Cond Pro" w:cs="Calibri"/>
                <w:noProof/>
                <w:color w:val="000000"/>
                <w:sz w:val="18"/>
                <w:szCs w:val="18"/>
              </w:rPr>
              <w:t>5</w:t>
            </w:r>
          </w:p>
        </w:tc>
        <w:tc>
          <w:tcPr>
            <w:tcW w:w="902" w:type="dxa"/>
            <w:vAlign w:val="center"/>
          </w:tcPr>
          <w:p w14:paraId="5CB20685" w14:textId="5C7AD051" w:rsidR="00296A21" w:rsidRPr="00FF5625" w:rsidRDefault="00F637C3" w:rsidP="00EB106D">
            <w:pPr>
              <w:keepNext/>
              <w:spacing w:after="0"/>
              <w:jc w:val="center"/>
              <w:rPr>
                <w:rFonts w:ascii="EC Square Sans Cond Pro" w:hAnsi="EC Square Sans Cond Pro" w:cs="Calibri"/>
                <w:noProof/>
                <w:color w:val="000000"/>
                <w:sz w:val="18"/>
                <w:szCs w:val="18"/>
              </w:rPr>
            </w:pPr>
            <w:r w:rsidRPr="00FF5625">
              <w:rPr>
                <w:rFonts w:ascii="EC Square Sans Cond Pro" w:hAnsi="EC Square Sans Cond Pro" w:cs="Calibri"/>
                <w:noProof/>
                <w:color w:val="000000"/>
                <w:sz w:val="18"/>
                <w:szCs w:val="18"/>
              </w:rPr>
              <w:t>42</w:t>
            </w:r>
          </w:p>
        </w:tc>
        <w:tc>
          <w:tcPr>
            <w:tcW w:w="903" w:type="dxa"/>
            <w:vAlign w:val="center"/>
          </w:tcPr>
          <w:p w14:paraId="34B1146D" w14:textId="632F368A" w:rsidR="00296A21" w:rsidRPr="00FF5625" w:rsidRDefault="00F637C3" w:rsidP="00EB106D">
            <w:pPr>
              <w:keepNext/>
              <w:spacing w:after="0"/>
              <w:jc w:val="center"/>
              <w:rPr>
                <w:rFonts w:ascii="EC Square Sans Cond Pro" w:hAnsi="EC Square Sans Cond Pro" w:cs="Calibri"/>
                <w:noProof/>
                <w:color w:val="000000"/>
                <w:sz w:val="18"/>
                <w:szCs w:val="18"/>
              </w:rPr>
            </w:pPr>
            <w:r w:rsidRPr="00FF5625">
              <w:rPr>
                <w:rFonts w:ascii="EC Square Sans Cond Pro" w:hAnsi="EC Square Sans Cond Pro" w:cs="Calibri"/>
                <w:noProof/>
                <w:color w:val="000000"/>
                <w:sz w:val="18"/>
                <w:szCs w:val="18"/>
              </w:rPr>
              <w:t>44</w:t>
            </w:r>
          </w:p>
        </w:tc>
      </w:tr>
      <w:tr w:rsidR="00C94F82" w:rsidRPr="00FF5625" w14:paraId="4F2BE02F" w14:textId="77777777" w:rsidTr="00BA009A">
        <w:trPr>
          <w:trHeight w:val="320"/>
        </w:trPr>
        <w:tc>
          <w:tcPr>
            <w:tcW w:w="2518" w:type="dxa"/>
            <w:noWrap/>
            <w:vAlign w:val="center"/>
          </w:tcPr>
          <w:p w14:paraId="44CE7D5E" w14:textId="3930AD08" w:rsidR="00C94F82" w:rsidRPr="00FF5625" w:rsidRDefault="00C94F82" w:rsidP="00EB106D">
            <w:pPr>
              <w:keepNext/>
              <w:spacing w:after="0"/>
              <w:jc w:val="left"/>
              <w:rPr>
                <w:rFonts w:ascii="EC Square Sans Cond Pro" w:hAnsi="EC Square Sans Cond Pro" w:cs="Avenir Next LT Pro"/>
                <w:noProof/>
                <w:sz w:val="18"/>
                <w:szCs w:val="18"/>
                <w:lang w:val="en-IE"/>
              </w:rPr>
            </w:pPr>
            <w:r w:rsidRPr="00FF5625">
              <w:rPr>
                <w:rFonts w:ascii="EC Square Sans Cond Pro" w:hAnsi="EC Square Sans Cond Pro" w:cs="Avenir Next LT Pro"/>
                <w:noProof/>
                <w:sz w:val="18"/>
                <w:szCs w:val="18"/>
                <w:lang w:val="en-IE"/>
              </w:rPr>
              <w:t>Total</w:t>
            </w:r>
          </w:p>
        </w:tc>
        <w:tc>
          <w:tcPr>
            <w:tcW w:w="902" w:type="dxa"/>
            <w:noWrap/>
            <w:vAlign w:val="center"/>
          </w:tcPr>
          <w:p w14:paraId="40AC5CCF" w14:textId="54FA0E2F"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0</w:t>
            </w:r>
          </w:p>
        </w:tc>
        <w:tc>
          <w:tcPr>
            <w:tcW w:w="902" w:type="dxa"/>
            <w:noWrap/>
            <w:vAlign w:val="center"/>
          </w:tcPr>
          <w:p w14:paraId="2F714CFD" w14:textId="235FD300"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22</w:t>
            </w:r>
          </w:p>
        </w:tc>
        <w:tc>
          <w:tcPr>
            <w:tcW w:w="902" w:type="dxa"/>
            <w:noWrap/>
            <w:vAlign w:val="center"/>
          </w:tcPr>
          <w:p w14:paraId="28A34CF2" w14:textId="38F3CA0F"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2</w:t>
            </w:r>
            <w:r w:rsidR="00E734B9" w:rsidRPr="00FF5625">
              <w:rPr>
                <w:rFonts w:ascii="EC Square Sans Cond Pro" w:hAnsi="EC Square Sans Cond Pro" w:cs="Calibri"/>
                <w:noProof/>
                <w:color w:val="000000"/>
                <w:sz w:val="18"/>
                <w:szCs w:val="18"/>
              </w:rPr>
              <w:t>3</w:t>
            </w:r>
          </w:p>
        </w:tc>
        <w:tc>
          <w:tcPr>
            <w:tcW w:w="903" w:type="dxa"/>
            <w:vAlign w:val="center"/>
          </w:tcPr>
          <w:p w14:paraId="1BCB9AE3" w14:textId="162324B8"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50</w:t>
            </w:r>
          </w:p>
        </w:tc>
        <w:tc>
          <w:tcPr>
            <w:tcW w:w="902" w:type="dxa"/>
            <w:vAlign w:val="center"/>
          </w:tcPr>
          <w:p w14:paraId="6D01A811" w14:textId="791608A8"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6</w:t>
            </w:r>
            <w:r w:rsidR="00F637C3" w:rsidRPr="00FF5625">
              <w:rPr>
                <w:rFonts w:ascii="EC Square Sans Cond Pro" w:hAnsi="EC Square Sans Cond Pro" w:cs="Calibri"/>
                <w:noProof/>
                <w:color w:val="000000"/>
                <w:sz w:val="18"/>
                <w:szCs w:val="18"/>
              </w:rPr>
              <w:t>2</w:t>
            </w:r>
          </w:p>
        </w:tc>
        <w:tc>
          <w:tcPr>
            <w:tcW w:w="902" w:type="dxa"/>
            <w:vAlign w:val="center"/>
          </w:tcPr>
          <w:p w14:paraId="73997774" w14:textId="27CC987E"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8</w:t>
            </w:r>
            <w:r w:rsidR="00F637C3" w:rsidRPr="00FF5625">
              <w:rPr>
                <w:rFonts w:ascii="EC Square Sans Cond Pro" w:hAnsi="EC Square Sans Cond Pro" w:cs="Calibri"/>
                <w:noProof/>
                <w:color w:val="000000"/>
                <w:sz w:val="18"/>
                <w:szCs w:val="18"/>
              </w:rPr>
              <w:t>1</w:t>
            </w:r>
          </w:p>
        </w:tc>
        <w:tc>
          <w:tcPr>
            <w:tcW w:w="903" w:type="dxa"/>
            <w:vAlign w:val="center"/>
          </w:tcPr>
          <w:p w14:paraId="618890E7" w14:textId="3E680FD5"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8</w:t>
            </w:r>
            <w:r w:rsidR="00F637C3" w:rsidRPr="00FF5625">
              <w:rPr>
                <w:rFonts w:ascii="EC Square Sans Cond Pro" w:hAnsi="EC Square Sans Cond Pro" w:cs="Calibri"/>
                <w:noProof/>
                <w:color w:val="000000"/>
                <w:sz w:val="18"/>
                <w:szCs w:val="18"/>
              </w:rPr>
              <w:t>3</w:t>
            </w:r>
          </w:p>
        </w:tc>
      </w:tr>
      <w:tr w:rsidR="00C94F82" w:rsidRPr="00FF5625" w14:paraId="062BD47F" w14:textId="77777777" w:rsidTr="00BA009A">
        <w:trPr>
          <w:trHeight w:val="300"/>
        </w:trPr>
        <w:tc>
          <w:tcPr>
            <w:tcW w:w="2518" w:type="dxa"/>
            <w:noWrap/>
          </w:tcPr>
          <w:p w14:paraId="614444FD" w14:textId="77777777" w:rsidR="00C94F82" w:rsidRPr="00FF5625" w:rsidRDefault="00C94F82" w:rsidP="00EB106D">
            <w:pPr>
              <w:keepNext/>
              <w:spacing w:after="0"/>
              <w:jc w:val="left"/>
              <w:rPr>
                <w:rFonts w:ascii="EC Square Sans Cond Pro" w:hAnsi="EC Square Sans Cond Pro" w:cs="Avenir Next LT Pro"/>
                <w:b/>
                <w:noProof/>
                <w:sz w:val="18"/>
                <w:szCs w:val="18"/>
                <w:lang w:val="en-IE"/>
              </w:rPr>
            </w:pPr>
            <w:r w:rsidRPr="00FF5625">
              <w:rPr>
                <w:rFonts w:ascii="EC Square Sans Cond Pro" w:hAnsi="EC Square Sans Cond Pro" w:cs="Avenir Next LT Pro"/>
                <w:b/>
                <w:noProof/>
                <w:sz w:val="18"/>
                <w:szCs w:val="18"/>
                <w:lang w:val="en-IE"/>
              </w:rPr>
              <w:t>Share of maximum mitigation potential achieved in 2040 (%)</w:t>
            </w:r>
          </w:p>
        </w:tc>
        <w:tc>
          <w:tcPr>
            <w:tcW w:w="6316" w:type="dxa"/>
            <w:gridSpan w:val="7"/>
            <w:noWrap/>
            <w:vAlign w:val="center"/>
          </w:tcPr>
          <w:p w14:paraId="1317768E" w14:textId="77777777" w:rsidR="00C94F82" w:rsidRPr="00FF5625" w:rsidRDefault="00C94F82" w:rsidP="00EB106D">
            <w:pPr>
              <w:keepNext/>
              <w:spacing w:after="0"/>
              <w:jc w:val="center"/>
              <w:rPr>
                <w:rFonts w:ascii="EC Square Sans Cond Pro" w:hAnsi="EC Square Sans Cond Pro" w:cs="Avenir Next LT Pro"/>
                <w:noProof/>
                <w:sz w:val="18"/>
                <w:szCs w:val="18"/>
                <w:lang w:val="en-IE"/>
              </w:rPr>
            </w:pPr>
          </w:p>
        </w:tc>
      </w:tr>
      <w:tr w:rsidR="00C94F82" w:rsidRPr="00FF5625" w14:paraId="5EB9187D" w14:textId="77777777" w:rsidTr="00BA009A">
        <w:trPr>
          <w:trHeight w:val="300"/>
        </w:trPr>
        <w:tc>
          <w:tcPr>
            <w:tcW w:w="2518" w:type="dxa"/>
            <w:noWrap/>
            <w:vAlign w:val="center"/>
          </w:tcPr>
          <w:p w14:paraId="5A83B45F" w14:textId="15494D58" w:rsidR="00C94F82" w:rsidRPr="00FF5625" w:rsidRDefault="00296A21" w:rsidP="00EB106D">
            <w:pPr>
              <w:keepNext/>
              <w:spacing w:after="0"/>
              <w:jc w:val="left"/>
              <w:rPr>
                <w:rFonts w:ascii="EC Square Sans Cond Pro" w:hAnsi="EC Square Sans Cond Pro" w:cs="Avenir Next LT Pro"/>
                <w:noProof/>
                <w:sz w:val="18"/>
                <w:szCs w:val="18"/>
                <w:lang w:val="en-IE"/>
              </w:rPr>
            </w:pPr>
            <w:r w:rsidRPr="00FF5625">
              <w:rPr>
                <w:rFonts w:ascii="EC Square Sans Cond Pro" w:hAnsi="EC Square Sans Cond Pro" w:cs="Avenir Next LT Pro"/>
                <w:noProof/>
                <w:sz w:val="18"/>
                <w:szCs w:val="18"/>
                <w:lang w:val="en-IE"/>
              </w:rPr>
              <w:t>CH4 (</w:t>
            </w:r>
            <w:r w:rsidR="00C94F82" w:rsidRPr="00FF5625" w:rsidDel="00296A21">
              <w:rPr>
                <w:rFonts w:ascii="EC Square Sans Cond Pro" w:hAnsi="EC Square Sans Cond Pro" w:cs="Avenir Next LT Pro"/>
                <w:noProof/>
                <w:sz w:val="18"/>
                <w:szCs w:val="18"/>
                <w:lang w:val="en-IE"/>
              </w:rPr>
              <w:t>Livestock</w:t>
            </w:r>
            <w:r w:rsidRPr="00FF5625">
              <w:rPr>
                <w:rFonts w:ascii="EC Square Sans Cond Pro" w:hAnsi="EC Square Sans Cond Pro" w:cs="Avenir Next LT Pro"/>
                <w:noProof/>
                <w:sz w:val="18"/>
                <w:szCs w:val="18"/>
                <w:lang w:val="en-IE"/>
              </w:rPr>
              <w:t>)</w:t>
            </w:r>
          </w:p>
        </w:tc>
        <w:tc>
          <w:tcPr>
            <w:tcW w:w="902" w:type="dxa"/>
            <w:noWrap/>
            <w:vAlign w:val="center"/>
          </w:tcPr>
          <w:p w14:paraId="09AB8F1C" w14:textId="28EECB1D"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0%</w:t>
            </w:r>
          </w:p>
        </w:tc>
        <w:tc>
          <w:tcPr>
            <w:tcW w:w="902" w:type="dxa"/>
            <w:noWrap/>
            <w:vAlign w:val="center"/>
          </w:tcPr>
          <w:p w14:paraId="159DDC8C" w14:textId="411C8655" w:rsidR="00C94F82" w:rsidRPr="00FF5625" w:rsidRDefault="00C94F82" w:rsidP="00EB106D">
            <w:pPr>
              <w:keepNext/>
              <w:spacing w:after="0"/>
              <w:jc w:val="center"/>
              <w:rPr>
                <w:rFonts w:ascii="EC Square Sans Cond Pro" w:hAnsi="EC Square Sans Cond Pro" w:cs="Avenir Next LT Pro"/>
                <w:noProof/>
                <w:sz w:val="18"/>
                <w:szCs w:val="18"/>
              </w:rPr>
            </w:pPr>
            <w:r w:rsidRPr="00FF5625">
              <w:rPr>
                <w:rFonts w:ascii="EC Square Sans Cond Pro" w:hAnsi="EC Square Sans Cond Pro" w:cs="Calibri"/>
                <w:noProof/>
                <w:color w:val="000000"/>
                <w:sz w:val="18"/>
                <w:szCs w:val="18"/>
              </w:rPr>
              <w:t>57%</w:t>
            </w:r>
          </w:p>
        </w:tc>
        <w:tc>
          <w:tcPr>
            <w:tcW w:w="902" w:type="dxa"/>
            <w:noWrap/>
            <w:vAlign w:val="center"/>
          </w:tcPr>
          <w:p w14:paraId="6422A340" w14:textId="6A796EB1"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59%</w:t>
            </w:r>
          </w:p>
        </w:tc>
        <w:tc>
          <w:tcPr>
            <w:tcW w:w="903" w:type="dxa"/>
            <w:vAlign w:val="center"/>
          </w:tcPr>
          <w:p w14:paraId="1FDDB787" w14:textId="1A4154FA"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92%</w:t>
            </w:r>
          </w:p>
        </w:tc>
        <w:tc>
          <w:tcPr>
            <w:tcW w:w="902" w:type="dxa"/>
            <w:vAlign w:val="center"/>
          </w:tcPr>
          <w:p w14:paraId="17D67164" w14:textId="53F96013"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9</w:t>
            </w:r>
            <w:r w:rsidR="00E734B9" w:rsidRPr="00FF5625">
              <w:rPr>
                <w:rFonts w:ascii="EC Square Sans Cond Pro" w:hAnsi="EC Square Sans Cond Pro" w:cs="Calibri"/>
                <w:noProof/>
                <w:color w:val="000000"/>
                <w:sz w:val="18"/>
                <w:szCs w:val="18"/>
              </w:rPr>
              <w:t>7</w:t>
            </w:r>
            <w:r w:rsidRPr="00FF5625">
              <w:rPr>
                <w:rFonts w:ascii="EC Square Sans Cond Pro" w:hAnsi="EC Square Sans Cond Pro" w:cs="Calibri"/>
                <w:noProof/>
                <w:color w:val="000000"/>
                <w:sz w:val="18"/>
                <w:szCs w:val="18"/>
              </w:rPr>
              <w:t>%</w:t>
            </w:r>
          </w:p>
        </w:tc>
        <w:tc>
          <w:tcPr>
            <w:tcW w:w="902" w:type="dxa"/>
            <w:vAlign w:val="center"/>
          </w:tcPr>
          <w:p w14:paraId="18C8B769" w14:textId="2CAD0BC5" w:rsidR="00C94F82" w:rsidRPr="00FF5625" w:rsidRDefault="00E734B9"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100</w:t>
            </w:r>
            <w:r w:rsidR="00C94F82" w:rsidRPr="00FF5625">
              <w:rPr>
                <w:rFonts w:ascii="EC Square Sans Cond Pro" w:hAnsi="EC Square Sans Cond Pro" w:cs="Calibri"/>
                <w:noProof/>
                <w:color w:val="000000"/>
                <w:sz w:val="18"/>
                <w:szCs w:val="18"/>
              </w:rPr>
              <w:t>%</w:t>
            </w:r>
          </w:p>
        </w:tc>
        <w:tc>
          <w:tcPr>
            <w:tcW w:w="903" w:type="dxa"/>
            <w:vAlign w:val="center"/>
          </w:tcPr>
          <w:p w14:paraId="673105D1" w14:textId="70025337"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100%</w:t>
            </w:r>
          </w:p>
        </w:tc>
      </w:tr>
      <w:tr w:rsidR="00C94F82" w:rsidRPr="00FF5625" w14:paraId="5A78CA1E" w14:textId="77777777" w:rsidTr="00BA009A">
        <w:trPr>
          <w:trHeight w:val="300"/>
        </w:trPr>
        <w:tc>
          <w:tcPr>
            <w:tcW w:w="2518" w:type="dxa"/>
            <w:noWrap/>
            <w:vAlign w:val="center"/>
          </w:tcPr>
          <w:p w14:paraId="02E3DA3D" w14:textId="1310CDEA" w:rsidR="00C94F82" w:rsidRPr="00FF5625" w:rsidRDefault="00296A21" w:rsidP="00EB106D">
            <w:pPr>
              <w:keepNext/>
              <w:spacing w:after="0"/>
              <w:jc w:val="left"/>
              <w:rPr>
                <w:rFonts w:ascii="EC Square Sans Cond Pro" w:hAnsi="EC Square Sans Cond Pro" w:cs="Avenir Next LT Pro"/>
                <w:noProof/>
                <w:sz w:val="18"/>
                <w:szCs w:val="18"/>
                <w:lang w:val="en-IE"/>
              </w:rPr>
            </w:pPr>
            <w:r w:rsidRPr="00FF5625">
              <w:rPr>
                <w:rFonts w:ascii="EC Square Sans Cond Pro" w:hAnsi="EC Square Sans Cond Pro" w:cs="Avenir Next LT Pro"/>
                <w:noProof/>
                <w:sz w:val="18"/>
                <w:szCs w:val="18"/>
                <w:lang w:val="en-IE"/>
              </w:rPr>
              <w:t>CH4 (</w:t>
            </w:r>
            <w:r w:rsidR="00C94F82" w:rsidRPr="00FF5625" w:rsidDel="00296A21">
              <w:rPr>
                <w:rFonts w:ascii="EC Square Sans Cond Pro" w:hAnsi="EC Square Sans Cond Pro" w:cs="Avenir Next LT Pro"/>
                <w:noProof/>
                <w:sz w:val="18"/>
                <w:szCs w:val="18"/>
                <w:lang w:val="en-IE"/>
              </w:rPr>
              <w:t>Rice cultivation and other</w:t>
            </w:r>
            <w:r w:rsidRPr="00FF5625">
              <w:rPr>
                <w:rFonts w:ascii="EC Square Sans Cond Pro" w:hAnsi="EC Square Sans Cond Pro" w:cs="Avenir Next LT Pro"/>
                <w:noProof/>
                <w:sz w:val="18"/>
                <w:szCs w:val="18"/>
                <w:lang w:val="en-IE"/>
              </w:rPr>
              <w:t>)</w:t>
            </w:r>
          </w:p>
        </w:tc>
        <w:tc>
          <w:tcPr>
            <w:tcW w:w="902" w:type="dxa"/>
            <w:noWrap/>
            <w:vAlign w:val="center"/>
          </w:tcPr>
          <w:p w14:paraId="7A38152C" w14:textId="61EF03DF"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0%</w:t>
            </w:r>
          </w:p>
        </w:tc>
        <w:tc>
          <w:tcPr>
            <w:tcW w:w="902" w:type="dxa"/>
            <w:noWrap/>
            <w:vAlign w:val="center"/>
          </w:tcPr>
          <w:p w14:paraId="54912FF9" w14:textId="53F02D17" w:rsidR="00C94F82" w:rsidRPr="00FF5625" w:rsidRDefault="00C94F82" w:rsidP="00EB106D">
            <w:pPr>
              <w:keepNext/>
              <w:spacing w:after="0"/>
              <w:jc w:val="center"/>
              <w:rPr>
                <w:rFonts w:ascii="EC Square Sans Cond Pro" w:hAnsi="EC Square Sans Cond Pro" w:cs="Avenir Next LT Pro"/>
                <w:noProof/>
                <w:sz w:val="18"/>
                <w:szCs w:val="18"/>
              </w:rPr>
            </w:pPr>
            <w:r w:rsidRPr="00FF5625">
              <w:rPr>
                <w:rFonts w:ascii="EC Square Sans Cond Pro" w:hAnsi="EC Square Sans Cond Pro" w:cs="Calibri"/>
                <w:noProof/>
                <w:color w:val="000000"/>
                <w:sz w:val="18"/>
                <w:szCs w:val="18"/>
              </w:rPr>
              <w:t>50%</w:t>
            </w:r>
          </w:p>
        </w:tc>
        <w:tc>
          <w:tcPr>
            <w:tcW w:w="902" w:type="dxa"/>
            <w:noWrap/>
            <w:vAlign w:val="center"/>
          </w:tcPr>
          <w:p w14:paraId="60EA3F18" w14:textId="0F4594B4"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50%</w:t>
            </w:r>
          </w:p>
        </w:tc>
        <w:tc>
          <w:tcPr>
            <w:tcW w:w="903" w:type="dxa"/>
            <w:vAlign w:val="center"/>
          </w:tcPr>
          <w:p w14:paraId="15835B2E" w14:textId="27DCF981"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9</w:t>
            </w:r>
            <w:r w:rsidR="00E734B9" w:rsidRPr="00FF5625">
              <w:rPr>
                <w:rFonts w:ascii="EC Square Sans Cond Pro" w:hAnsi="EC Square Sans Cond Pro" w:cs="Calibri"/>
                <w:noProof/>
                <w:color w:val="000000"/>
                <w:sz w:val="18"/>
                <w:szCs w:val="18"/>
              </w:rPr>
              <w:t>4</w:t>
            </w:r>
            <w:r w:rsidRPr="00FF5625">
              <w:rPr>
                <w:rFonts w:ascii="EC Square Sans Cond Pro" w:hAnsi="EC Square Sans Cond Pro" w:cs="Calibri"/>
                <w:noProof/>
                <w:color w:val="000000"/>
                <w:sz w:val="18"/>
                <w:szCs w:val="18"/>
              </w:rPr>
              <w:t>%</w:t>
            </w:r>
          </w:p>
        </w:tc>
        <w:tc>
          <w:tcPr>
            <w:tcW w:w="902" w:type="dxa"/>
            <w:vAlign w:val="center"/>
          </w:tcPr>
          <w:p w14:paraId="6B4DB6EB" w14:textId="6FD35B5C"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9</w:t>
            </w:r>
            <w:r w:rsidR="00E734B9" w:rsidRPr="00FF5625">
              <w:rPr>
                <w:rFonts w:ascii="EC Square Sans Cond Pro" w:hAnsi="EC Square Sans Cond Pro" w:cs="Calibri"/>
                <w:noProof/>
                <w:color w:val="000000"/>
                <w:sz w:val="18"/>
                <w:szCs w:val="18"/>
              </w:rPr>
              <w:t>4</w:t>
            </w:r>
            <w:r w:rsidRPr="00FF5625">
              <w:rPr>
                <w:rFonts w:ascii="EC Square Sans Cond Pro" w:hAnsi="EC Square Sans Cond Pro" w:cs="Calibri"/>
                <w:noProof/>
                <w:color w:val="000000"/>
                <w:sz w:val="18"/>
                <w:szCs w:val="18"/>
              </w:rPr>
              <w:t>%</w:t>
            </w:r>
          </w:p>
        </w:tc>
        <w:tc>
          <w:tcPr>
            <w:tcW w:w="902" w:type="dxa"/>
            <w:vAlign w:val="center"/>
          </w:tcPr>
          <w:p w14:paraId="1F6F52F4" w14:textId="4CBFF727"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100%</w:t>
            </w:r>
          </w:p>
        </w:tc>
        <w:tc>
          <w:tcPr>
            <w:tcW w:w="903" w:type="dxa"/>
            <w:vAlign w:val="center"/>
          </w:tcPr>
          <w:p w14:paraId="0CCE1E9B" w14:textId="2B4B1997"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100%</w:t>
            </w:r>
          </w:p>
        </w:tc>
      </w:tr>
      <w:tr w:rsidR="00296A21" w:rsidRPr="00FF5625" w14:paraId="2E9E03D9" w14:textId="77777777" w:rsidTr="00BA009A">
        <w:trPr>
          <w:trHeight w:val="300"/>
        </w:trPr>
        <w:tc>
          <w:tcPr>
            <w:tcW w:w="2518" w:type="dxa"/>
            <w:noWrap/>
            <w:vAlign w:val="center"/>
          </w:tcPr>
          <w:p w14:paraId="51470226" w14:textId="691521EF" w:rsidR="00296A21" w:rsidRPr="00FF5625" w:rsidRDefault="00296A21" w:rsidP="00144F1F">
            <w:pPr>
              <w:keepNext/>
              <w:spacing w:after="0"/>
              <w:jc w:val="left"/>
              <w:rPr>
                <w:rFonts w:ascii="EC Square Sans Cond Pro" w:hAnsi="EC Square Sans Cond Pro" w:cs="Avenir Next LT Pro"/>
                <w:noProof/>
                <w:sz w:val="18"/>
                <w:szCs w:val="18"/>
                <w:lang w:val="en-IE"/>
              </w:rPr>
            </w:pPr>
            <w:r w:rsidRPr="00FF5625">
              <w:rPr>
                <w:rFonts w:ascii="EC Square Sans Cond Pro" w:hAnsi="EC Square Sans Cond Pro" w:cs="Avenir Next LT Pro"/>
                <w:noProof/>
                <w:sz w:val="18"/>
                <w:szCs w:val="18"/>
                <w:lang w:val="en-IE"/>
              </w:rPr>
              <w:t>N2O (</w:t>
            </w:r>
            <w:r w:rsidRPr="00FF5625" w:rsidDel="00296A21">
              <w:rPr>
                <w:rFonts w:ascii="EC Square Sans Cond Pro" w:hAnsi="EC Square Sans Cond Pro" w:cs="Avenir Next LT Pro"/>
                <w:noProof/>
                <w:sz w:val="18"/>
                <w:szCs w:val="18"/>
                <w:lang w:val="en-IE"/>
              </w:rPr>
              <w:t>Agricultural soils</w:t>
            </w:r>
            <w:r w:rsidRPr="00FF5625">
              <w:rPr>
                <w:rFonts w:ascii="EC Square Sans Cond Pro" w:hAnsi="EC Square Sans Cond Pro" w:cs="Avenir Next LT Pro"/>
                <w:noProof/>
                <w:sz w:val="18"/>
                <w:szCs w:val="18"/>
                <w:lang w:val="en-IE"/>
              </w:rPr>
              <w:t>)</w:t>
            </w:r>
          </w:p>
        </w:tc>
        <w:tc>
          <w:tcPr>
            <w:tcW w:w="902" w:type="dxa"/>
            <w:noWrap/>
            <w:vAlign w:val="center"/>
          </w:tcPr>
          <w:p w14:paraId="2C2A4040" w14:textId="75414ED3" w:rsidR="00296A21" w:rsidRPr="00FF5625" w:rsidRDefault="00296A21" w:rsidP="00144F1F">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0%</w:t>
            </w:r>
          </w:p>
        </w:tc>
        <w:tc>
          <w:tcPr>
            <w:tcW w:w="902" w:type="dxa"/>
            <w:noWrap/>
            <w:vAlign w:val="center"/>
          </w:tcPr>
          <w:p w14:paraId="6BEFA5EC" w14:textId="593A32AB" w:rsidR="00296A21" w:rsidRPr="00FF5625" w:rsidRDefault="00296A21" w:rsidP="00144F1F">
            <w:pPr>
              <w:keepNext/>
              <w:spacing w:after="0"/>
              <w:jc w:val="center"/>
              <w:rPr>
                <w:rFonts w:ascii="EC Square Sans Cond Pro" w:hAnsi="EC Square Sans Cond Pro" w:cs="Avenir Next LT Pro"/>
                <w:noProof/>
                <w:sz w:val="18"/>
                <w:szCs w:val="18"/>
              </w:rPr>
            </w:pPr>
            <w:r w:rsidRPr="00FF5625">
              <w:rPr>
                <w:rFonts w:ascii="EC Square Sans Cond Pro" w:hAnsi="EC Square Sans Cond Pro" w:cs="Calibri"/>
                <w:noProof/>
                <w:color w:val="000000"/>
                <w:sz w:val="18"/>
                <w:szCs w:val="18"/>
              </w:rPr>
              <w:t>0%</w:t>
            </w:r>
          </w:p>
        </w:tc>
        <w:tc>
          <w:tcPr>
            <w:tcW w:w="902" w:type="dxa"/>
            <w:noWrap/>
            <w:vAlign w:val="center"/>
          </w:tcPr>
          <w:p w14:paraId="63BD444C" w14:textId="3D36347F" w:rsidR="00296A21" w:rsidRPr="00FF5625" w:rsidRDefault="00296A21" w:rsidP="00144F1F">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0%</w:t>
            </w:r>
          </w:p>
        </w:tc>
        <w:tc>
          <w:tcPr>
            <w:tcW w:w="903" w:type="dxa"/>
            <w:vAlign w:val="center"/>
          </w:tcPr>
          <w:p w14:paraId="6EF1F14C" w14:textId="39857458" w:rsidR="00296A21" w:rsidRPr="00FF5625" w:rsidRDefault="00296A21" w:rsidP="00144F1F">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3</w:t>
            </w:r>
            <w:r w:rsidR="00F637C3" w:rsidRPr="00FF5625">
              <w:rPr>
                <w:rFonts w:ascii="EC Square Sans Cond Pro" w:hAnsi="EC Square Sans Cond Pro" w:cs="Calibri"/>
                <w:noProof/>
                <w:color w:val="000000"/>
                <w:sz w:val="18"/>
                <w:szCs w:val="18"/>
              </w:rPr>
              <w:t>2</w:t>
            </w:r>
            <w:r w:rsidRPr="00FF5625">
              <w:rPr>
                <w:rFonts w:ascii="EC Square Sans Cond Pro" w:hAnsi="EC Square Sans Cond Pro" w:cs="Calibri"/>
                <w:noProof/>
                <w:color w:val="000000"/>
                <w:sz w:val="18"/>
                <w:szCs w:val="18"/>
              </w:rPr>
              <w:t>%</w:t>
            </w:r>
          </w:p>
        </w:tc>
        <w:tc>
          <w:tcPr>
            <w:tcW w:w="902" w:type="dxa"/>
            <w:vAlign w:val="center"/>
          </w:tcPr>
          <w:p w14:paraId="52C2DAB5" w14:textId="4ECF439F" w:rsidR="00296A21" w:rsidRPr="00FF5625" w:rsidRDefault="00296A21" w:rsidP="00144F1F">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5</w:t>
            </w:r>
            <w:r w:rsidR="00F637C3" w:rsidRPr="00FF5625">
              <w:rPr>
                <w:rFonts w:ascii="EC Square Sans Cond Pro" w:hAnsi="EC Square Sans Cond Pro" w:cs="Calibri"/>
                <w:noProof/>
                <w:color w:val="000000"/>
                <w:sz w:val="18"/>
                <w:szCs w:val="18"/>
              </w:rPr>
              <w:t>7</w:t>
            </w:r>
            <w:r w:rsidRPr="00FF5625">
              <w:rPr>
                <w:rFonts w:ascii="EC Square Sans Cond Pro" w:hAnsi="EC Square Sans Cond Pro" w:cs="Calibri"/>
                <w:noProof/>
                <w:color w:val="000000"/>
                <w:sz w:val="18"/>
                <w:szCs w:val="18"/>
              </w:rPr>
              <w:t>%</w:t>
            </w:r>
          </w:p>
        </w:tc>
        <w:tc>
          <w:tcPr>
            <w:tcW w:w="902" w:type="dxa"/>
            <w:vAlign w:val="center"/>
          </w:tcPr>
          <w:p w14:paraId="184D3363" w14:textId="7C99D46C" w:rsidR="00296A21" w:rsidRPr="00FF5625" w:rsidRDefault="00296A21" w:rsidP="00144F1F">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95%</w:t>
            </w:r>
          </w:p>
        </w:tc>
        <w:tc>
          <w:tcPr>
            <w:tcW w:w="903" w:type="dxa"/>
            <w:vAlign w:val="center"/>
          </w:tcPr>
          <w:p w14:paraId="64B92A70" w14:textId="4E25B8C8" w:rsidR="00296A21" w:rsidRPr="00FF5625" w:rsidRDefault="00296A21" w:rsidP="00144F1F">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100%</w:t>
            </w:r>
          </w:p>
        </w:tc>
      </w:tr>
      <w:tr w:rsidR="00C94F82" w:rsidRPr="00FF5625" w14:paraId="077CEFCF" w14:textId="77777777" w:rsidTr="00BA009A">
        <w:trPr>
          <w:trHeight w:val="300"/>
        </w:trPr>
        <w:tc>
          <w:tcPr>
            <w:tcW w:w="2518" w:type="dxa"/>
            <w:noWrap/>
            <w:vAlign w:val="center"/>
          </w:tcPr>
          <w:p w14:paraId="66EEC85F" w14:textId="3AEAF915" w:rsidR="00C94F82" w:rsidRPr="00FF5625" w:rsidRDefault="00C94F82" w:rsidP="00EB106D">
            <w:pPr>
              <w:keepNext/>
              <w:spacing w:after="0"/>
              <w:jc w:val="left"/>
              <w:rPr>
                <w:rFonts w:ascii="EC Square Sans Cond Pro" w:hAnsi="EC Square Sans Cond Pro" w:cs="Avenir Next LT Pro"/>
                <w:noProof/>
                <w:sz w:val="18"/>
                <w:szCs w:val="18"/>
                <w:lang w:val="en-IE"/>
              </w:rPr>
            </w:pPr>
            <w:r w:rsidRPr="00FF5625">
              <w:rPr>
                <w:rFonts w:ascii="EC Square Sans Cond Pro" w:hAnsi="EC Square Sans Cond Pro" w:cs="Avenir Next LT Pro"/>
                <w:noProof/>
                <w:sz w:val="18"/>
                <w:szCs w:val="18"/>
                <w:lang w:val="en-IE"/>
              </w:rPr>
              <w:t>Total</w:t>
            </w:r>
          </w:p>
        </w:tc>
        <w:tc>
          <w:tcPr>
            <w:tcW w:w="902" w:type="dxa"/>
            <w:noWrap/>
            <w:vAlign w:val="center"/>
          </w:tcPr>
          <w:p w14:paraId="7189DECB" w14:textId="0E9736A4"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0%</w:t>
            </w:r>
          </w:p>
        </w:tc>
        <w:tc>
          <w:tcPr>
            <w:tcW w:w="902" w:type="dxa"/>
            <w:noWrap/>
            <w:vAlign w:val="center"/>
          </w:tcPr>
          <w:p w14:paraId="5134FC5E" w14:textId="41C9FB2C" w:rsidR="00C94F82" w:rsidRPr="00FF5625" w:rsidRDefault="00C94F82" w:rsidP="00EB106D">
            <w:pPr>
              <w:keepNext/>
              <w:spacing w:after="0"/>
              <w:jc w:val="center"/>
              <w:rPr>
                <w:rFonts w:ascii="EC Square Sans Cond Pro" w:hAnsi="EC Square Sans Cond Pro" w:cs="Avenir Next LT Pro"/>
                <w:noProof/>
                <w:sz w:val="18"/>
                <w:szCs w:val="18"/>
              </w:rPr>
            </w:pPr>
            <w:r w:rsidRPr="00FF5625">
              <w:rPr>
                <w:rFonts w:ascii="EC Square Sans Cond Pro" w:hAnsi="EC Square Sans Cond Pro" w:cs="Calibri"/>
                <w:noProof/>
                <w:color w:val="000000"/>
                <w:sz w:val="18"/>
                <w:szCs w:val="18"/>
              </w:rPr>
              <w:t>2</w:t>
            </w:r>
            <w:r w:rsidR="00F637C3" w:rsidRPr="00FF5625">
              <w:rPr>
                <w:rFonts w:ascii="EC Square Sans Cond Pro" w:hAnsi="EC Square Sans Cond Pro" w:cs="Calibri"/>
                <w:noProof/>
                <w:color w:val="000000"/>
                <w:sz w:val="18"/>
                <w:szCs w:val="18"/>
              </w:rPr>
              <w:t>7</w:t>
            </w:r>
            <w:r w:rsidRPr="00FF5625">
              <w:rPr>
                <w:rFonts w:ascii="EC Square Sans Cond Pro" w:hAnsi="EC Square Sans Cond Pro" w:cs="Calibri"/>
                <w:noProof/>
                <w:color w:val="000000"/>
                <w:sz w:val="18"/>
                <w:szCs w:val="18"/>
              </w:rPr>
              <w:t>%</w:t>
            </w:r>
          </w:p>
        </w:tc>
        <w:tc>
          <w:tcPr>
            <w:tcW w:w="902" w:type="dxa"/>
            <w:noWrap/>
            <w:vAlign w:val="center"/>
          </w:tcPr>
          <w:p w14:paraId="78C28E44" w14:textId="48C1D105"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2</w:t>
            </w:r>
            <w:r w:rsidR="00F637C3" w:rsidRPr="00FF5625">
              <w:rPr>
                <w:rFonts w:ascii="EC Square Sans Cond Pro" w:hAnsi="EC Square Sans Cond Pro" w:cs="Calibri"/>
                <w:noProof/>
                <w:color w:val="000000"/>
                <w:sz w:val="18"/>
                <w:szCs w:val="18"/>
              </w:rPr>
              <w:t>7</w:t>
            </w:r>
            <w:r w:rsidRPr="00FF5625">
              <w:rPr>
                <w:rFonts w:ascii="EC Square Sans Cond Pro" w:hAnsi="EC Square Sans Cond Pro" w:cs="Calibri"/>
                <w:noProof/>
                <w:color w:val="000000"/>
                <w:sz w:val="18"/>
                <w:szCs w:val="18"/>
              </w:rPr>
              <w:t>%</w:t>
            </w:r>
          </w:p>
        </w:tc>
        <w:tc>
          <w:tcPr>
            <w:tcW w:w="903" w:type="dxa"/>
            <w:vAlign w:val="center"/>
          </w:tcPr>
          <w:p w14:paraId="5AD8CB06" w14:textId="05A257A8" w:rsidR="00C94F82" w:rsidRPr="00FF5625" w:rsidRDefault="00F637C3"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60</w:t>
            </w:r>
            <w:r w:rsidR="00C94F82" w:rsidRPr="00FF5625">
              <w:rPr>
                <w:rFonts w:ascii="EC Square Sans Cond Pro" w:hAnsi="EC Square Sans Cond Pro" w:cs="Calibri"/>
                <w:noProof/>
                <w:color w:val="000000"/>
                <w:sz w:val="18"/>
                <w:szCs w:val="18"/>
              </w:rPr>
              <w:t>%</w:t>
            </w:r>
          </w:p>
        </w:tc>
        <w:tc>
          <w:tcPr>
            <w:tcW w:w="902" w:type="dxa"/>
            <w:vAlign w:val="center"/>
          </w:tcPr>
          <w:p w14:paraId="49F19CFD" w14:textId="51A31B8C"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7</w:t>
            </w:r>
            <w:r w:rsidR="00F637C3" w:rsidRPr="00FF5625">
              <w:rPr>
                <w:rFonts w:ascii="EC Square Sans Cond Pro" w:hAnsi="EC Square Sans Cond Pro" w:cs="Calibri"/>
                <w:noProof/>
                <w:color w:val="000000"/>
                <w:sz w:val="18"/>
                <w:szCs w:val="18"/>
              </w:rPr>
              <w:t>6</w:t>
            </w:r>
            <w:r w:rsidRPr="00FF5625">
              <w:rPr>
                <w:rFonts w:ascii="EC Square Sans Cond Pro" w:hAnsi="EC Square Sans Cond Pro" w:cs="Calibri"/>
                <w:noProof/>
                <w:color w:val="000000"/>
                <w:sz w:val="18"/>
                <w:szCs w:val="18"/>
              </w:rPr>
              <w:t>%</w:t>
            </w:r>
          </w:p>
        </w:tc>
        <w:tc>
          <w:tcPr>
            <w:tcW w:w="902" w:type="dxa"/>
            <w:vAlign w:val="center"/>
          </w:tcPr>
          <w:p w14:paraId="552080C2" w14:textId="593A013F"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97%</w:t>
            </w:r>
          </w:p>
        </w:tc>
        <w:tc>
          <w:tcPr>
            <w:tcW w:w="903" w:type="dxa"/>
            <w:vAlign w:val="center"/>
          </w:tcPr>
          <w:p w14:paraId="5AF86D10" w14:textId="4FE56C1A" w:rsidR="00C94F82" w:rsidRPr="00FF5625" w:rsidRDefault="00C94F82" w:rsidP="00EB106D">
            <w:pPr>
              <w:keepNext/>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color w:val="000000"/>
                <w:sz w:val="18"/>
                <w:szCs w:val="18"/>
              </w:rPr>
              <w:t>100%</w:t>
            </w:r>
          </w:p>
        </w:tc>
      </w:tr>
    </w:tbl>
    <w:p w14:paraId="11DCC85A" w14:textId="77777777" w:rsidR="00C94F82" w:rsidRPr="00FF5625" w:rsidRDefault="00C94F82" w:rsidP="00EB106D">
      <w:pPr>
        <w:keepNext/>
        <w:rPr>
          <w:noProof/>
          <w:sz w:val="2"/>
          <w:szCs w:val="2"/>
        </w:rPr>
      </w:pPr>
    </w:p>
    <w:p w14:paraId="3AC581BD" w14:textId="7DE5BC9E" w:rsidR="007C3973" w:rsidRPr="00FF5625" w:rsidRDefault="007C3973" w:rsidP="00CC3E5B">
      <w:pPr>
        <w:pStyle w:val="CT-NOTE"/>
        <w:rPr>
          <w:noProof/>
        </w:rPr>
      </w:pPr>
      <w:r w:rsidRPr="00FF5625">
        <w:rPr>
          <w:noProof/>
        </w:rPr>
        <w:t>Note: *In this table, the non-CO2 GHG emissions at zero marginal abatement cost correspond to the emissions</w:t>
      </w:r>
      <w:r w:rsidR="009F1E84" w:rsidRPr="009F1E84">
        <w:rPr>
          <w:noProof/>
        </w:rPr>
        <w:t xml:space="preserve"> without additional mitigation</w:t>
      </w:r>
      <w:r w:rsidRPr="00FF5625">
        <w:rPr>
          <w:noProof/>
        </w:rPr>
        <w:t xml:space="preserve"> in 2040.</w:t>
      </w:r>
      <w:r w:rsidR="00B576B2" w:rsidRPr="00FF5625">
        <w:rPr>
          <w:noProof/>
        </w:rPr>
        <w:t xml:space="preserve"> </w:t>
      </w:r>
      <w:r w:rsidR="00B576B2" w:rsidRPr="00FF5625" w:rsidDel="00944AFC">
        <w:rPr>
          <w:noProof/>
        </w:rPr>
        <w:t>**</w:t>
      </w:r>
      <w:r w:rsidR="00B576B2" w:rsidRPr="00FF5625">
        <w:rPr>
          <w:noProof/>
        </w:rPr>
        <w:t>Marginal abatement costs are expressed in constant EUR 2015.</w:t>
      </w:r>
    </w:p>
    <w:p w14:paraId="460EF6B1" w14:textId="7B5EE06B" w:rsidR="007C3973" w:rsidRPr="007C3973" w:rsidRDefault="007C3973" w:rsidP="00767618">
      <w:pPr>
        <w:pStyle w:val="CT-SOURCE"/>
        <w:keepNext w:val="0"/>
        <w:rPr>
          <w:noProof/>
        </w:rPr>
      </w:pPr>
      <w:r w:rsidRPr="00FF5625">
        <w:rPr>
          <w:noProof/>
        </w:rPr>
        <w:t>Source: GAINS</w:t>
      </w:r>
      <w:r>
        <w:rPr>
          <w:noProof/>
        </w:rPr>
        <w:t>.</w:t>
      </w:r>
    </w:p>
    <w:p w14:paraId="034A9E98" w14:textId="4895D4EF" w:rsidR="005670D5" w:rsidRDefault="005670D5" w:rsidP="00EB106D">
      <w:pPr>
        <w:pStyle w:val="Caption"/>
        <w:rPr>
          <w:noProof/>
        </w:rPr>
      </w:pPr>
      <w:bookmarkStart w:id="449" w:name="_Ref142126691"/>
      <w:bookmarkStart w:id="450" w:name="_Toc157679900"/>
      <w:r>
        <w:rPr>
          <w:noProof/>
        </w:rPr>
        <w:t xml:space="preserve">Table </w:t>
      </w:r>
      <w:r>
        <w:rPr>
          <w:noProof/>
        </w:rPr>
        <w:fldChar w:fldCharType="begin"/>
      </w:r>
      <w:r>
        <w:rPr>
          <w:noProof/>
        </w:rPr>
        <w:instrText>SEQ Table \* ARABIC</w:instrText>
      </w:r>
      <w:r>
        <w:rPr>
          <w:noProof/>
        </w:rPr>
        <w:fldChar w:fldCharType="separate"/>
      </w:r>
      <w:r w:rsidR="00170A3C">
        <w:rPr>
          <w:noProof/>
        </w:rPr>
        <w:t>17</w:t>
      </w:r>
      <w:r>
        <w:rPr>
          <w:noProof/>
        </w:rPr>
        <w:fldChar w:fldCharType="end"/>
      </w:r>
      <w:bookmarkEnd w:id="449"/>
      <w:r>
        <w:rPr>
          <w:noProof/>
        </w:rPr>
        <w:t>:</w:t>
      </w:r>
      <w:r w:rsidR="004E5087" w:rsidRPr="004E5087">
        <w:rPr>
          <w:noProof/>
        </w:rPr>
        <w:t xml:space="preserve"> </w:t>
      </w:r>
      <w:r w:rsidR="00954C2D">
        <w:rPr>
          <w:noProof/>
        </w:rPr>
        <w:t>M</w:t>
      </w:r>
      <w:r w:rsidR="004E5087" w:rsidRPr="004E5087">
        <w:rPr>
          <w:noProof/>
        </w:rPr>
        <w:t xml:space="preserve">itigation </w:t>
      </w:r>
      <w:r w:rsidR="00D40579">
        <w:rPr>
          <w:noProof/>
        </w:rPr>
        <w:t xml:space="preserve">potential </w:t>
      </w:r>
      <w:r w:rsidR="0076557A" w:rsidRPr="0076557A">
        <w:rPr>
          <w:noProof/>
        </w:rPr>
        <w:t xml:space="preserve">in the agriculture sector </w:t>
      </w:r>
      <w:r w:rsidR="00D40579" w:rsidDel="00037CF4">
        <w:rPr>
          <w:noProof/>
        </w:rPr>
        <w:t xml:space="preserve">in </w:t>
      </w:r>
      <w:r w:rsidR="00E96ECC">
        <w:rPr>
          <w:noProof/>
        </w:rPr>
        <w:t>LIFE</w:t>
      </w:r>
      <w:bookmarkEnd w:id="450"/>
    </w:p>
    <w:tbl>
      <w:tblPr>
        <w:tblW w:w="8834" w:type="dxa"/>
        <w:tblLayout w:type="fixed"/>
        <w:tblLook w:val="04A0" w:firstRow="1" w:lastRow="0" w:firstColumn="1" w:lastColumn="0" w:noHBand="0" w:noVBand="1"/>
      </w:tblPr>
      <w:tblGrid>
        <w:gridCol w:w="2518"/>
        <w:gridCol w:w="902"/>
        <w:gridCol w:w="902"/>
        <w:gridCol w:w="902"/>
        <w:gridCol w:w="903"/>
        <w:gridCol w:w="902"/>
        <w:gridCol w:w="902"/>
        <w:gridCol w:w="903"/>
      </w:tblGrid>
      <w:tr w:rsidR="00D64E13" w:rsidRPr="009C1F61" w14:paraId="2037B400" w14:textId="77777777" w:rsidTr="00BA009A">
        <w:trPr>
          <w:trHeight w:val="300"/>
        </w:trPr>
        <w:tc>
          <w:tcPr>
            <w:tcW w:w="2518" w:type="dxa"/>
            <w:vMerge w:val="restart"/>
            <w:noWrap/>
            <w:vAlign w:val="center"/>
          </w:tcPr>
          <w:p w14:paraId="7EAF6A4C" w14:textId="77777777" w:rsidR="00D64E13" w:rsidRPr="009C1F61" w:rsidRDefault="00D64E13" w:rsidP="00EB106D">
            <w:pPr>
              <w:keepNext/>
              <w:spacing w:after="0"/>
              <w:jc w:val="left"/>
              <w:rPr>
                <w:rFonts w:ascii="EC Square Sans Cond Pro" w:hAnsi="EC Square Sans Cond Pro" w:cs="Avenir Next LT Pro"/>
                <w:b/>
                <w:noProof/>
                <w:color w:val="000000"/>
                <w:sz w:val="18"/>
                <w:szCs w:val="18"/>
                <w:lang w:val="en-IE"/>
              </w:rPr>
            </w:pPr>
          </w:p>
        </w:tc>
        <w:tc>
          <w:tcPr>
            <w:tcW w:w="6316" w:type="dxa"/>
            <w:gridSpan w:val="7"/>
            <w:noWrap/>
            <w:vAlign w:val="center"/>
          </w:tcPr>
          <w:p w14:paraId="2A8DE284" w14:textId="0BC8D447" w:rsidR="00D64E13" w:rsidRPr="009C1F61" w:rsidRDefault="00D64E13" w:rsidP="00EB106D">
            <w:pPr>
              <w:keepNext/>
              <w:spacing w:after="0"/>
              <w:jc w:val="center"/>
              <w:rPr>
                <w:rFonts w:ascii="EC Square Sans Cond Pro" w:hAnsi="EC Square Sans Cond Pro" w:cs="Avenir Next LT Pro"/>
                <w:b/>
                <w:noProof/>
                <w:color w:val="000000"/>
                <w:sz w:val="18"/>
                <w:szCs w:val="18"/>
                <w:lang w:val="en-IE"/>
              </w:rPr>
            </w:pPr>
            <w:r w:rsidRPr="009C1F61">
              <w:rPr>
                <w:rFonts w:ascii="EC Square Sans Cond Pro" w:hAnsi="EC Square Sans Cond Pro" w:cs="Avenir Next LT Pro"/>
                <w:b/>
                <w:noProof/>
                <w:color w:val="000000"/>
                <w:sz w:val="18"/>
                <w:szCs w:val="18"/>
                <w:lang w:val="en-IE"/>
              </w:rPr>
              <w:t>Marginal abatement cost for non-CO2 GHG emissions (EUR/tCO2-eq)</w:t>
            </w:r>
          </w:p>
        </w:tc>
      </w:tr>
      <w:tr w:rsidR="00D64E13" w:rsidRPr="009C1F61" w14:paraId="13273499" w14:textId="77777777" w:rsidTr="00BA009A">
        <w:trPr>
          <w:trHeight w:val="460"/>
        </w:trPr>
        <w:tc>
          <w:tcPr>
            <w:tcW w:w="2518" w:type="dxa"/>
            <w:vMerge/>
            <w:tcBorders>
              <w:bottom w:val="single" w:sz="12" w:space="0" w:color="auto"/>
            </w:tcBorders>
            <w:noWrap/>
            <w:vAlign w:val="center"/>
            <w:hideMark/>
          </w:tcPr>
          <w:p w14:paraId="140139DF" w14:textId="77777777" w:rsidR="00D64E13" w:rsidRPr="009C1F61" w:rsidRDefault="00D64E13" w:rsidP="00EB106D">
            <w:pPr>
              <w:keepNext/>
              <w:spacing w:after="0"/>
              <w:jc w:val="left"/>
              <w:rPr>
                <w:rFonts w:ascii="EC Square Sans Cond Pro" w:hAnsi="EC Square Sans Cond Pro"/>
                <w:noProof/>
                <w:sz w:val="18"/>
                <w:szCs w:val="18"/>
                <w:lang w:val="en-IE"/>
              </w:rPr>
            </w:pPr>
          </w:p>
        </w:tc>
        <w:tc>
          <w:tcPr>
            <w:tcW w:w="902" w:type="dxa"/>
            <w:tcBorders>
              <w:bottom w:val="single" w:sz="12" w:space="0" w:color="auto"/>
            </w:tcBorders>
            <w:noWrap/>
            <w:vAlign w:val="center"/>
            <w:hideMark/>
          </w:tcPr>
          <w:p w14:paraId="0E15D9A3" w14:textId="77777777" w:rsidR="00D64E13" w:rsidRPr="009C1F61" w:rsidRDefault="00D64E13" w:rsidP="00EB106D">
            <w:pPr>
              <w:keepNext/>
              <w:spacing w:after="0"/>
              <w:jc w:val="center"/>
              <w:rPr>
                <w:rFonts w:ascii="EC Square Sans Cond Pro" w:hAnsi="EC Square Sans Cond Pro" w:cs="Avenir Next LT Pro"/>
                <w:b/>
                <w:noProof/>
                <w:color w:val="000000"/>
                <w:sz w:val="18"/>
                <w:szCs w:val="18"/>
                <w:lang w:val="en-IE"/>
              </w:rPr>
            </w:pPr>
            <w:r w:rsidRPr="00D16B99">
              <w:rPr>
                <w:rFonts w:ascii="EC Square Sans Cond Pro" w:hAnsi="EC Square Sans Cond Pro" w:cs="Avenir Next LT Pro"/>
                <w:b/>
                <w:noProof/>
                <w:color w:val="000000"/>
                <w:sz w:val="18"/>
                <w:szCs w:val="18"/>
                <w:lang w:val="en-IE"/>
              </w:rPr>
              <w:t>0</w:t>
            </w:r>
            <w:r>
              <w:rPr>
                <w:rFonts w:ascii="EC Square Sans Cond Pro" w:hAnsi="EC Square Sans Cond Pro" w:cs="Avenir Next LT Pro"/>
                <w:b/>
                <w:noProof/>
                <w:color w:val="000000"/>
                <w:sz w:val="18"/>
                <w:szCs w:val="18"/>
                <w:lang w:val="en-IE"/>
              </w:rPr>
              <w:t>*</w:t>
            </w:r>
          </w:p>
        </w:tc>
        <w:tc>
          <w:tcPr>
            <w:tcW w:w="902" w:type="dxa"/>
            <w:tcBorders>
              <w:bottom w:val="single" w:sz="12" w:space="0" w:color="auto"/>
            </w:tcBorders>
            <w:noWrap/>
            <w:vAlign w:val="center"/>
            <w:hideMark/>
          </w:tcPr>
          <w:p w14:paraId="774AE979" w14:textId="77777777" w:rsidR="00D64E13" w:rsidRPr="009C1F61" w:rsidRDefault="00D64E13" w:rsidP="00EB106D">
            <w:pPr>
              <w:keepNext/>
              <w:spacing w:after="0"/>
              <w:jc w:val="center"/>
              <w:rPr>
                <w:rFonts w:ascii="EC Square Sans Cond Pro" w:hAnsi="EC Square Sans Cond Pro" w:cs="Avenir Next LT Pro"/>
                <w:b/>
                <w:smallCaps/>
                <w:noProof/>
                <w:color w:val="000000"/>
                <w:sz w:val="18"/>
                <w:szCs w:val="18"/>
                <w:lang w:val="en-IE"/>
              </w:rPr>
            </w:pPr>
            <w:r>
              <w:rPr>
                <w:rFonts w:ascii="EC Square Sans Cond Pro" w:hAnsi="EC Square Sans Cond Pro" w:cs="Avenir Next LT Pro"/>
                <w:b/>
                <w:smallCaps/>
                <w:noProof/>
                <w:color w:val="000000"/>
                <w:sz w:val="18"/>
                <w:szCs w:val="18"/>
                <w:lang w:val="en-IE"/>
              </w:rPr>
              <w:t>0.</w:t>
            </w:r>
            <w:r w:rsidRPr="00D16B99">
              <w:rPr>
                <w:rFonts w:ascii="EC Square Sans Cond Pro" w:hAnsi="EC Square Sans Cond Pro" w:cs="Avenir Next LT Pro"/>
                <w:b/>
                <w:smallCaps/>
                <w:noProof/>
                <w:color w:val="000000"/>
                <w:sz w:val="18"/>
                <w:szCs w:val="18"/>
                <w:lang w:val="en-IE"/>
              </w:rPr>
              <w:t>1</w:t>
            </w:r>
          </w:p>
        </w:tc>
        <w:tc>
          <w:tcPr>
            <w:tcW w:w="902" w:type="dxa"/>
            <w:tcBorders>
              <w:bottom w:val="single" w:sz="12" w:space="0" w:color="auto"/>
            </w:tcBorders>
            <w:vAlign w:val="center"/>
          </w:tcPr>
          <w:p w14:paraId="0FEBCE0E" w14:textId="77777777" w:rsidR="00D64E13" w:rsidRPr="009C1F61" w:rsidRDefault="00D64E13" w:rsidP="00EB106D">
            <w:pPr>
              <w:keepNext/>
              <w:spacing w:after="0"/>
              <w:jc w:val="center"/>
              <w:rPr>
                <w:rFonts w:ascii="EC Square Sans Cond Pro" w:hAnsi="EC Square Sans Cond Pro" w:cs="Avenir Next LT Pro"/>
                <w:b/>
                <w:noProof/>
                <w:color w:val="000000"/>
                <w:sz w:val="18"/>
                <w:szCs w:val="18"/>
                <w:lang w:val="en-IE"/>
              </w:rPr>
            </w:pPr>
            <w:r w:rsidRPr="00D16B99">
              <w:rPr>
                <w:rFonts w:ascii="EC Square Sans Cond Pro" w:hAnsi="EC Square Sans Cond Pro" w:cs="Avenir Next LT Pro"/>
                <w:b/>
                <w:smallCaps/>
                <w:noProof/>
                <w:color w:val="000000"/>
                <w:sz w:val="18"/>
                <w:szCs w:val="18"/>
                <w:lang w:val="en-IE"/>
              </w:rPr>
              <w:t>10</w:t>
            </w:r>
          </w:p>
        </w:tc>
        <w:tc>
          <w:tcPr>
            <w:tcW w:w="903" w:type="dxa"/>
            <w:tcBorders>
              <w:bottom w:val="single" w:sz="12" w:space="0" w:color="auto"/>
            </w:tcBorders>
            <w:vAlign w:val="center"/>
          </w:tcPr>
          <w:p w14:paraId="644CB5BE" w14:textId="77777777" w:rsidR="00D64E13" w:rsidRPr="009C1F61" w:rsidRDefault="00D64E13" w:rsidP="00EB106D">
            <w:pPr>
              <w:keepNext/>
              <w:spacing w:after="0"/>
              <w:jc w:val="center"/>
              <w:rPr>
                <w:rFonts w:ascii="EC Square Sans Cond Pro" w:hAnsi="EC Square Sans Cond Pro" w:cs="Avenir Next LT Pro"/>
                <w:b/>
                <w:noProof/>
                <w:color w:val="000000"/>
                <w:sz w:val="18"/>
                <w:szCs w:val="18"/>
                <w:lang w:val="en-IE"/>
              </w:rPr>
            </w:pPr>
            <w:r w:rsidRPr="00D16B99">
              <w:rPr>
                <w:rFonts w:ascii="EC Square Sans Cond Pro" w:hAnsi="EC Square Sans Cond Pro" w:cs="Avenir Next LT Pro"/>
                <w:b/>
                <w:noProof/>
                <w:color w:val="000000"/>
                <w:sz w:val="18"/>
                <w:szCs w:val="18"/>
                <w:lang w:val="en-IE"/>
              </w:rPr>
              <w:t>50</w:t>
            </w:r>
          </w:p>
        </w:tc>
        <w:tc>
          <w:tcPr>
            <w:tcW w:w="902" w:type="dxa"/>
            <w:tcBorders>
              <w:bottom w:val="single" w:sz="12" w:space="0" w:color="auto"/>
            </w:tcBorders>
            <w:vAlign w:val="center"/>
          </w:tcPr>
          <w:p w14:paraId="6DE51EE0" w14:textId="77777777" w:rsidR="00D64E13" w:rsidRPr="009C1F61" w:rsidRDefault="00D64E13" w:rsidP="00EB106D">
            <w:pPr>
              <w:keepNext/>
              <w:spacing w:after="0"/>
              <w:jc w:val="center"/>
              <w:rPr>
                <w:rFonts w:ascii="EC Square Sans Cond Pro" w:hAnsi="EC Square Sans Cond Pro" w:cs="Avenir Next LT Pro"/>
                <w:b/>
                <w:noProof/>
                <w:color w:val="000000"/>
                <w:sz w:val="18"/>
                <w:szCs w:val="18"/>
                <w:lang w:val="en-IE"/>
              </w:rPr>
            </w:pPr>
            <w:r w:rsidRPr="00D16B99">
              <w:rPr>
                <w:rFonts w:ascii="EC Square Sans Cond Pro" w:hAnsi="EC Square Sans Cond Pro" w:cs="Avenir Next LT Pro"/>
                <w:b/>
                <w:noProof/>
                <w:color w:val="000000"/>
                <w:sz w:val="18"/>
                <w:szCs w:val="18"/>
                <w:lang w:val="en-IE"/>
              </w:rPr>
              <w:t>100</w:t>
            </w:r>
          </w:p>
        </w:tc>
        <w:tc>
          <w:tcPr>
            <w:tcW w:w="902" w:type="dxa"/>
            <w:tcBorders>
              <w:bottom w:val="single" w:sz="12" w:space="0" w:color="auto"/>
            </w:tcBorders>
            <w:vAlign w:val="center"/>
          </w:tcPr>
          <w:p w14:paraId="09DE63F3" w14:textId="77777777" w:rsidR="00D64E13" w:rsidRPr="009C1F61" w:rsidRDefault="00D64E13" w:rsidP="00EB106D">
            <w:pPr>
              <w:keepNext/>
              <w:spacing w:after="0"/>
              <w:jc w:val="center"/>
              <w:rPr>
                <w:rFonts w:ascii="EC Square Sans Cond Pro" w:hAnsi="EC Square Sans Cond Pro" w:cs="Avenir Next LT Pro"/>
                <w:b/>
                <w:noProof/>
                <w:color w:val="000000"/>
                <w:sz w:val="18"/>
                <w:szCs w:val="18"/>
                <w:lang w:val="en-IE"/>
              </w:rPr>
            </w:pPr>
            <w:r w:rsidRPr="00D16B99">
              <w:rPr>
                <w:rFonts w:ascii="EC Square Sans Cond Pro" w:hAnsi="EC Square Sans Cond Pro" w:cs="Avenir Next LT Pro"/>
                <w:b/>
                <w:noProof/>
                <w:color w:val="000000"/>
                <w:sz w:val="18"/>
                <w:szCs w:val="18"/>
                <w:lang w:val="en-IE"/>
              </w:rPr>
              <w:t>300</w:t>
            </w:r>
          </w:p>
        </w:tc>
        <w:tc>
          <w:tcPr>
            <w:tcW w:w="903" w:type="dxa"/>
            <w:tcBorders>
              <w:bottom w:val="single" w:sz="12" w:space="0" w:color="auto"/>
            </w:tcBorders>
            <w:vAlign w:val="center"/>
          </w:tcPr>
          <w:p w14:paraId="33AD1C66" w14:textId="77777777" w:rsidR="00D64E13" w:rsidRPr="009C1F61" w:rsidRDefault="00D64E13" w:rsidP="00EB106D">
            <w:pPr>
              <w:keepNext/>
              <w:spacing w:after="0"/>
              <w:jc w:val="center"/>
              <w:rPr>
                <w:rFonts w:ascii="EC Square Sans Cond Pro" w:hAnsi="EC Square Sans Cond Pro" w:cs="Avenir Next LT Pro"/>
                <w:b/>
                <w:noProof/>
                <w:color w:val="000000"/>
                <w:sz w:val="18"/>
                <w:szCs w:val="18"/>
                <w:lang w:val="en-IE"/>
              </w:rPr>
            </w:pPr>
            <w:r w:rsidRPr="00D16B99">
              <w:rPr>
                <w:rFonts w:ascii="EC Square Sans Cond Pro" w:hAnsi="EC Square Sans Cond Pro" w:cs="Avenir Next LT Pro"/>
                <w:b/>
                <w:noProof/>
                <w:color w:val="000000"/>
                <w:sz w:val="18"/>
                <w:szCs w:val="18"/>
                <w:lang w:val="en-IE"/>
              </w:rPr>
              <w:t>Max</w:t>
            </w:r>
          </w:p>
        </w:tc>
      </w:tr>
      <w:tr w:rsidR="00D64E13" w:rsidRPr="009C1F61" w14:paraId="28B1B6E7" w14:textId="77777777" w:rsidTr="00BA009A">
        <w:trPr>
          <w:trHeight w:val="460"/>
        </w:trPr>
        <w:tc>
          <w:tcPr>
            <w:tcW w:w="2518" w:type="dxa"/>
            <w:tcBorders>
              <w:top w:val="single" w:sz="12" w:space="0" w:color="auto"/>
            </w:tcBorders>
            <w:noWrap/>
            <w:vAlign w:val="center"/>
            <w:hideMark/>
          </w:tcPr>
          <w:p w14:paraId="62198641" w14:textId="77777777" w:rsidR="00D64E13" w:rsidRPr="009C1F61" w:rsidRDefault="00D64E13" w:rsidP="00EB106D">
            <w:pPr>
              <w:keepNext/>
              <w:spacing w:after="0"/>
              <w:jc w:val="left"/>
              <w:rPr>
                <w:rFonts w:ascii="EC Square Sans Cond Pro" w:hAnsi="EC Square Sans Cond Pro" w:cs="Avenir Next LT Pro"/>
                <w:b/>
                <w:noProof/>
                <w:sz w:val="18"/>
                <w:szCs w:val="18"/>
                <w:lang w:val="en-IE"/>
              </w:rPr>
            </w:pPr>
            <w:r w:rsidRPr="009C1F61">
              <w:rPr>
                <w:rFonts w:ascii="EC Square Sans Cond Pro" w:hAnsi="EC Square Sans Cond Pro" w:cs="Avenir Next LT Pro"/>
                <w:b/>
                <w:noProof/>
                <w:sz w:val="18"/>
                <w:szCs w:val="18"/>
                <w:lang w:val="en-IE"/>
              </w:rPr>
              <w:t>Emissions mitigation in 2040 (MtCO2-eq)</w:t>
            </w:r>
          </w:p>
        </w:tc>
        <w:tc>
          <w:tcPr>
            <w:tcW w:w="6316" w:type="dxa"/>
            <w:gridSpan w:val="7"/>
            <w:tcBorders>
              <w:top w:val="single" w:sz="12" w:space="0" w:color="auto"/>
            </w:tcBorders>
            <w:noWrap/>
            <w:vAlign w:val="center"/>
          </w:tcPr>
          <w:p w14:paraId="0840600E" w14:textId="77777777" w:rsidR="00D64E13" w:rsidRPr="00023E23" w:rsidRDefault="00D64E13" w:rsidP="00EB106D">
            <w:pPr>
              <w:keepNext/>
              <w:spacing w:after="0"/>
              <w:jc w:val="center"/>
              <w:rPr>
                <w:rFonts w:ascii="EC Square Sans Cond Pro" w:hAnsi="EC Square Sans Cond Pro" w:cs="Avenir Next LT Pro"/>
                <w:noProof/>
                <w:sz w:val="18"/>
                <w:szCs w:val="18"/>
                <w:lang w:val="en-IE"/>
              </w:rPr>
            </w:pPr>
          </w:p>
        </w:tc>
      </w:tr>
      <w:tr w:rsidR="00D64E13" w:rsidRPr="009C1F61" w14:paraId="56CDD668" w14:textId="77777777" w:rsidTr="00BA009A">
        <w:trPr>
          <w:trHeight w:val="320"/>
        </w:trPr>
        <w:tc>
          <w:tcPr>
            <w:tcW w:w="2518" w:type="dxa"/>
            <w:noWrap/>
            <w:vAlign w:val="center"/>
          </w:tcPr>
          <w:p w14:paraId="44C29023" w14:textId="157DD52E" w:rsidR="00D64E13" w:rsidRPr="009C1F61" w:rsidRDefault="00EF1576" w:rsidP="00EB106D">
            <w:pPr>
              <w:keepNext/>
              <w:spacing w:after="0"/>
              <w:jc w:val="left"/>
              <w:rPr>
                <w:rFonts w:ascii="EC Square Sans Cond Pro" w:hAnsi="EC Square Sans Cond Pro" w:cs="Avenir Next LT Pro"/>
                <w:noProof/>
                <w:sz w:val="18"/>
                <w:szCs w:val="18"/>
                <w:lang w:val="en-IE"/>
              </w:rPr>
            </w:pPr>
            <w:r>
              <w:rPr>
                <w:rFonts w:ascii="EC Square Sans Cond Pro" w:hAnsi="EC Square Sans Cond Pro" w:cs="Avenir Next LT Pro"/>
                <w:noProof/>
                <w:sz w:val="18"/>
                <w:szCs w:val="18"/>
                <w:lang w:val="en-IE"/>
              </w:rPr>
              <w:t>CH4 (</w:t>
            </w:r>
            <w:r w:rsidR="00D64E13">
              <w:rPr>
                <w:rFonts w:ascii="EC Square Sans Cond Pro" w:hAnsi="EC Square Sans Cond Pro" w:cs="Avenir Next LT Pro"/>
                <w:noProof/>
                <w:sz w:val="18"/>
                <w:szCs w:val="18"/>
                <w:lang w:val="en-IE"/>
              </w:rPr>
              <w:t>Livestock</w:t>
            </w:r>
            <w:r>
              <w:rPr>
                <w:rFonts w:ascii="EC Square Sans Cond Pro" w:hAnsi="EC Square Sans Cond Pro" w:cs="Avenir Next LT Pro"/>
                <w:noProof/>
                <w:sz w:val="18"/>
                <w:szCs w:val="18"/>
                <w:lang w:val="en-IE"/>
              </w:rPr>
              <w:t>)</w:t>
            </w:r>
          </w:p>
        </w:tc>
        <w:tc>
          <w:tcPr>
            <w:tcW w:w="902" w:type="dxa"/>
            <w:noWrap/>
            <w:vAlign w:val="center"/>
          </w:tcPr>
          <w:p w14:paraId="77206ED8" w14:textId="5181A95F" w:rsidR="00D64E13" w:rsidRPr="006A1B75" w:rsidRDefault="00D64E13"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0</w:t>
            </w:r>
          </w:p>
        </w:tc>
        <w:tc>
          <w:tcPr>
            <w:tcW w:w="902" w:type="dxa"/>
            <w:noWrap/>
            <w:vAlign w:val="center"/>
          </w:tcPr>
          <w:p w14:paraId="32495665" w14:textId="4BD2FA52" w:rsidR="00D64E13" w:rsidRPr="00192045" w:rsidRDefault="00E734B9"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16</w:t>
            </w:r>
          </w:p>
        </w:tc>
        <w:tc>
          <w:tcPr>
            <w:tcW w:w="902" w:type="dxa"/>
            <w:noWrap/>
            <w:vAlign w:val="center"/>
          </w:tcPr>
          <w:p w14:paraId="42843955" w14:textId="7EFEBB2D" w:rsidR="00D64E13" w:rsidRPr="002F3374" w:rsidRDefault="00D64E13"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16</w:t>
            </w:r>
          </w:p>
        </w:tc>
        <w:tc>
          <w:tcPr>
            <w:tcW w:w="903" w:type="dxa"/>
            <w:vAlign w:val="center"/>
          </w:tcPr>
          <w:p w14:paraId="65984725" w14:textId="288C6340" w:rsidR="00D64E13" w:rsidRPr="000870CD" w:rsidRDefault="00E734B9"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26</w:t>
            </w:r>
          </w:p>
        </w:tc>
        <w:tc>
          <w:tcPr>
            <w:tcW w:w="902" w:type="dxa"/>
            <w:vAlign w:val="center"/>
          </w:tcPr>
          <w:p w14:paraId="1DEE4B68" w14:textId="1C76CCC0" w:rsidR="00D64E13" w:rsidRPr="0077131C" w:rsidRDefault="00D64E13"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27</w:t>
            </w:r>
          </w:p>
        </w:tc>
        <w:tc>
          <w:tcPr>
            <w:tcW w:w="902" w:type="dxa"/>
            <w:vAlign w:val="center"/>
          </w:tcPr>
          <w:p w14:paraId="59CF9D03" w14:textId="63F2F8BF" w:rsidR="00D64E13" w:rsidRPr="003A3E3A" w:rsidRDefault="00E734B9"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28</w:t>
            </w:r>
          </w:p>
        </w:tc>
        <w:tc>
          <w:tcPr>
            <w:tcW w:w="903" w:type="dxa"/>
            <w:vAlign w:val="center"/>
          </w:tcPr>
          <w:p w14:paraId="0CC759D4" w14:textId="08E716F9" w:rsidR="00D64E13" w:rsidRPr="003A3E3A" w:rsidRDefault="00E734B9"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28</w:t>
            </w:r>
          </w:p>
        </w:tc>
      </w:tr>
      <w:tr w:rsidR="00D64E13" w:rsidRPr="009C1F61" w14:paraId="49C2367B" w14:textId="77777777" w:rsidTr="00BA009A">
        <w:trPr>
          <w:trHeight w:val="320"/>
        </w:trPr>
        <w:tc>
          <w:tcPr>
            <w:tcW w:w="2518" w:type="dxa"/>
            <w:noWrap/>
            <w:vAlign w:val="center"/>
          </w:tcPr>
          <w:p w14:paraId="19DE4D67" w14:textId="4223550F" w:rsidR="00D64E13" w:rsidRPr="009C1F61" w:rsidRDefault="00EF1576" w:rsidP="00EB106D">
            <w:pPr>
              <w:keepNext/>
              <w:spacing w:after="0"/>
              <w:jc w:val="left"/>
              <w:rPr>
                <w:rFonts w:ascii="EC Square Sans Cond Pro" w:hAnsi="EC Square Sans Cond Pro" w:cs="Avenir Next LT Pro"/>
                <w:noProof/>
                <w:sz w:val="18"/>
                <w:szCs w:val="18"/>
                <w:lang w:val="en-IE"/>
              </w:rPr>
            </w:pPr>
            <w:r>
              <w:rPr>
                <w:rFonts w:ascii="EC Square Sans Cond Pro" w:hAnsi="EC Square Sans Cond Pro" w:cs="Avenir Next LT Pro"/>
                <w:noProof/>
                <w:sz w:val="18"/>
                <w:szCs w:val="18"/>
                <w:lang w:val="en-IE"/>
              </w:rPr>
              <w:t>CH4 (</w:t>
            </w:r>
            <w:r w:rsidR="00D64E13">
              <w:rPr>
                <w:rFonts w:ascii="EC Square Sans Cond Pro" w:hAnsi="EC Square Sans Cond Pro" w:cs="Avenir Next LT Pro"/>
                <w:noProof/>
                <w:sz w:val="18"/>
                <w:szCs w:val="18"/>
                <w:lang w:val="en-IE"/>
              </w:rPr>
              <w:t>Rice cultivation and other</w:t>
            </w:r>
            <w:r>
              <w:rPr>
                <w:rFonts w:ascii="EC Square Sans Cond Pro" w:hAnsi="EC Square Sans Cond Pro" w:cs="Avenir Next LT Pro"/>
                <w:noProof/>
                <w:sz w:val="18"/>
                <w:szCs w:val="18"/>
                <w:lang w:val="en-IE"/>
              </w:rPr>
              <w:t>)</w:t>
            </w:r>
          </w:p>
        </w:tc>
        <w:tc>
          <w:tcPr>
            <w:tcW w:w="902" w:type="dxa"/>
            <w:noWrap/>
            <w:vAlign w:val="center"/>
          </w:tcPr>
          <w:p w14:paraId="004C3A3E" w14:textId="6A84CA9E" w:rsidR="00D64E13" w:rsidRPr="006A1B75" w:rsidRDefault="00D64E13"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0</w:t>
            </w:r>
          </w:p>
        </w:tc>
        <w:tc>
          <w:tcPr>
            <w:tcW w:w="902" w:type="dxa"/>
            <w:noWrap/>
            <w:vAlign w:val="center"/>
          </w:tcPr>
          <w:p w14:paraId="07631D7D" w14:textId="46170BD5" w:rsidR="00D64E13" w:rsidRPr="00192045" w:rsidRDefault="00D64E13"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1</w:t>
            </w:r>
          </w:p>
        </w:tc>
        <w:tc>
          <w:tcPr>
            <w:tcW w:w="902" w:type="dxa"/>
            <w:noWrap/>
            <w:vAlign w:val="center"/>
          </w:tcPr>
          <w:p w14:paraId="006F0A66" w14:textId="5D15C950" w:rsidR="00D64E13" w:rsidRPr="002F3374" w:rsidRDefault="00D64E13"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1</w:t>
            </w:r>
          </w:p>
        </w:tc>
        <w:tc>
          <w:tcPr>
            <w:tcW w:w="903" w:type="dxa"/>
            <w:vAlign w:val="center"/>
          </w:tcPr>
          <w:p w14:paraId="3EEE9F92" w14:textId="4561FFA0" w:rsidR="00D64E13" w:rsidRPr="000870CD" w:rsidRDefault="00E734B9"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2</w:t>
            </w:r>
          </w:p>
        </w:tc>
        <w:tc>
          <w:tcPr>
            <w:tcW w:w="902" w:type="dxa"/>
            <w:vAlign w:val="center"/>
          </w:tcPr>
          <w:p w14:paraId="636C7B48" w14:textId="02387D7E" w:rsidR="00D64E13" w:rsidRPr="0077131C" w:rsidRDefault="00E734B9"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2</w:t>
            </w:r>
          </w:p>
        </w:tc>
        <w:tc>
          <w:tcPr>
            <w:tcW w:w="902" w:type="dxa"/>
            <w:vAlign w:val="center"/>
          </w:tcPr>
          <w:p w14:paraId="53C2765C" w14:textId="5D6D169C" w:rsidR="00D64E13" w:rsidRPr="003A3E3A" w:rsidRDefault="00E734B9"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2</w:t>
            </w:r>
          </w:p>
        </w:tc>
        <w:tc>
          <w:tcPr>
            <w:tcW w:w="903" w:type="dxa"/>
            <w:vAlign w:val="center"/>
          </w:tcPr>
          <w:p w14:paraId="66439544" w14:textId="280B9145" w:rsidR="00D64E13" w:rsidRPr="003A3E3A" w:rsidRDefault="00E734B9"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2</w:t>
            </w:r>
          </w:p>
        </w:tc>
      </w:tr>
      <w:tr w:rsidR="00C451F4" w:rsidRPr="009C1F61" w14:paraId="13491FA5" w14:textId="77777777" w:rsidTr="00BA009A">
        <w:trPr>
          <w:trHeight w:val="320"/>
        </w:trPr>
        <w:tc>
          <w:tcPr>
            <w:tcW w:w="2518" w:type="dxa"/>
            <w:noWrap/>
            <w:vAlign w:val="center"/>
          </w:tcPr>
          <w:p w14:paraId="575CA949" w14:textId="29C56759" w:rsidR="00C451F4" w:rsidRPr="009C1F61" w:rsidRDefault="00EF1576" w:rsidP="00144F1F">
            <w:pPr>
              <w:keepNext/>
              <w:spacing w:after="0"/>
              <w:jc w:val="left"/>
              <w:rPr>
                <w:rFonts w:ascii="EC Square Sans Cond Pro" w:hAnsi="EC Square Sans Cond Pro" w:cs="Avenir Next LT Pro"/>
                <w:noProof/>
                <w:sz w:val="18"/>
                <w:szCs w:val="18"/>
                <w:lang w:val="en-IE"/>
              </w:rPr>
            </w:pPr>
            <w:r>
              <w:rPr>
                <w:rFonts w:ascii="EC Square Sans Cond Pro" w:hAnsi="EC Square Sans Cond Pro" w:cs="Avenir Next LT Pro"/>
                <w:noProof/>
                <w:sz w:val="18"/>
                <w:szCs w:val="18"/>
                <w:lang w:val="en-IE"/>
              </w:rPr>
              <w:t>N2O (</w:t>
            </w:r>
            <w:r w:rsidR="00C451F4">
              <w:rPr>
                <w:rFonts w:ascii="EC Square Sans Cond Pro" w:hAnsi="EC Square Sans Cond Pro" w:cs="Avenir Next LT Pro"/>
                <w:noProof/>
                <w:sz w:val="18"/>
                <w:szCs w:val="18"/>
                <w:lang w:val="en-IE"/>
              </w:rPr>
              <w:t>Agricultural soils</w:t>
            </w:r>
            <w:r>
              <w:rPr>
                <w:rFonts w:ascii="EC Square Sans Cond Pro" w:hAnsi="EC Square Sans Cond Pro" w:cs="Avenir Next LT Pro"/>
                <w:noProof/>
                <w:sz w:val="18"/>
                <w:szCs w:val="18"/>
                <w:lang w:val="en-IE"/>
              </w:rPr>
              <w:t>)</w:t>
            </w:r>
          </w:p>
        </w:tc>
        <w:tc>
          <w:tcPr>
            <w:tcW w:w="902" w:type="dxa"/>
            <w:noWrap/>
            <w:vAlign w:val="center"/>
          </w:tcPr>
          <w:p w14:paraId="18D726E5" w14:textId="0A65A6EB" w:rsidR="00C451F4" w:rsidRPr="006A1B75" w:rsidRDefault="00C451F4" w:rsidP="00144F1F">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0</w:t>
            </w:r>
          </w:p>
        </w:tc>
        <w:tc>
          <w:tcPr>
            <w:tcW w:w="902" w:type="dxa"/>
            <w:noWrap/>
            <w:vAlign w:val="center"/>
          </w:tcPr>
          <w:p w14:paraId="10FBDCB6" w14:textId="28BA027A" w:rsidR="00C451F4" w:rsidRPr="00192045" w:rsidRDefault="00C451F4" w:rsidP="00144F1F">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0</w:t>
            </w:r>
          </w:p>
        </w:tc>
        <w:tc>
          <w:tcPr>
            <w:tcW w:w="902" w:type="dxa"/>
            <w:noWrap/>
            <w:vAlign w:val="center"/>
          </w:tcPr>
          <w:p w14:paraId="294EEA77" w14:textId="5FF3E291" w:rsidR="00C451F4" w:rsidRPr="002F3374" w:rsidRDefault="00C451F4" w:rsidP="00144F1F">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0</w:t>
            </w:r>
          </w:p>
        </w:tc>
        <w:tc>
          <w:tcPr>
            <w:tcW w:w="903" w:type="dxa"/>
            <w:vAlign w:val="center"/>
          </w:tcPr>
          <w:p w14:paraId="5385A17C" w14:textId="597FD5E8" w:rsidR="00C451F4" w:rsidRPr="000870CD" w:rsidRDefault="00C451F4" w:rsidP="00144F1F">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11</w:t>
            </w:r>
          </w:p>
        </w:tc>
        <w:tc>
          <w:tcPr>
            <w:tcW w:w="902" w:type="dxa"/>
            <w:vAlign w:val="center"/>
          </w:tcPr>
          <w:p w14:paraId="4890EC1C" w14:textId="5E895830" w:rsidR="00C451F4" w:rsidRPr="0077131C" w:rsidRDefault="009A23A0" w:rsidP="00144F1F">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19</w:t>
            </w:r>
          </w:p>
        </w:tc>
        <w:tc>
          <w:tcPr>
            <w:tcW w:w="902" w:type="dxa"/>
            <w:vAlign w:val="center"/>
          </w:tcPr>
          <w:p w14:paraId="7ABED4BF" w14:textId="2BD39C06" w:rsidR="00C451F4" w:rsidRPr="003A3E3A" w:rsidRDefault="00E734B9" w:rsidP="00144F1F">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3</w:t>
            </w:r>
            <w:r w:rsidR="009A23A0">
              <w:rPr>
                <w:rFonts w:ascii="EC Square Sans Cond Pro" w:hAnsi="EC Square Sans Cond Pro" w:cs="Calibri"/>
                <w:noProof/>
                <w:color w:val="000000"/>
                <w:sz w:val="18"/>
                <w:szCs w:val="18"/>
              </w:rPr>
              <w:t>2</w:t>
            </w:r>
          </w:p>
        </w:tc>
        <w:tc>
          <w:tcPr>
            <w:tcW w:w="903" w:type="dxa"/>
            <w:vAlign w:val="center"/>
          </w:tcPr>
          <w:p w14:paraId="05F496C8" w14:textId="4A8AF09B" w:rsidR="00C451F4" w:rsidRPr="003A3E3A" w:rsidRDefault="00E734B9" w:rsidP="00144F1F">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3</w:t>
            </w:r>
            <w:r w:rsidR="009A23A0">
              <w:rPr>
                <w:rFonts w:ascii="EC Square Sans Cond Pro" w:hAnsi="EC Square Sans Cond Pro" w:cs="Calibri"/>
                <w:noProof/>
                <w:color w:val="000000"/>
                <w:sz w:val="18"/>
                <w:szCs w:val="18"/>
              </w:rPr>
              <w:t>4</w:t>
            </w:r>
          </w:p>
        </w:tc>
      </w:tr>
      <w:tr w:rsidR="00D64E13" w:rsidRPr="009C1F61" w14:paraId="57A226D9" w14:textId="77777777" w:rsidTr="00BA009A">
        <w:trPr>
          <w:trHeight w:val="320"/>
        </w:trPr>
        <w:tc>
          <w:tcPr>
            <w:tcW w:w="2518" w:type="dxa"/>
            <w:noWrap/>
            <w:vAlign w:val="center"/>
          </w:tcPr>
          <w:p w14:paraId="3AB0F249" w14:textId="74015512" w:rsidR="00D64E13" w:rsidRPr="009C1F61" w:rsidRDefault="00E734B9" w:rsidP="00EB106D">
            <w:pPr>
              <w:keepNext/>
              <w:spacing w:after="0"/>
              <w:jc w:val="left"/>
              <w:rPr>
                <w:rFonts w:ascii="EC Square Sans Cond Pro" w:hAnsi="EC Square Sans Cond Pro" w:cs="Avenir Next LT Pro"/>
                <w:noProof/>
                <w:sz w:val="18"/>
                <w:szCs w:val="18"/>
                <w:lang w:val="en-IE"/>
              </w:rPr>
            </w:pPr>
            <w:r>
              <w:rPr>
                <w:rFonts w:ascii="EC Square Sans Cond Pro" w:hAnsi="EC Square Sans Cond Pro" w:cs="Avenir Next LT Pro"/>
                <w:noProof/>
                <w:sz w:val="18"/>
                <w:szCs w:val="18"/>
                <w:lang w:val="en-IE"/>
              </w:rPr>
              <w:t>Total</w:t>
            </w:r>
          </w:p>
        </w:tc>
        <w:tc>
          <w:tcPr>
            <w:tcW w:w="902" w:type="dxa"/>
            <w:noWrap/>
            <w:vAlign w:val="center"/>
          </w:tcPr>
          <w:p w14:paraId="314BC00C" w14:textId="09A9B437" w:rsidR="00D64E13" w:rsidRPr="006A1B75" w:rsidRDefault="00D64E13"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0</w:t>
            </w:r>
          </w:p>
        </w:tc>
        <w:tc>
          <w:tcPr>
            <w:tcW w:w="902" w:type="dxa"/>
            <w:noWrap/>
            <w:vAlign w:val="center"/>
          </w:tcPr>
          <w:p w14:paraId="42136AEB" w14:textId="380CED69" w:rsidR="00D64E13" w:rsidRPr="00192045" w:rsidRDefault="00E734B9"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17</w:t>
            </w:r>
          </w:p>
        </w:tc>
        <w:tc>
          <w:tcPr>
            <w:tcW w:w="902" w:type="dxa"/>
            <w:noWrap/>
            <w:vAlign w:val="center"/>
          </w:tcPr>
          <w:p w14:paraId="7DF99C0C" w14:textId="1398224C" w:rsidR="00D64E13" w:rsidRPr="002F3374" w:rsidRDefault="00D64E13"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17</w:t>
            </w:r>
          </w:p>
        </w:tc>
        <w:tc>
          <w:tcPr>
            <w:tcW w:w="903" w:type="dxa"/>
            <w:vAlign w:val="center"/>
          </w:tcPr>
          <w:p w14:paraId="6BE48107" w14:textId="1B172484" w:rsidR="00D64E13" w:rsidRPr="000870CD" w:rsidRDefault="00D64E13"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39</w:t>
            </w:r>
          </w:p>
        </w:tc>
        <w:tc>
          <w:tcPr>
            <w:tcW w:w="902" w:type="dxa"/>
            <w:vAlign w:val="center"/>
          </w:tcPr>
          <w:p w14:paraId="3836CF5F" w14:textId="51D14657" w:rsidR="00D64E13" w:rsidRPr="0077131C" w:rsidRDefault="00D64E13"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48</w:t>
            </w:r>
          </w:p>
        </w:tc>
        <w:tc>
          <w:tcPr>
            <w:tcW w:w="902" w:type="dxa"/>
            <w:vAlign w:val="center"/>
          </w:tcPr>
          <w:p w14:paraId="29BE43A8" w14:textId="0CFFB109" w:rsidR="00D64E13" w:rsidRPr="003A3E3A" w:rsidRDefault="00E734B9"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6</w:t>
            </w:r>
            <w:r w:rsidR="009A23A0">
              <w:rPr>
                <w:rFonts w:ascii="EC Square Sans Cond Pro" w:hAnsi="EC Square Sans Cond Pro" w:cs="Calibri"/>
                <w:noProof/>
                <w:color w:val="000000"/>
                <w:sz w:val="18"/>
                <w:szCs w:val="18"/>
              </w:rPr>
              <w:t>2</w:t>
            </w:r>
          </w:p>
        </w:tc>
        <w:tc>
          <w:tcPr>
            <w:tcW w:w="903" w:type="dxa"/>
            <w:vAlign w:val="center"/>
          </w:tcPr>
          <w:p w14:paraId="03365D33" w14:textId="730F3B6A" w:rsidR="00D64E13" w:rsidRPr="003A3E3A" w:rsidRDefault="00E734B9"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6</w:t>
            </w:r>
            <w:r w:rsidR="009A23A0">
              <w:rPr>
                <w:rFonts w:ascii="EC Square Sans Cond Pro" w:hAnsi="EC Square Sans Cond Pro" w:cs="Calibri"/>
                <w:noProof/>
                <w:color w:val="000000"/>
                <w:sz w:val="18"/>
                <w:szCs w:val="18"/>
              </w:rPr>
              <w:t>4</w:t>
            </w:r>
          </w:p>
        </w:tc>
      </w:tr>
      <w:tr w:rsidR="00D64E13" w:rsidRPr="009C1F61" w14:paraId="7AA690BB" w14:textId="77777777" w:rsidTr="00BA009A">
        <w:trPr>
          <w:trHeight w:val="300"/>
        </w:trPr>
        <w:tc>
          <w:tcPr>
            <w:tcW w:w="2518" w:type="dxa"/>
            <w:noWrap/>
          </w:tcPr>
          <w:p w14:paraId="02B92AF4" w14:textId="77777777" w:rsidR="00D64E13" w:rsidRPr="009C1F61" w:rsidRDefault="00D64E13" w:rsidP="00EB106D">
            <w:pPr>
              <w:keepNext/>
              <w:spacing w:after="0"/>
              <w:jc w:val="left"/>
              <w:rPr>
                <w:rFonts w:ascii="EC Square Sans Cond Pro" w:hAnsi="EC Square Sans Cond Pro" w:cs="Avenir Next LT Pro"/>
                <w:b/>
                <w:noProof/>
                <w:sz w:val="18"/>
                <w:szCs w:val="18"/>
                <w:lang w:val="en-IE"/>
              </w:rPr>
            </w:pPr>
            <w:r w:rsidRPr="009C1F61">
              <w:rPr>
                <w:rFonts w:ascii="EC Square Sans Cond Pro" w:hAnsi="EC Square Sans Cond Pro" w:cs="Avenir Next LT Pro"/>
                <w:b/>
                <w:noProof/>
                <w:sz w:val="18"/>
                <w:szCs w:val="18"/>
                <w:lang w:val="en-IE"/>
              </w:rPr>
              <w:t>Share of maximum mitigation potential achieved in 2040 (%)</w:t>
            </w:r>
          </w:p>
        </w:tc>
        <w:tc>
          <w:tcPr>
            <w:tcW w:w="6316" w:type="dxa"/>
            <w:gridSpan w:val="7"/>
            <w:noWrap/>
            <w:vAlign w:val="center"/>
          </w:tcPr>
          <w:p w14:paraId="14B18E23" w14:textId="77777777" w:rsidR="00D64E13" w:rsidRPr="003A3E3A" w:rsidRDefault="00D64E13" w:rsidP="00EB106D">
            <w:pPr>
              <w:keepNext/>
              <w:spacing w:after="0"/>
              <w:jc w:val="center"/>
              <w:rPr>
                <w:rFonts w:ascii="EC Square Sans Cond Pro" w:hAnsi="EC Square Sans Cond Pro" w:cs="Avenir Next LT Pro"/>
                <w:noProof/>
                <w:sz w:val="18"/>
                <w:szCs w:val="18"/>
                <w:lang w:val="en-IE"/>
              </w:rPr>
            </w:pPr>
          </w:p>
        </w:tc>
      </w:tr>
      <w:tr w:rsidR="00D64E13" w:rsidRPr="009C1F61" w14:paraId="42C5A58C" w14:textId="77777777" w:rsidTr="00BA009A">
        <w:trPr>
          <w:trHeight w:val="300"/>
        </w:trPr>
        <w:tc>
          <w:tcPr>
            <w:tcW w:w="2518" w:type="dxa"/>
            <w:noWrap/>
            <w:vAlign w:val="center"/>
          </w:tcPr>
          <w:p w14:paraId="630B59BB" w14:textId="6242841B" w:rsidR="00D64E13" w:rsidRPr="009C1F61" w:rsidRDefault="00EF1576" w:rsidP="00EB106D">
            <w:pPr>
              <w:keepNext/>
              <w:spacing w:after="0"/>
              <w:jc w:val="left"/>
              <w:rPr>
                <w:rFonts w:ascii="EC Square Sans Cond Pro" w:hAnsi="EC Square Sans Cond Pro" w:cs="Avenir Next LT Pro"/>
                <w:noProof/>
                <w:sz w:val="18"/>
                <w:szCs w:val="18"/>
                <w:lang w:val="en-IE"/>
              </w:rPr>
            </w:pPr>
            <w:r>
              <w:rPr>
                <w:rFonts w:ascii="EC Square Sans Cond Pro" w:hAnsi="EC Square Sans Cond Pro" w:cs="Avenir Next LT Pro"/>
                <w:noProof/>
                <w:sz w:val="18"/>
                <w:szCs w:val="18"/>
                <w:lang w:val="en-IE"/>
              </w:rPr>
              <w:t>CH4 (</w:t>
            </w:r>
            <w:r w:rsidR="00D64E13">
              <w:rPr>
                <w:rFonts w:ascii="EC Square Sans Cond Pro" w:hAnsi="EC Square Sans Cond Pro" w:cs="Avenir Next LT Pro"/>
                <w:noProof/>
                <w:sz w:val="18"/>
                <w:szCs w:val="18"/>
                <w:lang w:val="en-IE"/>
              </w:rPr>
              <w:t>Livestock</w:t>
            </w:r>
            <w:r>
              <w:rPr>
                <w:rFonts w:ascii="EC Square Sans Cond Pro" w:hAnsi="EC Square Sans Cond Pro" w:cs="Avenir Next LT Pro"/>
                <w:noProof/>
                <w:sz w:val="18"/>
                <w:szCs w:val="18"/>
                <w:lang w:val="en-IE"/>
              </w:rPr>
              <w:t>)</w:t>
            </w:r>
          </w:p>
        </w:tc>
        <w:tc>
          <w:tcPr>
            <w:tcW w:w="902" w:type="dxa"/>
            <w:noWrap/>
            <w:vAlign w:val="center"/>
          </w:tcPr>
          <w:p w14:paraId="457E4841" w14:textId="6B1F464A" w:rsidR="00D64E13" w:rsidRPr="006A1B75" w:rsidRDefault="00D64E13"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0%</w:t>
            </w:r>
          </w:p>
        </w:tc>
        <w:tc>
          <w:tcPr>
            <w:tcW w:w="902" w:type="dxa"/>
            <w:noWrap/>
            <w:vAlign w:val="center"/>
          </w:tcPr>
          <w:p w14:paraId="18A6BFFB" w14:textId="6781248D" w:rsidR="00D64E13" w:rsidRPr="00192045" w:rsidRDefault="00D64E13" w:rsidP="00EB106D">
            <w:pPr>
              <w:keepNext/>
              <w:spacing w:after="0"/>
              <w:jc w:val="center"/>
              <w:rPr>
                <w:rFonts w:ascii="EC Square Sans Cond Pro" w:hAnsi="EC Square Sans Cond Pro" w:cs="Avenir Next LT Pro"/>
                <w:noProof/>
                <w:sz w:val="18"/>
                <w:szCs w:val="18"/>
              </w:rPr>
            </w:pPr>
            <w:r>
              <w:rPr>
                <w:rFonts w:ascii="EC Square Sans Cond Pro" w:hAnsi="EC Square Sans Cond Pro" w:cs="Calibri"/>
                <w:noProof/>
                <w:color w:val="000000"/>
                <w:sz w:val="18"/>
                <w:szCs w:val="18"/>
              </w:rPr>
              <w:t>56%</w:t>
            </w:r>
          </w:p>
        </w:tc>
        <w:tc>
          <w:tcPr>
            <w:tcW w:w="902" w:type="dxa"/>
            <w:noWrap/>
            <w:vAlign w:val="center"/>
          </w:tcPr>
          <w:p w14:paraId="501FB5E8" w14:textId="4F8C1DF7" w:rsidR="00D64E13" w:rsidRPr="002F3374" w:rsidRDefault="00D64E13"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58%</w:t>
            </w:r>
          </w:p>
        </w:tc>
        <w:tc>
          <w:tcPr>
            <w:tcW w:w="903" w:type="dxa"/>
            <w:vAlign w:val="center"/>
          </w:tcPr>
          <w:p w14:paraId="6B92682F" w14:textId="6AE752D0" w:rsidR="00D64E13" w:rsidRPr="000870CD" w:rsidRDefault="00D64E13"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93%</w:t>
            </w:r>
          </w:p>
        </w:tc>
        <w:tc>
          <w:tcPr>
            <w:tcW w:w="902" w:type="dxa"/>
            <w:vAlign w:val="center"/>
          </w:tcPr>
          <w:p w14:paraId="6AB3CA48" w14:textId="6DE97023" w:rsidR="00D64E13" w:rsidRPr="0077131C" w:rsidRDefault="00D64E13"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97%</w:t>
            </w:r>
          </w:p>
        </w:tc>
        <w:tc>
          <w:tcPr>
            <w:tcW w:w="902" w:type="dxa"/>
            <w:vAlign w:val="center"/>
          </w:tcPr>
          <w:p w14:paraId="0E642C10" w14:textId="5811F528" w:rsidR="00D64E13" w:rsidRPr="003A3E3A" w:rsidRDefault="00E734B9"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100%</w:t>
            </w:r>
          </w:p>
        </w:tc>
        <w:tc>
          <w:tcPr>
            <w:tcW w:w="903" w:type="dxa"/>
            <w:vAlign w:val="center"/>
          </w:tcPr>
          <w:p w14:paraId="33FB179D" w14:textId="720BEB84" w:rsidR="00D64E13" w:rsidRPr="003A3E3A" w:rsidRDefault="00D64E13"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100%</w:t>
            </w:r>
          </w:p>
        </w:tc>
      </w:tr>
      <w:tr w:rsidR="00D64E13" w:rsidRPr="009C1F61" w14:paraId="677DC6C7" w14:textId="77777777" w:rsidTr="00BA009A">
        <w:trPr>
          <w:trHeight w:val="300"/>
        </w:trPr>
        <w:tc>
          <w:tcPr>
            <w:tcW w:w="2518" w:type="dxa"/>
            <w:noWrap/>
            <w:vAlign w:val="center"/>
          </w:tcPr>
          <w:p w14:paraId="7276DE30" w14:textId="1F4B0040" w:rsidR="00D64E13" w:rsidRPr="009C1F61" w:rsidRDefault="00EF1576" w:rsidP="00EB106D">
            <w:pPr>
              <w:keepNext/>
              <w:spacing w:after="0"/>
              <w:jc w:val="left"/>
              <w:rPr>
                <w:rFonts w:ascii="EC Square Sans Cond Pro" w:hAnsi="EC Square Sans Cond Pro" w:cs="Avenir Next LT Pro"/>
                <w:noProof/>
                <w:sz w:val="18"/>
                <w:szCs w:val="18"/>
                <w:lang w:val="en-IE"/>
              </w:rPr>
            </w:pPr>
            <w:r>
              <w:rPr>
                <w:rFonts w:ascii="EC Square Sans Cond Pro" w:hAnsi="EC Square Sans Cond Pro" w:cs="Avenir Next LT Pro"/>
                <w:noProof/>
                <w:sz w:val="18"/>
                <w:szCs w:val="18"/>
                <w:lang w:val="en-IE"/>
              </w:rPr>
              <w:t>CH4 (</w:t>
            </w:r>
            <w:r w:rsidR="00D64E13">
              <w:rPr>
                <w:rFonts w:ascii="EC Square Sans Cond Pro" w:hAnsi="EC Square Sans Cond Pro" w:cs="Avenir Next LT Pro"/>
                <w:noProof/>
                <w:sz w:val="18"/>
                <w:szCs w:val="18"/>
                <w:lang w:val="en-IE"/>
              </w:rPr>
              <w:t>Rice cultivation and other</w:t>
            </w:r>
            <w:r>
              <w:rPr>
                <w:rFonts w:ascii="EC Square Sans Cond Pro" w:hAnsi="EC Square Sans Cond Pro" w:cs="Avenir Next LT Pro"/>
                <w:noProof/>
                <w:sz w:val="18"/>
                <w:szCs w:val="18"/>
                <w:lang w:val="en-IE"/>
              </w:rPr>
              <w:t>)</w:t>
            </w:r>
          </w:p>
        </w:tc>
        <w:tc>
          <w:tcPr>
            <w:tcW w:w="902" w:type="dxa"/>
            <w:noWrap/>
            <w:vAlign w:val="center"/>
          </w:tcPr>
          <w:p w14:paraId="5536CC06" w14:textId="7CAC078F" w:rsidR="00D64E13" w:rsidRPr="006A1B75" w:rsidRDefault="00D64E13"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0%</w:t>
            </w:r>
          </w:p>
        </w:tc>
        <w:tc>
          <w:tcPr>
            <w:tcW w:w="902" w:type="dxa"/>
            <w:noWrap/>
            <w:vAlign w:val="center"/>
          </w:tcPr>
          <w:p w14:paraId="323DF44C" w14:textId="37729A69" w:rsidR="00D64E13" w:rsidRPr="00192045" w:rsidRDefault="00D64E13" w:rsidP="00EB106D">
            <w:pPr>
              <w:keepNext/>
              <w:spacing w:after="0"/>
              <w:jc w:val="center"/>
              <w:rPr>
                <w:rFonts w:ascii="EC Square Sans Cond Pro" w:hAnsi="EC Square Sans Cond Pro" w:cs="Avenir Next LT Pro"/>
                <w:noProof/>
                <w:sz w:val="18"/>
                <w:szCs w:val="18"/>
              </w:rPr>
            </w:pPr>
            <w:r>
              <w:rPr>
                <w:rFonts w:ascii="EC Square Sans Cond Pro" w:hAnsi="EC Square Sans Cond Pro" w:cs="Calibri"/>
                <w:noProof/>
                <w:color w:val="000000"/>
                <w:sz w:val="18"/>
                <w:szCs w:val="18"/>
              </w:rPr>
              <w:t>50%</w:t>
            </w:r>
          </w:p>
        </w:tc>
        <w:tc>
          <w:tcPr>
            <w:tcW w:w="902" w:type="dxa"/>
            <w:noWrap/>
            <w:vAlign w:val="center"/>
          </w:tcPr>
          <w:p w14:paraId="0DD1D397" w14:textId="171B1326" w:rsidR="00D64E13" w:rsidRPr="002F3374" w:rsidRDefault="00D64E13"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50%</w:t>
            </w:r>
          </w:p>
        </w:tc>
        <w:tc>
          <w:tcPr>
            <w:tcW w:w="903" w:type="dxa"/>
            <w:vAlign w:val="center"/>
          </w:tcPr>
          <w:p w14:paraId="45AF0260" w14:textId="26BEC9BF" w:rsidR="00D64E13" w:rsidRPr="000870CD" w:rsidRDefault="00E734B9"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94%</w:t>
            </w:r>
          </w:p>
        </w:tc>
        <w:tc>
          <w:tcPr>
            <w:tcW w:w="902" w:type="dxa"/>
            <w:vAlign w:val="center"/>
          </w:tcPr>
          <w:p w14:paraId="65FAF164" w14:textId="5C4D9FC3" w:rsidR="00D64E13" w:rsidRPr="0077131C" w:rsidRDefault="00E734B9"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94%</w:t>
            </w:r>
          </w:p>
        </w:tc>
        <w:tc>
          <w:tcPr>
            <w:tcW w:w="902" w:type="dxa"/>
            <w:vAlign w:val="center"/>
          </w:tcPr>
          <w:p w14:paraId="670B8555" w14:textId="21114D07" w:rsidR="00D64E13" w:rsidRPr="003A3E3A" w:rsidRDefault="00D64E13"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100%</w:t>
            </w:r>
          </w:p>
        </w:tc>
        <w:tc>
          <w:tcPr>
            <w:tcW w:w="903" w:type="dxa"/>
            <w:vAlign w:val="center"/>
          </w:tcPr>
          <w:p w14:paraId="4006FF52" w14:textId="2DDA4E5D" w:rsidR="00D64E13" w:rsidRPr="003A3E3A" w:rsidRDefault="00D64E13"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100%</w:t>
            </w:r>
          </w:p>
        </w:tc>
      </w:tr>
      <w:tr w:rsidR="00EF1576" w:rsidRPr="009C1F61" w14:paraId="4FA22B52" w14:textId="77777777" w:rsidTr="00BA009A">
        <w:trPr>
          <w:trHeight w:val="300"/>
        </w:trPr>
        <w:tc>
          <w:tcPr>
            <w:tcW w:w="2518" w:type="dxa"/>
            <w:noWrap/>
            <w:vAlign w:val="center"/>
          </w:tcPr>
          <w:p w14:paraId="2E7CF23D" w14:textId="7F20B68B" w:rsidR="00EF1576" w:rsidRPr="009C1F61" w:rsidRDefault="00EF1576" w:rsidP="00144F1F">
            <w:pPr>
              <w:keepNext/>
              <w:spacing w:after="0"/>
              <w:jc w:val="left"/>
              <w:rPr>
                <w:rFonts w:ascii="EC Square Sans Cond Pro" w:hAnsi="EC Square Sans Cond Pro" w:cs="Avenir Next LT Pro"/>
                <w:noProof/>
                <w:sz w:val="18"/>
                <w:szCs w:val="18"/>
                <w:lang w:val="en-IE"/>
              </w:rPr>
            </w:pPr>
            <w:r>
              <w:rPr>
                <w:rFonts w:ascii="EC Square Sans Cond Pro" w:hAnsi="EC Square Sans Cond Pro" w:cs="Avenir Next LT Pro"/>
                <w:noProof/>
                <w:sz w:val="18"/>
                <w:szCs w:val="18"/>
                <w:lang w:val="en-IE"/>
              </w:rPr>
              <w:t>N2O (Agricultural soils)</w:t>
            </w:r>
          </w:p>
        </w:tc>
        <w:tc>
          <w:tcPr>
            <w:tcW w:w="902" w:type="dxa"/>
            <w:noWrap/>
            <w:vAlign w:val="center"/>
          </w:tcPr>
          <w:p w14:paraId="0A65E24F" w14:textId="480FB8B3" w:rsidR="00EF1576" w:rsidRPr="006A1B75" w:rsidRDefault="00EF1576" w:rsidP="00144F1F">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0%</w:t>
            </w:r>
          </w:p>
        </w:tc>
        <w:tc>
          <w:tcPr>
            <w:tcW w:w="902" w:type="dxa"/>
            <w:noWrap/>
            <w:vAlign w:val="center"/>
          </w:tcPr>
          <w:p w14:paraId="01A7A381" w14:textId="521E5807" w:rsidR="00EF1576" w:rsidRPr="00192045" w:rsidRDefault="00EF1576" w:rsidP="00144F1F">
            <w:pPr>
              <w:keepNext/>
              <w:spacing w:after="0"/>
              <w:jc w:val="center"/>
              <w:rPr>
                <w:rFonts w:ascii="EC Square Sans Cond Pro" w:hAnsi="EC Square Sans Cond Pro" w:cs="Avenir Next LT Pro"/>
                <w:noProof/>
                <w:sz w:val="18"/>
                <w:szCs w:val="18"/>
              </w:rPr>
            </w:pPr>
            <w:r>
              <w:rPr>
                <w:rFonts w:ascii="EC Square Sans Cond Pro" w:hAnsi="EC Square Sans Cond Pro" w:cs="Calibri"/>
                <w:noProof/>
                <w:color w:val="000000"/>
                <w:sz w:val="18"/>
                <w:szCs w:val="18"/>
              </w:rPr>
              <w:t>0%</w:t>
            </w:r>
          </w:p>
        </w:tc>
        <w:tc>
          <w:tcPr>
            <w:tcW w:w="902" w:type="dxa"/>
            <w:noWrap/>
            <w:vAlign w:val="center"/>
          </w:tcPr>
          <w:p w14:paraId="17384530" w14:textId="0A3F0E72" w:rsidR="00EF1576" w:rsidRPr="002F3374" w:rsidRDefault="00EF1576" w:rsidP="00144F1F">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0%</w:t>
            </w:r>
          </w:p>
        </w:tc>
        <w:tc>
          <w:tcPr>
            <w:tcW w:w="903" w:type="dxa"/>
            <w:vAlign w:val="center"/>
          </w:tcPr>
          <w:p w14:paraId="64C2F430" w14:textId="01CD4A37" w:rsidR="00EF1576" w:rsidRPr="000870CD" w:rsidRDefault="00E734B9" w:rsidP="00144F1F">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3</w:t>
            </w:r>
            <w:r w:rsidR="009A23A0">
              <w:rPr>
                <w:rFonts w:ascii="EC Square Sans Cond Pro" w:hAnsi="EC Square Sans Cond Pro" w:cs="Calibri"/>
                <w:noProof/>
                <w:color w:val="000000"/>
                <w:sz w:val="18"/>
                <w:szCs w:val="18"/>
              </w:rPr>
              <w:t>2</w:t>
            </w:r>
            <w:r>
              <w:rPr>
                <w:rFonts w:ascii="EC Square Sans Cond Pro" w:hAnsi="EC Square Sans Cond Pro" w:cs="Calibri"/>
                <w:noProof/>
                <w:color w:val="000000"/>
                <w:sz w:val="18"/>
                <w:szCs w:val="18"/>
              </w:rPr>
              <w:t>%</w:t>
            </w:r>
          </w:p>
        </w:tc>
        <w:tc>
          <w:tcPr>
            <w:tcW w:w="902" w:type="dxa"/>
            <w:vAlign w:val="center"/>
          </w:tcPr>
          <w:p w14:paraId="261ED228" w14:textId="11184120" w:rsidR="00EF1576" w:rsidRPr="0077131C" w:rsidRDefault="00E734B9" w:rsidP="00144F1F">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5</w:t>
            </w:r>
            <w:r w:rsidR="009A23A0">
              <w:rPr>
                <w:rFonts w:ascii="EC Square Sans Cond Pro" w:hAnsi="EC Square Sans Cond Pro" w:cs="Calibri"/>
                <w:noProof/>
                <w:color w:val="000000"/>
                <w:sz w:val="18"/>
                <w:szCs w:val="18"/>
              </w:rPr>
              <w:t>6</w:t>
            </w:r>
            <w:r>
              <w:rPr>
                <w:rFonts w:ascii="EC Square Sans Cond Pro" w:hAnsi="EC Square Sans Cond Pro" w:cs="Calibri"/>
                <w:noProof/>
                <w:color w:val="000000"/>
                <w:sz w:val="18"/>
                <w:szCs w:val="18"/>
              </w:rPr>
              <w:t>%</w:t>
            </w:r>
          </w:p>
        </w:tc>
        <w:tc>
          <w:tcPr>
            <w:tcW w:w="902" w:type="dxa"/>
            <w:vAlign w:val="center"/>
          </w:tcPr>
          <w:p w14:paraId="07711C4E" w14:textId="61592A41" w:rsidR="00EF1576" w:rsidRPr="003A3E3A" w:rsidRDefault="00E734B9" w:rsidP="00144F1F">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96%</w:t>
            </w:r>
          </w:p>
        </w:tc>
        <w:tc>
          <w:tcPr>
            <w:tcW w:w="903" w:type="dxa"/>
            <w:vAlign w:val="center"/>
          </w:tcPr>
          <w:p w14:paraId="195792A9" w14:textId="6747F739" w:rsidR="00EF1576" w:rsidRPr="003A3E3A" w:rsidRDefault="00EF1576" w:rsidP="00144F1F">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100%</w:t>
            </w:r>
          </w:p>
        </w:tc>
      </w:tr>
      <w:tr w:rsidR="00D64E13" w:rsidRPr="009C1F61" w14:paraId="454E5E8B" w14:textId="77777777" w:rsidTr="00BA009A">
        <w:trPr>
          <w:trHeight w:val="300"/>
        </w:trPr>
        <w:tc>
          <w:tcPr>
            <w:tcW w:w="2518" w:type="dxa"/>
            <w:noWrap/>
            <w:vAlign w:val="center"/>
          </w:tcPr>
          <w:p w14:paraId="5F3F9FE6" w14:textId="2EB2C9CB" w:rsidR="00D64E13" w:rsidRPr="009C1F61" w:rsidRDefault="00E734B9" w:rsidP="00EB106D">
            <w:pPr>
              <w:keepNext/>
              <w:spacing w:after="0"/>
              <w:jc w:val="left"/>
              <w:rPr>
                <w:rFonts w:ascii="EC Square Sans Cond Pro" w:hAnsi="EC Square Sans Cond Pro" w:cs="Avenir Next LT Pro"/>
                <w:noProof/>
                <w:sz w:val="18"/>
                <w:szCs w:val="18"/>
                <w:lang w:val="en-IE"/>
              </w:rPr>
            </w:pPr>
            <w:r>
              <w:rPr>
                <w:rFonts w:ascii="EC Square Sans Cond Pro" w:hAnsi="EC Square Sans Cond Pro" w:cs="Avenir Next LT Pro"/>
                <w:noProof/>
                <w:sz w:val="18"/>
                <w:szCs w:val="18"/>
                <w:lang w:val="en-IE"/>
              </w:rPr>
              <w:t>Total</w:t>
            </w:r>
          </w:p>
        </w:tc>
        <w:tc>
          <w:tcPr>
            <w:tcW w:w="902" w:type="dxa"/>
            <w:noWrap/>
            <w:vAlign w:val="center"/>
          </w:tcPr>
          <w:p w14:paraId="26E63211" w14:textId="22C8B672" w:rsidR="00D64E13" w:rsidRPr="006A1B75" w:rsidRDefault="00D64E13"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0%</w:t>
            </w:r>
          </w:p>
        </w:tc>
        <w:tc>
          <w:tcPr>
            <w:tcW w:w="902" w:type="dxa"/>
            <w:noWrap/>
            <w:vAlign w:val="center"/>
          </w:tcPr>
          <w:p w14:paraId="681B8526" w14:textId="73060FF9" w:rsidR="00D64E13" w:rsidRPr="00192045" w:rsidRDefault="00E734B9" w:rsidP="00EB106D">
            <w:pPr>
              <w:keepNext/>
              <w:spacing w:after="0"/>
              <w:jc w:val="center"/>
              <w:rPr>
                <w:rFonts w:ascii="EC Square Sans Cond Pro" w:hAnsi="EC Square Sans Cond Pro" w:cs="Avenir Next LT Pro"/>
                <w:noProof/>
                <w:sz w:val="18"/>
                <w:szCs w:val="18"/>
              </w:rPr>
            </w:pPr>
            <w:r>
              <w:rPr>
                <w:rFonts w:ascii="EC Square Sans Cond Pro" w:hAnsi="EC Square Sans Cond Pro" w:cs="Calibri"/>
                <w:noProof/>
                <w:color w:val="000000"/>
                <w:sz w:val="18"/>
                <w:szCs w:val="18"/>
              </w:rPr>
              <w:t>2</w:t>
            </w:r>
            <w:r w:rsidR="009A23A0">
              <w:rPr>
                <w:rFonts w:ascii="EC Square Sans Cond Pro" w:hAnsi="EC Square Sans Cond Pro" w:cs="Calibri"/>
                <w:noProof/>
                <w:color w:val="000000"/>
                <w:sz w:val="18"/>
                <w:szCs w:val="18"/>
              </w:rPr>
              <w:t>6</w:t>
            </w:r>
            <w:r>
              <w:rPr>
                <w:rFonts w:ascii="EC Square Sans Cond Pro" w:hAnsi="EC Square Sans Cond Pro" w:cs="Calibri"/>
                <w:noProof/>
                <w:color w:val="000000"/>
                <w:sz w:val="18"/>
                <w:szCs w:val="18"/>
              </w:rPr>
              <w:t>%</w:t>
            </w:r>
          </w:p>
        </w:tc>
        <w:tc>
          <w:tcPr>
            <w:tcW w:w="902" w:type="dxa"/>
            <w:noWrap/>
            <w:vAlign w:val="center"/>
          </w:tcPr>
          <w:p w14:paraId="02CFEDE2" w14:textId="2485AD9B" w:rsidR="00D64E13" w:rsidRPr="002F3374" w:rsidRDefault="00E734B9"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2</w:t>
            </w:r>
            <w:r w:rsidR="009A23A0">
              <w:rPr>
                <w:rFonts w:ascii="EC Square Sans Cond Pro" w:hAnsi="EC Square Sans Cond Pro" w:cs="Calibri"/>
                <w:noProof/>
                <w:color w:val="000000"/>
                <w:sz w:val="18"/>
                <w:szCs w:val="18"/>
              </w:rPr>
              <w:t>7</w:t>
            </w:r>
            <w:r>
              <w:rPr>
                <w:rFonts w:ascii="EC Square Sans Cond Pro" w:hAnsi="EC Square Sans Cond Pro" w:cs="Calibri"/>
                <w:noProof/>
                <w:color w:val="000000"/>
                <w:sz w:val="18"/>
                <w:szCs w:val="18"/>
              </w:rPr>
              <w:t>%</w:t>
            </w:r>
          </w:p>
        </w:tc>
        <w:tc>
          <w:tcPr>
            <w:tcW w:w="903" w:type="dxa"/>
            <w:vAlign w:val="center"/>
          </w:tcPr>
          <w:p w14:paraId="7DE599DD" w14:textId="3BB32D6F" w:rsidR="00D64E13" w:rsidRPr="000870CD" w:rsidRDefault="009A23A0"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61</w:t>
            </w:r>
            <w:r w:rsidR="00E734B9">
              <w:rPr>
                <w:rFonts w:ascii="EC Square Sans Cond Pro" w:hAnsi="EC Square Sans Cond Pro" w:cs="Calibri"/>
                <w:noProof/>
                <w:color w:val="000000"/>
                <w:sz w:val="18"/>
                <w:szCs w:val="18"/>
              </w:rPr>
              <w:t>%</w:t>
            </w:r>
          </w:p>
        </w:tc>
        <w:tc>
          <w:tcPr>
            <w:tcW w:w="902" w:type="dxa"/>
            <w:vAlign w:val="center"/>
          </w:tcPr>
          <w:p w14:paraId="6C4CBE47" w14:textId="22B4A8D4" w:rsidR="00D64E13" w:rsidRPr="0077131C" w:rsidRDefault="00E734B9"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7</w:t>
            </w:r>
            <w:r w:rsidR="009A23A0">
              <w:rPr>
                <w:rFonts w:ascii="EC Square Sans Cond Pro" w:hAnsi="EC Square Sans Cond Pro" w:cs="Calibri"/>
                <w:noProof/>
                <w:color w:val="000000"/>
                <w:sz w:val="18"/>
                <w:szCs w:val="18"/>
              </w:rPr>
              <w:t>5</w:t>
            </w:r>
            <w:r>
              <w:rPr>
                <w:rFonts w:ascii="EC Square Sans Cond Pro" w:hAnsi="EC Square Sans Cond Pro" w:cs="Calibri"/>
                <w:noProof/>
                <w:color w:val="000000"/>
                <w:sz w:val="18"/>
                <w:szCs w:val="18"/>
              </w:rPr>
              <w:t>%</w:t>
            </w:r>
          </w:p>
        </w:tc>
        <w:tc>
          <w:tcPr>
            <w:tcW w:w="902" w:type="dxa"/>
            <w:vAlign w:val="center"/>
          </w:tcPr>
          <w:p w14:paraId="572C9876" w14:textId="56D2BFE9" w:rsidR="00D64E13" w:rsidRPr="003A3E3A" w:rsidRDefault="00E734B9"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9</w:t>
            </w:r>
            <w:r w:rsidR="009A23A0">
              <w:rPr>
                <w:rFonts w:ascii="EC Square Sans Cond Pro" w:hAnsi="EC Square Sans Cond Pro" w:cs="Calibri"/>
                <w:noProof/>
                <w:color w:val="000000"/>
                <w:sz w:val="18"/>
                <w:szCs w:val="18"/>
              </w:rPr>
              <w:t>8</w:t>
            </w:r>
            <w:r>
              <w:rPr>
                <w:rFonts w:ascii="EC Square Sans Cond Pro" w:hAnsi="EC Square Sans Cond Pro" w:cs="Calibri"/>
                <w:noProof/>
                <w:color w:val="000000"/>
                <w:sz w:val="18"/>
                <w:szCs w:val="18"/>
              </w:rPr>
              <w:t>%</w:t>
            </w:r>
          </w:p>
        </w:tc>
        <w:tc>
          <w:tcPr>
            <w:tcW w:w="903" w:type="dxa"/>
            <w:vAlign w:val="center"/>
          </w:tcPr>
          <w:p w14:paraId="64E1CBA5" w14:textId="7A760086" w:rsidR="00D64E13" w:rsidRPr="003A3E3A" w:rsidRDefault="00D64E13" w:rsidP="00EB106D">
            <w:pPr>
              <w:keepNext/>
              <w:spacing w:after="0"/>
              <w:jc w:val="center"/>
              <w:rPr>
                <w:rFonts w:ascii="EC Square Sans Cond Pro" w:hAnsi="EC Square Sans Cond Pro" w:cs="Avenir Next LT Pro"/>
                <w:noProof/>
                <w:sz w:val="18"/>
                <w:szCs w:val="18"/>
                <w:lang w:val="en-IE"/>
              </w:rPr>
            </w:pPr>
            <w:r>
              <w:rPr>
                <w:rFonts w:ascii="EC Square Sans Cond Pro" w:hAnsi="EC Square Sans Cond Pro" w:cs="Calibri"/>
                <w:noProof/>
                <w:color w:val="000000"/>
                <w:sz w:val="18"/>
                <w:szCs w:val="18"/>
              </w:rPr>
              <w:t>100%</w:t>
            </w:r>
          </w:p>
        </w:tc>
      </w:tr>
    </w:tbl>
    <w:p w14:paraId="02FB6F68" w14:textId="77777777" w:rsidR="00D64E13" w:rsidDel="00C451F4" w:rsidRDefault="00D64E13" w:rsidP="00CC3E5B">
      <w:pPr>
        <w:pStyle w:val="CT-NOTE"/>
        <w:rPr>
          <w:noProof/>
        </w:rPr>
      </w:pPr>
    </w:p>
    <w:p w14:paraId="50B957AE" w14:textId="718203A3" w:rsidR="007C3973" w:rsidRPr="00FF5625" w:rsidRDefault="007C3973" w:rsidP="00CC3E5B">
      <w:pPr>
        <w:pStyle w:val="CT-NOTE"/>
        <w:rPr>
          <w:noProof/>
        </w:rPr>
      </w:pPr>
      <w:r>
        <w:rPr>
          <w:noProof/>
        </w:rPr>
        <w:t xml:space="preserve">Note: *In this table, the non-CO2 GHG emissions at zero marginal abatement cost correspond to the emissions </w:t>
      </w:r>
      <w:r w:rsidR="00F06979">
        <w:rPr>
          <w:noProof/>
        </w:rPr>
        <w:t xml:space="preserve">without </w:t>
      </w:r>
      <w:r w:rsidR="009F1E84">
        <w:rPr>
          <w:noProof/>
        </w:rPr>
        <w:t xml:space="preserve">additional </w:t>
      </w:r>
      <w:r w:rsidR="00F06979">
        <w:rPr>
          <w:noProof/>
        </w:rPr>
        <w:t>mitigation</w:t>
      </w:r>
      <w:r>
        <w:rPr>
          <w:noProof/>
        </w:rPr>
        <w:t xml:space="preserve"> in 2040.</w:t>
      </w:r>
      <w:r w:rsidR="00124925">
        <w:rPr>
          <w:noProof/>
        </w:rPr>
        <w:t xml:space="preserve"> </w:t>
      </w:r>
      <w:r w:rsidR="00124925" w:rsidRPr="00124925">
        <w:rPr>
          <w:noProof/>
        </w:rPr>
        <w:t xml:space="preserve">Marginal abatement costs are </w:t>
      </w:r>
      <w:r w:rsidR="00124925" w:rsidRPr="00FF5625">
        <w:rPr>
          <w:noProof/>
        </w:rPr>
        <w:t>expressed in constant EUR 2015.</w:t>
      </w:r>
    </w:p>
    <w:p w14:paraId="71658CFE" w14:textId="49EA3104" w:rsidR="007C3973" w:rsidRPr="007C3973" w:rsidRDefault="007C3973" w:rsidP="00CC3E5B">
      <w:pPr>
        <w:pStyle w:val="CT-SOURCE"/>
        <w:rPr>
          <w:noProof/>
        </w:rPr>
      </w:pPr>
      <w:r w:rsidRPr="00FF5625">
        <w:rPr>
          <w:noProof/>
        </w:rPr>
        <w:t>Source: GAINS</w:t>
      </w:r>
      <w:r>
        <w:rPr>
          <w:noProof/>
        </w:rPr>
        <w:t>.</w:t>
      </w:r>
    </w:p>
    <w:p w14:paraId="0C629DB8" w14:textId="35BB5B0B" w:rsidR="00DE1ABB" w:rsidRDefault="00DE1ABB" w:rsidP="00DE1ABB">
      <w:pPr>
        <w:pStyle w:val="Heading3"/>
        <w:rPr>
          <w:noProof/>
        </w:rPr>
      </w:pPr>
      <w:bookmarkStart w:id="451" w:name="_Ref143778912"/>
      <w:bookmarkStart w:id="452" w:name="_Toc148605619"/>
      <w:bookmarkStart w:id="453" w:name="_Toc157692065"/>
      <w:bookmarkStart w:id="454" w:name="_Ref141874492"/>
      <w:r w:rsidRPr="00E325DB">
        <w:rPr>
          <w:noProof/>
        </w:rPr>
        <w:t xml:space="preserve">GHG emissions </w:t>
      </w:r>
      <w:bookmarkEnd w:id="451"/>
      <w:r w:rsidR="00DE4360">
        <w:rPr>
          <w:noProof/>
        </w:rPr>
        <w:t>projections</w:t>
      </w:r>
      <w:bookmarkEnd w:id="452"/>
      <w:bookmarkEnd w:id="453"/>
    </w:p>
    <w:p w14:paraId="44A18B4E" w14:textId="77777777" w:rsidR="00137EFD" w:rsidRDefault="00D465AD" w:rsidP="00137EFD">
      <w:pPr>
        <w:rPr>
          <w:noProof/>
        </w:rPr>
      </w:pPr>
      <w:r>
        <w:rPr>
          <w:noProof/>
        </w:rPr>
        <w:t xml:space="preserve">This section </w:t>
      </w:r>
      <w:r w:rsidR="00AF4786">
        <w:rPr>
          <w:noProof/>
        </w:rPr>
        <w:t>presents</w:t>
      </w:r>
      <w:r>
        <w:rPr>
          <w:noProof/>
        </w:rPr>
        <w:t xml:space="preserve"> the </w:t>
      </w:r>
      <w:r w:rsidR="00AF4786">
        <w:rPr>
          <w:noProof/>
        </w:rPr>
        <w:t xml:space="preserve">agriculture </w:t>
      </w:r>
      <w:r>
        <w:rPr>
          <w:noProof/>
        </w:rPr>
        <w:t xml:space="preserve">GHG emissions trajectory in each scenario. </w:t>
      </w:r>
    </w:p>
    <w:p w14:paraId="16F3993E" w14:textId="54DBDB97" w:rsidR="00137EFD" w:rsidRDefault="00137EFD" w:rsidP="00137EFD">
      <w:pPr>
        <w:rPr>
          <w:noProof/>
        </w:rPr>
      </w:pPr>
      <w:r>
        <w:rPr>
          <w:noProof/>
        </w:rPr>
        <w:t xml:space="preserve">Currently, almost all GHG emissions from agriculture that are not related to energy consumption (i.e., all category 3 of the UNFCCC inventory) are CH4 and N2O emissions (see </w:t>
      </w:r>
      <w:r w:rsidRPr="005948CC">
        <w:rPr>
          <w:noProof/>
        </w:rPr>
        <w:fldChar w:fldCharType="begin"/>
      </w:r>
      <w:r w:rsidRPr="005948CC">
        <w:rPr>
          <w:noProof/>
        </w:rPr>
        <w:instrText xml:space="preserve"> REF _Ref147328772 \h  \* MERGEFORMAT </w:instrText>
      </w:r>
      <w:r w:rsidRPr="005948CC">
        <w:rPr>
          <w:noProof/>
        </w:rPr>
      </w:r>
      <w:r w:rsidRPr="005948CC">
        <w:rPr>
          <w:noProof/>
        </w:rPr>
        <w:fldChar w:fldCharType="separate"/>
      </w:r>
      <w:r w:rsidR="00170A3C">
        <w:rPr>
          <w:noProof/>
        </w:rPr>
        <w:t>Table 18</w:t>
      </w:r>
      <w:r w:rsidRPr="005948CC">
        <w:rPr>
          <w:noProof/>
        </w:rPr>
        <w:fldChar w:fldCharType="end"/>
      </w:r>
      <w:r>
        <w:rPr>
          <w:noProof/>
        </w:rPr>
        <w:t xml:space="preserve"> and </w:t>
      </w:r>
      <w:r>
        <w:rPr>
          <w:noProof/>
        </w:rPr>
        <w:fldChar w:fldCharType="begin"/>
      </w:r>
      <w:r>
        <w:rPr>
          <w:noProof/>
        </w:rPr>
        <w:instrText xml:space="preserve"> REF _Ref152000696 \h </w:instrText>
      </w:r>
      <w:r>
        <w:rPr>
          <w:noProof/>
        </w:rPr>
      </w:r>
      <w:r>
        <w:rPr>
          <w:noProof/>
        </w:rPr>
        <w:fldChar w:fldCharType="separate"/>
      </w:r>
      <w:r w:rsidR="00170A3C" w:rsidRPr="00D12C90">
        <w:rPr>
          <w:noProof/>
          <w:lang w:val="en-IE"/>
        </w:rPr>
        <w:t xml:space="preserve">Figure </w:t>
      </w:r>
      <w:r w:rsidR="00170A3C">
        <w:rPr>
          <w:noProof/>
          <w:lang w:val="en-IE"/>
        </w:rPr>
        <w:t>84</w:t>
      </w:r>
      <w:r>
        <w:rPr>
          <w:noProof/>
        </w:rPr>
        <w:fldChar w:fldCharType="end"/>
      </w:r>
      <w:r>
        <w:rPr>
          <w:noProof/>
        </w:rPr>
        <w:t xml:space="preserve">). CO2 emissions included in category 3 are very small and are assumed to remain constant at historical level (10 MtCO2). CO2 emissions from agriculture related to energy consumption (i.e., those included in category 1 of the UNFCCC inventory) are not analysed in this section, but in </w:t>
      </w:r>
      <w:r w:rsidRPr="005948CC">
        <w:rPr>
          <w:noProof/>
        </w:rPr>
        <w:t>Section</w:t>
      </w:r>
      <w:r>
        <w:rPr>
          <w:noProof/>
        </w:rPr>
        <w:t xml:space="preserve"> </w:t>
      </w:r>
      <w:r>
        <w:rPr>
          <w:noProof/>
        </w:rPr>
        <w:fldChar w:fldCharType="begin"/>
      </w:r>
      <w:r>
        <w:rPr>
          <w:noProof/>
        </w:rPr>
        <w:instrText xml:space="preserve"> REF _Ref141878042 \r \h </w:instrText>
      </w:r>
      <w:r>
        <w:rPr>
          <w:noProof/>
        </w:rPr>
      </w:r>
      <w:r>
        <w:rPr>
          <w:noProof/>
        </w:rPr>
        <w:fldChar w:fldCharType="separate"/>
      </w:r>
      <w:r w:rsidR="00170A3C">
        <w:rPr>
          <w:noProof/>
        </w:rPr>
        <w:t>1.1.3</w:t>
      </w:r>
      <w:r>
        <w:rPr>
          <w:noProof/>
        </w:rPr>
        <w:fldChar w:fldCharType="end"/>
      </w:r>
      <w:r>
        <w:rPr>
          <w:noProof/>
        </w:rPr>
        <w:t xml:space="preserve">. </w:t>
      </w:r>
    </w:p>
    <w:p w14:paraId="778B06FE" w14:textId="15D7F849" w:rsidR="0007263E" w:rsidRDefault="00036725" w:rsidP="0007263E">
      <w:pPr>
        <w:rPr>
          <w:noProof/>
        </w:rPr>
      </w:pPr>
      <w:r>
        <w:rPr>
          <w:noProof/>
        </w:rPr>
        <w:t>T</w:t>
      </w:r>
      <w:r w:rsidR="00D465AD">
        <w:rPr>
          <w:noProof/>
        </w:rPr>
        <w:t xml:space="preserve">he </w:t>
      </w:r>
      <w:r w:rsidR="00D465AD" w:rsidDel="00036725">
        <w:rPr>
          <w:noProof/>
        </w:rPr>
        <w:t xml:space="preserve">S1 </w:t>
      </w:r>
      <w:r w:rsidR="00D465AD">
        <w:rPr>
          <w:noProof/>
        </w:rPr>
        <w:t>scenario</w:t>
      </w:r>
      <w:r>
        <w:rPr>
          <w:noProof/>
        </w:rPr>
        <w:t xml:space="preserve"> </w:t>
      </w:r>
      <w:r w:rsidR="00D465AD">
        <w:rPr>
          <w:noProof/>
        </w:rPr>
        <w:t xml:space="preserve">assumes that </w:t>
      </w:r>
      <w:r w:rsidR="001466E4">
        <w:rPr>
          <w:noProof/>
        </w:rPr>
        <w:t xml:space="preserve">no </w:t>
      </w:r>
      <w:r w:rsidR="008E01D5">
        <w:rPr>
          <w:noProof/>
        </w:rPr>
        <w:t xml:space="preserve">additional </w:t>
      </w:r>
      <w:r w:rsidR="00D465AD" w:rsidRPr="00D465AD">
        <w:rPr>
          <w:noProof/>
        </w:rPr>
        <w:t xml:space="preserve">mitigation measures are deployed </w:t>
      </w:r>
      <w:r w:rsidR="00AF4786">
        <w:rPr>
          <w:noProof/>
        </w:rPr>
        <w:t>by</w:t>
      </w:r>
      <w:r w:rsidR="00D465AD" w:rsidRPr="00D465AD">
        <w:rPr>
          <w:noProof/>
        </w:rPr>
        <w:t xml:space="preserve"> 2040</w:t>
      </w:r>
      <w:r w:rsidR="001466E4">
        <w:rPr>
          <w:noProof/>
        </w:rPr>
        <w:t>.</w:t>
      </w:r>
      <w:r w:rsidR="008E553E" w:rsidRPr="008E553E">
        <w:rPr>
          <w:noProof/>
        </w:rPr>
        <w:t xml:space="preserve"> </w:t>
      </w:r>
      <w:r w:rsidR="008E01D5">
        <w:rPr>
          <w:noProof/>
        </w:rPr>
        <w:t>In t</w:t>
      </w:r>
      <w:r w:rsidR="008E553E" w:rsidRPr="008E553E">
        <w:rPr>
          <w:noProof/>
        </w:rPr>
        <w:t>he S2 scenario</w:t>
      </w:r>
      <w:r w:rsidR="008E01D5">
        <w:rPr>
          <w:noProof/>
        </w:rPr>
        <w:t>, reductions take place, mostly through the deployment by 2040 of technologies reducing CH4 emissions (</w:t>
      </w:r>
      <w:r w:rsidR="008E553E" w:rsidRPr="008E553E">
        <w:rPr>
          <w:noProof/>
        </w:rPr>
        <w:t xml:space="preserve">such as feeding additives, farm-scale anaerobic digestion with biogas recovery, and breeding through selection to enhance productivity, fertility and </w:t>
      </w:r>
      <w:r w:rsidR="00301E08" w:rsidRPr="00301E08">
        <w:rPr>
          <w:noProof/>
        </w:rPr>
        <w:t>longevity</w:t>
      </w:r>
      <w:r w:rsidR="008E01D5">
        <w:rPr>
          <w:noProof/>
        </w:rPr>
        <w:t>), while t</w:t>
      </w:r>
      <w:r w:rsidR="008E553E" w:rsidRPr="008E553E">
        <w:rPr>
          <w:noProof/>
        </w:rPr>
        <w:t xml:space="preserve">echnologies to reduce N2O emissions from agriculture are only partially deployed in 2040. </w:t>
      </w:r>
      <w:r w:rsidR="00AF4786">
        <w:rPr>
          <w:noProof/>
        </w:rPr>
        <w:t xml:space="preserve">S3 and LIFE assume </w:t>
      </w:r>
      <w:r w:rsidR="008E01D5">
        <w:rPr>
          <w:noProof/>
        </w:rPr>
        <w:t xml:space="preserve">the </w:t>
      </w:r>
      <w:r w:rsidR="00AF4786">
        <w:rPr>
          <w:noProof/>
        </w:rPr>
        <w:t xml:space="preserve">full deployment of </w:t>
      </w:r>
      <w:r w:rsidR="008E553E">
        <w:rPr>
          <w:noProof/>
        </w:rPr>
        <w:t xml:space="preserve">all </w:t>
      </w:r>
      <w:r w:rsidR="004F6169">
        <w:rPr>
          <w:noProof/>
        </w:rPr>
        <w:t xml:space="preserve">additional </w:t>
      </w:r>
      <w:r w:rsidR="008E553E">
        <w:rPr>
          <w:noProof/>
        </w:rPr>
        <w:t xml:space="preserve">mitigation </w:t>
      </w:r>
      <w:r w:rsidR="00AF4786">
        <w:rPr>
          <w:noProof/>
        </w:rPr>
        <w:t xml:space="preserve">measures </w:t>
      </w:r>
      <w:r w:rsidR="004F6169">
        <w:rPr>
          <w:noProof/>
        </w:rPr>
        <w:t>(</w:t>
      </w:r>
      <w:r w:rsidR="008E553E">
        <w:rPr>
          <w:noProof/>
        </w:rPr>
        <w:t xml:space="preserve">including </w:t>
      </w:r>
      <w:r w:rsidR="004F6169" w:rsidRPr="004F6169">
        <w:rPr>
          <w:noProof/>
        </w:rPr>
        <w:t>nitrification inhibitors</w:t>
      </w:r>
      <w:r w:rsidR="00964AE8">
        <w:rPr>
          <w:noProof/>
        </w:rPr>
        <w:t>,</w:t>
      </w:r>
      <w:r w:rsidR="004F6169" w:rsidRPr="004F6169">
        <w:rPr>
          <w:noProof/>
        </w:rPr>
        <w:t xml:space="preserve"> variable rate technology</w:t>
      </w:r>
      <w:r w:rsidR="00964AE8">
        <w:rPr>
          <w:noProof/>
        </w:rPr>
        <w:t xml:space="preserve"> and </w:t>
      </w:r>
      <w:r w:rsidR="00964AE8" w:rsidRPr="00964AE8">
        <w:rPr>
          <w:noProof/>
        </w:rPr>
        <w:t>restoring drained organic soils</w:t>
      </w:r>
      <w:r w:rsidR="004F6169">
        <w:rPr>
          <w:noProof/>
        </w:rPr>
        <w:t xml:space="preserve">) </w:t>
      </w:r>
      <w:r w:rsidR="005C0187">
        <w:rPr>
          <w:noProof/>
        </w:rPr>
        <w:t>by</w:t>
      </w:r>
      <w:r w:rsidR="00AF4786">
        <w:rPr>
          <w:noProof/>
        </w:rPr>
        <w:t xml:space="preserve"> 2040</w:t>
      </w:r>
      <w:r>
        <w:rPr>
          <w:noProof/>
        </w:rPr>
        <w:t>, thus</w:t>
      </w:r>
      <w:r w:rsidR="00412699">
        <w:rPr>
          <w:noProof/>
        </w:rPr>
        <w:t xml:space="preserve"> </w:t>
      </w:r>
      <w:r>
        <w:rPr>
          <w:noProof/>
        </w:rPr>
        <w:t>cont</w:t>
      </w:r>
      <w:r w:rsidR="00412699">
        <w:rPr>
          <w:noProof/>
        </w:rPr>
        <w:t>ri</w:t>
      </w:r>
      <w:r>
        <w:rPr>
          <w:noProof/>
        </w:rPr>
        <w:t>buting to the overall net GHG reduction</w:t>
      </w:r>
      <w:r w:rsidR="00412699">
        <w:rPr>
          <w:noProof/>
        </w:rPr>
        <w:t>s</w:t>
      </w:r>
      <w:r w:rsidR="00AF4786">
        <w:rPr>
          <w:noProof/>
        </w:rPr>
        <w:t>.</w:t>
      </w:r>
      <w:r w:rsidR="0007263E">
        <w:rPr>
          <w:noProof/>
        </w:rPr>
        <w:t xml:space="preserve"> </w:t>
      </w:r>
      <w:r w:rsidR="00026D55">
        <w:rPr>
          <w:noProof/>
        </w:rPr>
        <w:t>In modelling terms, t</w:t>
      </w:r>
      <w:r w:rsidR="0007263E" w:rsidRPr="00962711">
        <w:rPr>
          <w:noProof/>
        </w:rPr>
        <w:t xml:space="preserve">he </w:t>
      </w:r>
      <w:r>
        <w:rPr>
          <w:noProof/>
        </w:rPr>
        <w:t xml:space="preserve">extra mitigation to the baseline </w:t>
      </w:r>
      <w:r w:rsidR="00026D55">
        <w:rPr>
          <w:noProof/>
        </w:rPr>
        <w:t xml:space="preserve">is realised through the application of a </w:t>
      </w:r>
      <w:r w:rsidR="0007263E">
        <w:rPr>
          <w:noProof/>
        </w:rPr>
        <w:t>“</w:t>
      </w:r>
      <w:r w:rsidR="0007263E" w:rsidRPr="00962711">
        <w:rPr>
          <w:noProof/>
        </w:rPr>
        <w:t>carbon value</w:t>
      </w:r>
      <w:r w:rsidR="0007263E">
        <w:rPr>
          <w:noProof/>
        </w:rPr>
        <w:t>”</w:t>
      </w:r>
      <w:r w:rsidR="0007263E" w:rsidRPr="00962711">
        <w:rPr>
          <w:noProof/>
        </w:rPr>
        <w:t xml:space="preserve"> to </w:t>
      </w:r>
      <w:r>
        <w:rPr>
          <w:noProof/>
        </w:rPr>
        <w:t xml:space="preserve">GHG emissions applied to </w:t>
      </w:r>
      <w:r w:rsidR="00ED3519">
        <w:rPr>
          <w:noProof/>
        </w:rPr>
        <w:t xml:space="preserve">the sector </w:t>
      </w:r>
      <w:r>
        <w:rPr>
          <w:noProof/>
        </w:rPr>
        <w:t xml:space="preserve">(see </w:t>
      </w:r>
      <w:r w:rsidRPr="005948CC">
        <w:rPr>
          <w:noProof/>
        </w:rPr>
        <w:t>Annex 6</w:t>
      </w:r>
      <w:r w:rsidR="00412699">
        <w:rPr>
          <w:noProof/>
        </w:rPr>
        <w:t xml:space="preserve"> and previous section on mitigation potential in the sector</w:t>
      </w:r>
      <w:r>
        <w:rPr>
          <w:noProof/>
        </w:rPr>
        <w:t>)</w:t>
      </w:r>
      <w:r w:rsidR="0007263E">
        <w:rPr>
          <w:noProof/>
        </w:rPr>
        <w:t xml:space="preserve">. </w:t>
      </w:r>
    </w:p>
    <w:p w14:paraId="3F07972E" w14:textId="62B656FD" w:rsidR="0098702B" w:rsidRPr="00847F74" w:rsidRDefault="0098702B" w:rsidP="00BB430D">
      <w:pPr>
        <w:pStyle w:val="Caption"/>
        <w:rPr>
          <w:noProof/>
          <w:lang w:val="en-IE"/>
        </w:rPr>
      </w:pPr>
      <w:bookmarkStart w:id="455" w:name="_Ref152000696"/>
      <w:bookmarkStart w:id="456" w:name="_Toc157679832"/>
      <w:r w:rsidRPr="00D12C90">
        <w:rPr>
          <w:noProof/>
          <w:lang w:val="en-IE"/>
        </w:rPr>
        <w:t xml:space="preserve">Figure </w:t>
      </w:r>
      <w:r>
        <w:rPr>
          <w:noProof/>
          <w:lang w:val="en-IE"/>
        </w:rPr>
        <w:fldChar w:fldCharType="begin"/>
      </w:r>
      <w:r>
        <w:rPr>
          <w:noProof/>
          <w:lang w:val="en-IE"/>
        </w:rPr>
        <w:instrText xml:space="preserve"> SEQ Figure \* ARABIC </w:instrText>
      </w:r>
      <w:r>
        <w:rPr>
          <w:noProof/>
          <w:lang w:val="en-IE"/>
        </w:rPr>
        <w:fldChar w:fldCharType="separate"/>
      </w:r>
      <w:r w:rsidR="00170A3C">
        <w:rPr>
          <w:noProof/>
          <w:lang w:val="en-IE"/>
        </w:rPr>
        <w:t>84</w:t>
      </w:r>
      <w:r>
        <w:rPr>
          <w:noProof/>
          <w:lang w:val="en-IE"/>
        </w:rPr>
        <w:fldChar w:fldCharType="end"/>
      </w:r>
      <w:bookmarkEnd w:id="455"/>
      <w:r w:rsidRPr="00D12C90">
        <w:rPr>
          <w:noProof/>
          <w:lang w:val="en-IE"/>
        </w:rPr>
        <w:t xml:space="preserve">: </w:t>
      </w:r>
      <w:r>
        <w:rPr>
          <w:noProof/>
          <w:lang w:val="en-IE"/>
        </w:rPr>
        <w:t>GHG</w:t>
      </w:r>
      <w:r w:rsidRPr="00D12C90">
        <w:rPr>
          <w:noProof/>
          <w:lang w:val="en-IE"/>
        </w:rPr>
        <w:t xml:space="preserve"> </w:t>
      </w:r>
      <w:r>
        <w:rPr>
          <w:noProof/>
          <w:lang w:val="en-IE"/>
        </w:rPr>
        <w:t>emissions</w:t>
      </w:r>
      <w:r w:rsidRPr="00D12C90">
        <w:rPr>
          <w:noProof/>
          <w:lang w:val="en-IE"/>
        </w:rPr>
        <w:t xml:space="preserve"> from agriculture </w:t>
      </w:r>
      <w:r>
        <w:rPr>
          <w:noProof/>
          <w:lang w:val="en-IE"/>
        </w:rPr>
        <w:t>by gas</w:t>
      </w:r>
      <w:bookmarkEnd w:id="456"/>
    </w:p>
    <w:p w14:paraId="2760A341" w14:textId="430DA6DC" w:rsidR="00BB430D" w:rsidRPr="00847F74" w:rsidRDefault="00BB430D" w:rsidP="0098702B">
      <w:pPr>
        <w:keepNext/>
        <w:keepLines/>
        <w:jc w:val="center"/>
        <w:rPr>
          <w:noProof/>
          <w:lang w:val="en-IE"/>
        </w:rPr>
      </w:pPr>
      <w:r w:rsidRPr="00BB430D">
        <w:rPr>
          <w:noProof/>
          <w:lang w:eastAsia="en-GB"/>
        </w:rPr>
        <w:drawing>
          <wp:inline distT="0" distB="0" distL="0" distR="0" wp14:anchorId="1D75C283" wp14:editId="1BDE87D5">
            <wp:extent cx="5401310" cy="2519680"/>
            <wp:effectExtent l="0" t="0" r="889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5401310" cy="2519680"/>
                    </a:xfrm>
                    <a:prstGeom prst="rect">
                      <a:avLst/>
                    </a:prstGeom>
                    <a:noFill/>
                    <a:ln>
                      <a:noFill/>
                    </a:ln>
                  </pic:spPr>
                </pic:pic>
              </a:graphicData>
            </a:graphic>
          </wp:inline>
        </w:drawing>
      </w:r>
    </w:p>
    <w:p w14:paraId="213F9E46" w14:textId="29E5632F" w:rsidR="0098702B" w:rsidRDefault="0098702B" w:rsidP="0098702B">
      <w:pPr>
        <w:pStyle w:val="CT-NOTE"/>
        <w:rPr>
          <w:noProof/>
        </w:rPr>
      </w:pPr>
      <w:r w:rsidRPr="00E771A8">
        <w:rPr>
          <w:noProof/>
        </w:rPr>
        <w:t xml:space="preserve">Note: *In the S1 and </w:t>
      </w:r>
      <w:r>
        <w:rPr>
          <w:noProof/>
        </w:rPr>
        <w:t>S2</w:t>
      </w:r>
      <w:r w:rsidRPr="00E771A8">
        <w:rPr>
          <w:noProof/>
        </w:rPr>
        <w:t xml:space="preserve"> scenarios, emissions in 2050 are equal to those in the </w:t>
      </w:r>
      <w:r>
        <w:rPr>
          <w:noProof/>
        </w:rPr>
        <w:t>S3</w:t>
      </w:r>
      <w:r w:rsidRPr="00E771A8">
        <w:rPr>
          <w:noProof/>
        </w:rPr>
        <w:t xml:space="preserve"> scenario.</w:t>
      </w:r>
      <w:r w:rsidR="00ED3661">
        <w:rPr>
          <w:noProof/>
        </w:rPr>
        <w:t xml:space="preserve"> </w:t>
      </w:r>
      <w:r w:rsidR="000C34CD" w:rsidRPr="000C34CD">
        <w:rPr>
          <w:noProof/>
        </w:rPr>
        <w:t>**CO2 emissions include only emissions in category 3 (“Agriculture").</w:t>
      </w:r>
    </w:p>
    <w:p w14:paraId="20A79FC0" w14:textId="77777777" w:rsidR="0098702B" w:rsidRDefault="0098702B" w:rsidP="0098702B">
      <w:pPr>
        <w:pStyle w:val="CT2040-SOURCE"/>
        <w:keepNext/>
        <w:rPr>
          <w:noProof/>
        </w:rPr>
      </w:pPr>
      <w:r w:rsidRPr="008D3328">
        <w:rPr>
          <w:noProof/>
        </w:rPr>
        <w:t>Source: GAINS.</w:t>
      </w:r>
    </w:p>
    <w:p w14:paraId="3AE36B42" w14:textId="67244FB7" w:rsidR="00E13D20" w:rsidRDefault="005C0187" w:rsidP="00AA54D4">
      <w:pPr>
        <w:rPr>
          <w:noProof/>
        </w:rPr>
      </w:pPr>
      <w:r>
        <w:rPr>
          <w:noProof/>
        </w:rPr>
        <w:t xml:space="preserve">The </w:t>
      </w:r>
      <w:r w:rsidR="00E241BA">
        <w:rPr>
          <w:noProof/>
        </w:rPr>
        <w:t>amount of</w:t>
      </w:r>
      <w:r>
        <w:rPr>
          <w:noProof/>
        </w:rPr>
        <w:t xml:space="preserve"> </w:t>
      </w:r>
      <w:r w:rsidR="00D2473C">
        <w:rPr>
          <w:noProof/>
        </w:rPr>
        <w:t>GHG</w:t>
      </w:r>
      <w:r w:rsidR="00962711">
        <w:rPr>
          <w:noProof/>
        </w:rPr>
        <w:t xml:space="preserve"> emissions</w:t>
      </w:r>
      <w:r w:rsidR="00942275" w:rsidRPr="00942275">
        <w:rPr>
          <w:noProof/>
        </w:rPr>
        <w:t> (</w:t>
      </w:r>
      <w:r w:rsidR="00942275">
        <w:rPr>
          <w:rStyle w:val="FootnoteReference"/>
          <w:noProof/>
        </w:rPr>
        <w:footnoteReference w:id="153"/>
      </w:r>
      <w:r w:rsidR="00942275">
        <w:rPr>
          <w:noProof/>
        </w:rPr>
        <w:t>)</w:t>
      </w:r>
      <w:r w:rsidR="00AA54D4" w:rsidRPr="00AA54D4">
        <w:rPr>
          <w:noProof/>
        </w:rPr>
        <w:t xml:space="preserve"> </w:t>
      </w:r>
      <w:r w:rsidR="002C2790">
        <w:rPr>
          <w:noProof/>
        </w:rPr>
        <w:t>generated</w:t>
      </w:r>
      <w:r w:rsidR="00962711">
        <w:rPr>
          <w:noProof/>
        </w:rPr>
        <w:t xml:space="preserve"> by </w:t>
      </w:r>
      <w:r w:rsidR="00AA54D4" w:rsidRPr="00AA54D4">
        <w:rPr>
          <w:noProof/>
        </w:rPr>
        <w:t xml:space="preserve">the agriculture sector in 2040 </w:t>
      </w:r>
      <w:r w:rsidR="00E241BA">
        <w:rPr>
          <w:noProof/>
        </w:rPr>
        <w:t>is</w:t>
      </w:r>
      <w:r w:rsidR="00AA54D4" w:rsidRPr="00AA54D4">
        <w:rPr>
          <w:noProof/>
        </w:rPr>
        <w:t xml:space="preserve"> projected to be </w:t>
      </w:r>
      <w:r w:rsidR="002363DB">
        <w:rPr>
          <w:noProof/>
        </w:rPr>
        <w:t>351</w:t>
      </w:r>
      <w:r w:rsidR="008A1AC1">
        <w:rPr>
          <w:noProof/>
        </w:rPr>
        <w:t> </w:t>
      </w:r>
      <w:r w:rsidR="008B79F1">
        <w:rPr>
          <w:noProof/>
        </w:rPr>
        <w:t>MtCO2</w:t>
      </w:r>
      <w:r w:rsidR="008A1AC1">
        <w:rPr>
          <w:noProof/>
        </w:rPr>
        <w:noBreakHyphen/>
      </w:r>
      <w:r w:rsidR="008B79F1">
        <w:rPr>
          <w:noProof/>
        </w:rPr>
        <w:t>eq in S1 (</w:t>
      </w:r>
      <w:r w:rsidR="002363DB">
        <w:rPr>
          <w:noProof/>
        </w:rPr>
        <w:t>9%</w:t>
      </w:r>
      <w:r w:rsidR="008B79F1">
        <w:rPr>
          <w:noProof/>
        </w:rPr>
        <w:t xml:space="preserve"> lower than in 2015)</w:t>
      </w:r>
      <w:r w:rsidR="004335EF">
        <w:rPr>
          <w:noProof/>
        </w:rPr>
        <w:t>, 302 MtCO2</w:t>
      </w:r>
      <w:r w:rsidR="004335EF">
        <w:rPr>
          <w:noProof/>
        </w:rPr>
        <w:noBreakHyphen/>
        <w:t>eq in S2 (22% lower than in 2015),</w:t>
      </w:r>
      <w:r w:rsidR="008B79F1">
        <w:rPr>
          <w:noProof/>
        </w:rPr>
        <w:t xml:space="preserve"> and </w:t>
      </w:r>
      <w:r w:rsidR="00AA54D4" w:rsidRPr="00AA54D4">
        <w:rPr>
          <w:noProof/>
        </w:rPr>
        <w:t>2</w:t>
      </w:r>
      <w:r w:rsidR="00BA22F8">
        <w:rPr>
          <w:noProof/>
        </w:rPr>
        <w:t>7</w:t>
      </w:r>
      <w:r w:rsidR="00AA54D4" w:rsidRPr="00AA54D4">
        <w:rPr>
          <w:noProof/>
        </w:rPr>
        <w:t>1</w:t>
      </w:r>
      <w:r w:rsidR="00FC78D6">
        <w:rPr>
          <w:noProof/>
        </w:rPr>
        <w:t xml:space="preserve"> </w:t>
      </w:r>
      <w:r w:rsidR="00AA54D4" w:rsidRPr="00AA54D4">
        <w:rPr>
          <w:noProof/>
        </w:rPr>
        <w:t>MtCO2-eq</w:t>
      </w:r>
      <w:r w:rsidR="008B79F1">
        <w:rPr>
          <w:noProof/>
        </w:rPr>
        <w:t xml:space="preserve"> in S3</w:t>
      </w:r>
      <w:r w:rsidR="00AA54D4" w:rsidRPr="00AA54D4">
        <w:rPr>
          <w:noProof/>
        </w:rPr>
        <w:t xml:space="preserve"> (30%</w:t>
      </w:r>
      <w:r w:rsidR="00FC78D6">
        <w:rPr>
          <w:noProof/>
        </w:rPr>
        <w:t xml:space="preserve"> </w:t>
      </w:r>
      <w:r w:rsidR="00AA54D4" w:rsidRPr="00AA54D4">
        <w:rPr>
          <w:noProof/>
        </w:rPr>
        <w:t>lower</w:t>
      </w:r>
      <w:r w:rsidR="002C4A41">
        <w:rPr>
          <w:noProof/>
        </w:rPr>
        <w:t xml:space="preserve"> than in 2015</w:t>
      </w:r>
      <w:r w:rsidR="008B79F1">
        <w:rPr>
          <w:noProof/>
        </w:rPr>
        <w:t>)</w:t>
      </w:r>
      <w:r w:rsidR="00AA54D4" w:rsidRPr="00AA54D4">
        <w:rPr>
          <w:noProof/>
        </w:rPr>
        <w:t xml:space="preserve"> </w:t>
      </w:r>
      <w:r w:rsidR="00321964">
        <w:rPr>
          <w:noProof/>
        </w:rPr>
        <w:t xml:space="preserve">(see </w:t>
      </w:r>
      <w:r w:rsidR="002C2790" w:rsidRPr="005948CC">
        <w:rPr>
          <w:noProof/>
        </w:rPr>
        <w:fldChar w:fldCharType="begin"/>
      </w:r>
      <w:r w:rsidR="002C2790" w:rsidRPr="005948CC">
        <w:rPr>
          <w:noProof/>
        </w:rPr>
        <w:instrText xml:space="preserve"> REF _Ref147328772 \h  \* MERGEFORMAT </w:instrText>
      </w:r>
      <w:r w:rsidR="002C2790" w:rsidRPr="005948CC">
        <w:rPr>
          <w:noProof/>
        </w:rPr>
      </w:r>
      <w:r w:rsidR="002C2790" w:rsidRPr="005948CC">
        <w:rPr>
          <w:noProof/>
        </w:rPr>
        <w:fldChar w:fldCharType="separate"/>
      </w:r>
      <w:r w:rsidR="00170A3C">
        <w:rPr>
          <w:noProof/>
        </w:rPr>
        <w:t>Table 18</w:t>
      </w:r>
      <w:r w:rsidR="002C2790" w:rsidRPr="005948CC">
        <w:rPr>
          <w:noProof/>
        </w:rPr>
        <w:fldChar w:fldCharType="end"/>
      </w:r>
      <w:r w:rsidR="002C2790">
        <w:rPr>
          <w:noProof/>
        </w:rPr>
        <w:t>).</w:t>
      </w:r>
      <w:r w:rsidR="00AA54D4" w:rsidRPr="00AA54D4">
        <w:rPr>
          <w:noProof/>
        </w:rPr>
        <w:t xml:space="preserve"> </w:t>
      </w:r>
      <w:r w:rsidR="00C459D4">
        <w:rPr>
          <w:noProof/>
        </w:rPr>
        <w:t>LIFE</w:t>
      </w:r>
      <w:r w:rsidR="002C4A41">
        <w:rPr>
          <w:noProof/>
        </w:rPr>
        <w:t xml:space="preserve">, </w:t>
      </w:r>
      <w:r w:rsidR="00412699">
        <w:rPr>
          <w:noProof/>
        </w:rPr>
        <w:t>which combines a different evolution of the food system and the application of technologies</w:t>
      </w:r>
      <w:r w:rsidR="002C4A41">
        <w:rPr>
          <w:noProof/>
        </w:rPr>
        <w:t>,</w:t>
      </w:r>
      <w:r w:rsidR="00E13D20">
        <w:rPr>
          <w:noProof/>
        </w:rPr>
        <w:t xml:space="preserve"> shows a much lower </w:t>
      </w:r>
      <w:r w:rsidR="00804B0D">
        <w:rPr>
          <w:noProof/>
        </w:rPr>
        <w:t xml:space="preserve">level of </w:t>
      </w:r>
      <w:r w:rsidR="00E13D20">
        <w:rPr>
          <w:noProof/>
        </w:rPr>
        <w:t>emission</w:t>
      </w:r>
      <w:r w:rsidR="00804B0D">
        <w:rPr>
          <w:noProof/>
        </w:rPr>
        <w:t>s</w:t>
      </w:r>
      <w:r w:rsidR="00E13D20">
        <w:rPr>
          <w:noProof/>
        </w:rPr>
        <w:t xml:space="preserve"> (</w:t>
      </w:r>
      <w:r w:rsidR="00E13D20" w:rsidRPr="00FC78D6">
        <w:rPr>
          <w:noProof/>
        </w:rPr>
        <w:t>209 MtCO2-eq</w:t>
      </w:r>
      <w:r w:rsidR="00E13D20">
        <w:rPr>
          <w:noProof/>
        </w:rPr>
        <w:t xml:space="preserve">, </w:t>
      </w:r>
      <w:r w:rsidR="00E13D20" w:rsidRPr="00FC78D6">
        <w:rPr>
          <w:noProof/>
        </w:rPr>
        <w:t>i.e., 46% lower than in 2015)</w:t>
      </w:r>
      <w:r w:rsidR="00E13D20">
        <w:rPr>
          <w:noProof/>
        </w:rPr>
        <w:t xml:space="preserve">. </w:t>
      </w:r>
      <w:r w:rsidR="00AA54D4" w:rsidRPr="00AA54D4">
        <w:rPr>
          <w:noProof/>
        </w:rPr>
        <w:t xml:space="preserve">In 2050, </w:t>
      </w:r>
      <w:r w:rsidR="00FC78D6">
        <w:rPr>
          <w:noProof/>
        </w:rPr>
        <w:t>GHG</w:t>
      </w:r>
      <w:r w:rsidR="00BA22F8">
        <w:rPr>
          <w:noProof/>
        </w:rPr>
        <w:t xml:space="preserve"> emissions</w:t>
      </w:r>
      <w:r w:rsidR="00AA54D4" w:rsidRPr="00AA54D4">
        <w:rPr>
          <w:noProof/>
        </w:rPr>
        <w:t xml:space="preserve"> are projected to reach 2</w:t>
      </w:r>
      <w:r w:rsidR="00BA22F8">
        <w:rPr>
          <w:noProof/>
        </w:rPr>
        <w:t>4</w:t>
      </w:r>
      <w:r w:rsidR="00AA54D4" w:rsidRPr="00AA54D4">
        <w:rPr>
          <w:noProof/>
        </w:rPr>
        <w:t>9 MtCO2-eq (a 3</w:t>
      </w:r>
      <w:r w:rsidR="00BA22F8">
        <w:rPr>
          <w:noProof/>
        </w:rPr>
        <w:t>5</w:t>
      </w:r>
      <w:r w:rsidR="00AA54D4" w:rsidRPr="00AA54D4">
        <w:rPr>
          <w:noProof/>
        </w:rPr>
        <w:t xml:space="preserve">% reduction relative to 2015) in the </w:t>
      </w:r>
      <w:r w:rsidR="008B79F1">
        <w:rPr>
          <w:noProof/>
        </w:rPr>
        <w:t xml:space="preserve">three main </w:t>
      </w:r>
      <w:r w:rsidR="00AA54D4" w:rsidRPr="00AA54D4">
        <w:rPr>
          <w:noProof/>
        </w:rPr>
        <w:t>scenarios, and 1</w:t>
      </w:r>
      <w:r w:rsidR="00BA22F8">
        <w:rPr>
          <w:noProof/>
        </w:rPr>
        <w:t>9</w:t>
      </w:r>
      <w:r w:rsidR="00AA54D4" w:rsidRPr="00AA54D4">
        <w:rPr>
          <w:noProof/>
        </w:rPr>
        <w:t xml:space="preserve">4 MtCO2-eq in </w:t>
      </w:r>
      <w:r w:rsidR="00C459D4">
        <w:rPr>
          <w:noProof/>
        </w:rPr>
        <w:t>LIFE</w:t>
      </w:r>
      <w:r w:rsidR="00AA54D4" w:rsidRPr="00AA54D4">
        <w:rPr>
          <w:noProof/>
        </w:rPr>
        <w:t xml:space="preserve"> (a 5</w:t>
      </w:r>
      <w:r w:rsidR="00BA22F8">
        <w:rPr>
          <w:noProof/>
        </w:rPr>
        <w:t>0</w:t>
      </w:r>
      <w:r w:rsidR="00AA54D4" w:rsidRPr="00AA54D4">
        <w:rPr>
          <w:noProof/>
        </w:rPr>
        <w:t>% decrease compared to 2015).</w:t>
      </w:r>
      <w:r w:rsidR="00FC78D6">
        <w:rPr>
          <w:noProof/>
        </w:rPr>
        <w:t xml:space="preserve"> </w:t>
      </w:r>
    </w:p>
    <w:p w14:paraId="204BFE39" w14:textId="278F710D" w:rsidR="0074167F" w:rsidRDefault="0074167F" w:rsidP="0074167F">
      <w:pPr>
        <w:pStyle w:val="Caption"/>
        <w:rPr>
          <w:noProof/>
        </w:rPr>
      </w:pPr>
      <w:bookmarkStart w:id="457" w:name="_Ref147328772"/>
      <w:bookmarkStart w:id="458" w:name="_Toc157679901"/>
      <w:r>
        <w:rPr>
          <w:noProof/>
        </w:rPr>
        <w:t xml:space="preserve">Table </w:t>
      </w:r>
      <w:r>
        <w:rPr>
          <w:noProof/>
        </w:rPr>
        <w:fldChar w:fldCharType="begin"/>
      </w:r>
      <w:r>
        <w:rPr>
          <w:noProof/>
        </w:rPr>
        <w:instrText>SEQ Table \* ARABIC</w:instrText>
      </w:r>
      <w:r>
        <w:rPr>
          <w:noProof/>
        </w:rPr>
        <w:fldChar w:fldCharType="separate"/>
      </w:r>
      <w:r w:rsidR="00170A3C">
        <w:rPr>
          <w:noProof/>
        </w:rPr>
        <w:t>18</w:t>
      </w:r>
      <w:r>
        <w:rPr>
          <w:noProof/>
        </w:rPr>
        <w:fldChar w:fldCharType="end"/>
      </w:r>
      <w:bookmarkEnd w:id="457"/>
      <w:r>
        <w:rPr>
          <w:noProof/>
        </w:rPr>
        <w:t>: GHG emissions</w:t>
      </w:r>
      <w:r w:rsidRPr="00CA7226">
        <w:rPr>
          <w:noProof/>
        </w:rPr>
        <w:t xml:space="preserve"> from the agriculture sector </w:t>
      </w:r>
      <w:r w:rsidR="00546314">
        <w:rPr>
          <w:noProof/>
        </w:rPr>
        <w:t>(</w:t>
      </w:r>
      <w:r>
        <w:rPr>
          <w:noProof/>
        </w:rPr>
        <w:t>by</w:t>
      </w:r>
      <w:r w:rsidRPr="00CA7226">
        <w:rPr>
          <w:noProof/>
        </w:rPr>
        <w:t xml:space="preserve"> gas and type of source</w:t>
      </w:r>
      <w:r w:rsidR="00546314">
        <w:rPr>
          <w:noProof/>
        </w:rPr>
        <w:t>)</w:t>
      </w:r>
      <w:bookmarkEnd w:id="458"/>
    </w:p>
    <w:tbl>
      <w:tblPr>
        <w:tblW w:w="5000" w:type="pct"/>
        <w:tblLayout w:type="fixed"/>
        <w:tblLook w:val="04A0" w:firstRow="1" w:lastRow="0" w:firstColumn="1" w:lastColumn="0" w:noHBand="0" w:noVBand="1"/>
      </w:tblPr>
      <w:tblGrid>
        <w:gridCol w:w="2156"/>
        <w:gridCol w:w="812"/>
        <w:gridCol w:w="830"/>
        <w:gridCol w:w="839"/>
        <w:gridCol w:w="839"/>
        <w:gridCol w:w="839"/>
        <w:gridCol w:w="850"/>
        <w:gridCol w:w="830"/>
        <w:gridCol w:w="839"/>
      </w:tblGrid>
      <w:tr w:rsidR="0074167F" w:rsidRPr="00875872" w14:paraId="235E60D5" w14:textId="77777777" w:rsidTr="00EB4115">
        <w:trPr>
          <w:trHeight w:val="330"/>
        </w:trPr>
        <w:tc>
          <w:tcPr>
            <w:tcW w:w="1220" w:type="pct"/>
            <w:tcBorders>
              <w:top w:val="nil"/>
              <w:left w:val="nil"/>
              <w:bottom w:val="single" w:sz="12" w:space="0" w:color="auto"/>
              <w:right w:val="nil"/>
            </w:tcBorders>
            <w:shd w:val="clear" w:color="auto" w:fill="auto"/>
            <w:noWrap/>
            <w:vAlign w:val="center"/>
            <w:hideMark/>
          </w:tcPr>
          <w:p w14:paraId="1E648742" w14:textId="77777777" w:rsidR="0074167F" w:rsidRPr="00367C65" w:rsidRDefault="0074167F" w:rsidP="009C5AF9">
            <w:pPr>
              <w:keepNext/>
              <w:spacing w:after="0"/>
              <w:jc w:val="left"/>
              <w:rPr>
                <w:rFonts w:ascii="EC Square Sans Cond Pro" w:eastAsia="Times New Roman" w:hAnsi="EC Square Sans Cond Pro" w:cs="Calibri"/>
                <w:noProof/>
                <w:sz w:val="18"/>
                <w:szCs w:val="18"/>
                <w:lang w:val="en-IE"/>
              </w:rPr>
            </w:pPr>
            <w:r w:rsidRPr="00367C65">
              <w:rPr>
                <w:rFonts w:ascii="Calibri" w:eastAsia="Times New Roman" w:hAnsi="Calibri" w:cs="Calibri"/>
                <w:noProof/>
                <w:sz w:val="18"/>
                <w:szCs w:val="18"/>
                <w:lang w:val="en-IE"/>
              </w:rPr>
              <w:t> </w:t>
            </w:r>
          </w:p>
        </w:tc>
        <w:tc>
          <w:tcPr>
            <w:tcW w:w="3780" w:type="pct"/>
            <w:gridSpan w:val="8"/>
            <w:tcBorders>
              <w:top w:val="nil"/>
              <w:left w:val="nil"/>
              <w:bottom w:val="single" w:sz="12" w:space="0" w:color="auto"/>
              <w:right w:val="nil"/>
            </w:tcBorders>
            <w:shd w:val="clear" w:color="auto" w:fill="auto"/>
            <w:noWrap/>
            <w:vAlign w:val="center"/>
            <w:hideMark/>
          </w:tcPr>
          <w:p w14:paraId="1BAEFE4C" w14:textId="0CFB8B0B" w:rsidR="0074167F" w:rsidRPr="00875872" w:rsidRDefault="00D06269" w:rsidP="009C5AF9">
            <w:pPr>
              <w:keepNext/>
              <w:spacing w:after="0"/>
              <w:jc w:val="center"/>
              <w:rPr>
                <w:rFonts w:ascii="EC Square Sans Cond Pro" w:eastAsia="Times New Roman" w:hAnsi="EC Square Sans Cond Pro" w:cs="Calibri"/>
                <w:b/>
                <w:bCs/>
                <w:noProof/>
                <w:sz w:val="18"/>
                <w:szCs w:val="18"/>
                <w:lang w:val="en-IE"/>
              </w:rPr>
            </w:pPr>
            <w:r w:rsidRPr="00191C6D">
              <w:rPr>
                <w:rFonts w:ascii="EC Square Sans Cond Pro" w:eastAsia="Times New Roman" w:hAnsi="EC Square Sans Cond Pro" w:cs="Calibri"/>
                <w:b/>
                <w:bCs/>
                <w:noProof/>
                <w:sz w:val="18"/>
                <w:szCs w:val="18"/>
                <w:lang w:val="en-IE"/>
              </w:rPr>
              <w:t>G</w:t>
            </w:r>
            <w:r w:rsidR="006A5A20" w:rsidRPr="00191C6D">
              <w:rPr>
                <w:rFonts w:ascii="EC Square Sans Cond Pro" w:eastAsia="Times New Roman" w:hAnsi="EC Square Sans Cond Pro" w:cs="Calibri"/>
                <w:b/>
                <w:bCs/>
                <w:noProof/>
                <w:sz w:val="18"/>
                <w:szCs w:val="18"/>
                <w:lang w:val="en-IE"/>
              </w:rPr>
              <w:t>reenhouse</w:t>
            </w:r>
            <w:r w:rsidR="006A5A20" w:rsidRPr="00875872">
              <w:rPr>
                <w:rFonts w:ascii="EC Square Sans Cond Pro" w:eastAsia="Times New Roman" w:hAnsi="EC Square Sans Cond Pro" w:cs="Calibri"/>
                <w:b/>
                <w:bCs/>
                <w:noProof/>
                <w:sz w:val="18"/>
                <w:szCs w:val="18"/>
                <w:lang w:val="en-IE"/>
              </w:rPr>
              <w:t xml:space="preserve"> gas emissions (MtCO2-eq)</w:t>
            </w:r>
          </w:p>
        </w:tc>
      </w:tr>
      <w:tr w:rsidR="0074167F" w:rsidRPr="00875872" w14:paraId="3D73D752" w14:textId="77777777" w:rsidTr="00EB4115">
        <w:trPr>
          <w:trHeight w:val="330"/>
        </w:trPr>
        <w:tc>
          <w:tcPr>
            <w:tcW w:w="1220" w:type="pct"/>
            <w:vMerge w:val="restart"/>
            <w:tcBorders>
              <w:top w:val="nil"/>
              <w:left w:val="nil"/>
              <w:bottom w:val="single" w:sz="12" w:space="0" w:color="000000"/>
              <w:right w:val="nil"/>
            </w:tcBorders>
            <w:shd w:val="clear" w:color="auto" w:fill="auto"/>
            <w:noWrap/>
            <w:vAlign w:val="center"/>
            <w:hideMark/>
          </w:tcPr>
          <w:p w14:paraId="76B5A032" w14:textId="77777777" w:rsidR="0074167F" w:rsidRPr="00367C65" w:rsidRDefault="0074167F" w:rsidP="009C5AF9">
            <w:pPr>
              <w:keepNext/>
              <w:spacing w:after="0"/>
              <w:jc w:val="left"/>
              <w:rPr>
                <w:rFonts w:ascii="EC Square Sans Cond Pro" w:eastAsia="Times New Roman" w:hAnsi="EC Square Sans Cond Pro" w:cs="Calibri"/>
                <w:noProof/>
                <w:sz w:val="18"/>
                <w:szCs w:val="18"/>
                <w:lang w:val="en-IE"/>
              </w:rPr>
            </w:pPr>
            <w:r w:rsidRPr="00367C65">
              <w:rPr>
                <w:rFonts w:ascii="Calibri" w:eastAsia="Times New Roman" w:hAnsi="Calibri" w:cs="Calibri"/>
                <w:noProof/>
                <w:sz w:val="18"/>
                <w:szCs w:val="18"/>
                <w:lang w:val="en-IE"/>
              </w:rPr>
              <w:t> </w:t>
            </w:r>
          </w:p>
        </w:tc>
        <w:tc>
          <w:tcPr>
            <w:tcW w:w="459" w:type="pct"/>
            <w:vMerge w:val="restart"/>
            <w:tcBorders>
              <w:top w:val="nil"/>
              <w:left w:val="nil"/>
              <w:bottom w:val="single" w:sz="12" w:space="0" w:color="000000"/>
              <w:right w:val="nil"/>
            </w:tcBorders>
            <w:shd w:val="clear" w:color="auto" w:fill="auto"/>
            <w:noWrap/>
            <w:vAlign w:val="center"/>
            <w:hideMark/>
          </w:tcPr>
          <w:p w14:paraId="30CF8FAF" w14:textId="0810E64F" w:rsidR="0074167F" w:rsidRPr="00875872" w:rsidRDefault="0074167F" w:rsidP="009C5AF9">
            <w:pPr>
              <w:keepNext/>
              <w:spacing w:after="0"/>
              <w:jc w:val="center"/>
              <w:rPr>
                <w:rFonts w:ascii="EC Square Sans Cond Pro" w:eastAsia="Times New Roman" w:hAnsi="EC Square Sans Cond Pro" w:cs="Calibri"/>
                <w:b/>
                <w:bCs/>
                <w:noProof/>
                <w:sz w:val="18"/>
                <w:szCs w:val="18"/>
                <w:lang w:val="en-IE"/>
              </w:rPr>
            </w:pPr>
            <w:r w:rsidRPr="00875872">
              <w:rPr>
                <w:rFonts w:ascii="EC Square Sans Cond Pro" w:eastAsia="Times New Roman" w:hAnsi="EC Square Sans Cond Pro" w:cs="Calibri"/>
                <w:b/>
                <w:bCs/>
                <w:noProof/>
                <w:sz w:val="18"/>
                <w:szCs w:val="18"/>
                <w:lang w:val="en-IE"/>
              </w:rPr>
              <w:t>20</w:t>
            </w:r>
            <w:r w:rsidR="006A5A20">
              <w:rPr>
                <w:rFonts w:ascii="EC Square Sans Cond Pro" w:eastAsia="Times New Roman" w:hAnsi="EC Square Sans Cond Pro" w:cs="Calibri"/>
                <w:b/>
                <w:bCs/>
                <w:noProof/>
                <w:sz w:val="18"/>
                <w:szCs w:val="18"/>
                <w:lang w:val="en-IE"/>
              </w:rPr>
              <w:t>1</w:t>
            </w:r>
            <w:r w:rsidRPr="00875872">
              <w:rPr>
                <w:rFonts w:ascii="EC Square Sans Cond Pro" w:eastAsia="Times New Roman" w:hAnsi="EC Square Sans Cond Pro" w:cs="Calibri"/>
                <w:b/>
                <w:bCs/>
                <w:noProof/>
                <w:sz w:val="18"/>
                <w:szCs w:val="18"/>
                <w:lang w:val="en-IE"/>
              </w:rPr>
              <w:t>5</w:t>
            </w:r>
          </w:p>
        </w:tc>
        <w:tc>
          <w:tcPr>
            <w:tcW w:w="470" w:type="pct"/>
            <w:vMerge w:val="restart"/>
            <w:tcBorders>
              <w:top w:val="nil"/>
              <w:left w:val="nil"/>
              <w:bottom w:val="single" w:sz="12" w:space="0" w:color="000000"/>
              <w:right w:val="nil"/>
            </w:tcBorders>
            <w:shd w:val="clear" w:color="auto" w:fill="auto"/>
            <w:vAlign w:val="center"/>
            <w:hideMark/>
          </w:tcPr>
          <w:p w14:paraId="25C7E73F" w14:textId="3F24633C" w:rsidR="0074167F" w:rsidRPr="00875872" w:rsidRDefault="0074167F" w:rsidP="009C5AF9">
            <w:pPr>
              <w:keepNext/>
              <w:spacing w:after="0"/>
              <w:jc w:val="center"/>
              <w:rPr>
                <w:rFonts w:ascii="EC Square Sans Cond Pro" w:eastAsia="Times New Roman" w:hAnsi="EC Square Sans Cond Pro" w:cs="Calibri"/>
                <w:b/>
                <w:bCs/>
                <w:noProof/>
                <w:sz w:val="18"/>
                <w:szCs w:val="18"/>
                <w:lang w:val="en-IE"/>
              </w:rPr>
            </w:pPr>
            <w:r w:rsidRPr="00875872">
              <w:rPr>
                <w:rFonts w:ascii="EC Square Sans Cond Pro" w:eastAsia="Times New Roman" w:hAnsi="EC Square Sans Cond Pro" w:cs="Calibri"/>
                <w:b/>
                <w:bCs/>
                <w:noProof/>
                <w:sz w:val="18"/>
                <w:szCs w:val="18"/>
                <w:lang w:val="en-IE"/>
              </w:rPr>
              <w:t>20</w:t>
            </w:r>
            <w:r w:rsidR="006A5A20">
              <w:rPr>
                <w:rFonts w:ascii="EC Square Sans Cond Pro" w:eastAsia="Times New Roman" w:hAnsi="EC Square Sans Cond Pro" w:cs="Calibri"/>
                <w:b/>
                <w:bCs/>
                <w:noProof/>
                <w:sz w:val="18"/>
                <w:szCs w:val="18"/>
                <w:lang w:val="en-IE"/>
              </w:rPr>
              <w:t>30</w:t>
            </w:r>
          </w:p>
        </w:tc>
        <w:tc>
          <w:tcPr>
            <w:tcW w:w="1905" w:type="pct"/>
            <w:gridSpan w:val="4"/>
            <w:tcBorders>
              <w:top w:val="single" w:sz="12" w:space="0" w:color="auto"/>
              <w:left w:val="nil"/>
              <w:bottom w:val="single" w:sz="12" w:space="0" w:color="auto"/>
              <w:right w:val="nil"/>
            </w:tcBorders>
            <w:shd w:val="clear" w:color="auto" w:fill="auto"/>
            <w:vAlign w:val="center"/>
            <w:hideMark/>
          </w:tcPr>
          <w:p w14:paraId="00FF17FC" w14:textId="77777777" w:rsidR="0074167F" w:rsidRPr="00875872" w:rsidRDefault="0074167F" w:rsidP="009C5AF9">
            <w:pPr>
              <w:keepNext/>
              <w:spacing w:after="0"/>
              <w:jc w:val="center"/>
              <w:rPr>
                <w:rFonts w:ascii="EC Square Sans Cond Pro" w:eastAsia="Times New Roman" w:hAnsi="EC Square Sans Cond Pro" w:cs="Calibri"/>
                <w:b/>
                <w:bCs/>
                <w:noProof/>
                <w:sz w:val="18"/>
                <w:szCs w:val="18"/>
                <w:lang w:val="en-IE"/>
              </w:rPr>
            </w:pPr>
            <w:r w:rsidRPr="00875872">
              <w:rPr>
                <w:rFonts w:ascii="EC Square Sans Cond Pro" w:eastAsia="Times New Roman" w:hAnsi="EC Square Sans Cond Pro" w:cs="Calibri"/>
                <w:b/>
                <w:bCs/>
                <w:noProof/>
                <w:sz w:val="18"/>
                <w:szCs w:val="18"/>
                <w:lang w:val="en-IE"/>
              </w:rPr>
              <w:t>2040</w:t>
            </w:r>
          </w:p>
        </w:tc>
        <w:tc>
          <w:tcPr>
            <w:tcW w:w="946" w:type="pct"/>
            <w:gridSpan w:val="2"/>
            <w:tcBorders>
              <w:top w:val="single" w:sz="12" w:space="0" w:color="auto"/>
              <w:left w:val="nil"/>
              <w:bottom w:val="single" w:sz="12" w:space="0" w:color="auto"/>
              <w:right w:val="nil"/>
            </w:tcBorders>
            <w:shd w:val="clear" w:color="auto" w:fill="auto"/>
            <w:vAlign w:val="center"/>
            <w:hideMark/>
          </w:tcPr>
          <w:p w14:paraId="5547C595" w14:textId="05DBBB5C" w:rsidR="0074167F" w:rsidRPr="00875872" w:rsidRDefault="0074167F" w:rsidP="009C5AF9">
            <w:pPr>
              <w:keepNext/>
              <w:spacing w:after="0"/>
              <w:jc w:val="center"/>
              <w:rPr>
                <w:rFonts w:ascii="EC Square Sans Cond Pro" w:eastAsia="Times New Roman" w:hAnsi="EC Square Sans Cond Pro" w:cs="Calibri"/>
                <w:b/>
                <w:bCs/>
                <w:noProof/>
                <w:sz w:val="18"/>
                <w:szCs w:val="18"/>
                <w:lang w:val="en-IE"/>
              </w:rPr>
            </w:pPr>
            <w:r w:rsidRPr="00875872">
              <w:rPr>
                <w:rFonts w:ascii="EC Square Sans Cond Pro" w:eastAsia="Times New Roman" w:hAnsi="EC Square Sans Cond Pro" w:cs="Calibri"/>
                <w:b/>
                <w:bCs/>
                <w:noProof/>
                <w:sz w:val="18"/>
                <w:szCs w:val="18"/>
                <w:lang w:val="en-IE"/>
              </w:rPr>
              <w:t>20</w:t>
            </w:r>
            <w:r w:rsidR="006A5A20">
              <w:rPr>
                <w:rFonts w:ascii="EC Square Sans Cond Pro" w:eastAsia="Times New Roman" w:hAnsi="EC Square Sans Cond Pro" w:cs="Calibri"/>
                <w:b/>
                <w:bCs/>
                <w:noProof/>
                <w:sz w:val="18"/>
                <w:szCs w:val="18"/>
                <w:lang w:val="en-IE"/>
              </w:rPr>
              <w:t>5</w:t>
            </w:r>
            <w:r w:rsidRPr="00875872">
              <w:rPr>
                <w:rFonts w:ascii="EC Square Sans Cond Pro" w:eastAsia="Times New Roman" w:hAnsi="EC Square Sans Cond Pro" w:cs="Calibri"/>
                <w:b/>
                <w:bCs/>
                <w:noProof/>
                <w:sz w:val="18"/>
                <w:szCs w:val="18"/>
                <w:lang w:val="en-IE"/>
              </w:rPr>
              <w:t>0</w:t>
            </w:r>
          </w:p>
        </w:tc>
      </w:tr>
      <w:tr w:rsidR="0074167F" w:rsidRPr="00875872" w14:paraId="3E7563F9" w14:textId="77777777" w:rsidTr="00EB4115">
        <w:trPr>
          <w:trHeight w:val="330"/>
        </w:trPr>
        <w:tc>
          <w:tcPr>
            <w:tcW w:w="1220" w:type="pct"/>
            <w:vMerge/>
            <w:tcBorders>
              <w:top w:val="nil"/>
              <w:left w:val="nil"/>
              <w:bottom w:val="single" w:sz="12" w:space="0" w:color="000000"/>
              <w:right w:val="nil"/>
            </w:tcBorders>
            <w:vAlign w:val="center"/>
            <w:hideMark/>
          </w:tcPr>
          <w:p w14:paraId="20184333" w14:textId="77777777" w:rsidR="0074167F" w:rsidRPr="00367C65" w:rsidRDefault="0074167F" w:rsidP="009C5AF9">
            <w:pPr>
              <w:keepNext/>
              <w:spacing w:after="0"/>
              <w:jc w:val="left"/>
              <w:rPr>
                <w:rFonts w:ascii="EC Square Sans Cond Pro" w:eastAsia="Times New Roman" w:hAnsi="EC Square Sans Cond Pro" w:cs="Calibri"/>
                <w:noProof/>
                <w:sz w:val="18"/>
                <w:szCs w:val="18"/>
                <w:lang w:val="en-IE"/>
              </w:rPr>
            </w:pPr>
          </w:p>
        </w:tc>
        <w:tc>
          <w:tcPr>
            <w:tcW w:w="459" w:type="pct"/>
            <w:vMerge/>
            <w:tcBorders>
              <w:top w:val="nil"/>
              <w:left w:val="nil"/>
              <w:bottom w:val="single" w:sz="12" w:space="0" w:color="000000"/>
              <w:right w:val="nil"/>
            </w:tcBorders>
            <w:vAlign w:val="center"/>
            <w:hideMark/>
          </w:tcPr>
          <w:p w14:paraId="5DD6D045" w14:textId="77777777" w:rsidR="0074167F" w:rsidRPr="00875872" w:rsidRDefault="0074167F" w:rsidP="009C5AF9">
            <w:pPr>
              <w:keepNext/>
              <w:spacing w:after="0"/>
              <w:jc w:val="left"/>
              <w:rPr>
                <w:rFonts w:ascii="EC Square Sans Cond Pro" w:eastAsia="Times New Roman" w:hAnsi="EC Square Sans Cond Pro" w:cs="Calibri"/>
                <w:b/>
                <w:bCs/>
                <w:noProof/>
                <w:sz w:val="18"/>
                <w:szCs w:val="18"/>
                <w:lang w:val="en-IE"/>
              </w:rPr>
            </w:pPr>
          </w:p>
        </w:tc>
        <w:tc>
          <w:tcPr>
            <w:tcW w:w="470" w:type="pct"/>
            <w:vMerge/>
            <w:tcBorders>
              <w:top w:val="nil"/>
              <w:left w:val="nil"/>
              <w:bottom w:val="single" w:sz="12" w:space="0" w:color="000000"/>
              <w:right w:val="nil"/>
            </w:tcBorders>
            <w:vAlign w:val="center"/>
            <w:hideMark/>
          </w:tcPr>
          <w:p w14:paraId="1500D19E" w14:textId="77777777" w:rsidR="0074167F" w:rsidRPr="00875872" w:rsidRDefault="0074167F" w:rsidP="009C5AF9">
            <w:pPr>
              <w:keepNext/>
              <w:spacing w:after="0"/>
              <w:jc w:val="left"/>
              <w:rPr>
                <w:rFonts w:ascii="EC Square Sans Cond Pro" w:eastAsia="Times New Roman" w:hAnsi="EC Square Sans Cond Pro" w:cs="Calibri"/>
                <w:b/>
                <w:bCs/>
                <w:noProof/>
                <w:sz w:val="18"/>
                <w:szCs w:val="18"/>
                <w:lang w:val="en-IE"/>
              </w:rPr>
            </w:pPr>
          </w:p>
        </w:tc>
        <w:tc>
          <w:tcPr>
            <w:tcW w:w="475" w:type="pct"/>
            <w:tcBorders>
              <w:top w:val="nil"/>
              <w:left w:val="nil"/>
              <w:bottom w:val="single" w:sz="12" w:space="0" w:color="auto"/>
              <w:right w:val="nil"/>
            </w:tcBorders>
            <w:shd w:val="clear" w:color="auto" w:fill="auto"/>
            <w:vAlign w:val="center"/>
            <w:hideMark/>
          </w:tcPr>
          <w:p w14:paraId="5B76591D" w14:textId="77777777" w:rsidR="0074167F" w:rsidRPr="00875872" w:rsidRDefault="0074167F" w:rsidP="009C5AF9">
            <w:pPr>
              <w:keepNext/>
              <w:spacing w:after="0"/>
              <w:jc w:val="center"/>
              <w:rPr>
                <w:rFonts w:ascii="EC Square Sans Cond Pro" w:eastAsia="Times New Roman" w:hAnsi="EC Square Sans Cond Pro" w:cs="Calibri"/>
                <w:b/>
                <w:bCs/>
                <w:noProof/>
                <w:sz w:val="18"/>
                <w:szCs w:val="18"/>
                <w:lang w:val="en-IE"/>
              </w:rPr>
            </w:pPr>
            <w:r w:rsidRPr="00875872">
              <w:rPr>
                <w:rFonts w:ascii="EC Square Sans Cond Pro" w:eastAsia="Times New Roman" w:hAnsi="EC Square Sans Cond Pro" w:cs="Calibri"/>
                <w:b/>
                <w:bCs/>
                <w:noProof/>
                <w:sz w:val="18"/>
                <w:szCs w:val="18"/>
                <w:lang w:val="en-IE"/>
              </w:rPr>
              <w:t>S1</w:t>
            </w:r>
          </w:p>
        </w:tc>
        <w:tc>
          <w:tcPr>
            <w:tcW w:w="475" w:type="pct"/>
            <w:tcBorders>
              <w:top w:val="nil"/>
              <w:left w:val="nil"/>
              <w:bottom w:val="single" w:sz="12" w:space="0" w:color="auto"/>
              <w:right w:val="nil"/>
            </w:tcBorders>
            <w:shd w:val="clear" w:color="auto" w:fill="auto"/>
            <w:vAlign w:val="center"/>
            <w:hideMark/>
          </w:tcPr>
          <w:p w14:paraId="664588A5" w14:textId="77777777" w:rsidR="0074167F" w:rsidRPr="00875872" w:rsidRDefault="0074167F" w:rsidP="009C5AF9">
            <w:pPr>
              <w:keepNext/>
              <w:spacing w:after="0"/>
              <w:jc w:val="center"/>
              <w:rPr>
                <w:rFonts w:ascii="EC Square Sans Cond Pro" w:eastAsia="Times New Roman" w:hAnsi="EC Square Sans Cond Pro" w:cs="Calibri"/>
                <w:b/>
                <w:bCs/>
                <w:noProof/>
                <w:sz w:val="18"/>
                <w:szCs w:val="18"/>
                <w:lang w:val="en-IE"/>
              </w:rPr>
            </w:pPr>
            <w:r w:rsidRPr="00875872">
              <w:rPr>
                <w:rFonts w:ascii="EC Square Sans Cond Pro" w:eastAsia="Times New Roman" w:hAnsi="EC Square Sans Cond Pro" w:cs="Calibri"/>
                <w:b/>
                <w:bCs/>
                <w:noProof/>
                <w:sz w:val="18"/>
                <w:szCs w:val="18"/>
                <w:lang w:val="en-IE"/>
              </w:rPr>
              <w:t>S2</w:t>
            </w:r>
          </w:p>
        </w:tc>
        <w:tc>
          <w:tcPr>
            <w:tcW w:w="475" w:type="pct"/>
            <w:tcBorders>
              <w:top w:val="nil"/>
              <w:left w:val="nil"/>
              <w:bottom w:val="single" w:sz="12" w:space="0" w:color="auto"/>
              <w:right w:val="nil"/>
            </w:tcBorders>
            <w:shd w:val="clear" w:color="auto" w:fill="auto"/>
            <w:vAlign w:val="center"/>
            <w:hideMark/>
          </w:tcPr>
          <w:p w14:paraId="14981D5A" w14:textId="77777777" w:rsidR="0074167F" w:rsidRPr="00875872" w:rsidRDefault="0074167F" w:rsidP="009C5AF9">
            <w:pPr>
              <w:keepNext/>
              <w:spacing w:after="0"/>
              <w:jc w:val="center"/>
              <w:rPr>
                <w:rFonts w:ascii="EC Square Sans Cond Pro" w:eastAsia="Times New Roman" w:hAnsi="EC Square Sans Cond Pro" w:cs="Calibri"/>
                <w:b/>
                <w:bCs/>
                <w:noProof/>
                <w:sz w:val="18"/>
                <w:szCs w:val="18"/>
                <w:lang w:val="en-IE"/>
              </w:rPr>
            </w:pPr>
            <w:r w:rsidRPr="00875872">
              <w:rPr>
                <w:rFonts w:ascii="EC Square Sans Cond Pro" w:eastAsia="Times New Roman" w:hAnsi="EC Square Sans Cond Pro" w:cs="Calibri"/>
                <w:b/>
                <w:bCs/>
                <w:noProof/>
                <w:sz w:val="18"/>
                <w:szCs w:val="18"/>
                <w:lang w:val="en-IE"/>
              </w:rPr>
              <w:t>S3</w:t>
            </w:r>
          </w:p>
        </w:tc>
        <w:tc>
          <w:tcPr>
            <w:tcW w:w="481" w:type="pct"/>
            <w:tcBorders>
              <w:top w:val="nil"/>
              <w:left w:val="nil"/>
              <w:bottom w:val="single" w:sz="12" w:space="0" w:color="auto"/>
              <w:right w:val="nil"/>
            </w:tcBorders>
            <w:shd w:val="clear" w:color="auto" w:fill="auto"/>
            <w:vAlign w:val="center"/>
            <w:hideMark/>
          </w:tcPr>
          <w:p w14:paraId="2AAABF64" w14:textId="77777777" w:rsidR="0074167F" w:rsidRPr="00D31A8B" w:rsidRDefault="0074167F" w:rsidP="009C5AF9">
            <w:pPr>
              <w:keepNext/>
              <w:spacing w:after="0"/>
              <w:jc w:val="center"/>
              <w:rPr>
                <w:rFonts w:ascii="EC Square Sans Cond Pro" w:eastAsia="Times New Roman" w:hAnsi="EC Square Sans Cond Pro" w:cs="Calibri"/>
                <w:b/>
                <w:i/>
                <w:noProof/>
                <w:sz w:val="18"/>
                <w:szCs w:val="18"/>
                <w:lang w:val="en-IE"/>
              </w:rPr>
            </w:pPr>
            <w:r w:rsidRPr="00D31A8B">
              <w:rPr>
                <w:rFonts w:ascii="EC Square Sans Cond Pro" w:eastAsia="Times New Roman" w:hAnsi="EC Square Sans Cond Pro" w:cs="Calibri"/>
                <w:b/>
                <w:i/>
                <w:noProof/>
                <w:sz w:val="18"/>
                <w:szCs w:val="18"/>
                <w:lang w:val="en-IE"/>
              </w:rPr>
              <w:t>LIFE</w:t>
            </w:r>
          </w:p>
        </w:tc>
        <w:tc>
          <w:tcPr>
            <w:tcW w:w="470" w:type="pct"/>
            <w:tcBorders>
              <w:top w:val="nil"/>
              <w:left w:val="nil"/>
              <w:bottom w:val="single" w:sz="12" w:space="0" w:color="auto"/>
              <w:right w:val="nil"/>
            </w:tcBorders>
            <w:shd w:val="clear" w:color="auto" w:fill="auto"/>
            <w:vAlign w:val="center"/>
            <w:hideMark/>
          </w:tcPr>
          <w:p w14:paraId="4D2F3A4A" w14:textId="3D4BD238" w:rsidR="0074167F" w:rsidRPr="00875872" w:rsidRDefault="00973212" w:rsidP="009C5AF9">
            <w:pPr>
              <w:keepNext/>
              <w:spacing w:after="0"/>
              <w:jc w:val="center"/>
              <w:rPr>
                <w:rFonts w:ascii="EC Square Sans Cond Pro" w:eastAsia="Times New Roman" w:hAnsi="EC Square Sans Cond Pro" w:cs="Calibri"/>
                <w:b/>
                <w:bCs/>
                <w:noProof/>
                <w:sz w:val="18"/>
                <w:szCs w:val="18"/>
                <w:lang w:val="en-IE"/>
              </w:rPr>
            </w:pPr>
            <w:r w:rsidRPr="00191C6D">
              <w:rPr>
                <w:rFonts w:ascii="EC Square Sans Cond Pro" w:eastAsia="Times New Roman" w:hAnsi="EC Square Sans Cond Pro" w:cs="Calibri"/>
                <w:b/>
                <w:bCs/>
                <w:noProof/>
                <w:sz w:val="18"/>
                <w:szCs w:val="18"/>
                <w:lang w:val="en-IE"/>
              </w:rPr>
              <w:t>S</w:t>
            </w:r>
            <w:r w:rsidR="00985E13">
              <w:rPr>
                <w:rFonts w:ascii="EC Square Sans Cond Pro" w:eastAsia="Times New Roman" w:hAnsi="EC Square Sans Cond Pro" w:cs="Calibri"/>
                <w:b/>
                <w:bCs/>
                <w:noProof/>
                <w:sz w:val="18"/>
                <w:szCs w:val="18"/>
                <w:lang w:val="en-IE"/>
              </w:rPr>
              <w:t>3</w:t>
            </w:r>
            <w:r w:rsidR="00D06269" w:rsidRPr="00191C6D">
              <w:rPr>
                <w:rFonts w:ascii="EC Square Sans Cond Pro" w:eastAsia="Times New Roman" w:hAnsi="EC Square Sans Cond Pro" w:cs="Calibri"/>
                <w:b/>
                <w:bCs/>
                <w:noProof/>
                <w:sz w:val="18"/>
                <w:szCs w:val="18"/>
                <w:lang w:val="en-IE"/>
              </w:rPr>
              <w:t>*</w:t>
            </w:r>
          </w:p>
        </w:tc>
        <w:tc>
          <w:tcPr>
            <w:tcW w:w="476" w:type="pct"/>
            <w:tcBorders>
              <w:top w:val="nil"/>
              <w:left w:val="nil"/>
              <w:bottom w:val="single" w:sz="12" w:space="0" w:color="auto"/>
              <w:right w:val="nil"/>
            </w:tcBorders>
            <w:shd w:val="clear" w:color="auto" w:fill="auto"/>
            <w:vAlign w:val="center"/>
            <w:hideMark/>
          </w:tcPr>
          <w:p w14:paraId="27DC0340" w14:textId="77777777" w:rsidR="0074167F" w:rsidRPr="00D31A8B" w:rsidRDefault="0074167F" w:rsidP="009C5AF9">
            <w:pPr>
              <w:keepNext/>
              <w:spacing w:after="0"/>
              <w:jc w:val="center"/>
              <w:rPr>
                <w:rFonts w:ascii="EC Square Sans Cond Pro" w:eastAsia="Times New Roman" w:hAnsi="EC Square Sans Cond Pro" w:cs="Calibri"/>
                <w:b/>
                <w:i/>
                <w:noProof/>
                <w:sz w:val="18"/>
                <w:szCs w:val="18"/>
                <w:lang w:val="en-IE"/>
              </w:rPr>
            </w:pPr>
            <w:r w:rsidRPr="00D31A8B">
              <w:rPr>
                <w:rFonts w:ascii="EC Square Sans Cond Pro" w:eastAsia="Times New Roman" w:hAnsi="EC Square Sans Cond Pro" w:cs="Calibri"/>
                <w:b/>
                <w:i/>
                <w:noProof/>
                <w:sz w:val="18"/>
                <w:szCs w:val="18"/>
                <w:lang w:val="en-IE"/>
              </w:rPr>
              <w:t>LIFE</w:t>
            </w:r>
          </w:p>
        </w:tc>
      </w:tr>
      <w:tr w:rsidR="0074167F" w:rsidRPr="00875872" w14:paraId="67490062" w14:textId="77777777" w:rsidTr="00EB4115">
        <w:trPr>
          <w:trHeight w:val="315"/>
        </w:trPr>
        <w:tc>
          <w:tcPr>
            <w:tcW w:w="1679" w:type="pct"/>
            <w:gridSpan w:val="2"/>
            <w:tcBorders>
              <w:top w:val="nil"/>
              <w:left w:val="nil"/>
              <w:bottom w:val="nil"/>
              <w:right w:val="nil"/>
            </w:tcBorders>
            <w:shd w:val="clear" w:color="auto" w:fill="auto"/>
            <w:noWrap/>
            <w:vAlign w:val="center"/>
            <w:hideMark/>
          </w:tcPr>
          <w:p w14:paraId="38892A5D" w14:textId="77777777" w:rsidR="0074167F" w:rsidRPr="00875872" w:rsidRDefault="0074167F" w:rsidP="009C5AF9">
            <w:pPr>
              <w:keepNext/>
              <w:spacing w:after="0"/>
              <w:jc w:val="left"/>
              <w:rPr>
                <w:rFonts w:ascii="EC Square Sans Cond Pro" w:eastAsia="Times New Roman" w:hAnsi="EC Square Sans Cond Pro" w:cs="Calibri"/>
                <w:b/>
                <w:bCs/>
                <w:noProof/>
                <w:sz w:val="18"/>
                <w:szCs w:val="18"/>
                <w:lang w:val="en-IE"/>
              </w:rPr>
            </w:pPr>
            <w:r w:rsidRPr="00875872">
              <w:rPr>
                <w:rFonts w:ascii="EC Square Sans Cond Pro" w:eastAsia="Times New Roman" w:hAnsi="EC Square Sans Cond Pro" w:cs="Calibri"/>
                <w:b/>
                <w:bCs/>
                <w:noProof/>
                <w:sz w:val="18"/>
                <w:szCs w:val="18"/>
                <w:lang w:val="en-IE"/>
              </w:rPr>
              <w:t>Disaggregated per gas</w:t>
            </w:r>
          </w:p>
        </w:tc>
        <w:tc>
          <w:tcPr>
            <w:tcW w:w="470" w:type="pct"/>
            <w:tcBorders>
              <w:top w:val="nil"/>
              <w:left w:val="nil"/>
              <w:bottom w:val="nil"/>
              <w:right w:val="nil"/>
            </w:tcBorders>
            <w:shd w:val="clear" w:color="auto" w:fill="auto"/>
            <w:vAlign w:val="center"/>
            <w:hideMark/>
          </w:tcPr>
          <w:p w14:paraId="012B02A3" w14:textId="77777777" w:rsidR="0074167F" w:rsidRPr="00875872" w:rsidRDefault="0074167F" w:rsidP="009C5AF9">
            <w:pPr>
              <w:keepNext/>
              <w:spacing w:after="0"/>
              <w:jc w:val="left"/>
              <w:rPr>
                <w:rFonts w:ascii="EC Square Sans Cond Pro" w:eastAsia="Times New Roman" w:hAnsi="EC Square Sans Cond Pro" w:cs="Calibri"/>
                <w:b/>
                <w:bCs/>
                <w:noProof/>
                <w:sz w:val="18"/>
                <w:szCs w:val="18"/>
                <w:lang w:val="en-IE"/>
              </w:rPr>
            </w:pPr>
          </w:p>
        </w:tc>
        <w:tc>
          <w:tcPr>
            <w:tcW w:w="475" w:type="pct"/>
            <w:tcBorders>
              <w:top w:val="nil"/>
              <w:left w:val="nil"/>
              <w:bottom w:val="nil"/>
              <w:right w:val="nil"/>
            </w:tcBorders>
            <w:shd w:val="clear" w:color="auto" w:fill="auto"/>
            <w:vAlign w:val="center"/>
            <w:hideMark/>
          </w:tcPr>
          <w:p w14:paraId="6A10DA50" w14:textId="77777777" w:rsidR="0074167F" w:rsidRPr="00367C65" w:rsidRDefault="0074167F" w:rsidP="009C5AF9">
            <w:pPr>
              <w:keepNext/>
              <w:spacing w:after="0"/>
              <w:jc w:val="center"/>
              <w:rPr>
                <w:rFonts w:ascii="EC Square Sans Cond Pro" w:eastAsia="Times New Roman" w:hAnsi="EC Square Sans Cond Pro" w:cs="Times New Roman"/>
                <w:noProof/>
                <w:sz w:val="18"/>
                <w:szCs w:val="18"/>
                <w:lang w:val="en-IE"/>
              </w:rPr>
            </w:pPr>
          </w:p>
        </w:tc>
        <w:tc>
          <w:tcPr>
            <w:tcW w:w="475" w:type="pct"/>
            <w:tcBorders>
              <w:top w:val="nil"/>
              <w:left w:val="nil"/>
              <w:bottom w:val="nil"/>
              <w:right w:val="nil"/>
            </w:tcBorders>
            <w:shd w:val="clear" w:color="auto" w:fill="auto"/>
            <w:vAlign w:val="center"/>
            <w:hideMark/>
          </w:tcPr>
          <w:p w14:paraId="23942A9F" w14:textId="77777777" w:rsidR="0074167F" w:rsidRPr="00367C65" w:rsidRDefault="0074167F" w:rsidP="009C5AF9">
            <w:pPr>
              <w:keepNext/>
              <w:spacing w:after="0"/>
              <w:jc w:val="center"/>
              <w:rPr>
                <w:rFonts w:ascii="EC Square Sans Cond Pro" w:eastAsia="Times New Roman" w:hAnsi="EC Square Sans Cond Pro" w:cs="Times New Roman"/>
                <w:noProof/>
                <w:sz w:val="18"/>
                <w:szCs w:val="18"/>
                <w:lang w:val="en-IE"/>
              </w:rPr>
            </w:pPr>
          </w:p>
        </w:tc>
        <w:tc>
          <w:tcPr>
            <w:tcW w:w="475" w:type="pct"/>
            <w:tcBorders>
              <w:top w:val="nil"/>
              <w:left w:val="nil"/>
              <w:bottom w:val="nil"/>
              <w:right w:val="nil"/>
            </w:tcBorders>
            <w:shd w:val="clear" w:color="auto" w:fill="auto"/>
            <w:vAlign w:val="center"/>
            <w:hideMark/>
          </w:tcPr>
          <w:p w14:paraId="0633E8DC" w14:textId="77777777" w:rsidR="0074167F" w:rsidRPr="00367C65" w:rsidRDefault="0074167F" w:rsidP="009C5AF9">
            <w:pPr>
              <w:keepNext/>
              <w:spacing w:after="0"/>
              <w:jc w:val="center"/>
              <w:rPr>
                <w:rFonts w:ascii="EC Square Sans Cond Pro" w:eastAsia="Times New Roman" w:hAnsi="EC Square Sans Cond Pro" w:cs="Times New Roman"/>
                <w:noProof/>
                <w:sz w:val="18"/>
                <w:szCs w:val="18"/>
                <w:lang w:val="en-IE"/>
              </w:rPr>
            </w:pPr>
          </w:p>
        </w:tc>
        <w:tc>
          <w:tcPr>
            <w:tcW w:w="481" w:type="pct"/>
            <w:tcBorders>
              <w:top w:val="nil"/>
              <w:left w:val="nil"/>
              <w:bottom w:val="nil"/>
              <w:right w:val="nil"/>
            </w:tcBorders>
            <w:shd w:val="clear" w:color="auto" w:fill="auto"/>
            <w:vAlign w:val="center"/>
            <w:hideMark/>
          </w:tcPr>
          <w:p w14:paraId="10790442" w14:textId="77777777" w:rsidR="0074167F" w:rsidRPr="00D31A8B" w:rsidRDefault="0074167F" w:rsidP="009C5AF9">
            <w:pPr>
              <w:keepNext/>
              <w:spacing w:after="0"/>
              <w:jc w:val="center"/>
              <w:rPr>
                <w:rFonts w:ascii="EC Square Sans Cond Pro" w:eastAsia="Times New Roman" w:hAnsi="EC Square Sans Cond Pro" w:cs="Times New Roman"/>
                <w:i/>
                <w:noProof/>
                <w:sz w:val="18"/>
                <w:szCs w:val="18"/>
                <w:lang w:val="en-IE"/>
              </w:rPr>
            </w:pPr>
          </w:p>
        </w:tc>
        <w:tc>
          <w:tcPr>
            <w:tcW w:w="470" w:type="pct"/>
            <w:tcBorders>
              <w:top w:val="nil"/>
              <w:left w:val="nil"/>
              <w:bottom w:val="nil"/>
              <w:right w:val="nil"/>
            </w:tcBorders>
            <w:shd w:val="clear" w:color="auto" w:fill="auto"/>
            <w:noWrap/>
            <w:vAlign w:val="bottom"/>
            <w:hideMark/>
          </w:tcPr>
          <w:p w14:paraId="71D62A36" w14:textId="77777777" w:rsidR="0074167F" w:rsidRPr="00367C65" w:rsidRDefault="0074167F" w:rsidP="009C5AF9">
            <w:pPr>
              <w:keepNext/>
              <w:spacing w:after="0"/>
              <w:jc w:val="left"/>
              <w:rPr>
                <w:rFonts w:ascii="EC Square Sans Cond Pro" w:eastAsia="Times New Roman" w:hAnsi="EC Square Sans Cond Pro" w:cs="Times New Roman"/>
                <w:noProof/>
                <w:sz w:val="18"/>
                <w:szCs w:val="18"/>
                <w:lang w:val="en-IE"/>
              </w:rPr>
            </w:pPr>
          </w:p>
        </w:tc>
        <w:tc>
          <w:tcPr>
            <w:tcW w:w="476" w:type="pct"/>
            <w:tcBorders>
              <w:top w:val="nil"/>
              <w:left w:val="nil"/>
              <w:bottom w:val="nil"/>
              <w:right w:val="nil"/>
            </w:tcBorders>
            <w:shd w:val="clear" w:color="auto" w:fill="auto"/>
            <w:noWrap/>
            <w:vAlign w:val="bottom"/>
            <w:hideMark/>
          </w:tcPr>
          <w:p w14:paraId="401E58FF" w14:textId="77777777" w:rsidR="0074167F" w:rsidRPr="00D31A8B" w:rsidRDefault="0074167F" w:rsidP="009C5AF9">
            <w:pPr>
              <w:keepNext/>
              <w:spacing w:after="0"/>
              <w:jc w:val="left"/>
              <w:rPr>
                <w:rFonts w:ascii="EC Square Sans Cond Pro" w:eastAsia="Times New Roman" w:hAnsi="EC Square Sans Cond Pro" w:cs="Times New Roman"/>
                <w:i/>
                <w:noProof/>
                <w:sz w:val="18"/>
                <w:szCs w:val="18"/>
                <w:lang w:val="en-IE"/>
              </w:rPr>
            </w:pPr>
          </w:p>
        </w:tc>
      </w:tr>
      <w:tr w:rsidR="0074167F" w:rsidRPr="00875872" w14:paraId="500532C3" w14:textId="77777777" w:rsidTr="00EB4115">
        <w:trPr>
          <w:trHeight w:val="300"/>
        </w:trPr>
        <w:tc>
          <w:tcPr>
            <w:tcW w:w="1220" w:type="pct"/>
            <w:tcBorders>
              <w:top w:val="nil"/>
              <w:left w:val="nil"/>
              <w:bottom w:val="nil"/>
              <w:right w:val="nil"/>
            </w:tcBorders>
            <w:shd w:val="clear" w:color="auto" w:fill="auto"/>
            <w:noWrap/>
            <w:vAlign w:val="center"/>
            <w:hideMark/>
          </w:tcPr>
          <w:p w14:paraId="76A08FF5" w14:textId="77777777" w:rsidR="0074167F" w:rsidRPr="00875872" w:rsidRDefault="0074167F" w:rsidP="009C5AF9">
            <w:pPr>
              <w:keepNext/>
              <w:spacing w:after="0"/>
              <w:jc w:val="left"/>
              <w:rPr>
                <w:rFonts w:ascii="EC Square Sans Cond Pro" w:eastAsia="Times New Roman" w:hAnsi="EC Square Sans Cond Pro" w:cs="Calibri"/>
                <w:noProof/>
                <w:sz w:val="18"/>
                <w:szCs w:val="18"/>
                <w:lang w:val="en-IE"/>
              </w:rPr>
            </w:pPr>
            <w:r w:rsidRPr="00875872">
              <w:rPr>
                <w:rFonts w:ascii="EC Square Sans Cond Pro" w:eastAsia="Times New Roman" w:hAnsi="EC Square Sans Cond Pro" w:cs="Calibri"/>
                <w:noProof/>
                <w:sz w:val="18"/>
                <w:szCs w:val="18"/>
                <w:lang w:val="en-IE"/>
              </w:rPr>
              <w:t>CH4</w:t>
            </w:r>
          </w:p>
        </w:tc>
        <w:tc>
          <w:tcPr>
            <w:tcW w:w="459" w:type="pct"/>
            <w:tcBorders>
              <w:top w:val="nil"/>
              <w:left w:val="nil"/>
              <w:bottom w:val="nil"/>
              <w:right w:val="nil"/>
            </w:tcBorders>
            <w:shd w:val="clear" w:color="auto" w:fill="auto"/>
            <w:noWrap/>
            <w:vAlign w:val="center"/>
            <w:hideMark/>
          </w:tcPr>
          <w:p w14:paraId="08BF9A7A" w14:textId="151A5EB7" w:rsidR="0074167F" w:rsidRPr="00875872" w:rsidRDefault="00971789" w:rsidP="009C5AF9">
            <w:pPr>
              <w:keepNext/>
              <w:spacing w:after="0"/>
              <w:jc w:val="center"/>
              <w:rPr>
                <w:rFonts w:ascii="EC Square Sans Cond Pro" w:eastAsia="Times New Roman" w:hAnsi="EC Square Sans Cond Pro" w:cs="Calibri"/>
                <w:noProof/>
                <w:sz w:val="18"/>
                <w:szCs w:val="18"/>
                <w:lang w:val="en-IE"/>
              </w:rPr>
            </w:pPr>
            <w:r w:rsidRPr="0039527E">
              <w:rPr>
                <w:rFonts w:ascii="EC Square Sans Cond Pro" w:hAnsi="EC Square Sans Cond Pro" w:cs="Calibri"/>
                <w:noProof/>
                <w:sz w:val="18"/>
                <w:szCs w:val="18"/>
              </w:rPr>
              <w:t>237</w:t>
            </w:r>
          </w:p>
        </w:tc>
        <w:tc>
          <w:tcPr>
            <w:tcW w:w="470" w:type="pct"/>
            <w:tcBorders>
              <w:top w:val="nil"/>
              <w:left w:val="nil"/>
              <w:bottom w:val="nil"/>
              <w:right w:val="nil"/>
            </w:tcBorders>
            <w:shd w:val="clear" w:color="auto" w:fill="auto"/>
            <w:noWrap/>
            <w:vAlign w:val="center"/>
            <w:hideMark/>
          </w:tcPr>
          <w:p w14:paraId="3995E029" w14:textId="79EE73F5" w:rsidR="0074167F" w:rsidRPr="00875872" w:rsidRDefault="00971789" w:rsidP="009C5AF9">
            <w:pPr>
              <w:keepNext/>
              <w:spacing w:after="0"/>
              <w:jc w:val="center"/>
              <w:rPr>
                <w:rFonts w:ascii="EC Square Sans Cond Pro" w:eastAsia="Times New Roman" w:hAnsi="EC Square Sans Cond Pro" w:cs="Calibri"/>
                <w:noProof/>
                <w:sz w:val="18"/>
                <w:szCs w:val="18"/>
                <w:lang w:val="en-IE"/>
              </w:rPr>
            </w:pPr>
            <w:r w:rsidRPr="00971789">
              <w:rPr>
                <w:rFonts w:ascii="EC Square Sans Cond Pro" w:hAnsi="EC Square Sans Cond Pro" w:cs="Calibri"/>
                <w:noProof/>
                <w:sz w:val="18"/>
                <w:szCs w:val="18"/>
              </w:rPr>
              <w:t>223</w:t>
            </w:r>
          </w:p>
        </w:tc>
        <w:tc>
          <w:tcPr>
            <w:tcW w:w="475" w:type="pct"/>
            <w:tcBorders>
              <w:top w:val="nil"/>
              <w:left w:val="nil"/>
              <w:bottom w:val="nil"/>
              <w:right w:val="nil"/>
            </w:tcBorders>
            <w:shd w:val="clear" w:color="auto" w:fill="auto"/>
            <w:noWrap/>
            <w:vAlign w:val="center"/>
            <w:hideMark/>
          </w:tcPr>
          <w:p w14:paraId="45C55452" w14:textId="6D4E81D1" w:rsidR="0074167F" w:rsidRPr="00875872" w:rsidRDefault="00F83D51" w:rsidP="009C5AF9">
            <w:pPr>
              <w:keepNext/>
              <w:spacing w:after="0"/>
              <w:jc w:val="center"/>
              <w:rPr>
                <w:rFonts w:ascii="EC Square Sans Cond Pro" w:eastAsia="Times New Roman" w:hAnsi="EC Square Sans Cond Pro" w:cs="Calibri"/>
                <w:noProof/>
                <w:sz w:val="18"/>
                <w:szCs w:val="18"/>
                <w:lang w:val="en-IE"/>
              </w:rPr>
            </w:pPr>
            <w:r>
              <w:rPr>
                <w:rFonts w:ascii="EC Square Sans Cond Pro" w:hAnsi="EC Square Sans Cond Pro" w:cs="Calibri"/>
                <w:noProof/>
                <w:sz w:val="18"/>
                <w:szCs w:val="18"/>
              </w:rPr>
              <w:t>214</w:t>
            </w:r>
          </w:p>
        </w:tc>
        <w:tc>
          <w:tcPr>
            <w:tcW w:w="475" w:type="pct"/>
            <w:tcBorders>
              <w:top w:val="nil"/>
              <w:left w:val="nil"/>
              <w:bottom w:val="nil"/>
              <w:right w:val="nil"/>
            </w:tcBorders>
            <w:shd w:val="clear" w:color="auto" w:fill="auto"/>
            <w:noWrap/>
            <w:vAlign w:val="center"/>
            <w:hideMark/>
          </w:tcPr>
          <w:p w14:paraId="3E4095F2" w14:textId="0B9B33D7" w:rsidR="0074167F" w:rsidRPr="00875872" w:rsidRDefault="00A30089" w:rsidP="009C5AF9">
            <w:pPr>
              <w:keepNext/>
              <w:spacing w:after="0"/>
              <w:jc w:val="center"/>
              <w:rPr>
                <w:rFonts w:ascii="EC Square Sans Cond Pro" w:eastAsia="Times New Roman" w:hAnsi="EC Square Sans Cond Pro" w:cs="Calibri"/>
                <w:noProof/>
                <w:sz w:val="18"/>
                <w:szCs w:val="18"/>
                <w:lang w:val="en-IE"/>
              </w:rPr>
            </w:pPr>
            <w:r>
              <w:rPr>
                <w:rFonts w:ascii="EC Square Sans Cond Pro" w:hAnsi="EC Square Sans Cond Pro" w:cs="Calibri"/>
                <w:noProof/>
                <w:sz w:val="18"/>
                <w:szCs w:val="18"/>
              </w:rPr>
              <w:t>179</w:t>
            </w:r>
          </w:p>
        </w:tc>
        <w:tc>
          <w:tcPr>
            <w:tcW w:w="475" w:type="pct"/>
            <w:tcBorders>
              <w:top w:val="nil"/>
              <w:left w:val="nil"/>
              <w:bottom w:val="nil"/>
              <w:right w:val="nil"/>
            </w:tcBorders>
            <w:shd w:val="clear" w:color="auto" w:fill="auto"/>
            <w:noWrap/>
            <w:vAlign w:val="center"/>
            <w:hideMark/>
          </w:tcPr>
          <w:p w14:paraId="4EC53BAE" w14:textId="77777777" w:rsidR="0074167F" w:rsidRPr="00875872" w:rsidRDefault="0074167F" w:rsidP="009C5AF9">
            <w:pPr>
              <w:keepNext/>
              <w:spacing w:after="0"/>
              <w:jc w:val="center"/>
              <w:rPr>
                <w:rFonts w:ascii="EC Square Sans Cond Pro" w:eastAsia="Times New Roman" w:hAnsi="EC Square Sans Cond Pro" w:cs="Calibri"/>
                <w:noProof/>
                <w:sz w:val="18"/>
                <w:szCs w:val="18"/>
                <w:lang w:val="en-IE"/>
              </w:rPr>
            </w:pPr>
            <w:r w:rsidRPr="0039527E">
              <w:rPr>
                <w:rFonts w:ascii="EC Square Sans Cond Pro" w:hAnsi="EC Square Sans Cond Pro" w:cs="Calibri"/>
                <w:noProof/>
                <w:sz w:val="18"/>
                <w:szCs w:val="18"/>
              </w:rPr>
              <w:t>176</w:t>
            </w:r>
          </w:p>
        </w:tc>
        <w:tc>
          <w:tcPr>
            <w:tcW w:w="481" w:type="pct"/>
            <w:tcBorders>
              <w:top w:val="nil"/>
              <w:left w:val="nil"/>
              <w:bottom w:val="nil"/>
              <w:right w:val="nil"/>
            </w:tcBorders>
            <w:shd w:val="clear" w:color="auto" w:fill="auto"/>
            <w:noWrap/>
            <w:vAlign w:val="center"/>
            <w:hideMark/>
          </w:tcPr>
          <w:p w14:paraId="7F8F6915" w14:textId="77777777" w:rsidR="0074167F" w:rsidRPr="00D31A8B" w:rsidRDefault="0074167F" w:rsidP="009C5AF9">
            <w:pPr>
              <w:keepNext/>
              <w:spacing w:after="0"/>
              <w:jc w:val="center"/>
              <w:rPr>
                <w:rFonts w:ascii="EC Square Sans Cond Pro" w:eastAsia="Times New Roman" w:hAnsi="EC Square Sans Cond Pro" w:cs="Calibri"/>
                <w:i/>
                <w:noProof/>
                <w:sz w:val="18"/>
                <w:szCs w:val="18"/>
                <w:lang w:val="en-IE"/>
              </w:rPr>
            </w:pPr>
            <w:r w:rsidRPr="00D31A8B">
              <w:rPr>
                <w:rFonts w:ascii="EC Square Sans Cond Pro" w:hAnsi="EC Square Sans Cond Pro" w:cs="Calibri"/>
                <w:i/>
                <w:noProof/>
                <w:sz w:val="18"/>
                <w:szCs w:val="18"/>
              </w:rPr>
              <w:t>137</w:t>
            </w:r>
          </w:p>
        </w:tc>
        <w:tc>
          <w:tcPr>
            <w:tcW w:w="470" w:type="pct"/>
            <w:tcBorders>
              <w:top w:val="nil"/>
              <w:left w:val="nil"/>
              <w:bottom w:val="nil"/>
              <w:right w:val="nil"/>
            </w:tcBorders>
            <w:shd w:val="clear" w:color="auto" w:fill="auto"/>
            <w:vAlign w:val="center"/>
            <w:hideMark/>
          </w:tcPr>
          <w:p w14:paraId="0C79B324" w14:textId="18F63D9D" w:rsidR="0074167F" w:rsidRPr="00875872" w:rsidRDefault="00191C6D" w:rsidP="009C5AF9">
            <w:pPr>
              <w:keepNext/>
              <w:spacing w:after="0"/>
              <w:jc w:val="center"/>
              <w:rPr>
                <w:rFonts w:ascii="EC Square Sans Cond Pro" w:eastAsia="Times New Roman" w:hAnsi="EC Square Sans Cond Pro" w:cs="Calibri"/>
                <w:noProof/>
                <w:sz w:val="18"/>
                <w:szCs w:val="18"/>
                <w:lang w:val="en-IE"/>
              </w:rPr>
            </w:pPr>
            <w:r w:rsidRPr="00191C6D">
              <w:rPr>
                <w:rFonts w:ascii="EC Square Sans Cond Pro" w:hAnsi="EC Square Sans Cond Pro" w:cs="Calibri"/>
                <w:noProof/>
                <w:sz w:val="18"/>
                <w:szCs w:val="18"/>
              </w:rPr>
              <w:t>162</w:t>
            </w:r>
          </w:p>
        </w:tc>
        <w:tc>
          <w:tcPr>
            <w:tcW w:w="476" w:type="pct"/>
            <w:tcBorders>
              <w:top w:val="nil"/>
              <w:left w:val="nil"/>
              <w:bottom w:val="nil"/>
              <w:right w:val="nil"/>
            </w:tcBorders>
            <w:shd w:val="clear" w:color="auto" w:fill="auto"/>
            <w:vAlign w:val="center"/>
            <w:hideMark/>
          </w:tcPr>
          <w:p w14:paraId="33DA1284" w14:textId="39A66F80" w:rsidR="0074167F" w:rsidRPr="00D31A8B" w:rsidRDefault="00191C6D" w:rsidP="009C5AF9">
            <w:pPr>
              <w:keepNext/>
              <w:spacing w:after="0"/>
              <w:jc w:val="center"/>
              <w:rPr>
                <w:rFonts w:ascii="EC Square Sans Cond Pro" w:eastAsia="Times New Roman" w:hAnsi="EC Square Sans Cond Pro" w:cs="Calibri"/>
                <w:i/>
                <w:noProof/>
                <w:sz w:val="18"/>
                <w:szCs w:val="18"/>
                <w:lang w:val="en-IE"/>
              </w:rPr>
            </w:pPr>
            <w:r w:rsidRPr="00F16146">
              <w:rPr>
                <w:rFonts w:ascii="EC Square Sans Cond Pro" w:hAnsi="EC Square Sans Cond Pro" w:cs="Calibri"/>
                <w:i/>
                <w:iCs/>
                <w:noProof/>
                <w:sz w:val="18"/>
                <w:szCs w:val="18"/>
              </w:rPr>
              <w:t>127</w:t>
            </w:r>
          </w:p>
        </w:tc>
      </w:tr>
      <w:tr w:rsidR="0074167F" w:rsidRPr="00875872" w14:paraId="4C19FAC9" w14:textId="77777777" w:rsidTr="00EB4115">
        <w:trPr>
          <w:trHeight w:val="300"/>
        </w:trPr>
        <w:tc>
          <w:tcPr>
            <w:tcW w:w="1220" w:type="pct"/>
            <w:tcBorders>
              <w:top w:val="nil"/>
              <w:left w:val="nil"/>
              <w:bottom w:val="nil"/>
              <w:right w:val="nil"/>
            </w:tcBorders>
            <w:shd w:val="clear" w:color="auto" w:fill="auto"/>
            <w:noWrap/>
            <w:vAlign w:val="center"/>
            <w:hideMark/>
          </w:tcPr>
          <w:p w14:paraId="72793063" w14:textId="77777777" w:rsidR="0074167F" w:rsidRPr="00875872" w:rsidRDefault="0074167F" w:rsidP="009C5AF9">
            <w:pPr>
              <w:keepNext/>
              <w:spacing w:after="0"/>
              <w:jc w:val="left"/>
              <w:rPr>
                <w:rFonts w:ascii="EC Square Sans Cond Pro" w:eastAsia="Times New Roman" w:hAnsi="EC Square Sans Cond Pro" w:cs="Calibri"/>
                <w:noProof/>
                <w:sz w:val="18"/>
                <w:szCs w:val="18"/>
                <w:lang w:val="en-IE"/>
              </w:rPr>
            </w:pPr>
            <w:r w:rsidRPr="00875872">
              <w:rPr>
                <w:rFonts w:ascii="EC Square Sans Cond Pro" w:eastAsia="Times New Roman" w:hAnsi="EC Square Sans Cond Pro" w:cs="Calibri"/>
                <w:noProof/>
                <w:sz w:val="18"/>
                <w:szCs w:val="18"/>
                <w:lang w:val="en-IE"/>
              </w:rPr>
              <w:t>N2O</w:t>
            </w:r>
          </w:p>
        </w:tc>
        <w:tc>
          <w:tcPr>
            <w:tcW w:w="459" w:type="pct"/>
            <w:tcBorders>
              <w:top w:val="nil"/>
              <w:left w:val="nil"/>
              <w:bottom w:val="nil"/>
              <w:right w:val="nil"/>
            </w:tcBorders>
            <w:shd w:val="clear" w:color="auto" w:fill="auto"/>
            <w:noWrap/>
            <w:vAlign w:val="center"/>
            <w:hideMark/>
          </w:tcPr>
          <w:p w14:paraId="2E424618" w14:textId="77777777" w:rsidR="0074167F" w:rsidRPr="00875872" w:rsidRDefault="0074167F" w:rsidP="009C5AF9">
            <w:pPr>
              <w:keepNext/>
              <w:spacing w:after="0"/>
              <w:jc w:val="center"/>
              <w:rPr>
                <w:rFonts w:ascii="EC Square Sans Cond Pro" w:eastAsia="Times New Roman" w:hAnsi="EC Square Sans Cond Pro" w:cs="Calibri"/>
                <w:noProof/>
                <w:sz w:val="18"/>
                <w:szCs w:val="18"/>
                <w:lang w:val="en-IE"/>
              </w:rPr>
            </w:pPr>
            <w:r w:rsidRPr="0039527E">
              <w:rPr>
                <w:rFonts w:ascii="EC Square Sans Cond Pro" w:hAnsi="EC Square Sans Cond Pro" w:cs="Calibri"/>
                <w:noProof/>
                <w:sz w:val="18"/>
                <w:szCs w:val="18"/>
              </w:rPr>
              <w:t>138</w:t>
            </w:r>
          </w:p>
        </w:tc>
        <w:tc>
          <w:tcPr>
            <w:tcW w:w="470" w:type="pct"/>
            <w:tcBorders>
              <w:top w:val="nil"/>
              <w:left w:val="nil"/>
              <w:bottom w:val="nil"/>
              <w:right w:val="nil"/>
            </w:tcBorders>
            <w:shd w:val="clear" w:color="auto" w:fill="auto"/>
            <w:noWrap/>
            <w:vAlign w:val="center"/>
            <w:hideMark/>
          </w:tcPr>
          <w:p w14:paraId="3F87D193" w14:textId="6DF55109" w:rsidR="0074167F" w:rsidRPr="00875872" w:rsidRDefault="00971789" w:rsidP="009C5AF9">
            <w:pPr>
              <w:keepNext/>
              <w:spacing w:after="0"/>
              <w:jc w:val="center"/>
              <w:rPr>
                <w:rFonts w:ascii="EC Square Sans Cond Pro" w:eastAsia="Times New Roman" w:hAnsi="EC Square Sans Cond Pro" w:cs="Calibri"/>
                <w:noProof/>
                <w:sz w:val="18"/>
                <w:szCs w:val="18"/>
                <w:lang w:val="en-IE"/>
              </w:rPr>
            </w:pPr>
            <w:r w:rsidRPr="00971789">
              <w:rPr>
                <w:rFonts w:ascii="EC Square Sans Cond Pro" w:hAnsi="EC Square Sans Cond Pro" w:cs="Calibri"/>
                <w:noProof/>
                <w:sz w:val="18"/>
                <w:szCs w:val="18"/>
              </w:rPr>
              <w:t>128</w:t>
            </w:r>
          </w:p>
        </w:tc>
        <w:tc>
          <w:tcPr>
            <w:tcW w:w="475" w:type="pct"/>
            <w:tcBorders>
              <w:top w:val="nil"/>
              <w:left w:val="nil"/>
              <w:bottom w:val="nil"/>
              <w:right w:val="nil"/>
            </w:tcBorders>
            <w:shd w:val="clear" w:color="auto" w:fill="auto"/>
            <w:noWrap/>
            <w:vAlign w:val="center"/>
            <w:hideMark/>
          </w:tcPr>
          <w:p w14:paraId="587FB97C" w14:textId="77777777" w:rsidR="0074167F" w:rsidRPr="00875872" w:rsidRDefault="0074167F" w:rsidP="009C5AF9">
            <w:pPr>
              <w:keepNext/>
              <w:spacing w:after="0"/>
              <w:jc w:val="center"/>
              <w:rPr>
                <w:rFonts w:ascii="EC Square Sans Cond Pro" w:eastAsia="Times New Roman" w:hAnsi="EC Square Sans Cond Pro" w:cs="Calibri"/>
                <w:noProof/>
                <w:sz w:val="18"/>
                <w:szCs w:val="18"/>
                <w:lang w:val="en-IE"/>
              </w:rPr>
            </w:pPr>
            <w:r w:rsidRPr="0039527E">
              <w:rPr>
                <w:rFonts w:ascii="EC Square Sans Cond Pro" w:hAnsi="EC Square Sans Cond Pro" w:cs="Calibri"/>
                <w:noProof/>
                <w:sz w:val="18"/>
                <w:szCs w:val="18"/>
              </w:rPr>
              <w:t>127</w:t>
            </w:r>
          </w:p>
        </w:tc>
        <w:tc>
          <w:tcPr>
            <w:tcW w:w="475" w:type="pct"/>
            <w:tcBorders>
              <w:top w:val="nil"/>
              <w:left w:val="nil"/>
              <w:bottom w:val="nil"/>
              <w:right w:val="nil"/>
            </w:tcBorders>
            <w:shd w:val="clear" w:color="auto" w:fill="auto"/>
            <w:noWrap/>
            <w:vAlign w:val="center"/>
            <w:hideMark/>
          </w:tcPr>
          <w:p w14:paraId="36FBB605" w14:textId="28B7AC7F" w:rsidR="0074167F" w:rsidRPr="00875872" w:rsidRDefault="00A30089" w:rsidP="009C5AF9">
            <w:pPr>
              <w:keepNext/>
              <w:spacing w:after="0"/>
              <w:jc w:val="center"/>
              <w:rPr>
                <w:rFonts w:ascii="EC Square Sans Cond Pro" w:eastAsia="Times New Roman" w:hAnsi="EC Square Sans Cond Pro" w:cs="Calibri"/>
                <w:noProof/>
                <w:sz w:val="18"/>
                <w:szCs w:val="18"/>
                <w:lang w:val="en-IE"/>
              </w:rPr>
            </w:pPr>
            <w:r>
              <w:rPr>
                <w:rFonts w:ascii="EC Square Sans Cond Pro" w:hAnsi="EC Square Sans Cond Pro" w:cs="Calibri"/>
                <w:noProof/>
                <w:sz w:val="18"/>
                <w:szCs w:val="18"/>
              </w:rPr>
              <w:t>113</w:t>
            </w:r>
          </w:p>
        </w:tc>
        <w:tc>
          <w:tcPr>
            <w:tcW w:w="475" w:type="pct"/>
            <w:tcBorders>
              <w:top w:val="nil"/>
              <w:left w:val="nil"/>
              <w:bottom w:val="nil"/>
              <w:right w:val="nil"/>
            </w:tcBorders>
            <w:shd w:val="clear" w:color="auto" w:fill="auto"/>
            <w:noWrap/>
            <w:vAlign w:val="center"/>
            <w:hideMark/>
          </w:tcPr>
          <w:p w14:paraId="7182ADD6" w14:textId="77777777" w:rsidR="0074167F" w:rsidRPr="00875872" w:rsidRDefault="0074167F" w:rsidP="009C5AF9">
            <w:pPr>
              <w:keepNext/>
              <w:spacing w:after="0"/>
              <w:jc w:val="center"/>
              <w:rPr>
                <w:rFonts w:ascii="EC Square Sans Cond Pro" w:eastAsia="Times New Roman" w:hAnsi="EC Square Sans Cond Pro" w:cs="Calibri"/>
                <w:noProof/>
                <w:sz w:val="18"/>
                <w:szCs w:val="18"/>
                <w:lang w:val="en-IE"/>
              </w:rPr>
            </w:pPr>
            <w:r w:rsidRPr="0039527E">
              <w:rPr>
                <w:rFonts w:ascii="EC Square Sans Cond Pro" w:hAnsi="EC Square Sans Cond Pro" w:cs="Calibri"/>
                <w:noProof/>
                <w:sz w:val="18"/>
                <w:szCs w:val="18"/>
              </w:rPr>
              <w:t>85</w:t>
            </w:r>
          </w:p>
        </w:tc>
        <w:tc>
          <w:tcPr>
            <w:tcW w:w="481" w:type="pct"/>
            <w:tcBorders>
              <w:top w:val="nil"/>
              <w:left w:val="nil"/>
              <w:bottom w:val="nil"/>
              <w:right w:val="nil"/>
            </w:tcBorders>
            <w:shd w:val="clear" w:color="auto" w:fill="auto"/>
            <w:noWrap/>
            <w:vAlign w:val="center"/>
            <w:hideMark/>
          </w:tcPr>
          <w:p w14:paraId="3D53EAA5" w14:textId="77777777" w:rsidR="0074167F" w:rsidRPr="00D31A8B" w:rsidRDefault="0074167F" w:rsidP="009C5AF9">
            <w:pPr>
              <w:keepNext/>
              <w:spacing w:after="0"/>
              <w:jc w:val="center"/>
              <w:rPr>
                <w:rFonts w:ascii="EC Square Sans Cond Pro" w:eastAsia="Times New Roman" w:hAnsi="EC Square Sans Cond Pro" w:cs="Calibri"/>
                <w:i/>
                <w:noProof/>
                <w:sz w:val="18"/>
                <w:szCs w:val="18"/>
                <w:lang w:val="en-IE"/>
              </w:rPr>
            </w:pPr>
            <w:r w:rsidRPr="00D31A8B">
              <w:rPr>
                <w:rFonts w:ascii="EC Square Sans Cond Pro" w:hAnsi="EC Square Sans Cond Pro" w:cs="Calibri"/>
                <w:i/>
                <w:noProof/>
                <w:sz w:val="18"/>
                <w:szCs w:val="18"/>
              </w:rPr>
              <w:t>63</w:t>
            </w:r>
          </w:p>
        </w:tc>
        <w:tc>
          <w:tcPr>
            <w:tcW w:w="470" w:type="pct"/>
            <w:tcBorders>
              <w:top w:val="nil"/>
              <w:left w:val="nil"/>
              <w:bottom w:val="nil"/>
              <w:right w:val="nil"/>
            </w:tcBorders>
            <w:shd w:val="clear" w:color="auto" w:fill="auto"/>
            <w:vAlign w:val="center"/>
            <w:hideMark/>
          </w:tcPr>
          <w:p w14:paraId="76E90B67" w14:textId="41105592" w:rsidR="0074167F" w:rsidRPr="00875872" w:rsidRDefault="00191C6D" w:rsidP="009C5AF9">
            <w:pPr>
              <w:keepNext/>
              <w:spacing w:after="0"/>
              <w:jc w:val="center"/>
              <w:rPr>
                <w:rFonts w:ascii="EC Square Sans Cond Pro" w:eastAsia="Times New Roman" w:hAnsi="EC Square Sans Cond Pro" w:cs="Calibri"/>
                <w:noProof/>
                <w:sz w:val="18"/>
                <w:szCs w:val="18"/>
                <w:lang w:val="en-IE"/>
              </w:rPr>
            </w:pPr>
            <w:r w:rsidRPr="00191C6D">
              <w:rPr>
                <w:rFonts w:ascii="EC Square Sans Cond Pro" w:hAnsi="EC Square Sans Cond Pro" w:cs="Calibri"/>
                <w:noProof/>
                <w:sz w:val="18"/>
                <w:szCs w:val="18"/>
              </w:rPr>
              <w:t>77</w:t>
            </w:r>
          </w:p>
        </w:tc>
        <w:tc>
          <w:tcPr>
            <w:tcW w:w="476" w:type="pct"/>
            <w:tcBorders>
              <w:top w:val="nil"/>
              <w:left w:val="nil"/>
              <w:bottom w:val="nil"/>
              <w:right w:val="nil"/>
            </w:tcBorders>
            <w:shd w:val="clear" w:color="auto" w:fill="auto"/>
            <w:vAlign w:val="center"/>
            <w:hideMark/>
          </w:tcPr>
          <w:p w14:paraId="65676EFE" w14:textId="2AAF943D" w:rsidR="0074167F" w:rsidRPr="00D31A8B" w:rsidRDefault="00191C6D" w:rsidP="009C5AF9">
            <w:pPr>
              <w:keepNext/>
              <w:spacing w:after="0"/>
              <w:jc w:val="center"/>
              <w:rPr>
                <w:rFonts w:ascii="EC Square Sans Cond Pro" w:eastAsia="Times New Roman" w:hAnsi="EC Square Sans Cond Pro" w:cs="Calibri"/>
                <w:i/>
                <w:noProof/>
                <w:sz w:val="18"/>
                <w:szCs w:val="18"/>
                <w:lang w:val="en-IE"/>
              </w:rPr>
            </w:pPr>
            <w:r w:rsidRPr="00F16146">
              <w:rPr>
                <w:rFonts w:ascii="EC Square Sans Cond Pro" w:hAnsi="EC Square Sans Cond Pro" w:cs="Calibri"/>
                <w:i/>
                <w:iCs/>
                <w:noProof/>
                <w:sz w:val="18"/>
                <w:szCs w:val="18"/>
              </w:rPr>
              <w:t>57</w:t>
            </w:r>
          </w:p>
        </w:tc>
      </w:tr>
      <w:tr w:rsidR="0074167F" w:rsidRPr="00875872" w14:paraId="02B9AD5F" w14:textId="77777777" w:rsidTr="00EB4115">
        <w:trPr>
          <w:trHeight w:val="300"/>
        </w:trPr>
        <w:tc>
          <w:tcPr>
            <w:tcW w:w="1220" w:type="pct"/>
            <w:tcBorders>
              <w:top w:val="nil"/>
              <w:left w:val="nil"/>
              <w:bottom w:val="nil"/>
              <w:right w:val="nil"/>
            </w:tcBorders>
            <w:shd w:val="clear" w:color="auto" w:fill="auto"/>
            <w:noWrap/>
            <w:vAlign w:val="center"/>
            <w:hideMark/>
          </w:tcPr>
          <w:p w14:paraId="1BB6DC2B" w14:textId="4C393A06" w:rsidR="0074167F" w:rsidRPr="00875872" w:rsidRDefault="0074167F" w:rsidP="009C5AF9">
            <w:pPr>
              <w:keepNext/>
              <w:spacing w:after="0"/>
              <w:jc w:val="left"/>
              <w:rPr>
                <w:rFonts w:ascii="EC Square Sans Cond Pro" w:eastAsia="Times New Roman" w:hAnsi="EC Square Sans Cond Pro" w:cs="Calibri"/>
                <w:noProof/>
                <w:sz w:val="18"/>
                <w:szCs w:val="18"/>
                <w:lang w:val="en-IE"/>
              </w:rPr>
            </w:pPr>
            <w:r w:rsidRPr="00875872">
              <w:rPr>
                <w:rFonts w:ascii="EC Square Sans Cond Pro" w:eastAsia="Times New Roman" w:hAnsi="EC Square Sans Cond Pro" w:cs="Calibri"/>
                <w:noProof/>
                <w:sz w:val="18"/>
                <w:szCs w:val="18"/>
                <w:lang w:val="en-IE"/>
              </w:rPr>
              <w:t>CO2</w:t>
            </w:r>
            <w:r w:rsidR="0049746C">
              <w:rPr>
                <w:rFonts w:ascii="EC Square Sans Cond Pro" w:eastAsia="Times New Roman" w:hAnsi="EC Square Sans Cond Pro" w:cs="Calibri"/>
                <w:noProof/>
                <w:sz w:val="18"/>
                <w:szCs w:val="18"/>
                <w:lang w:val="en-IE"/>
              </w:rPr>
              <w:t>**</w:t>
            </w:r>
          </w:p>
        </w:tc>
        <w:tc>
          <w:tcPr>
            <w:tcW w:w="459" w:type="pct"/>
            <w:tcBorders>
              <w:top w:val="nil"/>
              <w:left w:val="nil"/>
              <w:bottom w:val="nil"/>
              <w:right w:val="nil"/>
            </w:tcBorders>
            <w:shd w:val="clear" w:color="auto" w:fill="auto"/>
            <w:noWrap/>
            <w:vAlign w:val="center"/>
            <w:hideMark/>
          </w:tcPr>
          <w:p w14:paraId="51292DB8" w14:textId="75C9EDFE" w:rsidR="0074167F" w:rsidRPr="00875872" w:rsidRDefault="00971789" w:rsidP="009C5AF9">
            <w:pPr>
              <w:keepNext/>
              <w:spacing w:after="0"/>
              <w:jc w:val="center"/>
              <w:rPr>
                <w:rFonts w:ascii="EC Square Sans Cond Pro" w:eastAsia="Times New Roman" w:hAnsi="EC Square Sans Cond Pro" w:cs="Calibri"/>
                <w:noProof/>
                <w:sz w:val="18"/>
                <w:szCs w:val="18"/>
                <w:lang w:val="en-IE"/>
              </w:rPr>
            </w:pPr>
            <w:r>
              <w:rPr>
                <w:rFonts w:ascii="EC Square Sans Cond Pro" w:eastAsia="Times New Roman" w:hAnsi="EC Square Sans Cond Pro" w:cs="Calibri"/>
                <w:noProof/>
                <w:sz w:val="18"/>
                <w:szCs w:val="18"/>
                <w:lang w:val="en-IE"/>
              </w:rPr>
              <w:t>10</w:t>
            </w:r>
          </w:p>
        </w:tc>
        <w:tc>
          <w:tcPr>
            <w:tcW w:w="470" w:type="pct"/>
            <w:tcBorders>
              <w:top w:val="nil"/>
              <w:left w:val="nil"/>
              <w:bottom w:val="nil"/>
              <w:right w:val="nil"/>
            </w:tcBorders>
            <w:shd w:val="clear" w:color="auto" w:fill="auto"/>
            <w:noWrap/>
            <w:vAlign w:val="center"/>
            <w:hideMark/>
          </w:tcPr>
          <w:p w14:paraId="33CBCC5A" w14:textId="6F571FE9" w:rsidR="0074167F" w:rsidRPr="00875872" w:rsidRDefault="00F64ABD" w:rsidP="009C5AF9">
            <w:pPr>
              <w:keepNext/>
              <w:spacing w:after="0"/>
              <w:jc w:val="center"/>
              <w:rPr>
                <w:rFonts w:ascii="EC Square Sans Cond Pro" w:eastAsia="Times New Roman" w:hAnsi="EC Square Sans Cond Pro" w:cs="Calibri"/>
                <w:noProof/>
                <w:sz w:val="18"/>
                <w:szCs w:val="18"/>
                <w:lang w:val="en-IE"/>
              </w:rPr>
            </w:pPr>
            <w:r w:rsidRPr="00971789">
              <w:rPr>
                <w:rFonts w:ascii="EC Square Sans Cond Pro" w:hAnsi="EC Square Sans Cond Pro" w:cs="Calibri"/>
                <w:noProof/>
                <w:sz w:val="18"/>
                <w:szCs w:val="18"/>
              </w:rPr>
              <w:t>10</w:t>
            </w:r>
          </w:p>
        </w:tc>
        <w:tc>
          <w:tcPr>
            <w:tcW w:w="475" w:type="pct"/>
            <w:tcBorders>
              <w:top w:val="nil"/>
              <w:left w:val="nil"/>
              <w:bottom w:val="nil"/>
              <w:right w:val="nil"/>
            </w:tcBorders>
            <w:shd w:val="clear" w:color="auto" w:fill="auto"/>
            <w:noWrap/>
            <w:vAlign w:val="center"/>
            <w:hideMark/>
          </w:tcPr>
          <w:p w14:paraId="2C6B70BD" w14:textId="36B8DF4E" w:rsidR="0074167F" w:rsidRPr="00875872" w:rsidRDefault="0074167F" w:rsidP="009C5AF9">
            <w:pPr>
              <w:keepNext/>
              <w:spacing w:after="0"/>
              <w:jc w:val="center"/>
              <w:rPr>
                <w:rFonts w:ascii="EC Square Sans Cond Pro" w:eastAsia="Times New Roman" w:hAnsi="EC Square Sans Cond Pro" w:cs="Calibri"/>
                <w:noProof/>
                <w:sz w:val="18"/>
                <w:szCs w:val="18"/>
                <w:lang w:val="en-IE"/>
              </w:rPr>
            </w:pPr>
            <w:r w:rsidRPr="0039527E">
              <w:rPr>
                <w:rFonts w:ascii="EC Square Sans Cond Pro" w:hAnsi="EC Square Sans Cond Pro" w:cs="Calibri"/>
                <w:noProof/>
                <w:sz w:val="18"/>
                <w:szCs w:val="18"/>
              </w:rPr>
              <w:t>10</w:t>
            </w:r>
          </w:p>
        </w:tc>
        <w:tc>
          <w:tcPr>
            <w:tcW w:w="475" w:type="pct"/>
            <w:tcBorders>
              <w:top w:val="nil"/>
              <w:left w:val="nil"/>
              <w:bottom w:val="nil"/>
              <w:right w:val="nil"/>
            </w:tcBorders>
            <w:shd w:val="clear" w:color="auto" w:fill="auto"/>
            <w:noWrap/>
            <w:vAlign w:val="center"/>
            <w:hideMark/>
          </w:tcPr>
          <w:p w14:paraId="30D0C68C" w14:textId="7AD5EF6B" w:rsidR="0074167F" w:rsidRPr="00875872" w:rsidRDefault="0074167F" w:rsidP="009C5AF9">
            <w:pPr>
              <w:keepNext/>
              <w:spacing w:after="0"/>
              <w:jc w:val="center"/>
              <w:rPr>
                <w:rFonts w:ascii="EC Square Sans Cond Pro" w:eastAsia="Times New Roman" w:hAnsi="EC Square Sans Cond Pro" w:cs="Calibri"/>
                <w:noProof/>
                <w:sz w:val="18"/>
                <w:szCs w:val="18"/>
                <w:lang w:val="en-IE"/>
              </w:rPr>
            </w:pPr>
            <w:r w:rsidRPr="0039527E">
              <w:rPr>
                <w:rFonts w:ascii="EC Square Sans Cond Pro" w:hAnsi="EC Square Sans Cond Pro" w:cs="Calibri"/>
                <w:noProof/>
                <w:sz w:val="18"/>
                <w:szCs w:val="18"/>
              </w:rPr>
              <w:t>10</w:t>
            </w:r>
          </w:p>
        </w:tc>
        <w:tc>
          <w:tcPr>
            <w:tcW w:w="475" w:type="pct"/>
            <w:tcBorders>
              <w:top w:val="nil"/>
              <w:left w:val="nil"/>
              <w:bottom w:val="nil"/>
              <w:right w:val="nil"/>
            </w:tcBorders>
            <w:shd w:val="clear" w:color="auto" w:fill="auto"/>
            <w:noWrap/>
            <w:vAlign w:val="center"/>
            <w:hideMark/>
          </w:tcPr>
          <w:p w14:paraId="545DB210" w14:textId="6EB08147" w:rsidR="0074167F" w:rsidRPr="00875872" w:rsidRDefault="0074167F" w:rsidP="009C5AF9">
            <w:pPr>
              <w:keepNext/>
              <w:spacing w:after="0"/>
              <w:jc w:val="center"/>
              <w:rPr>
                <w:rFonts w:ascii="EC Square Sans Cond Pro" w:eastAsia="Times New Roman" w:hAnsi="EC Square Sans Cond Pro" w:cs="Calibri"/>
                <w:noProof/>
                <w:sz w:val="18"/>
                <w:szCs w:val="18"/>
                <w:lang w:val="en-IE"/>
              </w:rPr>
            </w:pPr>
            <w:r w:rsidRPr="0039527E">
              <w:rPr>
                <w:rFonts w:ascii="EC Square Sans Cond Pro" w:hAnsi="EC Square Sans Cond Pro" w:cs="Calibri"/>
                <w:noProof/>
                <w:sz w:val="18"/>
                <w:szCs w:val="18"/>
              </w:rPr>
              <w:t>10</w:t>
            </w:r>
          </w:p>
        </w:tc>
        <w:tc>
          <w:tcPr>
            <w:tcW w:w="481" w:type="pct"/>
            <w:tcBorders>
              <w:top w:val="nil"/>
              <w:left w:val="nil"/>
              <w:bottom w:val="nil"/>
              <w:right w:val="nil"/>
            </w:tcBorders>
            <w:shd w:val="clear" w:color="auto" w:fill="auto"/>
            <w:noWrap/>
            <w:vAlign w:val="center"/>
            <w:hideMark/>
          </w:tcPr>
          <w:p w14:paraId="2984FB69" w14:textId="1A18FB3D" w:rsidR="0074167F" w:rsidRPr="00D31A8B" w:rsidRDefault="0074167F" w:rsidP="009C5AF9">
            <w:pPr>
              <w:keepNext/>
              <w:spacing w:after="0"/>
              <w:jc w:val="center"/>
              <w:rPr>
                <w:rFonts w:ascii="EC Square Sans Cond Pro" w:eastAsia="Times New Roman" w:hAnsi="EC Square Sans Cond Pro" w:cs="Calibri"/>
                <w:i/>
                <w:noProof/>
                <w:sz w:val="18"/>
                <w:szCs w:val="18"/>
                <w:lang w:val="en-IE"/>
              </w:rPr>
            </w:pPr>
            <w:r w:rsidRPr="00D31A8B">
              <w:rPr>
                <w:rFonts w:ascii="EC Square Sans Cond Pro" w:hAnsi="EC Square Sans Cond Pro" w:cs="Calibri"/>
                <w:i/>
                <w:noProof/>
                <w:sz w:val="18"/>
                <w:szCs w:val="18"/>
              </w:rPr>
              <w:t>10</w:t>
            </w:r>
          </w:p>
        </w:tc>
        <w:tc>
          <w:tcPr>
            <w:tcW w:w="470" w:type="pct"/>
            <w:tcBorders>
              <w:top w:val="nil"/>
              <w:left w:val="nil"/>
              <w:bottom w:val="nil"/>
              <w:right w:val="nil"/>
            </w:tcBorders>
            <w:shd w:val="clear" w:color="auto" w:fill="auto"/>
            <w:vAlign w:val="center"/>
            <w:hideMark/>
          </w:tcPr>
          <w:p w14:paraId="729B8411" w14:textId="2CD6A59A" w:rsidR="0074167F" w:rsidRPr="00875872" w:rsidRDefault="00191C6D" w:rsidP="009C5AF9">
            <w:pPr>
              <w:keepNext/>
              <w:spacing w:after="0"/>
              <w:jc w:val="center"/>
              <w:rPr>
                <w:rFonts w:ascii="EC Square Sans Cond Pro" w:eastAsia="Times New Roman" w:hAnsi="EC Square Sans Cond Pro" w:cs="Calibri"/>
                <w:noProof/>
                <w:sz w:val="18"/>
                <w:szCs w:val="18"/>
                <w:lang w:val="en-IE"/>
              </w:rPr>
            </w:pPr>
            <w:r w:rsidRPr="00191C6D">
              <w:rPr>
                <w:rFonts w:ascii="EC Square Sans Cond Pro" w:hAnsi="EC Square Sans Cond Pro" w:cs="Calibri"/>
                <w:noProof/>
                <w:sz w:val="18"/>
                <w:szCs w:val="18"/>
              </w:rPr>
              <w:t>10</w:t>
            </w:r>
          </w:p>
        </w:tc>
        <w:tc>
          <w:tcPr>
            <w:tcW w:w="476" w:type="pct"/>
            <w:tcBorders>
              <w:top w:val="nil"/>
              <w:left w:val="nil"/>
              <w:bottom w:val="nil"/>
              <w:right w:val="nil"/>
            </w:tcBorders>
            <w:shd w:val="clear" w:color="auto" w:fill="auto"/>
            <w:vAlign w:val="center"/>
            <w:hideMark/>
          </w:tcPr>
          <w:p w14:paraId="5326633B" w14:textId="419BDCB0" w:rsidR="0074167F" w:rsidRPr="00D31A8B" w:rsidRDefault="00191C6D" w:rsidP="009C5AF9">
            <w:pPr>
              <w:keepNext/>
              <w:spacing w:after="0"/>
              <w:jc w:val="center"/>
              <w:rPr>
                <w:rFonts w:ascii="EC Square Sans Cond Pro" w:eastAsia="Times New Roman" w:hAnsi="EC Square Sans Cond Pro" w:cs="Calibri"/>
                <w:i/>
                <w:noProof/>
                <w:sz w:val="18"/>
                <w:szCs w:val="18"/>
                <w:lang w:val="en-IE"/>
              </w:rPr>
            </w:pPr>
            <w:r w:rsidRPr="00F16146">
              <w:rPr>
                <w:rFonts w:ascii="EC Square Sans Cond Pro" w:hAnsi="EC Square Sans Cond Pro" w:cs="Calibri"/>
                <w:i/>
                <w:iCs/>
                <w:noProof/>
                <w:sz w:val="18"/>
                <w:szCs w:val="18"/>
              </w:rPr>
              <w:t>10</w:t>
            </w:r>
          </w:p>
        </w:tc>
      </w:tr>
      <w:tr w:rsidR="0074167F" w:rsidRPr="00875872" w14:paraId="56925A65" w14:textId="77777777" w:rsidTr="00EB4115">
        <w:trPr>
          <w:trHeight w:val="300"/>
        </w:trPr>
        <w:tc>
          <w:tcPr>
            <w:tcW w:w="1220" w:type="pct"/>
            <w:tcBorders>
              <w:top w:val="nil"/>
              <w:left w:val="nil"/>
              <w:bottom w:val="nil"/>
              <w:right w:val="nil"/>
            </w:tcBorders>
            <w:shd w:val="clear" w:color="auto" w:fill="auto"/>
            <w:noWrap/>
            <w:vAlign w:val="center"/>
            <w:hideMark/>
          </w:tcPr>
          <w:p w14:paraId="283CCE4F" w14:textId="77777777" w:rsidR="0074167F" w:rsidRPr="00875872" w:rsidRDefault="0074167F" w:rsidP="009C5AF9">
            <w:pPr>
              <w:keepNext/>
              <w:spacing w:after="0"/>
              <w:jc w:val="left"/>
              <w:rPr>
                <w:rFonts w:ascii="EC Square Sans Cond Pro" w:eastAsia="Times New Roman" w:hAnsi="EC Square Sans Cond Pro" w:cs="Calibri"/>
                <w:noProof/>
                <w:sz w:val="18"/>
                <w:szCs w:val="18"/>
                <w:lang w:val="en-IE"/>
              </w:rPr>
            </w:pPr>
            <w:r w:rsidRPr="00875872">
              <w:rPr>
                <w:rFonts w:ascii="EC Square Sans Cond Pro" w:eastAsia="Times New Roman" w:hAnsi="EC Square Sans Cond Pro" w:cs="Calibri"/>
                <w:noProof/>
                <w:sz w:val="18"/>
                <w:szCs w:val="18"/>
                <w:lang w:val="en-IE"/>
              </w:rPr>
              <w:t>Total (all gases)</w:t>
            </w:r>
          </w:p>
        </w:tc>
        <w:tc>
          <w:tcPr>
            <w:tcW w:w="459" w:type="pct"/>
            <w:tcBorders>
              <w:top w:val="nil"/>
              <w:left w:val="nil"/>
              <w:bottom w:val="nil"/>
              <w:right w:val="nil"/>
            </w:tcBorders>
            <w:shd w:val="clear" w:color="auto" w:fill="auto"/>
            <w:noWrap/>
            <w:vAlign w:val="center"/>
            <w:hideMark/>
          </w:tcPr>
          <w:p w14:paraId="3FC37A67" w14:textId="7054244F" w:rsidR="0074167F" w:rsidRPr="00875872" w:rsidRDefault="00971789" w:rsidP="009C5AF9">
            <w:pPr>
              <w:keepNext/>
              <w:spacing w:after="0"/>
              <w:jc w:val="center"/>
              <w:rPr>
                <w:rFonts w:ascii="EC Square Sans Cond Pro" w:eastAsia="Times New Roman" w:hAnsi="EC Square Sans Cond Pro" w:cs="Calibri"/>
                <w:noProof/>
                <w:sz w:val="18"/>
                <w:szCs w:val="18"/>
                <w:lang w:val="en-IE"/>
              </w:rPr>
            </w:pPr>
            <w:r w:rsidRPr="0039527E">
              <w:rPr>
                <w:rFonts w:ascii="EC Square Sans Cond Pro" w:hAnsi="EC Square Sans Cond Pro" w:cs="Calibri"/>
                <w:noProof/>
                <w:sz w:val="18"/>
                <w:szCs w:val="18"/>
              </w:rPr>
              <w:t>385</w:t>
            </w:r>
          </w:p>
        </w:tc>
        <w:tc>
          <w:tcPr>
            <w:tcW w:w="470" w:type="pct"/>
            <w:tcBorders>
              <w:top w:val="nil"/>
              <w:left w:val="nil"/>
              <w:bottom w:val="nil"/>
              <w:right w:val="nil"/>
            </w:tcBorders>
            <w:shd w:val="clear" w:color="auto" w:fill="auto"/>
            <w:noWrap/>
            <w:vAlign w:val="center"/>
            <w:hideMark/>
          </w:tcPr>
          <w:p w14:paraId="493B99C2" w14:textId="730F5871" w:rsidR="0074167F" w:rsidRPr="00875872" w:rsidRDefault="00971789" w:rsidP="009C5AF9">
            <w:pPr>
              <w:keepNext/>
              <w:spacing w:after="0"/>
              <w:jc w:val="center"/>
              <w:rPr>
                <w:rFonts w:ascii="EC Square Sans Cond Pro" w:eastAsia="Times New Roman" w:hAnsi="EC Square Sans Cond Pro" w:cs="Calibri"/>
                <w:noProof/>
                <w:sz w:val="18"/>
                <w:szCs w:val="18"/>
                <w:lang w:val="en-IE"/>
              </w:rPr>
            </w:pPr>
            <w:r w:rsidRPr="00971789">
              <w:rPr>
                <w:rFonts w:ascii="EC Square Sans Cond Pro" w:hAnsi="EC Square Sans Cond Pro" w:cs="Calibri"/>
                <w:noProof/>
                <w:sz w:val="18"/>
                <w:szCs w:val="18"/>
              </w:rPr>
              <w:t>361</w:t>
            </w:r>
          </w:p>
        </w:tc>
        <w:tc>
          <w:tcPr>
            <w:tcW w:w="475" w:type="pct"/>
            <w:tcBorders>
              <w:top w:val="nil"/>
              <w:left w:val="nil"/>
              <w:bottom w:val="nil"/>
              <w:right w:val="nil"/>
            </w:tcBorders>
            <w:shd w:val="clear" w:color="auto" w:fill="auto"/>
            <w:noWrap/>
            <w:vAlign w:val="center"/>
            <w:hideMark/>
          </w:tcPr>
          <w:p w14:paraId="0E86873D" w14:textId="325BDBCD" w:rsidR="0074167F" w:rsidRPr="00875872" w:rsidRDefault="0074167F" w:rsidP="009C5AF9">
            <w:pPr>
              <w:keepNext/>
              <w:spacing w:after="0"/>
              <w:jc w:val="center"/>
              <w:rPr>
                <w:rFonts w:ascii="EC Square Sans Cond Pro" w:eastAsia="Times New Roman" w:hAnsi="EC Square Sans Cond Pro" w:cs="Calibri"/>
                <w:noProof/>
                <w:sz w:val="18"/>
                <w:szCs w:val="18"/>
                <w:lang w:val="en-IE"/>
              </w:rPr>
            </w:pPr>
            <w:r w:rsidRPr="0039527E">
              <w:rPr>
                <w:rFonts w:ascii="EC Square Sans Cond Pro" w:hAnsi="EC Square Sans Cond Pro" w:cs="Calibri"/>
                <w:noProof/>
                <w:sz w:val="18"/>
                <w:szCs w:val="18"/>
              </w:rPr>
              <w:t>3</w:t>
            </w:r>
            <w:r w:rsidR="00F83D51">
              <w:rPr>
                <w:rFonts w:ascii="EC Square Sans Cond Pro" w:hAnsi="EC Square Sans Cond Pro" w:cs="Calibri"/>
                <w:noProof/>
                <w:sz w:val="18"/>
                <w:szCs w:val="18"/>
              </w:rPr>
              <w:t>51</w:t>
            </w:r>
          </w:p>
        </w:tc>
        <w:tc>
          <w:tcPr>
            <w:tcW w:w="475" w:type="pct"/>
            <w:tcBorders>
              <w:top w:val="nil"/>
              <w:left w:val="nil"/>
              <w:bottom w:val="nil"/>
              <w:right w:val="nil"/>
            </w:tcBorders>
            <w:shd w:val="clear" w:color="auto" w:fill="auto"/>
            <w:noWrap/>
            <w:vAlign w:val="center"/>
            <w:hideMark/>
          </w:tcPr>
          <w:p w14:paraId="59FEE7E1" w14:textId="73DFB5DA" w:rsidR="0074167F" w:rsidRPr="00875872" w:rsidRDefault="00A30089" w:rsidP="009C5AF9">
            <w:pPr>
              <w:keepNext/>
              <w:spacing w:after="0"/>
              <w:jc w:val="center"/>
              <w:rPr>
                <w:rFonts w:ascii="EC Square Sans Cond Pro" w:eastAsia="Times New Roman" w:hAnsi="EC Square Sans Cond Pro" w:cs="Calibri"/>
                <w:noProof/>
                <w:sz w:val="18"/>
                <w:szCs w:val="18"/>
                <w:lang w:val="en-IE"/>
              </w:rPr>
            </w:pPr>
            <w:r>
              <w:rPr>
                <w:rFonts w:ascii="EC Square Sans Cond Pro" w:hAnsi="EC Square Sans Cond Pro" w:cs="Calibri"/>
                <w:noProof/>
                <w:sz w:val="18"/>
                <w:szCs w:val="18"/>
              </w:rPr>
              <w:t>302</w:t>
            </w:r>
          </w:p>
        </w:tc>
        <w:tc>
          <w:tcPr>
            <w:tcW w:w="475" w:type="pct"/>
            <w:tcBorders>
              <w:top w:val="nil"/>
              <w:left w:val="nil"/>
              <w:bottom w:val="nil"/>
              <w:right w:val="nil"/>
            </w:tcBorders>
            <w:shd w:val="clear" w:color="auto" w:fill="auto"/>
            <w:noWrap/>
            <w:vAlign w:val="center"/>
            <w:hideMark/>
          </w:tcPr>
          <w:p w14:paraId="23128FD6" w14:textId="77777777" w:rsidR="0074167F" w:rsidRPr="00875872" w:rsidRDefault="0074167F" w:rsidP="009C5AF9">
            <w:pPr>
              <w:keepNext/>
              <w:spacing w:after="0"/>
              <w:jc w:val="center"/>
              <w:rPr>
                <w:rFonts w:ascii="EC Square Sans Cond Pro" w:eastAsia="Times New Roman" w:hAnsi="EC Square Sans Cond Pro" w:cs="Calibri"/>
                <w:noProof/>
                <w:sz w:val="18"/>
                <w:szCs w:val="18"/>
                <w:lang w:val="en-IE"/>
              </w:rPr>
            </w:pPr>
            <w:r w:rsidRPr="0039527E">
              <w:rPr>
                <w:rFonts w:ascii="EC Square Sans Cond Pro" w:hAnsi="EC Square Sans Cond Pro" w:cs="Calibri"/>
                <w:noProof/>
                <w:sz w:val="18"/>
                <w:szCs w:val="18"/>
              </w:rPr>
              <w:t>271</w:t>
            </w:r>
          </w:p>
        </w:tc>
        <w:tc>
          <w:tcPr>
            <w:tcW w:w="481" w:type="pct"/>
            <w:tcBorders>
              <w:top w:val="nil"/>
              <w:left w:val="nil"/>
              <w:bottom w:val="nil"/>
              <w:right w:val="nil"/>
            </w:tcBorders>
            <w:shd w:val="clear" w:color="auto" w:fill="auto"/>
            <w:noWrap/>
            <w:vAlign w:val="center"/>
            <w:hideMark/>
          </w:tcPr>
          <w:p w14:paraId="1A24CA34" w14:textId="77777777" w:rsidR="0074167F" w:rsidRPr="00D31A8B" w:rsidRDefault="0074167F" w:rsidP="009C5AF9">
            <w:pPr>
              <w:keepNext/>
              <w:spacing w:after="0"/>
              <w:jc w:val="center"/>
              <w:rPr>
                <w:rFonts w:ascii="EC Square Sans Cond Pro" w:eastAsia="Times New Roman" w:hAnsi="EC Square Sans Cond Pro" w:cs="Calibri"/>
                <w:i/>
                <w:noProof/>
                <w:sz w:val="18"/>
                <w:szCs w:val="18"/>
                <w:lang w:val="en-IE"/>
              </w:rPr>
            </w:pPr>
            <w:r w:rsidRPr="00D31A8B">
              <w:rPr>
                <w:rFonts w:ascii="EC Square Sans Cond Pro" w:hAnsi="EC Square Sans Cond Pro" w:cs="Calibri"/>
                <w:i/>
                <w:noProof/>
                <w:sz w:val="18"/>
                <w:szCs w:val="18"/>
              </w:rPr>
              <w:t>209</w:t>
            </w:r>
          </w:p>
        </w:tc>
        <w:tc>
          <w:tcPr>
            <w:tcW w:w="470" w:type="pct"/>
            <w:tcBorders>
              <w:top w:val="nil"/>
              <w:left w:val="nil"/>
              <w:bottom w:val="nil"/>
              <w:right w:val="nil"/>
            </w:tcBorders>
            <w:shd w:val="clear" w:color="auto" w:fill="auto"/>
            <w:vAlign w:val="center"/>
            <w:hideMark/>
          </w:tcPr>
          <w:p w14:paraId="1683C55C" w14:textId="136E1A51" w:rsidR="0074167F" w:rsidRPr="00875872" w:rsidRDefault="00191C6D" w:rsidP="009C5AF9">
            <w:pPr>
              <w:keepNext/>
              <w:spacing w:after="0"/>
              <w:jc w:val="center"/>
              <w:rPr>
                <w:rFonts w:ascii="EC Square Sans Cond Pro" w:eastAsia="Times New Roman" w:hAnsi="EC Square Sans Cond Pro" w:cs="Calibri"/>
                <w:noProof/>
                <w:sz w:val="18"/>
                <w:szCs w:val="18"/>
                <w:lang w:val="en-IE"/>
              </w:rPr>
            </w:pPr>
            <w:r w:rsidRPr="00191C6D">
              <w:rPr>
                <w:rFonts w:ascii="EC Square Sans Cond Pro" w:hAnsi="EC Square Sans Cond Pro" w:cs="Calibri"/>
                <w:noProof/>
                <w:sz w:val="18"/>
                <w:szCs w:val="18"/>
              </w:rPr>
              <w:t>249</w:t>
            </w:r>
          </w:p>
        </w:tc>
        <w:tc>
          <w:tcPr>
            <w:tcW w:w="476" w:type="pct"/>
            <w:tcBorders>
              <w:top w:val="nil"/>
              <w:left w:val="nil"/>
              <w:bottom w:val="nil"/>
              <w:right w:val="nil"/>
            </w:tcBorders>
            <w:shd w:val="clear" w:color="auto" w:fill="auto"/>
            <w:vAlign w:val="center"/>
            <w:hideMark/>
          </w:tcPr>
          <w:p w14:paraId="583724F9" w14:textId="01F448C1" w:rsidR="0074167F" w:rsidRPr="00D31A8B" w:rsidRDefault="00191C6D" w:rsidP="009C5AF9">
            <w:pPr>
              <w:keepNext/>
              <w:spacing w:after="0"/>
              <w:jc w:val="center"/>
              <w:rPr>
                <w:rFonts w:ascii="EC Square Sans Cond Pro" w:eastAsia="Times New Roman" w:hAnsi="EC Square Sans Cond Pro" w:cs="Calibri"/>
                <w:i/>
                <w:noProof/>
                <w:sz w:val="18"/>
                <w:szCs w:val="18"/>
                <w:lang w:val="en-IE"/>
              </w:rPr>
            </w:pPr>
            <w:r w:rsidRPr="00F16146">
              <w:rPr>
                <w:rFonts w:ascii="EC Square Sans Cond Pro" w:hAnsi="EC Square Sans Cond Pro" w:cs="Calibri"/>
                <w:i/>
                <w:iCs/>
                <w:noProof/>
                <w:sz w:val="18"/>
                <w:szCs w:val="18"/>
              </w:rPr>
              <w:t>194</w:t>
            </w:r>
          </w:p>
        </w:tc>
      </w:tr>
      <w:tr w:rsidR="0074167F" w:rsidRPr="00875872" w14:paraId="5AC0964F" w14:textId="77777777" w:rsidTr="00EB4115">
        <w:trPr>
          <w:trHeight w:val="300"/>
        </w:trPr>
        <w:tc>
          <w:tcPr>
            <w:tcW w:w="1679" w:type="pct"/>
            <w:gridSpan w:val="2"/>
            <w:tcBorders>
              <w:top w:val="nil"/>
              <w:left w:val="nil"/>
              <w:bottom w:val="nil"/>
              <w:right w:val="nil"/>
            </w:tcBorders>
            <w:shd w:val="clear" w:color="auto" w:fill="auto"/>
            <w:noWrap/>
            <w:vAlign w:val="center"/>
            <w:hideMark/>
          </w:tcPr>
          <w:p w14:paraId="47A2AAC9" w14:textId="77777777" w:rsidR="0074167F" w:rsidRPr="00875872" w:rsidRDefault="0074167F" w:rsidP="009C5AF9">
            <w:pPr>
              <w:keepNext/>
              <w:spacing w:after="0"/>
              <w:jc w:val="left"/>
              <w:rPr>
                <w:rFonts w:ascii="EC Square Sans Cond Pro" w:eastAsia="Times New Roman" w:hAnsi="EC Square Sans Cond Pro" w:cs="Calibri"/>
                <w:b/>
                <w:bCs/>
                <w:noProof/>
                <w:sz w:val="18"/>
                <w:szCs w:val="18"/>
                <w:lang w:val="en-IE"/>
              </w:rPr>
            </w:pPr>
            <w:r w:rsidRPr="00875872">
              <w:rPr>
                <w:rFonts w:ascii="EC Square Sans Cond Pro" w:eastAsia="Times New Roman" w:hAnsi="EC Square Sans Cond Pro" w:cs="Calibri"/>
                <w:b/>
                <w:bCs/>
                <w:noProof/>
                <w:sz w:val="18"/>
                <w:szCs w:val="18"/>
                <w:lang w:val="en-IE"/>
              </w:rPr>
              <w:t xml:space="preserve">Disaggregated per </w:t>
            </w:r>
            <w:r>
              <w:rPr>
                <w:rFonts w:ascii="EC Square Sans Cond Pro" w:eastAsia="Times New Roman" w:hAnsi="EC Square Sans Cond Pro" w:cs="Calibri"/>
                <w:b/>
                <w:bCs/>
                <w:noProof/>
                <w:sz w:val="18"/>
                <w:szCs w:val="18"/>
                <w:lang w:val="en-IE"/>
              </w:rPr>
              <w:t xml:space="preserve">type of </w:t>
            </w:r>
            <w:r w:rsidRPr="00875872">
              <w:rPr>
                <w:rFonts w:ascii="EC Square Sans Cond Pro" w:eastAsia="Times New Roman" w:hAnsi="EC Square Sans Cond Pro" w:cs="Calibri"/>
                <w:b/>
                <w:bCs/>
                <w:noProof/>
                <w:sz w:val="18"/>
                <w:szCs w:val="18"/>
                <w:lang w:val="en-IE"/>
              </w:rPr>
              <w:t>source</w:t>
            </w:r>
          </w:p>
        </w:tc>
        <w:tc>
          <w:tcPr>
            <w:tcW w:w="470" w:type="pct"/>
            <w:tcBorders>
              <w:top w:val="nil"/>
              <w:left w:val="nil"/>
              <w:bottom w:val="nil"/>
              <w:right w:val="nil"/>
            </w:tcBorders>
            <w:shd w:val="clear" w:color="auto" w:fill="auto"/>
            <w:vAlign w:val="center"/>
            <w:hideMark/>
          </w:tcPr>
          <w:p w14:paraId="467EAF8B" w14:textId="77777777" w:rsidR="0074167F" w:rsidRPr="00875872" w:rsidRDefault="0074167F" w:rsidP="009C5AF9">
            <w:pPr>
              <w:keepNext/>
              <w:spacing w:after="0"/>
              <w:jc w:val="left"/>
              <w:rPr>
                <w:rFonts w:ascii="EC Square Sans Cond Pro" w:eastAsia="Times New Roman" w:hAnsi="EC Square Sans Cond Pro" w:cs="Calibri"/>
                <w:b/>
                <w:bCs/>
                <w:noProof/>
                <w:sz w:val="18"/>
                <w:szCs w:val="18"/>
                <w:lang w:val="en-IE"/>
              </w:rPr>
            </w:pPr>
          </w:p>
        </w:tc>
        <w:tc>
          <w:tcPr>
            <w:tcW w:w="475" w:type="pct"/>
            <w:tcBorders>
              <w:top w:val="nil"/>
              <w:left w:val="nil"/>
              <w:bottom w:val="nil"/>
              <w:right w:val="nil"/>
            </w:tcBorders>
            <w:shd w:val="clear" w:color="auto" w:fill="auto"/>
            <w:vAlign w:val="center"/>
            <w:hideMark/>
          </w:tcPr>
          <w:p w14:paraId="05214F20" w14:textId="77777777" w:rsidR="0074167F" w:rsidRPr="00367C65" w:rsidRDefault="0074167F" w:rsidP="009C5AF9">
            <w:pPr>
              <w:keepNext/>
              <w:spacing w:after="0"/>
              <w:jc w:val="center"/>
              <w:rPr>
                <w:rFonts w:ascii="EC Square Sans Cond Pro" w:eastAsia="Times New Roman" w:hAnsi="EC Square Sans Cond Pro" w:cs="Times New Roman"/>
                <w:noProof/>
                <w:sz w:val="18"/>
                <w:szCs w:val="18"/>
                <w:lang w:val="en-IE"/>
              </w:rPr>
            </w:pPr>
          </w:p>
        </w:tc>
        <w:tc>
          <w:tcPr>
            <w:tcW w:w="475" w:type="pct"/>
            <w:tcBorders>
              <w:top w:val="nil"/>
              <w:left w:val="nil"/>
              <w:bottom w:val="nil"/>
              <w:right w:val="nil"/>
            </w:tcBorders>
            <w:shd w:val="clear" w:color="auto" w:fill="auto"/>
            <w:vAlign w:val="center"/>
            <w:hideMark/>
          </w:tcPr>
          <w:p w14:paraId="69E53A1E" w14:textId="77777777" w:rsidR="0074167F" w:rsidRPr="00367C65" w:rsidRDefault="0074167F" w:rsidP="009C5AF9">
            <w:pPr>
              <w:keepNext/>
              <w:spacing w:after="0"/>
              <w:jc w:val="center"/>
              <w:rPr>
                <w:rFonts w:ascii="EC Square Sans Cond Pro" w:eastAsia="Times New Roman" w:hAnsi="EC Square Sans Cond Pro" w:cs="Times New Roman"/>
                <w:noProof/>
                <w:sz w:val="18"/>
                <w:szCs w:val="18"/>
                <w:lang w:val="en-IE"/>
              </w:rPr>
            </w:pPr>
          </w:p>
        </w:tc>
        <w:tc>
          <w:tcPr>
            <w:tcW w:w="475" w:type="pct"/>
            <w:tcBorders>
              <w:top w:val="nil"/>
              <w:left w:val="nil"/>
              <w:bottom w:val="nil"/>
              <w:right w:val="nil"/>
            </w:tcBorders>
            <w:shd w:val="clear" w:color="auto" w:fill="auto"/>
            <w:vAlign w:val="center"/>
            <w:hideMark/>
          </w:tcPr>
          <w:p w14:paraId="19F37348" w14:textId="77777777" w:rsidR="0074167F" w:rsidRPr="00367C65" w:rsidRDefault="0074167F" w:rsidP="009C5AF9">
            <w:pPr>
              <w:keepNext/>
              <w:spacing w:after="0"/>
              <w:jc w:val="center"/>
              <w:rPr>
                <w:rFonts w:ascii="EC Square Sans Cond Pro" w:eastAsia="Times New Roman" w:hAnsi="EC Square Sans Cond Pro" w:cs="Times New Roman"/>
                <w:noProof/>
                <w:sz w:val="18"/>
                <w:szCs w:val="18"/>
                <w:lang w:val="en-IE"/>
              </w:rPr>
            </w:pPr>
          </w:p>
        </w:tc>
        <w:tc>
          <w:tcPr>
            <w:tcW w:w="481" w:type="pct"/>
            <w:tcBorders>
              <w:top w:val="nil"/>
              <w:left w:val="nil"/>
              <w:bottom w:val="nil"/>
              <w:right w:val="nil"/>
            </w:tcBorders>
            <w:shd w:val="clear" w:color="auto" w:fill="auto"/>
            <w:vAlign w:val="center"/>
            <w:hideMark/>
          </w:tcPr>
          <w:p w14:paraId="2B9A5797" w14:textId="77777777" w:rsidR="0074167F" w:rsidRPr="00D31A8B" w:rsidRDefault="0074167F" w:rsidP="009C5AF9">
            <w:pPr>
              <w:keepNext/>
              <w:spacing w:after="0"/>
              <w:jc w:val="center"/>
              <w:rPr>
                <w:rFonts w:ascii="EC Square Sans Cond Pro" w:eastAsia="Times New Roman" w:hAnsi="EC Square Sans Cond Pro" w:cs="Times New Roman"/>
                <w:i/>
                <w:noProof/>
                <w:sz w:val="18"/>
                <w:szCs w:val="18"/>
                <w:lang w:val="en-IE"/>
              </w:rPr>
            </w:pPr>
          </w:p>
        </w:tc>
        <w:tc>
          <w:tcPr>
            <w:tcW w:w="470" w:type="pct"/>
            <w:tcBorders>
              <w:top w:val="nil"/>
              <w:left w:val="nil"/>
              <w:bottom w:val="nil"/>
              <w:right w:val="nil"/>
            </w:tcBorders>
            <w:shd w:val="clear" w:color="auto" w:fill="auto"/>
            <w:noWrap/>
            <w:vAlign w:val="bottom"/>
            <w:hideMark/>
          </w:tcPr>
          <w:p w14:paraId="21C06611" w14:textId="77777777" w:rsidR="0074167F" w:rsidRPr="00367C65" w:rsidRDefault="0074167F" w:rsidP="009C5AF9">
            <w:pPr>
              <w:keepNext/>
              <w:spacing w:after="0"/>
              <w:jc w:val="left"/>
              <w:rPr>
                <w:rFonts w:ascii="EC Square Sans Cond Pro" w:eastAsia="Times New Roman" w:hAnsi="EC Square Sans Cond Pro" w:cs="Times New Roman"/>
                <w:noProof/>
                <w:sz w:val="18"/>
                <w:szCs w:val="18"/>
                <w:lang w:val="en-IE"/>
              </w:rPr>
            </w:pPr>
          </w:p>
        </w:tc>
        <w:tc>
          <w:tcPr>
            <w:tcW w:w="476" w:type="pct"/>
            <w:tcBorders>
              <w:top w:val="nil"/>
              <w:left w:val="nil"/>
              <w:bottom w:val="nil"/>
              <w:right w:val="nil"/>
            </w:tcBorders>
            <w:shd w:val="clear" w:color="auto" w:fill="auto"/>
            <w:noWrap/>
            <w:vAlign w:val="center"/>
            <w:hideMark/>
          </w:tcPr>
          <w:p w14:paraId="6D185D4F" w14:textId="77777777" w:rsidR="0074167F" w:rsidRPr="00D31A8B" w:rsidRDefault="0074167F" w:rsidP="009C5AF9">
            <w:pPr>
              <w:keepNext/>
              <w:spacing w:after="0"/>
              <w:jc w:val="left"/>
              <w:rPr>
                <w:rFonts w:ascii="EC Square Sans Cond Pro" w:eastAsia="Times New Roman" w:hAnsi="EC Square Sans Cond Pro" w:cs="Times New Roman"/>
                <w:i/>
                <w:noProof/>
                <w:sz w:val="18"/>
                <w:szCs w:val="18"/>
                <w:lang w:val="en-IE"/>
              </w:rPr>
            </w:pPr>
          </w:p>
        </w:tc>
      </w:tr>
      <w:tr w:rsidR="0074167F" w:rsidRPr="00875872" w14:paraId="5E64B6B4" w14:textId="77777777" w:rsidTr="00EB4115">
        <w:trPr>
          <w:trHeight w:val="300"/>
        </w:trPr>
        <w:tc>
          <w:tcPr>
            <w:tcW w:w="1220" w:type="pct"/>
            <w:tcBorders>
              <w:top w:val="nil"/>
              <w:left w:val="nil"/>
              <w:bottom w:val="nil"/>
              <w:right w:val="nil"/>
            </w:tcBorders>
            <w:shd w:val="clear" w:color="auto" w:fill="auto"/>
            <w:noWrap/>
            <w:vAlign w:val="center"/>
            <w:hideMark/>
          </w:tcPr>
          <w:p w14:paraId="29534338" w14:textId="77777777" w:rsidR="0074167F" w:rsidRPr="00875872" w:rsidRDefault="0074167F" w:rsidP="009C5AF9">
            <w:pPr>
              <w:keepNext/>
              <w:spacing w:after="0"/>
              <w:jc w:val="left"/>
              <w:rPr>
                <w:rFonts w:ascii="EC Square Sans Cond Pro" w:eastAsia="Times New Roman" w:hAnsi="EC Square Sans Cond Pro" w:cs="Calibri"/>
                <w:noProof/>
                <w:sz w:val="18"/>
                <w:szCs w:val="18"/>
                <w:lang w:val="en-IE"/>
              </w:rPr>
            </w:pPr>
            <w:r w:rsidRPr="00875872">
              <w:rPr>
                <w:rFonts w:ascii="EC Square Sans Cond Pro" w:eastAsia="Times New Roman" w:hAnsi="EC Square Sans Cond Pro" w:cs="Calibri"/>
                <w:noProof/>
                <w:sz w:val="18"/>
                <w:szCs w:val="18"/>
                <w:lang w:val="en-IE"/>
              </w:rPr>
              <w:t>Livestock</w:t>
            </w:r>
          </w:p>
        </w:tc>
        <w:tc>
          <w:tcPr>
            <w:tcW w:w="459" w:type="pct"/>
            <w:tcBorders>
              <w:top w:val="nil"/>
              <w:left w:val="nil"/>
              <w:bottom w:val="nil"/>
              <w:right w:val="nil"/>
            </w:tcBorders>
            <w:shd w:val="clear" w:color="auto" w:fill="auto"/>
            <w:noWrap/>
            <w:vAlign w:val="center"/>
            <w:hideMark/>
          </w:tcPr>
          <w:p w14:paraId="7A46921C" w14:textId="10C1868E" w:rsidR="0074167F" w:rsidRPr="00875872" w:rsidRDefault="00971789" w:rsidP="009C5AF9">
            <w:pPr>
              <w:keepNext/>
              <w:spacing w:after="0"/>
              <w:jc w:val="center"/>
              <w:rPr>
                <w:rFonts w:ascii="EC Square Sans Cond Pro" w:eastAsia="Times New Roman" w:hAnsi="EC Square Sans Cond Pro" w:cs="Calibri"/>
                <w:noProof/>
                <w:sz w:val="18"/>
                <w:szCs w:val="18"/>
                <w:lang w:val="en-IE"/>
              </w:rPr>
            </w:pPr>
            <w:r w:rsidRPr="0039527E">
              <w:rPr>
                <w:rFonts w:ascii="EC Square Sans Cond Pro" w:hAnsi="EC Square Sans Cond Pro" w:cs="Calibri"/>
                <w:noProof/>
                <w:sz w:val="18"/>
                <w:szCs w:val="18"/>
              </w:rPr>
              <w:t>244</w:t>
            </w:r>
          </w:p>
        </w:tc>
        <w:tc>
          <w:tcPr>
            <w:tcW w:w="470" w:type="pct"/>
            <w:tcBorders>
              <w:top w:val="nil"/>
              <w:left w:val="nil"/>
              <w:bottom w:val="nil"/>
              <w:right w:val="nil"/>
            </w:tcBorders>
            <w:shd w:val="clear" w:color="auto" w:fill="auto"/>
            <w:noWrap/>
            <w:vAlign w:val="center"/>
            <w:hideMark/>
          </w:tcPr>
          <w:p w14:paraId="0060230D" w14:textId="3A20F29A" w:rsidR="0074167F" w:rsidRPr="00875872" w:rsidRDefault="00971789" w:rsidP="009C5AF9">
            <w:pPr>
              <w:keepNext/>
              <w:spacing w:after="0"/>
              <w:jc w:val="center"/>
              <w:rPr>
                <w:rFonts w:ascii="EC Square Sans Cond Pro" w:eastAsia="Times New Roman" w:hAnsi="EC Square Sans Cond Pro" w:cs="Calibri"/>
                <w:noProof/>
                <w:sz w:val="18"/>
                <w:szCs w:val="18"/>
                <w:lang w:val="en-IE"/>
              </w:rPr>
            </w:pPr>
            <w:r w:rsidRPr="00971789">
              <w:rPr>
                <w:rFonts w:ascii="EC Square Sans Cond Pro" w:hAnsi="EC Square Sans Cond Pro" w:cs="Calibri"/>
                <w:noProof/>
                <w:sz w:val="18"/>
                <w:szCs w:val="18"/>
              </w:rPr>
              <w:t>230</w:t>
            </w:r>
          </w:p>
        </w:tc>
        <w:tc>
          <w:tcPr>
            <w:tcW w:w="475" w:type="pct"/>
            <w:tcBorders>
              <w:top w:val="nil"/>
              <w:left w:val="nil"/>
              <w:bottom w:val="nil"/>
              <w:right w:val="nil"/>
            </w:tcBorders>
            <w:shd w:val="clear" w:color="auto" w:fill="auto"/>
            <w:noWrap/>
            <w:vAlign w:val="center"/>
            <w:hideMark/>
          </w:tcPr>
          <w:p w14:paraId="032D6C57" w14:textId="49FEF7B2" w:rsidR="0074167F" w:rsidRPr="00875872" w:rsidRDefault="00F83D51" w:rsidP="009C5AF9">
            <w:pPr>
              <w:keepNext/>
              <w:spacing w:after="0"/>
              <w:jc w:val="center"/>
              <w:rPr>
                <w:rFonts w:ascii="EC Square Sans Cond Pro" w:eastAsia="Times New Roman" w:hAnsi="EC Square Sans Cond Pro" w:cs="Calibri"/>
                <w:noProof/>
                <w:sz w:val="18"/>
                <w:szCs w:val="18"/>
                <w:lang w:val="en-IE"/>
              </w:rPr>
            </w:pPr>
            <w:r>
              <w:rPr>
                <w:rFonts w:ascii="EC Square Sans Cond Pro" w:hAnsi="EC Square Sans Cond Pro" w:cs="Calibri"/>
                <w:noProof/>
                <w:sz w:val="18"/>
                <w:szCs w:val="18"/>
              </w:rPr>
              <w:t>221</w:t>
            </w:r>
          </w:p>
        </w:tc>
        <w:tc>
          <w:tcPr>
            <w:tcW w:w="475" w:type="pct"/>
            <w:tcBorders>
              <w:top w:val="nil"/>
              <w:left w:val="nil"/>
              <w:bottom w:val="nil"/>
              <w:right w:val="nil"/>
            </w:tcBorders>
            <w:shd w:val="clear" w:color="auto" w:fill="auto"/>
            <w:noWrap/>
            <w:vAlign w:val="center"/>
            <w:hideMark/>
          </w:tcPr>
          <w:p w14:paraId="00A1E515" w14:textId="4104B48E" w:rsidR="0074167F" w:rsidRPr="00875872" w:rsidRDefault="00A30089" w:rsidP="009C5AF9">
            <w:pPr>
              <w:keepNext/>
              <w:spacing w:after="0"/>
              <w:jc w:val="center"/>
              <w:rPr>
                <w:rFonts w:ascii="EC Square Sans Cond Pro" w:eastAsia="Times New Roman" w:hAnsi="EC Square Sans Cond Pro" w:cs="Calibri"/>
                <w:noProof/>
                <w:sz w:val="18"/>
                <w:szCs w:val="18"/>
                <w:lang w:val="en-IE"/>
              </w:rPr>
            </w:pPr>
            <w:r>
              <w:rPr>
                <w:rFonts w:ascii="EC Square Sans Cond Pro" w:hAnsi="EC Square Sans Cond Pro" w:cs="Calibri"/>
                <w:noProof/>
                <w:sz w:val="18"/>
                <w:szCs w:val="18"/>
              </w:rPr>
              <w:t>188</w:t>
            </w:r>
          </w:p>
        </w:tc>
        <w:tc>
          <w:tcPr>
            <w:tcW w:w="475" w:type="pct"/>
            <w:tcBorders>
              <w:top w:val="nil"/>
              <w:left w:val="nil"/>
              <w:bottom w:val="nil"/>
              <w:right w:val="nil"/>
            </w:tcBorders>
            <w:shd w:val="clear" w:color="auto" w:fill="auto"/>
            <w:noWrap/>
            <w:vAlign w:val="center"/>
            <w:hideMark/>
          </w:tcPr>
          <w:p w14:paraId="5DDDFD34" w14:textId="77777777" w:rsidR="0074167F" w:rsidRPr="00875872" w:rsidRDefault="0074167F" w:rsidP="009C5AF9">
            <w:pPr>
              <w:keepNext/>
              <w:spacing w:after="0"/>
              <w:jc w:val="center"/>
              <w:rPr>
                <w:rFonts w:ascii="EC Square Sans Cond Pro" w:eastAsia="Times New Roman" w:hAnsi="EC Square Sans Cond Pro" w:cs="Calibri"/>
                <w:noProof/>
                <w:sz w:val="18"/>
                <w:szCs w:val="18"/>
                <w:lang w:val="en-IE"/>
              </w:rPr>
            </w:pPr>
            <w:r w:rsidRPr="0039527E">
              <w:rPr>
                <w:rFonts w:ascii="EC Square Sans Cond Pro" w:hAnsi="EC Square Sans Cond Pro" w:cs="Calibri"/>
                <w:noProof/>
                <w:sz w:val="18"/>
                <w:szCs w:val="18"/>
              </w:rPr>
              <w:t>185</w:t>
            </w:r>
          </w:p>
        </w:tc>
        <w:tc>
          <w:tcPr>
            <w:tcW w:w="481" w:type="pct"/>
            <w:tcBorders>
              <w:top w:val="nil"/>
              <w:left w:val="nil"/>
              <w:bottom w:val="nil"/>
              <w:right w:val="nil"/>
            </w:tcBorders>
            <w:shd w:val="clear" w:color="auto" w:fill="auto"/>
            <w:noWrap/>
            <w:vAlign w:val="center"/>
            <w:hideMark/>
          </w:tcPr>
          <w:p w14:paraId="2847A2BF" w14:textId="77777777" w:rsidR="0074167F" w:rsidRPr="00D31A8B" w:rsidRDefault="0074167F" w:rsidP="009C5AF9">
            <w:pPr>
              <w:keepNext/>
              <w:spacing w:after="0"/>
              <w:jc w:val="center"/>
              <w:rPr>
                <w:rFonts w:ascii="EC Square Sans Cond Pro" w:eastAsia="Times New Roman" w:hAnsi="EC Square Sans Cond Pro" w:cs="Calibri"/>
                <w:i/>
                <w:noProof/>
                <w:sz w:val="18"/>
                <w:szCs w:val="18"/>
                <w:lang w:val="en-IE"/>
              </w:rPr>
            </w:pPr>
            <w:r w:rsidRPr="00D31A8B">
              <w:rPr>
                <w:rFonts w:ascii="EC Square Sans Cond Pro" w:hAnsi="EC Square Sans Cond Pro" w:cs="Calibri"/>
                <w:i/>
                <w:noProof/>
                <w:sz w:val="18"/>
                <w:szCs w:val="18"/>
              </w:rPr>
              <w:t>143</w:t>
            </w:r>
          </w:p>
        </w:tc>
        <w:tc>
          <w:tcPr>
            <w:tcW w:w="470" w:type="pct"/>
            <w:tcBorders>
              <w:top w:val="nil"/>
              <w:left w:val="nil"/>
              <w:bottom w:val="nil"/>
              <w:right w:val="nil"/>
            </w:tcBorders>
            <w:shd w:val="clear" w:color="auto" w:fill="auto"/>
            <w:vAlign w:val="center"/>
            <w:hideMark/>
          </w:tcPr>
          <w:p w14:paraId="59537AE9" w14:textId="1397D7DA" w:rsidR="0074167F" w:rsidRPr="00875872" w:rsidRDefault="00191C6D" w:rsidP="009C5AF9">
            <w:pPr>
              <w:keepNext/>
              <w:spacing w:after="0"/>
              <w:jc w:val="center"/>
              <w:rPr>
                <w:rFonts w:ascii="EC Square Sans Cond Pro" w:eastAsia="Times New Roman" w:hAnsi="EC Square Sans Cond Pro" w:cs="Calibri"/>
                <w:noProof/>
                <w:sz w:val="18"/>
                <w:szCs w:val="18"/>
                <w:lang w:val="en-IE"/>
              </w:rPr>
            </w:pPr>
            <w:r w:rsidRPr="00191C6D">
              <w:rPr>
                <w:rFonts w:ascii="EC Square Sans Cond Pro" w:hAnsi="EC Square Sans Cond Pro" w:cs="Calibri"/>
                <w:noProof/>
                <w:sz w:val="18"/>
                <w:szCs w:val="18"/>
              </w:rPr>
              <w:t>171</w:t>
            </w:r>
          </w:p>
        </w:tc>
        <w:tc>
          <w:tcPr>
            <w:tcW w:w="476" w:type="pct"/>
            <w:tcBorders>
              <w:top w:val="nil"/>
              <w:left w:val="nil"/>
              <w:bottom w:val="nil"/>
              <w:right w:val="nil"/>
            </w:tcBorders>
            <w:shd w:val="clear" w:color="auto" w:fill="auto"/>
            <w:vAlign w:val="center"/>
            <w:hideMark/>
          </w:tcPr>
          <w:p w14:paraId="729F253E" w14:textId="43408177" w:rsidR="0074167F" w:rsidRPr="00D31A8B" w:rsidRDefault="00191C6D" w:rsidP="009C5AF9">
            <w:pPr>
              <w:keepNext/>
              <w:spacing w:after="0"/>
              <w:jc w:val="center"/>
              <w:rPr>
                <w:rFonts w:ascii="EC Square Sans Cond Pro" w:eastAsia="Times New Roman" w:hAnsi="EC Square Sans Cond Pro" w:cs="Calibri"/>
                <w:i/>
                <w:noProof/>
                <w:sz w:val="18"/>
                <w:szCs w:val="18"/>
                <w:lang w:val="en-IE"/>
              </w:rPr>
            </w:pPr>
            <w:r w:rsidRPr="00F16146">
              <w:rPr>
                <w:rFonts w:ascii="EC Square Sans Cond Pro" w:hAnsi="EC Square Sans Cond Pro" w:cs="Calibri"/>
                <w:i/>
                <w:iCs/>
                <w:noProof/>
                <w:sz w:val="18"/>
                <w:szCs w:val="18"/>
              </w:rPr>
              <w:t>134</w:t>
            </w:r>
          </w:p>
        </w:tc>
      </w:tr>
      <w:tr w:rsidR="0074167F" w:rsidRPr="00875872" w14:paraId="77E181E0" w14:textId="77777777" w:rsidTr="00EB4115">
        <w:trPr>
          <w:trHeight w:val="300"/>
        </w:trPr>
        <w:tc>
          <w:tcPr>
            <w:tcW w:w="1220" w:type="pct"/>
            <w:tcBorders>
              <w:top w:val="nil"/>
              <w:left w:val="nil"/>
              <w:bottom w:val="nil"/>
              <w:right w:val="nil"/>
            </w:tcBorders>
            <w:shd w:val="clear" w:color="auto" w:fill="auto"/>
            <w:noWrap/>
            <w:vAlign w:val="center"/>
            <w:hideMark/>
          </w:tcPr>
          <w:p w14:paraId="58C208E8" w14:textId="77777777" w:rsidR="0074167F" w:rsidRPr="00875872" w:rsidRDefault="0074167F" w:rsidP="009C5AF9">
            <w:pPr>
              <w:keepNext/>
              <w:spacing w:after="0"/>
              <w:jc w:val="left"/>
              <w:rPr>
                <w:rFonts w:ascii="EC Square Sans Cond Pro" w:eastAsia="Times New Roman" w:hAnsi="EC Square Sans Cond Pro" w:cs="Calibri"/>
                <w:noProof/>
                <w:sz w:val="18"/>
                <w:szCs w:val="18"/>
                <w:lang w:val="en-IE"/>
              </w:rPr>
            </w:pPr>
            <w:r w:rsidRPr="00875872">
              <w:rPr>
                <w:rFonts w:ascii="EC Square Sans Cond Pro" w:eastAsia="Times New Roman" w:hAnsi="EC Square Sans Cond Pro" w:cs="Calibri"/>
                <w:noProof/>
                <w:sz w:val="18"/>
                <w:szCs w:val="18"/>
                <w:lang w:val="en-IE"/>
              </w:rPr>
              <w:t>Agricultural soils</w:t>
            </w:r>
          </w:p>
        </w:tc>
        <w:tc>
          <w:tcPr>
            <w:tcW w:w="459" w:type="pct"/>
            <w:tcBorders>
              <w:top w:val="nil"/>
              <w:left w:val="nil"/>
              <w:bottom w:val="nil"/>
              <w:right w:val="nil"/>
            </w:tcBorders>
            <w:shd w:val="clear" w:color="auto" w:fill="auto"/>
            <w:noWrap/>
            <w:vAlign w:val="center"/>
            <w:hideMark/>
          </w:tcPr>
          <w:p w14:paraId="26DC8D3E" w14:textId="062D1E19" w:rsidR="0074167F" w:rsidRPr="00875872" w:rsidRDefault="00971789" w:rsidP="009C5AF9">
            <w:pPr>
              <w:keepNext/>
              <w:spacing w:after="0"/>
              <w:jc w:val="center"/>
              <w:rPr>
                <w:rFonts w:ascii="EC Square Sans Cond Pro" w:eastAsia="Times New Roman" w:hAnsi="EC Square Sans Cond Pro" w:cs="Calibri"/>
                <w:noProof/>
                <w:sz w:val="18"/>
                <w:szCs w:val="18"/>
                <w:lang w:val="en-IE"/>
              </w:rPr>
            </w:pPr>
            <w:r w:rsidRPr="0039527E">
              <w:rPr>
                <w:rFonts w:ascii="EC Square Sans Cond Pro" w:hAnsi="EC Square Sans Cond Pro" w:cs="Calibri"/>
                <w:noProof/>
                <w:sz w:val="18"/>
                <w:szCs w:val="18"/>
              </w:rPr>
              <w:t>127</w:t>
            </w:r>
          </w:p>
        </w:tc>
        <w:tc>
          <w:tcPr>
            <w:tcW w:w="470" w:type="pct"/>
            <w:tcBorders>
              <w:top w:val="nil"/>
              <w:left w:val="nil"/>
              <w:bottom w:val="nil"/>
              <w:right w:val="nil"/>
            </w:tcBorders>
            <w:shd w:val="clear" w:color="auto" w:fill="auto"/>
            <w:noWrap/>
            <w:vAlign w:val="center"/>
            <w:hideMark/>
          </w:tcPr>
          <w:p w14:paraId="762338A5" w14:textId="4F58BDED" w:rsidR="0074167F" w:rsidRPr="00875872" w:rsidRDefault="00971789" w:rsidP="009C5AF9">
            <w:pPr>
              <w:keepNext/>
              <w:spacing w:after="0"/>
              <w:jc w:val="center"/>
              <w:rPr>
                <w:rFonts w:ascii="EC Square Sans Cond Pro" w:eastAsia="Times New Roman" w:hAnsi="EC Square Sans Cond Pro" w:cs="Calibri"/>
                <w:noProof/>
                <w:sz w:val="18"/>
                <w:szCs w:val="18"/>
                <w:lang w:val="en-IE"/>
              </w:rPr>
            </w:pPr>
            <w:r w:rsidRPr="00971789">
              <w:rPr>
                <w:rFonts w:ascii="EC Square Sans Cond Pro" w:hAnsi="EC Square Sans Cond Pro" w:cs="Calibri"/>
                <w:noProof/>
                <w:sz w:val="18"/>
                <w:szCs w:val="18"/>
              </w:rPr>
              <w:t>118</w:t>
            </w:r>
          </w:p>
        </w:tc>
        <w:tc>
          <w:tcPr>
            <w:tcW w:w="475" w:type="pct"/>
            <w:tcBorders>
              <w:top w:val="nil"/>
              <w:left w:val="nil"/>
              <w:bottom w:val="nil"/>
              <w:right w:val="nil"/>
            </w:tcBorders>
            <w:shd w:val="clear" w:color="auto" w:fill="auto"/>
            <w:noWrap/>
            <w:vAlign w:val="center"/>
            <w:hideMark/>
          </w:tcPr>
          <w:p w14:paraId="404109D4" w14:textId="77777777" w:rsidR="0074167F" w:rsidRPr="00875872" w:rsidRDefault="0074167F" w:rsidP="009C5AF9">
            <w:pPr>
              <w:keepNext/>
              <w:spacing w:after="0"/>
              <w:jc w:val="center"/>
              <w:rPr>
                <w:rFonts w:ascii="EC Square Sans Cond Pro" w:eastAsia="Times New Roman" w:hAnsi="EC Square Sans Cond Pro" w:cs="Calibri"/>
                <w:noProof/>
                <w:sz w:val="18"/>
                <w:szCs w:val="18"/>
                <w:lang w:val="en-IE"/>
              </w:rPr>
            </w:pPr>
            <w:r w:rsidRPr="0039527E">
              <w:rPr>
                <w:rFonts w:ascii="EC Square Sans Cond Pro" w:hAnsi="EC Square Sans Cond Pro" w:cs="Calibri"/>
                <w:noProof/>
                <w:sz w:val="18"/>
                <w:szCs w:val="18"/>
              </w:rPr>
              <w:t>116</w:t>
            </w:r>
          </w:p>
        </w:tc>
        <w:tc>
          <w:tcPr>
            <w:tcW w:w="475" w:type="pct"/>
            <w:tcBorders>
              <w:top w:val="nil"/>
              <w:left w:val="nil"/>
              <w:bottom w:val="nil"/>
              <w:right w:val="nil"/>
            </w:tcBorders>
            <w:shd w:val="clear" w:color="auto" w:fill="auto"/>
            <w:noWrap/>
            <w:vAlign w:val="center"/>
            <w:hideMark/>
          </w:tcPr>
          <w:p w14:paraId="1A22D579" w14:textId="6C8F8892" w:rsidR="0074167F" w:rsidRPr="00875872" w:rsidRDefault="00CD0671" w:rsidP="009C5AF9">
            <w:pPr>
              <w:keepNext/>
              <w:spacing w:after="0"/>
              <w:jc w:val="center"/>
              <w:rPr>
                <w:rFonts w:ascii="EC Square Sans Cond Pro" w:eastAsia="Times New Roman" w:hAnsi="EC Square Sans Cond Pro" w:cs="Calibri"/>
                <w:noProof/>
                <w:sz w:val="18"/>
                <w:szCs w:val="18"/>
                <w:lang w:val="en-IE"/>
              </w:rPr>
            </w:pPr>
            <w:r>
              <w:rPr>
                <w:rFonts w:ascii="EC Square Sans Cond Pro" w:hAnsi="EC Square Sans Cond Pro" w:cs="Calibri"/>
                <w:noProof/>
                <w:sz w:val="18"/>
                <w:szCs w:val="18"/>
              </w:rPr>
              <w:t>102</w:t>
            </w:r>
          </w:p>
        </w:tc>
        <w:tc>
          <w:tcPr>
            <w:tcW w:w="475" w:type="pct"/>
            <w:tcBorders>
              <w:top w:val="nil"/>
              <w:left w:val="nil"/>
              <w:bottom w:val="nil"/>
              <w:right w:val="nil"/>
            </w:tcBorders>
            <w:shd w:val="clear" w:color="auto" w:fill="auto"/>
            <w:noWrap/>
            <w:vAlign w:val="center"/>
            <w:hideMark/>
          </w:tcPr>
          <w:p w14:paraId="45643310" w14:textId="77777777" w:rsidR="0074167F" w:rsidRPr="00875872" w:rsidRDefault="0074167F" w:rsidP="009C5AF9">
            <w:pPr>
              <w:keepNext/>
              <w:spacing w:after="0"/>
              <w:jc w:val="center"/>
              <w:rPr>
                <w:rFonts w:ascii="EC Square Sans Cond Pro" w:eastAsia="Times New Roman" w:hAnsi="EC Square Sans Cond Pro" w:cs="Calibri"/>
                <w:noProof/>
                <w:sz w:val="18"/>
                <w:szCs w:val="18"/>
                <w:lang w:val="en-IE"/>
              </w:rPr>
            </w:pPr>
            <w:r w:rsidRPr="0039527E">
              <w:rPr>
                <w:rFonts w:ascii="EC Square Sans Cond Pro" w:hAnsi="EC Square Sans Cond Pro" w:cs="Calibri"/>
                <w:noProof/>
                <w:sz w:val="18"/>
                <w:szCs w:val="18"/>
              </w:rPr>
              <w:t>74</w:t>
            </w:r>
          </w:p>
        </w:tc>
        <w:tc>
          <w:tcPr>
            <w:tcW w:w="481" w:type="pct"/>
            <w:tcBorders>
              <w:top w:val="nil"/>
              <w:left w:val="nil"/>
              <w:bottom w:val="nil"/>
              <w:right w:val="nil"/>
            </w:tcBorders>
            <w:shd w:val="clear" w:color="auto" w:fill="auto"/>
            <w:noWrap/>
            <w:vAlign w:val="center"/>
            <w:hideMark/>
          </w:tcPr>
          <w:p w14:paraId="3007B7D1" w14:textId="77777777" w:rsidR="0074167F" w:rsidRPr="00D31A8B" w:rsidRDefault="0074167F" w:rsidP="009C5AF9">
            <w:pPr>
              <w:keepNext/>
              <w:spacing w:after="0"/>
              <w:jc w:val="center"/>
              <w:rPr>
                <w:rFonts w:ascii="EC Square Sans Cond Pro" w:eastAsia="Times New Roman" w:hAnsi="EC Square Sans Cond Pro" w:cs="Calibri"/>
                <w:i/>
                <w:noProof/>
                <w:sz w:val="18"/>
                <w:szCs w:val="18"/>
                <w:lang w:val="en-IE"/>
              </w:rPr>
            </w:pPr>
            <w:r w:rsidRPr="00D31A8B">
              <w:rPr>
                <w:rFonts w:ascii="EC Square Sans Cond Pro" w:hAnsi="EC Square Sans Cond Pro" w:cs="Calibri"/>
                <w:i/>
                <w:noProof/>
                <w:sz w:val="18"/>
                <w:szCs w:val="18"/>
              </w:rPr>
              <w:t>55</w:t>
            </w:r>
          </w:p>
        </w:tc>
        <w:tc>
          <w:tcPr>
            <w:tcW w:w="470" w:type="pct"/>
            <w:tcBorders>
              <w:top w:val="nil"/>
              <w:left w:val="nil"/>
              <w:bottom w:val="nil"/>
              <w:right w:val="nil"/>
            </w:tcBorders>
            <w:shd w:val="clear" w:color="auto" w:fill="auto"/>
            <w:vAlign w:val="center"/>
            <w:hideMark/>
          </w:tcPr>
          <w:p w14:paraId="5C258CB6" w14:textId="1CB396B6" w:rsidR="0074167F" w:rsidRPr="00875872" w:rsidRDefault="00191C6D" w:rsidP="009C5AF9">
            <w:pPr>
              <w:keepNext/>
              <w:spacing w:after="0"/>
              <w:jc w:val="center"/>
              <w:rPr>
                <w:rFonts w:ascii="EC Square Sans Cond Pro" w:eastAsia="Times New Roman" w:hAnsi="EC Square Sans Cond Pro" w:cs="Calibri"/>
                <w:noProof/>
                <w:sz w:val="18"/>
                <w:szCs w:val="18"/>
                <w:lang w:val="en-IE"/>
              </w:rPr>
            </w:pPr>
            <w:r w:rsidRPr="00191C6D">
              <w:rPr>
                <w:rFonts w:ascii="EC Square Sans Cond Pro" w:hAnsi="EC Square Sans Cond Pro" w:cs="Calibri"/>
                <w:noProof/>
                <w:sz w:val="18"/>
                <w:szCs w:val="18"/>
              </w:rPr>
              <w:t>66</w:t>
            </w:r>
          </w:p>
        </w:tc>
        <w:tc>
          <w:tcPr>
            <w:tcW w:w="476" w:type="pct"/>
            <w:tcBorders>
              <w:top w:val="nil"/>
              <w:left w:val="nil"/>
              <w:bottom w:val="nil"/>
              <w:right w:val="nil"/>
            </w:tcBorders>
            <w:shd w:val="clear" w:color="auto" w:fill="auto"/>
            <w:vAlign w:val="center"/>
            <w:hideMark/>
          </w:tcPr>
          <w:p w14:paraId="27941B21" w14:textId="30A98DD9" w:rsidR="0074167F" w:rsidRPr="00D31A8B" w:rsidRDefault="00191C6D" w:rsidP="009C5AF9">
            <w:pPr>
              <w:keepNext/>
              <w:spacing w:after="0"/>
              <w:jc w:val="center"/>
              <w:rPr>
                <w:rFonts w:ascii="EC Square Sans Cond Pro" w:eastAsia="Times New Roman" w:hAnsi="EC Square Sans Cond Pro" w:cs="Calibri"/>
                <w:i/>
                <w:noProof/>
                <w:sz w:val="18"/>
                <w:szCs w:val="18"/>
                <w:lang w:val="en-IE"/>
              </w:rPr>
            </w:pPr>
            <w:r w:rsidRPr="00F16146">
              <w:rPr>
                <w:rFonts w:ascii="EC Square Sans Cond Pro" w:hAnsi="EC Square Sans Cond Pro" w:cs="Calibri"/>
                <w:i/>
                <w:iCs/>
                <w:noProof/>
                <w:sz w:val="18"/>
                <w:szCs w:val="18"/>
              </w:rPr>
              <w:t>49</w:t>
            </w:r>
          </w:p>
        </w:tc>
      </w:tr>
      <w:tr w:rsidR="0074167F" w:rsidRPr="00875872" w14:paraId="025FC672" w14:textId="77777777" w:rsidTr="00EB4115">
        <w:trPr>
          <w:trHeight w:val="300"/>
        </w:trPr>
        <w:tc>
          <w:tcPr>
            <w:tcW w:w="1220" w:type="pct"/>
            <w:tcBorders>
              <w:top w:val="nil"/>
              <w:left w:val="nil"/>
              <w:bottom w:val="nil"/>
              <w:right w:val="nil"/>
            </w:tcBorders>
            <w:shd w:val="clear" w:color="auto" w:fill="auto"/>
            <w:noWrap/>
            <w:vAlign w:val="center"/>
            <w:hideMark/>
          </w:tcPr>
          <w:p w14:paraId="214053C1" w14:textId="77777777" w:rsidR="0074167F" w:rsidRPr="00875872" w:rsidRDefault="0074167F" w:rsidP="009C5AF9">
            <w:pPr>
              <w:keepNext/>
              <w:spacing w:after="0"/>
              <w:jc w:val="left"/>
              <w:rPr>
                <w:rFonts w:ascii="EC Square Sans Cond Pro" w:eastAsia="Times New Roman" w:hAnsi="EC Square Sans Cond Pro" w:cs="Calibri"/>
                <w:noProof/>
                <w:sz w:val="18"/>
                <w:szCs w:val="18"/>
                <w:lang w:val="en-IE"/>
              </w:rPr>
            </w:pPr>
            <w:r w:rsidRPr="00875872">
              <w:rPr>
                <w:rFonts w:ascii="EC Square Sans Cond Pro" w:eastAsia="Times New Roman" w:hAnsi="EC Square Sans Cond Pro" w:cs="Calibri"/>
                <w:noProof/>
                <w:sz w:val="18"/>
                <w:szCs w:val="18"/>
                <w:lang w:val="en-IE"/>
              </w:rPr>
              <w:t>Other</w:t>
            </w:r>
          </w:p>
        </w:tc>
        <w:tc>
          <w:tcPr>
            <w:tcW w:w="459" w:type="pct"/>
            <w:tcBorders>
              <w:top w:val="nil"/>
              <w:left w:val="nil"/>
              <w:bottom w:val="nil"/>
              <w:right w:val="nil"/>
            </w:tcBorders>
            <w:shd w:val="clear" w:color="auto" w:fill="auto"/>
            <w:noWrap/>
            <w:vAlign w:val="center"/>
            <w:hideMark/>
          </w:tcPr>
          <w:p w14:paraId="3BD9E3D0" w14:textId="77777777" w:rsidR="0074167F" w:rsidRPr="00875872" w:rsidRDefault="0074167F" w:rsidP="009C5AF9">
            <w:pPr>
              <w:keepNext/>
              <w:spacing w:after="0"/>
              <w:jc w:val="center"/>
              <w:rPr>
                <w:rFonts w:ascii="EC Square Sans Cond Pro" w:eastAsia="Times New Roman" w:hAnsi="EC Square Sans Cond Pro" w:cs="Calibri"/>
                <w:noProof/>
                <w:sz w:val="18"/>
                <w:szCs w:val="18"/>
                <w:lang w:val="en-IE"/>
              </w:rPr>
            </w:pPr>
            <w:r w:rsidRPr="0039527E">
              <w:rPr>
                <w:rFonts w:ascii="EC Square Sans Cond Pro" w:hAnsi="EC Square Sans Cond Pro" w:cs="Calibri"/>
                <w:noProof/>
                <w:sz w:val="18"/>
                <w:szCs w:val="18"/>
              </w:rPr>
              <w:t>13</w:t>
            </w:r>
          </w:p>
        </w:tc>
        <w:tc>
          <w:tcPr>
            <w:tcW w:w="470" w:type="pct"/>
            <w:tcBorders>
              <w:top w:val="nil"/>
              <w:left w:val="nil"/>
              <w:bottom w:val="nil"/>
              <w:right w:val="nil"/>
            </w:tcBorders>
            <w:shd w:val="clear" w:color="auto" w:fill="auto"/>
            <w:noWrap/>
            <w:vAlign w:val="center"/>
            <w:hideMark/>
          </w:tcPr>
          <w:p w14:paraId="31056E17" w14:textId="7D8C4DEF" w:rsidR="0074167F" w:rsidRPr="00875872" w:rsidRDefault="00971789" w:rsidP="009C5AF9">
            <w:pPr>
              <w:keepNext/>
              <w:spacing w:after="0"/>
              <w:jc w:val="center"/>
              <w:rPr>
                <w:rFonts w:ascii="EC Square Sans Cond Pro" w:eastAsia="Times New Roman" w:hAnsi="EC Square Sans Cond Pro" w:cs="Calibri"/>
                <w:noProof/>
                <w:sz w:val="18"/>
                <w:szCs w:val="18"/>
                <w:lang w:val="en-IE"/>
              </w:rPr>
            </w:pPr>
            <w:r w:rsidRPr="00971789">
              <w:rPr>
                <w:rFonts w:ascii="EC Square Sans Cond Pro" w:hAnsi="EC Square Sans Cond Pro" w:cs="Calibri"/>
                <w:noProof/>
                <w:sz w:val="18"/>
                <w:szCs w:val="18"/>
              </w:rPr>
              <w:t>14</w:t>
            </w:r>
          </w:p>
        </w:tc>
        <w:tc>
          <w:tcPr>
            <w:tcW w:w="475" w:type="pct"/>
            <w:tcBorders>
              <w:top w:val="nil"/>
              <w:left w:val="nil"/>
              <w:bottom w:val="nil"/>
              <w:right w:val="nil"/>
            </w:tcBorders>
            <w:shd w:val="clear" w:color="auto" w:fill="auto"/>
            <w:noWrap/>
            <w:vAlign w:val="center"/>
            <w:hideMark/>
          </w:tcPr>
          <w:p w14:paraId="385D45CB" w14:textId="77604736" w:rsidR="0074167F" w:rsidRPr="00875872" w:rsidRDefault="0074167F" w:rsidP="009C5AF9">
            <w:pPr>
              <w:keepNext/>
              <w:spacing w:after="0"/>
              <w:jc w:val="center"/>
              <w:rPr>
                <w:rFonts w:ascii="EC Square Sans Cond Pro" w:eastAsia="Times New Roman" w:hAnsi="EC Square Sans Cond Pro" w:cs="Calibri"/>
                <w:noProof/>
                <w:sz w:val="18"/>
                <w:szCs w:val="18"/>
                <w:lang w:val="en-IE"/>
              </w:rPr>
            </w:pPr>
            <w:r w:rsidRPr="0039527E">
              <w:rPr>
                <w:rFonts w:ascii="EC Square Sans Cond Pro" w:hAnsi="EC Square Sans Cond Pro" w:cs="Calibri"/>
                <w:noProof/>
                <w:sz w:val="18"/>
                <w:szCs w:val="18"/>
              </w:rPr>
              <w:t>1</w:t>
            </w:r>
            <w:r w:rsidR="00F83D51">
              <w:rPr>
                <w:rFonts w:ascii="EC Square Sans Cond Pro" w:hAnsi="EC Square Sans Cond Pro" w:cs="Calibri"/>
                <w:noProof/>
                <w:sz w:val="18"/>
                <w:szCs w:val="18"/>
              </w:rPr>
              <w:t>4</w:t>
            </w:r>
          </w:p>
        </w:tc>
        <w:tc>
          <w:tcPr>
            <w:tcW w:w="475" w:type="pct"/>
            <w:tcBorders>
              <w:top w:val="nil"/>
              <w:left w:val="nil"/>
              <w:bottom w:val="nil"/>
              <w:right w:val="nil"/>
            </w:tcBorders>
            <w:shd w:val="clear" w:color="auto" w:fill="auto"/>
            <w:noWrap/>
            <w:vAlign w:val="center"/>
            <w:hideMark/>
          </w:tcPr>
          <w:p w14:paraId="6D4B43A0" w14:textId="77777777" w:rsidR="0074167F" w:rsidRPr="00875872" w:rsidRDefault="0074167F" w:rsidP="009C5AF9">
            <w:pPr>
              <w:keepNext/>
              <w:spacing w:after="0"/>
              <w:jc w:val="center"/>
              <w:rPr>
                <w:rFonts w:ascii="EC Square Sans Cond Pro" w:eastAsia="Times New Roman" w:hAnsi="EC Square Sans Cond Pro" w:cs="Calibri"/>
                <w:noProof/>
                <w:sz w:val="18"/>
                <w:szCs w:val="18"/>
                <w:lang w:val="en-IE"/>
              </w:rPr>
            </w:pPr>
            <w:r w:rsidRPr="0039527E">
              <w:rPr>
                <w:rFonts w:ascii="EC Square Sans Cond Pro" w:hAnsi="EC Square Sans Cond Pro" w:cs="Calibri"/>
                <w:noProof/>
                <w:sz w:val="18"/>
                <w:szCs w:val="18"/>
              </w:rPr>
              <w:t>12</w:t>
            </w:r>
          </w:p>
        </w:tc>
        <w:tc>
          <w:tcPr>
            <w:tcW w:w="475" w:type="pct"/>
            <w:tcBorders>
              <w:top w:val="nil"/>
              <w:left w:val="nil"/>
              <w:bottom w:val="nil"/>
              <w:right w:val="nil"/>
            </w:tcBorders>
            <w:shd w:val="clear" w:color="auto" w:fill="auto"/>
            <w:noWrap/>
            <w:vAlign w:val="center"/>
            <w:hideMark/>
          </w:tcPr>
          <w:p w14:paraId="7B6E4AE1" w14:textId="77777777" w:rsidR="0074167F" w:rsidRPr="00875872" w:rsidRDefault="0074167F" w:rsidP="009C5AF9">
            <w:pPr>
              <w:keepNext/>
              <w:spacing w:after="0"/>
              <w:jc w:val="center"/>
              <w:rPr>
                <w:rFonts w:ascii="EC Square Sans Cond Pro" w:eastAsia="Times New Roman" w:hAnsi="EC Square Sans Cond Pro" w:cs="Calibri"/>
                <w:noProof/>
                <w:sz w:val="18"/>
                <w:szCs w:val="18"/>
                <w:lang w:val="en-IE"/>
              </w:rPr>
            </w:pPr>
            <w:r w:rsidRPr="0039527E">
              <w:rPr>
                <w:rFonts w:ascii="EC Square Sans Cond Pro" w:hAnsi="EC Square Sans Cond Pro" w:cs="Calibri"/>
                <w:noProof/>
                <w:sz w:val="18"/>
                <w:szCs w:val="18"/>
              </w:rPr>
              <w:t>12</w:t>
            </w:r>
          </w:p>
        </w:tc>
        <w:tc>
          <w:tcPr>
            <w:tcW w:w="481" w:type="pct"/>
            <w:tcBorders>
              <w:top w:val="nil"/>
              <w:left w:val="nil"/>
              <w:bottom w:val="nil"/>
              <w:right w:val="nil"/>
            </w:tcBorders>
            <w:shd w:val="clear" w:color="auto" w:fill="auto"/>
            <w:noWrap/>
            <w:vAlign w:val="center"/>
            <w:hideMark/>
          </w:tcPr>
          <w:p w14:paraId="513BA062" w14:textId="77777777" w:rsidR="0074167F" w:rsidRPr="00D31A8B" w:rsidRDefault="0074167F" w:rsidP="009C5AF9">
            <w:pPr>
              <w:keepNext/>
              <w:spacing w:after="0"/>
              <w:jc w:val="center"/>
              <w:rPr>
                <w:rFonts w:ascii="EC Square Sans Cond Pro" w:eastAsia="Times New Roman" w:hAnsi="EC Square Sans Cond Pro" w:cs="Calibri"/>
                <w:i/>
                <w:noProof/>
                <w:sz w:val="18"/>
                <w:szCs w:val="18"/>
                <w:lang w:val="en-IE"/>
              </w:rPr>
            </w:pPr>
            <w:r w:rsidRPr="00D31A8B">
              <w:rPr>
                <w:rFonts w:ascii="EC Square Sans Cond Pro" w:hAnsi="EC Square Sans Cond Pro" w:cs="Calibri"/>
                <w:i/>
                <w:noProof/>
                <w:sz w:val="18"/>
                <w:szCs w:val="18"/>
              </w:rPr>
              <w:t>12</w:t>
            </w:r>
          </w:p>
        </w:tc>
        <w:tc>
          <w:tcPr>
            <w:tcW w:w="470" w:type="pct"/>
            <w:tcBorders>
              <w:top w:val="nil"/>
              <w:left w:val="nil"/>
              <w:bottom w:val="nil"/>
              <w:right w:val="nil"/>
            </w:tcBorders>
            <w:shd w:val="clear" w:color="auto" w:fill="auto"/>
            <w:vAlign w:val="center"/>
            <w:hideMark/>
          </w:tcPr>
          <w:p w14:paraId="3427E0A3" w14:textId="73B38D7A" w:rsidR="0074167F" w:rsidRPr="00875872" w:rsidRDefault="00191C6D" w:rsidP="009C5AF9">
            <w:pPr>
              <w:keepNext/>
              <w:spacing w:after="0"/>
              <w:jc w:val="center"/>
              <w:rPr>
                <w:rFonts w:ascii="EC Square Sans Cond Pro" w:eastAsia="Times New Roman" w:hAnsi="EC Square Sans Cond Pro" w:cs="Calibri"/>
                <w:noProof/>
                <w:sz w:val="18"/>
                <w:szCs w:val="18"/>
                <w:lang w:val="en-IE"/>
              </w:rPr>
            </w:pPr>
            <w:r w:rsidRPr="00191C6D">
              <w:rPr>
                <w:rFonts w:ascii="EC Square Sans Cond Pro" w:hAnsi="EC Square Sans Cond Pro" w:cs="Calibri"/>
                <w:noProof/>
                <w:sz w:val="18"/>
                <w:szCs w:val="18"/>
              </w:rPr>
              <w:t>12</w:t>
            </w:r>
          </w:p>
        </w:tc>
        <w:tc>
          <w:tcPr>
            <w:tcW w:w="476" w:type="pct"/>
            <w:tcBorders>
              <w:top w:val="nil"/>
              <w:left w:val="nil"/>
              <w:bottom w:val="nil"/>
              <w:right w:val="nil"/>
            </w:tcBorders>
            <w:shd w:val="clear" w:color="auto" w:fill="auto"/>
            <w:vAlign w:val="center"/>
            <w:hideMark/>
          </w:tcPr>
          <w:p w14:paraId="78E19D63" w14:textId="4A4784BF" w:rsidR="0074167F" w:rsidRPr="00D31A8B" w:rsidRDefault="00191C6D" w:rsidP="009C5AF9">
            <w:pPr>
              <w:keepNext/>
              <w:spacing w:after="0"/>
              <w:jc w:val="center"/>
              <w:rPr>
                <w:rFonts w:ascii="EC Square Sans Cond Pro" w:eastAsia="Times New Roman" w:hAnsi="EC Square Sans Cond Pro" w:cs="Calibri"/>
                <w:i/>
                <w:noProof/>
                <w:sz w:val="18"/>
                <w:szCs w:val="18"/>
                <w:lang w:val="en-IE"/>
              </w:rPr>
            </w:pPr>
            <w:r w:rsidRPr="00F16146">
              <w:rPr>
                <w:rFonts w:ascii="EC Square Sans Cond Pro" w:hAnsi="EC Square Sans Cond Pro" w:cs="Calibri"/>
                <w:i/>
                <w:iCs/>
                <w:noProof/>
                <w:sz w:val="18"/>
                <w:szCs w:val="18"/>
              </w:rPr>
              <w:t>12</w:t>
            </w:r>
          </w:p>
        </w:tc>
      </w:tr>
      <w:tr w:rsidR="0074167F" w:rsidRPr="00875872" w14:paraId="7351DD81" w14:textId="77777777" w:rsidTr="00EB4115">
        <w:trPr>
          <w:trHeight w:val="300"/>
        </w:trPr>
        <w:tc>
          <w:tcPr>
            <w:tcW w:w="1220" w:type="pct"/>
            <w:tcBorders>
              <w:top w:val="nil"/>
              <w:left w:val="nil"/>
              <w:bottom w:val="nil"/>
              <w:right w:val="nil"/>
            </w:tcBorders>
            <w:shd w:val="clear" w:color="auto" w:fill="auto"/>
            <w:noWrap/>
            <w:vAlign w:val="center"/>
            <w:hideMark/>
          </w:tcPr>
          <w:p w14:paraId="2F4CB10C" w14:textId="77777777" w:rsidR="0074167F" w:rsidRPr="00875872" w:rsidRDefault="0074167F" w:rsidP="009C5AF9">
            <w:pPr>
              <w:keepNext/>
              <w:spacing w:after="0"/>
              <w:jc w:val="left"/>
              <w:rPr>
                <w:rFonts w:ascii="EC Square Sans Cond Pro" w:eastAsia="Times New Roman" w:hAnsi="EC Square Sans Cond Pro" w:cs="Calibri"/>
                <w:noProof/>
                <w:sz w:val="18"/>
                <w:szCs w:val="18"/>
                <w:lang w:val="en-IE"/>
              </w:rPr>
            </w:pPr>
            <w:r w:rsidRPr="00875872">
              <w:rPr>
                <w:rFonts w:ascii="EC Square Sans Cond Pro" w:eastAsia="Times New Roman" w:hAnsi="EC Square Sans Cond Pro" w:cs="Calibri"/>
                <w:noProof/>
                <w:sz w:val="18"/>
                <w:szCs w:val="18"/>
                <w:lang w:val="en-IE"/>
              </w:rPr>
              <w:t>Total (all sources)</w:t>
            </w:r>
          </w:p>
        </w:tc>
        <w:tc>
          <w:tcPr>
            <w:tcW w:w="459" w:type="pct"/>
            <w:tcBorders>
              <w:top w:val="nil"/>
              <w:left w:val="nil"/>
              <w:bottom w:val="nil"/>
              <w:right w:val="nil"/>
            </w:tcBorders>
            <w:shd w:val="clear" w:color="auto" w:fill="auto"/>
            <w:noWrap/>
            <w:vAlign w:val="center"/>
            <w:hideMark/>
          </w:tcPr>
          <w:p w14:paraId="2C30E497" w14:textId="1C02F409" w:rsidR="0074167F" w:rsidRPr="00875872" w:rsidRDefault="00971789" w:rsidP="009C5AF9">
            <w:pPr>
              <w:keepNext/>
              <w:spacing w:after="0"/>
              <w:jc w:val="center"/>
              <w:rPr>
                <w:rFonts w:ascii="EC Square Sans Cond Pro" w:eastAsia="Times New Roman" w:hAnsi="EC Square Sans Cond Pro" w:cs="Calibri"/>
                <w:noProof/>
                <w:sz w:val="18"/>
                <w:szCs w:val="18"/>
                <w:lang w:val="en-IE"/>
              </w:rPr>
            </w:pPr>
            <w:r w:rsidRPr="0039527E">
              <w:rPr>
                <w:rFonts w:ascii="EC Square Sans Cond Pro" w:hAnsi="EC Square Sans Cond Pro" w:cs="Calibri"/>
                <w:noProof/>
                <w:sz w:val="18"/>
                <w:szCs w:val="18"/>
              </w:rPr>
              <w:t>385</w:t>
            </w:r>
          </w:p>
        </w:tc>
        <w:tc>
          <w:tcPr>
            <w:tcW w:w="470" w:type="pct"/>
            <w:tcBorders>
              <w:top w:val="nil"/>
              <w:left w:val="nil"/>
              <w:bottom w:val="nil"/>
              <w:right w:val="nil"/>
            </w:tcBorders>
            <w:shd w:val="clear" w:color="auto" w:fill="auto"/>
            <w:noWrap/>
            <w:vAlign w:val="center"/>
            <w:hideMark/>
          </w:tcPr>
          <w:p w14:paraId="6ABE4D6B" w14:textId="53617C6D" w:rsidR="0074167F" w:rsidRPr="00875872" w:rsidRDefault="00971789" w:rsidP="009C5AF9">
            <w:pPr>
              <w:keepNext/>
              <w:spacing w:after="0"/>
              <w:jc w:val="center"/>
              <w:rPr>
                <w:rFonts w:ascii="EC Square Sans Cond Pro" w:eastAsia="Times New Roman" w:hAnsi="EC Square Sans Cond Pro" w:cs="Calibri"/>
                <w:noProof/>
                <w:sz w:val="18"/>
                <w:szCs w:val="18"/>
                <w:lang w:val="en-IE"/>
              </w:rPr>
            </w:pPr>
            <w:r w:rsidRPr="00971789">
              <w:rPr>
                <w:rFonts w:ascii="EC Square Sans Cond Pro" w:hAnsi="EC Square Sans Cond Pro" w:cs="Calibri"/>
                <w:noProof/>
                <w:sz w:val="18"/>
                <w:szCs w:val="18"/>
              </w:rPr>
              <w:t>361</w:t>
            </w:r>
          </w:p>
        </w:tc>
        <w:tc>
          <w:tcPr>
            <w:tcW w:w="475" w:type="pct"/>
            <w:tcBorders>
              <w:top w:val="nil"/>
              <w:left w:val="nil"/>
              <w:bottom w:val="nil"/>
              <w:right w:val="nil"/>
            </w:tcBorders>
            <w:shd w:val="clear" w:color="auto" w:fill="auto"/>
            <w:noWrap/>
            <w:vAlign w:val="center"/>
            <w:hideMark/>
          </w:tcPr>
          <w:p w14:paraId="21ACF689" w14:textId="275DEDD3" w:rsidR="0074167F" w:rsidRPr="00875872" w:rsidRDefault="0074167F" w:rsidP="009C5AF9">
            <w:pPr>
              <w:keepNext/>
              <w:spacing w:after="0"/>
              <w:jc w:val="center"/>
              <w:rPr>
                <w:rFonts w:ascii="EC Square Sans Cond Pro" w:eastAsia="Times New Roman" w:hAnsi="EC Square Sans Cond Pro" w:cs="Calibri"/>
                <w:noProof/>
                <w:sz w:val="18"/>
                <w:szCs w:val="18"/>
                <w:lang w:val="en-IE"/>
              </w:rPr>
            </w:pPr>
            <w:r w:rsidRPr="0039527E">
              <w:rPr>
                <w:rFonts w:ascii="EC Square Sans Cond Pro" w:hAnsi="EC Square Sans Cond Pro" w:cs="Calibri"/>
                <w:noProof/>
                <w:sz w:val="18"/>
                <w:szCs w:val="18"/>
              </w:rPr>
              <w:t>3</w:t>
            </w:r>
            <w:r w:rsidR="00F83D51">
              <w:rPr>
                <w:rFonts w:ascii="EC Square Sans Cond Pro" w:hAnsi="EC Square Sans Cond Pro" w:cs="Calibri"/>
                <w:noProof/>
                <w:sz w:val="18"/>
                <w:szCs w:val="18"/>
              </w:rPr>
              <w:t>51</w:t>
            </w:r>
          </w:p>
        </w:tc>
        <w:tc>
          <w:tcPr>
            <w:tcW w:w="475" w:type="pct"/>
            <w:tcBorders>
              <w:top w:val="nil"/>
              <w:left w:val="nil"/>
              <w:bottom w:val="nil"/>
              <w:right w:val="nil"/>
            </w:tcBorders>
            <w:shd w:val="clear" w:color="auto" w:fill="auto"/>
            <w:noWrap/>
            <w:vAlign w:val="center"/>
            <w:hideMark/>
          </w:tcPr>
          <w:p w14:paraId="037AB87F" w14:textId="597732D6" w:rsidR="0074167F" w:rsidRPr="00875872" w:rsidRDefault="003B638B" w:rsidP="009C5AF9">
            <w:pPr>
              <w:keepNext/>
              <w:spacing w:after="0"/>
              <w:jc w:val="center"/>
              <w:rPr>
                <w:rFonts w:ascii="EC Square Sans Cond Pro" w:eastAsia="Times New Roman" w:hAnsi="EC Square Sans Cond Pro" w:cs="Calibri"/>
                <w:noProof/>
                <w:sz w:val="18"/>
                <w:szCs w:val="18"/>
                <w:lang w:val="en-IE"/>
              </w:rPr>
            </w:pPr>
            <w:r>
              <w:rPr>
                <w:rFonts w:ascii="EC Square Sans Cond Pro" w:hAnsi="EC Square Sans Cond Pro" w:cs="Calibri"/>
                <w:noProof/>
                <w:sz w:val="18"/>
                <w:szCs w:val="18"/>
              </w:rPr>
              <w:t>302</w:t>
            </w:r>
          </w:p>
        </w:tc>
        <w:tc>
          <w:tcPr>
            <w:tcW w:w="475" w:type="pct"/>
            <w:tcBorders>
              <w:top w:val="nil"/>
              <w:left w:val="nil"/>
              <w:bottom w:val="nil"/>
              <w:right w:val="nil"/>
            </w:tcBorders>
            <w:shd w:val="clear" w:color="auto" w:fill="auto"/>
            <w:noWrap/>
            <w:vAlign w:val="center"/>
            <w:hideMark/>
          </w:tcPr>
          <w:p w14:paraId="160481A2" w14:textId="77777777" w:rsidR="0074167F" w:rsidRPr="00875872" w:rsidRDefault="0074167F" w:rsidP="009C5AF9">
            <w:pPr>
              <w:keepNext/>
              <w:spacing w:after="0"/>
              <w:jc w:val="center"/>
              <w:rPr>
                <w:rFonts w:ascii="EC Square Sans Cond Pro" w:eastAsia="Times New Roman" w:hAnsi="EC Square Sans Cond Pro" w:cs="Calibri"/>
                <w:noProof/>
                <w:sz w:val="18"/>
                <w:szCs w:val="18"/>
                <w:lang w:val="en-IE"/>
              </w:rPr>
            </w:pPr>
            <w:r w:rsidRPr="0039527E">
              <w:rPr>
                <w:rFonts w:ascii="EC Square Sans Cond Pro" w:hAnsi="EC Square Sans Cond Pro" w:cs="Calibri"/>
                <w:noProof/>
                <w:sz w:val="18"/>
                <w:szCs w:val="18"/>
              </w:rPr>
              <w:t>271</w:t>
            </w:r>
          </w:p>
        </w:tc>
        <w:tc>
          <w:tcPr>
            <w:tcW w:w="481" w:type="pct"/>
            <w:tcBorders>
              <w:top w:val="nil"/>
              <w:left w:val="nil"/>
              <w:bottom w:val="nil"/>
              <w:right w:val="nil"/>
            </w:tcBorders>
            <w:shd w:val="clear" w:color="auto" w:fill="auto"/>
            <w:noWrap/>
            <w:vAlign w:val="center"/>
            <w:hideMark/>
          </w:tcPr>
          <w:p w14:paraId="45EDDEBF" w14:textId="77777777" w:rsidR="0074167F" w:rsidRPr="00D31A8B" w:rsidRDefault="0074167F" w:rsidP="009C5AF9">
            <w:pPr>
              <w:keepNext/>
              <w:spacing w:after="0"/>
              <w:jc w:val="center"/>
              <w:rPr>
                <w:rFonts w:ascii="EC Square Sans Cond Pro" w:eastAsia="Times New Roman" w:hAnsi="EC Square Sans Cond Pro" w:cs="Calibri"/>
                <w:i/>
                <w:noProof/>
                <w:sz w:val="18"/>
                <w:szCs w:val="18"/>
                <w:lang w:val="en-IE"/>
              </w:rPr>
            </w:pPr>
            <w:r w:rsidRPr="00D31A8B">
              <w:rPr>
                <w:rFonts w:ascii="EC Square Sans Cond Pro" w:hAnsi="EC Square Sans Cond Pro" w:cs="Calibri"/>
                <w:i/>
                <w:noProof/>
                <w:sz w:val="18"/>
                <w:szCs w:val="18"/>
              </w:rPr>
              <w:t>209</w:t>
            </w:r>
          </w:p>
        </w:tc>
        <w:tc>
          <w:tcPr>
            <w:tcW w:w="470" w:type="pct"/>
            <w:tcBorders>
              <w:top w:val="nil"/>
              <w:left w:val="nil"/>
              <w:bottom w:val="nil"/>
              <w:right w:val="nil"/>
            </w:tcBorders>
            <w:shd w:val="clear" w:color="auto" w:fill="auto"/>
            <w:vAlign w:val="center"/>
            <w:hideMark/>
          </w:tcPr>
          <w:p w14:paraId="34CB1451" w14:textId="34BC5DF1" w:rsidR="0074167F" w:rsidRPr="00875872" w:rsidRDefault="00191C6D" w:rsidP="009C5AF9">
            <w:pPr>
              <w:keepNext/>
              <w:spacing w:after="0"/>
              <w:jc w:val="center"/>
              <w:rPr>
                <w:rFonts w:ascii="EC Square Sans Cond Pro" w:eastAsia="Times New Roman" w:hAnsi="EC Square Sans Cond Pro" w:cs="Calibri"/>
                <w:noProof/>
                <w:sz w:val="18"/>
                <w:szCs w:val="18"/>
                <w:lang w:val="en-IE"/>
              </w:rPr>
            </w:pPr>
            <w:r w:rsidRPr="00191C6D">
              <w:rPr>
                <w:rFonts w:ascii="EC Square Sans Cond Pro" w:hAnsi="EC Square Sans Cond Pro" w:cs="Calibri"/>
                <w:noProof/>
                <w:sz w:val="18"/>
                <w:szCs w:val="18"/>
              </w:rPr>
              <w:t>249</w:t>
            </w:r>
          </w:p>
        </w:tc>
        <w:tc>
          <w:tcPr>
            <w:tcW w:w="476" w:type="pct"/>
            <w:tcBorders>
              <w:top w:val="nil"/>
              <w:left w:val="nil"/>
              <w:bottom w:val="nil"/>
              <w:right w:val="nil"/>
            </w:tcBorders>
            <w:shd w:val="clear" w:color="auto" w:fill="auto"/>
            <w:vAlign w:val="center"/>
            <w:hideMark/>
          </w:tcPr>
          <w:p w14:paraId="6DD72FCE" w14:textId="396CB620" w:rsidR="0074167F" w:rsidRPr="00D31A8B" w:rsidRDefault="00191C6D" w:rsidP="009C5AF9">
            <w:pPr>
              <w:keepNext/>
              <w:spacing w:after="0"/>
              <w:jc w:val="center"/>
              <w:rPr>
                <w:rFonts w:ascii="EC Square Sans Cond Pro" w:eastAsia="Times New Roman" w:hAnsi="EC Square Sans Cond Pro" w:cs="Calibri"/>
                <w:i/>
                <w:noProof/>
                <w:sz w:val="18"/>
                <w:szCs w:val="18"/>
                <w:lang w:val="en-IE"/>
              </w:rPr>
            </w:pPr>
            <w:r w:rsidRPr="00F16146">
              <w:rPr>
                <w:rFonts w:ascii="EC Square Sans Cond Pro" w:hAnsi="EC Square Sans Cond Pro" w:cs="Calibri"/>
                <w:i/>
                <w:iCs/>
                <w:noProof/>
                <w:sz w:val="18"/>
                <w:szCs w:val="18"/>
              </w:rPr>
              <w:t>194</w:t>
            </w:r>
          </w:p>
        </w:tc>
      </w:tr>
    </w:tbl>
    <w:p w14:paraId="26AB9ED1" w14:textId="77777777" w:rsidR="0074167F" w:rsidRPr="00C4315B" w:rsidRDefault="0074167F" w:rsidP="00D06269">
      <w:pPr>
        <w:pStyle w:val="CT-NOTE"/>
        <w:rPr>
          <w:noProof/>
        </w:rPr>
      </w:pPr>
    </w:p>
    <w:p w14:paraId="348392B8" w14:textId="705951CC" w:rsidR="00D06269" w:rsidRDefault="00D06269" w:rsidP="00D06269">
      <w:pPr>
        <w:pStyle w:val="CT-NOTE"/>
        <w:rPr>
          <w:noProof/>
        </w:rPr>
      </w:pPr>
      <w:r w:rsidRPr="00D06269">
        <w:rPr>
          <w:noProof/>
        </w:rPr>
        <w:t xml:space="preserve">Note: *In the S1 and </w:t>
      </w:r>
      <w:r w:rsidR="00985E13">
        <w:rPr>
          <w:noProof/>
        </w:rPr>
        <w:t>S2</w:t>
      </w:r>
      <w:r w:rsidRPr="00D06269">
        <w:rPr>
          <w:noProof/>
        </w:rPr>
        <w:t xml:space="preserve"> scenarios, emissions in 2050 are equal to those in the </w:t>
      </w:r>
      <w:r w:rsidR="00985E13">
        <w:rPr>
          <w:noProof/>
        </w:rPr>
        <w:t>S3</w:t>
      </w:r>
      <w:r w:rsidRPr="00D06269">
        <w:rPr>
          <w:noProof/>
        </w:rPr>
        <w:t xml:space="preserve"> scenario.</w:t>
      </w:r>
      <w:r w:rsidR="0049746C" w:rsidRPr="0049746C">
        <w:rPr>
          <w:noProof/>
        </w:rPr>
        <w:t xml:space="preserve"> **CO2 emissions include only emissions in category 3 (“Agriculture").</w:t>
      </w:r>
    </w:p>
    <w:p w14:paraId="68E4C02B" w14:textId="663258BF" w:rsidR="0074167F" w:rsidRDefault="0074167F" w:rsidP="00534E10">
      <w:pPr>
        <w:pStyle w:val="CT-SOURCE"/>
        <w:keepNext w:val="0"/>
        <w:rPr>
          <w:noProof/>
        </w:rPr>
      </w:pPr>
      <w:r w:rsidRPr="00CA7226">
        <w:rPr>
          <w:noProof/>
        </w:rPr>
        <w:t>Source: GAINS.</w:t>
      </w:r>
    </w:p>
    <w:p w14:paraId="6582C23F" w14:textId="2EF3D8AB" w:rsidR="00137EFD" w:rsidRDefault="00137EFD" w:rsidP="00AA54D4">
      <w:pPr>
        <w:rPr>
          <w:noProof/>
        </w:rPr>
      </w:pPr>
      <w:r>
        <w:rPr>
          <w:noProof/>
        </w:rPr>
        <w:t>The analysis of</w:t>
      </w:r>
      <w:r w:rsidR="00AA54D4">
        <w:rPr>
          <w:noProof/>
        </w:rPr>
        <w:t xml:space="preserve"> emissions per type of source</w:t>
      </w:r>
      <w:r>
        <w:rPr>
          <w:noProof/>
        </w:rPr>
        <w:t xml:space="preserve"> shows that,</w:t>
      </w:r>
      <w:r w:rsidR="00AA54D4">
        <w:rPr>
          <w:noProof/>
        </w:rPr>
        <w:t xml:space="preserve"> in 2040, GHG emissions caused by </w:t>
      </w:r>
      <w:r w:rsidR="00AA54D4" w:rsidRPr="00942275">
        <w:rPr>
          <w:b/>
          <w:noProof/>
        </w:rPr>
        <w:t>livestock</w:t>
      </w:r>
      <w:r w:rsidR="00AA54D4">
        <w:rPr>
          <w:noProof/>
        </w:rPr>
        <w:t xml:space="preserve"> (which are mostly CH4 emissions</w:t>
      </w:r>
      <w:r w:rsidR="00613FB4" w:rsidRPr="00613FB4">
        <w:rPr>
          <w:noProof/>
        </w:rPr>
        <w:t> (</w:t>
      </w:r>
      <w:r w:rsidR="00613FB4">
        <w:rPr>
          <w:rStyle w:val="FootnoteReference"/>
          <w:noProof/>
        </w:rPr>
        <w:footnoteReference w:id="154"/>
      </w:r>
      <w:r w:rsidR="00613FB4">
        <w:rPr>
          <w:noProof/>
        </w:rPr>
        <w:t>)</w:t>
      </w:r>
      <w:r w:rsidR="00AA54D4">
        <w:rPr>
          <w:noProof/>
        </w:rPr>
        <w:t xml:space="preserve">) are projected to be </w:t>
      </w:r>
      <w:r w:rsidR="00344848">
        <w:rPr>
          <w:noProof/>
        </w:rPr>
        <w:t>2</w:t>
      </w:r>
      <w:r w:rsidR="001060E3">
        <w:rPr>
          <w:noProof/>
        </w:rPr>
        <w:t>2</w:t>
      </w:r>
      <w:r w:rsidR="00344848">
        <w:rPr>
          <w:noProof/>
        </w:rPr>
        <w:t>1</w:t>
      </w:r>
      <w:r w:rsidR="00F718EF">
        <w:rPr>
          <w:noProof/>
        </w:rPr>
        <w:t xml:space="preserve"> MtCO2-eq </w:t>
      </w:r>
      <w:r w:rsidR="004217E7">
        <w:rPr>
          <w:noProof/>
        </w:rPr>
        <w:t>(</w:t>
      </w:r>
      <w:r w:rsidR="001D3000">
        <w:rPr>
          <w:noProof/>
        </w:rPr>
        <w:t>10</w:t>
      </w:r>
      <w:r w:rsidR="004217E7">
        <w:rPr>
          <w:noProof/>
        </w:rPr>
        <w:t xml:space="preserve">% lower than in 2015) </w:t>
      </w:r>
      <w:r w:rsidR="00F718EF">
        <w:rPr>
          <w:noProof/>
        </w:rPr>
        <w:t>in the S1 scenario</w:t>
      </w:r>
      <w:r w:rsidR="00DC35CD">
        <w:rPr>
          <w:noProof/>
        </w:rPr>
        <w:t>, 188 MtCO2-eq (23% lower than in 2015) in the S2 scenario,</w:t>
      </w:r>
      <w:r w:rsidR="00F718EF">
        <w:rPr>
          <w:noProof/>
        </w:rPr>
        <w:t xml:space="preserve"> and</w:t>
      </w:r>
      <w:r w:rsidR="00AA54D4">
        <w:rPr>
          <w:noProof/>
        </w:rPr>
        <w:t xml:space="preserve"> 1</w:t>
      </w:r>
      <w:r w:rsidR="001060E3">
        <w:rPr>
          <w:noProof/>
        </w:rPr>
        <w:t>85</w:t>
      </w:r>
      <w:r w:rsidR="00AA54D4">
        <w:rPr>
          <w:noProof/>
        </w:rPr>
        <w:t xml:space="preserve"> MtCO2-eq (2</w:t>
      </w:r>
      <w:r w:rsidR="001060E3">
        <w:rPr>
          <w:noProof/>
        </w:rPr>
        <w:t>4</w:t>
      </w:r>
      <w:r w:rsidR="00AA54D4">
        <w:rPr>
          <w:noProof/>
        </w:rPr>
        <w:t xml:space="preserve">% lower than in 2015) in the S3 scenario (see </w:t>
      </w:r>
      <w:r w:rsidR="00212EBD" w:rsidRPr="005948CC">
        <w:rPr>
          <w:noProof/>
        </w:rPr>
        <w:fldChar w:fldCharType="begin"/>
      </w:r>
      <w:r w:rsidR="00212EBD" w:rsidRPr="005948CC">
        <w:rPr>
          <w:noProof/>
        </w:rPr>
        <w:instrText xml:space="preserve"> REF _Ref147328772 \h  \* MERGEFORMAT </w:instrText>
      </w:r>
      <w:r w:rsidR="00212EBD" w:rsidRPr="005948CC">
        <w:rPr>
          <w:noProof/>
        </w:rPr>
      </w:r>
      <w:r w:rsidR="00212EBD" w:rsidRPr="005948CC">
        <w:rPr>
          <w:noProof/>
        </w:rPr>
        <w:fldChar w:fldCharType="separate"/>
      </w:r>
      <w:r w:rsidR="00170A3C">
        <w:rPr>
          <w:noProof/>
        </w:rPr>
        <w:t>Table 18</w:t>
      </w:r>
      <w:r w:rsidR="00212EBD" w:rsidRPr="005948CC">
        <w:rPr>
          <w:noProof/>
        </w:rPr>
        <w:fldChar w:fldCharType="end"/>
      </w:r>
      <w:r w:rsidR="00AA54D4">
        <w:rPr>
          <w:noProof/>
        </w:rPr>
        <w:t xml:space="preserve"> and</w:t>
      </w:r>
      <w:r w:rsidR="00B86F2E">
        <w:rPr>
          <w:noProof/>
        </w:rPr>
        <w:t xml:space="preserve"> </w:t>
      </w:r>
      <w:r w:rsidR="00B86F2E">
        <w:rPr>
          <w:noProof/>
        </w:rPr>
        <w:fldChar w:fldCharType="begin"/>
      </w:r>
      <w:r w:rsidR="00B86F2E">
        <w:rPr>
          <w:noProof/>
        </w:rPr>
        <w:instrText xml:space="preserve"> REF _Ref147329423 \h </w:instrText>
      </w:r>
      <w:r w:rsidR="00B86F2E">
        <w:rPr>
          <w:noProof/>
        </w:rPr>
      </w:r>
      <w:r w:rsidR="00B86F2E">
        <w:rPr>
          <w:noProof/>
        </w:rPr>
        <w:fldChar w:fldCharType="separate"/>
      </w:r>
      <w:r w:rsidR="00170A3C" w:rsidRPr="00D12C90">
        <w:rPr>
          <w:noProof/>
          <w:lang w:val="en-IE"/>
        </w:rPr>
        <w:t xml:space="preserve">Figure </w:t>
      </w:r>
      <w:r w:rsidR="00170A3C">
        <w:rPr>
          <w:noProof/>
          <w:lang w:val="en-IE"/>
        </w:rPr>
        <w:t>85</w:t>
      </w:r>
      <w:r w:rsidR="00B86F2E">
        <w:rPr>
          <w:noProof/>
        </w:rPr>
        <w:fldChar w:fldCharType="end"/>
      </w:r>
      <w:r w:rsidR="00212EBD">
        <w:rPr>
          <w:noProof/>
        </w:rPr>
        <w:t>).</w:t>
      </w:r>
      <w:r w:rsidR="00AA54D4">
        <w:rPr>
          <w:noProof/>
        </w:rPr>
        <w:t xml:space="preserve"> In 2050, </w:t>
      </w:r>
      <w:r w:rsidR="00E13D20">
        <w:rPr>
          <w:noProof/>
        </w:rPr>
        <w:t>GHG</w:t>
      </w:r>
      <w:r w:rsidR="00AA54D4">
        <w:rPr>
          <w:noProof/>
        </w:rPr>
        <w:t xml:space="preserve"> emissions </w:t>
      </w:r>
      <w:r w:rsidR="008D3095">
        <w:rPr>
          <w:noProof/>
        </w:rPr>
        <w:t xml:space="preserve">from livestock </w:t>
      </w:r>
      <w:r w:rsidR="00AA54D4">
        <w:rPr>
          <w:noProof/>
        </w:rPr>
        <w:t>are 171 MtCO2-eq (i.e., 30% lower than in 2015)</w:t>
      </w:r>
      <w:r w:rsidR="000975DD">
        <w:rPr>
          <w:noProof/>
        </w:rPr>
        <w:t xml:space="preserve"> in these three scenarios</w:t>
      </w:r>
      <w:r w:rsidR="00AA54D4">
        <w:rPr>
          <w:noProof/>
        </w:rPr>
        <w:t xml:space="preserve">. These emissions reductions </w:t>
      </w:r>
      <w:r w:rsidR="00E13D20">
        <w:rPr>
          <w:noProof/>
        </w:rPr>
        <w:t xml:space="preserve">(compared to 2015) </w:t>
      </w:r>
      <w:r w:rsidR="009A36E4">
        <w:rPr>
          <w:noProof/>
        </w:rPr>
        <w:t>are achieved mainly by implementing</w:t>
      </w:r>
      <w:r w:rsidR="00AA54D4">
        <w:rPr>
          <w:noProof/>
        </w:rPr>
        <w:t xml:space="preserve"> the following technologies: a) breeding through selection to enhance productivity, fertility and longevity; b) farm-scale anaerobic digestion with biogas recovery; and c) feed additives. Note that, </w:t>
      </w:r>
      <w:r w:rsidR="001F516B">
        <w:rPr>
          <w:noProof/>
        </w:rPr>
        <w:t xml:space="preserve">in </w:t>
      </w:r>
      <w:r w:rsidR="00AA54D4">
        <w:rPr>
          <w:noProof/>
        </w:rPr>
        <w:t>the S1 scenario</w:t>
      </w:r>
      <w:r w:rsidR="001F516B">
        <w:rPr>
          <w:noProof/>
        </w:rPr>
        <w:t>, these technologies are only deployed after 2040</w:t>
      </w:r>
      <w:r w:rsidR="00AA54D4">
        <w:rPr>
          <w:noProof/>
        </w:rPr>
        <w:t xml:space="preserve">. </w:t>
      </w:r>
    </w:p>
    <w:p w14:paraId="4B1BE350" w14:textId="667AE7FE" w:rsidR="00E13D20" w:rsidRDefault="008D3095" w:rsidP="00AA54D4">
      <w:pPr>
        <w:rPr>
          <w:noProof/>
        </w:rPr>
      </w:pPr>
      <w:r>
        <w:rPr>
          <w:noProof/>
        </w:rPr>
        <w:t xml:space="preserve">In addition to the implementation of these technologies, </w:t>
      </w:r>
      <w:r w:rsidR="00C459D4">
        <w:rPr>
          <w:noProof/>
        </w:rPr>
        <w:t>LIFE</w:t>
      </w:r>
      <w:r>
        <w:rPr>
          <w:noProof/>
        </w:rPr>
        <w:t xml:space="preserve"> assumes changes in sectoral activity </w:t>
      </w:r>
      <w:r w:rsidR="00B57160">
        <w:rPr>
          <w:noProof/>
        </w:rPr>
        <w:t xml:space="preserve">compared to the other scenarios </w:t>
      </w:r>
      <w:r>
        <w:rPr>
          <w:noProof/>
        </w:rPr>
        <w:t>(notably</w:t>
      </w:r>
      <w:r w:rsidR="004E4CEE">
        <w:rPr>
          <w:noProof/>
        </w:rPr>
        <w:t>,</w:t>
      </w:r>
      <w:r>
        <w:rPr>
          <w:noProof/>
        </w:rPr>
        <w:t xml:space="preserve"> </w:t>
      </w:r>
      <w:r w:rsidRPr="008D3095">
        <w:rPr>
          <w:noProof/>
        </w:rPr>
        <w:t xml:space="preserve">a decrease in livestock </w:t>
      </w:r>
      <w:r w:rsidR="00137EFD">
        <w:rPr>
          <w:noProof/>
        </w:rPr>
        <w:t>leading to a lower production</w:t>
      </w:r>
      <w:r w:rsidRPr="008D3095">
        <w:rPr>
          <w:noProof/>
        </w:rPr>
        <w:t xml:space="preserve"> of manure</w:t>
      </w:r>
      <w:r>
        <w:rPr>
          <w:noProof/>
        </w:rPr>
        <w:t xml:space="preserve">). As a result, GHG </w:t>
      </w:r>
      <w:r w:rsidR="003B44D4">
        <w:rPr>
          <w:noProof/>
        </w:rPr>
        <w:t xml:space="preserve">emissions </w:t>
      </w:r>
      <w:r w:rsidR="000975DD">
        <w:rPr>
          <w:noProof/>
        </w:rPr>
        <w:t>caused by</w:t>
      </w:r>
      <w:r>
        <w:rPr>
          <w:noProof/>
        </w:rPr>
        <w:t xml:space="preserve"> livestock decrease further</w:t>
      </w:r>
      <w:r w:rsidR="00137EFD">
        <w:rPr>
          <w:noProof/>
        </w:rPr>
        <w:t xml:space="preserve">: they </w:t>
      </w:r>
      <w:r>
        <w:rPr>
          <w:noProof/>
        </w:rPr>
        <w:t xml:space="preserve">are </w:t>
      </w:r>
      <w:r w:rsidR="00E13D20">
        <w:rPr>
          <w:noProof/>
        </w:rPr>
        <w:t>projected to be 143 MtCO2-eq</w:t>
      </w:r>
      <w:r>
        <w:rPr>
          <w:noProof/>
        </w:rPr>
        <w:t xml:space="preserve"> in 2040</w:t>
      </w:r>
      <w:r w:rsidR="00E13D20">
        <w:rPr>
          <w:noProof/>
        </w:rPr>
        <w:t xml:space="preserve"> (i.e., 41% lower than in 2015)</w:t>
      </w:r>
      <w:r>
        <w:rPr>
          <w:noProof/>
        </w:rPr>
        <w:t xml:space="preserve"> and</w:t>
      </w:r>
      <w:r w:rsidR="00E13D20">
        <w:rPr>
          <w:noProof/>
        </w:rPr>
        <w:t xml:space="preserve"> 134 MtCO2-eq </w:t>
      </w:r>
      <w:r>
        <w:rPr>
          <w:noProof/>
        </w:rPr>
        <w:t xml:space="preserve">in 2050 </w:t>
      </w:r>
      <w:r w:rsidR="00E13D20">
        <w:rPr>
          <w:noProof/>
        </w:rPr>
        <w:t xml:space="preserve">(i.e., 45% lower than in 2015). </w:t>
      </w:r>
    </w:p>
    <w:p w14:paraId="2A0041E6" w14:textId="076E7209" w:rsidR="00137EFD" w:rsidRDefault="00AA54D4" w:rsidP="00AA54D4">
      <w:pPr>
        <w:rPr>
          <w:noProof/>
        </w:rPr>
      </w:pPr>
      <w:r>
        <w:rPr>
          <w:noProof/>
        </w:rPr>
        <w:t xml:space="preserve">GHG emissions </w:t>
      </w:r>
      <w:r w:rsidR="00942275">
        <w:rPr>
          <w:noProof/>
        </w:rPr>
        <w:t>from</w:t>
      </w:r>
      <w:r>
        <w:rPr>
          <w:noProof/>
        </w:rPr>
        <w:t xml:space="preserve"> </w:t>
      </w:r>
      <w:r w:rsidRPr="00942275">
        <w:rPr>
          <w:b/>
          <w:noProof/>
        </w:rPr>
        <w:t>agricultural soils</w:t>
      </w:r>
      <w:r>
        <w:rPr>
          <w:noProof/>
        </w:rPr>
        <w:t xml:space="preserve"> (which are </w:t>
      </w:r>
      <w:r w:rsidR="0086296F">
        <w:rPr>
          <w:noProof/>
        </w:rPr>
        <w:t>entire</w:t>
      </w:r>
      <w:r w:rsidR="00E704B6">
        <w:rPr>
          <w:noProof/>
        </w:rPr>
        <w:t>ly</w:t>
      </w:r>
      <w:r>
        <w:rPr>
          <w:noProof/>
        </w:rPr>
        <w:t xml:space="preserve"> N2O emissions</w:t>
      </w:r>
      <w:r w:rsidR="00F80219" w:rsidRPr="00F80219">
        <w:rPr>
          <w:noProof/>
        </w:rPr>
        <w:t> (</w:t>
      </w:r>
      <w:r w:rsidR="00F80219">
        <w:rPr>
          <w:rStyle w:val="FootnoteReference"/>
          <w:noProof/>
        </w:rPr>
        <w:footnoteReference w:id="155"/>
      </w:r>
      <w:r w:rsidR="00F80219">
        <w:rPr>
          <w:noProof/>
        </w:rPr>
        <w:t>)</w:t>
      </w:r>
      <w:r>
        <w:rPr>
          <w:noProof/>
        </w:rPr>
        <w:t>) are projected to be 116</w:t>
      </w:r>
      <w:r w:rsidR="00F718EF">
        <w:rPr>
          <w:noProof/>
        </w:rPr>
        <w:t xml:space="preserve"> MtCO2-eq in S1 (8% lower than in 2015)</w:t>
      </w:r>
      <w:r w:rsidR="00DC35CD">
        <w:rPr>
          <w:noProof/>
        </w:rPr>
        <w:t>, 102 MtCO2-eq (19% lower than in 2015) in the S2 scenario,</w:t>
      </w:r>
      <w:r w:rsidR="004E4CEE">
        <w:rPr>
          <w:noProof/>
        </w:rPr>
        <w:t xml:space="preserve"> and</w:t>
      </w:r>
      <w:r>
        <w:rPr>
          <w:noProof/>
        </w:rPr>
        <w:t xml:space="preserve"> 74 MtCO2-eq (42% lower than in 2015) in S3</w:t>
      </w:r>
      <w:r w:rsidR="00F718EF">
        <w:rPr>
          <w:noProof/>
        </w:rPr>
        <w:t xml:space="preserve"> in 2040</w:t>
      </w:r>
      <w:r>
        <w:rPr>
          <w:noProof/>
        </w:rPr>
        <w:t xml:space="preserve"> (see </w:t>
      </w:r>
      <w:r w:rsidR="00212EBD" w:rsidRPr="005948CC">
        <w:rPr>
          <w:noProof/>
        </w:rPr>
        <w:fldChar w:fldCharType="begin"/>
      </w:r>
      <w:r w:rsidR="00212EBD" w:rsidRPr="005948CC">
        <w:rPr>
          <w:noProof/>
        </w:rPr>
        <w:instrText xml:space="preserve"> REF _Ref147328772 \h  \* MERGEFORMAT </w:instrText>
      </w:r>
      <w:r w:rsidR="00212EBD" w:rsidRPr="005948CC">
        <w:rPr>
          <w:noProof/>
        </w:rPr>
      </w:r>
      <w:r w:rsidR="00212EBD" w:rsidRPr="005948CC">
        <w:rPr>
          <w:noProof/>
        </w:rPr>
        <w:fldChar w:fldCharType="separate"/>
      </w:r>
      <w:r w:rsidR="00170A3C">
        <w:rPr>
          <w:noProof/>
        </w:rPr>
        <w:t>Table 18</w:t>
      </w:r>
      <w:r w:rsidR="00212EBD" w:rsidRPr="005948CC">
        <w:rPr>
          <w:noProof/>
        </w:rPr>
        <w:fldChar w:fldCharType="end"/>
      </w:r>
      <w:r>
        <w:rPr>
          <w:noProof/>
        </w:rPr>
        <w:t xml:space="preserve"> and </w:t>
      </w:r>
      <w:r w:rsidR="00220D8F" w:rsidRPr="005948CC">
        <w:rPr>
          <w:noProof/>
        </w:rPr>
        <w:fldChar w:fldCharType="begin"/>
      </w:r>
      <w:r w:rsidR="00220D8F" w:rsidRPr="005948CC">
        <w:rPr>
          <w:noProof/>
        </w:rPr>
        <w:instrText xml:space="preserve"> REF _Ref147329423 \h  \* MERGEFORMAT </w:instrText>
      </w:r>
      <w:r w:rsidR="00220D8F" w:rsidRPr="005948CC">
        <w:rPr>
          <w:noProof/>
        </w:rPr>
      </w:r>
      <w:r w:rsidR="00220D8F" w:rsidRPr="005948CC">
        <w:rPr>
          <w:noProof/>
        </w:rPr>
        <w:fldChar w:fldCharType="separate"/>
      </w:r>
      <w:r w:rsidR="00170A3C" w:rsidRPr="00D12C90">
        <w:rPr>
          <w:noProof/>
          <w:lang w:val="en-IE"/>
        </w:rPr>
        <w:t xml:space="preserve">Figure </w:t>
      </w:r>
      <w:r w:rsidR="00170A3C">
        <w:rPr>
          <w:noProof/>
          <w:lang w:val="en-IE"/>
        </w:rPr>
        <w:t>85</w:t>
      </w:r>
      <w:r w:rsidR="00220D8F" w:rsidRPr="005948CC">
        <w:rPr>
          <w:noProof/>
        </w:rPr>
        <w:fldChar w:fldCharType="end"/>
      </w:r>
      <w:r w:rsidR="00212EBD">
        <w:rPr>
          <w:noProof/>
        </w:rPr>
        <w:t>).</w:t>
      </w:r>
      <w:r>
        <w:rPr>
          <w:noProof/>
        </w:rPr>
        <w:t xml:space="preserve"> In 2050, emissions </w:t>
      </w:r>
      <w:r w:rsidR="004E4CEE">
        <w:rPr>
          <w:noProof/>
        </w:rPr>
        <w:t xml:space="preserve">from agricultural soils </w:t>
      </w:r>
      <w:r>
        <w:rPr>
          <w:noProof/>
        </w:rPr>
        <w:t>are 66 MtCO2-eq (48% lower than in 2015)</w:t>
      </w:r>
      <w:r w:rsidR="000975DD">
        <w:rPr>
          <w:noProof/>
        </w:rPr>
        <w:t xml:space="preserve"> in these three scenarios</w:t>
      </w:r>
      <w:r>
        <w:rPr>
          <w:noProof/>
        </w:rPr>
        <w:t xml:space="preserve">. These emissions reductions </w:t>
      </w:r>
      <w:r w:rsidR="004E4CEE">
        <w:rPr>
          <w:noProof/>
        </w:rPr>
        <w:t xml:space="preserve">(compared to 2015) </w:t>
      </w:r>
      <w:r>
        <w:rPr>
          <w:noProof/>
        </w:rPr>
        <w:t xml:space="preserve">are achieved mainly through the large-scale implementation of technologies to improve fertiliser application (notably, nitrification inhibitors and variable rate technology) and by restoring drained organic soils. </w:t>
      </w:r>
      <w:r w:rsidR="00ED3519">
        <w:rPr>
          <w:noProof/>
        </w:rPr>
        <w:t>T</w:t>
      </w:r>
      <w:r>
        <w:rPr>
          <w:noProof/>
        </w:rPr>
        <w:t xml:space="preserve">he S1 scenario </w:t>
      </w:r>
      <w:r w:rsidR="00DB5E99">
        <w:rPr>
          <w:noProof/>
        </w:rPr>
        <w:t xml:space="preserve">assumes that </w:t>
      </w:r>
      <w:r>
        <w:rPr>
          <w:noProof/>
        </w:rPr>
        <w:t xml:space="preserve">these technologies are </w:t>
      </w:r>
      <w:r w:rsidR="001D3000">
        <w:rPr>
          <w:noProof/>
        </w:rPr>
        <w:t>only</w:t>
      </w:r>
      <w:r>
        <w:rPr>
          <w:noProof/>
        </w:rPr>
        <w:t xml:space="preserve"> deployed </w:t>
      </w:r>
      <w:r w:rsidR="001D3000">
        <w:rPr>
          <w:noProof/>
        </w:rPr>
        <w:t>after</w:t>
      </w:r>
      <w:r>
        <w:rPr>
          <w:noProof/>
        </w:rPr>
        <w:t xml:space="preserve"> 2040 (see </w:t>
      </w:r>
      <w:r w:rsidRPr="005948CC">
        <w:rPr>
          <w:noProof/>
        </w:rPr>
        <w:t>Annex 6</w:t>
      </w:r>
      <w:r>
        <w:rPr>
          <w:noProof/>
        </w:rPr>
        <w:t>).</w:t>
      </w:r>
      <w:r w:rsidR="004E4CEE" w:rsidRPr="004E4CEE">
        <w:rPr>
          <w:noProof/>
        </w:rPr>
        <w:t xml:space="preserve"> </w:t>
      </w:r>
    </w:p>
    <w:p w14:paraId="5EFE18B8" w14:textId="4D2A6BE1" w:rsidR="00AA54D4" w:rsidRPr="00C46D51" w:rsidRDefault="004E4CEE" w:rsidP="00AA54D4">
      <w:pPr>
        <w:rPr>
          <w:noProof/>
        </w:rPr>
      </w:pPr>
      <w:r>
        <w:rPr>
          <w:noProof/>
        </w:rPr>
        <w:t xml:space="preserve">In addition to the implementation of these technologies, </w:t>
      </w:r>
      <w:r w:rsidR="00C459D4">
        <w:rPr>
          <w:noProof/>
        </w:rPr>
        <w:t>LIFE</w:t>
      </w:r>
      <w:r>
        <w:rPr>
          <w:noProof/>
        </w:rPr>
        <w:t xml:space="preserve"> assumes changes in sectoral activity </w:t>
      </w:r>
      <w:r w:rsidR="00B57160">
        <w:rPr>
          <w:noProof/>
        </w:rPr>
        <w:t>compared to the other scenarios</w:t>
      </w:r>
      <w:r w:rsidR="00137EFD">
        <w:rPr>
          <w:noProof/>
        </w:rPr>
        <w:t xml:space="preserve">, with </w:t>
      </w:r>
      <w:r w:rsidRPr="008D3095">
        <w:rPr>
          <w:noProof/>
        </w:rPr>
        <w:t xml:space="preserve">a decrease in </w:t>
      </w:r>
      <w:r>
        <w:rPr>
          <w:noProof/>
        </w:rPr>
        <w:t>the</w:t>
      </w:r>
      <w:r w:rsidRPr="008D3095">
        <w:rPr>
          <w:noProof/>
        </w:rPr>
        <w:t xml:space="preserve"> use of </w:t>
      </w:r>
      <w:r>
        <w:rPr>
          <w:noProof/>
        </w:rPr>
        <w:t xml:space="preserve">mineral fertilisers. </w:t>
      </w:r>
      <w:r w:rsidR="00FD52A5">
        <w:rPr>
          <w:noProof/>
        </w:rPr>
        <w:t>Consequently</w:t>
      </w:r>
      <w:r>
        <w:rPr>
          <w:noProof/>
        </w:rPr>
        <w:t xml:space="preserve">, GHG emissions from </w:t>
      </w:r>
      <w:r w:rsidR="00B57160">
        <w:rPr>
          <w:noProof/>
        </w:rPr>
        <w:t>agricultural soils</w:t>
      </w:r>
      <w:r>
        <w:rPr>
          <w:noProof/>
        </w:rPr>
        <w:t xml:space="preserve"> decrease further</w:t>
      </w:r>
      <w:r w:rsidR="00137EFD">
        <w:rPr>
          <w:noProof/>
        </w:rPr>
        <w:t>: they</w:t>
      </w:r>
      <w:r>
        <w:rPr>
          <w:noProof/>
        </w:rPr>
        <w:t xml:space="preserve"> are projected to be </w:t>
      </w:r>
      <w:r w:rsidR="00B57160">
        <w:rPr>
          <w:noProof/>
        </w:rPr>
        <w:t>55</w:t>
      </w:r>
      <w:r>
        <w:rPr>
          <w:noProof/>
        </w:rPr>
        <w:t xml:space="preserve"> MtCO2-eq in 2040 (</w:t>
      </w:r>
      <w:r w:rsidR="00B57160">
        <w:rPr>
          <w:noProof/>
        </w:rPr>
        <w:t>57</w:t>
      </w:r>
      <w:r>
        <w:rPr>
          <w:noProof/>
        </w:rPr>
        <w:t xml:space="preserve">% lower than in 2015) and </w:t>
      </w:r>
      <w:r w:rsidR="00B57160">
        <w:rPr>
          <w:noProof/>
        </w:rPr>
        <w:t>49</w:t>
      </w:r>
      <w:r>
        <w:rPr>
          <w:noProof/>
        </w:rPr>
        <w:t xml:space="preserve"> MtCO2-eq in 2050 (</w:t>
      </w:r>
      <w:r w:rsidR="00B57160">
        <w:rPr>
          <w:noProof/>
        </w:rPr>
        <w:t>62</w:t>
      </w:r>
      <w:r>
        <w:rPr>
          <w:noProof/>
        </w:rPr>
        <w:t>% lower than in 2015).</w:t>
      </w:r>
    </w:p>
    <w:p w14:paraId="2FEEB486" w14:textId="778BC06B" w:rsidR="008E1F2B" w:rsidRDefault="00DE1ABB" w:rsidP="005D4DC7">
      <w:pPr>
        <w:pStyle w:val="Caption"/>
        <w:keepLines/>
        <w:rPr>
          <w:noProof/>
          <w:lang w:val="en-IE"/>
        </w:rPr>
      </w:pPr>
      <w:bookmarkStart w:id="459" w:name="_Ref147329423"/>
      <w:bookmarkStart w:id="460" w:name="_Toc157679833"/>
      <w:r w:rsidRPr="00D12C90">
        <w:rPr>
          <w:noProof/>
          <w:lang w:val="en-IE"/>
        </w:rPr>
        <w:t xml:space="preserve">Figure </w:t>
      </w:r>
      <w:r w:rsidR="00F2742D">
        <w:rPr>
          <w:noProof/>
          <w:lang w:val="en-IE"/>
        </w:rPr>
        <w:fldChar w:fldCharType="begin"/>
      </w:r>
      <w:r w:rsidR="00F2742D">
        <w:rPr>
          <w:noProof/>
          <w:lang w:val="en-IE"/>
        </w:rPr>
        <w:instrText xml:space="preserve"> SEQ Figure \* ARABIC </w:instrText>
      </w:r>
      <w:r w:rsidR="00F2742D">
        <w:rPr>
          <w:noProof/>
          <w:lang w:val="en-IE"/>
        </w:rPr>
        <w:fldChar w:fldCharType="separate"/>
      </w:r>
      <w:r w:rsidR="00170A3C">
        <w:rPr>
          <w:noProof/>
          <w:lang w:val="en-IE"/>
        </w:rPr>
        <w:t>85</w:t>
      </w:r>
      <w:r w:rsidR="00F2742D">
        <w:rPr>
          <w:noProof/>
          <w:lang w:val="en-IE"/>
        </w:rPr>
        <w:fldChar w:fldCharType="end"/>
      </w:r>
      <w:bookmarkEnd w:id="459"/>
      <w:r w:rsidRPr="00D12C90">
        <w:rPr>
          <w:noProof/>
          <w:lang w:val="en-IE"/>
        </w:rPr>
        <w:t xml:space="preserve">: </w:t>
      </w:r>
      <w:r w:rsidR="007F2DB0">
        <w:rPr>
          <w:noProof/>
          <w:lang w:val="en-IE"/>
        </w:rPr>
        <w:t>GHG</w:t>
      </w:r>
      <w:r w:rsidRPr="00D12C90">
        <w:rPr>
          <w:noProof/>
          <w:lang w:val="en-IE"/>
        </w:rPr>
        <w:t xml:space="preserve"> </w:t>
      </w:r>
      <w:r w:rsidR="00DB3FE2">
        <w:rPr>
          <w:noProof/>
          <w:lang w:val="en-IE"/>
        </w:rPr>
        <w:t>emissions</w:t>
      </w:r>
      <w:r w:rsidRPr="00D12C90">
        <w:rPr>
          <w:noProof/>
          <w:lang w:val="en-IE"/>
        </w:rPr>
        <w:t xml:space="preserve"> from agriculture </w:t>
      </w:r>
      <w:r w:rsidR="00847F74">
        <w:rPr>
          <w:noProof/>
          <w:lang w:val="en-IE"/>
        </w:rPr>
        <w:t>by</w:t>
      </w:r>
      <w:r w:rsidRPr="00D12C90">
        <w:rPr>
          <w:noProof/>
          <w:lang w:val="en-IE"/>
        </w:rPr>
        <w:t xml:space="preserve"> </w:t>
      </w:r>
      <w:r>
        <w:rPr>
          <w:noProof/>
          <w:lang w:val="en-IE"/>
        </w:rPr>
        <w:t>type of source</w:t>
      </w:r>
      <w:bookmarkEnd w:id="460"/>
    </w:p>
    <w:p w14:paraId="13B932A4" w14:textId="78C6A4AD" w:rsidR="005D4DC7" w:rsidRDefault="005D4DC7" w:rsidP="003F4202">
      <w:pPr>
        <w:keepNext/>
        <w:keepLines/>
        <w:jc w:val="center"/>
        <w:rPr>
          <w:noProof/>
          <w:lang w:val="en-IE"/>
        </w:rPr>
      </w:pPr>
      <w:r w:rsidRPr="005D4DC7">
        <w:rPr>
          <w:noProof/>
          <w:lang w:eastAsia="en-GB"/>
        </w:rPr>
        <w:drawing>
          <wp:inline distT="0" distB="0" distL="0" distR="0" wp14:anchorId="32BF4DDB" wp14:editId="616EF555">
            <wp:extent cx="5390515" cy="2519680"/>
            <wp:effectExtent l="0" t="0" r="635"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5390515" cy="2519680"/>
                    </a:xfrm>
                    <a:prstGeom prst="rect">
                      <a:avLst/>
                    </a:prstGeom>
                    <a:noFill/>
                    <a:ln>
                      <a:noFill/>
                    </a:ln>
                  </pic:spPr>
                </pic:pic>
              </a:graphicData>
            </a:graphic>
          </wp:inline>
        </w:drawing>
      </w:r>
    </w:p>
    <w:p w14:paraId="75506CA7" w14:textId="3B197193" w:rsidR="00E771A8" w:rsidRDefault="00E771A8" w:rsidP="00942275">
      <w:pPr>
        <w:pStyle w:val="CT-NOTE"/>
        <w:keepLines/>
        <w:rPr>
          <w:noProof/>
        </w:rPr>
      </w:pPr>
      <w:r w:rsidRPr="00E771A8">
        <w:rPr>
          <w:noProof/>
        </w:rPr>
        <w:t xml:space="preserve">Note: </w:t>
      </w:r>
      <w:r w:rsidR="007F2DB0">
        <w:rPr>
          <w:noProof/>
        </w:rPr>
        <w:t xml:space="preserve">GHG </w:t>
      </w:r>
      <w:r w:rsidR="00942275">
        <w:rPr>
          <w:noProof/>
        </w:rPr>
        <w:t xml:space="preserve">emissions </w:t>
      </w:r>
      <w:r w:rsidR="007F2DB0" w:rsidRPr="007F2DB0">
        <w:rPr>
          <w:noProof/>
        </w:rPr>
        <w:t>includ</w:t>
      </w:r>
      <w:r w:rsidR="007F2DB0">
        <w:rPr>
          <w:noProof/>
        </w:rPr>
        <w:t>e</w:t>
      </w:r>
      <w:r w:rsidR="007F2DB0" w:rsidRPr="007F2DB0">
        <w:rPr>
          <w:noProof/>
        </w:rPr>
        <w:t xml:space="preserve"> CO2</w:t>
      </w:r>
      <w:r w:rsidR="001F5F5C">
        <w:rPr>
          <w:noProof/>
        </w:rPr>
        <w:t xml:space="preserve"> (category 3)</w:t>
      </w:r>
      <w:r w:rsidR="007F2DB0" w:rsidRPr="007F2DB0">
        <w:rPr>
          <w:noProof/>
        </w:rPr>
        <w:t>, CH4 and N2O</w:t>
      </w:r>
      <w:r w:rsidR="00942275">
        <w:rPr>
          <w:noProof/>
        </w:rPr>
        <w:t xml:space="preserve"> emissions</w:t>
      </w:r>
      <w:r w:rsidR="007F2DB0">
        <w:rPr>
          <w:noProof/>
        </w:rPr>
        <w:t>.</w:t>
      </w:r>
      <w:r w:rsidRPr="00E771A8">
        <w:rPr>
          <w:noProof/>
        </w:rPr>
        <w:t xml:space="preserve"> *In the S1 and </w:t>
      </w:r>
      <w:r w:rsidR="002A68A2">
        <w:rPr>
          <w:noProof/>
        </w:rPr>
        <w:t>S2</w:t>
      </w:r>
      <w:r w:rsidRPr="00E771A8">
        <w:rPr>
          <w:noProof/>
        </w:rPr>
        <w:t xml:space="preserve"> scenarios, emissions in 2050 are equal to those in the </w:t>
      </w:r>
      <w:r w:rsidR="002A68A2">
        <w:rPr>
          <w:noProof/>
        </w:rPr>
        <w:t>S3</w:t>
      </w:r>
      <w:r w:rsidRPr="00E771A8">
        <w:rPr>
          <w:noProof/>
        </w:rPr>
        <w:t xml:space="preserve"> scenario.</w:t>
      </w:r>
    </w:p>
    <w:p w14:paraId="16DE59B5" w14:textId="33635D4E" w:rsidR="007C4DD2" w:rsidRDefault="00DE1ABB" w:rsidP="007C4DD2">
      <w:pPr>
        <w:pStyle w:val="CT2040-SOURCE"/>
        <w:keepNext/>
        <w:keepLines/>
        <w:rPr>
          <w:noProof/>
        </w:rPr>
      </w:pPr>
      <w:r w:rsidRPr="008D3328">
        <w:rPr>
          <w:noProof/>
        </w:rPr>
        <w:t>Source: GAINS.</w:t>
      </w:r>
    </w:p>
    <w:p w14:paraId="05FF3D73" w14:textId="77777777" w:rsidR="007C4DD2" w:rsidRDefault="007C4DD2">
      <w:pPr>
        <w:spacing w:after="0"/>
        <w:jc w:val="left"/>
        <w:rPr>
          <w:rFonts w:ascii="EC Square Sans Cond Pro" w:eastAsiaTheme="minorHAnsi" w:hAnsi="EC Square Sans Cond Pro" w:cs="Avenir Next LT Pro"/>
          <w:i/>
          <w:iCs/>
          <w:noProof/>
          <w:sz w:val="22"/>
          <w:szCs w:val="22"/>
          <w:lang w:val="en-IE" w:eastAsia="en-US"/>
        </w:rPr>
      </w:pPr>
      <w:r>
        <w:rPr>
          <w:noProof/>
        </w:rPr>
        <w:br w:type="page"/>
      </w:r>
    </w:p>
    <w:p w14:paraId="52DD3F1B" w14:textId="125EC49D" w:rsidR="008F0DD0" w:rsidRPr="00680783" w:rsidRDefault="00AE6A0A" w:rsidP="00680783">
      <w:pPr>
        <w:pStyle w:val="Heading2"/>
        <w:rPr>
          <w:rStyle w:val="Heading2Char"/>
          <w:b/>
          <w:noProof/>
        </w:rPr>
      </w:pPr>
      <w:bookmarkStart w:id="461" w:name="_Ref146811321"/>
      <w:bookmarkStart w:id="462" w:name="_Toc148605620"/>
      <w:bookmarkStart w:id="463" w:name="_Toc157692066"/>
      <w:bookmarkStart w:id="464" w:name="_Ref143115751"/>
      <w:bookmarkStart w:id="465" w:name="_Ref146732970"/>
      <w:bookmarkEnd w:id="411"/>
      <w:r w:rsidRPr="00680783">
        <w:rPr>
          <w:rStyle w:val="Heading2Char"/>
          <w:b/>
          <w:noProof/>
        </w:rPr>
        <w:t>LULUCF</w:t>
      </w:r>
      <w:bookmarkEnd w:id="461"/>
      <w:bookmarkEnd w:id="462"/>
      <w:bookmarkEnd w:id="463"/>
      <w:r w:rsidRPr="00680783">
        <w:rPr>
          <w:rStyle w:val="Heading2Char"/>
          <w:b/>
          <w:noProof/>
        </w:rPr>
        <w:t xml:space="preserve"> </w:t>
      </w:r>
      <w:bookmarkEnd w:id="454"/>
      <w:bookmarkEnd w:id="464"/>
      <w:bookmarkEnd w:id="465"/>
    </w:p>
    <w:p w14:paraId="3CB11F3D" w14:textId="77777777" w:rsidR="00DC30A0" w:rsidRPr="00680783" w:rsidRDefault="00C653A9" w:rsidP="00680783">
      <w:pPr>
        <w:pStyle w:val="Heading3"/>
        <w:rPr>
          <w:noProof/>
        </w:rPr>
      </w:pPr>
      <w:bookmarkStart w:id="466" w:name="_Toc148605621"/>
      <w:bookmarkStart w:id="467" w:name="_Toc157692067"/>
      <w:r>
        <w:rPr>
          <w:noProof/>
        </w:rPr>
        <w:t>Introduction</w:t>
      </w:r>
      <w:bookmarkEnd w:id="466"/>
      <w:bookmarkEnd w:id="467"/>
    </w:p>
    <w:p w14:paraId="7DFB486B" w14:textId="60DB4B02" w:rsidR="00E469D0" w:rsidRDefault="00052C13" w:rsidP="00F345CF">
      <w:pPr>
        <w:rPr>
          <w:noProof/>
          <w:lang w:val="en-IE"/>
        </w:rPr>
      </w:pPr>
      <w:r>
        <w:rPr>
          <w:noProof/>
          <w:lang w:val="en-IE"/>
        </w:rPr>
        <w:fldChar w:fldCharType="begin"/>
      </w:r>
      <w:r>
        <w:rPr>
          <w:noProof/>
          <w:lang w:val="en-IE"/>
        </w:rPr>
        <w:instrText xml:space="preserve"> REF _Ref145603198 \h </w:instrText>
      </w:r>
      <w:r>
        <w:rPr>
          <w:noProof/>
          <w:lang w:val="en-IE"/>
        </w:rPr>
      </w:r>
      <w:r>
        <w:rPr>
          <w:noProof/>
          <w:lang w:val="en-IE"/>
        </w:rPr>
        <w:fldChar w:fldCharType="separate"/>
      </w:r>
      <w:r w:rsidR="00170A3C">
        <w:rPr>
          <w:noProof/>
        </w:rPr>
        <w:t>Figure 86</w:t>
      </w:r>
      <w:r>
        <w:rPr>
          <w:noProof/>
          <w:lang w:val="en-IE"/>
        </w:rPr>
        <w:fldChar w:fldCharType="end"/>
      </w:r>
      <w:r w:rsidR="00DD2C23">
        <w:rPr>
          <w:noProof/>
          <w:lang w:val="en-IE"/>
        </w:rPr>
        <w:t xml:space="preserve"> shows the evolution of the EU LULUCF net removals over 1990-2021. They have been on average about </w:t>
      </w:r>
      <w:r w:rsidR="00DD2C23">
        <w:rPr>
          <w:noProof/>
          <w:lang w:val="en-IE"/>
        </w:rPr>
        <w:noBreakHyphen/>
        <w:t>325 MtCO</w:t>
      </w:r>
      <w:r w:rsidR="00DD2C23" w:rsidRPr="00476EAB">
        <w:rPr>
          <w:noProof/>
          <w:vertAlign w:val="subscript"/>
          <w:lang w:val="en-IE"/>
        </w:rPr>
        <w:t>2</w:t>
      </w:r>
      <w:r w:rsidR="00DD2C23">
        <w:rPr>
          <w:noProof/>
          <w:lang w:val="en-IE"/>
        </w:rPr>
        <w:noBreakHyphen/>
        <w:t xml:space="preserve">eq between 1990 and 2016, and declining since, down to </w:t>
      </w:r>
      <w:r w:rsidR="00DD2C23">
        <w:rPr>
          <w:noProof/>
          <w:lang w:val="en-IE"/>
        </w:rPr>
        <w:noBreakHyphen/>
      </w:r>
      <w:r w:rsidR="00DD2C23" w:rsidRPr="00171643">
        <w:rPr>
          <w:noProof/>
          <w:lang w:val="en-IE"/>
        </w:rPr>
        <w:t>230 M</w:t>
      </w:r>
      <w:r w:rsidR="00DD2C23">
        <w:rPr>
          <w:noProof/>
          <w:lang w:val="en-IE"/>
        </w:rPr>
        <w:t>t</w:t>
      </w:r>
      <w:r w:rsidR="00DD2C23" w:rsidRPr="00171643">
        <w:rPr>
          <w:noProof/>
          <w:lang w:val="en-IE"/>
        </w:rPr>
        <w:t>CO</w:t>
      </w:r>
      <w:r w:rsidR="00DD2C23" w:rsidRPr="00171643">
        <w:rPr>
          <w:noProof/>
          <w:vertAlign w:val="subscript"/>
          <w:lang w:val="en-IE"/>
        </w:rPr>
        <w:t>2</w:t>
      </w:r>
      <w:r w:rsidR="00DD2C23" w:rsidRPr="00171643">
        <w:rPr>
          <w:noProof/>
          <w:lang w:val="en-IE"/>
        </w:rPr>
        <w:t>-eq</w:t>
      </w:r>
      <w:r w:rsidR="00DD2C23">
        <w:rPr>
          <w:noProof/>
          <w:lang w:val="en-IE"/>
        </w:rPr>
        <w:t xml:space="preserve"> in 2021. </w:t>
      </w:r>
      <w:r w:rsidR="001E7769">
        <w:rPr>
          <w:noProof/>
          <w:lang w:val="en-IE"/>
        </w:rPr>
        <w:tab/>
      </w:r>
    </w:p>
    <w:p w14:paraId="359D2439" w14:textId="49C072D4" w:rsidR="00DC30A0" w:rsidRDefault="00F675A8" w:rsidP="00435E95">
      <w:pPr>
        <w:pStyle w:val="Caption"/>
        <w:rPr>
          <w:noProof/>
        </w:rPr>
      </w:pPr>
      <w:bookmarkStart w:id="468" w:name="_Ref145505990"/>
      <w:bookmarkStart w:id="469" w:name="_Ref145603198"/>
      <w:bookmarkStart w:id="470" w:name="_Toc157679834"/>
      <w:r>
        <w:rPr>
          <w:noProof/>
        </w:rPr>
        <w:t xml:space="preserve">Figure </w:t>
      </w:r>
      <w:bookmarkEnd w:id="468"/>
      <w:r w:rsidR="00F2742D">
        <w:rPr>
          <w:noProof/>
        </w:rPr>
        <w:fldChar w:fldCharType="begin"/>
      </w:r>
      <w:r w:rsidR="00F2742D">
        <w:rPr>
          <w:noProof/>
        </w:rPr>
        <w:instrText xml:space="preserve"> SEQ Figure \* ARABIC </w:instrText>
      </w:r>
      <w:r w:rsidR="00F2742D">
        <w:rPr>
          <w:noProof/>
        </w:rPr>
        <w:fldChar w:fldCharType="separate"/>
      </w:r>
      <w:r w:rsidR="00170A3C">
        <w:rPr>
          <w:noProof/>
        </w:rPr>
        <w:t>86</w:t>
      </w:r>
      <w:r w:rsidR="00F2742D">
        <w:rPr>
          <w:noProof/>
        </w:rPr>
        <w:fldChar w:fldCharType="end"/>
      </w:r>
      <w:bookmarkEnd w:id="469"/>
      <w:r w:rsidR="00DC30A0">
        <w:rPr>
          <w:noProof/>
        </w:rPr>
        <w:t xml:space="preserve">: </w:t>
      </w:r>
      <w:r w:rsidR="00DD2C23">
        <w:rPr>
          <w:noProof/>
        </w:rPr>
        <w:t>Historical</w:t>
      </w:r>
      <w:r w:rsidR="00DC30A0">
        <w:rPr>
          <w:noProof/>
        </w:rPr>
        <w:t xml:space="preserve"> LULUCF emissions, removals and net </w:t>
      </w:r>
      <w:r w:rsidR="007224AD">
        <w:rPr>
          <w:noProof/>
        </w:rPr>
        <w:t>carbo</w:t>
      </w:r>
      <w:r w:rsidR="003A734E">
        <w:rPr>
          <w:noProof/>
        </w:rPr>
        <w:t xml:space="preserve">n </w:t>
      </w:r>
      <w:r w:rsidR="007A0C98">
        <w:rPr>
          <w:noProof/>
        </w:rPr>
        <w:t>removals</w:t>
      </w:r>
      <w:bookmarkEnd w:id="470"/>
    </w:p>
    <w:p w14:paraId="688366A3" w14:textId="77777777" w:rsidR="003925B8" w:rsidRDefault="00221F90" w:rsidP="00F345CF">
      <w:pPr>
        <w:keepNext/>
        <w:keepLines/>
        <w:spacing w:after="0"/>
        <w:rPr>
          <w:noProof/>
        </w:rPr>
      </w:pPr>
      <w:r w:rsidRPr="00074446">
        <w:rPr>
          <w:noProof/>
          <w:color w:val="2B579A"/>
          <w:shd w:val="clear" w:color="auto" w:fill="E6E6E6"/>
          <w:lang w:eastAsia="en-GB"/>
        </w:rPr>
        <w:drawing>
          <wp:inline distT="0" distB="0" distL="0" distR="0" wp14:anchorId="2080FBCF" wp14:editId="0A47FFBC">
            <wp:extent cx="5364000" cy="249270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5364000" cy="2492700"/>
                    </a:xfrm>
                    <a:prstGeom prst="rect">
                      <a:avLst/>
                    </a:prstGeom>
                    <a:noFill/>
                    <a:ln>
                      <a:noFill/>
                    </a:ln>
                  </pic:spPr>
                </pic:pic>
              </a:graphicData>
            </a:graphic>
          </wp:inline>
        </w:drawing>
      </w:r>
    </w:p>
    <w:p w14:paraId="14056371" w14:textId="77777777" w:rsidR="00DC30A0" w:rsidRPr="00F909DE" w:rsidRDefault="00DC30A0" w:rsidP="00E45026">
      <w:pPr>
        <w:pStyle w:val="CT-SOURCE"/>
        <w:keepLines/>
        <w:rPr>
          <w:noProof/>
        </w:rPr>
      </w:pPr>
      <w:r w:rsidRPr="00E648A3">
        <w:rPr>
          <w:noProof/>
        </w:rPr>
        <w:t>Source: UNFCCC 2023</w:t>
      </w:r>
    </w:p>
    <w:p w14:paraId="66434446" w14:textId="63940AFD" w:rsidR="00C17BBA" w:rsidRDefault="00C17BBA" w:rsidP="00C17BBA">
      <w:pPr>
        <w:rPr>
          <w:noProof/>
          <w:lang w:val="en-IE"/>
        </w:rPr>
      </w:pPr>
      <w:r>
        <w:rPr>
          <w:noProof/>
          <w:lang w:val="en-IE"/>
        </w:rPr>
        <w:t>The LULUCF</w:t>
      </w:r>
      <w:r w:rsidRPr="59C92D28">
        <w:rPr>
          <w:noProof/>
          <w:lang w:val="en-IE"/>
        </w:rPr>
        <w:t xml:space="preserve"> sector</w:t>
      </w:r>
      <w:r>
        <w:rPr>
          <w:noProof/>
          <w:lang w:val="en-IE"/>
        </w:rPr>
        <w:t xml:space="preserve"> generates emissions from wetland, cropland, and grassland, settlements and other land (</w:t>
      </w:r>
      <w:r w:rsidRPr="00171643">
        <w:rPr>
          <w:noProof/>
          <w:lang w:val="en-IE"/>
        </w:rPr>
        <w:t>69 M</w:t>
      </w:r>
      <w:r>
        <w:rPr>
          <w:noProof/>
          <w:lang w:val="en-IE"/>
        </w:rPr>
        <w:t>t</w:t>
      </w:r>
      <w:r w:rsidRPr="00171643">
        <w:rPr>
          <w:noProof/>
          <w:lang w:val="en-IE"/>
        </w:rPr>
        <w:t>CO2</w:t>
      </w:r>
      <w:r>
        <w:rPr>
          <w:noProof/>
          <w:lang w:val="en-IE"/>
        </w:rPr>
        <w:noBreakHyphen/>
      </w:r>
      <w:r w:rsidRPr="00171643">
        <w:rPr>
          <w:noProof/>
          <w:lang w:val="en-IE"/>
        </w:rPr>
        <w:t>eq in 2021</w:t>
      </w:r>
      <w:r>
        <w:rPr>
          <w:noProof/>
          <w:lang w:val="en-IE"/>
        </w:rPr>
        <w:t xml:space="preserve">), which </w:t>
      </w:r>
      <w:r w:rsidRPr="00171643">
        <w:rPr>
          <w:noProof/>
          <w:lang w:val="en-IE"/>
        </w:rPr>
        <w:t>are counterbalanced with removals</w:t>
      </w:r>
      <w:r>
        <w:rPr>
          <w:noProof/>
          <w:lang w:val="en-IE"/>
        </w:rPr>
        <w:t xml:space="preserve"> from</w:t>
      </w:r>
      <w:r w:rsidRPr="00171643">
        <w:rPr>
          <w:noProof/>
          <w:lang w:val="en-IE"/>
        </w:rPr>
        <w:t xml:space="preserve"> </w:t>
      </w:r>
      <w:r>
        <w:rPr>
          <w:noProof/>
          <w:lang w:val="en-IE"/>
        </w:rPr>
        <w:t>f</w:t>
      </w:r>
      <w:r w:rsidRPr="00171643">
        <w:rPr>
          <w:noProof/>
          <w:lang w:val="en-IE"/>
        </w:rPr>
        <w:t xml:space="preserve">orest land </w:t>
      </w:r>
      <w:r>
        <w:rPr>
          <w:noProof/>
          <w:lang w:val="en-IE"/>
        </w:rPr>
        <w:t>(</w:t>
      </w:r>
      <w:r w:rsidRPr="00171643">
        <w:rPr>
          <w:noProof/>
          <w:lang w:val="en-IE"/>
        </w:rPr>
        <w:t>-281 MtCO2</w:t>
      </w:r>
      <w:r>
        <w:rPr>
          <w:noProof/>
          <w:lang w:val="en-IE"/>
        </w:rPr>
        <w:t xml:space="preserve">) and </w:t>
      </w:r>
      <w:r w:rsidRPr="00171643">
        <w:rPr>
          <w:noProof/>
          <w:lang w:val="en-IE"/>
        </w:rPr>
        <w:t xml:space="preserve">through harvested wood products </w:t>
      </w:r>
      <w:r>
        <w:rPr>
          <w:noProof/>
          <w:lang w:val="en-IE"/>
        </w:rPr>
        <w:t>(</w:t>
      </w:r>
      <w:r>
        <w:rPr>
          <w:noProof/>
          <w:lang w:val="en-IE"/>
        </w:rPr>
        <w:noBreakHyphen/>
      </w:r>
      <w:r w:rsidRPr="00171643">
        <w:rPr>
          <w:noProof/>
          <w:lang w:val="en-IE"/>
        </w:rPr>
        <w:t>47</w:t>
      </w:r>
      <w:r w:rsidR="006048E1">
        <w:rPr>
          <w:noProof/>
          <w:lang w:val="en-IE"/>
        </w:rPr>
        <w:t> </w:t>
      </w:r>
      <w:r w:rsidRPr="00171643">
        <w:rPr>
          <w:noProof/>
          <w:lang w:val="en-IE"/>
        </w:rPr>
        <w:t>MtCO2</w:t>
      </w:r>
      <w:r>
        <w:rPr>
          <w:noProof/>
          <w:lang w:val="en-IE"/>
        </w:rPr>
        <w:t>)</w:t>
      </w:r>
      <w:r w:rsidRPr="00171643">
        <w:rPr>
          <w:noProof/>
          <w:lang w:val="en-IE"/>
        </w:rPr>
        <w:t>.</w:t>
      </w:r>
      <w:r>
        <w:rPr>
          <w:noProof/>
          <w:lang w:val="en-IE"/>
        </w:rPr>
        <w:t xml:space="preserve">  </w:t>
      </w:r>
    </w:p>
    <w:p w14:paraId="6E1115DF" w14:textId="4201A88A" w:rsidR="00DC30A0" w:rsidRDefault="00C17BBA" w:rsidP="0082262B">
      <w:pPr>
        <w:pStyle w:val="Text2"/>
        <w:rPr>
          <w:noProof/>
          <w:lang w:val="en-IE"/>
        </w:rPr>
      </w:pPr>
      <w:r>
        <w:rPr>
          <w:noProof/>
          <w:lang w:val="en-IE"/>
        </w:rPr>
        <w:t>T</w:t>
      </w:r>
      <w:r w:rsidR="00DC30A0">
        <w:rPr>
          <w:noProof/>
          <w:lang w:val="en-IE"/>
        </w:rPr>
        <w:t xml:space="preserve">he different categories show relatively stable development for settlements and other land as well as wetland with changes below 10% throughout the average 2019-2021 compared to 10 years </w:t>
      </w:r>
      <w:r>
        <w:rPr>
          <w:noProof/>
          <w:lang w:val="en-IE"/>
        </w:rPr>
        <w:t>before</w:t>
      </w:r>
      <w:r w:rsidR="00DC30A0">
        <w:rPr>
          <w:noProof/>
          <w:lang w:val="en-IE"/>
        </w:rPr>
        <w:t xml:space="preserve">. </w:t>
      </w:r>
      <w:r w:rsidR="00F675A8">
        <w:rPr>
          <w:noProof/>
          <w:lang w:val="en-IE"/>
        </w:rPr>
        <w:t>Cropland</w:t>
      </w:r>
      <w:r w:rsidR="00DC30A0">
        <w:rPr>
          <w:noProof/>
          <w:lang w:val="en-IE"/>
        </w:rPr>
        <w:t xml:space="preserve"> emissions (-44%) and </w:t>
      </w:r>
      <w:r>
        <w:rPr>
          <w:noProof/>
          <w:lang w:val="en-IE"/>
        </w:rPr>
        <w:t>g</w:t>
      </w:r>
      <w:r w:rsidR="00DC30A0">
        <w:rPr>
          <w:noProof/>
          <w:lang w:val="en-IE"/>
        </w:rPr>
        <w:t>rassland emissions (-36%) decreased considerably and removals from harvested wood products increased at the same time (+26%). However, in absolute terms the change in these sectors plays a minor role with a total change of -38 MtCO2-</w:t>
      </w:r>
      <w:r w:rsidR="0066770C">
        <w:rPr>
          <w:noProof/>
          <w:lang w:val="en-IE"/>
        </w:rPr>
        <w:t>eq</w:t>
      </w:r>
      <w:r w:rsidR="00DC30A0">
        <w:rPr>
          <w:noProof/>
          <w:lang w:val="en-IE"/>
        </w:rPr>
        <w:t xml:space="preserve">. The changes in forest land are the decisive factor for the change in the net LULUCF </w:t>
      </w:r>
      <w:r w:rsidR="00B170BD">
        <w:rPr>
          <w:noProof/>
          <w:lang w:val="en-IE"/>
        </w:rPr>
        <w:t>net removal</w:t>
      </w:r>
      <w:r w:rsidR="00DC30A0">
        <w:rPr>
          <w:noProof/>
          <w:lang w:val="en-IE"/>
        </w:rPr>
        <w:t xml:space="preserve"> with a change of -34% in the last ten years of about -148 MtCO2-</w:t>
      </w:r>
      <w:r w:rsidR="0066770C">
        <w:rPr>
          <w:noProof/>
          <w:lang w:val="en-IE"/>
        </w:rPr>
        <w:t>eq</w:t>
      </w:r>
      <w:r w:rsidR="00DC30A0">
        <w:rPr>
          <w:noProof/>
          <w:lang w:val="en-IE"/>
        </w:rPr>
        <w:t xml:space="preserve"> (average 2019-2021 compared to 10 years before). </w:t>
      </w:r>
      <w:r w:rsidR="00F675A8">
        <w:rPr>
          <w:noProof/>
          <w:lang w:val="en-IE"/>
        </w:rPr>
        <w:t>Ageing forests,</w:t>
      </w:r>
      <w:r w:rsidR="00D51AED">
        <w:rPr>
          <w:noProof/>
          <w:lang w:val="en-IE"/>
        </w:rPr>
        <w:t xml:space="preserve"> </w:t>
      </w:r>
      <w:r w:rsidR="00D75396">
        <w:rPr>
          <w:noProof/>
          <w:lang w:val="en-IE"/>
        </w:rPr>
        <w:t xml:space="preserve">increased </w:t>
      </w:r>
      <w:r w:rsidR="00F675A8">
        <w:rPr>
          <w:noProof/>
          <w:lang w:val="en-IE"/>
        </w:rPr>
        <w:t>w</w:t>
      </w:r>
      <w:r w:rsidR="00F675A8" w:rsidRPr="005C68C2">
        <w:rPr>
          <w:noProof/>
          <w:lang w:val="en-IE"/>
        </w:rPr>
        <w:t xml:space="preserve">ood harvest for material </w:t>
      </w:r>
      <w:r w:rsidR="00DC30A0" w:rsidRPr="005C68C2">
        <w:rPr>
          <w:noProof/>
          <w:lang w:val="en-IE"/>
        </w:rPr>
        <w:t>and energy purposes</w:t>
      </w:r>
      <w:r w:rsidR="00D75396">
        <w:rPr>
          <w:noProof/>
          <w:lang w:val="en-IE"/>
        </w:rPr>
        <w:t xml:space="preserve">, as well as </w:t>
      </w:r>
      <w:r w:rsidR="00DC30A0">
        <w:rPr>
          <w:noProof/>
          <w:lang w:val="en-IE"/>
        </w:rPr>
        <w:t xml:space="preserve">impacts of climate change and </w:t>
      </w:r>
      <w:r w:rsidR="00DC30A0" w:rsidRPr="005C68C2">
        <w:rPr>
          <w:noProof/>
          <w:lang w:val="en-IE"/>
        </w:rPr>
        <w:t xml:space="preserve">natural hazards </w:t>
      </w:r>
      <w:r w:rsidR="00DC30A0">
        <w:rPr>
          <w:noProof/>
          <w:lang w:val="en-IE"/>
        </w:rPr>
        <w:t xml:space="preserve">are responsible for the </w:t>
      </w:r>
      <w:r w:rsidR="00DC30A0" w:rsidRPr="005C68C2">
        <w:rPr>
          <w:noProof/>
          <w:lang w:val="en-IE"/>
        </w:rPr>
        <w:t xml:space="preserve">variations of the </w:t>
      </w:r>
      <w:r w:rsidR="00EC377F">
        <w:rPr>
          <w:noProof/>
          <w:lang w:val="en-IE"/>
        </w:rPr>
        <w:t>carbon</w:t>
      </w:r>
      <w:r w:rsidR="00DC30A0" w:rsidRPr="005C68C2">
        <w:rPr>
          <w:noProof/>
          <w:lang w:val="en-IE"/>
        </w:rPr>
        <w:t xml:space="preserve"> removals</w:t>
      </w:r>
      <w:r w:rsidR="00EC377F">
        <w:rPr>
          <w:noProof/>
          <w:lang w:val="en-IE"/>
        </w:rPr>
        <w:t xml:space="preserve"> from forests</w:t>
      </w:r>
      <w:r w:rsidR="005B7607" w:rsidRPr="005B7607">
        <w:rPr>
          <w:noProof/>
          <w:lang w:val="en-IE"/>
        </w:rPr>
        <w:t> (</w:t>
      </w:r>
      <w:r w:rsidR="005B7607">
        <w:rPr>
          <w:rStyle w:val="FootnoteReference"/>
          <w:noProof/>
          <w:lang w:val="en-IE"/>
        </w:rPr>
        <w:footnoteReference w:id="156"/>
      </w:r>
      <w:r w:rsidR="005B7607">
        <w:rPr>
          <w:noProof/>
          <w:lang w:val="en-IE"/>
        </w:rPr>
        <w:t>)</w:t>
      </w:r>
      <w:r w:rsidR="00597247">
        <w:rPr>
          <w:noProof/>
          <w:lang w:val="en-IE"/>
        </w:rPr>
        <w:t xml:space="preserve"> </w:t>
      </w:r>
      <w:r w:rsidR="00597247" w:rsidRPr="00597247">
        <w:rPr>
          <w:noProof/>
          <w:lang w:val="en-IE"/>
        </w:rPr>
        <w:t> (</w:t>
      </w:r>
      <w:r w:rsidR="00597247">
        <w:rPr>
          <w:rStyle w:val="FootnoteReference"/>
          <w:noProof/>
          <w:lang w:val="en-IE"/>
        </w:rPr>
        <w:footnoteReference w:id="157"/>
      </w:r>
      <w:r w:rsidR="00597247">
        <w:rPr>
          <w:noProof/>
          <w:lang w:val="en-IE"/>
        </w:rPr>
        <w:t>)</w:t>
      </w:r>
      <w:r w:rsidR="008E2721">
        <w:rPr>
          <w:noProof/>
          <w:lang w:val="en-IE"/>
        </w:rPr>
        <w:t xml:space="preserve"> </w:t>
      </w:r>
      <w:r w:rsidR="008E2721" w:rsidRPr="008E2721">
        <w:rPr>
          <w:noProof/>
          <w:lang w:val="en-IE"/>
        </w:rPr>
        <w:t> (</w:t>
      </w:r>
      <w:r w:rsidR="008E2721">
        <w:rPr>
          <w:rStyle w:val="FootnoteReference"/>
          <w:noProof/>
          <w:lang w:val="en-IE"/>
        </w:rPr>
        <w:footnoteReference w:id="158"/>
      </w:r>
      <w:r w:rsidR="00597247">
        <w:rPr>
          <w:noProof/>
          <w:lang w:val="en-IE"/>
        </w:rPr>
        <w:t>)</w:t>
      </w:r>
      <w:r w:rsidR="00E45026">
        <w:rPr>
          <w:noProof/>
          <w:lang w:val="en-IE"/>
        </w:rPr>
        <w:t>.</w:t>
      </w:r>
    </w:p>
    <w:p w14:paraId="2FB7049D" w14:textId="77777777" w:rsidR="00223C32" w:rsidRPr="00680783" w:rsidRDefault="00223C32" w:rsidP="00680783">
      <w:pPr>
        <w:pStyle w:val="Heading3"/>
        <w:rPr>
          <w:noProof/>
        </w:rPr>
      </w:pPr>
      <w:bookmarkStart w:id="471" w:name="_Ref139020537"/>
      <w:bookmarkStart w:id="472" w:name="_Toc148605622"/>
      <w:bookmarkStart w:id="473" w:name="_Toc157692068"/>
      <w:r w:rsidRPr="00680783">
        <w:rPr>
          <w:noProof/>
        </w:rPr>
        <w:t>Activity</w:t>
      </w:r>
      <w:bookmarkEnd w:id="471"/>
      <w:bookmarkEnd w:id="472"/>
      <w:bookmarkEnd w:id="473"/>
    </w:p>
    <w:p w14:paraId="4C3BA68C" w14:textId="63B902B6" w:rsidR="003705E3" w:rsidRPr="00680783" w:rsidRDefault="009E712D" w:rsidP="00F7719F">
      <w:pPr>
        <w:pStyle w:val="Heading4"/>
        <w:rPr>
          <w:noProof/>
        </w:rPr>
      </w:pPr>
      <w:bookmarkStart w:id="474" w:name="_Hlk154002243"/>
      <w:r>
        <w:rPr>
          <w:noProof/>
        </w:rPr>
        <w:t>B</w:t>
      </w:r>
      <w:r w:rsidR="003705E3" w:rsidRPr="00680783">
        <w:rPr>
          <w:noProof/>
        </w:rPr>
        <w:t xml:space="preserve">ioenergy demand </w:t>
      </w:r>
    </w:p>
    <w:p w14:paraId="23E2791C" w14:textId="5710059D" w:rsidR="00604DB8" w:rsidRDefault="00F734B3" w:rsidP="00604DB8">
      <w:pPr>
        <w:rPr>
          <w:noProof/>
          <w:lang w:val="en-IE"/>
        </w:rPr>
      </w:pPr>
      <w:bookmarkStart w:id="475" w:name="_Hlk145422797"/>
      <w:bookmarkStart w:id="476" w:name="_Hlk145411355"/>
      <w:bookmarkEnd w:id="474"/>
      <w:r>
        <w:rPr>
          <w:noProof/>
          <w:lang w:val="en-IE"/>
        </w:rPr>
        <w:t>The size of the</w:t>
      </w:r>
      <w:r w:rsidRPr="000C2002">
        <w:rPr>
          <w:noProof/>
          <w:lang w:val="en-IE"/>
        </w:rPr>
        <w:t xml:space="preserve"> </w:t>
      </w:r>
      <w:r>
        <w:rPr>
          <w:noProof/>
          <w:lang w:val="en-IE"/>
        </w:rPr>
        <w:t xml:space="preserve">LULUCF net removals </w:t>
      </w:r>
      <w:r w:rsidR="008009CE">
        <w:rPr>
          <w:noProof/>
          <w:lang w:val="en-IE"/>
        </w:rPr>
        <w:t xml:space="preserve">is </w:t>
      </w:r>
      <w:r>
        <w:rPr>
          <w:noProof/>
          <w:lang w:val="en-IE"/>
        </w:rPr>
        <w:t>relate</w:t>
      </w:r>
      <w:r w:rsidR="008009CE">
        <w:rPr>
          <w:noProof/>
          <w:lang w:val="en-IE"/>
        </w:rPr>
        <w:t>d</w:t>
      </w:r>
      <w:r>
        <w:rPr>
          <w:noProof/>
          <w:lang w:val="en-IE"/>
        </w:rPr>
        <w:t xml:space="preserve"> to</w:t>
      </w:r>
      <w:r w:rsidR="0057390B">
        <w:rPr>
          <w:noProof/>
          <w:lang w:val="en-IE"/>
        </w:rPr>
        <w:t xml:space="preserve"> </w:t>
      </w:r>
      <w:r w:rsidR="00152BDD">
        <w:rPr>
          <w:noProof/>
          <w:lang w:val="en-IE"/>
        </w:rPr>
        <w:t xml:space="preserve">the </w:t>
      </w:r>
      <w:r w:rsidR="008009CE">
        <w:rPr>
          <w:noProof/>
          <w:lang w:val="en-IE"/>
        </w:rPr>
        <w:t>use</w:t>
      </w:r>
      <w:r w:rsidR="00152BDD">
        <w:rPr>
          <w:noProof/>
          <w:lang w:val="en-IE"/>
        </w:rPr>
        <w:t xml:space="preserve"> </w:t>
      </w:r>
      <w:r w:rsidR="0057390B">
        <w:rPr>
          <w:noProof/>
          <w:lang w:val="en-IE"/>
        </w:rPr>
        <w:t>of</w:t>
      </w:r>
      <w:r>
        <w:rPr>
          <w:noProof/>
          <w:lang w:val="en-IE"/>
        </w:rPr>
        <w:t xml:space="preserve"> </w:t>
      </w:r>
      <w:r w:rsidR="00E24876">
        <w:rPr>
          <w:noProof/>
          <w:lang w:val="en-IE"/>
        </w:rPr>
        <w:t>b</w:t>
      </w:r>
      <w:r w:rsidR="00E24876" w:rsidRPr="000C2002">
        <w:rPr>
          <w:noProof/>
          <w:lang w:val="en-IE"/>
        </w:rPr>
        <w:t xml:space="preserve">iomass </w:t>
      </w:r>
      <w:r w:rsidR="00DB5766">
        <w:rPr>
          <w:noProof/>
          <w:lang w:val="en-IE"/>
        </w:rPr>
        <w:t xml:space="preserve">and particularly </w:t>
      </w:r>
      <w:r w:rsidR="00747441">
        <w:rPr>
          <w:noProof/>
          <w:lang w:val="en-IE"/>
        </w:rPr>
        <w:t xml:space="preserve">to the consumption of </w:t>
      </w:r>
      <w:r w:rsidR="00DB5766">
        <w:rPr>
          <w:noProof/>
          <w:lang w:val="en-IE"/>
        </w:rPr>
        <w:t>woody biomass</w:t>
      </w:r>
      <w:r w:rsidR="00E24876">
        <w:rPr>
          <w:noProof/>
          <w:lang w:val="en-IE"/>
        </w:rPr>
        <w:t xml:space="preserve">. An important driver for the biomass demand is </w:t>
      </w:r>
      <w:r w:rsidR="009129F5">
        <w:rPr>
          <w:noProof/>
          <w:lang w:val="en-IE"/>
        </w:rPr>
        <w:t>bioenergy</w:t>
      </w:r>
      <w:r w:rsidR="00FC1E89">
        <w:rPr>
          <w:noProof/>
          <w:lang w:val="en-IE"/>
        </w:rPr>
        <w:t xml:space="preserve">, which </w:t>
      </w:r>
      <w:r w:rsidR="0001707A">
        <w:rPr>
          <w:noProof/>
          <w:lang w:val="en-IE"/>
        </w:rPr>
        <w:t>made up</w:t>
      </w:r>
      <w:r w:rsidR="00FC1E89">
        <w:rPr>
          <w:noProof/>
          <w:lang w:val="en-IE"/>
        </w:rPr>
        <w:t xml:space="preserve"> </w:t>
      </w:r>
      <w:r w:rsidR="00E24876">
        <w:rPr>
          <w:noProof/>
          <w:lang w:val="en-IE"/>
        </w:rPr>
        <w:t xml:space="preserve">22% of </w:t>
      </w:r>
      <w:r w:rsidR="0001707A">
        <w:rPr>
          <w:noProof/>
          <w:lang w:val="en-IE"/>
        </w:rPr>
        <w:t xml:space="preserve">the </w:t>
      </w:r>
      <w:r w:rsidR="00E24876">
        <w:rPr>
          <w:noProof/>
          <w:lang w:val="en-IE"/>
        </w:rPr>
        <w:t xml:space="preserve">total biomass </w:t>
      </w:r>
      <w:r w:rsidR="007F1FB3">
        <w:rPr>
          <w:noProof/>
          <w:lang w:val="en-IE"/>
        </w:rPr>
        <w:t>uses</w:t>
      </w:r>
      <w:r w:rsidR="00EF5F4F">
        <w:rPr>
          <w:noProof/>
          <w:lang w:val="en-IE"/>
        </w:rPr>
        <w:t xml:space="preserve"> </w:t>
      </w:r>
      <w:r w:rsidR="00E24876">
        <w:rPr>
          <w:noProof/>
          <w:lang w:val="en-IE"/>
        </w:rPr>
        <w:t>in 201</w:t>
      </w:r>
      <w:r w:rsidR="0001707A">
        <w:rPr>
          <w:noProof/>
          <w:lang w:val="en-IE"/>
        </w:rPr>
        <w:t>5</w:t>
      </w:r>
      <w:r w:rsidR="00E24876">
        <w:rPr>
          <w:noProof/>
          <w:lang w:val="en-IE"/>
        </w:rPr>
        <w:t xml:space="preserve"> </w:t>
      </w:r>
      <w:r w:rsidR="009129F5">
        <w:rPr>
          <w:noProof/>
          <w:lang w:val="en-IE"/>
        </w:rPr>
        <w:t>(</w:t>
      </w:r>
      <w:r w:rsidR="00E24876">
        <w:rPr>
          <w:rStyle w:val="FootnoteReference"/>
          <w:noProof/>
          <w:lang w:val="en-IE"/>
        </w:rPr>
        <w:footnoteReference w:id="159"/>
      </w:r>
      <w:r w:rsidR="009129F5">
        <w:rPr>
          <w:noProof/>
          <w:lang w:val="en-IE"/>
        </w:rPr>
        <w:t>)</w:t>
      </w:r>
      <w:r w:rsidR="0001707A">
        <w:rPr>
          <w:noProof/>
          <w:lang w:val="en-IE"/>
        </w:rPr>
        <w:t xml:space="preserve">. </w:t>
      </w:r>
      <w:r w:rsidR="00747441">
        <w:rPr>
          <w:noProof/>
          <w:lang w:val="en-IE"/>
        </w:rPr>
        <w:t xml:space="preserve">Furthermore, 49% of woody biomass went directly or indirectly into bioenergy in </w:t>
      </w:r>
      <w:r w:rsidR="00747441" w:rsidDel="000136F2">
        <w:rPr>
          <w:noProof/>
          <w:lang w:val="en-IE"/>
        </w:rPr>
        <w:t>2015</w:t>
      </w:r>
      <w:r w:rsidR="00A664C3" w:rsidDel="000136F2">
        <w:rPr>
          <w:noProof/>
          <w:lang w:val="en-IE"/>
        </w:rPr>
        <w:t xml:space="preserve"> </w:t>
      </w:r>
      <w:r w:rsidR="000136F2" w:rsidRPr="00A664C3">
        <w:rPr>
          <w:noProof/>
          <w:lang w:val="en-IE"/>
        </w:rPr>
        <w:t>(</w:t>
      </w:r>
      <w:r w:rsidR="00A664C3">
        <w:rPr>
          <w:rStyle w:val="FootnoteReference"/>
          <w:noProof/>
          <w:lang w:val="en-IE"/>
        </w:rPr>
        <w:footnoteReference w:id="160"/>
      </w:r>
      <w:r w:rsidR="00A664C3">
        <w:rPr>
          <w:noProof/>
          <w:lang w:val="en-IE"/>
        </w:rPr>
        <w:t>)</w:t>
      </w:r>
      <w:r w:rsidR="00747441">
        <w:rPr>
          <w:noProof/>
          <w:lang w:val="en-IE"/>
        </w:rPr>
        <w:t xml:space="preserve">, underlining the strong relation of bioenergy and LULUCF net removals. </w:t>
      </w:r>
    </w:p>
    <w:bookmarkEnd w:id="475"/>
    <w:bookmarkEnd w:id="476"/>
    <w:p w14:paraId="15816DE3" w14:textId="051DAC88" w:rsidR="001E4E9E" w:rsidRDefault="00AC3E6A" w:rsidP="001E1E28">
      <w:pPr>
        <w:rPr>
          <w:noProof/>
          <w:lang w:val="en-IE"/>
        </w:rPr>
      </w:pPr>
      <w:r>
        <w:rPr>
          <w:noProof/>
          <w:lang w:val="en-IE"/>
        </w:rPr>
        <w:t>The modelling exercise shows f</w:t>
      </w:r>
      <w:r w:rsidR="00E24876" w:rsidRPr="00010EC8">
        <w:rPr>
          <w:noProof/>
          <w:lang w:val="en-IE"/>
        </w:rPr>
        <w:t>inal</w:t>
      </w:r>
      <w:r w:rsidR="00F675A8" w:rsidRPr="00010EC8">
        <w:rPr>
          <w:noProof/>
          <w:lang w:val="en-IE"/>
        </w:rPr>
        <w:t xml:space="preserve"> demand for</w:t>
      </w:r>
      <w:r w:rsidR="008E2721">
        <w:rPr>
          <w:noProof/>
          <w:lang w:val="en-IE"/>
        </w:rPr>
        <w:t xml:space="preserve"> </w:t>
      </w:r>
      <w:r w:rsidR="00F675A8" w:rsidRPr="00010EC8">
        <w:rPr>
          <w:noProof/>
          <w:lang w:val="en-IE"/>
        </w:rPr>
        <w:t>bioenergy</w:t>
      </w:r>
      <w:r w:rsidR="00A664C3">
        <w:rPr>
          <w:noProof/>
          <w:lang w:val="en-IE"/>
        </w:rPr>
        <w:t xml:space="preserve"> </w:t>
      </w:r>
      <w:r w:rsidR="000309C8">
        <w:rPr>
          <w:noProof/>
          <w:lang w:val="en-IE"/>
        </w:rPr>
        <w:t>(</w:t>
      </w:r>
      <w:r w:rsidR="000309C8">
        <w:rPr>
          <w:rStyle w:val="FootnoteReference"/>
          <w:noProof/>
          <w:lang w:val="en-IE"/>
        </w:rPr>
        <w:footnoteReference w:id="161"/>
      </w:r>
      <w:r w:rsidR="000309C8">
        <w:rPr>
          <w:noProof/>
          <w:lang w:val="en-IE"/>
        </w:rPr>
        <w:t>)</w:t>
      </w:r>
      <w:r w:rsidR="00F675A8" w:rsidRPr="00010EC8" w:rsidDel="00DB0FB2">
        <w:rPr>
          <w:noProof/>
          <w:lang w:val="en-IE"/>
        </w:rPr>
        <w:t xml:space="preserve"> </w:t>
      </w:r>
      <w:r w:rsidR="00F675A8" w:rsidRPr="00010EC8">
        <w:rPr>
          <w:noProof/>
          <w:lang w:val="en-IE"/>
        </w:rPr>
        <w:t>i</w:t>
      </w:r>
      <w:r w:rsidR="00A9717A">
        <w:rPr>
          <w:noProof/>
          <w:lang w:val="en-IE"/>
        </w:rPr>
        <w:t xml:space="preserve">n 2040 </w:t>
      </w:r>
      <w:r w:rsidRPr="00C9439F">
        <w:rPr>
          <w:noProof/>
          <w:lang w:val="en-IE"/>
        </w:rPr>
        <w:t>being</w:t>
      </w:r>
      <w:r w:rsidR="00A9717A" w:rsidRPr="00C9439F">
        <w:rPr>
          <w:noProof/>
          <w:lang w:val="en-IE"/>
        </w:rPr>
        <w:t xml:space="preserve"> </w:t>
      </w:r>
      <w:r w:rsidR="00AC5A0C" w:rsidRPr="00C9439F">
        <w:rPr>
          <w:noProof/>
          <w:lang w:val="en-IE"/>
        </w:rPr>
        <w:t>only sightly</w:t>
      </w:r>
      <w:r w:rsidR="002D0068" w:rsidRPr="00C9439F">
        <w:rPr>
          <w:noProof/>
          <w:lang w:val="en-IE"/>
        </w:rPr>
        <w:t xml:space="preserve"> higher</w:t>
      </w:r>
      <w:r w:rsidR="00AC5A0C" w:rsidRPr="00C9439F">
        <w:rPr>
          <w:noProof/>
          <w:lang w:val="en-IE"/>
        </w:rPr>
        <w:t xml:space="preserve"> than </w:t>
      </w:r>
      <w:r w:rsidR="002D0068" w:rsidRPr="00C9439F">
        <w:rPr>
          <w:noProof/>
          <w:lang w:val="en-IE"/>
        </w:rPr>
        <w:t xml:space="preserve">in </w:t>
      </w:r>
      <w:r w:rsidR="00AC5A0C" w:rsidRPr="00C9439F">
        <w:rPr>
          <w:noProof/>
          <w:lang w:val="en-IE"/>
        </w:rPr>
        <w:t xml:space="preserve">2021 </w:t>
      </w:r>
      <w:r w:rsidR="002D0068" w:rsidRPr="00C9439F">
        <w:rPr>
          <w:noProof/>
          <w:lang w:val="en-IE"/>
        </w:rPr>
        <w:t>in scenarios S2 and S3, and lower in scenario S1</w:t>
      </w:r>
      <w:r w:rsidR="000136F2" w:rsidRPr="00C9439F">
        <w:rPr>
          <w:noProof/>
          <w:lang w:val="en-IE"/>
        </w:rPr>
        <w:t xml:space="preserve"> (see </w:t>
      </w:r>
      <w:r w:rsidR="000136F2" w:rsidRPr="00C9439F">
        <w:rPr>
          <w:noProof/>
          <w:lang w:val="en-IE"/>
        </w:rPr>
        <w:fldChar w:fldCharType="begin"/>
      </w:r>
      <w:r w:rsidR="000136F2" w:rsidRPr="00C9439F">
        <w:rPr>
          <w:noProof/>
          <w:lang w:val="en-IE"/>
        </w:rPr>
        <w:instrText xml:space="preserve"> REF _Ref143187095 \h </w:instrText>
      </w:r>
      <w:r w:rsidR="00C9439F">
        <w:rPr>
          <w:noProof/>
          <w:lang w:val="en-IE"/>
        </w:rPr>
        <w:instrText xml:space="preserve"> \* MERGEFORMAT </w:instrText>
      </w:r>
      <w:r w:rsidR="000136F2" w:rsidRPr="00C9439F">
        <w:rPr>
          <w:noProof/>
          <w:lang w:val="en-IE"/>
        </w:rPr>
      </w:r>
      <w:r w:rsidR="000136F2" w:rsidRPr="00C9439F">
        <w:rPr>
          <w:noProof/>
          <w:lang w:val="en-IE"/>
        </w:rPr>
        <w:fldChar w:fldCharType="separate"/>
      </w:r>
      <w:r w:rsidR="00170A3C">
        <w:rPr>
          <w:noProof/>
        </w:rPr>
        <w:t>Figure 87</w:t>
      </w:r>
      <w:r w:rsidR="000136F2" w:rsidRPr="00C9439F">
        <w:rPr>
          <w:noProof/>
          <w:lang w:val="en-IE"/>
        </w:rPr>
        <w:fldChar w:fldCharType="end"/>
      </w:r>
      <w:r w:rsidR="000136F2" w:rsidRPr="00C9439F">
        <w:rPr>
          <w:noProof/>
          <w:lang w:val="en-IE"/>
        </w:rPr>
        <w:t>)</w:t>
      </w:r>
      <w:r w:rsidR="002D0068" w:rsidRPr="00C9439F">
        <w:rPr>
          <w:noProof/>
          <w:lang w:val="en-IE"/>
        </w:rPr>
        <w:t xml:space="preserve">. </w:t>
      </w:r>
    </w:p>
    <w:p w14:paraId="30F7565B" w14:textId="1E8E624F" w:rsidR="00E24876" w:rsidRDefault="00457BAD" w:rsidP="00E24876">
      <w:pPr>
        <w:pStyle w:val="Caption"/>
        <w:keepLines/>
        <w:rPr>
          <w:noProof/>
        </w:rPr>
      </w:pPr>
      <w:bookmarkStart w:id="477" w:name="_Ref140660976"/>
      <w:bookmarkStart w:id="478" w:name="_Ref142412480"/>
      <w:bookmarkStart w:id="479" w:name="_Ref145334812"/>
      <w:bookmarkStart w:id="480" w:name="_Ref143187095"/>
      <w:bookmarkStart w:id="481" w:name="_Ref145928770"/>
      <w:bookmarkStart w:id="482" w:name="_Toc157679835"/>
      <w:r>
        <w:rPr>
          <w:noProof/>
        </w:rPr>
        <w:t xml:space="preserve">Figure </w:t>
      </w:r>
      <w:bookmarkEnd w:id="477"/>
      <w:bookmarkEnd w:id="478"/>
      <w:bookmarkEnd w:id="479"/>
      <w:r w:rsidR="00F2742D">
        <w:rPr>
          <w:noProof/>
        </w:rPr>
        <w:fldChar w:fldCharType="begin"/>
      </w:r>
      <w:r w:rsidR="00F2742D">
        <w:rPr>
          <w:noProof/>
        </w:rPr>
        <w:instrText xml:space="preserve"> SEQ Figure \* ARABIC </w:instrText>
      </w:r>
      <w:r w:rsidR="00F2742D">
        <w:rPr>
          <w:noProof/>
        </w:rPr>
        <w:fldChar w:fldCharType="separate"/>
      </w:r>
      <w:r w:rsidR="00170A3C">
        <w:rPr>
          <w:noProof/>
        </w:rPr>
        <w:t>87</w:t>
      </w:r>
      <w:r w:rsidR="00F2742D">
        <w:rPr>
          <w:noProof/>
        </w:rPr>
        <w:fldChar w:fldCharType="end"/>
      </w:r>
      <w:bookmarkEnd w:id="480"/>
      <w:bookmarkEnd w:id="481"/>
      <w:r w:rsidR="00E24876">
        <w:rPr>
          <w:noProof/>
        </w:rPr>
        <w:t>: Final bioenergy demand by sector and scenario</w:t>
      </w:r>
      <w:bookmarkEnd w:id="482"/>
      <w:r w:rsidR="0090786B">
        <w:rPr>
          <w:noProof/>
        </w:rPr>
        <w:t xml:space="preserve"> </w:t>
      </w:r>
    </w:p>
    <w:p w14:paraId="0A16A40C" w14:textId="3F74217F" w:rsidR="00C151AF" w:rsidRPr="00C151AF" w:rsidRDefault="006868C4" w:rsidP="00C151AF">
      <w:pPr>
        <w:rPr>
          <w:noProof/>
        </w:rPr>
      </w:pPr>
      <w:r w:rsidRPr="006868C4">
        <w:rPr>
          <w:noProof/>
          <w:lang w:eastAsia="en-GB"/>
        </w:rPr>
        <w:drawing>
          <wp:inline distT="0" distB="0" distL="0" distR="0" wp14:anchorId="5469BBB5" wp14:editId="4BA90571">
            <wp:extent cx="5400000" cy="2490224"/>
            <wp:effectExtent l="0" t="0" r="0" b="571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5400000" cy="2490224"/>
                    </a:xfrm>
                    <a:prstGeom prst="rect">
                      <a:avLst/>
                    </a:prstGeom>
                    <a:noFill/>
                    <a:ln>
                      <a:noFill/>
                    </a:ln>
                  </pic:spPr>
                </pic:pic>
              </a:graphicData>
            </a:graphic>
          </wp:inline>
        </w:drawing>
      </w:r>
    </w:p>
    <w:p w14:paraId="30BD5DBF" w14:textId="590A5EAD" w:rsidR="0086791B" w:rsidRDefault="0086791B" w:rsidP="000136F2">
      <w:pPr>
        <w:pStyle w:val="CT-NOTE"/>
        <w:rPr>
          <w:noProof/>
        </w:rPr>
      </w:pPr>
      <w:r>
        <w:rPr>
          <w:noProof/>
        </w:rPr>
        <w:t xml:space="preserve">Note: </w:t>
      </w:r>
      <w:r w:rsidR="00A664C3">
        <w:rPr>
          <w:noProof/>
        </w:rPr>
        <w:t xml:space="preserve">Graph </w:t>
      </w:r>
      <w:r>
        <w:rPr>
          <w:noProof/>
        </w:rPr>
        <w:t>includes consumption of waste for energy purposes</w:t>
      </w:r>
      <w:r w:rsidR="009508C4">
        <w:rPr>
          <w:noProof/>
        </w:rPr>
        <w:t xml:space="preserve">. </w:t>
      </w:r>
      <w:r w:rsidR="001E1E28">
        <w:rPr>
          <w:noProof/>
        </w:rPr>
        <w:t xml:space="preserve">‘Industry’ includes energy sector. ‘Buildings’ cover household buildings, services, and agriculture. </w:t>
      </w:r>
    </w:p>
    <w:p w14:paraId="19261862" w14:textId="41768A04" w:rsidR="00457BAD" w:rsidRPr="009303E0" w:rsidRDefault="00457BAD" w:rsidP="001E4E9E">
      <w:pPr>
        <w:pStyle w:val="CT-SOURCE"/>
        <w:rPr>
          <w:noProof/>
        </w:rPr>
      </w:pPr>
      <w:r w:rsidRPr="009303E0">
        <w:rPr>
          <w:noProof/>
        </w:rPr>
        <w:t xml:space="preserve">Source: </w:t>
      </w:r>
      <w:r w:rsidR="00D63FC9">
        <w:rPr>
          <w:noProof/>
        </w:rPr>
        <w:t xml:space="preserve">2015 and 2021 from Eurostat, projections from </w:t>
      </w:r>
      <w:r w:rsidRPr="009303E0">
        <w:rPr>
          <w:noProof/>
        </w:rPr>
        <w:t>PRIMES</w:t>
      </w:r>
    </w:p>
    <w:p w14:paraId="6CB36DE2" w14:textId="3A8B69E4" w:rsidR="00F14FA5" w:rsidRDefault="00F14FA5" w:rsidP="008E643E">
      <w:pPr>
        <w:rPr>
          <w:noProof/>
          <w:lang w:val="en-IE"/>
        </w:rPr>
      </w:pPr>
      <w:r w:rsidRPr="00C9439F">
        <w:rPr>
          <w:noProof/>
          <w:lang w:val="en-IE"/>
        </w:rPr>
        <w:t>However, consumption shifts across sectors. Demand for (mostly solid) biomass for heating reduces strongly in buildings (by about 20 Mtoe, due to energy efficiency gains and electrification of the sector), as well as in electricity and district heating (notably in S1), compared to 2021. Conversely, the demand for (liquid) biofuels develops</w:t>
      </w:r>
      <w:r>
        <w:rPr>
          <w:noProof/>
          <w:lang w:val="en-IE"/>
        </w:rPr>
        <w:t xml:space="preserve"> significantly in aviation and maritime in 2040 by respectively about 15 Mtoe and 20 Mtoe. </w:t>
      </w:r>
      <w:r w:rsidRPr="00FA3B78">
        <w:rPr>
          <w:noProof/>
          <w:lang w:val="en-IE"/>
        </w:rPr>
        <w:t>After 2040, bioenergy</w:t>
      </w:r>
      <w:r>
        <w:rPr>
          <w:noProof/>
          <w:lang w:val="en-IE"/>
        </w:rPr>
        <w:t xml:space="preserve"> demand</w:t>
      </w:r>
      <w:r w:rsidRPr="00FA3B78">
        <w:rPr>
          <w:noProof/>
          <w:lang w:val="en-IE"/>
        </w:rPr>
        <w:t xml:space="preserve"> decrease</w:t>
      </w:r>
      <w:r>
        <w:rPr>
          <w:noProof/>
          <w:lang w:val="en-IE"/>
        </w:rPr>
        <w:t>s</w:t>
      </w:r>
      <w:r w:rsidRPr="00FA3B78" w:rsidDel="009028E2">
        <w:rPr>
          <w:noProof/>
          <w:lang w:val="en-IE"/>
        </w:rPr>
        <w:t xml:space="preserve"> </w:t>
      </w:r>
      <w:r w:rsidRPr="00FA3B78">
        <w:rPr>
          <w:noProof/>
          <w:lang w:val="en-IE"/>
        </w:rPr>
        <w:t>across all scenarios</w:t>
      </w:r>
      <w:r>
        <w:rPr>
          <w:noProof/>
          <w:lang w:val="en-IE"/>
        </w:rPr>
        <w:t>, which is driven notably by reduced demand in road transport where it gets close to zero in a context of electrification of the vehicles fleet and, although to a lesser extent, in industry where it gets to levels observed in 2015</w:t>
      </w:r>
      <w:r w:rsidRPr="00010EC8">
        <w:rPr>
          <w:noProof/>
          <w:lang w:val="en-IE"/>
        </w:rPr>
        <w:t>.</w:t>
      </w:r>
    </w:p>
    <w:p w14:paraId="2AAF5103" w14:textId="574E2A23" w:rsidR="00B922E4" w:rsidRDefault="00873C98" w:rsidP="008E643E">
      <w:pPr>
        <w:rPr>
          <w:noProof/>
          <w:lang w:val="en-IE"/>
        </w:rPr>
      </w:pPr>
      <w:r>
        <w:rPr>
          <w:noProof/>
          <w:lang w:val="en-IE"/>
        </w:rPr>
        <w:t xml:space="preserve">Net imports of bioenergy </w:t>
      </w:r>
      <w:r w:rsidR="003830E2">
        <w:rPr>
          <w:noProof/>
          <w:lang w:val="en-IE"/>
        </w:rPr>
        <w:t>(including solid biomass</w:t>
      </w:r>
      <w:r w:rsidR="009B61FD">
        <w:rPr>
          <w:noProof/>
          <w:lang w:val="en-IE"/>
        </w:rPr>
        <w:t xml:space="preserve">, </w:t>
      </w:r>
      <w:r w:rsidR="009B61FD" w:rsidDel="000136F2">
        <w:rPr>
          <w:noProof/>
          <w:lang w:val="en-IE"/>
        </w:rPr>
        <w:t>waste</w:t>
      </w:r>
      <w:r w:rsidR="000136F2">
        <w:rPr>
          <w:noProof/>
          <w:lang w:val="en-IE"/>
        </w:rPr>
        <w:t>,</w:t>
      </w:r>
      <w:r w:rsidR="003830E2">
        <w:rPr>
          <w:noProof/>
          <w:lang w:val="en-IE"/>
        </w:rPr>
        <w:t xml:space="preserve"> and liquid biofuels) </w:t>
      </w:r>
      <w:r w:rsidR="005E30DD">
        <w:rPr>
          <w:noProof/>
          <w:lang w:val="en-IE"/>
        </w:rPr>
        <w:t>are limited to 10-1</w:t>
      </w:r>
      <w:r w:rsidR="008E2259">
        <w:rPr>
          <w:noProof/>
          <w:lang w:val="en-IE"/>
        </w:rPr>
        <w:t>3</w:t>
      </w:r>
      <w:r w:rsidR="006F74E6">
        <w:rPr>
          <w:noProof/>
          <w:lang w:val="en-IE"/>
        </w:rPr>
        <w:t xml:space="preserve"> Mtoe in </w:t>
      </w:r>
      <w:r w:rsidR="005E30DD">
        <w:rPr>
          <w:noProof/>
          <w:lang w:val="en-IE"/>
        </w:rPr>
        <w:t>2040</w:t>
      </w:r>
      <w:r w:rsidR="008E2259">
        <w:rPr>
          <w:noProof/>
          <w:lang w:val="en-IE"/>
        </w:rPr>
        <w:t xml:space="preserve"> before reducing by </w:t>
      </w:r>
      <w:r w:rsidR="005E30DD">
        <w:rPr>
          <w:noProof/>
          <w:lang w:val="en-IE"/>
        </w:rPr>
        <w:t xml:space="preserve">2050, against </w:t>
      </w:r>
      <w:r w:rsidR="006F74E6">
        <w:rPr>
          <w:noProof/>
          <w:lang w:val="en-IE"/>
        </w:rPr>
        <w:t>9 Mtoe in 2021</w:t>
      </w:r>
      <w:r>
        <w:rPr>
          <w:noProof/>
          <w:lang w:val="en-IE"/>
        </w:rPr>
        <w:t>.</w:t>
      </w:r>
    </w:p>
    <w:p w14:paraId="50510931" w14:textId="679D5AF9" w:rsidR="00084CA6" w:rsidRPr="003D1556" w:rsidRDefault="008001AA" w:rsidP="00084CA6">
      <w:pPr>
        <w:rPr>
          <w:noProof/>
          <w:lang w:val="en-IE"/>
        </w:rPr>
      </w:pPr>
      <w:bookmarkStart w:id="483" w:name="_Hlk154002226"/>
      <w:r>
        <w:rPr>
          <w:noProof/>
        </w:rPr>
        <w:t>T</w:t>
      </w:r>
      <w:r w:rsidR="001506E9">
        <w:rPr>
          <w:noProof/>
          <w:lang w:val="en-IE"/>
        </w:rPr>
        <w:t xml:space="preserve">he </w:t>
      </w:r>
      <w:r>
        <w:rPr>
          <w:noProof/>
          <w:lang w:val="en-IE"/>
        </w:rPr>
        <w:t>evolution</w:t>
      </w:r>
      <w:r w:rsidR="001506E9">
        <w:rPr>
          <w:noProof/>
          <w:lang w:val="en-IE"/>
        </w:rPr>
        <w:t xml:space="preserve"> </w:t>
      </w:r>
      <w:r>
        <w:rPr>
          <w:noProof/>
          <w:lang w:val="en-IE"/>
        </w:rPr>
        <w:t>of</w:t>
      </w:r>
      <w:r w:rsidR="001506E9">
        <w:rPr>
          <w:noProof/>
          <w:lang w:val="en-IE"/>
        </w:rPr>
        <w:t xml:space="preserve"> bioenergy demand </w:t>
      </w:r>
      <w:r>
        <w:rPr>
          <w:noProof/>
          <w:lang w:val="en-IE"/>
        </w:rPr>
        <w:t>by</w:t>
      </w:r>
      <w:r w:rsidR="001506E9">
        <w:rPr>
          <w:noProof/>
          <w:lang w:val="en-IE"/>
        </w:rPr>
        <w:t xml:space="preserve"> 2040</w:t>
      </w:r>
      <w:r w:rsidR="00C61A79">
        <w:rPr>
          <w:noProof/>
          <w:lang w:val="en-IE"/>
        </w:rPr>
        <w:t xml:space="preserve"> towards </w:t>
      </w:r>
      <w:r w:rsidR="00257D90">
        <w:rPr>
          <w:noProof/>
          <w:lang w:val="en-IE"/>
        </w:rPr>
        <w:t>an increasing role of</w:t>
      </w:r>
      <w:r w:rsidR="00C61A79">
        <w:rPr>
          <w:noProof/>
          <w:lang w:val="en-IE"/>
        </w:rPr>
        <w:t xml:space="preserve"> </w:t>
      </w:r>
      <w:r w:rsidR="0046736D">
        <w:rPr>
          <w:noProof/>
          <w:lang w:val="en-IE"/>
        </w:rPr>
        <w:t>second</w:t>
      </w:r>
      <w:r w:rsidR="00596D7A">
        <w:rPr>
          <w:noProof/>
          <w:lang w:val="en-IE"/>
        </w:rPr>
        <w:t xml:space="preserve"> generation biofuels </w:t>
      </w:r>
      <w:r w:rsidR="001506E9">
        <w:rPr>
          <w:noProof/>
          <w:lang w:val="en-IE"/>
        </w:rPr>
        <w:t>convert</w:t>
      </w:r>
      <w:r>
        <w:rPr>
          <w:noProof/>
          <w:lang w:val="en-IE"/>
        </w:rPr>
        <w:t>s</w:t>
      </w:r>
      <w:r w:rsidR="001506E9">
        <w:rPr>
          <w:noProof/>
          <w:lang w:val="en-IE"/>
        </w:rPr>
        <w:t xml:space="preserve"> into higher </w:t>
      </w:r>
      <w:r w:rsidR="0037337E">
        <w:rPr>
          <w:noProof/>
          <w:lang w:val="en-IE"/>
        </w:rPr>
        <w:t xml:space="preserve">domestic </w:t>
      </w:r>
      <w:r w:rsidR="001506E9">
        <w:rPr>
          <w:noProof/>
          <w:lang w:val="en-IE"/>
        </w:rPr>
        <w:t>feedstock suppl</w:t>
      </w:r>
      <w:r w:rsidR="00ED623B">
        <w:rPr>
          <w:noProof/>
          <w:lang w:val="en-IE"/>
        </w:rPr>
        <w:t xml:space="preserve">y </w:t>
      </w:r>
      <w:r w:rsidR="001506E9">
        <w:rPr>
          <w:noProof/>
          <w:lang w:val="en-IE"/>
        </w:rPr>
        <w:t>from</w:t>
      </w:r>
      <w:r w:rsidR="00EE012D">
        <w:rPr>
          <w:noProof/>
          <w:lang w:val="en-IE"/>
        </w:rPr>
        <w:t xml:space="preserve"> </w:t>
      </w:r>
      <w:r w:rsidR="00A3398A" w:rsidRPr="006E568F">
        <w:rPr>
          <w:noProof/>
          <w:lang w:val="en-IE"/>
        </w:rPr>
        <w:t>lignocellulosic crops (both annual and perennial</w:t>
      </w:r>
      <w:r w:rsidR="00A3398A" w:rsidRPr="006E568F">
        <w:rPr>
          <w:bCs/>
          <w:noProof/>
          <w:lang w:val="en-IE"/>
        </w:rPr>
        <w:t>)</w:t>
      </w:r>
      <w:r w:rsidR="00B43793">
        <w:rPr>
          <w:noProof/>
          <w:lang w:val="en-IE"/>
        </w:rPr>
        <w:t>, while food crops decline</w:t>
      </w:r>
      <w:r w:rsidR="00A3398A">
        <w:rPr>
          <w:noProof/>
          <w:lang w:val="en-IE"/>
        </w:rPr>
        <w:t>.</w:t>
      </w:r>
      <w:r w:rsidR="00787306">
        <w:rPr>
          <w:noProof/>
          <w:lang w:val="en-IE"/>
        </w:rPr>
        <w:t xml:space="preserve"> </w:t>
      </w:r>
      <w:r w:rsidR="002F56F1">
        <w:rPr>
          <w:noProof/>
          <w:lang w:val="en-IE"/>
        </w:rPr>
        <w:t>Bioenergy</w:t>
      </w:r>
      <w:r w:rsidR="001506E9" w:rsidRPr="00457BAD">
        <w:rPr>
          <w:noProof/>
          <w:lang w:val="en-IE"/>
        </w:rPr>
        <w:t xml:space="preserve"> from agriculture residues </w:t>
      </w:r>
      <w:r w:rsidR="002F56F1">
        <w:rPr>
          <w:noProof/>
          <w:lang w:val="en-IE"/>
        </w:rPr>
        <w:t>is expected to also increase</w:t>
      </w:r>
      <w:r w:rsidR="00787306">
        <w:rPr>
          <w:noProof/>
          <w:lang w:val="en-IE"/>
        </w:rPr>
        <w:t xml:space="preserve"> </w:t>
      </w:r>
      <w:r w:rsidR="001506E9" w:rsidRPr="00457BAD">
        <w:rPr>
          <w:noProof/>
          <w:lang w:val="en-IE"/>
        </w:rPr>
        <w:t>reflect</w:t>
      </w:r>
      <w:r w:rsidR="00A6409E">
        <w:rPr>
          <w:noProof/>
          <w:lang w:val="en-IE"/>
        </w:rPr>
        <w:t>ing</w:t>
      </w:r>
      <w:r w:rsidR="001506E9" w:rsidRPr="00457BAD">
        <w:rPr>
          <w:noProof/>
          <w:lang w:val="en-IE"/>
        </w:rPr>
        <w:t xml:space="preserve"> an improved mobilisation of their potential</w:t>
      </w:r>
      <w:r w:rsidR="00CD3FBF">
        <w:rPr>
          <w:noProof/>
          <w:lang w:val="en-IE"/>
        </w:rPr>
        <w:t>, including manure</w:t>
      </w:r>
      <w:r w:rsidR="001506E9">
        <w:rPr>
          <w:noProof/>
          <w:lang w:val="en-IE"/>
        </w:rPr>
        <w:t xml:space="preserve">. </w:t>
      </w:r>
      <w:r w:rsidR="00596D7A">
        <w:rPr>
          <w:noProof/>
          <w:lang w:val="en-IE"/>
        </w:rPr>
        <w:t xml:space="preserve">S1 shows lower biomass supply needs than S2 and S3 by 2040, reflecting </w:t>
      </w:r>
      <w:r w:rsidR="00F54D2F">
        <w:rPr>
          <w:noProof/>
          <w:lang w:val="en-IE"/>
        </w:rPr>
        <w:t xml:space="preserve">a lower recourse to </w:t>
      </w:r>
      <w:r w:rsidR="00435BA7">
        <w:rPr>
          <w:noProof/>
          <w:lang w:val="en-IE"/>
        </w:rPr>
        <w:t xml:space="preserve">bioenergy in </w:t>
      </w:r>
      <w:r w:rsidR="005C1B0F">
        <w:rPr>
          <w:noProof/>
          <w:lang w:val="en-IE"/>
        </w:rPr>
        <w:t>electricity product</w:t>
      </w:r>
      <w:r w:rsidR="000136F2">
        <w:rPr>
          <w:noProof/>
          <w:lang w:val="en-IE"/>
        </w:rPr>
        <w:t>i</w:t>
      </w:r>
      <w:r w:rsidR="005C1B0F">
        <w:rPr>
          <w:noProof/>
          <w:lang w:val="en-IE"/>
        </w:rPr>
        <w:t>on and district heating</w:t>
      </w:r>
      <w:r w:rsidR="00596D7A">
        <w:rPr>
          <w:noProof/>
          <w:lang w:val="en-IE"/>
        </w:rPr>
        <w:t xml:space="preserve">. </w:t>
      </w:r>
      <w:r w:rsidR="00084CA6">
        <w:rPr>
          <w:noProof/>
          <w:lang w:val="en-IE"/>
        </w:rPr>
        <w:t>W</w:t>
      </w:r>
      <w:r w:rsidR="000136F2">
        <w:rPr>
          <w:noProof/>
          <w:lang w:val="en-IE"/>
        </w:rPr>
        <w:t>oody biomass for bioenergy</w:t>
      </w:r>
      <w:r w:rsidR="005B7C35">
        <w:rPr>
          <w:noProof/>
          <w:lang w:val="en-IE"/>
        </w:rPr>
        <w:t xml:space="preserve"> show</w:t>
      </w:r>
      <w:r w:rsidR="000136F2">
        <w:rPr>
          <w:noProof/>
          <w:lang w:val="en-IE"/>
        </w:rPr>
        <w:t>s</w:t>
      </w:r>
      <w:r w:rsidR="005B7C35">
        <w:rPr>
          <w:noProof/>
          <w:lang w:val="en-IE"/>
        </w:rPr>
        <w:t xml:space="preserve"> a limited increase to </w:t>
      </w:r>
      <w:r w:rsidR="004F414A">
        <w:rPr>
          <w:noProof/>
          <w:lang w:val="en-IE"/>
        </w:rPr>
        <w:t xml:space="preserve">about </w:t>
      </w:r>
      <w:r w:rsidR="000136F2">
        <w:rPr>
          <w:noProof/>
          <w:lang w:val="en-IE"/>
        </w:rPr>
        <w:t>25</w:t>
      </w:r>
      <w:r w:rsidR="004F414A">
        <w:rPr>
          <w:noProof/>
          <w:lang w:val="en-IE"/>
        </w:rPr>
        <w:t xml:space="preserve"> Mtoe for stemwood </w:t>
      </w:r>
      <w:r w:rsidR="008F761F" w:rsidRPr="008F761F">
        <w:rPr>
          <w:noProof/>
          <w:lang w:val="en-IE"/>
        </w:rPr>
        <w:t>(</w:t>
      </w:r>
      <w:r w:rsidR="008F761F">
        <w:rPr>
          <w:rStyle w:val="FootnoteReference"/>
          <w:noProof/>
          <w:lang w:val="en-IE"/>
        </w:rPr>
        <w:footnoteReference w:id="162"/>
      </w:r>
      <w:r w:rsidR="008F761F">
        <w:rPr>
          <w:noProof/>
          <w:lang w:val="en-IE"/>
        </w:rPr>
        <w:t>)</w:t>
      </w:r>
      <w:r w:rsidR="004F414A">
        <w:rPr>
          <w:noProof/>
          <w:lang w:val="en-IE"/>
        </w:rPr>
        <w:t xml:space="preserve"> and 20 Mtoe for forest residues</w:t>
      </w:r>
      <w:r w:rsidR="001768B8">
        <w:rPr>
          <w:noProof/>
          <w:lang w:val="en-IE"/>
        </w:rPr>
        <w:t xml:space="preserve"> in 2040</w:t>
      </w:r>
      <w:r w:rsidR="004F414A">
        <w:rPr>
          <w:noProof/>
          <w:lang w:val="en-IE"/>
        </w:rPr>
        <w:t xml:space="preserve">, in a context of </w:t>
      </w:r>
      <w:r w:rsidR="001506E9">
        <w:rPr>
          <w:noProof/>
          <w:lang w:val="en-IE"/>
        </w:rPr>
        <w:t>increasing use of secondary residues and used wood from consumers</w:t>
      </w:r>
      <w:r w:rsidR="00793C9A">
        <w:rPr>
          <w:noProof/>
          <w:lang w:val="en-IE"/>
        </w:rPr>
        <w:t xml:space="preserve"> within the waste category</w:t>
      </w:r>
      <w:r w:rsidR="001506E9" w:rsidRPr="00457BAD">
        <w:rPr>
          <w:noProof/>
          <w:lang w:val="en-IE"/>
        </w:rPr>
        <w:t>.</w:t>
      </w:r>
      <w:r w:rsidR="001506E9">
        <w:rPr>
          <w:noProof/>
          <w:lang w:val="en-IE"/>
        </w:rPr>
        <w:t xml:space="preserve"> </w:t>
      </w:r>
      <w:r w:rsidR="00084CA6">
        <w:rPr>
          <w:noProof/>
          <w:lang w:val="en-IE"/>
        </w:rPr>
        <w:t xml:space="preserve">This has very important implications for the forest sink because </w:t>
      </w:r>
      <w:r w:rsidR="00A21457" w:rsidRPr="00A21457">
        <w:rPr>
          <w:noProof/>
          <w:lang w:val="en-IE"/>
        </w:rPr>
        <w:t>primary</w:t>
      </w:r>
      <w:r w:rsidR="00084CA6">
        <w:rPr>
          <w:noProof/>
          <w:lang w:val="en-IE"/>
        </w:rPr>
        <w:t xml:space="preserve"> woody biomass for bioenergy </w:t>
      </w:r>
      <w:r w:rsidR="00084CA6" w:rsidRPr="00A21457">
        <w:rPr>
          <w:noProof/>
          <w:lang w:val="en-IE"/>
        </w:rPr>
        <w:t>decrease</w:t>
      </w:r>
      <w:r w:rsidR="00A21457" w:rsidRPr="00A21457">
        <w:rPr>
          <w:noProof/>
          <w:lang w:val="en-IE"/>
        </w:rPr>
        <w:t>s</w:t>
      </w:r>
      <w:r w:rsidR="00084CA6">
        <w:rPr>
          <w:noProof/>
          <w:lang w:val="en-IE"/>
        </w:rPr>
        <w:t xml:space="preserve"> the carbon pool and the LULUCF net removals. Therefore</w:t>
      </w:r>
      <w:r w:rsidR="00392D54" w:rsidRPr="00A21457">
        <w:rPr>
          <w:noProof/>
          <w:lang w:val="en-IE"/>
        </w:rPr>
        <w:t>,</w:t>
      </w:r>
      <w:r w:rsidR="00084CA6">
        <w:rPr>
          <w:noProof/>
          <w:lang w:val="en-IE"/>
        </w:rPr>
        <w:t xml:space="preserve"> an increasing use of </w:t>
      </w:r>
      <w:r w:rsidR="00A21457" w:rsidRPr="00A21457">
        <w:rPr>
          <w:noProof/>
          <w:lang w:val="en-IE"/>
        </w:rPr>
        <w:t>secondary</w:t>
      </w:r>
      <w:r w:rsidR="00084CA6">
        <w:rPr>
          <w:noProof/>
          <w:lang w:val="en-IE"/>
        </w:rPr>
        <w:t xml:space="preserve"> woody biomass from </w:t>
      </w:r>
      <w:r w:rsidR="00084CA6" w:rsidRPr="00A21457">
        <w:rPr>
          <w:noProof/>
          <w:lang w:val="en-IE"/>
        </w:rPr>
        <w:t>other uses</w:t>
      </w:r>
      <w:r w:rsidR="00392D54" w:rsidRPr="00A21457">
        <w:rPr>
          <w:noProof/>
          <w:lang w:val="en-IE"/>
        </w:rPr>
        <w:t xml:space="preserve"> (</w:t>
      </w:r>
      <w:r w:rsidR="00A21457" w:rsidRPr="00A21457">
        <w:rPr>
          <w:noProof/>
          <w:lang w:val="en-IE"/>
        </w:rPr>
        <w:t xml:space="preserve">bark, </w:t>
      </w:r>
      <w:r w:rsidR="00392D54" w:rsidRPr="00A21457">
        <w:rPr>
          <w:noProof/>
          <w:lang w:val="en-IE"/>
        </w:rPr>
        <w:t xml:space="preserve">secondary </w:t>
      </w:r>
      <w:r w:rsidR="00A21457" w:rsidRPr="00A21457">
        <w:rPr>
          <w:noProof/>
          <w:lang w:val="en-IE"/>
        </w:rPr>
        <w:t>residues from material production, recovered post-consumer wood</w:t>
      </w:r>
      <w:r w:rsidR="00392D54" w:rsidRPr="00A21457">
        <w:rPr>
          <w:noProof/>
          <w:lang w:val="en-IE"/>
        </w:rPr>
        <w:t>)</w:t>
      </w:r>
      <w:r w:rsidR="00084CA6" w:rsidRPr="00A21457">
        <w:rPr>
          <w:noProof/>
          <w:lang w:val="en-IE"/>
        </w:rPr>
        <w:t xml:space="preserve">, which </w:t>
      </w:r>
      <w:r w:rsidR="00990761">
        <w:rPr>
          <w:noProof/>
          <w:lang w:val="en-IE"/>
        </w:rPr>
        <w:t>substitutes</w:t>
      </w:r>
      <w:r w:rsidR="00084CA6" w:rsidRPr="00A21457">
        <w:rPr>
          <w:noProof/>
          <w:lang w:val="en-IE"/>
        </w:rPr>
        <w:t xml:space="preserve"> woody biomass </w:t>
      </w:r>
      <w:r w:rsidR="00392D54" w:rsidRPr="00A21457">
        <w:rPr>
          <w:noProof/>
          <w:lang w:val="en-IE"/>
        </w:rPr>
        <w:t>coming directly</w:t>
      </w:r>
      <w:r w:rsidR="00084CA6" w:rsidRPr="00A21457">
        <w:rPr>
          <w:noProof/>
          <w:lang w:val="en-IE"/>
        </w:rPr>
        <w:t xml:space="preserve"> from </w:t>
      </w:r>
      <w:r w:rsidR="00084CA6">
        <w:rPr>
          <w:noProof/>
          <w:lang w:val="en-IE"/>
        </w:rPr>
        <w:t xml:space="preserve">forests, has an alleviating effect on the LULUCF net removals. In 2040 wood plantations for energy use start to develop and stay stable in size in 2050, which </w:t>
      </w:r>
      <w:r w:rsidR="00A21457">
        <w:rPr>
          <w:noProof/>
          <w:lang w:val="en-IE"/>
        </w:rPr>
        <w:t xml:space="preserve">also </w:t>
      </w:r>
      <w:r w:rsidR="00084CA6">
        <w:rPr>
          <w:noProof/>
          <w:lang w:val="en-IE"/>
        </w:rPr>
        <w:t xml:space="preserve">buffers the required harvest removals for energy use. </w:t>
      </w:r>
    </w:p>
    <w:p w14:paraId="64567670" w14:textId="32D23126" w:rsidR="001506E9" w:rsidRPr="00ED1C2F" w:rsidRDefault="00CD3FBF" w:rsidP="00ED1C2F">
      <w:pPr>
        <w:rPr>
          <w:noProof/>
          <w:lang w:val="en-IE"/>
        </w:rPr>
      </w:pPr>
      <w:r>
        <w:rPr>
          <w:noProof/>
          <w:lang w:val="en-IE"/>
        </w:rPr>
        <w:t>T</w:t>
      </w:r>
      <w:r w:rsidR="001506E9">
        <w:rPr>
          <w:noProof/>
          <w:lang w:val="en-IE"/>
        </w:rPr>
        <w:t xml:space="preserve">he </w:t>
      </w:r>
      <w:r w:rsidR="00776F41">
        <w:rPr>
          <w:noProof/>
          <w:lang w:val="en-IE"/>
        </w:rPr>
        <w:t>total</w:t>
      </w:r>
      <w:r w:rsidR="001506E9">
        <w:rPr>
          <w:noProof/>
          <w:lang w:val="en-IE"/>
        </w:rPr>
        <w:t xml:space="preserve"> domestic feedstock for bioenergy</w:t>
      </w:r>
      <w:r w:rsidR="00771EEB">
        <w:rPr>
          <w:noProof/>
          <w:lang w:val="en-IE"/>
        </w:rPr>
        <w:t xml:space="preserve"> and waste</w:t>
      </w:r>
      <w:r w:rsidR="00953E61">
        <w:rPr>
          <w:noProof/>
          <w:lang w:val="en-IE"/>
        </w:rPr>
        <w:t xml:space="preserve"> (including manure)</w:t>
      </w:r>
      <w:r w:rsidR="00067856" w:rsidRPr="00067856">
        <w:rPr>
          <w:noProof/>
          <w:lang w:val="en-IE"/>
        </w:rPr>
        <w:t> </w:t>
      </w:r>
      <w:r w:rsidR="001506E9">
        <w:rPr>
          <w:noProof/>
          <w:lang w:val="en-IE"/>
        </w:rPr>
        <w:t xml:space="preserve">peaks </w:t>
      </w:r>
      <w:r w:rsidR="00BC5692">
        <w:rPr>
          <w:noProof/>
          <w:lang w:val="en-IE"/>
        </w:rPr>
        <w:t>in</w:t>
      </w:r>
      <w:r w:rsidR="00BC5692" w:rsidRPr="00665C85">
        <w:rPr>
          <w:noProof/>
          <w:lang w:val="en-IE"/>
        </w:rPr>
        <w:t xml:space="preserve"> </w:t>
      </w:r>
      <w:r w:rsidR="001506E9" w:rsidRPr="00534E10">
        <w:rPr>
          <w:noProof/>
          <w:lang w:val="en-IE"/>
        </w:rPr>
        <w:t>204</w:t>
      </w:r>
      <w:r w:rsidR="00361DA2" w:rsidRPr="00534E10">
        <w:rPr>
          <w:noProof/>
          <w:lang w:val="en-IE"/>
        </w:rPr>
        <w:t>0</w:t>
      </w:r>
      <w:r w:rsidR="00ED1C2F" w:rsidRPr="00534E10">
        <w:rPr>
          <w:noProof/>
          <w:lang w:val="en-IE"/>
        </w:rPr>
        <w:t xml:space="preserve">, ranging from </w:t>
      </w:r>
      <w:r w:rsidR="007A4260" w:rsidRPr="00534E10">
        <w:rPr>
          <w:noProof/>
          <w:lang w:val="en-IE"/>
        </w:rPr>
        <w:t xml:space="preserve">about </w:t>
      </w:r>
      <w:r w:rsidR="001506E9" w:rsidRPr="00534E10">
        <w:rPr>
          <w:noProof/>
          <w:lang w:val="en-IE"/>
        </w:rPr>
        <w:t>2</w:t>
      </w:r>
      <w:r w:rsidR="007A4260" w:rsidRPr="00534E10">
        <w:rPr>
          <w:noProof/>
          <w:lang w:val="en-IE"/>
        </w:rPr>
        <w:t>10</w:t>
      </w:r>
      <w:r w:rsidR="001506E9" w:rsidRPr="00534E10">
        <w:rPr>
          <w:noProof/>
          <w:lang w:val="en-IE"/>
        </w:rPr>
        <w:t xml:space="preserve"> </w:t>
      </w:r>
      <w:r w:rsidR="00292450" w:rsidRPr="00534E10">
        <w:rPr>
          <w:noProof/>
          <w:lang w:val="en-IE"/>
        </w:rPr>
        <w:t xml:space="preserve">Mtoe </w:t>
      </w:r>
      <w:r w:rsidR="00ED1C2F" w:rsidRPr="00534E10">
        <w:rPr>
          <w:noProof/>
          <w:lang w:val="en-IE"/>
        </w:rPr>
        <w:t xml:space="preserve">in </w:t>
      </w:r>
      <w:r w:rsidR="00292450" w:rsidRPr="00534E10">
        <w:rPr>
          <w:noProof/>
          <w:lang w:val="en-IE"/>
        </w:rPr>
        <w:t xml:space="preserve">S1 </w:t>
      </w:r>
      <w:r w:rsidR="001506E9" w:rsidRPr="00534E10">
        <w:rPr>
          <w:noProof/>
          <w:lang w:val="en-IE"/>
        </w:rPr>
        <w:t xml:space="preserve">to </w:t>
      </w:r>
      <w:r w:rsidR="001809E2" w:rsidRPr="00534E10">
        <w:rPr>
          <w:noProof/>
          <w:lang w:val="en-IE"/>
        </w:rPr>
        <w:t xml:space="preserve">just above </w:t>
      </w:r>
      <w:r w:rsidR="001506E9" w:rsidRPr="00534E10">
        <w:rPr>
          <w:noProof/>
          <w:lang w:val="en-IE"/>
        </w:rPr>
        <w:t>23</w:t>
      </w:r>
      <w:r w:rsidR="001809E2" w:rsidRPr="00534E10">
        <w:rPr>
          <w:noProof/>
          <w:lang w:val="en-IE"/>
        </w:rPr>
        <w:t>0</w:t>
      </w:r>
      <w:r w:rsidR="001506E9" w:rsidRPr="00534E10">
        <w:rPr>
          <w:noProof/>
          <w:lang w:val="en-IE"/>
        </w:rPr>
        <w:t xml:space="preserve"> Mtoe</w:t>
      </w:r>
      <w:r w:rsidR="001809E2">
        <w:rPr>
          <w:noProof/>
          <w:lang w:val="en-IE"/>
        </w:rPr>
        <w:t xml:space="preserve"> </w:t>
      </w:r>
      <w:r w:rsidR="00ED1C2F">
        <w:rPr>
          <w:noProof/>
          <w:lang w:val="en-IE"/>
        </w:rPr>
        <w:t xml:space="preserve">in S2 and S3. </w:t>
      </w:r>
      <w:r w:rsidR="001506E9">
        <w:rPr>
          <w:noProof/>
          <w:lang w:val="en-IE"/>
        </w:rPr>
        <w:t xml:space="preserve">By 2050 the feedstock </w:t>
      </w:r>
      <w:r w:rsidR="001506E9" w:rsidRPr="00665C85">
        <w:rPr>
          <w:noProof/>
          <w:lang w:val="en-IE"/>
        </w:rPr>
        <w:t xml:space="preserve">supply decreases </w:t>
      </w:r>
      <w:r w:rsidR="00A6409E">
        <w:rPr>
          <w:noProof/>
          <w:lang w:val="en-IE"/>
        </w:rPr>
        <w:t>to a level</w:t>
      </w:r>
      <w:r w:rsidR="00ED1C2F">
        <w:rPr>
          <w:noProof/>
          <w:lang w:val="en-IE"/>
        </w:rPr>
        <w:t xml:space="preserve"> ranging </w:t>
      </w:r>
      <w:r w:rsidR="00A6409E">
        <w:rPr>
          <w:noProof/>
          <w:lang w:val="en-IE"/>
        </w:rPr>
        <w:t xml:space="preserve">between </w:t>
      </w:r>
      <w:r w:rsidR="001506E9" w:rsidRPr="00677DD1">
        <w:rPr>
          <w:noProof/>
          <w:lang w:val="en-IE"/>
        </w:rPr>
        <w:t>20</w:t>
      </w:r>
      <w:r w:rsidR="007A4260">
        <w:rPr>
          <w:noProof/>
          <w:lang w:val="en-IE"/>
        </w:rPr>
        <w:t>0</w:t>
      </w:r>
      <w:r w:rsidR="001506E9" w:rsidRPr="00677DD1">
        <w:rPr>
          <w:noProof/>
          <w:lang w:val="en-IE"/>
        </w:rPr>
        <w:t xml:space="preserve"> </w:t>
      </w:r>
      <w:r w:rsidR="00292450">
        <w:rPr>
          <w:noProof/>
          <w:lang w:val="en-IE"/>
        </w:rPr>
        <w:t>Mtoe</w:t>
      </w:r>
      <w:r w:rsidR="001506E9" w:rsidRPr="00677DD1">
        <w:rPr>
          <w:noProof/>
          <w:lang w:val="en-IE"/>
        </w:rPr>
        <w:t xml:space="preserve"> </w:t>
      </w:r>
      <w:r w:rsidR="001C4F38">
        <w:rPr>
          <w:noProof/>
          <w:lang w:val="en-IE"/>
        </w:rPr>
        <w:t>(S3)</w:t>
      </w:r>
      <w:r w:rsidR="001506E9" w:rsidRPr="00677DD1">
        <w:rPr>
          <w:noProof/>
          <w:lang w:val="en-IE"/>
        </w:rPr>
        <w:t xml:space="preserve"> </w:t>
      </w:r>
      <w:r w:rsidR="00A6409E">
        <w:rPr>
          <w:noProof/>
          <w:lang w:val="en-IE"/>
        </w:rPr>
        <w:t>and</w:t>
      </w:r>
      <w:r w:rsidR="001506E9" w:rsidRPr="00677DD1">
        <w:rPr>
          <w:noProof/>
          <w:lang w:val="en-IE"/>
        </w:rPr>
        <w:t xml:space="preserve"> 21</w:t>
      </w:r>
      <w:r w:rsidR="007A4260">
        <w:rPr>
          <w:noProof/>
          <w:lang w:val="en-IE"/>
        </w:rPr>
        <w:t>5</w:t>
      </w:r>
      <w:r w:rsidR="001506E9" w:rsidRPr="00677DD1">
        <w:rPr>
          <w:noProof/>
          <w:lang w:val="en-IE"/>
        </w:rPr>
        <w:t xml:space="preserve"> Mtoe</w:t>
      </w:r>
      <w:r w:rsidR="001C4F38">
        <w:rPr>
          <w:noProof/>
          <w:lang w:val="en-IE"/>
        </w:rPr>
        <w:t xml:space="preserve"> (S1)</w:t>
      </w:r>
      <w:r w:rsidR="001506E9" w:rsidRPr="00665C85">
        <w:rPr>
          <w:noProof/>
          <w:lang w:val="en-IE"/>
        </w:rPr>
        <w:t>.</w:t>
      </w:r>
      <w:r w:rsidR="00EF6BDA" w:rsidRPr="00EF6BDA">
        <w:rPr>
          <w:noProof/>
          <w:lang w:val="en-IE"/>
        </w:rPr>
        <w:t xml:space="preserve"> </w:t>
      </w:r>
      <w:r w:rsidR="00EF6BDA" w:rsidRPr="00067856">
        <w:rPr>
          <w:noProof/>
          <w:lang w:val="en-IE"/>
        </w:rPr>
        <w:t>(</w:t>
      </w:r>
      <w:r w:rsidR="00EF6BDA">
        <w:rPr>
          <w:rStyle w:val="FootnoteReference"/>
          <w:noProof/>
          <w:lang w:val="en-IE"/>
        </w:rPr>
        <w:footnoteReference w:id="163"/>
      </w:r>
      <w:r w:rsidR="00EF6BDA">
        <w:rPr>
          <w:noProof/>
          <w:lang w:val="en-IE"/>
        </w:rPr>
        <w:t>)</w:t>
      </w:r>
    </w:p>
    <w:p w14:paraId="640AA05F" w14:textId="2B9057F6" w:rsidR="00E74271" w:rsidRDefault="00B66FF4" w:rsidP="00511C88">
      <w:pPr>
        <w:pStyle w:val="Caption"/>
        <w:keepLines/>
        <w:rPr>
          <w:noProof/>
        </w:rPr>
      </w:pPr>
      <w:bookmarkStart w:id="484" w:name="_Ref139971106"/>
      <w:bookmarkStart w:id="485" w:name="_Ref145489171"/>
      <w:bookmarkStart w:id="486" w:name="_Ref145954039"/>
      <w:bookmarkStart w:id="487" w:name="_Toc157679836"/>
      <w:bookmarkStart w:id="488" w:name="_Ref145954018"/>
      <w:bookmarkStart w:id="489" w:name="_Ref139379632"/>
      <w:r>
        <w:rPr>
          <w:noProof/>
        </w:rPr>
        <w:t xml:space="preserve">Figure </w:t>
      </w:r>
      <w:bookmarkEnd w:id="484"/>
      <w:bookmarkEnd w:id="485"/>
      <w:r w:rsidR="00F2742D">
        <w:rPr>
          <w:noProof/>
        </w:rPr>
        <w:fldChar w:fldCharType="begin"/>
      </w:r>
      <w:r w:rsidR="00F2742D">
        <w:rPr>
          <w:noProof/>
        </w:rPr>
        <w:instrText xml:space="preserve"> SEQ Figure \* ARABIC </w:instrText>
      </w:r>
      <w:r w:rsidR="00F2742D">
        <w:rPr>
          <w:noProof/>
        </w:rPr>
        <w:fldChar w:fldCharType="separate"/>
      </w:r>
      <w:r w:rsidR="00170A3C">
        <w:rPr>
          <w:noProof/>
        </w:rPr>
        <w:t>88</w:t>
      </w:r>
      <w:r w:rsidR="00F2742D">
        <w:rPr>
          <w:noProof/>
        </w:rPr>
        <w:fldChar w:fldCharType="end"/>
      </w:r>
      <w:bookmarkEnd w:id="486"/>
      <w:r w:rsidR="00F675A8">
        <w:rPr>
          <w:noProof/>
        </w:rPr>
        <w:t xml:space="preserve">: Domestic supply of </w:t>
      </w:r>
      <w:r w:rsidR="00C31FE3">
        <w:rPr>
          <w:noProof/>
        </w:rPr>
        <w:t xml:space="preserve">feedstock for </w:t>
      </w:r>
      <w:r w:rsidR="00F675A8">
        <w:rPr>
          <w:noProof/>
        </w:rPr>
        <w:t xml:space="preserve">bioenergy </w:t>
      </w:r>
      <w:r w:rsidR="00C31FE3">
        <w:rPr>
          <w:noProof/>
        </w:rPr>
        <w:t>and waste</w:t>
      </w:r>
      <w:bookmarkEnd w:id="487"/>
      <w:r w:rsidR="00F675A8">
        <w:rPr>
          <w:noProof/>
        </w:rPr>
        <w:t xml:space="preserve"> </w:t>
      </w:r>
      <w:bookmarkEnd w:id="488"/>
    </w:p>
    <w:p w14:paraId="29E06493" w14:textId="7EA6DF31" w:rsidR="000136F2" w:rsidRPr="000136F2" w:rsidRDefault="00236011" w:rsidP="00236011">
      <w:pPr>
        <w:rPr>
          <w:noProof/>
        </w:rPr>
      </w:pPr>
      <w:r w:rsidRPr="00236011" w:rsidDel="00771EEB">
        <w:rPr>
          <w:noProof/>
          <w:lang w:eastAsia="en-GB"/>
        </w:rPr>
        <w:drawing>
          <wp:inline distT="0" distB="0" distL="0" distR="0" wp14:anchorId="02CA3F69" wp14:editId="1D3FBC5D">
            <wp:extent cx="5374005" cy="251904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5374005" cy="2519045"/>
                    </a:xfrm>
                    <a:prstGeom prst="rect">
                      <a:avLst/>
                    </a:prstGeom>
                    <a:noFill/>
                    <a:ln>
                      <a:noFill/>
                    </a:ln>
                  </pic:spPr>
                </pic:pic>
              </a:graphicData>
            </a:graphic>
          </wp:inline>
        </w:drawing>
      </w:r>
    </w:p>
    <w:bookmarkEnd w:id="489"/>
    <w:p w14:paraId="5DC6F59A" w14:textId="3BA4F8A3" w:rsidR="001E1E28" w:rsidRPr="001E1E28" w:rsidRDefault="001E1E28" w:rsidP="00534E10">
      <w:pPr>
        <w:pStyle w:val="CT-NOTE"/>
        <w:keepLines/>
        <w:rPr>
          <w:noProof/>
        </w:rPr>
      </w:pPr>
      <w:r w:rsidRPr="001E1E28">
        <w:rPr>
          <w:noProof/>
        </w:rPr>
        <w:t>Note: ‘Lignocellulosic crops’ includes short rotation coppice a</w:t>
      </w:r>
      <w:r>
        <w:rPr>
          <w:noProof/>
        </w:rPr>
        <w:t>nd lignocellulosic grass</w:t>
      </w:r>
      <w:r w:rsidR="00776F41">
        <w:rPr>
          <w:noProof/>
        </w:rPr>
        <w:t>.</w:t>
      </w:r>
      <w:r w:rsidR="00EE6EF0">
        <w:rPr>
          <w:noProof/>
        </w:rPr>
        <w:t xml:space="preserve"> </w:t>
      </w:r>
      <w:r w:rsidR="007A26BF">
        <w:rPr>
          <w:noProof/>
        </w:rPr>
        <w:t xml:space="preserve">Manure is included in </w:t>
      </w:r>
      <w:r w:rsidR="00DA2EA1">
        <w:rPr>
          <w:noProof/>
        </w:rPr>
        <w:t>'Waste’.</w:t>
      </w:r>
      <w:r>
        <w:rPr>
          <w:noProof/>
        </w:rPr>
        <w:t xml:space="preserve"> </w:t>
      </w:r>
      <w:r w:rsidRPr="001E1E28">
        <w:rPr>
          <w:noProof/>
        </w:rPr>
        <w:t xml:space="preserve"> </w:t>
      </w:r>
    </w:p>
    <w:p w14:paraId="2EA10600" w14:textId="59D12A6A" w:rsidR="00B66FF4" w:rsidRPr="006D2FCF" w:rsidRDefault="00F675A8" w:rsidP="00534E10">
      <w:pPr>
        <w:pStyle w:val="CT-SOURCE"/>
        <w:keepLines/>
        <w:rPr>
          <w:noProof/>
        </w:rPr>
      </w:pPr>
      <w:r w:rsidRPr="006D2FCF">
        <w:rPr>
          <w:noProof/>
        </w:rPr>
        <w:t>Source: PRIMES, GLOBIOM</w:t>
      </w:r>
    </w:p>
    <w:p w14:paraId="25A1BDCB" w14:textId="3F3E3000" w:rsidR="00333BF8" w:rsidRDefault="00E44405" w:rsidP="00C80A48">
      <w:pPr>
        <w:rPr>
          <w:noProof/>
        </w:rPr>
      </w:pPr>
      <w:r>
        <w:rPr>
          <w:noProof/>
        </w:rPr>
        <w:t>As shown in section</w:t>
      </w:r>
      <w:r w:rsidR="00B947F9">
        <w:rPr>
          <w:noProof/>
        </w:rPr>
        <w:t xml:space="preserve"> </w:t>
      </w:r>
      <w:r w:rsidR="00B947F9">
        <w:rPr>
          <w:noProof/>
        </w:rPr>
        <w:fldChar w:fldCharType="begin"/>
      </w:r>
      <w:r w:rsidR="00B947F9">
        <w:rPr>
          <w:noProof/>
        </w:rPr>
        <w:instrText xml:space="preserve"> REF _Ref146467437 \r \h </w:instrText>
      </w:r>
      <w:r w:rsidR="00B947F9">
        <w:rPr>
          <w:noProof/>
        </w:rPr>
      </w:r>
      <w:r w:rsidR="00B947F9">
        <w:rPr>
          <w:noProof/>
        </w:rPr>
        <w:fldChar w:fldCharType="separate"/>
      </w:r>
      <w:r w:rsidR="00170A3C">
        <w:rPr>
          <w:noProof/>
        </w:rPr>
        <w:t>1.1.2</w:t>
      </w:r>
      <w:r w:rsidR="00B947F9">
        <w:rPr>
          <w:noProof/>
        </w:rPr>
        <w:fldChar w:fldCharType="end"/>
      </w:r>
      <w:r>
        <w:rPr>
          <w:noProof/>
        </w:rPr>
        <w:t>, s</w:t>
      </w:r>
      <w:r w:rsidR="00C208C3">
        <w:rPr>
          <w:noProof/>
        </w:rPr>
        <w:t>cenario S3</w:t>
      </w:r>
      <w:r w:rsidR="006B53EC">
        <w:rPr>
          <w:noProof/>
        </w:rPr>
        <w:t xml:space="preserve"> requires more industrial carbon removals by 2040</w:t>
      </w:r>
      <w:r>
        <w:rPr>
          <w:noProof/>
        </w:rPr>
        <w:t>.</w:t>
      </w:r>
      <w:r w:rsidR="00871901">
        <w:rPr>
          <w:noProof/>
        </w:rPr>
        <w:t xml:space="preserve"> </w:t>
      </w:r>
      <w:r w:rsidR="00E8677A">
        <w:rPr>
          <w:noProof/>
        </w:rPr>
        <w:t>This scenario</w:t>
      </w:r>
      <w:r w:rsidR="00A2447B">
        <w:rPr>
          <w:noProof/>
        </w:rPr>
        <w:t xml:space="preserve"> </w:t>
      </w:r>
      <w:r w:rsidR="007A76CF">
        <w:rPr>
          <w:noProof/>
        </w:rPr>
        <w:t>may require</w:t>
      </w:r>
      <w:r w:rsidR="00A2447B">
        <w:rPr>
          <w:noProof/>
        </w:rPr>
        <w:t xml:space="preserve"> higher biomass use for BECCS if </w:t>
      </w:r>
      <w:r w:rsidR="00E853A0">
        <w:rPr>
          <w:noProof/>
        </w:rPr>
        <w:t xml:space="preserve">the deployment of </w:t>
      </w:r>
      <w:r w:rsidR="004F47B9">
        <w:rPr>
          <w:noProof/>
        </w:rPr>
        <w:t xml:space="preserve">the other key identified option to generate industrial removals, </w:t>
      </w:r>
      <w:r w:rsidR="00A2447B">
        <w:rPr>
          <w:noProof/>
        </w:rPr>
        <w:t>DACCS</w:t>
      </w:r>
      <w:r w:rsidR="004F47B9">
        <w:rPr>
          <w:noProof/>
        </w:rPr>
        <w:t>,</w:t>
      </w:r>
      <w:r w:rsidR="00A2447B">
        <w:rPr>
          <w:noProof/>
        </w:rPr>
        <w:t xml:space="preserve"> would </w:t>
      </w:r>
      <w:r w:rsidR="00E853A0">
        <w:rPr>
          <w:noProof/>
        </w:rPr>
        <w:t>remain limited in the coming 15 years.</w:t>
      </w:r>
      <w:r w:rsidR="000B2381">
        <w:rPr>
          <w:noProof/>
        </w:rPr>
        <w:t xml:space="preserve"> </w:t>
      </w:r>
      <w:r w:rsidR="00A2447B">
        <w:rPr>
          <w:noProof/>
        </w:rPr>
        <w:t xml:space="preserve">Section </w:t>
      </w:r>
      <w:r w:rsidR="00A2447B">
        <w:rPr>
          <w:noProof/>
        </w:rPr>
        <w:fldChar w:fldCharType="begin"/>
      </w:r>
      <w:r w:rsidR="00A2447B">
        <w:rPr>
          <w:noProof/>
        </w:rPr>
        <w:instrText xml:space="preserve"> REF _Ref146467517 \r \h </w:instrText>
      </w:r>
      <w:r w:rsidR="00A2447B">
        <w:rPr>
          <w:noProof/>
        </w:rPr>
      </w:r>
      <w:r w:rsidR="00A2447B">
        <w:rPr>
          <w:noProof/>
        </w:rPr>
        <w:fldChar w:fldCharType="separate"/>
      </w:r>
      <w:r w:rsidR="00170A3C">
        <w:rPr>
          <w:noProof/>
        </w:rPr>
        <w:t>1.8.4</w:t>
      </w:r>
      <w:r w:rsidR="00A2447B">
        <w:rPr>
          <w:noProof/>
        </w:rPr>
        <w:fldChar w:fldCharType="end"/>
      </w:r>
      <w:r w:rsidR="00A2447B">
        <w:rPr>
          <w:noProof/>
        </w:rPr>
        <w:t xml:space="preserve"> below </w:t>
      </w:r>
      <w:r w:rsidR="00C208C3">
        <w:rPr>
          <w:noProof/>
        </w:rPr>
        <w:t xml:space="preserve">provides a sensitivity </w:t>
      </w:r>
      <w:r w:rsidR="00297149">
        <w:rPr>
          <w:noProof/>
        </w:rPr>
        <w:t>analysis o</w:t>
      </w:r>
      <w:r w:rsidR="00DF2BE3">
        <w:rPr>
          <w:noProof/>
        </w:rPr>
        <w:t>n the impact of</w:t>
      </w:r>
      <w:r w:rsidR="00297149">
        <w:rPr>
          <w:noProof/>
        </w:rPr>
        <w:t xml:space="preserve"> a higher need for biomass on the LULUCF </w:t>
      </w:r>
      <w:r w:rsidR="00DF2BE3">
        <w:rPr>
          <w:noProof/>
        </w:rPr>
        <w:t>net removals</w:t>
      </w:r>
      <w:r w:rsidR="00297149">
        <w:rPr>
          <w:noProof/>
        </w:rPr>
        <w:t xml:space="preserve">. </w:t>
      </w:r>
    </w:p>
    <w:bookmarkEnd w:id="483"/>
    <w:p w14:paraId="4CBB620B" w14:textId="46894927" w:rsidR="004633A8" w:rsidRPr="00680783" w:rsidRDefault="004633A8" w:rsidP="00534E10">
      <w:pPr>
        <w:pStyle w:val="Heading4"/>
        <w:ind w:left="1429" w:hanging="862"/>
        <w:rPr>
          <w:noProof/>
        </w:rPr>
      </w:pPr>
      <w:r>
        <w:rPr>
          <w:noProof/>
        </w:rPr>
        <w:t>Bioeconomy demand</w:t>
      </w:r>
    </w:p>
    <w:p w14:paraId="120B1345" w14:textId="79EBD841" w:rsidR="00AE121C" w:rsidDel="00992D68" w:rsidRDefault="00DF2BE3">
      <w:pPr>
        <w:rPr>
          <w:noProof/>
        </w:rPr>
      </w:pPr>
      <w:r>
        <w:rPr>
          <w:noProof/>
        </w:rPr>
        <w:t>Beyond bioenergy, t</w:t>
      </w:r>
      <w:r w:rsidR="005F7CC0">
        <w:rPr>
          <w:noProof/>
        </w:rPr>
        <w:t xml:space="preserve">he role of bioeconomy </w:t>
      </w:r>
      <w:r>
        <w:rPr>
          <w:noProof/>
        </w:rPr>
        <w:t xml:space="preserve">at large </w:t>
      </w:r>
      <w:r w:rsidR="005F7CC0">
        <w:rPr>
          <w:noProof/>
        </w:rPr>
        <w:t xml:space="preserve">will have impacts on the </w:t>
      </w:r>
      <w:r w:rsidR="000349EC">
        <w:rPr>
          <w:noProof/>
        </w:rPr>
        <w:t xml:space="preserve">future LULUCF </w:t>
      </w:r>
      <w:r w:rsidR="00B170BD">
        <w:rPr>
          <w:noProof/>
        </w:rPr>
        <w:t>net removal</w:t>
      </w:r>
      <w:r w:rsidR="00527E0B">
        <w:rPr>
          <w:noProof/>
        </w:rPr>
        <w:t>s</w:t>
      </w:r>
      <w:r w:rsidR="005F7CC0">
        <w:rPr>
          <w:noProof/>
        </w:rPr>
        <w:t>. Notably</w:t>
      </w:r>
      <w:r w:rsidR="000349EC">
        <w:rPr>
          <w:noProof/>
        </w:rPr>
        <w:t>,</w:t>
      </w:r>
      <w:r w:rsidR="005F7CC0">
        <w:rPr>
          <w:noProof/>
        </w:rPr>
        <w:t xml:space="preserve"> </w:t>
      </w:r>
      <w:r w:rsidR="003B0F82">
        <w:rPr>
          <w:noProof/>
        </w:rPr>
        <w:t xml:space="preserve">a change </w:t>
      </w:r>
      <w:r w:rsidR="005F7CC0">
        <w:rPr>
          <w:noProof/>
        </w:rPr>
        <w:t>from short-term to long-term harvested</w:t>
      </w:r>
      <w:r w:rsidR="00E7368D">
        <w:rPr>
          <w:noProof/>
        </w:rPr>
        <w:t xml:space="preserve"> w</w:t>
      </w:r>
      <w:r w:rsidR="00B66FF4" w:rsidRPr="00680783">
        <w:rPr>
          <w:noProof/>
        </w:rPr>
        <w:t xml:space="preserve">ood </w:t>
      </w:r>
      <w:r w:rsidR="005F7CC0">
        <w:rPr>
          <w:noProof/>
        </w:rPr>
        <w:t xml:space="preserve">products will increase the temporary carbon stock </w:t>
      </w:r>
      <w:r w:rsidR="003B0F82">
        <w:rPr>
          <w:noProof/>
        </w:rPr>
        <w:t xml:space="preserve">and lead to a </w:t>
      </w:r>
      <w:r w:rsidR="00F0726C">
        <w:rPr>
          <w:noProof/>
        </w:rPr>
        <w:t>temporary</w:t>
      </w:r>
      <w:r w:rsidR="003B0F82">
        <w:rPr>
          <w:noProof/>
        </w:rPr>
        <w:t xml:space="preserve"> increase in the </w:t>
      </w:r>
      <w:r w:rsidR="00B170BD">
        <w:rPr>
          <w:noProof/>
        </w:rPr>
        <w:t>net removal</w:t>
      </w:r>
      <w:r w:rsidR="004633A8">
        <w:rPr>
          <w:noProof/>
        </w:rPr>
        <w:t>s</w:t>
      </w:r>
      <w:r w:rsidR="003B0F82">
        <w:rPr>
          <w:noProof/>
        </w:rPr>
        <w:t xml:space="preserve">. </w:t>
      </w:r>
      <w:r w:rsidR="004633A8">
        <w:rPr>
          <w:noProof/>
        </w:rPr>
        <w:t>Hence,</w:t>
      </w:r>
      <w:r w:rsidR="003B0F82">
        <w:rPr>
          <w:noProof/>
        </w:rPr>
        <w:t xml:space="preserve"> </w:t>
      </w:r>
      <w:r w:rsidR="005F7CC0">
        <w:rPr>
          <w:noProof/>
        </w:rPr>
        <w:t xml:space="preserve">whether </w:t>
      </w:r>
      <w:r w:rsidR="003B0F82">
        <w:rPr>
          <w:noProof/>
        </w:rPr>
        <w:t xml:space="preserve">biomass from </w:t>
      </w:r>
      <w:r w:rsidR="005F7CC0">
        <w:rPr>
          <w:noProof/>
        </w:rPr>
        <w:t xml:space="preserve">harvests </w:t>
      </w:r>
      <w:r w:rsidR="003B0F82">
        <w:rPr>
          <w:noProof/>
        </w:rPr>
        <w:t>is</w:t>
      </w:r>
      <w:r w:rsidR="005F7CC0">
        <w:rPr>
          <w:noProof/>
        </w:rPr>
        <w:t xml:space="preserve"> used for long-term </w:t>
      </w:r>
      <w:r w:rsidR="003B0F82">
        <w:rPr>
          <w:noProof/>
        </w:rPr>
        <w:t>harvested wood products</w:t>
      </w:r>
      <w:r w:rsidR="005F7CC0">
        <w:rPr>
          <w:noProof/>
        </w:rPr>
        <w:t xml:space="preserve"> such as furniture or </w:t>
      </w:r>
      <w:r w:rsidR="003B0F82">
        <w:rPr>
          <w:noProof/>
        </w:rPr>
        <w:t>wood</w:t>
      </w:r>
      <w:r w:rsidR="004633A8">
        <w:rPr>
          <w:noProof/>
        </w:rPr>
        <w:t>y elements in buildings</w:t>
      </w:r>
      <w:r w:rsidR="003B0F82">
        <w:rPr>
          <w:noProof/>
        </w:rPr>
        <w:t xml:space="preserve"> </w:t>
      </w:r>
      <w:r w:rsidR="005F7CC0">
        <w:rPr>
          <w:noProof/>
        </w:rPr>
        <w:t>or whether it is used for bioplastics, paper or single-use products is important</w:t>
      </w:r>
      <w:r w:rsidR="003B0F82">
        <w:rPr>
          <w:noProof/>
        </w:rPr>
        <w:t xml:space="preserve"> as it has implications on the size of the temporary sink from harvested wood products</w:t>
      </w:r>
      <w:r w:rsidR="009470B7">
        <w:rPr>
          <w:noProof/>
        </w:rPr>
        <w:t xml:space="preserve">. </w:t>
      </w:r>
      <w:r w:rsidR="004F64B1">
        <w:rPr>
          <w:noProof/>
        </w:rPr>
        <w:t>Annex 9 discusses t</w:t>
      </w:r>
      <w:r w:rsidR="00992D68">
        <w:rPr>
          <w:noProof/>
        </w:rPr>
        <w:t xml:space="preserve">he need for healthy nature and </w:t>
      </w:r>
      <w:r w:rsidR="00767071">
        <w:rPr>
          <w:noProof/>
        </w:rPr>
        <w:t xml:space="preserve">a </w:t>
      </w:r>
      <w:r w:rsidR="00992D68">
        <w:rPr>
          <w:noProof/>
        </w:rPr>
        <w:t>sustainable bioeconomy i</w:t>
      </w:r>
      <w:r w:rsidR="00BE0678">
        <w:rPr>
          <w:noProof/>
        </w:rPr>
        <w:t>n view of maintaining and enhancing the LULUCF net removals and other nature services.</w:t>
      </w:r>
      <w:r w:rsidR="004F64B1">
        <w:rPr>
          <w:noProof/>
        </w:rPr>
        <w:t xml:space="preserve"> </w:t>
      </w:r>
    </w:p>
    <w:p w14:paraId="52A6943D" w14:textId="2677F860" w:rsidR="00B66FF4" w:rsidRPr="00680783" w:rsidRDefault="005F7CC0" w:rsidP="00047E9A">
      <w:pPr>
        <w:pStyle w:val="Heading4"/>
        <w:ind w:left="1429" w:hanging="862"/>
        <w:rPr>
          <w:noProof/>
        </w:rPr>
      </w:pPr>
      <w:r>
        <w:rPr>
          <w:noProof/>
        </w:rPr>
        <w:t xml:space="preserve">Harvest </w:t>
      </w:r>
      <w:r w:rsidR="00D9261F">
        <w:rPr>
          <w:noProof/>
        </w:rPr>
        <w:t>of wood</w:t>
      </w:r>
      <w:r w:rsidR="00022935">
        <w:rPr>
          <w:noProof/>
        </w:rPr>
        <w:t xml:space="preserve"> </w:t>
      </w:r>
      <w:r w:rsidR="00552C80" w:rsidRPr="00680783">
        <w:rPr>
          <w:noProof/>
        </w:rPr>
        <w:t>and forest increment</w:t>
      </w:r>
    </w:p>
    <w:p w14:paraId="5B91C6DE" w14:textId="5F823B36" w:rsidR="00F675A8" w:rsidRDefault="00B726F3" w:rsidP="008E643E">
      <w:pPr>
        <w:rPr>
          <w:noProof/>
          <w:lang w:val="en-IE"/>
        </w:rPr>
      </w:pPr>
      <w:r>
        <w:rPr>
          <w:noProof/>
          <w:lang w:val="en-IE"/>
        </w:rPr>
        <w:t>The European forests play a</w:t>
      </w:r>
      <w:r w:rsidR="00335D59">
        <w:rPr>
          <w:noProof/>
          <w:lang w:val="en-IE"/>
        </w:rPr>
        <w:t xml:space="preserve"> decisive role </w:t>
      </w:r>
      <w:r w:rsidR="00263579">
        <w:rPr>
          <w:noProof/>
          <w:lang w:val="en-IE"/>
        </w:rPr>
        <w:t xml:space="preserve">for </w:t>
      </w:r>
      <w:r w:rsidR="00335D59">
        <w:rPr>
          <w:noProof/>
          <w:lang w:val="en-IE"/>
        </w:rPr>
        <w:t xml:space="preserve">the EU LULUCF </w:t>
      </w:r>
      <w:r w:rsidR="00D9261F">
        <w:rPr>
          <w:noProof/>
          <w:lang w:val="en-IE"/>
        </w:rPr>
        <w:t xml:space="preserve">carbon </w:t>
      </w:r>
      <w:r w:rsidR="00B170BD">
        <w:rPr>
          <w:noProof/>
          <w:lang w:val="en-IE"/>
        </w:rPr>
        <w:t>net removal</w:t>
      </w:r>
      <w:r w:rsidR="00263579">
        <w:rPr>
          <w:noProof/>
          <w:lang w:val="en-IE"/>
        </w:rPr>
        <w:t>s</w:t>
      </w:r>
      <w:r w:rsidR="00335D59">
        <w:rPr>
          <w:noProof/>
          <w:lang w:val="en-IE"/>
        </w:rPr>
        <w:t xml:space="preserve">, as the share from </w:t>
      </w:r>
      <w:r w:rsidR="00FE3297">
        <w:rPr>
          <w:noProof/>
          <w:lang w:val="en-IE"/>
        </w:rPr>
        <w:t xml:space="preserve">forest land makes up nearly </w:t>
      </w:r>
      <w:r w:rsidR="00FE3297" w:rsidRPr="008E643E">
        <w:rPr>
          <w:noProof/>
          <w:lang w:val="en-IE"/>
        </w:rPr>
        <w:t>90%</w:t>
      </w:r>
      <w:r w:rsidR="00FE3297">
        <w:rPr>
          <w:noProof/>
          <w:lang w:val="en-IE"/>
        </w:rPr>
        <w:t xml:space="preserve"> of all </w:t>
      </w:r>
      <w:r w:rsidR="00B17D6F">
        <w:rPr>
          <w:noProof/>
          <w:lang w:val="en-IE"/>
        </w:rPr>
        <w:t xml:space="preserve">carbon removals from the LULUCF </w:t>
      </w:r>
      <w:r w:rsidR="00F675A8">
        <w:rPr>
          <w:noProof/>
          <w:lang w:val="en-IE"/>
        </w:rPr>
        <w:t>sector (see</w:t>
      </w:r>
      <w:r w:rsidR="00FA3B78">
        <w:rPr>
          <w:noProof/>
          <w:lang w:val="en-IE"/>
        </w:rPr>
        <w:t xml:space="preserve"> </w:t>
      </w:r>
      <w:r w:rsidR="00FA3B78">
        <w:rPr>
          <w:noProof/>
          <w:lang w:val="en-IE"/>
        </w:rPr>
        <w:fldChar w:fldCharType="begin"/>
      </w:r>
      <w:r w:rsidR="00FA3B78">
        <w:rPr>
          <w:noProof/>
          <w:lang w:val="en-IE"/>
        </w:rPr>
        <w:instrText xml:space="preserve"> REF _Ref145603198 \h </w:instrText>
      </w:r>
      <w:r w:rsidR="00FA3B78">
        <w:rPr>
          <w:noProof/>
          <w:lang w:val="en-IE"/>
        </w:rPr>
      </w:r>
      <w:r w:rsidR="00FA3B78">
        <w:rPr>
          <w:noProof/>
          <w:lang w:val="en-IE"/>
        </w:rPr>
        <w:fldChar w:fldCharType="separate"/>
      </w:r>
      <w:r w:rsidR="00170A3C">
        <w:rPr>
          <w:noProof/>
        </w:rPr>
        <w:t>Figure 86</w:t>
      </w:r>
      <w:r w:rsidR="00FA3B78">
        <w:rPr>
          <w:noProof/>
          <w:lang w:val="en-IE"/>
        </w:rPr>
        <w:fldChar w:fldCharType="end"/>
      </w:r>
      <w:r w:rsidR="00F675A8">
        <w:rPr>
          <w:noProof/>
          <w:lang w:val="en-IE"/>
        </w:rPr>
        <w:t xml:space="preserve">). </w:t>
      </w:r>
      <w:r w:rsidR="00414D09">
        <w:rPr>
          <w:noProof/>
          <w:lang w:val="en-IE"/>
        </w:rPr>
        <w:t xml:space="preserve">The </w:t>
      </w:r>
      <w:r w:rsidR="00E94D40">
        <w:rPr>
          <w:noProof/>
          <w:lang w:val="en-IE"/>
        </w:rPr>
        <w:t>‘</w:t>
      </w:r>
      <w:r w:rsidR="00414D09">
        <w:rPr>
          <w:noProof/>
          <w:lang w:val="en-IE"/>
        </w:rPr>
        <w:t>forest sink</w:t>
      </w:r>
      <w:r w:rsidR="00E94D40">
        <w:rPr>
          <w:noProof/>
          <w:lang w:val="en-IE"/>
        </w:rPr>
        <w:t>’</w:t>
      </w:r>
      <w:r w:rsidR="00414D09">
        <w:rPr>
          <w:noProof/>
          <w:lang w:val="en-IE"/>
        </w:rPr>
        <w:t xml:space="preserve"> depends on the gross annual increment</w:t>
      </w:r>
      <w:r w:rsidR="00F675A8">
        <w:rPr>
          <w:noProof/>
          <w:lang w:val="en-IE"/>
        </w:rPr>
        <w:t xml:space="preserve"> of </w:t>
      </w:r>
      <w:r w:rsidR="00414D09">
        <w:rPr>
          <w:noProof/>
          <w:lang w:val="en-IE"/>
        </w:rPr>
        <w:t>a forest, the natural mortality and fellings (harvest and logging residues)</w:t>
      </w:r>
      <w:r w:rsidR="00414D09" w:rsidRPr="00414D09">
        <w:rPr>
          <w:noProof/>
          <w:lang w:val="en-IE"/>
        </w:rPr>
        <w:t> (</w:t>
      </w:r>
      <w:r w:rsidR="00414D09">
        <w:rPr>
          <w:rStyle w:val="FootnoteReference"/>
          <w:noProof/>
          <w:lang w:val="en-IE"/>
        </w:rPr>
        <w:footnoteReference w:id="164"/>
      </w:r>
      <w:r w:rsidR="00414D09">
        <w:rPr>
          <w:noProof/>
          <w:lang w:val="en-IE"/>
        </w:rPr>
        <w:t xml:space="preserve">). </w:t>
      </w:r>
      <w:r w:rsidR="00F675A8">
        <w:rPr>
          <w:noProof/>
          <w:lang w:val="en-IE"/>
        </w:rPr>
        <w:t xml:space="preserve"> Hence, the </w:t>
      </w:r>
      <w:r w:rsidR="00E7368D">
        <w:rPr>
          <w:noProof/>
          <w:lang w:val="en-IE"/>
        </w:rPr>
        <w:t>demand</w:t>
      </w:r>
      <w:r w:rsidR="00F675A8">
        <w:rPr>
          <w:noProof/>
          <w:lang w:val="en-IE"/>
        </w:rPr>
        <w:t xml:space="preserve"> </w:t>
      </w:r>
      <w:r w:rsidR="00E7368D">
        <w:rPr>
          <w:noProof/>
          <w:lang w:val="en-IE"/>
        </w:rPr>
        <w:t>for</w:t>
      </w:r>
      <w:r w:rsidR="00F675A8">
        <w:rPr>
          <w:noProof/>
          <w:lang w:val="en-IE"/>
        </w:rPr>
        <w:t xml:space="preserve"> wood</w:t>
      </w:r>
      <w:r w:rsidR="00414D09">
        <w:rPr>
          <w:noProof/>
          <w:lang w:val="en-IE"/>
        </w:rPr>
        <w:t>y</w:t>
      </w:r>
      <w:r w:rsidR="00F675A8">
        <w:rPr>
          <w:noProof/>
          <w:lang w:val="en-IE"/>
        </w:rPr>
        <w:t xml:space="preserve"> biomass</w:t>
      </w:r>
      <w:r w:rsidR="00022935">
        <w:rPr>
          <w:noProof/>
          <w:lang w:val="en-IE"/>
        </w:rPr>
        <w:t xml:space="preserve"> and the </w:t>
      </w:r>
      <w:r w:rsidR="00F675A8">
        <w:rPr>
          <w:noProof/>
          <w:lang w:val="en-IE"/>
        </w:rPr>
        <w:t>corresponding harvest</w:t>
      </w:r>
      <w:r w:rsidR="00E7368D">
        <w:rPr>
          <w:noProof/>
          <w:lang w:val="en-IE"/>
        </w:rPr>
        <w:t xml:space="preserve"> and </w:t>
      </w:r>
      <w:r w:rsidR="003B0F48">
        <w:rPr>
          <w:noProof/>
          <w:lang w:val="en-IE"/>
        </w:rPr>
        <w:t xml:space="preserve">overall </w:t>
      </w:r>
      <w:r w:rsidR="00E7368D">
        <w:rPr>
          <w:noProof/>
          <w:lang w:val="en-IE"/>
        </w:rPr>
        <w:t>forest management</w:t>
      </w:r>
      <w:r w:rsidR="00F675A8">
        <w:rPr>
          <w:noProof/>
          <w:lang w:val="en-IE"/>
        </w:rPr>
        <w:t xml:space="preserve"> </w:t>
      </w:r>
      <w:r w:rsidR="007A0C98">
        <w:rPr>
          <w:noProof/>
          <w:lang w:val="en-IE"/>
        </w:rPr>
        <w:t>has</w:t>
      </w:r>
      <w:r w:rsidR="00F675A8">
        <w:rPr>
          <w:noProof/>
          <w:lang w:val="en-IE"/>
        </w:rPr>
        <w:t xml:space="preserve"> a </w:t>
      </w:r>
      <w:r w:rsidR="00E7368D">
        <w:rPr>
          <w:noProof/>
          <w:lang w:val="en-IE"/>
        </w:rPr>
        <w:t>direct</w:t>
      </w:r>
      <w:r w:rsidR="00F675A8">
        <w:rPr>
          <w:noProof/>
          <w:lang w:val="en-IE"/>
        </w:rPr>
        <w:t xml:space="preserve"> impact on the </w:t>
      </w:r>
      <w:r w:rsidR="00414D09">
        <w:rPr>
          <w:noProof/>
          <w:lang w:val="en-IE"/>
        </w:rPr>
        <w:t xml:space="preserve">forest </w:t>
      </w:r>
      <w:r w:rsidR="00F675A8">
        <w:rPr>
          <w:noProof/>
          <w:lang w:val="en-IE"/>
        </w:rPr>
        <w:t xml:space="preserve">sink. </w:t>
      </w:r>
    </w:p>
    <w:p w14:paraId="02872345" w14:textId="5BF1BDEA" w:rsidR="00414862" w:rsidRPr="00E4729D" w:rsidRDefault="000D3421" w:rsidP="008E643E">
      <w:pPr>
        <w:rPr>
          <w:noProof/>
          <w:lang w:val="en-IE"/>
        </w:rPr>
      </w:pPr>
      <w:r w:rsidRPr="00E4729D">
        <w:rPr>
          <w:noProof/>
          <w:lang w:val="en-IE"/>
        </w:rPr>
        <w:fldChar w:fldCharType="begin"/>
      </w:r>
      <w:r w:rsidRPr="00E4729D">
        <w:rPr>
          <w:noProof/>
          <w:lang w:val="en-IE"/>
        </w:rPr>
        <w:instrText xml:space="preserve"> REF _Ref146043277 \h  \* MERGEFORMAT </w:instrText>
      </w:r>
      <w:r w:rsidRPr="00E4729D">
        <w:rPr>
          <w:noProof/>
          <w:lang w:val="en-IE"/>
        </w:rPr>
      </w:r>
      <w:r w:rsidRPr="00E4729D">
        <w:rPr>
          <w:noProof/>
          <w:lang w:val="en-IE"/>
        </w:rPr>
        <w:fldChar w:fldCharType="separate"/>
      </w:r>
      <w:r w:rsidR="00170A3C">
        <w:rPr>
          <w:noProof/>
        </w:rPr>
        <w:t>Figure 89</w:t>
      </w:r>
      <w:r w:rsidRPr="00E4729D">
        <w:rPr>
          <w:noProof/>
          <w:lang w:val="en-IE"/>
        </w:rPr>
        <w:fldChar w:fldCharType="end"/>
      </w:r>
      <w:r>
        <w:rPr>
          <w:noProof/>
          <w:lang w:val="en-IE"/>
        </w:rPr>
        <w:t xml:space="preserve"> shows the evolution of wood harvest </w:t>
      </w:r>
      <w:r w:rsidR="00F447FD">
        <w:rPr>
          <w:noProof/>
          <w:lang w:val="en-IE"/>
        </w:rPr>
        <w:t>by 2050</w:t>
      </w:r>
      <w:r>
        <w:rPr>
          <w:noProof/>
          <w:lang w:val="en-IE"/>
        </w:rPr>
        <w:t xml:space="preserve">. </w:t>
      </w:r>
      <w:r w:rsidR="00894127" w:rsidRPr="00E4729D">
        <w:rPr>
          <w:noProof/>
          <w:lang w:val="en-IE"/>
        </w:rPr>
        <w:t>Wood production increased significantly since the beginning of this century to satisfy the increasing demand for woody biomass </w:t>
      </w:r>
      <w:r w:rsidR="00894127" w:rsidRPr="00E4729D">
        <w:rPr>
          <w:noProof/>
          <w:vertAlign w:val="superscript"/>
          <w:lang w:val="en-IE"/>
        </w:rPr>
        <w:t>(</w:t>
      </w:r>
      <w:r w:rsidR="00894127" w:rsidRPr="00E4729D">
        <w:rPr>
          <w:noProof/>
          <w:vertAlign w:val="superscript"/>
        </w:rPr>
        <w:footnoteReference w:id="165"/>
      </w:r>
      <w:r w:rsidR="00894127" w:rsidRPr="00E4729D">
        <w:rPr>
          <w:noProof/>
          <w:vertAlign w:val="superscript"/>
          <w:lang w:val="en-IE"/>
        </w:rPr>
        <w:t>)</w:t>
      </w:r>
      <w:r w:rsidR="00894127" w:rsidRPr="00E4729D">
        <w:rPr>
          <w:noProof/>
          <w:lang w:val="en-IE"/>
        </w:rPr>
        <w:t>.</w:t>
      </w:r>
      <w:r w:rsidR="00894127">
        <w:rPr>
          <w:noProof/>
          <w:lang w:val="en-IE"/>
        </w:rPr>
        <w:t xml:space="preserve"> </w:t>
      </w:r>
      <w:r w:rsidR="00FD5A72">
        <w:rPr>
          <w:noProof/>
          <w:lang w:val="en-IE"/>
        </w:rPr>
        <w:t>Compared to 2015, t</w:t>
      </w:r>
      <w:r w:rsidR="006C4F1D" w:rsidRPr="00E4729D">
        <w:rPr>
          <w:noProof/>
          <w:lang w:val="en-IE"/>
        </w:rPr>
        <w:t>otal</w:t>
      </w:r>
      <w:r w:rsidR="00F675A8" w:rsidRPr="00E4729D">
        <w:rPr>
          <w:noProof/>
          <w:lang w:val="en-IE"/>
        </w:rPr>
        <w:t xml:space="preserve"> harvest </w:t>
      </w:r>
      <w:r w:rsidR="00022935">
        <w:rPr>
          <w:noProof/>
          <w:lang w:val="en-IE"/>
        </w:rPr>
        <w:t xml:space="preserve">of wood </w:t>
      </w:r>
      <w:r w:rsidR="00216F56">
        <w:rPr>
          <w:noProof/>
          <w:lang w:val="en-IE"/>
        </w:rPr>
        <w:t>is</w:t>
      </w:r>
      <w:r w:rsidR="00E7368D" w:rsidRPr="00E4729D">
        <w:rPr>
          <w:noProof/>
          <w:lang w:val="en-IE"/>
        </w:rPr>
        <w:t xml:space="preserve"> </w:t>
      </w:r>
      <w:r w:rsidR="00E56483" w:rsidRPr="00E4729D">
        <w:rPr>
          <w:noProof/>
          <w:lang w:val="en-IE"/>
        </w:rPr>
        <w:t>expected</w:t>
      </w:r>
      <w:r w:rsidR="00E7368D" w:rsidRPr="00E4729D">
        <w:rPr>
          <w:noProof/>
          <w:lang w:val="en-IE"/>
        </w:rPr>
        <w:t xml:space="preserve"> to </w:t>
      </w:r>
      <w:r w:rsidR="007A0C98">
        <w:rPr>
          <w:noProof/>
          <w:lang w:val="en-IE"/>
        </w:rPr>
        <w:t xml:space="preserve">be </w:t>
      </w:r>
      <w:r w:rsidR="007A0C98" w:rsidRPr="00E4729D" w:rsidDel="004F47B9">
        <w:rPr>
          <w:noProof/>
          <w:lang w:val="en-IE"/>
        </w:rPr>
        <w:t>higher</w:t>
      </w:r>
      <w:r w:rsidR="004F47B9">
        <w:rPr>
          <w:noProof/>
          <w:lang w:val="en-IE"/>
        </w:rPr>
        <w:t xml:space="preserve"> in</w:t>
      </w:r>
      <w:r w:rsidR="00EB65BB">
        <w:rPr>
          <w:noProof/>
          <w:lang w:val="en-IE"/>
        </w:rPr>
        <w:t xml:space="preserve"> 2040</w:t>
      </w:r>
      <w:r w:rsidR="004F47B9">
        <w:rPr>
          <w:noProof/>
          <w:lang w:val="en-IE"/>
        </w:rPr>
        <w:t xml:space="preserve"> (ranging from 1</w:t>
      </w:r>
      <w:r w:rsidR="00515756">
        <w:rPr>
          <w:noProof/>
          <w:lang w:val="en-IE"/>
        </w:rPr>
        <w:t>7</w:t>
      </w:r>
      <w:r w:rsidR="004F47B9">
        <w:rPr>
          <w:noProof/>
          <w:lang w:val="en-IE"/>
        </w:rPr>
        <w:t>% in S1 to 1</w:t>
      </w:r>
      <w:r w:rsidR="00515756">
        <w:rPr>
          <w:noProof/>
          <w:lang w:val="en-IE"/>
        </w:rPr>
        <w:t>9</w:t>
      </w:r>
      <w:r w:rsidR="004F47B9">
        <w:rPr>
          <w:noProof/>
          <w:lang w:val="en-IE"/>
        </w:rPr>
        <w:t>% in S3)</w:t>
      </w:r>
      <w:r w:rsidR="00FD5A72">
        <w:rPr>
          <w:noProof/>
          <w:lang w:val="en-IE"/>
        </w:rPr>
        <w:t xml:space="preserve">, </w:t>
      </w:r>
      <w:r w:rsidR="00E56483" w:rsidRPr="00E4729D">
        <w:rPr>
          <w:noProof/>
          <w:lang w:val="en-IE"/>
        </w:rPr>
        <w:t>and then decline</w:t>
      </w:r>
      <w:r w:rsidR="00FD5A72">
        <w:rPr>
          <w:noProof/>
          <w:lang w:val="en-IE"/>
        </w:rPr>
        <w:t xml:space="preserve"> by 2050</w:t>
      </w:r>
      <w:r w:rsidR="00E56483" w:rsidRPr="00E4729D">
        <w:rPr>
          <w:noProof/>
          <w:lang w:val="en-IE"/>
        </w:rPr>
        <w:t>.</w:t>
      </w:r>
      <w:r w:rsidR="00FC0A15" w:rsidRPr="00E4729D">
        <w:rPr>
          <w:noProof/>
          <w:lang w:val="en-IE"/>
        </w:rPr>
        <w:t xml:space="preserve"> </w:t>
      </w:r>
      <w:r w:rsidR="007C08BB">
        <w:rPr>
          <w:noProof/>
          <w:lang w:val="en-IE"/>
        </w:rPr>
        <w:t xml:space="preserve">The increase is driven by harvest for </w:t>
      </w:r>
      <w:r w:rsidR="004633A8">
        <w:rPr>
          <w:noProof/>
          <w:lang w:val="en-IE"/>
        </w:rPr>
        <w:t>elevating demand of biomass for material</w:t>
      </w:r>
      <w:r w:rsidR="007C08BB">
        <w:rPr>
          <w:noProof/>
          <w:lang w:val="en-IE"/>
        </w:rPr>
        <w:t xml:space="preserve"> uses</w:t>
      </w:r>
      <w:r w:rsidR="00F73F29">
        <w:rPr>
          <w:noProof/>
          <w:lang w:val="en-IE"/>
        </w:rPr>
        <w:t xml:space="preserve">, combined with </w:t>
      </w:r>
      <w:r w:rsidR="00BD4645">
        <w:rPr>
          <w:noProof/>
          <w:lang w:val="en-IE"/>
        </w:rPr>
        <w:t xml:space="preserve">an </w:t>
      </w:r>
      <w:r w:rsidR="004633A8">
        <w:rPr>
          <w:noProof/>
          <w:lang w:val="en-IE"/>
        </w:rPr>
        <w:t>improved exploitation of</w:t>
      </w:r>
      <w:r w:rsidR="00BD4645">
        <w:rPr>
          <w:noProof/>
          <w:lang w:val="en-IE"/>
        </w:rPr>
        <w:t xml:space="preserve"> secondary residues used </w:t>
      </w:r>
      <w:r w:rsidR="00F73F29">
        <w:rPr>
          <w:noProof/>
          <w:lang w:val="en-IE"/>
        </w:rPr>
        <w:t xml:space="preserve">for </w:t>
      </w:r>
      <w:r w:rsidR="00BD4645">
        <w:rPr>
          <w:noProof/>
          <w:lang w:val="en-IE"/>
        </w:rPr>
        <w:t>energy</w:t>
      </w:r>
      <w:r w:rsidR="00F73F29">
        <w:rPr>
          <w:noProof/>
          <w:lang w:val="en-IE"/>
        </w:rPr>
        <w:t xml:space="preserve"> purposes</w:t>
      </w:r>
      <w:r w:rsidR="00BD4645">
        <w:rPr>
          <w:noProof/>
          <w:lang w:val="en-IE"/>
        </w:rPr>
        <w:t xml:space="preserve">, while direct harvest for energy uses is expected to </w:t>
      </w:r>
      <w:r w:rsidR="00B10289">
        <w:rPr>
          <w:noProof/>
          <w:lang w:val="en-IE"/>
        </w:rPr>
        <w:t xml:space="preserve">be similar to 2015 </w:t>
      </w:r>
      <w:r w:rsidR="004F7EED">
        <w:rPr>
          <w:noProof/>
          <w:lang w:val="en-IE"/>
        </w:rPr>
        <w:t xml:space="preserve">or slightly lower (for S1) </w:t>
      </w:r>
      <w:r w:rsidR="00F73F29">
        <w:rPr>
          <w:noProof/>
          <w:lang w:val="en-IE"/>
        </w:rPr>
        <w:t xml:space="preserve">in 2040 </w:t>
      </w:r>
      <w:r w:rsidR="004F7EED">
        <w:rPr>
          <w:noProof/>
          <w:lang w:val="en-IE"/>
        </w:rPr>
        <w:t>before declining by 2050.</w:t>
      </w:r>
      <w:r w:rsidR="00BD4645">
        <w:rPr>
          <w:noProof/>
          <w:lang w:val="en-IE"/>
        </w:rPr>
        <w:t xml:space="preserve">  </w:t>
      </w:r>
    </w:p>
    <w:p w14:paraId="612C05D3" w14:textId="5831631A" w:rsidR="0077055C" w:rsidRDefault="00FD0E8F" w:rsidP="00FA3B78">
      <w:pPr>
        <w:pStyle w:val="Caption"/>
        <w:keepLines/>
        <w:rPr>
          <w:noProof/>
        </w:rPr>
      </w:pPr>
      <w:bookmarkStart w:id="490" w:name="_Ref146043277"/>
      <w:bookmarkStart w:id="491" w:name="_Toc157679837"/>
      <w:r>
        <w:rPr>
          <w:noProof/>
        </w:rPr>
        <w:t xml:space="preserve">Figure </w:t>
      </w:r>
      <w:r>
        <w:rPr>
          <w:noProof/>
        </w:rPr>
        <w:fldChar w:fldCharType="begin"/>
      </w:r>
      <w:r>
        <w:rPr>
          <w:noProof/>
        </w:rPr>
        <w:instrText>SEQ Figure \* ARABIC</w:instrText>
      </w:r>
      <w:r>
        <w:rPr>
          <w:noProof/>
        </w:rPr>
        <w:fldChar w:fldCharType="separate"/>
      </w:r>
      <w:r w:rsidR="00170A3C">
        <w:rPr>
          <w:noProof/>
        </w:rPr>
        <w:t>89</w:t>
      </w:r>
      <w:r>
        <w:rPr>
          <w:noProof/>
        </w:rPr>
        <w:fldChar w:fldCharType="end"/>
      </w:r>
      <w:bookmarkEnd w:id="490"/>
      <w:r w:rsidR="00CD7F7F">
        <w:rPr>
          <w:noProof/>
        </w:rPr>
        <w:t>: Harvest</w:t>
      </w:r>
      <w:r w:rsidR="008766A0">
        <w:rPr>
          <w:noProof/>
        </w:rPr>
        <w:t xml:space="preserve"> of wood</w:t>
      </w:r>
      <w:r w:rsidR="00CD7F7F">
        <w:rPr>
          <w:noProof/>
        </w:rPr>
        <w:t xml:space="preserve"> for energy and non-energy use</w:t>
      </w:r>
      <w:bookmarkEnd w:id="491"/>
    </w:p>
    <w:p w14:paraId="763876AF" w14:textId="6F13176F" w:rsidR="00CD7F7F" w:rsidRPr="00C50988" w:rsidRDefault="0077055C" w:rsidP="004D1C57">
      <w:pPr>
        <w:pStyle w:val="Caption"/>
        <w:keepLines/>
        <w:rPr>
          <w:noProof/>
        </w:rPr>
      </w:pPr>
      <w:r w:rsidRPr="0077055C">
        <w:rPr>
          <w:noProof/>
          <w:lang w:eastAsia="en-GB"/>
        </w:rPr>
        <w:drawing>
          <wp:inline distT="0" distB="0" distL="0" distR="0" wp14:anchorId="078A5009" wp14:editId="3708EC2A">
            <wp:extent cx="5400040" cy="2519045"/>
            <wp:effectExtent l="0" t="0" r="0" b="0"/>
            <wp:docPr id="1406946470" name="Picture 1406946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5400040" cy="2519045"/>
                    </a:xfrm>
                    <a:prstGeom prst="rect">
                      <a:avLst/>
                    </a:prstGeom>
                    <a:noFill/>
                    <a:ln>
                      <a:noFill/>
                    </a:ln>
                  </pic:spPr>
                </pic:pic>
              </a:graphicData>
            </a:graphic>
          </wp:inline>
        </w:drawing>
      </w:r>
      <w:r w:rsidR="00F9251A">
        <w:rPr>
          <w:noProof/>
        </w:rPr>
        <w:t xml:space="preserve"> </w:t>
      </w:r>
    </w:p>
    <w:p w14:paraId="6F2E0438" w14:textId="5E346FD1" w:rsidR="00CD7F7F" w:rsidRPr="009303E0" w:rsidRDefault="00CD7F7F" w:rsidP="00FA3B78">
      <w:pPr>
        <w:pStyle w:val="CT-NOTE"/>
        <w:keepLines/>
        <w:rPr>
          <w:noProof/>
        </w:rPr>
      </w:pPr>
      <w:r w:rsidRPr="009303E0">
        <w:rPr>
          <w:noProof/>
        </w:rPr>
        <w:t xml:space="preserve">Note: </w:t>
      </w:r>
      <w:r w:rsidR="00244CB6">
        <w:rPr>
          <w:noProof/>
        </w:rPr>
        <w:t>“</w:t>
      </w:r>
      <w:r>
        <w:rPr>
          <w:noProof/>
        </w:rPr>
        <w:t>Secondary residues used</w:t>
      </w:r>
      <w:r w:rsidRPr="009303E0">
        <w:rPr>
          <w:noProof/>
        </w:rPr>
        <w:t xml:space="preserve"> for energy </w:t>
      </w:r>
      <w:r w:rsidR="00244CB6">
        <w:rPr>
          <w:noProof/>
        </w:rPr>
        <w:t>use”</w:t>
      </w:r>
      <w:r w:rsidRPr="009303E0">
        <w:rPr>
          <w:noProof/>
        </w:rPr>
        <w:t xml:space="preserve"> are</w:t>
      </w:r>
      <w:r w:rsidR="00244CB6">
        <w:rPr>
          <w:noProof/>
        </w:rPr>
        <w:t xml:space="preserve"> forest</w:t>
      </w:r>
      <w:r w:rsidRPr="009303E0">
        <w:rPr>
          <w:noProof/>
        </w:rPr>
        <w:t xml:space="preserve"> residues that were initially </w:t>
      </w:r>
      <w:r>
        <w:rPr>
          <w:noProof/>
        </w:rPr>
        <w:t>harvested</w:t>
      </w:r>
      <w:r w:rsidRPr="009303E0">
        <w:rPr>
          <w:noProof/>
        </w:rPr>
        <w:t xml:space="preserve"> for material use</w:t>
      </w:r>
      <w:r>
        <w:rPr>
          <w:noProof/>
        </w:rPr>
        <w:t xml:space="preserve"> </w:t>
      </w:r>
      <w:r w:rsidR="00244CB6">
        <w:rPr>
          <w:noProof/>
        </w:rPr>
        <w:t>(</w:t>
      </w:r>
      <w:r w:rsidR="007A0C98">
        <w:rPr>
          <w:noProof/>
        </w:rPr>
        <w:t>e</w:t>
      </w:r>
      <w:r w:rsidR="007A0C98" w:rsidRPr="009303E0">
        <w:rPr>
          <w:noProof/>
        </w:rPr>
        <w:t>.g.,</w:t>
      </w:r>
      <w:r w:rsidR="00244CB6" w:rsidRPr="009303E0">
        <w:rPr>
          <w:noProof/>
        </w:rPr>
        <w:t xml:space="preserve"> from the production of sawnwood</w:t>
      </w:r>
      <w:r w:rsidR="00244CB6">
        <w:rPr>
          <w:noProof/>
        </w:rPr>
        <w:t>)</w:t>
      </w:r>
      <w:r w:rsidR="00244CB6" w:rsidRPr="009303E0">
        <w:rPr>
          <w:noProof/>
        </w:rPr>
        <w:t xml:space="preserve"> </w:t>
      </w:r>
      <w:r>
        <w:rPr>
          <w:noProof/>
        </w:rPr>
        <w:t>but then used for energy production</w:t>
      </w:r>
      <w:r w:rsidRPr="009303E0">
        <w:rPr>
          <w:noProof/>
        </w:rPr>
        <w:t>.</w:t>
      </w:r>
      <w:r>
        <w:rPr>
          <w:noProof/>
        </w:rPr>
        <w:t xml:space="preserve"> </w:t>
      </w:r>
    </w:p>
    <w:p w14:paraId="5364C0DE" w14:textId="77777777" w:rsidR="00FD0E8F" w:rsidRPr="009303E0" w:rsidRDefault="00FD0E8F" w:rsidP="00FA3B78">
      <w:pPr>
        <w:pStyle w:val="CT-SOURCE"/>
        <w:keepLines/>
        <w:rPr>
          <w:noProof/>
        </w:rPr>
      </w:pPr>
      <w:r w:rsidRPr="009303E0">
        <w:rPr>
          <w:noProof/>
        </w:rPr>
        <w:t>Source: GLOBIOM</w:t>
      </w:r>
    </w:p>
    <w:p w14:paraId="716E1937" w14:textId="2D6D5DDA" w:rsidR="00CD7F7F" w:rsidRDefault="00CD7F7F" w:rsidP="00CD7F7F">
      <w:pPr>
        <w:rPr>
          <w:noProof/>
          <w:lang w:val="en-IE"/>
        </w:rPr>
      </w:pPr>
      <w:r>
        <w:rPr>
          <w:noProof/>
          <w:lang w:val="en-IE"/>
        </w:rPr>
        <w:t xml:space="preserve">The gross annual increment of a forest is the second important factor that determines the forest </w:t>
      </w:r>
      <w:r w:rsidR="001F68DB">
        <w:rPr>
          <w:noProof/>
          <w:lang w:val="en-IE"/>
        </w:rPr>
        <w:t xml:space="preserve">carbon </w:t>
      </w:r>
      <w:r>
        <w:rPr>
          <w:noProof/>
          <w:lang w:val="en-IE"/>
        </w:rPr>
        <w:t>sink. As an important development, the productivity of the managed forests has</w:t>
      </w:r>
      <w:r>
        <w:rPr>
          <w:noProof/>
        </w:rPr>
        <w:t xml:space="preserve"> peaked, given recent forest management strategies,</w:t>
      </w:r>
      <w:r>
        <w:rPr>
          <w:noProof/>
          <w:lang w:val="en-IE"/>
        </w:rPr>
        <w:t xml:space="preserve"> and given the fact that the increase of the biomass stock in the EU has slowed down in recent years</w:t>
      </w:r>
      <w:r w:rsidRPr="008E5536">
        <w:rPr>
          <w:noProof/>
          <w:lang w:val="en-IE"/>
        </w:rPr>
        <w:t> (</w:t>
      </w:r>
      <w:r>
        <w:rPr>
          <w:rStyle w:val="FootnoteReference"/>
          <w:noProof/>
          <w:lang w:val="en-IE"/>
        </w:rPr>
        <w:footnoteReference w:id="166"/>
      </w:r>
      <w:r>
        <w:rPr>
          <w:noProof/>
          <w:lang w:val="en-IE"/>
        </w:rPr>
        <w:t>). The slower increase of growth productivity (</w:t>
      </w:r>
      <w:r w:rsidR="007A0C98">
        <w:rPr>
          <w:noProof/>
          <w:lang w:val="en-IE"/>
        </w:rPr>
        <w:t>i.e.,</w:t>
      </w:r>
      <w:r>
        <w:rPr>
          <w:noProof/>
          <w:lang w:val="en-IE"/>
        </w:rPr>
        <w:t xml:space="preserve"> the annual increment of the forests) is due to the age structure of the forests, which show a slower growing rate at higher ages. As shown in</w:t>
      </w:r>
      <w:r w:rsidR="00FA3B78">
        <w:rPr>
          <w:noProof/>
          <w:lang w:val="en-IE"/>
        </w:rPr>
        <w:t xml:space="preserve"> </w:t>
      </w:r>
      <w:r w:rsidR="00FA3B78">
        <w:rPr>
          <w:noProof/>
          <w:lang w:val="en-IE"/>
        </w:rPr>
        <w:fldChar w:fldCharType="begin"/>
      </w:r>
      <w:r w:rsidR="00FA3B78">
        <w:rPr>
          <w:noProof/>
          <w:lang w:val="en-IE"/>
        </w:rPr>
        <w:instrText xml:space="preserve"> REF _Ref146043342 \h </w:instrText>
      </w:r>
      <w:r w:rsidR="00FA3B78">
        <w:rPr>
          <w:noProof/>
          <w:lang w:val="en-IE"/>
        </w:rPr>
      </w:r>
      <w:r w:rsidR="00FA3B78">
        <w:rPr>
          <w:noProof/>
          <w:lang w:val="en-IE"/>
        </w:rPr>
        <w:fldChar w:fldCharType="separate"/>
      </w:r>
      <w:r w:rsidR="00EB75EE">
        <w:rPr>
          <w:noProof/>
        </w:rPr>
        <w:t>Figure 90</w:t>
      </w:r>
      <w:r w:rsidR="00FA3B78">
        <w:rPr>
          <w:noProof/>
          <w:lang w:val="en-IE"/>
        </w:rPr>
        <w:fldChar w:fldCharType="end"/>
      </w:r>
      <w:r w:rsidRPr="001007EF">
        <w:rPr>
          <w:noProof/>
          <w:lang w:val="en-IE"/>
        </w:rPr>
        <w:t>,</w:t>
      </w:r>
      <w:r>
        <w:rPr>
          <w:noProof/>
          <w:lang w:val="en-IE"/>
        </w:rPr>
        <w:t xml:space="preserve"> forest increment of managed forest is projected to reach its maximum around </w:t>
      </w:r>
      <w:r w:rsidR="00E12094">
        <w:rPr>
          <w:noProof/>
          <w:lang w:val="en-IE"/>
        </w:rPr>
        <w:t>20</w:t>
      </w:r>
      <w:r w:rsidR="009C018D">
        <w:rPr>
          <w:noProof/>
          <w:lang w:val="en-IE"/>
        </w:rPr>
        <w:t>3</w:t>
      </w:r>
      <w:r w:rsidR="00E12094">
        <w:rPr>
          <w:noProof/>
          <w:lang w:val="en-IE"/>
        </w:rPr>
        <w:t>0 for S1 and around</w:t>
      </w:r>
      <w:r>
        <w:rPr>
          <w:noProof/>
          <w:lang w:val="en-IE"/>
        </w:rPr>
        <w:t xml:space="preserve"> </w:t>
      </w:r>
      <w:r w:rsidR="00211DE0">
        <w:rPr>
          <w:noProof/>
          <w:lang w:val="en-IE"/>
        </w:rPr>
        <w:t xml:space="preserve">2040 </w:t>
      </w:r>
      <w:r>
        <w:rPr>
          <w:noProof/>
          <w:lang w:val="en-IE"/>
        </w:rPr>
        <w:t xml:space="preserve">for S2 and S3 and will then slowly decline. </w:t>
      </w:r>
      <w:r w:rsidR="00E12094">
        <w:rPr>
          <w:noProof/>
          <w:lang w:val="en-IE"/>
        </w:rPr>
        <w:t>The difference</w:t>
      </w:r>
      <w:r w:rsidR="003654FC">
        <w:rPr>
          <w:noProof/>
          <w:lang w:val="en-IE"/>
        </w:rPr>
        <w:t xml:space="preserve"> in forest increment </w:t>
      </w:r>
      <w:r w:rsidR="00E12094">
        <w:rPr>
          <w:noProof/>
          <w:lang w:val="en-IE"/>
        </w:rPr>
        <w:t xml:space="preserve">between the scenarios </w:t>
      </w:r>
      <w:r w:rsidR="003654FC">
        <w:rPr>
          <w:noProof/>
          <w:lang w:val="en-IE"/>
        </w:rPr>
        <w:t xml:space="preserve">in 2040 </w:t>
      </w:r>
      <w:r w:rsidR="00460CDA">
        <w:rPr>
          <w:noProof/>
          <w:lang w:val="en-IE"/>
        </w:rPr>
        <w:t xml:space="preserve">is caused by different </w:t>
      </w:r>
      <w:r w:rsidR="00196626">
        <w:rPr>
          <w:noProof/>
          <w:lang w:val="en-IE"/>
        </w:rPr>
        <w:t>carbon values</w:t>
      </w:r>
      <w:r w:rsidR="0003696C">
        <w:rPr>
          <w:noProof/>
          <w:lang w:val="en-IE"/>
        </w:rPr>
        <w:t xml:space="preserve"> to cover mitigation costs</w:t>
      </w:r>
      <w:r w:rsidR="00871EB4">
        <w:rPr>
          <w:noProof/>
          <w:lang w:val="en-IE"/>
        </w:rPr>
        <w:t>, which incentivize</w:t>
      </w:r>
      <w:r w:rsidR="00F00127">
        <w:rPr>
          <w:noProof/>
          <w:lang w:val="en-IE"/>
        </w:rPr>
        <w:t xml:space="preserve"> improved forest management </w:t>
      </w:r>
      <w:r w:rsidR="007F7F8B">
        <w:rPr>
          <w:noProof/>
          <w:lang w:val="en-IE"/>
        </w:rPr>
        <w:t>and afforestation</w:t>
      </w:r>
      <w:r w:rsidR="005F2FB3">
        <w:rPr>
          <w:noProof/>
          <w:lang w:val="en-IE"/>
        </w:rPr>
        <w:t xml:space="preserve"> in S2 and S3 (see section </w:t>
      </w:r>
      <w:r w:rsidR="005F2FB3">
        <w:rPr>
          <w:noProof/>
          <w:lang w:val="en-IE"/>
        </w:rPr>
        <w:fldChar w:fldCharType="begin"/>
      </w:r>
      <w:r w:rsidR="005F2FB3">
        <w:rPr>
          <w:noProof/>
          <w:lang w:val="en-IE"/>
        </w:rPr>
        <w:instrText xml:space="preserve"> REF _Ref154004691 \r \h </w:instrText>
      </w:r>
      <w:r w:rsidR="005F2FB3">
        <w:rPr>
          <w:noProof/>
          <w:lang w:val="en-IE"/>
        </w:rPr>
      </w:r>
      <w:r w:rsidR="005F2FB3">
        <w:rPr>
          <w:noProof/>
          <w:lang w:val="en-IE"/>
        </w:rPr>
        <w:fldChar w:fldCharType="separate"/>
      </w:r>
      <w:r w:rsidR="00EB75EE">
        <w:rPr>
          <w:noProof/>
          <w:lang w:val="en-IE"/>
        </w:rPr>
        <w:t>1.8.3</w:t>
      </w:r>
      <w:r w:rsidR="005F2FB3">
        <w:rPr>
          <w:noProof/>
          <w:lang w:val="en-IE"/>
        </w:rPr>
        <w:fldChar w:fldCharType="end"/>
      </w:r>
      <w:r w:rsidR="005F2FB3">
        <w:rPr>
          <w:noProof/>
          <w:lang w:val="en-IE"/>
        </w:rPr>
        <w:t>).</w:t>
      </w:r>
      <w:r w:rsidR="00B15B80">
        <w:rPr>
          <w:noProof/>
          <w:lang w:val="en-IE"/>
        </w:rPr>
        <w:t xml:space="preserve"> </w:t>
      </w:r>
      <w:r w:rsidR="003A09DA">
        <w:rPr>
          <w:noProof/>
          <w:lang w:val="en-IE"/>
        </w:rPr>
        <w:t>In 2050 S1, S2 and S3</w:t>
      </w:r>
      <w:r w:rsidR="001D386E">
        <w:rPr>
          <w:noProof/>
          <w:lang w:val="en-IE"/>
        </w:rPr>
        <w:t xml:space="preserve"> use</w:t>
      </w:r>
      <w:r w:rsidR="004B6298">
        <w:rPr>
          <w:noProof/>
          <w:lang w:val="en-IE"/>
        </w:rPr>
        <w:t xml:space="preserve"> equal carbon </w:t>
      </w:r>
      <w:r w:rsidR="00215198">
        <w:rPr>
          <w:noProof/>
          <w:lang w:val="en-IE"/>
        </w:rPr>
        <w:t xml:space="preserve">values, resulting in </w:t>
      </w:r>
      <w:r w:rsidR="004E7D23">
        <w:rPr>
          <w:noProof/>
          <w:lang w:val="en-IE"/>
        </w:rPr>
        <w:t>the same forest increment.</w:t>
      </w:r>
      <w:r w:rsidR="0003696C" w:rsidRPr="003A09DA">
        <w:rPr>
          <w:noProof/>
          <w:lang w:val="en-IE"/>
        </w:rPr>
        <w:t xml:space="preserve"> </w:t>
      </w:r>
      <w:r w:rsidRPr="003A09DA">
        <w:rPr>
          <w:noProof/>
          <w:lang w:val="en-IE"/>
        </w:rPr>
        <w:t xml:space="preserve">For </w:t>
      </w:r>
      <w:r w:rsidR="00C459D4" w:rsidRPr="003A09DA">
        <w:rPr>
          <w:noProof/>
          <w:lang w:val="en-IE"/>
        </w:rPr>
        <w:t>LIFE</w:t>
      </w:r>
      <w:r w:rsidRPr="003A09DA">
        <w:rPr>
          <w:noProof/>
          <w:lang w:val="en-IE"/>
        </w:rPr>
        <w:t xml:space="preserve"> the </w:t>
      </w:r>
      <w:r w:rsidR="00F53941" w:rsidRPr="003A09DA">
        <w:rPr>
          <w:noProof/>
          <w:lang w:val="en-IE"/>
        </w:rPr>
        <w:t xml:space="preserve">trend </w:t>
      </w:r>
      <w:r w:rsidRPr="003A09DA">
        <w:rPr>
          <w:noProof/>
          <w:lang w:val="en-IE"/>
        </w:rPr>
        <w:t xml:space="preserve">looks </w:t>
      </w:r>
      <w:r w:rsidR="00C67535" w:rsidRPr="0088419B">
        <w:rPr>
          <w:noProof/>
          <w:lang w:val="en-IE"/>
        </w:rPr>
        <w:t>more optimistic</w:t>
      </w:r>
      <w:r w:rsidR="00F07352" w:rsidRPr="0088419B">
        <w:rPr>
          <w:noProof/>
          <w:lang w:val="en-IE"/>
        </w:rPr>
        <w:t>,</w:t>
      </w:r>
      <w:r w:rsidRPr="003A09DA">
        <w:rPr>
          <w:noProof/>
          <w:lang w:val="en-IE"/>
        </w:rPr>
        <w:t xml:space="preserve"> because </w:t>
      </w:r>
      <w:r w:rsidR="008C2F2D" w:rsidRPr="003A09DA">
        <w:rPr>
          <w:noProof/>
          <w:lang w:val="en-IE"/>
        </w:rPr>
        <w:t xml:space="preserve">a significant share of </w:t>
      </w:r>
      <w:r w:rsidRPr="003A09DA">
        <w:rPr>
          <w:noProof/>
          <w:lang w:val="en-IE"/>
        </w:rPr>
        <w:t xml:space="preserve">new </w:t>
      </w:r>
      <w:r w:rsidR="008C2F2D" w:rsidRPr="003A09DA">
        <w:rPr>
          <w:noProof/>
          <w:lang w:val="en-IE"/>
        </w:rPr>
        <w:t>land</w:t>
      </w:r>
      <w:r w:rsidRPr="003A09DA">
        <w:rPr>
          <w:noProof/>
          <w:lang w:val="en-IE"/>
        </w:rPr>
        <w:t xml:space="preserve"> </w:t>
      </w:r>
      <w:r w:rsidR="008C2F2D" w:rsidRPr="003A09DA">
        <w:rPr>
          <w:noProof/>
          <w:lang w:val="en-IE"/>
        </w:rPr>
        <w:t xml:space="preserve">is </w:t>
      </w:r>
      <w:r w:rsidRPr="003A09DA">
        <w:rPr>
          <w:noProof/>
          <w:lang w:val="en-IE"/>
        </w:rPr>
        <w:t>used for afforestation, which lead</w:t>
      </w:r>
      <w:r w:rsidR="001F68DB" w:rsidRPr="003A09DA">
        <w:rPr>
          <w:noProof/>
          <w:lang w:val="en-IE"/>
        </w:rPr>
        <w:t>s</w:t>
      </w:r>
      <w:r w:rsidRPr="003A09DA">
        <w:rPr>
          <w:noProof/>
          <w:lang w:val="en-IE"/>
        </w:rPr>
        <w:t xml:space="preserve"> </w:t>
      </w:r>
      <w:r w:rsidR="000F5F30" w:rsidRPr="0088419B">
        <w:rPr>
          <w:noProof/>
          <w:lang w:val="en-IE"/>
        </w:rPr>
        <w:t xml:space="preserve">to a </w:t>
      </w:r>
      <w:r w:rsidR="009035BD" w:rsidRPr="0088419B">
        <w:rPr>
          <w:noProof/>
          <w:lang w:val="en-IE"/>
        </w:rPr>
        <w:t xml:space="preserve">greater </w:t>
      </w:r>
      <w:r w:rsidR="00D43F04" w:rsidRPr="0088419B">
        <w:rPr>
          <w:noProof/>
          <w:lang w:val="en-IE"/>
        </w:rPr>
        <w:t>forest increment compared to S2 and S3</w:t>
      </w:r>
      <w:r w:rsidR="009035BD" w:rsidRPr="0088419B">
        <w:rPr>
          <w:noProof/>
          <w:lang w:val="en-IE"/>
        </w:rPr>
        <w:t>.</w:t>
      </w:r>
      <w:r w:rsidR="00D43F04" w:rsidRPr="0088419B">
        <w:rPr>
          <w:noProof/>
          <w:lang w:val="en-IE"/>
        </w:rPr>
        <w:t xml:space="preserve"> </w:t>
      </w:r>
      <w:r w:rsidR="009035BD" w:rsidRPr="0088419B">
        <w:rPr>
          <w:noProof/>
          <w:lang w:val="en-IE"/>
        </w:rPr>
        <w:t>In</w:t>
      </w:r>
      <w:r w:rsidR="00B35D18" w:rsidRPr="0088419B">
        <w:rPr>
          <w:noProof/>
          <w:lang w:val="en-IE"/>
        </w:rPr>
        <w:t xml:space="preserve"> 20</w:t>
      </w:r>
      <w:r w:rsidR="009035BD" w:rsidRPr="0088419B">
        <w:rPr>
          <w:noProof/>
          <w:lang w:val="en-IE"/>
        </w:rPr>
        <w:t>50</w:t>
      </w:r>
      <w:r w:rsidR="00B35D18" w:rsidRPr="0088419B">
        <w:rPr>
          <w:noProof/>
          <w:lang w:val="en-IE"/>
        </w:rPr>
        <w:t xml:space="preserve"> </w:t>
      </w:r>
      <w:r w:rsidR="00997DFC" w:rsidRPr="0088419B">
        <w:rPr>
          <w:noProof/>
          <w:lang w:val="en-IE"/>
        </w:rPr>
        <w:t>the discrepancy to the other scenarios becomes even</w:t>
      </w:r>
      <w:r w:rsidR="00B15B80" w:rsidRPr="0088419B">
        <w:rPr>
          <w:noProof/>
          <w:lang w:val="en-IE"/>
        </w:rPr>
        <w:t xml:space="preserve"> bigger, because</w:t>
      </w:r>
      <w:r w:rsidRPr="003A09DA">
        <w:rPr>
          <w:noProof/>
          <w:lang w:val="en-IE"/>
        </w:rPr>
        <w:t xml:space="preserve"> </w:t>
      </w:r>
      <w:r w:rsidR="00B15B80" w:rsidRPr="0088419B">
        <w:rPr>
          <w:noProof/>
          <w:lang w:val="en-IE"/>
        </w:rPr>
        <w:t xml:space="preserve">additionally </w:t>
      </w:r>
      <w:r w:rsidRPr="003A09DA">
        <w:rPr>
          <w:noProof/>
          <w:lang w:val="en-IE"/>
        </w:rPr>
        <w:t xml:space="preserve">afforested trees </w:t>
      </w:r>
      <w:r w:rsidR="00FF6465" w:rsidRPr="003A09DA">
        <w:rPr>
          <w:noProof/>
          <w:lang w:val="en-IE"/>
        </w:rPr>
        <w:t xml:space="preserve">achieve </w:t>
      </w:r>
      <w:r w:rsidRPr="003A09DA">
        <w:rPr>
          <w:noProof/>
          <w:lang w:val="en-IE"/>
        </w:rPr>
        <w:t>high grow</w:t>
      </w:r>
      <w:r w:rsidR="00DE3BC5">
        <w:rPr>
          <w:noProof/>
          <w:lang w:val="en-IE"/>
        </w:rPr>
        <w:t>th</w:t>
      </w:r>
      <w:r w:rsidRPr="003A09DA">
        <w:rPr>
          <w:noProof/>
          <w:lang w:val="en-IE"/>
        </w:rPr>
        <w:t xml:space="preserve"> rates. </w:t>
      </w:r>
    </w:p>
    <w:p w14:paraId="27CA4027" w14:textId="026466DC" w:rsidR="00CD7F7F" w:rsidRDefault="00377C1A" w:rsidP="00CD7F7F">
      <w:pPr>
        <w:pStyle w:val="Caption"/>
        <w:keepLines/>
        <w:rPr>
          <w:noProof/>
        </w:rPr>
      </w:pPr>
      <w:bookmarkStart w:id="492" w:name="_Ref145489433"/>
      <w:bookmarkStart w:id="493" w:name="_Ref146043342"/>
      <w:bookmarkStart w:id="494" w:name="_Toc157679838"/>
      <w:r>
        <w:rPr>
          <w:noProof/>
        </w:rPr>
        <w:t xml:space="preserve">Figure </w:t>
      </w:r>
      <w:bookmarkEnd w:id="492"/>
      <w:r>
        <w:rPr>
          <w:noProof/>
        </w:rPr>
        <w:fldChar w:fldCharType="begin"/>
      </w:r>
      <w:r>
        <w:rPr>
          <w:noProof/>
        </w:rPr>
        <w:instrText xml:space="preserve"> SEQ Figure \* ARABIC </w:instrText>
      </w:r>
      <w:r>
        <w:rPr>
          <w:noProof/>
        </w:rPr>
        <w:fldChar w:fldCharType="separate"/>
      </w:r>
      <w:r w:rsidR="00EB75EE">
        <w:rPr>
          <w:noProof/>
        </w:rPr>
        <w:t>90</w:t>
      </w:r>
      <w:r>
        <w:rPr>
          <w:noProof/>
        </w:rPr>
        <w:fldChar w:fldCharType="end"/>
      </w:r>
      <w:bookmarkEnd w:id="493"/>
      <w:r w:rsidR="00CD7F7F">
        <w:rPr>
          <w:noProof/>
        </w:rPr>
        <w:t>: Total forest increment of managed forests per year and scenario in EU</w:t>
      </w:r>
      <w:bookmarkEnd w:id="494"/>
    </w:p>
    <w:p w14:paraId="13418E74" w14:textId="7AE772F1" w:rsidR="00092319" w:rsidRPr="00092319" w:rsidRDefault="00092319" w:rsidP="00092319">
      <w:pPr>
        <w:rPr>
          <w:noProof/>
        </w:rPr>
      </w:pPr>
      <w:r w:rsidRPr="00092319">
        <w:rPr>
          <w:noProof/>
          <w:lang w:eastAsia="en-GB"/>
        </w:rPr>
        <w:drawing>
          <wp:inline distT="0" distB="0" distL="0" distR="0" wp14:anchorId="6FFEA436" wp14:editId="3E81214E">
            <wp:extent cx="5404485" cy="2517775"/>
            <wp:effectExtent l="0" t="0" r="5715" b="0"/>
            <wp:docPr id="1406946439" name="Picture 1406946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5404485" cy="2517775"/>
                    </a:xfrm>
                    <a:prstGeom prst="rect">
                      <a:avLst/>
                    </a:prstGeom>
                    <a:noFill/>
                    <a:ln>
                      <a:noFill/>
                    </a:ln>
                  </pic:spPr>
                </pic:pic>
              </a:graphicData>
            </a:graphic>
          </wp:inline>
        </w:drawing>
      </w:r>
    </w:p>
    <w:p w14:paraId="04505F6C" w14:textId="1EE2A4B3" w:rsidR="00CD7F7F" w:rsidRPr="009303E0" w:rsidRDefault="00CD7F7F" w:rsidP="00CD7F7F">
      <w:pPr>
        <w:pStyle w:val="CT-NOTE"/>
        <w:rPr>
          <w:noProof/>
        </w:rPr>
      </w:pPr>
      <w:r w:rsidRPr="009303E0">
        <w:rPr>
          <w:noProof/>
        </w:rPr>
        <w:t xml:space="preserve">Note: </w:t>
      </w:r>
      <w:r>
        <w:rPr>
          <w:noProof/>
        </w:rPr>
        <w:t>The g</w:t>
      </w:r>
      <w:r w:rsidRPr="009303E0">
        <w:rPr>
          <w:noProof/>
        </w:rPr>
        <w:t>raph depicts the forest increment projections per year</w:t>
      </w:r>
      <w:r>
        <w:rPr>
          <w:noProof/>
        </w:rPr>
        <w:t xml:space="preserve"> for S1,</w:t>
      </w:r>
      <w:r w:rsidR="004319E4">
        <w:rPr>
          <w:noProof/>
        </w:rPr>
        <w:t xml:space="preserve"> </w:t>
      </w:r>
      <w:r>
        <w:rPr>
          <w:noProof/>
        </w:rPr>
        <w:t xml:space="preserve">S2, S3 </w:t>
      </w:r>
      <w:r w:rsidR="00CA2761">
        <w:rPr>
          <w:noProof/>
        </w:rPr>
        <w:t>and LIFE</w:t>
      </w:r>
      <w:r w:rsidRPr="009303E0">
        <w:rPr>
          <w:noProof/>
        </w:rPr>
        <w:t>. The forest increment does not take natural disturbances or climate change and CO</w:t>
      </w:r>
      <w:r w:rsidRPr="009303E0">
        <w:rPr>
          <w:noProof/>
          <w:vertAlign w:val="subscript"/>
        </w:rPr>
        <w:t>2</w:t>
      </w:r>
      <w:r w:rsidRPr="009303E0">
        <w:rPr>
          <w:noProof/>
        </w:rPr>
        <w:t xml:space="preserve"> fertilisation effects into account. </w:t>
      </w:r>
    </w:p>
    <w:p w14:paraId="1A6969E9" w14:textId="77777777" w:rsidR="00CD7F7F" w:rsidRPr="009303E0" w:rsidRDefault="00CD7F7F" w:rsidP="00CD7F7F">
      <w:pPr>
        <w:pStyle w:val="CT-SOURCE"/>
        <w:rPr>
          <w:noProof/>
        </w:rPr>
      </w:pPr>
      <w:r w:rsidRPr="009303E0">
        <w:rPr>
          <w:noProof/>
        </w:rPr>
        <w:t>Source: GLOBIOM</w:t>
      </w:r>
    </w:p>
    <w:p w14:paraId="5F5B3D39" w14:textId="77777777" w:rsidR="00F675A8" w:rsidRPr="00076E9D" w:rsidRDefault="00F675A8" w:rsidP="00F7719F">
      <w:pPr>
        <w:pStyle w:val="Heading4"/>
        <w:rPr>
          <w:noProof/>
        </w:rPr>
      </w:pPr>
      <w:bookmarkStart w:id="495" w:name="_Hlk154002088"/>
      <w:bookmarkStart w:id="496" w:name="_Hlk145348102"/>
      <w:r>
        <w:rPr>
          <w:noProof/>
        </w:rPr>
        <w:t>Land</w:t>
      </w:r>
      <w:r w:rsidR="00D74670">
        <w:rPr>
          <w:noProof/>
        </w:rPr>
        <w:t xml:space="preserve"> use</w:t>
      </w:r>
      <w:r>
        <w:rPr>
          <w:noProof/>
        </w:rPr>
        <w:t xml:space="preserve"> </w:t>
      </w:r>
    </w:p>
    <w:p w14:paraId="4A4896B0" w14:textId="499F31C5" w:rsidR="00E475B1" w:rsidRPr="00E475B1" w:rsidRDefault="00F675A8" w:rsidP="00905891">
      <w:pPr>
        <w:rPr>
          <w:noProof/>
          <w:lang w:val="en-IE"/>
        </w:rPr>
      </w:pPr>
      <w:r>
        <w:rPr>
          <w:noProof/>
          <w:lang w:val="en-IE"/>
        </w:rPr>
        <w:t xml:space="preserve">The distribution of land for different uses impacts </w:t>
      </w:r>
      <w:r w:rsidR="00480F34">
        <w:rPr>
          <w:noProof/>
          <w:lang w:val="en-IE"/>
        </w:rPr>
        <w:t xml:space="preserve">GHG </w:t>
      </w:r>
      <w:r>
        <w:rPr>
          <w:noProof/>
          <w:lang w:val="en-IE"/>
        </w:rPr>
        <w:t xml:space="preserve">emissions and </w:t>
      </w:r>
      <w:r w:rsidR="00480F34">
        <w:rPr>
          <w:noProof/>
          <w:lang w:val="en-IE"/>
        </w:rPr>
        <w:t xml:space="preserve">carbon </w:t>
      </w:r>
      <w:r>
        <w:rPr>
          <w:noProof/>
          <w:lang w:val="en-IE"/>
        </w:rPr>
        <w:t>removals from land but is also influencing the functioning of habitats and ecosystems which play a vital role for biodiversity</w:t>
      </w:r>
      <w:r w:rsidR="00027133">
        <w:rPr>
          <w:noProof/>
          <w:lang w:val="en-IE"/>
        </w:rPr>
        <w:t xml:space="preserve"> and climate</w:t>
      </w:r>
      <w:r>
        <w:rPr>
          <w:noProof/>
          <w:lang w:val="en-IE"/>
        </w:rPr>
        <w:t xml:space="preserve">. The use of land is under high competition in the EU to supply land for food, </w:t>
      </w:r>
      <w:r w:rsidR="001B3FB6">
        <w:rPr>
          <w:noProof/>
          <w:lang w:val="en-IE"/>
        </w:rPr>
        <w:t>product</w:t>
      </w:r>
      <w:r w:rsidR="00480F34">
        <w:rPr>
          <w:noProof/>
          <w:lang w:val="en-IE"/>
        </w:rPr>
        <w:t>i</w:t>
      </w:r>
      <w:r w:rsidR="001B3FB6">
        <w:rPr>
          <w:noProof/>
          <w:lang w:val="en-IE"/>
        </w:rPr>
        <w:t>on of materials</w:t>
      </w:r>
      <w:r>
        <w:rPr>
          <w:noProof/>
          <w:lang w:val="en-IE"/>
        </w:rPr>
        <w:t xml:space="preserve">, bioenergy, housing and infrastructures, ecosystem services and other purposes. </w:t>
      </w:r>
      <w:r w:rsidR="00D74670">
        <w:rPr>
          <w:noProof/>
          <w:lang w:val="en-IE"/>
        </w:rPr>
        <w:t>A change in land use for example by reducing the</w:t>
      </w:r>
      <w:r w:rsidR="00E475B1">
        <w:rPr>
          <w:noProof/>
          <w:lang w:val="en-IE"/>
        </w:rPr>
        <w:t xml:space="preserve"> land for settlements or changing land used </w:t>
      </w:r>
      <w:r w:rsidR="001B3FB6">
        <w:rPr>
          <w:noProof/>
          <w:lang w:val="en-IE"/>
        </w:rPr>
        <w:t>dedicated to</w:t>
      </w:r>
      <w:r w:rsidR="00E475B1">
        <w:rPr>
          <w:noProof/>
          <w:lang w:val="en-IE"/>
        </w:rPr>
        <w:t xml:space="preserve"> fodder activities for carbon farming activities would </w:t>
      </w:r>
      <w:r w:rsidR="00D324AE">
        <w:rPr>
          <w:noProof/>
          <w:lang w:val="en-IE"/>
        </w:rPr>
        <w:t xml:space="preserve">reduce emissions </w:t>
      </w:r>
      <w:r w:rsidR="00795BA3">
        <w:rPr>
          <w:noProof/>
          <w:lang w:val="en-IE"/>
        </w:rPr>
        <w:t xml:space="preserve">or enhance </w:t>
      </w:r>
      <w:r w:rsidR="001D01F8">
        <w:rPr>
          <w:noProof/>
          <w:lang w:val="en-IE"/>
        </w:rPr>
        <w:t>carbon removals</w:t>
      </w:r>
      <w:r w:rsidR="00D324AE">
        <w:rPr>
          <w:noProof/>
          <w:lang w:val="en-IE"/>
        </w:rPr>
        <w:t xml:space="preserve"> and thus </w:t>
      </w:r>
      <w:r w:rsidR="00E475B1">
        <w:rPr>
          <w:noProof/>
          <w:lang w:val="en-IE"/>
        </w:rPr>
        <w:t xml:space="preserve">have </w:t>
      </w:r>
      <w:r w:rsidR="00D324AE">
        <w:rPr>
          <w:noProof/>
          <w:lang w:val="en-IE"/>
        </w:rPr>
        <w:t>a</w:t>
      </w:r>
      <w:r w:rsidR="00E475B1">
        <w:rPr>
          <w:noProof/>
          <w:lang w:val="en-IE"/>
        </w:rPr>
        <w:t xml:space="preserve"> </w:t>
      </w:r>
      <w:r w:rsidR="00FD3693">
        <w:rPr>
          <w:noProof/>
          <w:lang w:val="en-IE"/>
        </w:rPr>
        <w:t>positive impact</w:t>
      </w:r>
      <w:r w:rsidR="00E475B1">
        <w:rPr>
          <w:noProof/>
          <w:lang w:val="en-IE"/>
        </w:rPr>
        <w:t xml:space="preserve"> on </w:t>
      </w:r>
      <w:r w:rsidR="00FD3693">
        <w:rPr>
          <w:noProof/>
          <w:lang w:val="en-IE"/>
        </w:rPr>
        <w:t xml:space="preserve">the </w:t>
      </w:r>
      <w:r w:rsidR="00B170BD">
        <w:rPr>
          <w:noProof/>
          <w:lang w:val="en-IE"/>
        </w:rPr>
        <w:t>net removal</w:t>
      </w:r>
      <w:r w:rsidR="00FC3D59">
        <w:rPr>
          <w:noProof/>
          <w:lang w:val="en-IE"/>
        </w:rPr>
        <w:t>s</w:t>
      </w:r>
      <w:r w:rsidR="003B0F82">
        <w:rPr>
          <w:noProof/>
          <w:lang w:val="en-IE"/>
        </w:rPr>
        <w:t>.</w:t>
      </w:r>
    </w:p>
    <w:p w14:paraId="5DC9B5C1" w14:textId="0D97F68D" w:rsidR="00D74670" w:rsidRPr="0044656F" w:rsidRDefault="00FA3B78" w:rsidP="00D74670">
      <w:pPr>
        <w:rPr>
          <w:noProof/>
          <w:lang w:val="en-IE"/>
        </w:rPr>
      </w:pPr>
      <w:r>
        <w:rPr>
          <w:noProof/>
          <w:color w:val="2B579A"/>
          <w:shd w:val="clear" w:color="auto" w:fill="E6E6E6"/>
          <w:lang w:val="en-IE"/>
        </w:rPr>
        <w:fldChar w:fldCharType="begin"/>
      </w:r>
      <w:r>
        <w:rPr>
          <w:noProof/>
          <w:lang w:val="en-IE"/>
        </w:rPr>
        <w:instrText xml:space="preserve"> REF _Ref146043370 \h </w:instrText>
      </w:r>
      <w:r>
        <w:rPr>
          <w:noProof/>
          <w:color w:val="2B579A"/>
          <w:shd w:val="clear" w:color="auto" w:fill="E6E6E6"/>
          <w:lang w:val="en-IE"/>
        </w:rPr>
      </w:r>
      <w:r>
        <w:rPr>
          <w:noProof/>
          <w:color w:val="2B579A"/>
          <w:shd w:val="clear" w:color="auto" w:fill="E6E6E6"/>
          <w:lang w:val="en-IE"/>
        </w:rPr>
        <w:fldChar w:fldCharType="separate"/>
      </w:r>
      <w:r w:rsidR="00170A3C">
        <w:rPr>
          <w:noProof/>
        </w:rPr>
        <w:t>Figure 91</w:t>
      </w:r>
      <w:r>
        <w:rPr>
          <w:noProof/>
          <w:color w:val="2B579A"/>
          <w:shd w:val="clear" w:color="auto" w:fill="E6E6E6"/>
          <w:lang w:val="en-IE"/>
        </w:rPr>
        <w:fldChar w:fldCharType="end"/>
      </w:r>
      <w:r>
        <w:rPr>
          <w:noProof/>
          <w:lang w:val="en-IE"/>
        </w:rPr>
        <w:t xml:space="preserve"> </w:t>
      </w:r>
      <w:r w:rsidR="00D74670">
        <w:rPr>
          <w:noProof/>
          <w:lang w:val="en-IE"/>
        </w:rPr>
        <w:t>provides an overview of the historic evolution of the land use until 2020. Overall</w:t>
      </w:r>
      <w:r w:rsidR="00480F34">
        <w:rPr>
          <w:noProof/>
          <w:lang w:val="en-IE"/>
        </w:rPr>
        <w:t>,</w:t>
      </w:r>
      <w:r w:rsidR="00D74670">
        <w:rPr>
          <w:noProof/>
          <w:lang w:val="en-IE"/>
        </w:rPr>
        <w:t xml:space="preserve"> the share of land use between different sectors appears very stable with a slow increase in managed forest land</w:t>
      </w:r>
      <w:r w:rsidR="00163539">
        <w:rPr>
          <w:noProof/>
          <w:lang w:val="en-IE"/>
        </w:rPr>
        <w:t xml:space="preserve"> (+4 Mha)</w:t>
      </w:r>
      <w:r w:rsidR="001E4A4C">
        <w:rPr>
          <w:noProof/>
          <w:lang w:val="en-IE"/>
        </w:rPr>
        <w:t xml:space="preserve"> and </w:t>
      </w:r>
      <w:r w:rsidR="00937205">
        <w:rPr>
          <w:noProof/>
          <w:lang w:val="en-IE"/>
        </w:rPr>
        <w:t xml:space="preserve">land for </w:t>
      </w:r>
      <w:r w:rsidR="001E4A4C">
        <w:rPr>
          <w:noProof/>
          <w:lang w:val="en-IE"/>
        </w:rPr>
        <w:t>settlement</w:t>
      </w:r>
      <w:r w:rsidR="00271429">
        <w:rPr>
          <w:noProof/>
          <w:lang w:val="en-IE"/>
        </w:rPr>
        <w:t xml:space="preserve">s (+3 Mha) </w:t>
      </w:r>
      <w:r w:rsidR="0008650D">
        <w:rPr>
          <w:noProof/>
          <w:lang w:val="en-IE"/>
        </w:rPr>
        <w:t>and a simulta</w:t>
      </w:r>
      <w:r w:rsidR="004B7B6C">
        <w:rPr>
          <w:noProof/>
          <w:lang w:val="en-IE"/>
        </w:rPr>
        <w:t xml:space="preserve">neous decline of </w:t>
      </w:r>
      <w:r w:rsidR="00B348E1">
        <w:rPr>
          <w:noProof/>
          <w:lang w:val="en-IE"/>
        </w:rPr>
        <w:t xml:space="preserve">cropland </w:t>
      </w:r>
      <w:r w:rsidR="004B7B6C">
        <w:rPr>
          <w:noProof/>
          <w:lang w:val="en-IE"/>
        </w:rPr>
        <w:t>(</w:t>
      </w:r>
      <w:r w:rsidR="00163539">
        <w:rPr>
          <w:noProof/>
          <w:lang w:val="en-IE"/>
        </w:rPr>
        <w:t>-7 Mha)</w:t>
      </w:r>
      <w:r w:rsidR="00D74670">
        <w:rPr>
          <w:noProof/>
          <w:lang w:val="en-IE"/>
        </w:rPr>
        <w:t xml:space="preserve">. The area for settlements </w:t>
      </w:r>
      <w:r w:rsidR="00480F34">
        <w:rPr>
          <w:noProof/>
          <w:lang w:val="en-IE"/>
        </w:rPr>
        <w:t>has been</w:t>
      </w:r>
      <w:r w:rsidR="00D74670">
        <w:rPr>
          <w:noProof/>
          <w:lang w:val="en-IE"/>
        </w:rPr>
        <w:t xml:space="preserve"> </w:t>
      </w:r>
      <w:r w:rsidR="0001652E">
        <w:rPr>
          <w:noProof/>
          <w:lang w:val="en-IE"/>
        </w:rPr>
        <w:t>steadily</w:t>
      </w:r>
      <w:r w:rsidR="00D74670">
        <w:rPr>
          <w:noProof/>
          <w:lang w:val="en-IE"/>
        </w:rPr>
        <w:t xml:space="preserve"> increasing until today</w:t>
      </w:r>
      <w:r w:rsidR="00BA6CA8">
        <w:rPr>
          <w:noProof/>
          <w:lang w:val="en-IE"/>
        </w:rPr>
        <w:t>,</w:t>
      </w:r>
      <w:r w:rsidR="00D74670">
        <w:rPr>
          <w:noProof/>
          <w:lang w:val="en-IE"/>
        </w:rPr>
        <w:t xml:space="preserve"> which is associated with additional emissions. </w:t>
      </w:r>
    </w:p>
    <w:p w14:paraId="1E4E8276" w14:textId="4C7F8C22" w:rsidR="00946945" w:rsidRDefault="00D74670" w:rsidP="004B3021">
      <w:pPr>
        <w:pStyle w:val="Caption"/>
        <w:keepLines/>
        <w:rPr>
          <w:noProof/>
        </w:rPr>
      </w:pPr>
      <w:bookmarkStart w:id="497" w:name="_Ref145346899"/>
      <w:bookmarkStart w:id="498" w:name="_Ref139977635"/>
      <w:bookmarkStart w:id="499" w:name="_Ref140665942"/>
      <w:bookmarkStart w:id="500" w:name="_Ref142906065"/>
      <w:bookmarkStart w:id="501" w:name="_Ref146043370"/>
      <w:bookmarkStart w:id="502" w:name="_Toc157679839"/>
      <w:r>
        <w:rPr>
          <w:noProof/>
        </w:rPr>
        <w:t xml:space="preserve">Figure </w:t>
      </w:r>
      <w:bookmarkEnd w:id="497"/>
      <w:bookmarkEnd w:id="498"/>
      <w:bookmarkEnd w:id="499"/>
      <w:bookmarkEnd w:id="500"/>
      <w:r w:rsidR="00F2742D">
        <w:rPr>
          <w:noProof/>
        </w:rPr>
        <w:fldChar w:fldCharType="begin"/>
      </w:r>
      <w:r w:rsidR="00F2742D">
        <w:rPr>
          <w:noProof/>
        </w:rPr>
        <w:instrText xml:space="preserve"> SEQ Figure \* ARABIC </w:instrText>
      </w:r>
      <w:r w:rsidR="00F2742D">
        <w:rPr>
          <w:noProof/>
        </w:rPr>
        <w:fldChar w:fldCharType="separate"/>
      </w:r>
      <w:r w:rsidR="00170A3C">
        <w:rPr>
          <w:noProof/>
        </w:rPr>
        <w:t>91</w:t>
      </w:r>
      <w:r w:rsidR="00F2742D">
        <w:rPr>
          <w:noProof/>
        </w:rPr>
        <w:fldChar w:fldCharType="end"/>
      </w:r>
      <w:bookmarkEnd w:id="501"/>
      <w:r w:rsidR="00946945">
        <w:rPr>
          <w:noProof/>
        </w:rPr>
        <w:t xml:space="preserve">: Evolution of </w:t>
      </w:r>
      <w:r w:rsidR="00946945" w:rsidRPr="001130B2">
        <w:rPr>
          <w:noProof/>
        </w:rPr>
        <w:t>land use in EU</w:t>
      </w:r>
      <w:r w:rsidR="00D324AE">
        <w:rPr>
          <w:noProof/>
        </w:rPr>
        <w:t xml:space="preserve"> by category</w:t>
      </w:r>
      <w:bookmarkEnd w:id="502"/>
    </w:p>
    <w:p w14:paraId="3034578C" w14:textId="04C688CA" w:rsidR="00B6002F" w:rsidRPr="00B6002F" w:rsidRDefault="00B6002F" w:rsidP="00B6002F">
      <w:pPr>
        <w:rPr>
          <w:noProof/>
        </w:rPr>
      </w:pPr>
      <w:r w:rsidRPr="00B6002F">
        <w:rPr>
          <w:noProof/>
          <w:lang w:eastAsia="en-GB"/>
        </w:rPr>
        <w:drawing>
          <wp:inline distT="0" distB="0" distL="0" distR="0" wp14:anchorId="2E110CC3" wp14:editId="4E0083A1">
            <wp:extent cx="5405755" cy="2516505"/>
            <wp:effectExtent l="0" t="0" r="444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5405755" cy="2516505"/>
                    </a:xfrm>
                    <a:prstGeom prst="rect">
                      <a:avLst/>
                    </a:prstGeom>
                    <a:noFill/>
                    <a:ln>
                      <a:noFill/>
                    </a:ln>
                  </pic:spPr>
                </pic:pic>
              </a:graphicData>
            </a:graphic>
          </wp:inline>
        </w:drawing>
      </w:r>
    </w:p>
    <w:p w14:paraId="36A9D503" w14:textId="77777777" w:rsidR="00946945" w:rsidRPr="00E95CA7" w:rsidRDefault="00946945" w:rsidP="00CE73F7">
      <w:pPr>
        <w:pStyle w:val="CT-NOTE"/>
        <w:rPr>
          <w:noProof/>
        </w:rPr>
      </w:pPr>
      <w:r w:rsidRPr="00E95CA7">
        <w:rPr>
          <w:noProof/>
        </w:rPr>
        <w:t xml:space="preserve">Note: </w:t>
      </w:r>
      <w:r w:rsidR="00DC50BA" w:rsidRPr="00E95CA7">
        <w:rPr>
          <w:noProof/>
        </w:rPr>
        <w:t xml:space="preserve">Evolution </w:t>
      </w:r>
      <w:r w:rsidR="00A013BB" w:rsidRPr="00E95CA7">
        <w:rPr>
          <w:noProof/>
        </w:rPr>
        <w:t xml:space="preserve">of land use </w:t>
      </w:r>
      <w:r w:rsidR="0089443C" w:rsidRPr="00E95CA7">
        <w:rPr>
          <w:noProof/>
        </w:rPr>
        <w:t>by land use category from 2000</w:t>
      </w:r>
      <w:r w:rsidR="00A013BB" w:rsidRPr="00E95CA7">
        <w:rPr>
          <w:noProof/>
        </w:rPr>
        <w:t xml:space="preserve"> until </w:t>
      </w:r>
      <w:r w:rsidR="00D74670" w:rsidRPr="00E95CA7">
        <w:rPr>
          <w:noProof/>
        </w:rPr>
        <w:t>20</w:t>
      </w:r>
      <w:r w:rsidR="00D74670">
        <w:rPr>
          <w:noProof/>
        </w:rPr>
        <w:t>2</w:t>
      </w:r>
      <w:r w:rsidR="00D74670" w:rsidRPr="00E95CA7">
        <w:rPr>
          <w:noProof/>
        </w:rPr>
        <w:t>0.</w:t>
      </w:r>
      <w:r w:rsidR="0089443C" w:rsidRPr="00E95CA7">
        <w:rPr>
          <w:noProof/>
        </w:rPr>
        <w:t xml:space="preserve"> </w:t>
      </w:r>
      <w:r w:rsidRPr="00E95CA7">
        <w:rPr>
          <w:noProof/>
        </w:rPr>
        <w:t xml:space="preserve"> </w:t>
      </w:r>
    </w:p>
    <w:p w14:paraId="2C5DB234" w14:textId="77777777" w:rsidR="00946945" w:rsidRPr="00E95CA7" w:rsidRDefault="00946945" w:rsidP="00CE73F7">
      <w:pPr>
        <w:pStyle w:val="CT-SOURCE"/>
        <w:rPr>
          <w:noProof/>
        </w:rPr>
      </w:pPr>
      <w:r w:rsidRPr="00E95CA7">
        <w:rPr>
          <w:noProof/>
        </w:rPr>
        <w:t xml:space="preserve">Source: </w:t>
      </w:r>
      <w:r w:rsidR="0089443C" w:rsidRPr="00E95CA7">
        <w:rPr>
          <w:noProof/>
        </w:rPr>
        <w:t xml:space="preserve">UNFCCC 2023, </w:t>
      </w:r>
      <w:r w:rsidRPr="00E95CA7">
        <w:rPr>
          <w:noProof/>
        </w:rPr>
        <w:t>GLOBIOM</w:t>
      </w:r>
    </w:p>
    <w:p w14:paraId="0705630B" w14:textId="0B4F635C" w:rsidR="00545600" w:rsidRDefault="00D74670" w:rsidP="0096252C">
      <w:pPr>
        <w:rPr>
          <w:noProof/>
        </w:rPr>
      </w:pPr>
      <w:bookmarkStart w:id="503" w:name="_Hlk147330748"/>
      <w:r>
        <w:rPr>
          <w:noProof/>
        </w:rPr>
        <w:t>From 2020 onwards the different scenarios comprise different developments of land use</w:t>
      </w:r>
      <w:r w:rsidR="00BA6CA8">
        <w:rPr>
          <w:noProof/>
        </w:rPr>
        <w:t xml:space="preserve"> (</w:t>
      </w:r>
      <w:r w:rsidR="0001652E">
        <w:rPr>
          <w:noProof/>
        </w:rPr>
        <w:t>see</w:t>
      </w:r>
      <w:r w:rsidDel="00BA6CA8">
        <w:rPr>
          <w:noProof/>
        </w:rPr>
        <w:t xml:space="preserve"> </w:t>
      </w:r>
      <w:r w:rsidR="00022FD2">
        <w:rPr>
          <w:noProof/>
        </w:rPr>
        <w:fldChar w:fldCharType="begin"/>
      </w:r>
      <w:r w:rsidR="00022FD2">
        <w:rPr>
          <w:noProof/>
        </w:rPr>
        <w:instrText xml:space="preserve"> REF _Ref148089350 \h </w:instrText>
      </w:r>
      <w:r w:rsidR="00022FD2">
        <w:rPr>
          <w:noProof/>
        </w:rPr>
      </w:r>
      <w:r w:rsidR="00022FD2">
        <w:rPr>
          <w:noProof/>
        </w:rPr>
        <w:fldChar w:fldCharType="separate"/>
      </w:r>
      <w:r w:rsidR="00170A3C">
        <w:rPr>
          <w:noProof/>
        </w:rPr>
        <w:t>Figure 92</w:t>
      </w:r>
      <w:r w:rsidR="00022FD2">
        <w:rPr>
          <w:noProof/>
        </w:rPr>
        <w:fldChar w:fldCharType="end"/>
      </w:r>
      <w:r w:rsidR="00BA6CA8">
        <w:rPr>
          <w:noProof/>
        </w:rPr>
        <w:t xml:space="preserve">), although </w:t>
      </w:r>
      <w:r>
        <w:rPr>
          <w:noProof/>
        </w:rPr>
        <w:t xml:space="preserve">the absolute overall land use changes compared to today </w:t>
      </w:r>
      <w:r w:rsidR="00BA6CA8">
        <w:rPr>
          <w:noProof/>
        </w:rPr>
        <w:t>remain</w:t>
      </w:r>
      <w:r w:rsidDel="00BA6CA8">
        <w:rPr>
          <w:noProof/>
        </w:rPr>
        <w:t xml:space="preserve"> </w:t>
      </w:r>
      <w:r>
        <w:rPr>
          <w:noProof/>
        </w:rPr>
        <w:t xml:space="preserve">small in </w:t>
      </w:r>
      <w:r w:rsidR="0038684F">
        <w:rPr>
          <w:noProof/>
        </w:rPr>
        <w:t xml:space="preserve">relative </w:t>
      </w:r>
      <w:r>
        <w:rPr>
          <w:noProof/>
        </w:rPr>
        <w:t>terms</w:t>
      </w:r>
      <w:r w:rsidR="00BA6CA8">
        <w:rPr>
          <w:noProof/>
        </w:rPr>
        <w:t xml:space="preserve">, which range from </w:t>
      </w:r>
      <w:r w:rsidR="00A82850">
        <w:rPr>
          <w:noProof/>
        </w:rPr>
        <w:t>5</w:t>
      </w:r>
      <w:r w:rsidR="00BA6CA8">
        <w:rPr>
          <w:noProof/>
        </w:rPr>
        <w:t xml:space="preserve"> Mha (S1) to </w:t>
      </w:r>
      <w:r w:rsidR="006801E0" w:rsidRPr="006801E0">
        <w:rPr>
          <w:noProof/>
        </w:rPr>
        <w:t xml:space="preserve">9 </w:t>
      </w:r>
      <w:r w:rsidR="00BA6CA8">
        <w:rPr>
          <w:noProof/>
        </w:rPr>
        <w:t>Mha in S2 and S3</w:t>
      </w:r>
      <w:r w:rsidR="003C5143">
        <w:rPr>
          <w:noProof/>
        </w:rPr>
        <w:t xml:space="preserve"> and 12 Mha in LIFE</w:t>
      </w:r>
      <w:r w:rsidR="00BA6CA8">
        <w:rPr>
          <w:noProof/>
        </w:rPr>
        <w:t>, which correspond</w:t>
      </w:r>
      <w:r w:rsidR="003C5143">
        <w:rPr>
          <w:noProof/>
        </w:rPr>
        <w:t>s</w:t>
      </w:r>
      <w:r w:rsidR="00BA6CA8">
        <w:rPr>
          <w:noProof/>
        </w:rPr>
        <w:t xml:space="preserve"> to </w:t>
      </w:r>
      <w:r w:rsidR="00A82850">
        <w:rPr>
          <w:noProof/>
        </w:rPr>
        <w:t>1</w:t>
      </w:r>
      <w:r w:rsidR="00DE2B87" w:rsidRPr="006801E0">
        <w:rPr>
          <w:noProof/>
        </w:rPr>
        <w:t>-3</w:t>
      </w:r>
      <w:r>
        <w:rPr>
          <w:noProof/>
        </w:rPr>
        <w:t xml:space="preserve">% of the total land. </w:t>
      </w:r>
    </w:p>
    <w:p w14:paraId="1300C890" w14:textId="3EB68DD1" w:rsidR="004044FF" w:rsidRDefault="006B2107" w:rsidP="006B2107">
      <w:pPr>
        <w:pStyle w:val="Caption"/>
        <w:rPr>
          <w:noProof/>
        </w:rPr>
      </w:pPr>
      <w:bookmarkStart w:id="504" w:name="_Ref148089350"/>
      <w:bookmarkStart w:id="505" w:name="_Toc157679840"/>
      <w:r>
        <w:rPr>
          <w:noProof/>
        </w:rPr>
        <w:t xml:space="preserve">Figure </w:t>
      </w:r>
      <w:r>
        <w:rPr>
          <w:noProof/>
        </w:rPr>
        <w:fldChar w:fldCharType="begin"/>
      </w:r>
      <w:r>
        <w:rPr>
          <w:noProof/>
        </w:rPr>
        <w:instrText>SEQ Figure \* ARABIC</w:instrText>
      </w:r>
      <w:r>
        <w:rPr>
          <w:noProof/>
        </w:rPr>
        <w:fldChar w:fldCharType="separate"/>
      </w:r>
      <w:r w:rsidR="00170A3C">
        <w:rPr>
          <w:noProof/>
        </w:rPr>
        <w:t>92</w:t>
      </w:r>
      <w:r>
        <w:rPr>
          <w:noProof/>
        </w:rPr>
        <w:fldChar w:fldCharType="end"/>
      </w:r>
      <w:bookmarkEnd w:id="504"/>
      <w:r w:rsidR="004044FF">
        <w:rPr>
          <w:noProof/>
        </w:rPr>
        <w:t xml:space="preserve">: </w:t>
      </w:r>
      <w:r w:rsidR="004044FF" w:rsidRPr="00756007">
        <w:rPr>
          <w:noProof/>
        </w:rPr>
        <w:t>Changes in land use</w:t>
      </w:r>
      <w:r w:rsidR="004044FF">
        <w:rPr>
          <w:noProof/>
        </w:rPr>
        <w:t xml:space="preserve"> between 2020 and 2040 by scenario</w:t>
      </w:r>
      <w:bookmarkEnd w:id="505"/>
    </w:p>
    <w:p w14:paraId="320D9D16" w14:textId="113E0C59" w:rsidR="00B6002F" w:rsidRPr="00B6002F" w:rsidRDefault="00B6002F" w:rsidP="009D19E7">
      <w:pPr>
        <w:rPr>
          <w:noProof/>
        </w:rPr>
      </w:pPr>
      <w:r w:rsidRPr="00B6002F">
        <w:rPr>
          <w:noProof/>
          <w:lang w:eastAsia="en-GB"/>
        </w:rPr>
        <w:drawing>
          <wp:inline distT="0" distB="0" distL="0" distR="0" wp14:anchorId="400D09E7" wp14:editId="48BE4491">
            <wp:extent cx="5472430" cy="2513330"/>
            <wp:effectExtent l="0" t="0" r="0" b="127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5472430" cy="2513330"/>
                    </a:xfrm>
                    <a:prstGeom prst="rect">
                      <a:avLst/>
                    </a:prstGeom>
                    <a:noFill/>
                    <a:ln>
                      <a:noFill/>
                    </a:ln>
                  </pic:spPr>
                </pic:pic>
              </a:graphicData>
            </a:graphic>
          </wp:inline>
        </w:drawing>
      </w:r>
    </w:p>
    <w:p w14:paraId="27971BF5" w14:textId="6CF705FA" w:rsidR="004044FF" w:rsidRPr="00E95CA7" w:rsidRDefault="004044FF" w:rsidP="004044FF">
      <w:pPr>
        <w:pStyle w:val="CT-SOURCE"/>
        <w:keepLines/>
        <w:rPr>
          <w:noProof/>
        </w:rPr>
      </w:pPr>
      <w:r w:rsidRPr="00E95CA7">
        <w:rPr>
          <w:noProof/>
        </w:rPr>
        <w:t>Source: GLOBIOM</w:t>
      </w:r>
    </w:p>
    <w:p w14:paraId="591396F5" w14:textId="69F103AD" w:rsidR="00132EAC" w:rsidRDefault="00F37EC4" w:rsidP="00132EAC">
      <w:pPr>
        <w:rPr>
          <w:noProof/>
        </w:rPr>
      </w:pPr>
      <w:r>
        <w:rPr>
          <w:noProof/>
          <w:lang w:val="en-IE"/>
        </w:rPr>
        <w:t xml:space="preserve">Next to </w:t>
      </w:r>
      <w:r w:rsidR="00DE2B87">
        <w:rPr>
          <w:noProof/>
          <w:lang w:val="en-IE"/>
        </w:rPr>
        <w:t xml:space="preserve">the </w:t>
      </w:r>
      <w:r>
        <w:rPr>
          <w:noProof/>
          <w:lang w:val="en-IE"/>
        </w:rPr>
        <w:t>assumed growing land take by settlements</w:t>
      </w:r>
      <w:r w:rsidR="00E06E19">
        <w:rPr>
          <w:noProof/>
          <w:lang w:val="en-IE"/>
        </w:rPr>
        <w:t xml:space="preserve"> </w:t>
      </w:r>
      <w:r>
        <w:rPr>
          <w:noProof/>
          <w:lang w:val="en-IE"/>
        </w:rPr>
        <w:t xml:space="preserve">(+2 Mha), the land use changes </w:t>
      </w:r>
      <w:r w:rsidR="00DE2B87">
        <w:rPr>
          <w:noProof/>
          <w:lang w:val="en-IE"/>
        </w:rPr>
        <w:t xml:space="preserve">in the scenarios </w:t>
      </w:r>
      <w:r>
        <w:rPr>
          <w:noProof/>
          <w:lang w:val="en-IE"/>
        </w:rPr>
        <w:t>are driven by actions to enhance the LULUCF net removals</w:t>
      </w:r>
      <w:r w:rsidR="003D0078" w:rsidRPr="003D0078">
        <w:rPr>
          <w:noProof/>
          <w:lang w:val="en-IE"/>
        </w:rPr>
        <w:t> (</w:t>
      </w:r>
      <w:r w:rsidR="003D0078">
        <w:rPr>
          <w:rStyle w:val="FootnoteReference"/>
          <w:noProof/>
          <w:lang w:val="en-IE"/>
        </w:rPr>
        <w:footnoteReference w:id="167"/>
      </w:r>
      <w:r w:rsidR="003D0078">
        <w:rPr>
          <w:noProof/>
          <w:lang w:val="en-IE"/>
        </w:rPr>
        <w:t>)</w:t>
      </w:r>
      <w:r w:rsidR="00C83B20">
        <w:rPr>
          <w:noProof/>
          <w:lang w:val="en-IE"/>
        </w:rPr>
        <w:t xml:space="preserve"> </w:t>
      </w:r>
      <w:r w:rsidR="00B6002F">
        <w:rPr>
          <w:noProof/>
          <w:lang w:val="en-IE"/>
        </w:rPr>
        <w:t>and changes on energy demand</w:t>
      </w:r>
      <w:r w:rsidR="00C83B20">
        <w:rPr>
          <w:noProof/>
          <w:lang w:val="en-IE"/>
        </w:rPr>
        <w:t xml:space="preserve"> in S2 and S3</w:t>
      </w:r>
      <w:r w:rsidR="00C60B5C">
        <w:rPr>
          <w:noProof/>
          <w:lang w:val="en-IE"/>
        </w:rPr>
        <w:t xml:space="preserve">, which decrease </w:t>
      </w:r>
      <w:r w:rsidR="00C60B5C" w:rsidRPr="002B2452">
        <w:rPr>
          <w:noProof/>
        </w:rPr>
        <w:t xml:space="preserve">grassland </w:t>
      </w:r>
      <w:r w:rsidR="009F1EC3">
        <w:rPr>
          <w:noProof/>
        </w:rPr>
        <w:t xml:space="preserve">and other natural land </w:t>
      </w:r>
      <w:r w:rsidR="00C60B5C" w:rsidRPr="002B2452">
        <w:rPr>
          <w:noProof/>
        </w:rPr>
        <w:t xml:space="preserve">by </w:t>
      </w:r>
      <w:r w:rsidR="006801E0" w:rsidRPr="00155D61">
        <w:rPr>
          <w:noProof/>
        </w:rPr>
        <w:t>9.3</w:t>
      </w:r>
      <w:r w:rsidR="00C60B5C" w:rsidRPr="002B2452">
        <w:rPr>
          <w:noProof/>
        </w:rPr>
        <w:t xml:space="preserve"> Mha </w:t>
      </w:r>
      <w:r w:rsidR="00EC3CB7">
        <w:rPr>
          <w:noProof/>
        </w:rPr>
        <w:t xml:space="preserve">in </w:t>
      </w:r>
      <w:r w:rsidR="00C60B5C" w:rsidRPr="002B2452">
        <w:rPr>
          <w:noProof/>
        </w:rPr>
        <w:t>S2</w:t>
      </w:r>
      <w:r w:rsidR="00EC3CB7">
        <w:rPr>
          <w:noProof/>
        </w:rPr>
        <w:t xml:space="preserve"> and</w:t>
      </w:r>
      <w:r w:rsidR="00C60B5C" w:rsidRPr="002B2452">
        <w:rPr>
          <w:noProof/>
        </w:rPr>
        <w:t xml:space="preserve"> S3</w:t>
      </w:r>
      <w:r w:rsidR="00B6002F">
        <w:rPr>
          <w:noProof/>
        </w:rPr>
        <w:t xml:space="preserve"> and by 5.2 Mha in S1</w:t>
      </w:r>
      <w:r w:rsidR="00B6002F" w:rsidRPr="00B6002F">
        <w:rPr>
          <w:noProof/>
        </w:rPr>
        <w:t> (</w:t>
      </w:r>
      <w:r w:rsidR="00B6002F">
        <w:rPr>
          <w:rStyle w:val="FootnoteReference"/>
          <w:noProof/>
        </w:rPr>
        <w:footnoteReference w:id="168"/>
      </w:r>
      <w:r w:rsidR="00B6002F">
        <w:rPr>
          <w:noProof/>
        </w:rPr>
        <w:t>)</w:t>
      </w:r>
      <w:r w:rsidR="00C60B5C" w:rsidRPr="002B2452">
        <w:rPr>
          <w:noProof/>
        </w:rPr>
        <w:t>.</w:t>
      </w:r>
      <w:r w:rsidR="00C60B5C">
        <w:rPr>
          <w:noProof/>
        </w:rPr>
        <w:t xml:space="preserve"> </w:t>
      </w:r>
      <w:r w:rsidR="00C60B5C">
        <w:rPr>
          <w:noProof/>
          <w:lang w:val="en-IE"/>
        </w:rPr>
        <w:t xml:space="preserve">This </w:t>
      </w:r>
      <w:r w:rsidR="00B6002F">
        <w:rPr>
          <w:noProof/>
          <w:lang w:val="en-IE"/>
        </w:rPr>
        <w:t>shift</w:t>
      </w:r>
      <w:r w:rsidR="00C60B5C">
        <w:rPr>
          <w:noProof/>
          <w:lang w:val="en-IE"/>
        </w:rPr>
        <w:t xml:space="preserve"> translates </w:t>
      </w:r>
      <w:r w:rsidR="00C60B5C">
        <w:rPr>
          <w:noProof/>
        </w:rPr>
        <w:t xml:space="preserve">for </w:t>
      </w:r>
      <w:r w:rsidR="00C856BC">
        <w:rPr>
          <w:noProof/>
        </w:rPr>
        <w:t>S2 and S3</w:t>
      </w:r>
      <w:r w:rsidR="00C60B5C">
        <w:rPr>
          <w:noProof/>
        </w:rPr>
        <w:t xml:space="preserve"> </w:t>
      </w:r>
      <w:r w:rsidR="00C60B5C">
        <w:rPr>
          <w:noProof/>
          <w:lang w:val="en-IE"/>
        </w:rPr>
        <w:t xml:space="preserve">into </w:t>
      </w:r>
      <w:r w:rsidR="00271FAC">
        <w:rPr>
          <w:noProof/>
        </w:rPr>
        <w:t>more</w:t>
      </w:r>
      <w:r w:rsidR="00D74670">
        <w:rPr>
          <w:noProof/>
        </w:rPr>
        <w:t xml:space="preserve"> </w:t>
      </w:r>
      <w:r w:rsidR="00C60B5C">
        <w:rPr>
          <w:noProof/>
        </w:rPr>
        <w:t>land for forests (+</w:t>
      </w:r>
      <w:r w:rsidR="00032D67">
        <w:rPr>
          <w:noProof/>
        </w:rPr>
        <w:t>4.9</w:t>
      </w:r>
      <w:r w:rsidR="00C60B5C">
        <w:rPr>
          <w:noProof/>
        </w:rPr>
        <w:t xml:space="preserve"> Mha)</w:t>
      </w:r>
      <w:r w:rsidR="00032D67">
        <w:rPr>
          <w:noProof/>
        </w:rPr>
        <w:t>.</w:t>
      </w:r>
      <w:r w:rsidR="00132EAC" w:rsidRPr="001E74BA" w:rsidDel="00C60B5C">
        <w:rPr>
          <w:noProof/>
        </w:rPr>
        <w:t xml:space="preserve"> </w:t>
      </w:r>
      <w:r w:rsidR="00132EAC" w:rsidRPr="001E74BA">
        <w:rPr>
          <w:noProof/>
        </w:rPr>
        <w:t>Furthermore</w:t>
      </w:r>
      <w:r w:rsidR="00132EAC">
        <w:rPr>
          <w:noProof/>
        </w:rPr>
        <w:t>, additional nature-based removals to increase the LULUCF net removal are implemented through restoration</w:t>
      </w:r>
      <w:r w:rsidR="00132EAC" w:rsidDel="00EC3CB7">
        <w:rPr>
          <w:noProof/>
        </w:rPr>
        <w:t xml:space="preserve"> </w:t>
      </w:r>
      <w:r w:rsidR="00132EAC">
        <w:rPr>
          <w:noProof/>
        </w:rPr>
        <w:t xml:space="preserve">of wetlands, which increase </w:t>
      </w:r>
      <w:r w:rsidR="00132EAC" w:rsidRPr="002B2452">
        <w:rPr>
          <w:noProof/>
        </w:rPr>
        <w:t xml:space="preserve">by </w:t>
      </w:r>
      <w:r w:rsidR="00132EAC" w:rsidRPr="006D2FCF">
        <w:rPr>
          <w:noProof/>
        </w:rPr>
        <w:t>1.4 Mha</w:t>
      </w:r>
      <w:r w:rsidR="00132EAC" w:rsidRPr="006801E0">
        <w:rPr>
          <w:noProof/>
        </w:rPr>
        <w:t xml:space="preserve"> </w:t>
      </w:r>
      <w:r w:rsidR="00132EAC">
        <w:rPr>
          <w:noProof/>
        </w:rPr>
        <w:t>in S2 and S3. Very limited land use changes occur in S1 due to no incentives for additional nature-based removals</w:t>
      </w:r>
      <w:r w:rsidR="00FF2C9C">
        <w:rPr>
          <w:noProof/>
        </w:rPr>
        <w:t xml:space="preserve"> and lower demand for second generation lignocellulosic crops</w:t>
      </w:r>
      <w:r w:rsidR="00132EAC">
        <w:rPr>
          <w:noProof/>
        </w:rPr>
        <w:t xml:space="preserve">. </w:t>
      </w:r>
      <w:r w:rsidR="007043E5" w:rsidRPr="002B2452" w:rsidDel="00C60B5C">
        <w:rPr>
          <w:noProof/>
        </w:rPr>
        <w:t>I</w:t>
      </w:r>
      <w:r w:rsidR="007043E5">
        <w:rPr>
          <w:noProof/>
        </w:rPr>
        <w:t>n</w:t>
      </w:r>
      <w:r w:rsidR="007043E5" w:rsidRPr="002B2452">
        <w:rPr>
          <w:noProof/>
        </w:rPr>
        <w:t xml:space="preserve"> S2 and S3 about </w:t>
      </w:r>
      <w:r w:rsidR="007043E5" w:rsidRPr="006D2FCF">
        <w:rPr>
          <w:noProof/>
        </w:rPr>
        <w:t>1.</w:t>
      </w:r>
      <w:r w:rsidR="007043E5" w:rsidRPr="00534E10">
        <w:rPr>
          <w:noProof/>
        </w:rPr>
        <w:t>2</w:t>
      </w:r>
      <w:r w:rsidR="007043E5" w:rsidRPr="006D2FCF">
        <w:rPr>
          <w:noProof/>
        </w:rPr>
        <w:t xml:space="preserve"> Mha</w:t>
      </w:r>
      <w:r w:rsidR="007043E5" w:rsidRPr="002B2452">
        <w:rPr>
          <w:noProof/>
        </w:rPr>
        <w:t xml:space="preserve"> are converted into additional cropland by 2040, while in S1</w:t>
      </w:r>
      <w:r w:rsidR="007043E5">
        <w:rPr>
          <w:noProof/>
        </w:rPr>
        <w:t xml:space="preserve"> no additional cropland is converted. The cropland in S2 and S3 increases by about 1% compa</w:t>
      </w:r>
      <w:r w:rsidR="00B943D6">
        <w:rPr>
          <w:noProof/>
        </w:rPr>
        <w:t>r</w:t>
      </w:r>
      <w:r w:rsidR="007043E5">
        <w:rPr>
          <w:noProof/>
        </w:rPr>
        <w:t>ed to 2020</w:t>
      </w:r>
      <w:r w:rsidR="00602FC1">
        <w:rPr>
          <w:noProof/>
        </w:rPr>
        <w:t xml:space="preserve"> and </w:t>
      </w:r>
      <w:r w:rsidR="007043E5">
        <w:rPr>
          <w:noProof/>
        </w:rPr>
        <w:t>is still</w:t>
      </w:r>
      <w:r w:rsidR="00602FC1">
        <w:rPr>
          <w:noProof/>
        </w:rPr>
        <w:t xml:space="preserve"> substantially</w:t>
      </w:r>
      <w:r w:rsidR="007043E5">
        <w:rPr>
          <w:noProof/>
        </w:rPr>
        <w:t xml:space="preserve"> smaller than </w:t>
      </w:r>
      <w:r w:rsidR="002E325A">
        <w:rPr>
          <w:noProof/>
        </w:rPr>
        <w:t xml:space="preserve">the </w:t>
      </w:r>
      <w:r w:rsidR="007043E5">
        <w:rPr>
          <w:noProof/>
        </w:rPr>
        <w:t>total cropland</w:t>
      </w:r>
      <w:r w:rsidR="002E325A">
        <w:rPr>
          <w:noProof/>
        </w:rPr>
        <w:t xml:space="preserve"> area</w:t>
      </w:r>
      <w:r w:rsidR="007043E5">
        <w:rPr>
          <w:noProof/>
        </w:rPr>
        <w:t xml:space="preserve"> </w:t>
      </w:r>
      <w:r w:rsidR="002E325A">
        <w:rPr>
          <w:noProof/>
        </w:rPr>
        <w:t xml:space="preserve">during the period of </w:t>
      </w:r>
      <w:r w:rsidR="007043E5">
        <w:rPr>
          <w:noProof/>
        </w:rPr>
        <w:t>2000 and 2015</w:t>
      </w:r>
      <w:r w:rsidR="007043E5" w:rsidRPr="002B2452">
        <w:rPr>
          <w:noProof/>
        </w:rPr>
        <w:t>.</w:t>
      </w:r>
      <w:r w:rsidR="00D83508">
        <w:rPr>
          <w:noProof/>
        </w:rPr>
        <w:t xml:space="preserve"> </w:t>
      </w:r>
    </w:p>
    <w:p w14:paraId="112A95FF" w14:textId="5D37DBA5" w:rsidR="00F11583" w:rsidRDefault="00F93AD3" w:rsidP="0096252C">
      <w:pPr>
        <w:rPr>
          <w:noProof/>
        </w:rPr>
      </w:pPr>
      <w:r>
        <w:rPr>
          <w:noProof/>
        </w:rPr>
        <w:t>Throughout the scenarios, f</w:t>
      </w:r>
      <w:r w:rsidR="00F30D55">
        <w:rPr>
          <w:noProof/>
        </w:rPr>
        <w:t>inancial i</w:t>
      </w:r>
      <w:r w:rsidR="00655ACF">
        <w:rPr>
          <w:noProof/>
        </w:rPr>
        <w:t>ncentives for</w:t>
      </w:r>
      <w:r w:rsidR="00F30D55">
        <w:rPr>
          <w:noProof/>
        </w:rPr>
        <w:t xml:space="preserve"> nature-based removals have a </w:t>
      </w:r>
      <w:r w:rsidR="002D3891">
        <w:rPr>
          <w:noProof/>
        </w:rPr>
        <w:t>higher</w:t>
      </w:r>
      <w:r w:rsidR="00F30D55">
        <w:rPr>
          <w:noProof/>
        </w:rPr>
        <w:t xml:space="preserve"> impact </w:t>
      </w:r>
      <w:r w:rsidR="008A0FFE">
        <w:rPr>
          <w:noProof/>
        </w:rPr>
        <w:t>on land-use change than</w:t>
      </w:r>
      <w:r>
        <w:rPr>
          <w:noProof/>
        </w:rPr>
        <w:t xml:space="preserve"> </w:t>
      </w:r>
      <w:r w:rsidR="006E5DA4">
        <w:rPr>
          <w:noProof/>
        </w:rPr>
        <w:t>a</w:t>
      </w:r>
      <w:r>
        <w:rPr>
          <w:noProof/>
        </w:rPr>
        <w:t xml:space="preserve"> limited use of</w:t>
      </w:r>
      <w:r w:rsidR="008A0FFE">
        <w:rPr>
          <w:noProof/>
        </w:rPr>
        <w:t xml:space="preserve"> lignocellulosic crops</w:t>
      </w:r>
      <w:r w:rsidR="00F30D55">
        <w:rPr>
          <w:noProof/>
        </w:rPr>
        <w:t xml:space="preserve"> </w:t>
      </w:r>
      <w:r>
        <w:rPr>
          <w:noProof/>
        </w:rPr>
        <w:t xml:space="preserve">for bioenergy. </w:t>
      </w:r>
      <w:r w:rsidR="00DB1083">
        <w:rPr>
          <w:noProof/>
        </w:rPr>
        <w:t>Even though from</w:t>
      </w:r>
      <w:r w:rsidR="00973504">
        <w:rPr>
          <w:noProof/>
        </w:rPr>
        <w:t xml:space="preserve"> total cropland area, </w:t>
      </w:r>
      <w:r w:rsidR="00032D67">
        <w:rPr>
          <w:noProof/>
        </w:rPr>
        <w:t>land for</w:t>
      </w:r>
      <w:r w:rsidR="00C60B5C">
        <w:rPr>
          <w:noProof/>
        </w:rPr>
        <w:t xml:space="preserve"> lignocellulosic crops </w:t>
      </w:r>
      <w:r w:rsidR="00032D67">
        <w:rPr>
          <w:noProof/>
        </w:rPr>
        <w:t xml:space="preserve">requires </w:t>
      </w:r>
      <w:r w:rsidR="00C60B5C">
        <w:rPr>
          <w:noProof/>
        </w:rPr>
        <w:t>7</w:t>
      </w:r>
      <w:r w:rsidR="00032D67">
        <w:rPr>
          <w:noProof/>
        </w:rPr>
        <w:t xml:space="preserve"> Mha </w:t>
      </w:r>
      <w:r w:rsidR="00DB1083">
        <w:rPr>
          <w:noProof/>
        </w:rPr>
        <w:t>in S1</w:t>
      </w:r>
      <w:r w:rsidR="00032D67">
        <w:rPr>
          <w:noProof/>
        </w:rPr>
        <w:t xml:space="preserve"> and 10</w:t>
      </w:r>
      <w:r w:rsidR="00C60B5C">
        <w:rPr>
          <w:noProof/>
        </w:rPr>
        <w:t xml:space="preserve">.6 Mha </w:t>
      </w:r>
      <w:r w:rsidR="00DB1083">
        <w:rPr>
          <w:noProof/>
        </w:rPr>
        <w:t xml:space="preserve">in </w:t>
      </w:r>
      <w:r w:rsidR="00C60B5C">
        <w:rPr>
          <w:noProof/>
        </w:rPr>
        <w:t>S2</w:t>
      </w:r>
      <w:r w:rsidR="00032D67">
        <w:rPr>
          <w:noProof/>
        </w:rPr>
        <w:t xml:space="preserve"> </w:t>
      </w:r>
      <w:r w:rsidR="00DB1083">
        <w:rPr>
          <w:noProof/>
        </w:rPr>
        <w:t>and</w:t>
      </w:r>
      <w:r w:rsidR="00032D67">
        <w:rPr>
          <w:noProof/>
        </w:rPr>
        <w:t xml:space="preserve"> S3</w:t>
      </w:r>
      <w:r w:rsidR="00DD658A">
        <w:rPr>
          <w:noProof/>
        </w:rPr>
        <w:t>,</w:t>
      </w:r>
      <w:r w:rsidR="00C60B5C">
        <w:rPr>
          <w:noProof/>
        </w:rPr>
        <w:t xml:space="preserve"> the overall </w:t>
      </w:r>
      <w:r w:rsidR="001D6C35">
        <w:rPr>
          <w:noProof/>
        </w:rPr>
        <w:t>land-use change</w:t>
      </w:r>
      <w:r w:rsidR="00032D67">
        <w:rPr>
          <w:noProof/>
        </w:rPr>
        <w:t xml:space="preserve"> </w:t>
      </w:r>
      <w:r w:rsidR="00C60B5C">
        <w:rPr>
          <w:noProof/>
        </w:rPr>
        <w:t xml:space="preserve">impact </w:t>
      </w:r>
      <w:r w:rsidR="00032D67">
        <w:rPr>
          <w:noProof/>
        </w:rPr>
        <w:t>from crops</w:t>
      </w:r>
      <w:r w:rsidR="00C60B5C">
        <w:rPr>
          <w:noProof/>
        </w:rPr>
        <w:t xml:space="preserve"> </w:t>
      </w:r>
      <w:r w:rsidR="00821124">
        <w:rPr>
          <w:noProof/>
        </w:rPr>
        <w:t xml:space="preserve">for </w:t>
      </w:r>
      <w:r w:rsidR="008C5350">
        <w:rPr>
          <w:noProof/>
        </w:rPr>
        <w:t>biofuels</w:t>
      </w:r>
      <w:r w:rsidR="00C60B5C">
        <w:rPr>
          <w:noProof/>
        </w:rPr>
        <w:t xml:space="preserve"> on total cropland is </w:t>
      </w:r>
      <w:r w:rsidR="005B4485">
        <w:rPr>
          <w:noProof/>
        </w:rPr>
        <w:t xml:space="preserve">with an increase </w:t>
      </w:r>
      <w:r w:rsidR="007478D1">
        <w:rPr>
          <w:noProof/>
        </w:rPr>
        <w:t xml:space="preserve">in cropland </w:t>
      </w:r>
      <w:r w:rsidR="005B4485">
        <w:rPr>
          <w:noProof/>
        </w:rPr>
        <w:t xml:space="preserve">of about 1% </w:t>
      </w:r>
      <w:r w:rsidR="002D3891">
        <w:rPr>
          <w:noProof/>
        </w:rPr>
        <w:t>relatively small</w:t>
      </w:r>
      <w:r w:rsidR="007478D1" w:rsidRPr="007478D1">
        <w:rPr>
          <w:noProof/>
        </w:rPr>
        <w:t> (</w:t>
      </w:r>
      <w:r w:rsidR="007478D1">
        <w:rPr>
          <w:rStyle w:val="FootnoteReference"/>
          <w:noProof/>
        </w:rPr>
        <w:footnoteReference w:id="169"/>
      </w:r>
      <w:r w:rsidR="007478D1">
        <w:rPr>
          <w:noProof/>
        </w:rPr>
        <w:t>)</w:t>
      </w:r>
      <w:r w:rsidR="005B4485">
        <w:rPr>
          <w:noProof/>
        </w:rPr>
        <w:t>. This is</w:t>
      </w:r>
      <w:r w:rsidR="00C60B5C">
        <w:rPr>
          <w:noProof/>
        </w:rPr>
        <w:t xml:space="preserve"> </w:t>
      </w:r>
      <w:r w:rsidR="00C60B5C" w:rsidRPr="001E74BA">
        <w:rPr>
          <w:noProof/>
        </w:rPr>
        <w:t xml:space="preserve">because </w:t>
      </w:r>
      <w:r w:rsidR="00B04445">
        <w:rPr>
          <w:noProof/>
        </w:rPr>
        <w:t>second-generation lignocellulosic crops</w:t>
      </w:r>
      <w:r w:rsidR="00F11583">
        <w:rPr>
          <w:noProof/>
        </w:rPr>
        <w:t xml:space="preserve"> </w:t>
      </w:r>
      <w:r w:rsidR="0045347C">
        <w:rPr>
          <w:noProof/>
        </w:rPr>
        <w:t>replace</w:t>
      </w:r>
      <w:r w:rsidR="00B04445">
        <w:rPr>
          <w:noProof/>
        </w:rPr>
        <w:t xml:space="preserve"> in 2040</w:t>
      </w:r>
      <w:r w:rsidR="00F11583">
        <w:rPr>
          <w:noProof/>
        </w:rPr>
        <w:t xml:space="preserve"> </w:t>
      </w:r>
      <w:r w:rsidR="00C60B5C" w:rsidRPr="001E74BA">
        <w:rPr>
          <w:noProof/>
        </w:rPr>
        <w:t>to a large extent crop</w:t>
      </w:r>
      <w:r w:rsidR="00B97D42">
        <w:rPr>
          <w:noProof/>
        </w:rPr>
        <w:t>land</w:t>
      </w:r>
      <w:r w:rsidR="00C60B5C" w:rsidRPr="001E74BA">
        <w:rPr>
          <w:noProof/>
        </w:rPr>
        <w:t xml:space="preserve"> </w:t>
      </w:r>
      <w:r w:rsidR="00AC72CA">
        <w:rPr>
          <w:noProof/>
        </w:rPr>
        <w:t>from</w:t>
      </w:r>
      <w:r w:rsidR="00C60B5C" w:rsidRPr="001E74BA">
        <w:rPr>
          <w:noProof/>
        </w:rPr>
        <w:t xml:space="preserve"> first generation </w:t>
      </w:r>
      <w:r w:rsidR="00324201">
        <w:rPr>
          <w:noProof/>
        </w:rPr>
        <w:t xml:space="preserve">food </w:t>
      </w:r>
      <w:r w:rsidR="0004070A">
        <w:rPr>
          <w:noProof/>
        </w:rPr>
        <w:t>crops</w:t>
      </w:r>
      <w:r w:rsidR="004247DF">
        <w:rPr>
          <w:noProof/>
        </w:rPr>
        <w:t>.</w:t>
      </w:r>
      <w:r w:rsidR="00C60B5C" w:rsidRPr="001E74BA">
        <w:rPr>
          <w:noProof/>
        </w:rPr>
        <w:t xml:space="preserve"> </w:t>
      </w:r>
      <w:r w:rsidR="004247DF">
        <w:rPr>
          <w:noProof/>
        </w:rPr>
        <w:t>L</w:t>
      </w:r>
      <w:r w:rsidR="00C60B5C" w:rsidRPr="001E74BA">
        <w:rPr>
          <w:noProof/>
        </w:rPr>
        <w:t>ignocellulosic crops for second generation biofuels</w:t>
      </w:r>
      <w:r w:rsidR="00F11583">
        <w:rPr>
          <w:noProof/>
        </w:rPr>
        <w:t xml:space="preserve"> </w:t>
      </w:r>
      <w:r w:rsidR="00424C49">
        <w:rPr>
          <w:noProof/>
        </w:rPr>
        <w:t xml:space="preserve">produce higher </w:t>
      </w:r>
      <w:r w:rsidR="00DB037E">
        <w:rPr>
          <w:noProof/>
        </w:rPr>
        <w:t xml:space="preserve">yields </w:t>
      </w:r>
      <w:r w:rsidR="00DB037E" w:rsidRPr="00424C49">
        <w:rPr>
          <w:noProof/>
        </w:rPr>
        <w:t>(</w:t>
      </w:r>
      <w:r w:rsidR="00424C49">
        <w:rPr>
          <w:rStyle w:val="FootnoteReference"/>
          <w:noProof/>
        </w:rPr>
        <w:footnoteReference w:id="170"/>
      </w:r>
      <w:r w:rsidR="00424C49">
        <w:rPr>
          <w:noProof/>
        </w:rPr>
        <w:t xml:space="preserve">) and require less land for the same amount of bioenergy </w:t>
      </w:r>
      <w:r w:rsidR="00531C9F" w:rsidRPr="00531C9F">
        <w:rPr>
          <w:noProof/>
        </w:rPr>
        <w:t>(</w:t>
      </w:r>
      <w:r w:rsidR="00531C9F">
        <w:rPr>
          <w:rStyle w:val="FootnoteReference"/>
          <w:noProof/>
        </w:rPr>
        <w:footnoteReference w:id="171"/>
      </w:r>
      <w:r w:rsidR="00531C9F">
        <w:rPr>
          <w:noProof/>
        </w:rPr>
        <w:t>)</w:t>
      </w:r>
      <w:r w:rsidR="00C60B5C">
        <w:rPr>
          <w:noProof/>
        </w:rPr>
        <w:t>.</w:t>
      </w:r>
    </w:p>
    <w:p w14:paraId="16232FF6" w14:textId="2693EB62" w:rsidR="00D74670" w:rsidRDefault="00C459D4" w:rsidP="001C31BD">
      <w:pPr>
        <w:rPr>
          <w:noProof/>
          <w:lang w:val="en-IE"/>
        </w:rPr>
      </w:pPr>
      <w:r>
        <w:rPr>
          <w:noProof/>
          <w:lang w:val="en-IE"/>
        </w:rPr>
        <w:t>LIFE</w:t>
      </w:r>
      <w:r w:rsidR="001E74BA" w:rsidRPr="003B1BD6">
        <w:rPr>
          <w:noProof/>
          <w:lang w:val="en-IE"/>
        </w:rPr>
        <w:t xml:space="preserve"> has significant effects for agricultural land used for livestock and fodder. Because less livestock and therefore less area for fodder is required, intensively managed grassland and cropland from fodder production are abandoned and converted into </w:t>
      </w:r>
      <w:r w:rsidR="001E74BA" w:rsidRPr="003B1BD6">
        <w:rPr>
          <w:noProof/>
        </w:rPr>
        <w:t xml:space="preserve">natural </w:t>
      </w:r>
      <w:r w:rsidR="005F470D" w:rsidRPr="003B1BD6">
        <w:rPr>
          <w:noProof/>
        </w:rPr>
        <w:t xml:space="preserve">and set aside land </w:t>
      </w:r>
      <w:r w:rsidR="001E74BA" w:rsidRPr="00DB037E">
        <w:rPr>
          <w:noProof/>
        </w:rPr>
        <w:t>partly covered with buffer stripes, hedges and other landscape elements, extensive grassland, and forests</w:t>
      </w:r>
      <w:r w:rsidR="001E74BA" w:rsidRPr="00DB037E">
        <w:rPr>
          <w:noProof/>
          <w:lang w:val="en-IE"/>
        </w:rPr>
        <w:t xml:space="preserve">. The additional natural land vegetation is accounted in the grassland </w:t>
      </w:r>
      <w:r w:rsidR="0042485F">
        <w:rPr>
          <w:noProof/>
          <w:lang w:val="en-IE"/>
        </w:rPr>
        <w:t>and other natural land</w:t>
      </w:r>
      <w:r w:rsidR="001E74BA" w:rsidRPr="00DB037E">
        <w:rPr>
          <w:noProof/>
          <w:lang w:val="en-IE"/>
        </w:rPr>
        <w:t xml:space="preserve"> category (</w:t>
      </w:r>
      <w:r w:rsidR="001E74BA" w:rsidRPr="00DB037E">
        <w:rPr>
          <w:rStyle w:val="FootnoteReference"/>
          <w:noProof/>
          <w:lang w:val="en-IE"/>
        </w:rPr>
        <w:footnoteReference w:id="172"/>
      </w:r>
      <w:r w:rsidR="001E74BA" w:rsidRPr="00DB037E">
        <w:rPr>
          <w:noProof/>
          <w:lang w:val="en-IE"/>
        </w:rPr>
        <w:t xml:space="preserve">). </w:t>
      </w:r>
      <w:r w:rsidR="00CA5570">
        <w:rPr>
          <w:noProof/>
          <w:lang w:val="en-IE"/>
        </w:rPr>
        <w:t xml:space="preserve">In comparison to S2 and S3, </w:t>
      </w:r>
      <w:r w:rsidR="00CA5570">
        <w:rPr>
          <w:noProof/>
        </w:rPr>
        <w:t>t</w:t>
      </w:r>
      <w:r w:rsidR="005143D1" w:rsidRPr="00DB037E">
        <w:rPr>
          <w:noProof/>
        </w:rPr>
        <w:t>he</w:t>
      </w:r>
      <w:r w:rsidR="001E74BA" w:rsidRPr="00DB037E">
        <w:rPr>
          <w:noProof/>
        </w:rPr>
        <w:t xml:space="preserve"> change in the food system in </w:t>
      </w:r>
      <w:r w:rsidRPr="00DB037E">
        <w:rPr>
          <w:noProof/>
        </w:rPr>
        <w:t>LIFE</w:t>
      </w:r>
      <w:r w:rsidR="001E74BA" w:rsidRPr="00DB037E">
        <w:rPr>
          <w:noProof/>
        </w:rPr>
        <w:t xml:space="preserve"> </w:t>
      </w:r>
      <w:r w:rsidR="00ED7011" w:rsidRPr="00DB037E">
        <w:rPr>
          <w:noProof/>
        </w:rPr>
        <w:t>lead to</w:t>
      </w:r>
      <w:r w:rsidR="001E74BA" w:rsidRPr="00DB037E">
        <w:rPr>
          <w:noProof/>
        </w:rPr>
        <w:t xml:space="preserve"> additional forest land (afforestation; +4.0 Mha), </w:t>
      </w:r>
      <w:r w:rsidR="00032D67" w:rsidRPr="00DB037E">
        <w:rPr>
          <w:noProof/>
        </w:rPr>
        <w:t xml:space="preserve">more </w:t>
      </w:r>
      <w:r w:rsidR="00F46B43" w:rsidRPr="00DB037E">
        <w:rPr>
          <w:noProof/>
        </w:rPr>
        <w:t>high-diversity landscape features (</w:t>
      </w:r>
      <w:r w:rsidR="00F46B43" w:rsidRPr="00DB037E">
        <w:rPr>
          <w:rStyle w:val="FootnoteReference"/>
          <w:noProof/>
        </w:rPr>
        <w:footnoteReference w:id="173"/>
      </w:r>
      <w:r w:rsidR="00F46B43" w:rsidRPr="00DB037E">
        <w:rPr>
          <w:noProof/>
        </w:rPr>
        <w:t xml:space="preserve">) </w:t>
      </w:r>
      <w:r w:rsidR="004F181D" w:rsidRPr="00DB037E">
        <w:rPr>
          <w:noProof/>
        </w:rPr>
        <w:t>which is</w:t>
      </w:r>
      <w:r w:rsidR="00F46B43" w:rsidRPr="00DB037E">
        <w:rPr>
          <w:noProof/>
        </w:rPr>
        <w:t xml:space="preserve"> </w:t>
      </w:r>
      <w:r w:rsidR="001E74BA" w:rsidRPr="00DB037E">
        <w:rPr>
          <w:noProof/>
        </w:rPr>
        <w:t xml:space="preserve">natural land </w:t>
      </w:r>
      <w:r w:rsidR="004F181D" w:rsidRPr="00DB037E">
        <w:rPr>
          <w:noProof/>
        </w:rPr>
        <w:t>partly covered</w:t>
      </w:r>
      <w:r w:rsidR="001E74BA" w:rsidRPr="00DB037E">
        <w:rPr>
          <w:noProof/>
        </w:rPr>
        <w:t xml:space="preserve"> with buffer stripes, hedges</w:t>
      </w:r>
      <w:r w:rsidR="00F46B43" w:rsidRPr="00DB037E">
        <w:rPr>
          <w:noProof/>
        </w:rPr>
        <w:t>, fallow land</w:t>
      </w:r>
      <w:r w:rsidR="001E74BA" w:rsidRPr="00DB037E">
        <w:rPr>
          <w:noProof/>
        </w:rPr>
        <w:t xml:space="preserve"> or other natural vegetation (+</w:t>
      </w:r>
      <w:r w:rsidR="00EC6FE0" w:rsidRPr="00DB037E">
        <w:rPr>
          <w:noProof/>
        </w:rPr>
        <w:t>6.8</w:t>
      </w:r>
      <w:r w:rsidR="001E74BA" w:rsidRPr="00DB037E">
        <w:rPr>
          <w:noProof/>
        </w:rPr>
        <w:t xml:space="preserve"> Mha) and rewetted </w:t>
      </w:r>
      <w:r w:rsidR="001748AA">
        <w:rPr>
          <w:noProof/>
        </w:rPr>
        <w:t>organic soils</w:t>
      </w:r>
      <w:r w:rsidR="001748AA" w:rsidRPr="00DB037E">
        <w:rPr>
          <w:noProof/>
        </w:rPr>
        <w:t xml:space="preserve"> </w:t>
      </w:r>
      <w:r w:rsidR="001E74BA" w:rsidRPr="00DB037E">
        <w:rPr>
          <w:noProof/>
        </w:rPr>
        <w:t>(+0.3</w:t>
      </w:r>
      <w:r w:rsidR="000B767B" w:rsidRPr="00DB037E">
        <w:rPr>
          <w:noProof/>
        </w:rPr>
        <w:t xml:space="preserve"> </w:t>
      </w:r>
      <w:r w:rsidR="001E74BA" w:rsidRPr="00DB037E">
        <w:rPr>
          <w:noProof/>
        </w:rPr>
        <w:t>Mha)</w:t>
      </w:r>
      <w:r w:rsidR="00ED7011" w:rsidRPr="00DB037E">
        <w:rPr>
          <w:noProof/>
        </w:rPr>
        <w:t>.</w:t>
      </w:r>
      <w:r w:rsidR="001E74BA" w:rsidRPr="00DB037E">
        <w:rPr>
          <w:noProof/>
        </w:rPr>
        <w:t xml:space="preserve"> </w:t>
      </w:r>
      <w:r w:rsidR="00ED7011" w:rsidRPr="00DB037E">
        <w:rPr>
          <w:noProof/>
        </w:rPr>
        <w:t>LIFE produces land use changes</w:t>
      </w:r>
      <w:r w:rsidR="001E74BA" w:rsidRPr="00DB037E">
        <w:rPr>
          <w:noProof/>
        </w:rPr>
        <w:t xml:space="preserve"> which result in less cropland (-</w:t>
      </w:r>
      <w:r w:rsidR="001748AA">
        <w:rPr>
          <w:noProof/>
        </w:rPr>
        <w:t>7</w:t>
      </w:r>
      <w:r w:rsidR="001E74BA" w:rsidRPr="00DB037E">
        <w:rPr>
          <w:noProof/>
        </w:rPr>
        <w:t xml:space="preserve"> Mha) and more grassland (+2.</w:t>
      </w:r>
      <w:r w:rsidR="001748AA">
        <w:rPr>
          <w:noProof/>
        </w:rPr>
        <w:t>7</w:t>
      </w:r>
      <w:r w:rsidR="001E74BA" w:rsidRPr="00DB037E">
        <w:rPr>
          <w:noProof/>
        </w:rPr>
        <w:t xml:space="preserve"> Mha)</w:t>
      </w:r>
      <w:r w:rsidR="001748AA">
        <w:rPr>
          <w:noProof/>
        </w:rPr>
        <w:t xml:space="preserve"> compared to S2 and S3</w:t>
      </w:r>
      <w:r w:rsidR="001E74BA" w:rsidRPr="00DB037E">
        <w:rPr>
          <w:noProof/>
        </w:rPr>
        <w:t>. Lignocellulosic crops require a</w:t>
      </w:r>
      <w:r w:rsidR="00E4000E" w:rsidRPr="00DB037E">
        <w:rPr>
          <w:noProof/>
        </w:rPr>
        <w:t xml:space="preserve"> total</w:t>
      </w:r>
      <w:r w:rsidR="00316B29" w:rsidRPr="00DB037E">
        <w:rPr>
          <w:noProof/>
        </w:rPr>
        <w:t xml:space="preserve"> </w:t>
      </w:r>
      <w:r w:rsidR="001E74BA" w:rsidRPr="00DB037E">
        <w:rPr>
          <w:noProof/>
        </w:rPr>
        <w:t>area of around 1</w:t>
      </w:r>
      <w:r w:rsidR="00E4000E" w:rsidRPr="00DB037E">
        <w:rPr>
          <w:noProof/>
        </w:rPr>
        <w:t>0</w:t>
      </w:r>
      <w:r w:rsidR="001E74BA" w:rsidRPr="00DB037E">
        <w:rPr>
          <w:noProof/>
        </w:rPr>
        <w:t>.</w:t>
      </w:r>
      <w:r w:rsidR="00E4000E" w:rsidRPr="00DB037E">
        <w:rPr>
          <w:noProof/>
        </w:rPr>
        <w:t>2</w:t>
      </w:r>
      <w:r w:rsidR="001E74BA" w:rsidRPr="00DB037E">
        <w:rPr>
          <w:noProof/>
        </w:rPr>
        <w:t xml:space="preserve"> Mha in 2040. </w:t>
      </w:r>
      <w:r w:rsidR="00BC19E0" w:rsidRPr="00DB037E">
        <w:rPr>
          <w:noProof/>
        </w:rPr>
        <w:t>The increase in wetlands is possible, because less fodder production and less requirement for agricultural grassland reduce pressure on the food system and make land</w:t>
      </w:r>
      <w:r w:rsidR="00BC19E0" w:rsidRPr="003B1BD6">
        <w:rPr>
          <w:noProof/>
        </w:rPr>
        <w:t xml:space="preserve"> for rewetting of dried organic soils cheaper.</w:t>
      </w:r>
      <w:r w:rsidR="00BC19E0">
        <w:rPr>
          <w:noProof/>
        </w:rPr>
        <w:t xml:space="preserve">    </w:t>
      </w:r>
      <w:bookmarkEnd w:id="495"/>
      <w:bookmarkEnd w:id="503"/>
    </w:p>
    <w:p w14:paraId="454E85BD" w14:textId="77777777" w:rsidR="00B604F0" w:rsidRPr="00680783" w:rsidRDefault="00B604F0" w:rsidP="00B604F0">
      <w:pPr>
        <w:pStyle w:val="Heading3"/>
        <w:rPr>
          <w:noProof/>
        </w:rPr>
      </w:pPr>
      <w:bookmarkStart w:id="506" w:name="_Toc148605623"/>
      <w:bookmarkStart w:id="507" w:name="_Ref154004691"/>
      <w:bookmarkStart w:id="508" w:name="_Toc157692069"/>
      <w:bookmarkStart w:id="509" w:name="_Ref145606019"/>
      <w:bookmarkEnd w:id="496"/>
      <w:r w:rsidRPr="00680783">
        <w:rPr>
          <w:noProof/>
        </w:rPr>
        <w:t xml:space="preserve">Options to increase the net LULUCF </w:t>
      </w:r>
      <w:r>
        <w:rPr>
          <w:noProof/>
        </w:rPr>
        <w:t>net removal</w:t>
      </w:r>
      <w:bookmarkEnd w:id="506"/>
      <w:bookmarkEnd w:id="507"/>
      <w:bookmarkEnd w:id="508"/>
      <w:r w:rsidRPr="00680783">
        <w:rPr>
          <w:noProof/>
        </w:rPr>
        <w:t xml:space="preserve"> </w:t>
      </w:r>
    </w:p>
    <w:p w14:paraId="706D7DB9" w14:textId="3E797B04" w:rsidR="00B604F0" w:rsidRDefault="00B604F0" w:rsidP="00B604F0">
      <w:pPr>
        <w:rPr>
          <w:noProof/>
          <w:lang w:val="en-IE"/>
        </w:rPr>
      </w:pPr>
      <w:r>
        <w:rPr>
          <w:noProof/>
          <w:lang w:val="en-IE"/>
        </w:rPr>
        <w:t>As discussed in previous</w:t>
      </w:r>
      <w:r w:rsidDel="00EF139B">
        <w:rPr>
          <w:noProof/>
          <w:lang w:val="en-IE"/>
        </w:rPr>
        <w:t xml:space="preserve"> </w:t>
      </w:r>
      <w:r w:rsidR="00EF139B">
        <w:rPr>
          <w:noProof/>
          <w:lang w:val="en-IE"/>
        </w:rPr>
        <w:t xml:space="preserve">section </w:t>
      </w:r>
      <w:r>
        <w:rPr>
          <w:noProof/>
          <w:color w:val="2B579A"/>
          <w:shd w:val="clear" w:color="auto" w:fill="E6E6E6"/>
          <w:lang w:val="en-IE"/>
        </w:rPr>
        <w:fldChar w:fldCharType="begin"/>
      </w:r>
      <w:r>
        <w:rPr>
          <w:noProof/>
          <w:lang w:val="en-IE"/>
        </w:rPr>
        <w:instrText xml:space="preserve"> REF _Ref138538397 \r \h </w:instrText>
      </w:r>
      <w:r>
        <w:rPr>
          <w:noProof/>
          <w:color w:val="2B579A"/>
          <w:shd w:val="clear" w:color="auto" w:fill="E6E6E6"/>
          <w:lang w:val="en-IE"/>
        </w:rPr>
        <w:instrText xml:space="preserve"> \* MERGEFORMAT </w:instrText>
      </w:r>
      <w:r>
        <w:rPr>
          <w:noProof/>
          <w:color w:val="2B579A"/>
          <w:shd w:val="clear" w:color="auto" w:fill="E6E6E6"/>
          <w:lang w:val="en-IE"/>
        </w:rPr>
      </w:r>
      <w:r>
        <w:rPr>
          <w:noProof/>
          <w:color w:val="2B579A"/>
          <w:shd w:val="clear" w:color="auto" w:fill="E6E6E6"/>
          <w:lang w:val="en-IE"/>
        </w:rPr>
        <w:fldChar w:fldCharType="separate"/>
      </w:r>
      <w:r w:rsidR="00170A3C">
        <w:rPr>
          <w:noProof/>
          <w:lang w:val="en-IE"/>
        </w:rPr>
        <w:t>1.1</w:t>
      </w:r>
      <w:r>
        <w:rPr>
          <w:noProof/>
          <w:color w:val="2B579A"/>
          <w:shd w:val="clear" w:color="auto" w:fill="E6E6E6"/>
          <w:lang w:val="en-IE"/>
        </w:rPr>
        <w:fldChar w:fldCharType="end"/>
      </w:r>
      <w:r>
        <w:rPr>
          <w:noProof/>
          <w:lang w:val="en-IE"/>
        </w:rPr>
        <w:t xml:space="preserve"> technical and nature-based carbon removals are an essential part in each scenario to achieve net zero emissions in 2050. The share between technical and nature-based removals may vary depending on the development of prices for industrial carbon removal technologies, nature-based removal options and the saturation effect of the land sink. </w:t>
      </w:r>
      <w:r w:rsidRPr="00314CCA">
        <w:rPr>
          <w:noProof/>
          <w:lang w:val="en-IE"/>
        </w:rPr>
        <w:t>Hence, although</w:t>
      </w:r>
      <w:r>
        <w:rPr>
          <w:noProof/>
          <w:lang w:val="en-IE"/>
        </w:rPr>
        <w:t xml:space="preserve"> nature-based removals are expected to make up the bigger share of carbon removals, it is not clear which options will be more cost efficient at a certain point in time.</w:t>
      </w:r>
    </w:p>
    <w:p w14:paraId="337D08C9" w14:textId="57D905FE" w:rsidR="00B604F0" w:rsidRDefault="00B604F0" w:rsidP="00B604F0">
      <w:pPr>
        <w:rPr>
          <w:noProof/>
          <w:lang w:val="en-IE"/>
        </w:rPr>
      </w:pPr>
      <w:r>
        <w:rPr>
          <w:noProof/>
          <w:lang w:val="en-IE"/>
        </w:rPr>
        <w:t>Nature-based removal options in the LULUCF sector include interventions in forests (</w:t>
      </w:r>
      <w:r w:rsidR="007A0C98">
        <w:rPr>
          <w:noProof/>
          <w:lang w:val="en-IE"/>
        </w:rPr>
        <w:t>e.g.,</w:t>
      </w:r>
      <w:r>
        <w:rPr>
          <w:noProof/>
          <w:lang w:val="en-IE"/>
        </w:rPr>
        <w:t xml:space="preserve"> reduce deforestation and peatland degradation, afforestation, forest management, peatland restoration) and agricultural soils (</w:t>
      </w:r>
      <w:r w:rsidR="00C4152F">
        <w:rPr>
          <w:noProof/>
          <w:lang w:val="en-IE"/>
        </w:rPr>
        <w:t>e.g.,</w:t>
      </w:r>
      <w:r>
        <w:rPr>
          <w:noProof/>
          <w:lang w:val="en-IE"/>
        </w:rPr>
        <w:t xml:space="preserve"> soil organic carbon management, agroforestry) and have different mitigation potentials</w:t>
      </w:r>
      <w:r w:rsidRPr="005545B3">
        <w:rPr>
          <w:noProof/>
          <w:lang w:val="en-IE"/>
        </w:rPr>
        <w:t> (</w:t>
      </w:r>
      <w:r>
        <w:rPr>
          <w:rStyle w:val="FootnoteReference"/>
          <w:noProof/>
          <w:lang w:val="en-IE"/>
        </w:rPr>
        <w:footnoteReference w:id="174"/>
      </w:r>
      <w:r>
        <w:rPr>
          <w:noProof/>
          <w:lang w:val="en-IE"/>
        </w:rPr>
        <w:t xml:space="preserve">). </w:t>
      </w:r>
      <w:r>
        <w:rPr>
          <w:noProof/>
        </w:rPr>
        <w:t>The costs for different mitigation options are specified as a yearly price per ton CO</w:t>
      </w:r>
      <w:r w:rsidRPr="00952476">
        <w:rPr>
          <w:noProof/>
          <w:vertAlign w:val="subscript"/>
        </w:rPr>
        <w:t>2</w:t>
      </w:r>
      <w:r>
        <w:rPr>
          <w:noProof/>
        </w:rPr>
        <w:t xml:space="preserve">-eq, which are required for the implementation of a certain option. Throughout the public consultation, respondents rated </w:t>
      </w:r>
      <w:r w:rsidR="0026303D">
        <w:rPr>
          <w:noProof/>
        </w:rPr>
        <w:t>‘</w:t>
      </w:r>
      <w:r>
        <w:rPr>
          <w:noProof/>
        </w:rPr>
        <w:t>afforestation, reforestation and forest restoration</w:t>
      </w:r>
      <w:r w:rsidR="0026303D">
        <w:rPr>
          <w:noProof/>
        </w:rPr>
        <w:t>’</w:t>
      </w:r>
      <w:r>
        <w:rPr>
          <w:noProof/>
        </w:rPr>
        <w:t xml:space="preserve"> as the most relevant solution for limiting climate change </w:t>
      </w:r>
      <w:r w:rsidR="0026303D" w:rsidRPr="0026303D">
        <w:rPr>
          <w:noProof/>
        </w:rPr>
        <w:t>(</w:t>
      </w:r>
      <w:r w:rsidR="0026303D">
        <w:rPr>
          <w:rStyle w:val="FootnoteReference"/>
          <w:noProof/>
        </w:rPr>
        <w:footnoteReference w:id="175"/>
      </w:r>
      <w:r w:rsidR="0026303D">
        <w:rPr>
          <w:noProof/>
        </w:rPr>
        <w:t>)</w:t>
      </w:r>
      <w:r>
        <w:rPr>
          <w:noProof/>
        </w:rPr>
        <w:t xml:space="preserve"> (Average: 4.44, on a 5-point scale form ‘very irrelevant’ (1) to ‘very relevant’ (5)), which illustrates the </w:t>
      </w:r>
      <w:r w:rsidR="00EF139B">
        <w:rPr>
          <w:noProof/>
        </w:rPr>
        <w:t xml:space="preserve">perceived </w:t>
      </w:r>
      <w:r>
        <w:rPr>
          <w:noProof/>
        </w:rPr>
        <w:t xml:space="preserve">prominent role of forests for climate action among </w:t>
      </w:r>
      <w:r w:rsidR="00EF139B">
        <w:rPr>
          <w:noProof/>
        </w:rPr>
        <w:t xml:space="preserve">both </w:t>
      </w:r>
      <w:r>
        <w:rPr>
          <w:noProof/>
        </w:rPr>
        <w:t xml:space="preserve">citizens and organisations. Though other </w:t>
      </w:r>
      <w:r w:rsidR="001E7643">
        <w:rPr>
          <w:noProof/>
        </w:rPr>
        <w:t>nature-</w:t>
      </w:r>
      <w:r w:rsidR="00424C49">
        <w:rPr>
          <w:noProof/>
        </w:rPr>
        <w:t>based removals</w:t>
      </w:r>
      <w:r>
        <w:rPr>
          <w:noProof/>
        </w:rPr>
        <w:t xml:space="preserve"> such as peatland restoration (rewetting, revegetating, and pal</w:t>
      </w:r>
      <w:r w:rsidR="00CF72F6">
        <w:rPr>
          <w:noProof/>
        </w:rPr>
        <w:t>u</w:t>
      </w:r>
      <w:r>
        <w:rPr>
          <w:noProof/>
        </w:rPr>
        <w:t>d</w:t>
      </w:r>
      <w:r w:rsidR="00CF72F6">
        <w:rPr>
          <w:noProof/>
        </w:rPr>
        <w:t>i</w:t>
      </w:r>
      <w:r>
        <w:rPr>
          <w:noProof/>
        </w:rPr>
        <w:t xml:space="preserve">culture) (Average: 4.24) as well as Agroforestry and other soil management practices (Average 4.18) were rated second and third among the most relevant solutions for limiting climate change. Thus, </w:t>
      </w:r>
      <w:r w:rsidR="001E7643">
        <w:rPr>
          <w:noProof/>
        </w:rPr>
        <w:t>nature-</w:t>
      </w:r>
      <w:r w:rsidR="00424C49">
        <w:rPr>
          <w:noProof/>
        </w:rPr>
        <w:t>based removals</w:t>
      </w:r>
      <w:r>
        <w:rPr>
          <w:noProof/>
        </w:rPr>
        <w:t xml:space="preserve"> in the LULUCF sector are clearly well known and seen as the most promising options throughout the portfolio of mitigation options.</w:t>
      </w:r>
    </w:p>
    <w:p w14:paraId="5EC6D41F" w14:textId="571FB6BB" w:rsidR="00B604F0" w:rsidRPr="006E2E48" w:rsidRDefault="00B604F0" w:rsidP="00B604F0">
      <w:pPr>
        <w:rPr>
          <w:b/>
          <w:noProof/>
          <w:lang w:val="en-IE"/>
        </w:rPr>
      </w:pPr>
      <w:r w:rsidRPr="006E2E48">
        <w:rPr>
          <w:noProof/>
          <w:lang w:val="en-IE"/>
        </w:rPr>
        <w:t xml:space="preserve">For some </w:t>
      </w:r>
      <w:r w:rsidR="001E7643">
        <w:rPr>
          <w:noProof/>
          <w:lang w:val="en-IE"/>
        </w:rPr>
        <w:t>nature-</w:t>
      </w:r>
      <w:r w:rsidR="00424C49">
        <w:rPr>
          <w:noProof/>
          <w:lang w:val="en-IE"/>
        </w:rPr>
        <w:t>based removals</w:t>
      </w:r>
      <w:r>
        <w:rPr>
          <w:noProof/>
          <w:lang w:val="en-IE"/>
        </w:rPr>
        <w:t xml:space="preserve"> to contribute to </w:t>
      </w:r>
      <w:r w:rsidRPr="007D5650">
        <w:rPr>
          <w:noProof/>
          <w:lang w:val="en-IE"/>
        </w:rPr>
        <w:t xml:space="preserve">the long-term enhancement of the LULUCF </w:t>
      </w:r>
      <w:r>
        <w:rPr>
          <w:noProof/>
          <w:lang w:val="en-IE"/>
        </w:rPr>
        <w:t>net removal</w:t>
      </w:r>
      <w:r w:rsidR="00210778">
        <w:rPr>
          <w:noProof/>
          <w:lang w:val="en-IE"/>
        </w:rPr>
        <w:t>s</w:t>
      </w:r>
      <w:r w:rsidRPr="007D5650">
        <w:rPr>
          <w:noProof/>
          <w:lang w:val="en-IE"/>
        </w:rPr>
        <w:t xml:space="preserve"> is a slow process – one that should start now to maximise the 2050 carbon removal potential.</w:t>
      </w:r>
      <w:r w:rsidRPr="006E2E48">
        <w:rPr>
          <w:noProof/>
          <w:lang w:val="en-IE"/>
        </w:rPr>
        <w:t xml:space="preserve"> However, </w:t>
      </w:r>
      <w:r>
        <w:rPr>
          <w:noProof/>
          <w:lang w:val="en-IE"/>
        </w:rPr>
        <w:t xml:space="preserve">other options, such as </w:t>
      </w:r>
      <w:r w:rsidRPr="006E2E48">
        <w:rPr>
          <w:noProof/>
          <w:lang w:val="en-IE"/>
        </w:rPr>
        <w:t>rewetting</w:t>
      </w:r>
      <w:r>
        <w:rPr>
          <w:noProof/>
          <w:lang w:val="en-IE"/>
        </w:rPr>
        <w:t xml:space="preserve"> of peat- and wetlands, </w:t>
      </w:r>
      <w:r w:rsidRPr="006E2E48">
        <w:rPr>
          <w:noProof/>
          <w:lang w:val="en-IE"/>
        </w:rPr>
        <w:t>quickly reduce emissions</w:t>
      </w:r>
      <w:r>
        <w:rPr>
          <w:noProof/>
          <w:lang w:val="en-IE"/>
        </w:rPr>
        <w:t>, when implemented</w:t>
      </w:r>
      <w:r w:rsidRPr="006E2E48">
        <w:rPr>
          <w:noProof/>
          <w:lang w:val="en-IE"/>
        </w:rPr>
        <w:t>. Therefore</w:t>
      </w:r>
      <w:r w:rsidR="0095139A">
        <w:rPr>
          <w:noProof/>
          <w:lang w:val="en-IE"/>
        </w:rPr>
        <w:t>,</w:t>
      </w:r>
      <w:r w:rsidRPr="006E2E48">
        <w:rPr>
          <w:noProof/>
          <w:lang w:val="en-IE"/>
        </w:rPr>
        <w:t xml:space="preserve"> the mitigation potential of </w:t>
      </w:r>
      <w:r w:rsidR="00084CA6">
        <w:rPr>
          <w:noProof/>
          <w:lang w:val="en-IE"/>
        </w:rPr>
        <w:t>rewetting drained</w:t>
      </w:r>
      <w:r w:rsidRPr="006E2E48">
        <w:rPr>
          <w:noProof/>
          <w:lang w:val="en-IE"/>
        </w:rPr>
        <w:t xml:space="preserve"> organic soils is substantial already in 2030. Forest and agriculture related options can also enhance the LULUCF </w:t>
      </w:r>
      <w:r>
        <w:rPr>
          <w:noProof/>
          <w:lang w:val="en-IE"/>
        </w:rPr>
        <w:t>net removal</w:t>
      </w:r>
      <w:r w:rsidRPr="006E2E48">
        <w:rPr>
          <w:noProof/>
          <w:lang w:val="en-IE"/>
        </w:rPr>
        <w:t xml:space="preserve"> in the short term</w:t>
      </w:r>
      <w:r>
        <w:rPr>
          <w:noProof/>
          <w:lang w:val="en-IE"/>
        </w:rPr>
        <w:t xml:space="preserve"> but most of their potential plays out in 2040 and 2050</w:t>
      </w:r>
      <w:r w:rsidRPr="006E2E48">
        <w:rPr>
          <w:noProof/>
          <w:lang w:val="en-IE"/>
        </w:rPr>
        <w:t xml:space="preserve">. As shown </w:t>
      </w:r>
      <w:r w:rsidRPr="005931B7">
        <w:rPr>
          <w:noProof/>
          <w:lang w:val="en-IE"/>
        </w:rPr>
        <w:t>in</w:t>
      </w:r>
      <w:r>
        <w:rPr>
          <w:noProof/>
          <w:lang w:val="en-IE"/>
        </w:rPr>
        <w:t xml:space="preserve"> </w:t>
      </w:r>
      <w:r w:rsidR="00210778">
        <w:rPr>
          <w:noProof/>
          <w:lang w:val="en-IE"/>
        </w:rPr>
        <w:fldChar w:fldCharType="begin"/>
      </w:r>
      <w:r w:rsidR="00210778">
        <w:rPr>
          <w:noProof/>
          <w:lang w:val="en-IE"/>
        </w:rPr>
        <w:instrText xml:space="preserve"> REF _Ref145664468 \h </w:instrText>
      </w:r>
      <w:r w:rsidR="00210778">
        <w:rPr>
          <w:noProof/>
          <w:lang w:val="en-IE"/>
        </w:rPr>
      </w:r>
      <w:r w:rsidR="00210778">
        <w:rPr>
          <w:noProof/>
          <w:lang w:val="en-IE"/>
        </w:rPr>
        <w:fldChar w:fldCharType="separate"/>
      </w:r>
      <w:r w:rsidR="00170A3C">
        <w:rPr>
          <w:noProof/>
        </w:rPr>
        <w:t>Figure 93</w:t>
      </w:r>
      <w:r w:rsidR="00210778">
        <w:rPr>
          <w:noProof/>
          <w:lang w:val="en-IE"/>
        </w:rPr>
        <w:fldChar w:fldCharType="end"/>
      </w:r>
      <w:r w:rsidRPr="006E2E48">
        <w:rPr>
          <w:noProof/>
          <w:lang w:val="en-IE"/>
        </w:rPr>
        <w:t xml:space="preserve">, improved forest management and afforestation, can provide a comparably large </w:t>
      </w:r>
      <w:r>
        <w:rPr>
          <w:noProof/>
          <w:lang w:val="en-IE"/>
        </w:rPr>
        <w:t>mitigation</w:t>
      </w:r>
      <w:r w:rsidRPr="006E2E48">
        <w:rPr>
          <w:noProof/>
          <w:lang w:val="en-IE"/>
        </w:rPr>
        <w:t xml:space="preserve"> potential already by 2030</w:t>
      </w:r>
      <w:r>
        <w:rPr>
          <w:noProof/>
          <w:lang w:val="en-IE"/>
        </w:rPr>
        <w:t xml:space="preserve"> and</w:t>
      </w:r>
      <w:r w:rsidRPr="006E2E48">
        <w:rPr>
          <w:noProof/>
          <w:lang w:val="en-IE"/>
        </w:rPr>
        <w:t xml:space="preserve"> largely to a relatively low price of </w:t>
      </w:r>
      <w:r w:rsidR="00DC624A">
        <w:rPr>
          <w:noProof/>
          <w:lang w:val="en-IE"/>
        </w:rPr>
        <w:t>2</w:t>
      </w:r>
      <w:r w:rsidR="00AC44AF" w:rsidRPr="00B115B9">
        <w:rPr>
          <w:noProof/>
          <w:lang w:val="en-IE"/>
        </w:rPr>
        <w:t>0</w:t>
      </w:r>
      <w:r w:rsidR="00AC44AF">
        <w:rPr>
          <w:noProof/>
          <w:lang w:val="en-IE"/>
        </w:rPr>
        <w:t> </w:t>
      </w:r>
      <w:r w:rsidRPr="00B115B9">
        <w:rPr>
          <w:noProof/>
          <w:lang w:val="en-IE"/>
        </w:rPr>
        <w:t>€/tCO</w:t>
      </w:r>
      <w:r w:rsidRPr="00B115B9">
        <w:rPr>
          <w:noProof/>
          <w:vertAlign w:val="subscript"/>
          <w:lang w:val="en-IE"/>
        </w:rPr>
        <w:t>2</w:t>
      </w:r>
      <w:r w:rsidR="00AC44AF">
        <w:rPr>
          <w:noProof/>
          <w:lang w:val="en-IE"/>
        </w:rPr>
        <w:noBreakHyphen/>
      </w:r>
      <w:r w:rsidRPr="00B115B9">
        <w:rPr>
          <w:noProof/>
          <w:lang w:val="en-IE"/>
        </w:rPr>
        <w:t>eq</w:t>
      </w:r>
      <w:r w:rsidR="00224071" w:rsidRPr="00224071">
        <w:rPr>
          <w:noProof/>
          <w:lang w:val="en-IE"/>
        </w:rPr>
        <w:t> (</w:t>
      </w:r>
      <w:r w:rsidR="00224071">
        <w:rPr>
          <w:rStyle w:val="FootnoteReference"/>
          <w:noProof/>
          <w:lang w:val="en-IE"/>
        </w:rPr>
        <w:footnoteReference w:id="176"/>
      </w:r>
      <w:r w:rsidR="00224071">
        <w:rPr>
          <w:noProof/>
          <w:lang w:val="en-IE"/>
        </w:rPr>
        <w:t>)</w:t>
      </w:r>
      <w:r w:rsidRPr="006E2E48">
        <w:rPr>
          <w:noProof/>
          <w:lang w:val="en-IE"/>
        </w:rPr>
        <w:t>.</w:t>
      </w:r>
      <w:r w:rsidRPr="006E2E48">
        <w:rPr>
          <w:noProof/>
          <w:vertAlign w:val="subscript"/>
          <w:lang w:val="en-IE"/>
        </w:rPr>
        <w:t xml:space="preserve"> </w:t>
      </w:r>
      <w:r w:rsidRPr="006E2E48">
        <w:rPr>
          <w:noProof/>
          <w:lang w:val="en-IE"/>
        </w:rPr>
        <w:t>Similarly</w:t>
      </w:r>
      <w:r w:rsidR="0095139A">
        <w:rPr>
          <w:noProof/>
          <w:lang w:val="en-IE"/>
        </w:rPr>
        <w:t>,</w:t>
      </w:r>
      <w:r w:rsidRPr="006E2E48">
        <w:rPr>
          <w:noProof/>
          <w:lang w:val="en-IE"/>
        </w:rPr>
        <w:t xml:space="preserve"> solutions for agricultural land unfold to a large extent as early as 2030, though mitigation costs are much more heterogeneous across the entire spectrum of mitigation options available in the agriculture sector and range from 5 to </w:t>
      </w:r>
      <w:r w:rsidR="00AC44AF" w:rsidRPr="006E2E48">
        <w:rPr>
          <w:noProof/>
          <w:lang w:val="en-IE"/>
        </w:rPr>
        <w:t>150</w:t>
      </w:r>
      <w:r w:rsidR="00AC44AF">
        <w:rPr>
          <w:noProof/>
          <w:lang w:val="en-IE"/>
        </w:rPr>
        <w:t> </w:t>
      </w:r>
      <w:r w:rsidRPr="006E2E48">
        <w:rPr>
          <w:noProof/>
          <w:lang w:val="en-IE"/>
        </w:rPr>
        <w:t>€/tCO</w:t>
      </w:r>
      <w:r w:rsidRPr="006E2E48">
        <w:rPr>
          <w:noProof/>
          <w:vertAlign w:val="subscript"/>
          <w:lang w:val="en-IE"/>
        </w:rPr>
        <w:t>2</w:t>
      </w:r>
      <w:r w:rsidR="0095139A">
        <w:rPr>
          <w:noProof/>
          <w:lang w:val="en-IE"/>
        </w:rPr>
        <w:noBreakHyphen/>
      </w:r>
      <w:r w:rsidRPr="006E2E48">
        <w:rPr>
          <w:noProof/>
          <w:lang w:val="en-IE"/>
        </w:rPr>
        <w:t>eq</w:t>
      </w:r>
      <w:r w:rsidRPr="006E2E48">
        <w:rPr>
          <w:noProof/>
          <w:vertAlign w:val="subscript"/>
          <w:lang w:val="en-IE"/>
        </w:rPr>
        <w:t xml:space="preserve">. </w:t>
      </w:r>
      <w:r w:rsidRPr="006E2E48">
        <w:rPr>
          <w:noProof/>
          <w:lang w:val="en-IE"/>
        </w:rPr>
        <w:t xml:space="preserve">The potential of </w:t>
      </w:r>
      <w:r>
        <w:rPr>
          <w:noProof/>
          <w:lang w:val="en-IE"/>
        </w:rPr>
        <w:t>avoided</w:t>
      </w:r>
      <w:r w:rsidRPr="006E2E48">
        <w:rPr>
          <w:noProof/>
          <w:lang w:val="en-IE"/>
        </w:rPr>
        <w:t xml:space="preserve"> deforestation is declining and will be almost exhausted after 2050.</w:t>
      </w:r>
    </w:p>
    <w:p w14:paraId="0CC47F95" w14:textId="2400E65A" w:rsidR="00B604F0" w:rsidRPr="00A60821" w:rsidRDefault="00B604F0" w:rsidP="00B604F0">
      <w:pPr>
        <w:rPr>
          <w:noProof/>
          <w:lang w:val="en-IE"/>
        </w:rPr>
      </w:pPr>
      <w:r w:rsidRPr="00677DD1">
        <w:rPr>
          <w:noProof/>
          <w:lang w:val="en-IE"/>
        </w:rPr>
        <w:t xml:space="preserve">Rewetting of drained organic soils makes up about 30% of the total potential for </w:t>
      </w:r>
      <w:bookmarkStart w:id="510" w:name="_Hlk152061014"/>
      <w:r w:rsidRPr="00677DD1">
        <w:rPr>
          <w:noProof/>
          <w:lang w:val="en-IE"/>
        </w:rPr>
        <w:t>50</w:t>
      </w:r>
      <w:r w:rsidR="00AF0A90">
        <w:rPr>
          <w:noProof/>
          <w:lang w:val="en-IE"/>
        </w:rPr>
        <w:t> </w:t>
      </w:r>
      <w:r w:rsidRPr="00677DD1">
        <w:rPr>
          <w:noProof/>
          <w:lang w:val="en-IE"/>
        </w:rPr>
        <w:t>€/tCO</w:t>
      </w:r>
      <w:r w:rsidRPr="00677DD1">
        <w:rPr>
          <w:noProof/>
          <w:vertAlign w:val="subscript"/>
          <w:lang w:val="en-IE"/>
        </w:rPr>
        <w:t>2</w:t>
      </w:r>
      <w:r w:rsidRPr="00677DD1">
        <w:rPr>
          <w:noProof/>
          <w:lang w:val="en-IE"/>
        </w:rPr>
        <w:t xml:space="preserve">-eq </w:t>
      </w:r>
      <w:bookmarkEnd w:id="510"/>
      <w:r w:rsidRPr="00677DD1">
        <w:rPr>
          <w:noProof/>
          <w:lang w:val="en-IE"/>
        </w:rPr>
        <w:t>or 100</w:t>
      </w:r>
      <w:r w:rsidR="0095139A">
        <w:rPr>
          <w:noProof/>
          <w:lang w:val="en-IE"/>
        </w:rPr>
        <w:t xml:space="preserve"> </w:t>
      </w:r>
      <w:r w:rsidRPr="00677DD1">
        <w:rPr>
          <w:noProof/>
          <w:lang w:val="en-IE"/>
        </w:rPr>
        <w:t>€/tCO</w:t>
      </w:r>
      <w:r w:rsidRPr="00677DD1">
        <w:rPr>
          <w:noProof/>
          <w:vertAlign w:val="subscript"/>
          <w:lang w:val="en-IE"/>
        </w:rPr>
        <w:t>2</w:t>
      </w:r>
      <w:r w:rsidRPr="00677DD1">
        <w:rPr>
          <w:noProof/>
          <w:lang w:val="en-IE"/>
        </w:rPr>
        <w:t>-eq. It provides a high mitigation potential (</w:t>
      </w:r>
      <w:r w:rsidRPr="00677DD1">
        <w:rPr>
          <w:rStyle w:val="FootnoteReference"/>
          <w:noProof/>
          <w:lang w:val="en-IE"/>
        </w:rPr>
        <w:footnoteReference w:id="177"/>
      </w:r>
      <w:r w:rsidRPr="00677DD1">
        <w:rPr>
          <w:noProof/>
          <w:lang w:val="en-IE"/>
        </w:rPr>
        <w:t>)  (</w:t>
      </w:r>
      <w:r w:rsidRPr="00677DD1">
        <w:rPr>
          <w:rStyle w:val="FootnoteReference"/>
          <w:noProof/>
          <w:lang w:val="en-IE"/>
        </w:rPr>
        <w:footnoteReference w:id="178"/>
      </w:r>
      <w:r w:rsidRPr="00677DD1">
        <w:rPr>
          <w:noProof/>
          <w:lang w:val="en-IE"/>
        </w:rPr>
        <w:t>)  but also requires substantial investment</w:t>
      </w:r>
      <w:r w:rsidRPr="00A0692F">
        <w:rPr>
          <w:noProof/>
          <w:lang w:val="en-IE"/>
        </w:rPr>
        <w:t> (</w:t>
      </w:r>
      <w:r w:rsidRPr="00A0692F">
        <w:rPr>
          <w:rStyle w:val="FootnoteReference"/>
          <w:noProof/>
          <w:lang w:val="en-IE"/>
        </w:rPr>
        <w:footnoteReference w:id="179"/>
      </w:r>
      <w:r w:rsidRPr="00A0692F">
        <w:rPr>
          <w:noProof/>
          <w:lang w:val="en-IE"/>
        </w:rPr>
        <w:t>). It can be achieved by using appropriate forms of agriculture management such as paludiculture or by completely taking the land out of production. T</w:t>
      </w:r>
      <w:r>
        <w:rPr>
          <w:noProof/>
          <w:lang w:val="en-IE"/>
        </w:rPr>
        <w:t>he</w:t>
      </w:r>
      <w:r w:rsidRPr="00A0692F">
        <w:rPr>
          <w:noProof/>
          <w:lang w:val="en-IE"/>
        </w:rPr>
        <w:t xml:space="preserve"> elevation of water levels (</w:t>
      </w:r>
      <w:r w:rsidR="007A0C98" w:rsidRPr="00A0692F">
        <w:rPr>
          <w:noProof/>
          <w:lang w:val="en-IE"/>
        </w:rPr>
        <w:t>i.e.,</w:t>
      </w:r>
      <w:r w:rsidRPr="00A0692F">
        <w:rPr>
          <w:noProof/>
          <w:lang w:val="en-IE"/>
        </w:rPr>
        <w:t xml:space="preserve"> ‘rewetting’) reduces emissions that stem from the organic material in these soils.</w:t>
      </w:r>
      <w:r>
        <w:rPr>
          <w:noProof/>
          <w:lang w:val="en-IE"/>
        </w:rPr>
        <w:t xml:space="preserve"> </w:t>
      </w:r>
      <w:r w:rsidRPr="00A0692F">
        <w:rPr>
          <w:noProof/>
          <w:lang w:val="en-IE"/>
        </w:rPr>
        <w:t xml:space="preserve">Notably, a high share of today’s drained peatlands </w:t>
      </w:r>
      <w:r w:rsidR="007A0C98" w:rsidRPr="00A0692F">
        <w:rPr>
          <w:noProof/>
          <w:lang w:val="en-IE"/>
        </w:rPr>
        <w:t>is</w:t>
      </w:r>
      <w:r w:rsidRPr="00A0692F">
        <w:rPr>
          <w:noProof/>
          <w:lang w:val="en-IE"/>
        </w:rPr>
        <w:t xml:space="preserve"> used for agricultural purposes, which hampers the peatlands from being</w:t>
      </w:r>
      <w:r>
        <w:rPr>
          <w:noProof/>
          <w:lang w:val="en-IE"/>
        </w:rPr>
        <w:t xml:space="preserve"> rewetted</w:t>
      </w:r>
      <w:r w:rsidRPr="006E2E48">
        <w:rPr>
          <w:noProof/>
          <w:lang w:val="en-IE"/>
        </w:rPr>
        <w:t>. Thus</w:t>
      </w:r>
      <w:r w:rsidR="0095139A">
        <w:rPr>
          <w:noProof/>
          <w:lang w:val="en-IE"/>
        </w:rPr>
        <w:t>,</w:t>
      </w:r>
      <w:r w:rsidRPr="006E2E48">
        <w:rPr>
          <w:noProof/>
          <w:lang w:val="en-IE"/>
        </w:rPr>
        <w:t xml:space="preserve"> </w:t>
      </w:r>
      <w:r w:rsidRPr="00A0692F">
        <w:rPr>
          <w:noProof/>
          <w:lang w:val="en-IE"/>
        </w:rPr>
        <w:t xml:space="preserve">an important element for rewetting practices may be a compensation of farmers and </w:t>
      </w:r>
      <w:r w:rsidR="00424C49" w:rsidRPr="00795177">
        <w:rPr>
          <w:noProof/>
          <w:lang w:val="en-IE"/>
        </w:rPr>
        <w:t>landowners</w:t>
      </w:r>
      <w:r w:rsidRPr="00A0692F">
        <w:rPr>
          <w:noProof/>
          <w:lang w:val="en-IE"/>
        </w:rPr>
        <w:t xml:space="preserve"> when switching to other forms of agriculture (</w:t>
      </w:r>
      <w:r w:rsidR="007A0C98" w:rsidRPr="00A0692F">
        <w:rPr>
          <w:noProof/>
          <w:lang w:val="en-IE"/>
        </w:rPr>
        <w:t>e.g.,</w:t>
      </w:r>
      <w:r w:rsidRPr="00A0692F">
        <w:rPr>
          <w:noProof/>
          <w:lang w:val="en-IE"/>
        </w:rPr>
        <w:t xml:space="preserve"> paludiculture) or abandoning agricultural activity on these soils</w:t>
      </w:r>
      <w:r w:rsidRPr="006E2E48">
        <w:rPr>
          <w:noProof/>
          <w:lang w:val="en-IE"/>
        </w:rPr>
        <w:t xml:space="preserve">. Consequently, as </w:t>
      </w:r>
      <w:r w:rsidRPr="005931B7">
        <w:rPr>
          <w:noProof/>
          <w:lang w:val="en-IE"/>
        </w:rPr>
        <w:t>shown in</w:t>
      </w:r>
      <w:r w:rsidR="00FA3B78">
        <w:rPr>
          <w:noProof/>
          <w:lang w:val="en-IE"/>
        </w:rPr>
        <w:t xml:space="preserve"> </w:t>
      </w:r>
      <w:r w:rsidR="00FA3B78">
        <w:rPr>
          <w:noProof/>
          <w:lang w:val="en-IE"/>
        </w:rPr>
        <w:fldChar w:fldCharType="begin"/>
      </w:r>
      <w:r w:rsidR="00FA3B78">
        <w:rPr>
          <w:noProof/>
          <w:lang w:val="en-IE"/>
        </w:rPr>
        <w:instrText xml:space="preserve"> REF _Ref145664468 \h </w:instrText>
      </w:r>
      <w:r w:rsidR="00FA3B78">
        <w:rPr>
          <w:noProof/>
          <w:lang w:val="en-IE"/>
        </w:rPr>
      </w:r>
      <w:r w:rsidR="00FA3B78">
        <w:rPr>
          <w:noProof/>
          <w:lang w:val="en-IE"/>
        </w:rPr>
        <w:fldChar w:fldCharType="separate"/>
      </w:r>
      <w:r w:rsidR="00170A3C">
        <w:rPr>
          <w:noProof/>
        </w:rPr>
        <w:t>Figure 93</w:t>
      </w:r>
      <w:r w:rsidR="00FA3B78">
        <w:rPr>
          <w:noProof/>
          <w:lang w:val="en-IE"/>
        </w:rPr>
        <w:fldChar w:fldCharType="end"/>
      </w:r>
      <w:r w:rsidRPr="006E2E48">
        <w:rPr>
          <w:noProof/>
          <w:lang w:val="en-IE"/>
        </w:rPr>
        <w:t xml:space="preserve">, mitigation options for organic soils unfold their potential mainly at </w:t>
      </w:r>
      <w:r w:rsidRPr="00516BED">
        <w:rPr>
          <w:noProof/>
          <w:lang w:val="en-IE"/>
        </w:rPr>
        <w:t xml:space="preserve">costs between </w:t>
      </w:r>
      <w:r w:rsidRPr="00516BED" w:rsidDel="00AC44AF">
        <w:rPr>
          <w:noProof/>
          <w:lang w:val="en-IE"/>
        </w:rPr>
        <w:t>50</w:t>
      </w:r>
      <w:r w:rsidR="00AC44AF">
        <w:rPr>
          <w:noProof/>
          <w:lang w:val="en-IE"/>
        </w:rPr>
        <w:t> </w:t>
      </w:r>
      <w:r w:rsidRPr="00516BED">
        <w:rPr>
          <w:noProof/>
          <w:lang w:val="en-IE"/>
        </w:rPr>
        <w:t>€/tCO</w:t>
      </w:r>
      <w:r w:rsidRPr="00516BED">
        <w:rPr>
          <w:noProof/>
          <w:vertAlign w:val="subscript"/>
          <w:lang w:val="en-IE"/>
        </w:rPr>
        <w:t>2</w:t>
      </w:r>
      <w:r w:rsidRPr="00516BED">
        <w:rPr>
          <w:noProof/>
          <w:lang w:val="en-IE"/>
        </w:rPr>
        <w:t>-eq and 100</w:t>
      </w:r>
      <w:r w:rsidR="0095139A">
        <w:rPr>
          <w:noProof/>
          <w:lang w:val="en-IE"/>
        </w:rPr>
        <w:t xml:space="preserve"> </w:t>
      </w:r>
      <w:r w:rsidRPr="00516BED">
        <w:rPr>
          <w:noProof/>
          <w:lang w:val="en-IE"/>
        </w:rPr>
        <w:t>€/tCO</w:t>
      </w:r>
      <w:r w:rsidRPr="00516BED">
        <w:rPr>
          <w:noProof/>
          <w:vertAlign w:val="subscript"/>
          <w:lang w:val="en-IE"/>
        </w:rPr>
        <w:t>2</w:t>
      </w:r>
      <w:r w:rsidRPr="00516BED">
        <w:rPr>
          <w:noProof/>
          <w:lang w:val="en-IE"/>
        </w:rPr>
        <w:t>-eq</w:t>
      </w:r>
      <w:r w:rsidRPr="00516BED">
        <w:rPr>
          <w:noProof/>
          <w:vertAlign w:val="subscript"/>
          <w:lang w:val="en-IE"/>
        </w:rPr>
        <w:t>.</w:t>
      </w:r>
    </w:p>
    <w:p w14:paraId="695F3431" w14:textId="253AA613" w:rsidR="00B604F0" w:rsidRDefault="00B604F0" w:rsidP="001913CD">
      <w:pPr>
        <w:pStyle w:val="Caption"/>
        <w:keepLines/>
        <w:rPr>
          <w:noProof/>
        </w:rPr>
      </w:pPr>
      <w:bookmarkStart w:id="511" w:name="_Ref145664468"/>
      <w:bookmarkStart w:id="512" w:name="_Toc157679841"/>
      <w:r>
        <w:rPr>
          <w:noProof/>
        </w:rPr>
        <w:t xml:space="preserve">Figure </w:t>
      </w:r>
      <w:r>
        <w:rPr>
          <w:noProof/>
        </w:rPr>
        <w:fldChar w:fldCharType="begin"/>
      </w:r>
      <w:r>
        <w:rPr>
          <w:noProof/>
        </w:rPr>
        <w:instrText>SEQ Figure \* ARABIC</w:instrText>
      </w:r>
      <w:r>
        <w:rPr>
          <w:noProof/>
        </w:rPr>
        <w:fldChar w:fldCharType="separate"/>
      </w:r>
      <w:r w:rsidR="00170A3C">
        <w:rPr>
          <w:noProof/>
        </w:rPr>
        <w:t>93</w:t>
      </w:r>
      <w:r>
        <w:rPr>
          <w:noProof/>
        </w:rPr>
        <w:fldChar w:fldCharType="end"/>
      </w:r>
      <w:bookmarkEnd w:id="511"/>
      <w:r>
        <w:rPr>
          <w:noProof/>
        </w:rPr>
        <w:t>: Mitigation p</w:t>
      </w:r>
      <w:r w:rsidRPr="00693F41">
        <w:rPr>
          <w:noProof/>
        </w:rPr>
        <w:t>otential</w:t>
      </w:r>
      <w:r>
        <w:rPr>
          <w:noProof/>
        </w:rPr>
        <w:t xml:space="preserve">s in LULUCF </w:t>
      </w:r>
      <w:r w:rsidRPr="00693F41">
        <w:rPr>
          <w:noProof/>
        </w:rPr>
        <w:t xml:space="preserve">at different </w:t>
      </w:r>
      <w:r>
        <w:rPr>
          <w:noProof/>
        </w:rPr>
        <w:t>mitigation costs</w:t>
      </w:r>
      <w:bookmarkEnd w:id="512"/>
      <w:r w:rsidRPr="00693F41">
        <w:rPr>
          <w:noProof/>
        </w:rPr>
        <w:t xml:space="preserve"> </w:t>
      </w:r>
    </w:p>
    <w:p w14:paraId="04623D6E" w14:textId="4E2A2A17" w:rsidR="00B604F0" w:rsidRDefault="00084CA6" w:rsidP="001913CD">
      <w:pPr>
        <w:keepNext/>
        <w:keepLines/>
        <w:rPr>
          <w:noProof/>
        </w:rPr>
      </w:pPr>
      <w:r w:rsidRPr="00084CA6">
        <w:rPr>
          <w:noProof/>
          <w:lang w:eastAsia="en-GB"/>
        </w:rPr>
        <w:drawing>
          <wp:inline distT="0" distB="0" distL="0" distR="0" wp14:anchorId="60429771" wp14:editId="7630C43E">
            <wp:extent cx="5400675" cy="25146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5400675" cy="2514600"/>
                    </a:xfrm>
                    <a:prstGeom prst="rect">
                      <a:avLst/>
                    </a:prstGeom>
                    <a:noFill/>
                    <a:ln>
                      <a:noFill/>
                    </a:ln>
                  </pic:spPr>
                </pic:pic>
              </a:graphicData>
            </a:graphic>
          </wp:inline>
        </w:drawing>
      </w:r>
    </w:p>
    <w:p w14:paraId="47DB6194" w14:textId="2EEC2504" w:rsidR="00B604F0" w:rsidRPr="00784DA4" w:rsidRDefault="00B604F0" w:rsidP="001913CD">
      <w:pPr>
        <w:pStyle w:val="CT-NOTE"/>
        <w:keepLines/>
        <w:rPr>
          <w:noProof/>
        </w:rPr>
      </w:pPr>
      <w:r w:rsidRPr="00784DA4">
        <w:rPr>
          <w:noProof/>
        </w:rPr>
        <w:t xml:space="preserve">Note: </w:t>
      </w:r>
      <w:r>
        <w:rPr>
          <w:noProof/>
        </w:rPr>
        <w:t>Nature</w:t>
      </w:r>
      <w:r w:rsidRPr="00784DA4">
        <w:rPr>
          <w:noProof/>
        </w:rPr>
        <w:t xml:space="preserve">-based </w:t>
      </w:r>
      <w:r w:rsidR="001E7643">
        <w:rPr>
          <w:noProof/>
        </w:rPr>
        <w:t>removals</w:t>
      </w:r>
      <w:r w:rsidRPr="00784DA4">
        <w:rPr>
          <w:noProof/>
        </w:rPr>
        <w:t xml:space="preserve"> show mitigation </w:t>
      </w:r>
      <w:r>
        <w:rPr>
          <w:noProof/>
        </w:rPr>
        <w:t xml:space="preserve">(including </w:t>
      </w:r>
      <w:r w:rsidRPr="00784DA4">
        <w:rPr>
          <w:noProof/>
        </w:rPr>
        <w:t>sequestration</w:t>
      </w:r>
      <w:r>
        <w:rPr>
          <w:noProof/>
        </w:rPr>
        <w:t>)</w:t>
      </w:r>
      <w:r w:rsidRPr="00784DA4">
        <w:rPr>
          <w:noProof/>
        </w:rPr>
        <w:t xml:space="preserve"> potential in MtCO</w:t>
      </w:r>
      <w:r w:rsidRPr="00784DA4">
        <w:rPr>
          <w:noProof/>
          <w:vertAlign w:val="subscript"/>
        </w:rPr>
        <w:t xml:space="preserve">2 </w:t>
      </w:r>
      <w:r w:rsidRPr="00784DA4">
        <w:rPr>
          <w:noProof/>
        </w:rPr>
        <w:t xml:space="preserve">by different mitigation costs. Bars show the </w:t>
      </w:r>
      <w:r>
        <w:rPr>
          <w:noProof/>
        </w:rPr>
        <w:t>accumulated</w:t>
      </w:r>
      <w:r w:rsidRPr="00784DA4">
        <w:rPr>
          <w:noProof/>
        </w:rPr>
        <w:t xml:space="preserve"> additional LULUCF </w:t>
      </w:r>
      <w:r>
        <w:rPr>
          <w:noProof/>
        </w:rPr>
        <w:t>net removal</w:t>
      </w:r>
      <w:r w:rsidRPr="00784DA4">
        <w:rPr>
          <w:noProof/>
        </w:rPr>
        <w:t xml:space="preserve"> </w:t>
      </w:r>
      <w:r>
        <w:rPr>
          <w:noProof/>
        </w:rPr>
        <w:t xml:space="preserve">per year with </w:t>
      </w:r>
      <w:r w:rsidRPr="00784DA4">
        <w:rPr>
          <w:noProof/>
        </w:rPr>
        <w:t>the respective year</w:t>
      </w:r>
      <w:r>
        <w:rPr>
          <w:noProof/>
        </w:rPr>
        <w:t>ly</w:t>
      </w:r>
      <w:r w:rsidRPr="00784DA4">
        <w:rPr>
          <w:noProof/>
        </w:rPr>
        <w:t xml:space="preserve"> cost.</w:t>
      </w:r>
      <w:r w:rsidR="00D426BA">
        <w:rPr>
          <w:noProof/>
        </w:rPr>
        <w:t xml:space="preserve"> Costs expressed in EUR2020.</w:t>
      </w:r>
      <w:r w:rsidRPr="00784DA4">
        <w:rPr>
          <w:noProof/>
        </w:rPr>
        <w:t xml:space="preserve">  </w:t>
      </w:r>
    </w:p>
    <w:p w14:paraId="463B4295" w14:textId="77777777" w:rsidR="00B604F0" w:rsidRPr="00784DA4" w:rsidRDefault="00B604F0" w:rsidP="001913CD">
      <w:pPr>
        <w:pStyle w:val="CT-SOURCE"/>
        <w:keepLines/>
        <w:rPr>
          <w:noProof/>
        </w:rPr>
      </w:pPr>
      <w:r w:rsidRPr="00784DA4">
        <w:rPr>
          <w:noProof/>
        </w:rPr>
        <w:t>Source: GLOBIOM</w:t>
      </w:r>
    </w:p>
    <w:p w14:paraId="513BAE86" w14:textId="1BD3A326" w:rsidR="00B604F0" w:rsidRDefault="00B604F0" w:rsidP="00B604F0">
      <w:pPr>
        <w:rPr>
          <w:noProof/>
          <w:lang w:val="en-IE"/>
        </w:rPr>
      </w:pPr>
      <w:r>
        <w:rPr>
          <w:noProof/>
          <w:lang w:val="en-IE"/>
        </w:rPr>
        <w:t xml:space="preserve">Importantly, many nature-based </w:t>
      </w:r>
      <w:r w:rsidR="001E7643">
        <w:rPr>
          <w:noProof/>
          <w:lang w:val="en-IE"/>
        </w:rPr>
        <w:t>removals</w:t>
      </w:r>
      <w:r>
        <w:rPr>
          <w:noProof/>
          <w:lang w:val="en-IE"/>
        </w:rPr>
        <w:t xml:space="preserve"> also provide co-benefits for biodiversity as it oftentimes involves a land-use change that can shelter diverse ecosystems and habitats (as in the case of wetlands or when land is converted into </w:t>
      </w:r>
      <w:r w:rsidR="00424C49">
        <w:rPr>
          <w:noProof/>
          <w:lang w:val="en-IE"/>
        </w:rPr>
        <w:t xml:space="preserve">primary </w:t>
      </w:r>
      <w:r>
        <w:rPr>
          <w:noProof/>
          <w:lang w:val="en-IE"/>
        </w:rPr>
        <w:t xml:space="preserve">forest land). </w:t>
      </w:r>
    </w:p>
    <w:p w14:paraId="79A33526" w14:textId="15950E08" w:rsidR="00B604F0" w:rsidRDefault="00B604F0" w:rsidP="00B604F0">
      <w:pPr>
        <w:rPr>
          <w:noProof/>
          <w:lang w:val="en-IE"/>
        </w:rPr>
      </w:pPr>
      <w:r w:rsidRPr="3B95B238">
        <w:rPr>
          <w:noProof/>
          <w:lang w:val="en-IE"/>
        </w:rPr>
        <w:t>The recently revised LULUCF Regulation sets out a target of -310 MtCO</w:t>
      </w:r>
      <w:r w:rsidRPr="3B95B238">
        <w:rPr>
          <w:noProof/>
          <w:vertAlign w:val="subscript"/>
          <w:lang w:val="en-IE"/>
        </w:rPr>
        <w:t>2-</w:t>
      </w:r>
      <w:r w:rsidRPr="3B95B238">
        <w:rPr>
          <w:noProof/>
          <w:lang w:val="en-IE"/>
        </w:rPr>
        <w:t>eq of net removals</w:t>
      </w:r>
      <w:r w:rsidRPr="0075314C">
        <w:rPr>
          <w:noProof/>
          <w:lang w:val="en-IE"/>
        </w:rPr>
        <w:t> (</w:t>
      </w:r>
      <w:r>
        <w:rPr>
          <w:rStyle w:val="FootnoteReference"/>
          <w:noProof/>
          <w:lang w:val="en-IE"/>
        </w:rPr>
        <w:footnoteReference w:id="180"/>
      </w:r>
      <w:r>
        <w:rPr>
          <w:noProof/>
          <w:lang w:val="en-IE"/>
        </w:rPr>
        <w:t>)</w:t>
      </w:r>
      <w:r w:rsidRPr="3B95B238">
        <w:rPr>
          <w:noProof/>
          <w:lang w:val="en-IE"/>
        </w:rPr>
        <w:t xml:space="preserve"> for the LULUCF sector in 2030 as well as corresponding targets for Member States. </w:t>
      </w:r>
      <w:r w:rsidRPr="0095019B">
        <w:rPr>
          <w:noProof/>
          <w:lang w:val="en-IE"/>
        </w:rPr>
        <w:t>The modelling results (see</w:t>
      </w:r>
      <w:r w:rsidR="00FA3B78">
        <w:rPr>
          <w:noProof/>
          <w:lang w:val="en-IE"/>
        </w:rPr>
        <w:t xml:space="preserve"> </w:t>
      </w:r>
      <w:r w:rsidR="00FA3B78">
        <w:rPr>
          <w:noProof/>
          <w:lang w:val="en-IE"/>
        </w:rPr>
        <w:fldChar w:fldCharType="begin"/>
      </w:r>
      <w:r w:rsidR="00FA3B78">
        <w:rPr>
          <w:noProof/>
          <w:lang w:val="en-IE"/>
        </w:rPr>
        <w:instrText xml:space="preserve"> REF _Ref146043463 \h </w:instrText>
      </w:r>
      <w:r w:rsidR="00FA3B78">
        <w:rPr>
          <w:noProof/>
          <w:lang w:val="en-IE"/>
        </w:rPr>
      </w:r>
      <w:r w:rsidR="00FA3B78">
        <w:rPr>
          <w:noProof/>
          <w:lang w:val="en-IE"/>
        </w:rPr>
        <w:fldChar w:fldCharType="separate"/>
      </w:r>
      <w:r w:rsidR="00170A3C">
        <w:rPr>
          <w:noProof/>
        </w:rPr>
        <w:t>Figure 94</w:t>
      </w:r>
      <w:r w:rsidR="00FA3B78">
        <w:rPr>
          <w:noProof/>
          <w:lang w:val="en-IE"/>
        </w:rPr>
        <w:fldChar w:fldCharType="end"/>
      </w:r>
      <w:r w:rsidRPr="0095019B">
        <w:rPr>
          <w:noProof/>
          <w:lang w:val="en-IE"/>
        </w:rPr>
        <w:t>) indicate that most mitigation</w:t>
      </w:r>
      <w:r w:rsidRPr="3B95B238">
        <w:rPr>
          <w:noProof/>
          <w:lang w:val="en-IE"/>
        </w:rPr>
        <w:t xml:space="preserve"> options </w:t>
      </w:r>
      <w:r w:rsidR="00084CA6">
        <w:rPr>
          <w:noProof/>
          <w:lang w:val="en-IE"/>
        </w:rPr>
        <w:t xml:space="preserve">to achieve this target, </w:t>
      </w:r>
      <w:r w:rsidRPr="3B95B238">
        <w:rPr>
          <w:noProof/>
          <w:lang w:val="en-IE"/>
        </w:rPr>
        <w:t>are available at low mitigation costs (0-20</w:t>
      </w:r>
      <w:r w:rsidR="0095139A">
        <w:rPr>
          <w:noProof/>
          <w:lang w:val="en-IE"/>
        </w:rPr>
        <w:t xml:space="preserve"> </w:t>
      </w:r>
      <w:r w:rsidRPr="3B95B238">
        <w:rPr>
          <w:noProof/>
          <w:lang w:val="en-IE"/>
        </w:rPr>
        <w:t>€/tCO</w:t>
      </w:r>
      <w:r w:rsidRPr="3B95B238">
        <w:rPr>
          <w:noProof/>
          <w:vertAlign w:val="subscript"/>
          <w:lang w:val="en-IE"/>
        </w:rPr>
        <w:t>2</w:t>
      </w:r>
      <w:r w:rsidRPr="3B95B238">
        <w:rPr>
          <w:noProof/>
          <w:lang w:val="en-IE"/>
        </w:rPr>
        <w:t xml:space="preserve">-eq), but some </w:t>
      </w:r>
      <w:r>
        <w:rPr>
          <w:noProof/>
          <w:lang w:val="en-IE"/>
        </w:rPr>
        <w:t>nature-based removals with</w:t>
      </w:r>
      <w:r w:rsidRPr="3B95B238">
        <w:rPr>
          <w:noProof/>
          <w:lang w:val="en-IE"/>
        </w:rPr>
        <w:t xml:space="preserve"> mitigation costs </w:t>
      </w:r>
      <w:r>
        <w:rPr>
          <w:noProof/>
          <w:lang w:val="en-IE"/>
        </w:rPr>
        <w:t>between 40 and 50</w:t>
      </w:r>
      <w:r w:rsidR="0095139A">
        <w:rPr>
          <w:noProof/>
          <w:lang w:val="en-IE"/>
        </w:rPr>
        <w:t xml:space="preserve"> </w:t>
      </w:r>
      <w:r w:rsidRPr="009E71CD">
        <w:rPr>
          <w:noProof/>
          <w:lang w:val="en-IE"/>
        </w:rPr>
        <w:t>€/tCO</w:t>
      </w:r>
      <w:r w:rsidRPr="009E71CD">
        <w:rPr>
          <w:noProof/>
          <w:vertAlign w:val="subscript"/>
          <w:lang w:val="en-IE"/>
        </w:rPr>
        <w:t>2</w:t>
      </w:r>
      <w:r w:rsidRPr="009E71CD">
        <w:rPr>
          <w:noProof/>
          <w:lang w:val="en-IE"/>
        </w:rPr>
        <w:t>-eq</w:t>
      </w:r>
      <w:r w:rsidRPr="009E71CD">
        <w:rPr>
          <w:rFonts w:cs="Times New Roman"/>
          <w:noProof/>
          <w:lang w:val="en-IE"/>
        </w:rPr>
        <w:t> (</w:t>
      </w:r>
      <w:r>
        <w:rPr>
          <w:rStyle w:val="FootnoteReference"/>
          <w:noProof/>
          <w:lang w:val="en-IE"/>
        </w:rPr>
        <w:footnoteReference w:id="181"/>
      </w:r>
      <w:r w:rsidRPr="009E71CD">
        <w:rPr>
          <w:rFonts w:cs="Times New Roman"/>
          <w:noProof/>
          <w:lang w:val="en-IE"/>
        </w:rPr>
        <w:t>)</w:t>
      </w:r>
      <w:r>
        <w:rPr>
          <w:rFonts w:cs="Times New Roman"/>
          <w:noProof/>
          <w:lang w:val="en-IE"/>
        </w:rPr>
        <w:t xml:space="preserve"> would be required. Implementing these nature-based removal options will also be beneficial beyond 2030 since </w:t>
      </w:r>
      <w:r w:rsidRPr="3B95B238">
        <w:rPr>
          <w:noProof/>
          <w:lang w:val="en-IE"/>
        </w:rPr>
        <w:t xml:space="preserve">substantial LULUCF net </w:t>
      </w:r>
      <w:r>
        <w:rPr>
          <w:noProof/>
          <w:lang w:val="en-IE"/>
        </w:rPr>
        <w:t>removal</w:t>
      </w:r>
      <w:r w:rsidR="00084CA6">
        <w:rPr>
          <w:noProof/>
          <w:lang w:val="en-IE"/>
        </w:rPr>
        <w:t>s</w:t>
      </w:r>
      <w:r w:rsidRPr="3B95B238">
        <w:rPr>
          <w:noProof/>
          <w:lang w:val="en-IE"/>
        </w:rPr>
        <w:t xml:space="preserve"> will be required to offset emissions from hard</w:t>
      </w:r>
      <w:r w:rsidR="0003396A">
        <w:rPr>
          <w:noProof/>
          <w:lang w:val="en-IE"/>
        </w:rPr>
        <w:t>-</w:t>
      </w:r>
      <w:r w:rsidRPr="3B95B238">
        <w:rPr>
          <w:noProof/>
          <w:lang w:val="en-IE"/>
        </w:rPr>
        <w:t>to</w:t>
      </w:r>
      <w:r w:rsidR="0003396A">
        <w:rPr>
          <w:noProof/>
          <w:lang w:val="en-IE"/>
        </w:rPr>
        <w:t>-</w:t>
      </w:r>
      <w:r w:rsidRPr="3B95B238">
        <w:rPr>
          <w:noProof/>
          <w:lang w:val="en-IE"/>
        </w:rPr>
        <w:t>abate sectors in 2040 and 2050.</w:t>
      </w:r>
      <w:r>
        <w:rPr>
          <w:noProof/>
          <w:lang w:val="en-IE"/>
        </w:rPr>
        <w:t xml:space="preserve"> </w:t>
      </w:r>
    </w:p>
    <w:p w14:paraId="053AF748" w14:textId="3092BBCA" w:rsidR="00B604F0" w:rsidRDefault="00B604F0" w:rsidP="00B604F0">
      <w:pPr>
        <w:pStyle w:val="Caption"/>
        <w:rPr>
          <w:noProof/>
        </w:rPr>
      </w:pPr>
      <w:bookmarkStart w:id="513" w:name="_Ref146043463"/>
      <w:bookmarkStart w:id="514" w:name="_Toc157679842"/>
      <w:r>
        <w:rPr>
          <w:noProof/>
        </w:rPr>
        <w:t xml:space="preserve">Figure </w:t>
      </w:r>
      <w:r>
        <w:rPr>
          <w:noProof/>
        </w:rPr>
        <w:fldChar w:fldCharType="begin"/>
      </w:r>
      <w:r>
        <w:rPr>
          <w:noProof/>
        </w:rPr>
        <w:instrText>SEQ Figure \* ARABIC</w:instrText>
      </w:r>
      <w:r>
        <w:rPr>
          <w:noProof/>
        </w:rPr>
        <w:fldChar w:fldCharType="separate"/>
      </w:r>
      <w:r w:rsidR="00170A3C">
        <w:rPr>
          <w:noProof/>
        </w:rPr>
        <w:t>94</w:t>
      </w:r>
      <w:r>
        <w:rPr>
          <w:noProof/>
        </w:rPr>
        <w:fldChar w:fldCharType="end"/>
      </w:r>
      <w:bookmarkEnd w:id="513"/>
      <w:r>
        <w:rPr>
          <w:noProof/>
        </w:rPr>
        <w:t>: LULUCF net carbon removal p</w:t>
      </w:r>
      <w:r w:rsidRPr="00693F41">
        <w:rPr>
          <w:noProof/>
        </w:rPr>
        <w:t xml:space="preserve">otential </w:t>
      </w:r>
      <w:r>
        <w:rPr>
          <w:noProof/>
        </w:rPr>
        <w:t>for different mitigation costs</w:t>
      </w:r>
      <w:bookmarkEnd w:id="514"/>
      <w:r>
        <w:rPr>
          <w:noProof/>
        </w:rPr>
        <w:t xml:space="preserve"> </w:t>
      </w:r>
    </w:p>
    <w:p w14:paraId="425556FF" w14:textId="684AE99E" w:rsidR="00424C49" w:rsidRPr="00424C49" w:rsidRDefault="00424C49" w:rsidP="00424C49">
      <w:pPr>
        <w:rPr>
          <w:noProof/>
        </w:rPr>
      </w:pPr>
      <w:r w:rsidRPr="00424C49">
        <w:rPr>
          <w:noProof/>
          <w:lang w:eastAsia="en-GB"/>
        </w:rPr>
        <w:drawing>
          <wp:inline distT="0" distB="0" distL="0" distR="0" wp14:anchorId="65E031B3" wp14:editId="59F6B357">
            <wp:extent cx="5400675" cy="2514600"/>
            <wp:effectExtent l="0" t="0" r="9525" b="0"/>
            <wp:docPr id="1406946480" name="Picture 1406946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400675" cy="2514600"/>
                    </a:xfrm>
                    <a:prstGeom prst="rect">
                      <a:avLst/>
                    </a:prstGeom>
                    <a:noFill/>
                    <a:ln>
                      <a:noFill/>
                    </a:ln>
                  </pic:spPr>
                </pic:pic>
              </a:graphicData>
            </a:graphic>
          </wp:inline>
        </w:drawing>
      </w:r>
    </w:p>
    <w:p w14:paraId="5CB16736" w14:textId="78E65AFA" w:rsidR="00B604F0" w:rsidRPr="00C528A8" w:rsidRDefault="00B604F0" w:rsidP="00B604F0">
      <w:pPr>
        <w:pStyle w:val="CT-NOTE"/>
        <w:rPr>
          <w:noProof/>
        </w:rPr>
      </w:pPr>
      <w:r w:rsidRPr="00C528A8">
        <w:rPr>
          <w:noProof/>
        </w:rPr>
        <w:t>Note: Mitigation costs specify the price in Euro per tonne CO</w:t>
      </w:r>
      <w:r w:rsidRPr="00C528A8">
        <w:rPr>
          <w:noProof/>
          <w:vertAlign w:val="subscript"/>
        </w:rPr>
        <w:t>2</w:t>
      </w:r>
      <w:r w:rsidRPr="00C528A8">
        <w:rPr>
          <w:noProof/>
        </w:rPr>
        <w:t xml:space="preserve">-eq removed by </w:t>
      </w:r>
      <w:r>
        <w:rPr>
          <w:noProof/>
        </w:rPr>
        <w:t>different nature-based removal options</w:t>
      </w:r>
      <w:r w:rsidRPr="00C528A8">
        <w:rPr>
          <w:noProof/>
        </w:rPr>
        <w:t xml:space="preserve">. The columns indicate the additional, marginal potential of </w:t>
      </w:r>
      <w:r>
        <w:rPr>
          <w:noProof/>
        </w:rPr>
        <w:t>nature</w:t>
      </w:r>
      <w:r w:rsidRPr="00C528A8">
        <w:rPr>
          <w:noProof/>
        </w:rPr>
        <w:t>-based mitigation available for the respective prices.</w:t>
      </w:r>
      <w:r w:rsidR="00D426BA">
        <w:rPr>
          <w:noProof/>
        </w:rPr>
        <w:t xml:space="preserve"> Costs expressed in EUR2020.</w:t>
      </w:r>
      <w:r w:rsidR="00D426BA" w:rsidRPr="00784DA4">
        <w:rPr>
          <w:noProof/>
        </w:rPr>
        <w:t xml:space="preserve">  </w:t>
      </w:r>
      <w:r w:rsidRPr="00C528A8">
        <w:rPr>
          <w:noProof/>
        </w:rPr>
        <w:t xml:space="preserve">  </w:t>
      </w:r>
    </w:p>
    <w:p w14:paraId="1CD16633" w14:textId="77777777" w:rsidR="00B604F0" w:rsidRDefault="00B604F0" w:rsidP="00B604F0">
      <w:pPr>
        <w:pStyle w:val="CT-SOURCE"/>
        <w:rPr>
          <w:noProof/>
        </w:rPr>
      </w:pPr>
      <w:r w:rsidRPr="00C528A8">
        <w:rPr>
          <w:noProof/>
        </w:rPr>
        <w:t>Source: GLOBIOM</w:t>
      </w:r>
    </w:p>
    <w:p w14:paraId="284A755D" w14:textId="5676C643" w:rsidR="00B604F0" w:rsidRDefault="00C459D4" w:rsidP="00B604F0">
      <w:pPr>
        <w:pStyle w:val="Text3"/>
        <w:ind w:left="0" w:firstLine="0"/>
        <w:rPr>
          <w:noProof/>
          <w:lang w:val="en-IE"/>
        </w:rPr>
      </w:pPr>
      <w:r>
        <w:rPr>
          <w:noProof/>
          <w:lang w:val="en-IE"/>
        </w:rPr>
        <w:t>LIFE</w:t>
      </w:r>
      <w:r w:rsidR="00B604F0">
        <w:rPr>
          <w:noProof/>
          <w:lang w:val="en-IE"/>
        </w:rPr>
        <w:t xml:space="preserve"> produces a consistently higher potential of carbon removals compared to S1</w:t>
      </w:r>
      <w:r w:rsidR="009F155D">
        <w:rPr>
          <w:noProof/>
          <w:lang w:val="en-IE"/>
        </w:rPr>
        <w:t>, S2 and</w:t>
      </w:r>
      <w:r w:rsidR="00B604F0" w:rsidDel="009F155D">
        <w:rPr>
          <w:noProof/>
          <w:lang w:val="en-IE"/>
        </w:rPr>
        <w:t xml:space="preserve"> </w:t>
      </w:r>
      <w:r w:rsidR="00B604F0">
        <w:rPr>
          <w:noProof/>
          <w:lang w:val="en-IE"/>
        </w:rPr>
        <w:t xml:space="preserve">S3. This is because the agricultural area that </w:t>
      </w:r>
      <w:r w:rsidR="009F155D">
        <w:rPr>
          <w:noProof/>
          <w:lang w:val="en-IE"/>
        </w:rPr>
        <w:t xml:space="preserve">is </w:t>
      </w:r>
      <w:r w:rsidR="00B604F0">
        <w:rPr>
          <w:noProof/>
          <w:lang w:val="en-IE"/>
        </w:rPr>
        <w:t xml:space="preserve">freed up in this scenario is expected to be used in part for carbon farming activities. </w:t>
      </w:r>
    </w:p>
    <w:p w14:paraId="176C8108" w14:textId="30409656" w:rsidR="00F675A8" w:rsidRPr="00680783" w:rsidRDefault="00F675A8" w:rsidP="00680783">
      <w:pPr>
        <w:pStyle w:val="Heading3"/>
        <w:rPr>
          <w:noProof/>
        </w:rPr>
      </w:pPr>
      <w:bookmarkStart w:id="515" w:name="_Ref146467517"/>
      <w:bookmarkStart w:id="516" w:name="_Toc148605624"/>
      <w:bookmarkStart w:id="517" w:name="_Toc157692070"/>
      <w:r w:rsidRPr="00680783">
        <w:rPr>
          <w:noProof/>
        </w:rPr>
        <w:t xml:space="preserve">The LULUCF </w:t>
      </w:r>
      <w:r w:rsidR="00B170BD">
        <w:rPr>
          <w:noProof/>
        </w:rPr>
        <w:t>net removal</w:t>
      </w:r>
      <w:bookmarkEnd w:id="509"/>
      <w:bookmarkEnd w:id="515"/>
      <w:bookmarkEnd w:id="516"/>
      <w:bookmarkEnd w:id="517"/>
    </w:p>
    <w:p w14:paraId="3CCB837B" w14:textId="7F5A61EE" w:rsidR="00611838" w:rsidRDefault="00611838" w:rsidP="00424C49">
      <w:pPr>
        <w:pStyle w:val="Heading4"/>
        <w:rPr>
          <w:noProof/>
        </w:rPr>
      </w:pPr>
      <w:bookmarkStart w:id="518" w:name="_Hlk145281939"/>
      <w:r>
        <w:rPr>
          <w:noProof/>
        </w:rPr>
        <w:t>Analysis of the scenarios</w:t>
      </w:r>
    </w:p>
    <w:p w14:paraId="7B3588CE" w14:textId="1432026D" w:rsidR="00DF1F40" w:rsidRDefault="00093311" w:rsidP="00B56ADC">
      <w:pPr>
        <w:rPr>
          <w:noProof/>
          <w:lang w:val="en-IE"/>
        </w:rPr>
      </w:pPr>
      <w:r>
        <w:rPr>
          <w:noProof/>
          <w:lang w:val="en-IE"/>
        </w:rPr>
        <w:t xml:space="preserve">The 2030 LULUCF target of </w:t>
      </w:r>
      <w:r>
        <w:rPr>
          <w:noProof/>
          <w:lang w:val="en-IE"/>
        </w:rPr>
        <w:noBreakHyphen/>
        <w:t>310 MtCO2-eq (</w:t>
      </w:r>
      <w:r>
        <w:rPr>
          <w:rStyle w:val="FootnoteReference"/>
          <w:noProof/>
          <w:lang w:val="en-IE"/>
        </w:rPr>
        <w:footnoteReference w:id="182"/>
      </w:r>
      <w:r>
        <w:rPr>
          <w:noProof/>
          <w:lang w:val="en-IE"/>
        </w:rPr>
        <w:t>) is met by applying a carbon value of 50 €/tCO</w:t>
      </w:r>
      <w:r w:rsidRPr="000621F2">
        <w:rPr>
          <w:noProof/>
          <w:vertAlign w:val="subscript"/>
          <w:lang w:val="en-IE"/>
        </w:rPr>
        <w:t>2</w:t>
      </w:r>
      <w:r>
        <w:rPr>
          <w:noProof/>
          <w:lang w:val="en-IE"/>
        </w:rPr>
        <w:t>-eq</w:t>
      </w:r>
      <w:r w:rsidR="00A117A3">
        <w:rPr>
          <w:noProof/>
          <w:lang w:val="en-IE"/>
        </w:rPr>
        <w:t xml:space="preserve"> </w:t>
      </w:r>
      <w:r w:rsidR="00A117A3" w:rsidRPr="00A117A3">
        <w:rPr>
          <w:noProof/>
          <w:lang w:val="en-IE"/>
        </w:rPr>
        <w:t>(</w:t>
      </w:r>
      <w:r w:rsidR="00A117A3">
        <w:rPr>
          <w:rStyle w:val="FootnoteReference"/>
          <w:noProof/>
          <w:lang w:val="en-IE"/>
        </w:rPr>
        <w:footnoteReference w:id="183"/>
      </w:r>
      <w:r w:rsidR="00A117A3">
        <w:rPr>
          <w:noProof/>
          <w:lang w:val="en-IE"/>
        </w:rPr>
        <w:t>)</w:t>
      </w:r>
      <w:r>
        <w:rPr>
          <w:noProof/>
          <w:lang w:val="en-IE"/>
        </w:rPr>
        <w:t xml:space="preserve">. </w:t>
      </w:r>
      <w:r w:rsidR="00B56ADC" w:rsidRPr="00573927">
        <w:rPr>
          <w:noProof/>
        </w:rPr>
        <w:t>T</w:t>
      </w:r>
      <w:r w:rsidR="00C8609A" w:rsidRPr="00B56ADC">
        <w:rPr>
          <w:noProof/>
        </w:rPr>
        <w:t xml:space="preserve">he </w:t>
      </w:r>
      <w:r w:rsidR="00413FDF" w:rsidRPr="00B56ADC">
        <w:rPr>
          <w:noProof/>
        </w:rPr>
        <w:t xml:space="preserve">exact size of the future level of </w:t>
      </w:r>
      <w:r w:rsidR="00C8609A" w:rsidRPr="00B56ADC">
        <w:rPr>
          <w:noProof/>
        </w:rPr>
        <w:t>LULUCF net removals bear</w:t>
      </w:r>
      <w:r w:rsidR="00413FDF" w:rsidRPr="00B56ADC">
        <w:rPr>
          <w:noProof/>
        </w:rPr>
        <w:t>s</w:t>
      </w:r>
      <w:r w:rsidR="00C8609A" w:rsidRPr="00B56ADC">
        <w:rPr>
          <w:noProof/>
        </w:rPr>
        <w:t xml:space="preserve"> many uncertainties, d</w:t>
      </w:r>
      <w:r w:rsidR="00413FDF" w:rsidRPr="00B56ADC">
        <w:rPr>
          <w:noProof/>
        </w:rPr>
        <w:t xml:space="preserve">epending on the effect </w:t>
      </w:r>
      <w:r w:rsidR="00C8609A" w:rsidRPr="00B56ADC">
        <w:rPr>
          <w:noProof/>
          <w:lang w:val="en-IE"/>
        </w:rPr>
        <w:t>of future</w:t>
      </w:r>
      <w:r w:rsidR="00210778" w:rsidRPr="00B56ADC">
        <w:rPr>
          <w:noProof/>
          <w:lang w:val="en-IE"/>
        </w:rPr>
        <w:t xml:space="preserve"> policy measures in the sector,</w:t>
      </w:r>
      <w:r w:rsidR="00C8609A" w:rsidRPr="00B56ADC">
        <w:rPr>
          <w:noProof/>
          <w:lang w:val="en-IE"/>
        </w:rPr>
        <w:t xml:space="preserve"> potential additional nature-based carbon removals through certification schemes,</w:t>
      </w:r>
      <w:r w:rsidR="00210778" w:rsidRPr="00B56ADC">
        <w:rPr>
          <w:noProof/>
          <w:lang w:val="en-IE"/>
        </w:rPr>
        <w:t xml:space="preserve"> climate change impacts, extreme events, biomass demands</w:t>
      </w:r>
      <w:r w:rsidR="00AF1E8F" w:rsidRPr="00B56ADC">
        <w:rPr>
          <w:noProof/>
          <w:lang w:val="en-IE"/>
        </w:rPr>
        <w:t xml:space="preserve">, </w:t>
      </w:r>
      <w:r w:rsidR="00210778" w:rsidRPr="00B56ADC">
        <w:rPr>
          <w:noProof/>
          <w:lang w:val="en-IE"/>
        </w:rPr>
        <w:t>resulting harvesting levels</w:t>
      </w:r>
      <w:r w:rsidR="00AF1E8F" w:rsidRPr="00B56ADC">
        <w:rPr>
          <w:noProof/>
          <w:lang w:val="en-IE"/>
        </w:rPr>
        <w:t xml:space="preserve"> and other factors</w:t>
      </w:r>
      <w:r w:rsidR="00413FDF" w:rsidRPr="00B56ADC">
        <w:rPr>
          <w:noProof/>
          <w:lang w:val="en-IE"/>
        </w:rPr>
        <w:t>. A</w:t>
      </w:r>
      <w:r w:rsidR="00210778" w:rsidRPr="00B56ADC">
        <w:rPr>
          <w:noProof/>
          <w:lang w:val="en-IE"/>
        </w:rPr>
        <w:t xml:space="preserve"> range for the LULUCF net removal</w:t>
      </w:r>
      <w:r w:rsidR="000C2DAE" w:rsidRPr="00B56ADC">
        <w:rPr>
          <w:noProof/>
          <w:lang w:val="en-IE"/>
        </w:rPr>
        <w:t>s</w:t>
      </w:r>
      <w:r w:rsidR="00210778" w:rsidRPr="00B56ADC">
        <w:rPr>
          <w:noProof/>
          <w:lang w:val="en-IE"/>
        </w:rPr>
        <w:t xml:space="preserve"> is</w:t>
      </w:r>
      <w:r w:rsidR="00931EAC" w:rsidRPr="00B56ADC">
        <w:rPr>
          <w:noProof/>
          <w:lang w:val="en-IE"/>
        </w:rPr>
        <w:t xml:space="preserve"> </w:t>
      </w:r>
      <w:r w:rsidR="00210778" w:rsidRPr="00B56ADC">
        <w:rPr>
          <w:noProof/>
          <w:lang w:val="en-IE"/>
        </w:rPr>
        <w:t>introduced</w:t>
      </w:r>
      <w:r w:rsidR="00413FDF" w:rsidRPr="00B56ADC">
        <w:rPr>
          <w:noProof/>
          <w:lang w:val="en-IE"/>
        </w:rPr>
        <w:t xml:space="preserve"> in the analysis to </w:t>
      </w:r>
      <w:r w:rsidR="00C8609A" w:rsidRPr="00B56ADC">
        <w:rPr>
          <w:noProof/>
          <w:lang w:val="en-IE"/>
        </w:rPr>
        <w:t xml:space="preserve">illustrate </w:t>
      </w:r>
      <w:r w:rsidR="003039D5" w:rsidRPr="00B56ADC">
        <w:rPr>
          <w:noProof/>
          <w:lang w:val="en-IE"/>
        </w:rPr>
        <w:t xml:space="preserve">this </w:t>
      </w:r>
      <w:r w:rsidR="00C8609A" w:rsidRPr="00B56ADC">
        <w:rPr>
          <w:noProof/>
          <w:lang w:val="en-IE"/>
        </w:rPr>
        <w:t>uncertainty</w:t>
      </w:r>
      <w:r w:rsidR="00B56ADC" w:rsidRPr="00B56ADC">
        <w:rPr>
          <w:noProof/>
          <w:lang w:val="en-IE"/>
        </w:rPr>
        <w:t xml:space="preserve"> </w:t>
      </w:r>
      <w:r w:rsidR="00B56ADC">
        <w:rPr>
          <w:noProof/>
          <w:lang w:val="en-IE"/>
        </w:rPr>
        <w:t xml:space="preserve">for the period after 2030, by looking at </w:t>
      </w:r>
      <w:r w:rsidR="00DF1F40">
        <w:rPr>
          <w:noProof/>
          <w:lang w:val="en-IE"/>
        </w:rPr>
        <w:t>three levels of net removals:</w:t>
      </w:r>
    </w:p>
    <w:p w14:paraId="5921ED62" w14:textId="1BE7408F" w:rsidR="00AF1E8F" w:rsidRDefault="00210778" w:rsidP="00C61267">
      <w:pPr>
        <w:pStyle w:val="Text1"/>
        <w:numPr>
          <w:ilvl w:val="0"/>
          <w:numId w:val="19"/>
        </w:numPr>
        <w:rPr>
          <w:noProof/>
          <w:lang w:val="en-IE"/>
        </w:rPr>
      </w:pPr>
      <w:r>
        <w:rPr>
          <w:noProof/>
          <w:lang w:val="en-IE"/>
        </w:rPr>
        <w:t xml:space="preserve">A ‘lower level’, showing </w:t>
      </w:r>
      <w:r w:rsidR="00931EAC">
        <w:rPr>
          <w:noProof/>
          <w:lang w:val="en-IE"/>
        </w:rPr>
        <w:t xml:space="preserve">a </w:t>
      </w:r>
      <w:r>
        <w:rPr>
          <w:noProof/>
          <w:lang w:val="en-IE"/>
        </w:rPr>
        <w:t xml:space="preserve">lower boundary for the LULUCF net removals, which is technically implemented in the modelling by applying </w:t>
      </w:r>
      <w:r w:rsidR="00413FDF">
        <w:rPr>
          <w:noProof/>
          <w:lang w:val="en-IE"/>
        </w:rPr>
        <w:t xml:space="preserve">in the modelling </w:t>
      </w:r>
      <w:r>
        <w:rPr>
          <w:noProof/>
          <w:lang w:val="en-IE"/>
        </w:rPr>
        <w:t xml:space="preserve">a carbon value of 0 </w:t>
      </w:r>
      <w:r w:rsidRPr="009E71CD">
        <w:rPr>
          <w:noProof/>
          <w:lang w:val="en-IE"/>
        </w:rPr>
        <w:t>€/tCO</w:t>
      </w:r>
      <w:r w:rsidRPr="009E71CD">
        <w:rPr>
          <w:noProof/>
          <w:vertAlign w:val="subscript"/>
          <w:lang w:val="en-IE"/>
        </w:rPr>
        <w:t>2</w:t>
      </w:r>
      <w:r w:rsidRPr="009E71CD">
        <w:rPr>
          <w:noProof/>
          <w:lang w:val="en-IE"/>
        </w:rPr>
        <w:t>-eq</w:t>
      </w:r>
      <w:r w:rsidR="00DF1F40">
        <w:rPr>
          <w:noProof/>
          <w:lang w:val="en-IE"/>
        </w:rPr>
        <w:t>;</w:t>
      </w:r>
      <w:r w:rsidR="00CA115E">
        <w:rPr>
          <w:noProof/>
          <w:lang w:val="en-IE"/>
        </w:rPr>
        <w:t xml:space="preserve"> </w:t>
      </w:r>
      <w:r>
        <w:rPr>
          <w:noProof/>
          <w:lang w:val="en-IE"/>
        </w:rPr>
        <w:t xml:space="preserve"> </w:t>
      </w:r>
    </w:p>
    <w:p w14:paraId="63455E7F" w14:textId="698982DC" w:rsidR="00B56ADC" w:rsidRPr="00DF1F40" w:rsidRDefault="00B56ADC" w:rsidP="00B56ADC">
      <w:pPr>
        <w:pStyle w:val="ListParagraph"/>
        <w:numPr>
          <w:ilvl w:val="0"/>
          <w:numId w:val="19"/>
        </w:numPr>
        <w:rPr>
          <w:noProof/>
          <w:lang w:val="en-IE"/>
        </w:rPr>
      </w:pPr>
      <w:r>
        <w:rPr>
          <w:noProof/>
          <w:lang w:val="en-IE"/>
        </w:rPr>
        <w:t xml:space="preserve">A ‘central level’, showing the resulting net LULUCF removals when applying the carbon value of 50 </w:t>
      </w:r>
      <w:r w:rsidR="00BA1B97" w:rsidRPr="009E71CD">
        <w:rPr>
          <w:noProof/>
          <w:lang w:val="en-IE"/>
        </w:rPr>
        <w:t>€/tCO</w:t>
      </w:r>
      <w:r w:rsidR="00BA1B97" w:rsidRPr="009E71CD">
        <w:rPr>
          <w:noProof/>
          <w:vertAlign w:val="subscript"/>
          <w:lang w:val="en-IE"/>
        </w:rPr>
        <w:t>2</w:t>
      </w:r>
      <w:r w:rsidR="00BA1B97" w:rsidRPr="009E71CD">
        <w:rPr>
          <w:noProof/>
          <w:lang w:val="en-IE"/>
        </w:rPr>
        <w:t>-eq</w:t>
      </w:r>
      <w:r w:rsidR="00BA1B97">
        <w:rPr>
          <w:noProof/>
          <w:lang w:val="en-IE"/>
        </w:rPr>
        <w:t xml:space="preserve"> </w:t>
      </w:r>
      <w:r>
        <w:rPr>
          <w:noProof/>
          <w:lang w:val="en-IE"/>
        </w:rPr>
        <w:t xml:space="preserve">necessary to meet the 2030 target; </w:t>
      </w:r>
    </w:p>
    <w:p w14:paraId="3EDEBF7A" w14:textId="59B7A80F" w:rsidR="000621F2" w:rsidRPr="00C8609A" w:rsidRDefault="00DF1F40" w:rsidP="00C61267">
      <w:pPr>
        <w:pStyle w:val="Text1"/>
        <w:numPr>
          <w:ilvl w:val="0"/>
          <w:numId w:val="19"/>
        </w:numPr>
        <w:rPr>
          <w:noProof/>
          <w:lang w:val="en-IE"/>
        </w:rPr>
      </w:pPr>
      <w:r>
        <w:rPr>
          <w:noProof/>
          <w:lang w:val="en-IE"/>
        </w:rPr>
        <w:t xml:space="preserve">An </w:t>
      </w:r>
      <w:r w:rsidR="00AF1E8F">
        <w:rPr>
          <w:noProof/>
          <w:lang w:val="en-IE"/>
        </w:rPr>
        <w:t xml:space="preserve">‘upper </w:t>
      </w:r>
      <w:r w:rsidR="000621F2">
        <w:rPr>
          <w:noProof/>
          <w:lang w:val="en-IE"/>
        </w:rPr>
        <w:t>level</w:t>
      </w:r>
      <w:r w:rsidR="00AF1E8F">
        <w:rPr>
          <w:noProof/>
          <w:lang w:val="en-IE"/>
        </w:rPr>
        <w:t xml:space="preserve">’, showing </w:t>
      </w:r>
      <w:r w:rsidR="00931EAC">
        <w:rPr>
          <w:noProof/>
          <w:lang w:val="en-IE"/>
        </w:rPr>
        <w:t xml:space="preserve">an </w:t>
      </w:r>
      <w:r w:rsidR="000621F2">
        <w:rPr>
          <w:noProof/>
          <w:lang w:val="en-IE"/>
        </w:rPr>
        <w:t>upper boundary of the LULUCF net removals</w:t>
      </w:r>
      <w:r w:rsidR="00AF1E8F">
        <w:rPr>
          <w:noProof/>
          <w:lang w:val="en-IE"/>
        </w:rPr>
        <w:t xml:space="preserve">, which is technically implemented in the modelling by applying a carbon value of 200 </w:t>
      </w:r>
      <w:r w:rsidR="00AF1E8F" w:rsidRPr="009E71CD">
        <w:rPr>
          <w:noProof/>
          <w:lang w:val="en-IE"/>
        </w:rPr>
        <w:t>€/tCO</w:t>
      </w:r>
      <w:r w:rsidR="00AF1E8F" w:rsidRPr="009E71CD">
        <w:rPr>
          <w:noProof/>
          <w:vertAlign w:val="subscript"/>
          <w:lang w:val="en-IE"/>
        </w:rPr>
        <w:t>2</w:t>
      </w:r>
      <w:r w:rsidR="00AF1E8F" w:rsidRPr="009E71CD">
        <w:rPr>
          <w:noProof/>
          <w:lang w:val="en-IE"/>
        </w:rPr>
        <w:t>-eq</w:t>
      </w:r>
      <w:r w:rsidR="00413FDF">
        <w:rPr>
          <w:noProof/>
          <w:lang w:val="en-IE"/>
        </w:rPr>
        <w:t xml:space="preserve"> (which translates into higher net removals than in the “central” level)</w:t>
      </w:r>
      <w:r w:rsidR="00AF1E8F">
        <w:rPr>
          <w:noProof/>
          <w:lang w:val="en-IE"/>
        </w:rPr>
        <w:t>.</w:t>
      </w:r>
      <w:r w:rsidR="000621F2">
        <w:rPr>
          <w:noProof/>
          <w:lang w:val="en-IE"/>
        </w:rPr>
        <w:tab/>
      </w:r>
    </w:p>
    <w:p w14:paraId="6405307C" w14:textId="712DF04D" w:rsidR="00DF1F40" w:rsidRDefault="00B56ADC" w:rsidP="00793C9D">
      <w:pPr>
        <w:rPr>
          <w:noProof/>
          <w:lang w:val="en-IE"/>
        </w:rPr>
      </w:pPr>
      <w:r>
        <w:rPr>
          <w:noProof/>
          <w:lang w:val="en-IE"/>
        </w:rPr>
        <w:t xml:space="preserve">To calculate the overall net GHGs of the scenarios across the economy (see section </w:t>
      </w:r>
      <w:r>
        <w:rPr>
          <w:noProof/>
          <w:lang w:val="en-IE"/>
        </w:rPr>
        <w:fldChar w:fldCharType="begin"/>
      </w:r>
      <w:r>
        <w:rPr>
          <w:noProof/>
          <w:lang w:val="en-IE"/>
        </w:rPr>
        <w:instrText xml:space="preserve"> REF _Ref138538397 \n \h </w:instrText>
      </w:r>
      <w:r>
        <w:rPr>
          <w:noProof/>
          <w:lang w:val="en-IE"/>
        </w:rPr>
      </w:r>
      <w:r>
        <w:rPr>
          <w:noProof/>
          <w:lang w:val="en-IE"/>
        </w:rPr>
        <w:fldChar w:fldCharType="separate"/>
      </w:r>
      <w:r w:rsidR="00170A3C">
        <w:rPr>
          <w:noProof/>
          <w:lang w:val="en-IE"/>
        </w:rPr>
        <w:t>1.1</w:t>
      </w:r>
      <w:r>
        <w:rPr>
          <w:noProof/>
          <w:lang w:val="en-IE"/>
        </w:rPr>
        <w:fldChar w:fldCharType="end"/>
      </w:r>
      <w:r>
        <w:rPr>
          <w:noProof/>
          <w:lang w:val="en-IE"/>
        </w:rPr>
        <w:t>), t</w:t>
      </w:r>
      <w:r w:rsidR="00DF1F40">
        <w:rPr>
          <w:noProof/>
          <w:lang w:val="en-IE"/>
        </w:rPr>
        <w:t>he “Central” level of net LULUCF removals is applied for all scenarios in 2040 and 2050, except for S1 in 2040, which applies the “Lower level”.</w:t>
      </w:r>
    </w:p>
    <w:p w14:paraId="647316FA" w14:textId="5E378061" w:rsidR="00793C9D" w:rsidRDefault="00FA3B78" w:rsidP="00793C9D">
      <w:pPr>
        <w:rPr>
          <w:noProof/>
          <w:lang w:val="en-IE"/>
        </w:rPr>
      </w:pPr>
      <w:r>
        <w:rPr>
          <w:noProof/>
          <w:lang w:val="en-IE"/>
        </w:rPr>
        <w:fldChar w:fldCharType="begin"/>
      </w:r>
      <w:r>
        <w:rPr>
          <w:noProof/>
        </w:rPr>
        <w:instrText xml:space="preserve"> REF _Ref146043480 \h </w:instrText>
      </w:r>
      <w:r>
        <w:rPr>
          <w:noProof/>
          <w:lang w:val="en-IE"/>
        </w:rPr>
      </w:r>
      <w:r>
        <w:rPr>
          <w:noProof/>
          <w:lang w:val="en-IE"/>
        </w:rPr>
        <w:fldChar w:fldCharType="separate"/>
      </w:r>
      <w:r w:rsidR="00170A3C">
        <w:rPr>
          <w:noProof/>
        </w:rPr>
        <w:t>Figure 95</w:t>
      </w:r>
      <w:r>
        <w:rPr>
          <w:noProof/>
          <w:lang w:val="en-IE"/>
        </w:rPr>
        <w:fldChar w:fldCharType="end"/>
      </w:r>
      <w:r>
        <w:rPr>
          <w:noProof/>
          <w:lang w:val="en-IE"/>
        </w:rPr>
        <w:t xml:space="preserve"> </w:t>
      </w:r>
      <w:r w:rsidR="00793C9D">
        <w:rPr>
          <w:noProof/>
          <w:lang w:val="en-IE"/>
        </w:rPr>
        <w:t xml:space="preserve">provides an overview of the LULUCF emissions and removals and the corresponding evolution of the </w:t>
      </w:r>
      <w:r w:rsidR="00C8609A">
        <w:rPr>
          <w:noProof/>
          <w:lang w:val="en-IE"/>
        </w:rPr>
        <w:t xml:space="preserve">central level </w:t>
      </w:r>
      <w:r w:rsidR="00793C9D">
        <w:rPr>
          <w:noProof/>
          <w:lang w:val="en-IE"/>
        </w:rPr>
        <w:t>as well as the range (</w:t>
      </w:r>
      <w:r w:rsidR="007A0C98">
        <w:rPr>
          <w:noProof/>
          <w:lang w:val="en-IE"/>
        </w:rPr>
        <w:t>i.e.,</w:t>
      </w:r>
      <w:r w:rsidR="00793C9D">
        <w:rPr>
          <w:noProof/>
          <w:lang w:val="en-IE"/>
        </w:rPr>
        <w:t xml:space="preserve"> </w:t>
      </w:r>
      <w:r w:rsidR="00C8609A">
        <w:rPr>
          <w:noProof/>
          <w:lang w:val="en-IE"/>
        </w:rPr>
        <w:t>lower and upper level</w:t>
      </w:r>
      <w:r w:rsidR="00793C9D">
        <w:rPr>
          <w:noProof/>
          <w:lang w:val="en-IE"/>
        </w:rPr>
        <w:t xml:space="preserve">) of the LULUCF </w:t>
      </w:r>
      <w:r w:rsidR="00B170BD">
        <w:rPr>
          <w:noProof/>
          <w:lang w:val="en-IE"/>
        </w:rPr>
        <w:t>net removal</w:t>
      </w:r>
      <w:r w:rsidR="00C8609A">
        <w:rPr>
          <w:noProof/>
          <w:lang w:val="en-IE"/>
        </w:rPr>
        <w:t>s</w:t>
      </w:r>
      <w:r w:rsidR="00793C9D">
        <w:rPr>
          <w:noProof/>
          <w:lang w:val="en-IE"/>
        </w:rPr>
        <w:t xml:space="preserve"> for the different scenarios. </w:t>
      </w:r>
      <w:r w:rsidR="001F6288">
        <w:rPr>
          <w:noProof/>
          <w:lang w:val="en-IE"/>
        </w:rPr>
        <w:t xml:space="preserve">The difference across scenarios in terms of energy demand translate in differences into </w:t>
      </w:r>
      <w:r w:rsidR="00A30B6A">
        <w:rPr>
          <w:noProof/>
          <w:lang w:val="en-IE"/>
        </w:rPr>
        <w:t xml:space="preserve">forest sink levels as well as different emission levels in cropland. </w:t>
      </w:r>
      <w:r w:rsidR="001F6288">
        <w:rPr>
          <w:noProof/>
          <w:lang w:val="en-IE"/>
        </w:rPr>
        <w:t>C</w:t>
      </w:r>
      <w:r w:rsidR="00A30B6A">
        <w:rPr>
          <w:noProof/>
          <w:lang w:val="en-IE"/>
        </w:rPr>
        <w:t xml:space="preserve">arbon stored in harvested wood products, and emissions from grassland, settlements and other land, as well as from drained wetlands </w:t>
      </w:r>
      <w:r w:rsidR="001F6288">
        <w:rPr>
          <w:noProof/>
          <w:lang w:val="en-IE"/>
        </w:rPr>
        <w:t xml:space="preserve">remain </w:t>
      </w:r>
      <w:r w:rsidR="00424C49">
        <w:rPr>
          <w:noProof/>
          <w:lang w:val="en-IE"/>
        </w:rPr>
        <w:t>fairly</w:t>
      </w:r>
      <w:r w:rsidR="001F6288">
        <w:rPr>
          <w:noProof/>
          <w:lang w:val="en-IE"/>
        </w:rPr>
        <w:t xml:space="preserve"> similar across scenarios</w:t>
      </w:r>
      <w:r w:rsidR="00A30B6A">
        <w:rPr>
          <w:noProof/>
          <w:lang w:val="en-IE"/>
        </w:rPr>
        <w:t xml:space="preserve">. </w:t>
      </w:r>
    </w:p>
    <w:p w14:paraId="00EA0833" w14:textId="54B51A80" w:rsidR="001E3317" w:rsidRDefault="00793C9D" w:rsidP="00793C9D">
      <w:pPr>
        <w:rPr>
          <w:noProof/>
          <w:lang w:val="en-IE"/>
        </w:rPr>
      </w:pPr>
      <w:r>
        <w:rPr>
          <w:noProof/>
          <w:lang w:val="en-IE"/>
        </w:rPr>
        <w:t>S2</w:t>
      </w:r>
      <w:r w:rsidR="00663E43">
        <w:rPr>
          <w:noProof/>
          <w:lang w:val="en-IE"/>
        </w:rPr>
        <w:t>,</w:t>
      </w:r>
      <w:r>
        <w:rPr>
          <w:noProof/>
          <w:lang w:val="en-IE"/>
        </w:rPr>
        <w:t xml:space="preserve"> and S3 show very </w:t>
      </w:r>
      <w:r w:rsidRPr="00FC7457">
        <w:rPr>
          <w:noProof/>
          <w:lang w:val="en-IE"/>
        </w:rPr>
        <w:t xml:space="preserve">similar </w:t>
      </w:r>
      <w:r w:rsidR="00B170BD" w:rsidRPr="00FC7457">
        <w:rPr>
          <w:noProof/>
          <w:lang w:val="en-IE"/>
        </w:rPr>
        <w:t>net removal</w:t>
      </w:r>
      <w:r w:rsidRPr="00FC7457">
        <w:rPr>
          <w:noProof/>
          <w:lang w:val="en-IE"/>
        </w:rPr>
        <w:t xml:space="preserve"> levels </w:t>
      </w:r>
      <w:r w:rsidR="00C640C2" w:rsidRPr="00FC7457">
        <w:rPr>
          <w:noProof/>
          <w:lang w:val="en-IE"/>
        </w:rPr>
        <w:t>in 2040</w:t>
      </w:r>
      <w:r w:rsidRPr="00FC7457">
        <w:rPr>
          <w:noProof/>
          <w:lang w:val="en-IE"/>
        </w:rPr>
        <w:t xml:space="preserve"> of about -</w:t>
      </w:r>
      <w:r w:rsidR="00C640C2" w:rsidRPr="00FC7457">
        <w:rPr>
          <w:noProof/>
          <w:lang w:val="en-IE"/>
        </w:rPr>
        <w:t>3</w:t>
      </w:r>
      <w:r w:rsidR="004D5041" w:rsidRPr="00FC7457">
        <w:rPr>
          <w:noProof/>
          <w:lang w:val="en-IE"/>
        </w:rPr>
        <w:t>20</w:t>
      </w:r>
      <w:r w:rsidRPr="00FC7457">
        <w:rPr>
          <w:noProof/>
          <w:lang w:val="en-IE"/>
        </w:rPr>
        <w:t xml:space="preserve"> MtCO</w:t>
      </w:r>
      <w:r w:rsidRPr="00FC7457">
        <w:rPr>
          <w:noProof/>
          <w:vertAlign w:val="subscript"/>
          <w:lang w:val="en-IE"/>
        </w:rPr>
        <w:t>2</w:t>
      </w:r>
      <w:r w:rsidRPr="00FC7457">
        <w:rPr>
          <w:noProof/>
          <w:lang w:val="en-IE"/>
        </w:rPr>
        <w:t>-eq</w:t>
      </w:r>
      <w:r w:rsidR="001E3317" w:rsidRPr="00FC7457">
        <w:rPr>
          <w:noProof/>
          <w:lang w:val="en-IE"/>
        </w:rPr>
        <w:t xml:space="preserve">. </w:t>
      </w:r>
      <w:r w:rsidRPr="00FC7457">
        <w:rPr>
          <w:noProof/>
          <w:lang w:val="en-IE"/>
        </w:rPr>
        <w:t>S</w:t>
      </w:r>
      <w:r w:rsidR="001E3317" w:rsidRPr="00FC7457">
        <w:rPr>
          <w:noProof/>
          <w:lang w:val="en-IE"/>
        </w:rPr>
        <w:t>1</w:t>
      </w:r>
      <w:r w:rsidRPr="00FC7457">
        <w:rPr>
          <w:noProof/>
          <w:lang w:val="en-IE"/>
        </w:rPr>
        <w:t xml:space="preserve"> </w:t>
      </w:r>
      <w:r w:rsidR="001E3317" w:rsidRPr="00FC7457">
        <w:rPr>
          <w:noProof/>
          <w:lang w:val="en-IE"/>
        </w:rPr>
        <w:t xml:space="preserve">shows </w:t>
      </w:r>
      <w:r w:rsidR="00FB74F6">
        <w:rPr>
          <w:noProof/>
          <w:lang w:val="en-IE"/>
        </w:rPr>
        <w:t xml:space="preserve">much smaller net removals in 2040 of about -220 </w:t>
      </w:r>
      <w:r w:rsidR="00FB74F6" w:rsidRPr="00FC7457">
        <w:rPr>
          <w:noProof/>
          <w:lang w:val="en-IE"/>
        </w:rPr>
        <w:t>MtCO</w:t>
      </w:r>
      <w:r w:rsidR="00FB74F6" w:rsidRPr="00FC7457">
        <w:rPr>
          <w:noProof/>
          <w:vertAlign w:val="subscript"/>
          <w:lang w:val="en-IE"/>
        </w:rPr>
        <w:t>2</w:t>
      </w:r>
      <w:r w:rsidR="00FB74F6" w:rsidRPr="00FC7457">
        <w:rPr>
          <w:noProof/>
          <w:lang w:val="en-IE"/>
        </w:rPr>
        <w:t>-eq</w:t>
      </w:r>
      <w:r w:rsidR="00FB74F6">
        <w:rPr>
          <w:noProof/>
          <w:lang w:val="en-IE"/>
        </w:rPr>
        <w:t xml:space="preserve"> due to less nature-based removals from cropland, grassland, and forest land. Furthermore,</w:t>
      </w:r>
      <w:r w:rsidR="001E3317" w:rsidRPr="00FC7457">
        <w:rPr>
          <w:noProof/>
          <w:lang w:val="en-IE"/>
        </w:rPr>
        <w:t xml:space="preserve"> S2 and S3 show higher removals from cropland due to more plantation of lignocellulosic crops </w:t>
      </w:r>
      <w:r w:rsidR="00FB74F6">
        <w:rPr>
          <w:noProof/>
          <w:lang w:val="en-IE"/>
        </w:rPr>
        <w:t xml:space="preserve">in 2040 </w:t>
      </w:r>
      <w:r w:rsidR="001E3317" w:rsidRPr="00FC7457">
        <w:rPr>
          <w:noProof/>
          <w:lang w:val="en-IE"/>
        </w:rPr>
        <w:t>(</w:t>
      </w:r>
      <w:r w:rsidR="001E3317" w:rsidRPr="00FC7457">
        <w:rPr>
          <w:rStyle w:val="FootnoteReference"/>
          <w:noProof/>
          <w:lang w:val="en-IE"/>
        </w:rPr>
        <w:footnoteReference w:id="184"/>
      </w:r>
      <w:r w:rsidR="001E3317" w:rsidRPr="00FC7457">
        <w:rPr>
          <w:noProof/>
          <w:lang w:val="en-IE"/>
        </w:rPr>
        <w:t>).</w:t>
      </w:r>
      <w:r w:rsidR="001E3317">
        <w:rPr>
          <w:noProof/>
          <w:lang w:val="en-IE"/>
        </w:rPr>
        <w:t xml:space="preserve"> </w:t>
      </w:r>
    </w:p>
    <w:p w14:paraId="14670C20" w14:textId="137A7078" w:rsidR="00C640C2" w:rsidRDefault="00C640C2" w:rsidP="00793C9D">
      <w:pPr>
        <w:rPr>
          <w:noProof/>
          <w:lang w:val="en-IE"/>
        </w:rPr>
      </w:pPr>
      <w:r>
        <w:rPr>
          <w:noProof/>
          <w:lang w:val="en-IE"/>
        </w:rPr>
        <w:t xml:space="preserve">2050 illustrates a general increase in the net removals across all scenarios by roughly </w:t>
      </w:r>
      <w:r w:rsidR="001E3317" w:rsidRPr="00631A97">
        <w:rPr>
          <w:noProof/>
          <w:lang w:val="en-IE"/>
        </w:rPr>
        <w:t>15 MtCO</w:t>
      </w:r>
      <w:r w:rsidR="001E3317" w:rsidRPr="00631A97">
        <w:rPr>
          <w:noProof/>
          <w:vertAlign w:val="subscript"/>
          <w:lang w:val="en-IE"/>
        </w:rPr>
        <w:t>2</w:t>
      </w:r>
      <w:r w:rsidR="001E3317" w:rsidRPr="00631A97">
        <w:rPr>
          <w:noProof/>
          <w:lang w:val="en-IE"/>
        </w:rPr>
        <w:t xml:space="preserve">-eq (S2, S3) to </w:t>
      </w:r>
      <w:r w:rsidR="00FB74F6">
        <w:rPr>
          <w:noProof/>
          <w:lang w:val="en-IE"/>
        </w:rPr>
        <w:t>1</w:t>
      </w:r>
      <w:r>
        <w:rPr>
          <w:noProof/>
          <w:lang w:val="en-IE"/>
        </w:rPr>
        <w:t xml:space="preserve">20 </w:t>
      </w:r>
      <w:r w:rsidRPr="00160413">
        <w:rPr>
          <w:noProof/>
          <w:lang w:val="en-IE"/>
        </w:rPr>
        <w:t>MtCO</w:t>
      </w:r>
      <w:r w:rsidRPr="00160413">
        <w:rPr>
          <w:noProof/>
          <w:vertAlign w:val="subscript"/>
          <w:lang w:val="en-IE"/>
        </w:rPr>
        <w:t>2</w:t>
      </w:r>
      <w:r w:rsidRPr="00160413">
        <w:rPr>
          <w:noProof/>
          <w:lang w:val="en-IE"/>
        </w:rPr>
        <w:t>-eq</w:t>
      </w:r>
      <w:r w:rsidR="001F6288">
        <w:rPr>
          <w:noProof/>
          <w:lang w:val="en-IE"/>
        </w:rPr>
        <w:t xml:space="preserve"> </w:t>
      </w:r>
      <w:r w:rsidR="001E3317" w:rsidRPr="00631A97">
        <w:rPr>
          <w:noProof/>
          <w:lang w:val="en-IE"/>
        </w:rPr>
        <w:t>(</w:t>
      </w:r>
      <w:r w:rsidR="009B2B7F" w:rsidDel="001F6288">
        <w:rPr>
          <w:noProof/>
          <w:lang w:val="en-IE"/>
        </w:rPr>
        <w:t>S1</w:t>
      </w:r>
      <w:r w:rsidR="001E3317" w:rsidRPr="00631A97">
        <w:rPr>
          <w:noProof/>
          <w:lang w:val="en-IE"/>
        </w:rPr>
        <w:t>)</w:t>
      </w:r>
      <w:r w:rsidR="001F6288" w:rsidRPr="00631A97">
        <w:rPr>
          <w:noProof/>
          <w:lang w:val="en-IE"/>
        </w:rPr>
        <w:t>,</w:t>
      </w:r>
      <w:r w:rsidR="001F6288">
        <w:rPr>
          <w:noProof/>
          <w:lang w:val="en-IE"/>
        </w:rPr>
        <w:t xml:space="preserve"> reaching</w:t>
      </w:r>
      <w:r w:rsidR="009B2B7F">
        <w:rPr>
          <w:noProof/>
          <w:lang w:val="en-IE"/>
        </w:rPr>
        <w:t xml:space="preserve"> </w:t>
      </w:r>
      <w:r w:rsidR="0095139A">
        <w:rPr>
          <w:noProof/>
          <w:lang w:val="en-IE"/>
        </w:rPr>
        <w:t>-</w:t>
      </w:r>
      <w:r w:rsidR="009B2B7F" w:rsidRPr="006421C8">
        <w:rPr>
          <w:noProof/>
          <w:lang w:val="en-IE"/>
        </w:rPr>
        <w:t>3</w:t>
      </w:r>
      <w:r w:rsidR="009B2B7F">
        <w:rPr>
          <w:noProof/>
          <w:lang w:val="en-IE"/>
        </w:rPr>
        <w:t>30 to -340</w:t>
      </w:r>
      <w:r w:rsidR="009B2B7F" w:rsidRPr="006421C8">
        <w:rPr>
          <w:noProof/>
          <w:lang w:val="en-IE"/>
        </w:rPr>
        <w:t xml:space="preserve"> MtCO</w:t>
      </w:r>
      <w:r w:rsidR="009B2B7F" w:rsidRPr="006421C8">
        <w:rPr>
          <w:noProof/>
          <w:vertAlign w:val="subscript"/>
          <w:lang w:val="en-IE"/>
        </w:rPr>
        <w:t>2-</w:t>
      </w:r>
      <w:r w:rsidR="009B2B7F" w:rsidRPr="006421C8">
        <w:rPr>
          <w:noProof/>
          <w:lang w:val="en-IE"/>
        </w:rPr>
        <w:t>eq</w:t>
      </w:r>
      <w:r w:rsidR="009B2B7F">
        <w:rPr>
          <w:noProof/>
          <w:lang w:val="en-IE"/>
        </w:rPr>
        <w:t xml:space="preserve">. </w:t>
      </w:r>
      <w:r>
        <w:rPr>
          <w:noProof/>
          <w:lang w:val="en-IE"/>
        </w:rPr>
        <w:t xml:space="preserve">Despite this average increase </w:t>
      </w:r>
      <w:r w:rsidR="001F6288">
        <w:rPr>
          <w:noProof/>
          <w:lang w:val="en-IE"/>
        </w:rPr>
        <w:t xml:space="preserve">by </w:t>
      </w:r>
      <w:r>
        <w:rPr>
          <w:noProof/>
          <w:lang w:val="en-IE"/>
        </w:rPr>
        <w:t xml:space="preserve">2050, the range illustrates </w:t>
      </w:r>
      <w:r w:rsidR="009B2B7F">
        <w:rPr>
          <w:noProof/>
          <w:lang w:val="en-IE"/>
        </w:rPr>
        <w:t xml:space="preserve">that the net removal depends considerably on </w:t>
      </w:r>
      <w:r w:rsidR="001F6288">
        <w:rPr>
          <w:noProof/>
          <w:lang w:val="en-IE"/>
        </w:rPr>
        <w:t xml:space="preserve">the capacity of </w:t>
      </w:r>
      <w:r w:rsidR="009B2B7F">
        <w:rPr>
          <w:noProof/>
          <w:lang w:val="en-IE"/>
        </w:rPr>
        <w:t xml:space="preserve">policies </w:t>
      </w:r>
      <w:r w:rsidR="009B2B7F" w:rsidDel="001F6288">
        <w:rPr>
          <w:noProof/>
          <w:lang w:val="en-IE"/>
        </w:rPr>
        <w:t xml:space="preserve">to </w:t>
      </w:r>
      <w:r w:rsidR="009B2B7F">
        <w:rPr>
          <w:noProof/>
          <w:lang w:val="en-IE"/>
        </w:rPr>
        <w:t xml:space="preserve">safeguard the net removal to fall below </w:t>
      </w:r>
      <w:r w:rsidR="001F6288">
        <w:rPr>
          <w:noProof/>
          <w:lang w:val="en-IE"/>
        </w:rPr>
        <w:t xml:space="preserve">the </w:t>
      </w:r>
      <w:r w:rsidR="009B2B7F">
        <w:rPr>
          <w:noProof/>
          <w:lang w:val="en-IE"/>
        </w:rPr>
        <w:t xml:space="preserve">2030 </w:t>
      </w:r>
      <w:r w:rsidR="001F6288">
        <w:rPr>
          <w:noProof/>
          <w:lang w:val="en-IE"/>
        </w:rPr>
        <w:t xml:space="preserve">target or, conversely, to deliver a stronger contribution towards climate neutrality up of </w:t>
      </w:r>
      <w:r w:rsidR="001F6288" w:rsidRPr="00631A97">
        <w:rPr>
          <w:noProof/>
          <w:lang w:val="en-IE"/>
        </w:rPr>
        <w:t>about</w:t>
      </w:r>
      <w:r w:rsidRPr="006421C8">
        <w:rPr>
          <w:noProof/>
          <w:lang w:val="en-IE"/>
        </w:rPr>
        <w:t xml:space="preserve"> -</w:t>
      </w:r>
      <w:r w:rsidR="00425010" w:rsidRPr="006421C8">
        <w:rPr>
          <w:noProof/>
          <w:lang w:val="en-IE"/>
        </w:rPr>
        <w:t>400</w:t>
      </w:r>
      <w:r w:rsidR="00425010">
        <w:rPr>
          <w:noProof/>
          <w:lang w:val="en-IE"/>
        </w:rPr>
        <w:t> </w:t>
      </w:r>
      <w:r w:rsidR="001F6288">
        <w:rPr>
          <w:noProof/>
          <w:lang w:val="en-IE"/>
        </w:rPr>
        <w:t>MtCO2-</w:t>
      </w:r>
      <w:r w:rsidRPr="006421C8" w:rsidDel="001F6288">
        <w:rPr>
          <w:noProof/>
          <w:lang w:val="en-IE"/>
        </w:rPr>
        <w:t>eq</w:t>
      </w:r>
      <w:r>
        <w:rPr>
          <w:noProof/>
          <w:lang w:val="en-IE"/>
        </w:rPr>
        <w:t xml:space="preserve">. </w:t>
      </w:r>
    </w:p>
    <w:p w14:paraId="2E456211" w14:textId="68364C0C" w:rsidR="00793C9D" w:rsidRDefault="00793C9D" w:rsidP="00793C9D">
      <w:pPr>
        <w:rPr>
          <w:noProof/>
          <w:lang w:val="en-IE"/>
        </w:rPr>
      </w:pPr>
      <w:r w:rsidRPr="006421C8">
        <w:rPr>
          <w:noProof/>
          <w:lang w:val="en-IE"/>
        </w:rPr>
        <w:t xml:space="preserve">LIFE produces a higher LULUCF </w:t>
      </w:r>
      <w:r w:rsidR="00B170BD" w:rsidRPr="006421C8">
        <w:rPr>
          <w:noProof/>
          <w:lang w:val="en-IE"/>
        </w:rPr>
        <w:t>net removal</w:t>
      </w:r>
      <w:r w:rsidRPr="006421C8">
        <w:rPr>
          <w:noProof/>
          <w:lang w:val="en-IE"/>
        </w:rPr>
        <w:t xml:space="preserve">, because </w:t>
      </w:r>
      <w:r w:rsidR="00BA6E30" w:rsidRPr="006421C8">
        <w:rPr>
          <w:noProof/>
          <w:lang w:val="en-IE"/>
        </w:rPr>
        <w:t>agricultural land</w:t>
      </w:r>
      <w:r w:rsidRPr="006421C8">
        <w:rPr>
          <w:noProof/>
          <w:lang w:val="en-IE"/>
        </w:rPr>
        <w:t xml:space="preserve"> is converted </w:t>
      </w:r>
      <w:r w:rsidR="00A30B6A" w:rsidRPr="00677DD1">
        <w:rPr>
          <w:noProof/>
          <w:lang w:val="en-IE"/>
        </w:rPr>
        <w:t xml:space="preserve">into </w:t>
      </w:r>
      <w:r w:rsidR="0003611D">
        <w:rPr>
          <w:noProof/>
          <w:lang w:val="en-IE"/>
        </w:rPr>
        <w:t>high-diversity landscape elements</w:t>
      </w:r>
      <w:r w:rsidR="004706B9" w:rsidRPr="006421C8">
        <w:rPr>
          <w:noProof/>
          <w:lang w:val="en-IE"/>
        </w:rPr>
        <w:t xml:space="preserve"> </w:t>
      </w:r>
      <w:r w:rsidR="00A30B6A" w:rsidRPr="007211C5">
        <w:rPr>
          <w:noProof/>
        </w:rPr>
        <w:t xml:space="preserve">covered </w:t>
      </w:r>
      <w:r w:rsidR="004706B9" w:rsidRPr="007211C5">
        <w:rPr>
          <w:noProof/>
        </w:rPr>
        <w:t xml:space="preserve">with </w:t>
      </w:r>
      <w:r w:rsidR="00A30B6A" w:rsidRPr="007211C5">
        <w:rPr>
          <w:noProof/>
        </w:rPr>
        <w:t>buffer stripes, hedges and other landscape elements</w:t>
      </w:r>
      <w:r w:rsidR="00A30B6A" w:rsidRPr="00677DD1">
        <w:rPr>
          <w:noProof/>
          <w:lang w:val="en-IE"/>
        </w:rPr>
        <w:t xml:space="preserve"> or</w:t>
      </w:r>
      <w:r w:rsidRPr="006421C8">
        <w:rPr>
          <w:noProof/>
          <w:lang w:val="en-IE"/>
        </w:rPr>
        <w:t xml:space="preserve"> provided for carbon farming</w:t>
      </w:r>
      <w:r w:rsidR="00BE1AE3" w:rsidRPr="006421C8">
        <w:rPr>
          <w:noProof/>
          <w:lang w:val="en-IE"/>
        </w:rPr>
        <w:t xml:space="preserve"> activity (afforestation)</w:t>
      </w:r>
      <w:r w:rsidRPr="006421C8">
        <w:rPr>
          <w:noProof/>
          <w:lang w:val="en-IE"/>
        </w:rPr>
        <w:t xml:space="preserve"> which allows for a considerable </w:t>
      </w:r>
      <w:r w:rsidR="00965878" w:rsidRPr="006421C8">
        <w:rPr>
          <w:noProof/>
          <w:lang w:val="en-IE"/>
        </w:rPr>
        <w:t>increase in the forest sink</w:t>
      </w:r>
      <w:r w:rsidR="00CA7FF9" w:rsidRPr="006421C8">
        <w:rPr>
          <w:noProof/>
          <w:lang w:val="en-IE"/>
        </w:rPr>
        <w:t xml:space="preserve"> </w:t>
      </w:r>
      <w:r w:rsidR="00673D5F" w:rsidRPr="00631A97">
        <w:rPr>
          <w:noProof/>
          <w:lang w:val="en-IE"/>
        </w:rPr>
        <w:t>(30 MtCO</w:t>
      </w:r>
      <w:r w:rsidR="00673D5F" w:rsidRPr="00631A97">
        <w:rPr>
          <w:noProof/>
          <w:vertAlign w:val="subscript"/>
          <w:lang w:val="en-IE"/>
        </w:rPr>
        <w:t>2</w:t>
      </w:r>
      <w:r w:rsidR="00673D5F" w:rsidRPr="00631A97">
        <w:rPr>
          <w:noProof/>
          <w:lang w:val="en-IE"/>
        </w:rPr>
        <w:t xml:space="preserve">-eq) </w:t>
      </w:r>
      <w:r w:rsidR="00CA7FF9" w:rsidRPr="006421C8">
        <w:rPr>
          <w:noProof/>
          <w:lang w:val="en-IE"/>
        </w:rPr>
        <w:t xml:space="preserve">and decreases </w:t>
      </w:r>
      <w:r w:rsidR="00A30B6A">
        <w:rPr>
          <w:noProof/>
          <w:lang w:val="en-IE"/>
        </w:rPr>
        <w:t xml:space="preserve">net </w:t>
      </w:r>
      <w:r w:rsidR="00A30B6A" w:rsidRPr="006421C8">
        <w:rPr>
          <w:noProof/>
          <w:lang w:val="en-IE"/>
        </w:rPr>
        <w:t>emissions on agricultural land</w:t>
      </w:r>
      <w:r w:rsidR="001E3317" w:rsidRPr="00631A97">
        <w:rPr>
          <w:noProof/>
          <w:lang w:val="en-IE"/>
        </w:rPr>
        <w:t xml:space="preserve"> (15 MtCO</w:t>
      </w:r>
      <w:r w:rsidR="001E3317" w:rsidRPr="00631A97">
        <w:rPr>
          <w:noProof/>
          <w:vertAlign w:val="subscript"/>
          <w:lang w:val="en-IE"/>
        </w:rPr>
        <w:t>2</w:t>
      </w:r>
      <w:r w:rsidR="001E3317" w:rsidRPr="00631A97">
        <w:rPr>
          <w:noProof/>
          <w:lang w:val="en-IE"/>
        </w:rPr>
        <w:t>-eq)</w:t>
      </w:r>
      <w:r w:rsidR="00A30B6A" w:rsidRPr="00631A97">
        <w:rPr>
          <w:noProof/>
          <w:lang w:val="en-IE"/>
        </w:rPr>
        <w:t>.</w:t>
      </w:r>
      <w:r w:rsidR="00CA7FF9" w:rsidRPr="006421C8">
        <w:rPr>
          <w:noProof/>
          <w:lang w:val="en-IE"/>
        </w:rPr>
        <w:t xml:space="preserve"> The </w:t>
      </w:r>
      <w:r w:rsidR="00B71FC8" w:rsidRPr="006421C8">
        <w:rPr>
          <w:noProof/>
          <w:lang w:val="en-IE"/>
        </w:rPr>
        <w:t xml:space="preserve">net effect for the LULUCF </w:t>
      </w:r>
      <w:r w:rsidR="00B170BD" w:rsidRPr="006421C8">
        <w:rPr>
          <w:noProof/>
          <w:lang w:val="en-IE"/>
        </w:rPr>
        <w:t>net removal</w:t>
      </w:r>
      <w:r w:rsidR="00B71FC8" w:rsidRPr="006421C8">
        <w:rPr>
          <w:noProof/>
          <w:lang w:val="en-IE"/>
        </w:rPr>
        <w:t xml:space="preserve"> in LIFE is</w:t>
      </w:r>
      <w:r w:rsidR="00965878" w:rsidRPr="006421C8">
        <w:rPr>
          <w:noProof/>
          <w:lang w:val="en-IE"/>
        </w:rPr>
        <w:t xml:space="preserve"> </w:t>
      </w:r>
      <w:r w:rsidR="00720349" w:rsidRPr="006421C8">
        <w:rPr>
          <w:noProof/>
          <w:lang w:val="en-IE"/>
        </w:rPr>
        <w:t>approximately</w:t>
      </w:r>
      <w:r w:rsidR="00B71FC8" w:rsidRPr="006421C8">
        <w:rPr>
          <w:noProof/>
          <w:lang w:val="en-IE"/>
        </w:rPr>
        <w:t xml:space="preserve"> </w:t>
      </w:r>
      <w:r w:rsidR="00E6557A" w:rsidRPr="00631A97">
        <w:rPr>
          <w:noProof/>
          <w:lang w:val="en-IE"/>
        </w:rPr>
        <w:noBreakHyphen/>
      </w:r>
      <w:r w:rsidR="00673D5F" w:rsidRPr="00631A97">
        <w:rPr>
          <w:noProof/>
          <w:lang w:val="en-IE"/>
        </w:rPr>
        <w:t>45</w:t>
      </w:r>
      <w:r w:rsidR="00B71FC8" w:rsidRPr="006421C8">
        <w:rPr>
          <w:noProof/>
          <w:lang w:val="en-IE"/>
        </w:rPr>
        <w:t xml:space="preserve"> MtCO</w:t>
      </w:r>
      <w:r w:rsidR="00B71FC8" w:rsidRPr="006421C8">
        <w:rPr>
          <w:noProof/>
          <w:vertAlign w:val="subscript"/>
          <w:lang w:val="en-IE"/>
        </w:rPr>
        <w:t>2-</w:t>
      </w:r>
      <w:r w:rsidR="00FC7457" w:rsidRPr="006421C8">
        <w:rPr>
          <w:noProof/>
          <w:lang w:val="en-IE"/>
        </w:rPr>
        <w:t>eq</w:t>
      </w:r>
      <w:r w:rsidR="00FC7457">
        <w:rPr>
          <w:noProof/>
          <w:lang w:val="en-IE"/>
        </w:rPr>
        <w:t>.</w:t>
      </w:r>
    </w:p>
    <w:p w14:paraId="7FE96A3D" w14:textId="5BB588AA" w:rsidR="00A55363" w:rsidRDefault="00A55363" w:rsidP="00C633BC">
      <w:pPr>
        <w:pStyle w:val="Caption"/>
        <w:keepLines/>
        <w:rPr>
          <w:noProof/>
        </w:rPr>
      </w:pPr>
      <w:bookmarkStart w:id="519" w:name="_Ref145347084"/>
      <w:bookmarkStart w:id="520" w:name="_Ref146043480"/>
      <w:bookmarkStart w:id="521" w:name="_Toc157679843"/>
      <w:r>
        <w:rPr>
          <w:noProof/>
        </w:rPr>
        <w:t xml:space="preserve">Figure </w:t>
      </w:r>
      <w:bookmarkEnd w:id="519"/>
      <w:r w:rsidR="00F2742D">
        <w:rPr>
          <w:noProof/>
        </w:rPr>
        <w:fldChar w:fldCharType="begin"/>
      </w:r>
      <w:r w:rsidR="00F2742D">
        <w:rPr>
          <w:noProof/>
        </w:rPr>
        <w:instrText xml:space="preserve"> SEQ Figure \* ARABIC </w:instrText>
      </w:r>
      <w:r w:rsidR="00F2742D">
        <w:rPr>
          <w:noProof/>
        </w:rPr>
        <w:fldChar w:fldCharType="separate"/>
      </w:r>
      <w:r w:rsidR="00170A3C">
        <w:rPr>
          <w:noProof/>
        </w:rPr>
        <w:t>95</w:t>
      </w:r>
      <w:r w:rsidR="00F2742D">
        <w:rPr>
          <w:noProof/>
        </w:rPr>
        <w:fldChar w:fldCharType="end"/>
      </w:r>
      <w:bookmarkEnd w:id="520"/>
      <w:r>
        <w:rPr>
          <w:noProof/>
        </w:rPr>
        <w:t xml:space="preserve">: LULUCF </w:t>
      </w:r>
      <w:r w:rsidR="00B170BD">
        <w:rPr>
          <w:noProof/>
        </w:rPr>
        <w:t>net removal</w:t>
      </w:r>
      <w:r>
        <w:rPr>
          <w:noProof/>
        </w:rPr>
        <w:t xml:space="preserve"> emissions and removals</w:t>
      </w:r>
      <w:bookmarkEnd w:id="521"/>
    </w:p>
    <w:p w14:paraId="67566753" w14:textId="28023328" w:rsidR="0025416F" w:rsidRPr="0025416F" w:rsidRDefault="0025416F" w:rsidP="00573927">
      <w:pPr>
        <w:spacing w:after="0"/>
        <w:rPr>
          <w:noProof/>
        </w:rPr>
      </w:pPr>
      <w:r w:rsidRPr="0025416F">
        <w:rPr>
          <w:noProof/>
          <w:lang w:eastAsia="en-GB"/>
        </w:rPr>
        <w:drawing>
          <wp:inline distT="0" distB="0" distL="0" distR="0" wp14:anchorId="2149D844" wp14:editId="023AE224">
            <wp:extent cx="5405755" cy="2516505"/>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405755" cy="2516505"/>
                    </a:xfrm>
                    <a:prstGeom prst="rect">
                      <a:avLst/>
                    </a:prstGeom>
                    <a:noFill/>
                    <a:ln>
                      <a:noFill/>
                    </a:ln>
                  </pic:spPr>
                </pic:pic>
              </a:graphicData>
            </a:graphic>
          </wp:inline>
        </w:drawing>
      </w:r>
    </w:p>
    <w:p w14:paraId="389D9461" w14:textId="028CD19A" w:rsidR="00B1535F" w:rsidRPr="00E95CA7" w:rsidRDefault="00B1535F" w:rsidP="0025416F">
      <w:pPr>
        <w:rPr>
          <w:noProof/>
        </w:rPr>
      </w:pPr>
      <w:r w:rsidRPr="00A54090">
        <w:rPr>
          <w:rStyle w:val="CT-NOTEChar"/>
          <w:noProof/>
        </w:rPr>
        <w:t xml:space="preserve">Note: </w:t>
      </w:r>
      <w:r w:rsidR="00452BB3" w:rsidRPr="00A54090">
        <w:rPr>
          <w:rStyle w:val="CT-NOTEChar"/>
          <w:noProof/>
        </w:rPr>
        <w:t xml:space="preserve">Emissions and removals </w:t>
      </w:r>
      <w:r w:rsidR="008140DA" w:rsidRPr="00A54090">
        <w:rPr>
          <w:rStyle w:val="CT-NOTEChar"/>
          <w:noProof/>
        </w:rPr>
        <w:t xml:space="preserve">include </w:t>
      </w:r>
      <w:r w:rsidR="000B2839" w:rsidRPr="00A54090">
        <w:rPr>
          <w:rStyle w:val="CT-NOTEChar"/>
          <w:noProof/>
        </w:rPr>
        <w:t xml:space="preserve">all GHG-emissions from the LULUCF sector </w:t>
      </w:r>
      <w:r w:rsidR="00B42BB5" w:rsidRPr="00A54090">
        <w:rPr>
          <w:rStyle w:val="CT-NOTEChar"/>
          <w:noProof/>
        </w:rPr>
        <w:t>and are reported in MtCO2</w:t>
      </w:r>
      <w:r w:rsidR="00CE73F7" w:rsidRPr="00A54090">
        <w:rPr>
          <w:rStyle w:val="CT-NOTEChar"/>
          <w:noProof/>
        </w:rPr>
        <w:t>-</w:t>
      </w:r>
      <w:r w:rsidR="00B42BB5" w:rsidRPr="00A54090">
        <w:rPr>
          <w:rStyle w:val="CT-NOTEChar"/>
          <w:noProof/>
        </w:rPr>
        <w:t>eq</w:t>
      </w:r>
      <w:r w:rsidR="007C058D" w:rsidRPr="00A54090">
        <w:rPr>
          <w:rStyle w:val="CT-NOTEChar"/>
          <w:noProof/>
        </w:rPr>
        <w:t xml:space="preserve">. </w:t>
      </w:r>
      <w:r w:rsidR="00425010">
        <w:rPr>
          <w:rStyle w:val="CT-NOTEChar"/>
          <w:noProof/>
        </w:rPr>
        <w:t xml:space="preserve">For the calculation of </w:t>
      </w:r>
      <w:r w:rsidR="0025416F">
        <w:rPr>
          <w:rStyle w:val="CT-NOTEChar"/>
          <w:noProof/>
        </w:rPr>
        <w:t>LULUCF</w:t>
      </w:r>
      <w:r w:rsidR="005D3362">
        <w:rPr>
          <w:rStyle w:val="CT-NOTEChar"/>
          <w:noProof/>
        </w:rPr>
        <w:t xml:space="preserve"> </w:t>
      </w:r>
      <w:r w:rsidR="00425010">
        <w:rPr>
          <w:rStyle w:val="CT-NOTEChar"/>
          <w:noProof/>
        </w:rPr>
        <w:t xml:space="preserve">net </w:t>
      </w:r>
      <w:r w:rsidR="0025416F">
        <w:rPr>
          <w:rStyle w:val="CT-NOTEChar"/>
          <w:noProof/>
        </w:rPr>
        <w:t>removals</w:t>
      </w:r>
      <w:r w:rsidR="00425010">
        <w:rPr>
          <w:rStyle w:val="CT-NOTEChar"/>
          <w:noProof/>
        </w:rPr>
        <w:t xml:space="preserve"> of the scenarios in 2040, S1 considers the “lower level”, while S2 and S3 the “central level”. All scenarios consider the “central level” in 2050.</w:t>
      </w:r>
    </w:p>
    <w:p w14:paraId="10522E93" w14:textId="77777777" w:rsidR="00141F30" w:rsidRDefault="00B1535F" w:rsidP="00C633BC">
      <w:pPr>
        <w:pStyle w:val="CT-SOURCE"/>
        <w:keepLines/>
        <w:rPr>
          <w:noProof/>
        </w:rPr>
      </w:pPr>
      <w:r w:rsidRPr="00E95CA7">
        <w:rPr>
          <w:noProof/>
        </w:rPr>
        <w:t>Source: UNFCCC 2023</w:t>
      </w:r>
      <w:r w:rsidR="00506B4A" w:rsidRPr="00E95CA7">
        <w:rPr>
          <w:noProof/>
        </w:rPr>
        <w:t>, GLOBIOM</w:t>
      </w:r>
    </w:p>
    <w:p w14:paraId="3BD16F01" w14:textId="34BB289F" w:rsidR="00AF0287" w:rsidRDefault="00AF0287" w:rsidP="00AF0287">
      <w:pPr>
        <w:rPr>
          <w:noProof/>
          <w:lang w:val="en-IE"/>
        </w:rPr>
      </w:pPr>
      <w:r w:rsidRPr="00752B9F">
        <w:rPr>
          <w:noProof/>
          <w:lang w:val="en-IE"/>
        </w:rPr>
        <w:t xml:space="preserve">The ESABCC </w:t>
      </w:r>
      <w:r w:rsidR="00AF0A90">
        <w:rPr>
          <w:noProof/>
          <w:lang w:val="en-IE"/>
        </w:rPr>
        <w:t xml:space="preserve">analysis </w:t>
      </w:r>
      <w:r w:rsidR="00541E5D">
        <w:rPr>
          <w:noProof/>
          <w:lang w:val="en-IE"/>
        </w:rPr>
        <w:t>defines</w:t>
      </w:r>
      <w:r w:rsidRPr="00752B9F">
        <w:rPr>
          <w:noProof/>
          <w:lang w:val="en-IE"/>
        </w:rPr>
        <w:t xml:space="preserve"> a</w:t>
      </w:r>
      <w:r w:rsidR="00B53667" w:rsidRPr="00752B9F">
        <w:rPr>
          <w:noProof/>
          <w:lang w:val="en-IE"/>
        </w:rPr>
        <w:t>n environmental</w:t>
      </w:r>
      <w:r w:rsidRPr="00752B9F">
        <w:rPr>
          <w:noProof/>
          <w:lang w:val="en-IE"/>
        </w:rPr>
        <w:t xml:space="preserve"> risk level of 400 MtCO</w:t>
      </w:r>
      <w:r w:rsidRPr="00752B9F">
        <w:rPr>
          <w:noProof/>
          <w:vertAlign w:val="subscript"/>
          <w:lang w:val="en-IE"/>
        </w:rPr>
        <w:t xml:space="preserve">2 </w:t>
      </w:r>
      <w:r w:rsidRPr="00752B9F">
        <w:rPr>
          <w:noProof/>
          <w:lang w:val="en-IE"/>
        </w:rPr>
        <w:t xml:space="preserve">per year as a maximum </w:t>
      </w:r>
      <w:r w:rsidR="00B170BD" w:rsidRPr="00752B9F">
        <w:rPr>
          <w:noProof/>
          <w:lang w:val="en-IE"/>
        </w:rPr>
        <w:t>net removal</w:t>
      </w:r>
      <w:r w:rsidR="00541E5D">
        <w:rPr>
          <w:noProof/>
          <w:lang w:val="en-IE"/>
        </w:rPr>
        <w:t>s</w:t>
      </w:r>
      <w:r w:rsidRPr="00752B9F">
        <w:rPr>
          <w:noProof/>
          <w:lang w:val="en-IE"/>
        </w:rPr>
        <w:t xml:space="preserve"> level by 2050 (</w:t>
      </w:r>
      <w:r w:rsidRPr="00752B9F">
        <w:rPr>
          <w:rStyle w:val="FootnoteReference"/>
          <w:noProof/>
          <w:lang w:val="en-IE"/>
        </w:rPr>
        <w:footnoteReference w:id="185"/>
      </w:r>
      <w:r w:rsidRPr="00752B9F">
        <w:rPr>
          <w:noProof/>
          <w:lang w:val="en-IE"/>
        </w:rPr>
        <w:t xml:space="preserve">). All scenarios </w:t>
      </w:r>
      <w:r w:rsidR="00AF0A90">
        <w:rPr>
          <w:noProof/>
          <w:lang w:val="en-IE"/>
        </w:rPr>
        <w:t>analysed in this impact assessment</w:t>
      </w:r>
      <w:r w:rsidRPr="00752B9F">
        <w:rPr>
          <w:noProof/>
          <w:lang w:val="en-IE"/>
        </w:rPr>
        <w:t xml:space="preserve"> stay below this </w:t>
      </w:r>
      <w:r w:rsidR="00B7380D" w:rsidRPr="00752B9F">
        <w:rPr>
          <w:noProof/>
          <w:lang w:val="en-IE"/>
        </w:rPr>
        <w:t xml:space="preserve">environmental </w:t>
      </w:r>
      <w:r w:rsidRPr="00752B9F">
        <w:rPr>
          <w:noProof/>
          <w:lang w:val="en-IE"/>
        </w:rPr>
        <w:t>risk level.</w:t>
      </w:r>
      <w:r>
        <w:rPr>
          <w:noProof/>
          <w:lang w:val="en-IE"/>
        </w:rPr>
        <w:t xml:space="preserve"> </w:t>
      </w:r>
    </w:p>
    <w:p w14:paraId="6C9C5CA4" w14:textId="333FB7DA" w:rsidR="00AF0287" w:rsidRDefault="0090081C" w:rsidP="00AF0287">
      <w:pPr>
        <w:rPr>
          <w:noProof/>
          <w:lang w:val="en-IE"/>
        </w:rPr>
      </w:pPr>
      <w:bookmarkStart w:id="522" w:name="_Hlk146902744"/>
      <w:r>
        <w:rPr>
          <w:noProof/>
          <w:lang w:val="en-IE"/>
        </w:rPr>
        <w:t xml:space="preserve">A complementary analysis scenario S2 was run with </w:t>
      </w:r>
      <w:r w:rsidR="00AF0287">
        <w:rPr>
          <w:noProof/>
          <w:lang w:val="en-IE"/>
        </w:rPr>
        <w:t xml:space="preserve">the </w:t>
      </w:r>
      <w:r w:rsidR="001D2B95">
        <w:rPr>
          <w:noProof/>
          <w:lang w:val="en-IE"/>
        </w:rPr>
        <w:t>JRC forest sector carbon</w:t>
      </w:r>
      <w:r w:rsidR="00AF0287">
        <w:rPr>
          <w:noProof/>
          <w:lang w:val="en-IE"/>
        </w:rPr>
        <w:t xml:space="preserve"> model </w:t>
      </w:r>
      <w:r w:rsidR="001D2B95">
        <w:rPr>
          <w:noProof/>
          <w:lang w:val="en-IE"/>
        </w:rPr>
        <w:t xml:space="preserve">(FSCM) </w:t>
      </w:r>
      <w:r w:rsidR="00AF0287">
        <w:rPr>
          <w:noProof/>
          <w:lang w:val="en-IE"/>
        </w:rPr>
        <w:t xml:space="preserve">to </w:t>
      </w:r>
      <w:r w:rsidR="00706352">
        <w:rPr>
          <w:noProof/>
          <w:lang w:val="en-IE"/>
        </w:rPr>
        <w:t xml:space="preserve">crossvalidate </w:t>
      </w:r>
      <w:r w:rsidR="00AF0287">
        <w:rPr>
          <w:noProof/>
          <w:lang w:val="en-IE"/>
        </w:rPr>
        <w:t>the level of the forest sink</w:t>
      </w:r>
      <w:r w:rsidR="001D2B95">
        <w:rPr>
          <w:noProof/>
          <w:lang w:val="en-IE"/>
        </w:rPr>
        <w:t xml:space="preserve"> and </w:t>
      </w:r>
      <w:r w:rsidR="001C31BD">
        <w:rPr>
          <w:noProof/>
          <w:lang w:val="en-IE"/>
        </w:rPr>
        <w:t xml:space="preserve">the temporary sink of </w:t>
      </w:r>
      <w:r w:rsidR="001D2B95">
        <w:rPr>
          <w:noProof/>
          <w:lang w:val="en-IE"/>
        </w:rPr>
        <w:t>harvested wood products (HWP)</w:t>
      </w:r>
      <w:r>
        <w:rPr>
          <w:noProof/>
          <w:lang w:val="en-IE"/>
        </w:rPr>
        <w:t xml:space="preserve">, which </w:t>
      </w:r>
      <w:r w:rsidR="001C31BD">
        <w:rPr>
          <w:noProof/>
          <w:lang w:val="en-IE"/>
        </w:rPr>
        <w:t>are</w:t>
      </w:r>
      <w:r>
        <w:rPr>
          <w:noProof/>
          <w:lang w:val="en-IE"/>
        </w:rPr>
        <w:t xml:space="preserve"> the main driver</w:t>
      </w:r>
      <w:r w:rsidR="001C31BD">
        <w:rPr>
          <w:noProof/>
          <w:lang w:val="en-IE"/>
        </w:rPr>
        <w:t>s</w:t>
      </w:r>
      <w:r>
        <w:rPr>
          <w:noProof/>
          <w:lang w:val="en-IE"/>
        </w:rPr>
        <w:t xml:space="preserve"> of the LULUCF </w:t>
      </w:r>
      <w:r w:rsidR="001C31BD">
        <w:rPr>
          <w:noProof/>
          <w:lang w:val="en-IE"/>
        </w:rPr>
        <w:t>removals</w:t>
      </w:r>
      <w:r w:rsidR="001D2B95">
        <w:rPr>
          <w:noProof/>
          <w:lang w:val="en-IE"/>
        </w:rPr>
        <w:t>.</w:t>
      </w:r>
      <w:r w:rsidR="00AF0287">
        <w:rPr>
          <w:noProof/>
          <w:lang w:val="en-IE"/>
        </w:rPr>
        <w:t xml:space="preserve"> The results show similar results </w:t>
      </w:r>
      <w:r>
        <w:rPr>
          <w:noProof/>
          <w:lang w:val="en-IE"/>
        </w:rPr>
        <w:t xml:space="preserve">across both models </w:t>
      </w:r>
      <w:r w:rsidR="00AF0287">
        <w:rPr>
          <w:noProof/>
          <w:lang w:val="en-IE"/>
        </w:rPr>
        <w:t xml:space="preserve">for </w:t>
      </w:r>
      <w:r w:rsidR="001D2B95">
        <w:rPr>
          <w:noProof/>
          <w:lang w:val="en-IE"/>
        </w:rPr>
        <w:t xml:space="preserve">these two major </w:t>
      </w:r>
      <w:r>
        <w:rPr>
          <w:noProof/>
          <w:lang w:val="en-IE"/>
        </w:rPr>
        <w:t xml:space="preserve">carbon removals </w:t>
      </w:r>
      <w:r w:rsidR="001D2B95">
        <w:rPr>
          <w:noProof/>
          <w:lang w:val="en-IE"/>
        </w:rPr>
        <w:t>categories</w:t>
      </w:r>
      <w:r w:rsidR="00930DFC" w:rsidRPr="00930DFC">
        <w:rPr>
          <w:noProof/>
          <w:lang w:val="en-IE"/>
        </w:rPr>
        <w:t> (</w:t>
      </w:r>
      <w:r w:rsidR="001D2B95">
        <w:rPr>
          <w:rStyle w:val="FootnoteReference"/>
          <w:noProof/>
          <w:lang w:val="en-IE"/>
        </w:rPr>
        <w:footnoteReference w:id="186"/>
      </w:r>
      <w:r w:rsidR="00930DFC">
        <w:rPr>
          <w:noProof/>
          <w:lang w:val="en-IE"/>
        </w:rPr>
        <w:t>)</w:t>
      </w:r>
      <w:r w:rsidR="001D2B95">
        <w:rPr>
          <w:noProof/>
          <w:lang w:val="en-IE"/>
        </w:rPr>
        <w:t xml:space="preserve"> in the LULUCF sector </w:t>
      </w:r>
      <w:r>
        <w:rPr>
          <w:noProof/>
          <w:lang w:val="en-IE"/>
        </w:rPr>
        <w:t>throughout the period</w:t>
      </w:r>
      <w:r w:rsidR="004D5041">
        <w:rPr>
          <w:noProof/>
          <w:lang w:val="en-IE"/>
        </w:rPr>
        <w:t xml:space="preserve"> with somewhat higher projections of net removals with the FSCM for 2040</w:t>
      </w:r>
      <w:r>
        <w:rPr>
          <w:noProof/>
          <w:lang w:val="en-IE"/>
        </w:rPr>
        <w:t>:</w:t>
      </w:r>
      <w:r w:rsidR="00AF0287" w:rsidDel="0090081C">
        <w:rPr>
          <w:noProof/>
          <w:lang w:val="en-IE"/>
        </w:rPr>
        <w:t xml:space="preserve"> </w:t>
      </w:r>
      <w:r>
        <w:rPr>
          <w:noProof/>
          <w:lang w:val="en-IE"/>
        </w:rPr>
        <w:t xml:space="preserve">FSCM projects </w:t>
      </w:r>
      <w:r w:rsidR="00AF0287">
        <w:rPr>
          <w:noProof/>
          <w:lang w:val="en-IE"/>
        </w:rPr>
        <w:t>-</w:t>
      </w:r>
      <w:r w:rsidR="001D2B95">
        <w:rPr>
          <w:noProof/>
          <w:lang w:val="en-IE"/>
        </w:rPr>
        <w:t>334</w:t>
      </w:r>
      <w:r w:rsidR="00AF0287">
        <w:rPr>
          <w:noProof/>
          <w:lang w:val="en-IE"/>
        </w:rPr>
        <w:t xml:space="preserve"> MtCO</w:t>
      </w:r>
      <w:r w:rsidR="00AF0287" w:rsidRPr="006D602F">
        <w:rPr>
          <w:noProof/>
          <w:vertAlign w:val="subscript"/>
          <w:lang w:val="en-IE"/>
        </w:rPr>
        <w:t>2</w:t>
      </w:r>
      <w:r w:rsidR="00AF0287">
        <w:rPr>
          <w:noProof/>
          <w:lang w:val="en-IE"/>
        </w:rPr>
        <w:t>-eq</w:t>
      </w:r>
      <w:r>
        <w:rPr>
          <w:noProof/>
          <w:lang w:val="en-IE"/>
        </w:rPr>
        <w:t xml:space="preserve"> in 2030</w:t>
      </w:r>
      <w:r w:rsidR="00AF0287">
        <w:rPr>
          <w:noProof/>
          <w:lang w:val="en-IE"/>
        </w:rPr>
        <w:t xml:space="preserve"> </w:t>
      </w:r>
      <w:r>
        <w:rPr>
          <w:noProof/>
          <w:lang w:val="en-IE"/>
        </w:rPr>
        <w:t>(</w:t>
      </w:r>
      <w:r w:rsidR="00AF0287">
        <w:rPr>
          <w:noProof/>
          <w:lang w:val="en-IE"/>
        </w:rPr>
        <w:t>compared to -</w:t>
      </w:r>
      <w:r w:rsidR="001D2B95">
        <w:rPr>
          <w:noProof/>
          <w:lang w:val="en-IE"/>
        </w:rPr>
        <w:t>34</w:t>
      </w:r>
      <w:r w:rsidR="00E52774">
        <w:rPr>
          <w:noProof/>
          <w:lang w:val="en-IE"/>
        </w:rPr>
        <w:t>5</w:t>
      </w:r>
      <w:r w:rsidR="00AF0287">
        <w:rPr>
          <w:noProof/>
          <w:lang w:val="en-IE"/>
        </w:rPr>
        <w:t xml:space="preserve"> MtCO</w:t>
      </w:r>
      <w:r w:rsidR="00AF0287" w:rsidRPr="006D602F">
        <w:rPr>
          <w:noProof/>
          <w:vertAlign w:val="subscript"/>
          <w:lang w:val="en-IE"/>
        </w:rPr>
        <w:t>2</w:t>
      </w:r>
      <w:r w:rsidR="00AF0287">
        <w:rPr>
          <w:noProof/>
          <w:lang w:val="en-IE"/>
        </w:rPr>
        <w:t>-eq in GLOBIOM model)</w:t>
      </w:r>
      <w:r>
        <w:rPr>
          <w:noProof/>
          <w:lang w:val="en-IE"/>
        </w:rPr>
        <w:t xml:space="preserve">, </w:t>
      </w:r>
      <w:r w:rsidR="00AF0287">
        <w:rPr>
          <w:noProof/>
          <w:lang w:val="en-IE"/>
        </w:rPr>
        <w:t>-</w:t>
      </w:r>
      <w:r w:rsidR="001D2B95">
        <w:rPr>
          <w:noProof/>
          <w:lang w:val="en-IE"/>
        </w:rPr>
        <w:t>331</w:t>
      </w:r>
      <w:r w:rsidR="00AF0287">
        <w:rPr>
          <w:noProof/>
          <w:lang w:val="en-IE"/>
        </w:rPr>
        <w:t xml:space="preserve"> MtCO</w:t>
      </w:r>
      <w:r w:rsidR="00AF0287" w:rsidRPr="006D602F">
        <w:rPr>
          <w:noProof/>
          <w:vertAlign w:val="subscript"/>
          <w:lang w:val="en-IE"/>
        </w:rPr>
        <w:t>2</w:t>
      </w:r>
      <w:r w:rsidR="00AF0287">
        <w:rPr>
          <w:noProof/>
          <w:lang w:val="en-IE"/>
        </w:rPr>
        <w:t xml:space="preserve">-eq </w:t>
      </w:r>
      <w:r>
        <w:rPr>
          <w:noProof/>
          <w:lang w:val="en-IE"/>
        </w:rPr>
        <w:t>in 2040 (</w:t>
      </w:r>
      <w:r w:rsidR="00AF0287">
        <w:rPr>
          <w:noProof/>
          <w:lang w:val="en-IE"/>
        </w:rPr>
        <w:t>compared to -</w:t>
      </w:r>
      <w:r w:rsidR="004D5041">
        <w:rPr>
          <w:noProof/>
          <w:lang w:val="en-IE"/>
        </w:rPr>
        <w:t>298</w:t>
      </w:r>
      <w:r w:rsidR="00AF0287">
        <w:rPr>
          <w:noProof/>
          <w:lang w:val="en-IE"/>
        </w:rPr>
        <w:t xml:space="preserve"> MtCO</w:t>
      </w:r>
      <w:r w:rsidR="00AF0287" w:rsidRPr="006D602F">
        <w:rPr>
          <w:noProof/>
          <w:vertAlign w:val="subscript"/>
          <w:lang w:val="en-IE"/>
        </w:rPr>
        <w:t>2</w:t>
      </w:r>
      <w:r w:rsidR="00AF0287">
        <w:rPr>
          <w:noProof/>
          <w:lang w:val="en-IE"/>
        </w:rPr>
        <w:t>-eq in GLOBIOM model)</w:t>
      </w:r>
      <w:r>
        <w:rPr>
          <w:noProof/>
          <w:lang w:val="en-IE"/>
        </w:rPr>
        <w:t xml:space="preserve"> and -347 MtCO</w:t>
      </w:r>
      <w:r w:rsidRPr="006D602F">
        <w:rPr>
          <w:noProof/>
          <w:vertAlign w:val="subscript"/>
          <w:lang w:val="en-IE"/>
        </w:rPr>
        <w:t>2</w:t>
      </w:r>
      <w:r>
        <w:rPr>
          <w:noProof/>
          <w:lang w:val="en-IE"/>
        </w:rPr>
        <w:t xml:space="preserve">-eq in </w:t>
      </w:r>
      <w:r w:rsidR="00AF0287">
        <w:rPr>
          <w:noProof/>
          <w:lang w:val="en-IE"/>
        </w:rPr>
        <w:t xml:space="preserve">2050 </w:t>
      </w:r>
      <w:r>
        <w:rPr>
          <w:noProof/>
          <w:lang w:val="en-IE"/>
        </w:rPr>
        <w:t>(</w:t>
      </w:r>
      <w:r w:rsidR="00AF0287">
        <w:rPr>
          <w:noProof/>
          <w:lang w:val="en-IE"/>
        </w:rPr>
        <w:t>compared to -</w:t>
      </w:r>
      <w:r w:rsidR="001D2B95">
        <w:rPr>
          <w:noProof/>
          <w:lang w:val="en-IE"/>
        </w:rPr>
        <w:t>3</w:t>
      </w:r>
      <w:r w:rsidR="004D5041">
        <w:rPr>
          <w:noProof/>
          <w:lang w:val="en-IE"/>
        </w:rPr>
        <w:t>33</w:t>
      </w:r>
      <w:r w:rsidR="00AF0287">
        <w:rPr>
          <w:noProof/>
          <w:lang w:val="en-IE"/>
        </w:rPr>
        <w:t xml:space="preserve"> MtCO</w:t>
      </w:r>
      <w:r w:rsidR="00AF0287" w:rsidRPr="006D602F">
        <w:rPr>
          <w:noProof/>
          <w:vertAlign w:val="subscript"/>
          <w:lang w:val="en-IE"/>
        </w:rPr>
        <w:t>2</w:t>
      </w:r>
      <w:r w:rsidR="00AF0287">
        <w:rPr>
          <w:noProof/>
          <w:lang w:val="en-IE"/>
        </w:rPr>
        <w:t>-eq in GLOBIOM model).</w:t>
      </w:r>
      <w:r w:rsidR="001D2B95">
        <w:rPr>
          <w:noProof/>
          <w:lang w:val="en-IE"/>
        </w:rPr>
        <w:t xml:space="preserve">    </w:t>
      </w:r>
    </w:p>
    <w:bookmarkEnd w:id="522"/>
    <w:p w14:paraId="617D350E" w14:textId="5B9C913E" w:rsidR="00B26DD7" w:rsidRDefault="00B26DD7" w:rsidP="00534E10">
      <w:pPr>
        <w:pStyle w:val="Heading4"/>
        <w:rPr>
          <w:noProof/>
          <w:u w:val="single"/>
        </w:rPr>
      </w:pPr>
      <w:r w:rsidRPr="00534E10">
        <w:rPr>
          <w:noProof/>
        </w:rPr>
        <w:t>Sensitiv</w:t>
      </w:r>
      <w:r w:rsidR="000F361B" w:rsidRPr="00534E10">
        <w:rPr>
          <w:noProof/>
        </w:rPr>
        <w:t>i</w:t>
      </w:r>
      <w:r w:rsidRPr="00534E10">
        <w:rPr>
          <w:noProof/>
        </w:rPr>
        <w:t>ty of the LULUCF net removals to woody biomass use</w:t>
      </w:r>
    </w:p>
    <w:p w14:paraId="5406AEA0" w14:textId="53C40620" w:rsidR="00074E1A" w:rsidRDefault="00074E1A" w:rsidP="00DD2BC6">
      <w:pPr>
        <w:rPr>
          <w:noProof/>
        </w:rPr>
      </w:pPr>
      <w:r>
        <w:rPr>
          <w:noProof/>
        </w:rPr>
        <w:t xml:space="preserve">The scenario S3 relies significantly more than S1 and S2 on industrial carbon removals from DACCS and on e-fuels, two novel </w:t>
      </w:r>
      <w:r w:rsidR="00706352">
        <w:rPr>
          <w:noProof/>
        </w:rPr>
        <w:t xml:space="preserve">technologies </w:t>
      </w:r>
      <w:r>
        <w:rPr>
          <w:noProof/>
        </w:rPr>
        <w:t>with uncertain deployment prospects, which could be substituted by biomass-based options (</w:t>
      </w:r>
      <w:r w:rsidR="001A5D25">
        <w:rPr>
          <w:noProof/>
        </w:rPr>
        <w:t xml:space="preserve">respectively </w:t>
      </w:r>
      <w:r>
        <w:rPr>
          <w:noProof/>
        </w:rPr>
        <w:t>BECCS and 2</w:t>
      </w:r>
      <w:r w:rsidRPr="00631A97">
        <w:rPr>
          <w:noProof/>
          <w:vertAlign w:val="superscript"/>
        </w:rPr>
        <w:t>nd</w:t>
      </w:r>
      <w:r>
        <w:rPr>
          <w:noProof/>
        </w:rPr>
        <w:t xml:space="preserve"> generation biofuels). </w:t>
      </w:r>
    </w:p>
    <w:p w14:paraId="4F4A7C44" w14:textId="25A59AB5" w:rsidR="00EC141B" w:rsidRPr="00B26DD7" w:rsidRDefault="00074E1A" w:rsidP="00DD2BC6">
      <w:pPr>
        <w:rPr>
          <w:noProof/>
          <w:u w:val="single"/>
          <w:lang w:val="en-IE"/>
        </w:rPr>
      </w:pPr>
      <w:r>
        <w:rPr>
          <w:noProof/>
        </w:rPr>
        <w:t xml:space="preserve">To assess the risks </w:t>
      </w:r>
      <w:r w:rsidR="00706352">
        <w:rPr>
          <w:noProof/>
        </w:rPr>
        <w:t>for</w:t>
      </w:r>
      <w:r>
        <w:rPr>
          <w:noProof/>
        </w:rPr>
        <w:t xml:space="preserve"> LULUCF </w:t>
      </w:r>
      <w:r w:rsidR="00706352">
        <w:rPr>
          <w:noProof/>
        </w:rPr>
        <w:t>net removals</w:t>
      </w:r>
      <w:r>
        <w:rPr>
          <w:noProof/>
        </w:rPr>
        <w:t xml:space="preserve"> from a higher uptake of biomass, a</w:t>
      </w:r>
      <w:r w:rsidR="00A30B6A" w:rsidRPr="004D2E94">
        <w:rPr>
          <w:noProof/>
        </w:rPr>
        <w:t xml:space="preserve"> sensitivity analysis </w:t>
      </w:r>
      <w:r w:rsidR="00706352">
        <w:rPr>
          <w:noProof/>
        </w:rPr>
        <w:t>was</w:t>
      </w:r>
      <w:r>
        <w:rPr>
          <w:noProof/>
        </w:rPr>
        <w:t xml:space="preserve"> produced with the GLOBIOM model</w:t>
      </w:r>
      <w:r w:rsidR="005514DA">
        <w:rPr>
          <w:noProof/>
        </w:rPr>
        <w:t xml:space="preserve"> based on the scenario S3</w:t>
      </w:r>
      <w:r w:rsidR="00876B89">
        <w:rPr>
          <w:noProof/>
        </w:rPr>
        <w:t xml:space="preserve"> simulating</w:t>
      </w:r>
      <w:r w:rsidR="00A30B6A" w:rsidRPr="004D2E94" w:rsidDel="00074E1A">
        <w:rPr>
          <w:noProof/>
        </w:rPr>
        <w:t xml:space="preserve"> a</w:t>
      </w:r>
      <w:r w:rsidR="00A30B6A" w:rsidRPr="004D2E94">
        <w:rPr>
          <w:noProof/>
        </w:rPr>
        <w:t xml:space="preserve"> higher demand of 20</w:t>
      </w:r>
      <w:r w:rsidR="00B604F0">
        <w:rPr>
          <w:noProof/>
        </w:rPr>
        <w:t xml:space="preserve"> </w:t>
      </w:r>
      <w:r w:rsidR="00A30B6A" w:rsidRPr="004D2E94">
        <w:rPr>
          <w:noProof/>
        </w:rPr>
        <w:t xml:space="preserve">Mtoe </w:t>
      </w:r>
      <w:r w:rsidR="00A30B6A">
        <w:rPr>
          <w:noProof/>
        </w:rPr>
        <w:t xml:space="preserve">of </w:t>
      </w:r>
      <w:r w:rsidR="00A30B6A" w:rsidRPr="004D2E94">
        <w:rPr>
          <w:noProof/>
        </w:rPr>
        <w:t>wo</w:t>
      </w:r>
      <w:r w:rsidR="00A30B6A">
        <w:rPr>
          <w:noProof/>
        </w:rPr>
        <w:t>o</w:t>
      </w:r>
      <w:r w:rsidR="00A30B6A" w:rsidRPr="004D2E94">
        <w:rPr>
          <w:noProof/>
        </w:rPr>
        <w:t>dy biomass</w:t>
      </w:r>
      <w:r w:rsidR="00706352">
        <w:rPr>
          <w:noProof/>
        </w:rPr>
        <w:t>, to showcase the worst possible impact on the LULUCF net removals</w:t>
      </w:r>
      <w:r w:rsidR="00876B89">
        <w:rPr>
          <w:noProof/>
        </w:rPr>
        <w:t xml:space="preserve">. </w:t>
      </w:r>
      <w:r w:rsidR="00706352">
        <w:rPr>
          <w:noProof/>
        </w:rPr>
        <w:t>The increased demand of woody biomass</w:t>
      </w:r>
      <w:r w:rsidR="00876B89">
        <w:rPr>
          <w:noProof/>
        </w:rPr>
        <w:t xml:space="preserve"> results in a </w:t>
      </w:r>
      <w:r w:rsidR="00A30B6A" w:rsidRPr="004D2E94">
        <w:rPr>
          <w:noProof/>
        </w:rPr>
        <w:t xml:space="preserve">decrease </w:t>
      </w:r>
      <w:r w:rsidR="00876B89">
        <w:rPr>
          <w:noProof/>
        </w:rPr>
        <w:t xml:space="preserve">of </w:t>
      </w:r>
      <w:r w:rsidR="00A30B6A" w:rsidRPr="004D2E94">
        <w:rPr>
          <w:noProof/>
        </w:rPr>
        <w:t xml:space="preserve">the </w:t>
      </w:r>
      <w:r w:rsidR="00701B29">
        <w:rPr>
          <w:noProof/>
        </w:rPr>
        <w:t>LULUCF net removals</w:t>
      </w:r>
      <w:r w:rsidR="00A30B6A" w:rsidRPr="004D2E94">
        <w:rPr>
          <w:noProof/>
        </w:rPr>
        <w:t xml:space="preserve"> </w:t>
      </w:r>
      <w:r w:rsidR="00A30B6A" w:rsidRPr="008D0802">
        <w:rPr>
          <w:noProof/>
        </w:rPr>
        <w:t xml:space="preserve">by </w:t>
      </w:r>
      <w:r w:rsidR="007B65EF" w:rsidRPr="008D0802">
        <w:rPr>
          <w:noProof/>
        </w:rPr>
        <w:t xml:space="preserve">around </w:t>
      </w:r>
      <w:r w:rsidR="00B7380D" w:rsidRPr="008D0802">
        <w:rPr>
          <w:noProof/>
        </w:rPr>
        <w:t xml:space="preserve">100 </w:t>
      </w:r>
      <w:r w:rsidR="00A30B6A" w:rsidRPr="008D0802">
        <w:rPr>
          <w:noProof/>
        </w:rPr>
        <w:t>MtCO</w:t>
      </w:r>
      <w:r w:rsidR="00A30B6A" w:rsidRPr="008D0802">
        <w:rPr>
          <w:noProof/>
          <w:vertAlign w:val="subscript"/>
        </w:rPr>
        <w:t>2</w:t>
      </w:r>
      <w:r w:rsidR="00A30B6A" w:rsidRPr="008D0802">
        <w:rPr>
          <w:noProof/>
        </w:rPr>
        <w:t>-eq</w:t>
      </w:r>
      <w:r w:rsidR="007B65EF">
        <w:rPr>
          <w:noProof/>
        </w:rPr>
        <w:t xml:space="preserve"> in 2040</w:t>
      </w:r>
      <w:r w:rsidR="00A30B6A" w:rsidRPr="00677DD1">
        <w:rPr>
          <w:noProof/>
        </w:rPr>
        <w:t xml:space="preserve">, </w:t>
      </w:r>
      <w:r w:rsidR="00C95EFD">
        <w:rPr>
          <w:noProof/>
        </w:rPr>
        <w:t xml:space="preserve">and around 65 </w:t>
      </w:r>
      <w:r w:rsidR="00C95EFD" w:rsidRPr="008D0802">
        <w:rPr>
          <w:noProof/>
        </w:rPr>
        <w:t>MtCO</w:t>
      </w:r>
      <w:r w:rsidR="00C95EFD" w:rsidRPr="008D0802">
        <w:rPr>
          <w:noProof/>
          <w:vertAlign w:val="subscript"/>
        </w:rPr>
        <w:t>2</w:t>
      </w:r>
      <w:r w:rsidR="00C95EFD" w:rsidRPr="008D0802">
        <w:rPr>
          <w:noProof/>
        </w:rPr>
        <w:t>-eq</w:t>
      </w:r>
      <w:r w:rsidR="00C95EFD">
        <w:rPr>
          <w:noProof/>
        </w:rPr>
        <w:t xml:space="preserve"> in 2050.</w:t>
      </w:r>
      <w:r w:rsidR="00AF0287" w:rsidDel="005514DA">
        <w:rPr>
          <w:noProof/>
        </w:rPr>
        <w:t xml:space="preserve"> </w:t>
      </w:r>
      <w:r w:rsidR="00706352">
        <w:rPr>
          <w:noProof/>
        </w:rPr>
        <w:t>However, i</w:t>
      </w:r>
      <w:r w:rsidR="00B26DD7">
        <w:rPr>
          <w:noProof/>
        </w:rPr>
        <w:t xml:space="preserve">f </w:t>
      </w:r>
      <w:r w:rsidR="00D301A2">
        <w:rPr>
          <w:noProof/>
        </w:rPr>
        <w:t>additional</w:t>
      </w:r>
      <w:r w:rsidR="00B26DD7">
        <w:rPr>
          <w:noProof/>
        </w:rPr>
        <w:t xml:space="preserve"> biomass would originate from other sources such as secondary residues, used wood products</w:t>
      </w:r>
      <w:r w:rsidR="00D301A2">
        <w:rPr>
          <w:noProof/>
        </w:rPr>
        <w:t>, lignocellulosic crops,</w:t>
      </w:r>
      <w:r w:rsidR="00B26DD7">
        <w:rPr>
          <w:noProof/>
        </w:rPr>
        <w:t xml:space="preserve"> or other waste, the impact on the sink would be much more limited.</w:t>
      </w:r>
      <w:r w:rsidR="005514DA" w:rsidRPr="005514DA">
        <w:rPr>
          <w:noProof/>
        </w:rPr>
        <w:t xml:space="preserve"> </w:t>
      </w:r>
      <w:r w:rsidR="005514DA">
        <w:rPr>
          <w:noProof/>
        </w:rPr>
        <w:t xml:space="preserve">Still, </w:t>
      </w:r>
      <w:r w:rsidR="001C31BD">
        <w:rPr>
          <w:noProof/>
        </w:rPr>
        <w:t>the analysis</w:t>
      </w:r>
      <w:r w:rsidR="005514DA">
        <w:rPr>
          <w:noProof/>
        </w:rPr>
        <w:t xml:space="preserve"> shows that the mitigation obtained from </w:t>
      </w:r>
      <w:r w:rsidR="00E45D51">
        <w:rPr>
          <w:noProof/>
        </w:rPr>
        <w:t xml:space="preserve">a </w:t>
      </w:r>
      <w:r w:rsidR="005514DA">
        <w:rPr>
          <w:noProof/>
        </w:rPr>
        <w:t>high use of bioenergy</w:t>
      </w:r>
      <w:r w:rsidR="00E45D51">
        <w:rPr>
          <w:noProof/>
        </w:rPr>
        <w:t>,</w:t>
      </w:r>
      <w:r w:rsidR="005514DA">
        <w:rPr>
          <w:noProof/>
        </w:rPr>
        <w:t xml:space="preserve"> </w:t>
      </w:r>
      <w:r w:rsidR="00E45D51">
        <w:rPr>
          <w:noProof/>
        </w:rPr>
        <w:t>associated to for instance</w:t>
      </w:r>
      <w:r w:rsidR="005514DA">
        <w:rPr>
          <w:noProof/>
        </w:rPr>
        <w:t xml:space="preserve"> BECCS</w:t>
      </w:r>
      <w:r w:rsidR="00E45D51">
        <w:rPr>
          <w:noProof/>
        </w:rPr>
        <w:t>,</w:t>
      </w:r>
      <w:r w:rsidR="005514DA">
        <w:rPr>
          <w:noProof/>
        </w:rPr>
        <w:t xml:space="preserve"> needs to be compared with the possible corresponding losses in the LULUCF net removals </w:t>
      </w:r>
      <w:r w:rsidR="005514DA" w:rsidRPr="005A0D09">
        <w:rPr>
          <w:noProof/>
        </w:rPr>
        <w:t>(</w:t>
      </w:r>
      <w:r w:rsidR="005514DA">
        <w:rPr>
          <w:rStyle w:val="FootnoteReference"/>
          <w:noProof/>
        </w:rPr>
        <w:footnoteReference w:id="187"/>
      </w:r>
      <w:r w:rsidR="005514DA">
        <w:rPr>
          <w:noProof/>
        </w:rPr>
        <w:t>) (</w:t>
      </w:r>
      <w:r w:rsidR="005514DA">
        <w:rPr>
          <w:rStyle w:val="FootnoteReference"/>
          <w:noProof/>
        </w:rPr>
        <w:footnoteReference w:id="188"/>
      </w:r>
      <w:r w:rsidR="005514DA">
        <w:rPr>
          <w:noProof/>
        </w:rPr>
        <w:t>), depending on the biomass type.</w:t>
      </w:r>
    </w:p>
    <w:p w14:paraId="4AABBDC9" w14:textId="30C0EE07" w:rsidR="00F675A8" w:rsidRPr="00680783" w:rsidRDefault="00F675A8" w:rsidP="00680783">
      <w:pPr>
        <w:pStyle w:val="Heading3"/>
        <w:rPr>
          <w:noProof/>
        </w:rPr>
      </w:pPr>
      <w:bookmarkStart w:id="523" w:name="_Toc148605625"/>
      <w:bookmarkStart w:id="524" w:name="_Toc157692071"/>
      <w:bookmarkEnd w:id="518"/>
      <w:r w:rsidRPr="00680783">
        <w:rPr>
          <w:noProof/>
        </w:rPr>
        <w:t>Analysis of climate change impacts and CO2 fertilisation</w:t>
      </w:r>
      <w:bookmarkEnd w:id="523"/>
      <w:bookmarkEnd w:id="524"/>
    </w:p>
    <w:p w14:paraId="399C9CD7" w14:textId="3C754B6A" w:rsidR="00481E63" w:rsidRDefault="00481E63" w:rsidP="00481E63">
      <w:pPr>
        <w:rPr>
          <w:noProof/>
          <w:lang w:val="en-IE"/>
        </w:rPr>
      </w:pPr>
      <w:bookmarkStart w:id="525" w:name="_Hlk146102385"/>
      <w:r>
        <w:rPr>
          <w:noProof/>
          <w:lang w:val="en-IE"/>
        </w:rPr>
        <w:t xml:space="preserve">Increasing </w:t>
      </w:r>
      <w:r w:rsidR="00E45D51">
        <w:rPr>
          <w:noProof/>
          <w:lang w:val="en-IE"/>
        </w:rPr>
        <w:t>climate change and</w:t>
      </w:r>
      <w:r>
        <w:rPr>
          <w:noProof/>
          <w:lang w:val="en-IE"/>
        </w:rPr>
        <w:t xml:space="preserve"> GHG emissions have</w:t>
      </w:r>
      <w:r w:rsidRPr="00B9051D">
        <w:rPr>
          <w:noProof/>
          <w:lang w:val="en-IE"/>
        </w:rPr>
        <w:t xml:space="preserve"> the potential to affect </w:t>
      </w:r>
      <w:r>
        <w:rPr>
          <w:noProof/>
          <w:lang w:val="en-IE"/>
        </w:rPr>
        <w:t>the LULUCF</w:t>
      </w:r>
      <w:r w:rsidRPr="00B9051D">
        <w:rPr>
          <w:noProof/>
          <w:lang w:val="en-IE"/>
        </w:rPr>
        <w:t xml:space="preserve"> sector, both</w:t>
      </w:r>
      <w:r>
        <w:rPr>
          <w:noProof/>
          <w:lang w:val="en-IE"/>
        </w:rPr>
        <w:t xml:space="preserve"> in a </w:t>
      </w:r>
      <w:r w:rsidRPr="00B9051D">
        <w:rPr>
          <w:noProof/>
          <w:lang w:val="en-IE"/>
        </w:rPr>
        <w:t xml:space="preserve">negative (e.g., from lower rainfall, </w:t>
      </w:r>
      <w:r>
        <w:rPr>
          <w:noProof/>
          <w:lang w:val="en-IE"/>
        </w:rPr>
        <w:t>natural disturbances</w:t>
      </w:r>
      <w:r w:rsidRPr="00B9051D">
        <w:rPr>
          <w:noProof/>
          <w:lang w:val="en-IE"/>
        </w:rPr>
        <w:t xml:space="preserve">, extreme heat) and </w:t>
      </w:r>
      <w:r>
        <w:rPr>
          <w:noProof/>
          <w:lang w:val="en-IE"/>
        </w:rPr>
        <w:t>beneficial way</w:t>
      </w:r>
      <w:r w:rsidRPr="00B9051D">
        <w:rPr>
          <w:noProof/>
          <w:lang w:val="en-IE"/>
        </w:rPr>
        <w:t xml:space="preserve"> (</w:t>
      </w:r>
      <w:r w:rsidR="007A0C98" w:rsidRPr="00B9051D">
        <w:rPr>
          <w:noProof/>
          <w:lang w:val="en-IE"/>
        </w:rPr>
        <w:t>e.g.,</w:t>
      </w:r>
      <w:r w:rsidRPr="00B9051D">
        <w:rPr>
          <w:noProof/>
          <w:lang w:val="en-IE"/>
        </w:rPr>
        <w:t xml:space="preserve"> from CO</w:t>
      </w:r>
      <w:r w:rsidRPr="009865D2">
        <w:rPr>
          <w:noProof/>
          <w:vertAlign w:val="subscript"/>
          <w:lang w:val="en-IE"/>
        </w:rPr>
        <w:t>2</w:t>
      </w:r>
      <w:r w:rsidRPr="00B9051D">
        <w:rPr>
          <w:noProof/>
          <w:lang w:val="en-IE"/>
        </w:rPr>
        <w:t xml:space="preserve"> </w:t>
      </w:r>
      <w:r>
        <w:rPr>
          <w:noProof/>
          <w:lang w:val="en-IE"/>
        </w:rPr>
        <w:t>fertilisation</w:t>
      </w:r>
      <w:r w:rsidRPr="00B9051D">
        <w:rPr>
          <w:noProof/>
          <w:lang w:val="en-IE"/>
        </w:rPr>
        <w:t>, extended growing seasons</w:t>
      </w:r>
      <w:r>
        <w:rPr>
          <w:noProof/>
          <w:lang w:val="en-IE"/>
        </w:rPr>
        <w:t>)</w:t>
      </w:r>
      <w:r w:rsidRPr="00B90D20">
        <w:rPr>
          <w:rFonts w:cs="Times New Roman"/>
          <w:noProof/>
          <w:lang w:val="en-IE"/>
        </w:rPr>
        <w:t> (</w:t>
      </w:r>
      <w:r>
        <w:rPr>
          <w:rStyle w:val="FootnoteReference"/>
          <w:noProof/>
          <w:lang w:val="en-IE"/>
        </w:rPr>
        <w:footnoteReference w:id="189"/>
      </w:r>
      <w:r>
        <w:rPr>
          <w:rFonts w:cs="Times New Roman"/>
          <w:noProof/>
          <w:lang w:val="en-IE"/>
        </w:rPr>
        <w:t>).</w:t>
      </w:r>
      <w:r>
        <w:rPr>
          <w:noProof/>
          <w:lang w:val="en-IE"/>
        </w:rPr>
        <w:t xml:space="preserve"> What remains certain however is that </w:t>
      </w:r>
      <w:r w:rsidRPr="0037762D">
        <w:rPr>
          <w:rFonts w:cs="Times New Roman"/>
          <w:noProof/>
        </w:rPr>
        <w:t xml:space="preserve">the forest </w:t>
      </w:r>
      <w:r>
        <w:rPr>
          <w:rFonts w:cs="Times New Roman"/>
          <w:noProof/>
        </w:rPr>
        <w:t xml:space="preserve">net </w:t>
      </w:r>
      <w:r w:rsidR="0095019B">
        <w:rPr>
          <w:rFonts w:cs="Times New Roman"/>
          <w:noProof/>
        </w:rPr>
        <w:t>removals</w:t>
      </w:r>
      <w:r w:rsidR="0095019B" w:rsidRPr="0037762D">
        <w:rPr>
          <w:rFonts w:cs="Times New Roman"/>
          <w:noProof/>
        </w:rPr>
        <w:t xml:space="preserve"> are</w:t>
      </w:r>
      <w:r w:rsidRPr="0037762D">
        <w:rPr>
          <w:rFonts w:cs="Times New Roman"/>
          <w:noProof/>
        </w:rPr>
        <w:t xml:space="preserve"> threatened by climate impacts and their future robustness is far from guaranteed.</w:t>
      </w:r>
      <w:r>
        <w:rPr>
          <w:rFonts w:cs="Times New Roman"/>
          <w:noProof/>
        </w:rPr>
        <w:t xml:space="preserve"> Hence, t</w:t>
      </w:r>
      <w:r w:rsidRPr="0037762D">
        <w:rPr>
          <w:rFonts w:cs="Times New Roman"/>
          <w:noProof/>
        </w:rPr>
        <w:t xml:space="preserve">here </w:t>
      </w:r>
      <w:r>
        <w:rPr>
          <w:rFonts w:cs="Times New Roman"/>
          <w:noProof/>
        </w:rPr>
        <w:t>exist</w:t>
      </w:r>
      <w:r w:rsidRPr="0037762D">
        <w:rPr>
          <w:rFonts w:cs="Times New Roman"/>
          <w:noProof/>
        </w:rPr>
        <w:t xml:space="preserve"> large uncertainties </w:t>
      </w:r>
      <w:r>
        <w:rPr>
          <w:rFonts w:cs="Times New Roman"/>
          <w:noProof/>
        </w:rPr>
        <w:t xml:space="preserve">on the future capacity of the LULUCF </w:t>
      </w:r>
      <w:r w:rsidR="00B170BD">
        <w:rPr>
          <w:rFonts w:cs="Times New Roman"/>
          <w:noProof/>
        </w:rPr>
        <w:t>net removal</w:t>
      </w:r>
      <w:r>
        <w:rPr>
          <w:rFonts w:cs="Times New Roman"/>
          <w:noProof/>
        </w:rPr>
        <w:t xml:space="preserve"> </w:t>
      </w:r>
      <w:r w:rsidRPr="0037762D">
        <w:rPr>
          <w:rFonts w:cs="Times New Roman"/>
          <w:noProof/>
        </w:rPr>
        <w:t xml:space="preserve">due to the complex impacts of both human and natural drivers. </w:t>
      </w:r>
      <w:r>
        <w:rPr>
          <w:rFonts w:cs="Times New Roman"/>
          <w:noProof/>
        </w:rPr>
        <w:t xml:space="preserve">Consequently, </w:t>
      </w:r>
      <w:r w:rsidRPr="0037762D">
        <w:rPr>
          <w:rFonts w:cs="Times New Roman"/>
          <w:noProof/>
        </w:rPr>
        <w:t xml:space="preserve">high uncertainties in current </w:t>
      </w:r>
      <w:r>
        <w:rPr>
          <w:rFonts w:cs="Times New Roman"/>
          <w:noProof/>
        </w:rPr>
        <w:t xml:space="preserve">and </w:t>
      </w:r>
      <w:r w:rsidRPr="0037762D">
        <w:rPr>
          <w:rFonts w:cs="Times New Roman"/>
          <w:noProof/>
        </w:rPr>
        <w:t xml:space="preserve">future levels of </w:t>
      </w:r>
      <w:r>
        <w:rPr>
          <w:rFonts w:cs="Times New Roman"/>
          <w:noProof/>
        </w:rPr>
        <w:t xml:space="preserve">nature-based carbon removals </w:t>
      </w:r>
      <w:r w:rsidRPr="0037762D">
        <w:rPr>
          <w:rFonts w:cs="Times New Roman"/>
          <w:noProof/>
        </w:rPr>
        <w:t>mean that it may not be precisely known if the</w:t>
      </w:r>
      <w:r>
        <w:rPr>
          <w:rFonts w:cs="Times New Roman"/>
          <w:noProof/>
        </w:rPr>
        <w:t xml:space="preserve"> LULUCF net removal</w:t>
      </w:r>
      <w:r w:rsidRPr="0037762D">
        <w:rPr>
          <w:rFonts w:cs="Times New Roman"/>
          <w:noProof/>
        </w:rPr>
        <w:t xml:space="preserve"> </w:t>
      </w:r>
      <w:r>
        <w:rPr>
          <w:rFonts w:cs="Times New Roman"/>
          <w:noProof/>
        </w:rPr>
        <w:t xml:space="preserve">is </w:t>
      </w:r>
      <w:r w:rsidRPr="0037762D">
        <w:rPr>
          <w:rFonts w:cs="Times New Roman"/>
          <w:noProof/>
        </w:rPr>
        <w:t>on track to match</w:t>
      </w:r>
      <w:r>
        <w:rPr>
          <w:rFonts w:cs="Times New Roman"/>
          <w:noProof/>
        </w:rPr>
        <w:t xml:space="preserve"> the required size</w:t>
      </w:r>
      <w:r w:rsidRPr="0037762D">
        <w:rPr>
          <w:rFonts w:cs="Times New Roman"/>
          <w:noProof/>
        </w:rPr>
        <w:t xml:space="preserve"> in the scenarios (</w:t>
      </w:r>
      <w:r w:rsidRPr="0037762D">
        <w:rPr>
          <w:rFonts w:cs="Times New Roman"/>
          <w:noProof/>
          <w:vertAlign w:val="superscript"/>
        </w:rPr>
        <w:footnoteReference w:id="190"/>
      </w:r>
      <w:r w:rsidRPr="0037762D">
        <w:rPr>
          <w:rFonts w:cs="Times New Roman"/>
          <w:noProof/>
        </w:rPr>
        <w:t>)</w:t>
      </w:r>
      <w:r>
        <w:rPr>
          <w:rFonts w:cs="Times New Roman"/>
          <w:noProof/>
        </w:rPr>
        <w:t>.</w:t>
      </w:r>
      <w:r w:rsidR="00D3135D">
        <w:rPr>
          <w:rFonts w:cs="Times New Roman"/>
          <w:noProof/>
        </w:rPr>
        <w:t xml:space="preserve"> </w:t>
      </w:r>
      <w:r w:rsidR="00867647">
        <w:rPr>
          <w:rFonts w:cs="Times New Roman"/>
          <w:noProof/>
        </w:rPr>
        <w:t>It is important to stress that water availability play</w:t>
      </w:r>
      <w:r w:rsidR="00B07D0F">
        <w:rPr>
          <w:rFonts w:cs="Times New Roman"/>
          <w:noProof/>
        </w:rPr>
        <w:t>s</w:t>
      </w:r>
      <w:r w:rsidR="00867647">
        <w:rPr>
          <w:rFonts w:cs="Times New Roman"/>
          <w:noProof/>
        </w:rPr>
        <w:t xml:space="preserve"> a crucial role</w:t>
      </w:r>
      <w:r w:rsidR="00F0305A">
        <w:rPr>
          <w:rFonts w:cs="Times New Roman"/>
          <w:noProof/>
        </w:rPr>
        <w:t xml:space="preserve"> for </w:t>
      </w:r>
      <w:r w:rsidR="00AA2649">
        <w:rPr>
          <w:rFonts w:cs="Times New Roman"/>
          <w:noProof/>
        </w:rPr>
        <w:t>EU’s</w:t>
      </w:r>
      <w:r w:rsidR="00F0305A">
        <w:rPr>
          <w:rFonts w:cs="Times New Roman"/>
          <w:noProof/>
        </w:rPr>
        <w:t xml:space="preserve"> forests</w:t>
      </w:r>
      <w:r w:rsidR="001F1B16">
        <w:rPr>
          <w:rFonts w:cs="Times New Roman"/>
          <w:noProof/>
        </w:rPr>
        <w:t xml:space="preserve">. It appears that impact of climate change on forest productivity depends strongly on water availability </w:t>
      </w:r>
      <w:r w:rsidR="001F1B16" w:rsidRPr="001F1B16">
        <w:rPr>
          <w:rFonts w:cs="Times New Roman"/>
          <w:noProof/>
        </w:rPr>
        <w:t>(</w:t>
      </w:r>
      <w:r w:rsidR="001F1B16">
        <w:rPr>
          <w:rStyle w:val="FootnoteReference"/>
          <w:rFonts w:cs="Times New Roman"/>
          <w:noProof/>
        </w:rPr>
        <w:footnoteReference w:id="191"/>
      </w:r>
      <w:r w:rsidR="001F1B16">
        <w:rPr>
          <w:rFonts w:cs="Times New Roman"/>
          <w:noProof/>
        </w:rPr>
        <w:t>)</w:t>
      </w:r>
      <w:r w:rsidR="00786D98">
        <w:rPr>
          <w:rFonts w:cs="Times New Roman"/>
          <w:noProof/>
        </w:rPr>
        <w:t xml:space="preserve"> </w:t>
      </w:r>
      <w:r w:rsidR="00786D98" w:rsidRPr="00786D98">
        <w:rPr>
          <w:rFonts w:cs="Times New Roman"/>
          <w:noProof/>
        </w:rPr>
        <w:t> (</w:t>
      </w:r>
      <w:r w:rsidR="00786D98">
        <w:rPr>
          <w:rStyle w:val="FootnoteReference"/>
          <w:rFonts w:cs="Times New Roman"/>
          <w:noProof/>
        </w:rPr>
        <w:footnoteReference w:id="192"/>
      </w:r>
      <w:r w:rsidR="00786D98">
        <w:rPr>
          <w:rFonts w:cs="Times New Roman"/>
          <w:noProof/>
        </w:rPr>
        <w:t>)</w:t>
      </w:r>
      <w:r w:rsidR="001F1B16">
        <w:rPr>
          <w:rFonts w:cs="Times New Roman"/>
          <w:noProof/>
        </w:rPr>
        <w:t xml:space="preserve">. </w:t>
      </w:r>
      <w:r w:rsidR="00F0305A">
        <w:rPr>
          <w:rFonts w:cs="Times New Roman"/>
          <w:noProof/>
        </w:rPr>
        <w:t xml:space="preserve"> </w:t>
      </w:r>
      <w:r w:rsidR="009A0B8C">
        <w:rPr>
          <w:rFonts w:cs="Times New Roman"/>
          <w:noProof/>
        </w:rPr>
        <w:t>W</w:t>
      </w:r>
      <w:r w:rsidR="00B07D0F">
        <w:rPr>
          <w:rFonts w:cs="Times New Roman"/>
          <w:noProof/>
        </w:rPr>
        <w:t xml:space="preserve">hile </w:t>
      </w:r>
      <w:r w:rsidR="001F1B16">
        <w:rPr>
          <w:rFonts w:cs="Times New Roman"/>
          <w:noProof/>
        </w:rPr>
        <w:t>the impact of climate change on precipitation levels can be modelled</w:t>
      </w:r>
      <w:r w:rsidR="00E45D51">
        <w:rPr>
          <w:rFonts w:cs="Times New Roman"/>
          <w:noProof/>
        </w:rPr>
        <w:t>,</w:t>
      </w:r>
      <w:r w:rsidR="001F1B16">
        <w:rPr>
          <w:rFonts w:cs="Times New Roman"/>
          <w:noProof/>
        </w:rPr>
        <w:t xml:space="preserve"> it is difficult to assess the full impact of climate change on regional water availability including groundwater levels</w:t>
      </w:r>
      <w:r w:rsidR="00581B65" w:rsidRPr="00581B65">
        <w:rPr>
          <w:rFonts w:cs="Times New Roman"/>
          <w:noProof/>
        </w:rPr>
        <w:t xml:space="preserve"> because of high cascading uncertainties.</w:t>
      </w:r>
    </w:p>
    <w:bookmarkEnd w:id="525"/>
    <w:p w14:paraId="680557EF" w14:textId="12366B1A" w:rsidR="00481E63" w:rsidRPr="005B0908" w:rsidRDefault="00481E63" w:rsidP="00481E63">
      <w:pPr>
        <w:rPr>
          <w:noProof/>
          <w:lang w:val="en-IE"/>
        </w:rPr>
      </w:pPr>
      <w:r>
        <w:rPr>
          <w:noProof/>
          <w:lang w:val="en-IE"/>
        </w:rPr>
        <w:t xml:space="preserve">To assess these uncertainties, climate change impacts of different warming potentials were modelled in GLOBIOM, taking different drivers such as an increase of CO2, extended growing seasons, a higher frequency of natural disturbances and changing </w:t>
      </w:r>
      <w:r w:rsidRPr="005B0908">
        <w:rPr>
          <w:noProof/>
          <w:lang w:val="en-IE"/>
        </w:rPr>
        <w:t>precipitation levels into account (</w:t>
      </w:r>
      <w:r w:rsidRPr="005B0908">
        <w:rPr>
          <w:rStyle w:val="FootnoteReference"/>
          <w:noProof/>
          <w:lang w:val="en-IE"/>
        </w:rPr>
        <w:footnoteReference w:id="193"/>
      </w:r>
      <w:r w:rsidRPr="005B0908">
        <w:rPr>
          <w:noProof/>
          <w:lang w:val="en-IE"/>
        </w:rPr>
        <w:t xml:space="preserve">). Starting from the </w:t>
      </w:r>
      <w:r w:rsidR="001D43D0">
        <w:rPr>
          <w:noProof/>
          <w:lang w:val="en-IE"/>
        </w:rPr>
        <w:t>evolution</w:t>
      </w:r>
      <w:r w:rsidRPr="005B0908">
        <w:rPr>
          <w:noProof/>
          <w:lang w:val="en-IE"/>
        </w:rPr>
        <w:t xml:space="preserve"> of LULUCF </w:t>
      </w:r>
      <w:r w:rsidR="001D43D0">
        <w:rPr>
          <w:noProof/>
          <w:lang w:val="en-IE"/>
        </w:rPr>
        <w:t>net removals in absence of dedicate</w:t>
      </w:r>
      <w:r w:rsidR="00AF79EC">
        <w:rPr>
          <w:noProof/>
          <w:lang w:val="en-IE"/>
        </w:rPr>
        <w:t>d</w:t>
      </w:r>
      <w:r w:rsidR="001D43D0">
        <w:rPr>
          <w:noProof/>
          <w:lang w:val="en-IE"/>
        </w:rPr>
        <w:t xml:space="preserve"> policies</w:t>
      </w:r>
      <w:r w:rsidRPr="005B0908">
        <w:rPr>
          <w:noProof/>
          <w:lang w:val="en-IE"/>
        </w:rPr>
        <w:t xml:space="preserve">, two different representative concentration pathways for GHG concentrations (RCPs) 2.6 and 7.0 </w:t>
      </w:r>
      <w:r w:rsidR="001D43D0">
        <w:rPr>
          <w:noProof/>
          <w:lang w:val="en-IE"/>
        </w:rPr>
        <w:t>are</w:t>
      </w:r>
      <w:r w:rsidRPr="005B0908">
        <w:rPr>
          <w:noProof/>
          <w:lang w:val="en-IE"/>
        </w:rPr>
        <w:t xml:space="preserve"> used to illustrate the range of impacts through different levels of global warming (</w:t>
      </w:r>
      <w:r w:rsidRPr="005B0908">
        <w:rPr>
          <w:rStyle w:val="FootnoteReference"/>
          <w:noProof/>
          <w:lang w:val="en-IE"/>
        </w:rPr>
        <w:footnoteReference w:id="194"/>
      </w:r>
      <w:r w:rsidRPr="005B0908">
        <w:rPr>
          <w:noProof/>
          <w:lang w:val="en-IE"/>
        </w:rPr>
        <w:t>), and four different climate models were used per RCP to estimate the range of possible outcomes (</w:t>
      </w:r>
      <w:r w:rsidRPr="005B0908">
        <w:rPr>
          <w:rStyle w:val="FootnoteReference"/>
          <w:noProof/>
          <w:lang w:val="en-IE"/>
        </w:rPr>
        <w:footnoteReference w:id="195"/>
      </w:r>
      <w:r w:rsidRPr="005B0908">
        <w:rPr>
          <w:noProof/>
          <w:lang w:val="en-IE"/>
        </w:rPr>
        <w:t>). Furthermore, because the magnitude of the CO2</w:t>
      </w:r>
      <w:r w:rsidR="00B26DD7">
        <w:rPr>
          <w:noProof/>
          <w:lang w:val="en-IE"/>
        </w:rPr>
        <w:t xml:space="preserve"> </w:t>
      </w:r>
      <w:r w:rsidRPr="005B0908">
        <w:rPr>
          <w:noProof/>
          <w:lang w:val="en-IE"/>
        </w:rPr>
        <w:t>fertilisation effect on forest growth is still part of a scientific debate (</w:t>
      </w:r>
      <w:r w:rsidRPr="005B0908">
        <w:rPr>
          <w:rStyle w:val="FootnoteReference"/>
          <w:noProof/>
          <w:lang w:val="en-IE"/>
        </w:rPr>
        <w:footnoteReference w:id="196"/>
      </w:r>
      <w:r w:rsidRPr="005B0908">
        <w:rPr>
          <w:noProof/>
          <w:lang w:val="en-IE"/>
        </w:rPr>
        <w:t>)  (</w:t>
      </w:r>
      <w:r w:rsidRPr="005B0908">
        <w:rPr>
          <w:rStyle w:val="FootnoteReference"/>
          <w:noProof/>
          <w:lang w:val="en-IE"/>
        </w:rPr>
        <w:footnoteReference w:id="197"/>
      </w:r>
      <w:r w:rsidRPr="005B0908">
        <w:rPr>
          <w:noProof/>
          <w:lang w:val="en-IE"/>
        </w:rPr>
        <w:t xml:space="preserve">), the eight trajectories are assessed both with and without </w:t>
      </w:r>
      <w:r w:rsidR="0095019B">
        <w:rPr>
          <w:noProof/>
          <w:lang w:val="en-IE"/>
        </w:rPr>
        <w:t>persistent</w:t>
      </w:r>
      <w:r w:rsidRPr="005B0908">
        <w:rPr>
          <w:noProof/>
          <w:lang w:val="en-IE"/>
        </w:rPr>
        <w:t xml:space="preserve"> CO2-fertilisation</w:t>
      </w:r>
      <w:r w:rsidR="003435CB">
        <w:rPr>
          <w:noProof/>
          <w:lang w:val="en-IE"/>
        </w:rPr>
        <w:t>. T</w:t>
      </w:r>
      <w:r w:rsidR="003435CB" w:rsidRPr="005B0908">
        <w:rPr>
          <w:noProof/>
          <w:lang w:val="en-IE"/>
        </w:rPr>
        <w:t xml:space="preserve">o illustrate the </w:t>
      </w:r>
      <w:r w:rsidR="003435CB">
        <w:rPr>
          <w:noProof/>
          <w:lang w:val="en-IE"/>
        </w:rPr>
        <w:t>entire</w:t>
      </w:r>
      <w:r w:rsidR="003435CB" w:rsidRPr="005B0908">
        <w:rPr>
          <w:noProof/>
          <w:lang w:val="en-IE"/>
        </w:rPr>
        <w:t xml:space="preserve"> range of uncertainty</w:t>
      </w:r>
      <w:r w:rsidR="003435CB">
        <w:rPr>
          <w:noProof/>
          <w:lang w:val="en-IE"/>
        </w:rPr>
        <w:t xml:space="preserve">, all 16 climate impact trajectories entail an additional soil related range due to uncertainty of the </w:t>
      </w:r>
      <w:r w:rsidR="003435CB">
        <w:rPr>
          <w:noProof/>
          <w:lang w:val="en-US"/>
        </w:rPr>
        <w:t>to heterotrophic respiration (</w:t>
      </w:r>
      <w:r w:rsidR="007A0C98">
        <w:rPr>
          <w:noProof/>
          <w:lang w:val="en-US"/>
        </w:rPr>
        <w:t>i.e.,</w:t>
      </w:r>
      <w:r w:rsidR="003435CB">
        <w:rPr>
          <w:noProof/>
          <w:lang w:val="en-US"/>
        </w:rPr>
        <w:t xml:space="preserve"> soil, deadwood and litter decomposition rates), which vary by different degrees of climate </w:t>
      </w:r>
      <w:r w:rsidR="00F103C3">
        <w:rPr>
          <w:noProof/>
          <w:lang w:val="en-US"/>
        </w:rPr>
        <w:t xml:space="preserve">change </w:t>
      </w:r>
      <w:r w:rsidR="00F103C3" w:rsidRPr="003435CB">
        <w:rPr>
          <w:noProof/>
          <w:lang w:val="en-US"/>
        </w:rPr>
        <w:t>(</w:t>
      </w:r>
      <w:r w:rsidR="003435CB">
        <w:rPr>
          <w:rStyle w:val="FootnoteReference"/>
          <w:noProof/>
          <w:lang w:val="en-US"/>
        </w:rPr>
        <w:footnoteReference w:id="198"/>
      </w:r>
      <w:r w:rsidR="003435CB">
        <w:rPr>
          <w:noProof/>
          <w:lang w:val="en-US"/>
        </w:rPr>
        <w:t>)</w:t>
      </w:r>
      <w:r w:rsidRPr="005B0908">
        <w:rPr>
          <w:noProof/>
          <w:lang w:val="en-IE"/>
        </w:rPr>
        <w:t xml:space="preserve">. </w:t>
      </w:r>
    </w:p>
    <w:p w14:paraId="0038D6BA" w14:textId="308D3AA9" w:rsidR="00481E63" w:rsidRPr="005B0908" w:rsidRDefault="00481E63" w:rsidP="00481E63">
      <w:pPr>
        <w:rPr>
          <w:noProof/>
          <w:lang w:val="en-IE"/>
        </w:rPr>
      </w:pPr>
      <w:r w:rsidRPr="005B0908">
        <w:rPr>
          <w:noProof/>
          <w:lang w:val="en-IE"/>
        </w:rPr>
        <w:t xml:space="preserve">Even though climate change impacts vary on the different </w:t>
      </w:r>
      <w:r w:rsidR="0095019B">
        <w:rPr>
          <w:noProof/>
          <w:lang w:val="en-IE"/>
        </w:rPr>
        <w:t>activities</w:t>
      </w:r>
      <w:r w:rsidRPr="005B0908">
        <w:rPr>
          <w:noProof/>
          <w:lang w:val="en-IE"/>
        </w:rPr>
        <w:t xml:space="preserve"> such as </w:t>
      </w:r>
      <w:r w:rsidR="0095019B">
        <w:rPr>
          <w:noProof/>
          <w:lang w:val="en-IE"/>
        </w:rPr>
        <w:t>forest management</w:t>
      </w:r>
      <w:r w:rsidR="0095019B" w:rsidRPr="005B0908">
        <w:rPr>
          <w:noProof/>
          <w:lang w:val="en-IE"/>
        </w:rPr>
        <w:t xml:space="preserve">, </w:t>
      </w:r>
      <w:r w:rsidRPr="005B0908">
        <w:rPr>
          <w:noProof/>
          <w:lang w:val="en-IE"/>
        </w:rPr>
        <w:t xml:space="preserve">cropland management, grassland management, </w:t>
      </w:r>
      <w:r w:rsidR="0095019B">
        <w:rPr>
          <w:noProof/>
          <w:lang w:val="en-IE"/>
        </w:rPr>
        <w:t xml:space="preserve">and </w:t>
      </w:r>
      <w:r w:rsidRPr="005B0908">
        <w:rPr>
          <w:noProof/>
          <w:lang w:val="en-IE"/>
        </w:rPr>
        <w:t xml:space="preserve">harvested wood products the most severe impact is on </w:t>
      </w:r>
      <w:r w:rsidR="0095019B" w:rsidRPr="005B0908">
        <w:rPr>
          <w:noProof/>
          <w:lang w:val="en-IE"/>
        </w:rPr>
        <w:t>forest</w:t>
      </w:r>
      <w:r w:rsidR="0095019B">
        <w:rPr>
          <w:noProof/>
          <w:lang w:val="en-IE"/>
        </w:rPr>
        <w:t>s</w:t>
      </w:r>
      <w:r w:rsidRPr="005B0908">
        <w:rPr>
          <w:noProof/>
          <w:lang w:val="en-IE"/>
        </w:rPr>
        <w:t xml:space="preserve"> and to a lesser extent on harvested wood products. The impact on forest depends on several factors such as the species used in forests, water availability in different regions</w:t>
      </w:r>
      <w:r w:rsidR="0095019B">
        <w:rPr>
          <w:noProof/>
          <w:lang w:val="en-IE"/>
        </w:rPr>
        <w:t>,</w:t>
      </w:r>
      <w:r w:rsidR="0095019B" w:rsidRPr="005B0908">
        <w:rPr>
          <w:noProof/>
          <w:lang w:val="en-IE"/>
        </w:rPr>
        <w:t xml:space="preserve"> </w:t>
      </w:r>
      <w:r w:rsidR="0095019B">
        <w:rPr>
          <w:noProof/>
          <w:lang w:val="en-IE"/>
        </w:rPr>
        <w:t xml:space="preserve">and </w:t>
      </w:r>
      <w:r w:rsidR="0095019B" w:rsidRPr="005B0908">
        <w:rPr>
          <w:noProof/>
          <w:lang w:val="en-IE"/>
        </w:rPr>
        <w:t>CO</w:t>
      </w:r>
      <w:r w:rsidR="0095019B" w:rsidRPr="005B0908">
        <w:rPr>
          <w:noProof/>
          <w:vertAlign w:val="subscript"/>
          <w:lang w:val="en-IE"/>
        </w:rPr>
        <w:t>2</w:t>
      </w:r>
      <w:r w:rsidR="0095019B" w:rsidRPr="005B0908">
        <w:rPr>
          <w:noProof/>
          <w:lang w:val="en-IE"/>
        </w:rPr>
        <w:t xml:space="preserve"> fertilisation.</w:t>
      </w:r>
      <w:r w:rsidRPr="005B0908">
        <w:rPr>
          <w:noProof/>
          <w:lang w:val="en-IE"/>
        </w:rPr>
        <w:t xml:space="preserve">  </w:t>
      </w:r>
    </w:p>
    <w:bookmarkStart w:id="526" w:name="_Hlk146896055"/>
    <w:p w14:paraId="7086E44A" w14:textId="1EA7B086" w:rsidR="004E719A" w:rsidRPr="005B0908" w:rsidRDefault="00F7560A" w:rsidP="00481E63">
      <w:pPr>
        <w:rPr>
          <w:noProof/>
          <w:lang w:val="en-IE"/>
        </w:rPr>
      </w:pPr>
      <w:r>
        <w:rPr>
          <w:noProof/>
          <w:lang w:val="en-IE"/>
        </w:rPr>
        <w:fldChar w:fldCharType="begin"/>
      </w:r>
      <w:r>
        <w:rPr>
          <w:noProof/>
          <w:lang w:val="en-IE"/>
        </w:rPr>
        <w:instrText xml:space="preserve"> REF _Ref147325771 \h </w:instrText>
      </w:r>
      <w:r>
        <w:rPr>
          <w:noProof/>
          <w:lang w:val="en-IE"/>
        </w:rPr>
      </w:r>
      <w:r>
        <w:rPr>
          <w:noProof/>
          <w:lang w:val="en-IE"/>
        </w:rPr>
        <w:fldChar w:fldCharType="separate"/>
      </w:r>
      <w:r w:rsidR="00170A3C">
        <w:rPr>
          <w:noProof/>
        </w:rPr>
        <w:t>Figure 96</w:t>
      </w:r>
      <w:r>
        <w:rPr>
          <w:noProof/>
          <w:lang w:val="en-IE"/>
        </w:rPr>
        <w:fldChar w:fldCharType="end"/>
      </w:r>
      <w:r w:rsidR="004E719A">
        <w:rPr>
          <w:noProof/>
          <w:lang w:val="en-IE"/>
        </w:rPr>
        <w:t xml:space="preserve"> </w:t>
      </w:r>
      <w:r w:rsidR="004E719A" w:rsidRPr="005B0908">
        <w:rPr>
          <w:noProof/>
          <w:lang w:val="en-IE"/>
        </w:rPr>
        <w:t xml:space="preserve">shows </w:t>
      </w:r>
      <w:r w:rsidR="001D43D0">
        <w:rPr>
          <w:noProof/>
          <w:lang w:val="en-IE"/>
        </w:rPr>
        <w:t xml:space="preserve">a very wide range </w:t>
      </w:r>
      <w:r w:rsidR="004E719A" w:rsidRPr="005B0908">
        <w:rPr>
          <w:noProof/>
          <w:lang w:val="en-IE"/>
        </w:rPr>
        <w:t xml:space="preserve">for the EU LULUCF net removal due to the effects </w:t>
      </w:r>
      <w:r w:rsidR="001D43D0">
        <w:rPr>
          <w:noProof/>
          <w:lang w:val="en-IE"/>
        </w:rPr>
        <w:t>of</w:t>
      </w:r>
      <w:r w:rsidR="001D43D0" w:rsidRPr="005B0908">
        <w:rPr>
          <w:noProof/>
          <w:lang w:val="en-IE"/>
        </w:rPr>
        <w:t xml:space="preserve"> </w:t>
      </w:r>
      <w:r w:rsidR="004E719A" w:rsidRPr="005B0908">
        <w:rPr>
          <w:noProof/>
          <w:lang w:val="en-IE"/>
        </w:rPr>
        <w:t>climate change</w:t>
      </w:r>
      <w:r w:rsidR="00976333">
        <w:rPr>
          <w:noProof/>
          <w:lang w:val="en-IE"/>
        </w:rPr>
        <w:t>.</w:t>
      </w:r>
      <w:r w:rsidR="008F38E4">
        <w:rPr>
          <w:noProof/>
          <w:lang w:val="en-IE"/>
        </w:rPr>
        <w:t xml:space="preserve"> The range shows a deviation from the standard projection in 2040 by 6</w:t>
      </w:r>
      <w:r w:rsidR="00E374FA">
        <w:rPr>
          <w:noProof/>
          <w:lang w:val="en-IE"/>
        </w:rPr>
        <w:t>8</w:t>
      </w:r>
      <w:r w:rsidR="008F38E4">
        <w:rPr>
          <w:noProof/>
          <w:lang w:val="en-IE"/>
        </w:rPr>
        <w:t xml:space="preserve"> MtCO</w:t>
      </w:r>
      <w:r w:rsidR="008F38E4" w:rsidRPr="00B0727E">
        <w:rPr>
          <w:noProof/>
          <w:vertAlign w:val="subscript"/>
          <w:lang w:val="en-IE"/>
        </w:rPr>
        <w:t>2</w:t>
      </w:r>
      <w:r w:rsidR="008F38E4">
        <w:rPr>
          <w:noProof/>
          <w:lang w:val="en-IE"/>
        </w:rPr>
        <w:noBreakHyphen/>
        <w:t xml:space="preserve">eq to the upper bound </w:t>
      </w:r>
      <w:r w:rsidR="00E374FA">
        <w:rPr>
          <w:noProof/>
          <w:lang w:val="en-IE"/>
        </w:rPr>
        <w:t>(maximum net removals level)</w:t>
      </w:r>
      <w:r w:rsidR="008F38E4">
        <w:rPr>
          <w:noProof/>
          <w:lang w:val="en-IE"/>
        </w:rPr>
        <w:t xml:space="preserve"> and 11</w:t>
      </w:r>
      <w:r w:rsidR="00E374FA">
        <w:rPr>
          <w:noProof/>
          <w:lang w:val="en-IE"/>
        </w:rPr>
        <w:t>1</w:t>
      </w:r>
      <w:r w:rsidR="008F38E4">
        <w:rPr>
          <w:noProof/>
          <w:lang w:val="en-IE"/>
        </w:rPr>
        <w:t xml:space="preserve"> MtCO</w:t>
      </w:r>
      <w:r w:rsidR="008F38E4" w:rsidRPr="00B0727E">
        <w:rPr>
          <w:noProof/>
          <w:vertAlign w:val="subscript"/>
          <w:lang w:val="en-IE"/>
        </w:rPr>
        <w:t>2</w:t>
      </w:r>
      <w:r w:rsidR="008F38E4">
        <w:rPr>
          <w:noProof/>
          <w:lang w:val="en-IE"/>
        </w:rPr>
        <w:noBreakHyphen/>
        <w:t>eq to the lower bound</w:t>
      </w:r>
      <w:r w:rsidR="00E374FA">
        <w:rPr>
          <w:noProof/>
          <w:lang w:val="en-IE"/>
        </w:rPr>
        <w:t xml:space="preserve"> (minimum net removals level)</w:t>
      </w:r>
      <w:r w:rsidR="008F38E4">
        <w:rPr>
          <w:noProof/>
          <w:lang w:val="en-IE"/>
        </w:rPr>
        <w:t>. In 2050 the unsecurity increases further, resulting in a range with a deviation of 8</w:t>
      </w:r>
      <w:r w:rsidR="00E374FA">
        <w:rPr>
          <w:noProof/>
          <w:lang w:val="en-IE"/>
        </w:rPr>
        <w:t>4</w:t>
      </w:r>
      <w:r w:rsidR="008F38E4">
        <w:rPr>
          <w:noProof/>
          <w:lang w:val="en-IE"/>
        </w:rPr>
        <w:t xml:space="preserve"> MtCO</w:t>
      </w:r>
      <w:r w:rsidR="008F38E4" w:rsidRPr="00B0727E">
        <w:rPr>
          <w:noProof/>
          <w:vertAlign w:val="subscript"/>
          <w:lang w:val="en-IE"/>
        </w:rPr>
        <w:t>2</w:t>
      </w:r>
      <w:r w:rsidR="008F38E4">
        <w:rPr>
          <w:noProof/>
          <w:lang w:val="en-IE"/>
        </w:rPr>
        <w:noBreakHyphen/>
        <w:t>eq to the upper bound and 133 MtCO</w:t>
      </w:r>
      <w:r w:rsidR="008F38E4" w:rsidRPr="00B0727E">
        <w:rPr>
          <w:noProof/>
          <w:vertAlign w:val="subscript"/>
          <w:lang w:val="en-IE"/>
        </w:rPr>
        <w:t>2</w:t>
      </w:r>
      <w:r w:rsidR="008F38E4">
        <w:rPr>
          <w:noProof/>
          <w:lang w:val="en-IE"/>
        </w:rPr>
        <w:noBreakHyphen/>
        <w:t xml:space="preserve">eq to the lower bound. </w:t>
      </w:r>
      <w:r w:rsidR="00976333">
        <w:rPr>
          <w:noProof/>
          <w:lang w:val="en-IE"/>
        </w:rPr>
        <w:t xml:space="preserve"> </w:t>
      </w:r>
      <w:r w:rsidR="008F38E4">
        <w:rPr>
          <w:noProof/>
          <w:lang w:val="en-IE"/>
        </w:rPr>
        <w:t xml:space="preserve">Hence, </w:t>
      </w:r>
      <w:r w:rsidR="001D43D0">
        <w:rPr>
          <w:noProof/>
          <w:lang w:val="en-IE"/>
        </w:rPr>
        <w:t>depending on RCP, climate model and CO2 fertilisation</w:t>
      </w:r>
      <w:r w:rsidR="008F38E4">
        <w:rPr>
          <w:noProof/>
          <w:lang w:val="en-IE"/>
        </w:rPr>
        <w:t>, the analysis projects for 2050 a possible range of net removals between roughly -</w:t>
      </w:r>
      <w:r w:rsidR="00E374FA">
        <w:rPr>
          <w:noProof/>
          <w:lang w:val="en-IE"/>
        </w:rPr>
        <w:t>70</w:t>
      </w:r>
      <w:r w:rsidR="008F38E4">
        <w:rPr>
          <w:noProof/>
          <w:lang w:val="en-IE"/>
        </w:rPr>
        <w:t xml:space="preserve"> MtCO</w:t>
      </w:r>
      <w:r w:rsidR="008F38E4" w:rsidRPr="00B0727E">
        <w:rPr>
          <w:noProof/>
          <w:vertAlign w:val="subscript"/>
          <w:lang w:val="en-IE"/>
        </w:rPr>
        <w:t>2</w:t>
      </w:r>
      <w:r w:rsidR="008F38E4">
        <w:rPr>
          <w:noProof/>
          <w:lang w:val="en-IE"/>
        </w:rPr>
        <w:noBreakHyphen/>
        <w:t>eq and -</w:t>
      </w:r>
      <w:r w:rsidR="00E374FA">
        <w:rPr>
          <w:noProof/>
          <w:lang w:val="en-IE"/>
        </w:rPr>
        <w:t>290</w:t>
      </w:r>
      <w:r w:rsidR="008F38E4">
        <w:rPr>
          <w:noProof/>
          <w:lang w:val="en-IE"/>
        </w:rPr>
        <w:t xml:space="preserve"> MtCO</w:t>
      </w:r>
      <w:r w:rsidR="008F38E4" w:rsidRPr="00B0727E">
        <w:rPr>
          <w:noProof/>
          <w:vertAlign w:val="subscript"/>
          <w:lang w:val="en-IE"/>
        </w:rPr>
        <w:t>2</w:t>
      </w:r>
      <w:r w:rsidR="008F38E4">
        <w:rPr>
          <w:noProof/>
          <w:lang w:val="en-IE"/>
        </w:rPr>
        <w:noBreakHyphen/>
        <w:t>eq</w:t>
      </w:r>
      <w:r w:rsidR="00E374FA">
        <w:rPr>
          <w:noProof/>
          <w:lang w:val="en-IE"/>
        </w:rPr>
        <w:t xml:space="preserve"> (in absence of additional LULUCF policies)</w:t>
      </w:r>
      <w:r w:rsidR="008F38E4">
        <w:rPr>
          <w:noProof/>
          <w:lang w:val="en-IE"/>
        </w:rPr>
        <w:t xml:space="preserve">. </w:t>
      </w:r>
      <w:r w:rsidR="001D43D0">
        <w:rPr>
          <w:noProof/>
          <w:lang w:val="en-IE"/>
        </w:rPr>
        <w:t xml:space="preserve">The finding </w:t>
      </w:r>
      <w:r w:rsidR="00246CD6">
        <w:rPr>
          <w:noProof/>
          <w:lang w:val="en-IE"/>
        </w:rPr>
        <w:t xml:space="preserve">is </w:t>
      </w:r>
      <w:r w:rsidR="00246CD6" w:rsidRPr="005B0908">
        <w:rPr>
          <w:noProof/>
          <w:lang w:val="en-IE"/>
        </w:rPr>
        <w:t xml:space="preserve">corroborated by other </w:t>
      </w:r>
      <w:r w:rsidR="00246CD6">
        <w:rPr>
          <w:noProof/>
          <w:lang w:val="en-IE"/>
        </w:rPr>
        <w:t>analyses</w:t>
      </w:r>
      <w:r w:rsidR="00246CD6" w:rsidRPr="005B0908">
        <w:rPr>
          <w:rFonts w:cs="Times New Roman"/>
          <w:noProof/>
          <w:lang w:val="en-IE"/>
        </w:rPr>
        <w:t> (</w:t>
      </w:r>
      <w:r w:rsidR="00246CD6" w:rsidRPr="005B0908">
        <w:rPr>
          <w:rStyle w:val="FootnoteReference"/>
          <w:noProof/>
          <w:lang w:val="en-IE"/>
        </w:rPr>
        <w:footnoteReference w:id="199"/>
      </w:r>
      <w:r w:rsidR="00246CD6" w:rsidRPr="005B0908">
        <w:rPr>
          <w:rFonts w:cs="Times New Roman"/>
          <w:noProof/>
          <w:lang w:val="en-IE"/>
        </w:rPr>
        <w:t>)</w:t>
      </w:r>
      <w:r w:rsidR="00246CD6">
        <w:rPr>
          <w:rFonts w:cs="Times New Roman"/>
          <w:noProof/>
          <w:lang w:val="en-IE"/>
        </w:rPr>
        <w:t xml:space="preserve"> and</w:t>
      </w:r>
      <w:r w:rsidR="00246CD6" w:rsidRPr="005B0908">
        <w:rPr>
          <w:noProof/>
          <w:lang w:val="en-IE"/>
        </w:rPr>
        <w:t xml:space="preserve"> </w:t>
      </w:r>
      <w:r w:rsidR="001D43D0">
        <w:rPr>
          <w:noProof/>
          <w:lang w:val="en-IE"/>
        </w:rPr>
        <w:t xml:space="preserve">also roughly concurs with the identified range of -100 to </w:t>
      </w:r>
      <w:r w:rsidR="00246CD6">
        <w:rPr>
          <w:noProof/>
          <w:lang w:val="en-IE"/>
        </w:rPr>
        <w:noBreakHyphen/>
      </w:r>
      <w:r w:rsidR="001D43D0">
        <w:rPr>
          <w:noProof/>
          <w:lang w:val="en-IE"/>
        </w:rPr>
        <w:t>400</w:t>
      </w:r>
      <w:r w:rsidR="00246CD6">
        <w:rPr>
          <w:noProof/>
          <w:lang w:val="en-IE"/>
        </w:rPr>
        <w:t> </w:t>
      </w:r>
      <w:r w:rsidR="001D43D0">
        <w:rPr>
          <w:noProof/>
          <w:lang w:val="en-IE"/>
        </w:rPr>
        <w:t>MtCO</w:t>
      </w:r>
      <w:r w:rsidR="001D43D0" w:rsidRPr="00B0727E">
        <w:rPr>
          <w:noProof/>
          <w:vertAlign w:val="subscript"/>
          <w:lang w:val="en-IE"/>
        </w:rPr>
        <w:t>2</w:t>
      </w:r>
      <w:r w:rsidR="00246CD6">
        <w:rPr>
          <w:noProof/>
          <w:lang w:val="en-IE"/>
        </w:rPr>
        <w:noBreakHyphen/>
      </w:r>
      <w:r w:rsidR="001D43D0">
        <w:rPr>
          <w:noProof/>
          <w:lang w:val="en-IE"/>
        </w:rPr>
        <w:t xml:space="preserve">eq for the LULUCF net removal by 2050, as mentioned by the ESABCC, when taking future impacts of climate change into account.  </w:t>
      </w:r>
    </w:p>
    <w:p w14:paraId="7FC8B032" w14:textId="1CDE4A63" w:rsidR="00850D11" w:rsidRDefault="00850D11" w:rsidP="008D0706">
      <w:pPr>
        <w:pStyle w:val="Caption"/>
        <w:keepLines/>
        <w:rPr>
          <w:noProof/>
        </w:rPr>
      </w:pPr>
      <w:bookmarkStart w:id="527" w:name="_Ref147325771"/>
      <w:bookmarkStart w:id="528" w:name="_Toc157679844"/>
      <w:r>
        <w:rPr>
          <w:noProof/>
        </w:rPr>
        <w:t xml:space="preserve">Figure </w:t>
      </w:r>
      <w:r>
        <w:rPr>
          <w:noProof/>
        </w:rPr>
        <w:fldChar w:fldCharType="begin"/>
      </w:r>
      <w:r>
        <w:rPr>
          <w:noProof/>
        </w:rPr>
        <w:instrText>SEQ Figure \* ARABIC</w:instrText>
      </w:r>
      <w:r>
        <w:rPr>
          <w:noProof/>
        </w:rPr>
        <w:fldChar w:fldCharType="separate"/>
      </w:r>
      <w:r w:rsidR="00170A3C">
        <w:rPr>
          <w:noProof/>
        </w:rPr>
        <w:t>96</w:t>
      </w:r>
      <w:r>
        <w:rPr>
          <w:noProof/>
        </w:rPr>
        <w:fldChar w:fldCharType="end"/>
      </w:r>
      <w:bookmarkEnd w:id="527"/>
      <w:r>
        <w:rPr>
          <w:noProof/>
        </w:rPr>
        <w:t>: Estimated climate change impacts on LULUCF net removal in EU</w:t>
      </w:r>
      <w:bookmarkEnd w:id="528"/>
    </w:p>
    <w:p w14:paraId="511C7A47" w14:textId="5525779E" w:rsidR="00850D11" w:rsidRPr="00723BF3" w:rsidRDefault="008D0706" w:rsidP="008D0706">
      <w:pPr>
        <w:keepNext/>
        <w:keepLines/>
        <w:rPr>
          <w:noProof/>
        </w:rPr>
      </w:pPr>
      <w:r w:rsidRPr="008D0706">
        <w:rPr>
          <w:noProof/>
          <w:lang w:eastAsia="en-GB"/>
        </w:rPr>
        <w:drawing>
          <wp:inline distT="0" distB="0" distL="0" distR="0" wp14:anchorId="0051C64D" wp14:editId="71D68D71">
            <wp:extent cx="5349179" cy="3138985"/>
            <wp:effectExtent l="0" t="0" r="4445" b="444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6" cstate="print">
                      <a:extLst>
                        <a:ext uri="{28A0092B-C50C-407E-A947-70E740481C1C}">
                          <a14:useLocalDpi xmlns:a14="http://schemas.microsoft.com/office/drawing/2010/main" val="0"/>
                        </a:ext>
                      </a:extLst>
                    </a:blip>
                    <a:srcRect t="8744" b="3799"/>
                    <a:stretch/>
                  </pic:blipFill>
                  <pic:spPr bwMode="auto">
                    <a:xfrm>
                      <a:off x="0" y="0"/>
                      <a:ext cx="5349875" cy="3139393"/>
                    </a:xfrm>
                    <a:prstGeom prst="rect">
                      <a:avLst/>
                    </a:prstGeom>
                    <a:noFill/>
                    <a:ln>
                      <a:noFill/>
                    </a:ln>
                    <a:extLst>
                      <a:ext uri="{53640926-AAD7-44D8-BBD7-CCE9431645EC}">
                        <a14:shadowObscured xmlns:a14="http://schemas.microsoft.com/office/drawing/2010/main"/>
                      </a:ext>
                    </a:extLst>
                  </pic:spPr>
                </pic:pic>
              </a:graphicData>
            </a:graphic>
          </wp:inline>
        </w:drawing>
      </w:r>
    </w:p>
    <w:p w14:paraId="4C8BE968" w14:textId="152782E2" w:rsidR="00850D11" w:rsidRPr="00C528A8" w:rsidRDefault="00850D11" w:rsidP="008D0706">
      <w:pPr>
        <w:pStyle w:val="CT-NOTE"/>
        <w:keepLines/>
        <w:rPr>
          <w:noProof/>
        </w:rPr>
      </w:pPr>
      <w:r w:rsidRPr="00C528A8">
        <w:rPr>
          <w:noProof/>
        </w:rPr>
        <w:t xml:space="preserve">Note: The graph displays a model-based projection of the development of the </w:t>
      </w:r>
      <w:r>
        <w:rPr>
          <w:noProof/>
        </w:rPr>
        <w:t>LULUCF net removal</w:t>
      </w:r>
      <w:r w:rsidR="000B5DD6">
        <w:rPr>
          <w:noProof/>
        </w:rPr>
        <w:t xml:space="preserve"> in absence of dedicated mitigation policies</w:t>
      </w:r>
      <w:r w:rsidR="00706352">
        <w:rPr>
          <w:noProof/>
        </w:rPr>
        <w:t xml:space="preserve"> [lower level]</w:t>
      </w:r>
      <w:r w:rsidRPr="00C528A8">
        <w:rPr>
          <w:noProof/>
        </w:rPr>
        <w:t>. The historical trajectory shows the historical inventory data based on UNFCCC 2023</w:t>
      </w:r>
      <w:r w:rsidR="000B5DD6">
        <w:rPr>
          <w:noProof/>
        </w:rPr>
        <w:t xml:space="preserve">. </w:t>
      </w:r>
      <w:r>
        <w:rPr>
          <w:noProof/>
        </w:rPr>
        <w:t xml:space="preserve"> and the </w:t>
      </w:r>
      <w:r w:rsidR="000B5DD6">
        <w:rPr>
          <w:noProof/>
        </w:rPr>
        <w:t>‘</w:t>
      </w:r>
      <w:r>
        <w:rPr>
          <w:noProof/>
        </w:rPr>
        <w:t>projection</w:t>
      </w:r>
      <w:r w:rsidR="000B5DD6">
        <w:rPr>
          <w:noProof/>
        </w:rPr>
        <w:t>’</w:t>
      </w:r>
      <w:r>
        <w:rPr>
          <w:noProof/>
        </w:rPr>
        <w:t xml:space="preserve"> shows the trajectory of the LULUCF net removal without </w:t>
      </w:r>
      <w:r w:rsidR="001D43D0">
        <w:rPr>
          <w:noProof/>
        </w:rPr>
        <w:t>considering the impact of climate change</w:t>
      </w:r>
      <w:r w:rsidRPr="00C528A8">
        <w:rPr>
          <w:noProof/>
        </w:rPr>
        <w:t xml:space="preserve">. </w:t>
      </w:r>
      <w:r>
        <w:rPr>
          <w:noProof/>
        </w:rPr>
        <w:t xml:space="preserve">The different 16 trajectories show RCP 2.6 vs. 7.0 (2) X different climate models (4) X CO2 fertilisation vs. no fertilisation (2). </w:t>
      </w:r>
      <w:r w:rsidRPr="00C528A8">
        <w:rPr>
          <w:noProof/>
        </w:rPr>
        <w:t xml:space="preserve">The range illustrates the uncertainty due to climate change impacts </w:t>
      </w:r>
      <w:r>
        <w:rPr>
          <w:noProof/>
        </w:rPr>
        <w:t xml:space="preserve">across all trajectories including uncertainty </w:t>
      </w:r>
      <w:r w:rsidR="000B5DD6">
        <w:rPr>
          <w:noProof/>
        </w:rPr>
        <w:t>on</w:t>
      </w:r>
      <w:r>
        <w:rPr>
          <w:noProof/>
        </w:rPr>
        <w:t xml:space="preserve"> carbon </w:t>
      </w:r>
      <w:r w:rsidR="003435CB">
        <w:rPr>
          <w:noProof/>
        </w:rPr>
        <w:t>storage</w:t>
      </w:r>
      <w:r w:rsidR="00E45D51">
        <w:rPr>
          <w:noProof/>
        </w:rPr>
        <w:t xml:space="preserve"> in </w:t>
      </w:r>
      <w:r w:rsidR="003435CB">
        <w:rPr>
          <w:noProof/>
        </w:rPr>
        <w:t>soils</w:t>
      </w:r>
      <w:r>
        <w:rPr>
          <w:noProof/>
        </w:rPr>
        <w:t>.</w:t>
      </w:r>
      <w:r w:rsidRPr="00C528A8">
        <w:rPr>
          <w:noProof/>
        </w:rPr>
        <w:t xml:space="preserve">  </w:t>
      </w:r>
    </w:p>
    <w:p w14:paraId="2E861F09" w14:textId="77777777" w:rsidR="00850D11" w:rsidRPr="00C528A8" w:rsidRDefault="00850D11" w:rsidP="001615F5">
      <w:pPr>
        <w:pStyle w:val="CT-SOURCE"/>
        <w:keepNext w:val="0"/>
        <w:keepLines/>
        <w:rPr>
          <w:noProof/>
        </w:rPr>
      </w:pPr>
      <w:r w:rsidRPr="00C528A8">
        <w:rPr>
          <w:noProof/>
        </w:rPr>
        <w:t>Source: GLOBIOM, UNFCCC 2023</w:t>
      </w:r>
    </w:p>
    <w:p w14:paraId="0DFEC3E5" w14:textId="6D14A049" w:rsidR="00481E63" w:rsidRDefault="00481E63" w:rsidP="00481E63">
      <w:pPr>
        <w:rPr>
          <w:noProof/>
          <w:lang w:val="en-IE"/>
        </w:rPr>
      </w:pPr>
      <w:r>
        <w:rPr>
          <w:noProof/>
          <w:lang w:val="en-US"/>
        </w:rPr>
        <w:t xml:space="preserve">Taking a closer look at the individual climate scenarios, one can see the important role of CO2 </w:t>
      </w:r>
      <w:r w:rsidRPr="005B0908">
        <w:rPr>
          <w:noProof/>
          <w:lang w:val="en-US"/>
        </w:rPr>
        <w:t>fertilisation</w:t>
      </w:r>
      <w:r w:rsidRPr="005B0908">
        <w:rPr>
          <w:rFonts w:cs="Times New Roman"/>
          <w:noProof/>
          <w:lang w:val="en-IE"/>
        </w:rPr>
        <w:t> (</w:t>
      </w:r>
      <w:r w:rsidRPr="005B0908">
        <w:rPr>
          <w:rStyle w:val="FootnoteReference"/>
          <w:noProof/>
          <w:lang w:val="en-IE"/>
        </w:rPr>
        <w:footnoteReference w:id="200"/>
      </w:r>
      <w:r w:rsidRPr="005B0908">
        <w:rPr>
          <w:rFonts w:cs="Times New Roman"/>
          <w:noProof/>
          <w:lang w:val="en-IE"/>
        </w:rPr>
        <w:t>)</w:t>
      </w:r>
      <w:r w:rsidRPr="005B0908">
        <w:rPr>
          <w:noProof/>
          <w:lang w:val="en-IE"/>
        </w:rPr>
        <w:t xml:space="preserve"> </w:t>
      </w:r>
      <w:r w:rsidRPr="005B0908">
        <w:rPr>
          <w:noProof/>
          <w:lang w:val="en-US"/>
        </w:rPr>
        <w:t xml:space="preserve"> and its potential impact on the EU-wide LULUCF net </w:t>
      </w:r>
      <w:r w:rsidR="0095019B" w:rsidRPr="005B0908">
        <w:rPr>
          <w:noProof/>
          <w:lang w:val="en-US"/>
        </w:rPr>
        <w:t>removal</w:t>
      </w:r>
      <w:r w:rsidR="0095019B">
        <w:rPr>
          <w:noProof/>
          <w:lang w:val="en-US"/>
        </w:rPr>
        <w:t>s</w:t>
      </w:r>
      <w:r w:rsidR="0095019B" w:rsidRPr="005B0908">
        <w:rPr>
          <w:noProof/>
          <w:lang w:val="en-US"/>
        </w:rPr>
        <w:t>.</w:t>
      </w:r>
      <w:r w:rsidRPr="005B0908">
        <w:rPr>
          <w:noProof/>
          <w:lang w:val="en-US"/>
        </w:rPr>
        <w:t xml:space="preserve"> When considering no effect from CO2 fertilisation, all scenarios show a decline in the LULUCF net </w:t>
      </w:r>
      <w:r w:rsidR="0095019B" w:rsidRPr="005B0908">
        <w:rPr>
          <w:noProof/>
          <w:lang w:val="en-US"/>
        </w:rPr>
        <w:t>removal</w:t>
      </w:r>
      <w:r w:rsidR="0095019B">
        <w:rPr>
          <w:noProof/>
          <w:lang w:val="en-US"/>
        </w:rPr>
        <w:t>s</w:t>
      </w:r>
      <w:r w:rsidR="0095019B" w:rsidRPr="00947346">
        <w:rPr>
          <w:noProof/>
          <w:lang w:val="en-US"/>
        </w:rPr>
        <w:t>.</w:t>
      </w:r>
      <w:r w:rsidRPr="00947346">
        <w:rPr>
          <w:noProof/>
          <w:lang w:val="en-US"/>
        </w:rPr>
        <w:t xml:space="preserve"> When including assumptions on effective CO2 fertilisation, the scenarios show predominantly an increase in the </w:t>
      </w:r>
      <w:r>
        <w:rPr>
          <w:noProof/>
          <w:lang w:val="en-US"/>
        </w:rPr>
        <w:t xml:space="preserve">LULUCF </w:t>
      </w:r>
      <w:r w:rsidRPr="00947346">
        <w:rPr>
          <w:noProof/>
          <w:lang w:val="en-US"/>
        </w:rPr>
        <w:t xml:space="preserve">net removal in both RCPs. This is because </w:t>
      </w:r>
      <w:r w:rsidRPr="00947346">
        <w:rPr>
          <w:noProof/>
        </w:rPr>
        <w:t>the fertilization effects of increased atmospheric CO</w:t>
      </w:r>
      <w:r w:rsidRPr="00947346">
        <w:rPr>
          <w:noProof/>
          <w:vertAlign w:val="subscript"/>
        </w:rPr>
        <w:t>2</w:t>
      </w:r>
      <w:r w:rsidRPr="00947346">
        <w:rPr>
          <w:noProof/>
        </w:rPr>
        <w:t xml:space="preserve"> lead </w:t>
      </w:r>
      <w:r w:rsidR="00F54ADF">
        <w:rPr>
          <w:noProof/>
        </w:rPr>
        <w:t>on average</w:t>
      </w:r>
      <w:r w:rsidRPr="00947346">
        <w:rPr>
          <w:noProof/>
        </w:rPr>
        <w:t xml:space="preserve"> to an increase in forest productivity in future climate scenarios. Considering regional variations in climate change effects, the highest gains occurred in the boreal zone, especially central Sweden and Finland, as well as montane areas in central Europe. Mediterranean forests displayed decreases in standing stocks compared to the reference climate, due to the increase in aridity in the region, with lower precipitation and higher temperatures. Hence, </w:t>
      </w:r>
      <w:r w:rsidRPr="00947346">
        <w:rPr>
          <w:noProof/>
          <w:lang w:val="en-IE"/>
        </w:rPr>
        <w:t>it should be noted that the CO2 fertilisation effect varies between tree species and regions.</w:t>
      </w:r>
    </w:p>
    <w:p w14:paraId="05BCE1B4" w14:textId="77777777" w:rsidR="00D81872" w:rsidRPr="00680783" w:rsidRDefault="00D81872" w:rsidP="00CF23AB">
      <w:pPr>
        <w:pStyle w:val="Heading3"/>
        <w:rPr>
          <w:noProof/>
        </w:rPr>
      </w:pPr>
      <w:bookmarkStart w:id="529" w:name="_Toc148605626"/>
      <w:bookmarkStart w:id="530" w:name="_Toc157692072"/>
      <w:bookmarkStart w:id="531" w:name="_Hlk145280551"/>
      <w:bookmarkEnd w:id="526"/>
      <w:r>
        <w:rPr>
          <w:noProof/>
        </w:rPr>
        <w:t>Impacts from simulated extreme events on the LULUCF net removal</w:t>
      </w:r>
      <w:bookmarkEnd w:id="529"/>
      <w:bookmarkEnd w:id="530"/>
      <w:r>
        <w:rPr>
          <w:noProof/>
        </w:rPr>
        <w:t xml:space="preserve"> </w:t>
      </w:r>
    </w:p>
    <w:p w14:paraId="3A2B5FE7" w14:textId="3A373CB2" w:rsidR="00D81872" w:rsidRDefault="00D81872" w:rsidP="00CF23AB">
      <w:pPr>
        <w:rPr>
          <w:noProof/>
          <w:lang w:val="en-IE"/>
        </w:rPr>
      </w:pPr>
      <w:r>
        <w:rPr>
          <w:noProof/>
          <w:lang w:val="en-IE"/>
        </w:rPr>
        <w:t>European forests are vulnerable to a variety of disturbances such as windstorms, forest fires, pest attacks, and water scarcity. Climate change is closely linked to these disturbances in Europe, making them more frequent and more severe</w:t>
      </w:r>
      <w:r w:rsidRPr="00306FAC">
        <w:rPr>
          <w:noProof/>
          <w:lang w:val="en-IE"/>
        </w:rPr>
        <w:t> (</w:t>
      </w:r>
      <w:r>
        <w:rPr>
          <w:rStyle w:val="FootnoteReference"/>
          <w:noProof/>
          <w:lang w:val="en-IE"/>
        </w:rPr>
        <w:footnoteReference w:id="201"/>
      </w:r>
      <w:r>
        <w:rPr>
          <w:noProof/>
          <w:lang w:val="en-IE"/>
        </w:rPr>
        <w:t xml:space="preserve">). </w:t>
      </w:r>
      <w:r>
        <w:rPr>
          <w:noProof/>
        </w:rPr>
        <w:t>The hotter and drier conditions in the future due to climate change, the more drought and fire disturbances are expected to increase across Europe, especially in the Mediterranean areas</w:t>
      </w:r>
      <w:r w:rsidRPr="00C979C7">
        <w:rPr>
          <w:noProof/>
        </w:rPr>
        <w:t> (</w:t>
      </w:r>
      <w:r>
        <w:rPr>
          <w:rStyle w:val="FootnoteReference"/>
          <w:noProof/>
        </w:rPr>
        <w:footnoteReference w:id="202"/>
      </w:r>
      <w:r>
        <w:rPr>
          <w:noProof/>
        </w:rPr>
        <w:t xml:space="preserve">). </w:t>
      </w:r>
      <w:r>
        <w:rPr>
          <w:noProof/>
          <w:lang w:val="en-IE"/>
        </w:rPr>
        <w:t xml:space="preserve">The last decades brought a variety of extreme events with 2022 showing the second largest wildfire burnt area on record in Europe with a total of 900 000 ha burnt across EU countries </w:t>
      </w:r>
      <w:r w:rsidRPr="0018111D">
        <w:rPr>
          <w:noProof/>
          <w:lang w:val="en-IE"/>
        </w:rPr>
        <w:t>(</w:t>
      </w:r>
      <w:r>
        <w:rPr>
          <w:rStyle w:val="FootnoteReference"/>
          <w:noProof/>
          <w:lang w:val="en-IE"/>
        </w:rPr>
        <w:footnoteReference w:id="203"/>
      </w:r>
      <w:r>
        <w:rPr>
          <w:noProof/>
          <w:lang w:val="en-IE"/>
        </w:rPr>
        <w:t xml:space="preserve">) and unprecedented droughts since 2018 leading to large outbreaks of bark beetles in Northern and Central Europe. </w:t>
      </w:r>
      <w:r w:rsidR="0095019B">
        <w:rPr>
          <w:noProof/>
          <w:lang w:val="en-IE"/>
        </w:rPr>
        <w:t>Importantly, different regions within the EU are not expected to be affected similarly by the same type of disturbances. G</w:t>
      </w:r>
      <w:r w:rsidR="0095019B" w:rsidRPr="00CC70B3">
        <w:rPr>
          <w:noProof/>
          <w:lang w:val="en-IE"/>
        </w:rPr>
        <w:t xml:space="preserve">eneral hotspots of damage </w:t>
      </w:r>
      <w:r w:rsidR="0095019B">
        <w:rPr>
          <w:noProof/>
          <w:lang w:val="en-IE"/>
        </w:rPr>
        <w:t>may be located</w:t>
      </w:r>
      <w:r w:rsidR="0095019B" w:rsidRPr="00CC70B3">
        <w:rPr>
          <w:noProof/>
          <w:lang w:val="en-IE"/>
        </w:rPr>
        <w:t xml:space="preserve"> in Scandinavia and mountain forests of Central Europe</w:t>
      </w:r>
      <w:r w:rsidR="0095019B">
        <w:rPr>
          <w:noProof/>
          <w:lang w:val="en-IE"/>
        </w:rPr>
        <w:t xml:space="preserve">, which are </w:t>
      </w:r>
      <w:r w:rsidR="0095019B" w:rsidRPr="00965FE5">
        <w:rPr>
          <w:noProof/>
        </w:rPr>
        <w:t>particularly exposed to the impacts of winter storms, leading to higher risk of wind damage in forests</w:t>
      </w:r>
      <w:r w:rsidR="0095019B" w:rsidRPr="003C236A">
        <w:rPr>
          <w:noProof/>
        </w:rPr>
        <w:t> (</w:t>
      </w:r>
      <w:r w:rsidR="0095019B">
        <w:rPr>
          <w:rStyle w:val="FootnoteReference"/>
          <w:noProof/>
        </w:rPr>
        <w:footnoteReference w:id="204"/>
      </w:r>
      <w:r w:rsidR="0095019B">
        <w:rPr>
          <w:noProof/>
        </w:rPr>
        <w:t xml:space="preserve">). Modelling </w:t>
      </w:r>
      <w:r w:rsidR="0095019B" w:rsidRPr="00CC70B3">
        <w:rPr>
          <w:noProof/>
          <w:lang w:val="en-IE"/>
        </w:rPr>
        <w:t>results also point to</w:t>
      </w:r>
      <w:r w:rsidR="0095019B">
        <w:rPr>
          <w:noProof/>
          <w:lang w:val="en-IE"/>
        </w:rPr>
        <w:t xml:space="preserve"> future</w:t>
      </w:r>
      <w:r w:rsidR="0095019B" w:rsidRPr="00CC70B3">
        <w:rPr>
          <w:noProof/>
          <w:lang w:val="en-IE"/>
        </w:rPr>
        <w:t xml:space="preserve"> damage hotspots in Portugal</w:t>
      </w:r>
      <w:r w:rsidR="0095019B">
        <w:rPr>
          <w:noProof/>
          <w:lang w:val="en-IE"/>
        </w:rPr>
        <w:t>,</w:t>
      </w:r>
      <w:r w:rsidR="0095019B" w:rsidRPr="00CC70B3">
        <w:rPr>
          <w:noProof/>
          <w:lang w:val="en-IE"/>
        </w:rPr>
        <w:t xml:space="preserve"> Spain,</w:t>
      </w:r>
      <w:r w:rsidR="0095019B">
        <w:rPr>
          <w:noProof/>
          <w:lang w:val="en-IE"/>
        </w:rPr>
        <w:t xml:space="preserve"> southern France and Greece</w:t>
      </w:r>
      <w:r w:rsidR="0095019B" w:rsidRPr="00CC70B3">
        <w:rPr>
          <w:noProof/>
          <w:lang w:val="en-IE"/>
        </w:rPr>
        <w:t xml:space="preserve"> corresponding to regions with high wildfire activity in recent years.</w:t>
      </w:r>
      <w:r w:rsidR="0095019B">
        <w:rPr>
          <w:noProof/>
          <w:lang w:val="en-IE"/>
        </w:rPr>
        <w:t xml:space="preserve"> </w:t>
      </w:r>
      <w:r w:rsidR="0095019B" w:rsidRPr="008F1DD9">
        <w:rPr>
          <w:noProof/>
          <w:lang w:val="en-IE"/>
        </w:rPr>
        <w:t>Annex 7 provides a more in-depth analysis on how disturbances affect different regions</w:t>
      </w:r>
      <w:r w:rsidR="0095019B">
        <w:rPr>
          <w:noProof/>
          <w:lang w:val="en-IE"/>
        </w:rPr>
        <w:t xml:space="preserve">.  </w:t>
      </w:r>
    </w:p>
    <w:p w14:paraId="2D0B0384" w14:textId="65110F44" w:rsidR="00D81872" w:rsidRDefault="00D81872" w:rsidP="00CF23AB">
      <w:pPr>
        <w:rPr>
          <w:noProof/>
          <w:lang w:val="en-IE"/>
        </w:rPr>
      </w:pPr>
      <w:r>
        <w:rPr>
          <w:noProof/>
        </w:rPr>
        <w:t xml:space="preserve">While climate change impacts including the increase of natural disturbances unfold their detrimental effects evenly in the mid- and long-term, extreme wheather events have an uneven and short-term impact on net removals from the LULUCF sector in general and on the forest sink in particular. </w:t>
      </w:r>
      <w:r>
        <w:rPr>
          <w:noProof/>
          <w:lang w:val="en-IE"/>
        </w:rPr>
        <w:t xml:space="preserve">In other words, these exceptional events add an additional layer of uncertainty on </w:t>
      </w:r>
      <w:r w:rsidR="00F669EF">
        <w:rPr>
          <w:noProof/>
          <w:lang w:val="en-IE"/>
        </w:rPr>
        <w:t>the evolution of</w:t>
      </w:r>
      <w:r>
        <w:rPr>
          <w:noProof/>
          <w:lang w:val="en-IE"/>
        </w:rPr>
        <w:t xml:space="preserve"> forest stocks particularly for individual member states.</w:t>
      </w:r>
    </w:p>
    <w:p w14:paraId="2FC63A37" w14:textId="3BCFD5EE" w:rsidR="0095019B" w:rsidRDefault="0095019B" w:rsidP="0095019B">
      <w:pPr>
        <w:rPr>
          <w:noProof/>
          <w:lang w:val="en-IE"/>
        </w:rPr>
      </w:pPr>
      <w:r>
        <w:rPr>
          <w:noProof/>
          <w:lang w:val="en-IE"/>
        </w:rPr>
        <w:t xml:space="preserve">To illustrate the potential impacts for the LULUCF net removal, the year 2035 is simulated as a year with exceptional weather events resulting in a combination of fire, wind and biotic </w:t>
      </w:r>
      <w:r w:rsidRPr="005352CD">
        <w:rPr>
          <w:noProof/>
          <w:lang w:val="en-IE"/>
        </w:rPr>
        <w:t xml:space="preserve">damages that occur </w:t>
      </w:r>
      <w:r>
        <w:rPr>
          <w:noProof/>
          <w:lang w:val="en-IE"/>
        </w:rPr>
        <w:t xml:space="preserve">across </w:t>
      </w:r>
      <w:r w:rsidRPr="005352CD">
        <w:rPr>
          <w:noProof/>
          <w:lang w:val="en-IE"/>
        </w:rPr>
        <w:t>different regions across the EU</w:t>
      </w:r>
      <w:r>
        <w:rPr>
          <w:noProof/>
          <w:lang w:val="en-IE"/>
        </w:rPr>
        <w:t xml:space="preserve"> (</w:t>
      </w:r>
      <w:r w:rsidRPr="0009775F">
        <w:rPr>
          <w:noProof/>
          <w:lang w:val="en-IE"/>
        </w:rPr>
        <w:t>see</w:t>
      </w:r>
      <w:r>
        <w:rPr>
          <w:noProof/>
          <w:lang w:val="en-IE"/>
        </w:rPr>
        <w:t xml:space="preserve"> </w:t>
      </w:r>
      <w:r w:rsidR="00A61D13">
        <w:rPr>
          <w:noProof/>
          <w:lang w:val="en-IE"/>
        </w:rPr>
        <w:fldChar w:fldCharType="begin"/>
      </w:r>
      <w:r w:rsidR="00A61D13">
        <w:rPr>
          <w:noProof/>
          <w:lang w:val="en-IE"/>
        </w:rPr>
        <w:instrText xml:space="preserve"> REF _Ref145605086 \h </w:instrText>
      </w:r>
      <w:r w:rsidR="00A61D13">
        <w:rPr>
          <w:noProof/>
          <w:lang w:val="en-IE"/>
        </w:rPr>
      </w:r>
      <w:r w:rsidR="00A61D13">
        <w:rPr>
          <w:noProof/>
          <w:lang w:val="en-IE"/>
        </w:rPr>
        <w:fldChar w:fldCharType="separate"/>
      </w:r>
      <w:r w:rsidR="00170A3C">
        <w:rPr>
          <w:noProof/>
        </w:rPr>
        <w:t>Figure 97</w:t>
      </w:r>
      <w:r w:rsidR="00A61D13">
        <w:rPr>
          <w:noProof/>
          <w:lang w:val="en-IE"/>
        </w:rPr>
        <w:fldChar w:fldCharType="end"/>
      </w:r>
      <w:r>
        <w:rPr>
          <w:noProof/>
          <w:lang w:val="en-IE"/>
        </w:rPr>
        <w:t>)</w:t>
      </w:r>
      <w:r w:rsidRPr="005352CD">
        <w:rPr>
          <w:noProof/>
          <w:lang w:val="en-IE"/>
        </w:rPr>
        <w:t xml:space="preserve">. </w:t>
      </w:r>
    </w:p>
    <w:p w14:paraId="341CD5D1" w14:textId="41364AB4" w:rsidR="0095019B" w:rsidRDefault="0095019B" w:rsidP="0095019B">
      <w:pPr>
        <w:pStyle w:val="Caption"/>
        <w:rPr>
          <w:noProof/>
        </w:rPr>
      </w:pPr>
      <w:bookmarkStart w:id="532" w:name="_Ref145490466"/>
      <w:bookmarkStart w:id="533" w:name="_Ref145605086"/>
      <w:bookmarkStart w:id="534" w:name="_Toc157679845"/>
      <w:r>
        <w:rPr>
          <w:noProof/>
        </w:rPr>
        <w:t xml:space="preserve">Figure </w:t>
      </w:r>
      <w:bookmarkEnd w:id="532"/>
      <w:r w:rsidR="00F2742D">
        <w:rPr>
          <w:noProof/>
        </w:rPr>
        <w:fldChar w:fldCharType="begin"/>
      </w:r>
      <w:r w:rsidR="00F2742D">
        <w:rPr>
          <w:noProof/>
        </w:rPr>
        <w:instrText xml:space="preserve"> SEQ Figure \* ARABIC </w:instrText>
      </w:r>
      <w:r w:rsidR="00F2742D">
        <w:rPr>
          <w:noProof/>
        </w:rPr>
        <w:fldChar w:fldCharType="separate"/>
      </w:r>
      <w:r w:rsidR="00170A3C">
        <w:rPr>
          <w:noProof/>
        </w:rPr>
        <w:t>97</w:t>
      </w:r>
      <w:r w:rsidR="00F2742D">
        <w:rPr>
          <w:noProof/>
        </w:rPr>
        <w:fldChar w:fldCharType="end"/>
      </w:r>
      <w:bookmarkEnd w:id="533"/>
      <w:r>
        <w:rPr>
          <w:noProof/>
        </w:rPr>
        <w:t>: Area coverage of simulated series of extreme events in 2035</w:t>
      </w:r>
      <w:bookmarkEnd w:id="534"/>
    </w:p>
    <w:p w14:paraId="5143808D" w14:textId="77777777" w:rsidR="0095019B" w:rsidRDefault="0095019B" w:rsidP="0095019B">
      <w:pPr>
        <w:pStyle w:val="CT-SOURCE"/>
        <w:rPr>
          <w:noProof/>
        </w:rPr>
      </w:pPr>
      <w:r w:rsidRPr="00F95930">
        <w:rPr>
          <w:noProof/>
          <w:lang w:val="en-GB" w:eastAsia="en-GB"/>
        </w:rPr>
        <w:drawing>
          <wp:inline distT="0" distB="0" distL="0" distR="0" wp14:anchorId="3D6C2418" wp14:editId="78B1850E">
            <wp:extent cx="5398445" cy="3044770"/>
            <wp:effectExtent l="0" t="0" r="0" b="381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7">
                      <a:extLst>
                        <a:ext uri="{28A0092B-C50C-407E-A947-70E740481C1C}">
                          <a14:useLocalDpi xmlns:a14="http://schemas.microsoft.com/office/drawing/2010/main" val="0"/>
                        </a:ext>
                      </a:extLst>
                    </a:blip>
                    <a:srcRect t="5613" b="14780"/>
                    <a:stretch/>
                  </pic:blipFill>
                  <pic:spPr bwMode="auto">
                    <a:xfrm>
                      <a:off x="0" y="0"/>
                      <a:ext cx="5400000" cy="3045647"/>
                    </a:xfrm>
                    <a:prstGeom prst="rect">
                      <a:avLst/>
                    </a:prstGeom>
                    <a:noFill/>
                    <a:ln>
                      <a:noFill/>
                    </a:ln>
                    <a:extLst>
                      <a:ext uri="{53640926-AAD7-44D8-BBD7-CCE9431645EC}">
                        <a14:shadowObscured xmlns:a14="http://schemas.microsoft.com/office/drawing/2010/main"/>
                      </a:ext>
                    </a:extLst>
                  </pic:spPr>
                </pic:pic>
              </a:graphicData>
            </a:graphic>
          </wp:inline>
        </w:drawing>
      </w:r>
    </w:p>
    <w:p w14:paraId="5260063A" w14:textId="317475E8" w:rsidR="00D81872" w:rsidRDefault="00D81872" w:rsidP="00CF23AB">
      <w:pPr>
        <w:pStyle w:val="CT-NOTE"/>
        <w:rPr>
          <w:noProof/>
        </w:rPr>
      </w:pPr>
      <w:r>
        <w:rPr>
          <w:noProof/>
        </w:rPr>
        <w:t>Note: The graph shows the distribution of the different disturbance agents</w:t>
      </w:r>
      <w:bookmarkStart w:id="535" w:name="_Hlk146267298"/>
      <w:r>
        <w:rPr>
          <w:noProof/>
        </w:rPr>
        <w:t xml:space="preserve"> </w:t>
      </w:r>
      <w:r w:rsidR="00A06942">
        <w:rPr>
          <w:noProof/>
        </w:rPr>
        <w:t xml:space="preserve">(extreme fire, extreme wind and extreme biotic disturbance) </w:t>
      </w:r>
      <w:bookmarkEnd w:id="535"/>
      <w:r>
        <w:rPr>
          <w:noProof/>
        </w:rPr>
        <w:t>across the EU from the simulated extreme events</w:t>
      </w:r>
      <w:r w:rsidR="0095019B">
        <w:rPr>
          <w:noProof/>
        </w:rPr>
        <w:t>.</w:t>
      </w:r>
      <w:r>
        <w:rPr>
          <w:noProof/>
        </w:rPr>
        <w:t xml:space="preserve"> </w:t>
      </w:r>
    </w:p>
    <w:p w14:paraId="48DBC785" w14:textId="77777777" w:rsidR="00D81872" w:rsidRDefault="00D81872" w:rsidP="00CF23AB">
      <w:pPr>
        <w:pStyle w:val="CT-SOURCE"/>
        <w:rPr>
          <w:noProof/>
        </w:rPr>
      </w:pPr>
      <w:r>
        <w:rPr>
          <w:noProof/>
        </w:rPr>
        <w:t>Source: GLOBIOM</w:t>
      </w:r>
    </w:p>
    <w:p w14:paraId="32821B19" w14:textId="22CD7E05" w:rsidR="00F566BF" w:rsidRDefault="00F566BF" w:rsidP="00F566BF">
      <w:pPr>
        <w:rPr>
          <w:noProof/>
          <w:lang w:val="en-IE"/>
        </w:rPr>
      </w:pPr>
      <w:r w:rsidRPr="005352CD">
        <w:rPr>
          <w:noProof/>
          <w:lang w:val="en-IE"/>
        </w:rPr>
        <w:t xml:space="preserve">To model the damage on forests, historically the worst wind, fire, and biotic events </w:t>
      </w:r>
      <w:r w:rsidR="00463686">
        <w:rPr>
          <w:noProof/>
          <w:lang w:val="en-IE"/>
        </w:rPr>
        <w:t>over</w:t>
      </w:r>
      <w:r w:rsidRPr="005352CD">
        <w:rPr>
          <w:noProof/>
          <w:lang w:val="en-IE"/>
        </w:rPr>
        <w:t xml:space="preserve"> </w:t>
      </w:r>
      <w:r w:rsidR="00463686">
        <w:rPr>
          <w:noProof/>
          <w:lang w:val="en-IE"/>
        </w:rPr>
        <w:t>the period</w:t>
      </w:r>
      <w:r w:rsidRPr="005352CD">
        <w:rPr>
          <w:noProof/>
          <w:lang w:val="en-IE"/>
        </w:rPr>
        <w:t xml:space="preserve"> </w:t>
      </w:r>
      <w:r w:rsidR="00D81872">
        <w:rPr>
          <w:noProof/>
          <w:lang w:val="en-IE"/>
        </w:rPr>
        <w:t>1990</w:t>
      </w:r>
      <w:r w:rsidR="00463686">
        <w:rPr>
          <w:noProof/>
          <w:lang w:val="en-IE"/>
        </w:rPr>
        <w:t>-</w:t>
      </w:r>
      <w:r w:rsidR="00D81872">
        <w:rPr>
          <w:noProof/>
          <w:lang w:val="en-IE"/>
        </w:rPr>
        <w:t>2020 for each disturbance agent</w:t>
      </w:r>
      <w:r w:rsidRPr="005352CD">
        <w:rPr>
          <w:noProof/>
          <w:lang w:val="en-IE"/>
        </w:rPr>
        <w:t xml:space="preserve"> were selected</w:t>
      </w:r>
      <w:r w:rsidR="00D81872" w:rsidRPr="009C6A66">
        <w:rPr>
          <w:noProof/>
          <w:lang w:val="en-IE"/>
        </w:rPr>
        <w:t> (</w:t>
      </w:r>
      <w:r w:rsidR="00D81872">
        <w:rPr>
          <w:rStyle w:val="FootnoteReference"/>
          <w:noProof/>
          <w:lang w:val="en-IE"/>
        </w:rPr>
        <w:footnoteReference w:id="205"/>
      </w:r>
      <w:r w:rsidR="00D81872">
        <w:rPr>
          <w:noProof/>
          <w:lang w:val="en-IE"/>
        </w:rPr>
        <w:t>)</w:t>
      </w:r>
      <w:r w:rsidR="00D81872" w:rsidRPr="005352CD">
        <w:rPr>
          <w:noProof/>
          <w:lang w:val="en-IE"/>
        </w:rPr>
        <w:t>. The</w:t>
      </w:r>
      <w:r w:rsidR="00D81872">
        <w:rPr>
          <w:noProof/>
          <w:lang w:val="en-IE"/>
        </w:rPr>
        <w:t xml:space="preserve"> approximate</w:t>
      </w:r>
      <w:r w:rsidRPr="005352CD">
        <w:rPr>
          <w:noProof/>
          <w:lang w:val="en-IE"/>
        </w:rPr>
        <w:t xml:space="preserve"> damage from these events</w:t>
      </w:r>
      <w:r w:rsidR="00D81872" w:rsidRPr="00A74843">
        <w:rPr>
          <w:noProof/>
          <w:lang w:val="en-IE"/>
        </w:rPr>
        <w:t> (</w:t>
      </w:r>
      <w:r w:rsidR="00D81872">
        <w:rPr>
          <w:rStyle w:val="FootnoteReference"/>
          <w:noProof/>
          <w:lang w:val="en-IE"/>
        </w:rPr>
        <w:footnoteReference w:id="206"/>
      </w:r>
      <w:r w:rsidR="00D81872">
        <w:rPr>
          <w:noProof/>
          <w:lang w:val="en-IE"/>
        </w:rPr>
        <w:t>)</w:t>
      </w:r>
      <w:r w:rsidRPr="005352CD">
        <w:rPr>
          <w:noProof/>
          <w:lang w:val="en-IE"/>
        </w:rPr>
        <w:t xml:space="preserve"> </w:t>
      </w:r>
      <w:r w:rsidR="0095019B">
        <w:rPr>
          <w:noProof/>
          <w:lang w:val="en-IE"/>
        </w:rPr>
        <w:t xml:space="preserve">is simulated to affect </w:t>
      </w:r>
      <w:r w:rsidRPr="005352CD">
        <w:rPr>
          <w:noProof/>
          <w:lang w:val="en-IE"/>
        </w:rPr>
        <w:t>the most vulnerable forest stands</w:t>
      </w:r>
      <w:r w:rsidR="0095019B">
        <w:rPr>
          <w:noProof/>
          <w:lang w:val="en-IE"/>
        </w:rPr>
        <w:t xml:space="preserve"> across the EU (see </w:t>
      </w:r>
      <w:r w:rsidR="0091315C">
        <w:rPr>
          <w:noProof/>
          <w:lang w:val="en-IE"/>
        </w:rPr>
        <w:fldChar w:fldCharType="begin"/>
      </w:r>
      <w:r w:rsidR="0091315C">
        <w:rPr>
          <w:noProof/>
          <w:lang w:val="en-IE"/>
        </w:rPr>
        <w:instrText xml:space="preserve"> REF _Ref145605086 \h </w:instrText>
      </w:r>
      <w:r w:rsidR="0091315C">
        <w:rPr>
          <w:noProof/>
          <w:lang w:val="en-IE"/>
        </w:rPr>
      </w:r>
      <w:r w:rsidR="0091315C">
        <w:rPr>
          <w:noProof/>
          <w:lang w:val="en-IE"/>
        </w:rPr>
        <w:fldChar w:fldCharType="separate"/>
      </w:r>
      <w:r w:rsidR="00170A3C">
        <w:rPr>
          <w:noProof/>
        </w:rPr>
        <w:t>Figure 97</w:t>
      </w:r>
      <w:r w:rsidR="0091315C">
        <w:rPr>
          <w:noProof/>
          <w:lang w:val="en-IE"/>
        </w:rPr>
        <w:fldChar w:fldCharType="end"/>
      </w:r>
      <w:r w:rsidR="0095019B">
        <w:rPr>
          <w:noProof/>
          <w:lang w:val="en-IE"/>
        </w:rPr>
        <w:t>)</w:t>
      </w:r>
      <w:r w:rsidR="0095019B" w:rsidRPr="005352CD">
        <w:rPr>
          <w:noProof/>
          <w:lang w:val="en-IE"/>
        </w:rPr>
        <w:t>.</w:t>
      </w:r>
      <w:r w:rsidR="0095019B">
        <w:rPr>
          <w:noProof/>
          <w:lang w:val="en-IE"/>
        </w:rPr>
        <w:t xml:space="preserve"> In the simulation the Mediterranean region is strongly affected by extreme fires, while large parts of central Europe are affected by extreme wind and biotic events causing in total more than 300</w:t>
      </w:r>
      <w:r w:rsidR="00997853">
        <w:rPr>
          <w:noProof/>
          <w:lang w:val="en-IE"/>
        </w:rPr>
        <w:t> </w:t>
      </w:r>
      <w:r w:rsidR="0095019B">
        <w:rPr>
          <w:noProof/>
          <w:lang w:val="en-IE"/>
        </w:rPr>
        <w:t>000</w:t>
      </w:r>
      <w:r w:rsidR="00997853">
        <w:rPr>
          <w:noProof/>
          <w:lang w:val="en-IE"/>
        </w:rPr>
        <w:t> </w:t>
      </w:r>
      <w:r w:rsidR="0095019B">
        <w:rPr>
          <w:noProof/>
          <w:lang w:val="en-IE"/>
        </w:rPr>
        <w:t>000 m³ of forest damage.</w:t>
      </w:r>
      <w:r w:rsidRPr="005352CD">
        <w:rPr>
          <w:noProof/>
          <w:lang w:val="en-IE"/>
        </w:rPr>
        <w:t xml:space="preserve"> It is important to note, that t</w:t>
      </w:r>
      <w:r w:rsidRPr="005352CD">
        <w:rPr>
          <w:noProof/>
        </w:rPr>
        <w:t xml:space="preserve">he model assumes that </w:t>
      </w:r>
      <w:r w:rsidRPr="005352CD">
        <w:rPr>
          <w:noProof/>
          <w:lang w:val="en-US"/>
        </w:rPr>
        <w:t xml:space="preserve">salvage logging and replanting of the damaged trees occur the same year as the disturbance and that they predominantly affect more vulnerable older and larger </w:t>
      </w:r>
      <w:r w:rsidR="00D81872" w:rsidRPr="005352CD">
        <w:rPr>
          <w:noProof/>
          <w:lang w:val="en-US"/>
        </w:rPr>
        <w:t>tre</w:t>
      </w:r>
      <w:r w:rsidR="00D81872">
        <w:rPr>
          <w:noProof/>
          <w:lang w:val="en-US"/>
        </w:rPr>
        <w:t>e</w:t>
      </w:r>
      <w:r w:rsidR="00D81872" w:rsidRPr="005352CD">
        <w:rPr>
          <w:noProof/>
          <w:lang w:val="en-US"/>
        </w:rPr>
        <w:t>s</w:t>
      </w:r>
      <w:r w:rsidRPr="005352CD">
        <w:rPr>
          <w:noProof/>
          <w:lang w:val="en-US"/>
        </w:rPr>
        <w:t xml:space="preserve">, which are then </w:t>
      </w:r>
      <w:r w:rsidR="00D81872">
        <w:rPr>
          <w:noProof/>
          <w:lang w:val="en-US"/>
        </w:rPr>
        <w:t>salvage logged to the extent possible</w:t>
      </w:r>
      <w:r w:rsidR="00D81872" w:rsidRPr="005352CD">
        <w:rPr>
          <w:noProof/>
          <w:lang w:val="en-US"/>
        </w:rPr>
        <w:t xml:space="preserve"> (</w:t>
      </w:r>
      <w:r w:rsidR="00D81872" w:rsidRPr="005352CD">
        <w:rPr>
          <w:rStyle w:val="FootnoteReference"/>
          <w:noProof/>
          <w:lang w:val="en-US"/>
        </w:rPr>
        <w:footnoteReference w:id="207"/>
      </w:r>
      <w:r w:rsidR="00D81872" w:rsidRPr="005352CD">
        <w:rPr>
          <w:noProof/>
          <w:lang w:val="en-US"/>
        </w:rPr>
        <w:t xml:space="preserve">). </w:t>
      </w:r>
      <w:r w:rsidR="00D81872">
        <w:rPr>
          <w:noProof/>
          <w:lang w:val="en-US"/>
        </w:rPr>
        <w:t>Consequently</w:t>
      </w:r>
      <w:r w:rsidRPr="005352CD">
        <w:rPr>
          <w:noProof/>
          <w:lang w:val="en-US"/>
        </w:rPr>
        <w:t xml:space="preserve">, a partial compensation of the disturbance-induced forest loss through reduced harvesting rates is assumed. </w:t>
      </w:r>
      <w:r w:rsidR="00D81872">
        <w:rPr>
          <w:noProof/>
          <w:lang w:val="en-US"/>
        </w:rPr>
        <w:t xml:space="preserve">Thus, the simulation entails the assumption of an ideal environment for the recovery of the carbon pool and the LULUCF </w:t>
      </w:r>
      <w:r w:rsidR="00701B29">
        <w:rPr>
          <w:noProof/>
          <w:lang w:val="en-US"/>
        </w:rPr>
        <w:t>net removals</w:t>
      </w:r>
      <w:r w:rsidR="00D81872">
        <w:rPr>
          <w:noProof/>
          <w:lang w:val="en-US"/>
        </w:rPr>
        <w:t>. If these conditions are not met in a real event, the recovery of the LULUCF net removal</w:t>
      </w:r>
      <w:r w:rsidR="00701B29">
        <w:rPr>
          <w:noProof/>
          <w:lang w:val="en-US"/>
        </w:rPr>
        <w:t>s</w:t>
      </w:r>
      <w:r w:rsidR="00D81872">
        <w:rPr>
          <w:noProof/>
          <w:lang w:val="en-US"/>
        </w:rPr>
        <w:t xml:space="preserve"> might significantly impeded.</w:t>
      </w:r>
      <w:r w:rsidR="00D81872" w:rsidRPr="005352CD">
        <w:rPr>
          <w:noProof/>
          <w:lang w:val="en-US"/>
        </w:rPr>
        <w:t xml:space="preserve"> </w:t>
      </w:r>
      <w:r>
        <w:rPr>
          <w:noProof/>
        </w:rPr>
        <w:t xml:space="preserve">The extreme events </w:t>
      </w:r>
      <w:r w:rsidRPr="00226903">
        <w:rPr>
          <w:noProof/>
        </w:rPr>
        <w:t xml:space="preserve">will cascade not only to the European forest </w:t>
      </w:r>
      <w:r>
        <w:rPr>
          <w:noProof/>
        </w:rPr>
        <w:t>carbon pool</w:t>
      </w:r>
      <w:r w:rsidRPr="00226903">
        <w:rPr>
          <w:noProof/>
        </w:rPr>
        <w:t xml:space="preserve">, but also to wood </w:t>
      </w:r>
      <w:r>
        <w:rPr>
          <w:noProof/>
        </w:rPr>
        <w:t>processing industry and</w:t>
      </w:r>
      <w:r w:rsidRPr="00226903">
        <w:rPr>
          <w:noProof/>
        </w:rPr>
        <w:t xml:space="preserve"> markets, via changes in wood supply and market shocks </w:t>
      </w:r>
      <w:r w:rsidRPr="000C694B">
        <w:rPr>
          <w:noProof/>
        </w:rPr>
        <w:t>(</w:t>
      </w:r>
      <w:r>
        <w:rPr>
          <w:rStyle w:val="FootnoteReference"/>
          <w:noProof/>
        </w:rPr>
        <w:footnoteReference w:id="208"/>
      </w:r>
      <w:r>
        <w:rPr>
          <w:noProof/>
        </w:rPr>
        <w:t>)</w:t>
      </w:r>
      <w:r w:rsidRPr="00226903">
        <w:rPr>
          <w:noProof/>
        </w:rPr>
        <w:t>.</w:t>
      </w:r>
    </w:p>
    <w:p w14:paraId="220D4B07" w14:textId="12A6E5FF" w:rsidR="00463686" w:rsidRDefault="00463686" w:rsidP="00463686">
      <w:pPr>
        <w:pStyle w:val="Caption"/>
        <w:rPr>
          <w:noProof/>
        </w:rPr>
      </w:pPr>
      <w:bookmarkStart w:id="536" w:name="_Ref146896746"/>
      <w:bookmarkStart w:id="537" w:name="_Toc157679846"/>
      <w:r>
        <w:rPr>
          <w:noProof/>
        </w:rPr>
        <w:t xml:space="preserve">Figure </w:t>
      </w:r>
      <w:r>
        <w:rPr>
          <w:noProof/>
        </w:rPr>
        <w:fldChar w:fldCharType="begin"/>
      </w:r>
      <w:r>
        <w:rPr>
          <w:noProof/>
        </w:rPr>
        <w:instrText>SEQ Figure \* ARABIC</w:instrText>
      </w:r>
      <w:r>
        <w:rPr>
          <w:noProof/>
        </w:rPr>
        <w:fldChar w:fldCharType="separate"/>
      </w:r>
      <w:r w:rsidR="00170A3C">
        <w:rPr>
          <w:noProof/>
        </w:rPr>
        <w:t>98</w:t>
      </w:r>
      <w:r>
        <w:rPr>
          <w:noProof/>
        </w:rPr>
        <w:fldChar w:fldCharType="end"/>
      </w:r>
      <w:bookmarkEnd w:id="536"/>
      <w:r>
        <w:rPr>
          <w:noProof/>
        </w:rPr>
        <w:t>:</w:t>
      </w:r>
      <w:r w:rsidRPr="005B0908">
        <w:rPr>
          <w:noProof/>
        </w:rPr>
        <w:t xml:space="preserve"> </w:t>
      </w:r>
      <w:r>
        <w:rPr>
          <w:noProof/>
        </w:rPr>
        <w:t>Estimated climate change impacts and extreme events on LULUCF net removal</w:t>
      </w:r>
      <w:bookmarkEnd w:id="537"/>
      <w:r>
        <w:rPr>
          <w:noProof/>
        </w:rPr>
        <w:t xml:space="preserve"> </w:t>
      </w:r>
    </w:p>
    <w:p w14:paraId="73040C47" w14:textId="7B590A95" w:rsidR="00463686" w:rsidRPr="00E374FA" w:rsidRDefault="00E374FA" w:rsidP="00E374FA">
      <w:pPr>
        <w:rPr>
          <w:noProof/>
        </w:rPr>
      </w:pPr>
      <w:r w:rsidRPr="00E374FA">
        <w:rPr>
          <w:noProof/>
          <w:lang w:eastAsia="en-GB"/>
        </w:rPr>
        <w:drawing>
          <wp:inline distT="0" distB="0" distL="0" distR="0" wp14:anchorId="29A64643" wp14:editId="3B979BFF">
            <wp:extent cx="5404312" cy="3179928"/>
            <wp:effectExtent l="0" t="0" r="6350" b="190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8" cstate="print">
                      <a:extLst>
                        <a:ext uri="{28A0092B-C50C-407E-A947-70E740481C1C}">
                          <a14:useLocalDpi xmlns:a14="http://schemas.microsoft.com/office/drawing/2010/main" val="0"/>
                        </a:ext>
                      </a:extLst>
                    </a:blip>
                    <a:srcRect t="8364" b="3047"/>
                    <a:stretch/>
                  </pic:blipFill>
                  <pic:spPr bwMode="auto">
                    <a:xfrm>
                      <a:off x="0" y="0"/>
                      <a:ext cx="5404485" cy="3180030"/>
                    </a:xfrm>
                    <a:prstGeom prst="rect">
                      <a:avLst/>
                    </a:prstGeom>
                    <a:noFill/>
                    <a:ln>
                      <a:noFill/>
                    </a:ln>
                    <a:extLst>
                      <a:ext uri="{53640926-AAD7-44D8-BBD7-CCE9431645EC}">
                        <a14:shadowObscured xmlns:a14="http://schemas.microsoft.com/office/drawing/2010/main"/>
                      </a:ext>
                    </a:extLst>
                  </pic:spPr>
                </pic:pic>
              </a:graphicData>
            </a:graphic>
          </wp:inline>
        </w:drawing>
      </w:r>
    </w:p>
    <w:p w14:paraId="7D57FD98" w14:textId="77777777" w:rsidR="00463686" w:rsidRPr="00C528A8" w:rsidRDefault="00463686" w:rsidP="00463686">
      <w:pPr>
        <w:pStyle w:val="CT-NOTE"/>
        <w:rPr>
          <w:noProof/>
        </w:rPr>
      </w:pPr>
      <w:r w:rsidRPr="00C528A8">
        <w:rPr>
          <w:noProof/>
        </w:rPr>
        <w:t xml:space="preserve">Note: The graph displays a model-based projection of the </w:t>
      </w:r>
      <w:r>
        <w:rPr>
          <w:noProof/>
        </w:rPr>
        <w:t xml:space="preserve">range </w:t>
      </w:r>
      <w:r w:rsidRPr="00C528A8">
        <w:rPr>
          <w:noProof/>
        </w:rPr>
        <w:t>of the LULUCF</w:t>
      </w:r>
      <w:r>
        <w:rPr>
          <w:noProof/>
        </w:rPr>
        <w:t xml:space="preserve"> net removal under impacts from climate change and simulated extreme events</w:t>
      </w:r>
      <w:r w:rsidRPr="00C528A8">
        <w:rPr>
          <w:noProof/>
        </w:rPr>
        <w:t xml:space="preserve">. The </w:t>
      </w:r>
      <w:r>
        <w:rPr>
          <w:noProof/>
        </w:rPr>
        <w:t>‘</w:t>
      </w:r>
      <w:r w:rsidRPr="00C528A8">
        <w:rPr>
          <w:noProof/>
        </w:rPr>
        <w:t>historical</w:t>
      </w:r>
      <w:r>
        <w:rPr>
          <w:noProof/>
        </w:rPr>
        <w:t>’</w:t>
      </w:r>
      <w:r w:rsidRPr="00C528A8">
        <w:rPr>
          <w:noProof/>
        </w:rPr>
        <w:t xml:space="preserve"> trajectory shows the inventory data based on UNFCCC 2023</w:t>
      </w:r>
      <w:r>
        <w:rPr>
          <w:noProof/>
        </w:rPr>
        <w:t>, the ‘projection’ shows the trajectory of the lower boundary of the LULUCF range (lower level net removal) without impacts from climate change and extreme events</w:t>
      </w:r>
      <w:r w:rsidRPr="00C528A8">
        <w:rPr>
          <w:noProof/>
        </w:rPr>
        <w:t xml:space="preserve">. </w:t>
      </w:r>
      <w:r>
        <w:rPr>
          <w:noProof/>
        </w:rPr>
        <w:t xml:space="preserve">The different 16 trajectories show RCP 2.6 vs. 7.0 (2) X different climate models (4) X CO2 fertilisation vs. no fertilisation (2). </w:t>
      </w:r>
      <w:r w:rsidRPr="00C528A8">
        <w:rPr>
          <w:noProof/>
        </w:rPr>
        <w:t xml:space="preserve">The range illustrates the range of uncertainty due to climate change impacts </w:t>
      </w:r>
      <w:r>
        <w:rPr>
          <w:noProof/>
        </w:rPr>
        <w:t xml:space="preserve">across all trajectories including uncertainty due to soil carbon removals. In 2035 a series of extreme events is simulated to illustrate its impact on the LULUCF net removal. </w:t>
      </w:r>
      <w:r w:rsidRPr="00C528A8">
        <w:rPr>
          <w:noProof/>
        </w:rPr>
        <w:t xml:space="preserve">  </w:t>
      </w:r>
    </w:p>
    <w:p w14:paraId="33A8AF86" w14:textId="77777777" w:rsidR="00463686" w:rsidRPr="00C528A8" w:rsidRDefault="00463686" w:rsidP="00463686">
      <w:pPr>
        <w:pStyle w:val="CT-SOURCE"/>
        <w:rPr>
          <w:noProof/>
        </w:rPr>
      </w:pPr>
      <w:r w:rsidRPr="00C528A8">
        <w:rPr>
          <w:noProof/>
        </w:rPr>
        <w:t>Source: GLOBIOM, UNFCCC 2023</w:t>
      </w:r>
    </w:p>
    <w:p w14:paraId="4456697F" w14:textId="61C8C20C" w:rsidR="00F566BF" w:rsidRDefault="00F566BF" w:rsidP="00F566BF">
      <w:pPr>
        <w:rPr>
          <w:noProof/>
          <w:lang w:val="en-IE"/>
        </w:rPr>
      </w:pPr>
      <w:r>
        <w:rPr>
          <w:noProof/>
          <w:lang w:val="en-IE"/>
        </w:rPr>
        <w:t xml:space="preserve">In </w:t>
      </w:r>
      <w:r w:rsidR="00A61D13">
        <w:rPr>
          <w:noProof/>
          <w:highlight w:val="yellow"/>
          <w:lang w:val="en-IE"/>
        </w:rPr>
        <w:fldChar w:fldCharType="begin"/>
      </w:r>
      <w:r w:rsidR="00A61D13">
        <w:rPr>
          <w:noProof/>
          <w:lang w:val="en-IE"/>
        </w:rPr>
        <w:instrText xml:space="preserve"> REF _Ref146896746 \h </w:instrText>
      </w:r>
      <w:r w:rsidR="00A61D13">
        <w:rPr>
          <w:noProof/>
          <w:highlight w:val="yellow"/>
          <w:lang w:val="en-IE"/>
        </w:rPr>
      </w:r>
      <w:r w:rsidR="00A61D13">
        <w:rPr>
          <w:noProof/>
          <w:highlight w:val="yellow"/>
          <w:lang w:val="en-IE"/>
        </w:rPr>
        <w:fldChar w:fldCharType="separate"/>
      </w:r>
      <w:r w:rsidR="00170A3C">
        <w:rPr>
          <w:noProof/>
        </w:rPr>
        <w:t>Figure 98</w:t>
      </w:r>
      <w:r w:rsidR="00A61D13">
        <w:rPr>
          <w:noProof/>
          <w:highlight w:val="yellow"/>
          <w:lang w:val="en-IE"/>
        </w:rPr>
        <w:fldChar w:fldCharType="end"/>
      </w:r>
      <w:r>
        <w:rPr>
          <w:noProof/>
          <w:lang w:val="en-IE"/>
        </w:rPr>
        <w:t xml:space="preserve"> the impacts of a series of possible extreme events in one year for the LULUCF net removal are depicted through an uncertainty range that takes climate change impacts into account. The net removal level of the LULUCF sector drops </w:t>
      </w:r>
      <w:r w:rsidR="0095019B">
        <w:rPr>
          <w:noProof/>
          <w:lang w:val="en-IE"/>
        </w:rPr>
        <w:t xml:space="preserve">to </w:t>
      </w:r>
      <w:r>
        <w:rPr>
          <w:noProof/>
          <w:lang w:val="en-IE"/>
        </w:rPr>
        <w:t xml:space="preserve">a range between -160 and </w:t>
      </w:r>
      <w:r w:rsidR="00501C7E">
        <w:rPr>
          <w:noProof/>
          <w:lang w:val="en-IE"/>
        </w:rPr>
        <w:t>+30</w:t>
      </w:r>
      <w:r>
        <w:rPr>
          <w:noProof/>
          <w:lang w:val="en-IE"/>
        </w:rPr>
        <w:t xml:space="preserve"> MtCO</w:t>
      </w:r>
      <w:r w:rsidRPr="009A64ED">
        <w:rPr>
          <w:noProof/>
          <w:vertAlign w:val="subscript"/>
          <w:lang w:val="en-IE"/>
        </w:rPr>
        <w:t>2</w:t>
      </w:r>
      <w:r>
        <w:rPr>
          <w:noProof/>
          <w:lang w:val="en-IE"/>
        </w:rPr>
        <w:t xml:space="preserve">-eq </w:t>
      </w:r>
      <w:r w:rsidR="00463686">
        <w:rPr>
          <w:noProof/>
          <w:lang w:val="en-IE"/>
        </w:rPr>
        <w:t>at the time of the disturbance</w:t>
      </w:r>
      <w:r>
        <w:rPr>
          <w:noProof/>
          <w:lang w:val="en-IE"/>
        </w:rPr>
        <w:t xml:space="preserve"> but recovers relatively quickly in </w:t>
      </w:r>
      <w:r w:rsidR="00463686">
        <w:rPr>
          <w:noProof/>
          <w:lang w:val="en-IE"/>
        </w:rPr>
        <w:t>the next 5 years</w:t>
      </w:r>
      <w:r>
        <w:rPr>
          <w:noProof/>
          <w:lang w:val="en-IE"/>
        </w:rPr>
        <w:t xml:space="preserve"> (-10</w:t>
      </w:r>
      <w:r w:rsidR="00501C7E">
        <w:rPr>
          <w:noProof/>
          <w:lang w:val="en-IE"/>
        </w:rPr>
        <w:t>5</w:t>
      </w:r>
      <w:r>
        <w:rPr>
          <w:noProof/>
          <w:lang w:val="en-IE"/>
        </w:rPr>
        <w:t xml:space="preserve"> to -2</w:t>
      </w:r>
      <w:r w:rsidR="00501C7E">
        <w:rPr>
          <w:noProof/>
          <w:lang w:val="en-IE"/>
        </w:rPr>
        <w:t>65</w:t>
      </w:r>
      <w:r>
        <w:rPr>
          <w:noProof/>
          <w:lang w:val="en-IE"/>
        </w:rPr>
        <w:t xml:space="preserve"> MtCO</w:t>
      </w:r>
      <w:r w:rsidRPr="009A64ED">
        <w:rPr>
          <w:noProof/>
          <w:vertAlign w:val="subscript"/>
          <w:lang w:val="en-IE"/>
        </w:rPr>
        <w:t>2</w:t>
      </w:r>
      <w:r>
        <w:rPr>
          <w:noProof/>
          <w:lang w:val="en-IE"/>
        </w:rPr>
        <w:t>-eq)</w:t>
      </w:r>
      <w:r w:rsidR="00463686">
        <w:rPr>
          <w:noProof/>
          <w:lang w:val="en-IE"/>
        </w:rPr>
        <w:t>. Over the next 15 years</w:t>
      </w:r>
      <w:r>
        <w:rPr>
          <w:noProof/>
          <w:lang w:val="en-IE"/>
        </w:rPr>
        <w:t xml:space="preserve"> the </w:t>
      </w:r>
      <w:r w:rsidR="0095019B">
        <w:rPr>
          <w:noProof/>
          <w:lang w:val="en-IE"/>
        </w:rPr>
        <w:t>simulation</w:t>
      </w:r>
      <w:r>
        <w:rPr>
          <w:noProof/>
          <w:lang w:val="en-IE"/>
        </w:rPr>
        <w:t xml:space="preserve"> provides a slightly higher range for the LULUCF net removal</w:t>
      </w:r>
      <w:r w:rsidR="00501C7E">
        <w:rPr>
          <w:noProof/>
          <w:lang w:val="en-IE"/>
        </w:rPr>
        <w:t>s in 2050</w:t>
      </w:r>
      <w:r>
        <w:rPr>
          <w:noProof/>
          <w:lang w:val="en-IE"/>
        </w:rPr>
        <w:t xml:space="preserve"> (-1</w:t>
      </w:r>
      <w:r w:rsidR="00501C7E">
        <w:rPr>
          <w:noProof/>
          <w:lang w:val="en-IE"/>
        </w:rPr>
        <w:t>3</w:t>
      </w:r>
      <w:r>
        <w:rPr>
          <w:noProof/>
          <w:lang w:val="en-IE"/>
        </w:rPr>
        <w:t>0 to -3</w:t>
      </w:r>
      <w:r w:rsidR="00501C7E">
        <w:rPr>
          <w:noProof/>
          <w:lang w:val="en-IE"/>
        </w:rPr>
        <w:t>3</w:t>
      </w:r>
      <w:r>
        <w:rPr>
          <w:noProof/>
          <w:lang w:val="en-IE"/>
        </w:rPr>
        <w:t>0 MtCO</w:t>
      </w:r>
      <w:r w:rsidRPr="009A64ED">
        <w:rPr>
          <w:noProof/>
          <w:vertAlign w:val="subscript"/>
          <w:lang w:val="en-IE"/>
        </w:rPr>
        <w:t>2</w:t>
      </w:r>
      <w:r>
        <w:rPr>
          <w:noProof/>
          <w:lang w:val="en-IE"/>
        </w:rPr>
        <w:t>-eq) than a scenario without extreme events (-</w:t>
      </w:r>
      <w:r w:rsidR="00501C7E">
        <w:rPr>
          <w:noProof/>
          <w:lang w:val="en-IE"/>
        </w:rPr>
        <w:t>70</w:t>
      </w:r>
      <w:r>
        <w:rPr>
          <w:noProof/>
          <w:lang w:val="en-IE"/>
        </w:rPr>
        <w:t xml:space="preserve"> to -</w:t>
      </w:r>
      <w:r w:rsidR="00501C7E">
        <w:rPr>
          <w:noProof/>
          <w:lang w:val="en-IE"/>
        </w:rPr>
        <w:t>285</w:t>
      </w:r>
      <w:r>
        <w:rPr>
          <w:noProof/>
          <w:lang w:val="en-IE"/>
        </w:rPr>
        <w:t xml:space="preserve"> MtCO</w:t>
      </w:r>
      <w:r w:rsidRPr="009A64ED">
        <w:rPr>
          <w:noProof/>
          <w:vertAlign w:val="subscript"/>
          <w:lang w:val="en-IE"/>
        </w:rPr>
        <w:t>2</w:t>
      </w:r>
      <w:r>
        <w:rPr>
          <w:noProof/>
          <w:lang w:val="en-IE"/>
        </w:rPr>
        <w:t xml:space="preserve">-eq; see </w:t>
      </w:r>
      <w:r w:rsidR="003B7929">
        <w:rPr>
          <w:noProof/>
          <w:lang w:val="en-IE"/>
        </w:rPr>
        <w:t xml:space="preserve">previous </w:t>
      </w:r>
      <w:r>
        <w:rPr>
          <w:noProof/>
          <w:lang w:val="en-IE"/>
        </w:rPr>
        <w:t>section), because of the enhanced forest regrowth of younger trees</w:t>
      </w:r>
      <w:r w:rsidR="00501C7E">
        <w:rPr>
          <w:noProof/>
          <w:lang w:val="en-IE"/>
        </w:rPr>
        <w:t xml:space="preserve"> and under the assumption of immediate reforestation</w:t>
      </w:r>
      <w:r>
        <w:rPr>
          <w:noProof/>
          <w:lang w:val="en-IE"/>
        </w:rPr>
        <w:t xml:space="preserve">.  </w:t>
      </w:r>
    </w:p>
    <w:p w14:paraId="0CAE075B" w14:textId="09039547" w:rsidR="00537B90" w:rsidRPr="005A3518" w:rsidRDefault="00463686" w:rsidP="00EA4BB3">
      <w:pPr>
        <w:rPr>
          <w:noProof/>
          <w:lang w:val="en-IE"/>
        </w:rPr>
      </w:pPr>
      <w:r>
        <w:rPr>
          <w:noProof/>
          <w:lang w:val="en-IE"/>
        </w:rPr>
        <w:t>However, i</w:t>
      </w:r>
      <w:r w:rsidR="00F566BF">
        <w:rPr>
          <w:noProof/>
          <w:lang w:val="en-IE"/>
        </w:rPr>
        <w:t xml:space="preserve">t should be noted that the modelling of such extreme events is </w:t>
      </w:r>
      <w:r w:rsidR="00F566BF" w:rsidRPr="009A64ED">
        <w:rPr>
          <w:noProof/>
          <w:lang w:val="en-IE"/>
        </w:rPr>
        <w:t>at an early stage of development</w:t>
      </w:r>
      <w:r w:rsidR="00F566BF">
        <w:rPr>
          <w:noProof/>
          <w:lang w:val="en-IE"/>
        </w:rPr>
        <w:t xml:space="preserve"> and </w:t>
      </w:r>
      <w:r w:rsidR="00F566BF" w:rsidRPr="009A64ED">
        <w:rPr>
          <w:noProof/>
          <w:lang w:val="en-IE"/>
        </w:rPr>
        <w:t>assumptions on the severity of events, the share of wood that can be harvested after the event</w:t>
      </w:r>
      <w:r w:rsidR="0095019B">
        <w:rPr>
          <w:noProof/>
          <w:lang w:val="en-IE"/>
        </w:rPr>
        <w:t xml:space="preserve"> and replace otherwise planned harvests</w:t>
      </w:r>
      <w:r w:rsidR="00F566BF" w:rsidRPr="009A64ED">
        <w:rPr>
          <w:noProof/>
          <w:lang w:val="en-IE"/>
        </w:rPr>
        <w:t>, the speed of forest recovery (</w:t>
      </w:r>
      <w:r w:rsidR="007A0C98">
        <w:rPr>
          <w:noProof/>
          <w:lang w:val="en-IE"/>
        </w:rPr>
        <w:t>i.e.,</w:t>
      </w:r>
      <w:r w:rsidR="00F566BF">
        <w:rPr>
          <w:noProof/>
          <w:lang w:val="en-IE"/>
        </w:rPr>
        <w:t xml:space="preserve"> </w:t>
      </w:r>
      <w:r w:rsidR="00F566BF" w:rsidRPr="009A64ED">
        <w:rPr>
          <w:noProof/>
          <w:lang w:val="en-IE"/>
        </w:rPr>
        <w:t>cleaning and replanting),</w:t>
      </w:r>
      <w:r w:rsidR="00F566BF">
        <w:rPr>
          <w:noProof/>
          <w:lang w:val="en-IE"/>
        </w:rPr>
        <w:t xml:space="preserve"> is critical for the outcome.</w:t>
      </w:r>
      <w:r w:rsidR="00F566BF" w:rsidRPr="009A64ED">
        <w:rPr>
          <w:noProof/>
          <w:lang w:val="en-IE"/>
        </w:rPr>
        <w:t xml:space="preserve"> For example, salvage logging preparation for replanting </w:t>
      </w:r>
      <w:r w:rsidR="00F566BF">
        <w:rPr>
          <w:noProof/>
          <w:lang w:val="en-IE"/>
        </w:rPr>
        <w:t xml:space="preserve">and afforestation </w:t>
      </w:r>
      <w:r w:rsidR="00F566BF" w:rsidRPr="009A64ED">
        <w:rPr>
          <w:noProof/>
          <w:lang w:val="en-IE"/>
        </w:rPr>
        <w:t xml:space="preserve">may take </w:t>
      </w:r>
      <w:r w:rsidR="0095019B">
        <w:rPr>
          <w:noProof/>
          <w:lang w:val="en-IE"/>
        </w:rPr>
        <w:t>several</w:t>
      </w:r>
      <w:r w:rsidR="0095019B" w:rsidRPr="009A64ED">
        <w:rPr>
          <w:noProof/>
          <w:lang w:val="en-IE"/>
        </w:rPr>
        <w:t xml:space="preserve"> </w:t>
      </w:r>
      <w:r w:rsidR="00F566BF" w:rsidRPr="009A64ED">
        <w:rPr>
          <w:noProof/>
          <w:lang w:val="en-IE"/>
        </w:rPr>
        <w:t>years due to lack of capacity</w:t>
      </w:r>
      <w:r w:rsidR="00F566BF">
        <w:rPr>
          <w:noProof/>
          <w:lang w:val="en-IE"/>
        </w:rPr>
        <w:t xml:space="preserve">, which will </w:t>
      </w:r>
      <w:r w:rsidR="00F566BF" w:rsidRPr="009A64ED">
        <w:rPr>
          <w:noProof/>
          <w:lang w:val="en-IE"/>
        </w:rPr>
        <w:t>delay the forest recovery</w:t>
      </w:r>
      <w:r w:rsidR="00F566BF">
        <w:rPr>
          <w:noProof/>
          <w:lang w:val="en-IE"/>
        </w:rPr>
        <w:t xml:space="preserve"> and consequently its capacity as a carbon </w:t>
      </w:r>
      <w:r w:rsidR="0095019B">
        <w:rPr>
          <w:noProof/>
          <w:lang w:val="en-IE"/>
        </w:rPr>
        <w:t>removal</w:t>
      </w:r>
      <w:r w:rsidR="0095019B" w:rsidRPr="009A64ED">
        <w:rPr>
          <w:noProof/>
          <w:lang w:val="en-IE"/>
        </w:rPr>
        <w:t>.</w:t>
      </w:r>
      <w:r w:rsidR="00F566BF">
        <w:rPr>
          <w:noProof/>
          <w:lang w:val="en-IE"/>
        </w:rPr>
        <w:t xml:space="preserve"> Furthermore, the range of uncertainty illustrates, that even when taking properly the development of the LULUCF </w:t>
      </w:r>
      <w:r w:rsidR="00B170BD">
        <w:rPr>
          <w:noProof/>
          <w:lang w:val="en-IE"/>
        </w:rPr>
        <w:t>net removal</w:t>
      </w:r>
      <w:r w:rsidR="00F566BF">
        <w:rPr>
          <w:noProof/>
          <w:lang w:val="en-IE"/>
        </w:rPr>
        <w:t xml:space="preserve"> and climate change impacts into account, disturbances can disrupt the net carbon </w:t>
      </w:r>
      <w:r w:rsidR="0095019B">
        <w:rPr>
          <w:noProof/>
          <w:lang w:val="en-IE"/>
        </w:rPr>
        <w:t>removal</w:t>
      </w:r>
      <w:r w:rsidR="00F566BF">
        <w:rPr>
          <w:noProof/>
          <w:lang w:val="en-IE"/>
        </w:rPr>
        <w:t xml:space="preserve"> levels for years. </w:t>
      </w:r>
    </w:p>
    <w:p w14:paraId="2E853AE6" w14:textId="11700F98" w:rsidR="00AB35C6" w:rsidRDefault="00AB35C6" w:rsidP="00680783">
      <w:pPr>
        <w:pStyle w:val="Heading2"/>
        <w:rPr>
          <w:rStyle w:val="Heading2Char"/>
          <w:b/>
          <w:noProof/>
        </w:rPr>
      </w:pPr>
      <w:bookmarkStart w:id="538" w:name="_Toc131413494"/>
      <w:bookmarkStart w:id="539" w:name="_Ref146055999"/>
      <w:bookmarkStart w:id="540" w:name="_Toc148605627"/>
      <w:bookmarkStart w:id="541" w:name="_Toc157692073"/>
      <w:bookmarkEnd w:id="531"/>
      <w:r w:rsidRPr="00680783">
        <w:rPr>
          <w:rStyle w:val="Heading2Char"/>
          <w:b/>
          <w:noProof/>
        </w:rPr>
        <w:t xml:space="preserve">Environmental </w:t>
      </w:r>
      <w:r w:rsidR="005422FF">
        <w:rPr>
          <w:rStyle w:val="Heading2Char"/>
          <w:b/>
          <w:noProof/>
        </w:rPr>
        <w:t xml:space="preserve">and health </w:t>
      </w:r>
      <w:r w:rsidRPr="00680783">
        <w:rPr>
          <w:rStyle w:val="Heading2Char"/>
          <w:b/>
          <w:noProof/>
        </w:rPr>
        <w:t>impacts</w:t>
      </w:r>
      <w:bookmarkEnd w:id="538"/>
      <w:bookmarkEnd w:id="539"/>
      <w:bookmarkEnd w:id="540"/>
      <w:bookmarkEnd w:id="541"/>
      <w:r w:rsidR="00D209FA" w:rsidRPr="00680783">
        <w:rPr>
          <w:rStyle w:val="Heading2Char"/>
          <w:b/>
          <w:noProof/>
        </w:rPr>
        <w:t xml:space="preserve"> </w:t>
      </w:r>
    </w:p>
    <w:p w14:paraId="241841DA" w14:textId="77777777" w:rsidR="00EA3940" w:rsidRDefault="00EA3940" w:rsidP="0082262B">
      <w:pPr>
        <w:pStyle w:val="Text2"/>
        <w:rPr>
          <w:noProof/>
        </w:rPr>
      </w:pPr>
      <w:r>
        <w:rPr>
          <w:noProof/>
        </w:rPr>
        <w:t xml:space="preserve">In addition to reducing </w:t>
      </w:r>
      <w:r w:rsidR="00F31DEA">
        <w:rPr>
          <w:noProof/>
        </w:rPr>
        <w:t xml:space="preserve">GHG emissions, the different policy options directly or indirectly affect other environmental indicators. </w:t>
      </w:r>
    </w:p>
    <w:p w14:paraId="59CF6C9A" w14:textId="49CEEF5D" w:rsidR="00F31DEA" w:rsidRDefault="00EA3940" w:rsidP="0082262B">
      <w:pPr>
        <w:pStyle w:val="Text2"/>
        <w:rPr>
          <w:noProof/>
        </w:rPr>
      </w:pPr>
      <w:r>
        <w:rPr>
          <w:noProof/>
        </w:rPr>
        <w:t xml:space="preserve">Air quality is impacted </w:t>
      </w:r>
      <w:r w:rsidR="009050ED">
        <w:rPr>
          <w:noProof/>
        </w:rPr>
        <w:t>in particular</w:t>
      </w:r>
      <w:r>
        <w:rPr>
          <w:noProof/>
        </w:rPr>
        <w:t xml:space="preserve"> </w:t>
      </w:r>
      <w:r w:rsidR="009050ED">
        <w:rPr>
          <w:noProof/>
        </w:rPr>
        <w:t>by</w:t>
      </w:r>
      <w:r>
        <w:rPr>
          <w:noProof/>
        </w:rPr>
        <w:t xml:space="preserve"> the evolution of the energy and transport sector as well as the agricultural sector. </w:t>
      </w:r>
      <w:r w:rsidR="00F31DEA">
        <w:rPr>
          <w:noProof/>
        </w:rPr>
        <w:t xml:space="preserve">Changes in the LULUCF and agricultural sector </w:t>
      </w:r>
      <w:r w:rsidR="009050ED">
        <w:rPr>
          <w:noProof/>
        </w:rPr>
        <w:t>influence</w:t>
      </w:r>
      <w:r w:rsidR="00F31DEA">
        <w:rPr>
          <w:noProof/>
        </w:rPr>
        <w:t xml:space="preserve"> biodiversity and ecosystems, food security and the sustainable use of natural resources such as water. </w:t>
      </w:r>
    </w:p>
    <w:p w14:paraId="0986B9A7" w14:textId="5B6E97D5" w:rsidR="00F31DEA" w:rsidRPr="00680783" w:rsidRDefault="00B1503B" w:rsidP="00680783">
      <w:pPr>
        <w:pStyle w:val="Heading3"/>
        <w:rPr>
          <w:noProof/>
        </w:rPr>
      </w:pPr>
      <w:bookmarkStart w:id="542" w:name="_Ref141878509"/>
      <w:bookmarkStart w:id="543" w:name="_Toc148605628"/>
      <w:bookmarkStart w:id="544" w:name="_Toc157692074"/>
      <w:r w:rsidRPr="00680783">
        <w:rPr>
          <w:noProof/>
        </w:rPr>
        <w:t>A</w:t>
      </w:r>
      <w:r w:rsidR="00F31DEA" w:rsidRPr="00680783">
        <w:rPr>
          <w:noProof/>
        </w:rPr>
        <w:t>ir quality</w:t>
      </w:r>
      <w:bookmarkEnd w:id="542"/>
      <w:bookmarkEnd w:id="543"/>
      <w:bookmarkEnd w:id="544"/>
    </w:p>
    <w:p w14:paraId="3CC3334C" w14:textId="72A5701A" w:rsidR="00A62C8C" w:rsidRDefault="006B0BC7" w:rsidP="006B0BC7">
      <w:pPr>
        <w:rPr>
          <w:noProof/>
        </w:rPr>
      </w:pPr>
      <w:r>
        <w:rPr>
          <w:noProof/>
        </w:rPr>
        <w:t xml:space="preserve">Clean air is essential to human health and sustaining the environment. </w:t>
      </w:r>
      <w:r w:rsidR="000554DC">
        <w:rPr>
          <w:noProof/>
        </w:rPr>
        <w:t>A</w:t>
      </w:r>
      <w:r>
        <w:rPr>
          <w:noProof/>
        </w:rPr>
        <w:t>ir quality ha</w:t>
      </w:r>
      <w:r w:rsidR="000554DC">
        <w:rPr>
          <w:noProof/>
        </w:rPr>
        <w:t>s improved</w:t>
      </w:r>
      <w:r>
        <w:rPr>
          <w:noProof/>
        </w:rPr>
        <w:t xml:space="preserve"> in the EU over the past three decades as a result of joint efforts by the EU and national, regional and local authorities in the Member States to reduce </w:t>
      </w:r>
      <w:r w:rsidR="00AE0D64">
        <w:rPr>
          <w:noProof/>
        </w:rPr>
        <w:t>the</w:t>
      </w:r>
      <w:r>
        <w:rPr>
          <w:noProof/>
        </w:rPr>
        <w:t xml:space="preserve"> adverse impacts</w:t>
      </w:r>
      <w:r w:rsidR="00AE0D64">
        <w:rPr>
          <w:noProof/>
        </w:rPr>
        <w:t xml:space="preserve"> of air pollution</w:t>
      </w:r>
      <w:r>
        <w:rPr>
          <w:noProof/>
        </w:rPr>
        <w:t>. However, nowadays, around 300</w:t>
      </w:r>
      <w:r w:rsidR="00C720EE">
        <w:rPr>
          <w:noProof/>
        </w:rPr>
        <w:t> </w:t>
      </w:r>
      <w:r>
        <w:rPr>
          <w:noProof/>
        </w:rPr>
        <w:t xml:space="preserve">000 premature deaths </w:t>
      </w:r>
      <w:r w:rsidR="00C720EE">
        <w:rPr>
          <w:noProof/>
        </w:rPr>
        <w:t>per</w:t>
      </w:r>
      <w:r>
        <w:rPr>
          <w:noProof/>
        </w:rPr>
        <w:t xml:space="preserve"> year and a significant number of diseases such as asthma, cardiovascular problems and lung cancer, among others, are still attributable to air pollution (and especially to particulate matter, nitrogen dioxide and ozone)</w:t>
      </w:r>
      <w:r w:rsidR="00C720EE" w:rsidRPr="00C720EE">
        <w:rPr>
          <w:noProof/>
        </w:rPr>
        <w:t> (</w:t>
      </w:r>
      <w:r w:rsidR="00C720EE">
        <w:rPr>
          <w:rStyle w:val="FootnoteReference"/>
          <w:noProof/>
        </w:rPr>
        <w:footnoteReference w:id="209"/>
      </w:r>
      <w:r w:rsidR="00C720EE">
        <w:rPr>
          <w:noProof/>
        </w:rPr>
        <w:t>)</w:t>
      </w:r>
      <w:r>
        <w:rPr>
          <w:noProof/>
        </w:rPr>
        <w:t>. There is also increasing evidence that low air quality may be associated with changes in the nervous system, cognitive decrements, and dementia</w:t>
      </w:r>
      <w:r w:rsidR="00C720EE" w:rsidRPr="00C720EE">
        <w:rPr>
          <w:noProof/>
        </w:rPr>
        <w:t> (</w:t>
      </w:r>
      <w:r w:rsidR="00C720EE">
        <w:rPr>
          <w:rStyle w:val="FootnoteReference"/>
          <w:noProof/>
        </w:rPr>
        <w:footnoteReference w:id="210"/>
      </w:r>
      <w:r w:rsidR="00C720EE">
        <w:rPr>
          <w:noProof/>
        </w:rPr>
        <w:t>)</w:t>
      </w:r>
      <w:r>
        <w:rPr>
          <w:noProof/>
        </w:rPr>
        <w:t xml:space="preserve">. </w:t>
      </w:r>
    </w:p>
    <w:p w14:paraId="0C0E09B2" w14:textId="460B5CA2" w:rsidR="006B0BC7" w:rsidRDefault="006B0BC7" w:rsidP="006B0BC7">
      <w:pPr>
        <w:rPr>
          <w:noProof/>
        </w:rPr>
      </w:pPr>
      <w:r>
        <w:rPr>
          <w:noProof/>
        </w:rPr>
        <w:t>Air pollution remains the most frequent environmental cause of early death in the EU, and it disproportionally affects vulnerable groups such as children, elderly people and persons with pre-existing conditions, as well as socioeconomically disadvantaged groups</w:t>
      </w:r>
      <w:r w:rsidR="00C720EE" w:rsidRPr="00C720EE">
        <w:rPr>
          <w:noProof/>
        </w:rPr>
        <w:t> (</w:t>
      </w:r>
      <w:r w:rsidR="00C720EE">
        <w:rPr>
          <w:rStyle w:val="FootnoteReference"/>
          <w:noProof/>
        </w:rPr>
        <w:footnoteReference w:id="211"/>
      </w:r>
      <w:r w:rsidR="00C720EE">
        <w:rPr>
          <w:noProof/>
        </w:rPr>
        <w:t>)</w:t>
      </w:r>
      <w:r>
        <w:rPr>
          <w:noProof/>
        </w:rPr>
        <w:t xml:space="preserve">. In addition, air pollution threatens the environment through acidification and eutrophication, causing damage to </w:t>
      </w:r>
      <w:r w:rsidR="008942A8">
        <w:rPr>
          <w:noProof/>
        </w:rPr>
        <w:t>natural</w:t>
      </w:r>
      <w:r>
        <w:rPr>
          <w:noProof/>
        </w:rPr>
        <w:t xml:space="preserve"> ecosystems and crops. Currently, eutrophication from deposition of nitrogen exceeds critical loads in two thirds of ecosystem areas across the EU, with significant impact on biodiversity</w:t>
      </w:r>
      <w:r w:rsidR="00C720EE" w:rsidRPr="00C720EE">
        <w:rPr>
          <w:noProof/>
        </w:rPr>
        <w:t> (</w:t>
      </w:r>
      <w:r w:rsidR="00C720EE">
        <w:rPr>
          <w:rStyle w:val="FootnoteReference"/>
          <w:noProof/>
        </w:rPr>
        <w:footnoteReference w:id="212"/>
      </w:r>
      <w:r w:rsidR="00C720EE">
        <w:rPr>
          <w:noProof/>
        </w:rPr>
        <w:t>)</w:t>
      </w:r>
      <w:r>
        <w:rPr>
          <w:noProof/>
        </w:rPr>
        <w:t xml:space="preserve">. This </w:t>
      </w:r>
      <w:r w:rsidR="002D0581">
        <w:rPr>
          <w:noProof/>
        </w:rPr>
        <w:t>has a direct impact on the health of ecosystems and</w:t>
      </w:r>
      <w:r>
        <w:rPr>
          <w:noProof/>
        </w:rPr>
        <w:t xml:space="preserve"> can aggravate situations of nitrogen surplus via water pollution. Furthermore, high ground-level ozone concentrations negatively affect plant growth.</w:t>
      </w:r>
      <w:r w:rsidR="00D72382" w:rsidRPr="00D72382">
        <w:rPr>
          <w:noProof/>
        </w:rPr>
        <w:t xml:space="preserve"> </w:t>
      </w:r>
    </w:p>
    <w:p w14:paraId="0E3DFB85" w14:textId="2EF93671" w:rsidR="006B0BC7" w:rsidRDefault="006B0BC7" w:rsidP="006B0BC7">
      <w:pPr>
        <w:rPr>
          <w:noProof/>
        </w:rPr>
      </w:pPr>
      <w:r>
        <w:rPr>
          <w:noProof/>
        </w:rPr>
        <w:t>Research to quantify the benefits of climate action associated with improved air quality highlights the significant magnitude of such co-benefits</w:t>
      </w:r>
      <w:r w:rsidR="00C720EE" w:rsidRPr="00C720EE">
        <w:rPr>
          <w:noProof/>
        </w:rPr>
        <w:t> (</w:t>
      </w:r>
      <w:r w:rsidR="00C720EE">
        <w:rPr>
          <w:rStyle w:val="FootnoteReference"/>
          <w:noProof/>
        </w:rPr>
        <w:footnoteReference w:id="213"/>
      </w:r>
      <w:r w:rsidR="00C720EE">
        <w:rPr>
          <w:noProof/>
        </w:rPr>
        <w:t>)</w:t>
      </w:r>
      <w:r>
        <w:rPr>
          <w:noProof/>
        </w:rPr>
        <w:t xml:space="preserve">. </w:t>
      </w:r>
      <w:bookmarkStart w:id="545" w:name="_Hlk147818936"/>
      <w:r>
        <w:rPr>
          <w:noProof/>
        </w:rPr>
        <w:t xml:space="preserve">In general, the economic, technological and societal transformations required to reduce GHG emissions in the EU have positive impacts on air quality because they lead to lower energy consumption and a shift to non-emitting renewable energy sources and to less polluting </w:t>
      </w:r>
      <w:r w:rsidR="001E76F9">
        <w:rPr>
          <w:noProof/>
        </w:rPr>
        <w:t xml:space="preserve">combustion </w:t>
      </w:r>
      <w:r>
        <w:rPr>
          <w:noProof/>
        </w:rPr>
        <w:t xml:space="preserve">fuels. </w:t>
      </w:r>
      <w:bookmarkEnd w:id="545"/>
      <w:r>
        <w:rPr>
          <w:noProof/>
        </w:rPr>
        <w:t>The</w:t>
      </w:r>
      <w:r w:rsidR="002071AA">
        <w:rPr>
          <w:noProof/>
        </w:rPr>
        <w:t>refore, thes</w:t>
      </w:r>
      <w:r>
        <w:rPr>
          <w:noProof/>
        </w:rPr>
        <w:t>e developments lead to lower emissions of pollutants such as fine particulate matter with a diameter of 2.5 μm or less (PM2.5)</w:t>
      </w:r>
      <w:r w:rsidR="0069119E">
        <w:rPr>
          <w:noProof/>
        </w:rPr>
        <w:t xml:space="preserve"> and</w:t>
      </w:r>
      <w:r>
        <w:rPr>
          <w:noProof/>
        </w:rPr>
        <w:t xml:space="preserve"> nitrogen oxides (NOx). </w:t>
      </w:r>
      <w:r w:rsidR="00A6433F">
        <w:rPr>
          <w:noProof/>
        </w:rPr>
        <w:t xml:space="preserve">In addition, </w:t>
      </w:r>
      <w:r w:rsidR="000C6B99">
        <w:rPr>
          <w:noProof/>
        </w:rPr>
        <w:t xml:space="preserve">climate action </w:t>
      </w:r>
      <w:r w:rsidR="00A6433F">
        <w:rPr>
          <w:noProof/>
        </w:rPr>
        <w:t>will contribute to</w:t>
      </w:r>
      <w:r w:rsidR="000C6B99">
        <w:rPr>
          <w:noProof/>
        </w:rPr>
        <w:t xml:space="preserve"> mitigate</w:t>
      </w:r>
      <w:r w:rsidR="00D72382" w:rsidRPr="00D72382">
        <w:rPr>
          <w:noProof/>
        </w:rPr>
        <w:t xml:space="preserve"> the increasing negative effects that climate change </w:t>
      </w:r>
      <w:r w:rsidR="000C6B99">
        <w:rPr>
          <w:noProof/>
        </w:rPr>
        <w:t xml:space="preserve">itself </w:t>
      </w:r>
      <w:r w:rsidR="00D72382" w:rsidRPr="00D72382">
        <w:rPr>
          <w:noProof/>
        </w:rPr>
        <w:t>has on air quality</w:t>
      </w:r>
      <w:r w:rsidR="000C6B99">
        <w:rPr>
          <w:noProof/>
        </w:rPr>
        <w:t xml:space="preserve">, </w:t>
      </w:r>
      <w:r w:rsidR="00D72382" w:rsidRPr="00D72382">
        <w:rPr>
          <w:noProof/>
        </w:rPr>
        <w:t xml:space="preserve">due </w:t>
      </w:r>
      <w:r w:rsidR="000C6B99">
        <w:rPr>
          <w:noProof/>
        </w:rPr>
        <w:t xml:space="preserve">notably </w:t>
      </w:r>
      <w:r w:rsidR="00D72382" w:rsidRPr="00D72382">
        <w:rPr>
          <w:noProof/>
        </w:rPr>
        <w:t>to heatwaves or wildfires (</w:t>
      </w:r>
      <w:r w:rsidR="00D72382">
        <w:rPr>
          <w:rStyle w:val="FootnoteReference"/>
          <w:noProof/>
        </w:rPr>
        <w:footnoteReference w:id="214"/>
      </w:r>
      <w:r w:rsidR="00D72382">
        <w:rPr>
          <w:noProof/>
        </w:rPr>
        <w:t>)</w:t>
      </w:r>
      <w:r w:rsidR="00D72382" w:rsidRPr="00D72382">
        <w:rPr>
          <w:noProof/>
        </w:rPr>
        <w:t>.</w:t>
      </w:r>
    </w:p>
    <w:p w14:paraId="7B37CA5B" w14:textId="609D3398" w:rsidR="00A6433F" w:rsidRDefault="006B0BC7" w:rsidP="00A6433F">
      <w:pPr>
        <w:rPr>
          <w:noProof/>
        </w:rPr>
      </w:pPr>
      <w:r>
        <w:rPr>
          <w:noProof/>
        </w:rPr>
        <w:t xml:space="preserve">The GAINS model has been used to produce projections of air pollutant emissions and their impacts on public health and ecosystems </w:t>
      </w:r>
      <w:r w:rsidR="0088551B">
        <w:rPr>
          <w:noProof/>
        </w:rPr>
        <w:t>for</w:t>
      </w:r>
      <w:r>
        <w:rPr>
          <w:noProof/>
        </w:rPr>
        <w:t xml:space="preserve"> the decarbonisation pathways analysed in this impact assessment</w:t>
      </w:r>
      <w:r w:rsidR="00B33F81" w:rsidRPr="00B33F81">
        <w:rPr>
          <w:noProof/>
        </w:rPr>
        <w:t> (</w:t>
      </w:r>
      <w:r w:rsidR="00B33F81">
        <w:rPr>
          <w:rStyle w:val="FootnoteReference"/>
          <w:noProof/>
        </w:rPr>
        <w:footnoteReference w:id="215"/>
      </w:r>
      <w:r w:rsidR="00B33F81">
        <w:rPr>
          <w:noProof/>
        </w:rPr>
        <w:t>)</w:t>
      </w:r>
      <w:r>
        <w:rPr>
          <w:noProof/>
        </w:rPr>
        <w:t>. The combination of existing air pollution policies as well as ambitious climate policies result in strong reductions of air pollutants by 2040. As shown</w:t>
      </w:r>
      <w:r w:rsidR="00A77CA3">
        <w:rPr>
          <w:noProof/>
        </w:rPr>
        <w:t xml:space="preserve"> in </w:t>
      </w:r>
      <w:r w:rsidR="00A77CA3" w:rsidRPr="0009775F">
        <w:rPr>
          <w:noProof/>
          <w:color w:val="2B579A"/>
          <w:shd w:val="clear" w:color="auto" w:fill="E6E6E6"/>
        </w:rPr>
        <w:fldChar w:fldCharType="begin"/>
      </w:r>
      <w:r w:rsidR="00A77CA3">
        <w:rPr>
          <w:noProof/>
        </w:rPr>
        <w:instrText xml:space="preserve"> REF _Ref140845993 \h </w:instrText>
      </w:r>
      <w:r w:rsidR="00905891">
        <w:rPr>
          <w:noProof/>
          <w:color w:val="2B579A"/>
          <w:shd w:val="clear" w:color="auto" w:fill="E6E6E6"/>
        </w:rPr>
        <w:instrText xml:space="preserve"> \* MERGEFORMAT </w:instrText>
      </w:r>
      <w:r w:rsidR="00A77CA3" w:rsidRPr="0009775F">
        <w:rPr>
          <w:noProof/>
          <w:color w:val="2B579A"/>
          <w:shd w:val="clear" w:color="auto" w:fill="E6E6E6"/>
        </w:rPr>
      </w:r>
      <w:r w:rsidR="00A77CA3" w:rsidRPr="0009775F">
        <w:rPr>
          <w:noProof/>
          <w:color w:val="2B579A"/>
          <w:shd w:val="clear" w:color="auto" w:fill="E6E6E6"/>
        </w:rPr>
        <w:fldChar w:fldCharType="separate"/>
      </w:r>
      <w:r w:rsidR="00170A3C" w:rsidRPr="000F0060">
        <w:rPr>
          <w:noProof/>
          <w:lang w:val="en-IE"/>
        </w:rPr>
        <w:t xml:space="preserve">Table </w:t>
      </w:r>
      <w:r w:rsidR="00170A3C">
        <w:rPr>
          <w:noProof/>
          <w:lang w:val="en-IE"/>
        </w:rPr>
        <w:t>19</w:t>
      </w:r>
      <w:r w:rsidR="00A77CA3" w:rsidRPr="0009775F">
        <w:rPr>
          <w:noProof/>
          <w:color w:val="2B579A"/>
          <w:shd w:val="clear" w:color="auto" w:fill="E6E6E6"/>
        </w:rPr>
        <w:fldChar w:fldCharType="end"/>
      </w:r>
      <w:r>
        <w:rPr>
          <w:noProof/>
        </w:rPr>
        <w:t xml:space="preserve">, in scenarios S1, S2 and S3, </w:t>
      </w:r>
      <w:r w:rsidR="00FF26D2">
        <w:rPr>
          <w:noProof/>
        </w:rPr>
        <w:t xml:space="preserve">primary </w:t>
      </w:r>
      <w:r w:rsidR="005B1B6E">
        <w:rPr>
          <w:noProof/>
        </w:rPr>
        <w:t>PM2.5</w:t>
      </w:r>
      <w:r>
        <w:rPr>
          <w:noProof/>
        </w:rPr>
        <w:t xml:space="preserve"> emissions in the EU decrease by </w:t>
      </w:r>
      <w:r w:rsidR="005B1B6E">
        <w:rPr>
          <w:noProof/>
        </w:rPr>
        <w:t>62</w:t>
      </w:r>
      <w:r>
        <w:rPr>
          <w:noProof/>
        </w:rPr>
        <w:t xml:space="preserve">% by 2040 compared to 2015 levels. Moreover, </w:t>
      </w:r>
      <w:r w:rsidR="00FF26D2">
        <w:rPr>
          <w:noProof/>
        </w:rPr>
        <w:t xml:space="preserve">primary </w:t>
      </w:r>
      <w:r w:rsidR="00B33F81" w:rsidRPr="00B33F81">
        <w:rPr>
          <w:noProof/>
        </w:rPr>
        <w:t xml:space="preserve">SO2, </w:t>
      </w:r>
      <w:r>
        <w:rPr>
          <w:noProof/>
        </w:rPr>
        <w:t>NOx</w:t>
      </w:r>
      <w:r w:rsidR="00B33F81" w:rsidRPr="00B33F81">
        <w:rPr>
          <w:noProof/>
        </w:rPr>
        <w:t>, NH3</w:t>
      </w:r>
      <w:r>
        <w:rPr>
          <w:noProof/>
        </w:rPr>
        <w:t xml:space="preserve"> and </w:t>
      </w:r>
      <w:r w:rsidR="00B33F81" w:rsidRPr="00B33F81">
        <w:rPr>
          <w:noProof/>
        </w:rPr>
        <w:t>VOC</w:t>
      </w:r>
      <w:r>
        <w:rPr>
          <w:noProof/>
        </w:rPr>
        <w:t xml:space="preserve"> emissions decrease by </w:t>
      </w:r>
      <w:r w:rsidR="005B1B6E">
        <w:rPr>
          <w:noProof/>
        </w:rPr>
        <w:t>77</w:t>
      </w:r>
      <w:r w:rsidR="00B33F81" w:rsidRPr="00B33F81">
        <w:rPr>
          <w:noProof/>
        </w:rPr>
        <w:t xml:space="preserve">%, 71%, 16% and 29%, respectively, </w:t>
      </w:r>
      <w:r w:rsidR="00150241">
        <w:rPr>
          <w:noProof/>
        </w:rPr>
        <w:t>over</w:t>
      </w:r>
      <w:r w:rsidR="00B33F81" w:rsidRPr="00B33F81">
        <w:rPr>
          <w:noProof/>
        </w:rPr>
        <w:t xml:space="preserve"> </w:t>
      </w:r>
      <w:r>
        <w:rPr>
          <w:noProof/>
        </w:rPr>
        <w:t xml:space="preserve">the same period. </w:t>
      </w:r>
      <w:r w:rsidR="00A6433F">
        <w:rPr>
          <w:noProof/>
        </w:rPr>
        <w:t xml:space="preserve">Note, however, that the consumption of solid biomass, which still represents a large share of renewable energy consumption in Europe, emits large amount of particulate matter (PM2.5 and PM10), non-methane volatile organic compounds (NMVOCs) and </w:t>
      </w:r>
      <w:r w:rsidR="00A6433F" w:rsidRPr="00FF71DA">
        <w:rPr>
          <w:noProof/>
        </w:rPr>
        <w:t>polycyclic aromatic hydrocarbons</w:t>
      </w:r>
      <w:r w:rsidR="00A6433F">
        <w:rPr>
          <w:noProof/>
        </w:rPr>
        <w:t xml:space="preserve"> (PAHs)</w:t>
      </w:r>
      <w:r w:rsidR="00A6433F" w:rsidRPr="00BE79E0">
        <w:rPr>
          <w:noProof/>
        </w:rPr>
        <w:t> (</w:t>
      </w:r>
      <w:r w:rsidR="00A6433F">
        <w:rPr>
          <w:rStyle w:val="FootnoteReference"/>
          <w:noProof/>
        </w:rPr>
        <w:footnoteReference w:id="216"/>
      </w:r>
      <w:r w:rsidR="00A6433F">
        <w:rPr>
          <w:noProof/>
        </w:rPr>
        <w:t>).</w:t>
      </w:r>
      <w:r w:rsidR="00A6433F" w:rsidRPr="007E2228">
        <w:rPr>
          <w:noProof/>
        </w:rPr>
        <w:t xml:space="preserve"> In </w:t>
      </w:r>
      <w:r w:rsidR="00A6433F">
        <w:rPr>
          <w:noProof/>
        </w:rPr>
        <w:t xml:space="preserve">2021, in </w:t>
      </w:r>
      <w:r w:rsidR="00A6433F" w:rsidRPr="007E2228">
        <w:rPr>
          <w:noProof/>
        </w:rPr>
        <w:t xml:space="preserve">the EU, more than 60% of PM2.5 emissions </w:t>
      </w:r>
      <w:r w:rsidR="00A6433F">
        <w:rPr>
          <w:noProof/>
        </w:rPr>
        <w:t>were generated by</w:t>
      </w:r>
      <w:r w:rsidR="00A6433F" w:rsidRPr="007E2228">
        <w:rPr>
          <w:noProof/>
        </w:rPr>
        <w:t xml:space="preserve"> the residential sector, showing the large share of domestic heating (and</w:t>
      </w:r>
      <w:r w:rsidR="00A6433F">
        <w:rPr>
          <w:noProof/>
        </w:rPr>
        <w:t>,</w:t>
      </w:r>
      <w:r w:rsidR="00A6433F" w:rsidRPr="007E2228">
        <w:rPr>
          <w:noProof/>
        </w:rPr>
        <w:t xml:space="preserve"> particular</w:t>
      </w:r>
      <w:r w:rsidR="00A6433F">
        <w:rPr>
          <w:noProof/>
        </w:rPr>
        <w:t>ly,</w:t>
      </w:r>
      <w:r w:rsidR="00A6433F" w:rsidRPr="007E2228">
        <w:rPr>
          <w:noProof/>
        </w:rPr>
        <w:t xml:space="preserve"> bioene</w:t>
      </w:r>
      <w:r w:rsidR="00A6433F">
        <w:rPr>
          <w:noProof/>
        </w:rPr>
        <w:t>r</w:t>
      </w:r>
      <w:r w:rsidR="00A6433F" w:rsidRPr="007E2228">
        <w:rPr>
          <w:noProof/>
        </w:rPr>
        <w:t>gy) in fine particula</w:t>
      </w:r>
      <w:r w:rsidR="00A6433F">
        <w:rPr>
          <w:noProof/>
        </w:rPr>
        <w:t>te</w:t>
      </w:r>
      <w:r w:rsidR="00A6433F" w:rsidRPr="007E2228">
        <w:rPr>
          <w:noProof/>
        </w:rPr>
        <w:t xml:space="preserve"> matter emissions (</w:t>
      </w:r>
      <w:r w:rsidR="00A6433F">
        <w:rPr>
          <w:rStyle w:val="FootnoteReference"/>
          <w:noProof/>
        </w:rPr>
        <w:footnoteReference w:id="217"/>
      </w:r>
      <w:r w:rsidR="00A6433F">
        <w:rPr>
          <w:noProof/>
        </w:rPr>
        <w:t xml:space="preserve">). Thanks to further electrification of heating needs and more </w:t>
      </w:r>
      <w:r w:rsidR="00B8395F">
        <w:rPr>
          <w:noProof/>
        </w:rPr>
        <w:t>energy</w:t>
      </w:r>
      <w:r w:rsidR="00A6433F">
        <w:rPr>
          <w:noProof/>
        </w:rPr>
        <w:t xml:space="preserve"> efficient buildings, the consumption of solid biomass in the residential sector is</w:t>
      </w:r>
      <w:r w:rsidR="00D158A5">
        <w:rPr>
          <w:noProof/>
        </w:rPr>
        <w:t xml:space="preserve"> much</w:t>
      </w:r>
      <w:r w:rsidR="00A6433F">
        <w:rPr>
          <w:noProof/>
        </w:rPr>
        <w:t xml:space="preserve"> lower in 2040 </w:t>
      </w:r>
      <w:r w:rsidR="0069119E">
        <w:rPr>
          <w:noProof/>
        </w:rPr>
        <w:t xml:space="preserve">than today </w:t>
      </w:r>
      <w:r w:rsidR="00A6433F">
        <w:rPr>
          <w:noProof/>
        </w:rPr>
        <w:t xml:space="preserve">in all </w:t>
      </w:r>
      <w:r w:rsidR="00001766">
        <w:rPr>
          <w:noProof/>
        </w:rPr>
        <w:t xml:space="preserve">analysed </w:t>
      </w:r>
      <w:r w:rsidR="00A6433F">
        <w:rPr>
          <w:noProof/>
        </w:rPr>
        <w:t xml:space="preserve">scenarios </w:t>
      </w:r>
      <w:r w:rsidR="00D158A5">
        <w:rPr>
          <w:noProof/>
        </w:rPr>
        <w:t xml:space="preserve">(see section </w:t>
      </w:r>
      <w:r w:rsidR="00D158A5">
        <w:rPr>
          <w:noProof/>
        </w:rPr>
        <w:fldChar w:fldCharType="begin"/>
      </w:r>
      <w:r w:rsidR="00D158A5">
        <w:rPr>
          <w:noProof/>
        </w:rPr>
        <w:instrText xml:space="preserve"> REF _Ref143329331 \n \h </w:instrText>
      </w:r>
      <w:r w:rsidR="00D158A5">
        <w:rPr>
          <w:noProof/>
        </w:rPr>
      </w:r>
      <w:r w:rsidR="00D158A5">
        <w:rPr>
          <w:noProof/>
        </w:rPr>
        <w:fldChar w:fldCharType="separate"/>
      </w:r>
      <w:r w:rsidR="00170A3C">
        <w:rPr>
          <w:noProof/>
        </w:rPr>
        <w:t>1.3.3</w:t>
      </w:r>
      <w:r w:rsidR="00D158A5">
        <w:rPr>
          <w:noProof/>
        </w:rPr>
        <w:fldChar w:fldCharType="end"/>
      </w:r>
      <w:r w:rsidR="00BD0D94">
        <w:rPr>
          <w:noProof/>
        </w:rPr>
        <w:t xml:space="preserve"> in this Annex</w:t>
      </w:r>
      <w:r w:rsidR="00D158A5">
        <w:rPr>
          <w:noProof/>
        </w:rPr>
        <w:t>)</w:t>
      </w:r>
      <w:r w:rsidR="00A6433F">
        <w:rPr>
          <w:noProof/>
        </w:rPr>
        <w:t xml:space="preserve">. </w:t>
      </w:r>
      <w:r w:rsidR="0069119E">
        <w:rPr>
          <w:noProof/>
        </w:rPr>
        <w:t xml:space="preserve">The </w:t>
      </w:r>
      <w:r w:rsidR="004B6541">
        <w:rPr>
          <w:noProof/>
        </w:rPr>
        <w:t xml:space="preserve">small </w:t>
      </w:r>
      <w:r w:rsidR="0069119E">
        <w:rPr>
          <w:noProof/>
        </w:rPr>
        <w:t>differences in particulate matter emissions between scenarios are mainly due to differences in</w:t>
      </w:r>
      <w:r w:rsidR="004312ED">
        <w:rPr>
          <w:noProof/>
        </w:rPr>
        <w:t xml:space="preserve"> solid</w:t>
      </w:r>
      <w:r w:rsidR="0069119E">
        <w:rPr>
          <w:noProof/>
        </w:rPr>
        <w:t xml:space="preserve"> biomass consumption.</w:t>
      </w:r>
    </w:p>
    <w:p w14:paraId="5CB73753" w14:textId="3AD2D932" w:rsidR="006B0BC7" w:rsidRDefault="00B33F81" w:rsidP="006B0BC7">
      <w:pPr>
        <w:rPr>
          <w:noProof/>
        </w:rPr>
      </w:pPr>
      <w:r w:rsidRPr="00B33F81">
        <w:rPr>
          <w:noProof/>
        </w:rPr>
        <w:t xml:space="preserve">Differences in air pollutant emissions between </w:t>
      </w:r>
      <w:r w:rsidR="00C459D4">
        <w:rPr>
          <w:noProof/>
        </w:rPr>
        <w:t>LIFE</w:t>
      </w:r>
      <w:r w:rsidRPr="00B33F81">
        <w:rPr>
          <w:noProof/>
        </w:rPr>
        <w:t xml:space="preserve"> and the other scenarios stem from significant differences in agricultural activity levels (i.e., reduction in livestock numbers and fertiliser application in </w:t>
      </w:r>
      <w:r w:rsidR="00C459D4">
        <w:rPr>
          <w:noProof/>
        </w:rPr>
        <w:t>LIFE</w:t>
      </w:r>
      <w:r w:rsidRPr="00B33F81">
        <w:rPr>
          <w:noProof/>
        </w:rPr>
        <w:t xml:space="preserve">). The largest reduction is observed for NH3 emissions (from livestock, manure management and mineral fertiliser application), but there are also substantial reductions in NOx emissions (from the fertilisation of agricultural soils) and VOC emissions (from manure). More specifically, in </w:t>
      </w:r>
      <w:r w:rsidR="00C459D4">
        <w:rPr>
          <w:noProof/>
        </w:rPr>
        <w:t>LIFE</w:t>
      </w:r>
      <w:r w:rsidRPr="00B33F81">
        <w:rPr>
          <w:noProof/>
        </w:rPr>
        <w:t>, in 2040, NH3 emissions are 36% lower than in 2015 (</w:t>
      </w:r>
      <w:r w:rsidR="00FF26D2">
        <w:rPr>
          <w:noProof/>
        </w:rPr>
        <w:t xml:space="preserve">i.e., the decrease is </w:t>
      </w:r>
      <w:r w:rsidRPr="00B33F81">
        <w:rPr>
          <w:noProof/>
        </w:rPr>
        <w:t xml:space="preserve">20 percentage points </w:t>
      </w:r>
      <w:r w:rsidR="00FF26D2">
        <w:rPr>
          <w:noProof/>
        </w:rPr>
        <w:t>higher</w:t>
      </w:r>
      <w:r w:rsidRPr="00B33F81">
        <w:rPr>
          <w:noProof/>
        </w:rPr>
        <w:t xml:space="preserve"> than in the S1, S2 and S3 scenarios), NOx emissions are 74% lower than in 2015 (</w:t>
      </w:r>
      <w:r w:rsidR="00FF26D2">
        <w:rPr>
          <w:noProof/>
        </w:rPr>
        <w:t xml:space="preserve">i.e., the decrease is </w:t>
      </w:r>
      <w:r w:rsidRPr="00B33F81">
        <w:rPr>
          <w:noProof/>
        </w:rPr>
        <w:t xml:space="preserve">3 pp </w:t>
      </w:r>
      <w:r w:rsidR="00FF26D2">
        <w:rPr>
          <w:noProof/>
        </w:rPr>
        <w:t>higher</w:t>
      </w:r>
      <w:r w:rsidRPr="00B33F81">
        <w:rPr>
          <w:noProof/>
        </w:rPr>
        <w:t xml:space="preserve"> than in the other scenarios) and VOC emissions are 33% lower than in 2015 (</w:t>
      </w:r>
      <w:r w:rsidR="00FF26D2">
        <w:rPr>
          <w:noProof/>
        </w:rPr>
        <w:t xml:space="preserve">i.e., the decrease is </w:t>
      </w:r>
      <w:r w:rsidRPr="00B33F81">
        <w:rPr>
          <w:noProof/>
        </w:rPr>
        <w:t xml:space="preserve">4 pp </w:t>
      </w:r>
      <w:r w:rsidR="0095153A">
        <w:rPr>
          <w:noProof/>
        </w:rPr>
        <w:t>high</w:t>
      </w:r>
      <w:r w:rsidR="00FF26D2">
        <w:rPr>
          <w:noProof/>
        </w:rPr>
        <w:t>er</w:t>
      </w:r>
      <w:r w:rsidRPr="00B33F81">
        <w:rPr>
          <w:noProof/>
        </w:rPr>
        <w:t xml:space="preserve"> than in the other scenarios). A relatively small reduction in primary PM2.5 emissions is also </w:t>
      </w:r>
      <w:r w:rsidR="0095153A">
        <w:rPr>
          <w:noProof/>
        </w:rPr>
        <w:t>observed</w:t>
      </w:r>
      <w:r w:rsidRPr="00B33F81">
        <w:rPr>
          <w:noProof/>
        </w:rPr>
        <w:t>, due to lower crushing of bedding material by livestock movements. The level of SO2 emissions is similar to that of the other scenarios, since agriculture activities do not emit much SO2.</w:t>
      </w:r>
    </w:p>
    <w:p w14:paraId="7BD25240" w14:textId="0129E213" w:rsidR="006B0BC7" w:rsidRDefault="004E6A9D" w:rsidP="006B0BC7">
      <w:pPr>
        <w:rPr>
          <w:noProof/>
        </w:rPr>
      </w:pPr>
      <w:r w:rsidRPr="0009775F">
        <w:rPr>
          <w:noProof/>
          <w:color w:val="2B579A"/>
          <w:shd w:val="clear" w:color="auto" w:fill="E6E6E6"/>
        </w:rPr>
        <w:fldChar w:fldCharType="begin"/>
      </w:r>
      <w:r>
        <w:rPr>
          <w:noProof/>
        </w:rPr>
        <w:instrText xml:space="preserve"> REF _Ref140845993 \h </w:instrText>
      </w:r>
      <w:r w:rsidR="00905891">
        <w:rPr>
          <w:noProof/>
          <w:color w:val="2B579A"/>
          <w:shd w:val="clear" w:color="auto" w:fill="E6E6E6"/>
        </w:rPr>
        <w:instrText xml:space="preserve"> \* MERGEFORMAT </w:instrText>
      </w:r>
      <w:r w:rsidRPr="0009775F">
        <w:rPr>
          <w:noProof/>
          <w:color w:val="2B579A"/>
          <w:shd w:val="clear" w:color="auto" w:fill="E6E6E6"/>
        </w:rPr>
      </w:r>
      <w:r w:rsidRPr="0009775F">
        <w:rPr>
          <w:noProof/>
          <w:color w:val="2B579A"/>
          <w:shd w:val="clear" w:color="auto" w:fill="E6E6E6"/>
        </w:rPr>
        <w:fldChar w:fldCharType="separate"/>
      </w:r>
      <w:r w:rsidR="00170A3C" w:rsidRPr="000F0060">
        <w:rPr>
          <w:noProof/>
          <w:lang w:val="en-IE"/>
        </w:rPr>
        <w:t xml:space="preserve">Table </w:t>
      </w:r>
      <w:r w:rsidR="00170A3C">
        <w:rPr>
          <w:noProof/>
          <w:lang w:val="en-IE"/>
        </w:rPr>
        <w:t>19</w:t>
      </w:r>
      <w:r w:rsidRPr="0009775F">
        <w:rPr>
          <w:noProof/>
          <w:color w:val="2B579A"/>
          <w:shd w:val="clear" w:color="auto" w:fill="E6E6E6"/>
        </w:rPr>
        <w:fldChar w:fldCharType="end"/>
      </w:r>
      <w:r>
        <w:rPr>
          <w:noProof/>
        </w:rPr>
        <w:t xml:space="preserve"> </w:t>
      </w:r>
      <w:r w:rsidR="006B0BC7">
        <w:rPr>
          <w:noProof/>
        </w:rPr>
        <w:t>also shows the positive impact that reducing air pollutant emissions has on public health</w:t>
      </w:r>
      <w:r w:rsidR="0093589F" w:rsidRPr="0093589F">
        <w:rPr>
          <w:noProof/>
        </w:rPr>
        <w:t> (</w:t>
      </w:r>
      <w:r w:rsidR="0093589F">
        <w:rPr>
          <w:rStyle w:val="FootnoteReference"/>
          <w:noProof/>
        </w:rPr>
        <w:footnoteReference w:id="218"/>
      </w:r>
      <w:r w:rsidR="0093589F">
        <w:rPr>
          <w:noProof/>
        </w:rPr>
        <w:t>)</w:t>
      </w:r>
      <w:r w:rsidR="006B0BC7">
        <w:rPr>
          <w:noProof/>
        </w:rPr>
        <w:t xml:space="preserve">. </w:t>
      </w:r>
      <w:bookmarkStart w:id="546" w:name="_Hlk145506426"/>
      <w:r w:rsidR="006B0BC7">
        <w:rPr>
          <w:noProof/>
        </w:rPr>
        <w:t xml:space="preserve">In the S1, S2 and S3 scenarios, the number of premature deaths per year caused by PM2.5 </w:t>
      </w:r>
      <w:r w:rsidR="00C43676">
        <w:rPr>
          <w:noProof/>
        </w:rPr>
        <w:t xml:space="preserve">and ozone </w:t>
      </w:r>
      <w:r w:rsidR="006B0BC7">
        <w:rPr>
          <w:noProof/>
        </w:rPr>
        <w:t xml:space="preserve">exposure in the EU drops by </w:t>
      </w:r>
      <w:r w:rsidR="00C43676">
        <w:rPr>
          <w:noProof/>
        </w:rPr>
        <w:t>58%</w:t>
      </w:r>
      <w:r w:rsidR="006B0BC7">
        <w:rPr>
          <w:noProof/>
        </w:rPr>
        <w:t xml:space="preserve"> in 2040 compared to 2015</w:t>
      </w:r>
      <w:r w:rsidR="001D32C3" w:rsidRPr="001D32C3">
        <w:rPr>
          <w:noProof/>
        </w:rPr>
        <w:t xml:space="preserve">. </w:t>
      </w:r>
      <w:r w:rsidR="006B0BC7">
        <w:rPr>
          <w:noProof/>
        </w:rPr>
        <w:t xml:space="preserve">This means </w:t>
      </w:r>
      <w:r w:rsidR="001D32C3" w:rsidRPr="001D32C3">
        <w:rPr>
          <w:noProof/>
        </w:rPr>
        <w:t xml:space="preserve">around </w:t>
      </w:r>
      <w:r w:rsidR="00C43676">
        <w:rPr>
          <w:noProof/>
        </w:rPr>
        <w:t>270 000</w:t>
      </w:r>
      <w:r w:rsidR="006B0BC7">
        <w:rPr>
          <w:noProof/>
        </w:rPr>
        <w:t xml:space="preserve"> less premature deaths per year in total</w:t>
      </w:r>
      <w:r w:rsidR="001D32C3" w:rsidRPr="001D32C3">
        <w:rPr>
          <w:noProof/>
        </w:rPr>
        <w:t>.</w:t>
      </w:r>
      <w:r w:rsidR="006B0BC7">
        <w:rPr>
          <w:noProof/>
        </w:rPr>
        <w:t xml:space="preserve"> Furthermore, </w:t>
      </w:r>
      <w:r w:rsidR="001D32C3" w:rsidRPr="001D32C3">
        <w:rPr>
          <w:noProof/>
        </w:rPr>
        <w:t xml:space="preserve">the </w:t>
      </w:r>
      <w:r w:rsidR="006B0BC7">
        <w:rPr>
          <w:noProof/>
        </w:rPr>
        <w:t xml:space="preserve">annual </w:t>
      </w:r>
      <w:r w:rsidR="001D32C3" w:rsidRPr="001D32C3">
        <w:rPr>
          <w:noProof/>
        </w:rPr>
        <w:t xml:space="preserve">number of </w:t>
      </w:r>
      <w:r w:rsidR="006B0BC7">
        <w:rPr>
          <w:noProof/>
        </w:rPr>
        <w:t>years of life lost</w:t>
      </w:r>
      <w:r w:rsidR="001D32C3" w:rsidRPr="001D32C3">
        <w:rPr>
          <w:noProof/>
        </w:rPr>
        <w:t xml:space="preserve"> due to PM2.5 </w:t>
      </w:r>
      <w:r w:rsidR="00C43676">
        <w:rPr>
          <w:noProof/>
        </w:rPr>
        <w:t>and ozone</w:t>
      </w:r>
      <w:r w:rsidR="00222977" w:rsidRPr="00222977">
        <w:rPr>
          <w:noProof/>
        </w:rPr>
        <w:t> (</w:t>
      </w:r>
      <w:r w:rsidR="00222977">
        <w:rPr>
          <w:rStyle w:val="FootnoteReference"/>
          <w:noProof/>
        </w:rPr>
        <w:footnoteReference w:id="219"/>
      </w:r>
      <w:r w:rsidR="00222977">
        <w:rPr>
          <w:noProof/>
        </w:rPr>
        <w:t>)</w:t>
      </w:r>
      <w:r w:rsidR="00C43676">
        <w:rPr>
          <w:noProof/>
        </w:rPr>
        <w:t xml:space="preserve"> </w:t>
      </w:r>
      <w:r w:rsidR="001D32C3" w:rsidRPr="001D32C3">
        <w:rPr>
          <w:noProof/>
        </w:rPr>
        <w:t xml:space="preserve">exposure </w:t>
      </w:r>
      <w:r w:rsidR="006B0BC7">
        <w:rPr>
          <w:noProof/>
        </w:rPr>
        <w:t xml:space="preserve">decreases by </w:t>
      </w:r>
      <w:r w:rsidR="00C43676">
        <w:rPr>
          <w:noProof/>
        </w:rPr>
        <w:t>55%</w:t>
      </w:r>
      <w:r w:rsidR="006B0BC7">
        <w:rPr>
          <w:noProof/>
        </w:rPr>
        <w:t xml:space="preserve"> (i.e., around 3.3 million years of life lost</w:t>
      </w:r>
      <w:r w:rsidR="001D32C3" w:rsidRPr="001D32C3">
        <w:rPr>
          <w:noProof/>
        </w:rPr>
        <w:t xml:space="preserve"> per year less) </w:t>
      </w:r>
      <w:r w:rsidR="00CF72C2">
        <w:rPr>
          <w:noProof/>
        </w:rPr>
        <w:t>between</w:t>
      </w:r>
      <w:r w:rsidR="001D32C3" w:rsidRPr="001D32C3">
        <w:rPr>
          <w:noProof/>
        </w:rPr>
        <w:t xml:space="preserve"> 2015</w:t>
      </w:r>
      <w:r w:rsidR="00CF72C2">
        <w:rPr>
          <w:noProof/>
        </w:rPr>
        <w:t xml:space="preserve"> and </w:t>
      </w:r>
      <w:r w:rsidR="006B0BC7">
        <w:rPr>
          <w:noProof/>
        </w:rPr>
        <w:t>2040</w:t>
      </w:r>
      <w:r w:rsidR="001D32C3" w:rsidRPr="001D32C3">
        <w:rPr>
          <w:noProof/>
        </w:rPr>
        <w:t>.</w:t>
      </w:r>
      <w:r w:rsidR="006B0BC7">
        <w:rPr>
          <w:noProof/>
        </w:rPr>
        <w:t xml:space="preserve"> In </w:t>
      </w:r>
      <w:r w:rsidR="00C459D4">
        <w:rPr>
          <w:noProof/>
        </w:rPr>
        <w:t>LIFE</w:t>
      </w:r>
      <w:r w:rsidR="006B0BC7">
        <w:rPr>
          <w:noProof/>
        </w:rPr>
        <w:t xml:space="preserve">, the number of premature deaths per year </w:t>
      </w:r>
      <w:r w:rsidR="0083459C">
        <w:rPr>
          <w:noProof/>
        </w:rPr>
        <w:t>goes down</w:t>
      </w:r>
      <w:r w:rsidR="006B0BC7">
        <w:rPr>
          <w:noProof/>
        </w:rPr>
        <w:t xml:space="preserve"> by </w:t>
      </w:r>
      <w:r w:rsidR="00C43676">
        <w:rPr>
          <w:noProof/>
        </w:rPr>
        <w:t>60%</w:t>
      </w:r>
      <w:r w:rsidR="001D32C3" w:rsidRPr="001D32C3">
        <w:rPr>
          <w:noProof/>
        </w:rPr>
        <w:t xml:space="preserve"> </w:t>
      </w:r>
      <w:r w:rsidR="0083459C">
        <w:rPr>
          <w:noProof/>
        </w:rPr>
        <w:t xml:space="preserve">between 2015 and </w:t>
      </w:r>
      <w:r w:rsidR="006B0BC7">
        <w:rPr>
          <w:noProof/>
        </w:rPr>
        <w:t xml:space="preserve">2040 (which means </w:t>
      </w:r>
      <w:r w:rsidR="00C43676">
        <w:rPr>
          <w:noProof/>
        </w:rPr>
        <w:t>277 000</w:t>
      </w:r>
      <w:r w:rsidR="006B0BC7">
        <w:rPr>
          <w:noProof/>
        </w:rPr>
        <w:t xml:space="preserve"> cases per year less), and </w:t>
      </w:r>
      <w:r w:rsidR="001D32C3" w:rsidRPr="001D32C3">
        <w:rPr>
          <w:noProof/>
        </w:rPr>
        <w:t xml:space="preserve">the annual number of years of life lost </w:t>
      </w:r>
      <w:r w:rsidR="006B0BC7">
        <w:rPr>
          <w:noProof/>
        </w:rPr>
        <w:t xml:space="preserve">decreases by </w:t>
      </w:r>
      <w:r w:rsidR="006D3428">
        <w:rPr>
          <w:noProof/>
        </w:rPr>
        <w:t>57%</w:t>
      </w:r>
      <w:r w:rsidR="006B0BC7">
        <w:rPr>
          <w:noProof/>
        </w:rPr>
        <w:t xml:space="preserve"> (i.e., </w:t>
      </w:r>
      <w:r w:rsidR="001D32C3" w:rsidRPr="001D32C3">
        <w:rPr>
          <w:noProof/>
        </w:rPr>
        <w:t>3.4</w:t>
      </w:r>
      <w:r w:rsidR="006B0BC7">
        <w:rPr>
          <w:noProof/>
        </w:rPr>
        <w:t xml:space="preserve"> million years of life lost</w:t>
      </w:r>
      <w:r w:rsidR="001D32C3" w:rsidRPr="001D32C3">
        <w:rPr>
          <w:noProof/>
        </w:rPr>
        <w:t xml:space="preserve"> per year less) </w:t>
      </w:r>
      <w:r w:rsidR="0083459C">
        <w:rPr>
          <w:noProof/>
        </w:rPr>
        <w:t>over</w:t>
      </w:r>
      <w:r w:rsidR="001D32C3" w:rsidRPr="001D32C3">
        <w:rPr>
          <w:noProof/>
        </w:rPr>
        <w:t xml:space="preserve"> the </w:t>
      </w:r>
      <w:r w:rsidR="006B0BC7">
        <w:rPr>
          <w:noProof/>
        </w:rPr>
        <w:t xml:space="preserve">same period. </w:t>
      </w:r>
      <w:r w:rsidR="001D32C3" w:rsidRPr="001D32C3">
        <w:rPr>
          <w:noProof/>
        </w:rPr>
        <w:t xml:space="preserve">This implies reductions </w:t>
      </w:r>
      <w:r w:rsidR="00BD6BED">
        <w:rPr>
          <w:noProof/>
        </w:rPr>
        <w:t xml:space="preserve">in the annual number </w:t>
      </w:r>
      <w:r w:rsidR="001D32C3" w:rsidRPr="001D32C3">
        <w:rPr>
          <w:noProof/>
        </w:rPr>
        <w:t>of premature deaths and years of life lost between 2015 and 2040 that are 2 percentage points greater than in the other scenarios.</w:t>
      </w:r>
      <w:bookmarkEnd w:id="546"/>
    </w:p>
    <w:p w14:paraId="722BAB18" w14:textId="5218765C" w:rsidR="00402393" w:rsidRPr="00FF5625" w:rsidRDefault="006B0BC7" w:rsidP="006B0BC7">
      <w:pPr>
        <w:rPr>
          <w:noProof/>
        </w:rPr>
      </w:pPr>
      <w:r>
        <w:rPr>
          <w:noProof/>
        </w:rPr>
        <w:t xml:space="preserve">The </w:t>
      </w:r>
      <w:r w:rsidR="00D37F59">
        <w:rPr>
          <w:noProof/>
        </w:rPr>
        <w:t>decrease</w:t>
      </w:r>
      <w:r>
        <w:rPr>
          <w:noProof/>
        </w:rPr>
        <w:t xml:space="preserve"> in air </w:t>
      </w:r>
      <w:r w:rsidRPr="00FF5625">
        <w:rPr>
          <w:noProof/>
        </w:rPr>
        <w:t>pollutant emissions reduces the costs of air pollution control</w:t>
      </w:r>
      <w:r w:rsidR="00D37F59" w:rsidRPr="00FF5625">
        <w:rPr>
          <w:noProof/>
        </w:rPr>
        <w:t xml:space="preserve"> in the EU</w:t>
      </w:r>
      <w:r w:rsidRPr="00FF5625">
        <w:rPr>
          <w:noProof/>
        </w:rPr>
        <w:t xml:space="preserve">. </w:t>
      </w:r>
      <w:r w:rsidR="000A52B8" w:rsidRPr="00FF5625">
        <w:rPr>
          <w:noProof/>
          <w:color w:val="2B579A"/>
          <w:shd w:val="clear" w:color="auto" w:fill="E6E6E6"/>
        </w:rPr>
        <w:fldChar w:fldCharType="begin"/>
      </w:r>
      <w:r w:rsidR="000A52B8" w:rsidRPr="00FF5625">
        <w:rPr>
          <w:noProof/>
        </w:rPr>
        <w:instrText xml:space="preserve"> REF _Ref140845993 \h </w:instrText>
      </w:r>
      <w:r w:rsidR="00905891" w:rsidRPr="00FF5625">
        <w:rPr>
          <w:noProof/>
          <w:color w:val="2B579A"/>
          <w:shd w:val="clear" w:color="auto" w:fill="E6E6E6"/>
        </w:rPr>
        <w:instrText xml:space="preserve"> \* MERGEFORMAT </w:instrText>
      </w:r>
      <w:r w:rsidR="000A52B8" w:rsidRPr="00FF5625">
        <w:rPr>
          <w:noProof/>
          <w:color w:val="2B579A"/>
          <w:shd w:val="clear" w:color="auto" w:fill="E6E6E6"/>
        </w:rPr>
      </w:r>
      <w:r w:rsidR="000A52B8" w:rsidRPr="00FF5625">
        <w:rPr>
          <w:noProof/>
          <w:color w:val="2B579A"/>
          <w:shd w:val="clear" w:color="auto" w:fill="E6E6E6"/>
        </w:rPr>
        <w:fldChar w:fldCharType="separate"/>
      </w:r>
      <w:r w:rsidR="00170A3C" w:rsidRPr="000F0060">
        <w:rPr>
          <w:noProof/>
          <w:lang w:val="en-IE"/>
        </w:rPr>
        <w:t xml:space="preserve">Table </w:t>
      </w:r>
      <w:r w:rsidR="00170A3C">
        <w:rPr>
          <w:noProof/>
          <w:lang w:val="en-IE"/>
        </w:rPr>
        <w:t>19</w:t>
      </w:r>
      <w:r w:rsidR="000A52B8" w:rsidRPr="00FF5625">
        <w:rPr>
          <w:noProof/>
          <w:color w:val="2B579A"/>
          <w:shd w:val="clear" w:color="auto" w:fill="E6E6E6"/>
        </w:rPr>
        <w:fldChar w:fldCharType="end"/>
      </w:r>
      <w:r w:rsidR="000A52B8" w:rsidRPr="00FF5625">
        <w:rPr>
          <w:noProof/>
        </w:rPr>
        <w:t xml:space="preserve"> </w:t>
      </w:r>
      <w:r w:rsidRPr="00FF5625">
        <w:rPr>
          <w:noProof/>
        </w:rPr>
        <w:t>shows that in 2040 these costs are EUR 2</w:t>
      </w:r>
      <w:r w:rsidR="00471271" w:rsidRPr="00FF5625">
        <w:rPr>
          <w:noProof/>
        </w:rPr>
        <w:t>5</w:t>
      </w:r>
      <w:r w:rsidRPr="00FF5625">
        <w:rPr>
          <w:noProof/>
        </w:rPr>
        <w:t>-2</w:t>
      </w:r>
      <w:r w:rsidR="00471271" w:rsidRPr="00FF5625">
        <w:rPr>
          <w:noProof/>
        </w:rPr>
        <w:t>7</w:t>
      </w:r>
      <w:r w:rsidRPr="00FF5625">
        <w:rPr>
          <w:noProof/>
        </w:rPr>
        <w:t xml:space="preserve"> billion lower than in 2015 in the S1, S2, S3 scenarios, and EUR </w:t>
      </w:r>
      <w:r w:rsidR="00402393" w:rsidRPr="00FF5625">
        <w:rPr>
          <w:noProof/>
        </w:rPr>
        <w:t>2</w:t>
      </w:r>
      <w:r w:rsidR="00CF50B5" w:rsidRPr="00FF5625">
        <w:rPr>
          <w:noProof/>
        </w:rPr>
        <w:t>7</w:t>
      </w:r>
      <w:r w:rsidR="00402393" w:rsidRPr="00FF5625">
        <w:rPr>
          <w:noProof/>
        </w:rPr>
        <w:t xml:space="preserve"> </w:t>
      </w:r>
      <w:r w:rsidRPr="00FF5625">
        <w:rPr>
          <w:noProof/>
        </w:rPr>
        <w:t xml:space="preserve">billion </w:t>
      </w:r>
      <w:r w:rsidR="00241208" w:rsidRPr="00FF5625">
        <w:rPr>
          <w:noProof/>
        </w:rPr>
        <w:t xml:space="preserve">lower </w:t>
      </w:r>
      <w:r w:rsidR="00402393" w:rsidRPr="00FF5625">
        <w:rPr>
          <w:noProof/>
        </w:rPr>
        <w:t xml:space="preserve">than </w:t>
      </w:r>
      <w:r w:rsidRPr="00FF5625">
        <w:rPr>
          <w:noProof/>
        </w:rPr>
        <w:t xml:space="preserve">in </w:t>
      </w:r>
      <w:r w:rsidR="00402393" w:rsidRPr="00FF5625">
        <w:rPr>
          <w:noProof/>
        </w:rPr>
        <w:t xml:space="preserve">2015 in </w:t>
      </w:r>
      <w:r w:rsidR="00C459D4" w:rsidRPr="00FF5625">
        <w:rPr>
          <w:noProof/>
        </w:rPr>
        <w:t>LIFE</w:t>
      </w:r>
      <w:r w:rsidRPr="00FF5625">
        <w:rPr>
          <w:noProof/>
        </w:rPr>
        <w:t xml:space="preserve">. </w:t>
      </w:r>
      <w:r w:rsidR="00402393" w:rsidRPr="00FF5625">
        <w:rPr>
          <w:noProof/>
        </w:rPr>
        <w:t xml:space="preserve">There is a reduction in air pollution control costs for the agricultural sector in </w:t>
      </w:r>
      <w:r w:rsidR="00C459D4" w:rsidRPr="00FF5625">
        <w:rPr>
          <w:noProof/>
        </w:rPr>
        <w:t>LIFE</w:t>
      </w:r>
      <w:r w:rsidR="00402393" w:rsidRPr="00FF5625">
        <w:rPr>
          <w:noProof/>
        </w:rPr>
        <w:t xml:space="preserve"> compared to the S2 scenario (EUR 1 billion less), since agricultural activity is lower. However, as the main part of the air pollution control costs are associated with sectors other than agriculture, the overall difference in control costs is relatively small.</w:t>
      </w:r>
    </w:p>
    <w:p w14:paraId="4EAA5F0E" w14:textId="0E497797" w:rsidR="006B0BC7" w:rsidRDefault="006B0BC7" w:rsidP="006B0BC7">
      <w:pPr>
        <w:rPr>
          <w:noProof/>
        </w:rPr>
      </w:pPr>
      <w:r w:rsidRPr="00FF5625">
        <w:rPr>
          <w:noProof/>
        </w:rPr>
        <w:t xml:space="preserve">Moreover, the reduction in mortality has been assessed economically using </w:t>
      </w:r>
      <w:r w:rsidR="008A4A19" w:rsidRPr="00FF5625">
        <w:rPr>
          <w:noProof/>
        </w:rPr>
        <w:t>two methods: Value of Statistical Life (VSL) and Value of a Life Year (VOLY). In this impact assessment, the</w:t>
      </w:r>
      <w:r w:rsidRPr="00FF5625">
        <w:rPr>
          <w:noProof/>
        </w:rPr>
        <w:t xml:space="preserve"> value </w:t>
      </w:r>
      <w:r w:rsidR="008A4A19" w:rsidRPr="00FF5625">
        <w:rPr>
          <w:noProof/>
        </w:rPr>
        <w:t>of a statistical life is assumed</w:t>
      </w:r>
      <w:r w:rsidRPr="00FF5625">
        <w:rPr>
          <w:noProof/>
        </w:rPr>
        <w:t xml:space="preserve"> to </w:t>
      </w:r>
      <w:r w:rsidR="008A4A19" w:rsidRPr="00FF5625">
        <w:rPr>
          <w:noProof/>
        </w:rPr>
        <w:t xml:space="preserve">be EUR </w:t>
      </w:r>
      <w:r w:rsidR="009B21F6" w:rsidRPr="00FF5625">
        <w:rPr>
          <w:noProof/>
        </w:rPr>
        <w:t>4.</w:t>
      </w:r>
      <w:r w:rsidR="008A4A19" w:rsidRPr="00FF5625">
        <w:rPr>
          <w:noProof/>
        </w:rPr>
        <w:t>36</w:t>
      </w:r>
      <w:r w:rsidRPr="00FF5625">
        <w:rPr>
          <w:noProof/>
        </w:rPr>
        <w:t xml:space="preserve"> million</w:t>
      </w:r>
      <w:r w:rsidR="008A4A19" w:rsidRPr="00FF5625">
        <w:rPr>
          <w:noProof/>
        </w:rPr>
        <w:t>, and the value of a life year is assumed</w:t>
      </w:r>
      <w:r w:rsidRPr="00FF5625">
        <w:rPr>
          <w:noProof/>
        </w:rPr>
        <w:t xml:space="preserve"> to </w:t>
      </w:r>
      <w:r w:rsidR="008A4A19" w:rsidRPr="00FF5625">
        <w:rPr>
          <w:noProof/>
        </w:rPr>
        <w:t xml:space="preserve">be EUR </w:t>
      </w:r>
      <w:r w:rsidR="009B21F6" w:rsidRPr="00FF5625">
        <w:rPr>
          <w:noProof/>
        </w:rPr>
        <w:t>114</w:t>
      </w:r>
      <w:r w:rsidR="008A4A19" w:rsidRPr="00FF5625">
        <w:rPr>
          <w:noProof/>
        </w:rPr>
        <w:t> </w:t>
      </w:r>
      <w:r w:rsidR="009B21F6" w:rsidRPr="00FF5625">
        <w:rPr>
          <w:noProof/>
        </w:rPr>
        <w:t>722</w:t>
      </w:r>
      <w:r w:rsidR="00E668EE" w:rsidRPr="00FF5625">
        <w:rPr>
          <w:noProof/>
        </w:rPr>
        <w:t> (</w:t>
      </w:r>
      <w:r w:rsidR="00E668EE" w:rsidRPr="00FF5625">
        <w:rPr>
          <w:rStyle w:val="FootnoteReference"/>
          <w:noProof/>
        </w:rPr>
        <w:footnoteReference w:id="220"/>
      </w:r>
      <w:r w:rsidR="00E668EE" w:rsidRPr="00FF5625">
        <w:rPr>
          <w:noProof/>
        </w:rPr>
        <w:t>)</w:t>
      </w:r>
      <w:r w:rsidRPr="00FF5625">
        <w:rPr>
          <w:noProof/>
        </w:rPr>
        <w:t>. As shown in</w:t>
      </w:r>
      <w:r w:rsidR="006A1565" w:rsidRPr="00FF5625">
        <w:rPr>
          <w:noProof/>
        </w:rPr>
        <w:t xml:space="preserve"> </w:t>
      </w:r>
      <w:r w:rsidR="006A1565" w:rsidRPr="00FF5625">
        <w:rPr>
          <w:noProof/>
          <w:color w:val="2B579A"/>
          <w:shd w:val="clear" w:color="auto" w:fill="E6E6E6"/>
        </w:rPr>
        <w:fldChar w:fldCharType="begin"/>
      </w:r>
      <w:r w:rsidR="006A1565" w:rsidRPr="00FF5625">
        <w:rPr>
          <w:noProof/>
        </w:rPr>
        <w:instrText xml:space="preserve"> REF _Ref140845993 \h </w:instrText>
      </w:r>
      <w:r w:rsidR="00905891" w:rsidRPr="00FF5625">
        <w:rPr>
          <w:noProof/>
          <w:color w:val="2B579A"/>
          <w:shd w:val="clear" w:color="auto" w:fill="E6E6E6"/>
        </w:rPr>
        <w:instrText xml:space="preserve"> \* MERGEFORMAT </w:instrText>
      </w:r>
      <w:r w:rsidR="006A1565" w:rsidRPr="00FF5625">
        <w:rPr>
          <w:noProof/>
          <w:color w:val="2B579A"/>
          <w:shd w:val="clear" w:color="auto" w:fill="E6E6E6"/>
        </w:rPr>
      </w:r>
      <w:r w:rsidR="006A1565" w:rsidRPr="00FF5625">
        <w:rPr>
          <w:noProof/>
          <w:color w:val="2B579A"/>
          <w:shd w:val="clear" w:color="auto" w:fill="E6E6E6"/>
        </w:rPr>
        <w:fldChar w:fldCharType="separate"/>
      </w:r>
      <w:r w:rsidR="00170A3C" w:rsidRPr="000F0060">
        <w:rPr>
          <w:noProof/>
          <w:lang w:val="en-IE"/>
        </w:rPr>
        <w:t xml:space="preserve">Table </w:t>
      </w:r>
      <w:r w:rsidR="00170A3C">
        <w:rPr>
          <w:noProof/>
          <w:lang w:val="en-IE"/>
        </w:rPr>
        <w:t>19</w:t>
      </w:r>
      <w:r w:rsidR="006A1565" w:rsidRPr="00FF5625">
        <w:rPr>
          <w:noProof/>
          <w:color w:val="2B579A"/>
          <w:shd w:val="clear" w:color="auto" w:fill="E6E6E6"/>
        </w:rPr>
        <w:fldChar w:fldCharType="end"/>
      </w:r>
      <w:r w:rsidRPr="00FF5625">
        <w:rPr>
          <w:noProof/>
        </w:rPr>
        <w:t xml:space="preserve">, in the </w:t>
      </w:r>
      <w:r w:rsidR="008A4A19" w:rsidRPr="00FF5625">
        <w:rPr>
          <w:noProof/>
        </w:rPr>
        <w:t xml:space="preserve">S1, S2 and S3 scenarios, in 2040, the premature mortality costs are EUR </w:t>
      </w:r>
      <w:r w:rsidR="00DF3780" w:rsidRPr="00FF5625">
        <w:rPr>
          <w:noProof/>
        </w:rPr>
        <w:t>1</w:t>
      </w:r>
      <w:r w:rsidR="00E25C99" w:rsidRPr="00FF5625">
        <w:rPr>
          <w:noProof/>
        </w:rPr>
        <w:t> </w:t>
      </w:r>
      <w:r w:rsidR="00DF3780" w:rsidRPr="00FF5625">
        <w:rPr>
          <w:noProof/>
        </w:rPr>
        <w:t>046</w:t>
      </w:r>
      <w:r w:rsidR="00E25C99" w:rsidRPr="00FF5625">
        <w:rPr>
          <w:noProof/>
        </w:rPr>
        <w:t xml:space="preserve"> to </w:t>
      </w:r>
      <w:r w:rsidR="00DF3780" w:rsidRPr="00FF5625">
        <w:rPr>
          <w:noProof/>
        </w:rPr>
        <w:t>1</w:t>
      </w:r>
      <w:r w:rsidR="00E25C99" w:rsidRPr="00FF5625">
        <w:rPr>
          <w:noProof/>
        </w:rPr>
        <w:t> </w:t>
      </w:r>
      <w:r w:rsidR="00DF3780" w:rsidRPr="00FF5625">
        <w:rPr>
          <w:noProof/>
        </w:rPr>
        <w:t>051</w:t>
      </w:r>
      <w:r w:rsidR="008A4A19" w:rsidRPr="00FF5625">
        <w:rPr>
          <w:noProof/>
        </w:rPr>
        <w:t xml:space="preserve"> billion lower compared to 2015 (i.e., a 61% reduction) if the VSL method is used, and EUR </w:t>
      </w:r>
      <w:r w:rsidR="00AF074F">
        <w:rPr>
          <w:noProof/>
        </w:rPr>
        <w:t>380</w:t>
      </w:r>
      <w:r w:rsidR="00E25C99" w:rsidRPr="00FF5625">
        <w:rPr>
          <w:noProof/>
        </w:rPr>
        <w:t xml:space="preserve"> to </w:t>
      </w:r>
      <w:r w:rsidR="00AF074F">
        <w:rPr>
          <w:noProof/>
        </w:rPr>
        <w:t>382</w:t>
      </w:r>
      <w:r w:rsidR="008A4A19" w:rsidRPr="00FF5625">
        <w:rPr>
          <w:noProof/>
        </w:rPr>
        <w:t xml:space="preserve"> billion lower compared to 2015 (i.e., a 56% reduction) if the VOLY method is used</w:t>
      </w:r>
      <w:r w:rsidR="00EE243A" w:rsidRPr="00EE243A">
        <w:rPr>
          <w:noProof/>
        </w:rPr>
        <w:t> (</w:t>
      </w:r>
      <w:r w:rsidR="00EE243A">
        <w:rPr>
          <w:rStyle w:val="FootnoteReference"/>
          <w:noProof/>
        </w:rPr>
        <w:footnoteReference w:id="221"/>
      </w:r>
      <w:r w:rsidR="00EE243A">
        <w:rPr>
          <w:noProof/>
        </w:rPr>
        <w:t>)</w:t>
      </w:r>
      <w:r w:rsidR="008A4A19" w:rsidRPr="00FF5625">
        <w:rPr>
          <w:noProof/>
        </w:rPr>
        <w:t xml:space="preserve">. In </w:t>
      </w:r>
      <w:r w:rsidR="00C459D4" w:rsidRPr="00FF5625">
        <w:rPr>
          <w:noProof/>
        </w:rPr>
        <w:t>LIFE</w:t>
      </w:r>
      <w:r w:rsidR="008A4A19" w:rsidRPr="00FF5625">
        <w:rPr>
          <w:noProof/>
        </w:rPr>
        <w:t xml:space="preserve">, the premature mortality costs are slightly lower because of the decrease in PM2.5 emissions: EUR </w:t>
      </w:r>
      <w:r w:rsidR="007C7AD9" w:rsidRPr="00FF5625">
        <w:rPr>
          <w:noProof/>
        </w:rPr>
        <w:t>1</w:t>
      </w:r>
      <w:r w:rsidR="00E25C99" w:rsidRPr="00FF5625">
        <w:rPr>
          <w:noProof/>
        </w:rPr>
        <w:t> </w:t>
      </w:r>
      <w:r w:rsidR="007C7AD9" w:rsidRPr="00FF5625">
        <w:rPr>
          <w:noProof/>
        </w:rPr>
        <w:t>077</w:t>
      </w:r>
      <w:r w:rsidR="008A4A19" w:rsidRPr="00FF5625">
        <w:rPr>
          <w:noProof/>
        </w:rPr>
        <w:t xml:space="preserve"> billion lower in 2040 compared to 2015 if</w:t>
      </w:r>
      <w:r w:rsidR="008A4A19" w:rsidRPr="008A4A19">
        <w:rPr>
          <w:noProof/>
        </w:rPr>
        <w:t xml:space="preserve"> the VSL method is </w:t>
      </w:r>
      <w:r w:rsidR="008A4A19" w:rsidRPr="00FF5625">
        <w:rPr>
          <w:noProof/>
        </w:rPr>
        <w:t xml:space="preserve">used, and EUR </w:t>
      </w:r>
      <w:r w:rsidR="00AF074F">
        <w:rPr>
          <w:noProof/>
        </w:rPr>
        <w:t>394</w:t>
      </w:r>
      <w:r w:rsidR="008A4A19" w:rsidRPr="00FF5625">
        <w:rPr>
          <w:noProof/>
        </w:rPr>
        <w:t xml:space="preserve"> billion lower in</w:t>
      </w:r>
      <w:r w:rsidR="008A4A19" w:rsidRPr="008A4A19">
        <w:rPr>
          <w:noProof/>
        </w:rPr>
        <w:t xml:space="preserve"> 2040 relative to 2015 if the VOLY method is used.</w:t>
      </w:r>
      <w:r>
        <w:rPr>
          <w:noProof/>
        </w:rPr>
        <w:t xml:space="preserve"> </w:t>
      </w:r>
    </w:p>
    <w:p w14:paraId="07D2FCA1" w14:textId="496E10D6" w:rsidR="000F0060" w:rsidRPr="000F0060" w:rsidRDefault="000F0060" w:rsidP="0023364B">
      <w:pPr>
        <w:pStyle w:val="Caption"/>
        <w:keepLines/>
        <w:rPr>
          <w:noProof/>
          <w:lang w:val="en-IE"/>
        </w:rPr>
      </w:pPr>
      <w:bookmarkStart w:id="547" w:name="_Ref140845993"/>
      <w:bookmarkStart w:id="548" w:name="_Ref140845970"/>
      <w:bookmarkStart w:id="549" w:name="_Toc157679902"/>
      <w:r w:rsidRPr="000F0060">
        <w:rPr>
          <w:noProof/>
          <w:lang w:val="en-IE"/>
        </w:rPr>
        <w:t xml:space="preserve">Table </w:t>
      </w:r>
      <w:r>
        <w:rPr>
          <w:noProof/>
          <w:color w:val="2B579A"/>
          <w:shd w:val="clear" w:color="auto" w:fill="E6E6E6"/>
        </w:rPr>
        <w:fldChar w:fldCharType="begin"/>
      </w:r>
      <w:r w:rsidRPr="000F0060">
        <w:rPr>
          <w:noProof/>
          <w:lang w:val="en-IE"/>
        </w:rPr>
        <w:instrText xml:space="preserve"> SEQ Table \* ARABIC </w:instrText>
      </w:r>
      <w:r>
        <w:rPr>
          <w:noProof/>
          <w:color w:val="2B579A"/>
          <w:shd w:val="clear" w:color="auto" w:fill="E6E6E6"/>
        </w:rPr>
        <w:fldChar w:fldCharType="separate"/>
      </w:r>
      <w:r w:rsidR="00170A3C">
        <w:rPr>
          <w:noProof/>
          <w:lang w:val="en-IE"/>
        </w:rPr>
        <w:t>19</w:t>
      </w:r>
      <w:r>
        <w:rPr>
          <w:noProof/>
          <w:color w:val="2B579A"/>
          <w:shd w:val="clear" w:color="auto" w:fill="E6E6E6"/>
        </w:rPr>
        <w:fldChar w:fldCharType="end"/>
      </w:r>
      <w:bookmarkEnd w:id="547"/>
      <w:r w:rsidRPr="000F0060">
        <w:rPr>
          <w:noProof/>
          <w:lang w:val="en-IE"/>
        </w:rPr>
        <w:t>: Air pollution emissions</w:t>
      </w:r>
      <w:r w:rsidR="00D51E47">
        <w:rPr>
          <w:noProof/>
          <w:lang w:val="en-IE"/>
        </w:rPr>
        <w:t>, impacts on public health</w:t>
      </w:r>
      <w:r w:rsidRPr="000F0060">
        <w:rPr>
          <w:noProof/>
          <w:lang w:val="en-IE"/>
        </w:rPr>
        <w:t xml:space="preserve"> and co</w:t>
      </w:r>
      <w:r>
        <w:rPr>
          <w:noProof/>
          <w:lang w:val="en-IE"/>
        </w:rPr>
        <w:t>sts</w:t>
      </w:r>
      <w:bookmarkEnd w:id="548"/>
      <w:bookmarkEnd w:id="549"/>
    </w:p>
    <w:tbl>
      <w:tblPr>
        <w:tblW w:w="8755" w:type="dxa"/>
        <w:tblLayout w:type="fixed"/>
        <w:tblLook w:val="04A0" w:firstRow="1" w:lastRow="0" w:firstColumn="1" w:lastColumn="0" w:noHBand="0" w:noVBand="1"/>
      </w:tblPr>
      <w:tblGrid>
        <w:gridCol w:w="517"/>
        <w:gridCol w:w="1751"/>
        <w:gridCol w:w="709"/>
        <w:gridCol w:w="1594"/>
        <w:gridCol w:w="1066"/>
        <w:gridCol w:w="1842"/>
        <w:gridCol w:w="1276"/>
      </w:tblGrid>
      <w:tr w:rsidR="00937103" w:rsidRPr="00BB1227" w14:paraId="51343392" w14:textId="77777777" w:rsidTr="001C2345">
        <w:trPr>
          <w:trHeight w:val="211"/>
        </w:trPr>
        <w:tc>
          <w:tcPr>
            <w:tcW w:w="517" w:type="dxa"/>
          </w:tcPr>
          <w:p w14:paraId="1045CBF1" w14:textId="77777777" w:rsidR="00937103" w:rsidRPr="00BB1227" w:rsidRDefault="00937103" w:rsidP="0023364B">
            <w:pPr>
              <w:keepNext/>
              <w:keepLines/>
              <w:spacing w:after="0"/>
              <w:jc w:val="left"/>
              <w:rPr>
                <w:rFonts w:ascii="EC Square Sans Cond Pro" w:hAnsi="EC Square Sans Cond Pro"/>
                <w:noProof/>
                <w:sz w:val="18"/>
                <w:szCs w:val="18"/>
                <w:lang w:val="en-IE"/>
              </w:rPr>
            </w:pPr>
          </w:p>
        </w:tc>
        <w:tc>
          <w:tcPr>
            <w:tcW w:w="1751" w:type="dxa"/>
            <w:tcBorders>
              <w:right w:val="single" w:sz="12" w:space="0" w:color="auto"/>
            </w:tcBorders>
            <w:noWrap/>
            <w:vAlign w:val="center"/>
            <w:hideMark/>
          </w:tcPr>
          <w:p w14:paraId="60AD8C6E" w14:textId="77777777" w:rsidR="00937103" w:rsidRPr="00BB1227" w:rsidRDefault="00937103" w:rsidP="0023364B">
            <w:pPr>
              <w:keepNext/>
              <w:keepLines/>
              <w:spacing w:after="0"/>
              <w:jc w:val="left"/>
              <w:rPr>
                <w:rFonts w:ascii="EC Square Sans Cond Pro" w:hAnsi="EC Square Sans Cond Pro"/>
                <w:noProof/>
                <w:sz w:val="18"/>
                <w:szCs w:val="18"/>
                <w:lang w:val="en-IE"/>
              </w:rPr>
            </w:pPr>
          </w:p>
        </w:tc>
        <w:tc>
          <w:tcPr>
            <w:tcW w:w="709" w:type="dxa"/>
            <w:tcBorders>
              <w:left w:val="single" w:sz="12" w:space="0" w:color="auto"/>
              <w:right w:val="single" w:sz="12" w:space="0" w:color="auto"/>
            </w:tcBorders>
            <w:noWrap/>
            <w:vAlign w:val="center"/>
            <w:hideMark/>
          </w:tcPr>
          <w:p w14:paraId="7CF1346B" w14:textId="1A29C6E3" w:rsidR="00937103" w:rsidRPr="00BB1227" w:rsidRDefault="00937103" w:rsidP="0023364B">
            <w:pPr>
              <w:keepNext/>
              <w:keepLines/>
              <w:spacing w:after="0"/>
              <w:jc w:val="center"/>
              <w:rPr>
                <w:rFonts w:ascii="EC Square Sans Cond Pro" w:hAnsi="EC Square Sans Cond Pro" w:cs="Avenir Next LT Pro"/>
                <w:b/>
                <w:noProof/>
                <w:color w:val="000000"/>
                <w:sz w:val="18"/>
                <w:szCs w:val="18"/>
                <w:lang w:val="en-IE"/>
              </w:rPr>
            </w:pPr>
            <w:r w:rsidRPr="00BB1227">
              <w:rPr>
                <w:rFonts w:ascii="EC Square Sans Cond Pro" w:hAnsi="EC Square Sans Cond Pro" w:cs="Avenir Next LT Pro"/>
                <w:b/>
                <w:noProof/>
                <w:color w:val="000000"/>
                <w:sz w:val="18"/>
                <w:szCs w:val="18"/>
                <w:lang w:val="en-IE"/>
              </w:rPr>
              <w:t>2015</w:t>
            </w:r>
            <w:r w:rsidR="000930D2">
              <w:rPr>
                <w:rFonts w:ascii="EC Square Sans Cond Pro" w:hAnsi="EC Square Sans Cond Pro" w:cs="Avenir Next LT Pro"/>
                <w:b/>
                <w:noProof/>
                <w:color w:val="000000"/>
                <w:sz w:val="18"/>
                <w:szCs w:val="18"/>
                <w:lang w:val="en-IE"/>
              </w:rPr>
              <w:t>*</w:t>
            </w:r>
          </w:p>
        </w:tc>
        <w:tc>
          <w:tcPr>
            <w:tcW w:w="2660" w:type="dxa"/>
            <w:gridSpan w:val="2"/>
            <w:tcBorders>
              <w:left w:val="single" w:sz="12" w:space="0" w:color="auto"/>
            </w:tcBorders>
            <w:vAlign w:val="center"/>
          </w:tcPr>
          <w:p w14:paraId="4C74F29E" w14:textId="77777777" w:rsidR="00937103" w:rsidRPr="00BB1227" w:rsidRDefault="00937103" w:rsidP="0023364B">
            <w:pPr>
              <w:keepNext/>
              <w:keepLines/>
              <w:spacing w:after="0"/>
              <w:jc w:val="center"/>
              <w:rPr>
                <w:rFonts w:ascii="EC Square Sans Cond Pro" w:hAnsi="EC Square Sans Cond Pro" w:cs="Avenir Next LT Pro"/>
                <w:b/>
                <w:smallCaps/>
                <w:noProof/>
                <w:color w:val="000000"/>
                <w:sz w:val="18"/>
                <w:szCs w:val="18"/>
                <w:lang w:val="en-IE"/>
              </w:rPr>
            </w:pPr>
            <w:r w:rsidRPr="00BB1227">
              <w:rPr>
                <w:rFonts w:ascii="EC Square Sans Cond Pro" w:hAnsi="EC Square Sans Cond Pro" w:cs="Avenir Next LT Pro"/>
                <w:b/>
                <w:smallCaps/>
                <w:noProof/>
                <w:color w:val="000000"/>
                <w:sz w:val="18"/>
                <w:szCs w:val="18"/>
                <w:lang w:val="en-IE"/>
              </w:rPr>
              <w:t>2040</w:t>
            </w:r>
          </w:p>
        </w:tc>
        <w:tc>
          <w:tcPr>
            <w:tcW w:w="3118" w:type="dxa"/>
            <w:gridSpan w:val="2"/>
            <w:tcBorders>
              <w:left w:val="single" w:sz="12" w:space="0" w:color="auto"/>
            </w:tcBorders>
            <w:vAlign w:val="center"/>
          </w:tcPr>
          <w:p w14:paraId="3D8C7A14" w14:textId="77777777" w:rsidR="00937103" w:rsidRPr="00BB1227" w:rsidRDefault="00937103" w:rsidP="0023364B">
            <w:pPr>
              <w:keepNext/>
              <w:keepLines/>
              <w:spacing w:after="0"/>
              <w:jc w:val="center"/>
              <w:rPr>
                <w:rFonts w:ascii="EC Square Sans Cond Pro" w:hAnsi="EC Square Sans Cond Pro" w:cs="Avenir Next LT Pro"/>
                <w:b/>
                <w:noProof/>
                <w:color w:val="000000"/>
                <w:sz w:val="18"/>
                <w:szCs w:val="18"/>
                <w:lang w:val="en-IE"/>
              </w:rPr>
            </w:pPr>
            <w:r w:rsidRPr="00BB1227">
              <w:rPr>
                <w:rFonts w:ascii="EC Square Sans Cond Pro" w:hAnsi="EC Square Sans Cond Pro" w:cs="Avenir Next LT Pro"/>
                <w:b/>
                <w:noProof/>
                <w:color w:val="000000"/>
                <w:sz w:val="18"/>
                <w:szCs w:val="18"/>
                <w:lang w:val="en-IE"/>
              </w:rPr>
              <w:t>Change 2015-2040</w:t>
            </w:r>
          </w:p>
        </w:tc>
      </w:tr>
      <w:tr w:rsidR="00937103" w:rsidRPr="00BB1227" w14:paraId="108A3F22" w14:textId="77777777" w:rsidTr="001C2345">
        <w:trPr>
          <w:trHeight w:val="210"/>
        </w:trPr>
        <w:tc>
          <w:tcPr>
            <w:tcW w:w="517" w:type="dxa"/>
            <w:tcBorders>
              <w:bottom w:val="single" w:sz="12" w:space="0" w:color="auto"/>
            </w:tcBorders>
          </w:tcPr>
          <w:p w14:paraId="5AAB4DDE" w14:textId="77777777" w:rsidR="00937103" w:rsidRPr="00BB1227" w:rsidRDefault="00937103" w:rsidP="0023364B">
            <w:pPr>
              <w:keepNext/>
              <w:keepLines/>
              <w:spacing w:after="0"/>
              <w:jc w:val="left"/>
              <w:rPr>
                <w:rFonts w:ascii="EC Square Sans Cond Pro" w:hAnsi="EC Square Sans Cond Pro"/>
                <w:noProof/>
                <w:sz w:val="18"/>
                <w:szCs w:val="18"/>
                <w:lang w:val="en-IE"/>
              </w:rPr>
            </w:pPr>
          </w:p>
        </w:tc>
        <w:tc>
          <w:tcPr>
            <w:tcW w:w="1751" w:type="dxa"/>
            <w:tcBorders>
              <w:bottom w:val="single" w:sz="12" w:space="0" w:color="auto"/>
              <w:right w:val="single" w:sz="12" w:space="0" w:color="auto"/>
            </w:tcBorders>
            <w:noWrap/>
            <w:vAlign w:val="center"/>
          </w:tcPr>
          <w:p w14:paraId="78D711B7" w14:textId="77777777" w:rsidR="00937103" w:rsidRPr="00BB1227" w:rsidRDefault="00937103" w:rsidP="0023364B">
            <w:pPr>
              <w:keepNext/>
              <w:keepLines/>
              <w:spacing w:after="0"/>
              <w:jc w:val="left"/>
              <w:rPr>
                <w:rFonts w:ascii="EC Square Sans Cond Pro" w:hAnsi="EC Square Sans Cond Pro"/>
                <w:noProof/>
                <w:sz w:val="18"/>
                <w:szCs w:val="18"/>
                <w:lang w:val="en-IE"/>
              </w:rPr>
            </w:pPr>
          </w:p>
        </w:tc>
        <w:tc>
          <w:tcPr>
            <w:tcW w:w="709" w:type="dxa"/>
            <w:tcBorders>
              <w:left w:val="single" w:sz="12" w:space="0" w:color="auto"/>
              <w:bottom w:val="single" w:sz="12" w:space="0" w:color="auto"/>
              <w:right w:val="single" w:sz="12" w:space="0" w:color="auto"/>
            </w:tcBorders>
            <w:noWrap/>
            <w:vAlign w:val="center"/>
          </w:tcPr>
          <w:p w14:paraId="6DCF920A" w14:textId="77777777" w:rsidR="00937103" w:rsidRPr="00BB1227" w:rsidRDefault="00937103" w:rsidP="0023364B">
            <w:pPr>
              <w:keepNext/>
              <w:keepLines/>
              <w:spacing w:after="0"/>
              <w:jc w:val="center"/>
              <w:rPr>
                <w:rFonts w:ascii="EC Square Sans Cond Pro" w:hAnsi="EC Square Sans Cond Pro" w:cs="Avenir Next LT Pro"/>
                <w:b/>
                <w:smallCaps/>
                <w:noProof/>
                <w:color w:val="000000"/>
                <w:sz w:val="18"/>
                <w:szCs w:val="18"/>
                <w:lang w:val="en-IE"/>
              </w:rPr>
            </w:pPr>
          </w:p>
        </w:tc>
        <w:tc>
          <w:tcPr>
            <w:tcW w:w="1594" w:type="dxa"/>
            <w:tcBorders>
              <w:left w:val="single" w:sz="12" w:space="0" w:color="auto"/>
              <w:bottom w:val="single" w:sz="12" w:space="0" w:color="auto"/>
            </w:tcBorders>
            <w:vAlign w:val="center"/>
          </w:tcPr>
          <w:p w14:paraId="4F226D83" w14:textId="77777777" w:rsidR="00937103" w:rsidRPr="00BB1227" w:rsidRDefault="00937103" w:rsidP="0023364B">
            <w:pPr>
              <w:keepNext/>
              <w:keepLines/>
              <w:spacing w:after="0"/>
              <w:jc w:val="center"/>
              <w:rPr>
                <w:rFonts w:ascii="EC Square Sans Cond Pro" w:hAnsi="EC Square Sans Cond Pro" w:cs="Avenir Next LT Pro"/>
                <w:b/>
                <w:smallCaps/>
                <w:noProof/>
                <w:color w:val="000000"/>
                <w:sz w:val="18"/>
                <w:szCs w:val="18"/>
                <w:lang w:val="en-IE"/>
              </w:rPr>
            </w:pPr>
            <w:r w:rsidRPr="00BB1227">
              <w:rPr>
                <w:rFonts w:ascii="EC Square Sans Cond Pro" w:hAnsi="EC Square Sans Cond Pro" w:cs="Avenir Next LT Pro"/>
                <w:b/>
                <w:noProof/>
                <w:color w:val="000000"/>
                <w:sz w:val="18"/>
                <w:szCs w:val="18"/>
                <w:lang w:val="en-IE"/>
              </w:rPr>
              <w:t>S1, S2 &amp; S3</w:t>
            </w:r>
          </w:p>
        </w:tc>
        <w:tc>
          <w:tcPr>
            <w:tcW w:w="1066" w:type="dxa"/>
            <w:tcBorders>
              <w:bottom w:val="single" w:sz="12" w:space="0" w:color="auto"/>
              <w:right w:val="single" w:sz="12" w:space="0" w:color="auto"/>
            </w:tcBorders>
          </w:tcPr>
          <w:p w14:paraId="76D0195F" w14:textId="77777777" w:rsidR="00937103" w:rsidRPr="004B5DA9" w:rsidRDefault="00937103" w:rsidP="0023364B">
            <w:pPr>
              <w:keepNext/>
              <w:keepLines/>
              <w:spacing w:after="0"/>
              <w:jc w:val="center"/>
              <w:rPr>
                <w:rFonts w:ascii="EC Square Sans Cond Pro" w:hAnsi="EC Square Sans Cond Pro" w:cs="Avenir Next LT Pro"/>
                <w:b/>
                <w:i/>
                <w:noProof/>
                <w:color w:val="000000"/>
                <w:sz w:val="18"/>
                <w:szCs w:val="18"/>
                <w:lang w:val="en-IE"/>
              </w:rPr>
            </w:pPr>
            <w:r w:rsidRPr="004B5DA9">
              <w:rPr>
                <w:rFonts w:ascii="EC Square Sans Cond Pro" w:hAnsi="EC Square Sans Cond Pro" w:cs="Avenir Next LT Pro"/>
                <w:b/>
                <w:i/>
                <w:noProof/>
                <w:color w:val="000000"/>
                <w:sz w:val="18"/>
                <w:szCs w:val="18"/>
                <w:lang w:val="en-IE"/>
              </w:rPr>
              <w:t>LIFE</w:t>
            </w:r>
          </w:p>
        </w:tc>
        <w:tc>
          <w:tcPr>
            <w:tcW w:w="1842" w:type="dxa"/>
            <w:tcBorders>
              <w:left w:val="single" w:sz="12" w:space="0" w:color="auto"/>
              <w:bottom w:val="single" w:sz="12" w:space="0" w:color="auto"/>
            </w:tcBorders>
            <w:vAlign w:val="center"/>
          </w:tcPr>
          <w:p w14:paraId="286A4919" w14:textId="77777777" w:rsidR="00937103" w:rsidRPr="00BB1227" w:rsidRDefault="00937103" w:rsidP="0023364B">
            <w:pPr>
              <w:keepNext/>
              <w:keepLines/>
              <w:spacing w:after="0"/>
              <w:jc w:val="center"/>
              <w:rPr>
                <w:rFonts w:ascii="EC Square Sans Cond Pro" w:hAnsi="EC Square Sans Cond Pro" w:cs="Avenir Next LT Pro"/>
                <w:b/>
                <w:noProof/>
                <w:color w:val="000000"/>
                <w:sz w:val="18"/>
                <w:szCs w:val="18"/>
                <w:lang w:val="en-IE"/>
              </w:rPr>
            </w:pPr>
            <w:r w:rsidRPr="00BB1227">
              <w:rPr>
                <w:rFonts w:ascii="EC Square Sans Cond Pro" w:hAnsi="EC Square Sans Cond Pro" w:cs="Avenir Next LT Pro"/>
                <w:b/>
                <w:noProof/>
                <w:color w:val="000000"/>
                <w:sz w:val="18"/>
                <w:szCs w:val="18"/>
                <w:lang w:val="en-IE"/>
              </w:rPr>
              <w:t>S1, S2 &amp; S3</w:t>
            </w:r>
          </w:p>
        </w:tc>
        <w:tc>
          <w:tcPr>
            <w:tcW w:w="1276" w:type="dxa"/>
            <w:tcBorders>
              <w:bottom w:val="single" w:sz="12" w:space="0" w:color="auto"/>
            </w:tcBorders>
          </w:tcPr>
          <w:p w14:paraId="10831A07" w14:textId="77777777" w:rsidR="00937103" w:rsidRPr="004B5DA9" w:rsidRDefault="00937103" w:rsidP="0023364B">
            <w:pPr>
              <w:keepNext/>
              <w:keepLines/>
              <w:spacing w:after="0"/>
              <w:jc w:val="center"/>
              <w:rPr>
                <w:rFonts w:ascii="EC Square Sans Cond Pro" w:hAnsi="EC Square Sans Cond Pro" w:cs="Avenir Next LT Pro"/>
                <w:b/>
                <w:i/>
                <w:noProof/>
                <w:color w:val="000000"/>
                <w:sz w:val="18"/>
                <w:szCs w:val="18"/>
                <w:lang w:val="en-IE"/>
              </w:rPr>
            </w:pPr>
            <w:r w:rsidRPr="004B5DA9">
              <w:rPr>
                <w:rFonts w:ascii="EC Square Sans Cond Pro" w:hAnsi="EC Square Sans Cond Pro" w:cs="Avenir Next LT Pro"/>
                <w:b/>
                <w:i/>
                <w:noProof/>
                <w:color w:val="000000"/>
                <w:sz w:val="18"/>
                <w:szCs w:val="18"/>
                <w:lang w:val="en-IE"/>
              </w:rPr>
              <w:t>LIFE</w:t>
            </w:r>
          </w:p>
        </w:tc>
      </w:tr>
      <w:tr w:rsidR="007E0F6B" w:rsidRPr="00BB1227" w14:paraId="03AFD1F4" w14:textId="77777777" w:rsidTr="001C2345">
        <w:trPr>
          <w:trHeight w:val="311"/>
        </w:trPr>
        <w:tc>
          <w:tcPr>
            <w:tcW w:w="517" w:type="dxa"/>
            <w:vMerge w:val="restart"/>
            <w:textDirection w:val="btLr"/>
          </w:tcPr>
          <w:p w14:paraId="22A4C4DC" w14:textId="63E1ADD9" w:rsidR="00937103" w:rsidRPr="00BB1227" w:rsidRDefault="00056023" w:rsidP="0023364B">
            <w:pPr>
              <w:keepNext/>
              <w:keepLines/>
              <w:spacing w:after="0"/>
              <w:ind w:left="113" w:right="113"/>
              <w:jc w:val="center"/>
              <w:rPr>
                <w:rFonts w:ascii="EC Square Sans Cond Pro" w:hAnsi="EC Square Sans Cond Pro" w:cs="Avenir Next LT Pro"/>
                <w:b/>
                <w:noProof/>
                <w:sz w:val="18"/>
                <w:szCs w:val="18"/>
                <w:lang w:val="en-IE"/>
              </w:rPr>
            </w:pPr>
            <w:r>
              <w:rPr>
                <w:rFonts w:ascii="EC Square Sans Cond Pro" w:hAnsi="EC Square Sans Cond Pro" w:cs="Avenir Next LT Pro"/>
                <w:b/>
                <w:noProof/>
                <w:sz w:val="18"/>
                <w:szCs w:val="18"/>
                <w:lang w:val="en-IE"/>
              </w:rPr>
              <w:t>Primary e</w:t>
            </w:r>
            <w:r w:rsidRPr="00056023">
              <w:rPr>
                <w:rFonts w:ascii="EC Square Sans Cond Pro" w:hAnsi="EC Square Sans Cond Pro" w:cs="Avenir Next LT Pro"/>
                <w:b/>
                <w:noProof/>
                <w:sz w:val="18"/>
                <w:szCs w:val="18"/>
                <w:lang w:val="en-IE"/>
              </w:rPr>
              <w:t>missions</w:t>
            </w:r>
          </w:p>
        </w:tc>
        <w:tc>
          <w:tcPr>
            <w:tcW w:w="1751" w:type="dxa"/>
            <w:tcBorders>
              <w:right w:val="single" w:sz="12" w:space="0" w:color="auto"/>
            </w:tcBorders>
            <w:noWrap/>
            <w:vAlign w:val="center"/>
          </w:tcPr>
          <w:p w14:paraId="2620E6AB" w14:textId="3B439532" w:rsidR="00937103" w:rsidRPr="00BB1227" w:rsidRDefault="00937103" w:rsidP="0023364B">
            <w:pPr>
              <w:keepNext/>
              <w:keepLines/>
              <w:spacing w:after="0"/>
              <w:jc w:val="left"/>
              <w:rPr>
                <w:rFonts w:ascii="EC Square Sans Cond Pro" w:hAnsi="EC Square Sans Cond Pro" w:cs="Avenir Next LT Pro"/>
                <w:b/>
                <w:noProof/>
                <w:sz w:val="18"/>
                <w:szCs w:val="18"/>
                <w:lang w:val="en-IE"/>
              </w:rPr>
            </w:pPr>
            <w:r w:rsidRPr="00BB1227">
              <w:rPr>
                <w:rFonts w:ascii="EC Square Sans Cond Pro" w:hAnsi="EC Square Sans Cond Pro" w:cs="Avenir Next LT Pro"/>
                <w:b/>
                <w:noProof/>
                <w:sz w:val="18"/>
                <w:szCs w:val="18"/>
                <w:lang w:val="en-IE"/>
              </w:rPr>
              <w:t>Air pollutant emissions (kt)</w:t>
            </w:r>
          </w:p>
        </w:tc>
        <w:tc>
          <w:tcPr>
            <w:tcW w:w="709" w:type="dxa"/>
            <w:tcBorders>
              <w:left w:val="single" w:sz="12" w:space="0" w:color="auto"/>
              <w:right w:val="single" w:sz="12" w:space="0" w:color="auto"/>
            </w:tcBorders>
            <w:noWrap/>
            <w:vAlign w:val="center"/>
          </w:tcPr>
          <w:p w14:paraId="573DF12E" w14:textId="77777777" w:rsidR="00937103" w:rsidRPr="00BB1227" w:rsidRDefault="00937103" w:rsidP="0023364B">
            <w:pPr>
              <w:keepNext/>
              <w:keepLines/>
              <w:spacing w:after="0"/>
              <w:jc w:val="center"/>
              <w:rPr>
                <w:rFonts w:ascii="EC Square Sans Cond Pro" w:hAnsi="EC Square Sans Cond Pro" w:cs="Cambria Math"/>
                <w:noProof/>
                <w:color w:val="000000"/>
                <w:sz w:val="18"/>
                <w:szCs w:val="18"/>
                <w:lang w:val="en-IE"/>
              </w:rPr>
            </w:pPr>
          </w:p>
        </w:tc>
        <w:tc>
          <w:tcPr>
            <w:tcW w:w="1594" w:type="dxa"/>
            <w:tcBorders>
              <w:left w:val="single" w:sz="12" w:space="0" w:color="auto"/>
            </w:tcBorders>
            <w:noWrap/>
            <w:vAlign w:val="center"/>
          </w:tcPr>
          <w:p w14:paraId="7E5A615A" w14:textId="77777777" w:rsidR="00937103" w:rsidRPr="00BB1227" w:rsidRDefault="00937103" w:rsidP="0023364B">
            <w:pPr>
              <w:keepNext/>
              <w:keepLines/>
              <w:spacing w:after="0"/>
              <w:jc w:val="center"/>
              <w:rPr>
                <w:rFonts w:ascii="EC Square Sans Cond Pro" w:hAnsi="EC Square Sans Cond Pro" w:cs="Cambria Math"/>
                <w:noProof/>
                <w:color w:val="000000"/>
                <w:sz w:val="18"/>
                <w:szCs w:val="18"/>
                <w:lang w:val="en-IE"/>
              </w:rPr>
            </w:pPr>
          </w:p>
        </w:tc>
        <w:tc>
          <w:tcPr>
            <w:tcW w:w="1066" w:type="dxa"/>
            <w:tcBorders>
              <w:right w:val="single" w:sz="12" w:space="0" w:color="auto"/>
            </w:tcBorders>
          </w:tcPr>
          <w:p w14:paraId="6C55AC42" w14:textId="77777777" w:rsidR="00937103" w:rsidRPr="00BB1227" w:rsidRDefault="00937103" w:rsidP="0023364B">
            <w:pPr>
              <w:keepNext/>
              <w:keepLines/>
              <w:spacing w:after="0"/>
              <w:jc w:val="center"/>
              <w:rPr>
                <w:rFonts w:ascii="EC Square Sans Cond Pro" w:hAnsi="EC Square Sans Cond Pro" w:cs="Avenir Next LT Pro"/>
                <w:noProof/>
                <w:sz w:val="18"/>
                <w:szCs w:val="18"/>
                <w:lang w:val="en-IE"/>
              </w:rPr>
            </w:pPr>
          </w:p>
        </w:tc>
        <w:tc>
          <w:tcPr>
            <w:tcW w:w="1842" w:type="dxa"/>
            <w:tcBorders>
              <w:left w:val="single" w:sz="12" w:space="0" w:color="auto"/>
            </w:tcBorders>
            <w:vAlign w:val="center"/>
          </w:tcPr>
          <w:p w14:paraId="2DBE55D7" w14:textId="77777777" w:rsidR="00937103" w:rsidRPr="00BB1227" w:rsidRDefault="00937103" w:rsidP="0023364B">
            <w:pPr>
              <w:keepNext/>
              <w:keepLines/>
              <w:spacing w:after="0"/>
              <w:jc w:val="center"/>
              <w:rPr>
                <w:rFonts w:ascii="EC Square Sans Cond Pro" w:hAnsi="EC Square Sans Cond Pro" w:cs="Avenir Next LT Pro"/>
                <w:noProof/>
                <w:sz w:val="18"/>
                <w:szCs w:val="18"/>
                <w:lang w:val="en-IE"/>
              </w:rPr>
            </w:pPr>
          </w:p>
        </w:tc>
        <w:tc>
          <w:tcPr>
            <w:tcW w:w="1276" w:type="dxa"/>
          </w:tcPr>
          <w:p w14:paraId="79EFE84D" w14:textId="77777777" w:rsidR="00937103" w:rsidRPr="00BB1227" w:rsidRDefault="00937103" w:rsidP="0023364B">
            <w:pPr>
              <w:keepNext/>
              <w:keepLines/>
              <w:spacing w:after="0"/>
              <w:jc w:val="center"/>
              <w:rPr>
                <w:rFonts w:ascii="EC Square Sans Cond Pro" w:hAnsi="EC Square Sans Cond Pro" w:cs="Avenir Next LT Pro"/>
                <w:noProof/>
                <w:sz w:val="18"/>
                <w:szCs w:val="18"/>
                <w:lang w:val="en-IE"/>
              </w:rPr>
            </w:pPr>
          </w:p>
        </w:tc>
      </w:tr>
      <w:tr w:rsidR="00937103" w:rsidRPr="00BB1227" w14:paraId="6B4A49DE" w14:textId="77777777" w:rsidTr="001C2345">
        <w:trPr>
          <w:trHeight w:val="311"/>
        </w:trPr>
        <w:tc>
          <w:tcPr>
            <w:tcW w:w="517" w:type="dxa"/>
            <w:vMerge/>
          </w:tcPr>
          <w:p w14:paraId="0B163A69" w14:textId="77777777" w:rsidR="00937103" w:rsidRPr="00BB1227" w:rsidRDefault="00937103" w:rsidP="0023364B">
            <w:pPr>
              <w:keepNext/>
              <w:keepLines/>
              <w:spacing w:after="0"/>
              <w:jc w:val="left"/>
              <w:rPr>
                <w:rFonts w:ascii="EC Square Sans Cond Pro" w:hAnsi="EC Square Sans Cond Pro" w:cs="Avenir Next LT Pro"/>
                <w:noProof/>
                <w:sz w:val="18"/>
                <w:szCs w:val="18"/>
                <w:lang w:val="en-IE"/>
              </w:rPr>
            </w:pPr>
          </w:p>
        </w:tc>
        <w:tc>
          <w:tcPr>
            <w:tcW w:w="1751" w:type="dxa"/>
            <w:tcBorders>
              <w:right w:val="single" w:sz="12" w:space="0" w:color="auto"/>
            </w:tcBorders>
            <w:noWrap/>
            <w:vAlign w:val="center"/>
            <w:hideMark/>
          </w:tcPr>
          <w:p w14:paraId="6ECB8D88" w14:textId="77777777" w:rsidR="00937103" w:rsidRPr="00BB1227" w:rsidRDefault="00937103" w:rsidP="0023364B">
            <w:pPr>
              <w:keepNext/>
              <w:keepLines/>
              <w:spacing w:after="0"/>
              <w:jc w:val="left"/>
              <w:rPr>
                <w:rFonts w:ascii="EC Square Sans Cond Pro" w:hAnsi="EC Square Sans Cond Pro" w:cs="Avenir Next LT Pro"/>
                <w:noProof/>
                <w:sz w:val="18"/>
                <w:szCs w:val="18"/>
                <w:lang w:val="en-IE"/>
              </w:rPr>
            </w:pPr>
            <w:r w:rsidRPr="00BB1227">
              <w:rPr>
                <w:rFonts w:ascii="EC Square Sans Cond Pro" w:hAnsi="EC Square Sans Cond Pro" w:cs="Avenir Next LT Pro"/>
                <w:noProof/>
                <w:sz w:val="18"/>
                <w:szCs w:val="18"/>
                <w:lang w:val="en-IE"/>
              </w:rPr>
              <w:t>SO2</w:t>
            </w:r>
          </w:p>
        </w:tc>
        <w:tc>
          <w:tcPr>
            <w:tcW w:w="709" w:type="dxa"/>
            <w:tcBorders>
              <w:left w:val="single" w:sz="12" w:space="0" w:color="auto"/>
              <w:right w:val="single" w:sz="12" w:space="0" w:color="auto"/>
            </w:tcBorders>
            <w:noWrap/>
            <w:vAlign w:val="center"/>
          </w:tcPr>
          <w:p w14:paraId="12018DE0" w14:textId="77777777" w:rsidR="00937103" w:rsidRPr="00BB1227" w:rsidRDefault="00937103" w:rsidP="0023364B">
            <w:pPr>
              <w:keepNext/>
              <w:keepLines/>
              <w:spacing w:after="0"/>
              <w:jc w:val="center"/>
              <w:rPr>
                <w:rFonts w:ascii="EC Square Sans Cond Pro" w:hAnsi="EC Square Sans Cond Pro" w:cs="Avenir Next LT Pro"/>
                <w:noProof/>
                <w:sz w:val="18"/>
                <w:szCs w:val="18"/>
                <w:lang w:val="en-IE"/>
              </w:rPr>
            </w:pPr>
            <w:r w:rsidRPr="00BB1227">
              <w:rPr>
                <w:rFonts w:ascii="EC Square Sans Cond Pro" w:hAnsi="EC Square Sans Cond Pro" w:cs="Calibri"/>
                <w:noProof/>
                <w:sz w:val="18"/>
                <w:szCs w:val="18"/>
                <w:lang w:val="en-IE"/>
              </w:rPr>
              <w:t>2316</w:t>
            </w:r>
          </w:p>
        </w:tc>
        <w:tc>
          <w:tcPr>
            <w:tcW w:w="1594" w:type="dxa"/>
            <w:tcBorders>
              <w:left w:val="single" w:sz="12" w:space="0" w:color="auto"/>
            </w:tcBorders>
            <w:noWrap/>
            <w:vAlign w:val="center"/>
          </w:tcPr>
          <w:p w14:paraId="60AC7A67" w14:textId="77777777" w:rsidR="00937103" w:rsidRPr="00BB1227" w:rsidRDefault="00937103" w:rsidP="0023364B">
            <w:pPr>
              <w:keepNext/>
              <w:keepLines/>
              <w:spacing w:after="0"/>
              <w:jc w:val="center"/>
              <w:rPr>
                <w:rFonts w:ascii="EC Square Sans Cond Pro" w:hAnsi="EC Square Sans Cond Pro" w:cs="Avenir Next LT Pro"/>
                <w:noProof/>
                <w:sz w:val="18"/>
                <w:szCs w:val="18"/>
                <w:lang w:val="en-IE"/>
              </w:rPr>
            </w:pPr>
            <w:r w:rsidRPr="00BB1227">
              <w:rPr>
                <w:rFonts w:ascii="EC Square Sans Cond Pro" w:hAnsi="EC Square Sans Cond Pro" w:cs="Calibri"/>
                <w:noProof/>
                <w:sz w:val="18"/>
                <w:szCs w:val="18"/>
                <w:lang w:val="en-IE"/>
              </w:rPr>
              <w:t>525 to 529</w:t>
            </w:r>
          </w:p>
        </w:tc>
        <w:tc>
          <w:tcPr>
            <w:tcW w:w="1066" w:type="dxa"/>
            <w:tcBorders>
              <w:right w:val="single" w:sz="12" w:space="0" w:color="auto"/>
            </w:tcBorders>
            <w:vAlign w:val="center"/>
          </w:tcPr>
          <w:p w14:paraId="53E0ABD1" w14:textId="269DB048" w:rsidR="00937103" w:rsidRPr="00BB1227" w:rsidRDefault="004B5DA9" w:rsidP="0023364B">
            <w:pPr>
              <w:keepNext/>
              <w:keepLines/>
              <w:spacing w:after="0"/>
              <w:jc w:val="center"/>
              <w:rPr>
                <w:rFonts w:ascii="EC Square Sans Cond Pro" w:hAnsi="EC Square Sans Cond Pro" w:cs="Avenir Next LT Pro"/>
                <w:noProof/>
                <w:sz w:val="18"/>
                <w:szCs w:val="18"/>
                <w:lang w:val="en-IE"/>
              </w:rPr>
            </w:pPr>
            <w:r w:rsidRPr="004B5DA9">
              <w:rPr>
                <w:rFonts w:ascii="EC Square Sans Cond Pro" w:hAnsi="EC Square Sans Cond Pro" w:cs="Avenir Next LT Pro"/>
                <w:i/>
                <w:iCs/>
                <w:noProof/>
                <w:sz w:val="18"/>
                <w:szCs w:val="18"/>
                <w:lang w:val="en-IE"/>
              </w:rPr>
              <w:t>529</w:t>
            </w:r>
          </w:p>
        </w:tc>
        <w:tc>
          <w:tcPr>
            <w:tcW w:w="1842" w:type="dxa"/>
            <w:tcBorders>
              <w:left w:val="single" w:sz="12" w:space="0" w:color="auto"/>
            </w:tcBorders>
            <w:vAlign w:val="center"/>
          </w:tcPr>
          <w:p w14:paraId="6D2C4811" w14:textId="77777777" w:rsidR="00937103" w:rsidRPr="00BB1227" w:rsidRDefault="00937103" w:rsidP="0023364B">
            <w:pPr>
              <w:keepNext/>
              <w:keepLines/>
              <w:spacing w:after="0"/>
              <w:jc w:val="center"/>
              <w:rPr>
                <w:rFonts w:ascii="EC Square Sans Cond Pro" w:hAnsi="EC Square Sans Cond Pro" w:cs="Calibri"/>
                <w:noProof/>
                <w:sz w:val="18"/>
                <w:szCs w:val="18"/>
                <w:lang w:val="en-IE"/>
              </w:rPr>
            </w:pPr>
            <w:r w:rsidRPr="00BB1227">
              <w:rPr>
                <w:rFonts w:ascii="EC Square Sans Cond Pro" w:hAnsi="EC Square Sans Cond Pro" w:cs="Calibri"/>
                <w:noProof/>
                <w:sz w:val="18"/>
                <w:szCs w:val="18"/>
                <w:lang w:val="en-IE"/>
              </w:rPr>
              <w:t>-1787 to -1791</w:t>
            </w:r>
          </w:p>
          <w:p w14:paraId="56D59788" w14:textId="77777777" w:rsidR="00937103" w:rsidRPr="00BB1227" w:rsidRDefault="00937103" w:rsidP="0023364B">
            <w:pPr>
              <w:keepNext/>
              <w:keepLines/>
              <w:spacing w:after="0"/>
              <w:jc w:val="center"/>
              <w:rPr>
                <w:rFonts w:ascii="EC Square Sans Cond Pro" w:hAnsi="EC Square Sans Cond Pro" w:cs="Avenir Next LT Pro"/>
                <w:noProof/>
                <w:sz w:val="18"/>
                <w:szCs w:val="18"/>
                <w:lang w:val="en-IE"/>
              </w:rPr>
            </w:pPr>
            <w:r w:rsidRPr="00BB1227">
              <w:rPr>
                <w:rFonts w:ascii="EC Square Sans Cond Pro" w:hAnsi="EC Square Sans Cond Pro" w:cs="Calibri"/>
                <w:noProof/>
                <w:sz w:val="18"/>
                <w:szCs w:val="18"/>
                <w:lang w:val="en-IE"/>
              </w:rPr>
              <w:t>(-77.1% to -77.3%)</w:t>
            </w:r>
          </w:p>
        </w:tc>
        <w:tc>
          <w:tcPr>
            <w:tcW w:w="1276" w:type="dxa"/>
            <w:vAlign w:val="center"/>
          </w:tcPr>
          <w:p w14:paraId="685C0897" w14:textId="77777777" w:rsidR="004B5DA9" w:rsidRPr="004B5DA9" w:rsidRDefault="004B5DA9" w:rsidP="0023364B">
            <w:pPr>
              <w:keepNext/>
              <w:keepLines/>
              <w:spacing w:after="0"/>
              <w:jc w:val="center"/>
              <w:rPr>
                <w:rFonts w:ascii="EC Square Sans Cond Pro" w:hAnsi="EC Square Sans Cond Pro" w:cs="Calibri"/>
                <w:i/>
                <w:iCs/>
                <w:noProof/>
                <w:sz w:val="18"/>
                <w:szCs w:val="18"/>
                <w:lang w:val="en-IE"/>
              </w:rPr>
            </w:pPr>
            <w:r w:rsidRPr="004B5DA9">
              <w:rPr>
                <w:rFonts w:ascii="EC Square Sans Cond Pro" w:hAnsi="EC Square Sans Cond Pro" w:cs="Calibri"/>
                <w:i/>
                <w:iCs/>
                <w:noProof/>
                <w:sz w:val="18"/>
                <w:szCs w:val="18"/>
                <w:lang w:val="en-IE"/>
              </w:rPr>
              <w:t>-1787</w:t>
            </w:r>
          </w:p>
          <w:p w14:paraId="5B2310D9" w14:textId="2DC288D6" w:rsidR="00937103" w:rsidRPr="00BB1227" w:rsidRDefault="004B5DA9" w:rsidP="0023364B">
            <w:pPr>
              <w:keepNext/>
              <w:keepLines/>
              <w:spacing w:after="0"/>
              <w:jc w:val="center"/>
              <w:rPr>
                <w:rFonts w:ascii="EC Square Sans Cond Pro" w:hAnsi="EC Square Sans Cond Pro" w:cs="Avenir Next LT Pro"/>
                <w:noProof/>
                <w:sz w:val="18"/>
                <w:szCs w:val="18"/>
                <w:lang w:val="en-IE"/>
              </w:rPr>
            </w:pPr>
            <w:r w:rsidRPr="004B5DA9">
              <w:rPr>
                <w:rFonts w:ascii="EC Square Sans Cond Pro" w:hAnsi="EC Square Sans Cond Pro" w:cs="Calibri"/>
                <w:i/>
                <w:iCs/>
                <w:noProof/>
                <w:sz w:val="18"/>
                <w:szCs w:val="18"/>
                <w:lang w:val="en-IE"/>
              </w:rPr>
              <w:t>(-77.1%)</w:t>
            </w:r>
          </w:p>
        </w:tc>
      </w:tr>
      <w:tr w:rsidR="007E0F6B" w:rsidRPr="00BB1227" w14:paraId="0F2BDC29" w14:textId="77777777" w:rsidTr="001C2345">
        <w:trPr>
          <w:trHeight w:val="311"/>
        </w:trPr>
        <w:tc>
          <w:tcPr>
            <w:tcW w:w="517" w:type="dxa"/>
            <w:vMerge/>
          </w:tcPr>
          <w:p w14:paraId="1C00BF37" w14:textId="77777777" w:rsidR="00937103" w:rsidRPr="00BB1227" w:rsidRDefault="00937103" w:rsidP="0023364B">
            <w:pPr>
              <w:keepNext/>
              <w:keepLines/>
              <w:spacing w:after="0"/>
              <w:jc w:val="left"/>
              <w:rPr>
                <w:rFonts w:ascii="EC Square Sans Cond Pro" w:hAnsi="EC Square Sans Cond Pro" w:cs="Avenir Next LT Pro"/>
                <w:noProof/>
                <w:sz w:val="18"/>
                <w:szCs w:val="18"/>
                <w:lang w:val="en-IE"/>
              </w:rPr>
            </w:pPr>
          </w:p>
        </w:tc>
        <w:tc>
          <w:tcPr>
            <w:tcW w:w="1751" w:type="dxa"/>
            <w:tcBorders>
              <w:right w:val="single" w:sz="12" w:space="0" w:color="auto"/>
            </w:tcBorders>
            <w:noWrap/>
            <w:vAlign w:val="center"/>
            <w:hideMark/>
          </w:tcPr>
          <w:p w14:paraId="63B4544E" w14:textId="77777777" w:rsidR="00937103" w:rsidRPr="00BB1227" w:rsidRDefault="00937103" w:rsidP="0023364B">
            <w:pPr>
              <w:keepNext/>
              <w:keepLines/>
              <w:spacing w:after="0"/>
              <w:jc w:val="left"/>
              <w:rPr>
                <w:rFonts w:ascii="EC Square Sans Cond Pro" w:hAnsi="EC Square Sans Cond Pro" w:cs="Avenir Next LT Pro"/>
                <w:noProof/>
                <w:sz w:val="18"/>
                <w:szCs w:val="18"/>
                <w:lang w:val="en-IE"/>
              </w:rPr>
            </w:pPr>
            <w:r w:rsidRPr="00BB1227">
              <w:rPr>
                <w:rFonts w:ascii="EC Square Sans Cond Pro" w:hAnsi="EC Square Sans Cond Pro" w:cs="Avenir Next LT Pro"/>
                <w:noProof/>
                <w:sz w:val="18"/>
                <w:szCs w:val="18"/>
                <w:lang w:val="en-IE"/>
              </w:rPr>
              <w:t>NOx</w:t>
            </w:r>
          </w:p>
        </w:tc>
        <w:tc>
          <w:tcPr>
            <w:tcW w:w="709" w:type="dxa"/>
            <w:tcBorders>
              <w:left w:val="single" w:sz="12" w:space="0" w:color="auto"/>
              <w:right w:val="single" w:sz="12" w:space="0" w:color="auto"/>
            </w:tcBorders>
            <w:noWrap/>
            <w:vAlign w:val="center"/>
          </w:tcPr>
          <w:p w14:paraId="18131E70" w14:textId="77777777" w:rsidR="00937103" w:rsidRPr="00BB1227" w:rsidRDefault="00937103" w:rsidP="0023364B">
            <w:pPr>
              <w:keepNext/>
              <w:keepLines/>
              <w:spacing w:after="0"/>
              <w:jc w:val="center"/>
              <w:rPr>
                <w:rFonts w:ascii="EC Square Sans Cond Pro" w:hAnsi="EC Square Sans Cond Pro" w:cs="Avenir Next LT Pro"/>
                <w:noProof/>
                <w:sz w:val="18"/>
                <w:szCs w:val="18"/>
                <w:lang w:val="en-IE"/>
              </w:rPr>
            </w:pPr>
            <w:r w:rsidRPr="00BB1227">
              <w:rPr>
                <w:rFonts w:ascii="EC Square Sans Cond Pro" w:hAnsi="EC Square Sans Cond Pro" w:cs="Calibri"/>
                <w:noProof/>
                <w:sz w:val="18"/>
                <w:szCs w:val="18"/>
                <w:lang w:val="en-IE"/>
              </w:rPr>
              <w:t>7392</w:t>
            </w:r>
          </w:p>
        </w:tc>
        <w:tc>
          <w:tcPr>
            <w:tcW w:w="1594" w:type="dxa"/>
            <w:tcBorders>
              <w:left w:val="single" w:sz="12" w:space="0" w:color="auto"/>
            </w:tcBorders>
            <w:noWrap/>
            <w:vAlign w:val="center"/>
          </w:tcPr>
          <w:p w14:paraId="308369F5" w14:textId="77777777" w:rsidR="00937103" w:rsidRPr="00BB1227" w:rsidRDefault="00937103" w:rsidP="0023364B">
            <w:pPr>
              <w:keepNext/>
              <w:keepLines/>
              <w:spacing w:after="0"/>
              <w:jc w:val="center"/>
              <w:rPr>
                <w:rFonts w:ascii="EC Square Sans Cond Pro" w:hAnsi="EC Square Sans Cond Pro" w:cs="Avenir Next LT Pro"/>
                <w:noProof/>
                <w:sz w:val="18"/>
                <w:szCs w:val="18"/>
                <w:lang w:val="en-IE"/>
              </w:rPr>
            </w:pPr>
            <w:r w:rsidRPr="00BB1227">
              <w:rPr>
                <w:rFonts w:ascii="EC Square Sans Cond Pro" w:hAnsi="EC Square Sans Cond Pro" w:cs="Calibri"/>
                <w:noProof/>
                <w:sz w:val="18"/>
                <w:szCs w:val="18"/>
                <w:lang w:val="en-IE"/>
              </w:rPr>
              <w:t>2114 to 2140</w:t>
            </w:r>
          </w:p>
        </w:tc>
        <w:tc>
          <w:tcPr>
            <w:tcW w:w="1066" w:type="dxa"/>
            <w:tcBorders>
              <w:right w:val="single" w:sz="12" w:space="0" w:color="auto"/>
            </w:tcBorders>
            <w:vAlign w:val="center"/>
          </w:tcPr>
          <w:p w14:paraId="3C84A97B" w14:textId="0A806EE9" w:rsidR="00937103" w:rsidRPr="00BB1227" w:rsidRDefault="004B5DA9" w:rsidP="0023364B">
            <w:pPr>
              <w:keepNext/>
              <w:keepLines/>
              <w:spacing w:after="0"/>
              <w:jc w:val="center"/>
              <w:rPr>
                <w:rFonts w:ascii="EC Square Sans Cond Pro" w:hAnsi="EC Square Sans Cond Pro" w:cs="Avenir Next LT Pro"/>
                <w:noProof/>
                <w:sz w:val="18"/>
                <w:szCs w:val="18"/>
                <w:lang w:val="en-IE"/>
              </w:rPr>
            </w:pPr>
            <w:r w:rsidRPr="004B5DA9">
              <w:rPr>
                <w:rFonts w:ascii="EC Square Sans Cond Pro" w:hAnsi="EC Square Sans Cond Pro" w:cs="Avenir Next LT Pro"/>
                <w:i/>
                <w:iCs/>
                <w:noProof/>
                <w:sz w:val="18"/>
                <w:szCs w:val="18"/>
                <w:lang w:val="en-IE"/>
              </w:rPr>
              <w:t>1913</w:t>
            </w:r>
          </w:p>
        </w:tc>
        <w:tc>
          <w:tcPr>
            <w:tcW w:w="1842" w:type="dxa"/>
            <w:tcBorders>
              <w:left w:val="single" w:sz="12" w:space="0" w:color="auto"/>
            </w:tcBorders>
            <w:vAlign w:val="center"/>
          </w:tcPr>
          <w:p w14:paraId="4866A67B" w14:textId="77777777" w:rsidR="00937103" w:rsidRPr="00BB1227" w:rsidRDefault="00937103" w:rsidP="0023364B">
            <w:pPr>
              <w:keepNext/>
              <w:keepLines/>
              <w:spacing w:after="0"/>
              <w:jc w:val="center"/>
              <w:rPr>
                <w:rFonts w:ascii="EC Square Sans Cond Pro" w:hAnsi="EC Square Sans Cond Pro" w:cs="Calibri"/>
                <w:noProof/>
                <w:sz w:val="18"/>
                <w:szCs w:val="18"/>
                <w:lang w:val="en-IE"/>
              </w:rPr>
            </w:pPr>
            <w:r w:rsidRPr="00BB1227">
              <w:rPr>
                <w:rFonts w:ascii="EC Square Sans Cond Pro" w:hAnsi="EC Square Sans Cond Pro" w:cs="Calibri"/>
                <w:noProof/>
                <w:sz w:val="18"/>
                <w:szCs w:val="18"/>
                <w:lang w:val="en-IE"/>
              </w:rPr>
              <w:t>-5252 to -5277</w:t>
            </w:r>
          </w:p>
          <w:p w14:paraId="250D8B83" w14:textId="77777777" w:rsidR="00937103" w:rsidRPr="00BB1227" w:rsidRDefault="00937103" w:rsidP="0023364B">
            <w:pPr>
              <w:keepNext/>
              <w:keepLines/>
              <w:spacing w:after="0"/>
              <w:jc w:val="center"/>
              <w:rPr>
                <w:rFonts w:ascii="EC Square Sans Cond Pro" w:hAnsi="EC Square Sans Cond Pro" w:cs="Avenir Next LT Pro"/>
                <w:noProof/>
                <w:sz w:val="18"/>
                <w:szCs w:val="18"/>
                <w:lang w:val="en-IE"/>
              </w:rPr>
            </w:pPr>
            <w:r w:rsidRPr="00BB1227">
              <w:rPr>
                <w:rFonts w:ascii="EC Square Sans Cond Pro" w:hAnsi="EC Square Sans Cond Pro" w:cs="Calibri"/>
                <w:noProof/>
                <w:sz w:val="18"/>
                <w:szCs w:val="18"/>
                <w:lang w:val="en-IE"/>
              </w:rPr>
              <w:t>(-71.1% to -71.4%)</w:t>
            </w:r>
          </w:p>
        </w:tc>
        <w:tc>
          <w:tcPr>
            <w:tcW w:w="1276" w:type="dxa"/>
            <w:vAlign w:val="center"/>
          </w:tcPr>
          <w:p w14:paraId="1B083683" w14:textId="77777777" w:rsidR="004B5DA9" w:rsidRPr="004B5DA9" w:rsidRDefault="004B5DA9" w:rsidP="0023364B">
            <w:pPr>
              <w:keepNext/>
              <w:keepLines/>
              <w:spacing w:after="0"/>
              <w:jc w:val="center"/>
              <w:rPr>
                <w:rFonts w:ascii="EC Square Sans Cond Pro" w:hAnsi="EC Square Sans Cond Pro" w:cs="Calibri"/>
                <w:i/>
                <w:iCs/>
                <w:noProof/>
                <w:sz w:val="18"/>
                <w:szCs w:val="18"/>
                <w:lang w:val="en-IE"/>
              </w:rPr>
            </w:pPr>
            <w:r w:rsidRPr="004B5DA9">
              <w:rPr>
                <w:rFonts w:ascii="EC Square Sans Cond Pro" w:hAnsi="EC Square Sans Cond Pro" w:cs="Calibri"/>
                <w:i/>
                <w:iCs/>
                <w:noProof/>
                <w:sz w:val="18"/>
                <w:szCs w:val="18"/>
                <w:lang w:val="en-IE"/>
              </w:rPr>
              <w:t>-5478</w:t>
            </w:r>
          </w:p>
          <w:p w14:paraId="13ADD75E" w14:textId="251FFEFB" w:rsidR="00937103" w:rsidRPr="00BB1227" w:rsidRDefault="004B5DA9" w:rsidP="0023364B">
            <w:pPr>
              <w:keepNext/>
              <w:keepLines/>
              <w:spacing w:after="0"/>
              <w:jc w:val="center"/>
              <w:rPr>
                <w:rFonts w:ascii="EC Square Sans Cond Pro" w:hAnsi="EC Square Sans Cond Pro" w:cs="Avenir Next LT Pro"/>
                <w:noProof/>
                <w:sz w:val="18"/>
                <w:szCs w:val="18"/>
                <w:lang w:val="en-IE"/>
              </w:rPr>
            </w:pPr>
            <w:r w:rsidRPr="004B5DA9">
              <w:rPr>
                <w:rFonts w:ascii="EC Square Sans Cond Pro" w:hAnsi="EC Square Sans Cond Pro" w:cs="Calibri"/>
                <w:i/>
                <w:iCs/>
                <w:noProof/>
                <w:sz w:val="18"/>
                <w:szCs w:val="18"/>
                <w:lang w:val="en-IE"/>
              </w:rPr>
              <w:t>(-74.1%)</w:t>
            </w:r>
          </w:p>
        </w:tc>
      </w:tr>
      <w:tr w:rsidR="00937103" w:rsidRPr="00BB1227" w14:paraId="3D26B53B" w14:textId="77777777" w:rsidTr="00056023">
        <w:trPr>
          <w:trHeight w:val="311"/>
        </w:trPr>
        <w:tc>
          <w:tcPr>
            <w:tcW w:w="517" w:type="dxa"/>
            <w:vMerge/>
          </w:tcPr>
          <w:p w14:paraId="20A9CE6A" w14:textId="77777777" w:rsidR="00937103" w:rsidRPr="00BB1227" w:rsidRDefault="00937103" w:rsidP="0023364B">
            <w:pPr>
              <w:keepNext/>
              <w:keepLines/>
              <w:spacing w:after="0"/>
              <w:jc w:val="left"/>
              <w:rPr>
                <w:rFonts w:ascii="EC Square Sans Cond Pro" w:hAnsi="EC Square Sans Cond Pro" w:cs="Avenir Next LT Pro"/>
                <w:noProof/>
                <w:sz w:val="18"/>
                <w:szCs w:val="18"/>
                <w:lang w:val="en-IE"/>
              </w:rPr>
            </w:pPr>
          </w:p>
        </w:tc>
        <w:tc>
          <w:tcPr>
            <w:tcW w:w="1751" w:type="dxa"/>
            <w:tcBorders>
              <w:right w:val="single" w:sz="12" w:space="0" w:color="auto"/>
            </w:tcBorders>
            <w:noWrap/>
            <w:vAlign w:val="center"/>
          </w:tcPr>
          <w:p w14:paraId="2D6070DB" w14:textId="77777777" w:rsidR="00937103" w:rsidRPr="00BB1227" w:rsidRDefault="00937103" w:rsidP="0023364B">
            <w:pPr>
              <w:keepNext/>
              <w:keepLines/>
              <w:spacing w:after="0"/>
              <w:jc w:val="left"/>
              <w:rPr>
                <w:rFonts w:ascii="EC Square Sans Cond Pro" w:hAnsi="EC Square Sans Cond Pro" w:cs="Avenir Next LT Pro"/>
                <w:noProof/>
                <w:sz w:val="18"/>
                <w:szCs w:val="18"/>
                <w:lang w:val="en-IE"/>
              </w:rPr>
            </w:pPr>
            <w:r w:rsidRPr="00BB1227">
              <w:rPr>
                <w:rFonts w:ascii="EC Square Sans Cond Pro" w:hAnsi="EC Square Sans Cond Pro" w:cs="Avenir Next LT Pro"/>
                <w:noProof/>
                <w:sz w:val="18"/>
                <w:szCs w:val="18"/>
                <w:lang w:val="en-IE"/>
              </w:rPr>
              <w:t>PM2.5</w:t>
            </w:r>
          </w:p>
        </w:tc>
        <w:tc>
          <w:tcPr>
            <w:tcW w:w="709" w:type="dxa"/>
            <w:tcBorders>
              <w:left w:val="single" w:sz="12" w:space="0" w:color="auto"/>
              <w:right w:val="single" w:sz="12" w:space="0" w:color="auto"/>
            </w:tcBorders>
            <w:noWrap/>
            <w:vAlign w:val="center"/>
          </w:tcPr>
          <w:p w14:paraId="67D64BCF" w14:textId="77777777" w:rsidR="00937103" w:rsidRPr="00BB1227" w:rsidRDefault="00937103" w:rsidP="0023364B">
            <w:pPr>
              <w:keepNext/>
              <w:keepLines/>
              <w:spacing w:after="0"/>
              <w:jc w:val="center"/>
              <w:rPr>
                <w:rFonts w:ascii="EC Square Sans Cond Pro" w:hAnsi="EC Square Sans Cond Pro" w:cs="Avenir Next LT Pro"/>
                <w:noProof/>
                <w:sz w:val="18"/>
                <w:szCs w:val="18"/>
                <w:lang w:val="en-IE"/>
              </w:rPr>
            </w:pPr>
            <w:r w:rsidRPr="00BB1227">
              <w:rPr>
                <w:rFonts w:ascii="EC Square Sans Cond Pro" w:hAnsi="EC Square Sans Cond Pro" w:cs="Calibri"/>
                <w:noProof/>
                <w:sz w:val="18"/>
                <w:szCs w:val="18"/>
                <w:lang w:val="en-IE"/>
              </w:rPr>
              <w:t>1380</w:t>
            </w:r>
          </w:p>
        </w:tc>
        <w:tc>
          <w:tcPr>
            <w:tcW w:w="1594" w:type="dxa"/>
            <w:tcBorders>
              <w:left w:val="single" w:sz="12" w:space="0" w:color="auto"/>
            </w:tcBorders>
            <w:noWrap/>
            <w:vAlign w:val="center"/>
          </w:tcPr>
          <w:p w14:paraId="232744A1" w14:textId="77777777" w:rsidR="00937103" w:rsidRPr="00BB1227" w:rsidRDefault="00937103" w:rsidP="0023364B">
            <w:pPr>
              <w:keepNext/>
              <w:keepLines/>
              <w:spacing w:after="0"/>
              <w:jc w:val="center"/>
              <w:rPr>
                <w:rFonts w:ascii="EC Square Sans Cond Pro" w:hAnsi="EC Square Sans Cond Pro" w:cs="Avenir Next LT Pro"/>
                <w:noProof/>
                <w:sz w:val="18"/>
                <w:szCs w:val="18"/>
                <w:lang w:val="en-IE"/>
              </w:rPr>
            </w:pPr>
            <w:r w:rsidRPr="00BB1227">
              <w:rPr>
                <w:rFonts w:ascii="EC Square Sans Cond Pro" w:hAnsi="EC Square Sans Cond Pro" w:cs="Calibri"/>
                <w:noProof/>
                <w:sz w:val="18"/>
                <w:szCs w:val="18"/>
                <w:lang w:val="en-IE"/>
              </w:rPr>
              <w:t>521 to 524</w:t>
            </w:r>
          </w:p>
        </w:tc>
        <w:tc>
          <w:tcPr>
            <w:tcW w:w="1066" w:type="dxa"/>
            <w:tcBorders>
              <w:right w:val="single" w:sz="12" w:space="0" w:color="auto"/>
            </w:tcBorders>
            <w:vAlign w:val="center"/>
          </w:tcPr>
          <w:p w14:paraId="348094B4" w14:textId="7C2B8F52" w:rsidR="00937103" w:rsidRPr="00BB1227" w:rsidRDefault="004B5DA9" w:rsidP="0023364B">
            <w:pPr>
              <w:keepNext/>
              <w:keepLines/>
              <w:spacing w:after="0"/>
              <w:jc w:val="center"/>
              <w:rPr>
                <w:rFonts w:ascii="EC Square Sans Cond Pro" w:hAnsi="EC Square Sans Cond Pro" w:cs="Avenir Next LT Pro"/>
                <w:noProof/>
                <w:sz w:val="18"/>
                <w:szCs w:val="18"/>
                <w:lang w:val="en-IE"/>
              </w:rPr>
            </w:pPr>
            <w:r w:rsidRPr="004B5DA9">
              <w:rPr>
                <w:rFonts w:ascii="EC Square Sans Cond Pro" w:hAnsi="EC Square Sans Cond Pro" w:cs="Avenir Next LT Pro"/>
                <w:i/>
                <w:iCs/>
                <w:noProof/>
                <w:sz w:val="18"/>
                <w:szCs w:val="18"/>
                <w:lang w:val="en-IE"/>
              </w:rPr>
              <w:t>517</w:t>
            </w:r>
          </w:p>
        </w:tc>
        <w:tc>
          <w:tcPr>
            <w:tcW w:w="1842" w:type="dxa"/>
            <w:tcBorders>
              <w:left w:val="single" w:sz="12" w:space="0" w:color="auto"/>
            </w:tcBorders>
            <w:vAlign w:val="center"/>
          </w:tcPr>
          <w:p w14:paraId="43D58A6B" w14:textId="77777777" w:rsidR="00937103" w:rsidRPr="00BB1227" w:rsidRDefault="00937103" w:rsidP="0023364B">
            <w:pPr>
              <w:keepNext/>
              <w:keepLines/>
              <w:spacing w:after="0"/>
              <w:jc w:val="center"/>
              <w:rPr>
                <w:rFonts w:ascii="EC Square Sans Cond Pro" w:hAnsi="EC Square Sans Cond Pro" w:cs="Calibri"/>
                <w:noProof/>
                <w:sz w:val="18"/>
                <w:szCs w:val="18"/>
                <w:lang w:val="en-IE"/>
              </w:rPr>
            </w:pPr>
            <w:r w:rsidRPr="00BB1227">
              <w:rPr>
                <w:rFonts w:ascii="EC Square Sans Cond Pro" w:hAnsi="EC Square Sans Cond Pro" w:cs="Calibri"/>
                <w:noProof/>
                <w:sz w:val="18"/>
                <w:szCs w:val="18"/>
                <w:lang w:val="en-IE"/>
              </w:rPr>
              <w:t>-857 to -859</w:t>
            </w:r>
          </w:p>
          <w:p w14:paraId="722BFA38" w14:textId="77777777" w:rsidR="00937103" w:rsidRPr="00BB1227" w:rsidRDefault="00937103" w:rsidP="0023364B">
            <w:pPr>
              <w:keepNext/>
              <w:keepLines/>
              <w:spacing w:after="0"/>
              <w:jc w:val="center"/>
              <w:rPr>
                <w:rFonts w:ascii="EC Square Sans Cond Pro" w:hAnsi="EC Square Sans Cond Pro" w:cs="Calibri"/>
                <w:noProof/>
                <w:sz w:val="18"/>
                <w:szCs w:val="18"/>
                <w:lang w:val="en-IE"/>
              </w:rPr>
            </w:pPr>
            <w:r w:rsidRPr="00BB1227">
              <w:rPr>
                <w:rFonts w:ascii="EC Square Sans Cond Pro" w:hAnsi="EC Square Sans Cond Pro" w:cs="Calibri"/>
                <w:noProof/>
                <w:sz w:val="18"/>
                <w:szCs w:val="18"/>
                <w:lang w:val="en-IE"/>
              </w:rPr>
              <w:t>(-62.1% to -62.2%)</w:t>
            </w:r>
          </w:p>
        </w:tc>
        <w:tc>
          <w:tcPr>
            <w:tcW w:w="1276" w:type="dxa"/>
            <w:vAlign w:val="center"/>
          </w:tcPr>
          <w:p w14:paraId="5785B049" w14:textId="77777777" w:rsidR="004B5DA9" w:rsidRPr="004B5DA9" w:rsidRDefault="004B5DA9" w:rsidP="0023364B">
            <w:pPr>
              <w:keepNext/>
              <w:keepLines/>
              <w:spacing w:after="0"/>
              <w:jc w:val="center"/>
              <w:rPr>
                <w:rFonts w:ascii="EC Square Sans Cond Pro" w:hAnsi="EC Square Sans Cond Pro" w:cs="Calibri"/>
                <w:i/>
                <w:iCs/>
                <w:noProof/>
                <w:sz w:val="18"/>
                <w:szCs w:val="18"/>
                <w:lang w:val="en-IE"/>
              </w:rPr>
            </w:pPr>
            <w:r w:rsidRPr="004B5DA9">
              <w:rPr>
                <w:rFonts w:ascii="EC Square Sans Cond Pro" w:hAnsi="EC Square Sans Cond Pro" w:cs="Calibri"/>
                <w:i/>
                <w:iCs/>
                <w:noProof/>
                <w:sz w:val="18"/>
                <w:szCs w:val="18"/>
                <w:lang w:val="en-IE"/>
              </w:rPr>
              <w:t>-863</w:t>
            </w:r>
          </w:p>
          <w:p w14:paraId="1C2B1DE6" w14:textId="3EC8B6D6" w:rsidR="00937103" w:rsidRPr="00BB1227" w:rsidRDefault="004B5DA9" w:rsidP="0023364B">
            <w:pPr>
              <w:keepNext/>
              <w:keepLines/>
              <w:spacing w:after="0"/>
              <w:jc w:val="center"/>
              <w:rPr>
                <w:rFonts w:ascii="EC Square Sans Cond Pro" w:hAnsi="EC Square Sans Cond Pro" w:cs="Avenir Next LT Pro"/>
                <w:noProof/>
                <w:sz w:val="18"/>
                <w:szCs w:val="18"/>
                <w:lang w:val="en-IE"/>
              </w:rPr>
            </w:pPr>
            <w:r w:rsidRPr="004B5DA9">
              <w:rPr>
                <w:rFonts w:ascii="EC Square Sans Cond Pro" w:hAnsi="EC Square Sans Cond Pro" w:cs="Calibri"/>
                <w:i/>
                <w:iCs/>
                <w:noProof/>
                <w:sz w:val="18"/>
                <w:szCs w:val="18"/>
                <w:lang w:val="en-IE"/>
              </w:rPr>
              <w:t>(-62.5%)</w:t>
            </w:r>
          </w:p>
        </w:tc>
      </w:tr>
      <w:tr w:rsidR="00056023" w:rsidRPr="00056023" w14:paraId="301B097B" w14:textId="77777777" w:rsidTr="00056023">
        <w:trPr>
          <w:trHeight w:val="311"/>
        </w:trPr>
        <w:tc>
          <w:tcPr>
            <w:tcW w:w="517" w:type="dxa"/>
            <w:vMerge/>
          </w:tcPr>
          <w:p w14:paraId="34045736" w14:textId="77777777" w:rsidR="00056023" w:rsidRPr="00056023" w:rsidRDefault="00056023" w:rsidP="0023364B">
            <w:pPr>
              <w:keepNext/>
              <w:keepLines/>
              <w:spacing w:after="0"/>
              <w:jc w:val="left"/>
              <w:rPr>
                <w:rFonts w:ascii="EC Square Sans Cond Pro" w:hAnsi="EC Square Sans Cond Pro" w:cs="Avenir Next LT Pro"/>
                <w:noProof/>
                <w:sz w:val="18"/>
                <w:szCs w:val="18"/>
                <w:lang w:val="en-IE"/>
              </w:rPr>
            </w:pPr>
          </w:p>
        </w:tc>
        <w:tc>
          <w:tcPr>
            <w:tcW w:w="1751" w:type="dxa"/>
            <w:tcBorders>
              <w:right w:val="single" w:sz="12" w:space="0" w:color="auto"/>
            </w:tcBorders>
            <w:noWrap/>
            <w:vAlign w:val="center"/>
          </w:tcPr>
          <w:p w14:paraId="25928B2F" w14:textId="3D60C1B7" w:rsidR="00056023" w:rsidRPr="00056023" w:rsidRDefault="00056023" w:rsidP="0023364B">
            <w:pPr>
              <w:keepNext/>
              <w:keepLines/>
              <w:spacing w:after="0"/>
              <w:jc w:val="left"/>
              <w:rPr>
                <w:rFonts w:ascii="EC Square Sans Cond Pro" w:hAnsi="EC Square Sans Cond Pro" w:cs="Avenir Next LT Pro"/>
                <w:noProof/>
                <w:sz w:val="18"/>
                <w:szCs w:val="18"/>
                <w:lang w:val="en-IE"/>
              </w:rPr>
            </w:pPr>
            <w:r w:rsidRPr="00056023">
              <w:rPr>
                <w:rFonts w:ascii="EC Square Sans Cond Pro" w:hAnsi="EC Square Sans Cond Pro" w:cs="Avenir Next LT Pro"/>
                <w:noProof/>
                <w:sz w:val="18"/>
                <w:szCs w:val="18"/>
                <w:lang w:val="en-IE"/>
              </w:rPr>
              <w:t>VOC</w:t>
            </w:r>
          </w:p>
        </w:tc>
        <w:tc>
          <w:tcPr>
            <w:tcW w:w="709" w:type="dxa"/>
            <w:tcBorders>
              <w:left w:val="single" w:sz="12" w:space="0" w:color="auto"/>
              <w:right w:val="single" w:sz="12" w:space="0" w:color="auto"/>
            </w:tcBorders>
            <w:noWrap/>
            <w:vAlign w:val="center"/>
          </w:tcPr>
          <w:p w14:paraId="01F25861" w14:textId="43F4536F" w:rsidR="00056023" w:rsidRPr="00056023" w:rsidRDefault="00056023" w:rsidP="0023364B">
            <w:pPr>
              <w:keepNext/>
              <w:keepLines/>
              <w:spacing w:after="0"/>
              <w:jc w:val="center"/>
              <w:rPr>
                <w:rFonts w:ascii="EC Square Sans Cond Pro" w:hAnsi="EC Square Sans Cond Pro" w:cs="Calibri"/>
                <w:noProof/>
                <w:sz w:val="18"/>
                <w:szCs w:val="18"/>
                <w:lang w:val="en-IE"/>
              </w:rPr>
            </w:pPr>
            <w:r w:rsidRPr="00056023">
              <w:rPr>
                <w:rFonts w:ascii="EC Square Sans Cond Pro" w:hAnsi="EC Square Sans Cond Pro" w:cs="Calibri"/>
                <w:noProof/>
                <w:sz w:val="18"/>
                <w:szCs w:val="18"/>
                <w:lang w:val="en-IE"/>
              </w:rPr>
              <w:t>6362</w:t>
            </w:r>
          </w:p>
        </w:tc>
        <w:tc>
          <w:tcPr>
            <w:tcW w:w="1594" w:type="dxa"/>
            <w:tcBorders>
              <w:left w:val="single" w:sz="12" w:space="0" w:color="auto"/>
            </w:tcBorders>
            <w:noWrap/>
            <w:vAlign w:val="center"/>
          </w:tcPr>
          <w:p w14:paraId="49352D98" w14:textId="0F31ADE2" w:rsidR="00056023" w:rsidRPr="00056023" w:rsidRDefault="00056023" w:rsidP="0023364B">
            <w:pPr>
              <w:keepNext/>
              <w:keepLines/>
              <w:spacing w:after="0"/>
              <w:jc w:val="center"/>
              <w:rPr>
                <w:rFonts w:ascii="EC Square Sans Cond Pro" w:hAnsi="EC Square Sans Cond Pro" w:cs="Calibri"/>
                <w:noProof/>
                <w:sz w:val="18"/>
                <w:szCs w:val="18"/>
                <w:lang w:val="en-IE"/>
              </w:rPr>
            </w:pPr>
            <w:r w:rsidRPr="00056023">
              <w:rPr>
                <w:rFonts w:ascii="EC Square Sans Cond Pro" w:hAnsi="EC Square Sans Cond Pro" w:cs="Calibri"/>
                <w:noProof/>
                <w:sz w:val="18"/>
                <w:szCs w:val="18"/>
                <w:lang w:val="en-IE"/>
              </w:rPr>
              <w:t xml:space="preserve">4497 to 4503 </w:t>
            </w:r>
          </w:p>
        </w:tc>
        <w:tc>
          <w:tcPr>
            <w:tcW w:w="1066" w:type="dxa"/>
            <w:tcBorders>
              <w:right w:val="single" w:sz="12" w:space="0" w:color="auto"/>
            </w:tcBorders>
            <w:vAlign w:val="center"/>
          </w:tcPr>
          <w:p w14:paraId="18230E72" w14:textId="7FE8616F" w:rsidR="00056023" w:rsidRPr="00056023" w:rsidRDefault="00056023" w:rsidP="0023364B">
            <w:pPr>
              <w:keepNext/>
              <w:keepLines/>
              <w:spacing w:after="0"/>
              <w:jc w:val="center"/>
              <w:rPr>
                <w:rFonts w:ascii="EC Square Sans Cond Pro" w:hAnsi="EC Square Sans Cond Pro" w:cs="Avenir Next LT Pro"/>
                <w:i/>
                <w:iCs/>
                <w:noProof/>
                <w:sz w:val="18"/>
                <w:szCs w:val="18"/>
                <w:lang w:val="en-IE"/>
              </w:rPr>
            </w:pPr>
            <w:r w:rsidRPr="00056023">
              <w:rPr>
                <w:rFonts w:ascii="EC Square Sans Cond Pro" w:hAnsi="EC Square Sans Cond Pro" w:cs="Avenir Next LT Pro"/>
                <w:i/>
                <w:iCs/>
                <w:noProof/>
                <w:sz w:val="18"/>
                <w:szCs w:val="18"/>
                <w:lang w:val="en-IE"/>
              </w:rPr>
              <w:t>4259</w:t>
            </w:r>
          </w:p>
        </w:tc>
        <w:tc>
          <w:tcPr>
            <w:tcW w:w="1842" w:type="dxa"/>
            <w:tcBorders>
              <w:left w:val="single" w:sz="12" w:space="0" w:color="auto"/>
            </w:tcBorders>
            <w:vAlign w:val="center"/>
          </w:tcPr>
          <w:p w14:paraId="10EED138" w14:textId="77777777" w:rsidR="00056023" w:rsidRPr="00056023" w:rsidRDefault="00056023" w:rsidP="0023364B">
            <w:pPr>
              <w:keepNext/>
              <w:keepLines/>
              <w:spacing w:after="0"/>
              <w:jc w:val="center"/>
              <w:rPr>
                <w:rFonts w:ascii="EC Square Sans Cond Pro" w:hAnsi="EC Square Sans Cond Pro" w:cs="Calibri"/>
                <w:noProof/>
                <w:sz w:val="18"/>
                <w:szCs w:val="18"/>
                <w:lang w:val="en-IE"/>
              </w:rPr>
            </w:pPr>
            <w:r w:rsidRPr="00056023">
              <w:rPr>
                <w:rFonts w:ascii="EC Square Sans Cond Pro" w:hAnsi="EC Square Sans Cond Pro" w:cs="Calibri"/>
                <w:noProof/>
                <w:sz w:val="18"/>
                <w:szCs w:val="18"/>
                <w:lang w:val="en-IE"/>
              </w:rPr>
              <w:t>-1860 to -1865</w:t>
            </w:r>
          </w:p>
          <w:p w14:paraId="13EDD6F3" w14:textId="34DD086B" w:rsidR="00056023" w:rsidRPr="00056023" w:rsidRDefault="00056023" w:rsidP="0023364B">
            <w:pPr>
              <w:keepNext/>
              <w:keepLines/>
              <w:spacing w:after="0"/>
              <w:jc w:val="center"/>
              <w:rPr>
                <w:rFonts w:ascii="EC Square Sans Cond Pro" w:hAnsi="EC Square Sans Cond Pro" w:cs="Calibri"/>
                <w:noProof/>
                <w:sz w:val="18"/>
                <w:szCs w:val="18"/>
                <w:lang w:val="en-IE"/>
              </w:rPr>
            </w:pPr>
            <w:r w:rsidRPr="00056023">
              <w:rPr>
                <w:rFonts w:ascii="EC Square Sans Cond Pro" w:hAnsi="EC Square Sans Cond Pro" w:cs="Calibri"/>
                <w:noProof/>
                <w:sz w:val="18"/>
                <w:szCs w:val="18"/>
                <w:lang w:val="en-IE"/>
              </w:rPr>
              <w:t>(-29.2% to -29.3%)</w:t>
            </w:r>
          </w:p>
        </w:tc>
        <w:tc>
          <w:tcPr>
            <w:tcW w:w="1276" w:type="dxa"/>
            <w:vAlign w:val="center"/>
          </w:tcPr>
          <w:p w14:paraId="1E98B7C1" w14:textId="77777777" w:rsidR="00056023" w:rsidRPr="00056023" w:rsidRDefault="00056023" w:rsidP="0023364B">
            <w:pPr>
              <w:keepNext/>
              <w:keepLines/>
              <w:spacing w:after="0"/>
              <w:jc w:val="center"/>
              <w:rPr>
                <w:rFonts w:ascii="EC Square Sans Cond Pro" w:hAnsi="EC Square Sans Cond Pro" w:cs="Calibri"/>
                <w:i/>
                <w:iCs/>
                <w:noProof/>
                <w:sz w:val="18"/>
                <w:szCs w:val="18"/>
                <w:lang w:val="en-IE"/>
              </w:rPr>
            </w:pPr>
            <w:r w:rsidRPr="00056023">
              <w:rPr>
                <w:rFonts w:ascii="EC Square Sans Cond Pro" w:hAnsi="EC Square Sans Cond Pro" w:cs="Calibri"/>
                <w:i/>
                <w:iCs/>
                <w:noProof/>
                <w:sz w:val="18"/>
                <w:szCs w:val="18"/>
                <w:lang w:val="en-IE"/>
              </w:rPr>
              <w:t>-2103</w:t>
            </w:r>
          </w:p>
          <w:p w14:paraId="265BF036" w14:textId="63CE3A82" w:rsidR="00056023" w:rsidRPr="00056023" w:rsidRDefault="00056023" w:rsidP="0023364B">
            <w:pPr>
              <w:keepNext/>
              <w:keepLines/>
              <w:spacing w:after="0"/>
              <w:jc w:val="center"/>
              <w:rPr>
                <w:rFonts w:ascii="EC Square Sans Cond Pro" w:hAnsi="EC Square Sans Cond Pro" w:cs="Calibri"/>
                <w:i/>
                <w:iCs/>
                <w:noProof/>
                <w:sz w:val="18"/>
                <w:szCs w:val="18"/>
                <w:lang w:val="en-IE"/>
              </w:rPr>
            </w:pPr>
            <w:r w:rsidRPr="00056023">
              <w:rPr>
                <w:rFonts w:ascii="EC Square Sans Cond Pro" w:hAnsi="EC Square Sans Cond Pro" w:cs="Calibri"/>
                <w:i/>
                <w:iCs/>
                <w:noProof/>
                <w:sz w:val="18"/>
                <w:szCs w:val="18"/>
                <w:lang w:val="en-IE"/>
              </w:rPr>
              <w:t>(-33.1%)</w:t>
            </w:r>
          </w:p>
        </w:tc>
      </w:tr>
      <w:tr w:rsidR="00056023" w:rsidRPr="00056023" w14:paraId="2408BEBD" w14:textId="77777777" w:rsidTr="00056023">
        <w:trPr>
          <w:trHeight w:val="311"/>
        </w:trPr>
        <w:tc>
          <w:tcPr>
            <w:tcW w:w="517" w:type="dxa"/>
            <w:vMerge/>
            <w:tcBorders>
              <w:bottom w:val="single" w:sz="12" w:space="0" w:color="auto"/>
            </w:tcBorders>
          </w:tcPr>
          <w:p w14:paraId="217AFBE6" w14:textId="77777777" w:rsidR="00056023" w:rsidRPr="00056023" w:rsidRDefault="00056023" w:rsidP="0023364B">
            <w:pPr>
              <w:keepNext/>
              <w:keepLines/>
              <w:spacing w:after="0"/>
              <w:jc w:val="left"/>
              <w:rPr>
                <w:rFonts w:ascii="EC Square Sans Cond Pro" w:hAnsi="EC Square Sans Cond Pro" w:cs="Avenir Next LT Pro"/>
                <w:noProof/>
                <w:sz w:val="18"/>
                <w:szCs w:val="18"/>
                <w:lang w:val="en-IE"/>
              </w:rPr>
            </w:pPr>
          </w:p>
        </w:tc>
        <w:tc>
          <w:tcPr>
            <w:tcW w:w="1751" w:type="dxa"/>
            <w:tcBorders>
              <w:bottom w:val="single" w:sz="12" w:space="0" w:color="auto"/>
              <w:right w:val="single" w:sz="12" w:space="0" w:color="auto"/>
            </w:tcBorders>
            <w:noWrap/>
            <w:vAlign w:val="center"/>
          </w:tcPr>
          <w:p w14:paraId="061E6F3D" w14:textId="79A76D6E" w:rsidR="00056023" w:rsidRPr="00056023" w:rsidRDefault="00056023" w:rsidP="0023364B">
            <w:pPr>
              <w:keepNext/>
              <w:keepLines/>
              <w:spacing w:after="0"/>
              <w:jc w:val="left"/>
              <w:rPr>
                <w:rFonts w:ascii="EC Square Sans Cond Pro" w:hAnsi="EC Square Sans Cond Pro" w:cs="Avenir Next LT Pro"/>
                <w:noProof/>
                <w:sz w:val="18"/>
                <w:szCs w:val="18"/>
                <w:lang w:val="en-IE"/>
              </w:rPr>
            </w:pPr>
            <w:r w:rsidRPr="00056023">
              <w:rPr>
                <w:rFonts w:ascii="EC Square Sans Cond Pro" w:hAnsi="EC Square Sans Cond Pro" w:cs="Avenir Next LT Pro"/>
                <w:noProof/>
                <w:sz w:val="18"/>
                <w:szCs w:val="18"/>
                <w:lang w:val="en-IE"/>
              </w:rPr>
              <w:t>NH3</w:t>
            </w:r>
          </w:p>
        </w:tc>
        <w:tc>
          <w:tcPr>
            <w:tcW w:w="709" w:type="dxa"/>
            <w:tcBorders>
              <w:left w:val="single" w:sz="12" w:space="0" w:color="auto"/>
              <w:bottom w:val="single" w:sz="12" w:space="0" w:color="auto"/>
              <w:right w:val="single" w:sz="12" w:space="0" w:color="auto"/>
            </w:tcBorders>
            <w:noWrap/>
            <w:vAlign w:val="center"/>
          </w:tcPr>
          <w:p w14:paraId="589E31FA" w14:textId="271E1DDB" w:rsidR="00056023" w:rsidRPr="00056023" w:rsidRDefault="00056023" w:rsidP="0023364B">
            <w:pPr>
              <w:keepNext/>
              <w:keepLines/>
              <w:spacing w:after="0"/>
              <w:jc w:val="center"/>
              <w:rPr>
                <w:rFonts w:ascii="EC Square Sans Cond Pro" w:hAnsi="EC Square Sans Cond Pro" w:cs="Calibri"/>
                <w:noProof/>
                <w:sz w:val="18"/>
                <w:szCs w:val="18"/>
                <w:lang w:val="en-IE"/>
              </w:rPr>
            </w:pPr>
            <w:r w:rsidRPr="00056023">
              <w:rPr>
                <w:rFonts w:ascii="EC Square Sans Cond Pro" w:hAnsi="EC Square Sans Cond Pro" w:cs="Calibri"/>
                <w:noProof/>
                <w:sz w:val="18"/>
                <w:szCs w:val="18"/>
                <w:lang w:val="en-IE"/>
              </w:rPr>
              <w:t>3690</w:t>
            </w:r>
          </w:p>
        </w:tc>
        <w:tc>
          <w:tcPr>
            <w:tcW w:w="1594" w:type="dxa"/>
            <w:tcBorders>
              <w:left w:val="single" w:sz="12" w:space="0" w:color="auto"/>
              <w:bottom w:val="single" w:sz="12" w:space="0" w:color="auto"/>
            </w:tcBorders>
            <w:noWrap/>
            <w:vAlign w:val="center"/>
          </w:tcPr>
          <w:p w14:paraId="47F03436" w14:textId="496C2F01" w:rsidR="00056023" w:rsidRPr="00056023" w:rsidRDefault="00056023" w:rsidP="0023364B">
            <w:pPr>
              <w:keepNext/>
              <w:keepLines/>
              <w:spacing w:after="0"/>
              <w:jc w:val="center"/>
              <w:rPr>
                <w:rFonts w:ascii="EC Square Sans Cond Pro" w:hAnsi="EC Square Sans Cond Pro" w:cs="Calibri"/>
                <w:noProof/>
                <w:sz w:val="18"/>
                <w:szCs w:val="18"/>
                <w:lang w:val="en-IE"/>
              </w:rPr>
            </w:pPr>
            <w:r w:rsidRPr="00056023">
              <w:rPr>
                <w:rFonts w:ascii="EC Square Sans Cond Pro" w:hAnsi="EC Square Sans Cond Pro" w:cs="Calibri"/>
                <w:noProof/>
                <w:sz w:val="18"/>
                <w:szCs w:val="18"/>
                <w:lang w:val="en-IE"/>
              </w:rPr>
              <w:t>3086 to 3091</w:t>
            </w:r>
          </w:p>
        </w:tc>
        <w:tc>
          <w:tcPr>
            <w:tcW w:w="1066" w:type="dxa"/>
            <w:tcBorders>
              <w:bottom w:val="single" w:sz="12" w:space="0" w:color="auto"/>
              <w:right w:val="single" w:sz="12" w:space="0" w:color="auto"/>
            </w:tcBorders>
            <w:vAlign w:val="center"/>
          </w:tcPr>
          <w:p w14:paraId="650FE723" w14:textId="56540809" w:rsidR="00056023" w:rsidRPr="00056023" w:rsidRDefault="00056023" w:rsidP="0023364B">
            <w:pPr>
              <w:keepNext/>
              <w:keepLines/>
              <w:spacing w:after="0"/>
              <w:jc w:val="center"/>
              <w:rPr>
                <w:rFonts w:ascii="EC Square Sans Cond Pro" w:hAnsi="EC Square Sans Cond Pro" w:cs="Avenir Next LT Pro"/>
                <w:i/>
                <w:iCs/>
                <w:noProof/>
                <w:sz w:val="18"/>
                <w:szCs w:val="18"/>
                <w:lang w:val="en-IE"/>
              </w:rPr>
            </w:pPr>
            <w:r w:rsidRPr="00056023">
              <w:rPr>
                <w:rFonts w:ascii="EC Square Sans Cond Pro" w:hAnsi="EC Square Sans Cond Pro" w:cs="Avenir Next LT Pro"/>
                <w:i/>
                <w:iCs/>
                <w:noProof/>
                <w:sz w:val="18"/>
                <w:szCs w:val="18"/>
                <w:lang w:val="en-IE"/>
              </w:rPr>
              <w:t>2346</w:t>
            </w:r>
          </w:p>
        </w:tc>
        <w:tc>
          <w:tcPr>
            <w:tcW w:w="1842" w:type="dxa"/>
            <w:tcBorders>
              <w:left w:val="single" w:sz="12" w:space="0" w:color="auto"/>
              <w:bottom w:val="single" w:sz="12" w:space="0" w:color="auto"/>
            </w:tcBorders>
            <w:vAlign w:val="center"/>
          </w:tcPr>
          <w:p w14:paraId="70C536D4" w14:textId="77777777" w:rsidR="00056023" w:rsidRPr="00056023" w:rsidRDefault="00056023" w:rsidP="0023364B">
            <w:pPr>
              <w:keepNext/>
              <w:keepLines/>
              <w:spacing w:after="0"/>
              <w:jc w:val="center"/>
              <w:rPr>
                <w:rFonts w:ascii="EC Square Sans Cond Pro" w:hAnsi="EC Square Sans Cond Pro" w:cs="Calibri"/>
                <w:noProof/>
                <w:sz w:val="18"/>
                <w:szCs w:val="18"/>
                <w:lang w:val="en-IE"/>
              </w:rPr>
            </w:pPr>
            <w:r w:rsidRPr="00056023">
              <w:rPr>
                <w:rFonts w:ascii="EC Square Sans Cond Pro" w:hAnsi="EC Square Sans Cond Pro" w:cs="Calibri"/>
                <w:noProof/>
                <w:sz w:val="18"/>
                <w:szCs w:val="18"/>
                <w:lang w:val="en-IE"/>
              </w:rPr>
              <w:t>-599 to -604</w:t>
            </w:r>
          </w:p>
          <w:p w14:paraId="2E231CA8" w14:textId="58D562FE" w:rsidR="00056023" w:rsidRPr="00056023" w:rsidRDefault="00056023" w:rsidP="0023364B">
            <w:pPr>
              <w:keepNext/>
              <w:keepLines/>
              <w:spacing w:after="0"/>
              <w:jc w:val="center"/>
              <w:rPr>
                <w:rFonts w:ascii="EC Square Sans Cond Pro" w:hAnsi="EC Square Sans Cond Pro" w:cs="Calibri"/>
                <w:noProof/>
                <w:sz w:val="18"/>
                <w:szCs w:val="18"/>
                <w:lang w:val="en-IE"/>
              </w:rPr>
            </w:pPr>
            <w:r w:rsidRPr="00056023">
              <w:rPr>
                <w:rFonts w:ascii="EC Square Sans Cond Pro" w:hAnsi="EC Square Sans Cond Pro" w:cs="Calibri"/>
                <w:noProof/>
                <w:sz w:val="18"/>
                <w:szCs w:val="18"/>
                <w:lang w:val="en-IE"/>
              </w:rPr>
              <w:t>(-16.2% to -16.4%)</w:t>
            </w:r>
          </w:p>
        </w:tc>
        <w:tc>
          <w:tcPr>
            <w:tcW w:w="1276" w:type="dxa"/>
            <w:tcBorders>
              <w:bottom w:val="single" w:sz="12" w:space="0" w:color="auto"/>
            </w:tcBorders>
            <w:vAlign w:val="center"/>
          </w:tcPr>
          <w:p w14:paraId="0D438D68" w14:textId="77777777" w:rsidR="00056023" w:rsidRPr="00056023" w:rsidRDefault="00056023" w:rsidP="0023364B">
            <w:pPr>
              <w:keepNext/>
              <w:keepLines/>
              <w:spacing w:after="0"/>
              <w:jc w:val="center"/>
              <w:rPr>
                <w:rFonts w:ascii="EC Square Sans Cond Pro" w:hAnsi="EC Square Sans Cond Pro" w:cs="Calibri"/>
                <w:i/>
                <w:iCs/>
                <w:noProof/>
                <w:sz w:val="18"/>
                <w:szCs w:val="18"/>
                <w:lang w:val="en-IE"/>
              </w:rPr>
            </w:pPr>
            <w:r w:rsidRPr="00056023">
              <w:rPr>
                <w:rFonts w:ascii="EC Square Sans Cond Pro" w:hAnsi="EC Square Sans Cond Pro" w:cs="Calibri"/>
                <w:i/>
                <w:iCs/>
                <w:noProof/>
                <w:sz w:val="18"/>
                <w:szCs w:val="18"/>
                <w:lang w:val="en-IE"/>
              </w:rPr>
              <w:t>-1345</w:t>
            </w:r>
          </w:p>
          <w:p w14:paraId="140F24F0" w14:textId="73948E2B" w:rsidR="00056023" w:rsidRPr="00056023" w:rsidRDefault="00056023" w:rsidP="0023364B">
            <w:pPr>
              <w:keepNext/>
              <w:keepLines/>
              <w:spacing w:after="0"/>
              <w:jc w:val="center"/>
              <w:rPr>
                <w:rFonts w:ascii="EC Square Sans Cond Pro" w:hAnsi="EC Square Sans Cond Pro" w:cs="Calibri"/>
                <w:i/>
                <w:iCs/>
                <w:noProof/>
                <w:sz w:val="18"/>
                <w:szCs w:val="18"/>
                <w:lang w:val="en-IE"/>
              </w:rPr>
            </w:pPr>
            <w:r w:rsidRPr="00056023">
              <w:rPr>
                <w:rFonts w:ascii="EC Square Sans Cond Pro" w:hAnsi="EC Square Sans Cond Pro" w:cs="Calibri"/>
                <w:i/>
                <w:iCs/>
                <w:noProof/>
                <w:sz w:val="18"/>
                <w:szCs w:val="18"/>
                <w:lang w:val="en-IE"/>
              </w:rPr>
              <w:t>(-36.4%)</w:t>
            </w:r>
          </w:p>
        </w:tc>
      </w:tr>
      <w:tr w:rsidR="00F93182" w:rsidRPr="00BB1227" w14:paraId="1FDF1A39" w14:textId="77777777" w:rsidTr="001C2345">
        <w:trPr>
          <w:trHeight w:val="311"/>
        </w:trPr>
        <w:tc>
          <w:tcPr>
            <w:tcW w:w="517" w:type="dxa"/>
            <w:vMerge w:val="restart"/>
            <w:tcBorders>
              <w:top w:val="single" w:sz="12" w:space="0" w:color="auto"/>
            </w:tcBorders>
            <w:textDirection w:val="btLr"/>
            <w:vAlign w:val="center"/>
          </w:tcPr>
          <w:p w14:paraId="11036683" w14:textId="778284B7" w:rsidR="00F93182" w:rsidRPr="00BB1227" w:rsidRDefault="00F93182" w:rsidP="0023364B">
            <w:pPr>
              <w:keepNext/>
              <w:keepLines/>
              <w:spacing w:after="0"/>
              <w:ind w:left="113" w:right="113"/>
              <w:jc w:val="center"/>
              <w:rPr>
                <w:rFonts w:ascii="EC Square Sans Cond Pro" w:hAnsi="EC Square Sans Cond Pro" w:cs="Avenir Next LT Pro"/>
                <w:noProof/>
                <w:sz w:val="18"/>
                <w:szCs w:val="18"/>
                <w:lang w:val="en-IE"/>
              </w:rPr>
            </w:pPr>
            <w:r>
              <w:rPr>
                <w:rFonts w:ascii="EC Square Sans Cond Pro" w:hAnsi="EC Square Sans Cond Pro" w:cs="Avenir Next LT Pro"/>
                <w:b/>
                <w:noProof/>
                <w:sz w:val="18"/>
                <w:szCs w:val="18"/>
                <w:lang w:val="en-IE"/>
              </w:rPr>
              <w:t>P</w:t>
            </w:r>
            <w:r w:rsidRPr="00BB1227">
              <w:rPr>
                <w:rFonts w:ascii="EC Square Sans Cond Pro" w:hAnsi="EC Square Sans Cond Pro" w:cs="Avenir Next LT Pro"/>
                <w:b/>
                <w:noProof/>
                <w:sz w:val="18"/>
                <w:szCs w:val="18"/>
                <w:lang w:val="en-IE"/>
              </w:rPr>
              <w:t>ublic health</w:t>
            </w:r>
          </w:p>
        </w:tc>
        <w:tc>
          <w:tcPr>
            <w:tcW w:w="1751" w:type="dxa"/>
            <w:tcBorders>
              <w:top w:val="single" w:sz="12" w:space="0" w:color="auto"/>
              <w:right w:val="single" w:sz="12" w:space="0" w:color="auto"/>
            </w:tcBorders>
            <w:noWrap/>
            <w:vAlign w:val="center"/>
          </w:tcPr>
          <w:p w14:paraId="4A806D68" w14:textId="1AF04E86" w:rsidR="00F93182" w:rsidRPr="00BB1227" w:rsidRDefault="00F93182" w:rsidP="0023364B">
            <w:pPr>
              <w:keepNext/>
              <w:keepLines/>
              <w:spacing w:after="0"/>
              <w:jc w:val="left"/>
              <w:rPr>
                <w:rFonts w:ascii="EC Square Sans Cond Pro" w:hAnsi="EC Square Sans Cond Pro" w:cs="Avenir Next LT Pro"/>
                <w:b/>
                <w:noProof/>
                <w:sz w:val="18"/>
                <w:szCs w:val="18"/>
                <w:lang w:val="en-IE"/>
              </w:rPr>
            </w:pPr>
            <w:r w:rsidRPr="00056023">
              <w:rPr>
                <w:rFonts w:ascii="EC Square Sans Cond Pro" w:hAnsi="EC Square Sans Cond Pro" w:cs="Avenir Next LT Pro"/>
                <w:b/>
                <w:noProof/>
                <w:sz w:val="18"/>
                <w:szCs w:val="18"/>
                <w:lang w:val="en-IE"/>
              </w:rPr>
              <w:t xml:space="preserve">Premature mortality caused by PM2.5 </w:t>
            </w:r>
            <w:r>
              <w:rPr>
                <w:rFonts w:ascii="EC Square Sans Cond Pro" w:hAnsi="EC Square Sans Cond Pro" w:cs="Avenir Next LT Pro"/>
                <w:b/>
                <w:noProof/>
                <w:sz w:val="18"/>
                <w:szCs w:val="18"/>
                <w:lang w:val="en-IE"/>
              </w:rPr>
              <w:t>exposure</w:t>
            </w:r>
          </w:p>
        </w:tc>
        <w:tc>
          <w:tcPr>
            <w:tcW w:w="709" w:type="dxa"/>
            <w:tcBorders>
              <w:top w:val="single" w:sz="12" w:space="0" w:color="auto"/>
              <w:left w:val="single" w:sz="12" w:space="0" w:color="auto"/>
              <w:right w:val="single" w:sz="12" w:space="0" w:color="auto"/>
            </w:tcBorders>
            <w:noWrap/>
            <w:vAlign w:val="center"/>
          </w:tcPr>
          <w:p w14:paraId="3BF20300" w14:textId="77777777" w:rsidR="00F93182" w:rsidRPr="00BB1227" w:rsidRDefault="00F93182" w:rsidP="0023364B">
            <w:pPr>
              <w:keepNext/>
              <w:keepLines/>
              <w:spacing w:after="0"/>
              <w:jc w:val="center"/>
              <w:rPr>
                <w:rFonts w:ascii="EC Square Sans Cond Pro" w:hAnsi="EC Square Sans Cond Pro" w:cs="Cambria Math"/>
                <w:noProof/>
                <w:color w:val="000000"/>
                <w:sz w:val="18"/>
                <w:szCs w:val="18"/>
                <w:lang w:val="en-IE"/>
              </w:rPr>
            </w:pPr>
          </w:p>
        </w:tc>
        <w:tc>
          <w:tcPr>
            <w:tcW w:w="1594" w:type="dxa"/>
            <w:tcBorders>
              <w:top w:val="single" w:sz="12" w:space="0" w:color="auto"/>
              <w:left w:val="single" w:sz="12" w:space="0" w:color="auto"/>
            </w:tcBorders>
            <w:noWrap/>
            <w:vAlign w:val="center"/>
          </w:tcPr>
          <w:p w14:paraId="4E69F722" w14:textId="77777777" w:rsidR="00F93182" w:rsidRPr="00BB1227" w:rsidRDefault="00F93182" w:rsidP="0023364B">
            <w:pPr>
              <w:keepNext/>
              <w:keepLines/>
              <w:spacing w:after="0"/>
              <w:jc w:val="center"/>
              <w:rPr>
                <w:rFonts w:ascii="EC Square Sans Cond Pro" w:hAnsi="EC Square Sans Cond Pro" w:cs="Cambria Math"/>
                <w:noProof/>
                <w:color w:val="FF0000"/>
                <w:sz w:val="18"/>
                <w:szCs w:val="18"/>
                <w:lang w:val="en-IE"/>
              </w:rPr>
            </w:pPr>
          </w:p>
        </w:tc>
        <w:tc>
          <w:tcPr>
            <w:tcW w:w="1066" w:type="dxa"/>
            <w:tcBorders>
              <w:top w:val="single" w:sz="12" w:space="0" w:color="auto"/>
              <w:right w:val="single" w:sz="12" w:space="0" w:color="auto"/>
            </w:tcBorders>
            <w:vAlign w:val="center"/>
          </w:tcPr>
          <w:p w14:paraId="523AAEEA" w14:textId="77777777" w:rsidR="00F93182" w:rsidRPr="004B5DA9" w:rsidRDefault="00F93182" w:rsidP="0023364B">
            <w:pPr>
              <w:keepNext/>
              <w:keepLines/>
              <w:spacing w:after="0"/>
              <w:jc w:val="center"/>
              <w:rPr>
                <w:rFonts w:ascii="EC Square Sans Cond Pro" w:hAnsi="EC Square Sans Cond Pro" w:cs="Cambria Math"/>
                <w:noProof/>
                <w:sz w:val="18"/>
                <w:szCs w:val="18"/>
                <w:lang w:val="en-IE"/>
              </w:rPr>
            </w:pPr>
          </w:p>
        </w:tc>
        <w:tc>
          <w:tcPr>
            <w:tcW w:w="1842" w:type="dxa"/>
            <w:tcBorders>
              <w:top w:val="single" w:sz="12" w:space="0" w:color="auto"/>
              <w:left w:val="single" w:sz="12" w:space="0" w:color="auto"/>
            </w:tcBorders>
            <w:vAlign w:val="center"/>
          </w:tcPr>
          <w:p w14:paraId="30551F80" w14:textId="77777777" w:rsidR="00F93182" w:rsidRPr="004B5DA9" w:rsidRDefault="00F93182" w:rsidP="0023364B">
            <w:pPr>
              <w:keepNext/>
              <w:keepLines/>
              <w:spacing w:after="0"/>
              <w:jc w:val="center"/>
              <w:rPr>
                <w:rFonts w:ascii="EC Square Sans Cond Pro" w:hAnsi="EC Square Sans Cond Pro" w:cs="Cambria Math"/>
                <w:noProof/>
                <w:sz w:val="18"/>
                <w:szCs w:val="18"/>
                <w:lang w:val="en-IE"/>
              </w:rPr>
            </w:pPr>
          </w:p>
        </w:tc>
        <w:tc>
          <w:tcPr>
            <w:tcW w:w="1276" w:type="dxa"/>
            <w:tcBorders>
              <w:top w:val="single" w:sz="12" w:space="0" w:color="auto"/>
            </w:tcBorders>
            <w:vAlign w:val="center"/>
          </w:tcPr>
          <w:p w14:paraId="4CA638D5" w14:textId="351B132C" w:rsidR="00F93182" w:rsidRPr="004B5DA9" w:rsidRDefault="00F93182" w:rsidP="0023364B">
            <w:pPr>
              <w:keepNext/>
              <w:keepLines/>
              <w:spacing w:after="0"/>
              <w:jc w:val="center"/>
              <w:rPr>
                <w:rFonts w:ascii="EC Square Sans Cond Pro" w:hAnsi="EC Square Sans Cond Pro" w:cs="Avenir Next LT Pro"/>
                <w:noProof/>
                <w:sz w:val="18"/>
                <w:szCs w:val="18"/>
                <w:lang w:val="en-IE"/>
              </w:rPr>
            </w:pPr>
            <w:r w:rsidRPr="004B5DA9">
              <w:rPr>
                <w:rFonts w:ascii="Calibri" w:hAnsi="Calibri" w:cs="Calibri"/>
                <w:i/>
                <w:iCs/>
                <w:noProof/>
                <w:sz w:val="18"/>
                <w:szCs w:val="18"/>
                <w:lang w:val="en-IE"/>
              </w:rPr>
              <w:t> </w:t>
            </w:r>
          </w:p>
        </w:tc>
      </w:tr>
      <w:tr w:rsidR="00F93182" w:rsidRPr="00BB1227" w14:paraId="23A69128" w14:textId="77777777" w:rsidTr="001C2345">
        <w:trPr>
          <w:trHeight w:val="311"/>
        </w:trPr>
        <w:tc>
          <w:tcPr>
            <w:tcW w:w="517" w:type="dxa"/>
            <w:vMerge/>
            <w:textDirection w:val="btLr"/>
            <w:vAlign w:val="center"/>
          </w:tcPr>
          <w:p w14:paraId="4CFDC430" w14:textId="77777777" w:rsidR="00F93182" w:rsidRPr="00BB1227" w:rsidRDefault="00F93182" w:rsidP="0023364B">
            <w:pPr>
              <w:keepNext/>
              <w:keepLines/>
              <w:spacing w:after="0"/>
              <w:ind w:left="113" w:right="113"/>
              <w:jc w:val="center"/>
              <w:rPr>
                <w:rFonts w:ascii="EC Square Sans Cond Pro" w:hAnsi="EC Square Sans Cond Pro" w:cs="Avenir Next LT Pro"/>
                <w:noProof/>
                <w:sz w:val="18"/>
                <w:szCs w:val="18"/>
                <w:lang w:val="en-IE"/>
              </w:rPr>
            </w:pPr>
          </w:p>
        </w:tc>
        <w:tc>
          <w:tcPr>
            <w:tcW w:w="1751" w:type="dxa"/>
            <w:tcBorders>
              <w:right w:val="single" w:sz="12" w:space="0" w:color="auto"/>
            </w:tcBorders>
            <w:noWrap/>
            <w:vAlign w:val="center"/>
          </w:tcPr>
          <w:p w14:paraId="3E5C4A37" w14:textId="0B237CA3" w:rsidR="00F93182" w:rsidRPr="00BB1227" w:rsidRDefault="00F93182" w:rsidP="0023364B">
            <w:pPr>
              <w:keepNext/>
              <w:keepLines/>
              <w:spacing w:after="0"/>
              <w:jc w:val="left"/>
              <w:rPr>
                <w:rFonts w:ascii="EC Square Sans Cond Pro" w:hAnsi="EC Square Sans Cond Pro" w:cs="Avenir Next LT Pro"/>
                <w:noProof/>
                <w:sz w:val="18"/>
                <w:szCs w:val="18"/>
                <w:lang w:val="en-IE"/>
              </w:rPr>
            </w:pPr>
            <w:r w:rsidRPr="00056023">
              <w:rPr>
                <w:rFonts w:ascii="EC Square Sans Cond Pro" w:hAnsi="EC Square Sans Cond Pro" w:cs="Avenir Next LT Pro"/>
                <w:noProof/>
                <w:sz w:val="18"/>
                <w:szCs w:val="18"/>
                <w:lang w:val="en-IE"/>
              </w:rPr>
              <w:t>Expressed in 1000 cases/year</w:t>
            </w:r>
          </w:p>
        </w:tc>
        <w:tc>
          <w:tcPr>
            <w:tcW w:w="709" w:type="dxa"/>
            <w:tcBorders>
              <w:left w:val="single" w:sz="12" w:space="0" w:color="auto"/>
              <w:right w:val="single" w:sz="12" w:space="0" w:color="auto"/>
            </w:tcBorders>
            <w:noWrap/>
            <w:vAlign w:val="center"/>
          </w:tcPr>
          <w:p w14:paraId="75980595" w14:textId="1CB72E28" w:rsidR="00F93182" w:rsidRPr="00BB1227" w:rsidRDefault="00F93182" w:rsidP="0023364B">
            <w:pPr>
              <w:keepNext/>
              <w:keepLines/>
              <w:spacing w:after="0"/>
              <w:jc w:val="center"/>
              <w:rPr>
                <w:rFonts w:ascii="EC Square Sans Cond Pro" w:hAnsi="EC Square Sans Cond Pro" w:cs="Avenir Next LT Pro"/>
                <w:noProof/>
                <w:color w:val="FF0000"/>
                <w:sz w:val="18"/>
                <w:szCs w:val="18"/>
                <w:lang w:val="en-IE"/>
              </w:rPr>
            </w:pPr>
            <w:r w:rsidRPr="00BB1227">
              <w:rPr>
                <w:rFonts w:ascii="EC Square Sans Cond Pro" w:hAnsi="EC Square Sans Cond Pro" w:cs="Calibri"/>
                <w:noProof/>
                <w:sz w:val="18"/>
                <w:szCs w:val="18"/>
                <w:lang w:val="en-IE"/>
              </w:rPr>
              <w:t>395</w:t>
            </w:r>
          </w:p>
        </w:tc>
        <w:tc>
          <w:tcPr>
            <w:tcW w:w="1594" w:type="dxa"/>
            <w:tcBorders>
              <w:left w:val="single" w:sz="12" w:space="0" w:color="auto"/>
            </w:tcBorders>
            <w:noWrap/>
            <w:vAlign w:val="center"/>
          </w:tcPr>
          <w:p w14:paraId="641B0AA8" w14:textId="4CB51486" w:rsidR="00F93182" w:rsidRPr="00BB1227" w:rsidRDefault="00F93182" w:rsidP="0023364B">
            <w:pPr>
              <w:keepNext/>
              <w:keepLines/>
              <w:spacing w:after="0"/>
              <w:jc w:val="center"/>
              <w:rPr>
                <w:rFonts w:ascii="EC Square Sans Cond Pro" w:hAnsi="EC Square Sans Cond Pro" w:cs="Avenir Next LT Pro"/>
                <w:noProof/>
                <w:sz w:val="18"/>
                <w:szCs w:val="18"/>
                <w:lang w:val="en-IE"/>
              </w:rPr>
            </w:pPr>
            <w:r w:rsidRPr="00BB1227">
              <w:rPr>
                <w:rFonts w:ascii="EC Square Sans Cond Pro" w:hAnsi="EC Square Sans Cond Pro" w:cs="Calibri"/>
                <w:noProof/>
                <w:sz w:val="18"/>
                <w:szCs w:val="18"/>
                <w:lang w:val="en-IE"/>
              </w:rPr>
              <w:t>154 to 155</w:t>
            </w:r>
          </w:p>
        </w:tc>
        <w:tc>
          <w:tcPr>
            <w:tcW w:w="1066" w:type="dxa"/>
            <w:tcBorders>
              <w:right w:val="single" w:sz="12" w:space="0" w:color="auto"/>
            </w:tcBorders>
            <w:vAlign w:val="center"/>
          </w:tcPr>
          <w:p w14:paraId="7C74ADAA" w14:textId="30D758EB" w:rsidR="00F93182" w:rsidRPr="004B5DA9" w:rsidRDefault="00F93182" w:rsidP="0023364B">
            <w:pPr>
              <w:keepNext/>
              <w:keepLines/>
              <w:spacing w:after="0"/>
              <w:jc w:val="center"/>
              <w:rPr>
                <w:rFonts w:ascii="EC Square Sans Cond Pro" w:hAnsi="EC Square Sans Cond Pro" w:cs="Avenir Next LT Pro"/>
                <w:noProof/>
                <w:sz w:val="18"/>
                <w:szCs w:val="18"/>
                <w:lang w:val="en-IE"/>
              </w:rPr>
            </w:pPr>
            <w:r w:rsidRPr="004B5DA9">
              <w:rPr>
                <w:rFonts w:ascii="EC Square Sans Cond Pro" w:hAnsi="EC Square Sans Cond Pro" w:cs="Avenir Next LT Pro"/>
                <w:i/>
                <w:iCs/>
                <w:noProof/>
                <w:sz w:val="18"/>
                <w:szCs w:val="18"/>
                <w:lang w:val="en-IE"/>
              </w:rPr>
              <w:t>148</w:t>
            </w:r>
          </w:p>
        </w:tc>
        <w:tc>
          <w:tcPr>
            <w:tcW w:w="1842" w:type="dxa"/>
            <w:tcBorders>
              <w:left w:val="single" w:sz="12" w:space="0" w:color="auto"/>
            </w:tcBorders>
            <w:vAlign w:val="center"/>
          </w:tcPr>
          <w:p w14:paraId="23373C69" w14:textId="7C216DA3" w:rsidR="00F93182" w:rsidRPr="00BB1227" w:rsidRDefault="00F93182" w:rsidP="0023364B">
            <w:pPr>
              <w:keepNext/>
              <w:keepLines/>
              <w:spacing w:after="0"/>
              <w:jc w:val="center"/>
              <w:rPr>
                <w:rFonts w:ascii="EC Square Sans Cond Pro" w:hAnsi="EC Square Sans Cond Pro" w:cs="Calibri"/>
                <w:noProof/>
                <w:sz w:val="18"/>
                <w:szCs w:val="18"/>
                <w:lang w:val="en-IE"/>
              </w:rPr>
            </w:pPr>
            <w:r w:rsidRPr="00BB1227">
              <w:rPr>
                <w:rFonts w:ascii="EC Square Sans Cond Pro" w:hAnsi="EC Square Sans Cond Pro" w:cs="Calibri"/>
                <w:noProof/>
                <w:sz w:val="18"/>
                <w:szCs w:val="18"/>
                <w:lang w:val="en-IE"/>
              </w:rPr>
              <w:t>-2</w:t>
            </w:r>
            <w:r>
              <w:rPr>
                <w:rFonts w:ascii="EC Square Sans Cond Pro" w:hAnsi="EC Square Sans Cond Pro" w:cs="Calibri"/>
                <w:noProof/>
                <w:sz w:val="18"/>
                <w:szCs w:val="18"/>
                <w:lang w:val="en-IE"/>
              </w:rPr>
              <w:t>40</w:t>
            </w:r>
            <w:r w:rsidRPr="00BB1227">
              <w:rPr>
                <w:rFonts w:ascii="EC Square Sans Cond Pro" w:hAnsi="EC Square Sans Cond Pro" w:cs="Calibri"/>
                <w:noProof/>
                <w:sz w:val="18"/>
                <w:szCs w:val="18"/>
                <w:lang w:val="en-IE"/>
              </w:rPr>
              <w:t xml:space="preserve"> to -24</w:t>
            </w:r>
            <w:r>
              <w:rPr>
                <w:rFonts w:ascii="EC Square Sans Cond Pro" w:hAnsi="EC Square Sans Cond Pro" w:cs="Calibri"/>
                <w:noProof/>
                <w:sz w:val="18"/>
                <w:szCs w:val="18"/>
                <w:lang w:val="en-IE"/>
              </w:rPr>
              <w:t>1</w:t>
            </w:r>
          </w:p>
          <w:p w14:paraId="1915401E" w14:textId="77777777" w:rsidR="00F93182" w:rsidRPr="004B5DA9" w:rsidRDefault="00F93182" w:rsidP="0023364B">
            <w:pPr>
              <w:keepNext/>
              <w:keepLines/>
              <w:spacing w:after="0"/>
              <w:jc w:val="center"/>
              <w:rPr>
                <w:rFonts w:ascii="EC Square Sans Cond Pro" w:hAnsi="EC Square Sans Cond Pro" w:cs="Avenir Next LT Pro"/>
                <w:noProof/>
                <w:sz w:val="18"/>
                <w:szCs w:val="18"/>
                <w:lang w:val="en-IE"/>
              </w:rPr>
            </w:pPr>
            <w:r w:rsidRPr="00BB1227">
              <w:rPr>
                <w:rFonts w:ascii="EC Square Sans Cond Pro" w:hAnsi="EC Square Sans Cond Pro" w:cs="Calibri"/>
                <w:noProof/>
                <w:sz w:val="18"/>
                <w:szCs w:val="18"/>
                <w:lang w:val="en-IE"/>
              </w:rPr>
              <w:t>(-60.7% to -61.0%)</w:t>
            </w:r>
          </w:p>
        </w:tc>
        <w:tc>
          <w:tcPr>
            <w:tcW w:w="1276" w:type="dxa"/>
            <w:vAlign w:val="center"/>
          </w:tcPr>
          <w:p w14:paraId="6ABB5A3F" w14:textId="0B5D6C25" w:rsidR="00F93182" w:rsidRPr="004B5DA9" w:rsidRDefault="00F93182" w:rsidP="0023364B">
            <w:pPr>
              <w:keepNext/>
              <w:keepLines/>
              <w:spacing w:after="0"/>
              <w:jc w:val="center"/>
              <w:rPr>
                <w:rFonts w:ascii="EC Square Sans Cond Pro" w:hAnsi="EC Square Sans Cond Pro" w:cs="Calibri"/>
                <w:i/>
                <w:iCs/>
                <w:noProof/>
                <w:sz w:val="18"/>
                <w:szCs w:val="18"/>
                <w:lang w:val="en-IE"/>
              </w:rPr>
            </w:pPr>
            <w:r w:rsidRPr="004B5DA9">
              <w:rPr>
                <w:rFonts w:ascii="EC Square Sans Cond Pro" w:hAnsi="EC Square Sans Cond Pro" w:cs="Calibri"/>
                <w:i/>
                <w:iCs/>
                <w:noProof/>
                <w:sz w:val="18"/>
                <w:szCs w:val="18"/>
                <w:lang w:val="en-IE"/>
              </w:rPr>
              <w:t>-24</w:t>
            </w:r>
            <w:r>
              <w:rPr>
                <w:rFonts w:ascii="EC Square Sans Cond Pro" w:hAnsi="EC Square Sans Cond Pro" w:cs="Calibri"/>
                <w:i/>
                <w:iCs/>
                <w:noProof/>
                <w:sz w:val="18"/>
                <w:szCs w:val="18"/>
                <w:lang w:val="en-IE"/>
              </w:rPr>
              <w:t>7</w:t>
            </w:r>
          </w:p>
          <w:p w14:paraId="5F498CAC" w14:textId="308205DE" w:rsidR="00F93182" w:rsidRPr="004B5DA9" w:rsidRDefault="00F93182" w:rsidP="0023364B">
            <w:pPr>
              <w:keepNext/>
              <w:keepLines/>
              <w:spacing w:after="0"/>
              <w:jc w:val="center"/>
              <w:rPr>
                <w:rFonts w:ascii="EC Square Sans Cond Pro" w:hAnsi="EC Square Sans Cond Pro" w:cs="Avenir Next LT Pro"/>
                <w:noProof/>
                <w:sz w:val="18"/>
                <w:szCs w:val="18"/>
                <w:lang w:val="en-IE"/>
              </w:rPr>
            </w:pPr>
            <w:r w:rsidRPr="004B5DA9">
              <w:rPr>
                <w:rFonts w:ascii="EC Square Sans Cond Pro" w:hAnsi="EC Square Sans Cond Pro" w:cs="Calibri"/>
                <w:i/>
                <w:iCs/>
                <w:noProof/>
                <w:sz w:val="18"/>
                <w:szCs w:val="18"/>
                <w:lang w:val="en-IE"/>
              </w:rPr>
              <w:t>(-62.5%)</w:t>
            </w:r>
          </w:p>
        </w:tc>
      </w:tr>
      <w:tr w:rsidR="00F93182" w:rsidRPr="00BB1227" w14:paraId="65177438" w14:textId="77777777" w:rsidTr="00FE4D10">
        <w:trPr>
          <w:trHeight w:val="311"/>
        </w:trPr>
        <w:tc>
          <w:tcPr>
            <w:tcW w:w="517" w:type="dxa"/>
            <w:vMerge/>
            <w:textDirection w:val="btLr"/>
            <w:vAlign w:val="center"/>
          </w:tcPr>
          <w:p w14:paraId="4213878E" w14:textId="77777777" w:rsidR="00F93182" w:rsidRPr="00BB1227" w:rsidRDefault="00F93182" w:rsidP="0023364B">
            <w:pPr>
              <w:keepNext/>
              <w:keepLines/>
              <w:spacing w:after="0"/>
              <w:ind w:left="113" w:right="113"/>
              <w:jc w:val="center"/>
              <w:rPr>
                <w:rFonts w:ascii="EC Square Sans Cond Pro" w:hAnsi="EC Square Sans Cond Pro" w:cs="Avenir Next LT Pro"/>
                <w:noProof/>
                <w:sz w:val="18"/>
                <w:szCs w:val="18"/>
                <w:lang w:val="en-IE"/>
              </w:rPr>
            </w:pPr>
          </w:p>
        </w:tc>
        <w:tc>
          <w:tcPr>
            <w:tcW w:w="1751" w:type="dxa"/>
            <w:tcBorders>
              <w:right w:val="single" w:sz="12" w:space="0" w:color="auto"/>
            </w:tcBorders>
            <w:noWrap/>
            <w:vAlign w:val="center"/>
          </w:tcPr>
          <w:p w14:paraId="02442F80" w14:textId="5D19E897" w:rsidR="00F93182" w:rsidRPr="00BB1227" w:rsidRDefault="00F93182" w:rsidP="0023364B">
            <w:pPr>
              <w:keepNext/>
              <w:keepLines/>
              <w:spacing w:after="0"/>
              <w:jc w:val="left"/>
              <w:rPr>
                <w:rFonts w:ascii="EC Square Sans Cond Pro" w:hAnsi="EC Square Sans Cond Pro" w:cs="Avenir Next LT Pro"/>
                <w:noProof/>
                <w:sz w:val="18"/>
                <w:szCs w:val="18"/>
                <w:lang w:val="en-IE"/>
              </w:rPr>
            </w:pPr>
            <w:r w:rsidRPr="00056023">
              <w:rPr>
                <w:rFonts w:ascii="EC Square Sans Cond Pro" w:hAnsi="EC Square Sans Cond Pro" w:cs="Avenir Next LT Pro"/>
                <w:noProof/>
                <w:sz w:val="18"/>
                <w:szCs w:val="18"/>
                <w:lang w:val="en-IE"/>
              </w:rPr>
              <w:t>Expressed in million life years lost/year</w:t>
            </w:r>
          </w:p>
        </w:tc>
        <w:tc>
          <w:tcPr>
            <w:tcW w:w="709" w:type="dxa"/>
            <w:tcBorders>
              <w:left w:val="single" w:sz="12" w:space="0" w:color="auto"/>
              <w:right w:val="single" w:sz="12" w:space="0" w:color="auto"/>
            </w:tcBorders>
            <w:noWrap/>
            <w:vAlign w:val="center"/>
          </w:tcPr>
          <w:p w14:paraId="0CDEFDF8" w14:textId="77777777" w:rsidR="00F93182" w:rsidRPr="00BB1227" w:rsidRDefault="00F93182" w:rsidP="0023364B">
            <w:pPr>
              <w:keepNext/>
              <w:keepLines/>
              <w:spacing w:after="0"/>
              <w:jc w:val="center"/>
              <w:rPr>
                <w:rFonts w:ascii="EC Square Sans Cond Pro" w:hAnsi="EC Square Sans Cond Pro" w:cs="Avenir Next LT Pro"/>
                <w:noProof/>
                <w:color w:val="FF0000"/>
                <w:sz w:val="18"/>
                <w:szCs w:val="18"/>
                <w:lang w:val="en-IE"/>
              </w:rPr>
            </w:pPr>
            <w:r w:rsidRPr="00BB1227">
              <w:rPr>
                <w:rFonts w:ascii="EC Square Sans Cond Pro" w:hAnsi="EC Square Sans Cond Pro" w:cs="Calibri"/>
                <w:noProof/>
                <w:sz w:val="18"/>
                <w:szCs w:val="18"/>
                <w:lang w:val="en-IE"/>
              </w:rPr>
              <w:t>5.91</w:t>
            </w:r>
          </w:p>
        </w:tc>
        <w:tc>
          <w:tcPr>
            <w:tcW w:w="1594" w:type="dxa"/>
            <w:tcBorders>
              <w:left w:val="single" w:sz="12" w:space="0" w:color="auto"/>
            </w:tcBorders>
            <w:noWrap/>
            <w:vAlign w:val="center"/>
          </w:tcPr>
          <w:p w14:paraId="61C1DCF9" w14:textId="77777777" w:rsidR="00F93182" w:rsidRPr="00BB1227" w:rsidRDefault="00F93182" w:rsidP="0023364B">
            <w:pPr>
              <w:keepNext/>
              <w:keepLines/>
              <w:spacing w:after="0"/>
              <w:jc w:val="center"/>
              <w:rPr>
                <w:rFonts w:ascii="EC Square Sans Cond Pro" w:hAnsi="EC Square Sans Cond Pro" w:cs="Avenir Next LT Pro"/>
                <w:noProof/>
                <w:sz w:val="18"/>
                <w:szCs w:val="18"/>
                <w:lang w:val="en-IE"/>
              </w:rPr>
            </w:pPr>
            <w:r w:rsidRPr="00BB1227">
              <w:rPr>
                <w:rFonts w:ascii="EC Square Sans Cond Pro" w:hAnsi="EC Square Sans Cond Pro" w:cs="Calibri"/>
                <w:noProof/>
                <w:sz w:val="18"/>
                <w:szCs w:val="18"/>
                <w:lang w:val="en-IE"/>
              </w:rPr>
              <w:t>2.61 to 2.63</w:t>
            </w:r>
          </w:p>
        </w:tc>
        <w:tc>
          <w:tcPr>
            <w:tcW w:w="1066" w:type="dxa"/>
            <w:tcBorders>
              <w:right w:val="single" w:sz="12" w:space="0" w:color="auto"/>
            </w:tcBorders>
            <w:vAlign w:val="center"/>
          </w:tcPr>
          <w:p w14:paraId="65473109" w14:textId="6924212B" w:rsidR="00F93182" w:rsidRPr="004B5DA9" w:rsidRDefault="00F93182" w:rsidP="0023364B">
            <w:pPr>
              <w:keepNext/>
              <w:keepLines/>
              <w:spacing w:after="0"/>
              <w:jc w:val="center"/>
              <w:rPr>
                <w:rFonts w:ascii="EC Square Sans Cond Pro" w:hAnsi="EC Square Sans Cond Pro" w:cs="Avenir Next LT Pro"/>
                <w:noProof/>
                <w:sz w:val="18"/>
                <w:szCs w:val="18"/>
                <w:lang w:val="en-IE"/>
              </w:rPr>
            </w:pPr>
            <w:r w:rsidRPr="004B5DA9">
              <w:rPr>
                <w:rFonts w:ascii="EC Square Sans Cond Pro" w:hAnsi="EC Square Sans Cond Pro" w:cs="Avenir Next LT Pro"/>
                <w:i/>
                <w:iCs/>
                <w:noProof/>
                <w:sz w:val="18"/>
                <w:szCs w:val="18"/>
                <w:lang w:val="en-IE"/>
              </w:rPr>
              <w:t>2.50</w:t>
            </w:r>
          </w:p>
        </w:tc>
        <w:tc>
          <w:tcPr>
            <w:tcW w:w="1842" w:type="dxa"/>
            <w:tcBorders>
              <w:left w:val="single" w:sz="12" w:space="0" w:color="auto"/>
            </w:tcBorders>
            <w:vAlign w:val="center"/>
          </w:tcPr>
          <w:p w14:paraId="77310919" w14:textId="77777777" w:rsidR="00F93182" w:rsidRPr="00BB1227" w:rsidRDefault="00F93182" w:rsidP="0023364B">
            <w:pPr>
              <w:keepNext/>
              <w:keepLines/>
              <w:spacing w:after="0"/>
              <w:jc w:val="center"/>
              <w:rPr>
                <w:rFonts w:ascii="EC Square Sans Cond Pro" w:hAnsi="EC Square Sans Cond Pro" w:cs="Calibri"/>
                <w:noProof/>
                <w:sz w:val="18"/>
                <w:szCs w:val="18"/>
                <w:lang w:val="en-IE"/>
              </w:rPr>
            </w:pPr>
            <w:r w:rsidRPr="00BB1227">
              <w:rPr>
                <w:rFonts w:ascii="EC Square Sans Cond Pro" w:hAnsi="EC Square Sans Cond Pro" w:cs="Calibri"/>
                <w:noProof/>
                <w:sz w:val="18"/>
                <w:szCs w:val="18"/>
                <w:lang w:val="en-IE"/>
              </w:rPr>
              <w:t>-3.28 to -3.30</w:t>
            </w:r>
          </w:p>
          <w:p w14:paraId="2F36F453" w14:textId="77777777" w:rsidR="00F93182" w:rsidRPr="004B5DA9" w:rsidRDefault="00F93182" w:rsidP="0023364B">
            <w:pPr>
              <w:keepNext/>
              <w:keepLines/>
              <w:spacing w:after="0"/>
              <w:jc w:val="center"/>
              <w:rPr>
                <w:rFonts w:ascii="EC Square Sans Cond Pro" w:hAnsi="EC Square Sans Cond Pro" w:cs="Avenir Next LT Pro"/>
                <w:noProof/>
                <w:sz w:val="18"/>
                <w:szCs w:val="18"/>
                <w:lang w:val="en-IE"/>
              </w:rPr>
            </w:pPr>
            <w:r w:rsidRPr="00BB1227">
              <w:rPr>
                <w:rFonts w:ascii="EC Square Sans Cond Pro" w:hAnsi="EC Square Sans Cond Pro" w:cs="Calibri"/>
                <w:noProof/>
                <w:sz w:val="18"/>
                <w:szCs w:val="18"/>
                <w:lang w:val="en-IE"/>
              </w:rPr>
              <w:t>(-55.6% to -55.8%)</w:t>
            </w:r>
          </w:p>
        </w:tc>
        <w:tc>
          <w:tcPr>
            <w:tcW w:w="1276" w:type="dxa"/>
            <w:vAlign w:val="center"/>
          </w:tcPr>
          <w:p w14:paraId="32644920" w14:textId="77777777" w:rsidR="00F93182" w:rsidRPr="004B5DA9" w:rsidRDefault="00F93182" w:rsidP="0023364B">
            <w:pPr>
              <w:keepNext/>
              <w:keepLines/>
              <w:spacing w:after="0"/>
              <w:jc w:val="center"/>
              <w:rPr>
                <w:rFonts w:ascii="EC Square Sans Cond Pro" w:hAnsi="EC Square Sans Cond Pro" w:cs="Calibri"/>
                <w:i/>
                <w:iCs/>
                <w:noProof/>
                <w:sz w:val="18"/>
                <w:szCs w:val="18"/>
                <w:lang w:val="en-IE"/>
              </w:rPr>
            </w:pPr>
            <w:r w:rsidRPr="004B5DA9">
              <w:rPr>
                <w:rFonts w:ascii="EC Square Sans Cond Pro" w:hAnsi="EC Square Sans Cond Pro" w:cs="Calibri"/>
                <w:i/>
                <w:iCs/>
                <w:noProof/>
                <w:sz w:val="18"/>
                <w:szCs w:val="18"/>
                <w:lang w:val="en-IE"/>
              </w:rPr>
              <w:t>-3.40</w:t>
            </w:r>
          </w:p>
          <w:p w14:paraId="6A47F1E3" w14:textId="4C56212C" w:rsidR="00F93182" w:rsidRPr="004B5DA9" w:rsidRDefault="00F93182" w:rsidP="0023364B">
            <w:pPr>
              <w:keepNext/>
              <w:keepLines/>
              <w:spacing w:after="0"/>
              <w:jc w:val="center"/>
              <w:rPr>
                <w:rFonts w:ascii="EC Square Sans Cond Pro" w:hAnsi="EC Square Sans Cond Pro" w:cs="Avenir Next LT Pro"/>
                <w:noProof/>
                <w:sz w:val="18"/>
                <w:szCs w:val="18"/>
                <w:lang w:val="en-IE"/>
              </w:rPr>
            </w:pPr>
            <w:r w:rsidRPr="004B5DA9">
              <w:rPr>
                <w:rFonts w:ascii="EC Square Sans Cond Pro" w:hAnsi="EC Square Sans Cond Pro" w:cs="Calibri"/>
                <w:i/>
                <w:iCs/>
                <w:noProof/>
                <w:sz w:val="18"/>
                <w:szCs w:val="18"/>
                <w:lang w:val="en-IE"/>
              </w:rPr>
              <w:t>(-57.6%)</w:t>
            </w:r>
          </w:p>
        </w:tc>
      </w:tr>
      <w:tr w:rsidR="0049129D" w:rsidRPr="00BB1227" w14:paraId="52FB1101" w14:textId="77777777" w:rsidTr="00F93182">
        <w:trPr>
          <w:trHeight w:val="311"/>
        </w:trPr>
        <w:tc>
          <w:tcPr>
            <w:tcW w:w="517" w:type="dxa"/>
            <w:vMerge/>
            <w:textDirection w:val="btLr"/>
            <w:vAlign w:val="center"/>
          </w:tcPr>
          <w:p w14:paraId="51C13427" w14:textId="77777777" w:rsidR="0049129D" w:rsidRPr="00BB1227" w:rsidRDefault="0049129D" w:rsidP="0023364B">
            <w:pPr>
              <w:keepNext/>
              <w:keepLines/>
              <w:spacing w:after="0"/>
              <w:ind w:left="113" w:right="113"/>
              <w:jc w:val="center"/>
              <w:rPr>
                <w:rFonts w:ascii="EC Square Sans Cond Pro" w:hAnsi="EC Square Sans Cond Pro" w:cs="Avenir Next LT Pro"/>
                <w:noProof/>
                <w:sz w:val="18"/>
                <w:szCs w:val="18"/>
                <w:lang w:val="en-IE"/>
              </w:rPr>
            </w:pPr>
          </w:p>
        </w:tc>
        <w:tc>
          <w:tcPr>
            <w:tcW w:w="1751" w:type="dxa"/>
            <w:tcBorders>
              <w:right w:val="single" w:sz="12" w:space="0" w:color="auto"/>
            </w:tcBorders>
            <w:noWrap/>
            <w:vAlign w:val="center"/>
          </w:tcPr>
          <w:p w14:paraId="7BFA91BC" w14:textId="5E5B84C1" w:rsidR="0049129D" w:rsidRPr="00056023" w:rsidRDefault="0049129D" w:rsidP="0023364B">
            <w:pPr>
              <w:keepNext/>
              <w:keepLines/>
              <w:spacing w:after="0"/>
              <w:jc w:val="left"/>
              <w:rPr>
                <w:rFonts w:ascii="EC Square Sans Cond Pro" w:hAnsi="EC Square Sans Cond Pro" w:cs="Avenir Next LT Pro"/>
                <w:noProof/>
                <w:sz w:val="18"/>
                <w:szCs w:val="18"/>
                <w:lang w:val="en-IE"/>
              </w:rPr>
            </w:pPr>
            <w:r w:rsidRPr="00056023">
              <w:rPr>
                <w:rFonts w:ascii="EC Square Sans Cond Pro" w:hAnsi="EC Square Sans Cond Pro" w:cs="Avenir Next LT Pro"/>
                <w:b/>
                <w:noProof/>
                <w:sz w:val="18"/>
                <w:szCs w:val="18"/>
                <w:lang w:val="en-IE"/>
              </w:rPr>
              <w:t xml:space="preserve">Premature mortality caused by </w:t>
            </w:r>
            <w:r>
              <w:rPr>
                <w:rFonts w:ascii="EC Square Sans Cond Pro" w:hAnsi="EC Square Sans Cond Pro" w:cs="Avenir Next LT Pro"/>
                <w:b/>
                <w:noProof/>
                <w:sz w:val="18"/>
                <w:szCs w:val="18"/>
                <w:lang w:val="en-IE"/>
              </w:rPr>
              <w:t>ozone exposure</w:t>
            </w:r>
          </w:p>
        </w:tc>
        <w:tc>
          <w:tcPr>
            <w:tcW w:w="709" w:type="dxa"/>
            <w:tcBorders>
              <w:left w:val="single" w:sz="12" w:space="0" w:color="auto"/>
              <w:right w:val="single" w:sz="12" w:space="0" w:color="auto"/>
            </w:tcBorders>
            <w:noWrap/>
            <w:vAlign w:val="center"/>
          </w:tcPr>
          <w:p w14:paraId="56B5CF3C" w14:textId="77777777" w:rsidR="0049129D" w:rsidRPr="00BB1227" w:rsidRDefault="0049129D" w:rsidP="0023364B">
            <w:pPr>
              <w:keepNext/>
              <w:keepLines/>
              <w:spacing w:after="0"/>
              <w:jc w:val="center"/>
              <w:rPr>
                <w:rFonts w:ascii="EC Square Sans Cond Pro" w:hAnsi="EC Square Sans Cond Pro" w:cs="Calibri"/>
                <w:noProof/>
                <w:sz w:val="18"/>
                <w:szCs w:val="18"/>
                <w:lang w:val="en-IE"/>
              </w:rPr>
            </w:pPr>
          </w:p>
        </w:tc>
        <w:tc>
          <w:tcPr>
            <w:tcW w:w="1594" w:type="dxa"/>
            <w:tcBorders>
              <w:left w:val="single" w:sz="12" w:space="0" w:color="auto"/>
            </w:tcBorders>
            <w:noWrap/>
            <w:vAlign w:val="center"/>
          </w:tcPr>
          <w:p w14:paraId="17DC070B" w14:textId="77777777" w:rsidR="0049129D" w:rsidRPr="00BB1227" w:rsidRDefault="0049129D" w:rsidP="0023364B">
            <w:pPr>
              <w:keepNext/>
              <w:keepLines/>
              <w:spacing w:after="0"/>
              <w:jc w:val="center"/>
              <w:rPr>
                <w:rFonts w:ascii="EC Square Sans Cond Pro" w:hAnsi="EC Square Sans Cond Pro" w:cs="Calibri"/>
                <w:noProof/>
                <w:sz w:val="18"/>
                <w:szCs w:val="18"/>
                <w:lang w:val="en-IE"/>
              </w:rPr>
            </w:pPr>
          </w:p>
        </w:tc>
        <w:tc>
          <w:tcPr>
            <w:tcW w:w="1066" w:type="dxa"/>
            <w:tcBorders>
              <w:right w:val="single" w:sz="12" w:space="0" w:color="auto"/>
            </w:tcBorders>
            <w:vAlign w:val="center"/>
          </w:tcPr>
          <w:p w14:paraId="6F06E717" w14:textId="77777777" w:rsidR="0049129D" w:rsidRPr="004B5DA9" w:rsidRDefault="0049129D" w:rsidP="0023364B">
            <w:pPr>
              <w:keepNext/>
              <w:keepLines/>
              <w:spacing w:after="0"/>
              <w:jc w:val="center"/>
              <w:rPr>
                <w:rFonts w:ascii="EC Square Sans Cond Pro" w:hAnsi="EC Square Sans Cond Pro" w:cs="Avenir Next LT Pro"/>
                <w:i/>
                <w:iCs/>
                <w:noProof/>
                <w:sz w:val="18"/>
                <w:szCs w:val="18"/>
                <w:lang w:val="en-IE"/>
              </w:rPr>
            </w:pPr>
          </w:p>
        </w:tc>
        <w:tc>
          <w:tcPr>
            <w:tcW w:w="1842" w:type="dxa"/>
            <w:tcBorders>
              <w:left w:val="single" w:sz="12" w:space="0" w:color="auto"/>
            </w:tcBorders>
            <w:vAlign w:val="center"/>
          </w:tcPr>
          <w:p w14:paraId="76DC6319" w14:textId="77777777" w:rsidR="0049129D" w:rsidRPr="00BB1227" w:rsidRDefault="0049129D" w:rsidP="0023364B">
            <w:pPr>
              <w:keepNext/>
              <w:keepLines/>
              <w:spacing w:after="0"/>
              <w:jc w:val="center"/>
              <w:rPr>
                <w:rFonts w:ascii="EC Square Sans Cond Pro" w:hAnsi="EC Square Sans Cond Pro" w:cs="Calibri"/>
                <w:noProof/>
                <w:sz w:val="18"/>
                <w:szCs w:val="18"/>
                <w:lang w:val="en-IE"/>
              </w:rPr>
            </w:pPr>
          </w:p>
        </w:tc>
        <w:tc>
          <w:tcPr>
            <w:tcW w:w="1276" w:type="dxa"/>
            <w:vAlign w:val="center"/>
          </w:tcPr>
          <w:p w14:paraId="7FD2BF1F" w14:textId="77777777" w:rsidR="0049129D" w:rsidRPr="004B5DA9" w:rsidRDefault="0049129D" w:rsidP="0023364B">
            <w:pPr>
              <w:keepNext/>
              <w:keepLines/>
              <w:spacing w:after="0"/>
              <w:jc w:val="center"/>
              <w:rPr>
                <w:rFonts w:ascii="EC Square Sans Cond Pro" w:hAnsi="EC Square Sans Cond Pro" w:cs="Calibri"/>
                <w:i/>
                <w:iCs/>
                <w:noProof/>
                <w:sz w:val="18"/>
                <w:szCs w:val="18"/>
                <w:lang w:val="en-IE"/>
              </w:rPr>
            </w:pPr>
          </w:p>
        </w:tc>
      </w:tr>
      <w:tr w:rsidR="00A72C20" w:rsidRPr="00BB1227" w14:paraId="596282F4" w14:textId="77777777" w:rsidTr="00F93182">
        <w:trPr>
          <w:trHeight w:val="311"/>
        </w:trPr>
        <w:tc>
          <w:tcPr>
            <w:tcW w:w="517" w:type="dxa"/>
            <w:vMerge/>
            <w:textDirection w:val="btLr"/>
            <w:vAlign w:val="center"/>
          </w:tcPr>
          <w:p w14:paraId="79635518" w14:textId="77777777" w:rsidR="00A72C20" w:rsidRPr="00BB1227" w:rsidRDefault="00A72C20" w:rsidP="0023364B">
            <w:pPr>
              <w:keepNext/>
              <w:keepLines/>
              <w:spacing w:after="0"/>
              <w:ind w:left="113" w:right="113"/>
              <w:jc w:val="center"/>
              <w:rPr>
                <w:rFonts w:ascii="EC Square Sans Cond Pro" w:hAnsi="EC Square Sans Cond Pro" w:cs="Avenir Next LT Pro"/>
                <w:noProof/>
                <w:sz w:val="18"/>
                <w:szCs w:val="18"/>
                <w:lang w:val="en-IE"/>
              </w:rPr>
            </w:pPr>
          </w:p>
        </w:tc>
        <w:tc>
          <w:tcPr>
            <w:tcW w:w="1751" w:type="dxa"/>
            <w:tcBorders>
              <w:right w:val="single" w:sz="12" w:space="0" w:color="auto"/>
            </w:tcBorders>
            <w:noWrap/>
            <w:vAlign w:val="center"/>
          </w:tcPr>
          <w:p w14:paraId="72C46CF5" w14:textId="1C065415" w:rsidR="00A72C20" w:rsidRPr="00056023" w:rsidRDefault="00A72C20" w:rsidP="0023364B">
            <w:pPr>
              <w:keepNext/>
              <w:keepLines/>
              <w:spacing w:after="0"/>
              <w:jc w:val="left"/>
              <w:rPr>
                <w:rFonts w:ascii="EC Square Sans Cond Pro" w:hAnsi="EC Square Sans Cond Pro" w:cs="Avenir Next LT Pro"/>
                <w:b/>
                <w:noProof/>
                <w:sz w:val="18"/>
                <w:szCs w:val="18"/>
                <w:lang w:val="en-IE"/>
              </w:rPr>
            </w:pPr>
            <w:r w:rsidRPr="00056023">
              <w:rPr>
                <w:rFonts w:ascii="EC Square Sans Cond Pro" w:hAnsi="EC Square Sans Cond Pro" w:cs="Avenir Next LT Pro"/>
                <w:noProof/>
                <w:sz w:val="18"/>
                <w:szCs w:val="18"/>
                <w:lang w:val="en-IE"/>
              </w:rPr>
              <w:t>Expressed in 1000 cases/year</w:t>
            </w:r>
          </w:p>
        </w:tc>
        <w:tc>
          <w:tcPr>
            <w:tcW w:w="709" w:type="dxa"/>
            <w:tcBorders>
              <w:left w:val="single" w:sz="12" w:space="0" w:color="auto"/>
              <w:right w:val="single" w:sz="12" w:space="0" w:color="auto"/>
            </w:tcBorders>
            <w:noWrap/>
            <w:vAlign w:val="center"/>
          </w:tcPr>
          <w:p w14:paraId="7494DAED" w14:textId="7061953B" w:rsidR="00A72C20" w:rsidRPr="00BB1227" w:rsidRDefault="00E96E38" w:rsidP="0023364B">
            <w:pPr>
              <w:keepNext/>
              <w:keepLines/>
              <w:spacing w:after="0"/>
              <w:jc w:val="center"/>
              <w:rPr>
                <w:rFonts w:ascii="EC Square Sans Cond Pro" w:hAnsi="EC Square Sans Cond Pro" w:cs="Calibri"/>
                <w:noProof/>
                <w:sz w:val="18"/>
                <w:szCs w:val="18"/>
                <w:lang w:val="en-IE"/>
              </w:rPr>
            </w:pPr>
            <w:r>
              <w:rPr>
                <w:rFonts w:ascii="EC Square Sans Cond Pro" w:hAnsi="EC Square Sans Cond Pro" w:cs="Calibri"/>
                <w:noProof/>
                <w:sz w:val="18"/>
                <w:szCs w:val="18"/>
                <w:lang w:val="en-IE"/>
              </w:rPr>
              <w:t>71</w:t>
            </w:r>
          </w:p>
        </w:tc>
        <w:tc>
          <w:tcPr>
            <w:tcW w:w="1594" w:type="dxa"/>
            <w:tcBorders>
              <w:left w:val="single" w:sz="12" w:space="0" w:color="auto"/>
            </w:tcBorders>
            <w:noWrap/>
            <w:vAlign w:val="center"/>
          </w:tcPr>
          <w:p w14:paraId="0D9FB3E8" w14:textId="46F81B66" w:rsidR="00A72C20" w:rsidRPr="00BB1227" w:rsidRDefault="00E96E38" w:rsidP="0023364B">
            <w:pPr>
              <w:keepNext/>
              <w:keepLines/>
              <w:spacing w:after="0"/>
              <w:jc w:val="center"/>
              <w:rPr>
                <w:rFonts w:ascii="EC Square Sans Cond Pro" w:hAnsi="EC Square Sans Cond Pro" w:cs="Calibri"/>
                <w:noProof/>
                <w:sz w:val="18"/>
                <w:szCs w:val="18"/>
                <w:lang w:val="en-IE"/>
              </w:rPr>
            </w:pPr>
            <w:r>
              <w:rPr>
                <w:rFonts w:ascii="EC Square Sans Cond Pro" w:hAnsi="EC Square Sans Cond Pro" w:cs="Calibri"/>
                <w:noProof/>
                <w:sz w:val="18"/>
                <w:szCs w:val="18"/>
                <w:lang w:val="en-IE"/>
              </w:rPr>
              <w:t>42</w:t>
            </w:r>
          </w:p>
        </w:tc>
        <w:tc>
          <w:tcPr>
            <w:tcW w:w="1066" w:type="dxa"/>
            <w:tcBorders>
              <w:right w:val="single" w:sz="12" w:space="0" w:color="auto"/>
            </w:tcBorders>
            <w:vAlign w:val="center"/>
          </w:tcPr>
          <w:p w14:paraId="42C57DDC" w14:textId="251B68BA" w:rsidR="00A72C20" w:rsidRPr="004B5DA9" w:rsidRDefault="00E96E38" w:rsidP="0023364B">
            <w:pPr>
              <w:keepNext/>
              <w:keepLines/>
              <w:spacing w:after="0"/>
              <w:jc w:val="center"/>
              <w:rPr>
                <w:rFonts w:ascii="EC Square Sans Cond Pro" w:hAnsi="EC Square Sans Cond Pro" w:cs="Avenir Next LT Pro"/>
                <w:i/>
                <w:iCs/>
                <w:noProof/>
                <w:sz w:val="18"/>
                <w:szCs w:val="18"/>
                <w:lang w:val="en-IE"/>
              </w:rPr>
            </w:pPr>
            <w:r>
              <w:rPr>
                <w:rFonts w:ascii="EC Square Sans Cond Pro" w:hAnsi="EC Square Sans Cond Pro" w:cs="Avenir Next LT Pro"/>
                <w:i/>
                <w:iCs/>
                <w:noProof/>
                <w:sz w:val="18"/>
                <w:szCs w:val="18"/>
                <w:lang w:val="en-IE"/>
              </w:rPr>
              <w:t>40</w:t>
            </w:r>
          </w:p>
        </w:tc>
        <w:tc>
          <w:tcPr>
            <w:tcW w:w="1842" w:type="dxa"/>
            <w:tcBorders>
              <w:left w:val="single" w:sz="12" w:space="0" w:color="auto"/>
            </w:tcBorders>
            <w:vAlign w:val="center"/>
          </w:tcPr>
          <w:p w14:paraId="213F9127" w14:textId="77777777" w:rsidR="00A72C20" w:rsidRDefault="00E96E38" w:rsidP="0023364B">
            <w:pPr>
              <w:keepNext/>
              <w:keepLines/>
              <w:spacing w:after="0"/>
              <w:jc w:val="center"/>
              <w:rPr>
                <w:rFonts w:ascii="EC Square Sans Cond Pro" w:hAnsi="EC Square Sans Cond Pro" w:cs="Calibri"/>
                <w:noProof/>
                <w:sz w:val="18"/>
                <w:szCs w:val="18"/>
                <w:lang w:val="en-IE"/>
              </w:rPr>
            </w:pPr>
            <w:r>
              <w:rPr>
                <w:rFonts w:ascii="EC Square Sans Cond Pro" w:hAnsi="EC Square Sans Cond Pro" w:cs="Calibri"/>
                <w:noProof/>
                <w:sz w:val="18"/>
                <w:szCs w:val="18"/>
                <w:lang w:val="en-IE"/>
              </w:rPr>
              <w:t>-28</w:t>
            </w:r>
          </w:p>
          <w:p w14:paraId="2D7A2BB4" w14:textId="52FFE0A6" w:rsidR="00E96E38" w:rsidRPr="00BB1227" w:rsidRDefault="00E96E38" w:rsidP="0023364B">
            <w:pPr>
              <w:keepNext/>
              <w:keepLines/>
              <w:spacing w:after="0"/>
              <w:jc w:val="center"/>
              <w:rPr>
                <w:rFonts w:ascii="EC Square Sans Cond Pro" w:hAnsi="EC Square Sans Cond Pro" w:cs="Calibri"/>
                <w:noProof/>
                <w:sz w:val="18"/>
                <w:szCs w:val="18"/>
                <w:lang w:val="en-IE"/>
              </w:rPr>
            </w:pPr>
            <w:r>
              <w:rPr>
                <w:rFonts w:ascii="EC Square Sans Cond Pro" w:hAnsi="EC Square Sans Cond Pro" w:cs="Calibri"/>
                <w:noProof/>
                <w:sz w:val="18"/>
                <w:szCs w:val="18"/>
                <w:lang w:val="en-IE"/>
              </w:rPr>
              <w:t>(-40.1% to -41.3%)</w:t>
            </w:r>
          </w:p>
        </w:tc>
        <w:tc>
          <w:tcPr>
            <w:tcW w:w="1276" w:type="dxa"/>
            <w:vAlign w:val="center"/>
          </w:tcPr>
          <w:p w14:paraId="39E28631" w14:textId="77777777" w:rsidR="00E96E38" w:rsidRDefault="00E96E38" w:rsidP="0023364B">
            <w:pPr>
              <w:keepNext/>
              <w:keepLines/>
              <w:spacing w:after="0"/>
              <w:jc w:val="center"/>
              <w:rPr>
                <w:rFonts w:ascii="EC Square Sans Cond Pro" w:hAnsi="EC Square Sans Cond Pro" w:cs="Calibri"/>
                <w:i/>
                <w:iCs/>
                <w:noProof/>
                <w:sz w:val="18"/>
                <w:szCs w:val="18"/>
                <w:lang w:val="en-IE"/>
              </w:rPr>
            </w:pPr>
            <w:r>
              <w:rPr>
                <w:rFonts w:ascii="EC Square Sans Cond Pro" w:hAnsi="EC Square Sans Cond Pro" w:cs="Calibri"/>
                <w:i/>
                <w:iCs/>
                <w:noProof/>
                <w:sz w:val="18"/>
                <w:szCs w:val="18"/>
                <w:lang w:val="en-IE"/>
              </w:rPr>
              <w:t xml:space="preserve">-30 </w:t>
            </w:r>
          </w:p>
          <w:p w14:paraId="42EB5682" w14:textId="02600D15" w:rsidR="00A72C20" w:rsidRPr="004B5DA9" w:rsidRDefault="00E96E38" w:rsidP="0023364B">
            <w:pPr>
              <w:keepNext/>
              <w:keepLines/>
              <w:spacing w:after="0"/>
              <w:jc w:val="center"/>
              <w:rPr>
                <w:rFonts w:ascii="EC Square Sans Cond Pro" w:hAnsi="EC Square Sans Cond Pro" w:cs="Calibri"/>
                <w:i/>
                <w:iCs/>
                <w:noProof/>
                <w:sz w:val="18"/>
                <w:szCs w:val="18"/>
                <w:lang w:val="en-IE"/>
              </w:rPr>
            </w:pPr>
            <w:r>
              <w:rPr>
                <w:rFonts w:ascii="EC Square Sans Cond Pro" w:hAnsi="EC Square Sans Cond Pro" w:cs="Calibri"/>
                <w:i/>
                <w:iCs/>
                <w:noProof/>
                <w:sz w:val="18"/>
                <w:szCs w:val="18"/>
                <w:lang w:val="en-IE"/>
              </w:rPr>
              <w:t>(-42.8%)</w:t>
            </w:r>
          </w:p>
        </w:tc>
      </w:tr>
      <w:tr w:rsidR="00E96E38" w:rsidRPr="00BB1227" w14:paraId="3D7B5438" w14:textId="77777777" w:rsidTr="00056023">
        <w:trPr>
          <w:trHeight w:val="311"/>
        </w:trPr>
        <w:tc>
          <w:tcPr>
            <w:tcW w:w="517" w:type="dxa"/>
            <w:vMerge/>
            <w:tcBorders>
              <w:bottom w:val="single" w:sz="12" w:space="0" w:color="auto"/>
            </w:tcBorders>
            <w:textDirection w:val="btLr"/>
            <w:vAlign w:val="center"/>
          </w:tcPr>
          <w:p w14:paraId="055312C8" w14:textId="77777777" w:rsidR="00E96E38" w:rsidRPr="00BB1227" w:rsidRDefault="00E96E38" w:rsidP="0023364B">
            <w:pPr>
              <w:keepNext/>
              <w:keepLines/>
              <w:spacing w:after="0"/>
              <w:ind w:left="113" w:right="113"/>
              <w:jc w:val="center"/>
              <w:rPr>
                <w:rFonts w:ascii="EC Square Sans Cond Pro" w:hAnsi="EC Square Sans Cond Pro" w:cs="Avenir Next LT Pro"/>
                <w:noProof/>
                <w:sz w:val="18"/>
                <w:szCs w:val="18"/>
                <w:lang w:val="en-IE"/>
              </w:rPr>
            </w:pPr>
          </w:p>
        </w:tc>
        <w:tc>
          <w:tcPr>
            <w:tcW w:w="1751" w:type="dxa"/>
            <w:tcBorders>
              <w:bottom w:val="single" w:sz="12" w:space="0" w:color="auto"/>
              <w:right w:val="single" w:sz="12" w:space="0" w:color="auto"/>
            </w:tcBorders>
            <w:noWrap/>
            <w:vAlign w:val="center"/>
          </w:tcPr>
          <w:p w14:paraId="5F0427E5" w14:textId="6893FBCC" w:rsidR="00E96E38" w:rsidRPr="00056023" w:rsidRDefault="00E96E38" w:rsidP="0023364B">
            <w:pPr>
              <w:keepNext/>
              <w:keepLines/>
              <w:spacing w:after="0"/>
              <w:jc w:val="left"/>
              <w:rPr>
                <w:rFonts w:ascii="EC Square Sans Cond Pro" w:hAnsi="EC Square Sans Cond Pro" w:cs="Avenir Next LT Pro"/>
                <w:noProof/>
                <w:sz w:val="18"/>
                <w:szCs w:val="18"/>
                <w:lang w:val="en-IE"/>
              </w:rPr>
            </w:pPr>
            <w:r w:rsidRPr="00056023">
              <w:rPr>
                <w:rFonts w:ascii="EC Square Sans Cond Pro" w:hAnsi="EC Square Sans Cond Pro" w:cs="Avenir Next LT Pro"/>
                <w:noProof/>
                <w:sz w:val="18"/>
                <w:szCs w:val="18"/>
                <w:lang w:val="en-IE"/>
              </w:rPr>
              <w:t>Expressed in million life years lost/year</w:t>
            </w:r>
          </w:p>
        </w:tc>
        <w:tc>
          <w:tcPr>
            <w:tcW w:w="709" w:type="dxa"/>
            <w:tcBorders>
              <w:left w:val="single" w:sz="12" w:space="0" w:color="auto"/>
              <w:bottom w:val="single" w:sz="12" w:space="0" w:color="auto"/>
              <w:right w:val="single" w:sz="12" w:space="0" w:color="auto"/>
            </w:tcBorders>
            <w:noWrap/>
            <w:vAlign w:val="center"/>
          </w:tcPr>
          <w:p w14:paraId="3D7B6099" w14:textId="3F130954" w:rsidR="00E96E38" w:rsidRPr="00BB1227" w:rsidRDefault="00E96E38" w:rsidP="0023364B">
            <w:pPr>
              <w:keepNext/>
              <w:keepLines/>
              <w:spacing w:after="0"/>
              <w:jc w:val="center"/>
              <w:rPr>
                <w:rFonts w:ascii="EC Square Sans Cond Pro" w:hAnsi="EC Square Sans Cond Pro" w:cs="Calibri"/>
                <w:noProof/>
                <w:sz w:val="18"/>
                <w:szCs w:val="18"/>
                <w:lang w:val="en-IE"/>
              </w:rPr>
            </w:pPr>
            <w:r>
              <w:rPr>
                <w:rFonts w:ascii="EC Square Sans Cond Pro" w:hAnsi="EC Square Sans Cond Pro" w:cs="Calibri"/>
                <w:noProof/>
                <w:sz w:val="18"/>
                <w:szCs w:val="18"/>
                <w:lang w:val="en-IE"/>
              </w:rPr>
              <w:t>0.07</w:t>
            </w:r>
          </w:p>
        </w:tc>
        <w:tc>
          <w:tcPr>
            <w:tcW w:w="1594" w:type="dxa"/>
            <w:tcBorders>
              <w:left w:val="single" w:sz="12" w:space="0" w:color="auto"/>
              <w:bottom w:val="single" w:sz="12" w:space="0" w:color="auto"/>
            </w:tcBorders>
            <w:noWrap/>
            <w:vAlign w:val="center"/>
          </w:tcPr>
          <w:p w14:paraId="41359058" w14:textId="314F0A58" w:rsidR="00E96E38" w:rsidRPr="00BB1227" w:rsidRDefault="00E96E38" w:rsidP="0023364B">
            <w:pPr>
              <w:keepNext/>
              <w:keepLines/>
              <w:spacing w:after="0"/>
              <w:jc w:val="center"/>
              <w:rPr>
                <w:rFonts w:ascii="EC Square Sans Cond Pro" w:hAnsi="EC Square Sans Cond Pro" w:cs="Calibri"/>
                <w:noProof/>
                <w:sz w:val="18"/>
                <w:szCs w:val="18"/>
                <w:lang w:val="en-IE"/>
              </w:rPr>
            </w:pPr>
            <w:r>
              <w:rPr>
                <w:rFonts w:ascii="EC Square Sans Cond Pro" w:hAnsi="EC Square Sans Cond Pro" w:cs="Calibri"/>
                <w:noProof/>
                <w:sz w:val="18"/>
                <w:szCs w:val="18"/>
                <w:lang w:val="en-IE"/>
              </w:rPr>
              <w:t>0.04</w:t>
            </w:r>
          </w:p>
        </w:tc>
        <w:tc>
          <w:tcPr>
            <w:tcW w:w="1066" w:type="dxa"/>
            <w:tcBorders>
              <w:bottom w:val="single" w:sz="12" w:space="0" w:color="auto"/>
              <w:right w:val="single" w:sz="12" w:space="0" w:color="auto"/>
            </w:tcBorders>
            <w:vAlign w:val="center"/>
          </w:tcPr>
          <w:p w14:paraId="3EEF53BD" w14:textId="14AFDDE5" w:rsidR="00E96E38" w:rsidRPr="004B5DA9" w:rsidRDefault="00E96E38" w:rsidP="0023364B">
            <w:pPr>
              <w:keepNext/>
              <w:keepLines/>
              <w:spacing w:after="0"/>
              <w:jc w:val="center"/>
              <w:rPr>
                <w:rFonts w:ascii="EC Square Sans Cond Pro" w:hAnsi="EC Square Sans Cond Pro" w:cs="Avenir Next LT Pro"/>
                <w:i/>
                <w:iCs/>
                <w:noProof/>
                <w:sz w:val="18"/>
                <w:szCs w:val="18"/>
                <w:lang w:val="en-IE"/>
              </w:rPr>
            </w:pPr>
            <w:r>
              <w:rPr>
                <w:rFonts w:ascii="EC Square Sans Cond Pro" w:hAnsi="EC Square Sans Cond Pro" w:cs="Avenir Next LT Pro"/>
                <w:i/>
                <w:iCs/>
                <w:noProof/>
                <w:sz w:val="18"/>
                <w:szCs w:val="18"/>
                <w:lang w:val="en-IE"/>
              </w:rPr>
              <w:t>0.04</w:t>
            </w:r>
          </w:p>
        </w:tc>
        <w:tc>
          <w:tcPr>
            <w:tcW w:w="1842" w:type="dxa"/>
            <w:tcBorders>
              <w:left w:val="single" w:sz="12" w:space="0" w:color="auto"/>
              <w:bottom w:val="single" w:sz="12" w:space="0" w:color="auto"/>
            </w:tcBorders>
            <w:vAlign w:val="center"/>
          </w:tcPr>
          <w:p w14:paraId="6D2528D2" w14:textId="1BBEA37E" w:rsidR="00E96E38" w:rsidRDefault="00E96E38" w:rsidP="0023364B">
            <w:pPr>
              <w:keepNext/>
              <w:keepLines/>
              <w:spacing w:after="0"/>
              <w:jc w:val="center"/>
              <w:rPr>
                <w:rFonts w:ascii="EC Square Sans Cond Pro" w:hAnsi="EC Square Sans Cond Pro" w:cs="Calibri"/>
                <w:noProof/>
                <w:sz w:val="18"/>
                <w:szCs w:val="18"/>
                <w:lang w:val="en-IE"/>
              </w:rPr>
            </w:pPr>
            <w:r>
              <w:rPr>
                <w:rFonts w:ascii="EC Square Sans Cond Pro" w:hAnsi="EC Square Sans Cond Pro" w:cs="Calibri"/>
                <w:noProof/>
                <w:sz w:val="18"/>
                <w:szCs w:val="18"/>
                <w:lang w:val="en-IE"/>
              </w:rPr>
              <w:t>-0.03</w:t>
            </w:r>
          </w:p>
          <w:p w14:paraId="7E6C5658" w14:textId="459BE0CC" w:rsidR="00E96E38" w:rsidRPr="00BB1227" w:rsidRDefault="00E96E38" w:rsidP="0023364B">
            <w:pPr>
              <w:keepNext/>
              <w:keepLines/>
              <w:spacing w:after="0"/>
              <w:jc w:val="center"/>
              <w:rPr>
                <w:rFonts w:ascii="EC Square Sans Cond Pro" w:hAnsi="EC Square Sans Cond Pro" w:cs="Calibri"/>
                <w:noProof/>
                <w:sz w:val="18"/>
                <w:szCs w:val="18"/>
                <w:lang w:val="en-IE"/>
              </w:rPr>
            </w:pPr>
            <w:r>
              <w:rPr>
                <w:rFonts w:ascii="EC Square Sans Cond Pro" w:hAnsi="EC Square Sans Cond Pro" w:cs="Calibri"/>
                <w:noProof/>
                <w:sz w:val="18"/>
                <w:szCs w:val="18"/>
                <w:lang w:val="en-IE"/>
              </w:rPr>
              <w:t>(-40.1% to -41.3%)</w:t>
            </w:r>
          </w:p>
        </w:tc>
        <w:tc>
          <w:tcPr>
            <w:tcW w:w="1276" w:type="dxa"/>
            <w:tcBorders>
              <w:bottom w:val="single" w:sz="12" w:space="0" w:color="auto"/>
            </w:tcBorders>
            <w:vAlign w:val="center"/>
          </w:tcPr>
          <w:p w14:paraId="080BCA27" w14:textId="6C4EAC83" w:rsidR="00E96E38" w:rsidRDefault="00E96E38" w:rsidP="0023364B">
            <w:pPr>
              <w:keepNext/>
              <w:keepLines/>
              <w:spacing w:after="0"/>
              <w:jc w:val="center"/>
              <w:rPr>
                <w:rFonts w:ascii="EC Square Sans Cond Pro" w:hAnsi="EC Square Sans Cond Pro" w:cs="Calibri"/>
                <w:i/>
                <w:iCs/>
                <w:noProof/>
                <w:sz w:val="18"/>
                <w:szCs w:val="18"/>
                <w:lang w:val="en-IE"/>
              </w:rPr>
            </w:pPr>
            <w:r>
              <w:rPr>
                <w:rFonts w:ascii="EC Square Sans Cond Pro" w:hAnsi="EC Square Sans Cond Pro" w:cs="Calibri"/>
                <w:i/>
                <w:iCs/>
                <w:noProof/>
                <w:sz w:val="18"/>
                <w:szCs w:val="18"/>
                <w:lang w:val="en-IE"/>
              </w:rPr>
              <w:t xml:space="preserve">-0.03 </w:t>
            </w:r>
          </w:p>
          <w:p w14:paraId="1D396243" w14:textId="4756FE0E" w:rsidR="00E96E38" w:rsidRPr="004B5DA9" w:rsidRDefault="00E96E38" w:rsidP="0023364B">
            <w:pPr>
              <w:keepNext/>
              <w:keepLines/>
              <w:spacing w:after="0"/>
              <w:jc w:val="center"/>
              <w:rPr>
                <w:rFonts w:ascii="EC Square Sans Cond Pro" w:hAnsi="EC Square Sans Cond Pro" w:cs="Calibri"/>
                <w:i/>
                <w:iCs/>
                <w:noProof/>
                <w:sz w:val="18"/>
                <w:szCs w:val="18"/>
                <w:lang w:val="en-IE"/>
              </w:rPr>
            </w:pPr>
            <w:r>
              <w:rPr>
                <w:rFonts w:ascii="EC Square Sans Cond Pro" w:hAnsi="EC Square Sans Cond Pro" w:cs="Calibri"/>
                <w:i/>
                <w:iCs/>
                <w:noProof/>
                <w:sz w:val="18"/>
                <w:szCs w:val="18"/>
                <w:lang w:val="en-IE"/>
              </w:rPr>
              <w:t>(-42.8%)</w:t>
            </w:r>
          </w:p>
        </w:tc>
      </w:tr>
      <w:tr w:rsidR="00E96E38" w:rsidRPr="00FF5625" w14:paraId="579BE26B" w14:textId="77777777" w:rsidTr="00056023">
        <w:trPr>
          <w:trHeight w:val="311"/>
        </w:trPr>
        <w:tc>
          <w:tcPr>
            <w:tcW w:w="517" w:type="dxa"/>
            <w:vMerge w:val="restart"/>
            <w:tcBorders>
              <w:top w:val="single" w:sz="12" w:space="0" w:color="auto"/>
            </w:tcBorders>
            <w:textDirection w:val="btLr"/>
            <w:vAlign w:val="center"/>
          </w:tcPr>
          <w:p w14:paraId="4FD2719E" w14:textId="77777777" w:rsidR="00E96E38" w:rsidRPr="00FF5625" w:rsidRDefault="00E96E38" w:rsidP="0023364B">
            <w:pPr>
              <w:keepNext/>
              <w:keepLines/>
              <w:spacing w:after="0"/>
              <w:ind w:left="113" w:right="113"/>
              <w:jc w:val="center"/>
              <w:rPr>
                <w:rFonts w:ascii="EC Square Sans Cond Pro" w:hAnsi="EC Square Sans Cond Pro" w:cs="Avenir Next LT Pro"/>
                <w:b/>
                <w:noProof/>
                <w:sz w:val="18"/>
                <w:szCs w:val="18"/>
                <w:lang w:val="en-IE"/>
              </w:rPr>
            </w:pPr>
            <w:r w:rsidRPr="00FF5625">
              <w:rPr>
                <w:rFonts w:ascii="EC Square Sans Cond Pro" w:hAnsi="EC Square Sans Cond Pro" w:cs="Avenir Next LT Pro"/>
                <w:b/>
                <w:noProof/>
                <w:sz w:val="18"/>
                <w:szCs w:val="18"/>
                <w:lang w:val="en-IE"/>
              </w:rPr>
              <w:t>Costs</w:t>
            </w:r>
          </w:p>
        </w:tc>
        <w:tc>
          <w:tcPr>
            <w:tcW w:w="1751" w:type="dxa"/>
            <w:tcBorders>
              <w:top w:val="single" w:sz="12" w:space="0" w:color="auto"/>
              <w:right w:val="single" w:sz="12" w:space="0" w:color="auto"/>
            </w:tcBorders>
            <w:noWrap/>
            <w:vAlign w:val="center"/>
          </w:tcPr>
          <w:p w14:paraId="575D9C1B" w14:textId="0A5B5069" w:rsidR="00E96E38" w:rsidRPr="00FF5625" w:rsidRDefault="00E96E38" w:rsidP="0023364B">
            <w:pPr>
              <w:keepNext/>
              <w:keepLines/>
              <w:spacing w:after="0"/>
              <w:jc w:val="left"/>
              <w:rPr>
                <w:rFonts w:ascii="EC Square Sans Cond Pro" w:hAnsi="EC Square Sans Cond Pro" w:cs="Avenir Next LT Pro"/>
                <w:b/>
                <w:noProof/>
                <w:sz w:val="18"/>
                <w:szCs w:val="18"/>
                <w:lang w:val="en-IE"/>
              </w:rPr>
            </w:pPr>
            <w:r w:rsidRPr="00FF5625">
              <w:rPr>
                <w:rFonts w:ascii="EC Square Sans Cond Pro" w:hAnsi="EC Square Sans Cond Pro" w:cs="Avenir Next LT Pro"/>
                <w:b/>
                <w:noProof/>
                <w:sz w:val="18"/>
                <w:szCs w:val="18"/>
                <w:lang w:val="en-IE"/>
              </w:rPr>
              <w:t>Economic costs (EUR 2023 billion/year)</w:t>
            </w:r>
          </w:p>
        </w:tc>
        <w:tc>
          <w:tcPr>
            <w:tcW w:w="709" w:type="dxa"/>
            <w:tcBorders>
              <w:top w:val="single" w:sz="12" w:space="0" w:color="auto"/>
              <w:left w:val="single" w:sz="12" w:space="0" w:color="auto"/>
              <w:right w:val="single" w:sz="12" w:space="0" w:color="auto"/>
            </w:tcBorders>
            <w:noWrap/>
            <w:vAlign w:val="center"/>
          </w:tcPr>
          <w:p w14:paraId="3D3A8C41" w14:textId="77777777" w:rsidR="00E96E38" w:rsidRPr="00FF5625" w:rsidRDefault="00E96E38" w:rsidP="0023364B">
            <w:pPr>
              <w:keepNext/>
              <w:keepLines/>
              <w:spacing w:after="0"/>
              <w:jc w:val="center"/>
              <w:rPr>
                <w:rFonts w:ascii="EC Square Sans Cond Pro" w:hAnsi="EC Square Sans Cond Pro" w:cs="Cambria Math"/>
                <w:noProof/>
                <w:color w:val="FF0000"/>
                <w:sz w:val="18"/>
                <w:szCs w:val="18"/>
                <w:lang w:val="en-IE"/>
              </w:rPr>
            </w:pPr>
          </w:p>
        </w:tc>
        <w:tc>
          <w:tcPr>
            <w:tcW w:w="1594" w:type="dxa"/>
            <w:tcBorders>
              <w:top w:val="single" w:sz="12" w:space="0" w:color="auto"/>
              <w:left w:val="single" w:sz="12" w:space="0" w:color="auto"/>
            </w:tcBorders>
            <w:noWrap/>
            <w:vAlign w:val="center"/>
          </w:tcPr>
          <w:p w14:paraId="0A23684B" w14:textId="77777777" w:rsidR="00E96E38" w:rsidRPr="00FF5625" w:rsidRDefault="00E96E38" w:rsidP="0023364B">
            <w:pPr>
              <w:keepNext/>
              <w:keepLines/>
              <w:spacing w:after="0"/>
              <w:jc w:val="center"/>
              <w:rPr>
                <w:rFonts w:ascii="EC Square Sans Cond Pro" w:hAnsi="EC Square Sans Cond Pro" w:cs="Cambria Math"/>
                <w:noProof/>
                <w:color w:val="FF0000"/>
                <w:sz w:val="18"/>
                <w:szCs w:val="18"/>
                <w:lang w:val="en-IE"/>
              </w:rPr>
            </w:pPr>
          </w:p>
        </w:tc>
        <w:tc>
          <w:tcPr>
            <w:tcW w:w="1066" w:type="dxa"/>
            <w:tcBorders>
              <w:top w:val="single" w:sz="12" w:space="0" w:color="auto"/>
              <w:right w:val="single" w:sz="12" w:space="0" w:color="auto"/>
            </w:tcBorders>
            <w:vAlign w:val="center"/>
          </w:tcPr>
          <w:p w14:paraId="0B64AE16" w14:textId="77777777" w:rsidR="00E96E38" w:rsidRPr="00FF5625" w:rsidRDefault="00E96E38" w:rsidP="0023364B">
            <w:pPr>
              <w:keepNext/>
              <w:keepLines/>
              <w:spacing w:after="0"/>
              <w:jc w:val="center"/>
              <w:rPr>
                <w:rFonts w:ascii="EC Square Sans Cond Pro" w:hAnsi="EC Square Sans Cond Pro" w:cs="Avenir Next LT Pro"/>
                <w:noProof/>
                <w:sz w:val="18"/>
                <w:szCs w:val="18"/>
                <w:lang w:val="en-IE"/>
              </w:rPr>
            </w:pPr>
          </w:p>
        </w:tc>
        <w:tc>
          <w:tcPr>
            <w:tcW w:w="1842" w:type="dxa"/>
            <w:tcBorders>
              <w:top w:val="single" w:sz="12" w:space="0" w:color="auto"/>
              <w:left w:val="single" w:sz="12" w:space="0" w:color="auto"/>
            </w:tcBorders>
            <w:vAlign w:val="center"/>
          </w:tcPr>
          <w:p w14:paraId="3077353F" w14:textId="77777777" w:rsidR="00E96E38" w:rsidRPr="00FF5625" w:rsidRDefault="00E96E38" w:rsidP="0023364B">
            <w:pPr>
              <w:keepNext/>
              <w:keepLines/>
              <w:spacing w:after="0"/>
              <w:jc w:val="center"/>
              <w:rPr>
                <w:rFonts w:ascii="EC Square Sans Cond Pro" w:hAnsi="EC Square Sans Cond Pro" w:cs="Avenir Next LT Pro"/>
                <w:noProof/>
                <w:sz w:val="18"/>
                <w:szCs w:val="18"/>
                <w:lang w:val="en-IE"/>
              </w:rPr>
            </w:pPr>
          </w:p>
        </w:tc>
        <w:tc>
          <w:tcPr>
            <w:tcW w:w="1276" w:type="dxa"/>
            <w:tcBorders>
              <w:top w:val="single" w:sz="12" w:space="0" w:color="auto"/>
            </w:tcBorders>
            <w:vAlign w:val="center"/>
          </w:tcPr>
          <w:p w14:paraId="68426EA7" w14:textId="1F4378F1" w:rsidR="00E96E38" w:rsidRPr="00FF5625" w:rsidRDefault="00E96E38" w:rsidP="0023364B">
            <w:pPr>
              <w:keepNext/>
              <w:keepLines/>
              <w:spacing w:after="0"/>
              <w:jc w:val="center"/>
              <w:rPr>
                <w:rFonts w:ascii="EC Square Sans Cond Pro" w:hAnsi="EC Square Sans Cond Pro" w:cs="Avenir Next LT Pro"/>
                <w:noProof/>
                <w:sz w:val="18"/>
                <w:szCs w:val="18"/>
                <w:lang w:val="en-IE"/>
              </w:rPr>
            </w:pPr>
            <w:r w:rsidRPr="00FF5625">
              <w:rPr>
                <w:rFonts w:ascii="Calibri" w:hAnsi="Calibri" w:cs="Calibri"/>
                <w:i/>
                <w:iCs/>
                <w:noProof/>
                <w:sz w:val="18"/>
                <w:szCs w:val="18"/>
                <w:lang w:val="en-IE"/>
              </w:rPr>
              <w:t> </w:t>
            </w:r>
          </w:p>
        </w:tc>
      </w:tr>
      <w:tr w:rsidR="00E96E38" w:rsidRPr="00FF5625" w14:paraId="4D2D41BE" w14:textId="77777777" w:rsidTr="001C2345">
        <w:trPr>
          <w:trHeight w:val="311"/>
        </w:trPr>
        <w:tc>
          <w:tcPr>
            <w:tcW w:w="517" w:type="dxa"/>
            <w:vMerge/>
            <w:textDirection w:val="btLr"/>
            <w:vAlign w:val="center"/>
          </w:tcPr>
          <w:p w14:paraId="124A1657" w14:textId="77777777" w:rsidR="00E96E38" w:rsidRPr="00FF5625" w:rsidRDefault="00E96E38" w:rsidP="0023364B">
            <w:pPr>
              <w:keepNext/>
              <w:keepLines/>
              <w:spacing w:after="0"/>
              <w:ind w:left="113" w:right="113"/>
              <w:jc w:val="center"/>
              <w:rPr>
                <w:rFonts w:ascii="EC Square Sans Cond Pro" w:hAnsi="EC Square Sans Cond Pro" w:cs="Avenir Next LT Pro"/>
                <w:noProof/>
                <w:sz w:val="18"/>
                <w:szCs w:val="18"/>
                <w:lang w:val="en-IE"/>
              </w:rPr>
            </w:pPr>
          </w:p>
        </w:tc>
        <w:tc>
          <w:tcPr>
            <w:tcW w:w="1751" w:type="dxa"/>
            <w:tcBorders>
              <w:right w:val="single" w:sz="12" w:space="0" w:color="auto"/>
            </w:tcBorders>
            <w:noWrap/>
            <w:vAlign w:val="center"/>
          </w:tcPr>
          <w:p w14:paraId="3F47B78F" w14:textId="542F5A0F" w:rsidR="00E96E38" w:rsidRPr="00FF5625" w:rsidRDefault="00E96E38" w:rsidP="0023364B">
            <w:pPr>
              <w:keepNext/>
              <w:keepLines/>
              <w:spacing w:after="0"/>
              <w:jc w:val="left"/>
              <w:rPr>
                <w:rFonts w:ascii="EC Square Sans Cond Pro" w:hAnsi="EC Square Sans Cond Pro" w:cs="Avenir Next LT Pro"/>
                <w:noProof/>
                <w:sz w:val="18"/>
                <w:szCs w:val="18"/>
                <w:lang w:val="en-IE"/>
              </w:rPr>
            </w:pPr>
            <w:r w:rsidRPr="00FF5625">
              <w:rPr>
                <w:rFonts w:ascii="EC Square Sans Cond Pro" w:hAnsi="EC Square Sans Cond Pro" w:cs="Calibri"/>
                <w:noProof/>
                <w:sz w:val="18"/>
                <w:szCs w:val="18"/>
                <w:lang w:val="en-IE"/>
              </w:rPr>
              <w:t>Air pollution control**</w:t>
            </w:r>
          </w:p>
        </w:tc>
        <w:tc>
          <w:tcPr>
            <w:tcW w:w="709" w:type="dxa"/>
            <w:tcBorders>
              <w:left w:val="single" w:sz="12" w:space="0" w:color="auto"/>
              <w:right w:val="single" w:sz="12" w:space="0" w:color="auto"/>
            </w:tcBorders>
            <w:noWrap/>
            <w:vAlign w:val="center"/>
          </w:tcPr>
          <w:p w14:paraId="3D59CC61" w14:textId="08717A84" w:rsidR="00E96E38" w:rsidRPr="00FF5625" w:rsidRDefault="00E96E38" w:rsidP="0023364B">
            <w:pPr>
              <w:keepNext/>
              <w:keepLines/>
              <w:spacing w:after="0"/>
              <w:jc w:val="center"/>
              <w:rPr>
                <w:rFonts w:ascii="EC Square Sans Cond Pro" w:hAnsi="EC Square Sans Cond Pro" w:cs="Cambria Math"/>
                <w:noProof/>
                <w:sz w:val="18"/>
                <w:szCs w:val="18"/>
                <w:lang w:val="en-IE"/>
              </w:rPr>
            </w:pPr>
            <w:r w:rsidRPr="00FF5625">
              <w:rPr>
                <w:rFonts w:ascii="EC Square Sans Cond Pro" w:hAnsi="EC Square Sans Cond Pro" w:cs="Calibri"/>
                <w:noProof/>
                <w:sz w:val="18"/>
                <w:szCs w:val="18"/>
                <w:lang w:val="en-IE"/>
              </w:rPr>
              <w:t>83</w:t>
            </w:r>
          </w:p>
        </w:tc>
        <w:tc>
          <w:tcPr>
            <w:tcW w:w="1594" w:type="dxa"/>
            <w:tcBorders>
              <w:left w:val="single" w:sz="12" w:space="0" w:color="auto"/>
            </w:tcBorders>
            <w:noWrap/>
            <w:vAlign w:val="center"/>
          </w:tcPr>
          <w:p w14:paraId="39028080" w14:textId="409396F7" w:rsidR="00E96E38" w:rsidRPr="00FF5625" w:rsidRDefault="00E96E38" w:rsidP="0023364B">
            <w:pPr>
              <w:keepNext/>
              <w:keepLines/>
              <w:spacing w:after="0"/>
              <w:jc w:val="center"/>
              <w:rPr>
                <w:rFonts w:ascii="EC Square Sans Cond Pro" w:hAnsi="EC Square Sans Cond Pro" w:cs="Cambria Math"/>
                <w:noProof/>
                <w:sz w:val="18"/>
                <w:szCs w:val="18"/>
                <w:lang w:val="en-IE"/>
              </w:rPr>
            </w:pPr>
            <w:r w:rsidRPr="00FF5625">
              <w:rPr>
                <w:rFonts w:ascii="EC Square Sans Cond Pro" w:hAnsi="EC Square Sans Cond Pro" w:cs="Calibri"/>
                <w:noProof/>
                <w:sz w:val="18"/>
                <w:szCs w:val="18"/>
                <w:lang w:val="en-IE"/>
              </w:rPr>
              <w:t>56 to 58</w:t>
            </w:r>
          </w:p>
        </w:tc>
        <w:tc>
          <w:tcPr>
            <w:tcW w:w="1066" w:type="dxa"/>
            <w:tcBorders>
              <w:right w:val="single" w:sz="12" w:space="0" w:color="auto"/>
            </w:tcBorders>
            <w:vAlign w:val="center"/>
          </w:tcPr>
          <w:p w14:paraId="3008917B" w14:textId="57300BC1" w:rsidR="00E96E38" w:rsidRPr="00FF5625" w:rsidRDefault="00E96E38" w:rsidP="0023364B">
            <w:pPr>
              <w:keepNext/>
              <w:keepLines/>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Avenir Next LT Pro"/>
                <w:i/>
                <w:iCs/>
                <w:noProof/>
                <w:sz w:val="18"/>
                <w:szCs w:val="18"/>
                <w:lang w:val="en-IE"/>
              </w:rPr>
              <w:t>56</w:t>
            </w:r>
          </w:p>
        </w:tc>
        <w:tc>
          <w:tcPr>
            <w:tcW w:w="1842" w:type="dxa"/>
            <w:tcBorders>
              <w:left w:val="single" w:sz="12" w:space="0" w:color="auto"/>
            </w:tcBorders>
            <w:vAlign w:val="center"/>
          </w:tcPr>
          <w:p w14:paraId="53C1F380" w14:textId="48A7B18A" w:rsidR="00E96E38" w:rsidRPr="00FF5625" w:rsidRDefault="00E96E38" w:rsidP="0023364B">
            <w:pPr>
              <w:keepNext/>
              <w:keepLines/>
              <w:spacing w:after="0"/>
              <w:jc w:val="center"/>
              <w:rPr>
                <w:rFonts w:ascii="EC Square Sans Cond Pro" w:hAnsi="EC Square Sans Cond Pro" w:cs="Calibri"/>
                <w:noProof/>
                <w:sz w:val="18"/>
                <w:szCs w:val="18"/>
                <w:lang w:val="en-IE"/>
              </w:rPr>
            </w:pPr>
            <w:r w:rsidRPr="00FF5625">
              <w:rPr>
                <w:rFonts w:ascii="EC Square Sans Cond Pro" w:hAnsi="EC Square Sans Cond Pro" w:cs="Calibri"/>
                <w:noProof/>
                <w:sz w:val="18"/>
                <w:szCs w:val="18"/>
                <w:lang w:val="en-IE"/>
              </w:rPr>
              <w:t>-25 to -27</w:t>
            </w:r>
          </w:p>
          <w:p w14:paraId="52A74AD8" w14:textId="77777777" w:rsidR="00E96E38" w:rsidRPr="00FF5625" w:rsidRDefault="00E96E38" w:rsidP="0023364B">
            <w:pPr>
              <w:keepNext/>
              <w:keepLines/>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sz w:val="18"/>
                <w:szCs w:val="18"/>
                <w:lang w:val="en-IE"/>
              </w:rPr>
              <w:t>(-30.3% to -32.6%)</w:t>
            </w:r>
          </w:p>
        </w:tc>
        <w:tc>
          <w:tcPr>
            <w:tcW w:w="1276" w:type="dxa"/>
            <w:vAlign w:val="center"/>
          </w:tcPr>
          <w:p w14:paraId="7A8374DD" w14:textId="0FDA088E" w:rsidR="00E96E38" w:rsidRPr="00FF5625" w:rsidRDefault="00E96E38" w:rsidP="0023364B">
            <w:pPr>
              <w:keepNext/>
              <w:keepLines/>
              <w:spacing w:after="0"/>
              <w:jc w:val="center"/>
              <w:rPr>
                <w:rFonts w:ascii="EC Square Sans Cond Pro" w:hAnsi="EC Square Sans Cond Pro" w:cs="Calibri"/>
                <w:i/>
                <w:iCs/>
                <w:noProof/>
                <w:sz w:val="18"/>
                <w:szCs w:val="18"/>
                <w:lang w:val="en-IE"/>
              </w:rPr>
            </w:pPr>
            <w:r w:rsidRPr="00FF5625">
              <w:rPr>
                <w:rFonts w:ascii="EC Square Sans Cond Pro" w:hAnsi="EC Square Sans Cond Pro" w:cs="Calibri"/>
                <w:i/>
                <w:iCs/>
                <w:noProof/>
                <w:sz w:val="18"/>
                <w:szCs w:val="18"/>
                <w:lang w:val="en-IE"/>
              </w:rPr>
              <w:t>-27</w:t>
            </w:r>
          </w:p>
          <w:p w14:paraId="76EF1609" w14:textId="20272EC9" w:rsidR="00E96E38" w:rsidRPr="00FF5625" w:rsidRDefault="00E96E38" w:rsidP="0023364B">
            <w:pPr>
              <w:keepNext/>
              <w:keepLines/>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i/>
                <w:iCs/>
                <w:noProof/>
                <w:sz w:val="18"/>
                <w:szCs w:val="18"/>
                <w:lang w:val="en-IE"/>
              </w:rPr>
              <w:t>(-32.4%)</w:t>
            </w:r>
          </w:p>
        </w:tc>
      </w:tr>
      <w:tr w:rsidR="00E96E38" w:rsidRPr="00FF5625" w14:paraId="108426B1" w14:textId="77777777" w:rsidTr="001C2345">
        <w:trPr>
          <w:trHeight w:val="311"/>
        </w:trPr>
        <w:tc>
          <w:tcPr>
            <w:tcW w:w="517" w:type="dxa"/>
            <w:vMerge/>
            <w:textDirection w:val="btLr"/>
            <w:vAlign w:val="center"/>
          </w:tcPr>
          <w:p w14:paraId="5C3FF435" w14:textId="77777777" w:rsidR="00E96E38" w:rsidRPr="00FF5625" w:rsidRDefault="00E96E38" w:rsidP="0023364B">
            <w:pPr>
              <w:keepNext/>
              <w:keepLines/>
              <w:spacing w:after="0"/>
              <w:ind w:left="113" w:right="113"/>
              <w:jc w:val="center"/>
              <w:rPr>
                <w:rFonts w:ascii="EC Square Sans Cond Pro" w:hAnsi="EC Square Sans Cond Pro" w:cs="Avenir Next LT Pro"/>
                <w:noProof/>
                <w:sz w:val="18"/>
                <w:szCs w:val="18"/>
                <w:lang w:val="en-IE"/>
              </w:rPr>
            </w:pPr>
          </w:p>
        </w:tc>
        <w:tc>
          <w:tcPr>
            <w:tcW w:w="1751" w:type="dxa"/>
            <w:tcBorders>
              <w:right w:val="single" w:sz="12" w:space="0" w:color="auto"/>
            </w:tcBorders>
            <w:noWrap/>
            <w:vAlign w:val="center"/>
          </w:tcPr>
          <w:p w14:paraId="1C887B75" w14:textId="43A6FFC9" w:rsidR="00E96E38" w:rsidRPr="00FF5625" w:rsidRDefault="00E96E38" w:rsidP="0023364B">
            <w:pPr>
              <w:keepNext/>
              <w:keepLines/>
              <w:spacing w:after="0"/>
              <w:jc w:val="left"/>
              <w:rPr>
                <w:rFonts w:ascii="EC Square Sans Cond Pro" w:hAnsi="EC Square Sans Cond Pro" w:cs="Avenir Next LT Pro"/>
                <w:noProof/>
                <w:sz w:val="18"/>
                <w:szCs w:val="18"/>
                <w:lang w:val="en-IE"/>
              </w:rPr>
            </w:pPr>
            <w:r w:rsidRPr="00FF5625">
              <w:rPr>
                <w:rFonts w:ascii="EC Square Sans Cond Pro" w:hAnsi="EC Square Sans Cond Pro" w:cs="Calibri"/>
                <w:noProof/>
                <w:sz w:val="18"/>
                <w:szCs w:val="18"/>
                <w:lang w:val="en-IE"/>
              </w:rPr>
              <w:t xml:space="preserve">Premature </w:t>
            </w:r>
            <w:r>
              <w:rPr>
                <w:rFonts w:ascii="EC Square Sans Cond Pro" w:hAnsi="EC Square Sans Cond Pro" w:cs="Calibri"/>
                <w:noProof/>
                <w:sz w:val="18"/>
                <w:szCs w:val="18"/>
                <w:lang w:val="en-IE"/>
              </w:rPr>
              <w:t>mortality</w:t>
            </w:r>
            <w:r w:rsidRPr="00FF5625">
              <w:rPr>
                <w:rFonts w:ascii="EC Square Sans Cond Pro" w:hAnsi="EC Square Sans Cond Pro" w:cs="Calibri"/>
                <w:noProof/>
                <w:sz w:val="18"/>
                <w:szCs w:val="18"/>
                <w:lang w:val="en-IE"/>
              </w:rPr>
              <w:t xml:space="preserve"> (VSL)***</w:t>
            </w:r>
          </w:p>
        </w:tc>
        <w:tc>
          <w:tcPr>
            <w:tcW w:w="709" w:type="dxa"/>
            <w:tcBorders>
              <w:left w:val="single" w:sz="12" w:space="0" w:color="auto"/>
              <w:right w:val="single" w:sz="12" w:space="0" w:color="auto"/>
            </w:tcBorders>
            <w:noWrap/>
            <w:vAlign w:val="center"/>
          </w:tcPr>
          <w:p w14:paraId="3AF5080D" w14:textId="7C9E82A8" w:rsidR="00E96E38" w:rsidRPr="00FF5625" w:rsidRDefault="00E96E38" w:rsidP="0023364B">
            <w:pPr>
              <w:keepNext/>
              <w:keepLines/>
              <w:spacing w:after="0"/>
              <w:jc w:val="center"/>
              <w:rPr>
                <w:rFonts w:ascii="EC Square Sans Cond Pro" w:hAnsi="EC Square Sans Cond Pro" w:cs="Cambria Math"/>
                <w:noProof/>
                <w:color w:val="FF0000"/>
                <w:sz w:val="18"/>
                <w:szCs w:val="18"/>
                <w:lang w:val="en-IE"/>
              </w:rPr>
            </w:pPr>
            <w:r w:rsidRPr="00FF5625">
              <w:rPr>
                <w:rFonts w:ascii="EC Square Sans Cond Pro" w:hAnsi="EC Square Sans Cond Pro" w:cs="Cambria Math"/>
                <w:noProof/>
                <w:sz w:val="18"/>
                <w:szCs w:val="18"/>
                <w:lang w:val="en-IE"/>
              </w:rPr>
              <w:t>1724</w:t>
            </w:r>
          </w:p>
        </w:tc>
        <w:tc>
          <w:tcPr>
            <w:tcW w:w="1594" w:type="dxa"/>
            <w:tcBorders>
              <w:left w:val="single" w:sz="12" w:space="0" w:color="auto"/>
            </w:tcBorders>
            <w:noWrap/>
            <w:vAlign w:val="center"/>
          </w:tcPr>
          <w:p w14:paraId="6542BEAD" w14:textId="3D38ED58" w:rsidR="00E96E38" w:rsidRPr="00FF5625" w:rsidRDefault="00E96E38" w:rsidP="0023364B">
            <w:pPr>
              <w:keepNext/>
              <w:keepLines/>
              <w:spacing w:after="0"/>
              <w:jc w:val="center"/>
              <w:rPr>
                <w:rFonts w:ascii="EC Square Sans Cond Pro" w:hAnsi="EC Square Sans Cond Pro" w:cs="Cambria Math"/>
                <w:noProof/>
                <w:color w:val="FF0000"/>
                <w:sz w:val="18"/>
                <w:szCs w:val="18"/>
                <w:lang w:val="en-IE"/>
              </w:rPr>
            </w:pPr>
            <w:r w:rsidRPr="00FF5625">
              <w:rPr>
                <w:rFonts w:ascii="EC Square Sans Cond Pro" w:hAnsi="EC Square Sans Cond Pro" w:cs="Cambria Math"/>
                <w:noProof/>
                <w:sz w:val="18"/>
                <w:szCs w:val="18"/>
                <w:lang w:val="en-IE"/>
              </w:rPr>
              <w:t>673 to 677</w:t>
            </w:r>
          </w:p>
        </w:tc>
        <w:tc>
          <w:tcPr>
            <w:tcW w:w="1066" w:type="dxa"/>
            <w:tcBorders>
              <w:right w:val="single" w:sz="12" w:space="0" w:color="auto"/>
            </w:tcBorders>
            <w:vAlign w:val="center"/>
          </w:tcPr>
          <w:p w14:paraId="4C99D886" w14:textId="7FE11B80" w:rsidR="00E96E38" w:rsidRPr="00FF5625" w:rsidRDefault="00E96E38" w:rsidP="0023364B">
            <w:pPr>
              <w:keepNext/>
              <w:keepLines/>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Avenir Next LT Pro"/>
                <w:i/>
                <w:iCs/>
                <w:noProof/>
                <w:sz w:val="18"/>
                <w:szCs w:val="18"/>
                <w:lang w:val="en-IE"/>
              </w:rPr>
              <w:t>646</w:t>
            </w:r>
          </w:p>
        </w:tc>
        <w:tc>
          <w:tcPr>
            <w:tcW w:w="1842" w:type="dxa"/>
            <w:tcBorders>
              <w:left w:val="single" w:sz="12" w:space="0" w:color="auto"/>
            </w:tcBorders>
            <w:vAlign w:val="center"/>
          </w:tcPr>
          <w:p w14:paraId="5060C7D6" w14:textId="76CFE731" w:rsidR="00E96E38" w:rsidRPr="00FF5625" w:rsidRDefault="00E96E38" w:rsidP="0023364B">
            <w:pPr>
              <w:keepNext/>
              <w:keepLines/>
              <w:spacing w:after="0"/>
              <w:jc w:val="center"/>
              <w:rPr>
                <w:rFonts w:ascii="EC Square Sans Cond Pro" w:hAnsi="EC Square Sans Cond Pro" w:cs="Calibri"/>
                <w:noProof/>
                <w:sz w:val="18"/>
                <w:szCs w:val="18"/>
                <w:lang w:val="en-IE"/>
              </w:rPr>
            </w:pPr>
            <w:r w:rsidRPr="00FF5625">
              <w:rPr>
                <w:rFonts w:ascii="EC Square Sans Cond Pro" w:hAnsi="EC Square Sans Cond Pro" w:cs="Calibri"/>
                <w:noProof/>
                <w:sz w:val="18"/>
                <w:szCs w:val="18"/>
                <w:lang w:val="en-IE"/>
              </w:rPr>
              <w:t xml:space="preserve">-1046 to -1051 </w:t>
            </w:r>
          </w:p>
          <w:p w14:paraId="3D798DC9" w14:textId="2BDF420C" w:rsidR="00E96E38" w:rsidRPr="00FF5625" w:rsidRDefault="00E96E38" w:rsidP="0023364B">
            <w:pPr>
              <w:keepNext/>
              <w:keepLines/>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sz w:val="18"/>
                <w:szCs w:val="18"/>
                <w:lang w:val="en-IE"/>
              </w:rPr>
              <w:t>(-60.7% to -61.0%)</w:t>
            </w:r>
          </w:p>
        </w:tc>
        <w:tc>
          <w:tcPr>
            <w:tcW w:w="1276" w:type="dxa"/>
            <w:vAlign w:val="center"/>
          </w:tcPr>
          <w:p w14:paraId="1DA2B223" w14:textId="7C505895" w:rsidR="00E96E38" w:rsidRPr="00FF5625" w:rsidRDefault="00E96E38" w:rsidP="0023364B">
            <w:pPr>
              <w:keepNext/>
              <w:keepLines/>
              <w:spacing w:after="0"/>
              <w:jc w:val="center"/>
              <w:rPr>
                <w:rFonts w:ascii="EC Square Sans Cond Pro" w:hAnsi="EC Square Sans Cond Pro" w:cs="Calibri"/>
                <w:i/>
                <w:iCs/>
                <w:noProof/>
                <w:sz w:val="18"/>
                <w:szCs w:val="18"/>
                <w:lang w:val="en-IE"/>
              </w:rPr>
            </w:pPr>
            <w:r w:rsidRPr="00FF5625">
              <w:rPr>
                <w:rFonts w:ascii="EC Square Sans Cond Pro" w:hAnsi="EC Square Sans Cond Pro" w:cs="Calibri"/>
                <w:i/>
                <w:iCs/>
                <w:noProof/>
                <w:sz w:val="18"/>
                <w:szCs w:val="18"/>
                <w:lang w:val="en-IE"/>
              </w:rPr>
              <w:t>-1077</w:t>
            </w:r>
          </w:p>
          <w:p w14:paraId="7B413B12" w14:textId="0598A38A" w:rsidR="00E96E38" w:rsidRPr="00FF5625" w:rsidRDefault="00E96E38" w:rsidP="0023364B">
            <w:pPr>
              <w:keepNext/>
              <w:keepLines/>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i/>
                <w:iCs/>
                <w:noProof/>
                <w:sz w:val="18"/>
                <w:szCs w:val="18"/>
                <w:lang w:val="en-IE"/>
              </w:rPr>
              <w:t>(-62.5%)</w:t>
            </w:r>
          </w:p>
        </w:tc>
      </w:tr>
      <w:tr w:rsidR="00E96E38" w:rsidRPr="00FF5625" w14:paraId="195D3BA0" w14:textId="77777777" w:rsidTr="001C2345">
        <w:trPr>
          <w:trHeight w:val="311"/>
        </w:trPr>
        <w:tc>
          <w:tcPr>
            <w:tcW w:w="517" w:type="dxa"/>
            <w:vMerge/>
            <w:textDirection w:val="btLr"/>
            <w:vAlign w:val="center"/>
          </w:tcPr>
          <w:p w14:paraId="38CCFF3C" w14:textId="77777777" w:rsidR="00E96E38" w:rsidRPr="00FF5625" w:rsidRDefault="00E96E38" w:rsidP="0023364B">
            <w:pPr>
              <w:keepNext/>
              <w:keepLines/>
              <w:spacing w:after="0"/>
              <w:ind w:left="113" w:right="113"/>
              <w:jc w:val="center"/>
              <w:rPr>
                <w:rFonts w:ascii="EC Square Sans Cond Pro" w:hAnsi="EC Square Sans Cond Pro" w:cs="Avenir Next LT Pro"/>
                <w:noProof/>
                <w:sz w:val="18"/>
                <w:szCs w:val="18"/>
                <w:lang w:val="en-IE"/>
              </w:rPr>
            </w:pPr>
          </w:p>
        </w:tc>
        <w:tc>
          <w:tcPr>
            <w:tcW w:w="1751" w:type="dxa"/>
            <w:tcBorders>
              <w:right w:val="single" w:sz="12" w:space="0" w:color="auto"/>
            </w:tcBorders>
            <w:noWrap/>
            <w:vAlign w:val="center"/>
          </w:tcPr>
          <w:p w14:paraId="2B687DB6" w14:textId="3FDC3116" w:rsidR="00E96E38" w:rsidRPr="00FF5625" w:rsidRDefault="00E96E38" w:rsidP="0023364B">
            <w:pPr>
              <w:keepNext/>
              <w:keepLines/>
              <w:spacing w:after="0"/>
              <w:jc w:val="left"/>
              <w:rPr>
                <w:rFonts w:ascii="EC Square Sans Cond Pro" w:hAnsi="EC Square Sans Cond Pro" w:cs="Avenir Next LT Pro"/>
                <w:noProof/>
                <w:sz w:val="18"/>
                <w:szCs w:val="18"/>
                <w:lang w:val="en-IE"/>
              </w:rPr>
            </w:pPr>
            <w:r w:rsidRPr="00FF5625">
              <w:rPr>
                <w:rFonts w:ascii="EC Square Sans Cond Pro" w:hAnsi="EC Square Sans Cond Pro" w:cs="Calibri"/>
                <w:noProof/>
                <w:sz w:val="18"/>
                <w:szCs w:val="18"/>
                <w:lang w:val="en-IE"/>
              </w:rPr>
              <w:t xml:space="preserve">Premature </w:t>
            </w:r>
            <w:r>
              <w:rPr>
                <w:rFonts w:ascii="EC Square Sans Cond Pro" w:hAnsi="EC Square Sans Cond Pro" w:cs="Calibri"/>
                <w:noProof/>
                <w:sz w:val="18"/>
                <w:szCs w:val="18"/>
                <w:lang w:val="en-IE"/>
              </w:rPr>
              <w:t>mortality</w:t>
            </w:r>
            <w:r w:rsidRPr="00FF5625">
              <w:rPr>
                <w:rFonts w:ascii="EC Square Sans Cond Pro" w:hAnsi="EC Square Sans Cond Pro" w:cs="Calibri"/>
                <w:noProof/>
                <w:sz w:val="18"/>
                <w:szCs w:val="18"/>
                <w:lang w:val="en-IE"/>
              </w:rPr>
              <w:t xml:space="preserve"> (VOLY)***</w:t>
            </w:r>
            <w:r w:rsidR="009B3C35">
              <w:rPr>
                <w:rFonts w:ascii="EC Square Sans Cond Pro" w:hAnsi="EC Square Sans Cond Pro" w:cs="Calibri"/>
                <w:noProof/>
                <w:sz w:val="18"/>
                <w:szCs w:val="18"/>
                <w:lang w:val="en-IE"/>
              </w:rPr>
              <w:t>*</w:t>
            </w:r>
          </w:p>
        </w:tc>
        <w:tc>
          <w:tcPr>
            <w:tcW w:w="709" w:type="dxa"/>
            <w:tcBorders>
              <w:left w:val="single" w:sz="12" w:space="0" w:color="auto"/>
              <w:right w:val="single" w:sz="12" w:space="0" w:color="auto"/>
            </w:tcBorders>
            <w:noWrap/>
            <w:vAlign w:val="center"/>
          </w:tcPr>
          <w:p w14:paraId="62AB6B95" w14:textId="152F3B47" w:rsidR="00E96E38" w:rsidRPr="00FF5625" w:rsidRDefault="00E96E38" w:rsidP="0023364B">
            <w:pPr>
              <w:keepNext/>
              <w:keepLines/>
              <w:spacing w:after="0"/>
              <w:jc w:val="center"/>
              <w:rPr>
                <w:rFonts w:ascii="EC Square Sans Cond Pro" w:hAnsi="EC Square Sans Cond Pro" w:cs="Cambria Math"/>
                <w:noProof/>
                <w:sz w:val="18"/>
                <w:szCs w:val="18"/>
                <w:lang w:val="en-IE"/>
              </w:rPr>
            </w:pPr>
            <w:r>
              <w:rPr>
                <w:rFonts w:ascii="EC Square Sans Cond Pro" w:hAnsi="EC Square Sans Cond Pro" w:cs="Cambria Math"/>
                <w:noProof/>
                <w:sz w:val="18"/>
                <w:szCs w:val="18"/>
                <w:lang w:val="en-IE"/>
              </w:rPr>
              <w:t>686</w:t>
            </w:r>
          </w:p>
        </w:tc>
        <w:tc>
          <w:tcPr>
            <w:tcW w:w="1594" w:type="dxa"/>
            <w:tcBorders>
              <w:left w:val="single" w:sz="12" w:space="0" w:color="auto"/>
            </w:tcBorders>
            <w:noWrap/>
            <w:vAlign w:val="center"/>
          </w:tcPr>
          <w:p w14:paraId="654B235F" w14:textId="1872800B" w:rsidR="00E96E38" w:rsidRPr="00FF5625" w:rsidRDefault="00E96E38" w:rsidP="0023364B">
            <w:pPr>
              <w:keepNext/>
              <w:keepLines/>
              <w:spacing w:after="0"/>
              <w:jc w:val="center"/>
              <w:rPr>
                <w:rFonts w:ascii="EC Square Sans Cond Pro" w:hAnsi="EC Square Sans Cond Pro" w:cs="Cambria Math"/>
                <w:noProof/>
                <w:sz w:val="18"/>
                <w:szCs w:val="18"/>
                <w:lang w:val="en-IE"/>
              </w:rPr>
            </w:pPr>
            <w:r>
              <w:rPr>
                <w:rFonts w:ascii="EC Square Sans Cond Pro" w:hAnsi="EC Square Sans Cond Pro" w:cs="Cambria Math"/>
                <w:noProof/>
                <w:sz w:val="18"/>
                <w:szCs w:val="18"/>
                <w:lang w:val="en-IE"/>
              </w:rPr>
              <w:t>304 to 306</w:t>
            </w:r>
          </w:p>
        </w:tc>
        <w:tc>
          <w:tcPr>
            <w:tcW w:w="1066" w:type="dxa"/>
            <w:tcBorders>
              <w:right w:val="single" w:sz="12" w:space="0" w:color="auto"/>
            </w:tcBorders>
            <w:vAlign w:val="center"/>
          </w:tcPr>
          <w:p w14:paraId="0E98D11A" w14:textId="568DEF19" w:rsidR="00E96E38" w:rsidRPr="00E96E38" w:rsidRDefault="00E96E38" w:rsidP="0023364B">
            <w:pPr>
              <w:keepNext/>
              <w:keepLines/>
              <w:spacing w:after="0"/>
              <w:jc w:val="center"/>
              <w:rPr>
                <w:rFonts w:ascii="EC Square Sans Cond Pro" w:hAnsi="EC Square Sans Cond Pro" w:cs="Avenir Next LT Pro"/>
                <w:i/>
                <w:iCs/>
                <w:noProof/>
                <w:sz w:val="18"/>
                <w:szCs w:val="18"/>
                <w:lang w:val="en-IE"/>
              </w:rPr>
            </w:pPr>
            <w:r w:rsidRPr="00E96E38">
              <w:rPr>
                <w:rFonts w:ascii="EC Square Sans Cond Pro" w:hAnsi="EC Square Sans Cond Pro" w:cs="Avenir Next LT Pro"/>
                <w:i/>
                <w:iCs/>
                <w:noProof/>
                <w:sz w:val="18"/>
                <w:szCs w:val="18"/>
                <w:lang w:val="en-IE"/>
              </w:rPr>
              <w:t>292</w:t>
            </w:r>
          </w:p>
        </w:tc>
        <w:tc>
          <w:tcPr>
            <w:tcW w:w="1842" w:type="dxa"/>
            <w:tcBorders>
              <w:left w:val="single" w:sz="12" w:space="0" w:color="auto"/>
            </w:tcBorders>
            <w:vAlign w:val="center"/>
          </w:tcPr>
          <w:p w14:paraId="7BB693A5" w14:textId="4EAA8CDE" w:rsidR="00E96E38" w:rsidRPr="00FF5625" w:rsidRDefault="00E96E38" w:rsidP="0023364B">
            <w:pPr>
              <w:keepNext/>
              <w:keepLines/>
              <w:spacing w:after="0"/>
              <w:jc w:val="center"/>
              <w:rPr>
                <w:rFonts w:ascii="EC Square Sans Cond Pro" w:hAnsi="EC Square Sans Cond Pro" w:cs="Calibri"/>
                <w:noProof/>
                <w:sz w:val="18"/>
                <w:szCs w:val="18"/>
                <w:lang w:val="en-IE"/>
              </w:rPr>
            </w:pPr>
            <w:r w:rsidRPr="00FF5625">
              <w:rPr>
                <w:rFonts w:ascii="EC Square Sans Cond Pro" w:hAnsi="EC Square Sans Cond Pro" w:cs="Calibri"/>
                <w:noProof/>
                <w:sz w:val="18"/>
                <w:szCs w:val="18"/>
                <w:lang w:val="en-IE"/>
              </w:rPr>
              <w:t>-</w:t>
            </w:r>
            <w:r>
              <w:rPr>
                <w:rFonts w:ascii="EC Square Sans Cond Pro" w:hAnsi="EC Square Sans Cond Pro" w:cs="Calibri"/>
                <w:noProof/>
                <w:sz w:val="18"/>
                <w:szCs w:val="18"/>
                <w:lang w:val="en-IE"/>
              </w:rPr>
              <w:t>380</w:t>
            </w:r>
            <w:r w:rsidRPr="00FF5625">
              <w:rPr>
                <w:rFonts w:ascii="EC Square Sans Cond Pro" w:hAnsi="EC Square Sans Cond Pro" w:cs="Calibri"/>
                <w:noProof/>
                <w:sz w:val="18"/>
                <w:szCs w:val="18"/>
                <w:lang w:val="en-IE"/>
              </w:rPr>
              <w:t xml:space="preserve"> to -3</w:t>
            </w:r>
            <w:r>
              <w:rPr>
                <w:rFonts w:ascii="EC Square Sans Cond Pro" w:hAnsi="EC Square Sans Cond Pro" w:cs="Calibri"/>
                <w:noProof/>
                <w:sz w:val="18"/>
                <w:szCs w:val="18"/>
                <w:lang w:val="en-IE"/>
              </w:rPr>
              <w:t>82</w:t>
            </w:r>
            <w:r w:rsidRPr="00FF5625">
              <w:rPr>
                <w:rFonts w:ascii="EC Square Sans Cond Pro" w:hAnsi="EC Square Sans Cond Pro" w:cs="Calibri"/>
                <w:noProof/>
                <w:sz w:val="18"/>
                <w:szCs w:val="18"/>
                <w:lang w:val="en-IE"/>
              </w:rPr>
              <w:t xml:space="preserve"> </w:t>
            </w:r>
          </w:p>
          <w:p w14:paraId="1D4FE913" w14:textId="264B1E60" w:rsidR="00E96E38" w:rsidRPr="00FF5625" w:rsidRDefault="00E96E38" w:rsidP="0023364B">
            <w:pPr>
              <w:keepNext/>
              <w:keepLines/>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noProof/>
                <w:sz w:val="18"/>
                <w:szCs w:val="18"/>
                <w:lang w:val="en-IE"/>
              </w:rPr>
              <w:t>(-55.6% to -55.8%)</w:t>
            </w:r>
          </w:p>
        </w:tc>
        <w:tc>
          <w:tcPr>
            <w:tcW w:w="1276" w:type="dxa"/>
            <w:vAlign w:val="center"/>
          </w:tcPr>
          <w:p w14:paraId="6732D499" w14:textId="31C1E3E0" w:rsidR="00E96E38" w:rsidRPr="00FF5625" w:rsidRDefault="00E96E38" w:rsidP="0023364B">
            <w:pPr>
              <w:keepNext/>
              <w:keepLines/>
              <w:spacing w:after="0"/>
              <w:jc w:val="center"/>
              <w:rPr>
                <w:rFonts w:ascii="EC Square Sans Cond Pro" w:hAnsi="EC Square Sans Cond Pro" w:cs="Calibri"/>
                <w:i/>
                <w:iCs/>
                <w:noProof/>
                <w:sz w:val="18"/>
                <w:szCs w:val="18"/>
                <w:lang w:val="en-IE"/>
              </w:rPr>
            </w:pPr>
            <w:r w:rsidRPr="00FF5625">
              <w:rPr>
                <w:rFonts w:ascii="EC Square Sans Cond Pro" w:hAnsi="EC Square Sans Cond Pro" w:cs="Calibri"/>
                <w:i/>
                <w:iCs/>
                <w:noProof/>
                <w:sz w:val="18"/>
                <w:szCs w:val="18"/>
                <w:lang w:val="en-IE"/>
              </w:rPr>
              <w:t>-39</w:t>
            </w:r>
            <w:r>
              <w:rPr>
                <w:rFonts w:ascii="EC Square Sans Cond Pro" w:hAnsi="EC Square Sans Cond Pro" w:cs="Calibri"/>
                <w:i/>
                <w:iCs/>
                <w:noProof/>
                <w:sz w:val="18"/>
                <w:szCs w:val="18"/>
                <w:lang w:val="en-IE"/>
              </w:rPr>
              <w:t>4</w:t>
            </w:r>
          </w:p>
          <w:p w14:paraId="1DAD3880" w14:textId="077C250F" w:rsidR="00E96E38" w:rsidRPr="00FF5625" w:rsidRDefault="00E96E38" w:rsidP="0023364B">
            <w:pPr>
              <w:keepNext/>
              <w:keepLines/>
              <w:spacing w:after="0"/>
              <w:jc w:val="center"/>
              <w:rPr>
                <w:rFonts w:ascii="EC Square Sans Cond Pro" w:hAnsi="EC Square Sans Cond Pro" w:cs="Avenir Next LT Pro"/>
                <w:noProof/>
                <w:sz w:val="18"/>
                <w:szCs w:val="18"/>
                <w:lang w:val="en-IE"/>
              </w:rPr>
            </w:pPr>
            <w:r w:rsidRPr="00FF5625">
              <w:rPr>
                <w:rFonts w:ascii="EC Square Sans Cond Pro" w:hAnsi="EC Square Sans Cond Pro" w:cs="Calibri"/>
                <w:i/>
                <w:iCs/>
                <w:noProof/>
                <w:sz w:val="18"/>
                <w:szCs w:val="18"/>
                <w:lang w:val="en-IE"/>
              </w:rPr>
              <w:t>(-57.</w:t>
            </w:r>
            <w:r>
              <w:rPr>
                <w:rFonts w:ascii="EC Square Sans Cond Pro" w:hAnsi="EC Square Sans Cond Pro" w:cs="Calibri"/>
                <w:i/>
                <w:iCs/>
                <w:noProof/>
                <w:sz w:val="18"/>
                <w:szCs w:val="18"/>
                <w:lang w:val="en-IE"/>
              </w:rPr>
              <w:t>4</w:t>
            </w:r>
            <w:r w:rsidRPr="00FF5625">
              <w:rPr>
                <w:rFonts w:ascii="EC Square Sans Cond Pro" w:hAnsi="EC Square Sans Cond Pro" w:cs="Calibri"/>
                <w:i/>
                <w:iCs/>
                <w:noProof/>
                <w:sz w:val="18"/>
                <w:szCs w:val="18"/>
                <w:lang w:val="en-IE"/>
              </w:rPr>
              <w:t>%)</w:t>
            </w:r>
          </w:p>
        </w:tc>
      </w:tr>
    </w:tbl>
    <w:p w14:paraId="2D0E3EBD" w14:textId="77777777" w:rsidR="00165F69" w:rsidRPr="00FF5625" w:rsidRDefault="00165F69" w:rsidP="0023364B">
      <w:pPr>
        <w:pStyle w:val="CT-NOTE"/>
        <w:keepLines/>
        <w:rPr>
          <w:noProof/>
        </w:rPr>
      </w:pPr>
    </w:p>
    <w:p w14:paraId="3EB8DFF6" w14:textId="40BEB068" w:rsidR="003C47F6" w:rsidRPr="0047274C" w:rsidRDefault="007B5AC1" w:rsidP="0023364B">
      <w:pPr>
        <w:pStyle w:val="CT-NOTE"/>
        <w:keepLines/>
        <w:rPr>
          <w:noProof/>
        </w:rPr>
      </w:pPr>
      <w:r w:rsidRPr="00FF5625">
        <w:rPr>
          <w:noProof/>
        </w:rPr>
        <w:t xml:space="preserve">Note: </w:t>
      </w:r>
      <w:r w:rsidR="00A010C8" w:rsidRPr="00FF5625">
        <w:rPr>
          <w:noProof/>
        </w:rPr>
        <w:t>*</w:t>
      </w:r>
      <w:r w:rsidR="00DC074A" w:rsidRPr="00FF5625">
        <w:rPr>
          <w:noProof/>
        </w:rPr>
        <w:t>Historical values for 2015 are slightly different than the ones reported in the Third Clean Air Outlook because of a different emission scope a</w:t>
      </w:r>
      <w:r w:rsidR="0028021E" w:rsidRPr="00FF5625">
        <w:rPr>
          <w:noProof/>
        </w:rPr>
        <w:t>s well as</w:t>
      </w:r>
      <w:r w:rsidR="00DC074A" w:rsidRPr="00FF5625">
        <w:rPr>
          <w:noProof/>
        </w:rPr>
        <w:t xml:space="preserve"> recent updates in the emission factors assumed by the GAINS model. </w:t>
      </w:r>
      <w:r w:rsidR="00A010C8" w:rsidRPr="00FF5625">
        <w:rPr>
          <w:noProof/>
        </w:rPr>
        <w:t>*</w:t>
      </w:r>
      <w:r w:rsidR="000930D2" w:rsidRPr="00FF5625">
        <w:rPr>
          <w:noProof/>
        </w:rPr>
        <w:t>*</w:t>
      </w:r>
      <w:r w:rsidRPr="00FF5625">
        <w:rPr>
          <w:noProof/>
        </w:rPr>
        <w:t>Air pollution control costs are the costs associated with the measures/technologies employed in the control strategies of each scenario.</w:t>
      </w:r>
      <w:r w:rsidR="00ED12E0" w:rsidRPr="00FF5625">
        <w:rPr>
          <w:noProof/>
        </w:rPr>
        <w:t xml:space="preserve"> </w:t>
      </w:r>
      <w:r w:rsidR="00A010C8" w:rsidRPr="00FF5625">
        <w:rPr>
          <w:noProof/>
        </w:rPr>
        <w:t>*</w:t>
      </w:r>
      <w:r w:rsidR="000930D2" w:rsidRPr="00FF5625">
        <w:rPr>
          <w:noProof/>
        </w:rPr>
        <w:t>*</w:t>
      </w:r>
      <w:r w:rsidR="00A010C8" w:rsidRPr="00FF5625">
        <w:rPr>
          <w:noProof/>
        </w:rPr>
        <w:t>*</w:t>
      </w:r>
      <w:r w:rsidR="0082356C" w:rsidRPr="00FF5625">
        <w:rPr>
          <w:noProof/>
        </w:rPr>
        <w:t xml:space="preserve">In accordance with the valuation methodology used in the Third Clean Air Outlook, the value of a statistical life is assumed to be EUR </w:t>
      </w:r>
      <w:r w:rsidR="000B77C9" w:rsidRPr="00FF5625">
        <w:rPr>
          <w:noProof/>
        </w:rPr>
        <w:t>4.</w:t>
      </w:r>
      <w:r w:rsidR="0082356C" w:rsidRPr="00FF5625">
        <w:rPr>
          <w:noProof/>
        </w:rPr>
        <w:t>36 million</w:t>
      </w:r>
      <w:r w:rsidR="009B3C35">
        <w:rPr>
          <w:noProof/>
        </w:rPr>
        <w:t xml:space="preserve"> </w:t>
      </w:r>
      <w:r w:rsidR="009B3C35" w:rsidRPr="00FF5625">
        <w:rPr>
          <w:noProof/>
        </w:rPr>
        <w:t>(in EUR 2023)</w:t>
      </w:r>
      <w:r w:rsidR="00CF6D59">
        <w:rPr>
          <w:noProof/>
        </w:rPr>
        <w:t>, and the premature mortality costs estimated using the VSL method do not consider premature deaths caused by ozone exposure</w:t>
      </w:r>
      <w:r w:rsidR="009B3C35">
        <w:rPr>
          <w:noProof/>
        </w:rPr>
        <w:t xml:space="preserve">. </w:t>
      </w:r>
      <w:r w:rsidR="009B3C35" w:rsidRPr="00FF5625">
        <w:rPr>
          <w:noProof/>
        </w:rPr>
        <w:t>*</w:t>
      </w:r>
      <w:r w:rsidR="009B3C35">
        <w:rPr>
          <w:noProof/>
        </w:rPr>
        <w:t>*</w:t>
      </w:r>
      <w:r w:rsidR="009B3C35" w:rsidRPr="00FF5625">
        <w:rPr>
          <w:noProof/>
        </w:rPr>
        <w:t xml:space="preserve">**In accordance with the </w:t>
      </w:r>
      <w:r w:rsidR="00907EFC">
        <w:rPr>
          <w:noProof/>
        </w:rPr>
        <w:t>v</w:t>
      </w:r>
      <w:r w:rsidR="009B3C35" w:rsidRPr="00FF5625">
        <w:rPr>
          <w:noProof/>
        </w:rPr>
        <w:t>aluation methodology used in the Third Clean Air Outlook,</w:t>
      </w:r>
      <w:r w:rsidR="0082356C" w:rsidRPr="00FF5625">
        <w:rPr>
          <w:noProof/>
        </w:rPr>
        <w:t xml:space="preserve"> the value of a life year is assumed to be EUR </w:t>
      </w:r>
      <w:r w:rsidR="000B77C9" w:rsidRPr="00FF5625">
        <w:rPr>
          <w:noProof/>
        </w:rPr>
        <w:t>114</w:t>
      </w:r>
      <w:r w:rsidR="000B77C9" w:rsidRPr="00FF5625">
        <w:rPr>
          <w:rFonts w:ascii="Calibri" w:hAnsi="Calibri" w:cs="Calibri"/>
          <w:noProof/>
        </w:rPr>
        <w:t> </w:t>
      </w:r>
      <w:r w:rsidR="000B77C9" w:rsidRPr="00FF5625">
        <w:rPr>
          <w:noProof/>
        </w:rPr>
        <w:t>722</w:t>
      </w:r>
      <w:r w:rsidR="0082356C" w:rsidRPr="00FF5625">
        <w:rPr>
          <w:noProof/>
        </w:rPr>
        <w:t xml:space="preserve"> (in EUR 20</w:t>
      </w:r>
      <w:r w:rsidR="000B77C9" w:rsidRPr="00FF5625">
        <w:rPr>
          <w:noProof/>
        </w:rPr>
        <w:t>23</w:t>
      </w:r>
      <w:r w:rsidR="0082356C" w:rsidRPr="00FF5625">
        <w:rPr>
          <w:noProof/>
        </w:rPr>
        <w:t>)</w:t>
      </w:r>
      <w:r w:rsidR="00907EFC">
        <w:rPr>
          <w:noProof/>
        </w:rPr>
        <w:t>, and the premature mortality costs estimated using the VOLY method consider premature deaths caused by ozone exposure</w:t>
      </w:r>
      <w:r w:rsidR="0082356C" w:rsidRPr="00FF5625">
        <w:rPr>
          <w:noProof/>
        </w:rPr>
        <w:t>.</w:t>
      </w:r>
    </w:p>
    <w:p w14:paraId="5806B53D" w14:textId="14C679A4" w:rsidR="0018453F" w:rsidRPr="0047274C" w:rsidRDefault="0018453F" w:rsidP="0023364B">
      <w:pPr>
        <w:pStyle w:val="CT-SOURCE"/>
        <w:keepLines/>
        <w:rPr>
          <w:noProof/>
          <w:szCs w:val="18"/>
        </w:rPr>
      </w:pPr>
      <w:r w:rsidRPr="0047274C">
        <w:rPr>
          <w:noProof/>
        </w:rPr>
        <w:t>Source: GAINS.</w:t>
      </w:r>
    </w:p>
    <w:p w14:paraId="2DE49638" w14:textId="3241DCA8" w:rsidR="00BC0B43" w:rsidRPr="00F82696" w:rsidRDefault="006F55EB" w:rsidP="00CB00AD">
      <w:pPr>
        <w:rPr>
          <w:noProof/>
        </w:rPr>
      </w:pPr>
      <w:r>
        <w:rPr>
          <w:noProof/>
        </w:rPr>
        <w:t>Note that not all air pollution costs have been included in the quantitative analysis presented in this section</w:t>
      </w:r>
      <w:r w:rsidR="00C44C1D">
        <w:rPr>
          <w:noProof/>
        </w:rPr>
        <w:t xml:space="preserve"> and shown in </w:t>
      </w:r>
      <w:r w:rsidR="00C44C1D" w:rsidRPr="0009775F">
        <w:rPr>
          <w:noProof/>
          <w:color w:val="2B579A"/>
          <w:shd w:val="clear" w:color="auto" w:fill="E6E6E6"/>
        </w:rPr>
        <w:fldChar w:fldCharType="begin"/>
      </w:r>
      <w:r w:rsidR="00C44C1D" w:rsidRPr="0009775F">
        <w:rPr>
          <w:noProof/>
        </w:rPr>
        <w:instrText xml:space="preserve"> REF _Ref140845993 \h </w:instrText>
      </w:r>
      <w:r w:rsidR="00E725F6" w:rsidRPr="0009775F">
        <w:rPr>
          <w:noProof/>
          <w:color w:val="2B579A"/>
          <w:shd w:val="clear" w:color="auto" w:fill="E6E6E6"/>
        </w:rPr>
        <w:instrText xml:space="preserve"> \* MERGEFORMAT </w:instrText>
      </w:r>
      <w:r w:rsidR="00C44C1D" w:rsidRPr="0009775F">
        <w:rPr>
          <w:noProof/>
          <w:color w:val="2B579A"/>
          <w:shd w:val="clear" w:color="auto" w:fill="E6E6E6"/>
        </w:rPr>
      </w:r>
      <w:r w:rsidR="00C44C1D" w:rsidRPr="0009775F">
        <w:rPr>
          <w:noProof/>
          <w:color w:val="2B579A"/>
          <w:shd w:val="clear" w:color="auto" w:fill="E6E6E6"/>
        </w:rPr>
        <w:fldChar w:fldCharType="separate"/>
      </w:r>
      <w:r w:rsidR="00170A3C" w:rsidRPr="000F0060">
        <w:rPr>
          <w:noProof/>
          <w:lang w:val="en-IE"/>
        </w:rPr>
        <w:t xml:space="preserve">Table </w:t>
      </w:r>
      <w:r w:rsidR="00170A3C">
        <w:rPr>
          <w:noProof/>
          <w:lang w:val="en-IE"/>
        </w:rPr>
        <w:t>19</w:t>
      </w:r>
      <w:r w:rsidR="00C44C1D" w:rsidRPr="0009775F">
        <w:rPr>
          <w:noProof/>
          <w:color w:val="2B579A"/>
          <w:shd w:val="clear" w:color="auto" w:fill="E6E6E6"/>
        </w:rPr>
        <w:fldChar w:fldCharType="end"/>
      </w:r>
      <w:r>
        <w:rPr>
          <w:noProof/>
        </w:rPr>
        <w:t xml:space="preserve">. Besides reducing premature mortality, improving air quality also reduces morbidity </w:t>
      </w:r>
      <w:r w:rsidR="00594CE3">
        <w:rPr>
          <w:noProof/>
        </w:rPr>
        <w:t xml:space="preserve">(impact </w:t>
      </w:r>
      <w:r>
        <w:rPr>
          <w:noProof/>
        </w:rPr>
        <w:t>of diseases</w:t>
      </w:r>
      <w:r w:rsidR="00594CE3">
        <w:rPr>
          <w:noProof/>
        </w:rPr>
        <w:t>)</w:t>
      </w:r>
      <w:r>
        <w:rPr>
          <w:noProof/>
        </w:rPr>
        <w:t xml:space="preserve"> caused by air pollution (e.g., </w:t>
      </w:r>
      <w:r w:rsidR="00435AC9">
        <w:rPr>
          <w:noProof/>
        </w:rPr>
        <w:t>ast</w:t>
      </w:r>
      <w:r w:rsidR="006A3DAE">
        <w:rPr>
          <w:noProof/>
        </w:rPr>
        <w:t>h</w:t>
      </w:r>
      <w:r w:rsidR="00435AC9">
        <w:rPr>
          <w:noProof/>
        </w:rPr>
        <w:t>ma</w:t>
      </w:r>
      <w:r>
        <w:rPr>
          <w:noProof/>
        </w:rPr>
        <w:t xml:space="preserve">). Consequently, improved air quality can reduce healthcare costs (due to avoided hospital admissions, lower need for medication, etc.), as well as trigger economic growth (by reducing employee absenteeism and increasing work productivity). Furthermore, improved air quality increases crop yields and reduces damage to materials and sensitive ecosystems. </w:t>
      </w:r>
      <w:r w:rsidR="00CB00AD">
        <w:rPr>
          <w:noProof/>
        </w:rPr>
        <w:t>T</w:t>
      </w:r>
      <w:r>
        <w:rPr>
          <w:noProof/>
        </w:rPr>
        <w:t>hese co-benefits have not been quantified</w:t>
      </w:r>
      <w:r w:rsidR="002A2A85">
        <w:rPr>
          <w:noProof/>
        </w:rPr>
        <w:t xml:space="preserve"> in this impact assessment</w:t>
      </w:r>
      <w:r w:rsidR="00CB00AD">
        <w:rPr>
          <w:noProof/>
        </w:rPr>
        <w:t>. However</w:t>
      </w:r>
      <w:r>
        <w:rPr>
          <w:noProof/>
        </w:rPr>
        <w:t xml:space="preserve">, regarding the last point, </w:t>
      </w:r>
      <w:r w:rsidRPr="0009775F">
        <w:rPr>
          <w:noProof/>
          <w:color w:val="2B579A"/>
          <w:shd w:val="clear" w:color="auto" w:fill="E6E6E6"/>
        </w:rPr>
        <w:fldChar w:fldCharType="begin"/>
      </w:r>
      <w:r w:rsidRPr="0009775F">
        <w:rPr>
          <w:noProof/>
        </w:rPr>
        <w:instrText xml:space="preserve"> REF _Ref140850104 \h </w:instrText>
      </w:r>
      <w:r w:rsidR="00E725F6" w:rsidRPr="0009775F">
        <w:rPr>
          <w:noProof/>
          <w:color w:val="2B579A"/>
          <w:shd w:val="clear" w:color="auto" w:fill="E6E6E6"/>
        </w:rPr>
        <w:instrText xml:space="preserve"> \* MERGEFORMAT </w:instrText>
      </w:r>
      <w:r w:rsidRPr="0009775F">
        <w:rPr>
          <w:noProof/>
          <w:color w:val="2B579A"/>
          <w:shd w:val="clear" w:color="auto" w:fill="E6E6E6"/>
        </w:rPr>
      </w:r>
      <w:r w:rsidRPr="0009775F">
        <w:rPr>
          <w:noProof/>
          <w:color w:val="2B579A"/>
          <w:shd w:val="clear" w:color="auto" w:fill="E6E6E6"/>
        </w:rPr>
        <w:fldChar w:fldCharType="separate"/>
      </w:r>
      <w:r w:rsidR="00170A3C">
        <w:rPr>
          <w:noProof/>
        </w:rPr>
        <w:t>Table 20</w:t>
      </w:r>
      <w:r w:rsidRPr="0009775F">
        <w:rPr>
          <w:noProof/>
          <w:color w:val="2B579A"/>
          <w:shd w:val="clear" w:color="auto" w:fill="E6E6E6"/>
        </w:rPr>
        <w:fldChar w:fldCharType="end"/>
      </w:r>
      <w:r>
        <w:rPr>
          <w:noProof/>
        </w:rPr>
        <w:t xml:space="preserve"> shows the total ecosystem area in the EU where acidification and eutrophication exceed critical loads harmful to these ecosystems. The total area where acidification exceeds critical loads decreases by around 126 000 km2 between 2015 and 2040 in the S1, S2 and S3 scenarios (which means an 80% reduction). The largest part of this reduction involves forest areas. </w:t>
      </w:r>
      <w:r w:rsidR="008C5AC2" w:rsidRPr="008C5AC2">
        <w:rPr>
          <w:noProof/>
        </w:rPr>
        <w:t xml:space="preserve">Note that acidification is caused by atmospheric deposition of SO2, NOx and NH3. </w:t>
      </w:r>
      <w:r>
        <w:rPr>
          <w:noProof/>
        </w:rPr>
        <w:t xml:space="preserve">In addition, the total ecosystem area where eutrophication exceeds critical loads decreases by 272 000 to 274 000 km2 between 2015 and 2040 in these scenarios (23.5% reduction). </w:t>
      </w:r>
      <w:r w:rsidR="00137BB4" w:rsidRPr="00137BB4">
        <w:rPr>
          <w:noProof/>
        </w:rPr>
        <w:t xml:space="preserve">The reduction in eutrophication effects is lower than the reduction in acidification effects </w:t>
      </w:r>
      <w:r w:rsidR="00365B9D">
        <w:rPr>
          <w:noProof/>
        </w:rPr>
        <w:t>(in relative terms)</w:t>
      </w:r>
      <w:r w:rsidR="008C5AC2" w:rsidRPr="008C5AC2">
        <w:rPr>
          <w:noProof/>
        </w:rPr>
        <w:t xml:space="preserve"> </w:t>
      </w:r>
      <w:r w:rsidR="00137BB4" w:rsidRPr="00137BB4">
        <w:rPr>
          <w:noProof/>
        </w:rPr>
        <w:t xml:space="preserve">because the primary source of eutrophication is </w:t>
      </w:r>
      <w:r w:rsidR="008C5AC2" w:rsidRPr="008C5AC2">
        <w:rPr>
          <w:noProof/>
        </w:rPr>
        <w:t>NH3</w:t>
      </w:r>
      <w:r w:rsidR="00137BB4" w:rsidRPr="00137BB4">
        <w:rPr>
          <w:noProof/>
        </w:rPr>
        <w:t xml:space="preserve"> leakage</w:t>
      </w:r>
      <w:r w:rsidR="005B2C52">
        <w:rPr>
          <w:noProof/>
        </w:rPr>
        <w:t xml:space="preserve"> </w:t>
      </w:r>
      <w:r w:rsidR="005B2C52" w:rsidRPr="008C5AC2">
        <w:rPr>
          <w:noProof/>
        </w:rPr>
        <w:t xml:space="preserve">from </w:t>
      </w:r>
      <w:r w:rsidR="008C5AC2" w:rsidRPr="008C5AC2">
        <w:rPr>
          <w:noProof/>
        </w:rPr>
        <w:t>agricultural activities</w:t>
      </w:r>
      <w:r w:rsidR="00365B9D">
        <w:rPr>
          <w:noProof/>
        </w:rPr>
        <w:t xml:space="preserve">, and </w:t>
      </w:r>
      <w:r w:rsidR="00137BB4" w:rsidRPr="00137BB4">
        <w:rPr>
          <w:noProof/>
        </w:rPr>
        <w:t xml:space="preserve">emissions </w:t>
      </w:r>
      <w:r w:rsidR="00030BE8">
        <w:rPr>
          <w:noProof/>
        </w:rPr>
        <w:t xml:space="preserve">of this air pollutant </w:t>
      </w:r>
      <w:r w:rsidR="00365B9D">
        <w:rPr>
          <w:noProof/>
        </w:rPr>
        <w:t xml:space="preserve">do not decrease as much as SO2 and NOx emissions, which </w:t>
      </w:r>
      <w:r w:rsidR="00030BE8">
        <w:rPr>
          <w:noProof/>
        </w:rPr>
        <w:t xml:space="preserve">are an important </w:t>
      </w:r>
      <w:r w:rsidR="00365B9D">
        <w:rPr>
          <w:noProof/>
        </w:rPr>
        <w:t>cause of acidification</w:t>
      </w:r>
      <w:r w:rsidR="008C5AC2" w:rsidRPr="008C5AC2">
        <w:rPr>
          <w:noProof/>
        </w:rPr>
        <w:t>.</w:t>
      </w:r>
      <w:r w:rsidR="00137BB4">
        <w:rPr>
          <w:noProof/>
        </w:rPr>
        <w:t xml:space="preserve"> </w:t>
      </w:r>
      <w:r>
        <w:rPr>
          <w:noProof/>
        </w:rPr>
        <w:t xml:space="preserve">In </w:t>
      </w:r>
      <w:r w:rsidR="00C459D4">
        <w:rPr>
          <w:noProof/>
        </w:rPr>
        <w:t>LIFE</w:t>
      </w:r>
      <w:r>
        <w:rPr>
          <w:noProof/>
        </w:rPr>
        <w:t xml:space="preserve">, the ecosystem area in the EU affected by severe acidification and/or eutrophication </w:t>
      </w:r>
      <w:r w:rsidRPr="008C5AC2">
        <w:rPr>
          <w:noProof/>
        </w:rPr>
        <w:t>decreases more</w:t>
      </w:r>
      <w:r>
        <w:rPr>
          <w:noProof/>
        </w:rPr>
        <w:t xml:space="preserve"> than in the other scenarios</w:t>
      </w:r>
      <w:r w:rsidR="008C5AC2" w:rsidRPr="008C5AC2">
        <w:rPr>
          <w:noProof/>
        </w:rPr>
        <w:t xml:space="preserve"> because of the lower NOx and NH3 emissions from agricultural activities</w:t>
      </w:r>
      <w:r>
        <w:rPr>
          <w:noProof/>
        </w:rPr>
        <w:t xml:space="preserve">: the total area where acidification and eutrophication exceed critical loads decreases by </w:t>
      </w:r>
      <w:r w:rsidR="008C5AC2" w:rsidRPr="008C5AC2">
        <w:rPr>
          <w:noProof/>
        </w:rPr>
        <w:t>88% (around 7 percentage points more than in the other scenarios) and 36% (around 13 pp more than in the other scenarios),</w:t>
      </w:r>
      <w:r>
        <w:rPr>
          <w:noProof/>
        </w:rPr>
        <w:t xml:space="preserve"> respectively, between 2015 and 2040.</w:t>
      </w:r>
    </w:p>
    <w:p w14:paraId="221AAFFC" w14:textId="51123DEE" w:rsidR="00A70943" w:rsidRDefault="00A70943" w:rsidP="00A70943">
      <w:pPr>
        <w:pStyle w:val="Caption"/>
        <w:rPr>
          <w:noProof/>
        </w:rPr>
      </w:pPr>
      <w:bookmarkStart w:id="550" w:name="_Ref140850104"/>
      <w:bookmarkStart w:id="551" w:name="_Ref145694797"/>
      <w:bookmarkStart w:id="552" w:name="_Toc157679903"/>
      <w:r>
        <w:rPr>
          <w:noProof/>
        </w:rPr>
        <w:t xml:space="preserve">Table </w:t>
      </w:r>
      <w:r>
        <w:rPr>
          <w:noProof/>
          <w:color w:val="2B579A"/>
          <w:shd w:val="clear" w:color="auto" w:fill="E6E6E6"/>
        </w:rPr>
        <w:fldChar w:fldCharType="begin"/>
      </w:r>
      <w:r>
        <w:rPr>
          <w:noProof/>
        </w:rPr>
        <w:instrText>SEQ Table \* ARABIC</w:instrText>
      </w:r>
      <w:r>
        <w:rPr>
          <w:noProof/>
          <w:color w:val="2B579A"/>
          <w:shd w:val="clear" w:color="auto" w:fill="E6E6E6"/>
        </w:rPr>
        <w:fldChar w:fldCharType="separate"/>
      </w:r>
      <w:r w:rsidR="00170A3C">
        <w:rPr>
          <w:noProof/>
        </w:rPr>
        <w:t>20</w:t>
      </w:r>
      <w:r>
        <w:rPr>
          <w:noProof/>
          <w:color w:val="2B579A"/>
          <w:shd w:val="clear" w:color="auto" w:fill="E6E6E6"/>
        </w:rPr>
        <w:fldChar w:fldCharType="end"/>
      </w:r>
      <w:bookmarkEnd w:id="550"/>
      <w:bookmarkEnd w:id="551"/>
      <w:r>
        <w:rPr>
          <w:noProof/>
        </w:rPr>
        <w:t>: Area affected by acidification and eutrophication per scenario</w:t>
      </w:r>
      <w:bookmarkEnd w:id="552"/>
      <w:r>
        <w:rPr>
          <w:noProof/>
        </w:rPr>
        <w:t xml:space="preserve"> </w:t>
      </w:r>
    </w:p>
    <w:tbl>
      <w:tblPr>
        <w:tblW w:w="8755" w:type="dxa"/>
        <w:tblLayout w:type="fixed"/>
        <w:tblLook w:val="04A0" w:firstRow="1" w:lastRow="0" w:firstColumn="1" w:lastColumn="0" w:noHBand="0" w:noVBand="1"/>
      </w:tblPr>
      <w:tblGrid>
        <w:gridCol w:w="1951"/>
        <w:gridCol w:w="851"/>
        <w:gridCol w:w="1488"/>
        <w:gridCol w:w="1488"/>
        <w:gridCol w:w="1488"/>
        <w:gridCol w:w="1489"/>
      </w:tblGrid>
      <w:tr w:rsidR="00A70943" w:rsidRPr="00BB1227" w14:paraId="65CDD4CA" w14:textId="77777777" w:rsidTr="00FB20B1">
        <w:trPr>
          <w:trHeight w:val="211"/>
        </w:trPr>
        <w:tc>
          <w:tcPr>
            <w:tcW w:w="1951" w:type="dxa"/>
            <w:tcBorders>
              <w:right w:val="single" w:sz="12" w:space="0" w:color="auto"/>
            </w:tcBorders>
            <w:noWrap/>
            <w:vAlign w:val="center"/>
            <w:hideMark/>
          </w:tcPr>
          <w:p w14:paraId="74DE1DCD" w14:textId="77777777" w:rsidR="00A70943" w:rsidRPr="00BB1227" w:rsidRDefault="00A70943" w:rsidP="00FB20B1">
            <w:pPr>
              <w:spacing w:after="0"/>
              <w:jc w:val="left"/>
              <w:rPr>
                <w:rFonts w:ascii="EC Square Sans Cond Pro" w:hAnsi="EC Square Sans Cond Pro"/>
                <w:noProof/>
                <w:sz w:val="18"/>
                <w:szCs w:val="18"/>
                <w:lang w:val="en-IE"/>
              </w:rPr>
            </w:pPr>
          </w:p>
        </w:tc>
        <w:tc>
          <w:tcPr>
            <w:tcW w:w="851" w:type="dxa"/>
            <w:tcBorders>
              <w:left w:val="single" w:sz="12" w:space="0" w:color="auto"/>
              <w:right w:val="single" w:sz="12" w:space="0" w:color="auto"/>
            </w:tcBorders>
            <w:noWrap/>
            <w:vAlign w:val="center"/>
            <w:hideMark/>
          </w:tcPr>
          <w:p w14:paraId="082A37B7" w14:textId="77777777" w:rsidR="00A70943" w:rsidRPr="00BB1227" w:rsidRDefault="00A70943" w:rsidP="00FB20B1">
            <w:pPr>
              <w:spacing w:after="0"/>
              <w:jc w:val="center"/>
              <w:rPr>
                <w:rFonts w:ascii="EC Square Sans Cond Pro" w:hAnsi="EC Square Sans Cond Pro" w:cs="Avenir Next LT Pro"/>
                <w:b/>
                <w:noProof/>
                <w:color w:val="000000"/>
                <w:sz w:val="18"/>
                <w:szCs w:val="18"/>
                <w:lang w:val="en-IE"/>
              </w:rPr>
            </w:pPr>
            <w:r w:rsidRPr="00BB1227">
              <w:rPr>
                <w:rFonts w:ascii="EC Square Sans Cond Pro" w:hAnsi="EC Square Sans Cond Pro" w:cs="Avenir Next LT Pro"/>
                <w:b/>
                <w:noProof/>
                <w:color w:val="000000"/>
                <w:sz w:val="18"/>
                <w:szCs w:val="18"/>
                <w:lang w:val="en-IE"/>
              </w:rPr>
              <w:t>2015</w:t>
            </w:r>
          </w:p>
        </w:tc>
        <w:tc>
          <w:tcPr>
            <w:tcW w:w="2976" w:type="dxa"/>
            <w:gridSpan w:val="2"/>
            <w:tcBorders>
              <w:left w:val="single" w:sz="12" w:space="0" w:color="auto"/>
            </w:tcBorders>
            <w:vAlign w:val="center"/>
          </w:tcPr>
          <w:p w14:paraId="56A80CDE" w14:textId="77777777" w:rsidR="00A70943" w:rsidRPr="00BB1227" w:rsidRDefault="00A70943" w:rsidP="00FB20B1">
            <w:pPr>
              <w:spacing w:after="0"/>
              <w:jc w:val="center"/>
              <w:rPr>
                <w:rFonts w:ascii="EC Square Sans Cond Pro" w:hAnsi="EC Square Sans Cond Pro" w:cs="Avenir Next LT Pro"/>
                <w:b/>
                <w:smallCaps/>
                <w:noProof/>
                <w:color w:val="000000"/>
                <w:sz w:val="18"/>
                <w:szCs w:val="18"/>
                <w:lang w:val="en-IE"/>
              </w:rPr>
            </w:pPr>
            <w:r w:rsidRPr="00BB1227">
              <w:rPr>
                <w:rFonts w:ascii="EC Square Sans Cond Pro" w:hAnsi="EC Square Sans Cond Pro" w:cs="Avenir Next LT Pro"/>
                <w:b/>
                <w:smallCaps/>
                <w:noProof/>
                <w:color w:val="000000"/>
                <w:sz w:val="18"/>
                <w:szCs w:val="18"/>
                <w:lang w:val="en-IE"/>
              </w:rPr>
              <w:t>2040</w:t>
            </w:r>
          </w:p>
        </w:tc>
        <w:tc>
          <w:tcPr>
            <w:tcW w:w="2977" w:type="dxa"/>
            <w:gridSpan w:val="2"/>
            <w:tcBorders>
              <w:left w:val="single" w:sz="12" w:space="0" w:color="auto"/>
            </w:tcBorders>
            <w:vAlign w:val="center"/>
          </w:tcPr>
          <w:p w14:paraId="080292FE" w14:textId="77777777" w:rsidR="00A70943" w:rsidRPr="00BB1227" w:rsidRDefault="00A70943" w:rsidP="00FB20B1">
            <w:pPr>
              <w:spacing w:after="0"/>
              <w:jc w:val="center"/>
              <w:rPr>
                <w:rFonts w:ascii="EC Square Sans Cond Pro" w:hAnsi="EC Square Sans Cond Pro" w:cs="Avenir Next LT Pro"/>
                <w:b/>
                <w:noProof/>
                <w:color w:val="000000"/>
                <w:sz w:val="18"/>
                <w:szCs w:val="18"/>
                <w:lang w:val="en-IE"/>
              </w:rPr>
            </w:pPr>
            <w:r w:rsidRPr="00BB1227">
              <w:rPr>
                <w:rFonts w:ascii="EC Square Sans Cond Pro" w:hAnsi="EC Square Sans Cond Pro" w:cs="Avenir Next LT Pro"/>
                <w:b/>
                <w:noProof/>
                <w:color w:val="000000"/>
                <w:sz w:val="18"/>
                <w:szCs w:val="18"/>
                <w:lang w:val="en-IE"/>
              </w:rPr>
              <w:t>Change 2015-2040</w:t>
            </w:r>
          </w:p>
        </w:tc>
      </w:tr>
      <w:tr w:rsidR="00A70943" w:rsidRPr="00BB1227" w14:paraId="6CAA6D68" w14:textId="77777777" w:rsidTr="00FB20B1">
        <w:trPr>
          <w:trHeight w:val="210"/>
        </w:trPr>
        <w:tc>
          <w:tcPr>
            <w:tcW w:w="1951" w:type="dxa"/>
            <w:tcBorders>
              <w:bottom w:val="single" w:sz="12" w:space="0" w:color="auto"/>
              <w:right w:val="single" w:sz="12" w:space="0" w:color="auto"/>
            </w:tcBorders>
            <w:noWrap/>
            <w:vAlign w:val="center"/>
          </w:tcPr>
          <w:p w14:paraId="24694444" w14:textId="77777777" w:rsidR="00A70943" w:rsidRPr="00BB1227" w:rsidRDefault="00A70943" w:rsidP="00FB20B1">
            <w:pPr>
              <w:spacing w:after="0"/>
              <w:jc w:val="left"/>
              <w:rPr>
                <w:rFonts w:ascii="EC Square Sans Cond Pro" w:hAnsi="EC Square Sans Cond Pro"/>
                <w:noProof/>
                <w:sz w:val="18"/>
                <w:szCs w:val="18"/>
                <w:lang w:val="en-IE"/>
              </w:rPr>
            </w:pPr>
          </w:p>
        </w:tc>
        <w:tc>
          <w:tcPr>
            <w:tcW w:w="851" w:type="dxa"/>
            <w:tcBorders>
              <w:left w:val="single" w:sz="12" w:space="0" w:color="auto"/>
              <w:bottom w:val="single" w:sz="12" w:space="0" w:color="auto"/>
              <w:right w:val="single" w:sz="12" w:space="0" w:color="auto"/>
            </w:tcBorders>
            <w:noWrap/>
            <w:vAlign w:val="center"/>
          </w:tcPr>
          <w:p w14:paraId="756CBA58" w14:textId="77777777" w:rsidR="00A70943" w:rsidRPr="00BB1227" w:rsidRDefault="00A70943" w:rsidP="00FB20B1">
            <w:pPr>
              <w:spacing w:after="0"/>
              <w:jc w:val="center"/>
              <w:rPr>
                <w:rFonts w:ascii="EC Square Sans Cond Pro" w:hAnsi="EC Square Sans Cond Pro" w:cs="Avenir Next LT Pro"/>
                <w:b/>
                <w:smallCaps/>
                <w:noProof/>
                <w:color w:val="000000"/>
                <w:sz w:val="18"/>
                <w:szCs w:val="18"/>
                <w:lang w:val="en-IE"/>
              </w:rPr>
            </w:pPr>
          </w:p>
        </w:tc>
        <w:tc>
          <w:tcPr>
            <w:tcW w:w="1488" w:type="dxa"/>
            <w:tcBorders>
              <w:left w:val="single" w:sz="12" w:space="0" w:color="auto"/>
              <w:bottom w:val="single" w:sz="12" w:space="0" w:color="auto"/>
            </w:tcBorders>
            <w:vAlign w:val="center"/>
          </w:tcPr>
          <w:p w14:paraId="6735B368" w14:textId="77777777" w:rsidR="00A70943" w:rsidRPr="00BB1227" w:rsidRDefault="00A70943" w:rsidP="00FB20B1">
            <w:pPr>
              <w:spacing w:after="0"/>
              <w:jc w:val="center"/>
              <w:rPr>
                <w:rFonts w:ascii="EC Square Sans Cond Pro" w:hAnsi="EC Square Sans Cond Pro" w:cs="Avenir Next LT Pro"/>
                <w:b/>
                <w:smallCaps/>
                <w:noProof/>
                <w:color w:val="000000"/>
                <w:sz w:val="18"/>
                <w:szCs w:val="18"/>
                <w:lang w:val="en-IE"/>
              </w:rPr>
            </w:pPr>
            <w:r w:rsidRPr="00BB1227">
              <w:rPr>
                <w:rFonts w:ascii="EC Square Sans Cond Pro" w:hAnsi="EC Square Sans Cond Pro" w:cs="Avenir Next LT Pro"/>
                <w:b/>
                <w:noProof/>
                <w:color w:val="000000"/>
                <w:sz w:val="18"/>
                <w:szCs w:val="18"/>
                <w:lang w:val="en-IE"/>
              </w:rPr>
              <w:t>S1, S2 &amp; S3</w:t>
            </w:r>
          </w:p>
        </w:tc>
        <w:tc>
          <w:tcPr>
            <w:tcW w:w="1488" w:type="dxa"/>
            <w:tcBorders>
              <w:bottom w:val="single" w:sz="12" w:space="0" w:color="auto"/>
              <w:right w:val="single" w:sz="12" w:space="0" w:color="auto"/>
            </w:tcBorders>
          </w:tcPr>
          <w:p w14:paraId="12309D49" w14:textId="77777777" w:rsidR="00A70943" w:rsidRPr="00BB1227" w:rsidRDefault="00A70943" w:rsidP="00FB20B1">
            <w:pPr>
              <w:spacing w:after="0"/>
              <w:jc w:val="center"/>
              <w:rPr>
                <w:rFonts w:ascii="EC Square Sans Cond Pro" w:hAnsi="EC Square Sans Cond Pro" w:cs="Avenir Next LT Pro"/>
                <w:b/>
                <w:noProof/>
                <w:color w:val="000000"/>
                <w:sz w:val="18"/>
                <w:szCs w:val="18"/>
                <w:lang w:val="en-IE"/>
              </w:rPr>
            </w:pPr>
            <w:r w:rsidRPr="00BB1227">
              <w:rPr>
                <w:rFonts w:ascii="EC Square Sans Cond Pro" w:hAnsi="EC Square Sans Cond Pro" w:cs="Avenir Next LT Pro"/>
                <w:b/>
                <w:noProof/>
                <w:color w:val="000000"/>
                <w:sz w:val="18"/>
                <w:szCs w:val="18"/>
                <w:lang w:val="en-IE"/>
              </w:rPr>
              <w:t>LIFE</w:t>
            </w:r>
          </w:p>
        </w:tc>
        <w:tc>
          <w:tcPr>
            <w:tcW w:w="1488" w:type="dxa"/>
            <w:tcBorders>
              <w:left w:val="single" w:sz="12" w:space="0" w:color="auto"/>
              <w:bottom w:val="single" w:sz="12" w:space="0" w:color="auto"/>
            </w:tcBorders>
            <w:vAlign w:val="center"/>
          </w:tcPr>
          <w:p w14:paraId="6E0EC0B3" w14:textId="39C0488B" w:rsidR="00A70943" w:rsidRPr="00BB1227" w:rsidRDefault="003E13AB" w:rsidP="00FB20B1">
            <w:pPr>
              <w:spacing w:after="0"/>
              <w:jc w:val="center"/>
              <w:rPr>
                <w:rFonts w:ascii="EC Square Sans Cond Pro" w:hAnsi="EC Square Sans Cond Pro" w:cs="Avenir Next LT Pro"/>
                <w:b/>
                <w:noProof/>
                <w:color w:val="000000"/>
                <w:sz w:val="18"/>
                <w:szCs w:val="18"/>
                <w:lang w:val="en-IE"/>
              </w:rPr>
            </w:pPr>
            <w:r w:rsidRPr="00BB1227">
              <w:rPr>
                <w:rFonts w:ascii="EC Square Sans Cond Pro" w:hAnsi="EC Square Sans Cond Pro" w:cs="Avenir Next LT Pro"/>
                <w:b/>
                <w:noProof/>
                <w:color w:val="000000"/>
                <w:sz w:val="18"/>
                <w:szCs w:val="18"/>
                <w:lang w:val="en-IE"/>
              </w:rPr>
              <w:t>S1, S2 &amp; S3</w:t>
            </w:r>
          </w:p>
        </w:tc>
        <w:tc>
          <w:tcPr>
            <w:tcW w:w="1489" w:type="dxa"/>
            <w:tcBorders>
              <w:bottom w:val="single" w:sz="12" w:space="0" w:color="auto"/>
            </w:tcBorders>
          </w:tcPr>
          <w:p w14:paraId="4703824C" w14:textId="77777777" w:rsidR="00A70943" w:rsidRPr="00BB1227" w:rsidRDefault="00A70943" w:rsidP="00FB20B1">
            <w:pPr>
              <w:spacing w:after="0"/>
              <w:jc w:val="center"/>
              <w:rPr>
                <w:rFonts w:ascii="EC Square Sans Cond Pro" w:hAnsi="EC Square Sans Cond Pro" w:cs="Avenir Next LT Pro"/>
                <w:b/>
                <w:noProof/>
                <w:color w:val="000000"/>
                <w:sz w:val="18"/>
                <w:szCs w:val="18"/>
                <w:lang w:val="en-IE"/>
              </w:rPr>
            </w:pPr>
            <w:r w:rsidRPr="00BB1227">
              <w:rPr>
                <w:rFonts w:ascii="EC Square Sans Cond Pro" w:hAnsi="EC Square Sans Cond Pro" w:cs="Avenir Next LT Pro"/>
                <w:b/>
                <w:noProof/>
                <w:color w:val="000000"/>
                <w:sz w:val="18"/>
                <w:szCs w:val="18"/>
                <w:lang w:val="en-IE"/>
              </w:rPr>
              <w:t>LIFE</w:t>
            </w:r>
          </w:p>
        </w:tc>
      </w:tr>
      <w:tr w:rsidR="00A70943" w:rsidRPr="00BB1227" w14:paraId="4D63A2D7" w14:textId="77777777" w:rsidTr="00FB20B1">
        <w:trPr>
          <w:trHeight w:val="311"/>
        </w:trPr>
        <w:tc>
          <w:tcPr>
            <w:tcW w:w="1951" w:type="dxa"/>
            <w:tcBorders>
              <w:right w:val="single" w:sz="12" w:space="0" w:color="auto"/>
            </w:tcBorders>
            <w:noWrap/>
            <w:vAlign w:val="center"/>
            <w:hideMark/>
          </w:tcPr>
          <w:p w14:paraId="613419C7" w14:textId="474943DC" w:rsidR="00A70943" w:rsidRPr="00BB1227" w:rsidRDefault="00A70943" w:rsidP="00FB20B1">
            <w:pPr>
              <w:spacing w:after="0"/>
              <w:jc w:val="left"/>
              <w:rPr>
                <w:rFonts w:ascii="EC Square Sans Cond Pro" w:hAnsi="EC Square Sans Cond Pro" w:cs="Avenir Next LT Pro"/>
                <w:noProof/>
                <w:sz w:val="18"/>
                <w:szCs w:val="18"/>
                <w:lang w:val="en-IE"/>
              </w:rPr>
            </w:pPr>
            <w:r w:rsidRPr="00BB1227">
              <w:rPr>
                <w:rFonts w:ascii="EC Square Sans Cond Pro" w:hAnsi="EC Square Sans Cond Pro" w:cs="Avenir Next LT Pro"/>
                <w:noProof/>
                <w:sz w:val="18"/>
                <w:szCs w:val="18"/>
                <w:lang w:val="en-IE"/>
              </w:rPr>
              <w:t xml:space="preserve">Acidification </w:t>
            </w:r>
            <w:r w:rsidR="00CA6EC0">
              <w:rPr>
                <w:rFonts w:ascii="EC Square Sans Cond Pro" w:hAnsi="EC Square Sans Cond Pro" w:cs="Avenir Next LT Pro"/>
                <w:noProof/>
                <w:sz w:val="18"/>
                <w:szCs w:val="18"/>
                <w:lang w:val="en-IE"/>
              </w:rPr>
              <w:t>(</w:t>
            </w:r>
            <w:r>
              <w:rPr>
                <w:rFonts w:ascii="EC Square Sans Cond Pro" w:hAnsi="EC Square Sans Cond Pro" w:cs="Avenir Next LT Pro"/>
                <w:noProof/>
                <w:sz w:val="18"/>
                <w:szCs w:val="18"/>
                <w:lang w:val="en-IE"/>
              </w:rPr>
              <w:t>1000 km2</w:t>
            </w:r>
            <w:r w:rsidR="00CA6EC0">
              <w:rPr>
                <w:rFonts w:ascii="EC Square Sans Cond Pro" w:hAnsi="EC Square Sans Cond Pro" w:cs="Avenir Next LT Pro"/>
                <w:noProof/>
                <w:sz w:val="18"/>
                <w:szCs w:val="18"/>
                <w:lang w:val="en-IE"/>
              </w:rPr>
              <w:t>)</w:t>
            </w:r>
          </w:p>
        </w:tc>
        <w:tc>
          <w:tcPr>
            <w:tcW w:w="851" w:type="dxa"/>
            <w:tcBorders>
              <w:left w:val="single" w:sz="12" w:space="0" w:color="auto"/>
              <w:right w:val="single" w:sz="12" w:space="0" w:color="auto"/>
            </w:tcBorders>
            <w:noWrap/>
            <w:vAlign w:val="center"/>
          </w:tcPr>
          <w:p w14:paraId="26CDCFD2" w14:textId="0597E4CF" w:rsidR="00A70943" w:rsidRPr="00BB1227" w:rsidRDefault="00A70943" w:rsidP="00FB20B1">
            <w:pPr>
              <w:spacing w:after="0"/>
              <w:jc w:val="center"/>
              <w:rPr>
                <w:rFonts w:ascii="EC Square Sans Cond Pro" w:hAnsi="EC Square Sans Cond Pro" w:cs="Avenir Next LT Pro"/>
                <w:noProof/>
                <w:color w:val="FF0000"/>
                <w:sz w:val="18"/>
                <w:szCs w:val="18"/>
                <w:lang w:val="en-IE"/>
              </w:rPr>
            </w:pPr>
            <w:r w:rsidRPr="00BB1227">
              <w:rPr>
                <w:rFonts w:ascii="EC Square Sans Cond Pro" w:hAnsi="EC Square Sans Cond Pro" w:cs="Calibri"/>
                <w:noProof/>
                <w:color w:val="000000"/>
                <w:sz w:val="18"/>
                <w:szCs w:val="18"/>
                <w:lang w:val="en-IE"/>
              </w:rPr>
              <w:t>157</w:t>
            </w:r>
          </w:p>
        </w:tc>
        <w:tc>
          <w:tcPr>
            <w:tcW w:w="1488" w:type="dxa"/>
            <w:tcBorders>
              <w:left w:val="single" w:sz="12" w:space="0" w:color="auto"/>
            </w:tcBorders>
            <w:noWrap/>
            <w:vAlign w:val="center"/>
          </w:tcPr>
          <w:p w14:paraId="40AA6DAD" w14:textId="77777777" w:rsidR="00A70943" w:rsidRPr="00BB1227" w:rsidRDefault="00A70943" w:rsidP="00FB20B1">
            <w:pPr>
              <w:spacing w:after="0"/>
              <w:jc w:val="center"/>
              <w:rPr>
                <w:rFonts w:ascii="EC Square Sans Cond Pro" w:hAnsi="EC Square Sans Cond Pro" w:cs="Avenir Next LT Pro"/>
                <w:noProof/>
                <w:color w:val="FF0000"/>
                <w:sz w:val="18"/>
                <w:szCs w:val="18"/>
                <w:lang w:val="en-IE"/>
              </w:rPr>
            </w:pPr>
            <w:r w:rsidRPr="00BB1227">
              <w:rPr>
                <w:rFonts w:ascii="EC Square Sans Cond Pro" w:hAnsi="EC Square Sans Cond Pro" w:cs="Calibri"/>
                <w:noProof/>
                <w:color w:val="000000"/>
                <w:sz w:val="18"/>
                <w:szCs w:val="18"/>
                <w:lang w:val="en-IE"/>
              </w:rPr>
              <w:t>30.6 to 30.7</w:t>
            </w:r>
          </w:p>
        </w:tc>
        <w:tc>
          <w:tcPr>
            <w:tcW w:w="1488" w:type="dxa"/>
            <w:tcBorders>
              <w:right w:val="single" w:sz="12" w:space="0" w:color="auto"/>
            </w:tcBorders>
            <w:vAlign w:val="center"/>
          </w:tcPr>
          <w:p w14:paraId="653E5D23" w14:textId="3738A388" w:rsidR="00A70943" w:rsidRPr="00BB1227" w:rsidRDefault="005B2C80" w:rsidP="00FB20B1">
            <w:pPr>
              <w:spacing w:after="0"/>
              <w:jc w:val="center"/>
              <w:rPr>
                <w:rFonts w:ascii="EC Square Sans Cond Pro" w:hAnsi="EC Square Sans Cond Pro" w:cs="Calibri"/>
                <w:noProof/>
                <w:sz w:val="18"/>
                <w:szCs w:val="18"/>
                <w:lang w:val="en-IE"/>
              </w:rPr>
            </w:pPr>
            <w:r w:rsidRPr="005B2C80">
              <w:rPr>
                <w:rFonts w:ascii="EC Square Sans Cond Pro" w:hAnsi="EC Square Sans Cond Pro" w:cs="Avenir Next LT Pro"/>
                <w:i/>
                <w:iCs/>
                <w:noProof/>
                <w:sz w:val="18"/>
                <w:szCs w:val="18"/>
                <w:lang w:val="en-IE"/>
              </w:rPr>
              <w:t>19.3</w:t>
            </w:r>
          </w:p>
        </w:tc>
        <w:tc>
          <w:tcPr>
            <w:tcW w:w="1488" w:type="dxa"/>
            <w:tcBorders>
              <w:left w:val="single" w:sz="12" w:space="0" w:color="auto"/>
            </w:tcBorders>
            <w:vAlign w:val="center"/>
          </w:tcPr>
          <w:p w14:paraId="2487F902" w14:textId="10F50311" w:rsidR="00A70943" w:rsidRPr="00BB1227" w:rsidRDefault="00A70943" w:rsidP="00FB20B1">
            <w:pPr>
              <w:spacing w:after="0"/>
              <w:jc w:val="center"/>
              <w:rPr>
                <w:rFonts w:ascii="EC Square Sans Cond Pro" w:hAnsi="EC Square Sans Cond Pro" w:cs="Calibri"/>
                <w:noProof/>
                <w:sz w:val="18"/>
                <w:szCs w:val="18"/>
                <w:lang w:val="en-IE"/>
              </w:rPr>
            </w:pPr>
            <w:r w:rsidRPr="00BB1227">
              <w:rPr>
                <w:rFonts w:ascii="EC Square Sans Cond Pro" w:hAnsi="EC Square Sans Cond Pro" w:cs="Calibri"/>
                <w:noProof/>
                <w:sz w:val="18"/>
                <w:szCs w:val="18"/>
                <w:lang w:val="en-IE"/>
              </w:rPr>
              <w:t>-126</w:t>
            </w:r>
          </w:p>
          <w:p w14:paraId="0F688DC8" w14:textId="77777777" w:rsidR="00A70943" w:rsidRPr="005B2C80" w:rsidRDefault="00A70943" w:rsidP="00FB20B1">
            <w:pPr>
              <w:spacing w:after="0"/>
              <w:jc w:val="center"/>
              <w:rPr>
                <w:rFonts w:ascii="EC Square Sans Cond Pro" w:hAnsi="EC Square Sans Cond Pro" w:cs="Avenir Next LT Pro"/>
                <w:noProof/>
                <w:sz w:val="18"/>
                <w:szCs w:val="18"/>
                <w:lang w:val="en-IE"/>
              </w:rPr>
            </w:pPr>
            <w:r w:rsidRPr="00BB1227">
              <w:rPr>
                <w:rFonts w:ascii="EC Square Sans Cond Pro" w:hAnsi="EC Square Sans Cond Pro" w:cs="Calibri"/>
                <w:noProof/>
                <w:sz w:val="18"/>
                <w:szCs w:val="18"/>
                <w:lang w:val="en-IE"/>
              </w:rPr>
              <w:t>(-80.4%)</w:t>
            </w:r>
          </w:p>
        </w:tc>
        <w:tc>
          <w:tcPr>
            <w:tcW w:w="1489" w:type="dxa"/>
            <w:vAlign w:val="center"/>
          </w:tcPr>
          <w:p w14:paraId="54D88496" w14:textId="7F1F6858" w:rsidR="005B2C80" w:rsidRPr="005B2C80" w:rsidRDefault="005B2C80" w:rsidP="005B2C80">
            <w:pPr>
              <w:spacing w:after="0"/>
              <w:jc w:val="center"/>
              <w:rPr>
                <w:rFonts w:ascii="EC Square Sans Cond Pro" w:hAnsi="EC Square Sans Cond Pro" w:cs="Avenir Next LT Pro"/>
                <w:i/>
                <w:iCs/>
                <w:noProof/>
                <w:sz w:val="18"/>
                <w:szCs w:val="18"/>
                <w:lang w:val="en-IE"/>
              </w:rPr>
            </w:pPr>
            <w:r w:rsidRPr="005B2C80">
              <w:rPr>
                <w:rFonts w:ascii="EC Square Sans Cond Pro" w:hAnsi="EC Square Sans Cond Pro" w:cs="Avenir Next LT Pro"/>
                <w:i/>
                <w:iCs/>
                <w:noProof/>
                <w:sz w:val="18"/>
                <w:szCs w:val="18"/>
                <w:lang w:val="en-IE"/>
              </w:rPr>
              <w:t xml:space="preserve">-137 </w:t>
            </w:r>
          </w:p>
          <w:p w14:paraId="3913F325" w14:textId="116344D0" w:rsidR="00A70943" w:rsidRPr="00BB1227" w:rsidRDefault="005B2C80" w:rsidP="00FB20B1">
            <w:pPr>
              <w:spacing w:after="0"/>
              <w:jc w:val="center"/>
              <w:rPr>
                <w:rFonts w:ascii="EC Square Sans Cond Pro" w:hAnsi="EC Square Sans Cond Pro" w:cs="Calibri"/>
                <w:noProof/>
                <w:sz w:val="18"/>
                <w:szCs w:val="18"/>
                <w:lang w:val="en-IE"/>
              </w:rPr>
            </w:pPr>
            <w:r w:rsidRPr="005B2C80">
              <w:rPr>
                <w:rFonts w:ascii="EC Square Sans Cond Pro" w:hAnsi="EC Square Sans Cond Pro" w:cs="Avenir Next LT Pro"/>
                <w:i/>
                <w:iCs/>
                <w:noProof/>
                <w:sz w:val="18"/>
                <w:szCs w:val="18"/>
                <w:lang w:val="en-IE"/>
              </w:rPr>
              <w:t>(-87.7%)</w:t>
            </w:r>
          </w:p>
        </w:tc>
      </w:tr>
      <w:tr w:rsidR="00A70943" w:rsidRPr="00BB1227" w14:paraId="454DC934" w14:textId="77777777" w:rsidTr="00FB20B1">
        <w:trPr>
          <w:trHeight w:val="311"/>
        </w:trPr>
        <w:tc>
          <w:tcPr>
            <w:tcW w:w="1951" w:type="dxa"/>
            <w:tcBorders>
              <w:right w:val="single" w:sz="12" w:space="0" w:color="auto"/>
            </w:tcBorders>
            <w:noWrap/>
            <w:vAlign w:val="center"/>
            <w:hideMark/>
          </w:tcPr>
          <w:p w14:paraId="026AE821" w14:textId="697BAAB5" w:rsidR="00A70943" w:rsidRPr="00BB1227" w:rsidRDefault="00A70943" w:rsidP="00FB20B1">
            <w:pPr>
              <w:spacing w:after="0"/>
              <w:jc w:val="left"/>
              <w:rPr>
                <w:rFonts w:ascii="EC Square Sans Cond Pro" w:hAnsi="EC Square Sans Cond Pro" w:cs="Avenir Next LT Pro"/>
                <w:noProof/>
                <w:sz w:val="18"/>
                <w:szCs w:val="18"/>
                <w:lang w:val="en-IE"/>
              </w:rPr>
            </w:pPr>
            <w:r w:rsidRPr="00BB1227">
              <w:rPr>
                <w:rFonts w:ascii="EC Square Sans Cond Pro" w:hAnsi="EC Square Sans Cond Pro" w:cs="Avenir Next LT Pro"/>
                <w:noProof/>
                <w:sz w:val="18"/>
                <w:szCs w:val="18"/>
                <w:lang w:val="en-IE"/>
              </w:rPr>
              <w:t xml:space="preserve">Eutrophication </w:t>
            </w:r>
            <w:r w:rsidR="00CA6EC0">
              <w:rPr>
                <w:rFonts w:ascii="EC Square Sans Cond Pro" w:hAnsi="EC Square Sans Cond Pro" w:cs="Avenir Next LT Pro"/>
                <w:noProof/>
                <w:sz w:val="18"/>
                <w:szCs w:val="18"/>
                <w:lang w:val="en-IE"/>
              </w:rPr>
              <w:t>(</w:t>
            </w:r>
            <w:r>
              <w:rPr>
                <w:rFonts w:ascii="EC Square Sans Cond Pro" w:hAnsi="EC Square Sans Cond Pro" w:cs="Avenir Next LT Pro"/>
                <w:noProof/>
                <w:sz w:val="18"/>
                <w:szCs w:val="18"/>
                <w:lang w:val="en-IE"/>
              </w:rPr>
              <w:t>1000 km2</w:t>
            </w:r>
            <w:r w:rsidR="00CA6EC0">
              <w:rPr>
                <w:rFonts w:ascii="EC Square Sans Cond Pro" w:hAnsi="EC Square Sans Cond Pro" w:cs="Avenir Next LT Pro"/>
                <w:noProof/>
                <w:sz w:val="18"/>
                <w:szCs w:val="18"/>
                <w:lang w:val="en-IE"/>
              </w:rPr>
              <w:t>)</w:t>
            </w:r>
            <w:r w:rsidRPr="00BB1227">
              <w:rPr>
                <w:rFonts w:ascii="EC Square Sans Cond Pro" w:hAnsi="EC Square Sans Cond Pro" w:cs="Avenir Next LT Pro"/>
                <w:noProof/>
                <w:sz w:val="18"/>
                <w:szCs w:val="18"/>
                <w:lang w:val="en-IE"/>
              </w:rPr>
              <w:t xml:space="preserve"> </w:t>
            </w:r>
          </w:p>
        </w:tc>
        <w:tc>
          <w:tcPr>
            <w:tcW w:w="851" w:type="dxa"/>
            <w:tcBorders>
              <w:left w:val="single" w:sz="12" w:space="0" w:color="auto"/>
              <w:right w:val="single" w:sz="12" w:space="0" w:color="auto"/>
            </w:tcBorders>
            <w:noWrap/>
            <w:vAlign w:val="center"/>
          </w:tcPr>
          <w:p w14:paraId="5A57DB2E" w14:textId="1AE5FAE9" w:rsidR="00A70943" w:rsidRPr="00BB1227" w:rsidRDefault="00A70943" w:rsidP="00FB20B1">
            <w:pPr>
              <w:spacing w:after="0"/>
              <w:jc w:val="center"/>
              <w:rPr>
                <w:rFonts w:ascii="EC Square Sans Cond Pro" w:hAnsi="EC Square Sans Cond Pro" w:cs="Avenir Next LT Pro"/>
                <w:noProof/>
                <w:color w:val="FF0000"/>
                <w:sz w:val="18"/>
                <w:szCs w:val="18"/>
                <w:lang w:val="en-IE"/>
              </w:rPr>
            </w:pPr>
            <w:r w:rsidRPr="00BB1227">
              <w:rPr>
                <w:rFonts w:ascii="EC Square Sans Cond Pro" w:hAnsi="EC Square Sans Cond Pro" w:cs="Calibri"/>
                <w:noProof/>
                <w:color w:val="000000"/>
                <w:sz w:val="18"/>
                <w:szCs w:val="18"/>
                <w:lang w:val="en-IE"/>
              </w:rPr>
              <w:t>1164</w:t>
            </w:r>
          </w:p>
        </w:tc>
        <w:tc>
          <w:tcPr>
            <w:tcW w:w="1488" w:type="dxa"/>
            <w:tcBorders>
              <w:left w:val="single" w:sz="12" w:space="0" w:color="auto"/>
            </w:tcBorders>
            <w:noWrap/>
            <w:vAlign w:val="center"/>
          </w:tcPr>
          <w:p w14:paraId="77805F75" w14:textId="0DFE5B47" w:rsidR="00A70943" w:rsidRPr="00BB1227" w:rsidRDefault="00A70943" w:rsidP="00FB20B1">
            <w:pPr>
              <w:spacing w:after="0"/>
              <w:jc w:val="center"/>
              <w:rPr>
                <w:rFonts w:ascii="EC Square Sans Cond Pro" w:hAnsi="EC Square Sans Cond Pro" w:cs="Avenir Next LT Pro"/>
                <w:noProof/>
                <w:color w:val="FF0000"/>
                <w:sz w:val="18"/>
                <w:szCs w:val="18"/>
                <w:lang w:val="en-IE"/>
              </w:rPr>
            </w:pPr>
            <w:r w:rsidRPr="00BB1227">
              <w:rPr>
                <w:rFonts w:ascii="EC Square Sans Cond Pro" w:hAnsi="EC Square Sans Cond Pro" w:cs="Calibri"/>
                <w:noProof/>
                <w:color w:val="000000"/>
                <w:sz w:val="18"/>
                <w:szCs w:val="18"/>
                <w:lang w:val="en-IE"/>
              </w:rPr>
              <w:t>890 to 89</w:t>
            </w:r>
            <w:r w:rsidR="003E13AB">
              <w:rPr>
                <w:rFonts w:ascii="EC Square Sans Cond Pro" w:hAnsi="EC Square Sans Cond Pro" w:cs="Calibri"/>
                <w:noProof/>
                <w:color w:val="000000"/>
                <w:sz w:val="18"/>
                <w:szCs w:val="18"/>
                <w:lang w:val="en-IE"/>
              </w:rPr>
              <w:t>2</w:t>
            </w:r>
          </w:p>
        </w:tc>
        <w:tc>
          <w:tcPr>
            <w:tcW w:w="1488" w:type="dxa"/>
            <w:tcBorders>
              <w:right w:val="single" w:sz="12" w:space="0" w:color="auto"/>
            </w:tcBorders>
            <w:vAlign w:val="center"/>
          </w:tcPr>
          <w:p w14:paraId="12DB03FE" w14:textId="146BB639" w:rsidR="00A70943" w:rsidRPr="00BB1227" w:rsidRDefault="005B2C80" w:rsidP="00FB20B1">
            <w:pPr>
              <w:spacing w:after="0"/>
              <w:jc w:val="center"/>
              <w:rPr>
                <w:rFonts w:ascii="EC Square Sans Cond Pro" w:hAnsi="EC Square Sans Cond Pro" w:cs="Calibri"/>
                <w:noProof/>
                <w:sz w:val="18"/>
                <w:szCs w:val="18"/>
                <w:lang w:val="en-IE"/>
              </w:rPr>
            </w:pPr>
            <w:r w:rsidRPr="005B2C80">
              <w:rPr>
                <w:rFonts w:ascii="EC Square Sans Cond Pro" w:hAnsi="EC Square Sans Cond Pro" w:cs="Avenir Next LT Pro"/>
                <w:i/>
                <w:iCs/>
                <w:noProof/>
                <w:sz w:val="18"/>
                <w:szCs w:val="18"/>
                <w:lang w:val="en-IE"/>
              </w:rPr>
              <w:t>742</w:t>
            </w:r>
          </w:p>
        </w:tc>
        <w:tc>
          <w:tcPr>
            <w:tcW w:w="1488" w:type="dxa"/>
            <w:tcBorders>
              <w:left w:val="single" w:sz="12" w:space="0" w:color="auto"/>
            </w:tcBorders>
            <w:vAlign w:val="center"/>
          </w:tcPr>
          <w:p w14:paraId="7734DDBE" w14:textId="0A59AF09" w:rsidR="00A70943" w:rsidRPr="00BB1227" w:rsidRDefault="00A70943" w:rsidP="00FB20B1">
            <w:pPr>
              <w:spacing w:after="0"/>
              <w:jc w:val="center"/>
              <w:rPr>
                <w:rFonts w:ascii="EC Square Sans Cond Pro" w:hAnsi="EC Square Sans Cond Pro" w:cs="Calibri"/>
                <w:noProof/>
                <w:sz w:val="18"/>
                <w:szCs w:val="18"/>
                <w:lang w:val="en-IE"/>
              </w:rPr>
            </w:pPr>
            <w:r w:rsidRPr="00BB1227">
              <w:rPr>
                <w:rFonts w:ascii="EC Square Sans Cond Pro" w:hAnsi="EC Square Sans Cond Pro" w:cs="Calibri"/>
                <w:noProof/>
                <w:sz w:val="18"/>
                <w:szCs w:val="18"/>
                <w:lang w:val="en-IE"/>
              </w:rPr>
              <w:t>-272 to -27</w:t>
            </w:r>
            <w:r w:rsidR="003E13AB">
              <w:rPr>
                <w:rFonts w:ascii="EC Square Sans Cond Pro" w:hAnsi="EC Square Sans Cond Pro" w:cs="Calibri"/>
                <w:noProof/>
                <w:sz w:val="18"/>
                <w:szCs w:val="18"/>
                <w:lang w:val="en-IE"/>
              </w:rPr>
              <w:t>4</w:t>
            </w:r>
            <w:r w:rsidRPr="00BB1227">
              <w:rPr>
                <w:rFonts w:ascii="EC Square Sans Cond Pro" w:hAnsi="EC Square Sans Cond Pro" w:cs="Calibri"/>
                <w:noProof/>
                <w:sz w:val="18"/>
                <w:szCs w:val="18"/>
                <w:lang w:val="en-IE"/>
              </w:rPr>
              <w:t xml:space="preserve"> </w:t>
            </w:r>
          </w:p>
          <w:p w14:paraId="422BC440" w14:textId="77777777" w:rsidR="00A70943" w:rsidRPr="005B2C80" w:rsidRDefault="00A70943" w:rsidP="00FB20B1">
            <w:pPr>
              <w:spacing w:after="0"/>
              <w:jc w:val="center"/>
              <w:rPr>
                <w:rFonts w:ascii="EC Square Sans Cond Pro" w:hAnsi="EC Square Sans Cond Pro" w:cs="Avenir Next LT Pro"/>
                <w:noProof/>
                <w:sz w:val="18"/>
                <w:szCs w:val="18"/>
                <w:lang w:val="en-IE"/>
              </w:rPr>
            </w:pPr>
            <w:r w:rsidRPr="00BB1227">
              <w:rPr>
                <w:rFonts w:ascii="EC Square Sans Cond Pro" w:hAnsi="EC Square Sans Cond Pro" w:cs="Calibri"/>
                <w:noProof/>
                <w:sz w:val="18"/>
                <w:szCs w:val="18"/>
                <w:lang w:val="en-IE"/>
              </w:rPr>
              <w:t>(-23.4% to -23.5%)</w:t>
            </w:r>
          </w:p>
        </w:tc>
        <w:tc>
          <w:tcPr>
            <w:tcW w:w="1489" w:type="dxa"/>
            <w:vAlign w:val="center"/>
          </w:tcPr>
          <w:p w14:paraId="28539CA1" w14:textId="6E3E80B2" w:rsidR="005B2C80" w:rsidRPr="005B2C80" w:rsidRDefault="005B2C80" w:rsidP="005B2C80">
            <w:pPr>
              <w:spacing w:after="0"/>
              <w:jc w:val="center"/>
              <w:rPr>
                <w:rFonts w:ascii="EC Square Sans Cond Pro" w:hAnsi="EC Square Sans Cond Pro" w:cs="Avenir Next LT Pro"/>
                <w:i/>
                <w:iCs/>
                <w:noProof/>
                <w:sz w:val="18"/>
                <w:szCs w:val="18"/>
                <w:lang w:val="en-IE"/>
              </w:rPr>
            </w:pPr>
            <w:r w:rsidRPr="005B2C80">
              <w:rPr>
                <w:rFonts w:ascii="EC Square Sans Cond Pro" w:hAnsi="EC Square Sans Cond Pro" w:cs="Avenir Next LT Pro"/>
                <w:i/>
                <w:iCs/>
                <w:noProof/>
                <w:sz w:val="18"/>
                <w:szCs w:val="18"/>
                <w:lang w:val="en-IE"/>
              </w:rPr>
              <w:t xml:space="preserve">-422 </w:t>
            </w:r>
          </w:p>
          <w:p w14:paraId="24149967" w14:textId="2AACA7C1" w:rsidR="00A70943" w:rsidRPr="00BB1227" w:rsidRDefault="005B2C80" w:rsidP="00FB20B1">
            <w:pPr>
              <w:spacing w:after="0"/>
              <w:jc w:val="center"/>
              <w:rPr>
                <w:rFonts w:ascii="EC Square Sans Cond Pro" w:hAnsi="EC Square Sans Cond Pro" w:cs="Calibri"/>
                <w:noProof/>
                <w:sz w:val="18"/>
                <w:szCs w:val="18"/>
                <w:lang w:val="en-IE"/>
              </w:rPr>
            </w:pPr>
            <w:r w:rsidRPr="005B2C80">
              <w:rPr>
                <w:rFonts w:ascii="EC Square Sans Cond Pro" w:hAnsi="EC Square Sans Cond Pro" w:cs="Avenir Next LT Pro"/>
                <w:i/>
                <w:iCs/>
                <w:noProof/>
                <w:sz w:val="18"/>
                <w:szCs w:val="18"/>
                <w:lang w:val="en-IE"/>
              </w:rPr>
              <w:t>(-36.3%)</w:t>
            </w:r>
          </w:p>
        </w:tc>
      </w:tr>
    </w:tbl>
    <w:p w14:paraId="79F1EE0C" w14:textId="77777777" w:rsidR="00A70943" w:rsidRDefault="00A70943" w:rsidP="00A70943">
      <w:pPr>
        <w:pStyle w:val="Text2"/>
        <w:rPr>
          <w:noProof/>
        </w:rPr>
      </w:pPr>
    </w:p>
    <w:p w14:paraId="4F028D6B" w14:textId="217349E2" w:rsidR="00A70943" w:rsidRPr="00E273DA" w:rsidRDefault="00A70943" w:rsidP="00A70943">
      <w:pPr>
        <w:pStyle w:val="CT-NOTE"/>
        <w:rPr>
          <w:noProof/>
        </w:rPr>
      </w:pPr>
      <w:r w:rsidRPr="00E273DA">
        <w:rPr>
          <w:noProof/>
        </w:rPr>
        <w:t xml:space="preserve">Note: </w:t>
      </w:r>
      <w:r>
        <w:rPr>
          <w:noProof/>
        </w:rPr>
        <w:t>The t</w:t>
      </w:r>
      <w:r w:rsidRPr="00E273DA">
        <w:rPr>
          <w:noProof/>
        </w:rPr>
        <w:t xml:space="preserve">able </w:t>
      </w:r>
      <w:r>
        <w:rPr>
          <w:noProof/>
        </w:rPr>
        <w:t>shows</w:t>
      </w:r>
      <w:r w:rsidRPr="00E273DA">
        <w:rPr>
          <w:noProof/>
        </w:rPr>
        <w:t xml:space="preserve"> the </w:t>
      </w:r>
      <w:r>
        <w:rPr>
          <w:noProof/>
        </w:rPr>
        <w:t xml:space="preserve">affected ecosystem </w:t>
      </w:r>
      <w:r w:rsidRPr="00E273DA">
        <w:rPr>
          <w:noProof/>
        </w:rPr>
        <w:t xml:space="preserve">area </w:t>
      </w:r>
      <w:r w:rsidR="00C916DA">
        <w:rPr>
          <w:noProof/>
        </w:rPr>
        <w:t xml:space="preserve">within the EU </w:t>
      </w:r>
      <w:r w:rsidR="00CA6EC0">
        <w:rPr>
          <w:noProof/>
        </w:rPr>
        <w:t xml:space="preserve">(expressed in </w:t>
      </w:r>
      <w:r w:rsidR="00CA6EC0" w:rsidRPr="00E273DA">
        <w:rPr>
          <w:noProof/>
        </w:rPr>
        <w:t>1000 km2</w:t>
      </w:r>
      <w:r w:rsidR="00CA6EC0">
        <w:rPr>
          <w:noProof/>
        </w:rPr>
        <w:t xml:space="preserve">) </w:t>
      </w:r>
      <w:r>
        <w:rPr>
          <w:noProof/>
        </w:rPr>
        <w:t xml:space="preserve">where acidification </w:t>
      </w:r>
      <w:r w:rsidR="00CA6EC0">
        <w:rPr>
          <w:noProof/>
        </w:rPr>
        <w:t xml:space="preserve">or eutrophication </w:t>
      </w:r>
      <w:r>
        <w:rPr>
          <w:noProof/>
        </w:rPr>
        <w:t>exceed critical loads</w:t>
      </w:r>
      <w:r w:rsidR="00F700D5">
        <w:rPr>
          <w:noProof/>
        </w:rPr>
        <w:t>.</w:t>
      </w:r>
    </w:p>
    <w:p w14:paraId="76738538" w14:textId="29853435" w:rsidR="00A70943" w:rsidRPr="00154A03" w:rsidRDefault="00A70943" w:rsidP="00A70943">
      <w:pPr>
        <w:pStyle w:val="CT-SOURCE"/>
        <w:rPr>
          <w:noProof/>
          <w:szCs w:val="18"/>
        </w:rPr>
      </w:pPr>
      <w:r w:rsidRPr="00154A03">
        <w:rPr>
          <w:noProof/>
        </w:rPr>
        <w:t>Source: GAINS</w:t>
      </w:r>
      <w:r w:rsidR="000D014A">
        <w:rPr>
          <w:noProof/>
        </w:rPr>
        <w:t>.</w:t>
      </w:r>
    </w:p>
    <w:p w14:paraId="7793931B" w14:textId="77777777" w:rsidR="002B7F04" w:rsidRPr="00680783" w:rsidRDefault="002B7F04" w:rsidP="00CF23AB">
      <w:pPr>
        <w:pStyle w:val="Heading3"/>
        <w:rPr>
          <w:noProof/>
        </w:rPr>
      </w:pPr>
      <w:bookmarkStart w:id="553" w:name="_Toc148605629"/>
      <w:bookmarkStart w:id="554" w:name="_Toc157692075"/>
      <w:r w:rsidRPr="00680783">
        <w:rPr>
          <w:noProof/>
        </w:rPr>
        <w:t>Biodiversity and ecosystems</w:t>
      </w:r>
      <w:bookmarkEnd w:id="553"/>
      <w:bookmarkEnd w:id="554"/>
    </w:p>
    <w:p w14:paraId="4CAB4320" w14:textId="6F676DE3" w:rsidR="00370D7A" w:rsidRDefault="002B7F04" w:rsidP="00DD247E">
      <w:pPr>
        <w:rPr>
          <w:noProof/>
        </w:rPr>
      </w:pPr>
      <w:bookmarkStart w:id="555" w:name="_Hlk145599598"/>
      <w:r w:rsidRPr="007635F0">
        <w:rPr>
          <w:noProof/>
        </w:rPr>
        <w:t>Climate change is expected to have significant influences on biodiversity including species-level reductions in range size and abundance</w:t>
      </w:r>
      <w:r w:rsidRPr="007635F0">
        <w:rPr>
          <w:rFonts w:cs="CharisSIL"/>
          <w:noProof/>
        </w:rPr>
        <w:t> (</w:t>
      </w:r>
      <w:r w:rsidRPr="007635F0">
        <w:rPr>
          <w:rStyle w:val="FootnoteReference"/>
          <w:noProof/>
        </w:rPr>
        <w:footnoteReference w:id="222"/>
      </w:r>
      <w:r w:rsidRPr="007635F0">
        <w:rPr>
          <w:rFonts w:cs="CharisSIL"/>
          <w:noProof/>
        </w:rPr>
        <w:t>)</w:t>
      </w:r>
      <w:r w:rsidR="00070D96">
        <w:rPr>
          <w:rFonts w:cs="CharisSIL"/>
          <w:noProof/>
        </w:rPr>
        <w:t xml:space="preserve"> as it is </w:t>
      </w:r>
      <w:r w:rsidR="00070D96" w:rsidRPr="00070D96">
        <w:rPr>
          <w:rFonts w:cs="CharisSIL"/>
          <w:noProof/>
        </w:rPr>
        <w:t>one of the five main drivers of global biodiversity loss, with change of land and sea use, direct exploitation, pollution</w:t>
      </w:r>
      <w:r w:rsidR="00A870CF" w:rsidRPr="00070D96">
        <w:rPr>
          <w:rFonts w:cs="CharisSIL"/>
          <w:noProof/>
        </w:rPr>
        <w:t>,</w:t>
      </w:r>
      <w:r w:rsidR="00070D96" w:rsidRPr="00070D96">
        <w:rPr>
          <w:rFonts w:cs="CharisSIL"/>
          <w:noProof/>
        </w:rPr>
        <w:t xml:space="preserve"> and invasive alien species (</w:t>
      </w:r>
      <w:r w:rsidR="00070D96">
        <w:rPr>
          <w:rStyle w:val="FootnoteReference"/>
          <w:rFonts w:cs="CharisSIL"/>
          <w:noProof/>
        </w:rPr>
        <w:footnoteReference w:id="223"/>
      </w:r>
      <w:r w:rsidR="00070D96">
        <w:rPr>
          <w:rFonts w:cs="CharisSIL"/>
          <w:noProof/>
        </w:rPr>
        <w:t>)</w:t>
      </w:r>
      <w:r w:rsidR="00070D96" w:rsidRPr="00070D96">
        <w:rPr>
          <w:rFonts w:cs="CharisSIL"/>
          <w:noProof/>
        </w:rPr>
        <w:t>.</w:t>
      </w:r>
      <w:r w:rsidRPr="007635F0">
        <w:rPr>
          <w:noProof/>
        </w:rPr>
        <w:t xml:space="preserve"> For </w:t>
      </w:r>
      <w:r w:rsidR="00D81A18" w:rsidRPr="007635F0">
        <w:rPr>
          <w:noProof/>
        </w:rPr>
        <w:t>example,</w:t>
      </w:r>
      <w:r w:rsidRPr="007635F0">
        <w:rPr>
          <w:noProof/>
        </w:rPr>
        <w:t xml:space="preserve"> fire-prone areas are expected to expand across Europe due to climate change threatening not only carbon sinks but also biodiversity through habitat loss and fragmentation</w:t>
      </w:r>
      <w:r w:rsidRPr="007635F0">
        <w:rPr>
          <w:rFonts w:cs="CharisSIL"/>
          <w:noProof/>
        </w:rPr>
        <w:t> (</w:t>
      </w:r>
      <w:r w:rsidRPr="007635F0">
        <w:rPr>
          <w:rStyle w:val="FootnoteReference"/>
          <w:noProof/>
        </w:rPr>
        <w:footnoteReference w:id="224"/>
      </w:r>
      <w:r w:rsidRPr="007635F0">
        <w:rPr>
          <w:rFonts w:cs="CharisSIL"/>
          <w:noProof/>
        </w:rPr>
        <w:t>)</w:t>
      </w:r>
      <w:r w:rsidRPr="007635F0">
        <w:rPr>
          <w:noProof/>
        </w:rPr>
        <w:t>.</w:t>
      </w:r>
      <w:r w:rsidR="00370D7A">
        <w:rPr>
          <w:noProof/>
        </w:rPr>
        <w:t xml:space="preserve"> </w:t>
      </w:r>
      <w:r w:rsidR="00370D7A" w:rsidRPr="007635F0">
        <w:rPr>
          <w:noProof/>
        </w:rPr>
        <w:t xml:space="preserve">At the same time, more biodiverse forests </w:t>
      </w:r>
      <w:r w:rsidR="00370D7A">
        <w:rPr>
          <w:noProof/>
        </w:rPr>
        <w:t xml:space="preserve">may </w:t>
      </w:r>
      <w:r w:rsidR="00370D7A" w:rsidRPr="007635F0">
        <w:rPr>
          <w:noProof/>
        </w:rPr>
        <w:t xml:space="preserve">deliver more ecosystem services necessary for climate mitigation and </w:t>
      </w:r>
      <w:r w:rsidR="00A24BF9" w:rsidRPr="007635F0">
        <w:rPr>
          <w:noProof/>
        </w:rPr>
        <w:t>adaptation</w:t>
      </w:r>
      <w:r w:rsidR="00A24BF9">
        <w:rPr>
          <w:noProof/>
        </w:rPr>
        <w:t xml:space="preserve"> </w:t>
      </w:r>
      <w:r w:rsidR="00A24BF9" w:rsidRPr="008D5CBB">
        <w:rPr>
          <w:noProof/>
        </w:rPr>
        <w:t>(</w:t>
      </w:r>
      <w:r w:rsidR="008D5CBB">
        <w:rPr>
          <w:rStyle w:val="FootnoteReference"/>
          <w:noProof/>
        </w:rPr>
        <w:footnoteReference w:id="225"/>
      </w:r>
      <w:r w:rsidR="008D5CBB">
        <w:rPr>
          <w:noProof/>
        </w:rPr>
        <w:t>)</w:t>
      </w:r>
      <w:r w:rsidR="009937FC">
        <w:rPr>
          <w:noProof/>
        </w:rPr>
        <w:t xml:space="preserve">. In other words, making </w:t>
      </w:r>
      <w:r w:rsidR="00370D7A" w:rsidRPr="007635F0">
        <w:rPr>
          <w:noProof/>
        </w:rPr>
        <w:t>forest ecosystems</w:t>
      </w:r>
      <w:r w:rsidR="009937FC">
        <w:rPr>
          <w:noProof/>
        </w:rPr>
        <w:t xml:space="preserve"> </w:t>
      </w:r>
      <w:r w:rsidR="009937FC" w:rsidRPr="007635F0">
        <w:rPr>
          <w:noProof/>
        </w:rPr>
        <w:t>more biodiverse</w:t>
      </w:r>
      <w:r w:rsidR="009937FC">
        <w:rPr>
          <w:noProof/>
        </w:rPr>
        <w:t xml:space="preserve"> can help to increase their resilience against forest fires. </w:t>
      </w:r>
      <w:r w:rsidR="003153B3" w:rsidRPr="003153B3">
        <w:rPr>
          <w:noProof/>
        </w:rPr>
        <w:t>Forest management practices like monoculture plantations of fast-growing trees (eucalyptus, pines) are more prone to fires</w:t>
      </w:r>
      <w:r w:rsidR="003153B3">
        <w:rPr>
          <w:noProof/>
        </w:rPr>
        <w:t xml:space="preserve"> </w:t>
      </w:r>
      <w:r w:rsidR="003153B3" w:rsidRPr="003153B3">
        <w:rPr>
          <w:noProof/>
        </w:rPr>
        <w:t>(</w:t>
      </w:r>
      <w:r w:rsidR="003153B3">
        <w:rPr>
          <w:rStyle w:val="FootnoteReference"/>
          <w:noProof/>
        </w:rPr>
        <w:footnoteReference w:id="226"/>
      </w:r>
      <w:r w:rsidR="003153B3">
        <w:rPr>
          <w:noProof/>
        </w:rPr>
        <w:t>)</w:t>
      </w:r>
      <w:r w:rsidR="003153B3" w:rsidRPr="003153B3">
        <w:rPr>
          <w:noProof/>
        </w:rPr>
        <w:t xml:space="preserve"> than biodiverse forests</w:t>
      </w:r>
      <w:r w:rsidR="003153B3">
        <w:rPr>
          <w:noProof/>
        </w:rPr>
        <w:t xml:space="preserve"> such as primary or old-growth forests</w:t>
      </w:r>
      <w:r w:rsidR="00A870CF" w:rsidRPr="003153B3">
        <w:rPr>
          <w:noProof/>
        </w:rPr>
        <w:t xml:space="preserve"> </w:t>
      </w:r>
      <w:r w:rsidR="003153B3" w:rsidRPr="003153B3">
        <w:rPr>
          <w:noProof/>
        </w:rPr>
        <w:t>(</w:t>
      </w:r>
      <w:r w:rsidR="003153B3">
        <w:rPr>
          <w:rStyle w:val="FootnoteReference"/>
          <w:noProof/>
        </w:rPr>
        <w:footnoteReference w:id="227"/>
      </w:r>
      <w:r w:rsidR="003153B3">
        <w:rPr>
          <w:noProof/>
        </w:rPr>
        <w:t>)</w:t>
      </w:r>
      <w:r w:rsidR="003153B3" w:rsidRPr="003153B3">
        <w:rPr>
          <w:noProof/>
        </w:rPr>
        <w:t>.</w:t>
      </w:r>
      <w:r w:rsidR="009937FC">
        <w:rPr>
          <w:noProof/>
        </w:rPr>
        <w:t xml:space="preserve"> </w:t>
      </w:r>
      <w:r w:rsidR="008D5CBB">
        <w:rPr>
          <w:noProof/>
        </w:rPr>
        <w:t xml:space="preserve">However, the relationship goes both ways: </w:t>
      </w:r>
      <w:r w:rsidR="002F42C0">
        <w:rPr>
          <w:noProof/>
        </w:rPr>
        <w:t xml:space="preserve">an </w:t>
      </w:r>
      <w:r w:rsidR="002F42C0" w:rsidRPr="002F42C0">
        <w:rPr>
          <w:noProof/>
        </w:rPr>
        <w:t xml:space="preserve">improved </w:t>
      </w:r>
      <w:r w:rsidR="008D5CBB" w:rsidRPr="002F42C0">
        <w:rPr>
          <w:rFonts w:cs="CharisSIL"/>
          <w:noProof/>
        </w:rPr>
        <w:t xml:space="preserve">biodiversity </w:t>
      </w:r>
      <w:r w:rsidR="002F42C0" w:rsidRPr="002F42C0">
        <w:rPr>
          <w:rFonts w:cs="CharisSIL"/>
          <w:noProof/>
        </w:rPr>
        <w:t xml:space="preserve">and functioning ecosystems also positively impact </w:t>
      </w:r>
      <w:r w:rsidR="008D5CBB" w:rsidRPr="002F42C0">
        <w:rPr>
          <w:rFonts w:cs="CharisSIL"/>
          <w:noProof/>
        </w:rPr>
        <w:t>both climate mitigation and adaptation</w:t>
      </w:r>
      <w:r w:rsidR="002F42C0">
        <w:rPr>
          <w:rFonts w:cs="CharisSIL"/>
          <w:noProof/>
        </w:rPr>
        <w:t xml:space="preserve"> </w:t>
      </w:r>
      <w:r w:rsidR="002F42C0" w:rsidRPr="002F42C0">
        <w:rPr>
          <w:rFonts w:cs="CharisSIL"/>
          <w:noProof/>
        </w:rPr>
        <w:t>(</w:t>
      </w:r>
      <w:r w:rsidR="002F42C0">
        <w:rPr>
          <w:rStyle w:val="FootnoteReference"/>
          <w:rFonts w:cs="CharisSIL"/>
          <w:noProof/>
        </w:rPr>
        <w:footnoteReference w:id="228"/>
      </w:r>
      <w:r w:rsidR="002F42C0">
        <w:rPr>
          <w:rFonts w:cs="CharisSIL"/>
          <w:noProof/>
        </w:rPr>
        <w:t>).</w:t>
      </w:r>
    </w:p>
    <w:p w14:paraId="737F655F" w14:textId="1D21BAA9" w:rsidR="002B7F04" w:rsidRDefault="009937FC" w:rsidP="00DD247E">
      <w:pPr>
        <w:rPr>
          <w:noProof/>
        </w:rPr>
      </w:pPr>
      <w:r>
        <w:rPr>
          <w:noProof/>
        </w:rPr>
        <w:t>O</w:t>
      </w:r>
      <w:r w:rsidR="002B7F04" w:rsidRPr="007635F0">
        <w:rPr>
          <w:noProof/>
        </w:rPr>
        <w:t xml:space="preserve">n a general level, limiting the magnitude of climate change via GHG mitigation is necessary to preserve biodiversity and prevent further loss. </w:t>
      </w:r>
      <w:bookmarkStart w:id="556" w:name="_Hlk146012809"/>
      <w:r w:rsidR="002B7F04" w:rsidRPr="007635F0">
        <w:rPr>
          <w:noProof/>
        </w:rPr>
        <w:t xml:space="preserve">More specifically, stringent GHG mitigation that includes nature-based mitigation efforts </w:t>
      </w:r>
      <w:r w:rsidR="00CA07B8">
        <w:rPr>
          <w:noProof/>
        </w:rPr>
        <w:t xml:space="preserve">can </w:t>
      </w:r>
      <w:r w:rsidR="002B7F04" w:rsidRPr="007635F0">
        <w:rPr>
          <w:noProof/>
        </w:rPr>
        <w:t>deliver a net benefit</w:t>
      </w:r>
      <w:r w:rsidR="002B7F04">
        <w:rPr>
          <w:noProof/>
        </w:rPr>
        <w:t xml:space="preserve"> to global biodiversity even if it comes at the cost of regional biodiversity loss in Europe</w:t>
      </w:r>
      <w:r w:rsidR="002B7F04">
        <w:rPr>
          <w:rFonts w:cs="CharisSIL"/>
          <w:noProof/>
        </w:rPr>
        <w:t xml:space="preserve">. </w:t>
      </w:r>
      <w:r w:rsidR="00CA07B8">
        <w:rPr>
          <w:rFonts w:cs="CharisSIL"/>
          <w:noProof/>
        </w:rPr>
        <w:t>But, i</w:t>
      </w:r>
      <w:r w:rsidR="008050A6" w:rsidRPr="008050A6">
        <w:rPr>
          <w:rFonts w:cs="CharisSIL"/>
          <w:noProof/>
        </w:rPr>
        <w:t>n view of these potential losses</w:t>
      </w:r>
      <w:r w:rsidR="00CA07B8">
        <w:rPr>
          <w:rFonts w:cs="CharisSIL"/>
          <w:noProof/>
        </w:rPr>
        <w:t>,</w:t>
      </w:r>
      <w:r w:rsidR="008050A6" w:rsidRPr="008050A6">
        <w:rPr>
          <w:rFonts w:cs="CharisSIL"/>
          <w:noProof/>
        </w:rPr>
        <w:t xml:space="preserve"> policies</w:t>
      </w:r>
      <w:r w:rsidR="002B7F04">
        <w:rPr>
          <w:rFonts w:cs="CharisSIL"/>
          <w:noProof/>
        </w:rPr>
        <w:t xml:space="preserve"> in EU </w:t>
      </w:r>
      <w:r w:rsidR="008050A6" w:rsidRPr="008050A6">
        <w:rPr>
          <w:rFonts w:cs="CharisSIL"/>
          <w:noProof/>
        </w:rPr>
        <w:t>s</w:t>
      </w:r>
      <w:r w:rsidR="008050A6" w:rsidRPr="003B4E4B">
        <w:rPr>
          <w:rFonts w:cs="CharisSIL"/>
          <w:noProof/>
        </w:rPr>
        <w:t xml:space="preserve">hould </w:t>
      </w:r>
      <w:r w:rsidR="008050A6">
        <w:rPr>
          <w:rFonts w:cs="CharisSIL"/>
          <w:noProof/>
        </w:rPr>
        <w:t>be</w:t>
      </w:r>
      <w:r w:rsidR="002B7F04">
        <w:rPr>
          <w:rFonts w:cs="CharisSIL"/>
          <w:noProof/>
        </w:rPr>
        <w:t xml:space="preserve"> be carefully designed to conserve local biodiversity and to minimize the conversion of natural habitats</w:t>
      </w:r>
      <w:r w:rsidR="002B7F04" w:rsidRPr="004278C8">
        <w:rPr>
          <w:rFonts w:cs="CharisSIL"/>
          <w:noProof/>
        </w:rPr>
        <w:t> (</w:t>
      </w:r>
      <w:r w:rsidR="002B7F04">
        <w:rPr>
          <w:rStyle w:val="FootnoteReference"/>
          <w:rFonts w:cs="CharisSIL"/>
          <w:noProof/>
        </w:rPr>
        <w:footnoteReference w:id="229"/>
      </w:r>
      <w:r w:rsidR="002B7F04">
        <w:rPr>
          <w:rFonts w:cs="CharisSIL"/>
          <w:noProof/>
        </w:rPr>
        <w:t>)</w:t>
      </w:r>
      <w:bookmarkEnd w:id="556"/>
      <w:r w:rsidR="002B7F04">
        <w:rPr>
          <w:rFonts w:cs="CharisSIL"/>
          <w:noProof/>
        </w:rPr>
        <w:t>. It is therefore important to focus on the m</w:t>
      </w:r>
      <w:r w:rsidR="002B7F04">
        <w:rPr>
          <w:noProof/>
        </w:rPr>
        <w:t xml:space="preserve">any nature-based </w:t>
      </w:r>
      <w:r w:rsidR="001E7643">
        <w:rPr>
          <w:noProof/>
        </w:rPr>
        <w:t>removals</w:t>
      </w:r>
      <w:r w:rsidR="002B7F04">
        <w:rPr>
          <w:noProof/>
        </w:rPr>
        <w:t xml:space="preserve"> for carbon removals, which entail positive side-effects for biodiversity as they can provide new habitats and ecosystems and to consider biodiversity impacts from nature-based </w:t>
      </w:r>
      <w:r w:rsidR="001E7643">
        <w:rPr>
          <w:noProof/>
        </w:rPr>
        <w:t>removals</w:t>
      </w:r>
      <w:r w:rsidR="002B7F04" w:rsidRPr="00851403">
        <w:rPr>
          <w:noProof/>
        </w:rPr>
        <w:t xml:space="preserve"> that </w:t>
      </w:r>
      <w:r w:rsidR="002B7F04">
        <w:rPr>
          <w:noProof/>
        </w:rPr>
        <w:t xml:space="preserve">can </w:t>
      </w:r>
      <w:r w:rsidR="002B7F04" w:rsidRPr="00851403">
        <w:rPr>
          <w:noProof/>
        </w:rPr>
        <w:t>alter the habitat available for wildlife.</w:t>
      </w:r>
    </w:p>
    <w:p w14:paraId="7960E35F" w14:textId="255531B9" w:rsidR="00F26B75" w:rsidRDefault="00CA07B8" w:rsidP="00DD247E">
      <w:pPr>
        <w:rPr>
          <w:noProof/>
        </w:rPr>
      </w:pPr>
      <w:bookmarkStart w:id="557" w:name="_Hlk146026120"/>
      <w:r>
        <w:rPr>
          <w:noProof/>
        </w:rPr>
        <w:t>Modelling results showed that a</w:t>
      </w:r>
      <w:r w:rsidR="00F26B75">
        <w:rPr>
          <w:noProof/>
        </w:rPr>
        <w:t xml:space="preserve">cross all scenarios, </w:t>
      </w:r>
      <w:r w:rsidR="00C65749">
        <w:rPr>
          <w:noProof/>
        </w:rPr>
        <w:t>overall</w:t>
      </w:r>
      <w:r w:rsidR="00F26B75">
        <w:rPr>
          <w:noProof/>
        </w:rPr>
        <w:t xml:space="preserve"> species and habitats co-benefit</w:t>
      </w:r>
      <w:r>
        <w:rPr>
          <w:noProof/>
        </w:rPr>
        <w:t xml:space="preserve"> </w:t>
      </w:r>
      <w:r w:rsidR="00F26B75">
        <w:rPr>
          <w:noProof/>
        </w:rPr>
        <w:t>from nature-based</w:t>
      </w:r>
      <w:r w:rsidR="00091919">
        <w:rPr>
          <w:noProof/>
        </w:rPr>
        <w:t xml:space="preserve"> </w:t>
      </w:r>
      <w:r w:rsidR="007051AF">
        <w:rPr>
          <w:noProof/>
        </w:rPr>
        <w:t>removals</w:t>
      </w:r>
      <w:r>
        <w:rPr>
          <w:noProof/>
        </w:rPr>
        <w:t>, which</w:t>
      </w:r>
      <w:r w:rsidR="00F26B75">
        <w:rPr>
          <w:noProof/>
        </w:rPr>
        <w:t xml:space="preserve"> </w:t>
      </w:r>
      <w:r w:rsidR="004B6039">
        <w:rPr>
          <w:noProof/>
        </w:rPr>
        <w:t xml:space="preserve">proved </w:t>
      </w:r>
      <w:r w:rsidR="001C6C76">
        <w:rPr>
          <w:noProof/>
        </w:rPr>
        <w:t xml:space="preserve">to </w:t>
      </w:r>
      <w:r w:rsidR="004B6039">
        <w:rPr>
          <w:noProof/>
        </w:rPr>
        <w:t xml:space="preserve">be the main driver of change while at the same time </w:t>
      </w:r>
      <w:r w:rsidR="00F26B75">
        <w:rPr>
          <w:noProof/>
        </w:rPr>
        <w:t>provid</w:t>
      </w:r>
      <w:r w:rsidR="004B6039">
        <w:rPr>
          <w:noProof/>
        </w:rPr>
        <w:t>ing</w:t>
      </w:r>
      <w:r w:rsidR="00F26B75">
        <w:rPr>
          <w:noProof/>
        </w:rPr>
        <w:t xml:space="preserve"> additional carbon removals. </w:t>
      </w:r>
      <w:r w:rsidR="005E32BE">
        <w:rPr>
          <w:noProof/>
        </w:rPr>
        <w:t>Additional n</w:t>
      </w:r>
      <w:r>
        <w:rPr>
          <w:noProof/>
        </w:rPr>
        <w:t>ature-based</w:t>
      </w:r>
      <w:r w:rsidR="001E7643">
        <w:rPr>
          <w:noProof/>
        </w:rPr>
        <w:t xml:space="preserve"> </w:t>
      </w:r>
      <w:r w:rsidR="00573927">
        <w:rPr>
          <w:noProof/>
        </w:rPr>
        <w:t>removals, applied</w:t>
      </w:r>
      <w:r w:rsidR="00091919">
        <w:rPr>
          <w:noProof/>
        </w:rPr>
        <w:t xml:space="preserve"> in S2 and S3, delivered clear benefits for the suitable habitat of species and therefore biodiversity. The main factors for the improvement are afforestation, an increase in deadwood in forests and </w:t>
      </w:r>
      <w:r w:rsidR="007051AF">
        <w:rPr>
          <w:noProof/>
        </w:rPr>
        <w:t xml:space="preserve">intensification coupled with </w:t>
      </w:r>
      <w:r w:rsidR="00091919">
        <w:rPr>
          <w:noProof/>
        </w:rPr>
        <w:t>longer rotation time of managed forests, and additional rewetting of peatlands.</w:t>
      </w:r>
      <w:r w:rsidR="00091919" w:rsidRPr="00091919">
        <w:rPr>
          <w:noProof/>
        </w:rPr>
        <w:t xml:space="preserve"> </w:t>
      </w:r>
      <w:r w:rsidR="00091919">
        <w:rPr>
          <w:noProof/>
        </w:rPr>
        <w:t xml:space="preserve">The impact of a second driver for biodiversity, the increased biomass demand from lignocellulosic crops and forestry, had a minor impact on biodiversity, resulting in statisticall non-significant differences between the scenarios. </w:t>
      </w:r>
    </w:p>
    <w:p w14:paraId="146E24B3" w14:textId="590D01DC" w:rsidR="005E32BE" w:rsidRDefault="00091919" w:rsidP="00DD247E">
      <w:pPr>
        <w:rPr>
          <w:noProof/>
        </w:rPr>
      </w:pPr>
      <w:r>
        <w:rPr>
          <w:noProof/>
        </w:rPr>
        <w:t>On average t</w:t>
      </w:r>
      <w:r w:rsidR="00F26B75" w:rsidRPr="002A7515">
        <w:rPr>
          <w:noProof/>
        </w:rPr>
        <w:t>he suitable habitat for European species increases by about</w:t>
      </w:r>
      <w:r w:rsidR="00F26B75">
        <w:rPr>
          <w:noProof/>
        </w:rPr>
        <w:t xml:space="preserve"> </w:t>
      </w:r>
      <w:r>
        <w:rPr>
          <w:noProof/>
        </w:rPr>
        <w:t>3</w:t>
      </w:r>
      <w:r w:rsidR="00F26B75">
        <w:rPr>
          <w:noProof/>
        </w:rPr>
        <w:t xml:space="preserve">% </w:t>
      </w:r>
      <w:r>
        <w:rPr>
          <w:noProof/>
        </w:rPr>
        <w:t>(S3) t</w:t>
      </w:r>
      <w:r w:rsidR="00F26B75">
        <w:rPr>
          <w:noProof/>
        </w:rPr>
        <w:t>o</w:t>
      </w:r>
      <w:r w:rsidR="00F26B75" w:rsidRPr="002A7515">
        <w:rPr>
          <w:noProof/>
        </w:rPr>
        <w:t xml:space="preserve"> </w:t>
      </w:r>
      <w:r>
        <w:rPr>
          <w:noProof/>
        </w:rPr>
        <w:t>4</w:t>
      </w:r>
      <w:r w:rsidR="00F26B75" w:rsidRPr="002A7515">
        <w:rPr>
          <w:noProof/>
        </w:rPr>
        <w:t xml:space="preserve">% </w:t>
      </w:r>
      <w:r>
        <w:rPr>
          <w:noProof/>
        </w:rPr>
        <w:t xml:space="preserve">(S2) </w:t>
      </w:r>
      <w:r w:rsidR="005E32BE">
        <w:rPr>
          <w:noProof/>
        </w:rPr>
        <w:t xml:space="preserve">in 2040 compared to 2020. For S1 the average suitable habitat declined slightly by around 1% in 2040 compared to 2020 </w:t>
      </w:r>
      <w:r w:rsidR="00F26B75" w:rsidRPr="002A7515">
        <w:rPr>
          <w:noProof/>
        </w:rPr>
        <w:t>(</w:t>
      </w:r>
      <w:r w:rsidR="00F26B75" w:rsidRPr="002A7515">
        <w:rPr>
          <w:rStyle w:val="FootnoteReference"/>
          <w:noProof/>
        </w:rPr>
        <w:footnoteReference w:id="230"/>
      </w:r>
      <w:r w:rsidR="00F26B75" w:rsidRPr="002A7515">
        <w:rPr>
          <w:noProof/>
        </w:rPr>
        <w:t xml:space="preserve">). </w:t>
      </w:r>
      <w:r w:rsidR="0097423F">
        <w:rPr>
          <w:noProof/>
        </w:rPr>
        <w:t xml:space="preserve">The application of </w:t>
      </w:r>
      <w:r w:rsidR="005E32BE">
        <w:rPr>
          <w:noProof/>
        </w:rPr>
        <w:t xml:space="preserve">a carbon value to cover </w:t>
      </w:r>
      <w:r w:rsidR="0097423F">
        <w:rPr>
          <w:noProof/>
        </w:rPr>
        <w:t xml:space="preserve">mitigation costs </w:t>
      </w:r>
      <w:r w:rsidR="007051AF">
        <w:rPr>
          <w:noProof/>
        </w:rPr>
        <w:t xml:space="preserve">in the land sector </w:t>
      </w:r>
      <w:r w:rsidR="0097423F">
        <w:rPr>
          <w:noProof/>
        </w:rPr>
        <w:t xml:space="preserve">of up to 50 </w:t>
      </w:r>
      <w:r w:rsidR="0097423F" w:rsidRPr="009E71CD">
        <w:rPr>
          <w:noProof/>
          <w:lang w:val="en-IE"/>
        </w:rPr>
        <w:t>€/tCO</w:t>
      </w:r>
      <w:r w:rsidR="0097423F" w:rsidRPr="009E71CD">
        <w:rPr>
          <w:noProof/>
          <w:vertAlign w:val="subscript"/>
          <w:lang w:val="en-IE"/>
        </w:rPr>
        <w:t>2</w:t>
      </w:r>
      <w:r w:rsidR="0097423F" w:rsidRPr="009E71CD">
        <w:rPr>
          <w:noProof/>
          <w:lang w:val="en-IE"/>
        </w:rPr>
        <w:t>-eq</w:t>
      </w:r>
      <w:r w:rsidR="0097423F">
        <w:rPr>
          <w:noProof/>
          <w:lang w:val="en-IE"/>
        </w:rPr>
        <w:t xml:space="preserve"> </w:t>
      </w:r>
      <w:r w:rsidR="00131410">
        <w:rPr>
          <w:noProof/>
          <w:lang w:val="en-IE"/>
        </w:rPr>
        <w:t xml:space="preserve">in S2 and S3 </w:t>
      </w:r>
      <w:r w:rsidR="0097423F">
        <w:rPr>
          <w:noProof/>
          <w:lang w:val="en-IE"/>
        </w:rPr>
        <w:t xml:space="preserve">results </w:t>
      </w:r>
      <w:r w:rsidR="00131410">
        <w:rPr>
          <w:noProof/>
          <w:lang w:val="en-IE"/>
        </w:rPr>
        <w:t xml:space="preserve">in </w:t>
      </w:r>
      <w:r w:rsidR="005E32BE">
        <w:rPr>
          <w:noProof/>
          <w:lang w:val="en-IE"/>
        </w:rPr>
        <w:t xml:space="preserve">small but positive </w:t>
      </w:r>
      <w:r w:rsidR="0097423F" w:rsidRPr="0097423F">
        <w:rPr>
          <w:noProof/>
          <w:lang w:val="en-IE"/>
        </w:rPr>
        <w:t>biodiversity trends</w:t>
      </w:r>
      <w:r w:rsidR="0097423F">
        <w:rPr>
          <w:noProof/>
          <w:lang w:val="en-IE"/>
        </w:rPr>
        <w:t xml:space="preserve"> </w:t>
      </w:r>
      <w:r w:rsidR="0097423F" w:rsidRPr="0097423F">
        <w:rPr>
          <w:noProof/>
          <w:lang w:val="en-IE"/>
        </w:rPr>
        <w:t>although it is worth noting the large variations around the mean trend</w:t>
      </w:r>
      <w:r w:rsidR="0097423F">
        <w:rPr>
          <w:noProof/>
          <w:lang w:val="en-IE"/>
        </w:rPr>
        <w:t xml:space="preserve">. </w:t>
      </w:r>
      <w:r w:rsidR="0097423F">
        <w:rPr>
          <w:noProof/>
        </w:rPr>
        <w:t xml:space="preserve"> </w:t>
      </w:r>
      <w:r w:rsidR="005E14B7">
        <w:rPr>
          <w:noProof/>
        </w:rPr>
        <w:t>In 2050</w:t>
      </w:r>
      <w:r w:rsidR="00F26B75">
        <w:rPr>
          <w:noProof/>
        </w:rPr>
        <w:t xml:space="preserve">, the average </w:t>
      </w:r>
      <w:r w:rsidR="00454E01">
        <w:rPr>
          <w:noProof/>
        </w:rPr>
        <w:t xml:space="preserve">change </w:t>
      </w:r>
      <w:r w:rsidR="00F26B75">
        <w:rPr>
          <w:noProof/>
        </w:rPr>
        <w:t xml:space="preserve">in suitable habitat </w:t>
      </w:r>
      <w:r w:rsidR="005E32BE">
        <w:rPr>
          <w:noProof/>
        </w:rPr>
        <w:t>stays stable in S2 and S3</w:t>
      </w:r>
      <w:r w:rsidR="005E14B7">
        <w:rPr>
          <w:noProof/>
        </w:rPr>
        <w:t xml:space="preserve"> </w:t>
      </w:r>
      <w:r w:rsidR="005E32BE">
        <w:rPr>
          <w:noProof/>
        </w:rPr>
        <w:t xml:space="preserve">and </w:t>
      </w:r>
      <w:r w:rsidR="005E14B7">
        <w:rPr>
          <w:noProof/>
        </w:rPr>
        <w:t>returns to 2020 levels for S1</w:t>
      </w:r>
      <w:r w:rsidR="005E32BE">
        <w:rPr>
          <w:noProof/>
        </w:rPr>
        <w:t xml:space="preserve">. </w:t>
      </w:r>
    </w:p>
    <w:p w14:paraId="2F061798" w14:textId="75613E28" w:rsidR="00F26B75" w:rsidRDefault="00F26B75" w:rsidP="00DD247E">
      <w:pPr>
        <w:rPr>
          <w:noProof/>
        </w:rPr>
      </w:pPr>
      <w:r>
        <w:rPr>
          <w:noProof/>
        </w:rPr>
        <w:t xml:space="preserve">In sum, the effects on biodiversity related to </w:t>
      </w:r>
      <w:r w:rsidR="0097423F">
        <w:rPr>
          <w:noProof/>
        </w:rPr>
        <w:t xml:space="preserve">additional </w:t>
      </w:r>
      <w:r>
        <w:rPr>
          <w:noProof/>
        </w:rPr>
        <w:t xml:space="preserve">nature-based </w:t>
      </w:r>
      <w:r w:rsidR="001E7643">
        <w:rPr>
          <w:noProof/>
        </w:rPr>
        <w:t>removals</w:t>
      </w:r>
      <w:r>
        <w:rPr>
          <w:noProof/>
        </w:rPr>
        <w:t xml:space="preserve"> are positive</w:t>
      </w:r>
      <w:r w:rsidR="008050A6">
        <w:rPr>
          <w:noProof/>
        </w:rPr>
        <w:t xml:space="preserve"> but small</w:t>
      </w:r>
      <w:r>
        <w:rPr>
          <w:noProof/>
        </w:rPr>
        <w:t>. However</w:t>
      </w:r>
      <w:r w:rsidR="00B61CD0">
        <w:rPr>
          <w:noProof/>
        </w:rPr>
        <w:t>,</w:t>
      </w:r>
      <w:r>
        <w:rPr>
          <w:noProof/>
        </w:rPr>
        <w:t xml:space="preserve"> the results also </w:t>
      </w:r>
      <w:r w:rsidR="00C3314B">
        <w:rPr>
          <w:noProof/>
        </w:rPr>
        <w:t xml:space="preserve">confirm </w:t>
      </w:r>
      <w:r>
        <w:rPr>
          <w:noProof/>
        </w:rPr>
        <w:t>the need to align climate and environmental action in a co-beneficial way to obtain s</w:t>
      </w:r>
      <w:r w:rsidRPr="00EF0F49">
        <w:rPr>
          <w:noProof/>
        </w:rPr>
        <w:t>ynergistic effects</w:t>
      </w:r>
      <w:r>
        <w:rPr>
          <w:noProof/>
        </w:rPr>
        <w:t>. Overall</w:t>
      </w:r>
      <w:r w:rsidR="00B61CD0">
        <w:rPr>
          <w:noProof/>
        </w:rPr>
        <w:t>,</w:t>
      </w:r>
      <w:r>
        <w:rPr>
          <w:noProof/>
        </w:rPr>
        <w:t xml:space="preserve"> on biodiversity and ecosystems, the effects on suitable habitats in Europe in S1 to S3 need to be complemented with the effects on acidification and eutrophication as shown in </w:t>
      </w:r>
      <w:r w:rsidR="00DD247E">
        <w:rPr>
          <w:noProof/>
        </w:rPr>
        <w:fldChar w:fldCharType="begin"/>
      </w:r>
      <w:r w:rsidR="00DD247E">
        <w:rPr>
          <w:noProof/>
        </w:rPr>
        <w:instrText xml:space="preserve"> REF _Ref145694797 \h  \* MERGEFORMAT </w:instrText>
      </w:r>
      <w:r w:rsidR="00DD247E">
        <w:rPr>
          <w:noProof/>
        </w:rPr>
      </w:r>
      <w:r w:rsidR="00DD247E">
        <w:rPr>
          <w:noProof/>
        </w:rPr>
        <w:fldChar w:fldCharType="separate"/>
      </w:r>
      <w:r w:rsidR="00170A3C">
        <w:rPr>
          <w:noProof/>
        </w:rPr>
        <w:t>Table 20</w:t>
      </w:r>
      <w:r w:rsidR="00DD247E">
        <w:rPr>
          <w:noProof/>
        </w:rPr>
        <w:fldChar w:fldCharType="end"/>
      </w:r>
      <w:r>
        <w:rPr>
          <w:noProof/>
        </w:rPr>
        <w:t xml:space="preserve">. The scenarios show a decline of affected area by 80% for acidification and 23.5% for eutrophication in 2040, which provides a significant positive impact for ecosystems.  </w:t>
      </w:r>
    </w:p>
    <w:bookmarkEnd w:id="557"/>
    <w:p w14:paraId="17C3E5F5" w14:textId="0221DBF9" w:rsidR="001A0163" w:rsidRPr="00CE0860" w:rsidRDefault="003F696D" w:rsidP="00DD247E">
      <w:pPr>
        <w:rPr>
          <w:noProof/>
        </w:rPr>
      </w:pPr>
      <w:r>
        <w:rPr>
          <w:noProof/>
        </w:rPr>
        <w:t>LIFE</w:t>
      </w:r>
      <w:r w:rsidR="001A0163">
        <w:rPr>
          <w:noProof/>
        </w:rPr>
        <w:t xml:space="preserve"> evolves around a dietary change from consumers</w:t>
      </w:r>
      <w:r w:rsidR="00756315">
        <w:rPr>
          <w:noProof/>
        </w:rPr>
        <w:t xml:space="preserve"> towards more healthy and sustainable food consumption</w:t>
      </w:r>
      <w:r w:rsidR="001A0163">
        <w:rPr>
          <w:noProof/>
        </w:rPr>
        <w:t>, the implementation of the Farm to Fork Strategy</w:t>
      </w:r>
      <w:r w:rsidR="001A0163">
        <w:rPr>
          <w:rFonts w:cs="Times New Roman"/>
          <w:noProof/>
        </w:rPr>
        <w:t xml:space="preserve">, </w:t>
      </w:r>
      <w:r w:rsidR="001A0163">
        <w:rPr>
          <w:noProof/>
        </w:rPr>
        <w:t xml:space="preserve">and food </w:t>
      </w:r>
      <w:r w:rsidR="001A0163" w:rsidRPr="00CE0860">
        <w:rPr>
          <w:noProof/>
        </w:rPr>
        <w:t>waste reduction (see Annex 6)</w:t>
      </w:r>
      <w:r w:rsidR="001D280E" w:rsidRPr="00CE0860">
        <w:rPr>
          <w:noProof/>
        </w:rPr>
        <w:t xml:space="preserve">. </w:t>
      </w:r>
      <w:r w:rsidR="00CD0CDC">
        <w:rPr>
          <w:noProof/>
        </w:rPr>
        <w:t>Derived from</w:t>
      </w:r>
      <w:r w:rsidR="001D280E" w:rsidRPr="00CE0860">
        <w:rPr>
          <w:noProof/>
        </w:rPr>
        <w:t xml:space="preserve"> the Farm to Fork Strategy</w:t>
      </w:r>
      <w:r w:rsidR="00013950" w:rsidRPr="00CE0860">
        <w:rPr>
          <w:noProof/>
        </w:rPr>
        <w:t xml:space="preserve"> and the Biodiversity Strategy</w:t>
      </w:r>
      <w:r w:rsidR="00D63D35">
        <w:rPr>
          <w:noProof/>
        </w:rPr>
        <w:t xml:space="preserve"> for 2030</w:t>
      </w:r>
      <w:r w:rsidR="001D280E" w:rsidRPr="00CE0860">
        <w:rPr>
          <w:noProof/>
        </w:rPr>
        <w:t xml:space="preserve">, the scenario </w:t>
      </w:r>
      <w:r w:rsidR="0004143E" w:rsidRPr="00CE0860">
        <w:rPr>
          <w:noProof/>
        </w:rPr>
        <w:t xml:space="preserve">produced some relevant </w:t>
      </w:r>
      <w:r w:rsidR="00013950" w:rsidRPr="00CE0860">
        <w:rPr>
          <w:noProof/>
        </w:rPr>
        <w:t>outputs</w:t>
      </w:r>
      <w:r w:rsidR="0041097A" w:rsidRPr="00CE0860">
        <w:rPr>
          <w:noProof/>
        </w:rPr>
        <w:t> (</w:t>
      </w:r>
      <w:r w:rsidR="0041097A" w:rsidRPr="00CE0860">
        <w:rPr>
          <w:rStyle w:val="FootnoteReference"/>
          <w:noProof/>
        </w:rPr>
        <w:footnoteReference w:id="231"/>
      </w:r>
      <w:r w:rsidR="0041097A" w:rsidRPr="00CE0860">
        <w:rPr>
          <w:noProof/>
        </w:rPr>
        <w:t>)</w:t>
      </w:r>
      <w:r w:rsidR="00013950" w:rsidRPr="00CE0860">
        <w:rPr>
          <w:noProof/>
        </w:rPr>
        <w:t xml:space="preserve"> which have a beneficial impact on </w:t>
      </w:r>
      <w:r w:rsidR="0004143E" w:rsidRPr="00CE0860">
        <w:rPr>
          <w:noProof/>
        </w:rPr>
        <w:t xml:space="preserve">biodiversity as </w:t>
      </w:r>
      <w:bookmarkStart w:id="559" w:name="_Hlk144976337"/>
      <w:r w:rsidR="0004143E" w:rsidRPr="00CE0860">
        <w:rPr>
          <w:noProof/>
        </w:rPr>
        <w:t>shown in</w:t>
      </w:r>
      <w:r w:rsidR="00013950" w:rsidRPr="00CE0860">
        <w:rPr>
          <w:noProof/>
        </w:rPr>
        <w:t xml:space="preserve"> </w:t>
      </w:r>
      <w:r w:rsidR="00013950" w:rsidRPr="00CE0860">
        <w:rPr>
          <w:noProof/>
        </w:rPr>
        <w:fldChar w:fldCharType="begin"/>
      </w:r>
      <w:r w:rsidR="00013950" w:rsidRPr="00CE0860">
        <w:rPr>
          <w:noProof/>
        </w:rPr>
        <w:instrText xml:space="preserve"> REF _Ref145694063 \h </w:instrText>
      </w:r>
      <w:r w:rsidR="00DD247E" w:rsidRPr="00CE0860">
        <w:rPr>
          <w:noProof/>
        </w:rPr>
        <w:instrText xml:space="preserve"> \* MERGEFORMAT </w:instrText>
      </w:r>
      <w:r w:rsidR="00013950" w:rsidRPr="00CE0860">
        <w:rPr>
          <w:noProof/>
        </w:rPr>
      </w:r>
      <w:r w:rsidR="00013950" w:rsidRPr="00CE0860">
        <w:rPr>
          <w:noProof/>
        </w:rPr>
        <w:fldChar w:fldCharType="separate"/>
      </w:r>
      <w:r w:rsidR="00170A3C" w:rsidRPr="00CE0860">
        <w:rPr>
          <w:noProof/>
        </w:rPr>
        <w:t xml:space="preserve">Table </w:t>
      </w:r>
      <w:r w:rsidR="00170A3C">
        <w:rPr>
          <w:noProof/>
        </w:rPr>
        <w:t>21</w:t>
      </w:r>
      <w:r w:rsidR="00013950" w:rsidRPr="00CE0860">
        <w:rPr>
          <w:noProof/>
        </w:rPr>
        <w:fldChar w:fldCharType="end"/>
      </w:r>
      <w:r w:rsidR="00B44C17" w:rsidRPr="00CE0860">
        <w:rPr>
          <w:noProof/>
        </w:rPr>
        <w:t>.</w:t>
      </w:r>
    </w:p>
    <w:p w14:paraId="7252915C" w14:textId="47FA43E7" w:rsidR="00013950" w:rsidRDefault="00013950" w:rsidP="00422775">
      <w:pPr>
        <w:pStyle w:val="Caption"/>
        <w:keepLines/>
        <w:rPr>
          <w:noProof/>
        </w:rPr>
      </w:pPr>
      <w:bookmarkStart w:id="560" w:name="_Ref145694063"/>
      <w:bookmarkStart w:id="561" w:name="_Toc157679904"/>
      <w:r w:rsidRPr="00CE0860">
        <w:rPr>
          <w:noProof/>
        </w:rPr>
        <w:t xml:space="preserve">Table </w:t>
      </w:r>
      <w:r w:rsidRPr="00CE0860">
        <w:rPr>
          <w:noProof/>
        </w:rPr>
        <w:fldChar w:fldCharType="begin"/>
      </w:r>
      <w:r w:rsidRPr="00CE0860">
        <w:rPr>
          <w:noProof/>
        </w:rPr>
        <w:instrText>SEQ Table \* ARABIC</w:instrText>
      </w:r>
      <w:r w:rsidRPr="00CE0860">
        <w:rPr>
          <w:noProof/>
        </w:rPr>
        <w:fldChar w:fldCharType="separate"/>
      </w:r>
      <w:r w:rsidR="00170A3C">
        <w:rPr>
          <w:noProof/>
        </w:rPr>
        <w:t>21</w:t>
      </w:r>
      <w:r w:rsidRPr="00CE0860">
        <w:rPr>
          <w:noProof/>
        </w:rPr>
        <w:fldChar w:fldCharType="end"/>
      </w:r>
      <w:bookmarkEnd w:id="560"/>
      <w:r w:rsidRPr="00CE0860">
        <w:rPr>
          <w:noProof/>
        </w:rPr>
        <w:t>: Overview of Farm</w:t>
      </w:r>
      <w:r>
        <w:rPr>
          <w:noProof/>
        </w:rPr>
        <w:t xml:space="preserve"> to Fork objectives indicators in LIFE in 2040</w:t>
      </w:r>
      <w:bookmarkEnd w:id="561"/>
      <w:r>
        <w:rPr>
          <w:noProof/>
        </w:rPr>
        <w:t xml:space="preserve"> </w:t>
      </w:r>
    </w:p>
    <w:tbl>
      <w:tblPr>
        <w:tblW w:w="7840" w:type="dxa"/>
        <w:tblInd w:w="108" w:type="dxa"/>
        <w:tblLook w:val="04A0" w:firstRow="1" w:lastRow="0" w:firstColumn="1" w:lastColumn="0" w:noHBand="0" w:noVBand="1"/>
      </w:tblPr>
      <w:tblGrid>
        <w:gridCol w:w="4136"/>
        <w:gridCol w:w="1236"/>
        <w:gridCol w:w="1234"/>
        <w:gridCol w:w="1234"/>
      </w:tblGrid>
      <w:tr w:rsidR="00013950" w:rsidRPr="00013950" w14:paraId="4AA89F7A" w14:textId="77777777" w:rsidTr="00013950">
        <w:trPr>
          <w:trHeight w:val="570"/>
        </w:trPr>
        <w:tc>
          <w:tcPr>
            <w:tcW w:w="4136" w:type="dxa"/>
            <w:tcBorders>
              <w:top w:val="single" w:sz="12" w:space="0" w:color="auto"/>
              <w:left w:val="nil"/>
              <w:bottom w:val="single" w:sz="12" w:space="0" w:color="auto"/>
              <w:right w:val="nil"/>
            </w:tcBorders>
            <w:shd w:val="clear" w:color="auto" w:fill="auto"/>
            <w:noWrap/>
            <w:vAlign w:val="center"/>
            <w:hideMark/>
          </w:tcPr>
          <w:p w14:paraId="301BD30E" w14:textId="77777777" w:rsidR="00013950" w:rsidRPr="00013950" w:rsidRDefault="00013950" w:rsidP="00422775">
            <w:pPr>
              <w:keepNext/>
              <w:keepLines/>
              <w:spacing w:after="0"/>
              <w:jc w:val="left"/>
              <w:rPr>
                <w:rFonts w:ascii="EC Square Sans Cond Pro" w:eastAsia="Times New Roman" w:hAnsi="EC Square Sans Cond Pro" w:cs="Calibri"/>
                <w:noProof/>
                <w:color w:val="000000"/>
                <w:sz w:val="18"/>
                <w:szCs w:val="18"/>
                <w:lang w:val="en-IE"/>
              </w:rPr>
            </w:pPr>
            <w:r w:rsidRPr="00013950">
              <w:rPr>
                <w:rFonts w:ascii="Calibri" w:eastAsia="Times New Roman" w:hAnsi="Calibri" w:cs="Calibri"/>
                <w:noProof/>
                <w:color w:val="000000"/>
                <w:sz w:val="18"/>
                <w:szCs w:val="18"/>
                <w:lang w:val="en-IE"/>
              </w:rPr>
              <w:t> </w:t>
            </w:r>
          </w:p>
        </w:tc>
        <w:tc>
          <w:tcPr>
            <w:tcW w:w="1236" w:type="dxa"/>
            <w:tcBorders>
              <w:top w:val="single" w:sz="12" w:space="0" w:color="auto"/>
              <w:left w:val="nil"/>
              <w:bottom w:val="single" w:sz="12" w:space="0" w:color="auto"/>
              <w:right w:val="nil"/>
            </w:tcBorders>
            <w:shd w:val="clear" w:color="auto" w:fill="auto"/>
            <w:vAlign w:val="center"/>
            <w:hideMark/>
          </w:tcPr>
          <w:p w14:paraId="367C8027" w14:textId="77777777" w:rsidR="00013950" w:rsidRPr="00013950" w:rsidRDefault="00013950" w:rsidP="00422775">
            <w:pPr>
              <w:keepNext/>
              <w:keepLines/>
              <w:spacing w:after="0"/>
              <w:jc w:val="center"/>
              <w:rPr>
                <w:rFonts w:ascii="EC Square Sans Cond Pro" w:eastAsia="Times New Roman" w:hAnsi="EC Square Sans Cond Pro" w:cs="Calibri"/>
                <w:b/>
                <w:bCs/>
                <w:noProof/>
                <w:color w:val="000000"/>
                <w:sz w:val="20"/>
                <w:szCs w:val="20"/>
                <w:lang w:val="en-IE"/>
              </w:rPr>
            </w:pPr>
            <w:r w:rsidRPr="00013950">
              <w:rPr>
                <w:rFonts w:ascii="EC Square Sans Cond Pro" w:eastAsia="Times New Roman" w:hAnsi="EC Square Sans Cond Pro" w:cs="Calibri"/>
                <w:b/>
                <w:bCs/>
                <w:noProof/>
                <w:color w:val="000000"/>
                <w:sz w:val="20"/>
                <w:szCs w:val="20"/>
                <w:lang w:val="en-IE"/>
              </w:rPr>
              <w:t>total</w:t>
            </w:r>
          </w:p>
        </w:tc>
        <w:tc>
          <w:tcPr>
            <w:tcW w:w="1234" w:type="dxa"/>
            <w:tcBorders>
              <w:top w:val="single" w:sz="12" w:space="0" w:color="auto"/>
              <w:left w:val="nil"/>
              <w:bottom w:val="single" w:sz="12" w:space="0" w:color="auto"/>
              <w:right w:val="nil"/>
            </w:tcBorders>
            <w:shd w:val="clear" w:color="auto" w:fill="auto"/>
            <w:vAlign w:val="center"/>
            <w:hideMark/>
          </w:tcPr>
          <w:p w14:paraId="614D1742" w14:textId="51A6262E" w:rsidR="00013950" w:rsidRPr="00013950" w:rsidRDefault="00013950" w:rsidP="00422775">
            <w:pPr>
              <w:keepNext/>
              <w:keepLines/>
              <w:spacing w:after="0"/>
              <w:jc w:val="center"/>
              <w:rPr>
                <w:rFonts w:ascii="EC Square Sans Cond Pro" w:eastAsia="Times New Roman" w:hAnsi="EC Square Sans Cond Pro" w:cs="Calibri"/>
                <w:b/>
                <w:bCs/>
                <w:noProof/>
                <w:color w:val="000000"/>
                <w:sz w:val="20"/>
                <w:szCs w:val="20"/>
                <w:lang w:val="en-IE"/>
              </w:rPr>
            </w:pPr>
            <w:r w:rsidRPr="00013950">
              <w:rPr>
                <w:rFonts w:ascii="EC Square Sans Cond Pro" w:eastAsia="Times New Roman" w:hAnsi="EC Square Sans Cond Pro" w:cs="Calibri"/>
                <w:b/>
                <w:bCs/>
                <w:noProof/>
                <w:color w:val="000000"/>
                <w:sz w:val="20"/>
                <w:szCs w:val="20"/>
                <w:lang w:val="en-IE"/>
              </w:rPr>
              <w:t>Change</w:t>
            </w:r>
            <w:r w:rsidR="0041097A">
              <w:rPr>
                <w:rFonts w:ascii="EC Square Sans Cond Pro" w:eastAsia="Times New Roman" w:hAnsi="EC Square Sans Cond Pro" w:cs="Calibri"/>
                <w:b/>
                <w:bCs/>
                <w:noProof/>
                <w:color w:val="000000"/>
                <w:sz w:val="20"/>
                <w:szCs w:val="20"/>
                <w:lang w:val="en-IE"/>
              </w:rPr>
              <w:t xml:space="preserve"> to</w:t>
            </w:r>
            <w:r w:rsidRPr="00013950">
              <w:rPr>
                <w:rFonts w:ascii="EC Square Sans Cond Pro" w:eastAsia="Times New Roman" w:hAnsi="EC Square Sans Cond Pro" w:cs="Calibri"/>
                <w:b/>
                <w:bCs/>
                <w:noProof/>
                <w:color w:val="000000"/>
                <w:sz w:val="20"/>
                <w:szCs w:val="20"/>
                <w:lang w:val="en-IE"/>
              </w:rPr>
              <w:t xml:space="preserve"> 2020</w:t>
            </w:r>
          </w:p>
        </w:tc>
        <w:tc>
          <w:tcPr>
            <w:tcW w:w="1234" w:type="dxa"/>
            <w:tcBorders>
              <w:top w:val="single" w:sz="12" w:space="0" w:color="auto"/>
              <w:left w:val="nil"/>
              <w:bottom w:val="single" w:sz="12" w:space="0" w:color="auto"/>
              <w:right w:val="nil"/>
            </w:tcBorders>
            <w:shd w:val="clear" w:color="auto" w:fill="auto"/>
            <w:vAlign w:val="center"/>
            <w:hideMark/>
          </w:tcPr>
          <w:p w14:paraId="65821691" w14:textId="5BD37104" w:rsidR="00013950" w:rsidRPr="00013950" w:rsidRDefault="00013950" w:rsidP="00422775">
            <w:pPr>
              <w:keepNext/>
              <w:keepLines/>
              <w:spacing w:after="0"/>
              <w:jc w:val="center"/>
              <w:rPr>
                <w:rFonts w:ascii="EC Square Sans Cond Pro" w:eastAsia="Times New Roman" w:hAnsi="EC Square Sans Cond Pro" w:cs="Calibri"/>
                <w:b/>
                <w:bCs/>
                <w:noProof/>
                <w:color w:val="000000"/>
                <w:sz w:val="20"/>
                <w:szCs w:val="20"/>
                <w:lang w:val="en-IE"/>
              </w:rPr>
            </w:pPr>
            <w:r w:rsidRPr="00013950">
              <w:rPr>
                <w:rFonts w:ascii="EC Square Sans Cond Pro" w:eastAsia="Times New Roman" w:hAnsi="EC Square Sans Cond Pro" w:cs="Calibri"/>
                <w:b/>
                <w:bCs/>
                <w:noProof/>
                <w:color w:val="000000"/>
                <w:sz w:val="20"/>
                <w:szCs w:val="20"/>
                <w:lang w:val="en-IE"/>
              </w:rPr>
              <w:t xml:space="preserve">Change to </w:t>
            </w:r>
            <w:r w:rsidR="00462CB1">
              <w:rPr>
                <w:rFonts w:ascii="EC Square Sans Cond Pro" w:eastAsia="Times New Roman" w:hAnsi="EC Square Sans Cond Pro" w:cs="Calibri"/>
                <w:b/>
                <w:bCs/>
                <w:noProof/>
                <w:color w:val="000000"/>
                <w:sz w:val="20"/>
                <w:szCs w:val="20"/>
                <w:lang w:val="en-IE"/>
              </w:rPr>
              <w:t>S</w:t>
            </w:r>
            <w:r w:rsidR="008037AC">
              <w:rPr>
                <w:rFonts w:ascii="EC Square Sans Cond Pro" w:eastAsia="Times New Roman" w:hAnsi="EC Square Sans Cond Pro" w:cs="Calibri"/>
                <w:b/>
                <w:bCs/>
                <w:noProof/>
                <w:color w:val="000000"/>
                <w:sz w:val="20"/>
                <w:szCs w:val="20"/>
                <w:lang w:val="en-IE"/>
              </w:rPr>
              <w:t xml:space="preserve">1 - </w:t>
            </w:r>
            <w:r w:rsidR="0097423F" w:rsidRPr="00013950">
              <w:rPr>
                <w:rFonts w:ascii="EC Square Sans Cond Pro" w:eastAsia="Times New Roman" w:hAnsi="EC Square Sans Cond Pro" w:cs="Calibri"/>
                <w:b/>
                <w:bCs/>
                <w:noProof/>
                <w:color w:val="000000"/>
                <w:sz w:val="20"/>
                <w:szCs w:val="20"/>
                <w:lang w:val="en-IE"/>
              </w:rPr>
              <w:t>S</w:t>
            </w:r>
            <w:r w:rsidR="0097423F">
              <w:rPr>
                <w:rFonts w:ascii="EC Square Sans Cond Pro" w:eastAsia="Times New Roman" w:hAnsi="EC Square Sans Cond Pro" w:cs="Calibri"/>
                <w:b/>
                <w:bCs/>
                <w:noProof/>
                <w:color w:val="000000"/>
                <w:sz w:val="20"/>
                <w:szCs w:val="20"/>
                <w:lang w:val="en-IE"/>
              </w:rPr>
              <w:t>3</w:t>
            </w:r>
            <w:r w:rsidRPr="00013950">
              <w:rPr>
                <w:rFonts w:ascii="EC Square Sans Cond Pro" w:eastAsia="Times New Roman" w:hAnsi="EC Square Sans Cond Pro" w:cs="Calibri"/>
                <w:b/>
                <w:bCs/>
                <w:noProof/>
                <w:color w:val="000000"/>
                <w:sz w:val="20"/>
                <w:szCs w:val="20"/>
                <w:lang w:val="en-IE"/>
              </w:rPr>
              <w:t xml:space="preserve"> in 2040</w:t>
            </w:r>
          </w:p>
        </w:tc>
      </w:tr>
      <w:tr w:rsidR="00013950" w:rsidRPr="00013950" w14:paraId="4DD7C006" w14:textId="77777777" w:rsidTr="00013950">
        <w:trPr>
          <w:trHeight w:val="480"/>
        </w:trPr>
        <w:tc>
          <w:tcPr>
            <w:tcW w:w="4136" w:type="dxa"/>
            <w:tcBorders>
              <w:top w:val="nil"/>
              <w:left w:val="nil"/>
              <w:bottom w:val="nil"/>
              <w:right w:val="nil"/>
            </w:tcBorders>
            <w:shd w:val="clear" w:color="auto" w:fill="auto"/>
            <w:noWrap/>
            <w:vAlign w:val="center"/>
            <w:hideMark/>
          </w:tcPr>
          <w:p w14:paraId="41FAED40" w14:textId="77777777" w:rsidR="00013950" w:rsidRPr="00013950" w:rsidRDefault="00013950" w:rsidP="00422775">
            <w:pPr>
              <w:keepNext/>
              <w:keepLines/>
              <w:spacing w:after="0"/>
              <w:jc w:val="left"/>
              <w:rPr>
                <w:rFonts w:ascii="EC Square Sans Cond Pro" w:eastAsia="Times New Roman" w:hAnsi="EC Square Sans Cond Pro" w:cs="Calibri"/>
                <w:noProof/>
                <w:color w:val="000000"/>
                <w:sz w:val="20"/>
                <w:szCs w:val="20"/>
                <w:lang w:val="fr-BE"/>
              </w:rPr>
            </w:pPr>
            <w:r w:rsidRPr="00013950">
              <w:rPr>
                <w:rFonts w:ascii="EC Square Sans Cond Pro" w:eastAsia="Times New Roman" w:hAnsi="EC Square Sans Cond Pro" w:cs="Calibri"/>
                <w:noProof/>
                <w:color w:val="000000"/>
                <w:sz w:val="20"/>
                <w:szCs w:val="20"/>
                <w:lang w:val="fr-BE"/>
              </w:rPr>
              <w:t>Nutrient surplus total [in 1000t]</w:t>
            </w:r>
          </w:p>
        </w:tc>
        <w:tc>
          <w:tcPr>
            <w:tcW w:w="1236" w:type="dxa"/>
            <w:tcBorders>
              <w:top w:val="nil"/>
              <w:left w:val="nil"/>
              <w:bottom w:val="nil"/>
              <w:right w:val="nil"/>
            </w:tcBorders>
            <w:shd w:val="clear" w:color="auto" w:fill="auto"/>
            <w:noWrap/>
            <w:vAlign w:val="center"/>
            <w:hideMark/>
          </w:tcPr>
          <w:p w14:paraId="526C9999" w14:textId="77777777" w:rsidR="00013950" w:rsidRPr="00013950" w:rsidRDefault="00013950" w:rsidP="00422775">
            <w:pPr>
              <w:keepNext/>
              <w:keepLines/>
              <w:spacing w:after="0"/>
              <w:jc w:val="center"/>
              <w:rPr>
                <w:rFonts w:ascii="EC Square Sans Cond Pro" w:eastAsia="Times New Roman" w:hAnsi="EC Square Sans Cond Pro" w:cs="Calibri"/>
                <w:noProof/>
                <w:color w:val="000000"/>
                <w:sz w:val="20"/>
                <w:szCs w:val="20"/>
                <w:lang w:val="en-IE"/>
              </w:rPr>
            </w:pPr>
            <w:r w:rsidRPr="00013950">
              <w:rPr>
                <w:rFonts w:ascii="EC Square Sans Cond Pro" w:eastAsia="Times New Roman" w:hAnsi="EC Square Sans Cond Pro" w:cs="Calibri"/>
                <w:noProof/>
                <w:color w:val="000000"/>
                <w:sz w:val="20"/>
                <w:szCs w:val="20"/>
                <w:lang w:val="en-IE"/>
              </w:rPr>
              <w:t>5,504.794</w:t>
            </w:r>
          </w:p>
        </w:tc>
        <w:tc>
          <w:tcPr>
            <w:tcW w:w="1234" w:type="dxa"/>
            <w:tcBorders>
              <w:top w:val="nil"/>
              <w:left w:val="nil"/>
              <w:bottom w:val="nil"/>
              <w:right w:val="nil"/>
            </w:tcBorders>
            <w:shd w:val="clear" w:color="auto" w:fill="auto"/>
            <w:noWrap/>
            <w:vAlign w:val="center"/>
            <w:hideMark/>
          </w:tcPr>
          <w:p w14:paraId="2B4D6B42" w14:textId="77777777" w:rsidR="00013950" w:rsidRPr="00013950" w:rsidRDefault="00013950" w:rsidP="00422775">
            <w:pPr>
              <w:keepNext/>
              <w:keepLines/>
              <w:spacing w:after="0"/>
              <w:jc w:val="center"/>
              <w:rPr>
                <w:rFonts w:ascii="EC Square Sans Cond Pro" w:eastAsia="Times New Roman" w:hAnsi="EC Square Sans Cond Pro" w:cs="Calibri"/>
                <w:noProof/>
                <w:color w:val="000000"/>
                <w:sz w:val="20"/>
                <w:szCs w:val="20"/>
                <w:lang w:val="en-IE"/>
              </w:rPr>
            </w:pPr>
            <w:r w:rsidRPr="00013950">
              <w:rPr>
                <w:rFonts w:ascii="EC Square Sans Cond Pro" w:eastAsia="Times New Roman" w:hAnsi="EC Square Sans Cond Pro" w:cs="Calibri"/>
                <w:noProof/>
                <w:color w:val="000000"/>
                <w:sz w:val="20"/>
                <w:szCs w:val="20"/>
                <w:lang w:val="en-IE"/>
              </w:rPr>
              <w:t>-49%</w:t>
            </w:r>
          </w:p>
        </w:tc>
        <w:tc>
          <w:tcPr>
            <w:tcW w:w="1234" w:type="dxa"/>
            <w:tcBorders>
              <w:top w:val="nil"/>
              <w:left w:val="nil"/>
              <w:bottom w:val="nil"/>
              <w:right w:val="nil"/>
            </w:tcBorders>
            <w:shd w:val="clear" w:color="auto" w:fill="auto"/>
            <w:noWrap/>
            <w:vAlign w:val="center"/>
            <w:hideMark/>
          </w:tcPr>
          <w:p w14:paraId="5418934C" w14:textId="77777777" w:rsidR="00013950" w:rsidRPr="00013950" w:rsidRDefault="00013950" w:rsidP="00422775">
            <w:pPr>
              <w:keepNext/>
              <w:keepLines/>
              <w:spacing w:after="0"/>
              <w:jc w:val="center"/>
              <w:rPr>
                <w:rFonts w:ascii="EC Square Sans Cond Pro" w:eastAsia="Times New Roman" w:hAnsi="EC Square Sans Cond Pro" w:cs="Calibri"/>
                <w:noProof/>
                <w:color w:val="000000"/>
                <w:sz w:val="20"/>
                <w:szCs w:val="20"/>
                <w:lang w:val="en-IE"/>
              </w:rPr>
            </w:pPr>
            <w:r w:rsidRPr="00013950">
              <w:rPr>
                <w:rFonts w:ascii="EC Square Sans Cond Pro" w:eastAsia="Times New Roman" w:hAnsi="EC Square Sans Cond Pro" w:cs="Calibri"/>
                <w:noProof/>
                <w:color w:val="000000"/>
                <w:sz w:val="20"/>
                <w:szCs w:val="20"/>
                <w:lang w:val="en-IE"/>
              </w:rPr>
              <w:t>-48%</w:t>
            </w:r>
          </w:p>
        </w:tc>
      </w:tr>
      <w:tr w:rsidR="00013950" w:rsidRPr="00013950" w14:paraId="56EDD50A" w14:textId="77777777" w:rsidTr="00013950">
        <w:trPr>
          <w:trHeight w:val="480"/>
        </w:trPr>
        <w:tc>
          <w:tcPr>
            <w:tcW w:w="4136" w:type="dxa"/>
            <w:tcBorders>
              <w:top w:val="nil"/>
              <w:left w:val="nil"/>
              <w:bottom w:val="nil"/>
              <w:right w:val="nil"/>
            </w:tcBorders>
            <w:shd w:val="clear" w:color="auto" w:fill="auto"/>
            <w:noWrap/>
            <w:vAlign w:val="center"/>
            <w:hideMark/>
          </w:tcPr>
          <w:p w14:paraId="68EE71DB" w14:textId="77777777" w:rsidR="00013950" w:rsidRPr="00013950" w:rsidRDefault="00013950" w:rsidP="00422775">
            <w:pPr>
              <w:keepNext/>
              <w:keepLines/>
              <w:spacing w:after="0"/>
              <w:jc w:val="left"/>
              <w:rPr>
                <w:rFonts w:ascii="EC Square Sans Cond Pro" w:eastAsia="Times New Roman" w:hAnsi="EC Square Sans Cond Pro" w:cs="Calibri"/>
                <w:noProof/>
                <w:color w:val="000000"/>
                <w:sz w:val="20"/>
                <w:szCs w:val="20"/>
                <w:lang w:val="en-IE"/>
              </w:rPr>
            </w:pPr>
            <w:r w:rsidRPr="00013950">
              <w:rPr>
                <w:rFonts w:ascii="EC Square Sans Cond Pro" w:eastAsia="Times New Roman" w:hAnsi="EC Square Sans Cond Pro" w:cs="Calibri"/>
                <w:noProof/>
                <w:color w:val="000000"/>
                <w:sz w:val="20"/>
                <w:szCs w:val="20"/>
                <w:lang w:val="en-IE"/>
              </w:rPr>
              <w:t>Mineral fertilizer use</w:t>
            </w:r>
          </w:p>
        </w:tc>
        <w:tc>
          <w:tcPr>
            <w:tcW w:w="1236" w:type="dxa"/>
            <w:tcBorders>
              <w:top w:val="nil"/>
              <w:left w:val="nil"/>
              <w:bottom w:val="nil"/>
              <w:right w:val="nil"/>
            </w:tcBorders>
            <w:shd w:val="clear" w:color="auto" w:fill="auto"/>
            <w:noWrap/>
            <w:vAlign w:val="center"/>
            <w:hideMark/>
          </w:tcPr>
          <w:p w14:paraId="1E92C9EF" w14:textId="77777777" w:rsidR="00013950" w:rsidRPr="00013950" w:rsidRDefault="00013950" w:rsidP="00422775">
            <w:pPr>
              <w:keepNext/>
              <w:keepLines/>
              <w:spacing w:after="0"/>
              <w:jc w:val="center"/>
              <w:rPr>
                <w:rFonts w:ascii="EC Square Sans Cond Pro" w:eastAsia="Times New Roman" w:hAnsi="EC Square Sans Cond Pro" w:cs="Calibri"/>
                <w:noProof/>
                <w:color w:val="000000"/>
                <w:sz w:val="20"/>
                <w:szCs w:val="20"/>
                <w:lang w:val="en-IE"/>
              </w:rPr>
            </w:pPr>
            <w:r w:rsidRPr="00013950">
              <w:rPr>
                <w:rFonts w:ascii="EC Square Sans Cond Pro" w:eastAsia="Times New Roman" w:hAnsi="EC Square Sans Cond Pro" w:cs="Calibri"/>
                <w:noProof/>
                <w:color w:val="000000"/>
                <w:sz w:val="20"/>
                <w:szCs w:val="20"/>
                <w:lang w:val="en-IE"/>
              </w:rPr>
              <w:t>5,904</w:t>
            </w:r>
          </w:p>
        </w:tc>
        <w:tc>
          <w:tcPr>
            <w:tcW w:w="1234" w:type="dxa"/>
            <w:tcBorders>
              <w:top w:val="nil"/>
              <w:left w:val="nil"/>
              <w:bottom w:val="nil"/>
              <w:right w:val="nil"/>
            </w:tcBorders>
            <w:shd w:val="clear" w:color="auto" w:fill="auto"/>
            <w:noWrap/>
            <w:vAlign w:val="center"/>
            <w:hideMark/>
          </w:tcPr>
          <w:p w14:paraId="00599478" w14:textId="77777777" w:rsidR="00013950" w:rsidRPr="00013950" w:rsidRDefault="00013950" w:rsidP="00422775">
            <w:pPr>
              <w:keepNext/>
              <w:keepLines/>
              <w:spacing w:after="0"/>
              <w:jc w:val="center"/>
              <w:rPr>
                <w:rFonts w:ascii="EC Square Sans Cond Pro" w:eastAsia="Times New Roman" w:hAnsi="EC Square Sans Cond Pro" w:cs="Calibri"/>
                <w:noProof/>
                <w:color w:val="000000"/>
                <w:sz w:val="20"/>
                <w:szCs w:val="20"/>
                <w:lang w:val="en-IE"/>
              </w:rPr>
            </w:pPr>
            <w:r w:rsidRPr="00013950">
              <w:rPr>
                <w:rFonts w:ascii="EC Square Sans Cond Pro" w:eastAsia="Times New Roman" w:hAnsi="EC Square Sans Cond Pro" w:cs="Calibri"/>
                <w:noProof/>
                <w:color w:val="000000"/>
                <w:sz w:val="20"/>
                <w:szCs w:val="20"/>
                <w:lang w:val="en-IE"/>
              </w:rPr>
              <w:t>-41%</w:t>
            </w:r>
          </w:p>
        </w:tc>
        <w:tc>
          <w:tcPr>
            <w:tcW w:w="1234" w:type="dxa"/>
            <w:tcBorders>
              <w:top w:val="nil"/>
              <w:left w:val="nil"/>
              <w:bottom w:val="nil"/>
              <w:right w:val="nil"/>
            </w:tcBorders>
            <w:shd w:val="clear" w:color="auto" w:fill="auto"/>
            <w:noWrap/>
            <w:vAlign w:val="center"/>
            <w:hideMark/>
          </w:tcPr>
          <w:p w14:paraId="07A16D61" w14:textId="77777777" w:rsidR="00013950" w:rsidRPr="00013950" w:rsidRDefault="00013950" w:rsidP="00422775">
            <w:pPr>
              <w:keepNext/>
              <w:keepLines/>
              <w:spacing w:after="0"/>
              <w:jc w:val="center"/>
              <w:rPr>
                <w:rFonts w:ascii="EC Square Sans Cond Pro" w:eastAsia="Times New Roman" w:hAnsi="EC Square Sans Cond Pro" w:cs="Calibri"/>
                <w:noProof/>
                <w:color w:val="000000"/>
                <w:sz w:val="20"/>
                <w:szCs w:val="20"/>
                <w:lang w:val="en-IE"/>
              </w:rPr>
            </w:pPr>
            <w:r w:rsidRPr="00013950">
              <w:rPr>
                <w:rFonts w:ascii="EC Square Sans Cond Pro" w:eastAsia="Times New Roman" w:hAnsi="EC Square Sans Cond Pro" w:cs="Calibri"/>
                <w:noProof/>
                <w:color w:val="000000"/>
                <w:sz w:val="20"/>
                <w:szCs w:val="20"/>
                <w:lang w:val="en-IE"/>
              </w:rPr>
              <w:t>-44%</w:t>
            </w:r>
          </w:p>
        </w:tc>
      </w:tr>
      <w:tr w:rsidR="00013950" w:rsidRPr="00013950" w14:paraId="54D7A71D" w14:textId="77777777" w:rsidTr="00013950">
        <w:trPr>
          <w:trHeight w:val="480"/>
        </w:trPr>
        <w:tc>
          <w:tcPr>
            <w:tcW w:w="4136" w:type="dxa"/>
            <w:tcBorders>
              <w:top w:val="nil"/>
              <w:left w:val="nil"/>
              <w:bottom w:val="nil"/>
              <w:right w:val="nil"/>
            </w:tcBorders>
            <w:shd w:val="clear" w:color="auto" w:fill="auto"/>
            <w:noWrap/>
            <w:vAlign w:val="center"/>
            <w:hideMark/>
          </w:tcPr>
          <w:p w14:paraId="7D12CEB1" w14:textId="77777777" w:rsidR="00013950" w:rsidRPr="00013950" w:rsidRDefault="00013950" w:rsidP="00422775">
            <w:pPr>
              <w:keepNext/>
              <w:keepLines/>
              <w:spacing w:after="0"/>
              <w:jc w:val="left"/>
              <w:rPr>
                <w:rFonts w:ascii="EC Square Sans Cond Pro" w:eastAsia="Times New Roman" w:hAnsi="EC Square Sans Cond Pro" w:cs="Calibri"/>
                <w:noProof/>
                <w:color w:val="000000"/>
                <w:sz w:val="20"/>
                <w:szCs w:val="20"/>
                <w:lang w:val="en-IE"/>
              </w:rPr>
            </w:pPr>
            <w:r w:rsidRPr="00013950">
              <w:rPr>
                <w:rFonts w:ascii="EC Square Sans Cond Pro" w:eastAsia="Times New Roman" w:hAnsi="EC Square Sans Cond Pro" w:cs="Calibri"/>
                <w:noProof/>
                <w:color w:val="000000"/>
                <w:sz w:val="20"/>
                <w:szCs w:val="20"/>
                <w:lang w:val="en-IE"/>
              </w:rPr>
              <w:t xml:space="preserve">Chemical pesticide Use </w:t>
            </w:r>
          </w:p>
        </w:tc>
        <w:tc>
          <w:tcPr>
            <w:tcW w:w="1236" w:type="dxa"/>
            <w:tcBorders>
              <w:top w:val="nil"/>
              <w:left w:val="nil"/>
              <w:bottom w:val="nil"/>
              <w:right w:val="nil"/>
            </w:tcBorders>
            <w:shd w:val="clear" w:color="auto" w:fill="auto"/>
            <w:noWrap/>
            <w:vAlign w:val="center"/>
            <w:hideMark/>
          </w:tcPr>
          <w:p w14:paraId="559046B3" w14:textId="77777777" w:rsidR="00013950" w:rsidRPr="00013950" w:rsidRDefault="00013950" w:rsidP="00422775">
            <w:pPr>
              <w:keepNext/>
              <w:keepLines/>
              <w:spacing w:after="0"/>
              <w:jc w:val="center"/>
              <w:rPr>
                <w:rFonts w:ascii="EC Square Sans Cond Pro" w:eastAsia="Times New Roman" w:hAnsi="EC Square Sans Cond Pro" w:cs="Calibri"/>
                <w:noProof/>
                <w:color w:val="000000"/>
                <w:sz w:val="20"/>
                <w:szCs w:val="20"/>
                <w:lang w:val="en-IE"/>
              </w:rPr>
            </w:pPr>
            <w:r w:rsidRPr="00013950">
              <w:rPr>
                <w:rFonts w:ascii="EC Square Sans Cond Pro" w:eastAsia="Times New Roman" w:hAnsi="EC Square Sans Cond Pro" w:cs="Calibri"/>
                <w:noProof/>
                <w:color w:val="000000"/>
                <w:sz w:val="20"/>
                <w:szCs w:val="20"/>
                <w:lang w:val="en-IE"/>
              </w:rPr>
              <w:t>7307</w:t>
            </w:r>
          </w:p>
        </w:tc>
        <w:tc>
          <w:tcPr>
            <w:tcW w:w="1234" w:type="dxa"/>
            <w:tcBorders>
              <w:top w:val="nil"/>
              <w:left w:val="nil"/>
              <w:bottom w:val="nil"/>
              <w:right w:val="nil"/>
            </w:tcBorders>
            <w:shd w:val="clear" w:color="auto" w:fill="auto"/>
            <w:noWrap/>
            <w:vAlign w:val="center"/>
            <w:hideMark/>
          </w:tcPr>
          <w:p w14:paraId="1AF5182C" w14:textId="77777777" w:rsidR="00013950" w:rsidRPr="00013950" w:rsidRDefault="00013950" w:rsidP="00422775">
            <w:pPr>
              <w:keepNext/>
              <w:keepLines/>
              <w:spacing w:after="0"/>
              <w:jc w:val="center"/>
              <w:rPr>
                <w:rFonts w:ascii="Calibri" w:eastAsia="Times New Roman" w:hAnsi="Calibri" w:cs="Calibri"/>
                <w:noProof/>
                <w:color w:val="000000"/>
                <w:sz w:val="22"/>
                <w:szCs w:val="22"/>
                <w:lang w:val="en-IE"/>
              </w:rPr>
            </w:pPr>
            <w:r w:rsidRPr="00013950">
              <w:rPr>
                <w:rFonts w:ascii="Calibri" w:eastAsia="Times New Roman" w:hAnsi="Calibri" w:cs="Calibri"/>
                <w:noProof/>
                <w:color w:val="000000"/>
                <w:sz w:val="22"/>
                <w:szCs w:val="22"/>
                <w:lang w:val="en-IE"/>
              </w:rPr>
              <w:t>-39%</w:t>
            </w:r>
          </w:p>
        </w:tc>
        <w:tc>
          <w:tcPr>
            <w:tcW w:w="1234" w:type="dxa"/>
            <w:tcBorders>
              <w:top w:val="nil"/>
              <w:left w:val="nil"/>
              <w:bottom w:val="nil"/>
              <w:right w:val="nil"/>
            </w:tcBorders>
            <w:shd w:val="clear" w:color="auto" w:fill="auto"/>
            <w:noWrap/>
            <w:vAlign w:val="center"/>
            <w:hideMark/>
          </w:tcPr>
          <w:p w14:paraId="47AD0CFA" w14:textId="77777777" w:rsidR="00013950" w:rsidRPr="00013950" w:rsidRDefault="00013950" w:rsidP="00422775">
            <w:pPr>
              <w:keepNext/>
              <w:keepLines/>
              <w:spacing w:after="0"/>
              <w:jc w:val="center"/>
              <w:rPr>
                <w:rFonts w:ascii="Calibri" w:eastAsia="Times New Roman" w:hAnsi="Calibri" w:cs="Calibri"/>
                <w:noProof/>
                <w:color w:val="000000"/>
                <w:sz w:val="22"/>
                <w:szCs w:val="22"/>
                <w:lang w:val="en-IE"/>
              </w:rPr>
            </w:pPr>
            <w:r w:rsidRPr="00013950">
              <w:rPr>
                <w:rFonts w:ascii="Calibri" w:eastAsia="Times New Roman" w:hAnsi="Calibri" w:cs="Calibri"/>
                <w:noProof/>
                <w:color w:val="000000"/>
                <w:sz w:val="22"/>
                <w:szCs w:val="22"/>
                <w:lang w:val="en-IE"/>
              </w:rPr>
              <w:t>-50%</w:t>
            </w:r>
          </w:p>
        </w:tc>
      </w:tr>
      <w:tr w:rsidR="00013950" w:rsidRPr="00013950" w14:paraId="106ADC26" w14:textId="77777777" w:rsidTr="00013950">
        <w:trPr>
          <w:trHeight w:val="480"/>
        </w:trPr>
        <w:tc>
          <w:tcPr>
            <w:tcW w:w="4136" w:type="dxa"/>
            <w:tcBorders>
              <w:top w:val="nil"/>
              <w:left w:val="nil"/>
              <w:bottom w:val="nil"/>
              <w:right w:val="nil"/>
            </w:tcBorders>
            <w:shd w:val="clear" w:color="auto" w:fill="auto"/>
            <w:vAlign w:val="center"/>
            <w:hideMark/>
          </w:tcPr>
          <w:p w14:paraId="7032EAA2" w14:textId="77777777" w:rsidR="00013950" w:rsidRPr="00013950" w:rsidRDefault="00013950" w:rsidP="00422775">
            <w:pPr>
              <w:keepNext/>
              <w:keepLines/>
              <w:spacing w:after="0"/>
              <w:jc w:val="left"/>
              <w:rPr>
                <w:rFonts w:ascii="EC Square Sans Cond Pro" w:eastAsia="Times New Roman" w:hAnsi="EC Square Sans Cond Pro" w:cs="Calibri"/>
                <w:noProof/>
                <w:color w:val="000000"/>
                <w:sz w:val="20"/>
                <w:szCs w:val="20"/>
                <w:lang w:val="en-IE"/>
              </w:rPr>
            </w:pPr>
            <w:r w:rsidRPr="00013950">
              <w:rPr>
                <w:rFonts w:ascii="EC Square Sans Cond Pro" w:eastAsia="Times New Roman" w:hAnsi="EC Square Sans Cond Pro" w:cs="Calibri"/>
                <w:noProof/>
                <w:color w:val="000000"/>
                <w:sz w:val="20"/>
                <w:szCs w:val="20"/>
                <w:lang w:val="en-IE"/>
              </w:rPr>
              <w:t xml:space="preserve">High-diversity landscape features (Set aside and fallow land) - Share of EU's agricultural land </w:t>
            </w:r>
          </w:p>
        </w:tc>
        <w:tc>
          <w:tcPr>
            <w:tcW w:w="1236" w:type="dxa"/>
            <w:tcBorders>
              <w:top w:val="nil"/>
              <w:left w:val="nil"/>
              <w:bottom w:val="nil"/>
              <w:right w:val="nil"/>
            </w:tcBorders>
            <w:shd w:val="clear" w:color="auto" w:fill="auto"/>
            <w:noWrap/>
            <w:vAlign w:val="center"/>
            <w:hideMark/>
          </w:tcPr>
          <w:p w14:paraId="6C6046A7" w14:textId="77777777" w:rsidR="00013950" w:rsidRPr="00013950" w:rsidRDefault="00013950" w:rsidP="00422775">
            <w:pPr>
              <w:keepNext/>
              <w:keepLines/>
              <w:spacing w:after="0"/>
              <w:jc w:val="center"/>
              <w:rPr>
                <w:rFonts w:ascii="EC Square Sans Cond Pro" w:eastAsia="Times New Roman" w:hAnsi="EC Square Sans Cond Pro" w:cs="Calibri"/>
                <w:noProof/>
                <w:color w:val="000000"/>
                <w:sz w:val="20"/>
                <w:szCs w:val="20"/>
                <w:lang w:val="en-IE"/>
              </w:rPr>
            </w:pPr>
            <w:r w:rsidRPr="00013950">
              <w:rPr>
                <w:rFonts w:ascii="EC Square Sans Cond Pro" w:eastAsia="Times New Roman" w:hAnsi="EC Square Sans Cond Pro" w:cs="Calibri"/>
                <w:noProof/>
                <w:color w:val="000000"/>
                <w:sz w:val="20"/>
                <w:szCs w:val="20"/>
                <w:lang w:val="en-IE"/>
              </w:rPr>
              <w:t>14%</w:t>
            </w:r>
          </w:p>
        </w:tc>
        <w:tc>
          <w:tcPr>
            <w:tcW w:w="1234" w:type="dxa"/>
            <w:tcBorders>
              <w:top w:val="nil"/>
              <w:left w:val="nil"/>
              <w:bottom w:val="nil"/>
              <w:right w:val="nil"/>
            </w:tcBorders>
            <w:shd w:val="clear" w:color="auto" w:fill="auto"/>
            <w:noWrap/>
            <w:vAlign w:val="bottom"/>
            <w:hideMark/>
          </w:tcPr>
          <w:p w14:paraId="448373F9" w14:textId="77777777" w:rsidR="00013950" w:rsidRPr="00013950" w:rsidRDefault="00013950" w:rsidP="00422775">
            <w:pPr>
              <w:keepNext/>
              <w:keepLines/>
              <w:spacing w:after="0"/>
              <w:jc w:val="center"/>
              <w:rPr>
                <w:rFonts w:ascii="EC Square Sans Cond Pro" w:eastAsia="Times New Roman" w:hAnsi="EC Square Sans Cond Pro" w:cs="Calibri"/>
                <w:noProof/>
                <w:color w:val="000000"/>
                <w:sz w:val="20"/>
                <w:szCs w:val="20"/>
                <w:lang w:val="en-IE"/>
              </w:rPr>
            </w:pPr>
          </w:p>
        </w:tc>
        <w:tc>
          <w:tcPr>
            <w:tcW w:w="1234" w:type="dxa"/>
            <w:tcBorders>
              <w:top w:val="nil"/>
              <w:left w:val="nil"/>
              <w:bottom w:val="nil"/>
              <w:right w:val="nil"/>
            </w:tcBorders>
            <w:shd w:val="clear" w:color="auto" w:fill="auto"/>
            <w:noWrap/>
            <w:vAlign w:val="bottom"/>
            <w:hideMark/>
          </w:tcPr>
          <w:p w14:paraId="0204E251" w14:textId="77777777" w:rsidR="00013950" w:rsidRPr="00013950" w:rsidRDefault="00013950" w:rsidP="00422775">
            <w:pPr>
              <w:keepNext/>
              <w:keepLines/>
              <w:spacing w:after="0"/>
              <w:jc w:val="center"/>
              <w:rPr>
                <w:rFonts w:ascii="Times New Roman" w:eastAsia="Times New Roman" w:hAnsi="Times New Roman" w:cs="Times New Roman"/>
                <w:noProof/>
                <w:sz w:val="20"/>
                <w:szCs w:val="20"/>
                <w:lang w:val="en-IE"/>
              </w:rPr>
            </w:pPr>
          </w:p>
        </w:tc>
      </w:tr>
      <w:tr w:rsidR="00013950" w:rsidRPr="00013950" w14:paraId="096CD1EB" w14:textId="77777777" w:rsidTr="00013950">
        <w:trPr>
          <w:trHeight w:val="480"/>
        </w:trPr>
        <w:tc>
          <w:tcPr>
            <w:tcW w:w="4136" w:type="dxa"/>
            <w:tcBorders>
              <w:top w:val="nil"/>
              <w:left w:val="nil"/>
              <w:bottom w:val="nil"/>
              <w:right w:val="nil"/>
            </w:tcBorders>
            <w:shd w:val="clear" w:color="auto" w:fill="auto"/>
            <w:noWrap/>
            <w:vAlign w:val="center"/>
            <w:hideMark/>
          </w:tcPr>
          <w:p w14:paraId="6E8C636A" w14:textId="77777777" w:rsidR="00013950" w:rsidRPr="00013950" w:rsidRDefault="00013950" w:rsidP="00422775">
            <w:pPr>
              <w:keepNext/>
              <w:keepLines/>
              <w:spacing w:after="0"/>
              <w:jc w:val="left"/>
              <w:rPr>
                <w:rFonts w:ascii="EC Square Sans Cond Pro" w:eastAsia="Times New Roman" w:hAnsi="EC Square Sans Cond Pro" w:cs="Calibri"/>
                <w:noProof/>
                <w:color w:val="000000"/>
                <w:sz w:val="20"/>
                <w:szCs w:val="20"/>
                <w:lang w:val="en-IE"/>
              </w:rPr>
            </w:pPr>
            <w:r w:rsidRPr="00013950">
              <w:rPr>
                <w:rFonts w:ascii="EC Square Sans Cond Pro" w:eastAsia="Times New Roman" w:hAnsi="EC Square Sans Cond Pro" w:cs="Calibri"/>
                <w:noProof/>
                <w:color w:val="000000"/>
                <w:sz w:val="20"/>
                <w:szCs w:val="20"/>
                <w:lang w:val="en-IE"/>
              </w:rPr>
              <w:t>Share of EU's agicultural land for organic agriculture</w:t>
            </w:r>
          </w:p>
        </w:tc>
        <w:tc>
          <w:tcPr>
            <w:tcW w:w="1236" w:type="dxa"/>
            <w:tcBorders>
              <w:top w:val="nil"/>
              <w:left w:val="nil"/>
              <w:bottom w:val="nil"/>
              <w:right w:val="nil"/>
            </w:tcBorders>
            <w:shd w:val="clear" w:color="auto" w:fill="auto"/>
            <w:noWrap/>
            <w:vAlign w:val="center"/>
            <w:hideMark/>
          </w:tcPr>
          <w:p w14:paraId="1ACEC089" w14:textId="77777777" w:rsidR="00013950" w:rsidRPr="00013950" w:rsidRDefault="00013950" w:rsidP="00422775">
            <w:pPr>
              <w:keepNext/>
              <w:keepLines/>
              <w:spacing w:after="0"/>
              <w:jc w:val="center"/>
              <w:rPr>
                <w:rFonts w:ascii="EC Square Sans Cond Pro" w:eastAsia="Times New Roman" w:hAnsi="EC Square Sans Cond Pro" w:cs="Calibri"/>
                <w:noProof/>
                <w:color w:val="000000"/>
                <w:sz w:val="20"/>
                <w:szCs w:val="20"/>
                <w:lang w:val="en-IE"/>
              </w:rPr>
            </w:pPr>
            <w:r w:rsidRPr="00013950">
              <w:rPr>
                <w:rFonts w:ascii="EC Square Sans Cond Pro" w:eastAsia="Times New Roman" w:hAnsi="EC Square Sans Cond Pro" w:cs="Calibri"/>
                <w:noProof/>
                <w:color w:val="000000"/>
                <w:sz w:val="20"/>
                <w:szCs w:val="20"/>
                <w:lang w:val="en-IE"/>
              </w:rPr>
              <w:t>25%</w:t>
            </w:r>
          </w:p>
        </w:tc>
        <w:tc>
          <w:tcPr>
            <w:tcW w:w="1234" w:type="dxa"/>
            <w:tcBorders>
              <w:top w:val="nil"/>
              <w:left w:val="nil"/>
              <w:bottom w:val="nil"/>
              <w:right w:val="nil"/>
            </w:tcBorders>
            <w:shd w:val="clear" w:color="auto" w:fill="auto"/>
            <w:noWrap/>
            <w:vAlign w:val="center"/>
            <w:hideMark/>
          </w:tcPr>
          <w:p w14:paraId="08BD1852" w14:textId="77777777" w:rsidR="00013950" w:rsidRPr="00013950" w:rsidRDefault="00013950" w:rsidP="00422775">
            <w:pPr>
              <w:keepNext/>
              <w:keepLines/>
              <w:spacing w:after="0"/>
              <w:jc w:val="center"/>
              <w:rPr>
                <w:rFonts w:ascii="EC Square Sans Cond Pro" w:eastAsia="Times New Roman" w:hAnsi="EC Square Sans Cond Pro" w:cs="Calibri"/>
                <w:noProof/>
                <w:color w:val="000000"/>
                <w:sz w:val="20"/>
                <w:szCs w:val="20"/>
                <w:lang w:val="en-IE"/>
              </w:rPr>
            </w:pPr>
          </w:p>
        </w:tc>
        <w:tc>
          <w:tcPr>
            <w:tcW w:w="1234" w:type="dxa"/>
            <w:tcBorders>
              <w:top w:val="nil"/>
              <w:left w:val="nil"/>
              <w:bottom w:val="nil"/>
              <w:right w:val="nil"/>
            </w:tcBorders>
            <w:shd w:val="clear" w:color="auto" w:fill="auto"/>
            <w:noWrap/>
            <w:vAlign w:val="bottom"/>
            <w:hideMark/>
          </w:tcPr>
          <w:p w14:paraId="595ABF61" w14:textId="77777777" w:rsidR="00013950" w:rsidRPr="00013950" w:rsidRDefault="00013950" w:rsidP="00422775">
            <w:pPr>
              <w:keepNext/>
              <w:keepLines/>
              <w:spacing w:after="0"/>
              <w:jc w:val="left"/>
              <w:rPr>
                <w:rFonts w:ascii="Times New Roman" w:eastAsia="Times New Roman" w:hAnsi="Times New Roman" w:cs="Times New Roman"/>
                <w:noProof/>
                <w:sz w:val="20"/>
                <w:szCs w:val="20"/>
                <w:lang w:val="en-IE"/>
              </w:rPr>
            </w:pPr>
          </w:p>
        </w:tc>
      </w:tr>
    </w:tbl>
    <w:p w14:paraId="17BAA365" w14:textId="77777777" w:rsidR="00013950" w:rsidRDefault="00013950" w:rsidP="00422775">
      <w:pPr>
        <w:pStyle w:val="CT-SOURCE"/>
        <w:keepLines/>
        <w:rPr>
          <w:noProof/>
        </w:rPr>
      </w:pPr>
      <w:r w:rsidRPr="00EB03B6">
        <w:rPr>
          <w:noProof/>
        </w:rPr>
        <w:t xml:space="preserve">Source: </w:t>
      </w:r>
      <w:r>
        <w:rPr>
          <w:noProof/>
        </w:rPr>
        <w:t>CAPRI</w:t>
      </w:r>
    </w:p>
    <w:p w14:paraId="418CF641" w14:textId="69B6EB64" w:rsidR="00DD247E" w:rsidRPr="00DD247E" w:rsidRDefault="00DD247E" w:rsidP="00DD247E">
      <w:pPr>
        <w:rPr>
          <w:noProof/>
        </w:rPr>
      </w:pPr>
      <w:r>
        <w:rPr>
          <w:noProof/>
        </w:rPr>
        <w:t xml:space="preserve">Key factors in agriculture, such as the nutrient surplus, the amount of fertilizer and pesticides applied, and the intensity of farming practices impact ecosystems and biodiversity across different regions. Consequently, since </w:t>
      </w:r>
      <w:r w:rsidR="00C459D4">
        <w:rPr>
          <w:noProof/>
        </w:rPr>
        <w:t>LIFE</w:t>
      </w:r>
      <w:r>
        <w:rPr>
          <w:noProof/>
        </w:rPr>
        <w:t xml:space="preserve"> has substantial impacts on agricultural land and farming practices (</w:t>
      </w:r>
      <w:r>
        <w:rPr>
          <w:noProof/>
        </w:rPr>
        <w:fldChar w:fldCharType="begin"/>
      </w:r>
      <w:r>
        <w:rPr>
          <w:noProof/>
        </w:rPr>
        <w:instrText xml:space="preserve"> REF _Ref145694063 \h  \* MERGEFORMAT </w:instrText>
      </w:r>
      <w:r>
        <w:rPr>
          <w:noProof/>
        </w:rPr>
      </w:r>
      <w:r>
        <w:rPr>
          <w:noProof/>
        </w:rPr>
        <w:fldChar w:fldCharType="separate"/>
      </w:r>
      <w:r w:rsidR="00170A3C" w:rsidRPr="00CE0860">
        <w:rPr>
          <w:noProof/>
        </w:rPr>
        <w:t xml:space="preserve">Table </w:t>
      </w:r>
      <w:r w:rsidR="00170A3C">
        <w:rPr>
          <w:noProof/>
        </w:rPr>
        <w:t>21</w:t>
      </w:r>
      <w:r>
        <w:rPr>
          <w:noProof/>
        </w:rPr>
        <w:fldChar w:fldCharType="end"/>
      </w:r>
      <w:r>
        <w:rPr>
          <w:noProof/>
        </w:rPr>
        <w:t>), the changes also affect ecosystems and biodiversity on these lands</w:t>
      </w:r>
      <w:r w:rsidR="00C3314B">
        <w:rPr>
          <w:noProof/>
        </w:rPr>
        <w:t xml:space="preserve"> positively</w:t>
      </w:r>
      <w:r>
        <w:rPr>
          <w:noProof/>
        </w:rPr>
        <w:t>. Next to changes of farming practices, LIFE shows a decline in livestock from cattle and other animals, which also leads to a reduction in livestock density (</w:t>
      </w:r>
      <w:r>
        <w:rPr>
          <w:noProof/>
        </w:rPr>
        <w:fldChar w:fldCharType="begin"/>
      </w:r>
      <w:r>
        <w:rPr>
          <w:noProof/>
        </w:rPr>
        <w:instrText xml:space="preserve"> REF _Ref145694464 \h  \* MERGEFORMAT </w:instrText>
      </w:r>
      <w:r>
        <w:rPr>
          <w:noProof/>
        </w:rPr>
      </w:r>
      <w:r>
        <w:rPr>
          <w:noProof/>
        </w:rPr>
        <w:fldChar w:fldCharType="separate"/>
      </w:r>
      <w:r w:rsidR="00170A3C" w:rsidRPr="00CE0860">
        <w:rPr>
          <w:noProof/>
        </w:rPr>
        <w:t xml:space="preserve">Table </w:t>
      </w:r>
      <w:r w:rsidR="00170A3C">
        <w:rPr>
          <w:noProof/>
        </w:rPr>
        <w:t>22</w:t>
      </w:r>
      <w:r>
        <w:rPr>
          <w:noProof/>
        </w:rPr>
        <w:fldChar w:fldCharType="end"/>
      </w:r>
      <w:r>
        <w:rPr>
          <w:noProof/>
        </w:rPr>
        <w:t xml:space="preserve">). This reduction of livestock is due to the declining demand for meat and dairy products, the implementation of the objective to reduce nutrient losses by 50%, and to a limited extent to a reduction of food waste.  </w:t>
      </w:r>
    </w:p>
    <w:p w14:paraId="5159A345" w14:textId="642E6731" w:rsidR="00ED745F" w:rsidRDefault="00C3314B" w:rsidP="00DD247E">
      <w:pPr>
        <w:pStyle w:val="Caption"/>
        <w:keepLines/>
        <w:rPr>
          <w:noProof/>
        </w:rPr>
      </w:pPr>
      <w:bookmarkStart w:id="562" w:name="_Ref145694464"/>
      <w:bookmarkStart w:id="563" w:name="_Toc157679905"/>
      <w:bookmarkStart w:id="564" w:name="_Hlk144904485"/>
      <w:r w:rsidRPr="00CE0860">
        <w:rPr>
          <w:noProof/>
        </w:rPr>
        <w:t xml:space="preserve">Table </w:t>
      </w:r>
      <w:bookmarkStart w:id="565" w:name="_Ref144483277"/>
      <w:r w:rsidR="000C6F4F" w:rsidRPr="00CE0860">
        <w:rPr>
          <w:noProof/>
        </w:rPr>
        <w:fldChar w:fldCharType="begin"/>
      </w:r>
      <w:r w:rsidR="000C6F4F" w:rsidRPr="00CE0860">
        <w:rPr>
          <w:noProof/>
        </w:rPr>
        <w:instrText xml:space="preserve"> SEQ Table \* ARABIC </w:instrText>
      </w:r>
      <w:r w:rsidR="000C6F4F" w:rsidRPr="00CE0860">
        <w:rPr>
          <w:noProof/>
        </w:rPr>
        <w:fldChar w:fldCharType="separate"/>
      </w:r>
      <w:r w:rsidR="00170A3C">
        <w:rPr>
          <w:noProof/>
        </w:rPr>
        <w:t>22</w:t>
      </w:r>
      <w:r w:rsidR="000C6F4F" w:rsidRPr="00CE0860">
        <w:rPr>
          <w:noProof/>
        </w:rPr>
        <w:fldChar w:fldCharType="end"/>
      </w:r>
      <w:bookmarkEnd w:id="562"/>
      <w:bookmarkEnd w:id="565"/>
      <w:r w:rsidR="00ED745F" w:rsidRPr="00CE0860">
        <w:rPr>
          <w:noProof/>
        </w:rPr>
        <w:t xml:space="preserve">: </w:t>
      </w:r>
      <w:r w:rsidR="00B11268" w:rsidRPr="00CE0860">
        <w:rPr>
          <w:noProof/>
        </w:rPr>
        <w:t>Overview</w:t>
      </w:r>
      <w:r w:rsidR="00B11268">
        <w:rPr>
          <w:noProof/>
        </w:rPr>
        <w:t xml:space="preserve"> of LIFE </w:t>
      </w:r>
      <w:r w:rsidR="007928A9">
        <w:rPr>
          <w:noProof/>
        </w:rPr>
        <w:t xml:space="preserve">outputs </w:t>
      </w:r>
      <w:r w:rsidR="00B44C17">
        <w:rPr>
          <w:noProof/>
        </w:rPr>
        <w:t>related to</w:t>
      </w:r>
      <w:r w:rsidR="00FC402C">
        <w:rPr>
          <w:noProof/>
        </w:rPr>
        <w:t xml:space="preserve"> biodiversity</w:t>
      </w:r>
      <w:r w:rsidR="00137DAB">
        <w:rPr>
          <w:noProof/>
        </w:rPr>
        <w:t xml:space="preserve"> in 2040</w:t>
      </w:r>
      <w:bookmarkEnd w:id="563"/>
    </w:p>
    <w:tbl>
      <w:tblPr>
        <w:tblW w:w="7840" w:type="dxa"/>
        <w:tblLook w:val="04A0" w:firstRow="1" w:lastRow="0" w:firstColumn="1" w:lastColumn="0" w:noHBand="0" w:noVBand="1"/>
      </w:tblPr>
      <w:tblGrid>
        <w:gridCol w:w="4136"/>
        <w:gridCol w:w="1226"/>
        <w:gridCol w:w="1256"/>
        <w:gridCol w:w="1222"/>
      </w:tblGrid>
      <w:tr w:rsidR="00EE2A3E" w14:paraId="29D07222" w14:textId="77777777" w:rsidTr="00EE2A3E">
        <w:trPr>
          <w:trHeight w:val="330"/>
        </w:trPr>
        <w:tc>
          <w:tcPr>
            <w:tcW w:w="4136" w:type="dxa"/>
            <w:tcBorders>
              <w:top w:val="single" w:sz="12" w:space="0" w:color="auto"/>
              <w:left w:val="nil"/>
              <w:bottom w:val="single" w:sz="12" w:space="0" w:color="auto"/>
              <w:right w:val="nil"/>
            </w:tcBorders>
            <w:noWrap/>
            <w:vAlign w:val="center"/>
            <w:hideMark/>
          </w:tcPr>
          <w:p w14:paraId="5DF9EE75" w14:textId="77777777" w:rsidR="00EE2A3E" w:rsidRDefault="00EE2A3E" w:rsidP="00DD247E">
            <w:pPr>
              <w:keepNext/>
              <w:keepLines/>
              <w:spacing w:after="0"/>
              <w:rPr>
                <w:rFonts w:ascii="EC Square Sans Cond Pro" w:eastAsia="Times New Roman" w:hAnsi="EC Square Sans Cond Pro" w:cs="Calibri"/>
                <w:noProof/>
                <w:color w:val="000000"/>
                <w:sz w:val="18"/>
                <w:szCs w:val="18"/>
              </w:rPr>
            </w:pPr>
            <w:r>
              <w:rPr>
                <w:rFonts w:ascii="Calibri" w:eastAsia="Times New Roman" w:hAnsi="Calibri" w:cs="Calibri"/>
                <w:noProof/>
                <w:color w:val="000000"/>
                <w:sz w:val="18"/>
                <w:szCs w:val="18"/>
              </w:rPr>
              <w:t> </w:t>
            </w:r>
          </w:p>
        </w:tc>
        <w:tc>
          <w:tcPr>
            <w:tcW w:w="1226" w:type="dxa"/>
            <w:tcBorders>
              <w:top w:val="single" w:sz="12" w:space="0" w:color="auto"/>
              <w:left w:val="nil"/>
              <w:bottom w:val="single" w:sz="12" w:space="0" w:color="auto"/>
              <w:right w:val="nil"/>
            </w:tcBorders>
            <w:vAlign w:val="center"/>
            <w:hideMark/>
          </w:tcPr>
          <w:p w14:paraId="583DE8E7" w14:textId="77777777" w:rsidR="00EE2A3E" w:rsidRDefault="00EE2A3E" w:rsidP="00DD247E">
            <w:pPr>
              <w:keepNext/>
              <w:keepLines/>
              <w:spacing w:after="0"/>
              <w:jc w:val="center"/>
              <w:rPr>
                <w:rFonts w:ascii="EC Square Sans Cond Pro" w:eastAsia="Times New Roman" w:hAnsi="EC Square Sans Cond Pro" w:cs="Calibri"/>
                <w:b/>
                <w:bCs/>
                <w:noProof/>
                <w:color w:val="000000"/>
                <w:sz w:val="20"/>
                <w:szCs w:val="20"/>
              </w:rPr>
            </w:pPr>
            <w:r>
              <w:rPr>
                <w:rFonts w:ascii="EC Square Sans Cond Pro" w:eastAsia="Times New Roman" w:hAnsi="EC Square Sans Cond Pro" w:cs="Calibri"/>
                <w:b/>
                <w:bCs/>
                <w:noProof/>
                <w:color w:val="000000"/>
                <w:sz w:val="20"/>
                <w:szCs w:val="20"/>
              </w:rPr>
              <w:t>total</w:t>
            </w:r>
          </w:p>
        </w:tc>
        <w:tc>
          <w:tcPr>
            <w:tcW w:w="1256" w:type="dxa"/>
            <w:tcBorders>
              <w:top w:val="single" w:sz="12" w:space="0" w:color="auto"/>
              <w:left w:val="nil"/>
              <w:bottom w:val="single" w:sz="12" w:space="0" w:color="auto"/>
              <w:right w:val="nil"/>
            </w:tcBorders>
            <w:noWrap/>
            <w:vAlign w:val="center"/>
            <w:hideMark/>
          </w:tcPr>
          <w:p w14:paraId="5A1CBD0F" w14:textId="77777777" w:rsidR="00EE2A3E" w:rsidRDefault="00EE2A3E" w:rsidP="00DD247E">
            <w:pPr>
              <w:keepNext/>
              <w:keepLines/>
              <w:spacing w:after="0"/>
              <w:jc w:val="center"/>
              <w:rPr>
                <w:rFonts w:ascii="EC Square Sans Cond Pro" w:eastAsia="Times New Roman" w:hAnsi="EC Square Sans Cond Pro" w:cs="Calibri"/>
                <w:b/>
                <w:bCs/>
                <w:noProof/>
                <w:color w:val="000000"/>
                <w:sz w:val="20"/>
                <w:szCs w:val="20"/>
              </w:rPr>
            </w:pPr>
            <w:r>
              <w:rPr>
                <w:rFonts w:ascii="EC Square Sans Cond Pro" w:eastAsia="Times New Roman" w:hAnsi="EC Square Sans Cond Pro" w:cs="Calibri"/>
                <w:b/>
                <w:bCs/>
                <w:noProof/>
                <w:color w:val="000000"/>
                <w:sz w:val="20"/>
                <w:szCs w:val="20"/>
              </w:rPr>
              <w:t>per ha</w:t>
            </w:r>
          </w:p>
        </w:tc>
        <w:tc>
          <w:tcPr>
            <w:tcW w:w="1222" w:type="dxa"/>
            <w:tcBorders>
              <w:top w:val="single" w:sz="12" w:space="0" w:color="auto"/>
              <w:left w:val="nil"/>
              <w:bottom w:val="single" w:sz="12" w:space="0" w:color="auto"/>
              <w:right w:val="nil"/>
            </w:tcBorders>
            <w:vAlign w:val="center"/>
            <w:hideMark/>
          </w:tcPr>
          <w:p w14:paraId="1B8DCBCF" w14:textId="1E3F1F22" w:rsidR="00EE2A3E" w:rsidRDefault="00EE2A3E" w:rsidP="00DD247E">
            <w:pPr>
              <w:keepNext/>
              <w:keepLines/>
              <w:spacing w:after="0"/>
              <w:jc w:val="center"/>
              <w:rPr>
                <w:rFonts w:ascii="EC Square Sans Cond Pro" w:eastAsia="Times New Roman" w:hAnsi="EC Square Sans Cond Pro" w:cs="Calibri"/>
                <w:b/>
                <w:bCs/>
                <w:noProof/>
                <w:color w:val="000000"/>
                <w:sz w:val="20"/>
                <w:szCs w:val="20"/>
              </w:rPr>
            </w:pPr>
            <w:r>
              <w:rPr>
                <w:rFonts w:ascii="EC Square Sans Cond Pro" w:eastAsia="Times New Roman" w:hAnsi="EC Square Sans Cond Pro" w:cs="Calibri"/>
                <w:b/>
                <w:bCs/>
                <w:noProof/>
                <w:color w:val="000000"/>
                <w:sz w:val="20"/>
                <w:szCs w:val="20"/>
              </w:rPr>
              <w:t>Change</w:t>
            </w:r>
            <w:r w:rsidR="00F7164D">
              <w:rPr>
                <w:rFonts w:ascii="EC Square Sans Cond Pro" w:eastAsia="Times New Roman" w:hAnsi="EC Square Sans Cond Pro" w:cs="Calibri"/>
                <w:b/>
                <w:bCs/>
                <w:noProof/>
                <w:color w:val="000000"/>
                <w:sz w:val="20"/>
                <w:szCs w:val="20"/>
              </w:rPr>
              <w:t xml:space="preserve"> to </w:t>
            </w:r>
            <w:r w:rsidR="008037AC">
              <w:rPr>
                <w:rFonts w:ascii="EC Square Sans Cond Pro" w:eastAsia="Times New Roman" w:hAnsi="EC Square Sans Cond Pro" w:cs="Calibri"/>
                <w:b/>
                <w:bCs/>
                <w:noProof/>
                <w:color w:val="000000"/>
                <w:sz w:val="20"/>
                <w:szCs w:val="20"/>
              </w:rPr>
              <w:t xml:space="preserve">S1 - </w:t>
            </w:r>
            <w:r w:rsidR="00CD0CDC">
              <w:rPr>
                <w:rFonts w:ascii="EC Square Sans Cond Pro" w:eastAsia="Times New Roman" w:hAnsi="EC Square Sans Cond Pro" w:cs="Calibri"/>
                <w:b/>
                <w:bCs/>
                <w:noProof/>
                <w:color w:val="000000"/>
                <w:sz w:val="20"/>
                <w:szCs w:val="20"/>
              </w:rPr>
              <w:t>S</w:t>
            </w:r>
            <w:r w:rsidR="0097423F">
              <w:rPr>
                <w:rFonts w:ascii="EC Square Sans Cond Pro" w:eastAsia="Times New Roman" w:hAnsi="EC Square Sans Cond Pro" w:cs="Calibri"/>
                <w:b/>
                <w:bCs/>
                <w:noProof/>
                <w:color w:val="000000"/>
                <w:sz w:val="20"/>
                <w:szCs w:val="20"/>
              </w:rPr>
              <w:t>3</w:t>
            </w:r>
          </w:p>
        </w:tc>
      </w:tr>
      <w:tr w:rsidR="00EE2A3E" w14:paraId="7B2556F4" w14:textId="77777777" w:rsidTr="00EE2A3E">
        <w:trPr>
          <w:trHeight w:val="300"/>
        </w:trPr>
        <w:tc>
          <w:tcPr>
            <w:tcW w:w="4136" w:type="dxa"/>
            <w:noWrap/>
            <w:vAlign w:val="center"/>
            <w:hideMark/>
          </w:tcPr>
          <w:p w14:paraId="58500D5A" w14:textId="77777777" w:rsidR="00EE2A3E" w:rsidRDefault="00EE2A3E" w:rsidP="00DD247E">
            <w:pPr>
              <w:keepNext/>
              <w:keepLines/>
              <w:spacing w:after="0"/>
              <w:rPr>
                <w:rFonts w:ascii="EC Square Sans Cond Pro" w:eastAsia="Times New Roman" w:hAnsi="EC Square Sans Cond Pro" w:cs="Calibri"/>
                <w:noProof/>
                <w:color w:val="000000"/>
                <w:sz w:val="20"/>
                <w:szCs w:val="20"/>
              </w:rPr>
            </w:pPr>
            <w:r>
              <w:rPr>
                <w:rFonts w:ascii="EC Square Sans Cond Pro" w:eastAsia="Times New Roman" w:hAnsi="EC Square Sans Cond Pro" w:cs="Calibri"/>
                <w:noProof/>
                <w:color w:val="000000"/>
                <w:sz w:val="20"/>
                <w:szCs w:val="20"/>
              </w:rPr>
              <w:t>Beef meat activities [in 1000 LSU]</w:t>
            </w:r>
          </w:p>
        </w:tc>
        <w:tc>
          <w:tcPr>
            <w:tcW w:w="1226" w:type="dxa"/>
            <w:noWrap/>
            <w:vAlign w:val="center"/>
            <w:hideMark/>
          </w:tcPr>
          <w:p w14:paraId="121D11A3" w14:textId="77777777" w:rsidR="00EE2A3E" w:rsidRDefault="00EE2A3E" w:rsidP="00DD247E">
            <w:pPr>
              <w:keepNext/>
              <w:keepLines/>
              <w:spacing w:after="0"/>
              <w:jc w:val="right"/>
              <w:rPr>
                <w:rFonts w:ascii="EC Square Sans Cond Pro" w:eastAsia="Times New Roman" w:hAnsi="EC Square Sans Cond Pro" w:cs="Calibri"/>
                <w:noProof/>
                <w:color w:val="000000"/>
                <w:sz w:val="20"/>
                <w:szCs w:val="20"/>
              </w:rPr>
            </w:pPr>
            <w:r>
              <w:rPr>
                <w:rFonts w:ascii="EC Square Sans Cond Pro" w:eastAsia="Times New Roman" w:hAnsi="EC Square Sans Cond Pro" w:cs="Calibri"/>
                <w:noProof/>
                <w:color w:val="000000"/>
                <w:sz w:val="20"/>
                <w:szCs w:val="20"/>
              </w:rPr>
              <w:t>7,877</w:t>
            </w:r>
          </w:p>
        </w:tc>
        <w:tc>
          <w:tcPr>
            <w:tcW w:w="1256" w:type="dxa"/>
            <w:noWrap/>
            <w:vAlign w:val="center"/>
            <w:hideMark/>
          </w:tcPr>
          <w:p w14:paraId="003A48D3" w14:textId="77777777" w:rsidR="00EE2A3E" w:rsidRDefault="00EE2A3E" w:rsidP="00DD247E">
            <w:pPr>
              <w:keepNext/>
              <w:keepLines/>
              <w:rPr>
                <w:rFonts w:ascii="EC Square Sans Cond Pro" w:eastAsia="Times New Roman" w:hAnsi="EC Square Sans Cond Pro" w:cs="Calibri"/>
                <w:noProof/>
                <w:color w:val="000000"/>
                <w:sz w:val="20"/>
                <w:szCs w:val="20"/>
              </w:rPr>
            </w:pPr>
          </w:p>
        </w:tc>
        <w:tc>
          <w:tcPr>
            <w:tcW w:w="1222" w:type="dxa"/>
            <w:noWrap/>
            <w:vAlign w:val="center"/>
            <w:hideMark/>
          </w:tcPr>
          <w:p w14:paraId="57087961" w14:textId="77777777" w:rsidR="00EE2A3E" w:rsidRDefault="00EE2A3E" w:rsidP="00DD247E">
            <w:pPr>
              <w:keepNext/>
              <w:keepLines/>
              <w:spacing w:after="0"/>
              <w:jc w:val="center"/>
              <w:rPr>
                <w:rFonts w:ascii="EC Square Sans Cond Pro" w:eastAsia="Times New Roman" w:hAnsi="EC Square Sans Cond Pro" w:cs="Calibri"/>
                <w:noProof/>
                <w:color w:val="000000"/>
                <w:sz w:val="20"/>
                <w:szCs w:val="20"/>
              </w:rPr>
            </w:pPr>
            <w:r>
              <w:rPr>
                <w:rFonts w:ascii="EC Square Sans Cond Pro" w:eastAsia="Times New Roman" w:hAnsi="EC Square Sans Cond Pro" w:cs="Calibri"/>
                <w:noProof/>
                <w:color w:val="000000"/>
                <w:sz w:val="20"/>
                <w:szCs w:val="20"/>
              </w:rPr>
              <w:t>-49%</w:t>
            </w:r>
          </w:p>
        </w:tc>
      </w:tr>
      <w:tr w:rsidR="00EE2A3E" w14:paraId="7B251B0C" w14:textId="77777777" w:rsidTr="00EE2A3E">
        <w:trPr>
          <w:trHeight w:val="300"/>
        </w:trPr>
        <w:tc>
          <w:tcPr>
            <w:tcW w:w="4136" w:type="dxa"/>
            <w:noWrap/>
            <w:vAlign w:val="center"/>
            <w:hideMark/>
          </w:tcPr>
          <w:p w14:paraId="6285B943" w14:textId="77777777" w:rsidR="00EE2A3E" w:rsidRDefault="00EE2A3E" w:rsidP="00DD247E">
            <w:pPr>
              <w:keepNext/>
              <w:keepLines/>
              <w:spacing w:after="0"/>
              <w:rPr>
                <w:rFonts w:ascii="EC Square Sans Cond Pro" w:eastAsia="Times New Roman" w:hAnsi="EC Square Sans Cond Pro" w:cs="Calibri"/>
                <w:noProof/>
                <w:color w:val="000000"/>
                <w:sz w:val="20"/>
                <w:szCs w:val="20"/>
              </w:rPr>
            </w:pPr>
            <w:r>
              <w:rPr>
                <w:rFonts w:ascii="EC Square Sans Cond Pro" w:eastAsia="Times New Roman" w:hAnsi="EC Square Sans Cond Pro" w:cs="Calibri"/>
                <w:noProof/>
                <w:color w:val="000000"/>
                <w:sz w:val="20"/>
                <w:szCs w:val="20"/>
              </w:rPr>
              <w:t>All Dairy [in 1000 LSU]</w:t>
            </w:r>
          </w:p>
        </w:tc>
        <w:tc>
          <w:tcPr>
            <w:tcW w:w="1226" w:type="dxa"/>
            <w:noWrap/>
            <w:vAlign w:val="center"/>
            <w:hideMark/>
          </w:tcPr>
          <w:p w14:paraId="3F212B76" w14:textId="77777777" w:rsidR="00EE2A3E" w:rsidRDefault="00EE2A3E" w:rsidP="00DD247E">
            <w:pPr>
              <w:keepNext/>
              <w:keepLines/>
              <w:spacing w:after="0"/>
              <w:jc w:val="right"/>
              <w:rPr>
                <w:rFonts w:ascii="EC Square Sans Cond Pro" w:eastAsia="Times New Roman" w:hAnsi="EC Square Sans Cond Pro" w:cs="Calibri"/>
                <w:noProof/>
                <w:color w:val="000000"/>
                <w:sz w:val="20"/>
                <w:szCs w:val="20"/>
              </w:rPr>
            </w:pPr>
            <w:r>
              <w:rPr>
                <w:rFonts w:ascii="EC Square Sans Cond Pro" w:eastAsia="Times New Roman" w:hAnsi="EC Square Sans Cond Pro" w:cs="Calibri"/>
                <w:noProof/>
                <w:color w:val="000000"/>
                <w:sz w:val="20"/>
                <w:szCs w:val="20"/>
              </w:rPr>
              <w:t>29,151</w:t>
            </w:r>
          </w:p>
        </w:tc>
        <w:tc>
          <w:tcPr>
            <w:tcW w:w="1256" w:type="dxa"/>
            <w:noWrap/>
            <w:vAlign w:val="center"/>
            <w:hideMark/>
          </w:tcPr>
          <w:p w14:paraId="768D2BD3" w14:textId="77777777" w:rsidR="00EE2A3E" w:rsidRDefault="00EE2A3E" w:rsidP="00DD247E">
            <w:pPr>
              <w:keepNext/>
              <w:keepLines/>
              <w:rPr>
                <w:rFonts w:ascii="EC Square Sans Cond Pro" w:eastAsia="Times New Roman" w:hAnsi="EC Square Sans Cond Pro" w:cs="Calibri"/>
                <w:noProof/>
                <w:color w:val="000000"/>
                <w:sz w:val="20"/>
                <w:szCs w:val="20"/>
              </w:rPr>
            </w:pPr>
          </w:p>
        </w:tc>
        <w:tc>
          <w:tcPr>
            <w:tcW w:w="1222" w:type="dxa"/>
            <w:noWrap/>
            <w:vAlign w:val="center"/>
            <w:hideMark/>
          </w:tcPr>
          <w:p w14:paraId="20D73551" w14:textId="77777777" w:rsidR="00EE2A3E" w:rsidRDefault="00EE2A3E" w:rsidP="00DD247E">
            <w:pPr>
              <w:keepNext/>
              <w:keepLines/>
              <w:spacing w:after="0"/>
              <w:jc w:val="center"/>
              <w:rPr>
                <w:rFonts w:ascii="EC Square Sans Cond Pro" w:eastAsia="Times New Roman" w:hAnsi="EC Square Sans Cond Pro" w:cs="Calibri"/>
                <w:noProof/>
                <w:color w:val="000000"/>
                <w:sz w:val="20"/>
                <w:szCs w:val="20"/>
              </w:rPr>
            </w:pPr>
            <w:r>
              <w:rPr>
                <w:rFonts w:ascii="EC Square Sans Cond Pro" w:eastAsia="Times New Roman" w:hAnsi="EC Square Sans Cond Pro" w:cs="Calibri"/>
                <w:noProof/>
                <w:color w:val="000000"/>
                <w:sz w:val="20"/>
                <w:szCs w:val="20"/>
              </w:rPr>
              <w:t>-18%</w:t>
            </w:r>
          </w:p>
        </w:tc>
      </w:tr>
      <w:tr w:rsidR="00EE2A3E" w14:paraId="6309B3EE" w14:textId="77777777" w:rsidTr="00EE2A3E">
        <w:trPr>
          <w:trHeight w:val="300"/>
        </w:trPr>
        <w:tc>
          <w:tcPr>
            <w:tcW w:w="4136" w:type="dxa"/>
            <w:noWrap/>
            <w:vAlign w:val="center"/>
            <w:hideMark/>
          </w:tcPr>
          <w:p w14:paraId="598B8528" w14:textId="77777777" w:rsidR="00EE2A3E" w:rsidRDefault="00EE2A3E" w:rsidP="00DD247E">
            <w:pPr>
              <w:keepNext/>
              <w:keepLines/>
              <w:spacing w:after="0"/>
              <w:rPr>
                <w:rFonts w:ascii="EC Square Sans Cond Pro" w:eastAsia="Times New Roman" w:hAnsi="EC Square Sans Cond Pro" w:cs="Calibri"/>
                <w:noProof/>
                <w:color w:val="000000"/>
                <w:sz w:val="20"/>
                <w:szCs w:val="20"/>
              </w:rPr>
            </w:pPr>
            <w:r>
              <w:rPr>
                <w:rFonts w:ascii="EC Square Sans Cond Pro" w:eastAsia="Times New Roman" w:hAnsi="EC Square Sans Cond Pro" w:cs="Calibri"/>
                <w:noProof/>
                <w:color w:val="000000"/>
                <w:sz w:val="20"/>
                <w:szCs w:val="20"/>
              </w:rPr>
              <w:t>Pigs, poultry, sheep [in 1000 LSU]</w:t>
            </w:r>
          </w:p>
        </w:tc>
        <w:tc>
          <w:tcPr>
            <w:tcW w:w="1226" w:type="dxa"/>
            <w:noWrap/>
            <w:vAlign w:val="center"/>
            <w:hideMark/>
          </w:tcPr>
          <w:p w14:paraId="58803BA7" w14:textId="77777777" w:rsidR="00EE2A3E" w:rsidRDefault="00EE2A3E" w:rsidP="00DD247E">
            <w:pPr>
              <w:keepNext/>
              <w:keepLines/>
              <w:spacing w:after="0"/>
              <w:jc w:val="right"/>
              <w:rPr>
                <w:rFonts w:ascii="EC Square Sans Cond Pro" w:eastAsia="Times New Roman" w:hAnsi="EC Square Sans Cond Pro" w:cs="Calibri"/>
                <w:noProof/>
                <w:color w:val="000000"/>
                <w:sz w:val="20"/>
                <w:szCs w:val="20"/>
              </w:rPr>
            </w:pPr>
            <w:r>
              <w:rPr>
                <w:rFonts w:ascii="EC Square Sans Cond Pro" w:eastAsia="Times New Roman" w:hAnsi="EC Square Sans Cond Pro" w:cs="Calibri"/>
                <w:noProof/>
                <w:color w:val="000000"/>
                <w:sz w:val="20"/>
                <w:szCs w:val="20"/>
              </w:rPr>
              <w:t>42,875</w:t>
            </w:r>
          </w:p>
        </w:tc>
        <w:tc>
          <w:tcPr>
            <w:tcW w:w="1256" w:type="dxa"/>
            <w:noWrap/>
            <w:vAlign w:val="center"/>
            <w:hideMark/>
          </w:tcPr>
          <w:p w14:paraId="4A7D53A1" w14:textId="77777777" w:rsidR="00EE2A3E" w:rsidRDefault="00EE2A3E" w:rsidP="00DD247E">
            <w:pPr>
              <w:keepNext/>
              <w:keepLines/>
              <w:rPr>
                <w:rFonts w:ascii="EC Square Sans Cond Pro" w:eastAsia="Times New Roman" w:hAnsi="EC Square Sans Cond Pro" w:cs="Calibri"/>
                <w:noProof/>
                <w:color w:val="000000"/>
                <w:sz w:val="20"/>
                <w:szCs w:val="20"/>
              </w:rPr>
            </w:pPr>
          </w:p>
        </w:tc>
        <w:tc>
          <w:tcPr>
            <w:tcW w:w="1222" w:type="dxa"/>
            <w:noWrap/>
            <w:vAlign w:val="center"/>
            <w:hideMark/>
          </w:tcPr>
          <w:p w14:paraId="44FE18C9" w14:textId="77777777" w:rsidR="00EE2A3E" w:rsidRDefault="00EE2A3E" w:rsidP="00DD247E">
            <w:pPr>
              <w:keepNext/>
              <w:keepLines/>
              <w:spacing w:after="0"/>
              <w:jc w:val="center"/>
              <w:rPr>
                <w:rFonts w:ascii="EC Square Sans Cond Pro" w:eastAsia="Times New Roman" w:hAnsi="EC Square Sans Cond Pro" w:cs="Calibri"/>
                <w:noProof/>
                <w:color w:val="000000"/>
                <w:sz w:val="20"/>
                <w:szCs w:val="20"/>
              </w:rPr>
            </w:pPr>
            <w:r>
              <w:rPr>
                <w:rFonts w:ascii="EC Square Sans Cond Pro" w:eastAsia="Times New Roman" w:hAnsi="EC Square Sans Cond Pro" w:cs="Calibri"/>
                <w:noProof/>
                <w:color w:val="000000"/>
                <w:sz w:val="20"/>
                <w:szCs w:val="20"/>
              </w:rPr>
              <w:t>-24%</w:t>
            </w:r>
          </w:p>
        </w:tc>
      </w:tr>
      <w:tr w:rsidR="00EE2A3E" w14:paraId="3C56EA66" w14:textId="77777777" w:rsidTr="00EE2A3E">
        <w:trPr>
          <w:trHeight w:val="300"/>
        </w:trPr>
        <w:tc>
          <w:tcPr>
            <w:tcW w:w="4136" w:type="dxa"/>
            <w:noWrap/>
            <w:vAlign w:val="center"/>
            <w:hideMark/>
          </w:tcPr>
          <w:p w14:paraId="2016D411" w14:textId="77777777" w:rsidR="00EE2A3E" w:rsidRDefault="00EE2A3E" w:rsidP="00DD247E">
            <w:pPr>
              <w:keepNext/>
              <w:keepLines/>
              <w:spacing w:after="0"/>
              <w:rPr>
                <w:rFonts w:ascii="EC Square Sans Cond Pro" w:eastAsia="Times New Roman" w:hAnsi="EC Square Sans Cond Pro" w:cs="Calibri"/>
                <w:noProof/>
                <w:color w:val="000000"/>
                <w:sz w:val="20"/>
                <w:szCs w:val="20"/>
              </w:rPr>
            </w:pPr>
            <w:r>
              <w:rPr>
                <w:rFonts w:ascii="EC Square Sans Cond Pro" w:eastAsia="Times New Roman" w:hAnsi="EC Square Sans Cond Pro" w:cs="Calibri"/>
                <w:noProof/>
                <w:color w:val="000000"/>
                <w:sz w:val="20"/>
                <w:szCs w:val="20"/>
              </w:rPr>
              <w:t>All cattle activities [LSU/ha]</w:t>
            </w:r>
          </w:p>
        </w:tc>
        <w:tc>
          <w:tcPr>
            <w:tcW w:w="1226" w:type="dxa"/>
            <w:noWrap/>
            <w:vAlign w:val="center"/>
            <w:hideMark/>
          </w:tcPr>
          <w:p w14:paraId="26D2454D" w14:textId="77777777" w:rsidR="00EE2A3E" w:rsidRDefault="00EE2A3E" w:rsidP="00DD247E">
            <w:pPr>
              <w:keepNext/>
              <w:keepLines/>
              <w:rPr>
                <w:rFonts w:ascii="EC Square Sans Cond Pro" w:eastAsia="Times New Roman" w:hAnsi="EC Square Sans Cond Pro" w:cs="Calibri"/>
                <w:noProof/>
                <w:color w:val="000000"/>
                <w:sz w:val="20"/>
                <w:szCs w:val="20"/>
              </w:rPr>
            </w:pPr>
          </w:p>
        </w:tc>
        <w:tc>
          <w:tcPr>
            <w:tcW w:w="1256" w:type="dxa"/>
            <w:noWrap/>
            <w:vAlign w:val="center"/>
            <w:hideMark/>
          </w:tcPr>
          <w:p w14:paraId="6BB96C7E" w14:textId="77777777" w:rsidR="00EE2A3E" w:rsidRDefault="00EE2A3E" w:rsidP="00DD247E">
            <w:pPr>
              <w:keepNext/>
              <w:keepLines/>
              <w:spacing w:after="0"/>
              <w:jc w:val="center"/>
              <w:rPr>
                <w:rFonts w:ascii="EC Square Sans Cond Pro" w:eastAsia="Times New Roman" w:hAnsi="EC Square Sans Cond Pro" w:cs="Calibri"/>
                <w:noProof/>
                <w:color w:val="000000"/>
                <w:sz w:val="20"/>
                <w:szCs w:val="20"/>
              </w:rPr>
            </w:pPr>
            <w:r>
              <w:rPr>
                <w:rFonts w:ascii="EC Square Sans Cond Pro" w:eastAsia="Times New Roman" w:hAnsi="EC Square Sans Cond Pro" w:cs="Calibri"/>
                <w:noProof/>
                <w:color w:val="000000"/>
                <w:sz w:val="20"/>
                <w:szCs w:val="20"/>
              </w:rPr>
              <w:t>0.23</w:t>
            </w:r>
          </w:p>
        </w:tc>
        <w:tc>
          <w:tcPr>
            <w:tcW w:w="1222" w:type="dxa"/>
            <w:noWrap/>
            <w:vAlign w:val="center"/>
            <w:hideMark/>
          </w:tcPr>
          <w:p w14:paraId="43840F97" w14:textId="77777777" w:rsidR="00EE2A3E" w:rsidRDefault="00EE2A3E" w:rsidP="00DD247E">
            <w:pPr>
              <w:keepNext/>
              <w:keepLines/>
              <w:spacing w:after="0"/>
              <w:jc w:val="center"/>
              <w:rPr>
                <w:rFonts w:ascii="EC Square Sans Cond Pro" w:eastAsia="Times New Roman" w:hAnsi="EC Square Sans Cond Pro" w:cs="Calibri"/>
                <w:noProof/>
                <w:color w:val="000000"/>
                <w:sz w:val="20"/>
                <w:szCs w:val="20"/>
              </w:rPr>
            </w:pPr>
            <w:r>
              <w:rPr>
                <w:rFonts w:ascii="EC Square Sans Cond Pro" w:eastAsia="Times New Roman" w:hAnsi="EC Square Sans Cond Pro" w:cs="Calibri"/>
                <w:noProof/>
                <w:color w:val="000000"/>
                <w:sz w:val="20"/>
                <w:szCs w:val="20"/>
              </w:rPr>
              <w:t>-29%</w:t>
            </w:r>
          </w:p>
        </w:tc>
      </w:tr>
      <w:tr w:rsidR="00EE2A3E" w14:paraId="4E13A4CD" w14:textId="77777777" w:rsidTr="00EE2A3E">
        <w:trPr>
          <w:trHeight w:val="300"/>
        </w:trPr>
        <w:tc>
          <w:tcPr>
            <w:tcW w:w="4136" w:type="dxa"/>
            <w:noWrap/>
            <w:vAlign w:val="center"/>
            <w:hideMark/>
          </w:tcPr>
          <w:p w14:paraId="6D6B1D06" w14:textId="18BDA709" w:rsidR="00EE2A3E" w:rsidRDefault="00EE2A3E" w:rsidP="00DD247E">
            <w:pPr>
              <w:keepNext/>
              <w:keepLines/>
              <w:spacing w:after="0"/>
              <w:rPr>
                <w:rFonts w:ascii="EC Square Sans Cond Pro" w:eastAsia="Times New Roman" w:hAnsi="EC Square Sans Cond Pro" w:cs="Calibri"/>
                <w:noProof/>
                <w:color w:val="000000"/>
                <w:sz w:val="20"/>
                <w:szCs w:val="20"/>
              </w:rPr>
            </w:pPr>
            <w:r>
              <w:rPr>
                <w:rFonts w:ascii="EC Square Sans Cond Pro" w:eastAsia="Times New Roman" w:hAnsi="EC Square Sans Cond Pro" w:cs="Calibri"/>
                <w:noProof/>
                <w:color w:val="000000"/>
                <w:sz w:val="20"/>
                <w:szCs w:val="20"/>
              </w:rPr>
              <w:t xml:space="preserve">Other </w:t>
            </w:r>
            <w:r w:rsidR="004518E2">
              <w:rPr>
                <w:rFonts w:ascii="EC Square Sans Cond Pro" w:eastAsia="Times New Roman" w:hAnsi="EC Square Sans Cond Pro" w:cs="Calibri"/>
                <w:noProof/>
                <w:color w:val="000000"/>
                <w:sz w:val="20"/>
                <w:szCs w:val="20"/>
              </w:rPr>
              <w:t>(non-cattle)</w:t>
            </w:r>
            <w:r>
              <w:rPr>
                <w:rFonts w:ascii="EC Square Sans Cond Pro" w:eastAsia="Times New Roman" w:hAnsi="EC Square Sans Cond Pro" w:cs="Calibri"/>
                <w:noProof/>
                <w:color w:val="000000"/>
                <w:sz w:val="20"/>
                <w:szCs w:val="20"/>
              </w:rPr>
              <w:t xml:space="preserve"> animals [LSU/ha]</w:t>
            </w:r>
          </w:p>
        </w:tc>
        <w:tc>
          <w:tcPr>
            <w:tcW w:w="1226" w:type="dxa"/>
            <w:noWrap/>
            <w:vAlign w:val="bottom"/>
            <w:hideMark/>
          </w:tcPr>
          <w:p w14:paraId="41456471" w14:textId="77777777" w:rsidR="00EE2A3E" w:rsidRDefault="00EE2A3E" w:rsidP="00DD247E">
            <w:pPr>
              <w:keepNext/>
              <w:keepLines/>
              <w:rPr>
                <w:rFonts w:ascii="EC Square Sans Cond Pro" w:eastAsia="Times New Roman" w:hAnsi="EC Square Sans Cond Pro" w:cs="Calibri"/>
                <w:noProof/>
                <w:color w:val="000000"/>
                <w:sz w:val="20"/>
                <w:szCs w:val="20"/>
              </w:rPr>
            </w:pPr>
          </w:p>
        </w:tc>
        <w:tc>
          <w:tcPr>
            <w:tcW w:w="1256" w:type="dxa"/>
            <w:noWrap/>
            <w:vAlign w:val="center"/>
            <w:hideMark/>
          </w:tcPr>
          <w:p w14:paraId="1E2B273B" w14:textId="77777777" w:rsidR="00EE2A3E" w:rsidRDefault="00EE2A3E" w:rsidP="00DD247E">
            <w:pPr>
              <w:keepNext/>
              <w:keepLines/>
              <w:spacing w:after="0"/>
              <w:jc w:val="center"/>
              <w:rPr>
                <w:rFonts w:ascii="EC Square Sans Cond Pro" w:eastAsia="Times New Roman" w:hAnsi="EC Square Sans Cond Pro" w:cs="Calibri"/>
                <w:noProof/>
                <w:color w:val="000000"/>
                <w:sz w:val="20"/>
                <w:szCs w:val="20"/>
              </w:rPr>
            </w:pPr>
            <w:r>
              <w:rPr>
                <w:rFonts w:ascii="EC Square Sans Cond Pro" w:eastAsia="Times New Roman" w:hAnsi="EC Square Sans Cond Pro" w:cs="Calibri"/>
                <w:noProof/>
                <w:color w:val="000000"/>
                <w:sz w:val="20"/>
                <w:szCs w:val="20"/>
              </w:rPr>
              <w:t>0.26</w:t>
            </w:r>
          </w:p>
        </w:tc>
        <w:tc>
          <w:tcPr>
            <w:tcW w:w="1222" w:type="dxa"/>
            <w:noWrap/>
            <w:vAlign w:val="center"/>
            <w:hideMark/>
          </w:tcPr>
          <w:p w14:paraId="788CD6A6" w14:textId="77777777" w:rsidR="00EE2A3E" w:rsidRDefault="00EE2A3E" w:rsidP="00DD247E">
            <w:pPr>
              <w:keepNext/>
              <w:keepLines/>
              <w:spacing w:after="0"/>
              <w:jc w:val="center"/>
              <w:rPr>
                <w:rFonts w:ascii="EC Square Sans Cond Pro" w:eastAsia="Times New Roman" w:hAnsi="EC Square Sans Cond Pro" w:cs="Calibri"/>
                <w:noProof/>
                <w:color w:val="000000"/>
                <w:sz w:val="20"/>
                <w:szCs w:val="20"/>
              </w:rPr>
            </w:pPr>
            <w:r>
              <w:rPr>
                <w:rFonts w:ascii="EC Square Sans Cond Pro" w:eastAsia="Times New Roman" w:hAnsi="EC Square Sans Cond Pro" w:cs="Calibri"/>
                <w:noProof/>
                <w:color w:val="000000"/>
                <w:sz w:val="20"/>
                <w:szCs w:val="20"/>
              </w:rPr>
              <w:t>-26%</w:t>
            </w:r>
          </w:p>
        </w:tc>
      </w:tr>
    </w:tbl>
    <w:p w14:paraId="1B5D99A2" w14:textId="7D8FA1CA" w:rsidR="00EE2A3E" w:rsidRDefault="00EE2A3E" w:rsidP="00DD247E">
      <w:pPr>
        <w:pStyle w:val="CT-NOTE"/>
        <w:keepLines/>
        <w:rPr>
          <w:b/>
          <w:bCs/>
          <w:noProof/>
        </w:rPr>
      </w:pPr>
      <w:r>
        <w:rPr>
          <w:noProof/>
        </w:rPr>
        <w:t xml:space="preserve">Note: </w:t>
      </w:r>
      <w:r w:rsidR="00013950">
        <w:rPr>
          <w:noProof/>
        </w:rPr>
        <w:t>LSU indicates livestock units, either as</w:t>
      </w:r>
      <w:r>
        <w:rPr>
          <w:noProof/>
        </w:rPr>
        <w:t xml:space="preserve"> ‘total’</w:t>
      </w:r>
      <w:r w:rsidR="00013950" w:rsidRPr="00013950">
        <w:rPr>
          <w:noProof/>
        </w:rPr>
        <w:t xml:space="preserve"> </w:t>
      </w:r>
      <w:r w:rsidR="00013950">
        <w:rPr>
          <w:noProof/>
        </w:rPr>
        <w:t>in 1000t or</w:t>
      </w:r>
      <w:r>
        <w:rPr>
          <w:noProof/>
        </w:rPr>
        <w:t xml:space="preserve"> ‘per ha’ kg/ha. </w:t>
      </w:r>
    </w:p>
    <w:p w14:paraId="30D1C2C5" w14:textId="77777777" w:rsidR="00233B17" w:rsidRDefault="00233B17" w:rsidP="00D81A18">
      <w:pPr>
        <w:pStyle w:val="CT-SOURCE"/>
        <w:keepNext w:val="0"/>
        <w:rPr>
          <w:noProof/>
        </w:rPr>
      </w:pPr>
      <w:r w:rsidRPr="00EB03B6">
        <w:rPr>
          <w:noProof/>
        </w:rPr>
        <w:t xml:space="preserve">Source: </w:t>
      </w:r>
      <w:r w:rsidR="00DD7C7E">
        <w:rPr>
          <w:noProof/>
        </w:rPr>
        <w:t>CAPRI</w:t>
      </w:r>
    </w:p>
    <w:bookmarkEnd w:id="559"/>
    <w:bookmarkEnd w:id="564"/>
    <w:p w14:paraId="7A29CBFD" w14:textId="4D2DDA44" w:rsidR="00F26B75" w:rsidRDefault="00F26B75" w:rsidP="00DD247E">
      <w:pPr>
        <w:rPr>
          <w:noProof/>
        </w:rPr>
      </w:pPr>
      <w:r>
        <w:rPr>
          <w:noProof/>
        </w:rPr>
        <w:t xml:space="preserve">To assess biodiversity impacts on </w:t>
      </w:r>
      <w:r w:rsidR="00C459D4">
        <w:rPr>
          <w:noProof/>
        </w:rPr>
        <w:t>LIFE</w:t>
      </w:r>
      <w:r>
        <w:rPr>
          <w:noProof/>
        </w:rPr>
        <w:t xml:space="preserve"> an indicator for biodiversity was necessary that can account for impacts on agricultural </w:t>
      </w:r>
      <w:r w:rsidR="008050A6">
        <w:rPr>
          <w:noProof/>
        </w:rPr>
        <w:t>land</w:t>
      </w:r>
      <w:r>
        <w:rPr>
          <w:noProof/>
        </w:rPr>
        <w:t>. The biodiversity impacts o</w:t>
      </w:r>
      <w:r w:rsidR="00EE0D82">
        <w:rPr>
          <w:noProof/>
        </w:rPr>
        <w:t>f</w:t>
      </w:r>
      <w:r>
        <w:rPr>
          <w:noProof/>
        </w:rPr>
        <w:t xml:space="preserve"> </w:t>
      </w:r>
      <w:r w:rsidR="00EE0D82">
        <w:rPr>
          <w:noProof/>
        </w:rPr>
        <w:t xml:space="preserve">the </w:t>
      </w:r>
      <w:r w:rsidR="00C459D4">
        <w:rPr>
          <w:noProof/>
        </w:rPr>
        <w:t>LIFE</w:t>
      </w:r>
      <w:r w:rsidR="00EE0D82">
        <w:rPr>
          <w:noProof/>
        </w:rPr>
        <w:t xml:space="preserve"> setting uses</w:t>
      </w:r>
      <w:r>
        <w:rPr>
          <w:noProof/>
        </w:rPr>
        <w:t xml:space="preserve"> the </w:t>
      </w:r>
      <w:r w:rsidR="00EE0D82">
        <w:rPr>
          <w:noProof/>
        </w:rPr>
        <w:t>“</w:t>
      </w:r>
      <w:r>
        <w:rPr>
          <w:noProof/>
        </w:rPr>
        <w:t>BFP index</w:t>
      </w:r>
      <w:r w:rsidR="00EE0D82">
        <w:rPr>
          <w:noProof/>
        </w:rPr>
        <w:t>” (</w:t>
      </w:r>
      <w:r w:rsidR="00EE0D82" w:rsidRPr="00EE0D82">
        <w:rPr>
          <w:noProof/>
        </w:rPr>
        <w:t>Biodiversity-friendly farming practices</w:t>
      </w:r>
      <w:r w:rsidR="00EE0D82">
        <w:rPr>
          <w:noProof/>
        </w:rPr>
        <w:t>)</w:t>
      </w:r>
      <w:r>
        <w:rPr>
          <w:noProof/>
        </w:rPr>
        <w:t xml:space="preserve">, </w:t>
      </w:r>
      <w:r w:rsidR="00EE0D82">
        <w:rPr>
          <w:noProof/>
        </w:rPr>
        <w:t>which</w:t>
      </w:r>
      <w:r>
        <w:rPr>
          <w:noProof/>
        </w:rPr>
        <w:t xml:space="preserve"> assesses biodiversity friendly practices</w:t>
      </w:r>
      <w:r w:rsidRPr="004D6548">
        <w:rPr>
          <w:noProof/>
        </w:rPr>
        <w:t xml:space="preserve"> </w:t>
      </w:r>
      <w:r>
        <w:rPr>
          <w:noProof/>
        </w:rPr>
        <w:t xml:space="preserve">and </w:t>
      </w:r>
      <w:r w:rsidR="008050A6">
        <w:rPr>
          <w:noProof/>
        </w:rPr>
        <w:t>reflects</w:t>
      </w:r>
      <w:r>
        <w:rPr>
          <w:noProof/>
        </w:rPr>
        <w:t xml:space="preserve"> the likelihood to find agricultural areas with a high value for biodiversity and ecosystems in a region on </w:t>
      </w:r>
      <w:r>
        <w:rPr>
          <w:noProof/>
          <w:lang w:val="en-US"/>
        </w:rPr>
        <w:t xml:space="preserve">NUTS 2 level </w:t>
      </w:r>
      <w:r w:rsidRPr="004D6548">
        <w:rPr>
          <w:noProof/>
        </w:rPr>
        <w:t>(</w:t>
      </w:r>
      <w:r>
        <w:rPr>
          <w:rStyle w:val="FootnoteReference"/>
          <w:noProof/>
        </w:rPr>
        <w:footnoteReference w:id="232"/>
      </w:r>
      <w:r>
        <w:rPr>
          <w:noProof/>
        </w:rPr>
        <w:t>)</w:t>
      </w:r>
      <w:r>
        <w:rPr>
          <w:noProof/>
          <w:lang w:val="en-US"/>
        </w:rPr>
        <w:t xml:space="preserve">. </w:t>
      </w:r>
      <w:r>
        <w:rPr>
          <w:noProof/>
        </w:rPr>
        <w:t xml:space="preserve">The </w:t>
      </w:r>
      <w:r>
        <w:rPr>
          <w:rFonts w:eastAsiaTheme="minorEastAsia"/>
          <w:noProof/>
          <w:lang w:val="en-US"/>
        </w:rPr>
        <w:t xml:space="preserve">total index is an area weighted average of the partial indices for arable crops, permanent crops, grassland and set aside / fallow land. </w:t>
      </w:r>
      <w:r w:rsidR="00E466D0">
        <w:rPr>
          <w:noProof/>
          <w:lang w:val="en-US"/>
        </w:rPr>
        <w:t>In LIFE,</w:t>
      </w:r>
      <w:r>
        <w:rPr>
          <w:noProof/>
          <w:lang w:val="en-US"/>
        </w:rPr>
        <w:t xml:space="preserve"> </w:t>
      </w:r>
      <w:r w:rsidR="00EE0D82">
        <w:rPr>
          <w:noProof/>
          <w:lang w:val="en-US"/>
        </w:rPr>
        <w:t>this index increases</w:t>
      </w:r>
      <w:r>
        <w:rPr>
          <w:noProof/>
          <w:lang w:val="en-US"/>
        </w:rPr>
        <w:t xml:space="preserve"> </w:t>
      </w:r>
      <w:r>
        <w:rPr>
          <w:noProof/>
        </w:rPr>
        <w:t xml:space="preserve">by 14% </w:t>
      </w:r>
      <w:r w:rsidR="00FD76BF">
        <w:rPr>
          <w:noProof/>
        </w:rPr>
        <w:t xml:space="preserve">compared to the three scenarios, </w:t>
      </w:r>
      <w:r>
        <w:rPr>
          <w:noProof/>
        </w:rPr>
        <w:t xml:space="preserve">reaching on EU level </w:t>
      </w:r>
      <w:r w:rsidR="00EE0D82">
        <w:rPr>
          <w:noProof/>
        </w:rPr>
        <w:t>up to</w:t>
      </w:r>
      <w:r>
        <w:rPr>
          <w:noProof/>
        </w:rPr>
        <w:t xml:space="preserve"> about 71%. </w:t>
      </w:r>
      <w:r w:rsidR="008050A6">
        <w:rPr>
          <w:noProof/>
        </w:rPr>
        <w:t>The estimated</w:t>
      </w:r>
      <w:r>
        <w:rPr>
          <w:noProof/>
        </w:rPr>
        <w:t xml:space="preserve"> improvement in biodiversity </w:t>
      </w:r>
      <w:r w:rsidR="008050A6">
        <w:rPr>
          <w:noProof/>
        </w:rPr>
        <w:t>is mostly driven by three factors.</w:t>
      </w:r>
      <w:r>
        <w:rPr>
          <w:noProof/>
        </w:rPr>
        <w:t xml:space="preserve"> Biodiversity on areas with arable crops improves by about 20% due to the nutrient </w:t>
      </w:r>
      <w:r w:rsidR="008050A6">
        <w:rPr>
          <w:noProof/>
        </w:rPr>
        <w:t xml:space="preserve">surplus </w:t>
      </w:r>
      <w:r>
        <w:rPr>
          <w:noProof/>
        </w:rPr>
        <w:t xml:space="preserve">reduction on the fields </w:t>
      </w:r>
      <w:r w:rsidRPr="00EB1A46">
        <w:rPr>
          <w:noProof/>
        </w:rPr>
        <w:t>(</w:t>
      </w:r>
      <w:r>
        <w:rPr>
          <w:rStyle w:val="FootnoteReference"/>
          <w:noProof/>
        </w:rPr>
        <w:footnoteReference w:id="233"/>
      </w:r>
      <w:r w:rsidR="008050A6">
        <w:rPr>
          <w:noProof/>
        </w:rPr>
        <w:t>), supplemented with reduced pesticide use.</w:t>
      </w:r>
      <w:r>
        <w:rPr>
          <w:noProof/>
        </w:rPr>
        <w:t xml:space="preserve"> Areas with permanent crops benefit (38%), mainly due to the reduction of pesticides</w:t>
      </w:r>
      <w:r w:rsidR="008050A6">
        <w:rPr>
          <w:noProof/>
        </w:rPr>
        <w:t>, while lower nutrient surpluses are a secondary driver here.</w:t>
      </w:r>
      <w:r w:rsidRPr="00EB1A46">
        <w:rPr>
          <w:noProof/>
        </w:rPr>
        <w:t> </w:t>
      </w:r>
      <w:r>
        <w:rPr>
          <w:noProof/>
        </w:rPr>
        <w:t>Also managed grassland improves to a limited extent (3%), because the stocking intensity of livestock units decreases, resulting in a substantial increase of extensive use of grassland (see</w:t>
      </w:r>
      <w:r w:rsidR="003B7929">
        <w:rPr>
          <w:noProof/>
        </w:rPr>
        <w:t xml:space="preserve"> </w:t>
      </w:r>
      <w:r w:rsidR="00EF0AD9">
        <w:rPr>
          <w:noProof/>
        </w:rPr>
        <w:fldChar w:fldCharType="begin"/>
      </w:r>
      <w:r w:rsidR="00EF0AD9">
        <w:rPr>
          <w:noProof/>
        </w:rPr>
        <w:instrText xml:space="preserve"> REF _Ref146043884 \h </w:instrText>
      </w:r>
      <w:r w:rsidR="00EF0AD9">
        <w:rPr>
          <w:noProof/>
        </w:rPr>
      </w:r>
      <w:r w:rsidR="00EF0AD9">
        <w:rPr>
          <w:noProof/>
        </w:rPr>
        <w:fldChar w:fldCharType="separate"/>
      </w:r>
      <w:r w:rsidR="00170A3C">
        <w:rPr>
          <w:noProof/>
        </w:rPr>
        <w:t>Table 23</w:t>
      </w:r>
      <w:r w:rsidR="00EF0AD9">
        <w:rPr>
          <w:noProof/>
        </w:rPr>
        <w:fldChar w:fldCharType="end"/>
      </w:r>
      <w:r w:rsidR="00450AE1">
        <w:rPr>
          <w:noProof/>
        </w:rPr>
        <w:t>)</w:t>
      </w:r>
      <w:r w:rsidR="00450AE1" w:rsidRPr="008050A6">
        <w:rPr>
          <w:noProof/>
        </w:rPr>
        <w:t>,</w:t>
      </w:r>
      <w:r w:rsidR="008050A6">
        <w:rPr>
          <w:noProof/>
        </w:rPr>
        <w:t xml:space="preserve"> while the pesticide reduction is less influential on grassland.</w:t>
      </w:r>
      <w:r>
        <w:rPr>
          <w:noProof/>
        </w:rPr>
        <w:t xml:space="preserve">  </w:t>
      </w:r>
    </w:p>
    <w:p w14:paraId="3083B39B" w14:textId="484AFAB7" w:rsidR="00F26B75" w:rsidRDefault="00F26B75" w:rsidP="00D81A18">
      <w:pPr>
        <w:pStyle w:val="Caption"/>
        <w:keepLines/>
        <w:rPr>
          <w:noProof/>
        </w:rPr>
      </w:pPr>
      <w:bookmarkStart w:id="566" w:name="_Ref146043884"/>
      <w:bookmarkStart w:id="567" w:name="_Ref146043843"/>
      <w:bookmarkStart w:id="568" w:name="_Toc157679906"/>
      <w:bookmarkStart w:id="569" w:name="_Hlk144976221"/>
      <w:r>
        <w:rPr>
          <w:noProof/>
        </w:rPr>
        <w:t xml:space="preserve">Table </w:t>
      </w:r>
      <w:r>
        <w:rPr>
          <w:noProof/>
        </w:rPr>
        <w:fldChar w:fldCharType="begin"/>
      </w:r>
      <w:r>
        <w:rPr>
          <w:noProof/>
        </w:rPr>
        <w:instrText>SEQ Table \* ARABIC</w:instrText>
      </w:r>
      <w:r>
        <w:rPr>
          <w:noProof/>
        </w:rPr>
        <w:fldChar w:fldCharType="separate"/>
      </w:r>
      <w:r w:rsidR="00170A3C">
        <w:rPr>
          <w:noProof/>
        </w:rPr>
        <w:t>23</w:t>
      </w:r>
      <w:r>
        <w:rPr>
          <w:noProof/>
        </w:rPr>
        <w:fldChar w:fldCharType="end"/>
      </w:r>
      <w:bookmarkEnd w:id="566"/>
      <w:r>
        <w:rPr>
          <w:noProof/>
        </w:rPr>
        <w:t>: Agricultural area change in 2040 by scenarios.</w:t>
      </w:r>
      <w:bookmarkEnd w:id="567"/>
      <w:bookmarkEnd w:id="568"/>
    </w:p>
    <w:tbl>
      <w:tblPr>
        <w:tblW w:w="8620" w:type="dxa"/>
        <w:tblInd w:w="108" w:type="dxa"/>
        <w:tblLook w:val="04A0" w:firstRow="1" w:lastRow="0" w:firstColumn="1" w:lastColumn="0" w:noHBand="0" w:noVBand="1"/>
      </w:tblPr>
      <w:tblGrid>
        <w:gridCol w:w="4112"/>
        <w:gridCol w:w="1555"/>
        <w:gridCol w:w="1796"/>
        <w:gridCol w:w="1157"/>
      </w:tblGrid>
      <w:tr w:rsidR="00D925E4" w:rsidRPr="00D925E4" w14:paraId="110064D4" w14:textId="77777777" w:rsidTr="00D925E4">
        <w:trPr>
          <w:trHeight w:val="330"/>
        </w:trPr>
        <w:tc>
          <w:tcPr>
            <w:tcW w:w="4112" w:type="dxa"/>
            <w:tcBorders>
              <w:top w:val="single" w:sz="12" w:space="0" w:color="auto"/>
              <w:left w:val="nil"/>
              <w:bottom w:val="single" w:sz="12" w:space="0" w:color="auto"/>
              <w:right w:val="nil"/>
            </w:tcBorders>
            <w:shd w:val="clear" w:color="auto" w:fill="auto"/>
            <w:vAlign w:val="center"/>
            <w:hideMark/>
          </w:tcPr>
          <w:p w14:paraId="2EA699B4" w14:textId="77777777" w:rsidR="00D925E4" w:rsidRPr="00D925E4" w:rsidRDefault="00D925E4" w:rsidP="00D81A18">
            <w:pPr>
              <w:keepNext/>
              <w:keepLines/>
              <w:spacing w:after="0"/>
              <w:jc w:val="left"/>
              <w:rPr>
                <w:rFonts w:ascii="EC Square Sans Cond Pro" w:eastAsia="Times New Roman" w:hAnsi="EC Square Sans Cond Pro" w:cs="Calibri"/>
                <w:b/>
                <w:bCs/>
                <w:noProof/>
                <w:color w:val="000000"/>
                <w:sz w:val="20"/>
                <w:szCs w:val="20"/>
                <w:lang w:val="en-IE"/>
              </w:rPr>
            </w:pPr>
            <w:r w:rsidRPr="00D925E4">
              <w:rPr>
                <w:rFonts w:ascii="EC Square Sans Cond Pro" w:eastAsia="Times New Roman" w:hAnsi="EC Square Sans Cond Pro" w:cs="Calibri"/>
                <w:b/>
                <w:bCs/>
                <w:noProof/>
                <w:color w:val="000000"/>
                <w:sz w:val="20"/>
                <w:szCs w:val="20"/>
                <w:lang w:val="en-IE"/>
              </w:rPr>
              <w:t>Area use [in 1000 ha]</w:t>
            </w:r>
          </w:p>
        </w:tc>
        <w:tc>
          <w:tcPr>
            <w:tcW w:w="1555" w:type="dxa"/>
            <w:tcBorders>
              <w:top w:val="single" w:sz="12" w:space="0" w:color="auto"/>
              <w:left w:val="nil"/>
              <w:bottom w:val="single" w:sz="12" w:space="0" w:color="auto"/>
              <w:right w:val="nil"/>
            </w:tcBorders>
            <w:shd w:val="clear" w:color="auto" w:fill="auto"/>
            <w:vAlign w:val="center"/>
            <w:hideMark/>
          </w:tcPr>
          <w:p w14:paraId="48635F63" w14:textId="74CA8B85" w:rsidR="00D925E4" w:rsidRPr="00D925E4" w:rsidRDefault="00D925E4" w:rsidP="00D81A18">
            <w:pPr>
              <w:keepNext/>
              <w:keepLines/>
              <w:spacing w:after="0"/>
              <w:jc w:val="center"/>
              <w:rPr>
                <w:rFonts w:ascii="EC Square Sans Cond Pro" w:eastAsia="Times New Roman" w:hAnsi="EC Square Sans Cond Pro" w:cs="Calibri"/>
                <w:b/>
                <w:bCs/>
                <w:noProof/>
                <w:color w:val="000000"/>
                <w:sz w:val="20"/>
                <w:szCs w:val="20"/>
                <w:lang w:val="en-IE"/>
              </w:rPr>
            </w:pPr>
            <w:r w:rsidRPr="00D925E4">
              <w:rPr>
                <w:rFonts w:ascii="EC Square Sans Cond Pro" w:eastAsia="Times New Roman" w:hAnsi="EC Square Sans Cond Pro" w:cs="Calibri"/>
                <w:b/>
                <w:bCs/>
                <w:noProof/>
                <w:color w:val="000000"/>
                <w:sz w:val="20"/>
                <w:szCs w:val="20"/>
                <w:lang w:val="en-IE"/>
              </w:rPr>
              <w:t>S1</w:t>
            </w:r>
            <w:r w:rsidR="008037AC">
              <w:rPr>
                <w:rFonts w:ascii="EC Square Sans Cond Pro" w:eastAsia="Times New Roman" w:hAnsi="EC Square Sans Cond Pro" w:cs="Calibri"/>
                <w:b/>
                <w:bCs/>
                <w:noProof/>
                <w:color w:val="000000"/>
                <w:sz w:val="20"/>
                <w:szCs w:val="20"/>
                <w:lang w:val="en-IE"/>
              </w:rPr>
              <w:t xml:space="preserve"> -</w:t>
            </w:r>
            <w:r w:rsidRPr="00D925E4">
              <w:rPr>
                <w:rFonts w:ascii="EC Square Sans Cond Pro" w:eastAsia="Times New Roman" w:hAnsi="EC Square Sans Cond Pro" w:cs="Calibri"/>
                <w:b/>
                <w:bCs/>
                <w:noProof/>
                <w:color w:val="000000"/>
                <w:sz w:val="20"/>
                <w:szCs w:val="20"/>
                <w:lang w:val="en-IE"/>
              </w:rPr>
              <w:t xml:space="preserve"> S3</w:t>
            </w:r>
          </w:p>
        </w:tc>
        <w:tc>
          <w:tcPr>
            <w:tcW w:w="1796" w:type="dxa"/>
            <w:tcBorders>
              <w:top w:val="single" w:sz="12" w:space="0" w:color="auto"/>
              <w:left w:val="nil"/>
              <w:bottom w:val="single" w:sz="12" w:space="0" w:color="auto"/>
              <w:right w:val="nil"/>
            </w:tcBorders>
            <w:shd w:val="clear" w:color="auto" w:fill="auto"/>
            <w:noWrap/>
            <w:vAlign w:val="center"/>
            <w:hideMark/>
          </w:tcPr>
          <w:p w14:paraId="274F405E" w14:textId="77777777" w:rsidR="00D925E4" w:rsidRPr="00D925E4" w:rsidRDefault="00D925E4" w:rsidP="00D81A18">
            <w:pPr>
              <w:keepNext/>
              <w:keepLines/>
              <w:spacing w:after="0"/>
              <w:jc w:val="center"/>
              <w:rPr>
                <w:rFonts w:ascii="EC Square Sans Cond Pro" w:eastAsia="Times New Roman" w:hAnsi="EC Square Sans Cond Pro" w:cs="Calibri"/>
                <w:b/>
                <w:bCs/>
                <w:noProof/>
                <w:color w:val="000000"/>
                <w:sz w:val="20"/>
                <w:szCs w:val="20"/>
                <w:lang w:val="en-IE"/>
              </w:rPr>
            </w:pPr>
            <w:r w:rsidRPr="00D925E4">
              <w:rPr>
                <w:rFonts w:ascii="EC Square Sans Cond Pro" w:eastAsia="Times New Roman" w:hAnsi="EC Square Sans Cond Pro" w:cs="Calibri"/>
                <w:b/>
                <w:bCs/>
                <w:noProof/>
                <w:color w:val="000000"/>
                <w:sz w:val="20"/>
                <w:szCs w:val="20"/>
                <w:lang w:val="en-IE"/>
              </w:rPr>
              <w:t>LIFE</w:t>
            </w:r>
          </w:p>
        </w:tc>
        <w:tc>
          <w:tcPr>
            <w:tcW w:w="1157" w:type="dxa"/>
            <w:tcBorders>
              <w:top w:val="single" w:sz="12" w:space="0" w:color="auto"/>
              <w:left w:val="nil"/>
              <w:bottom w:val="single" w:sz="12" w:space="0" w:color="auto"/>
              <w:right w:val="nil"/>
            </w:tcBorders>
            <w:shd w:val="clear" w:color="auto" w:fill="auto"/>
            <w:vAlign w:val="center"/>
            <w:hideMark/>
          </w:tcPr>
          <w:p w14:paraId="2665231A" w14:textId="77777777" w:rsidR="00D925E4" w:rsidRPr="00D925E4" w:rsidRDefault="00D925E4" w:rsidP="00D81A18">
            <w:pPr>
              <w:keepNext/>
              <w:keepLines/>
              <w:spacing w:after="0"/>
              <w:jc w:val="center"/>
              <w:rPr>
                <w:rFonts w:ascii="EC Square Sans Cond Pro" w:eastAsia="Times New Roman" w:hAnsi="EC Square Sans Cond Pro" w:cs="Calibri"/>
                <w:b/>
                <w:bCs/>
                <w:noProof/>
                <w:color w:val="000000"/>
                <w:sz w:val="20"/>
                <w:szCs w:val="20"/>
                <w:lang w:val="en-IE"/>
              </w:rPr>
            </w:pPr>
            <w:r w:rsidRPr="00D925E4">
              <w:rPr>
                <w:rFonts w:ascii="EC Square Sans Cond Pro" w:eastAsia="Times New Roman" w:hAnsi="EC Square Sans Cond Pro" w:cs="Calibri"/>
                <w:b/>
                <w:bCs/>
                <w:noProof/>
                <w:color w:val="000000"/>
                <w:sz w:val="20"/>
                <w:szCs w:val="20"/>
                <w:lang w:val="en-IE"/>
              </w:rPr>
              <w:t>Change</w:t>
            </w:r>
          </w:p>
        </w:tc>
      </w:tr>
      <w:tr w:rsidR="00D925E4" w:rsidRPr="00D925E4" w14:paraId="7B322D88" w14:textId="77777777" w:rsidTr="00D925E4">
        <w:trPr>
          <w:trHeight w:val="315"/>
        </w:trPr>
        <w:tc>
          <w:tcPr>
            <w:tcW w:w="4112" w:type="dxa"/>
            <w:tcBorders>
              <w:top w:val="nil"/>
              <w:left w:val="nil"/>
              <w:bottom w:val="nil"/>
              <w:right w:val="nil"/>
            </w:tcBorders>
            <w:shd w:val="clear" w:color="auto" w:fill="auto"/>
            <w:noWrap/>
            <w:vAlign w:val="center"/>
            <w:hideMark/>
          </w:tcPr>
          <w:p w14:paraId="5728DE53" w14:textId="77777777" w:rsidR="00D925E4" w:rsidRPr="00D925E4" w:rsidRDefault="00D925E4" w:rsidP="00D81A18">
            <w:pPr>
              <w:keepNext/>
              <w:keepLines/>
              <w:spacing w:after="0"/>
              <w:jc w:val="left"/>
              <w:rPr>
                <w:rFonts w:ascii="EC Square Sans Cond Pro" w:eastAsia="Times New Roman" w:hAnsi="EC Square Sans Cond Pro" w:cs="Calibri"/>
                <w:noProof/>
                <w:color w:val="000000"/>
                <w:sz w:val="20"/>
                <w:szCs w:val="20"/>
                <w:lang w:val="en-IE"/>
              </w:rPr>
            </w:pPr>
            <w:r w:rsidRPr="00D925E4">
              <w:rPr>
                <w:rFonts w:ascii="EC Square Sans Cond Pro" w:eastAsia="Times New Roman" w:hAnsi="EC Square Sans Cond Pro" w:cs="Calibri"/>
                <w:noProof/>
                <w:color w:val="000000"/>
                <w:sz w:val="20"/>
                <w:szCs w:val="20"/>
                <w:lang w:val="en-IE"/>
              </w:rPr>
              <w:t>Utilized agricultural area</w:t>
            </w:r>
          </w:p>
        </w:tc>
        <w:tc>
          <w:tcPr>
            <w:tcW w:w="1555" w:type="dxa"/>
            <w:tcBorders>
              <w:top w:val="nil"/>
              <w:left w:val="nil"/>
              <w:bottom w:val="nil"/>
              <w:right w:val="nil"/>
            </w:tcBorders>
            <w:shd w:val="clear" w:color="auto" w:fill="auto"/>
            <w:noWrap/>
            <w:vAlign w:val="center"/>
            <w:hideMark/>
          </w:tcPr>
          <w:p w14:paraId="55E5F0AA" w14:textId="77777777" w:rsidR="00D925E4" w:rsidRPr="00D925E4" w:rsidRDefault="00D925E4" w:rsidP="00D81A18">
            <w:pPr>
              <w:keepNext/>
              <w:keepLines/>
              <w:spacing w:after="0"/>
              <w:jc w:val="center"/>
              <w:rPr>
                <w:rFonts w:ascii="EC Square Sans Cond Pro" w:eastAsia="Times New Roman" w:hAnsi="EC Square Sans Cond Pro" w:cs="Calibri"/>
                <w:noProof/>
                <w:color w:val="000000"/>
                <w:sz w:val="20"/>
                <w:szCs w:val="20"/>
                <w:lang w:val="en-IE"/>
              </w:rPr>
            </w:pPr>
            <w:r w:rsidRPr="00D925E4">
              <w:rPr>
                <w:rFonts w:ascii="EC Square Sans Cond Pro" w:eastAsia="Times New Roman" w:hAnsi="EC Square Sans Cond Pro" w:cs="Calibri"/>
                <w:noProof/>
                <w:color w:val="000000"/>
                <w:sz w:val="20"/>
                <w:szCs w:val="20"/>
                <w:lang w:val="en-IE"/>
              </w:rPr>
              <w:t>160,108</w:t>
            </w:r>
          </w:p>
        </w:tc>
        <w:tc>
          <w:tcPr>
            <w:tcW w:w="1796" w:type="dxa"/>
            <w:tcBorders>
              <w:top w:val="nil"/>
              <w:left w:val="nil"/>
              <w:bottom w:val="nil"/>
              <w:right w:val="nil"/>
            </w:tcBorders>
            <w:shd w:val="clear" w:color="auto" w:fill="auto"/>
            <w:noWrap/>
            <w:vAlign w:val="center"/>
            <w:hideMark/>
          </w:tcPr>
          <w:p w14:paraId="714E93C7" w14:textId="77777777" w:rsidR="00D925E4" w:rsidRPr="00D925E4" w:rsidRDefault="00D925E4" w:rsidP="00D81A18">
            <w:pPr>
              <w:keepNext/>
              <w:keepLines/>
              <w:spacing w:after="0"/>
              <w:jc w:val="center"/>
              <w:rPr>
                <w:rFonts w:ascii="EC Square Sans Cond Pro" w:eastAsia="Times New Roman" w:hAnsi="EC Square Sans Cond Pro" w:cs="Calibri"/>
                <w:noProof/>
                <w:color w:val="000000"/>
                <w:sz w:val="20"/>
                <w:szCs w:val="20"/>
                <w:lang w:val="en-IE"/>
              </w:rPr>
            </w:pPr>
            <w:r w:rsidRPr="00D925E4">
              <w:rPr>
                <w:rFonts w:ascii="EC Square Sans Cond Pro" w:eastAsia="Times New Roman" w:hAnsi="EC Square Sans Cond Pro" w:cs="Calibri"/>
                <w:noProof/>
                <w:color w:val="000000"/>
                <w:sz w:val="20"/>
                <w:szCs w:val="20"/>
                <w:lang w:val="en-IE"/>
              </w:rPr>
              <w:t>161,763</w:t>
            </w:r>
          </w:p>
        </w:tc>
        <w:tc>
          <w:tcPr>
            <w:tcW w:w="1157" w:type="dxa"/>
            <w:tcBorders>
              <w:top w:val="nil"/>
              <w:left w:val="nil"/>
              <w:bottom w:val="nil"/>
              <w:right w:val="nil"/>
            </w:tcBorders>
            <w:shd w:val="clear" w:color="auto" w:fill="auto"/>
            <w:noWrap/>
            <w:vAlign w:val="center"/>
            <w:hideMark/>
          </w:tcPr>
          <w:p w14:paraId="6E883A51" w14:textId="77777777" w:rsidR="00D925E4" w:rsidRPr="00D925E4" w:rsidRDefault="00D925E4" w:rsidP="00D81A18">
            <w:pPr>
              <w:keepNext/>
              <w:keepLines/>
              <w:spacing w:after="0"/>
              <w:jc w:val="center"/>
              <w:rPr>
                <w:rFonts w:ascii="EC Square Sans Cond Pro" w:eastAsia="Times New Roman" w:hAnsi="EC Square Sans Cond Pro" w:cs="Calibri"/>
                <w:noProof/>
                <w:color w:val="000000"/>
                <w:sz w:val="20"/>
                <w:szCs w:val="20"/>
                <w:lang w:val="en-IE"/>
              </w:rPr>
            </w:pPr>
            <w:r w:rsidRPr="00D925E4">
              <w:rPr>
                <w:rFonts w:ascii="EC Square Sans Cond Pro" w:eastAsia="Times New Roman" w:hAnsi="EC Square Sans Cond Pro" w:cs="Calibri"/>
                <w:noProof/>
                <w:color w:val="000000"/>
                <w:sz w:val="20"/>
                <w:szCs w:val="20"/>
                <w:lang w:val="en-IE"/>
              </w:rPr>
              <w:t>1%</w:t>
            </w:r>
          </w:p>
        </w:tc>
      </w:tr>
      <w:tr w:rsidR="00D925E4" w:rsidRPr="00D925E4" w14:paraId="1D70C4BC" w14:textId="77777777" w:rsidTr="00D925E4">
        <w:trPr>
          <w:trHeight w:val="300"/>
        </w:trPr>
        <w:tc>
          <w:tcPr>
            <w:tcW w:w="4112" w:type="dxa"/>
            <w:tcBorders>
              <w:top w:val="nil"/>
              <w:left w:val="nil"/>
              <w:bottom w:val="nil"/>
              <w:right w:val="nil"/>
            </w:tcBorders>
            <w:shd w:val="clear" w:color="auto" w:fill="auto"/>
            <w:noWrap/>
            <w:vAlign w:val="center"/>
            <w:hideMark/>
          </w:tcPr>
          <w:p w14:paraId="4F09C134" w14:textId="77777777" w:rsidR="00D925E4" w:rsidRPr="00D925E4" w:rsidRDefault="00D925E4" w:rsidP="00D81A18">
            <w:pPr>
              <w:keepNext/>
              <w:keepLines/>
              <w:spacing w:after="0"/>
              <w:jc w:val="left"/>
              <w:rPr>
                <w:rFonts w:ascii="EC Square Sans Cond Pro" w:eastAsia="Times New Roman" w:hAnsi="EC Square Sans Cond Pro" w:cs="Calibri"/>
                <w:noProof/>
                <w:color w:val="000000"/>
                <w:sz w:val="20"/>
                <w:szCs w:val="20"/>
                <w:lang w:val="en-IE"/>
              </w:rPr>
            </w:pPr>
            <w:r w:rsidRPr="00D925E4">
              <w:rPr>
                <w:rFonts w:ascii="EC Square Sans Cond Pro" w:eastAsia="Times New Roman" w:hAnsi="EC Square Sans Cond Pro" w:cs="Calibri"/>
                <w:noProof/>
                <w:color w:val="000000"/>
                <w:sz w:val="20"/>
                <w:szCs w:val="20"/>
                <w:lang w:val="en-IE"/>
              </w:rPr>
              <w:t>Fodder activities</w:t>
            </w:r>
          </w:p>
        </w:tc>
        <w:tc>
          <w:tcPr>
            <w:tcW w:w="1555" w:type="dxa"/>
            <w:tcBorders>
              <w:top w:val="nil"/>
              <w:left w:val="nil"/>
              <w:bottom w:val="nil"/>
              <w:right w:val="nil"/>
            </w:tcBorders>
            <w:shd w:val="clear" w:color="auto" w:fill="auto"/>
            <w:noWrap/>
            <w:vAlign w:val="center"/>
            <w:hideMark/>
          </w:tcPr>
          <w:p w14:paraId="4445B90A" w14:textId="77777777" w:rsidR="00D925E4" w:rsidRPr="00D925E4" w:rsidRDefault="00D925E4" w:rsidP="00D81A18">
            <w:pPr>
              <w:keepNext/>
              <w:keepLines/>
              <w:spacing w:after="0"/>
              <w:jc w:val="center"/>
              <w:rPr>
                <w:rFonts w:ascii="EC Square Sans Cond Pro" w:eastAsia="Times New Roman" w:hAnsi="EC Square Sans Cond Pro" w:cs="Calibri"/>
                <w:noProof/>
                <w:color w:val="000000"/>
                <w:sz w:val="20"/>
                <w:szCs w:val="20"/>
                <w:lang w:val="en-IE"/>
              </w:rPr>
            </w:pPr>
            <w:r w:rsidRPr="00D925E4">
              <w:rPr>
                <w:rFonts w:ascii="EC Square Sans Cond Pro" w:eastAsia="Times New Roman" w:hAnsi="EC Square Sans Cond Pro" w:cs="Calibri"/>
                <w:noProof/>
                <w:color w:val="000000"/>
                <w:sz w:val="20"/>
                <w:szCs w:val="20"/>
                <w:lang w:val="en-IE"/>
              </w:rPr>
              <w:t>65,922</w:t>
            </w:r>
          </w:p>
        </w:tc>
        <w:tc>
          <w:tcPr>
            <w:tcW w:w="1796" w:type="dxa"/>
            <w:tcBorders>
              <w:top w:val="nil"/>
              <w:left w:val="nil"/>
              <w:bottom w:val="nil"/>
              <w:right w:val="nil"/>
            </w:tcBorders>
            <w:shd w:val="clear" w:color="auto" w:fill="auto"/>
            <w:noWrap/>
            <w:vAlign w:val="center"/>
            <w:hideMark/>
          </w:tcPr>
          <w:p w14:paraId="41D8839C" w14:textId="77777777" w:rsidR="00D925E4" w:rsidRPr="00D925E4" w:rsidRDefault="00D925E4" w:rsidP="00D81A18">
            <w:pPr>
              <w:keepNext/>
              <w:keepLines/>
              <w:spacing w:after="0"/>
              <w:jc w:val="center"/>
              <w:rPr>
                <w:rFonts w:ascii="EC Square Sans Cond Pro" w:eastAsia="Times New Roman" w:hAnsi="EC Square Sans Cond Pro" w:cs="Calibri"/>
                <w:noProof/>
                <w:color w:val="000000"/>
                <w:sz w:val="20"/>
                <w:szCs w:val="20"/>
                <w:lang w:val="en-IE"/>
              </w:rPr>
            </w:pPr>
            <w:r w:rsidRPr="00D925E4">
              <w:rPr>
                <w:rFonts w:ascii="EC Square Sans Cond Pro" w:eastAsia="Times New Roman" w:hAnsi="EC Square Sans Cond Pro" w:cs="Calibri"/>
                <w:noProof/>
                <w:color w:val="000000"/>
                <w:sz w:val="20"/>
                <w:szCs w:val="20"/>
                <w:lang w:val="en-IE"/>
              </w:rPr>
              <w:t>54,185</w:t>
            </w:r>
          </w:p>
        </w:tc>
        <w:tc>
          <w:tcPr>
            <w:tcW w:w="1157" w:type="dxa"/>
            <w:tcBorders>
              <w:top w:val="nil"/>
              <w:left w:val="nil"/>
              <w:bottom w:val="nil"/>
              <w:right w:val="nil"/>
            </w:tcBorders>
            <w:shd w:val="clear" w:color="auto" w:fill="auto"/>
            <w:noWrap/>
            <w:vAlign w:val="center"/>
            <w:hideMark/>
          </w:tcPr>
          <w:p w14:paraId="2A3DBC62" w14:textId="77777777" w:rsidR="00D925E4" w:rsidRPr="00D925E4" w:rsidRDefault="00D925E4" w:rsidP="00D81A18">
            <w:pPr>
              <w:keepNext/>
              <w:keepLines/>
              <w:spacing w:after="0"/>
              <w:jc w:val="center"/>
              <w:rPr>
                <w:rFonts w:ascii="EC Square Sans Cond Pro" w:eastAsia="Times New Roman" w:hAnsi="EC Square Sans Cond Pro" w:cs="Calibri"/>
                <w:noProof/>
                <w:color w:val="000000"/>
                <w:sz w:val="20"/>
                <w:szCs w:val="20"/>
                <w:lang w:val="en-IE"/>
              </w:rPr>
            </w:pPr>
            <w:r w:rsidRPr="00D925E4">
              <w:rPr>
                <w:rFonts w:ascii="EC Square Sans Cond Pro" w:eastAsia="Times New Roman" w:hAnsi="EC Square Sans Cond Pro" w:cs="Calibri"/>
                <w:noProof/>
                <w:color w:val="000000"/>
                <w:sz w:val="20"/>
                <w:szCs w:val="20"/>
                <w:lang w:val="en-IE"/>
              </w:rPr>
              <w:t>-18%</w:t>
            </w:r>
          </w:p>
        </w:tc>
      </w:tr>
      <w:tr w:rsidR="00D925E4" w:rsidRPr="00D925E4" w14:paraId="2E4A427C" w14:textId="77777777" w:rsidTr="00D925E4">
        <w:trPr>
          <w:trHeight w:val="300"/>
        </w:trPr>
        <w:tc>
          <w:tcPr>
            <w:tcW w:w="4112" w:type="dxa"/>
            <w:tcBorders>
              <w:top w:val="nil"/>
              <w:left w:val="nil"/>
              <w:bottom w:val="nil"/>
              <w:right w:val="nil"/>
            </w:tcBorders>
            <w:shd w:val="clear" w:color="auto" w:fill="auto"/>
            <w:noWrap/>
            <w:vAlign w:val="center"/>
            <w:hideMark/>
          </w:tcPr>
          <w:p w14:paraId="0A381E91" w14:textId="77777777" w:rsidR="00D925E4" w:rsidRPr="00D925E4" w:rsidRDefault="00D925E4" w:rsidP="00D81A18">
            <w:pPr>
              <w:keepNext/>
              <w:keepLines/>
              <w:spacing w:after="0"/>
              <w:jc w:val="left"/>
              <w:rPr>
                <w:rFonts w:ascii="EC Square Sans Cond Pro" w:eastAsia="Times New Roman" w:hAnsi="EC Square Sans Cond Pro" w:cs="Calibri"/>
                <w:noProof/>
                <w:color w:val="000000"/>
                <w:sz w:val="20"/>
                <w:szCs w:val="20"/>
                <w:lang w:val="en-IE"/>
              </w:rPr>
            </w:pPr>
            <w:r w:rsidRPr="00D925E4">
              <w:rPr>
                <w:rFonts w:ascii="EC Square Sans Cond Pro" w:eastAsia="Times New Roman" w:hAnsi="EC Square Sans Cond Pro" w:cs="Calibri"/>
                <w:noProof/>
                <w:color w:val="000000"/>
                <w:sz w:val="20"/>
                <w:szCs w:val="20"/>
                <w:lang w:val="en-IE"/>
              </w:rPr>
              <w:t>- of which: Gras and grazings intensive</w:t>
            </w:r>
          </w:p>
        </w:tc>
        <w:tc>
          <w:tcPr>
            <w:tcW w:w="1555" w:type="dxa"/>
            <w:tcBorders>
              <w:top w:val="nil"/>
              <w:left w:val="nil"/>
              <w:bottom w:val="nil"/>
              <w:right w:val="nil"/>
            </w:tcBorders>
            <w:shd w:val="clear" w:color="auto" w:fill="auto"/>
            <w:noWrap/>
            <w:vAlign w:val="center"/>
            <w:hideMark/>
          </w:tcPr>
          <w:p w14:paraId="25F951FB" w14:textId="77777777" w:rsidR="00D925E4" w:rsidRPr="00D925E4" w:rsidRDefault="00D925E4" w:rsidP="00D81A18">
            <w:pPr>
              <w:keepNext/>
              <w:keepLines/>
              <w:spacing w:after="0"/>
              <w:jc w:val="center"/>
              <w:rPr>
                <w:rFonts w:ascii="EC Square Sans Cond Pro" w:eastAsia="Times New Roman" w:hAnsi="EC Square Sans Cond Pro" w:cs="Calibri"/>
                <w:noProof/>
                <w:color w:val="000000"/>
                <w:sz w:val="20"/>
                <w:szCs w:val="20"/>
                <w:lang w:val="en-IE"/>
              </w:rPr>
            </w:pPr>
            <w:r w:rsidRPr="00D925E4">
              <w:rPr>
                <w:rFonts w:ascii="EC Square Sans Cond Pro" w:eastAsia="Times New Roman" w:hAnsi="EC Square Sans Cond Pro" w:cs="Calibri"/>
                <w:noProof/>
                <w:color w:val="000000"/>
                <w:sz w:val="20"/>
                <w:szCs w:val="20"/>
                <w:lang w:val="en-IE"/>
              </w:rPr>
              <w:t>23,872</w:t>
            </w:r>
          </w:p>
        </w:tc>
        <w:tc>
          <w:tcPr>
            <w:tcW w:w="1796" w:type="dxa"/>
            <w:tcBorders>
              <w:top w:val="nil"/>
              <w:left w:val="nil"/>
              <w:bottom w:val="nil"/>
              <w:right w:val="nil"/>
            </w:tcBorders>
            <w:shd w:val="clear" w:color="auto" w:fill="auto"/>
            <w:noWrap/>
            <w:vAlign w:val="center"/>
            <w:hideMark/>
          </w:tcPr>
          <w:p w14:paraId="68CAD197" w14:textId="77777777" w:rsidR="00D925E4" w:rsidRPr="00D925E4" w:rsidRDefault="00D925E4" w:rsidP="00D81A18">
            <w:pPr>
              <w:keepNext/>
              <w:keepLines/>
              <w:spacing w:after="0"/>
              <w:jc w:val="center"/>
              <w:rPr>
                <w:rFonts w:ascii="EC Square Sans Cond Pro" w:eastAsia="Times New Roman" w:hAnsi="EC Square Sans Cond Pro" w:cs="Calibri"/>
                <w:noProof/>
                <w:color w:val="000000"/>
                <w:sz w:val="20"/>
                <w:szCs w:val="20"/>
                <w:lang w:val="en-IE"/>
              </w:rPr>
            </w:pPr>
            <w:r w:rsidRPr="00D925E4">
              <w:rPr>
                <w:rFonts w:ascii="EC Square Sans Cond Pro" w:eastAsia="Times New Roman" w:hAnsi="EC Square Sans Cond Pro" w:cs="Calibri"/>
                <w:noProof/>
                <w:color w:val="000000"/>
                <w:sz w:val="20"/>
                <w:szCs w:val="20"/>
                <w:lang w:val="en-IE"/>
              </w:rPr>
              <w:t>5,174</w:t>
            </w:r>
          </w:p>
        </w:tc>
        <w:tc>
          <w:tcPr>
            <w:tcW w:w="1157" w:type="dxa"/>
            <w:tcBorders>
              <w:top w:val="nil"/>
              <w:left w:val="nil"/>
              <w:bottom w:val="nil"/>
              <w:right w:val="nil"/>
            </w:tcBorders>
            <w:shd w:val="clear" w:color="auto" w:fill="auto"/>
            <w:noWrap/>
            <w:vAlign w:val="center"/>
            <w:hideMark/>
          </w:tcPr>
          <w:p w14:paraId="47D76BAA" w14:textId="77777777" w:rsidR="00D925E4" w:rsidRPr="00D925E4" w:rsidRDefault="00D925E4" w:rsidP="00D81A18">
            <w:pPr>
              <w:keepNext/>
              <w:keepLines/>
              <w:spacing w:after="0"/>
              <w:jc w:val="center"/>
              <w:rPr>
                <w:rFonts w:ascii="EC Square Sans Cond Pro" w:eastAsia="Times New Roman" w:hAnsi="EC Square Sans Cond Pro" w:cs="Calibri"/>
                <w:noProof/>
                <w:color w:val="000000"/>
                <w:sz w:val="20"/>
                <w:szCs w:val="20"/>
                <w:lang w:val="en-IE"/>
              </w:rPr>
            </w:pPr>
            <w:r w:rsidRPr="00D925E4">
              <w:rPr>
                <w:rFonts w:ascii="EC Square Sans Cond Pro" w:eastAsia="Times New Roman" w:hAnsi="EC Square Sans Cond Pro" w:cs="Calibri"/>
                <w:noProof/>
                <w:color w:val="000000"/>
                <w:sz w:val="20"/>
                <w:szCs w:val="20"/>
                <w:lang w:val="en-IE"/>
              </w:rPr>
              <w:t>-78%</w:t>
            </w:r>
          </w:p>
        </w:tc>
      </w:tr>
      <w:tr w:rsidR="00D925E4" w:rsidRPr="00D925E4" w14:paraId="5528FAB4" w14:textId="77777777" w:rsidTr="00D925E4">
        <w:trPr>
          <w:trHeight w:val="300"/>
        </w:trPr>
        <w:tc>
          <w:tcPr>
            <w:tcW w:w="4112" w:type="dxa"/>
            <w:tcBorders>
              <w:top w:val="nil"/>
              <w:left w:val="nil"/>
              <w:bottom w:val="nil"/>
              <w:right w:val="nil"/>
            </w:tcBorders>
            <w:shd w:val="clear" w:color="auto" w:fill="auto"/>
            <w:noWrap/>
            <w:vAlign w:val="center"/>
            <w:hideMark/>
          </w:tcPr>
          <w:p w14:paraId="71E54DD6" w14:textId="77777777" w:rsidR="00D925E4" w:rsidRPr="00D925E4" w:rsidRDefault="00D925E4" w:rsidP="00D81A18">
            <w:pPr>
              <w:keepNext/>
              <w:keepLines/>
              <w:spacing w:after="0"/>
              <w:jc w:val="left"/>
              <w:rPr>
                <w:rFonts w:ascii="EC Square Sans Cond Pro" w:eastAsia="Times New Roman" w:hAnsi="EC Square Sans Cond Pro" w:cs="Calibri"/>
                <w:noProof/>
                <w:color w:val="000000"/>
                <w:sz w:val="20"/>
                <w:szCs w:val="20"/>
                <w:lang w:val="en-IE"/>
              </w:rPr>
            </w:pPr>
            <w:r w:rsidRPr="00D925E4">
              <w:rPr>
                <w:rFonts w:ascii="EC Square Sans Cond Pro" w:eastAsia="Times New Roman" w:hAnsi="EC Square Sans Cond Pro" w:cs="Calibri"/>
                <w:noProof/>
                <w:color w:val="000000"/>
                <w:sz w:val="20"/>
                <w:szCs w:val="20"/>
                <w:lang w:val="en-IE"/>
              </w:rPr>
              <w:t>- of which: Gras and grazings extensive</w:t>
            </w:r>
          </w:p>
        </w:tc>
        <w:tc>
          <w:tcPr>
            <w:tcW w:w="1555" w:type="dxa"/>
            <w:tcBorders>
              <w:top w:val="nil"/>
              <w:left w:val="nil"/>
              <w:bottom w:val="nil"/>
              <w:right w:val="nil"/>
            </w:tcBorders>
            <w:shd w:val="clear" w:color="auto" w:fill="auto"/>
            <w:noWrap/>
            <w:vAlign w:val="center"/>
            <w:hideMark/>
          </w:tcPr>
          <w:p w14:paraId="04E7ECD4" w14:textId="77777777" w:rsidR="00D925E4" w:rsidRPr="00D925E4" w:rsidRDefault="00D925E4" w:rsidP="00D81A18">
            <w:pPr>
              <w:keepNext/>
              <w:keepLines/>
              <w:spacing w:after="0"/>
              <w:jc w:val="center"/>
              <w:rPr>
                <w:rFonts w:ascii="EC Square Sans Cond Pro" w:eastAsia="Times New Roman" w:hAnsi="EC Square Sans Cond Pro" w:cs="Calibri"/>
                <w:noProof/>
                <w:color w:val="000000"/>
                <w:sz w:val="20"/>
                <w:szCs w:val="20"/>
                <w:lang w:val="en-IE"/>
              </w:rPr>
            </w:pPr>
            <w:r w:rsidRPr="00D925E4">
              <w:rPr>
                <w:rFonts w:ascii="EC Square Sans Cond Pro" w:eastAsia="Times New Roman" w:hAnsi="EC Square Sans Cond Pro" w:cs="Calibri"/>
                <w:noProof/>
                <w:color w:val="000000"/>
                <w:sz w:val="20"/>
                <w:szCs w:val="20"/>
                <w:lang w:val="en-IE"/>
              </w:rPr>
              <w:t>23,867</w:t>
            </w:r>
          </w:p>
        </w:tc>
        <w:tc>
          <w:tcPr>
            <w:tcW w:w="1796" w:type="dxa"/>
            <w:tcBorders>
              <w:top w:val="nil"/>
              <w:left w:val="nil"/>
              <w:bottom w:val="nil"/>
              <w:right w:val="nil"/>
            </w:tcBorders>
            <w:shd w:val="clear" w:color="auto" w:fill="auto"/>
            <w:noWrap/>
            <w:vAlign w:val="center"/>
            <w:hideMark/>
          </w:tcPr>
          <w:p w14:paraId="50752BA6" w14:textId="77777777" w:rsidR="00D925E4" w:rsidRPr="00D925E4" w:rsidRDefault="00D925E4" w:rsidP="00D81A18">
            <w:pPr>
              <w:keepNext/>
              <w:keepLines/>
              <w:spacing w:after="0"/>
              <w:jc w:val="center"/>
              <w:rPr>
                <w:rFonts w:ascii="EC Square Sans Cond Pro" w:eastAsia="Times New Roman" w:hAnsi="EC Square Sans Cond Pro" w:cs="Calibri"/>
                <w:noProof/>
                <w:color w:val="000000"/>
                <w:sz w:val="20"/>
                <w:szCs w:val="20"/>
                <w:lang w:val="en-IE"/>
              </w:rPr>
            </w:pPr>
            <w:r w:rsidRPr="00D925E4">
              <w:rPr>
                <w:rFonts w:ascii="EC Square Sans Cond Pro" w:eastAsia="Times New Roman" w:hAnsi="EC Square Sans Cond Pro" w:cs="Calibri"/>
                <w:noProof/>
                <w:color w:val="000000"/>
                <w:sz w:val="20"/>
                <w:szCs w:val="20"/>
                <w:lang w:val="en-IE"/>
              </w:rPr>
              <w:t>36,595</w:t>
            </w:r>
          </w:p>
        </w:tc>
        <w:tc>
          <w:tcPr>
            <w:tcW w:w="1157" w:type="dxa"/>
            <w:tcBorders>
              <w:top w:val="nil"/>
              <w:left w:val="nil"/>
              <w:bottom w:val="nil"/>
              <w:right w:val="nil"/>
            </w:tcBorders>
            <w:shd w:val="clear" w:color="auto" w:fill="auto"/>
            <w:noWrap/>
            <w:vAlign w:val="center"/>
            <w:hideMark/>
          </w:tcPr>
          <w:p w14:paraId="3A1866B5" w14:textId="77777777" w:rsidR="00D925E4" w:rsidRPr="00D925E4" w:rsidRDefault="00D925E4" w:rsidP="00D81A18">
            <w:pPr>
              <w:keepNext/>
              <w:keepLines/>
              <w:spacing w:after="0"/>
              <w:jc w:val="center"/>
              <w:rPr>
                <w:rFonts w:ascii="EC Square Sans Cond Pro" w:eastAsia="Times New Roman" w:hAnsi="EC Square Sans Cond Pro" w:cs="Calibri"/>
                <w:noProof/>
                <w:color w:val="000000"/>
                <w:sz w:val="20"/>
                <w:szCs w:val="20"/>
                <w:lang w:val="en-IE"/>
              </w:rPr>
            </w:pPr>
            <w:r w:rsidRPr="00D925E4">
              <w:rPr>
                <w:rFonts w:ascii="EC Square Sans Cond Pro" w:eastAsia="Times New Roman" w:hAnsi="EC Square Sans Cond Pro" w:cs="Calibri"/>
                <w:noProof/>
                <w:color w:val="000000"/>
                <w:sz w:val="20"/>
                <w:szCs w:val="20"/>
                <w:lang w:val="en-IE"/>
              </w:rPr>
              <w:t>53%</w:t>
            </w:r>
          </w:p>
        </w:tc>
      </w:tr>
      <w:tr w:rsidR="00D925E4" w:rsidRPr="00D925E4" w14:paraId="7286A8D0" w14:textId="77777777" w:rsidTr="00D925E4">
        <w:trPr>
          <w:trHeight w:val="300"/>
        </w:trPr>
        <w:tc>
          <w:tcPr>
            <w:tcW w:w="4112" w:type="dxa"/>
            <w:tcBorders>
              <w:top w:val="nil"/>
              <w:left w:val="nil"/>
              <w:bottom w:val="nil"/>
              <w:right w:val="nil"/>
            </w:tcBorders>
            <w:shd w:val="clear" w:color="auto" w:fill="auto"/>
            <w:noWrap/>
            <w:vAlign w:val="center"/>
            <w:hideMark/>
          </w:tcPr>
          <w:p w14:paraId="2026BA23" w14:textId="01F024B2" w:rsidR="00D925E4" w:rsidRPr="00D925E4" w:rsidRDefault="00D925E4" w:rsidP="00D81A18">
            <w:pPr>
              <w:keepNext/>
              <w:keepLines/>
              <w:spacing w:after="0"/>
              <w:jc w:val="left"/>
              <w:rPr>
                <w:rFonts w:ascii="EC Square Sans Cond Pro" w:eastAsia="Times New Roman" w:hAnsi="EC Square Sans Cond Pro" w:cs="Calibri"/>
                <w:noProof/>
                <w:color w:val="000000"/>
                <w:sz w:val="20"/>
                <w:szCs w:val="20"/>
                <w:lang w:val="en-IE"/>
              </w:rPr>
            </w:pPr>
            <w:r w:rsidRPr="00D925E4">
              <w:rPr>
                <w:rFonts w:ascii="EC Square Sans Cond Pro" w:eastAsia="Times New Roman" w:hAnsi="EC Square Sans Cond Pro" w:cs="Calibri"/>
                <w:noProof/>
                <w:color w:val="000000"/>
                <w:sz w:val="20"/>
                <w:szCs w:val="20"/>
                <w:lang w:val="en-IE"/>
              </w:rPr>
              <w:t>Total set aside or rewetted land</w:t>
            </w:r>
            <w:r w:rsidR="00450AE1">
              <w:rPr>
                <w:rFonts w:ascii="EC Square Sans Cond Pro" w:eastAsia="Times New Roman" w:hAnsi="EC Square Sans Cond Pro" w:cs="Calibri"/>
                <w:noProof/>
                <w:color w:val="000000"/>
                <w:sz w:val="20"/>
                <w:szCs w:val="20"/>
                <w:lang w:val="en-IE"/>
              </w:rPr>
              <w:t>*</w:t>
            </w:r>
          </w:p>
        </w:tc>
        <w:tc>
          <w:tcPr>
            <w:tcW w:w="1555" w:type="dxa"/>
            <w:tcBorders>
              <w:top w:val="nil"/>
              <w:left w:val="nil"/>
              <w:bottom w:val="nil"/>
              <w:right w:val="nil"/>
            </w:tcBorders>
            <w:shd w:val="clear" w:color="auto" w:fill="auto"/>
            <w:noWrap/>
            <w:vAlign w:val="center"/>
            <w:hideMark/>
          </w:tcPr>
          <w:p w14:paraId="08BF9607" w14:textId="77777777" w:rsidR="00D925E4" w:rsidRPr="00D925E4" w:rsidRDefault="00D925E4" w:rsidP="00D81A18">
            <w:pPr>
              <w:keepNext/>
              <w:keepLines/>
              <w:spacing w:after="0"/>
              <w:jc w:val="center"/>
              <w:rPr>
                <w:rFonts w:ascii="EC Square Sans Cond Pro" w:eastAsia="Times New Roman" w:hAnsi="EC Square Sans Cond Pro" w:cs="Calibri"/>
                <w:noProof/>
                <w:color w:val="000000"/>
                <w:sz w:val="20"/>
                <w:szCs w:val="20"/>
                <w:lang w:val="en-IE"/>
              </w:rPr>
            </w:pPr>
            <w:r w:rsidRPr="00D925E4">
              <w:rPr>
                <w:rFonts w:ascii="EC Square Sans Cond Pro" w:eastAsia="Times New Roman" w:hAnsi="EC Square Sans Cond Pro" w:cs="Calibri"/>
                <w:noProof/>
                <w:color w:val="000000"/>
                <w:sz w:val="20"/>
                <w:szCs w:val="20"/>
                <w:lang w:val="en-IE"/>
              </w:rPr>
              <w:t>7,084</w:t>
            </w:r>
          </w:p>
        </w:tc>
        <w:tc>
          <w:tcPr>
            <w:tcW w:w="1796" w:type="dxa"/>
            <w:tcBorders>
              <w:top w:val="nil"/>
              <w:left w:val="nil"/>
              <w:bottom w:val="nil"/>
              <w:right w:val="nil"/>
            </w:tcBorders>
            <w:shd w:val="clear" w:color="auto" w:fill="auto"/>
            <w:noWrap/>
            <w:vAlign w:val="center"/>
            <w:hideMark/>
          </w:tcPr>
          <w:p w14:paraId="38EB3EB2" w14:textId="77777777" w:rsidR="00D925E4" w:rsidRPr="00D925E4" w:rsidRDefault="00D925E4" w:rsidP="00D81A18">
            <w:pPr>
              <w:keepNext/>
              <w:keepLines/>
              <w:spacing w:after="0"/>
              <w:jc w:val="center"/>
              <w:rPr>
                <w:rFonts w:ascii="EC Square Sans Cond Pro" w:eastAsia="Times New Roman" w:hAnsi="EC Square Sans Cond Pro" w:cs="Calibri"/>
                <w:noProof/>
                <w:color w:val="000000"/>
                <w:sz w:val="20"/>
                <w:szCs w:val="20"/>
                <w:lang w:val="en-IE"/>
              </w:rPr>
            </w:pPr>
            <w:r w:rsidRPr="00D925E4">
              <w:rPr>
                <w:rFonts w:ascii="EC Square Sans Cond Pro" w:eastAsia="Times New Roman" w:hAnsi="EC Square Sans Cond Pro" w:cs="Calibri"/>
                <w:noProof/>
                <w:color w:val="000000"/>
                <w:sz w:val="20"/>
                <w:szCs w:val="20"/>
                <w:lang w:val="en-IE"/>
              </w:rPr>
              <w:t>22,360</w:t>
            </w:r>
          </w:p>
        </w:tc>
        <w:tc>
          <w:tcPr>
            <w:tcW w:w="1157" w:type="dxa"/>
            <w:tcBorders>
              <w:top w:val="nil"/>
              <w:left w:val="nil"/>
              <w:bottom w:val="nil"/>
              <w:right w:val="nil"/>
            </w:tcBorders>
            <w:shd w:val="clear" w:color="auto" w:fill="auto"/>
            <w:noWrap/>
            <w:vAlign w:val="center"/>
            <w:hideMark/>
          </w:tcPr>
          <w:p w14:paraId="33D0F653" w14:textId="77777777" w:rsidR="00D925E4" w:rsidRPr="00D925E4" w:rsidRDefault="00D925E4" w:rsidP="00D81A18">
            <w:pPr>
              <w:keepNext/>
              <w:keepLines/>
              <w:spacing w:after="0"/>
              <w:jc w:val="center"/>
              <w:rPr>
                <w:rFonts w:ascii="EC Square Sans Cond Pro" w:eastAsia="Times New Roman" w:hAnsi="EC Square Sans Cond Pro" w:cs="Calibri"/>
                <w:noProof/>
                <w:color w:val="000000"/>
                <w:sz w:val="20"/>
                <w:szCs w:val="20"/>
                <w:lang w:val="en-IE"/>
              </w:rPr>
            </w:pPr>
            <w:r w:rsidRPr="00D925E4">
              <w:rPr>
                <w:rFonts w:ascii="EC Square Sans Cond Pro" w:eastAsia="Times New Roman" w:hAnsi="EC Square Sans Cond Pro" w:cs="Calibri"/>
                <w:noProof/>
                <w:color w:val="000000"/>
                <w:sz w:val="20"/>
                <w:szCs w:val="20"/>
                <w:lang w:val="en-IE"/>
              </w:rPr>
              <w:t>216%</w:t>
            </w:r>
          </w:p>
        </w:tc>
      </w:tr>
    </w:tbl>
    <w:p w14:paraId="1A2C1317" w14:textId="4A59AE8E" w:rsidR="00C31941" w:rsidRPr="00C31941" w:rsidRDefault="00C31941" w:rsidP="00D81A18">
      <w:pPr>
        <w:pStyle w:val="CT-NOTE"/>
        <w:keepLines/>
        <w:rPr>
          <w:noProof/>
        </w:rPr>
      </w:pPr>
      <w:r w:rsidRPr="009413FB">
        <w:rPr>
          <w:noProof/>
        </w:rPr>
        <w:t>*</w:t>
      </w:r>
      <w:r w:rsidR="009413FB" w:rsidRPr="009413FB">
        <w:rPr>
          <w:rFonts w:eastAsia="Times New Roman"/>
          <w:noProof/>
          <w:lang w:val="en-US"/>
        </w:rPr>
        <w:t xml:space="preserve">This includes fallow land set aside and rewetted cropland or grassland. The additional area is partly </w:t>
      </w:r>
      <w:r w:rsidR="00A57BD7">
        <w:rPr>
          <w:rFonts w:eastAsia="Times New Roman"/>
          <w:noProof/>
          <w:lang w:val="en-US"/>
        </w:rPr>
        <w:t>m</w:t>
      </w:r>
      <w:r w:rsidR="00E466D0">
        <w:rPr>
          <w:rFonts w:eastAsia="Times New Roman"/>
          <w:noProof/>
          <w:lang w:val="en-US"/>
        </w:rPr>
        <w:t>obilized</w:t>
      </w:r>
      <w:r w:rsidR="009413FB" w:rsidRPr="009413FB">
        <w:rPr>
          <w:rFonts w:eastAsia="Times New Roman"/>
          <w:noProof/>
          <w:lang w:val="en-US"/>
        </w:rPr>
        <w:t xml:space="preserve"> by displacing agricultural</w:t>
      </w:r>
      <w:r w:rsidR="009413FB">
        <w:rPr>
          <w:rFonts w:eastAsia="Times New Roman"/>
          <w:noProof/>
          <w:lang w:val="en-US"/>
        </w:rPr>
        <w:t xml:space="preserve"> crops and partly by converting other </w:t>
      </w:r>
      <w:r w:rsidR="00E466D0">
        <w:rPr>
          <w:rFonts w:eastAsia="Times New Roman"/>
          <w:noProof/>
          <w:lang w:val="en-US"/>
        </w:rPr>
        <w:t>“</w:t>
      </w:r>
      <w:r w:rsidR="009413FB">
        <w:rPr>
          <w:rFonts w:eastAsia="Times New Roman"/>
          <w:noProof/>
          <w:lang w:val="en-US"/>
        </w:rPr>
        <w:t>unproductive</w:t>
      </w:r>
      <w:r w:rsidR="00E466D0">
        <w:rPr>
          <w:rFonts w:eastAsia="Times New Roman"/>
          <w:noProof/>
          <w:lang w:val="en-US"/>
        </w:rPr>
        <w:t>”</w:t>
      </w:r>
      <w:r w:rsidR="009413FB">
        <w:rPr>
          <w:rFonts w:eastAsia="Times New Roman"/>
          <w:noProof/>
          <w:lang w:val="en-US"/>
        </w:rPr>
        <w:t xml:space="preserve"> land.</w:t>
      </w:r>
    </w:p>
    <w:p w14:paraId="08AADCB6" w14:textId="590B1B88" w:rsidR="00F26B75" w:rsidRPr="00F26B75" w:rsidRDefault="00F26B75" w:rsidP="00DD247E">
      <w:pPr>
        <w:pStyle w:val="CT-SOURCE"/>
        <w:keepLines/>
        <w:rPr>
          <w:noProof/>
          <w:szCs w:val="18"/>
        </w:rPr>
      </w:pPr>
      <w:r w:rsidRPr="0047274C">
        <w:rPr>
          <w:noProof/>
        </w:rPr>
        <w:t xml:space="preserve">Source: </w:t>
      </w:r>
      <w:r>
        <w:rPr>
          <w:noProof/>
        </w:rPr>
        <w:t>CAPRI</w:t>
      </w:r>
    </w:p>
    <w:bookmarkEnd w:id="569"/>
    <w:p w14:paraId="7EAA8475" w14:textId="4AD39077" w:rsidR="00F26B75" w:rsidRDefault="008050A6" w:rsidP="00EF1765">
      <w:pPr>
        <w:pStyle w:val="Text2"/>
        <w:rPr>
          <w:noProof/>
        </w:rPr>
      </w:pPr>
      <w:r>
        <w:rPr>
          <w:noProof/>
        </w:rPr>
        <w:t>T</w:t>
      </w:r>
      <w:r w:rsidRPr="008050A6">
        <w:rPr>
          <w:noProof/>
        </w:rPr>
        <w:t>he third key driver for improved biodiversity friendliness would be</w:t>
      </w:r>
      <w:r w:rsidR="00F26B75">
        <w:rPr>
          <w:noProof/>
        </w:rPr>
        <w:t xml:space="preserve"> the </w:t>
      </w:r>
      <w:r w:rsidRPr="008050A6">
        <w:rPr>
          <w:noProof/>
        </w:rPr>
        <w:t xml:space="preserve">expansion of areas for landscape elements such as hedges, buffer strips </w:t>
      </w:r>
      <w:r w:rsidR="006C1870" w:rsidRPr="008050A6">
        <w:rPr>
          <w:noProof/>
        </w:rPr>
        <w:t>etc.</w:t>
      </w:r>
      <w:r w:rsidRPr="008050A6">
        <w:rPr>
          <w:noProof/>
        </w:rPr>
        <w:t xml:space="preserve"> The </w:t>
      </w:r>
      <w:r w:rsidR="00F26B75">
        <w:rPr>
          <w:noProof/>
        </w:rPr>
        <w:t xml:space="preserve">share of </w:t>
      </w:r>
      <w:r w:rsidRPr="008050A6">
        <w:rPr>
          <w:noProof/>
        </w:rPr>
        <w:t>this</w:t>
      </w:r>
      <w:r w:rsidR="00F26B75">
        <w:rPr>
          <w:noProof/>
        </w:rPr>
        <w:t xml:space="preserve"> set aside </w:t>
      </w:r>
      <w:r w:rsidRPr="008050A6">
        <w:rPr>
          <w:noProof/>
        </w:rPr>
        <w:t>or fallow land would</w:t>
      </w:r>
      <w:r w:rsidR="00F26B75">
        <w:rPr>
          <w:noProof/>
        </w:rPr>
        <w:t xml:space="preserve"> more than </w:t>
      </w:r>
      <w:r w:rsidRPr="008050A6">
        <w:rPr>
          <w:noProof/>
        </w:rPr>
        <w:t>double</w:t>
      </w:r>
      <w:r w:rsidR="00F26B75">
        <w:rPr>
          <w:noProof/>
        </w:rPr>
        <w:t xml:space="preserve"> to about 14.5 Mha in total</w:t>
      </w:r>
      <w:r w:rsidRPr="008050A6">
        <w:rPr>
          <w:noProof/>
        </w:rPr>
        <w:t>.</w:t>
      </w:r>
      <w:r w:rsidR="00F26B75">
        <w:rPr>
          <w:noProof/>
        </w:rPr>
        <w:t xml:space="preserve"> </w:t>
      </w:r>
      <w:r w:rsidR="003B7929">
        <w:rPr>
          <w:noProof/>
        </w:rPr>
        <w:fldChar w:fldCharType="begin"/>
      </w:r>
      <w:r w:rsidR="003B7929">
        <w:rPr>
          <w:noProof/>
        </w:rPr>
        <w:instrText xml:space="preserve"> REF _Ref146043737 \h </w:instrText>
      </w:r>
      <w:r w:rsidR="003B7929">
        <w:rPr>
          <w:noProof/>
        </w:rPr>
      </w:r>
      <w:r w:rsidR="003B7929">
        <w:rPr>
          <w:noProof/>
        </w:rPr>
        <w:fldChar w:fldCharType="separate"/>
      </w:r>
      <w:r w:rsidR="00170A3C">
        <w:rPr>
          <w:noProof/>
        </w:rPr>
        <w:t>Figure 99</w:t>
      </w:r>
      <w:r w:rsidR="003B7929">
        <w:rPr>
          <w:noProof/>
        </w:rPr>
        <w:fldChar w:fldCharType="end"/>
      </w:r>
      <w:r w:rsidR="003B7929">
        <w:rPr>
          <w:noProof/>
        </w:rPr>
        <w:t xml:space="preserve"> </w:t>
      </w:r>
      <w:r w:rsidR="00E466D0">
        <w:rPr>
          <w:noProof/>
        </w:rPr>
        <w:t>S</w:t>
      </w:r>
      <w:r w:rsidR="00F26B75">
        <w:rPr>
          <w:noProof/>
        </w:rPr>
        <w:t xml:space="preserve">hows the regional biodiversity impacts through </w:t>
      </w:r>
      <w:r w:rsidR="00C459D4">
        <w:rPr>
          <w:noProof/>
        </w:rPr>
        <w:t>LIFE</w:t>
      </w:r>
      <w:r w:rsidR="00F26B75">
        <w:rPr>
          <w:noProof/>
        </w:rPr>
        <w:t>, indicating that the improvements are evenly distributed across the EU, shifting particularly southern and eastern European regions into a much more favourable state for biodiversity.</w:t>
      </w:r>
    </w:p>
    <w:p w14:paraId="6EA8689F" w14:textId="4D631218" w:rsidR="002B7F04" w:rsidRDefault="002B7F04" w:rsidP="00CF23AB">
      <w:pPr>
        <w:pStyle w:val="Caption"/>
        <w:jc w:val="left"/>
        <w:rPr>
          <w:noProof/>
        </w:rPr>
      </w:pPr>
      <w:bookmarkStart w:id="570" w:name="_Ref145490691"/>
      <w:bookmarkStart w:id="571" w:name="_Ref146043737"/>
      <w:bookmarkStart w:id="572" w:name="_Toc157679847"/>
      <w:r>
        <w:rPr>
          <w:noProof/>
        </w:rPr>
        <w:t xml:space="preserve">Figure </w:t>
      </w:r>
      <w:bookmarkEnd w:id="570"/>
      <w:r w:rsidR="00F2742D">
        <w:rPr>
          <w:noProof/>
        </w:rPr>
        <w:fldChar w:fldCharType="begin"/>
      </w:r>
      <w:r w:rsidR="00F2742D">
        <w:rPr>
          <w:noProof/>
        </w:rPr>
        <w:instrText xml:space="preserve"> SEQ Figure \* ARABIC </w:instrText>
      </w:r>
      <w:r w:rsidR="00F2742D">
        <w:rPr>
          <w:noProof/>
        </w:rPr>
        <w:fldChar w:fldCharType="separate"/>
      </w:r>
      <w:r w:rsidR="00170A3C">
        <w:rPr>
          <w:noProof/>
        </w:rPr>
        <w:t>99</w:t>
      </w:r>
      <w:r w:rsidR="00F2742D">
        <w:rPr>
          <w:noProof/>
        </w:rPr>
        <w:fldChar w:fldCharType="end"/>
      </w:r>
      <w:bookmarkEnd w:id="571"/>
      <w:r>
        <w:rPr>
          <w:noProof/>
        </w:rPr>
        <w:t xml:space="preserve">: Biodiversity impacts </w:t>
      </w:r>
      <w:r w:rsidR="00FD76BF">
        <w:rPr>
          <w:noProof/>
        </w:rPr>
        <w:t>from</w:t>
      </w:r>
      <w:r>
        <w:rPr>
          <w:noProof/>
        </w:rPr>
        <w:t xml:space="preserve"> LIFE by region.</w:t>
      </w:r>
      <w:bookmarkEnd w:id="572"/>
    </w:p>
    <w:p w14:paraId="4DC2A029" w14:textId="4001BA14" w:rsidR="002B7F04" w:rsidRPr="00F52ACC" w:rsidRDefault="00F52ACC" w:rsidP="00534E10">
      <w:pPr>
        <w:spacing w:after="0"/>
        <w:rPr>
          <w:noProof/>
        </w:rPr>
      </w:pPr>
      <w:r>
        <w:rPr>
          <w:noProof/>
          <w:lang w:eastAsia="en-GB"/>
        </w:rPr>
        <w:drawing>
          <wp:inline distT="0" distB="0" distL="0" distR="0" wp14:anchorId="7ED68B9E" wp14:editId="7AA81BD8">
            <wp:extent cx="5472430" cy="2699054"/>
            <wp:effectExtent l="0" t="0" r="0" b="635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rotWithShape="1">
                    <a:blip r:embed="rId119">
                      <a:extLst>
                        <a:ext uri="{28A0092B-C50C-407E-A947-70E740481C1C}">
                          <a14:useLocalDpi xmlns:a14="http://schemas.microsoft.com/office/drawing/2010/main" val="0"/>
                        </a:ext>
                      </a:extLst>
                    </a:blip>
                    <a:srcRect t="6603"/>
                    <a:stretch/>
                  </pic:blipFill>
                  <pic:spPr bwMode="auto">
                    <a:xfrm>
                      <a:off x="0" y="0"/>
                      <a:ext cx="5472430" cy="2699054"/>
                    </a:xfrm>
                    <a:prstGeom prst="rect">
                      <a:avLst/>
                    </a:prstGeom>
                    <a:ln>
                      <a:noFill/>
                    </a:ln>
                    <a:extLst>
                      <a:ext uri="{53640926-AAD7-44D8-BBD7-CCE9431645EC}">
                        <a14:shadowObscured xmlns:a14="http://schemas.microsoft.com/office/drawing/2010/main"/>
                      </a:ext>
                    </a:extLst>
                  </pic:spPr>
                </pic:pic>
              </a:graphicData>
            </a:graphic>
          </wp:inline>
        </w:drawing>
      </w:r>
    </w:p>
    <w:p w14:paraId="3E871D3C" w14:textId="41AB1154" w:rsidR="00E94025" w:rsidRPr="0047274C" w:rsidRDefault="00E94025" w:rsidP="00E94025">
      <w:pPr>
        <w:pStyle w:val="CT-NOTE"/>
        <w:rPr>
          <w:noProof/>
        </w:rPr>
      </w:pPr>
      <w:r w:rsidRPr="0047274C">
        <w:rPr>
          <w:noProof/>
        </w:rPr>
        <w:t xml:space="preserve">Note: </w:t>
      </w:r>
      <w:r w:rsidR="00937B26" w:rsidRPr="00C17030">
        <w:rPr>
          <w:noProof/>
          <w:lang w:val="en-US"/>
        </w:rPr>
        <w:t xml:space="preserve">Results on the total BFP index </w:t>
      </w:r>
      <w:r w:rsidR="00D90CFA">
        <w:rPr>
          <w:noProof/>
          <w:lang w:val="en-US"/>
        </w:rPr>
        <w:t xml:space="preserve">in </w:t>
      </w:r>
      <w:r w:rsidR="00C459D4">
        <w:rPr>
          <w:noProof/>
          <w:lang w:val="en-US"/>
        </w:rPr>
        <w:t>LIFE</w:t>
      </w:r>
      <w:r w:rsidR="00937B26" w:rsidRPr="00C17030">
        <w:rPr>
          <w:noProof/>
          <w:lang w:val="en-US"/>
        </w:rPr>
        <w:t xml:space="preserve"> </w:t>
      </w:r>
      <w:r w:rsidR="00EF0AD9">
        <w:rPr>
          <w:noProof/>
          <w:lang w:val="en-US"/>
        </w:rPr>
        <w:t xml:space="preserve">(right) </w:t>
      </w:r>
      <w:r w:rsidR="00937B26" w:rsidRPr="00C17030">
        <w:rPr>
          <w:noProof/>
          <w:lang w:val="en-US"/>
        </w:rPr>
        <w:t xml:space="preserve">against the </w:t>
      </w:r>
      <w:r w:rsidR="00FD76BF">
        <w:rPr>
          <w:noProof/>
          <w:lang w:val="en-US"/>
        </w:rPr>
        <w:t>default setting of the scenarios S1,</w:t>
      </w:r>
      <w:r w:rsidR="006C4CF4">
        <w:rPr>
          <w:noProof/>
          <w:lang w:val="en-US"/>
        </w:rPr>
        <w:t xml:space="preserve"> S2</w:t>
      </w:r>
      <w:r w:rsidR="00FD76BF">
        <w:rPr>
          <w:noProof/>
          <w:lang w:val="en-US"/>
        </w:rPr>
        <w:t xml:space="preserve"> and S3 </w:t>
      </w:r>
      <w:r w:rsidR="00D90CFA">
        <w:rPr>
          <w:noProof/>
          <w:lang w:val="en-US"/>
        </w:rPr>
        <w:t>(</w:t>
      </w:r>
      <w:r w:rsidR="00EF0AD9">
        <w:rPr>
          <w:noProof/>
          <w:lang w:val="en-US"/>
        </w:rPr>
        <w:t>left</w:t>
      </w:r>
      <w:r w:rsidR="006C4CF4">
        <w:rPr>
          <w:noProof/>
          <w:lang w:val="en-US"/>
        </w:rPr>
        <w:t xml:space="preserve">) </w:t>
      </w:r>
      <w:r w:rsidR="00FD76BF" w:rsidRPr="00C17030">
        <w:rPr>
          <w:noProof/>
          <w:lang w:val="en-US"/>
        </w:rPr>
        <w:t>in 20</w:t>
      </w:r>
      <w:r w:rsidR="00FD76BF">
        <w:rPr>
          <w:noProof/>
          <w:lang w:val="en-US"/>
        </w:rPr>
        <w:t>4</w:t>
      </w:r>
      <w:r w:rsidR="00FD76BF" w:rsidRPr="00C17030">
        <w:rPr>
          <w:noProof/>
          <w:lang w:val="en-US"/>
        </w:rPr>
        <w:t xml:space="preserve">0 </w:t>
      </w:r>
      <w:r w:rsidR="006C4CF4">
        <w:rPr>
          <w:noProof/>
          <w:lang w:val="en-US"/>
        </w:rPr>
        <w:t xml:space="preserve">on </w:t>
      </w:r>
      <w:r w:rsidR="00251EA0">
        <w:rPr>
          <w:noProof/>
          <w:lang w:val="en-US"/>
        </w:rPr>
        <w:t xml:space="preserve">NUTS 2 level. </w:t>
      </w:r>
      <w:r w:rsidR="00CA5C9A">
        <w:rPr>
          <w:noProof/>
          <w:lang w:val="en-US"/>
        </w:rPr>
        <w:t>The</w:t>
      </w:r>
      <w:r w:rsidR="00FE6B63">
        <w:rPr>
          <w:noProof/>
          <w:lang w:val="en-US"/>
        </w:rPr>
        <w:t xml:space="preserve"> </w:t>
      </w:r>
      <w:r w:rsidR="00FE6B63" w:rsidRPr="00FE6B63">
        <w:rPr>
          <w:noProof/>
          <w:lang w:val="en-GB"/>
        </w:rPr>
        <w:t>Biodiversity Friendly Practices</w:t>
      </w:r>
      <w:r w:rsidR="00FE6B63">
        <w:rPr>
          <w:noProof/>
          <w:lang w:val="en-GB"/>
        </w:rPr>
        <w:t xml:space="preserve"> (BFP) indicator depicts the likelihood to</w:t>
      </w:r>
      <w:r w:rsidR="00FE07DA" w:rsidRPr="00FE6B63">
        <w:rPr>
          <w:noProof/>
          <w:lang w:val="en-GB"/>
        </w:rPr>
        <w:t xml:space="preserve"> find High Nature Value farmland in a </w:t>
      </w:r>
      <w:r w:rsidR="00FE07DA">
        <w:rPr>
          <w:noProof/>
          <w:lang w:val="en-GB"/>
        </w:rPr>
        <w:t xml:space="preserve">certain NUTS 2 </w:t>
      </w:r>
      <w:r w:rsidR="00FE07DA" w:rsidRPr="00FE6B63">
        <w:rPr>
          <w:noProof/>
          <w:lang w:val="en-GB"/>
        </w:rPr>
        <w:t>region</w:t>
      </w:r>
      <w:r w:rsidR="00FE07DA">
        <w:rPr>
          <w:noProof/>
          <w:lang w:val="en-GB"/>
        </w:rPr>
        <w:t xml:space="preserve">. </w:t>
      </w:r>
      <w:r w:rsidR="00837EAF">
        <w:rPr>
          <w:noProof/>
          <w:lang w:val="en-GB"/>
        </w:rPr>
        <w:t xml:space="preserve">The indicator ranges from red (17%-51%) to dark green (&lt;100%). </w:t>
      </w:r>
      <w:r w:rsidR="00FE6B63">
        <w:rPr>
          <w:noProof/>
          <w:lang w:val="en-GB"/>
        </w:rPr>
        <w:t xml:space="preserve"> </w:t>
      </w:r>
      <w:r w:rsidR="00CA5C9A">
        <w:rPr>
          <w:noProof/>
          <w:lang w:val="en-US"/>
        </w:rPr>
        <w:t xml:space="preserve"> </w:t>
      </w:r>
      <w:r w:rsidR="00937B26" w:rsidRPr="00C17030">
        <w:rPr>
          <w:noProof/>
          <w:lang w:val="en-US"/>
        </w:rPr>
        <w:t xml:space="preserve"> </w:t>
      </w:r>
      <w:r w:rsidRPr="0047274C">
        <w:rPr>
          <w:noProof/>
        </w:rPr>
        <w:t xml:space="preserve"> </w:t>
      </w:r>
    </w:p>
    <w:p w14:paraId="6079668E" w14:textId="77777777" w:rsidR="00E94025" w:rsidRPr="0047274C" w:rsidRDefault="00E94025" w:rsidP="00E94025">
      <w:pPr>
        <w:pStyle w:val="CT-SOURCE"/>
        <w:rPr>
          <w:noProof/>
          <w:szCs w:val="18"/>
        </w:rPr>
      </w:pPr>
      <w:r w:rsidRPr="0047274C">
        <w:rPr>
          <w:noProof/>
        </w:rPr>
        <w:t xml:space="preserve">Source: </w:t>
      </w:r>
      <w:r>
        <w:rPr>
          <w:noProof/>
        </w:rPr>
        <w:t>CAPRI</w:t>
      </w:r>
    </w:p>
    <w:p w14:paraId="01D17139" w14:textId="039BE2A7" w:rsidR="00403077" w:rsidRPr="00680783" w:rsidRDefault="00403077" w:rsidP="00082AAA">
      <w:pPr>
        <w:pStyle w:val="Heading3"/>
        <w:rPr>
          <w:noProof/>
        </w:rPr>
      </w:pPr>
      <w:bookmarkStart w:id="573" w:name="_Toc148605630"/>
      <w:bookmarkStart w:id="574" w:name="_Toc157692076"/>
      <w:r>
        <w:rPr>
          <w:noProof/>
        </w:rPr>
        <w:t>F</w:t>
      </w:r>
      <w:r w:rsidRPr="00680783">
        <w:rPr>
          <w:noProof/>
        </w:rPr>
        <w:t>ood security</w:t>
      </w:r>
      <w:r w:rsidR="006256B8">
        <w:rPr>
          <w:noProof/>
        </w:rPr>
        <w:t xml:space="preserve">, </w:t>
      </w:r>
      <w:r>
        <w:rPr>
          <w:noProof/>
        </w:rPr>
        <w:t>animal welfare</w:t>
      </w:r>
      <w:r w:rsidR="006256B8">
        <w:rPr>
          <w:noProof/>
        </w:rPr>
        <w:t xml:space="preserve"> and health</w:t>
      </w:r>
      <w:bookmarkEnd w:id="573"/>
      <w:bookmarkEnd w:id="574"/>
    </w:p>
    <w:p w14:paraId="5AF136CD" w14:textId="77777777" w:rsidR="00B14ED3" w:rsidRDefault="00B14ED3" w:rsidP="00B14ED3">
      <w:pPr>
        <w:rPr>
          <w:noProof/>
        </w:rPr>
      </w:pPr>
      <w:r w:rsidRPr="00F95C12">
        <w:rPr>
          <w:noProof/>
        </w:rPr>
        <w:t>The food system itself is not only contributing to climate change but is also highly exposed to climate change itself, which jeopardises food security</w:t>
      </w:r>
      <w:r w:rsidRPr="00F95C12">
        <w:rPr>
          <w:rFonts w:ascii="Calibri" w:hAnsi="Calibri" w:cs="Calibri"/>
          <w:noProof/>
        </w:rPr>
        <w:t> (</w:t>
      </w:r>
      <w:r w:rsidRPr="00F95C12">
        <w:rPr>
          <w:rStyle w:val="FootnoteReference"/>
          <w:rFonts w:ascii="Calibri" w:hAnsi="Calibri" w:cs="Calibri"/>
          <w:noProof/>
        </w:rPr>
        <w:footnoteReference w:id="234"/>
      </w:r>
      <w:r w:rsidRPr="00F95C12">
        <w:rPr>
          <w:rFonts w:ascii="Calibri" w:hAnsi="Calibri" w:cs="Calibri"/>
          <w:noProof/>
        </w:rPr>
        <w:t>).</w:t>
      </w:r>
      <w:r w:rsidRPr="00F95C12">
        <w:rPr>
          <w:noProof/>
        </w:rPr>
        <w:t xml:space="preserve"> </w:t>
      </w:r>
      <w:r w:rsidR="00990695" w:rsidRPr="00F95C12">
        <w:rPr>
          <w:noProof/>
        </w:rPr>
        <w:t xml:space="preserve">Foodborne </w:t>
      </w:r>
      <w:r w:rsidRPr="00F95C12">
        <w:rPr>
          <w:noProof/>
        </w:rPr>
        <w:t>diseases and an increase in extreme weather events are expected in the future under altered climatic conditions, such as draughts and heavy rainfall</w:t>
      </w:r>
      <w:r w:rsidR="00990695">
        <w:rPr>
          <w:noProof/>
        </w:rPr>
        <w:t>,</w:t>
      </w:r>
      <w:r w:rsidR="00990695" w:rsidRPr="00F95C12">
        <w:rPr>
          <w:noProof/>
        </w:rPr>
        <w:t xml:space="preserve"> impact</w:t>
      </w:r>
      <w:r w:rsidR="00990695">
        <w:rPr>
          <w:noProof/>
        </w:rPr>
        <w:t>ing</w:t>
      </w:r>
      <w:r w:rsidR="00990695" w:rsidRPr="00F95C12">
        <w:rPr>
          <w:noProof/>
        </w:rPr>
        <w:t xml:space="preserve"> the food system and food safety. </w:t>
      </w:r>
      <w:r w:rsidR="00990695">
        <w:rPr>
          <w:noProof/>
        </w:rPr>
        <w:t>For Europe a combination of heats and droughts resulting from a 2°C to 3°C global warming level will lead to substantive agricultural production losses for most European areas which will not be offset by possible gains; an effect that will also affect the economic output from agriculture in the EU</w:t>
      </w:r>
      <w:r w:rsidR="00990695" w:rsidRPr="00C21548">
        <w:rPr>
          <w:noProof/>
        </w:rPr>
        <w:t> (</w:t>
      </w:r>
      <w:r w:rsidR="00990695">
        <w:rPr>
          <w:rStyle w:val="FootnoteReference"/>
          <w:noProof/>
        </w:rPr>
        <w:footnoteReference w:id="235"/>
      </w:r>
      <w:r w:rsidR="00990695">
        <w:rPr>
          <w:noProof/>
        </w:rPr>
        <w:t xml:space="preserve">). </w:t>
      </w:r>
      <w:r w:rsidRPr="00144BE3">
        <w:rPr>
          <w:noProof/>
        </w:rPr>
        <w:t xml:space="preserve"> </w:t>
      </w:r>
    </w:p>
    <w:p w14:paraId="72D03EEC" w14:textId="36BF93D2" w:rsidR="00B14ED3" w:rsidRPr="00990695" w:rsidRDefault="00B14ED3" w:rsidP="00B14ED3">
      <w:pPr>
        <w:pStyle w:val="Text2"/>
        <w:rPr>
          <w:noProof/>
        </w:rPr>
      </w:pPr>
      <w:r w:rsidRPr="00F95C12">
        <w:rPr>
          <w:noProof/>
        </w:rPr>
        <w:t>Food security and sustainable and healthy diets are strongly interlinked (</w:t>
      </w:r>
      <w:r w:rsidRPr="00F95C12">
        <w:rPr>
          <w:rStyle w:val="FootnoteReference"/>
          <w:noProof/>
        </w:rPr>
        <w:footnoteReference w:id="236"/>
      </w:r>
      <w:r w:rsidRPr="00F95C12">
        <w:rPr>
          <w:noProof/>
        </w:rPr>
        <w:t xml:space="preserve">). A </w:t>
      </w:r>
      <w:r w:rsidRPr="00990695">
        <w:rPr>
          <w:noProof/>
        </w:rPr>
        <w:t>sustainable food system makes optimal use of natural resources.</w:t>
      </w:r>
      <w:r w:rsidRPr="001F4F96">
        <w:rPr>
          <w:noProof/>
        </w:rPr>
        <w:t xml:space="preserve"> </w:t>
      </w:r>
      <w:r>
        <w:rPr>
          <w:noProof/>
        </w:rPr>
        <w:t>Dietary patterns with high meat consumption require more energy, water and land resources. One hectare of land may produce enough lamb or beef to feed one to two people, while the same hectar</w:t>
      </w:r>
      <w:r w:rsidR="00E21AEA">
        <w:rPr>
          <w:noProof/>
        </w:rPr>
        <w:t>e</w:t>
      </w:r>
      <w:r>
        <w:rPr>
          <w:noProof/>
        </w:rPr>
        <w:t xml:space="preserve"> can produce rice or potatoes for 19 to 22 people per annum</w:t>
      </w:r>
      <w:r w:rsidRPr="00D13351">
        <w:rPr>
          <w:noProof/>
        </w:rPr>
        <w:t> (</w:t>
      </w:r>
      <w:r>
        <w:rPr>
          <w:rStyle w:val="FootnoteReference"/>
          <w:noProof/>
        </w:rPr>
        <w:footnoteReference w:id="237"/>
      </w:r>
      <w:r>
        <w:rPr>
          <w:noProof/>
        </w:rPr>
        <w:t xml:space="preserve">). </w:t>
      </w:r>
      <w:r w:rsidR="00990695" w:rsidRPr="00990695">
        <w:rPr>
          <w:noProof/>
        </w:rPr>
        <w:t>Thus, because livestock farming demands extensive land use, a decrease of animal-based products in human diets would reduce demand for feed and make more land available for growing human food. Today, more than 50% of EU’s use of cereals goes into animal feed (</w:t>
      </w:r>
      <w:r w:rsidR="00990695" w:rsidRPr="00990695">
        <w:rPr>
          <w:rStyle w:val="FootnoteReference"/>
          <w:noProof/>
        </w:rPr>
        <w:footnoteReference w:id="238"/>
      </w:r>
      <w:r w:rsidR="00990695" w:rsidRPr="00990695">
        <w:rPr>
          <w:noProof/>
        </w:rPr>
        <w:t>). Reducing the demand of cereals for animal feed would contribute to strengthen strategic autonomy in the food sector and thereby enhance food security</w:t>
      </w:r>
      <w:r>
        <w:rPr>
          <w:noProof/>
        </w:rPr>
        <w:t xml:space="preserve">. </w:t>
      </w:r>
    </w:p>
    <w:p w14:paraId="07C86C8C" w14:textId="3AF892FE" w:rsidR="00E21AEA" w:rsidRPr="00CE0860" w:rsidRDefault="00E21AEA" w:rsidP="00990695">
      <w:pPr>
        <w:rPr>
          <w:noProof/>
        </w:rPr>
      </w:pPr>
      <w:r>
        <w:rPr>
          <w:noProof/>
        </w:rPr>
        <w:t>However, a</w:t>
      </w:r>
      <w:r w:rsidRPr="00990695">
        <w:rPr>
          <w:noProof/>
        </w:rPr>
        <w:t xml:space="preserve"> closer look at the net production of agricultural products (see </w:t>
      </w:r>
      <w:r w:rsidR="00990695" w:rsidRPr="00990695">
        <w:rPr>
          <w:noProof/>
        </w:rPr>
        <w:fldChar w:fldCharType="begin"/>
      </w:r>
      <w:r w:rsidR="00990695" w:rsidRPr="00990695">
        <w:rPr>
          <w:noProof/>
        </w:rPr>
        <w:instrText xml:space="preserve"> REF _Ref144478393 \h  \* MERGEFORMAT </w:instrText>
      </w:r>
      <w:r w:rsidR="00990695" w:rsidRPr="00990695">
        <w:rPr>
          <w:noProof/>
        </w:rPr>
      </w:r>
      <w:r w:rsidR="00990695" w:rsidRPr="00990695">
        <w:rPr>
          <w:noProof/>
        </w:rPr>
        <w:fldChar w:fldCharType="separate"/>
      </w:r>
      <w:r w:rsidR="00170A3C" w:rsidRPr="00CE0860">
        <w:rPr>
          <w:noProof/>
        </w:rPr>
        <w:t xml:space="preserve">Table </w:t>
      </w:r>
      <w:r w:rsidR="00170A3C">
        <w:rPr>
          <w:noProof/>
        </w:rPr>
        <w:t>24</w:t>
      </w:r>
      <w:r w:rsidR="00170A3C" w:rsidRPr="00CE0860">
        <w:rPr>
          <w:noProof/>
        </w:rPr>
        <w:t xml:space="preserve">: </w:t>
      </w:r>
      <w:r w:rsidR="00990695" w:rsidRPr="00990695">
        <w:rPr>
          <w:noProof/>
        </w:rPr>
        <w:fldChar w:fldCharType="end"/>
      </w:r>
      <w:r w:rsidRPr="00990695">
        <w:rPr>
          <w:noProof/>
        </w:rPr>
        <w:t xml:space="preserve">) shows </w:t>
      </w:r>
      <w:r>
        <w:rPr>
          <w:noProof/>
        </w:rPr>
        <w:t xml:space="preserve">that </w:t>
      </w:r>
      <w:r w:rsidR="00C459D4">
        <w:rPr>
          <w:noProof/>
        </w:rPr>
        <w:t>LIFE</w:t>
      </w:r>
      <w:r>
        <w:rPr>
          <w:noProof/>
        </w:rPr>
        <w:t xml:space="preserve"> with its </w:t>
      </w:r>
      <w:r w:rsidRPr="00990695">
        <w:rPr>
          <w:noProof/>
        </w:rPr>
        <w:t xml:space="preserve">shift towards healthier diets and a reduction of food waste </w:t>
      </w:r>
      <w:r>
        <w:rPr>
          <w:noProof/>
        </w:rPr>
        <w:t xml:space="preserve">not only decreases demand for food but also </w:t>
      </w:r>
      <w:r w:rsidRPr="00990695">
        <w:rPr>
          <w:noProof/>
        </w:rPr>
        <w:t xml:space="preserve">decreases livestock </w:t>
      </w:r>
      <w:r>
        <w:rPr>
          <w:noProof/>
        </w:rPr>
        <w:t xml:space="preserve">herds </w:t>
      </w:r>
      <w:r w:rsidRPr="00990695">
        <w:rPr>
          <w:noProof/>
        </w:rPr>
        <w:t>and a</w:t>
      </w:r>
      <w:r>
        <w:rPr>
          <w:noProof/>
        </w:rPr>
        <w:t>g</w:t>
      </w:r>
      <w:r w:rsidRPr="00990695">
        <w:rPr>
          <w:noProof/>
        </w:rPr>
        <w:t>ricultural area related to animal products (see</w:t>
      </w:r>
      <w:r w:rsidR="003B7929">
        <w:rPr>
          <w:noProof/>
        </w:rPr>
        <w:t xml:space="preserve"> Table</w:t>
      </w:r>
      <w:r w:rsidR="00990695" w:rsidRPr="00990695">
        <w:rPr>
          <w:noProof/>
        </w:rPr>
        <w:t xml:space="preserve"> </w:t>
      </w:r>
      <w:r w:rsidR="00990695" w:rsidRPr="00990695">
        <w:rPr>
          <w:noProof/>
        </w:rPr>
        <w:fldChar w:fldCharType="begin"/>
      </w:r>
      <w:r w:rsidR="00990695" w:rsidRPr="00990695">
        <w:rPr>
          <w:noProof/>
        </w:rPr>
        <w:instrText xml:space="preserve"> REF _Ref144483277 \h  \* MERGEFORMAT </w:instrText>
      </w:r>
      <w:r w:rsidR="00990695" w:rsidRPr="00990695">
        <w:rPr>
          <w:noProof/>
        </w:rPr>
      </w:r>
      <w:r w:rsidR="00990695" w:rsidRPr="00990695">
        <w:rPr>
          <w:noProof/>
        </w:rPr>
        <w:fldChar w:fldCharType="separate"/>
      </w:r>
      <w:r w:rsidR="00170A3C">
        <w:rPr>
          <w:noProof/>
        </w:rPr>
        <w:t>22</w:t>
      </w:r>
      <w:r w:rsidR="00990695" w:rsidRPr="00990695">
        <w:rPr>
          <w:noProof/>
        </w:rPr>
        <w:fldChar w:fldCharType="end"/>
      </w:r>
      <w:r w:rsidR="003B7929">
        <w:rPr>
          <w:noProof/>
        </w:rPr>
        <w:t xml:space="preserve">; </w:t>
      </w:r>
      <w:r w:rsidR="003B7929" w:rsidRPr="00A05C18">
        <w:rPr>
          <w:noProof/>
        </w:rPr>
        <w:fldChar w:fldCharType="begin"/>
      </w:r>
      <w:r w:rsidR="003B7929" w:rsidRPr="00A05C18">
        <w:rPr>
          <w:noProof/>
        </w:rPr>
        <w:instrText xml:space="preserve"> REF _Ref146043884 \h </w:instrText>
      </w:r>
      <w:r w:rsidR="00A05C18">
        <w:rPr>
          <w:noProof/>
        </w:rPr>
        <w:instrText xml:space="preserve"> \* MERGEFORMAT </w:instrText>
      </w:r>
      <w:r w:rsidR="003B7929" w:rsidRPr="00A05C18">
        <w:rPr>
          <w:noProof/>
        </w:rPr>
      </w:r>
      <w:r w:rsidR="003B7929" w:rsidRPr="00A05C18">
        <w:rPr>
          <w:noProof/>
        </w:rPr>
        <w:fldChar w:fldCharType="separate"/>
      </w:r>
      <w:r w:rsidR="00170A3C">
        <w:rPr>
          <w:noProof/>
        </w:rPr>
        <w:t>Table 23</w:t>
      </w:r>
      <w:r w:rsidR="003B7929" w:rsidRPr="00A05C18">
        <w:rPr>
          <w:noProof/>
        </w:rPr>
        <w:fldChar w:fldCharType="end"/>
      </w:r>
      <w:r w:rsidRPr="00990695">
        <w:rPr>
          <w:noProof/>
        </w:rPr>
        <w:t xml:space="preserve">), but also net production of </w:t>
      </w:r>
      <w:r>
        <w:rPr>
          <w:noProof/>
        </w:rPr>
        <w:t xml:space="preserve">animal based and </w:t>
      </w:r>
      <w:r w:rsidRPr="00990695">
        <w:rPr>
          <w:noProof/>
        </w:rPr>
        <w:t>many other agricultural products.</w:t>
      </w:r>
      <w:r>
        <w:rPr>
          <w:noProof/>
        </w:rPr>
        <w:t xml:space="preserve"> In part this is due to market adjustments due to declining demand but partly this is also </w:t>
      </w:r>
      <w:r w:rsidRPr="00CE0860">
        <w:rPr>
          <w:noProof/>
        </w:rPr>
        <w:t xml:space="preserve">reflecting the desired move to less intensive production systems with higher shares of organic agriculture, lower pesticide </w:t>
      </w:r>
      <w:r w:rsidR="003F696D" w:rsidRPr="00CE0860">
        <w:rPr>
          <w:noProof/>
        </w:rPr>
        <w:t>use,</w:t>
      </w:r>
      <w:r w:rsidRPr="00CE0860">
        <w:rPr>
          <w:noProof/>
        </w:rPr>
        <w:t xml:space="preserve"> and nutrient surpluses and some additional agricultural area taken out of production in view of biodiversity targets. On a global perspective it is important to mention that only the combination of supply side measures through the Farm to Fork objectives, together with demand side measures (</w:t>
      </w:r>
      <w:r w:rsidR="006C1870" w:rsidRPr="00CE0860">
        <w:rPr>
          <w:noProof/>
        </w:rPr>
        <w:t>i.e.,</w:t>
      </w:r>
      <w:r w:rsidRPr="00CE0860">
        <w:rPr>
          <w:noProof/>
        </w:rPr>
        <w:t xml:space="preserve"> dietary shift and food waste reduction) result in a mutual decline of production and demand, which does not jeopardise global food security.</w:t>
      </w:r>
    </w:p>
    <w:p w14:paraId="4DBAACA9" w14:textId="40FDD736" w:rsidR="00990695" w:rsidRPr="00CE0860" w:rsidRDefault="00990695" w:rsidP="00703790">
      <w:pPr>
        <w:pStyle w:val="Caption"/>
        <w:keepLines/>
        <w:rPr>
          <w:noProof/>
        </w:rPr>
      </w:pPr>
      <w:bookmarkStart w:id="575" w:name="_Ref144478393"/>
      <w:bookmarkStart w:id="576" w:name="_Ref144478102"/>
      <w:bookmarkStart w:id="577" w:name="_Toc157679907"/>
      <w:r w:rsidRPr="00CE0860">
        <w:rPr>
          <w:noProof/>
        </w:rPr>
        <w:t xml:space="preserve">Table </w:t>
      </w:r>
      <w:r w:rsidRPr="00CE0860">
        <w:rPr>
          <w:noProof/>
        </w:rPr>
        <w:fldChar w:fldCharType="begin"/>
      </w:r>
      <w:r w:rsidRPr="00CE0860">
        <w:rPr>
          <w:noProof/>
        </w:rPr>
        <w:instrText>SEQ Table \* ARABIC</w:instrText>
      </w:r>
      <w:r w:rsidRPr="00CE0860">
        <w:rPr>
          <w:noProof/>
        </w:rPr>
        <w:fldChar w:fldCharType="separate"/>
      </w:r>
      <w:r w:rsidR="00170A3C">
        <w:rPr>
          <w:noProof/>
        </w:rPr>
        <w:t>24</w:t>
      </w:r>
      <w:r w:rsidRPr="00CE0860">
        <w:rPr>
          <w:noProof/>
        </w:rPr>
        <w:fldChar w:fldCharType="end"/>
      </w:r>
      <w:r w:rsidRPr="00CE0860">
        <w:rPr>
          <w:noProof/>
        </w:rPr>
        <w:t xml:space="preserve">: </w:t>
      </w:r>
      <w:bookmarkEnd w:id="575"/>
      <w:r w:rsidRPr="00CE0860">
        <w:rPr>
          <w:noProof/>
        </w:rPr>
        <w:t>Net production of agricultural outputs in 2040 by scenarios</w:t>
      </w:r>
      <w:bookmarkEnd w:id="576"/>
      <w:bookmarkEnd w:id="577"/>
    </w:p>
    <w:tbl>
      <w:tblPr>
        <w:tblW w:w="8620" w:type="dxa"/>
        <w:tblInd w:w="108" w:type="dxa"/>
        <w:tblLook w:val="04A0" w:firstRow="1" w:lastRow="0" w:firstColumn="1" w:lastColumn="0" w:noHBand="0" w:noVBand="1"/>
      </w:tblPr>
      <w:tblGrid>
        <w:gridCol w:w="4110"/>
        <w:gridCol w:w="1557"/>
        <w:gridCol w:w="1796"/>
        <w:gridCol w:w="1157"/>
      </w:tblGrid>
      <w:tr w:rsidR="00990695" w:rsidRPr="00CE0860" w14:paraId="42BFFB64" w14:textId="77777777" w:rsidTr="004C0B41">
        <w:trPr>
          <w:trHeight w:val="330"/>
        </w:trPr>
        <w:tc>
          <w:tcPr>
            <w:tcW w:w="4110" w:type="dxa"/>
            <w:tcBorders>
              <w:top w:val="single" w:sz="12" w:space="0" w:color="auto"/>
              <w:left w:val="nil"/>
              <w:bottom w:val="single" w:sz="12" w:space="0" w:color="auto"/>
              <w:right w:val="nil"/>
            </w:tcBorders>
            <w:shd w:val="clear" w:color="auto" w:fill="auto"/>
            <w:vAlign w:val="center"/>
            <w:hideMark/>
          </w:tcPr>
          <w:p w14:paraId="0D7EC124" w14:textId="77777777" w:rsidR="00990695" w:rsidRPr="00CE0860" w:rsidRDefault="00990695" w:rsidP="00703790">
            <w:pPr>
              <w:keepNext/>
              <w:keepLines/>
              <w:spacing w:after="0"/>
              <w:jc w:val="left"/>
              <w:rPr>
                <w:rFonts w:ascii="EC Square Sans Cond Pro" w:eastAsia="Times New Roman" w:hAnsi="EC Square Sans Cond Pro" w:cs="Calibri"/>
                <w:b/>
                <w:bCs/>
                <w:noProof/>
                <w:color w:val="000000"/>
                <w:sz w:val="20"/>
                <w:szCs w:val="20"/>
                <w:lang w:val="en-IE"/>
              </w:rPr>
            </w:pPr>
            <w:r w:rsidRPr="00CE0860">
              <w:rPr>
                <w:rFonts w:ascii="EC Square Sans Cond Pro" w:eastAsia="Times New Roman" w:hAnsi="EC Square Sans Cond Pro" w:cs="Calibri"/>
                <w:b/>
                <w:bCs/>
                <w:noProof/>
                <w:color w:val="000000"/>
                <w:sz w:val="20"/>
                <w:szCs w:val="20"/>
                <w:lang w:val="en-IE"/>
              </w:rPr>
              <w:t>Net production [in 1000 t]</w:t>
            </w:r>
          </w:p>
        </w:tc>
        <w:tc>
          <w:tcPr>
            <w:tcW w:w="1557" w:type="dxa"/>
            <w:tcBorders>
              <w:top w:val="single" w:sz="12" w:space="0" w:color="auto"/>
              <w:left w:val="nil"/>
              <w:bottom w:val="single" w:sz="12" w:space="0" w:color="auto"/>
              <w:right w:val="nil"/>
            </w:tcBorders>
            <w:shd w:val="clear" w:color="auto" w:fill="auto"/>
            <w:vAlign w:val="center"/>
            <w:hideMark/>
          </w:tcPr>
          <w:p w14:paraId="52C42B37" w14:textId="77777777" w:rsidR="00990695" w:rsidRPr="00CE0860" w:rsidRDefault="00990695" w:rsidP="00703790">
            <w:pPr>
              <w:keepNext/>
              <w:keepLines/>
              <w:spacing w:after="0"/>
              <w:jc w:val="center"/>
              <w:rPr>
                <w:rFonts w:ascii="EC Square Sans Cond Pro" w:eastAsia="Times New Roman" w:hAnsi="EC Square Sans Cond Pro" w:cs="Calibri"/>
                <w:b/>
                <w:bCs/>
                <w:noProof/>
                <w:color w:val="000000"/>
                <w:sz w:val="20"/>
                <w:szCs w:val="20"/>
                <w:lang w:val="en-IE"/>
              </w:rPr>
            </w:pPr>
            <w:r w:rsidRPr="00CE0860">
              <w:rPr>
                <w:rFonts w:ascii="EC Square Sans Cond Pro" w:eastAsia="Times New Roman" w:hAnsi="EC Square Sans Cond Pro" w:cs="Calibri"/>
                <w:b/>
                <w:bCs/>
                <w:noProof/>
                <w:color w:val="000000"/>
                <w:sz w:val="20"/>
                <w:szCs w:val="20"/>
                <w:lang w:val="en-IE"/>
              </w:rPr>
              <w:t>S1, S2, S3</w:t>
            </w:r>
          </w:p>
        </w:tc>
        <w:tc>
          <w:tcPr>
            <w:tcW w:w="1796" w:type="dxa"/>
            <w:tcBorders>
              <w:top w:val="single" w:sz="12" w:space="0" w:color="auto"/>
              <w:left w:val="nil"/>
              <w:bottom w:val="single" w:sz="12" w:space="0" w:color="auto"/>
              <w:right w:val="nil"/>
            </w:tcBorders>
            <w:shd w:val="clear" w:color="auto" w:fill="auto"/>
            <w:noWrap/>
            <w:vAlign w:val="center"/>
            <w:hideMark/>
          </w:tcPr>
          <w:p w14:paraId="4ABAAC1B" w14:textId="77777777" w:rsidR="00990695" w:rsidRPr="00CE0860" w:rsidRDefault="00990695" w:rsidP="00703790">
            <w:pPr>
              <w:keepNext/>
              <w:keepLines/>
              <w:spacing w:after="0"/>
              <w:jc w:val="center"/>
              <w:rPr>
                <w:rFonts w:ascii="EC Square Sans Cond Pro" w:eastAsia="Times New Roman" w:hAnsi="EC Square Sans Cond Pro" w:cs="Calibri"/>
                <w:b/>
                <w:bCs/>
                <w:noProof/>
                <w:color w:val="000000"/>
                <w:sz w:val="20"/>
                <w:szCs w:val="20"/>
                <w:lang w:val="en-IE"/>
              </w:rPr>
            </w:pPr>
            <w:r w:rsidRPr="00CE0860">
              <w:rPr>
                <w:rFonts w:ascii="EC Square Sans Cond Pro" w:eastAsia="Times New Roman" w:hAnsi="EC Square Sans Cond Pro" w:cs="Calibri"/>
                <w:b/>
                <w:bCs/>
                <w:noProof/>
                <w:color w:val="000000"/>
                <w:sz w:val="20"/>
                <w:szCs w:val="20"/>
                <w:lang w:val="en-IE"/>
              </w:rPr>
              <w:t>LIFE</w:t>
            </w:r>
          </w:p>
        </w:tc>
        <w:tc>
          <w:tcPr>
            <w:tcW w:w="1157" w:type="dxa"/>
            <w:tcBorders>
              <w:top w:val="single" w:sz="12" w:space="0" w:color="auto"/>
              <w:left w:val="nil"/>
              <w:bottom w:val="single" w:sz="12" w:space="0" w:color="auto"/>
              <w:right w:val="nil"/>
            </w:tcBorders>
            <w:shd w:val="clear" w:color="auto" w:fill="auto"/>
            <w:vAlign w:val="center"/>
            <w:hideMark/>
          </w:tcPr>
          <w:p w14:paraId="76695A74" w14:textId="77777777" w:rsidR="00990695" w:rsidRPr="00CE0860" w:rsidRDefault="00990695" w:rsidP="00703790">
            <w:pPr>
              <w:keepNext/>
              <w:keepLines/>
              <w:spacing w:after="0"/>
              <w:jc w:val="center"/>
              <w:rPr>
                <w:rFonts w:ascii="EC Square Sans Cond Pro" w:eastAsia="Times New Roman" w:hAnsi="EC Square Sans Cond Pro" w:cs="Calibri"/>
                <w:b/>
                <w:bCs/>
                <w:noProof/>
                <w:color w:val="000000"/>
                <w:sz w:val="20"/>
                <w:szCs w:val="20"/>
                <w:lang w:val="en-IE"/>
              </w:rPr>
            </w:pPr>
            <w:r w:rsidRPr="00CE0860">
              <w:rPr>
                <w:rFonts w:ascii="EC Square Sans Cond Pro" w:eastAsia="Times New Roman" w:hAnsi="EC Square Sans Cond Pro" w:cs="Calibri"/>
                <w:b/>
                <w:bCs/>
                <w:noProof/>
                <w:color w:val="000000"/>
                <w:sz w:val="20"/>
                <w:szCs w:val="20"/>
                <w:lang w:val="en-IE"/>
              </w:rPr>
              <w:t>Change</w:t>
            </w:r>
          </w:p>
        </w:tc>
      </w:tr>
      <w:tr w:rsidR="00990695" w:rsidRPr="00CE0860" w14:paraId="442C285F" w14:textId="77777777" w:rsidTr="004C0B41">
        <w:trPr>
          <w:trHeight w:val="315"/>
        </w:trPr>
        <w:tc>
          <w:tcPr>
            <w:tcW w:w="4110" w:type="dxa"/>
            <w:tcBorders>
              <w:top w:val="nil"/>
              <w:left w:val="nil"/>
              <w:bottom w:val="nil"/>
              <w:right w:val="nil"/>
            </w:tcBorders>
            <w:shd w:val="clear" w:color="auto" w:fill="auto"/>
            <w:noWrap/>
            <w:vAlign w:val="center"/>
            <w:hideMark/>
          </w:tcPr>
          <w:p w14:paraId="5A1C10DB" w14:textId="77777777" w:rsidR="00990695" w:rsidRPr="00CE0860" w:rsidRDefault="00990695" w:rsidP="00703790">
            <w:pPr>
              <w:keepNext/>
              <w:keepLines/>
              <w:spacing w:after="0"/>
              <w:jc w:val="left"/>
              <w:rPr>
                <w:rFonts w:ascii="EC Square Sans Cond Pro" w:eastAsia="Times New Roman" w:hAnsi="EC Square Sans Cond Pro" w:cs="Calibri"/>
                <w:noProof/>
                <w:color w:val="000000"/>
                <w:sz w:val="20"/>
                <w:szCs w:val="20"/>
                <w:lang w:val="en-IE"/>
              </w:rPr>
            </w:pPr>
            <w:r w:rsidRPr="00CE0860">
              <w:rPr>
                <w:rFonts w:ascii="EC Square Sans Cond Pro" w:eastAsia="Times New Roman" w:hAnsi="EC Square Sans Cond Pro" w:cs="Calibri"/>
                <w:noProof/>
                <w:color w:val="000000"/>
                <w:sz w:val="20"/>
                <w:szCs w:val="20"/>
                <w:lang w:val="en-IE"/>
              </w:rPr>
              <w:t>Feed energy input</w:t>
            </w:r>
          </w:p>
        </w:tc>
        <w:tc>
          <w:tcPr>
            <w:tcW w:w="1557" w:type="dxa"/>
            <w:tcBorders>
              <w:top w:val="nil"/>
              <w:left w:val="nil"/>
              <w:bottom w:val="nil"/>
              <w:right w:val="nil"/>
            </w:tcBorders>
            <w:shd w:val="clear" w:color="auto" w:fill="auto"/>
            <w:noWrap/>
            <w:vAlign w:val="center"/>
            <w:hideMark/>
          </w:tcPr>
          <w:p w14:paraId="01BF801F" w14:textId="77777777" w:rsidR="00990695" w:rsidRPr="00CE0860" w:rsidRDefault="00990695" w:rsidP="00703790">
            <w:pPr>
              <w:keepNext/>
              <w:keepLines/>
              <w:spacing w:after="0"/>
              <w:jc w:val="center"/>
              <w:rPr>
                <w:rFonts w:ascii="EC Square Sans Cond Pro" w:eastAsia="Times New Roman" w:hAnsi="EC Square Sans Cond Pro" w:cs="Calibri"/>
                <w:noProof/>
                <w:color w:val="000000"/>
                <w:sz w:val="20"/>
                <w:szCs w:val="20"/>
                <w:lang w:val="en-IE"/>
              </w:rPr>
            </w:pPr>
            <w:r w:rsidRPr="00CE0860">
              <w:rPr>
                <w:rFonts w:ascii="EC Square Sans Cond Pro" w:eastAsia="Times New Roman" w:hAnsi="EC Square Sans Cond Pro" w:cs="Calibri"/>
                <w:noProof/>
                <w:color w:val="000000"/>
                <w:sz w:val="20"/>
                <w:szCs w:val="20"/>
                <w:lang w:val="en-IE"/>
              </w:rPr>
              <w:t>704,146,368</w:t>
            </w:r>
          </w:p>
        </w:tc>
        <w:tc>
          <w:tcPr>
            <w:tcW w:w="1796" w:type="dxa"/>
            <w:tcBorders>
              <w:top w:val="nil"/>
              <w:left w:val="nil"/>
              <w:bottom w:val="nil"/>
              <w:right w:val="nil"/>
            </w:tcBorders>
            <w:shd w:val="clear" w:color="auto" w:fill="auto"/>
            <w:noWrap/>
            <w:vAlign w:val="center"/>
            <w:hideMark/>
          </w:tcPr>
          <w:p w14:paraId="2AA2E195" w14:textId="58CBD4DB" w:rsidR="00990695" w:rsidRPr="00CE0860" w:rsidRDefault="00B014D0" w:rsidP="00703790">
            <w:pPr>
              <w:keepNext/>
              <w:keepLines/>
              <w:spacing w:after="0"/>
              <w:jc w:val="center"/>
              <w:rPr>
                <w:rFonts w:ascii="EC Square Sans Cond Pro" w:eastAsia="Times New Roman" w:hAnsi="EC Square Sans Cond Pro" w:cs="Calibri"/>
                <w:noProof/>
                <w:color w:val="000000"/>
                <w:sz w:val="20"/>
                <w:szCs w:val="20"/>
                <w:lang w:val="en-IE"/>
              </w:rPr>
            </w:pPr>
            <w:r w:rsidRPr="00CE0860">
              <w:rPr>
                <w:rFonts w:ascii="EC Square Sans Cond Pro" w:hAnsi="EC Square Sans Cond Pro" w:cs="Calibri"/>
                <w:noProof/>
                <w:color w:val="000000"/>
                <w:sz w:val="20"/>
                <w:szCs w:val="20"/>
              </w:rPr>
              <w:t>563,934,976</w:t>
            </w:r>
          </w:p>
        </w:tc>
        <w:tc>
          <w:tcPr>
            <w:tcW w:w="1157" w:type="dxa"/>
            <w:tcBorders>
              <w:top w:val="nil"/>
              <w:left w:val="nil"/>
              <w:bottom w:val="nil"/>
              <w:right w:val="nil"/>
            </w:tcBorders>
            <w:shd w:val="clear" w:color="auto" w:fill="auto"/>
            <w:noWrap/>
            <w:vAlign w:val="center"/>
            <w:hideMark/>
          </w:tcPr>
          <w:p w14:paraId="45B4CD13" w14:textId="244BEF14" w:rsidR="00990695" w:rsidRPr="00CE0860" w:rsidRDefault="00990695" w:rsidP="00703790">
            <w:pPr>
              <w:keepNext/>
              <w:keepLines/>
              <w:spacing w:after="0"/>
              <w:jc w:val="center"/>
              <w:rPr>
                <w:rFonts w:ascii="EC Square Sans Cond Pro" w:eastAsia="Times New Roman" w:hAnsi="EC Square Sans Cond Pro" w:cs="Calibri"/>
                <w:noProof/>
                <w:color w:val="000000"/>
                <w:sz w:val="20"/>
                <w:szCs w:val="20"/>
                <w:lang w:val="en-IE"/>
              </w:rPr>
            </w:pPr>
            <w:r w:rsidRPr="00CE0860">
              <w:rPr>
                <w:rFonts w:ascii="EC Square Sans Cond Pro" w:hAnsi="EC Square Sans Cond Pro" w:cs="Calibri"/>
                <w:noProof/>
                <w:color w:val="000000"/>
                <w:sz w:val="20"/>
                <w:szCs w:val="20"/>
              </w:rPr>
              <w:t>-</w:t>
            </w:r>
            <w:r w:rsidR="00B014D0" w:rsidRPr="00CE0860">
              <w:rPr>
                <w:rFonts w:ascii="EC Square Sans Cond Pro" w:hAnsi="EC Square Sans Cond Pro" w:cs="Calibri"/>
                <w:noProof/>
                <w:color w:val="000000"/>
                <w:sz w:val="20"/>
                <w:szCs w:val="20"/>
              </w:rPr>
              <w:t>20</w:t>
            </w:r>
            <w:r w:rsidRPr="00CE0860">
              <w:rPr>
                <w:rFonts w:ascii="EC Square Sans Cond Pro" w:hAnsi="EC Square Sans Cond Pro" w:cs="Calibri"/>
                <w:noProof/>
                <w:color w:val="000000"/>
                <w:sz w:val="20"/>
                <w:szCs w:val="20"/>
              </w:rPr>
              <w:t>%</w:t>
            </w:r>
          </w:p>
        </w:tc>
      </w:tr>
      <w:tr w:rsidR="00990695" w:rsidRPr="00CE0860" w14:paraId="298D18FC" w14:textId="77777777" w:rsidTr="004C0B41">
        <w:trPr>
          <w:trHeight w:val="300"/>
        </w:trPr>
        <w:tc>
          <w:tcPr>
            <w:tcW w:w="4110" w:type="dxa"/>
            <w:tcBorders>
              <w:top w:val="nil"/>
              <w:left w:val="nil"/>
              <w:bottom w:val="nil"/>
              <w:right w:val="nil"/>
            </w:tcBorders>
            <w:shd w:val="clear" w:color="auto" w:fill="auto"/>
            <w:noWrap/>
            <w:vAlign w:val="center"/>
            <w:hideMark/>
          </w:tcPr>
          <w:p w14:paraId="6D158F83" w14:textId="77777777" w:rsidR="00990695" w:rsidRPr="00CE0860" w:rsidRDefault="00990695" w:rsidP="00703790">
            <w:pPr>
              <w:keepNext/>
              <w:keepLines/>
              <w:spacing w:after="0"/>
              <w:jc w:val="left"/>
              <w:rPr>
                <w:rFonts w:ascii="EC Square Sans Cond Pro" w:eastAsia="Times New Roman" w:hAnsi="EC Square Sans Cond Pro" w:cs="Calibri"/>
                <w:noProof/>
                <w:color w:val="000000"/>
                <w:sz w:val="20"/>
                <w:szCs w:val="20"/>
                <w:lang w:val="en-IE"/>
              </w:rPr>
            </w:pPr>
            <w:r w:rsidRPr="00CE0860">
              <w:rPr>
                <w:rFonts w:ascii="EC Square Sans Cond Pro" w:eastAsia="Times New Roman" w:hAnsi="EC Square Sans Cond Pro" w:cs="Calibri"/>
                <w:noProof/>
                <w:color w:val="000000"/>
                <w:sz w:val="20"/>
                <w:szCs w:val="20"/>
                <w:lang w:val="en-IE"/>
              </w:rPr>
              <w:t>Cereals</w:t>
            </w:r>
          </w:p>
        </w:tc>
        <w:tc>
          <w:tcPr>
            <w:tcW w:w="1557" w:type="dxa"/>
            <w:tcBorders>
              <w:top w:val="nil"/>
              <w:left w:val="nil"/>
              <w:bottom w:val="nil"/>
              <w:right w:val="nil"/>
            </w:tcBorders>
            <w:shd w:val="clear" w:color="auto" w:fill="auto"/>
            <w:noWrap/>
            <w:vAlign w:val="center"/>
            <w:hideMark/>
          </w:tcPr>
          <w:p w14:paraId="6F2F8DF9" w14:textId="77777777" w:rsidR="00990695" w:rsidRPr="00CE0860" w:rsidRDefault="00990695" w:rsidP="00703790">
            <w:pPr>
              <w:keepNext/>
              <w:keepLines/>
              <w:spacing w:after="0"/>
              <w:jc w:val="center"/>
              <w:rPr>
                <w:rFonts w:ascii="EC Square Sans Cond Pro" w:eastAsia="Times New Roman" w:hAnsi="EC Square Sans Cond Pro" w:cs="Calibri"/>
                <w:noProof/>
                <w:color w:val="000000"/>
                <w:sz w:val="20"/>
                <w:szCs w:val="20"/>
                <w:lang w:val="en-IE"/>
              </w:rPr>
            </w:pPr>
            <w:r w:rsidRPr="00CE0860">
              <w:rPr>
                <w:rFonts w:ascii="EC Square Sans Cond Pro" w:eastAsia="Times New Roman" w:hAnsi="EC Square Sans Cond Pro" w:cs="Calibri"/>
                <w:noProof/>
                <w:color w:val="000000"/>
                <w:sz w:val="20"/>
                <w:szCs w:val="20"/>
                <w:lang w:val="en-IE"/>
              </w:rPr>
              <w:t>267,900</w:t>
            </w:r>
          </w:p>
        </w:tc>
        <w:tc>
          <w:tcPr>
            <w:tcW w:w="1796" w:type="dxa"/>
            <w:tcBorders>
              <w:top w:val="nil"/>
              <w:left w:val="nil"/>
              <w:bottom w:val="nil"/>
              <w:right w:val="nil"/>
            </w:tcBorders>
            <w:shd w:val="clear" w:color="auto" w:fill="auto"/>
            <w:noWrap/>
            <w:vAlign w:val="center"/>
            <w:hideMark/>
          </w:tcPr>
          <w:p w14:paraId="0E666D31" w14:textId="276598A6" w:rsidR="00990695" w:rsidRPr="00CE0860" w:rsidRDefault="00B014D0" w:rsidP="00703790">
            <w:pPr>
              <w:keepNext/>
              <w:keepLines/>
              <w:spacing w:after="0"/>
              <w:jc w:val="center"/>
              <w:rPr>
                <w:rFonts w:ascii="EC Square Sans Cond Pro" w:eastAsia="Times New Roman" w:hAnsi="EC Square Sans Cond Pro" w:cs="Calibri"/>
                <w:noProof/>
                <w:color w:val="000000"/>
                <w:sz w:val="20"/>
                <w:szCs w:val="20"/>
                <w:lang w:val="en-IE"/>
              </w:rPr>
            </w:pPr>
            <w:r w:rsidRPr="00CE0860">
              <w:rPr>
                <w:rFonts w:ascii="EC Square Sans Cond Pro" w:hAnsi="EC Square Sans Cond Pro" w:cs="Calibri"/>
                <w:noProof/>
                <w:color w:val="000000"/>
                <w:sz w:val="20"/>
                <w:szCs w:val="20"/>
              </w:rPr>
              <w:t>214,751</w:t>
            </w:r>
          </w:p>
        </w:tc>
        <w:tc>
          <w:tcPr>
            <w:tcW w:w="1157" w:type="dxa"/>
            <w:tcBorders>
              <w:top w:val="nil"/>
              <w:left w:val="nil"/>
              <w:bottom w:val="nil"/>
              <w:right w:val="nil"/>
            </w:tcBorders>
            <w:shd w:val="clear" w:color="auto" w:fill="auto"/>
            <w:noWrap/>
            <w:vAlign w:val="center"/>
            <w:hideMark/>
          </w:tcPr>
          <w:p w14:paraId="0A779B4A" w14:textId="68AA2F42" w:rsidR="00990695" w:rsidRPr="00CE0860" w:rsidRDefault="00990695" w:rsidP="00703790">
            <w:pPr>
              <w:keepNext/>
              <w:keepLines/>
              <w:spacing w:after="0"/>
              <w:jc w:val="center"/>
              <w:rPr>
                <w:rFonts w:ascii="EC Square Sans Cond Pro" w:eastAsia="Times New Roman" w:hAnsi="EC Square Sans Cond Pro" w:cs="Calibri"/>
                <w:noProof/>
                <w:color w:val="000000"/>
                <w:sz w:val="20"/>
                <w:szCs w:val="20"/>
                <w:lang w:val="en-IE"/>
              </w:rPr>
            </w:pPr>
            <w:r w:rsidRPr="00CE0860">
              <w:rPr>
                <w:rFonts w:ascii="EC Square Sans Cond Pro" w:hAnsi="EC Square Sans Cond Pro" w:cs="Calibri"/>
                <w:noProof/>
                <w:color w:val="000000"/>
                <w:sz w:val="20"/>
                <w:szCs w:val="20"/>
              </w:rPr>
              <w:t>-</w:t>
            </w:r>
            <w:r w:rsidR="00B014D0" w:rsidRPr="00CE0860">
              <w:rPr>
                <w:rFonts w:ascii="EC Square Sans Cond Pro" w:hAnsi="EC Square Sans Cond Pro" w:cs="Calibri"/>
                <w:noProof/>
                <w:color w:val="000000"/>
                <w:sz w:val="20"/>
                <w:szCs w:val="20"/>
              </w:rPr>
              <w:t>20</w:t>
            </w:r>
            <w:r w:rsidRPr="00CE0860">
              <w:rPr>
                <w:rFonts w:ascii="EC Square Sans Cond Pro" w:hAnsi="EC Square Sans Cond Pro" w:cs="Calibri"/>
                <w:noProof/>
                <w:color w:val="000000"/>
                <w:sz w:val="20"/>
                <w:szCs w:val="20"/>
              </w:rPr>
              <w:t>%</w:t>
            </w:r>
          </w:p>
        </w:tc>
      </w:tr>
      <w:tr w:rsidR="00990695" w:rsidRPr="00CE0860" w14:paraId="2224B0A5" w14:textId="77777777" w:rsidTr="004C0B41">
        <w:trPr>
          <w:trHeight w:val="300"/>
        </w:trPr>
        <w:tc>
          <w:tcPr>
            <w:tcW w:w="4110" w:type="dxa"/>
            <w:tcBorders>
              <w:top w:val="nil"/>
              <w:left w:val="nil"/>
              <w:bottom w:val="nil"/>
              <w:right w:val="nil"/>
            </w:tcBorders>
            <w:shd w:val="clear" w:color="auto" w:fill="auto"/>
            <w:noWrap/>
            <w:vAlign w:val="center"/>
            <w:hideMark/>
          </w:tcPr>
          <w:p w14:paraId="250450BE" w14:textId="77777777" w:rsidR="00990695" w:rsidRPr="00CE0860" w:rsidRDefault="00990695" w:rsidP="00703790">
            <w:pPr>
              <w:keepNext/>
              <w:keepLines/>
              <w:spacing w:after="0"/>
              <w:jc w:val="left"/>
              <w:rPr>
                <w:rFonts w:ascii="EC Square Sans Cond Pro" w:eastAsia="Times New Roman" w:hAnsi="EC Square Sans Cond Pro" w:cs="Calibri"/>
                <w:noProof/>
                <w:color w:val="000000"/>
                <w:sz w:val="20"/>
                <w:szCs w:val="20"/>
                <w:lang w:val="en-IE"/>
              </w:rPr>
            </w:pPr>
            <w:r w:rsidRPr="00CE0860">
              <w:rPr>
                <w:rFonts w:ascii="EC Square Sans Cond Pro" w:eastAsia="Times New Roman" w:hAnsi="EC Square Sans Cond Pro" w:cs="Calibri"/>
                <w:noProof/>
                <w:color w:val="000000"/>
                <w:sz w:val="20"/>
                <w:szCs w:val="20"/>
                <w:lang w:val="en-IE"/>
              </w:rPr>
              <w:t>Vegetables and Permanent crops</w:t>
            </w:r>
          </w:p>
        </w:tc>
        <w:tc>
          <w:tcPr>
            <w:tcW w:w="1557" w:type="dxa"/>
            <w:tcBorders>
              <w:top w:val="nil"/>
              <w:left w:val="nil"/>
              <w:bottom w:val="nil"/>
              <w:right w:val="nil"/>
            </w:tcBorders>
            <w:shd w:val="clear" w:color="auto" w:fill="auto"/>
            <w:noWrap/>
            <w:vAlign w:val="center"/>
            <w:hideMark/>
          </w:tcPr>
          <w:p w14:paraId="319A50A8" w14:textId="77777777" w:rsidR="00990695" w:rsidRPr="00CE0860" w:rsidRDefault="00990695" w:rsidP="00703790">
            <w:pPr>
              <w:keepNext/>
              <w:keepLines/>
              <w:spacing w:after="0"/>
              <w:jc w:val="center"/>
              <w:rPr>
                <w:rFonts w:ascii="EC Square Sans Cond Pro" w:eastAsia="Times New Roman" w:hAnsi="EC Square Sans Cond Pro" w:cs="Calibri"/>
                <w:noProof/>
                <w:color w:val="000000"/>
                <w:sz w:val="20"/>
                <w:szCs w:val="20"/>
                <w:lang w:val="en-IE"/>
              </w:rPr>
            </w:pPr>
            <w:r w:rsidRPr="00CE0860">
              <w:rPr>
                <w:rFonts w:ascii="EC Square Sans Cond Pro" w:eastAsia="Times New Roman" w:hAnsi="EC Square Sans Cond Pro" w:cs="Calibri"/>
                <w:noProof/>
                <w:color w:val="000000"/>
                <w:sz w:val="20"/>
                <w:szCs w:val="20"/>
                <w:lang w:val="en-IE"/>
              </w:rPr>
              <w:t>126,013</w:t>
            </w:r>
          </w:p>
        </w:tc>
        <w:tc>
          <w:tcPr>
            <w:tcW w:w="1796" w:type="dxa"/>
            <w:tcBorders>
              <w:top w:val="nil"/>
              <w:left w:val="nil"/>
              <w:bottom w:val="nil"/>
              <w:right w:val="nil"/>
            </w:tcBorders>
            <w:shd w:val="clear" w:color="auto" w:fill="auto"/>
            <w:noWrap/>
            <w:vAlign w:val="center"/>
            <w:hideMark/>
          </w:tcPr>
          <w:p w14:paraId="08150963" w14:textId="3A2A016B" w:rsidR="00990695" w:rsidRPr="00CE0860" w:rsidRDefault="00990695" w:rsidP="00703790">
            <w:pPr>
              <w:keepNext/>
              <w:keepLines/>
              <w:spacing w:after="0"/>
              <w:jc w:val="center"/>
              <w:rPr>
                <w:rFonts w:ascii="EC Square Sans Cond Pro" w:eastAsia="Times New Roman" w:hAnsi="EC Square Sans Cond Pro" w:cs="Calibri"/>
                <w:noProof/>
                <w:color w:val="000000"/>
                <w:sz w:val="20"/>
                <w:szCs w:val="20"/>
                <w:lang w:val="en-IE"/>
              </w:rPr>
            </w:pPr>
            <w:r w:rsidRPr="00CE0860">
              <w:rPr>
                <w:rFonts w:ascii="EC Square Sans Cond Pro" w:hAnsi="EC Square Sans Cond Pro" w:cs="Calibri"/>
                <w:noProof/>
                <w:color w:val="000000"/>
                <w:sz w:val="20"/>
                <w:szCs w:val="20"/>
              </w:rPr>
              <w:t>122,</w:t>
            </w:r>
            <w:r w:rsidR="00B014D0" w:rsidRPr="00CE0860">
              <w:rPr>
                <w:rFonts w:ascii="EC Square Sans Cond Pro" w:hAnsi="EC Square Sans Cond Pro" w:cs="Calibri"/>
                <w:noProof/>
                <w:color w:val="000000"/>
                <w:sz w:val="20"/>
                <w:szCs w:val="20"/>
              </w:rPr>
              <w:t>510</w:t>
            </w:r>
          </w:p>
        </w:tc>
        <w:tc>
          <w:tcPr>
            <w:tcW w:w="1157" w:type="dxa"/>
            <w:tcBorders>
              <w:top w:val="nil"/>
              <w:left w:val="nil"/>
              <w:bottom w:val="nil"/>
              <w:right w:val="nil"/>
            </w:tcBorders>
            <w:shd w:val="clear" w:color="auto" w:fill="auto"/>
            <w:noWrap/>
            <w:vAlign w:val="center"/>
            <w:hideMark/>
          </w:tcPr>
          <w:p w14:paraId="2A15D1F7" w14:textId="2CB0265B" w:rsidR="00990695" w:rsidRPr="00CE0860" w:rsidRDefault="00990695" w:rsidP="00703790">
            <w:pPr>
              <w:keepNext/>
              <w:keepLines/>
              <w:spacing w:after="0"/>
              <w:jc w:val="center"/>
              <w:rPr>
                <w:rFonts w:ascii="EC Square Sans Cond Pro" w:eastAsia="Times New Roman" w:hAnsi="EC Square Sans Cond Pro" w:cs="Calibri"/>
                <w:noProof/>
                <w:color w:val="000000"/>
                <w:sz w:val="20"/>
                <w:szCs w:val="20"/>
                <w:lang w:val="en-IE"/>
              </w:rPr>
            </w:pPr>
            <w:r w:rsidRPr="00CE0860">
              <w:rPr>
                <w:rFonts w:ascii="EC Square Sans Cond Pro" w:hAnsi="EC Square Sans Cond Pro" w:cs="Calibri"/>
                <w:noProof/>
                <w:color w:val="000000"/>
                <w:sz w:val="20"/>
                <w:szCs w:val="20"/>
              </w:rPr>
              <w:t>-3%</w:t>
            </w:r>
          </w:p>
        </w:tc>
      </w:tr>
      <w:tr w:rsidR="00990695" w:rsidRPr="00CE0860" w14:paraId="537AB26E" w14:textId="77777777" w:rsidTr="004C0B41">
        <w:trPr>
          <w:trHeight w:val="300"/>
        </w:trPr>
        <w:tc>
          <w:tcPr>
            <w:tcW w:w="4110" w:type="dxa"/>
            <w:tcBorders>
              <w:top w:val="nil"/>
              <w:left w:val="nil"/>
              <w:bottom w:val="nil"/>
              <w:right w:val="nil"/>
            </w:tcBorders>
            <w:shd w:val="clear" w:color="auto" w:fill="auto"/>
            <w:noWrap/>
            <w:vAlign w:val="center"/>
            <w:hideMark/>
          </w:tcPr>
          <w:p w14:paraId="74998174" w14:textId="77777777" w:rsidR="00990695" w:rsidRPr="00CE0860" w:rsidRDefault="00990695" w:rsidP="00703790">
            <w:pPr>
              <w:keepNext/>
              <w:keepLines/>
              <w:spacing w:after="0"/>
              <w:jc w:val="left"/>
              <w:rPr>
                <w:rFonts w:ascii="EC Square Sans Cond Pro" w:eastAsia="Times New Roman" w:hAnsi="EC Square Sans Cond Pro" w:cs="Calibri"/>
                <w:noProof/>
                <w:color w:val="000000"/>
                <w:sz w:val="20"/>
                <w:szCs w:val="20"/>
                <w:lang w:val="en-IE"/>
              </w:rPr>
            </w:pPr>
            <w:r w:rsidRPr="00CE0860">
              <w:rPr>
                <w:rFonts w:ascii="EC Square Sans Cond Pro" w:eastAsia="Times New Roman" w:hAnsi="EC Square Sans Cond Pro" w:cs="Calibri"/>
                <w:noProof/>
                <w:color w:val="000000"/>
                <w:sz w:val="20"/>
                <w:szCs w:val="20"/>
                <w:lang w:val="en-IE"/>
              </w:rPr>
              <w:t>Wheat</w:t>
            </w:r>
          </w:p>
        </w:tc>
        <w:tc>
          <w:tcPr>
            <w:tcW w:w="1557" w:type="dxa"/>
            <w:tcBorders>
              <w:top w:val="nil"/>
              <w:left w:val="nil"/>
              <w:bottom w:val="nil"/>
              <w:right w:val="nil"/>
            </w:tcBorders>
            <w:shd w:val="clear" w:color="auto" w:fill="auto"/>
            <w:noWrap/>
            <w:vAlign w:val="center"/>
            <w:hideMark/>
          </w:tcPr>
          <w:p w14:paraId="40084556" w14:textId="77777777" w:rsidR="00990695" w:rsidRPr="00CE0860" w:rsidRDefault="00990695" w:rsidP="00703790">
            <w:pPr>
              <w:keepNext/>
              <w:keepLines/>
              <w:spacing w:after="0"/>
              <w:jc w:val="center"/>
              <w:rPr>
                <w:rFonts w:ascii="EC Square Sans Cond Pro" w:eastAsia="Times New Roman" w:hAnsi="EC Square Sans Cond Pro" w:cs="Calibri"/>
                <w:noProof/>
                <w:color w:val="000000"/>
                <w:sz w:val="20"/>
                <w:szCs w:val="20"/>
                <w:lang w:val="en-IE"/>
              </w:rPr>
            </w:pPr>
            <w:r w:rsidRPr="00CE0860">
              <w:rPr>
                <w:rFonts w:ascii="EC Square Sans Cond Pro" w:eastAsia="Times New Roman" w:hAnsi="EC Square Sans Cond Pro" w:cs="Calibri"/>
                <w:noProof/>
                <w:color w:val="000000"/>
                <w:sz w:val="20"/>
                <w:szCs w:val="20"/>
                <w:lang w:val="en-IE"/>
              </w:rPr>
              <w:t>118,239</w:t>
            </w:r>
          </w:p>
        </w:tc>
        <w:tc>
          <w:tcPr>
            <w:tcW w:w="1796" w:type="dxa"/>
            <w:tcBorders>
              <w:top w:val="nil"/>
              <w:left w:val="nil"/>
              <w:bottom w:val="nil"/>
              <w:right w:val="nil"/>
            </w:tcBorders>
            <w:shd w:val="clear" w:color="auto" w:fill="auto"/>
            <w:noWrap/>
            <w:vAlign w:val="center"/>
            <w:hideMark/>
          </w:tcPr>
          <w:p w14:paraId="1858DA5F" w14:textId="5EA92A31" w:rsidR="00990695" w:rsidRPr="00CE0860" w:rsidRDefault="00B014D0" w:rsidP="00703790">
            <w:pPr>
              <w:keepNext/>
              <w:keepLines/>
              <w:spacing w:after="0"/>
              <w:jc w:val="center"/>
              <w:rPr>
                <w:rFonts w:ascii="EC Square Sans Cond Pro" w:eastAsia="Times New Roman" w:hAnsi="EC Square Sans Cond Pro" w:cs="Calibri"/>
                <w:noProof/>
                <w:color w:val="000000"/>
                <w:sz w:val="20"/>
                <w:szCs w:val="20"/>
                <w:lang w:val="en-IE"/>
              </w:rPr>
            </w:pPr>
            <w:r w:rsidRPr="00CE0860">
              <w:rPr>
                <w:rFonts w:ascii="EC Square Sans Cond Pro" w:hAnsi="EC Square Sans Cond Pro" w:cs="Calibri"/>
                <w:noProof/>
                <w:color w:val="000000"/>
                <w:sz w:val="20"/>
                <w:szCs w:val="20"/>
              </w:rPr>
              <w:t>98,450</w:t>
            </w:r>
          </w:p>
        </w:tc>
        <w:tc>
          <w:tcPr>
            <w:tcW w:w="1157" w:type="dxa"/>
            <w:tcBorders>
              <w:top w:val="nil"/>
              <w:left w:val="nil"/>
              <w:bottom w:val="nil"/>
              <w:right w:val="nil"/>
            </w:tcBorders>
            <w:shd w:val="clear" w:color="auto" w:fill="auto"/>
            <w:noWrap/>
            <w:vAlign w:val="center"/>
            <w:hideMark/>
          </w:tcPr>
          <w:p w14:paraId="23BE3818" w14:textId="7E58A374" w:rsidR="00990695" w:rsidRPr="00CE0860" w:rsidRDefault="00990695" w:rsidP="00703790">
            <w:pPr>
              <w:keepNext/>
              <w:keepLines/>
              <w:spacing w:after="0"/>
              <w:jc w:val="center"/>
              <w:rPr>
                <w:rFonts w:ascii="EC Square Sans Cond Pro" w:eastAsia="Times New Roman" w:hAnsi="EC Square Sans Cond Pro" w:cs="Calibri"/>
                <w:noProof/>
                <w:color w:val="000000"/>
                <w:sz w:val="20"/>
                <w:szCs w:val="20"/>
                <w:lang w:val="en-IE"/>
              </w:rPr>
            </w:pPr>
            <w:r w:rsidRPr="00CE0860">
              <w:rPr>
                <w:rFonts w:ascii="EC Square Sans Cond Pro" w:hAnsi="EC Square Sans Cond Pro" w:cs="Calibri"/>
                <w:noProof/>
                <w:color w:val="000000"/>
                <w:sz w:val="20"/>
                <w:szCs w:val="20"/>
              </w:rPr>
              <w:t>-17%</w:t>
            </w:r>
          </w:p>
        </w:tc>
      </w:tr>
      <w:tr w:rsidR="00990695" w:rsidRPr="00CE0860" w14:paraId="3E5C5785" w14:textId="77777777" w:rsidTr="004C0B41">
        <w:trPr>
          <w:trHeight w:val="300"/>
        </w:trPr>
        <w:tc>
          <w:tcPr>
            <w:tcW w:w="4110" w:type="dxa"/>
            <w:tcBorders>
              <w:top w:val="nil"/>
              <w:left w:val="nil"/>
              <w:bottom w:val="nil"/>
              <w:right w:val="nil"/>
            </w:tcBorders>
            <w:shd w:val="clear" w:color="auto" w:fill="auto"/>
            <w:noWrap/>
            <w:vAlign w:val="center"/>
            <w:hideMark/>
          </w:tcPr>
          <w:p w14:paraId="251C0B44" w14:textId="77777777" w:rsidR="00990695" w:rsidRPr="00CE0860" w:rsidRDefault="00990695" w:rsidP="00703790">
            <w:pPr>
              <w:keepNext/>
              <w:keepLines/>
              <w:spacing w:after="0"/>
              <w:jc w:val="left"/>
              <w:rPr>
                <w:rFonts w:ascii="EC Square Sans Cond Pro" w:eastAsia="Times New Roman" w:hAnsi="EC Square Sans Cond Pro" w:cs="Calibri"/>
                <w:noProof/>
                <w:color w:val="000000"/>
                <w:sz w:val="20"/>
                <w:szCs w:val="20"/>
                <w:lang w:val="en-IE"/>
              </w:rPr>
            </w:pPr>
            <w:r w:rsidRPr="00CE0860">
              <w:rPr>
                <w:rFonts w:ascii="EC Square Sans Cond Pro" w:eastAsia="Times New Roman" w:hAnsi="EC Square Sans Cond Pro" w:cs="Calibri"/>
                <w:noProof/>
                <w:color w:val="000000"/>
                <w:sz w:val="20"/>
                <w:szCs w:val="20"/>
                <w:lang w:val="en-IE"/>
              </w:rPr>
              <w:t>Meat</w:t>
            </w:r>
          </w:p>
        </w:tc>
        <w:tc>
          <w:tcPr>
            <w:tcW w:w="1557" w:type="dxa"/>
            <w:tcBorders>
              <w:top w:val="nil"/>
              <w:left w:val="nil"/>
              <w:bottom w:val="nil"/>
              <w:right w:val="nil"/>
            </w:tcBorders>
            <w:shd w:val="clear" w:color="auto" w:fill="auto"/>
            <w:noWrap/>
            <w:vAlign w:val="center"/>
            <w:hideMark/>
          </w:tcPr>
          <w:p w14:paraId="3FE8F95C" w14:textId="77777777" w:rsidR="00990695" w:rsidRPr="00CE0860" w:rsidRDefault="00990695" w:rsidP="00703790">
            <w:pPr>
              <w:keepNext/>
              <w:keepLines/>
              <w:spacing w:after="0"/>
              <w:jc w:val="center"/>
              <w:rPr>
                <w:rFonts w:ascii="EC Square Sans Cond Pro" w:eastAsia="Times New Roman" w:hAnsi="EC Square Sans Cond Pro" w:cs="Calibri"/>
                <w:noProof/>
                <w:color w:val="000000"/>
                <w:sz w:val="20"/>
                <w:szCs w:val="20"/>
                <w:lang w:val="en-IE"/>
              </w:rPr>
            </w:pPr>
            <w:r w:rsidRPr="00CE0860">
              <w:rPr>
                <w:rFonts w:ascii="EC Square Sans Cond Pro" w:eastAsia="Times New Roman" w:hAnsi="EC Square Sans Cond Pro" w:cs="Calibri"/>
                <w:noProof/>
                <w:color w:val="000000"/>
                <w:sz w:val="20"/>
                <w:szCs w:val="20"/>
                <w:lang w:val="en-IE"/>
              </w:rPr>
              <w:t>45,368</w:t>
            </w:r>
          </w:p>
        </w:tc>
        <w:tc>
          <w:tcPr>
            <w:tcW w:w="1796" w:type="dxa"/>
            <w:tcBorders>
              <w:top w:val="nil"/>
              <w:left w:val="nil"/>
              <w:bottom w:val="nil"/>
              <w:right w:val="nil"/>
            </w:tcBorders>
            <w:shd w:val="clear" w:color="auto" w:fill="auto"/>
            <w:noWrap/>
            <w:vAlign w:val="center"/>
            <w:hideMark/>
          </w:tcPr>
          <w:p w14:paraId="67B3071A" w14:textId="36CCEBAB" w:rsidR="00990695" w:rsidRPr="00CE0860" w:rsidRDefault="00990695" w:rsidP="00703790">
            <w:pPr>
              <w:keepNext/>
              <w:keepLines/>
              <w:spacing w:after="0"/>
              <w:jc w:val="center"/>
              <w:rPr>
                <w:rFonts w:ascii="EC Square Sans Cond Pro" w:eastAsia="Times New Roman" w:hAnsi="EC Square Sans Cond Pro" w:cs="Calibri"/>
                <w:noProof/>
                <w:color w:val="000000"/>
                <w:sz w:val="20"/>
                <w:szCs w:val="20"/>
                <w:lang w:val="en-IE"/>
              </w:rPr>
            </w:pPr>
            <w:r w:rsidRPr="00CE0860">
              <w:rPr>
                <w:rFonts w:ascii="EC Square Sans Cond Pro" w:hAnsi="EC Square Sans Cond Pro" w:cs="Calibri"/>
                <w:noProof/>
                <w:color w:val="000000"/>
                <w:sz w:val="20"/>
                <w:szCs w:val="20"/>
              </w:rPr>
              <w:t>33,</w:t>
            </w:r>
            <w:r w:rsidR="00B014D0" w:rsidRPr="00CE0860">
              <w:rPr>
                <w:rFonts w:ascii="EC Square Sans Cond Pro" w:hAnsi="EC Square Sans Cond Pro" w:cs="Calibri"/>
                <w:noProof/>
                <w:color w:val="000000"/>
                <w:sz w:val="20"/>
                <w:szCs w:val="20"/>
              </w:rPr>
              <w:t>841</w:t>
            </w:r>
          </w:p>
        </w:tc>
        <w:tc>
          <w:tcPr>
            <w:tcW w:w="1157" w:type="dxa"/>
            <w:tcBorders>
              <w:top w:val="nil"/>
              <w:left w:val="nil"/>
              <w:bottom w:val="nil"/>
              <w:right w:val="nil"/>
            </w:tcBorders>
            <w:shd w:val="clear" w:color="auto" w:fill="auto"/>
            <w:noWrap/>
            <w:vAlign w:val="center"/>
            <w:hideMark/>
          </w:tcPr>
          <w:p w14:paraId="5A2451A0" w14:textId="510FA35C" w:rsidR="00990695" w:rsidRPr="00CE0860" w:rsidRDefault="00990695" w:rsidP="00703790">
            <w:pPr>
              <w:keepNext/>
              <w:keepLines/>
              <w:spacing w:after="0"/>
              <w:jc w:val="center"/>
              <w:rPr>
                <w:rFonts w:ascii="EC Square Sans Cond Pro" w:eastAsia="Times New Roman" w:hAnsi="EC Square Sans Cond Pro" w:cs="Calibri"/>
                <w:noProof/>
                <w:color w:val="000000"/>
                <w:sz w:val="20"/>
                <w:szCs w:val="20"/>
                <w:lang w:val="en-IE"/>
              </w:rPr>
            </w:pPr>
            <w:r w:rsidRPr="00CE0860">
              <w:rPr>
                <w:rFonts w:ascii="EC Square Sans Cond Pro" w:hAnsi="EC Square Sans Cond Pro" w:cs="Calibri"/>
                <w:noProof/>
                <w:color w:val="000000"/>
                <w:sz w:val="20"/>
                <w:szCs w:val="20"/>
              </w:rPr>
              <w:t>-</w:t>
            </w:r>
            <w:r w:rsidR="00B014D0" w:rsidRPr="00CE0860">
              <w:rPr>
                <w:rFonts w:ascii="EC Square Sans Cond Pro" w:hAnsi="EC Square Sans Cond Pro" w:cs="Calibri"/>
                <w:noProof/>
                <w:color w:val="000000"/>
                <w:sz w:val="20"/>
                <w:szCs w:val="20"/>
              </w:rPr>
              <w:t>25</w:t>
            </w:r>
            <w:r w:rsidRPr="00CE0860">
              <w:rPr>
                <w:rFonts w:ascii="EC Square Sans Cond Pro" w:hAnsi="EC Square Sans Cond Pro" w:cs="Calibri"/>
                <w:noProof/>
                <w:color w:val="000000"/>
                <w:sz w:val="20"/>
                <w:szCs w:val="20"/>
              </w:rPr>
              <w:t>%</w:t>
            </w:r>
          </w:p>
        </w:tc>
      </w:tr>
      <w:tr w:rsidR="00990695" w:rsidRPr="00CE0860" w14:paraId="3424FC4B" w14:textId="77777777" w:rsidTr="004C0B41">
        <w:trPr>
          <w:trHeight w:val="300"/>
        </w:trPr>
        <w:tc>
          <w:tcPr>
            <w:tcW w:w="4110" w:type="dxa"/>
            <w:tcBorders>
              <w:top w:val="nil"/>
              <w:left w:val="nil"/>
              <w:bottom w:val="nil"/>
              <w:right w:val="nil"/>
            </w:tcBorders>
            <w:shd w:val="clear" w:color="auto" w:fill="auto"/>
            <w:noWrap/>
            <w:vAlign w:val="center"/>
            <w:hideMark/>
          </w:tcPr>
          <w:p w14:paraId="77964E79" w14:textId="77777777" w:rsidR="00990695" w:rsidRPr="00CE0860" w:rsidRDefault="00990695" w:rsidP="00703790">
            <w:pPr>
              <w:keepNext/>
              <w:keepLines/>
              <w:spacing w:after="0"/>
              <w:jc w:val="left"/>
              <w:rPr>
                <w:rFonts w:ascii="EC Square Sans Cond Pro" w:eastAsia="Times New Roman" w:hAnsi="EC Square Sans Cond Pro" w:cs="Calibri"/>
                <w:noProof/>
                <w:color w:val="000000"/>
                <w:sz w:val="20"/>
                <w:szCs w:val="20"/>
                <w:lang w:val="en-IE"/>
              </w:rPr>
            </w:pPr>
            <w:r w:rsidRPr="00CE0860">
              <w:rPr>
                <w:rFonts w:ascii="EC Square Sans Cond Pro" w:eastAsia="Times New Roman" w:hAnsi="EC Square Sans Cond Pro" w:cs="Calibri"/>
                <w:noProof/>
                <w:color w:val="000000"/>
                <w:sz w:val="20"/>
                <w:szCs w:val="20"/>
                <w:lang w:val="en-IE"/>
              </w:rPr>
              <w:t>Other Animal products</w:t>
            </w:r>
          </w:p>
        </w:tc>
        <w:tc>
          <w:tcPr>
            <w:tcW w:w="1557" w:type="dxa"/>
            <w:tcBorders>
              <w:top w:val="nil"/>
              <w:left w:val="nil"/>
              <w:bottom w:val="nil"/>
              <w:right w:val="nil"/>
            </w:tcBorders>
            <w:shd w:val="clear" w:color="auto" w:fill="auto"/>
            <w:noWrap/>
            <w:vAlign w:val="center"/>
            <w:hideMark/>
          </w:tcPr>
          <w:p w14:paraId="5C4D6AE5" w14:textId="77777777" w:rsidR="00990695" w:rsidRPr="00CE0860" w:rsidRDefault="00990695" w:rsidP="00703790">
            <w:pPr>
              <w:keepNext/>
              <w:keepLines/>
              <w:spacing w:after="0"/>
              <w:jc w:val="center"/>
              <w:rPr>
                <w:rFonts w:ascii="EC Square Sans Cond Pro" w:eastAsia="Times New Roman" w:hAnsi="EC Square Sans Cond Pro" w:cs="Calibri"/>
                <w:noProof/>
                <w:color w:val="000000"/>
                <w:sz w:val="20"/>
                <w:szCs w:val="20"/>
                <w:lang w:val="en-IE"/>
              </w:rPr>
            </w:pPr>
            <w:r w:rsidRPr="00CE0860">
              <w:rPr>
                <w:rFonts w:ascii="EC Square Sans Cond Pro" w:eastAsia="Times New Roman" w:hAnsi="EC Square Sans Cond Pro" w:cs="Calibri"/>
                <w:noProof/>
                <w:color w:val="000000"/>
                <w:sz w:val="20"/>
                <w:szCs w:val="20"/>
                <w:lang w:val="en-IE"/>
              </w:rPr>
              <w:t>168,985</w:t>
            </w:r>
          </w:p>
        </w:tc>
        <w:tc>
          <w:tcPr>
            <w:tcW w:w="1796" w:type="dxa"/>
            <w:tcBorders>
              <w:top w:val="nil"/>
              <w:left w:val="nil"/>
              <w:bottom w:val="nil"/>
              <w:right w:val="nil"/>
            </w:tcBorders>
            <w:shd w:val="clear" w:color="auto" w:fill="auto"/>
            <w:noWrap/>
            <w:vAlign w:val="center"/>
            <w:hideMark/>
          </w:tcPr>
          <w:p w14:paraId="210AC59C" w14:textId="388AEBDF" w:rsidR="00990695" w:rsidRPr="00CE0860" w:rsidRDefault="00990695" w:rsidP="00703790">
            <w:pPr>
              <w:keepNext/>
              <w:keepLines/>
              <w:spacing w:after="0"/>
              <w:jc w:val="center"/>
              <w:rPr>
                <w:rFonts w:ascii="EC Square Sans Cond Pro" w:eastAsia="Times New Roman" w:hAnsi="EC Square Sans Cond Pro" w:cs="Calibri"/>
                <w:noProof/>
                <w:color w:val="000000"/>
                <w:sz w:val="20"/>
                <w:szCs w:val="20"/>
                <w:lang w:val="en-IE"/>
              </w:rPr>
            </w:pPr>
            <w:r w:rsidRPr="00CE0860">
              <w:rPr>
                <w:rFonts w:ascii="EC Square Sans Cond Pro" w:hAnsi="EC Square Sans Cond Pro" w:cs="Calibri"/>
                <w:noProof/>
                <w:color w:val="000000"/>
                <w:sz w:val="20"/>
                <w:szCs w:val="20"/>
              </w:rPr>
              <w:t>151,</w:t>
            </w:r>
            <w:r w:rsidR="00B014D0" w:rsidRPr="00CE0860">
              <w:rPr>
                <w:rFonts w:ascii="EC Square Sans Cond Pro" w:hAnsi="EC Square Sans Cond Pro" w:cs="Calibri"/>
                <w:noProof/>
                <w:color w:val="000000"/>
                <w:sz w:val="20"/>
                <w:szCs w:val="20"/>
              </w:rPr>
              <w:t>862</w:t>
            </w:r>
          </w:p>
        </w:tc>
        <w:tc>
          <w:tcPr>
            <w:tcW w:w="1157" w:type="dxa"/>
            <w:tcBorders>
              <w:top w:val="nil"/>
              <w:left w:val="nil"/>
              <w:bottom w:val="nil"/>
              <w:right w:val="nil"/>
            </w:tcBorders>
            <w:shd w:val="clear" w:color="auto" w:fill="auto"/>
            <w:noWrap/>
            <w:vAlign w:val="center"/>
            <w:hideMark/>
          </w:tcPr>
          <w:p w14:paraId="354BB329" w14:textId="20838C71" w:rsidR="00990695" w:rsidRPr="00CE0860" w:rsidRDefault="00990695" w:rsidP="00703790">
            <w:pPr>
              <w:keepNext/>
              <w:keepLines/>
              <w:spacing w:after="0"/>
              <w:jc w:val="center"/>
              <w:rPr>
                <w:rFonts w:ascii="EC Square Sans Cond Pro" w:eastAsia="Times New Roman" w:hAnsi="EC Square Sans Cond Pro" w:cs="Calibri"/>
                <w:noProof/>
                <w:color w:val="000000"/>
                <w:sz w:val="20"/>
                <w:szCs w:val="20"/>
                <w:lang w:val="en-IE"/>
              </w:rPr>
            </w:pPr>
            <w:r w:rsidRPr="00CE0860">
              <w:rPr>
                <w:rFonts w:ascii="EC Square Sans Cond Pro" w:hAnsi="EC Square Sans Cond Pro" w:cs="Calibri"/>
                <w:noProof/>
                <w:color w:val="000000"/>
                <w:sz w:val="20"/>
                <w:szCs w:val="20"/>
              </w:rPr>
              <w:t>-10%</w:t>
            </w:r>
          </w:p>
        </w:tc>
      </w:tr>
      <w:tr w:rsidR="00990695" w:rsidRPr="00CE0860" w14:paraId="534B65D7" w14:textId="77777777" w:rsidTr="004C0B41">
        <w:trPr>
          <w:trHeight w:val="300"/>
        </w:trPr>
        <w:tc>
          <w:tcPr>
            <w:tcW w:w="4110" w:type="dxa"/>
            <w:tcBorders>
              <w:top w:val="nil"/>
              <w:left w:val="nil"/>
              <w:bottom w:val="nil"/>
              <w:right w:val="nil"/>
            </w:tcBorders>
            <w:shd w:val="clear" w:color="auto" w:fill="auto"/>
            <w:noWrap/>
            <w:vAlign w:val="center"/>
            <w:hideMark/>
          </w:tcPr>
          <w:p w14:paraId="09EF9F44" w14:textId="77777777" w:rsidR="00990695" w:rsidRPr="00CE0860" w:rsidRDefault="00990695" w:rsidP="00703790">
            <w:pPr>
              <w:keepNext/>
              <w:keepLines/>
              <w:spacing w:after="0"/>
              <w:jc w:val="left"/>
              <w:rPr>
                <w:rFonts w:ascii="EC Square Sans Cond Pro" w:eastAsia="Times New Roman" w:hAnsi="EC Square Sans Cond Pro" w:cs="Calibri"/>
                <w:noProof/>
                <w:color w:val="000000"/>
                <w:sz w:val="20"/>
                <w:szCs w:val="20"/>
                <w:lang w:val="en-IE"/>
              </w:rPr>
            </w:pPr>
            <w:r w:rsidRPr="00CE0860">
              <w:rPr>
                <w:rFonts w:ascii="EC Square Sans Cond Pro" w:eastAsia="Times New Roman" w:hAnsi="EC Square Sans Cond Pro" w:cs="Calibri"/>
                <w:noProof/>
                <w:color w:val="000000"/>
                <w:sz w:val="20"/>
                <w:szCs w:val="20"/>
                <w:lang w:val="en-IE"/>
              </w:rPr>
              <w:t>Raw milk</w:t>
            </w:r>
          </w:p>
        </w:tc>
        <w:tc>
          <w:tcPr>
            <w:tcW w:w="1557" w:type="dxa"/>
            <w:tcBorders>
              <w:top w:val="nil"/>
              <w:left w:val="nil"/>
              <w:bottom w:val="nil"/>
              <w:right w:val="nil"/>
            </w:tcBorders>
            <w:shd w:val="clear" w:color="auto" w:fill="auto"/>
            <w:noWrap/>
            <w:vAlign w:val="center"/>
            <w:hideMark/>
          </w:tcPr>
          <w:p w14:paraId="48BDBB42" w14:textId="77777777" w:rsidR="00990695" w:rsidRPr="00CE0860" w:rsidRDefault="00990695" w:rsidP="00703790">
            <w:pPr>
              <w:keepNext/>
              <w:keepLines/>
              <w:spacing w:after="0"/>
              <w:jc w:val="center"/>
              <w:rPr>
                <w:rFonts w:ascii="EC Square Sans Cond Pro" w:eastAsia="Times New Roman" w:hAnsi="EC Square Sans Cond Pro" w:cs="Calibri"/>
                <w:noProof/>
                <w:color w:val="000000"/>
                <w:sz w:val="20"/>
                <w:szCs w:val="20"/>
                <w:lang w:val="en-IE"/>
              </w:rPr>
            </w:pPr>
            <w:r w:rsidRPr="00CE0860">
              <w:rPr>
                <w:rFonts w:ascii="EC Square Sans Cond Pro" w:eastAsia="Times New Roman" w:hAnsi="EC Square Sans Cond Pro" w:cs="Calibri"/>
                <w:noProof/>
                <w:color w:val="000000"/>
                <w:sz w:val="20"/>
                <w:szCs w:val="20"/>
                <w:lang w:val="en-IE"/>
              </w:rPr>
              <w:t>161,303</w:t>
            </w:r>
          </w:p>
        </w:tc>
        <w:tc>
          <w:tcPr>
            <w:tcW w:w="1796" w:type="dxa"/>
            <w:tcBorders>
              <w:top w:val="nil"/>
              <w:left w:val="nil"/>
              <w:bottom w:val="nil"/>
              <w:right w:val="nil"/>
            </w:tcBorders>
            <w:shd w:val="clear" w:color="auto" w:fill="auto"/>
            <w:noWrap/>
            <w:vAlign w:val="center"/>
            <w:hideMark/>
          </w:tcPr>
          <w:p w14:paraId="31C5BEBA" w14:textId="76E03854" w:rsidR="00990695" w:rsidRPr="00CE0860" w:rsidRDefault="00990695" w:rsidP="00703790">
            <w:pPr>
              <w:keepNext/>
              <w:keepLines/>
              <w:spacing w:after="0"/>
              <w:jc w:val="center"/>
              <w:rPr>
                <w:rFonts w:ascii="EC Square Sans Cond Pro" w:eastAsia="Times New Roman" w:hAnsi="EC Square Sans Cond Pro" w:cs="Calibri"/>
                <w:noProof/>
                <w:color w:val="000000"/>
                <w:sz w:val="20"/>
                <w:szCs w:val="20"/>
                <w:lang w:val="en-IE"/>
              </w:rPr>
            </w:pPr>
            <w:r w:rsidRPr="00CE0860">
              <w:rPr>
                <w:rFonts w:ascii="EC Square Sans Cond Pro" w:hAnsi="EC Square Sans Cond Pro" w:cs="Calibri"/>
                <w:noProof/>
                <w:color w:val="000000"/>
                <w:sz w:val="20"/>
                <w:szCs w:val="20"/>
              </w:rPr>
              <w:t>145,</w:t>
            </w:r>
            <w:r w:rsidR="00B014D0" w:rsidRPr="00CE0860">
              <w:rPr>
                <w:rFonts w:ascii="EC Square Sans Cond Pro" w:hAnsi="EC Square Sans Cond Pro" w:cs="Calibri"/>
                <w:noProof/>
                <w:color w:val="000000"/>
                <w:sz w:val="20"/>
                <w:szCs w:val="20"/>
              </w:rPr>
              <w:t>473</w:t>
            </w:r>
          </w:p>
        </w:tc>
        <w:tc>
          <w:tcPr>
            <w:tcW w:w="1157" w:type="dxa"/>
            <w:tcBorders>
              <w:top w:val="nil"/>
              <w:left w:val="nil"/>
              <w:bottom w:val="nil"/>
              <w:right w:val="nil"/>
            </w:tcBorders>
            <w:shd w:val="clear" w:color="auto" w:fill="auto"/>
            <w:noWrap/>
            <w:vAlign w:val="center"/>
            <w:hideMark/>
          </w:tcPr>
          <w:p w14:paraId="0A32A0B1" w14:textId="678ED56A" w:rsidR="00990695" w:rsidRPr="00CE0860" w:rsidRDefault="00990695" w:rsidP="00703790">
            <w:pPr>
              <w:keepNext/>
              <w:keepLines/>
              <w:spacing w:after="0"/>
              <w:jc w:val="center"/>
              <w:rPr>
                <w:rFonts w:ascii="EC Square Sans Cond Pro" w:eastAsia="Times New Roman" w:hAnsi="EC Square Sans Cond Pro" w:cs="Calibri"/>
                <w:noProof/>
                <w:color w:val="000000"/>
                <w:sz w:val="20"/>
                <w:szCs w:val="20"/>
                <w:lang w:val="en-IE"/>
              </w:rPr>
            </w:pPr>
            <w:r w:rsidRPr="00CE0860">
              <w:rPr>
                <w:rFonts w:ascii="EC Square Sans Cond Pro" w:hAnsi="EC Square Sans Cond Pro" w:cs="Calibri"/>
                <w:noProof/>
                <w:color w:val="000000"/>
                <w:sz w:val="20"/>
                <w:szCs w:val="20"/>
              </w:rPr>
              <w:t>-10%</w:t>
            </w:r>
          </w:p>
        </w:tc>
      </w:tr>
      <w:tr w:rsidR="00990695" w:rsidRPr="00CE0860" w14:paraId="649E4A2C" w14:textId="77777777" w:rsidTr="004C0B41">
        <w:trPr>
          <w:trHeight w:val="300"/>
        </w:trPr>
        <w:tc>
          <w:tcPr>
            <w:tcW w:w="4110" w:type="dxa"/>
            <w:tcBorders>
              <w:top w:val="nil"/>
              <w:left w:val="nil"/>
              <w:bottom w:val="nil"/>
              <w:right w:val="nil"/>
            </w:tcBorders>
            <w:shd w:val="clear" w:color="auto" w:fill="auto"/>
            <w:noWrap/>
            <w:vAlign w:val="center"/>
            <w:hideMark/>
          </w:tcPr>
          <w:p w14:paraId="0E8EC426" w14:textId="77777777" w:rsidR="00990695" w:rsidRPr="00CE0860" w:rsidRDefault="00990695" w:rsidP="00703790">
            <w:pPr>
              <w:keepNext/>
              <w:keepLines/>
              <w:spacing w:after="0"/>
              <w:jc w:val="left"/>
              <w:rPr>
                <w:rFonts w:ascii="EC Square Sans Cond Pro" w:eastAsia="Times New Roman" w:hAnsi="EC Square Sans Cond Pro" w:cs="Calibri"/>
                <w:noProof/>
                <w:color w:val="000000"/>
                <w:sz w:val="20"/>
                <w:szCs w:val="20"/>
                <w:lang w:val="en-IE"/>
              </w:rPr>
            </w:pPr>
            <w:r w:rsidRPr="00CE0860">
              <w:rPr>
                <w:rFonts w:ascii="EC Square Sans Cond Pro" w:eastAsia="Times New Roman" w:hAnsi="EC Square Sans Cond Pro" w:cs="Calibri"/>
                <w:noProof/>
                <w:color w:val="000000"/>
                <w:sz w:val="20"/>
                <w:szCs w:val="20"/>
                <w:lang w:val="en-IE"/>
              </w:rPr>
              <w:t>Dairy products</w:t>
            </w:r>
          </w:p>
        </w:tc>
        <w:tc>
          <w:tcPr>
            <w:tcW w:w="1557" w:type="dxa"/>
            <w:tcBorders>
              <w:top w:val="nil"/>
              <w:left w:val="nil"/>
              <w:bottom w:val="nil"/>
              <w:right w:val="nil"/>
            </w:tcBorders>
            <w:shd w:val="clear" w:color="auto" w:fill="auto"/>
            <w:noWrap/>
            <w:vAlign w:val="center"/>
            <w:hideMark/>
          </w:tcPr>
          <w:p w14:paraId="16078D85" w14:textId="77777777" w:rsidR="00990695" w:rsidRPr="00CE0860" w:rsidRDefault="00990695" w:rsidP="00703790">
            <w:pPr>
              <w:keepNext/>
              <w:keepLines/>
              <w:spacing w:after="0"/>
              <w:jc w:val="center"/>
              <w:rPr>
                <w:rFonts w:ascii="EC Square Sans Cond Pro" w:eastAsia="Times New Roman" w:hAnsi="EC Square Sans Cond Pro" w:cs="Calibri"/>
                <w:noProof/>
                <w:color w:val="000000"/>
                <w:sz w:val="20"/>
                <w:szCs w:val="20"/>
                <w:lang w:val="en-IE"/>
              </w:rPr>
            </w:pPr>
            <w:r w:rsidRPr="00CE0860">
              <w:rPr>
                <w:rFonts w:ascii="EC Square Sans Cond Pro" w:eastAsia="Times New Roman" w:hAnsi="EC Square Sans Cond Pro" w:cs="Calibri"/>
                <w:noProof/>
                <w:color w:val="000000"/>
                <w:sz w:val="20"/>
                <w:szCs w:val="20"/>
                <w:lang w:val="en-IE"/>
              </w:rPr>
              <w:t>64,444</w:t>
            </w:r>
          </w:p>
        </w:tc>
        <w:tc>
          <w:tcPr>
            <w:tcW w:w="1796" w:type="dxa"/>
            <w:tcBorders>
              <w:top w:val="nil"/>
              <w:left w:val="nil"/>
              <w:bottom w:val="nil"/>
              <w:right w:val="nil"/>
            </w:tcBorders>
            <w:shd w:val="clear" w:color="auto" w:fill="auto"/>
            <w:noWrap/>
            <w:vAlign w:val="center"/>
            <w:hideMark/>
          </w:tcPr>
          <w:p w14:paraId="3ACCE522" w14:textId="6ADD9731" w:rsidR="00990695" w:rsidRPr="00CE0860" w:rsidRDefault="00990695" w:rsidP="00703790">
            <w:pPr>
              <w:keepNext/>
              <w:keepLines/>
              <w:spacing w:after="0"/>
              <w:jc w:val="center"/>
              <w:rPr>
                <w:rFonts w:ascii="EC Square Sans Cond Pro" w:eastAsia="Times New Roman" w:hAnsi="EC Square Sans Cond Pro" w:cs="Calibri"/>
                <w:noProof/>
                <w:color w:val="000000"/>
                <w:sz w:val="20"/>
                <w:szCs w:val="20"/>
                <w:lang w:val="en-IE"/>
              </w:rPr>
            </w:pPr>
            <w:r w:rsidRPr="00CE0860">
              <w:rPr>
                <w:rFonts w:ascii="EC Square Sans Cond Pro" w:hAnsi="EC Square Sans Cond Pro" w:cs="Calibri"/>
                <w:noProof/>
                <w:color w:val="000000"/>
                <w:sz w:val="20"/>
                <w:szCs w:val="20"/>
              </w:rPr>
              <w:t>57,</w:t>
            </w:r>
            <w:r w:rsidR="00B014D0" w:rsidRPr="00CE0860">
              <w:rPr>
                <w:rFonts w:ascii="EC Square Sans Cond Pro" w:hAnsi="EC Square Sans Cond Pro" w:cs="Calibri"/>
                <w:noProof/>
                <w:color w:val="000000"/>
                <w:sz w:val="20"/>
                <w:szCs w:val="20"/>
              </w:rPr>
              <w:t>295</w:t>
            </w:r>
          </w:p>
        </w:tc>
        <w:tc>
          <w:tcPr>
            <w:tcW w:w="1157" w:type="dxa"/>
            <w:tcBorders>
              <w:top w:val="nil"/>
              <w:left w:val="nil"/>
              <w:bottom w:val="nil"/>
              <w:right w:val="nil"/>
            </w:tcBorders>
            <w:shd w:val="clear" w:color="auto" w:fill="auto"/>
            <w:noWrap/>
            <w:vAlign w:val="center"/>
            <w:hideMark/>
          </w:tcPr>
          <w:p w14:paraId="617F1D92" w14:textId="1FCF40EC" w:rsidR="00990695" w:rsidRPr="00CE0860" w:rsidRDefault="00990695" w:rsidP="00703790">
            <w:pPr>
              <w:keepNext/>
              <w:keepLines/>
              <w:spacing w:after="0"/>
              <w:jc w:val="center"/>
              <w:rPr>
                <w:rFonts w:ascii="EC Square Sans Cond Pro" w:eastAsia="Times New Roman" w:hAnsi="EC Square Sans Cond Pro" w:cs="Calibri"/>
                <w:noProof/>
                <w:color w:val="000000"/>
                <w:sz w:val="20"/>
                <w:szCs w:val="20"/>
                <w:lang w:val="en-IE"/>
              </w:rPr>
            </w:pPr>
            <w:r w:rsidRPr="00CE0860">
              <w:rPr>
                <w:rFonts w:ascii="EC Square Sans Cond Pro" w:hAnsi="EC Square Sans Cond Pro" w:cs="Calibri"/>
                <w:noProof/>
                <w:color w:val="000000"/>
                <w:sz w:val="20"/>
                <w:szCs w:val="20"/>
              </w:rPr>
              <w:t>-11%</w:t>
            </w:r>
          </w:p>
        </w:tc>
      </w:tr>
    </w:tbl>
    <w:p w14:paraId="2790558C" w14:textId="77777777" w:rsidR="00990695" w:rsidRPr="00CE0860" w:rsidRDefault="00990695" w:rsidP="00703790">
      <w:pPr>
        <w:pStyle w:val="CT-SOURCE"/>
        <w:keepLines/>
        <w:rPr>
          <w:noProof/>
          <w:szCs w:val="18"/>
        </w:rPr>
      </w:pPr>
      <w:r w:rsidRPr="00CE0860">
        <w:rPr>
          <w:noProof/>
        </w:rPr>
        <w:t>Source: CAPRI</w:t>
      </w:r>
    </w:p>
    <w:p w14:paraId="672EB459" w14:textId="207BB374" w:rsidR="00F31DEA" w:rsidRPr="00990695" w:rsidRDefault="00990695" w:rsidP="00990695">
      <w:pPr>
        <w:rPr>
          <w:noProof/>
        </w:rPr>
      </w:pPr>
      <w:bookmarkStart w:id="578" w:name="_Hlk144904421"/>
      <w:r w:rsidRPr="00CE0860">
        <w:rPr>
          <w:noProof/>
        </w:rPr>
        <w:t>Compared to scenarios S1</w:t>
      </w:r>
      <w:r w:rsidR="00FD76BF" w:rsidRPr="00CE0860">
        <w:rPr>
          <w:noProof/>
        </w:rPr>
        <w:t>, S2 and</w:t>
      </w:r>
      <w:r w:rsidRPr="00CE0860">
        <w:rPr>
          <w:noProof/>
        </w:rPr>
        <w:t xml:space="preserve"> S3</w:t>
      </w:r>
      <w:r w:rsidR="00B669A2" w:rsidRPr="00CE0860">
        <w:rPr>
          <w:noProof/>
        </w:rPr>
        <w:t>,</w:t>
      </w:r>
      <w:r w:rsidRPr="00CE0860">
        <w:rPr>
          <w:noProof/>
        </w:rPr>
        <w:t xml:space="preserve"> </w:t>
      </w:r>
      <w:r w:rsidR="00C459D4" w:rsidRPr="00CE0860">
        <w:rPr>
          <w:noProof/>
        </w:rPr>
        <w:t>LIFE</w:t>
      </w:r>
      <w:r w:rsidRPr="00CE0860">
        <w:rPr>
          <w:noProof/>
        </w:rPr>
        <w:t xml:space="preserve"> leads to a shift from intensive grazing to extensive grazing (</w:t>
      </w:r>
      <w:r w:rsidR="003B7929" w:rsidRPr="00CE0860">
        <w:rPr>
          <w:noProof/>
        </w:rPr>
        <w:t xml:space="preserve">Table </w:t>
      </w:r>
      <w:r w:rsidRPr="00CE0860">
        <w:rPr>
          <w:noProof/>
        </w:rPr>
        <w:fldChar w:fldCharType="begin"/>
      </w:r>
      <w:r w:rsidRPr="00CE0860">
        <w:rPr>
          <w:noProof/>
        </w:rPr>
        <w:instrText xml:space="preserve"> REF _Ref144483277 \h </w:instrText>
      </w:r>
      <w:r w:rsidR="00CE0860">
        <w:rPr>
          <w:noProof/>
        </w:rPr>
        <w:instrText xml:space="preserve"> \* MERGEFORMAT </w:instrText>
      </w:r>
      <w:r w:rsidRPr="00CE0860">
        <w:rPr>
          <w:noProof/>
        </w:rPr>
      </w:r>
      <w:r w:rsidRPr="00CE0860">
        <w:rPr>
          <w:noProof/>
        </w:rPr>
        <w:fldChar w:fldCharType="separate"/>
      </w:r>
      <w:r w:rsidR="00170A3C">
        <w:rPr>
          <w:noProof/>
        </w:rPr>
        <w:t>22</w:t>
      </w:r>
      <w:r w:rsidRPr="00CE0860">
        <w:rPr>
          <w:noProof/>
        </w:rPr>
        <w:fldChar w:fldCharType="end"/>
      </w:r>
      <w:r w:rsidRPr="00CE0860">
        <w:rPr>
          <w:noProof/>
        </w:rPr>
        <w:t>) and to an overall reduction in livestock density per ha for cattle and dairy cows but also for pigs and poultry</w:t>
      </w:r>
      <w:r w:rsidR="002B7F04" w:rsidRPr="00CE0860">
        <w:rPr>
          <w:noProof/>
        </w:rPr>
        <w:t> (</w:t>
      </w:r>
      <w:r w:rsidR="002B7F04" w:rsidRPr="00CE0860">
        <w:rPr>
          <w:rStyle w:val="FootnoteReference"/>
          <w:noProof/>
        </w:rPr>
        <w:footnoteReference w:id="239"/>
      </w:r>
      <w:r w:rsidR="002B7F04" w:rsidRPr="00CE0860">
        <w:rPr>
          <w:noProof/>
        </w:rPr>
        <w:t>).</w:t>
      </w:r>
      <w:r w:rsidRPr="00CE0860">
        <w:rPr>
          <w:noProof/>
        </w:rPr>
        <w:t xml:space="preserve"> This may also positively</w:t>
      </w:r>
      <w:r>
        <w:rPr>
          <w:noProof/>
        </w:rPr>
        <w:t xml:space="preserve"> impact animal welfare and increase resilience against transboundary animal diseases in animal related food production </w:t>
      </w:r>
      <w:r w:rsidRPr="00860FB6">
        <w:rPr>
          <w:noProof/>
        </w:rPr>
        <w:t>(</w:t>
      </w:r>
      <w:r>
        <w:rPr>
          <w:rStyle w:val="FootnoteReference"/>
          <w:noProof/>
        </w:rPr>
        <w:footnoteReference w:id="240"/>
      </w:r>
      <w:r>
        <w:rPr>
          <w:noProof/>
        </w:rPr>
        <w:t xml:space="preserve">). </w:t>
      </w:r>
    </w:p>
    <w:p w14:paraId="74C57B91" w14:textId="58C8A0D1" w:rsidR="00D502C2" w:rsidRPr="00326575" w:rsidRDefault="00C459D4" w:rsidP="00D502C2">
      <w:pPr>
        <w:rPr>
          <w:noProof/>
        </w:rPr>
      </w:pPr>
      <w:r>
        <w:rPr>
          <w:noProof/>
        </w:rPr>
        <w:t>LIFE</w:t>
      </w:r>
      <w:r w:rsidR="00D502C2">
        <w:rPr>
          <w:noProof/>
        </w:rPr>
        <w:t xml:space="preserve"> incorporates significant health benefits for its citizens. </w:t>
      </w:r>
      <w:r w:rsidR="00D502C2" w:rsidRPr="00326575">
        <w:rPr>
          <w:noProof/>
        </w:rPr>
        <w:t>For Europe, research finds a greater consumption of red meat, eggs and dairy products than recommended consumption levels of healthy reference diets (</w:t>
      </w:r>
      <w:r w:rsidR="00D502C2" w:rsidRPr="00326575">
        <w:rPr>
          <w:rStyle w:val="FootnoteReference"/>
          <w:noProof/>
        </w:rPr>
        <w:footnoteReference w:id="241"/>
      </w:r>
      <w:r w:rsidR="00D502C2" w:rsidRPr="00326575">
        <w:rPr>
          <w:noProof/>
        </w:rPr>
        <w:t>)  (</w:t>
      </w:r>
      <w:r w:rsidR="00D502C2" w:rsidRPr="00326575">
        <w:rPr>
          <w:rStyle w:val="FootnoteReference"/>
          <w:noProof/>
        </w:rPr>
        <w:footnoteReference w:id="242"/>
      </w:r>
      <w:r w:rsidR="00D502C2" w:rsidRPr="00326575">
        <w:rPr>
          <w:noProof/>
        </w:rPr>
        <w:t>). Studies indicate that reducing meat consumption, while maintaining a broad and varied diet is beneficial for human health as it reduces the risk of cardiovascular diseases (</w:t>
      </w:r>
      <w:r w:rsidR="00D502C2" w:rsidRPr="00326575">
        <w:rPr>
          <w:rStyle w:val="FootnoteReference"/>
          <w:noProof/>
        </w:rPr>
        <w:footnoteReference w:id="243"/>
      </w:r>
      <w:r w:rsidR="00D502C2" w:rsidRPr="00326575">
        <w:rPr>
          <w:noProof/>
        </w:rPr>
        <w:t>)</w:t>
      </w:r>
      <w:r w:rsidR="00EB7326">
        <w:rPr>
          <w:noProof/>
        </w:rPr>
        <w:t xml:space="preserve"> </w:t>
      </w:r>
      <w:r w:rsidR="00EB7326" w:rsidRPr="00326575">
        <w:rPr>
          <w:noProof/>
        </w:rPr>
        <w:t>(</w:t>
      </w:r>
      <w:r w:rsidR="00EB7326" w:rsidRPr="00326575">
        <w:rPr>
          <w:rStyle w:val="FootnoteReference"/>
          <w:noProof/>
        </w:rPr>
        <w:footnoteReference w:id="244"/>
      </w:r>
      <w:r w:rsidR="00EB7326" w:rsidRPr="00326575">
        <w:rPr>
          <w:noProof/>
        </w:rPr>
        <w:t>)</w:t>
      </w:r>
      <w:r w:rsidR="00D502C2" w:rsidRPr="00326575">
        <w:rPr>
          <w:noProof/>
        </w:rPr>
        <w:t>, cancer</w:t>
      </w:r>
      <w:r w:rsidR="00EB7326">
        <w:rPr>
          <w:noProof/>
        </w:rPr>
        <w:t xml:space="preserve"> </w:t>
      </w:r>
      <w:r w:rsidR="00EB7326" w:rsidRPr="00EB7326">
        <w:rPr>
          <w:noProof/>
        </w:rPr>
        <w:t>(</w:t>
      </w:r>
      <w:r w:rsidR="00EB7326">
        <w:rPr>
          <w:rStyle w:val="FootnoteReference"/>
          <w:noProof/>
        </w:rPr>
        <w:footnoteReference w:id="245"/>
      </w:r>
      <w:r w:rsidR="00EB7326">
        <w:rPr>
          <w:noProof/>
        </w:rPr>
        <w:t>)</w:t>
      </w:r>
      <w:r w:rsidR="00D502C2" w:rsidRPr="00326575">
        <w:rPr>
          <w:noProof/>
        </w:rPr>
        <w:t>,</w:t>
      </w:r>
      <w:r w:rsidR="00EB7326">
        <w:rPr>
          <w:noProof/>
        </w:rPr>
        <w:t xml:space="preserve"> diabetis</w:t>
      </w:r>
      <w:r w:rsidR="00D502C2" w:rsidRPr="00326575">
        <w:rPr>
          <w:noProof/>
        </w:rPr>
        <w:t xml:space="preserve"> and obesity (</w:t>
      </w:r>
      <w:r w:rsidR="00D502C2" w:rsidRPr="00326575">
        <w:rPr>
          <w:rStyle w:val="FootnoteReference"/>
          <w:noProof/>
        </w:rPr>
        <w:footnoteReference w:id="246"/>
      </w:r>
      <w:r w:rsidR="00D502C2" w:rsidRPr="00326575">
        <w:rPr>
          <w:noProof/>
        </w:rPr>
        <w:t>). This has also significant economic benefits on health costs. For example, adopting an energy-balanced, low-meat dietary pattern is associated with large reductions in premature mortality, both for a flexitarian (-19%) and a vegan (-22%) diet (</w:t>
      </w:r>
      <w:r w:rsidR="00D502C2" w:rsidRPr="00326575">
        <w:rPr>
          <w:rStyle w:val="FootnoteReference"/>
          <w:noProof/>
        </w:rPr>
        <w:footnoteReference w:id="247"/>
      </w:r>
      <w:r w:rsidR="00D502C2" w:rsidRPr="00326575">
        <w:rPr>
          <w:noProof/>
        </w:rPr>
        <w:t xml:space="preserve">). </w:t>
      </w:r>
    </w:p>
    <w:p w14:paraId="1BDBEA1C" w14:textId="67A5364B" w:rsidR="00F31DEA" w:rsidRPr="00990695" w:rsidRDefault="008236CB" w:rsidP="00990695">
      <w:pPr>
        <w:rPr>
          <w:noProof/>
        </w:rPr>
      </w:pPr>
      <w:r>
        <w:rPr>
          <w:noProof/>
        </w:rPr>
        <w:t>The</w:t>
      </w:r>
      <w:r w:rsidR="00D502C2" w:rsidRPr="00326575">
        <w:rPr>
          <w:noProof/>
        </w:rPr>
        <w:t xml:space="preserve"> reduction of meat consumption (i.e.</w:t>
      </w:r>
      <w:r w:rsidR="00D502C2">
        <w:rPr>
          <w:noProof/>
        </w:rPr>
        <w:t>,</w:t>
      </w:r>
      <w:r w:rsidR="00D502C2" w:rsidRPr="00326575">
        <w:rPr>
          <w:noProof/>
        </w:rPr>
        <w:t xml:space="preserve"> shift to more plant-based diets) </w:t>
      </w:r>
      <w:r w:rsidR="00E22FC4">
        <w:rPr>
          <w:noProof/>
        </w:rPr>
        <w:t>and fertiliser application</w:t>
      </w:r>
      <w:r w:rsidR="00D502C2" w:rsidRPr="00326575">
        <w:rPr>
          <w:noProof/>
        </w:rPr>
        <w:t xml:space="preserve"> </w:t>
      </w:r>
      <w:r>
        <w:rPr>
          <w:noProof/>
        </w:rPr>
        <w:t xml:space="preserve">in LIFE </w:t>
      </w:r>
      <w:r w:rsidR="00D502C2" w:rsidRPr="00326575">
        <w:rPr>
          <w:noProof/>
        </w:rPr>
        <w:t>also generates significant co-benefits for air quality</w:t>
      </w:r>
      <w:r w:rsidR="00D502C2">
        <w:rPr>
          <w:noProof/>
        </w:rPr>
        <w:t xml:space="preserve">, since it reduces methane emissions, a short-lived climate forcer but also a precursor of ozone </w:t>
      </w:r>
      <w:r w:rsidR="00D502C2" w:rsidRPr="00326575">
        <w:rPr>
          <w:noProof/>
          <w:vertAlign w:val="superscript"/>
        </w:rPr>
        <w:t>(</w:t>
      </w:r>
      <w:r w:rsidR="00D502C2" w:rsidRPr="00326575">
        <w:rPr>
          <w:noProof/>
          <w:vertAlign w:val="superscript"/>
        </w:rPr>
        <w:footnoteReference w:id="248"/>
      </w:r>
      <w:r w:rsidR="00D502C2" w:rsidRPr="00326575">
        <w:rPr>
          <w:noProof/>
          <w:vertAlign w:val="superscript"/>
        </w:rPr>
        <w:t>)</w:t>
      </w:r>
      <w:r>
        <w:rPr>
          <w:noProof/>
        </w:rPr>
        <w:t>, and ammonia emissions</w:t>
      </w:r>
      <w:r w:rsidR="00D502C2" w:rsidRPr="00326575">
        <w:rPr>
          <w:noProof/>
        </w:rPr>
        <w:t xml:space="preserve">. </w:t>
      </w:r>
      <w:r>
        <w:rPr>
          <w:noProof/>
        </w:rPr>
        <w:t>Hence</w:t>
      </w:r>
      <w:r w:rsidR="00D502C2">
        <w:rPr>
          <w:noProof/>
        </w:rPr>
        <w:t>,</w:t>
      </w:r>
      <w:r w:rsidR="00D502C2" w:rsidRPr="00326575">
        <w:rPr>
          <w:noProof/>
        </w:rPr>
        <w:t xml:space="preserve"> an increase in plant-based diets in the EU is improving human health both directly through more healthy diets and indirectly through cleaner air, which creates economic benefits from improved human health that </w:t>
      </w:r>
      <w:r w:rsidR="004518E2">
        <w:rPr>
          <w:noProof/>
        </w:rPr>
        <w:t>would</w:t>
      </w:r>
      <w:r w:rsidR="008050A6">
        <w:rPr>
          <w:noProof/>
        </w:rPr>
        <w:t xml:space="preserve"> compensate</w:t>
      </w:r>
      <w:r w:rsidR="00D502C2" w:rsidRPr="00326575">
        <w:rPr>
          <w:noProof/>
        </w:rPr>
        <w:t xml:space="preserve"> </w:t>
      </w:r>
      <w:r w:rsidR="004518E2">
        <w:rPr>
          <w:noProof/>
        </w:rPr>
        <w:t xml:space="preserve">some part of the </w:t>
      </w:r>
      <w:r w:rsidR="00D502C2" w:rsidRPr="00326575">
        <w:rPr>
          <w:noProof/>
        </w:rPr>
        <w:t>economic losses in agricultural sector </w:t>
      </w:r>
      <w:r w:rsidR="00D502C2" w:rsidRPr="00326575">
        <w:rPr>
          <w:noProof/>
          <w:vertAlign w:val="superscript"/>
        </w:rPr>
        <w:t>(</w:t>
      </w:r>
      <w:r w:rsidR="00D502C2" w:rsidRPr="00326575">
        <w:rPr>
          <w:noProof/>
          <w:vertAlign w:val="superscript"/>
        </w:rPr>
        <w:footnoteReference w:id="249"/>
      </w:r>
      <w:r w:rsidR="00D502C2" w:rsidRPr="00326575">
        <w:rPr>
          <w:noProof/>
          <w:vertAlign w:val="superscript"/>
        </w:rPr>
        <w:t>)</w:t>
      </w:r>
      <w:r w:rsidR="00D502C2" w:rsidRPr="00326575">
        <w:rPr>
          <w:noProof/>
        </w:rPr>
        <w:t>.</w:t>
      </w:r>
      <w:r w:rsidR="00D502C2" w:rsidRPr="009C3069">
        <w:rPr>
          <w:noProof/>
        </w:rPr>
        <w:t xml:space="preserve"> </w:t>
      </w:r>
      <w:bookmarkEnd w:id="555"/>
    </w:p>
    <w:p w14:paraId="05E71A2E" w14:textId="69B67483" w:rsidR="00664CEA" w:rsidRPr="00680783" w:rsidRDefault="00664CEA" w:rsidP="00680783">
      <w:pPr>
        <w:pStyle w:val="Heading3"/>
        <w:rPr>
          <w:noProof/>
        </w:rPr>
      </w:pPr>
      <w:bookmarkStart w:id="581" w:name="_Ref141190805"/>
      <w:bookmarkStart w:id="582" w:name="_Toc148605631"/>
      <w:bookmarkStart w:id="583" w:name="_Toc157692077"/>
      <w:bookmarkEnd w:id="578"/>
      <w:r w:rsidRPr="00680783">
        <w:rPr>
          <w:noProof/>
        </w:rPr>
        <w:t>Raw materials</w:t>
      </w:r>
      <w:bookmarkEnd w:id="581"/>
      <w:bookmarkEnd w:id="582"/>
      <w:bookmarkEnd w:id="583"/>
      <w:r w:rsidRPr="00680783">
        <w:rPr>
          <w:noProof/>
        </w:rPr>
        <w:t xml:space="preserve"> </w:t>
      </w:r>
    </w:p>
    <w:p w14:paraId="76706BC6" w14:textId="727B530D" w:rsidR="00670F6D" w:rsidRDefault="007D1506" w:rsidP="009D23DF">
      <w:pPr>
        <w:keepNext/>
        <w:rPr>
          <w:noProof/>
        </w:rPr>
      </w:pPr>
      <w:r>
        <w:rPr>
          <w:noProof/>
        </w:rPr>
        <w:t>The demand for raw material is expected to gro</w:t>
      </w:r>
      <w:r w:rsidR="00582237">
        <w:rPr>
          <w:noProof/>
        </w:rPr>
        <w:t>w considerably by 2050</w:t>
      </w:r>
      <w:r w:rsidR="00307781" w:rsidRPr="00307781">
        <w:rPr>
          <w:rFonts w:cs="Times New Roman"/>
          <w:noProof/>
        </w:rPr>
        <w:t> (</w:t>
      </w:r>
      <w:r w:rsidR="00307781">
        <w:rPr>
          <w:rStyle w:val="FootnoteReference"/>
          <w:noProof/>
        </w:rPr>
        <w:footnoteReference w:id="250"/>
      </w:r>
      <w:r w:rsidR="00307781">
        <w:rPr>
          <w:rFonts w:cs="Times New Roman"/>
          <w:noProof/>
        </w:rPr>
        <w:t>)</w:t>
      </w:r>
      <w:r w:rsidR="00670F6D">
        <w:rPr>
          <w:rFonts w:cs="Times New Roman"/>
          <w:noProof/>
        </w:rPr>
        <w:t>,</w:t>
      </w:r>
      <w:r w:rsidR="006041CF">
        <w:rPr>
          <w:rFonts w:cs="Times New Roman"/>
          <w:noProof/>
        </w:rPr>
        <w:t xml:space="preserve"> and this </w:t>
      </w:r>
      <w:r w:rsidR="00670F6D" w:rsidRPr="00CA74D0">
        <w:rPr>
          <w:noProof/>
        </w:rPr>
        <w:t>growth in raw materials use is likely to increase the pressure on the planet resources</w:t>
      </w:r>
      <w:r w:rsidR="00670F6D">
        <w:rPr>
          <w:noProof/>
        </w:rPr>
        <w:t>.</w:t>
      </w:r>
    </w:p>
    <w:p w14:paraId="15801134" w14:textId="65383AC1" w:rsidR="00593BDC" w:rsidRPr="00593BDC" w:rsidRDefault="00670F6D" w:rsidP="00593BDC">
      <w:pPr>
        <w:rPr>
          <w:rFonts w:cs="Times New Roman"/>
          <w:noProof/>
        </w:rPr>
      </w:pPr>
      <w:r>
        <w:rPr>
          <w:rFonts w:cs="Times New Roman"/>
          <w:noProof/>
        </w:rPr>
        <w:t>The material growth</w:t>
      </w:r>
      <w:r w:rsidR="006041CF">
        <w:rPr>
          <w:rFonts w:cs="Times New Roman"/>
          <w:noProof/>
        </w:rPr>
        <w:t xml:space="preserve"> is expected to be driven only partially by the climate transition</w:t>
      </w:r>
      <w:r w:rsidR="00B01C73">
        <w:rPr>
          <w:rFonts w:cs="Times New Roman"/>
          <w:noProof/>
        </w:rPr>
        <w:t xml:space="preserve">, with the rest </w:t>
      </w:r>
      <w:r w:rsidR="006D77A8">
        <w:rPr>
          <w:rFonts w:cs="Times New Roman"/>
          <w:noProof/>
        </w:rPr>
        <w:t xml:space="preserve">is </w:t>
      </w:r>
      <w:r w:rsidR="00D93ABC">
        <w:rPr>
          <w:rFonts w:cs="Times New Roman"/>
          <w:noProof/>
        </w:rPr>
        <w:t xml:space="preserve">distributed among the electronic sector, the </w:t>
      </w:r>
      <w:r w:rsidR="00947435">
        <w:rPr>
          <w:rFonts w:cs="Times New Roman"/>
          <w:noProof/>
        </w:rPr>
        <w:t xml:space="preserve">automotive and building sector and </w:t>
      </w:r>
      <w:r w:rsidR="003E3988">
        <w:rPr>
          <w:rFonts w:cs="Times New Roman"/>
          <w:noProof/>
        </w:rPr>
        <w:t xml:space="preserve">production of </w:t>
      </w:r>
      <w:r w:rsidR="00947435">
        <w:rPr>
          <w:rFonts w:cs="Times New Roman"/>
          <w:noProof/>
        </w:rPr>
        <w:t>alloys for different applications</w:t>
      </w:r>
      <w:r w:rsidR="003E3988">
        <w:rPr>
          <w:rFonts w:cs="Times New Roman"/>
          <w:noProof/>
        </w:rPr>
        <w:t xml:space="preserve">. </w:t>
      </w:r>
      <w:r w:rsidR="00F323D6">
        <w:rPr>
          <w:rFonts w:cs="Times New Roman"/>
          <w:noProof/>
        </w:rPr>
        <w:t xml:space="preserve">The share of the raw material </w:t>
      </w:r>
      <w:r w:rsidR="00DD17EA">
        <w:rPr>
          <w:rFonts w:cs="Times New Roman"/>
          <w:noProof/>
        </w:rPr>
        <w:t xml:space="preserve">increase </w:t>
      </w:r>
      <w:r w:rsidR="00F323D6">
        <w:rPr>
          <w:rFonts w:cs="Times New Roman"/>
          <w:noProof/>
        </w:rPr>
        <w:t xml:space="preserve">attributed to </w:t>
      </w:r>
      <w:r w:rsidR="00DD17EA">
        <w:rPr>
          <w:rFonts w:cs="Times New Roman"/>
          <w:noProof/>
        </w:rPr>
        <w:t xml:space="preserve">climate actions depends strongly on </w:t>
      </w:r>
      <w:r w:rsidR="00F323D6">
        <w:rPr>
          <w:rFonts w:cs="Times New Roman"/>
          <w:noProof/>
        </w:rPr>
        <w:t xml:space="preserve">the </w:t>
      </w:r>
      <w:r w:rsidR="00DD17EA">
        <w:rPr>
          <w:rFonts w:cs="Times New Roman"/>
          <w:noProof/>
        </w:rPr>
        <w:t>material.</w:t>
      </w:r>
      <w:r w:rsidR="0001778C">
        <w:rPr>
          <w:rFonts w:cs="Times New Roman"/>
          <w:noProof/>
        </w:rPr>
        <w:t xml:space="preserve"> </w:t>
      </w:r>
      <w:r w:rsidR="00011406">
        <w:rPr>
          <w:rFonts w:cs="Times New Roman"/>
          <w:noProof/>
        </w:rPr>
        <w:t xml:space="preserve">BNEF calculates that </w:t>
      </w:r>
      <w:r w:rsidR="00F06A59">
        <w:rPr>
          <w:rFonts w:cs="Times New Roman"/>
          <w:noProof/>
        </w:rPr>
        <w:t xml:space="preserve">the share of manganese, and silver needed for clean energy use </w:t>
      </w:r>
      <w:r w:rsidR="00695A72">
        <w:rPr>
          <w:rFonts w:cs="Times New Roman"/>
          <w:noProof/>
        </w:rPr>
        <w:t>are responsible for less than 25% of the total demand increase</w:t>
      </w:r>
      <w:r w:rsidR="002D40BB">
        <w:rPr>
          <w:rFonts w:cs="Times New Roman"/>
          <w:noProof/>
        </w:rPr>
        <w:t xml:space="preserve"> </w:t>
      </w:r>
      <w:r w:rsidR="008577B7">
        <w:rPr>
          <w:rFonts w:cs="Times New Roman"/>
          <w:noProof/>
        </w:rPr>
        <w:t xml:space="preserve">by 2050 </w:t>
      </w:r>
      <w:r w:rsidR="00695A72" w:rsidRPr="00B90CB4">
        <w:rPr>
          <w:noProof/>
        </w:rPr>
        <w:t>(</w:t>
      </w:r>
      <w:r w:rsidR="00695A72" w:rsidRPr="00B90CB4">
        <w:rPr>
          <w:rStyle w:val="FootnoteReference"/>
          <w:noProof/>
        </w:rPr>
        <w:footnoteReference w:id="251"/>
      </w:r>
      <w:r w:rsidR="00695A72" w:rsidRPr="00B90CB4">
        <w:rPr>
          <w:noProof/>
        </w:rPr>
        <w:t>)</w:t>
      </w:r>
      <w:r w:rsidR="006D77A8">
        <w:rPr>
          <w:rFonts w:cs="Times New Roman"/>
          <w:noProof/>
        </w:rPr>
        <w:t>, while t</w:t>
      </w:r>
      <w:r w:rsidR="00DF3F15">
        <w:rPr>
          <w:rFonts w:cs="Times New Roman"/>
          <w:noProof/>
        </w:rPr>
        <w:t xml:space="preserve">he </w:t>
      </w:r>
      <w:r w:rsidR="008577B7">
        <w:rPr>
          <w:rFonts w:cs="Times New Roman"/>
          <w:noProof/>
        </w:rPr>
        <w:t>IEA indicates that the share of nickel</w:t>
      </w:r>
      <w:r w:rsidR="00654EA5">
        <w:rPr>
          <w:rFonts w:cs="Times New Roman"/>
          <w:noProof/>
        </w:rPr>
        <w:t xml:space="preserve">, cobalt </w:t>
      </w:r>
      <w:r w:rsidR="008577B7">
        <w:rPr>
          <w:rFonts w:cs="Times New Roman"/>
          <w:noProof/>
        </w:rPr>
        <w:t xml:space="preserve">and copper </w:t>
      </w:r>
      <w:r w:rsidR="00DF3F15">
        <w:rPr>
          <w:rFonts w:cs="Times New Roman"/>
          <w:noProof/>
        </w:rPr>
        <w:t xml:space="preserve">needed by the energy </w:t>
      </w:r>
      <w:r w:rsidR="00654EA5">
        <w:rPr>
          <w:rFonts w:cs="Times New Roman"/>
          <w:noProof/>
        </w:rPr>
        <w:t xml:space="preserve">transition will represent per each of these materials less than 40% </w:t>
      </w:r>
      <w:r w:rsidR="00F41C54">
        <w:rPr>
          <w:rFonts w:cs="Times New Roman"/>
          <w:noProof/>
        </w:rPr>
        <w:t>of total demand in 2040</w:t>
      </w:r>
      <w:r w:rsidR="00C32928" w:rsidRPr="00C32928">
        <w:rPr>
          <w:rFonts w:cs="Times New Roman"/>
          <w:noProof/>
        </w:rPr>
        <w:t> (</w:t>
      </w:r>
      <w:r w:rsidR="00C32928">
        <w:rPr>
          <w:rStyle w:val="FootnoteReference"/>
          <w:rFonts w:cs="Times New Roman"/>
          <w:noProof/>
        </w:rPr>
        <w:footnoteReference w:id="252"/>
      </w:r>
      <w:r w:rsidR="00C32928">
        <w:rPr>
          <w:rFonts w:cs="Times New Roman"/>
          <w:noProof/>
        </w:rPr>
        <w:t>)</w:t>
      </w:r>
      <w:r w:rsidR="006D77A8">
        <w:rPr>
          <w:rFonts w:cs="Times New Roman"/>
          <w:noProof/>
        </w:rPr>
        <w:t>.</w:t>
      </w:r>
      <w:r w:rsidR="00FC2541">
        <w:rPr>
          <w:rFonts w:cs="Times New Roman"/>
          <w:noProof/>
        </w:rPr>
        <w:t xml:space="preserve"> </w:t>
      </w:r>
      <w:r w:rsidR="00C74AA8">
        <w:rPr>
          <w:rFonts w:cs="Times New Roman"/>
          <w:noProof/>
        </w:rPr>
        <w:t>T</w:t>
      </w:r>
      <w:r w:rsidR="00FC2541">
        <w:rPr>
          <w:rFonts w:cs="Times New Roman"/>
          <w:noProof/>
        </w:rPr>
        <w:t>he IEA</w:t>
      </w:r>
      <w:r w:rsidR="00C74AA8">
        <w:rPr>
          <w:rFonts w:cs="Times New Roman"/>
          <w:noProof/>
        </w:rPr>
        <w:t xml:space="preserve"> estimates that</w:t>
      </w:r>
      <w:r w:rsidR="00593BDC" w:rsidRPr="00593BDC">
        <w:rPr>
          <w:noProof/>
        </w:rPr>
        <w:t xml:space="preserve"> </w:t>
      </w:r>
      <w:r w:rsidR="00593BDC" w:rsidRPr="00593BDC">
        <w:rPr>
          <w:rFonts w:cs="Times New Roman"/>
          <w:noProof/>
        </w:rPr>
        <w:t>clean energy technologies and infrastructure account for</w:t>
      </w:r>
      <w:r w:rsidR="006C28B5">
        <w:rPr>
          <w:rFonts w:cs="Times New Roman"/>
          <w:noProof/>
        </w:rPr>
        <w:t xml:space="preserve"> </w:t>
      </w:r>
      <w:r w:rsidR="006C28B5" w:rsidRPr="006C28B5">
        <w:rPr>
          <w:rFonts w:cs="Times New Roman"/>
          <w:noProof/>
        </w:rPr>
        <w:t>2-3% of cement and steel demand</w:t>
      </w:r>
      <w:r w:rsidR="006C28B5">
        <w:rPr>
          <w:rFonts w:cs="Times New Roman"/>
          <w:noProof/>
        </w:rPr>
        <w:t xml:space="preserve"> today, and this value will increase to only about 2% (for cement) and 7% (for steel) in 2050</w:t>
      </w:r>
      <w:r w:rsidR="006C28B5" w:rsidRPr="006C28B5">
        <w:rPr>
          <w:rFonts w:cs="Times New Roman"/>
          <w:noProof/>
        </w:rPr>
        <w:t> (</w:t>
      </w:r>
      <w:r w:rsidR="006C28B5">
        <w:rPr>
          <w:rStyle w:val="FootnoteReference"/>
          <w:rFonts w:cs="Times New Roman"/>
          <w:noProof/>
        </w:rPr>
        <w:footnoteReference w:id="253"/>
      </w:r>
      <w:r w:rsidR="006C28B5">
        <w:rPr>
          <w:rFonts w:cs="Times New Roman"/>
          <w:noProof/>
        </w:rPr>
        <w:t>).</w:t>
      </w:r>
    </w:p>
    <w:p w14:paraId="4C191C7A" w14:textId="13BE6ADB" w:rsidR="00456083" w:rsidRPr="00CA74D0" w:rsidRDefault="00670F6D" w:rsidP="00DD648E">
      <w:pPr>
        <w:rPr>
          <w:noProof/>
        </w:rPr>
      </w:pPr>
      <w:r>
        <w:rPr>
          <w:noProof/>
        </w:rPr>
        <w:t>Furthermore, c</w:t>
      </w:r>
      <w:r w:rsidR="00456083" w:rsidRPr="00CA74D0">
        <w:rPr>
          <w:noProof/>
        </w:rPr>
        <w:t xml:space="preserve">limate policy, together with </w:t>
      </w:r>
      <w:r w:rsidR="0075381A" w:rsidRPr="00CA74D0">
        <w:rPr>
          <w:noProof/>
        </w:rPr>
        <w:t>increase material efficiency, c</w:t>
      </w:r>
      <w:r w:rsidR="00456083" w:rsidRPr="00CA74D0">
        <w:rPr>
          <w:noProof/>
        </w:rPr>
        <w:t xml:space="preserve">ircular </w:t>
      </w:r>
      <w:r w:rsidR="0075381A" w:rsidRPr="00CA74D0">
        <w:rPr>
          <w:noProof/>
        </w:rPr>
        <w:t>e</w:t>
      </w:r>
      <w:r w:rsidR="00456083" w:rsidRPr="00CA74D0">
        <w:rPr>
          <w:noProof/>
        </w:rPr>
        <w:t xml:space="preserve">conomy actions </w:t>
      </w:r>
      <w:r w:rsidR="00C8641E" w:rsidRPr="00CA74D0">
        <w:rPr>
          <w:noProof/>
        </w:rPr>
        <w:t>and possible sufficiency me</w:t>
      </w:r>
      <w:r w:rsidR="009654C2" w:rsidRPr="00CA74D0">
        <w:rPr>
          <w:noProof/>
        </w:rPr>
        <w:t>a</w:t>
      </w:r>
      <w:r w:rsidR="00C8641E" w:rsidRPr="00CA74D0">
        <w:rPr>
          <w:noProof/>
        </w:rPr>
        <w:t>sure</w:t>
      </w:r>
      <w:r w:rsidR="00911010" w:rsidRPr="00CA74D0">
        <w:rPr>
          <w:noProof/>
        </w:rPr>
        <w:t>s</w:t>
      </w:r>
      <w:r w:rsidR="00C8641E" w:rsidRPr="00CA74D0">
        <w:rPr>
          <w:noProof/>
        </w:rPr>
        <w:t xml:space="preserve"> </w:t>
      </w:r>
      <w:r w:rsidR="00456083" w:rsidRPr="00CA74D0">
        <w:rPr>
          <w:noProof/>
        </w:rPr>
        <w:t xml:space="preserve">can create synergies to </w:t>
      </w:r>
      <w:r w:rsidR="006E68D3" w:rsidRPr="00CA74D0">
        <w:rPr>
          <w:noProof/>
        </w:rPr>
        <w:t>r</w:t>
      </w:r>
      <w:r w:rsidR="009654C2" w:rsidRPr="00CA74D0">
        <w:rPr>
          <w:noProof/>
        </w:rPr>
        <w:t>educ</w:t>
      </w:r>
      <w:r w:rsidR="006E68D3" w:rsidRPr="00CA74D0">
        <w:rPr>
          <w:noProof/>
        </w:rPr>
        <w:t>e</w:t>
      </w:r>
      <w:r w:rsidR="009654C2" w:rsidRPr="00CA74D0">
        <w:rPr>
          <w:noProof/>
        </w:rPr>
        <w:t xml:space="preserve"> </w:t>
      </w:r>
      <w:r w:rsidR="002359F9" w:rsidRPr="00CA74D0">
        <w:rPr>
          <w:noProof/>
        </w:rPr>
        <w:t>the need of</w:t>
      </w:r>
      <w:r w:rsidR="009654C2" w:rsidRPr="00CA74D0">
        <w:rPr>
          <w:noProof/>
        </w:rPr>
        <w:t xml:space="preserve"> primary raw material</w:t>
      </w:r>
      <w:r w:rsidR="002359F9" w:rsidRPr="00CA74D0">
        <w:rPr>
          <w:noProof/>
        </w:rPr>
        <w:t>s and pressure on planet resources to produce them</w:t>
      </w:r>
      <w:r w:rsidR="001C6668" w:rsidRPr="00CA74D0">
        <w:rPr>
          <w:rFonts w:cs="Times New Roman"/>
          <w:noProof/>
        </w:rPr>
        <w:t> (</w:t>
      </w:r>
      <w:r w:rsidR="001C6668" w:rsidRPr="00CA74D0">
        <w:rPr>
          <w:rStyle w:val="FootnoteReference"/>
          <w:noProof/>
        </w:rPr>
        <w:footnoteReference w:id="254"/>
      </w:r>
      <w:r w:rsidR="001C6668" w:rsidRPr="00CA74D0">
        <w:rPr>
          <w:rFonts w:cs="Times New Roman"/>
          <w:noProof/>
        </w:rPr>
        <w:t>)</w:t>
      </w:r>
      <w:r w:rsidR="00F758E9" w:rsidRPr="00CA74D0">
        <w:rPr>
          <w:noProof/>
        </w:rPr>
        <w:t xml:space="preserve">. </w:t>
      </w:r>
    </w:p>
    <w:p w14:paraId="7B8D5431" w14:textId="7865048A" w:rsidR="000049A4" w:rsidRPr="00CA74D0" w:rsidRDefault="00C17127" w:rsidP="00AD0389">
      <w:pPr>
        <w:rPr>
          <w:noProof/>
        </w:rPr>
      </w:pPr>
      <w:r w:rsidRPr="00CA74D0">
        <w:rPr>
          <w:noProof/>
        </w:rPr>
        <w:t xml:space="preserve">The IEA estimates that most of the growth </w:t>
      </w:r>
      <w:r w:rsidR="00857A81" w:rsidRPr="00CA74D0">
        <w:rPr>
          <w:noProof/>
        </w:rPr>
        <w:t xml:space="preserve">in the total global material demand </w:t>
      </w:r>
      <w:r w:rsidR="009A338A" w:rsidRPr="00CA74D0">
        <w:rPr>
          <w:noProof/>
        </w:rPr>
        <w:t xml:space="preserve">associated to clean technologies and infrastructure </w:t>
      </w:r>
      <w:r w:rsidR="00857A81" w:rsidRPr="00CA74D0">
        <w:rPr>
          <w:noProof/>
        </w:rPr>
        <w:t xml:space="preserve">in the NZE scenario will occur between </w:t>
      </w:r>
      <w:r w:rsidR="004D41CB" w:rsidRPr="00CA74D0">
        <w:rPr>
          <w:noProof/>
        </w:rPr>
        <w:t xml:space="preserve">2021 and 2030, while </w:t>
      </w:r>
      <w:r w:rsidR="002A5280" w:rsidRPr="00CA74D0">
        <w:rPr>
          <w:noProof/>
        </w:rPr>
        <w:t>a</w:t>
      </w:r>
      <w:r w:rsidR="0099340A" w:rsidRPr="00CA74D0">
        <w:rPr>
          <w:noProof/>
        </w:rPr>
        <w:t>fter 2030, growth in demand is much more modest, despite the continuously increasing of the in-use stocks of these materials</w:t>
      </w:r>
      <w:r w:rsidR="002A5280" w:rsidRPr="00CA74D0">
        <w:rPr>
          <w:noProof/>
        </w:rPr>
        <w:t> (</w:t>
      </w:r>
      <w:r w:rsidR="002A5280" w:rsidRPr="00CA74D0">
        <w:rPr>
          <w:rStyle w:val="FootnoteReference"/>
          <w:noProof/>
        </w:rPr>
        <w:footnoteReference w:id="255"/>
      </w:r>
      <w:r w:rsidR="002A5280" w:rsidRPr="00CA74D0">
        <w:rPr>
          <w:noProof/>
        </w:rPr>
        <w:t>)</w:t>
      </w:r>
      <w:r w:rsidR="0099340A" w:rsidRPr="00CA74D0">
        <w:rPr>
          <w:noProof/>
        </w:rPr>
        <w:t xml:space="preserve">. </w:t>
      </w:r>
      <w:r w:rsidR="00031E61" w:rsidRPr="00CA74D0">
        <w:rPr>
          <w:noProof/>
        </w:rPr>
        <w:t xml:space="preserve">This </w:t>
      </w:r>
      <w:r w:rsidR="00757727" w:rsidRPr="00CA74D0">
        <w:rPr>
          <w:noProof/>
        </w:rPr>
        <w:t>is attributed to several factors</w:t>
      </w:r>
      <w:r w:rsidR="00823273">
        <w:rPr>
          <w:noProof/>
        </w:rPr>
        <w:t xml:space="preserve"> often associated to direct climate policy or </w:t>
      </w:r>
      <w:r w:rsidR="000E5408">
        <w:rPr>
          <w:noProof/>
        </w:rPr>
        <w:t>related</w:t>
      </w:r>
      <w:r w:rsidR="00823273">
        <w:rPr>
          <w:noProof/>
        </w:rPr>
        <w:t xml:space="preserve"> measures</w:t>
      </w:r>
      <w:r w:rsidR="00757727" w:rsidRPr="00CA74D0">
        <w:rPr>
          <w:noProof/>
        </w:rPr>
        <w:t xml:space="preserve">. </w:t>
      </w:r>
      <w:r w:rsidR="00660DE6" w:rsidRPr="00CA74D0">
        <w:rPr>
          <w:noProof/>
        </w:rPr>
        <w:t>T</w:t>
      </w:r>
      <w:r w:rsidR="00031E61" w:rsidRPr="00CA74D0">
        <w:rPr>
          <w:noProof/>
        </w:rPr>
        <w:t>echnology</w:t>
      </w:r>
      <w:r w:rsidR="001E3D68" w:rsidRPr="00CA74D0">
        <w:rPr>
          <w:noProof/>
        </w:rPr>
        <w:t xml:space="preserve"> innovation accelerates </w:t>
      </w:r>
      <w:r w:rsidR="005D0101" w:rsidRPr="00CA74D0">
        <w:rPr>
          <w:noProof/>
        </w:rPr>
        <w:t>quickly with economy of scale</w:t>
      </w:r>
      <w:r w:rsidR="00EC5400" w:rsidRPr="00CA74D0">
        <w:rPr>
          <w:noProof/>
        </w:rPr>
        <w:t> (</w:t>
      </w:r>
      <w:r w:rsidR="00EC5400" w:rsidRPr="00CA74D0">
        <w:rPr>
          <w:rStyle w:val="FootnoteReference"/>
          <w:noProof/>
        </w:rPr>
        <w:footnoteReference w:id="256"/>
      </w:r>
      <w:r w:rsidR="00EC5400" w:rsidRPr="00CA74D0">
        <w:rPr>
          <w:noProof/>
        </w:rPr>
        <w:t>)</w:t>
      </w:r>
      <w:r w:rsidR="00542107" w:rsidRPr="00CA74D0">
        <w:rPr>
          <w:noProof/>
        </w:rPr>
        <w:t xml:space="preserve">, leading for example to </w:t>
      </w:r>
      <w:r w:rsidR="00823273">
        <w:rPr>
          <w:noProof/>
        </w:rPr>
        <w:t xml:space="preserve">more </w:t>
      </w:r>
      <w:r w:rsidR="00EA7F8B" w:rsidRPr="00CA74D0">
        <w:rPr>
          <w:noProof/>
        </w:rPr>
        <w:t>energy</w:t>
      </w:r>
      <w:r w:rsidR="00823273">
        <w:rPr>
          <w:noProof/>
        </w:rPr>
        <w:t>-dense</w:t>
      </w:r>
      <w:r w:rsidR="00EA7F8B" w:rsidRPr="00CA74D0">
        <w:rPr>
          <w:noProof/>
        </w:rPr>
        <w:t xml:space="preserve"> batteries </w:t>
      </w:r>
      <w:r w:rsidR="000E5408">
        <w:rPr>
          <w:noProof/>
        </w:rPr>
        <w:t>(</w:t>
      </w:r>
      <w:r w:rsidR="00823273">
        <w:rPr>
          <w:noProof/>
        </w:rPr>
        <w:t>requiring</w:t>
      </w:r>
      <w:r w:rsidR="00EA7F8B" w:rsidRPr="00CA74D0">
        <w:rPr>
          <w:noProof/>
        </w:rPr>
        <w:t xml:space="preserve"> lower material needs</w:t>
      </w:r>
      <w:r w:rsidR="000E5408">
        <w:rPr>
          <w:noProof/>
        </w:rPr>
        <w:t>)</w:t>
      </w:r>
      <w:r w:rsidR="00EA7F8B" w:rsidRPr="00CA74D0">
        <w:rPr>
          <w:noProof/>
        </w:rPr>
        <w:t xml:space="preserve"> </w:t>
      </w:r>
      <w:r w:rsidR="000E5408">
        <w:rPr>
          <w:noProof/>
        </w:rPr>
        <w:t xml:space="preserve">in a world with higher share of electric vehicles, </w:t>
      </w:r>
      <w:r w:rsidR="00597E5D" w:rsidRPr="00CA74D0">
        <w:rPr>
          <w:noProof/>
        </w:rPr>
        <w:t>or</w:t>
      </w:r>
      <w:r w:rsidR="001A2042" w:rsidRPr="00CA74D0">
        <w:rPr>
          <w:noProof/>
        </w:rPr>
        <w:t xml:space="preserve"> </w:t>
      </w:r>
      <w:r w:rsidR="000E5408">
        <w:rPr>
          <w:noProof/>
        </w:rPr>
        <w:t>faster development of</w:t>
      </w:r>
      <w:r w:rsidR="001A2042" w:rsidRPr="00CA74D0">
        <w:rPr>
          <w:noProof/>
        </w:rPr>
        <w:t xml:space="preserve"> innovative</w:t>
      </w:r>
      <w:r w:rsidR="00597E5D" w:rsidRPr="00CA74D0">
        <w:rPr>
          <w:noProof/>
        </w:rPr>
        <w:t xml:space="preserve"> </w:t>
      </w:r>
      <w:r w:rsidR="001A2042" w:rsidRPr="00CA74D0">
        <w:rPr>
          <w:noProof/>
        </w:rPr>
        <w:t>catalysts reducing the need for platinum group metals in electrolysers</w:t>
      </w:r>
      <w:r w:rsidR="000E5408">
        <w:rPr>
          <w:noProof/>
        </w:rPr>
        <w:t xml:space="preserve"> in a decarbonised energy system requiring hydrogen</w:t>
      </w:r>
      <w:r w:rsidR="001A2042" w:rsidRPr="00CA74D0">
        <w:rPr>
          <w:noProof/>
        </w:rPr>
        <w:t>.</w:t>
      </w:r>
      <w:r w:rsidR="00660DE6" w:rsidRPr="00CA74D0">
        <w:rPr>
          <w:noProof/>
        </w:rPr>
        <w:t xml:space="preserve"> </w:t>
      </w:r>
      <w:r w:rsidR="009B0069" w:rsidRPr="00AD0389">
        <w:rPr>
          <w:noProof/>
        </w:rPr>
        <w:t>Material substitution with low-carbon technologies can also play a role</w:t>
      </w:r>
      <w:r w:rsidR="00AD0389" w:rsidRPr="00AD0389">
        <w:rPr>
          <w:noProof/>
        </w:rPr>
        <w:t xml:space="preserve"> in limiting the increase in material demand the pressure on resources</w:t>
      </w:r>
      <w:r w:rsidR="009B0069" w:rsidRPr="00AD0389">
        <w:rPr>
          <w:noProof/>
        </w:rPr>
        <w:t>. In efforts to reduce demand for nickel, Tesla is producing E</w:t>
      </w:r>
      <w:r w:rsidR="00E466D0" w:rsidRPr="00AD0389">
        <w:rPr>
          <w:noProof/>
        </w:rPr>
        <w:t>v</w:t>
      </w:r>
      <w:r w:rsidR="009B0069" w:rsidRPr="00AD0389">
        <w:rPr>
          <w:noProof/>
        </w:rPr>
        <w:t xml:space="preserve">s with a lithium iron phosphate (LFP) battery that contains no </w:t>
      </w:r>
      <w:r w:rsidR="006C1870" w:rsidRPr="00AD0389">
        <w:rPr>
          <w:noProof/>
        </w:rPr>
        <w:t>nickel and</w:t>
      </w:r>
      <w:r w:rsidR="009B0069" w:rsidRPr="00AD0389">
        <w:rPr>
          <w:noProof/>
        </w:rPr>
        <w:t xml:space="preserve"> have suggested that a large share of the future EV battery market will contain </w:t>
      </w:r>
      <w:r w:rsidR="00C4152F" w:rsidRPr="00AD0389">
        <w:rPr>
          <w:noProof/>
        </w:rPr>
        <w:t>iron-based</w:t>
      </w:r>
      <w:r w:rsidR="009B0069" w:rsidRPr="00AD0389">
        <w:rPr>
          <w:noProof/>
        </w:rPr>
        <w:t xml:space="preserve"> cells rather than nickel based (</w:t>
      </w:r>
      <w:r w:rsidR="009B0069" w:rsidRPr="00AD0389">
        <w:rPr>
          <w:rStyle w:val="FootnoteReference"/>
          <w:noProof/>
        </w:rPr>
        <w:footnoteReference w:id="257"/>
      </w:r>
      <w:r w:rsidR="009B0069" w:rsidRPr="00AD0389">
        <w:rPr>
          <w:noProof/>
        </w:rPr>
        <w:t>). Likewise, efforts to eliminate lithium from batteries have seen battery manufacture CATL announce a sodium-ion EV battery (</w:t>
      </w:r>
      <w:r w:rsidR="009B0069" w:rsidRPr="00AD0389">
        <w:rPr>
          <w:rStyle w:val="FootnoteReference"/>
          <w:noProof/>
        </w:rPr>
        <w:footnoteReference w:id="258"/>
      </w:r>
      <w:r w:rsidR="009B0069" w:rsidRPr="00AD0389">
        <w:rPr>
          <w:noProof/>
        </w:rPr>
        <w:t>).</w:t>
      </w:r>
      <w:r w:rsidR="00AD0389">
        <w:rPr>
          <w:noProof/>
        </w:rPr>
        <w:t xml:space="preserve"> </w:t>
      </w:r>
      <w:r w:rsidR="00660DE6" w:rsidRPr="00CA74D0">
        <w:rPr>
          <w:noProof/>
        </w:rPr>
        <w:t xml:space="preserve">Material efficiency </w:t>
      </w:r>
      <w:r w:rsidR="00A678A3">
        <w:rPr>
          <w:noProof/>
        </w:rPr>
        <w:t>m</w:t>
      </w:r>
      <w:r w:rsidR="00A14FF6">
        <w:rPr>
          <w:noProof/>
        </w:rPr>
        <w:t>easure</w:t>
      </w:r>
      <w:r w:rsidR="00A678A3">
        <w:rPr>
          <w:noProof/>
        </w:rPr>
        <w:t xml:space="preserve"> associated</w:t>
      </w:r>
      <w:r w:rsidR="0098422A" w:rsidRPr="00CA74D0">
        <w:rPr>
          <w:noProof/>
        </w:rPr>
        <w:t xml:space="preserve"> to </w:t>
      </w:r>
      <w:r w:rsidR="00A678A3">
        <w:rPr>
          <w:noProof/>
        </w:rPr>
        <w:t xml:space="preserve">less energy-intensive production methods </w:t>
      </w:r>
      <w:r w:rsidR="00A678A3" w:rsidRPr="00CA74D0">
        <w:rPr>
          <w:noProof/>
        </w:rPr>
        <w:t>reduc</w:t>
      </w:r>
      <w:r w:rsidR="00A678A3">
        <w:rPr>
          <w:noProof/>
        </w:rPr>
        <w:t xml:space="preserve">ing </w:t>
      </w:r>
      <w:r w:rsidR="00A678A3" w:rsidRPr="00CA74D0">
        <w:rPr>
          <w:noProof/>
        </w:rPr>
        <w:t>resource intensity of product</w:t>
      </w:r>
      <w:r w:rsidR="00A14FF6">
        <w:rPr>
          <w:noProof/>
        </w:rPr>
        <w:t>s</w:t>
      </w:r>
      <w:r w:rsidR="008C6841" w:rsidRPr="00CA74D0">
        <w:rPr>
          <w:noProof/>
        </w:rPr>
        <w:t>, w</w:t>
      </w:r>
      <w:r w:rsidR="000049A4" w:rsidRPr="00CA74D0">
        <w:rPr>
          <w:noProof/>
        </w:rPr>
        <w:t>hile providing the same service.</w:t>
      </w:r>
      <w:r w:rsidR="008C6841" w:rsidRPr="00CA74D0">
        <w:rPr>
          <w:noProof/>
        </w:rPr>
        <w:t xml:space="preserve"> </w:t>
      </w:r>
      <w:r w:rsidR="006746F9">
        <w:rPr>
          <w:noProof/>
        </w:rPr>
        <w:t>S</w:t>
      </w:r>
      <w:r w:rsidR="006746F9" w:rsidRPr="00B90CB4">
        <w:rPr>
          <w:noProof/>
        </w:rPr>
        <w:t>ome metals have high potential for</w:t>
      </w:r>
      <w:r w:rsidR="00A14FF6">
        <w:rPr>
          <w:noProof/>
        </w:rPr>
        <w:t xml:space="preserve"> r</w:t>
      </w:r>
      <w:r w:rsidR="00CC316B" w:rsidRPr="00CA74D0">
        <w:rPr>
          <w:noProof/>
        </w:rPr>
        <w:t>ecycling</w:t>
      </w:r>
      <w:r w:rsidR="0098422A" w:rsidRPr="00CA74D0">
        <w:rPr>
          <w:noProof/>
        </w:rPr>
        <w:t xml:space="preserve"> </w:t>
      </w:r>
      <w:r w:rsidR="006746F9" w:rsidRPr="00B90CB4">
        <w:rPr>
          <w:noProof/>
        </w:rPr>
        <w:t xml:space="preserve">in the future. Cobalt and copper are supplied almost completely by primary supply </w:t>
      </w:r>
      <w:r w:rsidR="006C1870" w:rsidRPr="00B90CB4">
        <w:rPr>
          <w:noProof/>
        </w:rPr>
        <w:t>today but</w:t>
      </w:r>
      <w:r w:rsidR="006746F9" w:rsidRPr="00B90CB4">
        <w:rPr>
          <w:noProof/>
        </w:rPr>
        <w:t xml:space="preserve"> has the potential to have over 80% for cobalt and approximately 60% for copper being supplied from recycled metals in 2050</w:t>
      </w:r>
      <w:r w:rsidR="003A1C8F" w:rsidRPr="003A1C8F">
        <w:rPr>
          <w:noProof/>
        </w:rPr>
        <w:t> (</w:t>
      </w:r>
      <w:r w:rsidR="003A1C8F">
        <w:rPr>
          <w:rStyle w:val="FootnoteReference"/>
          <w:noProof/>
        </w:rPr>
        <w:footnoteReference w:id="259"/>
      </w:r>
      <w:r w:rsidR="003A1C8F">
        <w:rPr>
          <w:noProof/>
        </w:rPr>
        <w:t xml:space="preserve">). </w:t>
      </w:r>
      <w:r w:rsidR="00A14FF6">
        <w:rPr>
          <w:noProof/>
        </w:rPr>
        <w:t xml:space="preserve">Circularity actions, </w:t>
      </w:r>
      <w:r w:rsidR="0098422A" w:rsidRPr="00CA74D0">
        <w:rPr>
          <w:noProof/>
        </w:rPr>
        <w:t>and more in gene</w:t>
      </w:r>
      <w:r w:rsidR="00CC316B" w:rsidRPr="00CA74D0">
        <w:rPr>
          <w:noProof/>
        </w:rPr>
        <w:t xml:space="preserve">ral </w:t>
      </w:r>
      <w:r w:rsidR="00A14FF6">
        <w:rPr>
          <w:noProof/>
        </w:rPr>
        <w:t>sufficiency-driven behavioural change</w:t>
      </w:r>
      <w:r w:rsidR="00676472" w:rsidRPr="00CA74D0">
        <w:rPr>
          <w:noProof/>
        </w:rPr>
        <w:t xml:space="preserve"> can </w:t>
      </w:r>
      <w:r w:rsidR="00CC316B" w:rsidRPr="00CA74D0">
        <w:rPr>
          <w:noProof/>
        </w:rPr>
        <w:t xml:space="preserve">decrease </w:t>
      </w:r>
      <w:r w:rsidR="00676472" w:rsidRPr="00CA74D0">
        <w:rPr>
          <w:noProof/>
        </w:rPr>
        <w:t xml:space="preserve">primary </w:t>
      </w:r>
      <w:r w:rsidR="00CC316B" w:rsidRPr="00CA74D0">
        <w:rPr>
          <w:noProof/>
        </w:rPr>
        <w:t xml:space="preserve">demand </w:t>
      </w:r>
      <w:r w:rsidR="00A14FF6">
        <w:rPr>
          <w:noProof/>
        </w:rPr>
        <w:t>of critical materials</w:t>
      </w:r>
      <w:r w:rsidR="00CC316B" w:rsidRPr="00CA74D0">
        <w:rPr>
          <w:noProof/>
        </w:rPr>
        <w:t xml:space="preserve"> in favour of products </w:t>
      </w:r>
      <w:r w:rsidR="00F60967">
        <w:rPr>
          <w:noProof/>
        </w:rPr>
        <w:t>with longer life, repair or products</w:t>
      </w:r>
      <w:r w:rsidR="00CC316B" w:rsidRPr="00CA74D0">
        <w:rPr>
          <w:noProof/>
        </w:rPr>
        <w:t xml:space="preserve"> manufactured from secondary raw materials that stay longer in the market.</w:t>
      </w:r>
    </w:p>
    <w:p w14:paraId="0BB0D0A6" w14:textId="6A9686AE" w:rsidR="00F31DEA" w:rsidRPr="00680783" w:rsidRDefault="00712B69" w:rsidP="00680783">
      <w:pPr>
        <w:pStyle w:val="Heading1"/>
        <w:rPr>
          <w:noProof/>
        </w:rPr>
      </w:pPr>
      <w:bookmarkStart w:id="584" w:name="_Toc148605632"/>
      <w:bookmarkStart w:id="585" w:name="_Toc157692078"/>
      <w:r w:rsidRPr="00680783">
        <w:rPr>
          <w:noProof/>
        </w:rPr>
        <w:t>Socio-economic impacts</w:t>
      </w:r>
      <w:bookmarkEnd w:id="584"/>
      <w:bookmarkEnd w:id="585"/>
    </w:p>
    <w:p w14:paraId="34C659E6" w14:textId="3B564040" w:rsidR="0091399F" w:rsidRDefault="00934F65" w:rsidP="00DD6070">
      <w:pPr>
        <w:rPr>
          <w:noProof/>
        </w:rPr>
      </w:pPr>
      <w:r>
        <w:rPr>
          <w:noProof/>
        </w:rPr>
        <w:t>The options</w:t>
      </w:r>
      <w:r w:rsidR="00730721">
        <w:rPr>
          <w:noProof/>
        </w:rPr>
        <w:t xml:space="preserve"> </w:t>
      </w:r>
      <w:r>
        <w:rPr>
          <w:noProof/>
        </w:rPr>
        <w:t xml:space="preserve">under consideration </w:t>
      </w:r>
      <w:r w:rsidR="002470BE">
        <w:rPr>
          <w:noProof/>
        </w:rPr>
        <w:t xml:space="preserve">for the 2040 target </w:t>
      </w:r>
      <w:r>
        <w:rPr>
          <w:noProof/>
        </w:rPr>
        <w:t xml:space="preserve">in this impact assessment </w:t>
      </w:r>
      <w:r w:rsidR="00052401">
        <w:rPr>
          <w:noProof/>
        </w:rPr>
        <w:t xml:space="preserve">take the legally </w:t>
      </w:r>
      <w:r w:rsidR="00E4674A">
        <w:rPr>
          <w:noProof/>
        </w:rPr>
        <w:t>defined ambition for 2030</w:t>
      </w:r>
      <w:r w:rsidR="0033701E">
        <w:rPr>
          <w:noProof/>
        </w:rPr>
        <w:t xml:space="preserve"> and 2050 as a given.</w:t>
      </w:r>
      <w:r w:rsidR="00B712FD">
        <w:rPr>
          <w:noProof/>
        </w:rPr>
        <w:t xml:space="preserve"> The impact assessment for the 2030 Climate Target Plan</w:t>
      </w:r>
      <w:r w:rsidR="00B712FD" w:rsidRPr="00B712FD">
        <w:rPr>
          <w:noProof/>
        </w:rPr>
        <w:t> (</w:t>
      </w:r>
      <w:r w:rsidR="00B712FD">
        <w:rPr>
          <w:rStyle w:val="FootnoteReference"/>
          <w:noProof/>
        </w:rPr>
        <w:footnoteReference w:id="260"/>
      </w:r>
      <w:r w:rsidR="00B712FD">
        <w:rPr>
          <w:noProof/>
        </w:rPr>
        <w:t>)</w:t>
      </w:r>
      <w:r w:rsidR="003C5F29">
        <w:rPr>
          <w:noProof/>
        </w:rPr>
        <w:t xml:space="preserve"> </w:t>
      </w:r>
      <w:r w:rsidR="00AC45BC">
        <w:rPr>
          <w:noProof/>
        </w:rPr>
        <w:t>made</w:t>
      </w:r>
      <w:r w:rsidR="003C5F29">
        <w:rPr>
          <w:noProof/>
        </w:rPr>
        <w:t xml:space="preserve"> a detailed analysis of the socio-economic impacts</w:t>
      </w:r>
      <w:r w:rsidR="00AC45BC">
        <w:rPr>
          <w:noProof/>
        </w:rPr>
        <w:t xml:space="preserve"> of the achievement of the </w:t>
      </w:r>
      <w:r w:rsidR="00677310">
        <w:rPr>
          <w:noProof/>
        </w:rPr>
        <w:t xml:space="preserve">net GHG reduction </w:t>
      </w:r>
      <w:r w:rsidR="00AC45BC">
        <w:rPr>
          <w:noProof/>
        </w:rPr>
        <w:t xml:space="preserve">55% target </w:t>
      </w:r>
      <w:r w:rsidR="00677310">
        <w:rPr>
          <w:noProof/>
        </w:rPr>
        <w:t>for 2030</w:t>
      </w:r>
      <w:r w:rsidR="00E44631">
        <w:rPr>
          <w:noProof/>
        </w:rPr>
        <w:t xml:space="preserve">. It assessed these impacts in relation to a baseline </w:t>
      </w:r>
      <w:r w:rsidR="009F4E2D">
        <w:rPr>
          <w:noProof/>
        </w:rPr>
        <w:t>defined by the Reference 2020 scenario</w:t>
      </w:r>
      <w:r w:rsidR="0050175B">
        <w:rPr>
          <w:noProof/>
        </w:rPr>
        <w:t xml:space="preserve">, which </w:t>
      </w:r>
      <w:r w:rsidR="00D57B34">
        <w:rPr>
          <w:noProof/>
        </w:rPr>
        <w:t xml:space="preserve">reflects the first national energy and climate plans as submitted by Members States and the </w:t>
      </w:r>
      <w:r w:rsidR="0006062C">
        <w:rPr>
          <w:noProof/>
        </w:rPr>
        <w:t>EU legislation prior to the adoption of the Fit-for-55 proposal</w:t>
      </w:r>
      <w:r w:rsidR="00D57B34">
        <w:rPr>
          <w:noProof/>
        </w:rPr>
        <w:t xml:space="preserve">s. The impact assessment </w:t>
      </w:r>
      <w:r w:rsidR="00C23870">
        <w:rPr>
          <w:noProof/>
        </w:rPr>
        <w:t xml:space="preserve">covered a wide range of issues, from </w:t>
      </w:r>
      <w:r w:rsidR="005C794F">
        <w:rPr>
          <w:noProof/>
        </w:rPr>
        <w:t xml:space="preserve">the </w:t>
      </w:r>
      <w:r w:rsidR="00C23870">
        <w:rPr>
          <w:noProof/>
        </w:rPr>
        <w:t>impact</w:t>
      </w:r>
      <w:r w:rsidR="005C794F">
        <w:rPr>
          <w:noProof/>
        </w:rPr>
        <w:t>s</w:t>
      </w:r>
      <w:r w:rsidR="00C23870">
        <w:rPr>
          <w:noProof/>
        </w:rPr>
        <w:t xml:space="preserve"> on GDP and employment</w:t>
      </w:r>
      <w:r w:rsidR="00792890">
        <w:rPr>
          <w:noProof/>
        </w:rPr>
        <w:t xml:space="preserve"> to</w:t>
      </w:r>
      <w:r w:rsidR="005C794F">
        <w:rPr>
          <w:noProof/>
        </w:rPr>
        <w:t xml:space="preserve"> sectoral transformations, competitiveness and distribution</w:t>
      </w:r>
      <w:r w:rsidR="00792890">
        <w:rPr>
          <w:noProof/>
        </w:rPr>
        <w:t>al effects.</w:t>
      </w:r>
      <w:r w:rsidR="00566D03">
        <w:rPr>
          <w:noProof/>
        </w:rPr>
        <w:t xml:space="preserve"> Issues relating to </w:t>
      </w:r>
      <w:r w:rsidR="00943167">
        <w:rPr>
          <w:noProof/>
        </w:rPr>
        <w:t>impacts on households or competitiveness, among others, were further assessed in the impact assessments that accompanied the legislative proposals of the Fit-for-55 package.</w:t>
      </w:r>
    </w:p>
    <w:p w14:paraId="1470E581" w14:textId="0C4EEBC2" w:rsidR="00380DA3" w:rsidRDefault="00787BA5" w:rsidP="00DD6070">
      <w:pPr>
        <w:rPr>
          <w:noProof/>
        </w:rPr>
      </w:pPr>
      <w:r>
        <w:rPr>
          <w:noProof/>
        </w:rPr>
        <w:t xml:space="preserve">Overall, the impact assessment for the 2030 Climate Target Plan concluded that </w:t>
      </w:r>
      <w:r w:rsidR="00AA49EA">
        <w:rPr>
          <w:noProof/>
        </w:rPr>
        <w:t xml:space="preserve">the </w:t>
      </w:r>
      <w:r w:rsidR="00105094">
        <w:rPr>
          <w:noProof/>
        </w:rPr>
        <w:t xml:space="preserve">55% objective was </w:t>
      </w:r>
      <w:r w:rsidR="00AA19E4">
        <w:rPr>
          <w:noProof/>
        </w:rPr>
        <w:t xml:space="preserve">expected to have only limited impacts on broad macro-economic aggregates, including GDP and total employment. It </w:t>
      </w:r>
      <w:r w:rsidR="00F21B4C">
        <w:rPr>
          <w:noProof/>
        </w:rPr>
        <w:t xml:space="preserve">nevertheless </w:t>
      </w:r>
      <w:r w:rsidR="00AA19E4">
        <w:rPr>
          <w:noProof/>
        </w:rPr>
        <w:t>stressed that the</w:t>
      </w:r>
      <w:r w:rsidR="00F21B4C">
        <w:rPr>
          <w:noProof/>
        </w:rPr>
        <w:t xml:space="preserve"> impacts of the transition </w:t>
      </w:r>
      <w:r w:rsidR="004075F2">
        <w:rPr>
          <w:noProof/>
        </w:rPr>
        <w:t xml:space="preserve">are projected to be significant in terms of sectoral </w:t>
      </w:r>
      <w:r w:rsidR="00DB7AF6">
        <w:rPr>
          <w:noProof/>
        </w:rPr>
        <w:t xml:space="preserve">output and </w:t>
      </w:r>
      <w:r w:rsidR="004075F2">
        <w:rPr>
          <w:noProof/>
        </w:rPr>
        <w:t>employment</w:t>
      </w:r>
      <w:r w:rsidR="005E409F">
        <w:rPr>
          <w:noProof/>
        </w:rPr>
        <w:t>,</w:t>
      </w:r>
      <w:r w:rsidR="004075F2">
        <w:rPr>
          <w:noProof/>
        </w:rPr>
        <w:t xml:space="preserve"> </w:t>
      </w:r>
      <w:r w:rsidR="00DB7AF6">
        <w:rPr>
          <w:noProof/>
        </w:rPr>
        <w:t>investment</w:t>
      </w:r>
      <w:r w:rsidR="005E409F">
        <w:rPr>
          <w:noProof/>
        </w:rPr>
        <w:t xml:space="preserve"> and relative prices. </w:t>
      </w:r>
      <w:r w:rsidR="00D57620">
        <w:rPr>
          <w:noProof/>
        </w:rPr>
        <w:t>Transformations across sectors and within sectors</w:t>
      </w:r>
      <w:r w:rsidR="00550004">
        <w:rPr>
          <w:noProof/>
        </w:rPr>
        <w:t>, including as they related to skills needs,</w:t>
      </w:r>
      <w:r w:rsidR="00012C0D">
        <w:rPr>
          <w:noProof/>
        </w:rPr>
        <w:t xml:space="preserve"> and in consumption patterns</w:t>
      </w:r>
      <w:r w:rsidR="00D57620">
        <w:rPr>
          <w:noProof/>
        </w:rPr>
        <w:t xml:space="preserve"> will </w:t>
      </w:r>
      <w:r w:rsidR="00CC75A0">
        <w:rPr>
          <w:noProof/>
        </w:rPr>
        <w:t xml:space="preserve">be major and would need to be managed carefully </w:t>
      </w:r>
      <w:r w:rsidR="00D462A7">
        <w:rPr>
          <w:noProof/>
        </w:rPr>
        <w:t>in order to ensure a</w:t>
      </w:r>
      <w:r w:rsidR="00380DA3">
        <w:rPr>
          <w:noProof/>
        </w:rPr>
        <w:t xml:space="preserve"> fair and </w:t>
      </w:r>
      <w:r w:rsidR="00D462A7">
        <w:rPr>
          <w:noProof/>
        </w:rPr>
        <w:t>orderly transition process</w:t>
      </w:r>
      <w:r w:rsidR="00380DA3">
        <w:rPr>
          <w:noProof/>
        </w:rPr>
        <w:t xml:space="preserve"> that preserves the competitiveness of the EU economy and leaves no one behind.</w:t>
      </w:r>
      <w:r w:rsidR="0089785A">
        <w:rPr>
          <w:noProof/>
        </w:rPr>
        <w:t xml:space="preserve"> </w:t>
      </w:r>
      <w:r w:rsidR="00380DA3">
        <w:rPr>
          <w:noProof/>
        </w:rPr>
        <w:t>Similar conclusions were derived from</w:t>
      </w:r>
      <w:r w:rsidR="00407891">
        <w:rPr>
          <w:noProof/>
        </w:rPr>
        <w:t xml:space="preserve"> the in-depth analysis in support of the EU long-term strategy, which underpinned the </w:t>
      </w:r>
      <w:r w:rsidR="00C750FC">
        <w:rPr>
          <w:noProof/>
        </w:rPr>
        <w:t>endorsement</w:t>
      </w:r>
      <w:r w:rsidR="00407891">
        <w:rPr>
          <w:noProof/>
        </w:rPr>
        <w:t xml:space="preserve"> of the climate neutrality </w:t>
      </w:r>
      <w:r w:rsidR="005C00C6">
        <w:rPr>
          <w:noProof/>
        </w:rPr>
        <w:t xml:space="preserve">objective by the European Council in </w:t>
      </w:r>
      <w:r w:rsidR="00C750FC">
        <w:rPr>
          <w:noProof/>
        </w:rPr>
        <w:t xml:space="preserve">December </w:t>
      </w:r>
      <w:r w:rsidR="005C00C6">
        <w:rPr>
          <w:noProof/>
        </w:rPr>
        <w:t>2019</w:t>
      </w:r>
      <w:r w:rsidR="00B31E2F">
        <w:rPr>
          <w:noProof/>
        </w:rPr>
        <w:t xml:space="preserve"> and </w:t>
      </w:r>
      <w:r w:rsidR="00EF03A4">
        <w:rPr>
          <w:noProof/>
        </w:rPr>
        <w:t>its subsequent adoption in the EU Climate law.</w:t>
      </w:r>
    </w:p>
    <w:p w14:paraId="65FF8A11" w14:textId="229AE6ED" w:rsidR="00DD6070" w:rsidRPr="00555438" w:rsidRDefault="003C587E" w:rsidP="00555438">
      <w:pPr>
        <w:rPr>
          <w:noProof/>
        </w:rPr>
      </w:pPr>
      <w:r>
        <w:rPr>
          <w:noProof/>
        </w:rPr>
        <w:t xml:space="preserve">This impact assessment therefore does not seek to revisit </w:t>
      </w:r>
      <w:r w:rsidR="0068314C">
        <w:rPr>
          <w:noProof/>
        </w:rPr>
        <w:t xml:space="preserve">the expected impacts of the </w:t>
      </w:r>
      <w:r w:rsidR="000F025E">
        <w:rPr>
          <w:noProof/>
        </w:rPr>
        <w:t>2030 targets</w:t>
      </w:r>
      <w:r w:rsidR="009E1108">
        <w:rPr>
          <w:noProof/>
        </w:rPr>
        <w:t xml:space="preserve"> or assess the economic pathwa</w:t>
      </w:r>
      <w:r w:rsidR="00ED0D49">
        <w:rPr>
          <w:noProof/>
        </w:rPr>
        <w:t>ys</w:t>
      </w:r>
      <w:r w:rsidR="002A0CE0">
        <w:rPr>
          <w:noProof/>
        </w:rPr>
        <w:t xml:space="preserve"> to climate neutrality in relation to a baseline that would </w:t>
      </w:r>
      <w:r w:rsidR="00E260B1">
        <w:rPr>
          <w:noProof/>
        </w:rPr>
        <w:t xml:space="preserve">significantly </w:t>
      </w:r>
      <w:r w:rsidR="002A0CE0">
        <w:rPr>
          <w:noProof/>
        </w:rPr>
        <w:t>deviate from that objective.</w:t>
      </w:r>
      <w:r w:rsidR="00054092">
        <w:rPr>
          <w:noProof/>
        </w:rPr>
        <w:t xml:space="preserve"> </w:t>
      </w:r>
      <w:r w:rsidR="00A64C88">
        <w:rPr>
          <w:noProof/>
        </w:rPr>
        <w:t xml:space="preserve">Instead, the macro-economic models </w:t>
      </w:r>
      <w:r w:rsidR="008A6DD0">
        <w:rPr>
          <w:noProof/>
        </w:rPr>
        <w:t xml:space="preserve">use </w:t>
      </w:r>
      <w:r w:rsidR="00306DF0">
        <w:rPr>
          <w:noProof/>
        </w:rPr>
        <w:t>S</w:t>
      </w:r>
      <w:r w:rsidR="002311BC">
        <w:rPr>
          <w:noProof/>
        </w:rPr>
        <w:t>2</w:t>
      </w:r>
      <w:r w:rsidR="009F0A55">
        <w:rPr>
          <w:noProof/>
        </w:rPr>
        <w:t xml:space="preserve"> as the </w:t>
      </w:r>
      <w:r w:rsidR="00E94FF9">
        <w:rPr>
          <w:noProof/>
        </w:rPr>
        <w:t xml:space="preserve">point of comparison </w:t>
      </w:r>
      <w:r w:rsidR="0057310E">
        <w:rPr>
          <w:noProof/>
        </w:rPr>
        <w:t xml:space="preserve">for the other scenarios. </w:t>
      </w:r>
      <w:r w:rsidR="00E81565">
        <w:rPr>
          <w:noProof/>
        </w:rPr>
        <w:t xml:space="preserve">To some extent, deviations from </w:t>
      </w:r>
      <w:r w:rsidR="00735AEC">
        <w:rPr>
          <w:noProof/>
        </w:rPr>
        <w:t>the macro-economic benchmark</w:t>
      </w:r>
      <w:r w:rsidR="001760FD">
        <w:rPr>
          <w:noProof/>
        </w:rPr>
        <w:t xml:space="preserve"> are therefore less relevant for the analysis</w:t>
      </w:r>
      <w:r w:rsidR="007F574B">
        <w:rPr>
          <w:noProof/>
        </w:rPr>
        <w:t xml:space="preserve"> than under previous impact assessments. An increased focus is therefore placed in the following sections on </w:t>
      </w:r>
      <w:r w:rsidR="009A5AD5">
        <w:rPr>
          <w:noProof/>
        </w:rPr>
        <w:t xml:space="preserve">the </w:t>
      </w:r>
      <w:r w:rsidR="001858E2">
        <w:rPr>
          <w:noProof/>
        </w:rPr>
        <w:t xml:space="preserve">transformation requirements </w:t>
      </w:r>
      <w:r w:rsidR="003E58AD">
        <w:rPr>
          <w:noProof/>
        </w:rPr>
        <w:t xml:space="preserve">over time </w:t>
      </w:r>
      <w:r w:rsidR="00715532">
        <w:rPr>
          <w:noProof/>
        </w:rPr>
        <w:t xml:space="preserve">across </w:t>
      </w:r>
      <w:r w:rsidR="00581449">
        <w:rPr>
          <w:noProof/>
        </w:rPr>
        <w:t>pathways</w:t>
      </w:r>
      <w:r w:rsidR="00715532">
        <w:rPr>
          <w:noProof/>
        </w:rPr>
        <w:t xml:space="preserve"> to climate neutrality</w:t>
      </w:r>
      <w:r w:rsidR="00581449">
        <w:rPr>
          <w:noProof/>
        </w:rPr>
        <w:t xml:space="preserve">, with </w:t>
      </w:r>
      <w:r w:rsidR="00A347DE">
        <w:rPr>
          <w:noProof/>
        </w:rPr>
        <w:t xml:space="preserve">specific </w:t>
      </w:r>
      <w:r w:rsidR="004609E6">
        <w:rPr>
          <w:noProof/>
        </w:rPr>
        <w:t xml:space="preserve">attention placed on </w:t>
      </w:r>
      <w:r w:rsidR="000502E6">
        <w:rPr>
          <w:noProof/>
        </w:rPr>
        <w:t xml:space="preserve">investment needs, competitiveness, </w:t>
      </w:r>
      <w:r w:rsidR="002777BC">
        <w:rPr>
          <w:noProof/>
        </w:rPr>
        <w:t xml:space="preserve">and </w:t>
      </w:r>
      <w:r w:rsidR="00B84B9E">
        <w:rPr>
          <w:noProof/>
        </w:rPr>
        <w:t>social and regional impacts</w:t>
      </w:r>
      <w:r w:rsidR="002777BC">
        <w:rPr>
          <w:noProof/>
        </w:rPr>
        <w:t>. The co-benefits of the transition are also assessed.</w:t>
      </w:r>
    </w:p>
    <w:p w14:paraId="392CE3D8" w14:textId="61326592" w:rsidR="006845B7" w:rsidRPr="00555438" w:rsidRDefault="006845B7" w:rsidP="00344B6E">
      <w:pPr>
        <w:pStyle w:val="Text1"/>
        <w:ind w:left="0" w:firstLine="0"/>
        <w:rPr>
          <w:noProof/>
        </w:rPr>
      </w:pPr>
      <w:r w:rsidRPr="006845B7">
        <w:rPr>
          <w:noProof/>
          <w:lang w:val="en-IE"/>
        </w:rPr>
        <w:t>The model-based analysis is a technical exercise based on a number of assumptions that are shared across scenarios. Its results do not prejudge the future design of the post-2030 policy framework.</w:t>
      </w:r>
    </w:p>
    <w:p w14:paraId="6A96FE9A" w14:textId="6709C3FA" w:rsidR="00DD6070" w:rsidRDefault="00601065" w:rsidP="00680783">
      <w:pPr>
        <w:pStyle w:val="Heading2"/>
        <w:rPr>
          <w:noProof/>
        </w:rPr>
      </w:pPr>
      <w:bookmarkStart w:id="586" w:name="_Toc148605633"/>
      <w:bookmarkStart w:id="587" w:name="_Toc157692079"/>
      <w:r>
        <w:rPr>
          <w:noProof/>
        </w:rPr>
        <w:t>Macro-economic i</w:t>
      </w:r>
      <w:r w:rsidR="00DD6070" w:rsidRPr="00680783">
        <w:rPr>
          <w:noProof/>
        </w:rPr>
        <w:t>mpacts</w:t>
      </w:r>
      <w:r w:rsidRPr="00601065">
        <w:rPr>
          <w:noProof/>
        </w:rPr>
        <w:t> (</w:t>
      </w:r>
      <w:r>
        <w:rPr>
          <w:rStyle w:val="FootnoteReference"/>
          <w:noProof/>
        </w:rPr>
        <w:footnoteReference w:id="261"/>
      </w:r>
      <w:r>
        <w:rPr>
          <w:noProof/>
        </w:rPr>
        <w:t>)</w:t>
      </w:r>
      <w:bookmarkEnd w:id="586"/>
      <w:bookmarkEnd w:id="587"/>
    </w:p>
    <w:p w14:paraId="28D8E1C7" w14:textId="77777777" w:rsidR="00CC47DF" w:rsidRPr="00680783" w:rsidRDefault="00CC47DF" w:rsidP="00CC47DF">
      <w:pPr>
        <w:pStyle w:val="Heading3"/>
        <w:rPr>
          <w:noProof/>
        </w:rPr>
      </w:pPr>
      <w:bookmarkStart w:id="588" w:name="_Ref140491301"/>
      <w:bookmarkStart w:id="589" w:name="_Toc148605634"/>
      <w:bookmarkStart w:id="590" w:name="_Toc157692080"/>
      <w:bookmarkStart w:id="591" w:name="_Hlk143254021"/>
      <w:r w:rsidRPr="00680783">
        <w:rPr>
          <w:noProof/>
        </w:rPr>
        <w:t>GDP and employment</w:t>
      </w:r>
      <w:bookmarkEnd w:id="588"/>
      <w:bookmarkEnd w:id="589"/>
      <w:bookmarkEnd w:id="590"/>
    </w:p>
    <w:p w14:paraId="235A4CC6" w14:textId="05CE70DC" w:rsidR="00CC47DF" w:rsidRDefault="00CC47DF" w:rsidP="00CC47DF">
      <w:pPr>
        <w:rPr>
          <w:noProof/>
        </w:rPr>
      </w:pPr>
      <w:r>
        <w:rPr>
          <w:noProof/>
        </w:rPr>
        <w:t xml:space="preserve">As </w:t>
      </w:r>
      <w:r w:rsidR="00EE2700">
        <w:rPr>
          <w:noProof/>
        </w:rPr>
        <w:t>indicated</w:t>
      </w:r>
      <w:r>
        <w:rPr>
          <w:noProof/>
        </w:rPr>
        <w:t xml:space="preserve"> in previous impact assessments, the transition to climate neutrality is unlikely to be a major driver of GDP growth and employment levels in and of its own. The transition will nevertheless imply transformations in production and consumption patterns. These are assessed in more details in the sections below.</w:t>
      </w:r>
    </w:p>
    <w:p w14:paraId="5A400FF9" w14:textId="451E9441" w:rsidR="00CC47DF" w:rsidRDefault="00CC47DF" w:rsidP="00CC47DF">
      <w:pPr>
        <w:rPr>
          <w:noProof/>
        </w:rPr>
      </w:pPr>
      <w:r>
        <w:rPr>
          <w:noProof/>
        </w:rPr>
        <w:t>At aggregate level, the models consistently show that a higher level of mitigation in 2040 is associated with a somewhat larger negative impact on GDP, at least on a transitory fashion. With the highest level of climate ambition (S3) in 2040, GDP is projected to be at best unchanged and at worst 0.8% lower than under S2 (</w:t>
      </w:r>
      <w:r>
        <w:rPr>
          <w:noProof/>
        </w:rPr>
        <w:fldChar w:fldCharType="begin"/>
      </w:r>
      <w:r>
        <w:rPr>
          <w:noProof/>
        </w:rPr>
        <w:instrText xml:space="preserve"> REF _Ref146096924 \h </w:instrText>
      </w:r>
      <w:r>
        <w:rPr>
          <w:noProof/>
        </w:rPr>
      </w:r>
      <w:r>
        <w:rPr>
          <w:noProof/>
        </w:rPr>
        <w:fldChar w:fldCharType="separate"/>
      </w:r>
      <w:r w:rsidR="00170A3C" w:rsidRPr="00CE0860">
        <w:rPr>
          <w:noProof/>
        </w:rPr>
        <w:t xml:space="preserve">Table </w:t>
      </w:r>
      <w:r w:rsidR="00170A3C">
        <w:rPr>
          <w:noProof/>
        </w:rPr>
        <w:t>25</w:t>
      </w:r>
      <w:r>
        <w:rPr>
          <w:noProof/>
        </w:rPr>
        <w:fldChar w:fldCharType="end"/>
      </w:r>
      <w:r>
        <w:rPr>
          <w:noProof/>
        </w:rPr>
        <w:t xml:space="preserve">). A lower level of ambition by 2040 (S1) translates at best into a slightly higher level (+0.6%) of GDP. </w:t>
      </w:r>
      <w:r w:rsidRPr="008244B0">
        <w:rPr>
          <w:noProof/>
        </w:rPr>
        <w:t xml:space="preserve">By 2050, </w:t>
      </w:r>
      <w:r w:rsidRPr="008244B0" w:rsidDel="00B37F15">
        <w:rPr>
          <w:noProof/>
        </w:rPr>
        <w:t xml:space="preserve">however, </w:t>
      </w:r>
      <w:r w:rsidRPr="008244B0">
        <w:rPr>
          <w:noProof/>
        </w:rPr>
        <w:t xml:space="preserve">GDP is projected to return broadly to the same level </w:t>
      </w:r>
      <w:r w:rsidRPr="008244B0" w:rsidDel="002311BC">
        <w:rPr>
          <w:noProof/>
        </w:rPr>
        <w:t xml:space="preserve">under </w:t>
      </w:r>
      <w:r>
        <w:rPr>
          <w:noProof/>
        </w:rPr>
        <w:t>all three scenarios</w:t>
      </w:r>
      <w:r w:rsidRPr="008244B0">
        <w:rPr>
          <w:noProof/>
        </w:rPr>
        <w:t xml:space="preserve">. As projected by the JRC-GEM-E3, the impact of the transition on GDP is also </w:t>
      </w:r>
      <w:r>
        <w:rPr>
          <w:noProof/>
        </w:rPr>
        <w:t xml:space="preserve">somewhat </w:t>
      </w:r>
      <w:r w:rsidRPr="008244B0">
        <w:rPr>
          <w:noProof/>
        </w:rPr>
        <w:t xml:space="preserve">more negative under a “global action” scenario (where the rest of the world implements policies aligned with the 1.5°C objective under the Paris agreement) than under a “fragmented action” scenario (where the rest of the world implements NDCs). This is driven by the fact that higher climate ambition in the rest of the world is associated with higher negative impacts on </w:t>
      </w:r>
      <w:r>
        <w:rPr>
          <w:noProof/>
        </w:rPr>
        <w:t xml:space="preserve">global </w:t>
      </w:r>
      <w:r w:rsidRPr="008244B0">
        <w:rPr>
          <w:noProof/>
        </w:rPr>
        <w:t>GDP, which reduces external demand for EU producers.</w:t>
      </w:r>
    </w:p>
    <w:p w14:paraId="66B1A2F3" w14:textId="77777777" w:rsidR="00CC47DF" w:rsidRDefault="00CC47DF" w:rsidP="00CC47DF">
      <w:pPr>
        <w:rPr>
          <w:noProof/>
        </w:rPr>
      </w:pPr>
      <w:r w:rsidRPr="00A34BE3">
        <w:rPr>
          <w:noProof/>
        </w:rPr>
        <w:t xml:space="preserve">The negative impact is therefore mainly a transition effect, with no lasting impact, and it remains small across models and scenarios. As total employment is mostly driven by trends in aggregate output, the impact </w:t>
      </w:r>
      <w:r>
        <w:rPr>
          <w:noProof/>
        </w:rPr>
        <w:t xml:space="preserve">of a higher level of ambition </w:t>
      </w:r>
      <w:r w:rsidRPr="00A34BE3">
        <w:rPr>
          <w:noProof/>
        </w:rPr>
        <w:t xml:space="preserve">is also only marginally negative in </w:t>
      </w:r>
      <w:r>
        <w:rPr>
          <w:noProof/>
        </w:rPr>
        <w:t>2040</w:t>
      </w:r>
      <w:r w:rsidRPr="00A34BE3">
        <w:rPr>
          <w:noProof/>
        </w:rPr>
        <w:t xml:space="preserve">, before </w:t>
      </w:r>
      <w:r>
        <w:rPr>
          <w:noProof/>
        </w:rPr>
        <w:t>converging across scenarios by 2050</w:t>
      </w:r>
      <w:r w:rsidRPr="00A34BE3">
        <w:rPr>
          <w:noProof/>
        </w:rPr>
        <w:t>.</w:t>
      </w:r>
    </w:p>
    <w:p w14:paraId="47C5448E" w14:textId="3E96EA7C" w:rsidR="00CC47DF" w:rsidRDefault="00CC47DF" w:rsidP="00CC47DF">
      <w:pPr>
        <w:pStyle w:val="Caption"/>
        <w:rPr>
          <w:noProof/>
          <w:sz w:val="23"/>
          <w:szCs w:val="23"/>
        </w:rPr>
      </w:pPr>
      <w:bookmarkStart w:id="592" w:name="_Ref146096924"/>
      <w:bookmarkStart w:id="593" w:name="_Toc155942505"/>
      <w:bookmarkStart w:id="594" w:name="_Toc157679908"/>
      <w:r w:rsidRPr="00CE0860">
        <w:rPr>
          <w:noProof/>
        </w:rPr>
        <w:t xml:space="preserve">Table </w:t>
      </w:r>
      <w:r w:rsidRPr="00CE0860">
        <w:rPr>
          <w:noProof/>
        </w:rPr>
        <w:fldChar w:fldCharType="begin"/>
      </w:r>
      <w:r w:rsidRPr="00CE0860">
        <w:rPr>
          <w:noProof/>
        </w:rPr>
        <w:instrText>SEQ Table \* ARABIC</w:instrText>
      </w:r>
      <w:r w:rsidRPr="00CE0860">
        <w:rPr>
          <w:noProof/>
        </w:rPr>
        <w:fldChar w:fldCharType="separate"/>
      </w:r>
      <w:r w:rsidR="00170A3C">
        <w:rPr>
          <w:noProof/>
        </w:rPr>
        <w:t>25</w:t>
      </w:r>
      <w:r w:rsidRPr="00CE0860">
        <w:rPr>
          <w:noProof/>
        </w:rPr>
        <w:fldChar w:fldCharType="end"/>
      </w:r>
      <w:bookmarkEnd w:id="592"/>
      <w:r w:rsidRPr="00CE0860">
        <w:rPr>
          <w:noProof/>
        </w:rPr>
        <w:t>: Macro-economic</w:t>
      </w:r>
      <w:r w:rsidRPr="0009775F">
        <w:rPr>
          <w:noProof/>
        </w:rPr>
        <w:t xml:space="preserve"> </w:t>
      </w:r>
      <w:r>
        <w:rPr>
          <w:noProof/>
        </w:rPr>
        <w:t>i</w:t>
      </w:r>
      <w:r w:rsidRPr="0009775F">
        <w:rPr>
          <w:noProof/>
        </w:rPr>
        <w:t>mpacts</w:t>
      </w:r>
      <w:r>
        <w:rPr>
          <w:noProof/>
        </w:rPr>
        <w:t xml:space="preserve"> (% change compared to S2)</w:t>
      </w:r>
      <w:bookmarkEnd w:id="593"/>
      <w:bookmarkEnd w:id="594"/>
    </w:p>
    <w:p w14:paraId="75E3D439" w14:textId="77777777" w:rsidR="00CC47DF" w:rsidRDefault="00CC47DF" w:rsidP="00CC47DF">
      <w:pPr>
        <w:keepNext/>
        <w:spacing w:after="0"/>
        <w:jc w:val="center"/>
        <w:rPr>
          <w:noProof/>
          <w:sz w:val="23"/>
          <w:szCs w:val="23"/>
        </w:rPr>
      </w:pPr>
      <w:r w:rsidRPr="000A71F9">
        <w:rPr>
          <w:noProof/>
          <w:lang w:eastAsia="en-GB"/>
        </w:rPr>
        <w:drawing>
          <wp:inline distT="0" distB="0" distL="0" distR="0" wp14:anchorId="51D2996C" wp14:editId="17549263">
            <wp:extent cx="5472430" cy="3896995"/>
            <wp:effectExtent l="0" t="0" r="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472430" cy="3896995"/>
                    </a:xfrm>
                    <a:prstGeom prst="rect">
                      <a:avLst/>
                    </a:prstGeom>
                    <a:noFill/>
                    <a:ln>
                      <a:noFill/>
                    </a:ln>
                  </pic:spPr>
                </pic:pic>
              </a:graphicData>
            </a:graphic>
          </wp:inline>
        </w:drawing>
      </w:r>
    </w:p>
    <w:p w14:paraId="40518A57" w14:textId="77777777" w:rsidR="00CC47DF" w:rsidRPr="0047274C" w:rsidRDefault="00CC47DF" w:rsidP="00CC47DF">
      <w:pPr>
        <w:pStyle w:val="CT-SOURCE"/>
        <w:rPr>
          <w:i w:val="0"/>
          <w:noProof/>
          <w:lang w:val="it-IT"/>
        </w:rPr>
      </w:pPr>
      <w:r w:rsidRPr="00AF582A">
        <w:rPr>
          <w:noProof/>
          <w:lang w:val="pt-PT"/>
        </w:rPr>
        <w:t>Sour</w:t>
      </w:r>
      <w:r w:rsidRPr="0047274C">
        <w:rPr>
          <w:noProof/>
          <w:lang w:val="it-IT"/>
        </w:rPr>
        <w:t>ce: JRC-GEM-E3, E3ME and E-QUEST.</w:t>
      </w:r>
    </w:p>
    <w:p w14:paraId="1334FA5C" w14:textId="3D278B30" w:rsidR="00CC47DF" w:rsidRDefault="00CC47DF" w:rsidP="00CC47DF">
      <w:pPr>
        <w:rPr>
          <w:noProof/>
          <w:lang w:val="en-IE"/>
        </w:rPr>
      </w:pPr>
      <w:r w:rsidRPr="00070FD5">
        <w:rPr>
          <w:noProof/>
          <w:lang w:val="en-IE"/>
        </w:rPr>
        <w:t>The macro-economic models a</w:t>
      </w:r>
      <w:r>
        <w:rPr>
          <w:noProof/>
          <w:lang w:val="en-IE"/>
        </w:rPr>
        <w:t>lso indicate that a higher level of ambition for GHG mitigation in 2040 is associated with a more significant shift in the composition of GDP from consumption towards investment, at least on a transitory basis. The negative impact on private consumption is nevertheless small across models and levels of ambition. Further, the JRC-GEM-E3 model projects that while private consumption is likely to be negatively impacted, the composition of consumption should also evolve, with a gradual decrease in the share of consumption of non-durables linked to the use of durable goods (i.e. mainly energy consumption) and a corresponding increase in the share of other non-durables (</w:t>
      </w:r>
      <w:r>
        <w:rPr>
          <w:noProof/>
          <w:lang w:val="en-IE"/>
        </w:rPr>
        <w:fldChar w:fldCharType="begin"/>
      </w:r>
      <w:r>
        <w:rPr>
          <w:noProof/>
          <w:lang w:val="en-IE"/>
        </w:rPr>
        <w:instrText xml:space="preserve"> REF _Ref143595436 \h </w:instrText>
      </w:r>
      <w:r>
        <w:rPr>
          <w:noProof/>
          <w:lang w:val="en-IE"/>
        </w:rPr>
      </w:r>
      <w:r>
        <w:rPr>
          <w:noProof/>
          <w:lang w:val="en-IE"/>
        </w:rPr>
        <w:fldChar w:fldCharType="separate"/>
      </w:r>
      <w:r w:rsidR="00170A3C">
        <w:rPr>
          <w:noProof/>
        </w:rPr>
        <w:t>Figure 100</w:t>
      </w:r>
      <w:r>
        <w:rPr>
          <w:noProof/>
          <w:lang w:val="en-IE"/>
        </w:rPr>
        <w:fldChar w:fldCharType="end"/>
      </w:r>
      <w:r>
        <w:rPr>
          <w:noProof/>
          <w:lang w:val="en-IE"/>
        </w:rPr>
        <w:t xml:space="preserve">). </w:t>
      </w:r>
      <w:r w:rsidRPr="0017290A">
        <w:rPr>
          <w:noProof/>
          <w:lang w:val="en-IE"/>
        </w:rPr>
        <w:t xml:space="preserve">This shift in composition would be positive from a welfare perspective, as energy-related services would not be negatively affected by lower </w:t>
      </w:r>
      <w:r>
        <w:rPr>
          <w:noProof/>
          <w:lang w:val="en-IE"/>
        </w:rPr>
        <w:t xml:space="preserve">consumption </w:t>
      </w:r>
      <w:r w:rsidRPr="0017290A">
        <w:rPr>
          <w:noProof/>
          <w:lang w:val="en-IE"/>
        </w:rPr>
        <w:t>of energy itself (e.g., a better insulated house provides the same – or likely better – level of comfort than a poorly insulated one, with lower energy consumption).</w:t>
      </w:r>
    </w:p>
    <w:p w14:paraId="72754B39" w14:textId="4F1F68F5" w:rsidR="00CC47DF" w:rsidRDefault="00CC47DF" w:rsidP="00CC47DF">
      <w:pPr>
        <w:pStyle w:val="Caption"/>
        <w:rPr>
          <w:noProof/>
        </w:rPr>
      </w:pPr>
      <w:bookmarkStart w:id="595" w:name="_Ref143595436"/>
      <w:bookmarkStart w:id="596" w:name="_Toc155942447"/>
      <w:bookmarkStart w:id="597" w:name="_Toc157679848"/>
      <w:r>
        <w:rPr>
          <w:noProof/>
        </w:rPr>
        <w:t xml:space="preserve">Figure </w:t>
      </w:r>
      <w:r>
        <w:rPr>
          <w:noProof/>
        </w:rPr>
        <w:fldChar w:fldCharType="begin"/>
      </w:r>
      <w:r>
        <w:rPr>
          <w:noProof/>
        </w:rPr>
        <w:instrText>SEQ Figure \* ARABIC</w:instrText>
      </w:r>
      <w:r>
        <w:rPr>
          <w:noProof/>
        </w:rPr>
        <w:fldChar w:fldCharType="separate"/>
      </w:r>
      <w:r w:rsidR="00170A3C">
        <w:rPr>
          <w:noProof/>
        </w:rPr>
        <w:t>100</w:t>
      </w:r>
      <w:r>
        <w:rPr>
          <w:noProof/>
        </w:rPr>
        <w:fldChar w:fldCharType="end"/>
      </w:r>
      <w:bookmarkEnd w:id="595"/>
      <w:r>
        <w:rPr>
          <w:noProof/>
        </w:rPr>
        <w:t>: Composition of private consumption (% of total, S3)</w:t>
      </w:r>
      <w:bookmarkEnd w:id="596"/>
      <w:bookmarkEnd w:id="597"/>
    </w:p>
    <w:p w14:paraId="18D3C591" w14:textId="77777777" w:rsidR="00CC47DF" w:rsidRDefault="00CC47DF" w:rsidP="00CC47DF">
      <w:pPr>
        <w:keepNext/>
        <w:spacing w:after="0"/>
        <w:jc w:val="center"/>
        <w:rPr>
          <w:noProof/>
        </w:rPr>
      </w:pPr>
      <w:r w:rsidRPr="000A71F9">
        <w:rPr>
          <w:noProof/>
          <w:lang w:eastAsia="en-GB"/>
        </w:rPr>
        <w:drawing>
          <wp:inline distT="0" distB="0" distL="0" distR="0" wp14:anchorId="2280A4C0" wp14:editId="3C3D29D9">
            <wp:extent cx="5397500" cy="25177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397500" cy="2517775"/>
                    </a:xfrm>
                    <a:prstGeom prst="rect">
                      <a:avLst/>
                    </a:prstGeom>
                    <a:noFill/>
                    <a:ln>
                      <a:noFill/>
                    </a:ln>
                  </pic:spPr>
                </pic:pic>
              </a:graphicData>
            </a:graphic>
          </wp:inline>
        </w:drawing>
      </w:r>
    </w:p>
    <w:p w14:paraId="0F4F08E5" w14:textId="77777777" w:rsidR="00CC47DF" w:rsidRPr="00B42172" w:rsidRDefault="00CC47DF" w:rsidP="00CC47DF">
      <w:pPr>
        <w:pStyle w:val="CT-SOURCE"/>
        <w:rPr>
          <w:i w:val="0"/>
          <w:noProof/>
        </w:rPr>
      </w:pPr>
      <w:r w:rsidRPr="00B42172">
        <w:rPr>
          <w:noProof/>
        </w:rPr>
        <w:t>Source: JRC-GEM-E3.</w:t>
      </w:r>
    </w:p>
    <w:p w14:paraId="6614FC07" w14:textId="68A0A94F" w:rsidR="00CC47DF" w:rsidRDefault="00CC47DF" w:rsidP="00CC47DF">
      <w:pPr>
        <w:rPr>
          <w:noProof/>
        </w:rPr>
      </w:pPr>
      <w:r>
        <w:rPr>
          <w:noProof/>
        </w:rPr>
        <w:t>DG ECFIN’s E-QUEST model shows that S3 generates some</w:t>
      </w:r>
      <w:r w:rsidDel="00785434">
        <w:rPr>
          <w:noProof/>
        </w:rPr>
        <w:t xml:space="preserve"> </w:t>
      </w:r>
      <w:r>
        <w:rPr>
          <w:noProof/>
        </w:rPr>
        <w:t xml:space="preserve">cumulative impacts in terms of output loss over the whole transition period (2025 to 2050) compared to </w:t>
      </w:r>
      <w:r w:rsidDel="00785434">
        <w:rPr>
          <w:noProof/>
        </w:rPr>
        <w:t>S2</w:t>
      </w:r>
      <w:r>
        <w:rPr>
          <w:noProof/>
        </w:rPr>
        <w:t>, even if output levels converge by 2050 (</w:t>
      </w:r>
      <w:r w:rsidRPr="00F206E3">
        <w:rPr>
          <w:noProof/>
        </w:rPr>
        <w:fldChar w:fldCharType="begin"/>
      </w:r>
      <w:r w:rsidRPr="001F1F93">
        <w:rPr>
          <w:noProof/>
          <w:highlight w:val="yellow"/>
        </w:rPr>
        <w:instrText xml:space="preserve"> REF _Ref146097183 \h </w:instrText>
      </w:r>
      <w:r>
        <w:rPr>
          <w:noProof/>
          <w:highlight w:val="yellow"/>
        </w:rPr>
        <w:instrText xml:space="preserve"> \* MERGEFORMAT </w:instrText>
      </w:r>
      <w:r w:rsidRPr="00F206E3">
        <w:rPr>
          <w:noProof/>
        </w:rPr>
      </w:r>
      <w:r w:rsidRPr="00F206E3">
        <w:rPr>
          <w:noProof/>
        </w:rPr>
        <w:fldChar w:fldCharType="separate"/>
      </w:r>
      <w:r w:rsidR="00170A3C" w:rsidRPr="00BD712A">
        <w:rPr>
          <w:noProof/>
          <w:lang w:val="en-IE"/>
        </w:rPr>
        <w:t xml:space="preserve">Figure </w:t>
      </w:r>
      <w:r w:rsidR="00170A3C">
        <w:rPr>
          <w:noProof/>
          <w:lang w:val="en-IE"/>
        </w:rPr>
        <w:t>101</w:t>
      </w:r>
      <w:r w:rsidRPr="00F206E3">
        <w:rPr>
          <w:noProof/>
        </w:rPr>
        <w:fldChar w:fldCharType="end"/>
      </w:r>
      <w:r>
        <w:rPr>
          <w:noProof/>
        </w:rPr>
        <w:t>). In contrast, S1 generates very modest cumulative output gains compared to S2, with the GDP level converging across scenarios by 2050. Further, it indicates that using the economy-wide carbon revenues to subsidise green investment is more efficient in terms of output than lump sum transfers to households or the recycling of revenues to reduce personal income taxation on low-skilled workers. This is strictly an efficiency gains in terms of output, and it abstracts from distributional and equity considerations, which are discussed below.</w:t>
      </w:r>
    </w:p>
    <w:p w14:paraId="4E157348" w14:textId="41E41E07" w:rsidR="00CC47DF" w:rsidRPr="00BD712A" w:rsidRDefault="00CC47DF" w:rsidP="00CC47DF">
      <w:pPr>
        <w:pStyle w:val="Caption"/>
        <w:keepLines/>
        <w:rPr>
          <w:noProof/>
          <w:lang w:val="en-IE"/>
        </w:rPr>
      </w:pPr>
      <w:bookmarkStart w:id="598" w:name="_Ref140737616"/>
      <w:bookmarkStart w:id="599" w:name="_Ref146097183"/>
      <w:bookmarkStart w:id="600" w:name="_Toc155942448"/>
      <w:bookmarkStart w:id="601" w:name="_Toc157679849"/>
      <w:r w:rsidRPr="00BD712A">
        <w:rPr>
          <w:noProof/>
          <w:lang w:val="en-IE"/>
        </w:rPr>
        <w:t xml:space="preserve">Figure </w:t>
      </w:r>
      <w:bookmarkEnd w:id="598"/>
      <w:r>
        <w:rPr>
          <w:noProof/>
          <w:lang w:val="en-IE"/>
        </w:rPr>
        <w:fldChar w:fldCharType="begin"/>
      </w:r>
      <w:r>
        <w:rPr>
          <w:noProof/>
          <w:lang w:val="en-IE"/>
        </w:rPr>
        <w:instrText xml:space="preserve"> SEQ Figure \* ARABIC </w:instrText>
      </w:r>
      <w:r>
        <w:rPr>
          <w:noProof/>
          <w:lang w:val="en-IE"/>
        </w:rPr>
        <w:fldChar w:fldCharType="separate"/>
      </w:r>
      <w:r w:rsidR="00170A3C">
        <w:rPr>
          <w:noProof/>
          <w:lang w:val="en-IE"/>
        </w:rPr>
        <w:t>101</w:t>
      </w:r>
      <w:r>
        <w:rPr>
          <w:noProof/>
          <w:lang w:val="en-IE"/>
        </w:rPr>
        <w:fldChar w:fldCharType="end"/>
      </w:r>
      <w:bookmarkEnd w:id="599"/>
      <w:r w:rsidRPr="00BD712A">
        <w:rPr>
          <w:noProof/>
          <w:lang w:val="en-IE"/>
        </w:rPr>
        <w:t xml:space="preserve">: </w:t>
      </w:r>
      <w:r>
        <w:rPr>
          <w:noProof/>
          <w:lang w:val="en-IE"/>
        </w:rPr>
        <w:t>R</w:t>
      </w:r>
      <w:r w:rsidRPr="00BD712A">
        <w:rPr>
          <w:noProof/>
          <w:lang w:val="en-IE"/>
        </w:rPr>
        <w:t>eal GDP, deviation f</w:t>
      </w:r>
      <w:r>
        <w:rPr>
          <w:noProof/>
          <w:lang w:val="en-IE"/>
        </w:rPr>
        <w:t>rom S2</w:t>
      </w:r>
      <w:bookmarkEnd w:id="600"/>
      <w:bookmarkEnd w:id="601"/>
    </w:p>
    <w:p w14:paraId="27F469B9" w14:textId="77777777" w:rsidR="00CC47DF" w:rsidRPr="00895F84" w:rsidRDefault="00CC47DF" w:rsidP="00CC47DF">
      <w:pPr>
        <w:pStyle w:val="CT-SOURCE"/>
        <w:rPr>
          <w:rFonts w:ascii="Cambria Math" w:hAnsi="Cambria Math"/>
          <w:i w:val="0"/>
          <w:noProof/>
        </w:rPr>
      </w:pPr>
      <w:r w:rsidRPr="000A71F9">
        <w:rPr>
          <w:noProof/>
          <w:lang w:val="en-GB" w:eastAsia="en-GB"/>
        </w:rPr>
        <w:drawing>
          <wp:inline distT="0" distB="0" distL="0" distR="0" wp14:anchorId="117B4A58" wp14:editId="41DFC3A5">
            <wp:extent cx="5397500" cy="251777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5397500" cy="2517775"/>
                    </a:xfrm>
                    <a:prstGeom prst="rect">
                      <a:avLst/>
                    </a:prstGeom>
                    <a:noFill/>
                    <a:ln>
                      <a:noFill/>
                    </a:ln>
                  </pic:spPr>
                </pic:pic>
              </a:graphicData>
            </a:graphic>
          </wp:inline>
        </w:drawing>
      </w:r>
      <w:r w:rsidRPr="00895F84">
        <w:rPr>
          <w:rFonts w:ascii="Cambria Math" w:hAnsi="Cambria Math"/>
          <w:noProof/>
        </w:rPr>
        <w:t xml:space="preserve"> </w:t>
      </w:r>
      <w:r w:rsidRPr="00895F84">
        <w:rPr>
          <w:noProof/>
        </w:rPr>
        <w:t>Source: E-QUEST.</w:t>
      </w:r>
    </w:p>
    <w:p w14:paraId="6688AC81" w14:textId="77777777" w:rsidR="00CC47DF" w:rsidRPr="00680783" w:rsidRDefault="00CC47DF" w:rsidP="00CC47DF">
      <w:pPr>
        <w:pStyle w:val="Heading3"/>
        <w:rPr>
          <w:noProof/>
        </w:rPr>
      </w:pPr>
      <w:bookmarkStart w:id="602" w:name="_Toc148605635"/>
      <w:bookmarkStart w:id="603" w:name="_Toc157692081"/>
      <w:bookmarkEnd w:id="591"/>
      <w:r w:rsidRPr="00680783">
        <w:rPr>
          <w:noProof/>
        </w:rPr>
        <w:t>The impact of frictions in the economic transition</w:t>
      </w:r>
      <w:bookmarkEnd w:id="602"/>
      <w:bookmarkEnd w:id="603"/>
    </w:p>
    <w:p w14:paraId="244EC9F3" w14:textId="77777777" w:rsidR="00CC47DF" w:rsidRDefault="00CC47DF" w:rsidP="00CC47DF">
      <w:pPr>
        <w:rPr>
          <w:noProof/>
        </w:rPr>
      </w:pPr>
      <w:r>
        <w:rPr>
          <w:noProof/>
        </w:rPr>
        <w:t>Macro-economic models typically assume that frictions in the reallocation of capital and labour across sectors are limited. Capital is reallocated sectorally over time mostly via new investment and the depreciation of existing assets. In turn, the labour force is assumed to be mobile and responsive to evolving demand across sectors of the economy. While frictional unemployment is modelled and labour matching functions can operate more or less efficiently, workers are assumed to be in a position to take new jobs as they arise in any sector of the economy.</w:t>
      </w:r>
    </w:p>
    <w:p w14:paraId="7DA63721" w14:textId="77777777" w:rsidR="00CC47DF" w:rsidRDefault="00CC47DF" w:rsidP="00CC47DF">
      <w:pPr>
        <w:rPr>
          <w:noProof/>
        </w:rPr>
      </w:pPr>
      <w:r>
        <w:rPr>
          <w:noProof/>
        </w:rPr>
        <w:t>Such assumptions are simplifications used for modelling purposes, which are reasonable in particular when assessing impacts under a long-term perspective. However, the faster the transition, the more the simplifications diverge from the reality of the sectoral transformations. Model-based simulations were therefore used to provide an assessment of frictions in capital markets and investment decisions, and frictions in the reallocation of the labour force across sectors.</w:t>
      </w:r>
    </w:p>
    <w:p w14:paraId="6C9DF49B" w14:textId="77777777" w:rsidR="00CC47DF" w:rsidRDefault="00CC47DF" w:rsidP="00CC47DF">
      <w:pPr>
        <w:rPr>
          <w:noProof/>
          <w:lang w:val="en-IE"/>
        </w:rPr>
      </w:pPr>
      <w:r w:rsidRPr="006524F5">
        <w:rPr>
          <w:noProof/>
          <w:lang w:val="en-IE"/>
        </w:rPr>
        <w:t>DG ECFIN’s E-QUEST model i</w:t>
      </w:r>
      <w:r>
        <w:rPr>
          <w:noProof/>
          <w:lang w:val="en-IE"/>
        </w:rPr>
        <w:t>s a dynamic stochastic general equilibrium model with fully forward-looking agents, which enables the assessment of the impacts of fully credible, partly credible or non-anticipated policies. While the main scenarios modelled in this impact assessment assume that the pathways under consideration are fully anticipated by economic agents (i.e., fully credible), a variant was used to assess the impact of potentially “erroneous” investment decisions on the economy, modelled via partial anticipations (or partly credible pathways). In essence, this aims to capture investment decisions that are not aligned at all times with the targeted GHG pathway. In this modelling variant, economic agents fail to recognise that additional policies (introduced as carbon values in the model) will be put in place to achieve the climate neutrality pathway and they base their expectations on the continuation of existing policies. Expectations are sequentially updated every five years to correct for erroneous predictions and align with the actual pathway, which is consistent with climate neutrality.</w:t>
      </w:r>
    </w:p>
    <w:p w14:paraId="02BDD5D3" w14:textId="77777777" w:rsidR="00CC47DF" w:rsidRPr="00875D9A" w:rsidRDefault="00CC47DF" w:rsidP="00CC47DF">
      <w:pPr>
        <w:rPr>
          <w:noProof/>
          <w:lang w:val="en-IE"/>
        </w:rPr>
      </w:pPr>
      <w:r w:rsidRPr="00875D9A">
        <w:rPr>
          <w:noProof/>
          <w:lang w:val="en-IE"/>
        </w:rPr>
        <w:t>As economic agents do not act fully in accordance with the climate neutrality pathway, they miss the opportunity to take early action by increasing their investment in decarbonised technologies and the value of the capital invested in fossil fuel intensive technologies or sectors is negatively affected, i.e., the economy suffers from stranded assets. The other types of investment represented in the model are not affected</w:t>
      </w:r>
      <w:r w:rsidRPr="00F53636">
        <w:rPr>
          <w:rFonts w:cs="Times New Roman"/>
          <w:noProof/>
          <w:lang w:val="en-IE"/>
        </w:rPr>
        <w:t> (</w:t>
      </w:r>
      <w:r>
        <w:rPr>
          <w:rStyle w:val="FootnoteReference"/>
          <w:noProof/>
          <w:lang w:val="en-IE"/>
        </w:rPr>
        <w:footnoteReference w:id="262"/>
      </w:r>
      <w:r>
        <w:rPr>
          <w:rFonts w:cs="Times New Roman"/>
          <w:noProof/>
          <w:lang w:val="en-IE"/>
        </w:rPr>
        <w:t>)</w:t>
      </w:r>
      <w:r w:rsidRPr="00875D9A">
        <w:rPr>
          <w:noProof/>
          <w:lang w:val="en-IE"/>
        </w:rPr>
        <w:t xml:space="preserve">, as they are not contingent upon the level of mitigation ambition. These investments represent the majority of aggregate investment in the model. </w:t>
      </w:r>
    </w:p>
    <w:p w14:paraId="47C0A857" w14:textId="13154FC9" w:rsidR="00CC47DF" w:rsidRDefault="00CC47DF" w:rsidP="00CC47DF">
      <w:pPr>
        <w:rPr>
          <w:noProof/>
          <w:lang w:val="en-IE"/>
        </w:rPr>
      </w:pPr>
      <w:r w:rsidRPr="00875D9A">
        <w:rPr>
          <w:noProof/>
          <w:lang w:val="en-IE"/>
        </w:rPr>
        <w:t>Such a sequential, 5-year</w:t>
      </w:r>
      <w:r>
        <w:rPr>
          <w:noProof/>
          <w:lang w:val="en-IE"/>
        </w:rPr>
        <w:t>ly</w:t>
      </w:r>
      <w:r w:rsidRPr="00875D9A">
        <w:rPr>
          <w:noProof/>
          <w:lang w:val="en-IE"/>
        </w:rPr>
        <w:t xml:space="preserve"> adjustment of expectations leads to negative outcomes on all key macro-economic variables compared to the scenarios where expectations, and hence the investment decisions of economic agents, are aligned with the climate neutrality pathway. The sequential adjustment in investment on a 5-year basis leads to a type of “catching up” process in investment in decarbonised technologies. </w:t>
      </w:r>
      <w:r>
        <w:rPr>
          <w:noProof/>
          <w:lang w:val="en-IE"/>
        </w:rPr>
        <w:t xml:space="preserve">To illustrate the impact of this type of frictions, the sequential scenario was modelled based on the level of climate ambition of scenario 1, and impacts are measured in relation to S1 as a baseline. </w:t>
      </w:r>
      <w:r w:rsidRPr="00875D9A">
        <w:rPr>
          <w:noProof/>
          <w:lang w:val="en-IE"/>
        </w:rPr>
        <w:t>While all scenarios achieve the same level of ambition in 2050, the sequential scenario (S1.A) leads to a gradually larger loss of output over time, with GDP about 0.4</w:t>
      </w:r>
      <w:r>
        <w:rPr>
          <w:noProof/>
          <w:lang w:val="en-IE"/>
        </w:rPr>
        <w:t> </w:t>
      </w:r>
      <w:r w:rsidRPr="00875D9A">
        <w:rPr>
          <w:noProof/>
          <w:lang w:val="en-IE"/>
        </w:rPr>
        <w:t>percentage point lower than under S1 in 2050. In contrast, the higher level of ambition under S2 entails only a transitional cost in terms of lower output compared to S1, with GDP marginally higher in 2050</w:t>
      </w:r>
      <w:r>
        <w:rPr>
          <w:noProof/>
          <w:lang w:val="en-IE"/>
        </w:rPr>
        <w:t>. Over the whole transition period, the sequential scenario therefore entails a significant cost in terms of lost output relative to the S2 (</w:t>
      </w:r>
      <w:r w:rsidRPr="00F206E3">
        <w:rPr>
          <w:noProof/>
          <w:lang w:val="en-IE"/>
        </w:rPr>
        <w:fldChar w:fldCharType="begin"/>
      </w:r>
      <w:r w:rsidRPr="001F1F93">
        <w:rPr>
          <w:noProof/>
          <w:highlight w:val="yellow"/>
          <w:lang w:val="en-IE"/>
        </w:rPr>
        <w:instrText xml:space="preserve"> REF _Ref146097298 \h </w:instrText>
      </w:r>
      <w:r>
        <w:rPr>
          <w:noProof/>
          <w:highlight w:val="yellow"/>
          <w:lang w:val="en-IE"/>
        </w:rPr>
        <w:instrText xml:space="preserve"> \* MERGEFORMAT </w:instrText>
      </w:r>
      <w:r w:rsidRPr="00F206E3">
        <w:rPr>
          <w:noProof/>
          <w:lang w:val="en-IE"/>
        </w:rPr>
      </w:r>
      <w:r w:rsidRPr="00F206E3">
        <w:rPr>
          <w:noProof/>
          <w:lang w:val="en-IE"/>
        </w:rPr>
        <w:fldChar w:fldCharType="separate"/>
      </w:r>
      <w:r w:rsidR="00170A3C" w:rsidRPr="00F206E3">
        <w:rPr>
          <w:noProof/>
        </w:rPr>
        <w:t xml:space="preserve">Figure </w:t>
      </w:r>
      <w:r w:rsidR="00170A3C">
        <w:rPr>
          <w:noProof/>
        </w:rPr>
        <w:t>102</w:t>
      </w:r>
      <w:r w:rsidRPr="00F206E3">
        <w:rPr>
          <w:noProof/>
          <w:lang w:val="en-IE"/>
        </w:rPr>
        <w:fldChar w:fldCharType="end"/>
      </w:r>
      <w:r>
        <w:rPr>
          <w:noProof/>
          <w:lang w:val="en-IE"/>
        </w:rPr>
        <w:t>)</w:t>
      </w:r>
      <w:r w:rsidRPr="00875D9A">
        <w:rPr>
          <w:noProof/>
          <w:lang w:val="en-IE"/>
        </w:rPr>
        <w:t>.</w:t>
      </w:r>
    </w:p>
    <w:p w14:paraId="4506DD49" w14:textId="20BDF322" w:rsidR="00CC47DF" w:rsidRDefault="00CC47DF" w:rsidP="00CC47DF">
      <w:pPr>
        <w:pStyle w:val="Caption"/>
        <w:rPr>
          <w:noProof/>
        </w:rPr>
      </w:pPr>
      <w:bookmarkStart w:id="604" w:name="_Ref140737685"/>
      <w:bookmarkStart w:id="605" w:name="_Ref146097298"/>
      <w:bookmarkStart w:id="606" w:name="_Toc155942449"/>
      <w:bookmarkStart w:id="607" w:name="_Toc157679850"/>
      <w:r w:rsidRPr="00F206E3">
        <w:rPr>
          <w:noProof/>
        </w:rPr>
        <w:t xml:space="preserve">Figure </w:t>
      </w:r>
      <w:bookmarkEnd w:id="604"/>
      <w:r w:rsidRPr="00F206E3">
        <w:rPr>
          <w:noProof/>
        </w:rPr>
        <w:fldChar w:fldCharType="begin"/>
      </w:r>
      <w:r>
        <w:rPr>
          <w:noProof/>
        </w:rPr>
        <w:instrText xml:space="preserve"> SEQ Figure \* ARABIC </w:instrText>
      </w:r>
      <w:r w:rsidRPr="00F206E3">
        <w:rPr>
          <w:noProof/>
        </w:rPr>
        <w:fldChar w:fldCharType="separate"/>
      </w:r>
      <w:r w:rsidR="00170A3C">
        <w:rPr>
          <w:noProof/>
        </w:rPr>
        <w:t>102</w:t>
      </w:r>
      <w:r w:rsidRPr="00F206E3">
        <w:rPr>
          <w:noProof/>
        </w:rPr>
        <w:fldChar w:fldCharType="end"/>
      </w:r>
      <w:bookmarkEnd w:id="605"/>
      <w:r w:rsidRPr="00F206E3">
        <w:rPr>
          <w:noProof/>
        </w:rPr>
        <w:t xml:space="preserve">: </w:t>
      </w:r>
      <w:r>
        <w:rPr>
          <w:noProof/>
        </w:rPr>
        <w:t>Impact of frictions in investment decisions</w:t>
      </w:r>
      <w:bookmarkEnd w:id="606"/>
      <w:bookmarkEnd w:id="607"/>
    </w:p>
    <w:p w14:paraId="33641588" w14:textId="77777777" w:rsidR="00CC47DF" w:rsidRPr="00FC6857" w:rsidRDefault="00CC47DF" w:rsidP="00CC47DF">
      <w:pPr>
        <w:pStyle w:val="CT-SOURCE"/>
        <w:rPr>
          <w:rFonts w:ascii="Cambria Math" w:hAnsi="Cambria Math"/>
          <w:i w:val="0"/>
          <w:noProof/>
        </w:rPr>
      </w:pPr>
      <w:r w:rsidRPr="006314DE">
        <w:rPr>
          <w:noProof/>
          <w:color w:val="2B579A"/>
          <w:shd w:val="clear" w:color="auto" w:fill="E6E6E6"/>
          <w:lang w:val="en-GB" w:eastAsia="en-GB"/>
        </w:rPr>
        <w:drawing>
          <wp:inline distT="0" distB="0" distL="0" distR="0" wp14:anchorId="40617B31" wp14:editId="76BFD001">
            <wp:extent cx="5398770" cy="252349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5398770" cy="2523490"/>
                    </a:xfrm>
                    <a:prstGeom prst="rect">
                      <a:avLst/>
                    </a:prstGeom>
                    <a:noFill/>
                    <a:ln>
                      <a:noFill/>
                    </a:ln>
                  </pic:spPr>
                </pic:pic>
              </a:graphicData>
            </a:graphic>
          </wp:inline>
        </w:drawing>
      </w:r>
      <w:r w:rsidRPr="003D04DE">
        <w:rPr>
          <w:rFonts w:ascii="Cambria Math" w:hAnsi="Cambria Math"/>
          <w:noProof/>
        </w:rPr>
        <w:t xml:space="preserve"> </w:t>
      </w:r>
      <w:r w:rsidRPr="0047274C">
        <w:rPr>
          <w:noProof/>
        </w:rPr>
        <w:t>Source: E-QUEST.</w:t>
      </w:r>
    </w:p>
    <w:p w14:paraId="219ADE58" w14:textId="77777777" w:rsidR="00CC47DF" w:rsidRDefault="00CC47DF" w:rsidP="00CC47DF">
      <w:pPr>
        <w:rPr>
          <w:noProof/>
          <w:lang w:val="en-IE"/>
        </w:rPr>
      </w:pPr>
      <w:r>
        <w:rPr>
          <w:noProof/>
          <w:lang w:val="en-IE"/>
        </w:rPr>
        <w:t>A recent analysis by the European Central Bank</w:t>
      </w:r>
      <w:r w:rsidRPr="00CE2BB3">
        <w:rPr>
          <w:noProof/>
          <w:lang w:val="en-IE"/>
        </w:rPr>
        <w:t> (</w:t>
      </w:r>
      <w:r>
        <w:rPr>
          <w:rStyle w:val="FootnoteReference"/>
          <w:noProof/>
          <w:lang w:val="en-IE"/>
        </w:rPr>
        <w:footnoteReference w:id="263"/>
      </w:r>
      <w:r>
        <w:rPr>
          <w:noProof/>
          <w:lang w:val="en-IE"/>
        </w:rPr>
        <w:t>) also shows that an accelerated transition would provide significant benefits for firms, households and the financial system compared with a late-push scenario, which achieves the same level of ambition by a given year than under earlier action but postpones climate-related investment. Although the ECB’s analysis is set with a 2030 horizon and is based on scenarios that are not aligned with those considered in this impact assessment, the conclusions concur with those above in that delaying action (or misreading policy signals and making errors in expectations as in the modelling exercise above) is costly. The ECB analysis concludes that credit risk would increase during the transition under all scenarios, but that it would be particularly so in case of a “late-push” configuration that would require very high levels of investment under a shorted period. They conclude that while early action would lead to greater costs for households and firms in the short-term, it would lower financial risks in the medium term because of a decrease in energy-related expenses and that the earlier the transition happens, the smaller the financial risks and potential costs in terms of policy support. Finally, they indicate that their analysis does not find financial stability concerns of the euro area, even if the transition would increase banks’ expected losses and provisioning needs.</w:t>
      </w:r>
    </w:p>
    <w:p w14:paraId="4D50AAF0" w14:textId="77777777" w:rsidR="00CC47DF" w:rsidRDefault="00CC47DF" w:rsidP="00CC47DF">
      <w:pPr>
        <w:rPr>
          <w:noProof/>
          <w:lang w:val="en-IE"/>
        </w:rPr>
      </w:pPr>
      <w:r>
        <w:rPr>
          <w:noProof/>
          <w:lang w:val="en-IE"/>
        </w:rPr>
        <w:t xml:space="preserve">Cambridge Econometrics’s E3ME model was further used to assess the potential impact of increased investment costs (captured in modelling terms as a lower return on investment) due to decisions that are not fully aligned with the transition and GHG mitigation requirements. </w:t>
      </w:r>
      <w:r w:rsidRPr="002E4C35">
        <w:rPr>
          <w:noProof/>
          <w:lang w:val="en-IE"/>
        </w:rPr>
        <w:t xml:space="preserve">Assets </w:t>
      </w:r>
      <w:r>
        <w:rPr>
          <w:noProof/>
          <w:lang w:val="en-IE"/>
        </w:rPr>
        <w:t xml:space="preserve">in selected sectors (mining, manufacturing, electricity supply, land transport and real estate) </w:t>
      </w:r>
      <w:r w:rsidRPr="002E4C35">
        <w:rPr>
          <w:noProof/>
          <w:lang w:val="en-IE"/>
        </w:rPr>
        <w:t xml:space="preserve">are </w:t>
      </w:r>
      <w:r>
        <w:rPr>
          <w:noProof/>
          <w:lang w:val="en-IE"/>
        </w:rPr>
        <w:t xml:space="preserve">assumed to </w:t>
      </w:r>
      <w:r w:rsidRPr="002E4C35">
        <w:rPr>
          <w:noProof/>
          <w:lang w:val="en-IE"/>
        </w:rPr>
        <w:t>generat</w:t>
      </w:r>
      <w:r>
        <w:rPr>
          <w:noProof/>
          <w:lang w:val="en-IE"/>
        </w:rPr>
        <w:t>e</w:t>
      </w:r>
      <w:r w:rsidRPr="002E4C35">
        <w:rPr>
          <w:noProof/>
          <w:lang w:val="en-IE"/>
        </w:rPr>
        <w:t xml:space="preserve"> lower returns or </w:t>
      </w:r>
      <w:r>
        <w:rPr>
          <w:noProof/>
          <w:lang w:val="en-IE"/>
        </w:rPr>
        <w:t xml:space="preserve">to </w:t>
      </w:r>
      <w:r w:rsidRPr="002E4C35">
        <w:rPr>
          <w:noProof/>
          <w:lang w:val="en-IE"/>
        </w:rPr>
        <w:t>operat</w:t>
      </w:r>
      <w:r>
        <w:rPr>
          <w:noProof/>
          <w:lang w:val="en-IE"/>
        </w:rPr>
        <w:t>e</w:t>
      </w:r>
      <w:r w:rsidRPr="002E4C35">
        <w:rPr>
          <w:noProof/>
          <w:lang w:val="en-IE"/>
        </w:rPr>
        <w:t xml:space="preserve"> for a shorter lifetime than </w:t>
      </w:r>
      <w:r>
        <w:rPr>
          <w:noProof/>
          <w:lang w:val="en-IE"/>
        </w:rPr>
        <w:t>projected under the investment decision</w:t>
      </w:r>
      <w:r w:rsidRPr="002E4C35">
        <w:rPr>
          <w:noProof/>
          <w:lang w:val="en-IE"/>
        </w:rPr>
        <w:t xml:space="preserve">, </w:t>
      </w:r>
      <w:r>
        <w:rPr>
          <w:noProof/>
          <w:lang w:val="en-IE"/>
        </w:rPr>
        <w:t xml:space="preserve">which means that </w:t>
      </w:r>
      <w:r w:rsidRPr="002E4C35">
        <w:rPr>
          <w:noProof/>
          <w:lang w:val="en-IE"/>
        </w:rPr>
        <w:t xml:space="preserve">investors incur an additional cost to either scrap and replace </w:t>
      </w:r>
      <w:r>
        <w:rPr>
          <w:noProof/>
          <w:lang w:val="en-IE"/>
        </w:rPr>
        <w:t xml:space="preserve">assets earlier than planned, </w:t>
      </w:r>
      <w:r w:rsidRPr="002E4C35">
        <w:rPr>
          <w:noProof/>
          <w:lang w:val="en-IE"/>
        </w:rPr>
        <w:t xml:space="preserve">or </w:t>
      </w:r>
      <w:r>
        <w:rPr>
          <w:noProof/>
          <w:lang w:val="en-IE"/>
        </w:rPr>
        <w:t xml:space="preserve">to </w:t>
      </w:r>
      <w:r w:rsidRPr="002E4C35">
        <w:rPr>
          <w:noProof/>
          <w:lang w:val="en-IE"/>
        </w:rPr>
        <w:t>refurbish them to extend their lifetime</w:t>
      </w:r>
      <w:r>
        <w:rPr>
          <w:noProof/>
          <w:lang w:val="en-IE"/>
        </w:rPr>
        <w:t>. The assumed increase in costs range from 1% in the real estate sector to about 4% in manufacturing and 3% in electricity supply. Higher investment costs driven by misaligned investment decisions lead to an increase in consumer prices over the transition period as well as a negative impact on private consumption (</w:t>
      </w:r>
      <w:r>
        <w:rPr>
          <w:noProof/>
          <w:lang w:val="en-IE"/>
        </w:rPr>
        <w:noBreakHyphen/>
        <w:t>0.7%), investment (</w:t>
      </w:r>
      <w:r>
        <w:rPr>
          <w:noProof/>
          <w:lang w:val="en-IE"/>
        </w:rPr>
        <w:noBreakHyphen/>
        <w:t>0.2%) and GDP (</w:t>
      </w:r>
      <w:r>
        <w:rPr>
          <w:noProof/>
          <w:lang w:val="en-IE"/>
        </w:rPr>
        <w:noBreakHyphen/>
        <w:t>0.5%) by 2040, compared to the baseline without misallocations in investment decisions. Higher production costs also negatively impact total exports (</w:t>
      </w:r>
      <w:r>
        <w:rPr>
          <w:noProof/>
          <w:lang w:val="en-IE"/>
        </w:rPr>
        <w:noBreakHyphen/>
        <w:t>0.5%) and aggregate employment (</w:t>
      </w:r>
      <w:r>
        <w:rPr>
          <w:noProof/>
          <w:lang w:val="en-IE"/>
        </w:rPr>
        <w:noBreakHyphen/>
        <w:t>0.1%).</w:t>
      </w:r>
    </w:p>
    <w:p w14:paraId="2ABA9247" w14:textId="77777777" w:rsidR="00CC47DF" w:rsidRDefault="00CC47DF" w:rsidP="00CC47DF">
      <w:pPr>
        <w:rPr>
          <w:noProof/>
          <w:lang w:val="en-IE"/>
        </w:rPr>
      </w:pPr>
      <w:r>
        <w:rPr>
          <w:noProof/>
          <w:lang w:val="en-IE"/>
        </w:rPr>
        <w:t>Cambridge Econometrics’ E3ME model was also used to assess the impact of frictions and costs in the reallocation of the labour force across sectors of the economy. Transformations within sectors and across sectors constitute one of the main challenges of the transition to climate neutrality. Regardless of the scale of impacts on aggregate output, sectors will need to transform to adjust to the adoption of new production technologies and/or the production of new or different types of goods and services. On top of the capital investment needs that this will entail, the transformation will have significant impacts on the labour market, whether in terms of absolute and relative demand within and between sectors, occupations and skills requirements. It will also impact the investment needs in terms of labour force training, reskilling or upskilling.</w:t>
      </w:r>
    </w:p>
    <w:p w14:paraId="528A8682" w14:textId="77777777" w:rsidR="00CC47DF" w:rsidRDefault="00CC47DF" w:rsidP="00CC47DF">
      <w:pPr>
        <w:rPr>
          <w:noProof/>
          <w:lang w:val="en-IE"/>
        </w:rPr>
      </w:pPr>
      <w:r>
        <w:rPr>
          <w:noProof/>
          <w:lang w:val="en-IE"/>
        </w:rPr>
        <w:t>Two types of effects were therefore modelled to assess potential macro-economic impacts. First, the risks and impacts related to the reallocation of the labour force across occupations and sectors is modelled by assuming that the economy faces retraining/reskilling costs that would not occur otherwise. It is assumed that on average 10% of the workforce receives training specifically to adapt to the climate and energy transition every year (up to 2050). The training costs are assumed to amount to EUR 10 000 per worker in mining and extraction (i.e., to transition them to other sectors as such jobs gradually disappear), EUR 1 500 per worker in manufacturing and agriculture, and EUR 500 in other sectors, where the skills implications of the green transition are likely to be much less significant</w:t>
      </w:r>
      <w:r w:rsidRPr="00930D99">
        <w:rPr>
          <w:noProof/>
          <w:lang w:val="en-IE"/>
        </w:rPr>
        <w:t> (</w:t>
      </w:r>
      <w:r>
        <w:rPr>
          <w:rStyle w:val="FootnoteReference"/>
          <w:noProof/>
          <w:lang w:val="en-IE"/>
        </w:rPr>
        <w:footnoteReference w:id="264"/>
      </w:r>
      <w:r>
        <w:rPr>
          <w:noProof/>
          <w:lang w:val="en-IE"/>
        </w:rPr>
        <w:t>). In addition, basic training at a cost of EUR 1 100 per annum for around 300 000 new workers in low carbon jobs is projected up to 2030</w:t>
      </w:r>
      <w:r w:rsidRPr="00930D99">
        <w:rPr>
          <w:noProof/>
          <w:lang w:val="en-IE"/>
        </w:rPr>
        <w:t> (</w:t>
      </w:r>
      <w:r>
        <w:rPr>
          <w:rStyle w:val="FootnoteReference"/>
          <w:noProof/>
          <w:lang w:val="en-IE"/>
        </w:rPr>
        <w:footnoteReference w:id="265"/>
      </w:r>
      <w:r>
        <w:rPr>
          <w:noProof/>
          <w:lang w:val="en-IE"/>
        </w:rPr>
        <w:t xml:space="preserve">). It is further assumed that the costs are fully borne by the employers, which therefore translates into a small increase in labour costs. </w:t>
      </w:r>
    </w:p>
    <w:p w14:paraId="27570577" w14:textId="77777777" w:rsidR="00CC47DF" w:rsidRDefault="00CC47DF" w:rsidP="00CC47DF">
      <w:pPr>
        <w:rPr>
          <w:noProof/>
          <w:lang w:val="en-IE"/>
        </w:rPr>
      </w:pPr>
      <w:r>
        <w:rPr>
          <w:noProof/>
          <w:lang w:val="en-IE"/>
        </w:rPr>
        <w:t>Modelling results suggest that such training costs have negligible impacts at macro-economic levels. The larger training/re-skilling costs for workers in mining and extraction apply to a marginal segment of the labour force and even the skilling costs in manufacturing are relatively small in comparison to the total labour force and labour costs. While the model suggests a small increase in aggregate labour costs to employers, the negative impact on GDP or private consumption by 2040 amounts to less than 0.1 percentage point relative to the no-skilling costs baseline.</w:t>
      </w:r>
    </w:p>
    <w:p w14:paraId="507970B5" w14:textId="77777777" w:rsidR="00CC47DF" w:rsidRDefault="00CC47DF" w:rsidP="00CC47DF">
      <w:pPr>
        <w:rPr>
          <w:noProof/>
          <w:lang w:val="en-IE"/>
        </w:rPr>
      </w:pPr>
      <w:r>
        <w:rPr>
          <w:noProof/>
          <w:lang w:val="en-IE"/>
        </w:rPr>
        <w:t>Higher assumptions regarding training/re-skilling costs amplify the impacts to some extent, though they remain limited.  Using the same assumption as above on the training cost per worker in mining and extraction but doubling the percentage of the workforce receiving training to 20%, doubling the costs of training for workers in manufacturing (to EUR 3 000) and other sectors (to EUR 1 000), introducing a cost of training of EUR 5 000 per worker in construction and of EUR 10 000 per worker in energy intensive industries and increasing the number of new workers receiving training in low-carbon clean technology sectors to 568 000 generates a negative impact of about 0.25% and 0.35% of GDP in 2040 for GDP and private consumption, respectively.  It is important to note, however, that these results do not simulate the potential impact of skills/qualified labour not being sufficiently available for the deployment of green technologies. The latter remains a critical factor in the transition process, and it is assumed here that investing in training ensures that skills are indeed available as needed.</w:t>
      </w:r>
    </w:p>
    <w:p w14:paraId="7CB032BF" w14:textId="78085FA0" w:rsidR="00CC47DF" w:rsidRPr="00CC47DF" w:rsidRDefault="00CC47DF" w:rsidP="00CC47DF">
      <w:pPr>
        <w:rPr>
          <w:noProof/>
          <w:lang w:eastAsia="en-US"/>
        </w:rPr>
      </w:pPr>
      <w:r>
        <w:rPr>
          <w:noProof/>
          <w:lang w:val="en-IE"/>
        </w:rPr>
        <w:t>Second, there is firm-level evidence that on-the-job training leads to productivity and wage gains</w:t>
      </w:r>
      <w:r w:rsidRPr="00637AFF">
        <w:rPr>
          <w:noProof/>
          <w:lang w:val="en-IE"/>
        </w:rPr>
        <w:t> (</w:t>
      </w:r>
      <w:r>
        <w:rPr>
          <w:rStyle w:val="FootnoteReference"/>
          <w:noProof/>
          <w:lang w:val="en-IE"/>
        </w:rPr>
        <w:footnoteReference w:id="266"/>
      </w:r>
      <w:r>
        <w:rPr>
          <w:noProof/>
          <w:lang w:val="en-IE"/>
        </w:rPr>
        <w:t>). An economy-wide effort to train the work force in the context of the climate transition could therefore lead to productivity gains overall. The joint effect of such productivity gains and the small increase in labour costs due to training costs is assessed with the E3ME model by assuming that training positively impacts labour productivity of the affected labour force and that workers consequently benefit from a 1% increase in average wages from 2035, by when a full round of training is completed (assuming again that 10% of the labour force benefits from training each year). Higher wages feed into an increase of about 1.4% and 0.8% in private consumption and GDP, respectively, in 2040, with an associated small increase in consumer prices.</w:t>
      </w:r>
    </w:p>
    <w:p w14:paraId="51665349" w14:textId="11CF0D7B" w:rsidR="00DD6070" w:rsidRPr="00680783" w:rsidRDefault="00C6082E" w:rsidP="00680783">
      <w:pPr>
        <w:pStyle w:val="Heading2"/>
        <w:rPr>
          <w:noProof/>
        </w:rPr>
      </w:pPr>
      <w:bookmarkStart w:id="608" w:name="_Ref147339582"/>
      <w:bookmarkStart w:id="609" w:name="_Toc148605636"/>
      <w:bookmarkStart w:id="610" w:name="_Toc157692082"/>
      <w:r w:rsidRPr="00680783">
        <w:rPr>
          <w:noProof/>
        </w:rPr>
        <w:t>The investment agenda</w:t>
      </w:r>
      <w:r w:rsidR="00601065" w:rsidRPr="00601065">
        <w:rPr>
          <w:noProof/>
        </w:rPr>
        <w:t> (</w:t>
      </w:r>
      <w:r w:rsidR="00601065">
        <w:rPr>
          <w:rStyle w:val="FootnoteReference"/>
          <w:noProof/>
        </w:rPr>
        <w:footnoteReference w:id="267"/>
      </w:r>
      <w:r w:rsidR="00601065">
        <w:rPr>
          <w:noProof/>
        </w:rPr>
        <w:t>)</w:t>
      </w:r>
      <w:bookmarkEnd w:id="608"/>
      <w:bookmarkEnd w:id="609"/>
      <w:bookmarkEnd w:id="610"/>
    </w:p>
    <w:p w14:paraId="5D95F7F3" w14:textId="32A41294" w:rsidR="00DD6070" w:rsidRPr="00680783" w:rsidRDefault="00DD6070" w:rsidP="00680783">
      <w:pPr>
        <w:pStyle w:val="Heading3"/>
        <w:rPr>
          <w:noProof/>
        </w:rPr>
      </w:pPr>
      <w:bookmarkStart w:id="611" w:name="_Toc148605637"/>
      <w:bookmarkStart w:id="612" w:name="_Toc157692083"/>
      <w:r w:rsidRPr="00680783">
        <w:rPr>
          <w:noProof/>
        </w:rPr>
        <w:t>Aggregate investment needs</w:t>
      </w:r>
      <w:bookmarkEnd w:id="611"/>
      <w:bookmarkEnd w:id="612"/>
    </w:p>
    <w:p w14:paraId="4CB9186D" w14:textId="5974040E" w:rsidR="00161543" w:rsidRDefault="00780896" w:rsidP="00DD74D0">
      <w:pPr>
        <w:rPr>
          <w:noProof/>
        </w:rPr>
      </w:pPr>
      <w:r>
        <w:rPr>
          <w:noProof/>
        </w:rPr>
        <w:t>The transition to climate neutralit</w:t>
      </w:r>
      <w:r w:rsidR="00057762">
        <w:rPr>
          <w:noProof/>
        </w:rPr>
        <w:t xml:space="preserve">y </w:t>
      </w:r>
      <w:r w:rsidR="004B757F">
        <w:rPr>
          <w:noProof/>
        </w:rPr>
        <w:t xml:space="preserve">requires that the EU’s energy system be decarbonised </w:t>
      </w:r>
      <w:r w:rsidR="00F356C3">
        <w:rPr>
          <w:noProof/>
        </w:rPr>
        <w:t xml:space="preserve">rapidly and comprehensively. </w:t>
      </w:r>
      <w:r w:rsidR="004E4DF3">
        <w:rPr>
          <w:noProof/>
        </w:rPr>
        <w:t>All policy options envisaged in this impact assessment</w:t>
      </w:r>
      <w:r w:rsidR="00725AC1">
        <w:rPr>
          <w:noProof/>
        </w:rPr>
        <w:t xml:space="preserve"> impl</w:t>
      </w:r>
      <w:r w:rsidR="004E4DF3">
        <w:rPr>
          <w:noProof/>
        </w:rPr>
        <w:t>y an intensification in</w:t>
      </w:r>
      <w:r w:rsidR="00725AC1">
        <w:rPr>
          <w:noProof/>
        </w:rPr>
        <w:t xml:space="preserve"> efforts to replace fossil fuels with renewable and carbon-free sources of energy, achieving significant energy savings and the deployment of innovative processes in industry.</w:t>
      </w:r>
      <w:r w:rsidR="009B5E01">
        <w:rPr>
          <w:noProof/>
        </w:rPr>
        <w:t xml:space="preserve"> </w:t>
      </w:r>
      <w:r w:rsidR="008B7D34">
        <w:rPr>
          <w:noProof/>
        </w:rPr>
        <w:t>E</w:t>
      </w:r>
      <w:r w:rsidR="009B5E01">
        <w:rPr>
          <w:noProof/>
        </w:rPr>
        <w:t xml:space="preserve">xisting </w:t>
      </w:r>
      <w:r w:rsidR="008F1780">
        <w:rPr>
          <w:noProof/>
        </w:rPr>
        <w:t xml:space="preserve">capital </w:t>
      </w:r>
      <w:r w:rsidR="009B5E01">
        <w:rPr>
          <w:noProof/>
        </w:rPr>
        <w:t>assets</w:t>
      </w:r>
      <w:r w:rsidR="008F1780">
        <w:rPr>
          <w:noProof/>
        </w:rPr>
        <w:t xml:space="preserve"> </w:t>
      </w:r>
      <w:r w:rsidR="00CA7B7C">
        <w:rPr>
          <w:noProof/>
        </w:rPr>
        <w:t>(</w:t>
      </w:r>
      <w:r w:rsidR="008F1780">
        <w:rPr>
          <w:noProof/>
        </w:rPr>
        <w:t>e.g.</w:t>
      </w:r>
      <w:r w:rsidR="004B651F">
        <w:rPr>
          <w:noProof/>
        </w:rPr>
        <w:t>,</w:t>
      </w:r>
      <w:r w:rsidR="008F1780">
        <w:rPr>
          <w:noProof/>
        </w:rPr>
        <w:t xml:space="preserve"> </w:t>
      </w:r>
      <w:r w:rsidR="00234BC6">
        <w:rPr>
          <w:noProof/>
        </w:rPr>
        <w:t xml:space="preserve">fossil-based </w:t>
      </w:r>
      <w:r w:rsidR="008F1780">
        <w:rPr>
          <w:noProof/>
        </w:rPr>
        <w:t>power plants</w:t>
      </w:r>
      <w:r w:rsidR="00234BC6">
        <w:rPr>
          <w:noProof/>
        </w:rPr>
        <w:t>, heating and cooling systems or industrial processes</w:t>
      </w:r>
      <w:r w:rsidR="00CA7B7C">
        <w:rPr>
          <w:noProof/>
        </w:rPr>
        <w:t>)</w:t>
      </w:r>
      <w:r w:rsidR="009B5E01">
        <w:rPr>
          <w:noProof/>
        </w:rPr>
        <w:t xml:space="preserve"> </w:t>
      </w:r>
      <w:r w:rsidR="00CA7B7C">
        <w:rPr>
          <w:noProof/>
        </w:rPr>
        <w:t>will be</w:t>
      </w:r>
      <w:r w:rsidR="008F1780">
        <w:rPr>
          <w:noProof/>
        </w:rPr>
        <w:t xml:space="preserve"> replaced</w:t>
      </w:r>
      <w:r w:rsidR="002D470B">
        <w:rPr>
          <w:noProof/>
        </w:rPr>
        <w:t xml:space="preserve"> with renewab</w:t>
      </w:r>
      <w:r w:rsidR="00AC5B0C">
        <w:rPr>
          <w:noProof/>
        </w:rPr>
        <w:t>les</w:t>
      </w:r>
      <w:r w:rsidR="00E70B13">
        <w:rPr>
          <w:noProof/>
        </w:rPr>
        <w:t>, carbon-free</w:t>
      </w:r>
      <w:r w:rsidR="00AC5B0C">
        <w:rPr>
          <w:noProof/>
        </w:rPr>
        <w:t xml:space="preserve"> or electricity-based assets</w:t>
      </w:r>
      <w:r w:rsidR="00E71BFE">
        <w:rPr>
          <w:noProof/>
        </w:rPr>
        <w:t xml:space="preserve">, whose capital intensity may be larger </w:t>
      </w:r>
      <w:r w:rsidR="00B970F9">
        <w:rPr>
          <w:noProof/>
        </w:rPr>
        <w:t>than fossil-based assets</w:t>
      </w:r>
      <w:r w:rsidR="00CA7B7C">
        <w:rPr>
          <w:noProof/>
        </w:rPr>
        <w:t>. Therefore,</w:t>
      </w:r>
      <w:r w:rsidR="00DE7557">
        <w:rPr>
          <w:noProof/>
        </w:rPr>
        <w:t xml:space="preserve"> </w:t>
      </w:r>
      <w:r w:rsidR="00CA7B7C">
        <w:rPr>
          <w:noProof/>
        </w:rPr>
        <w:t>t</w:t>
      </w:r>
      <w:r w:rsidR="008B173C">
        <w:rPr>
          <w:noProof/>
        </w:rPr>
        <w:t xml:space="preserve">he transformations </w:t>
      </w:r>
      <w:r w:rsidR="002A5D43">
        <w:rPr>
          <w:noProof/>
        </w:rPr>
        <w:t>of</w:t>
      </w:r>
      <w:r w:rsidR="008B173C">
        <w:rPr>
          <w:noProof/>
        </w:rPr>
        <w:t xml:space="preserve"> the</w:t>
      </w:r>
      <w:r w:rsidR="008B173C" w:rsidRPr="00BC4A52">
        <w:rPr>
          <w:b/>
          <w:noProof/>
        </w:rPr>
        <w:t xml:space="preserve"> </w:t>
      </w:r>
      <w:r w:rsidR="008B173C">
        <w:rPr>
          <w:noProof/>
        </w:rPr>
        <w:t>energy system will require a general substitution of fossil fuels inputs with capital</w:t>
      </w:r>
      <w:r w:rsidR="002A5D43">
        <w:rPr>
          <w:noProof/>
        </w:rPr>
        <w:t>.</w:t>
      </w:r>
    </w:p>
    <w:p w14:paraId="2CF5D73A" w14:textId="7411500C" w:rsidR="005014DC" w:rsidRDefault="00D60BF3" w:rsidP="00DD74D0">
      <w:pPr>
        <w:rPr>
          <w:noProof/>
        </w:rPr>
      </w:pPr>
      <w:r>
        <w:rPr>
          <w:noProof/>
        </w:rPr>
        <w:t xml:space="preserve">As the </w:t>
      </w:r>
      <w:r w:rsidR="00DF3C09">
        <w:rPr>
          <w:noProof/>
        </w:rPr>
        <w:t xml:space="preserve">technologies to decarbonise the energy system are </w:t>
      </w:r>
      <w:r w:rsidR="0016485A">
        <w:rPr>
          <w:noProof/>
        </w:rPr>
        <w:t xml:space="preserve">mostly </w:t>
      </w:r>
      <w:r w:rsidR="003B6551">
        <w:rPr>
          <w:noProof/>
        </w:rPr>
        <w:t>identified</w:t>
      </w:r>
      <w:r w:rsidR="002907FB">
        <w:rPr>
          <w:noProof/>
        </w:rPr>
        <w:t xml:space="preserve">, if in </w:t>
      </w:r>
      <w:r w:rsidR="009D32BC">
        <w:rPr>
          <w:noProof/>
        </w:rPr>
        <w:t xml:space="preserve">certain </w:t>
      </w:r>
      <w:r w:rsidR="002907FB">
        <w:rPr>
          <w:noProof/>
        </w:rPr>
        <w:t>cases still in need of deployment at scale and at lower cost</w:t>
      </w:r>
      <w:r w:rsidR="008A6C57">
        <w:rPr>
          <w:noProof/>
        </w:rPr>
        <w:t>s</w:t>
      </w:r>
      <w:r w:rsidR="0016485A">
        <w:rPr>
          <w:noProof/>
        </w:rPr>
        <w:t xml:space="preserve">, </w:t>
      </w:r>
      <w:r w:rsidR="009A481C">
        <w:rPr>
          <w:noProof/>
        </w:rPr>
        <w:t>the transition</w:t>
      </w:r>
      <w:r w:rsidR="00790E28">
        <w:rPr>
          <w:noProof/>
        </w:rPr>
        <w:t xml:space="preserve"> </w:t>
      </w:r>
      <w:r w:rsidR="003C3707">
        <w:rPr>
          <w:noProof/>
        </w:rPr>
        <w:t xml:space="preserve">of the energy system </w:t>
      </w:r>
      <w:r w:rsidR="00790E28">
        <w:rPr>
          <w:noProof/>
        </w:rPr>
        <w:t xml:space="preserve">is to a large extent </w:t>
      </w:r>
      <w:r w:rsidR="00B61A7C">
        <w:rPr>
          <w:noProof/>
        </w:rPr>
        <w:t>an investment challenge</w:t>
      </w:r>
      <w:r w:rsidR="003B6551">
        <w:rPr>
          <w:noProof/>
        </w:rPr>
        <w:t xml:space="preserve">, </w:t>
      </w:r>
      <w:r w:rsidR="003B6551" w:rsidRPr="003B6551">
        <w:rPr>
          <w:noProof/>
        </w:rPr>
        <w:t>associated to questions on deployment capacity, including in terms of availability of raw materials and skilled labour force or acceptability</w:t>
      </w:r>
      <w:r w:rsidR="00B61A7C">
        <w:rPr>
          <w:noProof/>
        </w:rPr>
        <w:t xml:space="preserve">. </w:t>
      </w:r>
      <w:r w:rsidR="00D676DE">
        <w:rPr>
          <w:noProof/>
        </w:rPr>
        <w:t xml:space="preserve">The impact assessments for the </w:t>
      </w:r>
      <w:r w:rsidR="00AF4C9E">
        <w:rPr>
          <w:noProof/>
        </w:rPr>
        <w:t>2030 Climate Target Plan</w:t>
      </w:r>
      <w:r w:rsidR="00475175" w:rsidRPr="00475175">
        <w:rPr>
          <w:noProof/>
        </w:rPr>
        <w:t> (</w:t>
      </w:r>
      <w:r w:rsidR="00475175">
        <w:rPr>
          <w:rStyle w:val="FootnoteReference"/>
          <w:noProof/>
        </w:rPr>
        <w:footnoteReference w:id="268"/>
      </w:r>
      <w:r w:rsidR="00475175">
        <w:rPr>
          <w:noProof/>
        </w:rPr>
        <w:t>)</w:t>
      </w:r>
      <w:r w:rsidR="00AF4C9E">
        <w:rPr>
          <w:noProof/>
        </w:rPr>
        <w:t xml:space="preserve"> and the </w:t>
      </w:r>
      <w:r w:rsidR="00475175">
        <w:rPr>
          <w:noProof/>
        </w:rPr>
        <w:t xml:space="preserve">legislative </w:t>
      </w:r>
      <w:r w:rsidR="00AF4C9E">
        <w:rPr>
          <w:noProof/>
        </w:rPr>
        <w:t xml:space="preserve">proposals </w:t>
      </w:r>
      <w:r w:rsidR="00CA22A6">
        <w:rPr>
          <w:noProof/>
        </w:rPr>
        <w:t>under the Fit-for-55 package</w:t>
      </w:r>
      <w:r w:rsidR="007A5F77" w:rsidRPr="007A5F77">
        <w:rPr>
          <w:noProof/>
        </w:rPr>
        <w:t> (</w:t>
      </w:r>
      <w:r w:rsidR="007A5F77">
        <w:rPr>
          <w:rStyle w:val="FootnoteReference"/>
          <w:noProof/>
        </w:rPr>
        <w:footnoteReference w:id="269"/>
      </w:r>
      <w:r w:rsidR="007A5F77">
        <w:rPr>
          <w:noProof/>
        </w:rPr>
        <w:t>)</w:t>
      </w:r>
      <w:r w:rsidR="00C40E97">
        <w:rPr>
          <w:noProof/>
        </w:rPr>
        <w:t xml:space="preserve"> already assessed the scale of the investment </w:t>
      </w:r>
      <w:r w:rsidR="009E0D76">
        <w:rPr>
          <w:noProof/>
        </w:rPr>
        <w:t>requirements</w:t>
      </w:r>
      <w:r w:rsidR="00C40E97">
        <w:rPr>
          <w:noProof/>
        </w:rPr>
        <w:t xml:space="preserve"> up to 2030</w:t>
      </w:r>
      <w:r w:rsidR="00806A30">
        <w:rPr>
          <w:noProof/>
        </w:rPr>
        <w:t xml:space="preserve"> and stressed the need for </w:t>
      </w:r>
      <w:r w:rsidR="00524B2F">
        <w:rPr>
          <w:noProof/>
        </w:rPr>
        <w:t xml:space="preserve">a significant increase in energy system investment compared to </w:t>
      </w:r>
      <w:r w:rsidR="00B33C41">
        <w:rPr>
          <w:noProof/>
        </w:rPr>
        <w:t>the decade 2011-2020.</w:t>
      </w:r>
      <w:r w:rsidR="005F2E8F">
        <w:rPr>
          <w:noProof/>
        </w:rPr>
        <w:t xml:space="preserve"> The REPowerEU plan further </w:t>
      </w:r>
      <w:r w:rsidR="009174C7">
        <w:rPr>
          <w:noProof/>
        </w:rPr>
        <w:t xml:space="preserve">identified additional investment needs in order to </w:t>
      </w:r>
      <w:r w:rsidR="00706CEF">
        <w:rPr>
          <w:noProof/>
        </w:rPr>
        <w:t xml:space="preserve">reduce the EU’s dependence on Russian </w:t>
      </w:r>
      <w:r w:rsidR="00506891">
        <w:rPr>
          <w:noProof/>
        </w:rPr>
        <w:t>fossil fuels</w:t>
      </w:r>
      <w:r w:rsidR="00506891" w:rsidRPr="00506891">
        <w:rPr>
          <w:rFonts w:cs="Times New Roman"/>
          <w:noProof/>
        </w:rPr>
        <w:t> (</w:t>
      </w:r>
      <w:r w:rsidR="00506891">
        <w:rPr>
          <w:rStyle w:val="FootnoteReference"/>
          <w:noProof/>
        </w:rPr>
        <w:footnoteReference w:id="270"/>
      </w:r>
      <w:r w:rsidR="00506891">
        <w:rPr>
          <w:rFonts w:cs="Times New Roman"/>
          <w:noProof/>
        </w:rPr>
        <w:t>)</w:t>
      </w:r>
      <w:r w:rsidR="00506891">
        <w:rPr>
          <w:noProof/>
        </w:rPr>
        <w:t>.</w:t>
      </w:r>
    </w:p>
    <w:p w14:paraId="470DAEC0" w14:textId="36C5C8C9" w:rsidR="000133B4" w:rsidRDefault="007153BF" w:rsidP="00DD74D0">
      <w:pPr>
        <w:rPr>
          <w:noProof/>
        </w:rPr>
      </w:pPr>
      <w:bookmarkStart w:id="613" w:name="_Ref139890176"/>
      <w:r>
        <w:rPr>
          <w:noProof/>
        </w:rPr>
        <w:t xml:space="preserve">The </w:t>
      </w:r>
      <w:r w:rsidR="003B6551">
        <w:rPr>
          <w:noProof/>
        </w:rPr>
        <w:t>scenarios</w:t>
      </w:r>
      <w:r w:rsidR="00953532">
        <w:rPr>
          <w:noProof/>
        </w:rPr>
        <w:t xml:space="preserve"> </w:t>
      </w:r>
      <w:r>
        <w:rPr>
          <w:noProof/>
        </w:rPr>
        <w:t xml:space="preserve">assessed under this impact assessment </w:t>
      </w:r>
      <w:r w:rsidR="00854C14">
        <w:rPr>
          <w:noProof/>
        </w:rPr>
        <w:t>generate differentiated requirements in terms of aggregate investment</w:t>
      </w:r>
      <w:r w:rsidR="00275B9E">
        <w:rPr>
          <w:noProof/>
        </w:rPr>
        <w:t xml:space="preserve"> over the entire transition period from 203</w:t>
      </w:r>
      <w:r w:rsidR="004033D2">
        <w:rPr>
          <w:noProof/>
        </w:rPr>
        <w:t>1</w:t>
      </w:r>
      <w:r w:rsidR="00275B9E">
        <w:rPr>
          <w:noProof/>
        </w:rPr>
        <w:t xml:space="preserve"> to 2050</w:t>
      </w:r>
      <w:r w:rsidR="008E466D">
        <w:rPr>
          <w:noProof/>
        </w:rPr>
        <w:t xml:space="preserve">, as well as in terms of </w:t>
      </w:r>
      <w:r w:rsidR="004412D1">
        <w:rPr>
          <w:noProof/>
        </w:rPr>
        <w:t xml:space="preserve">the </w:t>
      </w:r>
      <w:r w:rsidR="008E466D">
        <w:rPr>
          <w:noProof/>
        </w:rPr>
        <w:t xml:space="preserve">sectoral </w:t>
      </w:r>
      <w:r w:rsidR="004412D1">
        <w:rPr>
          <w:noProof/>
        </w:rPr>
        <w:t>composition of these investment requirements and their timing during</w:t>
      </w:r>
      <w:r w:rsidR="003D0EA3">
        <w:rPr>
          <w:noProof/>
        </w:rPr>
        <w:t xml:space="preserve"> the post-2030 period.</w:t>
      </w:r>
      <w:r w:rsidR="001D7A16">
        <w:rPr>
          <w:noProof/>
        </w:rPr>
        <w:t xml:space="preserve"> What </w:t>
      </w:r>
      <w:r w:rsidR="00E20BE4">
        <w:rPr>
          <w:noProof/>
        </w:rPr>
        <w:t>is most</w:t>
      </w:r>
      <w:r w:rsidR="00730651">
        <w:rPr>
          <w:noProof/>
        </w:rPr>
        <w:t xml:space="preserve"> saliant across all scenarios</w:t>
      </w:r>
      <w:r w:rsidR="001D7A16">
        <w:rPr>
          <w:noProof/>
        </w:rPr>
        <w:t xml:space="preserve">, however, </w:t>
      </w:r>
      <w:r w:rsidR="00E44B72">
        <w:rPr>
          <w:noProof/>
        </w:rPr>
        <w:t>are the commonalities and</w:t>
      </w:r>
      <w:r w:rsidR="001D7A16">
        <w:rPr>
          <w:noProof/>
        </w:rPr>
        <w:t xml:space="preserve"> the need </w:t>
      </w:r>
      <w:r w:rsidR="00D27762">
        <w:rPr>
          <w:noProof/>
        </w:rPr>
        <w:t xml:space="preserve">for a significant investment </w:t>
      </w:r>
      <w:r w:rsidR="00C3442D">
        <w:rPr>
          <w:noProof/>
        </w:rPr>
        <w:t xml:space="preserve">effort over a prolonged period, </w:t>
      </w:r>
      <w:r w:rsidR="00C3442D" w:rsidRPr="00C3442D">
        <w:rPr>
          <w:noProof/>
        </w:rPr>
        <w:t xml:space="preserve">as carbon-intensive </w:t>
      </w:r>
      <w:r w:rsidR="00343F0A">
        <w:rPr>
          <w:noProof/>
        </w:rPr>
        <w:t xml:space="preserve">systems and </w:t>
      </w:r>
      <w:r w:rsidR="00C3442D" w:rsidRPr="00C3442D">
        <w:rPr>
          <w:noProof/>
        </w:rPr>
        <w:t xml:space="preserve">processes are substituted with capital intensive, carbon-free </w:t>
      </w:r>
      <w:r w:rsidR="00343F0A">
        <w:rPr>
          <w:noProof/>
        </w:rPr>
        <w:t>solutions</w:t>
      </w:r>
      <w:r w:rsidR="00C3442D" w:rsidRPr="00C3442D">
        <w:rPr>
          <w:noProof/>
        </w:rPr>
        <w:t xml:space="preserve"> on the supply and demand side</w:t>
      </w:r>
      <w:r w:rsidR="009E6276">
        <w:rPr>
          <w:noProof/>
        </w:rPr>
        <w:t xml:space="preserve"> (</w:t>
      </w:r>
      <w:r w:rsidR="00007A18" w:rsidRPr="0009775F">
        <w:rPr>
          <w:noProof/>
        </w:rPr>
        <w:fldChar w:fldCharType="begin"/>
      </w:r>
      <w:r w:rsidR="00007A18" w:rsidRPr="001F1F93">
        <w:rPr>
          <w:noProof/>
          <w:highlight w:val="yellow"/>
        </w:rPr>
        <w:instrText xml:space="preserve"> REF _Ref146098043 \h </w:instrText>
      </w:r>
      <w:r w:rsidR="001F1F93">
        <w:rPr>
          <w:noProof/>
          <w:highlight w:val="yellow"/>
        </w:rPr>
        <w:instrText xml:space="preserve"> \* MERGEFORMAT </w:instrText>
      </w:r>
      <w:r w:rsidR="00007A18" w:rsidRPr="0009775F">
        <w:rPr>
          <w:noProof/>
        </w:rPr>
      </w:r>
      <w:r w:rsidR="00007A18" w:rsidRPr="0009775F">
        <w:rPr>
          <w:noProof/>
        </w:rPr>
        <w:fldChar w:fldCharType="separate"/>
      </w:r>
      <w:r w:rsidR="00170A3C">
        <w:rPr>
          <w:noProof/>
        </w:rPr>
        <w:t>Table 26</w:t>
      </w:r>
      <w:r w:rsidR="00007A18" w:rsidRPr="0009775F">
        <w:rPr>
          <w:noProof/>
        </w:rPr>
        <w:fldChar w:fldCharType="end"/>
      </w:r>
      <w:r w:rsidR="009E6276">
        <w:rPr>
          <w:noProof/>
        </w:rPr>
        <w:t>)</w:t>
      </w:r>
      <w:r w:rsidR="00343F0A">
        <w:rPr>
          <w:noProof/>
        </w:rPr>
        <w:t>.</w:t>
      </w:r>
      <w:r w:rsidR="008C4C6F">
        <w:rPr>
          <w:noProof/>
        </w:rPr>
        <w:t xml:space="preserve"> What this indicates as well</w:t>
      </w:r>
      <w:r w:rsidR="008D423B">
        <w:rPr>
          <w:noProof/>
        </w:rPr>
        <w:t xml:space="preserve"> is the necessity to ensure that the conditions</w:t>
      </w:r>
      <w:r w:rsidR="005A4BAD">
        <w:rPr>
          <w:noProof/>
        </w:rPr>
        <w:t xml:space="preserve"> be in place to facilitate this level of investment</w:t>
      </w:r>
      <w:r w:rsidR="00E04971">
        <w:rPr>
          <w:noProof/>
        </w:rPr>
        <w:t xml:space="preserve"> and avoid </w:t>
      </w:r>
      <w:r w:rsidR="004F0998">
        <w:rPr>
          <w:noProof/>
        </w:rPr>
        <w:t xml:space="preserve">investment decisions that are not compatible with </w:t>
      </w:r>
      <w:r w:rsidR="00283FC4">
        <w:rPr>
          <w:noProof/>
        </w:rPr>
        <w:t>the transition</w:t>
      </w:r>
      <w:r w:rsidR="002011C8">
        <w:rPr>
          <w:noProof/>
        </w:rPr>
        <w:t xml:space="preserve">, including in terms of </w:t>
      </w:r>
      <w:r w:rsidR="00AD243E">
        <w:rPr>
          <w:noProof/>
        </w:rPr>
        <w:t>the clarity of signals</w:t>
      </w:r>
      <w:r w:rsidR="00C5527F">
        <w:rPr>
          <w:noProof/>
        </w:rPr>
        <w:t xml:space="preserve"> sent to investors and </w:t>
      </w:r>
      <w:r w:rsidR="005030DC">
        <w:rPr>
          <w:noProof/>
        </w:rPr>
        <w:t xml:space="preserve">in terms of </w:t>
      </w:r>
      <w:r w:rsidR="00C5527F">
        <w:rPr>
          <w:noProof/>
        </w:rPr>
        <w:t>access to finance</w:t>
      </w:r>
      <w:r w:rsidR="00931871">
        <w:rPr>
          <w:noProof/>
        </w:rPr>
        <w:t>, for businesses and households alike.</w:t>
      </w:r>
      <w:bookmarkEnd w:id="613"/>
    </w:p>
    <w:p w14:paraId="61628EEA" w14:textId="14479B5F" w:rsidR="009C7CB4" w:rsidRDefault="009C7CB4" w:rsidP="00295851">
      <w:pPr>
        <w:rPr>
          <w:noProof/>
        </w:rPr>
        <w:sectPr w:rsidR="009C7CB4">
          <w:headerReference w:type="even" r:id="rId124"/>
          <w:headerReference w:type="default" r:id="rId125"/>
          <w:footerReference w:type="even" r:id="rId126"/>
          <w:footerReference w:type="default" r:id="rId127"/>
          <w:headerReference w:type="first" r:id="rId128"/>
          <w:footerReference w:type="first" r:id="rId129"/>
          <w:pgSz w:w="11906" w:h="16838"/>
          <w:pgMar w:top="1020" w:right="1701" w:bottom="1020" w:left="1587" w:header="601" w:footer="1077" w:gutter="0"/>
          <w:cols w:space="720"/>
          <w:titlePg/>
          <w:docGrid w:linePitch="326"/>
        </w:sectPr>
      </w:pPr>
    </w:p>
    <w:p w14:paraId="3041A345" w14:textId="7C8A5274" w:rsidR="000F39BC" w:rsidRDefault="00E64731" w:rsidP="00E64731">
      <w:pPr>
        <w:pStyle w:val="Caption"/>
        <w:rPr>
          <w:noProof/>
        </w:rPr>
      </w:pPr>
      <w:bookmarkStart w:id="614" w:name="_Ref146098043"/>
      <w:bookmarkStart w:id="615" w:name="_Toc157679909"/>
      <w:r>
        <w:rPr>
          <w:noProof/>
        </w:rPr>
        <w:t xml:space="preserve">Table </w:t>
      </w:r>
      <w:r>
        <w:rPr>
          <w:noProof/>
        </w:rPr>
        <w:fldChar w:fldCharType="begin"/>
      </w:r>
      <w:r>
        <w:rPr>
          <w:noProof/>
        </w:rPr>
        <w:instrText>SEQ Table \* ARABIC</w:instrText>
      </w:r>
      <w:r>
        <w:rPr>
          <w:noProof/>
        </w:rPr>
        <w:fldChar w:fldCharType="separate"/>
      </w:r>
      <w:r w:rsidR="00170A3C">
        <w:rPr>
          <w:noProof/>
        </w:rPr>
        <w:t>26</w:t>
      </w:r>
      <w:r>
        <w:rPr>
          <w:noProof/>
        </w:rPr>
        <w:fldChar w:fldCharType="end"/>
      </w:r>
      <w:bookmarkEnd w:id="614"/>
      <w:r>
        <w:rPr>
          <w:noProof/>
        </w:rPr>
        <w:t xml:space="preserve">: </w:t>
      </w:r>
      <w:r w:rsidR="004244BA">
        <w:rPr>
          <w:noProof/>
        </w:rPr>
        <w:t>A</w:t>
      </w:r>
      <w:r>
        <w:rPr>
          <w:noProof/>
        </w:rPr>
        <w:t>verage annual energy system investment needs (billion EUR 20</w:t>
      </w:r>
      <w:r w:rsidR="00DD4C85">
        <w:rPr>
          <w:noProof/>
        </w:rPr>
        <w:t>23</w:t>
      </w:r>
      <w:r>
        <w:rPr>
          <w:noProof/>
        </w:rPr>
        <w:t>)</w:t>
      </w:r>
      <w:bookmarkEnd w:id="615"/>
    </w:p>
    <w:p w14:paraId="4DA335B3" w14:textId="0DC34953" w:rsidR="00E64731" w:rsidRDefault="00FD07A1" w:rsidP="009E6276">
      <w:pPr>
        <w:keepNext/>
        <w:spacing w:after="0"/>
        <w:jc w:val="center"/>
        <w:rPr>
          <w:rFonts w:ascii="Cambria Math" w:hAnsi="Cambria Math"/>
          <w:i/>
          <w:noProof/>
          <w:sz w:val="22"/>
          <w:szCs w:val="22"/>
        </w:rPr>
      </w:pPr>
      <w:r w:rsidRPr="00FD07A1">
        <w:rPr>
          <w:noProof/>
          <w:lang w:eastAsia="en-GB"/>
        </w:rPr>
        <w:drawing>
          <wp:inline distT="0" distB="0" distL="0" distR="0" wp14:anchorId="61CB052B" wp14:editId="6301799D">
            <wp:extent cx="9396730" cy="366204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9396730" cy="3662045"/>
                    </a:xfrm>
                    <a:prstGeom prst="rect">
                      <a:avLst/>
                    </a:prstGeom>
                    <a:noFill/>
                    <a:ln>
                      <a:noFill/>
                    </a:ln>
                  </pic:spPr>
                </pic:pic>
              </a:graphicData>
            </a:graphic>
          </wp:inline>
        </w:drawing>
      </w:r>
    </w:p>
    <w:p w14:paraId="03B581D4" w14:textId="07A2AA26" w:rsidR="00E64731" w:rsidRPr="0047274C" w:rsidRDefault="00E64731" w:rsidP="00501756">
      <w:pPr>
        <w:pStyle w:val="CT-SOURCE"/>
        <w:rPr>
          <w:i w:val="0"/>
          <w:noProof/>
        </w:rPr>
      </w:pPr>
      <w:r w:rsidRPr="0047274C">
        <w:rPr>
          <w:noProof/>
        </w:rPr>
        <w:t>Source: PRIMES.</w:t>
      </w:r>
    </w:p>
    <w:p w14:paraId="217F7143" w14:textId="0666324C" w:rsidR="009C7CB4" w:rsidRDefault="009C7CB4" w:rsidP="00DD74D0">
      <w:pPr>
        <w:rPr>
          <w:noProof/>
        </w:rPr>
      </w:pPr>
    </w:p>
    <w:p w14:paraId="3128D0A9" w14:textId="19A453D2" w:rsidR="009C7CB4" w:rsidRDefault="009C7CB4" w:rsidP="00DD74D0">
      <w:pPr>
        <w:rPr>
          <w:noProof/>
        </w:rPr>
        <w:sectPr w:rsidR="009C7CB4" w:rsidSect="009C7CB4">
          <w:headerReference w:type="even" r:id="rId131"/>
          <w:headerReference w:type="default" r:id="rId132"/>
          <w:footerReference w:type="even" r:id="rId133"/>
          <w:footerReference w:type="default" r:id="rId134"/>
          <w:headerReference w:type="first" r:id="rId135"/>
          <w:footerReference w:type="first" r:id="rId136"/>
          <w:pgSz w:w="16838" w:h="11906" w:orient="landscape"/>
          <w:pgMar w:top="1587" w:right="1020" w:bottom="1701" w:left="1020" w:header="601" w:footer="1077" w:gutter="0"/>
          <w:cols w:space="720"/>
          <w:titlePg/>
          <w:docGrid w:linePitch="326"/>
        </w:sectPr>
      </w:pPr>
    </w:p>
    <w:p w14:paraId="2D87C1AF" w14:textId="5FA41368" w:rsidR="006A75F8" w:rsidRDefault="00D4635E" w:rsidP="00DD74D0">
      <w:pPr>
        <w:rPr>
          <w:noProof/>
        </w:rPr>
      </w:pPr>
      <w:r>
        <w:rPr>
          <w:noProof/>
        </w:rPr>
        <w:t xml:space="preserve">Overall, the scenarios </w:t>
      </w:r>
      <w:r w:rsidR="00634709">
        <w:rPr>
          <w:noProof/>
        </w:rPr>
        <w:t xml:space="preserve">and associated pathways </w:t>
      </w:r>
      <w:r w:rsidR="00E65645">
        <w:rPr>
          <w:noProof/>
        </w:rPr>
        <w:t>imply</w:t>
      </w:r>
      <w:r w:rsidR="003D7C32">
        <w:rPr>
          <w:noProof/>
        </w:rPr>
        <w:t xml:space="preserve"> </w:t>
      </w:r>
      <w:r w:rsidR="005A17B6">
        <w:rPr>
          <w:noProof/>
        </w:rPr>
        <w:t xml:space="preserve">annual energy system </w:t>
      </w:r>
      <w:r w:rsidR="003D7C32">
        <w:rPr>
          <w:noProof/>
        </w:rPr>
        <w:t>investment need</w:t>
      </w:r>
      <w:r w:rsidR="00C31199">
        <w:rPr>
          <w:noProof/>
        </w:rPr>
        <w:t>s</w:t>
      </w:r>
      <w:r w:rsidR="003A36C3">
        <w:rPr>
          <w:noProof/>
        </w:rPr>
        <w:t xml:space="preserve"> (excluding transport)</w:t>
      </w:r>
      <w:r w:rsidR="003D7C32">
        <w:rPr>
          <w:noProof/>
        </w:rPr>
        <w:t xml:space="preserve"> </w:t>
      </w:r>
      <w:r w:rsidR="00F10F37">
        <w:rPr>
          <w:noProof/>
        </w:rPr>
        <w:t xml:space="preserve">at or </w:t>
      </w:r>
      <w:r w:rsidR="00BF1BB3">
        <w:rPr>
          <w:noProof/>
        </w:rPr>
        <w:t>above</w:t>
      </w:r>
      <w:r w:rsidR="00EC32C9">
        <w:rPr>
          <w:noProof/>
        </w:rPr>
        <w:t xml:space="preserve"> </w:t>
      </w:r>
      <w:r w:rsidR="00EC32C9" w:rsidRPr="00F62C60">
        <w:rPr>
          <w:noProof/>
        </w:rPr>
        <w:t>3%</w:t>
      </w:r>
      <w:r w:rsidR="00EC32C9">
        <w:rPr>
          <w:noProof/>
        </w:rPr>
        <w:t xml:space="preserve"> of GDP </w:t>
      </w:r>
      <w:r w:rsidR="005A17B6">
        <w:rPr>
          <w:noProof/>
        </w:rPr>
        <w:t>for the two decades from 2031 to 2050</w:t>
      </w:r>
      <w:r w:rsidR="002C24BD">
        <w:rPr>
          <w:noProof/>
        </w:rPr>
        <w:t xml:space="preserve"> (</w:t>
      </w:r>
      <w:r w:rsidR="009E6276" w:rsidRPr="00015153">
        <w:rPr>
          <w:noProof/>
          <w:color w:val="2B579A"/>
          <w:shd w:val="clear" w:color="auto" w:fill="E6E6E6"/>
        </w:rPr>
        <w:fldChar w:fldCharType="begin"/>
      </w:r>
      <w:r w:rsidR="009E6276" w:rsidRPr="001F1F93">
        <w:rPr>
          <w:noProof/>
          <w:highlight w:val="yellow"/>
        </w:rPr>
        <w:instrText xml:space="preserve"> REF _Ref146097551 \h </w:instrText>
      </w:r>
      <w:r w:rsidR="001F1F93">
        <w:rPr>
          <w:noProof/>
          <w:color w:val="2B579A"/>
          <w:highlight w:val="yellow"/>
          <w:shd w:val="clear" w:color="auto" w:fill="E6E6E6"/>
        </w:rPr>
        <w:instrText xml:space="preserve"> \* MERGEFORMAT </w:instrText>
      </w:r>
      <w:r w:rsidR="009E6276" w:rsidRPr="00015153">
        <w:rPr>
          <w:noProof/>
          <w:color w:val="2B579A"/>
          <w:shd w:val="clear" w:color="auto" w:fill="E6E6E6"/>
        </w:rPr>
      </w:r>
      <w:r w:rsidR="009E6276" w:rsidRPr="00015153">
        <w:rPr>
          <w:noProof/>
          <w:color w:val="2B579A"/>
          <w:shd w:val="clear" w:color="auto" w:fill="E6E6E6"/>
        </w:rPr>
        <w:fldChar w:fldCharType="separate"/>
      </w:r>
      <w:r w:rsidR="00170A3C">
        <w:rPr>
          <w:noProof/>
        </w:rPr>
        <w:t>Figure 103</w:t>
      </w:r>
      <w:r w:rsidR="009E6276" w:rsidRPr="00015153">
        <w:rPr>
          <w:noProof/>
          <w:color w:val="2B579A"/>
          <w:shd w:val="clear" w:color="auto" w:fill="E6E6E6"/>
        </w:rPr>
        <w:fldChar w:fldCharType="end"/>
      </w:r>
      <w:r w:rsidR="000E6523">
        <w:rPr>
          <w:noProof/>
        </w:rPr>
        <w:t>)</w:t>
      </w:r>
      <w:r w:rsidR="005A17B6">
        <w:rPr>
          <w:noProof/>
        </w:rPr>
        <w:t>.</w:t>
      </w:r>
      <w:r w:rsidR="006A75F8">
        <w:rPr>
          <w:noProof/>
        </w:rPr>
        <w:t xml:space="preserve"> This amounts to an additional </w:t>
      </w:r>
      <w:r w:rsidR="006A75F8" w:rsidRPr="00F62C60">
        <w:rPr>
          <w:noProof/>
        </w:rPr>
        <w:t>1.5 to 2</w:t>
      </w:r>
      <w:r w:rsidR="00CB0E61">
        <w:rPr>
          <w:noProof/>
        </w:rPr>
        <w:t> </w:t>
      </w:r>
      <w:r w:rsidR="006A75F8" w:rsidRPr="00F62C60">
        <w:rPr>
          <w:noProof/>
        </w:rPr>
        <w:t>percentage points</w:t>
      </w:r>
      <w:r w:rsidR="006A75F8">
        <w:rPr>
          <w:noProof/>
        </w:rPr>
        <w:t xml:space="preserve"> of GDP</w:t>
      </w:r>
      <w:r w:rsidR="00F019AE">
        <w:rPr>
          <w:noProof/>
        </w:rPr>
        <w:t xml:space="preserve"> compared to the average </w:t>
      </w:r>
      <w:r w:rsidR="000B4F0C">
        <w:rPr>
          <w:noProof/>
        </w:rPr>
        <w:t>in</w:t>
      </w:r>
      <w:r w:rsidR="00F019AE">
        <w:rPr>
          <w:noProof/>
        </w:rPr>
        <w:t xml:space="preserve"> 2011-2020.</w:t>
      </w:r>
      <w:r w:rsidR="0097029D">
        <w:rPr>
          <w:noProof/>
        </w:rPr>
        <w:t xml:space="preserve"> A higher level of ambition </w:t>
      </w:r>
      <w:r w:rsidR="00690D10">
        <w:rPr>
          <w:noProof/>
        </w:rPr>
        <w:t>in 2040 is</w:t>
      </w:r>
      <w:r w:rsidR="00DE0C41">
        <w:rPr>
          <w:noProof/>
        </w:rPr>
        <w:t xml:space="preserve">, as expected, associated with </w:t>
      </w:r>
      <w:r w:rsidR="00C910CD">
        <w:rPr>
          <w:noProof/>
        </w:rPr>
        <w:t xml:space="preserve">higher </w:t>
      </w:r>
      <w:r w:rsidR="000B4F0C">
        <w:rPr>
          <w:noProof/>
        </w:rPr>
        <w:t xml:space="preserve">annual </w:t>
      </w:r>
      <w:r w:rsidR="00C910CD">
        <w:rPr>
          <w:noProof/>
        </w:rPr>
        <w:t xml:space="preserve">investment needs in </w:t>
      </w:r>
      <w:r w:rsidR="000B4F0C">
        <w:rPr>
          <w:noProof/>
        </w:rPr>
        <w:t>2031-2040</w:t>
      </w:r>
      <w:r w:rsidR="00676741">
        <w:rPr>
          <w:noProof/>
        </w:rPr>
        <w:t xml:space="preserve"> th</w:t>
      </w:r>
      <w:r w:rsidR="00931C5B">
        <w:rPr>
          <w:noProof/>
        </w:rPr>
        <w:t>a</w:t>
      </w:r>
      <w:r w:rsidR="00676741">
        <w:rPr>
          <w:noProof/>
        </w:rPr>
        <w:t xml:space="preserve">n lower </w:t>
      </w:r>
      <w:r w:rsidR="002A42F0">
        <w:rPr>
          <w:noProof/>
        </w:rPr>
        <w:t xml:space="preserve">levels of </w:t>
      </w:r>
      <w:r w:rsidR="00676741">
        <w:rPr>
          <w:noProof/>
        </w:rPr>
        <w:t>ambition</w:t>
      </w:r>
      <w:r w:rsidR="002A42F0">
        <w:rPr>
          <w:noProof/>
        </w:rPr>
        <w:t xml:space="preserve"> in 2040</w:t>
      </w:r>
      <w:r w:rsidR="00084FC4">
        <w:rPr>
          <w:noProof/>
        </w:rPr>
        <w:t xml:space="preserve">, but also with comparatively lower investment requirements in </w:t>
      </w:r>
      <w:r w:rsidR="005C5FCA">
        <w:rPr>
          <w:noProof/>
        </w:rPr>
        <w:t>2041-2050</w:t>
      </w:r>
      <w:r w:rsidR="00E42EDC">
        <w:rPr>
          <w:noProof/>
        </w:rPr>
        <w:t xml:space="preserve"> due to the </w:t>
      </w:r>
      <w:r w:rsidR="002A5A67">
        <w:rPr>
          <w:noProof/>
        </w:rPr>
        <w:t>early push on</w:t>
      </w:r>
      <w:r w:rsidR="00E42EDC">
        <w:rPr>
          <w:noProof/>
        </w:rPr>
        <w:t xml:space="preserve"> decarbonisation </w:t>
      </w:r>
      <w:r w:rsidR="003A04C7">
        <w:rPr>
          <w:noProof/>
        </w:rPr>
        <w:t>projects.</w:t>
      </w:r>
    </w:p>
    <w:p w14:paraId="41C6B2EB" w14:textId="7766C584" w:rsidR="00343F0A" w:rsidRDefault="00643A58" w:rsidP="009E6276">
      <w:pPr>
        <w:pStyle w:val="Caption"/>
        <w:rPr>
          <w:noProof/>
        </w:rPr>
      </w:pPr>
      <w:bookmarkStart w:id="616" w:name="_Ref140737839"/>
      <w:bookmarkStart w:id="617" w:name="_Ref146097551"/>
      <w:bookmarkStart w:id="618" w:name="_Ref138864631"/>
      <w:bookmarkStart w:id="619" w:name="_Toc157679851"/>
      <w:r>
        <w:rPr>
          <w:noProof/>
        </w:rPr>
        <w:t xml:space="preserve">Figure </w:t>
      </w:r>
      <w:bookmarkEnd w:id="616"/>
      <w:r w:rsidR="00F2742D">
        <w:rPr>
          <w:noProof/>
        </w:rPr>
        <w:fldChar w:fldCharType="begin"/>
      </w:r>
      <w:r w:rsidR="00F2742D">
        <w:rPr>
          <w:noProof/>
        </w:rPr>
        <w:instrText xml:space="preserve"> SEQ Figure \* ARABIC </w:instrText>
      </w:r>
      <w:r w:rsidR="00F2742D">
        <w:rPr>
          <w:noProof/>
        </w:rPr>
        <w:fldChar w:fldCharType="separate"/>
      </w:r>
      <w:r w:rsidR="00170A3C">
        <w:rPr>
          <w:noProof/>
        </w:rPr>
        <w:t>103</w:t>
      </w:r>
      <w:r w:rsidR="00F2742D">
        <w:rPr>
          <w:noProof/>
        </w:rPr>
        <w:fldChar w:fldCharType="end"/>
      </w:r>
      <w:bookmarkEnd w:id="617"/>
      <w:r w:rsidR="004033D2">
        <w:rPr>
          <w:noProof/>
        </w:rPr>
        <w:t xml:space="preserve">: </w:t>
      </w:r>
      <w:r w:rsidR="009E6276">
        <w:rPr>
          <w:noProof/>
        </w:rPr>
        <w:t>A</w:t>
      </w:r>
      <w:r w:rsidR="00D36225">
        <w:rPr>
          <w:noProof/>
        </w:rPr>
        <w:t xml:space="preserve">verage </w:t>
      </w:r>
      <w:r w:rsidR="000B440B">
        <w:rPr>
          <w:noProof/>
        </w:rPr>
        <w:t xml:space="preserve">annual </w:t>
      </w:r>
      <w:r w:rsidR="005F4C4C">
        <w:rPr>
          <w:noProof/>
        </w:rPr>
        <w:t xml:space="preserve">energy system </w:t>
      </w:r>
      <w:r w:rsidR="004033D2">
        <w:rPr>
          <w:noProof/>
        </w:rPr>
        <w:t xml:space="preserve">investment </w:t>
      </w:r>
      <w:r w:rsidR="00D8430F">
        <w:rPr>
          <w:noProof/>
        </w:rPr>
        <w:t>needs</w:t>
      </w:r>
      <w:r w:rsidR="00B97139">
        <w:rPr>
          <w:noProof/>
        </w:rPr>
        <w:t>,</w:t>
      </w:r>
      <w:r w:rsidR="000B4F0C">
        <w:rPr>
          <w:noProof/>
        </w:rPr>
        <w:t xml:space="preserve"> </w:t>
      </w:r>
      <w:r w:rsidR="00D8430F">
        <w:rPr>
          <w:noProof/>
        </w:rPr>
        <w:t>excluding transport</w:t>
      </w:r>
      <w:bookmarkEnd w:id="618"/>
      <w:bookmarkEnd w:id="619"/>
    </w:p>
    <w:p w14:paraId="4007549D" w14:textId="61A0A7EC" w:rsidR="00343F0A" w:rsidRDefault="00B97176" w:rsidP="009E6276">
      <w:pPr>
        <w:keepNext/>
        <w:spacing w:after="0"/>
        <w:jc w:val="center"/>
        <w:rPr>
          <w:noProof/>
        </w:rPr>
      </w:pPr>
      <w:r w:rsidRPr="00B97176">
        <w:rPr>
          <w:noProof/>
          <w:lang w:eastAsia="en-GB"/>
        </w:rPr>
        <w:drawing>
          <wp:inline distT="0" distB="0" distL="0" distR="0" wp14:anchorId="3427E863" wp14:editId="7D36731F">
            <wp:extent cx="5393690" cy="2546985"/>
            <wp:effectExtent l="0" t="0" r="0" b="571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5393690" cy="2546985"/>
                    </a:xfrm>
                    <a:prstGeom prst="rect">
                      <a:avLst/>
                    </a:prstGeom>
                    <a:noFill/>
                    <a:ln>
                      <a:noFill/>
                    </a:ln>
                  </pic:spPr>
                </pic:pic>
              </a:graphicData>
            </a:graphic>
          </wp:inline>
        </w:drawing>
      </w:r>
    </w:p>
    <w:p w14:paraId="0EA7F819" w14:textId="1DDA2526" w:rsidR="00313EC0" w:rsidRPr="0047274C" w:rsidRDefault="00313EC0" w:rsidP="00501756">
      <w:pPr>
        <w:pStyle w:val="CT-SOURCE"/>
        <w:rPr>
          <w:i w:val="0"/>
          <w:noProof/>
        </w:rPr>
      </w:pPr>
      <w:r w:rsidRPr="0047274C">
        <w:rPr>
          <w:noProof/>
        </w:rPr>
        <w:t xml:space="preserve">Source: </w:t>
      </w:r>
      <w:r w:rsidR="00697F66" w:rsidRPr="0047274C">
        <w:rPr>
          <w:noProof/>
        </w:rPr>
        <w:t>PRIMES</w:t>
      </w:r>
      <w:r w:rsidR="005542B7" w:rsidRPr="0047274C">
        <w:rPr>
          <w:noProof/>
        </w:rPr>
        <w:t>.</w:t>
      </w:r>
    </w:p>
    <w:p w14:paraId="688CBA1A" w14:textId="3FA05ED5" w:rsidR="00826E2F" w:rsidRDefault="00412212" w:rsidP="00826E2F">
      <w:pPr>
        <w:rPr>
          <w:noProof/>
        </w:rPr>
      </w:pPr>
      <w:r w:rsidRPr="00412212">
        <w:rPr>
          <w:noProof/>
        </w:rPr>
        <w:t>Cumulatively over the two decades</w:t>
      </w:r>
      <w:r w:rsidR="000B4F0C">
        <w:rPr>
          <w:noProof/>
        </w:rPr>
        <w:t xml:space="preserve"> (2031-2050)</w:t>
      </w:r>
      <w:r w:rsidRPr="00412212">
        <w:rPr>
          <w:noProof/>
        </w:rPr>
        <w:t xml:space="preserve">, </w:t>
      </w:r>
      <w:r w:rsidR="000B4F0C">
        <w:rPr>
          <w:noProof/>
        </w:rPr>
        <w:t>S3</w:t>
      </w:r>
      <w:r w:rsidRPr="00412212">
        <w:rPr>
          <w:noProof/>
        </w:rPr>
        <w:t xml:space="preserve"> implies a </w:t>
      </w:r>
      <w:r w:rsidR="00E84D09">
        <w:rPr>
          <w:noProof/>
        </w:rPr>
        <w:t xml:space="preserve">somewhat </w:t>
      </w:r>
      <w:r w:rsidRPr="00412212">
        <w:rPr>
          <w:noProof/>
        </w:rPr>
        <w:t xml:space="preserve">higher level of investment as well, partly because technologies need to be deployed faster, which reduces the gains from the projected decrease in the cost of decarbonisation technologies over time through learning-by-doing. </w:t>
      </w:r>
      <w:r w:rsidR="000B4F0C">
        <w:rPr>
          <w:noProof/>
        </w:rPr>
        <w:t>S2</w:t>
      </w:r>
      <w:r w:rsidRPr="00412212">
        <w:rPr>
          <w:noProof/>
        </w:rPr>
        <w:t xml:space="preserve"> yields a smoother investment profile over the entire period 2031-2050 and avoids either </w:t>
      </w:r>
      <w:r w:rsidR="002A5A67">
        <w:rPr>
          <w:noProof/>
        </w:rPr>
        <w:t>anticipating or delaying investments</w:t>
      </w:r>
      <w:r w:rsidRPr="00412212">
        <w:rPr>
          <w:noProof/>
        </w:rPr>
        <w:t>. In turn, behavioural changes (LIFE), including in terms of mobility, consumption and energy use in the residential sector, enable a reduction in investment needs across the entire period</w:t>
      </w:r>
      <w:r w:rsidR="002E6587">
        <w:rPr>
          <w:noProof/>
        </w:rPr>
        <w:t xml:space="preserve"> (</w:t>
      </w:r>
      <w:r w:rsidR="009E6276" w:rsidRPr="00015153">
        <w:rPr>
          <w:noProof/>
        </w:rPr>
        <w:fldChar w:fldCharType="begin"/>
      </w:r>
      <w:r w:rsidR="009E6276" w:rsidRPr="001F1F93">
        <w:rPr>
          <w:noProof/>
          <w:highlight w:val="yellow"/>
        </w:rPr>
        <w:instrText xml:space="preserve"> REF _Ref146097633 \h </w:instrText>
      </w:r>
      <w:r w:rsidR="001F1F93">
        <w:rPr>
          <w:noProof/>
          <w:highlight w:val="yellow"/>
        </w:rPr>
        <w:instrText xml:space="preserve"> \* MERGEFORMAT </w:instrText>
      </w:r>
      <w:r w:rsidR="009E6276" w:rsidRPr="00015153">
        <w:rPr>
          <w:noProof/>
        </w:rPr>
      </w:r>
      <w:r w:rsidR="009E6276" w:rsidRPr="00015153">
        <w:rPr>
          <w:noProof/>
        </w:rPr>
        <w:fldChar w:fldCharType="separate"/>
      </w:r>
      <w:r w:rsidR="00170A3C">
        <w:rPr>
          <w:noProof/>
        </w:rPr>
        <w:t>Figure 104</w:t>
      </w:r>
      <w:r w:rsidR="009E6276" w:rsidRPr="00015153">
        <w:rPr>
          <w:noProof/>
        </w:rPr>
        <w:fldChar w:fldCharType="end"/>
      </w:r>
      <w:r w:rsidR="002E6587">
        <w:rPr>
          <w:noProof/>
        </w:rPr>
        <w:t>)</w:t>
      </w:r>
      <w:r w:rsidRPr="00412212">
        <w:rPr>
          <w:noProof/>
        </w:rPr>
        <w:t xml:space="preserve">. Excluding transport, </w:t>
      </w:r>
      <w:r w:rsidR="0066277C">
        <w:rPr>
          <w:noProof/>
        </w:rPr>
        <w:t xml:space="preserve">average </w:t>
      </w:r>
      <w:r w:rsidRPr="00412212">
        <w:rPr>
          <w:noProof/>
        </w:rPr>
        <w:t>annual investment needs</w:t>
      </w:r>
      <w:r w:rsidR="00ED269A">
        <w:rPr>
          <w:noProof/>
        </w:rPr>
        <w:t xml:space="preserve"> in</w:t>
      </w:r>
      <w:r w:rsidR="00C971F1">
        <w:rPr>
          <w:noProof/>
        </w:rPr>
        <w:t xml:space="preserve"> </w:t>
      </w:r>
      <w:r w:rsidRPr="00412212">
        <w:rPr>
          <w:noProof/>
        </w:rPr>
        <w:t xml:space="preserve">2031-2050 </w:t>
      </w:r>
      <w:r w:rsidR="0066277C">
        <w:rPr>
          <w:noProof/>
        </w:rPr>
        <w:t>can be</w:t>
      </w:r>
      <w:r w:rsidRPr="00412212">
        <w:rPr>
          <w:noProof/>
        </w:rPr>
        <w:t xml:space="preserve"> </w:t>
      </w:r>
      <w:r w:rsidR="0066277C">
        <w:rPr>
          <w:noProof/>
        </w:rPr>
        <w:t>reduced by about EUR 4</w:t>
      </w:r>
      <w:r w:rsidR="002136AC">
        <w:rPr>
          <w:noProof/>
        </w:rPr>
        <w:t>7</w:t>
      </w:r>
      <w:r w:rsidR="0066277C">
        <w:rPr>
          <w:noProof/>
        </w:rPr>
        <w:t> billion (</w:t>
      </w:r>
      <w:r w:rsidR="0020522D">
        <w:rPr>
          <w:noProof/>
        </w:rPr>
        <w:t>7</w:t>
      </w:r>
      <w:r w:rsidR="0066277C">
        <w:rPr>
          <w:noProof/>
        </w:rPr>
        <w:t>%)</w:t>
      </w:r>
      <w:r w:rsidR="0020522D">
        <w:rPr>
          <w:noProof/>
        </w:rPr>
        <w:t xml:space="preserve"> compared to S3</w:t>
      </w:r>
      <w:r w:rsidR="0066277C">
        <w:rPr>
          <w:noProof/>
        </w:rPr>
        <w:t xml:space="preserve"> over 2031-2050</w:t>
      </w:r>
      <w:r w:rsidRPr="00412212">
        <w:rPr>
          <w:noProof/>
        </w:rPr>
        <w:t xml:space="preserve">. The lowering of investment needs is evident across the board as reduced energy demand enables </w:t>
      </w:r>
      <w:r w:rsidR="0066277C">
        <w:rPr>
          <w:noProof/>
        </w:rPr>
        <w:t xml:space="preserve">a reduction in average annual investment of </w:t>
      </w:r>
      <w:r w:rsidR="0020522D">
        <w:rPr>
          <w:noProof/>
        </w:rPr>
        <w:t>about</w:t>
      </w:r>
      <w:r w:rsidR="0066277C">
        <w:rPr>
          <w:noProof/>
        </w:rPr>
        <w:t xml:space="preserve"> EUR 3</w:t>
      </w:r>
      <w:r w:rsidR="002136AC">
        <w:rPr>
          <w:noProof/>
        </w:rPr>
        <w:t>6</w:t>
      </w:r>
      <w:r w:rsidR="0066277C">
        <w:rPr>
          <w:noProof/>
        </w:rPr>
        <w:t> billion (</w:t>
      </w:r>
      <w:r w:rsidR="0020522D">
        <w:rPr>
          <w:noProof/>
        </w:rPr>
        <w:t>1</w:t>
      </w:r>
      <w:r w:rsidR="002136AC">
        <w:rPr>
          <w:noProof/>
        </w:rPr>
        <w:t>2</w:t>
      </w:r>
      <w:r w:rsidR="0066277C">
        <w:rPr>
          <w:noProof/>
        </w:rPr>
        <w:t xml:space="preserve">%) </w:t>
      </w:r>
      <w:r w:rsidRPr="00412212">
        <w:rPr>
          <w:noProof/>
        </w:rPr>
        <w:t xml:space="preserve">on the supply side </w:t>
      </w:r>
      <w:r w:rsidR="0066277C">
        <w:rPr>
          <w:noProof/>
        </w:rPr>
        <w:t xml:space="preserve">in 2031-2050 </w:t>
      </w:r>
      <w:r w:rsidRPr="00412212">
        <w:rPr>
          <w:noProof/>
        </w:rPr>
        <w:t xml:space="preserve">while circularity enables a drop in </w:t>
      </w:r>
      <w:r w:rsidR="0066277C">
        <w:rPr>
          <w:noProof/>
        </w:rPr>
        <w:t xml:space="preserve">annual </w:t>
      </w:r>
      <w:r w:rsidRPr="00412212">
        <w:rPr>
          <w:noProof/>
        </w:rPr>
        <w:t xml:space="preserve">investment needs of about </w:t>
      </w:r>
      <w:r w:rsidR="0066277C">
        <w:rPr>
          <w:noProof/>
        </w:rPr>
        <w:t>EUR 5 billion (</w:t>
      </w:r>
      <w:r w:rsidR="00617465">
        <w:rPr>
          <w:noProof/>
        </w:rPr>
        <w:t>1</w:t>
      </w:r>
      <w:r w:rsidR="0020522D">
        <w:rPr>
          <w:noProof/>
        </w:rPr>
        <w:t>5</w:t>
      </w:r>
      <w:r w:rsidRPr="00412212">
        <w:rPr>
          <w:noProof/>
        </w:rPr>
        <w:t>%</w:t>
      </w:r>
      <w:r w:rsidR="0066277C">
        <w:rPr>
          <w:noProof/>
        </w:rPr>
        <w:t>)</w:t>
      </w:r>
      <w:r w:rsidRPr="00412212">
        <w:rPr>
          <w:noProof/>
        </w:rPr>
        <w:t xml:space="preserve"> in industry. </w:t>
      </w:r>
      <w:r w:rsidR="000B4F0C">
        <w:rPr>
          <w:noProof/>
        </w:rPr>
        <w:t xml:space="preserve">As far as transport </w:t>
      </w:r>
      <w:r w:rsidR="00F10F37">
        <w:rPr>
          <w:noProof/>
        </w:rPr>
        <w:t>is</w:t>
      </w:r>
      <w:r w:rsidR="000B4F0C">
        <w:rPr>
          <w:noProof/>
        </w:rPr>
        <w:t xml:space="preserve"> concerned</w:t>
      </w:r>
      <w:r w:rsidRPr="00412212">
        <w:rPr>
          <w:noProof/>
        </w:rPr>
        <w:t xml:space="preserve">, </w:t>
      </w:r>
      <w:r w:rsidR="000B4F0C" w:rsidRPr="000B4F0C">
        <w:rPr>
          <w:noProof/>
        </w:rPr>
        <w:t>lifestyle changes towards more active and public transport modes</w:t>
      </w:r>
      <w:r w:rsidRPr="00412212">
        <w:rPr>
          <w:noProof/>
        </w:rPr>
        <w:t xml:space="preserve"> lead to a drop of </w:t>
      </w:r>
      <w:r w:rsidR="0020522D">
        <w:rPr>
          <w:noProof/>
        </w:rPr>
        <w:t>around</w:t>
      </w:r>
      <w:r w:rsidR="0066277C">
        <w:rPr>
          <w:noProof/>
        </w:rPr>
        <w:t xml:space="preserve"> EUR </w:t>
      </w:r>
      <w:r w:rsidR="0020522D">
        <w:rPr>
          <w:noProof/>
        </w:rPr>
        <w:t>80</w:t>
      </w:r>
      <w:r w:rsidR="0066277C">
        <w:rPr>
          <w:noProof/>
        </w:rPr>
        <w:t> billion (</w:t>
      </w:r>
      <w:r w:rsidR="0020522D">
        <w:rPr>
          <w:noProof/>
        </w:rPr>
        <w:t>9</w:t>
      </w:r>
      <w:r w:rsidRPr="00412212">
        <w:rPr>
          <w:noProof/>
        </w:rPr>
        <w:t>%</w:t>
      </w:r>
      <w:r w:rsidR="0066277C">
        <w:rPr>
          <w:noProof/>
        </w:rPr>
        <w:t>)</w:t>
      </w:r>
      <w:r w:rsidRPr="00412212">
        <w:rPr>
          <w:noProof/>
        </w:rPr>
        <w:t xml:space="preserve"> in </w:t>
      </w:r>
      <w:r w:rsidR="0066277C">
        <w:rPr>
          <w:noProof/>
        </w:rPr>
        <w:t>annual</w:t>
      </w:r>
      <w:r w:rsidRPr="00412212">
        <w:rPr>
          <w:noProof/>
        </w:rPr>
        <w:t xml:space="preserve"> </w:t>
      </w:r>
      <w:r w:rsidR="00F10F37">
        <w:rPr>
          <w:noProof/>
        </w:rPr>
        <w:t>investment needs</w:t>
      </w:r>
      <w:r w:rsidR="00F10F37" w:rsidRPr="00412212">
        <w:rPr>
          <w:noProof/>
        </w:rPr>
        <w:t xml:space="preserve"> </w:t>
      </w:r>
      <w:r w:rsidR="0066277C">
        <w:rPr>
          <w:noProof/>
        </w:rPr>
        <w:t>in 2031-2050</w:t>
      </w:r>
      <w:r w:rsidRPr="00412212">
        <w:rPr>
          <w:noProof/>
        </w:rPr>
        <w:t>.</w:t>
      </w:r>
    </w:p>
    <w:p w14:paraId="5BCA1464" w14:textId="2F214FA3" w:rsidR="00F1779D" w:rsidRDefault="00F1779D" w:rsidP="009E6276">
      <w:pPr>
        <w:pStyle w:val="Caption"/>
        <w:rPr>
          <w:noProof/>
        </w:rPr>
      </w:pPr>
      <w:bookmarkStart w:id="620" w:name="_Ref140737993"/>
      <w:bookmarkStart w:id="621" w:name="_Ref146097633"/>
      <w:bookmarkStart w:id="622" w:name="_Toc157679852"/>
      <w:r>
        <w:rPr>
          <w:noProof/>
        </w:rPr>
        <w:t xml:space="preserve">Figure </w:t>
      </w:r>
      <w:bookmarkEnd w:id="620"/>
      <w:r w:rsidR="00F2742D">
        <w:rPr>
          <w:noProof/>
        </w:rPr>
        <w:fldChar w:fldCharType="begin"/>
      </w:r>
      <w:r w:rsidR="00F2742D">
        <w:rPr>
          <w:noProof/>
        </w:rPr>
        <w:instrText xml:space="preserve"> SEQ Figure \* ARABIC </w:instrText>
      </w:r>
      <w:r w:rsidR="00F2742D">
        <w:rPr>
          <w:noProof/>
        </w:rPr>
        <w:fldChar w:fldCharType="separate"/>
      </w:r>
      <w:r w:rsidR="00170A3C">
        <w:rPr>
          <w:noProof/>
        </w:rPr>
        <w:t>104</w:t>
      </w:r>
      <w:r w:rsidR="00F2742D">
        <w:rPr>
          <w:noProof/>
        </w:rPr>
        <w:fldChar w:fldCharType="end"/>
      </w:r>
      <w:bookmarkEnd w:id="621"/>
      <w:r>
        <w:rPr>
          <w:noProof/>
        </w:rPr>
        <w:t xml:space="preserve">: </w:t>
      </w:r>
      <w:r w:rsidR="009E6276">
        <w:rPr>
          <w:noProof/>
        </w:rPr>
        <w:t>A</w:t>
      </w:r>
      <w:r w:rsidR="00074DE3">
        <w:rPr>
          <w:noProof/>
        </w:rPr>
        <w:t>verage annual</w:t>
      </w:r>
      <w:r>
        <w:rPr>
          <w:noProof/>
        </w:rPr>
        <w:t xml:space="preserve"> energy</w:t>
      </w:r>
      <w:r w:rsidR="00917D10">
        <w:rPr>
          <w:noProof/>
        </w:rPr>
        <w:t xml:space="preserve"> </w:t>
      </w:r>
      <w:r>
        <w:rPr>
          <w:noProof/>
        </w:rPr>
        <w:t xml:space="preserve">system investment needs </w:t>
      </w:r>
      <w:r w:rsidR="00B97139">
        <w:rPr>
          <w:noProof/>
        </w:rPr>
        <w:t>by sector</w:t>
      </w:r>
      <w:bookmarkEnd w:id="622"/>
    </w:p>
    <w:p w14:paraId="1CA46748" w14:textId="4DBD63F7" w:rsidR="00DD6070" w:rsidRDefault="002136AC" w:rsidP="009E6276">
      <w:pPr>
        <w:keepNext/>
        <w:spacing w:after="0"/>
        <w:jc w:val="center"/>
        <w:rPr>
          <w:noProof/>
        </w:rPr>
      </w:pPr>
      <w:r w:rsidRPr="002136AC">
        <w:rPr>
          <w:noProof/>
          <w:lang w:eastAsia="en-GB"/>
        </w:rPr>
        <w:drawing>
          <wp:inline distT="0" distB="0" distL="0" distR="0" wp14:anchorId="47AE3F41" wp14:editId="154BC036">
            <wp:extent cx="5391150" cy="2512695"/>
            <wp:effectExtent l="0" t="0" r="0" b="190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5391150" cy="2512695"/>
                    </a:xfrm>
                    <a:prstGeom prst="rect">
                      <a:avLst/>
                    </a:prstGeom>
                    <a:noFill/>
                    <a:ln>
                      <a:noFill/>
                    </a:ln>
                  </pic:spPr>
                </pic:pic>
              </a:graphicData>
            </a:graphic>
          </wp:inline>
        </w:drawing>
      </w:r>
    </w:p>
    <w:p w14:paraId="28099A17" w14:textId="4A136164" w:rsidR="00917D10" w:rsidRPr="0047274C" w:rsidRDefault="00917D10" w:rsidP="00501756">
      <w:pPr>
        <w:pStyle w:val="CT-SOURCE"/>
        <w:rPr>
          <w:i w:val="0"/>
          <w:noProof/>
        </w:rPr>
      </w:pPr>
      <w:r w:rsidRPr="0047274C">
        <w:rPr>
          <w:noProof/>
        </w:rPr>
        <w:t>Source: PRIMES</w:t>
      </w:r>
      <w:r w:rsidR="005542B7" w:rsidRPr="0047274C">
        <w:rPr>
          <w:noProof/>
        </w:rPr>
        <w:t>.</w:t>
      </w:r>
    </w:p>
    <w:p w14:paraId="6EA257EB" w14:textId="5979EEAB" w:rsidR="00104695" w:rsidRDefault="00F12A19" w:rsidP="00614747">
      <w:pPr>
        <w:rPr>
          <w:noProof/>
        </w:rPr>
      </w:pPr>
      <w:r>
        <w:rPr>
          <w:noProof/>
        </w:rPr>
        <w:t>The</w:t>
      </w:r>
      <w:r w:rsidR="00AA55A8">
        <w:rPr>
          <w:noProof/>
        </w:rPr>
        <w:t xml:space="preserve"> projected increase in the </w:t>
      </w:r>
      <w:r w:rsidR="00B66F59">
        <w:rPr>
          <w:noProof/>
        </w:rPr>
        <w:t xml:space="preserve">investment to </w:t>
      </w:r>
      <w:r w:rsidR="006B4ACC">
        <w:rPr>
          <w:noProof/>
        </w:rPr>
        <w:t>GDP ratio is significant</w:t>
      </w:r>
      <w:r w:rsidR="00351D78">
        <w:rPr>
          <w:noProof/>
        </w:rPr>
        <w:t xml:space="preserve">, but not exceptional </w:t>
      </w:r>
      <w:r w:rsidR="00B5658A">
        <w:rPr>
          <w:noProof/>
        </w:rPr>
        <w:t>in historical terms.</w:t>
      </w:r>
      <w:r w:rsidR="00821DDA">
        <w:rPr>
          <w:noProof/>
        </w:rPr>
        <w:t xml:space="preserve"> More mature economies typically have lower gross fixed capital formation (GFCF) </w:t>
      </w:r>
      <w:r w:rsidR="00EE7352">
        <w:rPr>
          <w:noProof/>
        </w:rPr>
        <w:t>to GDP ratios</w:t>
      </w:r>
      <w:r w:rsidR="00C94B41">
        <w:rPr>
          <w:noProof/>
        </w:rPr>
        <w:t>, as the need to invest in core infrastructure is lower than is less-developed economies. In the EU</w:t>
      </w:r>
      <w:r w:rsidR="003A3542">
        <w:rPr>
          <w:noProof/>
        </w:rPr>
        <w:t>, the GFCF/GDP ratio</w:t>
      </w:r>
      <w:r w:rsidR="00A429A5">
        <w:rPr>
          <w:noProof/>
        </w:rPr>
        <w:t xml:space="preserve"> </w:t>
      </w:r>
      <w:r w:rsidR="004B7648">
        <w:rPr>
          <w:noProof/>
        </w:rPr>
        <w:t>was on a declining trend between the mid-1970s to the mid-1990s, before stabilising</w:t>
      </w:r>
      <w:r w:rsidR="00463CEA">
        <w:rPr>
          <w:noProof/>
        </w:rPr>
        <w:t xml:space="preserve"> at around 21-22%</w:t>
      </w:r>
      <w:r w:rsidR="002E6587">
        <w:rPr>
          <w:noProof/>
        </w:rPr>
        <w:t xml:space="preserve"> (</w:t>
      </w:r>
      <w:r w:rsidR="009E6276" w:rsidRPr="00015153">
        <w:rPr>
          <w:noProof/>
        </w:rPr>
        <w:fldChar w:fldCharType="begin"/>
      </w:r>
      <w:r w:rsidR="009E6276" w:rsidRPr="001F1F93">
        <w:rPr>
          <w:noProof/>
          <w:highlight w:val="yellow"/>
        </w:rPr>
        <w:instrText xml:space="preserve"> REF _Ref146097692 \h </w:instrText>
      </w:r>
      <w:r w:rsidR="001F1F93">
        <w:rPr>
          <w:noProof/>
          <w:highlight w:val="yellow"/>
        </w:rPr>
        <w:instrText xml:space="preserve"> \* MERGEFORMAT </w:instrText>
      </w:r>
      <w:r w:rsidR="009E6276" w:rsidRPr="00015153">
        <w:rPr>
          <w:noProof/>
        </w:rPr>
      </w:r>
      <w:r w:rsidR="009E6276" w:rsidRPr="00015153">
        <w:rPr>
          <w:noProof/>
        </w:rPr>
        <w:fldChar w:fldCharType="separate"/>
      </w:r>
      <w:r w:rsidR="00170A3C">
        <w:rPr>
          <w:noProof/>
        </w:rPr>
        <w:t>Figure 105</w:t>
      </w:r>
      <w:r w:rsidR="009E6276" w:rsidRPr="00015153">
        <w:rPr>
          <w:noProof/>
        </w:rPr>
        <w:fldChar w:fldCharType="end"/>
      </w:r>
      <w:r w:rsidR="002E6587">
        <w:rPr>
          <w:noProof/>
        </w:rPr>
        <w:t>)</w:t>
      </w:r>
      <w:r w:rsidR="00463CEA">
        <w:rPr>
          <w:noProof/>
        </w:rPr>
        <w:t>.</w:t>
      </w:r>
      <w:r w:rsidR="006A57B5">
        <w:rPr>
          <w:noProof/>
        </w:rPr>
        <w:t xml:space="preserve"> There has always been a fair bit of volatility in the ratio, however</w:t>
      </w:r>
      <w:r w:rsidR="00EB39CB">
        <w:rPr>
          <w:noProof/>
        </w:rPr>
        <w:t>, with a marked low</w:t>
      </w:r>
      <w:r w:rsidR="00325933">
        <w:rPr>
          <w:noProof/>
        </w:rPr>
        <w:t xml:space="preserve"> point</w:t>
      </w:r>
      <w:r w:rsidR="00EB39CB">
        <w:rPr>
          <w:noProof/>
        </w:rPr>
        <w:t xml:space="preserve"> </w:t>
      </w:r>
      <w:r w:rsidR="00A022FB">
        <w:rPr>
          <w:noProof/>
        </w:rPr>
        <w:t xml:space="preserve">in the mid-2010s followed by a </w:t>
      </w:r>
      <w:r w:rsidR="000B4F0C" w:rsidRPr="000B4F0C">
        <w:rPr>
          <w:noProof/>
        </w:rPr>
        <w:t>return</w:t>
      </w:r>
      <w:r w:rsidR="00A022FB">
        <w:rPr>
          <w:noProof/>
        </w:rPr>
        <w:t xml:space="preserve"> in </w:t>
      </w:r>
      <w:r w:rsidR="00F67683">
        <w:rPr>
          <w:noProof/>
        </w:rPr>
        <w:t>more recent years</w:t>
      </w:r>
      <w:r w:rsidR="000B4F0C" w:rsidRPr="000B4F0C">
        <w:rPr>
          <w:noProof/>
        </w:rPr>
        <w:t xml:space="preserve"> towards the average of the first decade of the 2000s</w:t>
      </w:r>
      <w:r w:rsidR="00F67683">
        <w:rPr>
          <w:noProof/>
        </w:rPr>
        <w:t xml:space="preserve">. </w:t>
      </w:r>
      <w:r w:rsidR="00325933">
        <w:rPr>
          <w:noProof/>
        </w:rPr>
        <w:t>Changes</w:t>
      </w:r>
      <w:r w:rsidR="00BB4268">
        <w:rPr>
          <w:noProof/>
        </w:rPr>
        <w:t xml:space="preserve"> in the ratio of 1-2</w:t>
      </w:r>
      <w:r w:rsidR="004446E8">
        <w:rPr>
          <w:noProof/>
        </w:rPr>
        <w:t> </w:t>
      </w:r>
      <w:r w:rsidR="00BB4268">
        <w:rPr>
          <w:noProof/>
        </w:rPr>
        <w:t xml:space="preserve">percentage points of GDP </w:t>
      </w:r>
      <w:r w:rsidR="00090CCF">
        <w:rPr>
          <w:noProof/>
        </w:rPr>
        <w:t xml:space="preserve">within a relatively short period </w:t>
      </w:r>
      <w:r w:rsidR="00283046">
        <w:rPr>
          <w:noProof/>
        </w:rPr>
        <w:t>have not</w:t>
      </w:r>
      <w:r w:rsidR="00C44F1A">
        <w:rPr>
          <w:noProof/>
        </w:rPr>
        <w:t xml:space="preserve"> been </w:t>
      </w:r>
      <w:r w:rsidR="00BB4268">
        <w:rPr>
          <w:noProof/>
        </w:rPr>
        <w:t>uncommo</w:t>
      </w:r>
      <w:r w:rsidR="00283046">
        <w:rPr>
          <w:noProof/>
        </w:rPr>
        <w:t>n</w:t>
      </w:r>
      <w:r w:rsidR="00C44F1A">
        <w:rPr>
          <w:noProof/>
        </w:rPr>
        <w:t xml:space="preserve"> in the past. The</w:t>
      </w:r>
      <w:r w:rsidR="004F0BC7">
        <w:rPr>
          <w:noProof/>
        </w:rPr>
        <w:t xml:space="preserve"> key difference in the </w:t>
      </w:r>
      <w:r w:rsidR="0046202D">
        <w:rPr>
          <w:noProof/>
        </w:rPr>
        <w:t>current context is that an increase in the GFCF/GDP ratio would need to be sustained for an extended period, and that</w:t>
      </w:r>
      <w:r w:rsidR="0097685B">
        <w:rPr>
          <w:noProof/>
        </w:rPr>
        <w:t xml:space="preserve"> higher investment for decarbonisation </w:t>
      </w:r>
      <w:r w:rsidR="0086518E">
        <w:rPr>
          <w:noProof/>
        </w:rPr>
        <w:t xml:space="preserve">purposes </w:t>
      </w:r>
      <w:r w:rsidR="0097685B">
        <w:rPr>
          <w:noProof/>
        </w:rPr>
        <w:t xml:space="preserve">would </w:t>
      </w:r>
      <w:r w:rsidR="0086518E">
        <w:rPr>
          <w:noProof/>
        </w:rPr>
        <w:t xml:space="preserve">need to be combined with higher investment on </w:t>
      </w:r>
      <w:r w:rsidR="00AB62AB">
        <w:rPr>
          <w:noProof/>
        </w:rPr>
        <w:t>climate adaptation</w:t>
      </w:r>
      <w:r w:rsidR="005D434D">
        <w:rPr>
          <w:noProof/>
        </w:rPr>
        <w:t xml:space="preserve"> and higher investment </w:t>
      </w:r>
      <w:r w:rsidR="002E1171">
        <w:rPr>
          <w:noProof/>
        </w:rPr>
        <w:t xml:space="preserve">to secure the EU’s </w:t>
      </w:r>
      <w:r w:rsidR="00104695">
        <w:rPr>
          <w:noProof/>
        </w:rPr>
        <w:t xml:space="preserve">ability to </w:t>
      </w:r>
      <w:r w:rsidR="00FD7B1E">
        <w:rPr>
          <w:noProof/>
        </w:rPr>
        <w:t xml:space="preserve">benefit from the growth and employment opportunities in green technologies and </w:t>
      </w:r>
      <w:r w:rsidR="00F253E9">
        <w:rPr>
          <w:noProof/>
        </w:rPr>
        <w:t>its strategic security</w:t>
      </w:r>
      <w:r w:rsidR="0020522D">
        <w:rPr>
          <w:noProof/>
        </w:rPr>
        <w:t xml:space="preserve">, as discussed in section </w:t>
      </w:r>
      <w:r w:rsidR="0020522D">
        <w:rPr>
          <w:noProof/>
        </w:rPr>
        <w:fldChar w:fldCharType="begin"/>
      </w:r>
      <w:r w:rsidR="0020522D">
        <w:rPr>
          <w:noProof/>
        </w:rPr>
        <w:instrText xml:space="preserve"> REF _Ref151719656 \r \h </w:instrText>
      </w:r>
      <w:r w:rsidR="0020522D">
        <w:rPr>
          <w:noProof/>
        </w:rPr>
      </w:r>
      <w:r w:rsidR="0020522D">
        <w:rPr>
          <w:noProof/>
        </w:rPr>
        <w:fldChar w:fldCharType="separate"/>
      </w:r>
      <w:r w:rsidR="00170A3C">
        <w:rPr>
          <w:noProof/>
        </w:rPr>
        <w:t>2.2.7</w:t>
      </w:r>
      <w:r w:rsidR="0020522D">
        <w:rPr>
          <w:noProof/>
        </w:rPr>
        <w:fldChar w:fldCharType="end"/>
      </w:r>
      <w:r w:rsidR="003173A9">
        <w:rPr>
          <w:noProof/>
        </w:rPr>
        <w:t xml:space="preserve"> </w:t>
      </w:r>
      <w:r w:rsidR="003173A9" w:rsidRPr="003173A9">
        <w:rPr>
          <w:noProof/>
        </w:rPr>
        <w:t>(</w:t>
      </w:r>
      <w:r w:rsidR="003173A9">
        <w:rPr>
          <w:rStyle w:val="FootnoteReference"/>
          <w:noProof/>
        </w:rPr>
        <w:footnoteReference w:id="271"/>
      </w:r>
      <w:r w:rsidR="003173A9">
        <w:rPr>
          <w:noProof/>
        </w:rPr>
        <w:t>)</w:t>
      </w:r>
      <w:r w:rsidR="00F253E9">
        <w:rPr>
          <w:noProof/>
        </w:rPr>
        <w:t>.</w:t>
      </w:r>
      <w:r w:rsidR="0052403E">
        <w:rPr>
          <w:noProof/>
        </w:rPr>
        <w:t xml:space="preserve"> The latter would indeed require that the EU be in a position to manufacture a significant share of the green technologies necessary for the climate transition domestically.</w:t>
      </w:r>
    </w:p>
    <w:p w14:paraId="2F5ACEBD" w14:textId="1B410119" w:rsidR="00F253E9" w:rsidRDefault="003E2448" w:rsidP="009E6276">
      <w:pPr>
        <w:pStyle w:val="Caption"/>
        <w:rPr>
          <w:noProof/>
        </w:rPr>
      </w:pPr>
      <w:bookmarkStart w:id="623" w:name="_Ref140738027"/>
      <w:bookmarkStart w:id="624" w:name="_Ref146097692"/>
      <w:bookmarkStart w:id="625" w:name="_Toc157679853"/>
      <w:r>
        <w:rPr>
          <w:noProof/>
        </w:rPr>
        <w:t xml:space="preserve">Figure </w:t>
      </w:r>
      <w:bookmarkEnd w:id="623"/>
      <w:r w:rsidR="00F2742D">
        <w:rPr>
          <w:noProof/>
        </w:rPr>
        <w:fldChar w:fldCharType="begin"/>
      </w:r>
      <w:r w:rsidR="00F2742D">
        <w:rPr>
          <w:noProof/>
        </w:rPr>
        <w:instrText xml:space="preserve"> SEQ Figure \* ARABIC </w:instrText>
      </w:r>
      <w:r w:rsidR="00F2742D">
        <w:rPr>
          <w:noProof/>
        </w:rPr>
        <w:fldChar w:fldCharType="separate"/>
      </w:r>
      <w:r w:rsidR="00170A3C">
        <w:rPr>
          <w:noProof/>
        </w:rPr>
        <w:t>105</w:t>
      </w:r>
      <w:r w:rsidR="00F2742D">
        <w:rPr>
          <w:noProof/>
        </w:rPr>
        <w:fldChar w:fldCharType="end"/>
      </w:r>
      <w:bookmarkEnd w:id="624"/>
      <w:r>
        <w:rPr>
          <w:noProof/>
        </w:rPr>
        <w:t xml:space="preserve">: </w:t>
      </w:r>
      <w:r w:rsidR="009E6276">
        <w:rPr>
          <w:noProof/>
        </w:rPr>
        <w:t>R</w:t>
      </w:r>
      <w:r w:rsidR="00FE1C95">
        <w:rPr>
          <w:noProof/>
        </w:rPr>
        <w:t xml:space="preserve">atio of </w:t>
      </w:r>
      <w:r w:rsidR="00E64799">
        <w:rPr>
          <w:noProof/>
        </w:rPr>
        <w:t>gross fixed capital formation</w:t>
      </w:r>
      <w:r w:rsidR="00FE1C95">
        <w:rPr>
          <w:noProof/>
        </w:rPr>
        <w:t xml:space="preserve"> to GDP and GDP growth (5-year </w:t>
      </w:r>
      <w:r w:rsidR="00830A2D">
        <w:rPr>
          <w:noProof/>
        </w:rPr>
        <w:t>backward moving average</w:t>
      </w:r>
      <w:r w:rsidR="007260E3">
        <w:rPr>
          <w:noProof/>
        </w:rPr>
        <w:t>)</w:t>
      </w:r>
      <w:bookmarkEnd w:id="625"/>
    </w:p>
    <w:p w14:paraId="22A2E075" w14:textId="04300D4E" w:rsidR="00EE5B62" w:rsidRDefault="00A33938" w:rsidP="009E6276">
      <w:pPr>
        <w:keepNext/>
        <w:spacing w:after="0"/>
        <w:jc w:val="center"/>
        <w:rPr>
          <w:rFonts w:ascii="Cambria Math" w:hAnsi="Cambria Math"/>
          <w:i/>
          <w:noProof/>
          <w:sz w:val="22"/>
          <w:szCs w:val="22"/>
        </w:rPr>
      </w:pPr>
      <w:r w:rsidRPr="00A33938">
        <w:rPr>
          <w:noProof/>
          <w:color w:val="2B579A"/>
          <w:shd w:val="clear" w:color="auto" w:fill="E6E6E6"/>
          <w:lang w:eastAsia="en-GB"/>
        </w:rPr>
        <w:drawing>
          <wp:inline distT="0" distB="0" distL="0" distR="0" wp14:anchorId="21405309" wp14:editId="190FD58C">
            <wp:extent cx="5398770" cy="252349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5398770" cy="2523490"/>
                    </a:xfrm>
                    <a:prstGeom prst="rect">
                      <a:avLst/>
                    </a:prstGeom>
                    <a:noFill/>
                    <a:ln>
                      <a:noFill/>
                    </a:ln>
                  </pic:spPr>
                </pic:pic>
              </a:graphicData>
            </a:graphic>
          </wp:inline>
        </w:drawing>
      </w:r>
    </w:p>
    <w:p w14:paraId="00B21536" w14:textId="09E773E6" w:rsidR="00A33938" w:rsidRPr="0047274C" w:rsidRDefault="00160E87" w:rsidP="00501756">
      <w:pPr>
        <w:pStyle w:val="CT-SOURCE"/>
        <w:rPr>
          <w:i w:val="0"/>
          <w:noProof/>
        </w:rPr>
      </w:pPr>
      <w:r w:rsidRPr="0047274C">
        <w:rPr>
          <w:noProof/>
        </w:rPr>
        <w:t>Source: World Bank.</w:t>
      </w:r>
    </w:p>
    <w:p w14:paraId="08E135B2" w14:textId="03775009" w:rsidR="00DD6070" w:rsidRPr="00680783" w:rsidRDefault="00DD6070" w:rsidP="00680783">
      <w:pPr>
        <w:pStyle w:val="Heading3"/>
        <w:rPr>
          <w:noProof/>
        </w:rPr>
      </w:pPr>
      <w:bookmarkStart w:id="626" w:name="_Ref146117601"/>
      <w:bookmarkStart w:id="627" w:name="_Toc148605638"/>
      <w:bookmarkStart w:id="628" w:name="_Toc157692084"/>
      <w:r w:rsidRPr="00680783">
        <w:rPr>
          <w:noProof/>
        </w:rPr>
        <w:t>Supply-side investment needs</w:t>
      </w:r>
      <w:bookmarkEnd w:id="626"/>
      <w:bookmarkEnd w:id="627"/>
      <w:bookmarkEnd w:id="628"/>
    </w:p>
    <w:p w14:paraId="58B9635F" w14:textId="06375AAC" w:rsidR="00BA6847" w:rsidRDefault="008C7729" w:rsidP="00BA6847">
      <w:pPr>
        <w:rPr>
          <w:noProof/>
        </w:rPr>
      </w:pPr>
      <w:r>
        <w:rPr>
          <w:noProof/>
        </w:rPr>
        <w:t xml:space="preserve">The </w:t>
      </w:r>
      <w:r w:rsidR="000D20EC">
        <w:rPr>
          <w:noProof/>
        </w:rPr>
        <w:t xml:space="preserve">continued large-scale </w:t>
      </w:r>
      <w:r>
        <w:rPr>
          <w:noProof/>
        </w:rPr>
        <w:t xml:space="preserve">deployment of renewable and carbon-free sources of </w:t>
      </w:r>
      <w:r w:rsidR="006D476B">
        <w:rPr>
          <w:noProof/>
        </w:rPr>
        <w:t xml:space="preserve">energy, in particular electricity, </w:t>
      </w:r>
      <w:r w:rsidR="000D20EC">
        <w:rPr>
          <w:noProof/>
        </w:rPr>
        <w:t xml:space="preserve">is a </w:t>
      </w:r>
      <w:r w:rsidR="009B6FC1">
        <w:rPr>
          <w:noProof/>
        </w:rPr>
        <w:t xml:space="preserve">necessity across all </w:t>
      </w:r>
      <w:r w:rsidR="0052403E">
        <w:rPr>
          <w:noProof/>
        </w:rPr>
        <w:t>scenarios</w:t>
      </w:r>
      <w:r w:rsidR="00E16B82">
        <w:rPr>
          <w:noProof/>
        </w:rPr>
        <w:t xml:space="preserve"> and the </w:t>
      </w:r>
      <w:r w:rsidR="009A0563">
        <w:rPr>
          <w:noProof/>
        </w:rPr>
        <w:t>share</w:t>
      </w:r>
      <w:r w:rsidR="00427449">
        <w:rPr>
          <w:noProof/>
        </w:rPr>
        <w:t>s</w:t>
      </w:r>
      <w:r w:rsidR="009A0563">
        <w:rPr>
          <w:noProof/>
        </w:rPr>
        <w:t xml:space="preserve"> of renewable </w:t>
      </w:r>
      <w:r w:rsidR="000C5DDC">
        <w:rPr>
          <w:noProof/>
        </w:rPr>
        <w:t>electricity and energy reach very similar level</w:t>
      </w:r>
      <w:r w:rsidR="002976C4">
        <w:rPr>
          <w:noProof/>
        </w:rPr>
        <w:t>s by 2050</w:t>
      </w:r>
      <w:r w:rsidR="00E16B82">
        <w:rPr>
          <w:noProof/>
        </w:rPr>
        <w:t xml:space="preserve">. However, </w:t>
      </w:r>
      <w:r w:rsidR="00E24D32">
        <w:rPr>
          <w:noProof/>
        </w:rPr>
        <w:t>the levels of primary and final energy demand vary</w:t>
      </w:r>
      <w:r w:rsidR="007C6D58">
        <w:rPr>
          <w:noProof/>
        </w:rPr>
        <w:t xml:space="preserve"> somewhat</w:t>
      </w:r>
      <w:r w:rsidR="00E24D32">
        <w:rPr>
          <w:noProof/>
        </w:rPr>
        <w:t xml:space="preserve"> across scenarios</w:t>
      </w:r>
      <w:r w:rsidR="00E22577">
        <w:rPr>
          <w:noProof/>
        </w:rPr>
        <w:t xml:space="preserve">, and the speed at which renewable and carbon free energy sources </w:t>
      </w:r>
      <w:r w:rsidR="00796708">
        <w:rPr>
          <w:noProof/>
        </w:rPr>
        <w:t xml:space="preserve">are deployed </w:t>
      </w:r>
      <w:r w:rsidR="00E22577">
        <w:rPr>
          <w:noProof/>
        </w:rPr>
        <w:t>differ</w:t>
      </w:r>
      <w:r w:rsidR="00AF09AF">
        <w:rPr>
          <w:noProof/>
        </w:rPr>
        <w:t>, together with the</w:t>
      </w:r>
      <w:r w:rsidR="00714B9C">
        <w:rPr>
          <w:noProof/>
        </w:rPr>
        <w:t xml:space="preserve"> composition of </w:t>
      </w:r>
      <w:r w:rsidR="00D4194B">
        <w:rPr>
          <w:noProof/>
        </w:rPr>
        <w:t>energy sources</w:t>
      </w:r>
      <w:r w:rsidR="00226D51">
        <w:rPr>
          <w:noProof/>
        </w:rPr>
        <w:t xml:space="preserve"> (</w:t>
      </w:r>
      <w:r w:rsidR="0070712C">
        <w:rPr>
          <w:noProof/>
        </w:rPr>
        <w:t>section</w:t>
      </w:r>
      <w:r w:rsidR="0093177D">
        <w:rPr>
          <w:noProof/>
        </w:rPr>
        <w:t xml:space="preserve"> </w:t>
      </w:r>
      <w:r w:rsidR="00007A18">
        <w:rPr>
          <w:noProof/>
        </w:rPr>
        <w:fldChar w:fldCharType="begin"/>
      </w:r>
      <w:r w:rsidR="00007A18">
        <w:rPr>
          <w:noProof/>
        </w:rPr>
        <w:instrText xml:space="preserve"> REF _Ref140738197 \r \h </w:instrText>
      </w:r>
      <w:r w:rsidR="00007A18">
        <w:rPr>
          <w:noProof/>
        </w:rPr>
      </w:r>
      <w:r w:rsidR="00007A18">
        <w:rPr>
          <w:noProof/>
        </w:rPr>
        <w:fldChar w:fldCharType="separate"/>
      </w:r>
      <w:r w:rsidR="00170A3C">
        <w:rPr>
          <w:noProof/>
        </w:rPr>
        <w:t>1.2</w:t>
      </w:r>
      <w:r w:rsidR="00007A18">
        <w:rPr>
          <w:noProof/>
        </w:rPr>
        <w:fldChar w:fldCharType="end"/>
      </w:r>
      <w:r w:rsidR="0070712C">
        <w:rPr>
          <w:noProof/>
        </w:rPr>
        <w:t>)</w:t>
      </w:r>
      <w:r w:rsidR="00D4194B">
        <w:rPr>
          <w:noProof/>
        </w:rPr>
        <w:t>.</w:t>
      </w:r>
    </w:p>
    <w:p w14:paraId="025C3EEB" w14:textId="5D0017CD" w:rsidR="00B40F6F" w:rsidRDefault="00C71817" w:rsidP="00BA6847">
      <w:pPr>
        <w:rPr>
          <w:noProof/>
        </w:rPr>
      </w:pPr>
      <w:r w:rsidRPr="00C71817">
        <w:rPr>
          <w:noProof/>
        </w:rPr>
        <w:t>Over 2031-2050, average investment needs in power plants is projected at around EUR</w:t>
      </w:r>
      <w:r w:rsidR="009B1721">
        <w:rPr>
          <w:noProof/>
        </w:rPr>
        <w:t> </w:t>
      </w:r>
      <w:r w:rsidRPr="00C71817">
        <w:rPr>
          <w:noProof/>
        </w:rPr>
        <w:t>1</w:t>
      </w:r>
      <w:r w:rsidR="00763E05">
        <w:rPr>
          <w:noProof/>
        </w:rPr>
        <w:t>4</w:t>
      </w:r>
      <w:r w:rsidRPr="00C71817">
        <w:rPr>
          <w:noProof/>
        </w:rPr>
        <w:t>0</w:t>
      </w:r>
      <w:r w:rsidR="004446E8">
        <w:rPr>
          <w:noProof/>
        </w:rPr>
        <w:t> </w:t>
      </w:r>
      <w:r w:rsidRPr="00C71817">
        <w:rPr>
          <w:noProof/>
        </w:rPr>
        <w:t>billion per annum</w:t>
      </w:r>
      <w:r w:rsidR="009B1721">
        <w:rPr>
          <w:noProof/>
        </w:rPr>
        <w:t xml:space="preserve"> across scenarios</w:t>
      </w:r>
      <w:r w:rsidR="00FE6772">
        <w:rPr>
          <w:noProof/>
        </w:rPr>
        <w:t xml:space="preserve"> (</w:t>
      </w:r>
      <w:r w:rsidR="00007A18" w:rsidRPr="00015153">
        <w:rPr>
          <w:noProof/>
        </w:rPr>
        <w:fldChar w:fldCharType="begin"/>
      </w:r>
      <w:r w:rsidR="00007A18" w:rsidRPr="001F1F93">
        <w:rPr>
          <w:noProof/>
          <w:highlight w:val="yellow"/>
        </w:rPr>
        <w:instrText xml:space="preserve"> REF _Ref146098043 \h </w:instrText>
      </w:r>
      <w:r w:rsidR="001F1F93">
        <w:rPr>
          <w:noProof/>
          <w:highlight w:val="yellow"/>
        </w:rPr>
        <w:instrText xml:space="preserve"> \* MERGEFORMAT </w:instrText>
      </w:r>
      <w:r w:rsidR="00007A18" w:rsidRPr="00015153">
        <w:rPr>
          <w:noProof/>
        </w:rPr>
      </w:r>
      <w:r w:rsidR="00007A18" w:rsidRPr="00015153">
        <w:rPr>
          <w:noProof/>
        </w:rPr>
        <w:fldChar w:fldCharType="separate"/>
      </w:r>
      <w:r w:rsidR="00170A3C">
        <w:rPr>
          <w:noProof/>
        </w:rPr>
        <w:t>Table 26</w:t>
      </w:r>
      <w:r w:rsidR="00007A18" w:rsidRPr="00015153">
        <w:rPr>
          <w:noProof/>
        </w:rPr>
        <w:fldChar w:fldCharType="end"/>
      </w:r>
      <w:r w:rsidR="00FE6772" w:rsidRPr="00015153">
        <w:rPr>
          <w:noProof/>
        </w:rPr>
        <w:t>)</w:t>
      </w:r>
      <w:r w:rsidRPr="00015153">
        <w:rPr>
          <w:noProof/>
        </w:rPr>
        <w:t>,</w:t>
      </w:r>
      <w:r w:rsidRPr="00C71817">
        <w:rPr>
          <w:noProof/>
        </w:rPr>
        <w:t xml:space="preserve"> more than 80% of which would be in renewables, mainly wind and solar. </w:t>
      </w:r>
      <w:r w:rsidR="009B1721">
        <w:rPr>
          <w:noProof/>
        </w:rPr>
        <w:t>S3</w:t>
      </w:r>
      <w:r w:rsidRPr="00C71817">
        <w:rPr>
          <w:noProof/>
        </w:rPr>
        <w:t xml:space="preserve"> entails a </w:t>
      </w:r>
      <w:r w:rsidR="009B1721">
        <w:rPr>
          <w:noProof/>
        </w:rPr>
        <w:t xml:space="preserve">much </w:t>
      </w:r>
      <w:r w:rsidRPr="00C71817">
        <w:rPr>
          <w:noProof/>
        </w:rPr>
        <w:t xml:space="preserve">faster deployment of renewable and </w:t>
      </w:r>
      <w:r w:rsidR="00894ED5">
        <w:rPr>
          <w:noProof/>
        </w:rPr>
        <w:t xml:space="preserve">other </w:t>
      </w:r>
      <w:r w:rsidRPr="00C71817">
        <w:rPr>
          <w:noProof/>
        </w:rPr>
        <w:t xml:space="preserve">carbon-free power generation, with average annual investment of </w:t>
      </w:r>
      <w:r w:rsidR="007F6A16">
        <w:rPr>
          <w:noProof/>
        </w:rPr>
        <w:t>around</w:t>
      </w:r>
      <w:r w:rsidR="007F6A16" w:rsidRPr="00C71817">
        <w:rPr>
          <w:noProof/>
        </w:rPr>
        <w:t xml:space="preserve"> </w:t>
      </w:r>
      <w:r w:rsidRPr="00C71817">
        <w:rPr>
          <w:noProof/>
        </w:rPr>
        <w:t>EUR</w:t>
      </w:r>
      <w:r w:rsidR="009B1721">
        <w:rPr>
          <w:noProof/>
        </w:rPr>
        <w:t> </w:t>
      </w:r>
      <w:r w:rsidR="00FE6772" w:rsidRPr="00015153">
        <w:rPr>
          <w:noProof/>
        </w:rPr>
        <w:t>1</w:t>
      </w:r>
      <w:r w:rsidR="00651C0F" w:rsidRPr="00015153">
        <w:rPr>
          <w:noProof/>
        </w:rPr>
        <w:t>3</w:t>
      </w:r>
      <w:r w:rsidR="007F6A16">
        <w:rPr>
          <w:noProof/>
        </w:rPr>
        <w:t>5</w:t>
      </w:r>
      <w:r w:rsidR="009B1721">
        <w:rPr>
          <w:noProof/>
        </w:rPr>
        <w:t> </w:t>
      </w:r>
      <w:r w:rsidRPr="00C71817">
        <w:rPr>
          <w:noProof/>
        </w:rPr>
        <w:t xml:space="preserve">billion </w:t>
      </w:r>
      <w:r w:rsidR="009B1721">
        <w:rPr>
          <w:noProof/>
        </w:rPr>
        <w:t>in</w:t>
      </w:r>
      <w:r w:rsidRPr="00C71817">
        <w:rPr>
          <w:noProof/>
        </w:rPr>
        <w:t xml:space="preserve"> 2031-2040</w:t>
      </w:r>
      <w:r w:rsidR="009B1721">
        <w:rPr>
          <w:noProof/>
        </w:rPr>
        <w:t>, while S1</w:t>
      </w:r>
      <w:r w:rsidRPr="00C71817">
        <w:rPr>
          <w:noProof/>
        </w:rPr>
        <w:t xml:space="preserve"> entails a significant </w:t>
      </w:r>
      <w:r w:rsidR="002A5A67">
        <w:rPr>
          <w:noProof/>
        </w:rPr>
        <w:t>delay in</w:t>
      </w:r>
      <w:r w:rsidRPr="00C71817">
        <w:rPr>
          <w:noProof/>
        </w:rPr>
        <w:t xml:space="preserve"> such investments, with </w:t>
      </w:r>
      <w:r w:rsidR="009B1721">
        <w:rPr>
          <w:noProof/>
        </w:rPr>
        <w:t>very high deployment levels in 2041-2050</w:t>
      </w:r>
      <w:r w:rsidRPr="00C71817">
        <w:rPr>
          <w:noProof/>
        </w:rPr>
        <w:t xml:space="preserve"> (</w:t>
      </w:r>
      <w:r w:rsidR="00325E0C" w:rsidRPr="00015153">
        <w:rPr>
          <w:noProof/>
        </w:rPr>
        <w:fldChar w:fldCharType="begin"/>
      </w:r>
      <w:r w:rsidR="00325E0C" w:rsidRPr="001F1F93">
        <w:rPr>
          <w:noProof/>
          <w:highlight w:val="yellow"/>
        </w:rPr>
        <w:instrText xml:space="preserve"> REF _Ref146098169 \h </w:instrText>
      </w:r>
      <w:r w:rsidR="001F1F93">
        <w:rPr>
          <w:noProof/>
          <w:highlight w:val="yellow"/>
        </w:rPr>
        <w:instrText xml:space="preserve"> \* MERGEFORMAT </w:instrText>
      </w:r>
      <w:r w:rsidR="00325E0C" w:rsidRPr="00015153">
        <w:rPr>
          <w:noProof/>
        </w:rPr>
      </w:r>
      <w:r w:rsidR="00325E0C" w:rsidRPr="00015153">
        <w:rPr>
          <w:noProof/>
        </w:rPr>
        <w:fldChar w:fldCharType="separate"/>
      </w:r>
      <w:r w:rsidR="00170A3C">
        <w:rPr>
          <w:noProof/>
        </w:rPr>
        <w:t>Figure 106</w:t>
      </w:r>
      <w:r w:rsidR="00325E0C" w:rsidRPr="00015153">
        <w:rPr>
          <w:noProof/>
        </w:rPr>
        <w:fldChar w:fldCharType="end"/>
      </w:r>
      <w:r w:rsidRPr="00C71817">
        <w:rPr>
          <w:noProof/>
        </w:rPr>
        <w:t xml:space="preserve">). </w:t>
      </w:r>
      <w:r w:rsidR="009B1721">
        <w:rPr>
          <w:noProof/>
        </w:rPr>
        <w:t>S2</w:t>
      </w:r>
      <w:r w:rsidRPr="00C71817">
        <w:rPr>
          <w:noProof/>
        </w:rPr>
        <w:t xml:space="preserve"> entails a smoother investment profile</w:t>
      </w:r>
      <w:r w:rsidR="009B1721">
        <w:rPr>
          <w:noProof/>
        </w:rPr>
        <w:t xml:space="preserve"> overall</w:t>
      </w:r>
      <w:r w:rsidRPr="00C71817">
        <w:rPr>
          <w:noProof/>
        </w:rPr>
        <w:t xml:space="preserve">, with lower investment needs in 2031-2040 compensated by higher investment needs in 2041-2050 compared to </w:t>
      </w:r>
      <w:r w:rsidR="009B1721">
        <w:rPr>
          <w:noProof/>
        </w:rPr>
        <w:t>S3</w:t>
      </w:r>
      <w:r w:rsidRPr="00C71817">
        <w:rPr>
          <w:noProof/>
        </w:rPr>
        <w:t xml:space="preserve">. In turn, </w:t>
      </w:r>
      <w:r w:rsidR="00C459D4">
        <w:rPr>
          <w:noProof/>
        </w:rPr>
        <w:t>LIFE</w:t>
      </w:r>
      <w:r w:rsidR="00ED269A">
        <w:rPr>
          <w:noProof/>
        </w:rPr>
        <w:t xml:space="preserve"> </w:t>
      </w:r>
      <w:r w:rsidRPr="00C71817">
        <w:rPr>
          <w:noProof/>
        </w:rPr>
        <w:t>enables a reduction of a</w:t>
      </w:r>
      <w:r w:rsidR="009B1721">
        <w:rPr>
          <w:noProof/>
        </w:rPr>
        <w:t>bout</w:t>
      </w:r>
      <w:r w:rsidRPr="00C71817">
        <w:rPr>
          <w:noProof/>
        </w:rPr>
        <w:t xml:space="preserve"> </w:t>
      </w:r>
      <w:r w:rsidR="0066277C">
        <w:rPr>
          <w:noProof/>
        </w:rPr>
        <w:t>EUR 1</w:t>
      </w:r>
      <w:r w:rsidR="007F6A16">
        <w:rPr>
          <w:noProof/>
        </w:rPr>
        <w:t>7</w:t>
      </w:r>
      <w:r w:rsidR="0066277C">
        <w:rPr>
          <w:noProof/>
        </w:rPr>
        <w:t> billion (</w:t>
      </w:r>
      <w:r w:rsidR="00DB35BE">
        <w:rPr>
          <w:noProof/>
        </w:rPr>
        <w:t>1</w:t>
      </w:r>
      <w:r w:rsidR="007F6A16">
        <w:rPr>
          <w:noProof/>
        </w:rPr>
        <w:t>2</w:t>
      </w:r>
      <w:r w:rsidRPr="00C71817">
        <w:rPr>
          <w:noProof/>
        </w:rPr>
        <w:t>%</w:t>
      </w:r>
      <w:r w:rsidR="0066277C">
        <w:rPr>
          <w:noProof/>
        </w:rPr>
        <w:t>)</w:t>
      </w:r>
      <w:r w:rsidRPr="00C71817">
        <w:rPr>
          <w:noProof/>
        </w:rPr>
        <w:t xml:space="preserve"> in </w:t>
      </w:r>
      <w:r w:rsidR="009B1721">
        <w:rPr>
          <w:noProof/>
        </w:rPr>
        <w:t>annual</w:t>
      </w:r>
      <w:r w:rsidRPr="00C71817">
        <w:rPr>
          <w:noProof/>
        </w:rPr>
        <w:t xml:space="preserve"> investment in power plants </w:t>
      </w:r>
      <w:r w:rsidR="009B1721">
        <w:rPr>
          <w:noProof/>
        </w:rPr>
        <w:t>in 2031-2050</w:t>
      </w:r>
      <w:r w:rsidR="007F6A16">
        <w:rPr>
          <w:noProof/>
        </w:rPr>
        <w:t xml:space="preserve"> compared to S3</w:t>
      </w:r>
      <w:r w:rsidR="0066277C">
        <w:rPr>
          <w:noProof/>
        </w:rPr>
        <w:t xml:space="preserve">. It </w:t>
      </w:r>
      <w:r w:rsidRPr="00C71817">
        <w:rPr>
          <w:noProof/>
        </w:rPr>
        <w:t xml:space="preserve">also translates into a significant reduction in power grid investment needs of </w:t>
      </w:r>
      <w:r w:rsidR="0066277C">
        <w:rPr>
          <w:noProof/>
        </w:rPr>
        <w:t>close to EUR 10 billion (</w:t>
      </w:r>
      <w:r w:rsidR="007F6A16">
        <w:rPr>
          <w:noProof/>
        </w:rPr>
        <w:t>10</w:t>
      </w:r>
      <w:r w:rsidRPr="00C71817">
        <w:rPr>
          <w:noProof/>
        </w:rPr>
        <w:t>%</w:t>
      </w:r>
      <w:r w:rsidR="0066277C">
        <w:rPr>
          <w:noProof/>
        </w:rPr>
        <w:t>) per annum</w:t>
      </w:r>
      <w:r w:rsidR="0010683F">
        <w:rPr>
          <w:noProof/>
        </w:rPr>
        <w:t>.</w:t>
      </w:r>
    </w:p>
    <w:p w14:paraId="2AEF33A6" w14:textId="2147BEFE" w:rsidR="00B40F6F" w:rsidRDefault="00B40F6F" w:rsidP="00FB5243">
      <w:pPr>
        <w:pStyle w:val="Caption"/>
        <w:rPr>
          <w:noProof/>
        </w:rPr>
      </w:pPr>
      <w:bookmarkStart w:id="629" w:name="_Ref138077844"/>
      <w:bookmarkStart w:id="630" w:name="_Ref138077807"/>
      <w:bookmarkStart w:id="631" w:name="_Ref140738269"/>
      <w:bookmarkStart w:id="632" w:name="_Ref146098169"/>
      <w:bookmarkStart w:id="633" w:name="_Toc157679854"/>
      <w:r>
        <w:rPr>
          <w:noProof/>
        </w:rPr>
        <w:t xml:space="preserve">Figure </w:t>
      </w:r>
      <w:bookmarkEnd w:id="629"/>
      <w:bookmarkEnd w:id="630"/>
      <w:bookmarkEnd w:id="631"/>
      <w:r w:rsidR="00F2742D">
        <w:rPr>
          <w:noProof/>
        </w:rPr>
        <w:fldChar w:fldCharType="begin"/>
      </w:r>
      <w:r w:rsidR="00F2742D">
        <w:rPr>
          <w:noProof/>
        </w:rPr>
        <w:instrText xml:space="preserve"> SEQ Figure \* ARABIC </w:instrText>
      </w:r>
      <w:r w:rsidR="00F2742D">
        <w:rPr>
          <w:noProof/>
        </w:rPr>
        <w:fldChar w:fldCharType="separate"/>
      </w:r>
      <w:r w:rsidR="00170A3C">
        <w:rPr>
          <w:noProof/>
        </w:rPr>
        <w:t>106</w:t>
      </w:r>
      <w:r w:rsidR="00F2742D">
        <w:rPr>
          <w:noProof/>
        </w:rPr>
        <w:fldChar w:fldCharType="end"/>
      </w:r>
      <w:bookmarkEnd w:id="632"/>
      <w:r>
        <w:rPr>
          <w:noProof/>
        </w:rPr>
        <w:t xml:space="preserve">: </w:t>
      </w:r>
      <w:r w:rsidR="00325E0C">
        <w:rPr>
          <w:noProof/>
        </w:rPr>
        <w:t>A</w:t>
      </w:r>
      <w:r w:rsidR="00D36225">
        <w:rPr>
          <w:noProof/>
        </w:rPr>
        <w:t xml:space="preserve">verage </w:t>
      </w:r>
      <w:r w:rsidR="00A26EDE">
        <w:rPr>
          <w:noProof/>
        </w:rPr>
        <w:t xml:space="preserve">annual </w:t>
      </w:r>
      <w:r w:rsidR="00D36225">
        <w:rPr>
          <w:noProof/>
        </w:rPr>
        <w:t xml:space="preserve">investment in power </w:t>
      </w:r>
      <w:r w:rsidR="001D55D5">
        <w:rPr>
          <w:noProof/>
        </w:rPr>
        <w:t>supply</w:t>
      </w:r>
      <w:bookmarkEnd w:id="633"/>
    </w:p>
    <w:p w14:paraId="5037629C" w14:textId="314318CB" w:rsidR="00561C56" w:rsidRDefault="001E506B" w:rsidP="00656F80">
      <w:pPr>
        <w:pStyle w:val="CT-SOURCE"/>
        <w:jc w:val="center"/>
        <w:rPr>
          <w:noProof/>
        </w:rPr>
      </w:pPr>
      <w:r w:rsidRPr="001E506B">
        <w:rPr>
          <w:noProof/>
          <w:lang w:val="en-GB" w:eastAsia="en-GB"/>
        </w:rPr>
        <w:drawing>
          <wp:inline distT="0" distB="0" distL="0" distR="0" wp14:anchorId="6DE5E9AA" wp14:editId="1BC369D6">
            <wp:extent cx="5398770" cy="252031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5398770" cy="2520315"/>
                    </a:xfrm>
                    <a:prstGeom prst="rect">
                      <a:avLst/>
                    </a:prstGeom>
                    <a:noFill/>
                    <a:ln>
                      <a:noFill/>
                    </a:ln>
                  </pic:spPr>
                </pic:pic>
              </a:graphicData>
            </a:graphic>
          </wp:inline>
        </w:drawing>
      </w:r>
    </w:p>
    <w:p w14:paraId="6F77D299" w14:textId="643D9DDB" w:rsidR="00501756" w:rsidRPr="0047274C" w:rsidRDefault="00501756" w:rsidP="00875BB2">
      <w:pPr>
        <w:pStyle w:val="CT-SOURCE"/>
        <w:keepNext w:val="0"/>
        <w:rPr>
          <w:noProof/>
        </w:rPr>
      </w:pPr>
      <w:r w:rsidRPr="0047274C">
        <w:rPr>
          <w:noProof/>
        </w:rPr>
        <w:t>Source: PRIMES.</w:t>
      </w:r>
    </w:p>
    <w:p w14:paraId="30778911" w14:textId="7CE6F3A8" w:rsidR="00A44C17" w:rsidRDefault="00E6673A" w:rsidP="00A44C17">
      <w:pPr>
        <w:rPr>
          <w:noProof/>
        </w:rPr>
      </w:pPr>
      <w:r w:rsidRPr="00E6673A">
        <w:rPr>
          <w:noProof/>
        </w:rPr>
        <w:t xml:space="preserve">Given the similar high reliance on variable sources of renewable electricity, all </w:t>
      </w:r>
      <w:r w:rsidR="000D0000">
        <w:rPr>
          <w:noProof/>
        </w:rPr>
        <w:t>scenarios</w:t>
      </w:r>
      <w:r w:rsidRPr="00E6673A">
        <w:rPr>
          <w:noProof/>
        </w:rPr>
        <w:t xml:space="preserve"> require significant investment in electricity storage, starting this decade already and extending to 2050, at about EUR</w:t>
      </w:r>
      <w:r w:rsidR="004446E8">
        <w:rPr>
          <w:noProof/>
        </w:rPr>
        <w:t> </w:t>
      </w:r>
      <w:r w:rsidR="00651C0F">
        <w:rPr>
          <w:noProof/>
        </w:rPr>
        <w:t>8</w:t>
      </w:r>
      <w:r w:rsidR="004446E8">
        <w:rPr>
          <w:noProof/>
        </w:rPr>
        <w:t> </w:t>
      </w:r>
      <w:r w:rsidRPr="00E6673A">
        <w:rPr>
          <w:noProof/>
        </w:rPr>
        <w:t>billion annually</w:t>
      </w:r>
      <w:r w:rsidR="00651C0F">
        <w:rPr>
          <w:noProof/>
        </w:rPr>
        <w:t xml:space="preserve"> in 2031-2050</w:t>
      </w:r>
      <w:r w:rsidRPr="00E6673A">
        <w:rPr>
          <w:noProof/>
        </w:rPr>
        <w:t xml:space="preserve">. Similarly, integrating a very high share of variable and geographically dispersed renewable electricity sources into the electricity network will require the upscaling and upgrading of the transmission and distribution networks. Average annual investment needs in the power grid are comparable across </w:t>
      </w:r>
      <w:r w:rsidR="000D0000">
        <w:rPr>
          <w:noProof/>
        </w:rPr>
        <w:t>scenarios</w:t>
      </w:r>
      <w:r w:rsidRPr="00E6673A">
        <w:rPr>
          <w:noProof/>
        </w:rPr>
        <w:t xml:space="preserve"> at about EUR</w:t>
      </w:r>
      <w:r w:rsidR="000D0000">
        <w:rPr>
          <w:noProof/>
        </w:rPr>
        <w:t> </w:t>
      </w:r>
      <w:r w:rsidR="00651C0F">
        <w:rPr>
          <w:noProof/>
        </w:rPr>
        <w:t>85</w:t>
      </w:r>
      <w:r w:rsidR="000D0000">
        <w:rPr>
          <w:noProof/>
        </w:rPr>
        <w:t> </w:t>
      </w:r>
      <w:r w:rsidRPr="00E6673A">
        <w:rPr>
          <w:noProof/>
        </w:rPr>
        <w:t xml:space="preserve">billion per annum, with </w:t>
      </w:r>
      <w:r w:rsidR="00DB35BE">
        <w:rPr>
          <w:noProof/>
        </w:rPr>
        <w:t>a</w:t>
      </w:r>
      <w:r w:rsidR="002A5A67">
        <w:rPr>
          <w:noProof/>
        </w:rPr>
        <w:t>n early push in</w:t>
      </w:r>
      <w:r w:rsidRPr="00E6673A">
        <w:rPr>
          <w:noProof/>
        </w:rPr>
        <w:t xml:space="preserve"> investment under </w:t>
      </w:r>
      <w:r w:rsidR="000D0000">
        <w:rPr>
          <w:noProof/>
        </w:rPr>
        <w:t>S3</w:t>
      </w:r>
      <w:r w:rsidRPr="00E6673A">
        <w:rPr>
          <w:noProof/>
        </w:rPr>
        <w:t xml:space="preserve">, </w:t>
      </w:r>
      <w:r w:rsidR="002A5A67">
        <w:rPr>
          <w:noProof/>
        </w:rPr>
        <w:t xml:space="preserve">a delayed deployment </w:t>
      </w:r>
      <w:r w:rsidRPr="00E6673A">
        <w:rPr>
          <w:noProof/>
        </w:rPr>
        <w:t xml:space="preserve">under </w:t>
      </w:r>
      <w:r w:rsidR="000D0000">
        <w:rPr>
          <w:noProof/>
        </w:rPr>
        <w:t>S1</w:t>
      </w:r>
      <w:r w:rsidRPr="00E6673A">
        <w:rPr>
          <w:noProof/>
        </w:rPr>
        <w:t xml:space="preserve">, a more even profile under </w:t>
      </w:r>
      <w:r w:rsidR="000D0000">
        <w:rPr>
          <w:noProof/>
        </w:rPr>
        <w:t>S2</w:t>
      </w:r>
      <w:r w:rsidRPr="00E6673A">
        <w:rPr>
          <w:noProof/>
        </w:rPr>
        <w:t xml:space="preserve"> and a </w:t>
      </w:r>
      <w:r w:rsidR="005C7744">
        <w:rPr>
          <w:noProof/>
        </w:rPr>
        <w:t>reduction in</w:t>
      </w:r>
      <w:r w:rsidRPr="00E6673A">
        <w:rPr>
          <w:noProof/>
        </w:rPr>
        <w:t xml:space="preserve"> investment </w:t>
      </w:r>
      <w:r w:rsidR="005C7744">
        <w:rPr>
          <w:noProof/>
        </w:rPr>
        <w:t>needs</w:t>
      </w:r>
      <w:r w:rsidRPr="00E6673A">
        <w:rPr>
          <w:noProof/>
        </w:rPr>
        <w:t xml:space="preserve"> </w:t>
      </w:r>
      <w:r w:rsidR="0039510A">
        <w:rPr>
          <w:noProof/>
        </w:rPr>
        <w:t xml:space="preserve">under </w:t>
      </w:r>
      <w:r w:rsidR="00C459D4">
        <w:rPr>
          <w:noProof/>
        </w:rPr>
        <w:t>LIFE</w:t>
      </w:r>
      <w:r w:rsidRPr="00E6673A">
        <w:rPr>
          <w:noProof/>
        </w:rPr>
        <w:t>.</w:t>
      </w:r>
      <w:r w:rsidR="001E506B">
        <w:rPr>
          <w:noProof/>
        </w:rPr>
        <w:t xml:space="preserve"> Infrastructure investment in carbon storage is projected at around EUR 5 billion per annum on average in 2031-2050 and is similar across scenarios. The faster development of carbon capture and storage under S3 and S2 means that investment in carbon storage infrastructure is anticipated compared to S1, with average annual investment of EUR 9 billion in 2031-2040 under S3, compared to EUR 6 billion under S2 and EUR 1 billion under S1.</w:t>
      </w:r>
    </w:p>
    <w:p w14:paraId="7E3C5994" w14:textId="41D6EE8B" w:rsidR="00DD6070" w:rsidRDefault="00190B23" w:rsidP="00DD6070">
      <w:pPr>
        <w:rPr>
          <w:noProof/>
          <w:sz w:val="23"/>
          <w:szCs w:val="23"/>
        </w:rPr>
      </w:pPr>
      <w:r>
        <w:rPr>
          <w:noProof/>
        </w:rPr>
        <w:t xml:space="preserve">The </w:t>
      </w:r>
      <w:r w:rsidR="006514A6">
        <w:rPr>
          <w:noProof/>
        </w:rPr>
        <w:t xml:space="preserve">bulk of investment needs on the supply side of the energy system </w:t>
      </w:r>
      <w:r w:rsidR="00CB7A7C">
        <w:rPr>
          <w:noProof/>
        </w:rPr>
        <w:t xml:space="preserve">will </w:t>
      </w:r>
      <w:r w:rsidR="004F6E69">
        <w:rPr>
          <w:noProof/>
        </w:rPr>
        <w:t>originate from power utilities</w:t>
      </w:r>
      <w:r w:rsidR="00FC22B0">
        <w:rPr>
          <w:noProof/>
        </w:rPr>
        <w:t xml:space="preserve"> and by the regulated operators of the transmission and distribution system</w:t>
      </w:r>
      <w:r w:rsidR="008F06F8">
        <w:rPr>
          <w:noProof/>
        </w:rPr>
        <w:t>s</w:t>
      </w:r>
      <w:r w:rsidR="00FC22B0">
        <w:rPr>
          <w:noProof/>
        </w:rPr>
        <w:t xml:space="preserve">, many of which in the EU are </w:t>
      </w:r>
      <w:r w:rsidR="004A2D92">
        <w:rPr>
          <w:noProof/>
        </w:rPr>
        <w:t xml:space="preserve">fully or partly </w:t>
      </w:r>
      <w:r w:rsidR="000D1287">
        <w:rPr>
          <w:noProof/>
        </w:rPr>
        <w:t>publicly owned</w:t>
      </w:r>
      <w:r w:rsidR="00FC22B0">
        <w:rPr>
          <w:noProof/>
        </w:rPr>
        <w:t xml:space="preserve"> corporations.</w:t>
      </w:r>
      <w:r w:rsidR="00A2754F">
        <w:rPr>
          <w:noProof/>
        </w:rPr>
        <w:t xml:space="preserve"> </w:t>
      </w:r>
      <w:r w:rsidR="00EC0B48">
        <w:rPr>
          <w:noProof/>
        </w:rPr>
        <w:t xml:space="preserve">Industrial companies </w:t>
      </w:r>
      <w:r w:rsidR="00166AFF">
        <w:rPr>
          <w:noProof/>
        </w:rPr>
        <w:t xml:space="preserve">also invest to some extent in their own </w:t>
      </w:r>
      <w:r w:rsidR="00D0675B">
        <w:rPr>
          <w:noProof/>
        </w:rPr>
        <w:t xml:space="preserve">(decarbonised) </w:t>
      </w:r>
      <w:r w:rsidR="00166AFF">
        <w:rPr>
          <w:noProof/>
        </w:rPr>
        <w:t>energy supply infrastructure,</w:t>
      </w:r>
      <w:r w:rsidR="00B54480">
        <w:rPr>
          <w:noProof/>
        </w:rPr>
        <w:t xml:space="preserve"> </w:t>
      </w:r>
      <w:r w:rsidR="001965F1">
        <w:rPr>
          <w:noProof/>
        </w:rPr>
        <w:t xml:space="preserve">as illustrated </w:t>
      </w:r>
      <w:r w:rsidR="00D0675B">
        <w:rPr>
          <w:noProof/>
        </w:rPr>
        <w:t xml:space="preserve">by recent developments in investments in the generation of green hydrogen from electrolysis by large players in the steel industry. </w:t>
      </w:r>
      <w:r w:rsidR="005D27CC">
        <w:rPr>
          <w:noProof/>
        </w:rPr>
        <w:t>So far</w:t>
      </w:r>
      <w:r w:rsidR="00D0675B">
        <w:rPr>
          <w:noProof/>
        </w:rPr>
        <w:t>,</w:t>
      </w:r>
      <w:r w:rsidR="00F66C0E">
        <w:rPr>
          <w:noProof/>
        </w:rPr>
        <w:t xml:space="preserve"> the deployment of renewable electricity</w:t>
      </w:r>
      <w:r w:rsidR="0027226A">
        <w:rPr>
          <w:noProof/>
        </w:rPr>
        <w:t xml:space="preserve"> </w:t>
      </w:r>
      <w:r w:rsidR="005D27CC">
        <w:rPr>
          <w:noProof/>
        </w:rPr>
        <w:t xml:space="preserve">has mainly taken place with public support </w:t>
      </w:r>
      <w:r w:rsidR="0027226A">
        <w:rPr>
          <w:noProof/>
        </w:rPr>
        <w:t xml:space="preserve">via a range of State aid </w:t>
      </w:r>
      <w:r w:rsidR="00A4691A">
        <w:rPr>
          <w:noProof/>
        </w:rPr>
        <w:t>sch</w:t>
      </w:r>
      <w:r w:rsidR="00382CDE">
        <w:rPr>
          <w:noProof/>
        </w:rPr>
        <w:t xml:space="preserve">emes providing operating </w:t>
      </w:r>
      <w:r w:rsidR="005D27CC">
        <w:rPr>
          <w:noProof/>
        </w:rPr>
        <w:t xml:space="preserve">aid </w:t>
      </w:r>
      <w:r w:rsidR="00C429EA">
        <w:rPr>
          <w:noProof/>
        </w:rPr>
        <w:t>for generation</w:t>
      </w:r>
      <w:r w:rsidR="009A5173" w:rsidRPr="009A5173">
        <w:rPr>
          <w:noProof/>
        </w:rPr>
        <w:t> (</w:t>
      </w:r>
      <w:r w:rsidR="009A5173">
        <w:rPr>
          <w:rStyle w:val="FootnoteReference"/>
          <w:noProof/>
        </w:rPr>
        <w:footnoteReference w:id="272"/>
      </w:r>
      <w:r w:rsidR="009A5173">
        <w:rPr>
          <w:noProof/>
        </w:rPr>
        <w:t>)</w:t>
      </w:r>
      <w:r w:rsidR="00972D8A">
        <w:rPr>
          <w:noProof/>
        </w:rPr>
        <w:t xml:space="preserve">. EU funding has </w:t>
      </w:r>
      <w:r w:rsidR="0072758F">
        <w:rPr>
          <w:noProof/>
        </w:rPr>
        <w:t xml:space="preserve">also facilitated the deployment of renewables </w:t>
      </w:r>
      <w:r w:rsidR="007B572A">
        <w:rPr>
          <w:noProof/>
        </w:rPr>
        <w:t>in the power sector, including via the Modernisation Fund</w:t>
      </w:r>
      <w:r w:rsidR="00C429EA">
        <w:rPr>
          <w:noProof/>
        </w:rPr>
        <w:t>.</w:t>
      </w:r>
      <w:r w:rsidR="0030252A">
        <w:rPr>
          <w:noProof/>
        </w:rPr>
        <w:t xml:space="preserve"> To some extent, households are also </w:t>
      </w:r>
      <w:r w:rsidR="00675339">
        <w:rPr>
          <w:noProof/>
        </w:rPr>
        <w:t>involved as investors on the supply side via the installation of rooftop solar panels and or/via energy communities, which have risen in importance in recent years.</w:t>
      </w:r>
      <w:r w:rsidR="00DE7D61">
        <w:rPr>
          <w:noProof/>
        </w:rPr>
        <w:t xml:space="preserve"> Investment costs for the deployment of renewable electricity have fallen sharply</w:t>
      </w:r>
      <w:r w:rsidR="00DE7D61" w:rsidRPr="00DE7D61">
        <w:rPr>
          <w:noProof/>
        </w:rPr>
        <w:t xml:space="preserve"> in the last decades</w:t>
      </w:r>
      <w:r w:rsidR="00DE7D61">
        <w:rPr>
          <w:noProof/>
        </w:rPr>
        <w:t xml:space="preserve">, and renewable electricity is </w:t>
      </w:r>
      <w:r w:rsidR="00DE7D61" w:rsidRPr="00DE7D61">
        <w:rPr>
          <w:noProof/>
        </w:rPr>
        <w:t>set to become cost-competitive on a market basis in a broad range of market situations encountered in Europe by 2030 (</w:t>
      </w:r>
      <w:r w:rsidR="00DE7D61">
        <w:rPr>
          <w:rStyle w:val="FootnoteReference"/>
          <w:noProof/>
        </w:rPr>
        <w:footnoteReference w:id="273"/>
      </w:r>
      <w:r w:rsidR="00DE7D61">
        <w:rPr>
          <w:noProof/>
        </w:rPr>
        <w:t>)</w:t>
      </w:r>
      <w:r w:rsidR="00DE7D61" w:rsidRPr="00DE7D61">
        <w:rPr>
          <w:noProof/>
        </w:rPr>
        <w:t xml:space="preserve">. </w:t>
      </w:r>
      <w:r w:rsidR="00DE7D61">
        <w:rPr>
          <w:noProof/>
        </w:rPr>
        <w:t xml:space="preserve">The need for public support should therefore decrease in future and it is expected that deployment should be increasingly </w:t>
      </w:r>
      <w:r w:rsidR="00DE7D61" w:rsidRPr="00DE7D61">
        <w:rPr>
          <w:noProof/>
        </w:rPr>
        <w:t xml:space="preserve">driven </w:t>
      </w:r>
      <w:r w:rsidR="00DE7D61">
        <w:rPr>
          <w:noProof/>
        </w:rPr>
        <w:t>under market conditions</w:t>
      </w:r>
      <w:r w:rsidR="00DE7D61" w:rsidRPr="00DE7D61">
        <w:rPr>
          <w:noProof/>
        </w:rPr>
        <w:t>.</w:t>
      </w:r>
    </w:p>
    <w:p w14:paraId="09E79DC0" w14:textId="0B086B64" w:rsidR="00DD6070" w:rsidRPr="00680783" w:rsidRDefault="00DD6070" w:rsidP="00680783">
      <w:pPr>
        <w:pStyle w:val="Heading3"/>
        <w:rPr>
          <w:noProof/>
        </w:rPr>
      </w:pPr>
      <w:bookmarkStart w:id="634" w:name="_Ref138242599"/>
      <w:bookmarkStart w:id="635" w:name="_Toc148605639"/>
      <w:bookmarkStart w:id="636" w:name="_Toc157692085"/>
      <w:r w:rsidRPr="00680783">
        <w:rPr>
          <w:noProof/>
        </w:rPr>
        <w:t>Demand-side investment needs, industry</w:t>
      </w:r>
      <w:r w:rsidR="00493D74">
        <w:rPr>
          <w:noProof/>
        </w:rPr>
        <w:t>,</w:t>
      </w:r>
      <w:r w:rsidRPr="00680783">
        <w:rPr>
          <w:noProof/>
        </w:rPr>
        <w:t>services</w:t>
      </w:r>
      <w:bookmarkEnd w:id="634"/>
      <w:bookmarkEnd w:id="635"/>
      <w:r w:rsidR="00493D74">
        <w:rPr>
          <w:noProof/>
        </w:rPr>
        <w:t xml:space="preserve"> and agriculture</w:t>
      </w:r>
      <w:bookmarkEnd w:id="636"/>
    </w:p>
    <w:p w14:paraId="2F957051" w14:textId="3DB991CA" w:rsidR="007B0EE0" w:rsidRDefault="00B82B91" w:rsidP="00305087">
      <w:pPr>
        <w:rPr>
          <w:noProof/>
        </w:rPr>
      </w:pPr>
      <w:r w:rsidRPr="00B82B91">
        <w:rPr>
          <w:noProof/>
        </w:rPr>
        <w:t xml:space="preserve">The shift towards electricity as the principal energy carrier on the demand side, the decarbonisation of </w:t>
      </w:r>
      <w:r w:rsidRPr="00875BB2">
        <w:rPr>
          <w:noProof/>
        </w:rPr>
        <w:t xml:space="preserve">industrial processes and improvements in energy efficiency will require significant investment over the coming decades. Investment needs to decarbonise industrial output will be most significant in energy-intensive industries, which tend to be dominated by large privately owned corporations. The estimated investment needs in iron and steel, non-ferrous metals, chemicals, non-metallic minerals and pulp and paper account for </w:t>
      </w:r>
      <w:r w:rsidR="00AB119C">
        <w:rPr>
          <w:noProof/>
        </w:rPr>
        <w:t>about</w:t>
      </w:r>
      <w:r w:rsidR="00D26FBF" w:rsidRPr="00875BB2">
        <w:rPr>
          <w:noProof/>
        </w:rPr>
        <w:t xml:space="preserve"> </w:t>
      </w:r>
      <w:r w:rsidRPr="00875BB2">
        <w:rPr>
          <w:noProof/>
        </w:rPr>
        <w:t>70</w:t>
      </w:r>
      <w:r w:rsidR="00D26FBF" w:rsidRPr="00875BB2">
        <w:rPr>
          <w:noProof/>
        </w:rPr>
        <w:t>%</w:t>
      </w:r>
      <w:r w:rsidRPr="00875BB2">
        <w:rPr>
          <w:noProof/>
        </w:rPr>
        <w:t xml:space="preserve"> of investment needs in industry in 2031-2050 and the amounts vary little across </w:t>
      </w:r>
      <w:r w:rsidR="00D26FBF" w:rsidRPr="00875BB2">
        <w:rPr>
          <w:noProof/>
        </w:rPr>
        <w:t>scenarios</w:t>
      </w:r>
      <w:r w:rsidRPr="00875BB2">
        <w:rPr>
          <w:noProof/>
        </w:rPr>
        <w:t xml:space="preserve"> (</w:t>
      </w:r>
      <w:r w:rsidR="00FB5243" w:rsidRPr="00875BB2">
        <w:rPr>
          <w:noProof/>
        </w:rPr>
        <w:fldChar w:fldCharType="begin"/>
      </w:r>
      <w:r w:rsidR="00FB5243" w:rsidRPr="00875BB2">
        <w:rPr>
          <w:noProof/>
        </w:rPr>
        <w:instrText xml:space="preserve"> REF _Ref146098726 \h </w:instrText>
      </w:r>
      <w:r w:rsidR="001F1F93" w:rsidRPr="00875BB2">
        <w:rPr>
          <w:noProof/>
        </w:rPr>
        <w:instrText xml:space="preserve"> \* MERGEFORMAT </w:instrText>
      </w:r>
      <w:r w:rsidR="00FB5243" w:rsidRPr="00875BB2">
        <w:rPr>
          <w:noProof/>
        </w:rPr>
      </w:r>
      <w:r w:rsidR="00FB5243" w:rsidRPr="00875BB2">
        <w:rPr>
          <w:noProof/>
        </w:rPr>
        <w:fldChar w:fldCharType="separate"/>
      </w:r>
      <w:r w:rsidR="00170A3C">
        <w:rPr>
          <w:noProof/>
        </w:rPr>
        <w:t>Figure 107</w:t>
      </w:r>
      <w:r w:rsidR="00FB5243" w:rsidRPr="00875BB2">
        <w:rPr>
          <w:noProof/>
        </w:rPr>
        <w:fldChar w:fldCharType="end"/>
      </w:r>
      <w:r w:rsidRPr="00875BB2">
        <w:rPr>
          <w:noProof/>
        </w:rPr>
        <w:t xml:space="preserve">). However, </w:t>
      </w:r>
      <w:r w:rsidR="00C459D4" w:rsidRPr="00875BB2">
        <w:rPr>
          <w:noProof/>
        </w:rPr>
        <w:t>LIFE</w:t>
      </w:r>
      <w:r w:rsidRPr="00875BB2">
        <w:rPr>
          <w:noProof/>
        </w:rPr>
        <w:t xml:space="preserve"> shows clear benefits from higher levels of circularity in industry, with investment needs reduced by </w:t>
      </w:r>
      <w:r w:rsidR="00D26FBF" w:rsidRPr="00875BB2">
        <w:rPr>
          <w:noProof/>
        </w:rPr>
        <w:t>1</w:t>
      </w:r>
      <w:r w:rsidR="007F6A16">
        <w:rPr>
          <w:noProof/>
        </w:rPr>
        <w:t>5</w:t>
      </w:r>
      <w:r w:rsidR="00D26FBF" w:rsidRPr="00875BB2">
        <w:rPr>
          <w:noProof/>
        </w:rPr>
        <w:t>%</w:t>
      </w:r>
      <w:r w:rsidR="007F6A16">
        <w:rPr>
          <w:noProof/>
        </w:rPr>
        <w:t xml:space="preserve"> compared to S3</w:t>
      </w:r>
      <w:r w:rsidRPr="00875BB2">
        <w:rPr>
          <w:noProof/>
        </w:rPr>
        <w:t xml:space="preserve"> </w:t>
      </w:r>
      <w:r w:rsidR="00800B69" w:rsidRPr="00875BB2">
        <w:rPr>
          <w:noProof/>
        </w:rPr>
        <w:t>(</w:t>
      </w:r>
      <w:r w:rsidR="00800B69" w:rsidRPr="00875BB2">
        <w:rPr>
          <w:noProof/>
          <w:color w:val="2B579A"/>
          <w:shd w:val="clear" w:color="auto" w:fill="E6E6E6"/>
        </w:rPr>
        <w:fldChar w:fldCharType="begin"/>
      </w:r>
      <w:r w:rsidR="00800B69" w:rsidRPr="00875BB2">
        <w:rPr>
          <w:noProof/>
        </w:rPr>
        <w:instrText xml:space="preserve"> REF _Ref140738430 \h </w:instrText>
      </w:r>
      <w:r w:rsidR="00177FA7" w:rsidRPr="00875BB2">
        <w:rPr>
          <w:noProof/>
          <w:color w:val="2B579A"/>
          <w:shd w:val="clear" w:color="auto" w:fill="E6E6E6"/>
        </w:rPr>
        <w:instrText xml:space="preserve"> \* MERGEFORMAT </w:instrText>
      </w:r>
      <w:r w:rsidR="00800B69" w:rsidRPr="00875BB2">
        <w:rPr>
          <w:noProof/>
          <w:color w:val="2B579A"/>
          <w:shd w:val="clear" w:color="auto" w:fill="E6E6E6"/>
        </w:rPr>
      </w:r>
      <w:r w:rsidR="00800B69" w:rsidRPr="00875BB2">
        <w:rPr>
          <w:noProof/>
          <w:color w:val="2B579A"/>
          <w:shd w:val="clear" w:color="auto" w:fill="E6E6E6"/>
        </w:rPr>
        <w:fldChar w:fldCharType="separate"/>
      </w:r>
      <w:r w:rsidR="00170A3C" w:rsidRPr="00875BB2">
        <w:rPr>
          <w:noProof/>
        </w:rPr>
        <w:t xml:space="preserve">Table </w:t>
      </w:r>
      <w:r w:rsidR="00170A3C">
        <w:rPr>
          <w:noProof/>
        </w:rPr>
        <w:t>28</w:t>
      </w:r>
      <w:r w:rsidR="00800B69" w:rsidRPr="00875BB2">
        <w:rPr>
          <w:noProof/>
          <w:color w:val="2B579A"/>
          <w:shd w:val="clear" w:color="auto" w:fill="E6E6E6"/>
        </w:rPr>
        <w:fldChar w:fldCharType="end"/>
      </w:r>
      <w:r w:rsidR="00800B69" w:rsidRPr="00875BB2">
        <w:rPr>
          <w:noProof/>
        </w:rPr>
        <w:t>)</w:t>
      </w:r>
      <w:r w:rsidRPr="00875BB2">
        <w:rPr>
          <w:noProof/>
        </w:rPr>
        <w:t>. This is particularly noticeable</w:t>
      </w:r>
      <w:r w:rsidRPr="00B82B91">
        <w:rPr>
          <w:noProof/>
        </w:rPr>
        <w:t xml:space="preserve"> in sectors where circularity offers mo</w:t>
      </w:r>
      <w:r w:rsidR="006D19ED">
        <w:rPr>
          <w:noProof/>
        </w:rPr>
        <w:t>st</w:t>
      </w:r>
      <w:r w:rsidRPr="00B82B91">
        <w:rPr>
          <w:noProof/>
        </w:rPr>
        <w:t xml:space="preserve"> potential, including pulp and paper (</w:t>
      </w:r>
      <w:r w:rsidR="009F11F3">
        <w:rPr>
          <w:noProof/>
        </w:rPr>
        <w:noBreakHyphen/>
      </w:r>
      <w:r w:rsidRPr="00B82B91">
        <w:rPr>
          <w:noProof/>
        </w:rPr>
        <w:t>3</w:t>
      </w:r>
      <w:r w:rsidR="007F6A16">
        <w:rPr>
          <w:noProof/>
        </w:rPr>
        <w:t>3</w:t>
      </w:r>
      <w:r w:rsidRPr="00B82B91">
        <w:rPr>
          <w:noProof/>
        </w:rPr>
        <w:t>%), non-ferrous metals (</w:t>
      </w:r>
      <w:r w:rsidR="009F11F3">
        <w:rPr>
          <w:noProof/>
        </w:rPr>
        <w:noBreakHyphen/>
      </w:r>
      <w:r w:rsidR="007F6A16">
        <w:rPr>
          <w:noProof/>
        </w:rPr>
        <w:t>31</w:t>
      </w:r>
      <w:r w:rsidRPr="00B82B91">
        <w:rPr>
          <w:noProof/>
        </w:rPr>
        <w:t>%), iron and steel (</w:t>
      </w:r>
      <w:r w:rsidR="009F11F3">
        <w:rPr>
          <w:noProof/>
        </w:rPr>
        <w:noBreakHyphen/>
      </w:r>
      <w:r w:rsidRPr="00B82B91">
        <w:rPr>
          <w:noProof/>
        </w:rPr>
        <w:t>2</w:t>
      </w:r>
      <w:r w:rsidR="007F6A16">
        <w:rPr>
          <w:noProof/>
        </w:rPr>
        <w:t>1</w:t>
      </w:r>
      <w:r w:rsidRPr="00B82B91">
        <w:rPr>
          <w:noProof/>
        </w:rPr>
        <w:t xml:space="preserve">%) and </w:t>
      </w:r>
      <w:r w:rsidR="006D19ED">
        <w:rPr>
          <w:noProof/>
        </w:rPr>
        <w:t>chemicals</w:t>
      </w:r>
      <w:r w:rsidRPr="00B82B91">
        <w:rPr>
          <w:noProof/>
        </w:rPr>
        <w:t xml:space="preserve"> (</w:t>
      </w:r>
      <w:r w:rsidR="009F11F3">
        <w:rPr>
          <w:noProof/>
        </w:rPr>
        <w:noBreakHyphen/>
      </w:r>
      <w:r w:rsidR="006D19ED">
        <w:rPr>
          <w:noProof/>
        </w:rPr>
        <w:t>19</w:t>
      </w:r>
      <w:r w:rsidRPr="00B82B91">
        <w:rPr>
          <w:noProof/>
        </w:rPr>
        <w:t>%).</w:t>
      </w:r>
    </w:p>
    <w:p w14:paraId="636EB031" w14:textId="3170DF08" w:rsidR="00652910" w:rsidRDefault="00652910" w:rsidP="00FB5243">
      <w:pPr>
        <w:pStyle w:val="Caption"/>
        <w:rPr>
          <w:noProof/>
        </w:rPr>
      </w:pPr>
      <w:bookmarkStart w:id="637" w:name="_Ref138154312"/>
      <w:bookmarkStart w:id="638" w:name="_Ref140701639"/>
      <w:bookmarkStart w:id="639" w:name="_Ref146098726"/>
      <w:bookmarkStart w:id="640" w:name="_Toc157679855"/>
      <w:r>
        <w:rPr>
          <w:noProof/>
        </w:rPr>
        <w:t xml:space="preserve">Figure </w:t>
      </w:r>
      <w:bookmarkEnd w:id="637"/>
      <w:bookmarkEnd w:id="638"/>
      <w:r w:rsidR="00F2742D">
        <w:rPr>
          <w:noProof/>
        </w:rPr>
        <w:fldChar w:fldCharType="begin"/>
      </w:r>
      <w:r w:rsidR="00F2742D">
        <w:rPr>
          <w:noProof/>
        </w:rPr>
        <w:instrText xml:space="preserve"> SEQ Figure \* ARABIC </w:instrText>
      </w:r>
      <w:r w:rsidR="00F2742D">
        <w:rPr>
          <w:noProof/>
        </w:rPr>
        <w:fldChar w:fldCharType="separate"/>
      </w:r>
      <w:r w:rsidR="00170A3C">
        <w:rPr>
          <w:noProof/>
        </w:rPr>
        <w:t>107</w:t>
      </w:r>
      <w:r w:rsidR="00F2742D">
        <w:rPr>
          <w:noProof/>
        </w:rPr>
        <w:fldChar w:fldCharType="end"/>
      </w:r>
      <w:bookmarkEnd w:id="639"/>
      <w:r>
        <w:rPr>
          <w:noProof/>
        </w:rPr>
        <w:t xml:space="preserve">: </w:t>
      </w:r>
      <w:bookmarkStart w:id="641" w:name="_Hlk138166292"/>
      <w:r w:rsidR="00FB5243">
        <w:rPr>
          <w:noProof/>
        </w:rPr>
        <w:t>A</w:t>
      </w:r>
      <w:r w:rsidR="008C5590">
        <w:rPr>
          <w:noProof/>
        </w:rPr>
        <w:t xml:space="preserve">verage annual </w:t>
      </w:r>
      <w:r w:rsidRPr="00652910">
        <w:rPr>
          <w:noProof/>
        </w:rPr>
        <w:t>energy system investment needs</w:t>
      </w:r>
      <w:r>
        <w:rPr>
          <w:noProof/>
        </w:rPr>
        <w:t xml:space="preserve"> in industrial sectors</w:t>
      </w:r>
      <w:bookmarkEnd w:id="640"/>
      <w:bookmarkEnd w:id="641"/>
    </w:p>
    <w:p w14:paraId="4693EA84" w14:textId="70D07BF9" w:rsidR="00C21020" w:rsidRDefault="00AB119C" w:rsidP="00656F80">
      <w:pPr>
        <w:keepNext/>
        <w:spacing w:after="0"/>
        <w:jc w:val="center"/>
        <w:rPr>
          <w:rFonts w:ascii="Cambria Math" w:hAnsi="Cambria Math"/>
          <w:i/>
          <w:noProof/>
          <w:sz w:val="22"/>
          <w:szCs w:val="22"/>
        </w:rPr>
      </w:pPr>
      <w:r w:rsidRPr="00AB119C">
        <w:rPr>
          <w:noProof/>
          <w:lang w:eastAsia="en-GB"/>
        </w:rPr>
        <w:drawing>
          <wp:inline distT="0" distB="0" distL="0" distR="0" wp14:anchorId="55320A8A" wp14:editId="2811EAF7">
            <wp:extent cx="5407025" cy="2298065"/>
            <wp:effectExtent l="0" t="0" r="3175" b="698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5407025" cy="2298065"/>
                    </a:xfrm>
                    <a:prstGeom prst="rect">
                      <a:avLst/>
                    </a:prstGeom>
                    <a:noFill/>
                    <a:ln>
                      <a:noFill/>
                    </a:ln>
                  </pic:spPr>
                </pic:pic>
              </a:graphicData>
            </a:graphic>
          </wp:inline>
        </w:drawing>
      </w:r>
    </w:p>
    <w:p w14:paraId="2E1AE8DC" w14:textId="305991DA" w:rsidR="0050293D" w:rsidRPr="00F60C11" w:rsidRDefault="0024150D" w:rsidP="00501756">
      <w:pPr>
        <w:pStyle w:val="CT-SOURCE"/>
        <w:rPr>
          <w:i w:val="0"/>
          <w:noProof/>
        </w:rPr>
      </w:pPr>
      <w:r w:rsidRPr="00C21020">
        <w:rPr>
          <w:noProof/>
        </w:rPr>
        <w:t>Sou</w:t>
      </w:r>
      <w:r w:rsidRPr="00F60C11">
        <w:rPr>
          <w:noProof/>
        </w:rPr>
        <w:t>rce: PRIMES.</w:t>
      </w:r>
    </w:p>
    <w:p w14:paraId="3C2A617F" w14:textId="03EBD179" w:rsidR="00D439E9" w:rsidRDefault="00D11850" w:rsidP="00305087">
      <w:pPr>
        <w:rPr>
          <w:noProof/>
        </w:rPr>
      </w:pPr>
      <w:r>
        <w:rPr>
          <w:noProof/>
        </w:rPr>
        <w:t>In the decade 2031</w:t>
      </w:r>
      <w:r w:rsidR="001D4994">
        <w:rPr>
          <w:noProof/>
        </w:rPr>
        <w:t xml:space="preserve">-2040, </w:t>
      </w:r>
      <w:r w:rsidR="00F5301D">
        <w:rPr>
          <w:noProof/>
        </w:rPr>
        <w:t xml:space="preserve">annual </w:t>
      </w:r>
      <w:r w:rsidR="00851A5D">
        <w:rPr>
          <w:noProof/>
        </w:rPr>
        <w:t xml:space="preserve">energy-system </w:t>
      </w:r>
      <w:r w:rsidR="007C3F18">
        <w:rPr>
          <w:noProof/>
        </w:rPr>
        <w:t xml:space="preserve">investment needs in </w:t>
      </w:r>
      <w:r w:rsidR="00851A5D">
        <w:rPr>
          <w:noProof/>
        </w:rPr>
        <w:t>energy</w:t>
      </w:r>
      <w:r w:rsidR="00991BEB">
        <w:rPr>
          <w:noProof/>
        </w:rPr>
        <w:t xml:space="preserve">-intensive industries </w:t>
      </w:r>
      <w:r w:rsidR="00CC73D8">
        <w:rPr>
          <w:noProof/>
        </w:rPr>
        <w:t>are</w:t>
      </w:r>
      <w:r w:rsidR="00991BEB">
        <w:rPr>
          <w:noProof/>
        </w:rPr>
        <w:t xml:space="preserve"> projected at around EUR 2</w:t>
      </w:r>
      <w:r w:rsidR="00651C0F">
        <w:rPr>
          <w:noProof/>
        </w:rPr>
        <w:t>8</w:t>
      </w:r>
      <w:r w:rsidR="00991BEB">
        <w:rPr>
          <w:noProof/>
        </w:rPr>
        <w:t>-</w:t>
      </w:r>
      <w:r w:rsidR="00651C0F">
        <w:rPr>
          <w:noProof/>
        </w:rPr>
        <w:t>3</w:t>
      </w:r>
      <w:r w:rsidR="00AB119C">
        <w:rPr>
          <w:noProof/>
        </w:rPr>
        <w:t>4</w:t>
      </w:r>
      <w:r w:rsidR="00991BEB">
        <w:rPr>
          <w:noProof/>
        </w:rPr>
        <w:t> billion</w:t>
      </w:r>
      <w:r w:rsidR="00F5301D">
        <w:rPr>
          <w:noProof/>
        </w:rPr>
        <w:t xml:space="preserve"> in S1-S2-S3 (</w:t>
      </w:r>
      <w:r w:rsidR="0039510A">
        <w:rPr>
          <w:noProof/>
        </w:rPr>
        <w:t xml:space="preserve">with a reduction of about </w:t>
      </w:r>
      <w:r w:rsidR="00F5301D">
        <w:rPr>
          <w:noProof/>
        </w:rPr>
        <w:t>EUR </w:t>
      </w:r>
      <w:r w:rsidR="00AB119C">
        <w:rPr>
          <w:noProof/>
        </w:rPr>
        <w:t>7</w:t>
      </w:r>
      <w:r w:rsidR="00F5301D">
        <w:rPr>
          <w:noProof/>
        </w:rPr>
        <w:t xml:space="preserve"> billion </w:t>
      </w:r>
      <w:r w:rsidR="0039510A">
        <w:rPr>
          <w:noProof/>
        </w:rPr>
        <w:t>under</w:t>
      </w:r>
      <w:r w:rsidR="00F5301D">
        <w:rPr>
          <w:noProof/>
        </w:rPr>
        <w:t xml:space="preserve"> LIFE</w:t>
      </w:r>
      <w:r w:rsidR="00D97354">
        <w:rPr>
          <w:noProof/>
        </w:rPr>
        <w:t xml:space="preserve"> compared to S3</w:t>
      </w:r>
      <w:r w:rsidR="00F5301D">
        <w:rPr>
          <w:noProof/>
        </w:rPr>
        <w:t>)</w:t>
      </w:r>
      <w:r w:rsidR="00F609DB">
        <w:rPr>
          <w:noProof/>
        </w:rPr>
        <w:t xml:space="preserve">. These </w:t>
      </w:r>
      <w:r w:rsidR="000137F2">
        <w:rPr>
          <w:noProof/>
        </w:rPr>
        <w:t xml:space="preserve">estimates do not capture the full investment costs of new </w:t>
      </w:r>
      <w:r w:rsidR="00382F1C">
        <w:rPr>
          <w:noProof/>
        </w:rPr>
        <w:t xml:space="preserve">or refurbished </w:t>
      </w:r>
      <w:r w:rsidR="000137F2">
        <w:rPr>
          <w:noProof/>
        </w:rPr>
        <w:t xml:space="preserve">production facilities, but </w:t>
      </w:r>
      <w:r w:rsidR="00382F1C">
        <w:rPr>
          <w:noProof/>
        </w:rPr>
        <w:t xml:space="preserve">only the part that relates to decarbonisation, </w:t>
      </w:r>
      <w:r w:rsidR="006C1870">
        <w:rPr>
          <w:noProof/>
        </w:rPr>
        <w:t>e.g.,</w:t>
      </w:r>
      <w:r w:rsidR="00382F1C">
        <w:rPr>
          <w:noProof/>
        </w:rPr>
        <w:t xml:space="preserve"> the additional cost of a hydrogen-based steel plant </w:t>
      </w:r>
      <w:r w:rsidR="00CC2FC9">
        <w:rPr>
          <w:noProof/>
        </w:rPr>
        <w:t>relative to a baseline</w:t>
      </w:r>
      <w:r w:rsidR="009412C9">
        <w:rPr>
          <w:noProof/>
        </w:rPr>
        <w:t xml:space="preserve"> </w:t>
      </w:r>
      <w:r w:rsidR="00E876C0">
        <w:rPr>
          <w:noProof/>
        </w:rPr>
        <w:t>fossil-fuel based plant</w:t>
      </w:r>
      <w:r w:rsidR="00AB119C">
        <w:rPr>
          <w:noProof/>
        </w:rPr>
        <w:t xml:space="preserve"> or investment in carbon capture</w:t>
      </w:r>
      <w:r w:rsidR="009412C9">
        <w:rPr>
          <w:noProof/>
        </w:rPr>
        <w:t>.</w:t>
      </w:r>
      <w:r w:rsidR="00B33B14">
        <w:rPr>
          <w:noProof/>
        </w:rPr>
        <w:t xml:space="preserve"> </w:t>
      </w:r>
      <w:r w:rsidR="0056616E">
        <w:rPr>
          <w:noProof/>
        </w:rPr>
        <w:t>In turn, the investment needs related to hydrogen production are</w:t>
      </w:r>
      <w:r w:rsidR="00B33B14">
        <w:rPr>
          <w:noProof/>
        </w:rPr>
        <w:t xml:space="preserve"> </w:t>
      </w:r>
      <w:r w:rsidR="0056616E">
        <w:rPr>
          <w:noProof/>
        </w:rPr>
        <w:t xml:space="preserve">captured in supply-side investments (section </w:t>
      </w:r>
      <w:r w:rsidR="0056616E">
        <w:rPr>
          <w:noProof/>
        </w:rPr>
        <w:fldChar w:fldCharType="begin"/>
      </w:r>
      <w:r w:rsidR="0056616E">
        <w:rPr>
          <w:noProof/>
        </w:rPr>
        <w:instrText xml:space="preserve"> REF _Ref146117601 \r \h </w:instrText>
      </w:r>
      <w:r w:rsidR="0056616E">
        <w:rPr>
          <w:noProof/>
        </w:rPr>
      </w:r>
      <w:r w:rsidR="0056616E">
        <w:rPr>
          <w:noProof/>
        </w:rPr>
        <w:fldChar w:fldCharType="separate"/>
      </w:r>
      <w:r w:rsidR="00170A3C">
        <w:rPr>
          <w:noProof/>
        </w:rPr>
        <w:t>2.2.2</w:t>
      </w:r>
      <w:r w:rsidR="0056616E">
        <w:rPr>
          <w:noProof/>
        </w:rPr>
        <w:fldChar w:fldCharType="end"/>
      </w:r>
      <w:r w:rsidR="0056616E">
        <w:rPr>
          <w:noProof/>
        </w:rPr>
        <w:t xml:space="preserve">). </w:t>
      </w:r>
      <w:r w:rsidR="00E534B8">
        <w:rPr>
          <w:noProof/>
        </w:rPr>
        <w:t xml:space="preserve">The estimates also do not capture </w:t>
      </w:r>
      <w:r w:rsidR="00D439E9">
        <w:rPr>
          <w:noProof/>
        </w:rPr>
        <w:t>possible investment in R&amp;D itself.</w:t>
      </w:r>
      <w:r w:rsidR="00AB119C">
        <w:rPr>
          <w:noProof/>
        </w:rPr>
        <w:t xml:space="preserve"> </w:t>
      </w:r>
      <w:r w:rsidR="004E502D" w:rsidRPr="004E502D">
        <w:rPr>
          <w:noProof/>
        </w:rPr>
        <w:t xml:space="preserve">The faster </w:t>
      </w:r>
      <w:r w:rsidR="004E502D">
        <w:rPr>
          <w:noProof/>
        </w:rPr>
        <w:t>deployment</w:t>
      </w:r>
      <w:r w:rsidR="004E502D" w:rsidRPr="004E502D">
        <w:rPr>
          <w:noProof/>
        </w:rPr>
        <w:t xml:space="preserve"> of </w:t>
      </w:r>
      <w:r w:rsidR="004E502D">
        <w:rPr>
          <w:noProof/>
        </w:rPr>
        <w:t xml:space="preserve">industrial </w:t>
      </w:r>
      <w:r w:rsidR="004E502D" w:rsidRPr="004E502D">
        <w:rPr>
          <w:noProof/>
        </w:rPr>
        <w:t xml:space="preserve">carbon capture under S3 and S2 means that investment is anticipated compared to S1, with average annual investment </w:t>
      </w:r>
      <w:r w:rsidR="004524A0">
        <w:rPr>
          <w:noProof/>
        </w:rPr>
        <w:t xml:space="preserve">in carbon capture for industry as a whole </w:t>
      </w:r>
      <w:r w:rsidR="004E502D" w:rsidRPr="004E502D">
        <w:rPr>
          <w:noProof/>
        </w:rPr>
        <w:t xml:space="preserve">of EUR </w:t>
      </w:r>
      <w:r w:rsidR="004524A0">
        <w:rPr>
          <w:noProof/>
        </w:rPr>
        <w:t>4</w:t>
      </w:r>
      <w:r w:rsidR="004E502D" w:rsidRPr="004E502D">
        <w:rPr>
          <w:noProof/>
        </w:rPr>
        <w:t xml:space="preserve"> billion in 2031-2040 under S3</w:t>
      </w:r>
      <w:r w:rsidR="004524A0">
        <w:rPr>
          <w:noProof/>
        </w:rPr>
        <w:t xml:space="preserve"> and S2</w:t>
      </w:r>
      <w:r w:rsidR="004E502D" w:rsidRPr="004E502D">
        <w:rPr>
          <w:noProof/>
        </w:rPr>
        <w:t xml:space="preserve">, compared to </w:t>
      </w:r>
      <w:r w:rsidR="004524A0">
        <w:rPr>
          <w:noProof/>
        </w:rPr>
        <w:t xml:space="preserve">less than </w:t>
      </w:r>
      <w:r w:rsidR="004E502D" w:rsidRPr="004E502D">
        <w:rPr>
          <w:noProof/>
        </w:rPr>
        <w:t>EUR</w:t>
      </w:r>
      <w:r w:rsidR="004524A0">
        <w:rPr>
          <w:noProof/>
        </w:rPr>
        <w:t> 1 </w:t>
      </w:r>
      <w:r w:rsidR="004E502D" w:rsidRPr="004E502D">
        <w:rPr>
          <w:noProof/>
        </w:rPr>
        <w:t>billion under S1.</w:t>
      </w:r>
      <w:r w:rsidR="00AB119C">
        <w:rPr>
          <w:noProof/>
        </w:rPr>
        <w:t xml:space="preserve"> </w:t>
      </w:r>
      <w:r w:rsidR="004524A0">
        <w:rPr>
          <w:noProof/>
        </w:rPr>
        <w:t>On average over 2031-2050, however, industrial investment in carbon capture is almost the same across scenarios at about EUR 2 billion per annum.</w:t>
      </w:r>
    </w:p>
    <w:p w14:paraId="1D079244" w14:textId="6878E309" w:rsidR="005C0313" w:rsidRDefault="00B33B14" w:rsidP="00305087">
      <w:pPr>
        <w:rPr>
          <w:noProof/>
        </w:rPr>
      </w:pPr>
      <w:r>
        <w:rPr>
          <w:noProof/>
        </w:rPr>
        <w:t xml:space="preserve">Investment needs in other industrial sectors </w:t>
      </w:r>
      <w:r w:rsidR="00234120">
        <w:rPr>
          <w:noProof/>
        </w:rPr>
        <w:t xml:space="preserve">are more diffuse, both in terms of sectors concerned and in terms of </w:t>
      </w:r>
      <w:r w:rsidR="00B7262B">
        <w:rPr>
          <w:noProof/>
        </w:rPr>
        <w:t>size of enterprises.</w:t>
      </w:r>
      <w:r w:rsidR="00BE1B25">
        <w:rPr>
          <w:noProof/>
        </w:rPr>
        <w:t xml:space="preserve"> Whil</w:t>
      </w:r>
      <w:r w:rsidR="00242839">
        <w:rPr>
          <w:noProof/>
        </w:rPr>
        <w:t xml:space="preserve">e there are no estimates of investment needs by </w:t>
      </w:r>
      <w:r w:rsidR="00A75165">
        <w:rPr>
          <w:noProof/>
        </w:rPr>
        <w:t xml:space="preserve">size of enterprises, </w:t>
      </w:r>
      <w:r w:rsidR="00D07346">
        <w:rPr>
          <w:noProof/>
        </w:rPr>
        <w:t xml:space="preserve">most </w:t>
      </w:r>
      <w:r w:rsidR="00A75165">
        <w:rPr>
          <w:noProof/>
        </w:rPr>
        <w:t>SMEs</w:t>
      </w:r>
      <w:r w:rsidR="00D07346">
        <w:rPr>
          <w:noProof/>
        </w:rPr>
        <w:t xml:space="preserve"> active in manufacturing</w:t>
      </w:r>
      <w:r w:rsidR="00A75165">
        <w:rPr>
          <w:noProof/>
        </w:rPr>
        <w:t xml:space="preserve"> fall under th</w:t>
      </w:r>
      <w:r w:rsidR="004B1A9B">
        <w:rPr>
          <w:noProof/>
        </w:rPr>
        <w:t>ese “other” sectors</w:t>
      </w:r>
      <w:r w:rsidR="00D07346">
        <w:rPr>
          <w:noProof/>
        </w:rPr>
        <w:t>. SMEs active in manufacturing account for about 9% of total SMEs, and the vast majority are involved in non-energy intensive manufacturing activities (</w:t>
      </w:r>
      <w:r w:rsidR="00D07346" w:rsidRPr="0009775F">
        <w:rPr>
          <w:noProof/>
        </w:rPr>
        <w:fldChar w:fldCharType="begin"/>
      </w:r>
      <w:r w:rsidR="00D07346" w:rsidRPr="001F1F93">
        <w:rPr>
          <w:noProof/>
          <w:highlight w:val="yellow"/>
        </w:rPr>
        <w:instrText xml:space="preserve"> REF _Ref146224458 \h </w:instrText>
      </w:r>
      <w:r w:rsidR="001F1F93">
        <w:rPr>
          <w:noProof/>
          <w:highlight w:val="yellow"/>
        </w:rPr>
        <w:instrText xml:space="preserve"> \* MERGEFORMAT </w:instrText>
      </w:r>
      <w:r w:rsidR="00D07346" w:rsidRPr="0009775F">
        <w:rPr>
          <w:noProof/>
        </w:rPr>
      </w:r>
      <w:r w:rsidR="00D07346" w:rsidRPr="0009775F">
        <w:rPr>
          <w:noProof/>
        </w:rPr>
        <w:fldChar w:fldCharType="separate"/>
      </w:r>
      <w:r w:rsidR="00170A3C">
        <w:rPr>
          <w:noProof/>
        </w:rPr>
        <w:t>Table 27</w:t>
      </w:r>
      <w:r w:rsidR="00D07346" w:rsidRPr="0009775F">
        <w:rPr>
          <w:noProof/>
        </w:rPr>
        <w:fldChar w:fldCharType="end"/>
      </w:r>
      <w:r w:rsidR="00D07346">
        <w:rPr>
          <w:noProof/>
        </w:rPr>
        <w:t xml:space="preserve">). While manufacturing-oriented SMEs account for a large share of total SME gross value added and employment in the economy with a share of 20%, the majority of that is again in SMEs involved in non-energy intensive manufacturing. SMEs are therefore most likely to </w:t>
      </w:r>
      <w:r w:rsidR="00C05D75">
        <w:rPr>
          <w:noProof/>
        </w:rPr>
        <w:t xml:space="preserve">decarbonise their production processes </w:t>
      </w:r>
      <w:r w:rsidR="00455C33">
        <w:rPr>
          <w:noProof/>
        </w:rPr>
        <w:t xml:space="preserve">mainly </w:t>
      </w:r>
      <w:r w:rsidR="00C05D75">
        <w:rPr>
          <w:noProof/>
        </w:rPr>
        <w:t xml:space="preserve">via electrification and </w:t>
      </w:r>
      <w:r w:rsidR="00C0303A">
        <w:rPr>
          <w:noProof/>
        </w:rPr>
        <w:t>improvements in energy efficiency.</w:t>
      </w:r>
      <w:r w:rsidR="004661F7">
        <w:rPr>
          <w:noProof/>
        </w:rPr>
        <w:t xml:space="preserve"> The </w:t>
      </w:r>
      <w:r w:rsidR="00F5301D">
        <w:rPr>
          <w:noProof/>
        </w:rPr>
        <w:t>scenarios</w:t>
      </w:r>
      <w:r w:rsidR="00C23087">
        <w:rPr>
          <w:noProof/>
        </w:rPr>
        <w:t xml:space="preserve"> </w:t>
      </w:r>
      <w:r w:rsidR="004661F7">
        <w:rPr>
          <w:noProof/>
        </w:rPr>
        <w:t xml:space="preserve">differ little in terms of investment needs for </w:t>
      </w:r>
      <w:r w:rsidR="006C1870">
        <w:rPr>
          <w:noProof/>
        </w:rPr>
        <w:t>non-energy</w:t>
      </w:r>
      <w:r w:rsidR="004661F7">
        <w:rPr>
          <w:noProof/>
        </w:rPr>
        <w:t>-intensive sectors</w:t>
      </w:r>
      <w:r w:rsidR="00F5301D">
        <w:rPr>
          <w:noProof/>
        </w:rPr>
        <w:t xml:space="preserve"> in 2031-2050</w:t>
      </w:r>
      <w:r w:rsidR="00537247">
        <w:rPr>
          <w:noProof/>
        </w:rPr>
        <w:t xml:space="preserve"> at </w:t>
      </w:r>
      <w:r w:rsidR="00166025">
        <w:rPr>
          <w:noProof/>
        </w:rPr>
        <w:t xml:space="preserve">an average of </w:t>
      </w:r>
      <w:r w:rsidR="00537247">
        <w:rPr>
          <w:noProof/>
        </w:rPr>
        <w:t xml:space="preserve">around </w:t>
      </w:r>
      <w:r w:rsidR="00387274">
        <w:rPr>
          <w:noProof/>
        </w:rPr>
        <w:t>EUR </w:t>
      </w:r>
      <w:r w:rsidR="00651C0F">
        <w:rPr>
          <w:noProof/>
        </w:rPr>
        <w:t>10</w:t>
      </w:r>
      <w:r w:rsidR="00387274">
        <w:rPr>
          <w:noProof/>
        </w:rPr>
        <w:t xml:space="preserve"> billion </w:t>
      </w:r>
      <w:r w:rsidR="00166025">
        <w:rPr>
          <w:noProof/>
        </w:rPr>
        <w:t xml:space="preserve">per annum, </w:t>
      </w:r>
      <w:r w:rsidR="00F5301D">
        <w:rPr>
          <w:noProof/>
        </w:rPr>
        <w:t>but S3 and S2 imply a fair</w:t>
      </w:r>
      <w:r w:rsidR="00166025">
        <w:rPr>
          <w:noProof/>
        </w:rPr>
        <w:t xml:space="preserve"> </w:t>
      </w:r>
      <w:r w:rsidR="00E269F1">
        <w:rPr>
          <w:noProof/>
        </w:rPr>
        <w:t xml:space="preserve">degree of </w:t>
      </w:r>
      <w:r w:rsidR="002A5A67">
        <w:rPr>
          <w:noProof/>
        </w:rPr>
        <w:t>early push</w:t>
      </w:r>
      <w:r w:rsidR="00E269F1">
        <w:rPr>
          <w:noProof/>
        </w:rPr>
        <w:t xml:space="preserve"> </w:t>
      </w:r>
      <w:r w:rsidR="00F5301D">
        <w:rPr>
          <w:noProof/>
        </w:rPr>
        <w:t>compared to S1</w:t>
      </w:r>
      <w:r w:rsidR="00E269F1">
        <w:rPr>
          <w:noProof/>
        </w:rPr>
        <w:t>.</w:t>
      </w:r>
    </w:p>
    <w:p w14:paraId="726292AB" w14:textId="25642DED" w:rsidR="00D07346" w:rsidRDefault="00D07346" w:rsidP="00D07346">
      <w:pPr>
        <w:pStyle w:val="Caption"/>
        <w:rPr>
          <w:noProof/>
        </w:rPr>
      </w:pPr>
      <w:bookmarkStart w:id="642" w:name="_Ref146224458"/>
      <w:bookmarkStart w:id="643" w:name="_Toc157679910"/>
      <w:r>
        <w:rPr>
          <w:noProof/>
        </w:rPr>
        <w:t xml:space="preserve">Table </w:t>
      </w:r>
      <w:r>
        <w:rPr>
          <w:noProof/>
        </w:rPr>
        <w:fldChar w:fldCharType="begin"/>
      </w:r>
      <w:r>
        <w:rPr>
          <w:noProof/>
        </w:rPr>
        <w:instrText>SEQ Table \* ARABIC</w:instrText>
      </w:r>
      <w:r>
        <w:rPr>
          <w:noProof/>
        </w:rPr>
        <w:fldChar w:fldCharType="separate"/>
      </w:r>
      <w:r w:rsidR="00170A3C">
        <w:rPr>
          <w:noProof/>
        </w:rPr>
        <w:t>27</w:t>
      </w:r>
      <w:r>
        <w:rPr>
          <w:noProof/>
        </w:rPr>
        <w:fldChar w:fldCharType="end"/>
      </w:r>
      <w:bookmarkEnd w:id="642"/>
      <w:r>
        <w:rPr>
          <w:noProof/>
        </w:rPr>
        <w:t>: Indicators of SME activity by sector (2019)</w:t>
      </w:r>
      <w:bookmarkEnd w:id="643"/>
    </w:p>
    <w:p w14:paraId="63A1CAF8" w14:textId="20F5455D" w:rsidR="00D07346" w:rsidRDefault="006E125F" w:rsidP="00D07346">
      <w:pPr>
        <w:keepNext/>
        <w:spacing w:after="0"/>
        <w:jc w:val="center"/>
        <w:rPr>
          <w:noProof/>
        </w:rPr>
      </w:pPr>
      <w:r w:rsidRPr="006E125F">
        <w:rPr>
          <w:noProof/>
          <w:lang w:eastAsia="en-GB"/>
        </w:rPr>
        <w:drawing>
          <wp:inline distT="0" distB="0" distL="0" distR="0" wp14:anchorId="236CBCB8" wp14:editId="5B8D91FC">
            <wp:extent cx="5472430" cy="3085465"/>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472430" cy="3085465"/>
                    </a:xfrm>
                    <a:prstGeom prst="rect">
                      <a:avLst/>
                    </a:prstGeom>
                    <a:noFill/>
                    <a:ln>
                      <a:noFill/>
                    </a:ln>
                  </pic:spPr>
                </pic:pic>
              </a:graphicData>
            </a:graphic>
          </wp:inline>
        </w:drawing>
      </w:r>
    </w:p>
    <w:p w14:paraId="77B09F1E" w14:textId="0B6F8DCE" w:rsidR="00D07346" w:rsidRPr="00F60C11" w:rsidRDefault="00D07346" w:rsidP="00344B6E">
      <w:pPr>
        <w:pStyle w:val="CT-SOURCE"/>
        <w:keepNext w:val="0"/>
        <w:rPr>
          <w:i w:val="0"/>
          <w:noProof/>
        </w:rPr>
      </w:pPr>
      <w:r w:rsidRPr="00C21020">
        <w:rPr>
          <w:noProof/>
        </w:rPr>
        <w:t>Sou</w:t>
      </w:r>
      <w:r w:rsidRPr="00F60C11">
        <w:rPr>
          <w:noProof/>
        </w:rPr>
        <w:t xml:space="preserve">rce: Eurostat </w:t>
      </w:r>
      <w:r w:rsidRPr="00392972">
        <w:rPr>
          <w:noProof/>
        </w:rPr>
        <w:t>(</w:t>
      </w:r>
      <w:r>
        <w:rPr>
          <w:rStyle w:val="FootnoteReference"/>
          <w:noProof/>
        </w:rPr>
        <w:footnoteReference w:id="274"/>
      </w:r>
      <w:r>
        <w:rPr>
          <w:noProof/>
        </w:rPr>
        <w:t>)</w:t>
      </w:r>
      <w:r w:rsidRPr="00F60C11">
        <w:rPr>
          <w:noProof/>
        </w:rPr>
        <w:t>.</w:t>
      </w:r>
    </w:p>
    <w:p w14:paraId="5326AB65" w14:textId="519FD6C6" w:rsidR="00C95126" w:rsidRPr="00F60C11" w:rsidRDefault="00C95126" w:rsidP="00305087">
      <w:pPr>
        <w:rPr>
          <w:rFonts w:ascii="EC Square Sans Cond Pro" w:hAnsi="EC Square Sans Cond Pro"/>
          <w:noProof/>
        </w:rPr>
        <w:sectPr w:rsidR="00C95126" w:rsidRPr="00F60C11">
          <w:headerReference w:type="even" r:id="rId143"/>
          <w:headerReference w:type="default" r:id="rId144"/>
          <w:footerReference w:type="even" r:id="rId145"/>
          <w:footerReference w:type="default" r:id="rId146"/>
          <w:headerReference w:type="first" r:id="rId147"/>
          <w:footerReference w:type="first" r:id="rId148"/>
          <w:pgSz w:w="11906" w:h="16838"/>
          <w:pgMar w:top="1020" w:right="1701" w:bottom="1020" w:left="1587" w:header="601" w:footer="1077" w:gutter="0"/>
          <w:cols w:space="720"/>
          <w:titlePg/>
          <w:docGrid w:linePitch="326"/>
        </w:sectPr>
      </w:pPr>
    </w:p>
    <w:p w14:paraId="2FE8649F" w14:textId="0BC441D1" w:rsidR="00CF4460" w:rsidRDefault="00C95126" w:rsidP="009F11F3">
      <w:pPr>
        <w:pStyle w:val="Caption"/>
        <w:rPr>
          <w:noProof/>
        </w:rPr>
      </w:pPr>
      <w:bookmarkStart w:id="644" w:name="_Ref138243254"/>
      <w:bookmarkStart w:id="645" w:name="_Ref138169138"/>
      <w:bookmarkStart w:id="646" w:name="_Ref140738430"/>
      <w:bookmarkStart w:id="647" w:name="_Toc157679911"/>
      <w:r w:rsidRPr="00875BB2">
        <w:rPr>
          <w:noProof/>
        </w:rPr>
        <w:t>Table</w:t>
      </w:r>
      <w:bookmarkEnd w:id="644"/>
      <w:r w:rsidRPr="00875BB2">
        <w:rPr>
          <w:noProof/>
        </w:rPr>
        <w:t xml:space="preserve"> </w:t>
      </w:r>
      <w:bookmarkEnd w:id="645"/>
      <w:r w:rsidR="00EF0988" w:rsidRPr="00875BB2">
        <w:rPr>
          <w:noProof/>
          <w:color w:val="2B579A"/>
          <w:shd w:val="clear" w:color="auto" w:fill="E6E6E6"/>
        </w:rPr>
        <w:fldChar w:fldCharType="begin"/>
      </w:r>
      <w:r w:rsidR="00EF0988" w:rsidRPr="00875BB2">
        <w:rPr>
          <w:noProof/>
        </w:rPr>
        <w:instrText xml:space="preserve"> SEQ Table \* ARABIC </w:instrText>
      </w:r>
      <w:r w:rsidR="00EF0988" w:rsidRPr="00875BB2">
        <w:rPr>
          <w:noProof/>
          <w:color w:val="2B579A"/>
          <w:shd w:val="clear" w:color="auto" w:fill="E6E6E6"/>
        </w:rPr>
        <w:fldChar w:fldCharType="separate"/>
      </w:r>
      <w:r w:rsidR="00170A3C">
        <w:rPr>
          <w:noProof/>
        </w:rPr>
        <w:t>28</w:t>
      </w:r>
      <w:r w:rsidR="00EF0988" w:rsidRPr="00875BB2">
        <w:rPr>
          <w:noProof/>
          <w:color w:val="2B579A"/>
          <w:shd w:val="clear" w:color="auto" w:fill="E6E6E6"/>
        </w:rPr>
        <w:fldChar w:fldCharType="end"/>
      </w:r>
      <w:bookmarkEnd w:id="646"/>
      <w:r w:rsidRPr="00875BB2">
        <w:rPr>
          <w:noProof/>
        </w:rPr>
        <w:t xml:space="preserve">: </w:t>
      </w:r>
      <w:r w:rsidR="004244BA" w:rsidRPr="00875BB2">
        <w:rPr>
          <w:noProof/>
        </w:rPr>
        <w:t>A</w:t>
      </w:r>
      <w:r w:rsidRPr="00875BB2">
        <w:rPr>
          <w:noProof/>
        </w:rPr>
        <w:t>verage annual</w:t>
      </w:r>
      <w:r>
        <w:rPr>
          <w:noProof/>
        </w:rPr>
        <w:t xml:space="preserve"> </w:t>
      </w:r>
      <w:r w:rsidR="00493D74">
        <w:rPr>
          <w:noProof/>
        </w:rPr>
        <w:t xml:space="preserve">energy-related </w:t>
      </w:r>
      <w:r w:rsidR="00906377">
        <w:rPr>
          <w:noProof/>
        </w:rPr>
        <w:t xml:space="preserve">side </w:t>
      </w:r>
      <w:r>
        <w:rPr>
          <w:noProof/>
        </w:rPr>
        <w:t>investment needs</w:t>
      </w:r>
      <w:r w:rsidR="00493D74">
        <w:rPr>
          <w:noProof/>
        </w:rPr>
        <w:t xml:space="preserve"> in</w:t>
      </w:r>
      <w:r w:rsidR="00906377">
        <w:rPr>
          <w:noProof/>
        </w:rPr>
        <w:t xml:space="preserve"> industry</w:t>
      </w:r>
      <w:r w:rsidR="00493D74">
        <w:rPr>
          <w:noProof/>
        </w:rPr>
        <w:t>,</w:t>
      </w:r>
      <w:r w:rsidR="00906377">
        <w:rPr>
          <w:noProof/>
        </w:rPr>
        <w:t>services</w:t>
      </w:r>
      <w:r>
        <w:rPr>
          <w:noProof/>
        </w:rPr>
        <w:t xml:space="preserve"> </w:t>
      </w:r>
      <w:r w:rsidR="00493D74">
        <w:rPr>
          <w:noProof/>
        </w:rPr>
        <w:t>and agriculture</w:t>
      </w:r>
      <w:r>
        <w:rPr>
          <w:noProof/>
        </w:rPr>
        <w:t xml:space="preserve"> (billion EUR 20</w:t>
      </w:r>
      <w:r w:rsidR="00DD4C85">
        <w:rPr>
          <w:noProof/>
        </w:rPr>
        <w:t>23</w:t>
      </w:r>
      <w:r>
        <w:rPr>
          <w:noProof/>
        </w:rPr>
        <w:t>)</w:t>
      </w:r>
      <w:bookmarkEnd w:id="647"/>
    </w:p>
    <w:p w14:paraId="4C1C68F3" w14:textId="4B6AEB51" w:rsidR="006C4417" w:rsidRDefault="00AB119C" w:rsidP="009F11F3">
      <w:pPr>
        <w:keepNext/>
        <w:spacing w:after="0"/>
        <w:jc w:val="center"/>
        <w:rPr>
          <w:noProof/>
        </w:rPr>
      </w:pPr>
      <w:r w:rsidRPr="00AB119C">
        <w:rPr>
          <w:noProof/>
          <w:lang w:eastAsia="en-GB"/>
        </w:rPr>
        <w:drawing>
          <wp:inline distT="0" distB="0" distL="0" distR="0" wp14:anchorId="27221D67" wp14:editId="724CCF81">
            <wp:extent cx="9396730" cy="366204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9396730" cy="3662045"/>
                    </a:xfrm>
                    <a:prstGeom prst="rect">
                      <a:avLst/>
                    </a:prstGeom>
                    <a:noFill/>
                    <a:ln>
                      <a:noFill/>
                    </a:ln>
                  </pic:spPr>
                </pic:pic>
              </a:graphicData>
            </a:graphic>
          </wp:inline>
        </w:drawing>
      </w:r>
    </w:p>
    <w:p w14:paraId="78F70805" w14:textId="2F3F9765" w:rsidR="006C4417" w:rsidRPr="00F60C11" w:rsidRDefault="006C4417" w:rsidP="00501756">
      <w:pPr>
        <w:pStyle w:val="CT-SOURCE"/>
        <w:rPr>
          <w:i w:val="0"/>
          <w:noProof/>
        </w:rPr>
      </w:pPr>
      <w:r w:rsidRPr="00C21020">
        <w:rPr>
          <w:noProof/>
        </w:rPr>
        <w:t>Source</w:t>
      </w:r>
      <w:r w:rsidR="002D51F3" w:rsidRPr="00F60C11">
        <w:rPr>
          <w:noProof/>
        </w:rPr>
        <w:t>:</w:t>
      </w:r>
      <w:r w:rsidRPr="00F60C11">
        <w:rPr>
          <w:noProof/>
        </w:rPr>
        <w:t xml:space="preserve"> PRIMES.</w:t>
      </w:r>
    </w:p>
    <w:p w14:paraId="77166011" w14:textId="359FDC54" w:rsidR="00C95126" w:rsidRPr="00F60C11" w:rsidRDefault="00C95126" w:rsidP="00305087">
      <w:pPr>
        <w:rPr>
          <w:rFonts w:ascii="EC Square Sans Cond Pro" w:hAnsi="EC Square Sans Cond Pro"/>
          <w:noProof/>
        </w:rPr>
        <w:sectPr w:rsidR="00C95126" w:rsidRPr="00F60C11" w:rsidSect="00C95126">
          <w:headerReference w:type="even" r:id="rId150"/>
          <w:headerReference w:type="default" r:id="rId151"/>
          <w:footerReference w:type="even" r:id="rId152"/>
          <w:footerReference w:type="default" r:id="rId153"/>
          <w:headerReference w:type="first" r:id="rId154"/>
          <w:footerReference w:type="first" r:id="rId155"/>
          <w:pgSz w:w="16838" w:h="11906" w:orient="landscape"/>
          <w:pgMar w:top="1587" w:right="1020" w:bottom="1701" w:left="1020" w:header="601" w:footer="1077" w:gutter="0"/>
          <w:cols w:space="720"/>
          <w:titlePg/>
          <w:docGrid w:linePitch="326"/>
        </w:sectPr>
      </w:pPr>
    </w:p>
    <w:p w14:paraId="1DFA9932" w14:textId="436F6DFE" w:rsidR="00AA53AD" w:rsidRDefault="00523D5F" w:rsidP="00305087">
      <w:pPr>
        <w:rPr>
          <w:noProof/>
        </w:rPr>
      </w:pPr>
      <w:r>
        <w:rPr>
          <w:noProof/>
        </w:rPr>
        <w:t>It is also t</w:t>
      </w:r>
      <w:r w:rsidR="00577663">
        <w:rPr>
          <w:noProof/>
        </w:rPr>
        <w:t xml:space="preserve">o be noted that the assessment of investments needs, including on the supply side, </w:t>
      </w:r>
      <w:r w:rsidR="007936BB">
        <w:rPr>
          <w:noProof/>
        </w:rPr>
        <w:t>relate to the investment by the user</w:t>
      </w:r>
      <w:r w:rsidR="00F5301D">
        <w:rPr>
          <w:noProof/>
        </w:rPr>
        <w:t>/investor</w:t>
      </w:r>
      <w:r w:rsidR="007936BB">
        <w:rPr>
          <w:noProof/>
        </w:rPr>
        <w:t xml:space="preserve"> </w:t>
      </w:r>
      <w:r w:rsidR="00F5301D">
        <w:rPr>
          <w:noProof/>
        </w:rPr>
        <w:t>in</w:t>
      </w:r>
      <w:r w:rsidR="007936BB">
        <w:rPr>
          <w:noProof/>
        </w:rPr>
        <w:t xml:space="preserve"> </w:t>
      </w:r>
      <w:r w:rsidR="00443B09">
        <w:rPr>
          <w:noProof/>
        </w:rPr>
        <w:t xml:space="preserve">asset, </w:t>
      </w:r>
      <w:r w:rsidR="006C1870">
        <w:rPr>
          <w:noProof/>
        </w:rPr>
        <w:t>e.g.,</w:t>
      </w:r>
      <w:r w:rsidR="003F615C">
        <w:rPr>
          <w:noProof/>
        </w:rPr>
        <w:t xml:space="preserve"> the investment cost</w:t>
      </w:r>
      <w:r w:rsidR="007C29A4">
        <w:rPr>
          <w:noProof/>
        </w:rPr>
        <w:t>s</w:t>
      </w:r>
      <w:r w:rsidR="003F615C">
        <w:rPr>
          <w:noProof/>
        </w:rPr>
        <w:t xml:space="preserve"> relate</w:t>
      </w:r>
      <w:r w:rsidR="007C29A4">
        <w:rPr>
          <w:noProof/>
        </w:rPr>
        <w:t>d</w:t>
      </w:r>
      <w:r w:rsidR="003F615C">
        <w:rPr>
          <w:noProof/>
        </w:rPr>
        <w:t xml:space="preserve"> to </w:t>
      </w:r>
      <w:r w:rsidR="00C37AFD">
        <w:rPr>
          <w:noProof/>
        </w:rPr>
        <w:t xml:space="preserve">the installation of </w:t>
      </w:r>
      <w:r w:rsidR="00765D8E">
        <w:rPr>
          <w:noProof/>
        </w:rPr>
        <w:t>windmills</w:t>
      </w:r>
      <w:r w:rsidR="00C37AFD">
        <w:rPr>
          <w:noProof/>
        </w:rPr>
        <w:t>, solar panels</w:t>
      </w:r>
      <w:r w:rsidR="005957C1">
        <w:rPr>
          <w:noProof/>
        </w:rPr>
        <w:t>,</w:t>
      </w:r>
      <w:r w:rsidR="00C37AFD">
        <w:rPr>
          <w:noProof/>
        </w:rPr>
        <w:t xml:space="preserve"> </w:t>
      </w:r>
      <w:r w:rsidR="005957C1">
        <w:rPr>
          <w:noProof/>
        </w:rPr>
        <w:t xml:space="preserve">a hydrogen-based plant or </w:t>
      </w:r>
      <w:r w:rsidR="007C29A4">
        <w:rPr>
          <w:noProof/>
        </w:rPr>
        <w:t xml:space="preserve">a heat pump. </w:t>
      </w:r>
      <w:r w:rsidR="002F3C4D">
        <w:rPr>
          <w:noProof/>
        </w:rPr>
        <w:t xml:space="preserve">While the installation costs of these </w:t>
      </w:r>
      <w:r w:rsidR="000353CF">
        <w:rPr>
          <w:noProof/>
        </w:rPr>
        <w:t xml:space="preserve">technologies </w:t>
      </w:r>
      <w:r w:rsidR="006C1870">
        <w:rPr>
          <w:noProof/>
        </w:rPr>
        <w:t>are</w:t>
      </w:r>
      <w:r w:rsidR="000353CF">
        <w:rPr>
          <w:noProof/>
        </w:rPr>
        <w:t xml:space="preserve"> fully accounted for, the assessment is silent on the sourcing of the equipment, which </w:t>
      </w:r>
      <w:r w:rsidR="00E92146">
        <w:rPr>
          <w:noProof/>
        </w:rPr>
        <w:t xml:space="preserve">can be produced domestically </w:t>
      </w:r>
      <w:r w:rsidR="00F5301D">
        <w:rPr>
          <w:noProof/>
        </w:rPr>
        <w:t>or</w:t>
      </w:r>
      <w:r w:rsidR="00E92146">
        <w:rPr>
          <w:noProof/>
        </w:rPr>
        <w:t xml:space="preserve"> imported, without impact on the figures reported in these sections.</w:t>
      </w:r>
    </w:p>
    <w:p w14:paraId="280C8E7B" w14:textId="33D30637" w:rsidR="00E92146" w:rsidRDefault="00E66B45" w:rsidP="000129B4">
      <w:pPr>
        <w:rPr>
          <w:noProof/>
        </w:rPr>
      </w:pPr>
      <w:r>
        <w:rPr>
          <w:noProof/>
        </w:rPr>
        <w:t>The sourcing of the technologies</w:t>
      </w:r>
      <w:r w:rsidR="009623C4">
        <w:rPr>
          <w:noProof/>
        </w:rPr>
        <w:t xml:space="preserve"> </w:t>
      </w:r>
      <w:r>
        <w:rPr>
          <w:noProof/>
        </w:rPr>
        <w:t>required for the decarbonisation of the economy</w:t>
      </w:r>
      <w:r w:rsidR="009623C4">
        <w:rPr>
          <w:noProof/>
        </w:rPr>
        <w:t>, including manufacturing capacities, raw material supply chain and deployment of clean innovative processes,</w:t>
      </w:r>
      <w:r>
        <w:rPr>
          <w:noProof/>
        </w:rPr>
        <w:t xml:space="preserve"> is nevertheless anything but</w:t>
      </w:r>
      <w:r w:rsidR="00420272">
        <w:rPr>
          <w:noProof/>
        </w:rPr>
        <w:t xml:space="preserve"> neutral in terms of impacts on the economy, including</w:t>
      </w:r>
      <w:r w:rsidR="006936AC">
        <w:rPr>
          <w:noProof/>
        </w:rPr>
        <w:t xml:space="preserve"> GDP, investment, sectoral output and employment</w:t>
      </w:r>
      <w:r w:rsidR="00ED18E7">
        <w:rPr>
          <w:noProof/>
        </w:rPr>
        <w:t xml:space="preserve"> or </w:t>
      </w:r>
      <w:r w:rsidR="006936AC">
        <w:rPr>
          <w:noProof/>
        </w:rPr>
        <w:t xml:space="preserve">skills needs </w:t>
      </w:r>
      <w:r w:rsidR="00ED18E7">
        <w:rPr>
          <w:noProof/>
        </w:rPr>
        <w:t xml:space="preserve">and in terms of </w:t>
      </w:r>
      <w:r w:rsidR="003D347A">
        <w:rPr>
          <w:noProof/>
        </w:rPr>
        <w:t xml:space="preserve">geo-strategic implications. </w:t>
      </w:r>
      <w:r w:rsidR="00871A51">
        <w:rPr>
          <w:noProof/>
        </w:rPr>
        <w:t>T</w:t>
      </w:r>
      <w:r w:rsidR="001D4911">
        <w:rPr>
          <w:noProof/>
        </w:rPr>
        <w:t xml:space="preserve">he Commission </w:t>
      </w:r>
      <w:r w:rsidR="00871A51">
        <w:rPr>
          <w:noProof/>
        </w:rPr>
        <w:t xml:space="preserve">recently </w:t>
      </w:r>
      <w:r w:rsidR="001D4911">
        <w:rPr>
          <w:noProof/>
        </w:rPr>
        <w:t xml:space="preserve">conducted an evaluation </w:t>
      </w:r>
      <w:r w:rsidR="00871A51">
        <w:rPr>
          <w:noProof/>
        </w:rPr>
        <w:t xml:space="preserve">of investment needs in key net-zero technologies </w:t>
      </w:r>
      <w:r w:rsidR="001D4911">
        <w:rPr>
          <w:noProof/>
        </w:rPr>
        <w:t xml:space="preserve">for </w:t>
      </w:r>
      <w:r w:rsidR="00DA11DC">
        <w:rPr>
          <w:noProof/>
        </w:rPr>
        <w:t>the period up to 2030</w:t>
      </w:r>
      <w:r w:rsidR="000864DD">
        <w:rPr>
          <w:noProof/>
        </w:rPr>
        <w:t xml:space="preserve"> </w:t>
      </w:r>
      <w:r w:rsidR="0063241B">
        <w:rPr>
          <w:noProof/>
        </w:rPr>
        <w:t>for key sectors in green technologies</w:t>
      </w:r>
      <w:r w:rsidR="0013009C" w:rsidRPr="0013009C">
        <w:rPr>
          <w:noProof/>
        </w:rPr>
        <w:t> (</w:t>
      </w:r>
      <w:r w:rsidR="0013009C">
        <w:rPr>
          <w:rStyle w:val="FootnoteReference"/>
          <w:noProof/>
        </w:rPr>
        <w:footnoteReference w:id="275"/>
      </w:r>
      <w:r w:rsidR="0013009C">
        <w:rPr>
          <w:noProof/>
        </w:rPr>
        <w:t>)</w:t>
      </w:r>
      <w:r w:rsidR="0063241B">
        <w:rPr>
          <w:noProof/>
        </w:rPr>
        <w:t>.</w:t>
      </w:r>
      <w:r w:rsidR="00D02A1E">
        <w:rPr>
          <w:noProof/>
        </w:rPr>
        <w:t xml:space="preserve"> It estimated that achieving a</w:t>
      </w:r>
      <w:r w:rsidR="000F6EF5">
        <w:rPr>
          <w:noProof/>
        </w:rPr>
        <w:t xml:space="preserve"> situation of no dependency on imports </w:t>
      </w:r>
      <w:r w:rsidR="005553D7">
        <w:rPr>
          <w:noProof/>
        </w:rPr>
        <w:t>in</w:t>
      </w:r>
      <w:r w:rsidR="000F6EF5">
        <w:rPr>
          <w:noProof/>
        </w:rPr>
        <w:t xml:space="preserve"> </w:t>
      </w:r>
      <w:r w:rsidR="000129B4">
        <w:rPr>
          <w:noProof/>
        </w:rPr>
        <w:t>wind, solar photovoltaic, heat pumps, batteries, and electrolysers</w:t>
      </w:r>
      <w:r w:rsidR="005553D7">
        <w:rPr>
          <w:noProof/>
        </w:rPr>
        <w:t xml:space="preserve"> would require </w:t>
      </w:r>
      <w:r w:rsidR="006E2133">
        <w:rPr>
          <w:noProof/>
        </w:rPr>
        <w:t>a</w:t>
      </w:r>
      <w:r w:rsidR="005553D7">
        <w:rPr>
          <w:noProof/>
        </w:rPr>
        <w:t xml:space="preserve"> cumulative investment of </w:t>
      </w:r>
      <w:r w:rsidR="007E5779">
        <w:rPr>
          <w:noProof/>
        </w:rPr>
        <w:t>about EUR 120 billion</w:t>
      </w:r>
      <w:r w:rsidR="00681632">
        <w:rPr>
          <w:noProof/>
        </w:rPr>
        <w:t xml:space="preserve"> (in </w:t>
      </w:r>
      <w:r w:rsidR="00FF2131">
        <w:rPr>
          <w:noProof/>
        </w:rPr>
        <w:t xml:space="preserve">constant euros of </w:t>
      </w:r>
      <w:r w:rsidR="00E2406F">
        <w:rPr>
          <w:noProof/>
        </w:rPr>
        <w:t>2022</w:t>
      </w:r>
      <w:r w:rsidR="00E266F8">
        <w:rPr>
          <w:noProof/>
        </w:rPr>
        <w:t>)</w:t>
      </w:r>
      <w:r w:rsidR="00FA6A5C">
        <w:rPr>
          <w:noProof/>
        </w:rPr>
        <w:t xml:space="preserve"> </w:t>
      </w:r>
      <w:r w:rsidR="009D0046">
        <w:rPr>
          <w:noProof/>
        </w:rPr>
        <w:t>until</w:t>
      </w:r>
      <w:r w:rsidR="00FA6A5C">
        <w:rPr>
          <w:noProof/>
        </w:rPr>
        <w:t xml:space="preserve"> 2030</w:t>
      </w:r>
      <w:r w:rsidR="00E266F8">
        <w:rPr>
          <w:noProof/>
        </w:rPr>
        <w:t>.</w:t>
      </w:r>
      <w:r w:rsidR="009623C4">
        <w:rPr>
          <w:noProof/>
        </w:rPr>
        <w:t xml:space="preserve"> These investments</w:t>
      </w:r>
      <w:r w:rsidR="002511C6">
        <w:rPr>
          <w:noProof/>
        </w:rPr>
        <w:t>, together with th</w:t>
      </w:r>
      <w:r w:rsidR="00D00B59">
        <w:rPr>
          <w:noProof/>
        </w:rPr>
        <w:t>ose</w:t>
      </w:r>
      <w:r w:rsidR="002511C6">
        <w:rPr>
          <w:noProof/>
        </w:rPr>
        <w:t xml:space="preserve"> </w:t>
      </w:r>
      <w:r w:rsidR="00D00B59">
        <w:rPr>
          <w:noProof/>
        </w:rPr>
        <w:t>to</w:t>
      </w:r>
      <w:r w:rsidR="002511C6">
        <w:rPr>
          <w:noProof/>
        </w:rPr>
        <w:t xml:space="preserve"> decarbonis</w:t>
      </w:r>
      <w:r w:rsidR="00D00B59">
        <w:rPr>
          <w:noProof/>
        </w:rPr>
        <w:t>e</w:t>
      </w:r>
      <w:r w:rsidR="00875BB2">
        <w:rPr>
          <w:noProof/>
        </w:rPr>
        <w:t xml:space="preserve"> </w:t>
      </w:r>
      <w:r w:rsidR="002511C6">
        <w:rPr>
          <w:noProof/>
        </w:rPr>
        <w:t xml:space="preserve">the different industrial sector, </w:t>
      </w:r>
      <w:r w:rsidR="009623C4">
        <w:rPr>
          <w:noProof/>
        </w:rPr>
        <w:t>typically require support and market creation to cover the</w:t>
      </w:r>
      <w:r w:rsidR="002511C6">
        <w:rPr>
          <w:noProof/>
        </w:rPr>
        <w:t xml:space="preserve"> capital and </w:t>
      </w:r>
      <w:r w:rsidR="009623C4">
        <w:rPr>
          <w:noProof/>
        </w:rPr>
        <w:t xml:space="preserve">operational expenditure. </w:t>
      </w:r>
      <w:r w:rsidR="0005669B">
        <w:rPr>
          <w:noProof/>
        </w:rPr>
        <w:t>Maintaining a strategic autonomy</w:t>
      </w:r>
      <w:r w:rsidR="00432B0B">
        <w:rPr>
          <w:noProof/>
        </w:rPr>
        <w:t xml:space="preserve"> in key decarbonisation technologies post 2030 would further add to the economy’s overall investment needs.</w:t>
      </w:r>
      <w:r w:rsidR="00017EC9">
        <w:rPr>
          <w:noProof/>
        </w:rPr>
        <w:t xml:space="preserve"> Section </w:t>
      </w:r>
      <w:r w:rsidR="00017EC9">
        <w:rPr>
          <w:noProof/>
        </w:rPr>
        <w:fldChar w:fldCharType="begin"/>
      </w:r>
      <w:r w:rsidR="00017EC9">
        <w:rPr>
          <w:noProof/>
        </w:rPr>
        <w:instrText xml:space="preserve"> REF _Ref151719656 \r \h </w:instrText>
      </w:r>
      <w:r w:rsidR="00017EC9">
        <w:rPr>
          <w:noProof/>
        </w:rPr>
      </w:r>
      <w:r w:rsidR="00017EC9">
        <w:rPr>
          <w:noProof/>
        </w:rPr>
        <w:fldChar w:fldCharType="separate"/>
      </w:r>
      <w:r w:rsidR="00170A3C">
        <w:rPr>
          <w:noProof/>
        </w:rPr>
        <w:t>2.2.7</w:t>
      </w:r>
      <w:r w:rsidR="00017EC9">
        <w:rPr>
          <w:noProof/>
        </w:rPr>
        <w:fldChar w:fldCharType="end"/>
      </w:r>
      <w:r w:rsidR="00017EC9">
        <w:rPr>
          <w:noProof/>
        </w:rPr>
        <w:t xml:space="preserve"> elaborates on investment needs in key net-zero technologies for the period 2031-2040.</w:t>
      </w:r>
    </w:p>
    <w:p w14:paraId="4CF97330" w14:textId="07832860" w:rsidR="006F07D8" w:rsidRDefault="0013621C" w:rsidP="00305087">
      <w:pPr>
        <w:rPr>
          <w:noProof/>
        </w:rPr>
      </w:pPr>
      <w:r>
        <w:rPr>
          <w:noProof/>
        </w:rPr>
        <w:t xml:space="preserve">As for investments on the supply side, the </w:t>
      </w:r>
      <w:r w:rsidR="00652629">
        <w:rPr>
          <w:noProof/>
        </w:rPr>
        <w:t>bulk of investment in industry should originate from private investors</w:t>
      </w:r>
      <w:r>
        <w:rPr>
          <w:noProof/>
        </w:rPr>
        <w:t>.</w:t>
      </w:r>
      <w:r w:rsidR="009B5242">
        <w:rPr>
          <w:noProof/>
        </w:rPr>
        <w:t xml:space="preserve"> </w:t>
      </w:r>
      <w:r w:rsidR="00C05496">
        <w:rPr>
          <w:noProof/>
        </w:rPr>
        <w:t xml:space="preserve">Member States have nevertheless actively supported </w:t>
      </w:r>
      <w:r w:rsidR="00326CD1">
        <w:rPr>
          <w:noProof/>
        </w:rPr>
        <w:t>the decarbonisation of industry in recent years via State aid mechanisms</w:t>
      </w:r>
      <w:r w:rsidR="000B0A98">
        <w:rPr>
          <w:noProof/>
        </w:rPr>
        <w:t xml:space="preserve"> in favour of R&amp;D&amp;I or in favour of the deployment at scale of </w:t>
      </w:r>
      <w:r w:rsidR="00431438">
        <w:rPr>
          <w:noProof/>
        </w:rPr>
        <w:t>innovative, low-carbon processes</w:t>
      </w:r>
      <w:r w:rsidR="00C7350B">
        <w:rPr>
          <w:noProof/>
        </w:rPr>
        <w:t xml:space="preserve"> </w:t>
      </w:r>
      <w:r w:rsidR="00C7350B" w:rsidRPr="00C7350B">
        <w:rPr>
          <w:noProof/>
        </w:rPr>
        <w:t>(</w:t>
      </w:r>
      <w:r w:rsidR="00C7350B">
        <w:rPr>
          <w:rStyle w:val="FootnoteReference"/>
          <w:noProof/>
        </w:rPr>
        <w:footnoteReference w:id="276"/>
      </w:r>
      <w:r w:rsidR="00C7350B">
        <w:rPr>
          <w:noProof/>
        </w:rPr>
        <w:t>)</w:t>
      </w:r>
      <w:r w:rsidR="00431438">
        <w:rPr>
          <w:noProof/>
        </w:rPr>
        <w:t>.</w:t>
      </w:r>
      <w:r w:rsidR="00E7321E">
        <w:rPr>
          <w:noProof/>
        </w:rPr>
        <w:t xml:space="preserve"> Similarly, EU funding </w:t>
      </w:r>
      <w:r w:rsidR="00D94624">
        <w:rPr>
          <w:noProof/>
        </w:rPr>
        <w:t xml:space="preserve">has been established to support innovation for </w:t>
      </w:r>
      <w:r w:rsidR="00936D6E">
        <w:rPr>
          <w:noProof/>
        </w:rPr>
        <w:t>decarbonisation</w:t>
      </w:r>
      <w:r w:rsidR="004B5AEA">
        <w:rPr>
          <w:noProof/>
        </w:rPr>
        <w:t>, including the Innovation Fund</w:t>
      </w:r>
      <w:r w:rsidR="001806E9">
        <w:rPr>
          <w:noProof/>
        </w:rPr>
        <w:t xml:space="preserve"> and the Horizon Europe programme</w:t>
      </w:r>
      <w:r w:rsidR="006F07D8">
        <w:rPr>
          <w:noProof/>
        </w:rPr>
        <w:t>.</w:t>
      </w:r>
    </w:p>
    <w:p w14:paraId="526720A8" w14:textId="4219012C" w:rsidR="00C432CB" w:rsidRDefault="00A334C2" w:rsidP="00305087">
      <w:pPr>
        <w:rPr>
          <w:noProof/>
        </w:rPr>
      </w:pPr>
      <w:r>
        <w:rPr>
          <w:noProof/>
        </w:rPr>
        <w:t xml:space="preserve">While the deployment at scale of innovative production processes </w:t>
      </w:r>
      <w:r w:rsidR="00052420">
        <w:rPr>
          <w:noProof/>
        </w:rPr>
        <w:t xml:space="preserve">will be an important factor driving investment needs in industry </w:t>
      </w:r>
      <w:r w:rsidR="004143C3">
        <w:rPr>
          <w:noProof/>
        </w:rPr>
        <w:t>on the path to climate neutrality</w:t>
      </w:r>
      <w:r w:rsidR="009338C0">
        <w:rPr>
          <w:noProof/>
        </w:rPr>
        <w:t xml:space="preserve">, </w:t>
      </w:r>
      <w:r w:rsidR="00F73D4F">
        <w:rPr>
          <w:noProof/>
        </w:rPr>
        <w:t>investment needs in tertiary sector</w:t>
      </w:r>
      <w:r w:rsidR="001A2F55">
        <w:rPr>
          <w:noProof/>
        </w:rPr>
        <w:t>s</w:t>
      </w:r>
      <w:r w:rsidR="00F73D4F">
        <w:rPr>
          <w:noProof/>
        </w:rPr>
        <w:t xml:space="preserve"> involve </w:t>
      </w:r>
      <w:r w:rsidR="000031F4">
        <w:rPr>
          <w:noProof/>
        </w:rPr>
        <w:t>essentially the deployment of well-established technologies</w:t>
      </w:r>
      <w:r w:rsidR="00324751">
        <w:rPr>
          <w:noProof/>
        </w:rPr>
        <w:t xml:space="preserve"> and a renovation drive.</w:t>
      </w:r>
      <w:r w:rsidR="001810F3">
        <w:rPr>
          <w:noProof/>
        </w:rPr>
        <w:t xml:space="preserve"> </w:t>
      </w:r>
      <w:r w:rsidR="009D465F">
        <w:rPr>
          <w:noProof/>
        </w:rPr>
        <w:t xml:space="preserve">To the extent that </w:t>
      </w:r>
      <w:r w:rsidR="0049377D">
        <w:rPr>
          <w:noProof/>
        </w:rPr>
        <w:t xml:space="preserve">investments in energy efficiency and </w:t>
      </w:r>
      <w:r w:rsidR="00AE1F7B">
        <w:rPr>
          <w:noProof/>
        </w:rPr>
        <w:t xml:space="preserve">the </w:t>
      </w:r>
      <w:r w:rsidR="001444F8">
        <w:rPr>
          <w:noProof/>
        </w:rPr>
        <w:t xml:space="preserve">substitution of fossil </w:t>
      </w:r>
      <w:r w:rsidR="00C8650D">
        <w:rPr>
          <w:noProof/>
        </w:rPr>
        <w:t>fuels-based technologies with carbon-free ones</w:t>
      </w:r>
      <w:r w:rsidR="003F0D55">
        <w:rPr>
          <w:noProof/>
        </w:rPr>
        <w:t xml:space="preserve"> generate </w:t>
      </w:r>
      <w:r w:rsidR="00737D26">
        <w:rPr>
          <w:noProof/>
        </w:rPr>
        <w:t>a positive economic return over their lifetime</w:t>
      </w:r>
      <w:r w:rsidR="00F0599A">
        <w:rPr>
          <w:noProof/>
        </w:rPr>
        <w:t xml:space="preserve">, the </w:t>
      </w:r>
      <w:r w:rsidR="00853CD1">
        <w:rPr>
          <w:noProof/>
        </w:rPr>
        <w:t xml:space="preserve">potential barriers to deployment would therefore </w:t>
      </w:r>
      <w:r w:rsidR="00CE192D">
        <w:rPr>
          <w:noProof/>
        </w:rPr>
        <w:t xml:space="preserve">mainly relate to </w:t>
      </w:r>
      <w:r w:rsidR="005D54C7">
        <w:rPr>
          <w:noProof/>
        </w:rPr>
        <w:t>awareness</w:t>
      </w:r>
      <w:r w:rsidR="00152176">
        <w:rPr>
          <w:noProof/>
        </w:rPr>
        <w:t>,</w:t>
      </w:r>
      <w:r w:rsidR="0049703F">
        <w:rPr>
          <w:noProof/>
        </w:rPr>
        <w:t xml:space="preserve"> </w:t>
      </w:r>
      <w:r w:rsidR="00CE192D">
        <w:rPr>
          <w:noProof/>
        </w:rPr>
        <w:t xml:space="preserve">access to </w:t>
      </w:r>
      <w:r w:rsidR="004D45CD">
        <w:rPr>
          <w:noProof/>
        </w:rPr>
        <w:t xml:space="preserve">(long-term) </w:t>
      </w:r>
      <w:r w:rsidR="00CE192D">
        <w:rPr>
          <w:noProof/>
        </w:rPr>
        <w:t>finance</w:t>
      </w:r>
      <w:r w:rsidR="004D45CD">
        <w:rPr>
          <w:noProof/>
        </w:rPr>
        <w:t xml:space="preserve"> at moderate costs</w:t>
      </w:r>
      <w:r w:rsidR="00152176">
        <w:rPr>
          <w:noProof/>
        </w:rPr>
        <w:t xml:space="preserve"> and access to skills, </w:t>
      </w:r>
      <w:r w:rsidR="0049703F">
        <w:rPr>
          <w:noProof/>
        </w:rPr>
        <w:t xml:space="preserve">rather than </w:t>
      </w:r>
      <w:r w:rsidR="00EF5F36">
        <w:rPr>
          <w:noProof/>
        </w:rPr>
        <w:t xml:space="preserve">a matter of innovation and </w:t>
      </w:r>
      <w:r w:rsidR="0033702B">
        <w:rPr>
          <w:noProof/>
        </w:rPr>
        <w:t>new production processes</w:t>
      </w:r>
      <w:r w:rsidR="00FA743E">
        <w:rPr>
          <w:noProof/>
        </w:rPr>
        <w:t xml:space="preserve">. </w:t>
      </w:r>
      <w:r w:rsidR="004A54EA">
        <w:rPr>
          <w:noProof/>
        </w:rPr>
        <w:t>These potential barriers would likely be more significant for SMEs than for large players in the tertiary sectors.</w:t>
      </w:r>
    </w:p>
    <w:p w14:paraId="4B463976" w14:textId="165A16E9" w:rsidR="00E63257" w:rsidRDefault="00AF0E30" w:rsidP="00305087">
      <w:pPr>
        <w:rPr>
          <w:noProof/>
        </w:rPr>
      </w:pPr>
      <w:r>
        <w:rPr>
          <w:noProof/>
        </w:rPr>
        <w:t xml:space="preserve">The investment needs will also be </w:t>
      </w:r>
      <w:r w:rsidR="004552D5">
        <w:rPr>
          <w:noProof/>
        </w:rPr>
        <w:t xml:space="preserve">much more diffuse among sectors and players than in industry, </w:t>
      </w:r>
      <w:r w:rsidR="00D25A6E">
        <w:rPr>
          <w:noProof/>
        </w:rPr>
        <w:t>as they will involve a very wide range of services sectors</w:t>
      </w:r>
      <w:r w:rsidR="00A2088C">
        <w:rPr>
          <w:noProof/>
        </w:rPr>
        <w:t>, from retailers</w:t>
      </w:r>
      <w:r w:rsidR="00925F85">
        <w:rPr>
          <w:noProof/>
        </w:rPr>
        <w:t>, hospitality</w:t>
      </w:r>
      <w:r w:rsidR="002B2BB2">
        <w:rPr>
          <w:noProof/>
        </w:rPr>
        <w:t xml:space="preserve"> or</w:t>
      </w:r>
      <w:r w:rsidR="00925F85">
        <w:rPr>
          <w:noProof/>
        </w:rPr>
        <w:t xml:space="preserve"> finance</w:t>
      </w:r>
      <w:r w:rsidR="00A2088C">
        <w:rPr>
          <w:noProof/>
        </w:rPr>
        <w:t xml:space="preserve"> to </w:t>
      </w:r>
      <w:r w:rsidR="002B2BB2">
        <w:rPr>
          <w:noProof/>
        </w:rPr>
        <w:t xml:space="preserve">energy-intensive </w:t>
      </w:r>
      <w:r w:rsidR="00A2088C">
        <w:rPr>
          <w:noProof/>
        </w:rPr>
        <w:t xml:space="preserve">data centres </w:t>
      </w:r>
      <w:r w:rsidR="00D25A6E">
        <w:rPr>
          <w:noProof/>
        </w:rPr>
        <w:t xml:space="preserve">and </w:t>
      </w:r>
      <w:r w:rsidR="00A42B5A">
        <w:rPr>
          <w:noProof/>
        </w:rPr>
        <w:t xml:space="preserve">encompass </w:t>
      </w:r>
      <w:r w:rsidR="00D25A6E">
        <w:rPr>
          <w:noProof/>
        </w:rPr>
        <w:t xml:space="preserve">a </w:t>
      </w:r>
      <w:r w:rsidR="00923666">
        <w:rPr>
          <w:noProof/>
        </w:rPr>
        <w:t xml:space="preserve">wide </w:t>
      </w:r>
      <w:r w:rsidR="00D25A6E">
        <w:rPr>
          <w:noProof/>
        </w:rPr>
        <w:t>mix of large</w:t>
      </w:r>
      <w:r w:rsidR="00923666">
        <w:rPr>
          <w:noProof/>
        </w:rPr>
        <w:t>, medium</w:t>
      </w:r>
      <w:r w:rsidR="00D51112">
        <w:rPr>
          <w:noProof/>
        </w:rPr>
        <w:t>,</w:t>
      </w:r>
      <w:r w:rsidR="00923666">
        <w:rPr>
          <w:noProof/>
        </w:rPr>
        <w:t xml:space="preserve"> small </w:t>
      </w:r>
      <w:r w:rsidR="00D51112">
        <w:rPr>
          <w:noProof/>
        </w:rPr>
        <w:t xml:space="preserve">and </w:t>
      </w:r>
      <w:r w:rsidR="009A0F9E">
        <w:rPr>
          <w:noProof/>
        </w:rPr>
        <w:t>even</w:t>
      </w:r>
      <w:r w:rsidR="00D51112">
        <w:rPr>
          <w:noProof/>
        </w:rPr>
        <w:t xml:space="preserve"> </w:t>
      </w:r>
      <w:r w:rsidR="003F09C8">
        <w:rPr>
          <w:noProof/>
        </w:rPr>
        <w:t xml:space="preserve">micro </w:t>
      </w:r>
      <w:r w:rsidR="00D51112">
        <w:rPr>
          <w:noProof/>
        </w:rPr>
        <w:t>enterprises</w:t>
      </w:r>
      <w:r w:rsidR="00923666">
        <w:rPr>
          <w:noProof/>
        </w:rPr>
        <w:t>.</w:t>
      </w:r>
      <w:r w:rsidR="001A2A63">
        <w:rPr>
          <w:noProof/>
        </w:rPr>
        <w:t xml:space="preserve"> </w:t>
      </w:r>
      <w:r w:rsidR="00D07346">
        <w:rPr>
          <w:noProof/>
        </w:rPr>
        <w:t xml:space="preserve">SMEs are likely to account for a significant share of investment needs in the tertiary sector, given that a high proportion of them are active in services sectors and that they represent a large share of </w:t>
      </w:r>
      <w:r w:rsidR="00AE227C">
        <w:rPr>
          <w:noProof/>
        </w:rPr>
        <w:t xml:space="preserve">economy-wide </w:t>
      </w:r>
      <w:r w:rsidR="00D07346">
        <w:rPr>
          <w:noProof/>
        </w:rPr>
        <w:t>gross valued added</w:t>
      </w:r>
      <w:r w:rsidR="00AE227C">
        <w:rPr>
          <w:noProof/>
        </w:rPr>
        <w:t xml:space="preserve"> and employment. In 2019, SMEs accounted for about 63% of economy-wide gross value added and close to 70% of overall employment in services. Within SME</w:t>
      </w:r>
      <w:r w:rsidR="00177FA7">
        <w:rPr>
          <w:noProof/>
        </w:rPr>
        <w:t>s</w:t>
      </w:r>
      <w:r w:rsidR="00AE227C">
        <w:rPr>
          <w:noProof/>
        </w:rPr>
        <w:t xml:space="preserve">, about 65% of companies are involved in the services sector </w:t>
      </w:r>
      <w:r w:rsidR="00AE227C" w:rsidRPr="0009775F">
        <w:rPr>
          <w:noProof/>
        </w:rPr>
        <w:t>(</w:t>
      </w:r>
      <w:r w:rsidR="00AE227C" w:rsidRPr="0009775F">
        <w:rPr>
          <w:noProof/>
        </w:rPr>
        <w:fldChar w:fldCharType="begin"/>
      </w:r>
      <w:r w:rsidR="00AE227C" w:rsidRPr="0009775F">
        <w:rPr>
          <w:noProof/>
        </w:rPr>
        <w:instrText xml:space="preserve"> REF _Ref146224458 \h </w:instrText>
      </w:r>
      <w:r w:rsidR="00177FA7" w:rsidRPr="0009775F">
        <w:rPr>
          <w:noProof/>
        </w:rPr>
        <w:instrText xml:space="preserve"> \* MERGEFORMAT </w:instrText>
      </w:r>
      <w:r w:rsidR="00AE227C" w:rsidRPr="0009775F">
        <w:rPr>
          <w:noProof/>
        </w:rPr>
      </w:r>
      <w:r w:rsidR="00AE227C" w:rsidRPr="0009775F">
        <w:rPr>
          <w:noProof/>
        </w:rPr>
        <w:fldChar w:fldCharType="separate"/>
      </w:r>
      <w:r w:rsidR="00170A3C">
        <w:rPr>
          <w:noProof/>
        </w:rPr>
        <w:t>Table 27</w:t>
      </w:r>
      <w:r w:rsidR="00AE227C" w:rsidRPr="0009775F">
        <w:rPr>
          <w:noProof/>
        </w:rPr>
        <w:fldChar w:fldCharType="end"/>
      </w:r>
      <w:r w:rsidR="00AE227C" w:rsidRPr="0009775F">
        <w:rPr>
          <w:noProof/>
        </w:rPr>
        <w:t>).</w:t>
      </w:r>
      <w:r w:rsidR="0039510A">
        <w:rPr>
          <w:noProof/>
        </w:rPr>
        <w:t xml:space="preserve"> </w:t>
      </w:r>
      <w:r w:rsidR="00AE4457">
        <w:rPr>
          <w:noProof/>
        </w:rPr>
        <w:t>Public sector investment will also be</w:t>
      </w:r>
      <w:r w:rsidR="00365AD3">
        <w:rPr>
          <w:noProof/>
        </w:rPr>
        <w:t xml:space="preserve"> an important source of investment in the tertiary sector, given </w:t>
      </w:r>
      <w:r w:rsidR="001936A1">
        <w:rPr>
          <w:noProof/>
        </w:rPr>
        <w:t xml:space="preserve">the scale of its buildings portfolio in central, regional and local administration, schools, hospitals </w:t>
      </w:r>
      <w:r w:rsidR="00A82E19">
        <w:rPr>
          <w:noProof/>
        </w:rPr>
        <w:t>or judiciary</w:t>
      </w:r>
      <w:r w:rsidR="00625963">
        <w:rPr>
          <w:noProof/>
        </w:rPr>
        <w:t xml:space="preserve"> system.</w:t>
      </w:r>
    </w:p>
    <w:p w14:paraId="35E97849" w14:textId="7DC8FCC3" w:rsidR="00E11B56" w:rsidRDefault="008F314B" w:rsidP="00305087">
      <w:pPr>
        <w:rPr>
          <w:noProof/>
        </w:rPr>
      </w:pPr>
      <w:r>
        <w:rPr>
          <w:noProof/>
        </w:rPr>
        <w:t>On the buildings themselves</w:t>
      </w:r>
      <w:r w:rsidR="00F93831">
        <w:rPr>
          <w:noProof/>
        </w:rPr>
        <w:t xml:space="preserve">, the main driver for investment will consist in the renovation of </w:t>
      </w:r>
      <w:r w:rsidR="00EC0B16">
        <w:rPr>
          <w:noProof/>
        </w:rPr>
        <w:t xml:space="preserve">existing assets with the view </w:t>
      </w:r>
      <w:r w:rsidR="000650CF">
        <w:rPr>
          <w:noProof/>
        </w:rPr>
        <w:t>to</w:t>
      </w:r>
      <w:r w:rsidR="00EC0B16">
        <w:rPr>
          <w:noProof/>
        </w:rPr>
        <w:t xml:space="preserve"> improve overall energy efficiency via insulation. </w:t>
      </w:r>
      <w:r w:rsidR="00A15C15">
        <w:rPr>
          <w:noProof/>
        </w:rPr>
        <w:t xml:space="preserve">The higher ambition </w:t>
      </w:r>
      <w:r w:rsidR="006A1C53">
        <w:rPr>
          <w:noProof/>
        </w:rPr>
        <w:t xml:space="preserve">in 2040 </w:t>
      </w:r>
      <w:r w:rsidR="00A15C15">
        <w:rPr>
          <w:noProof/>
        </w:rPr>
        <w:t xml:space="preserve">under </w:t>
      </w:r>
      <w:r w:rsidR="00F5301D">
        <w:rPr>
          <w:noProof/>
        </w:rPr>
        <w:t>S3</w:t>
      </w:r>
      <w:r w:rsidR="00722D88">
        <w:rPr>
          <w:noProof/>
        </w:rPr>
        <w:t xml:space="preserve"> </w:t>
      </w:r>
      <w:r w:rsidR="00F5301D">
        <w:rPr>
          <w:noProof/>
        </w:rPr>
        <w:t>implies</w:t>
      </w:r>
      <w:r w:rsidR="00A15C15">
        <w:rPr>
          <w:noProof/>
        </w:rPr>
        <w:t xml:space="preserve"> </w:t>
      </w:r>
      <w:r w:rsidR="002A5A67">
        <w:rPr>
          <w:noProof/>
        </w:rPr>
        <w:t xml:space="preserve">a </w:t>
      </w:r>
      <w:r w:rsidR="00F5301D">
        <w:rPr>
          <w:noProof/>
        </w:rPr>
        <w:t>significant</w:t>
      </w:r>
      <w:r w:rsidR="00A15C15">
        <w:rPr>
          <w:noProof/>
        </w:rPr>
        <w:t xml:space="preserve"> </w:t>
      </w:r>
      <w:r w:rsidR="002A5A67">
        <w:rPr>
          <w:noProof/>
        </w:rPr>
        <w:t>early push in</w:t>
      </w:r>
      <w:r w:rsidR="00B167BC">
        <w:rPr>
          <w:noProof/>
        </w:rPr>
        <w:t xml:space="preserve"> the</w:t>
      </w:r>
      <w:r w:rsidR="00591C62">
        <w:rPr>
          <w:noProof/>
        </w:rPr>
        <w:t xml:space="preserve"> </w:t>
      </w:r>
      <w:r w:rsidR="006771CC">
        <w:rPr>
          <w:noProof/>
        </w:rPr>
        <w:t xml:space="preserve">renovation drive compared to </w:t>
      </w:r>
      <w:r w:rsidR="00F5301D">
        <w:rPr>
          <w:noProof/>
        </w:rPr>
        <w:t>S2</w:t>
      </w:r>
      <w:r w:rsidR="000E07C3">
        <w:rPr>
          <w:noProof/>
        </w:rPr>
        <w:t xml:space="preserve"> and </w:t>
      </w:r>
      <w:r w:rsidR="00F5301D">
        <w:rPr>
          <w:noProof/>
        </w:rPr>
        <w:t>S1</w:t>
      </w:r>
      <w:r w:rsidR="0034017E">
        <w:rPr>
          <w:noProof/>
        </w:rPr>
        <w:t xml:space="preserve">, </w:t>
      </w:r>
      <w:r w:rsidR="00B167BC">
        <w:rPr>
          <w:noProof/>
        </w:rPr>
        <w:t xml:space="preserve">although </w:t>
      </w:r>
      <w:r w:rsidR="0034017E">
        <w:rPr>
          <w:noProof/>
        </w:rPr>
        <w:t>cumulative investments over the full period 2031-2050</w:t>
      </w:r>
      <w:r w:rsidR="006A1C53">
        <w:rPr>
          <w:noProof/>
        </w:rPr>
        <w:t xml:space="preserve"> would be </w:t>
      </w:r>
      <w:r w:rsidR="00C35EB7">
        <w:rPr>
          <w:noProof/>
        </w:rPr>
        <w:t>similar</w:t>
      </w:r>
      <w:r w:rsidR="0034017E">
        <w:rPr>
          <w:noProof/>
        </w:rPr>
        <w:t>.</w:t>
      </w:r>
      <w:r w:rsidR="00493FAF">
        <w:rPr>
          <w:noProof/>
        </w:rPr>
        <w:t xml:space="preserve"> Investment in new construction is </w:t>
      </w:r>
      <w:r w:rsidR="00114BF7">
        <w:rPr>
          <w:noProof/>
        </w:rPr>
        <w:t>projected to be relatively small in the three pathways, as the</w:t>
      </w:r>
      <w:r w:rsidR="00F8257B">
        <w:rPr>
          <w:noProof/>
        </w:rPr>
        <w:t xml:space="preserve"> estimates capture</w:t>
      </w:r>
      <w:r w:rsidR="006C7E0B">
        <w:rPr>
          <w:noProof/>
        </w:rPr>
        <w:t xml:space="preserve"> only the additional investment in the building’s </w:t>
      </w:r>
      <w:r w:rsidR="00FA2038">
        <w:rPr>
          <w:noProof/>
        </w:rPr>
        <w:t>energy performance relative to a baseline</w:t>
      </w:r>
      <w:r w:rsidR="00382A45">
        <w:rPr>
          <w:noProof/>
        </w:rPr>
        <w:t>, which already entail</w:t>
      </w:r>
      <w:r w:rsidR="0094315B">
        <w:rPr>
          <w:noProof/>
        </w:rPr>
        <w:t>s</w:t>
      </w:r>
      <w:r w:rsidR="00382A45">
        <w:rPr>
          <w:noProof/>
        </w:rPr>
        <w:t xml:space="preserve"> high energy performances given the </w:t>
      </w:r>
      <w:r w:rsidR="006F7BF5">
        <w:rPr>
          <w:noProof/>
        </w:rPr>
        <w:t xml:space="preserve">existing </w:t>
      </w:r>
      <w:r w:rsidR="00E8377E">
        <w:rPr>
          <w:noProof/>
        </w:rPr>
        <w:t>stringent standards for new constructions</w:t>
      </w:r>
      <w:r w:rsidR="00DF1284">
        <w:rPr>
          <w:noProof/>
        </w:rPr>
        <w:t xml:space="preserve"> at national </w:t>
      </w:r>
      <w:r w:rsidR="001567E7">
        <w:rPr>
          <w:noProof/>
        </w:rPr>
        <w:t>and EU level</w:t>
      </w:r>
      <w:r w:rsidR="0083355C">
        <w:rPr>
          <w:noProof/>
        </w:rPr>
        <w:t xml:space="preserve"> (</w:t>
      </w:r>
      <w:r w:rsidR="009F11F3" w:rsidRPr="0009775F">
        <w:rPr>
          <w:noProof/>
        </w:rPr>
        <w:fldChar w:fldCharType="begin"/>
      </w:r>
      <w:r w:rsidR="009F11F3" w:rsidRPr="00177FA7">
        <w:rPr>
          <w:noProof/>
          <w:highlight w:val="yellow"/>
        </w:rPr>
        <w:instrText xml:space="preserve"> REF _Ref146099191 \h </w:instrText>
      </w:r>
      <w:r w:rsidR="00177FA7">
        <w:rPr>
          <w:noProof/>
          <w:highlight w:val="yellow"/>
        </w:rPr>
        <w:instrText xml:space="preserve"> \* MERGEFORMAT </w:instrText>
      </w:r>
      <w:r w:rsidR="009F11F3" w:rsidRPr="0009775F">
        <w:rPr>
          <w:noProof/>
        </w:rPr>
      </w:r>
      <w:r w:rsidR="009F11F3" w:rsidRPr="0009775F">
        <w:rPr>
          <w:noProof/>
        </w:rPr>
        <w:fldChar w:fldCharType="separate"/>
      </w:r>
      <w:r w:rsidR="00170A3C">
        <w:rPr>
          <w:noProof/>
        </w:rPr>
        <w:t>Figure 108</w:t>
      </w:r>
      <w:r w:rsidR="009F11F3" w:rsidRPr="0009775F">
        <w:rPr>
          <w:noProof/>
        </w:rPr>
        <w:fldChar w:fldCharType="end"/>
      </w:r>
      <w:r w:rsidR="0083355C">
        <w:rPr>
          <w:noProof/>
        </w:rPr>
        <w:t>)</w:t>
      </w:r>
      <w:r w:rsidR="001567E7">
        <w:rPr>
          <w:noProof/>
        </w:rPr>
        <w:t>.</w:t>
      </w:r>
    </w:p>
    <w:p w14:paraId="31FF7130" w14:textId="379AF900" w:rsidR="00DB19DD" w:rsidRDefault="00DB19DD" w:rsidP="009F11F3">
      <w:pPr>
        <w:pStyle w:val="Caption"/>
        <w:rPr>
          <w:noProof/>
        </w:rPr>
      </w:pPr>
      <w:bookmarkStart w:id="648" w:name="_Ref138168426"/>
      <w:bookmarkStart w:id="649" w:name="_Ref140738720"/>
      <w:bookmarkStart w:id="650" w:name="_Ref146099191"/>
      <w:bookmarkStart w:id="651" w:name="_Toc157679856"/>
      <w:r>
        <w:rPr>
          <w:noProof/>
        </w:rPr>
        <w:t xml:space="preserve">Figure </w:t>
      </w:r>
      <w:bookmarkEnd w:id="648"/>
      <w:bookmarkEnd w:id="649"/>
      <w:r w:rsidR="00F2742D">
        <w:rPr>
          <w:noProof/>
        </w:rPr>
        <w:fldChar w:fldCharType="begin"/>
      </w:r>
      <w:r w:rsidR="00F2742D">
        <w:rPr>
          <w:noProof/>
        </w:rPr>
        <w:instrText xml:space="preserve"> SEQ Figure \* ARABIC </w:instrText>
      </w:r>
      <w:r w:rsidR="00F2742D">
        <w:rPr>
          <w:noProof/>
        </w:rPr>
        <w:fldChar w:fldCharType="separate"/>
      </w:r>
      <w:r w:rsidR="00170A3C">
        <w:rPr>
          <w:noProof/>
        </w:rPr>
        <w:t>108</w:t>
      </w:r>
      <w:r w:rsidR="00F2742D">
        <w:rPr>
          <w:noProof/>
        </w:rPr>
        <w:fldChar w:fldCharType="end"/>
      </w:r>
      <w:bookmarkEnd w:id="650"/>
      <w:r>
        <w:rPr>
          <w:noProof/>
        </w:rPr>
        <w:t xml:space="preserve">: </w:t>
      </w:r>
      <w:r w:rsidR="009F11F3">
        <w:rPr>
          <w:noProof/>
        </w:rPr>
        <w:t>A</w:t>
      </w:r>
      <w:r w:rsidR="005332A7">
        <w:rPr>
          <w:noProof/>
        </w:rPr>
        <w:t>verage annual</w:t>
      </w:r>
      <w:r w:rsidRPr="00DB19DD">
        <w:rPr>
          <w:noProof/>
        </w:rPr>
        <w:t xml:space="preserve"> energy system investment needs in </w:t>
      </w:r>
      <w:r w:rsidR="00B2118E">
        <w:rPr>
          <w:noProof/>
        </w:rPr>
        <w:t>services</w:t>
      </w:r>
      <w:bookmarkEnd w:id="651"/>
    </w:p>
    <w:p w14:paraId="7AE5FCBB" w14:textId="7E94A573" w:rsidR="00223F9E" w:rsidRDefault="00BB089A" w:rsidP="009F11F3">
      <w:pPr>
        <w:keepNext/>
        <w:spacing w:after="0"/>
        <w:jc w:val="center"/>
        <w:rPr>
          <w:rFonts w:ascii="Cambria Math" w:hAnsi="Cambria Math"/>
          <w:i/>
          <w:noProof/>
          <w:sz w:val="22"/>
          <w:szCs w:val="22"/>
        </w:rPr>
      </w:pPr>
      <w:r w:rsidRPr="00BB089A">
        <w:rPr>
          <w:noProof/>
          <w:lang w:eastAsia="en-GB"/>
        </w:rPr>
        <w:drawing>
          <wp:inline distT="0" distB="0" distL="0" distR="0" wp14:anchorId="4E268ECC" wp14:editId="3F12E8A6">
            <wp:extent cx="5398770" cy="2523490"/>
            <wp:effectExtent l="0" t="0" r="0" b="0"/>
            <wp:docPr id="1506651244" name="Picture 150665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5398770" cy="2523490"/>
                    </a:xfrm>
                    <a:prstGeom prst="rect">
                      <a:avLst/>
                    </a:prstGeom>
                    <a:noFill/>
                    <a:ln>
                      <a:noFill/>
                    </a:ln>
                  </pic:spPr>
                </pic:pic>
              </a:graphicData>
            </a:graphic>
          </wp:inline>
        </w:drawing>
      </w:r>
    </w:p>
    <w:p w14:paraId="32FEDDA6" w14:textId="5C668D3A" w:rsidR="00673CF2" w:rsidRDefault="00BB089A" w:rsidP="009F11F3">
      <w:pPr>
        <w:keepNext/>
        <w:spacing w:after="0"/>
        <w:jc w:val="center"/>
        <w:rPr>
          <w:rFonts w:ascii="Cambria Math" w:hAnsi="Cambria Math"/>
          <w:i/>
          <w:noProof/>
          <w:sz w:val="22"/>
          <w:szCs w:val="22"/>
        </w:rPr>
      </w:pPr>
      <w:r w:rsidRPr="00BB089A">
        <w:rPr>
          <w:noProof/>
          <w:lang w:eastAsia="en-GB"/>
        </w:rPr>
        <w:drawing>
          <wp:inline distT="0" distB="0" distL="0" distR="0" wp14:anchorId="23CD4548" wp14:editId="4A7BD444">
            <wp:extent cx="5398770" cy="2523490"/>
            <wp:effectExtent l="0" t="0" r="0" b="0"/>
            <wp:docPr id="1506651245" name="Picture 150665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5398770" cy="2523490"/>
                    </a:xfrm>
                    <a:prstGeom prst="rect">
                      <a:avLst/>
                    </a:prstGeom>
                    <a:noFill/>
                    <a:ln>
                      <a:noFill/>
                    </a:ln>
                  </pic:spPr>
                </pic:pic>
              </a:graphicData>
            </a:graphic>
          </wp:inline>
        </w:drawing>
      </w:r>
    </w:p>
    <w:p w14:paraId="2F64CED1" w14:textId="1E722166" w:rsidR="00DB19DD" w:rsidRPr="00223F9E" w:rsidRDefault="00DB19DD" w:rsidP="00486349">
      <w:pPr>
        <w:pStyle w:val="CT-SOURCE"/>
        <w:rPr>
          <w:rFonts w:ascii="Cambria Math" w:hAnsi="Cambria Math"/>
          <w:i w:val="0"/>
          <w:noProof/>
        </w:rPr>
      </w:pPr>
      <w:r w:rsidRPr="00223F9E">
        <w:rPr>
          <w:noProof/>
        </w:rPr>
        <w:t>Source: PRIMES.</w:t>
      </w:r>
    </w:p>
    <w:p w14:paraId="64696EAA" w14:textId="0DC48847" w:rsidR="00DD6070" w:rsidRPr="00140967" w:rsidRDefault="00140967" w:rsidP="00C820CE">
      <w:pPr>
        <w:rPr>
          <w:noProof/>
        </w:rPr>
      </w:pPr>
      <w:r w:rsidRPr="00140967">
        <w:rPr>
          <w:noProof/>
        </w:rPr>
        <w:t xml:space="preserve">The bulk of the investment needs in tertiary sectors is projected to take place via the acquisition of energy equipment for heating, cooling, appliances and lighting. The full acquisition cost of such equipment is captured in the numbers as reported in </w:t>
      </w:r>
      <w:r w:rsidR="009F11F3" w:rsidRPr="0009775F">
        <w:rPr>
          <w:noProof/>
        </w:rPr>
        <w:fldChar w:fldCharType="begin"/>
      </w:r>
      <w:r w:rsidR="009F11F3" w:rsidRPr="00177FA7">
        <w:rPr>
          <w:noProof/>
          <w:highlight w:val="yellow"/>
        </w:rPr>
        <w:instrText xml:space="preserve"> REF _Ref140738430 \h </w:instrText>
      </w:r>
      <w:r w:rsidR="00177FA7">
        <w:rPr>
          <w:noProof/>
          <w:highlight w:val="yellow"/>
        </w:rPr>
        <w:instrText xml:space="preserve"> \* MERGEFORMAT </w:instrText>
      </w:r>
      <w:r w:rsidR="009F11F3" w:rsidRPr="0009775F">
        <w:rPr>
          <w:noProof/>
        </w:rPr>
      </w:r>
      <w:r w:rsidR="009F11F3" w:rsidRPr="0009775F">
        <w:rPr>
          <w:noProof/>
        </w:rPr>
        <w:fldChar w:fldCharType="separate"/>
      </w:r>
      <w:r w:rsidR="00170A3C" w:rsidRPr="00875BB2">
        <w:rPr>
          <w:noProof/>
        </w:rPr>
        <w:t xml:space="preserve">Table </w:t>
      </w:r>
      <w:r w:rsidR="00170A3C">
        <w:rPr>
          <w:noProof/>
        </w:rPr>
        <w:t>28</w:t>
      </w:r>
      <w:r w:rsidR="009F11F3" w:rsidRPr="0009775F">
        <w:rPr>
          <w:noProof/>
        </w:rPr>
        <w:fldChar w:fldCharType="end"/>
      </w:r>
      <w:r w:rsidRPr="00140967">
        <w:rPr>
          <w:noProof/>
        </w:rPr>
        <w:t>, contrary to investments in on the building structure. The deployment of heat pumps is projected to start at a large scale during this decade already and to continue into the 2031-2050 period as the technology almost entirely replaces conventional technologies for heating. Investment in heat pumps in tertiary sectors is projected at around EUR</w:t>
      </w:r>
      <w:r w:rsidR="0094315B">
        <w:rPr>
          <w:noProof/>
        </w:rPr>
        <w:t> </w:t>
      </w:r>
      <w:r w:rsidRPr="00140967">
        <w:rPr>
          <w:noProof/>
        </w:rPr>
        <w:t>2</w:t>
      </w:r>
      <w:r w:rsidR="00651C0F">
        <w:rPr>
          <w:noProof/>
        </w:rPr>
        <w:t>3</w:t>
      </w:r>
      <w:r w:rsidR="0094315B">
        <w:rPr>
          <w:noProof/>
        </w:rPr>
        <w:t> </w:t>
      </w:r>
      <w:r w:rsidRPr="00140967">
        <w:rPr>
          <w:noProof/>
        </w:rPr>
        <w:t xml:space="preserve">billion per annum in 2031-2050 under all </w:t>
      </w:r>
      <w:r w:rsidR="0094315B">
        <w:rPr>
          <w:noProof/>
        </w:rPr>
        <w:t>main scenarios, with a comparable time profile</w:t>
      </w:r>
      <w:r w:rsidRPr="00140967">
        <w:rPr>
          <w:noProof/>
        </w:rPr>
        <w:t xml:space="preserve">. </w:t>
      </w:r>
      <w:r w:rsidR="00C459D4">
        <w:rPr>
          <w:noProof/>
        </w:rPr>
        <w:t>LIFE</w:t>
      </w:r>
      <w:r w:rsidR="0094315B">
        <w:rPr>
          <w:noProof/>
        </w:rPr>
        <w:t xml:space="preserve">, however, </w:t>
      </w:r>
      <w:r w:rsidRPr="00140967">
        <w:rPr>
          <w:noProof/>
        </w:rPr>
        <w:t xml:space="preserve">enables a </w:t>
      </w:r>
      <w:r w:rsidR="0094315B">
        <w:rPr>
          <w:noProof/>
        </w:rPr>
        <w:t xml:space="preserve">slightly </w:t>
      </w:r>
      <w:r w:rsidRPr="00140967">
        <w:rPr>
          <w:noProof/>
        </w:rPr>
        <w:t xml:space="preserve">lower investment level in tertiary sector heating </w:t>
      </w:r>
      <w:r w:rsidR="0094315B">
        <w:rPr>
          <w:noProof/>
        </w:rPr>
        <w:t xml:space="preserve">and cooling </w:t>
      </w:r>
      <w:r w:rsidRPr="00140967">
        <w:rPr>
          <w:noProof/>
        </w:rPr>
        <w:t>system</w:t>
      </w:r>
      <w:r w:rsidR="0094315B">
        <w:rPr>
          <w:noProof/>
        </w:rPr>
        <w:t>s</w:t>
      </w:r>
      <w:r w:rsidRPr="00140967">
        <w:rPr>
          <w:noProof/>
        </w:rPr>
        <w:t>.</w:t>
      </w:r>
    </w:p>
    <w:p w14:paraId="59DC4D3C" w14:textId="0EC13D4B" w:rsidR="00DD6070" w:rsidRPr="00680783" w:rsidRDefault="00DD6070" w:rsidP="00680783">
      <w:pPr>
        <w:pStyle w:val="Heading3"/>
        <w:rPr>
          <w:noProof/>
        </w:rPr>
      </w:pPr>
      <w:bookmarkStart w:id="652" w:name="_Ref146462118"/>
      <w:bookmarkStart w:id="653" w:name="_Toc148605640"/>
      <w:bookmarkStart w:id="654" w:name="_Toc157692086"/>
      <w:r w:rsidRPr="00680783">
        <w:rPr>
          <w:noProof/>
        </w:rPr>
        <w:t>Demand-side investment needs, households</w:t>
      </w:r>
      <w:bookmarkEnd w:id="652"/>
      <w:bookmarkEnd w:id="653"/>
      <w:bookmarkEnd w:id="654"/>
    </w:p>
    <w:p w14:paraId="082554E0" w14:textId="0E96BF9B" w:rsidR="007C7610" w:rsidRDefault="00F57417" w:rsidP="007C7610">
      <w:pPr>
        <w:rPr>
          <w:noProof/>
        </w:rPr>
      </w:pPr>
      <w:r>
        <w:rPr>
          <w:noProof/>
        </w:rPr>
        <w:t xml:space="preserve">Investments needs for the decarbonisation of the residential sector will be </w:t>
      </w:r>
      <w:r w:rsidR="00C35EB7">
        <w:rPr>
          <w:noProof/>
        </w:rPr>
        <w:t>similar</w:t>
      </w:r>
      <w:r>
        <w:rPr>
          <w:noProof/>
        </w:rPr>
        <w:t xml:space="preserve"> </w:t>
      </w:r>
      <w:r w:rsidR="008E5A93">
        <w:rPr>
          <w:noProof/>
        </w:rPr>
        <w:t xml:space="preserve">in nature </w:t>
      </w:r>
      <w:r>
        <w:rPr>
          <w:noProof/>
        </w:rPr>
        <w:t xml:space="preserve">to </w:t>
      </w:r>
      <w:r w:rsidR="002A46DB">
        <w:rPr>
          <w:noProof/>
        </w:rPr>
        <w:t>those in the tertiary sectors</w:t>
      </w:r>
      <w:r w:rsidR="0097688E">
        <w:rPr>
          <w:noProof/>
        </w:rPr>
        <w:t xml:space="preserve">, </w:t>
      </w:r>
      <w:r w:rsidR="00364C5B">
        <w:rPr>
          <w:noProof/>
        </w:rPr>
        <w:t>focusing on improvement</w:t>
      </w:r>
      <w:r w:rsidR="00555D82">
        <w:rPr>
          <w:noProof/>
        </w:rPr>
        <w:t xml:space="preserve">s in the </w:t>
      </w:r>
      <w:r w:rsidR="00364C5B">
        <w:rPr>
          <w:noProof/>
        </w:rPr>
        <w:t xml:space="preserve">energy efficiency of buildings </w:t>
      </w:r>
      <w:r w:rsidR="00555D82">
        <w:rPr>
          <w:noProof/>
        </w:rPr>
        <w:t xml:space="preserve">and </w:t>
      </w:r>
      <w:r w:rsidR="00637621">
        <w:rPr>
          <w:noProof/>
        </w:rPr>
        <w:t xml:space="preserve">the substitution of fossil fuels-based technologies for </w:t>
      </w:r>
      <w:r w:rsidR="001D6AD2">
        <w:rPr>
          <w:noProof/>
        </w:rPr>
        <w:t>heating and cooling</w:t>
      </w:r>
      <w:r w:rsidR="00637621">
        <w:rPr>
          <w:noProof/>
        </w:rPr>
        <w:t xml:space="preserve"> with carbon-free options.</w:t>
      </w:r>
      <w:r w:rsidR="001E2E97">
        <w:rPr>
          <w:noProof/>
        </w:rPr>
        <w:t xml:space="preserve"> </w:t>
      </w:r>
      <w:r w:rsidR="00D413CA">
        <w:rPr>
          <w:noProof/>
        </w:rPr>
        <w:t>However, t</w:t>
      </w:r>
      <w:r w:rsidR="001E2E97">
        <w:rPr>
          <w:noProof/>
        </w:rPr>
        <w:t xml:space="preserve">he scale of the residential building stock </w:t>
      </w:r>
      <w:r w:rsidR="0004307C">
        <w:rPr>
          <w:noProof/>
        </w:rPr>
        <w:t>and current energy efficiency levels are</w:t>
      </w:r>
      <w:r w:rsidR="001E2E97">
        <w:rPr>
          <w:noProof/>
        </w:rPr>
        <w:t xml:space="preserve"> such that investment needs will be a multiple of those in the ter</w:t>
      </w:r>
      <w:r w:rsidR="00D413CA">
        <w:rPr>
          <w:noProof/>
        </w:rPr>
        <w:t>tiary sectors</w:t>
      </w:r>
      <w:r w:rsidR="00A44CD9">
        <w:rPr>
          <w:noProof/>
        </w:rPr>
        <w:t>.</w:t>
      </w:r>
    </w:p>
    <w:p w14:paraId="0687372B" w14:textId="735E986F" w:rsidR="0012266C" w:rsidRDefault="00B42870" w:rsidP="007C7610">
      <w:pPr>
        <w:rPr>
          <w:noProof/>
        </w:rPr>
      </w:pPr>
      <w:r>
        <w:rPr>
          <w:noProof/>
        </w:rPr>
        <w:t xml:space="preserve">As in the tertiary sector, the higher level of ambition in 2040 </w:t>
      </w:r>
      <w:r w:rsidR="00816508">
        <w:rPr>
          <w:noProof/>
        </w:rPr>
        <w:t xml:space="preserve">under </w:t>
      </w:r>
      <w:r w:rsidR="001D6AD2">
        <w:rPr>
          <w:noProof/>
        </w:rPr>
        <w:t>S3</w:t>
      </w:r>
      <w:r w:rsidR="00816508">
        <w:rPr>
          <w:noProof/>
        </w:rPr>
        <w:t xml:space="preserve"> </w:t>
      </w:r>
      <w:r>
        <w:rPr>
          <w:noProof/>
        </w:rPr>
        <w:t xml:space="preserve">would require </w:t>
      </w:r>
      <w:r w:rsidR="002A5A67">
        <w:rPr>
          <w:noProof/>
        </w:rPr>
        <w:t>an early push in</w:t>
      </w:r>
      <w:r w:rsidR="002971E1">
        <w:rPr>
          <w:noProof/>
        </w:rPr>
        <w:t xml:space="preserve"> renovation rates </w:t>
      </w:r>
      <w:r w:rsidR="00816508">
        <w:rPr>
          <w:noProof/>
        </w:rPr>
        <w:t xml:space="preserve">compared to </w:t>
      </w:r>
      <w:r w:rsidR="001D6AD2">
        <w:rPr>
          <w:noProof/>
        </w:rPr>
        <w:t>S2</w:t>
      </w:r>
      <w:r w:rsidR="003D284E">
        <w:rPr>
          <w:noProof/>
        </w:rPr>
        <w:t xml:space="preserve"> and </w:t>
      </w:r>
      <w:r w:rsidR="001D6AD2">
        <w:rPr>
          <w:noProof/>
        </w:rPr>
        <w:t>S1</w:t>
      </w:r>
      <w:r w:rsidR="00816508">
        <w:rPr>
          <w:noProof/>
        </w:rPr>
        <w:t>. The latter would see higher renovation rates in 2041-2050, however,</w:t>
      </w:r>
      <w:r w:rsidR="00AB6EE1">
        <w:rPr>
          <w:noProof/>
        </w:rPr>
        <w:t xml:space="preserve"> which </w:t>
      </w:r>
      <w:r w:rsidR="00816508">
        <w:rPr>
          <w:noProof/>
        </w:rPr>
        <w:t xml:space="preserve">means that average </w:t>
      </w:r>
      <w:r w:rsidR="00AB6EE1">
        <w:rPr>
          <w:noProof/>
        </w:rPr>
        <w:t xml:space="preserve">investment levels </w:t>
      </w:r>
      <w:r w:rsidR="00816508">
        <w:rPr>
          <w:noProof/>
        </w:rPr>
        <w:t>over the full period 2031-2050</w:t>
      </w:r>
      <w:r w:rsidR="00F60614">
        <w:rPr>
          <w:noProof/>
        </w:rPr>
        <w:t xml:space="preserve"> </w:t>
      </w:r>
      <w:r w:rsidR="00AC1D95">
        <w:rPr>
          <w:noProof/>
        </w:rPr>
        <w:t xml:space="preserve">would be very similar across scenarios, with differences mainly in terms of timing </w:t>
      </w:r>
      <w:r w:rsidR="00F60614">
        <w:rPr>
          <w:noProof/>
        </w:rPr>
        <w:t>(</w:t>
      </w:r>
      <w:r w:rsidR="009F11F3" w:rsidRPr="0009775F">
        <w:rPr>
          <w:noProof/>
        </w:rPr>
        <w:fldChar w:fldCharType="begin"/>
      </w:r>
      <w:r w:rsidR="009F11F3" w:rsidRPr="00177FA7">
        <w:rPr>
          <w:noProof/>
          <w:highlight w:val="yellow"/>
        </w:rPr>
        <w:instrText xml:space="preserve"> REF _Ref146099424 \h </w:instrText>
      </w:r>
      <w:r w:rsidR="00177FA7">
        <w:rPr>
          <w:noProof/>
          <w:highlight w:val="yellow"/>
        </w:rPr>
        <w:instrText xml:space="preserve"> \* MERGEFORMAT </w:instrText>
      </w:r>
      <w:r w:rsidR="009F11F3" w:rsidRPr="0009775F">
        <w:rPr>
          <w:noProof/>
        </w:rPr>
      </w:r>
      <w:r w:rsidR="009F11F3" w:rsidRPr="0009775F">
        <w:rPr>
          <w:noProof/>
        </w:rPr>
        <w:fldChar w:fldCharType="separate"/>
      </w:r>
      <w:r w:rsidR="00170A3C">
        <w:rPr>
          <w:noProof/>
        </w:rPr>
        <w:t>Figure 109</w:t>
      </w:r>
      <w:r w:rsidR="009F11F3" w:rsidRPr="0009775F">
        <w:rPr>
          <w:noProof/>
        </w:rPr>
        <w:fldChar w:fldCharType="end"/>
      </w:r>
      <w:r w:rsidR="00F60614">
        <w:rPr>
          <w:noProof/>
        </w:rPr>
        <w:t>)</w:t>
      </w:r>
      <w:r w:rsidR="00AB6EE1">
        <w:rPr>
          <w:noProof/>
        </w:rPr>
        <w:t>.</w:t>
      </w:r>
      <w:r w:rsidR="003E6D97">
        <w:rPr>
          <w:noProof/>
        </w:rPr>
        <w:t xml:space="preserve"> </w:t>
      </w:r>
      <w:r w:rsidR="007736FE">
        <w:rPr>
          <w:noProof/>
        </w:rPr>
        <w:t xml:space="preserve">On average in 2031-2050, renovation investment in the residential sector </w:t>
      </w:r>
      <w:r w:rsidR="001D6AD2">
        <w:rPr>
          <w:noProof/>
        </w:rPr>
        <w:t xml:space="preserve">amounts to around </w:t>
      </w:r>
      <w:r w:rsidR="00995DB6">
        <w:rPr>
          <w:noProof/>
        </w:rPr>
        <w:t>EUR</w:t>
      </w:r>
      <w:r w:rsidR="00456673">
        <w:rPr>
          <w:noProof/>
        </w:rPr>
        <w:t> </w:t>
      </w:r>
      <w:r w:rsidR="00651C0F">
        <w:rPr>
          <w:noProof/>
        </w:rPr>
        <w:t>5</w:t>
      </w:r>
      <w:r w:rsidR="00523FE3">
        <w:rPr>
          <w:noProof/>
        </w:rPr>
        <w:t>0</w:t>
      </w:r>
      <w:r w:rsidR="007E7DD1">
        <w:rPr>
          <w:noProof/>
        </w:rPr>
        <w:t xml:space="preserve"> billion </w:t>
      </w:r>
      <w:r w:rsidR="005D6D3F">
        <w:rPr>
          <w:noProof/>
        </w:rPr>
        <w:t>per annum</w:t>
      </w:r>
      <w:r w:rsidR="00DE3461">
        <w:rPr>
          <w:noProof/>
        </w:rPr>
        <w:t xml:space="preserve"> </w:t>
      </w:r>
      <w:r w:rsidR="001D6AD2">
        <w:rPr>
          <w:noProof/>
        </w:rPr>
        <w:t xml:space="preserve">across scenarios </w:t>
      </w:r>
      <w:r w:rsidR="00DE3461">
        <w:rPr>
          <w:noProof/>
        </w:rPr>
        <w:t>(</w:t>
      </w:r>
      <w:r w:rsidR="00DE3461" w:rsidRPr="0009775F">
        <w:rPr>
          <w:noProof/>
          <w:color w:val="2B579A"/>
          <w:shd w:val="clear" w:color="auto" w:fill="E6E6E6"/>
        </w:rPr>
        <w:fldChar w:fldCharType="begin"/>
      </w:r>
      <w:r w:rsidR="00DE3461" w:rsidRPr="0009775F">
        <w:rPr>
          <w:noProof/>
        </w:rPr>
        <w:instrText xml:space="preserve"> REF _Ref140739229 \h </w:instrText>
      </w:r>
      <w:r w:rsidR="0009775F">
        <w:rPr>
          <w:noProof/>
          <w:color w:val="2B579A"/>
          <w:shd w:val="clear" w:color="auto" w:fill="E6E6E6"/>
        </w:rPr>
        <w:instrText xml:space="preserve"> \* MERGEFORMAT </w:instrText>
      </w:r>
      <w:r w:rsidR="00DE3461" w:rsidRPr="0009775F">
        <w:rPr>
          <w:noProof/>
          <w:color w:val="2B579A"/>
          <w:shd w:val="clear" w:color="auto" w:fill="E6E6E6"/>
        </w:rPr>
      </w:r>
      <w:r w:rsidR="00DE3461" w:rsidRPr="0009775F">
        <w:rPr>
          <w:noProof/>
          <w:color w:val="2B579A"/>
          <w:shd w:val="clear" w:color="auto" w:fill="E6E6E6"/>
        </w:rPr>
        <w:fldChar w:fldCharType="separate"/>
      </w:r>
      <w:r w:rsidR="00170A3C" w:rsidRPr="00875BB2">
        <w:rPr>
          <w:noProof/>
        </w:rPr>
        <w:t xml:space="preserve">Table </w:t>
      </w:r>
      <w:r w:rsidR="00170A3C">
        <w:rPr>
          <w:noProof/>
        </w:rPr>
        <w:t>29</w:t>
      </w:r>
      <w:r w:rsidR="00DE3461" w:rsidRPr="0009775F">
        <w:rPr>
          <w:noProof/>
          <w:color w:val="2B579A"/>
          <w:shd w:val="clear" w:color="auto" w:fill="E6E6E6"/>
        </w:rPr>
        <w:fldChar w:fldCharType="end"/>
      </w:r>
      <w:r w:rsidR="00DE3461" w:rsidRPr="0009775F">
        <w:rPr>
          <w:noProof/>
        </w:rPr>
        <w:t>)</w:t>
      </w:r>
      <w:r w:rsidR="001524FE" w:rsidRPr="0009775F">
        <w:rPr>
          <w:noProof/>
        </w:rPr>
        <w:t>.</w:t>
      </w:r>
      <w:r w:rsidR="001524FE">
        <w:rPr>
          <w:noProof/>
        </w:rPr>
        <w:t xml:space="preserve"> This represents </w:t>
      </w:r>
      <w:r w:rsidR="00C35EB7">
        <w:rPr>
          <w:noProof/>
        </w:rPr>
        <w:t>a significant increase</w:t>
      </w:r>
      <w:r w:rsidR="001359D2">
        <w:rPr>
          <w:noProof/>
        </w:rPr>
        <w:t xml:space="preserve"> compared to </w:t>
      </w:r>
      <w:r w:rsidR="007F7C2C">
        <w:rPr>
          <w:noProof/>
        </w:rPr>
        <w:t xml:space="preserve">historical </w:t>
      </w:r>
      <w:r w:rsidR="001359D2">
        <w:rPr>
          <w:noProof/>
        </w:rPr>
        <w:t xml:space="preserve">investment levels </w:t>
      </w:r>
      <w:r w:rsidR="00330496">
        <w:rPr>
          <w:noProof/>
        </w:rPr>
        <w:t xml:space="preserve">(2011-2020) </w:t>
      </w:r>
      <w:r w:rsidR="001359D2">
        <w:rPr>
          <w:noProof/>
        </w:rPr>
        <w:t>in renovation</w:t>
      </w:r>
      <w:r w:rsidR="00456673">
        <w:rPr>
          <w:noProof/>
        </w:rPr>
        <w:t xml:space="preserve"> </w:t>
      </w:r>
      <w:r w:rsidR="00330496">
        <w:rPr>
          <w:noProof/>
        </w:rPr>
        <w:t>and is</w:t>
      </w:r>
      <w:r w:rsidR="00456673">
        <w:rPr>
          <w:noProof/>
        </w:rPr>
        <w:t xml:space="preserve"> </w:t>
      </w:r>
      <w:r w:rsidR="00B273D0">
        <w:rPr>
          <w:noProof/>
        </w:rPr>
        <w:t xml:space="preserve">about </w:t>
      </w:r>
      <w:r w:rsidR="001D6AD2">
        <w:rPr>
          <w:noProof/>
        </w:rPr>
        <w:t>5</w:t>
      </w:r>
      <w:r w:rsidR="00B273D0">
        <w:rPr>
          <w:noProof/>
        </w:rPr>
        <w:t xml:space="preserve"> times as much as </w:t>
      </w:r>
      <w:r w:rsidR="00BE7F8D">
        <w:rPr>
          <w:noProof/>
        </w:rPr>
        <w:t xml:space="preserve">the </w:t>
      </w:r>
      <w:r w:rsidR="00F87250">
        <w:rPr>
          <w:noProof/>
        </w:rPr>
        <w:t xml:space="preserve">investment </w:t>
      </w:r>
      <w:r w:rsidR="00BE7F8D">
        <w:rPr>
          <w:noProof/>
        </w:rPr>
        <w:t xml:space="preserve">level </w:t>
      </w:r>
      <w:r w:rsidR="00F87250">
        <w:rPr>
          <w:noProof/>
        </w:rPr>
        <w:t xml:space="preserve">required in </w:t>
      </w:r>
      <w:r w:rsidR="00BE7F8D">
        <w:rPr>
          <w:noProof/>
        </w:rPr>
        <w:t xml:space="preserve">renovation </w:t>
      </w:r>
      <w:r w:rsidR="00130978">
        <w:rPr>
          <w:noProof/>
        </w:rPr>
        <w:t>for</w:t>
      </w:r>
      <w:r w:rsidR="00F87250">
        <w:rPr>
          <w:noProof/>
        </w:rPr>
        <w:t xml:space="preserve"> </w:t>
      </w:r>
      <w:r w:rsidR="00B273D0">
        <w:rPr>
          <w:noProof/>
        </w:rPr>
        <w:t>tertiary sectors.</w:t>
      </w:r>
      <w:r w:rsidR="00954D6C">
        <w:rPr>
          <w:noProof/>
        </w:rPr>
        <w:t xml:space="preserve"> As far as new constructions are concerned, the investment needs are relatively limited </w:t>
      </w:r>
      <w:r w:rsidR="002A051E">
        <w:rPr>
          <w:noProof/>
        </w:rPr>
        <w:t xml:space="preserve">and </w:t>
      </w:r>
      <w:r w:rsidR="001D6AD2">
        <w:rPr>
          <w:noProof/>
        </w:rPr>
        <w:t xml:space="preserve">do not </w:t>
      </w:r>
      <w:r w:rsidR="002A051E">
        <w:rPr>
          <w:noProof/>
        </w:rPr>
        <w:t xml:space="preserve">vary across </w:t>
      </w:r>
      <w:r w:rsidR="001D6AD2">
        <w:rPr>
          <w:noProof/>
        </w:rPr>
        <w:t>scenarios</w:t>
      </w:r>
      <w:r w:rsidR="002A051E">
        <w:rPr>
          <w:noProof/>
        </w:rPr>
        <w:t xml:space="preserve">, </w:t>
      </w:r>
      <w:r w:rsidR="00954D6C" w:rsidRPr="00954D6C">
        <w:rPr>
          <w:noProof/>
        </w:rPr>
        <w:t>as the estimates capture only the additional investment in the building’s energy performance relative to a baseline</w:t>
      </w:r>
      <w:r w:rsidR="002A051E">
        <w:rPr>
          <w:noProof/>
        </w:rPr>
        <w:t>.</w:t>
      </w:r>
    </w:p>
    <w:p w14:paraId="125C6FF2" w14:textId="6AAF3C5F" w:rsidR="00B20577" w:rsidRDefault="00637843" w:rsidP="00486349">
      <w:pPr>
        <w:pStyle w:val="Caption"/>
        <w:keepLines/>
        <w:rPr>
          <w:noProof/>
          <w:sz w:val="23"/>
          <w:szCs w:val="23"/>
        </w:rPr>
      </w:pPr>
      <w:bookmarkStart w:id="655" w:name="_Ref138242720"/>
      <w:bookmarkStart w:id="656" w:name="_Ref138242710"/>
      <w:bookmarkStart w:id="657" w:name="_Ref140739041"/>
      <w:bookmarkStart w:id="658" w:name="_Ref146099424"/>
      <w:bookmarkStart w:id="659" w:name="_Toc157679857"/>
      <w:r>
        <w:rPr>
          <w:noProof/>
        </w:rPr>
        <w:t xml:space="preserve">Figure </w:t>
      </w:r>
      <w:bookmarkEnd w:id="655"/>
      <w:bookmarkEnd w:id="656"/>
      <w:bookmarkEnd w:id="657"/>
      <w:r w:rsidR="00F2742D">
        <w:rPr>
          <w:noProof/>
        </w:rPr>
        <w:fldChar w:fldCharType="begin"/>
      </w:r>
      <w:r w:rsidR="00F2742D">
        <w:rPr>
          <w:noProof/>
        </w:rPr>
        <w:instrText xml:space="preserve"> SEQ Figure \* ARABIC </w:instrText>
      </w:r>
      <w:r w:rsidR="00F2742D">
        <w:rPr>
          <w:noProof/>
        </w:rPr>
        <w:fldChar w:fldCharType="separate"/>
      </w:r>
      <w:r w:rsidR="00170A3C">
        <w:rPr>
          <w:noProof/>
        </w:rPr>
        <w:t>109</w:t>
      </w:r>
      <w:r w:rsidR="00F2742D">
        <w:rPr>
          <w:noProof/>
        </w:rPr>
        <w:fldChar w:fldCharType="end"/>
      </w:r>
      <w:bookmarkEnd w:id="658"/>
      <w:r>
        <w:rPr>
          <w:noProof/>
        </w:rPr>
        <w:t xml:space="preserve">: </w:t>
      </w:r>
      <w:r w:rsidR="009F11F3">
        <w:rPr>
          <w:noProof/>
        </w:rPr>
        <w:t>A</w:t>
      </w:r>
      <w:r w:rsidR="00AF3BBF">
        <w:rPr>
          <w:noProof/>
        </w:rPr>
        <w:t xml:space="preserve">verage annual </w:t>
      </w:r>
      <w:r>
        <w:rPr>
          <w:noProof/>
        </w:rPr>
        <w:t xml:space="preserve">energy system investment needs in </w:t>
      </w:r>
      <w:r w:rsidR="00DC71BE">
        <w:rPr>
          <w:noProof/>
        </w:rPr>
        <w:t>residential sector</w:t>
      </w:r>
      <w:bookmarkEnd w:id="659"/>
    </w:p>
    <w:p w14:paraId="499ED644" w14:textId="1AD97BCD" w:rsidR="00223F9E" w:rsidRDefault="00BB089A" w:rsidP="00486349">
      <w:pPr>
        <w:keepNext/>
        <w:keepLines/>
        <w:spacing w:after="0"/>
        <w:jc w:val="center"/>
        <w:rPr>
          <w:rFonts w:ascii="Cambria Math" w:hAnsi="Cambria Math"/>
          <w:i/>
          <w:noProof/>
          <w:sz w:val="22"/>
          <w:szCs w:val="22"/>
        </w:rPr>
      </w:pPr>
      <w:r w:rsidRPr="00BB089A">
        <w:rPr>
          <w:noProof/>
          <w:lang w:eastAsia="en-GB"/>
        </w:rPr>
        <w:drawing>
          <wp:inline distT="0" distB="0" distL="0" distR="0" wp14:anchorId="17B00BC9" wp14:editId="63D0F2D2">
            <wp:extent cx="5391150" cy="2523490"/>
            <wp:effectExtent l="0" t="0" r="0" b="0"/>
            <wp:docPr id="1506651257" name="Picture 150665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5391150" cy="2523490"/>
                    </a:xfrm>
                    <a:prstGeom prst="rect">
                      <a:avLst/>
                    </a:prstGeom>
                    <a:noFill/>
                    <a:ln>
                      <a:noFill/>
                    </a:ln>
                  </pic:spPr>
                </pic:pic>
              </a:graphicData>
            </a:graphic>
          </wp:inline>
        </w:drawing>
      </w:r>
    </w:p>
    <w:p w14:paraId="3A044310" w14:textId="6301E4DD" w:rsidR="00673CF2" w:rsidRDefault="00BB089A" w:rsidP="009F11F3">
      <w:pPr>
        <w:keepNext/>
        <w:keepLines/>
        <w:spacing w:after="0"/>
        <w:jc w:val="center"/>
        <w:rPr>
          <w:rFonts w:ascii="Cambria Math" w:hAnsi="Cambria Math"/>
          <w:i/>
          <w:noProof/>
          <w:sz w:val="22"/>
          <w:szCs w:val="22"/>
        </w:rPr>
      </w:pPr>
      <w:r w:rsidRPr="00BB089A">
        <w:rPr>
          <w:noProof/>
          <w:lang w:eastAsia="en-GB"/>
        </w:rPr>
        <w:drawing>
          <wp:inline distT="0" distB="0" distL="0" distR="0" wp14:anchorId="1673D4E6" wp14:editId="2378BF1E">
            <wp:extent cx="5391150" cy="2523490"/>
            <wp:effectExtent l="0" t="0" r="0" b="0"/>
            <wp:docPr id="1506651247" name="Picture 150665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5391150" cy="2523490"/>
                    </a:xfrm>
                    <a:prstGeom prst="rect">
                      <a:avLst/>
                    </a:prstGeom>
                    <a:noFill/>
                    <a:ln>
                      <a:noFill/>
                    </a:ln>
                  </pic:spPr>
                </pic:pic>
              </a:graphicData>
            </a:graphic>
          </wp:inline>
        </w:drawing>
      </w:r>
    </w:p>
    <w:p w14:paraId="38948155" w14:textId="0C02D230" w:rsidR="00B20577" w:rsidRPr="00223F9E" w:rsidRDefault="00DC71BE" w:rsidP="00486349">
      <w:pPr>
        <w:pStyle w:val="CT-SOURCE"/>
        <w:keepLines/>
        <w:rPr>
          <w:rFonts w:ascii="Cambria Math" w:hAnsi="Cambria Math"/>
          <w:i w:val="0"/>
          <w:noProof/>
        </w:rPr>
      </w:pPr>
      <w:r w:rsidRPr="00223F9E">
        <w:rPr>
          <w:noProof/>
        </w:rPr>
        <w:t>Source: PRIMES.</w:t>
      </w:r>
    </w:p>
    <w:p w14:paraId="3DF82E77" w14:textId="5824F6ED" w:rsidR="001613B0" w:rsidRDefault="002E3831" w:rsidP="00B20577">
      <w:pPr>
        <w:rPr>
          <w:noProof/>
        </w:rPr>
      </w:pPr>
      <w:r>
        <w:rPr>
          <w:noProof/>
        </w:rPr>
        <w:t xml:space="preserve">As in the tertiary sectors, the second big component </w:t>
      </w:r>
      <w:r w:rsidR="00CA3FEA">
        <w:rPr>
          <w:noProof/>
        </w:rPr>
        <w:t xml:space="preserve">of investment needs in the residential sector </w:t>
      </w:r>
      <w:r w:rsidR="005E1A9C">
        <w:rPr>
          <w:noProof/>
        </w:rPr>
        <w:t xml:space="preserve">relates to </w:t>
      </w:r>
      <w:r w:rsidR="00A76CE2">
        <w:rPr>
          <w:noProof/>
        </w:rPr>
        <w:t xml:space="preserve">heating </w:t>
      </w:r>
      <w:r w:rsidR="000D1E9C">
        <w:rPr>
          <w:noProof/>
        </w:rPr>
        <w:t xml:space="preserve">and cooling equipment, and </w:t>
      </w:r>
      <w:r w:rsidR="00E105DA">
        <w:rPr>
          <w:noProof/>
        </w:rPr>
        <w:t xml:space="preserve">electrical appliances and lighting. </w:t>
      </w:r>
      <w:r w:rsidR="00DC4E94" w:rsidRPr="00DC4E94">
        <w:rPr>
          <w:noProof/>
        </w:rPr>
        <w:t xml:space="preserve">The full acquisition cost of such equipment is </w:t>
      </w:r>
      <w:r w:rsidR="00C30EC7">
        <w:rPr>
          <w:noProof/>
        </w:rPr>
        <w:t xml:space="preserve">again </w:t>
      </w:r>
      <w:r w:rsidR="00DC4E94" w:rsidRPr="00DC4E94">
        <w:rPr>
          <w:noProof/>
        </w:rPr>
        <w:t>captured in the</w:t>
      </w:r>
      <w:r w:rsidR="00685D8F">
        <w:rPr>
          <w:noProof/>
        </w:rPr>
        <w:t>se</w:t>
      </w:r>
      <w:r w:rsidR="00DC4E94" w:rsidRPr="00DC4E94">
        <w:rPr>
          <w:noProof/>
        </w:rPr>
        <w:t xml:space="preserve"> numbers </w:t>
      </w:r>
      <w:r w:rsidR="00685D8F">
        <w:rPr>
          <w:noProof/>
        </w:rPr>
        <w:t>(</w:t>
      </w:r>
      <w:r w:rsidR="009F11F3" w:rsidRPr="006166AB">
        <w:rPr>
          <w:noProof/>
        </w:rPr>
        <w:fldChar w:fldCharType="begin"/>
      </w:r>
      <w:r w:rsidR="009F11F3" w:rsidRPr="00177FA7">
        <w:rPr>
          <w:noProof/>
          <w:highlight w:val="yellow"/>
        </w:rPr>
        <w:instrText xml:space="preserve"> REF _Ref140739229 \h </w:instrText>
      </w:r>
      <w:r w:rsidR="00177FA7">
        <w:rPr>
          <w:noProof/>
          <w:highlight w:val="yellow"/>
        </w:rPr>
        <w:instrText xml:space="preserve"> \* MERGEFORMAT </w:instrText>
      </w:r>
      <w:r w:rsidR="009F11F3" w:rsidRPr="006166AB">
        <w:rPr>
          <w:noProof/>
        </w:rPr>
      </w:r>
      <w:r w:rsidR="009F11F3" w:rsidRPr="006166AB">
        <w:rPr>
          <w:noProof/>
        </w:rPr>
        <w:fldChar w:fldCharType="separate"/>
      </w:r>
      <w:r w:rsidR="00170A3C" w:rsidRPr="00875BB2">
        <w:rPr>
          <w:noProof/>
        </w:rPr>
        <w:t xml:space="preserve">Table </w:t>
      </w:r>
      <w:r w:rsidR="00170A3C">
        <w:rPr>
          <w:noProof/>
        </w:rPr>
        <w:t>29</w:t>
      </w:r>
      <w:r w:rsidR="009F11F3" w:rsidRPr="006166AB">
        <w:rPr>
          <w:noProof/>
        </w:rPr>
        <w:fldChar w:fldCharType="end"/>
      </w:r>
      <w:r w:rsidR="00685D8F">
        <w:rPr>
          <w:noProof/>
        </w:rPr>
        <w:t>)</w:t>
      </w:r>
      <w:r w:rsidR="00DC4E94" w:rsidRPr="00DC4E94">
        <w:rPr>
          <w:noProof/>
        </w:rPr>
        <w:t xml:space="preserve">, </w:t>
      </w:r>
      <w:r w:rsidR="00C30EC7">
        <w:rPr>
          <w:noProof/>
        </w:rPr>
        <w:t xml:space="preserve">which implies that </w:t>
      </w:r>
      <w:r w:rsidR="00B27B8D">
        <w:rPr>
          <w:noProof/>
        </w:rPr>
        <w:t xml:space="preserve">households would incur </w:t>
      </w:r>
      <w:r w:rsidR="00C30EC7">
        <w:rPr>
          <w:noProof/>
        </w:rPr>
        <w:t xml:space="preserve">a </w:t>
      </w:r>
      <w:r w:rsidR="00C240CB">
        <w:rPr>
          <w:noProof/>
        </w:rPr>
        <w:t>non-negligible</w:t>
      </w:r>
      <w:r w:rsidR="00C30EC7">
        <w:rPr>
          <w:noProof/>
        </w:rPr>
        <w:t xml:space="preserve"> share of such expenses </w:t>
      </w:r>
      <w:r w:rsidR="00B27B8D">
        <w:rPr>
          <w:noProof/>
        </w:rPr>
        <w:t>under any circumstances.</w:t>
      </w:r>
      <w:r w:rsidR="00141B4B">
        <w:rPr>
          <w:noProof/>
        </w:rPr>
        <w:t xml:space="preserve"> </w:t>
      </w:r>
      <w:r w:rsidR="00E47613">
        <w:rPr>
          <w:noProof/>
        </w:rPr>
        <w:t xml:space="preserve">The estimated </w:t>
      </w:r>
      <w:r w:rsidR="00FB2444">
        <w:rPr>
          <w:noProof/>
        </w:rPr>
        <w:t xml:space="preserve">annual </w:t>
      </w:r>
      <w:r w:rsidR="00E47613">
        <w:rPr>
          <w:noProof/>
        </w:rPr>
        <w:t xml:space="preserve">investment needs in </w:t>
      </w:r>
      <w:r w:rsidR="00BB5B57">
        <w:rPr>
          <w:noProof/>
        </w:rPr>
        <w:t xml:space="preserve">2031-2050 </w:t>
      </w:r>
      <w:r w:rsidR="00E47613">
        <w:rPr>
          <w:noProof/>
        </w:rPr>
        <w:t xml:space="preserve">in energy equipment </w:t>
      </w:r>
      <w:r w:rsidR="00A16F0D">
        <w:rPr>
          <w:noProof/>
        </w:rPr>
        <w:t>amount to around EUR</w:t>
      </w:r>
      <w:r w:rsidR="00657D79">
        <w:rPr>
          <w:noProof/>
        </w:rPr>
        <w:t> </w:t>
      </w:r>
      <w:r w:rsidR="00A16F0D">
        <w:rPr>
          <w:noProof/>
        </w:rPr>
        <w:t>1</w:t>
      </w:r>
      <w:r w:rsidR="00837F26">
        <w:rPr>
          <w:noProof/>
        </w:rPr>
        <w:t>85</w:t>
      </w:r>
      <w:r w:rsidR="00657D79">
        <w:rPr>
          <w:noProof/>
        </w:rPr>
        <w:t xml:space="preserve"> billion across </w:t>
      </w:r>
      <w:r w:rsidR="00BB5B57">
        <w:rPr>
          <w:noProof/>
        </w:rPr>
        <w:t>scenarios</w:t>
      </w:r>
      <w:r w:rsidR="00C240CB">
        <w:rPr>
          <w:noProof/>
        </w:rPr>
        <w:t xml:space="preserve">, </w:t>
      </w:r>
      <w:r w:rsidR="00F14885">
        <w:rPr>
          <w:noProof/>
        </w:rPr>
        <w:t xml:space="preserve">about twice the level in 2011-2020. The increase in energy equipment is most significant </w:t>
      </w:r>
      <w:r w:rsidR="003A20E2">
        <w:rPr>
          <w:noProof/>
        </w:rPr>
        <w:t xml:space="preserve">in heating </w:t>
      </w:r>
      <w:r w:rsidR="00A839D8">
        <w:rPr>
          <w:noProof/>
        </w:rPr>
        <w:t xml:space="preserve">and cooling </w:t>
      </w:r>
      <w:r w:rsidR="00717F6B">
        <w:rPr>
          <w:noProof/>
        </w:rPr>
        <w:t>systems (+2</w:t>
      </w:r>
      <w:r w:rsidR="00925EC6">
        <w:rPr>
          <w:noProof/>
        </w:rPr>
        <w:t>4</w:t>
      </w:r>
      <w:r w:rsidR="00717F6B">
        <w:rPr>
          <w:noProof/>
        </w:rPr>
        <w:t>0%)</w:t>
      </w:r>
      <w:r w:rsidR="00A839D8">
        <w:rPr>
          <w:noProof/>
        </w:rPr>
        <w:t xml:space="preserve"> and less </w:t>
      </w:r>
      <w:r w:rsidR="00754124">
        <w:rPr>
          <w:noProof/>
        </w:rPr>
        <w:t>so in appliances and lighting (+</w:t>
      </w:r>
      <w:r w:rsidR="000609FF">
        <w:rPr>
          <w:noProof/>
        </w:rPr>
        <w:t>56%).</w:t>
      </w:r>
    </w:p>
    <w:p w14:paraId="4100748B" w14:textId="6F712A08" w:rsidR="00F44D05" w:rsidRDefault="001C2418" w:rsidP="00B20577">
      <w:pPr>
        <w:rPr>
          <w:noProof/>
        </w:rPr>
      </w:pPr>
      <w:r w:rsidRPr="001C2418">
        <w:rPr>
          <w:noProof/>
        </w:rPr>
        <w:t xml:space="preserve">The deployment of heat pumps is projected to start at a large scale in this decade and to continue in the following two decades. </w:t>
      </w:r>
      <w:r w:rsidR="00BB5B57">
        <w:rPr>
          <w:noProof/>
        </w:rPr>
        <w:t>Average annual i</w:t>
      </w:r>
      <w:r w:rsidRPr="001C2418">
        <w:rPr>
          <w:noProof/>
        </w:rPr>
        <w:t xml:space="preserve">nvestment in heat pumps </w:t>
      </w:r>
      <w:r w:rsidR="00BB5B57">
        <w:rPr>
          <w:noProof/>
        </w:rPr>
        <w:t xml:space="preserve">in 2031-2050 </w:t>
      </w:r>
      <w:r w:rsidRPr="001C2418">
        <w:rPr>
          <w:noProof/>
        </w:rPr>
        <w:t xml:space="preserve">is projected at </w:t>
      </w:r>
      <w:r w:rsidR="00BB5B57">
        <w:rPr>
          <w:noProof/>
        </w:rPr>
        <w:t xml:space="preserve">almost </w:t>
      </w:r>
      <w:r w:rsidRPr="001C2418">
        <w:rPr>
          <w:noProof/>
        </w:rPr>
        <w:t>EUR</w:t>
      </w:r>
      <w:r w:rsidR="00BB5B57">
        <w:rPr>
          <w:noProof/>
        </w:rPr>
        <w:t> </w:t>
      </w:r>
      <w:r w:rsidR="00837F26">
        <w:rPr>
          <w:noProof/>
        </w:rPr>
        <w:t>6</w:t>
      </w:r>
      <w:r w:rsidR="00E77A67">
        <w:rPr>
          <w:noProof/>
        </w:rPr>
        <w:t>0</w:t>
      </w:r>
      <w:r w:rsidR="00BB5B57">
        <w:rPr>
          <w:noProof/>
        </w:rPr>
        <w:t> </w:t>
      </w:r>
      <w:r w:rsidRPr="001C2418">
        <w:rPr>
          <w:noProof/>
        </w:rPr>
        <w:t>billion across scenarios</w:t>
      </w:r>
      <w:r w:rsidR="00E77A67">
        <w:rPr>
          <w:noProof/>
        </w:rPr>
        <w:t xml:space="preserve"> and the timing of investment over the two decades is very similar</w:t>
      </w:r>
      <w:r w:rsidR="00BA27EC">
        <w:rPr>
          <w:noProof/>
        </w:rPr>
        <w:t>,</w:t>
      </w:r>
      <w:r w:rsidR="00E77A67">
        <w:rPr>
          <w:noProof/>
        </w:rPr>
        <w:t xml:space="preserve"> with slightly higher investment levels in 2041-2050 than in 2031-2040</w:t>
      </w:r>
      <w:r w:rsidRPr="001C2418">
        <w:rPr>
          <w:noProof/>
        </w:rPr>
        <w:t xml:space="preserve">. </w:t>
      </w:r>
      <w:r w:rsidR="00BA27EC">
        <w:rPr>
          <w:noProof/>
        </w:rPr>
        <w:t>T</w:t>
      </w:r>
      <w:r w:rsidRPr="001C2418">
        <w:rPr>
          <w:noProof/>
        </w:rPr>
        <w:t xml:space="preserve">he switch to heat pumps is a constant across the </w:t>
      </w:r>
      <w:r w:rsidR="00BA27EC">
        <w:rPr>
          <w:noProof/>
        </w:rPr>
        <w:t>main</w:t>
      </w:r>
      <w:r w:rsidRPr="001C2418">
        <w:rPr>
          <w:noProof/>
        </w:rPr>
        <w:t xml:space="preserve"> </w:t>
      </w:r>
      <w:r w:rsidR="00BA27EC">
        <w:rPr>
          <w:noProof/>
        </w:rPr>
        <w:t xml:space="preserve">scenarios, but </w:t>
      </w:r>
      <w:r w:rsidR="00743FB6">
        <w:rPr>
          <w:noProof/>
        </w:rPr>
        <w:t xml:space="preserve">the </w:t>
      </w:r>
      <w:r w:rsidR="00C459D4">
        <w:rPr>
          <w:noProof/>
        </w:rPr>
        <w:t>LIFE</w:t>
      </w:r>
      <w:r w:rsidR="00ED269A">
        <w:rPr>
          <w:noProof/>
        </w:rPr>
        <w:t xml:space="preserve"> </w:t>
      </w:r>
      <w:r w:rsidR="0039510A">
        <w:rPr>
          <w:noProof/>
        </w:rPr>
        <w:t>setting</w:t>
      </w:r>
      <w:r w:rsidR="0039510A" w:rsidRPr="001C2418">
        <w:rPr>
          <w:noProof/>
        </w:rPr>
        <w:t xml:space="preserve"> </w:t>
      </w:r>
      <w:r w:rsidRPr="001C2418">
        <w:rPr>
          <w:noProof/>
        </w:rPr>
        <w:t xml:space="preserve">enables a reduction in investment in heating systems overall of about </w:t>
      </w:r>
      <w:r w:rsidR="0039510A">
        <w:rPr>
          <w:noProof/>
        </w:rPr>
        <w:t>EUR </w:t>
      </w:r>
      <w:r w:rsidR="00017EC9">
        <w:rPr>
          <w:noProof/>
        </w:rPr>
        <w:t>7</w:t>
      </w:r>
      <w:r w:rsidR="0039510A">
        <w:rPr>
          <w:noProof/>
        </w:rPr>
        <w:t> billion (</w:t>
      </w:r>
      <w:r w:rsidR="00017EC9">
        <w:rPr>
          <w:noProof/>
        </w:rPr>
        <w:t>10</w:t>
      </w:r>
      <w:r w:rsidRPr="001C2418">
        <w:rPr>
          <w:noProof/>
        </w:rPr>
        <w:t>%</w:t>
      </w:r>
      <w:r w:rsidR="0039510A">
        <w:rPr>
          <w:noProof/>
        </w:rPr>
        <w:t>) per annum in 2031-2050</w:t>
      </w:r>
      <w:r w:rsidRPr="001C2418">
        <w:rPr>
          <w:noProof/>
        </w:rPr>
        <w:t>.</w:t>
      </w:r>
    </w:p>
    <w:p w14:paraId="3B964A57" w14:textId="59D407B4" w:rsidR="00ED005C" w:rsidRDefault="00ED005C" w:rsidP="00B20577">
      <w:pPr>
        <w:rPr>
          <w:noProof/>
        </w:rPr>
      </w:pPr>
      <w:r>
        <w:rPr>
          <w:noProof/>
        </w:rPr>
        <w:t xml:space="preserve">As for heating and cooling systems, investment needs for electrical appliances </w:t>
      </w:r>
      <w:r w:rsidR="003B4608">
        <w:rPr>
          <w:noProof/>
        </w:rPr>
        <w:t>and lighting are estimated at full acquisition costs</w:t>
      </w:r>
      <w:r w:rsidR="00AD30FD">
        <w:rPr>
          <w:noProof/>
        </w:rPr>
        <w:t>, which again implies that households would incu</w:t>
      </w:r>
      <w:r w:rsidR="00D76D83">
        <w:rPr>
          <w:noProof/>
        </w:rPr>
        <w:t>r a significant share of such expenses under any circumstances.</w:t>
      </w:r>
      <w:r w:rsidR="006A35EE">
        <w:rPr>
          <w:noProof/>
        </w:rPr>
        <w:t xml:space="preserve"> The estimated investment needs in </w:t>
      </w:r>
      <w:r w:rsidR="005C6C05">
        <w:rPr>
          <w:noProof/>
        </w:rPr>
        <w:t xml:space="preserve">appliances and lighting nevertheless represent </w:t>
      </w:r>
      <w:r w:rsidR="007002E4">
        <w:rPr>
          <w:noProof/>
        </w:rPr>
        <w:t>about</w:t>
      </w:r>
      <w:r w:rsidR="00D74D48">
        <w:rPr>
          <w:noProof/>
        </w:rPr>
        <w:t xml:space="preserve"> a third of estimated total investment needs in the residential sector</w:t>
      </w:r>
      <w:r w:rsidR="001A1B65">
        <w:rPr>
          <w:noProof/>
        </w:rPr>
        <w:t>, at around EUR</w:t>
      </w:r>
      <w:r w:rsidR="00820F16">
        <w:rPr>
          <w:noProof/>
        </w:rPr>
        <w:t> </w:t>
      </w:r>
      <w:r w:rsidR="00837F26">
        <w:rPr>
          <w:noProof/>
        </w:rPr>
        <w:t>80</w:t>
      </w:r>
      <w:r w:rsidR="00820F16">
        <w:rPr>
          <w:noProof/>
        </w:rPr>
        <w:t xml:space="preserve"> billion per annum in </w:t>
      </w:r>
      <w:r w:rsidR="00F23861">
        <w:rPr>
          <w:noProof/>
        </w:rPr>
        <w:t>2031-2050</w:t>
      </w:r>
      <w:r w:rsidR="007002E4">
        <w:rPr>
          <w:noProof/>
        </w:rPr>
        <w:t xml:space="preserve"> across scenarios</w:t>
      </w:r>
      <w:r w:rsidR="0053073E">
        <w:rPr>
          <w:noProof/>
        </w:rPr>
        <w:t>.</w:t>
      </w:r>
    </w:p>
    <w:p w14:paraId="144BFECE" w14:textId="3A2BD699" w:rsidR="00571205" w:rsidRDefault="00A679BE" w:rsidP="00B20577">
      <w:pPr>
        <w:rPr>
          <w:noProof/>
        </w:rPr>
      </w:pPr>
      <w:r>
        <w:rPr>
          <w:noProof/>
        </w:rPr>
        <w:t>Investment</w:t>
      </w:r>
      <w:r w:rsidR="00814FE3">
        <w:rPr>
          <w:noProof/>
        </w:rPr>
        <w:t>s</w:t>
      </w:r>
      <w:r>
        <w:rPr>
          <w:noProof/>
        </w:rPr>
        <w:t xml:space="preserve"> in the residential sector</w:t>
      </w:r>
      <w:r w:rsidR="00814FE3">
        <w:rPr>
          <w:noProof/>
        </w:rPr>
        <w:t xml:space="preserve"> will fall </w:t>
      </w:r>
      <w:r w:rsidR="00B7001D">
        <w:rPr>
          <w:noProof/>
        </w:rPr>
        <w:t>upon a range of players</w:t>
      </w:r>
      <w:r w:rsidR="006C4D46">
        <w:rPr>
          <w:noProof/>
        </w:rPr>
        <w:t xml:space="preserve">. While the costs of appliances </w:t>
      </w:r>
      <w:r w:rsidR="008D1821">
        <w:rPr>
          <w:noProof/>
        </w:rPr>
        <w:t xml:space="preserve">will be borne </w:t>
      </w:r>
      <w:r w:rsidR="001C590D">
        <w:rPr>
          <w:noProof/>
        </w:rPr>
        <w:t xml:space="preserve">mostly </w:t>
      </w:r>
      <w:r w:rsidR="008D1821">
        <w:rPr>
          <w:noProof/>
        </w:rPr>
        <w:t xml:space="preserve">by households </w:t>
      </w:r>
      <w:r w:rsidR="00F51997">
        <w:rPr>
          <w:noProof/>
        </w:rPr>
        <w:t xml:space="preserve">themselves, the situation is more contrasted </w:t>
      </w:r>
      <w:r w:rsidR="00E72CC3">
        <w:rPr>
          <w:noProof/>
        </w:rPr>
        <w:t>for other types of investment needs</w:t>
      </w:r>
      <w:r w:rsidR="00B16D4B">
        <w:rPr>
          <w:noProof/>
        </w:rPr>
        <w:t xml:space="preserve">. </w:t>
      </w:r>
      <w:r w:rsidR="00850BCA">
        <w:rPr>
          <w:noProof/>
        </w:rPr>
        <w:t>Homeowners</w:t>
      </w:r>
      <w:r w:rsidR="002A0D99">
        <w:rPr>
          <w:noProof/>
        </w:rPr>
        <w:t xml:space="preserve"> will bear the ful</w:t>
      </w:r>
      <w:r w:rsidR="00A0092F">
        <w:rPr>
          <w:noProof/>
        </w:rPr>
        <w:t>l costs of</w:t>
      </w:r>
      <w:r w:rsidR="00703838">
        <w:rPr>
          <w:noProof/>
        </w:rPr>
        <w:t xml:space="preserve"> improvements in energy efficiency</w:t>
      </w:r>
      <w:r w:rsidR="004306F5">
        <w:rPr>
          <w:noProof/>
        </w:rPr>
        <w:t xml:space="preserve"> and </w:t>
      </w:r>
      <w:r w:rsidR="00376868">
        <w:rPr>
          <w:noProof/>
        </w:rPr>
        <w:t xml:space="preserve">shifting to carbon-free heating and cooling systems. They will also </w:t>
      </w:r>
      <w:r w:rsidR="00DA1737">
        <w:rPr>
          <w:noProof/>
        </w:rPr>
        <w:t>reap the full benefits in terms of reduced utility bills</w:t>
      </w:r>
      <w:r w:rsidR="00F903E7">
        <w:rPr>
          <w:noProof/>
        </w:rPr>
        <w:t xml:space="preserve"> and comfort levels.</w:t>
      </w:r>
    </w:p>
    <w:p w14:paraId="0B01D463" w14:textId="71BA6AB1" w:rsidR="00B20577" w:rsidRPr="00A32B00" w:rsidRDefault="002B19E7" w:rsidP="00B20577">
      <w:pPr>
        <w:rPr>
          <w:noProof/>
        </w:rPr>
      </w:pPr>
      <w:r>
        <w:rPr>
          <w:noProof/>
        </w:rPr>
        <w:t>In contrast,</w:t>
      </w:r>
      <w:r w:rsidR="00961DAD">
        <w:rPr>
          <w:noProof/>
        </w:rPr>
        <w:t xml:space="preserve"> </w:t>
      </w:r>
      <w:r w:rsidR="005E7DB2">
        <w:rPr>
          <w:noProof/>
        </w:rPr>
        <w:t xml:space="preserve">funding the necessary </w:t>
      </w:r>
      <w:r w:rsidR="00961DAD">
        <w:rPr>
          <w:noProof/>
        </w:rPr>
        <w:t xml:space="preserve">investment in energy efficiency and </w:t>
      </w:r>
      <w:r w:rsidR="00D8653F">
        <w:rPr>
          <w:noProof/>
        </w:rPr>
        <w:t xml:space="preserve">heating and cooling system for </w:t>
      </w:r>
      <w:r w:rsidR="00886C0E">
        <w:rPr>
          <w:noProof/>
        </w:rPr>
        <w:t xml:space="preserve">rented </w:t>
      </w:r>
      <w:r w:rsidR="006515C4">
        <w:rPr>
          <w:noProof/>
        </w:rPr>
        <w:t xml:space="preserve">accommodation will </w:t>
      </w:r>
      <w:r w:rsidR="005E7DB2">
        <w:rPr>
          <w:noProof/>
        </w:rPr>
        <w:t xml:space="preserve">fall upon a range of actors, from </w:t>
      </w:r>
      <w:r w:rsidR="00067171">
        <w:rPr>
          <w:noProof/>
        </w:rPr>
        <w:t>landlords owning a single asset to large property owners</w:t>
      </w:r>
      <w:r w:rsidR="00F707B7">
        <w:rPr>
          <w:noProof/>
        </w:rPr>
        <w:t>/developers and public housing entities.</w:t>
      </w:r>
      <w:r w:rsidR="00D6287E">
        <w:rPr>
          <w:noProof/>
        </w:rPr>
        <w:t xml:space="preserve"> While </w:t>
      </w:r>
      <w:r w:rsidR="00EE25B4">
        <w:rPr>
          <w:noProof/>
        </w:rPr>
        <w:t xml:space="preserve">access to affordable finance </w:t>
      </w:r>
      <w:r w:rsidR="001C2B18">
        <w:rPr>
          <w:noProof/>
        </w:rPr>
        <w:t xml:space="preserve">could </w:t>
      </w:r>
      <w:r w:rsidR="00EE25B4">
        <w:rPr>
          <w:noProof/>
        </w:rPr>
        <w:t xml:space="preserve">be </w:t>
      </w:r>
      <w:r w:rsidR="00840440">
        <w:rPr>
          <w:noProof/>
        </w:rPr>
        <w:t>better for such players than for many home-owning households</w:t>
      </w:r>
      <w:r w:rsidR="00B83E07">
        <w:rPr>
          <w:noProof/>
        </w:rPr>
        <w:t xml:space="preserve">, the </w:t>
      </w:r>
      <w:r w:rsidR="001C2B18">
        <w:rPr>
          <w:noProof/>
        </w:rPr>
        <w:t>incentives to renovat</w:t>
      </w:r>
      <w:r w:rsidR="007D773C">
        <w:rPr>
          <w:noProof/>
        </w:rPr>
        <w:t>e</w:t>
      </w:r>
      <w:r w:rsidR="001C2B18">
        <w:rPr>
          <w:noProof/>
        </w:rPr>
        <w:t xml:space="preserve"> and upgrade </w:t>
      </w:r>
      <w:r w:rsidR="0076183B">
        <w:rPr>
          <w:noProof/>
        </w:rPr>
        <w:t>heating and cooling systems might not be as strong, as the benefits of lower utility bills and higher comfort levels arise to tenants.</w:t>
      </w:r>
      <w:r w:rsidR="007D773C">
        <w:rPr>
          <w:noProof/>
        </w:rPr>
        <w:t xml:space="preserve"> </w:t>
      </w:r>
      <w:r w:rsidR="005251E1">
        <w:rPr>
          <w:noProof/>
        </w:rPr>
        <w:t>Finally, w</w:t>
      </w:r>
      <w:r w:rsidR="00EB0634">
        <w:rPr>
          <w:noProof/>
        </w:rPr>
        <w:t>here distributed heating is well developed</w:t>
      </w:r>
      <w:r w:rsidR="00644F29">
        <w:rPr>
          <w:noProof/>
        </w:rPr>
        <w:t xml:space="preserve">, households will also not directly face </w:t>
      </w:r>
      <w:r w:rsidR="00AF4D9F">
        <w:rPr>
          <w:noProof/>
        </w:rPr>
        <w:t xml:space="preserve">the need to provide up-front finance for investment, </w:t>
      </w:r>
      <w:r w:rsidR="00E76DF9">
        <w:rPr>
          <w:noProof/>
        </w:rPr>
        <w:t xml:space="preserve">though </w:t>
      </w:r>
      <w:r w:rsidR="002B55CE">
        <w:rPr>
          <w:noProof/>
        </w:rPr>
        <w:t xml:space="preserve">the capital cost of modernising the centralised heating system will be reflected in </w:t>
      </w:r>
      <w:r w:rsidR="00F2064F">
        <w:rPr>
          <w:noProof/>
        </w:rPr>
        <w:t xml:space="preserve">their </w:t>
      </w:r>
      <w:r w:rsidR="000C57D0">
        <w:rPr>
          <w:noProof/>
        </w:rPr>
        <w:t>utility bills.</w:t>
      </w:r>
      <w:r w:rsidR="00C803BA">
        <w:rPr>
          <w:noProof/>
        </w:rPr>
        <w:t xml:space="preserve"> </w:t>
      </w:r>
      <w:r w:rsidR="00A95862">
        <w:rPr>
          <w:noProof/>
        </w:rPr>
        <w:t xml:space="preserve">Overall, </w:t>
      </w:r>
      <w:r w:rsidR="00C51B7A">
        <w:rPr>
          <w:noProof/>
        </w:rPr>
        <w:t xml:space="preserve">the funding of investment needs in the residential sector will therefore </w:t>
      </w:r>
      <w:r w:rsidR="00BB4F4C">
        <w:rPr>
          <w:noProof/>
        </w:rPr>
        <w:t>involve a multiplicity of actors</w:t>
      </w:r>
      <w:r w:rsidR="00D75437">
        <w:rPr>
          <w:noProof/>
        </w:rPr>
        <w:t xml:space="preserve">, who will need to be provided the appropriate incentives </w:t>
      </w:r>
      <w:r w:rsidR="00C803BA">
        <w:rPr>
          <w:noProof/>
        </w:rPr>
        <w:t>or financial support to act in accordance with the needs to decarbonise the sector.</w:t>
      </w:r>
    </w:p>
    <w:p w14:paraId="19AA78FA" w14:textId="179BF433" w:rsidR="00685D8F" w:rsidRDefault="00685D8F" w:rsidP="00B20577">
      <w:pPr>
        <w:rPr>
          <w:noProof/>
        </w:rPr>
        <w:sectPr w:rsidR="00685D8F">
          <w:headerReference w:type="even" r:id="rId160"/>
          <w:headerReference w:type="default" r:id="rId161"/>
          <w:footerReference w:type="even" r:id="rId162"/>
          <w:footerReference w:type="default" r:id="rId163"/>
          <w:headerReference w:type="first" r:id="rId164"/>
          <w:footerReference w:type="first" r:id="rId165"/>
          <w:pgSz w:w="11906" w:h="16838"/>
          <w:pgMar w:top="1020" w:right="1701" w:bottom="1020" w:left="1587" w:header="601" w:footer="1077" w:gutter="0"/>
          <w:cols w:space="720"/>
          <w:titlePg/>
          <w:docGrid w:linePitch="326"/>
        </w:sectPr>
      </w:pPr>
    </w:p>
    <w:p w14:paraId="4F060E2B" w14:textId="5EBAB634" w:rsidR="00685D8F" w:rsidRDefault="00685D8F" w:rsidP="00685D8F">
      <w:pPr>
        <w:pStyle w:val="Caption"/>
        <w:rPr>
          <w:noProof/>
        </w:rPr>
      </w:pPr>
      <w:bookmarkStart w:id="660" w:name="_Ref146647219"/>
      <w:bookmarkStart w:id="661" w:name="_Ref139887833"/>
      <w:bookmarkStart w:id="662" w:name="_Ref140739229"/>
      <w:bookmarkStart w:id="663" w:name="_Toc157679912"/>
      <w:r w:rsidRPr="00875BB2">
        <w:rPr>
          <w:noProof/>
        </w:rPr>
        <w:t>Table</w:t>
      </w:r>
      <w:bookmarkEnd w:id="660"/>
      <w:r w:rsidRPr="00875BB2">
        <w:rPr>
          <w:noProof/>
        </w:rPr>
        <w:t xml:space="preserve"> </w:t>
      </w:r>
      <w:bookmarkEnd w:id="661"/>
      <w:r w:rsidRPr="00875BB2">
        <w:rPr>
          <w:noProof/>
          <w:color w:val="2B579A"/>
          <w:shd w:val="clear" w:color="auto" w:fill="E6E6E6"/>
        </w:rPr>
        <w:fldChar w:fldCharType="begin"/>
      </w:r>
      <w:r w:rsidRPr="00875BB2">
        <w:rPr>
          <w:noProof/>
        </w:rPr>
        <w:instrText xml:space="preserve"> SEQ Table \* ARABIC </w:instrText>
      </w:r>
      <w:r w:rsidRPr="00875BB2">
        <w:rPr>
          <w:noProof/>
          <w:color w:val="2B579A"/>
          <w:shd w:val="clear" w:color="auto" w:fill="E6E6E6"/>
        </w:rPr>
        <w:fldChar w:fldCharType="separate"/>
      </w:r>
      <w:r w:rsidR="00170A3C">
        <w:rPr>
          <w:noProof/>
        </w:rPr>
        <w:t>29</w:t>
      </w:r>
      <w:r w:rsidRPr="00875BB2">
        <w:rPr>
          <w:noProof/>
          <w:color w:val="2B579A"/>
          <w:shd w:val="clear" w:color="auto" w:fill="E6E6E6"/>
        </w:rPr>
        <w:fldChar w:fldCharType="end"/>
      </w:r>
      <w:bookmarkEnd w:id="662"/>
      <w:r w:rsidRPr="00875BB2">
        <w:rPr>
          <w:noProof/>
        </w:rPr>
        <w:t xml:space="preserve">: </w:t>
      </w:r>
      <w:r w:rsidR="004244BA" w:rsidRPr="00875BB2">
        <w:rPr>
          <w:noProof/>
        </w:rPr>
        <w:t>A</w:t>
      </w:r>
      <w:r w:rsidRPr="00875BB2">
        <w:rPr>
          <w:noProof/>
        </w:rPr>
        <w:t>verage annual</w:t>
      </w:r>
      <w:r>
        <w:rPr>
          <w:noProof/>
        </w:rPr>
        <w:t xml:space="preserve"> </w:t>
      </w:r>
      <w:r w:rsidR="00B35527">
        <w:rPr>
          <w:noProof/>
        </w:rPr>
        <w:t>demand side investment, residential sector (billion EUR 20</w:t>
      </w:r>
      <w:r w:rsidR="00DD4C85">
        <w:rPr>
          <w:noProof/>
        </w:rPr>
        <w:t>23</w:t>
      </w:r>
      <w:r w:rsidR="00B35527">
        <w:rPr>
          <w:noProof/>
        </w:rPr>
        <w:t>)</w:t>
      </w:r>
      <w:bookmarkEnd w:id="663"/>
    </w:p>
    <w:p w14:paraId="7860217E" w14:textId="53F4B1C9" w:rsidR="000D7716" w:rsidRDefault="00BB089A" w:rsidP="000D7716">
      <w:pPr>
        <w:spacing w:after="0"/>
        <w:jc w:val="center"/>
        <w:rPr>
          <w:rFonts w:ascii="Cambria Math" w:hAnsi="Cambria Math"/>
          <w:i/>
          <w:noProof/>
          <w:sz w:val="22"/>
          <w:szCs w:val="22"/>
        </w:rPr>
      </w:pPr>
      <w:r w:rsidRPr="00BB089A">
        <w:rPr>
          <w:noProof/>
          <w:lang w:eastAsia="en-GB"/>
        </w:rPr>
        <w:drawing>
          <wp:inline distT="0" distB="0" distL="0" distR="0" wp14:anchorId="392FF2EE" wp14:editId="7D1D19AE">
            <wp:extent cx="9396730" cy="2269490"/>
            <wp:effectExtent l="0" t="0" r="0" b="0"/>
            <wp:docPr id="1506651258" name="Picture 150665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9396730" cy="2269490"/>
                    </a:xfrm>
                    <a:prstGeom prst="rect">
                      <a:avLst/>
                    </a:prstGeom>
                    <a:noFill/>
                    <a:ln>
                      <a:noFill/>
                    </a:ln>
                  </pic:spPr>
                </pic:pic>
              </a:graphicData>
            </a:graphic>
          </wp:inline>
        </w:drawing>
      </w:r>
    </w:p>
    <w:p w14:paraId="3D967802" w14:textId="7EC713AA" w:rsidR="000D7716" w:rsidRPr="000D7716" w:rsidRDefault="000D7716" w:rsidP="00501756">
      <w:pPr>
        <w:pStyle w:val="CT-SOURCE"/>
        <w:rPr>
          <w:noProof/>
        </w:rPr>
      </w:pPr>
      <w:r w:rsidRPr="00223F9E">
        <w:rPr>
          <w:noProof/>
        </w:rPr>
        <w:t>Source: PRIMES.</w:t>
      </w:r>
    </w:p>
    <w:p w14:paraId="4F4F4ACA" w14:textId="364A53C6" w:rsidR="00685D8F" w:rsidRPr="00442567" w:rsidRDefault="00685D8F" w:rsidP="00B20577">
      <w:pPr>
        <w:rPr>
          <w:noProof/>
          <w:lang w:val="en-IE"/>
        </w:rPr>
      </w:pPr>
    </w:p>
    <w:p w14:paraId="6F42290D" w14:textId="5C7CA5E0" w:rsidR="00685D8F" w:rsidRPr="00442567" w:rsidRDefault="00685D8F" w:rsidP="00B20577">
      <w:pPr>
        <w:rPr>
          <w:noProof/>
          <w:lang w:val="en-IE"/>
        </w:rPr>
        <w:sectPr w:rsidR="00685D8F" w:rsidRPr="00442567" w:rsidSect="00B35527">
          <w:headerReference w:type="even" r:id="rId167"/>
          <w:headerReference w:type="default" r:id="rId168"/>
          <w:footerReference w:type="even" r:id="rId169"/>
          <w:footerReference w:type="default" r:id="rId170"/>
          <w:headerReference w:type="first" r:id="rId171"/>
          <w:footerReference w:type="first" r:id="rId172"/>
          <w:pgSz w:w="16838" w:h="11906" w:orient="landscape"/>
          <w:pgMar w:top="1587" w:right="1020" w:bottom="1701" w:left="1020" w:header="601" w:footer="1077" w:gutter="0"/>
          <w:cols w:space="720"/>
          <w:titlePg/>
          <w:docGrid w:linePitch="326"/>
        </w:sectPr>
      </w:pPr>
    </w:p>
    <w:p w14:paraId="7347EFBA" w14:textId="64F6442A" w:rsidR="00DD6070" w:rsidRPr="00680783" w:rsidRDefault="00DD6070" w:rsidP="00680783">
      <w:pPr>
        <w:pStyle w:val="Heading3"/>
        <w:rPr>
          <w:noProof/>
        </w:rPr>
      </w:pPr>
      <w:bookmarkStart w:id="664" w:name="_Toc148605641"/>
      <w:bookmarkStart w:id="665" w:name="_Toc157692087"/>
      <w:r w:rsidRPr="00680783">
        <w:rPr>
          <w:noProof/>
        </w:rPr>
        <w:t>Demand-side investment needs, transport</w:t>
      </w:r>
      <w:bookmarkEnd w:id="664"/>
      <w:bookmarkEnd w:id="665"/>
    </w:p>
    <w:p w14:paraId="3FCB9A0F" w14:textId="792D91F5" w:rsidR="00291B26" w:rsidRDefault="004E4465" w:rsidP="00291B26">
      <w:pPr>
        <w:rPr>
          <w:noProof/>
        </w:rPr>
      </w:pPr>
      <w:r w:rsidRPr="004E4465">
        <w:rPr>
          <w:noProof/>
        </w:rPr>
        <w:t xml:space="preserve">Estimated average annual investment needs in transport in 2031-2050 are </w:t>
      </w:r>
      <w:r w:rsidR="00C35EB7" w:rsidRPr="004E4465">
        <w:rPr>
          <w:noProof/>
        </w:rPr>
        <w:t>similar</w:t>
      </w:r>
      <w:r w:rsidRPr="004E4465">
        <w:rPr>
          <w:noProof/>
        </w:rPr>
        <w:t xml:space="preserve"> across the </w:t>
      </w:r>
      <w:r w:rsidR="007002E4">
        <w:rPr>
          <w:noProof/>
        </w:rPr>
        <w:t>main</w:t>
      </w:r>
      <w:r w:rsidRPr="004E4465">
        <w:rPr>
          <w:noProof/>
        </w:rPr>
        <w:t xml:space="preserve"> scenarios at </w:t>
      </w:r>
      <w:r w:rsidR="00ED7A3D">
        <w:rPr>
          <w:noProof/>
        </w:rPr>
        <w:t>about</w:t>
      </w:r>
      <w:r w:rsidRPr="004E4465">
        <w:rPr>
          <w:noProof/>
        </w:rPr>
        <w:t xml:space="preserve"> </w:t>
      </w:r>
      <w:r w:rsidR="007002E4">
        <w:rPr>
          <w:noProof/>
        </w:rPr>
        <w:t>EUR </w:t>
      </w:r>
      <w:r w:rsidR="00837F26">
        <w:rPr>
          <w:noProof/>
        </w:rPr>
        <w:t>870</w:t>
      </w:r>
      <w:r w:rsidR="007002E4">
        <w:rPr>
          <w:noProof/>
        </w:rPr>
        <w:t> </w:t>
      </w:r>
      <w:r w:rsidRPr="004E4465">
        <w:rPr>
          <w:noProof/>
        </w:rPr>
        <w:t>billion</w:t>
      </w:r>
      <w:r w:rsidR="001E19B7" w:rsidRPr="001E19B7">
        <w:rPr>
          <w:noProof/>
        </w:rPr>
        <w:t> (</w:t>
      </w:r>
      <w:r w:rsidR="001E19B7">
        <w:rPr>
          <w:rStyle w:val="FootnoteReference"/>
          <w:noProof/>
        </w:rPr>
        <w:footnoteReference w:id="277"/>
      </w:r>
      <w:r w:rsidR="001E19B7">
        <w:rPr>
          <w:noProof/>
        </w:rPr>
        <w:t>)</w:t>
      </w:r>
      <w:r w:rsidRPr="004E4465">
        <w:rPr>
          <w:noProof/>
        </w:rPr>
        <w:t xml:space="preserve">. </w:t>
      </w:r>
      <w:r w:rsidR="00C459D4">
        <w:rPr>
          <w:noProof/>
        </w:rPr>
        <w:t>LIFE</w:t>
      </w:r>
      <w:r w:rsidR="00ED269A">
        <w:rPr>
          <w:noProof/>
        </w:rPr>
        <w:t xml:space="preserve"> </w:t>
      </w:r>
      <w:r w:rsidRPr="004E4465">
        <w:rPr>
          <w:noProof/>
        </w:rPr>
        <w:t xml:space="preserve">nevertheless </w:t>
      </w:r>
      <w:r w:rsidR="00E14465">
        <w:rPr>
          <w:noProof/>
        </w:rPr>
        <w:t xml:space="preserve">enables a </w:t>
      </w:r>
      <w:r w:rsidRPr="004E4465">
        <w:rPr>
          <w:noProof/>
        </w:rPr>
        <w:t xml:space="preserve">significant </w:t>
      </w:r>
      <w:r w:rsidR="00E14465">
        <w:rPr>
          <w:noProof/>
        </w:rPr>
        <w:t xml:space="preserve">lowering of investment needs of </w:t>
      </w:r>
      <w:r w:rsidR="00532B68">
        <w:rPr>
          <w:noProof/>
        </w:rPr>
        <w:t>about</w:t>
      </w:r>
      <w:r w:rsidR="00E14465">
        <w:rPr>
          <w:noProof/>
        </w:rPr>
        <w:t xml:space="preserve"> EUR </w:t>
      </w:r>
      <w:r w:rsidR="00532B68">
        <w:rPr>
          <w:noProof/>
        </w:rPr>
        <w:t>8</w:t>
      </w:r>
      <w:r w:rsidR="00E14465">
        <w:rPr>
          <w:noProof/>
        </w:rPr>
        <w:t>0 billion (</w:t>
      </w:r>
      <w:r w:rsidR="00532B68">
        <w:rPr>
          <w:noProof/>
        </w:rPr>
        <w:t>9</w:t>
      </w:r>
      <w:r w:rsidR="00E14465">
        <w:rPr>
          <w:noProof/>
        </w:rPr>
        <w:t>%) per annum in 2031-2050</w:t>
      </w:r>
      <w:r w:rsidR="00532B68">
        <w:rPr>
          <w:noProof/>
        </w:rPr>
        <w:t xml:space="preserve"> compared to S3</w:t>
      </w:r>
      <w:r w:rsidRPr="004E4465">
        <w:rPr>
          <w:noProof/>
        </w:rPr>
        <w:t xml:space="preserve">. While investment in public </w:t>
      </w:r>
      <w:r w:rsidR="00ED7A3D">
        <w:rPr>
          <w:noProof/>
        </w:rPr>
        <w:t xml:space="preserve">road </w:t>
      </w:r>
      <w:r w:rsidRPr="004E4465">
        <w:rPr>
          <w:noProof/>
        </w:rPr>
        <w:t xml:space="preserve">transport </w:t>
      </w:r>
      <w:r w:rsidR="00ED7A3D">
        <w:rPr>
          <w:noProof/>
        </w:rPr>
        <w:t xml:space="preserve">and </w:t>
      </w:r>
      <w:r w:rsidRPr="004E4465">
        <w:rPr>
          <w:noProof/>
        </w:rPr>
        <w:t xml:space="preserve">rail is </w:t>
      </w:r>
      <w:r w:rsidR="00ED7A3D">
        <w:rPr>
          <w:noProof/>
        </w:rPr>
        <w:t xml:space="preserve">4% </w:t>
      </w:r>
      <w:r w:rsidR="00532B68">
        <w:rPr>
          <w:noProof/>
        </w:rPr>
        <w:t>and</w:t>
      </w:r>
      <w:r w:rsidR="00ED7A3D">
        <w:rPr>
          <w:noProof/>
        </w:rPr>
        <w:t xml:space="preserve"> </w:t>
      </w:r>
      <w:r w:rsidR="00532B68">
        <w:rPr>
          <w:noProof/>
        </w:rPr>
        <w:t>6</w:t>
      </w:r>
      <w:r w:rsidR="00ED7A3D">
        <w:rPr>
          <w:noProof/>
        </w:rPr>
        <w:t>%</w:t>
      </w:r>
      <w:r w:rsidRPr="004E4465">
        <w:rPr>
          <w:noProof/>
        </w:rPr>
        <w:t xml:space="preserve"> higher</w:t>
      </w:r>
      <w:r w:rsidR="003E4E5F">
        <w:rPr>
          <w:noProof/>
        </w:rPr>
        <w:t xml:space="preserve"> </w:t>
      </w:r>
      <w:r w:rsidR="00E14465">
        <w:rPr>
          <w:noProof/>
        </w:rPr>
        <w:t xml:space="preserve">under </w:t>
      </w:r>
      <w:r w:rsidR="005C7744">
        <w:rPr>
          <w:noProof/>
        </w:rPr>
        <w:t xml:space="preserve">the </w:t>
      </w:r>
      <w:r w:rsidR="00C459D4">
        <w:rPr>
          <w:noProof/>
        </w:rPr>
        <w:t>LIFE</w:t>
      </w:r>
      <w:r w:rsidR="005C7744">
        <w:rPr>
          <w:noProof/>
        </w:rPr>
        <w:t xml:space="preserve"> setting</w:t>
      </w:r>
      <w:r w:rsidRPr="004E4465">
        <w:rPr>
          <w:noProof/>
        </w:rPr>
        <w:t xml:space="preserve">, the modal shift enables a decrease </w:t>
      </w:r>
      <w:r w:rsidR="00E14465" w:rsidRPr="004E4465">
        <w:rPr>
          <w:noProof/>
        </w:rPr>
        <w:t xml:space="preserve">in the purchase of private cars </w:t>
      </w:r>
      <w:r w:rsidRPr="004E4465">
        <w:rPr>
          <w:noProof/>
        </w:rPr>
        <w:t xml:space="preserve">of </w:t>
      </w:r>
      <w:r w:rsidR="00E14465" w:rsidRPr="004E4465">
        <w:rPr>
          <w:noProof/>
        </w:rPr>
        <w:t>nearly</w:t>
      </w:r>
      <w:r w:rsidR="00E14465">
        <w:rPr>
          <w:noProof/>
        </w:rPr>
        <w:t xml:space="preserve"> </w:t>
      </w:r>
      <w:r w:rsidR="00E14465" w:rsidRPr="004E4465">
        <w:rPr>
          <w:noProof/>
        </w:rPr>
        <w:t>EUR</w:t>
      </w:r>
      <w:r w:rsidR="00E14465">
        <w:rPr>
          <w:noProof/>
        </w:rPr>
        <w:t> 7</w:t>
      </w:r>
      <w:r w:rsidR="00E14465" w:rsidRPr="004E4465">
        <w:rPr>
          <w:noProof/>
        </w:rPr>
        <w:t>0</w:t>
      </w:r>
      <w:r w:rsidR="00E14465">
        <w:rPr>
          <w:noProof/>
        </w:rPr>
        <w:t> </w:t>
      </w:r>
      <w:r w:rsidR="00E14465" w:rsidRPr="004E4465">
        <w:rPr>
          <w:noProof/>
        </w:rPr>
        <w:t xml:space="preserve">billion </w:t>
      </w:r>
      <w:r w:rsidR="00E14465">
        <w:rPr>
          <w:noProof/>
        </w:rPr>
        <w:t>(1</w:t>
      </w:r>
      <w:r w:rsidR="00532B68">
        <w:rPr>
          <w:noProof/>
        </w:rPr>
        <w:t>3</w:t>
      </w:r>
      <w:r w:rsidR="00E14465">
        <w:rPr>
          <w:noProof/>
        </w:rPr>
        <w:t xml:space="preserve">%) </w:t>
      </w:r>
      <w:r w:rsidR="00E14465" w:rsidRPr="004E4465">
        <w:rPr>
          <w:noProof/>
        </w:rPr>
        <w:t>per annum</w:t>
      </w:r>
      <w:r w:rsidR="00E14465">
        <w:rPr>
          <w:noProof/>
        </w:rPr>
        <w:t xml:space="preserve"> in 2031-2050</w:t>
      </w:r>
      <w:r w:rsidRPr="004E4465">
        <w:rPr>
          <w:noProof/>
        </w:rPr>
        <w:t xml:space="preserve">. Similarly, changes in behavioural patterns </w:t>
      </w:r>
      <w:r w:rsidR="005C7744">
        <w:rPr>
          <w:noProof/>
        </w:rPr>
        <w:t xml:space="preserve">under LIFE </w:t>
      </w:r>
      <w:r w:rsidRPr="004E4465">
        <w:rPr>
          <w:noProof/>
        </w:rPr>
        <w:t xml:space="preserve">could reduce investment needs in aviation by </w:t>
      </w:r>
      <w:r w:rsidR="003E4E5F">
        <w:rPr>
          <w:noProof/>
        </w:rPr>
        <w:t xml:space="preserve">about </w:t>
      </w:r>
      <w:r w:rsidRPr="004E4465">
        <w:rPr>
          <w:noProof/>
        </w:rPr>
        <w:t>EUR</w:t>
      </w:r>
      <w:r w:rsidR="003E4E5F">
        <w:rPr>
          <w:noProof/>
        </w:rPr>
        <w:t> </w:t>
      </w:r>
      <w:r w:rsidR="00ED7A3D">
        <w:rPr>
          <w:noProof/>
        </w:rPr>
        <w:t>1</w:t>
      </w:r>
      <w:r w:rsidR="00837F26">
        <w:rPr>
          <w:noProof/>
        </w:rPr>
        <w:t>4</w:t>
      </w:r>
      <w:r w:rsidR="003E4E5F">
        <w:rPr>
          <w:noProof/>
        </w:rPr>
        <w:t> </w:t>
      </w:r>
      <w:r w:rsidRPr="004E4465">
        <w:rPr>
          <w:noProof/>
        </w:rPr>
        <w:t xml:space="preserve">billion </w:t>
      </w:r>
      <w:r w:rsidR="00E14465">
        <w:rPr>
          <w:noProof/>
        </w:rPr>
        <w:t xml:space="preserve">(23%) </w:t>
      </w:r>
      <w:r w:rsidRPr="004E4465">
        <w:rPr>
          <w:noProof/>
        </w:rPr>
        <w:t>annually</w:t>
      </w:r>
      <w:r w:rsidR="00552BEB">
        <w:rPr>
          <w:noProof/>
        </w:rPr>
        <w:t xml:space="preserve"> </w:t>
      </w:r>
      <w:r w:rsidR="00532B68">
        <w:rPr>
          <w:noProof/>
        </w:rPr>
        <w:t xml:space="preserve">compared to S3 </w:t>
      </w:r>
      <w:r w:rsidR="00552BEB">
        <w:rPr>
          <w:noProof/>
        </w:rPr>
        <w:t>(</w:t>
      </w:r>
      <w:r w:rsidR="00552BEB" w:rsidRPr="006166AB">
        <w:rPr>
          <w:noProof/>
        </w:rPr>
        <w:fldChar w:fldCharType="begin"/>
      </w:r>
      <w:r w:rsidR="00552BEB" w:rsidRPr="00177FA7">
        <w:rPr>
          <w:noProof/>
          <w:highlight w:val="yellow"/>
        </w:rPr>
        <w:instrText xml:space="preserve"> REF _Ref140739335 \h </w:instrText>
      </w:r>
      <w:r w:rsidR="00177FA7">
        <w:rPr>
          <w:noProof/>
          <w:highlight w:val="yellow"/>
        </w:rPr>
        <w:instrText xml:space="preserve"> \* MERGEFORMAT </w:instrText>
      </w:r>
      <w:r w:rsidR="00552BEB" w:rsidRPr="006166AB">
        <w:rPr>
          <w:noProof/>
        </w:rPr>
      </w:r>
      <w:r w:rsidR="00552BEB" w:rsidRPr="006166AB">
        <w:rPr>
          <w:noProof/>
        </w:rPr>
        <w:fldChar w:fldCharType="separate"/>
      </w:r>
      <w:r w:rsidR="00170A3C" w:rsidRPr="00C57BBB">
        <w:rPr>
          <w:noProof/>
        </w:rPr>
        <w:t xml:space="preserve">Table </w:t>
      </w:r>
      <w:r w:rsidR="00170A3C">
        <w:rPr>
          <w:noProof/>
        </w:rPr>
        <w:t>30</w:t>
      </w:r>
      <w:r w:rsidR="00552BEB" w:rsidRPr="006166AB">
        <w:rPr>
          <w:noProof/>
        </w:rPr>
        <w:fldChar w:fldCharType="end"/>
      </w:r>
      <w:r w:rsidR="00552BEB">
        <w:rPr>
          <w:noProof/>
        </w:rPr>
        <w:t>)</w:t>
      </w:r>
      <w:r w:rsidRPr="004E4465">
        <w:rPr>
          <w:noProof/>
        </w:rPr>
        <w:t>.</w:t>
      </w:r>
    </w:p>
    <w:p w14:paraId="15457AE2" w14:textId="5F1CCA5F" w:rsidR="00B129DB" w:rsidRDefault="00654FB1" w:rsidP="00291B26">
      <w:pPr>
        <w:rPr>
          <w:noProof/>
        </w:rPr>
      </w:pPr>
      <w:r>
        <w:rPr>
          <w:noProof/>
        </w:rPr>
        <w:t>The acquisition of private cars</w:t>
      </w:r>
      <w:r w:rsidR="00072359">
        <w:rPr>
          <w:noProof/>
        </w:rPr>
        <w:t xml:space="preserve"> represents the bulk of the </w:t>
      </w:r>
      <w:r w:rsidR="00E230AD">
        <w:rPr>
          <w:noProof/>
        </w:rPr>
        <w:t>investment needs in transport</w:t>
      </w:r>
      <w:r w:rsidR="00490548">
        <w:rPr>
          <w:noProof/>
        </w:rPr>
        <w:t xml:space="preserve">, accounting for </w:t>
      </w:r>
      <w:r w:rsidR="003E4E5F">
        <w:rPr>
          <w:noProof/>
        </w:rPr>
        <w:t>around</w:t>
      </w:r>
      <w:r w:rsidR="005052BD">
        <w:rPr>
          <w:noProof/>
        </w:rPr>
        <w:t xml:space="preserve"> 60% of the total</w:t>
      </w:r>
      <w:r w:rsidR="00C21D18" w:rsidRPr="00C21D18">
        <w:rPr>
          <w:noProof/>
        </w:rPr>
        <w:t xml:space="preserve"> over 2031-2050</w:t>
      </w:r>
      <w:r w:rsidR="005052BD">
        <w:rPr>
          <w:noProof/>
        </w:rPr>
        <w:t>.</w:t>
      </w:r>
      <w:r w:rsidR="00263052">
        <w:rPr>
          <w:noProof/>
        </w:rPr>
        <w:t xml:space="preserve"> This is also the case in histor</w:t>
      </w:r>
      <w:r w:rsidR="00C72CFF">
        <w:rPr>
          <w:noProof/>
        </w:rPr>
        <w:t>ical terms</w:t>
      </w:r>
      <w:r w:rsidR="003570E6">
        <w:rPr>
          <w:noProof/>
        </w:rPr>
        <w:t>, as the share was 6</w:t>
      </w:r>
      <w:r w:rsidR="00ED7A3D">
        <w:rPr>
          <w:noProof/>
        </w:rPr>
        <w:t>5</w:t>
      </w:r>
      <w:r w:rsidR="003570E6">
        <w:rPr>
          <w:noProof/>
        </w:rPr>
        <w:t>% in 2011-2020.</w:t>
      </w:r>
      <w:r w:rsidR="00050B38">
        <w:rPr>
          <w:noProof/>
        </w:rPr>
        <w:t xml:space="preserve"> </w:t>
      </w:r>
      <w:r w:rsidR="003E4E5F">
        <w:rPr>
          <w:noProof/>
        </w:rPr>
        <w:t>A</w:t>
      </w:r>
      <w:r w:rsidR="00050B38">
        <w:rPr>
          <w:noProof/>
        </w:rPr>
        <w:t xml:space="preserve">verage annual investment </w:t>
      </w:r>
      <w:r w:rsidR="006D2821">
        <w:rPr>
          <w:noProof/>
        </w:rPr>
        <w:t xml:space="preserve">in the acquisition of </w:t>
      </w:r>
      <w:r w:rsidR="00C44FE3">
        <w:rPr>
          <w:noProof/>
        </w:rPr>
        <w:t>private cars</w:t>
      </w:r>
      <w:r w:rsidR="006D2821">
        <w:rPr>
          <w:noProof/>
        </w:rPr>
        <w:t xml:space="preserve"> in 2031-2050 </w:t>
      </w:r>
      <w:r w:rsidR="00101E63">
        <w:rPr>
          <w:noProof/>
        </w:rPr>
        <w:t>amounts to about</w:t>
      </w:r>
      <w:r w:rsidR="006D2821">
        <w:rPr>
          <w:noProof/>
        </w:rPr>
        <w:t xml:space="preserve"> </w:t>
      </w:r>
      <w:r w:rsidR="00C95FAC">
        <w:rPr>
          <w:noProof/>
        </w:rPr>
        <w:t>EUR</w:t>
      </w:r>
      <w:r w:rsidR="003E4E5F">
        <w:rPr>
          <w:noProof/>
        </w:rPr>
        <w:t> </w:t>
      </w:r>
      <w:r w:rsidR="00837F26">
        <w:rPr>
          <w:noProof/>
        </w:rPr>
        <w:t>510</w:t>
      </w:r>
      <w:r w:rsidR="00330D9E">
        <w:rPr>
          <w:noProof/>
        </w:rPr>
        <w:t> billion</w:t>
      </w:r>
      <w:r w:rsidR="00C95FAC">
        <w:rPr>
          <w:noProof/>
        </w:rPr>
        <w:t xml:space="preserve"> </w:t>
      </w:r>
      <w:r w:rsidR="00101E63">
        <w:rPr>
          <w:noProof/>
        </w:rPr>
        <w:t>across scenarios</w:t>
      </w:r>
      <w:r w:rsidR="00CF29D8">
        <w:rPr>
          <w:noProof/>
        </w:rPr>
        <w:t xml:space="preserve">, which is </w:t>
      </w:r>
      <w:r w:rsidR="003E4E5F">
        <w:rPr>
          <w:noProof/>
        </w:rPr>
        <w:t>almost</w:t>
      </w:r>
      <w:r w:rsidR="00206BF5">
        <w:rPr>
          <w:noProof/>
        </w:rPr>
        <w:t xml:space="preserve"> 30</w:t>
      </w:r>
      <w:r w:rsidR="00C02E89">
        <w:rPr>
          <w:noProof/>
        </w:rPr>
        <w:t>% higher than on average in 2011-2020</w:t>
      </w:r>
      <w:r w:rsidR="005A6DE8">
        <w:rPr>
          <w:noProof/>
        </w:rPr>
        <w:t xml:space="preserve"> (</w:t>
      </w:r>
      <w:r w:rsidR="004B0210" w:rsidRPr="006166AB">
        <w:rPr>
          <w:noProof/>
          <w:color w:val="2B579A"/>
          <w:shd w:val="clear" w:color="auto" w:fill="E6E6E6"/>
        </w:rPr>
        <w:fldChar w:fldCharType="begin"/>
      </w:r>
      <w:r w:rsidR="004B0210" w:rsidRPr="00177FA7">
        <w:rPr>
          <w:noProof/>
          <w:highlight w:val="yellow"/>
        </w:rPr>
        <w:instrText xml:space="preserve"> REF _Ref146099592 \h </w:instrText>
      </w:r>
      <w:r w:rsidR="00177FA7">
        <w:rPr>
          <w:noProof/>
          <w:color w:val="2B579A"/>
          <w:highlight w:val="yellow"/>
          <w:shd w:val="clear" w:color="auto" w:fill="E6E6E6"/>
        </w:rPr>
        <w:instrText xml:space="preserve"> \* MERGEFORMAT </w:instrText>
      </w:r>
      <w:r w:rsidR="004B0210" w:rsidRPr="006166AB">
        <w:rPr>
          <w:noProof/>
          <w:color w:val="2B579A"/>
          <w:shd w:val="clear" w:color="auto" w:fill="E6E6E6"/>
        </w:rPr>
      </w:r>
      <w:r w:rsidR="004B0210" w:rsidRPr="006166AB">
        <w:rPr>
          <w:noProof/>
          <w:color w:val="2B579A"/>
          <w:shd w:val="clear" w:color="auto" w:fill="E6E6E6"/>
        </w:rPr>
        <w:fldChar w:fldCharType="separate"/>
      </w:r>
      <w:r w:rsidR="00170A3C">
        <w:rPr>
          <w:noProof/>
        </w:rPr>
        <w:t>Figure 110</w:t>
      </w:r>
      <w:r w:rsidR="004B0210" w:rsidRPr="006166AB">
        <w:rPr>
          <w:noProof/>
          <w:color w:val="2B579A"/>
          <w:shd w:val="clear" w:color="auto" w:fill="E6E6E6"/>
        </w:rPr>
        <w:fldChar w:fldCharType="end"/>
      </w:r>
      <w:r w:rsidR="005A6DE8">
        <w:rPr>
          <w:noProof/>
        </w:rPr>
        <w:t>)</w:t>
      </w:r>
      <w:r w:rsidR="00C02E89">
        <w:rPr>
          <w:noProof/>
        </w:rPr>
        <w:t>.</w:t>
      </w:r>
    </w:p>
    <w:p w14:paraId="3724A940" w14:textId="757105EE" w:rsidR="00043139" w:rsidRDefault="00376C75" w:rsidP="00291B26">
      <w:pPr>
        <w:rPr>
          <w:noProof/>
        </w:rPr>
      </w:pPr>
      <w:r>
        <w:rPr>
          <w:noProof/>
        </w:rPr>
        <w:t xml:space="preserve">This increase reflects two factors. </w:t>
      </w:r>
      <w:r w:rsidR="00043139">
        <w:rPr>
          <w:noProof/>
        </w:rPr>
        <w:t xml:space="preserve">An increase of </w:t>
      </w:r>
      <w:r w:rsidR="00F47445">
        <w:rPr>
          <w:noProof/>
        </w:rPr>
        <w:t xml:space="preserve">around </w:t>
      </w:r>
      <w:r w:rsidR="001C3E46">
        <w:rPr>
          <w:noProof/>
        </w:rPr>
        <w:t>1</w:t>
      </w:r>
      <w:r w:rsidR="007834C6">
        <w:rPr>
          <w:noProof/>
        </w:rPr>
        <w:t>8</w:t>
      </w:r>
      <w:r w:rsidR="001C3E46">
        <w:rPr>
          <w:noProof/>
        </w:rPr>
        <w:t xml:space="preserve">% in the number of new private cars </w:t>
      </w:r>
      <w:r w:rsidR="00E369C7">
        <w:rPr>
          <w:noProof/>
        </w:rPr>
        <w:t xml:space="preserve">purchased annually </w:t>
      </w:r>
      <w:r w:rsidR="001C3E46">
        <w:rPr>
          <w:noProof/>
        </w:rPr>
        <w:t xml:space="preserve">is projected between </w:t>
      </w:r>
      <w:r w:rsidR="00E369C7">
        <w:rPr>
          <w:noProof/>
        </w:rPr>
        <w:t>2011-2020 and 2031-2050</w:t>
      </w:r>
      <w:r w:rsidR="005A6353">
        <w:rPr>
          <w:noProof/>
        </w:rPr>
        <w:t xml:space="preserve"> under the three main scenarios</w:t>
      </w:r>
      <w:r w:rsidR="00E14465">
        <w:rPr>
          <w:noProof/>
        </w:rPr>
        <w:t>. LIFE enables this</w:t>
      </w:r>
      <w:r w:rsidR="005A6353">
        <w:rPr>
          <w:noProof/>
        </w:rPr>
        <w:t xml:space="preserve"> increase </w:t>
      </w:r>
      <w:r w:rsidR="00E14465">
        <w:rPr>
          <w:noProof/>
        </w:rPr>
        <w:t xml:space="preserve">to be limited to </w:t>
      </w:r>
      <w:r w:rsidR="005A6353">
        <w:rPr>
          <w:noProof/>
        </w:rPr>
        <w:t xml:space="preserve">only </w:t>
      </w:r>
      <w:r w:rsidR="00F84ACF">
        <w:rPr>
          <w:noProof/>
        </w:rPr>
        <w:t>2</w:t>
      </w:r>
      <w:r w:rsidR="005A6353">
        <w:rPr>
          <w:noProof/>
        </w:rPr>
        <w:t>%</w:t>
      </w:r>
      <w:r w:rsidR="00E369C7">
        <w:rPr>
          <w:noProof/>
        </w:rPr>
        <w:t>.</w:t>
      </w:r>
      <w:r w:rsidR="00036FF6">
        <w:rPr>
          <w:noProof/>
        </w:rPr>
        <w:t xml:space="preserve"> As</w:t>
      </w:r>
      <w:r w:rsidR="00DB282D">
        <w:rPr>
          <w:noProof/>
        </w:rPr>
        <w:t xml:space="preserve"> electric vehicles are deployed, it is also projected that the </w:t>
      </w:r>
      <w:r w:rsidR="009B443A">
        <w:rPr>
          <w:noProof/>
        </w:rPr>
        <w:t xml:space="preserve">average </w:t>
      </w:r>
      <w:r w:rsidR="00DB282D">
        <w:rPr>
          <w:noProof/>
        </w:rPr>
        <w:t xml:space="preserve">purchasing cost of vehicles </w:t>
      </w:r>
      <w:r w:rsidR="00F540E9">
        <w:rPr>
          <w:noProof/>
        </w:rPr>
        <w:t xml:space="preserve">will </w:t>
      </w:r>
      <w:r w:rsidR="00DB282D">
        <w:rPr>
          <w:noProof/>
        </w:rPr>
        <w:t xml:space="preserve">increase during the </w:t>
      </w:r>
      <w:r w:rsidR="009B443A">
        <w:rPr>
          <w:noProof/>
        </w:rPr>
        <w:t xml:space="preserve">transition. The increase is </w:t>
      </w:r>
      <w:r w:rsidR="00193561">
        <w:rPr>
          <w:noProof/>
        </w:rPr>
        <w:t xml:space="preserve">expected to take place mainly </w:t>
      </w:r>
      <w:r w:rsidR="006E6C83">
        <w:rPr>
          <w:noProof/>
        </w:rPr>
        <w:t xml:space="preserve">during 2031-2040, before tapering off in the last decade to 2050 as </w:t>
      </w:r>
      <w:r w:rsidR="003E31F2">
        <w:rPr>
          <w:noProof/>
        </w:rPr>
        <w:t xml:space="preserve">the cost of electric vehicles decreases. Over the entire 2031-2050 period, the average purchasing cost of vehicles is expected to be only </w:t>
      </w:r>
      <w:r w:rsidR="00B7497A">
        <w:rPr>
          <w:noProof/>
        </w:rPr>
        <w:t xml:space="preserve">around 10% higher than in 2011-2020. In addition, it must be noted that the </w:t>
      </w:r>
      <w:r w:rsidR="00A67F34">
        <w:rPr>
          <w:noProof/>
        </w:rPr>
        <w:t>maintenance and operating costs of electric vehicles, which will become domin</w:t>
      </w:r>
      <w:r w:rsidR="006822B2">
        <w:rPr>
          <w:noProof/>
        </w:rPr>
        <w:t>ant under all pathways, is significantly lower than internal combustion engine cars</w:t>
      </w:r>
      <w:r w:rsidR="007B4FD1">
        <w:rPr>
          <w:noProof/>
        </w:rPr>
        <w:t>, which would generate net benefits to users</w:t>
      </w:r>
      <w:r w:rsidR="00315118">
        <w:rPr>
          <w:noProof/>
        </w:rPr>
        <w:t>, i.e.</w:t>
      </w:r>
      <w:r w:rsidR="00046749">
        <w:rPr>
          <w:noProof/>
        </w:rPr>
        <w:t>,</w:t>
      </w:r>
      <w:r w:rsidR="00315118">
        <w:rPr>
          <w:noProof/>
        </w:rPr>
        <w:t xml:space="preserve"> mainly households</w:t>
      </w:r>
      <w:r w:rsidR="007B4FD1" w:rsidRPr="007B4FD1">
        <w:rPr>
          <w:noProof/>
        </w:rPr>
        <w:t> (</w:t>
      </w:r>
      <w:r w:rsidR="007B4FD1">
        <w:rPr>
          <w:rStyle w:val="FootnoteReference"/>
          <w:noProof/>
        </w:rPr>
        <w:footnoteReference w:id="278"/>
      </w:r>
      <w:r w:rsidR="007B4FD1">
        <w:rPr>
          <w:noProof/>
        </w:rPr>
        <w:t>).</w:t>
      </w:r>
    </w:p>
    <w:p w14:paraId="1C3582FD" w14:textId="7CFEBEBC" w:rsidR="00B129DB" w:rsidRDefault="00B129DB" w:rsidP="004B0210">
      <w:pPr>
        <w:pStyle w:val="Caption"/>
        <w:rPr>
          <w:noProof/>
        </w:rPr>
      </w:pPr>
      <w:bookmarkStart w:id="666" w:name="_Ref138259859"/>
      <w:bookmarkStart w:id="667" w:name="_Ref140739282"/>
      <w:bookmarkStart w:id="668" w:name="_Ref146099592"/>
      <w:bookmarkStart w:id="669" w:name="_Toc157679858"/>
      <w:r>
        <w:rPr>
          <w:noProof/>
        </w:rPr>
        <w:t>Figure</w:t>
      </w:r>
      <w:bookmarkEnd w:id="666"/>
      <w:r>
        <w:rPr>
          <w:noProof/>
        </w:rPr>
        <w:t xml:space="preserve"> </w:t>
      </w:r>
      <w:bookmarkEnd w:id="667"/>
      <w:r w:rsidR="00F2742D">
        <w:rPr>
          <w:noProof/>
        </w:rPr>
        <w:fldChar w:fldCharType="begin"/>
      </w:r>
      <w:r w:rsidR="00F2742D">
        <w:rPr>
          <w:noProof/>
        </w:rPr>
        <w:instrText xml:space="preserve"> SEQ Figure \* ARABIC </w:instrText>
      </w:r>
      <w:r w:rsidR="00F2742D">
        <w:rPr>
          <w:noProof/>
        </w:rPr>
        <w:fldChar w:fldCharType="separate"/>
      </w:r>
      <w:r w:rsidR="00170A3C">
        <w:rPr>
          <w:noProof/>
        </w:rPr>
        <w:t>110</w:t>
      </w:r>
      <w:r w:rsidR="00F2742D">
        <w:rPr>
          <w:noProof/>
        </w:rPr>
        <w:fldChar w:fldCharType="end"/>
      </w:r>
      <w:bookmarkEnd w:id="668"/>
      <w:r>
        <w:rPr>
          <w:noProof/>
        </w:rPr>
        <w:t xml:space="preserve">: </w:t>
      </w:r>
      <w:r w:rsidR="004B0210">
        <w:rPr>
          <w:noProof/>
        </w:rPr>
        <w:t>A</w:t>
      </w:r>
      <w:r>
        <w:rPr>
          <w:noProof/>
        </w:rPr>
        <w:t>verage annual investment needs in transport</w:t>
      </w:r>
      <w:bookmarkEnd w:id="669"/>
    </w:p>
    <w:p w14:paraId="7952DB97" w14:textId="4A142F87" w:rsidR="006559B2" w:rsidRDefault="00BB089A" w:rsidP="004B0210">
      <w:pPr>
        <w:keepNext/>
        <w:spacing w:after="0"/>
        <w:jc w:val="center"/>
        <w:rPr>
          <w:rFonts w:ascii="Cambria Math" w:hAnsi="Cambria Math"/>
          <w:i/>
          <w:noProof/>
          <w:sz w:val="22"/>
          <w:szCs w:val="22"/>
        </w:rPr>
      </w:pPr>
      <w:r w:rsidRPr="00BB089A">
        <w:rPr>
          <w:noProof/>
          <w:lang w:eastAsia="en-GB"/>
        </w:rPr>
        <w:drawing>
          <wp:inline distT="0" distB="0" distL="0" distR="0" wp14:anchorId="669B13AC" wp14:editId="398A88EF">
            <wp:extent cx="5391150" cy="2523490"/>
            <wp:effectExtent l="0" t="0" r="0" b="0"/>
            <wp:docPr id="1506651249" name="Picture 150665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5391150" cy="2523490"/>
                    </a:xfrm>
                    <a:prstGeom prst="rect">
                      <a:avLst/>
                    </a:prstGeom>
                    <a:noFill/>
                    <a:ln>
                      <a:noFill/>
                    </a:ln>
                  </pic:spPr>
                </pic:pic>
              </a:graphicData>
            </a:graphic>
          </wp:inline>
        </w:drawing>
      </w:r>
    </w:p>
    <w:p w14:paraId="5AEC9CE8" w14:textId="7F7141B8" w:rsidR="00272F1C" w:rsidRPr="00F60C11" w:rsidRDefault="00272F1C" w:rsidP="008640DF">
      <w:pPr>
        <w:pStyle w:val="CT-SOURCE"/>
        <w:rPr>
          <w:i w:val="0"/>
          <w:noProof/>
        </w:rPr>
      </w:pPr>
      <w:r w:rsidRPr="00272F1C">
        <w:rPr>
          <w:noProof/>
        </w:rPr>
        <w:t>Source: PRIM</w:t>
      </w:r>
      <w:r w:rsidRPr="00F60C11">
        <w:rPr>
          <w:i w:val="0"/>
          <w:noProof/>
        </w:rPr>
        <w:t>ES.</w:t>
      </w:r>
    </w:p>
    <w:p w14:paraId="5A37296A" w14:textId="00473400" w:rsidR="00B129DB" w:rsidRDefault="00F91213" w:rsidP="00291B26">
      <w:pPr>
        <w:rPr>
          <w:noProof/>
        </w:rPr>
      </w:pPr>
      <w:r>
        <w:rPr>
          <w:noProof/>
        </w:rPr>
        <w:t xml:space="preserve">While timely investment in recharging </w:t>
      </w:r>
      <w:r w:rsidR="00280B79">
        <w:rPr>
          <w:noProof/>
        </w:rPr>
        <w:t xml:space="preserve">and refuelling infrastructure is critical for the transition to </w:t>
      </w:r>
      <w:r w:rsidR="00A452A7">
        <w:rPr>
          <w:noProof/>
        </w:rPr>
        <w:t xml:space="preserve">vehicles with zero tailpipe emissions, total investment in alternative </w:t>
      </w:r>
      <w:r w:rsidR="005F4E54">
        <w:rPr>
          <w:noProof/>
        </w:rPr>
        <w:t xml:space="preserve">fuelling infrastructure is relatively small from </w:t>
      </w:r>
      <w:r w:rsidR="003574AE">
        <w:rPr>
          <w:noProof/>
        </w:rPr>
        <w:t xml:space="preserve">the perspective of overall investment needs. The </w:t>
      </w:r>
      <w:r w:rsidR="001D19FB">
        <w:rPr>
          <w:noProof/>
        </w:rPr>
        <w:t xml:space="preserve">needs are virtually the same across </w:t>
      </w:r>
      <w:r w:rsidR="00ED5A24">
        <w:rPr>
          <w:noProof/>
        </w:rPr>
        <w:t>scenarios</w:t>
      </w:r>
      <w:r w:rsidR="00902F4F">
        <w:rPr>
          <w:noProof/>
        </w:rPr>
        <w:t xml:space="preserve">, with an average annual investment of around </w:t>
      </w:r>
      <w:r w:rsidR="000C3712">
        <w:rPr>
          <w:noProof/>
        </w:rPr>
        <w:t>EUR 1</w:t>
      </w:r>
      <w:r w:rsidR="00837F26">
        <w:rPr>
          <w:noProof/>
        </w:rPr>
        <w:t>5</w:t>
      </w:r>
      <w:r w:rsidR="000C3712">
        <w:rPr>
          <w:noProof/>
        </w:rPr>
        <w:t xml:space="preserve"> billion </w:t>
      </w:r>
      <w:r w:rsidR="00C555C7">
        <w:rPr>
          <w:noProof/>
        </w:rPr>
        <w:t xml:space="preserve">(1.7% of total investment needs in transport) </w:t>
      </w:r>
      <w:r w:rsidR="000C3712">
        <w:rPr>
          <w:noProof/>
        </w:rPr>
        <w:t xml:space="preserve">in 2031-2050, and in terms of </w:t>
      </w:r>
      <w:r w:rsidR="0091385C">
        <w:rPr>
          <w:noProof/>
        </w:rPr>
        <w:t xml:space="preserve">timing. The phasing in of </w:t>
      </w:r>
      <w:r w:rsidR="00D16FE3">
        <w:rPr>
          <w:noProof/>
        </w:rPr>
        <w:t xml:space="preserve">zero tailpipe emission vehicles and the </w:t>
      </w:r>
      <w:r w:rsidR="00E059DA">
        <w:rPr>
          <w:noProof/>
        </w:rPr>
        <w:t xml:space="preserve">EU-wide </w:t>
      </w:r>
      <w:r w:rsidR="00D16FE3">
        <w:rPr>
          <w:noProof/>
        </w:rPr>
        <w:t xml:space="preserve">ban </w:t>
      </w:r>
      <w:r w:rsidR="00E059DA">
        <w:rPr>
          <w:noProof/>
        </w:rPr>
        <w:t xml:space="preserve">on </w:t>
      </w:r>
      <w:r w:rsidR="000E49A8">
        <w:rPr>
          <w:noProof/>
        </w:rPr>
        <w:t xml:space="preserve">the sale of </w:t>
      </w:r>
      <w:r w:rsidR="00E059DA">
        <w:rPr>
          <w:noProof/>
        </w:rPr>
        <w:t xml:space="preserve">other </w:t>
      </w:r>
      <w:r w:rsidR="000E49A8">
        <w:rPr>
          <w:noProof/>
        </w:rPr>
        <w:t xml:space="preserve">types of light-duty vehicles </w:t>
      </w:r>
      <w:r w:rsidR="006420ED">
        <w:rPr>
          <w:noProof/>
        </w:rPr>
        <w:t>as of</w:t>
      </w:r>
      <w:r w:rsidR="000E49A8">
        <w:rPr>
          <w:noProof/>
        </w:rPr>
        <w:t xml:space="preserve"> </w:t>
      </w:r>
      <w:r w:rsidR="006420ED">
        <w:rPr>
          <w:noProof/>
        </w:rPr>
        <w:t>2035 implies a</w:t>
      </w:r>
      <w:r w:rsidR="007C3A7A">
        <w:rPr>
          <w:noProof/>
        </w:rPr>
        <w:t xml:space="preserve"> peak in </w:t>
      </w:r>
      <w:r w:rsidR="00ED5A24">
        <w:rPr>
          <w:noProof/>
        </w:rPr>
        <w:t xml:space="preserve">annual </w:t>
      </w:r>
      <w:r w:rsidR="007C3A7A">
        <w:rPr>
          <w:noProof/>
        </w:rPr>
        <w:t xml:space="preserve">investment in recharging and refuelling infrastructure </w:t>
      </w:r>
      <w:r w:rsidR="007D1EB6">
        <w:rPr>
          <w:noProof/>
        </w:rPr>
        <w:t xml:space="preserve">of around </w:t>
      </w:r>
      <w:r w:rsidR="00783CF4">
        <w:rPr>
          <w:noProof/>
        </w:rPr>
        <w:t>EUR </w:t>
      </w:r>
      <w:r w:rsidR="00837F26">
        <w:rPr>
          <w:noProof/>
        </w:rPr>
        <w:t>20</w:t>
      </w:r>
      <w:r w:rsidR="00783CF4">
        <w:rPr>
          <w:noProof/>
        </w:rPr>
        <w:t> billion in 2036-2040</w:t>
      </w:r>
      <w:r w:rsidR="00AF2F3C">
        <w:rPr>
          <w:noProof/>
        </w:rPr>
        <w:t xml:space="preserve"> before tapering off somewhat.</w:t>
      </w:r>
    </w:p>
    <w:p w14:paraId="6FD32276" w14:textId="2F9E8475" w:rsidR="005A6353" w:rsidRDefault="00920C19" w:rsidP="00291B26">
      <w:pPr>
        <w:rPr>
          <w:noProof/>
        </w:rPr>
      </w:pPr>
      <w:r>
        <w:rPr>
          <w:noProof/>
        </w:rPr>
        <w:t xml:space="preserve">The second large component of investment in road transport </w:t>
      </w:r>
      <w:r w:rsidR="003F00DA">
        <w:rPr>
          <w:noProof/>
        </w:rPr>
        <w:t>relate</w:t>
      </w:r>
      <w:r w:rsidR="00B262E0">
        <w:rPr>
          <w:noProof/>
        </w:rPr>
        <w:t>s</w:t>
      </w:r>
      <w:r w:rsidR="003F00DA">
        <w:rPr>
          <w:noProof/>
        </w:rPr>
        <w:t xml:space="preserve"> to truck</w:t>
      </w:r>
      <w:r w:rsidR="00315440">
        <w:rPr>
          <w:noProof/>
        </w:rPr>
        <w:t>s</w:t>
      </w:r>
      <w:r w:rsidR="003F00DA">
        <w:rPr>
          <w:noProof/>
        </w:rPr>
        <w:t xml:space="preserve">, </w:t>
      </w:r>
      <w:r w:rsidR="00D46EF4">
        <w:rPr>
          <w:noProof/>
        </w:rPr>
        <w:t>for which</w:t>
      </w:r>
      <w:r w:rsidR="003F00DA">
        <w:rPr>
          <w:noProof/>
        </w:rPr>
        <w:t xml:space="preserve"> </w:t>
      </w:r>
      <w:r w:rsidR="00575F8C">
        <w:rPr>
          <w:noProof/>
        </w:rPr>
        <w:t xml:space="preserve">average annual </w:t>
      </w:r>
      <w:r w:rsidR="003F00DA">
        <w:rPr>
          <w:noProof/>
        </w:rPr>
        <w:t xml:space="preserve">investment </w:t>
      </w:r>
      <w:r w:rsidR="001B7702">
        <w:rPr>
          <w:noProof/>
        </w:rPr>
        <w:t xml:space="preserve">is projected to </w:t>
      </w:r>
      <w:r w:rsidR="00ED5A24">
        <w:rPr>
          <w:noProof/>
        </w:rPr>
        <w:t>increase by around 60%</w:t>
      </w:r>
      <w:r w:rsidR="00C1691E">
        <w:rPr>
          <w:noProof/>
        </w:rPr>
        <w:t xml:space="preserve"> compared to the average </w:t>
      </w:r>
      <w:r w:rsidR="008D6106">
        <w:rPr>
          <w:noProof/>
        </w:rPr>
        <w:t>in 2011-2020</w:t>
      </w:r>
      <w:r w:rsidR="006B0088">
        <w:rPr>
          <w:noProof/>
        </w:rPr>
        <w:t xml:space="preserve"> (</w:t>
      </w:r>
      <w:r w:rsidR="004B0210" w:rsidRPr="006166AB">
        <w:rPr>
          <w:noProof/>
        </w:rPr>
        <w:fldChar w:fldCharType="begin"/>
      </w:r>
      <w:r w:rsidR="004B0210" w:rsidRPr="00177FA7">
        <w:rPr>
          <w:noProof/>
          <w:highlight w:val="yellow"/>
        </w:rPr>
        <w:instrText xml:space="preserve"> REF _Ref140739335 \h </w:instrText>
      </w:r>
      <w:r w:rsidR="00177FA7">
        <w:rPr>
          <w:noProof/>
          <w:highlight w:val="yellow"/>
        </w:rPr>
        <w:instrText xml:space="preserve"> \* MERGEFORMAT </w:instrText>
      </w:r>
      <w:r w:rsidR="004B0210" w:rsidRPr="006166AB">
        <w:rPr>
          <w:noProof/>
        </w:rPr>
      </w:r>
      <w:r w:rsidR="004B0210" w:rsidRPr="006166AB">
        <w:rPr>
          <w:noProof/>
        </w:rPr>
        <w:fldChar w:fldCharType="separate"/>
      </w:r>
      <w:r w:rsidR="00170A3C" w:rsidRPr="00C57BBB">
        <w:rPr>
          <w:noProof/>
        </w:rPr>
        <w:t xml:space="preserve">Table </w:t>
      </w:r>
      <w:r w:rsidR="00170A3C">
        <w:rPr>
          <w:noProof/>
        </w:rPr>
        <w:t>30</w:t>
      </w:r>
      <w:r w:rsidR="004B0210" w:rsidRPr="006166AB">
        <w:rPr>
          <w:noProof/>
        </w:rPr>
        <w:fldChar w:fldCharType="end"/>
      </w:r>
      <w:r w:rsidR="006B0088">
        <w:rPr>
          <w:noProof/>
        </w:rPr>
        <w:t>)</w:t>
      </w:r>
      <w:r w:rsidR="00C1691E">
        <w:rPr>
          <w:noProof/>
        </w:rPr>
        <w:t xml:space="preserve">. </w:t>
      </w:r>
      <w:r w:rsidR="008D6106">
        <w:rPr>
          <w:noProof/>
        </w:rPr>
        <w:t>Investment</w:t>
      </w:r>
      <w:r w:rsidR="00C1691E">
        <w:rPr>
          <w:noProof/>
        </w:rPr>
        <w:t xml:space="preserve"> needs </w:t>
      </w:r>
      <w:r w:rsidR="008D6106">
        <w:rPr>
          <w:noProof/>
        </w:rPr>
        <w:t>a</w:t>
      </w:r>
      <w:r w:rsidR="00ED29E0">
        <w:rPr>
          <w:noProof/>
        </w:rPr>
        <w:t>re</w:t>
      </w:r>
      <w:r w:rsidR="008D6106">
        <w:rPr>
          <w:noProof/>
        </w:rPr>
        <w:t xml:space="preserve"> broadly similar across scenarios</w:t>
      </w:r>
      <w:r w:rsidR="00C1691E">
        <w:rPr>
          <w:noProof/>
        </w:rPr>
        <w:t>.</w:t>
      </w:r>
      <w:r w:rsidR="00C11F22">
        <w:rPr>
          <w:noProof/>
        </w:rPr>
        <w:t xml:space="preserve"> As far as public road transport is concerned </w:t>
      </w:r>
      <w:r w:rsidR="000E04C9">
        <w:rPr>
          <w:noProof/>
        </w:rPr>
        <w:t xml:space="preserve">the investment needs are relatively </w:t>
      </w:r>
      <w:r w:rsidR="00850735">
        <w:rPr>
          <w:noProof/>
        </w:rPr>
        <w:t>small and do not vary much across scenarios</w:t>
      </w:r>
      <w:r w:rsidR="005A6353">
        <w:rPr>
          <w:noProof/>
        </w:rPr>
        <w:t>, with the exception of the</w:t>
      </w:r>
      <w:r w:rsidR="00E14465">
        <w:rPr>
          <w:noProof/>
        </w:rPr>
        <w:t xml:space="preserve"> </w:t>
      </w:r>
      <w:r w:rsidR="005A6353">
        <w:rPr>
          <w:noProof/>
        </w:rPr>
        <w:t>LIFE</w:t>
      </w:r>
      <w:r w:rsidR="00E14465">
        <w:rPr>
          <w:noProof/>
        </w:rPr>
        <w:t xml:space="preserve"> setting and its associated </w:t>
      </w:r>
      <w:r w:rsidR="005A6353">
        <w:rPr>
          <w:noProof/>
        </w:rPr>
        <w:t>modal shift towards public transport entails an increase in investment in the sector.</w:t>
      </w:r>
    </w:p>
    <w:p w14:paraId="67B9A0D1" w14:textId="76CADD0F" w:rsidR="00ED5A24" w:rsidRDefault="00ED5A24" w:rsidP="00291B26">
      <w:pPr>
        <w:rPr>
          <w:noProof/>
        </w:rPr>
      </w:pPr>
      <w:r>
        <w:rPr>
          <w:noProof/>
        </w:rPr>
        <w:t>The 3 main scenarios differ litt</w:t>
      </w:r>
      <w:r w:rsidR="001A2857">
        <w:rPr>
          <w:noProof/>
        </w:rPr>
        <w:t>l</w:t>
      </w:r>
      <w:r>
        <w:rPr>
          <w:noProof/>
        </w:rPr>
        <w:t>e in terms of investment needs for rail, aviation</w:t>
      </w:r>
      <w:r w:rsidR="005A6353">
        <w:rPr>
          <w:noProof/>
        </w:rPr>
        <w:t xml:space="preserve"> and</w:t>
      </w:r>
      <w:r>
        <w:rPr>
          <w:noProof/>
        </w:rPr>
        <w:t xml:space="preserve"> navi</w:t>
      </w:r>
      <w:r w:rsidR="003D1599">
        <w:rPr>
          <w:noProof/>
        </w:rPr>
        <w:t>g</w:t>
      </w:r>
      <w:r>
        <w:rPr>
          <w:noProof/>
        </w:rPr>
        <w:t>ation</w:t>
      </w:r>
      <w:r w:rsidR="005A6353">
        <w:rPr>
          <w:noProof/>
        </w:rPr>
        <w:t>.</w:t>
      </w:r>
      <w:r>
        <w:rPr>
          <w:noProof/>
        </w:rPr>
        <w:t xml:space="preserve"> </w:t>
      </w:r>
      <w:r w:rsidR="001A2857" w:rsidRPr="001A2857">
        <w:rPr>
          <w:noProof/>
        </w:rPr>
        <w:t xml:space="preserve">As </w:t>
      </w:r>
      <w:r w:rsidR="00137E49">
        <w:rPr>
          <w:noProof/>
        </w:rPr>
        <w:t>a</w:t>
      </w:r>
      <w:r w:rsidR="001A2857" w:rsidRPr="001A2857">
        <w:rPr>
          <w:noProof/>
        </w:rPr>
        <w:t xml:space="preserve"> share of total transport annual average investments over 2031-2050, rail transport represents 5%, aviation </w:t>
      </w:r>
      <w:r w:rsidR="001A2857">
        <w:rPr>
          <w:noProof/>
        </w:rPr>
        <w:t xml:space="preserve">represents </w:t>
      </w:r>
      <w:r w:rsidR="001A2857" w:rsidRPr="001A2857">
        <w:rPr>
          <w:noProof/>
        </w:rPr>
        <w:t>7%</w:t>
      </w:r>
      <w:r w:rsidR="001A2857">
        <w:rPr>
          <w:noProof/>
        </w:rPr>
        <w:t>,</w:t>
      </w:r>
      <w:r w:rsidR="001A2857" w:rsidRPr="001A2857">
        <w:rPr>
          <w:noProof/>
        </w:rPr>
        <w:t xml:space="preserve"> and domestic navigation and international maritime transport </w:t>
      </w:r>
      <w:r w:rsidR="001A2857">
        <w:rPr>
          <w:noProof/>
        </w:rPr>
        <w:t xml:space="preserve">represent </w:t>
      </w:r>
      <w:r w:rsidR="001A2857" w:rsidRPr="001A2857">
        <w:rPr>
          <w:noProof/>
        </w:rPr>
        <w:t>5</w:t>
      </w:r>
      <w:r w:rsidR="00991EC7">
        <w:rPr>
          <w:noProof/>
        </w:rPr>
        <w:noBreakHyphen/>
      </w:r>
      <w:r w:rsidR="001A2857" w:rsidRPr="001A2857">
        <w:rPr>
          <w:noProof/>
        </w:rPr>
        <w:t>6% of the total.</w:t>
      </w:r>
      <w:r>
        <w:rPr>
          <w:noProof/>
        </w:rPr>
        <w:t xml:space="preserve"> However, they do typically represent a significant increase relative to investment levels in 2011-2020. </w:t>
      </w:r>
      <w:r w:rsidR="005A6353">
        <w:rPr>
          <w:noProof/>
        </w:rPr>
        <w:t xml:space="preserve">In contrast, S3 and S2 entail somewhat higher investment levels in international maritime transport than S1. </w:t>
      </w:r>
      <w:r>
        <w:rPr>
          <w:noProof/>
        </w:rPr>
        <w:t>As indicated above</w:t>
      </w:r>
      <w:r w:rsidR="005A6353">
        <w:rPr>
          <w:noProof/>
        </w:rPr>
        <w:t xml:space="preserve"> also</w:t>
      </w:r>
      <w:r>
        <w:rPr>
          <w:noProof/>
        </w:rPr>
        <w:t>,</w:t>
      </w:r>
      <w:r w:rsidR="00A57BD7">
        <w:rPr>
          <w:noProof/>
        </w:rPr>
        <w:t xml:space="preserve"> </w:t>
      </w:r>
      <w:r w:rsidR="00C459D4">
        <w:rPr>
          <w:noProof/>
        </w:rPr>
        <w:t>LIFE</w:t>
      </w:r>
      <w:r>
        <w:rPr>
          <w:noProof/>
        </w:rPr>
        <w:t xml:space="preserve"> also implies a moderately higher level of investment in rail, and a decrease in </w:t>
      </w:r>
      <w:r w:rsidR="00E14465">
        <w:rPr>
          <w:noProof/>
        </w:rPr>
        <w:t xml:space="preserve">average annual </w:t>
      </w:r>
      <w:r>
        <w:rPr>
          <w:noProof/>
        </w:rPr>
        <w:t>investment in aviation</w:t>
      </w:r>
      <w:r w:rsidR="000C3439" w:rsidRPr="000C3439">
        <w:rPr>
          <w:noProof/>
        </w:rPr>
        <w:t xml:space="preserve"> </w:t>
      </w:r>
      <w:r w:rsidR="00E14465">
        <w:rPr>
          <w:noProof/>
        </w:rPr>
        <w:t>of EUR 14 billion (</w:t>
      </w:r>
      <w:r w:rsidR="000C3439" w:rsidRPr="000C3439">
        <w:rPr>
          <w:noProof/>
        </w:rPr>
        <w:t>23%</w:t>
      </w:r>
      <w:r w:rsidR="00E14465">
        <w:rPr>
          <w:noProof/>
        </w:rPr>
        <w:t>) in 2031-2050</w:t>
      </w:r>
      <w:r w:rsidR="00F84ACF">
        <w:rPr>
          <w:noProof/>
        </w:rPr>
        <w:t xml:space="preserve"> compared to S3</w:t>
      </w:r>
      <w:r>
        <w:rPr>
          <w:noProof/>
        </w:rPr>
        <w:t>.</w:t>
      </w:r>
    </w:p>
    <w:p w14:paraId="6D05D284" w14:textId="5F8F8B59" w:rsidR="006B0088" w:rsidRDefault="006B0088" w:rsidP="00291B26">
      <w:pPr>
        <w:rPr>
          <w:noProof/>
        </w:rPr>
        <w:sectPr w:rsidR="006B0088">
          <w:headerReference w:type="even" r:id="rId174"/>
          <w:headerReference w:type="default" r:id="rId175"/>
          <w:footerReference w:type="even" r:id="rId176"/>
          <w:footerReference w:type="default" r:id="rId177"/>
          <w:headerReference w:type="first" r:id="rId178"/>
          <w:footerReference w:type="first" r:id="rId179"/>
          <w:pgSz w:w="11906" w:h="16838"/>
          <w:pgMar w:top="1020" w:right="1701" w:bottom="1020" w:left="1587" w:header="601" w:footer="1077" w:gutter="0"/>
          <w:cols w:space="720"/>
          <w:titlePg/>
          <w:docGrid w:linePitch="326"/>
        </w:sectPr>
      </w:pPr>
    </w:p>
    <w:p w14:paraId="57C14C31" w14:textId="37D57B95" w:rsidR="00850735" w:rsidRDefault="00FE1EFA" w:rsidP="009F11F3">
      <w:pPr>
        <w:pStyle w:val="Caption"/>
        <w:rPr>
          <w:noProof/>
        </w:rPr>
      </w:pPr>
      <w:bookmarkStart w:id="670" w:name="_Ref139888763"/>
      <w:bookmarkStart w:id="671" w:name="_Ref140739335"/>
      <w:bookmarkStart w:id="672" w:name="_Toc157679913"/>
      <w:r w:rsidRPr="00C57BBB">
        <w:rPr>
          <w:noProof/>
        </w:rPr>
        <w:t xml:space="preserve">Table </w:t>
      </w:r>
      <w:bookmarkEnd w:id="670"/>
      <w:r w:rsidRPr="00C57BBB">
        <w:rPr>
          <w:noProof/>
          <w:color w:val="2B579A"/>
          <w:shd w:val="clear" w:color="auto" w:fill="E6E6E6"/>
        </w:rPr>
        <w:fldChar w:fldCharType="begin"/>
      </w:r>
      <w:r w:rsidRPr="00C57BBB">
        <w:rPr>
          <w:noProof/>
        </w:rPr>
        <w:instrText xml:space="preserve"> SEQ Table \* ARABIC </w:instrText>
      </w:r>
      <w:r w:rsidRPr="00C57BBB">
        <w:rPr>
          <w:noProof/>
          <w:color w:val="2B579A"/>
          <w:shd w:val="clear" w:color="auto" w:fill="E6E6E6"/>
        </w:rPr>
        <w:fldChar w:fldCharType="separate"/>
      </w:r>
      <w:r w:rsidR="00170A3C">
        <w:rPr>
          <w:noProof/>
        </w:rPr>
        <w:t>30</w:t>
      </w:r>
      <w:r w:rsidRPr="00C57BBB">
        <w:rPr>
          <w:noProof/>
          <w:color w:val="2B579A"/>
          <w:shd w:val="clear" w:color="auto" w:fill="E6E6E6"/>
        </w:rPr>
        <w:fldChar w:fldCharType="end"/>
      </w:r>
      <w:bookmarkEnd w:id="671"/>
      <w:r w:rsidRPr="00C57BBB">
        <w:rPr>
          <w:noProof/>
        </w:rPr>
        <w:t xml:space="preserve">: </w:t>
      </w:r>
      <w:r w:rsidR="004244BA" w:rsidRPr="00C57BBB">
        <w:rPr>
          <w:noProof/>
        </w:rPr>
        <w:t>A</w:t>
      </w:r>
      <w:r w:rsidRPr="00C57BBB">
        <w:rPr>
          <w:noProof/>
        </w:rPr>
        <w:t>verage</w:t>
      </w:r>
      <w:r>
        <w:rPr>
          <w:noProof/>
        </w:rPr>
        <w:t xml:space="preserve"> annual demand side investment needs, transport (billion EUR 20</w:t>
      </w:r>
      <w:r w:rsidR="00DD4C85">
        <w:rPr>
          <w:noProof/>
        </w:rPr>
        <w:t>23</w:t>
      </w:r>
      <w:r>
        <w:rPr>
          <w:noProof/>
        </w:rPr>
        <w:t>)</w:t>
      </w:r>
      <w:bookmarkEnd w:id="672"/>
    </w:p>
    <w:p w14:paraId="79782CC6" w14:textId="6B2FB8CA" w:rsidR="00FE1EFA" w:rsidRDefault="00F60C11" w:rsidP="009F11F3">
      <w:pPr>
        <w:keepNext/>
        <w:spacing w:after="0"/>
        <w:jc w:val="center"/>
        <w:rPr>
          <w:rFonts w:ascii="Cambria Math" w:hAnsi="Cambria Math"/>
          <w:i/>
          <w:noProof/>
          <w:sz w:val="22"/>
          <w:szCs w:val="22"/>
        </w:rPr>
      </w:pPr>
      <w:r w:rsidRPr="00F60C11">
        <w:rPr>
          <w:noProof/>
          <w:lang w:eastAsia="en-GB"/>
        </w:rPr>
        <w:drawing>
          <wp:inline distT="0" distB="0" distL="0" distR="0" wp14:anchorId="2DD1FB9B" wp14:editId="50BCD327">
            <wp:extent cx="9396730" cy="2965450"/>
            <wp:effectExtent l="0" t="0" r="0" b="6350"/>
            <wp:docPr id="1506651250" name="Picture 150665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9396730" cy="2965450"/>
                    </a:xfrm>
                    <a:prstGeom prst="rect">
                      <a:avLst/>
                    </a:prstGeom>
                    <a:noFill/>
                    <a:ln>
                      <a:noFill/>
                    </a:ln>
                  </pic:spPr>
                </pic:pic>
              </a:graphicData>
            </a:graphic>
          </wp:inline>
        </w:drawing>
      </w:r>
    </w:p>
    <w:p w14:paraId="7EB4757C" w14:textId="0DA020E6" w:rsidR="00FE1EFA" w:rsidRPr="00272F1C" w:rsidRDefault="00FE1EFA" w:rsidP="008640DF">
      <w:pPr>
        <w:pStyle w:val="CT-SOURCE"/>
        <w:rPr>
          <w:rFonts w:ascii="Cambria Math" w:hAnsi="Cambria Math"/>
          <w:i w:val="0"/>
          <w:noProof/>
        </w:rPr>
      </w:pPr>
      <w:r w:rsidRPr="00272F1C">
        <w:rPr>
          <w:noProof/>
        </w:rPr>
        <w:t>Source: PRIMES.</w:t>
      </w:r>
    </w:p>
    <w:p w14:paraId="208BA1B8" w14:textId="531AE03C" w:rsidR="006B0088" w:rsidRDefault="006B0088" w:rsidP="00291B26">
      <w:pPr>
        <w:rPr>
          <w:noProof/>
        </w:rPr>
      </w:pPr>
    </w:p>
    <w:p w14:paraId="38AC7338" w14:textId="49193EFB" w:rsidR="006B0088" w:rsidRDefault="006B0088" w:rsidP="00291B26">
      <w:pPr>
        <w:rPr>
          <w:noProof/>
        </w:rPr>
        <w:sectPr w:rsidR="006B0088" w:rsidSect="006B0088">
          <w:headerReference w:type="even" r:id="rId181"/>
          <w:headerReference w:type="default" r:id="rId182"/>
          <w:footerReference w:type="even" r:id="rId183"/>
          <w:footerReference w:type="default" r:id="rId184"/>
          <w:headerReference w:type="first" r:id="rId185"/>
          <w:footerReference w:type="first" r:id="rId186"/>
          <w:pgSz w:w="16838" w:h="11906" w:orient="landscape"/>
          <w:pgMar w:top="1587" w:right="1020" w:bottom="1701" w:left="1020" w:header="601" w:footer="1077" w:gutter="0"/>
          <w:cols w:space="720"/>
          <w:titlePg/>
          <w:docGrid w:linePitch="326"/>
        </w:sectPr>
      </w:pPr>
    </w:p>
    <w:p w14:paraId="39E42130" w14:textId="6891ED36" w:rsidR="006B0088" w:rsidRDefault="006B0088" w:rsidP="00291B26">
      <w:pPr>
        <w:rPr>
          <w:noProof/>
        </w:rPr>
      </w:pPr>
    </w:p>
    <w:p w14:paraId="1AAD566D" w14:textId="383D27F5" w:rsidR="004E678A" w:rsidRDefault="004E678A" w:rsidP="00680783">
      <w:pPr>
        <w:pStyle w:val="Heading3"/>
        <w:rPr>
          <w:noProof/>
        </w:rPr>
      </w:pPr>
      <w:bookmarkStart w:id="673" w:name="_Toc148605642"/>
      <w:bookmarkStart w:id="674" w:name="_Toc157692088"/>
      <w:r>
        <w:rPr>
          <w:noProof/>
        </w:rPr>
        <w:t>Sensitivity of investment need</w:t>
      </w:r>
      <w:r w:rsidR="00CA0DB0">
        <w:rPr>
          <w:noProof/>
        </w:rPr>
        <w:t>s</w:t>
      </w:r>
      <w:r>
        <w:rPr>
          <w:noProof/>
        </w:rPr>
        <w:t xml:space="preserve"> to technology costs assumptions</w:t>
      </w:r>
      <w:bookmarkEnd w:id="673"/>
      <w:bookmarkEnd w:id="674"/>
    </w:p>
    <w:p w14:paraId="6A7C13F8" w14:textId="1475F869" w:rsidR="00195C08" w:rsidRPr="00C57BBB" w:rsidRDefault="000E56CD" w:rsidP="000E56CD">
      <w:pPr>
        <w:rPr>
          <w:noProof/>
        </w:rPr>
      </w:pPr>
      <w:r>
        <w:rPr>
          <w:noProof/>
        </w:rPr>
        <w:t xml:space="preserve">Cost assumptions for the deployment </w:t>
      </w:r>
      <w:r w:rsidR="00695D8D">
        <w:rPr>
          <w:noProof/>
        </w:rPr>
        <w:t xml:space="preserve">of </w:t>
      </w:r>
      <w:r>
        <w:rPr>
          <w:noProof/>
        </w:rPr>
        <w:t>mitigation technologies are exogenous to the modelling exercise</w:t>
      </w:r>
      <w:r w:rsidR="00695D8D">
        <w:rPr>
          <w:noProof/>
        </w:rPr>
        <w:t xml:space="preserve"> and constant across all scenarios. They are discussed in more details </w:t>
      </w:r>
      <w:r w:rsidR="00695D8D" w:rsidRPr="006166AB">
        <w:rPr>
          <w:noProof/>
        </w:rPr>
        <w:t>in annex 6</w:t>
      </w:r>
      <w:r w:rsidR="00695D8D">
        <w:rPr>
          <w:noProof/>
        </w:rPr>
        <w:t xml:space="preserve">, and summarised in </w:t>
      </w:r>
      <w:r w:rsidR="00695D8D" w:rsidRPr="006166AB">
        <w:rPr>
          <w:noProof/>
        </w:rPr>
        <w:fldChar w:fldCharType="begin"/>
      </w:r>
      <w:r w:rsidR="00695D8D" w:rsidRPr="006166AB">
        <w:rPr>
          <w:noProof/>
        </w:rPr>
        <w:instrText xml:space="preserve"> REF _Ref144298782 \h </w:instrText>
      </w:r>
      <w:r w:rsidR="006166AB">
        <w:rPr>
          <w:noProof/>
        </w:rPr>
        <w:instrText xml:space="preserve"> \* MERGEFORMAT </w:instrText>
      </w:r>
      <w:r w:rsidR="00695D8D" w:rsidRPr="006166AB">
        <w:rPr>
          <w:noProof/>
        </w:rPr>
      </w:r>
      <w:r w:rsidR="00695D8D" w:rsidRPr="006166AB">
        <w:rPr>
          <w:noProof/>
        </w:rPr>
        <w:fldChar w:fldCharType="separate"/>
      </w:r>
      <w:r w:rsidR="00170A3C" w:rsidRPr="00C57BBB">
        <w:rPr>
          <w:noProof/>
        </w:rPr>
        <w:t xml:space="preserve">Table </w:t>
      </w:r>
      <w:r w:rsidR="00170A3C">
        <w:rPr>
          <w:noProof/>
        </w:rPr>
        <w:t>31</w:t>
      </w:r>
      <w:r w:rsidR="00695D8D" w:rsidRPr="006166AB">
        <w:rPr>
          <w:noProof/>
        </w:rPr>
        <w:fldChar w:fldCharType="end"/>
      </w:r>
      <w:r w:rsidR="00695D8D">
        <w:rPr>
          <w:noProof/>
        </w:rPr>
        <w:t xml:space="preserve"> for a </w:t>
      </w:r>
      <w:r w:rsidR="00276D1D">
        <w:rPr>
          <w:noProof/>
        </w:rPr>
        <w:t>few</w:t>
      </w:r>
      <w:r w:rsidR="00695D8D">
        <w:rPr>
          <w:noProof/>
        </w:rPr>
        <w:t xml:space="preserve"> </w:t>
      </w:r>
      <w:r w:rsidR="00276D1D">
        <w:rPr>
          <w:noProof/>
        </w:rPr>
        <w:t xml:space="preserve">technologies on the supply side and for heat pumps, based on averages in each case (average of sizes of </w:t>
      </w:r>
      <w:r w:rsidR="00276D1D" w:rsidRPr="00C57BBB">
        <w:rPr>
          <w:noProof/>
        </w:rPr>
        <w:t>installations for solar, wind and heat pumps and average of centralised and decentralised technology for hydrogen).</w:t>
      </w:r>
    </w:p>
    <w:p w14:paraId="6661958E" w14:textId="4AE19DE9" w:rsidR="000E56CD" w:rsidRPr="00C57BBB" w:rsidRDefault="000E56CD" w:rsidP="000E56CD">
      <w:pPr>
        <w:rPr>
          <w:noProof/>
        </w:rPr>
      </w:pPr>
      <w:r w:rsidRPr="00C57BBB">
        <w:rPr>
          <w:noProof/>
        </w:rPr>
        <w:t xml:space="preserve">Over the past decades, the cost of solar, wind or heat pumps has decreased sharply as a result of technological progress and learning by doing fostered by the rising scale of deployment in the EU and globally. However, as demand for renewables and </w:t>
      </w:r>
      <w:r w:rsidR="00D205C3" w:rsidRPr="00C57BBB">
        <w:rPr>
          <w:noProof/>
        </w:rPr>
        <w:t xml:space="preserve">electrification </w:t>
      </w:r>
      <w:r w:rsidR="00E466D0" w:rsidRPr="00C57BBB">
        <w:rPr>
          <w:noProof/>
        </w:rPr>
        <w:t>–</w:t>
      </w:r>
      <w:r w:rsidR="00D205C3" w:rsidRPr="00C57BBB">
        <w:rPr>
          <w:noProof/>
        </w:rPr>
        <w:t xml:space="preserve"> </w:t>
      </w:r>
      <w:r w:rsidRPr="00C57BBB">
        <w:rPr>
          <w:noProof/>
        </w:rPr>
        <w:t xml:space="preserve">and the associated raw materials needed for the production of such technologies </w:t>
      </w:r>
      <w:r w:rsidR="00E466D0" w:rsidRPr="00C57BBB">
        <w:rPr>
          <w:noProof/>
        </w:rPr>
        <w:t>–</w:t>
      </w:r>
      <w:r w:rsidR="00D205C3" w:rsidRPr="00C57BBB">
        <w:rPr>
          <w:noProof/>
        </w:rPr>
        <w:t xml:space="preserve"> </w:t>
      </w:r>
      <w:r w:rsidRPr="00C57BBB">
        <w:rPr>
          <w:noProof/>
        </w:rPr>
        <w:t>is set to increase globally, the sector could potentially be subject to price shocks</w:t>
      </w:r>
      <w:r w:rsidR="00D205C3" w:rsidRPr="00C57BBB">
        <w:rPr>
          <w:noProof/>
        </w:rPr>
        <w:t xml:space="preserve"> or sustained price pressures</w:t>
      </w:r>
      <w:r w:rsidRPr="00C57BBB">
        <w:rPr>
          <w:noProof/>
        </w:rPr>
        <w:t xml:space="preserve">, depending on the capacity of global </w:t>
      </w:r>
      <w:r w:rsidR="00D205C3" w:rsidRPr="00C57BBB">
        <w:rPr>
          <w:noProof/>
        </w:rPr>
        <w:t>markets</w:t>
      </w:r>
      <w:r w:rsidRPr="00C57BBB">
        <w:rPr>
          <w:noProof/>
        </w:rPr>
        <w:t xml:space="preserve"> to respond to </w:t>
      </w:r>
      <w:r w:rsidR="00195C08" w:rsidRPr="00C57BBB">
        <w:rPr>
          <w:noProof/>
        </w:rPr>
        <w:t>rising</w:t>
      </w:r>
      <w:r w:rsidRPr="00C57BBB">
        <w:rPr>
          <w:noProof/>
        </w:rPr>
        <w:t xml:space="preserve"> demand</w:t>
      </w:r>
      <w:r w:rsidR="00D205C3" w:rsidRPr="00C57BBB">
        <w:rPr>
          <w:noProof/>
        </w:rPr>
        <w:t>,</w:t>
      </w:r>
      <w:r w:rsidRPr="00C57BBB">
        <w:rPr>
          <w:noProof/>
        </w:rPr>
        <w:t xml:space="preserve"> on the ability of circular economy policies to create a resource base for “secondary” materials production in the EU</w:t>
      </w:r>
      <w:r w:rsidR="00D205C3" w:rsidRPr="00C57BBB">
        <w:rPr>
          <w:noProof/>
        </w:rPr>
        <w:t xml:space="preserve"> and on the capacity of the EU to create a domestic value chain for primary materials</w:t>
      </w:r>
      <w:r w:rsidRPr="00C57BBB">
        <w:rPr>
          <w:noProof/>
        </w:rPr>
        <w:t>.</w:t>
      </w:r>
    </w:p>
    <w:p w14:paraId="428C1A2F" w14:textId="5283DA40" w:rsidR="00695D8D" w:rsidRDefault="00695D8D" w:rsidP="004B0210">
      <w:pPr>
        <w:pStyle w:val="Caption"/>
        <w:rPr>
          <w:noProof/>
        </w:rPr>
      </w:pPr>
      <w:bookmarkStart w:id="675" w:name="_Ref144298782"/>
      <w:bookmarkStart w:id="676" w:name="_Toc157679914"/>
      <w:r w:rsidRPr="00C57BBB">
        <w:rPr>
          <w:noProof/>
        </w:rPr>
        <w:t xml:space="preserve">Table </w:t>
      </w:r>
      <w:r w:rsidRPr="00C57BBB">
        <w:rPr>
          <w:noProof/>
        </w:rPr>
        <w:fldChar w:fldCharType="begin"/>
      </w:r>
      <w:r w:rsidRPr="00C57BBB">
        <w:rPr>
          <w:noProof/>
        </w:rPr>
        <w:instrText>SEQ Table \* ARABIC</w:instrText>
      </w:r>
      <w:r w:rsidRPr="00C57BBB">
        <w:rPr>
          <w:noProof/>
        </w:rPr>
        <w:fldChar w:fldCharType="separate"/>
      </w:r>
      <w:r w:rsidR="00170A3C">
        <w:rPr>
          <w:noProof/>
        </w:rPr>
        <w:t>31</w:t>
      </w:r>
      <w:r w:rsidRPr="00C57BBB">
        <w:rPr>
          <w:noProof/>
        </w:rPr>
        <w:fldChar w:fldCharType="end"/>
      </w:r>
      <w:bookmarkEnd w:id="675"/>
      <w:r w:rsidRPr="00C57BBB">
        <w:rPr>
          <w:noProof/>
        </w:rPr>
        <w:t xml:space="preserve">: </w:t>
      </w:r>
      <w:r w:rsidR="004244BA" w:rsidRPr="00C57BBB">
        <w:rPr>
          <w:noProof/>
        </w:rPr>
        <w:t>T</w:t>
      </w:r>
      <w:r w:rsidRPr="00C57BBB">
        <w:rPr>
          <w:noProof/>
        </w:rPr>
        <w:t>echnology investment costs assumptions (EUR 2015 per kW)</w:t>
      </w:r>
      <w:bookmarkEnd w:id="676"/>
    </w:p>
    <w:tbl>
      <w:tblPr>
        <w:tblW w:w="5000" w:type="pct"/>
        <w:tblLook w:val="04A0" w:firstRow="1" w:lastRow="0" w:firstColumn="1" w:lastColumn="0" w:noHBand="0" w:noVBand="1"/>
      </w:tblPr>
      <w:tblGrid>
        <w:gridCol w:w="5056"/>
        <w:gridCol w:w="945"/>
        <w:gridCol w:w="945"/>
        <w:gridCol w:w="945"/>
        <w:gridCol w:w="943"/>
      </w:tblGrid>
      <w:tr w:rsidR="0028454F" w:rsidRPr="001D4C39" w14:paraId="07A2E919" w14:textId="43E15951" w:rsidTr="007F7E40">
        <w:trPr>
          <w:trHeight w:val="330"/>
        </w:trPr>
        <w:tc>
          <w:tcPr>
            <w:tcW w:w="2861" w:type="pct"/>
            <w:tcBorders>
              <w:top w:val="nil"/>
              <w:left w:val="nil"/>
              <w:bottom w:val="nil"/>
              <w:right w:val="nil"/>
            </w:tcBorders>
            <w:shd w:val="clear" w:color="auto" w:fill="auto"/>
            <w:noWrap/>
            <w:vAlign w:val="bottom"/>
            <w:hideMark/>
          </w:tcPr>
          <w:p w14:paraId="58D1DFFE" w14:textId="7E2006CE" w:rsidR="001D4C39" w:rsidRPr="001D4C39" w:rsidRDefault="001D4C39" w:rsidP="001D4C39">
            <w:pPr>
              <w:keepNext/>
              <w:spacing w:after="0"/>
              <w:jc w:val="left"/>
              <w:rPr>
                <w:rFonts w:ascii="Times New Roman" w:eastAsia="Times New Roman" w:hAnsi="Times New Roman" w:cs="Times New Roman"/>
                <w:noProof/>
                <w:lang w:val="en-IE"/>
              </w:rPr>
            </w:pPr>
          </w:p>
        </w:tc>
        <w:tc>
          <w:tcPr>
            <w:tcW w:w="535" w:type="pct"/>
            <w:tcBorders>
              <w:top w:val="single" w:sz="8" w:space="0" w:color="auto"/>
              <w:left w:val="single" w:sz="8" w:space="0" w:color="auto"/>
              <w:bottom w:val="single" w:sz="8" w:space="0" w:color="auto"/>
              <w:right w:val="nil"/>
            </w:tcBorders>
            <w:shd w:val="clear" w:color="auto" w:fill="auto"/>
            <w:noWrap/>
            <w:vAlign w:val="bottom"/>
            <w:hideMark/>
          </w:tcPr>
          <w:p w14:paraId="068B0671" w14:textId="234C0324" w:rsidR="001D4C39" w:rsidRPr="001D4C39" w:rsidRDefault="001D4C39" w:rsidP="001D4C39">
            <w:pPr>
              <w:keepNext/>
              <w:spacing w:after="0"/>
              <w:jc w:val="right"/>
              <w:rPr>
                <w:rFonts w:ascii="EC Square Sans Cond Pro" w:eastAsia="Times New Roman" w:hAnsi="EC Square Sans Cond Pro" w:cs="Calibri"/>
                <w:b/>
                <w:bCs/>
                <w:noProof/>
                <w:color w:val="000000"/>
                <w:sz w:val="22"/>
                <w:szCs w:val="22"/>
                <w:lang w:val="en-IE"/>
              </w:rPr>
            </w:pPr>
            <w:r w:rsidRPr="001D4C39">
              <w:rPr>
                <w:rFonts w:ascii="EC Square Sans Cond Pro" w:eastAsia="Times New Roman" w:hAnsi="EC Square Sans Cond Pro" w:cs="Calibri"/>
                <w:b/>
                <w:bCs/>
                <w:noProof/>
                <w:color w:val="000000"/>
                <w:sz w:val="22"/>
                <w:szCs w:val="22"/>
                <w:lang w:val="en-IE"/>
              </w:rPr>
              <w:t>2020</w:t>
            </w:r>
          </w:p>
        </w:tc>
        <w:tc>
          <w:tcPr>
            <w:tcW w:w="535" w:type="pct"/>
            <w:tcBorders>
              <w:top w:val="single" w:sz="8" w:space="0" w:color="auto"/>
              <w:left w:val="nil"/>
              <w:bottom w:val="single" w:sz="8" w:space="0" w:color="auto"/>
              <w:right w:val="nil"/>
            </w:tcBorders>
            <w:shd w:val="clear" w:color="auto" w:fill="auto"/>
            <w:noWrap/>
            <w:vAlign w:val="bottom"/>
            <w:hideMark/>
          </w:tcPr>
          <w:p w14:paraId="1E82D77F" w14:textId="330D420B" w:rsidR="001D4C39" w:rsidRPr="001D4C39" w:rsidRDefault="001D4C39" w:rsidP="001D4C39">
            <w:pPr>
              <w:keepNext/>
              <w:spacing w:after="0"/>
              <w:jc w:val="right"/>
              <w:rPr>
                <w:rFonts w:ascii="EC Square Sans Cond Pro" w:eastAsia="Times New Roman" w:hAnsi="EC Square Sans Cond Pro" w:cs="Calibri"/>
                <w:b/>
                <w:bCs/>
                <w:noProof/>
                <w:color w:val="000000"/>
                <w:sz w:val="22"/>
                <w:szCs w:val="22"/>
                <w:lang w:val="en-IE"/>
              </w:rPr>
            </w:pPr>
            <w:r w:rsidRPr="001D4C39">
              <w:rPr>
                <w:rFonts w:ascii="EC Square Sans Cond Pro" w:eastAsia="Times New Roman" w:hAnsi="EC Square Sans Cond Pro" w:cs="Calibri"/>
                <w:b/>
                <w:bCs/>
                <w:noProof/>
                <w:color w:val="000000"/>
                <w:sz w:val="22"/>
                <w:szCs w:val="22"/>
                <w:lang w:val="en-IE"/>
              </w:rPr>
              <w:t>2030</w:t>
            </w:r>
          </w:p>
        </w:tc>
        <w:tc>
          <w:tcPr>
            <w:tcW w:w="535" w:type="pct"/>
            <w:tcBorders>
              <w:top w:val="single" w:sz="8" w:space="0" w:color="auto"/>
              <w:left w:val="nil"/>
              <w:bottom w:val="single" w:sz="8" w:space="0" w:color="auto"/>
              <w:right w:val="nil"/>
            </w:tcBorders>
            <w:shd w:val="clear" w:color="auto" w:fill="auto"/>
            <w:noWrap/>
            <w:vAlign w:val="bottom"/>
            <w:hideMark/>
          </w:tcPr>
          <w:p w14:paraId="1C91F0B1" w14:textId="3090D965" w:rsidR="001D4C39" w:rsidRPr="001D4C39" w:rsidRDefault="001D4C39" w:rsidP="001D4C39">
            <w:pPr>
              <w:keepNext/>
              <w:spacing w:after="0"/>
              <w:jc w:val="right"/>
              <w:rPr>
                <w:rFonts w:ascii="EC Square Sans Cond Pro" w:eastAsia="Times New Roman" w:hAnsi="EC Square Sans Cond Pro" w:cs="Calibri"/>
                <w:b/>
                <w:bCs/>
                <w:noProof/>
                <w:color w:val="000000"/>
                <w:sz w:val="22"/>
                <w:szCs w:val="22"/>
                <w:lang w:val="en-IE"/>
              </w:rPr>
            </w:pPr>
            <w:r w:rsidRPr="001D4C39">
              <w:rPr>
                <w:rFonts w:ascii="EC Square Sans Cond Pro" w:eastAsia="Times New Roman" w:hAnsi="EC Square Sans Cond Pro" w:cs="Calibri"/>
                <w:b/>
                <w:bCs/>
                <w:noProof/>
                <w:color w:val="000000"/>
                <w:sz w:val="22"/>
                <w:szCs w:val="22"/>
                <w:lang w:val="en-IE"/>
              </w:rPr>
              <w:t>2040</w:t>
            </w:r>
          </w:p>
        </w:tc>
        <w:tc>
          <w:tcPr>
            <w:tcW w:w="535" w:type="pct"/>
            <w:tcBorders>
              <w:top w:val="single" w:sz="8" w:space="0" w:color="auto"/>
              <w:left w:val="nil"/>
              <w:bottom w:val="single" w:sz="8" w:space="0" w:color="auto"/>
              <w:right w:val="single" w:sz="8" w:space="0" w:color="auto"/>
            </w:tcBorders>
            <w:shd w:val="clear" w:color="auto" w:fill="auto"/>
            <w:noWrap/>
            <w:vAlign w:val="bottom"/>
            <w:hideMark/>
          </w:tcPr>
          <w:p w14:paraId="25CB69B4" w14:textId="1113E914" w:rsidR="001D4C39" w:rsidRPr="001D4C39" w:rsidRDefault="001D4C39" w:rsidP="001D4C39">
            <w:pPr>
              <w:keepNext/>
              <w:spacing w:after="0"/>
              <w:jc w:val="right"/>
              <w:rPr>
                <w:rFonts w:ascii="EC Square Sans Cond Pro" w:eastAsia="Times New Roman" w:hAnsi="EC Square Sans Cond Pro" w:cs="Calibri"/>
                <w:b/>
                <w:bCs/>
                <w:noProof/>
                <w:color w:val="000000"/>
                <w:sz w:val="22"/>
                <w:szCs w:val="22"/>
                <w:lang w:val="en-IE"/>
              </w:rPr>
            </w:pPr>
            <w:r w:rsidRPr="001D4C39">
              <w:rPr>
                <w:rFonts w:ascii="EC Square Sans Cond Pro" w:eastAsia="Times New Roman" w:hAnsi="EC Square Sans Cond Pro" w:cs="Calibri"/>
                <w:b/>
                <w:bCs/>
                <w:noProof/>
                <w:color w:val="000000"/>
                <w:sz w:val="22"/>
                <w:szCs w:val="22"/>
                <w:lang w:val="en-IE"/>
              </w:rPr>
              <w:t>2050</w:t>
            </w:r>
          </w:p>
        </w:tc>
      </w:tr>
      <w:tr w:rsidR="0028454F" w:rsidRPr="001D4C39" w14:paraId="0D416A97" w14:textId="75633ACD" w:rsidTr="007F7E40">
        <w:trPr>
          <w:trHeight w:val="132"/>
        </w:trPr>
        <w:tc>
          <w:tcPr>
            <w:tcW w:w="2861" w:type="pct"/>
            <w:tcBorders>
              <w:top w:val="single" w:sz="8" w:space="0" w:color="auto"/>
              <w:left w:val="single" w:sz="8" w:space="0" w:color="auto"/>
              <w:bottom w:val="nil"/>
              <w:right w:val="single" w:sz="8" w:space="0" w:color="auto"/>
            </w:tcBorders>
            <w:shd w:val="clear" w:color="auto" w:fill="auto"/>
            <w:noWrap/>
            <w:vAlign w:val="bottom"/>
            <w:hideMark/>
          </w:tcPr>
          <w:p w14:paraId="0FD51B3C" w14:textId="381266C2" w:rsidR="001D4C39" w:rsidRPr="001D4C39" w:rsidRDefault="001D4C39" w:rsidP="001D4C39">
            <w:pPr>
              <w:keepNext/>
              <w:spacing w:after="0"/>
              <w:jc w:val="left"/>
              <w:rPr>
                <w:rFonts w:ascii="EC Square Sans Cond Pro" w:eastAsia="Times New Roman" w:hAnsi="EC Square Sans Cond Pro" w:cs="Calibri"/>
                <w:noProof/>
                <w:color w:val="000000"/>
                <w:sz w:val="22"/>
                <w:szCs w:val="22"/>
                <w:lang w:val="en-IE"/>
              </w:rPr>
            </w:pPr>
            <w:r w:rsidRPr="001D4C39">
              <w:rPr>
                <w:rFonts w:ascii="Calibri" w:eastAsia="Times New Roman" w:hAnsi="Calibri" w:cs="Calibri"/>
                <w:noProof/>
                <w:color w:val="000000"/>
                <w:sz w:val="22"/>
                <w:szCs w:val="22"/>
                <w:lang w:val="en-IE"/>
              </w:rPr>
              <w:t> </w:t>
            </w:r>
          </w:p>
        </w:tc>
        <w:tc>
          <w:tcPr>
            <w:tcW w:w="535" w:type="pct"/>
            <w:tcBorders>
              <w:top w:val="nil"/>
              <w:left w:val="nil"/>
              <w:bottom w:val="nil"/>
              <w:right w:val="nil"/>
            </w:tcBorders>
            <w:shd w:val="clear" w:color="auto" w:fill="auto"/>
            <w:noWrap/>
            <w:vAlign w:val="bottom"/>
            <w:hideMark/>
          </w:tcPr>
          <w:p w14:paraId="7D827448" w14:textId="678C0D90" w:rsidR="001D4C39" w:rsidRPr="001D4C39" w:rsidRDefault="001D4C39" w:rsidP="001D4C39">
            <w:pPr>
              <w:keepNext/>
              <w:spacing w:after="0"/>
              <w:jc w:val="left"/>
              <w:rPr>
                <w:rFonts w:ascii="EC Square Sans Cond Pro" w:eastAsia="Times New Roman" w:hAnsi="EC Square Sans Cond Pro" w:cs="Calibri"/>
                <w:b/>
                <w:bCs/>
                <w:noProof/>
                <w:color w:val="000000"/>
                <w:sz w:val="22"/>
                <w:szCs w:val="22"/>
                <w:lang w:val="en-IE"/>
              </w:rPr>
            </w:pPr>
            <w:r w:rsidRPr="001D4C39">
              <w:rPr>
                <w:rFonts w:ascii="Calibri" w:eastAsia="Times New Roman" w:hAnsi="Calibri" w:cs="Calibri"/>
                <w:b/>
                <w:bCs/>
                <w:noProof/>
                <w:color w:val="000000"/>
                <w:sz w:val="22"/>
                <w:szCs w:val="22"/>
                <w:lang w:val="en-IE"/>
              </w:rPr>
              <w:t> </w:t>
            </w:r>
          </w:p>
        </w:tc>
        <w:tc>
          <w:tcPr>
            <w:tcW w:w="535" w:type="pct"/>
            <w:tcBorders>
              <w:top w:val="nil"/>
              <w:left w:val="nil"/>
              <w:bottom w:val="nil"/>
              <w:right w:val="nil"/>
            </w:tcBorders>
            <w:shd w:val="clear" w:color="auto" w:fill="auto"/>
            <w:noWrap/>
            <w:vAlign w:val="bottom"/>
            <w:hideMark/>
          </w:tcPr>
          <w:p w14:paraId="10B3E3CC" w14:textId="02F134F1" w:rsidR="001D4C39" w:rsidRPr="001D4C39" w:rsidRDefault="001D4C39" w:rsidP="001D4C39">
            <w:pPr>
              <w:keepNext/>
              <w:spacing w:after="0"/>
              <w:jc w:val="left"/>
              <w:rPr>
                <w:rFonts w:ascii="EC Square Sans Cond Pro" w:eastAsia="Times New Roman" w:hAnsi="EC Square Sans Cond Pro" w:cs="Calibri"/>
                <w:b/>
                <w:bCs/>
                <w:noProof/>
                <w:color w:val="000000"/>
                <w:sz w:val="22"/>
                <w:szCs w:val="22"/>
                <w:lang w:val="en-IE"/>
              </w:rPr>
            </w:pPr>
          </w:p>
        </w:tc>
        <w:tc>
          <w:tcPr>
            <w:tcW w:w="535" w:type="pct"/>
            <w:tcBorders>
              <w:top w:val="nil"/>
              <w:left w:val="nil"/>
              <w:bottom w:val="nil"/>
              <w:right w:val="nil"/>
            </w:tcBorders>
            <w:shd w:val="clear" w:color="auto" w:fill="auto"/>
            <w:noWrap/>
            <w:vAlign w:val="bottom"/>
            <w:hideMark/>
          </w:tcPr>
          <w:p w14:paraId="6036C37A" w14:textId="7A88BD0A" w:rsidR="001D4C39" w:rsidRPr="001D4C39" w:rsidRDefault="001D4C39" w:rsidP="001D4C39">
            <w:pPr>
              <w:keepNext/>
              <w:spacing w:after="0"/>
              <w:jc w:val="left"/>
              <w:rPr>
                <w:rFonts w:ascii="Times New Roman" w:eastAsia="Times New Roman" w:hAnsi="Times New Roman" w:cs="Times New Roman"/>
                <w:noProof/>
                <w:sz w:val="20"/>
                <w:szCs w:val="20"/>
                <w:lang w:val="en-IE"/>
              </w:rPr>
            </w:pPr>
          </w:p>
        </w:tc>
        <w:tc>
          <w:tcPr>
            <w:tcW w:w="535" w:type="pct"/>
            <w:tcBorders>
              <w:top w:val="nil"/>
              <w:left w:val="nil"/>
              <w:bottom w:val="nil"/>
              <w:right w:val="single" w:sz="8" w:space="0" w:color="auto"/>
            </w:tcBorders>
            <w:shd w:val="clear" w:color="auto" w:fill="auto"/>
            <w:noWrap/>
            <w:vAlign w:val="bottom"/>
            <w:hideMark/>
          </w:tcPr>
          <w:p w14:paraId="2FF60C44" w14:textId="437833AD" w:rsidR="001D4C39" w:rsidRPr="001D4C39" w:rsidRDefault="001D4C39" w:rsidP="001D4C39">
            <w:pPr>
              <w:keepNext/>
              <w:spacing w:after="0"/>
              <w:jc w:val="left"/>
              <w:rPr>
                <w:rFonts w:ascii="EC Square Sans Cond Pro" w:eastAsia="Times New Roman" w:hAnsi="EC Square Sans Cond Pro" w:cs="Calibri"/>
                <w:b/>
                <w:bCs/>
                <w:noProof/>
                <w:color w:val="000000"/>
                <w:sz w:val="22"/>
                <w:szCs w:val="22"/>
                <w:lang w:val="en-IE"/>
              </w:rPr>
            </w:pPr>
            <w:r w:rsidRPr="001D4C39">
              <w:rPr>
                <w:rFonts w:ascii="Calibri" w:eastAsia="Times New Roman" w:hAnsi="Calibri" w:cs="Calibri"/>
                <w:b/>
                <w:bCs/>
                <w:noProof/>
                <w:color w:val="000000"/>
                <w:sz w:val="22"/>
                <w:szCs w:val="22"/>
                <w:lang w:val="en-IE"/>
              </w:rPr>
              <w:t> </w:t>
            </w:r>
          </w:p>
        </w:tc>
      </w:tr>
      <w:tr w:rsidR="0028454F" w:rsidRPr="001D4C39" w14:paraId="1E90FC76" w14:textId="3B179096" w:rsidTr="007F7E40">
        <w:trPr>
          <w:trHeight w:val="300"/>
        </w:trPr>
        <w:tc>
          <w:tcPr>
            <w:tcW w:w="2861" w:type="pct"/>
            <w:tcBorders>
              <w:top w:val="nil"/>
              <w:left w:val="single" w:sz="8" w:space="0" w:color="auto"/>
              <w:bottom w:val="nil"/>
              <w:right w:val="single" w:sz="8" w:space="0" w:color="auto"/>
            </w:tcBorders>
            <w:shd w:val="clear" w:color="auto" w:fill="auto"/>
            <w:noWrap/>
            <w:vAlign w:val="bottom"/>
            <w:hideMark/>
          </w:tcPr>
          <w:p w14:paraId="21A2ED30" w14:textId="2A273FC4" w:rsidR="001D4C39" w:rsidRPr="001D4C39" w:rsidRDefault="001D4C39" w:rsidP="001D4C39">
            <w:pPr>
              <w:keepNext/>
              <w:spacing w:after="0"/>
              <w:jc w:val="lef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Solar, residential</w:t>
            </w:r>
          </w:p>
        </w:tc>
        <w:tc>
          <w:tcPr>
            <w:tcW w:w="535" w:type="pct"/>
            <w:tcBorders>
              <w:top w:val="nil"/>
              <w:left w:val="nil"/>
              <w:bottom w:val="nil"/>
              <w:right w:val="nil"/>
            </w:tcBorders>
            <w:shd w:val="clear" w:color="auto" w:fill="auto"/>
            <w:noWrap/>
            <w:vAlign w:val="bottom"/>
            <w:hideMark/>
          </w:tcPr>
          <w:p w14:paraId="0272051C" w14:textId="4EE43E0D"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1399</w:t>
            </w:r>
          </w:p>
        </w:tc>
        <w:tc>
          <w:tcPr>
            <w:tcW w:w="535" w:type="pct"/>
            <w:tcBorders>
              <w:top w:val="nil"/>
              <w:left w:val="nil"/>
              <w:bottom w:val="nil"/>
              <w:right w:val="nil"/>
            </w:tcBorders>
            <w:shd w:val="clear" w:color="auto" w:fill="auto"/>
            <w:noWrap/>
            <w:vAlign w:val="bottom"/>
            <w:hideMark/>
          </w:tcPr>
          <w:p w14:paraId="6B3ABF43" w14:textId="56357673"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1067</w:t>
            </w:r>
          </w:p>
        </w:tc>
        <w:tc>
          <w:tcPr>
            <w:tcW w:w="535" w:type="pct"/>
            <w:tcBorders>
              <w:top w:val="nil"/>
              <w:left w:val="nil"/>
              <w:bottom w:val="nil"/>
              <w:right w:val="nil"/>
            </w:tcBorders>
            <w:shd w:val="clear" w:color="auto" w:fill="auto"/>
            <w:noWrap/>
            <w:vAlign w:val="bottom"/>
            <w:hideMark/>
          </w:tcPr>
          <w:p w14:paraId="47C8611B" w14:textId="2058AE47"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878</w:t>
            </w:r>
          </w:p>
        </w:tc>
        <w:tc>
          <w:tcPr>
            <w:tcW w:w="535" w:type="pct"/>
            <w:tcBorders>
              <w:top w:val="nil"/>
              <w:left w:val="nil"/>
              <w:bottom w:val="nil"/>
              <w:right w:val="single" w:sz="8" w:space="0" w:color="auto"/>
            </w:tcBorders>
            <w:shd w:val="clear" w:color="auto" w:fill="auto"/>
            <w:noWrap/>
            <w:vAlign w:val="bottom"/>
            <w:hideMark/>
          </w:tcPr>
          <w:p w14:paraId="6D422BA3" w14:textId="1ADA12FF"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841</w:t>
            </w:r>
          </w:p>
        </w:tc>
      </w:tr>
      <w:tr w:rsidR="0028454F" w:rsidRPr="001D4C39" w14:paraId="6233D39B" w14:textId="04152CEC" w:rsidTr="007F7E40">
        <w:trPr>
          <w:trHeight w:val="300"/>
        </w:trPr>
        <w:tc>
          <w:tcPr>
            <w:tcW w:w="2861" w:type="pct"/>
            <w:tcBorders>
              <w:top w:val="nil"/>
              <w:left w:val="single" w:sz="8" w:space="0" w:color="auto"/>
              <w:bottom w:val="nil"/>
              <w:right w:val="single" w:sz="8" w:space="0" w:color="auto"/>
            </w:tcBorders>
            <w:shd w:val="clear" w:color="auto" w:fill="auto"/>
            <w:noWrap/>
            <w:vAlign w:val="bottom"/>
            <w:hideMark/>
          </w:tcPr>
          <w:p w14:paraId="3B31F23D" w14:textId="6F204F18" w:rsidR="001D4C39" w:rsidRPr="001D4C39" w:rsidRDefault="001D4C39" w:rsidP="001D4C39">
            <w:pPr>
              <w:keepNext/>
              <w:spacing w:after="0"/>
              <w:jc w:val="lef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Solar, commercial</w:t>
            </w:r>
          </w:p>
        </w:tc>
        <w:tc>
          <w:tcPr>
            <w:tcW w:w="535" w:type="pct"/>
            <w:tcBorders>
              <w:top w:val="nil"/>
              <w:left w:val="nil"/>
              <w:bottom w:val="nil"/>
              <w:right w:val="nil"/>
            </w:tcBorders>
            <w:shd w:val="clear" w:color="auto" w:fill="auto"/>
            <w:noWrap/>
            <w:vAlign w:val="bottom"/>
            <w:hideMark/>
          </w:tcPr>
          <w:p w14:paraId="0626F0EB" w14:textId="6F117597"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941</w:t>
            </w:r>
          </w:p>
        </w:tc>
        <w:tc>
          <w:tcPr>
            <w:tcW w:w="535" w:type="pct"/>
            <w:tcBorders>
              <w:top w:val="nil"/>
              <w:left w:val="nil"/>
              <w:bottom w:val="nil"/>
              <w:right w:val="nil"/>
            </w:tcBorders>
            <w:shd w:val="clear" w:color="auto" w:fill="auto"/>
            <w:noWrap/>
            <w:vAlign w:val="bottom"/>
            <w:hideMark/>
          </w:tcPr>
          <w:p w14:paraId="1EF52A49" w14:textId="215329EC"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711</w:t>
            </w:r>
          </w:p>
        </w:tc>
        <w:tc>
          <w:tcPr>
            <w:tcW w:w="535" w:type="pct"/>
            <w:tcBorders>
              <w:top w:val="nil"/>
              <w:left w:val="nil"/>
              <w:bottom w:val="nil"/>
              <w:right w:val="nil"/>
            </w:tcBorders>
            <w:shd w:val="clear" w:color="auto" w:fill="auto"/>
            <w:noWrap/>
            <w:vAlign w:val="bottom"/>
            <w:hideMark/>
          </w:tcPr>
          <w:p w14:paraId="3E63EDDD" w14:textId="494A319E"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580</w:t>
            </w:r>
          </w:p>
        </w:tc>
        <w:tc>
          <w:tcPr>
            <w:tcW w:w="535" w:type="pct"/>
            <w:tcBorders>
              <w:top w:val="nil"/>
              <w:left w:val="nil"/>
              <w:bottom w:val="nil"/>
              <w:right w:val="single" w:sz="8" w:space="0" w:color="auto"/>
            </w:tcBorders>
            <w:shd w:val="clear" w:color="auto" w:fill="auto"/>
            <w:noWrap/>
            <w:vAlign w:val="bottom"/>
            <w:hideMark/>
          </w:tcPr>
          <w:p w14:paraId="1AA90BBB" w14:textId="462B3ECE"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561</w:t>
            </w:r>
          </w:p>
        </w:tc>
      </w:tr>
      <w:tr w:rsidR="0028454F" w:rsidRPr="001D4C39" w14:paraId="49AED291" w14:textId="5F736129" w:rsidTr="007F7E40">
        <w:trPr>
          <w:trHeight w:val="300"/>
        </w:trPr>
        <w:tc>
          <w:tcPr>
            <w:tcW w:w="2861" w:type="pct"/>
            <w:tcBorders>
              <w:top w:val="nil"/>
              <w:left w:val="single" w:sz="8" w:space="0" w:color="auto"/>
              <w:bottom w:val="nil"/>
              <w:right w:val="single" w:sz="8" w:space="0" w:color="auto"/>
            </w:tcBorders>
            <w:shd w:val="clear" w:color="auto" w:fill="auto"/>
            <w:noWrap/>
            <w:vAlign w:val="bottom"/>
            <w:hideMark/>
          </w:tcPr>
          <w:p w14:paraId="7949D6DE" w14:textId="46AB739E" w:rsidR="001D4C39" w:rsidRPr="001D4C39" w:rsidRDefault="001D4C39" w:rsidP="001D4C39">
            <w:pPr>
              <w:keepNext/>
              <w:spacing w:after="0"/>
              <w:jc w:val="lef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Solar, utility</w:t>
            </w:r>
          </w:p>
        </w:tc>
        <w:tc>
          <w:tcPr>
            <w:tcW w:w="535" w:type="pct"/>
            <w:tcBorders>
              <w:top w:val="nil"/>
              <w:left w:val="nil"/>
              <w:bottom w:val="nil"/>
              <w:right w:val="nil"/>
            </w:tcBorders>
            <w:shd w:val="clear" w:color="auto" w:fill="auto"/>
            <w:noWrap/>
            <w:vAlign w:val="bottom"/>
            <w:hideMark/>
          </w:tcPr>
          <w:p w14:paraId="20C502A1" w14:textId="431CB27C"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511</w:t>
            </w:r>
          </w:p>
        </w:tc>
        <w:tc>
          <w:tcPr>
            <w:tcW w:w="535" w:type="pct"/>
            <w:tcBorders>
              <w:top w:val="nil"/>
              <w:left w:val="nil"/>
              <w:bottom w:val="nil"/>
              <w:right w:val="nil"/>
            </w:tcBorders>
            <w:shd w:val="clear" w:color="auto" w:fill="auto"/>
            <w:noWrap/>
            <w:vAlign w:val="bottom"/>
            <w:hideMark/>
          </w:tcPr>
          <w:p w14:paraId="41029741" w14:textId="4E7DD289"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394</w:t>
            </w:r>
          </w:p>
        </w:tc>
        <w:tc>
          <w:tcPr>
            <w:tcW w:w="535" w:type="pct"/>
            <w:tcBorders>
              <w:top w:val="nil"/>
              <w:left w:val="nil"/>
              <w:bottom w:val="nil"/>
              <w:right w:val="nil"/>
            </w:tcBorders>
            <w:shd w:val="clear" w:color="auto" w:fill="auto"/>
            <w:noWrap/>
            <w:vAlign w:val="bottom"/>
            <w:hideMark/>
          </w:tcPr>
          <w:p w14:paraId="1B717E5E" w14:textId="1B6D6924"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322</w:t>
            </w:r>
          </w:p>
        </w:tc>
        <w:tc>
          <w:tcPr>
            <w:tcW w:w="535" w:type="pct"/>
            <w:tcBorders>
              <w:top w:val="nil"/>
              <w:left w:val="nil"/>
              <w:bottom w:val="nil"/>
              <w:right w:val="single" w:sz="8" w:space="0" w:color="auto"/>
            </w:tcBorders>
            <w:shd w:val="clear" w:color="auto" w:fill="auto"/>
            <w:noWrap/>
            <w:vAlign w:val="bottom"/>
            <w:hideMark/>
          </w:tcPr>
          <w:p w14:paraId="6C09A93F" w14:textId="4B06D056"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284</w:t>
            </w:r>
          </w:p>
        </w:tc>
      </w:tr>
      <w:tr w:rsidR="0028454F" w:rsidRPr="001D4C39" w14:paraId="60FC593B" w14:textId="0436E93C" w:rsidTr="007F7E40">
        <w:trPr>
          <w:trHeight w:val="132"/>
        </w:trPr>
        <w:tc>
          <w:tcPr>
            <w:tcW w:w="2861" w:type="pct"/>
            <w:tcBorders>
              <w:top w:val="nil"/>
              <w:left w:val="single" w:sz="8" w:space="0" w:color="auto"/>
              <w:bottom w:val="nil"/>
              <w:right w:val="single" w:sz="8" w:space="0" w:color="auto"/>
            </w:tcBorders>
            <w:shd w:val="clear" w:color="auto" w:fill="auto"/>
            <w:noWrap/>
            <w:vAlign w:val="bottom"/>
            <w:hideMark/>
          </w:tcPr>
          <w:p w14:paraId="52D0E81B" w14:textId="44A66E0F" w:rsidR="001D4C39" w:rsidRPr="001D4C39" w:rsidRDefault="001D4C39" w:rsidP="001D4C39">
            <w:pPr>
              <w:keepNext/>
              <w:spacing w:after="0"/>
              <w:jc w:val="left"/>
              <w:rPr>
                <w:rFonts w:ascii="EC Square Sans Cond Pro" w:eastAsia="Times New Roman" w:hAnsi="EC Square Sans Cond Pro" w:cs="Calibri"/>
                <w:noProof/>
                <w:color w:val="000000"/>
                <w:sz w:val="22"/>
                <w:szCs w:val="22"/>
                <w:lang w:val="en-IE"/>
              </w:rPr>
            </w:pPr>
            <w:r w:rsidRPr="001D4C39">
              <w:rPr>
                <w:rFonts w:ascii="Calibri" w:eastAsia="Times New Roman" w:hAnsi="Calibri" w:cs="Calibri"/>
                <w:noProof/>
                <w:color w:val="000000"/>
                <w:sz w:val="22"/>
                <w:szCs w:val="22"/>
                <w:lang w:val="en-IE"/>
              </w:rPr>
              <w:t> </w:t>
            </w:r>
          </w:p>
        </w:tc>
        <w:tc>
          <w:tcPr>
            <w:tcW w:w="535" w:type="pct"/>
            <w:tcBorders>
              <w:top w:val="nil"/>
              <w:left w:val="nil"/>
              <w:bottom w:val="nil"/>
              <w:right w:val="nil"/>
            </w:tcBorders>
            <w:shd w:val="clear" w:color="auto" w:fill="auto"/>
            <w:noWrap/>
            <w:vAlign w:val="bottom"/>
            <w:hideMark/>
          </w:tcPr>
          <w:p w14:paraId="33652F13" w14:textId="06FB26BD" w:rsidR="001D4C39" w:rsidRPr="001D4C39" w:rsidRDefault="001D4C39" w:rsidP="001D4C39">
            <w:pPr>
              <w:keepNext/>
              <w:spacing w:after="0"/>
              <w:jc w:val="left"/>
              <w:rPr>
                <w:rFonts w:ascii="EC Square Sans Cond Pro" w:eastAsia="Times New Roman" w:hAnsi="EC Square Sans Cond Pro" w:cs="Calibri"/>
                <w:b/>
                <w:bCs/>
                <w:noProof/>
                <w:color w:val="000000"/>
                <w:sz w:val="22"/>
                <w:szCs w:val="22"/>
                <w:lang w:val="en-IE"/>
              </w:rPr>
            </w:pPr>
            <w:r w:rsidRPr="001D4C39">
              <w:rPr>
                <w:rFonts w:ascii="Calibri" w:eastAsia="Times New Roman" w:hAnsi="Calibri" w:cs="Calibri"/>
                <w:b/>
                <w:bCs/>
                <w:noProof/>
                <w:color w:val="000000"/>
                <w:sz w:val="22"/>
                <w:szCs w:val="22"/>
                <w:lang w:val="en-IE"/>
              </w:rPr>
              <w:t> </w:t>
            </w:r>
          </w:p>
        </w:tc>
        <w:tc>
          <w:tcPr>
            <w:tcW w:w="535" w:type="pct"/>
            <w:tcBorders>
              <w:top w:val="nil"/>
              <w:left w:val="nil"/>
              <w:bottom w:val="nil"/>
              <w:right w:val="nil"/>
            </w:tcBorders>
            <w:shd w:val="clear" w:color="auto" w:fill="auto"/>
            <w:noWrap/>
            <w:vAlign w:val="bottom"/>
            <w:hideMark/>
          </w:tcPr>
          <w:p w14:paraId="4BCBA885" w14:textId="6C09C85F" w:rsidR="001D4C39" w:rsidRPr="001D4C39" w:rsidRDefault="001D4C39" w:rsidP="001D4C39">
            <w:pPr>
              <w:keepNext/>
              <w:spacing w:after="0"/>
              <w:jc w:val="left"/>
              <w:rPr>
                <w:rFonts w:ascii="EC Square Sans Cond Pro" w:eastAsia="Times New Roman" w:hAnsi="EC Square Sans Cond Pro" w:cs="Calibri"/>
                <w:b/>
                <w:bCs/>
                <w:noProof/>
                <w:color w:val="000000"/>
                <w:sz w:val="22"/>
                <w:szCs w:val="22"/>
                <w:lang w:val="en-IE"/>
              </w:rPr>
            </w:pPr>
          </w:p>
        </w:tc>
        <w:tc>
          <w:tcPr>
            <w:tcW w:w="535" w:type="pct"/>
            <w:tcBorders>
              <w:top w:val="nil"/>
              <w:left w:val="nil"/>
              <w:bottom w:val="nil"/>
              <w:right w:val="nil"/>
            </w:tcBorders>
            <w:shd w:val="clear" w:color="auto" w:fill="auto"/>
            <w:noWrap/>
            <w:vAlign w:val="bottom"/>
            <w:hideMark/>
          </w:tcPr>
          <w:p w14:paraId="5F0CCE21" w14:textId="4E58C8B1" w:rsidR="001D4C39" w:rsidRPr="001D4C39" w:rsidRDefault="001D4C39" w:rsidP="001D4C39">
            <w:pPr>
              <w:keepNext/>
              <w:spacing w:after="0"/>
              <w:jc w:val="left"/>
              <w:rPr>
                <w:rFonts w:ascii="Times New Roman" w:eastAsia="Times New Roman" w:hAnsi="Times New Roman" w:cs="Times New Roman"/>
                <w:noProof/>
                <w:sz w:val="20"/>
                <w:szCs w:val="20"/>
                <w:lang w:val="en-IE"/>
              </w:rPr>
            </w:pPr>
          </w:p>
        </w:tc>
        <w:tc>
          <w:tcPr>
            <w:tcW w:w="535" w:type="pct"/>
            <w:tcBorders>
              <w:top w:val="nil"/>
              <w:left w:val="nil"/>
              <w:bottom w:val="nil"/>
              <w:right w:val="single" w:sz="8" w:space="0" w:color="auto"/>
            </w:tcBorders>
            <w:shd w:val="clear" w:color="auto" w:fill="auto"/>
            <w:noWrap/>
            <w:vAlign w:val="bottom"/>
            <w:hideMark/>
          </w:tcPr>
          <w:p w14:paraId="094CC3B3" w14:textId="17286853" w:rsidR="001D4C39" w:rsidRPr="001D4C39" w:rsidRDefault="001D4C39" w:rsidP="001D4C39">
            <w:pPr>
              <w:keepNext/>
              <w:spacing w:after="0"/>
              <w:jc w:val="left"/>
              <w:rPr>
                <w:rFonts w:ascii="EC Square Sans Cond Pro" w:eastAsia="Times New Roman" w:hAnsi="EC Square Sans Cond Pro" w:cs="Calibri"/>
                <w:b/>
                <w:bCs/>
                <w:noProof/>
                <w:color w:val="000000"/>
                <w:sz w:val="22"/>
                <w:szCs w:val="22"/>
                <w:lang w:val="en-IE"/>
              </w:rPr>
            </w:pPr>
            <w:r w:rsidRPr="001D4C39">
              <w:rPr>
                <w:rFonts w:ascii="Calibri" w:eastAsia="Times New Roman" w:hAnsi="Calibri" w:cs="Calibri"/>
                <w:b/>
                <w:bCs/>
                <w:noProof/>
                <w:color w:val="000000"/>
                <w:sz w:val="22"/>
                <w:szCs w:val="22"/>
                <w:lang w:val="en-IE"/>
              </w:rPr>
              <w:t> </w:t>
            </w:r>
          </w:p>
        </w:tc>
      </w:tr>
      <w:tr w:rsidR="0028454F" w:rsidRPr="001D4C39" w14:paraId="28D7310A" w14:textId="206D9A78" w:rsidTr="007F7E40">
        <w:trPr>
          <w:trHeight w:val="300"/>
        </w:trPr>
        <w:tc>
          <w:tcPr>
            <w:tcW w:w="2861" w:type="pct"/>
            <w:tcBorders>
              <w:top w:val="nil"/>
              <w:left w:val="single" w:sz="8" w:space="0" w:color="auto"/>
              <w:bottom w:val="nil"/>
              <w:right w:val="single" w:sz="8" w:space="0" w:color="auto"/>
            </w:tcBorders>
            <w:shd w:val="clear" w:color="auto" w:fill="auto"/>
            <w:noWrap/>
            <w:vAlign w:val="bottom"/>
            <w:hideMark/>
          </w:tcPr>
          <w:p w14:paraId="4BF816E8" w14:textId="5A3B2EC8" w:rsidR="001D4C39" w:rsidRPr="001D4C39" w:rsidRDefault="001D4C39" w:rsidP="001D4C39">
            <w:pPr>
              <w:keepNext/>
              <w:spacing w:after="0"/>
              <w:jc w:val="lef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Wind onshore</w:t>
            </w:r>
          </w:p>
        </w:tc>
        <w:tc>
          <w:tcPr>
            <w:tcW w:w="535" w:type="pct"/>
            <w:tcBorders>
              <w:top w:val="nil"/>
              <w:left w:val="nil"/>
              <w:bottom w:val="nil"/>
              <w:right w:val="nil"/>
            </w:tcBorders>
            <w:shd w:val="clear" w:color="auto" w:fill="auto"/>
            <w:noWrap/>
            <w:vAlign w:val="bottom"/>
            <w:hideMark/>
          </w:tcPr>
          <w:p w14:paraId="0793A065" w14:textId="327D8855"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1347</w:t>
            </w:r>
          </w:p>
        </w:tc>
        <w:tc>
          <w:tcPr>
            <w:tcW w:w="535" w:type="pct"/>
            <w:tcBorders>
              <w:top w:val="nil"/>
              <w:left w:val="nil"/>
              <w:bottom w:val="nil"/>
              <w:right w:val="nil"/>
            </w:tcBorders>
            <w:shd w:val="clear" w:color="auto" w:fill="auto"/>
            <w:noWrap/>
            <w:vAlign w:val="bottom"/>
            <w:hideMark/>
          </w:tcPr>
          <w:p w14:paraId="457CFB90" w14:textId="08AFD607"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1021</w:t>
            </w:r>
          </w:p>
        </w:tc>
        <w:tc>
          <w:tcPr>
            <w:tcW w:w="535" w:type="pct"/>
            <w:tcBorders>
              <w:top w:val="nil"/>
              <w:left w:val="nil"/>
              <w:bottom w:val="nil"/>
              <w:right w:val="nil"/>
            </w:tcBorders>
            <w:shd w:val="clear" w:color="auto" w:fill="auto"/>
            <w:noWrap/>
            <w:vAlign w:val="bottom"/>
            <w:hideMark/>
          </w:tcPr>
          <w:p w14:paraId="66CB97FB" w14:textId="49C11326"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941</w:t>
            </w:r>
          </w:p>
        </w:tc>
        <w:tc>
          <w:tcPr>
            <w:tcW w:w="535" w:type="pct"/>
            <w:tcBorders>
              <w:top w:val="nil"/>
              <w:left w:val="nil"/>
              <w:bottom w:val="nil"/>
              <w:right w:val="single" w:sz="8" w:space="0" w:color="auto"/>
            </w:tcBorders>
            <w:shd w:val="clear" w:color="auto" w:fill="auto"/>
            <w:noWrap/>
            <w:vAlign w:val="bottom"/>
            <w:hideMark/>
          </w:tcPr>
          <w:p w14:paraId="2B925BC4" w14:textId="5100A2AD"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920</w:t>
            </w:r>
          </w:p>
        </w:tc>
      </w:tr>
      <w:tr w:rsidR="0028454F" w:rsidRPr="001D4C39" w14:paraId="2B3691E7" w14:textId="7F25425C" w:rsidTr="007F7E40">
        <w:trPr>
          <w:trHeight w:val="300"/>
        </w:trPr>
        <w:tc>
          <w:tcPr>
            <w:tcW w:w="2861" w:type="pct"/>
            <w:tcBorders>
              <w:top w:val="nil"/>
              <w:left w:val="single" w:sz="8" w:space="0" w:color="auto"/>
              <w:bottom w:val="nil"/>
              <w:right w:val="single" w:sz="8" w:space="0" w:color="auto"/>
            </w:tcBorders>
            <w:shd w:val="clear" w:color="auto" w:fill="auto"/>
            <w:noWrap/>
            <w:vAlign w:val="bottom"/>
            <w:hideMark/>
          </w:tcPr>
          <w:p w14:paraId="6281275F" w14:textId="4E055223" w:rsidR="001D4C39" w:rsidRPr="001D4C39" w:rsidRDefault="001D4C39" w:rsidP="001D4C39">
            <w:pPr>
              <w:keepNext/>
              <w:spacing w:after="0"/>
              <w:jc w:val="lef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Wind offshore, shallow</w:t>
            </w:r>
          </w:p>
        </w:tc>
        <w:tc>
          <w:tcPr>
            <w:tcW w:w="535" w:type="pct"/>
            <w:tcBorders>
              <w:top w:val="nil"/>
              <w:left w:val="nil"/>
              <w:bottom w:val="nil"/>
              <w:right w:val="nil"/>
            </w:tcBorders>
            <w:shd w:val="clear" w:color="auto" w:fill="auto"/>
            <w:noWrap/>
            <w:vAlign w:val="bottom"/>
            <w:hideMark/>
          </w:tcPr>
          <w:p w14:paraId="0FD04015" w14:textId="7D557AC1"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2673</w:t>
            </w:r>
          </w:p>
        </w:tc>
        <w:tc>
          <w:tcPr>
            <w:tcW w:w="535" w:type="pct"/>
            <w:tcBorders>
              <w:top w:val="nil"/>
              <w:left w:val="nil"/>
              <w:bottom w:val="nil"/>
              <w:right w:val="nil"/>
            </w:tcBorders>
            <w:shd w:val="clear" w:color="auto" w:fill="auto"/>
            <w:noWrap/>
            <w:vAlign w:val="bottom"/>
            <w:hideMark/>
          </w:tcPr>
          <w:p w14:paraId="43370D91" w14:textId="3CCC6CB0"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2067</w:t>
            </w:r>
          </w:p>
        </w:tc>
        <w:tc>
          <w:tcPr>
            <w:tcW w:w="535" w:type="pct"/>
            <w:tcBorders>
              <w:top w:val="nil"/>
              <w:left w:val="nil"/>
              <w:bottom w:val="nil"/>
              <w:right w:val="nil"/>
            </w:tcBorders>
            <w:shd w:val="clear" w:color="auto" w:fill="auto"/>
            <w:noWrap/>
            <w:vAlign w:val="bottom"/>
            <w:hideMark/>
          </w:tcPr>
          <w:p w14:paraId="32104666" w14:textId="07E93BC9"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1708</w:t>
            </w:r>
          </w:p>
        </w:tc>
        <w:tc>
          <w:tcPr>
            <w:tcW w:w="535" w:type="pct"/>
            <w:tcBorders>
              <w:top w:val="nil"/>
              <w:left w:val="nil"/>
              <w:bottom w:val="nil"/>
              <w:right w:val="single" w:sz="8" w:space="0" w:color="auto"/>
            </w:tcBorders>
            <w:shd w:val="clear" w:color="auto" w:fill="auto"/>
            <w:noWrap/>
            <w:vAlign w:val="bottom"/>
            <w:hideMark/>
          </w:tcPr>
          <w:p w14:paraId="35697EE9" w14:textId="429C3EE2"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1619</w:t>
            </w:r>
          </w:p>
        </w:tc>
      </w:tr>
      <w:tr w:rsidR="0028454F" w:rsidRPr="001D4C39" w14:paraId="7E640789" w14:textId="605B4E44" w:rsidTr="007F7E40">
        <w:trPr>
          <w:trHeight w:val="300"/>
        </w:trPr>
        <w:tc>
          <w:tcPr>
            <w:tcW w:w="2861" w:type="pct"/>
            <w:tcBorders>
              <w:top w:val="nil"/>
              <w:left w:val="single" w:sz="8" w:space="0" w:color="auto"/>
              <w:bottom w:val="nil"/>
              <w:right w:val="single" w:sz="8" w:space="0" w:color="auto"/>
            </w:tcBorders>
            <w:shd w:val="clear" w:color="auto" w:fill="auto"/>
            <w:noWrap/>
            <w:vAlign w:val="bottom"/>
            <w:hideMark/>
          </w:tcPr>
          <w:p w14:paraId="67881BEA" w14:textId="7ED683B8" w:rsidR="001D4C39" w:rsidRPr="001D4C39" w:rsidRDefault="001D4C39" w:rsidP="001D4C39">
            <w:pPr>
              <w:keepNext/>
              <w:spacing w:after="0"/>
              <w:jc w:val="lef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Wind offshore, floating</w:t>
            </w:r>
          </w:p>
        </w:tc>
        <w:tc>
          <w:tcPr>
            <w:tcW w:w="535" w:type="pct"/>
            <w:tcBorders>
              <w:top w:val="nil"/>
              <w:left w:val="nil"/>
              <w:bottom w:val="nil"/>
              <w:right w:val="nil"/>
            </w:tcBorders>
            <w:shd w:val="clear" w:color="auto" w:fill="auto"/>
            <w:noWrap/>
            <w:vAlign w:val="bottom"/>
            <w:hideMark/>
          </w:tcPr>
          <w:p w14:paraId="6BA3C768" w14:textId="2D9FE41D"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5107</w:t>
            </w:r>
          </w:p>
        </w:tc>
        <w:tc>
          <w:tcPr>
            <w:tcW w:w="535" w:type="pct"/>
            <w:tcBorders>
              <w:top w:val="nil"/>
              <w:left w:val="nil"/>
              <w:bottom w:val="nil"/>
              <w:right w:val="nil"/>
            </w:tcBorders>
            <w:shd w:val="clear" w:color="auto" w:fill="auto"/>
            <w:noWrap/>
            <w:vAlign w:val="bottom"/>
            <w:hideMark/>
          </w:tcPr>
          <w:p w14:paraId="0525D41A" w14:textId="77680542"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3212</w:t>
            </w:r>
          </w:p>
        </w:tc>
        <w:tc>
          <w:tcPr>
            <w:tcW w:w="535" w:type="pct"/>
            <w:tcBorders>
              <w:top w:val="nil"/>
              <w:left w:val="nil"/>
              <w:bottom w:val="nil"/>
              <w:right w:val="nil"/>
            </w:tcBorders>
            <w:shd w:val="clear" w:color="auto" w:fill="auto"/>
            <w:noWrap/>
            <w:vAlign w:val="bottom"/>
            <w:hideMark/>
          </w:tcPr>
          <w:p w14:paraId="17468B8A" w14:textId="2100C738"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2531</w:t>
            </w:r>
          </w:p>
        </w:tc>
        <w:tc>
          <w:tcPr>
            <w:tcW w:w="535" w:type="pct"/>
            <w:tcBorders>
              <w:top w:val="nil"/>
              <w:left w:val="nil"/>
              <w:bottom w:val="nil"/>
              <w:right w:val="single" w:sz="8" w:space="0" w:color="auto"/>
            </w:tcBorders>
            <w:shd w:val="clear" w:color="auto" w:fill="auto"/>
            <w:noWrap/>
            <w:vAlign w:val="bottom"/>
            <w:hideMark/>
          </w:tcPr>
          <w:p w14:paraId="0863F96A" w14:textId="0C02BEB8"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2478</w:t>
            </w:r>
          </w:p>
        </w:tc>
      </w:tr>
      <w:tr w:rsidR="0028454F" w:rsidRPr="001D4C39" w14:paraId="33B653C0" w14:textId="5B5C0D13" w:rsidTr="007F7E40">
        <w:trPr>
          <w:trHeight w:val="132"/>
        </w:trPr>
        <w:tc>
          <w:tcPr>
            <w:tcW w:w="2861" w:type="pct"/>
            <w:tcBorders>
              <w:top w:val="nil"/>
              <w:left w:val="single" w:sz="8" w:space="0" w:color="auto"/>
              <w:bottom w:val="nil"/>
              <w:right w:val="single" w:sz="8" w:space="0" w:color="auto"/>
            </w:tcBorders>
            <w:shd w:val="clear" w:color="auto" w:fill="auto"/>
            <w:noWrap/>
            <w:vAlign w:val="bottom"/>
            <w:hideMark/>
          </w:tcPr>
          <w:p w14:paraId="5E81FD2B" w14:textId="2330C46A" w:rsidR="001D4C39" w:rsidRPr="001D4C39" w:rsidRDefault="001D4C39" w:rsidP="001D4C39">
            <w:pPr>
              <w:keepNext/>
              <w:spacing w:after="0"/>
              <w:jc w:val="left"/>
              <w:rPr>
                <w:rFonts w:ascii="EC Square Sans Cond Pro" w:eastAsia="Times New Roman" w:hAnsi="EC Square Sans Cond Pro" w:cs="Calibri"/>
                <w:noProof/>
                <w:color w:val="000000"/>
                <w:sz w:val="22"/>
                <w:szCs w:val="22"/>
                <w:lang w:val="en-IE"/>
              </w:rPr>
            </w:pPr>
            <w:r w:rsidRPr="001D4C39">
              <w:rPr>
                <w:rFonts w:ascii="Calibri" w:eastAsia="Times New Roman" w:hAnsi="Calibri" w:cs="Calibri"/>
                <w:noProof/>
                <w:color w:val="000000"/>
                <w:sz w:val="22"/>
                <w:szCs w:val="22"/>
                <w:lang w:val="en-IE"/>
              </w:rPr>
              <w:t> </w:t>
            </w:r>
          </w:p>
        </w:tc>
        <w:tc>
          <w:tcPr>
            <w:tcW w:w="535" w:type="pct"/>
            <w:tcBorders>
              <w:top w:val="nil"/>
              <w:left w:val="nil"/>
              <w:bottom w:val="nil"/>
              <w:right w:val="nil"/>
            </w:tcBorders>
            <w:shd w:val="clear" w:color="auto" w:fill="auto"/>
            <w:noWrap/>
            <w:vAlign w:val="bottom"/>
            <w:hideMark/>
          </w:tcPr>
          <w:p w14:paraId="3BDA31C3" w14:textId="16287B3D" w:rsidR="001D4C39" w:rsidRPr="001D4C39" w:rsidRDefault="001D4C39" w:rsidP="001D4C39">
            <w:pPr>
              <w:keepNext/>
              <w:spacing w:after="0"/>
              <w:jc w:val="left"/>
              <w:rPr>
                <w:rFonts w:ascii="EC Square Sans Cond Pro" w:eastAsia="Times New Roman" w:hAnsi="EC Square Sans Cond Pro" w:cs="Calibri"/>
                <w:b/>
                <w:bCs/>
                <w:noProof/>
                <w:color w:val="000000"/>
                <w:sz w:val="22"/>
                <w:szCs w:val="22"/>
                <w:lang w:val="en-IE"/>
              </w:rPr>
            </w:pPr>
            <w:r w:rsidRPr="001D4C39">
              <w:rPr>
                <w:rFonts w:ascii="Calibri" w:eastAsia="Times New Roman" w:hAnsi="Calibri" w:cs="Calibri"/>
                <w:b/>
                <w:bCs/>
                <w:noProof/>
                <w:color w:val="000000"/>
                <w:sz w:val="22"/>
                <w:szCs w:val="22"/>
                <w:lang w:val="en-IE"/>
              </w:rPr>
              <w:t> </w:t>
            </w:r>
          </w:p>
        </w:tc>
        <w:tc>
          <w:tcPr>
            <w:tcW w:w="535" w:type="pct"/>
            <w:tcBorders>
              <w:top w:val="nil"/>
              <w:left w:val="nil"/>
              <w:bottom w:val="nil"/>
              <w:right w:val="nil"/>
            </w:tcBorders>
            <w:shd w:val="clear" w:color="auto" w:fill="auto"/>
            <w:noWrap/>
            <w:vAlign w:val="bottom"/>
            <w:hideMark/>
          </w:tcPr>
          <w:p w14:paraId="3CB3E932" w14:textId="2A0CA07D" w:rsidR="001D4C39" w:rsidRPr="001D4C39" w:rsidRDefault="001D4C39" w:rsidP="001D4C39">
            <w:pPr>
              <w:keepNext/>
              <w:spacing w:after="0"/>
              <w:jc w:val="left"/>
              <w:rPr>
                <w:rFonts w:ascii="EC Square Sans Cond Pro" w:eastAsia="Times New Roman" w:hAnsi="EC Square Sans Cond Pro" w:cs="Calibri"/>
                <w:b/>
                <w:bCs/>
                <w:noProof/>
                <w:color w:val="000000"/>
                <w:sz w:val="22"/>
                <w:szCs w:val="22"/>
                <w:lang w:val="en-IE"/>
              </w:rPr>
            </w:pPr>
          </w:p>
        </w:tc>
        <w:tc>
          <w:tcPr>
            <w:tcW w:w="535" w:type="pct"/>
            <w:tcBorders>
              <w:top w:val="nil"/>
              <w:left w:val="nil"/>
              <w:bottom w:val="nil"/>
              <w:right w:val="nil"/>
            </w:tcBorders>
            <w:shd w:val="clear" w:color="auto" w:fill="auto"/>
            <w:noWrap/>
            <w:vAlign w:val="bottom"/>
            <w:hideMark/>
          </w:tcPr>
          <w:p w14:paraId="5D05F775" w14:textId="4175A045" w:rsidR="001D4C39" w:rsidRPr="001D4C39" w:rsidRDefault="001D4C39" w:rsidP="001D4C39">
            <w:pPr>
              <w:keepNext/>
              <w:spacing w:after="0"/>
              <w:jc w:val="left"/>
              <w:rPr>
                <w:rFonts w:ascii="Times New Roman" w:eastAsia="Times New Roman" w:hAnsi="Times New Roman" w:cs="Times New Roman"/>
                <w:noProof/>
                <w:sz w:val="20"/>
                <w:szCs w:val="20"/>
                <w:lang w:val="en-IE"/>
              </w:rPr>
            </w:pPr>
          </w:p>
        </w:tc>
        <w:tc>
          <w:tcPr>
            <w:tcW w:w="535" w:type="pct"/>
            <w:tcBorders>
              <w:top w:val="nil"/>
              <w:left w:val="nil"/>
              <w:bottom w:val="nil"/>
              <w:right w:val="single" w:sz="8" w:space="0" w:color="auto"/>
            </w:tcBorders>
            <w:shd w:val="clear" w:color="auto" w:fill="auto"/>
            <w:noWrap/>
            <w:vAlign w:val="bottom"/>
            <w:hideMark/>
          </w:tcPr>
          <w:p w14:paraId="48F32A9B" w14:textId="7FCC4ABC" w:rsidR="001D4C39" w:rsidRPr="001D4C39" w:rsidRDefault="001D4C39" w:rsidP="001D4C39">
            <w:pPr>
              <w:keepNext/>
              <w:spacing w:after="0"/>
              <w:jc w:val="left"/>
              <w:rPr>
                <w:rFonts w:ascii="EC Square Sans Cond Pro" w:eastAsia="Times New Roman" w:hAnsi="EC Square Sans Cond Pro" w:cs="Calibri"/>
                <w:b/>
                <w:bCs/>
                <w:noProof/>
                <w:color w:val="000000"/>
                <w:sz w:val="22"/>
                <w:szCs w:val="22"/>
                <w:lang w:val="en-IE"/>
              </w:rPr>
            </w:pPr>
            <w:r w:rsidRPr="001D4C39">
              <w:rPr>
                <w:rFonts w:ascii="Calibri" w:eastAsia="Times New Roman" w:hAnsi="Calibri" w:cs="Calibri"/>
                <w:b/>
                <w:bCs/>
                <w:noProof/>
                <w:color w:val="000000"/>
                <w:sz w:val="22"/>
                <w:szCs w:val="22"/>
                <w:lang w:val="en-IE"/>
              </w:rPr>
              <w:t> </w:t>
            </w:r>
          </w:p>
        </w:tc>
      </w:tr>
      <w:tr w:rsidR="007F7E40" w:rsidRPr="001D4C39" w14:paraId="09129D38" w14:textId="5B80E57F" w:rsidTr="007F7E40">
        <w:trPr>
          <w:trHeight w:val="300"/>
        </w:trPr>
        <w:tc>
          <w:tcPr>
            <w:tcW w:w="2861" w:type="pct"/>
            <w:tcBorders>
              <w:top w:val="nil"/>
              <w:left w:val="single" w:sz="8" w:space="0" w:color="auto"/>
              <w:bottom w:val="nil"/>
              <w:right w:val="single" w:sz="8" w:space="0" w:color="auto"/>
            </w:tcBorders>
            <w:shd w:val="clear" w:color="auto" w:fill="auto"/>
            <w:noWrap/>
            <w:vAlign w:val="bottom"/>
            <w:hideMark/>
          </w:tcPr>
          <w:p w14:paraId="74B7C59D" w14:textId="526768ED" w:rsidR="007F7E40" w:rsidRPr="001D4C39" w:rsidRDefault="007F7E40" w:rsidP="007F7E40">
            <w:pPr>
              <w:keepNext/>
              <w:spacing w:after="0"/>
              <w:jc w:val="lef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 xml:space="preserve">Hydrogen, low temperature electrolysis </w:t>
            </w:r>
            <w:r>
              <w:rPr>
                <w:rFonts w:ascii="EC Square Sans Cond Pro" w:eastAsia="Times New Roman" w:hAnsi="EC Square Sans Cond Pro" w:cs="Calibri"/>
                <w:noProof/>
                <w:color w:val="000000"/>
                <w:sz w:val="22"/>
                <w:szCs w:val="22"/>
                <w:lang w:val="en-IE"/>
              </w:rPr>
              <w:t>–</w:t>
            </w:r>
            <w:r w:rsidRPr="001D4C39">
              <w:rPr>
                <w:rFonts w:ascii="EC Square Sans Cond Pro" w:eastAsia="Times New Roman" w:hAnsi="EC Square Sans Cond Pro" w:cs="Calibri"/>
                <w:noProof/>
                <w:color w:val="000000"/>
                <w:sz w:val="22"/>
                <w:szCs w:val="22"/>
                <w:lang w:val="en-IE"/>
              </w:rPr>
              <w:t xml:space="preserve"> PEM</w:t>
            </w:r>
          </w:p>
        </w:tc>
        <w:tc>
          <w:tcPr>
            <w:tcW w:w="535" w:type="pct"/>
            <w:tcBorders>
              <w:top w:val="nil"/>
              <w:left w:val="nil"/>
              <w:bottom w:val="nil"/>
              <w:right w:val="nil"/>
            </w:tcBorders>
            <w:shd w:val="clear" w:color="auto" w:fill="auto"/>
            <w:noWrap/>
            <w:vAlign w:val="bottom"/>
            <w:hideMark/>
          </w:tcPr>
          <w:p w14:paraId="49250235" w14:textId="5026D037" w:rsidR="007F7E40" w:rsidRPr="001D4C39" w:rsidRDefault="007F7E40" w:rsidP="007F7E40">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1586</w:t>
            </w:r>
          </w:p>
        </w:tc>
        <w:tc>
          <w:tcPr>
            <w:tcW w:w="535" w:type="pct"/>
            <w:tcBorders>
              <w:top w:val="nil"/>
              <w:left w:val="nil"/>
              <w:bottom w:val="nil"/>
              <w:right w:val="nil"/>
            </w:tcBorders>
            <w:shd w:val="clear" w:color="auto" w:fill="auto"/>
            <w:noWrap/>
            <w:vAlign w:val="bottom"/>
            <w:hideMark/>
          </w:tcPr>
          <w:p w14:paraId="2BD293EE" w14:textId="5B935A94" w:rsidR="007F7E40" w:rsidRPr="001D4C39" w:rsidRDefault="007F7E40" w:rsidP="007F7E40">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833</w:t>
            </w:r>
          </w:p>
        </w:tc>
        <w:tc>
          <w:tcPr>
            <w:tcW w:w="535" w:type="pct"/>
            <w:tcBorders>
              <w:top w:val="nil"/>
              <w:left w:val="nil"/>
              <w:bottom w:val="nil"/>
              <w:right w:val="nil"/>
            </w:tcBorders>
            <w:shd w:val="clear" w:color="auto" w:fill="auto"/>
            <w:noWrap/>
            <w:vAlign w:val="bottom"/>
            <w:hideMark/>
          </w:tcPr>
          <w:p w14:paraId="4881E1C9" w14:textId="007E3BD0" w:rsidR="007F7E40" w:rsidRPr="00DD7DAF" w:rsidRDefault="007F7E40" w:rsidP="007F7E40">
            <w:pPr>
              <w:keepNext/>
              <w:spacing w:after="0"/>
              <w:jc w:val="right"/>
              <w:rPr>
                <w:rFonts w:ascii="EC Square Sans Cond Pro" w:eastAsia="Times New Roman" w:hAnsi="EC Square Sans Cond Pro" w:cs="Calibri"/>
                <w:noProof/>
                <w:color w:val="000000"/>
                <w:sz w:val="22"/>
                <w:szCs w:val="22"/>
                <w:lang w:val="en-IE"/>
              </w:rPr>
            </w:pPr>
            <w:r>
              <w:rPr>
                <w:rFonts w:ascii="EC Square Sans Cond Pro" w:hAnsi="EC Square Sans Cond Pro" w:cs="Calibri"/>
                <w:noProof/>
                <w:color w:val="000000"/>
                <w:sz w:val="22"/>
                <w:szCs w:val="22"/>
              </w:rPr>
              <w:t>683</w:t>
            </w:r>
          </w:p>
        </w:tc>
        <w:tc>
          <w:tcPr>
            <w:tcW w:w="535" w:type="pct"/>
            <w:tcBorders>
              <w:top w:val="nil"/>
              <w:left w:val="nil"/>
              <w:bottom w:val="nil"/>
              <w:right w:val="single" w:sz="8" w:space="0" w:color="auto"/>
            </w:tcBorders>
            <w:shd w:val="clear" w:color="auto" w:fill="auto"/>
            <w:noWrap/>
            <w:vAlign w:val="bottom"/>
            <w:hideMark/>
          </w:tcPr>
          <w:p w14:paraId="39BFAB12" w14:textId="14FD7BBE" w:rsidR="007F7E40" w:rsidRPr="001D4C39" w:rsidRDefault="007F7E40" w:rsidP="007F7E40">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529</w:t>
            </w:r>
          </w:p>
        </w:tc>
      </w:tr>
      <w:tr w:rsidR="007F7E40" w:rsidRPr="001D4C39" w14:paraId="30FD7745" w14:textId="7695BBA9" w:rsidTr="007F7E40">
        <w:trPr>
          <w:trHeight w:val="300"/>
        </w:trPr>
        <w:tc>
          <w:tcPr>
            <w:tcW w:w="2861" w:type="pct"/>
            <w:tcBorders>
              <w:top w:val="nil"/>
              <w:left w:val="single" w:sz="8" w:space="0" w:color="auto"/>
              <w:bottom w:val="nil"/>
              <w:right w:val="single" w:sz="8" w:space="0" w:color="auto"/>
            </w:tcBorders>
            <w:shd w:val="clear" w:color="auto" w:fill="auto"/>
            <w:noWrap/>
            <w:vAlign w:val="bottom"/>
            <w:hideMark/>
          </w:tcPr>
          <w:p w14:paraId="2A26325B" w14:textId="2514A3FC" w:rsidR="007F7E40" w:rsidRPr="001D4C39" w:rsidRDefault="007F7E40" w:rsidP="007F7E40">
            <w:pPr>
              <w:keepNext/>
              <w:spacing w:after="0"/>
              <w:jc w:val="lef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 xml:space="preserve">Hydrogen, low temperature electrolysis </w:t>
            </w:r>
            <w:r>
              <w:rPr>
                <w:rFonts w:ascii="EC Square Sans Cond Pro" w:eastAsia="Times New Roman" w:hAnsi="EC Square Sans Cond Pro" w:cs="Calibri"/>
                <w:noProof/>
                <w:color w:val="000000"/>
                <w:sz w:val="22"/>
                <w:szCs w:val="22"/>
                <w:lang w:val="en-IE"/>
              </w:rPr>
              <w:t>–</w:t>
            </w:r>
            <w:r w:rsidRPr="001D4C39">
              <w:rPr>
                <w:rFonts w:ascii="EC Square Sans Cond Pro" w:eastAsia="Times New Roman" w:hAnsi="EC Square Sans Cond Pro" w:cs="Calibri"/>
                <w:noProof/>
                <w:color w:val="000000"/>
                <w:sz w:val="22"/>
                <w:szCs w:val="22"/>
                <w:lang w:val="en-IE"/>
              </w:rPr>
              <w:t xml:space="preserve"> alkaline</w:t>
            </w:r>
          </w:p>
        </w:tc>
        <w:tc>
          <w:tcPr>
            <w:tcW w:w="535" w:type="pct"/>
            <w:tcBorders>
              <w:top w:val="nil"/>
              <w:left w:val="nil"/>
              <w:bottom w:val="nil"/>
              <w:right w:val="nil"/>
            </w:tcBorders>
            <w:shd w:val="clear" w:color="auto" w:fill="auto"/>
            <w:noWrap/>
            <w:vAlign w:val="bottom"/>
            <w:hideMark/>
          </w:tcPr>
          <w:p w14:paraId="16668BB4" w14:textId="750FFA60" w:rsidR="007F7E40" w:rsidRPr="001D4C39" w:rsidRDefault="007F7E40" w:rsidP="007F7E40">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1423</w:t>
            </w:r>
          </w:p>
        </w:tc>
        <w:tc>
          <w:tcPr>
            <w:tcW w:w="535" w:type="pct"/>
            <w:tcBorders>
              <w:top w:val="nil"/>
              <w:left w:val="nil"/>
              <w:bottom w:val="nil"/>
              <w:right w:val="nil"/>
            </w:tcBorders>
            <w:shd w:val="clear" w:color="auto" w:fill="auto"/>
            <w:noWrap/>
            <w:vAlign w:val="bottom"/>
            <w:hideMark/>
          </w:tcPr>
          <w:p w14:paraId="770A262B" w14:textId="412B027E" w:rsidR="007F7E40" w:rsidRPr="001D4C39" w:rsidRDefault="007F7E40" w:rsidP="007F7E40">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675</w:t>
            </w:r>
          </w:p>
        </w:tc>
        <w:tc>
          <w:tcPr>
            <w:tcW w:w="535" w:type="pct"/>
            <w:tcBorders>
              <w:top w:val="nil"/>
              <w:left w:val="nil"/>
              <w:bottom w:val="nil"/>
              <w:right w:val="nil"/>
            </w:tcBorders>
            <w:shd w:val="clear" w:color="auto" w:fill="auto"/>
            <w:noWrap/>
            <w:vAlign w:val="bottom"/>
            <w:hideMark/>
          </w:tcPr>
          <w:p w14:paraId="5B673F26" w14:textId="1646F2AE" w:rsidR="007F7E40" w:rsidRPr="00DD7DAF" w:rsidRDefault="007F7E40" w:rsidP="007F7E40">
            <w:pPr>
              <w:keepNext/>
              <w:spacing w:after="0"/>
              <w:jc w:val="right"/>
              <w:rPr>
                <w:rFonts w:ascii="EC Square Sans Cond Pro" w:eastAsia="Times New Roman" w:hAnsi="EC Square Sans Cond Pro" w:cs="Calibri"/>
                <w:noProof/>
                <w:color w:val="000000"/>
                <w:sz w:val="22"/>
                <w:szCs w:val="22"/>
                <w:lang w:val="en-IE"/>
              </w:rPr>
            </w:pPr>
            <w:r>
              <w:rPr>
                <w:rFonts w:ascii="EC Square Sans Cond Pro" w:hAnsi="EC Square Sans Cond Pro" w:cs="Calibri"/>
                <w:noProof/>
                <w:color w:val="000000"/>
                <w:sz w:val="22"/>
                <w:szCs w:val="22"/>
              </w:rPr>
              <w:t>572</w:t>
            </w:r>
          </w:p>
        </w:tc>
        <w:tc>
          <w:tcPr>
            <w:tcW w:w="535" w:type="pct"/>
            <w:tcBorders>
              <w:top w:val="nil"/>
              <w:left w:val="nil"/>
              <w:bottom w:val="nil"/>
              <w:right w:val="single" w:sz="8" w:space="0" w:color="auto"/>
            </w:tcBorders>
            <w:shd w:val="clear" w:color="auto" w:fill="auto"/>
            <w:noWrap/>
            <w:vAlign w:val="bottom"/>
            <w:hideMark/>
          </w:tcPr>
          <w:p w14:paraId="22EE74A4" w14:textId="286645EF" w:rsidR="007F7E40" w:rsidRPr="001D4C39" w:rsidRDefault="007F7E40" w:rsidP="007F7E40">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518</w:t>
            </w:r>
          </w:p>
        </w:tc>
      </w:tr>
      <w:tr w:rsidR="007F7E40" w:rsidRPr="001D4C39" w14:paraId="000A35CB" w14:textId="44647B99" w:rsidTr="007F7E40">
        <w:trPr>
          <w:trHeight w:val="315"/>
        </w:trPr>
        <w:tc>
          <w:tcPr>
            <w:tcW w:w="2861" w:type="pct"/>
            <w:tcBorders>
              <w:top w:val="nil"/>
              <w:left w:val="single" w:sz="8" w:space="0" w:color="auto"/>
              <w:bottom w:val="nil"/>
              <w:right w:val="single" w:sz="8" w:space="0" w:color="auto"/>
            </w:tcBorders>
            <w:shd w:val="clear" w:color="auto" w:fill="auto"/>
            <w:noWrap/>
            <w:vAlign w:val="bottom"/>
            <w:hideMark/>
          </w:tcPr>
          <w:p w14:paraId="06D554AE" w14:textId="45E0BE45" w:rsidR="007F7E40" w:rsidRPr="001D4C39" w:rsidRDefault="007F7E40" w:rsidP="007F7E40">
            <w:pPr>
              <w:keepNext/>
              <w:spacing w:after="0"/>
              <w:jc w:val="lef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 xml:space="preserve">Hydrogen, high temperature electrolysis </w:t>
            </w:r>
            <w:r>
              <w:rPr>
                <w:rFonts w:ascii="EC Square Sans Cond Pro" w:eastAsia="Times New Roman" w:hAnsi="EC Square Sans Cond Pro" w:cs="Calibri"/>
                <w:noProof/>
                <w:color w:val="000000"/>
                <w:sz w:val="22"/>
                <w:szCs w:val="22"/>
                <w:lang w:val="en-IE"/>
              </w:rPr>
              <w:t>–</w:t>
            </w:r>
            <w:r w:rsidRPr="001D4C39">
              <w:rPr>
                <w:rFonts w:ascii="EC Square Sans Cond Pro" w:eastAsia="Times New Roman" w:hAnsi="EC Square Sans Cond Pro" w:cs="Calibri"/>
                <w:noProof/>
                <w:color w:val="000000"/>
                <w:sz w:val="22"/>
                <w:szCs w:val="22"/>
                <w:lang w:val="en-IE"/>
              </w:rPr>
              <w:t xml:space="preserve"> SOEC (centralised)</w:t>
            </w:r>
          </w:p>
        </w:tc>
        <w:tc>
          <w:tcPr>
            <w:tcW w:w="535" w:type="pct"/>
            <w:tcBorders>
              <w:top w:val="nil"/>
              <w:left w:val="nil"/>
              <w:bottom w:val="nil"/>
              <w:right w:val="nil"/>
            </w:tcBorders>
            <w:shd w:val="clear" w:color="auto" w:fill="auto"/>
            <w:noWrap/>
            <w:vAlign w:val="bottom"/>
            <w:hideMark/>
          </w:tcPr>
          <w:p w14:paraId="411E5D0B" w14:textId="6D802A95" w:rsidR="007F7E40" w:rsidRPr="001D4C39" w:rsidRDefault="007F7E40" w:rsidP="007F7E40">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2250</w:t>
            </w:r>
          </w:p>
        </w:tc>
        <w:tc>
          <w:tcPr>
            <w:tcW w:w="535" w:type="pct"/>
            <w:tcBorders>
              <w:top w:val="nil"/>
              <w:left w:val="nil"/>
              <w:bottom w:val="nil"/>
              <w:right w:val="nil"/>
            </w:tcBorders>
            <w:shd w:val="clear" w:color="auto" w:fill="auto"/>
            <w:noWrap/>
            <w:vAlign w:val="bottom"/>
            <w:hideMark/>
          </w:tcPr>
          <w:p w14:paraId="44E453ED" w14:textId="22D0BACD" w:rsidR="007F7E40" w:rsidRPr="001D4C39" w:rsidRDefault="007F7E40" w:rsidP="007F7E40">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1050</w:t>
            </w:r>
          </w:p>
        </w:tc>
        <w:tc>
          <w:tcPr>
            <w:tcW w:w="535" w:type="pct"/>
            <w:tcBorders>
              <w:top w:val="nil"/>
              <w:left w:val="nil"/>
              <w:bottom w:val="nil"/>
              <w:right w:val="nil"/>
            </w:tcBorders>
            <w:shd w:val="clear" w:color="auto" w:fill="auto"/>
            <w:noWrap/>
            <w:vAlign w:val="bottom"/>
            <w:hideMark/>
          </w:tcPr>
          <w:p w14:paraId="06747847" w14:textId="216640F1" w:rsidR="007F7E40" w:rsidRPr="00DD7DAF" w:rsidRDefault="007F7E40" w:rsidP="007F7E40">
            <w:pPr>
              <w:keepNext/>
              <w:spacing w:after="0"/>
              <w:jc w:val="right"/>
              <w:rPr>
                <w:rFonts w:ascii="EC Square Sans Cond Pro" w:eastAsia="Times New Roman" w:hAnsi="EC Square Sans Cond Pro" w:cs="Calibri"/>
                <w:noProof/>
                <w:color w:val="000000"/>
                <w:sz w:val="22"/>
                <w:szCs w:val="22"/>
                <w:lang w:val="en-IE"/>
              </w:rPr>
            </w:pPr>
            <w:r>
              <w:rPr>
                <w:rFonts w:ascii="EC Square Sans Cond Pro" w:hAnsi="EC Square Sans Cond Pro" w:cs="Calibri"/>
                <w:noProof/>
                <w:color w:val="000000"/>
                <w:sz w:val="22"/>
                <w:szCs w:val="22"/>
              </w:rPr>
              <w:t>792</w:t>
            </w:r>
          </w:p>
        </w:tc>
        <w:tc>
          <w:tcPr>
            <w:tcW w:w="535" w:type="pct"/>
            <w:tcBorders>
              <w:top w:val="nil"/>
              <w:left w:val="nil"/>
              <w:bottom w:val="nil"/>
              <w:right w:val="single" w:sz="8" w:space="0" w:color="auto"/>
            </w:tcBorders>
            <w:shd w:val="clear" w:color="auto" w:fill="auto"/>
            <w:noWrap/>
            <w:vAlign w:val="bottom"/>
            <w:hideMark/>
          </w:tcPr>
          <w:p w14:paraId="3D36F2B7" w14:textId="3520BFA2" w:rsidR="007F7E40" w:rsidRPr="001D4C39" w:rsidRDefault="007F7E40" w:rsidP="007F7E40">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580</w:t>
            </w:r>
          </w:p>
        </w:tc>
      </w:tr>
      <w:tr w:rsidR="0028454F" w:rsidRPr="001D4C39" w14:paraId="46209A53" w14:textId="35757332" w:rsidTr="007F7E40">
        <w:trPr>
          <w:trHeight w:val="132"/>
        </w:trPr>
        <w:tc>
          <w:tcPr>
            <w:tcW w:w="2861" w:type="pct"/>
            <w:tcBorders>
              <w:top w:val="nil"/>
              <w:left w:val="single" w:sz="8" w:space="0" w:color="auto"/>
              <w:bottom w:val="nil"/>
              <w:right w:val="single" w:sz="8" w:space="0" w:color="auto"/>
            </w:tcBorders>
            <w:shd w:val="clear" w:color="auto" w:fill="auto"/>
            <w:noWrap/>
            <w:vAlign w:val="bottom"/>
            <w:hideMark/>
          </w:tcPr>
          <w:p w14:paraId="22BE6206" w14:textId="6E53F3A7" w:rsidR="001D4C39" w:rsidRPr="001D4C39" w:rsidRDefault="001D4C39" w:rsidP="001D4C39">
            <w:pPr>
              <w:keepNext/>
              <w:spacing w:after="0"/>
              <w:jc w:val="left"/>
              <w:rPr>
                <w:rFonts w:ascii="EC Square Sans Cond Pro" w:eastAsia="Times New Roman" w:hAnsi="EC Square Sans Cond Pro" w:cs="Calibri"/>
                <w:noProof/>
                <w:color w:val="000000"/>
                <w:sz w:val="22"/>
                <w:szCs w:val="22"/>
                <w:lang w:val="en-IE"/>
              </w:rPr>
            </w:pPr>
            <w:r w:rsidRPr="001D4C39">
              <w:rPr>
                <w:rFonts w:ascii="Calibri" w:eastAsia="Times New Roman" w:hAnsi="Calibri" w:cs="Calibri"/>
                <w:noProof/>
                <w:color w:val="000000"/>
                <w:sz w:val="22"/>
                <w:szCs w:val="22"/>
                <w:lang w:val="en-IE"/>
              </w:rPr>
              <w:t> </w:t>
            </w:r>
          </w:p>
        </w:tc>
        <w:tc>
          <w:tcPr>
            <w:tcW w:w="535" w:type="pct"/>
            <w:tcBorders>
              <w:top w:val="nil"/>
              <w:left w:val="nil"/>
              <w:bottom w:val="nil"/>
              <w:right w:val="nil"/>
            </w:tcBorders>
            <w:shd w:val="clear" w:color="auto" w:fill="auto"/>
            <w:noWrap/>
            <w:vAlign w:val="bottom"/>
            <w:hideMark/>
          </w:tcPr>
          <w:p w14:paraId="7CC33946" w14:textId="02252D5B" w:rsidR="001D4C39" w:rsidRPr="001D4C39" w:rsidRDefault="001D4C39" w:rsidP="001D4C39">
            <w:pPr>
              <w:keepNext/>
              <w:spacing w:after="0"/>
              <w:jc w:val="left"/>
              <w:rPr>
                <w:rFonts w:ascii="EC Square Sans Cond Pro" w:eastAsia="Times New Roman" w:hAnsi="EC Square Sans Cond Pro" w:cs="Calibri"/>
                <w:b/>
                <w:bCs/>
                <w:noProof/>
                <w:color w:val="000000"/>
                <w:sz w:val="22"/>
                <w:szCs w:val="22"/>
                <w:lang w:val="en-IE"/>
              </w:rPr>
            </w:pPr>
            <w:r w:rsidRPr="001D4C39">
              <w:rPr>
                <w:rFonts w:ascii="Calibri" w:eastAsia="Times New Roman" w:hAnsi="Calibri" w:cs="Calibri"/>
                <w:b/>
                <w:bCs/>
                <w:noProof/>
                <w:color w:val="000000"/>
                <w:sz w:val="22"/>
                <w:szCs w:val="22"/>
                <w:lang w:val="en-IE"/>
              </w:rPr>
              <w:t> </w:t>
            </w:r>
          </w:p>
        </w:tc>
        <w:tc>
          <w:tcPr>
            <w:tcW w:w="535" w:type="pct"/>
            <w:tcBorders>
              <w:top w:val="nil"/>
              <w:left w:val="nil"/>
              <w:bottom w:val="nil"/>
              <w:right w:val="nil"/>
            </w:tcBorders>
            <w:shd w:val="clear" w:color="auto" w:fill="auto"/>
            <w:noWrap/>
            <w:vAlign w:val="bottom"/>
            <w:hideMark/>
          </w:tcPr>
          <w:p w14:paraId="687929A3" w14:textId="6749A1F8" w:rsidR="001D4C39" w:rsidRPr="001D4C39" w:rsidRDefault="001D4C39" w:rsidP="001D4C39">
            <w:pPr>
              <w:keepNext/>
              <w:spacing w:after="0"/>
              <w:jc w:val="left"/>
              <w:rPr>
                <w:rFonts w:ascii="EC Square Sans Cond Pro" w:eastAsia="Times New Roman" w:hAnsi="EC Square Sans Cond Pro" w:cs="Calibri"/>
                <w:b/>
                <w:bCs/>
                <w:noProof/>
                <w:color w:val="000000"/>
                <w:sz w:val="22"/>
                <w:szCs w:val="22"/>
                <w:lang w:val="en-IE"/>
              </w:rPr>
            </w:pPr>
          </w:p>
        </w:tc>
        <w:tc>
          <w:tcPr>
            <w:tcW w:w="535" w:type="pct"/>
            <w:tcBorders>
              <w:top w:val="nil"/>
              <w:left w:val="nil"/>
              <w:bottom w:val="nil"/>
              <w:right w:val="nil"/>
            </w:tcBorders>
            <w:shd w:val="clear" w:color="auto" w:fill="auto"/>
            <w:noWrap/>
            <w:vAlign w:val="bottom"/>
            <w:hideMark/>
          </w:tcPr>
          <w:p w14:paraId="0B3F521F" w14:textId="0ED7A3DB" w:rsidR="001D4C39" w:rsidRPr="001D4C39" w:rsidRDefault="001D4C39" w:rsidP="001D4C39">
            <w:pPr>
              <w:keepNext/>
              <w:spacing w:after="0"/>
              <w:jc w:val="left"/>
              <w:rPr>
                <w:rFonts w:ascii="Times New Roman" w:eastAsia="Times New Roman" w:hAnsi="Times New Roman" w:cs="Times New Roman"/>
                <w:noProof/>
                <w:sz w:val="20"/>
                <w:szCs w:val="20"/>
                <w:lang w:val="en-IE"/>
              </w:rPr>
            </w:pPr>
          </w:p>
        </w:tc>
        <w:tc>
          <w:tcPr>
            <w:tcW w:w="535" w:type="pct"/>
            <w:tcBorders>
              <w:top w:val="nil"/>
              <w:left w:val="nil"/>
              <w:bottom w:val="nil"/>
              <w:right w:val="single" w:sz="8" w:space="0" w:color="auto"/>
            </w:tcBorders>
            <w:shd w:val="clear" w:color="auto" w:fill="auto"/>
            <w:noWrap/>
            <w:vAlign w:val="bottom"/>
            <w:hideMark/>
          </w:tcPr>
          <w:p w14:paraId="173E2510" w14:textId="342974E0" w:rsidR="001D4C39" w:rsidRPr="001D4C39" w:rsidRDefault="001D4C39" w:rsidP="001D4C39">
            <w:pPr>
              <w:keepNext/>
              <w:spacing w:after="0"/>
              <w:jc w:val="left"/>
              <w:rPr>
                <w:rFonts w:ascii="EC Square Sans Cond Pro" w:eastAsia="Times New Roman" w:hAnsi="EC Square Sans Cond Pro" w:cs="Calibri"/>
                <w:b/>
                <w:bCs/>
                <w:noProof/>
                <w:color w:val="000000"/>
                <w:sz w:val="22"/>
                <w:szCs w:val="22"/>
                <w:lang w:val="en-IE"/>
              </w:rPr>
            </w:pPr>
            <w:r w:rsidRPr="001D4C39">
              <w:rPr>
                <w:rFonts w:ascii="Calibri" w:eastAsia="Times New Roman" w:hAnsi="Calibri" w:cs="Calibri"/>
                <w:b/>
                <w:bCs/>
                <w:noProof/>
                <w:color w:val="000000"/>
                <w:sz w:val="22"/>
                <w:szCs w:val="22"/>
                <w:lang w:val="en-IE"/>
              </w:rPr>
              <w:t> </w:t>
            </w:r>
          </w:p>
        </w:tc>
      </w:tr>
      <w:tr w:rsidR="0028454F" w:rsidRPr="001D4C39" w14:paraId="2C739ABB" w14:textId="72F06844" w:rsidTr="007F7E40">
        <w:trPr>
          <w:trHeight w:val="300"/>
        </w:trPr>
        <w:tc>
          <w:tcPr>
            <w:tcW w:w="2861" w:type="pct"/>
            <w:tcBorders>
              <w:top w:val="nil"/>
              <w:left w:val="single" w:sz="8" w:space="0" w:color="auto"/>
              <w:bottom w:val="nil"/>
              <w:right w:val="single" w:sz="8" w:space="0" w:color="auto"/>
            </w:tcBorders>
            <w:shd w:val="clear" w:color="auto" w:fill="auto"/>
            <w:noWrap/>
            <w:vAlign w:val="bottom"/>
            <w:hideMark/>
          </w:tcPr>
          <w:p w14:paraId="6BCD2EE0" w14:textId="6F7A5F3E" w:rsidR="001D4C39" w:rsidRPr="001D4C39" w:rsidRDefault="001D4C39" w:rsidP="001D4C39">
            <w:pPr>
              <w:keepNext/>
              <w:spacing w:after="0"/>
              <w:jc w:val="lef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Heat pumps, air to air *</w:t>
            </w:r>
          </w:p>
        </w:tc>
        <w:tc>
          <w:tcPr>
            <w:tcW w:w="535" w:type="pct"/>
            <w:tcBorders>
              <w:top w:val="nil"/>
              <w:left w:val="nil"/>
              <w:bottom w:val="nil"/>
              <w:right w:val="nil"/>
            </w:tcBorders>
            <w:shd w:val="clear" w:color="auto" w:fill="auto"/>
            <w:noWrap/>
            <w:vAlign w:val="bottom"/>
            <w:hideMark/>
          </w:tcPr>
          <w:p w14:paraId="398C4794" w14:textId="01DCA5AA"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468</w:t>
            </w:r>
          </w:p>
        </w:tc>
        <w:tc>
          <w:tcPr>
            <w:tcW w:w="535" w:type="pct"/>
            <w:tcBorders>
              <w:top w:val="nil"/>
              <w:left w:val="nil"/>
              <w:bottom w:val="nil"/>
              <w:right w:val="nil"/>
            </w:tcBorders>
            <w:shd w:val="clear" w:color="auto" w:fill="auto"/>
            <w:noWrap/>
            <w:vAlign w:val="bottom"/>
            <w:hideMark/>
          </w:tcPr>
          <w:p w14:paraId="55A2CA83" w14:textId="1B6E416E"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551</w:t>
            </w:r>
          </w:p>
        </w:tc>
        <w:tc>
          <w:tcPr>
            <w:tcW w:w="535" w:type="pct"/>
            <w:tcBorders>
              <w:top w:val="nil"/>
              <w:left w:val="nil"/>
              <w:bottom w:val="nil"/>
              <w:right w:val="nil"/>
            </w:tcBorders>
            <w:shd w:val="clear" w:color="auto" w:fill="auto"/>
            <w:noWrap/>
            <w:vAlign w:val="bottom"/>
            <w:hideMark/>
          </w:tcPr>
          <w:p w14:paraId="613FE3F2" w14:textId="37E35E86"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445</w:t>
            </w:r>
          </w:p>
        </w:tc>
        <w:tc>
          <w:tcPr>
            <w:tcW w:w="535" w:type="pct"/>
            <w:tcBorders>
              <w:top w:val="nil"/>
              <w:left w:val="nil"/>
              <w:bottom w:val="nil"/>
              <w:right w:val="single" w:sz="8" w:space="0" w:color="auto"/>
            </w:tcBorders>
            <w:shd w:val="clear" w:color="auto" w:fill="auto"/>
            <w:noWrap/>
            <w:vAlign w:val="bottom"/>
            <w:hideMark/>
          </w:tcPr>
          <w:p w14:paraId="6B18AB61" w14:textId="39224651"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424</w:t>
            </w:r>
          </w:p>
        </w:tc>
      </w:tr>
      <w:tr w:rsidR="0028454F" w:rsidRPr="001D4C39" w14:paraId="0ED9EF05" w14:textId="23580780" w:rsidTr="007F7E40">
        <w:trPr>
          <w:trHeight w:val="315"/>
        </w:trPr>
        <w:tc>
          <w:tcPr>
            <w:tcW w:w="2861" w:type="pct"/>
            <w:tcBorders>
              <w:top w:val="nil"/>
              <w:left w:val="single" w:sz="8" w:space="0" w:color="auto"/>
              <w:bottom w:val="single" w:sz="8" w:space="0" w:color="auto"/>
              <w:right w:val="single" w:sz="8" w:space="0" w:color="auto"/>
            </w:tcBorders>
            <w:shd w:val="clear" w:color="auto" w:fill="auto"/>
            <w:noWrap/>
            <w:vAlign w:val="bottom"/>
            <w:hideMark/>
          </w:tcPr>
          <w:p w14:paraId="6A03C063" w14:textId="34856DCA" w:rsidR="001D4C39" w:rsidRPr="001D4C39" w:rsidRDefault="001D4C39" w:rsidP="001D4C39">
            <w:pPr>
              <w:keepNext/>
              <w:spacing w:after="0"/>
              <w:jc w:val="lef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Heat pumps, air to water *</w:t>
            </w:r>
          </w:p>
        </w:tc>
        <w:tc>
          <w:tcPr>
            <w:tcW w:w="535" w:type="pct"/>
            <w:tcBorders>
              <w:top w:val="nil"/>
              <w:left w:val="nil"/>
              <w:bottom w:val="single" w:sz="8" w:space="0" w:color="auto"/>
              <w:right w:val="nil"/>
            </w:tcBorders>
            <w:shd w:val="clear" w:color="auto" w:fill="auto"/>
            <w:noWrap/>
            <w:vAlign w:val="bottom"/>
            <w:hideMark/>
          </w:tcPr>
          <w:p w14:paraId="2CF8889B" w14:textId="6FAF6A3B"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1172</w:t>
            </w:r>
          </w:p>
        </w:tc>
        <w:tc>
          <w:tcPr>
            <w:tcW w:w="535" w:type="pct"/>
            <w:tcBorders>
              <w:top w:val="nil"/>
              <w:left w:val="nil"/>
              <w:bottom w:val="single" w:sz="8" w:space="0" w:color="auto"/>
              <w:right w:val="nil"/>
            </w:tcBorders>
            <w:shd w:val="clear" w:color="auto" w:fill="auto"/>
            <w:noWrap/>
            <w:vAlign w:val="bottom"/>
            <w:hideMark/>
          </w:tcPr>
          <w:p w14:paraId="559D78B3" w14:textId="78CF4A63"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1243</w:t>
            </w:r>
          </w:p>
        </w:tc>
        <w:tc>
          <w:tcPr>
            <w:tcW w:w="535" w:type="pct"/>
            <w:tcBorders>
              <w:top w:val="nil"/>
              <w:left w:val="nil"/>
              <w:bottom w:val="single" w:sz="8" w:space="0" w:color="auto"/>
              <w:right w:val="nil"/>
            </w:tcBorders>
            <w:shd w:val="clear" w:color="auto" w:fill="auto"/>
            <w:noWrap/>
            <w:vAlign w:val="bottom"/>
            <w:hideMark/>
          </w:tcPr>
          <w:p w14:paraId="152C556E" w14:textId="319BECAE"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1107</w:t>
            </w:r>
          </w:p>
        </w:tc>
        <w:tc>
          <w:tcPr>
            <w:tcW w:w="535" w:type="pct"/>
            <w:tcBorders>
              <w:top w:val="nil"/>
              <w:left w:val="nil"/>
              <w:bottom w:val="single" w:sz="8" w:space="0" w:color="auto"/>
              <w:right w:val="single" w:sz="8" w:space="0" w:color="auto"/>
            </w:tcBorders>
            <w:shd w:val="clear" w:color="auto" w:fill="auto"/>
            <w:noWrap/>
            <w:vAlign w:val="bottom"/>
            <w:hideMark/>
          </w:tcPr>
          <w:p w14:paraId="60D60DBD" w14:textId="632BD35A" w:rsidR="001D4C39" w:rsidRPr="001D4C39" w:rsidRDefault="001D4C39" w:rsidP="001D4C39">
            <w:pPr>
              <w:keepNext/>
              <w:spacing w:after="0"/>
              <w:jc w:val="right"/>
              <w:rPr>
                <w:rFonts w:ascii="EC Square Sans Cond Pro" w:eastAsia="Times New Roman" w:hAnsi="EC Square Sans Cond Pro" w:cs="Calibri"/>
                <w:noProof/>
                <w:color w:val="000000"/>
                <w:sz w:val="22"/>
                <w:szCs w:val="22"/>
                <w:lang w:val="en-IE"/>
              </w:rPr>
            </w:pPr>
            <w:r w:rsidRPr="001D4C39">
              <w:rPr>
                <w:rFonts w:ascii="EC Square Sans Cond Pro" w:eastAsia="Times New Roman" w:hAnsi="EC Square Sans Cond Pro" w:cs="Calibri"/>
                <w:noProof/>
                <w:color w:val="000000"/>
                <w:sz w:val="22"/>
                <w:szCs w:val="22"/>
                <w:lang w:val="en-IE"/>
              </w:rPr>
              <w:t>1068</w:t>
            </w:r>
          </w:p>
        </w:tc>
      </w:tr>
    </w:tbl>
    <w:p w14:paraId="2A9F2911" w14:textId="5F88E23F" w:rsidR="004F27E7" w:rsidRDefault="006166AB" w:rsidP="006166AB">
      <w:pPr>
        <w:pStyle w:val="CT-NOTE"/>
        <w:rPr>
          <w:noProof/>
        </w:rPr>
      </w:pPr>
      <w:r>
        <w:rPr>
          <w:noProof/>
        </w:rPr>
        <w:t xml:space="preserve">Note: </w:t>
      </w:r>
      <w:r w:rsidR="004F27E7">
        <w:rPr>
          <w:noProof/>
        </w:rPr>
        <w:t>* residential sector only.</w:t>
      </w:r>
    </w:p>
    <w:p w14:paraId="5BBD82AA" w14:textId="31CFEB9A" w:rsidR="00695D8D" w:rsidRPr="000E56CD" w:rsidRDefault="00695D8D" w:rsidP="008640DF">
      <w:pPr>
        <w:pStyle w:val="CT-SOURCE"/>
        <w:rPr>
          <w:rFonts w:eastAsia="Times New Roman" w:cs="Times New Roman"/>
          <w:noProof/>
        </w:rPr>
      </w:pPr>
      <w:r w:rsidRPr="000E56CD">
        <w:rPr>
          <w:noProof/>
        </w:rPr>
        <w:t>Source: PRI</w:t>
      </w:r>
      <w:r w:rsidRPr="000E56CD">
        <w:rPr>
          <w:rFonts w:eastAsia="Times New Roman" w:cs="Times New Roman"/>
          <w:noProof/>
        </w:rPr>
        <w:t>MES.</w:t>
      </w:r>
    </w:p>
    <w:p w14:paraId="48B35B73" w14:textId="3BEE405D" w:rsidR="000E56CD" w:rsidRDefault="00195C08" w:rsidP="000E56CD">
      <w:pPr>
        <w:rPr>
          <w:noProof/>
        </w:rPr>
      </w:pPr>
      <w:r>
        <w:rPr>
          <w:noProof/>
        </w:rPr>
        <w:t xml:space="preserve">Understanding how investment needs </w:t>
      </w:r>
      <w:r w:rsidR="00DA49A8">
        <w:rPr>
          <w:noProof/>
        </w:rPr>
        <w:t>c</w:t>
      </w:r>
      <w:r>
        <w:rPr>
          <w:noProof/>
        </w:rPr>
        <w:t xml:space="preserve">ould be affected by potential increases in technology costs is important. </w:t>
      </w:r>
      <w:r w:rsidR="000E56CD">
        <w:rPr>
          <w:noProof/>
        </w:rPr>
        <w:t xml:space="preserve">A sensitivity analysis on what a stylised price shock on the cost of renewable technologies would mean in the different scenarios is </w:t>
      </w:r>
      <w:r>
        <w:rPr>
          <w:noProof/>
        </w:rPr>
        <w:t xml:space="preserve">therefore </w:t>
      </w:r>
      <w:r w:rsidR="000E56CD">
        <w:rPr>
          <w:noProof/>
        </w:rPr>
        <w:t xml:space="preserve">presented </w:t>
      </w:r>
      <w:r w:rsidR="000E56CD" w:rsidRPr="006166AB">
        <w:rPr>
          <w:noProof/>
        </w:rPr>
        <w:t>in</w:t>
      </w:r>
      <w:r w:rsidR="000E56CD">
        <w:rPr>
          <w:noProof/>
        </w:rPr>
        <w:t xml:space="preserve"> </w:t>
      </w:r>
      <w:r w:rsidRPr="006166AB">
        <w:rPr>
          <w:noProof/>
        </w:rPr>
        <w:fldChar w:fldCharType="begin"/>
      </w:r>
      <w:r w:rsidRPr="006166AB">
        <w:rPr>
          <w:noProof/>
        </w:rPr>
        <w:instrText xml:space="preserve"> REF _Ref144299149 \h </w:instrText>
      </w:r>
      <w:r w:rsidR="006166AB">
        <w:rPr>
          <w:noProof/>
        </w:rPr>
        <w:instrText xml:space="preserve"> \* MERGEFORMAT </w:instrText>
      </w:r>
      <w:r w:rsidRPr="006166AB">
        <w:rPr>
          <w:noProof/>
        </w:rPr>
      </w:r>
      <w:r w:rsidRPr="006166AB">
        <w:rPr>
          <w:noProof/>
        </w:rPr>
        <w:fldChar w:fldCharType="separate"/>
      </w:r>
      <w:r w:rsidR="00170A3C" w:rsidRPr="00C57BBB">
        <w:rPr>
          <w:noProof/>
        </w:rPr>
        <w:t xml:space="preserve">Table </w:t>
      </w:r>
      <w:r w:rsidR="00170A3C">
        <w:rPr>
          <w:noProof/>
        </w:rPr>
        <w:t>32</w:t>
      </w:r>
      <w:r w:rsidRPr="006166AB">
        <w:rPr>
          <w:noProof/>
        </w:rPr>
        <w:fldChar w:fldCharType="end"/>
      </w:r>
      <w:r w:rsidR="000E56CD" w:rsidRPr="006166AB">
        <w:rPr>
          <w:noProof/>
        </w:rPr>
        <w:t>.</w:t>
      </w:r>
      <w:r w:rsidR="000E56CD">
        <w:rPr>
          <w:noProof/>
        </w:rPr>
        <w:t xml:space="preserve"> It assumes that supply-side technologies are subject to a 20% increase in costs relative to the standard assumptions used across scenarios. Supply side technologies are most susceptible to be subject to price shocks as they rely on critical raw materials. The shock is tested for the 2031-2040 as it is more likely that demand could outpace supply for such technologies during that time, as the rest of the world also steps up investment to deploy renewables and as </w:t>
      </w:r>
      <w:r w:rsidR="00DA49A8">
        <w:rPr>
          <w:noProof/>
        </w:rPr>
        <w:t xml:space="preserve">EU and worldwide </w:t>
      </w:r>
      <w:r w:rsidR="000E56CD">
        <w:rPr>
          <w:noProof/>
        </w:rPr>
        <w:t xml:space="preserve">manufacturing facilities take time to be established in response to the </w:t>
      </w:r>
      <w:r w:rsidR="00DA49A8">
        <w:rPr>
          <w:noProof/>
        </w:rPr>
        <w:t>likely increase in global</w:t>
      </w:r>
      <w:r w:rsidR="000E56CD">
        <w:rPr>
          <w:noProof/>
        </w:rPr>
        <w:t xml:space="preserve"> demand. It is simulated for solar, wind, new fuels and heat pumps, </w:t>
      </w:r>
      <w:r w:rsidR="006C1870">
        <w:rPr>
          <w:noProof/>
        </w:rPr>
        <w:t>i.e.,</w:t>
      </w:r>
      <w:r w:rsidR="000E56CD">
        <w:rPr>
          <w:noProof/>
        </w:rPr>
        <w:t xml:space="preserve"> green technologies at the core of the Commission proposal on a Net Zero Industry Act that will be critical as enablers of the EU’s decarbonisation objectives</w:t>
      </w:r>
      <w:r w:rsidR="00DA49A8" w:rsidRPr="00DA49A8">
        <w:rPr>
          <w:noProof/>
        </w:rPr>
        <w:t> (</w:t>
      </w:r>
      <w:r w:rsidR="00DA49A8">
        <w:rPr>
          <w:rStyle w:val="FootnoteReference"/>
          <w:noProof/>
        </w:rPr>
        <w:footnoteReference w:id="279"/>
      </w:r>
      <w:r w:rsidR="00DA49A8">
        <w:rPr>
          <w:noProof/>
        </w:rPr>
        <w:t>)</w:t>
      </w:r>
      <w:r w:rsidR="000E56CD">
        <w:rPr>
          <w:noProof/>
        </w:rPr>
        <w:t>.</w:t>
      </w:r>
    </w:p>
    <w:p w14:paraId="63C362E9" w14:textId="4F253BB8" w:rsidR="00CA0DB0" w:rsidRPr="00C57BBB" w:rsidRDefault="000E56CD" w:rsidP="000E56CD">
      <w:pPr>
        <w:rPr>
          <w:noProof/>
        </w:rPr>
      </w:pPr>
      <w:r w:rsidRPr="00C57BBB">
        <w:rPr>
          <w:noProof/>
        </w:rPr>
        <w:t xml:space="preserve">Given the scale of the investment needs, wind and heat pumps are the technologies that would be most susceptible to </w:t>
      </w:r>
      <w:r w:rsidR="00CA0DB0" w:rsidRPr="00C57BBB">
        <w:rPr>
          <w:noProof/>
        </w:rPr>
        <w:t xml:space="preserve">trigger an </w:t>
      </w:r>
      <w:r w:rsidRPr="00C57BBB">
        <w:rPr>
          <w:noProof/>
        </w:rPr>
        <w:t>increase</w:t>
      </w:r>
      <w:r w:rsidR="00CA0DB0" w:rsidRPr="00C57BBB">
        <w:rPr>
          <w:noProof/>
        </w:rPr>
        <w:t xml:space="preserve"> in</w:t>
      </w:r>
      <w:r w:rsidRPr="00C57BBB">
        <w:rPr>
          <w:noProof/>
        </w:rPr>
        <w:t xml:space="preserve"> energy system investment requirements. A 20% price shock on wind would add between EUR</w:t>
      </w:r>
      <w:r w:rsidR="003504D8" w:rsidRPr="00C57BBB">
        <w:rPr>
          <w:noProof/>
        </w:rPr>
        <w:t> </w:t>
      </w:r>
      <w:r w:rsidR="00837F26" w:rsidRPr="00C57BBB">
        <w:rPr>
          <w:noProof/>
        </w:rPr>
        <w:t>9</w:t>
      </w:r>
      <w:r w:rsidR="003504D8" w:rsidRPr="00C57BBB">
        <w:rPr>
          <w:noProof/>
        </w:rPr>
        <w:t> </w:t>
      </w:r>
      <w:r w:rsidRPr="00C57BBB">
        <w:rPr>
          <w:noProof/>
        </w:rPr>
        <w:t>billion (S1) to EUR</w:t>
      </w:r>
      <w:r w:rsidR="003504D8" w:rsidRPr="00C57BBB">
        <w:rPr>
          <w:noProof/>
        </w:rPr>
        <w:t> </w:t>
      </w:r>
      <w:r w:rsidRPr="00C57BBB">
        <w:rPr>
          <w:noProof/>
        </w:rPr>
        <w:t>1</w:t>
      </w:r>
      <w:r w:rsidR="00837F26" w:rsidRPr="00C57BBB">
        <w:rPr>
          <w:noProof/>
        </w:rPr>
        <w:t>7</w:t>
      </w:r>
      <w:r w:rsidR="003504D8" w:rsidRPr="00C57BBB">
        <w:rPr>
          <w:noProof/>
        </w:rPr>
        <w:t> </w:t>
      </w:r>
      <w:r w:rsidRPr="00C57BBB">
        <w:rPr>
          <w:noProof/>
        </w:rPr>
        <w:t>billion (S3) to annual investment needs in 2031-2040, while the same shock on heat pumps would add between EUR</w:t>
      </w:r>
      <w:r w:rsidR="003504D8" w:rsidRPr="00C57BBB">
        <w:rPr>
          <w:noProof/>
        </w:rPr>
        <w:t> </w:t>
      </w:r>
      <w:r w:rsidR="00837F26" w:rsidRPr="00C57BBB">
        <w:rPr>
          <w:noProof/>
        </w:rPr>
        <w:t>11</w:t>
      </w:r>
      <w:r w:rsidR="003504D8" w:rsidRPr="00C57BBB">
        <w:rPr>
          <w:noProof/>
        </w:rPr>
        <w:t> </w:t>
      </w:r>
      <w:r w:rsidRPr="00C57BBB">
        <w:rPr>
          <w:noProof/>
        </w:rPr>
        <w:t>billion (S3) to EUR</w:t>
      </w:r>
      <w:r w:rsidR="003504D8" w:rsidRPr="00C57BBB">
        <w:rPr>
          <w:noProof/>
        </w:rPr>
        <w:t> </w:t>
      </w:r>
      <w:r w:rsidRPr="00C57BBB">
        <w:rPr>
          <w:noProof/>
        </w:rPr>
        <w:t>1</w:t>
      </w:r>
      <w:r w:rsidR="00837F26" w:rsidRPr="00C57BBB">
        <w:rPr>
          <w:noProof/>
        </w:rPr>
        <w:t>4</w:t>
      </w:r>
      <w:r w:rsidR="003504D8" w:rsidRPr="00C57BBB">
        <w:rPr>
          <w:noProof/>
        </w:rPr>
        <w:t> </w:t>
      </w:r>
      <w:r w:rsidRPr="00C57BBB">
        <w:rPr>
          <w:noProof/>
        </w:rPr>
        <w:t>billion (S2)</w:t>
      </w:r>
      <w:r w:rsidR="00CA0DB0" w:rsidRPr="00C57BBB">
        <w:rPr>
          <w:noProof/>
        </w:rPr>
        <w:t xml:space="preserve"> annually</w:t>
      </w:r>
      <w:r w:rsidRPr="00C57BBB">
        <w:rPr>
          <w:noProof/>
        </w:rPr>
        <w:t xml:space="preserve">. A shock on all four technologies considered </w:t>
      </w:r>
      <w:r w:rsidR="00CA0DB0" w:rsidRPr="00C57BBB">
        <w:rPr>
          <w:noProof/>
        </w:rPr>
        <w:t xml:space="preserve">in this sensitivity analysis </w:t>
      </w:r>
      <w:r w:rsidRPr="00C57BBB">
        <w:rPr>
          <w:noProof/>
        </w:rPr>
        <w:t xml:space="preserve">would increase annual energy system investment needs (excluding transport) in 2031-2040 by 5.5%, 6.1% and 6.3%, respectively under S1, S2 and S3. As expected, S3 is most affected as it </w:t>
      </w:r>
      <w:r w:rsidR="002A5A67">
        <w:rPr>
          <w:noProof/>
        </w:rPr>
        <w:t>anticipates</w:t>
      </w:r>
      <w:r w:rsidRPr="00C57BBB">
        <w:rPr>
          <w:noProof/>
        </w:rPr>
        <w:t xml:space="preserve"> investment in renewable technologies</w:t>
      </w:r>
      <w:r w:rsidR="004B0210" w:rsidRPr="00C57BBB">
        <w:rPr>
          <w:noProof/>
        </w:rPr>
        <w:t xml:space="preserve"> (</w:t>
      </w:r>
      <w:r w:rsidR="004B0210" w:rsidRPr="00C57BBB">
        <w:rPr>
          <w:noProof/>
        </w:rPr>
        <w:fldChar w:fldCharType="begin"/>
      </w:r>
      <w:r w:rsidR="004B0210" w:rsidRPr="00C57BBB">
        <w:rPr>
          <w:noProof/>
        </w:rPr>
        <w:instrText xml:space="preserve"> REF _Ref144299149 \h </w:instrText>
      </w:r>
      <w:r w:rsidR="00177FA7" w:rsidRPr="00C57BBB">
        <w:rPr>
          <w:noProof/>
        </w:rPr>
        <w:instrText xml:space="preserve"> \* MERGEFORMAT </w:instrText>
      </w:r>
      <w:r w:rsidR="004B0210" w:rsidRPr="00C57BBB">
        <w:rPr>
          <w:noProof/>
        </w:rPr>
      </w:r>
      <w:r w:rsidR="004B0210" w:rsidRPr="00C57BBB">
        <w:rPr>
          <w:noProof/>
        </w:rPr>
        <w:fldChar w:fldCharType="separate"/>
      </w:r>
      <w:r w:rsidR="00170A3C" w:rsidRPr="00C57BBB">
        <w:rPr>
          <w:noProof/>
        </w:rPr>
        <w:t xml:space="preserve">Table </w:t>
      </w:r>
      <w:r w:rsidR="00170A3C">
        <w:rPr>
          <w:noProof/>
        </w:rPr>
        <w:t>32</w:t>
      </w:r>
      <w:r w:rsidR="004B0210" w:rsidRPr="00C57BBB">
        <w:rPr>
          <w:noProof/>
        </w:rPr>
        <w:fldChar w:fldCharType="end"/>
      </w:r>
      <w:r w:rsidR="004B0210" w:rsidRPr="00C57BBB">
        <w:rPr>
          <w:noProof/>
        </w:rPr>
        <w:t>)</w:t>
      </w:r>
      <w:r w:rsidRPr="00C57BBB">
        <w:rPr>
          <w:noProof/>
        </w:rPr>
        <w:t>.</w:t>
      </w:r>
    </w:p>
    <w:p w14:paraId="23C83614" w14:textId="516B79C5" w:rsidR="000E56CD" w:rsidRPr="00C57BBB" w:rsidRDefault="000E56CD" w:rsidP="000E56CD">
      <w:pPr>
        <w:rPr>
          <w:noProof/>
        </w:rPr>
      </w:pPr>
      <w:r w:rsidRPr="00C57BBB">
        <w:rPr>
          <w:noProof/>
        </w:rPr>
        <w:t xml:space="preserve">It is important to note that the increase in total investment needs from such a shock </w:t>
      </w:r>
      <w:r w:rsidR="00CA0DB0" w:rsidRPr="00C57BBB">
        <w:rPr>
          <w:noProof/>
        </w:rPr>
        <w:t xml:space="preserve">nevertheless </w:t>
      </w:r>
      <w:r w:rsidRPr="00C57BBB">
        <w:rPr>
          <w:noProof/>
        </w:rPr>
        <w:t>remains relatively small</w:t>
      </w:r>
      <w:r w:rsidR="00CA0DB0" w:rsidRPr="00C57BBB">
        <w:rPr>
          <w:noProof/>
        </w:rPr>
        <w:t xml:space="preserve">, with </w:t>
      </w:r>
      <w:r w:rsidR="00881E73" w:rsidRPr="00C57BBB">
        <w:rPr>
          <w:noProof/>
        </w:rPr>
        <w:t>a</w:t>
      </w:r>
      <w:r w:rsidR="00CA0DB0" w:rsidRPr="00C57BBB">
        <w:rPr>
          <w:noProof/>
        </w:rPr>
        <w:t xml:space="preserve"> cumulative impact of EUR </w:t>
      </w:r>
      <w:r w:rsidR="00837F26" w:rsidRPr="00C57BBB">
        <w:rPr>
          <w:noProof/>
        </w:rPr>
        <w:t>44</w:t>
      </w:r>
      <w:r w:rsidR="00CA0DB0" w:rsidRPr="00C57BBB">
        <w:rPr>
          <w:noProof/>
        </w:rPr>
        <w:t> billion annually under S3, which is equivalent to 0.2% of average GDP over the period</w:t>
      </w:r>
      <w:r w:rsidRPr="00C57BBB">
        <w:rPr>
          <w:noProof/>
        </w:rPr>
        <w:t>. Further, the impact on energy system costs should be smaller still, as capital costs represent only a share of total costs and as the shock would only affect new capacity installed during the period and not the entire capital stock. In this regard, a price shock on renewables technologies (or raw materials needed for their production) is therefore fundamentally different from a price shock on fossil fuels.</w:t>
      </w:r>
    </w:p>
    <w:p w14:paraId="52CF54F0" w14:textId="5237EAC6" w:rsidR="000E56CD" w:rsidRDefault="000E56CD" w:rsidP="004B0210">
      <w:pPr>
        <w:pStyle w:val="Caption"/>
        <w:rPr>
          <w:noProof/>
        </w:rPr>
      </w:pPr>
      <w:bookmarkStart w:id="677" w:name="_Ref144299149"/>
      <w:bookmarkStart w:id="678" w:name="_Toc157679915"/>
      <w:r w:rsidRPr="00C57BBB">
        <w:rPr>
          <w:noProof/>
        </w:rPr>
        <w:t xml:space="preserve">Table </w:t>
      </w:r>
      <w:r w:rsidRPr="00C57BBB">
        <w:rPr>
          <w:noProof/>
        </w:rPr>
        <w:fldChar w:fldCharType="begin"/>
      </w:r>
      <w:r w:rsidRPr="00C57BBB">
        <w:rPr>
          <w:noProof/>
        </w:rPr>
        <w:instrText>SEQ Table \* ARABIC</w:instrText>
      </w:r>
      <w:r w:rsidRPr="00C57BBB">
        <w:rPr>
          <w:noProof/>
        </w:rPr>
        <w:fldChar w:fldCharType="separate"/>
      </w:r>
      <w:r w:rsidR="00170A3C">
        <w:rPr>
          <w:noProof/>
        </w:rPr>
        <w:t>32</w:t>
      </w:r>
      <w:r w:rsidRPr="00C57BBB">
        <w:rPr>
          <w:noProof/>
        </w:rPr>
        <w:fldChar w:fldCharType="end"/>
      </w:r>
      <w:bookmarkEnd w:id="677"/>
      <w:r w:rsidRPr="00C57BBB">
        <w:rPr>
          <w:noProof/>
        </w:rPr>
        <w:t xml:space="preserve">: </w:t>
      </w:r>
      <w:r w:rsidR="004244BA" w:rsidRPr="00C57BBB">
        <w:rPr>
          <w:noProof/>
        </w:rPr>
        <w:t>S</w:t>
      </w:r>
      <w:r w:rsidRPr="00C57BBB">
        <w:rPr>
          <w:noProof/>
        </w:rPr>
        <w:t>ensitivity of average annual energy system</w:t>
      </w:r>
      <w:r>
        <w:rPr>
          <w:noProof/>
        </w:rPr>
        <w:t xml:space="preserve"> investment needs (excluding transport) to a price shock</w:t>
      </w:r>
      <w:bookmarkEnd w:id="678"/>
    </w:p>
    <w:p w14:paraId="76FA5373" w14:textId="10F791CE" w:rsidR="000E56CD" w:rsidRDefault="00F60C11" w:rsidP="004B0210">
      <w:pPr>
        <w:keepNext/>
        <w:spacing w:after="0"/>
        <w:jc w:val="center"/>
        <w:rPr>
          <w:noProof/>
        </w:rPr>
      </w:pPr>
      <w:r w:rsidRPr="00F60C11">
        <w:rPr>
          <w:noProof/>
          <w:lang w:eastAsia="en-GB"/>
        </w:rPr>
        <w:drawing>
          <wp:inline distT="0" distB="0" distL="0" distR="0" wp14:anchorId="4F55E6D7" wp14:editId="63E92569">
            <wp:extent cx="5472430" cy="1781810"/>
            <wp:effectExtent l="0" t="0" r="0" b="8890"/>
            <wp:docPr id="1506651252" name="Picture 150665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5472430" cy="1781810"/>
                    </a:xfrm>
                    <a:prstGeom prst="rect">
                      <a:avLst/>
                    </a:prstGeom>
                    <a:noFill/>
                    <a:ln>
                      <a:noFill/>
                    </a:ln>
                  </pic:spPr>
                </pic:pic>
              </a:graphicData>
            </a:graphic>
          </wp:inline>
        </w:drawing>
      </w:r>
    </w:p>
    <w:p w14:paraId="50945B38" w14:textId="379F61E7" w:rsidR="004E678A" w:rsidRPr="000E56CD" w:rsidRDefault="000E56CD" w:rsidP="008640DF">
      <w:pPr>
        <w:pStyle w:val="CT-SOURCE"/>
        <w:rPr>
          <w:rFonts w:eastAsia="Times New Roman" w:cs="Times New Roman"/>
          <w:noProof/>
        </w:rPr>
      </w:pPr>
      <w:r w:rsidRPr="000E56CD">
        <w:rPr>
          <w:noProof/>
        </w:rPr>
        <w:t>Source: PRIMES.</w:t>
      </w:r>
    </w:p>
    <w:p w14:paraId="0B59F046" w14:textId="749E0DC1" w:rsidR="003E3188" w:rsidRDefault="003E3188" w:rsidP="00680783">
      <w:pPr>
        <w:pStyle w:val="Heading3"/>
        <w:rPr>
          <w:noProof/>
        </w:rPr>
      </w:pPr>
      <w:bookmarkStart w:id="679" w:name="_Ref151719656"/>
      <w:bookmarkStart w:id="680" w:name="_Toc157692089"/>
      <w:bookmarkStart w:id="681" w:name="_Toc148605643"/>
      <w:bookmarkStart w:id="682" w:name="_Hlk146729891"/>
      <w:r>
        <w:rPr>
          <w:noProof/>
        </w:rPr>
        <w:t xml:space="preserve">Investment needs for net-zero technology </w:t>
      </w:r>
      <w:r w:rsidRPr="003E3188">
        <w:rPr>
          <w:noProof/>
        </w:rPr>
        <w:t>manufacturing capacity</w:t>
      </w:r>
      <w:bookmarkEnd w:id="679"/>
      <w:bookmarkEnd w:id="680"/>
    </w:p>
    <w:p w14:paraId="483F1E41" w14:textId="701B731F" w:rsidR="003E3188" w:rsidRDefault="003E3188" w:rsidP="003E3188">
      <w:pPr>
        <w:rPr>
          <w:noProof/>
          <w:lang w:eastAsia="en-US"/>
        </w:rPr>
      </w:pPr>
      <w:r>
        <w:rPr>
          <w:noProof/>
          <w:lang w:eastAsia="en-US"/>
        </w:rPr>
        <w:t xml:space="preserve">The resilience of future energy systems will be measured notably by a secure access to the technologies that will power those systems: wind turbines, solar PV, electrolysers, batteries, heat pumps and others. In this context, the Net-Zero Industry Act is part of the actions announced in the Green Deal Industrial Plan of February 2023, aiming at simplifying the regulatory framework and improving the investment environment for the Union’s manufacturing capacity of technologies that are key to meet the Union’s climate neutrality goals and energy targets. </w:t>
      </w:r>
    </w:p>
    <w:p w14:paraId="387889BE" w14:textId="68604BEC" w:rsidR="003E3188" w:rsidRDefault="003E3188" w:rsidP="003E3188">
      <w:pPr>
        <w:rPr>
          <w:noProof/>
          <w:lang w:eastAsia="en-US"/>
        </w:rPr>
      </w:pPr>
      <w:r>
        <w:rPr>
          <w:noProof/>
          <w:lang w:eastAsia="en-US"/>
        </w:rPr>
        <w:t xml:space="preserve">Net-zero technologies are at the centre of strong geostrategic interests and at the core of the global technological race, as exemplified by the United States’ Inflation Reduction Act and China’s dominance in manufacturing of some cleantech. Fostering a competitive and resilient European net-zero industry can play a significant role in reducing high import dependence for key net-zero technologies, while guaranteeing affordable, reliable and sustainable clean energy to EU citizens and businesses. </w:t>
      </w:r>
    </w:p>
    <w:p w14:paraId="0349079B" w14:textId="0AA03EBC" w:rsidR="003E3188" w:rsidRDefault="003E3188" w:rsidP="003E3188">
      <w:pPr>
        <w:rPr>
          <w:noProof/>
          <w:lang w:eastAsia="en-US"/>
        </w:rPr>
      </w:pPr>
      <w:r>
        <w:rPr>
          <w:noProof/>
          <w:lang w:eastAsia="en-US"/>
        </w:rPr>
        <w:t xml:space="preserve">This section estimates the investments needed to build </w:t>
      </w:r>
      <w:r w:rsidR="00B2361C">
        <w:rPr>
          <w:noProof/>
          <w:lang w:eastAsia="en-US"/>
        </w:rPr>
        <w:t xml:space="preserve">an </w:t>
      </w:r>
      <w:r>
        <w:rPr>
          <w:noProof/>
          <w:lang w:eastAsia="en-US"/>
        </w:rPr>
        <w:t>EU-based manufacturing capacity for five key net-zero technologies: wind, solar</w:t>
      </w:r>
      <w:r w:rsidR="00B2361C">
        <w:rPr>
          <w:noProof/>
          <w:lang w:eastAsia="en-US"/>
        </w:rPr>
        <w:t xml:space="preserve"> PV</w:t>
      </w:r>
      <w:r>
        <w:rPr>
          <w:noProof/>
          <w:lang w:eastAsia="en-US"/>
        </w:rPr>
        <w:t>, batteries, heat pumps and electrolysers. The analysis focuses on the investment needs for the decade 2031-2040</w:t>
      </w:r>
      <w:r w:rsidRPr="00FA3317">
        <w:rPr>
          <w:noProof/>
          <w:lang w:eastAsia="en-US"/>
        </w:rPr>
        <w:t> (</w:t>
      </w:r>
      <w:r>
        <w:rPr>
          <w:rStyle w:val="FootnoteReference"/>
          <w:noProof/>
          <w:lang w:eastAsia="en-US"/>
        </w:rPr>
        <w:footnoteReference w:id="280"/>
      </w:r>
      <w:r>
        <w:rPr>
          <w:noProof/>
          <w:lang w:eastAsia="en-US"/>
        </w:rPr>
        <w:t xml:space="preserve">). </w:t>
      </w:r>
    </w:p>
    <w:p w14:paraId="162EFE98" w14:textId="39D7DE6D" w:rsidR="003E3188" w:rsidRDefault="003E3188" w:rsidP="000F1019">
      <w:pPr>
        <w:pStyle w:val="Caption"/>
        <w:rPr>
          <w:noProof/>
        </w:rPr>
      </w:pPr>
      <w:bookmarkStart w:id="683" w:name="_Toc157679916"/>
      <w:r w:rsidRPr="00F62511">
        <w:rPr>
          <w:noProof/>
        </w:rPr>
        <w:t>Table</w:t>
      </w:r>
      <w:r>
        <w:rPr>
          <w:noProof/>
        </w:rPr>
        <w:t xml:space="preserve"> </w:t>
      </w:r>
      <w:r>
        <w:rPr>
          <w:noProof/>
        </w:rPr>
        <w:fldChar w:fldCharType="begin"/>
      </w:r>
      <w:r>
        <w:rPr>
          <w:noProof/>
        </w:rPr>
        <w:instrText>SEQ Table \* ARABIC</w:instrText>
      </w:r>
      <w:r>
        <w:rPr>
          <w:noProof/>
        </w:rPr>
        <w:fldChar w:fldCharType="separate"/>
      </w:r>
      <w:r w:rsidR="00170A3C">
        <w:rPr>
          <w:noProof/>
        </w:rPr>
        <w:t>33</w:t>
      </w:r>
      <w:r>
        <w:rPr>
          <w:noProof/>
        </w:rPr>
        <w:fldChar w:fldCharType="end"/>
      </w:r>
      <w:r w:rsidRPr="00FA305A">
        <w:rPr>
          <w:noProof/>
        </w:rPr>
        <w:t xml:space="preserve">: </w:t>
      </w:r>
      <w:r>
        <w:rPr>
          <w:noProof/>
        </w:rPr>
        <w:t xml:space="preserve">Manufacturing capacity and investment needs per technology </w:t>
      </w:r>
      <w:r w:rsidR="002C4E68">
        <w:rPr>
          <w:noProof/>
        </w:rPr>
        <w:t>(2031-2040)</w:t>
      </w:r>
      <w:bookmarkEnd w:id="683"/>
    </w:p>
    <w:p w14:paraId="0609B020" w14:textId="43876B92" w:rsidR="003E3188" w:rsidRDefault="6C7C6447" w:rsidP="003E3188">
      <w:pPr>
        <w:rPr>
          <w:noProof/>
        </w:rPr>
      </w:pPr>
      <w:r>
        <w:rPr>
          <w:noProof/>
          <w:lang w:eastAsia="en-GB"/>
        </w:rPr>
        <w:drawing>
          <wp:inline distT="0" distB="0" distL="0" distR="0" wp14:anchorId="700BC9CD" wp14:editId="39441F73">
            <wp:extent cx="5124480" cy="1497837"/>
            <wp:effectExtent l="0" t="0" r="0" b="0"/>
            <wp:docPr id="2093017495" name="Picture 2093017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8">
                      <a:extLst>
                        <a:ext uri="{28A0092B-C50C-407E-A947-70E740481C1C}">
                          <a14:useLocalDpi xmlns:a14="http://schemas.microsoft.com/office/drawing/2010/main" val="0"/>
                        </a:ext>
                      </a:extLst>
                    </a:blip>
                    <a:srcRect r="6041" b="17610"/>
                    <a:stretch>
                      <a:fillRect/>
                    </a:stretch>
                  </pic:blipFill>
                  <pic:spPr>
                    <a:xfrm>
                      <a:off x="0" y="0"/>
                      <a:ext cx="5124480" cy="1497837"/>
                    </a:xfrm>
                    <a:prstGeom prst="rect">
                      <a:avLst/>
                    </a:prstGeom>
                  </pic:spPr>
                </pic:pic>
              </a:graphicData>
            </a:graphic>
          </wp:inline>
        </w:drawing>
      </w:r>
    </w:p>
    <w:p w14:paraId="060ED429" w14:textId="4BAD35B8" w:rsidR="003E3188" w:rsidRPr="00AD5264" w:rsidRDefault="4D32491F" w:rsidP="5E32147E">
      <w:pPr>
        <w:pStyle w:val="CT-NOTE"/>
        <w:rPr>
          <w:i w:val="0"/>
          <w:iCs w:val="0"/>
          <w:noProof/>
        </w:rPr>
      </w:pPr>
      <w:r>
        <w:rPr>
          <w:noProof/>
        </w:rPr>
        <w:t>Note: manufacturing capacity needed and investment needs per technology. Capacity is expressed in GWh/year for batteries and GW/year for the other technologies (GW of electricity for electrolysers, GWAC for solar PV)</w:t>
      </w:r>
    </w:p>
    <w:p w14:paraId="4A859E57" w14:textId="3BBDB3EC" w:rsidR="003E3188" w:rsidRPr="00AD5264" w:rsidRDefault="003E3188" w:rsidP="5E32147E">
      <w:pPr>
        <w:pStyle w:val="CT-NOTE"/>
        <w:jc w:val="right"/>
        <w:rPr>
          <w:i w:val="0"/>
          <w:noProof/>
        </w:rPr>
      </w:pPr>
      <w:r w:rsidRPr="00AD5264">
        <w:rPr>
          <w:noProof/>
        </w:rPr>
        <w:t>Source: Commission own calculations</w:t>
      </w:r>
      <w:r w:rsidR="000F1019">
        <w:rPr>
          <w:noProof/>
        </w:rPr>
        <w:t xml:space="preserve"> based on </w:t>
      </w:r>
      <w:r w:rsidRPr="00AD5264">
        <w:rPr>
          <w:noProof/>
        </w:rPr>
        <w:t>PRIMES</w:t>
      </w:r>
      <w:r w:rsidR="000F1019" w:rsidRPr="000F1019">
        <w:rPr>
          <w:rFonts w:cs="Calibri"/>
          <w:noProof/>
        </w:rPr>
        <w:t> </w:t>
      </w:r>
      <w:r w:rsidR="000F1019" w:rsidRPr="000F1019">
        <w:rPr>
          <w:noProof/>
        </w:rPr>
        <w:t>(</w:t>
      </w:r>
      <w:r w:rsidR="000F1019">
        <w:rPr>
          <w:rStyle w:val="FootnoteReference"/>
          <w:noProof/>
        </w:rPr>
        <w:footnoteReference w:id="281"/>
      </w:r>
      <w:r w:rsidR="000F1019">
        <w:rPr>
          <w:noProof/>
        </w:rPr>
        <w:t>)</w:t>
      </w:r>
    </w:p>
    <w:p w14:paraId="776F742B" w14:textId="77AC3F52" w:rsidR="5E32147E" w:rsidRDefault="5E32147E" w:rsidP="5E32147E">
      <w:pPr>
        <w:rPr>
          <w:noProof/>
          <w:lang w:eastAsia="en-US"/>
        </w:rPr>
      </w:pPr>
    </w:p>
    <w:p w14:paraId="03183990" w14:textId="47E3476A" w:rsidR="003E3188" w:rsidRDefault="003E3188" w:rsidP="003E3188">
      <w:pPr>
        <w:rPr>
          <w:noProof/>
          <w:lang w:eastAsia="en-US"/>
        </w:rPr>
      </w:pPr>
      <w:r>
        <w:rPr>
          <w:noProof/>
          <w:lang w:eastAsia="en-US"/>
        </w:rPr>
        <w:t xml:space="preserve">In </w:t>
      </w:r>
      <w:r w:rsidR="5A3EE5EB" w:rsidRPr="52B571EE">
        <w:rPr>
          <w:noProof/>
          <w:lang w:eastAsia="en-US"/>
        </w:rPr>
        <w:t>a</w:t>
      </w:r>
      <w:r>
        <w:rPr>
          <w:noProof/>
          <w:lang w:eastAsia="en-US"/>
        </w:rPr>
        <w:t xml:space="preserve"> scenario </w:t>
      </w:r>
      <w:r w:rsidR="4D32491F" w:rsidRPr="52B571EE">
        <w:rPr>
          <w:noProof/>
          <w:lang w:eastAsia="en-US"/>
        </w:rPr>
        <w:t>wh</w:t>
      </w:r>
      <w:r w:rsidR="25BABB04" w:rsidRPr="52B571EE">
        <w:rPr>
          <w:noProof/>
          <w:lang w:eastAsia="en-US"/>
        </w:rPr>
        <w:t>ere the EU achieves</w:t>
      </w:r>
      <w:r>
        <w:rPr>
          <w:noProof/>
          <w:lang w:eastAsia="en-US"/>
        </w:rPr>
        <w:t xml:space="preserve"> the market shares </w:t>
      </w:r>
      <w:r w:rsidR="25BABB04" w:rsidRPr="52B571EE">
        <w:rPr>
          <w:noProof/>
          <w:lang w:eastAsia="en-US"/>
        </w:rPr>
        <w:t>indicated</w:t>
      </w:r>
      <w:r>
        <w:rPr>
          <w:noProof/>
          <w:lang w:eastAsia="en-US"/>
        </w:rPr>
        <w:t xml:space="preserve"> in the Net-Zero Industry Act proposal</w:t>
      </w:r>
      <w:r w:rsidR="1ADA8E1A" w:rsidRPr="6EBC1844">
        <w:rPr>
          <w:noProof/>
          <w:vertAlign w:val="superscript"/>
          <w:lang w:eastAsia="en-US"/>
        </w:rPr>
        <w:t>(</w:t>
      </w:r>
      <w:r w:rsidRPr="6EBC1844">
        <w:rPr>
          <w:noProof/>
          <w:vertAlign w:val="superscript"/>
          <w:lang w:eastAsia="en-US"/>
        </w:rPr>
        <w:footnoteReference w:id="282"/>
      </w:r>
      <w:r w:rsidR="0CC57162" w:rsidRPr="6EBC1844">
        <w:rPr>
          <w:noProof/>
          <w:vertAlign w:val="superscript"/>
          <w:lang w:eastAsia="en-US"/>
        </w:rPr>
        <w:t>)</w:t>
      </w:r>
      <w:r w:rsidR="4D32491F" w:rsidRPr="243E7855">
        <w:rPr>
          <w:noProof/>
          <w:lang w:eastAsia="en-US"/>
        </w:rPr>
        <w:t>,</w:t>
      </w:r>
      <w:r>
        <w:rPr>
          <w:noProof/>
          <w:lang w:eastAsia="en-US"/>
        </w:rPr>
        <w:t xml:space="preserve"> total investment needs reach </w:t>
      </w:r>
      <w:r w:rsidR="002C4E68">
        <w:rPr>
          <w:noProof/>
          <w:lang w:eastAsia="en-US"/>
        </w:rPr>
        <w:t xml:space="preserve">a cumulative </w:t>
      </w:r>
      <w:r>
        <w:rPr>
          <w:noProof/>
          <w:lang w:eastAsia="en-US"/>
        </w:rPr>
        <w:t>EUR 23 billion</w:t>
      </w:r>
      <w:r w:rsidR="002C4E68">
        <w:rPr>
          <w:noProof/>
          <w:lang w:eastAsia="en-US"/>
        </w:rPr>
        <w:t xml:space="preserve"> over 2031-2040</w:t>
      </w:r>
      <w:r>
        <w:rPr>
          <w:noProof/>
          <w:lang w:eastAsia="en-US"/>
        </w:rPr>
        <w:t>. Two thirds of t</w:t>
      </w:r>
      <w:r w:rsidR="00B2361C">
        <w:rPr>
          <w:noProof/>
          <w:lang w:eastAsia="en-US"/>
        </w:rPr>
        <w:t>hose</w:t>
      </w:r>
      <w:r>
        <w:rPr>
          <w:noProof/>
          <w:lang w:eastAsia="en-US"/>
        </w:rPr>
        <w:t xml:space="preserve"> investments are for battery manufacturing, one fifth to one quarter are for manufacturing of wind technologies, and electrolysers, solar PV and heat pumps represent </w:t>
      </w:r>
      <w:r w:rsidR="00B2361C">
        <w:rPr>
          <w:noProof/>
          <w:lang w:eastAsia="en-US"/>
        </w:rPr>
        <w:t xml:space="preserve">each </w:t>
      </w:r>
      <w:r>
        <w:rPr>
          <w:noProof/>
          <w:lang w:eastAsia="en-US"/>
        </w:rPr>
        <w:t xml:space="preserve">between 2 and 6% of the total. </w:t>
      </w:r>
      <w:r w:rsidR="00D70F0A">
        <w:rPr>
          <w:rStyle w:val="normaltextrun"/>
          <w:noProof/>
          <w:color w:val="000000"/>
          <w:shd w:val="clear" w:color="auto" w:fill="FFFFFF"/>
        </w:rPr>
        <w:t>This level of investment needs takes into account that investments in manufacturing capacity already take place by 2030</w:t>
      </w:r>
      <w:r w:rsidR="00B2361C">
        <w:rPr>
          <w:rStyle w:val="normaltextrun"/>
          <w:noProof/>
          <w:color w:val="000000"/>
          <w:shd w:val="clear" w:color="auto" w:fill="FFFFFF"/>
        </w:rPr>
        <w:t>, so the EU has already a manufacturing base in place in 2030</w:t>
      </w:r>
      <w:r w:rsidR="00D70F0A">
        <w:rPr>
          <w:rStyle w:val="normaltextrun"/>
          <w:noProof/>
          <w:color w:val="000000"/>
          <w:shd w:val="clear" w:color="auto" w:fill="FFFFFF"/>
        </w:rPr>
        <w:t>.</w:t>
      </w:r>
      <w:r w:rsidR="00763E9E">
        <w:rPr>
          <w:rStyle w:val="normaltextrun"/>
          <w:noProof/>
          <w:color w:val="000000"/>
          <w:shd w:val="clear" w:color="auto" w:fill="FFFFFF"/>
        </w:rPr>
        <w:t xml:space="preserve"> </w:t>
      </w:r>
      <w:r w:rsidR="00763E9E">
        <w:rPr>
          <w:noProof/>
        </w:rPr>
        <w:t xml:space="preserve">Manufacturing investment needs would be lower in scenarios S1 and S2, as in 2040, net installed renewable power capacity is lower by 7% in S2 and by 16% in S1 compared with S3. </w:t>
      </w:r>
    </w:p>
    <w:p w14:paraId="4CE2BB42" w14:textId="52B5B51E" w:rsidR="003E3188" w:rsidRDefault="003E3188" w:rsidP="00680783">
      <w:pPr>
        <w:pStyle w:val="Heading3"/>
        <w:rPr>
          <w:noProof/>
        </w:rPr>
      </w:pPr>
      <w:bookmarkStart w:id="684" w:name="_Toc157692090"/>
      <w:r>
        <w:rPr>
          <w:noProof/>
        </w:rPr>
        <w:t>Technical feasibility</w:t>
      </w:r>
      <w:bookmarkEnd w:id="684"/>
    </w:p>
    <w:p w14:paraId="70AA33A9" w14:textId="7AE1F399" w:rsidR="003E3188" w:rsidRDefault="003E3188" w:rsidP="003E3188">
      <w:pPr>
        <w:rPr>
          <w:noProof/>
          <w:lang w:val="en-IE"/>
        </w:rPr>
      </w:pPr>
      <w:r>
        <w:rPr>
          <w:noProof/>
          <w:lang w:val="en-IE"/>
        </w:rPr>
        <w:t>The cost-efficient decarbonisation relies on the deployment of net-zero technologies with</w:t>
      </w:r>
      <w:r w:rsidRPr="00294381">
        <w:rPr>
          <w:noProof/>
          <w:lang w:val="en-IE"/>
        </w:rPr>
        <w:t xml:space="preserve"> varying but sufficient degree of maturity to be used on a large scale.</w:t>
      </w:r>
      <w:r>
        <w:rPr>
          <w:noProof/>
          <w:lang w:val="en-IE"/>
        </w:rPr>
        <w:t xml:space="preserve"> The maturity of technologies is an important driver of the projected portfolio of net-zero technologies. </w:t>
      </w:r>
      <w:r w:rsidRPr="00913156">
        <w:rPr>
          <w:noProof/>
          <w:lang w:val="en-IE"/>
        </w:rPr>
        <w:t>In recent years, pressing innovation gaps have been addresse</w:t>
      </w:r>
      <w:r>
        <w:rPr>
          <w:noProof/>
          <w:lang w:val="en-IE"/>
        </w:rPr>
        <w:t>d</w:t>
      </w:r>
      <w:r w:rsidRPr="00913156">
        <w:rPr>
          <w:noProof/>
          <w:lang w:val="en-IE"/>
        </w:rPr>
        <w:t xml:space="preserve"> which resulted in significant improvements of the technology readiness.</w:t>
      </w:r>
      <w:r w:rsidR="00BF05E6" w:rsidRPr="00BF05E6">
        <w:rPr>
          <w:noProof/>
          <w:lang w:val="en-IE"/>
        </w:rPr>
        <w:t> (</w:t>
      </w:r>
      <w:r>
        <w:rPr>
          <w:rStyle w:val="FootnoteReference"/>
          <w:noProof/>
          <w:lang w:val="en-IE"/>
        </w:rPr>
        <w:footnoteReference w:id="283"/>
      </w:r>
      <w:r w:rsidR="00BF05E6">
        <w:rPr>
          <w:noProof/>
          <w:lang w:val="en-IE"/>
        </w:rPr>
        <w:t>)</w:t>
      </w:r>
      <w:r w:rsidRPr="00913156">
        <w:rPr>
          <w:noProof/>
          <w:lang w:val="en-IE"/>
        </w:rPr>
        <w:t xml:space="preserve"> </w:t>
      </w:r>
      <w:r>
        <w:rPr>
          <w:noProof/>
          <w:lang w:val="en-IE"/>
        </w:rPr>
        <w:t>For the bulk of net-zero technologies needed to reach the 2040 targets, the Technology Readiness Level (TRL) already amounts to at least 8 (out of 9) which means that they are in an advanced deployment stage.</w:t>
      </w:r>
      <w:r w:rsidR="00BF05E6" w:rsidRPr="00BF05E6">
        <w:rPr>
          <w:noProof/>
          <w:lang w:val="en-IE"/>
        </w:rPr>
        <w:t> (</w:t>
      </w:r>
      <w:r>
        <w:rPr>
          <w:rStyle w:val="FootnoteReference"/>
          <w:noProof/>
          <w:lang w:val="en-IE"/>
        </w:rPr>
        <w:footnoteReference w:id="284"/>
      </w:r>
      <w:r w:rsidR="00BF05E6">
        <w:rPr>
          <w:noProof/>
          <w:lang w:val="en-IE"/>
        </w:rPr>
        <w:t>)</w:t>
      </w:r>
      <w:r>
        <w:rPr>
          <w:noProof/>
          <w:lang w:val="en-IE"/>
        </w:rPr>
        <w:t xml:space="preserve"> </w:t>
      </w:r>
    </w:p>
    <w:p w14:paraId="4C8CD44D" w14:textId="21705251" w:rsidR="003E3188" w:rsidRDefault="003E3188" w:rsidP="003E3188">
      <w:pPr>
        <w:rPr>
          <w:noProof/>
          <w:lang w:val="en-IE"/>
        </w:rPr>
      </w:pPr>
      <w:r>
        <w:rPr>
          <w:noProof/>
          <w:lang w:val="en-IE"/>
        </w:rPr>
        <w:t xml:space="preserve">DAC is at the lower end of the deployment stage having a TRL of 7. Bioenergy with carbon capture and storage (BECCS) is the only technology that has a TRL of 5-6 (“Technology demonstrated in relevant environment”) indicating that </w:t>
      </w:r>
      <w:r w:rsidR="00314EA0">
        <w:rPr>
          <w:noProof/>
          <w:lang w:val="en-IE"/>
        </w:rPr>
        <w:t xml:space="preserve">it </w:t>
      </w:r>
      <w:r>
        <w:rPr>
          <w:noProof/>
          <w:lang w:val="en-IE"/>
        </w:rPr>
        <w:t>is not fully established. However, there are already a variety of BECCS demonstration projects in Japan, Norway, Sweden and the United Kingdom.</w:t>
      </w:r>
    </w:p>
    <w:p w14:paraId="51B97C31" w14:textId="4F595D80" w:rsidR="003E3188" w:rsidRPr="00AE02AD" w:rsidRDefault="003E3188" w:rsidP="003E3188">
      <w:pPr>
        <w:rPr>
          <w:noProof/>
          <w:lang w:val="en-IE"/>
        </w:rPr>
      </w:pPr>
      <w:r>
        <w:rPr>
          <w:noProof/>
          <w:lang w:val="en-IE"/>
        </w:rPr>
        <w:t xml:space="preserve">Due to their relatively low maturity, DAC and BECCS come into play only between 2030 and 2040 allowing the technology to be further developed over the coming years. In 2040, DAC and BECCS is projected to capture 16 MtCO2 (S1) to 155 MtCO2 (S3) making up around 0.3% (S1) to 3.3% (S3) of 1990 total GHG emissions. The </w:t>
      </w:r>
      <w:r w:rsidRPr="003871A4">
        <w:rPr>
          <w:noProof/>
          <w:lang w:val="en-IE"/>
        </w:rPr>
        <w:t xml:space="preserve">S3 scenario </w:t>
      </w:r>
      <w:r w:rsidR="002A5A67">
        <w:rPr>
          <w:noProof/>
          <w:lang w:val="en-IE"/>
        </w:rPr>
        <w:t>anticipates</w:t>
      </w:r>
      <w:r w:rsidRPr="003871A4">
        <w:rPr>
          <w:noProof/>
          <w:lang w:val="en-IE"/>
        </w:rPr>
        <w:t xml:space="preserve"> decarbonisation</w:t>
      </w:r>
      <w:r>
        <w:rPr>
          <w:noProof/>
          <w:lang w:val="en-IE"/>
        </w:rPr>
        <w:t xml:space="preserve"> via DAC</w:t>
      </w:r>
      <w:r w:rsidRPr="003871A4">
        <w:rPr>
          <w:noProof/>
          <w:lang w:val="en-IE"/>
        </w:rPr>
        <w:t xml:space="preserve"> </w:t>
      </w:r>
      <w:r>
        <w:rPr>
          <w:noProof/>
          <w:lang w:val="en-IE"/>
        </w:rPr>
        <w:t>up to 2040</w:t>
      </w:r>
      <w:r w:rsidRPr="003871A4">
        <w:rPr>
          <w:noProof/>
          <w:lang w:val="en-IE"/>
        </w:rPr>
        <w:t>.</w:t>
      </w:r>
      <w:r>
        <w:rPr>
          <w:noProof/>
          <w:lang w:val="en-IE"/>
        </w:rPr>
        <w:t xml:space="preserve"> </w:t>
      </w:r>
    </w:p>
    <w:p w14:paraId="7AD4E1AF" w14:textId="4DB2951E" w:rsidR="009F0228" w:rsidRDefault="009F0228" w:rsidP="00680783">
      <w:pPr>
        <w:pStyle w:val="Heading3"/>
        <w:rPr>
          <w:noProof/>
        </w:rPr>
      </w:pPr>
      <w:bookmarkStart w:id="685" w:name="_Toc157692091"/>
      <w:r>
        <w:rPr>
          <w:noProof/>
        </w:rPr>
        <w:t>Other related investment needs</w:t>
      </w:r>
      <w:bookmarkEnd w:id="681"/>
      <w:bookmarkEnd w:id="685"/>
    </w:p>
    <w:p w14:paraId="690AA736" w14:textId="79B096E8" w:rsidR="00013E74" w:rsidRDefault="00013E74" w:rsidP="009F0228">
      <w:pPr>
        <w:rPr>
          <w:noProof/>
        </w:rPr>
      </w:pPr>
      <w:r>
        <w:rPr>
          <w:noProof/>
        </w:rPr>
        <w:t>The needs analysed above concern mainly the investment required to decarbonise the energy system, and to some extent the investment required to increase the domestic production of the clean technologies that will be essential to decarbonisation efforts. Beyond the energy system, additional climate-related investments will be necessary in the coming decades, in two main areas: LULUCF sectors and agriculture, and climate adaptation.</w:t>
      </w:r>
    </w:p>
    <w:p w14:paraId="27648B32" w14:textId="15A575B6" w:rsidR="005869CC" w:rsidRPr="00C57BBB" w:rsidRDefault="00557094" w:rsidP="009F0228">
      <w:pPr>
        <w:rPr>
          <w:noProof/>
        </w:rPr>
      </w:pPr>
      <w:r w:rsidRPr="00C57BBB">
        <w:rPr>
          <w:b/>
          <w:bCs/>
          <w:noProof/>
        </w:rPr>
        <w:t>Investment in</w:t>
      </w:r>
      <w:r w:rsidRPr="00C57BBB">
        <w:rPr>
          <w:noProof/>
        </w:rPr>
        <w:t xml:space="preserve"> </w:t>
      </w:r>
      <w:r w:rsidRPr="00C57BBB">
        <w:rPr>
          <w:b/>
          <w:bCs/>
          <w:noProof/>
        </w:rPr>
        <w:t>the land sector.</w:t>
      </w:r>
      <w:r w:rsidRPr="00C57BBB">
        <w:rPr>
          <w:noProof/>
        </w:rPr>
        <w:t xml:space="preserve"> </w:t>
      </w:r>
      <w:r w:rsidR="003046F6" w:rsidRPr="00C57BBB">
        <w:rPr>
          <w:noProof/>
        </w:rPr>
        <w:t>The Bioeconomy Strategy Progress Report 2022 (</w:t>
      </w:r>
      <w:r w:rsidR="003046F6" w:rsidRPr="00C57BBB">
        <w:rPr>
          <w:rStyle w:val="FootnoteReference"/>
          <w:noProof/>
        </w:rPr>
        <w:footnoteReference w:id="285"/>
      </w:r>
      <w:r w:rsidR="003046F6" w:rsidRPr="00C57BBB">
        <w:rPr>
          <w:noProof/>
        </w:rPr>
        <w:t>)</w:t>
      </w:r>
      <w:r w:rsidR="004B23EA" w:rsidRPr="00C57BBB">
        <w:rPr>
          <w:noProof/>
        </w:rPr>
        <w:t xml:space="preserve"> finds that although at least </w:t>
      </w:r>
      <w:r w:rsidR="003046F6" w:rsidRPr="00C57BBB">
        <w:rPr>
          <w:noProof/>
        </w:rPr>
        <w:t>EUR</w:t>
      </w:r>
      <w:r w:rsidR="006520B9" w:rsidRPr="00C57BBB">
        <w:rPr>
          <w:noProof/>
        </w:rPr>
        <w:t> </w:t>
      </w:r>
      <w:r w:rsidR="003046F6" w:rsidRPr="00C57BBB">
        <w:rPr>
          <w:noProof/>
        </w:rPr>
        <w:t>2.7</w:t>
      </w:r>
      <w:r w:rsidR="006520B9" w:rsidRPr="00C57BBB">
        <w:rPr>
          <w:noProof/>
        </w:rPr>
        <w:t> </w:t>
      </w:r>
      <w:r w:rsidR="003046F6" w:rsidRPr="00C57BBB">
        <w:rPr>
          <w:noProof/>
        </w:rPr>
        <w:t>billion of private investment ha</w:t>
      </w:r>
      <w:r w:rsidR="006520B9" w:rsidRPr="00C57BBB">
        <w:rPr>
          <w:noProof/>
        </w:rPr>
        <w:t>ve</w:t>
      </w:r>
      <w:r w:rsidR="003046F6" w:rsidRPr="00C57BBB">
        <w:rPr>
          <w:noProof/>
        </w:rPr>
        <w:t xml:space="preserve"> been unlocked to develop new technologies for sustainable and circular bio-based value chains</w:t>
      </w:r>
      <w:r w:rsidR="004B23EA" w:rsidRPr="00C57BBB">
        <w:rPr>
          <w:noProof/>
        </w:rPr>
        <w:t xml:space="preserve"> more is needed to transfer knowledge into innovations due to the lack of financing. These investments are needed for example to tap the biomass potential, new biorefineries</w:t>
      </w:r>
      <w:r w:rsidR="005869CC" w:rsidRPr="00C57BBB">
        <w:rPr>
          <w:noProof/>
        </w:rPr>
        <w:t xml:space="preserve"> and plant lignocellulosic crops on EU cropland as feedstock for bioenergy</w:t>
      </w:r>
      <w:r w:rsidR="004B23EA" w:rsidRPr="00C57BBB">
        <w:rPr>
          <w:noProof/>
        </w:rPr>
        <w:t>.</w:t>
      </w:r>
    </w:p>
    <w:p w14:paraId="5D6D871F" w14:textId="15B55398" w:rsidR="00C92102" w:rsidRPr="00C57BBB" w:rsidRDefault="007448C5" w:rsidP="009F0228">
      <w:pPr>
        <w:rPr>
          <w:noProof/>
        </w:rPr>
      </w:pPr>
      <w:r w:rsidRPr="00C57BBB">
        <w:rPr>
          <w:noProof/>
        </w:rPr>
        <w:t xml:space="preserve">The LULUCF sector </w:t>
      </w:r>
      <w:r w:rsidR="00CB32E9" w:rsidRPr="00C57BBB">
        <w:rPr>
          <w:noProof/>
        </w:rPr>
        <w:t xml:space="preserve">plays already a very important role with its net removal, and it will become even more important in the future. </w:t>
      </w:r>
      <w:r w:rsidR="005869CC" w:rsidRPr="00C57BBB">
        <w:rPr>
          <w:noProof/>
        </w:rPr>
        <w:t xml:space="preserve">Importantly </w:t>
      </w:r>
      <w:r w:rsidR="00CB32E9" w:rsidRPr="00C57BBB">
        <w:rPr>
          <w:noProof/>
        </w:rPr>
        <w:t xml:space="preserve">investments </w:t>
      </w:r>
      <w:r w:rsidR="005F4F4F" w:rsidRPr="00C57BBB">
        <w:rPr>
          <w:noProof/>
        </w:rPr>
        <w:t xml:space="preserve">into the sector are needed to maintain and enhance its capacity as a </w:t>
      </w:r>
      <w:r w:rsidR="0043322C" w:rsidRPr="00C57BBB">
        <w:rPr>
          <w:noProof/>
        </w:rPr>
        <w:t>carbon sink</w:t>
      </w:r>
      <w:r w:rsidR="0047518A" w:rsidRPr="00C57BBB">
        <w:rPr>
          <w:noProof/>
        </w:rPr>
        <w:t>, particularly considering the recent decline of the LULUCF net removals. N</w:t>
      </w:r>
      <w:r w:rsidR="005869CC" w:rsidRPr="00C57BBB">
        <w:rPr>
          <w:noProof/>
        </w:rPr>
        <w:t xml:space="preserve">ature-based </w:t>
      </w:r>
      <w:r w:rsidR="00575566" w:rsidRPr="00C57BBB">
        <w:rPr>
          <w:noProof/>
        </w:rPr>
        <w:t>removals</w:t>
      </w:r>
      <w:r w:rsidR="005869CC" w:rsidRPr="00C57BBB">
        <w:rPr>
          <w:noProof/>
        </w:rPr>
        <w:t xml:space="preserve"> in the LULUCF </w:t>
      </w:r>
      <w:r w:rsidR="0059255E" w:rsidRPr="00C57BBB">
        <w:rPr>
          <w:noProof/>
        </w:rPr>
        <w:t xml:space="preserve">and agricultural </w:t>
      </w:r>
      <w:r w:rsidR="005869CC" w:rsidRPr="00C57BBB">
        <w:rPr>
          <w:noProof/>
        </w:rPr>
        <w:t>sector</w:t>
      </w:r>
      <w:r w:rsidR="0059255E" w:rsidRPr="00C57BBB">
        <w:rPr>
          <w:noProof/>
        </w:rPr>
        <w:t xml:space="preserve"> provide </w:t>
      </w:r>
      <w:r w:rsidR="00905734" w:rsidRPr="00C57BBB">
        <w:rPr>
          <w:noProof/>
        </w:rPr>
        <w:t>many</w:t>
      </w:r>
      <w:r w:rsidR="00C22DB3" w:rsidRPr="00C57BBB">
        <w:rPr>
          <w:noProof/>
        </w:rPr>
        <w:t xml:space="preserve"> option</w:t>
      </w:r>
      <w:r w:rsidR="00905734" w:rsidRPr="00C57BBB">
        <w:rPr>
          <w:noProof/>
        </w:rPr>
        <w:t>s</w:t>
      </w:r>
      <w:r w:rsidR="00C22DB3" w:rsidRPr="00C57BBB">
        <w:rPr>
          <w:noProof/>
        </w:rPr>
        <w:t xml:space="preserve"> for implementation at large scale</w:t>
      </w:r>
      <w:r w:rsidR="005869CC" w:rsidRPr="00C57BBB">
        <w:rPr>
          <w:noProof/>
        </w:rPr>
        <w:t xml:space="preserve">, </w:t>
      </w:r>
      <w:r w:rsidR="002B72A5" w:rsidRPr="00C57BBB">
        <w:rPr>
          <w:noProof/>
        </w:rPr>
        <w:t xml:space="preserve">but </w:t>
      </w:r>
      <w:r w:rsidR="00905734" w:rsidRPr="00C57BBB">
        <w:rPr>
          <w:noProof/>
        </w:rPr>
        <w:t xml:space="preserve">they </w:t>
      </w:r>
      <w:r w:rsidR="005869CC" w:rsidRPr="00C57BBB">
        <w:rPr>
          <w:noProof/>
        </w:rPr>
        <w:t xml:space="preserve">require significant </w:t>
      </w:r>
      <w:r w:rsidR="00223D17" w:rsidRPr="00C57BBB">
        <w:rPr>
          <w:noProof/>
        </w:rPr>
        <w:t xml:space="preserve">additional </w:t>
      </w:r>
      <w:r w:rsidR="005869CC" w:rsidRPr="00C57BBB">
        <w:rPr>
          <w:noProof/>
        </w:rPr>
        <w:t xml:space="preserve">investments. </w:t>
      </w:r>
      <w:r w:rsidR="00F97FAE" w:rsidRPr="00C57BBB">
        <w:rPr>
          <w:noProof/>
        </w:rPr>
        <w:t>Examples for such nature-based removals are a</w:t>
      </w:r>
      <w:r w:rsidR="005869CC" w:rsidRPr="00C57BBB">
        <w:rPr>
          <w:noProof/>
        </w:rPr>
        <w:t>fforestation and reforestation, peatland restoration activities</w:t>
      </w:r>
      <w:r w:rsidR="00F12A35" w:rsidRPr="00C57BBB">
        <w:rPr>
          <w:noProof/>
        </w:rPr>
        <w:t>, as well as the reduction of emissions from agricultural soil</w:t>
      </w:r>
      <w:r w:rsidR="005869CC" w:rsidRPr="00C57BBB">
        <w:rPr>
          <w:noProof/>
        </w:rPr>
        <w:t xml:space="preserve"> </w:t>
      </w:r>
      <w:r w:rsidR="00F12A35" w:rsidRPr="00C57BBB">
        <w:rPr>
          <w:noProof/>
        </w:rPr>
        <w:t>(</w:t>
      </w:r>
      <w:r w:rsidR="00924F52" w:rsidRPr="00C57BBB">
        <w:rPr>
          <w:noProof/>
        </w:rPr>
        <w:t>e.g.,</w:t>
      </w:r>
      <w:r w:rsidR="00F12A35" w:rsidRPr="00C57BBB">
        <w:rPr>
          <w:noProof/>
        </w:rPr>
        <w:t xml:space="preserve"> through practices such as agroforestry or paludiculture)</w:t>
      </w:r>
      <w:r w:rsidR="00F97FAE" w:rsidRPr="00C57BBB">
        <w:rPr>
          <w:noProof/>
        </w:rPr>
        <w:t xml:space="preserve">. </w:t>
      </w:r>
      <w:r w:rsidR="00575566" w:rsidRPr="00C57BBB">
        <w:rPr>
          <w:noProof/>
        </w:rPr>
        <w:t>More generally, n</w:t>
      </w:r>
      <w:r w:rsidR="00C92102" w:rsidRPr="00C57BBB">
        <w:rPr>
          <w:noProof/>
        </w:rPr>
        <w:t xml:space="preserve">ature-based </w:t>
      </w:r>
      <w:r w:rsidR="00575566" w:rsidRPr="00C57BBB">
        <w:rPr>
          <w:noProof/>
        </w:rPr>
        <w:t>solutions</w:t>
      </w:r>
      <w:r w:rsidR="00C92102" w:rsidRPr="00C57BBB">
        <w:rPr>
          <w:noProof/>
        </w:rPr>
        <w:t xml:space="preserve"> currently receive only a small proportion of the existing financing on climate-mitigation, if one considers their potential (</w:t>
      </w:r>
      <w:r w:rsidR="00C92102" w:rsidRPr="00C57BBB">
        <w:rPr>
          <w:rStyle w:val="FootnoteReference"/>
          <w:noProof/>
        </w:rPr>
        <w:footnoteReference w:id="286"/>
      </w:r>
      <w:r w:rsidR="00C92102" w:rsidRPr="00C57BBB">
        <w:rPr>
          <w:noProof/>
        </w:rPr>
        <w:t>).</w:t>
      </w:r>
      <w:r w:rsidR="00575566" w:rsidRPr="00C57BBB">
        <w:rPr>
          <w:noProof/>
        </w:rPr>
        <w:t xml:space="preserve"> Globally, they can provide about one-third of the cost-effective climate mitigation needed until 2030 to stabilize warming to below 2°C (</w:t>
      </w:r>
      <w:r w:rsidR="00575566" w:rsidRPr="00C57BBB">
        <w:rPr>
          <w:rStyle w:val="FootnoteReference"/>
          <w:noProof/>
        </w:rPr>
        <w:footnoteReference w:id="287"/>
      </w:r>
      <w:r w:rsidR="00575566" w:rsidRPr="00C57BBB">
        <w:rPr>
          <w:noProof/>
        </w:rPr>
        <w:t>).</w:t>
      </w:r>
      <w:r w:rsidR="00C92102" w:rsidRPr="00C57BBB">
        <w:rPr>
          <w:noProof/>
        </w:rPr>
        <w:t xml:space="preserve"> Notably, offsets on the voluntary market are of variable quality, which is why investments </w:t>
      </w:r>
      <w:r w:rsidR="00C52B5F" w:rsidRPr="00C57BBB">
        <w:rPr>
          <w:noProof/>
        </w:rPr>
        <w:t>should</w:t>
      </w:r>
      <w:r w:rsidR="00C92102" w:rsidRPr="00C57BBB">
        <w:rPr>
          <w:noProof/>
        </w:rPr>
        <w:t xml:space="preserve"> be directed towards nature-based solutions that are ecologically sound, socially equitable and designed for </w:t>
      </w:r>
      <w:r w:rsidR="006520B9" w:rsidRPr="00C57BBB">
        <w:rPr>
          <w:noProof/>
        </w:rPr>
        <w:t xml:space="preserve">the </w:t>
      </w:r>
      <w:r w:rsidR="00C92102" w:rsidRPr="00C57BBB">
        <w:rPr>
          <w:noProof/>
        </w:rPr>
        <w:t>medium and long-</w:t>
      </w:r>
      <w:r w:rsidR="00A82395" w:rsidRPr="00C57BBB">
        <w:rPr>
          <w:noProof/>
        </w:rPr>
        <w:t>term (</w:t>
      </w:r>
      <w:r w:rsidR="00C92102" w:rsidRPr="00C57BBB">
        <w:rPr>
          <w:rStyle w:val="FootnoteReference"/>
          <w:noProof/>
        </w:rPr>
        <w:footnoteReference w:id="288"/>
      </w:r>
      <w:r w:rsidR="00C92102" w:rsidRPr="00C57BBB">
        <w:rPr>
          <w:noProof/>
        </w:rPr>
        <w:t>).</w:t>
      </w:r>
      <w:r w:rsidR="00A82395" w:rsidRPr="00C57BBB">
        <w:rPr>
          <w:noProof/>
        </w:rPr>
        <w:t xml:space="preserve"> According to GLOBIOM modelling, </w:t>
      </w:r>
      <w:r w:rsidR="009F2C95" w:rsidRPr="00C57BBB">
        <w:rPr>
          <w:noProof/>
        </w:rPr>
        <w:t xml:space="preserve">within the EU </w:t>
      </w:r>
      <w:r w:rsidR="00A82395" w:rsidRPr="00C57BBB">
        <w:rPr>
          <w:noProof/>
        </w:rPr>
        <w:t>about 85% of available nature-based solutions with costs up to 200 €/tCO</w:t>
      </w:r>
      <w:r w:rsidR="00A82395" w:rsidRPr="00C57BBB">
        <w:rPr>
          <w:noProof/>
          <w:vertAlign w:val="subscript"/>
        </w:rPr>
        <w:t>2</w:t>
      </w:r>
      <w:r w:rsidR="00A82395" w:rsidRPr="00C57BBB">
        <w:rPr>
          <w:noProof/>
        </w:rPr>
        <w:t>-eq are available for up to 100 €/tCO</w:t>
      </w:r>
      <w:r w:rsidR="00A82395" w:rsidRPr="00C57BBB">
        <w:rPr>
          <w:noProof/>
          <w:vertAlign w:val="subscript"/>
        </w:rPr>
        <w:t>2</w:t>
      </w:r>
      <w:r w:rsidR="00A82395" w:rsidRPr="00C57BBB">
        <w:rPr>
          <w:noProof/>
        </w:rPr>
        <w:t xml:space="preserve">-eq in 2040 and about 65% for up to 50 €/tCO2-eq (see Annex 8). </w:t>
      </w:r>
    </w:p>
    <w:p w14:paraId="5690DE45" w14:textId="1BCCBF66" w:rsidR="00013E74" w:rsidRDefault="007448C5" w:rsidP="009F0228">
      <w:pPr>
        <w:rPr>
          <w:noProof/>
        </w:rPr>
      </w:pPr>
      <w:r w:rsidRPr="00C57BBB">
        <w:rPr>
          <w:b/>
          <w:bCs/>
          <w:noProof/>
        </w:rPr>
        <w:t xml:space="preserve">Investments in </w:t>
      </w:r>
      <w:r w:rsidR="00F60C11">
        <w:rPr>
          <w:b/>
          <w:bCs/>
          <w:noProof/>
        </w:rPr>
        <w:t>a</w:t>
      </w:r>
      <w:r w:rsidR="00557094" w:rsidRPr="00C57BBB">
        <w:rPr>
          <w:b/>
          <w:bCs/>
          <w:noProof/>
        </w:rPr>
        <w:t>dapatation.</w:t>
      </w:r>
      <w:r w:rsidR="00557094" w:rsidRPr="00C57BBB">
        <w:rPr>
          <w:noProof/>
        </w:rPr>
        <w:t xml:space="preserve"> </w:t>
      </w:r>
      <w:r w:rsidR="00C621A2" w:rsidRPr="00C57BBB">
        <w:rPr>
          <w:noProof/>
        </w:rPr>
        <w:t xml:space="preserve">The European Climate Law requires the Union institutions and Member States to ensure continuous progress in enhancing adaptive capacity, strengthening resilience and reducing vulnerability to climate change. As part of this, </w:t>
      </w:r>
      <w:r w:rsidR="00B42DDC" w:rsidRPr="00C57BBB">
        <w:rPr>
          <w:noProof/>
        </w:rPr>
        <w:t xml:space="preserve">the </w:t>
      </w:r>
      <w:r w:rsidR="00C621A2" w:rsidRPr="00C57BBB">
        <w:rPr>
          <w:noProof/>
        </w:rPr>
        <w:t>Commission adopted a new EU strategy on adaptation to climate change in 2021 (</w:t>
      </w:r>
      <w:r w:rsidR="00C621A2" w:rsidRPr="00C57BBB">
        <w:rPr>
          <w:rStyle w:val="FootnoteReference"/>
          <w:noProof/>
        </w:rPr>
        <w:footnoteReference w:id="289"/>
      </w:r>
      <w:r w:rsidR="00C621A2" w:rsidRPr="00C57BBB">
        <w:rPr>
          <w:noProof/>
        </w:rPr>
        <w:t>). The strategy sets out how the European Union can adapt to the unavoidable impacts of climate change and become climate resilient by 2050. It builds on four principal objectives: smarter adaptation, faster adaptation, more systemic adaptation and stepped-up international action on adaptation.</w:t>
      </w:r>
    </w:p>
    <w:p w14:paraId="342426A5" w14:textId="76BD8A24" w:rsidR="00C621A2" w:rsidRPr="00A47380" w:rsidRDefault="00C621A2" w:rsidP="00534E10">
      <w:pPr>
        <w:rPr>
          <w:noProof/>
        </w:rPr>
      </w:pPr>
      <w:r w:rsidRPr="00A47380">
        <w:rPr>
          <w:noProof/>
        </w:rPr>
        <w:t xml:space="preserve">While the need for increased investment in climate adaptation and resilience is obvious, there is a </w:t>
      </w:r>
      <w:r w:rsidR="00B42DDC" w:rsidRPr="00A47380">
        <w:rPr>
          <w:noProof/>
        </w:rPr>
        <w:t xml:space="preserve">big </w:t>
      </w:r>
      <w:r w:rsidRPr="00A47380">
        <w:rPr>
          <w:noProof/>
        </w:rPr>
        <w:t>knowledge gap regarding the scale of the investment needs</w:t>
      </w:r>
      <w:r w:rsidR="00B42DDC" w:rsidRPr="00A47380">
        <w:rPr>
          <w:noProof/>
        </w:rPr>
        <w:t>, in part because of methodological complexities</w:t>
      </w:r>
      <w:r w:rsidRPr="00A47380">
        <w:rPr>
          <w:noProof/>
        </w:rPr>
        <w:t xml:space="preserve">. </w:t>
      </w:r>
      <w:r w:rsidR="00B42DDC" w:rsidRPr="00A47380">
        <w:rPr>
          <w:noProof/>
        </w:rPr>
        <w:t>Existing estimates of adaptation investment needs at Member State level vary significantly depending on the methods used, the underlying assumptions (</w:t>
      </w:r>
      <w:r w:rsidR="00924F52" w:rsidRPr="00A47380">
        <w:rPr>
          <w:noProof/>
        </w:rPr>
        <w:t>e.g.,</w:t>
      </w:r>
      <w:r w:rsidR="00B42DDC" w:rsidRPr="00A47380">
        <w:rPr>
          <w:noProof/>
        </w:rPr>
        <w:t xml:space="preserve"> about the frequency and scale of hazards in future, or the time horizon chosen), the hazards taken into </w:t>
      </w:r>
      <w:r w:rsidR="00765D8E" w:rsidRPr="00A47380">
        <w:rPr>
          <w:noProof/>
        </w:rPr>
        <w:t>consideration,</w:t>
      </w:r>
      <w:r w:rsidR="00B42DDC" w:rsidRPr="00A47380">
        <w:rPr>
          <w:noProof/>
        </w:rPr>
        <w:t xml:space="preserve"> or the level of adaptation/resilience sought. </w:t>
      </w:r>
      <w:r w:rsidRPr="00A47380">
        <w:rPr>
          <w:noProof/>
        </w:rPr>
        <w:t>The fact that the returns to investment are frequently reaped at the societal level rather than at the individual level and insufficient knowledge about adaptation investments also mean</w:t>
      </w:r>
      <w:r w:rsidR="00B42DDC" w:rsidRPr="00A47380">
        <w:rPr>
          <w:noProof/>
        </w:rPr>
        <w:t>s</w:t>
      </w:r>
      <w:r w:rsidRPr="00A47380">
        <w:rPr>
          <w:noProof/>
        </w:rPr>
        <w:t xml:space="preserve"> that private agents do not sufficiently assess their own needs.</w:t>
      </w:r>
    </w:p>
    <w:p w14:paraId="11BBAAA0" w14:textId="1CE8A593" w:rsidR="009F0228" w:rsidRPr="00A47380" w:rsidRDefault="00C621A2" w:rsidP="009F0228">
      <w:pPr>
        <w:rPr>
          <w:noProof/>
        </w:rPr>
      </w:pPr>
      <w:r w:rsidRPr="00A47380">
        <w:rPr>
          <w:noProof/>
        </w:rPr>
        <w:t xml:space="preserve">At EU level, there is </w:t>
      </w:r>
      <w:r w:rsidR="00B42DDC" w:rsidRPr="00A47380">
        <w:rPr>
          <w:noProof/>
        </w:rPr>
        <w:t xml:space="preserve">currently </w:t>
      </w:r>
      <w:r w:rsidRPr="00A47380">
        <w:rPr>
          <w:noProof/>
        </w:rPr>
        <w:t xml:space="preserve">no consolidated and coherent estimate of climate adaptation investment needs. </w:t>
      </w:r>
      <w:r w:rsidR="00B42DDC" w:rsidRPr="00A47380">
        <w:rPr>
          <w:noProof/>
        </w:rPr>
        <w:t xml:space="preserve">The Commission is nevertheless addressing </w:t>
      </w:r>
      <w:r w:rsidR="00815105" w:rsidRPr="00A47380">
        <w:rPr>
          <w:noProof/>
        </w:rPr>
        <w:t>this knowledge gap via a number of initiatives, including the ongoing European Climate Risk Assessment (</w:t>
      </w:r>
      <w:r w:rsidR="00815105" w:rsidRPr="00A47380">
        <w:rPr>
          <w:rStyle w:val="FootnoteReference"/>
          <w:noProof/>
        </w:rPr>
        <w:footnoteReference w:id="290"/>
      </w:r>
      <w:r w:rsidR="00815105" w:rsidRPr="00A47380">
        <w:rPr>
          <w:noProof/>
        </w:rPr>
        <w:t>) exercise and a tender (</w:t>
      </w:r>
      <w:r w:rsidR="00815105" w:rsidRPr="00A47380">
        <w:rPr>
          <w:rStyle w:val="FootnoteReference"/>
          <w:noProof/>
        </w:rPr>
        <w:footnoteReference w:id="291"/>
      </w:r>
      <w:r w:rsidR="00815105" w:rsidRPr="00A47380">
        <w:rPr>
          <w:noProof/>
        </w:rPr>
        <w:t>) that will lead to a comprehensive assessment of adaptation investment needs at the EU level.</w:t>
      </w:r>
    </w:p>
    <w:p w14:paraId="677F36B0" w14:textId="5A7DB283" w:rsidR="00DD6070" w:rsidRPr="00A47380" w:rsidRDefault="00DD6070" w:rsidP="00680783">
      <w:pPr>
        <w:pStyle w:val="Heading3"/>
        <w:rPr>
          <w:noProof/>
        </w:rPr>
      </w:pPr>
      <w:bookmarkStart w:id="686" w:name="_Toc148605644"/>
      <w:bookmarkStart w:id="687" w:name="_Toc157692092"/>
      <w:bookmarkEnd w:id="682"/>
      <w:r w:rsidRPr="00A47380">
        <w:rPr>
          <w:noProof/>
        </w:rPr>
        <w:t>The role of the public sector and carbon pricing revenues</w:t>
      </w:r>
      <w:bookmarkEnd w:id="686"/>
      <w:bookmarkEnd w:id="687"/>
    </w:p>
    <w:p w14:paraId="3FE48DCC" w14:textId="42C0AD55" w:rsidR="007264AB" w:rsidRDefault="0045562D" w:rsidP="007264AB">
      <w:pPr>
        <w:rPr>
          <w:noProof/>
        </w:rPr>
      </w:pPr>
      <w:r w:rsidRPr="00A47380">
        <w:rPr>
          <w:noProof/>
        </w:rPr>
        <w:t>As pointed at above, d</w:t>
      </w:r>
      <w:r w:rsidR="00661A30" w:rsidRPr="00A47380">
        <w:rPr>
          <w:noProof/>
        </w:rPr>
        <w:t xml:space="preserve">irect public sector investment </w:t>
      </w:r>
      <w:r w:rsidR="00F90233" w:rsidRPr="00A47380">
        <w:rPr>
          <w:noProof/>
        </w:rPr>
        <w:t xml:space="preserve">is likely to be </w:t>
      </w:r>
      <w:r w:rsidR="00F16507" w:rsidRPr="00A47380">
        <w:rPr>
          <w:noProof/>
        </w:rPr>
        <w:t>important but contained to</w:t>
      </w:r>
      <w:r w:rsidR="00FB33F8" w:rsidRPr="00A47380">
        <w:rPr>
          <w:noProof/>
        </w:rPr>
        <w:t xml:space="preserve"> a relatively limited number o</w:t>
      </w:r>
      <w:r w:rsidR="00494C04" w:rsidRPr="00A47380">
        <w:rPr>
          <w:noProof/>
        </w:rPr>
        <w:t>f</w:t>
      </w:r>
      <w:r w:rsidR="00F16507" w:rsidRPr="00A47380">
        <w:rPr>
          <w:noProof/>
        </w:rPr>
        <w:t xml:space="preserve"> </w:t>
      </w:r>
      <w:r w:rsidR="003F5308" w:rsidRPr="00A47380">
        <w:rPr>
          <w:noProof/>
        </w:rPr>
        <w:t xml:space="preserve">sectors. </w:t>
      </w:r>
      <w:r w:rsidR="00BE7B9B" w:rsidRPr="00A47380">
        <w:rPr>
          <w:noProof/>
        </w:rPr>
        <w:t xml:space="preserve">The </w:t>
      </w:r>
      <w:r w:rsidR="00E37A92" w:rsidRPr="00A47380">
        <w:rPr>
          <w:noProof/>
        </w:rPr>
        <w:t xml:space="preserve">key </w:t>
      </w:r>
      <w:r w:rsidR="00F81893" w:rsidRPr="00A47380">
        <w:rPr>
          <w:noProof/>
        </w:rPr>
        <w:t xml:space="preserve">investment </w:t>
      </w:r>
      <w:r w:rsidR="00E37A92" w:rsidRPr="00A47380">
        <w:rPr>
          <w:noProof/>
        </w:rPr>
        <w:t xml:space="preserve">requirement on the public sector will relate to the </w:t>
      </w:r>
      <w:r w:rsidR="00112AD7" w:rsidRPr="00A47380">
        <w:rPr>
          <w:noProof/>
        </w:rPr>
        <w:t>renovation of buildings</w:t>
      </w:r>
      <w:r w:rsidR="00E75AC8" w:rsidRPr="00A47380">
        <w:rPr>
          <w:noProof/>
        </w:rPr>
        <w:t xml:space="preserve"> and the shift to </w:t>
      </w:r>
      <w:r w:rsidR="004747ED" w:rsidRPr="00A47380">
        <w:rPr>
          <w:noProof/>
        </w:rPr>
        <w:t>decarbonised</w:t>
      </w:r>
      <w:r w:rsidR="004747ED">
        <w:rPr>
          <w:noProof/>
        </w:rPr>
        <w:t xml:space="preserve"> </w:t>
      </w:r>
      <w:r w:rsidR="00C305E1">
        <w:rPr>
          <w:noProof/>
        </w:rPr>
        <w:t>heating and cooling systems</w:t>
      </w:r>
      <w:r w:rsidR="0059768A">
        <w:rPr>
          <w:noProof/>
        </w:rPr>
        <w:t xml:space="preserve"> and transport modes </w:t>
      </w:r>
      <w:r w:rsidR="00C305E1">
        <w:rPr>
          <w:noProof/>
        </w:rPr>
        <w:t xml:space="preserve">across </w:t>
      </w:r>
      <w:r w:rsidR="00F90820">
        <w:rPr>
          <w:noProof/>
        </w:rPr>
        <w:t xml:space="preserve">all levels of public administration </w:t>
      </w:r>
      <w:r w:rsidR="008D2E9F">
        <w:rPr>
          <w:noProof/>
        </w:rPr>
        <w:t>and public services.</w:t>
      </w:r>
    </w:p>
    <w:p w14:paraId="636E6C38" w14:textId="43A38FE4" w:rsidR="0063178E" w:rsidRDefault="00207768" w:rsidP="007264AB">
      <w:pPr>
        <w:rPr>
          <w:noProof/>
        </w:rPr>
      </w:pPr>
      <w:r>
        <w:rPr>
          <w:noProof/>
        </w:rPr>
        <w:t xml:space="preserve">Indirectly, however, </w:t>
      </w:r>
      <w:r w:rsidR="00E81CC8">
        <w:rPr>
          <w:noProof/>
        </w:rPr>
        <w:t xml:space="preserve">the public sector </w:t>
      </w:r>
      <w:r w:rsidR="00924F52">
        <w:rPr>
          <w:noProof/>
        </w:rPr>
        <w:t>is</w:t>
      </w:r>
      <w:r w:rsidR="007311A6">
        <w:rPr>
          <w:noProof/>
        </w:rPr>
        <w:t xml:space="preserve"> likely to play a much more significant role in fostering </w:t>
      </w:r>
      <w:r w:rsidR="005852BD">
        <w:rPr>
          <w:noProof/>
        </w:rPr>
        <w:t>the necessary levels of investment, as has been the case in the past.</w:t>
      </w:r>
      <w:r w:rsidR="00BD2334">
        <w:rPr>
          <w:noProof/>
        </w:rPr>
        <w:t xml:space="preserve"> In past decades, </w:t>
      </w:r>
      <w:r w:rsidR="00EA3C3B">
        <w:rPr>
          <w:noProof/>
        </w:rPr>
        <w:t xml:space="preserve">public funding at the level </w:t>
      </w:r>
      <w:r w:rsidR="004504FA">
        <w:rPr>
          <w:noProof/>
        </w:rPr>
        <w:t xml:space="preserve">of the EU and </w:t>
      </w:r>
      <w:r w:rsidR="00EA3C3B">
        <w:rPr>
          <w:noProof/>
        </w:rPr>
        <w:t>Member</w:t>
      </w:r>
      <w:r w:rsidR="004504FA">
        <w:rPr>
          <w:noProof/>
        </w:rPr>
        <w:t xml:space="preserve"> States</w:t>
      </w:r>
      <w:r w:rsidR="00EF54C5">
        <w:rPr>
          <w:noProof/>
        </w:rPr>
        <w:t xml:space="preserve"> has played</w:t>
      </w:r>
      <w:r w:rsidR="00966957">
        <w:rPr>
          <w:noProof/>
        </w:rPr>
        <w:t xml:space="preserve"> a critical role in enabling the deployment of </w:t>
      </w:r>
      <w:r w:rsidR="00D712B4">
        <w:rPr>
          <w:noProof/>
        </w:rPr>
        <w:t>renewable electricity</w:t>
      </w:r>
      <w:r w:rsidR="00A70B0C">
        <w:rPr>
          <w:noProof/>
        </w:rPr>
        <w:t xml:space="preserve"> and the sharp reduction in the costs of solar, wind or other renewable sources of energy. Similarly, Member States have lo</w:t>
      </w:r>
      <w:r w:rsidR="00C03AFE">
        <w:rPr>
          <w:noProof/>
        </w:rPr>
        <w:t>ng provided support</w:t>
      </w:r>
      <w:r w:rsidR="00AE2714">
        <w:rPr>
          <w:noProof/>
        </w:rPr>
        <w:t xml:space="preserve"> for the renovation of the residential housing stock.</w:t>
      </w:r>
      <w:r w:rsidR="0082329E">
        <w:rPr>
          <w:noProof/>
        </w:rPr>
        <w:t xml:space="preserve"> While such expenditures </w:t>
      </w:r>
      <w:r w:rsidR="00A24180">
        <w:rPr>
          <w:noProof/>
        </w:rPr>
        <w:t>are accounted as current expenditure in government accounts</w:t>
      </w:r>
      <w:r w:rsidR="002D3F80">
        <w:rPr>
          <w:noProof/>
        </w:rPr>
        <w:t>, in essence they positive impact the capital stock of the economy as a whole.</w:t>
      </w:r>
    </w:p>
    <w:p w14:paraId="2D3BE1EF" w14:textId="31EA5FD5" w:rsidR="00474933" w:rsidRDefault="00077D62" w:rsidP="007264AB">
      <w:pPr>
        <w:rPr>
          <w:noProof/>
        </w:rPr>
      </w:pPr>
      <w:r>
        <w:rPr>
          <w:noProof/>
        </w:rPr>
        <w:t xml:space="preserve">Looking forward, public support will </w:t>
      </w:r>
      <w:r w:rsidR="00C158B3">
        <w:rPr>
          <w:noProof/>
        </w:rPr>
        <w:t xml:space="preserve">remain critical for the successful </w:t>
      </w:r>
      <w:r w:rsidR="00C634A6">
        <w:rPr>
          <w:noProof/>
        </w:rPr>
        <w:t xml:space="preserve">research, </w:t>
      </w:r>
      <w:r w:rsidR="00C158B3">
        <w:rPr>
          <w:noProof/>
        </w:rPr>
        <w:t xml:space="preserve">development and deployment at scale of </w:t>
      </w:r>
      <w:r w:rsidR="00083B91">
        <w:rPr>
          <w:noProof/>
        </w:rPr>
        <w:t xml:space="preserve">the </w:t>
      </w:r>
      <w:r w:rsidR="00C158B3">
        <w:rPr>
          <w:noProof/>
        </w:rPr>
        <w:t xml:space="preserve">technologies </w:t>
      </w:r>
      <w:r w:rsidR="00066F41">
        <w:rPr>
          <w:noProof/>
        </w:rPr>
        <w:t xml:space="preserve">that will underpin the </w:t>
      </w:r>
      <w:r w:rsidR="00315D4B">
        <w:rPr>
          <w:noProof/>
        </w:rPr>
        <w:t xml:space="preserve">necessary </w:t>
      </w:r>
      <w:r w:rsidR="00066F41">
        <w:rPr>
          <w:noProof/>
        </w:rPr>
        <w:t>transformation of the EU economy.</w:t>
      </w:r>
      <w:r w:rsidR="00715E73">
        <w:rPr>
          <w:noProof/>
        </w:rPr>
        <w:t xml:space="preserve"> The need to ensure a fair transition </w:t>
      </w:r>
      <w:r w:rsidR="002F29F1">
        <w:rPr>
          <w:noProof/>
        </w:rPr>
        <w:t xml:space="preserve">will </w:t>
      </w:r>
      <w:r w:rsidR="00DC626D">
        <w:rPr>
          <w:noProof/>
        </w:rPr>
        <w:t xml:space="preserve">likely </w:t>
      </w:r>
      <w:r w:rsidR="002F29F1">
        <w:rPr>
          <w:noProof/>
        </w:rPr>
        <w:t xml:space="preserve">require continued </w:t>
      </w:r>
      <w:r w:rsidR="001C5EA2">
        <w:rPr>
          <w:noProof/>
        </w:rPr>
        <w:t>targeted support</w:t>
      </w:r>
      <w:r w:rsidR="002F29F1">
        <w:rPr>
          <w:noProof/>
        </w:rPr>
        <w:t xml:space="preserve"> from the public sector </w:t>
      </w:r>
      <w:r w:rsidR="006E5F0F">
        <w:rPr>
          <w:noProof/>
        </w:rPr>
        <w:t>for the renovation of the residential building stock</w:t>
      </w:r>
      <w:r w:rsidR="0066165D">
        <w:rPr>
          <w:noProof/>
        </w:rPr>
        <w:t xml:space="preserve"> and the transition to carbon-free sources of heating and cooling. Similarly, support might be needed in transport </w:t>
      </w:r>
      <w:r w:rsidR="00180A18">
        <w:rPr>
          <w:noProof/>
        </w:rPr>
        <w:t xml:space="preserve">in order </w:t>
      </w:r>
      <w:r w:rsidR="0066165D">
        <w:rPr>
          <w:noProof/>
        </w:rPr>
        <w:t xml:space="preserve">to address concerns about transport poverty </w:t>
      </w:r>
      <w:r w:rsidR="002F742E">
        <w:rPr>
          <w:noProof/>
        </w:rPr>
        <w:t>(</w:t>
      </w:r>
      <w:r w:rsidR="00DF0A74" w:rsidRPr="006166AB">
        <w:rPr>
          <w:noProof/>
        </w:rPr>
        <w:t>section</w:t>
      </w:r>
      <w:r w:rsidR="00270A79" w:rsidRPr="006166AB">
        <w:rPr>
          <w:noProof/>
        </w:rPr>
        <w:t xml:space="preserve"> </w:t>
      </w:r>
      <w:r w:rsidR="00270A79" w:rsidRPr="006166AB">
        <w:rPr>
          <w:noProof/>
          <w:color w:val="2B579A"/>
          <w:shd w:val="clear" w:color="auto" w:fill="E6E6E6"/>
        </w:rPr>
        <w:fldChar w:fldCharType="begin"/>
      </w:r>
      <w:r w:rsidR="00270A79" w:rsidRPr="006166AB">
        <w:rPr>
          <w:noProof/>
        </w:rPr>
        <w:instrText xml:space="preserve"> REF _Ref140739429 \r \h </w:instrText>
      </w:r>
      <w:r w:rsidR="00177FA7" w:rsidRPr="006166AB">
        <w:rPr>
          <w:noProof/>
          <w:color w:val="2B579A"/>
          <w:shd w:val="clear" w:color="auto" w:fill="E6E6E6"/>
        </w:rPr>
        <w:instrText xml:space="preserve"> \* MERGEFORMAT </w:instrText>
      </w:r>
      <w:r w:rsidR="00270A79" w:rsidRPr="006166AB">
        <w:rPr>
          <w:noProof/>
          <w:color w:val="2B579A"/>
          <w:shd w:val="clear" w:color="auto" w:fill="E6E6E6"/>
        </w:rPr>
      </w:r>
      <w:r w:rsidR="00270A79" w:rsidRPr="006166AB">
        <w:rPr>
          <w:noProof/>
          <w:color w:val="2B579A"/>
          <w:shd w:val="clear" w:color="auto" w:fill="E6E6E6"/>
        </w:rPr>
        <w:fldChar w:fldCharType="separate"/>
      </w:r>
      <w:r w:rsidR="00170A3C">
        <w:rPr>
          <w:noProof/>
        </w:rPr>
        <w:t>2.4.1</w:t>
      </w:r>
      <w:r w:rsidR="00270A79" w:rsidRPr="006166AB">
        <w:rPr>
          <w:noProof/>
          <w:color w:val="2B579A"/>
          <w:shd w:val="clear" w:color="auto" w:fill="E6E6E6"/>
        </w:rPr>
        <w:fldChar w:fldCharType="end"/>
      </w:r>
      <w:r w:rsidR="00DF0A74">
        <w:rPr>
          <w:noProof/>
        </w:rPr>
        <w:t>)</w:t>
      </w:r>
      <w:r w:rsidR="0066165D">
        <w:rPr>
          <w:noProof/>
        </w:rPr>
        <w:t>.</w:t>
      </w:r>
    </w:p>
    <w:p w14:paraId="6610D60D" w14:textId="02F8AE91" w:rsidR="00077D62" w:rsidRPr="00A47380" w:rsidRDefault="00FF4A87" w:rsidP="007264AB">
      <w:pPr>
        <w:rPr>
          <w:noProof/>
        </w:rPr>
      </w:pPr>
      <w:r>
        <w:rPr>
          <w:noProof/>
        </w:rPr>
        <w:t xml:space="preserve">Similarly, </w:t>
      </w:r>
      <w:r w:rsidR="0052369E">
        <w:rPr>
          <w:noProof/>
        </w:rPr>
        <w:t xml:space="preserve">direct public support </w:t>
      </w:r>
      <w:r w:rsidR="00474933">
        <w:rPr>
          <w:noProof/>
        </w:rPr>
        <w:t>will be essential</w:t>
      </w:r>
      <w:r w:rsidR="00E0389B">
        <w:rPr>
          <w:noProof/>
        </w:rPr>
        <w:t xml:space="preserve"> for the </w:t>
      </w:r>
      <w:r w:rsidR="00312E27">
        <w:rPr>
          <w:noProof/>
        </w:rPr>
        <w:t>decarbonisation of industry, the deployment of renewable hydrogen at scale</w:t>
      </w:r>
      <w:r w:rsidR="0041509B">
        <w:rPr>
          <w:noProof/>
        </w:rPr>
        <w:t xml:space="preserve"> and the development of carbon capture and storage/use. Finally</w:t>
      </w:r>
      <w:r w:rsidR="00B02665">
        <w:rPr>
          <w:noProof/>
        </w:rPr>
        <w:t>, as evidence</w:t>
      </w:r>
      <w:r w:rsidR="00F40225">
        <w:rPr>
          <w:noProof/>
        </w:rPr>
        <w:t>d</w:t>
      </w:r>
      <w:r w:rsidR="00B02665">
        <w:rPr>
          <w:noProof/>
        </w:rPr>
        <w:t xml:space="preserve"> recently</w:t>
      </w:r>
      <w:r w:rsidR="00F40225">
        <w:rPr>
          <w:noProof/>
        </w:rPr>
        <w:t xml:space="preserve"> with the adoption of the Inflation Reduction Act in the United States</w:t>
      </w:r>
      <w:r w:rsidR="0053792F">
        <w:rPr>
          <w:noProof/>
        </w:rPr>
        <w:t>, the Temporary Crisis and Transition Framework for State aid</w:t>
      </w:r>
      <w:r w:rsidR="00F40225">
        <w:rPr>
          <w:noProof/>
        </w:rPr>
        <w:t xml:space="preserve"> </w:t>
      </w:r>
      <w:r w:rsidR="00A72D19">
        <w:rPr>
          <w:noProof/>
        </w:rPr>
        <w:t>in the EU</w:t>
      </w:r>
      <w:r w:rsidR="00BE1F19">
        <w:rPr>
          <w:noProof/>
        </w:rPr>
        <w:t xml:space="preserve">, and the </w:t>
      </w:r>
      <w:r w:rsidR="00214637">
        <w:rPr>
          <w:noProof/>
        </w:rPr>
        <w:t xml:space="preserve">Commission proposal </w:t>
      </w:r>
      <w:r w:rsidR="007C4DD5">
        <w:rPr>
          <w:noProof/>
        </w:rPr>
        <w:t>for</w:t>
      </w:r>
      <w:r w:rsidR="00214637">
        <w:rPr>
          <w:noProof/>
        </w:rPr>
        <w:t xml:space="preserve"> the Net Zero Industry Act</w:t>
      </w:r>
      <w:r w:rsidR="00BE1F19">
        <w:rPr>
          <w:noProof/>
        </w:rPr>
        <w:t xml:space="preserve"> and Green Deal Industrial Plan, public support will be </w:t>
      </w:r>
      <w:r w:rsidR="000925B5">
        <w:rPr>
          <w:noProof/>
        </w:rPr>
        <w:t>essential</w:t>
      </w:r>
      <w:r w:rsidR="00A87962">
        <w:rPr>
          <w:noProof/>
        </w:rPr>
        <w:t xml:space="preserve"> </w:t>
      </w:r>
      <w:r w:rsidR="000E5647">
        <w:rPr>
          <w:noProof/>
        </w:rPr>
        <w:t xml:space="preserve">for the EU to build or strengthen its position in </w:t>
      </w:r>
      <w:r w:rsidR="00AD0DDC">
        <w:rPr>
          <w:noProof/>
        </w:rPr>
        <w:t xml:space="preserve">strategically and economically critical </w:t>
      </w:r>
      <w:r w:rsidR="00954887">
        <w:rPr>
          <w:noProof/>
        </w:rPr>
        <w:t xml:space="preserve">manufacturing </w:t>
      </w:r>
      <w:r w:rsidR="00AD0DDC">
        <w:rPr>
          <w:noProof/>
        </w:rPr>
        <w:t>sectors</w:t>
      </w:r>
      <w:r w:rsidR="00426E55">
        <w:rPr>
          <w:noProof/>
        </w:rPr>
        <w:t xml:space="preserve"> and their associated value chains</w:t>
      </w:r>
      <w:r w:rsidR="00AD0DDC">
        <w:rPr>
          <w:noProof/>
        </w:rPr>
        <w:t xml:space="preserve">, including </w:t>
      </w:r>
      <w:r w:rsidR="004D629B">
        <w:rPr>
          <w:noProof/>
        </w:rPr>
        <w:t xml:space="preserve">wind </w:t>
      </w:r>
      <w:r w:rsidR="00BB057E">
        <w:rPr>
          <w:noProof/>
        </w:rPr>
        <w:t>and solar energy technologies</w:t>
      </w:r>
      <w:r w:rsidR="00426E55">
        <w:rPr>
          <w:noProof/>
        </w:rPr>
        <w:t>, electrolysers</w:t>
      </w:r>
      <w:r w:rsidR="00340784">
        <w:rPr>
          <w:noProof/>
        </w:rPr>
        <w:t xml:space="preserve"> and fuel cells</w:t>
      </w:r>
      <w:r w:rsidR="00426E55">
        <w:rPr>
          <w:noProof/>
        </w:rPr>
        <w:t>, batterie</w:t>
      </w:r>
      <w:r w:rsidR="00561A69">
        <w:rPr>
          <w:noProof/>
        </w:rPr>
        <w:t>s</w:t>
      </w:r>
      <w:r w:rsidR="009E7835">
        <w:rPr>
          <w:noProof/>
        </w:rPr>
        <w:t xml:space="preserve"> and electricity storage, </w:t>
      </w:r>
      <w:r w:rsidR="004565A6">
        <w:rPr>
          <w:noProof/>
        </w:rPr>
        <w:t>heat pumps</w:t>
      </w:r>
      <w:r w:rsidR="003E687E">
        <w:rPr>
          <w:noProof/>
        </w:rPr>
        <w:t xml:space="preserve"> and carbon capture and storage.</w:t>
      </w:r>
      <w:r w:rsidR="007277AA">
        <w:rPr>
          <w:noProof/>
        </w:rPr>
        <w:t xml:space="preserve"> </w:t>
      </w:r>
      <w:r w:rsidR="00E71159">
        <w:rPr>
          <w:noProof/>
        </w:rPr>
        <w:t>I</w:t>
      </w:r>
      <w:r w:rsidR="001E49B6">
        <w:rPr>
          <w:noProof/>
        </w:rPr>
        <w:t xml:space="preserve">t is necessary to </w:t>
      </w:r>
      <w:r w:rsidR="001E49B6" w:rsidRPr="00A47380">
        <w:rPr>
          <w:noProof/>
        </w:rPr>
        <w:t>collectively address th</w:t>
      </w:r>
      <w:r w:rsidR="00EA447F" w:rsidRPr="00A47380">
        <w:rPr>
          <w:noProof/>
        </w:rPr>
        <w:t xml:space="preserve">ose challenges and coordinate national measures </w:t>
      </w:r>
      <w:r w:rsidR="00A8080F" w:rsidRPr="00A47380">
        <w:rPr>
          <w:noProof/>
        </w:rPr>
        <w:t>to avoid any risk of distorting competition and fragmenting the single market.</w:t>
      </w:r>
    </w:p>
    <w:p w14:paraId="039D721C" w14:textId="4CC530F3" w:rsidR="0056616E" w:rsidRPr="00A47380" w:rsidRDefault="0056616E" w:rsidP="007264AB">
      <w:pPr>
        <w:rPr>
          <w:noProof/>
        </w:rPr>
      </w:pPr>
      <w:r w:rsidRPr="00A47380">
        <w:rPr>
          <w:noProof/>
        </w:rPr>
        <w:t>The extent to which public finances could be affected by the transition itself and</w:t>
      </w:r>
      <w:r w:rsidR="00E466D0" w:rsidRPr="00A47380">
        <w:rPr>
          <w:noProof/>
        </w:rPr>
        <w:t xml:space="preserve"> </w:t>
      </w:r>
      <w:r w:rsidRPr="00A47380">
        <w:rPr>
          <w:noProof/>
        </w:rPr>
        <w:t xml:space="preserve">by the policy options reviewed in this impact assessment will depend on a multiplicity of factors, many of which will be determined at the level of Member States. </w:t>
      </w:r>
      <w:r w:rsidR="00DE5BEF" w:rsidRPr="00A47380">
        <w:rPr>
          <w:noProof/>
        </w:rPr>
        <w:t>On the revenue side, there should be a base erosion for environmental taxes as the EU progresses towards climate neutrality. In 2021, environmental taxes represented about 2.2% of GDP or 5.5% of total government revenue from taxes and social contributions (</w:t>
      </w:r>
      <w:r w:rsidR="00DE5BEF" w:rsidRPr="00A47380">
        <w:rPr>
          <w:rStyle w:val="FootnoteReference"/>
          <w:noProof/>
        </w:rPr>
        <w:footnoteReference w:id="292"/>
      </w:r>
      <w:r w:rsidR="00DE5BEF" w:rsidRPr="00A47380">
        <w:rPr>
          <w:noProof/>
        </w:rPr>
        <w:t>), the bulk of which is linked to energy taxes linked to fossil fuels.</w:t>
      </w:r>
    </w:p>
    <w:p w14:paraId="5DC85587" w14:textId="55DEBDA4" w:rsidR="00C551F0" w:rsidRDefault="00DE5BEF" w:rsidP="007264AB">
      <w:pPr>
        <w:rPr>
          <w:noProof/>
        </w:rPr>
      </w:pPr>
      <w:r w:rsidRPr="00A47380">
        <w:rPr>
          <w:noProof/>
        </w:rPr>
        <w:t>While n</w:t>
      </w:r>
      <w:r w:rsidR="00CF7464" w:rsidRPr="00A47380">
        <w:rPr>
          <w:noProof/>
        </w:rPr>
        <w:t xml:space="preserve">o model-based assessment of direct </w:t>
      </w:r>
      <w:r w:rsidR="00CA3521" w:rsidRPr="00A47380">
        <w:rPr>
          <w:noProof/>
        </w:rPr>
        <w:t xml:space="preserve">and indirect </w:t>
      </w:r>
      <w:r w:rsidR="00CF7464" w:rsidRPr="00A47380">
        <w:rPr>
          <w:noProof/>
        </w:rPr>
        <w:t xml:space="preserve">public investment </w:t>
      </w:r>
      <w:r w:rsidR="001050F7" w:rsidRPr="00A47380">
        <w:rPr>
          <w:noProof/>
        </w:rPr>
        <w:t xml:space="preserve">needs </w:t>
      </w:r>
      <w:r w:rsidRPr="00A47380">
        <w:rPr>
          <w:noProof/>
        </w:rPr>
        <w:t xml:space="preserve">or impacts on total government revenues </w:t>
      </w:r>
      <w:r w:rsidR="001050F7" w:rsidRPr="00A47380">
        <w:rPr>
          <w:noProof/>
        </w:rPr>
        <w:t>has been carried out</w:t>
      </w:r>
      <w:r w:rsidR="001A543D" w:rsidRPr="00A47380">
        <w:rPr>
          <w:noProof/>
        </w:rPr>
        <w:t>, the</w:t>
      </w:r>
      <w:r w:rsidR="00406C17" w:rsidRPr="00A47380">
        <w:rPr>
          <w:noProof/>
        </w:rPr>
        <w:t xml:space="preserve"> </w:t>
      </w:r>
      <w:r w:rsidR="00235467" w:rsidRPr="00A47380">
        <w:rPr>
          <w:noProof/>
        </w:rPr>
        <w:t xml:space="preserve">pathways considered in this impact assessment </w:t>
      </w:r>
      <w:r w:rsidR="008F2A71" w:rsidRPr="00A47380">
        <w:rPr>
          <w:noProof/>
        </w:rPr>
        <w:t xml:space="preserve">provide an indication of the level of resources that </w:t>
      </w:r>
      <w:r w:rsidR="0014550D" w:rsidRPr="00A47380">
        <w:rPr>
          <w:noProof/>
        </w:rPr>
        <w:t>the public sector could obtain from carbon pricing.</w:t>
      </w:r>
      <w:r w:rsidR="003903FE" w:rsidRPr="00A47380">
        <w:rPr>
          <w:noProof/>
        </w:rPr>
        <w:t xml:space="preserve"> While </w:t>
      </w:r>
      <w:r w:rsidR="007F2050" w:rsidRPr="00A47380">
        <w:rPr>
          <w:noProof/>
        </w:rPr>
        <w:t>the use of these revenues will face competing</w:t>
      </w:r>
      <w:r w:rsidR="007F2050">
        <w:rPr>
          <w:noProof/>
        </w:rPr>
        <w:t xml:space="preserve"> demands, including to </w:t>
      </w:r>
      <w:r w:rsidR="005B0D57">
        <w:rPr>
          <w:noProof/>
        </w:rPr>
        <w:t xml:space="preserve">ensure a fair transition, </w:t>
      </w:r>
      <w:r w:rsidR="00043843">
        <w:rPr>
          <w:noProof/>
        </w:rPr>
        <w:t>they should be sizeable enough to also fund public support for investment.</w:t>
      </w:r>
    </w:p>
    <w:p w14:paraId="540B74E0" w14:textId="492796D3" w:rsidR="00FE3555" w:rsidRDefault="00FE3555" w:rsidP="00FE3555">
      <w:pPr>
        <w:rPr>
          <w:noProof/>
        </w:rPr>
      </w:pPr>
      <w:r>
        <w:rPr>
          <w:noProof/>
        </w:rPr>
        <w:t>Revenues from carbon pricing are very difficult to predict. While the emissions pathways for the sectors subject to the ETS (which will cover nearly the entire scope of domestic CO</w:t>
      </w:r>
      <w:r w:rsidRPr="002618CF">
        <w:rPr>
          <w:noProof/>
          <w:vertAlign w:val="subscript"/>
        </w:rPr>
        <w:t>2</w:t>
      </w:r>
      <w:r>
        <w:rPr>
          <w:noProof/>
        </w:rPr>
        <w:t xml:space="preserve"> emissions by 2030) are well defined</w:t>
      </w:r>
      <w:r w:rsidR="00A704EA">
        <w:rPr>
          <w:noProof/>
        </w:rPr>
        <w:t xml:space="preserve"> in the scenarios</w:t>
      </w:r>
      <w:r>
        <w:rPr>
          <w:noProof/>
        </w:rPr>
        <w:t xml:space="preserve">, the price of ETS allowances is not a variable that the Commission predicts as such. The revenues from carbon pricing are nevertheless assessed on the basis of the carbon values that underpin the mitigation </w:t>
      </w:r>
      <w:r w:rsidR="00A704EA">
        <w:rPr>
          <w:noProof/>
        </w:rPr>
        <w:t>scenarios</w:t>
      </w:r>
      <w:r>
        <w:rPr>
          <w:noProof/>
        </w:rPr>
        <w:t xml:space="preserve"> in the PRIMES model. These are not predictions of ETS carbon prices per se, but rather model-based carbon values necessary to achieve given levels of mitigation</w:t>
      </w:r>
      <w:r w:rsidR="00DC22E3">
        <w:rPr>
          <w:noProof/>
        </w:rPr>
        <w:t xml:space="preserve"> </w:t>
      </w:r>
      <w:r w:rsidR="00B50430">
        <w:rPr>
          <w:noProof/>
        </w:rPr>
        <w:t xml:space="preserve">under the </w:t>
      </w:r>
      <w:r w:rsidR="00294D68">
        <w:rPr>
          <w:noProof/>
        </w:rPr>
        <w:t xml:space="preserve">policy and techno-economic </w:t>
      </w:r>
      <w:r w:rsidR="00A54461">
        <w:rPr>
          <w:noProof/>
        </w:rPr>
        <w:t>assumptions</w:t>
      </w:r>
      <w:r w:rsidR="00294D68">
        <w:rPr>
          <w:noProof/>
        </w:rPr>
        <w:t xml:space="preserve"> made in each </w:t>
      </w:r>
      <w:r w:rsidR="00A54461">
        <w:rPr>
          <w:noProof/>
        </w:rPr>
        <w:t xml:space="preserve">scenario. </w:t>
      </w:r>
      <w:r>
        <w:rPr>
          <w:noProof/>
        </w:rPr>
        <w:t>Using such carbon values and based on the profile of CO</w:t>
      </w:r>
      <w:r w:rsidRPr="00580346">
        <w:rPr>
          <w:noProof/>
          <w:vertAlign w:val="subscript"/>
        </w:rPr>
        <w:t>2</w:t>
      </w:r>
      <w:r>
        <w:rPr>
          <w:noProof/>
        </w:rPr>
        <w:t xml:space="preserve"> emissions over the transition period, carbon revenues are projected to peak </w:t>
      </w:r>
      <w:r w:rsidR="00E85611">
        <w:rPr>
          <w:noProof/>
        </w:rPr>
        <w:t>around</w:t>
      </w:r>
      <w:r>
        <w:rPr>
          <w:noProof/>
        </w:rPr>
        <w:t xml:space="preserve"> 2035. While carbon values are projected to increase beyond that time, the fall in CO</w:t>
      </w:r>
      <w:r w:rsidRPr="00A6530A">
        <w:rPr>
          <w:noProof/>
          <w:vertAlign w:val="subscript"/>
        </w:rPr>
        <w:t>2</w:t>
      </w:r>
      <w:r>
        <w:rPr>
          <w:noProof/>
        </w:rPr>
        <w:t xml:space="preserve"> emissions will quickly erode the revenue base itself.</w:t>
      </w:r>
    </w:p>
    <w:p w14:paraId="568F8DCA" w14:textId="30D3E912" w:rsidR="00FE3555" w:rsidRDefault="00FE3555" w:rsidP="00FE3555">
      <w:pPr>
        <w:rPr>
          <w:noProof/>
        </w:rPr>
      </w:pPr>
      <w:r>
        <w:rPr>
          <w:noProof/>
        </w:rPr>
        <w:t xml:space="preserve">At their peak, revenues from carbon pricing could </w:t>
      </w:r>
      <w:r w:rsidR="005750A5">
        <w:rPr>
          <w:noProof/>
        </w:rPr>
        <w:t>amount to close to 0.7</w:t>
      </w:r>
      <w:r>
        <w:rPr>
          <w:noProof/>
        </w:rPr>
        <w:t>% of GDP, which is significant in relation to the total energy investment needs for the transition to climate neutrality, and the contribution that may be required from the public sector (</w:t>
      </w:r>
      <w:r w:rsidR="004B0210">
        <w:rPr>
          <w:noProof/>
        </w:rPr>
        <w:fldChar w:fldCharType="begin"/>
      </w:r>
      <w:r w:rsidR="004B0210">
        <w:rPr>
          <w:noProof/>
        </w:rPr>
        <w:instrText xml:space="preserve"> REF _Ref146099929 \h </w:instrText>
      </w:r>
      <w:r w:rsidR="00177FA7">
        <w:rPr>
          <w:noProof/>
        </w:rPr>
        <w:instrText xml:space="preserve"> \* MERGEFORMAT </w:instrText>
      </w:r>
      <w:r w:rsidR="004B0210">
        <w:rPr>
          <w:noProof/>
        </w:rPr>
      </w:r>
      <w:r w:rsidR="004B0210">
        <w:rPr>
          <w:noProof/>
        </w:rPr>
        <w:fldChar w:fldCharType="separate"/>
      </w:r>
      <w:r w:rsidR="00170A3C">
        <w:rPr>
          <w:noProof/>
        </w:rPr>
        <w:t>Figure 111</w:t>
      </w:r>
      <w:r w:rsidR="004B0210">
        <w:rPr>
          <w:noProof/>
        </w:rPr>
        <w:fldChar w:fldCharType="end"/>
      </w:r>
      <w:r>
        <w:rPr>
          <w:noProof/>
        </w:rPr>
        <w:t>). Between 20</w:t>
      </w:r>
      <w:r w:rsidR="00FD5777">
        <w:rPr>
          <w:noProof/>
        </w:rPr>
        <w:t>3</w:t>
      </w:r>
      <w:r w:rsidR="00824009">
        <w:rPr>
          <w:noProof/>
        </w:rPr>
        <w:t>1</w:t>
      </w:r>
      <w:r>
        <w:rPr>
          <w:noProof/>
        </w:rPr>
        <w:t xml:space="preserve"> and 2050, total revenues from carbon pricing, based on the carbon values </w:t>
      </w:r>
      <w:r w:rsidR="00881E73">
        <w:rPr>
          <w:noProof/>
        </w:rPr>
        <w:t>from</w:t>
      </w:r>
      <w:r>
        <w:rPr>
          <w:noProof/>
        </w:rPr>
        <w:t xml:space="preserve"> the PRIMES model, would amount to </w:t>
      </w:r>
      <w:r w:rsidR="00AA44EB">
        <w:rPr>
          <w:noProof/>
        </w:rPr>
        <w:t>about</w:t>
      </w:r>
      <w:r w:rsidR="00FD5777">
        <w:rPr>
          <w:noProof/>
        </w:rPr>
        <w:t xml:space="preserve"> </w:t>
      </w:r>
      <w:r>
        <w:rPr>
          <w:noProof/>
        </w:rPr>
        <w:t>EUR </w:t>
      </w:r>
      <w:r w:rsidR="00E80111">
        <w:rPr>
          <w:noProof/>
        </w:rPr>
        <w:t>1</w:t>
      </w:r>
      <w:r w:rsidR="00FD5777">
        <w:rPr>
          <w:noProof/>
        </w:rPr>
        <w:t> </w:t>
      </w:r>
      <w:r w:rsidR="00AA44EB">
        <w:rPr>
          <w:noProof/>
        </w:rPr>
        <w:t>5</w:t>
      </w:r>
      <w:r w:rsidR="00FD5777">
        <w:rPr>
          <w:noProof/>
        </w:rPr>
        <w:t>0</w:t>
      </w:r>
      <w:r w:rsidR="00E80111">
        <w:rPr>
          <w:noProof/>
        </w:rPr>
        <w:t>0</w:t>
      </w:r>
      <w:r>
        <w:rPr>
          <w:noProof/>
        </w:rPr>
        <w:t> billion. This compares with cumulative energy system investment needs (excluding transport) of about EUR </w:t>
      </w:r>
      <w:r w:rsidR="00AA44EB">
        <w:rPr>
          <w:noProof/>
        </w:rPr>
        <w:t>13 100</w:t>
      </w:r>
      <w:r>
        <w:rPr>
          <w:noProof/>
        </w:rPr>
        <w:t xml:space="preserve"> billion, </w:t>
      </w:r>
      <w:r w:rsidR="00924F52">
        <w:rPr>
          <w:noProof/>
        </w:rPr>
        <w:t>i.e.,</w:t>
      </w:r>
      <w:r>
        <w:rPr>
          <w:noProof/>
        </w:rPr>
        <w:t xml:space="preserve"> close to </w:t>
      </w:r>
      <w:r w:rsidR="000F7D7C">
        <w:rPr>
          <w:noProof/>
        </w:rPr>
        <w:t>1</w:t>
      </w:r>
      <w:r w:rsidR="00AD09BD">
        <w:rPr>
          <w:noProof/>
        </w:rPr>
        <w:t>1</w:t>
      </w:r>
      <w:r>
        <w:rPr>
          <w:noProof/>
        </w:rPr>
        <w:t>% of the total. Such projections are obviously very sensitive to assumptions regarding carbon values.</w:t>
      </w:r>
    </w:p>
    <w:p w14:paraId="046ABB34" w14:textId="34261A14" w:rsidR="007264AB" w:rsidRDefault="008D7829" w:rsidP="008D7829">
      <w:pPr>
        <w:pStyle w:val="Caption"/>
        <w:rPr>
          <w:noProof/>
        </w:rPr>
      </w:pPr>
      <w:bookmarkStart w:id="688" w:name="_Ref138349708"/>
      <w:bookmarkStart w:id="689" w:name="_Ref140739477"/>
      <w:bookmarkStart w:id="690" w:name="_Ref146099929"/>
      <w:bookmarkStart w:id="691" w:name="_Ref138349675"/>
      <w:bookmarkStart w:id="692" w:name="_Toc157679859"/>
      <w:r>
        <w:rPr>
          <w:noProof/>
        </w:rPr>
        <w:t>Figure</w:t>
      </w:r>
      <w:bookmarkEnd w:id="688"/>
      <w:r>
        <w:rPr>
          <w:noProof/>
        </w:rPr>
        <w:t xml:space="preserve"> </w:t>
      </w:r>
      <w:bookmarkEnd w:id="689"/>
      <w:r w:rsidR="00F2742D">
        <w:rPr>
          <w:noProof/>
        </w:rPr>
        <w:fldChar w:fldCharType="begin"/>
      </w:r>
      <w:r w:rsidR="00F2742D">
        <w:rPr>
          <w:noProof/>
        </w:rPr>
        <w:instrText xml:space="preserve"> SEQ Figure \* ARABIC </w:instrText>
      </w:r>
      <w:r w:rsidR="00F2742D">
        <w:rPr>
          <w:noProof/>
        </w:rPr>
        <w:fldChar w:fldCharType="separate"/>
      </w:r>
      <w:r w:rsidR="00170A3C">
        <w:rPr>
          <w:noProof/>
        </w:rPr>
        <w:t>111</w:t>
      </w:r>
      <w:r w:rsidR="00F2742D">
        <w:rPr>
          <w:noProof/>
        </w:rPr>
        <w:fldChar w:fldCharType="end"/>
      </w:r>
      <w:bookmarkEnd w:id="690"/>
      <w:r>
        <w:rPr>
          <w:noProof/>
        </w:rPr>
        <w:t xml:space="preserve">: </w:t>
      </w:r>
      <w:r w:rsidR="004B0210">
        <w:rPr>
          <w:noProof/>
        </w:rPr>
        <w:t>C</w:t>
      </w:r>
      <w:r>
        <w:rPr>
          <w:noProof/>
        </w:rPr>
        <w:t>arbon pricing</w:t>
      </w:r>
      <w:r w:rsidR="003A1A81">
        <w:rPr>
          <w:noProof/>
        </w:rPr>
        <w:t xml:space="preserve"> payments</w:t>
      </w:r>
      <w:bookmarkEnd w:id="691"/>
      <w:bookmarkEnd w:id="692"/>
    </w:p>
    <w:p w14:paraId="47080AB5" w14:textId="52A83D32" w:rsidR="007264AB" w:rsidRPr="007264AB" w:rsidRDefault="00F60C11" w:rsidP="00A415FA">
      <w:pPr>
        <w:spacing w:after="0"/>
        <w:jc w:val="center"/>
        <w:rPr>
          <w:noProof/>
          <w:sz w:val="23"/>
          <w:szCs w:val="23"/>
        </w:rPr>
      </w:pPr>
      <w:r w:rsidRPr="00F60C11">
        <w:rPr>
          <w:noProof/>
          <w:lang w:eastAsia="en-GB"/>
        </w:rPr>
        <w:drawing>
          <wp:inline distT="0" distB="0" distL="0" distR="0" wp14:anchorId="3CBD8E38" wp14:editId="651E1B95">
            <wp:extent cx="5391150" cy="2523490"/>
            <wp:effectExtent l="0" t="0" r="0" b="0"/>
            <wp:docPr id="1506651253" name="Picture 150665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5391150" cy="2523490"/>
                    </a:xfrm>
                    <a:prstGeom prst="rect">
                      <a:avLst/>
                    </a:prstGeom>
                    <a:noFill/>
                    <a:ln>
                      <a:noFill/>
                    </a:ln>
                  </pic:spPr>
                </pic:pic>
              </a:graphicData>
            </a:graphic>
          </wp:inline>
        </w:drawing>
      </w:r>
    </w:p>
    <w:p w14:paraId="3AEC8B17" w14:textId="424E2E58" w:rsidR="00F60C11" w:rsidRPr="000E56CD" w:rsidRDefault="00F60C11" w:rsidP="00F60C11">
      <w:pPr>
        <w:pStyle w:val="CT-SOURCE"/>
        <w:rPr>
          <w:rFonts w:eastAsia="Times New Roman" w:cs="Times New Roman"/>
          <w:noProof/>
        </w:rPr>
      </w:pPr>
      <w:r w:rsidRPr="000E56CD">
        <w:rPr>
          <w:noProof/>
        </w:rPr>
        <w:t>Source: PRI</w:t>
      </w:r>
      <w:r w:rsidRPr="000E56CD">
        <w:rPr>
          <w:rFonts w:eastAsia="Times New Roman" w:cs="Times New Roman"/>
          <w:noProof/>
        </w:rPr>
        <w:t>MES.</w:t>
      </w:r>
    </w:p>
    <w:p w14:paraId="266C8CB0" w14:textId="0466AB6E" w:rsidR="00DD6070" w:rsidRPr="00680783" w:rsidRDefault="00DD6070" w:rsidP="00680783">
      <w:pPr>
        <w:pStyle w:val="Heading2"/>
        <w:rPr>
          <w:noProof/>
        </w:rPr>
      </w:pPr>
      <w:bookmarkStart w:id="693" w:name="_Toc148605645"/>
      <w:bookmarkStart w:id="694" w:name="_Toc157692093"/>
      <w:r w:rsidRPr="00680783">
        <w:rPr>
          <w:noProof/>
        </w:rPr>
        <w:t>Competitiveness</w:t>
      </w:r>
      <w:bookmarkEnd w:id="693"/>
      <w:bookmarkEnd w:id="694"/>
    </w:p>
    <w:p w14:paraId="6D611EC2" w14:textId="23F98547" w:rsidR="00C50CEE" w:rsidRPr="00F64FF4" w:rsidRDefault="00A50DCD" w:rsidP="00F64FF4">
      <w:pPr>
        <w:pStyle w:val="Heading3"/>
        <w:rPr>
          <w:noProof/>
        </w:rPr>
      </w:pPr>
      <w:bookmarkStart w:id="695" w:name="_Toc148605646"/>
      <w:bookmarkStart w:id="696" w:name="_Toc157692094"/>
      <w:r>
        <w:rPr>
          <w:noProof/>
        </w:rPr>
        <w:t>Total e</w:t>
      </w:r>
      <w:r w:rsidR="00DD6070" w:rsidRPr="00680783">
        <w:rPr>
          <w:noProof/>
        </w:rPr>
        <w:t>nergy system costs</w:t>
      </w:r>
      <w:bookmarkEnd w:id="695"/>
      <w:bookmarkEnd w:id="696"/>
      <w:r w:rsidR="00DD6070" w:rsidRPr="00680783">
        <w:rPr>
          <w:noProof/>
        </w:rPr>
        <w:t xml:space="preserve"> </w:t>
      </w:r>
    </w:p>
    <w:p w14:paraId="518840D6" w14:textId="03AA9EC8" w:rsidR="0071232E" w:rsidRDefault="00D320D8" w:rsidP="0071232E">
      <w:pPr>
        <w:rPr>
          <w:noProof/>
        </w:rPr>
      </w:pPr>
      <w:r>
        <w:rPr>
          <w:noProof/>
        </w:rPr>
        <w:t xml:space="preserve">Total </w:t>
      </w:r>
      <w:r w:rsidR="0071232E">
        <w:rPr>
          <w:noProof/>
        </w:rPr>
        <w:t>energy system costs</w:t>
      </w:r>
      <w:r w:rsidR="006166AB">
        <w:rPr>
          <w:noProof/>
        </w:rPr>
        <w:t xml:space="preserve"> </w:t>
      </w:r>
      <w:r w:rsidR="006166AB" w:rsidRPr="00601065">
        <w:rPr>
          <w:noProof/>
        </w:rPr>
        <w:t>(</w:t>
      </w:r>
      <w:r w:rsidR="006166AB">
        <w:rPr>
          <w:rStyle w:val="FootnoteReference"/>
          <w:noProof/>
        </w:rPr>
        <w:footnoteReference w:id="293"/>
      </w:r>
      <w:r w:rsidR="006166AB">
        <w:rPr>
          <w:noProof/>
        </w:rPr>
        <w:t>)</w:t>
      </w:r>
      <w:r w:rsidR="0071232E">
        <w:rPr>
          <w:noProof/>
        </w:rPr>
        <w:t xml:space="preserve"> include capital costs (for energy installations such as power plants and energy infrastructure, </w:t>
      </w:r>
      <w:r>
        <w:rPr>
          <w:noProof/>
        </w:rPr>
        <w:t>end-use</w:t>
      </w:r>
      <w:r w:rsidR="0071232E">
        <w:rPr>
          <w:noProof/>
        </w:rPr>
        <w:t xml:space="preserve"> equipment, appliances and energy related costs of transport), energy purchase costs (fuels</w:t>
      </w:r>
      <w:r w:rsidR="006F2A86">
        <w:rPr>
          <w:noProof/>
        </w:rPr>
        <w:t xml:space="preserve">, </w:t>
      </w:r>
      <w:r w:rsidR="0071232E">
        <w:rPr>
          <w:noProof/>
        </w:rPr>
        <w:t xml:space="preserve">electricity </w:t>
      </w:r>
      <w:r w:rsidR="006F2A86">
        <w:rPr>
          <w:noProof/>
        </w:rPr>
        <w:t>and</w:t>
      </w:r>
      <w:r w:rsidR="0071232E">
        <w:rPr>
          <w:noProof/>
        </w:rPr>
        <w:t xml:space="preserve"> </w:t>
      </w:r>
      <w:r>
        <w:rPr>
          <w:noProof/>
        </w:rPr>
        <w:t>heat</w:t>
      </w:r>
      <w:r w:rsidR="0071232E">
        <w:rPr>
          <w:noProof/>
        </w:rPr>
        <w:t xml:space="preserve">) and direct efficiency investment costs, the latter being also expenditures of capital nature. Capital costs (also for the equipment that is scrapped prematurely, </w:t>
      </w:r>
      <w:r w:rsidR="00924F52" w:rsidRPr="005B1C31">
        <w:rPr>
          <w:i/>
          <w:noProof/>
        </w:rPr>
        <w:t>i.e.,</w:t>
      </w:r>
      <w:r w:rsidR="0071232E" w:rsidRPr="005B1C31">
        <w:rPr>
          <w:i/>
          <w:noProof/>
        </w:rPr>
        <w:t xml:space="preserve"> </w:t>
      </w:r>
      <w:r w:rsidR="0071232E">
        <w:rPr>
          <w:noProof/>
        </w:rPr>
        <w:t xml:space="preserve">reflecting the costs of stranded assets) are expressed in annuity payments, calculated on the basis of sector-specific discount rates. For transport, only the additional capital costs for energy purposes (additional capital costs for improving energy efficiency or for using alternative fuels) are covered, but not other costs including the significant transport related infrastructure costs </w:t>
      </w:r>
      <w:r w:rsidR="00924F52" w:rsidRPr="007A0414">
        <w:rPr>
          <w:i/>
          <w:noProof/>
        </w:rPr>
        <w:t>e.g.,</w:t>
      </w:r>
      <w:r w:rsidR="0071232E">
        <w:rPr>
          <w:noProof/>
        </w:rPr>
        <w:t xml:space="preserve"> related to rail to accommodate the increased rail capacity. Direct efficiency investment costs include additional costs for house insulation, double/triple glazing, control systems, energy management and for efficiency enhancing changes in production processes not accounted for under energy capital and fuel/electricity purchase costs. Unless specified, energy system cost</w:t>
      </w:r>
      <w:r>
        <w:rPr>
          <w:noProof/>
        </w:rPr>
        <w:t>s</w:t>
      </w:r>
      <w:r w:rsidR="0071232E">
        <w:rPr>
          <w:noProof/>
        </w:rPr>
        <w:t xml:space="preserve"> do not include any disutility costs associated with changed behaviour, nor the cost related to </w:t>
      </w:r>
      <w:r w:rsidR="00B912BE">
        <w:rPr>
          <w:noProof/>
        </w:rPr>
        <w:t xml:space="preserve">the </w:t>
      </w:r>
      <w:r w:rsidR="0071232E">
        <w:rPr>
          <w:noProof/>
        </w:rPr>
        <w:t xml:space="preserve">auctioning of allowances </w:t>
      </w:r>
      <w:r>
        <w:rPr>
          <w:noProof/>
        </w:rPr>
        <w:t>that</w:t>
      </w:r>
      <w:r w:rsidR="0071232E">
        <w:rPr>
          <w:noProof/>
        </w:rPr>
        <w:t xml:space="preserve"> lead</w:t>
      </w:r>
      <w:r>
        <w:rPr>
          <w:noProof/>
        </w:rPr>
        <w:t>s</w:t>
      </w:r>
      <w:r w:rsidR="0071232E">
        <w:rPr>
          <w:noProof/>
        </w:rPr>
        <w:t xml:space="preserve"> to corresponding revenues </w:t>
      </w:r>
      <w:r>
        <w:rPr>
          <w:noProof/>
        </w:rPr>
        <w:t xml:space="preserve">that can be used in </w:t>
      </w:r>
      <w:r w:rsidR="00924F52" w:rsidRPr="006D56F4">
        <w:rPr>
          <w:i/>
          <w:noProof/>
        </w:rPr>
        <w:t>e.g.,</w:t>
      </w:r>
      <w:r>
        <w:rPr>
          <w:noProof/>
        </w:rPr>
        <w:t xml:space="preserve"> in the social climate fund</w:t>
      </w:r>
      <w:r w:rsidR="0071232E">
        <w:rPr>
          <w:noProof/>
        </w:rPr>
        <w:t xml:space="preserve">. Energy system costs are calculated </w:t>
      </w:r>
      <w:r w:rsidR="0071232E" w:rsidRPr="006D56F4">
        <w:rPr>
          <w:i/>
          <w:noProof/>
        </w:rPr>
        <w:t>ex</w:t>
      </w:r>
      <w:r w:rsidR="003467E3">
        <w:rPr>
          <w:i/>
          <w:iCs/>
          <w:noProof/>
        </w:rPr>
        <w:t>-</w:t>
      </w:r>
      <w:r w:rsidR="0071232E" w:rsidRPr="006D56F4">
        <w:rPr>
          <w:i/>
          <w:noProof/>
        </w:rPr>
        <w:t>post</w:t>
      </w:r>
      <w:r w:rsidR="0071232E">
        <w:rPr>
          <w:noProof/>
        </w:rPr>
        <w:t xml:space="preserve"> after the model is solved</w:t>
      </w:r>
      <w:r w:rsidR="0071232E" w:rsidRPr="0071232E">
        <w:rPr>
          <w:rFonts w:cs="Times New Roman"/>
          <w:noProof/>
        </w:rPr>
        <w:t> (</w:t>
      </w:r>
      <w:r w:rsidR="0071232E">
        <w:rPr>
          <w:rStyle w:val="FootnoteReference"/>
          <w:noProof/>
        </w:rPr>
        <w:footnoteReference w:id="294"/>
      </w:r>
      <w:r w:rsidR="0071232E">
        <w:rPr>
          <w:rFonts w:cs="Times New Roman"/>
          <w:noProof/>
        </w:rPr>
        <w:t>)</w:t>
      </w:r>
      <w:r w:rsidR="0071232E">
        <w:rPr>
          <w:noProof/>
        </w:rPr>
        <w:t>.</w:t>
      </w:r>
    </w:p>
    <w:p w14:paraId="1E910BCF" w14:textId="78800AA3" w:rsidR="007A0414" w:rsidRPr="00DC5008" w:rsidRDefault="007A0414" w:rsidP="00521005">
      <w:pPr>
        <w:pStyle w:val="Caption"/>
        <w:rPr>
          <w:noProof/>
        </w:rPr>
      </w:pPr>
      <w:bookmarkStart w:id="697" w:name="_Ref152944795"/>
      <w:bookmarkStart w:id="698" w:name="_Toc157679917"/>
      <w:r w:rsidRPr="00DC5008">
        <w:rPr>
          <w:noProof/>
        </w:rPr>
        <w:t xml:space="preserve">Table </w:t>
      </w:r>
      <w:r>
        <w:rPr>
          <w:noProof/>
          <w:color w:val="2B579A"/>
          <w:shd w:val="clear" w:color="auto" w:fill="E6E6E6"/>
        </w:rPr>
        <w:fldChar w:fldCharType="begin"/>
      </w:r>
      <w:r>
        <w:rPr>
          <w:noProof/>
        </w:rPr>
        <w:instrText>SEQ Table \* ARABIC</w:instrText>
      </w:r>
      <w:r>
        <w:rPr>
          <w:noProof/>
          <w:color w:val="2B579A"/>
          <w:shd w:val="clear" w:color="auto" w:fill="E6E6E6"/>
        </w:rPr>
        <w:fldChar w:fldCharType="separate"/>
      </w:r>
      <w:r w:rsidR="00170A3C">
        <w:rPr>
          <w:noProof/>
        </w:rPr>
        <w:t>34</w:t>
      </w:r>
      <w:r>
        <w:rPr>
          <w:noProof/>
          <w:color w:val="2B579A"/>
          <w:shd w:val="clear" w:color="auto" w:fill="E6E6E6"/>
        </w:rPr>
        <w:fldChar w:fldCharType="end"/>
      </w:r>
      <w:bookmarkEnd w:id="697"/>
      <w:r w:rsidR="004244BA">
        <w:rPr>
          <w:noProof/>
          <w:color w:val="2B579A"/>
          <w:shd w:val="clear" w:color="auto" w:fill="E6E6E6"/>
        </w:rPr>
        <w:t>:</w:t>
      </w:r>
      <w:r w:rsidRPr="00DC5008">
        <w:rPr>
          <w:noProof/>
        </w:rPr>
        <w:t xml:space="preserve"> Sectoral disaggregation of energy system costs</w:t>
      </w:r>
      <w:r w:rsidR="00E4794D">
        <w:rPr>
          <w:noProof/>
        </w:rPr>
        <w:t xml:space="preserve"> (% difference</w:t>
      </w:r>
      <w:r w:rsidR="0015247A">
        <w:rPr>
          <w:noProof/>
        </w:rPr>
        <w:t xml:space="preserve"> vs. S2</w:t>
      </w:r>
      <w:r w:rsidR="00E4794D">
        <w:rPr>
          <w:noProof/>
        </w:rPr>
        <w:t>)</w:t>
      </w:r>
      <w:bookmarkEnd w:id="698"/>
    </w:p>
    <w:p w14:paraId="5448B718" w14:textId="67FDBB0E" w:rsidR="009816B8" w:rsidRDefault="00E74478" w:rsidP="00F60C11">
      <w:pPr>
        <w:keepNext/>
        <w:tabs>
          <w:tab w:val="left" w:pos="3969"/>
        </w:tabs>
        <w:spacing w:after="0"/>
        <w:jc w:val="center"/>
        <w:rPr>
          <w:noProof/>
        </w:rPr>
      </w:pPr>
      <w:r w:rsidRPr="00E74478">
        <w:rPr>
          <w:noProof/>
          <w:lang w:eastAsia="en-GB"/>
        </w:rPr>
        <w:drawing>
          <wp:inline distT="0" distB="0" distL="0" distR="0" wp14:anchorId="7D39050B" wp14:editId="5F2C9937">
            <wp:extent cx="5472430" cy="3578225"/>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5472430" cy="3578225"/>
                    </a:xfrm>
                    <a:prstGeom prst="rect">
                      <a:avLst/>
                    </a:prstGeom>
                    <a:noFill/>
                    <a:ln>
                      <a:noFill/>
                    </a:ln>
                  </pic:spPr>
                </pic:pic>
              </a:graphicData>
            </a:graphic>
          </wp:inline>
        </w:drawing>
      </w:r>
    </w:p>
    <w:p w14:paraId="16675514" w14:textId="368A0A96" w:rsidR="003A0108" w:rsidRPr="00A74C10" w:rsidRDefault="00DC5008" w:rsidP="005F0FDC">
      <w:pPr>
        <w:pStyle w:val="CT-SOURCE"/>
        <w:keepNext w:val="0"/>
        <w:rPr>
          <w:i w:val="0"/>
          <w:noProof/>
          <w:sz w:val="20"/>
          <w:szCs w:val="20"/>
        </w:rPr>
      </w:pPr>
      <w:r w:rsidRPr="00A74C10">
        <w:rPr>
          <w:noProof/>
        </w:rPr>
        <w:t>Source: PRIMES</w:t>
      </w:r>
      <w:r w:rsidRPr="00A74C10">
        <w:rPr>
          <w:noProof/>
          <w:sz w:val="20"/>
          <w:szCs w:val="20"/>
        </w:rPr>
        <w:t>.</w:t>
      </w:r>
    </w:p>
    <w:p w14:paraId="4B9E677B" w14:textId="354A0F1C" w:rsidR="00B87987" w:rsidRDefault="00B87987" w:rsidP="00B87987">
      <w:pPr>
        <w:rPr>
          <w:noProof/>
        </w:rPr>
      </w:pPr>
      <w:r>
        <w:rPr>
          <w:noProof/>
        </w:rPr>
        <w:t xml:space="preserve">Total energy system costs are relatively close across scenarios. In 2031-2040 they are </w:t>
      </w:r>
      <w:r w:rsidR="00B72779">
        <w:rPr>
          <w:noProof/>
        </w:rPr>
        <w:t>2.1% lower in</w:t>
      </w:r>
      <w:r w:rsidR="007E69CC">
        <w:rPr>
          <w:noProof/>
        </w:rPr>
        <w:t xml:space="preserve"> the</w:t>
      </w:r>
      <w:r w:rsidR="00B72779">
        <w:rPr>
          <w:noProof/>
        </w:rPr>
        <w:t xml:space="preserve"> S1</w:t>
      </w:r>
      <w:r w:rsidR="007E69CC">
        <w:rPr>
          <w:noProof/>
        </w:rPr>
        <w:t xml:space="preserve"> scenario</w:t>
      </w:r>
      <w:r>
        <w:rPr>
          <w:noProof/>
        </w:rPr>
        <w:t xml:space="preserve"> and </w:t>
      </w:r>
      <w:r w:rsidR="007E69CC">
        <w:rPr>
          <w:noProof/>
        </w:rPr>
        <w:t>1.5</w:t>
      </w:r>
      <w:r>
        <w:rPr>
          <w:noProof/>
        </w:rPr>
        <w:t>% higher in S3 compared with the S</w:t>
      </w:r>
      <w:r w:rsidR="007E69CC">
        <w:rPr>
          <w:noProof/>
        </w:rPr>
        <w:t>2</w:t>
      </w:r>
      <w:r>
        <w:rPr>
          <w:noProof/>
        </w:rPr>
        <w:t xml:space="preserve"> scenario. In the residential sector, system costs are </w:t>
      </w:r>
      <w:r w:rsidR="00AE4691">
        <w:rPr>
          <w:noProof/>
        </w:rPr>
        <w:t>lower</w:t>
      </w:r>
      <w:r>
        <w:rPr>
          <w:noProof/>
        </w:rPr>
        <w:t xml:space="preserve"> by </w:t>
      </w:r>
      <w:r w:rsidR="00AE4691">
        <w:rPr>
          <w:noProof/>
        </w:rPr>
        <w:t>1.4</w:t>
      </w:r>
      <w:r>
        <w:rPr>
          <w:noProof/>
        </w:rPr>
        <w:t>% in S</w:t>
      </w:r>
      <w:r w:rsidR="00AE4691">
        <w:rPr>
          <w:noProof/>
        </w:rPr>
        <w:t>1</w:t>
      </w:r>
      <w:r>
        <w:rPr>
          <w:noProof/>
        </w:rPr>
        <w:t xml:space="preserve"> and </w:t>
      </w:r>
      <w:r w:rsidR="00AE4691">
        <w:rPr>
          <w:noProof/>
        </w:rPr>
        <w:t>higher</w:t>
      </w:r>
      <w:r>
        <w:rPr>
          <w:noProof/>
        </w:rPr>
        <w:t xml:space="preserve"> by </w:t>
      </w:r>
      <w:r w:rsidR="00FD7448">
        <w:rPr>
          <w:noProof/>
        </w:rPr>
        <w:t>1</w:t>
      </w:r>
      <w:r>
        <w:rPr>
          <w:noProof/>
        </w:rPr>
        <w:t>% in S3</w:t>
      </w:r>
      <w:r w:rsidR="00911218">
        <w:rPr>
          <w:noProof/>
        </w:rPr>
        <w:t xml:space="preserve"> compared with S2</w:t>
      </w:r>
      <w:r>
        <w:rPr>
          <w:noProof/>
        </w:rPr>
        <w:t xml:space="preserve">. While for the tertiary sector system costs are </w:t>
      </w:r>
      <w:r w:rsidR="005028AB">
        <w:rPr>
          <w:noProof/>
        </w:rPr>
        <w:t>relatively</w:t>
      </w:r>
      <w:r>
        <w:rPr>
          <w:noProof/>
        </w:rPr>
        <w:t xml:space="preserve"> similar across scenarios, they are </w:t>
      </w:r>
      <w:r w:rsidR="00990366">
        <w:rPr>
          <w:noProof/>
        </w:rPr>
        <w:t xml:space="preserve">3.1% lower in S1 and </w:t>
      </w:r>
      <w:r w:rsidR="00372755">
        <w:rPr>
          <w:noProof/>
        </w:rPr>
        <w:t xml:space="preserve">2% higher in S3 compared with S2 </w:t>
      </w:r>
      <w:r>
        <w:rPr>
          <w:noProof/>
        </w:rPr>
        <w:t xml:space="preserve">in 2031-2040. Capital costs and direct efficiency investment costs are increasing from S1 to S2 </w:t>
      </w:r>
      <w:r w:rsidR="00883B56">
        <w:rPr>
          <w:noProof/>
        </w:rPr>
        <w:t>and S3</w:t>
      </w:r>
      <w:r>
        <w:rPr>
          <w:noProof/>
        </w:rPr>
        <w:t xml:space="preserve"> (</w:t>
      </w:r>
      <w:r w:rsidR="00C46B09">
        <w:rPr>
          <w:noProof/>
        </w:rPr>
        <w:t>-</w:t>
      </w:r>
      <w:r w:rsidR="00A475F4">
        <w:rPr>
          <w:noProof/>
        </w:rPr>
        <w:t>1.8% for S1 and +1.3% for S3 compared with S2</w:t>
      </w:r>
      <w:r>
        <w:rPr>
          <w:noProof/>
        </w:rPr>
        <w:t xml:space="preserve"> in 2031-2040), as higher ambition requires investments. For the tertiary sector, higher ambition and investments are also associated with lower energy purchases. This is illustrated by the fact that energy purchases are </w:t>
      </w:r>
      <w:r w:rsidR="00C06C1E">
        <w:rPr>
          <w:noProof/>
        </w:rPr>
        <w:t>higher</w:t>
      </w:r>
      <w:r>
        <w:rPr>
          <w:noProof/>
        </w:rPr>
        <w:t xml:space="preserve"> by 0.</w:t>
      </w:r>
      <w:r w:rsidR="00C06C1E">
        <w:rPr>
          <w:noProof/>
        </w:rPr>
        <w:t>3</w:t>
      </w:r>
      <w:r>
        <w:rPr>
          <w:noProof/>
        </w:rPr>
        <w:t>% in S</w:t>
      </w:r>
      <w:r w:rsidR="00C06C1E">
        <w:rPr>
          <w:noProof/>
        </w:rPr>
        <w:t>1</w:t>
      </w:r>
      <w:r>
        <w:rPr>
          <w:noProof/>
        </w:rPr>
        <w:t xml:space="preserve"> vs S</w:t>
      </w:r>
      <w:r w:rsidR="00C06C1E">
        <w:rPr>
          <w:noProof/>
        </w:rPr>
        <w:t>2</w:t>
      </w:r>
      <w:r>
        <w:rPr>
          <w:noProof/>
        </w:rPr>
        <w:t xml:space="preserve"> and lower by 0.5% in S3 vs S1 for this sector in 2031-2040. For the following decade, the difference is even </w:t>
      </w:r>
      <w:r w:rsidR="00B83A4F">
        <w:rPr>
          <w:noProof/>
        </w:rPr>
        <w:t>+</w:t>
      </w:r>
      <w:r>
        <w:rPr>
          <w:noProof/>
        </w:rPr>
        <w:t>0.8% and -1% respectively for S</w:t>
      </w:r>
      <w:r w:rsidR="00B83A4F">
        <w:rPr>
          <w:noProof/>
        </w:rPr>
        <w:t>1</w:t>
      </w:r>
      <w:r>
        <w:rPr>
          <w:noProof/>
        </w:rPr>
        <w:t xml:space="preserve"> and S3</w:t>
      </w:r>
      <w:r w:rsidR="00B83A4F">
        <w:rPr>
          <w:noProof/>
        </w:rPr>
        <w:t xml:space="preserve"> vs S2</w:t>
      </w:r>
      <w:r>
        <w:rPr>
          <w:noProof/>
        </w:rPr>
        <w:t xml:space="preserve">. As regards </w:t>
      </w:r>
      <w:r w:rsidR="00C459D4">
        <w:rPr>
          <w:noProof/>
        </w:rPr>
        <w:t>LIFE</w:t>
      </w:r>
      <w:r>
        <w:rPr>
          <w:noProof/>
        </w:rPr>
        <w:t>, energy system costs are lower than for the other scenarios</w:t>
      </w:r>
      <w:r w:rsidR="002F0B2B">
        <w:rPr>
          <w:noProof/>
        </w:rPr>
        <w:t xml:space="preserve"> in 2041-2050, as the increase in capital costs and direct efficiency investment costs is more than compensated by the </w:t>
      </w:r>
      <w:r w:rsidR="0065692D">
        <w:rPr>
          <w:noProof/>
        </w:rPr>
        <w:t>5.5</w:t>
      </w:r>
      <w:r w:rsidR="002F0B2B">
        <w:rPr>
          <w:noProof/>
        </w:rPr>
        <w:t>% decrease in energy purchases compared with S</w:t>
      </w:r>
      <w:r w:rsidR="0065692D">
        <w:rPr>
          <w:noProof/>
        </w:rPr>
        <w:t>3</w:t>
      </w:r>
      <w:r w:rsidR="002F0B2B">
        <w:rPr>
          <w:noProof/>
        </w:rPr>
        <w:t xml:space="preserve">. </w:t>
      </w:r>
    </w:p>
    <w:p w14:paraId="55BB240B" w14:textId="56B92966" w:rsidR="005B7EE6" w:rsidRDefault="00B87987" w:rsidP="00D92B62">
      <w:pPr>
        <w:pStyle w:val="Caption"/>
        <w:keepLines/>
        <w:widowControl w:val="0"/>
        <w:rPr>
          <w:noProof/>
        </w:rPr>
      </w:pPr>
      <w:bookmarkStart w:id="699" w:name="_Ref147339120"/>
      <w:bookmarkStart w:id="700" w:name="_Toc157679860"/>
      <w:r>
        <w:rPr>
          <w:noProof/>
        </w:rPr>
        <w:t xml:space="preserve">Figure </w:t>
      </w:r>
      <w:r>
        <w:rPr>
          <w:noProof/>
        </w:rPr>
        <w:fldChar w:fldCharType="begin"/>
      </w:r>
      <w:r>
        <w:rPr>
          <w:noProof/>
        </w:rPr>
        <w:instrText>SEQ Figure \* ARABIC</w:instrText>
      </w:r>
      <w:r>
        <w:rPr>
          <w:noProof/>
        </w:rPr>
        <w:fldChar w:fldCharType="separate"/>
      </w:r>
      <w:r w:rsidR="00170A3C">
        <w:rPr>
          <w:noProof/>
        </w:rPr>
        <w:t>112</w:t>
      </w:r>
      <w:r>
        <w:rPr>
          <w:noProof/>
        </w:rPr>
        <w:fldChar w:fldCharType="end"/>
      </w:r>
      <w:bookmarkEnd w:id="699"/>
      <w:r w:rsidR="005B7EE6">
        <w:rPr>
          <w:noProof/>
        </w:rPr>
        <w:t>: Total energy system costs as a percentage of GDP</w:t>
      </w:r>
      <w:bookmarkEnd w:id="700"/>
    </w:p>
    <w:p w14:paraId="4694B676" w14:textId="6188B6A9" w:rsidR="00B87987" w:rsidRDefault="00435FCC" w:rsidP="00AC746E">
      <w:pPr>
        <w:pStyle w:val="CT-SOURCE"/>
        <w:jc w:val="center"/>
        <w:rPr>
          <w:noProof/>
        </w:rPr>
      </w:pPr>
      <w:r w:rsidRPr="00435FCC">
        <w:rPr>
          <w:i w:val="0"/>
          <w:iCs w:val="0"/>
          <w:noProof/>
        </w:rPr>
        <w:t xml:space="preserve"> </w:t>
      </w:r>
      <w:r w:rsidR="00D52DCD" w:rsidRPr="00D52DCD">
        <w:rPr>
          <w:noProof/>
          <w:lang w:val="en-GB" w:eastAsia="en-GB"/>
        </w:rPr>
        <w:drawing>
          <wp:inline distT="0" distB="0" distL="0" distR="0" wp14:anchorId="6B3F613A" wp14:editId="07040A54">
            <wp:extent cx="5472430" cy="25279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5472430" cy="2527935"/>
                    </a:xfrm>
                    <a:prstGeom prst="rect">
                      <a:avLst/>
                    </a:prstGeom>
                    <a:noFill/>
                    <a:ln>
                      <a:noFill/>
                    </a:ln>
                  </pic:spPr>
                </pic:pic>
              </a:graphicData>
            </a:graphic>
          </wp:inline>
        </w:drawing>
      </w:r>
    </w:p>
    <w:p w14:paraId="5228A5BB" w14:textId="173106EF" w:rsidR="00B87987" w:rsidRPr="007A0414" w:rsidRDefault="00B87987" w:rsidP="00B87987">
      <w:pPr>
        <w:pStyle w:val="CT-SOURCE"/>
        <w:rPr>
          <w:noProof/>
        </w:rPr>
      </w:pPr>
      <w:r w:rsidRPr="005B7EE6">
        <w:rPr>
          <w:noProof/>
        </w:rPr>
        <w:t xml:space="preserve">Source: </w:t>
      </w:r>
      <w:r>
        <w:rPr>
          <w:noProof/>
        </w:rPr>
        <w:t xml:space="preserve">Commission based on the </w:t>
      </w:r>
      <w:r w:rsidRPr="005B7EE6">
        <w:rPr>
          <w:noProof/>
        </w:rPr>
        <w:t>PRIMES model.</w:t>
      </w:r>
    </w:p>
    <w:p w14:paraId="4E1F4240" w14:textId="0815B1FC" w:rsidR="00267D3B" w:rsidRDefault="00267D3B" w:rsidP="00267D3B">
      <w:pPr>
        <w:rPr>
          <w:noProof/>
        </w:rPr>
      </w:pPr>
      <w:r>
        <w:rPr>
          <w:noProof/>
        </w:rPr>
        <w:t xml:space="preserve">As a percentage of GDP, energy system costs </w:t>
      </w:r>
      <w:r w:rsidR="00B87987">
        <w:rPr>
          <w:noProof/>
        </w:rPr>
        <w:t>decrease</w:t>
      </w:r>
      <w:r w:rsidR="0094473F">
        <w:rPr>
          <w:noProof/>
        </w:rPr>
        <w:t xml:space="preserve"> between</w:t>
      </w:r>
      <w:r>
        <w:rPr>
          <w:noProof/>
        </w:rPr>
        <w:t xml:space="preserve"> </w:t>
      </w:r>
      <w:r w:rsidR="00B87987">
        <w:rPr>
          <w:noProof/>
        </w:rPr>
        <w:t>20</w:t>
      </w:r>
      <w:r w:rsidR="00D046FF">
        <w:rPr>
          <w:noProof/>
        </w:rPr>
        <w:t>3</w:t>
      </w:r>
      <w:r w:rsidR="00B87987">
        <w:rPr>
          <w:noProof/>
        </w:rPr>
        <w:t>0</w:t>
      </w:r>
      <w:r>
        <w:rPr>
          <w:noProof/>
        </w:rPr>
        <w:t xml:space="preserve"> and </w:t>
      </w:r>
      <w:r w:rsidR="00B87987">
        <w:rPr>
          <w:noProof/>
        </w:rPr>
        <w:t>20</w:t>
      </w:r>
      <w:r w:rsidR="00D046FF">
        <w:rPr>
          <w:noProof/>
        </w:rPr>
        <w:t>4</w:t>
      </w:r>
      <w:r w:rsidR="00B87987">
        <w:rPr>
          <w:noProof/>
        </w:rPr>
        <w:t>0</w:t>
      </w:r>
      <w:r>
        <w:rPr>
          <w:noProof/>
        </w:rPr>
        <w:t xml:space="preserve"> as GDP growth offsets the slight increase in system costs. As a result, the percentage of system costs over GDP decreases </w:t>
      </w:r>
      <w:r w:rsidR="00D046FF">
        <w:rPr>
          <w:noProof/>
        </w:rPr>
        <w:t>from 1</w:t>
      </w:r>
      <w:r w:rsidR="00456404">
        <w:rPr>
          <w:noProof/>
        </w:rPr>
        <w:t>3.3</w:t>
      </w:r>
      <w:r w:rsidR="00D046FF">
        <w:rPr>
          <w:noProof/>
        </w:rPr>
        <w:t xml:space="preserve">% </w:t>
      </w:r>
      <w:r w:rsidR="003661BB">
        <w:rPr>
          <w:noProof/>
        </w:rPr>
        <w:t xml:space="preserve">in 2030 </w:t>
      </w:r>
      <w:r w:rsidR="00D046FF">
        <w:rPr>
          <w:noProof/>
        </w:rPr>
        <w:t xml:space="preserve">to </w:t>
      </w:r>
      <w:r w:rsidR="00456404">
        <w:rPr>
          <w:noProof/>
        </w:rPr>
        <w:t>11</w:t>
      </w:r>
      <w:r w:rsidR="00D046FF">
        <w:rPr>
          <w:noProof/>
        </w:rPr>
        <w:t>.7%-1</w:t>
      </w:r>
      <w:r w:rsidR="00456404">
        <w:rPr>
          <w:noProof/>
        </w:rPr>
        <w:t>2.3</w:t>
      </w:r>
      <w:r w:rsidR="00D046FF">
        <w:rPr>
          <w:noProof/>
        </w:rPr>
        <w:t>% in 2040 and</w:t>
      </w:r>
      <w:r>
        <w:rPr>
          <w:noProof/>
        </w:rPr>
        <w:t xml:space="preserve"> to </w:t>
      </w:r>
      <w:r w:rsidR="00456404">
        <w:rPr>
          <w:noProof/>
        </w:rPr>
        <w:t>10.6</w:t>
      </w:r>
      <w:r>
        <w:rPr>
          <w:noProof/>
        </w:rPr>
        <w:t xml:space="preserve">% in 2050 for S1, S2 and S3 </w:t>
      </w:r>
      <w:r w:rsidR="00D046FF">
        <w:rPr>
          <w:noProof/>
        </w:rPr>
        <w:t>(</w:t>
      </w:r>
      <w:r w:rsidR="00456404">
        <w:rPr>
          <w:noProof/>
        </w:rPr>
        <w:t>1</w:t>
      </w:r>
      <w:r w:rsidR="00891C53">
        <w:rPr>
          <w:noProof/>
        </w:rPr>
        <w:t>0.4</w:t>
      </w:r>
      <w:r>
        <w:rPr>
          <w:noProof/>
        </w:rPr>
        <w:t>% for LIFE</w:t>
      </w:r>
      <w:r w:rsidR="00D046FF">
        <w:rPr>
          <w:noProof/>
        </w:rPr>
        <w:t>)</w:t>
      </w:r>
      <w:r w:rsidR="009309B9">
        <w:rPr>
          <w:noProof/>
        </w:rPr>
        <w:t>, a</w:t>
      </w:r>
      <w:r>
        <w:rPr>
          <w:noProof/>
        </w:rPr>
        <w:t>s i</w:t>
      </w:r>
      <w:r w:rsidRPr="00A1051C">
        <w:rPr>
          <w:noProof/>
        </w:rPr>
        <w:t xml:space="preserve">llustrated </w:t>
      </w:r>
      <w:r w:rsidR="00B87987" w:rsidRPr="00A1051C">
        <w:rPr>
          <w:noProof/>
        </w:rPr>
        <w:t>by</w:t>
      </w:r>
      <w:r>
        <w:rPr>
          <w:noProof/>
        </w:rPr>
        <w:t xml:space="preserve"> </w:t>
      </w:r>
      <w:r w:rsidR="00A1051C">
        <w:rPr>
          <w:noProof/>
          <w:highlight w:val="yellow"/>
        </w:rPr>
        <w:fldChar w:fldCharType="begin"/>
      </w:r>
      <w:r w:rsidR="00A1051C">
        <w:rPr>
          <w:noProof/>
        </w:rPr>
        <w:instrText xml:space="preserve"> REF _Ref147339120 \h </w:instrText>
      </w:r>
      <w:r w:rsidR="00A1051C">
        <w:rPr>
          <w:noProof/>
          <w:highlight w:val="yellow"/>
        </w:rPr>
      </w:r>
      <w:r w:rsidR="00A1051C">
        <w:rPr>
          <w:noProof/>
          <w:highlight w:val="yellow"/>
        </w:rPr>
        <w:fldChar w:fldCharType="separate"/>
      </w:r>
      <w:r w:rsidR="00170A3C">
        <w:rPr>
          <w:noProof/>
        </w:rPr>
        <w:t>Figure 112</w:t>
      </w:r>
      <w:r w:rsidR="00A1051C">
        <w:rPr>
          <w:noProof/>
          <w:highlight w:val="yellow"/>
        </w:rPr>
        <w:fldChar w:fldCharType="end"/>
      </w:r>
      <w:r w:rsidR="00B87987">
        <w:rPr>
          <w:noProof/>
        </w:rPr>
        <w:t>.</w:t>
      </w:r>
      <w:r w:rsidR="00D01E78">
        <w:rPr>
          <w:noProof/>
        </w:rPr>
        <w:t xml:space="preserve"> In 2040, energy system costs represent a lower share of GDP in S1 (</w:t>
      </w:r>
      <w:r w:rsidR="0083362F">
        <w:rPr>
          <w:noProof/>
        </w:rPr>
        <w:t>11</w:t>
      </w:r>
      <w:r w:rsidR="007D0E6F">
        <w:rPr>
          <w:noProof/>
        </w:rPr>
        <w:t>.</w:t>
      </w:r>
      <w:r w:rsidR="00E769D9">
        <w:rPr>
          <w:noProof/>
        </w:rPr>
        <w:t>7</w:t>
      </w:r>
      <w:r w:rsidR="007D0E6F">
        <w:rPr>
          <w:noProof/>
        </w:rPr>
        <w:t>%) than in S2</w:t>
      </w:r>
      <w:r w:rsidR="00FE54AF">
        <w:rPr>
          <w:noProof/>
        </w:rPr>
        <w:t xml:space="preserve"> </w:t>
      </w:r>
      <w:r w:rsidR="0083362F">
        <w:rPr>
          <w:noProof/>
        </w:rPr>
        <w:t xml:space="preserve">(12.1%) </w:t>
      </w:r>
      <w:r w:rsidR="00E769D9">
        <w:rPr>
          <w:noProof/>
        </w:rPr>
        <w:t>and</w:t>
      </w:r>
      <w:r w:rsidR="0083362F">
        <w:rPr>
          <w:noProof/>
        </w:rPr>
        <w:t xml:space="preserve"> S3 and</w:t>
      </w:r>
      <w:r w:rsidR="00E769D9">
        <w:rPr>
          <w:noProof/>
        </w:rPr>
        <w:t xml:space="preserve"> LIFE (1</w:t>
      </w:r>
      <w:r w:rsidR="0083362F">
        <w:rPr>
          <w:noProof/>
        </w:rPr>
        <w:t>2.</w:t>
      </w:r>
      <w:r w:rsidR="0048657E">
        <w:rPr>
          <w:noProof/>
        </w:rPr>
        <w:t>2-12.</w:t>
      </w:r>
      <w:r w:rsidR="0083362F">
        <w:rPr>
          <w:noProof/>
        </w:rPr>
        <w:t>3</w:t>
      </w:r>
      <w:r w:rsidR="00E769D9">
        <w:rPr>
          <w:noProof/>
        </w:rPr>
        <w:t>%</w:t>
      </w:r>
      <w:r w:rsidR="00E4794D">
        <w:rPr>
          <w:noProof/>
        </w:rPr>
        <w:t>)</w:t>
      </w:r>
      <w:r w:rsidR="00E769D9">
        <w:rPr>
          <w:noProof/>
        </w:rPr>
        <w:t>.</w:t>
      </w:r>
      <w:r w:rsidR="003661BB">
        <w:rPr>
          <w:noProof/>
        </w:rPr>
        <w:t xml:space="preserve"> Decreasing energy purchases are the main reason for the decrease in the share of energy system costs as a percentage of GDP</w:t>
      </w:r>
      <w:r w:rsidR="001250ED">
        <w:rPr>
          <w:noProof/>
        </w:rPr>
        <w:t>.</w:t>
      </w:r>
      <w:r w:rsidR="00FE54AF">
        <w:rPr>
          <w:noProof/>
        </w:rPr>
        <w:t xml:space="preserve"> </w:t>
      </w:r>
    </w:p>
    <w:p w14:paraId="762BC56E" w14:textId="48DA0829" w:rsidR="00DD6070" w:rsidRDefault="000B2B3B" w:rsidP="00717DE1">
      <w:pPr>
        <w:rPr>
          <w:noProof/>
        </w:rPr>
      </w:pPr>
      <w:r>
        <w:rPr>
          <w:noProof/>
        </w:rPr>
        <w:t>Importantly, energy system modelling captures well the energy system costs but the costs associated with the transition are much broader and the challenge to address them much bigger. Rapid structural change will lead to the devaluation of equipment and other assets of several industries notably in fossil fuels extraction and processing. It will also force consumers to replace durable consumer goods and renovate houses more quickly. Workers with sector specific knowledge might lose part of their investment in training and education. These phenomena will have to be addressed by active labour market policies with greater demand on public expenditures.</w:t>
      </w:r>
    </w:p>
    <w:p w14:paraId="57347AB2" w14:textId="3A742DC8" w:rsidR="00217604" w:rsidRDefault="00A50DCD" w:rsidP="00D92B62">
      <w:pPr>
        <w:pStyle w:val="Heading3"/>
        <w:rPr>
          <w:noProof/>
        </w:rPr>
      </w:pPr>
      <w:bookmarkStart w:id="701" w:name="_Toc148605647"/>
      <w:bookmarkStart w:id="702" w:name="_Toc157692095"/>
      <w:r w:rsidRPr="00680783">
        <w:rPr>
          <w:noProof/>
        </w:rPr>
        <w:t xml:space="preserve">Energy system costs and prices </w:t>
      </w:r>
      <w:r w:rsidR="004873A2">
        <w:rPr>
          <w:noProof/>
        </w:rPr>
        <w:t xml:space="preserve">for </w:t>
      </w:r>
      <w:r w:rsidR="00C6408F">
        <w:rPr>
          <w:noProof/>
        </w:rPr>
        <w:t>industry</w:t>
      </w:r>
      <w:bookmarkEnd w:id="701"/>
      <w:bookmarkEnd w:id="702"/>
      <w:r w:rsidR="00C6408F">
        <w:rPr>
          <w:noProof/>
        </w:rPr>
        <w:t xml:space="preserve"> </w:t>
      </w:r>
    </w:p>
    <w:p w14:paraId="6742B03B" w14:textId="0A1798BB" w:rsidR="003B6F2F" w:rsidRPr="005458EB" w:rsidRDefault="00A1051C" w:rsidP="003B6F2F">
      <w:pPr>
        <w:rPr>
          <w:noProof/>
        </w:rPr>
      </w:pPr>
      <w:r>
        <w:rPr>
          <w:noProof/>
        </w:rPr>
        <w:fldChar w:fldCharType="begin"/>
      </w:r>
      <w:r>
        <w:rPr>
          <w:noProof/>
        </w:rPr>
        <w:instrText xml:space="preserve"> REF _Ref147339178 \h </w:instrText>
      </w:r>
      <w:r>
        <w:rPr>
          <w:noProof/>
        </w:rPr>
      </w:r>
      <w:r>
        <w:rPr>
          <w:noProof/>
        </w:rPr>
        <w:fldChar w:fldCharType="separate"/>
      </w:r>
      <w:r w:rsidR="00170A3C" w:rsidRPr="0058020B">
        <w:rPr>
          <w:noProof/>
        </w:rPr>
        <w:t xml:space="preserve">Table </w:t>
      </w:r>
      <w:r w:rsidR="00170A3C">
        <w:rPr>
          <w:noProof/>
        </w:rPr>
        <w:t>35</w:t>
      </w:r>
      <w:r>
        <w:rPr>
          <w:noProof/>
        </w:rPr>
        <w:fldChar w:fldCharType="end"/>
      </w:r>
      <w:r w:rsidR="003B6F2F" w:rsidRPr="00361C86">
        <w:rPr>
          <w:noProof/>
        </w:rPr>
        <w:t xml:space="preserve"> </w:t>
      </w:r>
      <w:r w:rsidR="003B6F2F">
        <w:rPr>
          <w:noProof/>
        </w:rPr>
        <w:t>shows energy cost</w:t>
      </w:r>
      <w:r w:rsidR="00EF23BC">
        <w:rPr>
          <w:noProof/>
        </w:rPr>
        <w:t>s</w:t>
      </w:r>
      <w:r w:rsidR="003B6F2F">
        <w:rPr>
          <w:noProof/>
        </w:rPr>
        <w:t xml:space="preserve"> for </w:t>
      </w:r>
      <w:r w:rsidR="00DF48FA">
        <w:rPr>
          <w:noProof/>
        </w:rPr>
        <w:t>industry</w:t>
      </w:r>
      <w:r w:rsidR="003B6F2F">
        <w:rPr>
          <w:noProof/>
        </w:rPr>
        <w:t xml:space="preserve"> in relative terms compared to S1. </w:t>
      </w:r>
      <w:r w:rsidR="00747480">
        <w:rPr>
          <w:noProof/>
        </w:rPr>
        <w:t>N</w:t>
      </w:r>
      <w:r w:rsidR="003B6F2F">
        <w:rPr>
          <w:noProof/>
        </w:rPr>
        <w:t xml:space="preserve">ecessary implementation of low-carbon processes and energy efficiency improvements lead to </w:t>
      </w:r>
      <w:r w:rsidR="00E55486">
        <w:rPr>
          <w:noProof/>
        </w:rPr>
        <w:t>stronger differentiation of</w:t>
      </w:r>
      <w:r w:rsidR="003B6F2F">
        <w:rPr>
          <w:noProof/>
        </w:rPr>
        <w:t xml:space="preserve"> capital-related costs across scenarios</w:t>
      </w:r>
      <w:r w:rsidR="00E55486">
        <w:rPr>
          <w:noProof/>
        </w:rPr>
        <w:t xml:space="preserve"> for energy-intensive industries</w:t>
      </w:r>
      <w:r w:rsidR="008A6B5A">
        <w:rPr>
          <w:noProof/>
        </w:rPr>
        <w:t xml:space="preserve"> in 2031-2040</w:t>
      </w:r>
      <w:r w:rsidR="003B6F2F">
        <w:rPr>
          <w:noProof/>
        </w:rPr>
        <w:t xml:space="preserve">, with a difference </w:t>
      </w:r>
      <w:r w:rsidR="0001682E">
        <w:rPr>
          <w:noProof/>
        </w:rPr>
        <w:t xml:space="preserve">of -3.4% for S1 </w:t>
      </w:r>
      <w:r w:rsidR="009B355F">
        <w:rPr>
          <w:noProof/>
        </w:rPr>
        <w:t>and +1.7% for S3 compared with S2 (</w:t>
      </w:r>
      <w:r w:rsidR="00805511">
        <w:rPr>
          <w:noProof/>
        </w:rPr>
        <w:t xml:space="preserve">respectively </w:t>
      </w:r>
      <w:r w:rsidR="009B355F">
        <w:rPr>
          <w:noProof/>
        </w:rPr>
        <w:t xml:space="preserve">-2.6% and </w:t>
      </w:r>
      <w:r w:rsidR="00805511">
        <w:rPr>
          <w:noProof/>
        </w:rPr>
        <w:t>+1.4% for non-energy intensive industries)</w:t>
      </w:r>
      <w:r w:rsidR="003B6F2F">
        <w:rPr>
          <w:noProof/>
        </w:rPr>
        <w:t xml:space="preserve">. Energy purchases increases across scenarios by 2040, with </w:t>
      </w:r>
      <w:r w:rsidR="00E8483D">
        <w:rPr>
          <w:noProof/>
        </w:rPr>
        <w:t>e-</w:t>
      </w:r>
      <w:r w:rsidR="003B6F2F">
        <w:rPr>
          <w:noProof/>
        </w:rPr>
        <w:t>fuels driving the variation from S1 to S2 (</w:t>
      </w:r>
      <w:r w:rsidR="00465902">
        <w:rPr>
          <w:noProof/>
        </w:rPr>
        <w:t>-3.4% for S1</w:t>
      </w:r>
      <w:r w:rsidR="007264C0">
        <w:rPr>
          <w:noProof/>
        </w:rPr>
        <w:t xml:space="preserve"> vs S2</w:t>
      </w:r>
      <w:r w:rsidR="003B6F2F">
        <w:rPr>
          <w:noProof/>
        </w:rPr>
        <w:t>) and to S3 (+</w:t>
      </w:r>
      <w:r w:rsidR="00A43BA8">
        <w:rPr>
          <w:noProof/>
        </w:rPr>
        <w:t>2</w:t>
      </w:r>
      <w:r w:rsidR="007264C0">
        <w:rPr>
          <w:noProof/>
        </w:rPr>
        <w:t>.5</w:t>
      </w:r>
      <w:r w:rsidR="003B6F2F">
        <w:rPr>
          <w:noProof/>
        </w:rPr>
        <w:t>%</w:t>
      </w:r>
      <w:r w:rsidR="00BB638D">
        <w:rPr>
          <w:noProof/>
        </w:rPr>
        <w:t xml:space="preserve"> vs S2</w:t>
      </w:r>
      <w:r w:rsidR="003B6F2F">
        <w:rPr>
          <w:noProof/>
        </w:rPr>
        <w:t xml:space="preserve">), in line with the level of decarbonisation and their role to substitute remaining fossil fuels. The part of the energy purchases that are linked to </w:t>
      </w:r>
      <w:r w:rsidR="00AA1434">
        <w:rPr>
          <w:noProof/>
        </w:rPr>
        <w:t>carbon</w:t>
      </w:r>
      <w:r w:rsidR="003B6F2F">
        <w:rPr>
          <w:noProof/>
        </w:rPr>
        <w:t xml:space="preserve"> revenues could also be channelled back toward industry through funding mechanisms encouraging the transition. </w:t>
      </w:r>
    </w:p>
    <w:p w14:paraId="046FB881" w14:textId="661C1B4F" w:rsidR="003B6F2F" w:rsidRPr="00244ACB" w:rsidRDefault="003B6F2F" w:rsidP="004F0323">
      <w:pPr>
        <w:pStyle w:val="Caption"/>
        <w:keepLines/>
        <w:rPr>
          <w:noProof/>
        </w:rPr>
      </w:pPr>
      <w:bookmarkStart w:id="703" w:name="_Ref147339178"/>
      <w:bookmarkStart w:id="704" w:name="_Toc157679918"/>
      <w:r w:rsidRPr="0058020B">
        <w:rPr>
          <w:noProof/>
        </w:rPr>
        <w:t xml:space="preserve">Table </w:t>
      </w:r>
      <w:r w:rsidRPr="0058020B">
        <w:rPr>
          <w:noProof/>
        </w:rPr>
        <w:fldChar w:fldCharType="begin"/>
      </w:r>
      <w:r w:rsidRPr="0058020B">
        <w:rPr>
          <w:noProof/>
        </w:rPr>
        <w:instrText>SEQ Table \* ARABIC</w:instrText>
      </w:r>
      <w:r w:rsidRPr="0058020B">
        <w:rPr>
          <w:noProof/>
        </w:rPr>
        <w:fldChar w:fldCharType="separate"/>
      </w:r>
      <w:r w:rsidR="00170A3C">
        <w:rPr>
          <w:noProof/>
        </w:rPr>
        <w:t>35</w:t>
      </w:r>
      <w:r w:rsidRPr="0058020B">
        <w:rPr>
          <w:noProof/>
        </w:rPr>
        <w:fldChar w:fldCharType="end"/>
      </w:r>
      <w:bookmarkEnd w:id="703"/>
      <w:r w:rsidRPr="0058020B">
        <w:rPr>
          <w:noProof/>
        </w:rPr>
        <w:t xml:space="preserve">: </w:t>
      </w:r>
      <w:r w:rsidR="00E4794D">
        <w:rPr>
          <w:noProof/>
        </w:rPr>
        <w:t>E</w:t>
      </w:r>
      <w:r w:rsidRPr="0058020B">
        <w:rPr>
          <w:noProof/>
        </w:rPr>
        <w:t xml:space="preserve">nergy system costs for </w:t>
      </w:r>
      <w:r w:rsidR="004E6A2B">
        <w:rPr>
          <w:noProof/>
        </w:rPr>
        <w:t>industry</w:t>
      </w:r>
      <w:r w:rsidRPr="0058020B">
        <w:rPr>
          <w:noProof/>
        </w:rPr>
        <w:t xml:space="preserve"> (%</w:t>
      </w:r>
      <w:r w:rsidR="00E4794D">
        <w:rPr>
          <w:noProof/>
        </w:rPr>
        <w:t xml:space="preserve"> difference</w:t>
      </w:r>
      <w:r w:rsidRPr="0058020B">
        <w:rPr>
          <w:noProof/>
        </w:rPr>
        <w:t xml:space="preserve"> vs</w:t>
      </w:r>
      <w:r w:rsidR="0015247A">
        <w:rPr>
          <w:noProof/>
        </w:rPr>
        <w:t>.</w:t>
      </w:r>
      <w:r w:rsidRPr="0058020B">
        <w:rPr>
          <w:noProof/>
        </w:rPr>
        <w:t xml:space="preserve"> S</w:t>
      </w:r>
      <w:r w:rsidR="0015247A">
        <w:rPr>
          <w:noProof/>
        </w:rPr>
        <w:t>2</w:t>
      </w:r>
      <w:r w:rsidRPr="0058020B">
        <w:rPr>
          <w:noProof/>
        </w:rPr>
        <w:t>)</w:t>
      </w:r>
      <w:bookmarkEnd w:id="704"/>
    </w:p>
    <w:p w14:paraId="505F7EA1" w14:textId="25C68FF0" w:rsidR="0015247A" w:rsidRDefault="0015247A" w:rsidP="00997853">
      <w:pPr>
        <w:pStyle w:val="CT-NOTE"/>
        <w:keepLines/>
        <w:jc w:val="center"/>
        <w:rPr>
          <w:noProof/>
        </w:rPr>
      </w:pPr>
      <w:r w:rsidRPr="0015247A">
        <w:rPr>
          <w:noProof/>
          <w:lang w:val="en-GB" w:eastAsia="en-GB"/>
        </w:rPr>
        <w:drawing>
          <wp:inline distT="0" distB="0" distL="0" distR="0" wp14:anchorId="5317FA1A" wp14:editId="513B5839">
            <wp:extent cx="5472430" cy="2334260"/>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5472430" cy="2334260"/>
                    </a:xfrm>
                    <a:prstGeom prst="rect">
                      <a:avLst/>
                    </a:prstGeom>
                    <a:noFill/>
                    <a:ln>
                      <a:noFill/>
                    </a:ln>
                  </pic:spPr>
                </pic:pic>
              </a:graphicData>
            </a:graphic>
          </wp:inline>
        </w:drawing>
      </w:r>
    </w:p>
    <w:p w14:paraId="2F909E7D" w14:textId="123A6E8B" w:rsidR="003B6F2F" w:rsidRPr="0093295B" w:rsidRDefault="003B6F2F" w:rsidP="004F0323">
      <w:pPr>
        <w:pStyle w:val="CT-NOTE"/>
        <w:keepLines/>
        <w:rPr>
          <w:noProof/>
        </w:rPr>
      </w:pPr>
      <w:r>
        <w:rPr>
          <w:noProof/>
        </w:rPr>
        <w:t xml:space="preserve">Note: </w:t>
      </w:r>
      <w:r w:rsidR="002F0C21">
        <w:rPr>
          <w:noProof/>
        </w:rPr>
        <w:t>Energy purchases include carbon revenues.</w:t>
      </w:r>
      <w:r>
        <w:rPr>
          <w:noProof/>
        </w:rPr>
        <w:t xml:space="preserve"> </w:t>
      </w:r>
    </w:p>
    <w:p w14:paraId="34805CCA" w14:textId="7937E52B" w:rsidR="008640DF" w:rsidRDefault="008640DF" w:rsidP="004F0323">
      <w:pPr>
        <w:pStyle w:val="CT-SOURCE"/>
        <w:keepLines/>
        <w:rPr>
          <w:noProof/>
        </w:rPr>
      </w:pPr>
      <w:r w:rsidRPr="008640DF">
        <w:rPr>
          <w:noProof/>
        </w:rPr>
        <w:t>Source: PRIMES</w:t>
      </w:r>
      <w:r w:rsidR="00F60C11">
        <w:rPr>
          <w:noProof/>
        </w:rPr>
        <w:t>.</w:t>
      </w:r>
    </w:p>
    <w:p w14:paraId="5B5DB2C9" w14:textId="77777777" w:rsidR="00170A3C" w:rsidRPr="00170A3C" w:rsidRDefault="005E1D73" w:rsidP="00DF58FA">
      <w:pPr>
        <w:rPr>
          <w:noProof/>
        </w:rPr>
      </w:pPr>
      <w:r w:rsidRPr="00CB5AB6">
        <w:rPr>
          <w:noProof/>
        </w:rPr>
        <w:fldChar w:fldCharType="begin"/>
      </w:r>
      <w:r w:rsidRPr="00CB5AB6">
        <w:rPr>
          <w:noProof/>
        </w:rPr>
        <w:instrText xml:space="preserve"> REF _Ref146202475 \h </w:instrText>
      </w:r>
      <w:r w:rsidR="00A6215B" w:rsidRPr="00CB5AB6">
        <w:rPr>
          <w:noProof/>
        </w:rPr>
        <w:instrText xml:space="preserve"> \* MERGEFORMAT </w:instrText>
      </w:r>
      <w:r w:rsidRPr="00CB5AB6">
        <w:rPr>
          <w:noProof/>
        </w:rPr>
      </w:r>
      <w:r w:rsidRPr="00CB5AB6">
        <w:rPr>
          <w:noProof/>
        </w:rPr>
        <w:fldChar w:fldCharType="separate"/>
      </w:r>
    </w:p>
    <w:p w14:paraId="34A0A2C9" w14:textId="77777777" w:rsidR="00170A3C" w:rsidRDefault="00170A3C" w:rsidP="00A6215B">
      <w:pPr>
        <w:pStyle w:val="Caption"/>
        <w:keepLines/>
        <w:rPr>
          <w:noProof/>
        </w:rPr>
      </w:pPr>
    </w:p>
    <w:p w14:paraId="4B20ED44" w14:textId="200E6DB8" w:rsidR="00A6215B" w:rsidRPr="00CB5AB6" w:rsidRDefault="00170A3C" w:rsidP="00DF58FA">
      <w:pPr>
        <w:rPr>
          <w:b/>
          <w:noProof/>
        </w:rPr>
      </w:pPr>
      <w:r>
        <w:rPr>
          <w:noProof/>
        </w:rPr>
        <w:t>Table 36</w:t>
      </w:r>
      <w:r w:rsidR="005E1D73" w:rsidRPr="00CB5AB6">
        <w:rPr>
          <w:noProof/>
        </w:rPr>
        <w:fldChar w:fldCharType="end"/>
      </w:r>
      <w:r w:rsidR="00B87987" w:rsidRPr="00CB5AB6">
        <w:rPr>
          <w:noProof/>
        </w:rPr>
        <w:t xml:space="preserve"> shows the evolution of the average electricity prices for industry in 2040 and 2050. They remain fairly stable on the long run and </w:t>
      </w:r>
      <w:r w:rsidR="000767D1" w:rsidRPr="00CB5AB6">
        <w:rPr>
          <w:noProof/>
        </w:rPr>
        <w:t>are</w:t>
      </w:r>
      <w:r w:rsidR="00B87987" w:rsidRPr="00CB5AB6">
        <w:rPr>
          <w:noProof/>
        </w:rPr>
        <w:t xml:space="preserve"> similar across all scenarios, reflecting the evolution of the electricity production system costs that evolve towards lower operating costs and higher capital-related costs</w:t>
      </w:r>
      <w:r w:rsidR="00656D4C" w:rsidRPr="00CB5AB6">
        <w:rPr>
          <w:noProof/>
        </w:rPr>
        <w:t>. L</w:t>
      </w:r>
      <w:r w:rsidR="00B87987" w:rsidRPr="00CB5AB6">
        <w:rPr>
          <w:noProof/>
        </w:rPr>
        <w:t>ow</w:t>
      </w:r>
      <w:r w:rsidR="000767D1" w:rsidRPr="00CB5AB6">
        <w:rPr>
          <w:noProof/>
        </w:rPr>
        <w:t>-</w:t>
      </w:r>
      <w:r w:rsidR="00B87987" w:rsidRPr="00CB5AB6">
        <w:rPr>
          <w:noProof/>
        </w:rPr>
        <w:t>carbon capacities substitute CO</w:t>
      </w:r>
      <w:r w:rsidR="00B87987" w:rsidRPr="00CB5AB6">
        <w:rPr>
          <w:noProof/>
          <w:vertAlign w:val="subscript"/>
        </w:rPr>
        <w:t>2</w:t>
      </w:r>
      <w:r w:rsidR="00B87987" w:rsidRPr="00CB5AB6">
        <w:rPr>
          <w:noProof/>
        </w:rPr>
        <w:t>-emitting assets progressively driving the system to a more capital-based structure less exposed to fossil fuels prices.</w:t>
      </w:r>
      <w:bookmarkStart w:id="705" w:name="_Ref146202475"/>
    </w:p>
    <w:p w14:paraId="0B0EFAF2" w14:textId="208007F3" w:rsidR="00A6215B" w:rsidRDefault="00A6215B" w:rsidP="00A6215B">
      <w:pPr>
        <w:pStyle w:val="Caption"/>
        <w:keepLines/>
        <w:rPr>
          <w:noProof/>
        </w:rPr>
      </w:pPr>
    </w:p>
    <w:p w14:paraId="2C934AF1" w14:textId="4F87F5BF" w:rsidR="00772A08" w:rsidRDefault="00B87987" w:rsidP="00A6215B">
      <w:pPr>
        <w:pStyle w:val="Caption"/>
        <w:keepLines/>
        <w:rPr>
          <w:noProof/>
        </w:rPr>
      </w:pPr>
      <w:bookmarkStart w:id="706" w:name="_Toc157679919"/>
      <w:r>
        <w:rPr>
          <w:noProof/>
        </w:rPr>
        <w:t xml:space="preserve">Table </w:t>
      </w:r>
      <w:r>
        <w:rPr>
          <w:noProof/>
        </w:rPr>
        <w:fldChar w:fldCharType="begin"/>
      </w:r>
      <w:r>
        <w:rPr>
          <w:noProof/>
        </w:rPr>
        <w:instrText>SEQ Table \* ARABIC</w:instrText>
      </w:r>
      <w:r>
        <w:rPr>
          <w:noProof/>
        </w:rPr>
        <w:fldChar w:fldCharType="separate"/>
      </w:r>
      <w:r w:rsidR="00170A3C">
        <w:rPr>
          <w:noProof/>
        </w:rPr>
        <w:t>36</w:t>
      </w:r>
      <w:r>
        <w:rPr>
          <w:noProof/>
        </w:rPr>
        <w:fldChar w:fldCharType="end"/>
      </w:r>
      <w:bookmarkEnd w:id="705"/>
      <w:r w:rsidR="00772A08">
        <w:rPr>
          <w:noProof/>
        </w:rPr>
        <w:t xml:space="preserve">: </w:t>
      </w:r>
      <w:r w:rsidR="00182301">
        <w:rPr>
          <w:noProof/>
        </w:rPr>
        <w:t>Average final</w:t>
      </w:r>
      <w:r w:rsidR="00772A08">
        <w:rPr>
          <w:noProof/>
        </w:rPr>
        <w:t xml:space="preserve"> price </w:t>
      </w:r>
      <w:r w:rsidR="00182301">
        <w:rPr>
          <w:noProof/>
        </w:rPr>
        <w:t>of e</w:t>
      </w:r>
      <w:r w:rsidR="00772A08">
        <w:rPr>
          <w:noProof/>
        </w:rPr>
        <w:t xml:space="preserve">lectricity for </w:t>
      </w:r>
      <w:r w:rsidR="00914CE1">
        <w:rPr>
          <w:noProof/>
        </w:rPr>
        <w:t>industry</w:t>
      </w:r>
      <w:bookmarkEnd w:id="706"/>
    </w:p>
    <w:tbl>
      <w:tblPr>
        <w:tblStyle w:val="TableGridLight"/>
        <w:tblW w:w="7563" w:type="dxa"/>
        <w:jc w:val="center"/>
        <w:tblLook w:val="04A0" w:firstRow="1" w:lastRow="0" w:firstColumn="1" w:lastColumn="0" w:noHBand="0" w:noVBand="1"/>
      </w:tblPr>
      <w:tblGrid>
        <w:gridCol w:w="2042"/>
        <w:gridCol w:w="2185"/>
        <w:gridCol w:w="2185"/>
        <w:gridCol w:w="1151"/>
      </w:tblGrid>
      <w:tr w:rsidR="00772A08" w:rsidRPr="008C220A" w14:paraId="1494E1DB" w14:textId="197EEC76" w:rsidTr="003B3DAC">
        <w:trPr>
          <w:trHeight w:val="290"/>
          <w:jc w:val="center"/>
        </w:trPr>
        <w:tc>
          <w:tcPr>
            <w:tcW w:w="2042" w:type="dxa"/>
            <w:noWrap/>
            <w:hideMark/>
          </w:tcPr>
          <w:p w14:paraId="29AEDC17" w14:textId="0F3377A2" w:rsidR="00772A08" w:rsidRPr="004E01D1" w:rsidRDefault="00772A08" w:rsidP="007C002D">
            <w:pPr>
              <w:keepNext/>
              <w:spacing w:after="0"/>
              <w:jc w:val="left"/>
              <w:rPr>
                <w:b/>
                <w:bCs/>
                <w:noProof/>
                <w:sz w:val="20"/>
                <w:lang w:val="en-IE"/>
              </w:rPr>
            </w:pPr>
            <w:r w:rsidRPr="004E01D1">
              <w:rPr>
                <w:b/>
                <w:bCs/>
                <w:noProof/>
                <w:sz w:val="20"/>
                <w:lang w:val="en-IE"/>
              </w:rPr>
              <w:t>EUR</w:t>
            </w:r>
            <w:r w:rsidR="00A2274D">
              <w:rPr>
                <w:b/>
                <w:bCs/>
                <w:noProof/>
                <w:sz w:val="20"/>
                <w:lang w:val="en-IE"/>
              </w:rPr>
              <w:t>23</w:t>
            </w:r>
            <w:r w:rsidRPr="004E01D1">
              <w:rPr>
                <w:b/>
                <w:bCs/>
                <w:noProof/>
                <w:sz w:val="20"/>
                <w:lang w:val="en-IE"/>
              </w:rPr>
              <w:t>/MWh</w:t>
            </w:r>
          </w:p>
        </w:tc>
        <w:tc>
          <w:tcPr>
            <w:tcW w:w="2185" w:type="dxa"/>
          </w:tcPr>
          <w:p w14:paraId="3DDFB7D0" w14:textId="2AAB776A" w:rsidR="003B3DAC" w:rsidRDefault="003B3DAC" w:rsidP="007C002D">
            <w:pPr>
              <w:keepNext/>
              <w:spacing w:after="0"/>
              <w:jc w:val="center"/>
              <w:rPr>
                <w:rFonts w:ascii="Calibri" w:hAnsi="Calibri" w:cs="Calibri"/>
                <w:b/>
                <w:bCs/>
                <w:noProof/>
                <w:color w:val="000000"/>
                <w:sz w:val="20"/>
                <w:lang w:val="en-IE"/>
              </w:rPr>
            </w:pPr>
            <w:r>
              <w:rPr>
                <w:rFonts w:ascii="Calibri" w:hAnsi="Calibri" w:cs="Calibri"/>
                <w:b/>
                <w:bCs/>
                <w:noProof/>
                <w:color w:val="000000"/>
                <w:sz w:val="20"/>
                <w:lang w:val="en-IE"/>
              </w:rPr>
              <w:t>2030</w:t>
            </w:r>
          </w:p>
        </w:tc>
        <w:tc>
          <w:tcPr>
            <w:tcW w:w="2185" w:type="dxa"/>
            <w:noWrap/>
            <w:hideMark/>
          </w:tcPr>
          <w:p w14:paraId="343E1E58" w14:textId="17CE6FF0" w:rsidR="00772A08" w:rsidRPr="004E01D1" w:rsidRDefault="00772A08" w:rsidP="007C002D">
            <w:pPr>
              <w:keepNext/>
              <w:spacing w:after="0"/>
              <w:jc w:val="center"/>
              <w:rPr>
                <w:rFonts w:ascii="Calibri" w:hAnsi="Calibri" w:cs="Calibri"/>
                <w:b/>
                <w:bCs/>
                <w:noProof/>
                <w:color w:val="000000"/>
                <w:sz w:val="20"/>
                <w:lang w:val="en-IE"/>
              </w:rPr>
            </w:pPr>
            <w:r w:rsidRPr="004E01D1">
              <w:rPr>
                <w:rFonts w:ascii="Calibri" w:hAnsi="Calibri" w:cs="Calibri"/>
                <w:b/>
                <w:bCs/>
                <w:noProof/>
                <w:color w:val="000000"/>
                <w:sz w:val="20"/>
                <w:lang w:val="en-IE"/>
              </w:rPr>
              <w:t>2040</w:t>
            </w:r>
          </w:p>
        </w:tc>
        <w:tc>
          <w:tcPr>
            <w:tcW w:w="1151" w:type="dxa"/>
            <w:noWrap/>
            <w:hideMark/>
          </w:tcPr>
          <w:p w14:paraId="4E1EF474" w14:textId="234B4410" w:rsidR="00772A08" w:rsidRPr="004E01D1" w:rsidRDefault="00772A08" w:rsidP="007C002D">
            <w:pPr>
              <w:keepNext/>
              <w:spacing w:after="0"/>
              <w:jc w:val="center"/>
              <w:rPr>
                <w:rFonts w:ascii="Calibri" w:hAnsi="Calibri" w:cs="Calibri"/>
                <w:b/>
                <w:bCs/>
                <w:noProof/>
                <w:color w:val="000000"/>
                <w:sz w:val="20"/>
                <w:lang w:val="en-IE"/>
              </w:rPr>
            </w:pPr>
            <w:r w:rsidRPr="004E01D1">
              <w:rPr>
                <w:rFonts w:ascii="Calibri" w:hAnsi="Calibri" w:cs="Calibri"/>
                <w:b/>
                <w:bCs/>
                <w:noProof/>
                <w:color w:val="000000"/>
                <w:sz w:val="20"/>
                <w:lang w:val="en-IE"/>
              </w:rPr>
              <w:t>2050</w:t>
            </w:r>
          </w:p>
        </w:tc>
      </w:tr>
      <w:tr w:rsidR="00772A08" w:rsidRPr="008C220A" w14:paraId="7E922FD6" w14:textId="7DB3EF39" w:rsidTr="003B3DAC">
        <w:trPr>
          <w:trHeight w:val="290"/>
          <w:jc w:val="center"/>
        </w:trPr>
        <w:tc>
          <w:tcPr>
            <w:tcW w:w="2042" w:type="dxa"/>
            <w:noWrap/>
            <w:hideMark/>
          </w:tcPr>
          <w:p w14:paraId="2EA94EA0" w14:textId="35422BC2" w:rsidR="00772A08" w:rsidRPr="004E01D1" w:rsidRDefault="00772A08" w:rsidP="007C002D">
            <w:pPr>
              <w:keepNext/>
              <w:spacing w:after="0"/>
              <w:jc w:val="center"/>
              <w:rPr>
                <w:rFonts w:ascii="Calibri" w:hAnsi="Calibri" w:cs="Calibri"/>
                <w:b/>
                <w:bCs/>
                <w:noProof/>
                <w:color w:val="000000"/>
                <w:sz w:val="20"/>
                <w:lang w:val="en-IE"/>
              </w:rPr>
            </w:pPr>
          </w:p>
        </w:tc>
        <w:tc>
          <w:tcPr>
            <w:tcW w:w="2185" w:type="dxa"/>
          </w:tcPr>
          <w:p w14:paraId="6661C608" w14:textId="7910A79C" w:rsidR="003B3DAC" w:rsidRDefault="003B3DAC" w:rsidP="007C002D">
            <w:pPr>
              <w:keepNext/>
              <w:spacing w:after="0"/>
              <w:jc w:val="center"/>
              <w:rPr>
                <w:rFonts w:ascii="Calibri" w:hAnsi="Calibri" w:cs="Calibri"/>
                <w:b/>
                <w:bCs/>
                <w:noProof/>
                <w:color w:val="000000"/>
                <w:sz w:val="20"/>
                <w:lang w:val="en-IE"/>
              </w:rPr>
            </w:pPr>
            <w:r>
              <w:rPr>
                <w:rFonts w:ascii="Calibri" w:hAnsi="Calibri" w:cs="Calibri"/>
                <w:b/>
                <w:bCs/>
                <w:noProof/>
                <w:color w:val="000000"/>
                <w:sz w:val="20"/>
                <w:lang w:val="en-IE"/>
              </w:rPr>
              <w:t>S1, S2, S3</w:t>
            </w:r>
            <w:r w:rsidR="00810B6F">
              <w:rPr>
                <w:rFonts w:ascii="Calibri" w:hAnsi="Calibri" w:cs="Calibri"/>
                <w:b/>
                <w:bCs/>
                <w:noProof/>
                <w:color w:val="000000"/>
                <w:sz w:val="20"/>
                <w:lang w:val="en-IE"/>
              </w:rPr>
              <w:t>, LIFE</w:t>
            </w:r>
          </w:p>
        </w:tc>
        <w:tc>
          <w:tcPr>
            <w:tcW w:w="2185" w:type="dxa"/>
            <w:noWrap/>
            <w:hideMark/>
          </w:tcPr>
          <w:p w14:paraId="303A0F37" w14:textId="512E54AC" w:rsidR="00772A08" w:rsidRPr="004E01D1" w:rsidRDefault="00772A08" w:rsidP="007C002D">
            <w:pPr>
              <w:keepNext/>
              <w:spacing w:after="0"/>
              <w:jc w:val="center"/>
              <w:rPr>
                <w:rFonts w:ascii="Calibri" w:hAnsi="Calibri" w:cs="Calibri"/>
                <w:b/>
                <w:bCs/>
                <w:noProof/>
                <w:color w:val="000000"/>
                <w:sz w:val="20"/>
                <w:lang w:val="en-IE"/>
              </w:rPr>
            </w:pPr>
            <w:r w:rsidRPr="004E01D1">
              <w:rPr>
                <w:rFonts w:ascii="Calibri" w:hAnsi="Calibri" w:cs="Calibri"/>
                <w:b/>
                <w:bCs/>
                <w:noProof/>
                <w:color w:val="000000"/>
                <w:sz w:val="20"/>
                <w:lang w:val="en-IE"/>
              </w:rPr>
              <w:t>S1, S2, S3, LIFE</w:t>
            </w:r>
          </w:p>
        </w:tc>
        <w:tc>
          <w:tcPr>
            <w:tcW w:w="1151" w:type="dxa"/>
            <w:noWrap/>
            <w:hideMark/>
          </w:tcPr>
          <w:p w14:paraId="3E668892" w14:textId="514275F4" w:rsidR="00772A08" w:rsidRPr="004E01D1" w:rsidRDefault="00772A08" w:rsidP="007C002D">
            <w:pPr>
              <w:keepNext/>
              <w:spacing w:after="0"/>
              <w:jc w:val="center"/>
              <w:rPr>
                <w:rFonts w:ascii="Calibri" w:hAnsi="Calibri" w:cs="Calibri"/>
                <w:b/>
                <w:bCs/>
                <w:noProof/>
                <w:color w:val="000000"/>
                <w:sz w:val="20"/>
                <w:lang w:val="en-IE"/>
              </w:rPr>
            </w:pPr>
            <w:r w:rsidRPr="004E01D1">
              <w:rPr>
                <w:rFonts w:ascii="Calibri" w:hAnsi="Calibri" w:cs="Calibri"/>
                <w:b/>
                <w:bCs/>
                <w:noProof/>
                <w:color w:val="000000"/>
                <w:sz w:val="20"/>
                <w:lang w:val="en-IE"/>
              </w:rPr>
              <w:t>(S2)</w:t>
            </w:r>
          </w:p>
        </w:tc>
      </w:tr>
      <w:tr w:rsidR="00772A08" w:rsidRPr="008C220A" w14:paraId="0F43441F" w14:textId="1C20CB0C" w:rsidTr="003B3DAC">
        <w:trPr>
          <w:trHeight w:val="290"/>
          <w:jc w:val="center"/>
        </w:trPr>
        <w:tc>
          <w:tcPr>
            <w:tcW w:w="2042" w:type="dxa"/>
            <w:noWrap/>
            <w:hideMark/>
          </w:tcPr>
          <w:p w14:paraId="49422D09" w14:textId="7E77EDFA" w:rsidR="00772A08" w:rsidRPr="003850ED" w:rsidRDefault="00772A08" w:rsidP="007C002D">
            <w:pPr>
              <w:keepNext/>
              <w:spacing w:after="0"/>
              <w:jc w:val="left"/>
              <w:rPr>
                <w:rFonts w:ascii="Calibri" w:hAnsi="Calibri" w:cs="Calibri"/>
                <w:noProof/>
                <w:color w:val="000000"/>
                <w:sz w:val="20"/>
                <w:lang w:val="en-IE"/>
              </w:rPr>
            </w:pPr>
            <w:r w:rsidRPr="003850ED">
              <w:rPr>
                <w:rFonts w:ascii="Calibri" w:hAnsi="Calibri" w:cs="Calibri"/>
                <w:noProof/>
                <w:color w:val="000000"/>
                <w:sz w:val="20"/>
                <w:lang w:val="en-IE"/>
              </w:rPr>
              <w:t>Industry</w:t>
            </w:r>
          </w:p>
        </w:tc>
        <w:tc>
          <w:tcPr>
            <w:tcW w:w="2185" w:type="dxa"/>
          </w:tcPr>
          <w:p w14:paraId="117DC1E8" w14:textId="2442FB83" w:rsidR="00810B6F" w:rsidRDefault="00810B6F" w:rsidP="007C002D">
            <w:pPr>
              <w:keepNext/>
              <w:spacing w:after="0"/>
              <w:jc w:val="center"/>
              <w:rPr>
                <w:rFonts w:ascii="Calibri" w:hAnsi="Calibri" w:cs="Calibri"/>
                <w:noProof/>
                <w:color w:val="000000"/>
                <w:sz w:val="20"/>
                <w:lang w:val="en-IE"/>
              </w:rPr>
            </w:pPr>
            <w:r>
              <w:rPr>
                <w:rFonts w:ascii="Calibri" w:hAnsi="Calibri" w:cs="Calibri"/>
                <w:noProof/>
                <w:color w:val="000000"/>
                <w:sz w:val="20"/>
                <w:lang w:val="en-IE"/>
              </w:rPr>
              <w:t>133</w:t>
            </w:r>
          </w:p>
        </w:tc>
        <w:tc>
          <w:tcPr>
            <w:tcW w:w="2185" w:type="dxa"/>
            <w:noWrap/>
            <w:hideMark/>
          </w:tcPr>
          <w:p w14:paraId="0AC69BB2" w14:textId="1ED0A0F3" w:rsidR="00772A08" w:rsidRPr="003850ED" w:rsidRDefault="00772A08" w:rsidP="007C002D">
            <w:pPr>
              <w:keepNext/>
              <w:spacing w:after="0"/>
              <w:jc w:val="center"/>
              <w:rPr>
                <w:rFonts w:ascii="Calibri" w:hAnsi="Calibri" w:cs="Calibri"/>
                <w:noProof/>
                <w:color w:val="000000"/>
                <w:sz w:val="20"/>
                <w:lang w:val="en-IE"/>
              </w:rPr>
            </w:pPr>
            <w:r w:rsidRPr="003850ED">
              <w:rPr>
                <w:rFonts w:ascii="Calibri" w:hAnsi="Calibri" w:cs="Calibri"/>
                <w:noProof/>
                <w:color w:val="000000"/>
                <w:sz w:val="20"/>
                <w:lang w:val="en-IE"/>
              </w:rPr>
              <w:t>1</w:t>
            </w:r>
            <w:r w:rsidR="00A2274D">
              <w:rPr>
                <w:rFonts w:ascii="Calibri" w:hAnsi="Calibri" w:cs="Calibri"/>
                <w:noProof/>
                <w:color w:val="000000"/>
                <w:sz w:val="20"/>
                <w:lang w:val="en-IE"/>
              </w:rPr>
              <w:t>30</w:t>
            </w:r>
            <w:r w:rsidR="006C2DB7">
              <w:rPr>
                <w:rFonts w:ascii="Calibri" w:hAnsi="Calibri" w:cs="Calibri"/>
                <w:noProof/>
                <w:color w:val="000000"/>
                <w:sz w:val="20"/>
                <w:lang w:val="en-IE"/>
              </w:rPr>
              <w:t>-131</w:t>
            </w:r>
          </w:p>
        </w:tc>
        <w:tc>
          <w:tcPr>
            <w:tcW w:w="1151" w:type="dxa"/>
            <w:noWrap/>
            <w:hideMark/>
          </w:tcPr>
          <w:p w14:paraId="004FC4F3" w14:textId="0A7741B7" w:rsidR="00772A08" w:rsidRPr="003850ED" w:rsidRDefault="00772A08" w:rsidP="007C002D">
            <w:pPr>
              <w:keepNext/>
              <w:spacing w:after="0"/>
              <w:jc w:val="center"/>
              <w:rPr>
                <w:rFonts w:ascii="Calibri" w:hAnsi="Calibri" w:cs="Calibri"/>
                <w:noProof/>
                <w:color w:val="000000"/>
                <w:sz w:val="20"/>
                <w:lang w:val="en-IE"/>
              </w:rPr>
            </w:pPr>
            <w:r w:rsidRPr="003850ED">
              <w:rPr>
                <w:rFonts w:ascii="Calibri" w:hAnsi="Calibri" w:cs="Calibri"/>
                <w:noProof/>
                <w:color w:val="000000"/>
                <w:sz w:val="20"/>
                <w:lang w:val="en-IE"/>
              </w:rPr>
              <w:t>1</w:t>
            </w:r>
            <w:r w:rsidR="00A2274D">
              <w:rPr>
                <w:rFonts w:ascii="Calibri" w:hAnsi="Calibri" w:cs="Calibri"/>
                <w:noProof/>
                <w:color w:val="000000"/>
                <w:sz w:val="20"/>
                <w:lang w:val="en-IE"/>
              </w:rPr>
              <w:t>31</w:t>
            </w:r>
          </w:p>
        </w:tc>
      </w:tr>
    </w:tbl>
    <w:p w14:paraId="7C2D7D0F" w14:textId="12FD39AF" w:rsidR="00772A08" w:rsidRDefault="00772A08" w:rsidP="00772A08">
      <w:pPr>
        <w:pStyle w:val="CT-NOTE"/>
        <w:rPr>
          <w:noProof/>
        </w:rPr>
      </w:pPr>
      <w:r>
        <w:rPr>
          <w:noProof/>
        </w:rPr>
        <w:t xml:space="preserve">Note: </w:t>
      </w:r>
      <w:r w:rsidRPr="00446093">
        <w:rPr>
          <w:noProof/>
        </w:rPr>
        <w:t>The electricity prices shown here reflect</w:t>
      </w:r>
      <w:r w:rsidR="004B5FDB">
        <w:rPr>
          <w:noProof/>
        </w:rPr>
        <w:t>s</w:t>
      </w:r>
      <w:r w:rsidRPr="00446093">
        <w:rPr>
          <w:noProof/>
        </w:rPr>
        <w:t xml:space="preserve"> the evolution of the average electricity production costs to supply </w:t>
      </w:r>
      <w:r w:rsidR="00C223D9">
        <w:rPr>
          <w:noProof/>
        </w:rPr>
        <w:t xml:space="preserve">industry </w:t>
      </w:r>
      <w:r w:rsidRPr="00446093">
        <w:rPr>
          <w:noProof/>
        </w:rPr>
        <w:t>(</w:t>
      </w:r>
      <w:r w:rsidR="00924F52" w:rsidRPr="00446093">
        <w:rPr>
          <w:noProof/>
        </w:rPr>
        <w:t>i.e.,</w:t>
      </w:r>
      <w:r w:rsidRPr="00446093">
        <w:rPr>
          <w:noProof/>
        </w:rPr>
        <w:t xml:space="preserve"> considering their load profile) as well as the taxes applied to the sector.</w:t>
      </w:r>
    </w:p>
    <w:p w14:paraId="78239D09" w14:textId="25837927" w:rsidR="00B40160" w:rsidRDefault="00B40160" w:rsidP="008640DF">
      <w:pPr>
        <w:pStyle w:val="CT-SOURCE"/>
        <w:rPr>
          <w:noProof/>
        </w:rPr>
      </w:pPr>
      <w:r>
        <w:rPr>
          <w:noProof/>
        </w:rPr>
        <w:t>Source: PRIMES.</w:t>
      </w:r>
    </w:p>
    <w:p w14:paraId="1D2B1F07" w14:textId="450CEF93" w:rsidR="00CB7EA3" w:rsidRDefault="00CB7EA3" w:rsidP="00CB7EA3">
      <w:pPr>
        <w:pStyle w:val="Caption"/>
        <w:rPr>
          <w:bCs/>
          <w:noProof/>
          <w:sz w:val="23"/>
          <w:szCs w:val="23"/>
        </w:rPr>
      </w:pPr>
      <w:bookmarkStart w:id="707" w:name="_Ref146192038"/>
      <w:bookmarkStart w:id="708" w:name="_Toc157679861"/>
      <w:r>
        <w:rPr>
          <w:noProof/>
        </w:rPr>
        <w:t xml:space="preserve">Figure </w:t>
      </w:r>
      <w:r>
        <w:rPr>
          <w:noProof/>
        </w:rPr>
        <w:fldChar w:fldCharType="begin"/>
      </w:r>
      <w:r>
        <w:rPr>
          <w:noProof/>
        </w:rPr>
        <w:instrText>SEQ Figure \* ARABIC</w:instrText>
      </w:r>
      <w:r>
        <w:rPr>
          <w:noProof/>
        </w:rPr>
        <w:fldChar w:fldCharType="separate"/>
      </w:r>
      <w:r w:rsidR="00170A3C">
        <w:rPr>
          <w:noProof/>
        </w:rPr>
        <w:t>113</w:t>
      </w:r>
      <w:r>
        <w:rPr>
          <w:noProof/>
        </w:rPr>
        <w:fldChar w:fldCharType="end"/>
      </w:r>
      <w:bookmarkEnd w:id="707"/>
      <w:r w:rsidRPr="0049166B">
        <w:rPr>
          <w:bCs/>
          <w:noProof/>
          <w:sz w:val="23"/>
          <w:szCs w:val="23"/>
        </w:rPr>
        <w:t xml:space="preserve">: </w:t>
      </w:r>
      <w:r w:rsidR="00703CBA">
        <w:rPr>
          <w:bCs/>
          <w:noProof/>
          <w:sz w:val="23"/>
          <w:szCs w:val="23"/>
        </w:rPr>
        <w:t>Consumption of electricity by</w:t>
      </w:r>
      <w:r w:rsidRPr="0049166B">
        <w:rPr>
          <w:bCs/>
          <w:noProof/>
          <w:sz w:val="23"/>
          <w:szCs w:val="23"/>
        </w:rPr>
        <w:t xml:space="preserve"> industry</w:t>
      </w:r>
      <w:bookmarkEnd w:id="708"/>
    </w:p>
    <w:p w14:paraId="778B85C6" w14:textId="089E6726" w:rsidR="00B87987" w:rsidRDefault="00A94007" w:rsidP="00EF23BC">
      <w:pPr>
        <w:keepNext/>
        <w:rPr>
          <w:noProof/>
        </w:rPr>
      </w:pPr>
      <w:r w:rsidRPr="00A94007">
        <w:rPr>
          <w:noProof/>
          <w:lang w:eastAsia="en-GB"/>
        </w:rPr>
        <w:drawing>
          <wp:inline distT="0" distB="0" distL="0" distR="0" wp14:anchorId="5C485BA2" wp14:editId="0D4B395F">
            <wp:extent cx="5410200" cy="2524125"/>
            <wp:effectExtent l="0" t="0" r="0" b="9525"/>
            <wp:docPr id="1506651230" name="Picture 150665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5410200" cy="2524125"/>
                    </a:xfrm>
                    <a:prstGeom prst="rect">
                      <a:avLst/>
                    </a:prstGeom>
                    <a:noFill/>
                    <a:ln>
                      <a:noFill/>
                    </a:ln>
                  </pic:spPr>
                </pic:pic>
              </a:graphicData>
            </a:graphic>
          </wp:inline>
        </w:drawing>
      </w:r>
    </w:p>
    <w:p w14:paraId="34CC31DC" w14:textId="3DEB8C46" w:rsidR="006D320E" w:rsidRDefault="00365802" w:rsidP="008640DF">
      <w:pPr>
        <w:pStyle w:val="CT-SOURCE"/>
        <w:rPr>
          <w:noProof/>
        </w:rPr>
      </w:pPr>
      <w:r w:rsidRPr="005B7EE6">
        <w:rPr>
          <w:noProof/>
        </w:rPr>
        <w:t>Source: PRIMES.</w:t>
      </w:r>
    </w:p>
    <w:p w14:paraId="17CC0B60" w14:textId="3D2A370F" w:rsidR="008320D0" w:rsidRDefault="00B87987" w:rsidP="008320D0">
      <w:pPr>
        <w:rPr>
          <w:noProof/>
        </w:rPr>
      </w:pPr>
      <w:r>
        <w:rPr>
          <w:noProof/>
        </w:rPr>
        <w:fldChar w:fldCharType="begin"/>
      </w:r>
      <w:r>
        <w:rPr>
          <w:noProof/>
        </w:rPr>
        <w:instrText xml:space="preserve"> REF _Ref146192038 \h </w:instrText>
      </w:r>
      <w:r>
        <w:rPr>
          <w:noProof/>
        </w:rPr>
      </w:r>
      <w:r>
        <w:rPr>
          <w:noProof/>
        </w:rPr>
        <w:fldChar w:fldCharType="separate"/>
      </w:r>
      <w:r w:rsidR="00170A3C">
        <w:rPr>
          <w:noProof/>
        </w:rPr>
        <w:t>Figure 113</w:t>
      </w:r>
      <w:r>
        <w:rPr>
          <w:noProof/>
        </w:rPr>
        <w:fldChar w:fldCharType="end"/>
      </w:r>
      <w:r w:rsidR="00703CBA">
        <w:rPr>
          <w:noProof/>
        </w:rPr>
        <w:t xml:space="preserve"> </w:t>
      </w:r>
      <w:r w:rsidR="00E466D0">
        <w:rPr>
          <w:noProof/>
        </w:rPr>
        <w:t>S</w:t>
      </w:r>
      <w:r w:rsidR="00703CBA">
        <w:rPr>
          <w:noProof/>
        </w:rPr>
        <w:t xml:space="preserve">hows also </w:t>
      </w:r>
      <w:r w:rsidR="00703CBA" w:rsidRPr="008320D0">
        <w:rPr>
          <w:noProof/>
        </w:rPr>
        <w:t xml:space="preserve">that electrification is delayed in the scenario S1 and has to accelerate significantly in 2040-2045 to catch up with the needed level by 2050. </w:t>
      </w:r>
      <w:r w:rsidR="008320D0" w:rsidRPr="008320D0">
        <w:rPr>
          <w:noProof/>
        </w:rPr>
        <w:t>In scenario S1, the necessary increase of almost 20 Mtoe of electricity consumption by industry in only 5 years between 2040 and 2045 will put the system under pressure and will make it vulnerable to any possible delay in the deployment of some technologies such as renewables or storage.</w:t>
      </w:r>
    </w:p>
    <w:p w14:paraId="19B40538" w14:textId="080724EC" w:rsidR="008320D0" w:rsidRDefault="008320D0" w:rsidP="008320D0">
      <w:pPr>
        <w:pStyle w:val="Caption"/>
        <w:rPr>
          <w:bCs/>
          <w:noProof/>
          <w:sz w:val="23"/>
          <w:szCs w:val="23"/>
        </w:rPr>
      </w:pPr>
      <w:bookmarkStart w:id="709" w:name="_Ref146192071"/>
      <w:bookmarkStart w:id="710" w:name="_Toc157679862"/>
      <w:r>
        <w:rPr>
          <w:noProof/>
        </w:rPr>
        <w:t xml:space="preserve">Figure </w:t>
      </w:r>
      <w:r>
        <w:rPr>
          <w:noProof/>
        </w:rPr>
        <w:fldChar w:fldCharType="begin"/>
      </w:r>
      <w:r>
        <w:rPr>
          <w:noProof/>
        </w:rPr>
        <w:instrText>SEQ Figure \* ARABIC</w:instrText>
      </w:r>
      <w:r>
        <w:rPr>
          <w:noProof/>
        </w:rPr>
        <w:fldChar w:fldCharType="separate"/>
      </w:r>
      <w:r w:rsidR="00170A3C">
        <w:rPr>
          <w:noProof/>
        </w:rPr>
        <w:t>114</w:t>
      </w:r>
      <w:r>
        <w:rPr>
          <w:noProof/>
        </w:rPr>
        <w:fldChar w:fldCharType="end"/>
      </w:r>
      <w:bookmarkEnd w:id="709"/>
      <w:r>
        <w:rPr>
          <w:bCs/>
          <w:noProof/>
          <w:sz w:val="23"/>
          <w:szCs w:val="23"/>
        </w:rPr>
        <w:t>: Consumption of gas by industry</w:t>
      </w:r>
      <w:bookmarkEnd w:id="710"/>
    </w:p>
    <w:p w14:paraId="37ED0912" w14:textId="002E97B3" w:rsidR="00B87987" w:rsidRPr="008320D0" w:rsidRDefault="009142C5" w:rsidP="00B87987">
      <w:pPr>
        <w:keepNext/>
        <w:rPr>
          <w:noProof/>
        </w:rPr>
      </w:pPr>
      <w:r w:rsidRPr="009142C5">
        <w:rPr>
          <w:noProof/>
          <w:lang w:eastAsia="en-GB"/>
        </w:rPr>
        <w:drawing>
          <wp:inline distT="0" distB="0" distL="0" distR="0" wp14:anchorId="0DDB05D2" wp14:editId="72753272">
            <wp:extent cx="5410200" cy="2524125"/>
            <wp:effectExtent l="0" t="0" r="0" b="9525"/>
            <wp:docPr id="1506651226" name="Picture 150665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5410200" cy="2524125"/>
                    </a:xfrm>
                    <a:prstGeom prst="rect">
                      <a:avLst/>
                    </a:prstGeom>
                    <a:noFill/>
                    <a:ln>
                      <a:noFill/>
                    </a:ln>
                  </pic:spPr>
                </pic:pic>
              </a:graphicData>
            </a:graphic>
          </wp:inline>
        </w:drawing>
      </w:r>
    </w:p>
    <w:p w14:paraId="0EB1B01A" w14:textId="06674675" w:rsidR="00801740" w:rsidRDefault="00801740" w:rsidP="008640DF">
      <w:pPr>
        <w:pStyle w:val="CT-SOURCE"/>
        <w:rPr>
          <w:noProof/>
        </w:rPr>
      </w:pPr>
      <w:r>
        <w:rPr>
          <w:noProof/>
        </w:rPr>
        <w:t>Source: PRIMES.</w:t>
      </w:r>
    </w:p>
    <w:p w14:paraId="5F331D6F" w14:textId="6DD97365" w:rsidR="00B87987" w:rsidRDefault="00B87987" w:rsidP="00B87987">
      <w:pPr>
        <w:rPr>
          <w:noProof/>
        </w:rPr>
      </w:pPr>
      <w:r w:rsidRPr="00A1051C">
        <w:rPr>
          <w:noProof/>
        </w:rPr>
        <w:fldChar w:fldCharType="begin"/>
      </w:r>
      <w:r w:rsidRPr="00177FA7">
        <w:rPr>
          <w:noProof/>
          <w:highlight w:val="yellow"/>
        </w:rPr>
        <w:instrText xml:space="preserve"> REF _Ref146192071 \h </w:instrText>
      </w:r>
      <w:r w:rsidR="00177FA7">
        <w:rPr>
          <w:noProof/>
          <w:highlight w:val="yellow"/>
        </w:rPr>
        <w:instrText xml:space="preserve"> \* MERGEFORMAT </w:instrText>
      </w:r>
      <w:r w:rsidRPr="00A1051C">
        <w:rPr>
          <w:noProof/>
        </w:rPr>
      </w:r>
      <w:r w:rsidRPr="00A1051C">
        <w:rPr>
          <w:noProof/>
        </w:rPr>
        <w:fldChar w:fldCharType="separate"/>
      </w:r>
      <w:r w:rsidR="00170A3C">
        <w:rPr>
          <w:noProof/>
        </w:rPr>
        <w:t>Figure 114</w:t>
      </w:r>
      <w:r w:rsidRPr="00A1051C">
        <w:rPr>
          <w:noProof/>
        </w:rPr>
        <w:fldChar w:fldCharType="end"/>
      </w:r>
      <w:r>
        <w:rPr>
          <w:noProof/>
        </w:rPr>
        <w:t xml:space="preserve"> </w:t>
      </w:r>
      <w:r w:rsidR="00E466D0">
        <w:rPr>
          <w:noProof/>
        </w:rPr>
        <w:t>S</w:t>
      </w:r>
      <w:r>
        <w:rPr>
          <w:noProof/>
        </w:rPr>
        <w:t xml:space="preserve">hows that the increase in electricity consumption is concomitant with a swift decrease of gas consumption in industry. This is possible thanks to the investments made by industry in energy equipment, both in energy efficiency and in switching from fossil fuels to electricity. The phase-out of gas is slower in S1 compared with the other scenarios due to the lower investments made in energy </w:t>
      </w:r>
      <w:r w:rsidR="00924F52">
        <w:rPr>
          <w:noProof/>
        </w:rPr>
        <w:t>equipment but</w:t>
      </w:r>
      <w:r>
        <w:rPr>
          <w:noProof/>
        </w:rPr>
        <w:t xml:space="preserve"> catches up with the other scenarios by 2045. </w:t>
      </w:r>
      <w:r w:rsidR="0032754D">
        <w:rPr>
          <w:noProof/>
        </w:rPr>
        <w:t xml:space="preserve">In all scenarios, gas consumption is reduced to around 10 Mtoe for all EU industry in 2050. </w:t>
      </w:r>
    </w:p>
    <w:p w14:paraId="4529CA80" w14:textId="00BD4BCB" w:rsidR="00A50DCD" w:rsidRPr="00F64FF4" w:rsidRDefault="00A50DCD" w:rsidP="00A50DCD">
      <w:pPr>
        <w:pStyle w:val="Heading3"/>
        <w:rPr>
          <w:noProof/>
        </w:rPr>
      </w:pPr>
      <w:bookmarkStart w:id="711" w:name="_Toc148605648"/>
      <w:bookmarkStart w:id="712" w:name="_Toc157692096"/>
      <w:r w:rsidRPr="00680783">
        <w:rPr>
          <w:noProof/>
        </w:rPr>
        <w:t xml:space="preserve">Energy system costs and prices </w:t>
      </w:r>
      <w:r>
        <w:rPr>
          <w:noProof/>
        </w:rPr>
        <w:t>for services</w:t>
      </w:r>
      <w:bookmarkEnd w:id="711"/>
      <w:bookmarkEnd w:id="712"/>
      <w:r w:rsidR="00C223D9">
        <w:rPr>
          <w:noProof/>
        </w:rPr>
        <w:t xml:space="preserve"> </w:t>
      </w:r>
    </w:p>
    <w:p w14:paraId="7B3F96BA" w14:textId="5EC11883" w:rsidR="00A50DCD" w:rsidRDefault="0077608E" w:rsidP="00801740">
      <w:pPr>
        <w:rPr>
          <w:noProof/>
        </w:rPr>
      </w:pPr>
      <w:r>
        <w:rPr>
          <w:noProof/>
        </w:rPr>
        <w:t xml:space="preserve">For </w:t>
      </w:r>
      <w:r w:rsidR="00C223D9">
        <w:rPr>
          <w:noProof/>
        </w:rPr>
        <w:t>services</w:t>
      </w:r>
      <w:r>
        <w:rPr>
          <w:noProof/>
        </w:rPr>
        <w:t xml:space="preserve">, </w:t>
      </w:r>
      <w:r w:rsidR="00D86BF0">
        <w:rPr>
          <w:noProof/>
        </w:rPr>
        <w:t xml:space="preserve">total energy system costs are </w:t>
      </w:r>
      <w:r w:rsidR="00B619A5">
        <w:rPr>
          <w:noProof/>
        </w:rPr>
        <w:t xml:space="preserve">0.5% lower in S1 and 0.5% higher respectively in S1 and S3 vs S2 </w:t>
      </w:r>
      <w:r w:rsidR="001E766B">
        <w:rPr>
          <w:noProof/>
        </w:rPr>
        <w:t>for the decade 2031-2040</w:t>
      </w:r>
      <w:r w:rsidR="002F1B7A">
        <w:rPr>
          <w:noProof/>
        </w:rPr>
        <w:t xml:space="preserve"> (</w:t>
      </w:r>
      <w:r w:rsidR="00350F8D">
        <w:rPr>
          <w:noProof/>
        </w:rPr>
        <w:fldChar w:fldCharType="begin"/>
      </w:r>
      <w:r w:rsidR="00350F8D">
        <w:rPr>
          <w:noProof/>
        </w:rPr>
        <w:instrText xml:space="preserve"> REF _Ref152944795 \h </w:instrText>
      </w:r>
      <w:r w:rsidR="00350F8D">
        <w:rPr>
          <w:noProof/>
        </w:rPr>
      </w:r>
      <w:r w:rsidR="00350F8D">
        <w:rPr>
          <w:noProof/>
        </w:rPr>
        <w:fldChar w:fldCharType="separate"/>
      </w:r>
      <w:r w:rsidR="00170A3C" w:rsidRPr="00DC5008">
        <w:rPr>
          <w:noProof/>
        </w:rPr>
        <w:t xml:space="preserve">Table </w:t>
      </w:r>
      <w:r w:rsidR="00170A3C">
        <w:rPr>
          <w:noProof/>
        </w:rPr>
        <w:t>34</w:t>
      </w:r>
      <w:r w:rsidR="00350F8D">
        <w:rPr>
          <w:noProof/>
        </w:rPr>
        <w:fldChar w:fldCharType="end"/>
      </w:r>
      <w:r w:rsidR="002F1B7A">
        <w:rPr>
          <w:noProof/>
        </w:rPr>
        <w:t>)</w:t>
      </w:r>
      <w:r w:rsidR="001E766B">
        <w:rPr>
          <w:noProof/>
        </w:rPr>
        <w:t xml:space="preserve">. </w:t>
      </w:r>
      <w:r w:rsidR="00C43AED">
        <w:rPr>
          <w:noProof/>
        </w:rPr>
        <w:t xml:space="preserve">On the contrary, for the following decade 2041-2050, energy system costs are </w:t>
      </w:r>
      <w:r w:rsidR="00D42E3C">
        <w:rPr>
          <w:noProof/>
        </w:rPr>
        <w:t xml:space="preserve">slightly higher in S1 (+0.2%) </w:t>
      </w:r>
      <w:r w:rsidR="006D40C1">
        <w:rPr>
          <w:noProof/>
        </w:rPr>
        <w:t xml:space="preserve">and </w:t>
      </w:r>
      <w:r w:rsidR="00C43AED">
        <w:rPr>
          <w:noProof/>
        </w:rPr>
        <w:t>lower</w:t>
      </w:r>
      <w:r w:rsidR="006D40C1">
        <w:rPr>
          <w:noProof/>
        </w:rPr>
        <w:t xml:space="preserve"> in S3 (-0.3%) compared with</w:t>
      </w:r>
      <w:r w:rsidR="00C43AED">
        <w:rPr>
          <w:noProof/>
        </w:rPr>
        <w:t xml:space="preserve"> </w:t>
      </w:r>
      <w:r w:rsidR="00A67552">
        <w:rPr>
          <w:noProof/>
        </w:rPr>
        <w:t>S2</w:t>
      </w:r>
      <w:r w:rsidR="003B6A4F">
        <w:rPr>
          <w:noProof/>
        </w:rPr>
        <w:t xml:space="preserve">. This illustrates that more ambitious scenarios lead to lower system costs for services. </w:t>
      </w:r>
      <w:r w:rsidR="00C459D4">
        <w:rPr>
          <w:noProof/>
        </w:rPr>
        <w:t>LIFE</w:t>
      </w:r>
      <w:r w:rsidR="003B6A4F">
        <w:rPr>
          <w:noProof/>
        </w:rPr>
        <w:t xml:space="preserve"> shows even lower cost</w:t>
      </w:r>
      <w:r w:rsidR="00850C53">
        <w:rPr>
          <w:noProof/>
        </w:rPr>
        <w:t>, 2.</w:t>
      </w:r>
      <w:r w:rsidR="00BB0692">
        <w:rPr>
          <w:noProof/>
        </w:rPr>
        <w:t>7</w:t>
      </w:r>
      <w:r w:rsidR="00850C53">
        <w:rPr>
          <w:noProof/>
        </w:rPr>
        <w:t>% less than in the S</w:t>
      </w:r>
      <w:r w:rsidR="00BB0692">
        <w:rPr>
          <w:noProof/>
        </w:rPr>
        <w:t>3</w:t>
      </w:r>
      <w:r w:rsidR="00850C53">
        <w:rPr>
          <w:noProof/>
        </w:rPr>
        <w:t xml:space="preserve"> scenario</w:t>
      </w:r>
      <w:r w:rsidR="002F1B7A">
        <w:rPr>
          <w:noProof/>
        </w:rPr>
        <w:t xml:space="preserve"> in 2041-2050</w:t>
      </w:r>
      <w:r w:rsidR="00850C53">
        <w:rPr>
          <w:noProof/>
        </w:rPr>
        <w:t xml:space="preserve">. </w:t>
      </w:r>
    </w:p>
    <w:p w14:paraId="59DA12BC" w14:textId="52692CE1" w:rsidR="00850C53" w:rsidRDefault="00C223D9" w:rsidP="00801740">
      <w:pPr>
        <w:rPr>
          <w:noProof/>
        </w:rPr>
      </w:pPr>
      <w:r w:rsidRPr="00564674">
        <w:rPr>
          <w:noProof/>
        </w:rPr>
        <w:t xml:space="preserve">Increases in the capital-related cost in 2031-2040 are mostly related to investments to renovate buildings, with stronger energy efficiency related renovation effort in S3 (up to </w:t>
      </w:r>
      <w:r w:rsidR="004246D5">
        <w:rPr>
          <w:noProof/>
        </w:rPr>
        <w:t>2.4</w:t>
      </w:r>
      <w:r w:rsidRPr="00564674">
        <w:rPr>
          <w:noProof/>
        </w:rPr>
        <w:t xml:space="preserve">% more) than in S2, and which results in lower energy purchases expenses. </w:t>
      </w:r>
      <w:r w:rsidR="00011C96" w:rsidRPr="00564674">
        <w:rPr>
          <w:noProof/>
        </w:rPr>
        <w:t>Indeed</w:t>
      </w:r>
      <w:r w:rsidR="005F4B33" w:rsidRPr="00564674">
        <w:rPr>
          <w:noProof/>
        </w:rPr>
        <w:t xml:space="preserve">, energy purchases are </w:t>
      </w:r>
      <w:r w:rsidR="00000276">
        <w:rPr>
          <w:noProof/>
        </w:rPr>
        <w:t>0.5</w:t>
      </w:r>
      <w:r w:rsidR="005F4B33" w:rsidRPr="00564674">
        <w:rPr>
          <w:noProof/>
        </w:rPr>
        <w:t>% lower in S3 compared with S</w:t>
      </w:r>
      <w:r w:rsidR="00000276">
        <w:rPr>
          <w:noProof/>
        </w:rPr>
        <w:t>2</w:t>
      </w:r>
      <w:r w:rsidR="005F4B33" w:rsidRPr="00564674">
        <w:rPr>
          <w:noProof/>
        </w:rPr>
        <w:t xml:space="preserve"> in 2031-2040.</w:t>
      </w:r>
      <w:r w:rsidR="005F4B33">
        <w:rPr>
          <w:noProof/>
        </w:rPr>
        <w:t xml:space="preserve"> </w:t>
      </w:r>
    </w:p>
    <w:p w14:paraId="653024F7" w14:textId="4A09A28D" w:rsidR="00C223D9" w:rsidRPr="00431056" w:rsidRDefault="00C223D9" w:rsidP="00801740">
      <w:pPr>
        <w:rPr>
          <w:noProof/>
          <w:lang w:val="en-IE"/>
        </w:rPr>
      </w:pPr>
      <w:r>
        <w:rPr>
          <w:noProof/>
        </w:rPr>
        <w:fldChar w:fldCharType="begin"/>
      </w:r>
      <w:r>
        <w:rPr>
          <w:noProof/>
        </w:rPr>
        <w:instrText xml:space="preserve"> REF _Ref147753792 \h </w:instrText>
      </w:r>
      <w:r>
        <w:rPr>
          <w:noProof/>
        </w:rPr>
      </w:r>
      <w:r>
        <w:rPr>
          <w:noProof/>
        </w:rPr>
        <w:fldChar w:fldCharType="separate"/>
      </w:r>
      <w:r w:rsidR="00170A3C">
        <w:rPr>
          <w:noProof/>
        </w:rPr>
        <w:t>Table 37</w:t>
      </w:r>
      <w:r>
        <w:rPr>
          <w:noProof/>
        </w:rPr>
        <w:fldChar w:fldCharType="end"/>
      </w:r>
      <w:r>
        <w:rPr>
          <w:noProof/>
        </w:rPr>
        <w:t xml:space="preserve"> shows the evolution of the average electricity prices for services in 2040 and 2050, which follow a similar trend as the prices for industry, remaining fairly stable on the long run and similar across all scenarios. </w:t>
      </w:r>
    </w:p>
    <w:p w14:paraId="78F664D9" w14:textId="6785F002" w:rsidR="00C223D9" w:rsidRDefault="00C223D9" w:rsidP="00C223D9">
      <w:pPr>
        <w:pStyle w:val="Caption"/>
        <w:rPr>
          <w:noProof/>
        </w:rPr>
      </w:pPr>
      <w:bookmarkStart w:id="713" w:name="_Ref147753792"/>
      <w:bookmarkStart w:id="714" w:name="_Ref147753790"/>
      <w:bookmarkStart w:id="715" w:name="_Toc157679920"/>
      <w:r>
        <w:rPr>
          <w:noProof/>
        </w:rPr>
        <w:t xml:space="preserve">Table </w:t>
      </w:r>
      <w:r>
        <w:rPr>
          <w:noProof/>
        </w:rPr>
        <w:fldChar w:fldCharType="begin"/>
      </w:r>
      <w:r>
        <w:rPr>
          <w:noProof/>
        </w:rPr>
        <w:instrText>SEQ Table \* ARABIC</w:instrText>
      </w:r>
      <w:r>
        <w:rPr>
          <w:noProof/>
        </w:rPr>
        <w:fldChar w:fldCharType="separate"/>
      </w:r>
      <w:r w:rsidR="00170A3C">
        <w:rPr>
          <w:noProof/>
        </w:rPr>
        <w:t>37</w:t>
      </w:r>
      <w:r>
        <w:rPr>
          <w:noProof/>
        </w:rPr>
        <w:fldChar w:fldCharType="end"/>
      </w:r>
      <w:bookmarkEnd w:id="713"/>
      <w:r>
        <w:rPr>
          <w:noProof/>
        </w:rPr>
        <w:t xml:space="preserve">: </w:t>
      </w:r>
      <w:r w:rsidR="002020E7">
        <w:rPr>
          <w:noProof/>
        </w:rPr>
        <w:t xml:space="preserve">Average </w:t>
      </w:r>
      <w:r w:rsidR="009C5DC1">
        <w:rPr>
          <w:noProof/>
        </w:rPr>
        <w:t>final</w:t>
      </w:r>
      <w:r>
        <w:rPr>
          <w:noProof/>
        </w:rPr>
        <w:t xml:space="preserve"> price </w:t>
      </w:r>
      <w:r w:rsidR="009C5DC1">
        <w:rPr>
          <w:noProof/>
        </w:rPr>
        <w:t>of e</w:t>
      </w:r>
      <w:r>
        <w:rPr>
          <w:noProof/>
        </w:rPr>
        <w:t>lectricity</w:t>
      </w:r>
      <w:r w:rsidR="009C5DC1">
        <w:rPr>
          <w:noProof/>
        </w:rPr>
        <w:t xml:space="preserve"> </w:t>
      </w:r>
      <w:r>
        <w:rPr>
          <w:noProof/>
        </w:rPr>
        <w:t>for services</w:t>
      </w:r>
      <w:bookmarkEnd w:id="714"/>
      <w:bookmarkEnd w:id="715"/>
    </w:p>
    <w:tbl>
      <w:tblPr>
        <w:tblStyle w:val="TableGridLight"/>
        <w:tblW w:w="7563" w:type="dxa"/>
        <w:jc w:val="center"/>
        <w:tblLook w:val="04A0" w:firstRow="1" w:lastRow="0" w:firstColumn="1" w:lastColumn="0" w:noHBand="0" w:noVBand="1"/>
      </w:tblPr>
      <w:tblGrid>
        <w:gridCol w:w="2042"/>
        <w:gridCol w:w="2185"/>
        <w:gridCol w:w="2185"/>
        <w:gridCol w:w="1151"/>
      </w:tblGrid>
      <w:tr w:rsidR="00C223D9" w:rsidRPr="008C220A" w14:paraId="453E85E7" w14:textId="620E5C49" w:rsidTr="006C2DB7">
        <w:trPr>
          <w:trHeight w:val="290"/>
          <w:jc w:val="center"/>
        </w:trPr>
        <w:tc>
          <w:tcPr>
            <w:tcW w:w="2042" w:type="dxa"/>
            <w:noWrap/>
            <w:hideMark/>
          </w:tcPr>
          <w:p w14:paraId="1F87C1E2" w14:textId="68ED49B2" w:rsidR="00C223D9" w:rsidRPr="004E01D1" w:rsidRDefault="00C223D9" w:rsidP="00011C96">
            <w:pPr>
              <w:keepNext/>
              <w:spacing w:after="0"/>
              <w:jc w:val="left"/>
              <w:rPr>
                <w:b/>
                <w:bCs/>
                <w:noProof/>
                <w:sz w:val="20"/>
                <w:lang w:val="en-IE"/>
              </w:rPr>
            </w:pPr>
            <w:r w:rsidRPr="004E01D1">
              <w:rPr>
                <w:b/>
                <w:bCs/>
                <w:noProof/>
                <w:sz w:val="20"/>
                <w:lang w:val="en-IE"/>
              </w:rPr>
              <w:t>EUR</w:t>
            </w:r>
            <w:r w:rsidR="00A2274D">
              <w:rPr>
                <w:b/>
                <w:bCs/>
                <w:noProof/>
                <w:sz w:val="20"/>
                <w:lang w:val="en-IE"/>
              </w:rPr>
              <w:t>23</w:t>
            </w:r>
            <w:r w:rsidRPr="004E01D1">
              <w:rPr>
                <w:b/>
                <w:bCs/>
                <w:noProof/>
                <w:sz w:val="20"/>
                <w:lang w:val="en-IE"/>
              </w:rPr>
              <w:t>/MWh</w:t>
            </w:r>
          </w:p>
        </w:tc>
        <w:tc>
          <w:tcPr>
            <w:tcW w:w="2185" w:type="dxa"/>
          </w:tcPr>
          <w:p w14:paraId="01238415" w14:textId="642D8500" w:rsidR="006C2DB7" w:rsidRDefault="006C2DB7" w:rsidP="00011C96">
            <w:pPr>
              <w:keepNext/>
              <w:spacing w:after="0"/>
              <w:jc w:val="center"/>
              <w:rPr>
                <w:rFonts w:ascii="Calibri" w:hAnsi="Calibri" w:cs="Calibri"/>
                <w:b/>
                <w:bCs/>
                <w:noProof/>
                <w:color w:val="000000"/>
                <w:sz w:val="20"/>
                <w:lang w:val="en-IE"/>
              </w:rPr>
            </w:pPr>
            <w:r>
              <w:rPr>
                <w:rFonts w:ascii="Calibri" w:hAnsi="Calibri" w:cs="Calibri"/>
                <w:b/>
                <w:bCs/>
                <w:noProof/>
                <w:color w:val="000000"/>
                <w:sz w:val="20"/>
                <w:lang w:val="en-IE"/>
              </w:rPr>
              <w:t>2030</w:t>
            </w:r>
          </w:p>
        </w:tc>
        <w:tc>
          <w:tcPr>
            <w:tcW w:w="2185" w:type="dxa"/>
            <w:noWrap/>
            <w:hideMark/>
          </w:tcPr>
          <w:p w14:paraId="3625C80E" w14:textId="5735722B" w:rsidR="00C223D9" w:rsidRPr="004E01D1" w:rsidRDefault="00C223D9" w:rsidP="00011C96">
            <w:pPr>
              <w:keepNext/>
              <w:spacing w:after="0"/>
              <w:jc w:val="center"/>
              <w:rPr>
                <w:rFonts w:ascii="Calibri" w:hAnsi="Calibri" w:cs="Calibri"/>
                <w:b/>
                <w:bCs/>
                <w:noProof/>
                <w:color w:val="000000"/>
                <w:sz w:val="20"/>
                <w:lang w:val="en-IE"/>
              </w:rPr>
            </w:pPr>
            <w:r w:rsidRPr="004E01D1">
              <w:rPr>
                <w:rFonts w:ascii="Calibri" w:hAnsi="Calibri" w:cs="Calibri"/>
                <w:b/>
                <w:bCs/>
                <w:noProof/>
                <w:color w:val="000000"/>
                <w:sz w:val="20"/>
                <w:lang w:val="en-IE"/>
              </w:rPr>
              <w:t>2040</w:t>
            </w:r>
          </w:p>
        </w:tc>
        <w:tc>
          <w:tcPr>
            <w:tcW w:w="1151" w:type="dxa"/>
            <w:noWrap/>
            <w:hideMark/>
          </w:tcPr>
          <w:p w14:paraId="62788977" w14:textId="4E8511F2" w:rsidR="00C223D9" w:rsidRPr="004E01D1" w:rsidRDefault="00C223D9" w:rsidP="00011C96">
            <w:pPr>
              <w:keepNext/>
              <w:spacing w:after="0"/>
              <w:jc w:val="center"/>
              <w:rPr>
                <w:rFonts w:ascii="Calibri" w:hAnsi="Calibri" w:cs="Calibri"/>
                <w:b/>
                <w:bCs/>
                <w:noProof/>
                <w:color w:val="000000"/>
                <w:sz w:val="20"/>
                <w:lang w:val="en-IE"/>
              </w:rPr>
            </w:pPr>
            <w:r w:rsidRPr="004E01D1">
              <w:rPr>
                <w:rFonts w:ascii="Calibri" w:hAnsi="Calibri" w:cs="Calibri"/>
                <w:b/>
                <w:bCs/>
                <w:noProof/>
                <w:color w:val="000000"/>
                <w:sz w:val="20"/>
                <w:lang w:val="en-IE"/>
              </w:rPr>
              <w:t>2050</w:t>
            </w:r>
          </w:p>
        </w:tc>
      </w:tr>
      <w:tr w:rsidR="00C223D9" w:rsidRPr="008C220A" w14:paraId="2DCC8937" w14:textId="127513E8" w:rsidTr="006C2DB7">
        <w:trPr>
          <w:trHeight w:val="290"/>
          <w:jc w:val="center"/>
        </w:trPr>
        <w:tc>
          <w:tcPr>
            <w:tcW w:w="2042" w:type="dxa"/>
            <w:noWrap/>
            <w:hideMark/>
          </w:tcPr>
          <w:p w14:paraId="0AA3C96F" w14:textId="5BF74186" w:rsidR="00C223D9" w:rsidRPr="004E01D1" w:rsidRDefault="00C223D9" w:rsidP="00011C96">
            <w:pPr>
              <w:keepNext/>
              <w:spacing w:after="0"/>
              <w:jc w:val="center"/>
              <w:rPr>
                <w:rFonts w:ascii="Calibri" w:hAnsi="Calibri" w:cs="Calibri"/>
                <w:b/>
                <w:bCs/>
                <w:noProof/>
                <w:color w:val="000000"/>
                <w:sz w:val="20"/>
                <w:lang w:val="en-IE"/>
              </w:rPr>
            </w:pPr>
          </w:p>
        </w:tc>
        <w:tc>
          <w:tcPr>
            <w:tcW w:w="2185" w:type="dxa"/>
          </w:tcPr>
          <w:p w14:paraId="6915C5BE" w14:textId="4DB7D99C" w:rsidR="006C2DB7" w:rsidRPr="004E01D1" w:rsidRDefault="006C2DB7" w:rsidP="00011C96">
            <w:pPr>
              <w:keepNext/>
              <w:spacing w:after="0"/>
              <w:jc w:val="center"/>
              <w:rPr>
                <w:rFonts w:ascii="Calibri" w:hAnsi="Calibri" w:cs="Calibri"/>
                <w:b/>
                <w:bCs/>
                <w:noProof/>
                <w:color w:val="000000"/>
                <w:sz w:val="20"/>
                <w:lang w:val="en-IE"/>
              </w:rPr>
            </w:pPr>
            <w:r w:rsidRPr="004E01D1">
              <w:rPr>
                <w:rFonts w:ascii="Calibri" w:hAnsi="Calibri" w:cs="Calibri"/>
                <w:b/>
                <w:bCs/>
                <w:noProof/>
                <w:color w:val="000000"/>
                <w:sz w:val="20"/>
                <w:lang w:val="en-IE"/>
              </w:rPr>
              <w:t>S1, S2, S3, LIFE</w:t>
            </w:r>
          </w:p>
        </w:tc>
        <w:tc>
          <w:tcPr>
            <w:tcW w:w="2185" w:type="dxa"/>
            <w:noWrap/>
            <w:hideMark/>
          </w:tcPr>
          <w:p w14:paraId="48736AFC" w14:textId="7F31C93C" w:rsidR="00C223D9" w:rsidRPr="004E01D1" w:rsidRDefault="00C223D9" w:rsidP="00011C96">
            <w:pPr>
              <w:keepNext/>
              <w:spacing w:after="0"/>
              <w:jc w:val="center"/>
              <w:rPr>
                <w:rFonts w:ascii="Calibri" w:hAnsi="Calibri" w:cs="Calibri"/>
                <w:b/>
                <w:bCs/>
                <w:noProof/>
                <w:color w:val="000000"/>
                <w:sz w:val="20"/>
                <w:lang w:val="en-IE"/>
              </w:rPr>
            </w:pPr>
            <w:r w:rsidRPr="004E01D1">
              <w:rPr>
                <w:rFonts w:ascii="Calibri" w:hAnsi="Calibri" w:cs="Calibri"/>
                <w:b/>
                <w:bCs/>
                <w:noProof/>
                <w:color w:val="000000"/>
                <w:sz w:val="20"/>
                <w:lang w:val="en-IE"/>
              </w:rPr>
              <w:t>S1, S2, S3, LIFE</w:t>
            </w:r>
          </w:p>
        </w:tc>
        <w:tc>
          <w:tcPr>
            <w:tcW w:w="1151" w:type="dxa"/>
            <w:noWrap/>
            <w:hideMark/>
          </w:tcPr>
          <w:p w14:paraId="0EDC2037" w14:textId="491DACA5" w:rsidR="00C223D9" w:rsidRPr="004E01D1" w:rsidRDefault="00C223D9" w:rsidP="00011C96">
            <w:pPr>
              <w:keepNext/>
              <w:spacing w:after="0"/>
              <w:jc w:val="center"/>
              <w:rPr>
                <w:rFonts w:ascii="Calibri" w:hAnsi="Calibri" w:cs="Calibri"/>
                <w:b/>
                <w:bCs/>
                <w:noProof/>
                <w:color w:val="000000"/>
                <w:sz w:val="20"/>
                <w:lang w:val="en-IE"/>
              </w:rPr>
            </w:pPr>
            <w:r w:rsidRPr="004E01D1">
              <w:rPr>
                <w:rFonts w:ascii="Calibri" w:hAnsi="Calibri" w:cs="Calibri"/>
                <w:b/>
                <w:bCs/>
                <w:noProof/>
                <w:color w:val="000000"/>
                <w:sz w:val="20"/>
                <w:lang w:val="en-IE"/>
              </w:rPr>
              <w:t>(S2)</w:t>
            </w:r>
          </w:p>
        </w:tc>
      </w:tr>
      <w:tr w:rsidR="00C223D9" w:rsidRPr="008C220A" w14:paraId="5AE097A0" w14:textId="263FABB5" w:rsidTr="006C2DB7">
        <w:trPr>
          <w:trHeight w:val="290"/>
          <w:jc w:val="center"/>
        </w:trPr>
        <w:tc>
          <w:tcPr>
            <w:tcW w:w="2042" w:type="dxa"/>
            <w:noWrap/>
            <w:hideMark/>
          </w:tcPr>
          <w:p w14:paraId="1AB8D567" w14:textId="1FBD58E5" w:rsidR="00C223D9" w:rsidRPr="003850ED" w:rsidRDefault="00C223D9" w:rsidP="00011C96">
            <w:pPr>
              <w:keepNext/>
              <w:spacing w:after="0"/>
              <w:jc w:val="left"/>
              <w:rPr>
                <w:rFonts w:ascii="Calibri" w:hAnsi="Calibri" w:cs="Calibri"/>
                <w:noProof/>
                <w:color w:val="000000"/>
                <w:sz w:val="20"/>
                <w:lang w:val="en-IE"/>
              </w:rPr>
            </w:pPr>
            <w:r>
              <w:rPr>
                <w:rFonts w:ascii="Calibri" w:hAnsi="Calibri" w:cs="Calibri"/>
                <w:noProof/>
                <w:color w:val="000000"/>
                <w:sz w:val="20"/>
                <w:lang w:val="en-IE"/>
              </w:rPr>
              <w:t>Services</w:t>
            </w:r>
          </w:p>
        </w:tc>
        <w:tc>
          <w:tcPr>
            <w:tcW w:w="2185" w:type="dxa"/>
          </w:tcPr>
          <w:p w14:paraId="24662ED8" w14:textId="54CDEE46" w:rsidR="006C2DB7" w:rsidRDefault="006C2DB7" w:rsidP="00011C96">
            <w:pPr>
              <w:keepNext/>
              <w:spacing w:after="0"/>
              <w:jc w:val="center"/>
              <w:rPr>
                <w:rFonts w:ascii="Calibri" w:hAnsi="Calibri" w:cs="Calibri"/>
                <w:noProof/>
                <w:color w:val="000000"/>
                <w:sz w:val="20"/>
                <w:lang w:val="en-IE"/>
              </w:rPr>
            </w:pPr>
            <w:r>
              <w:rPr>
                <w:rFonts w:ascii="Calibri" w:hAnsi="Calibri" w:cs="Calibri"/>
                <w:noProof/>
                <w:color w:val="000000"/>
                <w:sz w:val="20"/>
                <w:lang w:val="en-IE"/>
              </w:rPr>
              <w:t>255</w:t>
            </w:r>
          </w:p>
        </w:tc>
        <w:tc>
          <w:tcPr>
            <w:tcW w:w="2185" w:type="dxa"/>
            <w:noWrap/>
            <w:hideMark/>
          </w:tcPr>
          <w:p w14:paraId="3FDFA2C4" w14:textId="09C75796" w:rsidR="00C223D9" w:rsidRPr="003850ED" w:rsidRDefault="00C223D9" w:rsidP="00011C96">
            <w:pPr>
              <w:keepNext/>
              <w:spacing w:after="0"/>
              <w:jc w:val="center"/>
              <w:rPr>
                <w:rFonts w:ascii="Calibri" w:hAnsi="Calibri" w:cs="Calibri"/>
                <w:noProof/>
                <w:color w:val="000000"/>
                <w:sz w:val="20"/>
                <w:lang w:val="en-IE"/>
              </w:rPr>
            </w:pPr>
            <w:r>
              <w:rPr>
                <w:rFonts w:ascii="Calibri" w:hAnsi="Calibri" w:cs="Calibri"/>
                <w:noProof/>
                <w:color w:val="000000"/>
                <w:sz w:val="20"/>
                <w:lang w:val="en-IE"/>
              </w:rPr>
              <w:t>2</w:t>
            </w:r>
            <w:r w:rsidR="00A2274D">
              <w:rPr>
                <w:rFonts w:ascii="Calibri" w:hAnsi="Calibri" w:cs="Calibri"/>
                <w:noProof/>
                <w:color w:val="000000"/>
                <w:sz w:val="20"/>
                <w:lang w:val="en-IE"/>
              </w:rPr>
              <w:t>49</w:t>
            </w:r>
          </w:p>
        </w:tc>
        <w:tc>
          <w:tcPr>
            <w:tcW w:w="1151" w:type="dxa"/>
            <w:noWrap/>
            <w:hideMark/>
          </w:tcPr>
          <w:p w14:paraId="01740496" w14:textId="4F69BB34" w:rsidR="00C223D9" w:rsidRPr="003850ED" w:rsidRDefault="00C223D9" w:rsidP="00011C96">
            <w:pPr>
              <w:keepNext/>
              <w:spacing w:after="0"/>
              <w:jc w:val="center"/>
              <w:rPr>
                <w:rFonts w:ascii="Calibri" w:hAnsi="Calibri" w:cs="Calibri"/>
                <w:noProof/>
                <w:color w:val="000000"/>
                <w:sz w:val="20"/>
                <w:lang w:val="en-IE"/>
              </w:rPr>
            </w:pPr>
            <w:r>
              <w:rPr>
                <w:rFonts w:ascii="Calibri" w:hAnsi="Calibri" w:cs="Calibri"/>
                <w:noProof/>
                <w:color w:val="000000"/>
                <w:sz w:val="20"/>
                <w:lang w:val="en-IE"/>
              </w:rPr>
              <w:t>2</w:t>
            </w:r>
            <w:r w:rsidR="00A2274D">
              <w:rPr>
                <w:rFonts w:ascii="Calibri" w:hAnsi="Calibri" w:cs="Calibri"/>
                <w:noProof/>
                <w:color w:val="000000"/>
                <w:sz w:val="20"/>
                <w:lang w:val="en-IE"/>
              </w:rPr>
              <w:t>55</w:t>
            </w:r>
          </w:p>
        </w:tc>
      </w:tr>
    </w:tbl>
    <w:p w14:paraId="7525CA9C" w14:textId="0B7DD036" w:rsidR="00C223D9" w:rsidRDefault="00C223D9" w:rsidP="00C223D9">
      <w:pPr>
        <w:pStyle w:val="CT-NOTE"/>
        <w:rPr>
          <w:noProof/>
        </w:rPr>
      </w:pPr>
      <w:r>
        <w:rPr>
          <w:noProof/>
        </w:rPr>
        <w:t xml:space="preserve">Note: </w:t>
      </w:r>
      <w:r w:rsidRPr="00446093">
        <w:rPr>
          <w:noProof/>
        </w:rPr>
        <w:t>The electricity prices shown here reflect</w:t>
      </w:r>
      <w:r w:rsidR="004B5FDB">
        <w:rPr>
          <w:noProof/>
        </w:rPr>
        <w:t>s</w:t>
      </w:r>
      <w:r w:rsidRPr="00446093">
        <w:rPr>
          <w:noProof/>
        </w:rPr>
        <w:t xml:space="preserve"> the evolution of the average electricity production costs to supply </w:t>
      </w:r>
      <w:r w:rsidR="00D8113C">
        <w:rPr>
          <w:noProof/>
        </w:rPr>
        <w:t xml:space="preserve">the </w:t>
      </w:r>
      <w:r>
        <w:rPr>
          <w:noProof/>
        </w:rPr>
        <w:t>services</w:t>
      </w:r>
      <w:r w:rsidR="00D8113C">
        <w:rPr>
          <w:noProof/>
        </w:rPr>
        <w:t xml:space="preserve"> sector</w:t>
      </w:r>
      <w:r>
        <w:rPr>
          <w:noProof/>
        </w:rPr>
        <w:t xml:space="preserve"> </w:t>
      </w:r>
      <w:r w:rsidRPr="00446093">
        <w:rPr>
          <w:noProof/>
        </w:rPr>
        <w:t>(</w:t>
      </w:r>
      <w:r w:rsidR="00924F52" w:rsidRPr="00446093">
        <w:rPr>
          <w:noProof/>
        </w:rPr>
        <w:t>i.e.,</w:t>
      </w:r>
      <w:r w:rsidRPr="00446093">
        <w:rPr>
          <w:noProof/>
        </w:rPr>
        <w:t xml:space="preserve"> considering </w:t>
      </w:r>
      <w:r w:rsidR="00D8113C">
        <w:rPr>
          <w:noProof/>
        </w:rPr>
        <w:t>its</w:t>
      </w:r>
      <w:r w:rsidRPr="00446093">
        <w:rPr>
          <w:noProof/>
        </w:rPr>
        <w:t xml:space="preserve"> load profile) as well as the taxes applied to the sector.</w:t>
      </w:r>
    </w:p>
    <w:p w14:paraId="07E020E3" w14:textId="1F943F58" w:rsidR="005E783A" w:rsidRDefault="00C223D9" w:rsidP="00431056">
      <w:pPr>
        <w:pStyle w:val="CT-SOURCE"/>
        <w:rPr>
          <w:noProof/>
        </w:rPr>
      </w:pPr>
      <w:r>
        <w:rPr>
          <w:noProof/>
        </w:rPr>
        <w:t>Source: PRIMES.</w:t>
      </w:r>
    </w:p>
    <w:p w14:paraId="0427617B" w14:textId="09A08A0C" w:rsidR="00DE4525" w:rsidRPr="00F64FF4" w:rsidRDefault="00DE4525" w:rsidP="00DE4525">
      <w:pPr>
        <w:pStyle w:val="Heading3"/>
        <w:rPr>
          <w:noProof/>
        </w:rPr>
      </w:pPr>
      <w:bookmarkStart w:id="716" w:name="_Toc148605649"/>
      <w:bookmarkStart w:id="717" w:name="_Toc157692097"/>
      <w:r w:rsidRPr="00680783">
        <w:rPr>
          <w:noProof/>
        </w:rPr>
        <w:t xml:space="preserve">Energy system costs and prices </w:t>
      </w:r>
      <w:r>
        <w:rPr>
          <w:noProof/>
        </w:rPr>
        <w:t>for transport</w:t>
      </w:r>
      <w:bookmarkEnd w:id="716"/>
      <w:bookmarkEnd w:id="717"/>
      <w:r>
        <w:rPr>
          <w:noProof/>
        </w:rPr>
        <w:t xml:space="preserve"> </w:t>
      </w:r>
    </w:p>
    <w:p w14:paraId="3F31ABAD" w14:textId="662270AC" w:rsidR="00DD75CC" w:rsidRDefault="00DE4525" w:rsidP="00DE4525">
      <w:pPr>
        <w:rPr>
          <w:noProof/>
        </w:rPr>
      </w:pPr>
      <w:r>
        <w:rPr>
          <w:noProof/>
        </w:rPr>
        <w:t xml:space="preserve">For </w:t>
      </w:r>
      <w:r w:rsidR="00F103D1">
        <w:rPr>
          <w:noProof/>
        </w:rPr>
        <w:t>transport too</w:t>
      </w:r>
      <w:r>
        <w:rPr>
          <w:noProof/>
        </w:rPr>
        <w:t xml:space="preserve">, total energy system costs are </w:t>
      </w:r>
      <w:r w:rsidR="000E401D">
        <w:rPr>
          <w:noProof/>
        </w:rPr>
        <w:t xml:space="preserve">lower in S1 and </w:t>
      </w:r>
      <w:r>
        <w:rPr>
          <w:noProof/>
        </w:rPr>
        <w:t>higher in S3 compared to S</w:t>
      </w:r>
      <w:r w:rsidR="000E401D">
        <w:rPr>
          <w:noProof/>
        </w:rPr>
        <w:t>2</w:t>
      </w:r>
      <w:r w:rsidR="00F103D1">
        <w:rPr>
          <w:noProof/>
        </w:rPr>
        <w:t>,</w:t>
      </w:r>
      <w:r>
        <w:rPr>
          <w:noProof/>
        </w:rPr>
        <w:t xml:space="preserve"> respectively </w:t>
      </w:r>
      <w:r w:rsidR="00F103D1">
        <w:rPr>
          <w:noProof/>
        </w:rPr>
        <w:t>3</w:t>
      </w:r>
      <w:r w:rsidR="000E401D">
        <w:rPr>
          <w:noProof/>
        </w:rPr>
        <w:t>-3.1% and</w:t>
      </w:r>
      <w:r w:rsidR="00C4425D">
        <w:rPr>
          <w:noProof/>
        </w:rPr>
        <w:t xml:space="preserve"> +2%</w:t>
      </w:r>
      <w:r>
        <w:rPr>
          <w:noProof/>
        </w:rPr>
        <w:t xml:space="preserve"> for the decade 2031-2040 (see</w:t>
      </w:r>
      <w:r w:rsidR="0062160C">
        <w:rPr>
          <w:noProof/>
        </w:rPr>
        <w:t xml:space="preserve"> </w:t>
      </w:r>
      <w:r w:rsidR="00C4425D">
        <w:rPr>
          <w:noProof/>
        </w:rPr>
        <w:fldChar w:fldCharType="begin"/>
      </w:r>
      <w:r w:rsidR="00C4425D">
        <w:rPr>
          <w:noProof/>
        </w:rPr>
        <w:instrText xml:space="preserve"> REF _Ref152944795 \h </w:instrText>
      </w:r>
      <w:r w:rsidR="00C4425D">
        <w:rPr>
          <w:noProof/>
        </w:rPr>
      </w:r>
      <w:r w:rsidR="00C4425D">
        <w:rPr>
          <w:noProof/>
        </w:rPr>
        <w:fldChar w:fldCharType="separate"/>
      </w:r>
      <w:r w:rsidR="00170A3C" w:rsidRPr="00DC5008">
        <w:rPr>
          <w:noProof/>
        </w:rPr>
        <w:t xml:space="preserve">Table </w:t>
      </w:r>
      <w:r w:rsidR="00170A3C">
        <w:rPr>
          <w:noProof/>
        </w:rPr>
        <w:t>34</w:t>
      </w:r>
      <w:r w:rsidR="00C4425D">
        <w:rPr>
          <w:noProof/>
        </w:rPr>
        <w:fldChar w:fldCharType="end"/>
      </w:r>
      <w:r>
        <w:rPr>
          <w:noProof/>
        </w:rPr>
        <w:t>).</w:t>
      </w:r>
      <w:r w:rsidR="00F103D1">
        <w:rPr>
          <w:noProof/>
        </w:rPr>
        <w:t xml:space="preserve"> </w:t>
      </w:r>
      <w:r w:rsidR="00C459D4">
        <w:rPr>
          <w:noProof/>
        </w:rPr>
        <w:t>LIFE</w:t>
      </w:r>
      <w:r w:rsidR="00F103D1">
        <w:rPr>
          <w:noProof/>
        </w:rPr>
        <w:t xml:space="preserve"> leads to </w:t>
      </w:r>
      <w:r w:rsidR="00C4425D">
        <w:rPr>
          <w:noProof/>
        </w:rPr>
        <w:t xml:space="preserve">even </w:t>
      </w:r>
      <w:r w:rsidR="00F103D1">
        <w:rPr>
          <w:noProof/>
        </w:rPr>
        <w:t xml:space="preserve">lower system costs in 2041-2050, </w:t>
      </w:r>
      <w:r w:rsidR="00C4425D">
        <w:rPr>
          <w:noProof/>
        </w:rPr>
        <w:t>6</w:t>
      </w:r>
      <w:r w:rsidR="00F103D1">
        <w:rPr>
          <w:noProof/>
        </w:rPr>
        <w:t>% lower than S</w:t>
      </w:r>
      <w:r w:rsidR="00C4425D">
        <w:rPr>
          <w:noProof/>
        </w:rPr>
        <w:t>3</w:t>
      </w:r>
      <w:r w:rsidR="00F103D1">
        <w:rPr>
          <w:noProof/>
        </w:rPr>
        <w:t xml:space="preserve"> in 2041-2050</w:t>
      </w:r>
      <w:r>
        <w:rPr>
          <w:noProof/>
        </w:rPr>
        <w:t>.</w:t>
      </w:r>
      <w:r w:rsidR="00F103D1">
        <w:rPr>
          <w:noProof/>
        </w:rPr>
        <w:t xml:space="preserve"> </w:t>
      </w:r>
    </w:p>
    <w:p w14:paraId="24600A79" w14:textId="14B69E7F" w:rsidR="00243927" w:rsidRDefault="00243927" w:rsidP="00DE4525">
      <w:pPr>
        <w:rPr>
          <w:noProof/>
        </w:rPr>
      </w:pPr>
      <w:r>
        <w:rPr>
          <w:noProof/>
        </w:rPr>
        <w:t xml:space="preserve">For </w:t>
      </w:r>
      <w:r w:rsidR="00C459D4">
        <w:rPr>
          <w:noProof/>
        </w:rPr>
        <w:t>LIFE</w:t>
      </w:r>
      <w:r>
        <w:rPr>
          <w:noProof/>
        </w:rPr>
        <w:t xml:space="preserve">, an increase in car occupancy due to higher use of shared mobility, as well as a stronger modal shift from passanger cars to public transport and rail explain the lower capital related costs in both decades </w:t>
      </w:r>
      <w:r w:rsidR="00B65919">
        <w:rPr>
          <w:noProof/>
        </w:rPr>
        <w:t>in S2 and S3</w:t>
      </w:r>
      <w:r>
        <w:rPr>
          <w:noProof/>
        </w:rPr>
        <w:t xml:space="preserve"> compared with S1. Higher capital-related costs in S3 in 2031-2040 translate in lower energy purchases for this scenario in the following decade</w:t>
      </w:r>
      <w:r w:rsidR="00B65919">
        <w:rPr>
          <w:noProof/>
        </w:rPr>
        <w:t xml:space="preserve"> (-1.3% in S3 vs S2)</w:t>
      </w:r>
      <w:r>
        <w:rPr>
          <w:noProof/>
        </w:rPr>
        <w:t>.</w:t>
      </w:r>
    </w:p>
    <w:p w14:paraId="394C9259" w14:textId="5A1F8BC2" w:rsidR="00DE4525" w:rsidRDefault="00DE4525" w:rsidP="00DE4525">
      <w:pPr>
        <w:rPr>
          <w:noProof/>
        </w:rPr>
      </w:pPr>
      <w:r>
        <w:rPr>
          <w:noProof/>
        </w:rPr>
        <w:fldChar w:fldCharType="begin"/>
      </w:r>
      <w:r>
        <w:rPr>
          <w:noProof/>
        </w:rPr>
        <w:instrText xml:space="preserve"> REF _Ref147755972 \h </w:instrText>
      </w:r>
      <w:r>
        <w:rPr>
          <w:noProof/>
        </w:rPr>
      </w:r>
      <w:r>
        <w:rPr>
          <w:noProof/>
        </w:rPr>
        <w:fldChar w:fldCharType="separate"/>
      </w:r>
      <w:r w:rsidR="00170A3C">
        <w:rPr>
          <w:noProof/>
        </w:rPr>
        <w:t>Table 38</w:t>
      </w:r>
      <w:r>
        <w:rPr>
          <w:noProof/>
        </w:rPr>
        <w:fldChar w:fldCharType="end"/>
      </w:r>
      <w:r>
        <w:rPr>
          <w:noProof/>
        </w:rPr>
        <w:t xml:space="preserve"> shows the evolution of </w:t>
      </w:r>
      <w:r w:rsidR="00243927">
        <w:rPr>
          <w:noProof/>
        </w:rPr>
        <w:t xml:space="preserve">prices of electricity and gasoline </w:t>
      </w:r>
      <w:r>
        <w:rPr>
          <w:noProof/>
        </w:rPr>
        <w:t xml:space="preserve">for </w:t>
      </w:r>
      <w:r w:rsidR="00243927">
        <w:rPr>
          <w:noProof/>
        </w:rPr>
        <w:t xml:space="preserve">private </w:t>
      </w:r>
      <w:r>
        <w:rPr>
          <w:noProof/>
        </w:rPr>
        <w:t xml:space="preserve">transport in 2040 and 2050, which remaining stable on the long run. </w:t>
      </w:r>
    </w:p>
    <w:p w14:paraId="60C32E07" w14:textId="433DF315" w:rsidR="00DE4525" w:rsidRPr="00DE4525" w:rsidRDefault="00DE4525" w:rsidP="00DE4525">
      <w:pPr>
        <w:pStyle w:val="Caption"/>
        <w:rPr>
          <w:noProof/>
          <w:lang w:val="en-IE"/>
        </w:rPr>
      </w:pPr>
      <w:bookmarkStart w:id="718" w:name="_Ref147755972"/>
      <w:bookmarkStart w:id="719" w:name="_Toc157679921"/>
      <w:r>
        <w:rPr>
          <w:noProof/>
        </w:rPr>
        <w:t xml:space="preserve">Table </w:t>
      </w:r>
      <w:r>
        <w:rPr>
          <w:noProof/>
        </w:rPr>
        <w:fldChar w:fldCharType="begin"/>
      </w:r>
      <w:r>
        <w:rPr>
          <w:noProof/>
        </w:rPr>
        <w:instrText>SEQ Table \* ARABIC</w:instrText>
      </w:r>
      <w:r>
        <w:rPr>
          <w:noProof/>
        </w:rPr>
        <w:fldChar w:fldCharType="separate"/>
      </w:r>
      <w:r w:rsidR="00170A3C">
        <w:rPr>
          <w:noProof/>
        </w:rPr>
        <w:t>38</w:t>
      </w:r>
      <w:r>
        <w:rPr>
          <w:noProof/>
        </w:rPr>
        <w:fldChar w:fldCharType="end"/>
      </w:r>
      <w:bookmarkEnd w:id="718"/>
      <w:r>
        <w:rPr>
          <w:noProof/>
        </w:rPr>
        <w:t>: Energy prices for</w:t>
      </w:r>
      <w:r w:rsidR="00D8113C">
        <w:rPr>
          <w:noProof/>
        </w:rPr>
        <w:t xml:space="preserve"> private</w:t>
      </w:r>
      <w:r>
        <w:rPr>
          <w:noProof/>
        </w:rPr>
        <w:t xml:space="preserve"> transport</w:t>
      </w:r>
      <w:r w:rsidR="00D8113C">
        <w:rPr>
          <w:noProof/>
        </w:rPr>
        <w:t xml:space="preserve"> in S2</w:t>
      </w:r>
      <w:bookmarkEnd w:id="719"/>
    </w:p>
    <w:p w14:paraId="6C175C50" w14:textId="37DD9C99" w:rsidR="006C2DB7" w:rsidRDefault="006C2DB7" w:rsidP="00DE4525">
      <w:pPr>
        <w:pStyle w:val="CT-NOTE"/>
        <w:rPr>
          <w:noProof/>
        </w:rPr>
      </w:pPr>
    </w:p>
    <w:tbl>
      <w:tblPr>
        <w:tblStyle w:val="TableGridLight"/>
        <w:tblW w:w="7563" w:type="dxa"/>
        <w:jc w:val="center"/>
        <w:tblLayout w:type="fixed"/>
        <w:tblLook w:val="04A0" w:firstRow="1" w:lastRow="0" w:firstColumn="1" w:lastColumn="0" w:noHBand="0" w:noVBand="1"/>
      </w:tblPr>
      <w:tblGrid>
        <w:gridCol w:w="1890"/>
        <w:gridCol w:w="1891"/>
        <w:gridCol w:w="1891"/>
        <w:gridCol w:w="1891"/>
      </w:tblGrid>
      <w:tr w:rsidR="006C2DB7" w:rsidRPr="008C220A" w14:paraId="6A96C77F" w14:textId="306B2E7A" w:rsidTr="005C27DA">
        <w:trPr>
          <w:trHeight w:val="290"/>
          <w:jc w:val="center"/>
        </w:trPr>
        <w:tc>
          <w:tcPr>
            <w:tcW w:w="1890" w:type="dxa"/>
            <w:noWrap/>
            <w:hideMark/>
          </w:tcPr>
          <w:p w14:paraId="230CA6DC" w14:textId="174A1635" w:rsidR="006C2DB7" w:rsidRPr="004E01D1" w:rsidRDefault="006C2DB7" w:rsidP="008F1322">
            <w:pPr>
              <w:keepNext/>
              <w:spacing w:after="0"/>
              <w:jc w:val="left"/>
              <w:rPr>
                <w:b/>
                <w:bCs/>
                <w:noProof/>
                <w:sz w:val="20"/>
                <w:lang w:val="en-IE"/>
              </w:rPr>
            </w:pPr>
            <w:r w:rsidRPr="004E01D1">
              <w:rPr>
                <w:b/>
                <w:bCs/>
                <w:noProof/>
                <w:sz w:val="20"/>
                <w:lang w:val="en-IE"/>
              </w:rPr>
              <w:t>EUR</w:t>
            </w:r>
            <w:r>
              <w:rPr>
                <w:b/>
                <w:bCs/>
                <w:noProof/>
                <w:sz w:val="20"/>
                <w:lang w:val="en-IE"/>
              </w:rPr>
              <w:t>23</w:t>
            </w:r>
            <w:r w:rsidRPr="004E01D1">
              <w:rPr>
                <w:b/>
                <w:bCs/>
                <w:noProof/>
                <w:sz w:val="20"/>
                <w:lang w:val="en-IE"/>
              </w:rPr>
              <w:t>/MWh</w:t>
            </w:r>
          </w:p>
        </w:tc>
        <w:tc>
          <w:tcPr>
            <w:tcW w:w="1891" w:type="dxa"/>
          </w:tcPr>
          <w:p w14:paraId="376A0FE0" w14:textId="6666FD3E" w:rsidR="006C2DB7" w:rsidRPr="004E01D1" w:rsidRDefault="006C2DB7" w:rsidP="008F1322">
            <w:pPr>
              <w:keepNext/>
              <w:spacing w:after="0"/>
              <w:jc w:val="center"/>
              <w:rPr>
                <w:rFonts w:ascii="Calibri" w:hAnsi="Calibri" w:cs="Calibri"/>
                <w:b/>
                <w:bCs/>
                <w:noProof/>
                <w:color w:val="000000"/>
                <w:sz w:val="20"/>
                <w:lang w:val="en-IE"/>
              </w:rPr>
            </w:pPr>
            <w:r>
              <w:rPr>
                <w:rFonts w:ascii="Calibri" w:hAnsi="Calibri" w:cs="Calibri"/>
                <w:b/>
                <w:bCs/>
                <w:noProof/>
                <w:color w:val="000000"/>
                <w:sz w:val="20"/>
                <w:lang w:val="en-IE"/>
              </w:rPr>
              <w:t>2030</w:t>
            </w:r>
          </w:p>
        </w:tc>
        <w:tc>
          <w:tcPr>
            <w:tcW w:w="1891" w:type="dxa"/>
            <w:noWrap/>
            <w:hideMark/>
          </w:tcPr>
          <w:p w14:paraId="7AEFE8ED" w14:textId="71E94F00" w:rsidR="006C2DB7" w:rsidRPr="004E01D1" w:rsidRDefault="006C2DB7" w:rsidP="008F1322">
            <w:pPr>
              <w:keepNext/>
              <w:spacing w:after="0"/>
              <w:jc w:val="center"/>
              <w:rPr>
                <w:rFonts w:ascii="Calibri" w:hAnsi="Calibri" w:cs="Calibri"/>
                <w:b/>
                <w:bCs/>
                <w:noProof/>
                <w:color w:val="000000"/>
                <w:sz w:val="20"/>
                <w:lang w:val="en-IE"/>
              </w:rPr>
            </w:pPr>
            <w:r w:rsidRPr="004E01D1">
              <w:rPr>
                <w:rFonts w:ascii="Calibri" w:hAnsi="Calibri" w:cs="Calibri"/>
                <w:b/>
                <w:bCs/>
                <w:noProof/>
                <w:color w:val="000000"/>
                <w:sz w:val="20"/>
                <w:lang w:val="en-IE"/>
              </w:rPr>
              <w:t>2040</w:t>
            </w:r>
          </w:p>
        </w:tc>
        <w:tc>
          <w:tcPr>
            <w:tcW w:w="1891" w:type="dxa"/>
            <w:noWrap/>
            <w:hideMark/>
          </w:tcPr>
          <w:p w14:paraId="60C7C328" w14:textId="7CB46A9E" w:rsidR="006C2DB7" w:rsidRPr="004E01D1" w:rsidRDefault="006C2DB7" w:rsidP="008F1322">
            <w:pPr>
              <w:keepNext/>
              <w:spacing w:after="0"/>
              <w:jc w:val="center"/>
              <w:rPr>
                <w:rFonts w:ascii="Calibri" w:hAnsi="Calibri" w:cs="Calibri"/>
                <w:b/>
                <w:bCs/>
                <w:noProof/>
                <w:color w:val="000000"/>
                <w:sz w:val="20"/>
                <w:lang w:val="en-IE"/>
              </w:rPr>
            </w:pPr>
            <w:r w:rsidRPr="004E01D1">
              <w:rPr>
                <w:rFonts w:ascii="Calibri" w:hAnsi="Calibri" w:cs="Calibri"/>
                <w:b/>
                <w:bCs/>
                <w:noProof/>
                <w:color w:val="000000"/>
                <w:sz w:val="20"/>
                <w:lang w:val="en-IE"/>
              </w:rPr>
              <w:t>2050</w:t>
            </w:r>
          </w:p>
        </w:tc>
      </w:tr>
      <w:tr w:rsidR="006C2DB7" w:rsidRPr="008C220A" w14:paraId="74E659C7" w14:textId="0436C7EA" w:rsidTr="005C27DA">
        <w:trPr>
          <w:trHeight w:val="290"/>
          <w:jc w:val="center"/>
        </w:trPr>
        <w:tc>
          <w:tcPr>
            <w:tcW w:w="1890" w:type="dxa"/>
            <w:noWrap/>
            <w:hideMark/>
          </w:tcPr>
          <w:p w14:paraId="237C0A43" w14:textId="47EAC691" w:rsidR="006C2DB7" w:rsidRPr="003850ED" w:rsidRDefault="006C2DB7" w:rsidP="008F1322">
            <w:pPr>
              <w:keepNext/>
              <w:spacing w:after="0"/>
              <w:jc w:val="left"/>
              <w:rPr>
                <w:rFonts w:ascii="Calibri" w:hAnsi="Calibri" w:cs="Calibri"/>
                <w:noProof/>
                <w:color w:val="000000"/>
                <w:sz w:val="20"/>
                <w:lang w:val="en-IE"/>
              </w:rPr>
            </w:pPr>
            <w:r>
              <w:rPr>
                <w:rFonts w:ascii="Calibri" w:hAnsi="Calibri" w:cs="Calibri"/>
                <w:noProof/>
                <w:color w:val="000000"/>
                <w:sz w:val="20"/>
                <w:lang w:val="en-IE"/>
              </w:rPr>
              <w:t>Electricity</w:t>
            </w:r>
            <w:r w:rsidR="008D1D18">
              <w:rPr>
                <w:rFonts w:ascii="Calibri" w:hAnsi="Calibri" w:cs="Calibri"/>
                <w:noProof/>
                <w:color w:val="000000"/>
                <w:sz w:val="20"/>
                <w:lang w:val="en-IE"/>
              </w:rPr>
              <w:t>*</w:t>
            </w:r>
          </w:p>
        </w:tc>
        <w:tc>
          <w:tcPr>
            <w:tcW w:w="1891" w:type="dxa"/>
          </w:tcPr>
          <w:p w14:paraId="68A26270" w14:textId="1E3A32FB" w:rsidR="006C2DB7" w:rsidRDefault="006C2DB7" w:rsidP="008F1322">
            <w:pPr>
              <w:keepNext/>
              <w:spacing w:after="0"/>
              <w:jc w:val="center"/>
              <w:rPr>
                <w:rFonts w:ascii="Calibri" w:hAnsi="Calibri" w:cs="Calibri"/>
                <w:noProof/>
                <w:color w:val="000000"/>
                <w:sz w:val="20"/>
                <w:lang w:val="en-IE"/>
              </w:rPr>
            </w:pPr>
            <w:r>
              <w:rPr>
                <w:rFonts w:ascii="Calibri" w:hAnsi="Calibri" w:cs="Calibri"/>
                <w:noProof/>
                <w:color w:val="000000"/>
                <w:sz w:val="20"/>
                <w:lang w:val="en-IE"/>
              </w:rPr>
              <w:t>226</w:t>
            </w:r>
          </w:p>
        </w:tc>
        <w:tc>
          <w:tcPr>
            <w:tcW w:w="1891" w:type="dxa"/>
            <w:noWrap/>
            <w:hideMark/>
          </w:tcPr>
          <w:p w14:paraId="38A74212" w14:textId="77807930" w:rsidR="006C2DB7" w:rsidRPr="003850ED" w:rsidRDefault="006C2DB7" w:rsidP="008F1322">
            <w:pPr>
              <w:keepNext/>
              <w:spacing w:after="0"/>
              <w:jc w:val="center"/>
              <w:rPr>
                <w:rFonts w:ascii="Calibri" w:hAnsi="Calibri" w:cs="Calibri"/>
                <w:noProof/>
                <w:color w:val="000000"/>
                <w:sz w:val="20"/>
                <w:lang w:val="en-IE"/>
              </w:rPr>
            </w:pPr>
            <w:r>
              <w:rPr>
                <w:rFonts w:ascii="Calibri" w:hAnsi="Calibri" w:cs="Calibri"/>
                <w:noProof/>
                <w:color w:val="000000"/>
                <w:sz w:val="20"/>
                <w:lang w:val="en-IE"/>
              </w:rPr>
              <w:t>222</w:t>
            </w:r>
          </w:p>
        </w:tc>
        <w:tc>
          <w:tcPr>
            <w:tcW w:w="1891" w:type="dxa"/>
            <w:noWrap/>
            <w:hideMark/>
          </w:tcPr>
          <w:p w14:paraId="039E8F26" w14:textId="65F507BD" w:rsidR="006C2DB7" w:rsidRPr="003850ED" w:rsidRDefault="006C2DB7" w:rsidP="008F1322">
            <w:pPr>
              <w:keepNext/>
              <w:spacing w:after="0"/>
              <w:jc w:val="center"/>
              <w:rPr>
                <w:rFonts w:ascii="Calibri" w:hAnsi="Calibri" w:cs="Calibri"/>
                <w:noProof/>
                <w:color w:val="000000"/>
                <w:sz w:val="20"/>
                <w:lang w:val="en-IE"/>
              </w:rPr>
            </w:pPr>
            <w:r>
              <w:rPr>
                <w:rFonts w:ascii="Calibri" w:hAnsi="Calibri" w:cs="Calibri"/>
                <w:noProof/>
                <w:color w:val="000000"/>
                <w:sz w:val="20"/>
                <w:lang w:val="en-IE"/>
              </w:rPr>
              <w:t>225</w:t>
            </w:r>
          </w:p>
        </w:tc>
      </w:tr>
      <w:tr w:rsidR="006C2DB7" w:rsidRPr="008C220A" w14:paraId="3A1C1470" w14:textId="6C9E2A7E" w:rsidTr="005C27DA">
        <w:trPr>
          <w:trHeight w:val="290"/>
          <w:jc w:val="center"/>
        </w:trPr>
        <w:tc>
          <w:tcPr>
            <w:tcW w:w="1890" w:type="dxa"/>
            <w:noWrap/>
          </w:tcPr>
          <w:p w14:paraId="4A751661" w14:textId="4900B66E" w:rsidR="006C2DB7" w:rsidRDefault="006C2DB7" w:rsidP="008F1322">
            <w:pPr>
              <w:keepNext/>
              <w:spacing w:after="0"/>
              <w:jc w:val="left"/>
              <w:rPr>
                <w:rFonts w:ascii="Calibri" w:hAnsi="Calibri" w:cs="Calibri"/>
                <w:noProof/>
                <w:color w:val="000000"/>
                <w:sz w:val="20"/>
                <w:lang w:val="en-IE"/>
              </w:rPr>
            </w:pPr>
            <w:r>
              <w:rPr>
                <w:rFonts w:ascii="Calibri" w:hAnsi="Calibri" w:cs="Calibri"/>
                <w:noProof/>
                <w:color w:val="000000"/>
                <w:sz w:val="20"/>
                <w:lang w:val="en-IE"/>
              </w:rPr>
              <w:t>Gasoline</w:t>
            </w:r>
          </w:p>
        </w:tc>
        <w:tc>
          <w:tcPr>
            <w:tcW w:w="1891" w:type="dxa"/>
          </w:tcPr>
          <w:p w14:paraId="08E8625B" w14:textId="706CDC01" w:rsidR="006C2DB7" w:rsidRDefault="00562008" w:rsidP="008F1322">
            <w:pPr>
              <w:keepNext/>
              <w:spacing w:after="0"/>
              <w:jc w:val="center"/>
              <w:rPr>
                <w:rFonts w:ascii="Calibri" w:hAnsi="Calibri" w:cs="Calibri"/>
                <w:noProof/>
                <w:color w:val="000000"/>
                <w:sz w:val="20"/>
                <w:lang w:val="en-IE"/>
              </w:rPr>
            </w:pPr>
            <w:r>
              <w:rPr>
                <w:rFonts w:ascii="Calibri" w:hAnsi="Calibri" w:cs="Calibri"/>
                <w:noProof/>
                <w:color w:val="000000"/>
                <w:sz w:val="20"/>
                <w:lang w:val="en-IE"/>
              </w:rPr>
              <w:t>215</w:t>
            </w:r>
          </w:p>
        </w:tc>
        <w:tc>
          <w:tcPr>
            <w:tcW w:w="1891" w:type="dxa"/>
            <w:noWrap/>
          </w:tcPr>
          <w:p w14:paraId="5611EBBD" w14:textId="2A8355A6" w:rsidR="006C2DB7" w:rsidRDefault="006C2DB7" w:rsidP="008F1322">
            <w:pPr>
              <w:keepNext/>
              <w:spacing w:after="0"/>
              <w:jc w:val="center"/>
              <w:rPr>
                <w:rFonts w:ascii="Calibri" w:hAnsi="Calibri" w:cs="Calibri"/>
                <w:noProof/>
                <w:color w:val="000000"/>
                <w:sz w:val="20"/>
                <w:lang w:val="en-IE"/>
              </w:rPr>
            </w:pPr>
            <w:r>
              <w:rPr>
                <w:rFonts w:ascii="Calibri" w:hAnsi="Calibri" w:cs="Calibri"/>
                <w:noProof/>
                <w:color w:val="000000"/>
                <w:sz w:val="20"/>
                <w:lang w:val="en-IE"/>
              </w:rPr>
              <w:t>279</w:t>
            </w:r>
          </w:p>
        </w:tc>
        <w:tc>
          <w:tcPr>
            <w:tcW w:w="1891" w:type="dxa"/>
            <w:noWrap/>
          </w:tcPr>
          <w:p w14:paraId="088D91B9" w14:textId="50872B8A" w:rsidR="006C2DB7" w:rsidRDefault="006C2DB7" w:rsidP="008F1322">
            <w:pPr>
              <w:keepNext/>
              <w:spacing w:after="0"/>
              <w:jc w:val="center"/>
              <w:rPr>
                <w:rFonts w:ascii="Calibri" w:hAnsi="Calibri" w:cs="Calibri"/>
                <w:noProof/>
                <w:color w:val="000000"/>
                <w:sz w:val="20"/>
                <w:lang w:val="en-IE"/>
              </w:rPr>
            </w:pPr>
            <w:r>
              <w:rPr>
                <w:rFonts w:ascii="Calibri" w:hAnsi="Calibri" w:cs="Calibri"/>
                <w:noProof/>
                <w:color w:val="000000"/>
                <w:sz w:val="20"/>
                <w:lang w:val="en-IE"/>
              </w:rPr>
              <w:t>280</w:t>
            </w:r>
          </w:p>
        </w:tc>
      </w:tr>
    </w:tbl>
    <w:p w14:paraId="414F1714" w14:textId="0AD10A0E" w:rsidR="006C2DB7" w:rsidRDefault="006C2DB7" w:rsidP="00DE4525">
      <w:pPr>
        <w:pStyle w:val="CT-NOTE"/>
        <w:rPr>
          <w:noProof/>
        </w:rPr>
      </w:pPr>
    </w:p>
    <w:p w14:paraId="58D6EE21" w14:textId="0C5A2466" w:rsidR="00DE4525" w:rsidRDefault="00DE4525" w:rsidP="00DE4525">
      <w:pPr>
        <w:pStyle w:val="CT-NOTE"/>
        <w:rPr>
          <w:noProof/>
        </w:rPr>
      </w:pPr>
      <w:r>
        <w:rPr>
          <w:noProof/>
        </w:rPr>
        <w:t xml:space="preserve">Note: </w:t>
      </w:r>
      <w:r w:rsidR="008D1D18">
        <w:rPr>
          <w:noProof/>
        </w:rPr>
        <w:t>*Average final price of electricity</w:t>
      </w:r>
      <w:r w:rsidR="004B5FDB">
        <w:rPr>
          <w:noProof/>
        </w:rPr>
        <w:t>.</w:t>
      </w:r>
      <w:r>
        <w:rPr>
          <w:noProof/>
        </w:rPr>
        <w:t xml:space="preserve"> </w:t>
      </w:r>
      <w:r w:rsidRPr="00446093">
        <w:rPr>
          <w:noProof/>
        </w:rPr>
        <w:t>The electricity prices shown here reflect</w:t>
      </w:r>
      <w:r w:rsidR="004B5FDB">
        <w:rPr>
          <w:noProof/>
        </w:rPr>
        <w:t>s</w:t>
      </w:r>
      <w:r w:rsidRPr="00446093">
        <w:rPr>
          <w:noProof/>
        </w:rPr>
        <w:t xml:space="preserve"> the evolution of the average electricity production costs to supply </w:t>
      </w:r>
      <w:r w:rsidR="00D8113C">
        <w:rPr>
          <w:noProof/>
        </w:rPr>
        <w:t>the sector of private transport</w:t>
      </w:r>
      <w:r>
        <w:rPr>
          <w:noProof/>
        </w:rPr>
        <w:t xml:space="preserve"> </w:t>
      </w:r>
      <w:r w:rsidRPr="00446093">
        <w:rPr>
          <w:noProof/>
        </w:rPr>
        <w:t>(</w:t>
      </w:r>
      <w:r w:rsidR="00924F52" w:rsidRPr="00446093">
        <w:rPr>
          <w:noProof/>
        </w:rPr>
        <w:t>i.e.,</w:t>
      </w:r>
      <w:r w:rsidRPr="00446093">
        <w:rPr>
          <w:noProof/>
        </w:rPr>
        <w:t xml:space="preserve"> considering</w:t>
      </w:r>
      <w:r w:rsidR="00D8113C">
        <w:rPr>
          <w:noProof/>
        </w:rPr>
        <w:t xml:space="preserve"> its</w:t>
      </w:r>
      <w:r w:rsidRPr="00446093">
        <w:rPr>
          <w:noProof/>
        </w:rPr>
        <w:t xml:space="preserve"> load profile) as well as the taxes applied to the sector.</w:t>
      </w:r>
    </w:p>
    <w:p w14:paraId="62B8BC40" w14:textId="15C754F1" w:rsidR="00DE4525" w:rsidRDefault="00DE4525" w:rsidP="005F0FDC">
      <w:pPr>
        <w:pStyle w:val="CT-SOURCE"/>
        <w:keepNext w:val="0"/>
        <w:rPr>
          <w:noProof/>
        </w:rPr>
      </w:pPr>
      <w:r>
        <w:rPr>
          <w:noProof/>
        </w:rPr>
        <w:t>Source: PRIMES.</w:t>
      </w:r>
    </w:p>
    <w:p w14:paraId="0B6D645B" w14:textId="37F7CC57" w:rsidR="00A074EB" w:rsidRPr="00E0066E" w:rsidRDefault="00A074EB" w:rsidP="00A074EB">
      <w:pPr>
        <w:pStyle w:val="Heading3"/>
        <w:rPr>
          <w:noProof/>
        </w:rPr>
      </w:pPr>
      <w:bookmarkStart w:id="720" w:name="_Toc157692098"/>
      <w:bookmarkStart w:id="721" w:name="_Toc148605650"/>
      <w:r w:rsidRPr="00E0066E">
        <w:rPr>
          <w:noProof/>
        </w:rPr>
        <w:t>Costs related to mitigation of GHG emissions in the LULUCF sector and non-CO2 GHG emissions</w:t>
      </w:r>
      <w:bookmarkEnd w:id="720"/>
      <w:r w:rsidRPr="00E0066E">
        <w:rPr>
          <w:noProof/>
        </w:rPr>
        <w:t xml:space="preserve"> </w:t>
      </w:r>
    </w:p>
    <w:p w14:paraId="3C49DAE5" w14:textId="199ABE76" w:rsidR="0074506B" w:rsidRDefault="0074506B" w:rsidP="003706A9">
      <w:pPr>
        <w:pStyle w:val="Heading4"/>
        <w:rPr>
          <w:noProof/>
        </w:rPr>
      </w:pPr>
      <w:r>
        <w:rPr>
          <w:noProof/>
        </w:rPr>
        <w:t>Sectoral mitigation costs</w:t>
      </w:r>
    </w:p>
    <w:p w14:paraId="7EAFA8E2" w14:textId="3F84C2D6" w:rsidR="00A074EB" w:rsidRDefault="00A074EB" w:rsidP="00A074EB">
      <w:pPr>
        <w:rPr>
          <w:noProof/>
        </w:rPr>
      </w:pPr>
      <w:r>
        <w:rPr>
          <w:noProof/>
        </w:rPr>
        <w:fldChar w:fldCharType="begin"/>
      </w:r>
      <w:r>
        <w:rPr>
          <w:noProof/>
        </w:rPr>
        <w:instrText xml:space="preserve"> REF _Ref152678715 \h </w:instrText>
      </w:r>
      <w:r>
        <w:rPr>
          <w:noProof/>
        </w:rPr>
      </w:r>
      <w:r>
        <w:rPr>
          <w:noProof/>
        </w:rPr>
        <w:fldChar w:fldCharType="separate"/>
      </w:r>
      <w:r w:rsidR="00170A3C">
        <w:rPr>
          <w:noProof/>
        </w:rPr>
        <w:t>Table 39</w:t>
      </w:r>
      <w:r>
        <w:rPr>
          <w:noProof/>
        </w:rPr>
        <w:fldChar w:fldCharType="end"/>
      </w:r>
      <w:r>
        <w:rPr>
          <w:noProof/>
        </w:rPr>
        <w:t xml:space="preserve"> </w:t>
      </w:r>
      <w:r w:rsidRPr="00C92E1A">
        <w:rPr>
          <w:noProof/>
        </w:rPr>
        <w:t xml:space="preserve">provides an overview of the average annual costs in the LULUCF sector and for non-CO2 emissions in the different scenarios. The costs are related to the implementation of abatement technologies or nature-based removal solutions. The technical available potential for nature-based removals and mitigation measures differs between the two decades, leading to varying annual costs across decades, as the entire potential up to the respective maximum carbon value is implemented.  </w:t>
      </w:r>
    </w:p>
    <w:p w14:paraId="33EEDE4A" w14:textId="4F1F8A86" w:rsidR="00A074EB" w:rsidRDefault="00A074EB" w:rsidP="00A074EB">
      <w:pPr>
        <w:pStyle w:val="Caption"/>
        <w:rPr>
          <w:noProof/>
        </w:rPr>
      </w:pPr>
      <w:bookmarkStart w:id="722" w:name="_Ref152678715"/>
      <w:bookmarkStart w:id="723" w:name="_Toc157679922"/>
      <w:r>
        <w:rPr>
          <w:noProof/>
        </w:rPr>
        <w:t xml:space="preserve">Table </w:t>
      </w:r>
      <w:r w:rsidR="00D12921">
        <w:rPr>
          <w:noProof/>
        </w:rPr>
        <w:fldChar w:fldCharType="begin"/>
      </w:r>
      <w:r w:rsidR="00D12921">
        <w:rPr>
          <w:noProof/>
        </w:rPr>
        <w:instrText xml:space="preserve"> SEQ Table \* ARABIC </w:instrText>
      </w:r>
      <w:r w:rsidR="00D12921">
        <w:rPr>
          <w:noProof/>
        </w:rPr>
        <w:fldChar w:fldCharType="separate"/>
      </w:r>
      <w:r w:rsidR="00170A3C">
        <w:rPr>
          <w:noProof/>
        </w:rPr>
        <w:t>39</w:t>
      </w:r>
      <w:r w:rsidR="00D12921">
        <w:rPr>
          <w:noProof/>
        </w:rPr>
        <w:fldChar w:fldCharType="end"/>
      </w:r>
      <w:bookmarkEnd w:id="722"/>
      <w:r>
        <w:rPr>
          <w:noProof/>
        </w:rPr>
        <w:t xml:space="preserve">: </w:t>
      </w:r>
      <w:r w:rsidRPr="00C92E1A">
        <w:rPr>
          <w:noProof/>
        </w:rPr>
        <w:t>Costs related to GHG emissions</w:t>
      </w:r>
      <w:r w:rsidR="007763A5">
        <w:rPr>
          <w:noProof/>
        </w:rPr>
        <w:t xml:space="preserve"> mitigation in </w:t>
      </w:r>
      <w:r w:rsidRPr="00C92E1A">
        <w:rPr>
          <w:noProof/>
        </w:rPr>
        <w:t>LULUCF and non-CO2</w:t>
      </w:r>
      <w:bookmarkEnd w:id="723"/>
      <w:r w:rsidRPr="00C92E1A">
        <w:rPr>
          <w:noProof/>
        </w:rPr>
        <w:t xml:space="preserve"> </w:t>
      </w:r>
    </w:p>
    <w:tbl>
      <w:tblPr>
        <w:tblW w:w="5000" w:type="pct"/>
        <w:tblLayout w:type="fixed"/>
        <w:tblLook w:val="04A0" w:firstRow="1" w:lastRow="0" w:firstColumn="1" w:lastColumn="0" w:noHBand="0" w:noVBand="1"/>
      </w:tblPr>
      <w:tblGrid>
        <w:gridCol w:w="2397"/>
        <w:gridCol w:w="715"/>
        <w:gridCol w:w="715"/>
        <w:gridCol w:w="716"/>
        <w:gridCol w:w="716"/>
        <w:gridCol w:w="716"/>
        <w:gridCol w:w="717"/>
        <w:gridCol w:w="716"/>
        <w:gridCol w:w="716"/>
        <w:gridCol w:w="710"/>
      </w:tblGrid>
      <w:tr w:rsidR="00A074EB" w:rsidRPr="00870E72" w14:paraId="537B5002" w14:textId="4E97CBDA" w:rsidTr="00DF2071">
        <w:trPr>
          <w:trHeight w:val="1035"/>
        </w:trPr>
        <w:tc>
          <w:tcPr>
            <w:tcW w:w="1357" w:type="pct"/>
            <w:vMerge w:val="restart"/>
            <w:tcBorders>
              <w:top w:val="single" w:sz="4" w:space="0" w:color="auto"/>
              <w:left w:val="single" w:sz="8" w:space="0" w:color="auto"/>
              <w:right w:val="single" w:sz="8" w:space="0" w:color="000000"/>
            </w:tcBorders>
            <w:shd w:val="clear" w:color="000000" w:fill="FFFFFF"/>
            <w:vAlign w:val="center"/>
            <w:hideMark/>
          </w:tcPr>
          <w:p w14:paraId="6DD27DD8" w14:textId="78D844CA" w:rsidR="00A074EB" w:rsidRPr="00870E72" w:rsidRDefault="00A074EB">
            <w:pPr>
              <w:keepNext/>
              <w:keepLines/>
              <w:spacing w:after="0"/>
              <w:jc w:val="left"/>
              <w:rPr>
                <w:rFonts w:ascii="EC Square Sans Cond Pro" w:eastAsia="Times New Roman" w:hAnsi="EC Square Sans Cond Pro" w:cs="Calibri"/>
                <w:b/>
                <w:bCs/>
                <w:noProof/>
                <w:color w:val="000000"/>
                <w:sz w:val="20"/>
                <w:szCs w:val="20"/>
                <w:lang w:val="en-IE"/>
              </w:rPr>
            </w:pPr>
            <w:r w:rsidRPr="00870E72">
              <w:rPr>
                <w:rFonts w:ascii="EC Square Sans Cond Pro" w:eastAsia="Times New Roman" w:hAnsi="EC Square Sans Cond Pro" w:cs="Calibri"/>
                <w:b/>
                <w:bCs/>
                <w:noProof/>
                <w:color w:val="000000"/>
                <w:sz w:val="20"/>
                <w:szCs w:val="20"/>
                <w:lang w:val="en-IE"/>
              </w:rPr>
              <w:t xml:space="preserve">Average </w:t>
            </w:r>
            <w:r>
              <w:rPr>
                <w:rFonts w:ascii="EC Square Sans Cond Pro" w:eastAsia="Times New Roman" w:hAnsi="EC Square Sans Cond Pro" w:cs="Calibri"/>
                <w:b/>
                <w:bCs/>
                <w:noProof/>
                <w:color w:val="000000"/>
                <w:sz w:val="20"/>
                <w:szCs w:val="20"/>
                <w:lang w:val="en-IE"/>
              </w:rPr>
              <w:t>a</w:t>
            </w:r>
            <w:r w:rsidRPr="00870E72">
              <w:rPr>
                <w:rFonts w:ascii="EC Square Sans Cond Pro" w:eastAsia="Times New Roman" w:hAnsi="EC Square Sans Cond Pro" w:cs="Calibri"/>
                <w:b/>
                <w:bCs/>
                <w:noProof/>
                <w:color w:val="000000"/>
                <w:sz w:val="20"/>
                <w:szCs w:val="20"/>
                <w:lang w:val="en-IE"/>
              </w:rPr>
              <w:t xml:space="preserve">nnual </w:t>
            </w:r>
            <w:r>
              <w:rPr>
                <w:rFonts w:ascii="EC Square Sans Cond Pro" w:eastAsia="Times New Roman" w:hAnsi="EC Square Sans Cond Pro" w:cs="Calibri"/>
                <w:b/>
                <w:bCs/>
                <w:noProof/>
                <w:color w:val="000000"/>
                <w:sz w:val="20"/>
                <w:szCs w:val="20"/>
                <w:lang w:val="en-IE"/>
              </w:rPr>
              <w:t>c</w:t>
            </w:r>
            <w:r w:rsidRPr="00870E72">
              <w:rPr>
                <w:rFonts w:ascii="EC Square Sans Cond Pro" w:eastAsia="Times New Roman" w:hAnsi="EC Square Sans Cond Pro" w:cs="Calibri"/>
                <w:b/>
                <w:bCs/>
                <w:noProof/>
                <w:color w:val="000000"/>
                <w:sz w:val="20"/>
                <w:szCs w:val="20"/>
                <w:lang w:val="en-IE"/>
              </w:rPr>
              <w:t>ost</w:t>
            </w:r>
            <w:r>
              <w:rPr>
                <w:rFonts w:ascii="EC Square Sans Cond Pro" w:eastAsia="Times New Roman" w:hAnsi="EC Square Sans Cond Pro" w:cs="Calibri"/>
                <w:b/>
                <w:bCs/>
                <w:noProof/>
                <w:color w:val="000000"/>
                <w:sz w:val="20"/>
                <w:szCs w:val="20"/>
                <w:lang w:val="en-IE"/>
              </w:rPr>
              <w:t>s</w:t>
            </w:r>
            <w:r w:rsidRPr="00870E72">
              <w:rPr>
                <w:rFonts w:ascii="EC Square Sans Cond Pro" w:eastAsia="Times New Roman" w:hAnsi="EC Square Sans Cond Pro" w:cs="Calibri"/>
                <w:b/>
                <w:bCs/>
                <w:noProof/>
                <w:color w:val="000000"/>
                <w:sz w:val="20"/>
                <w:szCs w:val="20"/>
                <w:lang w:val="en-IE"/>
              </w:rPr>
              <w:t xml:space="preserve">  </w:t>
            </w:r>
            <w:r w:rsidRPr="00870E72">
              <w:rPr>
                <w:rFonts w:ascii="EC Square Sans Cond Pro" w:eastAsia="Times New Roman" w:hAnsi="EC Square Sans Cond Pro" w:cs="Calibri"/>
                <w:b/>
                <w:bCs/>
                <w:noProof/>
                <w:color w:val="000000"/>
                <w:sz w:val="20"/>
                <w:szCs w:val="20"/>
                <w:lang w:val="en-IE"/>
              </w:rPr>
              <w:br/>
              <w:t>[EUR 2023</w:t>
            </w:r>
            <w:r>
              <w:rPr>
                <w:rFonts w:ascii="EC Square Sans Cond Pro" w:eastAsia="Times New Roman" w:hAnsi="EC Square Sans Cond Pro" w:cs="Calibri"/>
                <w:b/>
                <w:bCs/>
                <w:noProof/>
                <w:color w:val="000000"/>
                <w:sz w:val="20"/>
                <w:szCs w:val="20"/>
                <w:lang w:val="en-IE"/>
              </w:rPr>
              <w:t xml:space="preserve"> billion/year</w:t>
            </w:r>
            <w:r w:rsidRPr="00870E72">
              <w:rPr>
                <w:rFonts w:ascii="EC Square Sans Cond Pro" w:eastAsia="Times New Roman" w:hAnsi="EC Square Sans Cond Pro" w:cs="Calibri"/>
                <w:b/>
                <w:bCs/>
                <w:noProof/>
                <w:color w:val="000000"/>
                <w:sz w:val="20"/>
                <w:szCs w:val="20"/>
                <w:lang w:val="en-IE"/>
              </w:rPr>
              <w:t>]</w:t>
            </w:r>
          </w:p>
        </w:tc>
        <w:tc>
          <w:tcPr>
            <w:tcW w:w="1215" w:type="pct"/>
            <w:gridSpan w:val="3"/>
            <w:tcBorders>
              <w:top w:val="single" w:sz="8" w:space="0" w:color="auto"/>
              <w:left w:val="nil"/>
              <w:bottom w:val="single" w:sz="8" w:space="0" w:color="auto"/>
              <w:right w:val="single" w:sz="8" w:space="0" w:color="000000"/>
            </w:tcBorders>
            <w:shd w:val="clear" w:color="000000" w:fill="FFFFFF"/>
            <w:noWrap/>
            <w:vAlign w:val="center"/>
            <w:hideMark/>
          </w:tcPr>
          <w:p w14:paraId="3F32B3D1" w14:textId="2DDE6408" w:rsidR="00A074EB" w:rsidRPr="00870E72" w:rsidRDefault="00A074EB">
            <w:pPr>
              <w:keepNext/>
              <w:keepLines/>
              <w:spacing w:after="0"/>
              <w:jc w:val="center"/>
              <w:rPr>
                <w:rFonts w:ascii="EC Square Sans Cond Pro" w:eastAsia="Times New Roman" w:hAnsi="EC Square Sans Cond Pro" w:cs="Calibri"/>
                <w:b/>
                <w:bCs/>
                <w:noProof/>
                <w:color w:val="000000"/>
                <w:sz w:val="20"/>
                <w:szCs w:val="20"/>
                <w:lang w:val="en-IE"/>
              </w:rPr>
            </w:pPr>
            <w:r w:rsidRPr="00870E72">
              <w:rPr>
                <w:rFonts w:ascii="EC Square Sans Cond Pro" w:eastAsia="Times New Roman" w:hAnsi="EC Square Sans Cond Pro" w:cs="Calibri"/>
                <w:b/>
                <w:bCs/>
                <w:noProof/>
                <w:color w:val="000000"/>
                <w:sz w:val="20"/>
                <w:szCs w:val="20"/>
                <w:lang w:val="en-IE"/>
              </w:rPr>
              <w:t>2031-2040</w:t>
            </w:r>
          </w:p>
        </w:tc>
        <w:tc>
          <w:tcPr>
            <w:tcW w:w="1216" w:type="pct"/>
            <w:gridSpan w:val="3"/>
            <w:tcBorders>
              <w:top w:val="single" w:sz="8" w:space="0" w:color="auto"/>
              <w:left w:val="nil"/>
              <w:bottom w:val="single" w:sz="8" w:space="0" w:color="auto"/>
              <w:right w:val="nil"/>
            </w:tcBorders>
            <w:shd w:val="clear" w:color="000000" w:fill="FFFFFF"/>
            <w:noWrap/>
            <w:vAlign w:val="center"/>
            <w:hideMark/>
          </w:tcPr>
          <w:p w14:paraId="17292595" w14:textId="523A8B0D" w:rsidR="00A074EB" w:rsidRPr="00870E72" w:rsidRDefault="00A074EB">
            <w:pPr>
              <w:keepNext/>
              <w:keepLines/>
              <w:spacing w:after="0"/>
              <w:jc w:val="center"/>
              <w:rPr>
                <w:rFonts w:ascii="EC Square Sans Cond Pro" w:eastAsia="Times New Roman" w:hAnsi="EC Square Sans Cond Pro" w:cs="Calibri"/>
                <w:b/>
                <w:bCs/>
                <w:noProof/>
                <w:color w:val="000000"/>
                <w:sz w:val="20"/>
                <w:szCs w:val="20"/>
                <w:lang w:val="en-IE"/>
              </w:rPr>
            </w:pPr>
            <w:r w:rsidRPr="00870E72">
              <w:rPr>
                <w:rFonts w:ascii="EC Square Sans Cond Pro" w:eastAsia="Times New Roman" w:hAnsi="EC Square Sans Cond Pro" w:cs="Calibri"/>
                <w:b/>
                <w:bCs/>
                <w:noProof/>
                <w:color w:val="000000"/>
                <w:sz w:val="20"/>
                <w:szCs w:val="20"/>
                <w:lang w:val="en-IE"/>
              </w:rPr>
              <w:t>2041-2050</w:t>
            </w:r>
          </w:p>
        </w:tc>
        <w:tc>
          <w:tcPr>
            <w:tcW w:w="1212"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09371A3" w14:textId="2B3941A3" w:rsidR="00A074EB" w:rsidRPr="00870E72" w:rsidRDefault="00A074EB">
            <w:pPr>
              <w:keepNext/>
              <w:keepLines/>
              <w:spacing w:after="0"/>
              <w:jc w:val="center"/>
              <w:rPr>
                <w:rFonts w:ascii="EC Square Sans Cond Pro" w:eastAsia="Times New Roman" w:hAnsi="EC Square Sans Cond Pro" w:cs="Calibri"/>
                <w:b/>
                <w:bCs/>
                <w:noProof/>
                <w:color w:val="000000"/>
                <w:sz w:val="20"/>
                <w:szCs w:val="20"/>
                <w:lang w:val="en-IE"/>
              </w:rPr>
            </w:pPr>
            <w:r w:rsidRPr="00870E72">
              <w:rPr>
                <w:rFonts w:ascii="EC Square Sans Cond Pro" w:eastAsia="Times New Roman" w:hAnsi="EC Square Sans Cond Pro" w:cs="Calibri"/>
                <w:b/>
                <w:bCs/>
                <w:noProof/>
                <w:color w:val="000000"/>
                <w:sz w:val="20"/>
                <w:szCs w:val="20"/>
                <w:lang w:val="en-IE"/>
              </w:rPr>
              <w:t>20</w:t>
            </w:r>
            <w:r>
              <w:rPr>
                <w:rFonts w:ascii="EC Square Sans Cond Pro" w:eastAsia="Times New Roman" w:hAnsi="EC Square Sans Cond Pro" w:cs="Calibri"/>
                <w:b/>
                <w:bCs/>
                <w:noProof/>
                <w:color w:val="000000"/>
                <w:sz w:val="20"/>
                <w:szCs w:val="20"/>
                <w:lang w:val="en-IE"/>
              </w:rPr>
              <w:t>3</w:t>
            </w:r>
            <w:r w:rsidRPr="00870E72">
              <w:rPr>
                <w:rFonts w:ascii="EC Square Sans Cond Pro" w:eastAsia="Times New Roman" w:hAnsi="EC Square Sans Cond Pro" w:cs="Calibri"/>
                <w:b/>
                <w:bCs/>
                <w:noProof/>
                <w:color w:val="000000"/>
                <w:sz w:val="20"/>
                <w:szCs w:val="20"/>
                <w:lang w:val="en-IE"/>
              </w:rPr>
              <w:t>1-2050</w:t>
            </w:r>
          </w:p>
        </w:tc>
      </w:tr>
      <w:tr w:rsidR="00A074EB" w:rsidRPr="00870E72" w14:paraId="71497C3D" w14:textId="56C3AB8B" w:rsidTr="00DF2071">
        <w:trPr>
          <w:trHeight w:val="315"/>
        </w:trPr>
        <w:tc>
          <w:tcPr>
            <w:tcW w:w="1357" w:type="pct"/>
            <w:vMerge/>
            <w:tcBorders>
              <w:left w:val="single" w:sz="8" w:space="0" w:color="auto"/>
              <w:bottom w:val="single" w:sz="4" w:space="0" w:color="auto"/>
              <w:right w:val="single" w:sz="8" w:space="0" w:color="000000"/>
            </w:tcBorders>
            <w:shd w:val="clear" w:color="000000" w:fill="FFFFFF"/>
            <w:vAlign w:val="center"/>
            <w:hideMark/>
          </w:tcPr>
          <w:p w14:paraId="3CB935BE" w14:textId="30744888" w:rsidR="00A074EB" w:rsidRPr="00870E72" w:rsidRDefault="00A074EB">
            <w:pPr>
              <w:keepNext/>
              <w:keepLines/>
              <w:spacing w:after="0"/>
              <w:jc w:val="left"/>
              <w:rPr>
                <w:rFonts w:ascii="EC Square Sans Cond Pro" w:eastAsia="Times New Roman" w:hAnsi="EC Square Sans Cond Pro" w:cs="Calibri"/>
                <w:b/>
                <w:bCs/>
                <w:noProof/>
                <w:color w:val="000000"/>
                <w:sz w:val="20"/>
                <w:szCs w:val="20"/>
                <w:lang w:val="en-IE"/>
              </w:rPr>
            </w:pPr>
          </w:p>
        </w:tc>
        <w:tc>
          <w:tcPr>
            <w:tcW w:w="405" w:type="pct"/>
            <w:tcBorders>
              <w:top w:val="nil"/>
              <w:left w:val="nil"/>
              <w:bottom w:val="single" w:sz="4" w:space="0" w:color="auto"/>
              <w:right w:val="nil"/>
            </w:tcBorders>
            <w:shd w:val="clear" w:color="000000" w:fill="FFFFFF"/>
            <w:vAlign w:val="center"/>
            <w:hideMark/>
          </w:tcPr>
          <w:p w14:paraId="284F8BC6" w14:textId="7F906E60" w:rsidR="00A074EB" w:rsidRPr="00870E72" w:rsidRDefault="00A074EB">
            <w:pPr>
              <w:keepNext/>
              <w:keepLines/>
              <w:spacing w:after="0"/>
              <w:jc w:val="center"/>
              <w:rPr>
                <w:rFonts w:ascii="EC Square Sans Cond Pro" w:eastAsia="Times New Roman" w:hAnsi="EC Square Sans Cond Pro" w:cs="Calibri"/>
                <w:b/>
                <w:bCs/>
                <w:noProof/>
                <w:color w:val="000000"/>
                <w:sz w:val="20"/>
                <w:szCs w:val="20"/>
                <w:lang w:val="en-IE"/>
              </w:rPr>
            </w:pPr>
            <w:r w:rsidRPr="00870E72">
              <w:rPr>
                <w:rFonts w:ascii="EC Square Sans Cond Pro" w:eastAsia="Times New Roman" w:hAnsi="EC Square Sans Cond Pro" w:cs="Calibri"/>
                <w:b/>
                <w:bCs/>
                <w:noProof/>
                <w:color w:val="000000"/>
                <w:sz w:val="20"/>
                <w:szCs w:val="20"/>
                <w:lang w:val="en-IE"/>
              </w:rPr>
              <w:t>S1</w:t>
            </w:r>
          </w:p>
        </w:tc>
        <w:tc>
          <w:tcPr>
            <w:tcW w:w="405" w:type="pct"/>
            <w:tcBorders>
              <w:top w:val="nil"/>
              <w:left w:val="nil"/>
              <w:bottom w:val="single" w:sz="4" w:space="0" w:color="auto"/>
              <w:right w:val="nil"/>
            </w:tcBorders>
            <w:shd w:val="clear" w:color="000000" w:fill="FFFFFF"/>
            <w:vAlign w:val="center"/>
            <w:hideMark/>
          </w:tcPr>
          <w:p w14:paraId="0EB1E4ED" w14:textId="61F4D321" w:rsidR="00A074EB" w:rsidRPr="00870E72" w:rsidRDefault="00A074EB">
            <w:pPr>
              <w:keepNext/>
              <w:keepLines/>
              <w:spacing w:after="0"/>
              <w:jc w:val="center"/>
              <w:rPr>
                <w:rFonts w:ascii="EC Square Sans Cond Pro" w:eastAsia="Times New Roman" w:hAnsi="EC Square Sans Cond Pro" w:cs="Calibri"/>
                <w:b/>
                <w:bCs/>
                <w:noProof/>
                <w:color w:val="000000"/>
                <w:sz w:val="20"/>
                <w:szCs w:val="20"/>
                <w:lang w:val="en-IE"/>
              </w:rPr>
            </w:pPr>
            <w:r w:rsidRPr="00870E72">
              <w:rPr>
                <w:rFonts w:ascii="EC Square Sans Cond Pro" w:eastAsia="Times New Roman" w:hAnsi="EC Square Sans Cond Pro" w:cs="Calibri"/>
                <w:b/>
                <w:bCs/>
                <w:noProof/>
                <w:color w:val="000000"/>
                <w:sz w:val="20"/>
                <w:szCs w:val="20"/>
                <w:lang w:val="en-IE"/>
              </w:rPr>
              <w:t>S2</w:t>
            </w:r>
          </w:p>
        </w:tc>
        <w:tc>
          <w:tcPr>
            <w:tcW w:w="405" w:type="pct"/>
            <w:tcBorders>
              <w:top w:val="nil"/>
              <w:left w:val="nil"/>
              <w:bottom w:val="single" w:sz="4" w:space="0" w:color="auto"/>
              <w:right w:val="nil"/>
            </w:tcBorders>
            <w:shd w:val="clear" w:color="000000" w:fill="FFFFFF"/>
            <w:vAlign w:val="center"/>
            <w:hideMark/>
          </w:tcPr>
          <w:p w14:paraId="59A82233" w14:textId="2D91C07D" w:rsidR="00A074EB" w:rsidRPr="00870E72" w:rsidRDefault="00A074EB">
            <w:pPr>
              <w:keepNext/>
              <w:keepLines/>
              <w:spacing w:after="0"/>
              <w:jc w:val="center"/>
              <w:rPr>
                <w:rFonts w:ascii="EC Square Sans Cond Pro" w:eastAsia="Times New Roman" w:hAnsi="EC Square Sans Cond Pro" w:cs="Calibri"/>
                <w:b/>
                <w:bCs/>
                <w:noProof/>
                <w:color w:val="000000"/>
                <w:sz w:val="20"/>
                <w:szCs w:val="20"/>
                <w:lang w:val="en-IE"/>
              </w:rPr>
            </w:pPr>
            <w:r w:rsidRPr="00870E72">
              <w:rPr>
                <w:rFonts w:ascii="EC Square Sans Cond Pro" w:eastAsia="Times New Roman" w:hAnsi="EC Square Sans Cond Pro" w:cs="Calibri"/>
                <w:b/>
                <w:bCs/>
                <w:noProof/>
                <w:color w:val="000000"/>
                <w:sz w:val="20"/>
                <w:szCs w:val="20"/>
                <w:lang w:val="en-IE"/>
              </w:rPr>
              <w:t>S3</w:t>
            </w:r>
          </w:p>
        </w:tc>
        <w:tc>
          <w:tcPr>
            <w:tcW w:w="405" w:type="pct"/>
            <w:tcBorders>
              <w:top w:val="nil"/>
              <w:left w:val="single" w:sz="8" w:space="0" w:color="auto"/>
              <w:bottom w:val="single" w:sz="4" w:space="0" w:color="auto"/>
              <w:right w:val="nil"/>
            </w:tcBorders>
            <w:shd w:val="clear" w:color="000000" w:fill="FFFFFF"/>
            <w:vAlign w:val="center"/>
            <w:hideMark/>
          </w:tcPr>
          <w:p w14:paraId="2234F105" w14:textId="437F1C3B" w:rsidR="00A074EB" w:rsidRPr="00870E72" w:rsidRDefault="00A074EB">
            <w:pPr>
              <w:keepNext/>
              <w:keepLines/>
              <w:spacing w:after="0"/>
              <w:jc w:val="center"/>
              <w:rPr>
                <w:rFonts w:ascii="EC Square Sans Cond Pro" w:eastAsia="Times New Roman" w:hAnsi="EC Square Sans Cond Pro" w:cs="Calibri"/>
                <w:b/>
                <w:bCs/>
                <w:noProof/>
                <w:color w:val="000000"/>
                <w:sz w:val="20"/>
                <w:szCs w:val="20"/>
                <w:lang w:val="en-IE"/>
              </w:rPr>
            </w:pPr>
            <w:r w:rsidRPr="00870E72">
              <w:rPr>
                <w:rFonts w:ascii="EC Square Sans Cond Pro" w:eastAsia="Times New Roman" w:hAnsi="EC Square Sans Cond Pro" w:cs="Calibri"/>
                <w:b/>
                <w:bCs/>
                <w:noProof/>
                <w:color w:val="000000"/>
                <w:sz w:val="20"/>
                <w:szCs w:val="20"/>
                <w:lang w:val="en-IE"/>
              </w:rPr>
              <w:t>S1</w:t>
            </w:r>
          </w:p>
        </w:tc>
        <w:tc>
          <w:tcPr>
            <w:tcW w:w="405" w:type="pct"/>
            <w:tcBorders>
              <w:top w:val="nil"/>
              <w:left w:val="nil"/>
              <w:bottom w:val="single" w:sz="4" w:space="0" w:color="auto"/>
              <w:right w:val="nil"/>
            </w:tcBorders>
            <w:shd w:val="clear" w:color="000000" w:fill="FFFFFF"/>
            <w:vAlign w:val="center"/>
            <w:hideMark/>
          </w:tcPr>
          <w:p w14:paraId="640F1545" w14:textId="636D06F9" w:rsidR="00A074EB" w:rsidRPr="00870E72" w:rsidRDefault="00A074EB">
            <w:pPr>
              <w:keepNext/>
              <w:keepLines/>
              <w:spacing w:after="0"/>
              <w:jc w:val="center"/>
              <w:rPr>
                <w:rFonts w:ascii="EC Square Sans Cond Pro" w:eastAsia="Times New Roman" w:hAnsi="EC Square Sans Cond Pro" w:cs="Calibri"/>
                <w:b/>
                <w:bCs/>
                <w:noProof/>
                <w:color w:val="000000"/>
                <w:sz w:val="20"/>
                <w:szCs w:val="20"/>
                <w:lang w:val="en-IE"/>
              </w:rPr>
            </w:pPr>
            <w:r w:rsidRPr="00870E72">
              <w:rPr>
                <w:rFonts w:ascii="EC Square Sans Cond Pro" w:eastAsia="Times New Roman" w:hAnsi="EC Square Sans Cond Pro" w:cs="Calibri"/>
                <w:b/>
                <w:bCs/>
                <w:noProof/>
                <w:color w:val="000000"/>
                <w:sz w:val="20"/>
                <w:szCs w:val="20"/>
                <w:lang w:val="en-IE"/>
              </w:rPr>
              <w:t>S2</w:t>
            </w:r>
          </w:p>
        </w:tc>
        <w:tc>
          <w:tcPr>
            <w:tcW w:w="406" w:type="pct"/>
            <w:tcBorders>
              <w:top w:val="nil"/>
              <w:left w:val="nil"/>
              <w:bottom w:val="single" w:sz="4" w:space="0" w:color="auto"/>
              <w:right w:val="nil"/>
            </w:tcBorders>
            <w:shd w:val="clear" w:color="000000" w:fill="FFFFFF"/>
            <w:vAlign w:val="center"/>
            <w:hideMark/>
          </w:tcPr>
          <w:p w14:paraId="31AFEAB5" w14:textId="788F1684" w:rsidR="00A074EB" w:rsidRPr="00870E72" w:rsidRDefault="00A074EB">
            <w:pPr>
              <w:keepNext/>
              <w:keepLines/>
              <w:spacing w:after="0"/>
              <w:jc w:val="center"/>
              <w:rPr>
                <w:rFonts w:ascii="EC Square Sans Cond Pro" w:eastAsia="Times New Roman" w:hAnsi="EC Square Sans Cond Pro" w:cs="Calibri"/>
                <w:b/>
                <w:bCs/>
                <w:noProof/>
                <w:color w:val="000000"/>
                <w:sz w:val="20"/>
                <w:szCs w:val="20"/>
                <w:lang w:val="en-IE"/>
              </w:rPr>
            </w:pPr>
            <w:r w:rsidRPr="00870E72">
              <w:rPr>
                <w:rFonts w:ascii="EC Square Sans Cond Pro" w:eastAsia="Times New Roman" w:hAnsi="EC Square Sans Cond Pro" w:cs="Calibri"/>
                <w:b/>
                <w:bCs/>
                <w:noProof/>
                <w:color w:val="000000"/>
                <w:sz w:val="20"/>
                <w:szCs w:val="20"/>
                <w:lang w:val="en-IE"/>
              </w:rPr>
              <w:t>S3</w:t>
            </w:r>
          </w:p>
        </w:tc>
        <w:tc>
          <w:tcPr>
            <w:tcW w:w="405" w:type="pct"/>
            <w:tcBorders>
              <w:top w:val="nil"/>
              <w:left w:val="single" w:sz="8" w:space="0" w:color="auto"/>
              <w:bottom w:val="single" w:sz="4" w:space="0" w:color="auto"/>
              <w:right w:val="nil"/>
            </w:tcBorders>
            <w:shd w:val="clear" w:color="000000" w:fill="FFFFFF"/>
            <w:vAlign w:val="center"/>
            <w:hideMark/>
          </w:tcPr>
          <w:p w14:paraId="44CBF825" w14:textId="09BA78DA" w:rsidR="00A074EB" w:rsidRPr="00870E72" w:rsidRDefault="00A074EB">
            <w:pPr>
              <w:keepNext/>
              <w:keepLines/>
              <w:spacing w:after="0"/>
              <w:jc w:val="center"/>
              <w:rPr>
                <w:rFonts w:ascii="EC Square Sans Cond Pro" w:eastAsia="Times New Roman" w:hAnsi="EC Square Sans Cond Pro" w:cs="Calibri"/>
                <w:b/>
                <w:bCs/>
                <w:noProof/>
                <w:color w:val="000000"/>
                <w:sz w:val="20"/>
                <w:szCs w:val="20"/>
                <w:lang w:val="en-IE"/>
              </w:rPr>
            </w:pPr>
            <w:r w:rsidRPr="00870E72">
              <w:rPr>
                <w:rFonts w:ascii="EC Square Sans Cond Pro" w:eastAsia="Times New Roman" w:hAnsi="EC Square Sans Cond Pro" w:cs="Calibri"/>
                <w:b/>
                <w:bCs/>
                <w:noProof/>
                <w:color w:val="000000"/>
                <w:sz w:val="20"/>
                <w:szCs w:val="20"/>
                <w:lang w:val="en-IE"/>
              </w:rPr>
              <w:t>S1</w:t>
            </w:r>
          </w:p>
        </w:tc>
        <w:tc>
          <w:tcPr>
            <w:tcW w:w="405" w:type="pct"/>
            <w:tcBorders>
              <w:top w:val="nil"/>
              <w:left w:val="nil"/>
              <w:bottom w:val="single" w:sz="4" w:space="0" w:color="auto"/>
              <w:right w:val="nil"/>
            </w:tcBorders>
            <w:shd w:val="clear" w:color="000000" w:fill="FFFFFF"/>
            <w:vAlign w:val="center"/>
            <w:hideMark/>
          </w:tcPr>
          <w:p w14:paraId="5FFB8DD7" w14:textId="0A9EECCB" w:rsidR="00A074EB" w:rsidRPr="00870E72" w:rsidRDefault="00A074EB">
            <w:pPr>
              <w:keepNext/>
              <w:keepLines/>
              <w:spacing w:after="0"/>
              <w:jc w:val="center"/>
              <w:rPr>
                <w:rFonts w:ascii="EC Square Sans Cond Pro" w:eastAsia="Times New Roman" w:hAnsi="EC Square Sans Cond Pro" w:cs="Calibri"/>
                <w:b/>
                <w:bCs/>
                <w:noProof/>
                <w:color w:val="000000"/>
                <w:sz w:val="20"/>
                <w:szCs w:val="20"/>
                <w:lang w:val="en-IE"/>
              </w:rPr>
            </w:pPr>
            <w:r w:rsidRPr="00870E72">
              <w:rPr>
                <w:rFonts w:ascii="EC Square Sans Cond Pro" w:eastAsia="Times New Roman" w:hAnsi="EC Square Sans Cond Pro" w:cs="Calibri"/>
                <w:b/>
                <w:bCs/>
                <w:noProof/>
                <w:color w:val="000000"/>
                <w:sz w:val="20"/>
                <w:szCs w:val="20"/>
                <w:lang w:val="en-IE"/>
              </w:rPr>
              <w:t>S2</w:t>
            </w:r>
          </w:p>
        </w:tc>
        <w:tc>
          <w:tcPr>
            <w:tcW w:w="402" w:type="pct"/>
            <w:tcBorders>
              <w:top w:val="nil"/>
              <w:left w:val="nil"/>
              <w:bottom w:val="single" w:sz="4" w:space="0" w:color="auto"/>
              <w:right w:val="single" w:sz="8" w:space="0" w:color="auto"/>
            </w:tcBorders>
            <w:shd w:val="clear" w:color="000000" w:fill="FFFFFF"/>
            <w:vAlign w:val="center"/>
            <w:hideMark/>
          </w:tcPr>
          <w:p w14:paraId="507D483F" w14:textId="1E23997A" w:rsidR="00A074EB" w:rsidRPr="00870E72" w:rsidRDefault="00A074EB">
            <w:pPr>
              <w:keepNext/>
              <w:keepLines/>
              <w:spacing w:after="0"/>
              <w:jc w:val="center"/>
              <w:rPr>
                <w:rFonts w:ascii="EC Square Sans Cond Pro" w:eastAsia="Times New Roman" w:hAnsi="EC Square Sans Cond Pro" w:cs="Calibri"/>
                <w:b/>
                <w:bCs/>
                <w:noProof/>
                <w:color w:val="000000"/>
                <w:sz w:val="20"/>
                <w:szCs w:val="20"/>
                <w:lang w:val="en-IE"/>
              </w:rPr>
            </w:pPr>
            <w:r w:rsidRPr="00870E72">
              <w:rPr>
                <w:rFonts w:ascii="EC Square Sans Cond Pro" w:eastAsia="Times New Roman" w:hAnsi="EC Square Sans Cond Pro" w:cs="Calibri"/>
                <w:b/>
                <w:bCs/>
                <w:noProof/>
                <w:color w:val="000000"/>
                <w:sz w:val="20"/>
                <w:szCs w:val="20"/>
                <w:lang w:val="en-IE"/>
              </w:rPr>
              <w:t>S3</w:t>
            </w:r>
          </w:p>
        </w:tc>
      </w:tr>
      <w:tr w:rsidR="00A074EB" w:rsidRPr="00870E72" w14:paraId="40D1E3E5" w14:textId="6DBF7E12" w:rsidTr="00DF2071">
        <w:trPr>
          <w:trHeight w:val="227"/>
        </w:trPr>
        <w:tc>
          <w:tcPr>
            <w:tcW w:w="1357" w:type="pct"/>
            <w:tcBorders>
              <w:top w:val="single" w:sz="4" w:space="0" w:color="auto"/>
              <w:left w:val="single" w:sz="8" w:space="0" w:color="auto"/>
              <w:bottom w:val="nil"/>
              <w:right w:val="single" w:sz="8" w:space="0" w:color="auto"/>
            </w:tcBorders>
            <w:shd w:val="clear" w:color="000000" w:fill="FFFFFF"/>
            <w:noWrap/>
            <w:hideMark/>
          </w:tcPr>
          <w:p w14:paraId="2B302AD2" w14:textId="030BEFFB" w:rsidR="00A074EB" w:rsidRPr="00870E72" w:rsidRDefault="00A074EB">
            <w:pPr>
              <w:keepNext/>
              <w:keepLines/>
              <w:spacing w:after="0"/>
              <w:jc w:val="left"/>
              <w:rPr>
                <w:rFonts w:ascii="EC Square Sans Cond Pro" w:eastAsia="Times New Roman" w:hAnsi="EC Square Sans Cond Pro" w:cs="Calibri"/>
                <w:noProof/>
                <w:color w:val="000000"/>
                <w:sz w:val="20"/>
                <w:szCs w:val="20"/>
                <w:lang w:val="en-IE"/>
              </w:rPr>
            </w:pPr>
            <w:r w:rsidRPr="00870E72">
              <w:rPr>
                <w:rFonts w:ascii="EC Square Sans Cond Pro" w:eastAsia="Times New Roman" w:hAnsi="EC Square Sans Cond Pro" w:cs="Calibri"/>
                <w:noProof/>
                <w:color w:val="000000"/>
                <w:sz w:val="20"/>
                <w:szCs w:val="20"/>
                <w:lang w:val="en-IE"/>
              </w:rPr>
              <w:t xml:space="preserve">Mitigation of LULUCF </w:t>
            </w:r>
            <w:r>
              <w:rPr>
                <w:rFonts w:ascii="EC Square Sans Cond Pro" w:eastAsia="Times New Roman" w:hAnsi="EC Square Sans Cond Pro" w:cs="Calibri"/>
                <w:noProof/>
                <w:color w:val="000000"/>
                <w:sz w:val="20"/>
                <w:szCs w:val="20"/>
                <w:lang w:val="en-IE"/>
              </w:rPr>
              <w:t xml:space="preserve">GHG </w:t>
            </w:r>
            <w:r w:rsidRPr="00870E72">
              <w:rPr>
                <w:rFonts w:ascii="EC Square Sans Cond Pro" w:eastAsia="Times New Roman" w:hAnsi="EC Square Sans Cond Pro" w:cs="Calibri"/>
                <w:noProof/>
                <w:color w:val="000000"/>
                <w:sz w:val="20"/>
                <w:szCs w:val="20"/>
                <w:lang w:val="en-IE"/>
              </w:rPr>
              <w:t>emissions</w:t>
            </w:r>
          </w:p>
        </w:tc>
        <w:tc>
          <w:tcPr>
            <w:tcW w:w="405" w:type="pct"/>
            <w:tcBorders>
              <w:top w:val="single" w:sz="4" w:space="0" w:color="auto"/>
              <w:left w:val="nil"/>
              <w:bottom w:val="nil"/>
              <w:right w:val="nil"/>
            </w:tcBorders>
            <w:shd w:val="clear" w:color="000000" w:fill="FFFFFF"/>
            <w:noWrap/>
            <w:vAlign w:val="center"/>
            <w:hideMark/>
          </w:tcPr>
          <w:p w14:paraId="71E77B19" w14:textId="787DE34F" w:rsidR="00A074EB" w:rsidRPr="006E47BC" w:rsidRDefault="00A074EB">
            <w:pPr>
              <w:keepNext/>
              <w:keepLines/>
              <w:spacing w:after="0"/>
              <w:jc w:val="center"/>
              <w:rPr>
                <w:rFonts w:ascii="EC Square Sans Cond Pro" w:eastAsia="Times New Roman" w:hAnsi="EC Square Sans Cond Pro" w:cs="Calibri"/>
                <w:noProof/>
                <w:color w:val="000000"/>
                <w:sz w:val="20"/>
                <w:szCs w:val="20"/>
                <w:lang w:val="en-IE"/>
              </w:rPr>
            </w:pPr>
            <w:r w:rsidRPr="00EF2244">
              <w:rPr>
                <w:rFonts w:ascii="EC Square Sans Cond Pro" w:hAnsi="EC Square Sans Cond Pro"/>
                <w:noProof/>
                <w:sz w:val="20"/>
                <w:szCs w:val="20"/>
              </w:rPr>
              <w:t>1.1</w:t>
            </w:r>
          </w:p>
        </w:tc>
        <w:tc>
          <w:tcPr>
            <w:tcW w:w="405" w:type="pct"/>
            <w:tcBorders>
              <w:top w:val="single" w:sz="4" w:space="0" w:color="auto"/>
              <w:left w:val="nil"/>
              <w:bottom w:val="nil"/>
              <w:right w:val="nil"/>
            </w:tcBorders>
            <w:shd w:val="clear" w:color="000000" w:fill="FFFFFF"/>
            <w:noWrap/>
            <w:vAlign w:val="center"/>
            <w:hideMark/>
          </w:tcPr>
          <w:p w14:paraId="586A72DB" w14:textId="0922C2CB" w:rsidR="00A074EB" w:rsidRPr="006E47BC" w:rsidRDefault="00A074EB">
            <w:pPr>
              <w:keepNext/>
              <w:keepLines/>
              <w:spacing w:after="0"/>
              <w:jc w:val="center"/>
              <w:rPr>
                <w:rFonts w:ascii="EC Square Sans Cond Pro" w:eastAsia="Times New Roman" w:hAnsi="EC Square Sans Cond Pro" w:cs="Calibri"/>
                <w:noProof/>
                <w:color w:val="000000"/>
                <w:sz w:val="20"/>
                <w:szCs w:val="20"/>
                <w:lang w:val="en-IE"/>
              </w:rPr>
            </w:pPr>
            <w:r w:rsidRPr="00EF2244">
              <w:rPr>
                <w:rFonts w:ascii="EC Square Sans Cond Pro" w:hAnsi="EC Square Sans Cond Pro"/>
                <w:noProof/>
                <w:sz w:val="20"/>
                <w:szCs w:val="20"/>
              </w:rPr>
              <w:t>2.5</w:t>
            </w:r>
          </w:p>
        </w:tc>
        <w:tc>
          <w:tcPr>
            <w:tcW w:w="405" w:type="pct"/>
            <w:tcBorders>
              <w:top w:val="single" w:sz="4" w:space="0" w:color="auto"/>
              <w:left w:val="nil"/>
              <w:bottom w:val="nil"/>
              <w:right w:val="single" w:sz="8" w:space="0" w:color="auto"/>
            </w:tcBorders>
            <w:shd w:val="clear" w:color="000000" w:fill="FFFFFF"/>
            <w:noWrap/>
            <w:vAlign w:val="center"/>
            <w:hideMark/>
          </w:tcPr>
          <w:p w14:paraId="06C5104E" w14:textId="731D5A0A" w:rsidR="00A074EB" w:rsidRPr="006E47BC" w:rsidRDefault="00A074EB">
            <w:pPr>
              <w:keepNext/>
              <w:keepLines/>
              <w:spacing w:after="0"/>
              <w:jc w:val="center"/>
              <w:rPr>
                <w:rFonts w:ascii="EC Square Sans Cond Pro" w:eastAsia="Times New Roman" w:hAnsi="EC Square Sans Cond Pro" w:cs="Calibri"/>
                <w:noProof/>
                <w:color w:val="000000"/>
                <w:sz w:val="20"/>
                <w:szCs w:val="20"/>
                <w:lang w:val="en-IE"/>
              </w:rPr>
            </w:pPr>
            <w:r w:rsidRPr="00EF2244">
              <w:rPr>
                <w:rFonts w:ascii="EC Square Sans Cond Pro" w:hAnsi="EC Square Sans Cond Pro"/>
                <w:noProof/>
                <w:sz w:val="20"/>
                <w:szCs w:val="20"/>
              </w:rPr>
              <w:t>2.5</w:t>
            </w:r>
          </w:p>
        </w:tc>
        <w:tc>
          <w:tcPr>
            <w:tcW w:w="405" w:type="pct"/>
            <w:tcBorders>
              <w:top w:val="single" w:sz="4" w:space="0" w:color="auto"/>
              <w:left w:val="nil"/>
              <w:bottom w:val="nil"/>
              <w:right w:val="nil"/>
            </w:tcBorders>
            <w:shd w:val="clear" w:color="000000" w:fill="FFFFFF"/>
            <w:noWrap/>
            <w:vAlign w:val="center"/>
            <w:hideMark/>
          </w:tcPr>
          <w:p w14:paraId="510F4485" w14:textId="4AD9C447" w:rsidR="00A074EB" w:rsidRPr="006E47BC" w:rsidRDefault="00A074EB">
            <w:pPr>
              <w:keepNext/>
              <w:keepLines/>
              <w:spacing w:after="0"/>
              <w:jc w:val="center"/>
              <w:rPr>
                <w:rFonts w:ascii="EC Square Sans Cond Pro" w:eastAsia="Times New Roman" w:hAnsi="EC Square Sans Cond Pro" w:cs="Calibri"/>
                <w:noProof/>
                <w:color w:val="000000"/>
                <w:sz w:val="20"/>
                <w:szCs w:val="20"/>
                <w:lang w:val="en-IE"/>
              </w:rPr>
            </w:pPr>
            <w:r w:rsidRPr="00EF2244">
              <w:rPr>
                <w:rFonts w:ascii="EC Square Sans Cond Pro" w:hAnsi="EC Square Sans Cond Pro"/>
                <w:noProof/>
                <w:sz w:val="20"/>
                <w:szCs w:val="20"/>
              </w:rPr>
              <w:t>1.6</w:t>
            </w:r>
          </w:p>
        </w:tc>
        <w:tc>
          <w:tcPr>
            <w:tcW w:w="405" w:type="pct"/>
            <w:tcBorders>
              <w:top w:val="single" w:sz="4" w:space="0" w:color="auto"/>
              <w:left w:val="nil"/>
              <w:bottom w:val="nil"/>
              <w:right w:val="nil"/>
            </w:tcBorders>
            <w:shd w:val="clear" w:color="000000" w:fill="FFFFFF"/>
            <w:noWrap/>
            <w:vAlign w:val="center"/>
            <w:hideMark/>
          </w:tcPr>
          <w:p w14:paraId="51C48765" w14:textId="36C1FBD3" w:rsidR="00A074EB" w:rsidRPr="006E47BC" w:rsidRDefault="00A074EB">
            <w:pPr>
              <w:keepNext/>
              <w:keepLines/>
              <w:spacing w:after="0"/>
              <w:jc w:val="center"/>
              <w:rPr>
                <w:rFonts w:ascii="EC Square Sans Cond Pro" w:eastAsia="Times New Roman" w:hAnsi="EC Square Sans Cond Pro" w:cs="Calibri"/>
                <w:noProof/>
                <w:color w:val="000000"/>
                <w:sz w:val="20"/>
                <w:szCs w:val="20"/>
                <w:lang w:val="en-IE"/>
              </w:rPr>
            </w:pPr>
            <w:r w:rsidRPr="00EF2244">
              <w:rPr>
                <w:rFonts w:ascii="EC Square Sans Cond Pro" w:hAnsi="EC Square Sans Cond Pro"/>
                <w:noProof/>
                <w:sz w:val="20"/>
                <w:szCs w:val="20"/>
              </w:rPr>
              <w:t>2.8</w:t>
            </w:r>
          </w:p>
        </w:tc>
        <w:tc>
          <w:tcPr>
            <w:tcW w:w="406" w:type="pct"/>
            <w:tcBorders>
              <w:top w:val="single" w:sz="4" w:space="0" w:color="auto"/>
              <w:left w:val="nil"/>
              <w:bottom w:val="nil"/>
              <w:right w:val="single" w:sz="8" w:space="0" w:color="auto"/>
            </w:tcBorders>
            <w:shd w:val="clear" w:color="000000" w:fill="FFFFFF"/>
            <w:noWrap/>
            <w:vAlign w:val="center"/>
            <w:hideMark/>
          </w:tcPr>
          <w:p w14:paraId="7B8B08CD" w14:textId="0D4FC2FA" w:rsidR="00A074EB" w:rsidRPr="006E47BC" w:rsidRDefault="00A074EB">
            <w:pPr>
              <w:keepNext/>
              <w:keepLines/>
              <w:spacing w:after="0"/>
              <w:jc w:val="center"/>
              <w:rPr>
                <w:rFonts w:ascii="EC Square Sans Cond Pro" w:eastAsia="Times New Roman" w:hAnsi="EC Square Sans Cond Pro" w:cs="Calibri"/>
                <w:noProof/>
                <w:color w:val="000000"/>
                <w:sz w:val="20"/>
                <w:szCs w:val="20"/>
                <w:lang w:val="en-IE"/>
              </w:rPr>
            </w:pPr>
            <w:r w:rsidRPr="00EF2244">
              <w:rPr>
                <w:rFonts w:ascii="EC Square Sans Cond Pro" w:hAnsi="EC Square Sans Cond Pro"/>
                <w:noProof/>
                <w:sz w:val="20"/>
                <w:szCs w:val="20"/>
              </w:rPr>
              <w:t>2.8</w:t>
            </w:r>
          </w:p>
        </w:tc>
        <w:tc>
          <w:tcPr>
            <w:tcW w:w="405" w:type="pct"/>
            <w:tcBorders>
              <w:top w:val="single" w:sz="4" w:space="0" w:color="auto"/>
              <w:left w:val="nil"/>
              <w:bottom w:val="nil"/>
              <w:right w:val="nil"/>
            </w:tcBorders>
            <w:shd w:val="clear" w:color="000000" w:fill="FFFFFF"/>
            <w:noWrap/>
            <w:vAlign w:val="center"/>
            <w:hideMark/>
          </w:tcPr>
          <w:p w14:paraId="1FDD9BE2" w14:textId="00F3F9F8" w:rsidR="00A074EB" w:rsidRPr="006E47BC" w:rsidRDefault="00A074EB">
            <w:pPr>
              <w:keepNext/>
              <w:keepLines/>
              <w:spacing w:after="0"/>
              <w:jc w:val="center"/>
              <w:rPr>
                <w:rFonts w:ascii="EC Square Sans Cond Pro" w:eastAsia="Times New Roman" w:hAnsi="EC Square Sans Cond Pro" w:cs="Calibri"/>
                <w:noProof/>
                <w:color w:val="000000"/>
                <w:sz w:val="20"/>
                <w:szCs w:val="20"/>
                <w:lang w:val="en-IE"/>
              </w:rPr>
            </w:pPr>
            <w:r w:rsidRPr="00EF2244">
              <w:rPr>
                <w:rFonts w:ascii="EC Square Sans Cond Pro" w:hAnsi="EC Square Sans Cond Pro"/>
                <w:noProof/>
                <w:sz w:val="20"/>
                <w:szCs w:val="20"/>
              </w:rPr>
              <w:t>1.3</w:t>
            </w:r>
          </w:p>
        </w:tc>
        <w:tc>
          <w:tcPr>
            <w:tcW w:w="405" w:type="pct"/>
            <w:tcBorders>
              <w:top w:val="single" w:sz="4" w:space="0" w:color="auto"/>
              <w:left w:val="nil"/>
              <w:bottom w:val="nil"/>
              <w:right w:val="nil"/>
            </w:tcBorders>
            <w:shd w:val="clear" w:color="000000" w:fill="FFFFFF"/>
            <w:noWrap/>
            <w:vAlign w:val="center"/>
            <w:hideMark/>
          </w:tcPr>
          <w:p w14:paraId="13B1E6E0" w14:textId="078E66EF" w:rsidR="00A074EB" w:rsidRPr="006E47BC" w:rsidRDefault="00A074EB">
            <w:pPr>
              <w:keepNext/>
              <w:keepLines/>
              <w:spacing w:after="0"/>
              <w:jc w:val="center"/>
              <w:rPr>
                <w:rFonts w:ascii="EC Square Sans Cond Pro" w:eastAsia="Times New Roman" w:hAnsi="EC Square Sans Cond Pro" w:cs="Calibri"/>
                <w:noProof/>
                <w:color w:val="000000"/>
                <w:sz w:val="20"/>
                <w:szCs w:val="20"/>
                <w:lang w:val="en-IE"/>
              </w:rPr>
            </w:pPr>
            <w:r w:rsidRPr="00EF2244">
              <w:rPr>
                <w:rFonts w:ascii="EC Square Sans Cond Pro" w:hAnsi="EC Square Sans Cond Pro"/>
                <w:noProof/>
                <w:sz w:val="20"/>
                <w:szCs w:val="20"/>
              </w:rPr>
              <w:t>2.7</w:t>
            </w:r>
          </w:p>
        </w:tc>
        <w:tc>
          <w:tcPr>
            <w:tcW w:w="402" w:type="pct"/>
            <w:tcBorders>
              <w:top w:val="single" w:sz="4" w:space="0" w:color="auto"/>
              <w:left w:val="nil"/>
              <w:bottom w:val="nil"/>
              <w:right w:val="single" w:sz="8" w:space="0" w:color="auto"/>
            </w:tcBorders>
            <w:shd w:val="clear" w:color="000000" w:fill="FFFFFF"/>
            <w:noWrap/>
            <w:vAlign w:val="center"/>
            <w:hideMark/>
          </w:tcPr>
          <w:p w14:paraId="2AF2D493" w14:textId="58206495" w:rsidR="00A074EB" w:rsidRPr="006E47BC" w:rsidRDefault="00A074EB">
            <w:pPr>
              <w:keepNext/>
              <w:keepLines/>
              <w:spacing w:after="0"/>
              <w:jc w:val="center"/>
              <w:rPr>
                <w:rFonts w:ascii="EC Square Sans Cond Pro" w:eastAsia="Times New Roman" w:hAnsi="EC Square Sans Cond Pro" w:cs="Calibri"/>
                <w:noProof/>
                <w:color w:val="000000"/>
                <w:sz w:val="20"/>
                <w:szCs w:val="20"/>
                <w:lang w:val="en-IE"/>
              </w:rPr>
            </w:pPr>
            <w:r w:rsidRPr="00EF2244">
              <w:rPr>
                <w:rFonts w:ascii="EC Square Sans Cond Pro" w:hAnsi="EC Square Sans Cond Pro"/>
                <w:noProof/>
                <w:sz w:val="20"/>
                <w:szCs w:val="20"/>
              </w:rPr>
              <w:t>2.7</w:t>
            </w:r>
          </w:p>
        </w:tc>
      </w:tr>
      <w:tr w:rsidR="00DF2071" w:rsidRPr="00870E72" w14:paraId="6BA94EF8" w14:textId="7D234A57" w:rsidTr="00DF2071">
        <w:trPr>
          <w:trHeight w:val="340"/>
        </w:trPr>
        <w:tc>
          <w:tcPr>
            <w:tcW w:w="1357" w:type="pct"/>
            <w:tcBorders>
              <w:top w:val="nil"/>
              <w:left w:val="single" w:sz="8" w:space="0" w:color="auto"/>
              <w:bottom w:val="nil"/>
              <w:right w:val="single" w:sz="8" w:space="0" w:color="auto"/>
            </w:tcBorders>
            <w:shd w:val="clear" w:color="000000" w:fill="FFFFFF"/>
            <w:noWrap/>
            <w:vAlign w:val="center"/>
            <w:hideMark/>
          </w:tcPr>
          <w:p w14:paraId="4F208F86" w14:textId="3002E02C" w:rsidR="00DF2071" w:rsidRPr="00870E72" w:rsidRDefault="00DF2071" w:rsidP="00DF2071">
            <w:pPr>
              <w:keepNext/>
              <w:keepLines/>
              <w:spacing w:after="0"/>
              <w:jc w:val="left"/>
              <w:rPr>
                <w:rFonts w:ascii="EC Square Sans Cond Pro" w:eastAsia="Times New Roman" w:hAnsi="EC Square Sans Cond Pro" w:cs="Calibri"/>
                <w:noProof/>
                <w:color w:val="000000"/>
                <w:sz w:val="20"/>
                <w:szCs w:val="20"/>
                <w:lang w:val="en-IE"/>
              </w:rPr>
            </w:pPr>
            <w:r w:rsidRPr="00870E72">
              <w:rPr>
                <w:rFonts w:ascii="EC Square Sans Cond Pro" w:eastAsia="Times New Roman" w:hAnsi="EC Square Sans Cond Pro" w:cs="Calibri"/>
                <w:noProof/>
                <w:color w:val="000000"/>
                <w:sz w:val="20"/>
                <w:szCs w:val="20"/>
                <w:lang w:val="en-IE"/>
              </w:rPr>
              <w:t xml:space="preserve">Mitigation of </w:t>
            </w:r>
            <w:r>
              <w:rPr>
                <w:rFonts w:ascii="EC Square Sans Cond Pro" w:eastAsia="Times New Roman" w:hAnsi="EC Square Sans Cond Pro" w:cs="Calibri"/>
                <w:noProof/>
                <w:color w:val="000000"/>
                <w:sz w:val="20"/>
                <w:szCs w:val="20"/>
                <w:lang w:val="en-IE"/>
              </w:rPr>
              <w:t>n</w:t>
            </w:r>
            <w:r w:rsidRPr="00870E72">
              <w:rPr>
                <w:rFonts w:ascii="EC Square Sans Cond Pro" w:eastAsia="Times New Roman" w:hAnsi="EC Square Sans Cond Pro" w:cs="Calibri"/>
                <w:noProof/>
                <w:color w:val="000000"/>
                <w:sz w:val="20"/>
                <w:szCs w:val="20"/>
                <w:lang w:val="en-IE"/>
              </w:rPr>
              <w:t xml:space="preserve">on-CO2 </w:t>
            </w:r>
            <w:r>
              <w:rPr>
                <w:rFonts w:ascii="EC Square Sans Cond Pro" w:eastAsia="Times New Roman" w:hAnsi="EC Square Sans Cond Pro" w:cs="Calibri"/>
                <w:noProof/>
                <w:color w:val="000000"/>
                <w:sz w:val="20"/>
                <w:szCs w:val="20"/>
                <w:lang w:val="en-IE"/>
              </w:rPr>
              <w:t xml:space="preserve">GHG </w:t>
            </w:r>
            <w:r w:rsidRPr="00870E72">
              <w:rPr>
                <w:rFonts w:ascii="EC Square Sans Cond Pro" w:eastAsia="Times New Roman" w:hAnsi="EC Square Sans Cond Pro" w:cs="Calibri"/>
                <w:noProof/>
                <w:color w:val="000000"/>
                <w:sz w:val="20"/>
                <w:szCs w:val="20"/>
                <w:lang w:val="en-IE"/>
              </w:rPr>
              <w:t>emissions</w:t>
            </w:r>
          </w:p>
        </w:tc>
        <w:tc>
          <w:tcPr>
            <w:tcW w:w="405" w:type="pct"/>
            <w:tcBorders>
              <w:top w:val="nil"/>
              <w:left w:val="nil"/>
              <w:bottom w:val="nil"/>
              <w:right w:val="nil"/>
            </w:tcBorders>
            <w:shd w:val="clear" w:color="000000" w:fill="FFFFFF"/>
            <w:noWrap/>
            <w:vAlign w:val="center"/>
            <w:hideMark/>
          </w:tcPr>
          <w:p w14:paraId="2F2EDE86" w14:textId="49100456" w:rsidR="00DF2071" w:rsidRPr="006E47BC" w:rsidRDefault="00DF2071" w:rsidP="00DF2071">
            <w:pPr>
              <w:keepNext/>
              <w:keepLines/>
              <w:spacing w:after="0"/>
              <w:jc w:val="center"/>
              <w:rPr>
                <w:rFonts w:ascii="EC Square Sans Cond Pro" w:eastAsia="Times New Roman" w:hAnsi="EC Square Sans Cond Pro" w:cs="Calibri"/>
                <w:noProof/>
                <w:color w:val="000000"/>
                <w:sz w:val="20"/>
                <w:szCs w:val="20"/>
                <w:lang w:val="en-IE"/>
              </w:rPr>
            </w:pPr>
            <w:r>
              <w:rPr>
                <w:rFonts w:ascii="EC Square Sans Cond Pro" w:hAnsi="EC Square Sans Cond Pro" w:cs="Calibri"/>
                <w:noProof/>
                <w:color w:val="000000"/>
                <w:sz w:val="20"/>
                <w:szCs w:val="20"/>
              </w:rPr>
              <w:t>0.0</w:t>
            </w:r>
          </w:p>
        </w:tc>
        <w:tc>
          <w:tcPr>
            <w:tcW w:w="405" w:type="pct"/>
            <w:tcBorders>
              <w:top w:val="nil"/>
              <w:left w:val="nil"/>
              <w:bottom w:val="nil"/>
              <w:right w:val="nil"/>
            </w:tcBorders>
            <w:shd w:val="clear" w:color="000000" w:fill="FFFFFF"/>
            <w:noWrap/>
            <w:vAlign w:val="center"/>
            <w:hideMark/>
          </w:tcPr>
          <w:p w14:paraId="341B822A" w14:textId="37C0DD1F" w:rsidR="00DF2071" w:rsidRPr="006E47BC" w:rsidRDefault="00DF2071" w:rsidP="00DF2071">
            <w:pPr>
              <w:keepNext/>
              <w:keepLines/>
              <w:spacing w:after="0"/>
              <w:jc w:val="center"/>
              <w:rPr>
                <w:rFonts w:ascii="EC Square Sans Cond Pro" w:eastAsia="Times New Roman" w:hAnsi="EC Square Sans Cond Pro" w:cs="Calibri"/>
                <w:noProof/>
                <w:color w:val="000000"/>
                <w:sz w:val="20"/>
                <w:szCs w:val="20"/>
                <w:lang w:val="en-IE"/>
              </w:rPr>
            </w:pPr>
            <w:r>
              <w:rPr>
                <w:rFonts w:ascii="EC Square Sans Cond Pro" w:hAnsi="EC Square Sans Cond Pro" w:cs="Calibri"/>
                <w:noProof/>
                <w:color w:val="000000"/>
                <w:sz w:val="20"/>
                <w:szCs w:val="20"/>
              </w:rPr>
              <w:t>0.7</w:t>
            </w:r>
          </w:p>
        </w:tc>
        <w:tc>
          <w:tcPr>
            <w:tcW w:w="405" w:type="pct"/>
            <w:tcBorders>
              <w:top w:val="nil"/>
              <w:left w:val="nil"/>
              <w:bottom w:val="nil"/>
              <w:right w:val="single" w:sz="8" w:space="0" w:color="auto"/>
            </w:tcBorders>
            <w:shd w:val="clear" w:color="000000" w:fill="FFFFFF"/>
            <w:noWrap/>
            <w:vAlign w:val="center"/>
            <w:hideMark/>
          </w:tcPr>
          <w:p w14:paraId="1E5D43AD" w14:textId="7CEFC9BF" w:rsidR="00DF2071" w:rsidRPr="006E47BC" w:rsidRDefault="00DF2071" w:rsidP="00DF2071">
            <w:pPr>
              <w:keepNext/>
              <w:keepLines/>
              <w:spacing w:after="0"/>
              <w:jc w:val="center"/>
              <w:rPr>
                <w:rFonts w:ascii="EC Square Sans Cond Pro" w:eastAsia="Times New Roman" w:hAnsi="EC Square Sans Cond Pro" w:cs="Calibri"/>
                <w:noProof/>
                <w:color w:val="000000"/>
                <w:sz w:val="20"/>
                <w:szCs w:val="20"/>
                <w:lang w:val="en-IE"/>
              </w:rPr>
            </w:pPr>
            <w:r>
              <w:rPr>
                <w:rFonts w:ascii="EC Square Sans Cond Pro" w:hAnsi="EC Square Sans Cond Pro" w:cs="Calibri"/>
                <w:noProof/>
                <w:color w:val="000000"/>
                <w:sz w:val="20"/>
                <w:szCs w:val="20"/>
              </w:rPr>
              <w:t>3.4</w:t>
            </w:r>
          </w:p>
        </w:tc>
        <w:tc>
          <w:tcPr>
            <w:tcW w:w="405" w:type="pct"/>
            <w:tcBorders>
              <w:top w:val="nil"/>
              <w:left w:val="nil"/>
              <w:bottom w:val="nil"/>
              <w:right w:val="nil"/>
            </w:tcBorders>
            <w:shd w:val="clear" w:color="000000" w:fill="FFFFFF"/>
            <w:noWrap/>
            <w:vAlign w:val="center"/>
            <w:hideMark/>
          </w:tcPr>
          <w:p w14:paraId="7AFA0315" w14:textId="161B9C46" w:rsidR="00DF2071" w:rsidRPr="006E47BC" w:rsidRDefault="00DF2071" w:rsidP="00DF2071">
            <w:pPr>
              <w:keepNext/>
              <w:keepLines/>
              <w:spacing w:after="0"/>
              <w:jc w:val="center"/>
              <w:rPr>
                <w:rFonts w:ascii="EC Square Sans Cond Pro" w:eastAsia="Times New Roman" w:hAnsi="EC Square Sans Cond Pro" w:cs="Calibri"/>
                <w:noProof/>
                <w:color w:val="000000"/>
                <w:sz w:val="20"/>
                <w:szCs w:val="20"/>
                <w:lang w:val="en-IE"/>
              </w:rPr>
            </w:pPr>
            <w:r>
              <w:rPr>
                <w:rFonts w:ascii="EC Square Sans Cond Pro" w:hAnsi="EC Square Sans Cond Pro" w:cs="Calibri"/>
                <w:noProof/>
                <w:color w:val="000000"/>
                <w:sz w:val="20"/>
                <w:szCs w:val="20"/>
              </w:rPr>
              <w:t>3.9</w:t>
            </w:r>
          </w:p>
        </w:tc>
        <w:tc>
          <w:tcPr>
            <w:tcW w:w="405" w:type="pct"/>
            <w:tcBorders>
              <w:top w:val="nil"/>
              <w:left w:val="nil"/>
              <w:bottom w:val="nil"/>
              <w:right w:val="nil"/>
            </w:tcBorders>
            <w:shd w:val="clear" w:color="000000" w:fill="FFFFFF"/>
            <w:noWrap/>
            <w:vAlign w:val="center"/>
            <w:hideMark/>
          </w:tcPr>
          <w:p w14:paraId="64554885" w14:textId="092D5893" w:rsidR="00DF2071" w:rsidRPr="006E47BC" w:rsidRDefault="00DF2071" w:rsidP="00DF2071">
            <w:pPr>
              <w:keepNext/>
              <w:keepLines/>
              <w:spacing w:after="0"/>
              <w:jc w:val="center"/>
              <w:rPr>
                <w:rFonts w:ascii="EC Square Sans Cond Pro" w:eastAsia="Times New Roman" w:hAnsi="EC Square Sans Cond Pro" w:cs="Calibri"/>
                <w:noProof/>
                <w:color w:val="000000"/>
                <w:sz w:val="20"/>
                <w:szCs w:val="20"/>
                <w:lang w:val="en-IE"/>
              </w:rPr>
            </w:pPr>
            <w:r>
              <w:rPr>
                <w:rFonts w:ascii="EC Square Sans Cond Pro" w:hAnsi="EC Square Sans Cond Pro" w:cs="Calibri"/>
                <w:noProof/>
                <w:color w:val="000000"/>
                <w:sz w:val="20"/>
                <w:szCs w:val="20"/>
              </w:rPr>
              <w:t>4.1</w:t>
            </w:r>
          </w:p>
        </w:tc>
        <w:tc>
          <w:tcPr>
            <w:tcW w:w="406" w:type="pct"/>
            <w:tcBorders>
              <w:top w:val="nil"/>
              <w:left w:val="nil"/>
              <w:bottom w:val="nil"/>
              <w:right w:val="single" w:sz="8" w:space="0" w:color="auto"/>
            </w:tcBorders>
            <w:shd w:val="clear" w:color="000000" w:fill="FFFFFF"/>
            <w:noWrap/>
            <w:vAlign w:val="center"/>
            <w:hideMark/>
          </w:tcPr>
          <w:p w14:paraId="36CBF4F4" w14:textId="2BABA40B" w:rsidR="00DF2071" w:rsidRPr="006E47BC" w:rsidRDefault="00DF2071" w:rsidP="00DF2071">
            <w:pPr>
              <w:keepNext/>
              <w:keepLines/>
              <w:spacing w:after="0"/>
              <w:jc w:val="center"/>
              <w:rPr>
                <w:rFonts w:ascii="EC Square Sans Cond Pro" w:eastAsia="Times New Roman" w:hAnsi="EC Square Sans Cond Pro" w:cs="Calibri"/>
                <w:noProof/>
                <w:color w:val="000000"/>
                <w:sz w:val="20"/>
                <w:szCs w:val="20"/>
                <w:lang w:val="en-IE"/>
              </w:rPr>
            </w:pPr>
            <w:r>
              <w:rPr>
                <w:rFonts w:ascii="EC Square Sans Cond Pro" w:hAnsi="EC Square Sans Cond Pro" w:cs="Calibri"/>
                <w:noProof/>
                <w:color w:val="000000"/>
                <w:sz w:val="20"/>
                <w:szCs w:val="20"/>
              </w:rPr>
              <w:t>5.0</w:t>
            </w:r>
          </w:p>
        </w:tc>
        <w:tc>
          <w:tcPr>
            <w:tcW w:w="405" w:type="pct"/>
            <w:tcBorders>
              <w:top w:val="nil"/>
              <w:left w:val="nil"/>
              <w:bottom w:val="nil"/>
              <w:right w:val="nil"/>
            </w:tcBorders>
            <w:shd w:val="clear" w:color="000000" w:fill="FFFFFF"/>
            <w:noWrap/>
            <w:vAlign w:val="center"/>
            <w:hideMark/>
          </w:tcPr>
          <w:p w14:paraId="4980F7ED" w14:textId="72C10D04" w:rsidR="00DF2071" w:rsidRPr="006E47BC" w:rsidRDefault="00DF2071" w:rsidP="00DF2071">
            <w:pPr>
              <w:keepNext/>
              <w:keepLines/>
              <w:spacing w:after="0"/>
              <w:jc w:val="center"/>
              <w:rPr>
                <w:rFonts w:ascii="EC Square Sans Cond Pro" w:eastAsia="Times New Roman" w:hAnsi="EC Square Sans Cond Pro" w:cs="Calibri"/>
                <w:noProof/>
                <w:color w:val="000000"/>
                <w:sz w:val="20"/>
                <w:szCs w:val="20"/>
                <w:lang w:val="en-IE"/>
              </w:rPr>
            </w:pPr>
            <w:r>
              <w:rPr>
                <w:rFonts w:ascii="EC Square Sans Cond Pro" w:hAnsi="EC Square Sans Cond Pro" w:cs="Calibri"/>
                <w:noProof/>
                <w:color w:val="000000"/>
                <w:sz w:val="20"/>
                <w:szCs w:val="20"/>
              </w:rPr>
              <w:t>2.0</w:t>
            </w:r>
          </w:p>
        </w:tc>
        <w:tc>
          <w:tcPr>
            <w:tcW w:w="405" w:type="pct"/>
            <w:tcBorders>
              <w:top w:val="nil"/>
              <w:left w:val="nil"/>
              <w:bottom w:val="nil"/>
              <w:right w:val="nil"/>
            </w:tcBorders>
            <w:shd w:val="clear" w:color="000000" w:fill="FFFFFF"/>
            <w:noWrap/>
            <w:vAlign w:val="center"/>
            <w:hideMark/>
          </w:tcPr>
          <w:p w14:paraId="73B41D48" w14:textId="42B479EC" w:rsidR="00DF2071" w:rsidRPr="006E47BC" w:rsidRDefault="00DF2071" w:rsidP="00DF2071">
            <w:pPr>
              <w:keepNext/>
              <w:keepLines/>
              <w:spacing w:after="0"/>
              <w:jc w:val="center"/>
              <w:rPr>
                <w:rFonts w:ascii="EC Square Sans Cond Pro" w:eastAsia="Times New Roman" w:hAnsi="EC Square Sans Cond Pro" w:cs="Calibri"/>
                <w:noProof/>
                <w:color w:val="000000"/>
                <w:sz w:val="20"/>
                <w:szCs w:val="20"/>
                <w:lang w:val="en-IE"/>
              </w:rPr>
            </w:pPr>
            <w:r>
              <w:rPr>
                <w:rFonts w:ascii="EC Square Sans Cond Pro" w:hAnsi="EC Square Sans Cond Pro" w:cs="Calibri"/>
                <w:noProof/>
                <w:color w:val="000000"/>
                <w:sz w:val="20"/>
                <w:szCs w:val="20"/>
              </w:rPr>
              <w:t>2.4</w:t>
            </w:r>
          </w:p>
        </w:tc>
        <w:tc>
          <w:tcPr>
            <w:tcW w:w="402" w:type="pct"/>
            <w:tcBorders>
              <w:top w:val="nil"/>
              <w:left w:val="nil"/>
              <w:bottom w:val="nil"/>
              <w:right w:val="single" w:sz="8" w:space="0" w:color="auto"/>
            </w:tcBorders>
            <w:shd w:val="clear" w:color="000000" w:fill="FFFFFF"/>
            <w:noWrap/>
            <w:vAlign w:val="center"/>
            <w:hideMark/>
          </w:tcPr>
          <w:p w14:paraId="5FD4395B" w14:textId="20B62C47" w:rsidR="00DF2071" w:rsidRPr="006E47BC" w:rsidRDefault="00DF2071" w:rsidP="00DF2071">
            <w:pPr>
              <w:keepNext/>
              <w:keepLines/>
              <w:spacing w:after="0"/>
              <w:jc w:val="center"/>
              <w:rPr>
                <w:rFonts w:ascii="EC Square Sans Cond Pro" w:eastAsia="Times New Roman" w:hAnsi="EC Square Sans Cond Pro" w:cs="Calibri"/>
                <w:noProof/>
                <w:color w:val="000000"/>
                <w:sz w:val="20"/>
                <w:szCs w:val="20"/>
                <w:lang w:val="en-IE"/>
              </w:rPr>
            </w:pPr>
            <w:r>
              <w:rPr>
                <w:rFonts w:ascii="EC Square Sans Cond Pro" w:hAnsi="EC Square Sans Cond Pro" w:cs="Calibri"/>
                <w:noProof/>
                <w:color w:val="000000"/>
                <w:sz w:val="20"/>
                <w:szCs w:val="20"/>
              </w:rPr>
              <w:t>4.2</w:t>
            </w:r>
          </w:p>
        </w:tc>
      </w:tr>
      <w:tr w:rsidR="00DF2071" w:rsidRPr="00870E72" w14:paraId="72068C4A" w14:textId="027050B5" w:rsidTr="00DF2071">
        <w:trPr>
          <w:trHeight w:val="340"/>
        </w:trPr>
        <w:tc>
          <w:tcPr>
            <w:tcW w:w="1357" w:type="pct"/>
            <w:tcBorders>
              <w:top w:val="nil"/>
              <w:left w:val="single" w:sz="8" w:space="0" w:color="auto"/>
              <w:bottom w:val="single" w:sz="8" w:space="0" w:color="auto"/>
              <w:right w:val="single" w:sz="8" w:space="0" w:color="auto"/>
            </w:tcBorders>
            <w:shd w:val="clear" w:color="000000" w:fill="FFFFFF"/>
            <w:noWrap/>
            <w:vAlign w:val="center"/>
            <w:hideMark/>
          </w:tcPr>
          <w:p w14:paraId="5947640C" w14:textId="09CC367D" w:rsidR="00DF2071" w:rsidRPr="00870E72" w:rsidRDefault="00DF2071" w:rsidP="00DF2071">
            <w:pPr>
              <w:keepNext/>
              <w:keepLines/>
              <w:spacing w:after="0"/>
              <w:jc w:val="right"/>
              <w:rPr>
                <w:rFonts w:ascii="EC Square Sans Cond Pro" w:eastAsia="Times New Roman" w:hAnsi="EC Square Sans Cond Pro" w:cs="Calibri"/>
                <w:i/>
                <w:iCs/>
                <w:noProof/>
                <w:color w:val="000000"/>
                <w:sz w:val="20"/>
                <w:szCs w:val="20"/>
                <w:lang w:val="en-IE"/>
              </w:rPr>
            </w:pPr>
            <w:r w:rsidRPr="00870E72">
              <w:rPr>
                <w:rFonts w:ascii="EC Square Sans Cond Pro" w:eastAsia="Times New Roman" w:hAnsi="EC Square Sans Cond Pro" w:cs="Calibri"/>
                <w:i/>
                <w:iCs/>
                <w:noProof/>
                <w:color w:val="000000"/>
                <w:sz w:val="20"/>
                <w:szCs w:val="20"/>
                <w:lang w:val="en-IE"/>
              </w:rPr>
              <w:t xml:space="preserve">- of which </w:t>
            </w:r>
            <w:r>
              <w:rPr>
                <w:rFonts w:ascii="EC Square Sans Cond Pro" w:eastAsia="Times New Roman" w:hAnsi="EC Square Sans Cond Pro" w:cs="Calibri"/>
                <w:i/>
                <w:iCs/>
                <w:noProof/>
                <w:color w:val="000000"/>
                <w:sz w:val="20"/>
                <w:szCs w:val="20"/>
                <w:lang w:val="en-IE"/>
              </w:rPr>
              <w:t>in the a</w:t>
            </w:r>
            <w:r w:rsidRPr="00870E72">
              <w:rPr>
                <w:rFonts w:ascii="EC Square Sans Cond Pro" w:eastAsia="Times New Roman" w:hAnsi="EC Square Sans Cond Pro" w:cs="Calibri"/>
                <w:i/>
                <w:iCs/>
                <w:noProof/>
                <w:color w:val="000000"/>
                <w:sz w:val="20"/>
                <w:szCs w:val="20"/>
                <w:lang w:val="en-IE"/>
              </w:rPr>
              <w:t>griculture</w:t>
            </w:r>
            <w:r>
              <w:rPr>
                <w:rFonts w:ascii="EC Square Sans Cond Pro" w:eastAsia="Times New Roman" w:hAnsi="EC Square Sans Cond Pro" w:cs="Calibri"/>
                <w:i/>
                <w:iCs/>
                <w:noProof/>
                <w:color w:val="000000"/>
                <w:sz w:val="20"/>
                <w:szCs w:val="20"/>
                <w:lang w:val="en-IE"/>
              </w:rPr>
              <w:t xml:space="preserve"> sector</w:t>
            </w:r>
          </w:p>
        </w:tc>
        <w:tc>
          <w:tcPr>
            <w:tcW w:w="405" w:type="pct"/>
            <w:tcBorders>
              <w:top w:val="nil"/>
              <w:left w:val="nil"/>
              <w:bottom w:val="single" w:sz="8" w:space="0" w:color="auto"/>
              <w:right w:val="nil"/>
            </w:tcBorders>
            <w:shd w:val="clear" w:color="000000" w:fill="FFFFFF"/>
            <w:noWrap/>
            <w:vAlign w:val="center"/>
            <w:hideMark/>
          </w:tcPr>
          <w:p w14:paraId="22D60630" w14:textId="07CD5598" w:rsidR="00DF2071" w:rsidRPr="00985FB2" w:rsidRDefault="00DF2071" w:rsidP="00DF2071">
            <w:pPr>
              <w:keepNext/>
              <w:keepLines/>
              <w:spacing w:after="0"/>
              <w:jc w:val="center"/>
              <w:rPr>
                <w:rFonts w:ascii="EC Square Sans Cond Pro" w:eastAsia="Times New Roman" w:hAnsi="EC Square Sans Cond Pro" w:cs="Calibri"/>
                <w:i/>
                <w:noProof/>
                <w:color w:val="000000"/>
                <w:sz w:val="20"/>
                <w:szCs w:val="20"/>
                <w:lang w:val="en-IE"/>
              </w:rPr>
            </w:pPr>
            <w:r>
              <w:rPr>
                <w:rFonts w:ascii="EC Square Sans Cond Pro" w:hAnsi="EC Square Sans Cond Pro" w:cs="Calibri"/>
                <w:noProof/>
                <w:color w:val="000000"/>
                <w:sz w:val="20"/>
                <w:szCs w:val="20"/>
              </w:rPr>
              <w:t>0.0</w:t>
            </w:r>
          </w:p>
        </w:tc>
        <w:tc>
          <w:tcPr>
            <w:tcW w:w="405" w:type="pct"/>
            <w:tcBorders>
              <w:top w:val="nil"/>
              <w:left w:val="nil"/>
              <w:bottom w:val="single" w:sz="8" w:space="0" w:color="auto"/>
              <w:right w:val="nil"/>
            </w:tcBorders>
            <w:shd w:val="clear" w:color="000000" w:fill="FFFFFF"/>
            <w:noWrap/>
            <w:vAlign w:val="center"/>
            <w:hideMark/>
          </w:tcPr>
          <w:p w14:paraId="07B83383" w14:textId="2A5A7A3C" w:rsidR="00DF2071" w:rsidRPr="00985FB2" w:rsidRDefault="00DF2071" w:rsidP="00DF2071">
            <w:pPr>
              <w:keepNext/>
              <w:keepLines/>
              <w:spacing w:after="0"/>
              <w:jc w:val="center"/>
              <w:rPr>
                <w:rFonts w:ascii="EC Square Sans Cond Pro" w:eastAsia="Times New Roman" w:hAnsi="EC Square Sans Cond Pro" w:cs="Calibri"/>
                <w:i/>
                <w:noProof/>
                <w:color w:val="000000"/>
                <w:sz w:val="20"/>
                <w:szCs w:val="20"/>
                <w:lang w:val="en-IE"/>
              </w:rPr>
            </w:pPr>
            <w:r>
              <w:rPr>
                <w:rFonts w:ascii="EC Square Sans Cond Pro" w:hAnsi="EC Square Sans Cond Pro" w:cs="Calibri"/>
                <w:noProof/>
                <w:color w:val="000000"/>
                <w:sz w:val="20"/>
                <w:szCs w:val="20"/>
              </w:rPr>
              <w:t>0.4</w:t>
            </w:r>
          </w:p>
        </w:tc>
        <w:tc>
          <w:tcPr>
            <w:tcW w:w="405" w:type="pct"/>
            <w:tcBorders>
              <w:top w:val="nil"/>
              <w:left w:val="nil"/>
              <w:bottom w:val="single" w:sz="8" w:space="0" w:color="auto"/>
              <w:right w:val="single" w:sz="8" w:space="0" w:color="auto"/>
            </w:tcBorders>
            <w:shd w:val="clear" w:color="000000" w:fill="FFFFFF"/>
            <w:noWrap/>
            <w:vAlign w:val="center"/>
            <w:hideMark/>
          </w:tcPr>
          <w:p w14:paraId="409CD46C" w14:textId="6C102177" w:rsidR="00DF2071" w:rsidRPr="00985FB2" w:rsidRDefault="00DF2071" w:rsidP="00DF2071">
            <w:pPr>
              <w:keepNext/>
              <w:keepLines/>
              <w:spacing w:after="0"/>
              <w:jc w:val="center"/>
              <w:rPr>
                <w:rFonts w:ascii="EC Square Sans Cond Pro" w:eastAsia="Times New Roman" w:hAnsi="EC Square Sans Cond Pro" w:cs="Calibri"/>
                <w:i/>
                <w:noProof/>
                <w:color w:val="000000"/>
                <w:sz w:val="20"/>
                <w:szCs w:val="20"/>
                <w:lang w:val="en-IE"/>
              </w:rPr>
            </w:pPr>
            <w:r>
              <w:rPr>
                <w:rFonts w:ascii="EC Square Sans Cond Pro" w:hAnsi="EC Square Sans Cond Pro" w:cs="Calibri"/>
                <w:noProof/>
                <w:color w:val="000000"/>
                <w:sz w:val="20"/>
                <w:szCs w:val="20"/>
              </w:rPr>
              <w:t>3.2</w:t>
            </w:r>
          </w:p>
        </w:tc>
        <w:tc>
          <w:tcPr>
            <w:tcW w:w="405" w:type="pct"/>
            <w:tcBorders>
              <w:top w:val="nil"/>
              <w:left w:val="nil"/>
              <w:bottom w:val="single" w:sz="8" w:space="0" w:color="auto"/>
              <w:right w:val="nil"/>
            </w:tcBorders>
            <w:shd w:val="clear" w:color="000000" w:fill="FFFFFF"/>
            <w:noWrap/>
            <w:vAlign w:val="center"/>
            <w:hideMark/>
          </w:tcPr>
          <w:p w14:paraId="5B8E170A" w14:textId="41E0D1FC" w:rsidR="00DF2071" w:rsidRPr="00985FB2" w:rsidRDefault="00DF2071" w:rsidP="00DF2071">
            <w:pPr>
              <w:keepNext/>
              <w:keepLines/>
              <w:spacing w:after="0"/>
              <w:jc w:val="center"/>
              <w:rPr>
                <w:rFonts w:ascii="EC Square Sans Cond Pro" w:eastAsia="Times New Roman" w:hAnsi="EC Square Sans Cond Pro" w:cs="Calibri"/>
                <w:i/>
                <w:noProof/>
                <w:color w:val="000000"/>
                <w:sz w:val="20"/>
                <w:szCs w:val="20"/>
                <w:lang w:val="en-IE"/>
              </w:rPr>
            </w:pPr>
            <w:r>
              <w:rPr>
                <w:rFonts w:ascii="EC Square Sans Cond Pro" w:hAnsi="EC Square Sans Cond Pro" w:cs="Calibri"/>
                <w:noProof/>
                <w:color w:val="000000"/>
                <w:sz w:val="20"/>
                <w:szCs w:val="20"/>
              </w:rPr>
              <w:t>3.8</w:t>
            </w:r>
          </w:p>
        </w:tc>
        <w:tc>
          <w:tcPr>
            <w:tcW w:w="405" w:type="pct"/>
            <w:tcBorders>
              <w:top w:val="nil"/>
              <w:left w:val="nil"/>
              <w:bottom w:val="single" w:sz="8" w:space="0" w:color="auto"/>
              <w:right w:val="nil"/>
            </w:tcBorders>
            <w:shd w:val="clear" w:color="000000" w:fill="FFFFFF"/>
            <w:noWrap/>
            <w:vAlign w:val="center"/>
            <w:hideMark/>
          </w:tcPr>
          <w:p w14:paraId="7516B25F" w14:textId="20E31D8E" w:rsidR="00DF2071" w:rsidRPr="00985FB2" w:rsidRDefault="00DF2071" w:rsidP="00DF2071">
            <w:pPr>
              <w:keepNext/>
              <w:keepLines/>
              <w:spacing w:after="0"/>
              <w:jc w:val="center"/>
              <w:rPr>
                <w:rFonts w:ascii="EC Square Sans Cond Pro" w:eastAsia="Times New Roman" w:hAnsi="EC Square Sans Cond Pro" w:cs="Calibri"/>
                <w:i/>
                <w:noProof/>
                <w:color w:val="000000"/>
                <w:sz w:val="20"/>
                <w:szCs w:val="20"/>
                <w:lang w:val="en-IE"/>
              </w:rPr>
            </w:pPr>
            <w:r>
              <w:rPr>
                <w:rFonts w:ascii="EC Square Sans Cond Pro" w:hAnsi="EC Square Sans Cond Pro" w:cs="Calibri"/>
                <w:noProof/>
                <w:color w:val="000000"/>
                <w:sz w:val="20"/>
                <w:szCs w:val="20"/>
              </w:rPr>
              <w:t>3.9</w:t>
            </w:r>
          </w:p>
        </w:tc>
        <w:tc>
          <w:tcPr>
            <w:tcW w:w="406" w:type="pct"/>
            <w:tcBorders>
              <w:top w:val="nil"/>
              <w:left w:val="nil"/>
              <w:bottom w:val="single" w:sz="8" w:space="0" w:color="auto"/>
              <w:right w:val="single" w:sz="8" w:space="0" w:color="auto"/>
            </w:tcBorders>
            <w:shd w:val="clear" w:color="000000" w:fill="FFFFFF"/>
            <w:noWrap/>
            <w:vAlign w:val="center"/>
            <w:hideMark/>
          </w:tcPr>
          <w:p w14:paraId="02C5DB41" w14:textId="43F19871" w:rsidR="00DF2071" w:rsidRPr="00985FB2" w:rsidRDefault="00DF2071" w:rsidP="00DF2071">
            <w:pPr>
              <w:keepNext/>
              <w:keepLines/>
              <w:spacing w:after="0"/>
              <w:jc w:val="center"/>
              <w:rPr>
                <w:rFonts w:ascii="EC Square Sans Cond Pro" w:eastAsia="Times New Roman" w:hAnsi="EC Square Sans Cond Pro" w:cs="Calibri"/>
                <w:i/>
                <w:noProof/>
                <w:color w:val="000000"/>
                <w:sz w:val="20"/>
                <w:szCs w:val="20"/>
                <w:lang w:val="en-IE"/>
              </w:rPr>
            </w:pPr>
            <w:r>
              <w:rPr>
                <w:rFonts w:ascii="EC Square Sans Cond Pro" w:hAnsi="EC Square Sans Cond Pro" w:cs="Calibri"/>
                <w:noProof/>
                <w:color w:val="000000"/>
                <w:sz w:val="20"/>
                <w:szCs w:val="20"/>
              </w:rPr>
              <w:t>4.8</w:t>
            </w:r>
          </w:p>
        </w:tc>
        <w:tc>
          <w:tcPr>
            <w:tcW w:w="405" w:type="pct"/>
            <w:tcBorders>
              <w:top w:val="nil"/>
              <w:left w:val="nil"/>
              <w:bottom w:val="single" w:sz="8" w:space="0" w:color="auto"/>
              <w:right w:val="nil"/>
            </w:tcBorders>
            <w:shd w:val="clear" w:color="000000" w:fill="FFFFFF"/>
            <w:noWrap/>
            <w:vAlign w:val="center"/>
            <w:hideMark/>
          </w:tcPr>
          <w:p w14:paraId="7B790016" w14:textId="2672084F" w:rsidR="00DF2071" w:rsidRPr="00985FB2" w:rsidRDefault="00DF2071" w:rsidP="00DF2071">
            <w:pPr>
              <w:keepNext/>
              <w:keepLines/>
              <w:spacing w:after="0"/>
              <w:jc w:val="center"/>
              <w:rPr>
                <w:rFonts w:ascii="EC Square Sans Cond Pro" w:eastAsia="Times New Roman" w:hAnsi="EC Square Sans Cond Pro" w:cs="Calibri"/>
                <w:i/>
                <w:noProof/>
                <w:color w:val="000000"/>
                <w:sz w:val="20"/>
                <w:szCs w:val="20"/>
                <w:lang w:val="en-IE"/>
              </w:rPr>
            </w:pPr>
            <w:r>
              <w:rPr>
                <w:rFonts w:ascii="EC Square Sans Cond Pro" w:hAnsi="EC Square Sans Cond Pro" w:cs="Calibri"/>
                <w:noProof/>
                <w:color w:val="000000"/>
                <w:sz w:val="20"/>
                <w:szCs w:val="20"/>
              </w:rPr>
              <w:t>1.9</w:t>
            </w:r>
          </w:p>
        </w:tc>
        <w:tc>
          <w:tcPr>
            <w:tcW w:w="405" w:type="pct"/>
            <w:tcBorders>
              <w:top w:val="nil"/>
              <w:left w:val="nil"/>
              <w:bottom w:val="single" w:sz="8" w:space="0" w:color="auto"/>
              <w:right w:val="nil"/>
            </w:tcBorders>
            <w:shd w:val="clear" w:color="000000" w:fill="FFFFFF"/>
            <w:noWrap/>
            <w:vAlign w:val="center"/>
            <w:hideMark/>
          </w:tcPr>
          <w:p w14:paraId="6C054407" w14:textId="73568710" w:rsidR="00DF2071" w:rsidRPr="00985FB2" w:rsidRDefault="00DF2071" w:rsidP="00DF2071">
            <w:pPr>
              <w:keepNext/>
              <w:keepLines/>
              <w:spacing w:after="0"/>
              <w:jc w:val="center"/>
              <w:rPr>
                <w:rFonts w:ascii="EC Square Sans Cond Pro" w:eastAsia="Times New Roman" w:hAnsi="EC Square Sans Cond Pro" w:cs="Calibri"/>
                <w:i/>
                <w:noProof/>
                <w:color w:val="000000"/>
                <w:sz w:val="20"/>
                <w:szCs w:val="20"/>
                <w:lang w:val="en-IE"/>
              </w:rPr>
            </w:pPr>
            <w:r>
              <w:rPr>
                <w:rFonts w:ascii="EC Square Sans Cond Pro" w:hAnsi="EC Square Sans Cond Pro" w:cs="Calibri"/>
                <w:noProof/>
                <w:color w:val="000000"/>
                <w:sz w:val="20"/>
                <w:szCs w:val="20"/>
              </w:rPr>
              <w:t>2.2</w:t>
            </w:r>
          </w:p>
        </w:tc>
        <w:tc>
          <w:tcPr>
            <w:tcW w:w="402" w:type="pct"/>
            <w:tcBorders>
              <w:top w:val="nil"/>
              <w:left w:val="nil"/>
              <w:bottom w:val="single" w:sz="8" w:space="0" w:color="auto"/>
              <w:right w:val="single" w:sz="8" w:space="0" w:color="auto"/>
            </w:tcBorders>
            <w:shd w:val="clear" w:color="000000" w:fill="FFFFFF"/>
            <w:noWrap/>
            <w:vAlign w:val="center"/>
            <w:hideMark/>
          </w:tcPr>
          <w:p w14:paraId="210FB103" w14:textId="59886420" w:rsidR="00DF2071" w:rsidRPr="00985FB2" w:rsidRDefault="00DF2071" w:rsidP="00DF2071">
            <w:pPr>
              <w:keepNext/>
              <w:keepLines/>
              <w:spacing w:after="0"/>
              <w:jc w:val="center"/>
              <w:rPr>
                <w:rFonts w:ascii="EC Square Sans Cond Pro" w:eastAsia="Times New Roman" w:hAnsi="EC Square Sans Cond Pro" w:cs="Calibri"/>
                <w:i/>
                <w:noProof/>
                <w:color w:val="000000"/>
                <w:sz w:val="20"/>
                <w:szCs w:val="20"/>
                <w:lang w:val="en-IE"/>
              </w:rPr>
            </w:pPr>
            <w:r>
              <w:rPr>
                <w:rFonts w:ascii="EC Square Sans Cond Pro" w:hAnsi="EC Square Sans Cond Pro" w:cs="Calibri"/>
                <w:noProof/>
                <w:color w:val="000000"/>
                <w:sz w:val="20"/>
                <w:szCs w:val="20"/>
              </w:rPr>
              <w:t>4.0</w:t>
            </w:r>
          </w:p>
        </w:tc>
      </w:tr>
    </w:tbl>
    <w:p w14:paraId="28B0D955" w14:textId="5E54EF3C" w:rsidR="002C2C38" w:rsidRPr="002C2C38" w:rsidRDefault="002C2C38" w:rsidP="003706A9">
      <w:pPr>
        <w:pStyle w:val="CT-NOTE"/>
        <w:rPr>
          <w:noProof/>
        </w:rPr>
      </w:pPr>
      <w:r w:rsidRPr="002C2C38">
        <w:rPr>
          <w:noProof/>
        </w:rPr>
        <w:t xml:space="preserve">Note: </w:t>
      </w:r>
      <w:r w:rsidRPr="003706A9">
        <w:rPr>
          <w:noProof/>
        </w:rPr>
        <w:t xml:space="preserve">All costs are expressed in </w:t>
      </w:r>
      <w:r w:rsidRPr="002C2C38">
        <w:rPr>
          <w:noProof/>
        </w:rPr>
        <w:t>EUR</w:t>
      </w:r>
      <w:r w:rsidRPr="003706A9">
        <w:rPr>
          <w:noProof/>
        </w:rPr>
        <w:t xml:space="preserve">2023. </w:t>
      </w:r>
    </w:p>
    <w:p w14:paraId="0040E8AD" w14:textId="5B10A5AE" w:rsidR="00A074EB" w:rsidRPr="00554A9C" w:rsidRDefault="00A074EB" w:rsidP="00A074EB">
      <w:pPr>
        <w:pStyle w:val="CT2040-SOURCE"/>
        <w:rPr>
          <w:noProof/>
        </w:rPr>
      </w:pPr>
      <w:r w:rsidRPr="00554A9C">
        <w:rPr>
          <w:noProof/>
        </w:rPr>
        <w:t>Source: GLOBIOM, GAINS.</w:t>
      </w:r>
    </w:p>
    <w:p w14:paraId="552AD6A4" w14:textId="5B748B8B" w:rsidR="00A074EB" w:rsidRDefault="00A074EB" w:rsidP="00A074EB">
      <w:pPr>
        <w:rPr>
          <w:noProof/>
        </w:rPr>
      </w:pPr>
      <w:r>
        <w:rPr>
          <w:noProof/>
        </w:rPr>
        <w:t xml:space="preserve">S1 does not assume specific LULUCF and non-CO2 policies in 2040, showing smaller mitigation costs for the 2031-2040 period. Both sectors have to contribute to meeting climate neutrality in 2050 also in that scenario, which entails some mitigation action and associated costs in the last decade 2041-2050. </w:t>
      </w:r>
    </w:p>
    <w:p w14:paraId="67792858" w14:textId="5683D0AD" w:rsidR="00A074EB" w:rsidRDefault="00A074EB" w:rsidP="00A074EB">
      <w:pPr>
        <w:rPr>
          <w:noProof/>
        </w:rPr>
      </w:pPr>
      <w:r>
        <w:rPr>
          <w:noProof/>
        </w:rPr>
        <w:t xml:space="preserve">For LULUCF, additional nature-based removals such as improved forest management, afforestation or rewetting are applied in S2 and S3 by 2040. The associated average annual cost in these scenarios amount to EUR 2.5 billion in 2031-2040 and EUR 2.8 billion in 2041-2050.  </w:t>
      </w:r>
    </w:p>
    <w:p w14:paraId="39A5A430" w14:textId="4488056A" w:rsidR="00B85AD2" w:rsidRPr="00B462D8" w:rsidRDefault="00A074EB" w:rsidP="00B85AD2">
      <w:pPr>
        <w:rPr>
          <w:noProof/>
          <w:sz w:val="20"/>
        </w:rPr>
      </w:pPr>
      <w:r>
        <w:rPr>
          <w:noProof/>
        </w:rPr>
        <w:t xml:space="preserve">The average annual costs associated to mitigation of non-CO2 emissions </w:t>
      </w:r>
      <w:r w:rsidR="00AC2C9C" w:rsidRPr="00AC2C9C">
        <w:rPr>
          <w:noProof/>
        </w:rPr>
        <w:t>over the 2031-2040 period are around EUR 0.</w:t>
      </w:r>
      <w:r w:rsidR="009057AD">
        <w:rPr>
          <w:noProof/>
        </w:rPr>
        <w:t>7</w:t>
      </w:r>
      <w:r w:rsidR="00AC2C9C" w:rsidRPr="00AC2C9C">
        <w:rPr>
          <w:noProof/>
        </w:rPr>
        <w:t xml:space="preserve"> billion per year </w:t>
      </w:r>
      <w:r>
        <w:rPr>
          <w:noProof/>
        </w:rPr>
        <w:t xml:space="preserve">in S2 and around EUR </w:t>
      </w:r>
      <w:r w:rsidR="009057AD">
        <w:rPr>
          <w:noProof/>
        </w:rPr>
        <w:t>3</w:t>
      </w:r>
      <w:r>
        <w:rPr>
          <w:noProof/>
        </w:rPr>
        <w:t>.</w:t>
      </w:r>
      <w:r w:rsidR="009057AD">
        <w:rPr>
          <w:noProof/>
        </w:rPr>
        <w:t xml:space="preserve">4 </w:t>
      </w:r>
      <w:r>
        <w:rPr>
          <w:noProof/>
        </w:rPr>
        <w:t>billion per year</w:t>
      </w:r>
      <w:r w:rsidR="00AC2C9C">
        <w:rPr>
          <w:noProof/>
        </w:rPr>
        <w:t xml:space="preserve"> in S3</w:t>
      </w:r>
      <w:r>
        <w:rPr>
          <w:noProof/>
        </w:rPr>
        <w:t xml:space="preserve">. Over the 2041-2050 period, the average annual costs are higher than in the previous decade: EUR </w:t>
      </w:r>
      <w:r w:rsidR="009057AD">
        <w:rPr>
          <w:noProof/>
        </w:rPr>
        <w:t>3.9</w:t>
      </w:r>
      <w:r>
        <w:rPr>
          <w:noProof/>
        </w:rPr>
        <w:t xml:space="preserve"> billion in S1</w:t>
      </w:r>
      <w:r w:rsidR="00081D52">
        <w:rPr>
          <w:noProof/>
        </w:rPr>
        <w:t>, EUR 4.1 billion in S2,</w:t>
      </w:r>
      <w:r>
        <w:rPr>
          <w:noProof/>
        </w:rPr>
        <w:t xml:space="preserve"> and EUR 5 billion in S3. </w:t>
      </w:r>
      <w:r w:rsidR="009057AD">
        <w:rPr>
          <w:noProof/>
        </w:rPr>
        <w:t>Most</w:t>
      </w:r>
      <w:r>
        <w:rPr>
          <w:noProof/>
        </w:rPr>
        <w:t xml:space="preserve"> of the annual mitigation costs take place in the agriculture sector, which represents the bulk of the unabated non-CO2 </w:t>
      </w:r>
      <w:r w:rsidR="00180529">
        <w:rPr>
          <w:noProof/>
        </w:rPr>
        <w:t xml:space="preserve">GHG emissions after </w:t>
      </w:r>
      <w:r>
        <w:rPr>
          <w:noProof/>
        </w:rPr>
        <w:t xml:space="preserve">2030. </w:t>
      </w:r>
      <w:r w:rsidR="00B85AD2">
        <w:rPr>
          <w:noProof/>
        </w:rPr>
        <w:t xml:space="preserve">The </w:t>
      </w:r>
      <w:r w:rsidR="009057AD">
        <w:rPr>
          <w:noProof/>
        </w:rPr>
        <w:t xml:space="preserve">mitigation </w:t>
      </w:r>
      <w:r w:rsidR="00B85AD2">
        <w:rPr>
          <w:noProof/>
        </w:rPr>
        <w:t xml:space="preserve">costs </w:t>
      </w:r>
      <w:r w:rsidR="009057AD">
        <w:rPr>
          <w:noProof/>
        </w:rPr>
        <w:t xml:space="preserve">of the sector </w:t>
      </w:r>
      <w:r w:rsidR="00B85AD2">
        <w:rPr>
          <w:noProof/>
        </w:rPr>
        <w:t>are reflected in the macro-economic analysis presented in sectio</w:t>
      </w:r>
      <w:r w:rsidR="009D0453">
        <w:rPr>
          <w:noProof/>
        </w:rPr>
        <w:t xml:space="preserve">n </w:t>
      </w:r>
      <w:r w:rsidR="009D0453">
        <w:rPr>
          <w:noProof/>
        </w:rPr>
        <w:fldChar w:fldCharType="begin"/>
      </w:r>
      <w:r w:rsidR="009D0453">
        <w:rPr>
          <w:noProof/>
        </w:rPr>
        <w:instrText xml:space="preserve"> REF _Ref157412162 \n \h </w:instrText>
      </w:r>
      <w:r w:rsidR="009D0453">
        <w:rPr>
          <w:noProof/>
        </w:rPr>
      </w:r>
      <w:r w:rsidR="009D0453">
        <w:rPr>
          <w:noProof/>
        </w:rPr>
        <w:fldChar w:fldCharType="separate"/>
      </w:r>
      <w:r w:rsidR="00170A3C">
        <w:rPr>
          <w:noProof/>
        </w:rPr>
        <w:t>2.3.6</w:t>
      </w:r>
      <w:r w:rsidR="009D0453">
        <w:rPr>
          <w:noProof/>
        </w:rPr>
        <w:fldChar w:fldCharType="end"/>
      </w:r>
      <w:r w:rsidR="00B85AD2">
        <w:rPr>
          <w:noProof/>
        </w:rPr>
        <w:t>.</w:t>
      </w:r>
    </w:p>
    <w:p w14:paraId="43D3B11F" w14:textId="64A44974" w:rsidR="0074506B" w:rsidRDefault="0074506B" w:rsidP="00AC2C9C">
      <w:pPr>
        <w:pStyle w:val="Heading4"/>
        <w:rPr>
          <w:noProof/>
        </w:rPr>
      </w:pPr>
      <w:r>
        <w:rPr>
          <w:noProof/>
        </w:rPr>
        <w:t>The LIFE variant</w:t>
      </w:r>
    </w:p>
    <w:p w14:paraId="42382CFF" w14:textId="5457AE34" w:rsidR="006B6AFF" w:rsidRDefault="0074506B" w:rsidP="0074506B">
      <w:pPr>
        <w:rPr>
          <w:noProof/>
        </w:rPr>
      </w:pPr>
      <w:r>
        <w:rPr>
          <w:noProof/>
        </w:rPr>
        <w:t>The LIFE variant</w:t>
      </w:r>
      <w:r w:rsidRPr="00486349">
        <w:rPr>
          <w:noProof/>
        </w:rPr>
        <w:t xml:space="preserve"> shows limited impacts on the agricultural sector</w:t>
      </w:r>
      <w:r>
        <w:rPr>
          <w:noProof/>
        </w:rPr>
        <w:t>. An</w:t>
      </w:r>
      <w:r w:rsidRPr="00486349">
        <w:rPr>
          <w:noProof/>
        </w:rPr>
        <w:t xml:space="preserve"> analysis</w:t>
      </w:r>
      <w:r>
        <w:rPr>
          <w:noProof/>
        </w:rPr>
        <w:t xml:space="preserve"> with the CAPRI model</w:t>
      </w:r>
      <w:r w:rsidRPr="00486349">
        <w:rPr>
          <w:noProof/>
        </w:rPr>
        <w:t xml:space="preserve"> shows a decrease in 2040 by </w:t>
      </w:r>
      <w:r>
        <w:rPr>
          <w:noProof/>
        </w:rPr>
        <w:noBreakHyphen/>
      </w:r>
      <w:r w:rsidRPr="00486349">
        <w:rPr>
          <w:noProof/>
        </w:rPr>
        <w:t>5.</w:t>
      </w:r>
      <w:r w:rsidRPr="00434B94">
        <w:rPr>
          <w:noProof/>
        </w:rPr>
        <w:t>4</w:t>
      </w:r>
      <w:r w:rsidRPr="00486349">
        <w:rPr>
          <w:noProof/>
        </w:rPr>
        <w:t>% (</w:t>
      </w:r>
      <w:r w:rsidRPr="00486349">
        <w:rPr>
          <w:rStyle w:val="FootnoteReference"/>
          <w:noProof/>
        </w:rPr>
        <w:footnoteReference w:id="295"/>
      </w:r>
      <w:r w:rsidRPr="00486349">
        <w:rPr>
          <w:noProof/>
        </w:rPr>
        <w:t>)</w:t>
      </w:r>
      <w:r w:rsidR="006B6AFF">
        <w:rPr>
          <w:noProof/>
        </w:rPr>
        <w:t xml:space="preserve"> of the total revenues, </w:t>
      </w:r>
      <w:r w:rsidRPr="00486349">
        <w:rPr>
          <w:noProof/>
        </w:rPr>
        <w:t>most pronounced in meat production (</w:t>
      </w:r>
      <w:r>
        <w:rPr>
          <w:noProof/>
        </w:rPr>
        <w:noBreakHyphen/>
      </w:r>
      <w:r w:rsidRPr="00486349">
        <w:rPr>
          <w:noProof/>
        </w:rPr>
        <w:t xml:space="preserve">12% to </w:t>
      </w:r>
      <w:r>
        <w:rPr>
          <w:noProof/>
        </w:rPr>
        <w:noBreakHyphen/>
      </w:r>
      <w:r w:rsidRPr="00486349">
        <w:rPr>
          <w:noProof/>
        </w:rPr>
        <w:t xml:space="preserve">20%), while other </w:t>
      </w:r>
      <w:r w:rsidR="006B6AFF">
        <w:rPr>
          <w:noProof/>
        </w:rPr>
        <w:t>activities</w:t>
      </w:r>
      <w:r w:rsidRPr="00486349">
        <w:rPr>
          <w:noProof/>
        </w:rPr>
        <w:t xml:space="preserve"> such as vegetables and permanent crops benefit (+12%). </w:t>
      </w:r>
    </w:p>
    <w:p w14:paraId="29126714" w14:textId="6CF32AEC" w:rsidR="0074506B" w:rsidRPr="00486349" w:rsidRDefault="006B6AFF" w:rsidP="0074506B">
      <w:pPr>
        <w:rPr>
          <w:noProof/>
        </w:rPr>
      </w:pPr>
      <w:r>
        <w:rPr>
          <w:noProof/>
        </w:rPr>
        <w:t>The LIFE variant</w:t>
      </w:r>
      <w:r w:rsidRPr="00486349">
        <w:rPr>
          <w:noProof/>
        </w:rPr>
        <w:t xml:space="preserve"> </w:t>
      </w:r>
      <w:r w:rsidRPr="00434B94">
        <w:rPr>
          <w:noProof/>
        </w:rPr>
        <w:t>demonstrates</w:t>
      </w:r>
      <w:r w:rsidRPr="00486349">
        <w:rPr>
          <w:noProof/>
        </w:rPr>
        <w:t xml:space="preserve"> that freed up land from fodder production could be used for additional forest management land</w:t>
      </w:r>
      <w:r>
        <w:rPr>
          <w:noProof/>
        </w:rPr>
        <w:t xml:space="preserve">, which may </w:t>
      </w:r>
      <w:r w:rsidR="0074506B" w:rsidRPr="00486349">
        <w:rPr>
          <w:noProof/>
        </w:rPr>
        <w:t>counterbalance</w:t>
      </w:r>
      <w:r>
        <w:rPr>
          <w:noProof/>
        </w:rPr>
        <w:t xml:space="preserve"> the overall decrease</w:t>
      </w:r>
      <w:r w:rsidR="0074506B" w:rsidRPr="00486349">
        <w:rPr>
          <w:noProof/>
        </w:rPr>
        <w:t xml:space="preserve"> with additional income opportunities </w:t>
      </w:r>
      <w:r w:rsidR="0074506B" w:rsidRPr="00434B94">
        <w:rPr>
          <w:noProof/>
        </w:rPr>
        <w:t xml:space="preserve">for example </w:t>
      </w:r>
      <w:r w:rsidR="0074506B" w:rsidRPr="00486349">
        <w:rPr>
          <w:noProof/>
        </w:rPr>
        <w:t xml:space="preserve">through </w:t>
      </w:r>
      <w:r w:rsidR="0074506B" w:rsidRPr="00434B94">
        <w:rPr>
          <w:noProof/>
        </w:rPr>
        <w:t xml:space="preserve">other agricultural products, </w:t>
      </w:r>
      <w:r w:rsidR="0074506B" w:rsidRPr="00486349">
        <w:rPr>
          <w:noProof/>
        </w:rPr>
        <w:t>carbon farming</w:t>
      </w:r>
      <w:r w:rsidR="0074506B" w:rsidRPr="00434B94">
        <w:rPr>
          <w:noProof/>
        </w:rPr>
        <w:t>, payment for ecosystem services (PES),</w:t>
      </w:r>
      <w:r w:rsidR="0074506B" w:rsidRPr="00486349">
        <w:rPr>
          <w:noProof/>
        </w:rPr>
        <w:t xml:space="preserve"> and other activities</w:t>
      </w:r>
      <w:r w:rsidR="0074506B">
        <w:rPr>
          <w:noProof/>
        </w:rPr>
        <w:t xml:space="preserve">. </w:t>
      </w:r>
      <w:r w:rsidR="0074506B" w:rsidRPr="00486349">
        <w:rPr>
          <w:noProof/>
        </w:rPr>
        <w:t xml:space="preserve"> </w:t>
      </w:r>
    </w:p>
    <w:p w14:paraId="78A235CE" w14:textId="77777777" w:rsidR="0074506B" w:rsidRPr="00C92E1A" w:rsidRDefault="0074506B" w:rsidP="00A074EB">
      <w:pPr>
        <w:rPr>
          <w:noProof/>
        </w:rPr>
      </w:pPr>
    </w:p>
    <w:p w14:paraId="68369F0E" w14:textId="0556F22B" w:rsidR="00DD6070" w:rsidRPr="005933BE" w:rsidRDefault="00DD6070" w:rsidP="005933BE">
      <w:pPr>
        <w:pStyle w:val="Heading3"/>
        <w:rPr>
          <w:noProof/>
        </w:rPr>
      </w:pPr>
      <w:bookmarkStart w:id="724" w:name="_Ref157412162"/>
      <w:bookmarkStart w:id="725" w:name="_Toc157692099"/>
      <w:r w:rsidRPr="005933BE">
        <w:rPr>
          <w:noProof/>
        </w:rPr>
        <w:t>Sectoral output and international trade</w:t>
      </w:r>
      <w:bookmarkEnd w:id="721"/>
      <w:bookmarkEnd w:id="724"/>
      <w:bookmarkEnd w:id="725"/>
    </w:p>
    <w:p w14:paraId="0F00B1AA" w14:textId="2EAA3899" w:rsidR="0021470A" w:rsidRDefault="0021470A" w:rsidP="0021470A">
      <w:pPr>
        <w:rPr>
          <w:noProof/>
        </w:rPr>
      </w:pPr>
      <w:r>
        <w:rPr>
          <w:noProof/>
        </w:rPr>
        <w:t xml:space="preserve">As highlighted in section </w:t>
      </w:r>
      <w:r>
        <w:rPr>
          <w:noProof/>
        </w:rPr>
        <w:fldChar w:fldCharType="begin"/>
      </w:r>
      <w:r>
        <w:rPr>
          <w:noProof/>
        </w:rPr>
        <w:instrText xml:space="preserve"> REF _Ref143529680 \r \h </w:instrText>
      </w:r>
      <w:r>
        <w:rPr>
          <w:noProof/>
        </w:rPr>
      </w:r>
      <w:r>
        <w:rPr>
          <w:noProof/>
        </w:rPr>
        <w:fldChar w:fldCharType="separate"/>
      </w:r>
      <w:r w:rsidR="00170A3C">
        <w:rPr>
          <w:noProof/>
        </w:rPr>
        <w:t>2.4.3</w:t>
      </w:r>
      <w:r>
        <w:rPr>
          <w:noProof/>
        </w:rPr>
        <w:fldChar w:fldCharType="end"/>
      </w:r>
      <w:r>
        <w:rPr>
          <w:noProof/>
        </w:rPr>
        <w:t xml:space="preserve">, the impacts of the climate and energy transition and the 2040 target need to be assessed while bearing in mind a general context that is affected by a multiplicity of factors, including the increased share of services in mature EU economies, digitalisation, the projected gradual decline in the EU population and the </w:t>
      </w:r>
      <w:r w:rsidR="00CC6A40">
        <w:rPr>
          <w:noProof/>
        </w:rPr>
        <w:t>falling</w:t>
      </w:r>
      <w:r>
        <w:rPr>
          <w:noProof/>
        </w:rPr>
        <w:t xml:space="preserve"> share of the EU in global GDP. Abstracting from such changes, the level of ambition in 2040 does nevertheless impact sectoral output in somewhat contrasted manners.</w:t>
      </w:r>
    </w:p>
    <w:p w14:paraId="68B5B3BC" w14:textId="3E2F31FD" w:rsidR="00876E74" w:rsidRDefault="0021470A" w:rsidP="0021470A">
      <w:pPr>
        <w:rPr>
          <w:noProof/>
        </w:rPr>
      </w:pPr>
      <w:r>
        <w:rPr>
          <w:noProof/>
        </w:rPr>
        <w:t>As expected, a higher level of ambition is associated with a bigger decline in the output of fossil fuel industries by 2040</w:t>
      </w:r>
      <w:r w:rsidR="00047248">
        <w:rPr>
          <w:noProof/>
        </w:rPr>
        <w:t>. Output</w:t>
      </w:r>
      <w:r>
        <w:rPr>
          <w:noProof/>
        </w:rPr>
        <w:t xml:space="preserve"> under S3 </w:t>
      </w:r>
      <w:r w:rsidR="00047248">
        <w:rPr>
          <w:noProof/>
        </w:rPr>
        <w:t xml:space="preserve">is </w:t>
      </w:r>
      <w:r w:rsidR="00876E74">
        <w:rPr>
          <w:noProof/>
        </w:rPr>
        <w:t>about 6</w:t>
      </w:r>
      <w:r w:rsidR="00047248">
        <w:rPr>
          <w:noProof/>
        </w:rPr>
        <w:t xml:space="preserve">% lower </w:t>
      </w:r>
      <w:r>
        <w:rPr>
          <w:noProof/>
        </w:rPr>
        <w:t>compared to S</w:t>
      </w:r>
      <w:r w:rsidR="00876E74">
        <w:rPr>
          <w:noProof/>
        </w:rPr>
        <w:t>2 in 2040</w:t>
      </w:r>
      <w:r w:rsidR="00991EC7">
        <w:rPr>
          <w:noProof/>
        </w:rPr>
        <w:t xml:space="preserve"> (fragmented action scenario)</w:t>
      </w:r>
      <w:r>
        <w:rPr>
          <w:noProof/>
        </w:rPr>
        <w:t>, which already entails a sharp drop in the sector’s activity relative to current levels</w:t>
      </w:r>
      <w:r w:rsidR="006879F4">
        <w:rPr>
          <w:noProof/>
        </w:rPr>
        <w:t xml:space="preserve"> (</w:t>
      </w:r>
      <w:r w:rsidR="006879F4">
        <w:rPr>
          <w:noProof/>
        </w:rPr>
        <w:fldChar w:fldCharType="begin"/>
      </w:r>
      <w:r w:rsidR="006879F4">
        <w:rPr>
          <w:noProof/>
        </w:rPr>
        <w:instrText xml:space="preserve"> REF _Ref143595039 \h </w:instrText>
      </w:r>
      <w:r w:rsidR="006879F4">
        <w:rPr>
          <w:noProof/>
        </w:rPr>
      </w:r>
      <w:r w:rsidR="006879F4">
        <w:rPr>
          <w:noProof/>
        </w:rPr>
        <w:fldChar w:fldCharType="separate"/>
      </w:r>
      <w:r w:rsidR="00170A3C">
        <w:rPr>
          <w:noProof/>
        </w:rPr>
        <w:t>Table 40</w:t>
      </w:r>
      <w:r w:rsidR="006879F4">
        <w:rPr>
          <w:noProof/>
        </w:rPr>
        <w:fldChar w:fldCharType="end"/>
      </w:r>
      <w:r w:rsidR="006879F4">
        <w:rPr>
          <w:noProof/>
        </w:rPr>
        <w:t>)</w:t>
      </w:r>
      <w:r>
        <w:rPr>
          <w:noProof/>
        </w:rPr>
        <w:t>.</w:t>
      </w:r>
      <w:r w:rsidR="00876E74">
        <w:rPr>
          <w:noProof/>
        </w:rPr>
        <w:t xml:space="preserve"> The sector’s output is higher under S1 than S2, but only temporarily as the levels converge by 2050.</w:t>
      </w:r>
      <w:r>
        <w:rPr>
          <w:noProof/>
        </w:rPr>
        <w:t xml:space="preserve"> </w:t>
      </w:r>
      <w:r w:rsidR="003E6495" w:rsidRPr="003E6495">
        <w:rPr>
          <w:noProof/>
        </w:rPr>
        <w:t>The output of energy intensive industries is also projected to be affected by a higher level of ambition</w:t>
      </w:r>
      <w:r w:rsidR="00876E74">
        <w:rPr>
          <w:noProof/>
        </w:rPr>
        <w:t xml:space="preserve">. The </w:t>
      </w:r>
      <w:r w:rsidR="003E6495" w:rsidRPr="003E6495">
        <w:rPr>
          <w:noProof/>
        </w:rPr>
        <w:t xml:space="preserve">impact under S3 </w:t>
      </w:r>
      <w:r w:rsidR="00876E74">
        <w:rPr>
          <w:noProof/>
        </w:rPr>
        <w:t xml:space="preserve">is </w:t>
      </w:r>
      <w:r w:rsidR="003E6495" w:rsidRPr="003E6495">
        <w:rPr>
          <w:noProof/>
        </w:rPr>
        <w:t>small at -</w:t>
      </w:r>
      <w:r w:rsidR="00876E74">
        <w:rPr>
          <w:noProof/>
        </w:rPr>
        <w:t>0.2</w:t>
      </w:r>
      <w:r w:rsidR="003E6495" w:rsidRPr="003E6495">
        <w:rPr>
          <w:noProof/>
        </w:rPr>
        <w:t>% (relative to S</w:t>
      </w:r>
      <w:r w:rsidR="00876E74">
        <w:rPr>
          <w:noProof/>
        </w:rPr>
        <w:t>2</w:t>
      </w:r>
      <w:r w:rsidR="003E6495" w:rsidRPr="003E6495">
        <w:rPr>
          <w:noProof/>
        </w:rPr>
        <w:t xml:space="preserve">) </w:t>
      </w:r>
      <w:r w:rsidR="00876E74">
        <w:rPr>
          <w:noProof/>
        </w:rPr>
        <w:t>in</w:t>
      </w:r>
      <w:r w:rsidR="003E6495" w:rsidRPr="003E6495">
        <w:rPr>
          <w:noProof/>
        </w:rPr>
        <w:t xml:space="preserve"> 2040 and 2050 under the fragmented action scenario. </w:t>
      </w:r>
      <w:r w:rsidR="00876E74">
        <w:rPr>
          <w:noProof/>
        </w:rPr>
        <w:t>The lower level of ambition under S1 only generates a small positive impact of +1.4% in 2040 and +0.2% in 2050, relative to S2 (fragmented action).</w:t>
      </w:r>
      <w:r w:rsidR="00061A31">
        <w:rPr>
          <w:noProof/>
        </w:rPr>
        <w:t xml:space="preserve"> It must be noted also that the output of energy intensive industries is projected to continue growing across all scenarios in future decades. The growth rate between 2015 and 2040 is projected to range between 25.5% and 27.6%.</w:t>
      </w:r>
    </w:p>
    <w:p w14:paraId="28AC8925" w14:textId="3AF39AC4" w:rsidR="0021470A" w:rsidRDefault="003E6495" w:rsidP="0021470A">
      <w:pPr>
        <w:rPr>
          <w:noProof/>
        </w:rPr>
      </w:pPr>
      <w:r w:rsidRPr="003E6495">
        <w:rPr>
          <w:noProof/>
        </w:rPr>
        <w:t xml:space="preserve">It must be noted also that under the global action scenario, the output of energy intensive industries is higher than under the </w:t>
      </w:r>
      <w:r w:rsidR="00876E74">
        <w:rPr>
          <w:noProof/>
        </w:rPr>
        <w:t xml:space="preserve">lower ambition </w:t>
      </w:r>
      <w:r w:rsidRPr="003E6495">
        <w:rPr>
          <w:noProof/>
        </w:rPr>
        <w:t>S1 scenario both for S2 and S3</w:t>
      </w:r>
      <w:r w:rsidR="00876E74">
        <w:rPr>
          <w:noProof/>
        </w:rPr>
        <w:t>, with S3 yielding only a marginally lower output level than S2</w:t>
      </w:r>
      <w:r w:rsidRPr="003E6495">
        <w:rPr>
          <w:noProof/>
        </w:rPr>
        <w:t>. This is driven by the early adoption of decarbonised technologies in EU industry relative to the rest of the world, which increases its competitiveness in a setting where the rest of the world also needs to invest in low-carbon processes. In addition, the decarbonisation of production processes in energy-intensive industries and the associated fall in fossil fuel inputs are susceptible to shelter EU industry from potential shocks on fossil fuel prices. They would indeed be impacted by such shocks to a lower extent than competitors elsewhere and less advanced in their decarbonisation process</w:t>
      </w:r>
      <w:r>
        <w:rPr>
          <w:noProof/>
        </w:rPr>
        <w:t>.</w:t>
      </w:r>
    </w:p>
    <w:p w14:paraId="14B7D0E6" w14:textId="5F152951" w:rsidR="006879F4" w:rsidRDefault="006879F4" w:rsidP="00452374">
      <w:pPr>
        <w:pStyle w:val="Caption"/>
        <w:rPr>
          <w:rFonts w:ascii="Cambria Math" w:hAnsi="Cambria Math"/>
          <w:i/>
          <w:noProof/>
        </w:rPr>
      </w:pPr>
      <w:bookmarkStart w:id="726" w:name="_Ref143595039"/>
      <w:bookmarkStart w:id="727" w:name="_Toc157679923"/>
      <w:r>
        <w:rPr>
          <w:noProof/>
        </w:rPr>
        <w:t xml:space="preserve">Table </w:t>
      </w:r>
      <w:r>
        <w:rPr>
          <w:noProof/>
        </w:rPr>
        <w:fldChar w:fldCharType="begin"/>
      </w:r>
      <w:r>
        <w:rPr>
          <w:noProof/>
        </w:rPr>
        <w:instrText>SEQ Table \* ARABIC</w:instrText>
      </w:r>
      <w:r>
        <w:rPr>
          <w:noProof/>
        </w:rPr>
        <w:fldChar w:fldCharType="separate"/>
      </w:r>
      <w:r w:rsidR="00170A3C">
        <w:rPr>
          <w:noProof/>
        </w:rPr>
        <w:t>40</w:t>
      </w:r>
      <w:r>
        <w:rPr>
          <w:noProof/>
        </w:rPr>
        <w:fldChar w:fldCharType="end"/>
      </w:r>
      <w:bookmarkEnd w:id="726"/>
      <w:r>
        <w:rPr>
          <w:noProof/>
        </w:rPr>
        <w:t xml:space="preserve">: </w:t>
      </w:r>
      <w:r w:rsidR="001A3354">
        <w:rPr>
          <w:noProof/>
        </w:rPr>
        <w:t>S</w:t>
      </w:r>
      <w:r>
        <w:rPr>
          <w:noProof/>
        </w:rPr>
        <w:t>ectoral output, deviation vs. S</w:t>
      </w:r>
      <w:r w:rsidR="000A71F9">
        <w:rPr>
          <w:noProof/>
        </w:rPr>
        <w:t>2</w:t>
      </w:r>
      <w:r>
        <w:rPr>
          <w:noProof/>
        </w:rPr>
        <w:t xml:space="preserve"> (%)</w:t>
      </w:r>
      <w:bookmarkEnd w:id="727"/>
    </w:p>
    <w:p w14:paraId="6AD5D15B" w14:textId="5B2A610B" w:rsidR="006879F4" w:rsidRDefault="00B200DF" w:rsidP="00452374">
      <w:pPr>
        <w:keepNext/>
        <w:spacing w:after="0"/>
        <w:jc w:val="center"/>
        <w:rPr>
          <w:noProof/>
          <w:lang w:eastAsia="en-GB"/>
        </w:rPr>
      </w:pPr>
      <w:r w:rsidRPr="00B200DF">
        <w:rPr>
          <w:noProof/>
          <w:lang w:eastAsia="en-GB"/>
        </w:rPr>
        <w:drawing>
          <wp:inline distT="0" distB="0" distL="0" distR="0" wp14:anchorId="28DBF540" wp14:editId="1189BE82">
            <wp:extent cx="5472430" cy="250444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5472430" cy="2504440"/>
                    </a:xfrm>
                    <a:prstGeom prst="rect">
                      <a:avLst/>
                    </a:prstGeom>
                    <a:noFill/>
                    <a:ln>
                      <a:noFill/>
                    </a:ln>
                  </pic:spPr>
                </pic:pic>
              </a:graphicData>
            </a:graphic>
          </wp:inline>
        </w:drawing>
      </w:r>
    </w:p>
    <w:p w14:paraId="27CD8D0A" w14:textId="65DFD1E0" w:rsidR="006879F4" w:rsidRPr="0002246D" w:rsidRDefault="006879F4" w:rsidP="008640DF">
      <w:pPr>
        <w:pStyle w:val="CT-SOURCE"/>
        <w:rPr>
          <w:rFonts w:ascii="Cambria Math" w:hAnsi="Cambria Math"/>
          <w:i w:val="0"/>
          <w:noProof/>
        </w:rPr>
      </w:pPr>
      <w:r w:rsidRPr="0002246D">
        <w:rPr>
          <w:noProof/>
        </w:rPr>
        <w:t>Source: JRC-GEM-E3.</w:t>
      </w:r>
    </w:p>
    <w:p w14:paraId="4CF11DF4" w14:textId="1C7A7744" w:rsidR="004B2BBA" w:rsidRPr="00486349" w:rsidRDefault="0021470A" w:rsidP="004B2BBA">
      <w:pPr>
        <w:rPr>
          <w:noProof/>
        </w:rPr>
      </w:pPr>
      <w:bookmarkStart w:id="728" w:name="_Hlk145348330"/>
      <w:r>
        <w:rPr>
          <w:noProof/>
        </w:rPr>
        <w:t>Other sectors that are likely to be affected by a higher level of ambition include transport (road, maritime and air)</w:t>
      </w:r>
      <w:r w:rsidR="00991EC7">
        <w:rPr>
          <w:noProof/>
        </w:rPr>
        <w:t>, equipment goods</w:t>
      </w:r>
      <w:r>
        <w:rPr>
          <w:noProof/>
        </w:rPr>
        <w:t xml:space="preserve"> and consumer goods industries, which would be impacted by the overall decline in GDP and private consumption. Under a global action setting, </w:t>
      </w:r>
      <w:r w:rsidR="00991EC7">
        <w:rPr>
          <w:noProof/>
        </w:rPr>
        <w:t>these</w:t>
      </w:r>
      <w:r>
        <w:rPr>
          <w:noProof/>
        </w:rPr>
        <w:t xml:space="preserve"> </w:t>
      </w:r>
      <w:r w:rsidRPr="00486349">
        <w:rPr>
          <w:noProof/>
        </w:rPr>
        <w:t xml:space="preserve">sectors could </w:t>
      </w:r>
      <w:r w:rsidR="00991EC7">
        <w:rPr>
          <w:noProof/>
        </w:rPr>
        <w:t xml:space="preserve">actually </w:t>
      </w:r>
      <w:r w:rsidR="0055737E">
        <w:rPr>
          <w:noProof/>
        </w:rPr>
        <w:t xml:space="preserve">be better off with a higher level of climate ambition </w:t>
      </w:r>
      <w:r w:rsidRPr="00486349">
        <w:rPr>
          <w:noProof/>
        </w:rPr>
        <w:t xml:space="preserve">as </w:t>
      </w:r>
      <w:r w:rsidR="00991EC7">
        <w:rPr>
          <w:noProof/>
        </w:rPr>
        <w:t xml:space="preserve">global demand for equipment goods linked to decarbonisation increases and as </w:t>
      </w:r>
      <w:r w:rsidRPr="00486349">
        <w:rPr>
          <w:noProof/>
        </w:rPr>
        <w:t>the EU gains competitiveness and export market shares, thereby also driving up transport activity</w:t>
      </w:r>
      <w:r w:rsidR="0055737E">
        <w:rPr>
          <w:noProof/>
        </w:rPr>
        <w:t xml:space="preserve"> (S2 and S3 both have a higher level of output under a global action setting than S1 in 2050, with S3 only marginally lower than S2)</w:t>
      </w:r>
      <w:r w:rsidRPr="00486349">
        <w:rPr>
          <w:noProof/>
        </w:rPr>
        <w:t>.</w:t>
      </w:r>
      <w:r w:rsidR="009A6344" w:rsidRPr="00486349">
        <w:rPr>
          <w:noProof/>
        </w:rPr>
        <w:t xml:space="preserve"> </w:t>
      </w:r>
      <w:r w:rsidR="004B2BBA" w:rsidRPr="00486349">
        <w:rPr>
          <w:noProof/>
        </w:rPr>
        <w:t xml:space="preserve">Agriculture </w:t>
      </w:r>
      <w:r w:rsidR="00802360">
        <w:rPr>
          <w:noProof/>
        </w:rPr>
        <w:t>is mildly affected by higher levels of ambition, with output only 2% higher under S1 than under S3 in 2040, and 1% lower under S3 than under S2. In contrast, output in the forestry sector in 2040 is significantly higher under the higher ambition scenarios than under S1 as a result of the increased demand for biomass. By 2050, the differences are much less significant as biomass uses tend to converge across scenarios.</w:t>
      </w:r>
    </w:p>
    <w:bookmarkEnd w:id="728"/>
    <w:p w14:paraId="7E390105" w14:textId="59B95871" w:rsidR="00890AC2" w:rsidRDefault="000A5FB7" w:rsidP="0021470A">
      <w:pPr>
        <w:rPr>
          <w:noProof/>
        </w:rPr>
      </w:pPr>
      <w:r>
        <w:rPr>
          <w:noProof/>
        </w:rPr>
        <w:t xml:space="preserve">In terms of output shares, </w:t>
      </w:r>
      <w:r w:rsidR="000F26E2">
        <w:rPr>
          <w:noProof/>
        </w:rPr>
        <w:t xml:space="preserve">it </w:t>
      </w:r>
      <w:r w:rsidR="0074506B">
        <w:rPr>
          <w:noProof/>
        </w:rPr>
        <w:t xml:space="preserve">is </w:t>
      </w:r>
      <w:r w:rsidR="000F26E2">
        <w:rPr>
          <w:noProof/>
        </w:rPr>
        <w:t xml:space="preserve">assumed that the </w:t>
      </w:r>
      <w:r w:rsidR="00890AC2">
        <w:rPr>
          <w:noProof/>
        </w:rPr>
        <w:t xml:space="preserve">past </w:t>
      </w:r>
      <w:r w:rsidR="000F26E2">
        <w:rPr>
          <w:noProof/>
        </w:rPr>
        <w:t>trend towards a more services-oriented economy continue</w:t>
      </w:r>
      <w:r w:rsidR="0074506B">
        <w:rPr>
          <w:noProof/>
        </w:rPr>
        <w:t>s</w:t>
      </w:r>
      <w:r w:rsidR="000F26E2">
        <w:rPr>
          <w:noProof/>
        </w:rPr>
        <w:t xml:space="preserve"> in the coming decade</w:t>
      </w:r>
      <w:r w:rsidR="00890AC2">
        <w:rPr>
          <w:noProof/>
        </w:rPr>
        <w:t>s</w:t>
      </w:r>
      <w:r w:rsidR="000F26E2">
        <w:rPr>
          <w:noProof/>
        </w:rPr>
        <w:t xml:space="preserve">. Output in key industrial sectors, including energy intensive industries, is projected to grow significantly between </w:t>
      </w:r>
      <w:r w:rsidR="001F0200">
        <w:rPr>
          <w:noProof/>
        </w:rPr>
        <w:t xml:space="preserve">2015 and 2040 or 2050, and the growth rates across sectors is </w:t>
      </w:r>
      <w:r w:rsidR="00955943">
        <w:rPr>
          <w:noProof/>
        </w:rPr>
        <w:t>affected by the level of climate ambition for 2040 only to a very limited extent, with output levels in 2040 and 2050 broadly unchanged</w:t>
      </w:r>
      <w:r w:rsidR="008D0344">
        <w:rPr>
          <w:noProof/>
        </w:rPr>
        <w:t xml:space="preserve"> across the three scenarios</w:t>
      </w:r>
      <w:r w:rsidR="006879F4">
        <w:rPr>
          <w:noProof/>
        </w:rPr>
        <w:t xml:space="preserve"> (</w:t>
      </w:r>
      <w:r w:rsidR="00452374" w:rsidRPr="001D422D">
        <w:rPr>
          <w:noProof/>
        </w:rPr>
        <w:fldChar w:fldCharType="begin"/>
      </w:r>
      <w:r w:rsidR="00452374" w:rsidRPr="00452374">
        <w:rPr>
          <w:noProof/>
          <w:highlight w:val="yellow"/>
        </w:rPr>
        <w:instrText xml:space="preserve"> REF _Ref146100674 \h </w:instrText>
      </w:r>
      <w:r w:rsidR="00452374">
        <w:rPr>
          <w:noProof/>
          <w:highlight w:val="yellow"/>
        </w:rPr>
        <w:instrText xml:space="preserve"> \* MERGEFORMAT </w:instrText>
      </w:r>
      <w:r w:rsidR="00452374" w:rsidRPr="001D422D">
        <w:rPr>
          <w:noProof/>
        </w:rPr>
      </w:r>
      <w:r w:rsidR="00452374" w:rsidRPr="001D422D">
        <w:rPr>
          <w:noProof/>
        </w:rPr>
        <w:fldChar w:fldCharType="separate"/>
      </w:r>
      <w:r w:rsidR="00170A3C" w:rsidRPr="001D422D">
        <w:rPr>
          <w:noProof/>
        </w:rPr>
        <w:t xml:space="preserve">Table </w:t>
      </w:r>
      <w:r w:rsidR="00170A3C">
        <w:rPr>
          <w:noProof/>
        </w:rPr>
        <w:t>41</w:t>
      </w:r>
      <w:r w:rsidR="00452374" w:rsidRPr="001D422D">
        <w:rPr>
          <w:noProof/>
        </w:rPr>
        <w:fldChar w:fldCharType="end"/>
      </w:r>
      <w:r w:rsidR="006879F4">
        <w:rPr>
          <w:noProof/>
        </w:rPr>
        <w:t>)</w:t>
      </w:r>
      <w:r w:rsidR="008D0344">
        <w:rPr>
          <w:noProof/>
        </w:rPr>
        <w:t>.</w:t>
      </w:r>
    </w:p>
    <w:p w14:paraId="4659F96B" w14:textId="5598099E" w:rsidR="00890AC2" w:rsidRDefault="00890AC2" w:rsidP="00452374">
      <w:pPr>
        <w:pStyle w:val="Caption"/>
        <w:rPr>
          <w:noProof/>
        </w:rPr>
      </w:pPr>
      <w:bookmarkStart w:id="729" w:name="_Ref155686390"/>
      <w:bookmarkStart w:id="730" w:name="_Ref146100674"/>
      <w:bookmarkStart w:id="731" w:name="_Toc157679924"/>
      <w:r w:rsidRPr="001D422D">
        <w:rPr>
          <w:noProof/>
        </w:rPr>
        <w:t>Table</w:t>
      </w:r>
      <w:bookmarkEnd w:id="729"/>
      <w:r w:rsidRPr="001D422D">
        <w:rPr>
          <w:noProof/>
        </w:rPr>
        <w:t xml:space="preserve"> </w:t>
      </w:r>
      <w:r w:rsidRPr="001D422D">
        <w:rPr>
          <w:noProof/>
          <w:color w:val="2B579A"/>
          <w:shd w:val="clear" w:color="auto" w:fill="E6E6E6"/>
        </w:rPr>
        <w:fldChar w:fldCharType="begin"/>
      </w:r>
      <w:r w:rsidRPr="001D422D">
        <w:rPr>
          <w:noProof/>
        </w:rPr>
        <w:instrText>SEQ Table \* ARABIC</w:instrText>
      </w:r>
      <w:r w:rsidRPr="001D422D">
        <w:rPr>
          <w:noProof/>
          <w:color w:val="2B579A"/>
          <w:shd w:val="clear" w:color="auto" w:fill="E6E6E6"/>
        </w:rPr>
        <w:fldChar w:fldCharType="separate"/>
      </w:r>
      <w:r w:rsidR="00170A3C">
        <w:rPr>
          <w:noProof/>
        </w:rPr>
        <w:t>41</w:t>
      </w:r>
      <w:r w:rsidRPr="001D422D">
        <w:rPr>
          <w:noProof/>
          <w:color w:val="2B579A"/>
          <w:shd w:val="clear" w:color="auto" w:fill="E6E6E6"/>
        </w:rPr>
        <w:fldChar w:fldCharType="end"/>
      </w:r>
      <w:bookmarkEnd w:id="730"/>
      <w:r w:rsidRPr="001D422D">
        <w:rPr>
          <w:noProof/>
        </w:rPr>
        <w:t>:</w:t>
      </w:r>
      <w:r>
        <w:rPr>
          <w:noProof/>
        </w:rPr>
        <w:t xml:space="preserve"> </w:t>
      </w:r>
      <w:r w:rsidR="001A3354">
        <w:rPr>
          <w:noProof/>
        </w:rPr>
        <w:t>S</w:t>
      </w:r>
      <w:r>
        <w:rPr>
          <w:noProof/>
        </w:rPr>
        <w:t>ectoral output</w:t>
      </w:r>
      <w:r w:rsidRPr="00B174AC">
        <w:rPr>
          <w:noProof/>
        </w:rPr>
        <w:t>, % change vs. 2015</w:t>
      </w:r>
      <w:bookmarkEnd w:id="731"/>
    </w:p>
    <w:p w14:paraId="04C249C7" w14:textId="30D6FB63" w:rsidR="00890AC2" w:rsidRDefault="00061A31" w:rsidP="00452374">
      <w:pPr>
        <w:keepNext/>
        <w:spacing w:after="0"/>
        <w:jc w:val="center"/>
        <w:rPr>
          <w:noProof/>
          <w:lang w:eastAsia="en-GB"/>
        </w:rPr>
      </w:pPr>
      <w:r>
        <w:rPr>
          <w:noProof/>
          <w:lang w:eastAsia="en-GB"/>
        </w:rPr>
        <w:drawing>
          <wp:inline distT="0" distB="0" distL="0" distR="0" wp14:anchorId="7B986891" wp14:editId="3760344A">
            <wp:extent cx="5472430" cy="2556510"/>
            <wp:effectExtent l="0" t="0" r="0" b="0"/>
            <wp:docPr id="363790918" name="Picture 363790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790918" name="Picture 363790918"/>
                    <pic:cNvPicPr>
                      <a:picLocks noChangeAspect="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5472430" cy="2556510"/>
                    </a:xfrm>
                    <a:prstGeom prst="rect">
                      <a:avLst/>
                    </a:prstGeom>
                    <a:noFill/>
                    <a:ln>
                      <a:noFill/>
                    </a:ln>
                  </pic:spPr>
                </pic:pic>
              </a:graphicData>
            </a:graphic>
          </wp:inline>
        </w:drawing>
      </w:r>
    </w:p>
    <w:p w14:paraId="2C950AD8" w14:textId="54BB371B" w:rsidR="00890AC2" w:rsidRDefault="00890AC2" w:rsidP="008640DF">
      <w:pPr>
        <w:pStyle w:val="CT-SOURCE"/>
        <w:rPr>
          <w:noProof/>
        </w:rPr>
      </w:pPr>
      <w:r w:rsidRPr="0000121D">
        <w:rPr>
          <w:noProof/>
        </w:rPr>
        <w:t xml:space="preserve">Source: </w:t>
      </w:r>
      <w:r w:rsidRPr="00F60C11">
        <w:rPr>
          <w:noProof/>
        </w:rPr>
        <w:t>JRC-GEM-E3.</w:t>
      </w:r>
    </w:p>
    <w:p w14:paraId="1811C853" w14:textId="483BE4E2" w:rsidR="000A5FB7" w:rsidRDefault="008D0344" w:rsidP="0021470A">
      <w:pPr>
        <w:rPr>
          <w:noProof/>
        </w:rPr>
      </w:pPr>
      <w:r>
        <w:rPr>
          <w:noProof/>
        </w:rPr>
        <w:t xml:space="preserve">The secular trend towards a relatively higher growth </w:t>
      </w:r>
      <w:r w:rsidR="004B789F">
        <w:rPr>
          <w:noProof/>
        </w:rPr>
        <w:t xml:space="preserve">rate </w:t>
      </w:r>
      <w:r>
        <w:rPr>
          <w:noProof/>
        </w:rPr>
        <w:t xml:space="preserve">in services than </w:t>
      </w:r>
      <w:r w:rsidR="004B789F">
        <w:rPr>
          <w:noProof/>
        </w:rPr>
        <w:t xml:space="preserve">in </w:t>
      </w:r>
      <w:r>
        <w:rPr>
          <w:noProof/>
        </w:rPr>
        <w:t xml:space="preserve">industry nevertheless implies </w:t>
      </w:r>
      <w:r w:rsidR="008577DB">
        <w:rPr>
          <w:noProof/>
        </w:rPr>
        <w:t xml:space="preserve">that the share of </w:t>
      </w:r>
      <w:r w:rsidR="003E6495">
        <w:rPr>
          <w:noProof/>
        </w:rPr>
        <w:t xml:space="preserve">energy intensive industries, </w:t>
      </w:r>
      <w:r w:rsidR="008577DB">
        <w:rPr>
          <w:noProof/>
        </w:rPr>
        <w:t>consumer goods</w:t>
      </w:r>
      <w:r w:rsidR="004B789F">
        <w:rPr>
          <w:noProof/>
        </w:rPr>
        <w:t xml:space="preserve"> industries and transport equipment is projected to decline across scenarios over the coming decades, with a corresponding increase in the share of market services.</w:t>
      </w:r>
      <w:r w:rsidR="0032201E">
        <w:rPr>
          <w:noProof/>
        </w:rPr>
        <w:t xml:space="preserve"> The share of fossil fuel industries in total sectoral output would become negligible by 2040 already across scenarios, at about 0.5% of the total</w:t>
      </w:r>
      <w:r w:rsidR="00B45851">
        <w:rPr>
          <w:noProof/>
        </w:rPr>
        <w:t xml:space="preserve"> (</w:t>
      </w:r>
      <w:r w:rsidR="00452374" w:rsidRPr="001D422D">
        <w:rPr>
          <w:noProof/>
        </w:rPr>
        <w:fldChar w:fldCharType="begin"/>
      </w:r>
      <w:r w:rsidR="00452374" w:rsidRPr="00452374">
        <w:rPr>
          <w:noProof/>
          <w:highlight w:val="yellow"/>
        </w:rPr>
        <w:instrText xml:space="preserve"> REF _Ref146100698 \h </w:instrText>
      </w:r>
      <w:r w:rsidR="00452374">
        <w:rPr>
          <w:noProof/>
          <w:highlight w:val="yellow"/>
        </w:rPr>
        <w:instrText xml:space="preserve"> \* MERGEFORMAT </w:instrText>
      </w:r>
      <w:r w:rsidR="00452374" w:rsidRPr="001D422D">
        <w:rPr>
          <w:noProof/>
        </w:rPr>
      </w:r>
      <w:r w:rsidR="00452374" w:rsidRPr="001D422D">
        <w:rPr>
          <w:noProof/>
        </w:rPr>
        <w:fldChar w:fldCharType="separate"/>
      </w:r>
      <w:r w:rsidR="00170A3C" w:rsidRPr="001D422D">
        <w:rPr>
          <w:noProof/>
        </w:rPr>
        <w:t xml:space="preserve">Table </w:t>
      </w:r>
      <w:r w:rsidR="00170A3C">
        <w:rPr>
          <w:noProof/>
        </w:rPr>
        <w:t>42</w:t>
      </w:r>
      <w:r w:rsidR="00452374" w:rsidRPr="001D422D">
        <w:rPr>
          <w:noProof/>
        </w:rPr>
        <w:fldChar w:fldCharType="end"/>
      </w:r>
      <w:r w:rsidR="00B45851">
        <w:rPr>
          <w:noProof/>
        </w:rPr>
        <w:t>)</w:t>
      </w:r>
      <w:r w:rsidR="0032201E">
        <w:rPr>
          <w:noProof/>
        </w:rPr>
        <w:t>.</w:t>
      </w:r>
    </w:p>
    <w:p w14:paraId="7DDC22C3" w14:textId="447E807A" w:rsidR="00B174AC" w:rsidRDefault="0000121D" w:rsidP="00452374">
      <w:pPr>
        <w:pStyle w:val="Caption"/>
        <w:rPr>
          <w:noProof/>
        </w:rPr>
      </w:pPr>
      <w:bookmarkStart w:id="732" w:name="_Ref146100698"/>
      <w:bookmarkStart w:id="733" w:name="_Toc157679925"/>
      <w:r w:rsidRPr="001D422D">
        <w:rPr>
          <w:noProof/>
        </w:rPr>
        <w:t xml:space="preserve">Table </w:t>
      </w:r>
      <w:r w:rsidRPr="001D422D">
        <w:rPr>
          <w:noProof/>
          <w:color w:val="2B579A"/>
          <w:shd w:val="clear" w:color="auto" w:fill="E6E6E6"/>
        </w:rPr>
        <w:fldChar w:fldCharType="begin"/>
      </w:r>
      <w:r w:rsidRPr="001D422D">
        <w:rPr>
          <w:noProof/>
        </w:rPr>
        <w:instrText>SEQ Table \* ARABIC</w:instrText>
      </w:r>
      <w:r w:rsidRPr="001D422D">
        <w:rPr>
          <w:noProof/>
          <w:color w:val="2B579A"/>
          <w:shd w:val="clear" w:color="auto" w:fill="E6E6E6"/>
        </w:rPr>
        <w:fldChar w:fldCharType="separate"/>
      </w:r>
      <w:r w:rsidR="00170A3C">
        <w:rPr>
          <w:noProof/>
        </w:rPr>
        <w:t>42</w:t>
      </w:r>
      <w:r w:rsidRPr="001D422D">
        <w:rPr>
          <w:noProof/>
          <w:color w:val="2B579A"/>
          <w:shd w:val="clear" w:color="auto" w:fill="E6E6E6"/>
        </w:rPr>
        <w:fldChar w:fldCharType="end"/>
      </w:r>
      <w:bookmarkEnd w:id="732"/>
      <w:r w:rsidR="002E7285" w:rsidRPr="001D422D">
        <w:rPr>
          <w:noProof/>
        </w:rPr>
        <w:t>:</w:t>
      </w:r>
      <w:r w:rsidR="002E7285">
        <w:rPr>
          <w:noProof/>
        </w:rPr>
        <w:t xml:space="preserve"> </w:t>
      </w:r>
      <w:r w:rsidR="001A3354">
        <w:rPr>
          <w:noProof/>
        </w:rPr>
        <w:t>S</w:t>
      </w:r>
      <w:r w:rsidR="002E7285">
        <w:rPr>
          <w:noProof/>
        </w:rPr>
        <w:t>ectoral output, share of total (%)</w:t>
      </w:r>
      <w:bookmarkEnd w:id="733"/>
    </w:p>
    <w:p w14:paraId="79A51A7C" w14:textId="19688D07" w:rsidR="002E7285" w:rsidRDefault="003504D8" w:rsidP="00452374">
      <w:pPr>
        <w:keepNext/>
        <w:spacing w:after="0"/>
        <w:jc w:val="center"/>
        <w:rPr>
          <w:noProof/>
          <w:lang w:eastAsia="en-GB"/>
        </w:rPr>
      </w:pPr>
      <w:r w:rsidRPr="003504D8">
        <w:rPr>
          <w:noProof/>
          <w:lang w:eastAsia="en-GB"/>
        </w:rPr>
        <w:drawing>
          <wp:inline distT="0" distB="0" distL="0" distR="0" wp14:anchorId="6CDF0F79" wp14:editId="2327154D">
            <wp:extent cx="5472430" cy="2038350"/>
            <wp:effectExtent l="0" t="0" r="0" b="0"/>
            <wp:docPr id="363790923" name="Picture 363790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5472430" cy="2038350"/>
                    </a:xfrm>
                    <a:prstGeom prst="rect">
                      <a:avLst/>
                    </a:prstGeom>
                    <a:noFill/>
                    <a:ln>
                      <a:noFill/>
                    </a:ln>
                  </pic:spPr>
                </pic:pic>
              </a:graphicData>
            </a:graphic>
          </wp:inline>
        </w:drawing>
      </w:r>
    </w:p>
    <w:p w14:paraId="7B1AB3FE" w14:textId="1FB6CA96" w:rsidR="0000121D" w:rsidRDefault="002E7285" w:rsidP="008640DF">
      <w:pPr>
        <w:pStyle w:val="CT-SOURCE"/>
        <w:rPr>
          <w:noProof/>
        </w:rPr>
      </w:pPr>
      <w:r w:rsidRPr="0000121D">
        <w:rPr>
          <w:noProof/>
        </w:rPr>
        <w:t>Sourc</w:t>
      </w:r>
      <w:r w:rsidRPr="00F60C11">
        <w:rPr>
          <w:noProof/>
        </w:rPr>
        <w:t>e: JRC-GEM-E3.</w:t>
      </w:r>
    </w:p>
    <w:p w14:paraId="0935FA9B" w14:textId="5E5DE22E" w:rsidR="00F453ED" w:rsidRDefault="00F453ED" w:rsidP="0000121D">
      <w:pPr>
        <w:rPr>
          <w:noProof/>
        </w:rPr>
      </w:pPr>
      <w:bookmarkStart w:id="734" w:name="_Hlk145602425"/>
      <w:r>
        <w:rPr>
          <w:noProof/>
        </w:rPr>
        <w:t xml:space="preserve">The extent to which SMEs are affected by the trends described above is in good part determined by the sectors of activity in which SMEs are most prominent. As indicated in </w:t>
      </w:r>
      <w:r w:rsidRPr="00F62511">
        <w:rPr>
          <w:noProof/>
        </w:rPr>
        <w:fldChar w:fldCharType="begin"/>
      </w:r>
      <w:r w:rsidRPr="00177FA7">
        <w:rPr>
          <w:noProof/>
          <w:highlight w:val="yellow"/>
        </w:rPr>
        <w:instrText xml:space="preserve"> REF _Ref146224458 \h </w:instrText>
      </w:r>
      <w:r w:rsidR="00177FA7">
        <w:rPr>
          <w:noProof/>
          <w:highlight w:val="yellow"/>
        </w:rPr>
        <w:instrText xml:space="preserve"> \* MERGEFORMAT </w:instrText>
      </w:r>
      <w:r w:rsidRPr="00F62511">
        <w:rPr>
          <w:noProof/>
        </w:rPr>
      </w:r>
      <w:r w:rsidRPr="00F62511">
        <w:rPr>
          <w:noProof/>
        </w:rPr>
        <w:fldChar w:fldCharType="separate"/>
      </w:r>
      <w:r w:rsidR="00170A3C">
        <w:rPr>
          <w:noProof/>
        </w:rPr>
        <w:t>Table 27</w:t>
      </w:r>
      <w:r w:rsidRPr="00F62511">
        <w:rPr>
          <w:noProof/>
        </w:rPr>
        <w:fldChar w:fldCharType="end"/>
      </w:r>
      <w:r w:rsidRPr="00F62511">
        <w:rPr>
          <w:noProof/>
        </w:rPr>
        <w:t xml:space="preserve"> (section </w:t>
      </w:r>
      <w:r w:rsidRPr="00F62511">
        <w:rPr>
          <w:noProof/>
        </w:rPr>
        <w:fldChar w:fldCharType="begin"/>
      </w:r>
      <w:r w:rsidRPr="00F62511">
        <w:rPr>
          <w:noProof/>
        </w:rPr>
        <w:instrText xml:space="preserve"> REF _Ref138242599 \r \h </w:instrText>
      </w:r>
      <w:r w:rsidR="00177FA7" w:rsidRPr="00F62511">
        <w:rPr>
          <w:noProof/>
        </w:rPr>
        <w:instrText xml:space="preserve"> \* MERGEFORMAT </w:instrText>
      </w:r>
      <w:r w:rsidRPr="00F62511">
        <w:rPr>
          <w:noProof/>
        </w:rPr>
      </w:r>
      <w:r w:rsidRPr="00F62511">
        <w:rPr>
          <w:noProof/>
        </w:rPr>
        <w:fldChar w:fldCharType="separate"/>
      </w:r>
      <w:r w:rsidR="00170A3C">
        <w:rPr>
          <w:noProof/>
        </w:rPr>
        <w:t>2.2.3</w:t>
      </w:r>
      <w:r w:rsidRPr="00F62511">
        <w:rPr>
          <w:noProof/>
        </w:rPr>
        <w:fldChar w:fldCharType="end"/>
      </w:r>
      <w:r>
        <w:rPr>
          <w:noProof/>
        </w:rPr>
        <w:t>), around 66% of SMEs are active in services sectors and close to 55% of their total gross value added and employment are generated in services. Another 20% of SMEs and 16</w:t>
      </w:r>
      <w:r w:rsidR="00991EC7">
        <w:rPr>
          <w:noProof/>
        </w:rPr>
        <w:noBreakHyphen/>
      </w:r>
      <w:r>
        <w:rPr>
          <w:noProof/>
        </w:rPr>
        <w:t>18% of gross value added and employment are accounted for by the construction sector. Overall, SMEs therefore seem to be well positioned to gain from the projected continued rise in the share of market services in the economy and from a very resilient construction sector. In contrast, a very small proportion of SMEs are involved in fossil fuel industries, mini</w:t>
      </w:r>
      <w:r w:rsidR="00640F7C">
        <w:rPr>
          <w:noProof/>
        </w:rPr>
        <w:t>n</w:t>
      </w:r>
      <w:r>
        <w:rPr>
          <w:noProof/>
        </w:rPr>
        <w:t>g and extraction or energy intensive industries, and they account for a very small share of the gross value added and employment of the SME sector.</w:t>
      </w:r>
    </w:p>
    <w:p w14:paraId="060601C5" w14:textId="6680EE67" w:rsidR="009F2145" w:rsidRDefault="009F2145" w:rsidP="0000121D">
      <w:pPr>
        <w:rPr>
          <w:noProof/>
        </w:rPr>
      </w:pPr>
      <w:r>
        <w:rPr>
          <w:noProof/>
        </w:rPr>
        <w:t>The impact of the scenarios on EU businesses</w:t>
      </w:r>
      <w:r w:rsidR="00E06B48">
        <w:rPr>
          <w:noProof/>
        </w:rPr>
        <w:t>, particularly on competitiveness,</w:t>
      </w:r>
      <w:r>
        <w:rPr>
          <w:noProof/>
        </w:rPr>
        <w:t xml:space="preserve"> can also be viewed through the lens of their impact on the EU’s export market shares across a range of sectors. The EU is not only the world’s largest economy, but also the largest trading block, with a share of around 17% of global exports currently</w:t>
      </w:r>
      <w:r w:rsidR="0068359B">
        <w:rPr>
          <w:noProof/>
        </w:rPr>
        <w:t xml:space="preserve"> (</w:t>
      </w:r>
      <w:r w:rsidR="00030B57" w:rsidRPr="00F62511">
        <w:rPr>
          <w:noProof/>
        </w:rPr>
        <w:fldChar w:fldCharType="begin"/>
      </w:r>
      <w:r w:rsidR="00030B57" w:rsidRPr="00030B57">
        <w:rPr>
          <w:noProof/>
          <w:highlight w:val="yellow"/>
        </w:rPr>
        <w:instrText xml:space="preserve"> REF _Ref146101600 \h </w:instrText>
      </w:r>
      <w:r w:rsidR="00030B57">
        <w:rPr>
          <w:noProof/>
          <w:highlight w:val="yellow"/>
        </w:rPr>
        <w:instrText xml:space="preserve"> \* MERGEFORMAT </w:instrText>
      </w:r>
      <w:r w:rsidR="00030B57" w:rsidRPr="00F62511">
        <w:rPr>
          <w:noProof/>
        </w:rPr>
      </w:r>
      <w:r w:rsidR="00030B57" w:rsidRPr="00F62511">
        <w:rPr>
          <w:noProof/>
        </w:rPr>
        <w:fldChar w:fldCharType="separate"/>
      </w:r>
      <w:r w:rsidR="00170A3C">
        <w:rPr>
          <w:noProof/>
        </w:rPr>
        <w:t>Table 43</w:t>
      </w:r>
      <w:r w:rsidR="00030B57" w:rsidRPr="00F62511">
        <w:rPr>
          <w:noProof/>
        </w:rPr>
        <w:fldChar w:fldCharType="end"/>
      </w:r>
      <w:r w:rsidR="0068359B">
        <w:rPr>
          <w:noProof/>
        </w:rPr>
        <w:t>)</w:t>
      </w:r>
      <w:r>
        <w:rPr>
          <w:noProof/>
        </w:rPr>
        <w:t xml:space="preserve">. Export market shares are </w:t>
      </w:r>
      <w:r w:rsidR="003E6495" w:rsidRPr="003E6495">
        <w:rPr>
          <w:noProof/>
        </w:rPr>
        <w:t>somewhat larger than this overall figure for energy intensive industries and</w:t>
      </w:r>
      <w:r>
        <w:rPr>
          <w:noProof/>
        </w:rPr>
        <w:t xml:space="preserve"> significantly larger for transport equipment and market services. Given that the EU economy is projected to grow slower than most other large economies in the world, mainly as a result of contrasted population trends and the maturity of its economy, the share in global exports is set to decline in the coming decades. This pattern is unlikely to be much affected by the degree of climate ambition by 2040 and the three main scenarios show very similar patterns for all key sectors of the economy.</w:t>
      </w:r>
    </w:p>
    <w:p w14:paraId="4294307C" w14:textId="2B747987" w:rsidR="002E7285" w:rsidRDefault="009F2145" w:rsidP="0000121D">
      <w:pPr>
        <w:rPr>
          <w:noProof/>
        </w:rPr>
      </w:pPr>
      <w:r>
        <w:rPr>
          <w:noProof/>
        </w:rPr>
        <w:t>A more relevant factor concerning export market shares lies in the degree to which the rest of the world is projected to step up efforts to mitigate greenhouse gas emissions. A higher degree of ambition outside the EU (global action) is projected to increase the EU’s export market shares across the board compared to a scenario with lower ambition (fragmented action). The benefits of a “first-mover” advantage for EU exporters is significant for most sectors, with the exception of market services, where decarbonisation is a less relevant factor.</w:t>
      </w:r>
    </w:p>
    <w:p w14:paraId="6FD77EC1" w14:textId="62066346" w:rsidR="00282391" w:rsidRDefault="00282391" w:rsidP="00030B57">
      <w:pPr>
        <w:pStyle w:val="Caption"/>
        <w:rPr>
          <w:noProof/>
        </w:rPr>
      </w:pPr>
      <w:bookmarkStart w:id="735" w:name="_Ref145084124"/>
      <w:bookmarkStart w:id="736" w:name="_Ref146101600"/>
      <w:bookmarkStart w:id="737" w:name="_Toc157679926"/>
      <w:bookmarkEnd w:id="734"/>
      <w:r>
        <w:rPr>
          <w:noProof/>
        </w:rPr>
        <w:t>Table</w:t>
      </w:r>
      <w:bookmarkEnd w:id="735"/>
      <w:r>
        <w:rPr>
          <w:noProof/>
        </w:rPr>
        <w:t xml:space="preserve"> </w:t>
      </w:r>
      <w:r>
        <w:rPr>
          <w:noProof/>
          <w:color w:val="2B579A"/>
          <w:shd w:val="clear" w:color="auto" w:fill="E6E6E6"/>
        </w:rPr>
        <w:fldChar w:fldCharType="begin"/>
      </w:r>
      <w:r>
        <w:rPr>
          <w:noProof/>
        </w:rPr>
        <w:instrText>SEQ Table \* ARABIC</w:instrText>
      </w:r>
      <w:r>
        <w:rPr>
          <w:noProof/>
          <w:color w:val="2B579A"/>
          <w:shd w:val="clear" w:color="auto" w:fill="E6E6E6"/>
        </w:rPr>
        <w:fldChar w:fldCharType="separate"/>
      </w:r>
      <w:r w:rsidR="00170A3C">
        <w:rPr>
          <w:noProof/>
        </w:rPr>
        <w:t>43</w:t>
      </w:r>
      <w:r>
        <w:rPr>
          <w:noProof/>
          <w:color w:val="2B579A"/>
          <w:shd w:val="clear" w:color="auto" w:fill="E6E6E6"/>
        </w:rPr>
        <w:fldChar w:fldCharType="end"/>
      </w:r>
      <w:bookmarkEnd w:id="736"/>
      <w:r>
        <w:rPr>
          <w:noProof/>
        </w:rPr>
        <w:t xml:space="preserve">: </w:t>
      </w:r>
      <w:r w:rsidR="00B14B2C">
        <w:rPr>
          <w:noProof/>
        </w:rPr>
        <w:t>EU share</w:t>
      </w:r>
      <w:r w:rsidR="0068359B">
        <w:rPr>
          <w:noProof/>
        </w:rPr>
        <w:t>s</w:t>
      </w:r>
      <w:r w:rsidR="00B14B2C">
        <w:rPr>
          <w:noProof/>
        </w:rPr>
        <w:t xml:space="preserve"> in global exports (% of total)</w:t>
      </w:r>
      <w:bookmarkEnd w:id="737"/>
    </w:p>
    <w:p w14:paraId="58A025FC" w14:textId="3A55CD75" w:rsidR="00931FD1" w:rsidRDefault="006961AD" w:rsidP="00030B57">
      <w:pPr>
        <w:keepNext/>
        <w:spacing w:after="0"/>
        <w:jc w:val="center"/>
        <w:rPr>
          <w:noProof/>
        </w:rPr>
      </w:pPr>
      <w:r w:rsidRPr="006961AD">
        <w:rPr>
          <w:noProof/>
          <w:lang w:eastAsia="en-GB"/>
        </w:rPr>
        <w:drawing>
          <wp:inline distT="0" distB="0" distL="0" distR="0" wp14:anchorId="7BD7567C" wp14:editId="47CCD1E5">
            <wp:extent cx="5472430" cy="15690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5472430" cy="1569085"/>
                    </a:xfrm>
                    <a:prstGeom prst="rect">
                      <a:avLst/>
                    </a:prstGeom>
                    <a:noFill/>
                    <a:ln>
                      <a:noFill/>
                    </a:ln>
                  </pic:spPr>
                </pic:pic>
              </a:graphicData>
            </a:graphic>
          </wp:inline>
        </w:drawing>
      </w:r>
    </w:p>
    <w:p w14:paraId="1AFF65FD" w14:textId="134B46C8" w:rsidR="007D18CE" w:rsidRPr="00D42642" w:rsidRDefault="007D18CE" w:rsidP="008640DF">
      <w:pPr>
        <w:pStyle w:val="CT-SOURCE"/>
        <w:rPr>
          <w:rFonts w:ascii="Cambria Math" w:hAnsi="Cambria Math"/>
          <w:i w:val="0"/>
          <w:noProof/>
        </w:rPr>
      </w:pPr>
      <w:r w:rsidRPr="00D42642">
        <w:rPr>
          <w:noProof/>
        </w:rPr>
        <w:t>Sourc</w:t>
      </w:r>
      <w:r w:rsidRPr="00D42642">
        <w:rPr>
          <w:rFonts w:ascii="Cambria Math" w:hAnsi="Cambria Math"/>
          <w:i w:val="0"/>
          <w:noProof/>
        </w:rPr>
        <w:t>e: JRC-GEM-E3.</w:t>
      </w:r>
    </w:p>
    <w:p w14:paraId="029691BA" w14:textId="4387F042" w:rsidR="00DD6070" w:rsidRPr="00991EC7" w:rsidRDefault="0068359B" w:rsidP="00754F14">
      <w:pPr>
        <w:rPr>
          <w:noProof/>
          <w:lang w:val="en-IE"/>
        </w:rPr>
      </w:pPr>
      <w:r w:rsidRPr="00991EC7">
        <w:rPr>
          <w:noProof/>
          <w:lang w:val="en-IE"/>
        </w:rPr>
        <w:t>Besides affecting domestic businesses, the level of ambition for 2040 is susceptible to affect partner countries via trade channels, as the EU is also a major importer, with a share in world imports similar to its share in world exports of close to 18%. As is the case on the export side, this share is set to decline in the coming decades with high</w:t>
      </w:r>
      <w:r w:rsidR="00640F7C">
        <w:rPr>
          <w:noProof/>
          <w:lang w:val="en-IE"/>
        </w:rPr>
        <w:t>er</w:t>
      </w:r>
      <w:r w:rsidRPr="00991EC7">
        <w:rPr>
          <w:noProof/>
          <w:lang w:val="en-IE"/>
        </w:rPr>
        <w:t xml:space="preserve"> economic growth rates elsewhere, but the EU will remain a major global trading partner, also on account of its openness</w:t>
      </w:r>
      <w:r w:rsidR="00E06B48" w:rsidRPr="00991EC7">
        <w:rPr>
          <w:noProof/>
          <w:lang w:val="en-IE"/>
        </w:rPr>
        <w:t xml:space="preserve"> and number of free trade agreements</w:t>
      </w:r>
      <w:r w:rsidRPr="00991EC7">
        <w:rPr>
          <w:noProof/>
          <w:lang w:val="en-IE"/>
        </w:rPr>
        <w:t xml:space="preserve">. As is again the case on the export side, there is very little differentiation across scenarios (level of ambition) in terms of the absolute amounts of EU imports or their share in global imports. </w:t>
      </w:r>
      <w:r w:rsidR="00B2208A" w:rsidRPr="00B2208A">
        <w:rPr>
          <w:noProof/>
          <w:lang w:val="en-IE"/>
        </w:rPr>
        <w:t xml:space="preserve">The changing nature of the EU economy, however, implies that the share of the EU’s imports in global imports </w:t>
      </w:r>
      <w:r w:rsidR="00734757">
        <w:rPr>
          <w:noProof/>
          <w:lang w:val="en-IE"/>
        </w:rPr>
        <w:t>could</w:t>
      </w:r>
      <w:r w:rsidR="00B2208A" w:rsidRPr="00B2208A">
        <w:rPr>
          <w:noProof/>
          <w:lang w:val="en-IE"/>
        </w:rPr>
        <w:t xml:space="preserve"> decline faster for some sectors than for others. In particular, the EU’s share of imports of goods from energy intensive industries in world trade </w:t>
      </w:r>
      <w:r w:rsidR="00734757">
        <w:rPr>
          <w:noProof/>
          <w:lang w:val="en-IE"/>
        </w:rPr>
        <w:t>could</w:t>
      </w:r>
      <w:r w:rsidR="00B2208A" w:rsidRPr="00B2208A">
        <w:rPr>
          <w:noProof/>
          <w:lang w:val="en-IE"/>
        </w:rPr>
        <w:t xml:space="preserve"> decline significantly, while its</w:t>
      </w:r>
      <w:r w:rsidR="00734757">
        <w:rPr>
          <w:noProof/>
          <w:lang w:val="en-IE"/>
        </w:rPr>
        <w:t xml:space="preserve"> share</w:t>
      </w:r>
      <w:r w:rsidR="00B2208A" w:rsidRPr="00B2208A">
        <w:rPr>
          <w:noProof/>
          <w:lang w:val="en-IE"/>
        </w:rPr>
        <w:t xml:space="preserve"> in global imports of consumer goods and market services </w:t>
      </w:r>
      <w:r w:rsidR="00734757">
        <w:rPr>
          <w:noProof/>
          <w:lang w:val="en-IE"/>
        </w:rPr>
        <w:t>could</w:t>
      </w:r>
      <w:r w:rsidR="00B2208A" w:rsidRPr="00B2208A">
        <w:rPr>
          <w:noProof/>
          <w:lang w:val="en-IE"/>
        </w:rPr>
        <w:t xml:space="preserve"> remain broadly </w:t>
      </w:r>
      <w:r w:rsidR="00B2208A">
        <w:rPr>
          <w:noProof/>
          <w:lang w:val="en-IE"/>
        </w:rPr>
        <w:t>stable</w:t>
      </w:r>
      <w:r w:rsidR="00B2208A" w:rsidRPr="00B2208A">
        <w:rPr>
          <w:noProof/>
          <w:lang w:val="en-IE"/>
        </w:rPr>
        <w:t>.</w:t>
      </w:r>
      <w:r w:rsidRPr="00991EC7">
        <w:rPr>
          <w:noProof/>
          <w:lang w:val="en-IE"/>
        </w:rPr>
        <w:t xml:space="preserve"> In turn, the EU’s place as an importer of agriculture and forestry products is projected to increase in relative terms (</w:t>
      </w:r>
      <w:r w:rsidR="00030B57" w:rsidRPr="00991EC7">
        <w:rPr>
          <w:noProof/>
          <w:lang w:val="en-IE"/>
        </w:rPr>
        <w:fldChar w:fldCharType="begin"/>
      </w:r>
      <w:r w:rsidR="00030B57" w:rsidRPr="00991EC7">
        <w:rPr>
          <w:noProof/>
          <w:highlight w:val="yellow"/>
          <w:lang w:val="en-IE"/>
        </w:rPr>
        <w:instrText xml:space="preserve"> REF _Ref145084813 \h  \* MERGEFORMAT </w:instrText>
      </w:r>
      <w:r w:rsidR="00030B57" w:rsidRPr="00991EC7">
        <w:rPr>
          <w:noProof/>
          <w:lang w:val="en-IE"/>
        </w:rPr>
      </w:r>
      <w:r w:rsidR="00030B57" w:rsidRPr="00991EC7">
        <w:rPr>
          <w:noProof/>
          <w:lang w:val="en-IE"/>
        </w:rPr>
        <w:fldChar w:fldCharType="separate"/>
      </w:r>
      <w:r w:rsidR="00170A3C">
        <w:rPr>
          <w:noProof/>
        </w:rPr>
        <w:t>Table 44</w:t>
      </w:r>
      <w:r w:rsidR="00030B57" w:rsidRPr="00991EC7">
        <w:rPr>
          <w:noProof/>
          <w:lang w:val="en-IE"/>
        </w:rPr>
        <w:fldChar w:fldCharType="end"/>
      </w:r>
      <w:r w:rsidRPr="00991EC7">
        <w:rPr>
          <w:noProof/>
          <w:lang w:val="en-IE"/>
        </w:rPr>
        <w:t>).</w:t>
      </w:r>
    </w:p>
    <w:p w14:paraId="55B32970" w14:textId="3730E594" w:rsidR="00E27DCB" w:rsidRPr="00991EC7" w:rsidRDefault="0068359B" w:rsidP="00754F14">
      <w:pPr>
        <w:rPr>
          <w:noProof/>
          <w:lang w:val="en-IE"/>
        </w:rPr>
      </w:pPr>
      <w:r w:rsidRPr="00991EC7">
        <w:rPr>
          <w:noProof/>
          <w:lang w:val="en-IE"/>
        </w:rPr>
        <w:t xml:space="preserve">As is the case on the export side, a bigger impact is projected to arise </w:t>
      </w:r>
      <w:r w:rsidR="00310126" w:rsidRPr="00991EC7">
        <w:rPr>
          <w:noProof/>
          <w:lang w:val="en-IE"/>
        </w:rPr>
        <w:t xml:space="preserve">depending on whether the rest of the world implements a higher degree of climate ambition (global action) or not (fragmented action). Under a global action scenario, the EU’s share in world imports is projected to be </w:t>
      </w:r>
      <w:r w:rsidR="00993D9C">
        <w:rPr>
          <w:noProof/>
          <w:lang w:val="en-IE"/>
        </w:rPr>
        <w:t xml:space="preserve">slightly </w:t>
      </w:r>
      <w:r w:rsidR="00310126" w:rsidRPr="00991EC7">
        <w:rPr>
          <w:noProof/>
          <w:lang w:val="en-IE"/>
        </w:rPr>
        <w:t xml:space="preserve">higher than under a fragmented action scenario overall, with a most significant positive impact in terms of market services. </w:t>
      </w:r>
      <w:r w:rsidR="00B2208A" w:rsidRPr="00B2208A">
        <w:rPr>
          <w:noProof/>
          <w:lang w:val="en-IE"/>
        </w:rPr>
        <w:t>As far as more carbon-intensive products are concerned (</w:t>
      </w:r>
      <w:r w:rsidR="00924F52" w:rsidRPr="00B2208A">
        <w:rPr>
          <w:noProof/>
          <w:lang w:val="en-IE"/>
        </w:rPr>
        <w:t>e.g.,</w:t>
      </w:r>
      <w:r w:rsidR="00B2208A" w:rsidRPr="00B2208A">
        <w:rPr>
          <w:noProof/>
          <w:lang w:val="en-IE"/>
        </w:rPr>
        <w:t xml:space="preserve"> energy intensive industries, transport equipment or consumer goods), the EU would account for a smaller share of global imports under a global action scenario than under a fragmented action </w:t>
      </w:r>
      <w:r w:rsidR="00765D8E" w:rsidRPr="00B2208A">
        <w:rPr>
          <w:noProof/>
          <w:lang w:val="en-IE"/>
        </w:rPr>
        <w:t>scenario</w:t>
      </w:r>
      <w:r w:rsidR="00B2208A" w:rsidRPr="00B2208A">
        <w:rPr>
          <w:noProof/>
          <w:lang w:val="en-IE"/>
        </w:rPr>
        <w:t>. This is the converse of the “first mover advantage” highlighted above, as trading partners would be in a situation of “second mover” under a global action scenario, which would reduce imports by the EU as domestic producers gain in terms of competitiveness.</w:t>
      </w:r>
    </w:p>
    <w:p w14:paraId="39FE9A07" w14:textId="53CD80E2" w:rsidR="00E27DCB" w:rsidRDefault="00E27DCB" w:rsidP="00030B57">
      <w:pPr>
        <w:pStyle w:val="Caption"/>
        <w:rPr>
          <w:noProof/>
          <w:sz w:val="23"/>
          <w:szCs w:val="23"/>
        </w:rPr>
      </w:pPr>
      <w:bookmarkStart w:id="738" w:name="_Ref145084813"/>
      <w:bookmarkStart w:id="739" w:name="_Toc157679927"/>
      <w:r>
        <w:rPr>
          <w:noProof/>
        </w:rPr>
        <w:t xml:space="preserve">Table </w:t>
      </w:r>
      <w:r>
        <w:rPr>
          <w:noProof/>
        </w:rPr>
        <w:fldChar w:fldCharType="begin"/>
      </w:r>
      <w:r>
        <w:rPr>
          <w:noProof/>
        </w:rPr>
        <w:instrText>SEQ Table \* ARABIC</w:instrText>
      </w:r>
      <w:r>
        <w:rPr>
          <w:noProof/>
        </w:rPr>
        <w:fldChar w:fldCharType="separate"/>
      </w:r>
      <w:r w:rsidR="00170A3C">
        <w:rPr>
          <w:noProof/>
        </w:rPr>
        <w:t>44</w:t>
      </w:r>
      <w:r>
        <w:rPr>
          <w:noProof/>
        </w:rPr>
        <w:fldChar w:fldCharType="end"/>
      </w:r>
      <w:bookmarkEnd w:id="738"/>
      <w:r>
        <w:rPr>
          <w:noProof/>
        </w:rPr>
        <w:t>: EU share</w:t>
      </w:r>
      <w:r w:rsidR="0068359B">
        <w:rPr>
          <w:noProof/>
        </w:rPr>
        <w:t>s</w:t>
      </w:r>
      <w:r>
        <w:rPr>
          <w:noProof/>
        </w:rPr>
        <w:t xml:space="preserve"> in global imports (% of total)</w:t>
      </w:r>
      <w:bookmarkEnd w:id="739"/>
    </w:p>
    <w:p w14:paraId="75109491" w14:textId="5632C483" w:rsidR="00E27DCB" w:rsidRDefault="006961AD" w:rsidP="00030B57">
      <w:pPr>
        <w:keepNext/>
        <w:spacing w:after="0"/>
        <w:jc w:val="center"/>
        <w:rPr>
          <w:noProof/>
          <w:sz w:val="23"/>
          <w:szCs w:val="23"/>
        </w:rPr>
      </w:pPr>
      <w:r w:rsidRPr="006961AD">
        <w:rPr>
          <w:noProof/>
          <w:lang w:eastAsia="en-GB"/>
        </w:rPr>
        <w:drawing>
          <wp:inline distT="0" distB="0" distL="0" distR="0" wp14:anchorId="7195C0D2" wp14:editId="4B51062A">
            <wp:extent cx="5472430" cy="1569085"/>
            <wp:effectExtent l="0" t="0" r="0" b="0"/>
            <wp:docPr id="1506651227" name="Picture 150665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5472430" cy="1569085"/>
                    </a:xfrm>
                    <a:prstGeom prst="rect">
                      <a:avLst/>
                    </a:prstGeom>
                    <a:noFill/>
                    <a:ln>
                      <a:noFill/>
                    </a:ln>
                  </pic:spPr>
                </pic:pic>
              </a:graphicData>
            </a:graphic>
          </wp:inline>
        </w:drawing>
      </w:r>
    </w:p>
    <w:p w14:paraId="39A08F19" w14:textId="1A734733" w:rsidR="00E60285" w:rsidRPr="00F60C11" w:rsidRDefault="00E60285" w:rsidP="008640DF">
      <w:pPr>
        <w:pStyle w:val="CT-SOURCE"/>
        <w:rPr>
          <w:i w:val="0"/>
          <w:noProof/>
        </w:rPr>
      </w:pPr>
      <w:r w:rsidRPr="00272F1C">
        <w:rPr>
          <w:noProof/>
        </w:rPr>
        <w:t xml:space="preserve">Source: </w:t>
      </w:r>
      <w:r w:rsidRPr="00F60C11">
        <w:rPr>
          <w:noProof/>
        </w:rPr>
        <w:t>JRC-GEM-E3.</w:t>
      </w:r>
    </w:p>
    <w:p w14:paraId="2D244024" w14:textId="3B7AFC06" w:rsidR="00E27DCB" w:rsidRPr="00991EC7" w:rsidRDefault="003C510D" w:rsidP="00754F14">
      <w:pPr>
        <w:rPr>
          <w:noProof/>
        </w:rPr>
      </w:pPr>
      <w:r w:rsidRPr="00991EC7">
        <w:rPr>
          <w:noProof/>
        </w:rPr>
        <w:t xml:space="preserve">The extent to which </w:t>
      </w:r>
      <w:r w:rsidR="0096776F" w:rsidRPr="00991EC7">
        <w:rPr>
          <w:noProof/>
        </w:rPr>
        <w:t xml:space="preserve">the EU’s </w:t>
      </w:r>
      <w:r w:rsidRPr="00991EC7">
        <w:rPr>
          <w:noProof/>
        </w:rPr>
        <w:t xml:space="preserve">trade partners may be affected by the transition and the level of ambition for 2040 also depend to a significant extent on the type of goods that the EU imports, and how this may change over time and across scenarios. </w:t>
      </w:r>
      <w:r w:rsidRPr="00991EC7">
        <w:rPr>
          <w:noProof/>
        </w:rPr>
        <w:fldChar w:fldCharType="begin"/>
      </w:r>
      <w:r w:rsidRPr="00991EC7">
        <w:rPr>
          <w:noProof/>
        </w:rPr>
        <w:instrText xml:space="preserve"> REF _Ref145085956 \h </w:instrText>
      </w:r>
      <w:r w:rsidR="00991EC7">
        <w:rPr>
          <w:noProof/>
        </w:rPr>
        <w:instrText xml:space="preserve"> \* MERGEFORMAT </w:instrText>
      </w:r>
      <w:r w:rsidRPr="00991EC7">
        <w:rPr>
          <w:noProof/>
        </w:rPr>
      </w:r>
      <w:r w:rsidRPr="00991EC7">
        <w:rPr>
          <w:noProof/>
        </w:rPr>
        <w:fldChar w:fldCharType="separate"/>
      </w:r>
      <w:r w:rsidR="00170A3C">
        <w:rPr>
          <w:noProof/>
        </w:rPr>
        <w:t>Table 45</w:t>
      </w:r>
      <w:r w:rsidRPr="00991EC7">
        <w:rPr>
          <w:noProof/>
        </w:rPr>
        <w:fldChar w:fldCharType="end"/>
      </w:r>
      <w:r w:rsidRPr="00991EC7">
        <w:rPr>
          <w:noProof/>
        </w:rPr>
        <w:t xml:space="preserve"> provides further detail on the projected structure of EU imports. Fossil fuels (coal, crude oil, oil and gas) currently represent an important share of the EU’s total imports. The share and absolute value of such imports are projected to decline sharply as the EU decarbonises its energy system (</w:t>
      </w:r>
      <w:r w:rsidR="00177FA7" w:rsidRPr="00F62511">
        <w:rPr>
          <w:noProof/>
        </w:rPr>
        <w:t>S</w:t>
      </w:r>
      <w:r w:rsidRPr="00F62511">
        <w:rPr>
          <w:noProof/>
        </w:rPr>
        <w:t>ection </w:t>
      </w:r>
      <w:r w:rsidRPr="00F62511">
        <w:rPr>
          <w:noProof/>
        </w:rPr>
        <w:fldChar w:fldCharType="begin"/>
      </w:r>
      <w:r w:rsidRPr="00F62511">
        <w:rPr>
          <w:noProof/>
        </w:rPr>
        <w:instrText xml:space="preserve"> REF _Hlk141780285 \r \h </w:instrText>
      </w:r>
      <w:r w:rsidR="00177FA7" w:rsidRPr="00F62511">
        <w:rPr>
          <w:noProof/>
        </w:rPr>
        <w:instrText xml:space="preserve"> \* MERGEFORMAT </w:instrText>
      </w:r>
      <w:r w:rsidRPr="00F62511">
        <w:rPr>
          <w:noProof/>
        </w:rPr>
      </w:r>
      <w:r w:rsidRPr="00F62511">
        <w:rPr>
          <w:noProof/>
        </w:rPr>
        <w:fldChar w:fldCharType="separate"/>
      </w:r>
      <w:r w:rsidR="00170A3C">
        <w:rPr>
          <w:noProof/>
        </w:rPr>
        <w:t>2.6.1</w:t>
      </w:r>
      <w:r w:rsidRPr="00F62511">
        <w:rPr>
          <w:noProof/>
        </w:rPr>
        <w:fldChar w:fldCharType="end"/>
      </w:r>
      <w:r w:rsidRPr="00991EC7">
        <w:rPr>
          <w:noProof/>
        </w:rPr>
        <w:t>) across all scenarios. A higher level of ambition (S3) is associated with an even faster drop than a lower level of ambition (S1</w:t>
      </w:r>
      <w:r w:rsidR="0055737E">
        <w:rPr>
          <w:noProof/>
        </w:rPr>
        <w:t xml:space="preserve"> and S2</w:t>
      </w:r>
      <w:r w:rsidRPr="00991EC7">
        <w:rPr>
          <w:noProof/>
        </w:rPr>
        <w:t>), but the trend is clear and inevitable with fossil fuel imports projected to account for no more than 3% of the EU’s total imports by 2050</w:t>
      </w:r>
      <w:r w:rsidR="00030B57" w:rsidRPr="00991EC7">
        <w:rPr>
          <w:noProof/>
        </w:rPr>
        <w:t xml:space="preserve"> (</w:t>
      </w:r>
      <w:r w:rsidR="00030B57" w:rsidRPr="00F62511">
        <w:rPr>
          <w:noProof/>
        </w:rPr>
        <w:fldChar w:fldCharType="begin"/>
      </w:r>
      <w:r w:rsidR="00030B57" w:rsidRPr="00991EC7">
        <w:rPr>
          <w:noProof/>
          <w:highlight w:val="yellow"/>
        </w:rPr>
        <w:instrText xml:space="preserve"> REF _Ref145085956 \h  \* MERGEFORMAT </w:instrText>
      </w:r>
      <w:r w:rsidR="00030B57" w:rsidRPr="00F62511">
        <w:rPr>
          <w:noProof/>
        </w:rPr>
      </w:r>
      <w:r w:rsidR="00030B57" w:rsidRPr="00F62511">
        <w:rPr>
          <w:noProof/>
        </w:rPr>
        <w:fldChar w:fldCharType="separate"/>
      </w:r>
      <w:r w:rsidR="00170A3C">
        <w:rPr>
          <w:noProof/>
        </w:rPr>
        <w:t>Table 45</w:t>
      </w:r>
      <w:r w:rsidR="00030B57" w:rsidRPr="00F62511">
        <w:rPr>
          <w:noProof/>
        </w:rPr>
        <w:fldChar w:fldCharType="end"/>
      </w:r>
      <w:r w:rsidR="00030B57" w:rsidRPr="00991EC7">
        <w:rPr>
          <w:noProof/>
        </w:rPr>
        <w:t>)</w:t>
      </w:r>
      <w:r w:rsidRPr="00991EC7">
        <w:rPr>
          <w:noProof/>
        </w:rPr>
        <w:t xml:space="preserve">. Although trade in the raw materials critical for the climate and energy transition is not captured </w:t>
      </w:r>
      <w:r w:rsidR="00CB6D44" w:rsidRPr="00991EC7">
        <w:rPr>
          <w:noProof/>
        </w:rPr>
        <w:t xml:space="preserve">explicitly </w:t>
      </w:r>
      <w:r w:rsidRPr="00991EC7">
        <w:rPr>
          <w:noProof/>
        </w:rPr>
        <w:t>in the JRC-GEM-E3 macro-economic model, the EU is likely to import a higher level of such goods as the transition progresses (</w:t>
      </w:r>
      <w:r w:rsidR="00177FA7" w:rsidRPr="00F62511">
        <w:rPr>
          <w:noProof/>
        </w:rPr>
        <w:t>S</w:t>
      </w:r>
      <w:r w:rsidRPr="00F62511">
        <w:rPr>
          <w:noProof/>
        </w:rPr>
        <w:t>ection </w:t>
      </w:r>
      <w:r w:rsidRPr="00F62511">
        <w:rPr>
          <w:noProof/>
        </w:rPr>
        <w:fldChar w:fldCharType="begin"/>
      </w:r>
      <w:r w:rsidRPr="00F62511">
        <w:rPr>
          <w:noProof/>
        </w:rPr>
        <w:instrText xml:space="preserve"> REF _Ref141190805 \r \h </w:instrText>
      </w:r>
      <w:r w:rsidR="00177FA7" w:rsidRPr="00F62511">
        <w:rPr>
          <w:noProof/>
        </w:rPr>
        <w:instrText xml:space="preserve"> \* MERGEFORMAT </w:instrText>
      </w:r>
      <w:r w:rsidRPr="00F62511">
        <w:rPr>
          <w:noProof/>
        </w:rPr>
      </w:r>
      <w:r w:rsidRPr="00F62511">
        <w:rPr>
          <w:noProof/>
        </w:rPr>
        <w:fldChar w:fldCharType="separate"/>
      </w:r>
      <w:r w:rsidR="00170A3C">
        <w:rPr>
          <w:noProof/>
        </w:rPr>
        <w:t>1.9.4</w:t>
      </w:r>
      <w:r w:rsidRPr="00F62511">
        <w:rPr>
          <w:noProof/>
        </w:rPr>
        <w:fldChar w:fldCharType="end"/>
      </w:r>
      <w:r w:rsidR="005476EB" w:rsidRPr="00991EC7">
        <w:rPr>
          <w:noProof/>
        </w:rPr>
        <w:t>)</w:t>
      </w:r>
      <w:r w:rsidRPr="00991EC7">
        <w:rPr>
          <w:noProof/>
        </w:rPr>
        <w:t>.</w:t>
      </w:r>
    </w:p>
    <w:p w14:paraId="2D366412" w14:textId="6BBAA733" w:rsidR="00E27DCB" w:rsidRPr="00991EC7" w:rsidRDefault="003C510D" w:rsidP="00754F14">
      <w:pPr>
        <w:rPr>
          <w:noProof/>
        </w:rPr>
      </w:pPr>
      <w:r w:rsidRPr="00991EC7">
        <w:rPr>
          <w:noProof/>
        </w:rPr>
        <w:t xml:space="preserve">The </w:t>
      </w:r>
      <w:r w:rsidR="00734757" w:rsidRPr="00734757">
        <w:rPr>
          <w:noProof/>
        </w:rPr>
        <w:t>share of imports of goods from energy intensive industries and transport equipment in total EU imports is projected to decline across scenarios, but this is likely mostly due to factors unrelated to the climate transition and the level of ambition for 2040, such as the maturity of the economy and the gradual decline in the EU population in the long term. In contrast, the</w:t>
      </w:r>
      <w:r w:rsidRPr="00991EC7">
        <w:rPr>
          <w:noProof/>
        </w:rPr>
        <w:t xml:space="preserve"> share of imports of consumer goods, </w:t>
      </w:r>
      <w:r w:rsidR="00993D9C">
        <w:rPr>
          <w:noProof/>
        </w:rPr>
        <w:t>equipment</w:t>
      </w:r>
      <w:r>
        <w:rPr>
          <w:noProof/>
        </w:rPr>
        <w:t xml:space="preserve"> goods, </w:t>
      </w:r>
      <w:r w:rsidRPr="00991EC7">
        <w:rPr>
          <w:noProof/>
        </w:rPr>
        <w:t xml:space="preserve">market services and agriculture and forestry in total EU imports </w:t>
      </w:r>
      <w:r w:rsidR="00FD5777" w:rsidRPr="00991EC7">
        <w:rPr>
          <w:noProof/>
        </w:rPr>
        <w:t>could</w:t>
      </w:r>
      <w:r w:rsidRPr="00991EC7">
        <w:rPr>
          <w:noProof/>
        </w:rPr>
        <w:t xml:space="preserve"> increase over the coming decades. The share of market services, in particular, </w:t>
      </w:r>
      <w:r w:rsidR="00FD5777" w:rsidRPr="00991EC7">
        <w:rPr>
          <w:noProof/>
        </w:rPr>
        <w:t>could</w:t>
      </w:r>
      <w:r w:rsidRPr="00991EC7">
        <w:rPr>
          <w:noProof/>
        </w:rPr>
        <w:t xml:space="preserve"> rise sharply as it offsets the falling share of fossil fuel imports. Finally, the contrast between trends under fragmented action vs. global action scenarios are confirmed by figures regarding sectoral shares in EU total imports.</w:t>
      </w:r>
    </w:p>
    <w:p w14:paraId="7957503C" w14:textId="79CF8446" w:rsidR="00E27DCB" w:rsidRDefault="00E27DCB" w:rsidP="00030B57">
      <w:pPr>
        <w:pStyle w:val="Caption"/>
        <w:rPr>
          <w:noProof/>
          <w:sz w:val="23"/>
          <w:szCs w:val="23"/>
        </w:rPr>
      </w:pPr>
      <w:bookmarkStart w:id="740" w:name="_Ref145085956"/>
      <w:bookmarkStart w:id="741" w:name="_Toc157679928"/>
      <w:r>
        <w:rPr>
          <w:noProof/>
        </w:rPr>
        <w:t xml:space="preserve">Table </w:t>
      </w:r>
      <w:r>
        <w:rPr>
          <w:noProof/>
        </w:rPr>
        <w:fldChar w:fldCharType="begin"/>
      </w:r>
      <w:r>
        <w:rPr>
          <w:noProof/>
        </w:rPr>
        <w:instrText>SEQ Table \* ARABIC</w:instrText>
      </w:r>
      <w:r>
        <w:rPr>
          <w:noProof/>
        </w:rPr>
        <w:fldChar w:fldCharType="separate"/>
      </w:r>
      <w:r w:rsidR="00170A3C">
        <w:rPr>
          <w:noProof/>
        </w:rPr>
        <w:t>45</w:t>
      </w:r>
      <w:r>
        <w:rPr>
          <w:noProof/>
        </w:rPr>
        <w:fldChar w:fldCharType="end"/>
      </w:r>
      <w:bookmarkEnd w:id="740"/>
      <w:r>
        <w:rPr>
          <w:noProof/>
        </w:rPr>
        <w:t xml:space="preserve">: </w:t>
      </w:r>
      <w:r w:rsidR="00E53F75">
        <w:rPr>
          <w:noProof/>
        </w:rPr>
        <w:t>S</w:t>
      </w:r>
      <w:r>
        <w:rPr>
          <w:noProof/>
        </w:rPr>
        <w:t>tructure of EU imports (% of total)</w:t>
      </w:r>
      <w:bookmarkEnd w:id="741"/>
    </w:p>
    <w:p w14:paraId="417C50EB" w14:textId="4C39217E" w:rsidR="00E27DCB" w:rsidRDefault="006961AD" w:rsidP="00030B57">
      <w:pPr>
        <w:keepNext/>
        <w:spacing w:after="0"/>
        <w:jc w:val="center"/>
        <w:rPr>
          <w:noProof/>
          <w:sz w:val="23"/>
          <w:szCs w:val="23"/>
        </w:rPr>
      </w:pPr>
      <w:r w:rsidRPr="006961AD">
        <w:rPr>
          <w:noProof/>
          <w:lang w:eastAsia="en-GB"/>
        </w:rPr>
        <w:drawing>
          <wp:inline distT="0" distB="0" distL="0" distR="0" wp14:anchorId="4A49C3C3" wp14:editId="20F5227B">
            <wp:extent cx="5472430" cy="2345055"/>
            <wp:effectExtent l="0" t="0" r="0" b="0"/>
            <wp:docPr id="1506651228" name="Picture 150665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5472430" cy="2345055"/>
                    </a:xfrm>
                    <a:prstGeom prst="rect">
                      <a:avLst/>
                    </a:prstGeom>
                    <a:noFill/>
                    <a:ln>
                      <a:noFill/>
                    </a:ln>
                  </pic:spPr>
                </pic:pic>
              </a:graphicData>
            </a:graphic>
          </wp:inline>
        </w:drawing>
      </w:r>
    </w:p>
    <w:p w14:paraId="2C985CB2" w14:textId="4C9CA95D" w:rsidR="00E27DCB" w:rsidRPr="00F60C11" w:rsidRDefault="00E27DCB" w:rsidP="008640DF">
      <w:pPr>
        <w:pStyle w:val="CT-SOURCE"/>
        <w:rPr>
          <w:i w:val="0"/>
          <w:noProof/>
        </w:rPr>
      </w:pPr>
      <w:r w:rsidRPr="00272F1C">
        <w:rPr>
          <w:noProof/>
        </w:rPr>
        <w:t xml:space="preserve">Source: </w:t>
      </w:r>
      <w:r w:rsidRPr="00F60C11">
        <w:rPr>
          <w:noProof/>
        </w:rPr>
        <w:t>JRC-GEM-E3.</w:t>
      </w:r>
    </w:p>
    <w:p w14:paraId="45D9B91B" w14:textId="12DD37D7" w:rsidR="00FD5777" w:rsidRPr="00991EC7" w:rsidRDefault="0026134B" w:rsidP="00C33F65">
      <w:pPr>
        <w:rPr>
          <w:noProof/>
        </w:rPr>
      </w:pPr>
      <w:r w:rsidRPr="00991EC7">
        <w:rPr>
          <w:noProof/>
        </w:rPr>
        <w:t xml:space="preserve">How such trends in the composition of EU imports and in the size of the EU in global imports </w:t>
      </w:r>
      <w:r w:rsidR="00FD5777" w:rsidRPr="00991EC7">
        <w:rPr>
          <w:noProof/>
        </w:rPr>
        <w:t>could</w:t>
      </w:r>
      <w:r w:rsidRPr="00991EC7">
        <w:rPr>
          <w:noProof/>
        </w:rPr>
        <w:t xml:space="preserve"> affect trading partners will depend on the composition of their own exports and the extent to which they depend on the EU as a market for their goods and services. </w:t>
      </w:r>
      <w:r w:rsidR="00DA66BD" w:rsidRPr="00991EC7">
        <w:rPr>
          <w:noProof/>
        </w:rPr>
        <w:t>The JRC-GEM-E3 model cannot be the basis for a detailed assessment of how individual countries and trade in specific commodities could be affected by the transition to climate neutrality and the level of ambition for the 2040 target as it lacks the level of granularity required to do so. It nevertheless provides useful indications of what could be the impact of the transition in terms of broad trade aggregates and possible trends.</w:t>
      </w:r>
    </w:p>
    <w:p w14:paraId="73834006" w14:textId="37A88966" w:rsidR="0096776F" w:rsidRPr="00991EC7" w:rsidRDefault="0026134B" w:rsidP="00C33F65">
      <w:pPr>
        <w:rPr>
          <w:noProof/>
        </w:rPr>
      </w:pPr>
      <w:r w:rsidRPr="00991EC7">
        <w:rPr>
          <w:noProof/>
        </w:rPr>
        <w:t>The sharp decline in fossil fuel imports over the course of the transition will affect the Middle East most negatively, together with other major exporters of fossil fuels elsewhere. The share of imports from the Middle East in total EU imports could fall by as much as 2</w:t>
      </w:r>
      <w:r w:rsidR="00650ADF" w:rsidRPr="00991EC7">
        <w:rPr>
          <w:noProof/>
        </w:rPr>
        <w:t> </w:t>
      </w:r>
      <w:r w:rsidRPr="00991EC7">
        <w:rPr>
          <w:noProof/>
        </w:rPr>
        <w:t>percentage points between 2015 and 2050 under all scenarios</w:t>
      </w:r>
      <w:r w:rsidR="00484842" w:rsidRPr="00991EC7">
        <w:rPr>
          <w:noProof/>
        </w:rPr>
        <w:t xml:space="preserve"> (</w:t>
      </w:r>
      <w:r w:rsidR="00650ADF" w:rsidRPr="00991EC7">
        <w:rPr>
          <w:noProof/>
        </w:rPr>
        <w:fldChar w:fldCharType="begin"/>
      </w:r>
      <w:r w:rsidR="00650ADF" w:rsidRPr="00991EC7">
        <w:rPr>
          <w:noProof/>
          <w:highlight w:val="yellow"/>
        </w:rPr>
        <w:instrText xml:space="preserve"> REF _Ref145515904 \h  \* MERGEFORMAT </w:instrText>
      </w:r>
      <w:r w:rsidR="00650ADF" w:rsidRPr="00991EC7">
        <w:rPr>
          <w:noProof/>
        </w:rPr>
      </w:r>
      <w:r w:rsidR="00650ADF" w:rsidRPr="00991EC7">
        <w:rPr>
          <w:noProof/>
        </w:rPr>
        <w:fldChar w:fldCharType="separate"/>
      </w:r>
      <w:r w:rsidR="00170A3C" w:rsidRPr="00F62511">
        <w:rPr>
          <w:noProof/>
        </w:rPr>
        <w:t xml:space="preserve">Table </w:t>
      </w:r>
      <w:r w:rsidR="00170A3C">
        <w:rPr>
          <w:noProof/>
        </w:rPr>
        <w:t>46</w:t>
      </w:r>
      <w:r w:rsidR="00650ADF" w:rsidRPr="00991EC7">
        <w:rPr>
          <w:noProof/>
        </w:rPr>
        <w:fldChar w:fldCharType="end"/>
      </w:r>
      <w:r w:rsidR="00484842" w:rsidRPr="00991EC7">
        <w:rPr>
          <w:noProof/>
        </w:rPr>
        <w:t>)</w:t>
      </w:r>
      <w:r w:rsidRPr="00991EC7">
        <w:rPr>
          <w:noProof/>
        </w:rPr>
        <w:t>. This trend could potentially be reduced if trade in RFNBOs were to pick up, though the modelling does not suggest that the latter could compensate for the fall in exports of fossil fuels</w:t>
      </w:r>
      <w:r w:rsidR="00CB6D44" w:rsidRPr="00991EC7">
        <w:rPr>
          <w:noProof/>
        </w:rPr>
        <w:t> (</w:t>
      </w:r>
      <w:r w:rsidR="00CB6D44" w:rsidRPr="00991EC7">
        <w:rPr>
          <w:rStyle w:val="FootnoteReference"/>
          <w:noProof/>
        </w:rPr>
        <w:footnoteReference w:id="296"/>
      </w:r>
      <w:r w:rsidR="00CB6D44" w:rsidRPr="00991EC7">
        <w:rPr>
          <w:noProof/>
        </w:rPr>
        <w:t>)</w:t>
      </w:r>
      <w:r w:rsidRPr="00991EC7">
        <w:rPr>
          <w:noProof/>
        </w:rPr>
        <w:t>.</w:t>
      </w:r>
    </w:p>
    <w:p w14:paraId="31DFB8F1" w14:textId="2AA13984" w:rsidR="0026134B" w:rsidRPr="00991EC7" w:rsidRDefault="0026134B" w:rsidP="00C33F65">
      <w:pPr>
        <w:rPr>
          <w:noProof/>
        </w:rPr>
      </w:pPr>
      <w:r w:rsidRPr="00991EC7">
        <w:rPr>
          <w:noProof/>
        </w:rPr>
        <w:t>In contrast, the modelling indicates that Africa could benefit from a</w:t>
      </w:r>
      <w:r w:rsidR="00484393">
        <w:rPr>
          <w:noProof/>
        </w:rPr>
        <w:t>n</w:t>
      </w:r>
      <w:r w:rsidRPr="00991EC7">
        <w:rPr>
          <w:noProof/>
        </w:rPr>
        <w:t xml:space="preserve"> increase in the share it represents as the place of origin for total EU imports. Th</w:t>
      </w:r>
      <w:r w:rsidR="00484842" w:rsidRPr="00991EC7">
        <w:rPr>
          <w:noProof/>
        </w:rPr>
        <w:t>e increase in the continent’s share as the origin of EU imports could be significant for primary goods, namely crops, livestock and forestry, but the modelling show</w:t>
      </w:r>
      <w:r w:rsidR="00484393">
        <w:rPr>
          <w:noProof/>
        </w:rPr>
        <w:t>s</w:t>
      </w:r>
      <w:r w:rsidR="00484842" w:rsidRPr="00991EC7">
        <w:rPr>
          <w:noProof/>
        </w:rPr>
        <w:t xml:space="preserve"> a positive evolution for other sectors, including energy intensive goods and market services. Overall, the rising share of Africa in EU imports and the increase in imports over time could lead total EU imports from Africa to more than double between 2020 and 2050.</w:t>
      </w:r>
    </w:p>
    <w:p w14:paraId="3D328AC8" w14:textId="19025A2A" w:rsidR="00056296" w:rsidRDefault="00B6541D" w:rsidP="00C33F65">
      <w:pPr>
        <w:rPr>
          <w:noProof/>
        </w:rPr>
      </w:pPr>
      <w:r w:rsidRPr="00991EC7">
        <w:rPr>
          <w:noProof/>
        </w:rPr>
        <w:t>The difference across scenarios is minimal, as the trends are driven by the overall climate and energy transition and wider economic considerations.</w:t>
      </w:r>
      <w:r w:rsidR="00056296">
        <w:rPr>
          <w:noProof/>
        </w:rPr>
        <w:t xml:space="preserve"> Similarly, the geographic origin of EU imports does not change much between the fragmented and global action scenarios, at last as far as total imports are concerned. This is likely linked to the fact that all EU partners are required to significantly step up mitigation efforts under the global action scenario, which means they are all similarly affected. One can notice, however, that the share of imports from the OECD slightly increases between the fragmented and global action scenarios, which is likely linked to their lower initial carbon intensity than other regions, including as far as energy intensive industries are concerned.</w:t>
      </w:r>
    </w:p>
    <w:p w14:paraId="6FF23C77" w14:textId="6B02FC1F" w:rsidR="00C33F65" w:rsidRDefault="00C33F65" w:rsidP="00650ADF">
      <w:pPr>
        <w:pStyle w:val="Caption"/>
        <w:rPr>
          <w:noProof/>
          <w:sz w:val="23"/>
          <w:szCs w:val="23"/>
        </w:rPr>
      </w:pPr>
      <w:bookmarkStart w:id="742" w:name="_Ref145515904"/>
      <w:bookmarkStart w:id="743" w:name="_Toc157679929"/>
      <w:r w:rsidRPr="00F62511">
        <w:rPr>
          <w:noProof/>
        </w:rPr>
        <w:t xml:space="preserve">Table </w:t>
      </w:r>
      <w:r w:rsidRPr="00F62511">
        <w:rPr>
          <w:noProof/>
        </w:rPr>
        <w:fldChar w:fldCharType="begin"/>
      </w:r>
      <w:r w:rsidRPr="00F62511">
        <w:rPr>
          <w:noProof/>
        </w:rPr>
        <w:instrText>SEQ Table \* ARABIC</w:instrText>
      </w:r>
      <w:r w:rsidRPr="00F62511">
        <w:rPr>
          <w:noProof/>
        </w:rPr>
        <w:fldChar w:fldCharType="separate"/>
      </w:r>
      <w:r w:rsidR="00170A3C">
        <w:rPr>
          <w:noProof/>
        </w:rPr>
        <w:t>46</w:t>
      </w:r>
      <w:r w:rsidRPr="00F62511">
        <w:rPr>
          <w:noProof/>
        </w:rPr>
        <w:fldChar w:fldCharType="end"/>
      </w:r>
      <w:bookmarkEnd w:id="742"/>
      <w:r w:rsidRPr="00F62511">
        <w:rPr>
          <w:noProof/>
        </w:rPr>
        <w:t xml:space="preserve">: </w:t>
      </w:r>
      <w:r w:rsidR="00E53F75" w:rsidRPr="00F62511">
        <w:rPr>
          <w:noProof/>
        </w:rPr>
        <w:t>O</w:t>
      </w:r>
      <w:r w:rsidRPr="00F62511">
        <w:rPr>
          <w:noProof/>
        </w:rPr>
        <w:t>rigin</w:t>
      </w:r>
      <w:r>
        <w:rPr>
          <w:noProof/>
        </w:rPr>
        <w:t xml:space="preserve"> of EU imports by main trading parterns (% of total EU imports, S</w:t>
      </w:r>
      <w:r w:rsidR="00FC3AC5">
        <w:rPr>
          <w:noProof/>
        </w:rPr>
        <w:t>3</w:t>
      </w:r>
      <w:r>
        <w:rPr>
          <w:noProof/>
        </w:rPr>
        <w:t>)</w:t>
      </w:r>
      <w:bookmarkEnd w:id="743"/>
    </w:p>
    <w:p w14:paraId="7318C87F" w14:textId="30CC3741" w:rsidR="00C33F65" w:rsidRDefault="00FC3AC5" w:rsidP="00650ADF">
      <w:pPr>
        <w:keepNext/>
        <w:spacing w:after="0"/>
        <w:jc w:val="center"/>
        <w:rPr>
          <w:noProof/>
          <w:sz w:val="23"/>
          <w:szCs w:val="23"/>
        </w:rPr>
      </w:pPr>
      <w:r w:rsidRPr="00FC3AC5">
        <w:rPr>
          <w:noProof/>
          <w:lang w:eastAsia="en-GB"/>
        </w:rPr>
        <w:drawing>
          <wp:inline distT="0" distB="0" distL="0" distR="0" wp14:anchorId="70C5E124" wp14:editId="50DB56A1">
            <wp:extent cx="5472430" cy="6261735"/>
            <wp:effectExtent l="0" t="0" r="0" b="5715"/>
            <wp:docPr id="1506651231" name="Picture 150665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5472430" cy="6261735"/>
                    </a:xfrm>
                    <a:prstGeom prst="rect">
                      <a:avLst/>
                    </a:prstGeom>
                    <a:noFill/>
                    <a:ln>
                      <a:noFill/>
                    </a:ln>
                  </pic:spPr>
                </pic:pic>
              </a:graphicData>
            </a:graphic>
          </wp:inline>
        </w:drawing>
      </w:r>
    </w:p>
    <w:p w14:paraId="3587607D" w14:textId="4117959C" w:rsidR="00C33F65" w:rsidRPr="00F60C11" w:rsidRDefault="00C33F65" w:rsidP="002A3E0A">
      <w:pPr>
        <w:pStyle w:val="CT-SOURCE"/>
        <w:keepNext w:val="0"/>
        <w:rPr>
          <w:noProof/>
        </w:rPr>
      </w:pPr>
      <w:r w:rsidRPr="00272F1C">
        <w:rPr>
          <w:noProof/>
        </w:rPr>
        <w:t xml:space="preserve">Source: </w:t>
      </w:r>
      <w:r w:rsidRPr="00F60C11">
        <w:rPr>
          <w:noProof/>
        </w:rPr>
        <w:t>JRC-GEM-E3.</w:t>
      </w:r>
    </w:p>
    <w:p w14:paraId="215F9C12" w14:textId="6851B6A8" w:rsidR="00220FC8" w:rsidRDefault="00220FC8" w:rsidP="00220FC8">
      <w:pPr>
        <w:rPr>
          <w:noProof/>
          <w:lang w:val="en-IE"/>
        </w:rPr>
      </w:pPr>
      <w:r>
        <w:rPr>
          <w:noProof/>
          <w:lang w:val="en-IE"/>
        </w:rPr>
        <w:t>The cost-efficient decarbonisation relies on the deployment of net-zero technologies with</w:t>
      </w:r>
      <w:r w:rsidRPr="00294381">
        <w:rPr>
          <w:noProof/>
          <w:lang w:val="en-IE"/>
        </w:rPr>
        <w:t xml:space="preserve"> varying but sufficient degree of maturity to be used on a large scale.</w:t>
      </w:r>
      <w:r>
        <w:rPr>
          <w:noProof/>
          <w:lang w:val="en-IE"/>
        </w:rPr>
        <w:t xml:space="preserve"> The maturity of technologies is an important driver of the projected portfolio of net-zero technologies. </w:t>
      </w:r>
      <w:r w:rsidRPr="00913156">
        <w:rPr>
          <w:noProof/>
          <w:lang w:val="en-IE"/>
        </w:rPr>
        <w:t>In recent years, pressing innovation gaps have been addresse</w:t>
      </w:r>
      <w:r>
        <w:rPr>
          <w:noProof/>
          <w:lang w:val="en-IE"/>
        </w:rPr>
        <w:t>d</w:t>
      </w:r>
      <w:r w:rsidRPr="00913156">
        <w:rPr>
          <w:noProof/>
          <w:lang w:val="en-IE"/>
        </w:rPr>
        <w:t xml:space="preserve"> which resulted in significant improvements of the technology readiness</w:t>
      </w:r>
      <w:r w:rsidR="006F5F3C" w:rsidRPr="006F5F3C">
        <w:rPr>
          <w:noProof/>
          <w:lang w:val="en-IE"/>
        </w:rPr>
        <w:t> (</w:t>
      </w:r>
      <w:r w:rsidR="006F5F3C">
        <w:rPr>
          <w:rStyle w:val="FootnoteReference"/>
          <w:noProof/>
          <w:lang w:val="en-IE"/>
        </w:rPr>
        <w:footnoteReference w:id="297"/>
      </w:r>
      <w:r w:rsidR="006F5F3C">
        <w:rPr>
          <w:noProof/>
          <w:lang w:val="en-IE"/>
        </w:rPr>
        <w:t>)</w:t>
      </w:r>
      <w:r w:rsidRPr="00913156">
        <w:rPr>
          <w:noProof/>
          <w:lang w:val="en-IE"/>
        </w:rPr>
        <w:t xml:space="preserve">. </w:t>
      </w:r>
      <w:r>
        <w:rPr>
          <w:noProof/>
          <w:lang w:val="en-IE"/>
        </w:rPr>
        <w:t>For the bulk of net-zero technologies needed to reach the 2040 targets, the Technology Readiness Level (TRL) already amounts to at least 8 (out of 9) which means that they are in an advanced deployment stage.</w:t>
      </w:r>
      <w:r w:rsidR="00465912">
        <w:rPr>
          <w:noProof/>
          <w:lang w:val="en-IE"/>
        </w:rPr>
        <w:t xml:space="preserve"> </w:t>
      </w:r>
      <w:r w:rsidR="00465912" w:rsidRPr="00465912">
        <w:rPr>
          <w:noProof/>
          <w:lang w:val="en-IE"/>
        </w:rPr>
        <w:t> (</w:t>
      </w:r>
      <w:r w:rsidR="00465912">
        <w:rPr>
          <w:rStyle w:val="FootnoteReference"/>
          <w:noProof/>
          <w:lang w:val="en-IE"/>
        </w:rPr>
        <w:footnoteReference w:id="298"/>
      </w:r>
      <w:r w:rsidR="00465912">
        <w:rPr>
          <w:noProof/>
          <w:lang w:val="en-IE"/>
        </w:rPr>
        <w:t>)</w:t>
      </w:r>
    </w:p>
    <w:p w14:paraId="6BF3148F" w14:textId="03DF3C2E" w:rsidR="00220FC8" w:rsidRDefault="00220FC8" w:rsidP="00220FC8">
      <w:pPr>
        <w:rPr>
          <w:noProof/>
          <w:lang w:val="en-IE"/>
        </w:rPr>
      </w:pPr>
      <w:r>
        <w:rPr>
          <w:noProof/>
          <w:lang w:val="en-IE"/>
        </w:rPr>
        <w:t>DAC is at the lower end of the deployment stage having a TRL of 7. Bioenergy with carbon capture and storage (BECCS) is the only technology that has a TRL of 5-6 (“Technology demonstrated in relevant environment”) indicating that is not fully established. However, there are already a variety of BECCS demonstration projects in Japan, Norway, Sweden and the United Kingdom.</w:t>
      </w:r>
    </w:p>
    <w:p w14:paraId="6768B0BA" w14:textId="05A25E1F" w:rsidR="00220FC8" w:rsidRPr="00AE02AD" w:rsidRDefault="00220FC8" w:rsidP="00220FC8">
      <w:pPr>
        <w:rPr>
          <w:noProof/>
          <w:lang w:val="en-IE"/>
        </w:rPr>
      </w:pPr>
      <w:r>
        <w:rPr>
          <w:noProof/>
          <w:lang w:val="en-IE"/>
        </w:rPr>
        <w:t xml:space="preserve">Due to their relatively low maturity, DAC and BECCS come into play only between 2030 and 2040 allowing the technology to be further developed over the coming years. In 2040, DAC and BECCS is projected to capture 16 MtCO2 (S1) to 155 MtCO2 (S3) making up around 0.3% (S1) to 3.3% (S3) of 1990 total GHG emissions. The </w:t>
      </w:r>
      <w:r w:rsidRPr="003871A4">
        <w:rPr>
          <w:noProof/>
          <w:lang w:val="en-IE"/>
        </w:rPr>
        <w:t xml:space="preserve">S3 scenario </w:t>
      </w:r>
      <w:r w:rsidR="002A5A67">
        <w:rPr>
          <w:noProof/>
          <w:lang w:val="en-IE"/>
        </w:rPr>
        <w:t>anticipates</w:t>
      </w:r>
      <w:r w:rsidRPr="003871A4">
        <w:rPr>
          <w:noProof/>
          <w:lang w:val="en-IE"/>
        </w:rPr>
        <w:t xml:space="preserve"> decarbonisation</w:t>
      </w:r>
      <w:r>
        <w:rPr>
          <w:noProof/>
          <w:lang w:val="en-IE"/>
        </w:rPr>
        <w:t xml:space="preserve"> via DAC</w:t>
      </w:r>
      <w:r w:rsidRPr="003871A4">
        <w:rPr>
          <w:noProof/>
          <w:lang w:val="en-IE"/>
        </w:rPr>
        <w:t xml:space="preserve"> </w:t>
      </w:r>
      <w:r>
        <w:rPr>
          <w:noProof/>
          <w:lang w:val="en-IE"/>
        </w:rPr>
        <w:t>up to 2040</w:t>
      </w:r>
      <w:r w:rsidRPr="003871A4">
        <w:rPr>
          <w:noProof/>
          <w:lang w:val="en-IE"/>
        </w:rPr>
        <w:t>.</w:t>
      </w:r>
      <w:r>
        <w:rPr>
          <w:noProof/>
          <w:lang w:val="en-IE"/>
        </w:rPr>
        <w:t xml:space="preserve"> </w:t>
      </w:r>
    </w:p>
    <w:p w14:paraId="2C8BF352" w14:textId="1EF67D69" w:rsidR="00DD6070" w:rsidRPr="005933BE" w:rsidRDefault="00DD6070" w:rsidP="00850BCA">
      <w:pPr>
        <w:pStyle w:val="Heading2"/>
        <w:rPr>
          <w:noProof/>
        </w:rPr>
      </w:pPr>
      <w:bookmarkStart w:id="744" w:name="_Toc148605651"/>
      <w:bookmarkStart w:id="745" w:name="_Toc157692100"/>
      <w:r w:rsidRPr="005933BE">
        <w:rPr>
          <w:noProof/>
        </w:rPr>
        <w:t>Social impacts and just transition</w:t>
      </w:r>
      <w:bookmarkEnd w:id="744"/>
      <w:bookmarkEnd w:id="745"/>
    </w:p>
    <w:p w14:paraId="662D761A" w14:textId="76726280" w:rsidR="00CC7E2F" w:rsidRPr="005933BE" w:rsidRDefault="00377476" w:rsidP="00850BCA">
      <w:pPr>
        <w:pStyle w:val="Heading3"/>
        <w:rPr>
          <w:noProof/>
        </w:rPr>
      </w:pPr>
      <w:bookmarkStart w:id="746" w:name="_Ref140739429"/>
      <w:bookmarkStart w:id="747" w:name="_Toc148605652"/>
      <w:bookmarkStart w:id="748" w:name="_Toc157692101"/>
      <w:r w:rsidRPr="005933BE">
        <w:rPr>
          <w:noProof/>
        </w:rPr>
        <w:t>Fuel</w:t>
      </w:r>
      <w:r w:rsidR="00612A7E" w:rsidRPr="005933BE">
        <w:rPr>
          <w:noProof/>
        </w:rPr>
        <w:t xml:space="preserve"> expenses, energy and transport poverty</w:t>
      </w:r>
      <w:r w:rsidRPr="005933BE">
        <w:rPr>
          <w:noProof/>
        </w:rPr>
        <w:t>, distributional impacts</w:t>
      </w:r>
      <w:bookmarkEnd w:id="746"/>
      <w:bookmarkEnd w:id="747"/>
      <w:bookmarkEnd w:id="748"/>
    </w:p>
    <w:p w14:paraId="0C62AAAC" w14:textId="1C8D32CA" w:rsidR="009019E7" w:rsidRDefault="009019E7" w:rsidP="009019E7">
      <w:pPr>
        <w:spacing w:before="120" w:after="120"/>
        <w:rPr>
          <w:noProof/>
        </w:rPr>
      </w:pPr>
      <w:bookmarkStart w:id="749" w:name="_Hlk139897003"/>
      <w:r>
        <w:rPr>
          <w:noProof/>
        </w:rPr>
        <w:t>Energy-related expenses</w:t>
      </w:r>
      <w:r w:rsidR="00F62511">
        <w:rPr>
          <w:noProof/>
        </w:rPr>
        <w:t xml:space="preserve"> </w:t>
      </w:r>
      <w:r w:rsidR="00F62511" w:rsidRPr="00601065">
        <w:rPr>
          <w:noProof/>
        </w:rPr>
        <w:t>(</w:t>
      </w:r>
      <w:r w:rsidR="00F62511">
        <w:rPr>
          <w:rStyle w:val="FootnoteReference"/>
          <w:noProof/>
        </w:rPr>
        <w:footnoteReference w:id="299"/>
      </w:r>
      <w:r w:rsidR="00F62511">
        <w:rPr>
          <w:noProof/>
        </w:rPr>
        <w:t>)</w:t>
      </w:r>
      <w:r>
        <w:rPr>
          <w:noProof/>
        </w:rPr>
        <w:t xml:space="preserve"> represent a high share of total expenditure for a large proportion of EU households, in particular middle- and low-income households. The recent increase in energy prices has generated major negative social impacts and increased the rates of energy (and transport) poverty. Assessing the implications of the energy transition and the 2040 policy options on energy system costs for households is therefore of critical importance.</w:t>
      </w:r>
    </w:p>
    <w:p w14:paraId="403A2DA6" w14:textId="59D97B97" w:rsidR="009019E7" w:rsidRDefault="009019E7" w:rsidP="009019E7">
      <w:pPr>
        <w:spacing w:before="120" w:after="120"/>
        <w:rPr>
          <w:noProof/>
        </w:rPr>
      </w:pPr>
      <w:r>
        <w:rPr>
          <w:noProof/>
        </w:rPr>
        <w:t>The following assessment is based on model results, reflecting the current legislation and understanding of the possible evolution of technologies and costs. This assessment will feed into the development of the future policy framework and support measures in the coming years to meet the 2040 target and will determine the actual costs and how they impact individuals, regions and society.</w:t>
      </w:r>
    </w:p>
    <w:p w14:paraId="12F616BE" w14:textId="1BE2C87E" w:rsidR="009019E7" w:rsidRDefault="009019E7" w:rsidP="009019E7">
      <w:pPr>
        <w:spacing w:before="120" w:after="120"/>
        <w:rPr>
          <w:noProof/>
        </w:rPr>
      </w:pPr>
      <w:r>
        <w:rPr>
          <w:noProof/>
        </w:rPr>
        <w:t xml:space="preserve">The cost structure is characterised by an increase of capital-related costs in purchasing more efficient appliances and investment in enhancing the energy insulation of dwellings. This increase allows savings on energy purchases despite the assumed increasing fossil fuels international prices over time and the impact of ETS revenues and diffusion of new low carbon fuels. </w:t>
      </w:r>
    </w:p>
    <w:p w14:paraId="56AFEC23" w14:textId="75E3F0C7" w:rsidR="0079236E" w:rsidRDefault="009019E7" w:rsidP="0079236E">
      <w:pPr>
        <w:spacing w:before="120" w:after="120"/>
        <w:rPr>
          <w:noProof/>
        </w:rPr>
      </w:pPr>
      <w:r>
        <w:rPr>
          <w:noProof/>
        </w:rPr>
        <w:t>The relative importance of energy-related cost for households in private consumption is projected to decline in 20</w:t>
      </w:r>
      <w:r w:rsidR="007936D2">
        <w:rPr>
          <w:noProof/>
        </w:rPr>
        <w:t>4</w:t>
      </w:r>
      <w:r>
        <w:rPr>
          <w:noProof/>
        </w:rPr>
        <w:t>1-20</w:t>
      </w:r>
      <w:r w:rsidR="007936D2">
        <w:rPr>
          <w:noProof/>
        </w:rPr>
        <w:t>5</w:t>
      </w:r>
      <w:r>
        <w:rPr>
          <w:noProof/>
        </w:rPr>
        <w:t>0 compared to 20</w:t>
      </w:r>
      <w:r w:rsidR="007936D2">
        <w:rPr>
          <w:noProof/>
        </w:rPr>
        <w:t>3</w:t>
      </w:r>
      <w:r>
        <w:rPr>
          <w:noProof/>
        </w:rPr>
        <w:t>1-20</w:t>
      </w:r>
      <w:r w:rsidR="007936D2">
        <w:rPr>
          <w:noProof/>
        </w:rPr>
        <w:t>4</w:t>
      </w:r>
      <w:r>
        <w:rPr>
          <w:noProof/>
        </w:rPr>
        <w:t>0, due to the decreasing importance of fuel purchases in all scenarios.</w:t>
      </w:r>
      <w:r w:rsidR="004860A5">
        <w:rPr>
          <w:noProof/>
        </w:rPr>
        <w:t xml:space="preserve"> For instance, the share of private consumption </w:t>
      </w:r>
      <w:r w:rsidR="004860A5" w:rsidRPr="00564674">
        <w:rPr>
          <w:noProof/>
        </w:rPr>
        <w:t xml:space="preserve">dedicated to </w:t>
      </w:r>
      <w:r w:rsidR="00CA5DB0" w:rsidRPr="00564674">
        <w:rPr>
          <w:noProof/>
        </w:rPr>
        <w:t xml:space="preserve">energy-related expenditures decreases from </w:t>
      </w:r>
      <w:r w:rsidR="007936D2" w:rsidRPr="00564674">
        <w:rPr>
          <w:noProof/>
        </w:rPr>
        <w:t>8.1</w:t>
      </w:r>
      <w:r w:rsidR="00CA5DB0" w:rsidRPr="00564674">
        <w:rPr>
          <w:noProof/>
        </w:rPr>
        <w:t>%</w:t>
      </w:r>
      <w:r w:rsidR="004070C5">
        <w:rPr>
          <w:noProof/>
        </w:rPr>
        <w:t>-8.2</w:t>
      </w:r>
      <w:r w:rsidR="00CA5DB0" w:rsidRPr="00564674">
        <w:rPr>
          <w:noProof/>
        </w:rPr>
        <w:t xml:space="preserve">% to </w:t>
      </w:r>
      <w:r w:rsidR="007936D2" w:rsidRPr="00564674">
        <w:rPr>
          <w:noProof/>
        </w:rPr>
        <w:t>7.1</w:t>
      </w:r>
      <w:r w:rsidR="00CA5DB0" w:rsidRPr="00564674">
        <w:rPr>
          <w:noProof/>
        </w:rPr>
        <w:t>% between the decades 2031-2040 and 2041-2050</w:t>
      </w:r>
      <w:r w:rsidR="001C7D0E" w:rsidRPr="00564674">
        <w:rPr>
          <w:noProof/>
        </w:rPr>
        <w:t>.</w:t>
      </w:r>
      <w:r w:rsidRPr="00564674">
        <w:rPr>
          <w:noProof/>
        </w:rPr>
        <w:t xml:space="preserve"> </w:t>
      </w:r>
      <w:r w:rsidR="002A5A67">
        <w:rPr>
          <w:noProof/>
        </w:rPr>
        <w:t>Anticipated</w:t>
      </w:r>
      <w:r w:rsidRPr="00564674">
        <w:rPr>
          <w:noProof/>
        </w:rPr>
        <w:t xml:space="preserve"> action in S3, driven by a larger direct efficiency investments (see section</w:t>
      </w:r>
      <w:r w:rsidR="008E7A2E" w:rsidRPr="00564674">
        <w:rPr>
          <w:noProof/>
        </w:rPr>
        <w:t xml:space="preserve"> </w:t>
      </w:r>
      <w:r w:rsidR="007E2F45" w:rsidRPr="00564674">
        <w:rPr>
          <w:noProof/>
        </w:rPr>
        <w:fldChar w:fldCharType="begin"/>
      </w:r>
      <w:r w:rsidR="007E2F45" w:rsidRPr="00564674">
        <w:rPr>
          <w:noProof/>
        </w:rPr>
        <w:instrText xml:space="preserve"> REF _Ref147339582 \r \h </w:instrText>
      </w:r>
      <w:r w:rsidR="007432BE" w:rsidRPr="00564674">
        <w:rPr>
          <w:noProof/>
        </w:rPr>
        <w:instrText xml:space="preserve"> \* MERGEFORMAT </w:instrText>
      </w:r>
      <w:r w:rsidR="007E2F45" w:rsidRPr="00564674">
        <w:rPr>
          <w:noProof/>
        </w:rPr>
      </w:r>
      <w:r w:rsidR="007E2F45" w:rsidRPr="00564674">
        <w:rPr>
          <w:noProof/>
        </w:rPr>
        <w:fldChar w:fldCharType="separate"/>
      </w:r>
      <w:r w:rsidR="00170A3C">
        <w:rPr>
          <w:noProof/>
        </w:rPr>
        <w:t>2.2</w:t>
      </w:r>
      <w:r w:rsidR="007E2F45" w:rsidRPr="00564674">
        <w:rPr>
          <w:noProof/>
        </w:rPr>
        <w:fldChar w:fldCharType="end"/>
      </w:r>
      <w:r w:rsidRPr="00564674">
        <w:rPr>
          <w:noProof/>
        </w:rPr>
        <w:t xml:space="preserve">), also translates in a slightly higher share of energy-related expenses in S3 in </w:t>
      </w:r>
      <w:r w:rsidR="007936D2" w:rsidRPr="00564674">
        <w:rPr>
          <w:noProof/>
        </w:rPr>
        <w:t>2031-</w:t>
      </w:r>
      <w:r w:rsidRPr="00564674">
        <w:rPr>
          <w:noProof/>
        </w:rPr>
        <w:t xml:space="preserve">2040, where it represents </w:t>
      </w:r>
      <w:r w:rsidR="007936D2" w:rsidRPr="00564674">
        <w:rPr>
          <w:noProof/>
        </w:rPr>
        <w:t>8.2</w:t>
      </w:r>
      <w:r w:rsidRPr="00564674">
        <w:rPr>
          <w:noProof/>
        </w:rPr>
        <w:t xml:space="preserve">% of private consumption as opposed to </w:t>
      </w:r>
      <w:r w:rsidR="007936D2" w:rsidRPr="00564674">
        <w:rPr>
          <w:noProof/>
        </w:rPr>
        <w:t>8</w:t>
      </w:r>
      <w:r w:rsidRPr="00564674">
        <w:rPr>
          <w:noProof/>
        </w:rPr>
        <w:t xml:space="preserve">% in S1 and </w:t>
      </w:r>
      <w:r w:rsidR="007936D2" w:rsidRPr="00564674">
        <w:rPr>
          <w:noProof/>
        </w:rPr>
        <w:t>8.1</w:t>
      </w:r>
      <w:r w:rsidRPr="00564674">
        <w:rPr>
          <w:noProof/>
        </w:rPr>
        <w:t>% in S2.</w:t>
      </w:r>
      <w:r w:rsidR="00571416">
        <w:rPr>
          <w:noProof/>
        </w:rPr>
        <w:t xml:space="preserve"> Electricity prices are projected to be very similar across</w:t>
      </w:r>
      <w:r w:rsidR="00136022">
        <w:rPr>
          <w:noProof/>
        </w:rPr>
        <w:t xml:space="preserve"> both periods</w:t>
      </w:r>
      <w:r w:rsidR="00DD3F1B">
        <w:rPr>
          <w:noProof/>
        </w:rPr>
        <w:t xml:space="preserve"> in real terms</w:t>
      </w:r>
      <w:r w:rsidR="00136022">
        <w:rPr>
          <w:noProof/>
        </w:rPr>
        <w:t xml:space="preserve">. </w:t>
      </w:r>
    </w:p>
    <w:p w14:paraId="4A4E5667" w14:textId="1ADFA92A" w:rsidR="0079236E" w:rsidRDefault="002A0FD7" w:rsidP="005905B3">
      <w:pPr>
        <w:pStyle w:val="Caption"/>
        <w:rPr>
          <w:noProof/>
        </w:rPr>
      </w:pPr>
      <w:bookmarkStart w:id="750" w:name="_Toc157679930"/>
      <w:r w:rsidRPr="00F62511">
        <w:rPr>
          <w:noProof/>
        </w:rPr>
        <w:t>Table</w:t>
      </w:r>
      <w:r>
        <w:rPr>
          <w:noProof/>
        </w:rPr>
        <w:t xml:space="preserve"> </w:t>
      </w:r>
      <w:bookmarkStart w:id="751" w:name="_Ref142552121"/>
      <w:bookmarkEnd w:id="749"/>
      <w:r>
        <w:rPr>
          <w:noProof/>
        </w:rPr>
        <w:fldChar w:fldCharType="begin"/>
      </w:r>
      <w:r>
        <w:rPr>
          <w:noProof/>
        </w:rPr>
        <w:instrText>SEQ Table \* ARABIC</w:instrText>
      </w:r>
      <w:r>
        <w:rPr>
          <w:noProof/>
        </w:rPr>
        <w:fldChar w:fldCharType="separate"/>
      </w:r>
      <w:r w:rsidR="00170A3C">
        <w:rPr>
          <w:noProof/>
        </w:rPr>
        <w:t>47</w:t>
      </w:r>
      <w:r>
        <w:rPr>
          <w:noProof/>
        </w:rPr>
        <w:fldChar w:fldCharType="end"/>
      </w:r>
      <w:bookmarkEnd w:id="751"/>
      <w:r w:rsidRPr="00FA305A">
        <w:rPr>
          <w:noProof/>
        </w:rPr>
        <w:t xml:space="preserve">: </w:t>
      </w:r>
      <w:r w:rsidR="00403E28" w:rsidRPr="00543D27">
        <w:rPr>
          <w:noProof/>
        </w:rPr>
        <w:t xml:space="preserve">Average annual energy system costs </w:t>
      </w:r>
      <w:r w:rsidR="00403E28">
        <w:rPr>
          <w:noProof/>
        </w:rPr>
        <w:t xml:space="preserve">as % of private consumption </w:t>
      </w:r>
      <w:r w:rsidR="00403E28" w:rsidRPr="00543D27">
        <w:rPr>
          <w:noProof/>
        </w:rPr>
        <w:t xml:space="preserve">and </w:t>
      </w:r>
      <w:r w:rsidR="00403E28">
        <w:rPr>
          <w:noProof/>
        </w:rPr>
        <w:t xml:space="preserve">average final price of </w:t>
      </w:r>
      <w:r w:rsidR="00403E28" w:rsidRPr="00543D27">
        <w:rPr>
          <w:noProof/>
        </w:rPr>
        <w:t>electricity for households in the residential sector</w:t>
      </w:r>
      <w:bookmarkEnd w:id="750"/>
    </w:p>
    <w:tbl>
      <w:tblPr>
        <w:tblW w:w="4978" w:type="pct"/>
        <w:tblLayout w:type="fixed"/>
        <w:tblLook w:val="04A0" w:firstRow="1" w:lastRow="0" w:firstColumn="1" w:lastColumn="0" w:noHBand="0" w:noVBand="1"/>
      </w:tblPr>
      <w:tblGrid>
        <w:gridCol w:w="2559"/>
        <w:gridCol w:w="769"/>
        <w:gridCol w:w="770"/>
        <w:gridCol w:w="769"/>
        <w:gridCol w:w="770"/>
        <w:gridCol w:w="790"/>
        <w:gridCol w:w="790"/>
        <w:gridCol w:w="790"/>
        <w:gridCol w:w="788"/>
      </w:tblGrid>
      <w:tr w:rsidR="005905B3" w:rsidRPr="006C450C" w14:paraId="33703DE6" w14:textId="73C1AAF8" w:rsidTr="00316F0A">
        <w:trPr>
          <w:trHeight w:val="300"/>
        </w:trPr>
        <w:tc>
          <w:tcPr>
            <w:tcW w:w="1455" w:type="pct"/>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0EF485" w14:textId="527F4721" w:rsidR="005905B3" w:rsidRPr="004D2F05" w:rsidRDefault="005905B3" w:rsidP="00316F0A">
            <w:pPr>
              <w:spacing w:after="0"/>
              <w:jc w:val="left"/>
              <w:rPr>
                <w:rFonts w:ascii="EC Square Sans Cond Pro" w:hAnsi="EC Square Sans Cond Pro"/>
                <w:b/>
                <w:noProof/>
                <w:color w:val="000000"/>
                <w:sz w:val="18"/>
                <w:szCs w:val="14"/>
                <w:lang w:val="en-IE"/>
              </w:rPr>
            </w:pPr>
            <w:r w:rsidRPr="004D2F05">
              <w:rPr>
                <w:rFonts w:ascii="EC Square Sans Cond Pro" w:hAnsi="EC Square Sans Cond Pro"/>
                <w:b/>
                <w:noProof/>
                <w:sz w:val="18"/>
                <w:szCs w:val="14"/>
                <w:lang w:val="en-IE"/>
              </w:rPr>
              <w:t>Average across all income categories</w:t>
            </w:r>
          </w:p>
        </w:tc>
        <w:tc>
          <w:tcPr>
            <w:tcW w:w="1750" w:type="pct"/>
            <w:gridSpan w:val="4"/>
            <w:tcBorders>
              <w:top w:val="single" w:sz="4" w:space="0" w:color="auto"/>
              <w:left w:val="single" w:sz="4" w:space="0" w:color="auto"/>
              <w:bottom w:val="nil"/>
              <w:right w:val="single" w:sz="4" w:space="0" w:color="auto"/>
            </w:tcBorders>
            <w:shd w:val="clear" w:color="auto" w:fill="FFFFFF" w:themeFill="background1"/>
            <w:noWrap/>
            <w:vAlign w:val="bottom"/>
            <w:hideMark/>
          </w:tcPr>
          <w:p w14:paraId="15C77CDE" w14:textId="4E15F28B" w:rsidR="005905B3" w:rsidRPr="004D2F05" w:rsidRDefault="005905B3" w:rsidP="00316F0A">
            <w:pPr>
              <w:spacing w:after="0"/>
              <w:jc w:val="center"/>
              <w:rPr>
                <w:rFonts w:ascii="EC Square Sans Cond Pro" w:hAnsi="EC Square Sans Cond Pro"/>
                <w:b/>
                <w:noProof/>
                <w:sz w:val="18"/>
                <w:szCs w:val="14"/>
                <w:lang w:val="en-IE"/>
              </w:rPr>
            </w:pPr>
            <w:r w:rsidRPr="004D2F05">
              <w:rPr>
                <w:rFonts w:ascii="EC Square Sans Cond Pro" w:hAnsi="EC Square Sans Cond Pro"/>
                <w:b/>
                <w:noProof/>
                <w:sz w:val="18"/>
                <w:szCs w:val="14"/>
                <w:lang w:val="en-IE"/>
              </w:rPr>
              <w:t>2031-2040</w:t>
            </w:r>
          </w:p>
        </w:tc>
        <w:tc>
          <w:tcPr>
            <w:tcW w:w="1795" w:type="pct"/>
            <w:gridSpan w:val="4"/>
            <w:tcBorders>
              <w:top w:val="single" w:sz="4" w:space="0" w:color="auto"/>
              <w:left w:val="nil"/>
              <w:bottom w:val="nil"/>
              <w:right w:val="single" w:sz="4" w:space="0" w:color="auto"/>
            </w:tcBorders>
            <w:shd w:val="clear" w:color="auto" w:fill="FFFFFF" w:themeFill="background1"/>
            <w:noWrap/>
            <w:vAlign w:val="bottom"/>
            <w:hideMark/>
          </w:tcPr>
          <w:p w14:paraId="210E0F5E" w14:textId="0AB24304" w:rsidR="005905B3" w:rsidRPr="004D2F05" w:rsidRDefault="005905B3" w:rsidP="00316F0A">
            <w:pPr>
              <w:spacing w:after="0"/>
              <w:jc w:val="center"/>
              <w:rPr>
                <w:rFonts w:ascii="EC Square Sans Cond Pro" w:hAnsi="EC Square Sans Cond Pro"/>
                <w:b/>
                <w:noProof/>
                <w:sz w:val="18"/>
                <w:szCs w:val="14"/>
                <w:lang w:val="en-IE"/>
              </w:rPr>
            </w:pPr>
            <w:r w:rsidRPr="004D2F05">
              <w:rPr>
                <w:rFonts w:ascii="EC Square Sans Cond Pro" w:hAnsi="EC Square Sans Cond Pro"/>
                <w:b/>
                <w:noProof/>
                <w:sz w:val="18"/>
                <w:szCs w:val="14"/>
                <w:lang w:val="en-IE"/>
              </w:rPr>
              <w:t>2041-2050</w:t>
            </w:r>
          </w:p>
        </w:tc>
      </w:tr>
      <w:tr w:rsidR="005905B3" w:rsidRPr="006C450C" w14:paraId="0EC04B6A" w14:textId="4A6AEF95" w:rsidTr="00316F0A">
        <w:trPr>
          <w:trHeight w:val="300"/>
        </w:trPr>
        <w:tc>
          <w:tcPr>
            <w:tcW w:w="1455" w:type="pct"/>
            <w:vMerge/>
            <w:tcBorders>
              <w:left w:val="single" w:sz="4" w:space="0" w:color="auto"/>
              <w:bottom w:val="single" w:sz="4" w:space="0" w:color="auto"/>
            </w:tcBorders>
            <w:vAlign w:val="center"/>
            <w:hideMark/>
          </w:tcPr>
          <w:p w14:paraId="74037598" w14:textId="67C8E6F9" w:rsidR="005905B3" w:rsidRPr="004D2F05" w:rsidRDefault="005905B3" w:rsidP="00316F0A">
            <w:pPr>
              <w:spacing w:after="0"/>
              <w:rPr>
                <w:rFonts w:ascii="EC Square Sans Cond Pro" w:hAnsi="EC Square Sans Cond Pro"/>
                <w:noProof/>
                <w:sz w:val="18"/>
                <w:szCs w:val="14"/>
                <w:lang w:val="en-IE"/>
              </w:rPr>
            </w:pPr>
          </w:p>
        </w:tc>
        <w:tc>
          <w:tcPr>
            <w:tcW w:w="437" w:type="pct"/>
            <w:tcBorders>
              <w:top w:val="single" w:sz="4" w:space="0" w:color="auto"/>
              <w:left w:val="single" w:sz="4" w:space="0" w:color="auto"/>
              <w:bottom w:val="single" w:sz="4" w:space="0" w:color="auto"/>
              <w:right w:val="nil"/>
            </w:tcBorders>
            <w:shd w:val="clear" w:color="auto" w:fill="FFFFFF" w:themeFill="background1"/>
            <w:vAlign w:val="center"/>
            <w:hideMark/>
          </w:tcPr>
          <w:p w14:paraId="43C34EA4" w14:textId="5C36D24F" w:rsidR="005905B3" w:rsidRPr="004D2F05" w:rsidRDefault="005905B3" w:rsidP="00316F0A">
            <w:pPr>
              <w:spacing w:after="0"/>
              <w:jc w:val="center"/>
              <w:rPr>
                <w:rFonts w:ascii="EC Square Sans Cond Pro" w:hAnsi="EC Square Sans Cond Pro"/>
                <w:b/>
                <w:noProof/>
                <w:sz w:val="18"/>
                <w:szCs w:val="14"/>
                <w:lang w:val="en-IE"/>
              </w:rPr>
            </w:pPr>
            <w:r w:rsidRPr="004D2F05">
              <w:rPr>
                <w:rFonts w:ascii="EC Square Sans Cond Pro" w:hAnsi="EC Square Sans Cond Pro"/>
                <w:b/>
                <w:noProof/>
                <w:sz w:val="18"/>
                <w:szCs w:val="14"/>
                <w:lang w:val="en-IE"/>
              </w:rPr>
              <w:t>S1</w:t>
            </w:r>
          </w:p>
        </w:tc>
        <w:tc>
          <w:tcPr>
            <w:tcW w:w="438" w:type="pct"/>
            <w:tcBorders>
              <w:top w:val="single" w:sz="4" w:space="0" w:color="auto"/>
              <w:left w:val="nil"/>
              <w:bottom w:val="single" w:sz="4" w:space="0" w:color="auto"/>
              <w:right w:val="nil"/>
            </w:tcBorders>
            <w:shd w:val="clear" w:color="auto" w:fill="FFFFFF" w:themeFill="background1"/>
            <w:vAlign w:val="center"/>
            <w:hideMark/>
          </w:tcPr>
          <w:p w14:paraId="36ACBE53" w14:textId="2B54118C" w:rsidR="005905B3" w:rsidRPr="004D2F05" w:rsidRDefault="005905B3" w:rsidP="00316F0A">
            <w:pPr>
              <w:spacing w:after="0"/>
              <w:jc w:val="center"/>
              <w:rPr>
                <w:rFonts w:ascii="EC Square Sans Cond Pro" w:hAnsi="EC Square Sans Cond Pro"/>
                <w:b/>
                <w:noProof/>
                <w:sz w:val="18"/>
                <w:szCs w:val="14"/>
                <w:lang w:val="en-IE"/>
              </w:rPr>
            </w:pPr>
            <w:r w:rsidRPr="004D2F05">
              <w:rPr>
                <w:rFonts w:ascii="EC Square Sans Cond Pro" w:hAnsi="EC Square Sans Cond Pro"/>
                <w:b/>
                <w:noProof/>
                <w:sz w:val="18"/>
                <w:szCs w:val="14"/>
                <w:lang w:val="en-IE"/>
              </w:rPr>
              <w:t>S2</w:t>
            </w:r>
          </w:p>
        </w:tc>
        <w:tc>
          <w:tcPr>
            <w:tcW w:w="437" w:type="pct"/>
            <w:tcBorders>
              <w:top w:val="single" w:sz="4" w:space="0" w:color="auto"/>
              <w:left w:val="nil"/>
              <w:bottom w:val="single" w:sz="4" w:space="0" w:color="auto"/>
              <w:right w:val="nil"/>
            </w:tcBorders>
            <w:shd w:val="clear" w:color="auto" w:fill="FFFFFF" w:themeFill="background1"/>
            <w:vAlign w:val="center"/>
            <w:hideMark/>
          </w:tcPr>
          <w:p w14:paraId="1C0E3A57" w14:textId="3F2A90B4" w:rsidR="005905B3" w:rsidRPr="004D2F05" w:rsidRDefault="005905B3" w:rsidP="00316F0A">
            <w:pPr>
              <w:spacing w:after="0"/>
              <w:jc w:val="center"/>
              <w:rPr>
                <w:rFonts w:ascii="EC Square Sans Cond Pro" w:hAnsi="EC Square Sans Cond Pro"/>
                <w:b/>
                <w:noProof/>
                <w:sz w:val="18"/>
                <w:szCs w:val="14"/>
                <w:lang w:val="en-IE"/>
              </w:rPr>
            </w:pPr>
            <w:r w:rsidRPr="004D2F05">
              <w:rPr>
                <w:rFonts w:ascii="EC Square Sans Cond Pro" w:hAnsi="EC Square Sans Cond Pro"/>
                <w:b/>
                <w:noProof/>
                <w:sz w:val="18"/>
                <w:szCs w:val="14"/>
                <w:lang w:val="en-IE"/>
              </w:rPr>
              <w:t>S3</w:t>
            </w:r>
          </w:p>
        </w:tc>
        <w:tc>
          <w:tcPr>
            <w:tcW w:w="438" w:type="pct"/>
            <w:tcBorders>
              <w:top w:val="single" w:sz="4" w:space="0" w:color="auto"/>
              <w:left w:val="nil"/>
              <w:bottom w:val="single" w:sz="4" w:space="0" w:color="auto"/>
              <w:right w:val="nil"/>
            </w:tcBorders>
            <w:shd w:val="clear" w:color="auto" w:fill="FFFFFF" w:themeFill="background1"/>
            <w:vAlign w:val="center"/>
            <w:hideMark/>
          </w:tcPr>
          <w:p w14:paraId="68E0DA51" w14:textId="536FC493" w:rsidR="005905B3" w:rsidRPr="004D2F05" w:rsidRDefault="005905B3" w:rsidP="00316F0A">
            <w:pPr>
              <w:spacing w:after="0"/>
              <w:jc w:val="center"/>
              <w:rPr>
                <w:rFonts w:ascii="EC Square Sans Cond Pro" w:hAnsi="EC Square Sans Cond Pro"/>
                <w:b/>
                <w:noProof/>
                <w:sz w:val="18"/>
                <w:szCs w:val="14"/>
                <w:lang w:val="en-IE"/>
              </w:rPr>
            </w:pPr>
            <w:r w:rsidRPr="004D2F05">
              <w:rPr>
                <w:rFonts w:ascii="EC Square Sans Cond Pro" w:hAnsi="EC Square Sans Cond Pro"/>
                <w:b/>
                <w:noProof/>
                <w:sz w:val="18"/>
                <w:szCs w:val="14"/>
                <w:lang w:val="en-IE"/>
              </w:rPr>
              <w:t>LIFE</w:t>
            </w:r>
          </w:p>
        </w:tc>
        <w:tc>
          <w:tcPr>
            <w:tcW w:w="449" w:type="pct"/>
            <w:tcBorders>
              <w:top w:val="single" w:sz="4" w:space="0" w:color="auto"/>
              <w:left w:val="single" w:sz="4" w:space="0" w:color="auto"/>
              <w:bottom w:val="single" w:sz="4" w:space="0" w:color="auto"/>
              <w:right w:val="nil"/>
            </w:tcBorders>
            <w:shd w:val="clear" w:color="auto" w:fill="FFFFFF" w:themeFill="background1"/>
            <w:vAlign w:val="center"/>
            <w:hideMark/>
          </w:tcPr>
          <w:p w14:paraId="152456E8" w14:textId="683AAA92" w:rsidR="005905B3" w:rsidRPr="004D2F05" w:rsidRDefault="005905B3" w:rsidP="00316F0A">
            <w:pPr>
              <w:spacing w:after="0"/>
              <w:jc w:val="center"/>
              <w:rPr>
                <w:rFonts w:ascii="EC Square Sans Cond Pro" w:hAnsi="EC Square Sans Cond Pro"/>
                <w:b/>
                <w:noProof/>
                <w:sz w:val="18"/>
                <w:szCs w:val="14"/>
                <w:lang w:val="en-IE"/>
              </w:rPr>
            </w:pPr>
            <w:r w:rsidRPr="004D2F05">
              <w:rPr>
                <w:rFonts w:ascii="EC Square Sans Cond Pro" w:hAnsi="EC Square Sans Cond Pro"/>
                <w:b/>
                <w:noProof/>
                <w:sz w:val="18"/>
                <w:szCs w:val="14"/>
                <w:lang w:val="en-IE"/>
              </w:rPr>
              <w:t>S1</w:t>
            </w:r>
          </w:p>
        </w:tc>
        <w:tc>
          <w:tcPr>
            <w:tcW w:w="449" w:type="pct"/>
            <w:tcBorders>
              <w:top w:val="single" w:sz="4" w:space="0" w:color="auto"/>
              <w:left w:val="nil"/>
              <w:bottom w:val="single" w:sz="4" w:space="0" w:color="auto"/>
              <w:right w:val="nil"/>
            </w:tcBorders>
            <w:shd w:val="clear" w:color="auto" w:fill="FFFFFF" w:themeFill="background1"/>
            <w:vAlign w:val="center"/>
            <w:hideMark/>
          </w:tcPr>
          <w:p w14:paraId="2E26B0F7" w14:textId="1CF64A04" w:rsidR="005905B3" w:rsidRPr="004D2F05" w:rsidRDefault="005905B3" w:rsidP="00316F0A">
            <w:pPr>
              <w:spacing w:after="0"/>
              <w:jc w:val="center"/>
              <w:rPr>
                <w:rFonts w:ascii="EC Square Sans Cond Pro" w:hAnsi="EC Square Sans Cond Pro"/>
                <w:b/>
                <w:noProof/>
                <w:sz w:val="18"/>
                <w:szCs w:val="14"/>
                <w:lang w:val="en-IE"/>
              </w:rPr>
            </w:pPr>
            <w:r w:rsidRPr="004D2F05">
              <w:rPr>
                <w:rFonts w:ascii="EC Square Sans Cond Pro" w:hAnsi="EC Square Sans Cond Pro"/>
                <w:b/>
                <w:noProof/>
                <w:sz w:val="18"/>
                <w:szCs w:val="14"/>
                <w:lang w:val="en-IE"/>
              </w:rPr>
              <w:t>S2</w:t>
            </w:r>
          </w:p>
        </w:tc>
        <w:tc>
          <w:tcPr>
            <w:tcW w:w="449" w:type="pct"/>
            <w:tcBorders>
              <w:top w:val="single" w:sz="4" w:space="0" w:color="auto"/>
              <w:left w:val="nil"/>
              <w:bottom w:val="single" w:sz="4" w:space="0" w:color="auto"/>
              <w:right w:val="nil"/>
            </w:tcBorders>
            <w:shd w:val="clear" w:color="auto" w:fill="FFFFFF" w:themeFill="background1"/>
            <w:vAlign w:val="center"/>
            <w:hideMark/>
          </w:tcPr>
          <w:p w14:paraId="1D5FAD6D" w14:textId="3154C65E" w:rsidR="005905B3" w:rsidRPr="004D2F05" w:rsidRDefault="005905B3" w:rsidP="00316F0A">
            <w:pPr>
              <w:spacing w:after="0"/>
              <w:jc w:val="center"/>
              <w:rPr>
                <w:rFonts w:ascii="EC Square Sans Cond Pro" w:hAnsi="EC Square Sans Cond Pro"/>
                <w:b/>
                <w:noProof/>
                <w:sz w:val="18"/>
                <w:szCs w:val="14"/>
                <w:lang w:val="en-IE"/>
              </w:rPr>
            </w:pPr>
            <w:r w:rsidRPr="004D2F05">
              <w:rPr>
                <w:rFonts w:ascii="EC Square Sans Cond Pro" w:hAnsi="EC Square Sans Cond Pro"/>
                <w:b/>
                <w:noProof/>
                <w:sz w:val="18"/>
                <w:szCs w:val="14"/>
                <w:lang w:val="en-IE"/>
              </w:rPr>
              <w:t>S3</w:t>
            </w:r>
          </w:p>
        </w:tc>
        <w:tc>
          <w:tcPr>
            <w:tcW w:w="448" w:type="pct"/>
            <w:tcBorders>
              <w:top w:val="single" w:sz="4" w:space="0" w:color="auto"/>
              <w:left w:val="nil"/>
              <w:bottom w:val="single" w:sz="4" w:space="0" w:color="auto"/>
              <w:right w:val="single" w:sz="4" w:space="0" w:color="auto"/>
            </w:tcBorders>
            <w:shd w:val="clear" w:color="auto" w:fill="FFFFFF" w:themeFill="background1"/>
            <w:vAlign w:val="center"/>
            <w:hideMark/>
          </w:tcPr>
          <w:p w14:paraId="7A8D0330" w14:textId="7AAC98B2" w:rsidR="005905B3" w:rsidRPr="004D2F05" w:rsidRDefault="005905B3" w:rsidP="00316F0A">
            <w:pPr>
              <w:spacing w:after="0"/>
              <w:jc w:val="center"/>
              <w:rPr>
                <w:rFonts w:ascii="EC Square Sans Cond Pro" w:hAnsi="EC Square Sans Cond Pro"/>
                <w:b/>
                <w:noProof/>
                <w:sz w:val="18"/>
                <w:szCs w:val="14"/>
                <w:lang w:val="en-IE"/>
              </w:rPr>
            </w:pPr>
            <w:r w:rsidRPr="004D2F05">
              <w:rPr>
                <w:rFonts w:ascii="EC Square Sans Cond Pro" w:hAnsi="EC Square Sans Cond Pro"/>
                <w:b/>
                <w:noProof/>
                <w:sz w:val="18"/>
                <w:szCs w:val="14"/>
                <w:lang w:val="en-IE"/>
              </w:rPr>
              <w:t>LIFE</w:t>
            </w:r>
          </w:p>
        </w:tc>
      </w:tr>
      <w:tr w:rsidR="005905B3" w:rsidRPr="006C450C" w14:paraId="10230EC0" w14:textId="1992DC0D" w:rsidTr="00316F0A">
        <w:trPr>
          <w:trHeight w:val="288"/>
        </w:trPr>
        <w:tc>
          <w:tcPr>
            <w:tcW w:w="1455" w:type="pct"/>
            <w:tcBorders>
              <w:top w:val="single" w:sz="4" w:space="0" w:color="auto"/>
              <w:left w:val="single" w:sz="4" w:space="0" w:color="auto"/>
              <w:bottom w:val="nil"/>
              <w:right w:val="nil"/>
            </w:tcBorders>
            <w:shd w:val="clear" w:color="auto" w:fill="FFFFFF" w:themeFill="background1"/>
            <w:noWrap/>
            <w:vAlign w:val="bottom"/>
            <w:hideMark/>
          </w:tcPr>
          <w:p w14:paraId="0219E878" w14:textId="5FB70B48" w:rsidR="005905B3" w:rsidRPr="004D2F05" w:rsidRDefault="005905B3" w:rsidP="00316F0A">
            <w:pPr>
              <w:spacing w:after="0"/>
              <w:rPr>
                <w:rFonts w:ascii="EC Square Sans Cond Pro" w:hAnsi="EC Square Sans Cond Pro"/>
                <w:noProof/>
                <w:sz w:val="18"/>
                <w:szCs w:val="14"/>
                <w:lang w:val="en-IE"/>
              </w:rPr>
            </w:pPr>
            <w:r w:rsidRPr="004D2F05">
              <w:rPr>
                <w:rFonts w:ascii="EC Square Sans Cond Pro" w:hAnsi="EC Square Sans Cond Pro"/>
                <w:noProof/>
                <w:sz w:val="18"/>
                <w:szCs w:val="14"/>
                <w:lang w:val="en-IE"/>
              </w:rPr>
              <w:t>Total (% of private consumption)</w:t>
            </w:r>
          </w:p>
        </w:tc>
        <w:tc>
          <w:tcPr>
            <w:tcW w:w="437" w:type="pct"/>
            <w:tcBorders>
              <w:top w:val="single" w:sz="4" w:space="0" w:color="auto"/>
              <w:left w:val="single" w:sz="4" w:space="0" w:color="auto"/>
              <w:bottom w:val="nil"/>
              <w:right w:val="nil"/>
            </w:tcBorders>
            <w:shd w:val="clear" w:color="auto" w:fill="FFFFFF" w:themeFill="background1"/>
            <w:noWrap/>
            <w:vAlign w:val="bottom"/>
            <w:hideMark/>
          </w:tcPr>
          <w:p w14:paraId="36F7F798" w14:textId="78DF681C" w:rsidR="005905B3" w:rsidRPr="004D2F05" w:rsidRDefault="005905B3" w:rsidP="00316F0A">
            <w:pPr>
              <w:spacing w:after="0"/>
              <w:jc w:val="right"/>
              <w:rPr>
                <w:rFonts w:ascii="EC Square Sans Cond Pro" w:hAnsi="EC Square Sans Cond Pro"/>
                <w:noProof/>
                <w:sz w:val="18"/>
                <w:szCs w:val="14"/>
                <w:lang w:val="en-IE"/>
              </w:rPr>
            </w:pPr>
            <w:r w:rsidRPr="004D2F05">
              <w:rPr>
                <w:rFonts w:ascii="EC Square Sans Cond Pro" w:hAnsi="EC Square Sans Cond Pro"/>
                <w:noProof/>
                <w:sz w:val="18"/>
                <w:szCs w:val="14"/>
              </w:rPr>
              <w:t>8.0%</w:t>
            </w:r>
          </w:p>
        </w:tc>
        <w:tc>
          <w:tcPr>
            <w:tcW w:w="438" w:type="pct"/>
            <w:tcBorders>
              <w:top w:val="single" w:sz="4" w:space="0" w:color="auto"/>
              <w:left w:val="nil"/>
              <w:bottom w:val="nil"/>
              <w:right w:val="nil"/>
            </w:tcBorders>
            <w:shd w:val="clear" w:color="auto" w:fill="FFFFFF" w:themeFill="background1"/>
            <w:noWrap/>
            <w:vAlign w:val="bottom"/>
            <w:hideMark/>
          </w:tcPr>
          <w:p w14:paraId="61E25E4E" w14:textId="6AF19DE6" w:rsidR="005905B3" w:rsidRPr="004D2F05" w:rsidRDefault="005905B3" w:rsidP="00316F0A">
            <w:pPr>
              <w:spacing w:after="0"/>
              <w:jc w:val="right"/>
              <w:rPr>
                <w:rFonts w:ascii="EC Square Sans Cond Pro" w:hAnsi="EC Square Sans Cond Pro"/>
                <w:noProof/>
                <w:sz w:val="18"/>
                <w:szCs w:val="14"/>
                <w:lang w:val="en-IE"/>
              </w:rPr>
            </w:pPr>
            <w:r w:rsidRPr="004D2F05">
              <w:rPr>
                <w:rFonts w:ascii="EC Square Sans Cond Pro" w:hAnsi="EC Square Sans Cond Pro"/>
                <w:noProof/>
                <w:sz w:val="18"/>
                <w:szCs w:val="14"/>
              </w:rPr>
              <w:t>8.1%</w:t>
            </w:r>
          </w:p>
        </w:tc>
        <w:tc>
          <w:tcPr>
            <w:tcW w:w="437" w:type="pct"/>
            <w:tcBorders>
              <w:top w:val="single" w:sz="4" w:space="0" w:color="auto"/>
              <w:left w:val="nil"/>
              <w:bottom w:val="nil"/>
              <w:right w:val="nil"/>
            </w:tcBorders>
            <w:shd w:val="clear" w:color="auto" w:fill="FFFFFF" w:themeFill="background1"/>
            <w:noWrap/>
            <w:vAlign w:val="bottom"/>
            <w:hideMark/>
          </w:tcPr>
          <w:p w14:paraId="4448D03F" w14:textId="7FD82504" w:rsidR="005905B3" w:rsidRPr="004D2F05" w:rsidRDefault="005905B3" w:rsidP="00316F0A">
            <w:pPr>
              <w:spacing w:after="0"/>
              <w:jc w:val="right"/>
              <w:rPr>
                <w:rFonts w:ascii="EC Square Sans Cond Pro" w:hAnsi="EC Square Sans Cond Pro"/>
                <w:noProof/>
                <w:sz w:val="18"/>
                <w:szCs w:val="14"/>
                <w:lang w:val="en-IE"/>
              </w:rPr>
            </w:pPr>
            <w:r w:rsidRPr="004D2F05">
              <w:rPr>
                <w:rFonts w:ascii="EC Square Sans Cond Pro" w:hAnsi="EC Square Sans Cond Pro"/>
                <w:noProof/>
                <w:sz w:val="18"/>
                <w:szCs w:val="14"/>
              </w:rPr>
              <w:t>8.2%</w:t>
            </w:r>
          </w:p>
        </w:tc>
        <w:tc>
          <w:tcPr>
            <w:tcW w:w="438" w:type="pct"/>
            <w:tcBorders>
              <w:top w:val="single" w:sz="4" w:space="0" w:color="auto"/>
              <w:left w:val="nil"/>
              <w:bottom w:val="nil"/>
              <w:right w:val="nil"/>
            </w:tcBorders>
            <w:shd w:val="clear" w:color="auto" w:fill="FFFFFF" w:themeFill="background1"/>
            <w:noWrap/>
            <w:vAlign w:val="bottom"/>
            <w:hideMark/>
          </w:tcPr>
          <w:p w14:paraId="3869C8AB" w14:textId="001DE006" w:rsidR="005905B3" w:rsidRPr="004D2F05" w:rsidRDefault="005905B3" w:rsidP="00316F0A">
            <w:pPr>
              <w:spacing w:after="0"/>
              <w:jc w:val="right"/>
              <w:rPr>
                <w:rFonts w:ascii="EC Square Sans Cond Pro" w:hAnsi="EC Square Sans Cond Pro"/>
                <w:noProof/>
                <w:sz w:val="18"/>
                <w:szCs w:val="14"/>
                <w:lang w:val="en-IE"/>
              </w:rPr>
            </w:pPr>
            <w:r w:rsidRPr="004D2F05">
              <w:rPr>
                <w:rFonts w:ascii="EC Square Sans Cond Pro" w:hAnsi="EC Square Sans Cond Pro"/>
                <w:noProof/>
                <w:sz w:val="18"/>
                <w:szCs w:val="14"/>
              </w:rPr>
              <w:t>8.1%</w:t>
            </w:r>
          </w:p>
        </w:tc>
        <w:tc>
          <w:tcPr>
            <w:tcW w:w="449" w:type="pct"/>
            <w:tcBorders>
              <w:top w:val="single" w:sz="4" w:space="0" w:color="auto"/>
              <w:left w:val="single" w:sz="4" w:space="0" w:color="auto"/>
              <w:bottom w:val="nil"/>
              <w:right w:val="nil"/>
            </w:tcBorders>
            <w:shd w:val="clear" w:color="auto" w:fill="FFFFFF" w:themeFill="background1"/>
            <w:noWrap/>
            <w:vAlign w:val="bottom"/>
            <w:hideMark/>
          </w:tcPr>
          <w:p w14:paraId="4D442269" w14:textId="3B0303CC" w:rsidR="005905B3" w:rsidRPr="004D2F05" w:rsidRDefault="005905B3" w:rsidP="00316F0A">
            <w:pPr>
              <w:spacing w:after="0"/>
              <w:jc w:val="right"/>
              <w:rPr>
                <w:rFonts w:ascii="EC Square Sans Cond Pro" w:hAnsi="EC Square Sans Cond Pro"/>
                <w:noProof/>
                <w:sz w:val="18"/>
                <w:szCs w:val="14"/>
                <w:lang w:val="en-IE"/>
              </w:rPr>
            </w:pPr>
            <w:r w:rsidRPr="004D2F05">
              <w:rPr>
                <w:rFonts w:ascii="EC Square Sans Cond Pro" w:hAnsi="EC Square Sans Cond Pro"/>
                <w:noProof/>
                <w:sz w:val="18"/>
                <w:szCs w:val="14"/>
              </w:rPr>
              <w:t>7.1%</w:t>
            </w:r>
          </w:p>
        </w:tc>
        <w:tc>
          <w:tcPr>
            <w:tcW w:w="449" w:type="pct"/>
            <w:tcBorders>
              <w:top w:val="single" w:sz="4" w:space="0" w:color="auto"/>
              <w:left w:val="nil"/>
              <w:bottom w:val="nil"/>
              <w:right w:val="nil"/>
            </w:tcBorders>
            <w:shd w:val="clear" w:color="auto" w:fill="FFFFFF" w:themeFill="background1"/>
            <w:noWrap/>
            <w:vAlign w:val="bottom"/>
            <w:hideMark/>
          </w:tcPr>
          <w:p w14:paraId="49E8EB43" w14:textId="64024861" w:rsidR="005905B3" w:rsidRPr="004D2F05" w:rsidRDefault="005905B3" w:rsidP="00316F0A">
            <w:pPr>
              <w:spacing w:after="0"/>
              <w:jc w:val="right"/>
              <w:rPr>
                <w:rFonts w:ascii="EC Square Sans Cond Pro" w:hAnsi="EC Square Sans Cond Pro"/>
                <w:noProof/>
                <w:sz w:val="18"/>
                <w:szCs w:val="14"/>
                <w:lang w:val="en-IE"/>
              </w:rPr>
            </w:pPr>
            <w:r w:rsidRPr="004D2F05">
              <w:rPr>
                <w:rFonts w:ascii="EC Square Sans Cond Pro" w:hAnsi="EC Square Sans Cond Pro"/>
                <w:noProof/>
                <w:sz w:val="18"/>
                <w:szCs w:val="14"/>
              </w:rPr>
              <w:t>7.</w:t>
            </w:r>
            <w:r w:rsidR="000A71F9">
              <w:rPr>
                <w:rFonts w:ascii="EC Square Sans Cond Pro" w:hAnsi="EC Square Sans Cond Pro"/>
                <w:noProof/>
                <w:sz w:val="18"/>
                <w:szCs w:val="14"/>
              </w:rPr>
              <w:t>1</w:t>
            </w:r>
            <w:r w:rsidRPr="004D2F05">
              <w:rPr>
                <w:rFonts w:ascii="EC Square Sans Cond Pro" w:hAnsi="EC Square Sans Cond Pro"/>
                <w:noProof/>
                <w:sz w:val="18"/>
                <w:szCs w:val="14"/>
              </w:rPr>
              <w:t>%</w:t>
            </w:r>
          </w:p>
        </w:tc>
        <w:tc>
          <w:tcPr>
            <w:tcW w:w="449" w:type="pct"/>
            <w:tcBorders>
              <w:top w:val="single" w:sz="4" w:space="0" w:color="auto"/>
              <w:left w:val="nil"/>
              <w:bottom w:val="nil"/>
              <w:right w:val="nil"/>
            </w:tcBorders>
            <w:shd w:val="clear" w:color="auto" w:fill="FFFFFF" w:themeFill="background1"/>
            <w:noWrap/>
            <w:vAlign w:val="bottom"/>
            <w:hideMark/>
          </w:tcPr>
          <w:p w14:paraId="0796505F" w14:textId="5175304D" w:rsidR="005905B3" w:rsidRPr="004D2F05" w:rsidRDefault="005905B3" w:rsidP="00316F0A">
            <w:pPr>
              <w:spacing w:after="0"/>
              <w:jc w:val="right"/>
              <w:rPr>
                <w:rFonts w:ascii="EC Square Sans Cond Pro" w:hAnsi="EC Square Sans Cond Pro"/>
                <w:noProof/>
                <w:sz w:val="18"/>
                <w:szCs w:val="14"/>
                <w:lang w:val="en-IE"/>
              </w:rPr>
            </w:pPr>
            <w:r w:rsidRPr="004D2F05">
              <w:rPr>
                <w:rFonts w:ascii="EC Square Sans Cond Pro" w:hAnsi="EC Square Sans Cond Pro"/>
                <w:noProof/>
                <w:sz w:val="18"/>
                <w:szCs w:val="14"/>
              </w:rPr>
              <w:t>7.</w:t>
            </w:r>
            <w:r w:rsidR="000A71F9">
              <w:rPr>
                <w:rFonts w:ascii="EC Square Sans Cond Pro" w:hAnsi="EC Square Sans Cond Pro"/>
                <w:noProof/>
                <w:sz w:val="18"/>
                <w:szCs w:val="14"/>
              </w:rPr>
              <w:t>1</w:t>
            </w:r>
            <w:r w:rsidRPr="004D2F05">
              <w:rPr>
                <w:rFonts w:ascii="EC Square Sans Cond Pro" w:hAnsi="EC Square Sans Cond Pro"/>
                <w:noProof/>
                <w:sz w:val="18"/>
                <w:szCs w:val="14"/>
              </w:rPr>
              <w:t>%</w:t>
            </w:r>
          </w:p>
        </w:tc>
        <w:tc>
          <w:tcPr>
            <w:tcW w:w="448" w:type="pct"/>
            <w:tcBorders>
              <w:top w:val="single" w:sz="4" w:space="0" w:color="auto"/>
              <w:left w:val="nil"/>
              <w:bottom w:val="nil"/>
              <w:right w:val="single" w:sz="4" w:space="0" w:color="auto"/>
            </w:tcBorders>
            <w:shd w:val="clear" w:color="auto" w:fill="FFFFFF" w:themeFill="background1"/>
            <w:noWrap/>
            <w:vAlign w:val="bottom"/>
            <w:hideMark/>
          </w:tcPr>
          <w:p w14:paraId="2C95F69F" w14:textId="5BB3BE28" w:rsidR="005905B3" w:rsidRPr="004D2F05" w:rsidRDefault="005905B3" w:rsidP="00316F0A">
            <w:pPr>
              <w:spacing w:after="0"/>
              <w:jc w:val="right"/>
              <w:rPr>
                <w:rFonts w:ascii="EC Square Sans Cond Pro" w:hAnsi="EC Square Sans Cond Pro"/>
                <w:noProof/>
                <w:sz w:val="18"/>
                <w:szCs w:val="14"/>
                <w:lang w:val="en-IE"/>
              </w:rPr>
            </w:pPr>
            <w:r w:rsidRPr="004D2F05">
              <w:rPr>
                <w:rFonts w:ascii="EC Square Sans Cond Pro" w:hAnsi="EC Square Sans Cond Pro"/>
                <w:noProof/>
                <w:sz w:val="18"/>
                <w:szCs w:val="14"/>
              </w:rPr>
              <w:t>7.0%</w:t>
            </w:r>
          </w:p>
        </w:tc>
      </w:tr>
      <w:tr w:rsidR="005905B3" w:rsidRPr="006C450C" w14:paraId="26E2D543" w14:textId="09CA321F" w:rsidTr="00316F0A">
        <w:trPr>
          <w:trHeight w:val="288"/>
        </w:trPr>
        <w:tc>
          <w:tcPr>
            <w:tcW w:w="1455" w:type="pct"/>
            <w:tcBorders>
              <w:top w:val="nil"/>
              <w:left w:val="single" w:sz="4" w:space="0" w:color="auto"/>
              <w:bottom w:val="nil"/>
              <w:right w:val="nil"/>
            </w:tcBorders>
            <w:shd w:val="clear" w:color="auto" w:fill="FFFFFF" w:themeFill="background1"/>
            <w:noWrap/>
            <w:vAlign w:val="bottom"/>
            <w:hideMark/>
          </w:tcPr>
          <w:p w14:paraId="2BF99F30" w14:textId="69D5152B" w:rsidR="005905B3" w:rsidRPr="004D2F05" w:rsidRDefault="005905B3" w:rsidP="00316F0A">
            <w:pPr>
              <w:spacing w:after="0"/>
              <w:rPr>
                <w:rFonts w:ascii="EC Square Sans Cond Pro" w:hAnsi="EC Square Sans Cond Pro"/>
                <w:noProof/>
                <w:sz w:val="18"/>
                <w:szCs w:val="14"/>
                <w:lang w:val="en-IE"/>
              </w:rPr>
            </w:pPr>
            <w:r w:rsidRPr="004D2F05">
              <w:rPr>
                <w:rFonts w:ascii="EC Square Sans Cond Pro" w:hAnsi="EC Square Sans Cond Pro"/>
                <w:noProof/>
                <w:sz w:val="18"/>
                <w:szCs w:val="14"/>
                <w:lang w:val="en-IE"/>
              </w:rPr>
              <w:t>Capital related costs</w:t>
            </w:r>
            <w:r>
              <w:rPr>
                <w:rFonts w:ascii="EC Square Sans Cond Pro" w:hAnsi="EC Square Sans Cond Pro"/>
                <w:noProof/>
                <w:sz w:val="18"/>
                <w:szCs w:val="14"/>
                <w:lang w:val="en-IE"/>
              </w:rPr>
              <w:t>*</w:t>
            </w:r>
          </w:p>
        </w:tc>
        <w:tc>
          <w:tcPr>
            <w:tcW w:w="437" w:type="pct"/>
            <w:tcBorders>
              <w:top w:val="nil"/>
              <w:left w:val="single" w:sz="4" w:space="0" w:color="auto"/>
              <w:bottom w:val="nil"/>
              <w:right w:val="nil"/>
            </w:tcBorders>
            <w:shd w:val="clear" w:color="auto" w:fill="FFFFFF" w:themeFill="background1"/>
            <w:noWrap/>
            <w:vAlign w:val="bottom"/>
            <w:hideMark/>
          </w:tcPr>
          <w:p w14:paraId="225CBA33" w14:textId="1535CB96" w:rsidR="005905B3" w:rsidRPr="004D2F05" w:rsidRDefault="005905B3" w:rsidP="00316F0A">
            <w:pPr>
              <w:spacing w:after="0"/>
              <w:jc w:val="right"/>
              <w:rPr>
                <w:rFonts w:ascii="EC Square Sans Cond Pro" w:hAnsi="EC Square Sans Cond Pro"/>
                <w:noProof/>
                <w:sz w:val="18"/>
                <w:szCs w:val="14"/>
                <w:lang w:val="en-IE"/>
              </w:rPr>
            </w:pPr>
            <w:r w:rsidRPr="004D2F05">
              <w:rPr>
                <w:rFonts w:ascii="EC Square Sans Cond Pro" w:hAnsi="EC Square Sans Cond Pro"/>
                <w:noProof/>
                <w:sz w:val="18"/>
                <w:szCs w:val="14"/>
              </w:rPr>
              <w:t>4.</w:t>
            </w:r>
            <w:r w:rsidR="000A71F9">
              <w:rPr>
                <w:rFonts w:ascii="EC Square Sans Cond Pro" w:hAnsi="EC Square Sans Cond Pro"/>
                <w:noProof/>
                <w:sz w:val="18"/>
                <w:szCs w:val="14"/>
              </w:rPr>
              <w:t>5</w:t>
            </w:r>
            <w:r w:rsidRPr="004D2F05">
              <w:rPr>
                <w:rFonts w:ascii="EC Square Sans Cond Pro" w:hAnsi="EC Square Sans Cond Pro"/>
                <w:noProof/>
                <w:sz w:val="18"/>
                <w:szCs w:val="14"/>
              </w:rPr>
              <w:t>%</w:t>
            </w:r>
          </w:p>
        </w:tc>
        <w:tc>
          <w:tcPr>
            <w:tcW w:w="438" w:type="pct"/>
            <w:tcBorders>
              <w:top w:val="nil"/>
              <w:left w:val="nil"/>
              <w:bottom w:val="nil"/>
              <w:right w:val="nil"/>
            </w:tcBorders>
            <w:shd w:val="clear" w:color="auto" w:fill="FFFFFF" w:themeFill="background1"/>
            <w:noWrap/>
            <w:vAlign w:val="bottom"/>
            <w:hideMark/>
          </w:tcPr>
          <w:p w14:paraId="5A5FEE1F" w14:textId="23897B3F" w:rsidR="005905B3" w:rsidRPr="004D2F05" w:rsidRDefault="005905B3" w:rsidP="00316F0A">
            <w:pPr>
              <w:spacing w:after="0"/>
              <w:jc w:val="right"/>
              <w:rPr>
                <w:rFonts w:ascii="EC Square Sans Cond Pro" w:hAnsi="EC Square Sans Cond Pro"/>
                <w:noProof/>
                <w:sz w:val="18"/>
                <w:szCs w:val="14"/>
                <w:lang w:val="en-IE"/>
              </w:rPr>
            </w:pPr>
            <w:r w:rsidRPr="004D2F05">
              <w:rPr>
                <w:rFonts w:ascii="EC Square Sans Cond Pro" w:hAnsi="EC Square Sans Cond Pro"/>
                <w:noProof/>
                <w:sz w:val="18"/>
                <w:szCs w:val="14"/>
              </w:rPr>
              <w:t>4.</w:t>
            </w:r>
            <w:r w:rsidR="000A71F9">
              <w:rPr>
                <w:rFonts w:ascii="EC Square Sans Cond Pro" w:hAnsi="EC Square Sans Cond Pro"/>
                <w:noProof/>
                <w:sz w:val="18"/>
                <w:szCs w:val="14"/>
              </w:rPr>
              <w:t>6</w:t>
            </w:r>
            <w:r w:rsidRPr="004D2F05">
              <w:rPr>
                <w:rFonts w:ascii="EC Square Sans Cond Pro" w:hAnsi="EC Square Sans Cond Pro"/>
                <w:noProof/>
                <w:sz w:val="18"/>
                <w:szCs w:val="14"/>
              </w:rPr>
              <w:t>%</w:t>
            </w:r>
          </w:p>
        </w:tc>
        <w:tc>
          <w:tcPr>
            <w:tcW w:w="437" w:type="pct"/>
            <w:tcBorders>
              <w:top w:val="nil"/>
              <w:left w:val="nil"/>
              <w:bottom w:val="nil"/>
              <w:right w:val="nil"/>
            </w:tcBorders>
            <w:shd w:val="clear" w:color="auto" w:fill="FFFFFF" w:themeFill="background1"/>
            <w:noWrap/>
            <w:vAlign w:val="bottom"/>
            <w:hideMark/>
          </w:tcPr>
          <w:p w14:paraId="2D3F12EC" w14:textId="5AE3C56A" w:rsidR="005905B3" w:rsidRPr="004D2F05" w:rsidRDefault="005905B3" w:rsidP="00316F0A">
            <w:pPr>
              <w:spacing w:after="0"/>
              <w:jc w:val="right"/>
              <w:rPr>
                <w:rFonts w:ascii="EC Square Sans Cond Pro" w:hAnsi="EC Square Sans Cond Pro"/>
                <w:noProof/>
                <w:sz w:val="18"/>
                <w:szCs w:val="14"/>
                <w:lang w:val="en-IE"/>
              </w:rPr>
            </w:pPr>
            <w:r w:rsidRPr="004D2F05">
              <w:rPr>
                <w:rFonts w:ascii="EC Square Sans Cond Pro" w:hAnsi="EC Square Sans Cond Pro"/>
                <w:noProof/>
                <w:sz w:val="18"/>
                <w:szCs w:val="14"/>
              </w:rPr>
              <w:t>4.</w:t>
            </w:r>
            <w:r w:rsidR="000A71F9">
              <w:rPr>
                <w:rFonts w:ascii="EC Square Sans Cond Pro" w:hAnsi="EC Square Sans Cond Pro"/>
                <w:noProof/>
                <w:sz w:val="18"/>
                <w:szCs w:val="14"/>
              </w:rPr>
              <w:t>7</w:t>
            </w:r>
            <w:r w:rsidRPr="004D2F05">
              <w:rPr>
                <w:rFonts w:ascii="EC Square Sans Cond Pro" w:hAnsi="EC Square Sans Cond Pro"/>
                <w:noProof/>
                <w:sz w:val="18"/>
                <w:szCs w:val="14"/>
              </w:rPr>
              <w:t>%</w:t>
            </w:r>
          </w:p>
        </w:tc>
        <w:tc>
          <w:tcPr>
            <w:tcW w:w="438" w:type="pct"/>
            <w:tcBorders>
              <w:top w:val="nil"/>
              <w:left w:val="nil"/>
              <w:bottom w:val="nil"/>
              <w:right w:val="nil"/>
            </w:tcBorders>
            <w:shd w:val="clear" w:color="auto" w:fill="FFFFFF" w:themeFill="background1"/>
            <w:noWrap/>
            <w:vAlign w:val="bottom"/>
            <w:hideMark/>
          </w:tcPr>
          <w:p w14:paraId="67C5C4A5" w14:textId="45A0CF85" w:rsidR="005905B3" w:rsidRPr="004D2F05" w:rsidRDefault="005905B3" w:rsidP="00316F0A">
            <w:pPr>
              <w:spacing w:after="0"/>
              <w:jc w:val="right"/>
              <w:rPr>
                <w:rFonts w:ascii="EC Square Sans Cond Pro" w:hAnsi="EC Square Sans Cond Pro"/>
                <w:noProof/>
                <w:sz w:val="18"/>
                <w:szCs w:val="14"/>
                <w:lang w:val="en-IE"/>
              </w:rPr>
            </w:pPr>
            <w:r w:rsidRPr="004D2F05">
              <w:rPr>
                <w:rFonts w:ascii="EC Square Sans Cond Pro" w:hAnsi="EC Square Sans Cond Pro"/>
                <w:noProof/>
                <w:sz w:val="18"/>
                <w:szCs w:val="14"/>
              </w:rPr>
              <w:t>4.</w:t>
            </w:r>
            <w:r w:rsidR="000A71F9">
              <w:rPr>
                <w:rFonts w:ascii="EC Square Sans Cond Pro" w:hAnsi="EC Square Sans Cond Pro"/>
                <w:noProof/>
                <w:sz w:val="18"/>
                <w:szCs w:val="14"/>
              </w:rPr>
              <w:t>6</w:t>
            </w:r>
            <w:r w:rsidRPr="004D2F05">
              <w:rPr>
                <w:rFonts w:ascii="EC Square Sans Cond Pro" w:hAnsi="EC Square Sans Cond Pro"/>
                <w:noProof/>
                <w:sz w:val="18"/>
                <w:szCs w:val="14"/>
              </w:rPr>
              <w:t>%</w:t>
            </w:r>
          </w:p>
        </w:tc>
        <w:tc>
          <w:tcPr>
            <w:tcW w:w="449" w:type="pct"/>
            <w:tcBorders>
              <w:top w:val="nil"/>
              <w:left w:val="single" w:sz="4" w:space="0" w:color="auto"/>
              <w:bottom w:val="nil"/>
              <w:right w:val="nil"/>
            </w:tcBorders>
            <w:shd w:val="clear" w:color="auto" w:fill="FFFFFF" w:themeFill="background1"/>
            <w:noWrap/>
            <w:vAlign w:val="bottom"/>
            <w:hideMark/>
          </w:tcPr>
          <w:p w14:paraId="2915D0C6" w14:textId="26319CB1" w:rsidR="005905B3" w:rsidRPr="004D2F05" w:rsidRDefault="005905B3" w:rsidP="00316F0A">
            <w:pPr>
              <w:spacing w:after="0"/>
              <w:jc w:val="right"/>
              <w:rPr>
                <w:rFonts w:ascii="EC Square Sans Cond Pro" w:hAnsi="EC Square Sans Cond Pro"/>
                <w:noProof/>
                <w:sz w:val="18"/>
                <w:szCs w:val="14"/>
                <w:lang w:val="en-IE"/>
              </w:rPr>
            </w:pPr>
            <w:r w:rsidRPr="004D2F05">
              <w:rPr>
                <w:rFonts w:ascii="EC Square Sans Cond Pro" w:hAnsi="EC Square Sans Cond Pro"/>
                <w:noProof/>
                <w:sz w:val="18"/>
                <w:szCs w:val="14"/>
              </w:rPr>
              <w:t>4.1%</w:t>
            </w:r>
          </w:p>
        </w:tc>
        <w:tc>
          <w:tcPr>
            <w:tcW w:w="449" w:type="pct"/>
            <w:tcBorders>
              <w:top w:val="nil"/>
              <w:left w:val="nil"/>
              <w:bottom w:val="nil"/>
              <w:right w:val="nil"/>
            </w:tcBorders>
            <w:shd w:val="clear" w:color="auto" w:fill="FFFFFF" w:themeFill="background1"/>
            <w:noWrap/>
            <w:vAlign w:val="bottom"/>
            <w:hideMark/>
          </w:tcPr>
          <w:p w14:paraId="44F705CF" w14:textId="45B3425E" w:rsidR="005905B3" w:rsidRPr="004D2F05" w:rsidRDefault="005905B3" w:rsidP="00316F0A">
            <w:pPr>
              <w:spacing w:after="0"/>
              <w:jc w:val="right"/>
              <w:rPr>
                <w:rFonts w:ascii="EC Square Sans Cond Pro" w:hAnsi="EC Square Sans Cond Pro"/>
                <w:noProof/>
                <w:sz w:val="18"/>
                <w:szCs w:val="14"/>
                <w:lang w:val="en-IE"/>
              </w:rPr>
            </w:pPr>
            <w:r w:rsidRPr="004D2F05">
              <w:rPr>
                <w:rFonts w:ascii="EC Square Sans Cond Pro" w:hAnsi="EC Square Sans Cond Pro"/>
                <w:noProof/>
                <w:sz w:val="18"/>
                <w:szCs w:val="14"/>
              </w:rPr>
              <w:t>4.</w:t>
            </w:r>
            <w:r w:rsidR="000A71F9">
              <w:rPr>
                <w:rFonts w:ascii="EC Square Sans Cond Pro" w:hAnsi="EC Square Sans Cond Pro"/>
                <w:noProof/>
                <w:sz w:val="18"/>
                <w:szCs w:val="14"/>
              </w:rPr>
              <w:t>1</w:t>
            </w:r>
            <w:r w:rsidRPr="004D2F05">
              <w:rPr>
                <w:rFonts w:ascii="EC Square Sans Cond Pro" w:hAnsi="EC Square Sans Cond Pro"/>
                <w:noProof/>
                <w:sz w:val="18"/>
                <w:szCs w:val="14"/>
              </w:rPr>
              <w:t>%</w:t>
            </w:r>
          </w:p>
        </w:tc>
        <w:tc>
          <w:tcPr>
            <w:tcW w:w="449" w:type="pct"/>
            <w:tcBorders>
              <w:top w:val="nil"/>
              <w:left w:val="nil"/>
              <w:bottom w:val="nil"/>
              <w:right w:val="nil"/>
            </w:tcBorders>
            <w:shd w:val="clear" w:color="auto" w:fill="FFFFFF" w:themeFill="background1"/>
            <w:noWrap/>
            <w:vAlign w:val="bottom"/>
            <w:hideMark/>
          </w:tcPr>
          <w:p w14:paraId="53A6B3C9" w14:textId="2F5F9AD1" w:rsidR="005905B3" w:rsidRPr="004D2F05" w:rsidRDefault="005905B3" w:rsidP="00316F0A">
            <w:pPr>
              <w:spacing w:after="0"/>
              <w:jc w:val="right"/>
              <w:rPr>
                <w:rFonts w:ascii="EC Square Sans Cond Pro" w:hAnsi="EC Square Sans Cond Pro"/>
                <w:noProof/>
                <w:sz w:val="18"/>
                <w:szCs w:val="14"/>
                <w:lang w:val="en-IE"/>
              </w:rPr>
            </w:pPr>
            <w:r w:rsidRPr="004D2F05">
              <w:rPr>
                <w:rFonts w:ascii="EC Square Sans Cond Pro" w:hAnsi="EC Square Sans Cond Pro"/>
                <w:noProof/>
                <w:sz w:val="18"/>
                <w:szCs w:val="14"/>
              </w:rPr>
              <w:t>4.</w:t>
            </w:r>
            <w:r w:rsidR="000A71F9">
              <w:rPr>
                <w:rFonts w:ascii="EC Square Sans Cond Pro" w:hAnsi="EC Square Sans Cond Pro"/>
                <w:noProof/>
                <w:sz w:val="18"/>
                <w:szCs w:val="14"/>
              </w:rPr>
              <w:t>1</w:t>
            </w:r>
            <w:r w:rsidRPr="004D2F05">
              <w:rPr>
                <w:rFonts w:ascii="EC Square Sans Cond Pro" w:hAnsi="EC Square Sans Cond Pro"/>
                <w:noProof/>
                <w:sz w:val="18"/>
                <w:szCs w:val="14"/>
              </w:rPr>
              <w:t>%</w:t>
            </w:r>
          </w:p>
        </w:tc>
        <w:tc>
          <w:tcPr>
            <w:tcW w:w="448" w:type="pct"/>
            <w:tcBorders>
              <w:top w:val="nil"/>
              <w:left w:val="nil"/>
              <w:bottom w:val="nil"/>
              <w:right w:val="single" w:sz="4" w:space="0" w:color="auto"/>
            </w:tcBorders>
            <w:shd w:val="clear" w:color="auto" w:fill="FFFFFF" w:themeFill="background1"/>
            <w:noWrap/>
            <w:vAlign w:val="bottom"/>
            <w:hideMark/>
          </w:tcPr>
          <w:p w14:paraId="3D4BFAD7" w14:textId="3104374C" w:rsidR="005905B3" w:rsidRPr="004D2F05" w:rsidRDefault="005905B3" w:rsidP="00316F0A">
            <w:pPr>
              <w:spacing w:after="0"/>
              <w:jc w:val="right"/>
              <w:rPr>
                <w:rFonts w:ascii="EC Square Sans Cond Pro" w:hAnsi="EC Square Sans Cond Pro"/>
                <w:noProof/>
                <w:sz w:val="18"/>
                <w:szCs w:val="14"/>
                <w:lang w:val="en-IE"/>
              </w:rPr>
            </w:pPr>
            <w:r w:rsidRPr="004D2F05">
              <w:rPr>
                <w:rFonts w:ascii="EC Square Sans Cond Pro" w:hAnsi="EC Square Sans Cond Pro"/>
                <w:noProof/>
                <w:sz w:val="18"/>
                <w:szCs w:val="14"/>
              </w:rPr>
              <w:t>4.1%</w:t>
            </w:r>
          </w:p>
        </w:tc>
      </w:tr>
      <w:tr w:rsidR="005905B3" w:rsidRPr="006C450C" w14:paraId="03BDAA19" w14:textId="6B3F6385" w:rsidTr="00316F0A">
        <w:trPr>
          <w:trHeight w:val="288"/>
        </w:trPr>
        <w:tc>
          <w:tcPr>
            <w:tcW w:w="1455" w:type="pct"/>
            <w:tcBorders>
              <w:top w:val="nil"/>
              <w:left w:val="single" w:sz="4" w:space="0" w:color="auto"/>
              <w:bottom w:val="single" w:sz="4" w:space="0" w:color="auto"/>
              <w:right w:val="nil"/>
            </w:tcBorders>
            <w:shd w:val="clear" w:color="auto" w:fill="FFFFFF" w:themeFill="background1"/>
            <w:noWrap/>
            <w:vAlign w:val="bottom"/>
            <w:hideMark/>
          </w:tcPr>
          <w:p w14:paraId="671C25EF" w14:textId="55C3B125" w:rsidR="005905B3" w:rsidRPr="004D2F05" w:rsidRDefault="005905B3" w:rsidP="00316F0A">
            <w:pPr>
              <w:spacing w:after="0"/>
              <w:rPr>
                <w:rFonts w:ascii="EC Square Sans Cond Pro" w:hAnsi="EC Square Sans Cond Pro"/>
                <w:noProof/>
                <w:sz w:val="18"/>
                <w:szCs w:val="14"/>
                <w:lang w:val="en-IE"/>
              </w:rPr>
            </w:pPr>
            <w:r w:rsidRPr="004D2F05">
              <w:rPr>
                <w:rFonts w:ascii="EC Square Sans Cond Pro" w:hAnsi="EC Square Sans Cond Pro"/>
                <w:noProof/>
                <w:sz w:val="18"/>
                <w:szCs w:val="14"/>
                <w:lang w:val="en-IE"/>
              </w:rPr>
              <w:t>Energy purchases</w:t>
            </w:r>
            <w:r>
              <w:rPr>
                <w:rFonts w:ascii="EC Square Sans Cond Pro" w:hAnsi="EC Square Sans Cond Pro"/>
                <w:noProof/>
                <w:sz w:val="18"/>
                <w:szCs w:val="14"/>
                <w:lang w:val="en-IE"/>
              </w:rPr>
              <w:t>**</w:t>
            </w:r>
          </w:p>
        </w:tc>
        <w:tc>
          <w:tcPr>
            <w:tcW w:w="437" w:type="pct"/>
            <w:tcBorders>
              <w:top w:val="nil"/>
              <w:left w:val="single" w:sz="4" w:space="0" w:color="auto"/>
              <w:bottom w:val="single" w:sz="4" w:space="0" w:color="auto"/>
              <w:right w:val="nil"/>
            </w:tcBorders>
            <w:shd w:val="clear" w:color="auto" w:fill="FFFFFF" w:themeFill="background1"/>
            <w:noWrap/>
            <w:vAlign w:val="bottom"/>
            <w:hideMark/>
          </w:tcPr>
          <w:p w14:paraId="3DE81D50" w14:textId="0D534C18" w:rsidR="005905B3" w:rsidRPr="004D2F05" w:rsidRDefault="005905B3" w:rsidP="00316F0A">
            <w:pPr>
              <w:spacing w:after="0"/>
              <w:jc w:val="right"/>
              <w:rPr>
                <w:rFonts w:ascii="EC Square Sans Cond Pro" w:hAnsi="EC Square Sans Cond Pro"/>
                <w:noProof/>
                <w:sz w:val="18"/>
                <w:szCs w:val="14"/>
                <w:lang w:val="en-IE"/>
              </w:rPr>
            </w:pPr>
            <w:r w:rsidRPr="004D2F05">
              <w:rPr>
                <w:rFonts w:ascii="EC Square Sans Cond Pro" w:hAnsi="EC Square Sans Cond Pro"/>
                <w:noProof/>
                <w:sz w:val="18"/>
                <w:szCs w:val="14"/>
              </w:rPr>
              <w:t>3.4%</w:t>
            </w:r>
          </w:p>
        </w:tc>
        <w:tc>
          <w:tcPr>
            <w:tcW w:w="438" w:type="pct"/>
            <w:tcBorders>
              <w:top w:val="nil"/>
              <w:left w:val="nil"/>
              <w:bottom w:val="single" w:sz="4" w:space="0" w:color="auto"/>
              <w:right w:val="nil"/>
            </w:tcBorders>
            <w:shd w:val="clear" w:color="auto" w:fill="FFFFFF" w:themeFill="background1"/>
            <w:noWrap/>
            <w:vAlign w:val="bottom"/>
            <w:hideMark/>
          </w:tcPr>
          <w:p w14:paraId="0CB95797" w14:textId="2B1EE40B" w:rsidR="005905B3" w:rsidRPr="004D2F05" w:rsidRDefault="005905B3" w:rsidP="00316F0A">
            <w:pPr>
              <w:spacing w:after="0"/>
              <w:jc w:val="right"/>
              <w:rPr>
                <w:rFonts w:ascii="EC Square Sans Cond Pro" w:hAnsi="EC Square Sans Cond Pro"/>
                <w:noProof/>
                <w:sz w:val="18"/>
                <w:szCs w:val="14"/>
                <w:lang w:val="en-IE"/>
              </w:rPr>
            </w:pPr>
            <w:r w:rsidRPr="004D2F05">
              <w:rPr>
                <w:rFonts w:ascii="EC Square Sans Cond Pro" w:hAnsi="EC Square Sans Cond Pro"/>
                <w:noProof/>
                <w:sz w:val="18"/>
                <w:szCs w:val="14"/>
              </w:rPr>
              <w:t>3.</w:t>
            </w:r>
            <w:r w:rsidR="000A71F9">
              <w:rPr>
                <w:rFonts w:ascii="EC Square Sans Cond Pro" w:hAnsi="EC Square Sans Cond Pro"/>
                <w:noProof/>
                <w:sz w:val="18"/>
                <w:szCs w:val="14"/>
              </w:rPr>
              <w:t>5</w:t>
            </w:r>
            <w:r w:rsidRPr="004D2F05">
              <w:rPr>
                <w:rFonts w:ascii="EC Square Sans Cond Pro" w:hAnsi="EC Square Sans Cond Pro"/>
                <w:noProof/>
                <w:sz w:val="18"/>
                <w:szCs w:val="14"/>
              </w:rPr>
              <w:t>%</w:t>
            </w:r>
          </w:p>
        </w:tc>
        <w:tc>
          <w:tcPr>
            <w:tcW w:w="437" w:type="pct"/>
            <w:tcBorders>
              <w:top w:val="nil"/>
              <w:left w:val="nil"/>
              <w:bottom w:val="single" w:sz="4" w:space="0" w:color="auto"/>
              <w:right w:val="nil"/>
            </w:tcBorders>
            <w:shd w:val="clear" w:color="auto" w:fill="FFFFFF" w:themeFill="background1"/>
            <w:noWrap/>
            <w:vAlign w:val="bottom"/>
            <w:hideMark/>
          </w:tcPr>
          <w:p w14:paraId="3D61E0F2" w14:textId="10771471" w:rsidR="005905B3" w:rsidRPr="004D2F05" w:rsidRDefault="005905B3" w:rsidP="00316F0A">
            <w:pPr>
              <w:spacing w:after="0"/>
              <w:jc w:val="right"/>
              <w:rPr>
                <w:rFonts w:ascii="EC Square Sans Cond Pro" w:hAnsi="EC Square Sans Cond Pro"/>
                <w:noProof/>
                <w:sz w:val="18"/>
                <w:szCs w:val="14"/>
                <w:lang w:val="en-IE"/>
              </w:rPr>
            </w:pPr>
            <w:r w:rsidRPr="004D2F05">
              <w:rPr>
                <w:rFonts w:ascii="EC Square Sans Cond Pro" w:hAnsi="EC Square Sans Cond Pro"/>
                <w:noProof/>
                <w:sz w:val="18"/>
                <w:szCs w:val="14"/>
              </w:rPr>
              <w:t>3.</w:t>
            </w:r>
            <w:r w:rsidR="000A71F9">
              <w:rPr>
                <w:rFonts w:ascii="EC Square Sans Cond Pro" w:hAnsi="EC Square Sans Cond Pro"/>
                <w:noProof/>
                <w:sz w:val="18"/>
                <w:szCs w:val="14"/>
              </w:rPr>
              <w:t>5</w:t>
            </w:r>
            <w:r w:rsidRPr="004D2F05">
              <w:rPr>
                <w:rFonts w:ascii="EC Square Sans Cond Pro" w:hAnsi="EC Square Sans Cond Pro"/>
                <w:noProof/>
                <w:sz w:val="18"/>
                <w:szCs w:val="14"/>
              </w:rPr>
              <w:t>%</w:t>
            </w:r>
          </w:p>
        </w:tc>
        <w:tc>
          <w:tcPr>
            <w:tcW w:w="438" w:type="pct"/>
            <w:tcBorders>
              <w:top w:val="nil"/>
              <w:left w:val="nil"/>
              <w:bottom w:val="single" w:sz="4" w:space="0" w:color="auto"/>
              <w:right w:val="nil"/>
            </w:tcBorders>
            <w:shd w:val="clear" w:color="auto" w:fill="FFFFFF" w:themeFill="background1"/>
            <w:noWrap/>
            <w:vAlign w:val="bottom"/>
            <w:hideMark/>
          </w:tcPr>
          <w:p w14:paraId="6EFF7A61" w14:textId="200265E5" w:rsidR="005905B3" w:rsidRPr="004D2F05" w:rsidRDefault="005905B3" w:rsidP="00316F0A">
            <w:pPr>
              <w:spacing w:after="0"/>
              <w:jc w:val="right"/>
              <w:rPr>
                <w:rFonts w:ascii="EC Square Sans Cond Pro" w:hAnsi="EC Square Sans Cond Pro"/>
                <w:noProof/>
                <w:sz w:val="18"/>
                <w:szCs w:val="14"/>
                <w:lang w:val="en-IE"/>
              </w:rPr>
            </w:pPr>
            <w:r w:rsidRPr="004D2F05">
              <w:rPr>
                <w:rFonts w:ascii="EC Square Sans Cond Pro" w:hAnsi="EC Square Sans Cond Pro"/>
                <w:noProof/>
                <w:sz w:val="18"/>
                <w:szCs w:val="14"/>
              </w:rPr>
              <w:t>3.4%</w:t>
            </w:r>
          </w:p>
        </w:tc>
        <w:tc>
          <w:tcPr>
            <w:tcW w:w="449" w:type="pct"/>
            <w:tcBorders>
              <w:top w:val="nil"/>
              <w:left w:val="single" w:sz="4" w:space="0" w:color="auto"/>
              <w:bottom w:val="single" w:sz="4" w:space="0" w:color="auto"/>
              <w:right w:val="nil"/>
            </w:tcBorders>
            <w:shd w:val="clear" w:color="auto" w:fill="FFFFFF" w:themeFill="background1"/>
            <w:noWrap/>
            <w:vAlign w:val="bottom"/>
            <w:hideMark/>
          </w:tcPr>
          <w:p w14:paraId="5A06CC9B" w14:textId="3B41A4E2" w:rsidR="005905B3" w:rsidRPr="004D2F05" w:rsidRDefault="005905B3" w:rsidP="00316F0A">
            <w:pPr>
              <w:spacing w:after="0"/>
              <w:jc w:val="right"/>
              <w:rPr>
                <w:rFonts w:ascii="EC Square Sans Cond Pro" w:hAnsi="EC Square Sans Cond Pro"/>
                <w:noProof/>
                <w:sz w:val="18"/>
                <w:szCs w:val="14"/>
                <w:lang w:val="en-IE"/>
              </w:rPr>
            </w:pPr>
            <w:r w:rsidRPr="004D2F05">
              <w:rPr>
                <w:rFonts w:ascii="EC Square Sans Cond Pro" w:hAnsi="EC Square Sans Cond Pro"/>
                <w:noProof/>
                <w:sz w:val="18"/>
                <w:szCs w:val="14"/>
              </w:rPr>
              <w:t>3.0%</w:t>
            </w:r>
          </w:p>
        </w:tc>
        <w:tc>
          <w:tcPr>
            <w:tcW w:w="449" w:type="pct"/>
            <w:tcBorders>
              <w:top w:val="nil"/>
              <w:left w:val="nil"/>
              <w:bottom w:val="single" w:sz="4" w:space="0" w:color="auto"/>
              <w:right w:val="nil"/>
            </w:tcBorders>
            <w:shd w:val="clear" w:color="auto" w:fill="FFFFFF" w:themeFill="background1"/>
            <w:noWrap/>
            <w:vAlign w:val="bottom"/>
            <w:hideMark/>
          </w:tcPr>
          <w:p w14:paraId="51E42967" w14:textId="421997EC" w:rsidR="005905B3" w:rsidRPr="004D2F05" w:rsidRDefault="005905B3" w:rsidP="00316F0A">
            <w:pPr>
              <w:spacing w:after="0"/>
              <w:jc w:val="right"/>
              <w:rPr>
                <w:rFonts w:ascii="EC Square Sans Cond Pro" w:hAnsi="EC Square Sans Cond Pro"/>
                <w:noProof/>
                <w:sz w:val="18"/>
                <w:szCs w:val="14"/>
                <w:lang w:val="en-IE"/>
              </w:rPr>
            </w:pPr>
            <w:r w:rsidRPr="004D2F05">
              <w:rPr>
                <w:rFonts w:ascii="EC Square Sans Cond Pro" w:hAnsi="EC Square Sans Cond Pro"/>
                <w:noProof/>
                <w:sz w:val="18"/>
                <w:szCs w:val="14"/>
              </w:rPr>
              <w:t>3.0%</w:t>
            </w:r>
          </w:p>
        </w:tc>
        <w:tc>
          <w:tcPr>
            <w:tcW w:w="449" w:type="pct"/>
            <w:tcBorders>
              <w:top w:val="nil"/>
              <w:left w:val="nil"/>
              <w:bottom w:val="single" w:sz="4" w:space="0" w:color="auto"/>
              <w:right w:val="nil"/>
            </w:tcBorders>
            <w:shd w:val="clear" w:color="auto" w:fill="FFFFFF" w:themeFill="background1"/>
            <w:noWrap/>
            <w:vAlign w:val="bottom"/>
            <w:hideMark/>
          </w:tcPr>
          <w:p w14:paraId="39153F1E" w14:textId="17A5801A" w:rsidR="005905B3" w:rsidRPr="004D2F05" w:rsidRDefault="005905B3" w:rsidP="00316F0A">
            <w:pPr>
              <w:spacing w:after="0"/>
              <w:jc w:val="right"/>
              <w:rPr>
                <w:rFonts w:ascii="EC Square Sans Cond Pro" w:hAnsi="EC Square Sans Cond Pro"/>
                <w:noProof/>
                <w:sz w:val="18"/>
                <w:szCs w:val="14"/>
                <w:lang w:val="en-IE"/>
              </w:rPr>
            </w:pPr>
            <w:r w:rsidRPr="004D2F05">
              <w:rPr>
                <w:rFonts w:ascii="EC Square Sans Cond Pro" w:hAnsi="EC Square Sans Cond Pro"/>
                <w:noProof/>
                <w:sz w:val="18"/>
                <w:szCs w:val="14"/>
              </w:rPr>
              <w:t>3.0%</w:t>
            </w:r>
          </w:p>
        </w:tc>
        <w:tc>
          <w:tcPr>
            <w:tcW w:w="448" w:type="pct"/>
            <w:tcBorders>
              <w:top w:val="nil"/>
              <w:left w:val="nil"/>
              <w:bottom w:val="single" w:sz="4" w:space="0" w:color="auto"/>
              <w:right w:val="single" w:sz="4" w:space="0" w:color="auto"/>
            </w:tcBorders>
            <w:shd w:val="clear" w:color="auto" w:fill="FFFFFF" w:themeFill="background1"/>
            <w:noWrap/>
            <w:vAlign w:val="bottom"/>
            <w:hideMark/>
          </w:tcPr>
          <w:p w14:paraId="7F232E8C" w14:textId="41656E25" w:rsidR="005905B3" w:rsidRPr="004D2F05" w:rsidRDefault="005905B3" w:rsidP="00316F0A">
            <w:pPr>
              <w:spacing w:after="0"/>
              <w:jc w:val="right"/>
              <w:rPr>
                <w:rFonts w:ascii="EC Square Sans Cond Pro" w:hAnsi="EC Square Sans Cond Pro"/>
                <w:noProof/>
                <w:sz w:val="18"/>
                <w:szCs w:val="14"/>
                <w:lang w:val="en-IE"/>
              </w:rPr>
            </w:pPr>
            <w:r w:rsidRPr="004D2F05">
              <w:rPr>
                <w:rFonts w:ascii="EC Square Sans Cond Pro" w:hAnsi="EC Square Sans Cond Pro"/>
                <w:noProof/>
                <w:sz w:val="18"/>
                <w:szCs w:val="14"/>
              </w:rPr>
              <w:t>2.</w:t>
            </w:r>
            <w:r w:rsidR="000A71F9">
              <w:rPr>
                <w:rFonts w:ascii="EC Square Sans Cond Pro" w:hAnsi="EC Square Sans Cond Pro"/>
                <w:noProof/>
                <w:sz w:val="18"/>
                <w:szCs w:val="14"/>
              </w:rPr>
              <w:t>8</w:t>
            </w:r>
            <w:r w:rsidRPr="004D2F05">
              <w:rPr>
                <w:rFonts w:ascii="EC Square Sans Cond Pro" w:hAnsi="EC Square Sans Cond Pro"/>
                <w:noProof/>
                <w:sz w:val="18"/>
                <w:szCs w:val="14"/>
              </w:rPr>
              <w:t>%</w:t>
            </w:r>
          </w:p>
        </w:tc>
      </w:tr>
      <w:tr w:rsidR="005905B3" w:rsidRPr="006C450C" w14:paraId="10135DC8" w14:textId="61EC4E87" w:rsidTr="00316F0A">
        <w:trPr>
          <w:trHeight w:val="300"/>
        </w:trPr>
        <w:tc>
          <w:tcPr>
            <w:tcW w:w="1455"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1E3330AA" w14:textId="35F0E061" w:rsidR="005905B3" w:rsidRPr="004D2F05" w:rsidRDefault="005905B3" w:rsidP="00316F0A">
            <w:pPr>
              <w:spacing w:after="0"/>
              <w:rPr>
                <w:rFonts w:ascii="EC Square Sans Cond Pro" w:hAnsi="EC Square Sans Cond Pro"/>
                <w:b/>
                <w:noProof/>
                <w:sz w:val="18"/>
                <w:szCs w:val="14"/>
                <w:lang w:val="en-IE"/>
              </w:rPr>
            </w:pPr>
            <w:r w:rsidRPr="004D2F05">
              <w:rPr>
                <w:rFonts w:ascii="EC Square Sans Cond Pro" w:hAnsi="EC Square Sans Cond Pro"/>
                <w:b/>
                <w:noProof/>
                <w:sz w:val="18"/>
                <w:szCs w:val="14"/>
                <w:lang w:val="en-IE"/>
              </w:rPr>
              <w:t>Low Income Categories</w:t>
            </w:r>
          </w:p>
        </w:tc>
        <w:tc>
          <w:tcPr>
            <w:tcW w:w="437" w:type="pct"/>
            <w:tcBorders>
              <w:top w:val="nil"/>
              <w:left w:val="single" w:sz="4" w:space="0" w:color="auto"/>
              <w:bottom w:val="nil"/>
              <w:right w:val="nil"/>
            </w:tcBorders>
            <w:shd w:val="clear" w:color="auto" w:fill="FFFFFF" w:themeFill="background1"/>
            <w:vAlign w:val="center"/>
            <w:hideMark/>
          </w:tcPr>
          <w:p w14:paraId="2CDEAA59" w14:textId="52E736F0" w:rsidR="005905B3" w:rsidRPr="00A3137B" w:rsidRDefault="005905B3" w:rsidP="00316F0A">
            <w:pPr>
              <w:spacing w:after="0"/>
              <w:jc w:val="center"/>
              <w:rPr>
                <w:rFonts w:ascii="EC Square Sans Cond Pro" w:hAnsi="EC Square Sans Cond Pro"/>
                <w:b/>
                <w:noProof/>
                <w:sz w:val="18"/>
                <w:szCs w:val="14"/>
                <w:lang w:val="en-IE"/>
              </w:rPr>
            </w:pPr>
            <w:r w:rsidRPr="00A3137B">
              <w:rPr>
                <w:rFonts w:ascii="EC Square Sans Cond Pro" w:hAnsi="EC Square Sans Cond Pro"/>
                <w:b/>
                <w:noProof/>
                <w:sz w:val="18"/>
                <w:szCs w:val="14"/>
                <w:lang w:val="en-IE"/>
              </w:rPr>
              <w:t>S1</w:t>
            </w:r>
          </w:p>
        </w:tc>
        <w:tc>
          <w:tcPr>
            <w:tcW w:w="438" w:type="pct"/>
            <w:tcBorders>
              <w:top w:val="nil"/>
              <w:left w:val="nil"/>
              <w:bottom w:val="nil"/>
              <w:right w:val="nil"/>
            </w:tcBorders>
            <w:shd w:val="clear" w:color="auto" w:fill="FFFFFF" w:themeFill="background1"/>
            <w:vAlign w:val="center"/>
            <w:hideMark/>
          </w:tcPr>
          <w:p w14:paraId="7539E1D5" w14:textId="51D21336" w:rsidR="005905B3" w:rsidRPr="00A3137B" w:rsidRDefault="005905B3" w:rsidP="00316F0A">
            <w:pPr>
              <w:spacing w:after="0"/>
              <w:jc w:val="center"/>
              <w:rPr>
                <w:rFonts w:ascii="EC Square Sans Cond Pro" w:hAnsi="EC Square Sans Cond Pro"/>
                <w:b/>
                <w:noProof/>
                <w:sz w:val="18"/>
                <w:szCs w:val="14"/>
                <w:lang w:val="en-IE"/>
              </w:rPr>
            </w:pPr>
            <w:r w:rsidRPr="00A3137B">
              <w:rPr>
                <w:rFonts w:ascii="EC Square Sans Cond Pro" w:hAnsi="EC Square Sans Cond Pro"/>
                <w:b/>
                <w:noProof/>
                <w:sz w:val="18"/>
                <w:szCs w:val="14"/>
                <w:lang w:val="en-IE"/>
              </w:rPr>
              <w:t>S2</w:t>
            </w:r>
          </w:p>
        </w:tc>
        <w:tc>
          <w:tcPr>
            <w:tcW w:w="437" w:type="pct"/>
            <w:tcBorders>
              <w:top w:val="nil"/>
              <w:left w:val="nil"/>
              <w:bottom w:val="nil"/>
              <w:right w:val="nil"/>
            </w:tcBorders>
            <w:shd w:val="clear" w:color="auto" w:fill="FFFFFF" w:themeFill="background1"/>
            <w:vAlign w:val="center"/>
            <w:hideMark/>
          </w:tcPr>
          <w:p w14:paraId="4899AFD9" w14:textId="10D98DC8" w:rsidR="005905B3" w:rsidRPr="00A3137B" w:rsidRDefault="005905B3" w:rsidP="00316F0A">
            <w:pPr>
              <w:spacing w:after="0"/>
              <w:jc w:val="center"/>
              <w:rPr>
                <w:rFonts w:ascii="EC Square Sans Cond Pro" w:hAnsi="EC Square Sans Cond Pro"/>
                <w:b/>
                <w:noProof/>
                <w:sz w:val="18"/>
                <w:szCs w:val="14"/>
                <w:lang w:val="en-IE"/>
              </w:rPr>
            </w:pPr>
            <w:r w:rsidRPr="00A3137B">
              <w:rPr>
                <w:rFonts w:ascii="EC Square Sans Cond Pro" w:hAnsi="EC Square Sans Cond Pro"/>
                <w:b/>
                <w:noProof/>
                <w:sz w:val="18"/>
                <w:szCs w:val="14"/>
                <w:lang w:val="en-IE"/>
              </w:rPr>
              <w:t>S3</w:t>
            </w:r>
          </w:p>
        </w:tc>
        <w:tc>
          <w:tcPr>
            <w:tcW w:w="438" w:type="pct"/>
            <w:tcBorders>
              <w:top w:val="nil"/>
              <w:left w:val="nil"/>
              <w:bottom w:val="nil"/>
              <w:right w:val="nil"/>
            </w:tcBorders>
            <w:shd w:val="clear" w:color="auto" w:fill="FFFFFF" w:themeFill="background1"/>
            <w:vAlign w:val="center"/>
            <w:hideMark/>
          </w:tcPr>
          <w:p w14:paraId="4AFC0141" w14:textId="5BF19BC8" w:rsidR="005905B3" w:rsidRPr="00A3137B" w:rsidRDefault="005905B3" w:rsidP="00316F0A">
            <w:pPr>
              <w:spacing w:after="0"/>
              <w:jc w:val="center"/>
              <w:rPr>
                <w:rFonts w:ascii="EC Square Sans Cond Pro" w:hAnsi="EC Square Sans Cond Pro"/>
                <w:b/>
                <w:noProof/>
                <w:sz w:val="18"/>
                <w:szCs w:val="14"/>
                <w:lang w:val="en-IE"/>
              </w:rPr>
            </w:pPr>
            <w:r w:rsidRPr="00A3137B">
              <w:rPr>
                <w:rFonts w:ascii="EC Square Sans Cond Pro" w:hAnsi="EC Square Sans Cond Pro"/>
                <w:b/>
                <w:noProof/>
                <w:sz w:val="18"/>
                <w:szCs w:val="14"/>
                <w:lang w:val="en-IE"/>
              </w:rPr>
              <w:t>LIFE</w:t>
            </w:r>
          </w:p>
        </w:tc>
        <w:tc>
          <w:tcPr>
            <w:tcW w:w="449" w:type="pct"/>
            <w:tcBorders>
              <w:top w:val="nil"/>
              <w:left w:val="single" w:sz="4" w:space="0" w:color="auto"/>
              <w:bottom w:val="nil"/>
              <w:right w:val="nil"/>
            </w:tcBorders>
            <w:shd w:val="clear" w:color="auto" w:fill="FFFFFF" w:themeFill="background1"/>
            <w:vAlign w:val="center"/>
            <w:hideMark/>
          </w:tcPr>
          <w:p w14:paraId="40C90A42" w14:textId="0B912494" w:rsidR="005905B3" w:rsidRPr="00A3137B" w:rsidRDefault="005905B3" w:rsidP="00316F0A">
            <w:pPr>
              <w:spacing w:after="0"/>
              <w:jc w:val="center"/>
              <w:rPr>
                <w:rFonts w:ascii="EC Square Sans Cond Pro" w:hAnsi="EC Square Sans Cond Pro"/>
                <w:b/>
                <w:noProof/>
                <w:sz w:val="18"/>
                <w:szCs w:val="14"/>
                <w:lang w:val="en-IE"/>
              </w:rPr>
            </w:pPr>
            <w:r w:rsidRPr="00A3137B">
              <w:rPr>
                <w:rFonts w:ascii="EC Square Sans Cond Pro" w:hAnsi="EC Square Sans Cond Pro"/>
                <w:b/>
                <w:noProof/>
                <w:sz w:val="18"/>
                <w:szCs w:val="14"/>
                <w:lang w:val="en-IE"/>
              </w:rPr>
              <w:t>S1</w:t>
            </w:r>
          </w:p>
        </w:tc>
        <w:tc>
          <w:tcPr>
            <w:tcW w:w="449" w:type="pct"/>
            <w:tcBorders>
              <w:top w:val="nil"/>
              <w:left w:val="nil"/>
              <w:bottom w:val="nil"/>
              <w:right w:val="nil"/>
            </w:tcBorders>
            <w:shd w:val="clear" w:color="auto" w:fill="FFFFFF" w:themeFill="background1"/>
            <w:vAlign w:val="center"/>
            <w:hideMark/>
          </w:tcPr>
          <w:p w14:paraId="7B9B522D" w14:textId="3BC847AC" w:rsidR="005905B3" w:rsidRPr="00A3137B" w:rsidRDefault="005905B3" w:rsidP="00316F0A">
            <w:pPr>
              <w:spacing w:after="0"/>
              <w:jc w:val="center"/>
              <w:rPr>
                <w:rFonts w:ascii="EC Square Sans Cond Pro" w:hAnsi="EC Square Sans Cond Pro"/>
                <w:b/>
                <w:noProof/>
                <w:sz w:val="18"/>
                <w:szCs w:val="14"/>
                <w:lang w:val="en-IE"/>
              </w:rPr>
            </w:pPr>
            <w:r w:rsidRPr="00A3137B">
              <w:rPr>
                <w:rFonts w:ascii="EC Square Sans Cond Pro" w:hAnsi="EC Square Sans Cond Pro"/>
                <w:b/>
                <w:noProof/>
                <w:sz w:val="18"/>
                <w:szCs w:val="14"/>
                <w:lang w:val="en-IE"/>
              </w:rPr>
              <w:t>S2</w:t>
            </w:r>
          </w:p>
        </w:tc>
        <w:tc>
          <w:tcPr>
            <w:tcW w:w="449" w:type="pct"/>
            <w:tcBorders>
              <w:top w:val="nil"/>
              <w:left w:val="nil"/>
              <w:bottom w:val="nil"/>
              <w:right w:val="nil"/>
            </w:tcBorders>
            <w:shd w:val="clear" w:color="auto" w:fill="FFFFFF" w:themeFill="background1"/>
            <w:vAlign w:val="center"/>
            <w:hideMark/>
          </w:tcPr>
          <w:p w14:paraId="10AC7E23" w14:textId="77C31562" w:rsidR="005905B3" w:rsidRPr="00A3137B" w:rsidRDefault="005905B3" w:rsidP="00316F0A">
            <w:pPr>
              <w:spacing w:after="0"/>
              <w:jc w:val="center"/>
              <w:rPr>
                <w:rFonts w:ascii="EC Square Sans Cond Pro" w:hAnsi="EC Square Sans Cond Pro"/>
                <w:b/>
                <w:noProof/>
                <w:sz w:val="18"/>
                <w:szCs w:val="14"/>
                <w:lang w:val="en-IE"/>
              </w:rPr>
            </w:pPr>
            <w:r w:rsidRPr="00A3137B">
              <w:rPr>
                <w:rFonts w:ascii="EC Square Sans Cond Pro" w:hAnsi="EC Square Sans Cond Pro"/>
                <w:b/>
                <w:noProof/>
                <w:sz w:val="18"/>
                <w:szCs w:val="14"/>
                <w:lang w:val="en-IE"/>
              </w:rPr>
              <w:t>S3</w:t>
            </w:r>
          </w:p>
        </w:tc>
        <w:tc>
          <w:tcPr>
            <w:tcW w:w="448" w:type="pct"/>
            <w:tcBorders>
              <w:top w:val="nil"/>
              <w:left w:val="nil"/>
              <w:bottom w:val="nil"/>
              <w:right w:val="single" w:sz="4" w:space="0" w:color="auto"/>
            </w:tcBorders>
            <w:shd w:val="clear" w:color="auto" w:fill="FFFFFF" w:themeFill="background1"/>
            <w:vAlign w:val="center"/>
            <w:hideMark/>
          </w:tcPr>
          <w:p w14:paraId="446FCCDF" w14:textId="4A455C22" w:rsidR="005905B3" w:rsidRPr="00A3137B" w:rsidRDefault="005905B3" w:rsidP="00316F0A">
            <w:pPr>
              <w:spacing w:after="0"/>
              <w:jc w:val="center"/>
              <w:rPr>
                <w:rFonts w:ascii="EC Square Sans Cond Pro" w:hAnsi="EC Square Sans Cond Pro"/>
                <w:b/>
                <w:noProof/>
                <w:sz w:val="18"/>
                <w:szCs w:val="14"/>
                <w:lang w:val="en-IE"/>
              </w:rPr>
            </w:pPr>
            <w:r w:rsidRPr="00A3137B">
              <w:rPr>
                <w:rFonts w:ascii="EC Square Sans Cond Pro" w:hAnsi="EC Square Sans Cond Pro"/>
                <w:b/>
                <w:noProof/>
                <w:sz w:val="18"/>
                <w:szCs w:val="14"/>
                <w:lang w:val="en-IE"/>
              </w:rPr>
              <w:t>LIFE</w:t>
            </w:r>
          </w:p>
        </w:tc>
      </w:tr>
      <w:tr w:rsidR="005905B3" w:rsidRPr="006C450C" w14:paraId="705F6850" w14:textId="258653EB" w:rsidTr="00316F0A">
        <w:trPr>
          <w:trHeight w:val="288"/>
        </w:trPr>
        <w:tc>
          <w:tcPr>
            <w:tcW w:w="1455" w:type="pct"/>
            <w:tcBorders>
              <w:top w:val="nil"/>
              <w:left w:val="single" w:sz="4" w:space="0" w:color="auto"/>
              <w:bottom w:val="nil"/>
              <w:right w:val="nil"/>
            </w:tcBorders>
            <w:shd w:val="clear" w:color="auto" w:fill="FFFFFF" w:themeFill="background1"/>
            <w:noWrap/>
            <w:vAlign w:val="bottom"/>
            <w:hideMark/>
          </w:tcPr>
          <w:p w14:paraId="5201822B" w14:textId="6E073B32" w:rsidR="005905B3" w:rsidRPr="004D2F05" w:rsidRDefault="005905B3" w:rsidP="00316F0A">
            <w:pPr>
              <w:spacing w:after="0"/>
              <w:rPr>
                <w:rFonts w:ascii="EC Square Sans Cond Pro" w:hAnsi="EC Square Sans Cond Pro"/>
                <w:noProof/>
                <w:sz w:val="18"/>
                <w:szCs w:val="14"/>
                <w:lang w:val="en-IE"/>
              </w:rPr>
            </w:pPr>
            <w:r w:rsidRPr="004D2F05">
              <w:rPr>
                <w:rFonts w:ascii="EC Square Sans Cond Pro" w:hAnsi="EC Square Sans Cond Pro"/>
                <w:noProof/>
                <w:sz w:val="18"/>
                <w:szCs w:val="14"/>
                <w:lang w:val="en-IE"/>
              </w:rPr>
              <w:t>Total (% of private consumption)</w:t>
            </w:r>
          </w:p>
        </w:tc>
        <w:tc>
          <w:tcPr>
            <w:tcW w:w="437" w:type="pct"/>
            <w:tcBorders>
              <w:top w:val="single" w:sz="4" w:space="0" w:color="auto"/>
              <w:left w:val="single" w:sz="4" w:space="0" w:color="auto"/>
              <w:bottom w:val="nil"/>
              <w:right w:val="nil"/>
            </w:tcBorders>
            <w:shd w:val="clear" w:color="auto" w:fill="FFFFFF" w:themeFill="background1"/>
            <w:noWrap/>
            <w:vAlign w:val="bottom"/>
            <w:hideMark/>
          </w:tcPr>
          <w:p w14:paraId="1EEB9486" w14:textId="398317A8" w:rsidR="005905B3" w:rsidRPr="004D2F05" w:rsidRDefault="005905B3" w:rsidP="00316F0A">
            <w:pPr>
              <w:spacing w:after="0"/>
              <w:jc w:val="right"/>
              <w:rPr>
                <w:rFonts w:ascii="EC Square Sans Cond Pro" w:hAnsi="EC Square Sans Cond Pro"/>
                <w:noProof/>
                <w:sz w:val="18"/>
                <w:szCs w:val="14"/>
                <w:lang w:val="en-IE"/>
              </w:rPr>
            </w:pPr>
            <w:r w:rsidRPr="00ED07AC">
              <w:rPr>
                <w:rFonts w:ascii="EC Square Sans Cond Pro" w:hAnsi="EC Square Sans Cond Pro" w:cs="Calibri"/>
                <w:noProof/>
                <w:color w:val="000000"/>
                <w:sz w:val="18"/>
                <w:szCs w:val="18"/>
                <w:u w:val="single"/>
              </w:rPr>
              <w:t>14.0%</w:t>
            </w:r>
          </w:p>
        </w:tc>
        <w:tc>
          <w:tcPr>
            <w:tcW w:w="438" w:type="pct"/>
            <w:tcBorders>
              <w:top w:val="single" w:sz="4" w:space="0" w:color="auto"/>
              <w:left w:val="nil"/>
              <w:bottom w:val="nil"/>
              <w:right w:val="nil"/>
            </w:tcBorders>
            <w:shd w:val="clear" w:color="auto" w:fill="FFFFFF" w:themeFill="background1"/>
            <w:noWrap/>
            <w:vAlign w:val="bottom"/>
            <w:hideMark/>
          </w:tcPr>
          <w:p w14:paraId="4EAD978B" w14:textId="363A94A4" w:rsidR="005905B3" w:rsidRPr="004D2F05" w:rsidRDefault="005905B3" w:rsidP="00316F0A">
            <w:pPr>
              <w:spacing w:after="0"/>
              <w:jc w:val="right"/>
              <w:rPr>
                <w:rFonts w:ascii="EC Square Sans Cond Pro" w:hAnsi="EC Square Sans Cond Pro"/>
                <w:noProof/>
                <w:sz w:val="18"/>
                <w:szCs w:val="14"/>
                <w:lang w:val="en-IE"/>
              </w:rPr>
            </w:pPr>
            <w:r w:rsidRPr="00ED07AC">
              <w:rPr>
                <w:rFonts w:ascii="EC Square Sans Cond Pro" w:hAnsi="EC Square Sans Cond Pro" w:cs="Calibri"/>
                <w:noProof/>
                <w:color w:val="000000"/>
                <w:sz w:val="18"/>
                <w:szCs w:val="18"/>
                <w:u w:val="single"/>
              </w:rPr>
              <w:t>14.3%</w:t>
            </w:r>
          </w:p>
        </w:tc>
        <w:tc>
          <w:tcPr>
            <w:tcW w:w="437" w:type="pct"/>
            <w:tcBorders>
              <w:top w:val="single" w:sz="4" w:space="0" w:color="auto"/>
              <w:left w:val="nil"/>
              <w:bottom w:val="nil"/>
              <w:right w:val="nil"/>
            </w:tcBorders>
            <w:shd w:val="clear" w:color="auto" w:fill="FFFFFF" w:themeFill="background1"/>
            <w:noWrap/>
            <w:vAlign w:val="bottom"/>
            <w:hideMark/>
          </w:tcPr>
          <w:p w14:paraId="749B988B" w14:textId="440074BC" w:rsidR="005905B3" w:rsidRPr="004D2F05" w:rsidRDefault="005905B3" w:rsidP="00316F0A">
            <w:pPr>
              <w:spacing w:after="0"/>
              <w:jc w:val="right"/>
              <w:rPr>
                <w:rFonts w:ascii="EC Square Sans Cond Pro" w:hAnsi="EC Square Sans Cond Pro"/>
                <w:noProof/>
                <w:sz w:val="18"/>
                <w:szCs w:val="14"/>
                <w:lang w:val="en-IE"/>
              </w:rPr>
            </w:pPr>
            <w:r w:rsidRPr="00ED07AC">
              <w:rPr>
                <w:rFonts w:ascii="EC Square Sans Cond Pro" w:hAnsi="EC Square Sans Cond Pro" w:cs="Calibri"/>
                <w:noProof/>
                <w:color w:val="000000"/>
                <w:sz w:val="18"/>
                <w:szCs w:val="18"/>
                <w:u w:val="single"/>
              </w:rPr>
              <w:t>14.4%</w:t>
            </w:r>
          </w:p>
        </w:tc>
        <w:tc>
          <w:tcPr>
            <w:tcW w:w="438" w:type="pct"/>
            <w:tcBorders>
              <w:top w:val="single" w:sz="4" w:space="0" w:color="auto"/>
              <w:left w:val="nil"/>
              <w:bottom w:val="nil"/>
              <w:right w:val="nil"/>
            </w:tcBorders>
            <w:shd w:val="clear" w:color="auto" w:fill="FFFFFF" w:themeFill="background1"/>
            <w:noWrap/>
            <w:vAlign w:val="bottom"/>
            <w:hideMark/>
          </w:tcPr>
          <w:p w14:paraId="1037FFAA" w14:textId="558BE465" w:rsidR="005905B3" w:rsidRPr="004D2F05" w:rsidRDefault="005905B3" w:rsidP="00316F0A">
            <w:pPr>
              <w:spacing w:after="0"/>
              <w:jc w:val="right"/>
              <w:rPr>
                <w:rFonts w:ascii="EC Square Sans Cond Pro" w:hAnsi="EC Square Sans Cond Pro"/>
                <w:noProof/>
                <w:sz w:val="18"/>
                <w:szCs w:val="14"/>
                <w:lang w:val="en-IE"/>
              </w:rPr>
            </w:pPr>
            <w:r w:rsidRPr="00ED07AC">
              <w:rPr>
                <w:rFonts w:ascii="EC Square Sans Cond Pro" w:hAnsi="EC Square Sans Cond Pro" w:cs="Calibri"/>
                <w:noProof/>
                <w:color w:val="000000"/>
                <w:sz w:val="18"/>
                <w:szCs w:val="18"/>
                <w:u w:val="single"/>
              </w:rPr>
              <w:t>14.2%</w:t>
            </w:r>
          </w:p>
        </w:tc>
        <w:tc>
          <w:tcPr>
            <w:tcW w:w="449" w:type="pct"/>
            <w:tcBorders>
              <w:top w:val="single" w:sz="4" w:space="0" w:color="auto"/>
              <w:left w:val="single" w:sz="4" w:space="0" w:color="auto"/>
              <w:bottom w:val="nil"/>
              <w:right w:val="nil"/>
            </w:tcBorders>
            <w:shd w:val="clear" w:color="auto" w:fill="FFFFFF" w:themeFill="background1"/>
            <w:noWrap/>
            <w:vAlign w:val="bottom"/>
            <w:hideMark/>
          </w:tcPr>
          <w:p w14:paraId="4F57D747" w14:textId="29200B9E" w:rsidR="005905B3" w:rsidRPr="004D2F05" w:rsidRDefault="005905B3" w:rsidP="00316F0A">
            <w:pPr>
              <w:spacing w:after="0"/>
              <w:jc w:val="right"/>
              <w:rPr>
                <w:rFonts w:ascii="EC Square Sans Cond Pro" w:hAnsi="EC Square Sans Cond Pro"/>
                <w:noProof/>
                <w:sz w:val="18"/>
                <w:szCs w:val="14"/>
                <w:lang w:val="en-IE"/>
              </w:rPr>
            </w:pPr>
            <w:r w:rsidRPr="00ED07AC">
              <w:rPr>
                <w:rFonts w:ascii="EC Square Sans Cond Pro" w:hAnsi="EC Square Sans Cond Pro" w:cs="Calibri"/>
                <w:noProof/>
                <w:color w:val="000000"/>
                <w:sz w:val="18"/>
                <w:szCs w:val="18"/>
                <w:u w:val="single"/>
              </w:rPr>
              <w:t>12.0%</w:t>
            </w:r>
          </w:p>
        </w:tc>
        <w:tc>
          <w:tcPr>
            <w:tcW w:w="449" w:type="pct"/>
            <w:tcBorders>
              <w:top w:val="single" w:sz="4" w:space="0" w:color="auto"/>
              <w:left w:val="nil"/>
              <w:bottom w:val="nil"/>
              <w:right w:val="nil"/>
            </w:tcBorders>
            <w:shd w:val="clear" w:color="auto" w:fill="FFFFFF" w:themeFill="background1"/>
            <w:noWrap/>
            <w:vAlign w:val="bottom"/>
            <w:hideMark/>
          </w:tcPr>
          <w:p w14:paraId="77EA934F" w14:textId="055FE0E1" w:rsidR="005905B3" w:rsidRPr="004D2F05" w:rsidRDefault="005905B3" w:rsidP="00316F0A">
            <w:pPr>
              <w:spacing w:after="0"/>
              <w:jc w:val="right"/>
              <w:rPr>
                <w:rFonts w:ascii="EC Square Sans Cond Pro" w:hAnsi="EC Square Sans Cond Pro"/>
                <w:noProof/>
                <w:sz w:val="18"/>
                <w:szCs w:val="14"/>
                <w:lang w:val="en-IE"/>
              </w:rPr>
            </w:pPr>
            <w:r w:rsidRPr="00ED07AC">
              <w:rPr>
                <w:rFonts w:ascii="EC Square Sans Cond Pro" w:hAnsi="EC Square Sans Cond Pro" w:cs="Calibri"/>
                <w:noProof/>
                <w:color w:val="000000"/>
                <w:sz w:val="18"/>
                <w:szCs w:val="18"/>
                <w:u w:val="single"/>
              </w:rPr>
              <w:t>12.0%</w:t>
            </w:r>
          </w:p>
        </w:tc>
        <w:tc>
          <w:tcPr>
            <w:tcW w:w="449" w:type="pct"/>
            <w:tcBorders>
              <w:top w:val="single" w:sz="4" w:space="0" w:color="auto"/>
              <w:left w:val="nil"/>
              <w:bottom w:val="nil"/>
              <w:right w:val="nil"/>
            </w:tcBorders>
            <w:shd w:val="clear" w:color="auto" w:fill="FFFFFF" w:themeFill="background1"/>
            <w:noWrap/>
            <w:vAlign w:val="bottom"/>
            <w:hideMark/>
          </w:tcPr>
          <w:p w14:paraId="7D2239B4" w14:textId="7DB4A315" w:rsidR="005905B3" w:rsidRPr="004D2F05" w:rsidRDefault="005905B3" w:rsidP="00316F0A">
            <w:pPr>
              <w:spacing w:after="0"/>
              <w:jc w:val="right"/>
              <w:rPr>
                <w:rFonts w:ascii="EC Square Sans Cond Pro" w:hAnsi="EC Square Sans Cond Pro"/>
                <w:noProof/>
                <w:sz w:val="18"/>
                <w:szCs w:val="14"/>
                <w:lang w:val="en-IE"/>
              </w:rPr>
            </w:pPr>
            <w:r w:rsidRPr="00ED07AC">
              <w:rPr>
                <w:rFonts w:ascii="EC Square Sans Cond Pro" w:hAnsi="EC Square Sans Cond Pro" w:cs="Calibri"/>
                <w:noProof/>
                <w:color w:val="000000"/>
                <w:sz w:val="18"/>
                <w:szCs w:val="18"/>
                <w:u w:val="single"/>
              </w:rPr>
              <w:t>12.1%</w:t>
            </w:r>
          </w:p>
        </w:tc>
        <w:tc>
          <w:tcPr>
            <w:tcW w:w="448" w:type="pct"/>
            <w:tcBorders>
              <w:top w:val="single" w:sz="4" w:space="0" w:color="auto"/>
              <w:left w:val="nil"/>
              <w:bottom w:val="nil"/>
              <w:right w:val="single" w:sz="4" w:space="0" w:color="auto"/>
            </w:tcBorders>
            <w:shd w:val="clear" w:color="auto" w:fill="FFFFFF" w:themeFill="background1"/>
            <w:noWrap/>
            <w:vAlign w:val="bottom"/>
            <w:hideMark/>
          </w:tcPr>
          <w:p w14:paraId="250C9FE9" w14:textId="7FF99998" w:rsidR="005905B3" w:rsidRPr="004D2F05" w:rsidRDefault="005905B3" w:rsidP="00316F0A">
            <w:pPr>
              <w:spacing w:after="0"/>
              <w:jc w:val="right"/>
              <w:rPr>
                <w:rFonts w:ascii="EC Square Sans Cond Pro" w:hAnsi="EC Square Sans Cond Pro"/>
                <w:noProof/>
                <w:sz w:val="18"/>
                <w:szCs w:val="14"/>
                <w:lang w:val="en-IE"/>
              </w:rPr>
            </w:pPr>
            <w:r w:rsidRPr="00ED07AC">
              <w:rPr>
                <w:rFonts w:ascii="EC Square Sans Cond Pro" w:hAnsi="EC Square Sans Cond Pro" w:cs="Calibri"/>
                <w:noProof/>
                <w:color w:val="000000"/>
                <w:sz w:val="18"/>
                <w:szCs w:val="18"/>
                <w:u w:val="single"/>
              </w:rPr>
              <w:t>11.</w:t>
            </w:r>
            <w:r w:rsidR="004C7EEC">
              <w:rPr>
                <w:rFonts w:ascii="EC Square Sans Cond Pro" w:hAnsi="EC Square Sans Cond Pro" w:cs="Calibri"/>
                <w:noProof/>
                <w:color w:val="000000"/>
                <w:sz w:val="18"/>
                <w:szCs w:val="18"/>
                <w:u w:val="single"/>
              </w:rPr>
              <w:t>8</w:t>
            </w:r>
            <w:r w:rsidRPr="00ED07AC">
              <w:rPr>
                <w:rFonts w:ascii="EC Square Sans Cond Pro" w:hAnsi="EC Square Sans Cond Pro" w:cs="Calibri"/>
                <w:noProof/>
                <w:color w:val="000000"/>
                <w:sz w:val="18"/>
                <w:szCs w:val="18"/>
                <w:u w:val="single"/>
              </w:rPr>
              <w:t>%</w:t>
            </w:r>
          </w:p>
        </w:tc>
      </w:tr>
      <w:tr w:rsidR="005905B3" w:rsidRPr="006C450C" w14:paraId="3B14823D" w14:textId="5B857678" w:rsidTr="00316F0A">
        <w:trPr>
          <w:trHeight w:val="288"/>
        </w:trPr>
        <w:tc>
          <w:tcPr>
            <w:tcW w:w="1455" w:type="pct"/>
            <w:tcBorders>
              <w:top w:val="nil"/>
              <w:left w:val="single" w:sz="4" w:space="0" w:color="auto"/>
              <w:bottom w:val="nil"/>
              <w:right w:val="nil"/>
            </w:tcBorders>
            <w:shd w:val="clear" w:color="auto" w:fill="FFFFFF" w:themeFill="background1"/>
            <w:noWrap/>
            <w:vAlign w:val="bottom"/>
            <w:hideMark/>
          </w:tcPr>
          <w:p w14:paraId="1731A785" w14:textId="2AEC5704" w:rsidR="005905B3" w:rsidRPr="004D2F05" w:rsidRDefault="005905B3" w:rsidP="00316F0A">
            <w:pPr>
              <w:spacing w:after="0"/>
              <w:rPr>
                <w:rFonts w:ascii="EC Square Sans Cond Pro" w:hAnsi="EC Square Sans Cond Pro"/>
                <w:noProof/>
                <w:sz w:val="18"/>
                <w:szCs w:val="14"/>
                <w:lang w:val="en-IE"/>
              </w:rPr>
            </w:pPr>
            <w:r w:rsidRPr="004D2F05">
              <w:rPr>
                <w:rFonts w:ascii="EC Square Sans Cond Pro" w:hAnsi="EC Square Sans Cond Pro"/>
                <w:noProof/>
                <w:sz w:val="18"/>
                <w:szCs w:val="14"/>
                <w:lang w:val="en-IE"/>
              </w:rPr>
              <w:t>Capital related costs</w:t>
            </w:r>
          </w:p>
        </w:tc>
        <w:tc>
          <w:tcPr>
            <w:tcW w:w="437" w:type="pct"/>
            <w:tcBorders>
              <w:top w:val="nil"/>
              <w:left w:val="single" w:sz="4" w:space="0" w:color="auto"/>
              <w:bottom w:val="nil"/>
              <w:right w:val="nil"/>
            </w:tcBorders>
            <w:shd w:val="clear" w:color="auto" w:fill="FFFFFF" w:themeFill="background1"/>
            <w:noWrap/>
            <w:vAlign w:val="bottom"/>
            <w:hideMark/>
          </w:tcPr>
          <w:p w14:paraId="66F466DD" w14:textId="070BE298" w:rsidR="005905B3" w:rsidRPr="004D2F05" w:rsidRDefault="005905B3" w:rsidP="00316F0A">
            <w:pPr>
              <w:spacing w:after="0"/>
              <w:jc w:val="right"/>
              <w:rPr>
                <w:rFonts w:ascii="EC Square Sans Cond Pro" w:hAnsi="EC Square Sans Cond Pro"/>
                <w:noProof/>
                <w:sz w:val="18"/>
                <w:szCs w:val="14"/>
                <w:lang w:val="en-IE"/>
              </w:rPr>
            </w:pPr>
            <w:r w:rsidRPr="00ED07AC">
              <w:rPr>
                <w:rFonts w:ascii="EC Square Sans Cond Pro" w:hAnsi="EC Square Sans Cond Pro" w:cs="Calibri"/>
                <w:i/>
                <w:iCs/>
                <w:noProof/>
                <w:color w:val="000000"/>
                <w:sz w:val="18"/>
                <w:szCs w:val="18"/>
              </w:rPr>
              <w:t>7.8%</w:t>
            </w:r>
          </w:p>
        </w:tc>
        <w:tc>
          <w:tcPr>
            <w:tcW w:w="438" w:type="pct"/>
            <w:tcBorders>
              <w:top w:val="nil"/>
              <w:left w:val="nil"/>
              <w:bottom w:val="nil"/>
              <w:right w:val="nil"/>
            </w:tcBorders>
            <w:shd w:val="clear" w:color="auto" w:fill="FFFFFF" w:themeFill="background1"/>
            <w:noWrap/>
            <w:vAlign w:val="bottom"/>
            <w:hideMark/>
          </w:tcPr>
          <w:p w14:paraId="491B2C6A" w14:textId="27A5BEB7" w:rsidR="005905B3" w:rsidRPr="004D2F05" w:rsidRDefault="005905B3" w:rsidP="00316F0A">
            <w:pPr>
              <w:spacing w:after="0"/>
              <w:jc w:val="right"/>
              <w:rPr>
                <w:rFonts w:ascii="EC Square Sans Cond Pro" w:hAnsi="EC Square Sans Cond Pro"/>
                <w:noProof/>
                <w:sz w:val="18"/>
                <w:szCs w:val="14"/>
                <w:lang w:val="en-IE"/>
              </w:rPr>
            </w:pPr>
            <w:r w:rsidRPr="00ED07AC">
              <w:rPr>
                <w:rFonts w:ascii="EC Square Sans Cond Pro" w:hAnsi="EC Square Sans Cond Pro" w:cs="Calibri"/>
                <w:i/>
                <w:iCs/>
                <w:noProof/>
                <w:color w:val="000000"/>
                <w:sz w:val="18"/>
                <w:szCs w:val="18"/>
              </w:rPr>
              <w:t>7.9%</w:t>
            </w:r>
          </w:p>
        </w:tc>
        <w:tc>
          <w:tcPr>
            <w:tcW w:w="437" w:type="pct"/>
            <w:tcBorders>
              <w:top w:val="nil"/>
              <w:left w:val="nil"/>
              <w:bottom w:val="nil"/>
              <w:right w:val="nil"/>
            </w:tcBorders>
            <w:shd w:val="clear" w:color="auto" w:fill="FFFFFF" w:themeFill="background1"/>
            <w:noWrap/>
            <w:vAlign w:val="bottom"/>
            <w:hideMark/>
          </w:tcPr>
          <w:p w14:paraId="3283A936" w14:textId="336FB87F" w:rsidR="005905B3" w:rsidRPr="004D2F05" w:rsidRDefault="005905B3" w:rsidP="00316F0A">
            <w:pPr>
              <w:spacing w:after="0"/>
              <w:jc w:val="right"/>
              <w:rPr>
                <w:rFonts w:ascii="EC Square Sans Cond Pro" w:hAnsi="EC Square Sans Cond Pro"/>
                <w:noProof/>
                <w:sz w:val="18"/>
                <w:szCs w:val="14"/>
                <w:lang w:val="en-IE"/>
              </w:rPr>
            </w:pPr>
            <w:r w:rsidRPr="00ED07AC">
              <w:rPr>
                <w:rFonts w:ascii="EC Square Sans Cond Pro" w:hAnsi="EC Square Sans Cond Pro" w:cs="Calibri"/>
                <w:i/>
                <w:iCs/>
                <w:noProof/>
                <w:color w:val="000000"/>
                <w:sz w:val="18"/>
                <w:szCs w:val="18"/>
              </w:rPr>
              <w:t>8.1%</w:t>
            </w:r>
          </w:p>
        </w:tc>
        <w:tc>
          <w:tcPr>
            <w:tcW w:w="438" w:type="pct"/>
            <w:tcBorders>
              <w:top w:val="nil"/>
              <w:left w:val="nil"/>
              <w:bottom w:val="nil"/>
              <w:right w:val="nil"/>
            </w:tcBorders>
            <w:shd w:val="clear" w:color="auto" w:fill="FFFFFF" w:themeFill="background1"/>
            <w:noWrap/>
            <w:vAlign w:val="bottom"/>
            <w:hideMark/>
          </w:tcPr>
          <w:p w14:paraId="7FFF5A20" w14:textId="55DC4794" w:rsidR="005905B3" w:rsidRPr="004D2F05" w:rsidRDefault="005905B3" w:rsidP="00316F0A">
            <w:pPr>
              <w:spacing w:after="0"/>
              <w:jc w:val="right"/>
              <w:rPr>
                <w:rFonts w:ascii="EC Square Sans Cond Pro" w:hAnsi="EC Square Sans Cond Pro"/>
                <w:noProof/>
                <w:sz w:val="18"/>
                <w:szCs w:val="14"/>
                <w:lang w:val="en-IE"/>
              </w:rPr>
            </w:pPr>
            <w:r w:rsidRPr="00ED07AC">
              <w:rPr>
                <w:rFonts w:ascii="EC Square Sans Cond Pro" w:hAnsi="EC Square Sans Cond Pro" w:cs="Calibri"/>
                <w:i/>
                <w:iCs/>
                <w:noProof/>
                <w:color w:val="000000"/>
                <w:sz w:val="18"/>
                <w:szCs w:val="18"/>
              </w:rPr>
              <w:t>7.9%</w:t>
            </w:r>
          </w:p>
        </w:tc>
        <w:tc>
          <w:tcPr>
            <w:tcW w:w="449" w:type="pct"/>
            <w:tcBorders>
              <w:top w:val="nil"/>
              <w:left w:val="single" w:sz="4" w:space="0" w:color="auto"/>
              <w:bottom w:val="nil"/>
              <w:right w:val="nil"/>
            </w:tcBorders>
            <w:shd w:val="clear" w:color="auto" w:fill="FFFFFF" w:themeFill="background1"/>
            <w:noWrap/>
            <w:vAlign w:val="bottom"/>
            <w:hideMark/>
          </w:tcPr>
          <w:p w14:paraId="023171D8" w14:textId="2F62BDAB" w:rsidR="005905B3" w:rsidRPr="004D2F05" w:rsidRDefault="005905B3" w:rsidP="00316F0A">
            <w:pPr>
              <w:spacing w:after="0"/>
              <w:jc w:val="right"/>
              <w:rPr>
                <w:rFonts w:ascii="EC Square Sans Cond Pro" w:hAnsi="EC Square Sans Cond Pro"/>
                <w:noProof/>
                <w:sz w:val="18"/>
                <w:szCs w:val="14"/>
                <w:lang w:val="en-IE"/>
              </w:rPr>
            </w:pPr>
            <w:r w:rsidRPr="00ED07AC">
              <w:rPr>
                <w:rFonts w:ascii="EC Square Sans Cond Pro" w:hAnsi="EC Square Sans Cond Pro" w:cs="Calibri"/>
                <w:i/>
                <w:iCs/>
                <w:noProof/>
                <w:color w:val="000000"/>
                <w:sz w:val="18"/>
                <w:szCs w:val="18"/>
              </w:rPr>
              <w:t>6.5%</w:t>
            </w:r>
          </w:p>
        </w:tc>
        <w:tc>
          <w:tcPr>
            <w:tcW w:w="449" w:type="pct"/>
            <w:tcBorders>
              <w:top w:val="nil"/>
              <w:left w:val="nil"/>
              <w:bottom w:val="nil"/>
              <w:right w:val="nil"/>
            </w:tcBorders>
            <w:shd w:val="clear" w:color="auto" w:fill="FFFFFF" w:themeFill="background1"/>
            <w:noWrap/>
            <w:vAlign w:val="bottom"/>
            <w:hideMark/>
          </w:tcPr>
          <w:p w14:paraId="3DE91474" w14:textId="4A06167D" w:rsidR="005905B3" w:rsidRPr="004D2F05" w:rsidRDefault="005905B3" w:rsidP="00316F0A">
            <w:pPr>
              <w:spacing w:after="0"/>
              <w:jc w:val="right"/>
              <w:rPr>
                <w:rFonts w:ascii="EC Square Sans Cond Pro" w:hAnsi="EC Square Sans Cond Pro"/>
                <w:noProof/>
                <w:sz w:val="18"/>
                <w:szCs w:val="14"/>
                <w:lang w:val="en-IE"/>
              </w:rPr>
            </w:pPr>
            <w:r w:rsidRPr="00ED07AC">
              <w:rPr>
                <w:rFonts w:ascii="EC Square Sans Cond Pro" w:hAnsi="EC Square Sans Cond Pro" w:cs="Calibri"/>
                <w:i/>
                <w:iCs/>
                <w:noProof/>
                <w:color w:val="000000"/>
                <w:sz w:val="18"/>
                <w:szCs w:val="18"/>
              </w:rPr>
              <w:t>6.5%</w:t>
            </w:r>
          </w:p>
        </w:tc>
        <w:tc>
          <w:tcPr>
            <w:tcW w:w="449" w:type="pct"/>
            <w:tcBorders>
              <w:top w:val="nil"/>
              <w:left w:val="nil"/>
              <w:bottom w:val="nil"/>
              <w:right w:val="nil"/>
            </w:tcBorders>
            <w:shd w:val="clear" w:color="auto" w:fill="FFFFFF" w:themeFill="background1"/>
            <w:noWrap/>
            <w:vAlign w:val="bottom"/>
            <w:hideMark/>
          </w:tcPr>
          <w:p w14:paraId="31C28DB2" w14:textId="2DA4450F" w:rsidR="005905B3" w:rsidRPr="004D2F05" w:rsidRDefault="005905B3" w:rsidP="00316F0A">
            <w:pPr>
              <w:spacing w:after="0"/>
              <w:jc w:val="right"/>
              <w:rPr>
                <w:rFonts w:ascii="EC Square Sans Cond Pro" w:hAnsi="EC Square Sans Cond Pro"/>
                <w:noProof/>
                <w:sz w:val="18"/>
                <w:szCs w:val="14"/>
                <w:lang w:val="en-IE"/>
              </w:rPr>
            </w:pPr>
            <w:r w:rsidRPr="00ED07AC">
              <w:rPr>
                <w:rFonts w:ascii="EC Square Sans Cond Pro" w:hAnsi="EC Square Sans Cond Pro" w:cs="Calibri"/>
                <w:i/>
                <w:iCs/>
                <w:noProof/>
                <w:color w:val="000000"/>
                <w:sz w:val="18"/>
                <w:szCs w:val="18"/>
              </w:rPr>
              <w:t>6.6%</w:t>
            </w:r>
          </w:p>
        </w:tc>
        <w:tc>
          <w:tcPr>
            <w:tcW w:w="448" w:type="pct"/>
            <w:tcBorders>
              <w:top w:val="nil"/>
              <w:left w:val="nil"/>
              <w:bottom w:val="nil"/>
              <w:right w:val="single" w:sz="4" w:space="0" w:color="auto"/>
            </w:tcBorders>
            <w:shd w:val="clear" w:color="auto" w:fill="FFFFFF" w:themeFill="background1"/>
            <w:noWrap/>
            <w:vAlign w:val="bottom"/>
            <w:hideMark/>
          </w:tcPr>
          <w:p w14:paraId="0FC2B132" w14:textId="38BA3B65" w:rsidR="005905B3" w:rsidRPr="004D2F05" w:rsidRDefault="005905B3" w:rsidP="00316F0A">
            <w:pPr>
              <w:spacing w:after="0"/>
              <w:jc w:val="right"/>
              <w:rPr>
                <w:rFonts w:ascii="EC Square Sans Cond Pro" w:hAnsi="EC Square Sans Cond Pro"/>
                <w:noProof/>
                <w:sz w:val="18"/>
                <w:szCs w:val="14"/>
                <w:lang w:val="en-IE"/>
              </w:rPr>
            </w:pPr>
            <w:r w:rsidRPr="00ED07AC">
              <w:rPr>
                <w:rFonts w:ascii="EC Square Sans Cond Pro" w:hAnsi="EC Square Sans Cond Pro" w:cs="Calibri"/>
                <w:i/>
                <w:iCs/>
                <w:noProof/>
                <w:color w:val="000000"/>
                <w:sz w:val="18"/>
                <w:szCs w:val="18"/>
              </w:rPr>
              <w:t>6.</w:t>
            </w:r>
            <w:r w:rsidR="004C7EEC">
              <w:rPr>
                <w:rFonts w:ascii="EC Square Sans Cond Pro" w:hAnsi="EC Square Sans Cond Pro" w:cs="Calibri"/>
                <w:i/>
                <w:iCs/>
                <w:noProof/>
                <w:color w:val="000000"/>
                <w:sz w:val="18"/>
                <w:szCs w:val="18"/>
              </w:rPr>
              <w:t>6</w:t>
            </w:r>
            <w:r w:rsidRPr="00ED07AC">
              <w:rPr>
                <w:rFonts w:ascii="EC Square Sans Cond Pro" w:hAnsi="EC Square Sans Cond Pro" w:cs="Calibri"/>
                <w:i/>
                <w:iCs/>
                <w:noProof/>
                <w:color w:val="000000"/>
                <w:sz w:val="18"/>
                <w:szCs w:val="18"/>
              </w:rPr>
              <w:t>%</w:t>
            </w:r>
          </w:p>
        </w:tc>
      </w:tr>
      <w:tr w:rsidR="005905B3" w:rsidRPr="006C450C" w14:paraId="53419865" w14:textId="21F51E39" w:rsidTr="00316F0A">
        <w:trPr>
          <w:trHeight w:val="288"/>
        </w:trPr>
        <w:tc>
          <w:tcPr>
            <w:tcW w:w="1455" w:type="pct"/>
            <w:tcBorders>
              <w:top w:val="nil"/>
              <w:left w:val="single" w:sz="4" w:space="0" w:color="auto"/>
              <w:bottom w:val="single" w:sz="4" w:space="0" w:color="auto"/>
              <w:right w:val="nil"/>
            </w:tcBorders>
            <w:shd w:val="clear" w:color="auto" w:fill="FFFFFF" w:themeFill="background1"/>
            <w:noWrap/>
            <w:vAlign w:val="bottom"/>
            <w:hideMark/>
          </w:tcPr>
          <w:p w14:paraId="1CD5250B" w14:textId="7899C6B0" w:rsidR="005905B3" w:rsidRPr="004D2F05" w:rsidRDefault="005905B3" w:rsidP="00316F0A">
            <w:pPr>
              <w:spacing w:after="0"/>
              <w:rPr>
                <w:rFonts w:ascii="EC Square Sans Cond Pro" w:hAnsi="EC Square Sans Cond Pro"/>
                <w:noProof/>
                <w:sz w:val="18"/>
                <w:szCs w:val="14"/>
                <w:lang w:val="en-IE"/>
              </w:rPr>
            </w:pPr>
            <w:r w:rsidRPr="004D2F05">
              <w:rPr>
                <w:rFonts w:ascii="EC Square Sans Cond Pro" w:hAnsi="EC Square Sans Cond Pro"/>
                <w:noProof/>
                <w:sz w:val="18"/>
                <w:szCs w:val="14"/>
                <w:lang w:val="en-IE"/>
              </w:rPr>
              <w:t>Energy purchases</w:t>
            </w:r>
          </w:p>
        </w:tc>
        <w:tc>
          <w:tcPr>
            <w:tcW w:w="437" w:type="pct"/>
            <w:tcBorders>
              <w:top w:val="nil"/>
              <w:left w:val="single" w:sz="4" w:space="0" w:color="auto"/>
              <w:bottom w:val="single" w:sz="4" w:space="0" w:color="auto"/>
              <w:right w:val="nil"/>
            </w:tcBorders>
            <w:shd w:val="clear" w:color="auto" w:fill="FFFFFF" w:themeFill="background1"/>
            <w:noWrap/>
            <w:vAlign w:val="bottom"/>
            <w:hideMark/>
          </w:tcPr>
          <w:p w14:paraId="37FAEA64" w14:textId="433FA4C1" w:rsidR="005905B3" w:rsidRPr="004D2F05" w:rsidRDefault="005905B3" w:rsidP="00316F0A">
            <w:pPr>
              <w:spacing w:after="0"/>
              <w:jc w:val="right"/>
              <w:rPr>
                <w:rFonts w:ascii="EC Square Sans Cond Pro" w:hAnsi="EC Square Sans Cond Pro"/>
                <w:noProof/>
                <w:sz w:val="18"/>
                <w:szCs w:val="14"/>
                <w:lang w:val="en-IE"/>
              </w:rPr>
            </w:pPr>
            <w:r w:rsidRPr="00ED07AC">
              <w:rPr>
                <w:rFonts w:ascii="EC Square Sans Cond Pro" w:hAnsi="EC Square Sans Cond Pro" w:cs="Calibri"/>
                <w:i/>
                <w:iCs/>
                <w:noProof/>
                <w:color w:val="000000"/>
                <w:sz w:val="18"/>
                <w:szCs w:val="18"/>
              </w:rPr>
              <w:t>6.3%</w:t>
            </w:r>
          </w:p>
        </w:tc>
        <w:tc>
          <w:tcPr>
            <w:tcW w:w="438" w:type="pct"/>
            <w:tcBorders>
              <w:top w:val="nil"/>
              <w:left w:val="nil"/>
              <w:bottom w:val="single" w:sz="4" w:space="0" w:color="auto"/>
              <w:right w:val="nil"/>
            </w:tcBorders>
            <w:shd w:val="clear" w:color="auto" w:fill="FFFFFF" w:themeFill="background1"/>
            <w:noWrap/>
            <w:vAlign w:val="bottom"/>
            <w:hideMark/>
          </w:tcPr>
          <w:p w14:paraId="2FFEDE8A" w14:textId="4F4372DC" w:rsidR="005905B3" w:rsidRPr="004D2F05" w:rsidRDefault="005905B3" w:rsidP="00316F0A">
            <w:pPr>
              <w:spacing w:after="0"/>
              <w:jc w:val="right"/>
              <w:rPr>
                <w:rFonts w:ascii="EC Square Sans Cond Pro" w:hAnsi="EC Square Sans Cond Pro"/>
                <w:noProof/>
                <w:sz w:val="18"/>
                <w:szCs w:val="14"/>
                <w:lang w:val="en-IE"/>
              </w:rPr>
            </w:pPr>
            <w:r w:rsidRPr="00ED07AC">
              <w:rPr>
                <w:rFonts w:ascii="EC Square Sans Cond Pro" w:hAnsi="EC Square Sans Cond Pro" w:cs="Calibri"/>
                <w:i/>
                <w:iCs/>
                <w:noProof/>
                <w:color w:val="000000"/>
                <w:sz w:val="18"/>
                <w:szCs w:val="18"/>
              </w:rPr>
              <w:t>6.3%</w:t>
            </w:r>
          </w:p>
        </w:tc>
        <w:tc>
          <w:tcPr>
            <w:tcW w:w="437" w:type="pct"/>
            <w:tcBorders>
              <w:top w:val="nil"/>
              <w:left w:val="nil"/>
              <w:bottom w:val="single" w:sz="4" w:space="0" w:color="auto"/>
              <w:right w:val="nil"/>
            </w:tcBorders>
            <w:shd w:val="clear" w:color="auto" w:fill="FFFFFF" w:themeFill="background1"/>
            <w:noWrap/>
            <w:vAlign w:val="bottom"/>
            <w:hideMark/>
          </w:tcPr>
          <w:p w14:paraId="5FAC104C" w14:textId="5C35C20C" w:rsidR="005905B3" w:rsidRPr="004D2F05" w:rsidRDefault="005905B3" w:rsidP="00316F0A">
            <w:pPr>
              <w:spacing w:after="0"/>
              <w:jc w:val="right"/>
              <w:rPr>
                <w:rFonts w:ascii="EC Square Sans Cond Pro" w:hAnsi="EC Square Sans Cond Pro"/>
                <w:noProof/>
                <w:sz w:val="18"/>
                <w:szCs w:val="14"/>
                <w:lang w:val="en-IE"/>
              </w:rPr>
            </w:pPr>
            <w:r w:rsidRPr="00ED07AC">
              <w:rPr>
                <w:rFonts w:ascii="EC Square Sans Cond Pro" w:hAnsi="EC Square Sans Cond Pro" w:cs="Calibri"/>
                <w:i/>
                <w:iCs/>
                <w:noProof/>
                <w:color w:val="000000"/>
                <w:sz w:val="18"/>
                <w:szCs w:val="18"/>
              </w:rPr>
              <w:t>6.3%</w:t>
            </w:r>
          </w:p>
        </w:tc>
        <w:tc>
          <w:tcPr>
            <w:tcW w:w="438" w:type="pct"/>
            <w:tcBorders>
              <w:top w:val="nil"/>
              <w:left w:val="nil"/>
              <w:bottom w:val="single" w:sz="4" w:space="0" w:color="auto"/>
              <w:right w:val="nil"/>
            </w:tcBorders>
            <w:shd w:val="clear" w:color="auto" w:fill="FFFFFF" w:themeFill="background1"/>
            <w:noWrap/>
            <w:vAlign w:val="bottom"/>
            <w:hideMark/>
          </w:tcPr>
          <w:p w14:paraId="66FA2E57" w14:textId="70ED1106" w:rsidR="005905B3" w:rsidRPr="004D2F05" w:rsidRDefault="005905B3" w:rsidP="00316F0A">
            <w:pPr>
              <w:spacing w:after="0"/>
              <w:jc w:val="right"/>
              <w:rPr>
                <w:rFonts w:ascii="EC Square Sans Cond Pro" w:hAnsi="EC Square Sans Cond Pro"/>
                <w:noProof/>
                <w:sz w:val="18"/>
                <w:szCs w:val="14"/>
                <w:lang w:val="en-IE"/>
              </w:rPr>
            </w:pPr>
            <w:r w:rsidRPr="00ED07AC">
              <w:rPr>
                <w:rFonts w:ascii="EC Square Sans Cond Pro" w:hAnsi="EC Square Sans Cond Pro" w:cs="Calibri"/>
                <w:i/>
                <w:iCs/>
                <w:noProof/>
                <w:color w:val="000000"/>
                <w:sz w:val="18"/>
                <w:szCs w:val="18"/>
              </w:rPr>
              <w:t>6.3%</w:t>
            </w:r>
          </w:p>
        </w:tc>
        <w:tc>
          <w:tcPr>
            <w:tcW w:w="449" w:type="pct"/>
            <w:tcBorders>
              <w:top w:val="nil"/>
              <w:left w:val="single" w:sz="4" w:space="0" w:color="auto"/>
              <w:bottom w:val="single" w:sz="4" w:space="0" w:color="auto"/>
              <w:right w:val="nil"/>
            </w:tcBorders>
            <w:shd w:val="clear" w:color="auto" w:fill="FFFFFF" w:themeFill="background1"/>
            <w:noWrap/>
            <w:vAlign w:val="bottom"/>
            <w:hideMark/>
          </w:tcPr>
          <w:p w14:paraId="26D0ADAD" w14:textId="5C353CC8" w:rsidR="005905B3" w:rsidRPr="004D2F05" w:rsidRDefault="005905B3" w:rsidP="00316F0A">
            <w:pPr>
              <w:spacing w:after="0"/>
              <w:jc w:val="right"/>
              <w:rPr>
                <w:rFonts w:ascii="EC Square Sans Cond Pro" w:hAnsi="EC Square Sans Cond Pro"/>
                <w:noProof/>
                <w:sz w:val="18"/>
                <w:szCs w:val="14"/>
                <w:lang w:val="en-IE"/>
              </w:rPr>
            </w:pPr>
            <w:r w:rsidRPr="00ED07AC">
              <w:rPr>
                <w:rFonts w:ascii="EC Square Sans Cond Pro" w:hAnsi="EC Square Sans Cond Pro" w:cs="Calibri"/>
                <w:i/>
                <w:iCs/>
                <w:noProof/>
                <w:color w:val="000000"/>
                <w:sz w:val="18"/>
                <w:szCs w:val="18"/>
              </w:rPr>
              <w:t>5.5%</w:t>
            </w:r>
          </w:p>
        </w:tc>
        <w:tc>
          <w:tcPr>
            <w:tcW w:w="449" w:type="pct"/>
            <w:tcBorders>
              <w:top w:val="nil"/>
              <w:left w:val="nil"/>
              <w:bottom w:val="single" w:sz="4" w:space="0" w:color="auto"/>
              <w:right w:val="nil"/>
            </w:tcBorders>
            <w:shd w:val="clear" w:color="auto" w:fill="FFFFFF" w:themeFill="background1"/>
            <w:noWrap/>
            <w:vAlign w:val="bottom"/>
            <w:hideMark/>
          </w:tcPr>
          <w:p w14:paraId="2EA3992B" w14:textId="4CC4165E" w:rsidR="005905B3" w:rsidRPr="004D2F05" w:rsidRDefault="005905B3" w:rsidP="00316F0A">
            <w:pPr>
              <w:spacing w:after="0"/>
              <w:jc w:val="right"/>
              <w:rPr>
                <w:rFonts w:ascii="EC Square Sans Cond Pro" w:hAnsi="EC Square Sans Cond Pro"/>
                <w:noProof/>
                <w:sz w:val="18"/>
                <w:szCs w:val="14"/>
                <w:lang w:val="en-IE"/>
              </w:rPr>
            </w:pPr>
            <w:r w:rsidRPr="00ED07AC">
              <w:rPr>
                <w:rFonts w:ascii="EC Square Sans Cond Pro" w:hAnsi="EC Square Sans Cond Pro" w:cs="Calibri"/>
                <w:i/>
                <w:iCs/>
                <w:noProof/>
                <w:color w:val="000000"/>
                <w:sz w:val="18"/>
                <w:szCs w:val="18"/>
              </w:rPr>
              <w:t>5.5%</w:t>
            </w:r>
          </w:p>
        </w:tc>
        <w:tc>
          <w:tcPr>
            <w:tcW w:w="449" w:type="pct"/>
            <w:tcBorders>
              <w:top w:val="nil"/>
              <w:left w:val="nil"/>
              <w:bottom w:val="single" w:sz="4" w:space="0" w:color="auto"/>
              <w:right w:val="nil"/>
            </w:tcBorders>
            <w:shd w:val="clear" w:color="auto" w:fill="FFFFFF" w:themeFill="background1"/>
            <w:noWrap/>
            <w:vAlign w:val="bottom"/>
            <w:hideMark/>
          </w:tcPr>
          <w:p w14:paraId="5537DFDC" w14:textId="68807658" w:rsidR="005905B3" w:rsidRPr="004D2F05" w:rsidRDefault="005905B3" w:rsidP="00316F0A">
            <w:pPr>
              <w:spacing w:after="0"/>
              <w:jc w:val="right"/>
              <w:rPr>
                <w:rFonts w:ascii="EC Square Sans Cond Pro" w:hAnsi="EC Square Sans Cond Pro"/>
                <w:noProof/>
                <w:sz w:val="18"/>
                <w:szCs w:val="14"/>
                <w:lang w:val="en-IE"/>
              </w:rPr>
            </w:pPr>
            <w:r w:rsidRPr="00ED07AC">
              <w:rPr>
                <w:rFonts w:ascii="EC Square Sans Cond Pro" w:hAnsi="EC Square Sans Cond Pro" w:cs="Calibri"/>
                <w:i/>
                <w:iCs/>
                <w:noProof/>
                <w:color w:val="000000"/>
                <w:sz w:val="18"/>
                <w:szCs w:val="18"/>
              </w:rPr>
              <w:t>5.4%</w:t>
            </w:r>
          </w:p>
        </w:tc>
        <w:tc>
          <w:tcPr>
            <w:tcW w:w="448" w:type="pct"/>
            <w:tcBorders>
              <w:top w:val="nil"/>
              <w:left w:val="nil"/>
              <w:bottom w:val="single" w:sz="4" w:space="0" w:color="auto"/>
              <w:right w:val="single" w:sz="4" w:space="0" w:color="auto"/>
            </w:tcBorders>
            <w:shd w:val="clear" w:color="auto" w:fill="FFFFFF" w:themeFill="background1"/>
            <w:noWrap/>
            <w:vAlign w:val="bottom"/>
            <w:hideMark/>
          </w:tcPr>
          <w:p w14:paraId="5B93E193" w14:textId="039C65AC" w:rsidR="005905B3" w:rsidRPr="004D2F05" w:rsidRDefault="005905B3" w:rsidP="00316F0A">
            <w:pPr>
              <w:spacing w:after="0"/>
              <w:jc w:val="right"/>
              <w:rPr>
                <w:rFonts w:ascii="EC Square Sans Cond Pro" w:hAnsi="EC Square Sans Cond Pro"/>
                <w:noProof/>
                <w:sz w:val="18"/>
                <w:szCs w:val="14"/>
                <w:lang w:val="en-IE"/>
              </w:rPr>
            </w:pPr>
            <w:r w:rsidRPr="00ED07AC">
              <w:rPr>
                <w:rFonts w:ascii="EC Square Sans Cond Pro" w:hAnsi="EC Square Sans Cond Pro" w:cs="Calibri"/>
                <w:i/>
                <w:iCs/>
                <w:noProof/>
                <w:color w:val="000000"/>
                <w:sz w:val="18"/>
                <w:szCs w:val="18"/>
              </w:rPr>
              <w:t>5.</w:t>
            </w:r>
            <w:r w:rsidR="004C7EEC">
              <w:rPr>
                <w:rFonts w:ascii="EC Square Sans Cond Pro" w:hAnsi="EC Square Sans Cond Pro" w:cs="Calibri"/>
                <w:i/>
                <w:iCs/>
                <w:noProof/>
                <w:color w:val="000000"/>
                <w:sz w:val="18"/>
                <w:szCs w:val="18"/>
              </w:rPr>
              <w:t>2</w:t>
            </w:r>
            <w:r w:rsidRPr="00ED07AC">
              <w:rPr>
                <w:rFonts w:ascii="EC Square Sans Cond Pro" w:hAnsi="EC Square Sans Cond Pro" w:cs="Calibri"/>
                <w:i/>
                <w:iCs/>
                <w:noProof/>
                <w:color w:val="000000"/>
                <w:sz w:val="18"/>
                <w:szCs w:val="18"/>
              </w:rPr>
              <w:t>%</w:t>
            </w:r>
          </w:p>
        </w:tc>
      </w:tr>
      <w:tr w:rsidR="00403E28" w:rsidRPr="006C450C" w14:paraId="36BC6BEA" w14:textId="00B656CF" w:rsidTr="00807360">
        <w:trPr>
          <w:trHeight w:val="288"/>
        </w:trPr>
        <w:tc>
          <w:tcPr>
            <w:tcW w:w="5000" w:type="pct"/>
            <w:gridSpan w:val="9"/>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EFDB95A" w14:textId="499BFFEF" w:rsidR="00403E28" w:rsidRPr="00ED07AC" w:rsidRDefault="00807360" w:rsidP="00807360">
            <w:pPr>
              <w:spacing w:after="0"/>
              <w:jc w:val="center"/>
              <w:rPr>
                <w:rFonts w:ascii="EC Square Sans Cond Pro" w:hAnsi="EC Square Sans Cond Pro" w:cs="Calibri"/>
                <w:i/>
                <w:iCs/>
                <w:noProof/>
                <w:color w:val="000000"/>
                <w:sz w:val="18"/>
                <w:szCs w:val="18"/>
              </w:rPr>
            </w:pPr>
            <w:r>
              <w:rPr>
                <w:rFonts w:ascii="EC Square Sans Cond Pro" w:hAnsi="EC Square Sans Cond Pro" w:cs="Calibri"/>
                <w:i/>
                <w:iCs/>
                <w:noProof/>
                <w:color w:val="000000"/>
                <w:sz w:val="18"/>
                <w:szCs w:val="18"/>
              </w:rPr>
              <w:t>Electricity price (EUR/MWh)</w:t>
            </w:r>
            <w:r w:rsidR="002C5162">
              <w:rPr>
                <w:rFonts w:ascii="EC Square Sans Cond Pro" w:hAnsi="EC Square Sans Cond Pro" w:cs="Calibri"/>
                <w:i/>
                <w:iCs/>
                <w:noProof/>
                <w:color w:val="000000"/>
                <w:sz w:val="18"/>
                <w:szCs w:val="18"/>
              </w:rPr>
              <w:t>***</w:t>
            </w:r>
          </w:p>
        </w:tc>
      </w:tr>
      <w:tr w:rsidR="00403E28" w:rsidRPr="006C450C" w14:paraId="5C2FA744" w14:textId="618D4363" w:rsidTr="00807360">
        <w:trPr>
          <w:trHeight w:val="288"/>
        </w:trPr>
        <w:tc>
          <w:tcPr>
            <w:tcW w:w="1455" w:type="pct"/>
            <w:tcBorders>
              <w:top w:val="single" w:sz="4" w:space="0" w:color="auto"/>
              <w:left w:val="single" w:sz="4" w:space="0" w:color="auto"/>
              <w:bottom w:val="single" w:sz="4" w:space="0" w:color="auto"/>
              <w:right w:val="nil"/>
            </w:tcBorders>
            <w:shd w:val="clear" w:color="auto" w:fill="FFFFFF" w:themeFill="background1"/>
            <w:noWrap/>
            <w:vAlign w:val="bottom"/>
          </w:tcPr>
          <w:p w14:paraId="134339F0" w14:textId="4DB28003" w:rsidR="00403E28" w:rsidRPr="004D2F05" w:rsidRDefault="00612028" w:rsidP="00316F0A">
            <w:pPr>
              <w:spacing w:after="0"/>
              <w:rPr>
                <w:rFonts w:ascii="EC Square Sans Cond Pro" w:hAnsi="EC Square Sans Cond Pro"/>
                <w:noProof/>
                <w:sz w:val="18"/>
                <w:szCs w:val="14"/>
                <w:lang w:val="en-IE"/>
              </w:rPr>
            </w:pPr>
            <w:r>
              <w:rPr>
                <w:rFonts w:ascii="EC Square Sans Cond Pro" w:hAnsi="EC Square Sans Cond Pro"/>
                <w:noProof/>
                <w:sz w:val="18"/>
                <w:szCs w:val="14"/>
                <w:lang w:val="en-IE"/>
              </w:rPr>
              <w:t>Residential</w:t>
            </w:r>
          </w:p>
        </w:tc>
        <w:tc>
          <w:tcPr>
            <w:tcW w:w="437" w:type="pct"/>
            <w:tcBorders>
              <w:top w:val="single" w:sz="4" w:space="0" w:color="auto"/>
              <w:left w:val="single" w:sz="4" w:space="0" w:color="auto"/>
              <w:bottom w:val="single" w:sz="4" w:space="0" w:color="auto"/>
              <w:right w:val="nil"/>
            </w:tcBorders>
            <w:shd w:val="clear" w:color="auto" w:fill="FFFFFF" w:themeFill="background1"/>
            <w:noWrap/>
            <w:vAlign w:val="bottom"/>
          </w:tcPr>
          <w:p w14:paraId="15125EEB" w14:textId="330D4B76" w:rsidR="00403E28" w:rsidRPr="00ED07AC" w:rsidRDefault="008E2693" w:rsidP="00316F0A">
            <w:pPr>
              <w:spacing w:after="0"/>
              <w:jc w:val="right"/>
              <w:rPr>
                <w:rFonts w:ascii="EC Square Sans Cond Pro" w:hAnsi="EC Square Sans Cond Pro" w:cs="Calibri"/>
                <w:i/>
                <w:iCs/>
                <w:noProof/>
                <w:color w:val="000000"/>
                <w:sz w:val="18"/>
                <w:szCs w:val="18"/>
              </w:rPr>
            </w:pPr>
            <w:r>
              <w:rPr>
                <w:rFonts w:ascii="EC Square Sans Cond Pro" w:hAnsi="EC Square Sans Cond Pro" w:cs="Calibri"/>
                <w:i/>
                <w:iCs/>
                <w:noProof/>
                <w:color w:val="000000"/>
                <w:sz w:val="18"/>
                <w:szCs w:val="18"/>
              </w:rPr>
              <w:t>288</w:t>
            </w:r>
          </w:p>
        </w:tc>
        <w:tc>
          <w:tcPr>
            <w:tcW w:w="438" w:type="pct"/>
            <w:tcBorders>
              <w:top w:val="single" w:sz="4" w:space="0" w:color="auto"/>
              <w:left w:val="nil"/>
              <w:bottom w:val="single" w:sz="4" w:space="0" w:color="auto"/>
              <w:right w:val="nil"/>
            </w:tcBorders>
            <w:shd w:val="clear" w:color="auto" w:fill="FFFFFF" w:themeFill="background1"/>
            <w:noWrap/>
            <w:vAlign w:val="bottom"/>
          </w:tcPr>
          <w:p w14:paraId="7CD00FB8" w14:textId="5524E01E" w:rsidR="00403E28" w:rsidRPr="00ED07AC" w:rsidRDefault="008E2693" w:rsidP="00316F0A">
            <w:pPr>
              <w:spacing w:after="0"/>
              <w:jc w:val="right"/>
              <w:rPr>
                <w:rFonts w:ascii="EC Square Sans Cond Pro" w:hAnsi="EC Square Sans Cond Pro" w:cs="Calibri"/>
                <w:i/>
                <w:iCs/>
                <w:noProof/>
                <w:color w:val="000000"/>
                <w:sz w:val="18"/>
                <w:szCs w:val="18"/>
              </w:rPr>
            </w:pPr>
            <w:r>
              <w:rPr>
                <w:rFonts w:ascii="EC Square Sans Cond Pro" w:hAnsi="EC Square Sans Cond Pro" w:cs="Calibri"/>
                <w:i/>
                <w:iCs/>
                <w:noProof/>
                <w:color w:val="000000"/>
                <w:sz w:val="18"/>
                <w:szCs w:val="18"/>
              </w:rPr>
              <w:t>288</w:t>
            </w:r>
          </w:p>
        </w:tc>
        <w:tc>
          <w:tcPr>
            <w:tcW w:w="437" w:type="pct"/>
            <w:tcBorders>
              <w:top w:val="single" w:sz="4" w:space="0" w:color="auto"/>
              <w:left w:val="nil"/>
              <w:bottom w:val="single" w:sz="4" w:space="0" w:color="auto"/>
              <w:right w:val="nil"/>
            </w:tcBorders>
            <w:shd w:val="clear" w:color="auto" w:fill="FFFFFF" w:themeFill="background1"/>
            <w:noWrap/>
            <w:vAlign w:val="bottom"/>
          </w:tcPr>
          <w:p w14:paraId="54F80871" w14:textId="3A83122C" w:rsidR="00403E28" w:rsidRPr="00ED07AC" w:rsidRDefault="008E2693" w:rsidP="00316F0A">
            <w:pPr>
              <w:spacing w:after="0"/>
              <w:jc w:val="right"/>
              <w:rPr>
                <w:rFonts w:ascii="EC Square Sans Cond Pro" w:hAnsi="EC Square Sans Cond Pro" w:cs="Calibri"/>
                <w:i/>
                <w:iCs/>
                <w:noProof/>
                <w:color w:val="000000"/>
                <w:sz w:val="18"/>
                <w:szCs w:val="18"/>
              </w:rPr>
            </w:pPr>
            <w:r>
              <w:rPr>
                <w:rFonts w:ascii="EC Square Sans Cond Pro" w:hAnsi="EC Square Sans Cond Pro" w:cs="Calibri"/>
                <w:i/>
                <w:iCs/>
                <w:noProof/>
                <w:color w:val="000000"/>
                <w:sz w:val="18"/>
                <w:szCs w:val="18"/>
              </w:rPr>
              <w:t>288</w:t>
            </w:r>
          </w:p>
        </w:tc>
        <w:tc>
          <w:tcPr>
            <w:tcW w:w="438" w:type="pct"/>
            <w:tcBorders>
              <w:top w:val="single" w:sz="4" w:space="0" w:color="auto"/>
              <w:left w:val="nil"/>
              <w:bottom w:val="single" w:sz="4" w:space="0" w:color="auto"/>
              <w:right w:val="nil"/>
            </w:tcBorders>
            <w:shd w:val="clear" w:color="auto" w:fill="FFFFFF" w:themeFill="background1"/>
            <w:noWrap/>
            <w:vAlign w:val="bottom"/>
          </w:tcPr>
          <w:p w14:paraId="4A68C7F8" w14:textId="7707B865" w:rsidR="00403E28" w:rsidRPr="00ED07AC" w:rsidRDefault="002916FA" w:rsidP="00316F0A">
            <w:pPr>
              <w:spacing w:after="0"/>
              <w:jc w:val="right"/>
              <w:rPr>
                <w:rFonts w:ascii="EC Square Sans Cond Pro" w:hAnsi="EC Square Sans Cond Pro" w:cs="Calibri"/>
                <w:i/>
                <w:iCs/>
                <w:noProof/>
                <w:color w:val="000000"/>
                <w:sz w:val="18"/>
                <w:szCs w:val="18"/>
              </w:rPr>
            </w:pPr>
            <w:r>
              <w:rPr>
                <w:rFonts w:ascii="EC Square Sans Cond Pro" w:hAnsi="EC Square Sans Cond Pro" w:cs="Calibri"/>
                <w:i/>
                <w:iCs/>
                <w:noProof/>
                <w:color w:val="000000"/>
                <w:sz w:val="18"/>
                <w:szCs w:val="18"/>
              </w:rPr>
              <w:t>288</w:t>
            </w:r>
          </w:p>
        </w:tc>
        <w:tc>
          <w:tcPr>
            <w:tcW w:w="449" w:type="pct"/>
            <w:tcBorders>
              <w:top w:val="single" w:sz="4" w:space="0" w:color="auto"/>
              <w:left w:val="single" w:sz="4" w:space="0" w:color="auto"/>
              <w:bottom w:val="single" w:sz="4" w:space="0" w:color="auto"/>
              <w:right w:val="nil"/>
            </w:tcBorders>
            <w:shd w:val="clear" w:color="auto" w:fill="FFFFFF" w:themeFill="background1"/>
            <w:noWrap/>
            <w:vAlign w:val="bottom"/>
          </w:tcPr>
          <w:p w14:paraId="30CC44AB" w14:textId="0E4FF7EA" w:rsidR="00403E28" w:rsidRPr="00ED07AC" w:rsidRDefault="008E2693" w:rsidP="00316F0A">
            <w:pPr>
              <w:spacing w:after="0"/>
              <w:jc w:val="right"/>
              <w:rPr>
                <w:rFonts w:ascii="EC Square Sans Cond Pro" w:hAnsi="EC Square Sans Cond Pro" w:cs="Calibri"/>
                <w:i/>
                <w:iCs/>
                <w:noProof/>
                <w:color w:val="000000"/>
                <w:sz w:val="18"/>
                <w:szCs w:val="18"/>
              </w:rPr>
            </w:pPr>
            <w:r>
              <w:rPr>
                <w:rFonts w:ascii="EC Square Sans Cond Pro" w:hAnsi="EC Square Sans Cond Pro" w:cs="Calibri"/>
                <w:i/>
                <w:iCs/>
                <w:noProof/>
                <w:color w:val="000000"/>
                <w:sz w:val="18"/>
                <w:szCs w:val="18"/>
              </w:rPr>
              <w:t>289</w:t>
            </w:r>
          </w:p>
        </w:tc>
        <w:tc>
          <w:tcPr>
            <w:tcW w:w="449" w:type="pct"/>
            <w:tcBorders>
              <w:top w:val="single" w:sz="4" w:space="0" w:color="auto"/>
              <w:left w:val="nil"/>
              <w:bottom w:val="single" w:sz="4" w:space="0" w:color="auto"/>
              <w:right w:val="nil"/>
            </w:tcBorders>
            <w:shd w:val="clear" w:color="auto" w:fill="FFFFFF" w:themeFill="background1"/>
            <w:noWrap/>
            <w:vAlign w:val="bottom"/>
          </w:tcPr>
          <w:p w14:paraId="27732A37" w14:textId="224B02FF" w:rsidR="00403E28" w:rsidRPr="00ED07AC" w:rsidRDefault="008E2693" w:rsidP="00316F0A">
            <w:pPr>
              <w:spacing w:after="0"/>
              <w:jc w:val="right"/>
              <w:rPr>
                <w:rFonts w:ascii="EC Square Sans Cond Pro" w:hAnsi="EC Square Sans Cond Pro" w:cs="Calibri"/>
                <w:i/>
                <w:iCs/>
                <w:noProof/>
                <w:color w:val="000000"/>
                <w:sz w:val="18"/>
                <w:szCs w:val="18"/>
              </w:rPr>
            </w:pPr>
            <w:r>
              <w:rPr>
                <w:rFonts w:ascii="EC Square Sans Cond Pro" w:hAnsi="EC Square Sans Cond Pro" w:cs="Calibri"/>
                <w:i/>
                <w:iCs/>
                <w:noProof/>
                <w:color w:val="000000"/>
                <w:sz w:val="18"/>
                <w:szCs w:val="18"/>
              </w:rPr>
              <w:t>290</w:t>
            </w:r>
          </w:p>
        </w:tc>
        <w:tc>
          <w:tcPr>
            <w:tcW w:w="449" w:type="pct"/>
            <w:tcBorders>
              <w:top w:val="single" w:sz="4" w:space="0" w:color="auto"/>
              <w:left w:val="nil"/>
              <w:bottom w:val="single" w:sz="4" w:space="0" w:color="auto"/>
              <w:right w:val="nil"/>
            </w:tcBorders>
            <w:shd w:val="clear" w:color="auto" w:fill="FFFFFF" w:themeFill="background1"/>
            <w:noWrap/>
            <w:vAlign w:val="bottom"/>
          </w:tcPr>
          <w:p w14:paraId="08274E82" w14:textId="58FAE391" w:rsidR="00403E28" w:rsidRPr="00ED07AC" w:rsidRDefault="008E2693" w:rsidP="00316F0A">
            <w:pPr>
              <w:spacing w:after="0"/>
              <w:jc w:val="right"/>
              <w:rPr>
                <w:rFonts w:ascii="EC Square Sans Cond Pro" w:hAnsi="EC Square Sans Cond Pro" w:cs="Calibri"/>
                <w:i/>
                <w:iCs/>
                <w:noProof/>
                <w:color w:val="000000"/>
                <w:sz w:val="18"/>
                <w:szCs w:val="18"/>
              </w:rPr>
            </w:pPr>
            <w:r>
              <w:rPr>
                <w:rFonts w:ascii="EC Square Sans Cond Pro" w:hAnsi="EC Square Sans Cond Pro" w:cs="Calibri"/>
                <w:i/>
                <w:iCs/>
                <w:noProof/>
                <w:color w:val="000000"/>
                <w:sz w:val="18"/>
                <w:szCs w:val="18"/>
              </w:rPr>
              <w:t>290</w:t>
            </w:r>
          </w:p>
        </w:tc>
        <w:tc>
          <w:tcPr>
            <w:tcW w:w="448" w:type="pct"/>
            <w:tcBorders>
              <w:top w:val="single" w:sz="4" w:space="0" w:color="auto"/>
              <w:left w:val="nil"/>
              <w:bottom w:val="single" w:sz="4" w:space="0" w:color="auto"/>
              <w:right w:val="single" w:sz="4" w:space="0" w:color="auto"/>
            </w:tcBorders>
            <w:shd w:val="clear" w:color="auto" w:fill="FFFFFF" w:themeFill="background1"/>
            <w:noWrap/>
            <w:vAlign w:val="bottom"/>
          </w:tcPr>
          <w:p w14:paraId="66FB927D" w14:textId="0B6CA1F1" w:rsidR="00403E28" w:rsidRPr="00ED07AC" w:rsidRDefault="002916FA" w:rsidP="00316F0A">
            <w:pPr>
              <w:spacing w:after="0"/>
              <w:jc w:val="right"/>
              <w:rPr>
                <w:rFonts w:ascii="EC Square Sans Cond Pro" w:hAnsi="EC Square Sans Cond Pro" w:cs="Calibri"/>
                <w:i/>
                <w:iCs/>
                <w:noProof/>
                <w:color w:val="000000"/>
                <w:sz w:val="18"/>
                <w:szCs w:val="18"/>
              </w:rPr>
            </w:pPr>
            <w:r>
              <w:rPr>
                <w:rFonts w:ascii="EC Square Sans Cond Pro" w:hAnsi="EC Square Sans Cond Pro" w:cs="Calibri"/>
                <w:i/>
                <w:iCs/>
                <w:noProof/>
                <w:color w:val="000000"/>
                <w:sz w:val="18"/>
                <w:szCs w:val="18"/>
              </w:rPr>
              <w:t>290</w:t>
            </w:r>
          </w:p>
        </w:tc>
      </w:tr>
    </w:tbl>
    <w:p w14:paraId="5ECC8647" w14:textId="7DBB5AF2" w:rsidR="005905B3" w:rsidRDefault="005905B3" w:rsidP="005905B3">
      <w:pPr>
        <w:pStyle w:val="CT-NOTE"/>
        <w:rPr>
          <w:noProof/>
        </w:rPr>
      </w:pPr>
      <w:r>
        <w:rPr>
          <w:noProof/>
        </w:rPr>
        <w:t xml:space="preserve">Note: * includes purchase of appliances and cost of renovation. ** It does not include carbon revenues. </w:t>
      </w:r>
      <w:r w:rsidR="002C5162">
        <w:rPr>
          <w:noProof/>
        </w:rPr>
        <w:t>***</w:t>
      </w:r>
      <w:r w:rsidR="0050158C">
        <w:rPr>
          <w:noProof/>
        </w:rPr>
        <w:t> </w:t>
      </w:r>
      <w:r w:rsidR="00913499">
        <w:rPr>
          <w:noProof/>
        </w:rPr>
        <w:t>Average final price of electricity.</w:t>
      </w:r>
      <w:r w:rsidR="00913499" w:rsidRPr="00466BA6">
        <w:rPr>
          <w:noProof/>
        </w:rPr>
        <w:t xml:space="preserve"> </w:t>
      </w:r>
      <w:r w:rsidR="00913499" w:rsidRPr="00446093">
        <w:rPr>
          <w:noProof/>
        </w:rPr>
        <w:t>The electricity price shown here reflect</w:t>
      </w:r>
      <w:r w:rsidR="00913499">
        <w:rPr>
          <w:noProof/>
        </w:rPr>
        <w:t>s</w:t>
      </w:r>
      <w:r w:rsidR="00913499" w:rsidRPr="00446093">
        <w:rPr>
          <w:noProof/>
        </w:rPr>
        <w:t xml:space="preserve"> the evolution of the average electricity production cost to </w:t>
      </w:r>
      <w:r w:rsidR="00913499">
        <w:rPr>
          <w:noProof/>
        </w:rPr>
        <w:t>s</w:t>
      </w:r>
      <w:r w:rsidR="00913499" w:rsidRPr="00446093">
        <w:rPr>
          <w:noProof/>
        </w:rPr>
        <w:t xml:space="preserve">upply </w:t>
      </w:r>
      <w:r w:rsidR="00913499">
        <w:rPr>
          <w:noProof/>
        </w:rPr>
        <w:t xml:space="preserve">the sector </w:t>
      </w:r>
      <w:r w:rsidR="00913499" w:rsidRPr="00446093">
        <w:rPr>
          <w:noProof/>
        </w:rPr>
        <w:t xml:space="preserve">(i.e. considering </w:t>
      </w:r>
      <w:r w:rsidR="00913499">
        <w:rPr>
          <w:noProof/>
        </w:rPr>
        <w:t>its</w:t>
      </w:r>
      <w:r w:rsidR="00913499" w:rsidRPr="00446093">
        <w:rPr>
          <w:noProof/>
        </w:rPr>
        <w:t xml:space="preserve"> load profile) as well as the taxes applied to the sector.</w:t>
      </w:r>
    </w:p>
    <w:p w14:paraId="674833F2" w14:textId="7D275CCB" w:rsidR="005905B3" w:rsidRDefault="005905B3" w:rsidP="005905B3">
      <w:pPr>
        <w:pStyle w:val="CT2040-SOURCE"/>
        <w:rPr>
          <w:noProof/>
        </w:rPr>
      </w:pPr>
      <w:r>
        <w:rPr>
          <w:noProof/>
        </w:rPr>
        <w:t>Source: PRIMES.</w:t>
      </w:r>
    </w:p>
    <w:p w14:paraId="64C7C48F" w14:textId="6A1FE535" w:rsidR="005905B3" w:rsidRDefault="005905B3" w:rsidP="002A3E0A">
      <w:pPr>
        <w:keepNext/>
        <w:spacing w:before="120" w:after="120"/>
        <w:jc w:val="right"/>
        <w:rPr>
          <w:i/>
          <w:iCs/>
          <w:noProof/>
        </w:rPr>
      </w:pPr>
    </w:p>
    <w:p w14:paraId="6214DC55" w14:textId="17989F4A" w:rsidR="00F7599B" w:rsidRDefault="00F7599B" w:rsidP="00F7599B">
      <w:pPr>
        <w:pStyle w:val="Caption"/>
        <w:rPr>
          <w:noProof/>
          <w:sz w:val="23"/>
          <w:szCs w:val="23"/>
        </w:rPr>
      </w:pPr>
      <w:bookmarkStart w:id="752" w:name="_Ref142552821"/>
      <w:bookmarkStart w:id="753" w:name="_Ref147340215"/>
      <w:bookmarkStart w:id="754" w:name="_Toc157679863"/>
      <w:r>
        <w:rPr>
          <w:noProof/>
        </w:rPr>
        <w:t xml:space="preserve">Figure </w:t>
      </w:r>
      <w:bookmarkEnd w:id="752"/>
      <w:r w:rsidR="00F2742D">
        <w:rPr>
          <w:noProof/>
        </w:rPr>
        <w:fldChar w:fldCharType="begin"/>
      </w:r>
      <w:r w:rsidR="00F2742D">
        <w:rPr>
          <w:noProof/>
        </w:rPr>
        <w:instrText xml:space="preserve"> SEQ Figure \* ARABIC </w:instrText>
      </w:r>
      <w:r w:rsidR="00F2742D">
        <w:rPr>
          <w:noProof/>
        </w:rPr>
        <w:fldChar w:fldCharType="separate"/>
      </w:r>
      <w:r w:rsidR="00170A3C">
        <w:rPr>
          <w:noProof/>
        </w:rPr>
        <w:t>115</w:t>
      </w:r>
      <w:r w:rsidR="00F2742D">
        <w:rPr>
          <w:noProof/>
        </w:rPr>
        <w:fldChar w:fldCharType="end"/>
      </w:r>
      <w:bookmarkEnd w:id="753"/>
      <w:r>
        <w:rPr>
          <w:noProof/>
          <w:sz w:val="23"/>
          <w:szCs w:val="23"/>
        </w:rPr>
        <w:t xml:space="preserve">: Annual fuel purchasing expenses </w:t>
      </w:r>
      <w:r w:rsidR="000E33C5">
        <w:rPr>
          <w:noProof/>
          <w:sz w:val="23"/>
          <w:szCs w:val="23"/>
        </w:rPr>
        <w:t xml:space="preserve">in buildings </w:t>
      </w:r>
      <w:r>
        <w:rPr>
          <w:noProof/>
          <w:sz w:val="23"/>
          <w:szCs w:val="23"/>
        </w:rPr>
        <w:t>per low-income household</w:t>
      </w:r>
      <w:bookmarkEnd w:id="754"/>
      <w:r w:rsidR="000E33C5">
        <w:rPr>
          <w:noProof/>
          <w:sz w:val="23"/>
          <w:szCs w:val="23"/>
        </w:rPr>
        <w:t xml:space="preserve"> </w:t>
      </w:r>
    </w:p>
    <w:p w14:paraId="1441C779" w14:textId="28FD2F07" w:rsidR="0079236E" w:rsidRDefault="004C3880" w:rsidP="0079236E">
      <w:pPr>
        <w:pStyle w:val="CT-SOURCE"/>
        <w:jc w:val="center"/>
        <w:rPr>
          <w:noProof/>
        </w:rPr>
      </w:pPr>
      <w:r w:rsidRPr="004C3880">
        <w:rPr>
          <w:noProof/>
          <w:lang w:val="en-GB" w:eastAsia="en-GB"/>
        </w:rPr>
        <w:drawing>
          <wp:inline distT="0" distB="0" distL="0" distR="0" wp14:anchorId="7ECDFF4B" wp14:editId="59A3C4CE">
            <wp:extent cx="5411470" cy="25177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5411470" cy="2517775"/>
                    </a:xfrm>
                    <a:prstGeom prst="rect">
                      <a:avLst/>
                    </a:prstGeom>
                    <a:noFill/>
                    <a:ln>
                      <a:noFill/>
                    </a:ln>
                  </pic:spPr>
                </pic:pic>
              </a:graphicData>
            </a:graphic>
          </wp:inline>
        </w:drawing>
      </w:r>
    </w:p>
    <w:p w14:paraId="64EB2754" w14:textId="287E90A8" w:rsidR="00BE6010" w:rsidRPr="00BE6010" w:rsidRDefault="00F7599B" w:rsidP="0079236E">
      <w:pPr>
        <w:pStyle w:val="CT-SOURCE"/>
        <w:rPr>
          <w:noProof/>
        </w:rPr>
      </w:pPr>
      <w:r>
        <w:rPr>
          <w:noProof/>
        </w:rPr>
        <w:t>Source: PRIMES model.</w:t>
      </w:r>
    </w:p>
    <w:p w14:paraId="748A2536" w14:textId="67C710E8" w:rsidR="00126C53" w:rsidRPr="008A03D1" w:rsidRDefault="005A7510" w:rsidP="00F62511">
      <w:pPr>
        <w:pStyle w:val="Caption"/>
        <w:keepNext w:val="0"/>
        <w:rPr>
          <w:rFonts w:cs="Times New Roman,Italic"/>
          <w:b w:val="0"/>
          <w:noProof/>
          <w:sz w:val="24"/>
          <w:szCs w:val="24"/>
        </w:rPr>
      </w:pPr>
      <w:r w:rsidRPr="00EB75EE">
        <w:rPr>
          <w:b w:val="0"/>
          <w:noProof/>
          <w:sz w:val="26"/>
          <w:szCs w:val="26"/>
        </w:rPr>
        <w:fldChar w:fldCharType="begin"/>
      </w:r>
      <w:r w:rsidRPr="00EB75EE">
        <w:rPr>
          <w:rFonts w:cs="Times New Roman,Italic"/>
          <w:b w:val="0"/>
          <w:noProof/>
          <w:sz w:val="26"/>
          <w:szCs w:val="26"/>
        </w:rPr>
        <w:instrText xml:space="preserve"> REF _Ref147510659 \h  \* MERGEFORMAT </w:instrText>
      </w:r>
      <w:r w:rsidRPr="00EB75EE">
        <w:rPr>
          <w:b w:val="0"/>
          <w:noProof/>
          <w:sz w:val="26"/>
          <w:szCs w:val="26"/>
        </w:rPr>
      </w:r>
      <w:r w:rsidRPr="00EB75EE">
        <w:rPr>
          <w:b w:val="0"/>
          <w:noProof/>
          <w:sz w:val="26"/>
          <w:szCs w:val="26"/>
        </w:rPr>
        <w:fldChar w:fldCharType="separate"/>
      </w:r>
      <w:r w:rsidR="00170A3C" w:rsidRPr="00EB75EE">
        <w:rPr>
          <w:b w:val="0"/>
          <w:noProof/>
          <w:sz w:val="24"/>
          <w:szCs w:val="24"/>
        </w:rPr>
        <w:t xml:space="preserve">Figure </w:t>
      </w:r>
      <w:r w:rsidR="00170A3C" w:rsidRPr="00EB75EE">
        <w:rPr>
          <w:b w:val="0"/>
          <w:noProof/>
        </w:rPr>
        <w:t>116</w:t>
      </w:r>
      <w:r w:rsidRPr="00EB75EE">
        <w:rPr>
          <w:b w:val="0"/>
          <w:noProof/>
          <w:sz w:val="26"/>
          <w:szCs w:val="26"/>
        </w:rPr>
        <w:fldChar w:fldCharType="end"/>
      </w:r>
      <w:r w:rsidRPr="00EB75EE">
        <w:rPr>
          <w:rFonts w:cs="Times New Roman,Italic"/>
          <w:b w:val="0"/>
          <w:noProof/>
          <w:sz w:val="24"/>
          <w:szCs w:val="24"/>
        </w:rPr>
        <w:t xml:space="preserve"> illustrates</w:t>
      </w:r>
      <w:r w:rsidRPr="00564674">
        <w:rPr>
          <w:rFonts w:cs="Times New Roman,Italic"/>
          <w:b w:val="0"/>
          <w:noProof/>
          <w:sz w:val="24"/>
          <w:szCs w:val="24"/>
        </w:rPr>
        <w:t xml:space="preserve"> that i</w:t>
      </w:r>
      <w:r w:rsidR="00126C53" w:rsidRPr="00564674">
        <w:rPr>
          <w:rFonts w:cs="Times New Roman,Italic"/>
          <w:b w:val="0"/>
          <w:noProof/>
          <w:sz w:val="24"/>
          <w:szCs w:val="24"/>
        </w:rPr>
        <w:t>mproved insulation leads to a decrease in annual fuel</w:t>
      </w:r>
      <w:r w:rsidR="00126C53">
        <w:rPr>
          <w:rFonts w:cs="Times New Roman,Italic"/>
          <w:b w:val="0"/>
          <w:noProof/>
          <w:sz w:val="24"/>
          <w:szCs w:val="24"/>
        </w:rPr>
        <w:t xml:space="preserve"> purchasing expenses, in particular for high-income households. As a result, the gap between expenses of different types of households closes and the level of expenses is closer for all categories in 2040 than in 2020. Low-income households have higher annual fuel expenses than middle-income households as of 2030, due to their dwellings not being as well insulated, despite significant efforts in renovation. For all households, fuel expenses are on a downward trend as of 2025 (despite a </w:t>
      </w:r>
      <w:r w:rsidR="000E33C5">
        <w:rPr>
          <w:rFonts w:cs="Times New Roman,Italic"/>
          <w:b w:val="0"/>
          <w:noProof/>
          <w:sz w:val="24"/>
          <w:szCs w:val="24"/>
        </w:rPr>
        <w:t>temporary</w:t>
      </w:r>
      <w:r w:rsidR="00126C53">
        <w:rPr>
          <w:rFonts w:cs="Times New Roman,Italic"/>
          <w:b w:val="0"/>
          <w:noProof/>
          <w:sz w:val="24"/>
          <w:szCs w:val="24"/>
        </w:rPr>
        <w:t xml:space="preserve"> increase in 2045), illustrating that investments in renovation of buildings pay off. </w:t>
      </w:r>
    </w:p>
    <w:p w14:paraId="2A86835E" w14:textId="3EAAC072" w:rsidR="00126C53" w:rsidRPr="008A03D1" w:rsidRDefault="00126C53" w:rsidP="00126C53">
      <w:pPr>
        <w:pStyle w:val="Caption"/>
        <w:rPr>
          <w:noProof/>
          <w:sz w:val="23"/>
          <w:szCs w:val="23"/>
        </w:rPr>
      </w:pPr>
      <w:bookmarkStart w:id="755" w:name="_Ref147510659"/>
      <w:bookmarkStart w:id="756" w:name="_Toc157679864"/>
      <w:r>
        <w:rPr>
          <w:noProof/>
        </w:rPr>
        <w:t xml:space="preserve">Figure </w:t>
      </w:r>
      <w:r>
        <w:rPr>
          <w:noProof/>
        </w:rPr>
        <w:fldChar w:fldCharType="begin"/>
      </w:r>
      <w:r>
        <w:rPr>
          <w:noProof/>
        </w:rPr>
        <w:instrText>SEQ Figure \* ARABIC</w:instrText>
      </w:r>
      <w:r>
        <w:rPr>
          <w:noProof/>
        </w:rPr>
        <w:fldChar w:fldCharType="separate"/>
      </w:r>
      <w:r w:rsidR="00170A3C">
        <w:rPr>
          <w:noProof/>
        </w:rPr>
        <w:t>116</w:t>
      </w:r>
      <w:r>
        <w:rPr>
          <w:noProof/>
        </w:rPr>
        <w:fldChar w:fldCharType="end"/>
      </w:r>
      <w:bookmarkEnd w:id="755"/>
      <w:r>
        <w:rPr>
          <w:noProof/>
          <w:sz w:val="23"/>
          <w:szCs w:val="23"/>
        </w:rPr>
        <w:t xml:space="preserve">: Annual fuel purchasing expenses in </w:t>
      </w:r>
      <w:r w:rsidR="00C82F73">
        <w:rPr>
          <w:noProof/>
          <w:sz w:val="23"/>
          <w:szCs w:val="23"/>
        </w:rPr>
        <w:t>buildings</w:t>
      </w:r>
      <w:r>
        <w:rPr>
          <w:noProof/>
          <w:sz w:val="23"/>
          <w:szCs w:val="23"/>
        </w:rPr>
        <w:t xml:space="preserve"> in S2</w:t>
      </w:r>
      <w:bookmarkEnd w:id="756"/>
      <w:r w:rsidR="00DA292F">
        <w:rPr>
          <w:noProof/>
          <w:sz w:val="23"/>
          <w:szCs w:val="23"/>
        </w:rPr>
        <w:t xml:space="preserve"> </w:t>
      </w:r>
    </w:p>
    <w:p w14:paraId="1A728D2F" w14:textId="094C5AA2" w:rsidR="0911147F" w:rsidRDefault="00EE2AE6" w:rsidP="09E4A57D">
      <w:pPr>
        <w:pStyle w:val="CT-SOURCE"/>
        <w:jc w:val="center"/>
        <w:rPr>
          <w:noProof/>
        </w:rPr>
      </w:pPr>
      <w:r w:rsidRPr="00EE2AE6">
        <w:rPr>
          <w:noProof/>
          <w:lang w:val="en-GB" w:eastAsia="en-GB"/>
        </w:rPr>
        <w:drawing>
          <wp:inline distT="0" distB="0" distL="0" distR="0" wp14:anchorId="51E9074D" wp14:editId="2A2BA407">
            <wp:extent cx="5472430" cy="227266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5472430" cy="2272665"/>
                    </a:xfrm>
                    <a:prstGeom prst="rect">
                      <a:avLst/>
                    </a:prstGeom>
                    <a:noFill/>
                    <a:ln>
                      <a:noFill/>
                    </a:ln>
                  </pic:spPr>
                </pic:pic>
              </a:graphicData>
            </a:graphic>
          </wp:inline>
        </w:drawing>
      </w:r>
    </w:p>
    <w:p w14:paraId="17262478" w14:textId="47EBCE76" w:rsidR="00CB1F05" w:rsidRDefault="00CB1F05" w:rsidP="008640DF">
      <w:pPr>
        <w:pStyle w:val="CT-SOURCE"/>
        <w:rPr>
          <w:i w:val="0"/>
          <w:noProof/>
        </w:rPr>
      </w:pPr>
      <w:r>
        <w:rPr>
          <w:noProof/>
        </w:rPr>
        <w:t>Source: PRIMES model.</w:t>
      </w:r>
    </w:p>
    <w:p w14:paraId="517D38F5" w14:textId="3DF19DCC" w:rsidR="003A308A" w:rsidRDefault="003A308A" w:rsidP="003A308A">
      <w:pPr>
        <w:rPr>
          <w:noProof/>
        </w:rPr>
      </w:pPr>
      <w:r>
        <w:rPr>
          <w:noProof/>
        </w:rPr>
        <w:t xml:space="preserve">Following the post-COVID recovery, annual expenditures for private </w:t>
      </w:r>
      <w:r w:rsidR="00D97584">
        <w:rPr>
          <w:noProof/>
        </w:rPr>
        <w:t>vehicles</w:t>
      </w:r>
      <w:r w:rsidR="00F75452" w:rsidRPr="00F75452">
        <w:rPr>
          <w:noProof/>
        </w:rPr>
        <w:t> (</w:t>
      </w:r>
      <w:r w:rsidR="00F75452">
        <w:rPr>
          <w:rStyle w:val="FootnoteReference"/>
          <w:noProof/>
        </w:rPr>
        <w:footnoteReference w:id="300"/>
      </w:r>
      <w:r w:rsidR="00F75452">
        <w:rPr>
          <w:noProof/>
        </w:rPr>
        <w:t>)</w:t>
      </w:r>
      <w:r>
        <w:rPr>
          <w:noProof/>
        </w:rPr>
        <w:t xml:space="preserve"> are projected to increase in all scenarios by 2040, </w:t>
      </w:r>
      <w:r w:rsidRPr="00DD7DAF">
        <w:rPr>
          <w:noProof/>
        </w:rPr>
        <w:t xml:space="preserve">from </w:t>
      </w:r>
      <w:r w:rsidR="00CD6B07" w:rsidRPr="00DD7DAF">
        <w:rPr>
          <w:noProof/>
        </w:rPr>
        <w:t xml:space="preserve">around </w:t>
      </w:r>
      <w:r w:rsidR="0037521B" w:rsidRPr="00DD7DAF">
        <w:rPr>
          <w:noProof/>
        </w:rPr>
        <w:t xml:space="preserve">EUR </w:t>
      </w:r>
      <w:r w:rsidR="00D97584" w:rsidRPr="00DD7DAF">
        <w:rPr>
          <w:noProof/>
        </w:rPr>
        <w:t>3770</w:t>
      </w:r>
      <w:r w:rsidRPr="00DD7DAF">
        <w:rPr>
          <w:noProof/>
        </w:rPr>
        <w:t xml:space="preserve"> per year per household during 2021-2025 to around </w:t>
      </w:r>
      <w:r w:rsidR="0037521B" w:rsidRPr="00DD7DAF">
        <w:rPr>
          <w:noProof/>
        </w:rPr>
        <w:t xml:space="preserve">EUR </w:t>
      </w:r>
      <w:r w:rsidR="00D97584" w:rsidRPr="00DD7DAF">
        <w:rPr>
          <w:noProof/>
        </w:rPr>
        <w:t>4610</w:t>
      </w:r>
      <w:r w:rsidR="00CD6B07" w:rsidRPr="00DD7DAF">
        <w:rPr>
          <w:noProof/>
        </w:rPr>
        <w:t>-</w:t>
      </w:r>
      <w:r w:rsidR="00D97584" w:rsidRPr="00DD7DAF">
        <w:rPr>
          <w:noProof/>
        </w:rPr>
        <w:t>4</w:t>
      </w:r>
      <w:r w:rsidR="00CD6B07" w:rsidRPr="00DD7DAF">
        <w:rPr>
          <w:noProof/>
        </w:rPr>
        <w:t>6</w:t>
      </w:r>
      <w:r w:rsidR="00D97584" w:rsidRPr="00DD7DAF">
        <w:rPr>
          <w:noProof/>
        </w:rPr>
        <w:t>6</w:t>
      </w:r>
      <w:r w:rsidRPr="00DD7DAF">
        <w:rPr>
          <w:noProof/>
        </w:rPr>
        <w:t xml:space="preserve">0 per year per household </w:t>
      </w:r>
      <w:r w:rsidR="00CD6B07" w:rsidRPr="00DD7DAF">
        <w:rPr>
          <w:noProof/>
        </w:rPr>
        <w:t xml:space="preserve">in the S1, S2 and S3 scenarios and around EUR </w:t>
      </w:r>
      <w:r w:rsidR="00D97584" w:rsidRPr="00DD7DAF">
        <w:rPr>
          <w:noProof/>
        </w:rPr>
        <w:t>4065</w:t>
      </w:r>
      <w:r w:rsidR="00CD6B07" w:rsidRPr="00DD7DAF">
        <w:rPr>
          <w:noProof/>
        </w:rPr>
        <w:t xml:space="preserve"> in </w:t>
      </w:r>
      <w:r w:rsidR="00C459D4" w:rsidRPr="00DD7DAF">
        <w:rPr>
          <w:noProof/>
        </w:rPr>
        <w:t>LIFE</w:t>
      </w:r>
      <w:r w:rsidR="00CD6B07" w:rsidRPr="00DD7DAF">
        <w:rPr>
          <w:noProof/>
        </w:rPr>
        <w:t xml:space="preserve"> </w:t>
      </w:r>
      <w:r w:rsidRPr="00DD7DAF">
        <w:rPr>
          <w:noProof/>
        </w:rPr>
        <w:t>during 2036-2040 (see</w:t>
      </w:r>
      <w:r w:rsidR="009C7D90" w:rsidRPr="00DD7DAF">
        <w:rPr>
          <w:noProof/>
        </w:rPr>
        <w:t xml:space="preserve"> </w:t>
      </w:r>
      <w:r w:rsidR="009C7D90" w:rsidRPr="00DD7DAF">
        <w:rPr>
          <w:noProof/>
        </w:rPr>
        <w:fldChar w:fldCharType="begin"/>
      </w:r>
      <w:r w:rsidR="009C7D90" w:rsidRPr="00DD7DAF">
        <w:rPr>
          <w:noProof/>
        </w:rPr>
        <w:instrText xml:space="preserve"> REF _Ref147497963 \h  \* MERGEFORMAT </w:instrText>
      </w:r>
      <w:r w:rsidR="009C7D90" w:rsidRPr="00DD7DAF">
        <w:rPr>
          <w:noProof/>
        </w:rPr>
      </w:r>
      <w:r w:rsidR="009C7D90" w:rsidRPr="00DD7DAF">
        <w:rPr>
          <w:noProof/>
        </w:rPr>
        <w:fldChar w:fldCharType="separate"/>
      </w:r>
      <w:r w:rsidR="00170A3C" w:rsidRPr="00AF79EC">
        <w:rPr>
          <w:noProof/>
        </w:rPr>
        <w:t xml:space="preserve">Figure </w:t>
      </w:r>
      <w:r w:rsidR="00170A3C">
        <w:rPr>
          <w:noProof/>
        </w:rPr>
        <w:t>117</w:t>
      </w:r>
      <w:r w:rsidR="009C7D90" w:rsidRPr="00DD7DAF">
        <w:rPr>
          <w:noProof/>
        </w:rPr>
        <w:fldChar w:fldCharType="end"/>
      </w:r>
      <w:r w:rsidRPr="00DD7DAF">
        <w:rPr>
          <w:noProof/>
        </w:rPr>
        <w:t xml:space="preserve">). These changes are driven by the increase in the capital expenditures for the replacement of the vehicle fleet, including for meeting the CO2 standards regulation. Post-2040, households’ expenditures for </w:t>
      </w:r>
      <w:r w:rsidR="00D97584" w:rsidRPr="00DD7DAF">
        <w:rPr>
          <w:noProof/>
        </w:rPr>
        <w:t>private vehicles</w:t>
      </w:r>
      <w:r w:rsidRPr="00DD7DAF">
        <w:rPr>
          <w:noProof/>
        </w:rPr>
        <w:t xml:space="preserve"> are projected to </w:t>
      </w:r>
      <w:r w:rsidR="00D97584" w:rsidRPr="00DD7DAF">
        <w:rPr>
          <w:noProof/>
        </w:rPr>
        <w:t xml:space="preserve">remain stable or slightly </w:t>
      </w:r>
      <w:r w:rsidRPr="00DD7DAF">
        <w:rPr>
          <w:noProof/>
        </w:rPr>
        <w:t>go down.</w:t>
      </w:r>
      <w:r w:rsidR="009A3CBF" w:rsidRPr="00DD7DAF">
        <w:rPr>
          <w:noProof/>
        </w:rPr>
        <w:t xml:space="preserve"> In LIFE, the annual expenditures for private </w:t>
      </w:r>
      <w:r w:rsidR="00D97584" w:rsidRPr="00DD7DAF">
        <w:rPr>
          <w:noProof/>
        </w:rPr>
        <w:t>vehicles</w:t>
      </w:r>
      <w:r w:rsidR="009A3CBF" w:rsidRPr="00DD7DAF">
        <w:rPr>
          <w:noProof/>
        </w:rPr>
        <w:t xml:space="preserve"> are lower, mostly </w:t>
      </w:r>
      <w:r w:rsidR="003D76B0" w:rsidRPr="00DD7DAF">
        <w:rPr>
          <w:noProof/>
        </w:rPr>
        <w:t>because</w:t>
      </w:r>
      <w:r w:rsidR="009A3CBF" w:rsidRPr="00DD7DAF">
        <w:rPr>
          <w:noProof/>
        </w:rPr>
        <w:t xml:space="preserve"> of </w:t>
      </w:r>
      <w:r w:rsidR="00D97584" w:rsidRPr="00DD7DAF">
        <w:rPr>
          <w:noProof/>
        </w:rPr>
        <w:t>lower activity by passenger car (expressed in passenger-km) due to modal shift to active modes and collective transport, and because of higher use of shared mobility</w:t>
      </w:r>
      <w:r w:rsidR="009A3CBF" w:rsidRPr="00DD7DAF">
        <w:rPr>
          <w:noProof/>
        </w:rPr>
        <w:t>.</w:t>
      </w:r>
      <w:r w:rsidR="00816384" w:rsidRPr="00DD7DAF">
        <w:rPr>
          <w:noProof/>
        </w:rPr>
        <w:t xml:space="preserve"> </w:t>
      </w:r>
      <w:r w:rsidRPr="00DD7DAF">
        <w:rPr>
          <w:noProof/>
        </w:rPr>
        <w:t xml:space="preserve">Expressed as share of private consumption, annual expenditures for </w:t>
      </w:r>
      <w:r w:rsidR="00C22A17" w:rsidRPr="00DD7DAF">
        <w:rPr>
          <w:noProof/>
        </w:rPr>
        <w:t>private vehicles</w:t>
      </w:r>
      <w:r w:rsidRPr="00DD7DAF">
        <w:rPr>
          <w:noProof/>
        </w:rPr>
        <w:t xml:space="preserve"> are however projected to </w:t>
      </w:r>
      <w:r w:rsidR="00C22A17" w:rsidRPr="00DD7DAF">
        <w:rPr>
          <w:noProof/>
        </w:rPr>
        <w:t xml:space="preserve">be stable </w:t>
      </w:r>
      <w:r w:rsidRPr="00DD7DAF">
        <w:rPr>
          <w:noProof/>
        </w:rPr>
        <w:t>over time</w:t>
      </w:r>
      <w:r w:rsidR="00C22A17" w:rsidRPr="00DD7DAF">
        <w:rPr>
          <w:noProof/>
        </w:rPr>
        <w:t xml:space="preserve"> until 2040 and </w:t>
      </w:r>
      <w:r w:rsidR="00302A61" w:rsidRPr="00DD7DAF">
        <w:rPr>
          <w:noProof/>
        </w:rPr>
        <w:t>decrease</w:t>
      </w:r>
      <w:r w:rsidRPr="00DD7DAF">
        <w:rPr>
          <w:noProof/>
        </w:rPr>
        <w:t xml:space="preserve"> </w:t>
      </w:r>
      <w:r w:rsidR="00C22A17" w:rsidRPr="00DD7DAF">
        <w:rPr>
          <w:noProof/>
        </w:rPr>
        <w:t>after 2040</w:t>
      </w:r>
      <w:r w:rsidRPr="00DD7DAF">
        <w:rPr>
          <w:noProof/>
        </w:rPr>
        <w:t xml:space="preserve">, from </w:t>
      </w:r>
      <w:r w:rsidR="00C22A17" w:rsidRPr="00DD7DAF">
        <w:rPr>
          <w:noProof/>
        </w:rPr>
        <w:t>around 7.5-8.5</w:t>
      </w:r>
      <w:r w:rsidRPr="00DD7DAF">
        <w:rPr>
          <w:noProof/>
        </w:rPr>
        <w:t xml:space="preserve">% during 2021-2025 </w:t>
      </w:r>
      <w:r w:rsidR="00C22A17" w:rsidRPr="00DD7DAF">
        <w:rPr>
          <w:noProof/>
        </w:rPr>
        <w:t>and</w:t>
      </w:r>
      <w:r w:rsidRPr="00DD7DAF">
        <w:rPr>
          <w:noProof/>
        </w:rPr>
        <w:t xml:space="preserve"> 2036-2040 </w:t>
      </w:r>
      <w:r w:rsidR="00C22A17" w:rsidRPr="00DD7DAF">
        <w:rPr>
          <w:noProof/>
        </w:rPr>
        <w:t>to</w:t>
      </w:r>
      <w:r w:rsidRPr="00DD7DAF">
        <w:rPr>
          <w:noProof/>
        </w:rPr>
        <w:t xml:space="preserve"> </w:t>
      </w:r>
      <w:r w:rsidR="00C22A17" w:rsidRPr="00DD7DAF">
        <w:rPr>
          <w:noProof/>
        </w:rPr>
        <w:t>6-7</w:t>
      </w:r>
      <w:r w:rsidRPr="00DD7DAF">
        <w:rPr>
          <w:noProof/>
        </w:rPr>
        <w:t>% during 2046-2050. This is</w:t>
      </w:r>
      <w:r w:rsidR="00C22A17" w:rsidRPr="00DD7DAF">
        <w:rPr>
          <w:noProof/>
        </w:rPr>
        <w:t xml:space="preserve"> mainly</w:t>
      </w:r>
      <w:r w:rsidRPr="00DD7DAF">
        <w:rPr>
          <w:noProof/>
        </w:rPr>
        <w:t xml:space="preserve"> due to the sustained increase in the private consumption ove</w:t>
      </w:r>
      <w:r>
        <w:rPr>
          <w:noProof/>
        </w:rPr>
        <w:t>r time following the post-COVID recovery.</w:t>
      </w:r>
    </w:p>
    <w:p w14:paraId="5B4C553D" w14:textId="2681D8AE" w:rsidR="00BF26E0" w:rsidRPr="005A01C6" w:rsidRDefault="00BF26E0" w:rsidP="005A01C6">
      <w:pPr>
        <w:pStyle w:val="Caption"/>
        <w:spacing w:after="0"/>
        <w:rPr>
          <w:noProof/>
          <w:sz w:val="23"/>
          <w:szCs w:val="23"/>
        </w:rPr>
      </w:pPr>
      <w:bookmarkStart w:id="757" w:name="_Ref143213873"/>
      <w:bookmarkStart w:id="758" w:name="_Ref147497963"/>
      <w:bookmarkStart w:id="759" w:name="_Toc157679865"/>
      <w:r w:rsidRPr="00AF79EC">
        <w:rPr>
          <w:noProof/>
        </w:rPr>
        <w:t xml:space="preserve">Figure </w:t>
      </w:r>
      <w:bookmarkEnd w:id="757"/>
      <w:r w:rsidR="00F2742D" w:rsidRPr="00AF79EC">
        <w:rPr>
          <w:noProof/>
        </w:rPr>
        <w:fldChar w:fldCharType="begin"/>
      </w:r>
      <w:r w:rsidR="00F2742D" w:rsidRPr="00AF79EC">
        <w:rPr>
          <w:noProof/>
        </w:rPr>
        <w:instrText xml:space="preserve"> SEQ Figure \* ARABIC </w:instrText>
      </w:r>
      <w:r w:rsidR="00F2742D" w:rsidRPr="00AF79EC">
        <w:rPr>
          <w:noProof/>
        </w:rPr>
        <w:fldChar w:fldCharType="separate"/>
      </w:r>
      <w:r w:rsidR="00170A3C">
        <w:rPr>
          <w:noProof/>
        </w:rPr>
        <w:t>117</w:t>
      </w:r>
      <w:r w:rsidR="00F2742D" w:rsidRPr="00AF79EC">
        <w:rPr>
          <w:noProof/>
        </w:rPr>
        <w:fldChar w:fldCharType="end"/>
      </w:r>
      <w:bookmarkEnd w:id="758"/>
      <w:r w:rsidRPr="00AF79EC">
        <w:rPr>
          <w:noProof/>
          <w:sz w:val="23"/>
          <w:szCs w:val="23"/>
        </w:rPr>
        <w:t xml:space="preserve">: Annual expenditures for </w:t>
      </w:r>
      <w:r w:rsidR="00607A30" w:rsidRPr="00AF79EC">
        <w:rPr>
          <w:noProof/>
          <w:sz w:val="23"/>
          <w:szCs w:val="23"/>
        </w:rPr>
        <w:t xml:space="preserve">private </w:t>
      </w:r>
      <w:r w:rsidR="001464F6" w:rsidRPr="002A3E0A">
        <w:rPr>
          <w:noProof/>
          <w:sz w:val="23"/>
          <w:szCs w:val="23"/>
        </w:rPr>
        <w:t>vehicles</w:t>
      </w:r>
      <w:r w:rsidRPr="00AF79EC">
        <w:rPr>
          <w:noProof/>
          <w:sz w:val="23"/>
          <w:szCs w:val="23"/>
        </w:rPr>
        <w:t xml:space="preserve"> per household</w:t>
      </w:r>
      <w:bookmarkEnd w:id="759"/>
    </w:p>
    <w:p w14:paraId="75788671" w14:textId="718CA937" w:rsidR="00EA1CCE" w:rsidRPr="005458EB" w:rsidRDefault="007D7512" w:rsidP="005A01C6">
      <w:pPr>
        <w:pStyle w:val="NormalWeb"/>
        <w:keepNext/>
        <w:spacing w:before="0" w:beforeAutospacing="0" w:after="0" w:afterAutospacing="0"/>
        <w:jc w:val="center"/>
        <w:rPr>
          <w:noProof/>
        </w:rPr>
      </w:pPr>
      <w:r w:rsidRPr="007D7512">
        <w:rPr>
          <w:noProof/>
          <w:lang w:val="en-GB" w:eastAsia="en-GB"/>
        </w:rPr>
        <w:drawing>
          <wp:inline distT="0" distB="0" distL="0" distR="0" wp14:anchorId="0FF0A263" wp14:editId="44F359EA">
            <wp:extent cx="5400675" cy="2514600"/>
            <wp:effectExtent l="0" t="0" r="9525" b="0"/>
            <wp:docPr id="1506651201" name="Picture 150665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5400675" cy="2514600"/>
                    </a:xfrm>
                    <a:prstGeom prst="rect">
                      <a:avLst/>
                    </a:prstGeom>
                    <a:noFill/>
                    <a:ln>
                      <a:noFill/>
                    </a:ln>
                  </pic:spPr>
                </pic:pic>
              </a:graphicData>
            </a:graphic>
          </wp:inline>
        </w:drawing>
      </w:r>
    </w:p>
    <w:p w14:paraId="16C88DE9" w14:textId="6754D576" w:rsidR="002A4F74" w:rsidRPr="00DD7DAF" w:rsidRDefault="002A4F74" w:rsidP="002A4F74">
      <w:pPr>
        <w:pStyle w:val="CT-NOTE"/>
        <w:rPr>
          <w:noProof/>
        </w:rPr>
      </w:pPr>
      <w:r w:rsidRPr="002A4F74">
        <w:rPr>
          <w:noProof/>
        </w:rPr>
        <w:t xml:space="preserve">Note: </w:t>
      </w:r>
      <w:r w:rsidR="00DA1527">
        <w:rPr>
          <w:noProof/>
        </w:rPr>
        <w:t>E</w:t>
      </w:r>
      <w:r w:rsidRPr="002A4F74">
        <w:rPr>
          <w:noProof/>
        </w:rPr>
        <w:t>xpenditures</w:t>
      </w:r>
      <w:r w:rsidR="00EF7616">
        <w:rPr>
          <w:noProof/>
        </w:rPr>
        <w:t xml:space="preserve"> </w:t>
      </w:r>
      <w:r w:rsidR="00ED75B1" w:rsidRPr="00ED75B1">
        <w:rPr>
          <w:noProof/>
        </w:rPr>
        <w:t xml:space="preserve">are </w:t>
      </w:r>
      <w:r w:rsidR="00ED75B1" w:rsidRPr="00DD7DAF">
        <w:rPr>
          <w:noProof/>
        </w:rPr>
        <w:t>expressed in EUR</w:t>
      </w:r>
      <w:r w:rsidR="001A308C" w:rsidRPr="00DD7DAF">
        <w:rPr>
          <w:noProof/>
        </w:rPr>
        <w:t>’</w:t>
      </w:r>
      <w:r w:rsidR="00ED75B1" w:rsidRPr="00DD7DAF">
        <w:rPr>
          <w:noProof/>
        </w:rPr>
        <w:t>2023.</w:t>
      </w:r>
    </w:p>
    <w:p w14:paraId="1A6EF9FA" w14:textId="2B7C743B" w:rsidR="00BF26E0" w:rsidRPr="00DD7DAF" w:rsidRDefault="00BF26E0" w:rsidP="006D315F">
      <w:pPr>
        <w:pStyle w:val="CT-SOURCE"/>
        <w:rPr>
          <w:noProof/>
        </w:rPr>
      </w:pPr>
      <w:r w:rsidRPr="00DD7DAF">
        <w:rPr>
          <w:noProof/>
        </w:rPr>
        <w:t>Source: PRIMES.</w:t>
      </w:r>
    </w:p>
    <w:p w14:paraId="2E78A61E" w14:textId="3E0B4A4A" w:rsidR="00BF26E0" w:rsidRDefault="00BF26E0" w:rsidP="00BF26E0">
      <w:pPr>
        <w:rPr>
          <w:noProof/>
        </w:rPr>
      </w:pPr>
      <w:r w:rsidRPr="00DD7DAF">
        <w:rPr>
          <w:noProof/>
        </w:rPr>
        <w:t xml:space="preserve">Expenditures for </w:t>
      </w:r>
      <w:r w:rsidR="00607A30" w:rsidRPr="00DD7DAF">
        <w:rPr>
          <w:noProof/>
        </w:rPr>
        <w:t xml:space="preserve">transport-related </w:t>
      </w:r>
      <w:r w:rsidRPr="00DD7DAF">
        <w:rPr>
          <w:noProof/>
        </w:rPr>
        <w:t xml:space="preserve">energy purchases </w:t>
      </w:r>
      <w:r w:rsidR="00607A30" w:rsidRPr="00DD7DAF">
        <w:rPr>
          <w:noProof/>
        </w:rPr>
        <w:t>by households</w:t>
      </w:r>
      <w:r w:rsidRPr="00DD7DAF">
        <w:rPr>
          <w:noProof/>
        </w:rPr>
        <w:t xml:space="preserve"> are projected to reduce from around </w:t>
      </w:r>
      <w:r w:rsidR="00662F09" w:rsidRPr="00DD7DAF">
        <w:rPr>
          <w:noProof/>
        </w:rPr>
        <w:t xml:space="preserve">EUR </w:t>
      </w:r>
      <w:r w:rsidRPr="00DD7DAF">
        <w:rPr>
          <w:noProof/>
        </w:rPr>
        <w:t>1</w:t>
      </w:r>
      <w:r w:rsidR="00662F09" w:rsidRPr="00DD7DAF">
        <w:rPr>
          <w:noProof/>
        </w:rPr>
        <w:t>45</w:t>
      </w:r>
      <w:r w:rsidRPr="00DD7DAF">
        <w:rPr>
          <w:noProof/>
        </w:rPr>
        <w:t>0 per year per household during 2021-2030 (2</w:t>
      </w:r>
      <w:r w:rsidR="004B43C0" w:rsidRPr="00DD7DAF">
        <w:rPr>
          <w:noProof/>
        </w:rPr>
        <w:t>1</w:t>
      </w:r>
      <w:r w:rsidR="00A47BD7" w:rsidRPr="00DD7DAF">
        <w:rPr>
          <w:noProof/>
        </w:rPr>
        <w:t>-2</w:t>
      </w:r>
      <w:r w:rsidR="004B43C0" w:rsidRPr="00DD7DAF">
        <w:rPr>
          <w:noProof/>
        </w:rPr>
        <w:t>3</w:t>
      </w:r>
      <w:r w:rsidRPr="00DD7DAF">
        <w:rPr>
          <w:noProof/>
        </w:rPr>
        <w:t xml:space="preserve">% of total transport expenditures per household) to </w:t>
      </w:r>
      <w:r w:rsidR="00662F09" w:rsidRPr="00DD7DAF">
        <w:rPr>
          <w:noProof/>
        </w:rPr>
        <w:t xml:space="preserve">around </w:t>
      </w:r>
      <w:r w:rsidR="00050CEE" w:rsidRPr="00DD7DAF">
        <w:rPr>
          <w:noProof/>
        </w:rPr>
        <w:t>EUR 915</w:t>
      </w:r>
      <w:r w:rsidRPr="00DD7DAF">
        <w:rPr>
          <w:noProof/>
        </w:rPr>
        <w:t>-</w:t>
      </w:r>
      <w:r w:rsidR="00050CEE" w:rsidRPr="00DD7DAF">
        <w:rPr>
          <w:noProof/>
        </w:rPr>
        <w:t>1025</w:t>
      </w:r>
      <w:r w:rsidRPr="00DD7DAF">
        <w:rPr>
          <w:noProof/>
        </w:rPr>
        <w:t xml:space="preserve"> per year per household during 2036-2040 (13-15% of total transport expenditures per household) and </w:t>
      </w:r>
      <w:r w:rsidR="00050CEE" w:rsidRPr="00DD7DAF">
        <w:rPr>
          <w:noProof/>
        </w:rPr>
        <w:t xml:space="preserve">EUR </w:t>
      </w:r>
      <w:r w:rsidRPr="00DD7DAF">
        <w:rPr>
          <w:noProof/>
        </w:rPr>
        <w:t>4</w:t>
      </w:r>
      <w:r w:rsidR="00050CEE" w:rsidRPr="00DD7DAF">
        <w:rPr>
          <w:noProof/>
        </w:rPr>
        <w:t>80-550</w:t>
      </w:r>
      <w:r w:rsidRPr="00DD7DAF">
        <w:rPr>
          <w:noProof/>
        </w:rPr>
        <w:t xml:space="preserve"> during 2046-2050 (</w:t>
      </w:r>
      <w:r w:rsidR="00A47BD7" w:rsidRPr="00DD7DAF">
        <w:rPr>
          <w:noProof/>
        </w:rPr>
        <w:t xml:space="preserve">around </w:t>
      </w:r>
      <w:r w:rsidR="004B43C0" w:rsidRPr="00DD7DAF">
        <w:rPr>
          <w:noProof/>
        </w:rPr>
        <w:t>7-</w:t>
      </w:r>
      <w:r w:rsidRPr="00DD7DAF">
        <w:rPr>
          <w:noProof/>
        </w:rPr>
        <w:t xml:space="preserve">9% of total transport expenditures), driven by the use of more energy efficient vehicles and multimodality. Scenario S1 shows the highest decrease in expenditures for energy purchases by 2040, around </w:t>
      </w:r>
      <w:r w:rsidR="00050CEE" w:rsidRPr="00DD7DAF">
        <w:rPr>
          <w:noProof/>
        </w:rPr>
        <w:t>EUR 65</w:t>
      </w:r>
      <w:r w:rsidRPr="00DD7DAF">
        <w:rPr>
          <w:noProof/>
        </w:rPr>
        <w:t xml:space="preserve"> higher per year per household than in scenario S2 and </w:t>
      </w:r>
      <w:r w:rsidR="00050CEE" w:rsidRPr="00DD7DAF">
        <w:rPr>
          <w:noProof/>
        </w:rPr>
        <w:t>around</w:t>
      </w:r>
      <w:r w:rsidRPr="00DD7DAF">
        <w:rPr>
          <w:noProof/>
        </w:rPr>
        <w:t xml:space="preserve"> </w:t>
      </w:r>
      <w:r w:rsidR="00050CEE" w:rsidRPr="00DD7DAF">
        <w:rPr>
          <w:noProof/>
        </w:rPr>
        <w:t>EUR 105</w:t>
      </w:r>
      <w:r w:rsidRPr="00DD7DAF">
        <w:rPr>
          <w:noProof/>
        </w:rPr>
        <w:t xml:space="preserve"> higher than in scenario S3</w:t>
      </w:r>
      <w:r w:rsidR="00F30E33" w:rsidRPr="00DD7DAF">
        <w:rPr>
          <w:noProof/>
        </w:rPr>
        <w:t xml:space="preserve"> (see </w:t>
      </w:r>
      <w:r w:rsidR="00F30E33" w:rsidRPr="00DD7DAF">
        <w:rPr>
          <w:noProof/>
        </w:rPr>
        <w:fldChar w:fldCharType="begin"/>
      </w:r>
      <w:r w:rsidR="00F30E33" w:rsidRPr="00DD7DAF">
        <w:rPr>
          <w:noProof/>
        </w:rPr>
        <w:instrText xml:space="preserve"> REF _Ref147501589 \h  \* MERGEFORMAT </w:instrText>
      </w:r>
      <w:r w:rsidR="00F30E33" w:rsidRPr="00DD7DAF">
        <w:rPr>
          <w:noProof/>
        </w:rPr>
      </w:r>
      <w:r w:rsidR="00F30E33" w:rsidRPr="00DD7DAF">
        <w:rPr>
          <w:noProof/>
        </w:rPr>
        <w:fldChar w:fldCharType="separate"/>
      </w:r>
      <w:r w:rsidR="00170A3C">
        <w:rPr>
          <w:noProof/>
        </w:rPr>
        <w:t>Figure 118</w:t>
      </w:r>
      <w:r w:rsidR="00F30E33" w:rsidRPr="00DD7DAF">
        <w:rPr>
          <w:noProof/>
        </w:rPr>
        <w:fldChar w:fldCharType="end"/>
      </w:r>
      <w:r w:rsidR="00F30E33" w:rsidRPr="00DD7DAF">
        <w:rPr>
          <w:noProof/>
        </w:rPr>
        <w:t>)</w:t>
      </w:r>
      <w:r w:rsidRPr="00DD7DAF">
        <w:rPr>
          <w:noProof/>
        </w:rPr>
        <w:t>.</w:t>
      </w:r>
      <w:r w:rsidR="00302A61" w:rsidRPr="00DD7DAF">
        <w:rPr>
          <w:noProof/>
        </w:rPr>
        <w:t xml:space="preserve"> Expressed as share of private consumption, total annual expenditures on energy products are projected to decrease over time (from 3.2% during 2021-2025 to 1.7-1.9% during 2036-2040 and 0.8-0.9% during 2046-2050), due to the sustained increase in the private consumption over time</w:t>
      </w:r>
      <w:r w:rsidRPr="00DD7DAF">
        <w:rPr>
          <w:noProof/>
        </w:rPr>
        <w:t>.</w:t>
      </w:r>
    </w:p>
    <w:p w14:paraId="08775618" w14:textId="331B3EA2" w:rsidR="00EA1CCE" w:rsidRPr="00EA1CCE" w:rsidRDefault="00EA1CCE" w:rsidP="00D80B53">
      <w:pPr>
        <w:pStyle w:val="Caption"/>
        <w:rPr>
          <w:noProof/>
        </w:rPr>
      </w:pPr>
      <w:bookmarkStart w:id="760" w:name="_Ref147501589"/>
      <w:bookmarkStart w:id="761" w:name="_Toc157679866"/>
      <w:r>
        <w:rPr>
          <w:noProof/>
        </w:rPr>
        <w:t xml:space="preserve">Figure </w:t>
      </w:r>
      <w:r>
        <w:rPr>
          <w:noProof/>
        </w:rPr>
        <w:fldChar w:fldCharType="begin"/>
      </w:r>
      <w:r>
        <w:rPr>
          <w:noProof/>
        </w:rPr>
        <w:instrText>SEQ Figure \* ARABIC</w:instrText>
      </w:r>
      <w:r>
        <w:rPr>
          <w:noProof/>
        </w:rPr>
        <w:fldChar w:fldCharType="separate"/>
      </w:r>
      <w:r w:rsidR="00170A3C">
        <w:rPr>
          <w:noProof/>
        </w:rPr>
        <w:t>118</w:t>
      </w:r>
      <w:r>
        <w:rPr>
          <w:noProof/>
        </w:rPr>
        <w:fldChar w:fldCharType="end"/>
      </w:r>
      <w:bookmarkEnd w:id="760"/>
      <w:r>
        <w:rPr>
          <w:noProof/>
        </w:rPr>
        <w:t xml:space="preserve">: Annual expenditures for </w:t>
      </w:r>
      <w:r w:rsidR="00662F09">
        <w:rPr>
          <w:noProof/>
        </w:rPr>
        <w:t xml:space="preserve">transport-related </w:t>
      </w:r>
      <w:r>
        <w:rPr>
          <w:noProof/>
        </w:rPr>
        <w:t>energy purchases</w:t>
      </w:r>
      <w:r w:rsidR="00662F09">
        <w:rPr>
          <w:noProof/>
        </w:rPr>
        <w:t xml:space="preserve"> per household</w:t>
      </w:r>
      <w:bookmarkEnd w:id="761"/>
    </w:p>
    <w:p w14:paraId="70063CD5" w14:textId="18304F84" w:rsidR="005A01C6" w:rsidRPr="00EA1CCE" w:rsidRDefault="005A01C6" w:rsidP="001464F6">
      <w:pPr>
        <w:keepNext/>
        <w:jc w:val="center"/>
        <w:rPr>
          <w:noProof/>
        </w:rPr>
      </w:pPr>
      <w:r w:rsidRPr="005A01C6">
        <w:rPr>
          <w:noProof/>
          <w:lang w:eastAsia="en-GB"/>
        </w:rPr>
        <w:drawing>
          <wp:inline distT="0" distB="0" distL="0" distR="0" wp14:anchorId="0F67EE88" wp14:editId="07B86276">
            <wp:extent cx="5400040" cy="251904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5400040" cy="2519045"/>
                    </a:xfrm>
                    <a:prstGeom prst="rect">
                      <a:avLst/>
                    </a:prstGeom>
                    <a:noFill/>
                    <a:ln>
                      <a:noFill/>
                    </a:ln>
                  </pic:spPr>
                </pic:pic>
              </a:graphicData>
            </a:graphic>
          </wp:inline>
        </w:drawing>
      </w:r>
    </w:p>
    <w:p w14:paraId="4B100940" w14:textId="77BBF30B" w:rsidR="002A4F74" w:rsidRPr="00DD7DAF" w:rsidRDefault="002A4F74" w:rsidP="002A4F74">
      <w:pPr>
        <w:pStyle w:val="CT-NOTE"/>
        <w:rPr>
          <w:noProof/>
        </w:rPr>
      </w:pPr>
      <w:r w:rsidRPr="002A4F74">
        <w:rPr>
          <w:noProof/>
        </w:rPr>
        <w:t xml:space="preserve">Note: Expenditures </w:t>
      </w:r>
      <w:r w:rsidR="00EF7616">
        <w:rPr>
          <w:noProof/>
        </w:rPr>
        <w:t xml:space="preserve">are </w:t>
      </w:r>
      <w:r w:rsidRPr="00DD7DAF">
        <w:rPr>
          <w:noProof/>
        </w:rPr>
        <w:t>expressed in EUR</w:t>
      </w:r>
      <w:r w:rsidR="001A308C" w:rsidRPr="00DD7DAF">
        <w:rPr>
          <w:noProof/>
        </w:rPr>
        <w:t>’</w:t>
      </w:r>
      <w:r w:rsidRPr="00DD7DAF">
        <w:rPr>
          <w:noProof/>
        </w:rPr>
        <w:t>2023.</w:t>
      </w:r>
    </w:p>
    <w:p w14:paraId="44FCFBCB" w14:textId="2A3ADAEF" w:rsidR="00EA1CCE" w:rsidRPr="00DD7DAF" w:rsidRDefault="00EA1CCE" w:rsidP="002A3E0A">
      <w:pPr>
        <w:pStyle w:val="CT-SOURCE"/>
        <w:keepNext w:val="0"/>
        <w:rPr>
          <w:noProof/>
        </w:rPr>
      </w:pPr>
      <w:r w:rsidRPr="00DD7DAF">
        <w:rPr>
          <w:noProof/>
        </w:rPr>
        <w:t>Source: PRIMES</w:t>
      </w:r>
    </w:p>
    <w:p w14:paraId="460506DA" w14:textId="1AF4E259" w:rsidR="00BF26E0" w:rsidRPr="00EA5E6D" w:rsidRDefault="00BF26E0" w:rsidP="002A3E0A">
      <w:pPr>
        <w:widowControl w:val="0"/>
        <w:rPr>
          <w:rFonts w:ascii="Times New Roman" w:hAnsi="Times New Roman" w:cs="Times New Roman"/>
          <w:iCs/>
          <w:noProof/>
        </w:rPr>
      </w:pPr>
      <w:r w:rsidRPr="00DD7DAF">
        <w:rPr>
          <w:rFonts w:ascii="Times New Roman" w:hAnsi="Times New Roman" w:cs="Times New Roman"/>
          <w:iCs/>
          <w:noProof/>
        </w:rPr>
        <w:t xml:space="preserve">Annual expenditures on transport services are projected to increase from </w:t>
      </w:r>
      <w:r w:rsidR="007A1D80" w:rsidRPr="00DD7DAF">
        <w:rPr>
          <w:rFonts w:ascii="Times New Roman" w:hAnsi="Times New Roman" w:cs="Times New Roman"/>
          <w:iCs/>
          <w:noProof/>
        </w:rPr>
        <w:t>EUR 83</w:t>
      </w:r>
      <w:r w:rsidRPr="00DD7DAF">
        <w:rPr>
          <w:rFonts w:ascii="Times New Roman" w:hAnsi="Times New Roman" w:cs="Times New Roman"/>
          <w:iCs/>
          <w:noProof/>
        </w:rPr>
        <w:t>0</w:t>
      </w:r>
      <w:r w:rsidRPr="00DD7DAF">
        <w:rPr>
          <w:rFonts w:ascii="Times New Roman" w:hAnsi="Times New Roman" w:cs="Times New Roman"/>
          <w:noProof/>
        </w:rPr>
        <w:t xml:space="preserve"> per year per household in 2021-2025 (13% of total transport expenditures per household) to </w:t>
      </w:r>
      <w:r w:rsidR="00B90C15" w:rsidRPr="00DD7DAF">
        <w:rPr>
          <w:rFonts w:ascii="Times New Roman" w:hAnsi="Times New Roman" w:cs="Times New Roman"/>
          <w:noProof/>
        </w:rPr>
        <w:t xml:space="preserve">around </w:t>
      </w:r>
      <w:r w:rsidR="007A1D80" w:rsidRPr="00DD7DAF">
        <w:rPr>
          <w:rFonts w:ascii="Times New Roman" w:hAnsi="Times New Roman" w:cs="Times New Roman"/>
          <w:noProof/>
        </w:rPr>
        <w:t>EUR 995</w:t>
      </w:r>
      <w:r w:rsidRPr="00DD7DAF">
        <w:rPr>
          <w:rFonts w:ascii="Times New Roman" w:hAnsi="Times New Roman" w:cs="Times New Roman"/>
          <w:noProof/>
        </w:rPr>
        <w:t>-</w:t>
      </w:r>
      <w:r w:rsidR="007A1D80" w:rsidRPr="00DD7DAF">
        <w:rPr>
          <w:rFonts w:ascii="Times New Roman" w:hAnsi="Times New Roman" w:cs="Times New Roman"/>
          <w:noProof/>
        </w:rPr>
        <w:t>1040</w:t>
      </w:r>
      <w:r w:rsidRPr="00DD7DAF">
        <w:rPr>
          <w:rFonts w:ascii="Times New Roman" w:hAnsi="Times New Roman" w:cs="Times New Roman"/>
          <w:noProof/>
        </w:rPr>
        <w:t xml:space="preserve"> per year per household during 2036-2040 (1</w:t>
      </w:r>
      <w:r w:rsidR="004B43C0" w:rsidRPr="00DD7DAF">
        <w:rPr>
          <w:rFonts w:ascii="Times New Roman" w:hAnsi="Times New Roman" w:cs="Times New Roman"/>
          <w:noProof/>
        </w:rPr>
        <w:t>4</w:t>
      </w:r>
      <w:r w:rsidR="00B90C15" w:rsidRPr="00DD7DAF">
        <w:rPr>
          <w:rFonts w:ascii="Times New Roman" w:hAnsi="Times New Roman" w:cs="Times New Roman"/>
          <w:noProof/>
        </w:rPr>
        <w:t>-15</w:t>
      </w:r>
      <w:r w:rsidRPr="00DD7DAF">
        <w:rPr>
          <w:rFonts w:ascii="Times New Roman" w:hAnsi="Times New Roman" w:cs="Times New Roman"/>
          <w:noProof/>
        </w:rPr>
        <w:t xml:space="preserve">% of total transport expenditures per household) and </w:t>
      </w:r>
      <w:r w:rsidR="00B90C15" w:rsidRPr="00DD7DAF">
        <w:rPr>
          <w:rFonts w:ascii="Times New Roman" w:hAnsi="Times New Roman" w:cs="Times New Roman"/>
          <w:noProof/>
        </w:rPr>
        <w:t>around EUR 1095</w:t>
      </w:r>
      <w:r w:rsidRPr="00DD7DAF">
        <w:rPr>
          <w:rFonts w:ascii="Times New Roman" w:hAnsi="Times New Roman" w:cs="Times New Roman"/>
          <w:noProof/>
        </w:rPr>
        <w:t>-</w:t>
      </w:r>
      <w:r w:rsidR="00B90C15" w:rsidRPr="00DD7DAF">
        <w:rPr>
          <w:rFonts w:ascii="Times New Roman" w:hAnsi="Times New Roman" w:cs="Times New Roman"/>
          <w:noProof/>
        </w:rPr>
        <w:t>1135</w:t>
      </w:r>
      <w:r w:rsidRPr="00DD7DAF">
        <w:rPr>
          <w:rFonts w:ascii="Times New Roman" w:hAnsi="Times New Roman" w:cs="Times New Roman"/>
          <w:noProof/>
        </w:rPr>
        <w:t xml:space="preserve"> during 2046-2050 (1</w:t>
      </w:r>
      <w:r w:rsidR="004B43C0" w:rsidRPr="00DD7DAF">
        <w:rPr>
          <w:rFonts w:ascii="Times New Roman" w:hAnsi="Times New Roman" w:cs="Times New Roman"/>
          <w:noProof/>
        </w:rPr>
        <w:t>7-18</w:t>
      </w:r>
      <w:r w:rsidRPr="00DD7DAF">
        <w:rPr>
          <w:rFonts w:ascii="Times New Roman" w:hAnsi="Times New Roman" w:cs="Times New Roman"/>
          <w:noProof/>
        </w:rPr>
        <w:t>% of total transport expenditures)</w:t>
      </w:r>
      <w:r w:rsidR="00DF7B72" w:rsidRPr="00DD7DAF">
        <w:rPr>
          <w:rFonts w:ascii="Times New Roman" w:hAnsi="Times New Roman" w:cs="Times New Roman"/>
          <w:noProof/>
        </w:rPr>
        <w:t xml:space="preserve">, as shown in </w:t>
      </w:r>
      <w:r w:rsidR="00DF7B72" w:rsidRPr="00DD7DAF">
        <w:rPr>
          <w:rFonts w:ascii="Times New Roman" w:hAnsi="Times New Roman" w:cs="Times New Roman"/>
          <w:noProof/>
        </w:rPr>
        <w:fldChar w:fldCharType="begin"/>
      </w:r>
      <w:r w:rsidR="00DF7B72" w:rsidRPr="00DD7DAF">
        <w:rPr>
          <w:rFonts w:ascii="Times New Roman" w:hAnsi="Times New Roman" w:cs="Times New Roman"/>
          <w:noProof/>
        </w:rPr>
        <w:instrText xml:space="preserve"> REF _Ref147509485 \h  \* MERGEFORMAT </w:instrText>
      </w:r>
      <w:r w:rsidR="00DF7B72" w:rsidRPr="00DD7DAF">
        <w:rPr>
          <w:rFonts w:ascii="Times New Roman" w:hAnsi="Times New Roman" w:cs="Times New Roman"/>
          <w:noProof/>
        </w:rPr>
      </w:r>
      <w:r w:rsidR="00DF7B72" w:rsidRPr="00DD7DAF">
        <w:rPr>
          <w:rFonts w:ascii="Times New Roman" w:hAnsi="Times New Roman" w:cs="Times New Roman"/>
          <w:noProof/>
        </w:rPr>
        <w:fldChar w:fldCharType="separate"/>
      </w:r>
      <w:r w:rsidR="00170A3C">
        <w:rPr>
          <w:noProof/>
        </w:rPr>
        <w:t>Figure 119</w:t>
      </w:r>
      <w:r w:rsidR="00DF7B72" w:rsidRPr="00DD7DAF">
        <w:rPr>
          <w:rFonts w:ascii="Times New Roman" w:hAnsi="Times New Roman" w:cs="Times New Roman"/>
          <w:noProof/>
        </w:rPr>
        <w:fldChar w:fldCharType="end"/>
      </w:r>
      <w:r w:rsidRPr="00DD7DAF">
        <w:rPr>
          <w:rFonts w:ascii="Times New Roman" w:hAnsi="Times New Roman" w:cs="Times New Roman"/>
          <w:noProof/>
        </w:rPr>
        <w:t>. This projected increase is linked to higher use of public transport and multimodality. Expressed as share of private consumption, total annual expenditures on transport services are however projected to remain relatively stable over time at around 1.</w:t>
      </w:r>
      <w:r w:rsidR="00DE6797" w:rsidRPr="00DD7DAF">
        <w:rPr>
          <w:rFonts w:ascii="Times New Roman" w:hAnsi="Times New Roman" w:cs="Times New Roman"/>
          <w:noProof/>
        </w:rPr>
        <w:t>8</w:t>
      </w:r>
      <w:r w:rsidRPr="00DD7DAF">
        <w:rPr>
          <w:rFonts w:ascii="Times New Roman" w:hAnsi="Times New Roman" w:cs="Times New Roman"/>
          <w:noProof/>
        </w:rPr>
        <w:t>-1.</w:t>
      </w:r>
      <w:r w:rsidR="00DE6797" w:rsidRPr="00DD7DAF">
        <w:rPr>
          <w:rFonts w:ascii="Times New Roman" w:hAnsi="Times New Roman" w:cs="Times New Roman"/>
          <w:noProof/>
        </w:rPr>
        <w:t>9</w:t>
      </w:r>
      <w:r w:rsidRPr="00DD7DAF">
        <w:rPr>
          <w:rFonts w:ascii="Times New Roman" w:hAnsi="Times New Roman" w:cs="Times New Roman"/>
          <w:noProof/>
        </w:rPr>
        <w:t>% due to the sustained increase in private consumption.</w:t>
      </w:r>
      <w:r w:rsidRPr="00EA5E6D">
        <w:rPr>
          <w:rFonts w:ascii="Times New Roman" w:hAnsi="Times New Roman" w:cs="Times New Roman"/>
          <w:noProof/>
        </w:rPr>
        <w:t xml:space="preserve"> </w:t>
      </w:r>
    </w:p>
    <w:p w14:paraId="5F03453E" w14:textId="2C97FA57" w:rsidR="001464F6" w:rsidRDefault="001464F6" w:rsidP="001464F6">
      <w:pPr>
        <w:pStyle w:val="Caption"/>
        <w:rPr>
          <w:noProof/>
        </w:rPr>
      </w:pPr>
      <w:bookmarkStart w:id="762" w:name="_Ref147509485"/>
      <w:bookmarkStart w:id="763" w:name="_Toc157679867"/>
      <w:r>
        <w:rPr>
          <w:noProof/>
        </w:rPr>
        <w:t xml:space="preserve">Figure </w:t>
      </w:r>
      <w:r>
        <w:rPr>
          <w:noProof/>
        </w:rPr>
        <w:fldChar w:fldCharType="begin"/>
      </w:r>
      <w:r>
        <w:rPr>
          <w:noProof/>
        </w:rPr>
        <w:instrText>SEQ Figure \* ARABIC</w:instrText>
      </w:r>
      <w:r>
        <w:rPr>
          <w:noProof/>
        </w:rPr>
        <w:fldChar w:fldCharType="separate"/>
      </w:r>
      <w:r w:rsidR="00170A3C">
        <w:rPr>
          <w:noProof/>
        </w:rPr>
        <w:t>119</w:t>
      </w:r>
      <w:r>
        <w:rPr>
          <w:noProof/>
        </w:rPr>
        <w:fldChar w:fldCharType="end"/>
      </w:r>
      <w:bookmarkEnd w:id="762"/>
      <w:r>
        <w:rPr>
          <w:noProof/>
        </w:rPr>
        <w:t>: Annual expenditures for transport services per household</w:t>
      </w:r>
      <w:bookmarkEnd w:id="763"/>
    </w:p>
    <w:p w14:paraId="5CD35B55" w14:textId="7CEB0C89" w:rsidR="001464F6" w:rsidRDefault="007D7512" w:rsidP="007D7512">
      <w:pPr>
        <w:keepNext/>
        <w:jc w:val="center"/>
        <w:rPr>
          <w:noProof/>
        </w:rPr>
      </w:pPr>
      <w:r w:rsidRPr="007D7512">
        <w:rPr>
          <w:noProof/>
          <w:lang w:eastAsia="en-GB"/>
        </w:rPr>
        <w:drawing>
          <wp:inline distT="0" distB="0" distL="0" distR="0" wp14:anchorId="3F2F143B" wp14:editId="6D16C3DC">
            <wp:extent cx="5400675" cy="2514600"/>
            <wp:effectExtent l="0" t="0" r="9525" b="0"/>
            <wp:docPr id="1506651203" name="Picture 150665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5400675" cy="2514600"/>
                    </a:xfrm>
                    <a:prstGeom prst="rect">
                      <a:avLst/>
                    </a:prstGeom>
                    <a:noFill/>
                    <a:ln>
                      <a:noFill/>
                    </a:ln>
                  </pic:spPr>
                </pic:pic>
              </a:graphicData>
            </a:graphic>
          </wp:inline>
        </w:drawing>
      </w:r>
    </w:p>
    <w:p w14:paraId="6793D56C" w14:textId="07429105" w:rsidR="001464F6" w:rsidRPr="00DD7DAF" w:rsidRDefault="001464F6" w:rsidP="001464F6">
      <w:pPr>
        <w:pStyle w:val="CT-NOTE"/>
        <w:rPr>
          <w:noProof/>
        </w:rPr>
      </w:pPr>
      <w:r w:rsidRPr="002A4F74">
        <w:rPr>
          <w:noProof/>
        </w:rPr>
        <w:t xml:space="preserve">Note: Expenditures </w:t>
      </w:r>
      <w:r>
        <w:rPr>
          <w:noProof/>
        </w:rPr>
        <w:t xml:space="preserve">are </w:t>
      </w:r>
      <w:r w:rsidRPr="00DD7DAF">
        <w:rPr>
          <w:noProof/>
        </w:rPr>
        <w:t>expressed in EUR’2023.</w:t>
      </w:r>
    </w:p>
    <w:p w14:paraId="2D6F74CA" w14:textId="7685C198" w:rsidR="001464F6" w:rsidRPr="00DD7DAF" w:rsidRDefault="001464F6" w:rsidP="001464F6">
      <w:pPr>
        <w:pStyle w:val="CT-SOURCE"/>
        <w:rPr>
          <w:noProof/>
        </w:rPr>
      </w:pPr>
      <w:r w:rsidRPr="00DD7DAF">
        <w:rPr>
          <w:noProof/>
        </w:rPr>
        <w:t>Source: PRIMES.</w:t>
      </w:r>
    </w:p>
    <w:p w14:paraId="50383D51" w14:textId="1060006C" w:rsidR="00C507E6" w:rsidRDefault="00BF26E0" w:rsidP="000D41F9">
      <w:pPr>
        <w:rPr>
          <w:noProof/>
          <w:sz w:val="23"/>
          <w:szCs w:val="23"/>
        </w:rPr>
      </w:pPr>
      <w:r w:rsidRPr="00DD7DAF">
        <w:rPr>
          <w:noProof/>
        </w:rPr>
        <w:t xml:space="preserve">The concept of </w:t>
      </w:r>
      <w:r w:rsidRPr="00DD7DAF">
        <w:rPr>
          <w:i/>
          <w:noProof/>
        </w:rPr>
        <w:t>transport poverty</w:t>
      </w:r>
      <w:r w:rsidRPr="00DD7DAF">
        <w:rPr>
          <w:noProof/>
        </w:rPr>
        <w:t xml:space="preserve"> describes the situation of people who are unable to meet the costs of private or public transport or do not have access (including availability), especially to public transport. The co-legislators agreed on a definition of transport poverty in the context of the Social Climate Fund</w:t>
      </w:r>
      <w:r w:rsidR="00D03C6F" w:rsidRPr="00DD7DAF">
        <w:rPr>
          <w:noProof/>
        </w:rPr>
        <w:t> (</w:t>
      </w:r>
      <w:r w:rsidRPr="00DD7DAF">
        <w:rPr>
          <w:rStyle w:val="FootnoteReference"/>
          <w:noProof/>
        </w:rPr>
        <w:footnoteReference w:id="301"/>
      </w:r>
      <w:r w:rsidR="00D03C6F" w:rsidRPr="00DD7DAF">
        <w:rPr>
          <w:noProof/>
        </w:rPr>
        <w:t>)</w:t>
      </w:r>
      <w:r w:rsidRPr="00DD7DAF">
        <w:rPr>
          <w:noProof/>
        </w:rPr>
        <w:t>. No appropriate EU indicators currently exist to regularly monitor the affordability of transport services. However, according to the latest available data from Eurostat, 2.4 % of all people in the EU and 5.8% of those at risk of poverty cannot afford to use public transport regularly</w:t>
      </w:r>
      <w:r w:rsidR="00D03C6F" w:rsidRPr="00DD7DAF">
        <w:rPr>
          <w:noProof/>
        </w:rPr>
        <w:t> (</w:t>
      </w:r>
      <w:r w:rsidRPr="00DD7DAF">
        <w:rPr>
          <w:rStyle w:val="FootnoteReference"/>
          <w:noProof/>
        </w:rPr>
        <w:footnoteReference w:id="302"/>
      </w:r>
      <w:r w:rsidR="00D03C6F" w:rsidRPr="00DD7DAF">
        <w:rPr>
          <w:noProof/>
        </w:rPr>
        <w:t>)</w:t>
      </w:r>
      <w:r w:rsidRPr="00DD7DAF">
        <w:rPr>
          <w:noProof/>
        </w:rPr>
        <w:t>. In addition to costs, access to transport depends on other factors, including the quality and frequency of services, the state of the infrastructure and</w:t>
      </w:r>
      <w:r w:rsidRPr="008511A5">
        <w:rPr>
          <w:noProof/>
        </w:rPr>
        <w:t xml:space="preserve"> accessibility (both digital and physical). Due to the lack of data, it is not possible to </w:t>
      </w:r>
      <w:r>
        <w:rPr>
          <w:noProof/>
        </w:rPr>
        <w:t xml:space="preserve">assess the evolution of the transport poverty over time in the scenarios. </w:t>
      </w:r>
      <w:r w:rsidRPr="008511A5">
        <w:rPr>
          <w:noProof/>
        </w:rPr>
        <w:t xml:space="preserve">It is however clear that up-to-date EU-level data on transport affordability is needed to closely monitor developments over time. </w:t>
      </w:r>
    </w:p>
    <w:p w14:paraId="40CCC168" w14:textId="22AD11B7" w:rsidR="00FE76E8" w:rsidRDefault="0095678C" w:rsidP="003D58B0">
      <w:pPr>
        <w:pStyle w:val="Heading3"/>
        <w:rPr>
          <w:noProof/>
        </w:rPr>
      </w:pPr>
      <w:bookmarkStart w:id="764" w:name="_Toc148605653"/>
      <w:bookmarkStart w:id="765" w:name="_Toc157692102"/>
      <w:r w:rsidRPr="005933BE">
        <w:rPr>
          <w:noProof/>
        </w:rPr>
        <w:t>Electricity prices</w:t>
      </w:r>
      <w:bookmarkEnd w:id="764"/>
      <w:bookmarkEnd w:id="765"/>
    </w:p>
    <w:p w14:paraId="656DDE81" w14:textId="705CB4DA" w:rsidR="005F2F2B" w:rsidRDefault="00BE7EFA" w:rsidP="00C20019">
      <w:pPr>
        <w:rPr>
          <w:noProof/>
        </w:rPr>
      </w:pPr>
      <w:r>
        <w:rPr>
          <w:noProof/>
        </w:rPr>
        <w:t>L</w:t>
      </w:r>
      <w:r w:rsidR="00FE76E8">
        <w:rPr>
          <w:noProof/>
        </w:rPr>
        <w:t>ow-income households are</w:t>
      </w:r>
      <w:r>
        <w:rPr>
          <w:noProof/>
        </w:rPr>
        <w:t xml:space="preserve"> particularly</w:t>
      </w:r>
      <w:r w:rsidR="00FE76E8">
        <w:rPr>
          <w:noProof/>
        </w:rPr>
        <w:t xml:space="preserve"> vulnerable to e</w:t>
      </w:r>
      <w:r>
        <w:rPr>
          <w:noProof/>
        </w:rPr>
        <w:t>lectricity</w:t>
      </w:r>
      <w:r w:rsidR="00FE76E8">
        <w:rPr>
          <w:noProof/>
        </w:rPr>
        <w:t xml:space="preserve"> price </w:t>
      </w:r>
      <w:r>
        <w:rPr>
          <w:noProof/>
        </w:rPr>
        <w:t>increases</w:t>
      </w:r>
      <w:r w:rsidR="00FE76E8">
        <w:rPr>
          <w:noProof/>
        </w:rPr>
        <w:t>. T</w:t>
      </w:r>
      <w:r>
        <w:rPr>
          <w:noProof/>
        </w:rPr>
        <w:t xml:space="preserve">he Commission proposal to </w:t>
      </w:r>
      <w:r w:rsidR="005F2F2B">
        <w:rPr>
          <w:noProof/>
        </w:rPr>
        <w:t>reform</w:t>
      </w:r>
      <w:r w:rsidR="005F2F2B" w:rsidRPr="00F74975">
        <w:rPr>
          <w:noProof/>
        </w:rPr>
        <w:t xml:space="preserve"> </w:t>
      </w:r>
      <w:r w:rsidR="005F2F2B">
        <w:rPr>
          <w:noProof/>
        </w:rPr>
        <w:t>the electricity market design on 14 March 2023</w:t>
      </w:r>
      <w:r w:rsidR="001C5409" w:rsidRPr="001C5409">
        <w:rPr>
          <w:rFonts w:cs="Times New Roman"/>
          <w:noProof/>
        </w:rPr>
        <w:t> (</w:t>
      </w:r>
      <w:r w:rsidR="005F2F2B">
        <w:rPr>
          <w:rStyle w:val="FootnoteReference"/>
          <w:noProof/>
        </w:rPr>
        <w:footnoteReference w:id="303"/>
      </w:r>
      <w:r w:rsidR="001C5409">
        <w:rPr>
          <w:rFonts w:cs="Times New Roman"/>
          <w:noProof/>
        </w:rPr>
        <w:t>)</w:t>
      </w:r>
      <w:r w:rsidR="005F2F2B">
        <w:rPr>
          <w:noProof/>
        </w:rPr>
        <w:t xml:space="preserve"> </w:t>
      </w:r>
      <w:r>
        <w:rPr>
          <w:noProof/>
        </w:rPr>
        <w:t>aims at</w:t>
      </w:r>
      <w:r w:rsidR="005F2F2B">
        <w:rPr>
          <w:noProof/>
        </w:rPr>
        <w:t xml:space="preserve"> strengthen</w:t>
      </w:r>
      <w:r>
        <w:rPr>
          <w:noProof/>
        </w:rPr>
        <w:t>ing</w:t>
      </w:r>
      <w:r w:rsidR="005F2F2B">
        <w:rPr>
          <w:noProof/>
        </w:rPr>
        <w:t xml:space="preserve"> consumer protection, particularly for the </w:t>
      </w:r>
      <w:r>
        <w:rPr>
          <w:noProof/>
        </w:rPr>
        <w:t>most vulnerable</w:t>
      </w:r>
      <w:r w:rsidR="005F2F2B">
        <w:rPr>
          <w:noProof/>
        </w:rPr>
        <w:t xml:space="preserve"> households.</w:t>
      </w:r>
      <w:r w:rsidR="00CE59D8">
        <w:rPr>
          <w:noProof/>
        </w:rPr>
        <w:t xml:space="preserve"> </w:t>
      </w:r>
      <w:r w:rsidR="005F2F2B">
        <w:rPr>
          <w:noProof/>
        </w:rPr>
        <w:t>With this reform, consumers would be entitled to secure fixed-price contracts, with the option of multiple or combined tailor-made contracts, as well as access to clearer pre-contractual information.</w:t>
      </w:r>
    </w:p>
    <w:p w14:paraId="42FDF3DF" w14:textId="370BFFF8" w:rsidR="005F2F2B" w:rsidRPr="000B2EFA" w:rsidRDefault="005F2F2B" w:rsidP="000B2EFA">
      <w:pPr>
        <w:rPr>
          <w:rFonts w:cs="Times New Roman"/>
          <w:noProof/>
          <w:shd w:val="clear" w:color="auto" w:fill="FFFFFF"/>
        </w:rPr>
      </w:pPr>
      <w:r w:rsidRPr="000B2EFA">
        <w:rPr>
          <w:rFonts w:cs="Times New Roman"/>
          <w:noProof/>
          <w:shd w:val="clear" w:color="auto" w:fill="FFFFFF"/>
        </w:rPr>
        <w:t>For the most vulnerable</w:t>
      </w:r>
      <w:r w:rsidR="00CE59D8" w:rsidRPr="000B2EFA">
        <w:rPr>
          <w:rFonts w:cs="Times New Roman"/>
          <w:noProof/>
          <w:shd w:val="clear" w:color="auto" w:fill="FFFFFF"/>
        </w:rPr>
        <w:t>s</w:t>
      </w:r>
      <w:r w:rsidRPr="000B2EFA">
        <w:rPr>
          <w:rFonts w:cs="Times New Roman"/>
          <w:noProof/>
          <w:shd w:val="clear" w:color="auto" w:fill="FFFFFF"/>
        </w:rPr>
        <w:t>, a supplier of last resort would be selected so that no consumer ends up without electricity in case of supplier failure. This is complemented by an obligation on Member States to ensure that vulnerable customers are protected from electricity disconnections. Also, the proposal suggests allowing Member States to extend regulated retail prices to households and SMEs in the event of a crisis. The possibility to access renewable energy directly through participation in energy sharing arrangements allow all consumers to benefit from renewable energy, hence being less subject to electricity wholesale prices movements which depend on fossil fuel prices.</w:t>
      </w:r>
    </w:p>
    <w:p w14:paraId="23819944" w14:textId="735BE4D9" w:rsidR="005F2F2B" w:rsidRPr="00C20019" w:rsidRDefault="000240F9" w:rsidP="005F2F2B">
      <w:pPr>
        <w:rPr>
          <w:rFonts w:cs="Times New Roman"/>
          <w:noProof/>
          <w:shd w:val="clear" w:color="auto" w:fill="FFFFFF"/>
        </w:rPr>
      </w:pPr>
      <w:r w:rsidRPr="00C20019">
        <w:rPr>
          <w:rFonts w:cs="Times New Roman"/>
          <w:noProof/>
          <w:shd w:val="clear" w:color="auto" w:fill="FFFFFF"/>
        </w:rPr>
        <w:t>T</w:t>
      </w:r>
      <w:r w:rsidR="005F2F2B" w:rsidRPr="00C20019">
        <w:rPr>
          <w:rFonts w:cs="Times New Roman"/>
          <w:noProof/>
          <w:shd w:val="clear" w:color="auto" w:fill="FFFFFF"/>
        </w:rPr>
        <w:t>he</w:t>
      </w:r>
      <w:r w:rsidR="005F2F2B">
        <w:rPr>
          <w:rFonts w:cs="Times New Roman"/>
          <w:noProof/>
        </w:rPr>
        <w:t xml:space="preserve"> Social Climate Fund (‘the Fund’) aims at</w:t>
      </w:r>
      <w:r w:rsidR="005F2F2B" w:rsidRPr="00C20019">
        <w:rPr>
          <w:rFonts w:cs="Times New Roman"/>
          <w:noProof/>
          <w:shd w:val="clear" w:color="auto" w:fill="FFFFFF"/>
        </w:rPr>
        <w:t xml:space="preserve"> addressing any social impacts that arise from the extension of </w:t>
      </w:r>
      <w:r w:rsidR="00D320D8" w:rsidRPr="00C20019">
        <w:rPr>
          <w:rFonts w:cs="Times New Roman"/>
          <w:noProof/>
          <w:shd w:val="clear" w:color="auto" w:fill="FFFFFF"/>
        </w:rPr>
        <w:t xml:space="preserve">the </w:t>
      </w:r>
      <w:r w:rsidR="005F2F2B" w:rsidRPr="00C20019">
        <w:rPr>
          <w:rFonts w:cs="Times New Roman"/>
          <w:noProof/>
          <w:shd w:val="clear" w:color="auto" w:fill="FFFFFF"/>
        </w:rPr>
        <w:t xml:space="preserve">emissions trading </w:t>
      </w:r>
      <w:r w:rsidR="00D320D8" w:rsidRPr="00C20019">
        <w:rPr>
          <w:rFonts w:cs="Times New Roman"/>
          <w:noProof/>
          <w:shd w:val="clear" w:color="auto" w:fill="FFFFFF"/>
        </w:rPr>
        <w:t xml:space="preserve">system </w:t>
      </w:r>
      <w:r w:rsidR="005F2F2B" w:rsidRPr="00C20019">
        <w:rPr>
          <w:rFonts w:cs="Times New Roman"/>
          <w:noProof/>
          <w:shd w:val="clear" w:color="auto" w:fill="FFFFFF"/>
        </w:rPr>
        <w:t xml:space="preserve">to the building and road transport sectors. This is achieved by financing temporary direct income support for vulnerable households and supporting measures and investments that reduce emissions in </w:t>
      </w:r>
      <w:r w:rsidR="00D320D8">
        <w:rPr>
          <w:rFonts w:cs="Times New Roman"/>
          <w:noProof/>
          <w:shd w:val="clear" w:color="auto" w:fill="FFFFFF"/>
        </w:rPr>
        <w:t xml:space="preserve">the </w:t>
      </w:r>
      <w:r w:rsidR="005F2F2B" w:rsidRPr="00C20019">
        <w:rPr>
          <w:rFonts w:cs="Times New Roman"/>
          <w:noProof/>
          <w:shd w:val="clear" w:color="auto" w:fill="FFFFFF"/>
        </w:rPr>
        <w:t>road transport and buildings sector</w:t>
      </w:r>
      <w:r w:rsidR="00D320D8">
        <w:rPr>
          <w:rFonts w:cs="Times New Roman"/>
          <w:noProof/>
          <w:shd w:val="clear" w:color="auto" w:fill="FFFFFF"/>
        </w:rPr>
        <w:t>s</w:t>
      </w:r>
      <w:r w:rsidR="005F2F2B" w:rsidRPr="00C20019">
        <w:rPr>
          <w:rFonts w:cs="Times New Roman"/>
          <w:noProof/>
          <w:shd w:val="clear" w:color="auto" w:fill="FFFFFF"/>
        </w:rPr>
        <w:t xml:space="preserve">. As a result, this contributes to reducing costs for vulnerable households, micro-enterprises, and transport users. </w:t>
      </w:r>
    </w:p>
    <w:p w14:paraId="05E7CEEE" w14:textId="1218957D" w:rsidR="00635C9D" w:rsidRPr="00C20019" w:rsidRDefault="00D320D8" w:rsidP="003D7D2B">
      <w:pPr>
        <w:rPr>
          <w:rFonts w:cs="Times New Roman"/>
          <w:noProof/>
          <w:shd w:val="clear" w:color="auto" w:fill="FFFFFF"/>
        </w:rPr>
      </w:pPr>
      <w:r>
        <w:rPr>
          <w:rFonts w:cs="Times New Roman"/>
          <w:noProof/>
          <w:shd w:val="clear" w:color="auto" w:fill="FFFFFF"/>
        </w:rPr>
        <w:t>For</w:t>
      </w:r>
      <w:r w:rsidR="00461FBF" w:rsidRPr="00C20019">
        <w:rPr>
          <w:rFonts w:cs="Times New Roman"/>
          <w:noProof/>
          <w:shd w:val="clear" w:color="auto" w:fill="FFFFFF"/>
        </w:rPr>
        <w:t xml:space="preserve"> the transport</w:t>
      </w:r>
      <w:r w:rsidR="00461FBF">
        <w:rPr>
          <w:rFonts w:cs="Times New Roman"/>
          <w:noProof/>
          <w:shd w:val="clear" w:color="auto" w:fill="FFFFFF"/>
        </w:rPr>
        <w:t xml:space="preserve"> </w:t>
      </w:r>
      <w:r>
        <w:rPr>
          <w:rFonts w:cs="Times New Roman"/>
          <w:noProof/>
          <w:shd w:val="clear" w:color="auto" w:fill="FFFFFF"/>
        </w:rPr>
        <w:t>sector,</w:t>
      </w:r>
      <w:r w:rsidR="005F2F2B" w:rsidRPr="00C20019">
        <w:rPr>
          <w:rFonts w:cs="Times New Roman"/>
          <w:noProof/>
          <w:shd w:val="clear" w:color="auto" w:fill="FFFFFF"/>
        </w:rPr>
        <w:t xml:space="preserve"> </w:t>
      </w:r>
      <w:r w:rsidR="00461FBF" w:rsidRPr="00C20019">
        <w:rPr>
          <w:rFonts w:cs="Times New Roman"/>
          <w:noProof/>
          <w:shd w:val="clear" w:color="auto" w:fill="FFFFFF"/>
        </w:rPr>
        <w:t xml:space="preserve">the fund grants an improved access to zero- and low-emission mobility and transport with financial </w:t>
      </w:r>
      <w:r w:rsidR="005F2F2B" w:rsidRPr="00C20019">
        <w:rPr>
          <w:rFonts w:cs="Times New Roman"/>
          <w:noProof/>
          <w:shd w:val="clear" w:color="auto" w:fill="FFFFFF"/>
        </w:rPr>
        <w:t>support</w:t>
      </w:r>
      <w:r w:rsidR="00461FBF" w:rsidRPr="00C20019">
        <w:rPr>
          <w:rFonts w:cs="Times New Roman"/>
          <w:noProof/>
          <w:shd w:val="clear" w:color="auto" w:fill="FFFFFF"/>
        </w:rPr>
        <w:t xml:space="preserve"> to purchase low emission </w:t>
      </w:r>
      <w:r w:rsidR="005F2F2B" w:rsidRPr="00C20019">
        <w:rPr>
          <w:rFonts w:cs="Times New Roman"/>
          <w:noProof/>
          <w:shd w:val="clear" w:color="auto" w:fill="FFFFFF"/>
        </w:rPr>
        <w:t>vehicle</w:t>
      </w:r>
      <w:r>
        <w:rPr>
          <w:rFonts w:cs="Times New Roman"/>
          <w:noProof/>
          <w:shd w:val="clear" w:color="auto" w:fill="FFFFFF"/>
        </w:rPr>
        <w:t>s</w:t>
      </w:r>
      <w:r w:rsidR="005F2F2B" w:rsidRPr="00C20019">
        <w:rPr>
          <w:rFonts w:cs="Times New Roman"/>
          <w:noProof/>
          <w:shd w:val="clear" w:color="auto" w:fill="FFFFFF"/>
        </w:rPr>
        <w:t>.</w:t>
      </w:r>
      <w:r w:rsidR="00461FBF" w:rsidRPr="00C20019">
        <w:rPr>
          <w:rFonts w:cs="Times New Roman"/>
          <w:noProof/>
          <w:shd w:val="clear" w:color="auto" w:fill="FFFFFF"/>
        </w:rPr>
        <w:t xml:space="preserve"> </w:t>
      </w:r>
      <w:r w:rsidR="005F2F2B" w:rsidRPr="00C20019">
        <w:rPr>
          <w:rFonts w:cs="Times New Roman"/>
          <w:noProof/>
          <w:shd w:val="clear" w:color="auto" w:fill="FFFFFF"/>
        </w:rPr>
        <w:t>It can also serve to provide</w:t>
      </w:r>
      <w:r w:rsidR="00461FBF" w:rsidRPr="00C20019">
        <w:rPr>
          <w:rFonts w:cs="Times New Roman"/>
          <w:noProof/>
          <w:shd w:val="clear" w:color="auto" w:fill="FFFFFF"/>
        </w:rPr>
        <w:t xml:space="preserve"> free access to public transport or adapted tariffs for access to public transport.</w:t>
      </w:r>
    </w:p>
    <w:p w14:paraId="67C3B925" w14:textId="36E2CF19" w:rsidR="00DD6070" w:rsidRPr="005933BE" w:rsidRDefault="00DD6070" w:rsidP="005933BE">
      <w:pPr>
        <w:pStyle w:val="Heading3"/>
        <w:rPr>
          <w:noProof/>
        </w:rPr>
      </w:pPr>
      <w:bookmarkStart w:id="766" w:name="_Ref143529680"/>
      <w:bookmarkStart w:id="767" w:name="_Toc148605654"/>
      <w:bookmarkStart w:id="768" w:name="_Toc157692103"/>
      <w:r w:rsidRPr="005933BE">
        <w:rPr>
          <w:noProof/>
        </w:rPr>
        <w:t>Sectoral employment, skills and occupation groups</w:t>
      </w:r>
      <w:bookmarkEnd w:id="766"/>
      <w:bookmarkEnd w:id="767"/>
      <w:bookmarkEnd w:id="768"/>
    </w:p>
    <w:p w14:paraId="073929CD" w14:textId="6081477E" w:rsidR="00E52A69" w:rsidRDefault="00E52A69" w:rsidP="00F7719F">
      <w:pPr>
        <w:pStyle w:val="Heading4"/>
        <w:rPr>
          <w:noProof/>
        </w:rPr>
      </w:pPr>
      <w:r>
        <w:rPr>
          <w:noProof/>
        </w:rPr>
        <w:t>General impacts</w:t>
      </w:r>
    </w:p>
    <w:p w14:paraId="26203899" w14:textId="68B9B875" w:rsidR="00D46659" w:rsidRDefault="008C4F45" w:rsidP="00CB17CD">
      <w:pPr>
        <w:rPr>
          <w:noProof/>
        </w:rPr>
      </w:pPr>
      <w:r>
        <w:rPr>
          <w:noProof/>
        </w:rPr>
        <w:t xml:space="preserve">As indicated in previous </w:t>
      </w:r>
      <w:r w:rsidRPr="00564674">
        <w:rPr>
          <w:noProof/>
        </w:rPr>
        <w:t>impact assessments</w:t>
      </w:r>
      <w:r w:rsidR="005F61D4" w:rsidRPr="00564674">
        <w:rPr>
          <w:noProof/>
        </w:rPr>
        <w:t xml:space="preserve"> and </w:t>
      </w:r>
      <w:r w:rsidR="005C5B58" w:rsidRPr="00564674">
        <w:rPr>
          <w:noProof/>
        </w:rPr>
        <w:t xml:space="preserve">confirmed </w:t>
      </w:r>
      <w:r w:rsidR="005F61D4" w:rsidRPr="00564674">
        <w:rPr>
          <w:noProof/>
        </w:rPr>
        <w:t xml:space="preserve">in </w:t>
      </w:r>
      <w:r w:rsidR="007432BE" w:rsidRPr="00564674">
        <w:rPr>
          <w:noProof/>
        </w:rPr>
        <w:t>S</w:t>
      </w:r>
      <w:r w:rsidR="005F61D4" w:rsidRPr="00564674">
        <w:rPr>
          <w:noProof/>
        </w:rPr>
        <w:t xml:space="preserve">ection </w:t>
      </w:r>
      <w:r w:rsidR="005F61D4" w:rsidRPr="00564674">
        <w:rPr>
          <w:noProof/>
          <w:color w:val="2B579A"/>
          <w:shd w:val="clear" w:color="auto" w:fill="E6E6E6"/>
        </w:rPr>
        <w:fldChar w:fldCharType="begin"/>
      </w:r>
      <w:r w:rsidR="005F61D4" w:rsidRPr="00564674">
        <w:rPr>
          <w:noProof/>
        </w:rPr>
        <w:instrText xml:space="preserve"> REF _Ref140491301 \r \h </w:instrText>
      </w:r>
      <w:r w:rsidR="007432BE" w:rsidRPr="00564674">
        <w:rPr>
          <w:noProof/>
          <w:color w:val="2B579A"/>
          <w:shd w:val="clear" w:color="auto" w:fill="E6E6E6"/>
        </w:rPr>
        <w:instrText xml:space="preserve"> \* MERGEFORMAT </w:instrText>
      </w:r>
      <w:r w:rsidR="005F61D4" w:rsidRPr="00564674">
        <w:rPr>
          <w:noProof/>
          <w:color w:val="2B579A"/>
          <w:shd w:val="clear" w:color="auto" w:fill="E6E6E6"/>
        </w:rPr>
      </w:r>
      <w:r w:rsidR="005F61D4" w:rsidRPr="00564674">
        <w:rPr>
          <w:noProof/>
          <w:color w:val="2B579A"/>
          <w:shd w:val="clear" w:color="auto" w:fill="E6E6E6"/>
        </w:rPr>
        <w:fldChar w:fldCharType="separate"/>
      </w:r>
      <w:r w:rsidR="00170A3C">
        <w:rPr>
          <w:noProof/>
        </w:rPr>
        <w:t>2.1.1</w:t>
      </w:r>
      <w:r w:rsidR="005F61D4" w:rsidRPr="00564674">
        <w:rPr>
          <w:noProof/>
          <w:color w:val="2B579A"/>
          <w:shd w:val="clear" w:color="auto" w:fill="E6E6E6"/>
        </w:rPr>
        <w:fldChar w:fldCharType="end"/>
      </w:r>
      <w:r w:rsidRPr="00564674">
        <w:rPr>
          <w:noProof/>
        </w:rPr>
        <w:t>, the transition to climate neutrality</w:t>
      </w:r>
      <w:r w:rsidR="005F61D4" w:rsidRPr="00564674">
        <w:rPr>
          <w:noProof/>
        </w:rPr>
        <w:t xml:space="preserve"> is projected to have a limited impact on aggregate employment</w:t>
      </w:r>
      <w:r w:rsidR="005C5B58" w:rsidRPr="00564674">
        <w:rPr>
          <w:noProof/>
        </w:rPr>
        <w:t xml:space="preserve">, driven primarily by the expected impacts on GDP. </w:t>
      </w:r>
      <w:r w:rsidR="00CE17A7">
        <w:rPr>
          <w:noProof/>
        </w:rPr>
        <w:t xml:space="preserve">However, </w:t>
      </w:r>
      <w:r w:rsidR="007E107B" w:rsidRPr="00564674">
        <w:rPr>
          <w:noProof/>
        </w:rPr>
        <w:t xml:space="preserve">the consequences </w:t>
      </w:r>
      <w:r w:rsidR="0086148E" w:rsidRPr="00564674">
        <w:rPr>
          <w:noProof/>
        </w:rPr>
        <w:t>of the transition on workers</w:t>
      </w:r>
      <w:r w:rsidR="00D32CE1" w:rsidRPr="00564674">
        <w:rPr>
          <w:noProof/>
        </w:rPr>
        <w:t>,</w:t>
      </w:r>
      <w:r w:rsidR="0086148E" w:rsidRPr="00564674">
        <w:rPr>
          <w:noProof/>
        </w:rPr>
        <w:t xml:space="preserve"> </w:t>
      </w:r>
      <w:r w:rsidR="00D32CE1" w:rsidRPr="00564674">
        <w:rPr>
          <w:noProof/>
        </w:rPr>
        <w:t xml:space="preserve">the </w:t>
      </w:r>
      <w:r w:rsidR="0086148E" w:rsidRPr="00564674">
        <w:rPr>
          <w:noProof/>
        </w:rPr>
        <w:t xml:space="preserve">labour </w:t>
      </w:r>
      <w:r w:rsidR="00D32CE1" w:rsidRPr="00564674">
        <w:rPr>
          <w:noProof/>
        </w:rPr>
        <w:t xml:space="preserve">market and skills </w:t>
      </w:r>
      <w:r w:rsidR="00CE17A7">
        <w:rPr>
          <w:noProof/>
        </w:rPr>
        <w:t>will still be significant</w:t>
      </w:r>
      <w:r w:rsidR="0086148E" w:rsidRPr="00564674">
        <w:rPr>
          <w:noProof/>
        </w:rPr>
        <w:t xml:space="preserve">. </w:t>
      </w:r>
      <w:r w:rsidR="00F92B54" w:rsidRPr="00564674">
        <w:rPr>
          <w:noProof/>
        </w:rPr>
        <w:t>While some sectors</w:t>
      </w:r>
      <w:r w:rsidR="003D5759">
        <w:rPr>
          <w:noProof/>
        </w:rPr>
        <w:t xml:space="preserve"> </w:t>
      </w:r>
      <w:r w:rsidR="00F92B54" w:rsidRPr="00564674">
        <w:rPr>
          <w:noProof/>
        </w:rPr>
        <w:t xml:space="preserve">including </w:t>
      </w:r>
      <w:r w:rsidR="00155649" w:rsidRPr="00564674">
        <w:rPr>
          <w:noProof/>
        </w:rPr>
        <w:t xml:space="preserve">a large share of </w:t>
      </w:r>
      <w:r w:rsidR="00F92B54" w:rsidRPr="00564674">
        <w:rPr>
          <w:noProof/>
        </w:rPr>
        <w:t>services</w:t>
      </w:r>
      <w:r w:rsidR="008644E1" w:rsidRPr="00564674">
        <w:rPr>
          <w:noProof/>
        </w:rPr>
        <w:t xml:space="preserve"> activities (</w:t>
      </w:r>
      <w:r w:rsidR="008644E1" w:rsidRPr="00564674">
        <w:rPr>
          <w:rStyle w:val="FootnoteReference"/>
          <w:noProof/>
        </w:rPr>
        <w:footnoteReference w:id="304"/>
      </w:r>
      <w:r w:rsidR="008644E1" w:rsidRPr="00564674">
        <w:rPr>
          <w:noProof/>
        </w:rPr>
        <w:t>)</w:t>
      </w:r>
      <w:r w:rsidR="00CE1313" w:rsidRPr="00564674">
        <w:rPr>
          <w:noProof/>
        </w:rPr>
        <w:t xml:space="preserve">, </w:t>
      </w:r>
      <w:r w:rsidR="00F92B54" w:rsidRPr="00564674">
        <w:rPr>
          <w:noProof/>
        </w:rPr>
        <w:t>which represent a major share of the labour market</w:t>
      </w:r>
      <w:r w:rsidR="00CE1313" w:rsidRPr="00564674">
        <w:rPr>
          <w:noProof/>
        </w:rPr>
        <w:t>, are likely to be affected margin</w:t>
      </w:r>
      <w:r w:rsidR="0010745D" w:rsidRPr="00564674">
        <w:rPr>
          <w:noProof/>
        </w:rPr>
        <w:t>ally</w:t>
      </w:r>
      <w:r w:rsidR="00CE1313" w:rsidRPr="00564674">
        <w:rPr>
          <w:noProof/>
        </w:rPr>
        <w:t xml:space="preserve">, other sectors </w:t>
      </w:r>
      <w:r w:rsidR="00104CBA" w:rsidRPr="00564674">
        <w:rPr>
          <w:noProof/>
        </w:rPr>
        <w:t>will undergo very significant transformations whether in terms of employment levels</w:t>
      </w:r>
      <w:r w:rsidR="00EE12D5" w:rsidRPr="00564674">
        <w:rPr>
          <w:noProof/>
        </w:rPr>
        <w:t xml:space="preserve"> </w:t>
      </w:r>
      <w:r w:rsidR="002A6968" w:rsidRPr="00564674">
        <w:rPr>
          <w:noProof/>
        </w:rPr>
        <w:t>or</w:t>
      </w:r>
      <w:r w:rsidR="00EE12D5" w:rsidRPr="00564674">
        <w:rPr>
          <w:noProof/>
        </w:rPr>
        <w:t xml:space="preserve"> skills needs</w:t>
      </w:r>
      <w:r w:rsidR="002A6968">
        <w:rPr>
          <w:noProof/>
        </w:rPr>
        <w:t xml:space="preserve"> and occupations.</w:t>
      </w:r>
      <w:r w:rsidR="0037207F">
        <w:rPr>
          <w:noProof/>
        </w:rPr>
        <w:t xml:space="preserve"> A </w:t>
      </w:r>
      <w:r w:rsidR="00890B0A">
        <w:rPr>
          <w:noProof/>
        </w:rPr>
        <w:t xml:space="preserve">limited </w:t>
      </w:r>
      <w:r w:rsidR="0037207F">
        <w:rPr>
          <w:noProof/>
        </w:rPr>
        <w:t>number of sectors</w:t>
      </w:r>
      <w:r w:rsidR="00890B0A">
        <w:rPr>
          <w:noProof/>
        </w:rPr>
        <w:t xml:space="preserve"> accounting for a small share of total employment</w:t>
      </w:r>
      <w:r w:rsidR="0037207F">
        <w:rPr>
          <w:noProof/>
        </w:rPr>
        <w:t xml:space="preserve"> will decline sharply, while </w:t>
      </w:r>
      <w:r w:rsidR="00890B0A">
        <w:rPr>
          <w:noProof/>
        </w:rPr>
        <w:t>significant employment opportunities should emerge elsewhere.</w:t>
      </w:r>
    </w:p>
    <w:p w14:paraId="383482BC" w14:textId="71300B81" w:rsidR="0083499F" w:rsidRDefault="006F1722" w:rsidP="00CB17CD">
      <w:pPr>
        <w:rPr>
          <w:noProof/>
        </w:rPr>
      </w:pPr>
      <w:r>
        <w:rPr>
          <w:noProof/>
        </w:rPr>
        <w:t xml:space="preserve">While macro-economic models project that the transition will have </w:t>
      </w:r>
      <w:r w:rsidR="00B12CA0">
        <w:rPr>
          <w:noProof/>
        </w:rPr>
        <w:t xml:space="preserve">a </w:t>
      </w:r>
      <w:r>
        <w:rPr>
          <w:noProof/>
        </w:rPr>
        <w:t xml:space="preserve">limited </w:t>
      </w:r>
      <w:r w:rsidR="00B12CA0">
        <w:rPr>
          <w:noProof/>
        </w:rPr>
        <w:t>effect</w:t>
      </w:r>
      <w:r>
        <w:rPr>
          <w:noProof/>
        </w:rPr>
        <w:t xml:space="preserve"> on aggregate employment relative to a business-as-usual scenario, it is important to </w:t>
      </w:r>
      <w:r w:rsidR="00605C9B">
        <w:rPr>
          <w:noProof/>
        </w:rPr>
        <w:t>bear in mind the evolving general context,</w:t>
      </w:r>
      <w:r w:rsidR="009D400C">
        <w:rPr>
          <w:noProof/>
        </w:rPr>
        <w:t xml:space="preserve"> and in particular demographic and technological change</w:t>
      </w:r>
      <w:r w:rsidR="008352BB">
        <w:rPr>
          <w:noProof/>
        </w:rPr>
        <w:t>s</w:t>
      </w:r>
      <w:r w:rsidR="009D400C">
        <w:rPr>
          <w:noProof/>
        </w:rPr>
        <w:t xml:space="preserve"> </w:t>
      </w:r>
      <w:r w:rsidR="008352BB">
        <w:rPr>
          <w:noProof/>
        </w:rPr>
        <w:t>that impact the labor market</w:t>
      </w:r>
      <w:r w:rsidR="00605C9B">
        <w:rPr>
          <w:noProof/>
        </w:rPr>
        <w:t xml:space="preserve"> independently from climate objectives and policies. </w:t>
      </w:r>
      <w:r w:rsidR="009F0CC2">
        <w:rPr>
          <w:noProof/>
        </w:rPr>
        <w:t>T</w:t>
      </w:r>
      <w:r w:rsidR="000A1F3B">
        <w:rPr>
          <w:noProof/>
        </w:rPr>
        <w:t xml:space="preserve">he EU’s population is projected to </w:t>
      </w:r>
      <w:r w:rsidR="00101A88">
        <w:rPr>
          <w:noProof/>
        </w:rPr>
        <w:t xml:space="preserve">decline slowly from the mid-2020s onwards alongside </w:t>
      </w:r>
      <w:r w:rsidR="007B5597">
        <w:rPr>
          <w:noProof/>
        </w:rPr>
        <w:t>continued ageing. As a result,</w:t>
      </w:r>
      <w:r w:rsidR="00605C9B">
        <w:rPr>
          <w:noProof/>
        </w:rPr>
        <w:t xml:space="preserve"> the</w:t>
      </w:r>
      <w:r w:rsidR="00605C9B" w:rsidRPr="00605C9B">
        <w:rPr>
          <w:noProof/>
        </w:rPr>
        <w:t xml:space="preserve"> </w:t>
      </w:r>
      <w:r w:rsidR="00605C9B">
        <w:rPr>
          <w:noProof/>
        </w:rPr>
        <w:t>overall employment will be on a significant declining trend at EU level.</w:t>
      </w:r>
      <w:r w:rsidR="007B5597">
        <w:rPr>
          <w:noProof/>
        </w:rPr>
        <w:t xml:space="preserve"> </w:t>
      </w:r>
      <w:r w:rsidR="00605C9B">
        <w:rPr>
          <w:noProof/>
        </w:rPr>
        <w:t xml:space="preserve">The </w:t>
      </w:r>
      <w:r w:rsidR="007B5597">
        <w:rPr>
          <w:noProof/>
        </w:rPr>
        <w:t xml:space="preserve">age dependency ratio is projected to increase from around 55% currently to </w:t>
      </w:r>
      <w:r w:rsidR="00744949">
        <w:rPr>
          <w:noProof/>
        </w:rPr>
        <w:t xml:space="preserve">around 75% by 2050, as the population of working age (15-64) </w:t>
      </w:r>
      <w:r w:rsidR="000F4004">
        <w:rPr>
          <w:noProof/>
        </w:rPr>
        <w:t xml:space="preserve">declines by </w:t>
      </w:r>
      <w:r w:rsidR="00F02E72">
        <w:rPr>
          <w:noProof/>
        </w:rPr>
        <w:t>almost 13%</w:t>
      </w:r>
      <w:r w:rsidR="00490812">
        <w:rPr>
          <w:noProof/>
        </w:rPr>
        <w:t xml:space="preserve"> (</w:t>
      </w:r>
      <w:r w:rsidR="00F02E72">
        <w:rPr>
          <w:noProof/>
        </w:rPr>
        <w:t>close to 37</w:t>
      </w:r>
      <w:r w:rsidR="00650EAF">
        <w:rPr>
          <w:noProof/>
        </w:rPr>
        <w:t> </w:t>
      </w:r>
      <w:r w:rsidR="00F02E72">
        <w:rPr>
          <w:noProof/>
        </w:rPr>
        <w:t>million people</w:t>
      </w:r>
      <w:r w:rsidR="00490812">
        <w:rPr>
          <w:noProof/>
        </w:rPr>
        <w:t>)</w:t>
      </w:r>
      <w:r w:rsidR="00F02E72">
        <w:rPr>
          <w:noProof/>
        </w:rPr>
        <w:t>.</w:t>
      </w:r>
      <w:r w:rsidR="00605C9B">
        <w:rPr>
          <w:noProof/>
        </w:rPr>
        <w:t xml:space="preserve"> </w:t>
      </w:r>
      <w:r w:rsidR="0085599B">
        <w:rPr>
          <w:noProof/>
        </w:rPr>
        <w:t>O</w:t>
      </w:r>
      <w:r w:rsidR="000550C9">
        <w:rPr>
          <w:noProof/>
        </w:rPr>
        <w:t>ther structural and technological changes</w:t>
      </w:r>
      <w:r w:rsidR="00496825">
        <w:rPr>
          <w:noProof/>
        </w:rPr>
        <w:t xml:space="preserve"> will </w:t>
      </w:r>
      <w:r w:rsidR="0085599B">
        <w:rPr>
          <w:noProof/>
        </w:rPr>
        <w:t xml:space="preserve">also </w:t>
      </w:r>
      <w:r w:rsidR="00496825">
        <w:rPr>
          <w:noProof/>
        </w:rPr>
        <w:t xml:space="preserve">affect the labour market and skills demand in fundamental ways. </w:t>
      </w:r>
      <w:r w:rsidR="0085599B">
        <w:rPr>
          <w:noProof/>
        </w:rPr>
        <w:t>T</w:t>
      </w:r>
      <w:r w:rsidR="00496825">
        <w:rPr>
          <w:noProof/>
        </w:rPr>
        <w:t>he rapid development and upt</w:t>
      </w:r>
      <w:r w:rsidR="00A269BF">
        <w:rPr>
          <w:noProof/>
        </w:rPr>
        <w:t xml:space="preserve">ake of artificial intelligence could </w:t>
      </w:r>
      <w:r w:rsidR="008C74BC">
        <w:rPr>
          <w:noProof/>
        </w:rPr>
        <w:t>upend many services jobs that have been so far relatively sheltered from structural changes and that represent a large share</w:t>
      </w:r>
      <w:r w:rsidR="002C76B5">
        <w:rPr>
          <w:noProof/>
        </w:rPr>
        <w:t xml:space="preserve"> of total employment in the EU.</w:t>
      </w:r>
    </w:p>
    <w:p w14:paraId="5159A9C2" w14:textId="36DBBD2C" w:rsidR="009A6DA1" w:rsidRPr="00564674" w:rsidRDefault="00636D15" w:rsidP="00CB17CD">
      <w:pPr>
        <w:rPr>
          <w:noProof/>
        </w:rPr>
      </w:pPr>
      <w:r>
        <w:rPr>
          <w:noProof/>
        </w:rPr>
        <w:t>In addition</w:t>
      </w:r>
      <w:r w:rsidR="00E01634">
        <w:rPr>
          <w:noProof/>
        </w:rPr>
        <w:t xml:space="preserve">, </w:t>
      </w:r>
      <w:r w:rsidR="00BC4B90">
        <w:rPr>
          <w:noProof/>
        </w:rPr>
        <w:t xml:space="preserve">it must be noted that </w:t>
      </w:r>
      <w:r w:rsidR="00F53F64">
        <w:rPr>
          <w:noProof/>
        </w:rPr>
        <w:t xml:space="preserve">the structure of </w:t>
      </w:r>
      <w:r w:rsidR="0062499D">
        <w:rPr>
          <w:noProof/>
        </w:rPr>
        <w:t xml:space="preserve">employment in the EU </w:t>
      </w:r>
      <w:r w:rsidR="00023F00">
        <w:rPr>
          <w:noProof/>
        </w:rPr>
        <w:t>has</w:t>
      </w:r>
      <w:r w:rsidR="0062499D">
        <w:rPr>
          <w:noProof/>
        </w:rPr>
        <w:t xml:space="preserve"> not </w:t>
      </w:r>
      <w:r w:rsidR="00023F00">
        <w:rPr>
          <w:noProof/>
        </w:rPr>
        <w:t xml:space="preserve">been </w:t>
      </w:r>
      <w:r w:rsidR="0062499D">
        <w:rPr>
          <w:noProof/>
        </w:rPr>
        <w:t>static</w:t>
      </w:r>
      <w:r w:rsidR="00023F00">
        <w:rPr>
          <w:noProof/>
        </w:rPr>
        <w:t xml:space="preserve"> in recent years</w:t>
      </w:r>
      <w:r w:rsidR="00DD054C">
        <w:rPr>
          <w:noProof/>
        </w:rPr>
        <w:t>.</w:t>
      </w:r>
      <w:r w:rsidR="00E32752">
        <w:rPr>
          <w:noProof/>
        </w:rPr>
        <w:t xml:space="preserve"> Even looking back only about a decade</w:t>
      </w:r>
      <w:r w:rsidR="00DD054C">
        <w:rPr>
          <w:noProof/>
        </w:rPr>
        <w:t xml:space="preserve"> and in a context of </w:t>
      </w:r>
      <w:r w:rsidR="00E76C08">
        <w:rPr>
          <w:noProof/>
        </w:rPr>
        <w:t xml:space="preserve">a </w:t>
      </w:r>
      <w:r w:rsidR="00DD054C">
        <w:rPr>
          <w:noProof/>
        </w:rPr>
        <w:t xml:space="preserve">rising </w:t>
      </w:r>
      <w:r w:rsidR="00E76C08">
        <w:rPr>
          <w:noProof/>
        </w:rPr>
        <w:t xml:space="preserve">number of </w:t>
      </w:r>
      <w:r w:rsidR="00DD054C">
        <w:rPr>
          <w:noProof/>
        </w:rPr>
        <w:t>total job</w:t>
      </w:r>
      <w:r w:rsidR="00E76C08">
        <w:rPr>
          <w:noProof/>
        </w:rPr>
        <w:t>s</w:t>
      </w:r>
      <w:r w:rsidR="00E32752" w:rsidRPr="00564674">
        <w:rPr>
          <w:noProof/>
        </w:rPr>
        <w:t>, significant changes have taken place</w:t>
      </w:r>
      <w:r w:rsidR="00A95DB4" w:rsidRPr="00564674">
        <w:rPr>
          <w:noProof/>
        </w:rPr>
        <w:t xml:space="preserve"> in terms of employment by economic activity</w:t>
      </w:r>
      <w:r w:rsidR="00D32CE1" w:rsidRPr="00564674">
        <w:rPr>
          <w:noProof/>
        </w:rPr>
        <w:t>,</w:t>
      </w:r>
      <w:r w:rsidR="00A95DB4" w:rsidRPr="00564674">
        <w:rPr>
          <w:noProof/>
        </w:rPr>
        <w:t xml:space="preserve"> by occupation</w:t>
      </w:r>
      <w:r w:rsidR="00D32CE1" w:rsidRPr="00564674">
        <w:rPr>
          <w:noProof/>
        </w:rPr>
        <w:t xml:space="preserve"> and by wage dynamics</w:t>
      </w:r>
      <w:r w:rsidR="00E32752" w:rsidRPr="00564674">
        <w:rPr>
          <w:noProof/>
        </w:rPr>
        <w:t>.</w:t>
      </w:r>
      <w:r w:rsidR="00A95DB4" w:rsidRPr="00564674">
        <w:rPr>
          <w:noProof/>
        </w:rPr>
        <w:t xml:space="preserve"> </w:t>
      </w:r>
      <w:r w:rsidR="008244BE" w:rsidRPr="00564674">
        <w:rPr>
          <w:noProof/>
        </w:rPr>
        <w:t>Services (market and non-market)</w:t>
      </w:r>
      <w:r w:rsidR="00D52F23" w:rsidRPr="00564674">
        <w:rPr>
          <w:noProof/>
        </w:rPr>
        <w:t xml:space="preserve"> activities currently represent </w:t>
      </w:r>
      <w:r w:rsidR="009D4E46" w:rsidRPr="00564674">
        <w:rPr>
          <w:noProof/>
        </w:rPr>
        <w:t xml:space="preserve">close to 130 million jobs, or </w:t>
      </w:r>
      <w:r w:rsidR="00D52F23" w:rsidRPr="00564674">
        <w:rPr>
          <w:noProof/>
        </w:rPr>
        <w:t xml:space="preserve">65% of total </w:t>
      </w:r>
      <w:r w:rsidR="009D4E46" w:rsidRPr="00564674">
        <w:rPr>
          <w:noProof/>
        </w:rPr>
        <w:t xml:space="preserve">EU </w:t>
      </w:r>
      <w:r w:rsidR="00D52F23" w:rsidRPr="00564674">
        <w:rPr>
          <w:noProof/>
        </w:rPr>
        <w:t>employment, up from 60% in 2008</w:t>
      </w:r>
      <w:r w:rsidR="00B3271C" w:rsidRPr="00564674">
        <w:rPr>
          <w:noProof/>
        </w:rPr>
        <w:t xml:space="preserve"> (</w:t>
      </w:r>
      <w:r w:rsidR="00DC3C86" w:rsidRPr="00564674">
        <w:rPr>
          <w:noProof/>
          <w:color w:val="2B579A"/>
          <w:shd w:val="clear" w:color="auto" w:fill="E6E6E6"/>
        </w:rPr>
        <w:fldChar w:fldCharType="begin"/>
      </w:r>
      <w:r w:rsidR="00DC3C86" w:rsidRPr="00564674">
        <w:rPr>
          <w:noProof/>
        </w:rPr>
        <w:instrText xml:space="preserve"> REF _Ref140570096 \h </w:instrText>
      </w:r>
      <w:r w:rsidR="007432BE" w:rsidRPr="00564674">
        <w:rPr>
          <w:noProof/>
          <w:color w:val="2B579A"/>
          <w:shd w:val="clear" w:color="auto" w:fill="E6E6E6"/>
        </w:rPr>
        <w:instrText xml:space="preserve"> \* MERGEFORMAT </w:instrText>
      </w:r>
      <w:r w:rsidR="00DC3C86" w:rsidRPr="00564674">
        <w:rPr>
          <w:noProof/>
          <w:color w:val="2B579A"/>
          <w:shd w:val="clear" w:color="auto" w:fill="E6E6E6"/>
        </w:rPr>
      </w:r>
      <w:r w:rsidR="00DC3C86" w:rsidRPr="00564674">
        <w:rPr>
          <w:noProof/>
          <w:color w:val="2B579A"/>
          <w:shd w:val="clear" w:color="auto" w:fill="E6E6E6"/>
        </w:rPr>
        <w:fldChar w:fldCharType="separate"/>
      </w:r>
      <w:r w:rsidR="00170A3C">
        <w:rPr>
          <w:noProof/>
        </w:rPr>
        <w:t>Table 48</w:t>
      </w:r>
      <w:r w:rsidR="00DC3C86" w:rsidRPr="00564674">
        <w:rPr>
          <w:noProof/>
          <w:color w:val="2B579A"/>
          <w:shd w:val="clear" w:color="auto" w:fill="E6E6E6"/>
        </w:rPr>
        <w:fldChar w:fldCharType="end"/>
      </w:r>
      <w:r w:rsidR="00B3271C" w:rsidRPr="00564674">
        <w:rPr>
          <w:noProof/>
        </w:rPr>
        <w:t>)</w:t>
      </w:r>
      <w:r w:rsidR="00D52F23" w:rsidRPr="00564674">
        <w:rPr>
          <w:noProof/>
        </w:rPr>
        <w:t>.</w:t>
      </w:r>
      <w:r w:rsidR="009D4E46" w:rsidRPr="00564674">
        <w:rPr>
          <w:noProof/>
        </w:rPr>
        <w:t xml:space="preserve"> Public administration, education, health and social work account for </w:t>
      </w:r>
      <w:r w:rsidR="002630EC" w:rsidRPr="00564674">
        <w:rPr>
          <w:noProof/>
        </w:rPr>
        <w:t>nearly 40% of services employment.</w:t>
      </w:r>
    </w:p>
    <w:p w14:paraId="3E721588" w14:textId="5752F96B" w:rsidR="00CB17CD" w:rsidRDefault="005B4309" w:rsidP="00CB17CD">
      <w:pPr>
        <w:rPr>
          <w:noProof/>
        </w:rPr>
      </w:pPr>
      <w:r w:rsidRPr="00564674">
        <w:rPr>
          <w:noProof/>
        </w:rPr>
        <w:t>In contrast, the share of industry and manufacturing in total employment declined by around 2</w:t>
      </w:r>
      <w:r w:rsidR="00FA0075" w:rsidRPr="00564674">
        <w:rPr>
          <w:noProof/>
        </w:rPr>
        <w:t> </w:t>
      </w:r>
      <w:r w:rsidRPr="00564674">
        <w:rPr>
          <w:noProof/>
        </w:rPr>
        <w:t>percentage points between 2008 and</w:t>
      </w:r>
      <w:r>
        <w:rPr>
          <w:noProof/>
        </w:rPr>
        <w:t xml:space="preserve"> 2022 </w:t>
      </w:r>
      <w:r w:rsidR="00DD054C">
        <w:rPr>
          <w:noProof/>
        </w:rPr>
        <w:t>(</w:t>
      </w:r>
      <w:r>
        <w:rPr>
          <w:noProof/>
        </w:rPr>
        <w:t>to 16% of the total</w:t>
      </w:r>
      <w:r w:rsidR="00DD054C">
        <w:rPr>
          <w:noProof/>
        </w:rPr>
        <w:t>)</w:t>
      </w:r>
      <w:r w:rsidR="00BE0C7F">
        <w:rPr>
          <w:noProof/>
        </w:rPr>
        <w:t xml:space="preserve">, even though the number of jobs </w:t>
      </w:r>
      <w:r w:rsidR="00EA22C3">
        <w:rPr>
          <w:noProof/>
        </w:rPr>
        <w:t xml:space="preserve">has remained broadly </w:t>
      </w:r>
      <w:r w:rsidR="00857163">
        <w:rPr>
          <w:noProof/>
        </w:rPr>
        <w:t xml:space="preserve">stable </w:t>
      </w:r>
      <w:r w:rsidR="00EA22C3">
        <w:rPr>
          <w:noProof/>
        </w:rPr>
        <w:t>in the past decade</w:t>
      </w:r>
      <w:r>
        <w:rPr>
          <w:noProof/>
        </w:rPr>
        <w:t>.</w:t>
      </w:r>
      <w:r w:rsidR="00F240B6">
        <w:rPr>
          <w:noProof/>
        </w:rPr>
        <w:t xml:space="preserve"> Construction</w:t>
      </w:r>
      <w:r w:rsidR="0092774D">
        <w:rPr>
          <w:noProof/>
        </w:rPr>
        <w:t xml:space="preserve">, </w:t>
      </w:r>
      <w:r w:rsidR="00F240B6">
        <w:rPr>
          <w:noProof/>
        </w:rPr>
        <w:t>architectur</w:t>
      </w:r>
      <w:r w:rsidR="0092774D">
        <w:rPr>
          <w:noProof/>
        </w:rPr>
        <w:t>e</w:t>
      </w:r>
      <w:r w:rsidR="00F240B6">
        <w:rPr>
          <w:noProof/>
        </w:rPr>
        <w:t xml:space="preserve"> and engineering </w:t>
      </w:r>
      <w:r w:rsidR="00BA5019">
        <w:rPr>
          <w:noProof/>
        </w:rPr>
        <w:t>are</w:t>
      </w:r>
      <w:r w:rsidR="00FA0075">
        <w:rPr>
          <w:noProof/>
        </w:rPr>
        <w:t xml:space="preserve"> another major source of jobs in the EU at around 8% of the total, though its share also declined by about 1 percentage point between 2008 and 2022.</w:t>
      </w:r>
      <w:r w:rsidR="00636D15">
        <w:rPr>
          <w:noProof/>
        </w:rPr>
        <w:t xml:space="preserve"> </w:t>
      </w:r>
      <w:r w:rsidR="00476B8D">
        <w:rPr>
          <w:noProof/>
        </w:rPr>
        <w:t>Finally,</w:t>
      </w:r>
      <w:r w:rsidR="00D34D6B">
        <w:rPr>
          <w:noProof/>
        </w:rPr>
        <w:t xml:space="preserve"> </w:t>
      </w:r>
      <w:r w:rsidR="00EA22C3">
        <w:rPr>
          <w:noProof/>
        </w:rPr>
        <w:t>agriculture, fisheries and fishing</w:t>
      </w:r>
      <w:r w:rsidR="009A6DA1">
        <w:rPr>
          <w:noProof/>
        </w:rPr>
        <w:t>, and fossil fuel extraction and refining</w:t>
      </w:r>
      <w:r w:rsidR="00476B8D">
        <w:rPr>
          <w:noProof/>
        </w:rPr>
        <w:t xml:space="preserve"> have </w:t>
      </w:r>
      <w:r w:rsidR="00EA22C3">
        <w:rPr>
          <w:noProof/>
        </w:rPr>
        <w:t>experienced a significant decline in the level and share of employment.</w:t>
      </w:r>
      <w:r w:rsidR="009A6DA1">
        <w:rPr>
          <w:noProof/>
        </w:rPr>
        <w:t xml:space="preserve"> While the share of agriculture employment remains significant at 3.5% of the total currently, employment in fossil fuel extraction and refining </w:t>
      </w:r>
      <w:r w:rsidR="00E160BD">
        <w:rPr>
          <w:noProof/>
        </w:rPr>
        <w:t>was down to about 370 000 jobs in 2022, 40% below the</w:t>
      </w:r>
      <w:r w:rsidR="00C8360C">
        <w:rPr>
          <w:noProof/>
        </w:rPr>
        <w:t xml:space="preserve"> </w:t>
      </w:r>
      <w:r w:rsidR="00E160BD">
        <w:rPr>
          <w:noProof/>
        </w:rPr>
        <w:t>level in 2008.</w:t>
      </w:r>
    </w:p>
    <w:p w14:paraId="4A51B754" w14:textId="1DE11001" w:rsidR="00037D12" w:rsidRDefault="00DC3C86" w:rsidP="00650ADF">
      <w:pPr>
        <w:pStyle w:val="Caption"/>
        <w:rPr>
          <w:noProof/>
        </w:rPr>
      </w:pPr>
      <w:bookmarkStart w:id="769" w:name="_Ref140570096"/>
      <w:bookmarkStart w:id="770" w:name="_Ref140570085"/>
      <w:bookmarkStart w:id="771" w:name="_Toc157679931"/>
      <w:r>
        <w:rPr>
          <w:noProof/>
        </w:rPr>
        <w:t>Table</w:t>
      </w:r>
      <w:r w:rsidR="00E50F04">
        <w:rPr>
          <w:noProof/>
        </w:rPr>
        <w:t xml:space="preserve"> </w:t>
      </w:r>
      <w:r>
        <w:rPr>
          <w:noProof/>
          <w:color w:val="2B579A"/>
          <w:shd w:val="clear" w:color="auto" w:fill="E6E6E6"/>
        </w:rPr>
        <w:fldChar w:fldCharType="begin"/>
      </w:r>
      <w:r>
        <w:rPr>
          <w:noProof/>
        </w:rPr>
        <w:instrText>SEQ Table \* ARABIC</w:instrText>
      </w:r>
      <w:r>
        <w:rPr>
          <w:noProof/>
          <w:color w:val="2B579A"/>
          <w:shd w:val="clear" w:color="auto" w:fill="E6E6E6"/>
        </w:rPr>
        <w:fldChar w:fldCharType="separate"/>
      </w:r>
      <w:r w:rsidR="00170A3C">
        <w:rPr>
          <w:noProof/>
        </w:rPr>
        <w:t>48</w:t>
      </w:r>
      <w:r>
        <w:rPr>
          <w:noProof/>
          <w:color w:val="2B579A"/>
          <w:shd w:val="clear" w:color="auto" w:fill="E6E6E6"/>
        </w:rPr>
        <w:fldChar w:fldCharType="end"/>
      </w:r>
      <w:bookmarkEnd w:id="769"/>
      <w:r w:rsidR="00E50F04">
        <w:rPr>
          <w:noProof/>
        </w:rPr>
        <w:t xml:space="preserve">: </w:t>
      </w:r>
      <w:r w:rsidR="00A01AC5">
        <w:rPr>
          <w:noProof/>
        </w:rPr>
        <w:t>E</w:t>
      </w:r>
      <w:r w:rsidR="00E50F04">
        <w:rPr>
          <w:noProof/>
        </w:rPr>
        <w:t>mployment by economic activity (million people and % of total)</w:t>
      </w:r>
      <w:bookmarkEnd w:id="770"/>
      <w:bookmarkEnd w:id="771"/>
    </w:p>
    <w:p w14:paraId="06646475" w14:textId="51F6AA83" w:rsidR="00037D12" w:rsidRDefault="00DE0FAB" w:rsidP="00650ADF">
      <w:pPr>
        <w:keepNext/>
        <w:spacing w:after="0"/>
        <w:jc w:val="center"/>
        <w:rPr>
          <w:rFonts w:ascii="Cambria Math" w:hAnsi="Cambria Math"/>
          <w:i/>
          <w:noProof/>
          <w:sz w:val="22"/>
          <w:szCs w:val="22"/>
        </w:rPr>
      </w:pPr>
      <w:r w:rsidRPr="00DE0FAB">
        <w:rPr>
          <w:noProof/>
          <w:lang w:eastAsia="en-GB"/>
        </w:rPr>
        <w:drawing>
          <wp:inline distT="0" distB="0" distL="0" distR="0" wp14:anchorId="73B1509D" wp14:editId="4A12F666">
            <wp:extent cx="5472430" cy="360426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5472430" cy="3604260"/>
                    </a:xfrm>
                    <a:prstGeom prst="rect">
                      <a:avLst/>
                    </a:prstGeom>
                    <a:noFill/>
                    <a:ln>
                      <a:noFill/>
                    </a:ln>
                  </pic:spPr>
                </pic:pic>
              </a:graphicData>
            </a:graphic>
          </wp:inline>
        </w:drawing>
      </w:r>
    </w:p>
    <w:p w14:paraId="546E82A4" w14:textId="1B5040A8" w:rsidR="00037D12" w:rsidRPr="004A0CC9" w:rsidRDefault="00037D12" w:rsidP="00B000DC">
      <w:pPr>
        <w:pStyle w:val="CT-SOURCE"/>
        <w:rPr>
          <w:rFonts w:ascii="Cambria Math" w:hAnsi="Cambria Math"/>
          <w:i w:val="0"/>
          <w:noProof/>
        </w:rPr>
      </w:pPr>
      <w:r w:rsidRPr="004A0CC9">
        <w:rPr>
          <w:noProof/>
        </w:rPr>
        <w:t xml:space="preserve">Source: </w:t>
      </w:r>
      <w:r w:rsidR="00E50F04" w:rsidRPr="00B000DC">
        <w:rPr>
          <w:noProof/>
        </w:rPr>
        <w:t>Eurostat</w:t>
      </w:r>
      <w:r w:rsidRPr="004A0CC9">
        <w:rPr>
          <w:rFonts w:ascii="Cambria Math" w:hAnsi="Cambria Math"/>
          <w:i w:val="0"/>
          <w:noProof/>
        </w:rPr>
        <w:t>.</w:t>
      </w:r>
      <w:r w:rsidR="00DD5028" w:rsidRPr="00DD5028">
        <w:rPr>
          <w:noProof/>
        </w:rPr>
        <w:t xml:space="preserve"> </w:t>
      </w:r>
      <w:r w:rsidR="00DD5028" w:rsidRPr="00392972">
        <w:rPr>
          <w:noProof/>
        </w:rPr>
        <w:t>(</w:t>
      </w:r>
      <w:r w:rsidR="00DD5028">
        <w:rPr>
          <w:rStyle w:val="FootnoteReference"/>
          <w:noProof/>
        </w:rPr>
        <w:footnoteReference w:id="305"/>
      </w:r>
      <w:r w:rsidR="00DD5028">
        <w:rPr>
          <w:noProof/>
        </w:rPr>
        <w:t>)</w:t>
      </w:r>
    </w:p>
    <w:p w14:paraId="2FBF49B2" w14:textId="5155AC7A" w:rsidR="00290E99" w:rsidRPr="00706AAB" w:rsidRDefault="00706AAB" w:rsidP="00CB17CD">
      <w:pPr>
        <w:rPr>
          <w:noProof/>
          <w:lang w:val="en-IE"/>
        </w:rPr>
      </w:pPr>
      <w:r w:rsidRPr="00706AAB">
        <w:rPr>
          <w:noProof/>
          <w:lang w:val="en-IE"/>
        </w:rPr>
        <w:t>The recent trends in</w:t>
      </w:r>
      <w:r>
        <w:rPr>
          <w:noProof/>
          <w:lang w:val="en-IE"/>
        </w:rPr>
        <w:t xml:space="preserve"> sectoral employment in the EU </w:t>
      </w:r>
      <w:r w:rsidR="00A32E70">
        <w:rPr>
          <w:noProof/>
          <w:lang w:val="en-IE"/>
        </w:rPr>
        <w:t>are mirrored in the evolution of employment by occupations</w:t>
      </w:r>
      <w:r w:rsidR="00C60FC8">
        <w:rPr>
          <w:noProof/>
          <w:lang w:val="en-IE"/>
        </w:rPr>
        <w:t xml:space="preserve"> (</w:t>
      </w:r>
      <w:r w:rsidR="00EA3B6F">
        <w:rPr>
          <w:noProof/>
          <w:lang w:val="en-IE"/>
        </w:rPr>
        <w:fldChar w:fldCharType="begin"/>
      </w:r>
      <w:r w:rsidR="00EA3B6F">
        <w:rPr>
          <w:noProof/>
          <w:lang w:val="en-IE"/>
        </w:rPr>
        <w:instrText xml:space="preserve"> REF _Ref140570144 \h </w:instrText>
      </w:r>
      <w:r w:rsidR="00EA3B6F">
        <w:rPr>
          <w:noProof/>
          <w:lang w:val="en-IE"/>
        </w:rPr>
      </w:r>
      <w:r w:rsidR="00EA3B6F">
        <w:rPr>
          <w:noProof/>
          <w:lang w:val="en-IE"/>
        </w:rPr>
        <w:fldChar w:fldCharType="separate"/>
      </w:r>
      <w:r w:rsidR="00170A3C">
        <w:rPr>
          <w:noProof/>
        </w:rPr>
        <w:t>Table 49</w:t>
      </w:r>
      <w:r w:rsidR="00EA3B6F">
        <w:rPr>
          <w:noProof/>
          <w:lang w:val="en-IE"/>
        </w:rPr>
        <w:fldChar w:fldCharType="end"/>
      </w:r>
      <w:r w:rsidR="0092774D">
        <w:rPr>
          <w:noProof/>
          <w:lang w:val="en-IE"/>
        </w:rPr>
        <w:t>)</w:t>
      </w:r>
      <w:r w:rsidR="006C03B9">
        <w:rPr>
          <w:noProof/>
          <w:lang w:val="en-IE"/>
        </w:rPr>
        <w:t xml:space="preserve">, which also reflects the </w:t>
      </w:r>
      <w:r w:rsidR="00295E5B">
        <w:rPr>
          <w:noProof/>
          <w:lang w:val="en-IE"/>
        </w:rPr>
        <w:t>rising trend in tertiary educational attainment among the population in general and among those aged 25-34 in particular.</w:t>
      </w:r>
      <w:r w:rsidR="006A5426">
        <w:rPr>
          <w:noProof/>
          <w:lang w:val="en-IE"/>
        </w:rPr>
        <w:t xml:space="preserve"> For the latter, attainment in tertiary education rose from 23.1% of the total population in 2002 to 42% in 2022. The increase was particularly sharp among women</w:t>
      </w:r>
      <w:r w:rsidR="00B823DB">
        <w:rPr>
          <w:noProof/>
          <w:lang w:val="en-IE"/>
        </w:rPr>
        <w:t xml:space="preserve"> with a rate of 47.6% in 2022, compared to a rate of 36.5% for men.</w:t>
      </w:r>
      <w:r w:rsidR="00F17B51">
        <w:rPr>
          <w:noProof/>
          <w:lang w:val="en-IE"/>
        </w:rPr>
        <w:t xml:space="preserve"> </w:t>
      </w:r>
      <w:r w:rsidR="00905B3A">
        <w:rPr>
          <w:noProof/>
          <w:lang w:val="en-IE"/>
        </w:rPr>
        <w:t xml:space="preserve">The share of professionals and managers in total employment increased </w:t>
      </w:r>
      <w:r w:rsidR="00CF15E0">
        <w:rPr>
          <w:noProof/>
          <w:lang w:val="en-IE"/>
        </w:rPr>
        <w:t xml:space="preserve">by 4.5 percentage points </w:t>
      </w:r>
      <w:r w:rsidR="00293826">
        <w:rPr>
          <w:noProof/>
          <w:lang w:val="en-IE"/>
        </w:rPr>
        <w:t xml:space="preserve">in the past </w:t>
      </w:r>
      <w:r w:rsidR="00293826" w:rsidRPr="00564674">
        <w:rPr>
          <w:noProof/>
          <w:lang w:val="en-IE"/>
        </w:rPr>
        <w:t>decade</w:t>
      </w:r>
      <w:r w:rsidR="00CF15E0" w:rsidRPr="00564674">
        <w:rPr>
          <w:noProof/>
          <w:lang w:val="en-IE"/>
        </w:rPr>
        <w:t xml:space="preserve"> </w:t>
      </w:r>
      <w:r w:rsidR="00905B3A" w:rsidRPr="00564674">
        <w:rPr>
          <w:noProof/>
          <w:lang w:val="en-IE"/>
        </w:rPr>
        <w:t xml:space="preserve">to </w:t>
      </w:r>
      <w:r w:rsidR="00CF15E0" w:rsidRPr="00564674">
        <w:rPr>
          <w:noProof/>
          <w:lang w:val="en-IE"/>
        </w:rPr>
        <w:t>26.7% of the total</w:t>
      </w:r>
      <w:r w:rsidR="00293826" w:rsidRPr="00564674">
        <w:rPr>
          <w:noProof/>
          <w:lang w:val="en-IE"/>
        </w:rPr>
        <w:t xml:space="preserve"> in 2022.</w:t>
      </w:r>
      <w:r w:rsidR="00293826">
        <w:rPr>
          <w:noProof/>
          <w:lang w:val="en-IE"/>
        </w:rPr>
        <w:t xml:space="preserve"> This contrasts sharply with occupations </w:t>
      </w:r>
      <w:r w:rsidR="00014D11">
        <w:rPr>
          <w:noProof/>
          <w:lang w:val="en-IE"/>
        </w:rPr>
        <w:t>whose share in total employment declined</w:t>
      </w:r>
      <w:r w:rsidR="00293826">
        <w:rPr>
          <w:noProof/>
          <w:lang w:val="en-IE"/>
        </w:rPr>
        <w:t xml:space="preserve"> </w:t>
      </w:r>
      <w:r w:rsidR="00014D11">
        <w:rPr>
          <w:noProof/>
          <w:lang w:val="en-IE"/>
        </w:rPr>
        <w:t xml:space="preserve">over </w:t>
      </w:r>
      <w:r w:rsidR="00293826">
        <w:rPr>
          <w:noProof/>
          <w:lang w:val="en-IE"/>
        </w:rPr>
        <w:t xml:space="preserve">the same period, </w:t>
      </w:r>
      <w:r w:rsidR="00014D11">
        <w:rPr>
          <w:noProof/>
          <w:lang w:val="en-IE"/>
        </w:rPr>
        <w:t>mainly service and sales</w:t>
      </w:r>
      <w:r w:rsidR="00290E99">
        <w:rPr>
          <w:noProof/>
          <w:lang w:val="en-IE"/>
        </w:rPr>
        <w:t xml:space="preserve"> workers</w:t>
      </w:r>
      <w:r w:rsidR="00014D11">
        <w:rPr>
          <w:noProof/>
          <w:lang w:val="en-IE"/>
        </w:rPr>
        <w:t>, crafts and trade, elementary occupations and agriculture, forestry and fisheries</w:t>
      </w:r>
      <w:r w:rsidR="00CF15E0">
        <w:rPr>
          <w:noProof/>
          <w:lang w:val="en-IE"/>
        </w:rPr>
        <w:t>.</w:t>
      </w:r>
      <w:r w:rsidR="00290E99">
        <w:rPr>
          <w:noProof/>
          <w:lang w:val="en-IE"/>
        </w:rPr>
        <w:t xml:space="preserve"> The absolute number of workers with these occupations has nevertheless remained broadly stable (except </w:t>
      </w:r>
      <w:r w:rsidR="00011EF3">
        <w:rPr>
          <w:noProof/>
          <w:lang w:val="en-IE"/>
        </w:rPr>
        <w:t xml:space="preserve">skilled workers in </w:t>
      </w:r>
      <w:r w:rsidR="00290E99">
        <w:rPr>
          <w:noProof/>
          <w:lang w:val="en-IE"/>
        </w:rPr>
        <w:t>agriculture) as total employment was on a rising trend.</w:t>
      </w:r>
    </w:p>
    <w:p w14:paraId="3A0B94F4" w14:textId="5FCF26A9" w:rsidR="00061E05" w:rsidRPr="00706AAB" w:rsidRDefault="00DC3C86" w:rsidP="00650ADF">
      <w:pPr>
        <w:pStyle w:val="Caption"/>
        <w:rPr>
          <w:noProof/>
          <w:lang w:val="en-IE"/>
        </w:rPr>
      </w:pPr>
      <w:bookmarkStart w:id="772" w:name="_Ref140570144"/>
      <w:bookmarkStart w:id="773" w:name="_Toc157679932"/>
      <w:r>
        <w:rPr>
          <w:noProof/>
        </w:rPr>
        <w:t>Table</w:t>
      </w:r>
      <w:r w:rsidR="00061E05">
        <w:rPr>
          <w:noProof/>
        </w:rPr>
        <w:t xml:space="preserve"> </w:t>
      </w:r>
      <w:r>
        <w:rPr>
          <w:noProof/>
          <w:color w:val="2B579A"/>
          <w:shd w:val="clear" w:color="auto" w:fill="E6E6E6"/>
        </w:rPr>
        <w:fldChar w:fldCharType="begin"/>
      </w:r>
      <w:r>
        <w:rPr>
          <w:noProof/>
        </w:rPr>
        <w:instrText>SEQ Table \* ARABIC</w:instrText>
      </w:r>
      <w:r>
        <w:rPr>
          <w:noProof/>
          <w:color w:val="2B579A"/>
          <w:shd w:val="clear" w:color="auto" w:fill="E6E6E6"/>
        </w:rPr>
        <w:fldChar w:fldCharType="separate"/>
      </w:r>
      <w:r w:rsidR="00170A3C">
        <w:rPr>
          <w:noProof/>
        </w:rPr>
        <w:t>49</w:t>
      </w:r>
      <w:r>
        <w:rPr>
          <w:noProof/>
          <w:color w:val="2B579A"/>
          <w:shd w:val="clear" w:color="auto" w:fill="E6E6E6"/>
        </w:rPr>
        <w:fldChar w:fldCharType="end"/>
      </w:r>
      <w:bookmarkEnd w:id="772"/>
      <w:r w:rsidR="00061E05">
        <w:rPr>
          <w:noProof/>
        </w:rPr>
        <w:t xml:space="preserve">: </w:t>
      </w:r>
      <w:r w:rsidR="00A01AC5">
        <w:rPr>
          <w:noProof/>
        </w:rPr>
        <w:t>E</w:t>
      </w:r>
      <w:r w:rsidR="00061E05">
        <w:rPr>
          <w:noProof/>
        </w:rPr>
        <w:t>mployment by occupations</w:t>
      </w:r>
      <w:bookmarkEnd w:id="773"/>
      <w:r w:rsidR="00061E05">
        <w:rPr>
          <w:noProof/>
        </w:rPr>
        <w:t xml:space="preserve"> </w:t>
      </w:r>
    </w:p>
    <w:p w14:paraId="28393F99" w14:textId="7970BFE8" w:rsidR="00422F51" w:rsidRDefault="00DE0FAB" w:rsidP="0092774D">
      <w:pPr>
        <w:keepNext/>
        <w:spacing w:after="0"/>
        <w:rPr>
          <w:rFonts w:ascii="Cambria Math" w:hAnsi="Cambria Math"/>
          <w:i/>
          <w:noProof/>
          <w:sz w:val="22"/>
          <w:szCs w:val="22"/>
          <w:lang w:val="fr-BE"/>
        </w:rPr>
      </w:pPr>
      <w:r w:rsidRPr="00DE0FAB">
        <w:rPr>
          <w:noProof/>
          <w:lang w:eastAsia="en-GB"/>
        </w:rPr>
        <w:drawing>
          <wp:inline distT="0" distB="0" distL="0" distR="0" wp14:anchorId="2ED28946" wp14:editId="076BC595">
            <wp:extent cx="5472430" cy="315087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5472430" cy="3150870"/>
                    </a:xfrm>
                    <a:prstGeom prst="rect">
                      <a:avLst/>
                    </a:prstGeom>
                    <a:noFill/>
                    <a:ln>
                      <a:noFill/>
                    </a:ln>
                  </pic:spPr>
                </pic:pic>
              </a:graphicData>
            </a:graphic>
          </wp:inline>
        </w:drawing>
      </w:r>
    </w:p>
    <w:p w14:paraId="6FF94B67" w14:textId="6AFD6752" w:rsidR="00422F51" w:rsidRPr="008C62CF" w:rsidRDefault="00422F51" w:rsidP="00B000DC">
      <w:pPr>
        <w:pStyle w:val="CT-SOURCE"/>
        <w:rPr>
          <w:rFonts w:ascii="Cambria Math" w:hAnsi="Cambria Math"/>
          <w:i w:val="0"/>
          <w:noProof/>
        </w:rPr>
      </w:pPr>
      <w:r w:rsidRPr="008C62CF">
        <w:rPr>
          <w:noProof/>
        </w:rPr>
        <w:t xml:space="preserve">Source: </w:t>
      </w:r>
      <w:r w:rsidRPr="00B000DC">
        <w:rPr>
          <w:noProof/>
        </w:rPr>
        <w:t>Eurostat</w:t>
      </w:r>
      <w:r w:rsidRPr="008C62CF">
        <w:rPr>
          <w:rFonts w:ascii="Cambria Math" w:hAnsi="Cambria Math"/>
          <w:i w:val="0"/>
          <w:noProof/>
        </w:rPr>
        <w:t>.</w:t>
      </w:r>
      <w:r w:rsidR="00DD5028" w:rsidRPr="00DD5028">
        <w:rPr>
          <w:noProof/>
        </w:rPr>
        <w:t xml:space="preserve"> </w:t>
      </w:r>
      <w:r w:rsidR="00DD5028" w:rsidRPr="008E2B54">
        <w:rPr>
          <w:noProof/>
        </w:rPr>
        <w:t>(</w:t>
      </w:r>
      <w:r w:rsidR="00DD5028">
        <w:rPr>
          <w:rStyle w:val="FootnoteReference"/>
          <w:noProof/>
        </w:rPr>
        <w:footnoteReference w:id="306"/>
      </w:r>
      <w:r w:rsidR="00DD5028">
        <w:rPr>
          <w:noProof/>
        </w:rPr>
        <w:t>)</w:t>
      </w:r>
    </w:p>
    <w:p w14:paraId="64BF95A2" w14:textId="1057E0E3" w:rsidR="008C62CF" w:rsidRPr="00507E86" w:rsidRDefault="008C62CF" w:rsidP="008C62CF">
      <w:pPr>
        <w:rPr>
          <w:noProof/>
          <w:lang w:val="en-IE"/>
        </w:rPr>
      </w:pPr>
      <w:r>
        <w:rPr>
          <w:noProof/>
          <w:lang w:val="en-IE"/>
        </w:rPr>
        <w:t>Looking</w:t>
      </w:r>
      <w:r w:rsidRPr="00507E86">
        <w:rPr>
          <w:noProof/>
          <w:lang w:val="en-IE"/>
        </w:rPr>
        <w:t xml:space="preserve"> forward</w:t>
      </w:r>
      <w:r>
        <w:rPr>
          <w:noProof/>
          <w:lang w:val="en-IE"/>
        </w:rPr>
        <w:t>, modelling under JRC-GEM-E3 projects that recent trends in sectoral employment are set to continue at an accelerated pace</w:t>
      </w:r>
      <w:r w:rsidR="005F134A">
        <w:rPr>
          <w:noProof/>
          <w:lang w:val="en-IE"/>
        </w:rPr>
        <w:t xml:space="preserve"> (</w:t>
      </w:r>
      <w:r w:rsidR="005F134A">
        <w:rPr>
          <w:noProof/>
          <w:lang w:val="en-IE"/>
        </w:rPr>
        <w:fldChar w:fldCharType="begin"/>
      </w:r>
      <w:r w:rsidR="005F134A">
        <w:rPr>
          <w:noProof/>
          <w:lang w:val="en-IE"/>
        </w:rPr>
        <w:instrText xml:space="preserve"> REF _Ref140570518 \h </w:instrText>
      </w:r>
      <w:r w:rsidR="005F134A">
        <w:rPr>
          <w:noProof/>
          <w:lang w:val="en-IE"/>
        </w:rPr>
      </w:r>
      <w:r w:rsidR="005F134A">
        <w:rPr>
          <w:noProof/>
          <w:lang w:val="en-IE"/>
        </w:rPr>
        <w:fldChar w:fldCharType="separate"/>
      </w:r>
      <w:r w:rsidR="00170A3C">
        <w:rPr>
          <w:noProof/>
        </w:rPr>
        <w:t>Table 50</w:t>
      </w:r>
      <w:r w:rsidR="005F134A">
        <w:rPr>
          <w:noProof/>
          <w:lang w:val="en-IE"/>
        </w:rPr>
        <w:fldChar w:fldCharType="end"/>
      </w:r>
      <w:r w:rsidR="005F134A">
        <w:rPr>
          <w:noProof/>
          <w:lang w:val="en-IE"/>
        </w:rPr>
        <w:t>)</w:t>
      </w:r>
      <w:r>
        <w:rPr>
          <w:noProof/>
          <w:lang w:val="en-IE"/>
        </w:rPr>
        <w:t>. These developments will also take place in the context of a decreas</w:t>
      </w:r>
      <w:r w:rsidR="00011EF3">
        <w:rPr>
          <w:noProof/>
          <w:lang w:val="en-IE"/>
        </w:rPr>
        <w:t xml:space="preserve">e in the working age population </w:t>
      </w:r>
      <w:r>
        <w:rPr>
          <w:noProof/>
          <w:lang w:val="en-IE"/>
        </w:rPr>
        <w:t>and declining overall employment</w:t>
      </w:r>
      <w:r w:rsidR="00011EF3">
        <w:rPr>
          <w:noProof/>
          <w:lang w:val="en-IE"/>
        </w:rPr>
        <w:t xml:space="preserve"> levels</w:t>
      </w:r>
      <w:r>
        <w:rPr>
          <w:noProof/>
          <w:lang w:val="en-IE"/>
        </w:rPr>
        <w:t>, contrary to what happened in the past decade</w:t>
      </w:r>
      <w:r w:rsidR="007F76DA">
        <w:rPr>
          <w:noProof/>
          <w:lang w:val="en-IE"/>
        </w:rPr>
        <w:t xml:space="preserve"> when employment was still on a rising trend</w:t>
      </w:r>
      <w:r>
        <w:rPr>
          <w:noProof/>
          <w:lang w:val="en-IE"/>
        </w:rPr>
        <w:t>. Employment in fossil fuel industries will further decline to negligible levels from an already low level. The decline would take place faster still under a higher level of ambition in 2040</w:t>
      </w:r>
      <w:r w:rsidR="00194690">
        <w:rPr>
          <w:noProof/>
          <w:lang w:val="en-IE"/>
        </w:rPr>
        <w:t>.</w:t>
      </w:r>
      <w:r>
        <w:rPr>
          <w:noProof/>
          <w:lang w:val="en-IE"/>
        </w:rPr>
        <w:t xml:space="preserve"> Employment trends in energy intensive industries and transport equipment are also projected to continue, in part as the EU economy continues to be more services-oriented. This is a constant across scenarios and there is little difference between S1 and the scenarios with a higher level of ambition in 2040.</w:t>
      </w:r>
    </w:p>
    <w:p w14:paraId="246E94C8" w14:textId="754B90BC" w:rsidR="007C0DCC" w:rsidRPr="00564674" w:rsidRDefault="007F76DA" w:rsidP="00CB17CD">
      <w:pPr>
        <w:rPr>
          <w:noProof/>
        </w:rPr>
      </w:pPr>
      <w:r>
        <w:rPr>
          <w:noProof/>
        </w:rPr>
        <w:t>Given the scale of services employment</w:t>
      </w:r>
      <w:r w:rsidR="0094556F">
        <w:rPr>
          <w:noProof/>
        </w:rPr>
        <w:t xml:space="preserve">, given that services jobs are among those more marginally affected by the climate and energy transition and given that the long-term trend towards a rising share of services </w:t>
      </w:r>
      <w:r w:rsidR="00EB1B09">
        <w:rPr>
          <w:noProof/>
        </w:rPr>
        <w:t xml:space="preserve">sectors in GDP is projected to continue to some extent, the </w:t>
      </w:r>
      <w:r w:rsidR="004A71E9">
        <w:rPr>
          <w:noProof/>
        </w:rPr>
        <w:t>share</w:t>
      </w:r>
      <w:r w:rsidR="00EB1B09">
        <w:rPr>
          <w:noProof/>
        </w:rPr>
        <w:t xml:space="preserve"> of </w:t>
      </w:r>
      <w:r w:rsidR="004A71E9">
        <w:rPr>
          <w:noProof/>
        </w:rPr>
        <w:t xml:space="preserve">market and non-market services jobs is projected to </w:t>
      </w:r>
      <w:r w:rsidR="00EB1B09">
        <w:rPr>
          <w:noProof/>
        </w:rPr>
        <w:t xml:space="preserve">continue </w:t>
      </w:r>
      <w:r w:rsidR="004A71E9">
        <w:rPr>
          <w:noProof/>
        </w:rPr>
        <w:t xml:space="preserve">growing in the coming </w:t>
      </w:r>
      <w:r w:rsidR="004A71E9" w:rsidRPr="00564674">
        <w:rPr>
          <w:noProof/>
        </w:rPr>
        <w:t xml:space="preserve">decades. </w:t>
      </w:r>
      <w:r w:rsidR="002019DE" w:rsidRPr="00564674">
        <w:rPr>
          <w:noProof/>
        </w:rPr>
        <w:t>The flipside of t</w:t>
      </w:r>
      <w:r w:rsidR="00536FB5" w:rsidRPr="00564674">
        <w:rPr>
          <w:noProof/>
        </w:rPr>
        <w:t xml:space="preserve">he increase in the share of services sector jobs </w:t>
      </w:r>
      <w:r w:rsidR="002019DE" w:rsidRPr="00564674">
        <w:rPr>
          <w:noProof/>
        </w:rPr>
        <w:t xml:space="preserve">is a gradual decrease in the share of employment in energy intensive industries, consumer goods industries and transport equipment. </w:t>
      </w:r>
      <w:r w:rsidR="00CF38E2" w:rsidRPr="00564674">
        <w:rPr>
          <w:noProof/>
        </w:rPr>
        <w:t>The share of employment in other equipment goods, however, is projected to remain stable as the transition should increase EU and global demand for the type of equipment needed for decarbonisation.</w:t>
      </w:r>
      <w:r w:rsidR="002A3E0A" w:rsidRPr="00564674">
        <w:rPr>
          <w:noProof/>
        </w:rPr>
        <w:t xml:space="preserve"> </w:t>
      </w:r>
      <w:r w:rsidR="007C0DCC" w:rsidRPr="00564674">
        <w:rPr>
          <w:noProof/>
        </w:rPr>
        <w:t>While output in these sectors is projected to grow significantly between 2015 and 2040 or 2040, they will be outpaced by overall GDP growth. In the context of a declining aggregate level of employment</w:t>
      </w:r>
      <w:r w:rsidR="00F401B0" w:rsidRPr="00564674">
        <w:rPr>
          <w:noProof/>
        </w:rPr>
        <w:t>, driven by a shrinking labour force, it is therefore not surprising to see these sectors’ share of employment (and absolute employment) decline over the coming decades.</w:t>
      </w:r>
    </w:p>
    <w:p w14:paraId="00F16C4D" w14:textId="5A8BB2B8" w:rsidR="008F2BFD" w:rsidRDefault="007C0DCC" w:rsidP="00CB17CD">
      <w:pPr>
        <w:rPr>
          <w:noProof/>
        </w:rPr>
      </w:pPr>
      <w:r w:rsidRPr="00564674">
        <w:rPr>
          <w:noProof/>
        </w:rPr>
        <w:t>In contrast, t</w:t>
      </w:r>
      <w:r w:rsidR="002019DE" w:rsidRPr="00564674">
        <w:rPr>
          <w:noProof/>
        </w:rPr>
        <w:t>he share</w:t>
      </w:r>
      <w:r w:rsidR="00992DB9" w:rsidRPr="00564674">
        <w:rPr>
          <w:noProof/>
        </w:rPr>
        <w:t>s</w:t>
      </w:r>
      <w:r w:rsidR="002019DE" w:rsidRPr="00564674">
        <w:rPr>
          <w:noProof/>
        </w:rPr>
        <w:t xml:space="preserve"> of </w:t>
      </w:r>
      <w:r w:rsidR="00992DB9" w:rsidRPr="00564674">
        <w:rPr>
          <w:noProof/>
        </w:rPr>
        <w:t xml:space="preserve">construction and </w:t>
      </w:r>
      <w:r w:rsidR="002019DE" w:rsidRPr="00564674">
        <w:rPr>
          <w:noProof/>
        </w:rPr>
        <w:t>transport activities</w:t>
      </w:r>
      <w:r w:rsidR="00992DB9" w:rsidRPr="00564674">
        <w:rPr>
          <w:noProof/>
        </w:rPr>
        <w:t xml:space="preserve"> are projected to increase moderately</w:t>
      </w:r>
      <w:r w:rsidR="008734EA">
        <w:rPr>
          <w:noProof/>
        </w:rPr>
        <w:t xml:space="preserve"> or remain stable</w:t>
      </w:r>
      <w:r w:rsidR="00992DB9" w:rsidRPr="00564674">
        <w:rPr>
          <w:noProof/>
        </w:rPr>
        <w:t xml:space="preserve">. </w:t>
      </w:r>
      <w:r w:rsidR="00F401B0" w:rsidRPr="00564674">
        <w:rPr>
          <w:noProof/>
        </w:rPr>
        <w:t>Output growth in these sectors in the period 2015-2050 is projected to outpace GDP growth</w:t>
      </w:r>
      <w:r w:rsidR="00A759F1" w:rsidRPr="00564674">
        <w:rPr>
          <w:noProof/>
        </w:rPr>
        <w:t xml:space="preserve">, driving a reallocation of labour. </w:t>
      </w:r>
      <w:r w:rsidR="004A71E9" w:rsidRPr="00564674">
        <w:rPr>
          <w:noProof/>
        </w:rPr>
        <w:t>Th</w:t>
      </w:r>
      <w:r w:rsidR="00536FB5" w:rsidRPr="00564674">
        <w:rPr>
          <w:noProof/>
        </w:rPr>
        <w:t>ese</w:t>
      </w:r>
      <w:r w:rsidR="00AA566D">
        <w:rPr>
          <w:noProof/>
        </w:rPr>
        <w:t xml:space="preserve"> </w:t>
      </w:r>
      <w:r w:rsidR="004A71E9" w:rsidRPr="00564674">
        <w:rPr>
          <w:noProof/>
        </w:rPr>
        <w:t>trend</w:t>
      </w:r>
      <w:r w:rsidR="00536FB5" w:rsidRPr="00564674">
        <w:rPr>
          <w:noProof/>
        </w:rPr>
        <w:t>s</w:t>
      </w:r>
      <w:r w:rsidR="004A71E9" w:rsidRPr="00564674">
        <w:rPr>
          <w:noProof/>
        </w:rPr>
        <w:t xml:space="preserve"> </w:t>
      </w:r>
      <w:r w:rsidR="00536FB5" w:rsidRPr="00564674">
        <w:rPr>
          <w:noProof/>
        </w:rPr>
        <w:t>are</w:t>
      </w:r>
      <w:r w:rsidR="004A71E9" w:rsidRPr="00564674">
        <w:rPr>
          <w:noProof/>
        </w:rPr>
        <w:t xml:space="preserve"> not affected to any significant extent by the level of ambition in 2040</w:t>
      </w:r>
      <w:r w:rsidR="00DC3C86" w:rsidRPr="00564674">
        <w:rPr>
          <w:noProof/>
        </w:rPr>
        <w:t xml:space="preserve"> (</w:t>
      </w:r>
      <w:r w:rsidR="004677AC" w:rsidRPr="00564674">
        <w:rPr>
          <w:noProof/>
        </w:rPr>
        <w:fldChar w:fldCharType="begin"/>
      </w:r>
      <w:r w:rsidR="004677AC" w:rsidRPr="00564674">
        <w:rPr>
          <w:noProof/>
        </w:rPr>
        <w:instrText xml:space="preserve"> REF _Ref140570518 \h  \* MERGEFORMAT </w:instrText>
      </w:r>
      <w:r w:rsidR="004677AC" w:rsidRPr="00564674">
        <w:rPr>
          <w:noProof/>
        </w:rPr>
      </w:r>
      <w:r w:rsidR="004677AC" w:rsidRPr="00564674">
        <w:rPr>
          <w:noProof/>
        </w:rPr>
        <w:fldChar w:fldCharType="separate"/>
      </w:r>
      <w:r w:rsidR="00170A3C">
        <w:rPr>
          <w:noProof/>
        </w:rPr>
        <w:t>Table 50</w:t>
      </w:r>
      <w:r w:rsidR="004677AC" w:rsidRPr="00564674">
        <w:rPr>
          <w:noProof/>
        </w:rPr>
        <w:fldChar w:fldCharType="end"/>
      </w:r>
      <w:r w:rsidR="00536FB5" w:rsidRPr="00564674">
        <w:rPr>
          <w:noProof/>
        </w:rPr>
        <w:t>)</w:t>
      </w:r>
      <w:r w:rsidR="00663016" w:rsidRPr="00564674">
        <w:rPr>
          <w:noProof/>
        </w:rPr>
        <w:t xml:space="preserve">, but they imply a reallocation of the labour force over time. Such a reallocation is typically not </w:t>
      </w:r>
      <w:r w:rsidR="002479BA" w:rsidRPr="00564674">
        <w:rPr>
          <w:noProof/>
        </w:rPr>
        <w:t xml:space="preserve">without frictions and costs, </w:t>
      </w:r>
      <w:r w:rsidR="00663016" w:rsidRPr="00564674">
        <w:rPr>
          <w:noProof/>
        </w:rPr>
        <w:t>and</w:t>
      </w:r>
      <w:r w:rsidR="002479BA" w:rsidRPr="00564674">
        <w:rPr>
          <w:noProof/>
        </w:rPr>
        <w:t xml:space="preserve"> it</w:t>
      </w:r>
      <w:r w:rsidR="00663016" w:rsidRPr="00564674">
        <w:rPr>
          <w:noProof/>
        </w:rPr>
        <w:t xml:space="preserve"> </w:t>
      </w:r>
      <w:r w:rsidR="002479BA" w:rsidRPr="00564674">
        <w:rPr>
          <w:noProof/>
        </w:rPr>
        <w:t xml:space="preserve">would require </w:t>
      </w:r>
      <w:r w:rsidR="00516DE0">
        <w:rPr>
          <w:noProof/>
        </w:rPr>
        <w:t>a</w:t>
      </w:r>
      <w:r w:rsidR="002479BA" w:rsidRPr="00564674">
        <w:rPr>
          <w:noProof/>
        </w:rPr>
        <w:t>ccompanying policies to ensure that reskilling and retraining opportunities are available for workers in need (</w:t>
      </w:r>
      <w:r w:rsidR="007432BE" w:rsidRPr="00564674">
        <w:rPr>
          <w:noProof/>
        </w:rPr>
        <w:t>see Annex 9</w:t>
      </w:r>
      <w:r w:rsidR="005A0E46" w:rsidRPr="00564674">
        <w:rPr>
          <w:noProof/>
        </w:rPr>
        <w:t>).</w:t>
      </w:r>
    </w:p>
    <w:p w14:paraId="7BE4EC3B" w14:textId="0D686023" w:rsidR="00874026" w:rsidRDefault="00325E60" w:rsidP="004677AC">
      <w:pPr>
        <w:pStyle w:val="Caption"/>
        <w:rPr>
          <w:noProof/>
        </w:rPr>
      </w:pPr>
      <w:bookmarkStart w:id="774" w:name="_Ref140570518"/>
      <w:bookmarkStart w:id="775" w:name="_Toc157679933"/>
      <w:r>
        <w:rPr>
          <w:noProof/>
        </w:rPr>
        <w:t>Table</w:t>
      </w:r>
      <w:r w:rsidR="00015827">
        <w:rPr>
          <w:noProof/>
        </w:rPr>
        <w:t xml:space="preserve"> </w:t>
      </w:r>
      <w:r>
        <w:rPr>
          <w:noProof/>
          <w:color w:val="2B579A"/>
          <w:shd w:val="clear" w:color="auto" w:fill="E6E6E6"/>
        </w:rPr>
        <w:fldChar w:fldCharType="begin"/>
      </w:r>
      <w:r>
        <w:rPr>
          <w:noProof/>
        </w:rPr>
        <w:instrText>SEQ Table \* ARABIC</w:instrText>
      </w:r>
      <w:r>
        <w:rPr>
          <w:noProof/>
          <w:color w:val="2B579A"/>
          <w:shd w:val="clear" w:color="auto" w:fill="E6E6E6"/>
        </w:rPr>
        <w:fldChar w:fldCharType="separate"/>
      </w:r>
      <w:r w:rsidR="00170A3C">
        <w:rPr>
          <w:noProof/>
        </w:rPr>
        <w:t>50</w:t>
      </w:r>
      <w:r>
        <w:rPr>
          <w:noProof/>
          <w:color w:val="2B579A"/>
          <w:shd w:val="clear" w:color="auto" w:fill="E6E6E6"/>
        </w:rPr>
        <w:fldChar w:fldCharType="end"/>
      </w:r>
      <w:bookmarkEnd w:id="774"/>
      <w:r w:rsidR="00015827">
        <w:rPr>
          <w:noProof/>
        </w:rPr>
        <w:t xml:space="preserve">: </w:t>
      </w:r>
      <w:r w:rsidR="00A01AC5">
        <w:rPr>
          <w:noProof/>
        </w:rPr>
        <w:t>S</w:t>
      </w:r>
      <w:r w:rsidR="00015827">
        <w:rPr>
          <w:noProof/>
        </w:rPr>
        <w:t>ectoral employment, share in total employment (%)</w:t>
      </w:r>
      <w:bookmarkEnd w:id="775"/>
    </w:p>
    <w:p w14:paraId="7143BF7D" w14:textId="7A0CA805" w:rsidR="00874026" w:rsidRDefault="00B200DF" w:rsidP="004677AC">
      <w:pPr>
        <w:keepNext/>
        <w:spacing w:after="0"/>
        <w:jc w:val="center"/>
        <w:rPr>
          <w:rFonts w:ascii="Cambria Math" w:hAnsi="Cambria Math"/>
          <w:i/>
          <w:noProof/>
          <w:sz w:val="22"/>
          <w:szCs w:val="22"/>
        </w:rPr>
      </w:pPr>
      <w:r w:rsidRPr="00B200DF">
        <w:rPr>
          <w:noProof/>
          <w:lang w:eastAsia="en-GB"/>
        </w:rPr>
        <w:drawing>
          <wp:inline distT="0" distB="0" distL="0" distR="0" wp14:anchorId="6E4DA133" wp14:editId="0E5E72AC">
            <wp:extent cx="4346575" cy="2583180"/>
            <wp:effectExtent l="0" t="0" r="0" b="762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4346575" cy="2583180"/>
                    </a:xfrm>
                    <a:prstGeom prst="rect">
                      <a:avLst/>
                    </a:prstGeom>
                    <a:noFill/>
                    <a:ln>
                      <a:noFill/>
                    </a:ln>
                  </pic:spPr>
                </pic:pic>
              </a:graphicData>
            </a:graphic>
          </wp:inline>
        </w:drawing>
      </w:r>
    </w:p>
    <w:p w14:paraId="4F160CC7" w14:textId="15BC9761" w:rsidR="00874026" w:rsidRPr="00BA2F0E" w:rsidRDefault="00874026" w:rsidP="006D315F">
      <w:pPr>
        <w:pStyle w:val="CT-SOURCE"/>
        <w:rPr>
          <w:rFonts w:ascii="Cambria Math" w:hAnsi="Cambria Math"/>
          <w:i w:val="0"/>
          <w:noProof/>
        </w:rPr>
      </w:pPr>
      <w:r w:rsidRPr="00534E10">
        <w:rPr>
          <w:noProof/>
        </w:rPr>
        <w:t>Source: JRC-GEM-E3 model.</w:t>
      </w:r>
      <w:r w:rsidR="00DD5028" w:rsidRPr="00534E10">
        <w:rPr>
          <w:noProof/>
        </w:rPr>
        <w:t xml:space="preserve"> </w:t>
      </w:r>
      <w:r w:rsidR="00DD5028" w:rsidRPr="00E8358B">
        <w:rPr>
          <w:noProof/>
        </w:rPr>
        <w:t>(</w:t>
      </w:r>
      <w:r w:rsidR="00DD5028">
        <w:rPr>
          <w:rStyle w:val="FootnoteReference"/>
          <w:noProof/>
        </w:rPr>
        <w:footnoteReference w:id="307"/>
      </w:r>
      <w:r w:rsidR="00DD5028">
        <w:rPr>
          <w:noProof/>
        </w:rPr>
        <w:t>)</w:t>
      </w:r>
    </w:p>
    <w:p w14:paraId="1FE3E0E3" w14:textId="6C12F717" w:rsidR="009851FD" w:rsidRDefault="000B2083" w:rsidP="00874026">
      <w:pPr>
        <w:rPr>
          <w:noProof/>
        </w:rPr>
      </w:pPr>
      <w:r>
        <w:rPr>
          <w:noProof/>
        </w:rPr>
        <w:t xml:space="preserve">The importance of reskilling and retraining in the course of the transition is further highlighted by projections based on the linking of the macro-economic simulation of the 3 main scenarios and the skills </w:t>
      </w:r>
      <w:r w:rsidR="007470E3">
        <w:rPr>
          <w:noProof/>
        </w:rPr>
        <w:t>forecast from the European Centre for the Development of Vocational Training (</w:t>
      </w:r>
      <w:r w:rsidR="001F4FD4">
        <w:rPr>
          <w:rStyle w:val="FootnoteReference"/>
          <w:noProof/>
        </w:rPr>
        <w:footnoteReference w:id="308"/>
      </w:r>
      <w:r w:rsidR="001F4FD4">
        <w:rPr>
          <w:noProof/>
        </w:rPr>
        <w:t>)</w:t>
      </w:r>
      <w:r w:rsidR="007470E3">
        <w:rPr>
          <w:noProof/>
        </w:rPr>
        <w:t xml:space="preserve">. These projections show that trends in the share of employment by occupation are broadly projected to continue up to 2040, and that the 3 main scenarios are extremely similar in terms of their impacts on occupation requirements. Two key occupational groups are projected to experience a significant increase in their share of total employment, </w:t>
      </w:r>
      <w:r w:rsidR="00BA5019">
        <w:rPr>
          <w:noProof/>
        </w:rPr>
        <w:t>i.e.,</w:t>
      </w:r>
      <w:r w:rsidR="007470E3">
        <w:rPr>
          <w:noProof/>
        </w:rPr>
        <w:t xml:space="preserve"> professionals an</w:t>
      </w:r>
      <w:r w:rsidR="00DE0FAB">
        <w:rPr>
          <w:noProof/>
        </w:rPr>
        <w:t>d</w:t>
      </w:r>
      <w:r w:rsidR="007470E3">
        <w:rPr>
          <w:noProof/>
        </w:rPr>
        <w:t xml:space="preserve"> technicians. In the crafts and trade group, occupations related to </w:t>
      </w:r>
      <w:r w:rsidR="002F7937">
        <w:rPr>
          <w:noProof/>
        </w:rPr>
        <w:t xml:space="preserve">buildings as well as </w:t>
      </w:r>
      <w:r w:rsidR="007470E3">
        <w:rPr>
          <w:noProof/>
        </w:rPr>
        <w:t xml:space="preserve">plant and machine </w:t>
      </w:r>
      <w:r w:rsidR="007470E3" w:rsidRPr="00564674">
        <w:rPr>
          <w:noProof/>
        </w:rPr>
        <w:t>operators are also projected to experience an increase in employment share relative to 2022 (</w:t>
      </w:r>
      <w:r w:rsidR="00C26A9A">
        <w:rPr>
          <w:noProof/>
        </w:rPr>
        <w:fldChar w:fldCharType="begin"/>
      </w:r>
      <w:r w:rsidR="00C26A9A">
        <w:rPr>
          <w:noProof/>
        </w:rPr>
        <w:instrText xml:space="preserve"> REF _Ref144730886 \h </w:instrText>
      </w:r>
      <w:r w:rsidR="00C26A9A">
        <w:rPr>
          <w:noProof/>
        </w:rPr>
      </w:r>
      <w:r w:rsidR="00C26A9A">
        <w:rPr>
          <w:noProof/>
        </w:rPr>
        <w:fldChar w:fldCharType="separate"/>
      </w:r>
      <w:r w:rsidR="00170A3C">
        <w:rPr>
          <w:noProof/>
        </w:rPr>
        <w:t>Figure 120</w:t>
      </w:r>
      <w:r w:rsidR="00C26A9A">
        <w:rPr>
          <w:noProof/>
        </w:rPr>
        <w:fldChar w:fldCharType="end"/>
      </w:r>
      <w:r w:rsidR="007470E3" w:rsidRPr="00564674">
        <w:rPr>
          <w:noProof/>
        </w:rPr>
        <w:fldChar w:fldCharType="begin"/>
      </w:r>
      <w:r w:rsidR="007470E3" w:rsidRPr="00564674">
        <w:rPr>
          <w:noProof/>
        </w:rPr>
        <w:fldChar w:fldCharType="separate"/>
      </w:r>
      <w:r w:rsidR="009D7F0B">
        <w:rPr>
          <w:noProof/>
        </w:rPr>
        <w:t xml:space="preserve">Figure </w:t>
      </w:r>
      <w:r w:rsidR="00B45828">
        <w:rPr>
          <w:noProof/>
        </w:rPr>
        <w:t>120</w:t>
      </w:r>
      <w:r w:rsidR="007470E3" w:rsidRPr="00564674">
        <w:rPr>
          <w:noProof/>
        </w:rPr>
        <w:fldChar w:fldCharType="end"/>
      </w:r>
      <w:r w:rsidR="007470E3" w:rsidRPr="00564674">
        <w:rPr>
          <w:noProof/>
        </w:rPr>
        <w:t>).</w:t>
      </w:r>
      <w:r w:rsidR="00780990" w:rsidRPr="00564674">
        <w:rPr>
          <w:noProof/>
        </w:rPr>
        <w:t xml:space="preserve"> In contrast, the share</w:t>
      </w:r>
      <w:r w:rsidR="00DE0FAB" w:rsidRPr="00564674">
        <w:rPr>
          <w:noProof/>
        </w:rPr>
        <w:t>s</w:t>
      </w:r>
      <w:r w:rsidR="00780990" w:rsidRPr="00564674">
        <w:rPr>
          <w:noProof/>
        </w:rPr>
        <w:t xml:space="preserve"> of clerical support </w:t>
      </w:r>
      <w:r w:rsidR="002F7937" w:rsidRPr="00564674">
        <w:rPr>
          <w:noProof/>
        </w:rPr>
        <w:t>a</w:t>
      </w:r>
      <w:r w:rsidR="002F7937">
        <w:rPr>
          <w:noProof/>
        </w:rPr>
        <w:t xml:space="preserve">s well as </w:t>
      </w:r>
      <w:r w:rsidR="00780990" w:rsidRPr="00564674">
        <w:rPr>
          <w:noProof/>
        </w:rPr>
        <w:t>services and sales occupations are projected</w:t>
      </w:r>
      <w:r w:rsidR="00780990">
        <w:rPr>
          <w:noProof/>
        </w:rPr>
        <w:t xml:space="preserve"> to decline significantly.</w:t>
      </w:r>
    </w:p>
    <w:p w14:paraId="302B70A1" w14:textId="75741266" w:rsidR="002F7937" w:rsidRPr="002F7937" w:rsidRDefault="009851FD" w:rsidP="002F7937">
      <w:pPr>
        <w:pStyle w:val="Caption"/>
        <w:rPr>
          <w:noProof/>
        </w:rPr>
      </w:pPr>
      <w:bookmarkStart w:id="776" w:name="_Ref155686907"/>
      <w:bookmarkStart w:id="777" w:name="_Ref144730886"/>
      <w:bookmarkStart w:id="778" w:name="_Toc157679868"/>
      <w:r>
        <w:rPr>
          <w:noProof/>
        </w:rPr>
        <w:t>Figure</w:t>
      </w:r>
      <w:bookmarkEnd w:id="776"/>
      <w:r>
        <w:rPr>
          <w:noProof/>
        </w:rPr>
        <w:t xml:space="preserve"> </w:t>
      </w:r>
      <w:r>
        <w:rPr>
          <w:noProof/>
        </w:rPr>
        <w:fldChar w:fldCharType="begin"/>
      </w:r>
      <w:r>
        <w:rPr>
          <w:noProof/>
        </w:rPr>
        <w:instrText>SEQ Figure \* ARABIC</w:instrText>
      </w:r>
      <w:r>
        <w:rPr>
          <w:noProof/>
        </w:rPr>
        <w:fldChar w:fldCharType="separate"/>
      </w:r>
      <w:r w:rsidR="00170A3C">
        <w:rPr>
          <w:noProof/>
        </w:rPr>
        <w:t>120</w:t>
      </w:r>
      <w:r>
        <w:rPr>
          <w:noProof/>
        </w:rPr>
        <w:fldChar w:fldCharType="end"/>
      </w:r>
      <w:bookmarkEnd w:id="777"/>
      <w:r>
        <w:rPr>
          <w:noProof/>
        </w:rPr>
        <w:t>:</w:t>
      </w:r>
      <w:r w:rsidR="008734EA">
        <w:rPr>
          <w:noProof/>
        </w:rPr>
        <w:t xml:space="preserve"> Historical and</w:t>
      </w:r>
      <w:r>
        <w:rPr>
          <w:noProof/>
        </w:rPr>
        <w:t xml:space="preserve"> </w:t>
      </w:r>
      <w:r w:rsidR="008734EA">
        <w:rPr>
          <w:noProof/>
        </w:rPr>
        <w:t>p</w:t>
      </w:r>
      <w:r>
        <w:rPr>
          <w:noProof/>
        </w:rPr>
        <w:t>rojected shares of employment by occupations</w:t>
      </w:r>
      <w:r w:rsidR="008734EA">
        <w:rPr>
          <w:noProof/>
        </w:rPr>
        <w:t xml:space="preserve"> in 2040</w:t>
      </w:r>
      <w:r>
        <w:rPr>
          <w:noProof/>
        </w:rPr>
        <w:t xml:space="preserve"> (% of total)</w:t>
      </w:r>
      <w:bookmarkEnd w:id="778"/>
    </w:p>
    <w:p w14:paraId="72C3F826" w14:textId="0A313D23" w:rsidR="002F7937" w:rsidRPr="002F7937" w:rsidRDefault="002F7937" w:rsidP="002F7937">
      <w:pPr>
        <w:rPr>
          <w:noProof/>
        </w:rPr>
      </w:pPr>
    </w:p>
    <w:p w14:paraId="00E44B84" w14:textId="37BBF5A8" w:rsidR="009851FD" w:rsidRDefault="0066364C" w:rsidP="004677AC">
      <w:pPr>
        <w:keepNext/>
        <w:spacing w:after="0"/>
        <w:jc w:val="center"/>
        <w:rPr>
          <w:noProof/>
        </w:rPr>
      </w:pPr>
      <w:r w:rsidRPr="0066364C">
        <w:rPr>
          <w:noProof/>
          <w:lang w:eastAsia="en-GB"/>
        </w:rPr>
        <w:drawing>
          <wp:inline distT="0" distB="0" distL="0" distR="0" wp14:anchorId="4D8E7010" wp14:editId="5C163C9E">
            <wp:extent cx="5414645" cy="2512695"/>
            <wp:effectExtent l="0" t="0" r="0" b="1905"/>
            <wp:docPr id="1406946486" name="Picture 1406946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5414645" cy="2512695"/>
                    </a:xfrm>
                    <a:prstGeom prst="rect">
                      <a:avLst/>
                    </a:prstGeom>
                    <a:noFill/>
                    <a:ln>
                      <a:noFill/>
                    </a:ln>
                  </pic:spPr>
                </pic:pic>
              </a:graphicData>
            </a:graphic>
          </wp:inline>
        </w:drawing>
      </w:r>
    </w:p>
    <w:p w14:paraId="2D5E041F" w14:textId="1527DE2B" w:rsidR="009851FD" w:rsidRDefault="00FB770A" w:rsidP="004677AC">
      <w:pPr>
        <w:keepNext/>
        <w:spacing w:after="0"/>
        <w:jc w:val="center"/>
        <w:rPr>
          <w:noProof/>
        </w:rPr>
      </w:pPr>
      <w:r w:rsidRPr="00FB770A">
        <w:rPr>
          <w:noProof/>
          <w:lang w:eastAsia="en-GB"/>
        </w:rPr>
        <w:drawing>
          <wp:inline distT="0" distB="0" distL="0" distR="0" wp14:anchorId="55C61B12" wp14:editId="1C427A0B">
            <wp:extent cx="4039235" cy="1153160"/>
            <wp:effectExtent l="0" t="0" r="0" b="8890"/>
            <wp:docPr id="1406946491" name="Picture 1406946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4039235" cy="1153160"/>
                    </a:xfrm>
                    <a:prstGeom prst="rect">
                      <a:avLst/>
                    </a:prstGeom>
                    <a:noFill/>
                    <a:ln>
                      <a:noFill/>
                    </a:ln>
                  </pic:spPr>
                </pic:pic>
              </a:graphicData>
            </a:graphic>
          </wp:inline>
        </w:drawing>
      </w:r>
    </w:p>
    <w:p w14:paraId="6F16539A" w14:textId="2D0BE95E" w:rsidR="009851FD" w:rsidRPr="00A07805" w:rsidRDefault="009851FD" w:rsidP="00B000DC">
      <w:pPr>
        <w:pStyle w:val="CT-SOURCE"/>
        <w:rPr>
          <w:noProof/>
        </w:rPr>
      </w:pPr>
      <w:r w:rsidRPr="00A07805">
        <w:rPr>
          <w:noProof/>
        </w:rPr>
        <w:t>Source: JRC-GEM-E3 model</w:t>
      </w:r>
      <w:r>
        <w:rPr>
          <w:noProof/>
        </w:rPr>
        <w:t xml:space="preserve"> and CEDEFOP skills forecast.</w:t>
      </w:r>
    </w:p>
    <w:p w14:paraId="1BF51D90" w14:textId="0137CEB0" w:rsidR="00874026" w:rsidRDefault="008D0233" w:rsidP="00874026">
      <w:pPr>
        <w:rPr>
          <w:noProof/>
        </w:rPr>
      </w:pPr>
      <w:r>
        <w:rPr>
          <w:noProof/>
        </w:rPr>
        <w:t xml:space="preserve">Useful as they are to assess broad </w:t>
      </w:r>
      <w:r w:rsidR="00736CF2">
        <w:rPr>
          <w:noProof/>
        </w:rPr>
        <w:t xml:space="preserve">economic </w:t>
      </w:r>
      <w:r>
        <w:rPr>
          <w:noProof/>
        </w:rPr>
        <w:t xml:space="preserve">trends </w:t>
      </w:r>
      <w:r w:rsidR="00736CF2">
        <w:rPr>
          <w:noProof/>
        </w:rPr>
        <w:t xml:space="preserve">and, in particular, </w:t>
      </w:r>
      <w:r>
        <w:rPr>
          <w:noProof/>
        </w:rPr>
        <w:t xml:space="preserve">interactions between </w:t>
      </w:r>
      <w:r w:rsidR="00A033C3">
        <w:rPr>
          <w:noProof/>
        </w:rPr>
        <w:t>a range of factors and developments, macro-economic models are not in the best position to assess the impact of transformations within sectors. A bottom-up analysis</w:t>
      </w:r>
      <w:r w:rsidR="005748F2">
        <w:rPr>
          <w:noProof/>
        </w:rPr>
        <w:t xml:space="preserve"> of sectors that will be particularly relevant for the transition is therefore provided below, linking projections from the PRIMES model </w:t>
      </w:r>
      <w:r w:rsidR="00637B52">
        <w:rPr>
          <w:noProof/>
        </w:rPr>
        <w:t>and further building on</w:t>
      </w:r>
      <w:r w:rsidR="005748F2">
        <w:rPr>
          <w:noProof/>
        </w:rPr>
        <w:t xml:space="preserve"> the </w:t>
      </w:r>
      <w:r w:rsidR="00637B52">
        <w:rPr>
          <w:noProof/>
        </w:rPr>
        <w:t>results from JRC-GEM-E3. An assessment is provided for the automobile sector, construction</w:t>
      </w:r>
      <w:r w:rsidR="00663016">
        <w:rPr>
          <w:noProof/>
        </w:rPr>
        <w:t xml:space="preserve"> and heating systems, and the deployment of renewable power generation.</w:t>
      </w:r>
    </w:p>
    <w:p w14:paraId="7050EB4E" w14:textId="0E427913" w:rsidR="00E52A69" w:rsidRDefault="00E52A69" w:rsidP="00F7719F">
      <w:pPr>
        <w:pStyle w:val="Heading4"/>
        <w:rPr>
          <w:noProof/>
        </w:rPr>
      </w:pPr>
      <w:r>
        <w:rPr>
          <w:noProof/>
        </w:rPr>
        <w:t>Automobile sector, construction</w:t>
      </w:r>
      <w:r w:rsidR="0068359B">
        <w:rPr>
          <w:noProof/>
        </w:rPr>
        <w:t>,</w:t>
      </w:r>
      <w:r>
        <w:rPr>
          <w:noProof/>
        </w:rPr>
        <w:t xml:space="preserve"> heating</w:t>
      </w:r>
      <w:r w:rsidR="0068359B">
        <w:rPr>
          <w:noProof/>
        </w:rPr>
        <w:t xml:space="preserve"> and electricity</w:t>
      </w:r>
    </w:p>
    <w:p w14:paraId="39C79AC2" w14:textId="67F9C03A" w:rsidR="00195BD9" w:rsidRDefault="00AD387D" w:rsidP="00874026">
      <w:pPr>
        <w:rPr>
          <w:noProof/>
        </w:rPr>
      </w:pPr>
      <w:r w:rsidRPr="00AD387D">
        <w:rPr>
          <w:noProof/>
        </w:rPr>
        <w:t>R</w:t>
      </w:r>
      <w:r>
        <w:rPr>
          <w:noProof/>
        </w:rPr>
        <w:t>egulation</w:t>
      </w:r>
      <w:r w:rsidRPr="00AD387D">
        <w:rPr>
          <w:noProof/>
        </w:rPr>
        <w:t xml:space="preserve"> (EU) 2023/851</w:t>
      </w:r>
      <w:r>
        <w:rPr>
          <w:noProof/>
        </w:rPr>
        <w:t xml:space="preserve"> amending Regulation </w:t>
      </w:r>
      <w:r w:rsidR="00635A37">
        <w:rPr>
          <w:noProof/>
        </w:rPr>
        <w:t xml:space="preserve">(EU) 2019/631 imposes a ban on the sale of </w:t>
      </w:r>
      <w:r w:rsidR="0026539E">
        <w:rPr>
          <w:noProof/>
        </w:rPr>
        <w:t xml:space="preserve">new </w:t>
      </w:r>
      <w:r w:rsidR="00635A37">
        <w:rPr>
          <w:noProof/>
        </w:rPr>
        <w:t xml:space="preserve">non-zero emission </w:t>
      </w:r>
      <w:r w:rsidR="007A14CF">
        <w:rPr>
          <w:noProof/>
        </w:rPr>
        <w:t>cars and vans in the EU from 2035 onwards. This implies a major transformation of the automobile manufacturing sector</w:t>
      </w:r>
      <w:r w:rsidR="0005108F">
        <w:rPr>
          <w:noProof/>
        </w:rPr>
        <w:t xml:space="preserve"> and has implications across the whole value chain. </w:t>
      </w:r>
      <w:r w:rsidR="00DE0FAB">
        <w:rPr>
          <w:noProof/>
        </w:rPr>
        <w:t>A</w:t>
      </w:r>
      <w:r w:rsidR="0005108F">
        <w:rPr>
          <w:noProof/>
        </w:rPr>
        <w:t xml:space="preserve"> </w:t>
      </w:r>
      <w:r w:rsidR="000F4E17">
        <w:rPr>
          <w:noProof/>
        </w:rPr>
        <w:t xml:space="preserve">version of the </w:t>
      </w:r>
      <w:r w:rsidR="0005108F">
        <w:rPr>
          <w:noProof/>
        </w:rPr>
        <w:t xml:space="preserve">JRC-GEM-E3 model was augmented with </w:t>
      </w:r>
      <w:r w:rsidR="003B5645">
        <w:rPr>
          <w:noProof/>
        </w:rPr>
        <w:t xml:space="preserve">an explicit representation of vehicle manufacturing and an upgrade of the modelling of vehicle purchase and operation, as electric </w:t>
      </w:r>
      <w:r w:rsidR="00FA46CA">
        <w:rPr>
          <w:noProof/>
        </w:rPr>
        <w:t xml:space="preserve">vehicles (which were assumed as the </w:t>
      </w:r>
      <w:r w:rsidR="00BA5019">
        <w:rPr>
          <w:noProof/>
        </w:rPr>
        <w:t>zero-tailpipe</w:t>
      </w:r>
      <w:r w:rsidR="009C56E2">
        <w:rPr>
          <w:noProof/>
        </w:rPr>
        <w:t xml:space="preserve"> emission technology deployed) have different needs not only in terms of manufacturing, but also operation and maintenance.</w:t>
      </w:r>
      <w:r w:rsidR="00C56EB1">
        <w:rPr>
          <w:noProof/>
        </w:rPr>
        <w:t xml:space="preserve"> </w:t>
      </w:r>
      <w:r w:rsidR="001A654E">
        <w:rPr>
          <w:noProof/>
        </w:rPr>
        <w:t xml:space="preserve">On this basis, </w:t>
      </w:r>
      <w:r w:rsidR="00C56EB1">
        <w:rPr>
          <w:noProof/>
        </w:rPr>
        <w:t xml:space="preserve">Tamba &amp; al. </w:t>
      </w:r>
      <w:r w:rsidR="001A654E">
        <w:rPr>
          <w:noProof/>
        </w:rPr>
        <w:t xml:space="preserve">find that </w:t>
      </w:r>
      <w:r w:rsidR="0080790F">
        <w:rPr>
          <w:noProof/>
        </w:rPr>
        <w:t>transport electrification alters supply</w:t>
      </w:r>
      <w:r w:rsidR="0026539E">
        <w:rPr>
          <w:noProof/>
        </w:rPr>
        <w:t xml:space="preserve"> </w:t>
      </w:r>
      <w:r w:rsidR="0080790F">
        <w:rPr>
          <w:noProof/>
        </w:rPr>
        <w:t xml:space="preserve">chains and leads to structural shifts in employment from traditional vehicle manufacturing towards battery production, electricity supply and related investments </w:t>
      </w:r>
      <w:r w:rsidR="00C56EB1" w:rsidRPr="00C56EB1">
        <w:rPr>
          <w:rFonts w:cs="Times New Roman"/>
          <w:noProof/>
        </w:rPr>
        <w:t>(</w:t>
      </w:r>
      <w:r w:rsidR="00C56EB1">
        <w:rPr>
          <w:rStyle w:val="FootnoteReference"/>
          <w:noProof/>
        </w:rPr>
        <w:footnoteReference w:id="309"/>
      </w:r>
      <w:r w:rsidR="00C56EB1">
        <w:rPr>
          <w:rFonts w:cs="Times New Roman"/>
          <w:noProof/>
        </w:rPr>
        <w:t>)</w:t>
      </w:r>
      <w:r w:rsidR="0080790F">
        <w:rPr>
          <w:rFonts w:cs="Times New Roman"/>
          <w:noProof/>
        </w:rPr>
        <w:t>.</w:t>
      </w:r>
      <w:r w:rsidR="003F41E6">
        <w:rPr>
          <w:rFonts w:cs="Times New Roman"/>
          <w:noProof/>
        </w:rPr>
        <w:t xml:space="preserve"> They find that, in the medium term, </w:t>
      </w:r>
      <w:r w:rsidR="003F41E6" w:rsidRPr="003F41E6">
        <w:rPr>
          <w:rFonts w:cs="Times New Roman"/>
          <w:noProof/>
        </w:rPr>
        <w:t xml:space="preserve">reaching a </w:t>
      </w:r>
      <w:r w:rsidR="00226ECE">
        <w:rPr>
          <w:rFonts w:cs="Times New Roman"/>
          <w:noProof/>
        </w:rPr>
        <w:t>given</w:t>
      </w:r>
      <w:r w:rsidR="003F41E6" w:rsidRPr="003F41E6">
        <w:rPr>
          <w:rFonts w:cs="Times New Roman"/>
          <w:noProof/>
        </w:rPr>
        <w:t xml:space="preserve"> climate target with limited road transport electrification </w:t>
      </w:r>
      <w:r w:rsidR="003F41E6">
        <w:rPr>
          <w:rFonts w:cs="Times New Roman"/>
          <w:noProof/>
        </w:rPr>
        <w:t xml:space="preserve">has negative impacts on </w:t>
      </w:r>
      <w:r w:rsidR="003F41E6" w:rsidRPr="003F41E6">
        <w:rPr>
          <w:rFonts w:cs="Times New Roman"/>
          <w:noProof/>
        </w:rPr>
        <w:t xml:space="preserve">GDP compared to </w:t>
      </w:r>
      <w:r w:rsidR="00226ECE">
        <w:rPr>
          <w:rFonts w:cs="Times New Roman"/>
          <w:noProof/>
        </w:rPr>
        <w:t xml:space="preserve">an alternative option with </w:t>
      </w:r>
      <w:r w:rsidR="00DE0FAB">
        <w:rPr>
          <w:rFonts w:cs="Times New Roman"/>
          <w:noProof/>
        </w:rPr>
        <w:t xml:space="preserve">higher </w:t>
      </w:r>
      <w:r w:rsidR="00226ECE">
        <w:rPr>
          <w:rFonts w:cs="Times New Roman"/>
          <w:noProof/>
        </w:rPr>
        <w:t>electrification</w:t>
      </w:r>
      <w:r w:rsidR="003F41E6">
        <w:rPr>
          <w:rFonts w:cs="Times New Roman"/>
          <w:noProof/>
        </w:rPr>
        <w:t xml:space="preserve"> </w:t>
      </w:r>
      <w:r w:rsidR="003F41E6" w:rsidRPr="003F41E6">
        <w:rPr>
          <w:rFonts w:cs="Times New Roman"/>
          <w:noProof/>
        </w:rPr>
        <w:t xml:space="preserve">as further efforts are </w:t>
      </w:r>
      <w:r w:rsidR="00226ECE">
        <w:rPr>
          <w:rFonts w:cs="Times New Roman"/>
          <w:noProof/>
        </w:rPr>
        <w:t xml:space="preserve">then </w:t>
      </w:r>
      <w:r w:rsidR="003F41E6" w:rsidRPr="003F41E6">
        <w:rPr>
          <w:rFonts w:cs="Times New Roman"/>
          <w:noProof/>
        </w:rPr>
        <w:t>needed in other sectors with potentially higher</w:t>
      </w:r>
      <w:r w:rsidR="00226ECE">
        <w:rPr>
          <w:rFonts w:cs="Times New Roman"/>
          <w:noProof/>
        </w:rPr>
        <w:t xml:space="preserve"> </w:t>
      </w:r>
      <w:r w:rsidR="003F41E6" w:rsidRPr="003F41E6">
        <w:rPr>
          <w:rFonts w:cs="Times New Roman"/>
          <w:noProof/>
        </w:rPr>
        <w:t>abatement costs</w:t>
      </w:r>
      <w:r w:rsidR="00226ECE">
        <w:rPr>
          <w:rFonts w:cs="Times New Roman"/>
          <w:noProof/>
        </w:rPr>
        <w:t>.</w:t>
      </w:r>
    </w:p>
    <w:p w14:paraId="34071C3D" w14:textId="685D84CD" w:rsidR="00087539" w:rsidRDefault="00226ECE" w:rsidP="00087539">
      <w:pPr>
        <w:rPr>
          <w:noProof/>
        </w:rPr>
      </w:pPr>
      <w:r>
        <w:rPr>
          <w:noProof/>
        </w:rPr>
        <w:t>Importantly, the authors find that the shift to</w:t>
      </w:r>
      <w:r w:rsidR="00472B0F">
        <w:rPr>
          <w:noProof/>
        </w:rPr>
        <w:t>wards</w:t>
      </w:r>
      <w:r>
        <w:rPr>
          <w:noProof/>
        </w:rPr>
        <w:t xml:space="preserve"> the production of electric vehicles implies</w:t>
      </w:r>
      <w:r w:rsidR="00472B0F">
        <w:rPr>
          <w:noProof/>
        </w:rPr>
        <w:t xml:space="preserve"> a small net increase in </w:t>
      </w:r>
      <w:r w:rsidR="002C5FF3">
        <w:rPr>
          <w:noProof/>
        </w:rPr>
        <w:t xml:space="preserve">employment in </w:t>
      </w:r>
      <w:r w:rsidR="00472B0F">
        <w:rPr>
          <w:noProof/>
        </w:rPr>
        <w:t xml:space="preserve">the car manufacturing sector overall, driven primarily from costs reductions over time (including learning in batteries and lower maintenance and operation costs) leading to increases in demand for vehicles. </w:t>
      </w:r>
      <w:r w:rsidR="00E369A6">
        <w:rPr>
          <w:noProof/>
        </w:rPr>
        <w:t xml:space="preserve">In turn, the net employment effect </w:t>
      </w:r>
      <w:r w:rsidR="002C5FF3">
        <w:rPr>
          <w:noProof/>
        </w:rPr>
        <w:t xml:space="preserve">on the services side </w:t>
      </w:r>
      <w:r w:rsidR="00E369A6">
        <w:rPr>
          <w:noProof/>
        </w:rPr>
        <w:t>is projected to be negative due to the lower maintenance services requirements of electric vehicles compared to internal combustion engine</w:t>
      </w:r>
      <w:r w:rsidR="006D067E">
        <w:rPr>
          <w:noProof/>
        </w:rPr>
        <w:t xml:space="preserve"> ones. The batteries sector and power generation, in contrast, are positively impacted by the electrification of road transport.</w:t>
      </w:r>
    </w:p>
    <w:p w14:paraId="0F6C9252" w14:textId="135C8416" w:rsidR="007550F9" w:rsidRDefault="007550F9" w:rsidP="007550F9">
      <w:pPr>
        <w:rPr>
          <w:noProof/>
        </w:rPr>
      </w:pPr>
      <w:r>
        <w:rPr>
          <w:noProof/>
        </w:rPr>
        <w:t xml:space="preserve">As indicated above, the share of the construction sector in total employment is projected to </w:t>
      </w:r>
      <w:r w:rsidR="008734EA">
        <w:rPr>
          <w:noProof/>
        </w:rPr>
        <w:t>remain broadly stable</w:t>
      </w:r>
      <w:r>
        <w:rPr>
          <w:noProof/>
        </w:rPr>
        <w:t xml:space="preserve"> across all scenarios under the JRC-GEM-E3 model. A major driving force in construction employment, which </w:t>
      </w:r>
      <w:r w:rsidR="0078284B">
        <w:rPr>
          <w:noProof/>
        </w:rPr>
        <w:t xml:space="preserve">currently </w:t>
      </w:r>
      <w:r>
        <w:rPr>
          <w:noProof/>
        </w:rPr>
        <w:t>represents about 16 million jobs,</w:t>
      </w:r>
      <w:r w:rsidR="00C24691">
        <w:rPr>
          <w:noProof/>
        </w:rPr>
        <w:t xml:space="preserve"> will be </w:t>
      </w:r>
      <w:r w:rsidR="0044123F">
        <w:rPr>
          <w:noProof/>
        </w:rPr>
        <w:t xml:space="preserve">the need to </w:t>
      </w:r>
      <w:r w:rsidR="00966938">
        <w:rPr>
          <w:noProof/>
        </w:rPr>
        <w:t>achieve much higher renovation rates of the existing building stock</w:t>
      </w:r>
      <w:r w:rsidR="004055AC">
        <w:rPr>
          <w:noProof/>
        </w:rPr>
        <w:t xml:space="preserve"> over the next decade to improve energy efficiency and enable the transition to decarbonised heating systems (mainly heat pumps).</w:t>
      </w:r>
      <w:r w:rsidR="00D35F68">
        <w:rPr>
          <w:noProof/>
        </w:rPr>
        <w:t xml:space="preserve"> </w:t>
      </w:r>
      <w:r w:rsidR="00600A0E">
        <w:rPr>
          <w:noProof/>
        </w:rPr>
        <w:t xml:space="preserve">The construction sector </w:t>
      </w:r>
      <w:r w:rsidR="00B00034">
        <w:rPr>
          <w:noProof/>
        </w:rPr>
        <w:t xml:space="preserve">should also benefit from </w:t>
      </w:r>
      <w:r w:rsidR="00661327">
        <w:rPr>
          <w:noProof/>
        </w:rPr>
        <w:t>the building of new green infrastructure, including in power generation and transport.</w:t>
      </w:r>
      <w:r w:rsidR="00D35F68">
        <w:rPr>
          <w:noProof/>
        </w:rPr>
        <w:t xml:space="preserve"> </w:t>
      </w:r>
      <w:r w:rsidR="00893A85">
        <w:rPr>
          <w:noProof/>
        </w:rPr>
        <w:t xml:space="preserve">At aggregate level, the requirements for construction jobs will also be influenced by factors that are exogenous to the climate and energy transition, mainly </w:t>
      </w:r>
      <w:r w:rsidR="00AC50E6">
        <w:rPr>
          <w:noProof/>
        </w:rPr>
        <w:t xml:space="preserve">a </w:t>
      </w:r>
      <w:r w:rsidR="00086C6D">
        <w:rPr>
          <w:noProof/>
        </w:rPr>
        <w:t xml:space="preserve">gradual </w:t>
      </w:r>
      <w:r w:rsidR="00AC50E6">
        <w:rPr>
          <w:noProof/>
        </w:rPr>
        <w:t>declin</w:t>
      </w:r>
      <w:r w:rsidR="00086C6D">
        <w:rPr>
          <w:noProof/>
        </w:rPr>
        <w:t>e in total</w:t>
      </w:r>
      <w:r w:rsidR="00AC50E6">
        <w:rPr>
          <w:noProof/>
        </w:rPr>
        <w:t xml:space="preserve"> population </w:t>
      </w:r>
      <w:r w:rsidR="00086C6D">
        <w:rPr>
          <w:noProof/>
        </w:rPr>
        <w:t>in the long term</w:t>
      </w:r>
      <w:r w:rsidR="00AC50E6">
        <w:rPr>
          <w:noProof/>
        </w:rPr>
        <w:t xml:space="preserve">, ageing and patterns </w:t>
      </w:r>
      <w:r w:rsidR="00A65576">
        <w:rPr>
          <w:noProof/>
        </w:rPr>
        <w:t xml:space="preserve">and choices in terms of geographic spread of the population </w:t>
      </w:r>
      <w:r w:rsidR="00E36979">
        <w:rPr>
          <w:noProof/>
        </w:rPr>
        <w:t>or urban</w:t>
      </w:r>
      <w:r w:rsidR="00A65576">
        <w:rPr>
          <w:noProof/>
        </w:rPr>
        <w:t xml:space="preserve"> densification</w:t>
      </w:r>
      <w:r w:rsidR="00E36979">
        <w:rPr>
          <w:noProof/>
        </w:rPr>
        <w:t>.</w:t>
      </w:r>
    </w:p>
    <w:p w14:paraId="622613DA" w14:textId="157B8BD8" w:rsidR="00870632" w:rsidRPr="00B95EF7" w:rsidRDefault="00870632" w:rsidP="00870632">
      <w:pPr>
        <w:rPr>
          <w:noProof/>
        </w:rPr>
      </w:pPr>
      <w:r>
        <w:rPr>
          <w:noProof/>
        </w:rPr>
        <w:t xml:space="preserve">A sharp increase in renovation rates in the residential sector will be unavoidable as part of the transition to climate neutrality, regardless of the level of ambition for 2040. Annual renovation rates in 2011-2020 were about 0.8% of the residential building stock and were driven mainly by light renovations. Under S1, overall renovation rates are projected to double throughout the transition period to 2050, with a particularly high increase in medium renovations. S2 and S3 would require even higher renovation rates. This would imply more than 4 million renovations per annum on average in 2031-2050 </w:t>
      </w:r>
      <w:r w:rsidRPr="00B95EF7">
        <w:rPr>
          <w:noProof/>
        </w:rPr>
        <w:t xml:space="preserve">under </w:t>
      </w:r>
      <w:r w:rsidR="004B2DB7" w:rsidRPr="00B95EF7">
        <w:rPr>
          <w:noProof/>
        </w:rPr>
        <w:t xml:space="preserve">the 3 main scenarios, with a significant </w:t>
      </w:r>
      <w:r w:rsidR="002A5A67">
        <w:rPr>
          <w:noProof/>
        </w:rPr>
        <w:t>early push</w:t>
      </w:r>
      <w:r w:rsidR="004B2DB7" w:rsidRPr="00B95EF7">
        <w:rPr>
          <w:noProof/>
        </w:rPr>
        <w:t xml:space="preserve"> under S3, </w:t>
      </w:r>
      <w:r w:rsidR="002A5A67">
        <w:rPr>
          <w:noProof/>
        </w:rPr>
        <w:t>delay</w:t>
      </w:r>
      <w:r w:rsidR="004B2DB7" w:rsidRPr="00B95EF7">
        <w:rPr>
          <w:noProof/>
        </w:rPr>
        <w:t xml:space="preserve"> under </w:t>
      </w:r>
      <w:r w:rsidRPr="00B95EF7">
        <w:rPr>
          <w:noProof/>
        </w:rPr>
        <w:t>S1</w:t>
      </w:r>
      <w:r w:rsidR="004B2DB7" w:rsidRPr="00B95EF7">
        <w:rPr>
          <w:noProof/>
        </w:rPr>
        <w:t xml:space="preserve"> and a more even level of renovation across the two decades</w:t>
      </w:r>
      <w:r w:rsidRPr="00B95EF7">
        <w:rPr>
          <w:noProof/>
        </w:rPr>
        <w:t xml:space="preserve"> under S2 (</w:t>
      </w:r>
      <w:r w:rsidR="004677AC" w:rsidRPr="00B95EF7">
        <w:rPr>
          <w:noProof/>
        </w:rPr>
        <w:fldChar w:fldCharType="begin"/>
      </w:r>
      <w:r w:rsidR="004677AC" w:rsidRPr="00B95EF7">
        <w:rPr>
          <w:noProof/>
        </w:rPr>
        <w:instrText xml:space="preserve"> REF _Ref140740014 \h  \* MERGEFORMAT </w:instrText>
      </w:r>
      <w:r w:rsidR="004677AC" w:rsidRPr="00B95EF7">
        <w:rPr>
          <w:noProof/>
        </w:rPr>
      </w:r>
      <w:r w:rsidR="004677AC" w:rsidRPr="00B95EF7">
        <w:rPr>
          <w:noProof/>
        </w:rPr>
        <w:fldChar w:fldCharType="separate"/>
      </w:r>
      <w:r w:rsidR="00170A3C">
        <w:rPr>
          <w:noProof/>
        </w:rPr>
        <w:t>Table 51</w:t>
      </w:r>
      <w:r w:rsidR="004677AC" w:rsidRPr="00B95EF7">
        <w:rPr>
          <w:noProof/>
        </w:rPr>
        <w:fldChar w:fldCharType="end"/>
      </w:r>
      <w:r w:rsidRPr="00B95EF7">
        <w:rPr>
          <w:noProof/>
        </w:rPr>
        <w:t>).</w:t>
      </w:r>
    </w:p>
    <w:p w14:paraId="42251500" w14:textId="5D7CBE91" w:rsidR="00D43AA9" w:rsidRDefault="00870632" w:rsidP="00870632">
      <w:pPr>
        <w:rPr>
          <w:noProof/>
        </w:rPr>
      </w:pPr>
      <w:r w:rsidRPr="00B95EF7">
        <w:rPr>
          <w:noProof/>
        </w:rPr>
        <w:t>What is particularly</w:t>
      </w:r>
      <w:r>
        <w:rPr>
          <w:noProof/>
        </w:rPr>
        <w:t xml:space="preserve"> important in terms of employment is that this push in renovation is not only large in terms of scale and compared with previous decades, but also that it is to be sustained over several decades, starting in the current one already. This should therefore provide job opportunities with long-term prospects for a </w:t>
      </w:r>
      <w:r w:rsidR="00D43AA9">
        <w:rPr>
          <w:noProof/>
        </w:rPr>
        <w:t>significant</w:t>
      </w:r>
      <w:r>
        <w:rPr>
          <w:noProof/>
        </w:rPr>
        <w:t xml:space="preserve"> number of people. </w:t>
      </w:r>
      <w:bookmarkStart w:id="779" w:name="_Hlk143248413"/>
      <w:r>
        <w:rPr>
          <w:noProof/>
        </w:rPr>
        <w:t>Based on a</w:t>
      </w:r>
      <w:r w:rsidR="00D43AA9">
        <w:rPr>
          <w:noProof/>
        </w:rPr>
        <w:t>n average</w:t>
      </w:r>
      <w:r>
        <w:rPr>
          <w:noProof/>
        </w:rPr>
        <w:t xml:space="preserve"> labour intensity of </w:t>
      </w:r>
      <w:r w:rsidR="000B4143">
        <w:rPr>
          <w:noProof/>
        </w:rPr>
        <w:t>5 full-time jobs equivalent</w:t>
      </w:r>
      <w:r>
        <w:rPr>
          <w:noProof/>
        </w:rPr>
        <w:t xml:space="preserve"> per </w:t>
      </w:r>
      <w:r w:rsidR="000B4143">
        <w:rPr>
          <w:noProof/>
        </w:rPr>
        <w:t xml:space="preserve">million </w:t>
      </w:r>
      <w:r>
        <w:rPr>
          <w:noProof/>
        </w:rPr>
        <w:t>euro invested in renovation</w:t>
      </w:r>
      <w:r w:rsidR="000B4143" w:rsidRPr="000B4143">
        <w:rPr>
          <w:noProof/>
        </w:rPr>
        <w:t> (</w:t>
      </w:r>
      <w:r w:rsidR="000B4143">
        <w:rPr>
          <w:rStyle w:val="FootnoteReference"/>
          <w:noProof/>
        </w:rPr>
        <w:footnoteReference w:id="310"/>
      </w:r>
      <w:r w:rsidR="000B4143">
        <w:rPr>
          <w:noProof/>
        </w:rPr>
        <w:t>)</w:t>
      </w:r>
      <w:r>
        <w:rPr>
          <w:noProof/>
        </w:rPr>
        <w:t>,</w:t>
      </w:r>
      <w:r w:rsidR="00D43AA9">
        <w:rPr>
          <w:noProof/>
        </w:rPr>
        <w:t xml:space="preserve"> the renovation drive alone could generate about 250 000 </w:t>
      </w:r>
      <w:r w:rsidR="00D43AA9" w:rsidRPr="00B95EF7">
        <w:rPr>
          <w:noProof/>
        </w:rPr>
        <w:t>jobs over the period 2031-2050. This represents an additional 160 000 jobs compared to the level in 2011-2020, as estimated on the basis of the same labour intensity per million euros invested. While this remains small compared to total construction employment</w:t>
      </w:r>
      <w:r w:rsidR="00950BFF">
        <w:rPr>
          <w:noProof/>
        </w:rPr>
        <w:t xml:space="preserve"> </w:t>
      </w:r>
      <w:r w:rsidR="00D43AA9" w:rsidRPr="00B95EF7">
        <w:rPr>
          <w:noProof/>
        </w:rPr>
        <w:t>(</w:t>
      </w:r>
      <w:r w:rsidR="00D43AA9" w:rsidRPr="00B95EF7">
        <w:rPr>
          <w:noProof/>
        </w:rPr>
        <w:fldChar w:fldCharType="begin"/>
      </w:r>
      <w:r w:rsidR="00D43AA9" w:rsidRPr="00B95EF7">
        <w:rPr>
          <w:noProof/>
        </w:rPr>
        <w:instrText xml:space="preserve"> REF _Ref140570096 \h </w:instrText>
      </w:r>
      <w:r w:rsidR="00B10BA8" w:rsidRPr="00B95EF7">
        <w:rPr>
          <w:noProof/>
        </w:rPr>
        <w:instrText xml:space="preserve"> \* MERGEFORMAT </w:instrText>
      </w:r>
      <w:r w:rsidR="00D43AA9" w:rsidRPr="00B95EF7">
        <w:rPr>
          <w:noProof/>
        </w:rPr>
      </w:r>
      <w:r w:rsidR="00D43AA9" w:rsidRPr="00B95EF7">
        <w:rPr>
          <w:noProof/>
        </w:rPr>
        <w:fldChar w:fldCharType="separate"/>
      </w:r>
      <w:r w:rsidR="00170A3C">
        <w:rPr>
          <w:noProof/>
        </w:rPr>
        <w:t>Table 48</w:t>
      </w:r>
      <w:r w:rsidR="00D43AA9" w:rsidRPr="00B95EF7">
        <w:rPr>
          <w:noProof/>
        </w:rPr>
        <w:fldChar w:fldCharType="end"/>
      </w:r>
      <w:r w:rsidR="00D43AA9" w:rsidRPr="00B95EF7">
        <w:rPr>
          <w:noProof/>
        </w:rPr>
        <w:t>), it is nevertheless significant, and it is to be noted that this figure accounts only for the direct employment impact, without considering further effects along the value chain</w:t>
      </w:r>
      <w:r w:rsidR="00D43AA9" w:rsidRPr="00D43AA9">
        <w:rPr>
          <w:noProof/>
        </w:rPr>
        <w:t> (</w:t>
      </w:r>
      <w:r w:rsidR="00D43AA9">
        <w:rPr>
          <w:rStyle w:val="FootnoteReference"/>
          <w:noProof/>
        </w:rPr>
        <w:footnoteReference w:id="311"/>
      </w:r>
      <w:r w:rsidR="00D43AA9">
        <w:rPr>
          <w:noProof/>
        </w:rPr>
        <w:t>)</w:t>
      </w:r>
      <w:r w:rsidR="00172B2C">
        <w:rPr>
          <w:noProof/>
        </w:rPr>
        <w:t xml:space="preserve">. </w:t>
      </w:r>
      <w:r w:rsidR="00BA5019">
        <w:rPr>
          <w:noProof/>
        </w:rPr>
        <w:t>Similarly,</w:t>
      </w:r>
      <w:r w:rsidR="00172B2C">
        <w:rPr>
          <w:noProof/>
        </w:rPr>
        <w:t xml:space="preserve"> to the investment requirements, the levels of job creation linked to the renovation drive are highest in 2031-2040 under S3, with S2 generating a more even impact across the two decades than S3 and S1.</w:t>
      </w:r>
    </w:p>
    <w:p w14:paraId="09F12E40" w14:textId="7528DC85" w:rsidR="00870632" w:rsidRDefault="00870632" w:rsidP="004677AC">
      <w:pPr>
        <w:pStyle w:val="Caption"/>
        <w:rPr>
          <w:noProof/>
        </w:rPr>
      </w:pPr>
      <w:bookmarkStart w:id="780" w:name="_Ref140590327"/>
      <w:bookmarkStart w:id="781" w:name="_Ref140740014"/>
      <w:bookmarkStart w:id="782" w:name="_Toc157679934"/>
      <w:bookmarkEnd w:id="779"/>
      <w:r>
        <w:rPr>
          <w:noProof/>
        </w:rPr>
        <w:t>Table</w:t>
      </w:r>
      <w:bookmarkEnd w:id="780"/>
      <w:r>
        <w:rPr>
          <w:noProof/>
        </w:rPr>
        <w:t xml:space="preserve"> </w:t>
      </w:r>
      <w:r>
        <w:rPr>
          <w:noProof/>
          <w:color w:val="2B579A"/>
          <w:shd w:val="clear" w:color="auto" w:fill="E6E6E6"/>
        </w:rPr>
        <w:fldChar w:fldCharType="begin"/>
      </w:r>
      <w:r>
        <w:rPr>
          <w:noProof/>
        </w:rPr>
        <w:instrText>SEQ Table \* ARABIC</w:instrText>
      </w:r>
      <w:r>
        <w:rPr>
          <w:noProof/>
          <w:color w:val="2B579A"/>
          <w:shd w:val="clear" w:color="auto" w:fill="E6E6E6"/>
        </w:rPr>
        <w:fldChar w:fldCharType="separate"/>
      </w:r>
      <w:r w:rsidR="00170A3C">
        <w:rPr>
          <w:noProof/>
        </w:rPr>
        <w:t>51</w:t>
      </w:r>
      <w:r>
        <w:rPr>
          <w:noProof/>
          <w:color w:val="2B579A"/>
          <w:shd w:val="clear" w:color="auto" w:fill="E6E6E6"/>
        </w:rPr>
        <w:fldChar w:fldCharType="end"/>
      </w:r>
      <w:bookmarkEnd w:id="781"/>
      <w:r>
        <w:rPr>
          <w:noProof/>
        </w:rPr>
        <w:t xml:space="preserve">: </w:t>
      </w:r>
      <w:r w:rsidR="00A01AC5">
        <w:rPr>
          <w:noProof/>
        </w:rPr>
        <w:t>A</w:t>
      </w:r>
      <w:r>
        <w:rPr>
          <w:noProof/>
        </w:rPr>
        <w:t>verage annual renovations in residential and tertiary sectors</w:t>
      </w:r>
      <w:bookmarkEnd w:id="782"/>
      <w:r>
        <w:rPr>
          <w:noProof/>
        </w:rPr>
        <w:t xml:space="preserve"> </w:t>
      </w:r>
    </w:p>
    <w:p w14:paraId="49FF3DC0" w14:textId="148963EB" w:rsidR="00A26ED5" w:rsidRPr="00656F80" w:rsidRDefault="00DA66BD" w:rsidP="004677AC">
      <w:pPr>
        <w:keepNext/>
        <w:spacing w:after="0"/>
        <w:jc w:val="center"/>
        <w:rPr>
          <w:rFonts w:ascii="Calibri Light" w:hAnsi="Calibri Light"/>
          <w:i/>
          <w:noProof/>
          <w:sz w:val="22"/>
          <w:szCs w:val="22"/>
          <w:lang w:val="en-IE"/>
        </w:rPr>
      </w:pPr>
      <w:r w:rsidRPr="00B42172">
        <w:rPr>
          <w:rFonts w:ascii="Calibri Light" w:hAnsi="Calibri Light"/>
          <w:i/>
          <w:noProof/>
          <w:sz w:val="22"/>
          <w:szCs w:val="22"/>
        </w:rPr>
        <w:t xml:space="preserve"> </w:t>
      </w:r>
      <w:r w:rsidR="004D4D6D" w:rsidRPr="004D4D6D">
        <w:rPr>
          <w:noProof/>
          <w:lang w:eastAsia="en-GB"/>
        </w:rPr>
        <w:drawing>
          <wp:inline distT="0" distB="0" distL="0" distR="0" wp14:anchorId="0B24EC09" wp14:editId="1F6E81C9">
            <wp:extent cx="3620770" cy="3694430"/>
            <wp:effectExtent l="0" t="0" r="0" b="1270"/>
            <wp:docPr id="1506651261" name="Picture 150665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3620770" cy="3694430"/>
                    </a:xfrm>
                    <a:prstGeom prst="rect">
                      <a:avLst/>
                    </a:prstGeom>
                    <a:noFill/>
                    <a:ln>
                      <a:noFill/>
                    </a:ln>
                  </pic:spPr>
                </pic:pic>
              </a:graphicData>
            </a:graphic>
          </wp:inline>
        </w:drawing>
      </w:r>
    </w:p>
    <w:p w14:paraId="5FF0C750" w14:textId="169E6835" w:rsidR="00A26ED5" w:rsidRPr="00D133DE" w:rsidRDefault="00A26ED5" w:rsidP="00B000DC">
      <w:pPr>
        <w:pStyle w:val="CT-NOTE"/>
        <w:rPr>
          <w:noProof/>
        </w:rPr>
      </w:pPr>
      <w:r w:rsidRPr="00D133DE">
        <w:rPr>
          <w:noProof/>
        </w:rPr>
        <w:t>Note: floor</w:t>
      </w:r>
      <w:r w:rsidR="00AE624E">
        <w:rPr>
          <w:noProof/>
        </w:rPr>
        <w:t xml:space="preserve"> stands for floor</w:t>
      </w:r>
      <w:r w:rsidRPr="00D133DE">
        <w:rPr>
          <w:noProof/>
        </w:rPr>
        <w:t xml:space="preserve"> surface</w:t>
      </w:r>
      <w:r w:rsidR="00AE624E">
        <w:rPr>
          <w:noProof/>
        </w:rPr>
        <w:t xml:space="preserve"> and is</w:t>
      </w:r>
      <w:r w:rsidRPr="00D133DE">
        <w:rPr>
          <w:noProof/>
        </w:rPr>
        <w:t xml:space="preserve"> in million m2, </w:t>
      </w:r>
      <w:r w:rsidRPr="00B000DC">
        <w:rPr>
          <w:noProof/>
        </w:rPr>
        <w:t>units</w:t>
      </w:r>
      <w:r w:rsidRPr="00D133DE">
        <w:rPr>
          <w:noProof/>
        </w:rPr>
        <w:t xml:space="preserve"> in million</w:t>
      </w:r>
      <w:r>
        <w:rPr>
          <w:noProof/>
        </w:rPr>
        <w:t>s</w:t>
      </w:r>
      <w:r w:rsidRPr="00D133DE">
        <w:rPr>
          <w:noProof/>
        </w:rPr>
        <w:t xml:space="preserve"> </w:t>
      </w:r>
      <w:r>
        <w:rPr>
          <w:noProof/>
        </w:rPr>
        <w:t>(</w:t>
      </w:r>
      <w:r w:rsidRPr="00D133DE">
        <w:rPr>
          <w:noProof/>
        </w:rPr>
        <w:t>resident</w:t>
      </w:r>
      <w:r>
        <w:rPr>
          <w:noProof/>
        </w:rPr>
        <w:t>ial) and thousands (tertiary).</w:t>
      </w:r>
    </w:p>
    <w:p w14:paraId="331B3CBA" w14:textId="4F5EB126" w:rsidR="00A26ED5" w:rsidRPr="00D133DE" w:rsidRDefault="00A26ED5" w:rsidP="00B000DC">
      <w:pPr>
        <w:pStyle w:val="CT-SOURCE"/>
        <w:rPr>
          <w:noProof/>
        </w:rPr>
      </w:pPr>
      <w:r w:rsidRPr="00D133DE">
        <w:rPr>
          <w:noProof/>
        </w:rPr>
        <w:t>Source: PRIMES.</w:t>
      </w:r>
    </w:p>
    <w:p w14:paraId="6B8AE612" w14:textId="23388DCE" w:rsidR="00870632" w:rsidRDefault="00870632" w:rsidP="00870632">
      <w:pPr>
        <w:rPr>
          <w:noProof/>
        </w:rPr>
      </w:pPr>
      <w:r>
        <w:rPr>
          <w:noProof/>
        </w:rPr>
        <w:t>Such significant needs for construction jobs will also require that training and skilling systems are put in place to ensure the availability of workers for all necessary occupations and at all levels of skills, including relevant craft and trades, developers and architects/engineers. The long-term visibility afforded by the sustained requirement in the sector should also enable the establishment of the necessary education and training programmes for the younger segments of the population. By nature, the renovation sector is also one where SMEs are likely to be particularly active, and where they should benefit from business opportunities.</w:t>
      </w:r>
    </w:p>
    <w:p w14:paraId="4AA93F78" w14:textId="36BBD4CC" w:rsidR="00870632" w:rsidRDefault="00870632" w:rsidP="00870632">
      <w:pPr>
        <w:rPr>
          <w:noProof/>
        </w:rPr>
      </w:pPr>
      <w:r>
        <w:rPr>
          <w:noProof/>
        </w:rPr>
        <w:t>A similar renovation drive will be necessary in the tertiary sector, where around 90 000 units are projected to be renovated on average per annum in 2031-2050 under S1, rising to an annual average of about 140 000 units under S3. While the number of units is much lower than in the residential sector, the floor area to be renovated is still large at around 14% of the floor area in the residential sector.</w:t>
      </w:r>
    </w:p>
    <w:p w14:paraId="0A38EEF4" w14:textId="40E19647" w:rsidR="00870632" w:rsidRDefault="00870632" w:rsidP="00870632">
      <w:pPr>
        <w:rPr>
          <w:noProof/>
        </w:rPr>
      </w:pPr>
      <w:r>
        <w:rPr>
          <w:noProof/>
        </w:rPr>
        <w:t xml:space="preserve">An additional driver of employment creation and skills requirement in the course of the transition to climate neutrality relates to the decarbonisation of heating and cooling systems, mainly via the installation of heat pumps. This should not only generate job creation in installation and maintenance, but also in manufacturing. The deployment of heat pumps </w:t>
      </w:r>
      <w:r w:rsidR="006F67B0">
        <w:rPr>
          <w:noProof/>
        </w:rPr>
        <w:t>in the residential and tertiary sectors</w:t>
      </w:r>
      <w:r>
        <w:rPr>
          <w:noProof/>
        </w:rPr>
        <w:t xml:space="preserve"> will need to take place </w:t>
      </w:r>
      <w:r w:rsidR="004F4FFF">
        <w:rPr>
          <w:noProof/>
        </w:rPr>
        <w:t>rapidly</w:t>
      </w:r>
      <w:r>
        <w:rPr>
          <w:noProof/>
        </w:rPr>
        <w:t xml:space="preserve"> during the transition to climate neutrality, at an estimated average of more than 3 million units per annum in 2031-2050</w:t>
      </w:r>
      <w:r w:rsidR="006F67B0">
        <w:rPr>
          <w:noProof/>
        </w:rPr>
        <w:t xml:space="preserve"> in the residential sector and around 200 000 to 300 000 (</w:t>
      </w:r>
      <w:r w:rsidR="00BA5019">
        <w:rPr>
          <w:noProof/>
        </w:rPr>
        <w:t>larger scale</w:t>
      </w:r>
      <w:r w:rsidR="006F67B0">
        <w:rPr>
          <w:noProof/>
        </w:rPr>
        <w:t>) units in the tertiary sector</w:t>
      </w:r>
      <w:r>
        <w:rPr>
          <w:noProof/>
        </w:rPr>
        <w:t>. The deployment level is similar across scenarios.</w:t>
      </w:r>
    </w:p>
    <w:p w14:paraId="3BE93160" w14:textId="2B2F2D95" w:rsidR="00107C97" w:rsidRDefault="00F8484C" w:rsidP="00870632">
      <w:pPr>
        <w:rPr>
          <w:noProof/>
        </w:rPr>
      </w:pPr>
      <w:r>
        <w:rPr>
          <w:noProof/>
        </w:rPr>
        <w:t>To a large extent, heat</w:t>
      </w:r>
      <w:r w:rsidR="004047A9">
        <w:rPr>
          <w:noProof/>
        </w:rPr>
        <w:t xml:space="preserve"> pumps will substitute other types of heating equipment that would also require to be replaced at the end of their operational lifetime</w:t>
      </w:r>
      <w:r w:rsidR="00107C97">
        <w:rPr>
          <w:noProof/>
        </w:rPr>
        <w:t xml:space="preserve">. Their </w:t>
      </w:r>
      <w:r w:rsidR="004047A9">
        <w:rPr>
          <w:noProof/>
        </w:rPr>
        <w:t xml:space="preserve">installation will therefore only impact total employment in the sector at the margin, to the extent that installation may be more labour intensive than for other types of equipment and to the extent that </w:t>
      </w:r>
      <w:r w:rsidR="00107C97">
        <w:rPr>
          <w:noProof/>
        </w:rPr>
        <w:t>the shifting to heat pumps may anticipate the end of the operational lifetime of the assets they replace. The impacts on the labour market would be significant, however, as the installation levels would require skills adaptation and retraining</w:t>
      </w:r>
      <w:r w:rsidR="000151C3" w:rsidRPr="000151C3">
        <w:rPr>
          <w:noProof/>
        </w:rPr>
        <w:t> (</w:t>
      </w:r>
      <w:r w:rsidR="000151C3">
        <w:rPr>
          <w:rStyle w:val="FootnoteReference"/>
          <w:noProof/>
        </w:rPr>
        <w:footnoteReference w:id="312"/>
      </w:r>
      <w:r w:rsidR="000151C3">
        <w:rPr>
          <w:noProof/>
        </w:rPr>
        <w:t>)</w:t>
      </w:r>
      <w:r w:rsidR="00107C97">
        <w:rPr>
          <w:noProof/>
        </w:rPr>
        <w:t>.</w:t>
      </w:r>
      <w:r w:rsidR="006F67B0">
        <w:rPr>
          <w:noProof/>
        </w:rPr>
        <w:t xml:space="preserve"> </w:t>
      </w:r>
      <w:r w:rsidR="007F76FB">
        <w:rPr>
          <w:noProof/>
        </w:rPr>
        <w:t xml:space="preserve">Based on an estimated </w:t>
      </w:r>
      <w:r w:rsidR="00107C97">
        <w:rPr>
          <w:noProof/>
        </w:rPr>
        <w:t xml:space="preserve">labour intensity </w:t>
      </w:r>
      <w:r w:rsidR="007F76FB">
        <w:rPr>
          <w:noProof/>
        </w:rPr>
        <w:t xml:space="preserve">ratio of </w:t>
      </w:r>
      <w:r w:rsidR="00107C97">
        <w:rPr>
          <w:noProof/>
        </w:rPr>
        <w:t xml:space="preserve">1 full time job equivalent for </w:t>
      </w:r>
      <w:r w:rsidR="00CE0720">
        <w:rPr>
          <w:noProof/>
        </w:rPr>
        <w:t>about</w:t>
      </w:r>
      <w:r w:rsidR="00107C97">
        <w:rPr>
          <w:noProof/>
        </w:rPr>
        <w:t xml:space="preserve"> 3</w:t>
      </w:r>
      <w:r w:rsidR="00CE0720">
        <w:rPr>
          <w:noProof/>
        </w:rPr>
        <w:t>6</w:t>
      </w:r>
      <w:r w:rsidR="00107C97">
        <w:rPr>
          <w:noProof/>
        </w:rPr>
        <w:t xml:space="preserve"> heat pumps installed annually</w:t>
      </w:r>
      <w:r w:rsidR="00107C97" w:rsidRPr="00107C97">
        <w:rPr>
          <w:noProof/>
        </w:rPr>
        <w:t> (</w:t>
      </w:r>
      <w:r w:rsidR="00107C97">
        <w:rPr>
          <w:rStyle w:val="FootnoteReference"/>
          <w:noProof/>
        </w:rPr>
        <w:footnoteReference w:id="313"/>
      </w:r>
      <w:r w:rsidR="00107C97">
        <w:rPr>
          <w:noProof/>
        </w:rPr>
        <w:t>)</w:t>
      </w:r>
      <w:r w:rsidR="007F76FB">
        <w:rPr>
          <w:noProof/>
        </w:rPr>
        <w:t xml:space="preserve">, </w:t>
      </w:r>
      <w:r w:rsidR="006F67B0">
        <w:rPr>
          <w:noProof/>
        </w:rPr>
        <w:t xml:space="preserve">around 100 000 </w:t>
      </w:r>
      <w:r>
        <w:rPr>
          <w:noProof/>
        </w:rPr>
        <w:t xml:space="preserve">full time </w:t>
      </w:r>
      <w:r w:rsidR="006F67B0">
        <w:rPr>
          <w:noProof/>
        </w:rPr>
        <w:t xml:space="preserve">installers </w:t>
      </w:r>
      <w:r w:rsidR="001857E4">
        <w:rPr>
          <w:noProof/>
        </w:rPr>
        <w:t xml:space="preserve"> would be required </w:t>
      </w:r>
      <w:r>
        <w:rPr>
          <w:noProof/>
        </w:rPr>
        <w:t xml:space="preserve">for the time period </w:t>
      </w:r>
      <w:r w:rsidR="001857E4">
        <w:rPr>
          <w:noProof/>
        </w:rPr>
        <w:t>2031-2050.</w:t>
      </w:r>
    </w:p>
    <w:p w14:paraId="6A167DFC" w14:textId="3608BAD3" w:rsidR="00870632" w:rsidRDefault="00870632" w:rsidP="00870632">
      <w:pPr>
        <w:rPr>
          <w:noProof/>
        </w:rPr>
      </w:pPr>
      <w:r>
        <w:rPr>
          <w:noProof/>
        </w:rPr>
        <w:t xml:space="preserve">On the manufacturing side, the Commission estimated that producing the entirety of the heat pumps installed up to 2030 in the EU would lead to an increase </w:t>
      </w:r>
      <w:r w:rsidR="00711F6A">
        <w:rPr>
          <w:noProof/>
        </w:rPr>
        <w:t>of about</w:t>
      </w:r>
      <w:r>
        <w:rPr>
          <w:noProof/>
        </w:rPr>
        <w:t xml:space="preserve"> 60 000 jobs </w:t>
      </w:r>
      <w:r w:rsidRPr="00C3363E">
        <w:rPr>
          <w:rFonts w:cs="Times New Roman"/>
          <w:noProof/>
        </w:rPr>
        <w:t>(</w:t>
      </w:r>
      <w:r>
        <w:rPr>
          <w:rStyle w:val="FootnoteReference"/>
          <w:noProof/>
        </w:rPr>
        <w:footnoteReference w:id="314"/>
      </w:r>
      <w:r>
        <w:rPr>
          <w:rFonts w:cs="Times New Roman"/>
          <w:noProof/>
        </w:rPr>
        <w:t>). The projections for the needs for heat pumps beyond 2030 indicate that the ramping up of production capacity and the associated job creation should be sustained in the long-term.</w:t>
      </w:r>
    </w:p>
    <w:p w14:paraId="14A1E29E" w14:textId="7AFE8DD5" w:rsidR="00870632" w:rsidRDefault="00870632" w:rsidP="00870632">
      <w:pPr>
        <w:rPr>
          <w:noProof/>
        </w:rPr>
      </w:pPr>
      <w:bookmarkStart w:id="783" w:name="_Hlk143254161"/>
      <w:r>
        <w:rPr>
          <w:noProof/>
        </w:rPr>
        <w:t xml:space="preserve">As far as power generation is concerned, the deployment of on-shore and off-shore wind and solar energy will rise sharply throughout the transition period to 2050. While S3 requires a faster ramp up or renewable electricity generation than S2 and S1, the three pathways rely on similar overall annual new capacity installation. </w:t>
      </w:r>
      <w:r w:rsidR="000C5415">
        <w:rPr>
          <w:noProof/>
        </w:rPr>
        <w:t xml:space="preserve">Close to </w:t>
      </w:r>
      <w:r>
        <w:rPr>
          <w:noProof/>
        </w:rPr>
        <w:t>GWe </w:t>
      </w:r>
      <w:r w:rsidR="000C5415">
        <w:rPr>
          <w:noProof/>
        </w:rPr>
        <w:t>100</w:t>
      </w:r>
      <w:r>
        <w:rPr>
          <w:noProof/>
        </w:rPr>
        <w:t xml:space="preserve"> of net power capacity installation will be required for solar </w:t>
      </w:r>
      <w:r w:rsidR="000C5415">
        <w:rPr>
          <w:noProof/>
        </w:rPr>
        <w:t xml:space="preserve">and wind </w:t>
      </w:r>
      <w:r>
        <w:rPr>
          <w:noProof/>
        </w:rPr>
        <w:t>energy. The employment opportunities generated by such a level of installation are very large, both in terms of installation and in terms of manufacturing. On the installation side, solar power is more likely to generate business opportunities and job creation among SMEs, while the deployment of wind turbines will be more tilted towards larger companies.</w:t>
      </w:r>
    </w:p>
    <w:p w14:paraId="40A6B08A" w14:textId="63EF8ACC" w:rsidR="00870632" w:rsidRDefault="00870632" w:rsidP="00870632">
      <w:pPr>
        <w:rPr>
          <w:noProof/>
        </w:rPr>
      </w:pPr>
      <w:r>
        <w:rPr>
          <w:noProof/>
        </w:rPr>
        <w:t xml:space="preserve">On the manufacturing side, the Commission also assessed the job creation potential from the </w:t>
      </w:r>
      <w:r w:rsidRPr="00B95EF7">
        <w:rPr>
          <w:noProof/>
        </w:rPr>
        <w:t xml:space="preserve">domestic manufacturing of solar panels and wind turbines, in a 2030 horizon. While the solar PV </w:t>
      </w:r>
      <w:r w:rsidR="00DE0FAB" w:rsidRPr="00B95EF7">
        <w:rPr>
          <w:noProof/>
        </w:rPr>
        <w:t xml:space="preserve">manufacturing </w:t>
      </w:r>
      <w:r w:rsidRPr="00B95EF7">
        <w:rPr>
          <w:noProof/>
        </w:rPr>
        <w:t>industry is extremely small</w:t>
      </w:r>
      <w:r w:rsidR="00DE0FAB" w:rsidRPr="00B95EF7">
        <w:rPr>
          <w:noProof/>
        </w:rPr>
        <w:t xml:space="preserve"> in the EU currently</w:t>
      </w:r>
      <w:r w:rsidRPr="00B95EF7">
        <w:rPr>
          <w:noProof/>
        </w:rPr>
        <w:t xml:space="preserve">, it estimated that around 66 000 jobs could be created in the sector if the EU were to become self-sufficient in the production of solar PVs. Continued needs in 2031-2050 for the installation of solar PVs at around the level needed to achieve the climate and energy targets under the Fit-for-55 legislation indicates that domestic demand will be sustained for an extended period of time and that employment in the sector could remain large if production capacity is ramped up. Similarly, it was estimated that around 40 000 additional jobs would be needed to make the EU self-sufficient in the production of wind turbines in a 2030 horizon. Given that the annual installation needs for wind power are projected to increase by around 60% between 2021-2030 and 2031-2050, one could foresee the creation </w:t>
      </w:r>
      <w:r w:rsidR="00DE0FAB" w:rsidRPr="00B95EF7">
        <w:rPr>
          <w:noProof/>
        </w:rPr>
        <w:t xml:space="preserve">of </w:t>
      </w:r>
      <w:r w:rsidRPr="00B95EF7">
        <w:rPr>
          <w:noProof/>
        </w:rPr>
        <w:t>large additional</w:t>
      </w:r>
      <w:r>
        <w:rPr>
          <w:noProof/>
        </w:rPr>
        <w:t xml:space="preserve"> employment opportunities in the technology in the horizon 2050.</w:t>
      </w:r>
    </w:p>
    <w:p w14:paraId="55CF65D7" w14:textId="78A6D455" w:rsidR="00870632" w:rsidRDefault="00870632" w:rsidP="00870632">
      <w:pPr>
        <w:rPr>
          <w:noProof/>
        </w:rPr>
      </w:pPr>
      <w:r>
        <w:rPr>
          <w:noProof/>
        </w:rPr>
        <w:t xml:space="preserve">As indicated in the same assessment, the scaling-up of manufacturing capacities would not only </w:t>
      </w:r>
      <w:r w:rsidR="00DE0FAB">
        <w:rPr>
          <w:noProof/>
        </w:rPr>
        <w:t xml:space="preserve">require </w:t>
      </w:r>
      <w:r w:rsidR="00BA5019">
        <w:rPr>
          <w:noProof/>
        </w:rPr>
        <w:t>investing</w:t>
      </w:r>
      <w:r>
        <w:rPr>
          <w:noProof/>
        </w:rPr>
        <w:t xml:space="preserve"> capital in factories and technologies, but also to ensure that the workforce is available and that it has the necessary type and level of skills to operate in new sectors. The re-skilling and up-skilling investment needs, with a 2030 horizon, were estimated at up to EUR 4.1 billion. Extending this horizon to the 2031-2050 period would clearly also broaden the scope and the scale of skills-related investment needs, as the range of sectors affected widens and the overall capital investment needs remain large.</w:t>
      </w:r>
      <w:bookmarkEnd w:id="783"/>
    </w:p>
    <w:p w14:paraId="0EF966C9" w14:textId="573191CA" w:rsidR="00E52A69" w:rsidRDefault="00E52A69" w:rsidP="00F7719F">
      <w:pPr>
        <w:pStyle w:val="Heading4"/>
        <w:rPr>
          <w:noProof/>
        </w:rPr>
      </w:pPr>
      <w:r>
        <w:rPr>
          <w:noProof/>
        </w:rPr>
        <w:t>LIFE</w:t>
      </w:r>
    </w:p>
    <w:p w14:paraId="5E46E946" w14:textId="2B9A4E49" w:rsidR="00C734A3" w:rsidRDefault="00C734A3" w:rsidP="00C734A3">
      <w:pPr>
        <w:rPr>
          <w:noProof/>
        </w:rPr>
      </w:pPr>
      <w:r>
        <w:rPr>
          <w:noProof/>
        </w:rPr>
        <w:t>Further labour market impacts from a higher uptake of circularity in the economy</w:t>
      </w:r>
      <w:r w:rsidR="00E52A69">
        <w:rPr>
          <w:noProof/>
        </w:rPr>
        <w:t xml:space="preserve">, as explored </w:t>
      </w:r>
      <w:r w:rsidR="00880A6F">
        <w:rPr>
          <w:noProof/>
        </w:rPr>
        <w:t>under</w:t>
      </w:r>
      <w:r w:rsidR="00E52A69">
        <w:rPr>
          <w:noProof/>
        </w:rPr>
        <w:t xml:space="preserve"> </w:t>
      </w:r>
      <w:r w:rsidR="002A7B52">
        <w:rPr>
          <w:noProof/>
        </w:rPr>
        <w:t xml:space="preserve">the </w:t>
      </w:r>
      <w:r w:rsidR="00C459D4">
        <w:rPr>
          <w:noProof/>
        </w:rPr>
        <w:t>LIFE</w:t>
      </w:r>
      <w:r w:rsidR="002A7B52">
        <w:rPr>
          <w:noProof/>
        </w:rPr>
        <w:t xml:space="preserve"> setting</w:t>
      </w:r>
      <w:r w:rsidR="00E52A69">
        <w:rPr>
          <w:noProof/>
        </w:rPr>
        <w:t>,</w:t>
      </w:r>
      <w:r>
        <w:rPr>
          <w:noProof/>
        </w:rPr>
        <w:t xml:space="preserve"> could also be expected, even though macro-economic models are not well equipped to assess them. Enhance</w:t>
      </w:r>
      <w:r w:rsidR="00CC6A40">
        <w:rPr>
          <w:noProof/>
        </w:rPr>
        <w:t>d</w:t>
      </w:r>
      <w:r>
        <w:rPr>
          <w:noProof/>
        </w:rPr>
        <w:t xml:space="preserve"> circularity will likely entail job creation as well as job destruction in certain sectors, together with job substitution and redefinition. Labour market impacts can be expected to occur at three stages of the materials cycle: (1) as materials are transformed into products, infrastructure and assets, resource efficiency will shift the relative balance of companies’ inputs from materials to labour; (2) while products are functional, value retention activities (repair, refurbishment, servicing, upgrading) and use-optimisation services (product-as-a-service and sharing models) imply job creation in proximity to where the products are consumed; and (3) when products and assets become waste, there are generally far more jobs generated through treatment at the higher echelons of the waste hierarchy, with one study showing that in dealing with 10 000 tonnes of waste, 1 job is created  by incineration, 36 by recycling and between 300 and 800 by repair and re-use</w:t>
      </w:r>
      <w:r w:rsidRPr="00C734A3">
        <w:rPr>
          <w:noProof/>
        </w:rPr>
        <w:t> (</w:t>
      </w:r>
      <w:r>
        <w:rPr>
          <w:rStyle w:val="FootnoteReference"/>
          <w:noProof/>
        </w:rPr>
        <w:footnoteReference w:id="315"/>
      </w:r>
      <w:r>
        <w:rPr>
          <w:noProof/>
        </w:rPr>
        <w:t>).</w:t>
      </w:r>
    </w:p>
    <w:p w14:paraId="183904E9" w14:textId="688CA955" w:rsidR="00BE2E64" w:rsidRDefault="00496E60" w:rsidP="000C3615">
      <w:pPr>
        <w:rPr>
          <w:rFonts w:ascii="Times New Roman" w:eastAsiaTheme="minorHAnsi" w:hAnsi="Times New Roman" w:cs="Times New Roman"/>
          <w:noProof/>
          <w:lang w:val="en-IE"/>
        </w:rPr>
      </w:pPr>
      <w:bookmarkStart w:id="784" w:name="_Hlk145348374"/>
      <w:r>
        <w:rPr>
          <w:noProof/>
        </w:rPr>
        <w:t xml:space="preserve">The CAPRI model provides indicators on employment effects </w:t>
      </w:r>
      <w:r w:rsidR="00BE2E64" w:rsidRPr="00BE2E64">
        <w:rPr>
          <w:noProof/>
        </w:rPr>
        <w:t xml:space="preserve">from </w:t>
      </w:r>
      <w:r w:rsidR="002A7B52">
        <w:rPr>
          <w:noProof/>
        </w:rPr>
        <w:t xml:space="preserve">the </w:t>
      </w:r>
      <w:r w:rsidR="00C459D4">
        <w:rPr>
          <w:noProof/>
        </w:rPr>
        <w:t>LIFE</w:t>
      </w:r>
      <w:r w:rsidR="002A7B52">
        <w:rPr>
          <w:noProof/>
        </w:rPr>
        <w:t xml:space="preserve"> setting</w:t>
      </w:r>
      <w:r>
        <w:rPr>
          <w:noProof/>
        </w:rPr>
        <w:t>.</w:t>
      </w:r>
      <w:r w:rsidR="00BE2E64" w:rsidRPr="00BE2E64">
        <w:rPr>
          <w:noProof/>
        </w:rPr>
        <w:t xml:space="preserve"> </w:t>
      </w:r>
      <w:r>
        <w:rPr>
          <w:noProof/>
        </w:rPr>
        <w:t xml:space="preserve">The results show </w:t>
      </w:r>
      <w:r w:rsidR="00BE2E64" w:rsidRPr="00BE2E64">
        <w:rPr>
          <w:noProof/>
        </w:rPr>
        <w:t xml:space="preserve">limited labour impacts on agriculture. Total labour </w:t>
      </w:r>
      <w:r w:rsidR="00640F7C">
        <w:rPr>
          <w:noProof/>
        </w:rPr>
        <w:t>(</w:t>
      </w:r>
      <w:r w:rsidR="00BE2E64" w:rsidRPr="00BE2E64">
        <w:rPr>
          <w:noProof/>
        </w:rPr>
        <w:t>in hours/ha</w:t>
      </w:r>
      <w:r w:rsidR="00640F7C">
        <w:rPr>
          <w:noProof/>
        </w:rPr>
        <w:t>)</w:t>
      </w:r>
      <w:r w:rsidR="00BE2E64" w:rsidRPr="00BE2E64">
        <w:rPr>
          <w:noProof/>
        </w:rPr>
        <w:t xml:space="preserve"> in the crop sector decreases by </w:t>
      </w:r>
      <w:r w:rsidR="00DA52DB">
        <w:rPr>
          <w:noProof/>
        </w:rPr>
        <w:t>0.6</w:t>
      </w:r>
      <w:r w:rsidR="00BE2E64" w:rsidRPr="00BE2E64">
        <w:rPr>
          <w:noProof/>
        </w:rPr>
        <w:t>%, characterized by a decrease in labour related to cereals (-</w:t>
      </w:r>
      <w:r w:rsidR="00D35C42">
        <w:rPr>
          <w:noProof/>
        </w:rPr>
        <w:t>7</w:t>
      </w:r>
      <w:r w:rsidR="00BE2E64" w:rsidRPr="00BE2E64">
        <w:rPr>
          <w:noProof/>
        </w:rPr>
        <w:t xml:space="preserve">%) and a slight </w:t>
      </w:r>
      <w:r w:rsidR="0086072B">
        <w:rPr>
          <w:noProof/>
        </w:rPr>
        <w:t>decrease</w:t>
      </w:r>
      <w:r w:rsidR="00BE2E64" w:rsidRPr="00BE2E64">
        <w:rPr>
          <w:noProof/>
        </w:rPr>
        <w:t xml:space="preserve"> in labour on vegetables and permanent crops (</w:t>
      </w:r>
      <w:r w:rsidR="00F00807">
        <w:rPr>
          <w:noProof/>
        </w:rPr>
        <w:t>-</w:t>
      </w:r>
      <w:r w:rsidR="00BE2E64" w:rsidRPr="00BE2E64">
        <w:rPr>
          <w:noProof/>
        </w:rPr>
        <w:t xml:space="preserve">0.4%). </w:t>
      </w:r>
      <w:r w:rsidR="00BA5019" w:rsidRPr="00BE2E64">
        <w:rPr>
          <w:noProof/>
        </w:rPr>
        <w:t>Furthermore,</w:t>
      </w:r>
      <w:r w:rsidR="00BE2E64" w:rsidRPr="00BE2E64">
        <w:rPr>
          <w:noProof/>
        </w:rPr>
        <w:t xml:space="preserve"> a stronger decline in labour hours in cattle activities (-25%) and other animals (-24%) contributes to an overall reduction of total labour of 10.</w:t>
      </w:r>
      <w:r w:rsidR="00807893">
        <w:rPr>
          <w:noProof/>
        </w:rPr>
        <w:t>4</w:t>
      </w:r>
      <w:r w:rsidR="00BE2E64" w:rsidRPr="00BE2E64">
        <w:rPr>
          <w:noProof/>
        </w:rPr>
        <w:t>% on all agricultural activities. However, it needs to be considered that this assessment based on the CAPRI model ignores the labour requirements for management of second</w:t>
      </w:r>
      <w:r w:rsidR="00F00807" w:rsidRPr="00BE2E64">
        <w:rPr>
          <w:noProof/>
        </w:rPr>
        <w:t>-</w:t>
      </w:r>
      <w:r w:rsidR="00BE2E64" w:rsidRPr="00BE2E64">
        <w:rPr>
          <w:noProof/>
        </w:rPr>
        <w:t>generation lignocellulosic crops</w:t>
      </w:r>
      <w:r w:rsidR="00074FA3">
        <w:rPr>
          <w:noProof/>
        </w:rPr>
        <w:t>, payment for ecosystem services (PES),</w:t>
      </w:r>
      <w:r w:rsidR="00BE2E64" w:rsidRPr="00BE2E64">
        <w:rPr>
          <w:noProof/>
        </w:rPr>
        <w:t xml:space="preserve"> and carbon farming </w:t>
      </w:r>
      <w:r w:rsidR="00074FA3">
        <w:rPr>
          <w:noProof/>
        </w:rPr>
        <w:t xml:space="preserve">activities </w:t>
      </w:r>
      <w:r w:rsidR="00BE2E64" w:rsidRPr="00BE2E64">
        <w:rPr>
          <w:noProof/>
        </w:rPr>
        <w:t>and it also does not reflect the additional labour requirements from the expansion of organic agriculture, both of which tend to alleviate the decline in agricultural labour use.</w:t>
      </w:r>
      <w:bookmarkEnd w:id="784"/>
    </w:p>
    <w:p w14:paraId="61F1F2D3" w14:textId="3BDED8A8" w:rsidR="00DD6070" w:rsidRPr="005933BE" w:rsidRDefault="00DD6070" w:rsidP="005933BE">
      <w:pPr>
        <w:pStyle w:val="Heading3"/>
        <w:rPr>
          <w:noProof/>
        </w:rPr>
      </w:pPr>
      <w:bookmarkStart w:id="785" w:name="_Toc148605655"/>
      <w:bookmarkStart w:id="786" w:name="_Toc157692104"/>
      <w:r w:rsidRPr="005933BE">
        <w:rPr>
          <w:noProof/>
        </w:rPr>
        <w:t>Changes in relative prices and distributional impacts</w:t>
      </w:r>
      <w:bookmarkEnd w:id="785"/>
      <w:bookmarkEnd w:id="786"/>
    </w:p>
    <w:p w14:paraId="1BEDED10" w14:textId="0B88C8B2" w:rsidR="00072F1C" w:rsidRDefault="00072F1C" w:rsidP="00072F1C">
      <w:pPr>
        <w:rPr>
          <w:noProof/>
        </w:rPr>
      </w:pPr>
      <w:r>
        <w:rPr>
          <w:noProof/>
        </w:rPr>
        <w:t>The transition to climate neutrality is susceptible to affect relative prices in the economy, as consumption and production patterns change in accordance with the GHG mitigation needs. Sections 1.1.1</w:t>
      </w:r>
      <w:r w:rsidR="008259E8">
        <w:rPr>
          <w:noProof/>
        </w:rPr>
        <w:t xml:space="preserve"> </w:t>
      </w:r>
      <w:r>
        <w:rPr>
          <w:noProof/>
        </w:rPr>
        <w:t>and 1.1.2 assess the direct impact on households of projected changes in fuel expenses and electricity prices. The latter will become particularly important as household energy consumption is set to gradually shift overwhelmingly towards electricity. To complement this analysis, the JRC-GEM-E3 model was used to assess the potential impact on households of changes in relative prices across the economy. A macro-economic model is indeed best suited to capture the full effects and interactions across sectors that will affect relative prices.</w:t>
      </w:r>
    </w:p>
    <w:p w14:paraId="11AC35E3" w14:textId="6486050C" w:rsidR="00072F1C" w:rsidRDefault="00072F1C" w:rsidP="00072F1C">
      <w:pPr>
        <w:rPr>
          <w:noProof/>
        </w:rPr>
      </w:pPr>
      <w:r>
        <w:rPr>
          <w:noProof/>
        </w:rPr>
        <w:t xml:space="preserve">Estimating changes in relative prices is a first step towards assessing the impact on welfare for households, as the latter have very different consumption patterns depending on their income or expenditure levels. Poorer households spend a higher share of their disposable income on </w:t>
      </w:r>
      <w:r w:rsidRPr="00B95EF7">
        <w:rPr>
          <w:noProof/>
        </w:rPr>
        <w:t>basic necessities than households with higher income, including on energy consumption</w:t>
      </w:r>
      <w:r w:rsidR="00E2406F" w:rsidRPr="00B95EF7">
        <w:rPr>
          <w:noProof/>
        </w:rPr>
        <w:t xml:space="preserve"> or</w:t>
      </w:r>
      <w:r w:rsidRPr="00B95EF7">
        <w:rPr>
          <w:noProof/>
        </w:rPr>
        <w:t xml:space="preserve"> housing and food, whose relative prices are more susceptible to be affected by the transition to climate neutrality (</w:t>
      </w:r>
      <w:r w:rsidR="00E2406F" w:rsidRPr="00B95EF7">
        <w:rPr>
          <w:noProof/>
        </w:rPr>
        <w:fldChar w:fldCharType="begin"/>
      </w:r>
      <w:r w:rsidR="00E2406F" w:rsidRPr="00B95EF7">
        <w:rPr>
          <w:noProof/>
        </w:rPr>
        <w:instrText xml:space="preserve"> REF _Ref144801550 \h </w:instrText>
      </w:r>
      <w:r w:rsidR="002A7B52" w:rsidRPr="00B95EF7">
        <w:rPr>
          <w:noProof/>
        </w:rPr>
        <w:instrText xml:space="preserve"> \* MERGEFORMAT </w:instrText>
      </w:r>
      <w:r w:rsidR="00E2406F" w:rsidRPr="00B95EF7">
        <w:rPr>
          <w:noProof/>
        </w:rPr>
      </w:r>
      <w:r w:rsidR="00E2406F" w:rsidRPr="00B95EF7">
        <w:rPr>
          <w:noProof/>
        </w:rPr>
        <w:fldChar w:fldCharType="separate"/>
      </w:r>
      <w:r w:rsidR="00170A3C">
        <w:rPr>
          <w:noProof/>
        </w:rPr>
        <w:t>Figure 121</w:t>
      </w:r>
      <w:r w:rsidR="00E2406F" w:rsidRPr="00B95EF7">
        <w:rPr>
          <w:noProof/>
        </w:rPr>
        <w:fldChar w:fldCharType="end"/>
      </w:r>
      <w:r w:rsidRPr="00B95EF7">
        <w:rPr>
          <w:noProof/>
        </w:rPr>
        <w:t>).</w:t>
      </w:r>
    </w:p>
    <w:p w14:paraId="169C0C5A" w14:textId="18434579" w:rsidR="00072F1C" w:rsidRDefault="00A67117" w:rsidP="007D4354">
      <w:pPr>
        <w:pStyle w:val="Caption"/>
        <w:rPr>
          <w:noProof/>
        </w:rPr>
      </w:pPr>
      <w:bookmarkStart w:id="787" w:name="_Ref144801550"/>
      <w:bookmarkStart w:id="788" w:name="_Toc157679869"/>
      <w:r>
        <w:rPr>
          <w:noProof/>
        </w:rPr>
        <w:t xml:space="preserve">Figure </w:t>
      </w:r>
      <w:r>
        <w:rPr>
          <w:noProof/>
        </w:rPr>
        <w:fldChar w:fldCharType="begin"/>
      </w:r>
      <w:r>
        <w:rPr>
          <w:noProof/>
        </w:rPr>
        <w:instrText>SEQ Figure \* ARABIC</w:instrText>
      </w:r>
      <w:r>
        <w:rPr>
          <w:noProof/>
        </w:rPr>
        <w:fldChar w:fldCharType="separate"/>
      </w:r>
      <w:r w:rsidR="00170A3C">
        <w:rPr>
          <w:noProof/>
        </w:rPr>
        <w:t>121</w:t>
      </w:r>
      <w:r>
        <w:rPr>
          <w:noProof/>
        </w:rPr>
        <w:fldChar w:fldCharType="end"/>
      </w:r>
      <w:bookmarkEnd w:id="787"/>
      <w:r>
        <w:rPr>
          <w:noProof/>
        </w:rPr>
        <w:t xml:space="preserve">: </w:t>
      </w:r>
      <w:r w:rsidRPr="00A67117">
        <w:rPr>
          <w:noProof/>
        </w:rPr>
        <w:t>EU household mean budget shares by expenditure decile</w:t>
      </w:r>
      <w:r>
        <w:rPr>
          <w:noProof/>
        </w:rPr>
        <w:t>,</w:t>
      </w:r>
      <w:r w:rsidRPr="00A67117">
        <w:rPr>
          <w:noProof/>
        </w:rPr>
        <w:t xml:space="preserve"> 2015 (%)</w:t>
      </w:r>
      <w:bookmarkEnd w:id="788"/>
    </w:p>
    <w:p w14:paraId="16D8BBD9" w14:textId="03EBCE9C" w:rsidR="00A67117" w:rsidRDefault="00A67117" w:rsidP="007D4354">
      <w:pPr>
        <w:keepNext/>
        <w:spacing w:after="0"/>
        <w:jc w:val="center"/>
        <w:rPr>
          <w:noProof/>
        </w:rPr>
      </w:pPr>
      <w:r w:rsidRPr="00A67117">
        <w:rPr>
          <w:noProof/>
          <w:lang w:eastAsia="en-GB"/>
        </w:rPr>
        <w:drawing>
          <wp:inline distT="0" distB="0" distL="0" distR="0" wp14:anchorId="2C475E1E" wp14:editId="3B6B2285">
            <wp:extent cx="5410200" cy="2520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5410200" cy="2520950"/>
                    </a:xfrm>
                    <a:prstGeom prst="rect">
                      <a:avLst/>
                    </a:prstGeom>
                    <a:noFill/>
                    <a:ln>
                      <a:noFill/>
                    </a:ln>
                  </pic:spPr>
                </pic:pic>
              </a:graphicData>
            </a:graphic>
          </wp:inline>
        </w:drawing>
      </w:r>
    </w:p>
    <w:p w14:paraId="5413468D" w14:textId="5DBDD93B" w:rsidR="001F06AA" w:rsidRDefault="001F06AA" w:rsidP="007D4354">
      <w:pPr>
        <w:keepNext/>
        <w:spacing w:after="0"/>
        <w:jc w:val="center"/>
        <w:rPr>
          <w:noProof/>
        </w:rPr>
      </w:pPr>
      <w:r w:rsidRPr="001F06AA">
        <w:rPr>
          <w:noProof/>
          <w:lang w:eastAsia="en-GB"/>
        </w:rPr>
        <w:drawing>
          <wp:inline distT="0" distB="0" distL="0" distR="0" wp14:anchorId="4FEC94CE" wp14:editId="1F00513A">
            <wp:extent cx="5128895" cy="1073150"/>
            <wp:effectExtent l="0" t="0" r="0" b="0"/>
            <wp:docPr id="122513221" name="Picture 12251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5128895" cy="1073150"/>
                    </a:xfrm>
                    <a:prstGeom prst="rect">
                      <a:avLst/>
                    </a:prstGeom>
                    <a:noFill/>
                    <a:ln>
                      <a:noFill/>
                    </a:ln>
                  </pic:spPr>
                </pic:pic>
              </a:graphicData>
            </a:graphic>
          </wp:inline>
        </w:drawing>
      </w:r>
    </w:p>
    <w:p w14:paraId="4DBEE199" w14:textId="765D6DD7" w:rsidR="00A67117" w:rsidRPr="00A67117" w:rsidRDefault="00A67117" w:rsidP="000C3615">
      <w:pPr>
        <w:pStyle w:val="CT-SOURCE"/>
        <w:rPr>
          <w:rFonts w:ascii="Calibri Light" w:hAnsi="Calibri Light"/>
          <w:i w:val="0"/>
          <w:noProof/>
        </w:rPr>
      </w:pPr>
      <w:r w:rsidRPr="00A67117">
        <w:rPr>
          <w:noProof/>
        </w:rPr>
        <w:t xml:space="preserve">Source: Household Budget </w:t>
      </w:r>
      <w:r w:rsidRPr="000C3615">
        <w:rPr>
          <w:noProof/>
        </w:rPr>
        <w:t>Survey</w:t>
      </w:r>
      <w:r w:rsidRPr="00A67117">
        <w:rPr>
          <w:rFonts w:ascii="Calibri Light" w:hAnsi="Calibri Light"/>
          <w:i w:val="0"/>
          <w:noProof/>
        </w:rPr>
        <w:t>.</w:t>
      </w:r>
    </w:p>
    <w:p w14:paraId="4EE01D4E" w14:textId="4F6EDD8E" w:rsidR="00AD7702" w:rsidRDefault="00072F1C" w:rsidP="00072F1C">
      <w:pPr>
        <w:rPr>
          <w:noProof/>
        </w:rPr>
      </w:pPr>
      <w:r>
        <w:rPr>
          <w:noProof/>
        </w:rPr>
        <w:t xml:space="preserve">Overall, relative prices are projected </w:t>
      </w:r>
      <w:r w:rsidR="008259E8">
        <w:rPr>
          <w:noProof/>
        </w:rPr>
        <w:t xml:space="preserve">to </w:t>
      </w:r>
      <w:r>
        <w:rPr>
          <w:noProof/>
        </w:rPr>
        <w:t xml:space="preserve">vary relatively little across scenarios. The relative price of housing is nevertheless likely to be </w:t>
      </w:r>
      <w:r w:rsidR="00CC6D90">
        <w:rPr>
          <w:noProof/>
        </w:rPr>
        <w:t xml:space="preserve">somewhat </w:t>
      </w:r>
      <w:r>
        <w:rPr>
          <w:noProof/>
        </w:rPr>
        <w:t>higher under S3 than under S</w:t>
      </w:r>
      <w:r w:rsidR="00CC6D90">
        <w:rPr>
          <w:noProof/>
        </w:rPr>
        <w:t>2 in 2040, and slightly lower under S1 than under S2</w:t>
      </w:r>
      <w:r>
        <w:rPr>
          <w:noProof/>
        </w:rPr>
        <w:t xml:space="preserve"> as higher levels of renovation </w:t>
      </w:r>
      <w:r w:rsidR="00CC6D90">
        <w:rPr>
          <w:noProof/>
        </w:rPr>
        <w:t xml:space="preserve">associate with higher climate ambition </w:t>
      </w:r>
      <w:r>
        <w:rPr>
          <w:noProof/>
        </w:rPr>
        <w:t xml:space="preserve">increase costs for homeowners and renters alike. Similarly, the relative price of the operation of transport equipment is projected to increase with a higher </w:t>
      </w:r>
      <w:r w:rsidRPr="00B95EF7">
        <w:rPr>
          <w:noProof/>
        </w:rPr>
        <w:t xml:space="preserve">level of mitigation in 2040. In contrast, the accelerated shift towards electrification and renewables power generation is projected to decrease the relative prices of fuels and power </w:t>
      </w:r>
      <w:r w:rsidR="00CC6D90">
        <w:rPr>
          <w:noProof/>
        </w:rPr>
        <w:t xml:space="preserve">in S3 </w:t>
      </w:r>
      <w:r w:rsidRPr="00B95EF7">
        <w:rPr>
          <w:noProof/>
        </w:rPr>
        <w:t>relative to S</w:t>
      </w:r>
      <w:r w:rsidR="00CC6D90">
        <w:rPr>
          <w:noProof/>
        </w:rPr>
        <w:t>2, and increase it in S1 relative to S2</w:t>
      </w:r>
      <w:r w:rsidRPr="00B95EF7">
        <w:rPr>
          <w:noProof/>
        </w:rPr>
        <w:t xml:space="preserve"> (</w:t>
      </w:r>
      <w:r w:rsidR="005C7C6C" w:rsidRPr="00B95EF7">
        <w:rPr>
          <w:noProof/>
          <w:color w:val="2B579A"/>
          <w:shd w:val="clear" w:color="auto" w:fill="E6E6E6"/>
        </w:rPr>
        <w:fldChar w:fldCharType="begin"/>
      </w:r>
      <w:r w:rsidR="005C7C6C" w:rsidRPr="00B95EF7">
        <w:rPr>
          <w:noProof/>
        </w:rPr>
        <w:instrText xml:space="preserve"> REF _Ref140740259 \h </w:instrText>
      </w:r>
      <w:r w:rsidR="002A7B52" w:rsidRPr="00B95EF7">
        <w:rPr>
          <w:noProof/>
          <w:color w:val="2B579A"/>
          <w:shd w:val="clear" w:color="auto" w:fill="E6E6E6"/>
        </w:rPr>
        <w:instrText xml:space="preserve"> \* MERGEFORMAT </w:instrText>
      </w:r>
      <w:r w:rsidR="005C7C6C" w:rsidRPr="00B95EF7">
        <w:rPr>
          <w:noProof/>
          <w:color w:val="2B579A"/>
          <w:shd w:val="clear" w:color="auto" w:fill="E6E6E6"/>
        </w:rPr>
      </w:r>
      <w:r w:rsidR="005C7C6C" w:rsidRPr="00B95EF7">
        <w:rPr>
          <w:noProof/>
          <w:color w:val="2B579A"/>
          <w:shd w:val="clear" w:color="auto" w:fill="E6E6E6"/>
        </w:rPr>
        <w:fldChar w:fldCharType="separate"/>
      </w:r>
      <w:r w:rsidR="00170A3C">
        <w:rPr>
          <w:noProof/>
        </w:rPr>
        <w:t>Table 52</w:t>
      </w:r>
      <w:r w:rsidR="005C7C6C" w:rsidRPr="00B95EF7">
        <w:rPr>
          <w:noProof/>
          <w:color w:val="2B579A"/>
          <w:shd w:val="clear" w:color="auto" w:fill="E6E6E6"/>
        </w:rPr>
        <w:fldChar w:fldCharType="end"/>
      </w:r>
      <w:r w:rsidRPr="00B95EF7">
        <w:rPr>
          <w:noProof/>
        </w:rPr>
        <w:t>).</w:t>
      </w:r>
    </w:p>
    <w:p w14:paraId="200AC231" w14:textId="0B6E5B74" w:rsidR="00072F1C" w:rsidRDefault="00B04EA4" w:rsidP="007D4354">
      <w:pPr>
        <w:pStyle w:val="Caption"/>
        <w:rPr>
          <w:noProof/>
        </w:rPr>
      </w:pPr>
      <w:bookmarkStart w:id="789" w:name="_Ref140740259"/>
      <w:bookmarkStart w:id="790" w:name="_Toc157679935"/>
      <w:r>
        <w:rPr>
          <w:noProof/>
        </w:rPr>
        <w:t xml:space="preserve">Table </w:t>
      </w:r>
      <w:r>
        <w:rPr>
          <w:noProof/>
          <w:color w:val="2B579A"/>
          <w:shd w:val="clear" w:color="auto" w:fill="E6E6E6"/>
        </w:rPr>
        <w:fldChar w:fldCharType="begin"/>
      </w:r>
      <w:r>
        <w:rPr>
          <w:noProof/>
        </w:rPr>
        <w:instrText>SEQ Table \* ARABIC</w:instrText>
      </w:r>
      <w:r>
        <w:rPr>
          <w:noProof/>
          <w:color w:val="2B579A"/>
          <w:shd w:val="clear" w:color="auto" w:fill="E6E6E6"/>
        </w:rPr>
        <w:fldChar w:fldCharType="separate"/>
      </w:r>
      <w:r w:rsidR="00170A3C">
        <w:rPr>
          <w:noProof/>
        </w:rPr>
        <w:t>52</w:t>
      </w:r>
      <w:r>
        <w:rPr>
          <w:noProof/>
          <w:color w:val="2B579A"/>
          <w:shd w:val="clear" w:color="auto" w:fill="E6E6E6"/>
        </w:rPr>
        <w:fldChar w:fldCharType="end"/>
      </w:r>
      <w:bookmarkEnd w:id="789"/>
      <w:r>
        <w:rPr>
          <w:noProof/>
        </w:rPr>
        <w:t xml:space="preserve">: </w:t>
      </w:r>
      <w:r w:rsidR="00A01AC5">
        <w:rPr>
          <w:noProof/>
        </w:rPr>
        <w:t>C</w:t>
      </w:r>
      <w:r w:rsidR="0056335D">
        <w:rPr>
          <w:noProof/>
        </w:rPr>
        <w:t>hanges in relative prices, S</w:t>
      </w:r>
      <w:r w:rsidR="00CC6D90">
        <w:rPr>
          <w:noProof/>
        </w:rPr>
        <w:t>1</w:t>
      </w:r>
      <w:r w:rsidR="0056335D">
        <w:rPr>
          <w:noProof/>
        </w:rPr>
        <w:t xml:space="preserve"> and S3 vs. S</w:t>
      </w:r>
      <w:r w:rsidR="00CC6D90">
        <w:rPr>
          <w:noProof/>
        </w:rPr>
        <w:t>2</w:t>
      </w:r>
      <w:r w:rsidR="0056335D">
        <w:rPr>
          <w:noProof/>
        </w:rPr>
        <w:t xml:space="preserve"> (% change)</w:t>
      </w:r>
      <w:bookmarkEnd w:id="790"/>
    </w:p>
    <w:p w14:paraId="1EE6DAF6" w14:textId="36D895D9" w:rsidR="001B02BE" w:rsidRDefault="00CC6D90" w:rsidP="007D4354">
      <w:pPr>
        <w:keepNext/>
        <w:spacing w:after="0"/>
        <w:jc w:val="center"/>
        <w:rPr>
          <w:rFonts w:ascii="Cambria Math" w:hAnsi="Cambria Math"/>
          <w:i/>
          <w:noProof/>
          <w:sz w:val="22"/>
          <w:szCs w:val="22"/>
        </w:rPr>
      </w:pPr>
      <w:r w:rsidRPr="00CC6D90">
        <w:rPr>
          <w:rFonts w:ascii="Cambria Math" w:hAnsi="Cambria Math"/>
          <w:i/>
          <w:noProof/>
          <w:sz w:val="22"/>
          <w:szCs w:val="22"/>
        </w:rPr>
        <w:t xml:space="preserve"> </w:t>
      </w:r>
      <w:r w:rsidRPr="00CC6D90">
        <w:rPr>
          <w:noProof/>
          <w:lang w:eastAsia="en-GB"/>
        </w:rPr>
        <w:drawing>
          <wp:inline distT="0" distB="0" distL="0" distR="0" wp14:anchorId="717A476F" wp14:editId="5CC31595">
            <wp:extent cx="4176395" cy="2947670"/>
            <wp:effectExtent l="0" t="0" r="0" b="50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4176395" cy="2947670"/>
                    </a:xfrm>
                    <a:prstGeom prst="rect">
                      <a:avLst/>
                    </a:prstGeom>
                    <a:noFill/>
                    <a:ln>
                      <a:noFill/>
                    </a:ln>
                  </pic:spPr>
                </pic:pic>
              </a:graphicData>
            </a:graphic>
          </wp:inline>
        </w:drawing>
      </w:r>
    </w:p>
    <w:p w14:paraId="6A63AA3F" w14:textId="5605CDC7" w:rsidR="001B02BE" w:rsidRPr="00534E10" w:rsidRDefault="001B02BE" w:rsidP="000C3615">
      <w:pPr>
        <w:pStyle w:val="CT-SOURCE"/>
        <w:rPr>
          <w:noProof/>
        </w:rPr>
      </w:pPr>
      <w:r w:rsidRPr="00534E10">
        <w:rPr>
          <w:noProof/>
        </w:rPr>
        <w:t>Source: JRC-GEM-E3.</w:t>
      </w:r>
    </w:p>
    <w:p w14:paraId="068323FF" w14:textId="6DD713A8" w:rsidR="009117EE" w:rsidRPr="009117EE" w:rsidRDefault="009117EE" w:rsidP="009117EE">
      <w:pPr>
        <w:rPr>
          <w:noProof/>
          <w:lang w:val="en-IE"/>
        </w:rPr>
      </w:pPr>
      <w:r w:rsidRPr="009117EE">
        <w:rPr>
          <w:noProof/>
          <w:lang w:val="en-IE"/>
        </w:rPr>
        <w:t>Linking these estimated changes in relative prices to micro-data from the household budgetary survey, the JRC estimated distribution impacts per expenditure and income deciles</w:t>
      </w:r>
      <w:r w:rsidR="005F5C1E" w:rsidRPr="005F5C1E">
        <w:rPr>
          <w:noProof/>
          <w:lang w:val="en-IE"/>
        </w:rPr>
        <w:t> (</w:t>
      </w:r>
      <w:r w:rsidR="005F5C1E">
        <w:rPr>
          <w:rStyle w:val="FootnoteReference"/>
          <w:noProof/>
          <w:lang w:val="en-IE"/>
        </w:rPr>
        <w:footnoteReference w:id="316"/>
      </w:r>
      <w:r w:rsidR="005F5C1E">
        <w:rPr>
          <w:noProof/>
          <w:lang w:val="en-IE"/>
        </w:rPr>
        <w:t>)</w:t>
      </w:r>
      <w:r w:rsidRPr="009117EE">
        <w:rPr>
          <w:noProof/>
          <w:lang w:val="en-IE"/>
        </w:rPr>
        <w:t>. This work elaborates on what was done in the impact assessment for the 2030 Climate Target Plan</w:t>
      </w:r>
      <w:r w:rsidR="008259E8">
        <w:rPr>
          <w:noProof/>
          <w:lang w:val="en-IE"/>
        </w:rPr>
        <w:t xml:space="preserve"> </w:t>
      </w:r>
      <w:r w:rsidR="008259E8" w:rsidRPr="008259E8">
        <w:rPr>
          <w:noProof/>
          <w:lang w:val="en-IE"/>
        </w:rPr>
        <w:t>and for the Council Recommendation on fair transition (</w:t>
      </w:r>
      <w:r w:rsidR="008259E8">
        <w:rPr>
          <w:rStyle w:val="FootnoteReference"/>
          <w:noProof/>
          <w:lang w:val="en-IE"/>
        </w:rPr>
        <w:footnoteReference w:id="317"/>
      </w:r>
      <w:r w:rsidR="008259E8">
        <w:rPr>
          <w:noProof/>
          <w:lang w:val="en-IE"/>
        </w:rPr>
        <w:t>)</w:t>
      </w:r>
      <w:r w:rsidR="00FF5625">
        <w:rPr>
          <w:noProof/>
          <w:lang w:val="en-IE"/>
        </w:rPr>
        <w:t>.</w:t>
      </w:r>
      <w:r w:rsidRPr="009117EE">
        <w:rPr>
          <w:noProof/>
          <w:lang w:val="en-IE"/>
        </w:rPr>
        <w:t xml:space="preserve"> It improves the previous estimation of impacts by allowing the structure of household consumption to vary over time. Previous estimates instead used the household budgetary survey in a fully static manner, </w:t>
      </w:r>
      <w:r w:rsidR="00BA5019" w:rsidRPr="009117EE">
        <w:rPr>
          <w:noProof/>
          <w:lang w:val="en-IE"/>
        </w:rPr>
        <w:t>i.e.,</w:t>
      </w:r>
      <w:r w:rsidRPr="009117EE">
        <w:rPr>
          <w:noProof/>
          <w:lang w:val="en-IE"/>
        </w:rPr>
        <w:t xml:space="preserve"> it assumed that the expenditure structure across income groups did not change over </w:t>
      </w:r>
      <w:r w:rsidR="00765D8E" w:rsidRPr="009117EE">
        <w:rPr>
          <w:noProof/>
          <w:lang w:val="en-IE"/>
        </w:rPr>
        <w:t>time,</w:t>
      </w:r>
      <w:r w:rsidRPr="009117EE">
        <w:rPr>
          <w:noProof/>
          <w:lang w:val="en-IE"/>
        </w:rPr>
        <w:t xml:space="preserve"> and it applied changes in relative prices across scenarios to the (static) historical expenditure structure from the data.</w:t>
      </w:r>
    </w:p>
    <w:p w14:paraId="7EDA49BE" w14:textId="7552C651" w:rsidR="00587D90" w:rsidRDefault="009117EE" w:rsidP="00587D90">
      <w:pPr>
        <w:rPr>
          <w:noProof/>
          <w:lang w:val="en-IE"/>
        </w:rPr>
      </w:pPr>
      <w:r w:rsidRPr="009117EE">
        <w:rPr>
          <w:noProof/>
          <w:lang w:val="en-IE"/>
        </w:rPr>
        <w:t>The estimates show that lower income households will be more affected than higher income households</w:t>
      </w:r>
      <w:r w:rsidR="00CC6D90">
        <w:rPr>
          <w:noProof/>
          <w:lang w:val="en-IE"/>
        </w:rPr>
        <w:t xml:space="preserve"> as the level of climate ambition rises</w:t>
      </w:r>
      <w:r w:rsidRPr="009117EE">
        <w:rPr>
          <w:noProof/>
          <w:lang w:val="en-IE"/>
        </w:rPr>
        <w:t xml:space="preserve">, as measured in terms of compensating variation, </w:t>
      </w:r>
      <w:r w:rsidR="00BA5019" w:rsidRPr="009117EE">
        <w:rPr>
          <w:noProof/>
          <w:lang w:val="en-IE"/>
        </w:rPr>
        <w:t>i.e.,</w:t>
      </w:r>
      <w:r w:rsidRPr="009117EE">
        <w:rPr>
          <w:noProof/>
          <w:lang w:val="en-IE"/>
        </w:rPr>
        <w:t xml:space="preserve"> the monetary transfer that would be necessary to maintain the same level of utility as under the previous set of relative prices</w:t>
      </w:r>
      <w:r w:rsidRPr="00B95EF7">
        <w:rPr>
          <w:noProof/>
          <w:lang w:val="en-IE"/>
        </w:rPr>
        <w:t xml:space="preserve">. Assuming that none of the additional revenue from carbon pricing are redistributed to households to tamper impacts, the welfare impact of S2 would amount to </w:t>
      </w:r>
      <w:r w:rsidR="00E44B8A" w:rsidRPr="00B95EF7">
        <w:rPr>
          <w:noProof/>
          <w:lang w:val="en-IE"/>
        </w:rPr>
        <w:t>about</w:t>
      </w:r>
      <w:r w:rsidRPr="00B95EF7">
        <w:rPr>
          <w:noProof/>
          <w:lang w:val="en-IE"/>
        </w:rPr>
        <w:t xml:space="preserve"> -0.</w:t>
      </w:r>
      <w:r w:rsidR="00E44B8A" w:rsidRPr="00B95EF7">
        <w:rPr>
          <w:noProof/>
          <w:lang w:val="en-IE"/>
        </w:rPr>
        <w:t>8</w:t>
      </w:r>
      <w:r w:rsidRPr="00B95EF7">
        <w:rPr>
          <w:noProof/>
          <w:lang w:val="en-IE"/>
        </w:rPr>
        <w:t>% (% of total expenditure) for the lowest expenditure deciles, and about -0.</w:t>
      </w:r>
      <w:r w:rsidR="00E44B8A" w:rsidRPr="00B95EF7">
        <w:rPr>
          <w:noProof/>
          <w:lang w:val="en-IE"/>
        </w:rPr>
        <w:t>7</w:t>
      </w:r>
      <w:r w:rsidRPr="00B95EF7">
        <w:rPr>
          <w:noProof/>
          <w:lang w:val="en-IE"/>
        </w:rPr>
        <w:t>% for the highest expenditure decile (</w:t>
      </w:r>
      <w:r w:rsidR="007D4354" w:rsidRPr="00B95EF7">
        <w:rPr>
          <w:noProof/>
          <w:lang w:val="en-IE"/>
        </w:rPr>
        <w:fldChar w:fldCharType="begin"/>
      </w:r>
      <w:r w:rsidR="007D4354" w:rsidRPr="00B95EF7">
        <w:rPr>
          <w:noProof/>
          <w:lang w:val="en-IE"/>
        </w:rPr>
        <w:instrText xml:space="preserve"> REF _Ref146113685 \h  \* MERGEFORMAT </w:instrText>
      </w:r>
      <w:r w:rsidR="007D4354" w:rsidRPr="00B95EF7">
        <w:rPr>
          <w:noProof/>
          <w:lang w:val="en-IE"/>
        </w:rPr>
      </w:r>
      <w:r w:rsidR="007D4354" w:rsidRPr="00B95EF7">
        <w:rPr>
          <w:noProof/>
          <w:lang w:val="en-IE"/>
        </w:rPr>
        <w:fldChar w:fldCharType="separate"/>
      </w:r>
      <w:r w:rsidR="00170A3C">
        <w:rPr>
          <w:noProof/>
        </w:rPr>
        <w:t>Figure 122</w:t>
      </w:r>
      <w:r w:rsidR="007D4354" w:rsidRPr="00B95EF7">
        <w:rPr>
          <w:noProof/>
          <w:lang w:val="en-IE"/>
        </w:rPr>
        <w:fldChar w:fldCharType="end"/>
      </w:r>
      <w:r w:rsidRPr="00B95EF7">
        <w:rPr>
          <w:noProof/>
          <w:lang w:val="en-IE"/>
        </w:rPr>
        <w:t>). The effects would be larger under S3 at about -1.</w:t>
      </w:r>
      <w:r w:rsidR="00E44B8A" w:rsidRPr="00B95EF7">
        <w:rPr>
          <w:noProof/>
          <w:lang w:val="en-IE"/>
        </w:rPr>
        <w:t>1</w:t>
      </w:r>
      <w:r w:rsidRPr="00B95EF7">
        <w:rPr>
          <w:noProof/>
          <w:lang w:val="en-IE"/>
        </w:rPr>
        <w:t>% and -0.</w:t>
      </w:r>
      <w:r w:rsidR="00E44B8A" w:rsidRPr="00B95EF7">
        <w:rPr>
          <w:noProof/>
          <w:lang w:val="en-IE"/>
        </w:rPr>
        <w:t>9</w:t>
      </w:r>
      <w:r w:rsidRPr="00B95EF7">
        <w:rPr>
          <w:noProof/>
          <w:lang w:val="en-IE"/>
        </w:rPr>
        <w:t>%, respectively (</w:t>
      </w:r>
      <w:r w:rsidR="007D4354" w:rsidRPr="00B95EF7">
        <w:rPr>
          <w:noProof/>
          <w:color w:val="2B579A"/>
          <w:shd w:val="clear" w:color="auto" w:fill="E6E6E6"/>
          <w:lang w:val="en-IE"/>
        </w:rPr>
        <w:fldChar w:fldCharType="begin"/>
      </w:r>
      <w:r w:rsidR="007D4354" w:rsidRPr="00B95EF7">
        <w:rPr>
          <w:noProof/>
          <w:lang w:val="en-IE"/>
        </w:rPr>
        <w:instrText xml:space="preserve"> REF _Ref146113694 \h </w:instrText>
      </w:r>
      <w:r w:rsidR="007D4354" w:rsidRPr="00B95EF7">
        <w:rPr>
          <w:noProof/>
          <w:color w:val="2B579A"/>
          <w:shd w:val="clear" w:color="auto" w:fill="E6E6E6"/>
          <w:lang w:val="en-IE"/>
        </w:rPr>
        <w:instrText xml:space="preserve"> \* MERGEFORMAT </w:instrText>
      </w:r>
      <w:r w:rsidR="007D4354" w:rsidRPr="00B95EF7">
        <w:rPr>
          <w:noProof/>
          <w:color w:val="2B579A"/>
          <w:shd w:val="clear" w:color="auto" w:fill="E6E6E6"/>
          <w:lang w:val="en-IE"/>
        </w:rPr>
      </w:r>
      <w:r w:rsidR="007D4354" w:rsidRPr="00B95EF7">
        <w:rPr>
          <w:noProof/>
          <w:color w:val="2B579A"/>
          <w:shd w:val="clear" w:color="auto" w:fill="E6E6E6"/>
          <w:lang w:val="en-IE"/>
        </w:rPr>
        <w:fldChar w:fldCharType="separate"/>
      </w:r>
      <w:r w:rsidR="00170A3C">
        <w:rPr>
          <w:noProof/>
        </w:rPr>
        <w:t>Figure 123</w:t>
      </w:r>
      <w:r w:rsidR="007D4354" w:rsidRPr="00B95EF7">
        <w:rPr>
          <w:noProof/>
          <w:color w:val="2B579A"/>
          <w:shd w:val="clear" w:color="auto" w:fill="E6E6E6"/>
          <w:lang w:val="en-IE"/>
        </w:rPr>
        <w:fldChar w:fldCharType="end"/>
      </w:r>
      <w:r w:rsidRPr="00B95EF7">
        <w:rPr>
          <w:noProof/>
          <w:lang w:val="en-IE"/>
        </w:rPr>
        <w:t>).</w:t>
      </w:r>
    </w:p>
    <w:p w14:paraId="099A2544" w14:textId="66AC78DF" w:rsidR="00587D90" w:rsidRDefault="00587D90" w:rsidP="007D4354">
      <w:pPr>
        <w:pStyle w:val="Caption"/>
        <w:rPr>
          <w:noProof/>
          <w:lang w:val="en-IE"/>
        </w:rPr>
      </w:pPr>
      <w:bookmarkStart w:id="791" w:name="_Ref140702598"/>
      <w:bookmarkStart w:id="792" w:name="_Ref146113685"/>
      <w:bookmarkStart w:id="793" w:name="_Toc157679870"/>
      <w:r>
        <w:rPr>
          <w:noProof/>
        </w:rPr>
        <w:t xml:space="preserve">Figure </w:t>
      </w:r>
      <w:bookmarkEnd w:id="791"/>
      <w:r w:rsidR="00F2742D">
        <w:rPr>
          <w:noProof/>
        </w:rPr>
        <w:fldChar w:fldCharType="begin"/>
      </w:r>
      <w:r w:rsidR="00F2742D">
        <w:rPr>
          <w:noProof/>
        </w:rPr>
        <w:instrText xml:space="preserve"> SEQ Figure \* ARABIC </w:instrText>
      </w:r>
      <w:r w:rsidR="00F2742D">
        <w:rPr>
          <w:noProof/>
        </w:rPr>
        <w:fldChar w:fldCharType="separate"/>
      </w:r>
      <w:r w:rsidR="00170A3C">
        <w:rPr>
          <w:noProof/>
        </w:rPr>
        <w:t>122</w:t>
      </w:r>
      <w:r w:rsidR="00F2742D">
        <w:rPr>
          <w:noProof/>
        </w:rPr>
        <w:fldChar w:fldCharType="end"/>
      </w:r>
      <w:bookmarkEnd w:id="792"/>
      <w:r>
        <w:rPr>
          <w:noProof/>
        </w:rPr>
        <w:t xml:space="preserve">: </w:t>
      </w:r>
      <w:r w:rsidR="007D4354">
        <w:rPr>
          <w:noProof/>
        </w:rPr>
        <w:t>C</w:t>
      </w:r>
      <w:r w:rsidR="00557B59">
        <w:rPr>
          <w:noProof/>
        </w:rPr>
        <w:t>hange in relative welfare by expenditure decile, S2</w:t>
      </w:r>
      <w:bookmarkEnd w:id="793"/>
    </w:p>
    <w:p w14:paraId="1A78EFC6" w14:textId="5766A107" w:rsidR="00587D90" w:rsidRDefault="00E91339" w:rsidP="007D4354">
      <w:pPr>
        <w:keepNext/>
        <w:spacing w:after="0"/>
        <w:rPr>
          <w:noProof/>
          <w:lang w:val="en-IE"/>
        </w:rPr>
      </w:pPr>
      <w:r w:rsidRPr="00E91339">
        <w:rPr>
          <w:noProof/>
          <w:lang w:eastAsia="en-GB"/>
        </w:rPr>
        <w:drawing>
          <wp:inline distT="0" distB="0" distL="0" distR="0" wp14:anchorId="77B07BC6" wp14:editId="4B33DD36">
            <wp:extent cx="5407025" cy="2520315"/>
            <wp:effectExtent l="0" t="0" r="3175" b="0"/>
            <wp:docPr id="122513226" name="Picture 12251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6" cstate="print">
                      <a:extLst>
                        <a:ext uri="{28A0092B-C50C-407E-A947-70E740481C1C}">
                          <a14:useLocalDpi xmlns:a14="http://schemas.microsoft.com/office/drawing/2010/main" val="0"/>
                        </a:ext>
                      </a:extLst>
                    </a:blip>
                    <a:srcRect/>
                    <a:stretch>
                      <a:fillRect/>
                    </a:stretch>
                  </pic:blipFill>
                  <pic:spPr bwMode="auto">
                    <a:xfrm>
                      <a:off x="0" y="0"/>
                      <a:ext cx="5407025" cy="2520315"/>
                    </a:xfrm>
                    <a:prstGeom prst="rect">
                      <a:avLst/>
                    </a:prstGeom>
                    <a:noFill/>
                    <a:ln>
                      <a:noFill/>
                    </a:ln>
                  </pic:spPr>
                </pic:pic>
              </a:graphicData>
            </a:graphic>
          </wp:inline>
        </w:drawing>
      </w:r>
    </w:p>
    <w:p w14:paraId="3C3476B0" w14:textId="1FC29DCF" w:rsidR="00587D90" w:rsidRPr="00FC6857" w:rsidRDefault="00587D90" w:rsidP="000C3615">
      <w:pPr>
        <w:pStyle w:val="CT-SOURCE"/>
        <w:rPr>
          <w:rFonts w:ascii="Cambria Math" w:hAnsi="Cambria Math"/>
          <w:i w:val="0"/>
          <w:noProof/>
        </w:rPr>
      </w:pPr>
      <w:r w:rsidRPr="00FC6857">
        <w:rPr>
          <w:noProof/>
        </w:rPr>
        <w:t xml:space="preserve">Source: </w:t>
      </w:r>
      <w:r w:rsidRPr="000C3615">
        <w:rPr>
          <w:noProof/>
        </w:rPr>
        <w:t>JRC</w:t>
      </w:r>
      <w:r w:rsidR="00154DA5">
        <w:rPr>
          <w:noProof/>
        </w:rPr>
        <w:t>.</w:t>
      </w:r>
    </w:p>
    <w:p w14:paraId="7FADCBA6" w14:textId="61AAE7FF" w:rsidR="00587D90" w:rsidRDefault="00FB0C46" w:rsidP="007D4354">
      <w:pPr>
        <w:pStyle w:val="Caption"/>
        <w:rPr>
          <w:noProof/>
        </w:rPr>
      </w:pPr>
      <w:bookmarkStart w:id="794" w:name="_Ref140702606"/>
      <w:bookmarkStart w:id="795" w:name="_Ref146113694"/>
      <w:bookmarkStart w:id="796" w:name="_Toc157679871"/>
      <w:r>
        <w:rPr>
          <w:noProof/>
        </w:rPr>
        <w:t xml:space="preserve">Figure </w:t>
      </w:r>
      <w:bookmarkEnd w:id="794"/>
      <w:r w:rsidR="00F2742D">
        <w:rPr>
          <w:noProof/>
        </w:rPr>
        <w:fldChar w:fldCharType="begin"/>
      </w:r>
      <w:r w:rsidR="00F2742D">
        <w:rPr>
          <w:noProof/>
        </w:rPr>
        <w:instrText xml:space="preserve"> SEQ Figure \* ARABIC </w:instrText>
      </w:r>
      <w:r w:rsidR="00F2742D">
        <w:rPr>
          <w:noProof/>
        </w:rPr>
        <w:fldChar w:fldCharType="separate"/>
      </w:r>
      <w:r w:rsidR="00170A3C">
        <w:rPr>
          <w:noProof/>
        </w:rPr>
        <w:t>123</w:t>
      </w:r>
      <w:r w:rsidR="00F2742D">
        <w:rPr>
          <w:noProof/>
        </w:rPr>
        <w:fldChar w:fldCharType="end"/>
      </w:r>
      <w:bookmarkEnd w:id="795"/>
      <w:r>
        <w:rPr>
          <w:noProof/>
        </w:rPr>
        <w:t xml:space="preserve">: </w:t>
      </w:r>
      <w:r w:rsidR="007D4354">
        <w:rPr>
          <w:noProof/>
        </w:rPr>
        <w:t>C</w:t>
      </w:r>
      <w:r w:rsidRPr="00FB0C46">
        <w:rPr>
          <w:noProof/>
        </w:rPr>
        <w:t>hange in relative welfare by expenditure decile, S</w:t>
      </w:r>
      <w:r>
        <w:rPr>
          <w:noProof/>
        </w:rPr>
        <w:t>3</w:t>
      </w:r>
      <w:bookmarkEnd w:id="796"/>
    </w:p>
    <w:p w14:paraId="0AE00446" w14:textId="23B89AC8" w:rsidR="00587D90" w:rsidRDefault="00E91339" w:rsidP="007D4354">
      <w:pPr>
        <w:keepNext/>
        <w:spacing w:after="0"/>
        <w:jc w:val="center"/>
        <w:rPr>
          <w:rFonts w:ascii="Cambria Math" w:hAnsi="Cambria Math"/>
          <w:i/>
          <w:noProof/>
          <w:sz w:val="22"/>
          <w:szCs w:val="22"/>
        </w:rPr>
      </w:pPr>
      <w:r w:rsidRPr="00E91339">
        <w:rPr>
          <w:noProof/>
          <w:lang w:eastAsia="en-GB"/>
        </w:rPr>
        <w:drawing>
          <wp:inline distT="0" distB="0" distL="0" distR="0" wp14:anchorId="2C4FFADF" wp14:editId="68A7A376">
            <wp:extent cx="5398770" cy="2512695"/>
            <wp:effectExtent l="0" t="0" r="0" b="1905"/>
            <wp:docPr id="122513227" name="Picture 12251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0" y="0"/>
                      <a:ext cx="5398770" cy="2512695"/>
                    </a:xfrm>
                    <a:prstGeom prst="rect">
                      <a:avLst/>
                    </a:prstGeom>
                    <a:noFill/>
                    <a:ln>
                      <a:noFill/>
                    </a:ln>
                  </pic:spPr>
                </pic:pic>
              </a:graphicData>
            </a:graphic>
          </wp:inline>
        </w:drawing>
      </w:r>
    </w:p>
    <w:p w14:paraId="174BE8CD" w14:textId="344A6E3F" w:rsidR="00587D90" w:rsidRDefault="00587D90" w:rsidP="000C3615">
      <w:pPr>
        <w:pStyle w:val="CT-SOURCE"/>
        <w:rPr>
          <w:rFonts w:ascii="Cambria Math" w:hAnsi="Cambria Math"/>
          <w:i w:val="0"/>
          <w:noProof/>
        </w:rPr>
      </w:pPr>
      <w:r w:rsidRPr="00FC6857">
        <w:rPr>
          <w:noProof/>
        </w:rPr>
        <w:t xml:space="preserve">Source: </w:t>
      </w:r>
      <w:r w:rsidRPr="000C3615">
        <w:rPr>
          <w:noProof/>
        </w:rPr>
        <w:t>JRC</w:t>
      </w:r>
      <w:r w:rsidRPr="00FC6857">
        <w:rPr>
          <w:rFonts w:ascii="Cambria Math" w:hAnsi="Cambria Math"/>
          <w:i w:val="0"/>
          <w:noProof/>
        </w:rPr>
        <w:t>.</w:t>
      </w:r>
    </w:p>
    <w:p w14:paraId="61DD899E" w14:textId="2626D99E" w:rsidR="00D045F8" w:rsidRDefault="00D045F8" w:rsidP="00D045F8">
      <w:pPr>
        <w:rPr>
          <w:noProof/>
        </w:rPr>
      </w:pPr>
      <w:r w:rsidRPr="00876D5C">
        <w:rPr>
          <w:noProof/>
        </w:rPr>
        <w:t xml:space="preserve">Redistributing some or all of the additional carbon revenue would sharply reduce this negative impact on the lower expenditure deciles, and it could even reverse it if the redistribution is targeted, </w:t>
      </w:r>
      <w:r w:rsidR="00BA5019" w:rsidRPr="00876D5C">
        <w:rPr>
          <w:noProof/>
        </w:rPr>
        <w:t>e.g.,</w:t>
      </w:r>
      <w:r w:rsidRPr="00876D5C">
        <w:rPr>
          <w:noProof/>
        </w:rPr>
        <w:t xml:space="preserve"> to the households with expenditure levels below 60% of the median. </w:t>
      </w:r>
      <w:r>
        <w:rPr>
          <w:noProof/>
        </w:rPr>
        <w:t xml:space="preserve">Even a partial (50%) redistribution of additional carbon revenue would be sufficient to reverse the negative distributional impacts on the lowest expenditure deciles, if it is targeted on households with income below 60% of the median. </w:t>
      </w:r>
      <w:r w:rsidRPr="00876D5C">
        <w:rPr>
          <w:noProof/>
        </w:rPr>
        <w:t xml:space="preserve">It </w:t>
      </w:r>
      <w:r>
        <w:rPr>
          <w:noProof/>
        </w:rPr>
        <w:t xml:space="preserve">is important to </w:t>
      </w:r>
      <w:r w:rsidRPr="00876D5C">
        <w:rPr>
          <w:noProof/>
        </w:rPr>
        <w:t>note also that the estimates of the effectiveness of redistributing carbon revenues are based on the use of only additional carbon revenue between S2 or S3 and S1. They do not account for full extent of carbon revenues, which would be much larger than the additional ones given that S1 already factors in the vast majority of carbon revenues.</w:t>
      </w:r>
    </w:p>
    <w:p w14:paraId="20647161" w14:textId="3B775319" w:rsidR="00D045F8" w:rsidRPr="00D045F8" w:rsidRDefault="00D045F8" w:rsidP="000C3615">
      <w:pPr>
        <w:pStyle w:val="CT-SOURCE"/>
        <w:rPr>
          <w:rFonts w:ascii="Cambria Math" w:hAnsi="Cambria Math"/>
          <w:i w:val="0"/>
          <w:noProof/>
          <w:lang w:val="en-GB"/>
        </w:rPr>
      </w:pPr>
    </w:p>
    <w:p w14:paraId="686C39ED" w14:textId="5BE71F9F" w:rsidR="00DD6070" w:rsidRDefault="00F06C22" w:rsidP="00BA5AF7">
      <w:pPr>
        <w:pStyle w:val="Heading3"/>
        <w:rPr>
          <w:noProof/>
        </w:rPr>
      </w:pPr>
      <w:bookmarkStart w:id="797" w:name="_Toc148605656"/>
      <w:bookmarkStart w:id="798" w:name="_Toc157692105"/>
      <w:r>
        <w:rPr>
          <w:noProof/>
        </w:rPr>
        <w:t>The equity dimension</w:t>
      </w:r>
      <w:bookmarkEnd w:id="797"/>
      <w:bookmarkEnd w:id="798"/>
    </w:p>
    <w:p w14:paraId="46C67718" w14:textId="73C313E5" w:rsidR="00C3021E" w:rsidRPr="0039611A" w:rsidRDefault="00F636D9" w:rsidP="00DD6070">
      <w:pPr>
        <w:rPr>
          <w:noProof/>
        </w:rPr>
      </w:pPr>
      <w:r>
        <w:rPr>
          <w:noProof/>
        </w:rPr>
        <w:t xml:space="preserve">According to the </w:t>
      </w:r>
      <w:r w:rsidRPr="00B95EF7">
        <w:rPr>
          <w:noProof/>
        </w:rPr>
        <w:t>UNEP Gap Report 2022</w:t>
      </w:r>
      <w:r w:rsidR="00FA619D" w:rsidRPr="00B95EF7">
        <w:rPr>
          <w:noProof/>
        </w:rPr>
        <w:t xml:space="preserve"> (</w:t>
      </w:r>
      <w:r w:rsidR="00FA619D" w:rsidRPr="00B95EF7">
        <w:rPr>
          <w:noProof/>
        </w:rPr>
        <w:fldChar w:fldCharType="begin"/>
      </w:r>
      <w:r w:rsidR="00FA619D" w:rsidRPr="00B95EF7">
        <w:rPr>
          <w:noProof/>
        </w:rPr>
        <w:instrText xml:space="preserve"> REF _Ref146101532 \h </w:instrText>
      </w:r>
      <w:r w:rsidR="0039611A" w:rsidRPr="00B95EF7">
        <w:rPr>
          <w:noProof/>
        </w:rPr>
        <w:instrText xml:space="preserve"> \* MERGEFORMAT </w:instrText>
      </w:r>
      <w:r w:rsidR="00FA619D" w:rsidRPr="00B95EF7">
        <w:rPr>
          <w:noProof/>
        </w:rPr>
      </w:r>
      <w:r w:rsidR="00FA619D" w:rsidRPr="00B95EF7">
        <w:rPr>
          <w:noProof/>
        </w:rPr>
        <w:fldChar w:fldCharType="separate"/>
      </w:r>
      <w:r w:rsidR="00170A3C">
        <w:rPr>
          <w:noProof/>
        </w:rPr>
        <w:t>Figure 124</w:t>
      </w:r>
      <w:r w:rsidR="00FA619D" w:rsidRPr="00B95EF7">
        <w:rPr>
          <w:noProof/>
        </w:rPr>
        <w:fldChar w:fldCharType="end"/>
      </w:r>
      <w:r w:rsidR="00FA619D" w:rsidRPr="00B95EF7">
        <w:rPr>
          <w:noProof/>
        </w:rPr>
        <w:t>)</w:t>
      </w:r>
      <w:r w:rsidRPr="00B95EF7">
        <w:rPr>
          <w:noProof/>
        </w:rPr>
        <w:t xml:space="preserve">, </w:t>
      </w:r>
      <w:r w:rsidR="002C2FCB" w:rsidRPr="00B95EF7">
        <w:rPr>
          <w:noProof/>
        </w:rPr>
        <w:t xml:space="preserve">there are high-emitting households </w:t>
      </w:r>
      <w:r w:rsidRPr="00B95EF7">
        <w:rPr>
          <w:noProof/>
        </w:rPr>
        <w:t>in all major economies</w:t>
      </w:r>
      <w:r w:rsidR="002C2FCB" w:rsidRPr="00B95EF7">
        <w:rPr>
          <w:noProof/>
        </w:rPr>
        <w:t xml:space="preserve">. </w:t>
      </w:r>
      <w:r w:rsidR="008C6313" w:rsidRPr="00B95EF7">
        <w:rPr>
          <w:noProof/>
        </w:rPr>
        <w:t xml:space="preserve">Different levels of </w:t>
      </w:r>
      <w:r w:rsidR="00BB2256" w:rsidRPr="00B95EF7">
        <w:rPr>
          <w:noProof/>
        </w:rPr>
        <w:t xml:space="preserve">household </w:t>
      </w:r>
      <w:r w:rsidR="008C6313" w:rsidRPr="00B95EF7">
        <w:rPr>
          <w:noProof/>
        </w:rPr>
        <w:t>GHG</w:t>
      </w:r>
      <w:r w:rsidR="008C6313" w:rsidRPr="008C6313">
        <w:rPr>
          <w:noProof/>
        </w:rPr>
        <w:t xml:space="preserve"> emissions </w:t>
      </w:r>
      <w:r>
        <w:rPr>
          <w:noProof/>
        </w:rPr>
        <w:t>exist both within and between countries</w:t>
      </w:r>
      <w:r w:rsidR="002C2FCB">
        <w:rPr>
          <w:noProof/>
        </w:rPr>
        <w:t>. The low-emitting households have relatively close level</w:t>
      </w:r>
      <w:r w:rsidR="007206E8">
        <w:rPr>
          <w:noProof/>
        </w:rPr>
        <w:t>s</w:t>
      </w:r>
      <w:r w:rsidR="002C2FCB">
        <w:rPr>
          <w:noProof/>
        </w:rPr>
        <w:t xml:space="preserve"> of emissions</w:t>
      </w:r>
      <w:r w:rsidR="007206E8">
        <w:rPr>
          <w:noProof/>
        </w:rPr>
        <w:t xml:space="preserve"> throughout countries, but </w:t>
      </w:r>
      <w:r w:rsidR="008D0F73">
        <w:rPr>
          <w:noProof/>
        </w:rPr>
        <w:t xml:space="preserve">the </w:t>
      </w:r>
      <w:r w:rsidR="007206E8">
        <w:rPr>
          <w:noProof/>
        </w:rPr>
        <w:t>emission range for the top 1% emitting households is quite broad.</w:t>
      </w:r>
    </w:p>
    <w:p w14:paraId="6EB6341A" w14:textId="521E9024" w:rsidR="009B51D0" w:rsidRDefault="009B51D0" w:rsidP="009B51D0">
      <w:pPr>
        <w:pStyle w:val="Caption"/>
        <w:rPr>
          <w:noProof/>
          <w:sz w:val="23"/>
          <w:szCs w:val="23"/>
        </w:rPr>
      </w:pPr>
      <w:bookmarkStart w:id="799" w:name="_Ref146101532"/>
      <w:bookmarkStart w:id="800" w:name="_Toc157679872"/>
      <w:r>
        <w:rPr>
          <w:noProof/>
        </w:rPr>
        <w:t xml:space="preserve">Figure </w:t>
      </w:r>
      <w:r>
        <w:rPr>
          <w:noProof/>
        </w:rPr>
        <w:fldChar w:fldCharType="begin"/>
      </w:r>
      <w:r>
        <w:rPr>
          <w:noProof/>
        </w:rPr>
        <w:instrText>SEQ Figure \* ARABIC</w:instrText>
      </w:r>
      <w:r>
        <w:rPr>
          <w:noProof/>
        </w:rPr>
        <w:fldChar w:fldCharType="separate"/>
      </w:r>
      <w:r w:rsidR="00170A3C">
        <w:rPr>
          <w:noProof/>
        </w:rPr>
        <w:t>124</w:t>
      </w:r>
      <w:r>
        <w:rPr>
          <w:noProof/>
        </w:rPr>
        <w:fldChar w:fldCharType="end"/>
      </w:r>
      <w:bookmarkEnd w:id="799"/>
      <w:r>
        <w:rPr>
          <w:noProof/>
        </w:rPr>
        <w:t>: Household GHG emissions per income category</w:t>
      </w:r>
      <w:bookmarkEnd w:id="800"/>
    </w:p>
    <w:p w14:paraId="5EF9B9B0" w14:textId="55397FCC" w:rsidR="009B51D0" w:rsidRDefault="009B51D0" w:rsidP="009B51D0">
      <w:pPr>
        <w:rPr>
          <w:noProof/>
          <w:sz w:val="23"/>
          <w:szCs w:val="23"/>
        </w:rPr>
      </w:pPr>
      <w:r>
        <w:rPr>
          <w:noProof/>
          <w:color w:val="2B579A"/>
          <w:shd w:val="clear" w:color="auto" w:fill="E6E6E6"/>
          <w:lang w:eastAsia="en-GB"/>
        </w:rPr>
        <w:drawing>
          <wp:inline distT="0" distB="0" distL="0" distR="0" wp14:anchorId="7077F46F" wp14:editId="6C256A11">
            <wp:extent cx="5472428" cy="2459990"/>
            <wp:effectExtent l="0" t="0" r="0" b="0"/>
            <wp:docPr id="1406946478" name="Picture 1406946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946478"/>
                    <pic:cNvPicPr/>
                  </pic:nvPicPr>
                  <pic:blipFill>
                    <a:blip r:embed="rId218">
                      <a:extLst>
                        <a:ext uri="{28A0092B-C50C-407E-A947-70E740481C1C}">
                          <a14:useLocalDpi xmlns:a14="http://schemas.microsoft.com/office/drawing/2010/main" val="0"/>
                        </a:ext>
                      </a:extLst>
                    </a:blip>
                    <a:stretch>
                      <a:fillRect/>
                    </a:stretch>
                  </pic:blipFill>
                  <pic:spPr>
                    <a:xfrm>
                      <a:off x="0" y="0"/>
                      <a:ext cx="5472428" cy="2459990"/>
                    </a:xfrm>
                    <a:prstGeom prst="rect">
                      <a:avLst/>
                    </a:prstGeom>
                  </pic:spPr>
                </pic:pic>
              </a:graphicData>
            </a:graphic>
          </wp:inline>
        </w:drawing>
      </w:r>
    </w:p>
    <w:p w14:paraId="2D5572AD" w14:textId="7C09668F" w:rsidR="009B51D0" w:rsidRPr="004E5377" w:rsidRDefault="009B51D0" w:rsidP="00C46D6F">
      <w:pPr>
        <w:pStyle w:val="CT-NOTE"/>
        <w:rPr>
          <w:i w:val="0"/>
          <w:iCs w:val="0"/>
          <w:noProof/>
          <w:szCs w:val="21"/>
        </w:rPr>
      </w:pPr>
      <w:r w:rsidRPr="004E5377">
        <w:rPr>
          <w:noProof/>
        </w:rPr>
        <w:t xml:space="preserve">Note: </w:t>
      </w:r>
      <w:r w:rsidR="00CA1608" w:rsidRPr="00CA1608">
        <w:rPr>
          <w:i w:val="0"/>
          <w:iCs w:val="0"/>
          <w:noProof/>
          <w:szCs w:val="21"/>
        </w:rPr>
        <w:t>Per capita emissions include emissions from domestic consumption, public and private investments, and imports and exports of carbon embedded in trade with the rest of the world. Households are ranked according to total emissions and divided accordingly into groups (</w:t>
      </w:r>
      <w:r w:rsidR="0076141F" w:rsidRPr="00CA1608">
        <w:rPr>
          <w:i w:val="0"/>
          <w:iCs w:val="0"/>
          <w:noProof/>
          <w:szCs w:val="21"/>
        </w:rPr>
        <w:t>e.g.,</w:t>
      </w:r>
      <w:r w:rsidR="00CA1608" w:rsidRPr="00CA1608">
        <w:rPr>
          <w:i w:val="0"/>
          <w:iCs w:val="0"/>
          <w:noProof/>
          <w:szCs w:val="21"/>
        </w:rPr>
        <w:t xml:space="preserve"> the bottom 50 per cent refers to the 50 per cent of households with the lowest emissions in that country or region).</w:t>
      </w:r>
    </w:p>
    <w:p w14:paraId="421D133D" w14:textId="14505C46" w:rsidR="009B51D0" w:rsidRPr="004E5377" w:rsidRDefault="009B51D0" w:rsidP="00C46D6F">
      <w:pPr>
        <w:pStyle w:val="CT-SOURCE"/>
        <w:rPr>
          <w:i w:val="0"/>
          <w:iCs w:val="0"/>
          <w:noProof/>
          <w:szCs w:val="21"/>
        </w:rPr>
      </w:pPr>
      <w:r w:rsidRPr="001B0B52">
        <w:rPr>
          <w:noProof/>
        </w:rPr>
        <w:t>Source: UNEP Gap Report 2022</w:t>
      </w:r>
      <w:r>
        <w:rPr>
          <w:i w:val="0"/>
          <w:iCs w:val="0"/>
          <w:noProof/>
          <w:szCs w:val="21"/>
        </w:rPr>
        <w:t xml:space="preserve"> </w:t>
      </w:r>
    </w:p>
    <w:p w14:paraId="1AF71EDA" w14:textId="28F69045" w:rsidR="00DD6070" w:rsidRPr="00B65E61" w:rsidRDefault="00DD6070" w:rsidP="00B65E61">
      <w:pPr>
        <w:pStyle w:val="Heading2"/>
        <w:rPr>
          <w:noProof/>
        </w:rPr>
      </w:pPr>
      <w:bookmarkStart w:id="801" w:name="_Toc148605657"/>
      <w:bookmarkStart w:id="802" w:name="_Toc157692106"/>
      <w:r w:rsidRPr="00B65E61">
        <w:rPr>
          <w:noProof/>
        </w:rPr>
        <w:t>Regional impacts</w:t>
      </w:r>
      <w:bookmarkEnd w:id="801"/>
      <w:bookmarkEnd w:id="802"/>
    </w:p>
    <w:p w14:paraId="4A3A4857" w14:textId="1AA74A31" w:rsidR="00F31C66" w:rsidRPr="00B65E61" w:rsidRDefault="00F31C66" w:rsidP="00B65E61">
      <w:pPr>
        <w:pStyle w:val="Heading3"/>
        <w:rPr>
          <w:noProof/>
        </w:rPr>
      </w:pPr>
      <w:bookmarkStart w:id="803" w:name="_Toc148605658"/>
      <w:bookmarkStart w:id="804" w:name="_Toc157692107"/>
      <w:r w:rsidRPr="00B65E61">
        <w:rPr>
          <w:noProof/>
        </w:rPr>
        <w:t>Regional exposure to climate change</w:t>
      </w:r>
      <w:bookmarkEnd w:id="803"/>
      <w:bookmarkEnd w:id="804"/>
    </w:p>
    <w:p w14:paraId="6D42133A" w14:textId="56BA9B62" w:rsidR="00F31C66" w:rsidRPr="00B95EF7" w:rsidRDefault="00F31C66" w:rsidP="00FC3EBE">
      <w:pPr>
        <w:rPr>
          <w:noProof/>
        </w:rPr>
      </w:pPr>
      <w:r>
        <w:rPr>
          <w:noProof/>
        </w:rPr>
        <w:t xml:space="preserve">For the regional </w:t>
      </w:r>
      <w:r w:rsidRPr="00B95EF7">
        <w:rPr>
          <w:noProof/>
        </w:rPr>
        <w:t xml:space="preserve">impacts of climate change, we refer to </w:t>
      </w:r>
      <w:r w:rsidR="00547035" w:rsidRPr="00B95EF7">
        <w:rPr>
          <w:noProof/>
        </w:rPr>
        <w:t xml:space="preserve">Annex </w:t>
      </w:r>
      <w:r w:rsidR="002C10DE" w:rsidRPr="00B95EF7">
        <w:rPr>
          <w:noProof/>
        </w:rPr>
        <w:t>7</w:t>
      </w:r>
      <w:r w:rsidR="005F7C08" w:rsidRPr="00B95EF7">
        <w:rPr>
          <w:noProof/>
        </w:rPr>
        <w:t xml:space="preserve"> on the cost of climate change</w:t>
      </w:r>
      <w:r w:rsidR="00263923" w:rsidRPr="00B95EF7">
        <w:rPr>
          <w:noProof/>
        </w:rPr>
        <w:t>.</w:t>
      </w:r>
    </w:p>
    <w:p w14:paraId="39995FED" w14:textId="00DCB669" w:rsidR="00DD6070" w:rsidRPr="00B95EF7" w:rsidRDefault="00DD6070" w:rsidP="00B65E61">
      <w:pPr>
        <w:pStyle w:val="Heading3"/>
        <w:rPr>
          <w:noProof/>
        </w:rPr>
      </w:pPr>
      <w:bookmarkStart w:id="805" w:name="_Toc148605659"/>
      <w:bookmarkStart w:id="806" w:name="_Toc157692108"/>
      <w:r w:rsidRPr="00B95EF7">
        <w:rPr>
          <w:noProof/>
        </w:rPr>
        <w:t xml:space="preserve">Regional </w:t>
      </w:r>
      <w:r w:rsidR="00EF76C7" w:rsidRPr="00B95EF7">
        <w:rPr>
          <w:noProof/>
        </w:rPr>
        <w:t>exposure to the transition</w:t>
      </w:r>
      <w:bookmarkEnd w:id="805"/>
      <w:bookmarkEnd w:id="806"/>
    </w:p>
    <w:p w14:paraId="4270A8DA" w14:textId="0722AC65" w:rsidR="003C60DF" w:rsidRPr="00B95EF7" w:rsidRDefault="002B2C59" w:rsidP="008D296A">
      <w:pPr>
        <w:rPr>
          <w:noProof/>
          <w:sz w:val="23"/>
          <w:szCs w:val="23"/>
        </w:rPr>
      </w:pPr>
      <w:r w:rsidRPr="00B95EF7">
        <w:rPr>
          <w:noProof/>
        </w:rPr>
        <w:t>T</w:t>
      </w:r>
      <w:r w:rsidR="00252886" w:rsidRPr="00B95EF7">
        <w:rPr>
          <w:noProof/>
        </w:rPr>
        <w:t>he European Climate Law</w:t>
      </w:r>
      <w:r w:rsidRPr="00B95EF7">
        <w:rPr>
          <w:noProof/>
        </w:rPr>
        <w:t xml:space="preserve"> specifies that,</w:t>
      </w:r>
      <w:r w:rsidR="00252886" w:rsidRPr="00B95EF7">
        <w:rPr>
          <w:noProof/>
        </w:rPr>
        <w:t xml:space="preserve"> </w:t>
      </w:r>
      <w:r w:rsidR="00252886" w:rsidRPr="00B95EF7">
        <w:rPr>
          <w:i/>
          <w:noProof/>
        </w:rPr>
        <w:t>“</w:t>
      </w:r>
      <w:r w:rsidRPr="00B95EF7">
        <w:rPr>
          <w:i/>
          <w:iCs/>
          <w:noProof/>
        </w:rPr>
        <w:t>[w</w:t>
      </w:r>
      <w:r w:rsidR="00252886" w:rsidRPr="00B95EF7">
        <w:rPr>
          <w:i/>
          <w:iCs/>
          <w:noProof/>
        </w:rPr>
        <w:t>hen</w:t>
      </w:r>
      <w:r w:rsidRPr="00B95EF7">
        <w:rPr>
          <w:i/>
          <w:iCs/>
          <w:noProof/>
        </w:rPr>
        <w:t>]</w:t>
      </w:r>
      <w:r w:rsidR="00252886" w:rsidRPr="00B95EF7">
        <w:rPr>
          <w:i/>
          <w:noProof/>
        </w:rPr>
        <w:t xml:space="preserve"> proposing the Union 2040 climate target in accordance with paragraph 3, the Commission shall consider […] fairness and solidarity between and within Member States</w:t>
      </w:r>
      <w:r w:rsidR="00252886" w:rsidRPr="00B95EF7">
        <w:rPr>
          <w:noProof/>
        </w:rPr>
        <w:t>”</w:t>
      </w:r>
      <w:r w:rsidR="008D296A" w:rsidRPr="00B95EF7">
        <w:rPr>
          <w:noProof/>
        </w:rPr>
        <w:t>.</w:t>
      </w:r>
      <w:r w:rsidR="00F07162" w:rsidRPr="00B95EF7">
        <w:rPr>
          <w:noProof/>
        </w:rPr>
        <w:t xml:space="preserve"> </w:t>
      </w:r>
      <w:r w:rsidR="00252886" w:rsidRPr="00B95EF7">
        <w:rPr>
          <w:noProof/>
        </w:rPr>
        <w:t>The macro-economic modelling work conducted for 2030-2050 is at the EU and sectoral level (GEM-E3, E3ME, E-QUEST</w:t>
      </w:r>
      <w:r w:rsidR="00F07162" w:rsidRPr="00B95EF7">
        <w:rPr>
          <w:noProof/>
        </w:rPr>
        <w:t>). It</w:t>
      </w:r>
      <w:r w:rsidR="00252886" w:rsidRPr="00B95EF7">
        <w:rPr>
          <w:noProof/>
        </w:rPr>
        <w:t xml:space="preserve"> does not examine the impacts at the regional level.</w:t>
      </w:r>
      <w:r w:rsidR="00F07162" w:rsidRPr="00B95EF7">
        <w:rPr>
          <w:noProof/>
        </w:rPr>
        <w:t xml:space="preserve"> </w:t>
      </w:r>
      <w:r w:rsidR="00252886" w:rsidRPr="00B95EF7">
        <w:rPr>
          <w:noProof/>
        </w:rPr>
        <w:t>Below, we characterise regions as they stand today in order to anticipate their exposure to the transition</w:t>
      </w:r>
      <w:r w:rsidRPr="00B95EF7">
        <w:rPr>
          <w:noProof/>
        </w:rPr>
        <w:t>.</w:t>
      </w:r>
      <w:r w:rsidR="00285EC7" w:rsidRPr="00B95EF7">
        <w:rPr>
          <w:noProof/>
        </w:rPr>
        <w:t xml:space="preserve"> This is based on </w:t>
      </w:r>
      <w:r w:rsidR="00AF1E80" w:rsidRPr="00B95EF7">
        <w:rPr>
          <w:noProof/>
        </w:rPr>
        <w:t>EDGAR,</w:t>
      </w:r>
      <w:r w:rsidR="00285EC7" w:rsidRPr="00B95EF7">
        <w:rPr>
          <w:noProof/>
        </w:rPr>
        <w:t xml:space="preserve"> regional emissions inventory which monitors the emissions of greenhouse gases since 1990 for 26 broad sectors</w:t>
      </w:r>
      <w:r w:rsidR="008E5E3C" w:rsidRPr="52B571EE">
        <w:rPr>
          <w:rFonts w:ascii="EC Square Sans Cond Pro" w:hAnsi="EC Square Sans Cond Pro"/>
          <w:i/>
          <w:noProof/>
          <w:sz w:val="20"/>
          <w:szCs w:val="20"/>
        </w:rPr>
        <w:t> (</w:t>
      </w:r>
      <w:r w:rsidR="00285EC7" w:rsidRPr="52B571EE">
        <w:rPr>
          <w:rStyle w:val="FootnoteReference"/>
          <w:rFonts w:ascii="EC Square Sans Cond Pro" w:hAnsi="EC Square Sans Cond Pro"/>
          <w:i/>
          <w:noProof/>
          <w:sz w:val="20"/>
          <w:szCs w:val="20"/>
        </w:rPr>
        <w:footnoteReference w:id="318"/>
      </w:r>
      <w:r w:rsidR="008E5E3C" w:rsidRPr="52B571EE">
        <w:rPr>
          <w:rFonts w:ascii="EC Square Sans Cond Pro" w:hAnsi="EC Square Sans Cond Pro"/>
          <w:i/>
          <w:noProof/>
          <w:sz w:val="20"/>
          <w:szCs w:val="20"/>
        </w:rPr>
        <w:t>)</w:t>
      </w:r>
      <w:r w:rsidR="00285EC7" w:rsidRPr="00B95EF7">
        <w:rPr>
          <w:noProof/>
        </w:rPr>
        <w:t>.</w:t>
      </w:r>
    </w:p>
    <w:p w14:paraId="3EC50251" w14:textId="6BFB5149" w:rsidR="003672B2" w:rsidRPr="00B95EF7" w:rsidRDefault="00567BFB" w:rsidP="00F7719F">
      <w:pPr>
        <w:pStyle w:val="Heading4"/>
        <w:rPr>
          <w:noProof/>
        </w:rPr>
      </w:pPr>
      <w:r w:rsidRPr="00B95EF7">
        <w:rPr>
          <w:noProof/>
        </w:rPr>
        <w:t>GHG</w:t>
      </w:r>
      <w:r w:rsidR="00D56E0E" w:rsidRPr="00B95EF7">
        <w:rPr>
          <w:noProof/>
        </w:rPr>
        <w:t xml:space="preserve"> intensity of the regions</w:t>
      </w:r>
    </w:p>
    <w:p w14:paraId="2D4BC2BA" w14:textId="68797C4B" w:rsidR="00F07162" w:rsidRPr="00C00302" w:rsidRDefault="00F07162" w:rsidP="00F07162">
      <w:pPr>
        <w:rPr>
          <w:noProof/>
        </w:rPr>
      </w:pPr>
      <w:r w:rsidRPr="00B95EF7">
        <w:rPr>
          <w:noProof/>
        </w:rPr>
        <w:t>The total emissions at the regional level (</w:t>
      </w:r>
      <w:r w:rsidR="0009247D" w:rsidRPr="00B95EF7">
        <w:rPr>
          <w:noProof/>
        </w:rPr>
        <w:fldChar w:fldCharType="begin"/>
      </w:r>
      <w:r w:rsidR="0009247D" w:rsidRPr="00B95EF7">
        <w:rPr>
          <w:noProof/>
        </w:rPr>
        <w:instrText xml:space="preserve"> REF _Ref146462439 \h </w:instrText>
      </w:r>
      <w:r w:rsidR="00E90515" w:rsidRPr="00B95EF7">
        <w:rPr>
          <w:noProof/>
        </w:rPr>
        <w:instrText xml:space="preserve"> \* MERGEFORMAT </w:instrText>
      </w:r>
      <w:r w:rsidR="0009247D" w:rsidRPr="00B95EF7">
        <w:rPr>
          <w:noProof/>
        </w:rPr>
      </w:r>
      <w:r w:rsidR="0009247D" w:rsidRPr="00B95EF7">
        <w:rPr>
          <w:noProof/>
        </w:rPr>
        <w:fldChar w:fldCharType="separate"/>
      </w:r>
      <w:r w:rsidR="00170A3C">
        <w:rPr>
          <w:noProof/>
        </w:rPr>
        <w:t>Figure 125</w:t>
      </w:r>
      <w:r w:rsidR="0009247D" w:rsidRPr="00B95EF7">
        <w:rPr>
          <w:noProof/>
        </w:rPr>
        <w:fldChar w:fldCharType="end"/>
      </w:r>
      <w:r w:rsidRPr="00B95EF7">
        <w:rPr>
          <w:noProof/>
        </w:rPr>
        <w:t>), the emissions per capita (</w:t>
      </w:r>
      <w:r w:rsidR="0009247D" w:rsidRPr="00B95EF7">
        <w:rPr>
          <w:noProof/>
        </w:rPr>
        <w:fldChar w:fldCharType="begin"/>
      </w:r>
      <w:r w:rsidR="0009247D" w:rsidRPr="00B95EF7">
        <w:rPr>
          <w:noProof/>
        </w:rPr>
        <w:instrText xml:space="preserve"> REF _Ref146462470 \h </w:instrText>
      </w:r>
      <w:r w:rsidR="00E90515" w:rsidRPr="00B95EF7">
        <w:rPr>
          <w:noProof/>
        </w:rPr>
        <w:instrText xml:space="preserve"> \* MERGEFORMAT </w:instrText>
      </w:r>
      <w:r w:rsidR="0009247D" w:rsidRPr="00B95EF7">
        <w:rPr>
          <w:noProof/>
        </w:rPr>
      </w:r>
      <w:r w:rsidR="0009247D" w:rsidRPr="00B95EF7">
        <w:rPr>
          <w:noProof/>
        </w:rPr>
        <w:fldChar w:fldCharType="separate"/>
      </w:r>
      <w:r w:rsidR="00170A3C">
        <w:rPr>
          <w:noProof/>
        </w:rPr>
        <w:t>Figure 126</w:t>
      </w:r>
      <w:r w:rsidR="0009247D" w:rsidRPr="00B95EF7">
        <w:rPr>
          <w:noProof/>
        </w:rPr>
        <w:fldChar w:fldCharType="end"/>
      </w:r>
      <w:r w:rsidRPr="00B95EF7">
        <w:rPr>
          <w:noProof/>
        </w:rPr>
        <w:t>) as well as the emission intensity of the regions (</w:t>
      </w:r>
      <w:r w:rsidR="00E90515" w:rsidRPr="00B95EF7">
        <w:rPr>
          <w:noProof/>
        </w:rPr>
        <w:fldChar w:fldCharType="begin"/>
      </w:r>
      <w:r w:rsidR="00E90515" w:rsidRPr="00B95EF7">
        <w:rPr>
          <w:noProof/>
        </w:rPr>
        <w:instrText xml:space="preserve"> REF _Ref146462457 \h  \* MERGEFORMAT </w:instrText>
      </w:r>
      <w:r w:rsidR="00E90515" w:rsidRPr="00B95EF7">
        <w:rPr>
          <w:noProof/>
        </w:rPr>
      </w:r>
      <w:r w:rsidR="00E90515" w:rsidRPr="00B95EF7">
        <w:rPr>
          <w:noProof/>
        </w:rPr>
        <w:fldChar w:fldCharType="separate"/>
      </w:r>
      <w:r w:rsidR="00170A3C">
        <w:rPr>
          <w:noProof/>
        </w:rPr>
        <w:t>Figure 127</w:t>
      </w:r>
      <w:r w:rsidR="00E90515" w:rsidRPr="00B95EF7">
        <w:rPr>
          <w:noProof/>
        </w:rPr>
        <w:fldChar w:fldCharType="end"/>
      </w:r>
      <w:r w:rsidRPr="00B95EF7">
        <w:rPr>
          <w:noProof/>
        </w:rPr>
        <w:t>) show the diversity of circumstances in which regions are. These figures have to be interpreted carefully as some regions with relative low emissions levels may depend on some</w:t>
      </w:r>
      <w:r w:rsidRPr="00C00302">
        <w:rPr>
          <w:noProof/>
        </w:rPr>
        <w:t xml:space="preserve"> emission intensive </w:t>
      </w:r>
      <w:r>
        <w:rPr>
          <w:noProof/>
        </w:rPr>
        <w:t>industries (for example for power generation)</w:t>
      </w:r>
      <w:r w:rsidRPr="00C00302">
        <w:rPr>
          <w:noProof/>
        </w:rPr>
        <w:t xml:space="preserve"> that are located in other regions. Changes in regional emissions may be the result of the decarbonisation of economic activities but also of the closure, opening or relocation of activities</w:t>
      </w:r>
      <w:r w:rsidR="00915169">
        <w:rPr>
          <w:noProof/>
        </w:rPr>
        <w:t>, as well as of population migrations</w:t>
      </w:r>
      <w:r w:rsidRPr="00C00302">
        <w:rPr>
          <w:noProof/>
        </w:rPr>
        <w:t xml:space="preserve">. Some regions, such as </w:t>
      </w:r>
      <w:r>
        <w:rPr>
          <w:noProof/>
        </w:rPr>
        <w:t xml:space="preserve">the </w:t>
      </w:r>
      <w:r w:rsidR="00915169">
        <w:rPr>
          <w:noProof/>
        </w:rPr>
        <w:t>capital region of Lithuania (</w:t>
      </w:r>
      <w:r w:rsidR="00915169" w:rsidRPr="00CC5111">
        <w:rPr>
          <w:noProof/>
        </w:rPr>
        <w:t>Sostinės regionas</w:t>
      </w:r>
      <w:r w:rsidR="00915169">
        <w:rPr>
          <w:noProof/>
        </w:rPr>
        <w:t>) and Western Macedonia (EL)</w:t>
      </w:r>
      <w:r w:rsidRPr="00C00302">
        <w:rPr>
          <w:noProof/>
        </w:rPr>
        <w:t xml:space="preserve">, have seen their </w:t>
      </w:r>
      <w:r>
        <w:rPr>
          <w:noProof/>
        </w:rPr>
        <w:t xml:space="preserve">total </w:t>
      </w:r>
      <w:r w:rsidRPr="00C00302">
        <w:rPr>
          <w:noProof/>
        </w:rPr>
        <w:t xml:space="preserve">emissions being reduced </w:t>
      </w:r>
      <w:r>
        <w:rPr>
          <w:noProof/>
        </w:rPr>
        <w:t xml:space="preserve">by about 70% </w:t>
      </w:r>
      <w:r w:rsidRPr="00C00302">
        <w:rPr>
          <w:noProof/>
        </w:rPr>
        <w:t xml:space="preserve">in the last three decades. Others, such as </w:t>
      </w:r>
      <w:r>
        <w:rPr>
          <w:noProof/>
        </w:rPr>
        <w:t>the Groningen (NL) and central Greece (EL) regions</w:t>
      </w:r>
      <w:r w:rsidRPr="00C00302">
        <w:rPr>
          <w:noProof/>
        </w:rPr>
        <w:t>, have a high emission intensity and have not yet shown a strong decarbonisation trend in the last decades</w:t>
      </w:r>
      <w:r w:rsidR="008E5E3C" w:rsidRPr="008E5E3C">
        <w:rPr>
          <w:noProof/>
        </w:rPr>
        <w:t> (</w:t>
      </w:r>
      <w:r w:rsidR="008E5E3C">
        <w:rPr>
          <w:rStyle w:val="FootnoteReference"/>
          <w:noProof/>
        </w:rPr>
        <w:footnoteReference w:id="319"/>
      </w:r>
      <w:r w:rsidR="008E5E3C">
        <w:rPr>
          <w:noProof/>
        </w:rPr>
        <w:t>)</w:t>
      </w:r>
      <w:r w:rsidRPr="00C00302">
        <w:rPr>
          <w:noProof/>
        </w:rPr>
        <w:t xml:space="preserve">. </w:t>
      </w:r>
    </w:p>
    <w:p w14:paraId="414740C7" w14:textId="16B7D3D5" w:rsidR="00D453CD" w:rsidRDefault="00F07162" w:rsidP="008762D7">
      <w:pPr>
        <w:rPr>
          <w:noProof/>
        </w:rPr>
      </w:pPr>
      <w:bookmarkStart w:id="807" w:name="_Hlk140746063"/>
      <w:r w:rsidRPr="00C00302">
        <w:rPr>
          <w:noProof/>
        </w:rPr>
        <w:t>The total emissions at regional level reflect the economic activities of the regions and the emission intensity of these</w:t>
      </w:r>
      <w:r>
        <w:rPr>
          <w:noProof/>
        </w:rPr>
        <w:t xml:space="preserve"> activities</w:t>
      </w:r>
      <w:r w:rsidRPr="00C00302">
        <w:rPr>
          <w:noProof/>
        </w:rPr>
        <w:t xml:space="preserve">. </w:t>
      </w:r>
      <w:bookmarkEnd w:id="807"/>
      <w:r w:rsidR="008E5E3C" w:rsidRPr="00362902">
        <w:rPr>
          <w:noProof/>
        </w:rPr>
        <w:t>For example, the regions with the highest per capita emissions are Zeeland (NL) and Western Macedonia (Greece). In Zeeland, 60% of emissions are caused by industry, while in Western Macedonia almost 70% of emissions are due to electricity generation.</w:t>
      </w:r>
    </w:p>
    <w:p w14:paraId="4B5442BF" w14:textId="1E484B0B" w:rsidR="00C46D6F" w:rsidRDefault="00D453CD" w:rsidP="00C46D6F">
      <w:pPr>
        <w:pStyle w:val="Caption"/>
        <w:rPr>
          <w:noProof/>
        </w:rPr>
      </w:pPr>
      <w:bookmarkStart w:id="808" w:name="_Ref141090878"/>
      <w:bookmarkStart w:id="809" w:name="_Ref146462439"/>
      <w:bookmarkStart w:id="810" w:name="_Toc157679873"/>
      <w:r>
        <w:rPr>
          <w:noProof/>
        </w:rPr>
        <w:t xml:space="preserve">Figure </w:t>
      </w:r>
      <w:bookmarkEnd w:id="808"/>
      <w:r w:rsidR="00F2742D">
        <w:rPr>
          <w:noProof/>
        </w:rPr>
        <w:fldChar w:fldCharType="begin"/>
      </w:r>
      <w:r w:rsidR="00F2742D">
        <w:rPr>
          <w:noProof/>
        </w:rPr>
        <w:instrText xml:space="preserve"> SEQ Figure \* ARABIC </w:instrText>
      </w:r>
      <w:r w:rsidR="00F2742D">
        <w:rPr>
          <w:noProof/>
        </w:rPr>
        <w:fldChar w:fldCharType="separate"/>
      </w:r>
      <w:r w:rsidR="00170A3C">
        <w:rPr>
          <w:noProof/>
        </w:rPr>
        <w:t>125</w:t>
      </w:r>
      <w:r w:rsidR="00F2742D">
        <w:rPr>
          <w:noProof/>
        </w:rPr>
        <w:fldChar w:fldCharType="end"/>
      </w:r>
      <w:bookmarkEnd w:id="809"/>
      <w:r>
        <w:rPr>
          <w:noProof/>
        </w:rPr>
        <w:t>:  Total emissions at regional</w:t>
      </w:r>
      <w:r w:rsidR="00AB6761">
        <w:rPr>
          <w:noProof/>
        </w:rPr>
        <w:t xml:space="preserve"> level (left) and </w:t>
      </w:r>
      <w:r w:rsidR="0065207A">
        <w:rPr>
          <w:noProof/>
        </w:rPr>
        <w:t xml:space="preserve">corresponding </w:t>
      </w:r>
      <w:r w:rsidR="00AB6761">
        <w:rPr>
          <w:noProof/>
        </w:rPr>
        <w:t>change since 1990 (right)</w:t>
      </w:r>
      <w:bookmarkEnd w:id="81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7"/>
        <w:gridCol w:w="4417"/>
      </w:tblGrid>
      <w:tr w:rsidR="00C46D6F" w14:paraId="11411DB2" w14:textId="77777777" w:rsidTr="00C46D6F">
        <w:tc>
          <w:tcPr>
            <w:tcW w:w="4417" w:type="dxa"/>
          </w:tcPr>
          <w:p w14:paraId="5B09FF5E" w14:textId="21C986E5" w:rsidR="00C46D6F" w:rsidRDefault="00C46D6F" w:rsidP="00E2670E">
            <w:pPr>
              <w:spacing w:after="0"/>
              <w:rPr>
                <w:noProof/>
              </w:rPr>
            </w:pPr>
            <w:r>
              <w:rPr>
                <w:noProof/>
                <w:color w:val="2B579A"/>
                <w:shd w:val="clear" w:color="auto" w:fill="E6E6E6"/>
                <w:lang w:eastAsia="en-GB"/>
              </w:rPr>
              <w:drawing>
                <wp:inline distT="0" distB="0" distL="0" distR="0" wp14:anchorId="4B48B60A" wp14:editId="3F7C75F9">
                  <wp:extent cx="2330186" cy="2433954"/>
                  <wp:effectExtent l="0" t="0" r="0" b="5080"/>
                  <wp:docPr id="48" name="Picture 48"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pic:nvPicPr>
                        <pic:blipFill>
                          <a:blip r:embed="rId219">
                            <a:extLst>
                              <a:ext uri="{FF2B5EF4-FFF2-40B4-BE49-F238E27FC236}">
                                <a16:creationId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xmlns:arto="http://schemas.microsoft.com/office/word/2006/arto" xmlns:c="http://schemas.openxmlformats.org/drawingml/2006/chart" xmlns:asvg="http://schemas.microsoft.com/office/drawing/2016/SVG/main" xmlns="" id="{27275F4F-C7F8-6AC3-96FE-0A1B48975DEA}"/>
                              </a:ext>
                            </a:extLst>
                          </a:blip>
                          <a:stretch>
                            <a:fillRect/>
                          </a:stretch>
                        </pic:blipFill>
                        <pic:spPr>
                          <a:xfrm>
                            <a:off x="0" y="0"/>
                            <a:ext cx="2330186" cy="2433954"/>
                          </a:xfrm>
                          <a:prstGeom prst="rect">
                            <a:avLst/>
                          </a:prstGeom>
                        </pic:spPr>
                      </pic:pic>
                    </a:graphicData>
                  </a:graphic>
                </wp:inline>
              </w:drawing>
            </w:r>
          </w:p>
        </w:tc>
        <w:tc>
          <w:tcPr>
            <w:tcW w:w="4417" w:type="dxa"/>
          </w:tcPr>
          <w:p w14:paraId="2996978F" w14:textId="56B121A7" w:rsidR="00C46D6F" w:rsidRDefault="00C46D6F" w:rsidP="00E2670E">
            <w:pPr>
              <w:spacing w:after="0"/>
              <w:rPr>
                <w:noProof/>
              </w:rPr>
            </w:pPr>
            <w:r w:rsidRPr="00E3246D">
              <w:rPr>
                <w:noProof/>
                <w:color w:val="000000" w:themeColor="text1"/>
                <w:shd w:val="clear" w:color="auto" w:fill="E6E6E6"/>
                <w:lang w:eastAsia="en-GB"/>
              </w:rPr>
              <w:drawing>
                <wp:inline distT="0" distB="0" distL="0" distR="0" wp14:anchorId="6464D94F" wp14:editId="4A5E5331">
                  <wp:extent cx="2355850" cy="2460848"/>
                  <wp:effectExtent l="0" t="0" r="6350" b="0"/>
                  <wp:docPr id="76" name="Picture 76" descr="A map of europe with green and purple colors&#10;&#10;Description automatically generated">
                    <a:extLst xmlns:a="http://schemas.openxmlformats.org/drawingml/2006/main">
                      <a:ext uri="{FF2B5EF4-FFF2-40B4-BE49-F238E27FC236}">
                        <a16:creationId xmlns:a16="http://schemas.microsoft.com/office/drawing/2014/main" id="{3243A20D-E6C9-623E-1351-93FEF4F99F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descr="A map of europe with green and purple colors&#10;&#10;Description automatically generated">
                            <a:extLst>
                              <a:ext uri="{FF2B5EF4-FFF2-40B4-BE49-F238E27FC236}">
                                <a16:creationId xmlns:a16="http://schemas.microsoft.com/office/drawing/2014/main" id="{3243A20D-E6C9-623E-1351-93FEF4F99F88}"/>
                              </a:ext>
                            </a:extLst>
                          </pic:cNvPr>
                          <pic:cNvPicPr>
                            <a:picLocks noChangeAspect="1"/>
                          </pic:cNvPicPr>
                        </pic:nvPicPr>
                        <pic:blipFill>
                          <a:blip r:embed="rId220" cstate="print">
                            <a:extLst>
                              <a:ext uri="{28A0092B-C50C-407E-A947-70E740481C1C}">
                                <a14:useLocalDpi xmlns:a14="http://schemas.microsoft.com/office/drawing/2010/main" val="0"/>
                              </a:ext>
                            </a:extLst>
                          </a:blip>
                          <a:stretch>
                            <a:fillRect/>
                          </a:stretch>
                        </pic:blipFill>
                        <pic:spPr>
                          <a:xfrm>
                            <a:off x="0" y="0"/>
                            <a:ext cx="2355850" cy="2460848"/>
                          </a:xfrm>
                          <a:prstGeom prst="rect">
                            <a:avLst/>
                          </a:prstGeom>
                        </pic:spPr>
                      </pic:pic>
                    </a:graphicData>
                  </a:graphic>
                </wp:inline>
              </w:drawing>
            </w:r>
          </w:p>
        </w:tc>
      </w:tr>
    </w:tbl>
    <w:p w14:paraId="5013B0D2" w14:textId="7E389A15" w:rsidR="00FB6806" w:rsidRDefault="00C46D6F" w:rsidP="00FB6806">
      <w:pPr>
        <w:pStyle w:val="CT-NOTE"/>
        <w:rPr>
          <w:noProof/>
        </w:rPr>
      </w:pPr>
      <w:r>
        <w:rPr>
          <w:noProof/>
        </w:rPr>
        <w:t xml:space="preserve">Note: </w:t>
      </w:r>
      <w:r w:rsidR="00F07162" w:rsidRPr="00E50BCD">
        <w:rPr>
          <w:noProof/>
        </w:rPr>
        <w:t>leaving out aviation and shipping</w:t>
      </w:r>
      <w:r>
        <w:rPr>
          <w:noProof/>
        </w:rPr>
        <w:t>.</w:t>
      </w:r>
    </w:p>
    <w:p w14:paraId="6AE4E5BE" w14:textId="1777A278" w:rsidR="00FB6806" w:rsidRDefault="00F07162" w:rsidP="00FB6806">
      <w:pPr>
        <w:pStyle w:val="CT-SOURCE"/>
        <w:rPr>
          <w:noProof/>
        </w:rPr>
      </w:pPr>
      <w:r w:rsidRPr="00E50BCD">
        <w:rPr>
          <w:noProof/>
        </w:rPr>
        <w:t>Source: EDGAR emissions database</w:t>
      </w:r>
    </w:p>
    <w:p w14:paraId="37524D68" w14:textId="3C2ED36F" w:rsidR="00C46D6F" w:rsidRDefault="005B04EA" w:rsidP="00C46D6F">
      <w:pPr>
        <w:pStyle w:val="Caption"/>
        <w:rPr>
          <w:noProof/>
        </w:rPr>
      </w:pPr>
      <w:bookmarkStart w:id="811" w:name="_Ref141090911"/>
      <w:bookmarkStart w:id="812" w:name="_Ref146462470"/>
      <w:bookmarkStart w:id="813" w:name="_Toc157679874"/>
      <w:r>
        <w:rPr>
          <w:noProof/>
        </w:rPr>
        <w:t xml:space="preserve">Figure </w:t>
      </w:r>
      <w:bookmarkEnd w:id="811"/>
      <w:r w:rsidR="00F2742D">
        <w:rPr>
          <w:noProof/>
        </w:rPr>
        <w:fldChar w:fldCharType="begin"/>
      </w:r>
      <w:r w:rsidR="00F2742D">
        <w:rPr>
          <w:noProof/>
        </w:rPr>
        <w:instrText xml:space="preserve"> SEQ Figure \* ARABIC </w:instrText>
      </w:r>
      <w:r w:rsidR="00F2742D">
        <w:rPr>
          <w:noProof/>
        </w:rPr>
        <w:fldChar w:fldCharType="separate"/>
      </w:r>
      <w:r w:rsidR="00170A3C">
        <w:rPr>
          <w:noProof/>
        </w:rPr>
        <w:t>126</w:t>
      </w:r>
      <w:r w:rsidR="00F2742D">
        <w:rPr>
          <w:noProof/>
        </w:rPr>
        <w:fldChar w:fldCharType="end"/>
      </w:r>
      <w:bookmarkEnd w:id="812"/>
      <w:r w:rsidR="00C46D6F">
        <w:rPr>
          <w:noProof/>
        </w:rPr>
        <w:t xml:space="preserve">: </w:t>
      </w:r>
      <w:r w:rsidR="00EE4265">
        <w:rPr>
          <w:noProof/>
        </w:rPr>
        <w:t xml:space="preserve">GHG </w:t>
      </w:r>
      <w:r w:rsidR="00EE4265" w:rsidRPr="001E04FB">
        <w:rPr>
          <w:noProof/>
        </w:rPr>
        <w:t>e</w:t>
      </w:r>
      <w:r w:rsidR="00C46D6F" w:rsidRPr="001E04FB">
        <w:rPr>
          <w:noProof/>
        </w:rPr>
        <w:t>missions</w:t>
      </w:r>
      <w:r w:rsidR="00C46D6F">
        <w:rPr>
          <w:noProof/>
        </w:rPr>
        <w:t xml:space="preserve"> per capita in 2021 and change in GHG </w:t>
      </w:r>
      <w:r w:rsidR="00EE4265">
        <w:rPr>
          <w:noProof/>
        </w:rPr>
        <w:t xml:space="preserve">emissions </w:t>
      </w:r>
      <w:r w:rsidR="00C46D6F">
        <w:rPr>
          <w:noProof/>
        </w:rPr>
        <w:t xml:space="preserve">per capita </w:t>
      </w:r>
      <w:r w:rsidR="00EE4265" w:rsidRPr="001E04FB">
        <w:rPr>
          <w:noProof/>
        </w:rPr>
        <w:t>between</w:t>
      </w:r>
      <w:r w:rsidR="00C46D6F">
        <w:rPr>
          <w:noProof/>
        </w:rPr>
        <w:t xml:space="preserve"> 1990</w:t>
      </w:r>
      <w:r w:rsidR="00EE4265">
        <w:rPr>
          <w:noProof/>
        </w:rPr>
        <w:t xml:space="preserve"> and 2021</w:t>
      </w:r>
      <w:bookmarkEnd w:id="813"/>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7"/>
        <w:gridCol w:w="4417"/>
      </w:tblGrid>
      <w:tr w:rsidR="00FB6806" w14:paraId="5729186E" w14:textId="77777777" w:rsidTr="00FB6806">
        <w:trPr>
          <w:jc w:val="center"/>
        </w:trPr>
        <w:tc>
          <w:tcPr>
            <w:tcW w:w="4417" w:type="dxa"/>
          </w:tcPr>
          <w:p w14:paraId="36874A5E" w14:textId="5DED493F" w:rsidR="00FB6806" w:rsidRDefault="00FB6806" w:rsidP="001E04FB">
            <w:pPr>
              <w:keepNext/>
              <w:spacing w:after="0"/>
              <w:rPr>
                <w:noProof/>
              </w:rPr>
            </w:pPr>
            <w:r w:rsidRPr="00522E72">
              <w:rPr>
                <w:noProof/>
                <w:color w:val="2B579A"/>
                <w:shd w:val="clear" w:color="auto" w:fill="E6E6E6"/>
                <w:lang w:eastAsia="en-GB"/>
              </w:rPr>
              <w:drawing>
                <wp:inline distT="0" distB="0" distL="0" distR="0" wp14:anchorId="731FD2DF" wp14:editId="0700F25B">
                  <wp:extent cx="2303780" cy="2406650"/>
                  <wp:effectExtent l="0" t="0" r="1270" b="0"/>
                  <wp:docPr id="77" name="Picture 77" descr="A map of europe with green and purple countries/regions&#10;&#10;Description automatically generated">
                    <a:extLst xmlns:a="http://schemas.openxmlformats.org/drawingml/2006/main">
                      <a:ext uri="{FF2B5EF4-FFF2-40B4-BE49-F238E27FC236}">
                        <a16:creationId xmlns:a16="http://schemas.microsoft.com/office/drawing/2014/main" id="{5EDEF1FF-6D4D-4148-B8A2-AF07D25D54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descr="A map of europe with green and purple countries/regions&#10;&#10;Description automatically generated">
                            <a:extLst>
                              <a:ext uri="{FF2B5EF4-FFF2-40B4-BE49-F238E27FC236}">
                                <a16:creationId xmlns:a16="http://schemas.microsoft.com/office/drawing/2014/main" id="{5EDEF1FF-6D4D-4148-B8A2-AF07D25D5432}"/>
                              </a:ext>
                            </a:extLst>
                          </pic:cNvPr>
                          <pic:cNvPicPr>
                            <a:picLocks noChangeAspect="1"/>
                          </pic:cNvPicPr>
                        </pic:nvPicPr>
                        <pic:blipFill>
                          <a:blip r:embed="rId221" cstate="print">
                            <a:extLst>
                              <a:ext uri="{28A0092B-C50C-407E-A947-70E740481C1C}">
                                <a14:useLocalDpi xmlns:a14="http://schemas.microsoft.com/office/drawing/2010/main" val="0"/>
                              </a:ext>
                            </a:extLst>
                          </a:blip>
                          <a:stretch>
                            <a:fillRect/>
                          </a:stretch>
                        </pic:blipFill>
                        <pic:spPr>
                          <a:xfrm>
                            <a:off x="0" y="0"/>
                            <a:ext cx="2303780" cy="2406650"/>
                          </a:xfrm>
                          <a:prstGeom prst="rect">
                            <a:avLst/>
                          </a:prstGeom>
                        </pic:spPr>
                      </pic:pic>
                    </a:graphicData>
                  </a:graphic>
                </wp:inline>
              </w:drawing>
            </w:r>
          </w:p>
        </w:tc>
        <w:tc>
          <w:tcPr>
            <w:tcW w:w="4417" w:type="dxa"/>
          </w:tcPr>
          <w:p w14:paraId="7F3CB643" w14:textId="1037CB38" w:rsidR="00FB6806" w:rsidRDefault="00FB6806" w:rsidP="001E04FB">
            <w:pPr>
              <w:keepNext/>
              <w:spacing w:after="0"/>
              <w:rPr>
                <w:noProof/>
              </w:rPr>
            </w:pPr>
            <w:r w:rsidRPr="00F82F0D">
              <w:rPr>
                <w:noProof/>
                <w:color w:val="2B579A"/>
                <w:sz w:val="23"/>
                <w:szCs w:val="23"/>
                <w:shd w:val="clear" w:color="auto" w:fill="E6E6E6"/>
                <w:lang w:eastAsia="en-GB"/>
              </w:rPr>
              <w:drawing>
                <wp:inline distT="0" distB="0" distL="0" distR="0" wp14:anchorId="477BEAE6" wp14:editId="77EF654C">
                  <wp:extent cx="2279650" cy="2381250"/>
                  <wp:effectExtent l="0" t="0" r="6350" b="0"/>
                  <wp:docPr id="63" name="Picture 63" descr="Map&#10;&#10;Description automatically generated">
                    <a:extLst xmlns:a="http://schemas.openxmlformats.org/drawingml/2006/main">
                      <a:ext uri="{FF2B5EF4-FFF2-40B4-BE49-F238E27FC236}">
                        <a16:creationId xmlns:a16="http://schemas.microsoft.com/office/drawing/2014/main" id="{F5C86047-D473-AFD9-BD27-FF21C4B365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descr="Map&#10;&#10;Description automatically generated">
                            <a:extLst>
                              <a:ext uri="{FF2B5EF4-FFF2-40B4-BE49-F238E27FC236}">
                                <a16:creationId xmlns:a16="http://schemas.microsoft.com/office/drawing/2014/main" id="{F5C86047-D473-AFD9-BD27-FF21C4B36567}"/>
                              </a:ext>
                            </a:extLst>
                          </pic:cNvPr>
                          <pic:cNvPicPr>
                            <a:picLocks noChangeAspect="1"/>
                          </pic:cNvPicPr>
                        </pic:nvPicPr>
                        <pic:blipFill>
                          <a:blip r:embed="rId222" cstate="print">
                            <a:extLst>
                              <a:ext uri="{28A0092B-C50C-407E-A947-70E740481C1C}">
                                <a14:useLocalDpi xmlns:a14="http://schemas.microsoft.com/office/drawing/2010/main" val="0"/>
                              </a:ext>
                            </a:extLst>
                          </a:blip>
                          <a:stretch>
                            <a:fillRect/>
                          </a:stretch>
                        </pic:blipFill>
                        <pic:spPr>
                          <a:xfrm>
                            <a:off x="0" y="0"/>
                            <a:ext cx="2279650" cy="2381250"/>
                          </a:xfrm>
                          <a:prstGeom prst="rect">
                            <a:avLst/>
                          </a:prstGeom>
                        </pic:spPr>
                      </pic:pic>
                    </a:graphicData>
                  </a:graphic>
                </wp:inline>
              </w:drawing>
            </w:r>
          </w:p>
        </w:tc>
      </w:tr>
    </w:tbl>
    <w:p w14:paraId="4A089FC2" w14:textId="4CD232AC" w:rsidR="00C46D6F" w:rsidRDefault="00C46D6F" w:rsidP="00C46D6F">
      <w:pPr>
        <w:pStyle w:val="CT-NOTE"/>
        <w:rPr>
          <w:noProof/>
        </w:rPr>
      </w:pPr>
      <w:r>
        <w:rPr>
          <w:noProof/>
        </w:rPr>
        <w:t xml:space="preserve">Note: </w:t>
      </w:r>
      <w:r w:rsidRPr="00E50BCD">
        <w:rPr>
          <w:noProof/>
        </w:rPr>
        <w:t>leaving out aviation and shipping</w:t>
      </w:r>
      <w:r>
        <w:rPr>
          <w:noProof/>
        </w:rPr>
        <w:t>.</w:t>
      </w:r>
    </w:p>
    <w:p w14:paraId="59FC3352" w14:textId="028A3F2F" w:rsidR="007D21D1" w:rsidRDefault="00F332D2" w:rsidP="001E04FB">
      <w:pPr>
        <w:pStyle w:val="CT-SOURCE"/>
        <w:keepNext w:val="0"/>
        <w:rPr>
          <w:noProof/>
        </w:rPr>
      </w:pPr>
      <w:r w:rsidRPr="00E50BCD">
        <w:rPr>
          <w:noProof/>
        </w:rPr>
        <w:t xml:space="preserve">Source: EDGAR emissions database </w:t>
      </w:r>
    </w:p>
    <w:p w14:paraId="28180303" w14:textId="219AE3BB" w:rsidR="00011515" w:rsidRPr="00B95EF7" w:rsidRDefault="00011515" w:rsidP="00011515">
      <w:pPr>
        <w:pStyle w:val="CT-NOTE"/>
        <w:jc w:val="both"/>
        <w:rPr>
          <w:rFonts w:ascii="Times New Roman,Italic" w:eastAsia="Times New Roman,Italic" w:hAnsi="Times New Roman,Italic" w:cs="Times New Roman,Italic"/>
          <w:i w:val="0"/>
          <w:noProof/>
          <w:sz w:val="23"/>
          <w:szCs w:val="23"/>
          <w:lang w:val="en-GB" w:eastAsia="en-IE"/>
        </w:rPr>
      </w:pPr>
      <w:r w:rsidRPr="00534E10">
        <w:rPr>
          <w:rFonts w:ascii="Times New Roman,Italic" w:eastAsia="Times New Roman,Italic" w:hAnsi="Times New Roman,Italic" w:cs="Times New Roman,Italic"/>
          <w:i w:val="0"/>
          <w:noProof/>
          <w:sz w:val="23"/>
          <w:szCs w:val="23"/>
          <w:lang w:val="en-GB" w:eastAsia="en-IE"/>
        </w:rPr>
        <w:t xml:space="preserve">For 174 regions out of </w:t>
      </w:r>
      <w:r w:rsidRPr="00B95EF7">
        <w:rPr>
          <w:rFonts w:ascii="Times New Roman,Italic" w:eastAsia="Times New Roman,Italic" w:hAnsi="Times New Roman,Italic" w:cs="Times New Roman,Italic"/>
          <w:i w:val="0"/>
          <w:noProof/>
          <w:sz w:val="23"/>
          <w:szCs w:val="23"/>
          <w:lang w:val="en-GB" w:eastAsia="en-IE"/>
        </w:rPr>
        <w:t xml:space="preserve">242, emissions per </w:t>
      </w:r>
      <w:r w:rsidRPr="00B95EF7">
        <w:rPr>
          <w:rFonts w:ascii="Times New Roman" w:eastAsia="Times New Roman,Italic" w:hAnsi="Times New Roman" w:cs="Times New Roman"/>
          <w:i w:val="0"/>
          <w:noProof/>
          <w:sz w:val="23"/>
          <w:szCs w:val="23"/>
          <w:lang w:val="en-GB" w:eastAsia="en-IE"/>
        </w:rPr>
        <w:t>capita (</w:t>
      </w:r>
      <w:r w:rsidRPr="00B95EF7">
        <w:rPr>
          <w:rFonts w:ascii="Times New Roman" w:eastAsia="Times New Roman,Italic" w:hAnsi="Times New Roman" w:cs="Times New Roman"/>
          <w:i w:val="0"/>
          <w:noProof/>
          <w:sz w:val="23"/>
          <w:szCs w:val="23"/>
          <w:lang w:val="en-GB" w:eastAsia="en-IE"/>
        </w:rPr>
        <w:fldChar w:fldCharType="begin"/>
      </w:r>
      <w:r w:rsidRPr="00B95EF7">
        <w:rPr>
          <w:rFonts w:ascii="Times New Roman" w:eastAsia="Times New Roman,Italic" w:hAnsi="Times New Roman" w:cs="Times New Roman"/>
          <w:i w:val="0"/>
          <w:noProof/>
          <w:sz w:val="23"/>
          <w:szCs w:val="23"/>
          <w:lang w:val="en-GB" w:eastAsia="en-IE"/>
        </w:rPr>
        <w:instrText xml:space="preserve"> REF _Ref141174556 \h  \* MERGEFORMAT </w:instrText>
      </w:r>
      <w:r w:rsidRPr="00B95EF7">
        <w:rPr>
          <w:rFonts w:ascii="Times New Roman" w:eastAsia="Times New Roman,Italic" w:hAnsi="Times New Roman" w:cs="Times New Roman"/>
          <w:i w:val="0"/>
          <w:noProof/>
          <w:sz w:val="23"/>
          <w:szCs w:val="23"/>
          <w:lang w:val="en-GB" w:eastAsia="en-IE"/>
        </w:rPr>
      </w:r>
      <w:r w:rsidRPr="00B95EF7">
        <w:rPr>
          <w:rFonts w:ascii="Times New Roman" w:eastAsia="Times New Roman,Italic" w:hAnsi="Times New Roman" w:cs="Times New Roman"/>
          <w:i w:val="0"/>
          <w:noProof/>
          <w:sz w:val="23"/>
          <w:szCs w:val="23"/>
          <w:lang w:val="en-GB" w:eastAsia="en-IE"/>
        </w:rPr>
        <w:fldChar w:fldCharType="separate"/>
      </w:r>
      <w:r w:rsidR="00170A3C" w:rsidRPr="00170A3C">
        <w:rPr>
          <w:rFonts w:ascii="Times New Roman" w:hAnsi="Times New Roman" w:cs="Times New Roman"/>
          <w:i w:val="0"/>
          <w:noProof/>
        </w:rPr>
        <w:t xml:space="preserve">Table </w:t>
      </w:r>
      <w:r w:rsidR="00170A3C">
        <w:rPr>
          <w:noProof/>
        </w:rPr>
        <w:t>53</w:t>
      </w:r>
      <w:r w:rsidRPr="00B95EF7">
        <w:rPr>
          <w:rFonts w:ascii="Times New Roman" w:eastAsia="Times New Roman,Italic" w:hAnsi="Times New Roman" w:cs="Times New Roman"/>
          <w:i w:val="0"/>
          <w:noProof/>
          <w:sz w:val="23"/>
          <w:szCs w:val="23"/>
          <w:lang w:val="en-GB" w:eastAsia="en-IE"/>
        </w:rPr>
        <w:fldChar w:fldCharType="end"/>
      </w:r>
      <w:r w:rsidRPr="00B95EF7">
        <w:rPr>
          <w:rFonts w:ascii="Times New Roman" w:eastAsia="Times New Roman,Italic" w:hAnsi="Times New Roman" w:cs="Times New Roman"/>
          <w:i w:val="0"/>
          <w:noProof/>
          <w:sz w:val="23"/>
          <w:szCs w:val="23"/>
          <w:lang w:val="en-GB" w:eastAsia="en-IE"/>
        </w:rPr>
        <w:t>) in 2021</w:t>
      </w:r>
      <w:r w:rsidRPr="00B95EF7">
        <w:rPr>
          <w:rFonts w:ascii="Times New Roman,Italic" w:eastAsia="Times New Roman,Italic" w:hAnsi="Times New Roman,Italic" w:cs="Times New Roman,Italic"/>
          <w:i w:val="0"/>
          <w:noProof/>
          <w:sz w:val="23"/>
          <w:szCs w:val="23"/>
          <w:lang w:val="en-GB" w:eastAsia="en-IE"/>
        </w:rPr>
        <w:t xml:space="preserve"> were above </w:t>
      </w:r>
      <w:r w:rsidRPr="00B95EF7">
        <w:rPr>
          <w:rFonts w:ascii="Times New Roman,Italic" w:eastAsia="Times New Roman,Italic" w:hAnsi="Times New Roman,Italic" w:cs="Times New Roman,Italic"/>
          <w:i w:val="0"/>
          <w:iCs w:val="0"/>
          <w:noProof/>
          <w:sz w:val="23"/>
          <w:szCs w:val="23"/>
          <w:lang w:val="en-GB" w:eastAsia="en-IE"/>
        </w:rPr>
        <w:t>5 tCO</w:t>
      </w:r>
      <w:r w:rsidRPr="00B95EF7">
        <w:rPr>
          <w:rFonts w:ascii="Times New Roman,Italic" w:eastAsia="Times New Roman,Italic" w:hAnsi="Times New Roman,Italic" w:cs="Times New Roman,Italic"/>
          <w:i w:val="0"/>
          <w:noProof/>
          <w:sz w:val="23"/>
          <w:szCs w:val="23"/>
          <w:vertAlign w:val="subscript"/>
          <w:lang w:val="en-GB" w:eastAsia="en-IE"/>
        </w:rPr>
        <w:t>2</w:t>
      </w:r>
      <w:r w:rsidRPr="00B95EF7">
        <w:rPr>
          <w:rFonts w:ascii="Times New Roman,Italic" w:eastAsia="Times New Roman,Italic" w:hAnsi="Times New Roman,Italic" w:cs="Times New Roman,Italic"/>
          <w:i w:val="0"/>
          <w:iCs w:val="0"/>
          <w:noProof/>
          <w:sz w:val="23"/>
          <w:szCs w:val="23"/>
          <w:lang w:val="en-GB" w:eastAsia="en-IE"/>
        </w:rPr>
        <w:t>-eq per person)</w:t>
      </w:r>
      <w:r w:rsidRPr="00B95EF7">
        <w:rPr>
          <w:rFonts w:ascii="Times New Roman,Italic" w:eastAsia="Times New Roman,Italic" w:hAnsi="Times New Roman,Italic" w:cs="Times New Roman,Italic"/>
          <w:i w:val="0"/>
          <w:noProof/>
          <w:sz w:val="23"/>
          <w:szCs w:val="23"/>
          <w:lang w:val="en-GB" w:eastAsia="en-IE"/>
        </w:rPr>
        <w:t xml:space="preserve">, which is approximately the emission per capita level implied by the 2030 target. Among the 242 NUTS2 regions, 68 regions reached emission levels below 5 </w:t>
      </w:r>
      <w:r w:rsidRPr="00B95EF7">
        <w:rPr>
          <w:rFonts w:ascii="Times New Roman,Italic" w:eastAsia="Times New Roman,Italic" w:hAnsi="Times New Roman,Italic" w:cs="Times New Roman,Italic"/>
          <w:i w:val="0"/>
          <w:iCs w:val="0"/>
          <w:noProof/>
          <w:sz w:val="23"/>
          <w:szCs w:val="23"/>
          <w:lang w:val="en-GB" w:eastAsia="en-IE"/>
        </w:rPr>
        <w:t>tCO</w:t>
      </w:r>
      <w:r w:rsidRPr="00B95EF7">
        <w:rPr>
          <w:rFonts w:ascii="Times New Roman,Italic" w:eastAsia="Times New Roman,Italic" w:hAnsi="Times New Roman,Italic" w:cs="Times New Roman,Italic"/>
          <w:i w:val="0"/>
          <w:noProof/>
          <w:sz w:val="23"/>
          <w:szCs w:val="23"/>
          <w:vertAlign w:val="subscript"/>
          <w:lang w:val="en-GB" w:eastAsia="en-IE"/>
        </w:rPr>
        <w:t>2</w:t>
      </w:r>
      <w:r w:rsidRPr="00B95EF7">
        <w:rPr>
          <w:rFonts w:ascii="Times New Roman,Italic" w:eastAsia="Times New Roman,Italic" w:hAnsi="Times New Roman,Italic" w:cs="Times New Roman,Italic"/>
          <w:i w:val="0"/>
          <w:iCs w:val="0"/>
          <w:noProof/>
          <w:sz w:val="23"/>
          <w:szCs w:val="23"/>
          <w:lang w:val="en-GB" w:eastAsia="en-IE"/>
        </w:rPr>
        <w:t>-</w:t>
      </w:r>
      <w:r w:rsidRPr="00B95EF7">
        <w:rPr>
          <w:rFonts w:ascii="Times New Roman,Italic" w:eastAsia="Times New Roman,Italic" w:hAnsi="Times New Roman,Italic" w:cs="Times New Roman,Italic"/>
          <w:i w:val="0"/>
          <w:noProof/>
          <w:sz w:val="23"/>
          <w:szCs w:val="23"/>
          <w:lang w:val="en-GB" w:eastAsia="en-IE"/>
        </w:rPr>
        <w:t>eq</w:t>
      </w:r>
      <w:r w:rsidRPr="00B95EF7">
        <w:rPr>
          <w:rFonts w:ascii="Times New Roman,Italic" w:eastAsia="Times New Roman,Italic" w:hAnsi="Times New Roman,Italic" w:cs="Times New Roman,Italic"/>
          <w:i w:val="0"/>
          <w:iCs w:val="0"/>
          <w:noProof/>
          <w:sz w:val="23"/>
          <w:szCs w:val="23"/>
          <w:lang w:val="en-GB" w:eastAsia="en-IE"/>
        </w:rPr>
        <w:t xml:space="preserve"> per person</w:t>
      </w:r>
      <w:r w:rsidRPr="00B95EF7" w:rsidDel="00EE4265">
        <w:rPr>
          <w:rFonts w:ascii="Times New Roman,Italic" w:eastAsia="Times New Roman,Italic" w:hAnsi="Times New Roman,Italic" w:cs="Times New Roman,Italic"/>
          <w:i w:val="0"/>
          <w:iCs w:val="0"/>
          <w:noProof/>
          <w:sz w:val="23"/>
          <w:szCs w:val="23"/>
          <w:lang w:val="en-GB" w:eastAsia="en-IE"/>
        </w:rPr>
        <w:t xml:space="preserve"> </w:t>
      </w:r>
      <w:r w:rsidRPr="00B95EF7">
        <w:rPr>
          <w:rFonts w:ascii="Times New Roman,Italic" w:eastAsia="Times New Roman,Italic" w:hAnsi="Times New Roman,Italic" w:cs="Times New Roman,Italic"/>
          <w:i w:val="0"/>
          <w:noProof/>
          <w:sz w:val="23"/>
          <w:szCs w:val="23"/>
          <w:lang w:val="en-GB" w:eastAsia="en-IE"/>
        </w:rPr>
        <w:t xml:space="preserve">in 2021. Decarbonization is not a linear process. For the richest western Member States, regional emissions have mostly been declining. But for most of the countries that accessed the EU in or after 2004, the fall in emissions in the years after the collapse of the Soviet Union was followed by a relative stable trend or even an increase. In aggregate, out of the 242 NUTS 2 regions, 155 experienced a downward trend in emissions per capita since 1990, 74 since 2005, eight since 2010, and three since 2015. In two Polish regions, per capita emissions are still increasing. </w:t>
      </w:r>
    </w:p>
    <w:p w14:paraId="4EC3BBB1" w14:textId="30C4784A" w:rsidR="00011515" w:rsidRPr="00011515" w:rsidRDefault="00011515" w:rsidP="00011515">
      <w:pPr>
        <w:rPr>
          <w:noProof/>
        </w:rPr>
      </w:pPr>
      <w:r w:rsidRPr="00B95EF7">
        <w:rPr>
          <w:noProof/>
          <w:sz w:val="23"/>
          <w:szCs w:val="23"/>
        </w:rPr>
        <w:t xml:space="preserve">Overall, between 1990 and 2021, </w:t>
      </w:r>
      <w:r w:rsidRPr="00B95EF7">
        <w:rPr>
          <w:noProof/>
        </w:rPr>
        <w:t xml:space="preserve">emissions per </w:t>
      </w:r>
      <w:r w:rsidRPr="00B95EF7">
        <w:rPr>
          <w:noProof/>
          <w:sz w:val="23"/>
          <w:szCs w:val="23"/>
        </w:rPr>
        <w:t xml:space="preserve">capita in regions (see </w:t>
      </w:r>
      <w:r w:rsidRPr="00B95EF7">
        <w:rPr>
          <w:noProof/>
          <w:sz w:val="23"/>
          <w:szCs w:val="23"/>
        </w:rPr>
        <w:fldChar w:fldCharType="begin"/>
      </w:r>
      <w:r w:rsidRPr="00B95EF7">
        <w:rPr>
          <w:noProof/>
          <w:sz w:val="23"/>
          <w:szCs w:val="23"/>
        </w:rPr>
        <w:instrText xml:space="preserve"> REF _Ref141174556 \h  \* MERGEFORMAT </w:instrText>
      </w:r>
      <w:r w:rsidRPr="00B95EF7">
        <w:rPr>
          <w:noProof/>
          <w:sz w:val="23"/>
          <w:szCs w:val="23"/>
        </w:rPr>
      </w:r>
      <w:r w:rsidRPr="00B95EF7">
        <w:rPr>
          <w:noProof/>
          <w:sz w:val="23"/>
          <w:szCs w:val="23"/>
        </w:rPr>
        <w:fldChar w:fldCharType="separate"/>
      </w:r>
      <w:r w:rsidR="00170A3C" w:rsidRPr="001E04FB">
        <w:rPr>
          <w:noProof/>
        </w:rPr>
        <w:t>Table</w:t>
      </w:r>
      <w:r w:rsidR="00170A3C">
        <w:rPr>
          <w:noProof/>
        </w:rPr>
        <w:t xml:space="preserve"> 53</w:t>
      </w:r>
      <w:r w:rsidRPr="00B95EF7">
        <w:rPr>
          <w:noProof/>
          <w:sz w:val="23"/>
          <w:szCs w:val="23"/>
        </w:rPr>
        <w:fldChar w:fldCharType="end"/>
      </w:r>
      <w:r w:rsidRPr="00B95EF7">
        <w:rPr>
          <w:noProof/>
          <w:sz w:val="23"/>
          <w:szCs w:val="23"/>
        </w:rPr>
        <w:t>) have decreased. For example, in Denmark, the national average was 6.9 tCO</w:t>
      </w:r>
      <w:r w:rsidRPr="00B95EF7">
        <w:rPr>
          <w:noProof/>
          <w:sz w:val="23"/>
          <w:szCs w:val="23"/>
          <w:vertAlign w:val="subscript"/>
        </w:rPr>
        <w:t>2</w:t>
      </w:r>
      <w:r w:rsidRPr="00B95EF7">
        <w:rPr>
          <w:noProof/>
          <w:sz w:val="23"/>
          <w:szCs w:val="23"/>
        </w:rPr>
        <w:t>-eq per person</w:t>
      </w:r>
      <w:r w:rsidRPr="00B95EF7" w:rsidDel="00EE4265">
        <w:rPr>
          <w:noProof/>
          <w:sz w:val="23"/>
          <w:szCs w:val="23"/>
        </w:rPr>
        <w:t xml:space="preserve"> </w:t>
      </w:r>
      <w:r w:rsidRPr="00B95EF7">
        <w:rPr>
          <w:noProof/>
          <w:sz w:val="23"/>
          <w:szCs w:val="23"/>
        </w:rPr>
        <w:t>in 2021, with regional levels ranging from 3.2 to 13.2 tCO</w:t>
      </w:r>
      <w:r w:rsidRPr="00B95EF7">
        <w:rPr>
          <w:noProof/>
          <w:sz w:val="23"/>
          <w:szCs w:val="23"/>
          <w:vertAlign w:val="subscript"/>
        </w:rPr>
        <w:t>2</w:t>
      </w:r>
      <w:r w:rsidRPr="00B95EF7">
        <w:rPr>
          <w:noProof/>
          <w:sz w:val="23"/>
          <w:szCs w:val="23"/>
        </w:rPr>
        <w:t>-eq per person, in comparison</w:t>
      </w:r>
      <w:r w:rsidRPr="00EE4265">
        <w:rPr>
          <w:noProof/>
          <w:sz w:val="23"/>
          <w:szCs w:val="23"/>
        </w:rPr>
        <w:t xml:space="preserve"> with a national average of 13.4 tCO</w:t>
      </w:r>
      <w:r w:rsidRPr="00B623B7">
        <w:rPr>
          <w:noProof/>
          <w:sz w:val="23"/>
          <w:szCs w:val="23"/>
          <w:vertAlign w:val="subscript"/>
        </w:rPr>
        <w:t>2</w:t>
      </w:r>
      <w:r>
        <w:rPr>
          <w:noProof/>
          <w:sz w:val="23"/>
          <w:szCs w:val="23"/>
        </w:rPr>
        <w:t>-</w:t>
      </w:r>
      <w:r w:rsidRPr="00EE4265">
        <w:rPr>
          <w:noProof/>
          <w:sz w:val="23"/>
          <w:szCs w:val="23"/>
        </w:rPr>
        <w:t>eq per person</w:t>
      </w:r>
      <w:r w:rsidRPr="00EE4265" w:rsidDel="00EE4265">
        <w:rPr>
          <w:noProof/>
          <w:sz w:val="23"/>
          <w:szCs w:val="23"/>
        </w:rPr>
        <w:t xml:space="preserve"> </w:t>
      </w:r>
      <w:r w:rsidRPr="00EE4265">
        <w:rPr>
          <w:noProof/>
          <w:sz w:val="23"/>
          <w:szCs w:val="23"/>
        </w:rPr>
        <w:t>in 1990 and regional levels between 8.8 and 21.1 tCO</w:t>
      </w:r>
      <w:r w:rsidRPr="00B623B7">
        <w:rPr>
          <w:noProof/>
          <w:sz w:val="23"/>
          <w:szCs w:val="23"/>
          <w:vertAlign w:val="subscript"/>
        </w:rPr>
        <w:t>2</w:t>
      </w:r>
      <w:r>
        <w:rPr>
          <w:noProof/>
          <w:sz w:val="23"/>
          <w:szCs w:val="23"/>
        </w:rPr>
        <w:t>-</w:t>
      </w:r>
      <w:r w:rsidRPr="00EE4265">
        <w:rPr>
          <w:noProof/>
          <w:sz w:val="23"/>
          <w:szCs w:val="23"/>
        </w:rPr>
        <w:t>eq per person</w:t>
      </w:r>
      <w:r w:rsidRPr="00EE4265" w:rsidDel="00EE4265">
        <w:rPr>
          <w:noProof/>
          <w:sz w:val="23"/>
          <w:szCs w:val="23"/>
        </w:rPr>
        <w:t xml:space="preserve"> </w:t>
      </w:r>
      <w:r w:rsidRPr="00EE4265">
        <w:rPr>
          <w:noProof/>
          <w:sz w:val="23"/>
          <w:szCs w:val="23"/>
        </w:rPr>
        <w:t>in that year. Only in Hungary the level of emission per capita in the less emitting region has significantly increased between 1990 and 2021 (from 2.9 to 4.5 tCO</w:t>
      </w:r>
      <w:r w:rsidRPr="00B623B7">
        <w:rPr>
          <w:noProof/>
          <w:sz w:val="23"/>
          <w:szCs w:val="23"/>
          <w:vertAlign w:val="subscript"/>
        </w:rPr>
        <w:t>2</w:t>
      </w:r>
      <w:r>
        <w:rPr>
          <w:noProof/>
          <w:sz w:val="23"/>
          <w:szCs w:val="23"/>
        </w:rPr>
        <w:t>-</w:t>
      </w:r>
      <w:r w:rsidRPr="00EE4265">
        <w:rPr>
          <w:noProof/>
          <w:sz w:val="23"/>
          <w:szCs w:val="23"/>
        </w:rPr>
        <w:t xml:space="preserve">eq per person). This is due to the installation and closure of coal fired power stations. </w:t>
      </w:r>
    </w:p>
    <w:p w14:paraId="1687118C" w14:textId="473BE0B5" w:rsidR="00B20C3A" w:rsidRDefault="00B20C3A" w:rsidP="00B20C3A">
      <w:pPr>
        <w:pStyle w:val="Caption"/>
        <w:rPr>
          <w:noProof/>
          <w:lang w:val="en-IE"/>
        </w:rPr>
      </w:pPr>
      <w:bookmarkStart w:id="814" w:name="_Ref141174556"/>
      <w:bookmarkStart w:id="815" w:name="_Toc157679936"/>
      <w:r w:rsidRPr="001E04FB">
        <w:rPr>
          <w:noProof/>
        </w:rPr>
        <w:t>Table</w:t>
      </w:r>
      <w:r>
        <w:rPr>
          <w:noProof/>
        </w:rPr>
        <w:t xml:space="preserve"> </w:t>
      </w:r>
      <w:r>
        <w:rPr>
          <w:noProof/>
        </w:rPr>
        <w:fldChar w:fldCharType="begin"/>
      </w:r>
      <w:r>
        <w:rPr>
          <w:noProof/>
        </w:rPr>
        <w:instrText>SEQ Table \* ARABIC</w:instrText>
      </w:r>
      <w:r>
        <w:rPr>
          <w:noProof/>
        </w:rPr>
        <w:fldChar w:fldCharType="separate"/>
      </w:r>
      <w:r w:rsidR="00170A3C">
        <w:rPr>
          <w:noProof/>
        </w:rPr>
        <w:t>53</w:t>
      </w:r>
      <w:r>
        <w:rPr>
          <w:noProof/>
        </w:rPr>
        <w:fldChar w:fldCharType="end"/>
      </w:r>
      <w:bookmarkEnd w:id="814"/>
      <w:r>
        <w:rPr>
          <w:noProof/>
        </w:rPr>
        <w:t>: National per capita emissions and range across regions</w:t>
      </w:r>
      <w:bookmarkEnd w:id="815"/>
    </w:p>
    <w:tbl>
      <w:tblPr>
        <w:tblStyle w:val="EurolookLightBlue"/>
        <w:tblW w:w="8294" w:type="dxa"/>
        <w:tblLook w:val="04A0" w:firstRow="1" w:lastRow="0" w:firstColumn="1" w:lastColumn="0" w:noHBand="0" w:noVBand="1"/>
      </w:tblPr>
      <w:tblGrid>
        <w:gridCol w:w="3887"/>
        <w:gridCol w:w="2366"/>
        <w:gridCol w:w="2041"/>
      </w:tblGrid>
      <w:tr w:rsidR="00B20C3A" w:rsidRPr="008B2B2D" w14:paraId="5D378FB9" w14:textId="77777777" w:rsidTr="00534E10">
        <w:trPr>
          <w:cnfStyle w:val="100000000000" w:firstRow="1" w:lastRow="0" w:firstColumn="0" w:lastColumn="0" w:oddVBand="0" w:evenVBand="0" w:oddHBand="0"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1194" w:type="dxa"/>
            <w:noWrap/>
            <w:hideMark/>
          </w:tcPr>
          <w:p w14:paraId="42B042F4" w14:textId="05B6DC4C" w:rsidR="00B20C3A" w:rsidRPr="00131C1E" w:rsidRDefault="00AE624E" w:rsidP="001E04FB">
            <w:pPr>
              <w:keepNext/>
              <w:spacing w:after="0"/>
              <w:jc w:val="center"/>
              <w:rPr>
                <w:rFonts w:ascii="Cambria Math" w:hAnsi="Cambria Math" w:cs="Avenir Next LT Pro"/>
                <w:b/>
                <w:noProof/>
              </w:rPr>
            </w:pPr>
            <w:r w:rsidRPr="00AE624E">
              <w:rPr>
                <w:noProof/>
                <w:color w:val="auto"/>
              </w:rPr>
              <w:t>tCO</w:t>
            </w:r>
            <w:r w:rsidRPr="00AE624E">
              <w:rPr>
                <w:noProof/>
                <w:color w:val="auto"/>
                <w:vertAlign w:val="subscript"/>
              </w:rPr>
              <w:t>2</w:t>
            </w:r>
            <w:r w:rsidRPr="00AE624E">
              <w:rPr>
                <w:noProof/>
                <w:color w:val="auto"/>
              </w:rPr>
              <w:t xml:space="preserve">-eq per </w:t>
            </w:r>
            <w:r w:rsidRPr="00AE624E">
              <w:rPr>
                <w:noProof/>
                <w:color w:val="auto"/>
                <w:lang w:val="en-IE"/>
              </w:rPr>
              <w:t>person</w:t>
            </w:r>
          </w:p>
        </w:tc>
        <w:tc>
          <w:tcPr>
            <w:tcW w:w="0" w:type="dxa"/>
            <w:hideMark/>
          </w:tcPr>
          <w:p w14:paraId="7F056513" w14:textId="77777777" w:rsidR="00B20C3A" w:rsidRPr="00DB1242" w:rsidRDefault="00B20C3A" w:rsidP="001E04FB">
            <w:pPr>
              <w:keepNext/>
              <w:spacing w:after="0"/>
              <w:jc w:val="center"/>
              <w:cnfStyle w:val="100000000000" w:firstRow="1" w:lastRow="0" w:firstColumn="0" w:lastColumn="0" w:oddVBand="0" w:evenVBand="0" w:oddHBand="0" w:evenHBand="0" w:firstRowFirstColumn="0" w:firstRowLastColumn="0" w:lastRowFirstColumn="0" w:lastRowLastColumn="0"/>
              <w:rPr>
                <w:rFonts w:ascii="Cambria Math" w:hAnsi="Cambria Math" w:cs="Avenir Next LT Pro"/>
                <w:b/>
                <w:noProof/>
                <w:color w:val="000000"/>
                <w:sz w:val="18"/>
                <w:szCs w:val="18"/>
              </w:rPr>
            </w:pPr>
            <w:r w:rsidRPr="00DB1242">
              <w:rPr>
                <w:rFonts w:ascii="Cambria Math" w:hAnsi="Cambria Math" w:cs="Avenir Next LT Pro"/>
                <w:b/>
                <w:noProof/>
                <w:color w:val="000000"/>
                <w:sz w:val="18"/>
                <w:szCs w:val="18"/>
              </w:rPr>
              <w:t>1990</w:t>
            </w:r>
          </w:p>
        </w:tc>
        <w:tc>
          <w:tcPr>
            <w:tcW w:w="0" w:type="dxa"/>
            <w:hideMark/>
          </w:tcPr>
          <w:p w14:paraId="0D039353" w14:textId="77777777" w:rsidR="00B20C3A" w:rsidRPr="00DB1242" w:rsidRDefault="00B20C3A" w:rsidP="001E04FB">
            <w:pPr>
              <w:keepNext/>
              <w:spacing w:after="0"/>
              <w:jc w:val="center"/>
              <w:cnfStyle w:val="100000000000" w:firstRow="1" w:lastRow="0" w:firstColumn="0" w:lastColumn="0" w:oddVBand="0" w:evenVBand="0" w:oddHBand="0" w:evenHBand="0" w:firstRowFirstColumn="0" w:firstRowLastColumn="0" w:lastRowFirstColumn="0" w:lastRowLastColumn="0"/>
              <w:rPr>
                <w:rFonts w:ascii="Cambria Math" w:hAnsi="Cambria Math" w:cs="Avenir Next LT Pro"/>
                <w:b/>
                <w:noProof/>
                <w:color w:val="000000"/>
                <w:sz w:val="18"/>
                <w:szCs w:val="18"/>
              </w:rPr>
            </w:pPr>
            <w:r w:rsidRPr="00DB1242">
              <w:rPr>
                <w:rFonts w:ascii="Cambria Math" w:hAnsi="Cambria Math" w:cs="Avenir Next LT Pro"/>
                <w:b/>
                <w:noProof/>
                <w:color w:val="000000"/>
                <w:sz w:val="18"/>
                <w:szCs w:val="18"/>
              </w:rPr>
              <w:t>2021</w:t>
            </w:r>
          </w:p>
        </w:tc>
      </w:tr>
      <w:tr w:rsidR="00B20C3A" w:rsidRPr="008B2B2D" w14:paraId="12CC783C" w14:textId="77777777" w:rsidTr="00534E1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4" w:type="dxa"/>
            <w:noWrap/>
            <w:hideMark/>
          </w:tcPr>
          <w:p w14:paraId="37918B5E" w14:textId="77777777" w:rsidR="00B20C3A" w:rsidRPr="00DB1242" w:rsidRDefault="00B20C3A" w:rsidP="001E04FB">
            <w:pPr>
              <w:keepNext/>
              <w:spacing w:after="0"/>
              <w:rPr>
                <w:rFonts w:ascii="Cambria Math" w:hAnsi="Cambria Math" w:cs="Avenir Next LT Pro"/>
                <w:noProof/>
                <w:sz w:val="18"/>
                <w:szCs w:val="18"/>
              </w:rPr>
            </w:pPr>
            <w:r w:rsidRPr="00DB1242">
              <w:rPr>
                <w:rFonts w:ascii="Cambria Math" w:hAnsi="Cambria Math" w:cs="Avenir Next LT Pro"/>
                <w:noProof/>
                <w:sz w:val="18"/>
                <w:szCs w:val="18"/>
              </w:rPr>
              <w:t>Austria</w:t>
            </w:r>
          </w:p>
        </w:tc>
        <w:tc>
          <w:tcPr>
            <w:tcW w:w="0" w:type="dxa"/>
            <w:noWrap/>
            <w:hideMark/>
          </w:tcPr>
          <w:p w14:paraId="659C62D9"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10.8 (4.5 - 15.4)</w:t>
            </w:r>
          </w:p>
        </w:tc>
        <w:tc>
          <w:tcPr>
            <w:tcW w:w="0" w:type="dxa"/>
            <w:noWrap/>
            <w:hideMark/>
          </w:tcPr>
          <w:p w14:paraId="3B890689"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9.2 (4.2 - 13.7)</w:t>
            </w:r>
          </w:p>
        </w:tc>
      </w:tr>
      <w:tr w:rsidR="00B20C3A" w:rsidRPr="008B2B2D" w14:paraId="1496D5EF" w14:textId="77777777" w:rsidTr="00534E10">
        <w:trPr>
          <w:cnfStyle w:val="000000010000" w:firstRow="0" w:lastRow="0" w:firstColumn="0" w:lastColumn="0" w:oddVBand="0" w:evenVBand="0" w:oddHBand="0" w:evenHBand="1"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4" w:type="dxa"/>
            <w:noWrap/>
            <w:hideMark/>
          </w:tcPr>
          <w:p w14:paraId="492D4DB1" w14:textId="77777777" w:rsidR="00B20C3A" w:rsidRPr="00DB1242" w:rsidRDefault="00B20C3A" w:rsidP="001E04FB">
            <w:pPr>
              <w:keepNext/>
              <w:spacing w:after="0"/>
              <w:rPr>
                <w:rFonts w:ascii="Cambria Math" w:hAnsi="Cambria Math" w:cs="Avenir Next LT Pro"/>
                <w:noProof/>
                <w:sz w:val="18"/>
                <w:szCs w:val="18"/>
              </w:rPr>
            </w:pPr>
            <w:r w:rsidRPr="00DB1242">
              <w:rPr>
                <w:rFonts w:ascii="Cambria Math" w:hAnsi="Cambria Math" w:cs="Avenir Next LT Pro"/>
                <w:noProof/>
                <w:sz w:val="18"/>
                <w:szCs w:val="18"/>
              </w:rPr>
              <w:t>Belgium</w:t>
            </w:r>
          </w:p>
        </w:tc>
        <w:tc>
          <w:tcPr>
            <w:tcW w:w="0" w:type="dxa"/>
            <w:noWrap/>
            <w:hideMark/>
          </w:tcPr>
          <w:p w14:paraId="6A0A6C78" w14:textId="77777777" w:rsidR="00B20C3A" w:rsidRPr="00DB1242" w:rsidRDefault="00B20C3A" w:rsidP="001E04FB">
            <w:pPr>
              <w:keepNext/>
              <w:spacing w:after="0"/>
              <w:jc w:val="center"/>
              <w:cnfStyle w:val="000000010000" w:firstRow="0" w:lastRow="0" w:firstColumn="0" w:lastColumn="0" w:oddVBand="0" w:evenVBand="0" w:oddHBand="0" w:evenHBand="1"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14.5 (4.4 - 20.8)</w:t>
            </w:r>
          </w:p>
        </w:tc>
        <w:tc>
          <w:tcPr>
            <w:tcW w:w="0" w:type="dxa"/>
            <w:noWrap/>
            <w:hideMark/>
          </w:tcPr>
          <w:p w14:paraId="2CF02A63" w14:textId="77777777" w:rsidR="00B20C3A" w:rsidRPr="00DB1242" w:rsidRDefault="00B20C3A" w:rsidP="001E04FB">
            <w:pPr>
              <w:keepNext/>
              <w:spacing w:after="0"/>
              <w:jc w:val="center"/>
              <w:cnfStyle w:val="000000010000" w:firstRow="0" w:lastRow="0" w:firstColumn="0" w:lastColumn="0" w:oddVBand="0" w:evenVBand="0" w:oddHBand="0" w:evenHBand="1"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10.8 (3.9 - 15.6)</w:t>
            </w:r>
          </w:p>
        </w:tc>
      </w:tr>
      <w:tr w:rsidR="00B20C3A" w:rsidRPr="008B2B2D" w14:paraId="79E3847B" w14:textId="77777777" w:rsidTr="00534E1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4" w:type="dxa"/>
            <w:noWrap/>
            <w:hideMark/>
          </w:tcPr>
          <w:p w14:paraId="7999ED9D" w14:textId="77777777" w:rsidR="00B20C3A" w:rsidRPr="00DB1242" w:rsidRDefault="00B20C3A" w:rsidP="001E04FB">
            <w:pPr>
              <w:keepNext/>
              <w:spacing w:after="0"/>
              <w:rPr>
                <w:rFonts w:ascii="Cambria Math" w:hAnsi="Cambria Math" w:cs="Avenir Next LT Pro"/>
                <w:noProof/>
                <w:sz w:val="18"/>
                <w:szCs w:val="18"/>
              </w:rPr>
            </w:pPr>
            <w:r w:rsidRPr="00DB1242">
              <w:rPr>
                <w:rFonts w:ascii="Cambria Math" w:hAnsi="Cambria Math" w:cs="Avenir Next LT Pro"/>
                <w:noProof/>
                <w:sz w:val="18"/>
                <w:szCs w:val="18"/>
              </w:rPr>
              <w:t>Bulgaria</w:t>
            </w:r>
          </w:p>
        </w:tc>
        <w:tc>
          <w:tcPr>
            <w:tcW w:w="0" w:type="dxa"/>
            <w:noWrap/>
            <w:hideMark/>
          </w:tcPr>
          <w:p w14:paraId="213D9E4B"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11.8 (7.5 - 21.5)</w:t>
            </w:r>
          </w:p>
        </w:tc>
        <w:tc>
          <w:tcPr>
            <w:tcW w:w="0" w:type="dxa"/>
            <w:noWrap/>
            <w:hideMark/>
          </w:tcPr>
          <w:p w14:paraId="53EE5945"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8.6 (5.8 - 20.5)</w:t>
            </w:r>
          </w:p>
        </w:tc>
      </w:tr>
      <w:tr w:rsidR="00B20C3A" w:rsidRPr="008B2B2D" w14:paraId="0F4B66FD" w14:textId="77777777" w:rsidTr="00534E10">
        <w:trPr>
          <w:cnfStyle w:val="000000010000" w:firstRow="0" w:lastRow="0" w:firstColumn="0" w:lastColumn="0" w:oddVBand="0" w:evenVBand="0" w:oddHBand="0" w:evenHBand="1"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4" w:type="dxa"/>
            <w:noWrap/>
            <w:hideMark/>
          </w:tcPr>
          <w:p w14:paraId="285E4969" w14:textId="77777777" w:rsidR="00B20C3A" w:rsidRPr="00DB1242" w:rsidRDefault="00B20C3A" w:rsidP="001E04FB">
            <w:pPr>
              <w:keepNext/>
              <w:spacing w:after="0"/>
              <w:rPr>
                <w:rFonts w:ascii="Cambria Math" w:hAnsi="Cambria Math" w:cs="Avenir Next LT Pro"/>
                <w:noProof/>
                <w:sz w:val="18"/>
                <w:szCs w:val="18"/>
              </w:rPr>
            </w:pPr>
            <w:r w:rsidRPr="00DB1242">
              <w:rPr>
                <w:rFonts w:ascii="Cambria Math" w:hAnsi="Cambria Math" w:cs="Avenir Next LT Pro"/>
                <w:noProof/>
                <w:sz w:val="18"/>
                <w:szCs w:val="18"/>
              </w:rPr>
              <w:t>Croatia</w:t>
            </w:r>
          </w:p>
        </w:tc>
        <w:tc>
          <w:tcPr>
            <w:tcW w:w="0" w:type="dxa"/>
            <w:noWrap/>
            <w:hideMark/>
          </w:tcPr>
          <w:p w14:paraId="44331C2F" w14:textId="77777777" w:rsidR="00B20C3A" w:rsidRPr="00DB1242" w:rsidRDefault="00B20C3A" w:rsidP="001E04FB">
            <w:pPr>
              <w:keepNext/>
              <w:spacing w:after="0"/>
              <w:jc w:val="center"/>
              <w:cnfStyle w:val="000000010000" w:firstRow="0" w:lastRow="0" w:firstColumn="0" w:lastColumn="0" w:oddVBand="0" w:evenVBand="0" w:oddHBand="0" w:evenHBand="1"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7.5 (3 - 10.2)</w:t>
            </w:r>
          </w:p>
        </w:tc>
        <w:tc>
          <w:tcPr>
            <w:tcW w:w="0" w:type="dxa"/>
            <w:noWrap/>
            <w:hideMark/>
          </w:tcPr>
          <w:p w14:paraId="77CD0525" w14:textId="77777777" w:rsidR="00B20C3A" w:rsidRPr="00DB1242" w:rsidRDefault="00B20C3A" w:rsidP="001E04FB">
            <w:pPr>
              <w:keepNext/>
              <w:spacing w:after="0"/>
              <w:jc w:val="center"/>
              <w:cnfStyle w:val="000000010000" w:firstRow="0" w:lastRow="0" w:firstColumn="0" w:lastColumn="0" w:oddVBand="0" w:evenVBand="0" w:oddHBand="0" w:evenHBand="1"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6.1 (3.5 - 7.9)</w:t>
            </w:r>
          </w:p>
        </w:tc>
      </w:tr>
      <w:tr w:rsidR="00B20C3A" w:rsidRPr="008B2B2D" w14:paraId="6441BD87" w14:textId="77777777" w:rsidTr="00534E1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4" w:type="dxa"/>
            <w:noWrap/>
            <w:hideMark/>
          </w:tcPr>
          <w:p w14:paraId="5ABAA5D7" w14:textId="77777777" w:rsidR="00B20C3A" w:rsidRPr="00DB1242" w:rsidRDefault="00B20C3A" w:rsidP="001E04FB">
            <w:pPr>
              <w:keepNext/>
              <w:spacing w:after="0"/>
              <w:rPr>
                <w:rFonts w:ascii="Cambria Math" w:hAnsi="Cambria Math" w:cs="Avenir Next LT Pro"/>
                <w:noProof/>
                <w:sz w:val="18"/>
                <w:szCs w:val="18"/>
              </w:rPr>
            </w:pPr>
            <w:r w:rsidRPr="00DB1242">
              <w:rPr>
                <w:rFonts w:ascii="Cambria Math" w:hAnsi="Cambria Math" w:cs="Avenir Next LT Pro"/>
                <w:noProof/>
                <w:sz w:val="18"/>
                <w:szCs w:val="18"/>
              </w:rPr>
              <w:t>Cyprus</w:t>
            </w:r>
          </w:p>
        </w:tc>
        <w:tc>
          <w:tcPr>
            <w:tcW w:w="0" w:type="dxa"/>
            <w:noWrap/>
            <w:hideMark/>
          </w:tcPr>
          <w:p w14:paraId="45791035"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9.3</w:t>
            </w:r>
          </w:p>
        </w:tc>
        <w:tc>
          <w:tcPr>
            <w:tcW w:w="0" w:type="dxa"/>
            <w:noWrap/>
            <w:hideMark/>
          </w:tcPr>
          <w:p w14:paraId="506F98B2"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9.5</w:t>
            </w:r>
          </w:p>
        </w:tc>
      </w:tr>
      <w:tr w:rsidR="00B20C3A" w:rsidRPr="008B2B2D" w14:paraId="401BCD38" w14:textId="77777777" w:rsidTr="00534E10">
        <w:trPr>
          <w:cnfStyle w:val="000000010000" w:firstRow="0" w:lastRow="0" w:firstColumn="0" w:lastColumn="0" w:oddVBand="0" w:evenVBand="0" w:oddHBand="0" w:evenHBand="1"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4" w:type="dxa"/>
            <w:noWrap/>
            <w:hideMark/>
          </w:tcPr>
          <w:p w14:paraId="4910CE37" w14:textId="77777777" w:rsidR="00B20C3A" w:rsidRPr="00DB1242" w:rsidRDefault="00B20C3A" w:rsidP="001E04FB">
            <w:pPr>
              <w:keepNext/>
              <w:spacing w:after="0"/>
              <w:rPr>
                <w:rFonts w:ascii="Cambria Math" w:hAnsi="Cambria Math" w:cs="Avenir Next LT Pro"/>
                <w:noProof/>
                <w:sz w:val="18"/>
                <w:szCs w:val="18"/>
              </w:rPr>
            </w:pPr>
            <w:r w:rsidRPr="00DB1242">
              <w:rPr>
                <w:rFonts w:ascii="Cambria Math" w:hAnsi="Cambria Math" w:cs="Avenir Next LT Pro"/>
                <w:noProof/>
                <w:sz w:val="18"/>
                <w:szCs w:val="18"/>
              </w:rPr>
              <w:t>Czechia</w:t>
            </w:r>
          </w:p>
        </w:tc>
        <w:tc>
          <w:tcPr>
            <w:tcW w:w="0" w:type="dxa"/>
            <w:noWrap/>
            <w:hideMark/>
          </w:tcPr>
          <w:p w14:paraId="24C3FC95" w14:textId="77777777" w:rsidR="00B20C3A" w:rsidRPr="00DB1242" w:rsidRDefault="00B20C3A" w:rsidP="001E04FB">
            <w:pPr>
              <w:keepNext/>
              <w:spacing w:after="0"/>
              <w:jc w:val="center"/>
              <w:cnfStyle w:val="000000010000" w:firstRow="0" w:lastRow="0" w:firstColumn="0" w:lastColumn="0" w:oddVBand="0" w:evenVBand="0" w:oddHBand="0" w:evenHBand="1"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18.9 (7.4 - 39.2)</w:t>
            </w:r>
          </w:p>
        </w:tc>
        <w:tc>
          <w:tcPr>
            <w:tcW w:w="0" w:type="dxa"/>
            <w:noWrap/>
            <w:hideMark/>
          </w:tcPr>
          <w:p w14:paraId="0DBDA97D" w14:textId="77777777" w:rsidR="00B20C3A" w:rsidRPr="00DB1242" w:rsidRDefault="00B20C3A" w:rsidP="001E04FB">
            <w:pPr>
              <w:keepNext/>
              <w:spacing w:after="0"/>
              <w:jc w:val="center"/>
              <w:cnfStyle w:val="000000010000" w:firstRow="0" w:lastRow="0" w:firstColumn="0" w:lastColumn="0" w:oddVBand="0" w:evenVBand="0" w:oddHBand="0" w:evenHBand="1"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11.3 (4 - 27.9)</w:t>
            </w:r>
          </w:p>
        </w:tc>
      </w:tr>
      <w:tr w:rsidR="00B20C3A" w:rsidRPr="008B2B2D" w14:paraId="1141C02F" w14:textId="77777777" w:rsidTr="00534E1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4" w:type="dxa"/>
            <w:noWrap/>
            <w:hideMark/>
          </w:tcPr>
          <w:p w14:paraId="059CA8A7" w14:textId="77777777" w:rsidR="00B20C3A" w:rsidRPr="00DB1242" w:rsidRDefault="00B20C3A" w:rsidP="001E04FB">
            <w:pPr>
              <w:keepNext/>
              <w:spacing w:after="0"/>
              <w:rPr>
                <w:rFonts w:ascii="Cambria Math" w:hAnsi="Cambria Math" w:cs="Avenir Next LT Pro"/>
                <w:noProof/>
                <w:sz w:val="18"/>
                <w:szCs w:val="18"/>
              </w:rPr>
            </w:pPr>
            <w:r w:rsidRPr="00DB1242">
              <w:rPr>
                <w:rFonts w:ascii="Cambria Math" w:hAnsi="Cambria Math" w:cs="Avenir Next LT Pro"/>
                <w:noProof/>
                <w:sz w:val="18"/>
                <w:szCs w:val="18"/>
              </w:rPr>
              <w:t>Denmark</w:t>
            </w:r>
          </w:p>
        </w:tc>
        <w:tc>
          <w:tcPr>
            <w:tcW w:w="0" w:type="dxa"/>
            <w:noWrap/>
            <w:hideMark/>
          </w:tcPr>
          <w:p w14:paraId="65FEB0D5"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13.4 (8.8 - 21.1)</w:t>
            </w:r>
          </w:p>
        </w:tc>
        <w:tc>
          <w:tcPr>
            <w:tcW w:w="0" w:type="dxa"/>
            <w:noWrap/>
            <w:hideMark/>
          </w:tcPr>
          <w:p w14:paraId="76D2D4FC"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6.9 (3.2 - 13.2)</w:t>
            </w:r>
          </w:p>
        </w:tc>
      </w:tr>
      <w:tr w:rsidR="00B20C3A" w:rsidRPr="008B2B2D" w14:paraId="6F8A4A95" w14:textId="77777777" w:rsidTr="00534E10">
        <w:trPr>
          <w:cnfStyle w:val="000000010000" w:firstRow="0" w:lastRow="0" w:firstColumn="0" w:lastColumn="0" w:oddVBand="0" w:evenVBand="0" w:oddHBand="0" w:evenHBand="1"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4" w:type="dxa"/>
            <w:noWrap/>
            <w:hideMark/>
          </w:tcPr>
          <w:p w14:paraId="22768FA3" w14:textId="77777777" w:rsidR="00B20C3A" w:rsidRPr="00DB1242" w:rsidRDefault="00B20C3A" w:rsidP="001E04FB">
            <w:pPr>
              <w:keepNext/>
              <w:spacing w:after="0"/>
              <w:rPr>
                <w:rFonts w:ascii="Cambria Math" w:hAnsi="Cambria Math" w:cs="Avenir Next LT Pro"/>
                <w:noProof/>
                <w:sz w:val="18"/>
                <w:szCs w:val="18"/>
              </w:rPr>
            </w:pPr>
            <w:r w:rsidRPr="00DB1242">
              <w:rPr>
                <w:rFonts w:ascii="Cambria Math" w:hAnsi="Cambria Math" w:cs="Avenir Next LT Pro"/>
                <w:noProof/>
                <w:sz w:val="18"/>
                <w:szCs w:val="18"/>
              </w:rPr>
              <w:t>Estonia</w:t>
            </w:r>
          </w:p>
        </w:tc>
        <w:tc>
          <w:tcPr>
            <w:tcW w:w="0" w:type="dxa"/>
            <w:noWrap/>
            <w:hideMark/>
          </w:tcPr>
          <w:p w14:paraId="39711B69" w14:textId="77777777" w:rsidR="00B20C3A" w:rsidRPr="00DB1242" w:rsidRDefault="00B20C3A" w:rsidP="001E04FB">
            <w:pPr>
              <w:keepNext/>
              <w:spacing w:after="0"/>
              <w:jc w:val="center"/>
              <w:cnfStyle w:val="000000010000" w:firstRow="0" w:lastRow="0" w:firstColumn="0" w:lastColumn="0" w:oddVBand="0" w:evenVBand="0" w:oddHBand="0" w:evenHBand="1"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27.2</w:t>
            </w:r>
          </w:p>
        </w:tc>
        <w:tc>
          <w:tcPr>
            <w:tcW w:w="0" w:type="dxa"/>
            <w:noWrap/>
            <w:hideMark/>
          </w:tcPr>
          <w:p w14:paraId="433551A7" w14:textId="77777777" w:rsidR="00B20C3A" w:rsidRPr="00DB1242" w:rsidRDefault="00B20C3A" w:rsidP="001E04FB">
            <w:pPr>
              <w:keepNext/>
              <w:spacing w:after="0"/>
              <w:jc w:val="center"/>
              <w:cnfStyle w:val="000000010000" w:firstRow="0" w:lastRow="0" w:firstColumn="0" w:lastColumn="0" w:oddVBand="0" w:evenVBand="0" w:oddHBand="0" w:evenHBand="1"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14.8</w:t>
            </w:r>
          </w:p>
        </w:tc>
      </w:tr>
      <w:tr w:rsidR="00B20C3A" w:rsidRPr="008B2B2D" w14:paraId="62727E54" w14:textId="77777777" w:rsidTr="00534E1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4" w:type="dxa"/>
            <w:noWrap/>
            <w:hideMark/>
          </w:tcPr>
          <w:p w14:paraId="275C2AF2" w14:textId="77777777" w:rsidR="00B20C3A" w:rsidRPr="00DB1242" w:rsidRDefault="00B20C3A" w:rsidP="001E04FB">
            <w:pPr>
              <w:keepNext/>
              <w:spacing w:after="0"/>
              <w:rPr>
                <w:rFonts w:ascii="Cambria Math" w:hAnsi="Cambria Math" w:cs="Avenir Next LT Pro"/>
                <w:noProof/>
                <w:sz w:val="18"/>
                <w:szCs w:val="18"/>
              </w:rPr>
            </w:pPr>
            <w:r w:rsidRPr="00DB1242">
              <w:rPr>
                <w:rFonts w:ascii="Cambria Math" w:hAnsi="Cambria Math" w:cs="Avenir Next LT Pro"/>
                <w:noProof/>
                <w:sz w:val="18"/>
                <w:szCs w:val="18"/>
              </w:rPr>
              <w:t>Finland</w:t>
            </w:r>
          </w:p>
        </w:tc>
        <w:tc>
          <w:tcPr>
            <w:tcW w:w="0" w:type="dxa"/>
            <w:noWrap/>
            <w:hideMark/>
          </w:tcPr>
          <w:p w14:paraId="15E84049"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16.9 (2.1 - 22.1)</w:t>
            </w:r>
          </w:p>
        </w:tc>
        <w:tc>
          <w:tcPr>
            <w:tcW w:w="0" w:type="dxa"/>
            <w:noWrap/>
            <w:hideMark/>
          </w:tcPr>
          <w:p w14:paraId="09F6F71B"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11.6 (1 - 13.8)</w:t>
            </w:r>
          </w:p>
        </w:tc>
      </w:tr>
      <w:tr w:rsidR="00B20C3A" w:rsidRPr="008B2B2D" w14:paraId="3A8AF139" w14:textId="77777777" w:rsidTr="00534E10">
        <w:trPr>
          <w:cnfStyle w:val="000000010000" w:firstRow="0" w:lastRow="0" w:firstColumn="0" w:lastColumn="0" w:oddVBand="0" w:evenVBand="0" w:oddHBand="0" w:evenHBand="1"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4" w:type="dxa"/>
            <w:noWrap/>
            <w:hideMark/>
          </w:tcPr>
          <w:p w14:paraId="5D654D35" w14:textId="77777777" w:rsidR="00B20C3A" w:rsidRPr="00DB1242" w:rsidRDefault="00B20C3A" w:rsidP="001E04FB">
            <w:pPr>
              <w:keepNext/>
              <w:spacing w:after="0"/>
              <w:rPr>
                <w:rFonts w:ascii="Cambria Math" w:hAnsi="Cambria Math" w:cs="Avenir Next LT Pro"/>
                <w:noProof/>
                <w:sz w:val="18"/>
                <w:szCs w:val="18"/>
              </w:rPr>
            </w:pPr>
            <w:r w:rsidRPr="00DB1242">
              <w:rPr>
                <w:rFonts w:ascii="Cambria Math" w:hAnsi="Cambria Math" w:cs="Avenir Next LT Pro"/>
                <w:noProof/>
                <w:sz w:val="18"/>
                <w:szCs w:val="18"/>
              </w:rPr>
              <w:t>France</w:t>
            </w:r>
          </w:p>
        </w:tc>
        <w:tc>
          <w:tcPr>
            <w:tcW w:w="0" w:type="dxa"/>
            <w:noWrap/>
            <w:hideMark/>
          </w:tcPr>
          <w:p w14:paraId="124FCB4A" w14:textId="77777777" w:rsidR="00B20C3A" w:rsidRPr="00DB1242" w:rsidRDefault="00B20C3A" w:rsidP="001E04FB">
            <w:pPr>
              <w:keepNext/>
              <w:spacing w:after="0"/>
              <w:jc w:val="center"/>
              <w:cnfStyle w:val="000000010000" w:firstRow="0" w:lastRow="0" w:firstColumn="0" w:lastColumn="0" w:oddVBand="0" w:evenVBand="0" w:oddHBand="0" w:evenHBand="1"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9.6 (0.1 - 33.2)</w:t>
            </w:r>
          </w:p>
        </w:tc>
        <w:tc>
          <w:tcPr>
            <w:tcW w:w="0" w:type="dxa"/>
            <w:noWrap/>
            <w:hideMark/>
          </w:tcPr>
          <w:p w14:paraId="1A3691FA" w14:textId="77777777" w:rsidR="00B20C3A" w:rsidRPr="00DB1242" w:rsidRDefault="00B20C3A" w:rsidP="001E04FB">
            <w:pPr>
              <w:keepNext/>
              <w:spacing w:after="0"/>
              <w:jc w:val="center"/>
              <w:cnfStyle w:val="000000010000" w:firstRow="0" w:lastRow="0" w:firstColumn="0" w:lastColumn="0" w:oddVBand="0" w:evenVBand="0" w:oddHBand="0" w:evenHBand="1"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6.3 (0.1 - 21.6)</w:t>
            </w:r>
          </w:p>
        </w:tc>
      </w:tr>
      <w:tr w:rsidR="00B20C3A" w:rsidRPr="008B2B2D" w14:paraId="6D339D5C" w14:textId="77777777" w:rsidTr="00534E1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4" w:type="dxa"/>
            <w:noWrap/>
            <w:hideMark/>
          </w:tcPr>
          <w:p w14:paraId="7F54E388" w14:textId="77777777" w:rsidR="00B20C3A" w:rsidRPr="00DB1242" w:rsidRDefault="00B20C3A" w:rsidP="001E04FB">
            <w:pPr>
              <w:keepNext/>
              <w:spacing w:after="0"/>
              <w:rPr>
                <w:rFonts w:ascii="Cambria Math" w:hAnsi="Cambria Math" w:cs="Avenir Next LT Pro"/>
                <w:noProof/>
                <w:sz w:val="18"/>
                <w:szCs w:val="18"/>
              </w:rPr>
            </w:pPr>
            <w:r w:rsidRPr="00DB1242">
              <w:rPr>
                <w:rFonts w:ascii="Cambria Math" w:hAnsi="Cambria Math" w:cs="Avenir Next LT Pro"/>
                <w:noProof/>
                <w:sz w:val="18"/>
                <w:szCs w:val="18"/>
              </w:rPr>
              <w:t>Germany</w:t>
            </w:r>
          </w:p>
        </w:tc>
        <w:tc>
          <w:tcPr>
            <w:tcW w:w="0" w:type="dxa"/>
            <w:noWrap/>
            <w:hideMark/>
          </w:tcPr>
          <w:p w14:paraId="76A9D1B6"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15.5 (6.5 - 30.6)</w:t>
            </w:r>
          </w:p>
        </w:tc>
        <w:tc>
          <w:tcPr>
            <w:tcW w:w="0" w:type="dxa"/>
            <w:noWrap/>
            <w:hideMark/>
          </w:tcPr>
          <w:p w14:paraId="6BDF3650"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9.3 (4.7 - 19.7)</w:t>
            </w:r>
          </w:p>
        </w:tc>
      </w:tr>
      <w:tr w:rsidR="00B20C3A" w:rsidRPr="008B2B2D" w14:paraId="209B9583" w14:textId="77777777" w:rsidTr="00534E10">
        <w:trPr>
          <w:cnfStyle w:val="000000010000" w:firstRow="0" w:lastRow="0" w:firstColumn="0" w:lastColumn="0" w:oddVBand="0" w:evenVBand="0" w:oddHBand="0" w:evenHBand="1"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4" w:type="dxa"/>
            <w:noWrap/>
            <w:hideMark/>
          </w:tcPr>
          <w:p w14:paraId="7028CDD3" w14:textId="77777777" w:rsidR="00B20C3A" w:rsidRPr="00DB1242" w:rsidRDefault="00B20C3A" w:rsidP="001E04FB">
            <w:pPr>
              <w:keepNext/>
              <w:spacing w:after="0"/>
              <w:rPr>
                <w:rFonts w:ascii="Cambria Math" w:hAnsi="Cambria Math" w:cs="Avenir Next LT Pro"/>
                <w:noProof/>
                <w:sz w:val="18"/>
                <w:szCs w:val="18"/>
              </w:rPr>
            </w:pPr>
            <w:r w:rsidRPr="00DB1242">
              <w:rPr>
                <w:rFonts w:ascii="Cambria Math" w:hAnsi="Cambria Math" w:cs="Avenir Next LT Pro"/>
                <w:noProof/>
                <w:sz w:val="18"/>
                <w:szCs w:val="18"/>
              </w:rPr>
              <w:t>Greece</w:t>
            </w:r>
          </w:p>
        </w:tc>
        <w:tc>
          <w:tcPr>
            <w:tcW w:w="0" w:type="dxa"/>
            <w:noWrap/>
            <w:hideMark/>
          </w:tcPr>
          <w:p w14:paraId="686D1E26" w14:textId="77777777" w:rsidR="00B20C3A" w:rsidRPr="00DB1242" w:rsidRDefault="00B20C3A" w:rsidP="001E04FB">
            <w:pPr>
              <w:keepNext/>
              <w:spacing w:after="0"/>
              <w:jc w:val="center"/>
              <w:cnfStyle w:val="000000010000" w:firstRow="0" w:lastRow="0" w:firstColumn="0" w:lastColumn="0" w:oddVBand="0" w:evenVBand="0" w:oddHBand="0" w:evenHBand="1"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9.6 (3.7 - 101.2)</w:t>
            </w:r>
          </w:p>
        </w:tc>
        <w:tc>
          <w:tcPr>
            <w:tcW w:w="0" w:type="dxa"/>
            <w:noWrap/>
            <w:hideMark/>
          </w:tcPr>
          <w:p w14:paraId="3D2A7371" w14:textId="77777777" w:rsidR="00B20C3A" w:rsidRPr="00DB1242" w:rsidRDefault="00B20C3A" w:rsidP="001E04FB">
            <w:pPr>
              <w:keepNext/>
              <w:spacing w:after="0"/>
              <w:jc w:val="center"/>
              <w:cnfStyle w:val="000000010000" w:firstRow="0" w:lastRow="0" w:firstColumn="0" w:lastColumn="0" w:oddVBand="0" w:evenVBand="0" w:oddHBand="0" w:evenHBand="1"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6.7 (3.8 - 33.4)</w:t>
            </w:r>
          </w:p>
        </w:tc>
      </w:tr>
      <w:tr w:rsidR="00B20C3A" w:rsidRPr="008B2B2D" w14:paraId="15D89C84" w14:textId="77777777" w:rsidTr="00534E1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4" w:type="dxa"/>
            <w:noWrap/>
            <w:hideMark/>
          </w:tcPr>
          <w:p w14:paraId="0BC385CE" w14:textId="77777777" w:rsidR="00B20C3A" w:rsidRPr="00DB1242" w:rsidRDefault="00B20C3A" w:rsidP="001E04FB">
            <w:pPr>
              <w:keepNext/>
              <w:spacing w:after="0"/>
              <w:rPr>
                <w:rFonts w:ascii="Cambria Math" w:hAnsi="Cambria Math" w:cs="Avenir Next LT Pro"/>
                <w:noProof/>
                <w:sz w:val="18"/>
                <w:szCs w:val="18"/>
              </w:rPr>
            </w:pPr>
            <w:r w:rsidRPr="00DB1242">
              <w:rPr>
                <w:rFonts w:ascii="Cambria Math" w:hAnsi="Cambria Math" w:cs="Avenir Next LT Pro"/>
                <w:noProof/>
                <w:sz w:val="18"/>
                <w:szCs w:val="18"/>
              </w:rPr>
              <w:t>Hungary</w:t>
            </w:r>
          </w:p>
        </w:tc>
        <w:tc>
          <w:tcPr>
            <w:tcW w:w="0" w:type="dxa"/>
            <w:noWrap/>
            <w:hideMark/>
          </w:tcPr>
          <w:p w14:paraId="66F0E0B0"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9.3 (2.9 - 20)</w:t>
            </w:r>
          </w:p>
        </w:tc>
        <w:tc>
          <w:tcPr>
            <w:tcW w:w="0" w:type="dxa"/>
            <w:noWrap/>
            <w:hideMark/>
          </w:tcPr>
          <w:p w14:paraId="41E8AA43"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7.1 (4.5 - 11.7)</w:t>
            </w:r>
          </w:p>
        </w:tc>
      </w:tr>
      <w:tr w:rsidR="00B20C3A" w:rsidRPr="008B2B2D" w14:paraId="76C3F5A6" w14:textId="77777777" w:rsidTr="00534E10">
        <w:trPr>
          <w:cnfStyle w:val="000000010000" w:firstRow="0" w:lastRow="0" w:firstColumn="0" w:lastColumn="0" w:oddVBand="0" w:evenVBand="0" w:oddHBand="0" w:evenHBand="1"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4" w:type="dxa"/>
            <w:noWrap/>
            <w:hideMark/>
          </w:tcPr>
          <w:p w14:paraId="31F93511" w14:textId="77777777" w:rsidR="00B20C3A" w:rsidRPr="00DB1242" w:rsidRDefault="00B20C3A" w:rsidP="001E04FB">
            <w:pPr>
              <w:keepNext/>
              <w:spacing w:after="0"/>
              <w:rPr>
                <w:rFonts w:ascii="Cambria Math" w:hAnsi="Cambria Math" w:cs="Avenir Next LT Pro"/>
                <w:noProof/>
                <w:sz w:val="18"/>
                <w:szCs w:val="18"/>
              </w:rPr>
            </w:pPr>
            <w:r w:rsidRPr="00DB1242">
              <w:rPr>
                <w:rFonts w:ascii="Cambria Math" w:hAnsi="Cambria Math" w:cs="Avenir Next LT Pro"/>
                <w:noProof/>
                <w:sz w:val="18"/>
                <w:szCs w:val="18"/>
              </w:rPr>
              <w:t>Ireland</w:t>
            </w:r>
          </w:p>
        </w:tc>
        <w:tc>
          <w:tcPr>
            <w:tcW w:w="0" w:type="dxa"/>
            <w:noWrap/>
            <w:hideMark/>
          </w:tcPr>
          <w:p w14:paraId="4075A119" w14:textId="77777777" w:rsidR="00B20C3A" w:rsidRPr="00DB1242" w:rsidRDefault="00B20C3A" w:rsidP="001E04FB">
            <w:pPr>
              <w:keepNext/>
              <w:spacing w:after="0"/>
              <w:jc w:val="center"/>
              <w:cnfStyle w:val="000000010000" w:firstRow="0" w:lastRow="0" w:firstColumn="0" w:lastColumn="0" w:oddVBand="0" w:evenVBand="0" w:oddHBand="0" w:evenHBand="1"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16.5 (10.8 - 23.5)</w:t>
            </w:r>
          </w:p>
        </w:tc>
        <w:tc>
          <w:tcPr>
            <w:tcW w:w="0" w:type="dxa"/>
            <w:noWrap/>
            <w:hideMark/>
          </w:tcPr>
          <w:p w14:paraId="7BB20057" w14:textId="77777777" w:rsidR="00B20C3A" w:rsidRPr="00DB1242" w:rsidRDefault="00B20C3A" w:rsidP="001E04FB">
            <w:pPr>
              <w:keepNext/>
              <w:spacing w:after="0"/>
              <w:jc w:val="center"/>
              <w:cnfStyle w:val="000000010000" w:firstRow="0" w:lastRow="0" w:firstColumn="0" w:lastColumn="0" w:oddVBand="0" w:evenVBand="0" w:oddHBand="0" w:evenHBand="1"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12.4 (8.7 - 16.4)</w:t>
            </w:r>
          </w:p>
        </w:tc>
      </w:tr>
      <w:tr w:rsidR="00B20C3A" w:rsidRPr="008B2B2D" w14:paraId="7D8F55BA" w14:textId="77777777" w:rsidTr="00534E1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4" w:type="dxa"/>
            <w:noWrap/>
            <w:hideMark/>
          </w:tcPr>
          <w:p w14:paraId="56B3DECF" w14:textId="77777777" w:rsidR="00B20C3A" w:rsidRPr="00DB1242" w:rsidRDefault="00B20C3A" w:rsidP="001E04FB">
            <w:pPr>
              <w:keepNext/>
              <w:spacing w:after="0"/>
              <w:rPr>
                <w:rFonts w:ascii="Cambria Math" w:hAnsi="Cambria Math" w:cs="Avenir Next LT Pro"/>
                <w:noProof/>
                <w:sz w:val="18"/>
                <w:szCs w:val="18"/>
              </w:rPr>
            </w:pPr>
            <w:r w:rsidRPr="00DB1242">
              <w:rPr>
                <w:rFonts w:ascii="Cambria Math" w:hAnsi="Cambria Math" w:cs="Avenir Next LT Pro"/>
                <w:noProof/>
                <w:sz w:val="18"/>
                <w:szCs w:val="18"/>
              </w:rPr>
              <w:t>Italy</w:t>
            </w:r>
          </w:p>
        </w:tc>
        <w:tc>
          <w:tcPr>
            <w:tcW w:w="0" w:type="dxa"/>
            <w:noWrap/>
            <w:hideMark/>
          </w:tcPr>
          <w:p w14:paraId="4D778EA1"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9.3 (4.9 - 16.8)</w:t>
            </w:r>
          </w:p>
        </w:tc>
        <w:tc>
          <w:tcPr>
            <w:tcW w:w="0" w:type="dxa"/>
            <w:noWrap/>
            <w:hideMark/>
          </w:tcPr>
          <w:p w14:paraId="7EA791BF"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6.6 (4.1 - 13.3)</w:t>
            </w:r>
          </w:p>
        </w:tc>
      </w:tr>
      <w:tr w:rsidR="00B20C3A" w:rsidRPr="008B2B2D" w14:paraId="6ABED3F4" w14:textId="77777777" w:rsidTr="00534E10">
        <w:trPr>
          <w:cnfStyle w:val="000000010000" w:firstRow="0" w:lastRow="0" w:firstColumn="0" w:lastColumn="0" w:oddVBand="0" w:evenVBand="0" w:oddHBand="0" w:evenHBand="1"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4" w:type="dxa"/>
            <w:noWrap/>
            <w:hideMark/>
          </w:tcPr>
          <w:p w14:paraId="7ED8BED2" w14:textId="77777777" w:rsidR="00B20C3A" w:rsidRPr="00DB1242" w:rsidRDefault="00B20C3A" w:rsidP="001E04FB">
            <w:pPr>
              <w:keepNext/>
              <w:spacing w:after="0"/>
              <w:rPr>
                <w:rFonts w:ascii="Cambria Math" w:hAnsi="Cambria Math" w:cs="Avenir Next LT Pro"/>
                <w:noProof/>
                <w:sz w:val="18"/>
                <w:szCs w:val="18"/>
              </w:rPr>
            </w:pPr>
            <w:r w:rsidRPr="00DB1242">
              <w:rPr>
                <w:rFonts w:ascii="Cambria Math" w:hAnsi="Cambria Math" w:cs="Avenir Next LT Pro"/>
                <w:noProof/>
                <w:sz w:val="18"/>
                <w:szCs w:val="18"/>
              </w:rPr>
              <w:t>Latvia</w:t>
            </w:r>
          </w:p>
        </w:tc>
        <w:tc>
          <w:tcPr>
            <w:tcW w:w="0" w:type="dxa"/>
            <w:noWrap/>
            <w:hideMark/>
          </w:tcPr>
          <w:p w14:paraId="5C1D810A" w14:textId="77777777" w:rsidR="00B20C3A" w:rsidRPr="00DB1242" w:rsidRDefault="00B20C3A" w:rsidP="001E04FB">
            <w:pPr>
              <w:keepNext/>
              <w:spacing w:after="0"/>
              <w:jc w:val="center"/>
              <w:cnfStyle w:val="000000010000" w:firstRow="0" w:lastRow="0" w:firstColumn="0" w:lastColumn="0" w:oddVBand="0" w:evenVBand="0" w:oddHBand="0" w:evenHBand="1"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10.5</w:t>
            </w:r>
          </w:p>
        </w:tc>
        <w:tc>
          <w:tcPr>
            <w:tcW w:w="0" w:type="dxa"/>
            <w:noWrap/>
            <w:hideMark/>
          </w:tcPr>
          <w:p w14:paraId="72EC351F" w14:textId="77777777" w:rsidR="00B20C3A" w:rsidRPr="00DB1242" w:rsidRDefault="00B20C3A" w:rsidP="001E04FB">
            <w:pPr>
              <w:keepNext/>
              <w:spacing w:after="0"/>
              <w:jc w:val="center"/>
              <w:cnfStyle w:val="000000010000" w:firstRow="0" w:lastRow="0" w:firstColumn="0" w:lastColumn="0" w:oddVBand="0" w:evenVBand="0" w:oddHBand="0" w:evenHBand="1"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6.2</w:t>
            </w:r>
          </w:p>
        </w:tc>
      </w:tr>
      <w:tr w:rsidR="00B20C3A" w:rsidRPr="008B2B2D" w14:paraId="62188AC8" w14:textId="77777777" w:rsidTr="00534E1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4" w:type="dxa"/>
            <w:noWrap/>
            <w:hideMark/>
          </w:tcPr>
          <w:p w14:paraId="35D634D9" w14:textId="77777777" w:rsidR="00B20C3A" w:rsidRPr="00DB1242" w:rsidRDefault="00B20C3A" w:rsidP="001E04FB">
            <w:pPr>
              <w:keepNext/>
              <w:spacing w:after="0"/>
              <w:rPr>
                <w:rFonts w:ascii="Cambria Math" w:hAnsi="Cambria Math" w:cs="Avenir Next LT Pro"/>
                <w:noProof/>
                <w:sz w:val="18"/>
                <w:szCs w:val="18"/>
              </w:rPr>
            </w:pPr>
            <w:r w:rsidRPr="00DB1242">
              <w:rPr>
                <w:rFonts w:ascii="Cambria Math" w:hAnsi="Cambria Math" w:cs="Avenir Next LT Pro"/>
                <w:noProof/>
                <w:sz w:val="18"/>
                <w:szCs w:val="18"/>
              </w:rPr>
              <w:t>Lithuania</w:t>
            </w:r>
          </w:p>
        </w:tc>
        <w:tc>
          <w:tcPr>
            <w:tcW w:w="0" w:type="dxa"/>
            <w:noWrap/>
            <w:hideMark/>
          </w:tcPr>
          <w:p w14:paraId="75B63050"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12.9 (11.9 - 15.7)</w:t>
            </w:r>
          </w:p>
        </w:tc>
        <w:tc>
          <w:tcPr>
            <w:tcW w:w="0" w:type="dxa"/>
            <w:noWrap/>
            <w:hideMark/>
          </w:tcPr>
          <w:p w14:paraId="696851D7"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8.4 (5.2 - 9.7)</w:t>
            </w:r>
          </w:p>
        </w:tc>
      </w:tr>
      <w:tr w:rsidR="00B20C3A" w:rsidRPr="008B2B2D" w14:paraId="2FEC3CB8" w14:textId="77777777" w:rsidTr="00534E10">
        <w:trPr>
          <w:cnfStyle w:val="000000010000" w:firstRow="0" w:lastRow="0" w:firstColumn="0" w:lastColumn="0" w:oddVBand="0" w:evenVBand="0" w:oddHBand="0" w:evenHBand="1"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4" w:type="dxa"/>
            <w:noWrap/>
            <w:hideMark/>
          </w:tcPr>
          <w:p w14:paraId="62910727" w14:textId="77777777" w:rsidR="00B20C3A" w:rsidRPr="00DB1242" w:rsidRDefault="00B20C3A" w:rsidP="001E04FB">
            <w:pPr>
              <w:keepNext/>
              <w:spacing w:after="0"/>
              <w:rPr>
                <w:rFonts w:ascii="Cambria Math" w:hAnsi="Cambria Math" w:cs="Avenir Next LT Pro"/>
                <w:noProof/>
                <w:sz w:val="18"/>
                <w:szCs w:val="18"/>
              </w:rPr>
            </w:pPr>
            <w:r w:rsidRPr="00DB1242">
              <w:rPr>
                <w:rFonts w:ascii="Cambria Math" w:hAnsi="Cambria Math" w:cs="Avenir Next LT Pro"/>
                <w:noProof/>
                <w:sz w:val="18"/>
                <w:szCs w:val="18"/>
              </w:rPr>
              <w:t>Luxembourg</w:t>
            </w:r>
          </w:p>
        </w:tc>
        <w:tc>
          <w:tcPr>
            <w:tcW w:w="0" w:type="dxa"/>
            <w:noWrap/>
            <w:hideMark/>
          </w:tcPr>
          <w:p w14:paraId="70CC3D9B" w14:textId="77777777" w:rsidR="00B20C3A" w:rsidRPr="00DB1242" w:rsidRDefault="00B20C3A" w:rsidP="001E04FB">
            <w:pPr>
              <w:keepNext/>
              <w:spacing w:after="0"/>
              <w:jc w:val="center"/>
              <w:cnfStyle w:val="000000010000" w:firstRow="0" w:lastRow="0" w:firstColumn="0" w:lastColumn="0" w:oddVBand="0" w:evenVBand="0" w:oddHBand="0" w:evenHBand="1"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33.5</w:t>
            </w:r>
          </w:p>
        </w:tc>
        <w:tc>
          <w:tcPr>
            <w:tcW w:w="0" w:type="dxa"/>
            <w:noWrap/>
            <w:hideMark/>
          </w:tcPr>
          <w:p w14:paraId="6664465D" w14:textId="77777777" w:rsidR="00B20C3A" w:rsidRPr="00DB1242" w:rsidRDefault="00B20C3A" w:rsidP="001E04FB">
            <w:pPr>
              <w:keepNext/>
              <w:spacing w:after="0"/>
              <w:jc w:val="center"/>
              <w:cnfStyle w:val="000000010000" w:firstRow="0" w:lastRow="0" w:firstColumn="0" w:lastColumn="0" w:oddVBand="0" w:evenVBand="0" w:oddHBand="0" w:evenHBand="1"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14.7</w:t>
            </w:r>
          </w:p>
        </w:tc>
      </w:tr>
      <w:tr w:rsidR="00B20C3A" w:rsidRPr="008B2B2D" w14:paraId="51484D6A" w14:textId="77777777" w:rsidTr="00534E1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4" w:type="dxa"/>
            <w:noWrap/>
            <w:hideMark/>
          </w:tcPr>
          <w:p w14:paraId="14E23E01" w14:textId="77777777" w:rsidR="00B20C3A" w:rsidRPr="00DB1242" w:rsidRDefault="00B20C3A" w:rsidP="001E04FB">
            <w:pPr>
              <w:keepNext/>
              <w:spacing w:after="0"/>
              <w:rPr>
                <w:rFonts w:ascii="Cambria Math" w:hAnsi="Cambria Math" w:cs="Avenir Next LT Pro"/>
                <w:noProof/>
                <w:sz w:val="18"/>
                <w:szCs w:val="18"/>
              </w:rPr>
            </w:pPr>
            <w:r w:rsidRPr="00DB1242">
              <w:rPr>
                <w:rFonts w:ascii="Cambria Math" w:hAnsi="Cambria Math" w:cs="Avenir Next LT Pro"/>
                <w:noProof/>
                <w:sz w:val="18"/>
                <w:szCs w:val="18"/>
              </w:rPr>
              <w:t>Malta</w:t>
            </w:r>
          </w:p>
        </w:tc>
        <w:tc>
          <w:tcPr>
            <w:tcW w:w="0" w:type="dxa"/>
            <w:noWrap/>
            <w:hideMark/>
          </w:tcPr>
          <w:p w14:paraId="46717A10"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7.1</w:t>
            </w:r>
          </w:p>
        </w:tc>
        <w:tc>
          <w:tcPr>
            <w:tcW w:w="0" w:type="dxa"/>
            <w:noWrap/>
            <w:hideMark/>
          </w:tcPr>
          <w:p w14:paraId="0A649F84"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4.2</w:t>
            </w:r>
          </w:p>
        </w:tc>
      </w:tr>
      <w:tr w:rsidR="00B20C3A" w:rsidRPr="008B2B2D" w14:paraId="0FD5CA4E" w14:textId="77777777" w:rsidTr="00534E10">
        <w:trPr>
          <w:cnfStyle w:val="000000010000" w:firstRow="0" w:lastRow="0" w:firstColumn="0" w:lastColumn="0" w:oddVBand="0" w:evenVBand="0" w:oddHBand="0" w:evenHBand="1"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4" w:type="dxa"/>
            <w:noWrap/>
            <w:hideMark/>
          </w:tcPr>
          <w:p w14:paraId="5DCEB9C4" w14:textId="77777777" w:rsidR="00B20C3A" w:rsidRPr="00DB1242" w:rsidRDefault="00B20C3A" w:rsidP="001E04FB">
            <w:pPr>
              <w:keepNext/>
              <w:spacing w:after="0"/>
              <w:rPr>
                <w:rFonts w:ascii="Cambria Math" w:hAnsi="Cambria Math" w:cs="Avenir Next LT Pro"/>
                <w:noProof/>
                <w:sz w:val="18"/>
                <w:szCs w:val="18"/>
              </w:rPr>
            </w:pPr>
            <w:r w:rsidRPr="00DB1242">
              <w:rPr>
                <w:rFonts w:ascii="Cambria Math" w:hAnsi="Cambria Math" w:cs="Avenir Next LT Pro"/>
                <w:noProof/>
                <w:sz w:val="18"/>
                <w:szCs w:val="18"/>
              </w:rPr>
              <w:t>Netherlands</w:t>
            </w:r>
          </w:p>
        </w:tc>
        <w:tc>
          <w:tcPr>
            <w:tcW w:w="0" w:type="dxa"/>
            <w:noWrap/>
            <w:hideMark/>
          </w:tcPr>
          <w:p w14:paraId="5EB9815F" w14:textId="77777777" w:rsidR="00B20C3A" w:rsidRPr="00DB1242" w:rsidRDefault="00B20C3A" w:rsidP="001E04FB">
            <w:pPr>
              <w:keepNext/>
              <w:spacing w:after="0"/>
              <w:jc w:val="center"/>
              <w:cnfStyle w:val="000000010000" w:firstRow="0" w:lastRow="0" w:firstColumn="0" w:lastColumn="0" w:oddVBand="0" w:evenVBand="0" w:oddHBand="0" w:evenHBand="1"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16.3 (10.4 - 64.2)</w:t>
            </w:r>
          </w:p>
        </w:tc>
        <w:tc>
          <w:tcPr>
            <w:tcW w:w="0" w:type="dxa"/>
            <w:noWrap/>
            <w:hideMark/>
          </w:tcPr>
          <w:p w14:paraId="0DA50C4E" w14:textId="77777777" w:rsidR="00B20C3A" w:rsidRPr="00DB1242" w:rsidRDefault="00B20C3A" w:rsidP="001E04FB">
            <w:pPr>
              <w:keepNext/>
              <w:spacing w:after="0"/>
              <w:jc w:val="center"/>
              <w:cnfStyle w:val="000000010000" w:firstRow="0" w:lastRow="0" w:firstColumn="0" w:lastColumn="0" w:oddVBand="0" w:evenVBand="0" w:oddHBand="0" w:evenHBand="1"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11.1 (5.8 - 35.2)</w:t>
            </w:r>
          </w:p>
        </w:tc>
      </w:tr>
      <w:tr w:rsidR="00B20C3A" w:rsidRPr="008B2B2D" w14:paraId="0FF85F2C" w14:textId="77777777" w:rsidTr="00534E1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4" w:type="dxa"/>
            <w:noWrap/>
            <w:hideMark/>
          </w:tcPr>
          <w:p w14:paraId="17BECE22" w14:textId="77777777" w:rsidR="00B20C3A" w:rsidRPr="00DB1242" w:rsidRDefault="00B20C3A" w:rsidP="001E04FB">
            <w:pPr>
              <w:keepNext/>
              <w:spacing w:after="0"/>
              <w:rPr>
                <w:rFonts w:ascii="Cambria Math" w:hAnsi="Cambria Math" w:cs="Avenir Next LT Pro"/>
                <w:noProof/>
                <w:sz w:val="18"/>
                <w:szCs w:val="18"/>
              </w:rPr>
            </w:pPr>
            <w:r w:rsidRPr="00DB1242">
              <w:rPr>
                <w:rFonts w:ascii="Cambria Math" w:hAnsi="Cambria Math" w:cs="Avenir Next LT Pro"/>
                <w:noProof/>
                <w:sz w:val="18"/>
                <w:szCs w:val="18"/>
              </w:rPr>
              <w:t>Poland</w:t>
            </w:r>
          </w:p>
        </w:tc>
        <w:tc>
          <w:tcPr>
            <w:tcW w:w="0" w:type="dxa"/>
            <w:noWrap/>
            <w:hideMark/>
          </w:tcPr>
          <w:p w14:paraId="0DF69FE2"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13.6 (5.2 - 28.2)</w:t>
            </w:r>
          </w:p>
        </w:tc>
        <w:tc>
          <w:tcPr>
            <w:tcW w:w="0" w:type="dxa"/>
            <w:noWrap/>
            <w:hideMark/>
          </w:tcPr>
          <w:p w14:paraId="4960570D"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11 (4.6 - 22.8)</w:t>
            </w:r>
          </w:p>
        </w:tc>
      </w:tr>
      <w:tr w:rsidR="00B20C3A" w:rsidRPr="008B2B2D" w14:paraId="6F6D91EE" w14:textId="77777777" w:rsidTr="00534E10">
        <w:trPr>
          <w:cnfStyle w:val="000000010000" w:firstRow="0" w:lastRow="0" w:firstColumn="0" w:lastColumn="0" w:oddVBand="0" w:evenVBand="0" w:oddHBand="0" w:evenHBand="1"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4" w:type="dxa"/>
            <w:noWrap/>
            <w:hideMark/>
          </w:tcPr>
          <w:p w14:paraId="4667DF78" w14:textId="77777777" w:rsidR="00B20C3A" w:rsidRPr="00DB1242" w:rsidRDefault="00B20C3A" w:rsidP="001E04FB">
            <w:pPr>
              <w:keepNext/>
              <w:spacing w:after="0"/>
              <w:rPr>
                <w:rFonts w:ascii="Cambria Math" w:hAnsi="Cambria Math" w:cs="Avenir Next LT Pro"/>
                <w:noProof/>
                <w:sz w:val="18"/>
                <w:szCs w:val="18"/>
              </w:rPr>
            </w:pPr>
            <w:r w:rsidRPr="00DB1242">
              <w:rPr>
                <w:rFonts w:ascii="Cambria Math" w:hAnsi="Cambria Math" w:cs="Avenir Next LT Pro"/>
                <w:noProof/>
                <w:sz w:val="18"/>
                <w:szCs w:val="18"/>
              </w:rPr>
              <w:t>Portugal</w:t>
            </w:r>
          </w:p>
        </w:tc>
        <w:tc>
          <w:tcPr>
            <w:tcW w:w="0" w:type="dxa"/>
            <w:noWrap/>
            <w:hideMark/>
          </w:tcPr>
          <w:p w14:paraId="19F4D92F" w14:textId="77777777" w:rsidR="00B20C3A" w:rsidRPr="00DB1242" w:rsidRDefault="00B20C3A" w:rsidP="001E04FB">
            <w:pPr>
              <w:keepNext/>
              <w:spacing w:after="0"/>
              <w:jc w:val="center"/>
              <w:cnfStyle w:val="000000010000" w:firstRow="0" w:lastRow="0" w:firstColumn="0" w:lastColumn="0" w:oddVBand="0" w:evenVBand="0" w:oddHBand="0" w:evenHBand="1"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5.9 (2.1 - 24.8)</w:t>
            </w:r>
          </w:p>
        </w:tc>
        <w:tc>
          <w:tcPr>
            <w:tcW w:w="0" w:type="dxa"/>
            <w:noWrap/>
            <w:hideMark/>
          </w:tcPr>
          <w:p w14:paraId="613CAAB3" w14:textId="77777777" w:rsidR="00B20C3A" w:rsidRPr="00DB1242" w:rsidRDefault="00B20C3A" w:rsidP="001E04FB">
            <w:pPr>
              <w:keepNext/>
              <w:spacing w:after="0"/>
              <w:jc w:val="center"/>
              <w:cnfStyle w:val="000000010000" w:firstRow="0" w:lastRow="0" w:firstColumn="0" w:lastColumn="0" w:oddVBand="0" w:evenVBand="0" w:oddHBand="0" w:evenHBand="1"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5.4 (2.5 - 15)</w:t>
            </w:r>
          </w:p>
        </w:tc>
      </w:tr>
      <w:tr w:rsidR="00B20C3A" w:rsidRPr="008B2B2D" w14:paraId="359DB06A" w14:textId="77777777" w:rsidTr="00534E1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4" w:type="dxa"/>
            <w:noWrap/>
            <w:hideMark/>
          </w:tcPr>
          <w:p w14:paraId="59844FCB" w14:textId="77777777" w:rsidR="00B20C3A" w:rsidRPr="00DB1242" w:rsidRDefault="00B20C3A" w:rsidP="001E04FB">
            <w:pPr>
              <w:keepNext/>
              <w:spacing w:after="0"/>
              <w:rPr>
                <w:rFonts w:ascii="Cambria Math" w:hAnsi="Cambria Math" w:cs="Avenir Next LT Pro"/>
                <w:noProof/>
                <w:sz w:val="18"/>
                <w:szCs w:val="18"/>
              </w:rPr>
            </w:pPr>
            <w:r w:rsidRPr="00DB1242">
              <w:rPr>
                <w:rFonts w:ascii="Cambria Math" w:hAnsi="Cambria Math" w:cs="Avenir Next LT Pro"/>
                <w:noProof/>
                <w:sz w:val="18"/>
                <w:szCs w:val="18"/>
              </w:rPr>
              <w:t>Romania</w:t>
            </w:r>
          </w:p>
        </w:tc>
        <w:tc>
          <w:tcPr>
            <w:tcW w:w="0" w:type="dxa"/>
            <w:noWrap/>
            <w:hideMark/>
          </w:tcPr>
          <w:p w14:paraId="43F61429"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10.1 (5.3 - 17.1)</w:t>
            </w:r>
          </w:p>
        </w:tc>
        <w:tc>
          <w:tcPr>
            <w:tcW w:w="0" w:type="dxa"/>
            <w:noWrap/>
            <w:hideMark/>
          </w:tcPr>
          <w:p w14:paraId="52703492"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6.2 (2.9 - 10.4)</w:t>
            </w:r>
          </w:p>
        </w:tc>
      </w:tr>
      <w:tr w:rsidR="00B20C3A" w:rsidRPr="008B2B2D" w14:paraId="4497479B" w14:textId="77777777" w:rsidTr="00534E10">
        <w:trPr>
          <w:cnfStyle w:val="000000010000" w:firstRow="0" w:lastRow="0" w:firstColumn="0" w:lastColumn="0" w:oddVBand="0" w:evenVBand="0" w:oddHBand="0" w:evenHBand="1"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4" w:type="dxa"/>
            <w:noWrap/>
            <w:hideMark/>
          </w:tcPr>
          <w:p w14:paraId="7D859125" w14:textId="77777777" w:rsidR="00B20C3A" w:rsidRPr="00DB1242" w:rsidRDefault="00B20C3A" w:rsidP="001E04FB">
            <w:pPr>
              <w:keepNext/>
              <w:spacing w:after="0"/>
              <w:rPr>
                <w:rFonts w:ascii="Cambria Math" w:hAnsi="Cambria Math" w:cs="Avenir Next LT Pro"/>
                <w:noProof/>
                <w:sz w:val="18"/>
                <w:szCs w:val="18"/>
              </w:rPr>
            </w:pPr>
            <w:r w:rsidRPr="00DB1242">
              <w:rPr>
                <w:rFonts w:ascii="Cambria Math" w:hAnsi="Cambria Math" w:cs="Avenir Next LT Pro"/>
                <w:noProof/>
                <w:sz w:val="18"/>
                <w:szCs w:val="18"/>
              </w:rPr>
              <w:t>Slovakia</w:t>
            </w:r>
          </w:p>
        </w:tc>
        <w:tc>
          <w:tcPr>
            <w:tcW w:w="0" w:type="dxa"/>
            <w:noWrap/>
            <w:hideMark/>
          </w:tcPr>
          <w:p w14:paraId="081E32F4" w14:textId="77777777" w:rsidR="00B20C3A" w:rsidRPr="00DB1242" w:rsidRDefault="00B20C3A" w:rsidP="001E04FB">
            <w:pPr>
              <w:keepNext/>
              <w:spacing w:after="0"/>
              <w:jc w:val="center"/>
              <w:cnfStyle w:val="000000010000" w:firstRow="0" w:lastRow="0" w:firstColumn="0" w:lastColumn="0" w:oddVBand="0" w:evenVBand="0" w:oddHBand="0" w:evenHBand="1"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14.2 (10 - 18.9)</w:t>
            </w:r>
          </w:p>
        </w:tc>
        <w:tc>
          <w:tcPr>
            <w:tcW w:w="0" w:type="dxa"/>
            <w:noWrap/>
            <w:hideMark/>
          </w:tcPr>
          <w:p w14:paraId="09956D85" w14:textId="77777777" w:rsidR="00B20C3A" w:rsidRPr="00DB1242" w:rsidRDefault="00B20C3A" w:rsidP="001E04FB">
            <w:pPr>
              <w:keepNext/>
              <w:spacing w:after="0"/>
              <w:jc w:val="center"/>
              <w:cnfStyle w:val="000000010000" w:firstRow="0" w:lastRow="0" w:firstColumn="0" w:lastColumn="0" w:oddVBand="0" w:evenVBand="0" w:oddHBand="0" w:evenHBand="1"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8.8 (6.2 - 11.6)</w:t>
            </w:r>
          </w:p>
        </w:tc>
      </w:tr>
      <w:tr w:rsidR="00B20C3A" w:rsidRPr="008B2B2D" w14:paraId="2CC2D787" w14:textId="77777777" w:rsidTr="00534E1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4" w:type="dxa"/>
            <w:noWrap/>
            <w:hideMark/>
          </w:tcPr>
          <w:p w14:paraId="7AA2D94D" w14:textId="77777777" w:rsidR="00B20C3A" w:rsidRPr="00DB1242" w:rsidRDefault="00B20C3A" w:rsidP="001E04FB">
            <w:pPr>
              <w:keepNext/>
              <w:spacing w:after="0"/>
              <w:rPr>
                <w:rFonts w:ascii="Cambria Math" w:hAnsi="Cambria Math" w:cs="Avenir Next LT Pro"/>
                <w:noProof/>
                <w:sz w:val="18"/>
                <w:szCs w:val="18"/>
              </w:rPr>
            </w:pPr>
            <w:r w:rsidRPr="00DB1242">
              <w:rPr>
                <w:rFonts w:ascii="Cambria Math" w:hAnsi="Cambria Math" w:cs="Avenir Next LT Pro"/>
                <w:noProof/>
                <w:sz w:val="18"/>
                <w:szCs w:val="18"/>
              </w:rPr>
              <w:t>Slovenia</w:t>
            </w:r>
          </w:p>
        </w:tc>
        <w:tc>
          <w:tcPr>
            <w:tcW w:w="0" w:type="dxa"/>
            <w:noWrap/>
            <w:hideMark/>
          </w:tcPr>
          <w:p w14:paraId="54775090"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11.6 (8.4 - 14.2)</w:t>
            </w:r>
          </w:p>
        </w:tc>
        <w:tc>
          <w:tcPr>
            <w:tcW w:w="0" w:type="dxa"/>
            <w:noWrap/>
            <w:hideMark/>
          </w:tcPr>
          <w:p w14:paraId="005A8C3E"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9.1 (6.4 - 11.5)</w:t>
            </w:r>
          </w:p>
        </w:tc>
      </w:tr>
      <w:tr w:rsidR="00B20C3A" w:rsidRPr="008B2B2D" w14:paraId="2B31F088" w14:textId="77777777" w:rsidTr="00534E10">
        <w:trPr>
          <w:cnfStyle w:val="000000010000" w:firstRow="0" w:lastRow="0" w:firstColumn="0" w:lastColumn="0" w:oddVBand="0" w:evenVBand="0" w:oddHBand="0" w:evenHBand="1"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4" w:type="dxa"/>
            <w:noWrap/>
            <w:hideMark/>
          </w:tcPr>
          <w:p w14:paraId="49D327F1" w14:textId="77777777" w:rsidR="00B20C3A" w:rsidRPr="00DB1242" w:rsidRDefault="00B20C3A" w:rsidP="001E04FB">
            <w:pPr>
              <w:keepNext/>
              <w:spacing w:after="0"/>
              <w:rPr>
                <w:rFonts w:ascii="Cambria Math" w:hAnsi="Cambria Math" w:cs="Avenir Next LT Pro"/>
                <w:noProof/>
                <w:sz w:val="18"/>
                <w:szCs w:val="18"/>
              </w:rPr>
            </w:pPr>
            <w:r w:rsidRPr="00DB1242">
              <w:rPr>
                <w:rFonts w:ascii="Cambria Math" w:hAnsi="Cambria Math" w:cs="Avenir Next LT Pro"/>
                <w:noProof/>
                <w:sz w:val="18"/>
                <w:szCs w:val="18"/>
              </w:rPr>
              <w:t>Spain</w:t>
            </w:r>
          </w:p>
        </w:tc>
        <w:tc>
          <w:tcPr>
            <w:tcW w:w="0" w:type="dxa"/>
            <w:noWrap/>
            <w:hideMark/>
          </w:tcPr>
          <w:p w14:paraId="44B01EDE" w14:textId="77777777" w:rsidR="00B20C3A" w:rsidRPr="00DB1242" w:rsidRDefault="00B20C3A" w:rsidP="001E04FB">
            <w:pPr>
              <w:keepNext/>
              <w:spacing w:after="0"/>
              <w:jc w:val="center"/>
              <w:cnfStyle w:val="000000010000" w:firstRow="0" w:lastRow="0" w:firstColumn="0" w:lastColumn="0" w:oddVBand="0" w:evenVBand="0" w:oddHBand="0" w:evenHBand="1"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7.4 (2.8 - 35.2)</w:t>
            </w:r>
          </w:p>
        </w:tc>
        <w:tc>
          <w:tcPr>
            <w:tcW w:w="0" w:type="dxa"/>
            <w:noWrap/>
            <w:hideMark/>
          </w:tcPr>
          <w:p w14:paraId="339D0E14" w14:textId="77777777" w:rsidR="00B20C3A" w:rsidRPr="00DB1242" w:rsidRDefault="00B20C3A" w:rsidP="001E04FB">
            <w:pPr>
              <w:keepNext/>
              <w:spacing w:after="0"/>
              <w:jc w:val="center"/>
              <w:cnfStyle w:val="000000010000" w:firstRow="0" w:lastRow="0" w:firstColumn="0" w:lastColumn="0" w:oddVBand="0" w:evenVBand="0" w:oddHBand="0" w:evenHBand="1"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6.3 (2.3 - 16.7)</w:t>
            </w:r>
          </w:p>
        </w:tc>
      </w:tr>
      <w:tr w:rsidR="00B20C3A" w:rsidRPr="008B2B2D" w14:paraId="721C5CC0" w14:textId="77777777" w:rsidTr="00534E1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94" w:type="dxa"/>
            <w:noWrap/>
            <w:hideMark/>
          </w:tcPr>
          <w:p w14:paraId="35E54E06" w14:textId="77777777" w:rsidR="00B20C3A" w:rsidRPr="00DB1242" w:rsidRDefault="00B20C3A" w:rsidP="001E04FB">
            <w:pPr>
              <w:keepNext/>
              <w:spacing w:after="0"/>
              <w:rPr>
                <w:rFonts w:ascii="Cambria Math" w:hAnsi="Cambria Math" w:cs="Avenir Next LT Pro"/>
                <w:noProof/>
                <w:sz w:val="18"/>
                <w:szCs w:val="18"/>
              </w:rPr>
            </w:pPr>
            <w:r w:rsidRPr="00DB1242">
              <w:rPr>
                <w:rFonts w:ascii="Cambria Math" w:hAnsi="Cambria Math" w:cs="Avenir Next LT Pro"/>
                <w:noProof/>
                <w:sz w:val="18"/>
                <w:szCs w:val="18"/>
              </w:rPr>
              <w:t>Sweden</w:t>
            </w:r>
          </w:p>
        </w:tc>
        <w:tc>
          <w:tcPr>
            <w:tcW w:w="0" w:type="dxa"/>
            <w:noWrap/>
            <w:hideMark/>
          </w:tcPr>
          <w:p w14:paraId="38EF13FF"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9.2 (6.6 - 17.2)</w:t>
            </w:r>
          </w:p>
        </w:tc>
        <w:tc>
          <w:tcPr>
            <w:tcW w:w="0" w:type="dxa"/>
            <w:noWrap/>
            <w:hideMark/>
          </w:tcPr>
          <w:p w14:paraId="46DEF2FB" w14:textId="77777777" w:rsidR="00B20C3A" w:rsidRPr="00DB1242" w:rsidRDefault="00B20C3A" w:rsidP="001E04FB">
            <w:pPr>
              <w:keepNext/>
              <w:spacing w:after="0"/>
              <w:jc w:val="center"/>
              <w:cnfStyle w:val="000000100000" w:firstRow="0" w:lastRow="0" w:firstColumn="0" w:lastColumn="0" w:oddVBand="0" w:evenVBand="0" w:oddHBand="1" w:evenHBand="0" w:firstRowFirstColumn="0" w:firstRowLastColumn="0" w:lastRowFirstColumn="0" w:lastRowLastColumn="0"/>
              <w:rPr>
                <w:rFonts w:ascii="Cambria Math" w:hAnsi="Cambria Math" w:cs="Avenir Next LT Pro"/>
                <w:noProof/>
                <w:color w:val="000000"/>
                <w:sz w:val="18"/>
                <w:szCs w:val="18"/>
              </w:rPr>
            </w:pPr>
            <w:r w:rsidRPr="00DB1242">
              <w:rPr>
                <w:rFonts w:ascii="Cambria Math" w:hAnsi="Cambria Math" w:cs="Avenir Next LT Pro"/>
                <w:noProof/>
                <w:color w:val="000000"/>
                <w:sz w:val="18"/>
                <w:szCs w:val="18"/>
              </w:rPr>
              <w:t>5.8 (3.9 - 13.7)</w:t>
            </w:r>
          </w:p>
        </w:tc>
      </w:tr>
    </w:tbl>
    <w:p w14:paraId="451F1C39" w14:textId="46B314F2" w:rsidR="00B20C3A" w:rsidRDefault="00EE4265" w:rsidP="00534E10">
      <w:pPr>
        <w:pStyle w:val="CT-NOTE"/>
        <w:rPr>
          <w:noProof/>
          <w:szCs w:val="21"/>
        </w:rPr>
      </w:pPr>
      <w:r>
        <w:rPr>
          <w:noProof/>
        </w:rPr>
        <w:t xml:space="preserve">Note: </w:t>
      </w:r>
      <w:r w:rsidR="00BF6E1C">
        <w:rPr>
          <w:noProof/>
        </w:rPr>
        <w:t>For countries</w:t>
      </w:r>
      <w:r>
        <w:rPr>
          <w:noProof/>
        </w:rPr>
        <w:t xml:space="preserve"> with one region only</w:t>
      </w:r>
      <w:r w:rsidR="00BF6E1C">
        <w:rPr>
          <w:noProof/>
        </w:rPr>
        <w:t>, a figure instead of a</w:t>
      </w:r>
      <w:r>
        <w:rPr>
          <w:noProof/>
        </w:rPr>
        <w:t xml:space="preserve"> range </w:t>
      </w:r>
      <w:r w:rsidR="00BF6E1C">
        <w:rPr>
          <w:noProof/>
        </w:rPr>
        <w:t>is reported</w:t>
      </w:r>
      <w:r>
        <w:rPr>
          <w:noProof/>
        </w:rPr>
        <w:t>.</w:t>
      </w:r>
    </w:p>
    <w:p w14:paraId="558A94E4" w14:textId="72E86EAA" w:rsidR="00B20C3A" w:rsidRPr="00E50BCD" w:rsidRDefault="00B20C3A" w:rsidP="00FB6806">
      <w:pPr>
        <w:pStyle w:val="CT-SOURCE"/>
        <w:rPr>
          <w:i w:val="0"/>
          <w:iCs w:val="0"/>
          <w:noProof/>
          <w:sz w:val="20"/>
        </w:rPr>
      </w:pPr>
      <w:r w:rsidRPr="00E50BCD">
        <w:rPr>
          <w:noProof/>
        </w:rPr>
        <w:t xml:space="preserve">Source: </w:t>
      </w:r>
      <w:r w:rsidRPr="00E50BCD">
        <w:rPr>
          <w:i w:val="0"/>
          <w:iCs w:val="0"/>
          <w:noProof/>
          <w:sz w:val="20"/>
        </w:rPr>
        <w:t>EDGAR emissions database</w:t>
      </w:r>
    </w:p>
    <w:p w14:paraId="32F051CF" w14:textId="1961E20A" w:rsidR="00B20C3A" w:rsidRDefault="00B20C3A" w:rsidP="00B20C3A">
      <w:pPr>
        <w:rPr>
          <w:noProof/>
        </w:rPr>
      </w:pPr>
      <w:r>
        <w:rPr>
          <w:noProof/>
          <w:sz w:val="23"/>
          <w:szCs w:val="23"/>
        </w:rPr>
        <w:t>In 214 out of the 242 EU regions, the</w:t>
      </w:r>
      <w:r w:rsidRPr="003014B3">
        <w:rPr>
          <w:noProof/>
          <w:sz w:val="23"/>
          <w:szCs w:val="23"/>
        </w:rPr>
        <w:t xml:space="preserve"> GHG intensity</w:t>
      </w:r>
      <w:r>
        <w:rPr>
          <w:noProof/>
          <w:sz w:val="23"/>
          <w:szCs w:val="23"/>
        </w:rPr>
        <w:t xml:space="preserve"> (emissions per regional economic output) is </w:t>
      </w:r>
      <w:r w:rsidRPr="00992800">
        <w:rPr>
          <w:noProof/>
          <w:sz w:val="23"/>
          <w:szCs w:val="23"/>
        </w:rPr>
        <w:t>above 0.15 (</w:t>
      </w:r>
      <w:r w:rsidR="00FA1FA4" w:rsidRPr="00992800">
        <w:rPr>
          <w:noProof/>
          <w:sz w:val="23"/>
          <w:szCs w:val="23"/>
        </w:rPr>
        <w:fldChar w:fldCharType="begin"/>
      </w:r>
      <w:r w:rsidR="00FA1FA4" w:rsidRPr="00992800">
        <w:rPr>
          <w:noProof/>
          <w:sz w:val="23"/>
          <w:szCs w:val="23"/>
        </w:rPr>
        <w:instrText xml:space="preserve"> REF _Ref146462457 \h  \* MERGEFORMAT </w:instrText>
      </w:r>
      <w:r w:rsidR="00FA1FA4" w:rsidRPr="00992800">
        <w:rPr>
          <w:noProof/>
          <w:sz w:val="23"/>
          <w:szCs w:val="23"/>
        </w:rPr>
      </w:r>
      <w:r w:rsidR="00FA1FA4" w:rsidRPr="00992800">
        <w:rPr>
          <w:noProof/>
          <w:sz w:val="23"/>
          <w:szCs w:val="23"/>
        </w:rPr>
        <w:fldChar w:fldCharType="separate"/>
      </w:r>
      <w:r w:rsidR="00170A3C">
        <w:rPr>
          <w:noProof/>
        </w:rPr>
        <w:t>Figure 127</w:t>
      </w:r>
      <w:r w:rsidR="00FA1FA4" w:rsidRPr="00992800">
        <w:rPr>
          <w:noProof/>
          <w:sz w:val="23"/>
          <w:szCs w:val="23"/>
        </w:rPr>
        <w:fldChar w:fldCharType="end"/>
      </w:r>
      <w:r w:rsidR="00FA1FA4" w:rsidRPr="00992800">
        <w:rPr>
          <w:noProof/>
          <w:sz w:val="23"/>
          <w:szCs w:val="23"/>
        </w:rPr>
        <w:t>),</w:t>
      </w:r>
      <w:r w:rsidRPr="00992800">
        <w:rPr>
          <w:noProof/>
          <w:sz w:val="23"/>
          <w:szCs w:val="23"/>
        </w:rPr>
        <w:t xml:space="preserve"> i.e. above the EU average that is compatible with an at least 55% net GHG emission reduction by 2030</w:t>
      </w:r>
      <w:r w:rsidR="00E716DD" w:rsidRPr="00992800">
        <w:rPr>
          <w:noProof/>
          <w:sz w:val="23"/>
          <w:szCs w:val="23"/>
        </w:rPr>
        <w:t> (</w:t>
      </w:r>
      <w:r w:rsidR="00E716DD" w:rsidRPr="00992800">
        <w:rPr>
          <w:rStyle w:val="FootnoteReference"/>
          <w:noProof/>
          <w:sz w:val="23"/>
          <w:szCs w:val="23"/>
        </w:rPr>
        <w:footnoteReference w:id="320"/>
      </w:r>
      <w:r w:rsidR="00E716DD" w:rsidRPr="00992800">
        <w:rPr>
          <w:noProof/>
          <w:sz w:val="23"/>
          <w:szCs w:val="23"/>
        </w:rPr>
        <w:t>)</w:t>
      </w:r>
      <w:r w:rsidRPr="00992800">
        <w:rPr>
          <w:noProof/>
        </w:rPr>
        <w:t>. However, in all but eight regions emission intensity has declined since 1990. In fact, more than half of the EU’s regions (122 out of 242) have seen their emission intensity decrease by more than 50% since 1990, including in several regions that</w:t>
      </w:r>
      <w:r>
        <w:rPr>
          <w:noProof/>
        </w:rPr>
        <w:t xml:space="preserve"> had a very high emission intensity such as </w:t>
      </w:r>
      <w:r w:rsidRPr="00A653CD">
        <w:rPr>
          <w:noProof/>
        </w:rPr>
        <w:t>Świętokrzyskie</w:t>
      </w:r>
      <w:r>
        <w:rPr>
          <w:noProof/>
        </w:rPr>
        <w:t xml:space="preserve"> (PL) and Western Macedonia (EL). </w:t>
      </w:r>
    </w:p>
    <w:p w14:paraId="751169BA" w14:textId="358EEEDD" w:rsidR="00B20C3A" w:rsidRDefault="00B20C3A" w:rsidP="00B20C3A">
      <w:pPr>
        <w:pStyle w:val="Caption"/>
        <w:rPr>
          <w:noProof/>
        </w:rPr>
      </w:pPr>
      <w:bookmarkStart w:id="816" w:name="_Ref146462457"/>
      <w:bookmarkStart w:id="817" w:name="_Ref148006566"/>
      <w:bookmarkStart w:id="818" w:name="_Toc157679875"/>
      <w:r>
        <w:rPr>
          <w:noProof/>
        </w:rPr>
        <w:t xml:space="preserve">Figure </w:t>
      </w:r>
      <w:r>
        <w:rPr>
          <w:noProof/>
        </w:rPr>
        <w:fldChar w:fldCharType="begin"/>
      </w:r>
      <w:r>
        <w:rPr>
          <w:noProof/>
        </w:rPr>
        <w:instrText>SEQ Figure \* ARABIC</w:instrText>
      </w:r>
      <w:r>
        <w:rPr>
          <w:noProof/>
        </w:rPr>
        <w:fldChar w:fldCharType="separate"/>
      </w:r>
      <w:r w:rsidR="00170A3C">
        <w:rPr>
          <w:noProof/>
        </w:rPr>
        <w:t>127</w:t>
      </w:r>
      <w:r>
        <w:rPr>
          <w:noProof/>
        </w:rPr>
        <w:fldChar w:fldCharType="end"/>
      </w:r>
      <w:bookmarkEnd w:id="816"/>
      <w:r>
        <w:rPr>
          <w:noProof/>
        </w:rPr>
        <w:t xml:space="preserve">:Emission intensity (left) and </w:t>
      </w:r>
      <w:r w:rsidR="0065207A">
        <w:rPr>
          <w:noProof/>
        </w:rPr>
        <w:t xml:space="preserve">corresponding </w:t>
      </w:r>
      <w:r>
        <w:rPr>
          <w:noProof/>
        </w:rPr>
        <w:t>change since 1990 (right)</w:t>
      </w:r>
      <w:bookmarkEnd w:id="817"/>
      <w:bookmarkEnd w:id="81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7"/>
        <w:gridCol w:w="4417"/>
      </w:tblGrid>
      <w:tr w:rsidR="00FB6806" w14:paraId="1D1FAEF8" w14:textId="77777777" w:rsidTr="00FB6806">
        <w:tc>
          <w:tcPr>
            <w:tcW w:w="4417" w:type="dxa"/>
          </w:tcPr>
          <w:p w14:paraId="3E6FB0C8" w14:textId="0DFEBDCE" w:rsidR="00FB6806" w:rsidRDefault="00FB6806" w:rsidP="00E2670E">
            <w:pPr>
              <w:spacing w:after="0"/>
              <w:rPr>
                <w:noProof/>
              </w:rPr>
            </w:pPr>
            <w:r>
              <w:rPr>
                <w:noProof/>
                <w:color w:val="2B579A"/>
                <w:shd w:val="clear" w:color="auto" w:fill="E6E6E6"/>
                <w:lang w:eastAsia="en-GB"/>
              </w:rPr>
              <w:drawing>
                <wp:inline distT="0" distB="0" distL="0" distR="0" wp14:anchorId="00C42FC7" wp14:editId="3A8E7A91">
                  <wp:extent cx="2381250" cy="2487295"/>
                  <wp:effectExtent l="0" t="0" r="0" b="825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3" cstate="print">
                            <a:extLst>
                              <a:ext uri="{28A0092B-C50C-407E-A947-70E740481C1C}">
                                <a14:useLocalDpi xmlns:a14="http://schemas.microsoft.com/office/drawing/2010/main" val="0"/>
                              </a:ext>
                            </a:extLst>
                          </a:blip>
                          <a:srcRect/>
                          <a:stretch>
                            <a:fillRect/>
                          </a:stretch>
                        </pic:blipFill>
                        <pic:spPr bwMode="auto">
                          <a:xfrm>
                            <a:off x="0" y="0"/>
                            <a:ext cx="2381250" cy="2487295"/>
                          </a:xfrm>
                          <a:prstGeom prst="rect">
                            <a:avLst/>
                          </a:prstGeom>
                          <a:noFill/>
                          <a:ln>
                            <a:noFill/>
                          </a:ln>
                        </pic:spPr>
                      </pic:pic>
                    </a:graphicData>
                  </a:graphic>
                </wp:inline>
              </w:drawing>
            </w:r>
          </w:p>
        </w:tc>
        <w:tc>
          <w:tcPr>
            <w:tcW w:w="4417" w:type="dxa"/>
          </w:tcPr>
          <w:p w14:paraId="5DDDB2C2" w14:textId="5DB21012" w:rsidR="00FB6806" w:rsidRDefault="00FB6806" w:rsidP="00E2670E">
            <w:pPr>
              <w:spacing w:after="0"/>
              <w:rPr>
                <w:noProof/>
              </w:rPr>
            </w:pPr>
            <w:r w:rsidRPr="00702AA1">
              <w:rPr>
                <w:noProof/>
                <w:color w:val="2B579A"/>
                <w:shd w:val="clear" w:color="auto" w:fill="E6E6E6"/>
                <w:lang w:eastAsia="en-GB"/>
              </w:rPr>
              <w:drawing>
                <wp:inline distT="0" distB="0" distL="0" distR="0" wp14:anchorId="131F6A18" wp14:editId="3735CF3F">
                  <wp:extent cx="2385060" cy="2491272"/>
                  <wp:effectExtent l="0" t="0" r="0" b="4445"/>
                  <wp:docPr id="102" name="Picture 102" descr="A map of europe with green and grey colors&#10;&#10;Description automatically generated">
                    <a:extLst xmlns:a="http://schemas.openxmlformats.org/drawingml/2006/main">
                      <a:ext uri="{FF2B5EF4-FFF2-40B4-BE49-F238E27FC236}">
                        <a16:creationId xmlns:a16="http://schemas.microsoft.com/office/drawing/2014/main" id="{3BED72A3-A64A-062A-AA0D-AEF2279940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descr="A map of europe with green and grey colors&#10;&#10;Description automatically generated">
                            <a:extLst>
                              <a:ext uri="{FF2B5EF4-FFF2-40B4-BE49-F238E27FC236}">
                                <a16:creationId xmlns:a16="http://schemas.microsoft.com/office/drawing/2014/main" id="{3BED72A3-A64A-062A-AA0D-AEF227994005}"/>
                              </a:ext>
                            </a:extLst>
                          </pic:cNvPr>
                          <pic:cNvPicPr>
                            <a:picLocks noChangeAspect="1"/>
                          </pic:cNvPicPr>
                        </pic:nvPicPr>
                        <pic:blipFill>
                          <a:blip r:embed="rId224" cstate="print">
                            <a:extLst>
                              <a:ext uri="{28A0092B-C50C-407E-A947-70E740481C1C}">
                                <a14:useLocalDpi xmlns:a14="http://schemas.microsoft.com/office/drawing/2010/main" val="0"/>
                              </a:ext>
                            </a:extLst>
                          </a:blip>
                          <a:stretch>
                            <a:fillRect/>
                          </a:stretch>
                        </pic:blipFill>
                        <pic:spPr>
                          <a:xfrm>
                            <a:off x="0" y="0"/>
                            <a:ext cx="2395461" cy="2502136"/>
                          </a:xfrm>
                          <a:prstGeom prst="rect">
                            <a:avLst/>
                          </a:prstGeom>
                        </pic:spPr>
                      </pic:pic>
                    </a:graphicData>
                  </a:graphic>
                </wp:inline>
              </w:drawing>
            </w:r>
          </w:p>
        </w:tc>
      </w:tr>
    </w:tbl>
    <w:p w14:paraId="4304EF6E" w14:textId="287045EB" w:rsidR="00FB6806" w:rsidRDefault="00FB6806" w:rsidP="00FB6806">
      <w:pPr>
        <w:pStyle w:val="CT-NOTE"/>
        <w:rPr>
          <w:noProof/>
        </w:rPr>
      </w:pPr>
      <w:r>
        <w:rPr>
          <w:noProof/>
        </w:rPr>
        <w:t xml:space="preserve">Note: </w:t>
      </w:r>
      <w:r w:rsidRPr="00E50BCD">
        <w:rPr>
          <w:noProof/>
        </w:rPr>
        <w:t>leaving out aviation and shipping</w:t>
      </w:r>
    </w:p>
    <w:p w14:paraId="6DFD66F1" w14:textId="38200C5C" w:rsidR="00696990" w:rsidRPr="00E50BCD" w:rsidRDefault="00696990" w:rsidP="00FB6806">
      <w:pPr>
        <w:pStyle w:val="CT-SOURCE"/>
        <w:rPr>
          <w:noProof/>
        </w:rPr>
      </w:pPr>
      <w:r w:rsidRPr="00E50BCD">
        <w:rPr>
          <w:noProof/>
        </w:rPr>
        <w:t xml:space="preserve">Source: EDGAR emissions database </w:t>
      </w:r>
    </w:p>
    <w:p w14:paraId="740FC8E1" w14:textId="7FC987DE" w:rsidR="007D21D1" w:rsidRDefault="00B20C3A" w:rsidP="00B20C3A">
      <w:pPr>
        <w:rPr>
          <w:noProof/>
          <w:sz w:val="23"/>
          <w:szCs w:val="23"/>
        </w:rPr>
      </w:pPr>
      <w:r>
        <w:rPr>
          <w:noProof/>
          <w:sz w:val="23"/>
          <w:szCs w:val="23"/>
        </w:rPr>
        <w:t xml:space="preserve">The exposure of regions to the transition is strongly dependent on their economic activities. While the energy, industry, transport, building and agriculture sectors respectively represent 27, 23, 20, 14 and 11% of total EU </w:t>
      </w:r>
      <w:r w:rsidR="009B6628">
        <w:rPr>
          <w:noProof/>
          <w:sz w:val="23"/>
          <w:szCs w:val="23"/>
        </w:rPr>
        <w:t xml:space="preserve">GHG </w:t>
      </w:r>
      <w:r>
        <w:rPr>
          <w:noProof/>
          <w:sz w:val="23"/>
          <w:szCs w:val="23"/>
        </w:rPr>
        <w:t>emissions (</w:t>
      </w:r>
      <w:r w:rsidR="001E04FB">
        <w:rPr>
          <w:noProof/>
          <w:sz w:val="23"/>
          <w:szCs w:val="23"/>
        </w:rPr>
        <w:fldChar w:fldCharType="begin"/>
      </w:r>
      <w:r w:rsidR="001E04FB">
        <w:rPr>
          <w:noProof/>
          <w:sz w:val="23"/>
          <w:szCs w:val="23"/>
        </w:rPr>
        <w:instrText xml:space="preserve"> REF _Ref147775156 \h </w:instrText>
      </w:r>
      <w:r w:rsidR="001E04FB">
        <w:rPr>
          <w:noProof/>
          <w:sz w:val="23"/>
          <w:szCs w:val="23"/>
        </w:rPr>
      </w:r>
      <w:r w:rsidR="001E04FB">
        <w:rPr>
          <w:noProof/>
          <w:sz w:val="23"/>
          <w:szCs w:val="23"/>
        </w:rPr>
        <w:fldChar w:fldCharType="separate"/>
      </w:r>
      <w:r w:rsidR="00170A3C">
        <w:rPr>
          <w:noProof/>
        </w:rPr>
        <w:t>Figure 128</w:t>
      </w:r>
      <w:r w:rsidR="001E04FB">
        <w:rPr>
          <w:noProof/>
          <w:sz w:val="23"/>
          <w:szCs w:val="23"/>
        </w:rPr>
        <w:fldChar w:fldCharType="end"/>
      </w:r>
      <w:r>
        <w:rPr>
          <w:noProof/>
          <w:sz w:val="23"/>
          <w:szCs w:val="23"/>
        </w:rPr>
        <w:t>), the distribution of sectoral emissions in specific regions is more diverse. For example, the sector contributing the most to GHG emissions is agriculture (39%) i</w:t>
      </w:r>
      <w:r w:rsidRPr="00AF4F1D">
        <w:rPr>
          <w:noProof/>
          <w:sz w:val="23"/>
          <w:szCs w:val="23"/>
        </w:rPr>
        <w:t>n the west of France</w:t>
      </w:r>
      <w:r>
        <w:rPr>
          <w:noProof/>
          <w:sz w:val="23"/>
          <w:szCs w:val="23"/>
        </w:rPr>
        <w:t xml:space="preserve">, industry (33%) in Romania, energy (34%) in most Polish regions, and </w:t>
      </w:r>
      <w:r w:rsidRPr="00870A49">
        <w:rPr>
          <w:noProof/>
          <w:sz w:val="23"/>
          <w:szCs w:val="23"/>
        </w:rPr>
        <w:t>transport (</w:t>
      </w:r>
      <w:r>
        <w:rPr>
          <w:noProof/>
          <w:sz w:val="23"/>
          <w:szCs w:val="23"/>
        </w:rPr>
        <w:t>45</w:t>
      </w:r>
      <w:r w:rsidRPr="00870A49">
        <w:rPr>
          <w:noProof/>
          <w:sz w:val="23"/>
          <w:szCs w:val="23"/>
        </w:rPr>
        <w:t>%) in the north of Sweden</w:t>
      </w:r>
      <w:r>
        <w:rPr>
          <w:noProof/>
          <w:sz w:val="23"/>
          <w:szCs w:val="23"/>
        </w:rPr>
        <w:t xml:space="preserve"> (in the region Mellersta Norrland)</w:t>
      </w:r>
      <w:r w:rsidRPr="00870A49">
        <w:rPr>
          <w:noProof/>
          <w:sz w:val="23"/>
          <w:szCs w:val="23"/>
        </w:rPr>
        <w:t>.</w:t>
      </w:r>
    </w:p>
    <w:p w14:paraId="4550FC08" w14:textId="06306951" w:rsidR="00B20C3A" w:rsidRDefault="00B20C3A" w:rsidP="00E81A60">
      <w:pPr>
        <w:pStyle w:val="Caption"/>
        <w:jc w:val="left"/>
        <w:rPr>
          <w:noProof/>
          <w:sz w:val="23"/>
          <w:szCs w:val="23"/>
        </w:rPr>
      </w:pPr>
      <w:bookmarkStart w:id="819" w:name="_Ref141177946"/>
      <w:bookmarkStart w:id="820" w:name="_Ref147775156"/>
      <w:bookmarkStart w:id="821" w:name="_Toc157679876"/>
      <w:r>
        <w:rPr>
          <w:noProof/>
        </w:rPr>
        <w:t xml:space="preserve">Figure </w:t>
      </w:r>
      <w:bookmarkEnd w:id="819"/>
      <w:r w:rsidR="00F2742D">
        <w:rPr>
          <w:noProof/>
        </w:rPr>
        <w:fldChar w:fldCharType="begin"/>
      </w:r>
      <w:r w:rsidR="00F2742D">
        <w:rPr>
          <w:noProof/>
        </w:rPr>
        <w:instrText xml:space="preserve"> SEQ Figure \* ARABIC </w:instrText>
      </w:r>
      <w:r w:rsidR="00F2742D">
        <w:rPr>
          <w:noProof/>
        </w:rPr>
        <w:fldChar w:fldCharType="separate"/>
      </w:r>
      <w:r w:rsidR="00170A3C">
        <w:rPr>
          <w:noProof/>
        </w:rPr>
        <w:t>128</w:t>
      </w:r>
      <w:r w:rsidR="00F2742D">
        <w:rPr>
          <w:noProof/>
        </w:rPr>
        <w:fldChar w:fldCharType="end"/>
      </w:r>
      <w:bookmarkEnd w:id="820"/>
      <w:r>
        <w:rPr>
          <w:noProof/>
        </w:rPr>
        <w:t>: Greenhouse gas emissions by sector in the EU27 and sector with the highest contribution at the regional level in 2021</w:t>
      </w:r>
      <w:bookmarkEnd w:id="821"/>
      <w:r w:rsidRPr="007B27D3">
        <w:rPr>
          <w:noProof/>
          <w:sz w:val="23"/>
          <w:szCs w:val="23"/>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6"/>
        <w:gridCol w:w="4058"/>
      </w:tblGrid>
      <w:tr w:rsidR="00FB6806" w14:paraId="2E7FDFC8" w14:textId="77777777" w:rsidTr="00FB6806">
        <w:tc>
          <w:tcPr>
            <w:tcW w:w="4417" w:type="dxa"/>
          </w:tcPr>
          <w:p w14:paraId="30779B52" w14:textId="1C21636A" w:rsidR="00FB6806" w:rsidRDefault="00FB6806" w:rsidP="00E81A60">
            <w:pPr>
              <w:keepNext/>
              <w:spacing w:after="0"/>
              <w:rPr>
                <w:noProof/>
              </w:rPr>
            </w:pPr>
            <w:r w:rsidRPr="00450F66">
              <w:rPr>
                <w:noProof/>
                <w:lang w:eastAsia="en-GB"/>
              </w:rPr>
              <w:drawing>
                <wp:inline distT="0" distB="0" distL="0" distR="0" wp14:anchorId="47EFA63C" wp14:editId="4FC925A3">
                  <wp:extent cx="2889250" cy="2236839"/>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225">
                            <a:extLst>
                              <a:ext uri="{FF2B5EF4-FFF2-40B4-BE49-F238E27FC236}">
                                <a16:creationId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svg="http://schemas.microsoft.com/office/drawing/2016/SVG/main" xmlns:c="http://schemas.openxmlformats.org/drawingml/2006/chart" xmlns:arto="http://schemas.microsoft.com/office/word/2006/arto"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id="{E79F1DE2-B0A2-D83C-53C9-C25BAA46F6C5}"/>
                              </a:ext>
                            </a:extLst>
                          </a:blip>
                          <a:stretch>
                            <a:fillRect/>
                          </a:stretch>
                        </pic:blipFill>
                        <pic:spPr>
                          <a:xfrm>
                            <a:off x="0" y="0"/>
                            <a:ext cx="2918570" cy="2259539"/>
                          </a:xfrm>
                          <a:prstGeom prst="rect">
                            <a:avLst/>
                          </a:prstGeom>
                        </pic:spPr>
                      </pic:pic>
                    </a:graphicData>
                  </a:graphic>
                </wp:inline>
              </w:drawing>
            </w:r>
          </w:p>
        </w:tc>
        <w:tc>
          <w:tcPr>
            <w:tcW w:w="4417" w:type="dxa"/>
          </w:tcPr>
          <w:p w14:paraId="778E7087" w14:textId="5762F9EC" w:rsidR="00FB6806" w:rsidRDefault="00FB6806" w:rsidP="00E81A60">
            <w:pPr>
              <w:keepNext/>
              <w:spacing w:after="0"/>
              <w:rPr>
                <w:noProof/>
              </w:rPr>
            </w:pPr>
            <w:r w:rsidRPr="00450F66">
              <w:rPr>
                <w:noProof/>
                <w:lang w:eastAsia="en-GB"/>
              </w:rPr>
              <w:drawing>
                <wp:inline distT="0" distB="0" distL="0" distR="0" wp14:anchorId="0B1AB139" wp14:editId="1A0D8D0F">
                  <wp:extent cx="2243253" cy="2343150"/>
                  <wp:effectExtent l="0" t="0" r="5080" b="0"/>
                  <wp:docPr id="19" name="Picture 1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226">
                            <a:extLst>
                              <a:ext uri="{FF2B5EF4-FFF2-40B4-BE49-F238E27FC236}">
                                <a16:creationId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svg="http://schemas.microsoft.com/office/drawing/2016/SVG/main" xmlns:c="http://schemas.openxmlformats.org/drawingml/2006/chart" xmlns:arto="http://schemas.microsoft.com/office/word/2006/arto"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id="{9707B693-7E8B-6B89-9EA6-A0C00814B92E}"/>
                              </a:ext>
                            </a:extLst>
                          </a:blip>
                          <a:stretch>
                            <a:fillRect/>
                          </a:stretch>
                        </pic:blipFill>
                        <pic:spPr>
                          <a:xfrm>
                            <a:off x="0" y="0"/>
                            <a:ext cx="2245455" cy="2345451"/>
                          </a:xfrm>
                          <a:prstGeom prst="rect">
                            <a:avLst/>
                          </a:prstGeom>
                        </pic:spPr>
                      </pic:pic>
                    </a:graphicData>
                  </a:graphic>
                </wp:inline>
              </w:drawing>
            </w:r>
          </w:p>
        </w:tc>
      </w:tr>
    </w:tbl>
    <w:p w14:paraId="2776B0E6" w14:textId="60A08F2A" w:rsidR="00FB6806" w:rsidRDefault="00FB6806" w:rsidP="00E81A60">
      <w:pPr>
        <w:pStyle w:val="CT-NOTE"/>
        <w:rPr>
          <w:noProof/>
        </w:rPr>
      </w:pPr>
      <w:r>
        <w:rPr>
          <w:noProof/>
        </w:rPr>
        <w:t xml:space="preserve">Note: </w:t>
      </w:r>
      <w:r w:rsidR="00B20C3A" w:rsidRPr="00E50BCD">
        <w:rPr>
          <w:noProof/>
        </w:rPr>
        <w:t>leaving out aviation and shipping</w:t>
      </w:r>
    </w:p>
    <w:p w14:paraId="2B152522" w14:textId="6C2D413D" w:rsidR="00B20C3A" w:rsidRPr="00E50BCD" w:rsidRDefault="00B20C3A" w:rsidP="009B01C9">
      <w:pPr>
        <w:pStyle w:val="CT-SOURCE"/>
        <w:keepNext w:val="0"/>
        <w:rPr>
          <w:i w:val="0"/>
          <w:iCs w:val="0"/>
          <w:noProof/>
          <w:sz w:val="20"/>
        </w:rPr>
      </w:pPr>
      <w:r w:rsidRPr="00E50BCD">
        <w:rPr>
          <w:noProof/>
        </w:rPr>
        <w:t>Source: EDGAR emissions database</w:t>
      </w:r>
      <w:r w:rsidR="002C17ED" w:rsidRPr="007B27D3">
        <w:rPr>
          <w:noProof/>
          <w:sz w:val="23"/>
          <w:szCs w:val="23"/>
        </w:rPr>
        <w:t>(</w:t>
      </w:r>
      <w:r w:rsidR="002C17ED">
        <w:rPr>
          <w:rStyle w:val="FootnoteReference"/>
          <w:noProof/>
          <w:sz w:val="23"/>
          <w:szCs w:val="23"/>
        </w:rPr>
        <w:footnoteReference w:id="321"/>
      </w:r>
      <w:r w:rsidR="002C17ED">
        <w:rPr>
          <w:rFonts w:eastAsia="Open Sans" w:cs="Symbol"/>
          <w:noProof/>
          <w:sz w:val="23"/>
          <w:szCs w:val="23"/>
        </w:rPr>
        <w:t>)</w:t>
      </w:r>
    </w:p>
    <w:p w14:paraId="5FDBD7D8" w14:textId="17F9CE9B" w:rsidR="00304FA5" w:rsidRDefault="00304FA5" w:rsidP="00304FA5">
      <w:pPr>
        <w:rPr>
          <w:noProof/>
        </w:rPr>
      </w:pPr>
      <w:r w:rsidRPr="001E04FB">
        <w:rPr>
          <w:noProof/>
        </w:rPr>
        <w:fldChar w:fldCharType="begin"/>
      </w:r>
      <w:r w:rsidRPr="00E90515">
        <w:rPr>
          <w:noProof/>
          <w:highlight w:val="yellow"/>
        </w:rPr>
        <w:instrText xml:space="preserve"> REF _Ref141178674 \h </w:instrText>
      </w:r>
      <w:r w:rsidR="00E90515">
        <w:rPr>
          <w:noProof/>
          <w:highlight w:val="yellow"/>
        </w:rPr>
        <w:instrText xml:space="preserve"> \* MERGEFORMAT </w:instrText>
      </w:r>
      <w:r w:rsidRPr="001E04FB">
        <w:rPr>
          <w:noProof/>
        </w:rPr>
      </w:r>
      <w:r w:rsidRPr="001E04FB">
        <w:rPr>
          <w:noProof/>
        </w:rPr>
        <w:fldChar w:fldCharType="separate"/>
      </w:r>
      <w:r w:rsidR="00170A3C" w:rsidRPr="00B063DF">
        <w:rPr>
          <w:noProof/>
        </w:rPr>
        <w:t>Table</w:t>
      </w:r>
      <w:r w:rsidR="00170A3C">
        <w:rPr>
          <w:noProof/>
        </w:rPr>
        <w:t xml:space="preserve"> 54</w:t>
      </w:r>
      <w:r w:rsidRPr="001E04FB">
        <w:rPr>
          <w:noProof/>
        </w:rPr>
        <w:fldChar w:fldCharType="end"/>
      </w:r>
      <w:r w:rsidR="009B6628" w:rsidRPr="001E04FB">
        <w:rPr>
          <w:noProof/>
        </w:rPr>
        <w:t xml:space="preserve"> and</w:t>
      </w:r>
      <w:r w:rsidR="001E04FB">
        <w:rPr>
          <w:noProof/>
        </w:rPr>
        <w:t xml:space="preserve"> </w:t>
      </w:r>
      <w:r w:rsidRPr="001E04FB">
        <w:rPr>
          <w:noProof/>
        </w:rPr>
        <w:fldChar w:fldCharType="begin"/>
      </w:r>
      <w:r w:rsidRPr="00E90515">
        <w:rPr>
          <w:noProof/>
          <w:highlight w:val="yellow"/>
        </w:rPr>
        <w:instrText xml:space="preserve"> REF _Ref141178675 \h </w:instrText>
      </w:r>
      <w:r w:rsidR="00E90515">
        <w:rPr>
          <w:noProof/>
          <w:highlight w:val="yellow"/>
        </w:rPr>
        <w:instrText xml:space="preserve"> \* MERGEFORMAT </w:instrText>
      </w:r>
      <w:r w:rsidRPr="001E04FB">
        <w:rPr>
          <w:noProof/>
        </w:rPr>
      </w:r>
      <w:r w:rsidRPr="001E04FB">
        <w:rPr>
          <w:noProof/>
        </w:rPr>
        <w:fldChar w:fldCharType="separate"/>
      </w:r>
      <w:r w:rsidR="00170A3C" w:rsidRPr="00B063DF">
        <w:rPr>
          <w:noProof/>
        </w:rPr>
        <w:t>Table</w:t>
      </w:r>
      <w:r w:rsidR="00170A3C">
        <w:rPr>
          <w:noProof/>
        </w:rPr>
        <w:t xml:space="preserve"> 55</w:t>
      </w:r>
      <w:r w:rsidRPr="001E04FB">
        <w:rPr>
          <w:noProof/>
        </w:rPr>
        <w:fldChar w:fldCharType="end"/>
      </w:r>
      <w:r>
        <w:rPr>
          <w:noProof/>
        </w:rPr>
        <w:t xml:space="preserve"> present the sectoral per capita emissions at the national level and the range of these across regions in each country, in 1990 and 2021 respectively. The national averages reflect the structure of the country’s economy. For example, emissions in Ireland are largely driven by the agricultural sector (6 </w:t>
      </w:r>
      <w:r w:rsidR="009B6628">
        <w:rPr>
          <w:noProof/>
        </w:rPr>
        <w:t>tCO</w:t>
      </w:r>
      <w:r w:rsidR="009B6628" w:rsidRPr="004D1008">
        <w:rPr>
          <w:noProof/>
          <w:vertAlign w:val="subscript"/>
        </w:rPr>
        <w:t>2</w:t>
      </w:r>
      <w:r w:rsidR="00E90515">
        <w:rPr>
          <w:noProof/>
        </w:rPr>
        <w:t>-e</w:t>
      </w:r>
      <w:r w:rsidR="009B6628">
        <w:rPr>
          <w:noProof/>
        </w:rPr>
        <w:t>q per person</w:t>
      </w:r>
      <w:r>
        <w:rPr>
          <w:noProof/>
        </w:rPr>
        <w:t xml:space="preserve"> in 1990 and 4.6 in 2021). However, the ranges across regions show the diversity within country. For example, in France, the highest regional agricultural emissions amounted to 18</w:t>
      </w:r>
      <w:r w:rsidR="009B6628" w:rsidRPr="009B6628">
        <w:rPr>
          <w:noProof/>
        </w:rPr>
        <w:t xml:space="preserve"> </w:t>
      </w:r>
      <w:r w:rsidR="009B6628">
        <w:rPr>
          <w:noProof/>
        </w:rPr>
        <w:t>tCO</w:t>
      </w:r>
      <w:r w:rsidR="009B6628" w:rsidRPr="004D1008">
        <w:rPr>
          <w:noProof/>
          <w:vertAlign w:val="subscript"/>
        </w:rPr>
        <w:t>2</w:t>
      </w:r>
      <w:r w:rsidR="00E90515">
        <w:rPr>
          <w:noProof/>
        </w:rPr>
        <w:t>-e</w:t>
      </w:r>
      <w:r w:rsidR="009B6628">
        <w:rPr>
          <w:noProof/>
        </w:rPr>
        <w:t>q per person</w:t>
      </w:r>
      <w:r w:rsidR="009B6628" w:rsidRPr="00255AF0" w:rsidDel="009B6628">
        <w:rPr>
          <w:noProof/>
          <w:vertAlign w:val="subscript"/>
        </w:rPr>
        <w:t xml:space="preserve"> </w:t>
      </w:r>
      <w:r>
        <w:rPr>
          <w:noProof/>
        </w:rPr>
        <w:t>in 1990 and decreased to 9.5 in 2021.</w:t>
      </w:r>
    </w:p>
    <w:p w14:paraId="0FF454CF" w14:textId="09745D1E" w:rsidR="00304FA5" w:rsidRPr="00EB06BC" w:rsidRDefault="00304FA5" w:rsidP="00304FA5">
      <w:pPr>
        <w:rPr>
          <w:noProof/>
        </w:rPr>
      </w:pPr>
      <w:r>
        <w:rPr>
          <w:noProof/>
        </w:rPr>
        <w:t xml:space="preserve">For the energy and industry sectors, which have been largely covered by the EU Emissions Trading System (EU ETS) since 2005, the decarbonisation trend is clear. In 1990 national sectoral emissions per capita were ranging from 0.8 (France) to 6.2 </w:t>
      </w:r>
      <w:r w:rsidR="00C53FD2">
        <w:rPr>
          <w:noProof/>
        </w:rPr>
        <w:t>tCO</w:t>
      </w:r>
      <w:r w:rsidR="00C53FD2" w:rsidRPr="004D1008">
        <w:rPr>
          <w:noProof/>
          <w:vertAlign w:val="subscript"/>
        </w:rPr>
        <w:t>2</w:t>
      </w:r>
      <w:r w:rsidR="00E90515">
        <w:rPr>
          <w:noProof/>
        </w:rPr>
        <w:t>-e</w:t>
      </w:r>
      <w:r w:rsidR="00C53FD2">
        <w:rPr>
          <w:noProof/>
        </w:rPr>
        <w:t>q</w:t>
      </w:r>
      <w:r>
        <w:rPr>
          <w:noProof/>
        </w:rPr>
        <w:t xml:space="preserve"> per </w:t>
      </w:r>
      <w:r w:rsidR="00C53FD2">
        <w:rPr>
          <w:noProof/>
        </w:rPr>
        <w:t>person</w:t>
      </w:r>
      <w:r>
        <w:rPr>
          <w:noProof/>
        </w:rPr>
        <w:t xml:space="preserve"> (Czechia) for the energy sector and from 0.1 (Malta) to 6.8 </w:t>
      </w:r>
      <w:r w:rsidR="00C53FD2">
        <w:rPr>
          <w:noProof/>
        </w:rPr>
        <w:t>tCO</w:t>
      </w:r>
      <w:r w:rsidR="00C53FD2" w:rsidRPr="004D1008">
        <w:rPr>
          <w:noProof/>
          <w:vertAlign w:val="subscript"/>
        </w:rPr>
        <w:t>2</w:t>
      </w:r>
      <w:r w:rsidR="00E90515">
        <w:rPr>
          <w:noProof/>
        </w:rPr>
        <w:t>-e</w:t>
      </w:r>
      <w:r w:rsidR="00C53FD2">
        <w:rPr>
          <w:noProof/>
        </w:rPr>
        <w:t>q</w:t>
      </w:r>
      <w:r>
        <w:rPr>
          <w:noProof/>
        </w:rPr>
        <w:t xml:space="preserve"> per </w:t>
      </w:r>
      <w:r w:rsidR="00C53FD2">
        <w:rPr>
          <w:noProof/>
        </w:rPr>
        <w:t>person</w:t>
      </w:r>
      <w:r>
        <w:rPr>
          <w:noProof/>
        </w:rPr>
        <w:t xml:space="preserve"> (Czechia) for the industry sector. In 2021 these emissions are lower and closer to one another, from 0.3 </w:t>
      </w:r>
      <w:r w:rsidR="00C53FD2">
        <w:rPr>
          <w:noProof/>
        </w:rPr>
        <w:t>tCO</w:t>
      </w:r>
      <w:r w:rsidR="00C53FD2" w:rsidRPr="004D1008">
        <w:rPr>
          <w:noProof/>
          <w:vertAlign w:val="subscript"/>
        </w:rPr>
        <w:t>2</w:t>
      </w:r>
      <w:r w:rsidR="00E90515">
        <w:rPr>
          <w:noProof/>
        </w:rPr>
        <w:t>-e</w:t>
      </w:r>
      <w:r w:rsidR="00C53FD2">
        <w:rPr>
          <w:noProof/>
        </w:rPr>
        <w:t>q</w:t>
      </w:r>
      <w:r>
        <w:rPr>
          <w:noProof/>
        </w:rPr>
        <w:t xml:space="preserve"> per </w:t>
      </w:r>
      <w:r w:rsidR="00C53FD2">
        <w:rPr>
          <w:noProof/>
        </w:rPr>
        <w:t>person</w:t>
      </w:r>
      <w:r>
        <w:rPr>
          <w:noProof/>
        </w:rPr>
        <w:t xml:space="preserve"> (Lithuania) to 4.3 (Estonia) for the energy sector, and from 0.7</w:t>
      </w:r>
      <w:r w:rsidR="00C53FD2" w:rsidRPr="00C53FD2">
        <w:rPr>
          <w:noProof/>
        </w:rPr>
        <w:t xml:space="preserve"> </w:t>
      </w:r>
      <w:r w:rsidR="00C53FD2">
        <w:rPr>
          <w:noProof/>
        </w:rPr>
        <w:t>tCO</w:t>
      </w:r>
      <w:r w:rsidR="00C53FD2" w:rsidRPr="004D1008">
        <w:rPr>
          <w:noProof/>
          <w:vertAlign w:val="subscript"/>
        </w:rPr>
        <w:t>2</w:t>
      </w:r>
      <w:r w:rsidR="00E90515">
        <w:rPr>
          <w:noProof/>
        </w:rPr>
        <w:t>-e</w:t>
      </w:r>
      <w:r w:rsidR="00C53FD2">
        <w:rPr>
          <w:noProof/>
        </w:rPr>
        <w:t>q</w:t>
      </w:r>
      <w:r>
        <w:rPr>
          <w:noProof/>
        </w:rPr>
        <w:t xml:space="preserve"> per </w:t>
      </w:r>
      <w:r w:rsidR="00C53FD2">
        <w:rPr>
          <w:noProof/>
        </w:rPr>
        <w:t>person</w:t>
      </w:r>
      <w:r>
        <w:rPr>
          <w:noProof/>
        </w:rPr>
        <w:t xml:space="preserve"> (Malta) to 4.7 (Estonia) for industry. Due to the regional concentration of some activities, disparities across a country’s regions can be large. For example, in the Netherlands regional emissions from the energy sector range from </w:t>
      </w:r>
      <w:r w:rsidRPr="00EB06BC">
        <w:rPr>
          <w:noProof/>
        </w:rPr>
        <w:t xml:space="preserve">0.4 </w:t>
      </w:r>
      <w:r>
        <w:rPr>
          <w:noProof/>
        </w:rPr>
        <w:t>–</w:t>
      </w:r>
      <w:r w:rsidRPr="00EB06BC">
        <w:rPr>
          <w:noProof/>
        </w:rPr>
        <w:t xml:space="preserve"> 22</w:t>
      </w:r>
      <w:r>
        <w:rPr>
          <w:noProof/>
        </w:rPr>
        <w:t xml:space="preserve"> </w:t>
      </w:r>
      <w:r w:rsidR="00C53FD2">
        <w:rPr>
          <w:noProof/>
        </w:rPr>
        <w:t>tCO</w:t>
      </w:r>
      <w:r w:rsidR="00C53FD2" w:rsidRPr="004D1008">
        <w:rPr>
          <w:noProof/>
          <w:vertAlign w:val="subscript"/>
        </w:rPr>
        <w:t>2</w:t>
      </w:r>
      <w:r w:rsidR="00E90515">
        <w:rPr>
          <w:noProof/>
        </w:rPr>
        <w:t>-e</w:t>
      </w:r>
      <w:r w:rsidR="00C53FD2">
        <w:rPr>
          <w:noProof/>
        </w:rPr>
        <w:t xml:space="preserve">q per </w:t>
      </w:r>
      <w:r w:rsidRPr="00D91407">
        <w:rPr>
          <w:noProof/>
        </w:rPr>
        <w:t>person</w:t>
      </w:r>
      <w:r>
        <w:rPr>
          <w:noProof/>
        </w:rPr>
        <w:t xml:space="preserve"> and from industry from</w:t>
      </w:r>
      <w:r w:rsidRPr="00EB06BC">
        <w:rPr>
          <w:noProof/>
        </w:rPr>
        <w:t xml:space="preserve"> 1.2 - 21.4</w:t>
      </w:r>
      <w:r w:rsidRPr="00CE5E8F">
        <w:rPr>
          <w:noProof/>
        </w:rPr>
        <w:t xml:space="preserve"> </w:t>
      </w:r>
      <w:r w:rsidR="00C53FD2">
        <w:rPr>
          <w:noProof/>
        </w:rPr>
        <w:t>tCO</w:t>
      </w:r>
      <w:r w:rsidR="00C53FD2" w:rsidRPr="004D1008">
        <w:rPr>
          <w:noProof/>
          <w:vertAlign w:val="subscript"/>
        </w:rPr>
        <w:t>2</w:t>
      </w:r>
      <w:r w:rsidR="00E90515">
        <w:rPr>
          <w:noProof/>
        </w:rPr>
        <w:t>-e</w:t>
      </w:r>
      <w:r w:rsidR="00C53FD2">
        <w:rPr>
          <w:noProof/>
        </w:rPr>
        <w:t xml:space="preserve">q per </w:t>
      </w:r>
      <w:r w:rsidRPr="00D91407">
        <w:rPr>
          <w:noProof/>
        </w:rPr>
        <w:t>person</w:t>
      </w:r>
      <w:r>
        <w:rPr>
          <w:noProof/>
        </w:rPr>
        <w:t xml:space="preserve">. </w:t>
      </w:r>
    </w:p>
    <w:p w14:paraId="2B664CC9" w14:textId="654F9C83" w:rsidR="00304FA5" w:rsidRPr="00304FA5" w:rsidRDefault="00304FA5" w:rsidP="00304FA5">
      <w:pPr>
        <w:rPr>
          <w:noProof/>
          <w:color w:val="000000" w:themeColor="text1"/>
        </w:rPr>
      </w:pPr>
      <w:r w:rsidRPr="00304FA5">
        <w:rPr>
          <w:noProof/>
        </w:rPr>
        <w:t xml:space="preserve">Emissions from the transport and building sectors will be covered by the </w:t>
      </w:r>
      <w:r w:rsidR="00FA1FA4">
        <w:rPr>
          <w:noProof/>
        </w:rPr>
        <w:t>ETS2</w:t>
      </w:r>
      <w:r w:rsidRPr="00304FA5">
        <w:rPr>
          <w:noProof/>
        </w:rPr>
        <w:t xml:space="preserve">. To address potential social impacts of this new instrument, the Social Climate Fund will finance temporary direct income support for vulnerable households and support measures and investments that reduce these emissions (see more details in the enabling framework in </w:t>
      </w:r>
      <w:r w:rsidRPr="00B063DF">
        <w:rPr>
          <w:noProof/>
        </w:rPr>
        <w:t>Annex 9</w:t>
      </w:r>
      <w:r w:rsidRPr="00304FA5">
        <w:rPr>
          <w:noProof/>
        </w:rPr>
        <w:t>).</w:t>
      </w:r>
    </w:p>
    <w:p w14:paraId="33D46D39" w14:textId="3BC7E4A8" w:rsidR="0095711C" w:rsidRDefault="0095711C" w:rsidP="00E81A60">
      <w:pPr>
        <w:pStyle w:val="Caption"/>
        <w:rPr>
          <w:noProof/>
        </w:rPr>
      </w:pPr>
      <w:bookmarkStart w:id="822" w:name="_Ref146536473"/>
      <w:bookmarkStart w:id="823" w:name="_Ref141178674"/>
      <w:bookmarkStart w:id="824" w:name="_Toc157679937"/>
      <w:bookmarkStart w:id="825" w:name="_Ref146536468"/>
      <w:r w:rsidRPr="00B063DF">
        <w:rPr>
          <w:noProof/>
        </w:rPr>
        <w:t>Table</w:t>
      </w:r>
      <w:bookmarkEnd w:id="822"/>
      <w:r>
        <w:rPr>
          <w:noProof/>
        </w:rPr>
        <w:t xml:space="preserve"> </w:t>
      </w:r>
      <w:r>
        <w:rPr>
          <w:noProof/>
        </w:rPr>
        <w:fldChar w:fldCharType="begin"/>
      </w:r>
      <w:r>
        <w:rPr>
          <w:noProof/>
        </w:rPr>
        <w:instrText>SEQ Table \* ARABIC</w:instrText>
      </w:r>
      <w:r>
        <w:rPr>
          <w:noProof/>
        </w:rPr>
        <w:fldChar w:fldCharType="separate"/>
      </w:r>
      <w:r w:rsidR="00170A3C">
        <w:rPr>
          <w:noProof/>
        </w:rPr>
        <w:t>54</w:t>
      </w:r>
      <w:r>
        <w:rPr>
          <w:noProof/>
        </w:rPr>
        <w:fldChar w:fldCharType="end"/>
      </w:r>
      <w:bookmarkEnd w:id="823"/>
      <w:r>
        <w:rPr>
          <w:noProof/>
        </w:rPr>
        <w:t>: Sectoral</w:t>
      </w:r>
      <w:r w:rsidRPr="00D91407">
        <w:rPr>
          <w:noProof/>
        </w:rPr>
        <w:t xml:space="preserve"> per capita emissions </w:t>
      </w:r>
      <w:r>
        <w:rPr>
          <w:noProof/>
        </w:rPr>
        <w:t xml:space="preserve">and range </w:t>
      </w:r>
      <w:r w:rsidRPr="00D91407">
        <w:rPr>
          <w:noProof/>
        </w:rPr>
        <w:t xml:space="preserve">across regions </w:t>
      </w:r>
      <w:r>
        <w:rPr>
          <w:noProof/>
        </w:rPr>
        <w:t>in 1990</w:t>
      </w:r>
      <w:bookmarkEnd w:id="824"/>
      <w:r w:rsidRPr="00D91407">
        <w:rPr>
          <w:noProof/>
        </w:rPr>
        <w:t xml:space="preserve"> </w:t>
      </w:r>
      <w:bookmarkEnd w:id="825"/>
    </w:p>
    <w:tbl>
      <w:tblPr>
        <w:tblStyle w:val="EurolookLightBlue"/>
        <w:tblW w:w="8834" w:type="dxa"/>
        <w:tblLayout w:type="fixed"/>
        <w:tblLook w:val="04A0" w:firstRow="1" w:lastRow="0" w:firstColumn="1" w:lastColumn="0" w:noHBand="0" w:noVBand="1"/>
      </w:tblPr>
      <w:tblGrid>
        <w:gridCol w:w="1010"/>
        <w:gridCol w:w="1304"/>
        <w:gridCol w:w="164"/>
        <w:gridCol w:w="1140"/>
        <w:gridCol w:w="86"/>
        <w:gridCol w:w="1218"/>
        <w:gridCol w:w="121"/>
        <w:gridCol w:w="1183"/>
        <w:gridCol w:w="156"/>
        <w:gridCol w:w="1148"/>
        <w:gridCol w:w="78"/>
        <w:gridCol w:w="1226"/>
      </w:tblGrid>
      <w:tr w:rsidR="0095711C" w:rsidRPr="00835206" w14:paraId="76745514" w14:textId="77777777" w:rsidTr="0083520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hideMark/>
          </w:tcPr>
          <w:p w14:paraId="776EEA23" w14:textId="649E70D5" w:rsidR="0095711C" w:rsidRPr="00AE624E" w:rsidRDefault="00AE624E" w:rsidP="00E81A60">
            <w:pPr>
              <w:keepNext/>
              <w:spacing w:after="0"/>
              <w:jc w:val="center"/>
              <w:rPr>
                <w:rFonts w:ascii="EC Square Sans Cond Pro" w:eastAsia="CharisSIL" w:hAnsi="EC Square Sans Cond Pro" w:cs="Calibri Light"/>
                <w:b/>
                <w:noProof/>
                <w:sz w:val="22"/>
                <w:szCs w:val="22"/>
                <w:lang w:val="en-IE"/>
              </w:rPr>
            </w:pPr>
            <w:r w:rsidRPr="00AE624E">
              <w:rPr>
                <w:rFonts w:ascii="EC Square Sans Cond Pro" w:hAnsi="EC Square Sans Cond Pro"/>
                <w:noProof/>
                <w:color w:val="auto"/>
                <w:sz w:val="20"/>
                <w:szCs w:val="20"/>
              </w:rPr>
              <w:t>tCO</w:t>
            </w:r>
            <w:r w:rsidRPr="00AE624E">
              <w:rPr>
                <w:rFonts w:ascii="EC Square Sans Cond Pro" w:hAnsi="EC Square Sans Cond Pro"/>
                <w:noProof/>
                <w:color w:val="auto"/>
                <w:sz w:val="20"/>
                <w:szCs w:val="20"/>
                <w:vertAlign w:val="subscript"/>
              </w:rPr>
              <w:t>2</w:t>
            </w:r>
            <w:r w:rsidRPr="00AE624E">
              <w:rPr>
                <w:rFonts w:ascii="EC Square Sans Cond Pro" w:hAnsi="EC Square Sans Cond Pro"/>
                <w:noProof/>
                <w:color w:val="auto"/>
                <w:sz w:val="20"/>
                <w:szCs w:val="20"/>
              </w:rPr>
              <w:t>-eq per person</w:t>
            </w:r>
          </w:p>
        </w:tc>
        <w:tc>
          <w:tcPr>
            <w:tcW w:w="1304" w:type="dxa"/>
            <w:noWrap/>
            <w:hideMark/>
          </w:tcPr>
          <w:p w14:paraId="75193706" w14:textId="77777777" w:rsidR="0095711C" w:rsidRPr="00835206" w:rsidRDefault="0095711C" w:rsidP="00E81A60">
            <w:pPr>
              <w:keepNext/>
              <w:spacing w:after="0"/>
              <w:jc w:val="center"/>
              <w:cnfStyle w:val="100000000000" w:firstRow="1" w:lastRow="0" w:firstColumn="0" w:lastColumn="0" w:oddVBand="0" w:evenVBand="0" w:oddHBand="0" w:evenHBand="0" w:firstRowFirstColumn="0" w:firstRowLastColumn="0" w:lastRowFirstColumn="0" w:lastRowLastColumn="0"/>
              <w:rPr>
                <w:rFonts w:ascii="EC Square Sans Cond Pro" w:hAnsi="EC Square Sans Cond Pro" w:cs="Avenir Next LT Pro"/>
                <w:b/>
                <w:noProof/>
                <w:color w:val="000000"/>
                <w:sz w:val="18"/>
                <w:szCs w:val="18"/>
              </w:rPr>
            </w:pPr>
            <w:r w:rsidRPr="00835206">
              <w:rPr>
                <w:rFonts w:ascii="EC Square Sans Cond Pro" w:hAnsi="EC Square Sans Cond Pro" w:cs="Avenir Next LT Pro"/>
                <w:b/>
                <w:noProof/>
                <w:color w:val="000000"/>
                <w:sz w:val="18"/>
                <w:szCs w:val="18"/>
              </w:rPr>
              <w:t>Agriculture</w:t>
            </w:r>
          </w:p>
        </w:tc>
        <w:tc>
          <w:tcPr>
            <w:tcW w:w="1304" w:type="dxa"/>
            <w:gridSpan w:val="2"/>
            <w:noWrap/>
            <w:hideMark/>
          </w:tcPr>
          <w:p w14:paraId="6360DA30" w14:textId="77777777" w:rsidR="0095711C" w:rsidRPr="00835206" w:rsidRDefault="0095711C" w:rsidP="00E81A60">
            <w:pPr>
              <w:keepNext/>
              <w:spacing w:after="0"/>
              <w:jc w:val="center"/>
              <w:cnfStyle w:val="100000000000" w:firstRow="1" w:lastRow="0" w:firstColumn="0" w:lastColumn="0" w:oddVBand="0" w:evenVBand="0" w:oddHBand="0" w:evenHBand="0" w:firstRowFirstColumn="0" w:firstRowLastColumn="0" w:lastRowFirstColumn="0" w:lastRowLastColumn="0"/>
              <w:rPr>
                <w:rFonts w:ascii="EC Square Sans Cond Pro" w:hAnsi="EC Square Sans Cond Pro" w:cs="Avenir Next LT Pro"/>
                <w:b/>
                <w:noProof/>
                <w:color w:val="000000"/>
                <w:sz w:val="18"/>
                <w:szCs w:val="18"/>
              </w:rPr>
            </w:pPr>
            <w:r w:rsidRPr="00835206">
              <w:rPr>
                <w:rFonts w:ascii="EC Square Sans Cond Pro" w:hAnsi="EC Square Sans Cond Pro" w:cs="Avenir Next LT Pro"/>
                <w:b/>
                <w:noProof/>
                <w:color w:val="000000"/>
                <w:sz w:val="18"/>
                <w:szCs w:val="18"/>
              </w:rPr>
              <w:t>Buildings</w:t>
            </w:r>
          </w:p>
        </w:tc>
        <w:tc>
          <w:tcPr>
            <w:tcW w:w="1304" w:type="dxa"/>
            <w:gridSpan w:val="2"/>
            <w:noWrap/>
            <w:hideMark/>
          </w:tcPr>
          <w:p w14:paraId="159F4AC4" w14:textId="77777777" w:rsidR="0095711C" w:rsidRPr="00835206" w:rsidRDefault="0095711C" w:rsidP="00E81A60">
            <w:pPr>
              <w:keepNext/>
              <w:spacing w:after="0"/>
              <w:jc w:val="center"/>
              <w:cnfStyle w:val="100000000000" w:firstRow="1" w:lastRow="0" w:firstColumn="0" w:lastColumn="0" w:oddVBand="0" w:evenVBand="0" w:oddHBand="0" w:evenHBand="0" w:firstRowFirstColumn="0" w:firstRowLastColumn="0" w:lastRowFirstColumn="0" w:lastRowLastColumn="0"/>
              <w:rPr>
                <w:rFonts w:ascii="EC Square Sans Cond Pro" w:hAnsi="EC Square Sans Cond Pro" w:cs="Avenir Next LT Pro"/>
                <w:b/>
                <w:noProof/>
                <w:color w:val="000000"/>
                <w:sz w:val="18"/>
                <w:szCs w:val="18"/>
              </w:rPr>
            </w:pPr>
            <w:r w:rsidRPr="00835206">
              <w:rPr>
                <w:rFonts w:ascii="EC Square Sans Cond Pro" w:hAnsi="EC Square Sans Cond Pro" w:cs="Avenir Next LT Pro"/>
                <w:b/>
                <w:noProof/>
                <w:color w:val="000000"/>
                <w:sz w:val="18"/>
                <w:szCs w:val="18"/>
              </w:rPr>
              <w:t>Energy</w:t>
            </w:r>
          </w:p>
        </w:tc>
        <w:tc>
          <w:tcPr>
            <w:tcW w:w="1304" w:type="dxa"/>
            <w:gridSpan w:val="2"/>
            <w:noWrap/>
            <w:hideMark/>
          </w:tcPr>
          <w:p w14:paraId="1B040730" w14:textId="77777777" w:rsidR="0095711C" w:rsidRPr="00835206" w:rsidRDefault="0095711C" w:rsidP="00E81A60">
            <w:pPr>
              <w:keepNext/>
              <w:spacing w:after="0"/>
              <w:jc w:val="center"/>
              <w:cnfStyle w:val="100000000000" w:firstRow="1" w:lastRow="0" w:firstColumn="0" w:lastColumn="0" w:oddVBand="0" w:evenVBand="0" w:oddHBand="0" w:evenHBand="0" w:firstRowFirstColumn="0" w:firstRowLastColumn="0" w:lastRowFirstColumn="0" w:lastRowLastColumn="0"/>
              <w:rPr>
                <w:rFonts w:ascii="EC Square Sans Cond Pro" w:hAnsi="EC Square Sans Cond Pro" w:cs="Avenir Next LT Pro"/>
                <w:b/>
                <w:noProof/>
                <w:color w:val="000000"/>
                <w:sz w:val="18"/>
                <w:szCs w:val="18"/>
              </w:rPr>
            </w:pPr>
            <w:r w:rsidRPr="00835206">
              <w:rPr>
                <w:rFonts w:ascii="EC Square Sans Cond Pro" w:hAnsi="EC Square Sans Cond Pro" w:cs="Avenir Next LT Pro"/>
                <w:b/>
                <w:noProof/>
                <w:color w:val="000000"/>
                <w:sz w:val="18"/>
                <w:szCs w:val="18"/>
              </w:rPr>
              <w:t>Industry</w:t>
            </w:r>
          </w:p>
        </w:tc>
        <w:tc>
          <w:tcPr>
            <w:tcW w:w="1304" w:type="dxa"/>
            <w:gridSpan w:val="2"/>
            <w:noWrap/>
            <w:hideMark/>
          </w:tcPr>
          <w:p w14:paraId="049488F1" w14:textId="77777777" w:rsidR="0095711C" w:rsidRPr="00835206" w:rsidRDefault="0095711C" w:rsidP="00E81A60">
            <w:pPr>
              <w:keepNext/>
              <w:spacing w:after="0"/>
              <w:jc w:val="center"/>
              <w:cnfStyle w:val="100000000000" w:firstRow="1" w:lastRow="0" w:firstColumn="0" w:lastColumn="0" w:oddVBand="0" w:evenVBand="0" w:oddHBand="0" w:evenHBand="0" w:firstRowFirstColumn="0" w:firstRowLastColumn="0" w:lastRowFirstColumn="0" w:lastRowLastColumn="0"/>
              <w:rPr>
                <w:rFonts w:ascii="EC Square Sans Cond Pro" w:hAnsi="EC Square Sans Cond Pro" w:cs="Avenir Next LT Pro"/>
                <w:b/>
                <w:noProof/>
                <w:color w:val="000000"/>
                <w:sz w:val="18"/>
                <w:szCs w:val="18"/>
              </w:rPr>
            </w:pPr>
            <w:r w:rsidRPr="00835206">
              <w:rPr>
                <w:rFonts w:ascii="EC Square Sans Cond Pro" w:hAnsi="EC Square Sans Cond Pro" w:cs="Avenir Next LT Pro"/>
                <w:b/>
                <w:noProof/>
                <w:color w:val="000000"/>
                <w:sz w:val="18"/>
                <w:szCs w:val="18"/>
              </w:rPr>
              <w:t>Transport</w:t>
            </w:r>
          </w:p>
        </w:tc>
        <w:tc>
          <w:tcPr>
            <w:tcW w:w="1304" w:type="dxa"/>
            <w:gridSpan w:val="2"/>
            <w:noWrap/>
            <w:hideMark/>
          </w:tcPr>
          <w:p w14:paraId="51564A7C" w14:textId="77777777" w:rsidR="0095711C" w:rsidRPr="00835206" w:rsidRDefault="0095711C" w:rsidP="00E81A60">
            <w:pPr>
              <w:keepNext/>
              <w:spacing w:after="0"/>
              <w:jc w:val="center"/>
              <w:cnfStyle w:val="100000000000" w:firstRow="1" w:lastRow="0" w:firstColumn="0" w:lastColumn="0" w:oddVBand="0" w:evenVBand="0" w:oddHBand="0" w:evenHBand="0" w:firstRowFirstColumn="0" w:firstRowLastColumn="0" w:lastRowFirstColumn="0" w:lastRowLastColumn="0"/>
              <w:rPr>
                <w:rFonts w:ascii="EC Square Sans Cond Pro" w:hAnsi="EC Square Sans Cond Pro" w:cs="Avenir Next LT Pro"/>
                <w:b/>
                <w:noProof/>
                <w:color w:val="000000"/>
                <w:sz w:val="18"/>
                <w:szCs w:val="18"/>
              </w:rPr>
            </w:pPr>
            <w:r w:rsidRPr="00835206">
              <w:rPr>
                <w:rFonts w:ascii="EC Square Sans Cond Pro" w:hAnsi="EC Square Sans Cond Pro" w:cs="Avenir Next LT Pro"/>
                <w:b/>
                <w:noProof/>
                <w:color w:val="000000"/>
                <w:sz w:val="18"/>
                <w:szCs w:val="18"/>
              </w:rPr>
              <w:t>Waste</w:t>
            </w:r>
          </w:p>
        </w:tc>
      </w:tr>
      <w:tr w:rsidR="0095711C" w:rsidRPr="00835206" w14:paraId="77DAD00A" w14:textId="77777777" w:rsidTr="0083520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10" w:type="dxa"/>
            <w:noWrap/>
            <w:hideMark/>
          </w:tcPr>
          <w:p w14:paraId="67F0DEE4" w14:textId="77777777" w:rsidR="0095711C" w:rsidRPr="00835206" w:rsidRDefault="0095711C" w:rsidP="00E81A60">
            <w:pPr>
              <w:keepNext/>
              <w:spacing w:after="0"/>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Austria</w:t>
            </w:r>
          </w:p>
        </w:tc>
        <w:tc>
          <w:tcPr>
            <w:tcW w:w="1304" w:type="dxa"/>
            <w:noWrap/>
            <w:hideMark/>
          </w:tcPr>
          <w:p w14:paraId="1EA3D022"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1.2 (0 - 1.9)</w:t>
            </w:r>
          </w:p>
        </w:tc>
        <w:tc>
          <w:tcPr>
            <w:tcW w:w="1304" w:type="dxa"/>
            <w:gridSpan w:val="2"/>
            <w:noWrap/>
            <w:hideMark/>
          </w:tcPr>
          <w:p w14:paraId="0D747322"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1.8 (1.2 - 2.3)</w:t>
            </w:r>
          </w:p>
        </w:tc>
        <w:tc>
          <w:tcPr>
            <w:tcW w:w="1304" w:type="dxa"/>
            <w:gridSpan w:val="2"/>
            <w:noWrap/>
            <w:hideMark/>
          </w:tcPr>
          <w:p w14:paraId="47719D78"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1.9 (0.3 - 4.2)</w:t>
            </w:r>
          </w:p>
        </w:tc>
        <w:tc>
          <w:tcPr>
            <w:tcW w:w="1304" w:type="dxa"/>
            <w:gridSpan w:val="2"/>
            <w:noWrap/>
            <w:hideMark/>
          </w:tcPr>
          <w:p w14:paraId="6CB2CE52"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3.2 (1.1 - 7.3)</w:t>
            </w:r>
          </w:p>
        </w:tc>
        <w:tc>
          <w:tcPr>
            <w:tcW w:w="1304" w:type="dxa"/>
            <w:gridSpan w:val="2"/>
            <w:noWrap/>
            <w:hideMark/>
          </w:tcPr>
          <w:p w14:paraId="22A215CE"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1.8 (0.3 - 2.8)</w:t>
            </w:r>
          </w:p>
        </w:tc>
        <w:tc>
          <w:tcPr>
            <w:tcW w:w="1304" w:type="dxa"/>
            <w:gridSpan w:val="2"/>
            <w:noWrap/>
            <w:hideMark/>
          </w:tcPr>
          <w:p w14:paraId="3F2B369C"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0.8 (0.1 - 1.8)</w:t>
            </w:r>
          </w:p>
        </w:tc>
      </w:tr>
      <w:tr w:rsidR="0095711C" w:rsidRPr="00835206" w14:paraId="51F9C7CF" w14:textId="77777777" w:rsidTr="00835206">
        <w:trPr>
          <w:cnfStyle w:val="000000010000" w:firstRow="0" w:lastRow="0" w:firstColumn="0" w:lastColumn="0" w:oddVBand="0" w:evenVBand="0" w:oddHBand="0" w:evenHBand="1"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10" w:type="dxa"/>
            <w:noWrap/>
            <w:hideMark/>
          </w:tcPr>
          <w:p w14:paraId="206C19E1" w14:textId="77777777" w:rsidR="0095711C" w:rsidRPr="00835206" w:rsidRDefault="0095711C" w:rsidP="00E81A60">
            <w:pPr>
              <w:keepNext/>
              <w:spacing w:after="0"/>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Belgium</w:t>
            </w:r>
          </w:p>
        </w:tc>
        <w:tc>
          <w:tcPr>
            <w:tcW w:w="1304" w:type="dxa"/>
            <w:noWrap/>
            <w:hideMark/>
          </w:tcPr>
          <w:p w14:paraId="6E298528"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1.2 (0 - 4.4)</w:t>
            </w:r>
          </w:p>
        </w:tc>
        <w:tc>
          <w:tcPr>
            <w:tcW w:w="1304" w:type="dxa"/>
            <w:gridSpan w:val="2"/>
            <w:noWrap/>
            <w:hideMark/>
          </w:tcPr>
          <w:p w14:paraId="49E6471E"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2.7 (2 - 3.2)</w:t>
            </w:r>
          </w:p>
        </w:tc>
        <w:tc>
          <w:tcPr>
            <w:tcW w:w="1304" w:type="dxa"/>
            <w:gridSpan w:val="2"/>
            <w:noWrap/>
            <w:hideMark/>
          </w:tcPr>
          <w:p w14:paraId="22431FD8"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2.6 (0.1 - 5.3)</w:t>
            </w:r>
          </w:p>
        </w:tc>
        <w:tc>
          <w:tcPr>
            <w:tcW w:w="1304" w:type="dxa"/>
            <w:gridSpan w:val="2"/>
            <w:noWrap/>
            <w:hideMark/>
          </w:tcPr>
          <w:p w14:paraId="04296210"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5.3 (1.5 - 11.7)</w:t>
            </w:r>
          </w:p>
        </w:tc>
        <w:tc>
          <w:tcPr>
            <w:tcW w:w="1304" w:type="dxa"/>
            <w:gridSpan w:val="2"/>
            <w:noWrap/>
            <w:hideMark/>
          </w:tcPr>
          <w:p w14:paraId="42A3A2F4"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 (0.5 - 6.3)</w:t>
            </w:r>
          </w:p>
        </w:tc>
        <w:tc>
          <w:tcPr>
            <w:tcW w:w="1304" w:type="dxa"/>
            <w:gridSpan w:val="2"/>
            <w:noWrap/>
            <w:hideMark/>
          </w:tcPr>
          <w:p w14:paraId="1AAF4BC0"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0.7 (0.3 - 2.4)</w:t>
            </w:r>
          </w:p>
        </w:tc>
      </w:tr>
      <w:tr w:rsidR="0095711C" w:rsidRPr="00835206" w14:paraId="43D9F3A5" w14:textId="77777777" w:rsidTr="0083520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10" w:type="dxa"/>
            <w:noWrap/>
            <w:hideMark/>
          </w:tcPr>
          <w:p w14:paraId="76733FD7" w14:textId="77777777" w:rsidR="0095711C" w:rsidRPr="00835206" w:rsidRDefault="0095711C" w:rsidP="00E81A60">
            <w:pPr>
              <w:keepNext/>
              <w:spacing w:after="0"/>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Bulgaria</w:t>
            </w:r>
          </w:p>
        </w:tc>
        <w:tc>
          <w:tcPr>
            <w:tcW w:w="1304" w:type="dxa"/>
            <w:noWrap/>
            <w:hideMark/>
          </w:tcPr>
          <w:p w14:paraId="3E650DAC"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1.4 (0.7 - 1.7)</w:t>
            </w:r>
          </w:p>
        </w:tc>
        <w:tc>
          <w:tcPr>
            <w:tcW w:w="1304" w:type="dxa"/>
            <w:gridSpan w:val="2"/>
            <w:noWrap/>
            <w:hideMark/>
          </w:tcPr>
          <w:p w14:paraId="45CA4EFC"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0.9 (0.8 - 1)</w:t>
            </w:r>
          </w:p>
        </w:tc>
        <w:tc>
          <w:tcPr>
            <w:tcW w:w="1304" w:type="dxa"/>
            <w:gridSpan w:val="2"/>
            <w:noWrap/>
            <w:hideMark/>
          </w:tcPr>
          <w:p w14:paraId="7D44E8AB"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5 (1 - 15)</w:t>
            </w:r>
          </w:p>
        </w:tc>
        <w:tc>
          <w:tcPr>
            <w:tcW w:w="1304" w:type="dxa"/>
            <w:gridSpan w:val="2"/>
            <w:noWrap/>
            <w:hideMark/>
          </w:tcPr>
          <w:p w14:paraId="579EE121"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2.7 (0.8 - 3.8)</w:t>
            </w:r>
          </w:p>
        </w:tc>
        <w:tc>
          <w:tcPr>
            <w:tcW w:w="1304" w:type="dxa"/>
            <w:gridSpan w:val="2"/>
            <w:noWrap/>
            <w:hideMark/>
          </w:tcPr>
          <w:p w14:paraId="052F9651"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0.7 (0.6 - 0.9)</w:t>
            </w:r>
          </w:p>
        </w:tc>
        <w:tc>
          <w:tcPr>
            <w:tcW w:w="1304" w:type="dxa"/>
            <w:gridSpan w:val="2"/>
            <w:noWrap/>
            <w:hideMark/>
          </w:tcPr>
          <w:p w14:paraId="0DA6676A"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 (0.5 - 1.4)</w:t>
            </w:r>
          </w:p>
        </w:tc>
      </w:tr>
      <w:tr w:rsidR="0095711C" w:rsidRPr="00835206" w14:paraId="75FE3AE4" w14:textId="77777777" w:rsidTr="00835206">
        <w:trPr>
          <w:cnfStyle w:val="000000010000" w:firstRow="0" w:lastRow="0" w:firstColumn="0" w:lastColumn="0" w:oddVBand="0" w:evenVBand="0" w:oddHBand="0" w:evenHBand="1"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10" w:type="dxa"/>
            <w:noWrap/>
            <w:hideMark/>
          </w:tcPr>
          <w:p w14:paraId="1B64EC3E" w14:textId="77777777" w:rsidR="0095711C" w:rsidRPr="00835206" w:rsidRDefault="0095711C" w:rsidP="00E81A60">
            <w:pPr>
              <w:keepNext/>
              <w:spacing w:after="0"/>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Croatia</w:t>
            </w:r>
          </w:p>
        </w:tc>
        <w:tc>
          <w:tcPr>
            <w:tcW w:w="1304" w:type="dxa"/>
            <w:noWrap/>
            <w:hideMark/>
          </w:tcPr>
          <w:p w14:paraId="09C7BE33"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 (0.1 - 1.5)</w:t>
            </w:r>
          </w:p>
        </w:tc>
        <w:tc>
          <w:tcPr>
            <w:tcW w:w="1304" w:type="dxa"/>
            <w:gridSpan w:val="2"/>
            <w:noWrap/>
            <w:hideMark/>
          </w:tcPr>
          <w:p w14:paraId="4ED85C6E"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0.9 (0.5 - 1.1)</w:t>
            </w:r>
          </w:p>
        </w:tc>
        <w:tc>
          <w:tcPr>
            <w:tcW w:w="1304" w:type="dxa"/>
            <w:gridSpan w:val="2"/>
            <w:noWrap/>
            <w:hideMark/>
          </w:tcPr>
          <w:p w14:paraId="5D5EC0C0"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 (0.4 - 1.5)</w:t>
            </w:r>
          </w:p>
        </w:tc>
        <w:tc>
          <w:tcPr>
            <w:tcW w:w="1304" w:type="dxa"/>
            <w:gridSpan w:val="2"/>
            <w:noWrap/>
            <w:hideMark/>
          </w:tcPr>
          <w:p w14:paraId="171568F5"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3.6 (1.7 - 5.4)</w:t>
            </w:r>
          </w:p>
        </w:tc>
        <w:tc>
          <w:tcPr>
            <w:tcW w:w="1304" w:type="dxa"/>
            <w:gridSpan w:val="2"/>
            <w:noWrap/>
            <w:hideMark/>
          </w:tcPr>
          <w:p w14:paraId="2B68455D"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0.8 (0.2 - 1)</w:t>
            </w:r>
          </w:p>
        </w:tc>
        <w:tc>
          <w:tcPr>
            <w:tcW w:w="1304" w:type="dxa"/>
            <w:gridSpan w:val="2"/>
            <w:noWrap/>
            <w:hideMark/>
          </w:tcPr>
          <w:p w14:paraId="5A39C9C4"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0.2 (0.2 - 0.2)</w:t>
            </w:r>
          </w:p>
        </w:tc>
      </w:tr>
      <w:tr w:rsidR="0095711C" w:rsidRPr="00835206" w14:paraId="0EDE5DD6" w14:textId="77777777" w:rsidTr="0083520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10" w:type="dxa"/>
            <w:noWrap/>
            <w:hideMark/>
          </w:tcPr>
          <w:p w14:paraId="3526431A" w14:textId="77777777" w:rsidR="0095711C" w:rsidRPr="00835206" w:rsidRDefault="0095711C" w:rsidP="00E81A60">
            <w:pPr>
              <w:keepNext/>
              <w:spacing w:after="0"/>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Cyprus</w:t>
            </w:r>
          </w:p>
        </w:tc>
        <w:tc>
          <w:tcPr>
            <w:tcW w:w="1304" w:type="dxa"/>
            <w:noWrap/>
            <w:hideMark/>
          </w:tcPr>
          <w:p w14:paraId="17E9031B"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0.8 (0.8 – 0.8)</w:t>
            </w:r>
          </w:p>
        </w:tc>
        <w:tc>
          <w:tcPr>
            <w:tcW w:w="1304" w:type="dxa"/>
            <w:gridSpan w:val="2"/>
            <w:noWrap/>
            <w:hideMark/>
          </w:tcPr>
          <w:p w14:paraId="6128E14C"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0.3 (0.3 – 0.3)</w:t>
            </w:r>
          </w:p>
        </w:tc>
        <w:tc>
          <w:tcPr>
            <w:tcW w:w="1304" w:type="dxa"/>
            <w:gridSpan w:val="2"/>
            <w:noWrap/>
            <w:hideMark/>
          </w:tcPr>
          <w:p w14:paraId="78580D2D"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3 (3 – 3)</w:t>
            </w:r>
          </w:p>
        </w:tc>
        <w:tc>
          <w:tcPr>
            <w:tcW w:w="1304" w:type="dxa"/>
            <w:gridSpan w:val="2"/>
            <w:noWrap/>
            <w:hideMark/>
          </w:tcPr>
          <w:p w14:paraId="64FE7F1E"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2.6 (2.6 – 2.6)</w:t>
            </w:r>
          </w:p>
        </w:tc>
        <w:tc>
          <w:tcPr>
            <w:tcW w:w="1304" w:type="dxa"/>
            <w:gridSpan w:val="2"/>
            <w:noWrap/>
            <w:hideMark/>
          </w:tcPr>
          <w:p w14:paraId="125F80D6"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2.1 (2.1 -2.1)</w:t>
            </w:r>
          </w:p>
        </w:tc>
        <w:tc>
          <w:tcPr>
            <w:tcW w:w="1304" w:type="dxa"/>
            <w:gridSpan w:val="2"/>
            <w:noWrap/>
            <w:hideMark/>
          </w:tcPr>
          <w:p w14:paraId="74DE4A89"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0.6 (0.6 – 0.6)</w:t>
            </w:r>
          </w:p>
        </w:tc>
      </w:tr>
      <w:tr w:rsidR="0095711C" w:rsidRPr="00835206" w14:paraId="502CC3B2" w14:textId="77777777" w:rsidTr="00835206">
        <w:trPr>
          <w:cnfStyle w:val="000000010000" w:firstRow="0" w:lastRow="0" w:firstColumn="0" w:lastColumn="0" w:oddVBand="0" w:evenVBand="0" w:oddHBand="0" w:evenHBand="1"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10" w:type="dxa"/>
            <w:noWrap/>
            <w:hideMark/>
          </w:tcPr>
          <w:p w14:paraId="03C29C29" w14:textId="77777777" w:rsidR="0095711C" w:rsidRPr="00835206" w:rsidRDefault="0095711C" w:rsidP="00E81A60">
            <w:pPr>
              <w:keepNext/>
              <w:spacing w:after="0"/>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Czechia</w:t>
            </w:r>
          </w:p>
        </w:tc>
        <w:tc>
          <w:tcPr>
            <w:tcW w:w="1304" w:type="dxa"/>
            <w:noWrap/>
            <w:hideMark/>
          </w:tcPr>
          <w:p w14:paraId="5BED73F6"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1.7 (0 - 3.8)</w:t>
            </w:r>
          </w:p>
        </w:tc>
        <w:tc>
          <w:tcPr>
            <w:tcW w:w="1304" w:type="dxa"/>
            <w:gridSpan w:val="2"/>
            <w:noWrap/>
            <w:hideMark/>
          </w:tcPr>
          <w:p w14:paraId="3F867E82"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3 (2 - 3.3)</w:t>
            </w:r>
          </w:p>
        </w:tc>
        <w:tc>
          <w:tcPr>
            <w:tcW w:w="1304" w:type="dxa"/>
            <w:gridSpan w:val="2"/>
            <w:noWrap/>
            <w:hideMark/>
          </w:tcPr>
          <w:p w14:paraId="25B00869"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6.2 (1.4 - 27.4)</w:t>
            </w:r>
          </w:p>
        </w:tc>
        <w:tc>
          <w:tcPr>
            <w:tcW w:w="1304" w:type="dxa"/>
            <w:gridSpan w:val="2"/>
            <w:noWrap/>
            <w:hideMark/>
          </w:tcPr>
          <w:p w14:paraId="6D3F6D0C"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6.8 (3.2 - 24)</w:t>
            </w:r>
          </w:p>
        </w:tc>
        <w:tc>
          <w:tcPr>
            <w:tcW w:w="1304" w:type="dxa"/>
            <w:gridSpan w:val="2"/>
            <w:noWrap/>
            <w:hideMark/>
          </w:tcPr>
          <w:p w14:paraId="35475B73"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0.7 (0.2 - 1)</w:t>
            </w:r>
          </w:p>
        </w:tc>
        <w:tc>
          <w:tcPr>
            <w:tcW w:w="1304" w:type="dxa"/>
            <w:gridSpan w:val="2"/>
            <w:noWrap/>
            <w:hideMark/>
          </w:tcPr>
          <w:p w14:paraId="0D8C0872"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0.4 (0.2 - 1)</w:t>
            </w:r>
          </w:p>
        </w:tc>
      </w:tr>
      <w:tr w:rsidR="0095711C" w:rsidRPr="00835206" w14:paraId="7C061CF5" w14:textId="77777777" w:rsidTr="0083520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10" w:type="dxa"/>
            <w:noWrap/>
            <w:hideMark/>
          </w:tcPr>
          <w:p w14:paraId="605C6C0A" w14:textId="77777777" w:rsidR="0095711C" w:rsidRPr="00835206" w:rsidRDefault="0095711C" w:rsidP="00E81A60">
            <w:pPr>
              <w:keepNext/>
              <w:spacing w:after="0"/>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Denmark</w:t>
            </w:r>
          </w:p>
        </w:tc>
        <w:tc>
          <w:tcPr>
            <w:tcW w:w="1304" w:type="dxa"/>
            <w:noWrap/>
            <w:hideMark/>
          </w:tcPr>
          <w:p w14:paraId="54A99672"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2.4 (0.2 - 4.4)</w:t>
            </w:r>
          </w:p>
        </w:tc>
        <w:tc>
          <w:tcPr>
            <w:tcW w:w="1304" w:type="dxa"/>
            <w:gridSpan w:val="2"/>
            <w:noWrap/>
            <w:hideMark/>
          </w:tcPr>
          <w:p w14:paraId="08FD72F4"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1.7 (1.6 - 1.8)</w:t>
            </w:r>
          </w:p>
        </w:tc>
        <w:tc>
          <w:tcPr>
            <w:tcW w:w="1304" w:type="dxa"/>
            <w:gridSpan w:val="2"/>
            <w:noWrap/>
            <w:hideMark/>
          </w:tcPr>
          <w:p w14:paraId="7E2F9E74"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4.9 (1.7 - 12.9)</w:t>
            </w:r>
          </w:p>
        </w:tc>
        <w:tc>
          <w:tcPr>
            <w:tcW w:w="1304" w:type="dxa"/>
            <w:gridSpan w:val="2"/>
            <w:noWrap/>
            <w:hideMark/>
          </w:tcPr>
          <w:p w14:paraId="03DEC19A"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1.9 (1.2 - 2.9)</w:t>
            </w:r>
          </w:p>
        </w:tc>
        <w:tc>
          <w:tcPr>
            <w:tcW w:w="1304" w:type="dxa"/>
            <w:gridSpan w:val="2"/>
            <w:noWrap/>
            <w:hideMark/>
          </w:tcPr>
          <w:p w14:paraId="13B5F55C"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1.9 (1 - 2.5)</w:t>
            </w:r>
          </w:p>
        </w:tc>
        <w:tc>
          <w:tcPr>
            <w:tcW w:w="1304" w:type="dxa"/>
            <w:gridSpan w:val="2"/>
            <w:noWrap/>
            <w:hideMark/>
          </w:tcPr>
          <w:p w14:paraId="469277AE"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0.4 (0.2 - 0.7)</w:t>
            </w:r>
          </w:p>
        </w:tc>
      </w:tr>
      <w:tr w:rsidR="0095711C" w:rsidRPr="00835206" w14:paraId="7FAE92D4" w14:textId="77777777" w:rsidTr="00835206">
        <w:trPr>
          <w:cnfStyle w:val="000000010000" w:firstRow="0" w:lastRow="0" w:firstColumn="0" w:lastColumn="0" w:oddVBand="0" w:evenVBand="0" w:oddHBand="0" w:evenHBand="1"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10" w:type="dxa"/>
            <w:noWrap/>
            <w:hideMark/>
          </w:tcPr>
          <w:p w14:paraId="1191DF8A" w14:textId="77777777" w:rsidR="0095711C" w:rsidRPr="00835206" w:rsidRDefault="0095711C" w:rsidP="00E81A60">
            <w:pPr>
              <w:keepNext/>
              <w:spacing w:after="0"/>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Estonia</w:t>
            </w:r>
          </w:p>
        </w:tc>
        <w:tc>
          <w:tcPr>
            <w:tcW w:w="1304" w:type="dxa"/>
            <w:noWrap/>
            <w:hideMark/>
          </w:tcPr>
          <w:p w14:paraId="2439606A"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1.9 (1.9 – 1.9)</w:t>
            </w:r>
          </w:p>
        </w:tc>
        <w:tc>
          <w:tcPr>
            <w:tcW w:w="1304" w:type="dxa"/>
            <w:gridSpan w:val="2"/>
            <w:noWrap/>
            <w:hideMark/>
          </w:tcPr>
          <w:p w14:paraId="48348D96"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1.3 (1.3 – 1.3)</w:t>
            </w:r>
          </w:p>
        </w:tc>
        <w:tc>
          <w:tcPr>
            <w:tcW w:w="1304" w:type="dxa"/>
            <w:gridSpan w:val="2"/>
            <w:noWrap/>
            <w:hideMark/>
          </w:tcPr>
          <w:p w14:paraId="23288D7C"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16.8 (16.8 – 16.8)</w:t>
            </w:r>
          </w:p>
        </w:tc>
        <w:tc>
          <w:tcPr>
            <w:tcW w:w="1304" w:type="dxa"/>
            <w:gridSpan w:val="2"/>
            <w:noWrap/>
            <w:hideMark/>
          </w:tcPr>
          <w:p w14:paraId="65C8874A"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4.5 (4.5 – 4.5)</w:t>
            </w:r>
          </w:p>
        </w:tc>
        <w:tc>
          <w:tcPr>
            <w:tcW w:w="1304" w:type="dxa"/>
            <w:gridSpan w:val="2"/>
            <w:noWrap/>
            <w:hideMark/>
          </w:tcPr>
          <w:p w14:paraId="58FB1964"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1.5 (1.5 – 1.5)</w:t>
            </w:r>
          </w:p>
        </w:tc>
        <w:tc>
          <w:tcPr>
            <w:tcW w:w="1304" w:type="dxa"/>
            <w:gridSpan w:val="2"/>
            <w:noWrap/>
            <w:hideMark/>
          </w:tcPr>
          <w:p w14:paraId="340A06AB"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1.1 (1.1 – 1.1)</w:t>
            </w:r>
          </w:p>
        </w:tc>
      </w:tr>
      <w:tr w:rsidR="0095711C" w:rsidRPr="00835206" w14:paraId="70CAD325" w14:textId="77777777" w:rsidTr="0083520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10" w:type="dxa"/>
            <w:noWrap/>
            <w:hideMark/>
          </w:tcPr>
          <w:p w14:paraId="6743BE82" w14:textId="77777777" w:rsidR="0095711C" w:rsidRPr="00835206" w:rsidRDefault="0095711C" w:rsidP="00E81A60">
            <w:pPr>
              <w:keepNext/>
              <w:spacing w:after="0"/>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Finland</w:t>
            </w:r>
          </w:p>
        </w:tc>
        <w:tc>
          <w:tcPr>
            <w:tcW w:w="1304" w:type="dxa"/>
            <w:noWrap/>
            <w:hideMark/>
          </w:tcPr>
          <w:p w14:paraId="2CF065DB"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1.3 (0.3 - 2.5)</w:t>
            </w:r>
          </w:p>
        </w:tc>
        <w:tc>
          <w:tcPr>
            <w:tcW w:w="1304" w:type="dxa"/>
            <w:gridSpan w:val="2"/>
            <w:noWrap/>
            <w:hideMark/>
          </w:tcPr>
          <w:p w14:paraId="1D805A3A"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1.9 (0.1 - 2)</w:t>
            </w:r>
          </w:p>
        </w:tc>
        <w:tc>
          <w:tcPr>
            <w:tcW w:w="1304" w:type="dxa"/>
            <w:gridSpan w:val="2"/>
            <w:noWrap/>
            <w:hideMark/>
          </w:tcPr>
          <w:p w14:paraId="60122A7A"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3.8 (0.7 - 6.2)</w:t>
            </w:r>
          </w:p>
        </w:tc>
        <w:tc>
          <w:tcPr>
            <w:tcW w:w="1304" w:type="dxa"/>
            <w:gridSpan w:val="2"/>
            <w:noWrap/>
            <w:hideMark/>
          </w:tcPr>
          <w:p w14:paraId="33F46822"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4.1 (0 - 6.4)</w:t>
            </w:r>
          </w:p>
        </w:tc>
        <w:tc>
          <w:tcPr>
            <w:tcW w:w="1304" w:type="dxa"/>
            <w:gridSpan w:val="2"/>
            <w:noWrap/>
            <w:hideMark/>
          </w:tcPr>
          <w:p w14:paraId="424BA3B6"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2.2 (1.2 - 3.7)</w:t>
            </w:r>
          </w:p>
        </w:tc>
        <w:tc>
          <w:tcPr>
            <w:tcW w:w="1304" w:type="dxa"/>
            <w:gridSpan w:val="2"/>
            <w:noWrap/>
            <w:hideMark/>
          </w:tcPr>
          <w:p w14:paraId="6AD46245"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3.5 (0 - 4.6)</w:t>
            </w:r>
          </w:p>
        </w:tc>
      </w:tr>
      <w:tr w:rsidR="0095711C" w:rsidRPr="00835206" w14:paraId="5CCB9B72" w14:textId="77777777" w:rsidTr="00835206">
        <w:trPr>
          <w:cnfStyle w:val="000000010000" w:firstRow="0" w:lastRow="0" w:firstColumn="0" w:lastColumn="0" w:oddVBand="0" w:evenVBand="0" w:oddHBand="0" w:evenHBand="1"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10" w:type="dxa"/>
            <w:noWrap/>
            <w:hideMark/>
          </w:tcPr>
          <w:p w14:paraId="301329CE" w14:textId="77777777" w:rsidR="0095711C" w:rsidRPr="00835206" w:rsidRDefault="0095711C" w:rsidP="00E81A60">
            <w:pPr>
              <w:keepNext/>
              <w:spacing w:after="0"/>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France</w:t>
            </w:r>
          </w:p>
        </w:tc>
        <w:tc>
          <w:tcPr>
            <w:tcW w:w="1304" w:type="dxa"/>
            <w:noWrap/>
            <w:hideMark/>
          </w:tcPr>
          <w:p w14:paraId="6A3784F2"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1.5 (0.1 - 18)</w:t>
            </w:r>
          </w:p>
        </w:tc>
        <w:tc>
          <w:tcPr>
            <w:tcW w:w="1304" w:type="dxa"/>
            <w:gridSpan w:val="2"/>
            <w:noWrap/>
            <w:hideMark/>
          </w:tcPr>
          <w:p w14:paraId="6EF43232"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1.8 (0 - 2.6)</w:t>
            </w:r>
          </w:p>
        </w:tc>
        <w:tc>
          <w:tcPr>
            <w:tcW w:w="1304" w:type="dxa"/>
            <w:gridSpan w:val="2"/>
            <w:noWrap/>
            <w:hideMark/>
          </w:tcPr>
          <w:p w14:paraId="293692CA"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0.8 (0 - 3.3)</w:t>
            </w:r>
          </w:p>
        </w:tc>
        <w:tc>
          <w:tcPr>
            <w:tcW w:w="1304" w:type="dxa"/>
            <w:gridSpan w:val="2"/>
            <w:noWrap/>
            <w:hideMark/>
          </w:tcPr>
          <w:p w14:paraId="2DAA1524"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3 (0 - 7.4)</w:t>
            </w:r>
          </w:p>
        </w:tc>
        <w:tc>
          <w:tcPr>
            <w:tcW w:w="1304" w:type="dxa"/>
            <w:gridSpan w:val="2"/>
            <w:noWrap/>
            <w:hideMark/>
          </w:tcPr>
          <w:p w14:paraId="70F9E409"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1.9 (0.6 - 3.6)</w:t>
            </w:r>
          </w:p>
        </w:tc>
        <w:tc>
          <w:tcPr>
            <w:tcW w:w="1304" w:type="dxa"/>
            <w:gridSpan w:val="2"/>
            <w:noWrap/>
            <w:hideMark/>
          </w:tcPr>
          <w:p w14:paraId="3DAE24EE"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0.4 (0.1 - 3.6)</w:t>
            </w:r>
          </w:p>
        </w:tc>
      </w:tr>
      <w:tr w:rsidR="0095711C" w:rsidRPr="00835206" w14:paraId="5799385C" w14:textId="77777777" w:rsidTr="0083520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10" w:type="dxa"/>
            <w:noWrap/>
            <w:hideMark/>
          </w:tcPr>
          <w:p w14:paraId="0A174E37" w14:textId="77777777" w:rsidR="0095711C" w:rsidRPr="00835206" w:rsidRDefault="0095711C" w:rsidP="00E81A60">
            <w:pPr>
              <w:keepNext/>
              <w:spacing w:after="0"/>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Germany</w:t>
            </w:r>
          </w:p>
        </w:tc>
        <w:tc>
          <w:tcPr>
            <w:tcW w:w="1304" w:type="dxa"/>
            <w:noWrap/>
            <w:hideMark/>
          </w:tcPr>
          <w:p w14:paraId="3B2059BD"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1.1 (0 - 4.1)</w:t>
            </w:r>
          </w:p>
        </w:tc>
        <w:tc>
          <w:tcPr>
            <w:tcW w:w="1304" w:type="dxa"/>
            <w:gridSpan w:val="2"/>
            <w:noWrap/>
            <w:hideMark/>
          </w:tcPr>
          <w:p w14:paraId="631F859E"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2.8 (1.8 - 3.3)</w:t>
            </w:r>
          </w:p>
        </w:tc>
        <w:tc>
          <w:tcPr>
            <w:tcW w:w="1304" w:type="dxa"/>
            <w:gridSpan w:val="2"/>
            <w:noWrap/>
            <w:hideMark/>
          </w:tcPr>
          <w:p w14:paraId="4B55F60F"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4.8 (0.4 - 17.8)</w:t>
            </w:r>
          </w:p>
        </w:tc>
        <w:tc>
          <w:tcPr>
            <w:tcW w:w="1304" w:type="dxa"/>
            <w:gridSpan w:val="2"/>
            <w:noWrap/>
            <w:hideMark/>
          </w:tcPr>
          <w:p w14:paraId="3BCD7A5C"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4.2 (1.6 - 9.6)</w:t>
            </w:r>
          </w:p>
        </w:tc>
        <w:tc>
          <w:tcPr>
            <w:tcW w:w="1304" w:type="dxa"/>
            <w:gridSpan w:val="2"/>
            <w:noWrap/>
            <w:hideMark/>
          </w:tcPr>
          <w:p w14:paraId="54DBFE40"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 (0.5 - 4.4)</w:t>
            </w:r>
          </w:p>
        </w:tc>
        <w:tc>
          <w:tcPr>
            <w:tcW w:w="1304" w:type="dxa"/>
            <w:gridSpan w:val="2"/>
            <w:noWrap/>
            <w:hideMark/>
          </w:tcPr>
          <w:p w14:paraId="16B5CD7F"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0.6 (0.1 - 3.2)</w:t>
            </w:r>
          </w:p>
        </w:tc>
      </w:tr>
      <w:tr w:rsidR="0095711C" w:rsidRPr="00835206" w14:paraId="5983350E" w14:textId="77777777" w:rsidTr="00835206">
        <w:trPr>
          <w:cnfStyle w:val="000000010000" w:firstRow="0" w:lastRow="0" w:firstColumn="0" w:lastColumn="0" w:oddVBand="0" w:evenVBand="0" w:oddHBand="0" w:evenHBand="1"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10" w:type="dxa"/>
            <w:noWrap/>
            <w:hideMark/>
          </w:tcPr>
          <w:p w14:paraId="2C13F63E" w14:textId="77777777" w:rsidR="0095711C" w:rsidRPr="00835206" w:rsidRDefault="0095711C" w:rsidP="00E81A60">
            <w:pPr>
              <w:keepNext/>
              <w:spacing w:after="0"/>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Greece</w:t>
            </w:r>
          </w:p>
        </w:tc>
        <w:tc>
          <w:tcPr>
            <w:tcW w:w="1304" w:type="dxa"/>
            <w:noWrap/>
            <w:hideMark/>
          </w:tcPr>
          <w:p w14:paraId="14DA73AE"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0.9 (0 - 2.8)</w:t>
            </w:r>
          </w:p>
        </w:tc>
        <w:tc>
          <w:tcPr>
            <w:tcW w:w="1304" w:type="dxa"/>
            <w:gridSpan w:val="2"/>
            <w:noWrap/>
            <w:hideMark/>
          </w:tcPr>
          <w:p w14:paraId="1B9494CF"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0.9 (0.6 - 1.2)</w:t>
            </w:r>
          </w:p>
        </w:tc>
        <w:tc>
          <w:tcPr>
            <w:tcW w:w="1304" w:type="dxa"/>
            <w:gridSpan w:val="2"/>
            <w:noWrap/>
            <w:hideMark/>
          </w:tcPr>
          <w:p w14:paraId="2E1D7E53"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3.5 (0 - 88.6)</w:t>
            </w:r>
          </w:p>
        </w:tc>
        <w:tc>
          <w:tcPr>
            <w:tcW w:w="1304" w:type="dxa"/>
            <w:gridSpan w:val="2"/>
            <w:noWrap/>
            <w:hideMark/>
          </w:tcPr>
          <w:p w14:paraId="3C8407AD"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2.7 (1.1 - 7.4)</w:t>
            </w:r>
          </w:p>
        </w:tc>
        <w:tc>
          <w:tcPr>
            <w:tcW w:w="1304" w:type="dxa"/>
            <w:gridSpan w:val="2"/>
            <w:noWrap/>
            <w:hideMark/>
          </w:tcPr>
          <w:p w14:paraId="3027434D"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1.2 (0.5 - 2.5)</w:t>
            </w:r>
          </w:p>
        </w:tc>
        <w:tc>
          <w:tcPr>
            <w:tcW w:w="1304" w:type="dxa"/>
            <w:gridSpan w:val="2"/>
            <w:noWrap/>
            <w:hideMark/>
          </w:tcPr>
          <w:p w14:paraId="6D4DB770"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0.4 (0.1 - 1.1)</w:t>
            </w:r>
          </w:p>
        </w:tc>
      </w:tr>
      <w:tr w:rsidR="0095711C" w:rsidRPr="00835206" w14:paraId="245AC7C5" w14:textId="77777777" w:rsidTr="0083520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10" w:type="dxa"/>
            <w:noWrap/>
            <w:hideMark/>
          </w:tcPr>
          <w:p w14:paraId="19972D2F" w14:textId="77777777" w:rsidR="0095711C" w:rsidRPr="00835206" w:rsidRDefault="0095711C" w:rsidP="00E81A60">
            <w:pPr>
              <w:keepNext/>
              <w:spacing w:after="0"/>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Hungary</w:t>
            </w:r>
          </w:p>
        </w:tc>
        <w:tc>
          <w:tcPr>
            <w:tcW w:w="1304" w:type="dxa"/>
            <w:noWrap/>
            <w:hideMark/>
          </w:tcPr>
          <w:p w14:paraId="57AD2868"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1.1 (0 - 1.9)</w:t>
            </w:r>
          </w:p>
        </w:tc>
        <w:tc>
          <w:tcPr>
            <w:tcW w:w="1304" w:type="dxa"/>
            <w:gridSpan w:val="2"/>
            <w:noWrap/>
            <w:hideMark/>
          </w:tcPr>
          <w:p w14:paraId="28F410CC"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 (1.1 - 3)</w:t>
            </w:r>
          </w:p>
        </w:tc>
        <w:tc>
          <w:tcPr>
            <w:tcW w:w="1304" w:type="dxa"/>
            <w:gridSpan w:val="2"/>
            <w:noWrap/>
            <w:hideMark/>
          </w:tcPr>
          <w:p w14:paraId="363534FB"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 (0.1 - 8.5)</w:t>
            </w:r>
          </w:p>
        </w:tc>
        <w:tc>
          <w:tcPr>
            <w:tcW w:w="1304" w:type="dxa"/>
            <w:gridSpan w:val="2"/>
            <w:noWrap/>
            <w:hideMark/>
          </w:tcPr>
          <w:p w14:paraId="323E56FA"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2.7 (0.8 - 8.1)</w:t>
            </w:r>
          </w:p>
        </w:tc>
        <w:tc>
          <w:tcPr>
            <w:tcW w:w="1304" w:type="dxa"/>
            <w:gridSpan w:val="2"/>
            <w:noWrap/>
            <w:hideMark/>
          </w:tcPr>
          <w:p w14:paraId="1C9B8DD6"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0.8 (0.2 - 1.1)</w:t>
            </w:r>
          </w:p>
        </w:tc>
        <w:tc>
          <w:tcPr>
            <w:tcW w:w="1304" w:type="dxa"/>
            <w:gridSpan w:val="2"/>
            <w:noWrap/>
            <w:hideMark/>
          </w:tcPr>
          <w:p w14:paraId="169D1C7E"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0.6 (0.5 - 0.9)</w:t>
            </w:r>
          </w:p>
        </w:tc>
      </w:tr>
      <w:tr w:rsidR="0095711C" w:rsidRPr="00835206" w14:paraId="14FE6617" w14:textId="77777777" w:rsidTr="00835206">
        <w:trPr>
          <w:cnfStyle w:val="000000010000" w:firstRow="0" w:lastRow="0" w:firstColumn="0" w:lastColumn="0" w:oddVBand="0" w:evenVBand="0" w:oddHBand="0" w:evenHBand="1"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10" w:type="dxa"/>
            <w:noWrap/>
            <w:hideMark/>
          </w:tcPr>
          <w:p w14:paraId="49AE9AAC" w14:textId="77777777" w:rsidR="0095711C" w:rsidRPr="00835206" w:rsidRDefault="0095711C" w:rsidP="00E81A60">
            <w:pPr>
              <w:keepNext/>
              <w:spacing w:after="0"/>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Ireland</w:t>
            </w:r>
          </w:p>
        </w:tc>
        <w:tc>
          <w:tcPr>
            <w:tcW w:w="1304" w:type="dxa"/>
            <w:noWrap/>
            <w:hideMark/>
          </w:tcPr>
          <w:p w14:paraId="4A70849C"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6 (2.7 - 9.7)</w:t>
            </w:r>
          </w:p>
        </w:tc>
        <w:tc>
          <w:tcPr>
            <w:tcW w:w="1304" w:type="dxa"/>
            <w:gridSpan w:val="2"/>
            <w:noWrap/>
            <w:hideMark/>
          </w:tcPr>
          <w:p w14:paraId="599C437D"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3.1 (2.8 - 3.6)</w:t>
            </w:r>
          </w:p>
        </w:tc>
        <w:tc>
          <w:tcPr>
            <w:tcW w:w="1304" w:type="dxa"/>
            <w:gridSpan w:val="2"/>
            <w:noWrap/>
            <w:hideMark/>
          </w:tcPr>
          <w:p w14:paraId="5AD6050D"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3.1 (0.2 - 7.7)</w:t>
            </w:r>
          </w:p>
        </w:tc>
        <w:tc>
          <w:tcPr>
            <w:tcW w:w="1304" w:type="dxa"/>
            <w:gridSpan w:val="2"/>
            <w:noWrap/>
            <w:hideMark/>
          </w:tcPr>
          <w:p w14:paraId="5F8C9A1D"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2.4 (1.3 - 3.1)</w:t>
            </w:r>
          </w:p>
        </w:tc>
        <w:tc>
          <w:tcPr>
            <w:tcW w:w="1304" w:type="dxa"/>
            <w:gridSpan w:val="2"/>
            <w:noWrap/>
            <w:hideMark/>
          </w:tcPr>
          <w:p w14:paraId="300134EF"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1.4 (1 - 1.9)</w:t>
            </w:r>
          </w:p>
        </w:tc>
        <w:tc>
          <w:tcPr>
            <w:tcW w:w="1304" w:type="dxa"/>
            <w:gridSpan w:val="2"/>
            <w:noWrap/>
            <w:hideMark/>
          </w:tcPr>
          <w:p w14:paraId="39588BF7"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0.6 (0.3 - 1.5)</w:t>
            </w:r>
          </w:p>
        </w:tc>
      </w:tr>
      <w:tr w:rsidR="0095711C" w:rsidRPr="00835206" w14:paraId="213CA1ED" w14:textId="77777777" w:rsidTr="0083520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10" w:type="dxa"/>
            <w:noWrap/>
            <w:hideMark/>
          </w:tcPr>
          <w:p w14:paraId="7E9F2E48" w14:textId="77777777" w:rsidR="0095711C" w:rsidRPr="00835206" w:rsidRDefault="0095711C" w:rsidP="00E81A60">
            <w:pPr>
              <w:keepNext/>
              <w:spacing w:after="0"/>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Italy</w:t>
            </w:r>
          </w:p>
        </w:tc>
        <w:tc>
          <w:tcPr>
            <w:tcW w:w="1304" w:type="dxa"/>
            <w:noWrap/>
            <w:hideMark/>
          </w:tcPr>
          <w:p w14:paraId="3BBF8D9F"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0.7 (0.1 - 1.9)</w:t>
            </w:r>
          </w:p>
        </w:tc>
        <w:tc>
          <w:tcPr>
            <w:tcW w:w="1304" w:type="dxa"/>
            <w:gridSpan w:val="2"/>
            <w:noWrap/>
            <w:hideMark/>
          </w:tcPr>
          <w:p w14:paraId="3EA8E434"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1.4 (1.3 - 1.6)</w:t>
            </w:r>
          </w:p>
        </w:tc>
        <w:tc>
          <w:tcPr>
            <w:tcW w:w="1304" w:type="dxa"/>
            <w:gridSpan w:val="2"/>
            <w:noWrap/>
            <w:hideMark/>
          </w:tcPr>
          <w:p w14:paraId="704777C1"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2.2 (0.1 - 6.2)</w:t>
            </w:r>
          </w:p>
        </w:tc>
        <w:tc>
          <w:tcPr>
            <w:tcW w:w="1304" w:type="dxa"/>
            <w:gridSpan w:val="2"/>
            <w:noWrap/>
            <w:hideMark/>
          </w:tcPr>
          <w:p w14:paraId="00CA114A"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2.9 (1.3 - 6)</w:t>
            </w:r>
          </w:p>
        </w:tc>
        <w:tc>
          <w:tcPr>
            <w:tcW w:w="1304" w:type="dxa"/>
            <w:gridSpan w:val="2"/>
            <w:noWrap/>
            <w:hideMark/>
          </w:tcPr>
          <w:p w14:paraId="63060631"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1.7 (0.9 - 5.6)</w:t>
            </w:r>
          </w:p>
        </w:tc>
        <w:tc>
          <w:tcPr>
            <w:tcW w:w="1304" w:type="dxa"/>
            <w:gridSpan w:val="2"/>
            <w:noWrap/>
            <w:hideMark/>
          </w:tcPr>
          <w:p w14:paraId="79287C7C"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0.5 (0.1 - 1.5)</w:t>
            </w:r>
          </w:p>
        </w:tc>
      </w:tr>
      <w:tr w:rsidR="0095711C" w:rsidRPr="00835206" w14:paraId="27BE41DB" w14:textId="77777777" w:rsidTr="00835206">
        <w:trPr>
          <w:cnfStyle w:val="000000010000" w:firstRow="0" w:lastRow="0" w:firstColumn="0" w:lastColumn="0" w:oddVBand="0" w:evenVBand="0" w:oddHBand="0" w:evenHBand="1"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10" w:type="dxa"/>
            <w:noWrap/>
            <w:hideMark/>
          </w:tcPr>
          <w:p w14:paraId="2E1CC4C2" w14:textId="77777777" w:rsidR="0095711C" w:rsidRPr="00835206" w:rsidRDefault="0095711C" w:rsidP="00E81A60">
            <w:pPr>
              <w:keepNext/>
              <w:spacing w:after="0"/>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Latvia</w:t>
            </w:r>
          </w:p>
        </w:tc>
        <w:tc>
          <w:tcPr>
            <w:tcW w:w="1304" w:type="dxa"/>
            <w:noWrap/>
            <w:hideMark/>
          </w:tcPr>
          <w:p w14:paraId="20B52124"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2.4 (2.4 - 2.4)</w:t>
            </w:r>
          </w:p>
        </w:tc>
        <w:tc>
          <w:tcPr>
            <w:tcW w:w="1304" w:type="dxa"/>
            <w:gridSpan w:val="2"/>
            <w:noWrap/>
            <w:hideMark/>
          </w:tcPr>
          <w:p w14:paraId="5FC533AC"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1.4 (1.4 – 1.4)</w:t>
            </w:r>
          </w:p>
        </w:tc>
        <w:tc>
          <w:tcPr>
            <w:tcW w:w="1304" w:type="dxa"/>
            <w:gridSpan w:val="2"/>
            <w:noWrap/>
            <w:hideMark/>
          </w:tcPr>
          <w:p w14:paraId="2B5C4645"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3.7 (3.7 – 3.7)</w:t>
            </w:r>
          </w:p>
        </w:tc>
        <w:tc>
          <w:tcPr>
            <w:tcW w:w="1304" w:type="dxa"/>
            <w:gridSpan w:val="2"/>
            <w:noWrap/>
            <w:hideMark/>
          </w:tcPr>
          <w:p w14:paraId="0E00976A"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1.6 (1.6 – 1.6)</w:t>
            </w:r>
          </w:p>
        </w:tc>
        <w:tc>
          <w:tcPr>
            <w:tcW w:w="1304" w:type="dxa"/>
            <w:gridSpan w:val="2"/>
            <w:noWrap/>
            <w:hideMark/>
          </w:tcPr>
          <w:p w14:paraId="47BD88E3"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1.1 (1.1 – 1.1)</w:t>
            </w:r>
          </w:p>
        </w:tc>
        <w:tc>
          <w:tcPr>
            <w:tcW w:w="1304" w:type="dxa"/>
            <w:gridSpan w:val="2"/>
            <w:noWrap/>
            <w:hideMark/>
          </w:tcPr>
          <w:p w14:paraId="4D393BF7"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0.2 (0.2 – 0.2)</w:t>
            </w:r>
          </w:p>
        </w:tc>
      </w:tr>
      <w:tr w:rsidR="0095711C" w:rsidRPr="00835206" w14:paraId="1C78290C" w14:textId="77777777" w:rsidTr="0083520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10" w:type="dxa"/>
            <w:noWrap/>
            <w:hideMark/>
          </w:tcPr>
          <w:p w14:paraId="48F14134" w14:textId="77777777" w:rsidR="0095711C" w:rsidRPr="00835206" w:rsidRDefault="0095711C" w:rsidP="00E81A60">
            <w:pPr>
              <w:keepNext/>
              <w:spacing w:after="0"/>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Lithuania</w:t>
            </w:r>
          </w:p>
        </w:tc>
        <w:tc>
          <w:tcPr>
            <w:tcW w:w="1304" w:type="dxa"/>
            <w:noWrap/>
            <w:hideMark/>
          </w:tcPr>
          <w:p w14:paraId="6A5F4F24"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2.4 (0.8 - 2.9)</w:t>
            </w:r>
          </w:p>
        </w:tc>
        <w:tc>
          <w:tcPr>
            <w:tcW w:w="1304" w:type="dxa"/>
            <w:gridSpan w:val="2"/>
            <w:noWrap/>
            <w:hideMark/>
          </w:tcPr>
          <w:p w14:paraId="656BFD74"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 (1.6 - 2.1)</w:t>
            </w:r>
          </w:p>
        </w:tc>
        <w:tc>
          <w:tcPr>
            <w:tcW w:w="1304" w:type="dxa"/>
            <w:gridSpan w:val="2"/>
            <w:noWrap/>
            <w:hideMark/>
          </w:tcPr>
          <w:p w14:paraId="7AE74220"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3.3 (1 - 10)</w:t>
            </w:r>
          </w:p>
        </w:tc>
        <w:tc>
          <w:tcPr>
            <w:tcW w:w="1304" w:type="dxa"/>
            <w:gridSpan w:val="2"/>
            <w:noWrap/>
            <w:hideMark/>
          </w:tcPr>
          <w:p w14:paraId="14E0B08D"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3.2 (2 - 3.6)</w:t>
            </w:r>
          </w:p>
        </w:tc>
        <w:tc>
          <w:tcPr>
            <w:tcW w:w="1304" w:type="dxa"/>
            <w:gridSpan w:val="2"/>
            <w:noWrap/>
            <w:hideMark/>
          </w:tcPr>
          <w:p w14:paraId="0AE1CC7F"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1.5 (1.1 - 1.7)</w:t>
            </w:r>
          </w:p>
        </w:tc>
        <w:tc>
          <w:tcPr>
            <w:tcW w:w="1304" w:type="dxa"/>
            <w:gridSpan w:val="2"/>
            <w:noWrap/>
            <w:hideMark/>
          </w:tcPr>
          <w:p w14:paraId="136ECB41"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0.4 (0.1 - 0.5)</w:t>
            </w:r>
          </w:p>
        </w:tc>
      </w:tr>
      <w:tr w:rsidR="0095711C" w:rsidRPr="00835206" w14:paraId="4ED495D9" w14:textId="77777777" w:rsidTr="00835206">
        <w:trPr>
          <w:cnfStyle w:val="000000010000" w:firstRow="0" w:lastRow="0" w:firstColumn="0" w:lastColumn="0" w:oddVBand="0" w:evenVBand="0" w:oddHBand="0" w:evenHBand="1"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10" w:type="dxa"/>
            <w:noWrap/>
            <w:hideMark/>
          </w:tcPr>
          <w:p w14:paraId="48CB802F" w14:textId="77777777" w:rsidR="0095711C" w:rsidRPr="00835206" w:rsidRDefault="0095711C" w:rsidP="00E81A60">
            <w:pPr>
              <w:keepNext/>
              <w:spacing w:after="0"/>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Luxembourg</w:t>
            </w:r>
          </w:p>
        </w:tc>
        <w:tc>
          <w:tcPr>
            <w:tcW w:w="1304" w:type="dxa"/>
            <w:noWrap/>
            <w:hideMark/>
          </w:tcPr>
          <w:p w14:paraId="42016836"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1.7 (1.7 – 1.7)</w:t>
            </w:r>
          </w:p>
        </w:tc>
        <w:tc>
          <w:tcPr>
            <w:tcW w:w="1304" w:type="dxa"/>
            <w:gridSpan w:val="2"/>
            <w:noWrap/>
            <w:hideMark/>
          </w:tcPr>
          <w:p w14:paraId="4B07B0FD"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3.5 (3.5 – 3.5)</w:t>
            </w:r>
          </w:p>
        </w:tc>
        <w:tc>
          <w:tcPr>
            <w:tcW w:w="1304" w:type="dxa"/>
            <w:gridSpan w:val="2"/>
            <w:noWrap/>
            <w:hideMark/>
          </w:tcPr>
          <w:p w14:paraId="011DBDCB"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4.6 (4.6- 4.6)</w:t>
            </w:r>
          </w:p>
        </w:tc>
        <w:tc>
          <w:tcPr>
            <w:tcW w:w="1304" w:type="dxa"/>
            <w:gridSpan w:val="2"/>
            <w:noWrap/>
            <w:hideMark/>
          </w:tcPr>
          <w:p w14:paraId="6D06CD17"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16.3 (16.3 – 16.3)</w:t>
            </w:r>
          </w:p>
        </w:tc>
        <w:tc>
          <w:tcPr>
            <w:tcW w:w="1304" w:type="dxa"/>
            <w:gridSpan w:val="2"/>
            <w:noWrap/>
            <w:hideMark/>
          </w:tcPr>
          <w:p w14:paraId="38F6DBFA"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7 (7 - 7)</w:t>
            </w:r>
          </w:p>
        </w:tc>
        <w:tc>
          <w:tcPr>
            <w:tcW w:w="1304" w:type="dxa"/>
            <w:gridSpan w:val="2"/>
            <w:noWrap/>
            <w:hideMark/>
          </w:tcPr>
          <w:p w14:paraId="7161C522"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0.3 (0.3 – 0.3)</w:t>
            </w:r>
          </w:p>
        </w:tc>
      </w:tr>
      <w:tr w:rsidR="0095711C" w:rsidRPr="00835206" w14:paraId="0DCCE1B8" w14:textId="77777777" w:rsidTr="0083520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10" w:type="dxa"/>
            <w:noWrap/>
            <w:hideMark/>
          </w:tcPr>
          <w:p w14:paraId="4C858045" w14:textId="77777777" w:rsidR="0095711C" w:rsidRPr="00835206" w:rsidRDefault="0095711C" w:rsidP="00E81A60">
            <w:pPr>
              <w:keepNext/>
              <w:spacing w:after="0"/>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Malta</w:t>
            </w:r>
          </w:p>
        </w:tc>
        <w:tc>
          <w:tcPr>
            <w:tcW w:w="1304" w:type="dxa"/>
            <w:noWrap/>
            <w:hideMark/>
          </w:tcPr>
          <w:p w14:paraId="3896BA1F"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0.3 (0.3 – 0.3)</w:t>
            </w:r>
          </w:p>
        </w:tc>
        <w:tc>
          <w:tcPr>
            <w:tcW w:w="1304" w:type="dxa"/>
            <w:gridSpan w:val="2"/>
            <w:noWrap/>
            <w:hideMark/>
          </w:tcPr>
          <w:p w14:paraId="096F160D"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0.3 (0.3 – 0.3)</w:t>
            </w:r>
          </w:p>
        </w:tc>
        <w:tc>
          <w:tcPr>
            <w:tcW w:w="1304" w:type="dxa"/>
            <w:gridSpan w:val="2"/>
            <w:noWrap/>
            <w:hideMark/>
          </w:tcPr>
          <w:p w14:paraId="05AD9B96"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5 (5 – 5)</w:t>
            </w:r>
          </w:p>
        </w:tc>
        <w:tc>
          <w:tcPr>
            <w:tcW w:w="1304" w:type="dxa"/>
            <w:gridSpan w:val="2"/>
            <w:noWrap/>
            <w:hideMark/>
          </w:tcPr>
          <w:p w14:paraId="70367912"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0.1 (0.1 – 0.1)</w:t>
            </w:r>
          </w:p>
        </w:tc>
        <w:tc>
          <w:tcPr>
            <w:tcW w:w="1304" w:type="dxa"/>
            <w:gridSpan w:val="2"/>
            <w:noWrap/>
            <w:hideMark/>
          </w:tcPr>
          <w:p w14:paraId="74CF8E7D"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1.3 (1.3 – 1.3)</w:t>
            </w:r>
          </w:p>
        </w:tc>
        <w:tc>
          <w:tcPr>
            <w:tcW w:w="1304" w:type="dxa"/>
            <w:gridSpan w:val="2"/>
            <w:noWrap/>
            <w:hideMark/>
          </w:tcPr>
          <w:p w14:paraId="599A416D"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0.1 (0.1 – 0.1)</w:t>
            </w:r>
          </w:p>
        </w:tc>
      </w:tr>
      <w:tr w:rsidR="0095711C" w:rsidRPr="00835206" w14:paraId="6EE19960" w14:textId="77777777" w:rsidTr="00835206">
        <w:trPr>
          <w:cnfStyle w:val="000000010000" w:firstRow="0" w:lastRow="0" w:firstColumn="0" w:lastColumn="0" w:oddVBand="0" w:evenVBand="0" w:oddHBand="0" w:evenHBand="1"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10" w:type="dxa"/>
            <w:noWrap/>
            <w:hideMark/>
          </w:tcPr>
          <w:p w14:paraId="07FC11A2" w14:textId="77777777" w:rsidR="0095711C" w:rsidRPr="00835206" w:rsidRDefault="0095711C" w:rsidP="00E81A60">
            <w:pPr>
              <w:keepNext/>
              <w:spacing w:after="0"/>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Netherlands</w:t>
            </w:r>
          </w:p>
        </w:tc>
        <w:tc>
          <w:tcPr>
            <w:tcW w:w="1304" w:type="dxa"/>
            <w:noWrap/>
            <w:hideMark/>
          </w:tcPr>
          <w:p w14:paraId="6C3D39C2"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1.5 (0.3 - 4.2)</w:t>
            </w:r>
          </w:p>
        </w:tc>
        <w:tc>
          <w:tcPr>
            <w:tcW w:w="1304" w:type="dxa"/>
            <w:gridSpan w:val="2"/>
            <w:noWrap/>
            <w:hideMark/>
          </w:tcPr>
          <w:p w14:paraId="03DDB361"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2.6 (2.3 - 3.9)</w:t>
            </w:r>
          </w:p>
        </w:tc>
        <w:tc>
          <w:tcPr>
            <w:tcW w:w="1304" w:type="dxa"/>
            <w:gridSpan w:val="2"/>
            <w:noWrap/>
            <w:hideMark/>
          </w:tcPr>
          <w:p w14:paraId="6B3732EE"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2.9 (0.5 - 9.7)</w:t>
            </w:r>
          </w:p>
        </w:tc>
        <w:tc>
          <w:tcPr>
            <w:tcW w:w="1304" w:type="dxa"/>
            <w:gridSpan w:val="2"/>
            <w:noWrap/>
            <w:hideMark/>
          </w:tcPr>
          <w:p w14:paraId="3FA9B21F"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6.3 (1.5 - 41.9)</w:t>
            </w:r>
          </w:p>
        </w:tc>
        <w:tc>
          <w:tcPr>
            <w:tcW w:w="1304" w:type="dxa"/>
            <w:gridSpan w:val="2"/>
            <w:noWrap/>
            <w:hideMark/>
          </w:tcPr>
          <w:p w14:paraId="6C232B32"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1.8 (1.2 - 5.3)</w:t>
            </w:r>
          </w:p>
        </w:tc>
        <w:tc>
          <w:tcPr>
            <w:tcW w:w="1304" w:type="dxa"/>
            <w:gridSpan w:val="2"/>
            <w:noWrap/>
            <w:hideMark/>
          </w:tcPr>
          <w:p w14:paraId="1C3D1880"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1.2 (0.1 - 5.9)</w:t>
            </w:r>
          </w:p>
        </w:tc>
      </w:tr>
      <w:tr w:rsidR="0095711C" w:rsidRPr="00835206" w14:paraId="0503DC95" w14:textId="77777777" w:rsidTr="0083520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10" w:type="dxa"/>
            <w:noWrap/>
            <w:hideMark/>
          </w:tcPr>
          <w:p w14:paraId="5FC5DE86" w14:textId="77777777" w:rsidR="0095711C" w:rsidRPr="00835206" w:rsidRDefault="0095711C" w:rsidP="00E81A60">
            <w:pPr>
              <w:keepNext/>
              <w:spacing w:after="0"/>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Poland</w:t>
            </w:r>
          </w:p>
        </w:tc>
        <w:tc>
          <w:tcPr>
            <w:tcW w:w="1304" w:type="dxa"/>
            <w:noWrap/>
            <w:hideMark/>
          </w:tcPr>
          <w:p w14:paraId="44F6B530"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1.3 (0.3 - 4.5)</w:t>
            </w:r>
          </w:p>
        </w:tc>
        <w:tc>
          <w:tcPr>
            <w:tcW w:w="1304" w:type="dxa"/>
            <w:gridSpan w:val="2"/>
            <w:noWrap/>
            <w:hideMark/>
          </w:tcPr>
          <w:p w14:paraId="4791CB9A"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1.5 (1.4 - 1.7)</w:t>
            </w:r>
          </w:p>
        </w:tc>
        <w:tc>
          <w:tcPr>
            <w:tcW w:w="1304" w:type="dxa"/>
            <w:gridSpan w:val="2"/>
            <w:noWrap/>
            <w:hideMark/>
          </w:tcPr>
          <w:p w14:paraId="3F3CB2A1"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5.9 (0.4 - 15.4)</w:t>
            </w:r>
          </w:p>
        </w:tc>
        <w:tc>
          <w:tcPr>
            <w:tcW w:w="1304" w:type="dxa"/>
            <w:gridSpan w:val="2"/>
            <w:noWrap/>
            <w:hideMark/>
          </w:tcPr>
          <w:p w14:paraId="169DA29B"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3.9 (0.9 - 16.5)</w:t>
            </w:r>
          </w:p>
        </w:tc>
        <w:tc>
          <w:tcPr>
            <w:tcW w:w="1304" w:type="dxa"/>
            <w:gridSpan w:val="2"/>
            <w:noWrap/>
            <w:hideMark/>
          </w:tcPr>
          <w:p w14:paraId="3873DF2A"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0.5 (0.3 - 0.8)</w:t>
            </w:r>
          </w:p>
        </w:tc>
        <w:tc>
          <w:tcPr>
            <w:tcW w:w="1304" w:type="dxa"/>
            <w:gridSpan w:val="2"/>
            <w:noWrap/>
            <w:hideMark/>
          </w:tcPr>
          <w:p w14:paraId="50451357"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0.5 (0.1 - 3.1)</w:t>
            </w:r>
          </w:p>
        </w:tc>
      </w:tr>
      <w:tr w:rsidR="0095711C" w:rsidRPr="00835206" w14:paraId="577CE640" w14:textId="77777777" w:rsidTr="00835206">
        <w:trPr>
          <w:cnfStyle w:val="000000010000" w:firstRow="0" w:lastRow="0" w:firstColumn="0" w:lastColumn="0" w:oddVBand="0" w:evenVBand="0" w:oddHBand="0" w:evenHBand="1"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10" w:type="dxa"/>
            <w:noWrap/>
            <w:hideMark/>
          </w:tcPr>
          <w:p w14:paraId="0031E9CB" w14:textId="77777777" w:rsidR="0095711C" w:rsidRPr="00835206" w:rsidRDefault="0095711C" w:rsidP="00E81A60">
            <w:pPr>
              <w:keepNext/>
              <w:spacing w:after="0"/>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Portugal</w:t>
            </w:r>
          </w:p>
        </w:tc>
        <w:tc>
          <w:tcPr>
            <w:tcW w:w="1304" w:type="dxa"/>
            <w:noWrap/>
            <w:hideMark/>
          </w:tcPr>
          <w:p w14:paraId="15E2C3ED"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0.8 (0 - 4.8)</w:t>
            </w:r>
          </w:p>
        </w:tc>
        <w:tc>
          <w:tcPr>
            <w:tcW w:w="1304" w:type="dxa"/>
            <w:gridSpan w:val="2"/>
            <w:noWrap/>
            <w:hideMark/>
          </w:tcPr>
          <w:p w14:paraId="378310E6"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0.4 (0.3 - 0.6)</w:t>
            </w:r>
          </w:p>
        </w:tc>
        <w:tc>
          <w:tcPr>
            <w:tcW w:w="1304" w:type="dxa"/>
            <w:gridSpan w:val="2"/>
            <w:noWrap/>
            <w:hideMark/>
          </w:tcPr>
          <w:p w14:paraId="3A2C196F"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1.5 (0 - 13.7)</w:t>
            </w:r>
          </w:p>
        </w:tc>
        <w:tc>
          <w:tcPr>
            <w:tcW w:w="1304" w:type="dxa"/>
            <w:gridSpan w:val="2"/>
            <w:noWrap/>
            <w:hideMark/>
          </w:tcPr>
          <w:p w14:paraId="48D8871F"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1.6 (0.7 - 2.9)</w:t>
            </w:r>
          </w:p>
        </w:tc>
        <w:tc>
          <w:tcPr>
            <w:tcW w:w="1304" w:type="dxa"/>
            <w:gridSpan w:val="2"/>
            <w:noWrap/>
            <w:hideMark/>
          </w:tcPr>
          <w:p w14:paraId="35C49B43"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0.9 (0.4 - 1.9)</w:t>
            </w:r>
          </w:p>
        </w:tc>
        <w:tc>
          <w:tcPr>
            <w:tcW w:w="1304" w:type="dxa"/>
            <w:gridSpan w:val="2"/>
            <w:noWrap/>
            <w:hideMark/>
          </w:tcPr>
          <w:p w14:paraId="52851B80"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0.6 (0.2 - 1)</w:t>
            </w:r>
          </w:p>
        </w:tc>
      </w:tr>
      <w:tr w:rsidR="0095711C" w:rsidRPr="00835206" w14:paraId="1FB53BE9" w14:textId="77777777" w:rsidTr="0083520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10" w:type="dxa"/>
            <w:noWrap/>
            <w:hideMark/>
          </w:tcPr>
          <w:p w14:paraId="6D99FC8A" w14:textId="77777777" w:rsidR="0095711C" w:rsidRPr="00835206" w:rsidRDefault="0095711C" w:rsidP="00E81A60">
            <w:pPr>
              <w:keepNext/>
              <w:spacing w:after="0"/>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Romania</w:t>
            </w:r>
          </w:p>
        </w:tc>
        <w:tc>
          <w:tcPr>
            <w:tcW w:w="1304" w:type="dxa"/>
            <w:noWrap/>
            <w:hideMark/>
          </w:tcPr>
          <w:p w14:paraId="477A2B6D"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1.4 (0.1 - 1.8)</w:t>
            </w:r>
          </w:p>
        </w:tc>
        <w:tc>
          <w:tcPr>
            <w:tcW w:w="1304" w:type="dxa"/>
            <w:gridSpan w:val="2"/>
            <w:noWrap/>
            <w:hideMark/>
          </w:tcPr>
          <w:p w14:paraId="34E0C0A7"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0.8 (0.5 - 0.9)</w:t>
            </w:r>
          </w:p>
        </w:tc>
        <w:tc>
          <w:tcPr>
            <w:tcW w:w="1304" w:type="dxa"/>
            <w:gridSpan w:val="2"/>
            <w:noWrap/>
            <w:hideMark/>
          </w:tcPr>
          <w:p w14:paraId="2D4B8828"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3.2 (0.3 - 11.4)</w:t>
            </w:r>
          </w:p>
        </w:tc>
        <w:tc>
          <w:tcPr>
            <w:tcW w:w="1304" w:type="dxa"/>
            <w:gridSpan w:val="2"/>
            <w:noWrap/>
            <w:hideMark/>
          </w:tcPr>
          <w:p w14:paraId="45B336EE"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4 (1.7 - 7.1)</w:t>
            </w:r>
          </w:p>
        </w:tc>
        <w:tc>
          <w:tcPr>
            <w:tcW w:w="1304" w:type="dxa"/>
            <w:gridSpan w:val="2"/>
            <w:noWrap/>
            <w:hideMark/>
          </w:tcPr>
          <w:p w14:paraId="074F1E7B"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0.5 (0.2 - 0.6)</w:t>
            </w:r>
          </w:p>
        </w:tc>
        <w:tc>
          <w:tcPr>
            <w:tcW w:w="1304" w:type="dxa"/>
            <w:gridSpan w:val="2"/>
            <w:noWrap/>
            <w:hideMark/>
          </w:tcPr>
          <w:p w14:paraId="01511C3F"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0.2 (0.1 - 0.3)</w:t>
            </w:r>
          </w:p>
        </w:tc>
      </w:tr>
      <w:tr w:rsidR="0095711C" w:rsidRPr="00835206" w14:paraId="51ACC564" w14:textId="77777777" w:rsidTr="00835206">
        <w:trPr>
          <w:cnfStyle w:val="000000010000" w:firstRow="0" w:lastRow="0" w:firstColumn="0" w:lastColumn="0" w:oddVBand="0" w:evenVBand="0" w:oddHBand="0" w:evenHBand="1"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10" w:type="dxa"/>
            <w:noWrap/>
            <w:hideMark/>
          </w:tcPr>
          <w:p w14:paraId="06C814C5" w14:textId="77777777" w:rsidR="0095711C" w:rsidRPr="00835206" w:rsidRDefault="0095711C" w:rsidP="00E81A60">
            <w:pPr>
              <w:keepNext/>
              <w:spacing w:after="0"/>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Slovakia</w:t>
            </w:r>
          </w:p>
        </w:tc>
        <w:tc>
          <w:tcPr>
            <w:tcW w:w="1304" w:type="dxa"/>
            <w:noWrap/>
            <w:hideMark/>
          </w:tcPr>
          <w:p w14:paraId="44D16E3E"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1.3 (0.4 - 1.5)</w:t>
            </w:r>
          </w:p>
        </w:tc>
        <w:tc>
          <w:tcPr>
            <w:tcW w:w="1304" w:type="dxa"/>
            <w:gridSpan w:val="2"/>
            <w:noWrap/>
            <w:hideMark/>
          </w:tcPr>
          <w:p w14:paraId="317F2A36"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3.3 (3.2 - 3.4)</w:t>
            </w:r>
          </w:p>
        </w:tc>
        <w:tc>
          <w:tcPr>
            <w:tcW w:w="1304" w:type="dxa"/>
            <w:gridSpan w:val="2"/>
            <w:noWrap/>
            <w:hideMark/>
          </w:tcPr>
          <w:p w14:paraId="76832824"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2.6 (0.5 - 3.8)</w:t>
            </w:r>
          </w:p>
        </w:tc>
        <w:tc>
          <w:tcPr>
            <w:tcW w:w="1304" w:type="dxa"/>
            <w:gridSpan w:val="2"/>
            <w:noWrap/>
            <w:hideMark/>
          </w:tcPr>
          <w:p w14:paraId="20A7D4B5"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5.5 (3.1 - 9.5)</w:t>
            </w:r>
          </w:p>
        </w:tc>
        <w:tc>
          <w:tcPr>
            <w:tcW w:w="1304" w:type="dxa"/>
            <w:gridSpan w:val="2"/>
            <w:noWrap/>
            <w:hideMark/>
          </w:tcPr>
          <w:p w14:paraId="6197DF52"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0.8 (0.7 - 0.9)</w:t>
            </w:r>
          </w:p>
        </w:tc>
        <w:tc>
          <w:tcPr>
            <w:tcW w:w="1304" w:type="dxa"/>
            <w:gridSpan w:val="2"/>
            <w:noWrap/>
            <w:hideMark/>
          </w:tcPr>
          <w:p w14:paraId="1A5F3624"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0.7 (0.2 - 1)</w:t>
            </w:r>
          </w:p>
        </w:tc>
      </w:tr>
      <w:tr w:rsidR="0095711C" w:rsidRPr="00835206" w14:paraId="4F4F629B" w14:textId="77777777" w:rsidTr="0083520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10" w:type="dxa"/>
            <w:noWrap/>
            <w:hideMark/>
          </w:tcPr>
          <w:p w14:paraId="6C1D5DA6" w14:textId="77777777" w:rsidR="0095711C" w:rsidRPr="00835206" w:rsidRDefault="0095711C" w:rsidP="00E81A60">
            <w:pPr>
              <w:keepNext/>
              <w:spacing w:after="0"/>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Slovenia</w:t>
            </w:r>
          </w:p>
        </w:tc>
        <w:tc>
          <w:tcPr>
            <w:tcW w:w="1468" w:type="dxa"/>
            <w:gridSpan w:val="2"/>
            <w:noWrap/>
            <w:hideMark/>
          </w:tcPr>
          <w:p w14:paraId="3D9E9EB8"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1.4 (1 - 1.7)</w:t>
            </w:r>
          </w:p>
        </w:tc>
        <w:tc>
          <w:tcPr>
            <w:tcW w:w="1226" w:type="dxa"/>
            <w:gridSpan w:val="2"/>
            <w:noWrap/>
            <w:hideMark/>
          </w:tcPr>
          <w:p w14:paraId="093BC49A"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 (1 - 1.1)</w:t>
            </w:r>
          </w:p>
        </w:tc>
        <w:tc>
          <w:tcPr>
            <w:tcW w:w="1339" w:type="dxa"/>
            <w:gridSpan w:val="2"/>
            <w:noWrap/>
            <w:hideMark/>
          </w:tcPr>
          <w:p w14:paraId="54F1ED8F"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3.1 (1.2 - 4.7)</w:t>
            </w:r>
          </w:p>
        </w:tc>
        <w:tc>
          <w:tcPr>
            <w:tcW w:w="1339" w:type="dxa"/>
            <w:gridSpan w:val="2"/>
            <w:noWrap/>
            <w:hideMark/>
          </w:tcPr>
          <w:p w14:paraId="603367D4"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4.1 (3.3 - 4.8)</w:t>
            </w:r>
          </w:p>
        </w:tc>
        <w:tc>
          <w:tcPr>
            <w:tcW w:w="1226" w:type="dxa"/>
            <w:gridSpan w:val="2"/>
            <w:noWrap/>
            <w:hideMark/>
          </w:tcPr>
          <w:p w14:paraId="2F232AE6"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1.3 (1.3 - 1.4)</w:t>
            </w:r>
          </w:p>
        </w:tc>
        <w:tc>
          <w:tcPr>
            <w:tcW w:w="1226" w:type="dxa"/>
            <w:noWrap/>
            <w:hideMark/>
          </w:tcPr>
          <w:p w14:paraId="73318F32"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0.6 (0.6 - 0.6)</w:t>
            </w:r>
          </w:p>
        </w:tc>
      </w:tr>
      <w:tr w:rsidR="0095711C" w:rsidRPr="00835206" w14:paraId="673F4E1B" w14:textId="77777777" w:rsidTr="00835206">
        <w:trPr>
          <w:cnfStyle w:val="000000010000" w:firstRow="0" w:lastRow="0" w:firstColumn="0" w:lastColumn="0" w:oddVBand="0" w:evenVBand="0" w:oddHBand="0" w:evenHBand="1"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10" w:type="dxa"/>
            <w:noWrap/>
            <w:hideMark/>
          </w:tcPr>
          <w:p w14:paraId="3386AE73" w14:textId="77777777" w:rsidR="0095711C" w:rsidRPr="00835206" w:rsidRDefault="0095711C" w:rsidP="00E81A60">
            <w:pPr>
              <w:keepNext/>
              <w:spacing w:after="0"/>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Spain</w:t>
            </w:r>
          </w:p>
        </w:tc>
        <w:tc>
          <w:tcPr>
            <w:tcW w:w="1468" w:type="dxa"/>
            <w:gridSpan w:val="2"/>
            <w:noWrap/>
            <w:hideMark/>
          </w:tcPr>
          <w:p w14:paraId="50DF38F5"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 (0 - 4.1)</w:t>
            </w:r>
          </w:p>
        </w:tc>
        <w:tc>
          <w:tcPr>
            <w:tcW w:w="1226" w:type="dxa"/>
            <w:gridSpan w:val="2"/>
            <w:noWrap/>
            <w:hideMark/>
          </w:tcPr>
          <w:p w14:paraId="1E98FE46"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0.6 (0.4 - 0.7)</w:t>
            </w:r>
          </w:p>
        </w:tc>
        <w:tc>
          <w:tcPr>
            <w:tcW w:w="1339" w:type="dxa"/>
            <w:gridSpan w:val="2"/>
            <w:noWrap/>
            <w:hideMark/>
          </w:tcPr>
          <w:p w14:paraId="6E5F9327"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1.7 (0 - 11.2)</w:t>
            </w:r>
          </w:p>
        </w:tc>
        <w:tc>
          <w:tcPr>
            <w:tcW w:w="1339" w:type="dxa"/>
            <w:gridSpan w:val="2"/>
            <w:noWrap/>
            <w:hideMark/>
          </w:tcPr>
          <w:p w14:paraId="639D2332"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2.4 (0.8 - 20.8)</w:t>
            </w:r>
          </w:p>
        </w:tc>
        <w:tc>
          <w:tcPr>
            <w:tcW w:w="1226" w:type="dxa"/>
            <w:gridSpan w:val="2"/>
            <w:noWrap/>
            <w:hideMark/>
          </w:tcPr>
          <w:p w14:paraId="1E5C21E3"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1.4 (0.7 - 3.5)</w:t>
            </w:r>
          </w:p>
        </w:tc>
        <w:tc>
          <w:tcPr>
            <w:tcW w:w="1226" w:type="dxa"/>
            <w:noWrap/>
            <w:hideMark/>
          </w:tcPr>
          <w:p w14:paraId="4F8CCA72" w14:textId="77777777" w:rsidR="0095711C" w:rsidRPr="00835206" w:rsidRDefault="0095711C" w:rsidP="00E81A60">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0.4 (0.1 - 1.1)</w:t>
            </w:r>
          </w:p>
        </w:tc>
      </w:tr>
      <w:tr w:rsidR="0095711C" w:rsidRPr="00835206" w14:paraId="624A2071" w14:textId="77777777" w:rsidTr="0083520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hideMark/>
          </w:tcPr>
          <w:p w14:paraId="02A441B9" w14:textId="77777777" w:rsidR="0095711C" w:rsidRPr="00835206" w:rsidRDefault="0095711C" w:rsidP="00E81A60">
            <w:pPr>
              <w:keepNext/>
              <w:spacing w:after="0"/>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Sweden</w:t>
            </w:r>
          </w:p>
        </w:tc>
        <w:tc>
          <w:tcPr>
            <w:tcW w:w="1468" w:type="dxa"/>
            <w:gridSpan w:val="2"/>
            <w:noWrap/>
            <w:hideMark/>
          </w:tcPr>
          <w:p w14:paraId="7279F680"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 (0.1 - 2.2)</w:t>
            </w:r>
          </w:p>
        </w:tc>
        <w:tc>
          <w:tcPr>
            <w:tcW w:w="1226" w:type="dxa"/>
            <w:gridSpan w:val="2"/>
            <w:noWrap/>
            <w:hideMark/>
          </w:tcPr>
          <w:p w14:paraId="4BF2715B"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1.3 (1.2 - 1.4)</w:t>
            </w:r>
          </w:p>
        </w:tc>
        <w:tc>
          <w:tcPr>
            <w:tcW w:w="1339" w:type="dxa"/>
            <w:gridSpan w:val="2"/>
            <w:noWrap/>
            <w:hideMark/>
          </w:tcPr>
          <w:p w14:paraId="2EF38D58"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 (0 - 2.5)</w:t>
            </w:r>
          </w:p>
        </w:tc>
        <w:tc>
          <w:tcPr>
            <w:tcW w:w="1339" w:type="dxa"/>
            <w:gridSpan w:val="2"/>
            <w:noWrap/>
            <w:hideMark/>
          </w:tcPr>
          <w:p w14:paraId="50824847"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2.5 (1.2 - 5.6)</w:t>
            </w:r>
          </w:p>
        </w:tc>
        <w:tc>
          <w:tcPr>
            <w:tcW w:w="1226" w:type="dxa"/>
            <w:gridSpan w:val="2"/>
            <w:noWrap/>
            <w:hideMark/>
          </w:tcPr>
          <w:p w14:paraId="311BA76E"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2.2 (1 - 5.5)</w:t>
            </w:r>
          </w:p>
        </w:tc>
        <w:tc>
          <w:tcPr>
            <w:tcW w:w="1226" w:type="dxa"/>
            <w:noWrap/>
            <w:hideMark/>
          </w:tcPr>
          <w:p w14:paraId="0CF3066C" w14:textId="77777777" w:rsidR="0095711C" w:rsidRPr="00835206" w:rsidRDefault="0095711C" w:rsidP="00E81A60">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1.2 (0.6 - 1.5)</w:t>
            </w:r>
          </w:p>
        </w:tc>
      </w:tr>
    </w:tbl>
    <w:p w14:paraId="07758C0D" w14:textId="5DB92137" w:rsidR="00FB6806" w:rsidRDefault="00FB6806" w:rsidP="00E81A60">
      <w:pPr>
        <w:pStyle w:val="CT-NOTE"/>
        <w:rPr>
          <w:noProof/>
        </w:rPr>
      </w:pPr>
      <w:r>
        <w:rPr>
          <w:noProof/>
        </w:rPr>
        <w:t>Note:</w:t>
      </w:r>
      <w:r w:rsidRPr="00FB6806">
        <w:rPr>
          <w:noProof/>
        </w:rPr>
        <w:t xml:space="preserve"> </w:t>
      </w:r>
      <w:r w:rsidRPr="00E50BCD">
        <w:rPr>
          <w:noProof/>
        </w:rPr>
        <w:t>leaving out aviation and shipping</w:t>
      </w:r>
    </w:p>
    <w:p w14:paraId="50CB8CA1" w14:textId="2D6183DC" w:rsidR="009B01C9" w:rsidRDefault="0095711C" w:rsidP="00E81A60">
      <w:pPr>
        <w:pStyle w:val="CT-SOURCE"/>
        <w:rPr>
          <w:noProof/>
        </w:rPr>
      </w:pPr>
      <w:r w:rsidRPr="00E50BCD">
        <w:rPr>
          <w:noProof/>
        </w:rPr>
        <w:t xml:space="preserve">Source: </w:t>
      </w:r>
      <w:r w:rsidRPr="00FB6806">
        <w:rPr>
          <w:noProof/>
        </w:rPr>
        <w:t>EDGAR</w:t>
      </w:r>
      <w:r w:rsidRPr="00E50BCD">
        <w:rPr>
          <w:noProof/>
        </w:rPr>
        <w:t xml:space="preserve"> emissions database </w:t>
      </w:r>
    </w:p>
    <w:p w14:paraId="110C6C10" w14:textId="77777777" w:rsidR="009B01C9" w:rsidRDefault="009B01C9">
      <w:pPr>
        <w:spacing w:after="0"/>
        <w:jc w:val="left"/>
        <w:rPr>
          <w:rFonts w:ascii="EC Square Sans Cond Pro" w:eastAsiaTheme="minorHAnsi" w:hAnsi="EC Square Sans Cond Pro" w:cs="Avenir Next LT Pro"/>
          <w:i/>
          <w:iCs/>
          <w:noProof/>
          <w:sz w:val="22"/>
          <w:szCs w:val="22"/>
          <w:lang w:val="en-IE" w:eastAsia="en-US"/>
        </w:rPr>
      </w:pPr>
      <w:r>
        <w:rPr>
          <w:noProof/>
        </w:rPr>
        <w:br w:type="page"/>
      </w:r>
    </w:p>
    <w:p w14:paraId="6CEF24BE" w14:textId="77777777" w:rsidR="0095711C" w:rsidRPr="00E50BCD" w:rsidRDefault="0095711C" w:rsidP="00E81A60">
      <w:pPr>
        <w:pStyle w:val="CT-SOURCE"/>
        <w:rPr>
          <w:noProof/>
        </w:rPr>
      </w:pPr>
    </w:p>
    <w:p w14:paraId="214989BD" w14:textId="022426E9" w:rsidR="0095711C" w:rsidRDefault="0095711C" w:rsidP="009B01C9">
      <w:pPr>
        <w:pStyle w:val="Caption"/>
        <w:rPr>
          <w:i/>
          <w:noProof/>
        </w:rPr>
      </w:pPr>
      <w:bookmarkStart w:id="826" w:name="_Ref141178675"/>
      <w:bookmarkStart w:id="827" w:name="_Toc157679938"/>
      <w:r w:rsidRPr="00B063DF">
        <w:rPr>
          <w:noProof/>
        </w:rPr>
        <w:t>Table</w:t>
      </w:r>
      <w:r>
        <w:rPr>
          <w:noProof/>
        </w:rPr>
        <w:t xml:space="preserve"> </w:t>
      </w:r>
      <w:r>
        <w:rPr>
          <w:noProof/>
        </w:rPr>
        <w:fldChar w:fldCharType="begin"/>
      </w:r>
      <w:r>
        <w:rPr>
          <w:noProof/>
        </w:rPr>
        <w:instrText>SEQ Table \* ARABIC</w:instrText>
      </w:r>
      <w:r>
        <w:rPr>
          <w:noProof/>
        </w:rPr>
        <w:fldChar w:fldCharType="separate"/>
      </w:r>
      <w:r w:rsidR="00170A3C">
        <w:rPr>
          <w:noProof/>
        </w:rPr>
        <w:t>55</w:t>
      </w:r>
      <w:r>
        <w:rPr>
          <w:noProof/>
        </w:rPr>
        <w:fldChar w:fldCharType="end"/>
      </w:r>
      <w:bookmarkEnd w:id="826"/>
      <w:r>
        <w:rPr>
          <w:noProof/>
        </w:rPr>
        <w:t xml:space="preserve">: </w:t>
      </w:r>
      <w:r w:rsidRPr="00F33120">
        <w:rPr>
          <w:noProof/>
        </w:rPr>
        <w:t xml:space="preserve">Sectoral per capita emissions and range across regions in </w:t>
      </w:r>
      <w:r>
        <w:rPr>
          <w:noProof/>
        </w:rPr>
        <w:t>2021</w:t>
      </w:r>
      <w:bookmarkEnd w:id="827"/>
    </w:p>
    <w:tbl>
      <w:tblPr>
        <w:tblStyle w:val="EurolookLightBlue"/>
        <w:tblW w:w="8878" w:type="dxa"/>
        <w:tblLook w:val="04A0" w:firstRow="1" w:lastRow="0" w:firstColumn="1" w:lastColumn="0" w:noHBand="0" w:noVBand="1"/>
      </w:tblPr>
      <w:tblGrid>
        <w:gridCol w:w="1200"/>
        <w:gridCol w:w="1242"/>
        <w:gridCol w:w="1242"/>
        <w:gridCol w:w="1356"/>
        <w:gridCol w:w="1356"/>
        <w:gridCol w:w="1241"/>
        <w:gridCol w:w="1241"/>
      </w:tblGrid>
      <w:tr w:rsidR="0095711C" w:rsidRPr="00835206" w14:paraId="62AE9448" w14:textId="77777777" w:rsidTr="008D3CE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0" w:type="dxa"/>
            <w:noWrap/>
            <w:hideMark/>
          </w:tcPr>
          <w:p w14:paraId="1D35D8C6" w14:textId="7134E496" w:rsidR="0095711C" w:rsidRPr="00835206" w:rsidRDefault="00AE624E" w:rsidP="009B01C9">
            <w:pPr>
              <w:keepNext/>
              <w:spacing w:after="0"/>
              <w:jc w:val="center"/>
              <w:rPr>
                <w:rFonts w:ascii="EC Square Sans Cond Pro" w:hAnsi="EC Square Sans Cond Pro" w:cs="Avenir Next LT Pro"/>
                <w:noProof/>
                <w:sz w:val="18"/>
                <w:szCs w:val="18"/>
              </w:rPr>
            </w:pPr>
            <w:r w:rsidRPr="00AE624E">
              <w:rPr>
                <w:rFonts w:ascii="EC Square Sans Cond Pro" w:hAnsi="EC Square Sans Cond Pro"/>
                <w:noProof/>
                <w:color w:val="auto"/>
                <w:sz w:val="20"/>
                <w:szCs w:val="20"/>
              </w:rPr>
              <w:t>tCO</w:t>
            </w:r>
            <w:r w:rsidRPr="00AE624E">
              <w:rPr>
                <w:rFonts w:ascii="EC Square Sans Cond Pro" w:hAnsi="EC Square Sans Cond Pro"/>
                <w:noProof/>
                <w:color w:val="auto"/>
                <w:sz w:val="20"/>
                <w:szCs w:val="20"/>
                <w:vertAlign w:val="subscript"/>
              </w:rPr>
              <w:t>2</w:t>
            </w:r>
            <w:r w:rsidRPr="00AE624E">
              <w:rPr>
                <w:rFonts w:ascii="EC Square Sans Cond Pro" w:hAnsi="EC Square Sans Cond Pro"/>
                <w:noProof/>
                <w:color w:val="auto"/>
                <w:sz w:val="20"/>
                <w:szCs w:val="20"/>
              </w:rPr>
              <w:t>-eq per person</w:t>
            </w:r>
          </w:p>
        </w:tc>
        <w:tc>
          <w:tcPr>
            <w:tcW w:w="1242" w:type="dxa"/>
            <w:noWrap/>
            <w:hideMark/>
          </w:tcPr>
          <w:p w14:paraId="35C9F7DA" w14:textId="77777777" w:rsidR="0095711C" w:rsidRPr="00835206" w:rsidRDefault="0095711C" w:rsidP="009B01C9">
            <w:pPr>
              <w:keepNext/>
              <w:spacing w:after="0"/>
              <w:jc w:val="center"/>
              <w:cnfStyle w:val="100000000000" w:firstRow="1" w:lastRow="0" w:firstColumn="0" w:lastColumn="0" w:oddVBand="0" w:evenVBand="0" w:oddHBand="0" w:evenHBand="0" w:firstRowFirstColumn="0" w:firstRowLastColumn="0" w:lastRowFirstColumn="0" w:lastRowLastColumn="0"/>
              <w:rPr>
                <w:rFonts w:ascii="EC Square Sans Cond Pro" w:hAnsi="EC Square Sans Cond Pro" w:cs="Avenir Next LT Pro"/>
                <w:b/>
                <w:noProof/>
                <w:color w:val="000000"/>
                <w:sz w:val="18"/>
                <w:szCs w:val="18"/>
              </w:rPr>
            </w:pPr>
            <w:r w:rsidRPr="00835206">
              <w:rPr>
                <w:rFonts w:ascii="EC Square Sans Cond Pro" w:hAnsi="EC Square Sans Cond Pro" w:cs="Avenir Next LT Pro"/>
                <w:b/>
                <w:noProof/>
                <w:color w:val="000000"/>
                <w:sz w:val="18"/>
                <w:szCs w:val="18"/>
              </w:rPr>
              <w:t>Agriculture</w:t>
            </w:r>
          </w:p>
        </w:tc>
        <w:tc>
          <w:tcPr>
            <w:tcW w:w="1242" w:type="dxa"/>
            <w:noWrap/>
            <w:hideMark/>
          </w:tcPr>
          <w:p w14:paraId="20362A75" w14:textId="77777777" w:rsidR="0095711C" w:rsidRPr="00835206" w:rsidRDefault="0095711C" w:rsidP="009B01C9">
            <w:pPr>
              <w:keepNext/>
              <w:spacing w:after="0"/>
              <w:jc w:val="center"/>
              <w:cnfStyle w:val="100000000000" w:firstRow="1" w:lastRow="0" w:firstColumn="0" w:lastColumn="0" w:oddVBand="0" w:evenVBand="0" w:oddHBand="0" w:evenHBand="0" w:firstRowFirstColumn="0" w:firstRowLastColumn="0" w:lastRowFirstColumn="0" w:lastRowLastColumn="0"/>
              <w:rPr>
                <w:rFonts w:ascii="EC Square Sans Cond Pro" w:hAnsi="EC Square Sans Cond Pro" w:cs="Avenir Next LT Pro"/>
                <w:b/>
                <w:noProof/>
                <w:color w:val="000000"/>
                <w:sz w:val="18"/>
                <w:szCs w:val="18"/>
              </w:rPr>
            </w:pPr>
            <w:r w:rsidRPr="00835206">
              <w:rPr>
                <w:rFonts w:ascii="EC Square Sans Cond Pro" w:hAnsi="EC Square Sans Cond Pro" w:cs="Avenir Next LT Pro"/>
                <w:b/>
                <w:noProof/>
                <w:color w:val="000000"/>
                <w:sz w:val="18"/>
                <w:szCs w:val="18"/>
              </w:rPr>
              <w:t>Buildings</w:t>
            </w:r>
          </w:p>
        </w:tc>
        <w:tc>
          <w:tcPr>
            <w:tcW w:w="1356" w:type="dxa"/>
            <w:noWrap/>
            <w:hideMark/>
          </w:tcPr>
          <w:p w14:paraId="59079030" w14:textId="77777777" w:rsidR="0095711C" w:rsidRPr="00835206" w:rsidRDefault="0095711C" w:rsidP="009B01C9">
            <w:pPr>
              <w:keepNext/>
              <w:spacing w:after="0"/>
              <w:jc w:val="center"/>
              <w:cnfStyle w:val="100000000000" w:firstRow="1" w:lastRow="0" w:firstColumn="0" w:lastColumn="0" w:oddVBand="0" w:evenVBand="0" w:oddHBand="0" w:evenHBand="0" w:firstRowFirstColumn="0" w:firstRowLastColumn="0" w:lastRowFirstColumn="0" w:lastRowLastColumn="0"/>
              <w:rPr>
                <w:rFonts w:ascii="EC Square Sans Cond Pro" w:hAnsi="EC Square Sans Cond Pro" w:cs="Avenir Next LT Pro"/>
                <w:b/>
                <w:noProof/>
                <w:color w:val="000000"/>
                <w:sz w:val="18"/>
                <w:szCs w:val="18"/>
              </w:rPr>
            </w:pPr>
            <w:r w:rsidRPr="00835206">
              <w:rPr>
                <w:rFonts w:ascii="EC Square Sans Cond Pro" w:hAnsi="EC Square Sans Cond Pro" w:cs="Avenir Next LT Pro"/>
                <w:b/>
                <w:noProof/>
                <w:color w:val="000000"/>
                <w:sz w:val="18"/>
                <w:szCs w:val="18"/>
              </w:rPr>
              <w:t>Energy</w:t>
            </w:r>
          </w:p>
        </w:tc>
        <w:tc>
          <w:tcPr>
            <w:tcW w:w="1356" w:type="dxa"/>
            <w:noWrap/>
            <w:hideMark/>
          </w:tcPr>
          <w:p w14:paraId="1233586F" w14:textId="77777777" w:rsidR="0095711C" w:rsidRPr="00835206" w:rsidRDefault="0095711C" w:rsidP="009B01C9">
            <w:pPr>
              <w:keepNext/>
              <w:spacing w:after="0"/>
              <w:jc w:val="center"/>
              <w:cnfStyle w:val="100000000000" w:firstRow="1" w:lastRow="0" w:firstColumn="0" w:lastColumn="0" w:oddVBand="0" w:evenVBand="0" w:oddHBand="0" w:evenHBand="0" w:firstRowFirstColumn="0" w:firstRowLastColumn="0" w:lastRowFirstColumn="0" w:lastRowLastColumn="0"/>
              <w:rPr>
                <w:rFonts w:ascii="EC Square Sans Cond Pro" w:hAnsi="EC Square Sans Cond Pro" w:cs="Avenir Next LT Pro"/>
                <w:b/>
                <w:noProof/>
                <w:color w:val="000000"/>
                <w:sz w:val="18"/>
                <w:szCs w:val="18"/>
              </w:rPr>
            </w:pPr>
            <w:r w:rsidRPr="00835206">
              <w:rPr>
                <w:rFonts w:ascii="EC Square Sans Cond Pro" w:hAnsi="EC Square Sans Cond Pro" w:cs="Avenir Next LT Pro"/>
                <w:b/>
                <w:noProof/>
                <w:color w:val="000000"/>
                <w:sz w:val="18"/>
                <w:szCs w:val="18"/>
              </w:rPr>
              <w:t>Industry</w:t>
            </w:r>
          </w:p>
        </w:tc>
        <w:tc>
          <w:tcPr>
            <w:tcW w:w="1241" w:type="dxa"/>
            <w:noWrap/>
            <w:hideMark/>
          </w:tcPr>
          <w:p w14:paraId="56D44961" w14:textId="77777777" w:rsidR="0095711C" w:rsidRPr="00835206" w:rsidRDefault="0095711C" w:rsidP="009B01C9">
            <w:pPr>
              <w:keepNext/>
              <w:spacing w:after="0"/>
              <w:jc w:val="center"/>
              <w:cnfStyle w:val="100000000000" w:firstRow="1" w:lastRow="0" w:firstColumn="0" w:lastColumn="0" w:oddVBand="0" w:evenVBand="0" w:oddHBand="0" w:evenHBand="0" w:firstRowFirstColumn="0" w:firstRowLastColumn="0" w:lastRowFirstColumn="0" w:lastRowLastColumn="0"/>
              <w:rPr>
                <w:rFonts w:ascii="EC Square Sans Cond Pro" w:hAnsi="EC Square Sans Cond Pro" w:cs="Avenir Next LT Pro"/>
                <w:b/>
                <w:noProof/>
                <w:color w:val="000000"/>
                <w:sz w:val="18"/>
                <w:szCs w:val="18"/>
              </w:rPr>
            </w:pPr>
            <w:r w:rsidRPr="00835206">
              <w:rPr>
                <w:rFonts w:ascii="EC Square Sans Cond Pro" w:hAnsi="EC Square Sans Cond Pro" w:cs="Avenir Next LT Pro"/>
                <w:b/>
                <w:noProof/>
                <w:color w:val="000000"/>
                <w:sz w:val="18"/>
                <w:szCs w:val="18"/>
              </w:rPr>
              <w:t>Transport</w:t>
            </w:r>
          </w:p>
        </w:tc>
        <w:tc>
          <w:tcPr>
            <w:tcW w:w="1241" w:type="dxa"/>
            <w:noWrap/>
            <w:hideMark/>
          </w:tcPr>
          <w:p w14:paraId="290FEAC7" w14:textId="77777777" w:rsidR="0095711C" w:rsidRPr="00835206" w:rsidRDefault="0095711C" w:rsidP="009B01C9">
            <w:pPr>
              <w:keepNext/>
              <w:spacing w:after="0"/>
              <w:jc w:val="center"/>
              <w:cnfStyle w:val="100000000000" w:firstRow="1" w:lastRow="0" w:firstColumn="0" w:lastColumn="0" w:oddVBand="0" w:evenVBand="0" w:oddHBand="0" w:evenHBand="0" w:firstRowFirstColumn="0" w:firstRowLastColumn="0" w:lastRowFirstColumn="0" w:lastRowLastColumn="0"/>
              <w:rPr>
                <w:rFonts w:ascii="EC Square Sans Cond Pro" w:hAnsi="EC Square Sans Cond Pro" w:cs="Avenir Next LT Pro"/>
                <w:b/>
                <w:noProof/>
                <w:color w:val="000000"/>
                <w:sz w:val="18"/>
                <w:szCs w:val="18"/>
              </w:rPr>
            </w:pPr>
            <w:r w:rsidRPr="00835206">
              <w:rPr>
                <w:rFonts w:ascii="EC Square Sans Cond Pro" w:hAnsi="EC Square Sans Cond Pro" w:cs="Avenir Next LT Pro"/>
                <w:b/>
                <w:noProof/>
                <w:color w:val="000000"/>
                <w:sz w:val="18"/>
                <w:szCs w:val="18"/>
              </w:rPr>
              <w:t>Waste</w:t>
            </w:r>
          </w:p>
        </w:tc>
      </w:tr>
      <w:tr w:rsidR="0095711C" w:rsidRPr="00835206" w14:paraId="337347A2" w14:textId="77777777" w:rsidTr="008D3CE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00" w:type="dxa"/>
            <w:noWrap/>
            <w:hideMark/>
          </w:tcPr>
          <w:p w14:paraId="5E7B6CA4" w14:textId="77777777" w:rsidR="0095711C" w:rsidRPr="00835206" w:rsidRDefault="0095711C" w:rsidP="009B01C9">
            <w:pPr>
              <w:keepNext/>
              <w:spacing w:after="0"/>
              <w:jc w:val="left"/>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Austria</w:t>
            </w:r>
          </w:p>
        </w:tc>
        <w:tc>
          <w:tcPr>
            <w:tcW w:w="1242" w:type="dxa"/>
            <w:noWrap/>
            <w:hideMark/>
          </w:tcPr>
          <w:p w14:paraId="4003AB4A"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0.8 (0 - 1.3)</w:t>
            </w:r>
          </w:p>
        </w:tc>
        <w:tc>
          <w:tcPr>
            <w:tcW w:w="1242" w:type="dxa"/>
            <w:noWrap/>
            <w:hideMark/>
          </w:tcPr>
          <w:p w14:paraId="67CF1C4F"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 (0.8 - 1.2)</w:t>
            </w:r>
          </w:p>
        </w:tc>
        <w:tc>
          <w:tcPr>
            <w:tcW w:w="1356" w:type="dxa"/>
            <w:noWrap/>
            <w:hideMark/>
          </w:tcPr>
          <w:p w14:paraId="0F7DE828"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1.4 (0.4 - 2.2)</w:t>
            </w:r>
          </w:p>
        </w:tc>
        <w:tc>
          <w:tcPr>
            <w:tcW w:w="1356" w:type="dxa"/>
            <w:noWrap/>
            <w:hideMark/>
          </w:tcPr>
          <w:p w14:paraId="6C3FF7C2"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3.1 (1.5 - 6.3)</w:t>
            </w:r>
          </w:p>
        </w:tc>
        <w:tc>
          <w:tcPr>
            <w:tcW w:w="1241" w:type="dxa"/>
            <w:noWrap/>
            <w:hideMark/>
          </w:tcPr>
          <w:p w14:paraId="6D10B447"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2.5 (0.4 - 4.3)</w:t>
            </w:r>
          </w:p>
        </w:tc>
        <w:tc>
          <w:tcPr>
            <w:tcW w:w="1241" w:type="dxa"/>
            <w:noWrap/>
            <w:hideMark/>
          </w:tcPr>
          <w:p w14:paraId="34E0E9BA"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0.3 (0.1 - 0.6)</w:t>
            </w:r>
          </w:p>
        </w:tc>
      </w:tr>
      <w:tr w:rsidR="0095711C" w:rsidRPr="00835206" w14:paraId="3C71D9EC" w14:textId="77777777" w:rsidTr="008D3CE6">
        <w:trPr>
          <w:cnfStyle w:val="000000010000" w:firstRow="0" w:lastRow="0" w:firstColumn="0" w:lastColumn="0" w:oddVBand="0" w:evenVBand="0" w:oddHBand="0" w:evenHBand="1"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00" w:type="dxa"/>
            <w:noWrap/>
            <w:hideMark/>
          </w:tcPr>
          <w:p w14:paraId="688FDB21" w14:textId="77777777" w:rsidR="0095711C" w:rsidRPr="00835206" w:rsidRDefault="0095711C" w:rsidP="009B01C9">
            <w:pPr>
              <w:keepNext/>
              <w:spacing w:after="0"/>
              <w:jc w:val="left"/>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Belgium</w:t>
            </w:r>
          </w:p>
        </w:tc>
        <w:tc>
          <w:tcPr>
            <w:tcW w:w="1242" w:type="dxa"/>
            <w:noWrap/>
            <w:hideMark/>
          </w:tcPr>
          <w:p w14:paraId="71D6738D"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0.8 (0 - 2.7)</w:t>
            </w:r>
          </w:p>
        </w:tc>
        <w:tc>
          <w:tcPr>
            <w:tcW w:w="1242" w:type="dxa"/>
            <w:noWrap/>
            <w:hideMark/>
          </w:tcPr>
          <w:p w14:paraId="4B1BDE02"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 (1.6 - 2.4)</w:t>
            </w:r>
          </w:p>
        </w:tc>
        <w:tc>
          <w:tcPr>
            <w:tcW w:w="1356" w:type="dxa"/>
            <w:noWrap/>
            <w:hideMark/>
          </w:tcPr>
          <w:p w14:paraId="0720E140"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1.3 (0.1 - 2.1)</w:t>
            </w:r>
          </w:p>
        </w:tc>
        <w:tc>
          <w:tcPr>
            <w:tcW w:w="1356" w:type="dxa"/>
            <w:noWrap/>
            <w:hideMark/>
          </w:tcPr>
          <w:p w14:paraId="136E04A8"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4.1 (1.5 - 8.2)</w:t>
            </w:r>
          </w:p>
        </w:tc>
        <w:tc>
          <w:tcPr>
            <w:tcW w:w="1241" w:type="dxa"/>
            <w:noWrap/>
            <w:hideMark/>
          </w:tcPr>
          <w:p w14:paraId="7EB5618A"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2.1 (0.4 - 6.3)</w:t>
            </w:r>
          </w:p>
        </w:tc>
        <w:tc>
          <w:tcPr>
            <w:tcW w:w="1241" w:type="dxa"/>
            <w:noWrap/>
            <w:hideMark/>
          </w:tcPr>
          <w:p w14:paraId="0F6BFA66"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0.4 (0.1 - 2.4)</w:t>
            </w:r>
          </w:p>
        </w:tc>
      </w:tr>
      <w:tr w:rsidR="0095711C" w:rsidRPr="00835206" w14:paraId="7CB71C21" w14:textId="77777777" w:rsidTr="008D3CE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00" w:type="dxa"/>
            <w:noWrap/>
            <w:hideMark/>
          </w:tcPr>
          <w:p w14:paraId="76C1F56B" w14:textId="77777777" w:rsidR="0095711C" w:rsidRPr="00835206" w:rsidRDefault="0095711C" w:rsidP="009B01C9">
            <w:pPr>
              <w:keepNext/>
              <w:spacing w:after="0"/>
              <w:jc w:val="left"/>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Bulgaria</w:t>
            </w:r>
          </w:p>
        </w:tc>
        <w:tc>
          <w:tcPr>
            <w:tcW w:w="1242" w:type="dxa"/>
            <w:noWrap/>
            <w:hideMark/>
          </w:tcPr>
          <w:p w14:paraId="09F0FD0A"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0.8 (0.4 - 1.4)</w:t>
            </w:r>
          </w:p>
        </w:tc>
        <w:tc>
          <w:tcPr>
            <w:tcW w:w="1242" w:type="dxa"/>
            <w:noWrap/>
            <w:hideMark/>
          </w:tcPr>
          <w:p w14:paraId="7D282326"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0.3 (0.2 - 0.3)</w:t>
            </w:r>
          </w:p>
        </w:tc>
        <w:tc>
          <w:tcPr>
            <w:tcW w:w="1356" w:type="dxa"/>
            <w:noWrap/>
            <w:hideMark/>
          </w:tcPr>
          <w:p w14:paraId="07D963B1"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3.2 (0.1 - 14.3)</w:t>
            </w:r>
          </w:p>
        </w:tc>
        <w:tc>
          <w:tcPr>
            <w:tcW w:w="1356" w:type="dxa"/>
            <w:noWrap/>
            <w:hideMark/>
          </w:tcPr>
          <w:p w14:paraId="39D22C95"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 (1.1 - 3)</w:t>
            </w:r>
          </w:p>
        </w:tc>
        <w:tc>
          <w:tcPr>
            <w:tcW w:w="1241" w:type="dxa"/>
            <w:noWrap/>
            <w:hideMark/>
          </w:tcPr>
          <w:p w14:paraId="4F051B35"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1.3 (1 - 1.8)</w:t>
            </w:r>
          </w:p>
        </w:tc>
        <w:tc>
          <w:tcPr>
            <w:tcW w:w="1241" w:type="dxa"/>
            <w:noWrap/>
            <w:hideMark/>
          </w:tcPr>
          <w:p w14:paraId="11F19A3F"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0.9 (0.4 - 1.2)</w:t>
            </w:r>
          </w:p>
        </w:tc>
      </w:tr>
      <w:tr w:rsidR="0095711C" w:rsidRPr="00835206" w14:paraId="30692B80" w14:textId="77777777" w:rsidTr="008D3CE6">
        <w:trPr>
          <w:cnfStyle w:val="000000010000" w:firstRow="0" w:lastRow="0" w:firstColumn="0" w:lastColumn="0" w:oddVBand="0" w:evenVBand="0" w:oddHBand="0" w:evenHBand="1"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00" w:type="dxa"/>
            <w:noWrap/>
            <w:hideMark/>
          </w:tcPr>
          <w:p w14:paraId="17BF1580" w14:textId="77777777" w:rsidR="0095711C" w:rsidRPr="00835206" w:rsidRDefault="0095711C" w:rsidP="009B01C9">
            <w:pPr>
              <w:keepNext/>
              <w:spacing w:after="0"/>
              <w:jc w:val="left"/>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Croatia</w:t>
            </w:r>
          </w:p>
        </w:tc>
        <w:tc>
          <w:tcPr>
            <w:tcW w:w="1242" w:type="dxa"/>
            <w:noWrap/>
            <w:hideMark/>
          </w:tcPr>
          <w:p w14:paraId="18A89E8D"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0.7 (0 - 1.3)</w:t>
            </w:r>
          </w:p>
        </w:tc>
        <w:tc>
          <w:tcPr>
            <w:tcW w:w="1242" w:type="dxa"/>
            <w:noWrap/>
            <w:hideMark/>
          </w:tcPr>
          <w:p w14:paraId="17D752E7"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0.8 (0.6 - 0.9)</w:t>
            </w:r>
          </w:p>
        </w:tc>
        <w:tc>
          <w:tcPr>
            <w:tcW w:w="1356" w:type="dxa"/>
            <w:noWrap/>
            <w:hideMark/>
          </w:tcPr>
          <w:p w14:paraId="3A942CED"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0.7 (0.4 - 1)</w:t>
            </w:r>
          </w:p>
        </w:tc>
        <w:tc>
          <w:tcPr>
            <w:tcW w:w="1356" w:type="dxa"/>
            <w:noWrap/>
            <w:hideMark/>
          </w:tcPr>
          <w:p w14:paraId="618C6519"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 (1.2 - 3)</w:t>
            </w:r>
          </w:p>
        </w:tc>
        <w:tc>
          <w:tcPr>
            <w:tcW w:w="1241" w:type="dxa"/>
            <w:noWrap/>
            <w:hideMark/>
          </w:tcPr>
          <w:p w14:paraId="620F6A97"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1.5 (0.3 - 1.9)</w:t>
            </w:r>
          </w:p>
        </w:tc>
        <w:tc>
          <w:tcPr>
            <w:tcW w:w="1241" w:type="dxa"/>
            <w:noWrap/>
            <w:hideMark/>
          </w:tcPr>
          <w:p w14:paraId="0478FC06"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0.4 (0.4 - 0.5)</w:t>
            </w:r>
          </w:p>
        </w:tc>
      </w:tr>
      <w:tr w:rsidR="0095711C" w:rsidRPr="00835206" w14:paraId="00E8E60E" w14:textId="77777777" w:rsidTr="008D3CE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00" w:type="dxa"/>
            <w:noWrap/>
            <w:hideMark/>
          </w:tcPr>
          <w:p w14:paraId="4DB6A59D" w14:textId="77777777" w:rsidR="0095711C" w:rsidRPr="00835206" w:rsidRDefault="0095711C" w:rsidP="009B01C9">
            <w:pPr>
              <w:keepNext/>
              <w:spacing w:after="0"/>
              <w:jc w:val="left"/>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Cyprus</w:t>
            </w:r>
          </w:p>
        </w:tc>
        <w:tc>
          <w:tcPr>
            <w:tcW w:w="1242" w:type="dxa"/>
            <w:noWrap/>
            <w:hideMark/>
          </w:tcPr>
          <w:p w14:paraId="72FC6940"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0.6 (0.6 - 0.6)</w:t>
            </w:r>
          </w:p>
        </w:tc>
        <w:tc>
          <w:tcPr>
            <w:tcW w:w="1242" w:type="dxa"/>
            <w:noWrap/>
            <w:hideMark/>
          </w:tcPr>
          <w:p w14:paraId="585EA7B2"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0.6 (0.6 - 0.6)</w:t>
            </w:r>
          </w:p>
        </w:tc>
        <w:tc>
          <w:tcPr>
            <w:tcW w:w="1356" w:type="dxa"/>
            <w:noWrap/>
            <w:hideMark/>
          </w:tcPr>
          <w:p w14:paraId="425443C9"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3.2 (3.2 - 3.2)</w:t>
            </w:r>
          </w:p>
        </w:tc>
        <w:tc>
          <w:tcPr>
            <w:tcW w:w="1356" w:type="dxa"/>
            <w:noWrap/>
            <w:hideMark/>
          </w:tcPr>
          <w:p w14:paraId="35B953FB"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2.3 (2.3 - 2.3)</w:t>
            </w:r>
          </w:p>
        </w:tc>
        <w:tc>
          <w:tcPr>
            <w:tcW w:w="1241" w:type="dxa"/>
            <w:noWrap/>
            <w:hideMark/>
          </w:tcPr>
          <w:p w14:paraId="21D7957C"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 (2 - 2)</w:t>
            </w:r>
          </w:p>
        </w:tc>
        <w:tc>
          <w:tcPr>
            <w:tcW w:w="1241" w:type="dxa"/>
            <w:noWrap/>
            <w:hideMark/>
          </w:tcPr>
          <w:p w14:paraId="668E6C98"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0.8 (0.8 - 0.8)</w:t>
            </w:r>
          </w:p>
        </w:tc>
      </w:tr>
      <w:tr w:rsidR="0095711C" w:rsidRPr="00835206" w14:paraId="0B846E24" w14:textId="77777777" w:rsidTr="008D3CE6">
        <w:trPr>
          <w:cnfStyle w:val="000000010000" w:firstRow="0" w:lastRow="0" w:firstColumn="0" w:lastColumn="0" w:oddVBand="0" w:evenVBand="0" w:oddHBand="0" w:evenHBand="1"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00" w:type="dxa"/>
            <w:noWrap/>
            <w:hideMark/>
          </w:tcPr>
          <w:p w14:paraId="01CE4A9B" w14:textId="77777777" w:rsidR="0095711C" w:rsidRPr="00835206" w:rsidRDefault="0095711C" w:rsidP="009B01C9">
            <w:pPr>
              <w:keepNext/>
              <w:spacing w:after="0"/>
              <w:jc w:val="left"/>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Czechia</w:t>
            </w:r>
          </w:p>
        </w:tc>
        <w:tc>
          <w:tcPr>
            <w:tcW w:w="1242" w:type="dxa"/>
            <w:noWrap/>
            <w:hideMark/>
          </w:tcPr>
          <w:p w14:paraId="6210D388"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0.8 (0 - 1.7)</w:t>
            </w:r>
          </w:p>
        </w:tc>
        <w:tc>
          <w:tcPr>
            <w:tcW w:w="1242" w:type="dxa"/>
            <w:noWrap/>
            <w:hideMark/>
          </w:tcPr>
          <w:p w14:paraId="3A8FE8BA"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1.2 (1.1 - 1.4)</w:t>
            </w:r>
          </w:p>
        </w:tc>
        <w:tc>
          <w:tcPr>
            <w:tcW w:w="1356" w:type="dxa"/>
            <w:noWrap/>
            <w:hideMark/>
          </w:tcPr>
          <w:p w14:paraId="3DDFEA68"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4.2 (0.8 - 19.8)</w:t>
            </w:r>
          </w:p>
        </w:tc>
        <w:tc>
          <w:tcPr>
            <w:tcW w:w="1356" w:type="dxa"/>
            <w:noWrap/>
            <w:hideMark/>
          </w:tcPr>
          <w:p w14:paraId="52307285"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2.9 (1.5 - 6.8)</w:t>
            </w:r>
          </w:p>
        </w:tc>
        <w:tc>
          <w:tcPr>
            <w:tcW w:w="1241" w:type="dxa"/>
            <w:noWrap/>
            <w:hideMark/>
          </w:tcPr>
          <w:p w14:paraId="27A630E2"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1.7 (0.4 - 2.6)</w:t>
            </w:r>
          </w:p>
        </w:tc>
        <w:tc>
          <w:tcPr>
            <w:tcW w:w="1241" w:type="dxa"/>
            <w:noWrap/>
            <w:hideMark/>
          </w:tcPr>
          <w:p w14:paraId="2DAE1C67"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0.5 (0.1 - 1.3)</w:t>
            </w:r>
          </w:p>
        </w:tc>
      </w:tr>
      <w:tr w:rsidR="0095711C" w:rsidRPr="00835206" w14:paraId="378D71F4" w14:textId="77777777" w:rsidTr="008D3CE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00" w:type="dxa"/>
            <w:noWrap/>
            <w:hideMark/>
          </w:tcPr>
          <w:p w14:paraId="728222EE" w14:textId="77777777" w:rsidR="0095711C" w:rsidRPr="00835206" w:rsidRDefault="0095711C" w:rsidP="009B01C9">
            <w:pPr>
              <w:keepNext/>
              <w:spacing w:after="0"/>
              <w:jc w:val="left"/>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Denmark</w:t>
            </w:r>
          </w:p>
        </w:tc>
        <w:tc>
          <w:tcPr>
            <w:tcW w:w="1242" w:type="dxa"/>
            <w:noWrap/>
            <w:hideMark/>
          </w:tcPr>
          <w:p w14:paraId="05830C16"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1.8 (0.1 - 3.5)</w:t>
            </w:r>
          </w:p>
        </w:tc>
        <w:tc>
          <w:tcPr>
            <w:tcW w:w="1242" w:type="dxa"/>
            <w:noWrap/>
            <w:hideMark/>
          </w:tcPr>
          <w:p w14:paraId="0F7352C8"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0.6 (0.6 - 0.7)</w:t>
            </w:r>
          </w:p>
        </w:tc>
        <w:tc>
          <w:tcPr>
            <w:tcW w:w="1356" w:type="dxa"/>
            <w:noWrap/>
            <w:hideMark/>
          </w:tcPr>
          <w:p w14:paraId="563B6B44"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1.2 (0.4 - 3.4)</w:t>
            </w:r>
          </w:p>
        </w:tc>
        <w:tc>
          <w:tcPr>
            <w:tcW w:w="1356" w:type="dxa"/>
            <w:noWrap/>
            <w:hideMark/>
          </w:tcPr>
          <w:p w14:paraId="408EFAC7"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1.3 (0.8 - 2.9)</w:t>
            </w:r>
          </w:p>
        </w:tc>
        <w:tc>
          <w:tcPr>
            <w:tcW w:w="1241" w:type="dxa"/>
            <w:noWrap/>
            <w:hideMark/>
          </w:tcPr>
          <w:p w14:paraId="48376D6C"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1.7 (0.8 - 2.4)</w:t>
            </w:r>
          </w:p>
        </w:tc>
        <w:tc>
          <w:tcPr>
            <w:tcW w:w="1241" w:type="dxa"/>
            <w:noWrap/>
            <w:hideMark/>
          </w:tcPr>
          <w:p w14:paraId="116DACDE"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0.2 (0.2 - 0.3)</w:t>
            </w:r>
          </w:p>
        </w:tc>
      </w:tr>
      <w:tr w:rsidR="0095711C" w:rsidRPr="00835206" w14:paraId="3495C46A" w14:textId="77777777" w:rsidTr="008D3CE6">
        <w:trPr>
          <w:cnfStyle w:val="000000010000" w:firstRow="0" w:lastRow="0" w:firstColumn="0" w:lastColumn="0" w:oddVBand="0" w:evenVBand="0" w:oddHBand="0" w:evenHBand="1"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00" w:type="dxa"/>
            <w:noWrap/>
            <w:hideMark/>
          </w:tcPr>
          <w:p w14:paraId="4859650C" w14:textId="77777777" w:rsidR="0095711C" w:rsidRPr="00835206" w:rsidRDefault="0095711C" w:rsidP="009B01C9">
            <w:pPr>
              <w:keepNext/>
              <w:spacing w:after="0"/>
              <w:jc w:val="left"/>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Estonia</w:t>
            </w:r>
          </w:p>
        </w:tc>
        <w:tc>
          <w:tcPr>
            <w:tcW w:w="1242" w:type="dxa"/>
            <w:noWrap/>
            <w:hideMark/>
          </w:tcPr>
          <w:p w14:paraId="28865B2C"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1.3 (1.3 - 1.3)</w:t>
            </w:r>
          </w:p>
        </w:tc>
        <w:tc>
          <w:tcPr>
            <w:tcW w:w="1242" w:type="dxa"/>
            <w:noWrap/>
            <w:hideMark/>
          </w:tcPr>
          <w:p w14:paraId="45646A58"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0.7 (0.7 - 0.7)</w:t>
            </w:r>
          </w:p>
        </w:tc>
        <w:tc>
          <w:tcPr>
            <w:tcW w:w="1356" w:type="dxa"/>
            <w:noWrap/>
            <w:hideMark/>
          </w:tcPr>
          <w:p w14:paraId="3850971F"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4.3 (4.3 - 4.3)</w:t>
            </w:r>
          </w:p>
        </w:tc>
        <w:tc>
          <w:tcPr>
            <w:tcW w:w="1356" w:type="dxa"/>
            <w:noWrap/>
            <w:hideMark/>
          </w:tcPr>
          <w:p w14:paraId="06C26259"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4.7 (4.7 - 4.7)</w:t>
            </w:r>
          </w:p>
        </w:tc>
        <w:tc>
          <w:tcPr>
            <w:tcW w:w="1241" w:type="dxa"/>
            <w:noWrap/>
            <w:hideMark/>
          </w:tcPr>
          <w:p w14:paraId="6A439AE4"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 (2 - 2)</w:t>
            </w:r>
          </w:p>
        </w:tc>
        <w:tc>
          <w:tcPr>
            <w:tcW w:w="1241" w:type="dxa"/>
            <w:noWrap/>
            <w:hideMark/>
          </w:tcPr>
          <w:p w14:paraId="3E99FD43"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1.7 (1.7 - 1.7)</w:t>
            </w:r>
          </w:p>
        </w:tc>
      </w:tr>
      <w:tr w:rsidR="0095711C" w:rsidRPr="00835206" w14:paraId="29E89802" w14:textId="77777777" w:rsidTr="008D3CE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00" w:type="dxa"/>
            <w:noWrap/>
            <w:hideMark/>
          </w:tcPr>
          <w:p w14:paraId="709CDE83" w14:textId="77777777" w:rsidR="0095711C" w:rsidRPr="00835206" w:rsidRDefault="0095711C" w:rsidP="009B01C9">
            <w:pPr>
              <w:keepNext/>
              <w:spacing w:after="0"/>
              <w:jc w:val="left"/>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Finland</w:t>
            </w:r>
          </w:p>
        </w:tc>
        <w:tc>
          <w:tcPr>
            <w:tcW w:w="1242" w:type="dxa"/>
            <w:noWrap/>
            <w:hideMark/>
          </w:tcPr>
          <w:p w14:paraId="4D1136C8"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0.9 (0.1 - 1.8)</w:t>
            </w:r>
          </w:p>
        </w:tc>
        <w:tc>
          <w:tcPr>
            <w:tcW w:w="1242" w:type="dxa"/>
            <w:noWrap/>
            <w:hideMark/>
          </w:tcPr>
          <w:p w14:paraId="286F85C7"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0.7 (0.1 - 0.9)</w:t>
            </w:r>
          </w:p>
        </w:tc>
        <w:tc>
          <w:tcPr>
            <w:tcW w:w="1356" w:type="dxa"/>
            <w:noWrap/>
            <w:hideMark/>
          </w:tcPr>
          <w:p w14:paraId="596BE514"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2.5 (0.5 - 4.2)</w:t>
            </w:r>
          </w:p>
        </w:tc>
        <w:tc>
          <w:tcPr>
            <w:tcW w:w="1356" w:type="dxa"/>
            <w:noWrap/>
            <w:hideMark/>
          </w:tcPr>
          <w:p w14:paraId="1B401C8A"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4.3 (0 - 6.3)</w:t>
            </w:r>
          </w:p>
        </w:tc>
        <w:tc>
          <w:tcPr>
            <w:tcW w:w="1241" w:type="dxa"/>
            <w:noWrap/>
            <w:hideMark/>
          </w:tcPr>
          <w:p w14:paraId="05939FAC"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1.7 (0.7 - 3.2)</w:t>
            </w:r>
          </w:p>
        </w:tc>
        <w:tc>
          <w:tcPr>
            <w:tcW w:w="1241" w:type="dxa"/>
            <w:noWrap/>
            <w:hideMark/>
          </w:tcPr>
          <w:p w14:paraId="0B612C2E"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1.4 (0 - 2.2)</w:t>
            </w:r>
          </w:p>
        </w:tc>
      </w:tr>
      <w:tr w:rsidR="0095711C" w:rsidRPr="00835206" w14:paraId="358A3E60" w14:textId="77777777" w:rsidTr="008D3CE6">
        <w:trPr>
          <w:cnfStyle w:val="000000010000" w:firstRow="0" w:lastRow="0" w:firstColumn="0" w:lastColumn="0" w:oddVBand="0" w:evenVBand="0" w:oddHBand="0" w:evenHBand="1"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00" w:type="dxa"/>
            <w:noWrap/>
            <w:hideMark/>
          </w:tcPr>
          <w:p w14:paraId="5B1C6083" w14:textId="77777777" w:rsidR="0095711C" w:rsidRPr="00835206" w:rsidRDefault="0095711C" w:rsidP="009B01C9">
            <w:pPr>
              <w:keepNext/>
              <w:spacing w:after="0"/>
              <w:jc w:val="left"/>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France</w:t>
            </w:r>
          </w:p>
        </w:tc>
        <w:tc>
          <w:tcPr>
            <w:tcW w:w="1242" w:type="dxa"/>
            <w:noWrap/>
            <w:hideMark/>
          </w:tcPr>
          <w:p w14:paraId="6AAF6EFC"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1.1 (0.1 - 9.5)</w:t>
            </w:r>
          </w:p>
        </w:tc>
        <w:tc>
          <w:tcPr>
            <w:tcW w:w="1242" w:type="dxa"/>
            <w:noWrap/>
            <w:hideMark/>
          </w:tcPr>
          <w:p w14:paraId="67419AE0"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1.1 (0 - 1.6)</w:t>
            </w:r>
          </w:p>
        </w:tc>
        <w:tc>
          <w:tcPr>
            <w:tcW w:w="1356" w:type="dxa"/>
            <w:noWrap/>
            <w:hideMark/>
          </w:tcPr>
          <w:p w14:paraId="5ADF81B4"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0.6 (0 - 3.4)</w:t>
            </w:r>
          </w:p>
        </w:tc>
        <w:tc>
          <w:tcPr>
            <w:tcW w:w="1356" w:type="dxa"/>
            <w:noWrap/>
            <w:hideMark/>
          </w:tcPr>
          <w:p w14:paraId="4B7FB9AC"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1.5 (0 - 3.6)</w:t>
            </w:r>
          </w:p>
        </w:tc>
        <w:tc>
          <w:tcPr>
            <w:tcW w:w="1241" w:type="dxa"/>
            <w:noWrap/>
            <w:hideMark/>
          </w:tcPr>
          <w:p w14:paraId="7E02C8CF"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1.7 (0.5 - 3.6)</w:t>
            </w:r>
          </w:p>
        </w:tc>
        <w:tc>
          <w:tcPr>
            <w:tcW w:w="1241" w:type="dxa"/>
            <w:noWrap/>
            <w:hideMark/>
          </w:tcPr>
          <w:p w14:paraId="4BDE986C"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0.4 (0.1 - 1.7)</w:t>
            </w:r>
          </w:p>
        </w:tc>
      </w:tr>
      <w:tr w:rsidR="0095711C" w:rsidRPr="00835206" w14:paraId="320322BF" w14:textId="77777777" w:rsidTr="008D3CE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00" w:type="dxa"/>
            <w:noWrap/>
            <w:hideMark/>
          </w:tcPr>
          <w:p w14:paraId="1387CC3C" w14:textId="77777777" w:rsidR="0095711C" w:rsidRPr="00835206" w:rsidRDefault="0095711C" w:rsidP="009B01C9">
            <w:pPr>
              <w:keepNext/>
              <w:spacing w:after="0"/>
              <w:jc w:val="left"/>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Germany</w:t>
            </w:r>
          </w:p>
        </w:tc>
        <w:tc>
          <w:tcPr>
            <w:tcW w:w="1242" w:type="dxa"/>
            <w:noWrap/>
            <w:hideMark/>
          </w:tcPr>
          <w:p w14:paraId="5BB2C7BA"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0.7 (0 - 2.4)</w:t>
            </w:r>
          </w:p>
        </w:tc>
        <w:tc>
          <w:tcPr>
            <w:tcW w:w="1242" w:type="dxa"/>
            <w:noWrap/>
            <w:hideMark/>
          </w:tcPr>
          <w:p w14:paraId="74A511AB"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1.5 (1.1 - 1.7)</w:t>
            </w:r>
          </w:p>
        </w:tc>
        <w:tc>
          <w:tcPr>
            <w:tcW w:w="1356" w:type="dxa"/>
            <w:noWrap/>
            <w:hideMark/>
          </w:tcPr>
          <w:p w14:paraId="7BA3CAEC"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2.8 (0.4 - 7.7)</w:t>
            </w:r>
          </w:p>
        </w:tc>
        <w:tc>
          <w:tcPr>
            <w:tcW w:w="1356" w:type="dxa"/>
            <w:noWrap/>
            <w:hideMark/>
          </w:tcPr>
          <w:p w14:paraId="55ACBF09"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2.3 (0.9 - 5.6)</w:t>
            </w:r>
          </w:p>
        </w:tc>
        <w:tc>
          <w:tcPr>
            <w:tcW w:w="1241" w:type="dxa"/>
            <w:noWrap/>
            <w:hideMark/>
          </w:tcPr>
          <w:p w14:paraId="5F29AD7C"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1.7 (0.4 - 3.8)</w:t>
            </w:r>
          </w:p>
        </w:tc>
        <w:tc>
          <w:tcPr>
            <w:tcW w:w="1241" w:type="dxa"/>
            <w:noWrap/>
            <w:hideMark/>
          </w:tcPr>
          <w:p w14:paraId="5CF1597E"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0.3 (0.1 - 1)</w:t>
            </w:r>
          </w:p>
        </w:tc>
      </w:tr>
      <w:tr w:rsidR="0095711C" w:rsidRPr="00835206" w14:paraId="4963013D" w14:textId="77777777" w:rsidTr="008D3CE6">
        <w:trPr>
          <w:cnfStyle w:val="000000010000" w:firstRow="0" w:lastRow="0" w:firstColumn="0" w:lastColumn="0" w:oddVBand="0" w:evenVBand="0" w:oddHBand="0" w:evenHBand="1"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00" w:type="dxa"/>
            <w:noWrap/>
            <w:hideMark/>
          </w:tcPr>
          <w:p w14:paraId="3D58C969" w14:textId="77777777" w:rsidR="0095711C" w:rsidRPr="00835206" w:rsidRDefault="0095711C" w:rsidP="009B01C9">
            <w:pPr>
              <w:keepNext/>
              <w:spacing w:after="0"/>
              <w:jc w:val="left"/>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Greece</w:t>
            </w:r>
          </w:p>
        </w:tc>
        <w:tc>
          <w:tcPr>
            <w:tcW w:w="1242" w:type="dxa"/>
            <w:noWrap/>
            <w:hideMark/>
          </w:tcPr>
          <w:p w14:paraId="12339AB0"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0.6 (0 - 2.2)</w:t>
            </w:r>
          </w:p>
        </w:tc>
        <w:tc>
          <w:tcPr>
            <w:tcW w:w="1242" w:type="dxa"/>
            <w:noWrap/>
            <w:hideMark/>
          </w:tcPr>
          <w:p w14:paraId="60C207BC"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0.5 (0.5 - 0.6)</w:t>
            </w:r>
          </w:p>
        </w:tc>
        <w:tc>
          <w:tcPr>
            <w:tcW w:w="1356" w:type="dxa"/>
            <w:noWrap/>
            <w:hideMark/>
          </w:tcPr>
          <w:p w14:paraId="0EAFA12D"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1.9 (0.1 - 23.3)</w:t>
            </w:r>
          </w:p>
        </w:tc>
        <w:tc>
          <w:tcPr>
            <w:tcW w:w="1356" w:type="dxa"/>
            <w:noWrap/>
            <w:hideMark/>
          </w:tcPr>
          <w:p w14:paraId="02C6E1B7"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 (0.8 - 4)</w:t>
            </w:r>
          </w:p>
        </w:tc>
        <w:tc>
          <w:tcPr>
            <w:tcW w:w="1241" w:type="dxa"/>
            <w:noWrap/>
            <w:hideMark/>
          </w:tcPr>
          <w:p w14:paraId="22CDDCF5"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1.1 (0.4 - 2.8)</w:t>
            </w:r>
          </w:p>
        </w:tc>
        <w:tc>
          <w:tcPr>
            <w:tcW w:w="1241" w:type="dxa"/>
            <w:noWrap/>
            <w:hideMark/>
          </w:tcPr>
          <w:p w14:paraId="4EA274AD"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0.5 (0 - 1.5)</w:t>
            </w:r>
          </w:p>
        </w:tc>
      </w:tr>
      <w:tr w:rsidR="0095711C" w:rsidRPr="00835206" w14:paraId="287B9413" w14:textId="77777777" w:rsidTr="008D3CE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00" w:type="dxa"/>
            <w:noWrap/>
            <w:hideMark/>
          </w:tcPr>
          <w:p w14:paraId="76336CAE" w14:textId="77777777" w:rsidR="0095711C" w:rsidRPr="00835206" w:rsidRDefault="0095711C" w:rsidP="009B01C9">
            <w:pPr>
              <w:keepNext/>
              <w:spacing w:after="0"/>
              <w:jc w:val="left"/>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Hungary</w:t>
            </w:r>
          </w:p>
        </w:tc>
        <w:tc>
          <w:tcPr>
            <w:tcW w:w="1242" w:type="dxa"/>
            <w:noWrap/>
            <w:hideMark/>
          </w:tcPr>
          <w:p w14:paraId="2DDD4227"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0.8 (0 - 1.4)</w:t>
            </w:r>
          </w:p>
        </w:tc>
        <w:tc>
          <w:tcPr>
            <w:tcW w:w="1242" w:type="dxa"/>
            <w:noWrap/>
            <w:hideMark/>
          </w:tcPr>
          <w:p w14:paraId="1C3F9E39"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1.3 (1.2 - 1.4)</w:t>
            </w:r>
          </w:p>
        </w:tc>
        <w:tc>
          <w:tcPr>
            <w:tcW w:w="1356" w:type="dxa"/>
            <w:noWrap/>
            <w:hideMark/>
          </w:tcPr>
          <w:p w14:paraId="4FA5B232"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1.1 (0 - 3.4)</w:t>
            </w:r>
          </w:p>
        </w:tc>
        <w:tc>
          <w:tcPr>
            <w:tcW w:w="1356" w:type="dxa"/>
            <w:noWrap/>
            <w:hideMark/>
          </w:tcPr>
          <w:p w14:paraId="22B1F890"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2.2 (1.3 - 4.2)</w:t>
            </w:r>
          </w:p>
        </w:tc>
        <w:tc>
          <w:tcPr>
            <w:tcW w:w="1241" w:type="dxa"/>
            <w:noWrap/>
            <w:hideMark/>
          </w:tcPr>
          <w:p w14:paraId="20998255"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1.4 (0.4 - 2.2)</w:t>
            </w:r>
          </w:p>
        </w:tc>
        <w:tc>
          <w:tcPr>
            <w:tcW w:w="1241" w:type="dxa"/>
            <w:noWrap/>
            <w:hideMark/>
          </w:tcPr>
          <w:p w14:paraId="3C29BE70"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0.2 (0.2 - 0.3)</w:t>
            </w:r>
          </w:p>
        </w:tc>
      </w:tr>
      <w:tr w:rsidR="0095711C" w:rsidRPr="00835206" w14:paraId="35783B00" w14:textId="77777777" w:rsidTr="008D3CE6">
        <w:trPr>
          <w:cnfStyle w:val="000000010000" w:firstRow="0" w:lastRow="0" w:firstColumn="0" w:lastColumn="0" w:oddVBand="0" w:evenVBand="0" w:oddHBand="0" w:evenHBand="1"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00" w:type="dxa"/>
            <w:noWrap/>
            <w:hideMark/>
          </w:tcPr>
          <w:p w14:paraId="27EC5806" w14:textId="77777777" w:rsidR="0095711C" w:rsidRPr="00835206" w:rsidRDefault="0095711C" w:rsidP="009B01C9">
            <w:pPr>
              <w:keepNext/>
              <w:spacing w:after="0"/>
              <w:jc w:val="left"/>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Ireland</w:t>
            </w:r>
          </w:p>
        </w:tc>
        <w:tc>
          <w:tcPr>
            <w:tcW w:w="1242" w:type="dxa"/>
            <w:noWrap/>
            <w:hideMark/>
          </w:tcPr>
          <w:p w14:paraId="30F99DB8"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4.6 (2 - 7.7)</w:t>
            </w:r>
          </w:p>
        </w:tc>
        <w:tc>
          <w:tcPr>
            <w:tcW w:w="1242" w:type="dxa"/>
            <w:noWrap/>
            <w:hideMark/>
          </w:tcPr>
          <w:p w14:paraId="732476E1"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1.7 (1.7 - 1.7)</w:t>
            </w:r>
          </w:p>
        </w:tc>
        <w:tc>
          <w:tcPr>
            <w:tcW w:w="1356" w:type="dxa"/>
            <w:noWrap/>
            <w:hideMark/>
          </w:tcPr>
          <w:p w14:paraId="58F18A2D"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1.9 (0.8 - 3.3)</w:t>
            </w:r>
          </w:p>
        </w:tc>
        <w:tc>
          <w:tcPr>
            <w:tcW w:w="1356" w:type="dxa"/>
            <w:noWrap/>
            <w:hideMark/>
          </w:tcPr>
          <w:p w14:paraId="454EC4AD"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1.9 (1.6 - 2.1)</w:t>
            </w:r>
          </w:p>
        </w:tc>
        <w:tc>
          <w:tcPr>
            <w:tcW w:w="1241" w:type="dxa"/>
            <w:noWrap/>
            <w:hideMark/>
          </w:tcPr>
          <w:p w14:paraId="79DC0300"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 (1.4 - 2.8)</w:t>
            </w:r>
          </w:p>
        </w:tc>
        <w:tc>
          <w:tcPr>
            <w:tcW w:w="1241" w:type="dxa"/>
            <w:noWrap/>
            <w:hideMark/>
          </w:tcPr>
          <w:p w14:paraId="086C1542"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0.2 (0.2 - 0.4)</w:t>
            </w:r>
          </w:p>
        </w:tc>
      </w:tr>
      <w:tr w:rsidR="0095711C" w:rsidRPr="00835206" w14:paraId="66F2AA80" w14:textId="77777777" w:rsidTr="008D3CE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00" w:type="dxa"/>
            <w:noWrap/>
            <w:hideMark/>
          </w:tcPr>
          <w:p w14:paraId="607C476A" w14:textId="77777777" w:rsidR="0095711C" w:rsidRPr="00835206" w:rsidRDefault="0095711C" w:rsidP="009B01C9">
            <w:pPr>
              <w:keepNext/>
              <w:spacing w:after="0"/>
              <w:jc w:val="left"/>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Italy</w:t>
            </w:r>
          </w:p>
        </w:tc>
        <w:tc>
          <w:tcPr>
            <w:tcW w:w="1242" w:type="dxa"/>
            <w:noWrap/>
            <w:hideMark/>
          </w:tcPr>
          <w:p w14:paraId="1ACC943D"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0.6 (0.1 - 1.7)</w:t>
            </w:r>
          </w:p>
        </w:tc>
        <w:tc>
          <w:tcPr>
            <w:tcW w:w="1242" w:type="dxa"/>
            <w:noWrap/>
            <w:hideMark/>
          </w:tcPr>
          <w:p w14:paraId="355F9CC3"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1.2 (1.2 - 1.4)</w:t>
            </w:r>
          </w:p>
        </w:tc>
        <w:tc>
          <w:tcPr>
            <w:tcW w:w="1356" w:type="dxa"/>
            <w:noWrap/>
            <w:hideMark/>
          </w:tcPr>
          <w:p w14:paraId="300DABF3"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1.6 (0.3 - 5.2)</w:t>
            </w:r>
          </w:p>
        </w:tc>
        <w:tc>
          <w:tcPr>
            <w:tcW w:w="1356" w:type="dxa"/>
            <w:noWrap/>
            <w:hideMark/>
          </w:tcPr>
          <w:p w14:paraId="178A4B38"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1.4 (0.8 - 2.4)</w:t>
            </w:r>
          </w:p>
        </w:tc>
        <w:tc>
          <w:tcPr>
            <w:tcW w:w="1241" w:type="dxa"/>
            <w:noWrap/>
            <w:hideMark/>
          </w:tcPr>
          <w:p w14:paraId="2F7450D4"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1.5 (0.9 - 4.8)</w:t>
            </w:r>
          </w:p>
        </w:tc>
        <w:tc>
          <w:tcPr>
            <w:tcW w:w="1241" w:type="dxa"/>
            <w:noWrap/>
            <w:hideMark/>
          </w:tcPr>
          <w:p w14:paraId="1C4D924F"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0.3 (0.1 - 0.9)</w:t>
            </w:r>
          </w:p>
        </w:tc>
      </w:tr>
      <w:tr w:rsidR="0095711C" w:rsidRPr="00835206" w14:paraId="2FB4BCC2" w14:textId="77777777" w:rsidTr="008D3CE6">
        <w:trPr>
          <w:cnfStyle w:val="000000010000" w:firstRow="0" w:lastRow="0" w:firstColumn="0" w:lastColumn="0" w:oddVBand="0" w:evenVBand="0" w:oddHBand="0" w:evenHBand="1"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00" w:type="dxa"/>
            <w:noWrap/>
            <w:hideMark/>
          </w:tcPr>
          <w:p w14:paraId="0683ED7C" w14:textId="77777777" w:rsidR="0095711C" w:rsidRPr="00835206" w:rsidRDefault="0095711C" w:rsidP="009B01C9">
            <w:pPr>
              <w:keepNext/>
              <w:spacing w:after="0"/>
              <w:jc w:val="left"/>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Latvia</w:t>
            </w:r>
          </w:p>
        </w:tc>
        <w:tc>
          <w:tcPr>
            <w:tcW w:w="1242" w:type="dxa"/>
            <w:noWrap/>
            <w:hideMark/>
          </w:tcPr>
          <w:p w14:paraId="0E3A60A0"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1.3 (1.3 - 1.3)</w:t>
            </w:r>
          </w:p>
        </w:tc>
        <w:tc>
          <w:tcPr>
            <w:tcW w:w="1242" w:type="dxa"/>
            <w:noWrap/>
            <w:hideMark/>
          </w:tcPr>
          <w:p w14:paraId="7099A4E7"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0.7 (0.7 - 0.7)</w:t>
            </w:r>
          </w:p>
        </w:tc>
        <w:tc>
          <w:tcPr>
            <w:tcW w:w="1356" w:type="dxa"/>
            <w:noWrap/>
            <w:hideMark/>
          </w:tcPr>
          <w:p w14:paraId="51581665"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0.9 (0.9 - 0.9)</w:t>
            </w:r>
          </w:p>
        </w:tc>
        <w:tc>
          <w:tcPr>
            <w:tcW w:w="1356" w:type="dxa"/>
            <w:noWrap/>
            <w:hideMark/>
          </w:tcPr>
          <w:p w14:paraId="3B6010DC"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1.3 (1.3 - 1.3)</w:t>
            </w:r>
          </w:p>
        </w:tc>
        <w:tc>
          <w:tcPr>
            <w:tcW w:w="1241" w:type="dxa"/>
            <w:noWrap/>
            <w:hideMark/>
          </w:tcPr>
          <w:p w14:paraId="6F739E89"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1.5 (1.5 - 1.5)</w:t>
            </w:r>
          </w:p>
        </w:tc>
        <w:tc>
          <w:tcPr>
            <w:tcW w:w="1241" w:type="dxa"/>
            <w:noWrap/>
            <w:hideMark/>
          </w:tcPr>
          <w:p w14:paraId="4195ED13"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0.4 (0.4 - 0.4)</w:t>
            </w:r>
          </w:p>
        </w:tc>
      </w:tr>
      <w:tr w:rsidR="0095711C" w:rsidRPr="00835206" w14:paraId="49248F39" w14:textId="77777777" w:rsidTr="008D3CE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00" w:type="dxa"/>
            <w:noWrap/>
            <w:hideMark/>
          </w:tcPr>
          <w:p w14:paraId="43BA2390" w14:textId="77777777" w:rsidR="0095711C" w:rsidRPr="00835206" w:rsidRDefault="0095711C" w:rsidP="009B01C9">
            <w:pPr>
              <w:keepNext/>
              <w:spacing w:after="0"/>
              <w:jc w:val="left"/>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Lithuania</w:t>
            </w:r>
          </w:p>
        </w:tc>
        <w:tc>
          <w:tcPr>
            <w:tcW w:w="1242" w:type="dxa"/>
            <w:noWrap/>
            <w:hideMark/>
          </w:tcPr>
          <w:p w14:paraId="56F310EB"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1.5 (0.5 - 1.9)</w:t>
            </w:r>
          </w:p>
        </w:tc>
        <w:tc>
          <w:tcPr>
            <w:tcW w:w="1242" w:type="dxa"/>
            <w:noWrap/>
            <w:hideMark/>
          </w:tcPr>
          <w:p w14:paraId="45DCFDC2"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0.6 (0.5 - 0.6)</w:t>
            </w:r>
          </w:p>
        </w:tc>
        <w:tc>
          <w:tcPr>
            <w:tcW w:w="1356" w:type="dxa"/>
            <w:noWrap/>
            <w:hideMark/>
          </w:tcPr>
          <w:p w14:paraId="49FFD504"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0.3 (0.1 - 1)</w:t>
            </w:r>
          </w:p>
        </w:tc>
        <w:tc>
          <w:tcPr>
            <w:tcW w:w="1356" w:type="dxa"/>
            <w:noWrap/>
            <w:hideMark/>
          </w:tcPr>
          <w:p w14:paraId="769BD69D"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3.2 (1.6 - 3.9)</w:t>
            </w:r>
          </w:p>
        </w:tc>
        <w:tc>
          <w:tcPr>
            <w:tcW w:w="1241" w:type="dxa"/>
            <w:noWrap/>
            <w:hideMark/>
          </w:tcPr>
          <w:p w14:paraId="53852EE8"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2.2 (1.3 - 2.6)</w:t>
            </w:r>
          </w:p>
        </w:tc>
        <w:tc>
          <w:tcPr>
            <w:tcW w:w="1241" w:type="dxa"/>
            <w:noWrap/>
            <w:hideMark/>
          </w:tcPr>
          <w:p w14:paraId="37656D72"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0.5 (0.2 - 0.6)</w:t>
            </w:r>
          </w:p>
        </w:tc>
      </w:tr>
      <w:tr w:rsidR="0095711C" w:rsidRPr="00835206" w14:paraId="5853C880" w14:textId="77777777" w:rsidTr="008D3CE6">
        <w:trPr>
          <w:cnfStyle w:val="000000010000" w:firstRow="0" w:lastRow="0" w:firstColumn="0" w:lastColumn="0" w:oddVBand="0" w:evenVBand="0" w:oddHBand="0" w:evenHBand="1"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00" w:type="dxa"/>
            <w:noWrap/>
            <w:hideMark/>
          </w:tcPr>
          <w:p w14:paraId="1A974B43" w14:textId="77777777" w:rsidR="0095711C" w:rsidRPr="00835206" w:rsidRDefault="0095711C" w:rsidP="009B01C9">
            <w:pPr>
              <w:keepNext/>
              <w:spacing w:after="0"/>
              <w:jc w:val="left"/>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Luxembourg</w:t>
            </w:r>
          </w:p>
        </w:tc>
        <w:tc>
          <w:tcPr>
            <w:tcW w:w="1242" w:type="dxa"/>
            <w:noWrap/>
            <w:hideMark/>
          </w:tcPr>
          <w:p w14:paraId="392EFCBE"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 (1 - 1)</w:t>
            </w:r>
          </w:p>
        </w:tc>
        <w:tc>
          <w:tcPr>
            <w:tcW w:w="1242" w:type="dxa"/>
            <w:noWrap/>
            <w:hideMark/>
          </w:tcPr>
          <w:p w14:paraId="5AA2CFBA"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2.4 (2.4 - 2.4)</w:t>
            </w:r>
          </w:p>
        </w:tc>
        <w:tc>
          <w:tcPr>
            <w:tcW w:w="1356" w:type="dxa"/>
            <w:noWrap/>
            <w:hideMark/>
          </w:tcPr>
          <w:p w14:paraId="3307F015"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0.4 (0.4 - 0.4)</w:t>
            </w:r>
          </w:p>
        </w:tc>
        <w:tc>
          <w:tcPr>
            <w:tcW w:w="1356" w:type="dxa"/>
            <w:noWrap/>
            <w:hideMark/>
          </w:tcPr>
          <w:p w14:paraId="5292237B"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2.5 (2.5 - 2.5)</w:t>
            </w:r>
          </w:p>
        </w:tc>
        <w:tc>
          <w:tcPr>
            <w:tcW w:w="1241" w:type="dxa"/>
            <w:noWrap/>
            <w:hideMark/>
          </w:tcPr>
          <w:p w14:paraId="4B67F4F5"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8.3 (8.3 - 8.3)</w:t>
            </w:r>
          </w:p>
        </w:tc>
        <w:tc>
          <w:tcPr>
            <w:tcW w:w="1241" w:type="dxa"/>
            <w:noWrap/>
            <w:hideMark/>
          </w:tcPr>
          <w:p w14:paraId="6E2D3B95"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0.1 (0.1 - 0.1)</w:t>
            </w:r>
          </w:p>
        </w:tc>
      </w:tr>
      <w:tr w:rsidR="0095711C" w:rsidRPr="00835206" w14:paraId="6C1F5BEF" w14:textId="77777777" w:rsidTr="008D3CE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00" w:type="dxa"/>
            <w:noWrap/>
            <w:hideMark/>
          </w:tcPr>
          <w:p w14:paraId="213FBCA1" w14:textId="77777777" w:rsidR="0095711C" w:rsidRPr="00835206" w:rsidRDefault="0095711C" w:rsidP="009B01C9">
            <w:pPr>
              <w:keepNext/>
              <w:spacing w:after="0"/>
              <w:jc w:val="left"/>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Malta</w:t>
            </w:r>
          </w:p>
        </w:tc>
        <w:tc>
          <w:tcPr>
            <w:tcW w:w="1242" w:type="dxa"/>
            <w:noWrap/>
            <w:hideMark/>
          </w:tcPr>
          <w:p w14:paraId="25343612"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0.1 (0.1 - 0.1)</w:t>
            </w:r>
          </w:p>
        </w:tc>
        <w:tc>
          <w:tcPr>
            <w:tcW w:w="1242" w:type="dxa"/>
            <w:noWrap/>
            <w:hideMark/>
          </w:tcPr>
          <w:p w14:paraId="5F0B1240"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0.2 (0.2 - 0.2)</w:t>
            </w:r>
          </w:p>
        </w:tc>
        <w:tc>
          <w:tcPr>
            <w:tcW w:w="1356" w:type="dxa"/>
            <w:noWrap/>
            <w:hideMark/>
          </w:tcPr>
          <w:p w14:paraId="46C8068E"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1.6 (1.6 - 1.6)</w:t>
            </w:r>
          </w:p>
        </w:tc>
        <w:tc>
          <w:tcPr>
            <w:tcW w:w="1356" w:type="dxa"/>
            <w:noWrap/>
            <w:hideMark/>
          </w:tcPr>
          <w:p w14:paraId="02B03F3F"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0.7 (0.7 - 0.7)</w:t>
            </w:r>
          </w:p>
        </w:tc>
        <w:tc>
          <w:tcPr>
            <w:tcW w:w="1241" w:type="dxa"/>
            <w:noWrap/>
            <w:hideMark/>
          </w:tcPr>
          <w:p w14:paraId="3E76F634"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1.3 (1.3 - 1.3)</w:t>
            </w:r>
          </w:p>
        </w:tc>
        <w:tc>
          <w:tcPr>
            <w:tcW w:w="1241" w:type="dxa"/>
            <w:noWrap/>
            <w:hideMark/>
          </w:tcPr>
          <w:p w14:paraId="74D00A12"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0.2 (0.2 - 0.2)</w:t>
            </w:r>
          </w:p>
        </w:tc>
      </w:tr>
      <w:tr w:rsidR="0095711C" w:rsidRPr="00835206" w14:paraId="3E480769" w14:textId="77777777" w:rsidTr="008D3CE6">
        <w:trPr>
          <w:cnfStyle w:val="000000010000" w:firstRow="0" w:lastRow="0" w:firstColumn="0" w:lastColumn="0" w:oddVBand="0" w:evenVBand="0" w:oddHBand="0" w:evenHBand="1"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00" w:type="dxa"/>
            <w:noWrap/>
            <w:hideMark/>
          </w:tcPr>
          <w:p w14:paraId="0A16C25C" w14:textId="77777777" w:rsidR="0095711C" w:rsidRPr="00835206" w:rsidRDefault="0095711C" w:rsidP="009B01C9">
            <w:pPr>
              <w:keepNext/>
              <w:spacing w:after="0"/>
              <w:jc w:val="left"/>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Netherlands</w:t>
            </w:r>
          </w:p>
        </w:tc>
        <w:tc>
          <w:tcPr>
            <w:tcW w:w="1242" w:type="dxa"/>
            <w:noWrap/>
            <w:hideMark/>
          </w:tcPr>
          <w:p w14:paraId="262AF181"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 (0.2 - 2.9)</w:t>
            </w:r>
          </w:p>
        </w:tc>
        <w:tc>
          <w:tcPr>
            <w:tcW w:w="1242" w:type="dxa"/>
            <w:noWrap/>
            <w:hideMark/>
          </w:tcPr>
          <w:p w14:paraId="587FB089"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1.6 (1.5 - 2.3)</w:t>
            </w:r>
          </w:p>
        </w:tc>
        <w:tc>
          <w:tcPr>
            <w:tcW w:w="1356" w:type="dxa"/>
            <w:noWrap/>
            <w:hideMark/>
          </w:tcPr>
          <w:p w14:paraId="35A46D55"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2.7 (0.4 - 22)</w:t>
            </w:r>
          </w:p>
        </w:tc>
        <w:tc>
          <w:tcPr>
            <w:tcW w:w="1356" w:type="dxa"/>
            <w:noWrap/>
            <w:hideMark/>
          </w:tcPr>
          <w:p w14:paraId="00032F7F"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3.9 (1.2 - 21.4)</w:t>
            </w:r>
          </w:p>
        </w:tc>
        <w:tc>
          <w:tcPr>
            <w:tcW w:w="1241" w:type="dxa"/>
            <w:noWrap/>
            <w:hideMark/>
          </w:tcPr>
          <w:p w14:paraId="1541D7E8"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1.6 (1 - 2.8)</w:t>
            </w:r>
          </w:p>
        </w:tc>
        <w:tc>
          <w:tcPr>
            <w:tcW w:w="1241" w:type="dxa"/>
            <w:noWrap/>
            <w:hideMark/>
          </w:tcPr>
          <w:p w14:paraId="1A049EAD"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0.3 (0.1 - 1.2)</w:t>
            </w:r>
          </w:p>
        </w:tc>
      </w:tr>
      <w:tr w:rsidR="0095711C" w:rsidRPr="00835206" w14:paraId="43F60223" w14:textId="77777777" w:rsidTr="008D3CE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00" w:type="dxa"/>
            <w:noWrap/>
            <w:hideMark/>
          </w:tcPr>
          <w:p w14:paraId="6C511DF2" w14:textId="77777777" w:rsidR="0095711C" w:rsidRPr="00835206" w:rsidRDefault="0095711C" w:rsidP="009B01C9">
            <w:pPr>
              <w:keepNext/>
              <w:spacing w:after="0"/>
              <w:jc w:val="left"/>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Poland</w:t>
            </w:r>
          </w:p>
        </w:tc>
        <w:tc>
          <w:tcPr>
            <w:tcW w:w="1242" w:type="dxa"/>
            <w:noWrap/>
            <w:hideMark/>
          </w:tcPr>
          <w:p w14:paraId="7EF6CA7E"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 (0.2 - 3.3)</w:t>
            </w:r>
          </w:p>
        </w:tc>
        <w:tc>
          <w:tcPr>
            <w:tcW w:w="1242" w:type="dxa"/>
            <w:noWrap/>
            <w:hideMark/>
          </w:tcPr>
          <w:p w14:paraId="5CC32E18"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1.4 (1.2 - 1.6)</w:t>
            </w:r>
          </w:p>
        </w:tc>
        <w:tc>
          <w:tcPr>
            <w:tcW w:w="1356" w:type="dxa"/>
            <w:noWrap/>
            <w:hideMark/>
          </w:tcPr>
          <w:p w14:paraId="46CC4555"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3.8 (0.5 - 12)</w:t>
            </w:r>
          </w:p>
        </w:tc>
        <w:tc>
          <w:tcPr>
            <w:tcW w:w="1356" w:type="dxa"/>
            <w:noWrap/>
            <w:hideMark/>
          </w:tcPr>
          <w:p w14:paraId="258C95F6"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2.8 (1.3 - 6.1)</w:t>
            </w:r>
          </w:p>
        </w:tc>
        <w:tc>
          <w:tcPr>
            <w:tcW w:w="1241" w:type="dxa"/>
            <w:noWrap/>
            <w:hideMark/>
          </w:tcPr>
          <w:p w14:paraId="1D61CE2B"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1.7 (1 - 2.6)</w:t>
            </w:r>
          </w:p>
        </w:tc>
        <w:tc>
          <w:tcPr>
            <w:tcW w:w="1241" w:type="dxa"/>
            <w:noWrap/>
            <w:hideMark/>
          </w:tcPr>
          <w:p w14:paraId="4C2F0C41"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0.2 (0.1 - 0.8)</w:t>
            </w:r>
          </w:p>
        </w:tc>
      </w:tr>
      <w:tr w:rsidR="0095711C" w:rsidRPr="00835206" w14:paraId="0AE300F5" w14:textId="77777777" w:rsidTr="008D3CE6">
        <w:trPr>
          <w:cnfStyle w:val="000000010000" w:firstRow="0" w:lastRow="0" w:firstColumn="0" w:lastColumn="0" w:oddVBand="0" w:evenVBand="0" w:oddHBand="0" w:evenHBand="1"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00" w:type="dxa"/>
            <w:noWrap/>
            <w:hideMark/>
          </w:tcPr>
          <w:p w14:paraId="4FBCE177" w14:textId="77777777" w:rsidR="0095711C" w:rsidRPr="00835206" w:rsidRDefault="0095711C" w:rsidP="009B01C9">
            <w:pPr>
              <w:keepNext/>
              <w:spacing w:after="0"/>
              <w:jc w:val="left"/>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Portugal</w:t>
            </w:r>
          </w:p>
        </w:tc>
        <w:tc>
          <w:tcPr>
            <w:tcW w:w="1242" w:type="dxa"/>
            <w:noWrap/>
            <w:hideMark/>
          </w:tcPr>
          <w:p w14:paraId="1C226986"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0.7 (0 - 5)</w:t>
            </w:r>
          </w:p>
        </w:tc>
        <w:tc>
          <w:tcPr>
            <w:tcW w:w="1242" w:type="dxa"/>
            <w:noWrap/>
            <w:hideMark/>
          </w:tcPr>
          <w:p w14:paraId="6F37049B"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0.4 (0.3 - 0.5)</w:t>
            </w:r>
          </w:p>
        </w:tc>
        <w:tc>
          <w:tcPr>
            <w:tcW w:w="1356" w:type="dxa"/>
            <w:noWrap/>
            <w:hideMark/>
          </w:tcPr>
          <w:p w14:paraId="2CB8A0BA"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0.9 (0 - 2.1)</w:t>
            </w:r>
          </w:p>
        </w:tc>
        <w:tc>
          <w:tcPr>
            <w:tcW w:w="1356" w:type="dxa"/>
            <w:noWrap/>
            <w:hideMark/>
          </w:tcPr>
          <w:p w14:paraId="41FAC122"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1.6 (0.9 - 3.3)</w:t>
            </w:r>
          </w:p>
        </w:tc>
        <w:tc>
          <w:tcPr>
            <w:tcW w:w="1241" w:type="dxa"/>
            <w:noWrap/>
            <w:hideMark/>
          </w:tcPr>
          <w:p w14:paraId="4BD00CB8"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1.4 (0.5 - 3.2)</w:t>
            </w:r>
          </w:p>
        </w:tc>
        <w:tc>
          <w:tcPr>
            <w:tcW w:w="1241" w:type="dxa"/>
            <w:noWrap/>
            <w:hideMark/>
          </w:tcPr>
          <w:p w14:paraId="0784C0BF"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0.5 (0.2 - 0.9)</w:t>
            </w:r>
          </w:p>
        </w:tc>
      </w:tr>
      <w:tr w:rsidR="0095711C" w:rsidRPr="00835206" w14:paraId="787F6719" w14:textId="77777777" w:rsidTr="008D3CE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00" w:type="dxa"/>
            <w:noWrap/>
            <w:hideMark/>
          </w:tcPr>
          <w:p w14:paraId="41A878DE" w14:textId="77777777" w:rsidR="0095711C" w:rsidRPr="00835206" w:rsidRDefault="0095711C" w:rsidP="009B01C9">
            <w:pPr>
              <w:keepNext/>
              <w:spacing w:after="0"/>
              <w:jc w:val="left"/>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Romania</w:t>
            </w:r>
          </w:p>
        </w:tc>
        <w:tc>
          <w:tcPr>
            <w:tcW w:w="1242" w:type="dxa"/>
            <w:noWrap/>
            <w:hideMark/>
          </w:tcPr>
          <w:p w14:paraId="7731A986"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0.9 (0.1 - 1.1)</w:t>
            </w:r>
          </w:p>
        </w:tc>
        <w:tc>
          <w:tcPr>
            <w:tcW w:w="1242" w:type="dxa"/>
            <w:noWrap/>
            <w:hideMark/>
          </w:tcPr>
          <w:p w14:paraId="47416175"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0.7 (0.6 - 1)</w:t>
            </w:r>
          </w:p>
        </w:tc>
        <w:tc>
          <w:tcPr>
            <w:tcW w:w="1356" w:type="dxa"/>
            <w:noWrap/>
            <w:hideMark/>
          </w:tcPr>
          <w:p w14:paraId="32448F02"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1.2 (0.1 - 5.7)</w:t>
            </w:r>
          </w:p>
        </w:tc>
        <w:tc>
          <w:tcPr>
            <w:tcW w:w="1356" w:type="dxa"/>
            <w:noWrap/>
            <w:hideMark/>
          </w:tcPr>
          <w:p w14:paraId="0B2F20D6"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2.1 (0.9 - 3.3)</w:t>
            </w:r>
          </w:p>
        </w:tc>
        <w:tc>
          <w:tcPr>
            <w:tcW w:w="1241" w:type="dxa"/>
            <w:noWrap/>
            <w:hideMark/>
          </w:tcPr>
          <w:p w14:paraId="2A0B74CE"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 (0.3 - 1.3)</w:t>
            </w:r>
          </w:p>
        </w:tc>
        <w:tc>
          <w:tcPr>
            <w:tcW w:w="1241" w:type="dxa"/>
            <w:noWrap/>
            <w:hideMark/>
          </w:tcPr>
          <w:p w14:paraId="148CCC1E"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0.4 (0.2 - 0.9)</w:t>
            </w:r>
          </w:p>
        </w:tc>
      </w:tr>
      <w:tr w:rsidR="0095711C" w:rsidRPr="00835206" w14:paraId="77EA4705" w14:textId="77777777" w:rsidTr="008D3CE6">
        <w:trPr>
          <w:cnfStyle w:val="000000010000" w:firstRow="0" w:lastRow="0" w:firstColumn="0" w:lastColumn="0" w:oddVBand="0" w:evenVBand="0" w:oddHBand="0" w:evenHBand="1"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00" w:type="dxa"/>
            <w:noWrap/>
            <w:hideMark/>
          </w:tcPr>
          <w:p w14:paraId="4AA31FDE" w14:textId="77777777" w:rsidR="0095711C" w:rsidRPr="00835206" w:rsidRDefault="0095711C" w:rsidP="009B01C9">
            <w:pPr>
              <w:keepNext/>
              <w:spacing w:after="0"/>
              <w:jc w:val="left"/>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Slovakia</w:t>
            </w:r>
          </w:p>
        </w:tc>
        <w:tc>
          <w:tcPr>
            <w:tcW w:w="1242" w:type="dxa"/>
            <w:noWrap/>
            <w:hideMark/>
          </w:tcPr>
          <w:p w14:paraId="6F0A762A"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0.5 (0.2 - 0.6)</w:t>
            </w:r>
          </w:p>
        </w:tc>
        <w:tc>
          <w:tcPr>
            <w:tcW w:w="1242" w:type="dxa"/>
            <w:noWrap/>
            <w:hideMark/>
          </w:tcPr>
          <w:p w14:paraId="7F642662"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 (1 - 1)</w:t>
            </w:r>
          </w:p>
        </w:tc>
        <w:tc>
          <w:tcPr>
            <w:tcW w:w="1356" w:type="dxa"/>
            <w:noWrap/>
            <w:hideMark/>
          </w:tcPr>
          <w:p w14:paraId="40218AFE"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1.2 (0.2 - 1.7)</w:t>
            </w:r>
          </w:p>
        </w:tc>
        <w:tc>
          <w:tcPr>
            <w:tcW w:w="1356" w:type="dxa"/>
            <w:noWrap/>
            <w:hideMark/>
          </w:tcPr>
          <w:p w14:paraId="61DE02D2"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4 (1.9 - 6.8)</w:t>
            </w:r>
          </w:p>
        </w:tc>
        <w:tc>
          <w:tcPr>
            <w:tcW w:w="1241" w:type="dxa"/>
            <w:noWrap/>
            <w:hideMark/>
          </w:tcPr>
          <w:p w14:paraId="1D1F163F"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1.5 (1.1 - 1.8)</w:t>
            </w:r>
          </w:p>
        </w:tc>
        <w:tc>
          <w:tcPr>
            <w:tcW w:w="1241" w:type="dxa"/>
            <w:noWrap/>
            <w:hideMark/>
          </w:tcPr>
          <w:p w14:paraId="4CA52E33"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0.6 (0.2 - 0.9)</w:t>
            </w:r>
          </w:p>
        </w:tc>
      </w:tr>
      <w:tr w:rsidR="0095711C" w:rsidRPr="00835206" w14:paraId="07A22AAC" w14:textId="77777777" w:rsidTr="008D3CE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00" w:type="dxa"/>
            <w:noWrap/>
            <w:hideMark/>
          </w:tcPr>
          <w:p w14:paraId="71B38B9E" w14:textId="77777777" w:rsidR="0095711C" w:rsidRPr="00835206" w:rsidRDefault="0095711C" w:rsidP="009B01C9">
            <w:pPr>
              <w:keepNext/>
              <w:spacing w:after="0"/>
              <w:jc w:val="left"/>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Slovenia</w:t>
            </w:r>
          </w:p>
        </w:tc>
        <w:tc>
          <w:tcPr>
            <w:tcW w:w="1242" w:type="dxa"/>
            <w:noWrap/>
            <w:hideMark/>
          </w:tcPr>
          <w:p w14:paraId="10000F88"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 (0.7 - 1.3)</w:t>
            </w:r>
          </w:p>
        </w:tc>
        <w:tc>
          <w:tcPr>
            <w:tcW w:w="1242" w:type="dxa"/>
            <w:noWrap/>
            <w:hideMark/>
          </w:tcPr>
          <w:p w14:paraId="6D6093DE"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0.6 (0.6 - 0.6)</w:t>
            </w:r>
          </w:p>
        </w:tc>
        <w:tc>
          <w:tcPr>
            <w:tcW w:w="1356" w:type="dxa"/>
            <w:noWrap/>
            <w:hideMark/>
          </w:tcPr>
          <w:p w14:paraId="2D15A615"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1.8 (0.5 - 2.9)</w:t>
            </w:r>
          </w:p>
        </w:tc>
        <w:tc>
          <w:tcPr>
            <w:tcW w:w="1356" w:type="dxa"/>
            <w:noWrap/>
            <w:hideMark/>
          </w:tcPr>
          <w:p w14:paraId="329145FA"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3.1 (2.3 - 3.7)</w:t>
            </w:r>
          </w:p>
        </w:tc>
        <w:tc>
          <w:tcPr>
            <w:tcW w:w="1241" w:type="dxa"/>
            <w:noWrap/>
            <w:hideMark/>
          </w:tcPr>
          <w:p w14:paraId="0A365334"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2.4 (2.1 - 2.6)</w:t>
            </w:r>
          </w:p>
        </w:tc>
        <w:tc>
          <w:tcPr>
            <w:tcW w:w="1241" w:type="dxa"/>
            <w:noWrap/>
            <w:hideMark/>
          </w:tcPr>
          <w:p w14:paraId="61229B06"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0.3 (0.3 - 0.3)</w:t>
            </w:r>
          </w:p>
        </w:tc>
      </w:tr>
      <w:tr w:rsidR="0095711C" w:rsidRPr="00835206" w14:paraId="6EF23A13" w14:textId="77777777" w:rsidTr="008D3CE6">
        <w:trPr>
          <w:cnfStyle w:val="000000010000" w:firstRow="0" w:lastRow="0" w:firstColumn="0" w:lastColumn="0" w:oddVBand="0" w:evenVBand="0" w:oddHBand="0" w:evenHBand="1"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00" w:type="dxa"/>
            <w:noWrap/>
            <w:hideMark/>
          </w:tcPr>
          <w:p w14:paraId="734BB4C4" w14:textId="77777777" w:rsidR="0095711C" w:rsidRPr="00835206" w:rsidRDefault="0095711C" w:rsidP="009B01C9">
            <w:pPr>
              <w:keepNext/>
              <w:spacing w:after="0"/>
              <w:jc w:val="left"/>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Spain</w:t>
            </w:r>
          </w:p>
        </w:tc>
        <w:tc>
          <w:tcPr>
            <w:tcW w:w="1242" w:type="dxa"/>
            <w:noWrap/>
            <w:hideMark/>
          </w:tcPr>
          <w:p w14:paraId="3A62AA74"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0.9 (0 - 4.4)</w:t>
            </w:r>
          </w:p>
        </w:tc>
        <w:tc>
          <w:tcPr>
            <w:tcW w:w="1242" w:type="dxa"/>
            <w:noWrap/>
            <w:hideMark/>
          </w:tcPr>
          <w:p w14:paraId="763209AA"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0.6 (0.5 - 0.8)</w:t>
            </w:r>
          </w:p>
        </w:tc>
        <w:tc>
          <w:tcPr>
            <w:tcW w:w="1356" w:type="dxa"/>
            <w:noWrap/>
            <w:hideMark/>
          </w:tcPr>
          <w:p w14:paraId="78A9C3AD"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 (0.1 - 3.9)</w:t>
            </w:r>
          </w:p>
        </w:tc>
        <w:tc>
          <w:tcPr>
            <w:tcW w:w="1356" w:type="dxa"/>
            <w:noWrap/>
            <w:hideMark/>
          </w:tcPr>
          <w:p w14:paraId="23C4CD0B"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1.6 (0.7 - 8.3)</w:t>
            </w:r>
          </w:p>
        </w:tc>
        <w:tc>
          <w:tcPr>
            <w:tcW w:w="1241" w:type="dxa"/>
            <w:noWrap/>
            <w:hideMark/>
          </w:tcPr>
          <w:p w14:paraId="4FFAE8F3"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1.6 (0.7 - 4.4)</w:t>
            </w:r>
          </w:p>
        </w:tc>
        <w:tc>
          <w:tcPr>
            <w:tcW w:w="1241" w:type="dxa"/>
            <w:noWrap/>
            <w:hideMark/>
          </w:tcPr>
          <w:p w14:paraId="67C796D4" w14:textId="77777777" w:rsidR="0095711C" w:rsidRPr="00835206" w:rsidRDefault="0095711C" w:rsidP="009B01C9">
            <w:pPr>
              <w:keepNext/>
              <w:spacing w:after="0"/>
              <w:jc w:val="center"/>
              <w:cnfStyle w:val="000000010000" w:firstRow="0" w:lastRow="0" w:firstColumn="0" w:lastColumn="0" w:oddVBand="0" w:evenVBand="0" w:oddHBand="0" w:evenHBand="1"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0.5 (0.1 - 1.6)</w:t>
            </w:r>
          </w:p>
        </w:tc>
      </w:tr>
      <w:tr w:rsidR="0095711C" w:rsidRPr="00835206" w14:paraId="3492760C" w14:textId="77777777" w:rsidTr="008D3CE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0" w:type="dxa"/>
            <w:noWrap/>
            <w:hideMark/>
          </w:tcPr>
          <w:p w14:paraId="5DAADCCB" w14:textId="77777777" w:rsidR="0095711C" w:rsidRPr="00835206" w:rsidRDefault="0095711C" w:rsidP="009B01C9">
            <w:pPr>
              <w:keepNext/>
              <w:spacing w:after="0"/>
              <w:jc w:val="left"/>
              <w:rPr>
                <w:rFonts w:ascii="EC Square Sans Cond Pro" w:hAnsi="EC Square Sans Cond Pro" w:cs="Avenir Next LT Pro"/>
                <w:noProof/>
                <w:sz w:val="18"/>
                <w:szCs w:val="18"/>
              </w:rPr>
            </w:pPr>
            <w:r w:rsidRPr="00835206">
              <w:rPr>
                <w:rFonts w:ascii="EC Square Sans Cond Pro" w:hAnsi="EC Square Sans Cond Pro" w:cs="Avenir Next LT Pro"/>
                <w:noProof/>
                <w:sz w:val="18"/>
                <w:szCs w:val="18"/>
              </w:rPr>
              <w:t>Sweden</w:t>
            </w:r>
          </w:p>
        </w:tc>
        <w:tc>
          <w:tcPr>
            <w:tcW w:w="1242" w:type="dxa"/>
            <w:noWrap/>
            <w:hideMark/>
          </w:tcPr>
          <w:p w14:paraId="7EE5352E"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0.7 (0.1 - 1.6)</w:t>
            </w:r>
          </w:p>
        </w:tc>
        <w:tc>
          <w:tcPr>
            <w:tcW w:w="1242" w:type="dxa"/>
            <w:noWrap/>
            <w:hideMark/>
          </w:tcPr>
          <w:p w14:paraId="3A3612F5"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0.3 (0.2 - 0.4)</w:t>
            </w:r>
          </w:p>
        </w:tc>
        <w:tc>
          <w:tcPr>
            <w:tcW w:w="1356" w:type="dxa"/>
            <w:noWrap/>
            <w:hideMark/>
          </w:tcPr>
          <w:p w14:paraId="4782148C"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0.8 (0.1 - 2.6)</w:t>
            </w:r>
          </w:p>
        </w:tc>
        <w:tc>
          <w:tcPr>
            <w:tcW w:w="1356" w:type="dxa"/>
            <w:noWrap/>
            <w:hideMark/>
          </w:tcPr>
          <w:p w14:paraId="645B2D01"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1.9 (1.2 - 4.6)</w:t>
            </w:r>
          </w:p>
        </w:tc>
        <w:tc>
          <w:tcPr>
            <w:tcW w:w="1241" w:type="dxa"/>
            <w:noWrap/>
            <w:hideMark/>
          </w:tcPr>
          <w:p w14:paraId="18DA59A8"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1.4 (0.5 - 4.1)</w:t>
            </w:r>
          </w:p>
        </w:tc>
        <w:tc>
          <w:tcPr>
            <w:tcW w:w="1241" w:type="dxa"/>
            <w:noWrap/>
            <w:hideMark/>
          </w:tcPr>
          <w:p w14:paraId="0BAE30CA" w14:textId="77777777" w:rsidR="0095711C" w:rsidRPr="00835206" w:rsidRDefault="0095711C" w:rsidP="009B01C9">
            <w:pPr>
              <w:keepNext/>
              <w:spacing w:after="0"/>
              <w:jc w:val="center"/>
              <w:cnfStyle w:val="000000100000" w:firstRow="0" w:lastRow="0" w:firstColumn="0" w:lastColumn="0" w:oddVBand="0" w:evenVBand="0" w:oddHBand="1" w:evenHBand="0" w:firstRowFirstColumn="0" w:firstRowLastColumn="0" w:lastRowFirstColumn="0" w:lastRowLastColumn="0"/>
              <w:rPr>
                <w:rFonts w:ascii="EC Square Sans Cond Pro" w:hAnsi="EC Square Sans Cond Pro" w:cs="Avenir Next LT Pro"/>
                <w:noProof/>
                <w:color w:val="000000"/>
                <w:sz w:val="18"/>
                <w:szCs w:val="18"/>
              </w:rPr>
            </w:pPr>
            <w:r w:rsidRPr="00835206">
              <w:rPr>
                <w:rFonts w:ascii="EC Square Sans Cond Pro" w:hAnsi="EC Square Sans Cond Pro" w:cs="Avenir Next LT Pro"/>
                <w:noProof/>
                <w:color w:val="000000"/>
                <w:sz w:val="18"/>
                <w:szCs w:val="18"/>
              </w:rPr>
              <w:t>0.8 (0.7 - 1.5)</w:t>
            </w:r>
          </w:p>
        </w:tc>
      </w:tr>
    </w:tbl>
    <w:p w14:paraId="20037817" w14:textId="4500AB5F" w:rsidR="00FB6806" w:rsidRDefault="00FB6806" w:rsidP="009B01C9">
      <w:pPr>
        <w:pStyle w:val="CT-NOTE"/>
        <w:rPr>
          <w:noProof/>
        </w:rPr>
      </w:pPr>
      <w:r>
        <w:rPr>
          <w:noProof/>
        </w:rPr>
        <w:t xml:space="preserve">Note: </w:t>
      </w:r>
      <w:r w:rsidR="0095711C" w:rsidRPr="00E50BCD">
        <w:rPr>
          <w:noProof/>
        </w:rPr>
        <w:t>leaving out aviation and shipping</w:t>
      </w:r>
      <w:r>
        <w:rPr>
          <w:noProof/>
        </w:rPr>
        <w:t>.</w:t>
      </w:r>
    </w:p>
    <w:p w14:paraId="71C77AD4" w14:textId="7235C95B" w:rsidR="0095711C" w:rsidRPr="00E50BCD" w:rsidRDefault="0095711C" w:rsidP="009B01C9">
      <w:pPr>
        <w:pStyle w:val="CT-SOURCE"/>
        <w:rPr>
          <w:noProof/>
        </w:rPr>
      </w:pPr>
      <w:r w:rsidRPr="00E50BCD">
        <w:rPr>
          <w:noProof/>
        </w:rPr>
        <w:t>Source: EDGAR emissions database</w:t>
      </w:r>
    </w:p>
    <w:p w14:paraId="5A1FE81B" w14:textId="6E4DC34D" w:rsidR="006432D1" w:rsidRPr="004D6896" w:rsidRDefault="007D21D1" w:rsidP="00F7719F">
      <w:pPr>
        <w:pStyle w:val="Heading4"/>
        <w:rPr>
          <w:noProof/>
        </w:rPr>
      </w:pPr>
      <w:r w:rsidRPr="004D6896">
        <w:rPr>
          <w:noProof/>
        </w:rPr>
        <w:t> </w:t>
      </w:r>
      <w:r w:rsidR="006432D1" w:rsidRPr="004D6896">
        <w:rPr>
          <w:noProof/>
        </w:rPr>
        <w:t xml:space="preserve">Regional dependency to sectors </w:t>
      </w:r>
      <w:r w:rsidR="0018721D" w:rsidRPr="004D6896">
        <w:rPr>
          <w:noProof/>
        </w:rPr>
        <w:t>that will need to transform</w:t>
      </w:r>
    </w:p>
    <w:p w14:paraId="612C63C9" w14:textId="31F1A17B" w:rsidR="00E41ABF" w:rsidRPr="00992800" w:rsidRDefault="00E41ABF" w:rsidP="00E41ABF">
      <w:pPr>
        <w:spacing w:line="270" w:lineRule="exact"/>
        <w:rPr>
          <w:noProof/>
          <w:lang w:val="en-IE"/>
        </w:rPr>
      </w:pPr>
      <w:r>
        <w:rPr>
          <w:noProof/>
          <w:lang w:val="en-IE"/>
        </w:rPr>
        <w:t xml:space="preserve">Regions with a relatively high share of employment in sectors significantly impacted by the transition </w:t>
      </w:r>
      <w:r w:rsidR="00EC3129">
        <w:rPr>
          <w:noProof/>
          <w:lang w:val="en-IE"/>
        </w:rPr>
        <w:t>are</w:t>
      </w:r>
      <w:r>
        <w:rPr>
          <w:noProof/>
          <w:lang w:val="en-IE"/>
        </w:rPr>
        <w:t xml:space="preserve"> more exposed to the transition. This includes the regions with a high share of employment in </w:t>
      </w:r>
      <w:r w:rsidR="00EC3129">
        <w:rPr>
          <w:noProof/>
        </w:rPr>
        <w:t xml:space="preserve"> sectors which are being phased out in several countries (mining of coal,lignite and oil shale; extraction of crude petroleum, natural gas and peat; and refining of petroleum products),</w:t>
      </w:r>
      <w:r>
        <w:rPr>
          <w:noProof/>
          <w:lang w:val="en-IE"/>
        </w:rPr>
        <w:t xml:space="preserve">, in energy intensive sectors, as these will have to produce the same goods differently (manufacturing of chemicals and chemical products, </w:t>
      </w:r>
      <w:r w:rsidRPr="00992800">
        <w:rPr>
          <w:noProof/>
          <w:lang w:val="en-IE"/>
        </w:rPr>
        <w:t>manufacturing of other non-metallic mineral products, manufacturing of basic metals), and in sectors that will have to produce different goods (manufacturing of motor vehicles, trailers and semi-trailers)</w:t>
      </w:r>
      <w:r w:rsidR="00DA71ED" w:rsidRPr="00992800">
        <w:rPr>
          <w:noProof/>
          <w:lang w:val="en-IE"/>
        </w:rPr>
        <w:t xml:space="preserve"> </w:t>
      </w:r>
      <w:r w:rsidR="000F515D" w:rsidRPr="00992800">
        <w:rPr>
          <w:noProof/>
          <w:lang w:val="en-IE"/>
        </w:rPr>
        <w:t> (</w:t>
      </w:r>
      <w:r w:rsidR="00DA71ED" w:rsidRPr="00992800">
        <w:rPr>
          <w:rStyle w:val="FootnoteReference"/>
          <w:noProof/>
        </w:rPr>
        <w:footnoteReference w:id="322"/>
      </w:r>
      <w:r w:rsidR="000F515D" w:rsidRPr="00992800">
        <w:rPr>
          <w:noProof/>
          <w:lang w:val="en-IE"/>
        </w:rPr>
        <w:t>)</w:t>
      </w:r>
      <w:r w:rsidRPr="00992800">
        <w:rPr>
          <w:noProof/>
          <w:lang w:val="en-IE"/>
        </w:rPr>
        <w:t>.</w:t>
      </w:r>
    </w:p>
    <w:p w14:paraId="7EFD1026" w14:textId="548552E1" w:rsidR="00E41ABF" w:rsidRPr="00992800" w:rsidRDefault="00E41ABF" w:rsidP="00E41ABF">
      <w:pPr>
        <w:rPr>
          <w:noProof/>
        </w:rPr>
      </w:pPr>
      <w:r w:rsidRPr="00992800">
        <w:rPr>
          <w:noProof/>
        </w:rPr>
        <w:t xml:space="preserve">In 2020, only two EU regions (NUTS-2 level) had employment shares of more than 1% in </w:t>
      </w:r>
      <w:r w:rsidR="00613AC0" w:rsidRPr="00992800">
        <w:rPr>
          <w:noProof/>
        </w:rPr>
        <w:t>terms of direct employment in</w:t>
      </w:r>
      <w:r w:rsidRPr="00992800">
        <w:rPr>
          <w:noProof/>
        </w:rPr>
        <w:t xml:space="preserve"> coal and lignite mining, crude petroleum and natural gas extraction. The region with the highest employment share (3.67%) in these sectors is Śląskie/Silesia, in Poland due to its relatively high activity in coal and lignite mining. The other region is Sud-Vest Oltenia in Romania where the mining and fossil fuel extraction sectors employ 1.12% of the work force. </w:t>
      </w:r>
      <w:r w:rsidR="00613AC0" w:rsidRPr="00992800">
        <w:rPr>
          <w:noProof/>
        </w:rPr>
        <w:t>T</w:t>
      </w:r>
      <w:r w:rsidRPr="00992800">
        <w:rPr>
          <w:noProof/>
        </w:rPr>
        <w:t xml:space="preserve">he local impact on regions reliant on </w:t>
      </w:r>
      <w:r w:rsidR="00427E05" w:rsidRPr="00992800">
        <w:rPr>
          <w:noProof/>
        </w:rPr>
        <w:t>these</w:t>
      </w:r>
      <w:r w:rsidR="00613AC0" w:rsidRPr="00992800">
        <w:rPr>
          <w:noProof/>
        </w:rPr>
        <w:t xml:space="preserve"> sectors is</w:t>
      </w:r>
      <w:r w:rsidRPr="00992800">
        <w:rPr>
          <w:noProof/>
        </w:rPr>
        <w:t xml:space="preserve"> significant </w:t>
      </w:r>
      <w:r w:rsidR="00613AC0" w:rsidRPr="00992800">
        <w:rPr>
          <w:noProof/>
        </w:rPr>
        <w:t xml:space="preserve">as those sectors have a central role in local economies, driving indirect employment as well. Therefore, the employment </w:t>
      </w:r>
      <w:r w:rsidRPr="00992800">
        <w:rPr>
          <w:noProof/>
        </w:rPr>
        <w:t xml:space="preserve">and </w:t>
      </w:r>
      <w:r w:rsidR="00613AC0" w:rsidRPr="00992800">
        <w:rPr>
          <w:noProof/>
        </w:rPr>
        <w:t xml:space="preserve">social consequences of the decline in extraction activities </w:t>
      </w:r>
      <w:r w:rsidRPr="00992800">
        <w:rPr>
          <w:noProof/>
        </w:rPr>
        <w:t>needs to be mitigated</w:t>
      </w:r>
      <w:r w:rsidR="00427E05" w:rsidRPr="00992800">
        <w:rPr>
          <w:noProof/>
        </w:rPr>
        <w:t>, in line with the European Green Deal’s objective to leave no region behind</w:t>
      </w:r>
      <w:r w:rsidR="00613AC0" w:rsidRPr="00992800">
        <w:rPr>
          <w:noProof/>
        </w:rPr>
        <w:t xml:space="preserve"> (see </w:t>
      </w:r>
      <w:r w:rsidR="00FA1FA4" w:rsidRPr="00992800">
        <w:rPr>
          <w:noProof/>
        </w:rPr>
        <w:t>Annex 9</w:t>
      </w:r>
      <w:r w:rsidR="00613AC0" w:rsidRPr="00992800">
        <w:rPr>
          <w:noProof/>
        </w:rPr>
        <w:t>)</w:t>
      </w:r>
      <w:r w:rsidRPr="00992800">
        <w:rPr>
          <w:noProof/>
        </w:rPr>
        <w:t xml:space="preserve">. </w:t>
      </w:r>
    </w:p>
    <w:p w14:paraId="154D578F" w14:textId="033202AB" w:rsidR="00BC3155" w:rsidRDefault="00E41ABF" w:rsidP="00E41ABF">
      <w:pPr>
        <w:rPr>
          <w:noProof/>
        </w:rPr>
      </w:pPr>
      <w:r w:rsidRPr="00992800">
        <w:rPr>
          <w:noProof/>
        </w:rPr>
        <w:t>When considering the energy intensive industries or industries that will have to produce different goods (</w:t>
      </w:r>
      <w:r w:rsidR="0076141F" w:rsidRPr="00992800">
        <w:rPr>
          <w:noProof/>
        </w:rPr>
        <w:t>e.g.,</w:t>
      </w:r>
      <w:r w:rsidRPr="00992800">
        <w:rPr>
          <w:noProof/>
        </w:rPr>
        <w:t xml:space="preserve"> automobile sector), it becomes apparent that</w:t>
      </w:r>
      <w:r w:rsidRPr="00450F66">
        <w:rPr>
          <w:noProof/>
        </w:rPr>
        <w:t xml:space="preserve"> more regions will be affected. Out of the EU’s 27 member states, 23 have regions where more than 1% of the working population </w:t>
      </w:r>
      <w:r>
        <w:rPr>
          <w:noProof/>
        </w:rPr>
        <w:t>wa</w:t>
      </w:r>
      <w:r w:rsidRPr="00450F66">
        <w:rPr>
          <w:noProof/>
        </w:rPr>
        <w:t xml:space="preserve">s employed in </w:t>
      </w:r>
      <w:r>
        <w:rPr>
          <w:noProof/>
        </w:rPr>
        <w:t xml:space="preserve">2020 </w:t>
      </w:r>
      <w:r w:rsidRPr="00450F66">
        <w:rPr>
          <w:noProof/>
        </w:rPr>
        <w:t xml:space="preserve">in such a sector. The regions with the highest exposures in 2020 were </w:t>
      </w:r>
      <w:r w:rsidRPr="00F6438D">
        <w:rPr>
          <w:noProof/>
        </w:rPr>
        <w:t>Śląskie</w:t>
      </w:r>
      <w:r w:rsidRPr="00450F66" w:rsidDel="004A49CD">
        <w:rPr>
          <w:noProof/>
        </w:rPr>
        <w:t xml:space="preserve"> </w:t>
      </w:r>
      <w:r>
        <w:rPr>
          <w:noProof/>
        </w:rPr>
        <w:t xml:space="preserve">(PL) </w:t>
      </w:r>
      <w:r w:rsidRPr="00450F66">
        <w:rPr>
          <w:noProof/>
        </w:rPr>
        <w:t>(</w:t>
      </w:r>
      <w:r>
        <w:rPr>
          <w:noProof/>
        </w:rPr>
        <w:t>10.2</w:t>
      </w:r>
      <w:r w:rsidRPr="00450F66">
        <w:rPr>
          <w:noProof/>
        </w:rPr>
        <w:t xml:space="preserve">%), Közép-Dunántúl </w:t>
      </w:r>
      <w:r>
        <w:rPr>
          <w:noProof/>
        </w:rPr>
        <w:t>(HU)</w:t>
      </w:r>
      <w:r w:rsidRPr="00450F66">
        <w:rPr>
          <w:noProof/>
        </w:rPr>
        <w:t xml:space="preserve"> (</w:t>
      </w:r>
      <w:r>
        <w:rPr>
          <w:noProof/>
        </w:rPr>
        <w:t>9.6</w:t>
      </w:r>
      <w:r w:rsidRPr="00450F66">
        <w:rPr>
          <w:noProof/>
        </w:rPr>
        <w:t xml:space="preserve">%) and </w:t>
      </w:r>
      <w:r w:rsidRPr="00624769">
        <w:rPr>
          <w:noProof/>
        </w:rPr>
        <w:t>Střední Čechy</w:t>
      </w:r>
      <w:r w:rsidRPr="00624769" w:rsidDel="00624769">
        <w:rPr>
          <w:noProof/>
        </w:rPr>
        <w:t xml:space="preserve"> </w:t>
      </w:r>
      <w:r w:rsidRPr="00450F66">
        <w:rPr>
          <w:noProof/>
        </w:rPr>
        <w:t>(</w:t>
      </w:r>
      <w:r>
        <w:rPr>
          <w:noProof/>
        </w:rPr>
        <w:t xml:space="preserve">SK) </w:t>
      </w:r>
      <w:r w:rsidRPr="00450F66">
        <w:rPr>
          <w:noProof/>
        </w:rPr>
        <w:t>(</w:t>
      </w:r>
      <w:r>
        <w:rPr>
          <w:noProof/>
        </w:rPr>
        <w:t>9.40</w:t>
      </w:r>
      <w:r w:rsidRPr="00450F66">
        <w:rPr>
          <w:noProof/>
        </w:rPr>
        <w:t>%).</w:t>
      </w:r>
      <w:r>
        <w:rPr>
          <w:noProof/>
        </w:rPr>
        <w:t xml:space="preserve"> </w:t>
      </w:r>
      <w:r w:rsidRPr="008E5F3E">
        <w:rPr>
          <w:noProof/>
          <w:color w:val="000000" w:themeColor="text1"/>
        </w:rPr>
        <w:t xml:space="preserve">The regions with a relative high employment in carbon intensive manufacturing are </w:t>
      </w:r>
      <w:r>
        <w:rPr>
          <w:noProof/>
          <w:color w:val="000000" w:themeColor="text1"/>
        </w:rPr>
        <w:t>also significantly</w:t>
      </w:r>
      <w:r w:rsidRPr="008E5F3E">
        <w:rPr>
          <w:noProof/>
          <w:color w:val="000000" w:themeColor="text1"/>
        </w:rPr>
        <w:t xml:space="preserve"> </w:t>
      </w:r>
      <w:r>
        <w:rPr>
          <w:noProof/>
          <w:color w:val="000000" w:themeColor="text1"/>
        </w:rPr>
        <w:t>exposed</w:t>
      </w:r>
      <w:r w:rsidRPr="008E5F3E">
        <w:rPr>
          <w:noProof/>
          <w:color w:val="000000" w:themeColor="text1"/>
        </w:rPr>
        <w:t xml:space="preserve"> to the transition</w:t>
      </w:r>
      <w:r w:rsidR="00FA1FA4">
        <w:rPr>
          <w:noProof/>
          <w:color w:val="000000" w:themeColor="text1"/>
        </w:rPr>
        <w:t>.</w:t>
      </w:r>
      <w:r>
        <w:rPr>
          <w:noProof/>
          <w:color w:val="000000" w:themeColor="text1"/>
        </w:rPr>
        <w:t xml:space="preserve"> For example, for the territories involved in the automobile sector, the move to the manufacturing of electricity vehicles will require companies from the supply chain to </w:t>
      </w:r>
      <w:r>
        <w:rPr>
          <w:noProof/>
        </w:rPr>
        <w:t>adjust their business models.</w:t>
      </w:r>
      <w:r w:rsidR="00B469E1">
        <w:rPr>
          <w:noProof/>
        </w:rPr>
        <w:t xml:space="preserve"> </w:t>
      </w:r>
    </w:p>
    <w:p w14:paraId="28E02415" w14:textId="1DD1B928" w:rsidR="00B469E1" w:rsidRPr="0043499A" w:rsidRDefault="00B469E1" w:rsidP="00B469E1">
      <w:pPr>
        <w:rPr>
          <w:noProof/>
          <w:lang w:val="en-IE"/>
        </w:rPr>
      </w:pPr>
      <w:r>
        <w:rPr>
          <w:noProof/>
          <w:lang w:val="en-IE"/>
        </w:rPr>
        <w:t>The development of an industrial carbon management system will require the development of a full supply chain and of the necessary infrastructure to link CO2 emitting energy supply and industrial sites to carbon storage or usage sites (notably to produce e-fuels). The territories with strong presence of energy intensive industries (</w:t>
      </w:r>
      <w:r w:rsidR="0076141F">
        <w:rPr>
          <w:noProof/>
          <w:lang w:val="en-IE"/>
        </w:rPr>
        <w:t>e.g.,</w:t>
      </w:r>
      <w:r>
        <w:rPr>
          <w:noProof/>
          <w:lang w:val="en-IE"/>
        </w:rPr>
        <w:t xml:space="preserve"> cement production, chemicals industries, etc) will have to anticipate and develop the corresponding capacities.</w:t>
      </w:r>
    </w:p>
    <w:p w14:paraId="70E0E928" w14:textId="520BC0AA" w:rsidR="00E41ABF" w:rsidRPr="003C60DF" w:rsidRDefault="00F40635" w:rsidP="00E41ABF">
      <w:pPr>
        <w:pStyle w:val="Caption"/>
        <w:rPr>
          <w:noProof/>
          <w:sz w:val="23"/>
          <w:szCs w:val="23"/>
        </w:rPr>
      </w:pPr>
      <w:bookmarkStart w:id="828" w:name="_Toc157679877"/>
      <w:r>
        <w:rPr>
          <w:noProof/>
        </w:rPr>
        <w:t xml:space="preserve">Figure </w:t>
      </w:r>
      <w:r>
        <w:rPr>
          <w:noProof/>
        </w:rPr>
        <w:fldChar w:fldCharType="begin"/>
      </w:r>
      <w:r>
        <w:rPr>
          <w:noProof/>
        </w:rPr>
        <w:instrText>SEQ Figure \* ARABIC</w:instrText>
      </w:r>
      <w:r>
        <w:rPr>
          <w:noProof/>
        </w:rPr>
        <w:fldChar w:fldCharType="separate"/>
      </w:r>
      <w:r w:rsidR="00170A3C">
        <w:rPr>
          <w:noProof/>
        </w:rPr>
        <w:t>129</w:t>
      </w:r>
      <w:r>
        <w:rPr>
          <w:noProof/>
        </w:rPr>
        <w:fldChar w:fldCharType="end"/>
      </w:r>
      <w:r w:rsidR="00E41ABF">
        <w:rPr>
          <w:noProof/>
        </w:rPr>
        <w:t>: Share of employment in sectors most negatively impacted</w:t>
      </w:r>
      <w:bookmarkEnd w:id="8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2"/>
        <w:gridCol w:w="4182"/>
      </w:tblGrid>
      <w:tr w:rsidR="00E41ABF" w:rsidRPr="009334DB" w14:paraId="6884331B" w14:textId="77777777" w:rsidTr="00971DEB">
        <w:tc>
          <w:tcPr>
            <w:tcW w:w="4417" w:type="dxa"/>
          </w:tcPr>
          <w:p w14:paraId="7F5D91F9" w14:textId="77777777" w:rsidR="00E41ABF" w:rsidRPr="00D5707A" w:rsidRDefault="00E41ABF" w:rsidP="00916ACA">
            <w:pPr>
              <w:keepNext/>
              <w:spacing w:after="0"/>
              <w:ind w:left="476"/>
              <w:jc w:val="left"/>
              <w:rPr>
                <w:b/>
                <w:bCs/>
                <w:noProof/>
                <w:sz w:val="22"/>
                <w:szCs w:val="22"/>
                <w:lang w:val="en-IE"/>
              </w:rPr>
            </w:pPr>
            <w:r>
              <w:rPr>
                <w:b/>
                <w:bCs/>
                <w:noProof/>
                <w:sz w:val="22"/>
                <w:szCs w:val="22"/>
                <w:lang w:val="en-IE"/>
              </w:rPr>
              <w:t xml:space="preserve">(a) </w:t>
            </w:r>
            <w:r w:rsidRPr="00D5707A">
              <w:rPr>
                <w:b/>
                <w:bCs/>
                <w:noProof/>
                <w:sz w:val="22"/>
                <w:szCs w:val="22"/>
                <w:lang w:val="en-IE"/>
              </w:rPr>
              <w:t>Regional exposure to sectors expected to decline</w:t>
            </w:r>
          </w:p>
          <w:p w14:paraId="43B5F3C5" w14:textId="77777777" w:rsidR="00E41ABF" w:rsidRPr="00A14B8F" w:rsidRDefault="00E41ABF" w:rsidP="00916ACA">
            <w:pPr>
              <w:keepNext/>
              <w:spacing w:after="0"/>
              <w:jc w:val="left"/>
              <w:rPr>
                <w:noProof/>
                <w:sz w:val="20"/>
                <w:lang w:val="en-IE"/>
              </w:rPr>
            </w:pPr>
          </w:p>
          <w:p w14:paraId="36559F37" w14:textId="77777777" w:rsidR="00E41ABF" w:rsidRPr="00A14B8F" w:rsidRDefault="00E41ABF" w:rsidP="00916ACA">
            <w:pPr>
              <w:keepNext/>
              <w:spacing w:after="0"/>
              <w:jc w:val="left"/>
              <w:rPr>
                <w:noProof/>
                <w:sz w:val="20"/>
                <w:lang w:val="en-IE"/>
              </w:rPr>
            </w:pPr>
            <w:r w:rsidRPr="00A14B8F">
              <w:rPr>
                <w:noProof/>
                <w:sz w:val="20"/>
                <w:lang w:eastAsia="en-GB"/>
              </w:rPr>
              <w:drawing>
                <wp:inline distT="0" distB="0" distL="0" distR="0" wp14:anchorId="06291FF9" wp14:editId="72BC4A74">
                  <wp:extent cx="2556000" cy="2671200"/>
                  <wp:effectExtent l="0" t="0" r="0" b="0"/>
                  <wp:docPr id="45" name="Picture 45" descr="A map of europe with different colored area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map of europe with different colored areas&#10;&#10;Description automatically generated"/>
                          <pic:cNvPicPr/>
                        </pic:nvPicPr>
                        <pic:blipFill>
                          <a:blip r:embed="rId227" cstate="print">
                            <a:extLst>
                              <a:ext uri="{28A0092B-C50C-407E-A947-70E740481C1C}">
                                <a14:useLocalDpi xmlns:a14="http://schemas.microsoft.com/office/drawing/2010/main" val="0"/>
                              </a:ext>
                            </a:extLst>
                          </a:blip>
                          <a:stretch>
                            <a:fillRect/>
                          </a:stretch>
                        </pic:blipFill>
                        <pic:spPr>
                          <a:xfrm>
                            <a:off x="0" y="0"/>
                            <a:ext cx="2556000" cy="2671200"/>
                          </a:xfrm>
                          <a:prstGeom prst="rect">
                            <a:avLst/>
                          </a:prstGeom>
                        </pic:spPr>
                      </pic:pic>
                    </a:graphicData>
                  </a:graphic>
                </wp:inline>
              </w:drawing>
            </w:r>
          </w:p>
          <w:p w14:paraId="0DC9C1DF" w14:textId="77777777" w:rsidR="00E41ABF" w:rsidRPr="00F03B71" w:rsidRDefault="00E41ABF" w:rsidP="00FB6806">
            <w:pPr>
              <w:pStyle w:val="CT-NOTE"/>
              <w:rPr>
                <w:i w:val="0"/>
                <w:iCs w:val="0"/>
                <w:noProof/>
                <w:sz w:val="20"/>
              </w:rPr>
            </w:pPr>
            <w:r w:rsidRPr="00F03B71">
              <w:rPr>
                <w:noProof/>
              </w:rPr>
              <w:t xml:space="preserve">Share of total employment in mining of coal and lignite (B06) and </w:t>
            </w:r>
            <w:r w:rsidRPr="00F03B71">
              <w:rPr>
                <w:i w:val="0"/>
                <w:iCs w:val="0"/>
                <w:noProof/>
                <w:sz w:val="20"/>
              </w:rPr>
              <w:t>extraction of crude petroleum and natural gas (B07) in 2020</w:t>
            </w:r>
          </w:p>
          <w:p w14:paraId="101F4708" w14:textId="77777777" w:rsidR="00E41ABF" w:rsidRPr="00A14B8F" w:rsidRDefault="00E41ABF" w:rsidP="00916ACA">
            <w:pPr>
              <w:keepNext/>
              <w:spacing w:after="0"/>
              <w:jc w:val="left"/>
              <w:rPr>
                <w:noProof/>
                <w:sz w:val="20"/>
                <w:lang w:val="en-IE"/>
              </w:rPr>
            </w:pPr>
          </w:p>
          <w:p w14:paraId="1AF4A82B" w14:textId="77777777" w:rsidR="00E41ABF" w:rsidRPr="00A14B8F" w:rsidRDefault="00E41ABF" w:rsidP="00916ACA">
            <w:pPr>
              <w:keepNext/>
              <w:spacing w:after="0"/>
              <w:jc w:val="left"/>
              <w:rPr>
                <w:noProof/>
                <w:sz w:val="20"/>
                <w:lang w:val="en-IE"/>
              </w:rPr>
            </w:pPr>
          </w:p>
          <w:p w14:paraId="36E43E2E" w14:textId="77777777" w:rsidR="00E41ABF" w:rsidRPr="00A14B8F" w:rsidRDefault="00E41ABF" w:rsidP="00916ACA">
            <w:pPr>
              <w:keepNext/>
              <w:spacing w:after="0"/>
              <w:jc w:val="left"/>
              <w:rPr>
                <w:noProof/>
                <w:sz w:val="20"/>
                <w:lang w:val="en-IE"/>
              </w:rPr>
            </w:pPr>
          </w:p>
        </w:tc>
        <w:tc>
          <w:tcPr>
            <w:tcW w:w="4417" w:type="dxa"/>
          </w:tcPr>
          <w:p w14:paraId="6D324C44" w14:textId="77777777" w:rsidR="00E41ABF" w:rsidRPr="00D5707A" w:rsidRDefault="00E41ABF" w:rsidP="00916ACA">
            <w:pPr>
              <w:keepNext/>
              <w:spacing w:after="0"/>
              <w:jc w:val="left"/>
              <w:rPr>
                <w:b/>
                <w:bCs/>
                <w:noProof/>
                <w:sz w:val="22"/>
                <w:szCs w:val="22"/>
                <w:lang w:val="en-IE"/>
              </w:rPr>
            </w:pPr>
            <w:r>
              <w:rPr>
                <w:b/>
                <w:bCs/>
                <w:noProof/>
                <w:sz w:val="22"/>
                <w:szCs w:val="22"/>
                <w:lang w:val="en-IE"/>
              </w:rPr>
              <w:t xml:space="preserve">(b) </w:t>
            </w:r>
            <w:r w:rsidRPr="00D5707A">
              <w:rPr>
                <w:b/>
                <w:bCs/>
                <w:noProof/>
                <w:sz w:val="22"/>
                <w:szCs w:val="22"/>
                <w:lang w:val="en-IE"/>
              </w:rPr>
              <w:t>Regional exposure to energy intensive sectors</w:t>
            </w:r>
          </w:p>
          <w:p w14:paraId="3DA4B993" w14:textId="77777777" w:rsidR="00E41ABF" w:rsidRPr="00A14B8F" w:rsidRDefault="00E41ABF" w:rsidP="00916ACA">
            <w:pPr>
              <w:keepNext/>
              <w:spacing w:after="0"/>
              <w:jc w:val="left"/>
              <w:rPr>
                <w:noProof/>
                <w:sz w:val="20"/>
                <w:lang w:val="en-IE"/>
              </w:rPr>
            </w:pPr>
          </w:p>
          <w:p w14:paraId="73701364" w14:textId="77777777" w:rsidR="00E41ABF" w:rsidRPr="00A14B8F" w:rsidRDefault="00E41ABF" w:rsidP="00916ACA">
            <w:pPr>
              <w:keepNext/>
              <w:spacing w:after="0"/>
              <w:jc w:val="left"/>
              <w:rPr>
                <w:noProof/>
                <w:sz w:val="20"/>
                <w:lang w:val="en-IE"/>
              </w:rPr>
            </w:pPr>
            <w:r w:rsidRPr="00A14B8F">
              <w:rPr>
                <w:noProof/>
                <w:sz w:val="20"/>
                <w:lang w:eastAsia="en-GB"/>
              </w:rPr>
              <w:drawing>
                <wp:inline distT="0" distB="0" distL="0" distR="0" wp14:anchorId="3C812A6B" wp14:editId="42452276">
                  <wp:extent cx="2556000" cy="2671200"/>
                  <wp:effectExtent l="0" t="0" r="0" b="0"/>
                  <wp:docPr id="47" name="Picture 47" descr="A map of europe with different colored area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map of europe with different colored areas&#10;&#10;Description automatically generated"/>
                          <pic:cNvPicPr/>
                        </pic:nvPicPr>
                        <pic:blipFill>
                          <a:blip r:embed="rId228" cstate="print">
                            <a:extLst>
                              <a:ext uri="{28A0092B-C50C-407E-A947-70E740481C1C}">
                                <a14:useLocalDpi xmlns:a14="http://schemas.microsoft.com/office/drawing/2010/main" val="0"/>
                              </a:ext>
                            </a:extLst>
                          </a:blip>
                          <a:stretch>
                            <a:fillRect/>
                          </a:stretch>
                        </pic:blipFill>
                        <pic:spPr>
                          <a:xfrm>
                            <a:off x="0" y="0"/>
                            <a:ext cx="2556000" cy="2671200"/>
                          </a:xfrm>
                          <a:prstGeom prst="rect">
                            <a:avLst/>
                          </a:prstGeom>
                        </pic:spPr>
                      </pic:pic>
                    </a:graphicData>
                  </a:graphic>
                </wp:inline>
              </w:drawing>
            </w:r>
          </w:p>
          <w:p w14:paraId="2DA4DF1C" w14:textId="77777777" w:rsidR="00E41ABF" w:rsidRPr="00F03B71" w:rsidRDefault="00E41ABF" w:rsidP="00FB6806">
            <w:pPr>
              <w:pStyle w:val="CT-NOTE"/>
              <w:rPr>
                <w:i w:val="0"/>
                <w:iCs w:val="0"/>
                <w:noProof/>
                <w:sz w:val="20"/>
              </w:rPr>
            </w:pPr>
            <w:r w:rsidRPr="00F03B71">
              <w:rPr>
                <w:noProof/>
              </w:rPr>
              <w:t xml:space="preserve">Share of total employment paper and paper products (C17), coke and refined petroleum products (C19), chemicals and chemical products (C20), </w:t>
            </w:r>
            <w:r w:rsidRPr="00F03B71">
              <w:rPr>
                <w:i w:val="0"/>
                <w:iCs w:val="0"/>
                <w:noProof/>
                <w:sz w:val="20"/>
              </w:rPr>
              <w:t xml:space="preserve">other non-metallic mineral products </w:t>
            </w:r>
            <w:r>
              <w:rPr>
                <w:i w:val="0"/>
                <w:iCs w:val="0"/>
                <w:noProof/>
                <w:sz w:val="20"/>
              </w:rPr>
              <w:t>(</w:t>
            </w:r>
            <w:r w:rsidRPr="00F03B71">
              <w:rPr>
                <w:i w:val="0"/>
                <w:iCs w:val="0"/>
                <w:noProof/>
                <w:sz w:val="20"/>
              </w:rPr>
              <w:t>C23) and basic metals (C24) in 2020</w:t>
            </w:r>
          </w:p>
          <w:p w14:paraId="291011B6" w14:textId="77777777" w:rsidR="00E41ABF" w:rsidRPr="00A14B8F" w:rsidRDefault="00E41ABF" w:rsidP="00916ACA">
            <w:pPr>
              <w:keepNext/>
              <w:spacing w:after="0"/>
              <w:jc w:val="left"/>
              <w:rPr>
                <w:noProof/>
                <w:sz w:val="20"/>
                <w:lang w:val="en-IE"/>
              </w:rPr>
            </w:pPr>
          </w:p>
        </w:tc>
      </w:tr>
      <w:tr w:rsidR="00E41ABF" w:rsidRPr="009334DB" w14:paraId="2504071A" w14:textId="77777777" w:rsidTr="00971DEB">
        <w:tc>
          <w:tcPr>
            <w:tcW w:w="4417" w:type="dxa"/>
          </w:tcPr>
          <w:p w14:paraId="32A9714B" w14:textId="2DA0A7F1" w:rsidR="00E41ABF" w:rsidRPr="00D5707A" w:rsidRDefault="00E41ABF" w:rsidP="00916ACA">
            <w:pPr>
              <w:keepNext/>
              <w:spacing w:after="0"/>
              <w:ind w:left="476"/>
              <w:jc w:val="left"/>
              <w:rPr>
                <w:b/>
                <w:bCs/>
                <w:noProof/>
                <w:sz w:val="22"/>
                <w:szCs w:val="22"/>
                <w:lang w:val="en-IE"/>
              </w:rPr>
            </w:pPr>
            <w:r>
              <w:rPr>
                <w:b/>
                <w:bCs/>
                <w:noProof/>
                <w:sz w:val="22"/>
                <w:szCs w:val="22"/>
                <w:lang w:val="en-IE"/>
              </w:rPr>
              <w:t xml:space="preserve">(c) </w:t>
            </w:r>
            <w:r w:rsidRPr="00D5707A">
              <w:rPr>
                <w:b/>
                <w:bCs/>
                <w:noProof/>
                <w:sz w:val="22"/>
                <w:szCs w:val="22"/>
                <w:lang w:val="en-IE"/>
              </w:rPr>
              <w:t>Regional exposure to sectors that will have to produce the same good</w:t>
            </w:r>
            <w:r w:rsidR="00427E05">
              <w:rPr>
                <w:b/>
                <w:bCs/>
                <w:noProof/>
                <w:sz w:val="22"/>
                <w:szCs w:val="22"/>
                <w:lang w:val="en-IE"/>
              </w:rPr>
              <w:t>s</w:t>
            </w:r>
            <w:r w:rsidRPr="00D5707A">
              <w:rPr>
                <w:b/>
                <w:bCs/>
                <w:noProof/>
                <w:sz w:val="22"/>
                <w:szCs w:val="22"/>
                <w:lang w:val="en-IE"/>
              </w:rPr>
              <w:t xml:space="preserve"> differently</w:t>
            </w:r>
            <w:r w:rsidRPr="00A14B8F">
              <w:rPr>
                <w:noProof/>
                <w:sz w:val="20"/>
                <w:lang w:eastAsia="en-GB"/>
              </w:rPr>
              <w:drawing>
                <wp:inline distT="0" distB="0" distL="0" distR="0" wp14:anchorId="7147EFAB" wp14:editId="6FC2550D">
                  <wp:extent cx="2556000" cy="2671200"/>
                  <wp:effectExtent l="0" t="0" r="0" b="0"/>
                  <wp:docPr id="54" name="Picture 54" descr="A map of europe with pink and grey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map of europe with pink and grey colors&#10;&#10;Description automatically generated"/>
                          <pic:cNvPicPr/>
                        </pic:nvPicPr>
                        <pic:blipFill>
                          <a:blip r:embed="rId229" cstate="print">
                            <a:extLst>
                              <a:ext uri="{28A0092B-C50C-407E-A947-70E740481C1C}">
                                <a14:useLocalDpi xmlns:a14="http://schemas.microsoft.com/office/drawing/2010/main" val="0"/>
                              </a:ext>
                            </a:extLst>
                          </a:blip>
                          <a:stretch>
                            <a:fillRect/>
                          </a:stretch>
                        </pic:blipFill>
                        <pic:spPr>
                          <a:xfrm>
                            <a:off x="0" y="0"/>
                            <a:ext cx="2556000" cy="2671200"/>
                          </a:xfrm>
                          <a:prstGeom prst="rect">
                            <a:avLst/>
                          </a:prstGeom>
                        </pic:spPr>
                      </pic:pic>
                    </a:graphicData>
                  </a:graphic>
                </wp:inline>
              </w:drawing>
            </w:r>
          </w:p>
          <w:p w14:paraId="296C25F6" w14:textId="77777777" w:rsidR="00E41ABF" w:rsidRPr="00A14B8F" w:rsidRDefault="00E41ABF" w:rsidP="00916ACA">
            <w:pPr>
              <w:keepNext/>
              <w:spacing w:after="0"/>
              <w:jc w:val="left"/>
              <w:rPr>
                <w:noProof/>
                <w:sz w:val="20"/>
                <w:lang w:val="en-IE"/>
              </w:rPr>
            </w:pPr>
          </w:p>
          <w:p w14:paraId="34F90E6F" w14:textId="77777777" w:rsidR="00E41ABF" w:rsidRPr="00F03B71" w:rsidRDefault="00E41ABF" w:rsidP="00FB6806">
            <w:pPr>
              <w:pStyle w:val="CT-NOTE"/>
              <w:rPr>
                <w:noProof/>
              </w:rPr>
            </w:pPr>
            <w:r w:rsidRPr="00F03B71">
              <w:rPr>
                <w:noProof/>
              </w:rPr>
              <w:t>Share of total employment in motor vehicles, trailers and semi-trailers (C29) in 2020</w:t>
            </w:r>
          </w:p>
        </w:tc>
        <w:tc>
          <w:tcPr>
            <w:tcW w:w="4417" w:type="dxa"/>
          </w:tcPr>
          <w:p w14:paraId="51AB776A" w14:textId="77777777" w:rsidR="00E41ABF" w:rsidRPr="00A14B8F" w:rsidRDefault="00E41ABF" w:rsidP="00916ACA">
            <w:pPr>
              <w:keepNext/>
              <w:spacing w:after="0"/>
              <w:jc w:val="left"/>
              <w:rPr>
                <w:noProof/>
                <w:sz w:val="20"/>
                <w:lang w:val="en-IE"/>
              </w:rPr>
            </w:pPr>
          </w:p>
          <w:p w14:paraId="3A10F51A" w14:textId="77777777" w:rsidR="00E41ABF" w:rsidRPr="00A14B8F" w:rsidRDefault="00E41ABF" w:rsidP="00916ACA">
            <w:pPr>
              <w:keepNext/>
              <w:spacing w:after="0"/>
              <w:jc w:val="left"/>
              <w:rPr>
                <w:noProof/>
                <w:sz w:val="20"/>
                <w:lang w:val="en-IE"/>
              </w:rPr>
            </w:pPr>
          </w:p>
          <w:p w14:paraId="3797A6E2" w14:textId="77777777" w:rsidR="00E41ABF" w:rsidRPr="00A14B8F" w:rsidRDefault="00E41ABF" w:rsidP="00916ACA">
            <w:pPr>
              <w:keepNext/>
              <w:spacing w:after="0"/>
              <w:jc w:val="left"/>
              <w:rPr>
                <w:noProof/>
                <w:sz w:val="20"/>
                <w:lang w:val="en-IE"/>
              </w:rPr>
            </w:pPr>
          </w:p>
          <w:p w14:paraId="4FEA0E08" w14:textId="77777777" w:rsidR="00E41ABF" w:rsidRPr="00A14B8F" w:rsidRDefault="00E41ABF" w:rsidP="00916ACA">
            <w:pPr>
              <w:keepNext/>
              <w:spacing w:after="0"/>
              <w:jc w:val="left"/>
              <w:rPr>
                <w:noProof/>
                <w:sz w:val="20"/>
                <w:lang w:val="en-IE"/>
              </w:rPr>
            </w:pPr>
          </w:p>
          <w:p w14:paraId="61293241" w14:textId="77777777" w:rsidR="00E41ABF" w:rsidRPr="00A14B8F" w:rsidRDefault="00E41ABF" w:rsidP="00916ACA">
            <w:pPr>
              <w:keepNext/>
              <w:spacing w:after="0"/>
              <w:jc w:val="left"/>
              <w:rPr>
                <w:noProof/>
                <w:sz w:val="20"/>
                <w:lang w:val="en-IE"/>
              </w:rPr>
            </w:pPr>
          </w:p>
          <w:p w14:paraId="0479D04B" w14:textId="77777777" w:rsidR="00E41ABF" w:rsidRDefault="00E41ABF" w:rsidP="00916ACA">
            <w:pPr>
              <w:keepNext/>
              <w:spacing w:after="0"/>
              <w:jc w:val="left"/>
              <w:rPr>
                <w:noProof/>
                <w:sz w:val="20"/>
                <w:lang w:val="en-IE"/>
              </w:rPr>
            </w:pPr>
          </w:p>
          <w:p w14:paraId="50387735" w14:textId="77777777" w:rsidR="00E41ABF" w:rsidRDefault="00E41ABF" w:rsidP="00916ACA">
            <w:pPr>
              <w:keepNext/>
              <w:spacing w:after="0"/>
              <w:jc w:val="left"/>
              <w:rPr>
                <w:noProof/>
                <w:sz w:val="20"/>
                <w:lang w:val="en-IE"/>
              </w:rPr>
            </w:pPr>
          </w:p>
          <w:p w14:paraId="2141FB4E" w14:textId="77777777" w:rsidR="00E41ABF" w:rsidRDefault="00E41ABF" w:rsidP="00916ACA">
            <w:pPr>
              <w:keepNext/>
              <w:spacing w:after="0"/>
              <w:jc w:val="left"/>
              <w:rPr>
                <w:noProof/>
                <w:sz w:val="20"/>
                <w:lang w:val="en-IE"/>
              </w:rPr>
            </w:pPr>
          </w:p>
          <w:p w14:paraId="7B52AB03" w14:textId="77777777" w:rsidR="00E41ABF" w:rsidRDefault="00E41ABF" w:rsidP="00916ACA">
            <w:pPr>
              <w:keepNext/>
              <w:spacing w:after="0"/>
              <w:jc w:val="left"/>
              <w:rPr>
                <w:noProof/>
                <w:sz w:val="20"/>
                <w:lang w:val="en-IE"/>
              </w:rPr>
            </w:pPr>
          </w:p>
          <w:p w14:paraId="2D777D77" w14:textId="77777777" w:rsidR="00E41ABF" w:rsidRDefault="00E41ABF" w:rsidP="00916ACA">
            <w:pPr>
              <w:keepNext/>
              <w:spacing w:after="0"/>
              <w:jc w:val="left"/>
              <w:rPr>
                <w:noProof/>
                <w:sz w:val="20"/>
                <w:lang w:val="en-IE"/>
              </w:rPr>
            </w:pPr>
          </w:p>
          <w:p w14:paraId="5C14FCF2" w14:textId="77777777" w:rsidR="00E41ABF" w:rsidRDefault="00E41ABF" w:rsidP="00916ACA">
            <w:pPr>
              <w:keepNext/>
              <w:spacing w:after="0"/>
              <w:jc w:val="left"/>
              <w:rPr>
                <w:noProof/>
                <w:sz w:val="20"/>
                <w:lang w:val="en-IE"/>
              </w:rPr>
            </w:pPr>
          </w:p>
          <w:p w14:paraId="2C38AB07" w14:textId="77777777" w:rsidR="00E41ABF" w:rsidRDefault="00E41ABF" w:rsidP="00916ACA">
            <w:pPr>
              <w:keepNext/>
              <w:spacing w:after="0"/>
              <w:jc w:val="left"/>
              <w:rPr>
                <w:noProof/>
                <w:sz w:val="20"/>
                <w:lang w:val="en-IE"/>
              </w:rPr>
            </w:pPr>
          </w:p>
          <w:p w14:paraId="15060097" w14:textId="77777777" w:rsidR="00E41ABF" w:rsidRDefault="00E41ABF" w:rsidP="00916ACA">
            <w:pPr>
              <w:keepNext/>
              <w:spacing w:after="0"/>
              <w:jc w:val="left"/>
              <w:rPr>
                <w:noProof/>
                <w:sz w:val="20"/>
                <w:lang w:val="en-IE"/>
              </w:rPr>
            </w:pPr>
          </w:p>
          <w:p w14:paraId="22515A8D" w14:textId="77777777" w:rsidR="00E41ABF" w:rsidRDefault="00E41ABF" w:rsidP="00916ACA">
            <w:pPr>
              <w:keepNext/>
              <w:spacing w:after="0"/>
              <w:jc w:val="left"/>
              <w:rPr>
                <w:noProof/>
                <w:sz w:val="20"/>
                <w:lang w:val="en-IE"/>
              </w:rPr>
            </w:pPr>
          </w:p>
          <w:p w14:paraId="260BA7D2" w14:textId="77777777" w:rsidR="00E41ABF" w:rsidRDefault="00E41ABF" w:rsidP="00916ACA">
            <w:pPr>
              <w:keepNext/>
              <w:spacing w:after="0"/>
              <w:jc w:val="left"/>
              <w:rPr>
                <w:noProof/>
                <w:sz w:val="20"/>
                <w:lang w:val="en-IE"/>
              </w:rPr>
            </w:pPr>
          </w:p>
          <w:p w14:paraId="2831D98A" w14:textId="77777777" w:rsidR="00E41ABF" w:rsidRPr="00A14B8F" w:rsidRDefault="00E41ABF" w:rsidP="00916ACA">
            <w:pPr>
              <w:keepNext/>
              <w:spacing w:after="0"/>
              <w:jc w:val="left"/>
              <w:rPr>
                <w:noProof/>
                <w:sz w:val="20"/>
                <w:lang w:val="en-IE"/>
              </w:rPr>
            </w:pPr>
          </w:p>
          <w:p w14:paraId="1B734A18" w14:textId="77777777" w:rsidR="00E41ABF" w:rsidRPr="00A14B8F" w:rsidRDefault="00E41ABF" w:rsidP="00916ACA">
            <w:pPr>
              <w:keepNext/>
              <w:spacing w:after="0"/>
              <w:jc w:val="left"/>
              <w:rPr>
                <w:noProof/>
                <w:sz w:val="20"/>
                <w:lang w:val="en-IE"/>
              </w:rPr>
            </w:pPr>
          </w:p>
          <w:p w14:paraId="30EE2EB8" w14:textId="77777777" w:rsidR="00E41ABF" w:rsidRDefault="00E41ABF" w:rsidP="00916ACA">
            <w:pPr>
              <w:keepNext/>
              <w:spacing w:after="0"/>
              <w:jc w:val="left"/>
              <w:rPr>
                <w:noProof/>
                <w:sz w:val="20"/>
                <w:lang w:val="en-IE"/>
              </w:rPr>
            </w:pPr>
          </w:p>
          <w:p w14:paraId="3C8324EE" w14:textId="77777777" w:rsidR="00E41ABF" w:rsidRDefault="00E41ABF" w:rsidP="00916ACA">
            <w:pPr>
              <w:keepNext/>
              <w:spacing w:after="0"/>
              <w:jc w:val="left"/>
              <w:rPr>
                <w:b/>
                <w:bCs/>
                <w:noProof/>
                <w:sz w:val="20"/>
                <w:lang w:val="en-IE"/>
              </w:rPr>
            </w:pPr>
          </w:p>
          <w:p w14:paraId="0E2CA15F" w14:textId="77777777" w:rsidR="00E41ABF" w:rsidRDefault="00E41ABF" w:rsidP="00916ACA">
            <w:pPr>
              <w:keepNext/>
              <w:spacing w:after="0"/>
              <w:jc w:val="left"/>
              <w:rPr>
                <w:b/>
                <w:bCs/>
                <w:noProof/>
                <w:sz w:val="20"/>
                <w:lang w:val="en-IE"/>
              </w:rPr>
            </w:pPr>
          </w:p>
          <w:p w14:paraId="613763FF" w14:textId="77777777" w:rsidR="00E41ABF" w:rsidRPr="00A14B8F" w:rsidRDefault="00E41ABF" w:rsidP="00916ACA">
            <w:pPr>
              <w:keepNext/>
              <w:spacing w:after="0"/>
              <w:jc w:val="left"/>
              <w:rPr>
                <w:noProof/>
                <w:sz w:val="20"/>
                <w:lang w:val="en-IE"/>
              </w:rPr>
            </w:pPr>
          </w:p>
        </w:tc>
      </w:tr>
    </w:tbl>
    <w:p w14:paraId="269145A4" w14:textId="77777777" w:rsidR="00E41ABF" w:rsidRPr="00E50BCD" w:rsidRDefault="00E41ABF" w:rsidP="00FB6806">
      <w:pPr>
        <w:pStyle w:val="CT-SOURCE"/>
        <w:rPr>
          <w:i w:val="0"/>
          <w:iCs w:val="0"/>
          <w:noProof/>
          <w:sz w:val="20"/>
        </w:rPr>
      </w:pPr>
      <w:r w:rsidRPr="00E50BCD">
        <w:rPr>
          <w:noProof/>
        </w:rPr>
        <w:t xml:space="preserve">Source: Eurostat structural business </w:t>
      </w:r>
      <w:r w:rsidRPr="00E50BCD">
        <w:rPr>
          <w:i w:val="0"/>
          <w:iCs w:val="0"/>
          <w:noProof/>
          <w:sz w:val="20"/>
        </w:rPr>
        <w:t>statistics and labour force survey</w:t>
      </w:r>
    </w:p>
    <w:p w14:paraId="34BE1B79" w14:textId="628A7033" w:rsidR="00E41ABF" w:rsidRDefault="00E41ABF" w:rsidP="00E41ABF">
      <w:pPr>
        <w:rPr>
          <w:noProof/>
          <w:lang w:val="en-IE"/>
        </w:rPr>
      </w:pPr>
      <w:r>
        <w:rPr>
          <w:noProof/>
          <w:lang w:val="en-IE"/>
        </w:rPr>
        <w:t xml:space="preserve">The transition is also an opportunity for new activities or sectors to develop. For example, while Sweden’s </w:t>
      </w:r>
      <w:r w:rsidRPr="00C12943">
        <w:rPr>
          <w:noProof/>
          <w:lang w:val="en-IE"/>
        </w:rPr>
        <w:t>Upper Norrland</w:t>
      </w:r>
      <w:r>
        <w:rPr>
          <w:noProof/>
          <w:lang w:val="en-IE"/>
        </w:rPr>
        <w:t xml:space="preserve"> and </w:t>
      </w:r>
      <w:r w:rsidRPr="00CA1280">
        <w:rPr>
          <w:noProof/>
          <w:lang w:val="en-IE"/>
        </w:rPr>
        <w:t>Middle Norrland</w:t>
      </w:r>
      <w:r>
        <w:rPr>
          <w:noProof/>
          <w:lang w:val="en-IE"/>
        </w:rPr>
        <w:t xml:space="preserve"> regions have a relatively high share of employment in carbon-intensive manufacturing sector, they are also areas where the </w:t>
      </w:r>
      <w:r w:rsidR="006D6B31">
        <w:rPr>
          <w:noProof/>
          <w:lang w:val="en-IE"/>
        </w:rPr>
        <w:t>technical potential</w:t>
      </w:r>
      <w:r>
        <w:rPr>
          <w:noProof/>
          <w:lang w:val="en-IE"/>
        </w:rPr>
        <w:t xml:space="preserve"> </w:t>
      </w:r>
      <w:r w:rsidR="006D6B31">
        <w:rPr>
          <w:noProof/>
          <w:lang w:val="en-IE"/>
        </w:rPr>
        <w:t xml:space="preserve">for </w:t>
      </w:r>
      <w:r>
        <w:rPr>
          <w:noProof/>
          <w:lang w:val="en-IE"/>
        </w:rPr>
        <w:t xml:space="preserve">electricity from renewable was </w:t>
      </w:r>
      <w:r w:rsidR="006D6B31">
        <w:rPr>
          <w:noProof/>
          <w:lang w:val="en-IE"/>
        </w:rPr>
        <w:t xml:space="preserve">more than </w:t>
      </w:r>
      <w:r>
        <w:rPr>
          <w:noProof/>
          <w:lang w:val="en-IE"/>
        </w:rPr>
        <w:t xml:space="preserve">100TWh </w:t>
      </w:r>
      <w:r w:rsidR="006D6B31">
        <w:rPr>
          <w:noProof/>
          <w:lang w:val="en-IE"/>
        </w:rPr>
        <w:t>higher than the actual demand</w:t>
      </w:r>
      <w:r>
        <w:rPr>
          <w:noProof/>
          <w:lang w:val="en-IE"/>
        </w:rPr>
        <w:t xml:space="preserve"> in 2019</w:t>
      </w:r>
      <w:r>
        <w:rPr>
          <w:noProof/>
        </w:rPr>
        <w:t xml:space="preserve"> (see </w:t>
      </w:r>
      <w:r w:rsidR="00D16080" w:rsidRPr="00B063DF">
        <w:rPr>
          <w:noProof/>
        </w:rPr>
        <w:fldChar w:fldCharType="begin"/>
      </w:r>
      <w:r w:rsidR="00D16080" w:rsidRPr="00E90515">
        <w:rPr>
          <w:noProof/>
          <w:highlight w:val="yellow"/>
        </w:rPr>
        <w:instrText xml:space="preserve"> REF _Ref146208706 \h </w:instrText>
      </w:r>
      <w:r w:rsidR="00E90515">
        <w:rPr>
          <w:noProof/>
          <w:highlight w:val="yellow"/>
        </w:rPr>
        <w:instrText xml:space="preserve"> \* MERGEFORMAT </w:instrText>
      </w:r>
      <w:r w:rsidR="00D16080" w:rsidRPr="00B063DF">
        <w:rPr>
          <w:noProof/>
        </w:rPr>
      </w:r>
      <w:r w:rsidR="00D16080" w:rsidRPr="00B063DF">
        <w:rPr>
          <w:noProof/>
        </w:rPr>
        <w:fldChar w:fldCharType="separate"/>
      </w:r>
      <w:r w:rsidR="00170A3C">
        <w:rPr>
          <w:noProof/>
        </w:rPr>
        <w:t>Figure 130</w:t>
      </w:r>
      <w:r w:rsidR="00D16080" w:rsidRPr="00B063DF">
        <w:rPr>
          <w:noProof/>
        </w:rPr>
        <w:fldChar w:fldCharType="end"/>
      </w:r>
      <w:r>
        <w:rPr>
          <w:noProof/>
        </w:rPr>
        <w:t>)</w:t>
      </w:r>
      <w:r>
        <w:rPr>
          <w:noProof/>
          <w:lang w:val="en-IE"/>
        </w:rPr>
        <w:t xml:space="preserve">. </w:t>
      </w:r>
      <w:r w:rsidR="006D6B31">
        <w:rPr>
          <w:noProof/>
          <w:lang w:val="en-IE"/>
        </w:rPr>
        <w:t xml:space="preserve">The untapped potential for electricity production from renewable energy technologies is mostly in rural areas. </w:t>
      </w:r>
      <w:r w:rsidRPr="00423C9D">
        <w:rPr>
          <w:noProof/>
          <w:lang w:val="en-IE"/>
        </w:rPr>
        <w:t xml:space="preserve">The Member States with the highest </w:t>
      </w:r>
      <w:r>
        <w:rPr>
          <w:noProof/>
          <w:lang w:val="en-IE"/>
        </w:rPr>
        <w:t xml:space="preserve">absolute </w:t>
      </w:r>
      <w:r w:rsidRPr="00423C9D">
        <w:rPr>
          <w:noProof/>
          <w:lang w:val="en-IE"/>
        </w:rPr>
        <w:t>green hydrogen potential are Spain</w:t>
      </w:r>
      <w:r>
        <w:rPr>
          <w:noProof/>
          <w:lang w:val="en-IE"/>
        </w:rPr>
        <w:t xml:space="preserve"> (</w:t>
      </w:r>
      <w:r w:rsidRPr="00113172">
        <w:rPr>
          <w:noProof/>
          <w:lang w:val="en-IE"/>
        </w:rPr>
        <w:t>138</w:t>
      </w:r>
      <w:r>
        <w:rPr>
          <w:noProof/>
          <w:lang w:val="en-IE"/>
        </w:rPr>
        <w:t xml:space="preserve">8 of excess </w:t>
      </w:r>
      <w:r w:rsidRPr="003B102E">
        <w:rPr>
          <w:noProof/>
          <w:lang w:val="en-IE"/>
        </w:rPr>
        <w:t>TWh</w:t>
      </w:r>
      <w:r>
        <w:rPr>
          <w:noProof/>
          <w:lang w:val="en-IE"/>
        </w:rPr>
        <w:t>)</w:t>
      </w:r>
      <w:r w:rsidRPr="00423C9D">
        <w:rPr>
          <w:noProof/>
          <w:lang w:val="en-IE"/>
        </w:rPr>
        <w:t>, France</w:t>
      </w:r>
      <w:r>
        <w:rPr>
          <w:noProof/>
          <w:lang w:val="en-IE"/>
        </w:rPr>
        <w:t xml:space="preserve"> (917</w:t>
      </w:r>
      <w:r>
        <w:rPr>
          <w:rFonts w:ascii="Calibri" w:eastAsia="Times New Roman" w:hAnsi="Calibri" w:cs="Calibri"/>
          <w:noProof/>
          <w:color w:val="000000"/>
          <w:sz w:val="22"/>
          <w:szCs w:val="22"/>
          <w:lang w:val="en-IE"/>
        </w:rPr>
        <w:t>)</w:t>
      </w:r>
      <w:r w:rsidRPr="00DB5EBB">
        <w:rPr>
          <w:noProof/>
          <w:lang w:val="en-IE"/>
        </w:rPr>
        <w:t xml:space="preserve">, Romania </w:t>
      </w:r>
      <w:r>
        <w:rPr>
          <w:noProof/>
          <w:lang w:val="en-IE"/>
        </w:rPr>
        <w:t>(</w:t>
      </w:r>
      <w:r w:rsidRPr="00DB5EBB">
        <w:rPr>
          <w:noProof/>
          <w:lang w:val="en-IE"/>
        </w:rPr>
        <w:t>493)</w:t>
      </w:r>
      <w:r>
        <w:rPr>
          <w:rFonts w:ascii="Calibri" w:eastAsia="Times New Roman" w:hAnsi="Calibri" w:cs="Calibri"/>
          <w:noProof/>
          <w:color w:val="000000"/>
          <w:sz w:val="22"/>
          <w:szCs w:val="22"/>
          <w:lang w:val="en-IE"/>
        </w:rPr>
        <w:t xml:space="preserve"> </w:t>
      </w:r>
      <w:r w:rsidRPr="00DB5EBB">
        <w:rPr>
          <w:noProof/>
          <w:lang w:val="en-IE"/>
        </w:rPr>
        <w:t>and Poland</w:t>
      </w:r>
      <w:r>
        <w:rPr>
          <w:noProof/>
          <w:lang w:val="en-IE"/>
        </w:rPr>
        <w:t xml:space="preserve"> (</w:t>
      </w:r>
      <w:r w:rsidRPr="00F26ABA">
        <w:rPr>
          <w:noProof/>
          <w:lang w:val="en-IE"/>
        </w:rPr>
        <w:t>45</w:t>
      </w:r>
      <w:r>
        <w:rPr>
          <w:noProof/>
          <w:lang w:val="en-IE"/>
        </w:rPr>
        <w:t xml:space="preserve">6). The three EU regions </w:t>
      </w:r>
      <w:r w:rsidRPr="00094161">
        <w:rPr>
          <w:noProof/>
          <w:lang w:val="en-IE"/>
        </w:rPr>
        <w:t>with the highest</w:t>
      </w:r>
      <w:r>
        <w:rPr>
          <w:noProof/>
          <w:lang w:val="en-IE"/>
        </w:rPr>
        <w:t xml:space="preserve"> absolute</w:t>
      </w:r>
      <w:r w:rsidRPr="00DB5EBB">
        <w:rPr>
          <w:noProof/>
          <w:lang w:val="en-IE"/>
        </w:rPr>
        <w:t xml:space="preserve"> potential are all </w:t>
      </w:r>
      <w:r>
        <w:rPr>
          <w:noProof/>
          <w:lang w:val="en-IE"/>
        </w:rPr>
        <w:t xml:space="preserve">located in </w:t>
      </w:r>
      <w:r w:rsidRPr="00094161">
        <w:rPr>
          <w:noProof/>
          <w:lang w:val="en-IE"/>
        </w:rPr>
        <w:t>Spai</w:t>
      </w:r>
      <w:r>
        <w:rPr>
          <w:noProof/>
          <w:lang w:val="en-IE"/>
        </w:rPr>
        <w:t>n:</w:t>
      </w:r>
      <w:r w:rsidRPr="00094161">
        <w:rPr>
          <w:noProof/>
          <w:lang w:val="en-IE"/>
        </w:rPr>
        <w:t xml:space="preserve"> Castilla y León</w:t>
      </w:r>
      <w:r>
        <w:rPr>
          <w:noProof/>
          <w:lang w:val="en-IE"/>
        </w:rPr>
        <w:t xml:space="preserve"> (</w:t>
      </w:r>
      <w:r w:rsidRPr="00423C9D">
        <w:rPr>
          <w:noProof/>
          <w:lang w:val="en-IE"/>
        </w:rPr>
        <w:t>488</w:t>
      </w:r>
      <w:r>
        <w:rPr>
          <w:rFonts w:ascii="Calibri" w:eastAsia="Times New Roman" w:hAnsi="Calibri" w:cs="Calibri"/>
          <w:noProof/>
          <w:color w:val="000000"/>
          <w:sz w:val="22"/>
          <w:szCs w:val="22"/>
          <w:lang w:val="en-IE"/>
        </w:rPr>
        <w:t>)</w:t>
      </w:r>
      <w:r w:rsidRPr="00423C9D">
        <w:rPr>
          <w:noProof/>
          <w:lang w:val="en-IE"/>
        </w:rPr>
        <w:t>, Castilla-La Mancha</w:t>
      </w:r>
      <w:r>
        <w:rPr>
          <w:noProof/>
          <w:lang w:val="en-IE"/>
        </w:rPr>
        <w:t xml:space="preserve"> (</w:t>
      </w:r>
      <w:r w:rsidRPr="00423C9D">
        <w:rPr>
          <w:noProof/>
          <w:lang w:val="en-IE"/>
        </w:rPr>
        <w:t>36</w:t>
      </w:r>
      <w:r>
        <w:rPr>
          <w:noProof/>
          <w:lang w:val="en-IE"/>
        </w:rPr>
        <w:t>6</w:t>
      </w:r>
      <w:r>
        <w:rPr>
          <w:rFonts w:ascii="Calibri" w:eastAsia="Times New Roman" w:hAnsi="Calibri" w:cs="Calibri"/>
          <w:noProof/>
          <w:color w:val="000000"/>
          <w:sz w:val="22"/>
          <w:szCs w:val="22"/>
          <w:lang w:val="en-IE"/>
        </w:rPr>
        <w:t>)</w:t>
      </w:r>
      <w:r w:rsidRPr="00094161">
        <w:rPr>
          <w:noProof/>
          <w:lang w:val="en-IE"/>
        </w:rPr>
        <w:t>, and Aragón</w:t>
      </w:r>
      <w:r>
        <w:rPr>
          <w:noProof/>
          <w:lang w:val="en-IE"/>
        </w:rPr>
        <w:t xml:space="preserve"> (</w:t>
      </w:r>
      <w:r w:rsidRPr="00094161">
        <w:rPr>
          <w:noProof/>
          <w:lang w:val="en-IE"/>
        </w:rPr>
        <w:t>263</w:t>
      </w:r>
      <w:r>
        <w:rPr>
          <w:noProof/>
          <w:lang w:val="en-IE"/>
        </w:rPr>
        <w:t>).</w:t>
      </w:r>
      <w:r w:rsidRPr="00A83E2F">
        <w:rPr>
          <w:rFonts w:cs="Times New Roman"/>
          <w:i/>
          <w:iCs/>
          <w:noProof/>
          <w:lang w:val="en-IE"/>
        </w:rPr>
        <w:t> </w:t>
      </w:r>
      <w:r w:rsidRPr="00094161">
        <w:rPr>
          <w:rFonts w:cs="Times New Roman"/>
          <w:noProof/>
          <w:lang w:val="en-IE"/>
        </w:rPr>
        <w:t>(</w:t>
      </w:r>
      <w:r w:rsidRPr="00094161">
        <w:rPr>
          <w:rStyle w:val="FootnoteReference"/>
          <w:noProof/>
          <w:lang w:val="en-IE"/>
        </w:rPr>
        <w:footnoteReference w:id="323"/>
      </w:r>
      <w:r w:rsidRPr="00094161">
        <w:rPr>
          <w:rFonts w:cs="Times New Roman"/>
          <w:noProof/>
          <w:lang w:val="en-IE"/>
        </w:rPr>
        <w:t>)</w:t>
      </w:r>
    </w:p>
    <w:p w14:paraId="567625BF" w14:textId="77777777" w:rsidR="00E41ABF" w:rsidRPr="00094161" w:rsidRDefault="00E41ABF" w:rsidP="00E41ABF">
      <w:pPr>
        <w:spacing w:after="0"/>
        <w:rPr>
          <w:rFonts w:ascii="Calibri" w:eastAsia="Times New Roman" w:hAnsi="Calibri" w:cs="Calibri"/>
          <w:noProof/>
          <w:color w:val="000000"/>
          <w:sz w:val="22"/>
          <w:szCs w:val="22"/>
          <w:lang w:val="en-IE"/>
        </w:rPr>
      </w:pPr>
    </w:p>
    <w:p w14:paraId="0D92F1F2" w14:textId="6756AA74" w:rsidR="00E41ABF" w:rsidRDefault="004574A8" w:rsidP="00E41ABF">
      <w:pPr>
        <w:pStyle w:val="Caption"/>
        <w:rPr>
          <w:i/>
          <w:iCs/>
          <w:noProof/>
          <w:lang w:val="en-IE"/>
        </w:rPr>
      </w:pPr>
      <w:bookmarkStart w:id="829" w:name="_Ref146208706"/>
      <w:bookmarkStart w:id="830" w:name="_Toc157679878"/>
      <w:bookmarkStart w:id="831" w:name="_Hlk148438275"/>
      <w:r>
        <w:rPr>
          <w:noProof/>
        </w:rPr>
        <w:t xml:space="preserve">Figure </w:t>
      </w:r>
      <w:r>
        <w:rPr>
          <w:noProof/>
        </w:rPr>
        <w:fldChar w:fldCharType="begin"/>
      </w:r>
      <w:r>
        <w:rPr>
          <w:noProof/>
        </w:rPr>
        <w:instrText>SEQ Figure \* ARABIC</w:instrText>
      </w:r>
      <w:r>
        <w:rPr>
          <w:noProof/>
        </w:rPr>
        <w:fldChar w:fldCharType="separate"/>
      </w:r>
      <w:r w:rsidR="00170A3C">
        <w:rPr>
          <w:noProof/>
        </w:rPr>
        <w:t>130</w:t>
      </w:r>
      <w:r>
        <w:rPr>
          <w:noProof/>
        </w:rPr>
        <w:fldChar w:fldCharType="end"/>
      </w:r>
      <w:bookmarkEnd w:id="829"/>
      <w:r w:rsidR="00E41ABF">
        <w:rPr>
          <w:noProof/>
        </w:rPr>
        <w:t xml:space="preserve">: </w:t>
      </w:r>
      <w:r w:rsidR="002F2287">
        <w:rPr>
          <w:noProof/>
        </w:rPr>
        <w:t xml:space="preserve">Untapped </w:t>
      </w:r>
      <w:r w:rsidR="00C40598">
        <w:rPr>
          <w:noProof/>
        </w:rPr>
        <w:t>p</w:t>
      </w:r>
      <w:r w:rsidR="002F2287">
        <w:rPr>
          <w:noProof/>
        </w:rPr>
        <w:t>otential for</w:t>
      </w:r>
      <w:r w:rsidR="00E41ABF">
        <w:rPr>
          <w:noProof/>
        </w:rPr>
        <w:t xml:space="preserve"> electricity</w:t>
      </w:r>
      <w:r w:rsidR="002F2287">
        <w:rPr>
          <w:noProof/>
        </w:rPr>
        <w:t xml:space="preserve"> production</w:t>
      </w:r>
      <w:r w:rsidR="00E41ABF">
        <w:rPr>
          <w:noProof/>
        </w:rPr>
        <w:t xml:space="preserve"> from solar and wind in 2019 (left) and present-day annual hydrogen production (right) in EU regions</w:t>
      </w:r>
      <w:r w:rsidR="00FB6806">
        <w:rPr>
          <w:noProof/>
        </w:rPr>
        <w:t>.</w:t>
      </w:r>
      <w:bookmarkEnd w:id="830"/>
    </w:p>
    <w:p w14:paraId="5958976C" w14:textId="74639FB9" w:rsidR="00E41ABF" w:rsidRDefault="00E41ABF" w:rsidP="00E41ABF">
      <w:pPr>
        <w:rPr>
          <w:noProof/>
        </w:rPr>
      </w:pPr>
      <w:r>
        <w:rPr>
          <w:noProof/>
        </w:rPr>
        <w:t> </w:t>
      </w:r>
      <w:r w:rsidR="002F14AF">
        <w:rPr>
          <w:noProof/>
          <w:lang w:eastAsia="en-GB"/>
        </w:rPr>
        <w:drawing>
          <wp:inline distT="0" distB="0" distL="0" distR="0" wp14:anchorId="5D2DA5F4" wp14:editId="469CC07A">
            <wp:extent cx="2592765" cy="27622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0" cstate="print">
                      <a:extLst>
                        <a:ext uri="{28A0092B-C50C-407E-A947-70E740481C1C}">
                          <a14:useLocalDpi xmlns:a14="http://schemas.microsoft.com/office/drawing/2010/main" val="0"/>
                        </a:ext>
                      </a:extLst>
                    </a:blip>
                    <a:srcRect/>
                    <a:stretch>
                      <a:fillRect/>
                    </a:stretch>
                  </pic:blipFill>
                  <pic:spPr bwMode="auto">
                    <a:xfrm>
                      <a:off x="0" y="0"/>
                      <a:ext cx="2596859" cy="2766612"/>
                    </a:xfrm>
                    <a:prstGeom prst="rect">
                      <a:avLst/>
                    </a:prstGeom>
                    <a:noFill/>
                    <a:ln>
                      <a:noFill/>
                    </a:ln>
                  </pic:spPr>
                </pic:pic>
              </a:graphicData>
            </a:graphic>
          </wp:inline>
        </w:drawing>
      </w:r>
      <w:r w:rsidRPr="00B44E48">
        <w:rPr>
          <w:noProof/>
        </w:rPr>
        <w:t xml:space="preserve"> </w:t>
      </w:r>
      <w:r>
        <w:rPr>
          <w:noProof/>
        </w:rPr>
        <w:t> </w:t>
      </w:r>
      <w:r>
        <w:rPr>
          <w:noProof/>
          <w:lang w:eastAsia="en-GB"/>
        </w:rPr>
        <w:drawing>
          <wp:inline distT="0" distB="0" distL="0" distR="0" wp14:anchorId="4AFC178F" wp14:editId="4420B106">
            <wp:extent cx="2622550" cy="2788792"/>
            <wp:effectExtent l="0" t="0" r="635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2640260" cy="2807624"/>
                    </a:xfrm>
                    <a:prstGeom prst="rect">
                      <a:avLst/>
                    </a:prstGeom>
                    <a:noFill/>
                    <a:ln>
                      <a:noFill/>
                    </a:ln>
                  </pic:spPr>
                </pic:pic>
              </a:graphicData>
            </a:graphic>
          </wp:inline>
        </w:drawing>
      </w:r>
    </w:p>
    <w:bookmarkEnd w:id="831"/>
    <w:p w14:paraId="36B5E127" w14:textId="77777777" w:rsidR="00E41ABF" w:rsidRPr="00225BDC" w:rsidRDefault="00E41ABF" w:rsidP="00FB6806">
      <w:pPr>
        <w:pStyle w:val="CT-SOURCE"/>
        <w:rPr>
          <w:i w:val="0"/>
          <w:iCs w:val="0"/>
          <w:noProof/>
          <w:sz w:val="20"/>
        </w:rPr>
      </w:pPr>
      <w:r w:rsidRPr="00225BDC">
        <w:rPr>
          <w:noProof/>
        </w:rPr>
        <w:t>Source: Data from Kakoulaki</w:t>
      </w:r>
      <w:r w:rsidRPr="00225BDC">
        <w:rPr>
          <w:i w:val="0"/>
          <w:iCs w:val="0"/>
          <w:noProof/>
          <w:sz w:val="20"/>
        </w:rPr>
        <w:t xml:space="preserve"> </w:t>
      </w:r>
      <w:r w:rsidRPr="002F2287">
        <w:rPr>
          <w:noProof/>
        </w:rPr>
        <w:t>et al., 2021. Green hydrogen in Europe – A regional assessment: Substituting existing production with electrolysis powered by renewables, Energy Conversion and Management 228 (2021) 113649</w:t>
      </w:r>
    </w:p>
    <w:p w14:paraId="55314EB3" w14:textId="4DDC0CD3" w:rsidR="00B469E1" w:rsidRDefault="00E41ABF" w:rsidP="00E2670E">
      <w:pPr>
        <w:rPr>
          <w:noProof/>
        </w:rPr>
      </w:pPr>
      <w:r>
        <w:rPr>
          <w:noProof/>
        </w:rPr>
        <w:t xml:space="preserve">The potential </w:t>
      </w:r>
      <w:r w:rsidRPr="00430DB8">
        <w:rPr>
          <w:noProof/>
        </w:rPr>
        <w:t>contribution of the various economic sectors to EU net emission reduction (</w:t>
      </w:r>
      <w:r w:rsidR="00943992">
        <w:rPr>
          <w:noProof/>
        </w:rPr>
        <w:fldChar w:fldCharType="begin"/>
      </w:r>
      <w:r w:rsidR="00943992">
        <w:rPr>
          <w:noProof/>
        </w:rPr>
        <w:instrText xml:space="preserve"> REF _Ref155907214 \h </w:instrText>
      </w:r>
      <w:r w:rsidR="00943992">
        <w:rPr>
          <w:noProof/>
        </w:rPr>
      </w:r>
      <w:r w:rsidR="00943992">
        <w:rPr>
          <w:noProof/>
        </w:rPr>
        <w:fldChar w:fldCharType="separate"/>
      </w:r>
      <w:r w:rsidR="00170A3C">
        <w:rPr>
          <w:noProof/>
        </w:rPr>
        <w:t>Figure 131</w:t>
      </w:r>
      <w:r w:rsidR="00943992">
        <w:rPr>
          <w:noProof/>
        </w:rPr>
        <w:fldChar w:fldCharType="end"/>
      </w:r>
      <w:r w:rsidRPr="00430DB8">
        <w:rPr>
          <w:noProof/>
        </w:rPr>
        <w:t>) suggests that rural areas can significantly contribute to emission reductions, for example by carbon sequestration in agriculture.</w:t>
      </w:r>
      <w:r w:rsidR="00B469E1" w:rsidRPr="00430DB8">
        <w:rPr>
          <w:noProof/>
        </w:rPr>
        <w:t xml:space="preserve"> N</w:t>
      </w:r>
      <w:r w:rsidR="00B469E1" w:rsidRPr="00430DB8">
        <w:rPr>
          <w:noProof/>
          <w:lang w:val="en-IE"/>
        </w:rPr>
        <w:t>ature-based removals activities like afforestation and nature restoration may spur investment and economic activity in these areas.</w:t>
      </w:r>
      <w:r w:rsidR="00B469E1">
        <w:rPr>
          <w:noProof/>
          <w:lang w:val="en-IE"/>
        </w:rPr>
        <w:t xml:space="preserve"> </w:t>
      </w:r>
    </w:p>
    <w:p w14:paraId="36A6CDC9" w14:textId="2CF5A4BA" w:rsidR="00943992" w:rsidRDefault="00943992" w:rsidP="00943992">
      <w:pPr>
        <w:pStyle w:val="Caption"/>
        <w:rPr>
          <w:noProof/>
        </w:rPr>
      </w:pPr>
      <w:bookmarkStart w:id="832" w:name="_Ref155907214"/>
      <w:bookmarkStart w:id="833" w:name="_Toc157679879"/>
      <w:r>
        <w:rPr>
          <w:noProof/>
        </w:rPr>
        <w:t xml:space="preserve">Figure </w:t>
      </w:r>
      <w:r w:rsidR="00D12921">
        <w:rPr>
          <w:noProof/>
        </w:rPr>
        <w:fldChar w:fldCharType="begin"/>
      </w:r>
      <w:r w:rsidR="00D12921">
        <w:rPr>
          <w:noProof/>
        </w:rPr>
        <w:instrText xml:space="preserve"> SEQ Figure \* ARABIC </w:instrText>
      </w:r>
      <w:r w:rsidR="00D12921">
        <w:rPr>
          <w:noProof/>
        </w:rPr>
        <w:fldChar w:fldCharType="separate"/>
      </w:r>
      <w:r w:rsidR="00170A3C">
        <w:rPr>
          <w:noProof/>
        </w:rPr>
        <w:t>131</w:t>
      </w:r>
      <w:r w:rsidR="00D12921">
        <w:rPr>
          <w:noProof/>
        </w:rPr>
        <w:fldChar w:fldCharType="end"/>
      </w:r>
      <w:bookmarkEnd w:id="832"/>
      <w:r>
        <w:rPr>
          <w:noProof/>
        </w:rPr>
        <w:t xml:space="preserve">: </w:t>
      </w:r>
      <w:r w:rsidRPr="00943992">
        <w:rPr>
          <w:noProof/>
        </w:rPr>
        <w:t>Potential contribution of the various economic sectors to the EU emission reductions</w:t>
      </w:r>
      <w:bookmarkEnd w:id="833"/>
    </w:p>
    <w:p w14:paraId="58074357" w14:textId="6EF1B10E" w:rsidR="00943992" w:rsidRDefault="00943992" w:rsidP="00916ACA">
      <w:pPr>
        <w:pStyle w:val="pf0"/>
        <w:jc w:val="both"/>
        <w:rPr>
          <w:noProof/>
        </w:rPr>
      </w:pPr>
      <w:r w:rsidRPr="00943992">
        <w:rPr>
          <w:noProof/>
          <w:lang w:val="en-GB" w:eastAsia="en-GB"/>
        </w:rPr>
        <w:drawing>
          <wp:inline distT="0" distB="0" distL="0" distR="0" wp14:anchorId="492269E2" wp14:editId="4844F06C">
            <wp:extent cx="5179060" cy="291846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5179060" cy="2918460"/>
                    </a:xfrm>
                    <a:prstGeom prst="rect">
                      <a:avLst/>
                    </a:prstGeom>
                    <a:noFill/>
                    <a:ln>
                      <a:noFill/>
                    </a:ln>
                  </pic:spPr>
                </pic:pic>
              </a:graphicData>
            </a:graphic>
          </wp:inline>
        </w:drawing>
      </w:r>
    </w:p>
    <w:p w14:paraId="19BF18F5" w14:textId="532D32E3" w:rsidR="00363A89" w:rsidRPr="00943992" w:rsidRDefault="00363A89" w:rsidP="00943992">
      <w:pPr>
        <w:pStyle w:val="pf0"/>
        <w:jc w:val="right"/>
        <w:rPr>
          <w:rFonts w:ascii="EC Square Sans Cond Pro" w:eastAsiaTheme="minorHAnsi" w:hAnsi="EC Square Sans Cond Pro" w:cs="Avenir Next LT Pro"/>
          <w:i/>
          <w:noProof/>
          <w:sz w:val="22"/>
          <w:szCs w:val="22"/>
          <w:lang w:eastAsia="en-US"/>
        </w:rPr>
      </w:pPr>
      <w:r w:rsidRPr="00943992">
        <w:rPr>
          <w:rFonts w:ascii="EC Square Sans Cond Pro" w:eastAsiaTheme="minorHAnsi" w:hAnsi="EC Square Sans Cond Pro" w:cs="Avenir Next LT Pro"/>
          <w:i/>
          <w:noProof/>
          <w:sz w:val="22"/>
          <w:szCs w:val="22"/>
          <w:lang w:eastAsia="en-US"/>
        </w:rPr>
        <w:t>Source:</w:t>
      </w:r>
      <w:r w:rsidR="009C7751" w:rsidRPr="00943992">
        <w:rPr>
          <w:rFonts w:ascii="EC Square Sans Cond Pro" w:eastAsiaTheme="minorHAnsi" w:hAnsi="EC Square Sans Cond Pro" w:cs="Avenir Next LT Pro"/>
          <w:i/>
          <w:noProof/>
          <w:sz w:val="22"/>
          <w:szCs w:val="22"/>
          <w:lang w:eastAsia="en-US"/>
        </w:rPr>
        <w:t xml:space="preserve"> </w:t>
      </w:r>
      <w:r w:rsidR="007705C7" w:rsidRPr="00943992">
        <w:rPr>
          <w:rFonts w:ascii="EC Square Sans Cond Pro" w:eastAsiaTheme="minorHAnsi" w:hAnsi="EC Square Sans Cond Pro" w:cs="Avenir Next LT Pro"/>
          <w:i/>
          <w:noProof/>
          <w:sz w:val="22"/>
          <w:szCs w:val="22"/>
          <w:lang w:eastAsia="en-US"/>
        </w:rPr>
        <w:t xml:space="preserve">Global outlook based on the IPCC migitation </w:t>
      </w:r>
      <w:r w:rsidR="0076141F" w:rsidRPr="00943992">
        <w:rPr>
          <w:rFonts w:ascii="EC Square Sans Cond Pro" w:eastAsiaTheme="minorHAnsi" w:hAnsi="EC Square Sans Cond Pro" w:cs="Avenir Next LT Pro"/>
          <w:i/>
          <w:noProof/>
          <w:sz w:val="22"/>
          <w:szCs w:val="22"/>
          <w:lang w:eastAsia="en-US"/>
        </w:rPr>
        <w:t>report (</w:t>
      </w:r>
      <w:r w:rsidR="007705C7" w:rsidRPr="00943992">
        <w:rPr>
          <w:rFonts w:ascii="EC Square Sans Cond Pro" w:eastAsiaTheme="minorHAnsi" w:hAnsi="EC Square Sans Cond Pro" w:cs="Avenir Next LT Pro"/>
          <w:i/>
          <w:noProof/>
          <w:sz w:val="22"/>
          <w:szCs w:val="22"/>
          <w:lang w:eastAsia="en-US"/>
        </w:rPr>
        <w:footnoteReference w:id="324"/>
      </w:r>
      <w:r w:rsidR="007705C7" w:rsidRPr="00943992">
        <w:rPr>
          <w:rFonts w:ascii="EC Square Sans Cond Pro" w:eastAsiaTheme="minorHAnsi" w:hAnsi="EC Square Sans Cond Pro" w:cs="Avenir Next LT Pro"/>
          <w:i/>
          <w:noProof/>
          <w:sz w:val="22"/>
          <w:szCs w:val="22"/>
          <w:lang w:eastAsia="en-US"/>
        </w:rPr>
        <w:t>)</w:t>
      </w:r>
    </w:p>
    <w:p w14:paraId="1A30399F" w14:textId="127D44FB" w:rsidR="007705C7" w:rsidRPr="007705C7" w:rsidRDefault="00363A89" w:rsidP="00916ACA">
      <w:pPr>
        <w:pStyle w:val="pf0"/>
        <w:jc w:val="both"/>
        <w:rPr>
          <w:noProof/>
        </w:rPr>
      </w:pPr>
      <w:r>
        <w:rPr>
          <w:noProof/>
        </w:rPr>
        <w:t>Contrary to coal mining, the</w:t>
      </w:r>
      <w:r w:rsidRPr="003C60DF">
        <w:rPr>
          <w:noProof/>
          <w:sz w:val="23"/>
          <w:szCs w:val="23"/>
        </w:rPr>
        <w:t xml:space="preserve"> mining of elements that are useful for the low-carbon transition (e.g. lithium</w:t>
      </w:r>
      <w:r>
        <w:rPr>
          <w:noProof/>
          <w:sz w:val="23"/>
          <w:szCs w:val="23"/>
        </w:rPr>
        <w:t xml:space="preserve"> used for batteries</w:t>
      </w:r>
      <w:r w:rsidRPr="003C60DF">
        <w:rPr>
          <w:noProof/>
          <w:sz w:val="23"/>
          <w:szCs w:val="23"/>
        </w:rPr>
        <w:t>)</w:t>
      </w:r>
      <w:r>
        <w:rPr>
          <w:noProof/>
          <w:sz w:val="23"/>
          <w:szCs w:val="23"/>
        </w:rPr>
        <w:t xml:space="preserve"> is a growing sector. </w:t>
      </w:r>
      <w:r>
        <w:rPr>
          <w:noProof/>
        </w:rPr>
        <w:t>Many of the EU’s regions have a history of raw materials extraction. The possibility to use former mining sites for the extraction or treatment of elements needed for the decarbonisation is worth being examined. It has the potential to create economic value and employment in historical mining regions, which are often declining as a consequence of deindustrialisation. This may be particularly the case for regions with deposits of high-volume commodities such as iron and copper, given these typically co-occur with critical raw materials</w:t>
      </w:r>
      <w:r w:rsidRPr="00E92D87">
        <w:rPr>
          <w:noProof/>
        </w:rPr>
        <w:t> (</w:t>
      </w:r>
      <w:r>
        <w:rPr>
          <w:rStyle w:val="FootnoteReference"/>
          <w:noProof/>
        </w:rPr>
        <w:footnoteReference w:id="325"/>
      </w:r>
      <w:r>
        <w:rPr>
          <w:noProof/>
        </w:rPr>
        <w:t xml:space="preserve">). </w:t>
      </w:r>
      <w:r w:rsidR="007705C7">
        <w:rPr>
          <w:noProof/>
        </w:rPr>
        <w:t>S</w:t>
      </w:r>
      <w:r w:rsidR="007705C7" w:rsidRPr="007705C7">
        <w:rPr>
          <w:noProof/>
        </w:rPr>
        <w:t xml:space="preserve">everal regions </w:t>
      </w:r>
      <w:r w:rsidR="007705C7">
        <w:rPr>
          <w:noProof/>
        </w:rPr>
        <w:t xml:space="preserve">who are not former coal mining regions </w:t>
      </w:r>
      <w:r w:rsidR="007705C7" w:rsidRPr="007705C7">
        <w:rPr>
          <w:noProof/>
        </w:rPr>
        <w:t>are considering new mining activities (</w:t>
      </w:r>
      <w:r w:rsidR="0076141F" w:rsidRPr="007705C7">
        <w:rPr>
          <w:noProof/>
        </w:rPr>
        <w:t>e.g.,</w:t>
      </w:r>
      <w:r w:rsidR="007705C7" w:rsidRPr="007705C7">
        <w:rPr>
          <w:noProof/>
        </w:rPr>
        <w:t xml:space="preserve"> Norte in Portugal)</w:t>
      </w:r>
      <w:r w:rsidR="007705C7">
        <w:rPr>
          <w:noProof/>
        </w:rPr>
        <w:t>.</w:t>
      </w:r>
    </w:p>
    <w:p w14:paraId="3950BBC6" w14:textId="6AA25410" w:rsidR="00363A89" w:rsidRPr="001E05A6" w:rsidRDefault="00363A89" w:rsidP="00363A89">
      <w:pPr>
        <w:rPr>
          <w:noProof/>
        </w:rPr>
      </w:pPr>
      <w:r>
        <w:rPr>
          <w:noProof/>
        </w:rPr>
        <w:t xml:space="preserve"> </w:t>
      </w:r>
      <w:r w:rsidRPr="001E05A6">
        <w:rPr>
          <w:noProof/>
        </w:rPr>
        <w:t xml:space="preserve">A downside of the mining of critical </w:t>
      </w:r>
      <w:r>
        <w:rPr>
          <w:noProof/>
        </w:rPr>
        <w:t xml:space="preserve">raw </w:t>
      </w:r>
      <w:r w:rsidRPr="001E05A6">
        <w:rPr>
          <w:noProof/>
        </w:rPr>
        <w:t>material</w:t>
      </w:r>
      <w:r>
        <w:rPr>
          <w:noProof/>
        </w:rPr>
        <w:t>s</w:t>
      </w:r>
      <w:r w:rsidRPr="001E05A6">
        <w:rPr>
          <w:noProof/>
        </w:rPr>
        <w:t xml:space="preserve"> is that it is highly capital intensive and account for a relatively small share of employment in the countries</w:t>
      </w:r>
      <w:r>
        <w:rPr>
          <w:noProof/>
        </w:rPr>
        <w:t>.</w:t>
      </w:r>
      <w:r w:rsidRPr="004D7D03">
        <w:rPr>
          <w:i/>
          <w:noProof/>
        </w:rPr>
        <w:t xml:space="preserve"> </w:t>
      </w:r>
      <w:r w:rsidRPr="00223B50">
        <w:rPr>
          <w:iCs/>
          <w:noProof/>
        </w:rPr>
        <w:t xml:space="preserve">It also </w:t>
      </w:r>
      <w:r>
        <w:rPr>
          <w:iCs/>
          <w:noProof/>
        </w:rPr>
        <w:t>imposes environmental costs</w:t>
      </w:r>
      <w:r w:rsidRPr="001E05A6">
        <w:rPr>
          <w:rFonts w:cs="Times New Roman"/>
          <w:noProof/>
        </w:rPr>
        <w:t xml:space="preserve"> (</w:t>
      </w:r>
      <w:r w:rsidRPr="001E05A6">
        <w:rPr>
          <w:rStyle w:val="FootnoteReference"/>
          <w:noProof/>
        </w:rPr>
        <w:footnoteReference w:id="326"/>
      </w:r>
      <w:r w:rsidRPr="001E05A6">
        <w:rPr>
          <w:rFonts w:cs="Times New Roman"/>
          <w:noProof/>
        </w:rPr>
        <w:t>)</w:t>
      </w:r>
      <w:r w:rsidRPr="004D7D03">
        <w:rPr>
          <w:i/>
          <w:noProof/>
        </w:rPr>
        <w:t xml:space="preserve">. </w:t>
      </w:r>
    </w:p>
    <w:p w14:paraId="02133B8E" w14:textId="58F4C22B" w:rsidR="00363A89" w:rsidRDefault="00363A89" w:rsidP="00363A89">
      <w:pPr>
        <w:rPr>
          <w:noProof/>
        </w:rPr>
      </w:pPr>
      <w:r>
        <w:rPr>
          <w:rFonts w:eastAsia="Yu Gothic Light" w:cs="Yu Gothic Light"/>
          <w:noProof/>
        </w:rPr>
        <w:t xml:space="preserve">The innovation capacities, the level of instruction, and the quality of infrastructure are examples of parameters that contribute to the preparedness of the regions for the transition. Regarding innovation, the ten regions that have contributed the most to the total number of patent application to the European Patent Office in the fields of climate change, environment, resource efficiency and materials over the period 2000-2018 are Île de France (FR), </w:t>
      </w:r>
      <w:r>
        <w:rPr>
          <w:noProof/>
        </w:rPr>
        <w:t>Cataluña (ES),</w:t>
      </w:r>
      <w:r w:rsidRPr="00DA50E0">
        <w:rPr>
          <w:noProof/>
        </w:rPr>
        <w:t xml:space="preserve"> </w:t>
      </w:r>
      <w:r>
        <w:rPr>
          <w:noProof/>
        </w:rPr>
        <w:t>Andalucía (ES), Comunidad de Madrid (ES), Lombardia (IT), Lazio (IT), Oberbayern (DE), Hovedstaden (DE), Zuid-Holland (NL), and Helsinki-Uusimaa (FI)</w:t>
      </w:r>
      <w:r w:rsidRPr="00DA50E0">
        <w:rPr>
          <w:rFonts w:cs="Times New Roman"/>
          <w:noProof/>
        </w:rPr>
        <w:t> (</w:t>
      </w:r>
      <w:r>
        <w:rPr>
          <w:rStyle w:val="FootnoteReference"/>
          <w:noProof/>
        </w:rPr>
        <w:footnoteReference w:id="327"/>
      </w:r>
      <w:r>
        <w:rPr>
          <w:rFonts w:cs="Times New Roman"/>
          <w:noProof/>
        </w:rPr>
        <w:t>)</w:t>
      </w:r>
      <w:r>
        <w:rPr>
          <w:noProof/>
        </w:rPr>
        <w:t xml:space="preserve">. </w:t>
      </w:r>
      <w:r>
        <w:rPr>
          <w:rFonts w:eastAsia="Yu Gothic Light" w:cs="Yu Gothic Light"/>
          <w:noProof/>
        </w:rPr>
        <w:t>The study by Maucorps et al. (2022)</w:t>
      </w:r>
      <w:r w:rsidRPr="007D1A09">
        <w:rPr>
          <w:rFonts w:eastAsia="Yu Gothic Light"/>
          <w:noProof/>
        </w:rPr>
        <w:t> (</w:t>
      </w:r>
      <w:r>
        <w:rPr>
          <w:rStyle w:val="FootnoteReference"/>
          <w:rFonts w:eastAsia="Yu Gothic Light" w:cs="Yu Gothic Light"/>
          <w:noProof/>
        </w:rPr>
        <w:footnoteReference w:id="328"/>
      </w:r>
      <w:r>
        <w:rPr>
          <w:rFonts w:eastAsia="Yu Gothic Light"/>
          <w:noProof/>
        </w:rPr>
        <w:t>)</w:t>
      </w:r>
      <w:r>
        <w:rPr>
          <w:rFonts w:eastAsia="Yu Gothic Light" w:cs="Yu Gothic Light"/>
          <w:noProof/>
        </w:rPr>
        <w:t xml:space="preserve"> provides indicators of the regional readiness for the green transition (</w:t>
      </w:r>
      <w:r w:rsidR="00EB75EE">
        <w:rPr>
          <w:rFonts w:eastAsia="Yu Gothic Light" w:cs="Yu Gothic Light"/>
          <w:noProof/>
        </w:rPr>
        <w:fldChar w:fldCharType="begin"/>
      </w:r>
      <w:r w:rsidR="00EB75EE">
        <w:rPr>
          <w:rFonts w:eastAsia="Yu Gothic Light" w:cs="Yu Gothic Light"/>
          <w:noProof/>
        </w:rPr>
        <w:instrText xml:space="preserve"> REF _Ref157679723 \h </w:instrText>
      </w:r>
      <w:r w:rsidR="00EB75EE">
        <w:rPr>
          <w:rFonts w:eastAsia="Yu Gothic Light" w:cs="Yu Gothic Light"/>
          <w:noProof/>
        </w:rPr>
      </w:r>
      <w:r w:rsidR="00EB75EE">
        <w:rPr>
          <w:rFonts w:eastAsia="Yu Gothic Light" w:cs="Yu Gothic Light"/>
          <w:noProof/>
        </w:rPr>
        <w:fldChar w:fldCharType="separate"/>
      </w:r>
      <w:r w:rsidR="00EB75EE">
        <w:rPr>
          <w:noProof/>
        </w:rPr>
        <w:t>Figure 132</w:t>
      </w:r>
      <w:r w:rsidR="00EB75EE">
        <w:rPr>
          <w:rFonts w:eastAsia="Yu Gothic Light" w:cs="Yu Gothic Light"/>
          <w:noProof/>
        </w:rPr>
        <w:fldChar w:fldCharType="end"/>
      </w:r>
      <w:r>
        <w:rPr>
          <w:rFonts w:eastAsia="Yu Gothic Light" w:cs="Yu Gothic Light"/>
          <w:noProof/>
        </w:rPr>
        <w:fldChar w:fldCharType="begin"/>
      </w:r>
      <w:r>
        <w:rPr>
          <w:rFonts w:eastAsia="Yu Gothic Light" w:cs="Yu Gothic Light"/>
          <w:noProof/>
        </w:rPr>
        <w:instrText xml:space="preserve"> REF _Ref141887883 \h </w:instrText>
      </w:r>
      <w:r>
        <w:rPr>
          <w:rFonts w:eastAsia="Yu Gothic Light" w:cs="Yu Gothic Light"/>
          <w:noProof/>
        </w:rPr>
      </w:r>
      <w:r>
        <w:rPr>
          <w:rFonts w:eastAsia="Yu Gothic Light" w:cs="Yu Gothic Light"/>
          <w:noProof/>
        </w:rPr>
        <w:fldChar w:fldCharType="end"/>
      </w:r>
      <w:r>
        <w:rPr>
          <w:rFonts w:eastAsia="Yu Gothic Light" w:cs="Yu Gothic Light"/>
          <w:noProof/>
        </w:rPr>
        <w:t xml:space="preserve">). </w:t>
      </w:r>
      <w:r>
        <w:rPr>
          <w:noProof/>
        </w:rPr>
        <w:t>The b</w:t>
      </w:r>
      <w:r w:rsidRPr="0043499A">
        <w:rPr>
          <w:noProof/>
        </w:rPr>
        <w:t xml:space="preserve">est prepared regions are mainly metropolitan regions specialised </w:t>
      </w:r>
      <w:r>
        <w:rPr>
          <w:noProof/>
        </w:rPr>
        <w:t>i</w:t>
      </w:r>
      <w:r w:rsidRPr="0043499A">
        <w:rPr>
          <w:noProof/>
        </w:rPr>
        <w:t>n knowledge-intens</w:t>
      </w:r>
      <w:r>
        <w:rPr>
          <w:noProof/>
        </w:rPr>
        <w:t>ive</w:t>
      </w:r>
      <w:r w:rsidRPr="0043499A">
        <w:rPr>
          <w:noProof/>
        </w:rPr>
        <w:t xml:space="preserve"> services while rural ones have lower growth potential</w:t>
      </w:r>
      <w:r>
        <w:rPr>
          <w:noProof/>
        </w:rPr>
        <w:t>.</w:t>
      </w:r>
      <w:r w:rsidRPr="0043499A">
        <w:rPr>
          <w:noProof/>
        </w:rPr>
        <w:t xml:space="preserve"> </w:t>
      </w:r>
      <w:r>
        <w:rPr>
          <w:rFonts w:eastAsia="Yu Gothic Light" w:cs="Yu Gothic Light"/>
          <w:noProof/>
        </w:rPr>
        <w:t xml:space="preserve">In regions such as Madrid (ES) and Attica (EL), a high potential for economic growth might be further increased by the green transition while in others such as Sicilia (IT) or Bourgogne (FR) </w:t>
      </w:r>
      <w:r>
        <w:rPr>
          <w:noProof/>
        </w:rPr>
        <w:t>an already low</w:t>
      </w:r>
      <w:r w:rsidRPr="0043499A">
        <w:rPr>
          <w:noProof/>
        </w:rPr>
        <w:t xml:space="preserve"> potential for economic growth </w:t>
      </w:r>
      <w:r>
        <w:rPr>
          <w:noProof/>
        </w:rPr>
        <w:t xml:space="preserve">might be </w:t>
      </w:r>
      <w:r w:rsidRPr="0043499A">
        <w:rPr>
          <w:noProof/>
        </w:rPr>
        <w:t xml:space="preserve">further </w:t>
      </w:r>
      <w:r>
        <w:rPr>
          <w:noProof/>
        </w:rPr>
        <w:t>reduced</w:t>
      </w:r>
      <w:r w:rsidRPr="0043499A">
        <w:rPr>
          <w:noProof/>
        </w:rPr>
        <w:t xml:space="preserve"> by the green transition</w:t>
      </w:r>
      <w:r w:rsidRPr="007233E8">
        <w:rPr>
          <w:noProof/>
        </w:rPr>
        <w:t>.</w:t>
      </w:r>
      <w:r w:rsidRPr="0043499A">
        <w:rPr>
          <w:noProof/>
        </w:rPr>
        <w:t xml:space="preserve"> </w:t>
      </w:r>
    </w:p>
    <w:p w14:paraId="36E068F0" w14:textId="0ECE15C5" w:rsidR="00363A89" w:rsidRPr="0043499A" w:rsidRDefault="003165D5" w:rsidP="00363A89">
      <w:pPr>
        <w:pStyle w:val="Caption"/>
        <w:rPr>
          <w:noProof/>
        </w:rPr>
      </w:pPr>
      <w:bookmarkStart w:id="834" w:name="_Ref141887883"/>
      <w:bookmarkStart w:id="835" w:name="_Ref157679723"/>
      <w:bookmarkStart w:id="836" w:name="_Toc157679880"/>
      <w:bookmarkStart w:id="837" w:name="_Ref141887735"/>
      <w:r w:rsidRPr="00E2670E">
        <w:rPr>
          <w:noProof/>
          <w:lang w:eastAsia="en-GB"/>
        </w:rPr>
        <w:drawing>
          <wp:anchor distT="0" distB="0" distL="114300" distR="114300" simplePos="0" relativeHeight="251658240" behindDoc="0" locked="0" layoutInCell="1" allowOverlap="1" wp14:anchorId="3895932B" wp14:editId="7CF4AFC2">
            <wp:simplePos x="0" y="0"/>
            <wp:positionH relativeFrom="column">
              <wp:posOffset>2738755</wp:posOffset>
            </wp:positionH>
            <wp:positionV relativeFrom="paragraph">
              <wp:posOffset>657860</wp:posOffset>
            </wp:positionV>
            <wp:extent cx="2643505" cy="2762250"/>
            <wp:effectExtent l="0" t="0" r="4445" b="0"/>
            <wp:wrapTopAndBottom/>
            <wp:docPr id="1406946495" name="Picture 1406946495" descr="Map&#10;&#10;Description automatically generated">
              <a:extLst xmlns:a="http://schemas.openxmlformats.org/drawingml/2006/main">
                <a:ext uri="{FF2B5EF4-FFF2-40B4-BE49-F238E27FC236}">
                  <a16:creationId xmlns:a16="http://schemas.microsoft.com/office/drawing/2014/main" id="{D909A0E3-1054-EE51-36F3-A3FB55286D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Map&#10;&#10;Description automatically generated">
                      <a:extLst>
                        <a:ext uri="{FF2B5EF4-FFF2-40B4-BE49-F238E27FC236}">
                          <a16:creationId xmlns:a16="http://schemas.microsoft.com/office/drawing/2014/main" id="{D909A0E3-1054-EE51-36F3-A3FB55286D54}"/>
                        </a:ext>
                      </a:extLst>
                    </pic:cNvPr>
                    <pic:cNvPicPr>
                      <a:picLocks noChangeAspect="1"/>
                    </pic:cNvPicPr>
                  </pic:nvPicPr>
                  <pic:blipFill>
                    <a:blip r:embed="rId233" cstate="print">
                      <a:extLst>
                        <a:ext uri="{28A0092B-C50C-407E-A947-70E740481C1C}">
                          <a14:useLocalDpi xmlns:a14="http://schemas.microsoft.com/office/drawing/2010/main" val="0"/>
                        </a:ext>
                      </a:extLst>
                    </a:blip>
                    <a:stretch>
                      <a:fillRect/>
                    </a:stretch>
                  </pic:blipFill>
                  <pic:spPr>
                    <a:xfrm>
                      <a:off x="0" y="0"/>
                      <a:ext cx="2643505" cy="2762250"/>
                    </a:xfrm>
                    <a:prstGeom prst="rect">
                      <a:avLst/>
                    </a:prstGeom>
                  </pic:spPr>
                </pic:pic>
              </a:graphicData>
            </a:graphic>
            <wp14:sizeRelH relativeFrom="margin">
              <wp14:pctWidth>0</wp14:pctWidth>
            </wp14:sizeRelH>
            <wp14:sizeRelV relativeFrom="margin">
              <wp14:pctHeight>0</wp14:pctHeight>
            </wp14:sizeRelV>
          </wp:anchor>
        </w:drawing>
      </w:r>
      <w:r w:rsidRPr="00E2670E">
        <w:rPr>
          <w:noProof/>
          <w:lang w:eastAsia="en-GB"/>
        </w:rPr>
        <w:drawing>
          <wp:anchor distT="0" distB="0" distL="114300" distR="114300" simplePos="0" relativeHeight="251658241" behindDoc="0" locked="0" layoutInCell="1" allowOverlap="1" wp14:anchorId="56682878" wp14:editId="1F67001D">
            <wp:simplePos x="0" y="0"/>
            <wp:positionH relativeFrom="column">
              <wp:posOffset>54610</wp:posOffset>
            </wp:positionH>
            <wp:positionV relativeFrom="paragraph">
              <wp:posOffset>657860</wp:posOffset>
            </wp:positionV>
            <wp:extent cx="2643505" cy="2762250"/>
            <wp:effectExtent l="0" t="0" r="4445" b="0"/>
            <wp:wrapTopAndBottom/>
            <wp:docPr id="363790921" name="Picture 363790921" descr="Map&#10;&#10;Description automatically generated">
              <a:extLst xmlns:a="http://schemas.openxmlformats.org/drawingml/2006/main">
                <a:ext uri="{FF2B5EF4-FFF2-40B4-BE49-F238E27FC236}">
                  <a16:creationId xmlns:a16="http://schemas.microsoft.com/office/drawing/2014/main" id="{82644768-D165-3FBB-0656-48D9B310CC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Map&#10;&#10;Description automatically generated">
                      <a:extLst>
                        <a:ext uri="{FF2B5EF4-FFF2-40B4-BE49-F238E27FC236}">
                          <a16:creationId xmlns:a16="http://schemas.microsoft.com/office/drawing/2014/main" id="{82644768-D165-3FBB-0656-48D9B310CC60}"/>
                        </a:ext>
                      </a:extLst>
                    </pic:cNvPr>
                    <pic:cNvPicPr>
                      <a:picLocks noChangeAspect="1"/>
                    </pic:cNvPicPr>
                  </pic:nvPicPr>
                  <pic:blipFill>
                    <a:blip r:embed="rId234" cstate="print">
                      <a:extLst>
                        <a:ext uri="{28A0092B-C50C-407E-A947-70E740481C1C}">
                          <a14:useLocalDpi xmlns:a14="http://schemas.microsoft.com/office/drawing/2010/main" val="0"/>
                        </a:ext>
                      </a:extLst>
                    </a:blip>
                    <a:stretch>
                      <a:fillRect/>
                    </a:stretch>
                  </pic:blipFill>
                  <pic:spPr>
                    <a:xfrm>
                      <a:off x="0" y="0"/>
                      <a:ext cx="2643505" cy="2762250"/>
                    </a:xfrm>
                    <a:prstGeom prst="rect">
                      <a:avLst/>
                    </a:prstGeom>
                  </pic:spPr>
                </pic:pic>
              </a:graphicData>
            </a:graphic>
            <wp14:sizeRelH relativeFrom="margin">
              <wp14:pctWidth>0</wp14:pctWidth>
            </wp14:sizeRelH>
            <wp14:sizeRelV relativeFrom="margin">
              <wp14:pctHeight>0</wp14:pctHeight>
            </wp14:sizeRelV>
          </wp:anchor>
        </w:drawing>
      </w:r>
      <w:r w:rsidR="00363A89">
        <w:rPr>
          <w:noProof/>
        </w:rPr>
        <w:t xml:space="preserve">Figure </w:t>
      </w:r>
      <w:bookmarkEnd w:id="834"/>
      <w:r w:rsidR="00F2742D">
        <w:rPr>
          <w:noProof/>
        </w:rPr>
        <w:fldChar w:fldCharType="begin"/>
      </w:r>
      <w:r w:rsidR="00F2742D">
        <w:rPr>
          <w:noProof/>
        </w:rPr>
        <w:instrText xml:space="preserve"> SEQ Figure \* ARABIC </w:instrText>
      </w:r>
      <w:r w:rsidR="00F2742D">
        <w:rPr>
          <w:noProof/>
        </w:rPr>
        <w:fldChar w:fldCharType="separate"/>
      </w:r>
      <w:r w:rsidR="00170A3C">
        <w:rPr>
          <w:noProof/>
        </w:rPr>
        <w:t>132</w:t>
      </w:r>
      <w:r w:rsidR="00F2742D">
        <w:rPr>
          <w:noProof/>
        </w:rPr>
        <w:fldChar w:fldCharType="end"/>
      </w:r>
      <w:bookmarkEnd w:id="835"/>
      <w:r w:rsidR="00363A89">
        <w:rPr>
          <w:noProof/>
        </w:rPr>
        <w:t>: Regional readiness for the green transition and correlation with growth potential</w:t>
      </w:r>
      <w:bookmarkEnd w:id="836"/>
      <w:r w:rsidR="00363A89">
        <w:rPr>
          <w:noProof/>
        </w:rPr>
        <w:t xml:space="preserve"> </w:t>
      </w:r>
      <w:bookmarkEnd w:id="837"/>
    </w:p>
    <w:p w14:paraId="5A269B6D" w14:textId="3319413E" w:rsidR="00363A89" w:rsidRPr="00E2670E" w:rsidRDefault="00363A89" w:rsidP="008D3361">
      <w:pPr>
        <w:pStyle w:val="CT-SOURCE"/>
        <w:rPr>
          <w:noProof/>
        </w:rPr>
      </w:pPr>
      <w:r w:rsidRPr="00E2670E">
        <w:rPr>
          <w:noProof/>
        </w:rPr>
        <w:t>Source: Bertelsmann Stiftung</w:t>
      </w:r>
    </w:p>
    <w:p w14:paraId="6B642512" w14:textId="11D3F594" w:rsidR="00BC3155" w:rsidRPr="00320D70" w:rsidRDefault="00363A89" w:rsidP="00916ACA">
      <w:pPr>
        <w:keepNext/>
        <w:spacing w:line="270" w:lineRule="exact"/>
        <w:rPr>
          <w:noProof/>
          <w:color w:val="000000" w:themeColor="text1"/>
        </w:rPr>
      </w:pPr>
      <w:r>
        <w:rPr>
          <w:noProof/>
          <w:sz w:val="23"/>
          <w:szCs w:val="23"/>
        </w:rPr>
        <w:t>The climate transition will have heterogenous consequences for the EU’s regions.</w:t>
      </w:r>
      <w:r>
        <w:rPr>
          <w:noProof/>
        </w:rPr>
        <w:t xml:space="preserve"> It will both lead to new challenges and opportunities. For instance, the few EU regions significantly exposed to declining sector</w:t>
      </w:r>
      <w:r w:rsidRPr="0043499A">
        <w:rPr>
          <w:noProof/>
        </w:rPr>
        <w:t xml:space="preserve">s </w:t>
      </w:r>
      <w:r>
        <w:rPr>
          <w:noProof/>
        </w:rPr>
        <w:t xml:space="preserve">and the more numerous regions which rely on energy intensive industries and sectors affected </w:t>
      </w:r>
      <w:r w:rsidRPr="0039769A">
        <w:rPr>
          <w:noProof/>
        </w:rPr>
        <w:t xml:space="preserve">most by the transition </w:t>
      </w:r>
      <w:r>
        <w:rPr>
          <w:noProof/>
        </w:rPr>
        <w:t>will likely</w:t>
      </w:r>
      <w:r w:rsidRPr="0039769A">
        <w:rPr>
          <w:noProof/>
        </w:rPr>
        <w:t xml:space="preserve"> be more </w:t>
      </w:r>
      <w:r>
        <w:rPr>
          <w:noProof/>
        </w:rPr>
        <w:t xml:space="preserve">negatively </w:t>
      </w:r>
      <w:r w:rsidRPr="0039769A">
        <w:rPr>
          <w:noProof/>
        </w:rPr>
        <w:t>impacted</w:t>
      </w:r>
      <w:r>
        <w:rPr>
          <w:noProof/>
        </w:rPr>
        <w:t xml:space="preserve"> by the transition. In s</w:t>
      </w:r>
      <w:r>
        <w:rPr>
          <w:noProof/>
          <w:sz w:val="23"/>
          <w:szCs w:val="23"/>
        </w:rPr>
        <w:t xml:space="preserve">uch regions and territories, the employees from these sectors will have a higher need of reskilling. </w:t>
      </w:r>
      <w:r>
        <w:rPr>
          <w:noProof/>
        </w:rPr>
        <w:t>On the other hand, regions will be able to take advantage of new opportunities offered by the transition. This is particularly the case for r</w:t>
      </w:r>
      <w:r w:rsidRPr="0043499A">
        <w:rPr>
          <w:noProof/>
        </w:rPr>
        <w:t>egions with higher level</w:t>
      </w:r>
      <w:r>
        <w:rPr>
          <w:noProof/>
        </w:rPr>
        <w:t>s</w:t>
      </w:r>
      <w:r w:rsidRPr="0043499A">
        <w:rPr>
          <w:noProof/>
        </w:rPr>
        <w:t xml:space="preserve"> of innovation</w:t>
      </w:r>
      <w:r>
        <w:rPr>
          <w:noProof/>
        </w:rPr>
        <w:t xml:space="preserve"> capacities, which are</w:t>
      </w:r>
      <w:r w:rsidRPr="0043499A">
        <w:rPr>
          <w:noProof/>
        </w:rPr>
        <w:t xml:space="preserve"> likely to profit more from the transition </w:t>
      </w:r>
      <w:r w:rsidRPr="00320D70">
        <w:rPr>
          <w:noProof/>
        </w:rPr>
        <w:t xml:space="preserve">than their less-innovative peers. But </w:t>
      </w:r>
      <w:r w:rsidR="0076141F" w:rsidRPr="00320D70">
        <w:rPr>
          <w:noProof/>
        </w:rPr>
        <w:t>also,</w:t>
      </w:r>
      <w:r w:rsidRPr="00320D70">
        <w:rPr>
          <w:noProof/>
        </w:rPr>
        <w:t xml:space="preserve"> the numerous EU regions with an excess of RES electricity potential can benefit from the transition, for example by developing green hydrogen production. While some extractive facilities have to close, others can be developed for the mining of critical raw materials.</w:t>
      </w:r>
      <w:r w:rsidR="00660DD2" w:rsidRPr="00320D70">
        <w:rPr>
          <w:noProof/>
        </w:rPr>
        <w:t xml:space="preserve"> The transition to a low carbon economy might widen disparities between regions (</w:t>
      </w:r>
      <w:r w:rsidR="00660DD2" w:rsidRPr="00320D70">
        <w:rPr>
          <w:rStyle w:val="FootnoteReference"/>
          <w:noProof/>
        </w:rPr>
        <w:footnoteReference w:id="329"/>
      </w:r>
      <w:r w:rsidR="00660DD2" w:rsidRPr="00320D70">
        <w:rPr>
          <w:noProof/>
        </w:rPr>
        <w:t>). Other EU policies such as the cohesion policy play an important role to address this.</w:t>
      </w:r>
      <w:r w:rsidRPr="00320D70">
        <w:rPr>
          <w:noProof/>
        </w:rPr>
        <w:t xml:space="preserve"> Annex 9</w:t>
      </w:r>
      <w:r w:rsidR="00986593" w:rsidRPr="00320D70">
        <w:rPr>
          <w:noProof/>
        </w:rPr>
        <w:t xml:space="preserve"> </w:t>
      </w:r>
      <w:r w:rsidRPr="00320D70">
        <w:rPr>
          <w:noProof/>
        </w:rPr>
        <w:t>provides examples of EU and national measures and programmes that can support regions for the transition.</w:t>
      </w:r>
    </w:p>
    <w:p w14:paraId="55C93D5E" w14:textId="37323E11" w:rsidR="00DD6070" w:rsidRPr="00320D70" w:rsidRDefault="000A3767" w:rsidP="00B65E61">
      <w:pPr>
        <w:pStyle w:val="Heading2"/>
        <w:rPr>
          <w:noProof/>
        </w:rPr>
      </w:pPr>
      <w:bookmarkStart w:id="838" w:name="_Toc148605660"/>
      <w:bookmarkStart w:id="839" w:name="_Toc157692109"/>
      <w:r w:rsidRPr="00320D70">
        <w:rPr>
          <w:noProof/>
        </w:rPr>
        <w:t>Energy security</w:t>
      </w:r>
      <w:bookmarkEnd w:id="838"/>
      <w:bookmarkEnd w:id="839"/>
    </w:p>
    <w:p w14:paraId="650D91A2" w14:textId="1D83D743" w:rsidR="00DD6070" w:rsidRPr="00320D70" w:rsidRDefault="00DD6070" w:rsidP="00B65E61">
      <w:pPr>
        <w:pStyle w:val="Heading3"/>
        <w:rPr>
          <w:noProof/>
        </w:rPr>
      </w:pPr>
      <w:bookmarkStart w:id="840" w:name="_Hlk141780285"/>
      <w:bookmarkStart w:id="841" w:name="_Toc148605661"/>
      <w:bookmarkStart w:id="842" w:name="_Toc157692110"/>
      <w:r w:rsidRPr="00320D70">
        <w:rPr>
          <w:noProof/>
        </w:rPr>
        <w:t>Strategic independence and fuel imports – energy security</w:t>
      </w:r>
      <w:bookmarkEnd w:id="840"/>
      <w:r w:rsidR="00320D70" w:rsidRPr="00320D70">
        <w:rPr>
          <w:noProof/>
        </w:rPr>
        <w:t xml:space="preserve"> (</w:t>
      </w:r>
      <w:r w:rsidR="00320D70" w:rsidRPr="00320D70">
        <w:rPr>
          <w:rStyle w:val="FootnoteReference"/>
          <w:noProof/>
        </w:rPr>
        <w:footnoteReference w:id="330"/>
      </w:r>
      <w:r w:rsidR="00320D70" w:rsidRPr="00320D70">
        <w:rPr>
          <w:noProof/>
        </w:rPr>
        <w:t>)</w:t>
      </w:r>
      <w:bookmarkEnd w:id="841"/>
      <w:bookmarkEnd w:id="842"/>
    </w:p>
    <w:p w14:paraId="51F0C637" w14:textId="6B86A2C1" w:rsidR="00DD6DE1" w:rsidRPr="00DD6DE1" w:rsidRDefault="00DD6DE1" w:rsidP="00706C87">
      <w:pPr>
        <w:pStyle w:val="Caption"/>
        <w:rPr>
          <w:rFonts w:cs="Times New Roman,Italic"/>
          <w:b w:val="0"/>
          <w:noProof/>
          <w:sz w:val="24"/>
          <w:szCs w:val="24"/>
        </w:rPr>
      </w:pPr>
      <w:r w:rsidRPr="00320D70">
        <w:rPr>
          <w:rFonts w:cs="Times New Roman,Italic"/>
          <w:b w:val="0"/>
          <w:noProof/>
          <w:sz w:val="24"/>
          <w:szCs w:val="24"/>
        </w:rPr>
        <w:t xml:space="preserve">Imports of fossil fuels have historically weighed heavily on the EU’s trade balance. On average in 2000-2021, </w:t>
      </w:r>
      <w:r w:rsidR="00CC6D90">
        <w:rPr>
          <w:rFonts w:cs="Times New Roman,Italic"/>
          <w:b w:val="0"/>
          <w:noProof/>
          <w:sz w:val="24"/>
          <w:szCs w:val="24"/>
        </w:rPr>
        <w:t xml:space="preserve">gross imports of fossil fuels </w:t>
      </w:r>
      <w:r w:rsidRPr="00320D70">
        <w:rPr>
          <w:rFonts w:cs="Times New Roman,Italic"/>
          <w:b w:val="0"/>
          <w:noProof/>
          <w:sz w:val="24"/>
          <w:szCs w:val="24"/>
        </w:rPr>
        <w:t>represented about 2</w:t>
      </w:r>
      <w:r w:rsidR="004043D8">
        <w:rPr>
          <w:rFonts w:cs="Times New Roman,Italic"/>
          <w:b w:val="0"/>
          <w:noProof/>
          <w:sz w:val="24"/>
          <w:szCs w:val="24"/>
        </w:rPr>
        <w:t>0</w:t>
      </w:r>
      <w:r w:rsidRPr="00320D70">
        <w:rPr>
          <w:rFonts w:cs="Times New Roman,Italic"/>
          <w:b w:val="0"/>
          <w:noProof/>
          <w:sz w:val="24"/>
          <w:szCs w:val="24"/>
        </w:rPr>
        <w:t xml:space="preserve">% of total merchandise imports, equivalent to 2.8% of GDP. With the surge in energy prices in 2022, </w:t>
      </w:r>
      <w:r w:rsidR="004043D8">
        <w:rPr>
          <w:rFonts w:cs="Times New Roman,Italic"/>
          <w:b w:val="0"/>
          <w:noProof/>
          <w:sz w:val="24"/>
          <w:szCs w:val="24"/>
        </w:rPr>
        <w:t xml:space="preserve">gross </w:t>
      </w:r>
      <w:r w:rsidRPr="00320D70">
        <w:rPr>
          <w:rFonts w:cs="Times New Roman,Italic"/>
          <w:b w:val="0"/>
          <w:noProof/>
          <w:sz w:val="24"/>
          <w:szCs w:val="24"/>
        </w:rPr>
        <w:t>fossil fuel</w:t>
      </w:r>
      <w:r w:rsidRPr="00DD6DE1">
        <w:rPr>
          <w:rFonts w:cs="Times New Roman,Italic"/>
          <w:b w:val="0"/>
          <w:noProof/>
          <w:sz w:val="24"/>
          <w:szCs w:val="24"/>
        </w:rPr>
        <w:t xml:space="preserve"> imports rose to more than EUR 800 billion, equivalent to 5.1% of GDP and 26.9% of merchandise imports, the highest level in the past two decades</w:t>
      </w:r>
      <w:r w:rsidR="004043D8">
        <w:rPr>
          <w:rFonts w:cs="Times New Roman,Italic"/>
          <w:b w:val="0"/>
          <w:noProof/>
          <w:sz w:val="24"/>
          <w:szCs w:val="24"/>
        </w:rPr>
        <w:t xml:space="preserve"> relative to GDP</w:t>
      </w:r>
      <w:r w:rsidRPr="00DD6DE1">
        <w:rPr>
          <w:rFonts w:cs="Times New Roman,Italic"/>
          <w:b w:val="0"/>
          <w:noProof/>
          <w:sz w:val="24"/>
          <w:szCs w:val="24"/>
        </w:rPr>
        <w:t>.</w:t>
      </w:r>
      <w:r w:rsidR="004043D8">
        <w:rPr>
          <w:rFonts w:cs="Times New Roman,Italic"/>
          <w:b w:val="0"/>
          <w:noProof/>
          <w:sz w:val="24"/>
          <w:szCs w:val="24"/>
        </w:rPr>
        <w:t xml:space="preserve"> On a net basis (imports minus exports), fossil fuel </w:t>
      </w:r>
      <w:r w:rsidR="00C04038">
        <w:rPr>
          <w:rFonts w:cs="Times New Roman,Italic"/>
          <w:b w:val="0"/>
          <w:noProof/>
          <w:sz w:val="24"/>
          <w:szCs w:val="24"/>
        </w:rPr>
        <w:t>imports</w:t>
      </w:r>
      <w:r w:rsidR="004043D8">
        <w:rPr>
          <w:rFonts w:cs="Times New Roman,Italic"/>
          <w:b w:val="0"/>
          <w:noProof/>
          <w:sz w:val="24"/>
          <w:szCs w:val="24"/>
        </w:rPr>
        <w:t xml:space="preserve"> represented EUR 640 billion in 2022 or 4.1% of GDP, compared to an average of 2.2% of GDP in 2000-</w:t>
      </w:r>
      <w:r w:rsidR="004043D8" w:rsidRPr="00FE2A3B">
        <w:rPr>
          <w:rFonts w:cs="Times New Roman,Italic"/>
          <w:b w:val="0"/>
          <w:noProof/>
          <w:sz w:val="24"/>
          <w:szCs w:val="24"/>
        </w:rPr>
        <w:t>2021 (</w:t>
      </w:r>
      <w:r w:rsidR="004043D8" w:rsidRPr="00FE2A3B">
        <w:rPr>
          <w:rFonts w:cs="Times New Roman,Italic"/>
          <w:b w:val="0"/>
          <w:noProof/>
          <w:sz w:val="24"/>
          <w:szCs w:val="24"/>
        </w:rPr>
        <w:fldChar w:fldCharType="begin"/>
      </w:r>
      <w:r w:rsidR="004043D8" w:rsidRPr="00FE2A3B">
        <w:rPr>
          <w:rFonts w:cs="Times New Roman,Italic"/>
          <w:b w:val="0"/>
          <w:noProof/>
          <w:sz w:val="24"/>
          <w:szCs w:val="24"/>
        </w:rPr>
        <w:instrText xml:space="preserve"> REF _Ref147733506 \h </w:instrText>
      </w:r>
      <w:r w:rsidR="00FE2A3B" w:rsidRPr="00FE2A3B">
        <w:rPr>
          <w:rFonts w:cs="Times New Roman,Italic"/>
          <w:b w:val="0"/>
          <w:noProof/>
          <w:sz w:val="24"/>
          <w:szCs w:val="24"/>
        </w:rPr>
        <w:instrText xml:space="preserve"> \* MERGEFORMAT </w:instrText>
      </w:r>
      <w:r w:rsidR="004043D8" w:rsidRPr="00FE2A3B">
        <w:rPr>
          <w:rFonts w:cs="Times New Roman,Italic"/>
          <w:b w:val="0"/>
          <w:noProof/>
          <w:sz w:val="24"/>
          <w:szCs w:val="24"/>
        </w:rPr>
      </w:r>
      <w:r w:rsidR="004043D8" w:rsidRPr="00FE2A3B">
        <w:rPr>
          <w:rFonts w:cs="Times New Roman,Italic"/>
          <w:b w:val="0"/>
          <w:noProof/>
          <w:sz w:val="24"/>
          <w:szCs w:val="24"/>
        </w:rPr>
        <w:fldChar w:fldCharType="separate"/>
      </w:r>
      <w:r w:rsidR="00170A3C" w:rsidRPr="00170A3C">
        <w:rPr>
          <w:b w:val="0"/>
          <w:noProof/>
          <w:lang w:val="en-IE"/>
        </w:rPr>
        <w:t>Figure 133</w:t>
      </w:r>
      <w:r w:rsidR="004043D8" w:rsidRPr="00FE2A3B">
        <w:rPr>
          <w:rFonts w:cs="Times New Roman,Italic"/>
          <w:b w:val="0"/>
          <w:noProof/>
          <w:sz w:val="24"/>
          <w:szCs w:val="24"/>
        </w:rPr>
        <w:fldChar w:fldCharType="end"/>
      </w:r>
      <w:r w:rsidR="004043D8" w:rsidRPr="00FE2A3B">
        <w:rPr>
          <w:rFonts w:cs="Times New Roman,Italic"/>
          <w:b w:val="0"/>
          <w:noProof/>
          <w:sz w:val="24"/>
          <w:szCs w:val="24"/>
        </w:rPr>
        <w:t>).</w:t>
      </w:r>
    </w:p>
    <w:p w14:paraId="5B94FE22" w14:textId="0F44E6D0" w:rsidR="00706C87" w:rsidRPr="001139FF" w:rsidRDefault="00706C87" w:rsidP="00706C87">
      <w:pPr>
        <w:pStyle w:val="Caption"/>
        <w:rPr>
          <w:noProof/>
          <w:lang w:val="fr-BE"/>
        </w:rPr>
      </w:pPr>
      <w:bookmarkStart w:id="843" w:name="_Ref147733506"/>
      <w:bookmarkStart w:id="844" w:name="_Toc157679881"/>
      <w:r w:rsidRPr="001139FF">
        <w:rPr>
          <w:noProof/>
          <w:lang w:val="fr-BE"/>
        </w:rPr>
        <w:t xml:space="preserve">Figure </w:t>
      </w:r>
      <w:r>
        <w:rPr>
          <w:noProof/>
        </w:rPr>
        <w:fldChar w:fldCharType="begin"/>
      </w:r>
      <w:r w:rsidRPr="00FE2A3B">
        <w:rPr>
          <w:noProof/>
          <w:lang w:val="fr-BE"/>
        </w:rPr>
        <w:instrText>SEQ Figure \* ARABIC</w:instrText>
      </w:r>
      <w:r>
        <w:rPr>
          <w:noProof/>
        </w:rPr>
        <w:fldChar w:fldCharType="separate"/>
      </w:r>
      <w:r w:rsidR="00170A3C">
        <w:rPr>
          <w:noProof/>
          <w:lang w:val="fr-BE"/>
        </w:rPr>
        <w:t>133</w:t>
      </w:r>
      <w:r>
        <w:rPr>
          <w:noProof/>
        </w:rPr>
        <w:fldChar w:fldCharType="end"/>
      </w:r>
      <w:bookmarkEnd w:id="843"/>
      <w:r w:rsidRPr="001139FF">
        <w:rPr>
          <w:noProof/>
          <w:lang w:val="fr-BE"/>
        </w:rPr>
        <w:t xml:space="preserve">: </w:t>
      </w:r>
      <w:r w:rsidR="00DD689A" w:rsidRPr="001139FF">
        <w:rPr>
          <w:noProof/>
          <w:lang w:val="fr-BE"/>
        </w:rPr>
        <w:t>Net f</w:t>
      </w:r>
      <w:r w:rsidR="00156F7B" w:rsidRPr="001139FF">
        <w:rPr>
          <w:noProof/>
          <w:lang w:val="fr-BE"/>
        </w:rPr>
        <w:t>ossil fuel imports, 2000-2022</w:t>
      </w:r>
      <w:bookmarkEnd w:id="844"/>
    </w:p>
    <w:p w14:paraId="38F773FC" w14:textId="77865E35" w:rsidR="00156F7B" w:rsidRDefault="0003659D" w:rsidP="00156F7B">
      <w:pPr>
        <w:spacing w:after="0"/>
        <w:jc w:val="center"/>
        <w:rPr>
          <w:noProof/>
        </w:rPr>
      </w:pPr>
      <w:r w:rsidRPr="0003659D">
        <w:rPr>
          <w:noProof/>
          <w:lang w:eastAsia="en-GB"/>
        </w:rPr>
        <w:drawing>
          <wp:inline distT="0" distB="0" distL="0" distR="0" wp14:anchorId="11FA0200" wp14:editId="5B015AEC">
            <wp:extent cx="5391150" cy="2524760"/>
            <wp:effectExtent l="0" t="0" r="0" b="889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5" cstate="print">
                      <a:extLst>
                        <a:ext uri="{28A0092B-C50C-407E-A947-70E740481C1C}">
                          <a14:useLocalDpi xmlns:a14="http://schemas.microsoft.com/office/drawing/2010/main" val="0"/>
                        </a:ext>
                      </a:extLst>
                    </a:blip>
                    <a:srcRect/>
                    <a:stretch>
                      <a:fillRect/>
                    </a:stretch>
                  </pic:blipFill>
                  <pic:spPr bwMode="auto">
                    <a:xfrm>
                      <a:off x="0" y="0"/>
                      <a:ext cx="5391150" cy="2524760"/>
                    </a:xfrm>
                    <a:prstGeom prst="rect">
                      <a:avLst/>
                    </a:prstGeom>
                    <a:noFill/>
                    <a:ln>
                      <a:noFill/>
                    </a:ln>
                  </pic:spPr>
                </pic:pic>
              </a:graphicData>
            </a:graphic>
          </wp:inline>
        </w:drawing>
      </w:r>
    </w:p>
    <w:p w14:paraId="33E287A8" w14:textId="5DC0F9FA" w:rsidR="0003659D" w:rsidRDefault="0003659D" w:rsidP="001139FF">
      <w:pPr>
        <w:spacing w:after="0"/>
        <w:jc w:val="right"/>
        <w:rPr>
          <w:rFonts w:ascii="EC Square Sans Cond Pro" w:eastAsiaTheme="minorHAnsi" w:hAnsi="EC Square Sans Cond Pro" w:cs="Avenir Next LT Pro"/>
          <w:i/>
          <w:iCs/>
          <w:noProof/>
          <w:sz w:val="22"/>
          <w:szCs w:val="22"/>
          <w:lang w:val="en-IE" w:eastAsia="en-US"/>
        </w:rPr>
      </w:pPr>
      <w:r w:rsidRPr="0003659D">
        <w:rPr>
          <w:rFonts w:ascii="EC Square Sans Cond Pro" w:eastAsiaTheme="minorHAnsi" w:hAnsi="EC Square Sans Cond Pro" w:cs="Avenir Next LT Pro"/>
          <w:i/>
          <w:iCs/>
          <w:noProof/>
          <w:sz w:val="22"/>
          <w:szCs w:val="22"/>
          <w:lang w:val="en-IE" w:eastAsia="en-US"/>
        </w:rPr>
        <w:t>Based on Eurostat’s trade data for CN code 27, with the exclusion of codes 2712, 2714, 2715 and 2716.</w:t>
      </w:r>
    </w:p>
    <w:p w14:paraId="413CFE69" w14:textId="3A9ED448" w:rsidR="00156F7B" w:rsidRPr="0043416E" w:rsidRDefault="00156F7B" w:rsidP="0043416E">
      <w:pPr>
        <w:jc w:val="right"/>
        <w:rPr>
          <w:rFonts w:ascii="EC Square Sans Cond Pro" w:eastAsiaTheme="minorHAnsi" w:hAnsi="EC Square Sans Cond Pro" w:cs="Avenir Next LT Pro"/>
          <w:i/>
          <w:iCs/>
          <w:noProof/>
          <w:sz w:val="22"/>
          <w:szCs w:val="22"/>
          <w:lang w:val="en-IE" w:eastAsia="en-US"/>
        </w:rPr>
      </w:pPr>
      <w:r w:rsidRPr="0043416E">
        <w:rPr>
          <w:rFonts w:ascii="EC Square Sans Cond Pro" w:eastAsiaTheme="minorHAnsi" w:hAnsi="EC Square Sans Cond Pro" w:cs="Avenir Next LT Pro"/>
          <w:i/>
          <w:iCs/>
          <w:noProof/>
          <w:sz w:val="22"/>
          <w:szCs w:val="22"/>
          <w:lang w:val="en-IE" w:eastAsia="en-US"/>
        </w:rPr>
        <w:t>Source: Eurostat</w:t>
      </w:r>
      <w:r w:rsidR="0043416E">
        <w:rPr>
          <w:rFonts w:ascii="EC Square Sans Cond Pro" w:eastAsiaTheme="minorHAnsi" w:hAnsi="EC Square Sans Cond Pro" w:cs="Avenir Next LT Pro"/>
          <w:i/>
          <w:iCs/>
          <w:noProof/>
          <w:sz w:val="22"/>
          <w:szCs w:val="22"/>
          <w:lang w:val="en-IE" w:eastAsia="en-US"/>
        </w:rPr>
        <w:t>.</w:t>
      </w:r>
    </w:p>
    <w:p w14:paraId="66383B7F" w14:textId="269FF4AD" w:rsidR="009C2518" w:rsidRDefault="00D1590F" w:rsidP="00B90CB4">
      <w:pPr>
        <w:rPr>
          <w:noProof/>
        </w:rPr>
      </w:pPr>
      <w:r>
        <w:rPr>
          <w:noProof/>
        </w:rPr>
        <w:fldChar w:fldCharType="begin"/>
      </w:r>
      <w:r>
        <w:rPr>
          <w:noProof/>
        </w:rPr>
        <w:instrText xml:space="preserve"> REF _Ref147775809 \h </w:instrText>
      </w:r>
      <w:r>
        <w:rPr>
          <w:noProof/>
        </w:rPr>
      </w:r>
      <w:r>
        <w:rPr>
          <w:noProof/>
        </w:rPr>
        <w:fldChar w:fldCharType="separate"/>
      </w:r>
      <w:r w:rsidR="00170A3C" w:rsidRPr="0058498F">
        <w:rPr>
          <w:noProof/>
          <w:lang w:val="en-IE"/>
        </w:rPr>
        <w:t>Figure 134</w:t>
      </w:r>
      <w:r>
        <w:rPr>
          <w:noProof/>
        </w:rPr>
        <w:fldChar w:fldCharType="end"/>
      </w:r>
      <w:r w:rsidR="002A054C">
        <w:rPr>
          <w:noProof/>
        </w:rPr>
        <w:t xml:space="preserve"> </w:t>
      </w:r>
      <w:r w:rsidR="00C94780">
        <w:rPr>
          <w:noProof/>
        </w:rPr>
        <w:t xml:space="preserve">shows the monetary </w:t>
      </w:r>
      <w:r w:rsidR="00685F92">
        <w:rPr>
          <w:noProof/>
        </w:rPr>
        <w:t>value of fossil fuels imports in the EU</w:t>
      </w:r>
      <w:r w:rsidR="00DD6DE1">
        <w:rPr>
          <w:noProof/>
        </w:rPr>
        <w:t xml:space="preserve"> by 2050</w:t>
      </w:r>
      <w:r w:rsidR="00685F92">
        <w:rPr>
          <w:noProof/>
        </w:rPr>
        <w:t>.</w:t>
      </w:r>
      <w:r w:rsidR="002A054C">
        <w:rPr>
          <w:noProof/>
        </w:rPr>
        <w:t xml:space="preserve"> </w:t>
      </w:r>
      <w:r w:rsidR="00783A5E">
        <w:rPr>
          <w:noProof/>
        </w:rPr>
        <w:t>I</w:t>
      </w:r>
      <w:r w:rsidR="00FD1BB8">
        <w:rPr>
          <w:noProof/>
        </w:rPr>
        <w:t>mports</w:t>
      </w:r>
      <w:r w:rsidR="0031365E">
        <w:rPr>
          <w:noProof/>
        </w:rPr>
        <w:t xml:space="preserve"> </w:t>
      </w:r>
      <w:r w:rsidR="002A054C">
        <w:rPr>
          <w:noProof/>
        </w:rPr>
        <w:t>decreas</w:t>
      </w:r>
      <w:r w:rsidR="000825DE">
        <w:rPr>
          <w:noProof/>
        </w:rPr>
        <w:t>e</w:t>
      </w:r>
      <w:r w:rsidR="002A054C">
        <w:rPr>
          <w:noProof/>
        </w:rPr>
        <w:t xml:space="preserve"> </w:t>
      </w:r>
      <w:r w:rsidR="00CF3BC5">
        <w:rPr>
          <w:noProof/>
        </w:rPr>
        <w:t xml:space="preserve">significantly in </w:t>
      </w:r>
      <w:r w:rsidR="00B72279">
        <w:rPr>
          <w:noProof/>
        </w:rPr>
        <w:t>volume</w:t>
      </w:r>
      <w:r w:rsidR="0031365E">
        <w:rPr>
          <w:noProof/>
        </w:rPr>
        <w:t xml:space="preserve"> between 2020 and 2030 (see </w:t>
      </w:r>
      <w:r w:rsidR="00783A5E">
        <w:rPr>
          <w:noProof/>
        </w:rPr>
        <w:t xml:space="preserve">Section </w:t>
      </w:r>
      <w:r w:rsidR="00796ECA">
        <w:rPr>
          <w:noProof/>
        </w:rPr>
        <w:fldChar w:fldCharType="begin"/>
      </w:r>
      <w:r w:rsidR="00796ECA">
        <w:rPr>
          <w:noProof/>
        </w:rPr>
        <w:instrText xml:space="preserve"> REF _Ref147843399 \r \h </w:instrText>
      </w:r>
      <w:r w:rsidR="00796ECA">
        <w:rPr>
          <w:noProof/>
        </w:rPr>
      </w:r>
      <w:r w:rsidR="00796ECA">
        <w:rPr>
          <w:noProof/>
        </w:rPr>
        <w:fldChar w:fldCharType="separate"/>
      </w:r>
      <w:r w:rsidR="00170A3C">
        <w:rPr>
          <w:noProof/>
        </w:rPr>
        <w:t>1.2</w:t>
      </w:r>
      <w:r w:rsidR="00796ECA">
        <w:rPr>
          <w:noProof/>
        </w:rPr>
        <w:fldChar w:fldCharType="end"/>
      </w:r>
      <w:r w:rsidR="00FC1F51">
        <w:rPr>
          <w:noProof/>
        </w:rPr>
        <w:t xml:space="preserve">) </w:t>
      </w:r>
      <w:r w:rsidR="00783A5E">
        <w:rPr>
          <w:noProof/>
        </w:rPr>
        <w:t>and</w:t>
      </w:r>
      <w:r w:rsidR="00FC1F51">
        <w:rPr>
          <w:noProof/>
        </w:rPr>
        <w:t xml:space="preserve"> </w:t>
      </w:r>
      <w:bookmarkStart w:id="845" w:name="_Hlk142397322"/>
      <w:r w:rsidR="00FC1F51">
        <w:rPr>
          <w:noProof/>
        </w:rPr>
        <w:t xml:space="preserve">the </w:t>
      </w:r>
      <w:r w:rsidR="00A33C89">
        <w:rPr>
          <w:noProof/>
        </w:rPr>
        <w:t>i</w:t>
      </w:r>
      <w:r w:rsidR="00B31703">
        <w:rPr>
          <w:noProof/>
        </w:rPr>
        <w:t xml:space="preserve">mport bill is projected to </w:t>
      </w:r>
      <w:r w:rsidR="000825DE">
        <w:rPr>
          <w:noProof/>
        </w:rPr>
        <w:t>de</w:t>
      </w:r>
      <w:r w:rsidR="00B31703">
        <w:rPr>
          <w:noProof/>
        </w:rPr>
        <w:t xml:space="preserve">crease </w:t>
      </w:r>
      <w:r w:rsidR="00EB3D97">
        <w:rPr>
          <w:noProof/>
        </w:rPr>
        <w:t>by almost 20%</w:t>
      </w:r>
      <w:r w:rsidR="00B31703">
        <w:rPr>
          <w:noProof/>
        </w:rPr>
        <w:t xml:space="preserve"> by 2030</w:t>
      </w:r>
      <w:bookmarkEnd w:id="845"/>
      <w:r w:rsidR="00B31703">
        <w:rPr>
          <w:noProof/>
        </w:rPr>
        <w:t xml:space="preserve">. </w:t>
      </w:r>
      <w:bookmarkStart w:id="846" w:name="_Hlk142397406"/>
      <w:r w:rsidR="00B31703">
        <w:rPr>
          <w:noProof/>
        </w:rPr>
        <w:t xml:space="preserve">This </w:t>
      </w:r>
      <w:r w:rsidR="00563093">
        <w:rPr>
          <w:noProof/>
        </w:rPr>
        <w:t>result depends on</w:t>
      </w:r>
      <w:r w:rsidR="009E3BCE">
        <w:rPr>
          <w:noProof/>
        </w:rPr>
        <w:t xml:space="preserve"> the assumed tra</w:t>
      </w:r>
      <w:r w:rsidR="0018645D">
        <w:rPr>
          <w:noProof/>
        </w:rPr>
        <w:t>jectories for fossil fuel price</w:t>
      </w:r>
      <w:r w:rsidR="00537086">
        <w:rPr>
          <w:noProof/>
        </w:rPr>
        <w:t>s</w:t>
      </w:r>
      <w:r w:rsidR="0018645D">
        <w:rPr>
          <w:noProof/>
        </w:rPr>
        <w:t xml:space="preserve"> </w:t>
      </w:r>
      <w:r w:rsidR="009C7696">
        <w:rPr>
          <w:noProof/>
        </w:rPr>
        <w:t xml:space="preserve">(see </w:t>
      </w:r>
      <w:bookmarkEnd w:id="846"/>
      <w:r w:rsidR="0044226F">
        <w:rPr>
          <w:noProof/>
        </w:rPr>
        <w:t>Annex 6). These trajectories are input to the</w:t>
      </w:r>
      <w:r w:rsidR="00FC1F51">
        <w:rPr>
          <w:noProof/>
        </w:rPr>
        <w:t xml:space="preserve"> </w:t>
      </w:r>
      <w:r w:rsidR="003A7670">
        <w:rPr>
          <w:noProof/>
        </w:rPr>
        <w:t xml:space="preserve">PRIMES energy model and significant uncertainties exists on </w:t>
      </w:r>
      <w:r w:rsidR="00CD1FBC">
        <w:rPr>
          <w:noProof/>
        </w:rPr>
        <w:t>the long</w:t>
      </w:r>
      <w:r w:rsidR="00783A5E">
        <w:rPr>
          <w:noProof/>
        </w:rPr>
        <w:t>-</w:t>
      </w:r>
      <w:r w:rsidR="00CD1FBC">
        <w:rPr>
          <w:noProof/>
        </w:rPr>
        <w:t>term evolution of fossil fuel prices.</w:t>
      </w:r>
    </w:p>
    <w:p w14:paraId="20E11098" w14:textId="0D42F8A6" w:rsidR="00FB5F53" w:rsidRDefault="00783A5E" w:rsidP="00B90CB4">
      <w:pPr>
        <w:rPr>
          <w:noProof/>
        </w:rPr>
      </w:pPr>
      <w:bookmarkStart w:id="847" w:name="_Hlk142397546"/>
      <w:r>
        <w:rPr>
          <w:noProof/>
        </w:rPr>
        <w:t>With the assumptions used, b</w:t>
      </w:r>
      <w:r w:rsidR="00FB5F53">
        <w:rPr>
          <w:noProof/>
        </w:rPr>
        <w:t>y 2040</w:t>
      </w:r>
      <w:r w:rsidR="00710438">
        <w:rPr>
          <w:noProof/>
        </w:rPr>
        <w:t>, the fossil fuel import bill will be</w:t>
      </w:r>
      <w:r w:rsidR="001A0F95">
        <w:rPr>
          <w:noProof/>
        </w:rPr>
        <w:t xml:space="preserve"> </w:t>
      </w:r>
      <w:r w:rsidR="00645F39">
        <w:rPr>
          <w:noProof/>
        </w:rPr>
        <w:t>5</w:t>
      </w:r>
      <w:r w:rsidR="00D17594">
        <w:rPr>
          <w:noProof/>
        </w:rPr>
        <w:t xml:space="preserve">0% to </w:t>
      </w:r>
      <w:r w:rsidR="00645F39">
        <w:rPr>
          <w:noProof/>
        </w:rPr>
        <w:t>63</w:t>
      </w:r>
      <w:r w:rsidR="00D17594">
        <w:rPr>
          <w:noProof/>
        </w:rPr>
        <w:t xml:space="preserve">% lower than in </w:t>
      </w:r>
      <w:r w:rsidR="00A92442">
        <w:rPr>
          <w:noProof/>
        </w:rPr>
        <w:t>20</w:t>
      </w:r>
      <w:r w:rsidR="00572578">
        <w:rPr>
          <w:noProof/>
        </w:rPr>
        <w:t>2</w:t>
      </w:r>
      <w:r w:rsidR="00A92442">
        <w:rPr>
          <w:noProof/>
        </w:rPr>
        <w:t>0</w:t>
      </w:r>
      <w:r w:rsidR="007D076A">
        <w:rPr>
          <w:noProof/>
        </w:rPr>
        <w:t xml:space="preserve"> </w:t>
      </w:r>
      <w:r w:rsidR="00572578">
        <w:rPr>
          <w:noProof/>
        </w:rPr>
        <w:t>depending on scenarios</w:t>
      </w:r>
      <w:r w:rsidR="007D076A">
        <w:rPr>
          <w:noProof/>
        </w:rPr>
        <w:t>.</w:t>
      </w:r>
      <w:r w:rsidR="009B4224">
        <w:rPr>
          <w:noProof/>
        </w:rPr>
        <w:t xml:space="preserve"> </w:t>
      </w:r>
      <w:r>
        <w:rPr>
          <w:noProof/>
        </w:rPr>
        <w:t>D</w:t>
      </w:r>
      <w:r w:rsidR="00042F41">
        <w:rPr>
          <w:noProof/>
        </w:rPr>
        <w:t xml:space="preserve">ecarbonisation of the </w:t>
      </w:r>
      <w:r w:rsidR="003F402B">
        <w:rPr>
          <w:noProof/>
        </w:rPr>
        <w:t>energy system will save</w:t>
      </w:r>
      <w:r w:rsidR="008E7330">
        <w:rPr>
          <w:noProof/>
        </w:rPr>
        <w:t xml:space="preserve"> Europe </w:t>
      </w:r>
      <w:r w:rsidR="00A804A7">
        <w:rPr>
          <w:noProof/>
        </w:rPr>
        <w:t xml:space="preserve">approximately </w:t>
      </w:r>
      <w:r w:rsidR="00841AFB">
        <w:rPr>
          <w:noProof/>
        </w:rPr>
        <w:t>1.</w:t>
      </w:r>
      <w:r w:rsidR="00A91CEE">
        <w:rPr>
          <w:noProof/>
        </w:rPr>
        <w:t>3</w:t>
      </w:r>
      <w:r w:rsidR="001052DD">
        <w:rPr>
          <w:noProof/>
        </w:rPr>
        <w:t xml:space="preserve"> trillion </w:t>
      </w:r>
      <w:r w:rsidR="00841AFB">
        <w:rPr>
          <w:noProof/>
        </w:rPr>
        <w:t xml:space="preserve">€ </w:t>
      </w:r>
      <w:r w:rsidR="001052DD">
        <w:rPr>
          <w:noProof/>
        </w:rPr>
        <w:t xml:space="preserve">in the 2031 – 2040 decade compared to 2021 </w:t>
      </w:r>
      <w:r w:rsidR="002D395F">
        <w:rPr>
          <w:noProof/>
        </w:rPr>
        <w:t>– 2030.</w:t>
      </w:r>
      <w:r w:rsidR="00AD3429">
        <w:rPr>
          <w:noProof/>
        </w:rPr>
        <w:t xml:space="preserve"> </w:t>
      </w:r>
      <w:r w:rsidR="006C0BD8">
        <w:rPr>
          <w:noProof/>
        </w:rPr>
        <w:t xml:space="preserve">With the current assumptions about economic growth, </w:t>
      </w:r>
      <w:r w:rsidR="00A804A7">
        <w:rPr>
          <w:noProof/>
        </w:rPr>
        <w:t xml:space="preserve">fossil fuels import will decrease from </w:t>
      </w:r>
      <w:r w:rsidR="006C0BD8">
        <w:rPr>
          <w:noProof/>
        </w:rPr>
        <w:t>2.75</w:t>
      </w:r>
      <w:r w:rsidR="00A804A7">
        <w:rPr>
          <w:noProof/>
        </w:rPr>
        <w:t xml:space="preserve">% </w:t>
      </w:r>
      <w:r w:rsidR="005D12C5">
        <w:rPr>
          <w:noProof/>
        </w:rPr>
        <w:t xml:space="preserve">of GDP </w:t>
      </w:r>
      <w:r w:rsidR="00A804A7">
        <w:rPr>
          <w:noProof/>
        </w:rPr>
        <w:t>in 202</w:t>
      </w:r>
      <w:r w:rsidR="00B61208">
        <w:rPr>
          <w:noProof/>
        </w:rPr>
        <w:t xml:space="preserve">0 to </w:t>
      </w:r>
      <w:r w:rsidR="005D12C5">
        <w:rPr>
          <w:noProof/>
        </w:rPr>
        <w:t>1</w:t>
      </w:r>
      <w:r w:rsidR="001E655A">
        <w:rPr>
          <w:noProof/>
        </w:rPr>
        <w:t>.9</w:t>
      </w:r>
      <w:r w:rsidR="00B61208">
        <w:rPr>
          <w:noProof/>
        </w:rPr>
        <w:t>% in 2030</w:t>
      </w:r>
      <w:r w:rsidR="001E655A">
        <w:rPr>
          <w:noProof/>
        </w:rPr>
        <w:t xml:space="preserve"> and to 1% in 2040</w:t>
      </w:r>
      <w:r w:rsidR="00B61208">
        <w:rPr>
          <w:noProof/>
        </w:rPr>
        <w:t xml:space="preserve">. </w:t>
      </w:r>
      <w:r w:rsidR="001E655A">
        <w:rPr>
          <w:noProof/>
        </w:rPr>
        <w:t xml:space="preserve">This will greatly reduce the economic impact of </w:t>
      </w:r>
      <w:r w:rsidR="00BD5A1C">
        <w:rPr>
          <w:noProof/>
        </w:rPr>
        <w:t>eventual disruption in fossil fuels supply.</w:t>
      </w:r>
      <w:bookmarkEnd w:id="847"/>
    </w:p>
    <w:p w14:paraId="065D93D1" w14:textId="048C2E07" w:rsidR="000825DE" w:rsidRDefault="000B5394" w:rsidP="00911AF2">
      <w:pPr>
        <w:rPr>
          <w:noProof/>
        </w:rPr>
      </w:pPr>
      <w:r>
        <w:rPr>
          <w:noProof/>
        </w:rPr>
        <w:t xml:space="preserve">By 2050, </w:t>
      </w:r>
      <w:r w:rsidR="009049D1">
        <w:rPr>
          <w:noProof/>
        </w:rPr>
        <w:t>imports are dominated by the fossil fu</w:t>
      </w:r>
      <w:r w:rsidR="0044075B">
        <w:rPr>
          <w:noProof/>
        </w:rPr>
        <w:t>el used for non-energy purposes</w:t>
      </w:r>
      <w:r w:rsidR="00691296">
        <w:rPr>
          <w:noProof/>
        </w:rPr>
        <w:t xml:space="preserve"> and are almost 80% lower than in 2020</w:t>
      </w:r>
      <w:r w:rsidR="0044075B">
        <w:rPr>
          <w:noProof/>
        </w:rPr>
        <w:t xml:space="preserve"> with very small differences across scenarios.</w:t>
      </w:r>
    </w:p>
    <w:p w14:paraId="0A66EF97" w14:textId="2A171584" w:rsidR="00355782" w:rsidRPr="001139FF" w:rsidRDefault="00355782" w:rsidP="00355782">
      <w:pPr>
        <w:pStyle w:val="Caption"/>
        <w:rPr>
          <w:noProof/>
          <w:lang w:val="fr-FR"/>
        </w:rPr>
      </w:pPr>
      <w:bookmarkStart w:id="848" w:name="_Ref141796072"/>
      <w:bookmarkStart w:id="849" w:name="_Ref147775809"/>
      <w:bookmarkStart w:id="850" w:name="_Toc157679882"/>
      <w:r w:rsidRPr="001139FF">
        <w:rPr>
          <w:noProof/>
          <w:lang w:val="fr-FR"/>
        </w:rPr>
        <w:t xml:space="preserve">Figure </w:t>
      </w:r>
      <w:bookmarkEnd w:id="848"/>
      <w:r w:rsidR="00F2742D">
        <w:rPr>
          <w:noProof/>
        </w:rPr>
        <w:fldChar w:fldCharType="begin"/>
      </w:r>
      <w:r w:rsidR="00F2742D" w:rsidRPr="00FE2A3B">
        <w:rPr>
          <w:noProof/>
          <w:lang w:val="fr-FR"/>
        </w:rPr>
        <w:instrText xml:space="preserve"> SEQ Figure \* ARABIC </w:instrText>
      </w:r>
      <w:r w:rsidR="00F2742D">
        <w:rPr>
          <w:noProof/>
        </w:rPr>
        <w:fldChar w:fldCharType="separate"/>
      </w:r>
      <w:r w:rsidR="00170A3C">
        <w:rPr>
          <w:noProof/>
          <w:lang w:val="fr-FR"/>
        </w:rPr>
        <w:t>134</w:t>
      </w:r>
      <w:r w:rsidR="00F2742D">
        <w:rPr>
          <w:noProof/>
        </w:rPr>
        <w:fldChar w:fldCharType="end"/>
      </w:r>
      <w:bookmarkEnd w:id="849"/>
      <w:r w:rsidRPr="001139FF">
        <w:rPr>
          <w:noProof/>
          <w:lang w:val="fr-FR"/>
        </w:rPr>
        <w:t xml:space="preserve">: </w:t>
      </w:r>
      <w:r w:rsidR="00C72799" w:rsidRPr="001139FF">
        <w:rPr>
          <w:noProof/>
          <w:lang w:val="fr-FR"/>
        </w:rPr>
        <w:t>Annual f</w:t>
      </w:r>
      <w:r w:rsidRPr="001139FF">
        <w:rPr>
          <w:noProof/>
          <w:lang w:val="fr-FR"/>
        </w:rPr>
        <w:t>ossil fuels imports</w:t>
      </w:r>
      <w:bookmarkEnd w:id="850"/>
    </w:p>
    <w:p w14:paraId="2C066A67" w14:textId="6085BF85" w:rsidR="00AB47AA" w:rsidRPr="00AB47AA" w:rsidRDefault="00AB47AA" w:rsidP="00AB47AA">
      <w:pPr>
        <w:pStyle w:val="CT-SOURCE"/>
        <w:jc w:val="center"/>
        <w:rPr>
          <w:i w:val="0"/>
          <w:iCs w:val="0"/>
          <w:noProof/>
          <w:color w:val="2B579A"/>
          <w:shd w:val="clear" w:color="auto" w:fill="E6E6E6"/>
          <w:lang w:eastAsia="en-GB"/>
        </w:rPr>
      </w:pPr>
      <w:r w:rsidRPr="00AB47AA">
        <w:rPr>
          <w:noProof/>
          <w:lang w:val="en-GB" w:eastAsia="en-GB"/>
        </w:rPr>
        <w:drawing>
          <wp:inline distT="0" distB="0" distL="0" distR="0" wp14:anchorId="49C02B9C" wp14:editId="36291134">
            <wp:extent cx="4838700" cy="2520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6" cstate="print">
                      <a:extLst>
                        <a:ext uri="{28A0092B-C50C-407E-A947-70E740481C1C}">
                          <a14:useLocalDpi xmlns:a14="http://schemas.microsoft.com/office/drawing/2010/main" val="0"/>
                        </a:ext>
                      </a:extLst>
                    </a:blip>
                    <a:srcRect/>
                    <a:stretch>
                      <a:fillRect/>
                    </a:stretch>
                  </pic:blipFill>
                  <pic:spPr bwMode="auto">
                    <a:xfrm>
                      <a:off x="0" y="0"/>
                      <a:ext cx="4838700" cy="2520950"/>
                    </a:xfrm>
                    <a:prstGeom prst="rect">
                      <a:avLst/>
                    </a:prstGeom>
                    <a:noFill/>
                    <a:ln>
                      <a:noFill/>
                    </a:ln>
                  </pic:spPr>
                </pic:pic>
              </a:graphicData>
            </a:graphic>
          </wp:inline>
        </w:drawing>
      </w:r>
    </w:p>
    <w:p w14:paraId="155E985F" w14:textId="44E54EA2" w:rsidR="00502893" w:rsidRPr="00D767E2" w:rsidRDefault="00502893" w:rsidP="008D3361">
      <w:pPr>
        <w:pStyle w:val="CT-SOURCE"/>
        <w:rPr>
          <w:noProof/>
        </w:rPr>
      </w:pPr>
      <w:r w:rsidRPr="00D767E2">
        <w:rPr>
          <w:noProof/>
        </w:rPr>
        <w:t>Source: PRIMES.</w:t>
      </w:r>
    </w:p>
    <w:p w14:paraId="7339BD56" w14:textId="4A9D774F" w:rsidR="00502893" w:rsidRPr="00701C79" w:rsidRDefault="004C6C6E" w:rsidP="00D54118">
      <w:pPr>
        <w:rPr>
          <w:noProof/>
          <w:lang w:val="en-IE"/>
        </w:rPr>
      </w:pPr>
      <w:r>
        <w:rPr>
          <w:noProof/>
          <w:lang w:val="en-IE"/>
        </w:rPr>
        <w:t>While the role of fossil fuels will decline, o</w:t>
      </w:r>
      <w:r w:rsidR="002108DA">
        <w:rPr>
          <w:noProof/>
          <w:lang w:val="en-IE"/>
        </w:rPr>
        <w:t xml:space="preserve">ther </w:t>
      </w:r>
      <w:r w:rsidR="00C86C2D">
        <w:rPr>
          <w:noProof/>
          <w:lang w:val="en-IE"/>
        </w:rPr>
        <w:t xml:space="preserve">dependencies will emerge </w:t>
      </w:r>
      <w:r>
        <w:rPr>
          <w:noProof/>
          <w:lang w:val="en-IE"/>
        </w:rPr>
        <w:t xml:space="preserve">in the coming decades. </w:t>
      </w:r>
      <w:r w:rsidR="00911AF2">
        <w:rPr>
          <w:noProof/>
          <w:lang w:val="en-IE"/>
        </w:rPr>
        <w:t xml:space="preserve">Imports of biomass are set to </w:t>
      </w:r>
      <w:r w:rsidR="00BF46AA">
        <w:rPr>
          <w:noProof/>
          <w:lang w:val="en-IE"/>
        </w:rPr>
        <w:t>double</w:t>
      </w:r>
      <w:r w:rsidR="00911AF2">
        <w:rPr>
          <w:noProof/>
          <w:lang w:val="en-IE"/>
        </w:rPr>
        <w:t xml:space="preserve"> from </w:t>
      </w:r>
      <w:r w:rsidR="00BF46AA">
        <w:rPr>
          <w:noProof/>
          <w:lang w:val="en-IE"/>
        </w:rPr>
        <w:t>approximately 6 Mtoe in 2019 to 12 Mtoe in 2040. While no</w:t>
      </w:r>
      <w:r w:rsidR="00537086">
        <w:rPr>
          <w:noProof/>
          <w:lang w:val="en-IE"/>
        </w:rPr>
        <w:t>n</w:t>
      </w:r>
      <w:r w:rsidR="00BF46AA">
        <w:rPr>
          <w:noProof/>
          <w:lang w:val="en-IE"/>
        </w:rPr>
        <w:t>-existent today, imports of hydrogen and RFNBOs will also become significant reaching approximately 20 Mtoe in 2040 with negligible differences across scenarios. However</w:t>
      </w:r>
      <w:r w:rsidR="00E53377">
        <w:rPr>
          <w:noProof/>
          <w:lang w:val="en-IE"/>
        </w:rPr>
        <w:t>,</w:t>
      </w:r>
      <w:r w:rsidR="00BF46AA">
        <w:rPr>
          <w:noProof/>
          <w:lang w:val="en-IE"/>
        </w:rPr>
        <w:t xml:space="preserve"> </w:t>
      </w:r>
      <w:r w:rsidR="006F2110">
        <w:rPr>
          <w:noProof/>
        </w:rPr>
        <w:t>these imports will be small compared to the approximately 900 Mtoe of fossil fuels imported in 2019</w:t>
      </w:r>
      <w:r w:rsidR="00BC0104">
        <w:rPr>
          <w:noProof/>
          <w:lang w:val="en-IE"/>
        </w:rPr>
        <w:t>.</w:t>
      </w:r>
    </w:p>
    <w:p w14:paraId="7022F645" w14:textId="382EA587" w:rsidR="006F2110" w:rsidRDefault="006F2110" w:rsidP="00D54118">
      <w:pPr>
        <w:rPr>
          <w:noProof/>
          <w:lang w:val="en-IE"/>
        </w:rPr>
      </w:pPr>
      <w:r>
        <w:rPr>
          <w:noProof/>
          <w:lang w:val="en-IE"/>
        </w:rPr>
        <w:t xml:space="preserve">Other relevant </w:t>
      </w:r>
      <w:r w:rsidR="00B405D2">
        <w:rPr>
          <w:noProof/>
          <w:lang w:val="en-IE"/>
        </w:rPr>
        <w:t xml:space="preserve">dependencies </w:t>
      </w:r>
      <w:r w:rsidR="00714C9C">
        <w:rPr>
          <w:noProof/>
          <w:lang w:val="en-IE"/>
        </w:rPr>
        <w:t xml:space="preserve">that </w:t>
      </w:r>
      <w:r w:rsidR="00B405D2">
        <w:rPr>
          <w:noProof/>
          <w:lang w:val="en-IE"/>
        </w:rPr>
        <w:t>might emerge</w:t>
      </w:r>
      <w:r w:rsidR="00714C9C">
        <w:rPr>
          <w:noProof/>
          <w:lang w:val="en-IE"/>
        </w:rPr>
        <w:t xml:space="preserve"> are those</w:t>
      </w:r>
      <w:r w:rsidR="00B405D2">
        <w:rPr>
          <w:noProof/>
          <w:lang w:val="en-IE"/>
        </w:rPr>
        <w:t xml:space="preserve"> </w:t>
      </w:r>
      <w:r w:rsidR="00714C9C">
        <w:rPr>
          <w:noProof/>
          <w:lang w:val="en-IE"/>
        </w:rPr>
        <w:t>related</w:t>
      </w:r>
      <w:r w:rsidR="00B405D2">
        <w:rPr>
          <w:noProof/>
          <w:lang w:val="en-IE"/>
        </w:rPr>
        <w:t xml:space="preserve"> to the raw materials </w:t>
      </w:r>
      <w:r w:rsidR="007E0D98">
        <w:rPr>
          <w:noProof/>
          <w:lang w:val="en-IE"/>
        </w:rPr>
        <w:t xml:space="preserve">needed for decarbonisation technologies. However, the economic consequences of these import will most likely be very different. The risks of import dependency do not depend only their share, but also on other parameters such as market concentration and substitution possibilities. Moreover, the </w:t>
      </w:r>
      <w:r w:rsidR="00855500">
        <w:rPr>
          <w:noProof/>
          <w:lang w:val="en-IE"/>
        </w:rPr>
        <w:t>economic i</w:t>
      </w:r>
      <w:r w:rsidR="00133015">
        <w:rPr>
          <w:noProof/>
          <w:lang w:val="en-IE"/>
        </w:rPr>
        <w:t xml:space="preserve">mplications of scarcity would be very different when dealing with </w:t>
      </w:r>
      <w:r w:rsidR="00714C9C">
        <w:rPr>
          <w:noProof/>
          <w:lang w:val="en-IE"/>
        </w:rPr>
        <w:t xml:space="preserve">a </w:t>
      </w:r>
      <w:r w:rsidR="00133015">
        <w:rPr>
          <w:noProof/>
          <w:lang w:val="en-IE"/>
        </w:rPr>
        <w:t xml:space="preserve">fuel or a component of specific equipment. </w:t>
      </w:r>
      <w:r w:rsidR="00714C9C">
        <w:rPr>
          <w:noProof/>
          <w:lang w:val="en-IE"/>
        </w:rPr>
        <w:t xml:space="preserve">Finally, the risk of dependency depends on the possibility to maintain strategic reserves and the cost of storing raw materials varies greatly. </w:t>
      </w:r>
      <w:r w:rsidR="00133015">
        <w:rPr>
          <w:noProof/>
          <w:lang w:val="en-IE"/>
        </w:rPr>
        <w:t xml:space="preserve">The sudden increase in the cost of a raw material </w:t>
      </w:r>
      <w:r w:rsidR="00714C9C">
        <w:rPr>
          <w:noProof/>
          <w:lang w:val="en-IE"/>
        </w:rPr>
        <w:t xml:space="preserve">used in manufacturing </w:t>
      </w:r>
      <w:r w:rsidR="00133015">
        <w:rPr>
          <w:noProof/>
          <w:lang w:val="en-IE"/>
        </w:rPr>
        <w:t>will not have the same macroeconomic impact as the recent stop of gas imports from Russia.</w:t>
      </w:r>
    </w:p>
    <w:p w14:paraId="43C6D80A" w14:textId="7738E038" w:rsidR="00593952" w:rsidRPr="00593952" w:rsidRDefault="00593952" w:rsidP="00593952">
      <w:pPr>
        <w:rPr>
          <w:rFonts w:ascii="Times New Roman" w:eastAsia="Times New Roman" w:hAnsi="Times New Roman" w:cs="Times New Roman"/>
          <w:noProof/>
          <w:szCs w:val="20"/>
        </w:rPr>
      </w:pPr>
      <w:r w:rsidRPr="00593952">
        <w:rPr>
          <w:rFonts w:ascii="Times New Roman" w:eastAsia="Times New Roman" w:hAnsi="Times New Roman" w:cs="Times New Roman"/>
          <w:noProof/>
          <w:szCs w:val="20"/>
        </w:rPr>
        <w:t>The high decarbonization levels and the corresponding high demand for deployment of renewables</w:t>
      </w:r>
      <w:r>
        <w:rPr>
          <w:rFonts w:ascii="Times New Roman" w:eastAsia="Times New Roman" w:hAnsi="Times New Roman" w:cs="Times New Roman"/>
          <w:noProof/>
          <w:szCs w:val="20"/>
        </w:rPr>
        <w:t>, storage</w:t>
      </w:r>
      <w:r w:rsidRPr="00593952">
        <w:rPr>
          <w:rFonts w:ascii="Times New Roman" w:eastAsia="Times New Roman" w:hAnsi="Times New Roman" w:cs="Times New Roman"/>
          <w:noProof/>
          <w:szCs w:val="20"/>
        </w:rPr>
        <w:t xml:space="preserve"> and novel technologies </w:t>
      </w:r>
      <w:r>
        <w:rPr>
          <w:rFonts w:ascii="Times New Roman" w:eastAsia="Times New Roman" w:hAnsi="Times New Roman" w:cs="Times New Roman"/>
          <w:noProof/>
          <w:szCs w:val="20"/>
        </w:rPr>
        <w:t xml:space="preserve">may create new dependencies </w:t>
      </w:r>
      <w:r w:rsidRPr="00593952">
        <w:rPr>
          <w:rFonts w:ascii="Times New Roman" w:eastAsia="Times New Roman" w:hAnsi="Times New Roman" w:cs="Times New Roman"/>
          <w:noProof/>
          <w:szCs w:val="20"/>
        </w:rPr>
        <w:t xml:space="preserve">for raw materials </w:t>
      </w:r>
      <w:r>
        <w:rPr>
          <w:rFonts w:ascii="Times New Roman" w:eastAsia="Times New Roman" w:hAnsi="Times New Roman" w:cs="Times New Roman"/>
          <w:noProof/>
          <w:szCs w:val="20"/>
        </w:rPr>
        <w:t xml:space="preserve">or </w:t>
      </w:r>
      <w:r w:rsidRPr="00593952">
        <w:rPr>
          <w:rFonts w:ascii="Times New Roman" w:eastAsia="Times New Roman" w:hAnsi="Times New Roman" w:cs="Times New Roman"/>
          <w:noProof/>
          <w:szCs w:val="20"/>
        </w:rPr>
        <w:t>technology imports from other countries</w:t>
      </w:r>
      <w:r>
        <w:rPr>
          <w:rFonts w:ascii="Times New Roman" w:eastAsia="Times New Roman" w:hAnsi="Times New Roman" w:cs="Times New Roman"/>
          <w:noProof/>
          <w:szCs w:val="20"/>
        </w:rPr>
        <w:t>. This</w:t>
      </w:r>
      <w:r w:rsidRPr="00593952">
        <w:rPr>
          <w:rFonts w:ascii="Times New Roman" w:eastAsia="Times New Roman" w:hAnsi="Times New Roman" w:cs="Times New Roman"/>
          <w:noProof/>
          <w:szCs w:val="20"/>
        </w:rPr>
        <w:t xml:space="preserve"> highlights the role for the Critical Raw Material Act, and the Net Zero Industry Act. The options with a less steep</w:t>
      </w:r>
      <w:r>
        <w:rPr>
          <w:rFonts w:ascii="Times New Roman" w:eastAsia="Times New Roman" w:hAnsi="Times New Roman" w:cs="Times New Roman"/>
          <w:noProof/>
          <w:szCs w:val="20"/>
        </w:rPr>
        <w:t>ly increasing demand for</w:t>
      </w:r>
      <w:r w:rsidRPr="00593952">
        <w:rPr>
          <w:rFonts w:ascii="Times New Roman" w:eastAsia="Times New Roman" w:hAnsi="Times New Roman" w:cs="Times New Roman"/>
          <w:noProof/>
          <w:szCs w:val="20"/>
        </w:rPr>
        <w:t xml:space="preserve"> renewables and novel technologies (</w:t>
      </w:r>
      <w:r w:rsidR="0076141F">
        <w:rPr>
          <w:rFonts w:ascii="Times New Roman" w:eastAsia="Times New Roman" w:hAnsi="Times New Roman" w:cs="Times New Roman"/>
          <w:noProof/>
          <w:szCs w:val="20"/>
        </w:rPr>
        <w:t>e.g.,</w:t>
      </w:r>
      <w:r>
        <w:rPr>
          <w:rFonts w:ascii="Times New Roman" w:eastAsia="Times New Roman" w:hAnsi="Times New Roman" w:cs="Times New Roman"/>
          <w:noProof/>
          <w:szCs w:val="20"/>
        </w:rPr>
        <w:t xml:space="preserve"> S1</w:t>
      </w:r>
      <w:r w:rsidRPr="00593952">
        <w:rPr>
          <w:rFonts w:ascii="Times New Roman" w:eastAsia="Times New Roman" w:hAnsi="Times New Roman" w:cs="Times New Roman"/>
          <w:noProof/>
          <w:szCs w:val="20"/>
        </w:rPr>
        <w:t>) show a lower supply chain and dependence challenges than the higher ambition scenarios (</w:t>
      </w:r>
      <w:r w:rsidR="00765D8E">
        <w:rPr>
          <w:rFonts w:ascii="Times New Roman" w:eastAsia="Times New Roman" w:hAnsi="Times New Roman" w:cs="Times New Roman"/>
          <w:noProof/>
          <w:szCs w:val="20"/>
        </w:rPr>
        <w:t>e.g.,</w:t>
      </w:r>
      <w:r>
        <w:rPr>
          <w:rFonts w:ascii="Times New Roman" w:eastAsia="Times New Roman" w:hAnsi="Times New Roman" w:cs="Times New Roman"/>
          <w:noProof/>
          <w:szCs w:val="20"/>
        </w:rPr>
        <w:t xml:space="preserve"> S3</w:t>
      </w:r>
      <w:r w:rsidRPr="00593952">
        <w:rPr>
          <w:rFonts w:ascii="Times New Roman" w:eastAsia="Times New Roman" w:hAnsi="Times New Roman" w:cs="Times New Roman"/>
          <w:noProof/>
          <w:szCs w:val="20"/>
        </w:rPr>
        <w:t>).</w:t>
      </w:r>
    </w:p>
    <w:p w14:paraId="792CFAEE" w14:textId="2021A0AF" w:rsidR="00DD6070" w:rsidRPr="00B65E61" w:rsidRDefault="00DD6070" w:rsidP="00B65E61">
      <w:pPr>
        <w:pStyle w:val="Heading3"/>
        <w:rPr>
          <w:noProof/>
        </w:rPr>
      </w:pPr>
      <w:bookmarkStart w:id="851" w:name="_Toc155623358"/>
      <w:bookmarkStart w:id="852" w:name="_Ref145076889"/>
      <w:bookmarkStart w:id="853" w:name="_Toc148605662"/>
      <w:bookmarkStart w:id="854" w:name="_Toc157692111"/>
      <w:bookmarkEnd w:id="851"/>
      <w:r w:rsidRPr="00B65E61">
        <w:rPr>
          <w:noProof/>
        </w:rPr>
        <w:t>Vulnerability to external shocks</w:t>
      </w:r>
      <w:bookmarkEnd w:id="852"/>
      <w:bookmarkEnd w:id="853"/>
      <w:bookmarkEnd w:id="854"/>
    </w:p>
    <w:p w14:paraId="1525FA00" w14:textId="770825D3" w:rsidR="005478D9" w:rsidRDefault="005478D9" w:rsidP="00E109A1">
      <w:pPr>
        <w:rPr>
          <w:noProof/>
          <w:lang w:val="en-IE"/>
        </w:rPr>
      </w:pPr>
      <w:r>
        <w:rPr>
          <w:noProof/>
          <w:lang w:val="en-IE"/>
        </w:rPr>
        <w:t>Fossil fuel price shocks</w:t>
      </w:r>
      <w:r w:rsidR="00E9782B">
        <w:rPr>
          <w:noProof/>
          <w:lang w:val="en-IE"/>
        </w:rPr>
        <w:t>, particularly for crude oil,</w:t>
      </w:r>
      <w:r>
        <w:rPr>
          <w:noProof/>
          <w:lang w:val="en-IE"/>
        </w:rPr>
        <w:t xml:space="preserve"> have </w:t>
      </w:r>
      <w:r w:rsidR="00E9782B">
        <w:rPr>
          <w:noProof/>
          <w:lang w:val="en-IE"/>
        </w:rPr>
        <w:t>affected the EU and world economy numerous times over the past 50 years or so. Crude oil prices were multiplied by a factor of around 10 within about a year following the first Arab oil embargo in the early 1970s. The Iranian revolution and the onset of the Iran-Iraq war led to another tripling of crude oil prices within a year at the end of the 1970s. Further shocks and high volatility in crudel oil prices ha</w:t>
      </w:r>
      <w:r w:rsidR="00E109A1">
        <w:rPr>
          <w:noProof/>
          <w:lang w:val="en-IE"/>
        </w:rPr>
        <w:t>ve</w:t>
      </w:r>
      <w:r w:rsidR="00E9782B">
        <w:rPr>
          <w:noProof/>
          <w:lang w:val="en-IE"/>
        </w:rPr>
        <w:t xml:space="preserve"> continued ever since, with the Gulf War</w:t>
      </w:r>
      <w:r w:rsidR="00E109A1">
        <w:rPr>
          <w:noProof/>
          <w:lang w:val="en-IE"/>
        </w:rPr>
        <w:t>, the global financial crisis and shifts in policy from the Organization of the Petroleum Exporting Countries (</w:t>
      </w:r>
      <w:r w:rsidR="00E109A1">
        <w:rPr>
          <w:noProof/>
          <w:lang w:val="en-IE"/>
        </w:rPr>
        <w:fldChar w:fldCharType="begin"/>
      </w:r>
      <w:r w:rsidR="00E109A1">
        <w:rPr>
          <w:noProof/>
          <w:lang w:val="en-IE"/>
        </w:rPr>
        <w:instrText xml:space="preserve"> REF _Ref144390404 \h </w:instrText>
      </w:r>
      <w:r w:rsidR="00E109A1">
        <w:rPr>
          <w:noProof/>
          <w:lang w:val="en-IE"/>
        </w:rPr>
      </w:r>
      <w:r w:rsidR="00E109A1">
        <w:rPr>
          <w:noProof/>
          <w:lang w:val="en-IE"/>
        </w:rPr>
        <w:fldChar w:fldCharType="separate"/>
      </w:r>
      <w:r w:rsidR="00170A3C">
        <w:rPr>
          <w:noProof/>
        </w:rPr>
        <w:t>Figure 135</w:t>
      </w:r>
      <w:r w:rsidR="00E109A1">
        <w:rPr>
          <w:noProof/>
          <w:lang w:val="en-IE"/>
        </w:rPr>
        <w:fldChar w:fldCharType="end"/>
      </w:r>
      <w:r w:rsidR="00E109A1">
        <w:rPr>
          <w:noProof/>
          <w:lang w:val="en-IE"/>
        </w:rPr>
        <w:t>). While natural gas (in the EU) and coal prices remained more stable for several decades, they have also become more volatile. These past shocks and the most recent one triggered by the Russian war of aggression in Ukraine have generated large negative economic impacts at the global and EU level, alongside social hardship and a significant redistribution of wealth across countries.</w:t>
      </w:r>
    </w:p>
    <w:p w14:paraId="4E9BC0C1" w14:textId="426A2D50" w:rsidR="00E9782B" w:rsidRDefault="00E9782B" w:rsidP="007D4354">
      <w:pPr>
        <w:pStyle w:val="Caption"/>
        <w:rPr>
          <w:noProof/>
          <w:lang w:val="en-IE"/>
        </w:rPr>
      </w:pPr>
      <w:bookmarkStart w:id="855" w:name="_Ref144390404"/>
      <w:bookmarkStart w:id="856" w:name="_Toc157679883"/>
      <w:r>
        <w:rPr>
          <w:noProof/>
        </w:rPr>
        <w:t xml:space="preserve">Figure </w:t>
      </w:r>
      <w:r>
        <w:rPr>
          <w:noProof/>
        </w:rPr>
        <w:fldChar w:fldCharType="begin"/>
      </w:r>
      <w:r>
        <w:rPr>
          <w:noProof/>
        </w:rPr>
        <w:instrText>SEQ Figure \* ARABIC</w:instrText>
      </w:r>
      <w:r>
        <w:rPr>
          <w:noProof/>
        </w:rPr>
        <w:fldChar w:fldCharType="separate"/>
      </w:r>
      <w:r w:rsidR="00170A3C">
        <w:rPr>
          <w:noProof/>
        </w:rPr>
        <w:t>135</w:t>
      </w:r>
      <w:r>
        <w:rPr>
          <w:noProof/>
        </w:rPr>
        <w:fldChar w:fldCharType="end"/>
      </w:r>
      <w:bookmarkEnd w:id="855"/>
      <w:r>
        <w:rPr>
          <w:noProof/>
        </w:rPr>
        <w:t xml:space="preserve">: </w:t>
      </w:r>
      <w:r w:rsidR="00C40598">
        <w:rPr>
          <w:noProof/>
        </w:rPr>
        <w:t>M</w:t>
      </w:r>
      <w:r>
        <w:rPr>
          <w:noProof/>
        </w:rPr>
        <w:t>onthly fossil fuel prices (US$, 1960-</w:t>
      </w:r>
      <w:r w:rsidR="00E37929">
        <w:rPr>
          <w:noProof/>
        </w:rPr>
        <w:t xml:space="preserve">October </w:t>
      </w:r>
      <w:r>
        <w:rPr>
          <w:noProof/>
        </w:rPr>
        <w:t>2023)</w:t>
      </w:r>
      <w:bookmarkEnd w:id="856"/>
    </w:p>
    <w:p w14:paraId="616DB160" w14:textId="176AEA75" w:rsidR="00E9782B" w:rsidRDefault="00E37929" w:rsidP="007D4354">
      <w:pPr>
        <w:keepNext/>
        <w:spacing w:after="0"/>
        <w:jc w:val="center"/>
        <w:rPr>
          <w:noProof/>
          <w:lang w:val="en-IE"/>
        </w:rPr>
      </w:pPr>
      <w:r w:rsidRPr="00E37929">
        <w:rPr>
          <w:noProof/>
          <w:lang w:val="en-IE"/>
        </w:rPr>
        <w:t xml:space="preserve"> </w:t>
      </w:r>
      <w:r w:rsidRPr="00E37929">
        <w:rPr>
          <w:noProof/>
          <w:lang w:eastAsia="en-GB"/>
        </w:rPr>
        <w:drawing>
          <wp:inline distT="0" distB="0" distL="0" distR="0" wp14:anchorId="23BAD52F" wp14:editId="517C9C35">
            <wp:extent cx="5391150" cy="2523490"/>
            <wp:effectExtent l="0" t="0" r="0" b="0"/>
            <wp:docPr id="1506651263" name="Picture 150665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7" cstate="print">
                      <a:extLst>
                        <a:ext uri="{28A0092B-C50C-407E-A947-70E740481C1C}">
                          <a14:useLocalDpi xmlns:a14="http://schemas.microsoft.com/office/drawing/2010/main" val="0"/>
                        </a:ext>
                      </a:extLst>
                    </a:blip>
                    <a:srcRect/>
                    <a:stretch>
                      <a:fillRect/>
                    </a:stretch>
                  </pic:blipFill>
                  <pic:spPr bwMode="auto">
                    <a:xfrm>
                      <a:off x="0" y="0"/>
                      <a:ext cx="5391150" cy="2523490"/>
                    </a:xfrm>
                    <a:prstGeom prst="rect">
                      <a:avLst/>
                    </a:prstGeom>
                    <a:noFill/>
                    <a:ln>
                      <a:noFill/>
                    </a:ln>
                  </pic:spPr>
                </pic:pic>
              </a:graphicData>
            </a:graphic>
          </wp:inline>
        </w:drawing>
      </w:r>
    </w:p>
    <w:p w14:paraId="18E92B38" w14:textId="59517BEA" w:rsidR="00E9782B" w:rsidRPr="007059A4" w:rsidRDefault="00E9782B" w:rsidP="008D3361">
      <w:pPr>
        <w:pStyle w:val="CT-SOURCE"/>
        <w:rPr>
          <w:noProof/>
        </w:rPr>
      </w:pPr>
      <w:r w:rsidRPr="007059A4">
        <w:rPr>
          <w:noProof/>
        </w:rPr>
        <w:t xml:space="preserve">Source: </w:t>
      </w:r>
      <w:r w:rsidR="00731553">
        <w:rPr>
          <w:noProof/>
        </w:rPr>
        <w:t>World Bank Commodity Price Data</w:t>
      </w:r>
      <w:r w:rsidRPr="007059A4">
        <w:rPr>
          <w:noProof/>
        </w:rPr>
        <w:t>.</w:t>
      </w:r>
    </w:p>
    <w:p w14:paraId="04A704CF" w14:textId="09D106F5" w:rsidR="008C24E3" w:rsidRDefault="00E109A1" w:rsidP="00BF46AA">
      <w:pPr>
        <w:rPr>
          <w:noProof/>
          <w:lang w:val="en-IE"/>
        </w:rPr>
      </w:pPr>
      <w:r>
        <w:rPr>
          <w:noProof/>
          <w:lang w:val="en-IE"/>
        </w:rPr>
        <w:t xml:space="preserve">As a major net fossil fuel importer, the EU has been particularly vulnerable to such price shocks. Reducing the dependency on imported fossil fuels would therefore bring clear </w:t>
      </w:r>
      <w:r w:rsidR="008C24E3">
        <w:rPr>
          <w:noProof/>
          <w:lang w:val="en-IE"/>
        </w:rPr>
        <w:t xml:space="preserve">socio-economic </w:t>
      </w:r>
      <w:r>
        <w:rPr>
          <w:noProof/>
          <w:lang w:val="en-IE"/>
        </w:rPr>
        <w:t xml:space="preserve">benefits </w:t>
      </w:r>
      <w:r w:rsidR="008C24E3">
        <w:rPr>
          <w:noProof/>
          <w:lang w:val="en-IE"/>
        </w:rPr>
        <w:t xml:space="preserve">via improved resilience and </w:t>
      </w:r>
      <w:r>
        <w:rPr>
          <w:noProof/>
          <w:lang w:val="en-IE"/>
        </w:rPr>
        <w:t>s</w:t>
      </w:r>
      <w:r w:rsidR="008C24E3">
        <w:rPr>
          <w:noProof/>
          <w:lang w:val="en-IE"/>
        </w:rPr>
        <w:t xml:space="preserve">trategic autonomy. The </w:t>
      </w:r>
      <w:r w:rsidR="0084346D">
        <w:rPr>
          <w:noProof/>
          <w:lang w:val="en-IE"/>
        </w:rPr>
        <w:t>JRC-</w:t>
      </w:r>
      <w:r w:rsidR="00BF46AA">
        <w:rPr>
          <w:noProof/>
          <w:lang w:val="en-IE"/>
        </w:rPr>
        <w:t xml:space="preserve">GEM-E3 model was used to quantify the benefits </w:t>
      </w:r>
      <w:r w:rsidR="008C24E3">
        <w:rPr>
          <w:noProof/>
          <w:lang w:val="en-IE"/>
        </w:rPr>
        <w:t>of the transition to climate neutrality</w:t>
      </w:r>
      <w:r w:rsidR="00BF46AA">
        <w:rPr>
          <w:noProof/>
          <w:lang w:val="en-IE"/>
        </w:rPr>
        <w:t xml:space="preserve"> on </w:t>
      </w:r>
      <w:r w:rsidR="008C24E3">
        <w:rPr>
          <w:noProof/>
          <w:lang w:val="en-IE"/>
        </w:rPr>
        <w:t xml:space="preserve">key </w:t>
      </w:r>
      <w:r w:rsidR="009028C9">
        <w:rPr>
          <w:noProof/>
          <w:lang w:val="en-IE"/>
        </w:rPr>
        <w:t xml:space="preserve">macro-economic </w:t>
      </w:r>
      <w:r w:rsidR="008C24E3">
        <w:rPr>
          <w:noProof/>
          <w:lang w:val="en-IE"/>
        </w:rPr>
        <w:t>variables</w:t>
      </w:r>
      <w:r w:rsidR="00BF46AA">
        <w:rPr>
          <w:noProof/>
          <w:lang w:val="en-IE"/>
        </w:rPr>
        <w:t>.</w:t>
      </w:r>
      <w:r w:rsidR="008C24E3">
        <w:rPr>
          <w:noProof/>
          <w:lang w:val="en-IE"/>
        </w:rPr>
        <w:t xml:space="preserve"> </w:t>
      </w:r>
      <w:r w:rsidR="00BF46AA">
        <w:rPr>
          <w:noProof/>
          <w:lang w:val="en-IE"/>
        </w:rPr>
        <w:t xml:space="preserve">The </w:t>
      </w:r>
      <w:r w:rsidR="008C24E3">
        <w:rPr>
          <w:noProof/>
          <w:lang w:val="en-IE"/>
        </w:rPr>
        <w:t xml:space="preserve">model assessed the impacts of a doubling of </w:t>
      </w:r>
      <w:r w:rsidR="00BF46AA">
        <w:rPr>
          <w:noProof/>
          <w:lang w:val="en-IE"/>
        </w:rPr>
        <w:t>fossil fuel</w:t>
      </w:r>
      <w:r w:rsidR="008C24E3">
        <w:rPr>
          <w:noProof/>
          <w:lang w:val="en-IE"/>
        </w:rPr>
        <w:t xml:space="preserve"> prices </w:t>
      </w:r>
      <w:r w:rsidR="00BF46AA">
        <w:rPr>
          <w:noProof/>
          <w:lang w:val="en-IE"/>
        </w:rPr>
        <w:t>(oil, coal and gas)</w:t>
      </w:r>
      <w:r w:rsidR="008C24E3">
        <w:rPr>
          <w:noProof/>
          <w:lang w:val="en-IE"/>
        </w:rPr>
        <w:t xml:space="preserve"> at global level. Some geographic differentiation was integrated into the simulation, as </w:t>
      </w:r>
      <w:r w:rsidR="008C24E3" w:rsidRPr="008C24E3">
        <w:rPr>
          <w:noProof/>
          <w:lang w:val="en-IE"/>
        </w:rPr>
        <w:t>domestic prices in energy</w:t>
      </w:r>
      <w:r w:rsidR="008C24E3">
        <w:rPr>
          <w:noProof/>
          <w:lang w:val="en-IE"/>
        </w:rPr>
        <w:t>-</w:t>
      </w:r>
      <w:r w:rsidR="008C24E3" w:rsidRPr="008C24E3">
        <w:rPr>
          <w:noProof/>
          <w:lang w:val="en-IE"/>
        </w:rPr>
        <w:t>exporting countries were less affected</w:t>
      </w:r>
      <w:r w:rsidR="008C24E3">
        <w:rPr>
          <w:noProof/>
          <w:lang w:val="en-IE"/>
        </w:rPr>
        <w:t xml:space="preserve"> than in net importing countries (including the EU). In one set of simulations, spillovers to electricity prices were not considered, while in the other set of simulations spillovers were integrated for </w:t>
      </w:r>
      <w:r w:rsidR="000E51B0">
        <w:rPr>
          <w:noProof/>
          <w:lang w:val="en-IE"/>
        </w:rPr>
        <w:t>Europe</w:t>
      </w:r>
      <w:r w:rsidR="008C24E3">
        <w:rPr>
          <w:noProof/>
          <w:lang w:val="en-IE"/>
        </w:rPr>
        <w:t xml:space="preserve"> only.</w:t>
      </w:r>
    </w:p>
    <w:p w14:paraId="6896F8B5" w14:textId="3C3B6E77" w:rsidR="008C24E3" w:rsidRDefault="008C24E3" w:rsidP="00BF46AA">
      <w:pPr>
        <w:rPr>
          <w:noProof/>
          <w:lang w:val="en-IE"/>
        </w:rPr>
      </w:pPr>
      <w:r>
        <w:rPr>
          <w:noProof/>
          <w:lang w:val="en-IE"/>
        </w:rPr>
        <w:t>The model simulated the impacts of these two sets of stylised shocks</w:t>
      </w:r>
      <w:r w:rsidR="008231F5">
        <w:rPr>
          <w:noProof/>
          <w:lang w:val="en-IE"/>
        </w:rPr>
        <w:t xml:space="preserve">, should they occur in 2025 or in 2040. The JRC-GEM-E3 model mirrors the structure of the energy system as represented in the PRIMES scenarios, which means that a high degree of decarbonisation is achieved </w:t>
      </w:r>
      <w:r w:rsidR="00104D03">
        <w:rPr>
          <w:noProof/>
          <w:lang w:val="en-IE"/>
        </w:rPr>
        <w:t>in</w:t>
      </w:r>
      <w:r w:rsidR="008231F5">
        <w:rPr>
          <w:noProof/>
          <w:lang w:val="en-IE"/>
        </w:rPr>
        <w:t xml:space="preserve"> 2040, but also that the </w:t>
      </w:r>
      <w:r w:rsidR="00104D03">
        <w:rPr>
          <w:noProof/>
          <w:lang w:val="en-IE"/>
        </w:rPr>
        <w:t xml:space="preserve">EU </w:t>
      </w:r>
      <w:r w:rsidR="008231F5">
        <w:rPr>
          <w:noProof/>
          <w:lang w:val="en-IE"/>
        </w:rPr>
        <w:t xml:space="preserve">economy has reduced its reliance on fossil fuels to a significant extent </w:t>
      </w:r>
      <w:r w:rsidR="00104D03">
        <w:rPr>
          <w:noProof/>
          <w:lang w:val="en-IE"/>
        </w:rPr>
        <w:t>in 2025 compared to the 1990s. The impact of a given shock on the 2025 economy would therefore already be significantly lower than the impact on the 1990 economy.</w:t>
      </w:r>
    </w:p>
    <w:p w14:paraId="23C2ADEB" w14:textId="7D58B89A" w:rsidR="00104D03" w:rsidRDefault="007D4354" w:rsidP="00BF46AA">
      <w:pPr>
        <w:rPr>
          <w:noProof/>
          <w:lang w:val="en-IE"/>
        </w:rPr>
      </w:pPr>
      <w:r w:rsidRPr="007D4354">
        <w:rPr>
          <w:noProof/>
          <w:color w:val="2B579A"/>
          <w:highlight w:val="yellow"/>
          <w:shd w:val="clear" w:color="auto" w:fill="E6E6E6"/>
          <w:lang w:val="en-IE"/>
        </w:rPr>
        <w:fldChar w:fldCharType="begin"/>
      </w:r>
      <w:r w:rsidRPr="007D4354">
        <w:rPr>
          <w:noProof/>
          <w:color w:val="2B579A"/>
          <w:highlight w:val="yellow"/>
          <w:shd w:val="clear" w:color="auto" w:fill="E6E6E6"/>
          <w:lang w:val="en-IE"/>
        </w:rPr>
        <w:instrText xml:space="preserve"> REF _Ref144482392 \h </w:instrText>
      </w:r>
      <w:r>
        <w:rPr>
          <w:noProof/>
          <w:color w:val="2B579A"/>
          <w:highlight w:val="yellow"/>
          <w:shd w:val="clear" w:color="auto" w:fill="E6E6E6"/>
          <w:lang w:val="en-IE"/>
        </w:rPr>
        <w:instrText xml:space="preserve"> \* MERGEFORMAT </w:instrText>
      </w:r>
      <w:r w:rsidRPr="007D4354">
        <w:rPr>
          <w:noProof/>
          <w:color w:val="2B579A"/>
          <w:highlight w:val="yellow"/>
          <w:shd w:val="clear" w:color="auto" w:fill="E6E6E6"/>
          <w:lang w:val="en-IE"/>
        </w:rPr>
      </w:r>
      <w:r w:rsidRPr="007D4354">
        <w:rPr>
          <w:noProof/>
          <w:color w:val="2B579A"/>
          <w:highlight w:val="yellow"/>
          <w:shd w:val="clear" w:color="auto" w:fill="E6E6E6"/>
          <w:lang w:val="en-IE"/>
        </w:rPr>
        <w:fldChar w:fldCharType="separate"/>
      </w:r>
      <w:r w:rsidR="00170A3C">
        <w:rPr>
          <w:noProof/>
        </w:rPr>
        <w:t>Table 56</w:t>
      </w:r>
      <w:r w:rsidRPr="007D4354">
        <w:rPr>
          <w:noProof/>
          <w:color w:val="2B579A"/>
          <w:highlight w:val="yellow"/>
          <w:shd w:val="clear" w:color="auto" w:fill="E6E6E6"/>
          <w:lang w:val="en-IE"/>
        </w:rPr>
        <w:fldChar w:fldCharType="end"/>
      </w:r>
      <w:r w:rsidR="00294979">
        <w:rPr>
          <w:noProof/>
          <w:lang w:val="en-IE"/>
        </w:rPr>
        <w:t xml:space="preserve"> </w:t>
      </w:r>
      <w:r>
        <w:rPr>
          <w:noProof/>
          <w:lang w:val="en-IE"/>
        </w:rPr>
        <w:t>indicates</w:t>
      </w:r>
      <w:r w:rsidR="00104D03">
        <w:rPr>
          <w:noProof/>
          <w:lang w:val="en-IE"/>
        </w:rPr>
        <w:t xml:space="preserve"> that a doubling of fossil fuel prices in 2025, without spillovers to electricity prices, would generate a negative shock of about 0.8% </w:t>
      </w:r>
      <w:r w:rsidR="00642E1F">
        <w:rPr>
          <w:noProof/>
          <w:lang w:val="en-IE"/>
        </w:rPr>
        <w:t>on</w:t>
      </w:r>
      <w:r w:rsidR="00104D03">
        <w:rPr>
          <w:noProof/>
          <w:lang w:val="en-IE"/>
        </w:rPr>
        <w:t xml:space="preserve"> GDP, 2.6% </w:t>
      </w:r>
      <w:r w:rsidR="00642E1F">
        <w:rPr>
          <w:noProof/>
          <w:lang w:val="en-IE"/>
        </w:rPr>
        <w:t>on</w:t>
      </w:r>
      <w:r w:rsidR="00104D03">
        <w:rPr>
          <w:noProof/>
          <w:lang w:val="en-IE"/>
        </w:rPr>
        <w:t xml:space="preserve"> private consumption and 1.1% </w:t>
      </w:r>
      <w:r w:rsidR="00642E1F">
        <w:rPr>
          <w:noProof/>
          <w:lang w:val="en-IE"/>
        </w:rPr>
        <w:t>on</w:t>
      </w:r>
      <w:r w:rsidR="00104D03">
        <w:rPr>
          <w:noProof/>
          <w:lang w:val="en-IE"/>
        </w:rPr>
        <w:t xml:space="preserve"> employment, with an associated increase of 3.</w:t>
      </w:r>
      <w:r w:rsidR="00AD46B1">
        <w:rPr>
          <w:noProof/>
          <w:lang w:val="en-IE"/>
        </w:rPr>
        <w:t>0</w:t>
      </w:r>
      <w:r w:rsidR="00104D03">
        <w:rPr>
          <w:noProof/>
          <w:lang w:val="en-IE"/>
        </w:rPr>
        <w:t>% in inflation. The same shock in 2040, with the associated progress towards the decarbonisation of the energy system, would halve the negative impacts on the same broad macro-economic aggregates.</w:t>
      </w:r>
    </w:p>
    <w:p w14:paraId="72BFB88C" w14:textId="305919AC" w:rsidR="00D73128" w:rsidRDefault="00D73128" w:rsidP="00D73128">
      <w:pPr>
        <w:pStyle w:val="Caption"/>
        <w:rPr>
          <w:noProof/>
        </w:rPr>
      </w:pPr>
      <w:bookmarkStart w:id="857" w:name="_Ref144482392"/>
      <w:bookmarkStart w:id="858" w:name="_Toc157679939"/>
      <w:r>
        <w:rPr>
          <w:noProof/>
        </w:rPr>
        <w:t xml:space="preserve">Table </w:t>
      </w:r>
      <w:r>
        <w:rPr>
          <w:noProof/>
          <w:color w:val="2B579A"/>
          <w:shd w:val="clear" w:color="auto" w:fill="E6E6E6"/>
        </w:rPr>
        <w:fldChar w:fldCharType="begin"/>
      </w:r>
      <w:r>
        <w:rPr>
          <w:noProof/>
        </w:rPr>
        <w:instrText>SEQ Table \* ARABIC</w:instrText>
      </w:r>
      <w:r>
        <w:rPr>
          <w:noProof/>
          <w:color w:val="2B579A"/>
          <w:shd w:val="clear" w:color="auto" w:fill="E6E6E6"/>
        </w:rPr>
        <w:fldChar w:fldCharType="separate"/>
      </w:r>
      <w:r w:rsidR="00170A3C">
        <w:rPr>
          <w:noProof/>
        </w:rPr>
        <w:t>56</w:t>
      </w:r>
      <w:r>
        <w:rPr>
          <w:noProof/>
          <w:color w:val="2B579A"/>
          <w:shd w:val="clear" w:color="auto" w:fill="E6E6E6"/>
        </w:rPr>
        <w:fldChar w:fldCharType="end"/>
      </w:r>
      <w:bookmarkEnd w:id="857"/>
      <w:r>
        <w:rPr>
          <w:noProof/>
        </w:rPr>
        <w:t xml:space="preserve">: </w:t>
      </w:r>
      <w:r w:rsidR="00A01AC5">
        <w:rPr>
          <w:noProof/>
        </w:rPr>
        <w:t>M</w:t>
      </w:r>
      <w:r w:rsidR="00031813">
        <w:rPr>
          <w:noProof/>
        </w:rPr>
        <w:t>acroeconomic impacts</w:t>
      </w:r>
      <w:r>
        <w:rPr>
          <w:noProof/>
        </w:rPr>
        <w:t xml:space="preserve"> of energy </w:t>
      </w:r>
      <w:r w:rsidR="00031813">
        <w:rPr>
          <w:noProof/>
        </w:rPr>
        <w:t>price shocks (deviation from baseline)</w:t>
      </w:r>
      <w:bookmarkEnd w:id="858"/>
    </w:p>
    <w:p w14:paraId="619D326B" w14:textId="593BEDD9" w:rsidR="00031813" w:rsidRPr="00031813" w:rsidRDefault="00077ABE" w:rsidP="007D4354">
      <w:pPr>
        <w:keepNext/>
        <w:spacing w:after="0"/>
        <w:jc w:val="center"/>
        <w:rPr>
          <w:noProof/>
        </w:rPr>
      </w:pPr>
      <w:r w:rsidRPr="00077ABE">
        <w:rPr>
          <w:noProof/>
          <w:lang w:eastAsia="en-GB"/>
        </w:rPr>
        <w:drawing>
          <wp:inline distT="0" distB="0" distL="0" distR="0" wp14:anchorId="7FE3333A" wp14:editId="4ED24328">
            <wp:extent cx="4174490" cy="2767330"/>
            <wp:effectExtent l="0" t="0" r="0" b="0"/>
            <wp:docPr id="363790937" name="Picture 363790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4174490" cy="2767330"/>
                    </a:xfrm>
                    <a:prstGeom prst="rect">
                      <a:avLst/>
                    </a:prstGeom>
                    <a:noFill/>
                    <a:ln>
                      <a:noFill/>
                    </a:ln>
                  </pic:spPr>
                </pic:pic>
              </a:graphicData>
            </a:graphic>
          </wp:inline>
        </w:drawing>
      </w:r>
    </w:p>
    <w:p w14:paraId="3C6B210C" w14:textId="70EBEE64" w:rsidR="00D73128" w:rsidRPr="001B0059" w:rsidRDefault="001B0059" w:rsidP="008D3361">
      <w:pPr>
        <w:pStyle w:val="CT-SOURCE"/>
        <w:rPr>
          <w:i w:val="0"/>
          <w:iCs w:val="0"/>
          <w:noProof/>
        </w:rPr>
      </w:pPr>
      <w:r w:rsidRPr="00031813">
        <w:rPr>
          <w:noProof/>
        </w:rPr>
        <w:t xml:space="preserve">Source: </w:t>
      </w:r>
      <w:r w:rsidR="0084346D" w:rsidRPr="00031813">
        <w:rPr>
          <w:noProof/>
        </w:rPr>
        <w:t>JRC-</w:t>
      </w:r>
      <w:r w:rsidRPr="00031813">
        <w:rPr>
          <w:noProof/>
        </w:rPr>
        <w:t>GEM-E3</w:t>
      </w:r>
    </w:p>
    <w:p w14:paraId="6396EB12" w14:textId="308C3F77" w:rsidR="00642E1F" w:rsidRDefault="00682155" w:rsidP="00DC69D0">
      <w:pPr>
        <w:rPr>
          <w:noProof/>
          <w:lang w:val="en-IE"/>
        </w:rPr>
      </w:pPr>
      <w:r>
        <w:rPr>
          <w:noProof/>
          <w:lang w:val="en-IE"/>
        </w:rPr>
        <w:t xml:space="preserve">It must be noted that the one-year </w:t>
      </w:r>
      <w:r w:rsidR="00642E1F">
        <w:rPr>
          <w:noProof/>
          <w:lang w:val="en-IE"/>
        </w:rPr>
        <w:t xml:space="preserve">GDP </w:t>
      </w:r>
      <w:r>
        <w:rPr>
          <w:noProof/>
          <w:lang w:val="en-IE"/>
        </w:rPr>
        <w:t xml:space="preserve">impact in 2040 of such a shock is </w:t>
      </w:r>
      <w:r w:rsidR="00C04038">
        <w:rPr>
          <w:noProof/>
          <w:lang w:val="en-IE"/>
        </w:rPr>
        <w:t xml:space="preserve">significantly larger than </w:t>
      </w:r>
      <w:r>
        <w:rPr>
          <w:noProof/>
          <w:lang w:val="en-IE"/>
        </w:rPr>
        <w:t xml:space="preserve">the </w:t>
      </w:r>
      <w:r w:rsidR="00BC55C2">
        <w:rPr>
          <w:noProof/>
          <w:lang w:val="en-IE"/>
        </w:rPr>
        <w:t>impact of increasing climate ambition from the level under S</w:t>
      </w:r>
      <w:r w:rsidR="00C04038">
        <w:rPr>
          <w:noProof/>
          <w:lang w:val="en-IE"/>
        </w:rPr>
        <w:t>2</w:t>
      </w:r>
      <w:r w:rsidR="00BC55C2">
        <w:rPr>
          <w:noProof/>
          <w:lang w:val="en-IE"/>
        </w:rPr>
        <w:t xml:space="preserve"> to that under S</w:t>
      </w:r>
      <w:r w:rsidR="00C04038">
        <w:rPr>
          <w:noProof/>
          <w:lang w:val="en-IE"/>
        </w:rPr>
        <w:t>3</w:t>
      </w:r>
      <w:r w:rsidR="00BC55C2">
        <w:rPr>
          <w:noProof/>
          <w:lang w:val="en-IE"/>
        </w:rPr>
        <w:t xml:space="preserve">, and that the same shock in 2025 would generate twice that impact on GDP. </w:t>
      </w:r>
      <w:r w:rsidR="00C04038">
        <w:rPr>
          <w:noProof/>
          <w:lang w:val="en-IE"/>
        </w:rPr>
        <w:t>Similarly</w:t>
      </w:r>
      <w:r w:rsidR="00642E1F">
        <w:rPr>
          <w:noProof/>
          <w:lang w:val="en-IE"/>
        </w:rPr>
        <w:t xml:space="preserve">, the negative impact on private consumption from a fossil fuel price shock is </w:t>
      </w:r>
      <w:r w:rsidR="00C04038">
        <w:rPr>
          <w:noProof/>
          <w:lang w:val="en-IE"/>
        </w:rPr>
        <w:t xml:space="preserve">much </w:t>
      </w:r>
      <w:r w:rsidR="00642E1F">
        <w:rPr>
          <w:noProof/>
          <w:lang w:val="en-IE"/>
        </w:rPr>
        <w:t>larger (both under the 2025 and unde</w:t>
      </w:r>
      <w:r w:rsidR="00C04038">
        <w:rPr>
          <w:noProof/>
          <w:lang w:val="en-IE"/>
        </w:rPr>
        <w:t>r</w:t>
      </w:r>
      <w:r w:rsidR="00642E1F">
        <w:rPr>
          <w:noProof/>
          <w:lang w:val="en-IE"/>
        </w:rPr>
        <w:t xml:space="preserve"> the 2040 setting) than the negative impact resulting from an increase in ambition from S</w:t>
      </w:r>
      <w:r w:rsidR="00C04038">
        <w:rPr>
          <w:noProof/>
          <w:lang w:val="en-IE"/>
        </w:rPr>
        <w:t>2</w:t>
      </w:r>
      <w:r w:rsidR="00642E1F">
        <w:rPr>
          <w:noProof/>
          <w:lang w:val="en-IE"/>
        </w:rPr>
        <w:t xml:space="preserve"> to S</w:t>
      </w:r>
      <w:r w:rsidR="00C04038">
        <w:rPr>
          <w:noProof/>
          <w:lang w:val="en-IE"/>
        </w:rPr>
        <w:t>3 (up to -2.2% for the fossil fuel price shock in 2040 compared to -0.5% for the impact of increasing ambition from S2 to S3).</w:t>
      </w:r>
    </w:p>
    <w:p w14:paraId="08F9B82C" w14:textId="12ED40DD" w:rsidR="00104D03" w:rsidRDefault="00BC55C2" w:rsidP="00DC69D0">
      <w:pPr>
        <w:rPr>
          <w:noProof/>
          <w:lang w:val="en-IE"/>
        </w:rPr>
      </w:pPr>
      <w:r>
        <w:rPr>
          <w:noProof/>
          <w:lang w:val="en-IE"/>
        </w:rPr>
        <w:t xml:space="preserve">In addition, a closer look at the dissemination channels of a global fossil fuel price shock shows that the EU’s lead in decarbonising its economy entails competitiveness gains when/if such shocks arise. A global shock would indeed negatively affect not only the EU economy, but also the global economy and the EU’s main trading partners. As a </w:t>
      </w:r>
      <w:r w:rsidR="0076141F">
        <w:rPr>
          <w:noProof/>
          <w:lang w:val="en-IE"/>
        </w:rPr>
        <w:t>result,</w:t>
      </w:r>
      <w:r>
        <w:rPr>
          <w:noProof/>
          <w:lang w:val="en-IE"/>
        </w:rPr>
        <w:t xml:space="preserve"> the size of the EU’s export market would be negatively affected, yet the simulation shows that EU exports would increase overall and that the output of energy-intensive industries would increase somewhat</w:t>
      </w:r>
      <w:r w:rsidR="00077ABE">
        <w:rPr>
          <w:noProof/>
          <w:lang w:val="en-IE"/>
        </w:rPr>
        <w:t xml:space="preserve"> (fossil fuel price shock only)</w:t>
      </w:r>
      <w:r>
        <w:rPr>
          <w:noProof/>
          <w:lang w:val="en-IE"/>
        </w:rPr>
        <w:t xml:space="preserve">. The driving force behind this is the more advanced stage of decarbonisation of the EU economy relative to the rest of the world and hence its reduced vulnerability to increases in fossil fuel prices. EU companies would therefore be in a position to gain export market shares via increased competitiveness, while also gaining shares in the domestic market, to the detriment of imported goods. Decarbonisation therefore reduces the EU’s vulnerability to fossil price shocks via two </w:t>
      </w:r>
      <w:r w:rsidR="0026538C">
        <w:rPr>
          <w:noProof/>
          <w:lang w:val="en-IE"/>
        </w:rPr>
        <w:t>key</w:t>
      </w:r>
      <w:r>
        <w:rPr>
          <w:noProof/>
          <w:lang w:val="en-IE"/>
        </w:rPr>
        <w:t xml:space="preserve"> channels: (1) a lower dependency on fossil fuels overall; and (2) a reduction in the negative impact of a fall in global GDP.</w:t>
      </w:r>
    </w:p>
    <w:p w14:paraId="51C40701" w14:textId="4FF8E0F8" w:rsidR="00BC55C2" w:rsidRDefault="0026538C" w:rsidP="00DC69D0">
      <w:pPr>
        <w:rPr>
          <w:noProof/>
          <w:lang w:val="en-IE"/>
        </w:rPr>
      </w:pPr>
      <w:r>
        <w:rPr>
          <w:noProof/>
          <w:lang w:val="en-IE"/>
        </w:rPr>
        <w:t>Integrating the effect</w:t>
      </w:r>
      <w:r w:rsidR="00330066">
        <w:rPr>
          <w:noProof/>
          <w:lang w:val="en-IE"/>
        </w:rPr>
        <w:t>s</w:t>
      </w:r>
      <w:r>
        <w:rPr>
          <w:noProof/>
          <w:lang w:val="en-IE"/>
        </w:rPr>
        <w:t xml:space="preserve"> of spillovers to electricity prices in the EU makes the impacts described above </w:t>
      </w:r>
      <w:r w:rsidR="00330066">
        <w:rPr>
          <w:noProof/>
          <w:lang w:val="en-IE"/>
        </w:rPr>
        <w:t xml:space="preserve">somewhat </w:t>
      </w:r>
      <w:r>
        <w:rPr>
          <w:noProof/>
          <w:lang w:val="en-IE"/>
        </w:rPr>
        <w:t>larger</w:t>
      </w:r>
      <w:r w:rsidR="00330066">
        <w:rPr>
          <w:noProof/>
          <w:lang w:val="en-IE"/>
        </w:rPr>
        <w:t xml:space="preserve">, but the main finding that a higher degree of decarbonisation of the energy system in 2040 than in 2025 shelters the EU economy remains. Further simulations were done to assess the impact of a fossil fuel price shock in 2040 under three main scenarios. The difference between scenarios for the variables listed in </w:t>
      </w:r>
      <w:r w:rsidR="00A20FC5" w:rsidRPr="00D1590F">
        <w:rPr>
          <w:noProof/>
          <w:lang w:val="en-IE"/>
        </w:rPr>
        <w:fldChar w:fldCharType="begin"/>
      </w:r>
      <w:r w:rsidR="00A20FC5" w:rsidRPr="00A20FC5">
        <w:rPr>
          <w:noProof/>
          <w:highlight w:val="yellow"/>
          <w:lang w:val="en-IE"/>
        </w:rPr>
        <w:instrText xml:space="preserve"> REF _Ref144482392 \h </w:instrText>
      </w:r>
      <w:r w:rsidR="00A20FC5">
        <w:rPr>
          <w:noProof/>
          <w:highlight w:val="yellow"/>
          <w:lang w:val="en-IE"/>
        </w:rPr>
        <w:instrText xml:space="preserve"> \* MERGEFORMAT </w:instrText>
      </w:r>
      <w:r w:rsidR="00A20FC5" w:rsidRPr="00D1590F">
        <w:rPr>
          <w:noProof/>
          <w:lang w:val="en-IE"/>
        </w:rPr>
      </w:r>
      <w:r w:rsidR="00A20FC5" w:rsidRPr="00D1590F">
        <w:rPr>
          <w:noProof/>
          <w:lang w:val="en-IE"/>
        </w:rPr>
        <w:fldChar w:fldCharType="separate"/>
      </w:r>
      <w:r w:rsidR="00170A3C">
        <w:rPr>
          <w:noProof/>
        </w:rPr>
        <w:t>Table 56</w:t>
      </w:r>
      <w:r w:rsidR="00A20FC5" w:rsidRPr="00D1590F">
        <w:rPr>
          <w:noProof/>
          <w:lang w:val="en-IE"/>
        </w:rPr>
        <w:fldChar w:fldCharType="end"/>
      </w:r>
      <w:r w:rsidR="00C84BAD">
        <w:rPr>
          <w:noProof/>
          <w:lang w:val="en-IE"/>
        </w:rPr>
        <w:t xml:space="preserve"> is small, but a higher level of ambition is nevertheless associated with a smaller impact of a fossil fuel price shock on GDP, private consumption, employment and consumer prices. For energy intensive industries, the positive impact of a higher ambition is more significant in terms of output as they gain further protection under S2 and S3 in case of fossil fuel price shock than under S1.</w:t>
      </w:r>
    </w:p>
    <w:p w14:paraId="34A3626F" w14:textId="281E62A4" w:rsidR="001C5FA4" w:rsidRDefault="001C5FA4" w:rsidP="00DC69D0">
      <w:pPr>
        <w:rPr>
          <w:noProof/>
          <w:lang w:val="en-IE"/>
        </w:rPr>
      </w:pPr>
      <w:r>
        <w:rPr>
          <w:noProof/>
          <w:lang w:val="en-IE"/>
        </w:rPr>
        <w:t xml:space="preserve">These modelling results should also be seen in the context of the support that Member States have provided to households and businesses to shelter them from the impact of the recent surge in energy prices following Russia’s war of </w:t>
      </w:r>
      <w:r w:rsidR="005D0C05">
        <w:rPr>
          <w:noProof/>
          <w:lang w:val="en-IE"/>
        </w:rPr>
        <w:t>aggression</w:t>
      </w:r>
      <w:r>
        <w:rPr>
          <w:noProof/>
          <w:lang w:val="en-IE"/>
        </w:rPr>
        <w:t xml:space="preserve">in Ukraine. In response to the crisis, </w:t>
      </w:r>
      <w:r w:rsidR="00383809">
        <w:rPr>
          <w:noProof/>
          <w:lang w:val="en-IE"/>
        </w:rPr>
        <w:t xml:space="preserve">and to foster support measures in sectors which are key for the transition to a net-zero economy, </w:t>
      </w:r>
      <w:r>
        <w:rPr>
          <w:noProof/>
          <w:lang w:val="en-IE"/>
        </w:rPr>
        <w:t xml:space="preserve">the Commission adopted in March </w:t>
      </w:r>
      <w:r w:rsidR="00383809">
        <w:rPr>
          <w:noProof/>
          <w:lang w:val="en-IE"/>
        </w:rPr>
        <w:t xml:space="preserve">2023 </w:t>
      </w:r>
      <w:r>
        <w:rPr>
          <w:noProof/>
          <w:lang w:val="en-IE"/>
        </w:rPr>
        <w:t xml:space="preserve">the </w:t>
      </w:r>
      <w:r w:rsidRPr="001C5FA4">
        <w:rPr>
          <w:noProof/>
          <w:lang w:val="en-IE"/>
        </w:rPr>
        <w:t>Temporary Crisis and Transition Framework</w:t>
      </w:r>
      <w:r>
        <w:rPr>
          <w:noProof/>
          <w:lang w:val="en-IE"/>
        </w:rPr>
        <w:t xml:space="preserve"> (TCTF), as subsequently amended. </w:t>
      </w:r>
      <w:r w:rsidR="00383809">
        <w:rPr>
          <w:noProof/>
          <w:lang w:val="en-IE"/>
        </w:rPr>
        <w:t xml:space="preserve">The TCTF replaces the former Temporary Crisis Framework (TCF)  which was adopted in March 2022. </w:t>
      </w:r>
      <w:r>
        <w:rPr>
          <w:noProof/>
          <w:lang w:val="en-IE"/>
        </w:rPr>
        <w:t>The TCTF facilitate</w:t>
      </w:r>
      <w:r w:rsidR="00383809">
        <w:rPr>
          <w:noProof/>
          <w:lang w:val="en-IE"/>
        </w:rPr>
        <w:t>s</w:t>
      </w:r>
      <w:r>
        <w:rPr>
          <w:noProof/>
          <w:lang w:val="en-IE"/>
        </w:rPr>
        <w:t xml:space="preserve">, on a temporary basis, the granting of </w:t>
      </w:r>
      <w:r w:rsidR="00383809">
        <w:rPr>
          <w:noProof/>
          <w:lang w:val="en-IE"/>
        </w:rPr>
        <w:t xml:space="preserve">the following types of </w:t>
      </w:r>
      <w:r>
        <w:rPr>
          <w:noProof/>
          <w:lang w:val="en-IE"/>
        </w:rPr>
        <w:t>aid:</w:t>
      </w:r>
      <w:r w:rsidRPr="001C5FA4">
        <w:rPr>
          <w:noProof/>
          <w:lang w:val="en-IE"/>
        </w:rPr>
        <w:t xml:space="preserve"> (1)</w:t>
      </w:r>
      <w:r>
        <w:rPr>
          <w:noProof/>
          <w:lang w:val="en-IE"/>
        </w:rPr>
        <w:t> </w:t>
      </w:r>
      <w:r w:rsidR="00383809">
        <w:rPr>
          <w:noProof/>
          <w:lang w:val="en-IE"/>
        </w:rPr>
        <w:t>limited aid amounts to companies affected by the crisis</w:t>
      </w:r>
      <w:r>
        <w:rPr>
          <w:noProof/>
          <w:lang w:val="en-IE"/>
        </w:rPr>
        <w:t xml:space="preserve">; </w:t>
      </w:r>
      <w:r w:rsidRPr="001C5FA4">
        <w:rPr>
          <w:noProof/>
          <w:lang w:val="en-IE"/>
        </w:rPr>
        <w:t>(2)</w:t>
      </w:r>
      <w:r>
        <w:rPr>
          <w:noProof/>
          <w:lang w:val="en-IE"/>
        </w:rPr>
        <w:t> </w:t>
      </w:r>
      <w:r w:rsidRPr="001C5FA4">
        <w:rPr>
          <w:noProof/>
          <w:lang w:val="en-IE"/>
        </w:rPr>
        <w:t xml:space="preserve">liquidity support in </w:t>
      </w:r>
      <w:r w:rsidR="00383809">
        <w:rPr>
          <w:noProof/>
          <w:lang w:val="en-IE"/>
        </w:rPr>
        <w:t xml:space="preserve">the form </w:t>
      </w:r>
      <w:r w:rsidRPr="001C5FA4">
        <w:rPr>
          <w:noProof/>
          <w:lang w:val="en-IE"/>
        </w:rPr>
        <w:t xml:space="preserve">of subsidised loans or </w:t>
      </w:r>
      <w:r w:rsidR="00383809">
        <w:rPr>
          <w:noProof/>
          <w:lang w:val="en-IE"/>
        </w:rPr>
        <w:t xml:space="preserve">State </w:t>
      </w:r>
      <w:r w:rsidRPr="001C5FA4">
        <w:rPr>
          <w:noProof/>
          <w:lang w:val="en-IE"/>
        </w:rPr>
        <w:t>guarantees</w:t>
      </w:r>
      <w:r>
        <w:rPr>
          <w:noProof/>
          <w:lang w:val="en-IE"/>
        </w:rPr>
        <w:t>;</w:t>
      </w:r>
      <w:r w:rsidRPr="001C5FA4">
        <w:rPr>
          <w:noProof/>
          <w:lang w:val="en-IE"/>
        </w:rPr>
        <w:t xml:space="preserve"> (3)</w:t>
      </w:r>
      <w:r>
        <w:rPr>
          <w:noProof/>
          <w:lang w:val="en-IE"/>
        </w:rPr>
        <w:t> </w:t>
      </w:r>
      <w:r w:rsidR="00383809">
        <w:rPr>
          <w:noProof/>
          <w:lang w:val="en-IE"/>
        </w:rPr>
        <w:t>aid to compensate for exceptionally high energy prices</w:t>
      </w:r>
      <w:r>
        <w:rPr>
          <w:noProof/>
          <w:lang w:val="en-IE"/>
        </w:rPr>
        <w:t>;</w:t>
      </w:r>
      <w:r w:rsidRPr="001C5FA4">
        <w:rPr>
          <w:noProof/>
          <w:lang w:val="en-IE"/>
        </w:rPr>
        <w:t xml:space="preserve"> (</w:t>
      </w:r>
      <w:r>
        <w:rPr>
          <w:noProof/>
          <w:lang w:val="en-IE"/>
        </w:rPr>
        <w:t>4</w:t>
      </w:r>
      <w:r w:rsidRPr="001C5FA4">
        <w:rPr>
          <w:noProof/>
          <w:lang w:val="en-IE"/>
        </w:rPr>
        <w:t>)</w:t>
      </w:r>
      <w:r>
        <w:rPr>
          <w:noProof/>
          <w:lang w:val="en-IE"/>
        </w:rPr>
        <w:t> </w:t>
      </w:r>
      <w:r w:rsidR="00383809">
        <w:rPr>
          <w:noProof/>
          <w:lang w:val="en-IE"/>
        </w:rPr>
        <w:t>investment aid for accelerating the rollout of renewable energy, (5) aid for the decarbonisation of industrial production processes, (6) aid for the reduction of electricity consumption, and (7) aid for accelerated investments in sectors strategic for the transition towards a net-zero economy</w:t>
      </w:r>
      <w:r w:rsidRPr="001C5FA4">
        <w:rPr>
          <w:noProof/>
          <w:lang w:val="en-IE"/>
        </w:rPr>
        <w:t>.</w:t>
      </w:r>
    </w:p>
    <w:p w14:paraId="621A11B1" w14:textId="08715986" w:rsidR="001C5FA4" w:rsidRDefault="00AC7FC7" w:rsidP="00DC69D0">
      <w:pPr>
        <w:rPr>
          <w:noProof/>
          <w:lang w:val="en-IE"/>
        </w:rPr>
      </w:pPr>
      <w:r>
        <w:rPr>
          <w:noProof/>
          <w:lang w:val="en-IE"/>
        </w:rPr>
        <w:t xml:space="preserve">As of </w:t>
      </w:r>
      <w:r w:rsidR="00FE0051">
        <w:rPr>
          <w:noProof/>
          <w:lang w:val="en-IE"/>
        </w:rPr>
        <w:t>23 January 2024</w:t>
      </w:r>
      <w:r>
        <w:rPr>
          <w:noProof/>
          <w:lang w:val="en-IE"/>
        </w:rPr>
        <w:t xml:space="preserve">, the Commission had issued </w:t>
      </w:r>
      <w:r w:rsidR="00FE0051">
        <w:rPr>
          <w:noProof/>
          <w:lang w:val="en-IE"/>
        </w:rPr>
        <w:t xml:space="preserve">431 </w:t>
      </w:r>
      <w:r>
        <w:rPr>
          <w:noProof/>
          <w:lang w:val="en-IE"/>
        </w:rPr>
        <w:t xml:space="preserve">decisions approving </w:t>
      </w:r>
      <w:r w:rsidR="00FE0051">
        <w:rPr>
          <w:noProof/>
          <w:lang w:val="en-IE"/>
        </w:rPr>
        <w:t>334</w:t>
      </w:r>
      <w:r>
        <w:rPr>
          <w:noProof/>
          <w:lang w:val="en-IE"/>
        </w:rPr>
        <w:t xml:space="preserve"> national measures for a cumulative of amount of aid of EUR </w:t>
      </w:r>
      <w:r w:rsidR="00FE0051">
        <w:rPr>
          <w:noProof/>
          <w:lang w:val="en-IE"/>
        </w:rPr>
        <w:t>777 </w:t>
      </w:r>
      <w:r>
        <w:rPr>
          <w:noProof/>
          <w:lang w:val="en-IE"/>
        </w:rPr>
        <w:t xml:space="preserve">billion. </w:t>
      </w:r>
      <w:r w:rsidR="00FE0051">
        <w:rPr>
          <w:noProof/>
          <w:lang w:val="en-IE"/>
        </w:rPr>
        <w:t xml:space="preserve">All Member States notified schemes under the TCTF. Although aid amounts approved are not evenly distributed among Member States, this may be due to a number of reasons, including that aid amounts approved do not equate to aid actually granted or disbursed. Based on a survey of Member States, the Commission estimates that approximately EUR 141 billion of aid was actually granted to companies, representing 19.3% of the aid approved by the end of June 2023 and corresponding to 0.6% of the EU27 GDP in 2022 and first half of 2023. </w:t>
      </w:r>
    </w:p>
    <w:p w14:paraId="03BE4106" w14:textId="555CCB0A" w:rsidR="00747389" w:rsidRPr="00DD6070" w:rsidRDefault="00DD6070">
      <w:pPr>
        <w:spacing w:after="0"/>
        <w:jc w:val="left"/>
        <w:rPr>
          <w:noProof/>
        </w:rPr>
      </w:pPr>
      <w:r>
        <w:rPr>
          <w:noProof/>
        </w:rPr>
        <w:br w:type="page"/>
      </w:r>
    </w:p>
    <w:p w14:paraId="61251EB5" w14:textId="573E9C8A" w:rsidR="00934D86" w:rsidRDefault="00934D86" w:rsidP="00934D86">
      <w:pPr>
        <w:pStyle w:val="Heading1"/>
        <w:numPr>
          <w:ilvl w:val="0"/>
          <w:numId w:val="0"/>
        </w:numPr>
        <w:rPr>
          <w:noProof/>
        </w:rPr>
      </w:pPr>
      <w:bookmarkStart w:id="859" w:name="_Toc148605663"/>
      <w:bookmarkStart w:id="860" w:name="_Toc157692112"/>
      <w:r>
        <w:rPr>
          <w:noProof/>
        </w:rPr>
        <w:t>Table of Figures</w:t>
      </w:r>
      <w:bookmarkEnd w:id="859"/>
      <w:bookmarkEnd w:id="860"/>
    </w:p>
    <w:p w14:paraId="7A756C8F" w14:textId="11F3A15D" w:rsidR="00EB75EE" w:rsidRDefault="0056514C">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r>
        <w:rPr>
          <w:noProof/>
        </w:rPr>
        <w:fldChar w:fldCharType="begin"/>
      </w:r>
      <w:r>
        <w:rPr>
          <w:noProof/>
        </w:rPr>
        <w:instrText xml:space="preserve"> TOC \h \z \c "Figure" </w:instrText>
      </w:r>
      <w:r>
        <w:rPr>
          <w:noProof/>
        </w:rPr>
        <w:fldChar w:fldCharType="separate"/>
      </w:r>
      <w:hyperlink w:anchor="_Toc157679749" w:history="1">
        <w:r w:rsidR="00EB75EE" w:rsidRPr="00247083">
          <w:rPr>
            <w:rStyle w:val="Hyperlink"/>
            <w:noProof/>
            <w:lang w:val="fr-BE"/>
          </w:rPr>
          <w:t>Figure 1:  Domestic Gross GHG emissions</w:t>
        </w:r>
        <w:r w:rsidR="00EB75EE">
          <w:rPr>
            <w:noProof/>
            <w:webHidden/>
          </w:rPr>
          <w:tab/>
        </w:r>
        <w:r w:rsidR="00EB75EE">
          <w:rPr>
            <w:noProof/>
            <w:webHidden/>
          </w:rPr>
          <w:fldChar w:fldCharType="begin"/>
        </w:r>
        <w:r w:rsidR="00EB75EE">
          <w:rPr>
            <w:noProof/>
            <w:webHidden/>
          </w:rPr>
          <w:instrText xml:space="preserve"> PAGEREF _Toc157679749 \h </w:instrText>
        </w:r>
        <w:r w:rsidR="00EB75EE">
          <w:rPr>
            <w:noProof/>
            <w:webHidden/>
          </w:rPr>
        </w:r>
        <w:r w:rsidR="00EB75EE">
          <w:rPr>
            <w:noProof/>
            <w:webHidden/>
          </w:rPr>
          <w:fldChar w:fldCharType="separate"/>
        </w:r>
        <w:r w:rsidR="00EB75EE">
          <w:rPr>
            <w:noProof/>
            <w:webHidden/>
          </w:rPr>
          <w:t>7</w:t>
        </w:r>
        <w:r w:rsidR="00EB75EE">
          <w:rPr>
            <w:noProof/>
            <w:webHidden/>
          </w:rPr>
          <w:fldChar w:fldCharType="end"/>
        </w:r>
      </w:hyperlink>
    </w:p>
    <w:p w14:paraId="05D2A147" w14:textId="075E7206"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50" w:history="1">
        <w:r w:rsidR="00EB75EE" w:rsidRPr="00247083">
          <w:rPr>
            <w:rStyle w:val="Hyperlink"/>
            <w:noProof/>
          </w:rPr>
          <w:t>Figure 2: Carbon removals by source and use</w:t>
        </w:r>
        <w:r w:rsidR="00EB75EE">
          <w:rPr>
            <w:noProof/>
            <w:webHidden/>
          </w:rPr>
          <w:tab/>
        </w:r>
        <w:r w:rsidR="00EB75EE">
          <w:rPr>
            <w:noProof/>
            <w:webHidden/>
          </w:rPr>
          <w:fldChar w:fldCharType="begin"/>
        </w:r>
        <w:r w:rsidR="00EB75EE">
          <w:rPr>
            <w:noProof/>
            <w:webHidden/>
          </w:rPr>
          <w:instrText xml:space="preserve"> PAGEREF _Toc157679750 \h </w:instrText>
        </w:r>
        <w:r w:rsidR="00EB75EE">
          <w:rPr>
            <w:noProof/>
            <w:webHidden/>
          </w:rPr>
        </w:r>
        <w:r w:rsidR="00EB75EE">
          <w:rPr>
            <w:noProof/>
            <w:webHidden/>
          </w:rPr>
          <w:fldChar w:fldCharType="separate"/>
        </w:r>
        <w:r w:rsidR="00EB75EE">
          <w:rPr>
            <w:noProof/>
            <w:webHidden/>
          </w:rPr>
          <w:t>10</w:t>
        </w:r>
        <w:r w:rsidR="00EB75EE">
          <w:rPr>
            <w:noProof/>
            <w:webHidden/>
          </w:rPr>
          <w:fldChar w:fldCharType="end"/>
        </w:r>
      </w:hyperlink>
    </w:p>
    <w:p w14:paraId="7C81CB46" w14:textId="3700B048"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51" w:history="1">
        <w:r w:rsidR="00EB75EE" w:rsidRPr="00247083">
          <w:rPr>
            <w:rStyle w:val="Hyperlink"/>
            <w:noProof/>
          </w:rPr>
          <w:t>Figure 3: Industrial carbon removals in PRIMES and POTEnCIA in 2040</w:t>
        </w:r>
        <w:r w:rsidR="00EB75EE">
          <w:rPr>
            <w:noProof/>
            <w:webHidden/>
          </w:rPr>
          <w:tab/>
        </w:r>
        <w:r w:rsidR="00EB75EE">
          <w:rPr>
            <w:noProof/>
            <w:webHidden/>
          </w:rPr>
          <w:fldChar w:fldCharType="begin"/>
        </w:r>
        <w:r w:rsidR="00EB75EE">
          <w:rPr>
            <w:noProof/>
            <w:webHidden/>
          </w:rPr>
          <w:instrText xml:space="preserve"> PAGEREF _Toc157679751 \h </w:instrText>
        </w:r>
        <w:r w:rsidR="00EB75EE">
          <w:rPr>
            <w:noProof/>
            <w:webHidden/>
          </w:rPr>
        </w:r>
        <w:r w:rsidR="00EB75EE">
          <w:rPr>
            <w:noProof/>
            <w:webHidden/>
          </w:rPr>
          <w:fldChar w:fldCharType="separate"/>
        </w:r>
        <w:r w:rsidR="00EB75EE">
          <w:rPr>
            <w:noProof/>
            <w:webHidden/>
          </w:rPr>
          <w:t>12</w:t>
        </w:r>
        <w:r w:rsidR="00EB75EE">
          <w:rPr>
            <w:noProof/>
            <w:webHidden/>
          </w:rPr>
          <w:fldChar w:fldCharType="end"/>
        </w:r>
      </w:hyperlink>
    </w:p>
    <w:p w14:paraId="1A603C43" w14:textId="399C148B"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52" w:history="1">
        <w:r w:rsidR="00EB75EE" w:rsidRPr="00247083">
          <w:rPr>
            <w:rStyle w:val="Hyperlink"/>
            <w:noProof/>
          </w:rPr>
          <w:t>Figure 4: Net and Gross GHG Emissions and % reductions vs 1990</w:t>
        </w:r>
        <w:r w:rsidR="00EB75EE">
          <w:rPr>
            <w:noProof/>
            <w:webHidden/>
          </w:rPr>
          <w:tab/>
        </w:r>
        <w:r w:rsidR="00EB75EE">
          <w:rPr>
            <w:noProof/>
            <w:webHidden/>
          </w:rPr>
          <w:fldChar w:fldCharType="begin"/>
        </w:r>
        <w:r w:rsidR="00EB75EE">
          <w:rPr>
            <w:noProof/>
            <w:webHidden/>
          </w:rPr>
          <w:instrText xml:space="preserve"> PAGEREF _Toc157679752 \h </w:instrText>
        </w:r>
        <w:r w:rsidR="00EB75EE">
          <w:rPr>
            <w:noProof/>
            <w:webHidden/>
          </w:rPr>
        </w:r>
        <w:r w:rsidR="00EB75EE">
          <w:rPr>
            <w:noProof/>
            <w:webHidden/>
          </w:rPr>
          <w:fldChar w:fldCharType="separate"/>
        </w:r>
        <w:r w:rsidR="00EB75EE">
          <w:rPr>
            <w:noProof/>
            <w:webHidden/>
          </w:rPr>
          <w:t>13</w:t>
        </w:r>
        <w:r w:rsidR="00EB75EE">
          <w:rPr>
            <w:noProof/>
            <w:webHidden/>
          </w:rPr>
          <w:fldChar w:fldCharType="end"/>
        </w:r>
      </w:hyperlink>
    </w:p>
    <w:p w14:paraId="78F48551" w14:textId="299D5E65"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53" w:history="1">
        <w:r w:rsidR="00EB75EE" w:rsidRPr="00247083">
          <w:rPr>
            <w:rStyle w:val="Hyperlink"/>
            <w:noProof/>
          </w:rPr>
          <w:t>Figure 5: Economy-wide GHG emission pathways</w:t>
        </w:r>
        <w:r w:rsidR="00EB75EE">
          <w:rPr>
            <w:noProof/>
            <w:webHidden/>
          </w:rPr>
          <w:tab/>
        </w:r>
        <w:r w:rsidR="00EB75EE">
          <w:rPr>
            <w:noProof/>
            <w:webHidden/>
          </w:rPr>
          <w:fldChar w:fldCharType="begin"/>
        </w:r>
        <w:r w:rsidR="00EB75EE">
          <w:rPr>
            <w:noProof/>
            <w:webHidden/>
          </w:rPr>
          <w:instrText xml:space="preserve"> PAGEREF _Toc157679753 \h </w:instrText>
        </w:r>
        <w:r w:rsidR="00EB75EE">
          <w:rPr>
            <w:noProof/>
            <w:webHidden/>
          </w:rPr>
        </w:r>
        <w:r w:rsidR="00EB75EE">
          <w:rPr>
            <w:noProof/>
            <w:webHidden/>
          </w:rPr>
          <w:fldChar w:fldCharType="separate"/>
        </w:r>
        <w:r w:rsidR="00EB75EE">
          <w:rPr>
            <w:noProof/>
            <w:webHidden/>
          </w:rPr>
          <w:t>15</w:t>
        </w:r>
        <w:r w:rsidR="00EB75EE">
          <w:rPr>
            <w:noProof/>
            <w:webHidden/>
          </w:rPr>
          <w:fldChar w:fldCharType="end"/>
        </w:r>
      </w:hyperlink>
    </w:p>
    <w:p w14:paraId="57AB705B" w14:textId="2D620299"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54" w:history="1">
        <w:r w:rsidR="00EB75EE" w:rsidRPr="00247083">
          <w:rPr>
            <w:rStyle w:val="Hyperlink"/>
            <w:noProof/>
          </w:rPr>
          <w:t>Figure 6: Energy and Industry net CO2 emissions</w:t>
        </w:r>
        <w:r w:rsidR="00EB75EE">
          <w:rPr>
            <w:noProof/>
            <w:webHidden/>
          </w:rPr>
          <w:tab/>
        </w:r>
        <w:r w:rsidR="00EB75EE">
          <w:rPr>
            <w:noProof/>
            <w:webHidden/>
          </w:rPr>
          <w:fldChar w:fldCharType="begin"/>
        </w:r>
        <w:r w:rsidR="00EB75EE">
          <w:rPr>
            <w:noProof/>
            <w:webHidden/>
          </w:rPr>
          <w:instrText xml:space="preserve"> PAGEREF _Toc157679754 \h </w:instrText>
        </w:r>
        <w:r w:rsidR="00EB75EE">
          <w:rPr>
            <w:noProof/>
            <w:webHidden/>
          </w:rPr>
        </w:r>
        <w:r w:rsidR="00EB75EE">
          <w:rPr>
            <w:noProof/>
            <w:webHidden/>
          </w:rPr>
          <w:fldChar w:fldCharType="separate"/>
        </w:r>
        <w:r w:rsidR="00EB75EE">
          <w:rPr>
            <w:noProof/>
            <w:webHidden/>
          </w:rPr>
          <w:t>16</w:t>
        </w:r>
        <w:r w:rsidR="00EB75EE">
          <w:rPr>
            <w:noProof/>
            <w:webHidden/>
          </w:rPr>
          <w:fldChar w:fldCharType="end"/>
        </w:r>
      </w:hyperlink>
    </w:p>
    <w:p w14:paraId="67023DAE" w14:textId="69DAD663"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55" w:history="1">
        <w:r w:rsidR="00EB75EE" w:rsidRPr="00247083">
          <w:rPr>
            <w:rStyle w:val="Hyperlink"/>
            <w:noProof/>
          </w:rPr>
          <w:t>Figure 7: Energy and Industry CO2 emissions in 2040</w:t>
        </w:r>
        <w:r w:rsidR="00EB75EE">
          <w:rPr>
            <w:noProof/>
            <w:webHidden/>
          </w:rPr>
          <w:tab/>
        </w:r>
        <w:r w:rsidR="00EB75EE">
          <w:rPr>
            <w:noProof/>
            <w:webHidden/>
          </w:rPr>
          <w:fldChar w:fldCharType="begin"/>
        </w:r>
        <w:r w:rsidR="00EB75EE">
          <w:rPr>
            <w:noProof/>
            <w:webHidden/>
          </w:rPr>
          <w:instrText xml:space="preserve"> PAGEREF _Toc157679755 \h </w:instrText>
        </w:r>
        <w:r w:rsidR="00EB75EE">
          <w:rPr>
            <w:noProof/>
            <w:webHidden/>
          </w:rPr>
        </w:r>
        <w:r w:rsidR="00EB75EE">
          <w:rPr>
            <w:noProof/>
            <w:webHidden/>
          </w:rPr>
          <w:fldChar w:fldCharType="separate"/>
        </w:r>
        <w:r w:rsidR="00EB75EE">
          <w:rPr>
            <w:noProof/>
            <w:webHidden/>
          </w:rPr>
          <w:t>18</w:t>
        </w:r>
        <w:r w:rsidR="00EB75EE">
          <w:rPr>
            <w:noProof/>
            <w:webHidden/>
          </w:rPr>
          <w:fldChar w:fldCharType="end"/>
        </w:r>
      </w:hyperlink>
    </w:p>
    <w:p w14:paraId="5C052842" w14:textId="37F4332C"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56" w:history="1">
        <w:r w:rsidR="00EB75EE" w:rsidRPr="00247083">
          <w:rPr>
            <w:rStyle w:val="Hyperlink"/>
            <w:noProof/>
          </w:rPr>
          <w:t>Figure 8: Total (left) and additional (right) carbon captured yearly in selected years</w:t>
        </w:r>
        <w:r w:rsidR="00EB75EE">
          <w:rPr>
            <w:noProof/>
            <w:webHidden/>
          </w:rPr>
          <w:tab/>
        </w:r>
        <w:r w:rsidR="00EB75EE">
          <w:rPr>
            <w:noProof/>
            <w:webHidden/>
          </w:rPr>
          <w:fldChar w:fldCharType="begin"/>
        </w:r>
        <w:r w:rsidR="00EB75EE">
          <w:rPr>
            <w:noProof/>
            <w:webHidden/>
          </w:rPr>
          <w:instrText xml:space="preserve"> PAGEREF _Toc157679756 \h </w:instrText>
        </w:r>
        <w:r w:rsidR="00EB75EE">
          <w:rPr>
            <w:noProof/>
            <w:webHidden/>
          </w:rPr>
        </w:r>
        <w:r w:rsidR="00EB75EE">
          <w:rPr>
            <w:noProof/>
            <w:webHidden/>
          </w:rPr>
          <w:fldChar w:fldCharType="separate"/>
        </w:r>
        <w:r w:rsidR="00EB75EE">
          <w:rPr>
            <w:noProof/>
            <w:webHidden/>
          </w:rPr>
          <w:t>19</w:t>
        </w:r>
        <w:r w:rsidR="00EB75EE">
          <w:rPr>
            <w:noProof/>
            <w:webHidden/>
          </w:rPr>
          <w:fldChar w:fldCharType="end"/>
        </w:r>
      </w:hyperlink>
    </w:p>
    <w:p w14:paraId="4CE642F8" w14:textId="4C0EC438"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57" w:history="1">
        <w:r w:rsidR="00EB75EE" w:rsidRPr="00247083">
          <w:rPr>
            <w:rStyle w:val="Hyperlink"/>
            <w:noProof/>
          </w:rPr>
          <w:t>Figure 9: Carbon captured by source</w:t>
        </w:r>
        <w:r w:rsidR="00EB75EE">
          <w:rPr>
            <w:noProof/>
            <w:webHidden/>
          </w:rPr>
          <w:tab/>
        </w:r>
        <w:r w:rsidR="00EB75EE">
          <w:rPr>
            <w:noProof/>
            <w:webHidden/>
          </w:rPr>
          <w:fldChar w:fldCharType="begin"/>
        </w:r>
        <w:r w:rsidR="00EB75EE">
          <w:rPr>
            <w:noProof/>
            <w:webHidden/>
          </w:rPr>
          <w:instrText xml:space="preserve"> PAGEREF _Toc157679757 \h </w:instrText>
        </w:r>
        <w:r w:rsidR="00EB75EE">
          <w:rPr>
            <w:noProof/>
            <w:webHidden/>
          </w:rPr>
        </w:r>
        <w:r w:rsidR="00EB75EE">
          <w:rPr>
            <w:noProof/>
            <w:webHidden/>
          </w:rPr>
          <w:fldChar w:fldCharType="separate"/>
        </w:r>
        <w:r w:rsidR="00EB75EE">
          <w:rPr>
            <w:noProof/>
            <w:webHidden/>
          </w:rPr>
          <w:t>21</w:t>
        </w:r>
        <w:r w:rsidR="00EB75EE">
          <w:rPr>
            <w:noProof/>
            <w:webHidden/>
          </w:rPr>
          <w:fldChar w:fldCharType="end"/>
        </w:r>
      </w:hyperlink>
    </w:p>
    <w:p w14:paraId="38A3F983" w14:textId="042E7F40"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58" w:history="1">
        <w:r w:rsidR="00EB75EE" w:rsidRPr="00247083">
          <w:rPr>
            <w:rStyle w:val="Hyperlink"/>
            <w:noProof/>
          </w:rPr>
          <w:t>Figure 10: Carbon Captured by end application</w:t>
        </w:r>
        <w:r w:rsidR="00EB75EE">
          <w:rPr>
            <w:noProof/>
            <w:webHidden/>
          </w:rPr>
          <w:tab/>
        </w:r>
        <w:r w:rsidR="00EB75EE">
          <w:rPr>
            <w:noProof/>
            <w:webHidden/>
          </w:rPr>
          <w:fldChar w:fldCharType="begin"/>
        </w:r>
        <w:r w:rsidR="00EB75EE">
          <w:rPr>
            <w:noProof/>
            <w:webHidden/>
          </w:rPr>
          <w:instrText xml:space="preserve"> PAGEREF _Toc157679758 \h </w:instrText>
        </w:r>
        <w:r w:rsidR="00EB75EE">
          <w:rPr>
            <w:noProof/>
            <w:webHidden/>
          </w:rPr>
        </w:r>
        <w:r w:rsidR="00EB75EE">
          <w:rPr>
            <w:noProof/>
            <w:webHidden/>
          </w:rPr>
          <w:fldChar w:fldCharType="separate"/>
        </w:r>
        <w:r w:rsidR="00EB75EE">
          <w:rPr>
            <w:noProof/>
            <w:webHidden/>
          </w:rPr>
          <w:t>22</w:t>
        </w:r>
        <w:r w:rsidR="00EB75EE">
          <w:rPr>
            <w:noProof/>
            <w:webHidden/>
          </w:rPr>
          <w:fldChar w:fldCharType="end"/>
        </w:r>
      </w:hyperlink>
    </w:p>
    <w:p w14:paraId="05A7F321" w14:textId="7736FC8B"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59" w:history="1">
        <w:r w:rsidR="00EB75EE" w:rsidRPr="00247083">
          <w:rPr>
            <w:rStyle w:val="Hyperlink"/>
            <w:noProof/>
          </w:rPr>
          <w:t>Figure 11: Flow of captured carbon in 2040</w:t>
        </w:r>
        <w:r w:rsidR="00EB75EE">
          <w:rPr>
            <w:noProof/>
            <w:webHidden/>
          </w:rPr>
          <w:tab/>
        </w:r>
        <w:r w:rsidR="00EB75EE">
          <w:rPr>
            <w:noProof/>
            <w:webHidden/>
          </w:rPr>
          <w:fldChar w:fldCharType="begin"/>
        </w:r>
        <w:r w:rsidR="00EB75EE">
          <w:rPr>
            <w:noProof/>
            <w:webHidden/>
          </w:rPr>
          <w:instrText xml:space="preserve"> PAGEREF _Toc157679759 \h </w:instrText>
        </w:r>
        <w:r w:rsidR="00EB75EE">
          <w:rPr>
            <w:noProof/>
            <w:webHidden/>
          </w:rPr>
        </w:r>
        <w:r w:rsidR="00EB75EE">
          <w:rPr>
            <w:noProof/>
            <w:webHidden/>
          </w:rPr>
          <w:fldChar w:fldCharType="separate"/>
        </w:r>
        <w:r w:rsidR="00EB75EE">
          <w:rPr>
            <w:noProof/>
            <w:webHidden/>
          </w:rPr>
          <w:t>23</w:t>
        </w:r>
        <w:r w:rsidR="00EB75EE">
          <w:rPr>
            <w:noProof/>
            <w:webHidden/>
          </w:rPr>
          <w:fldChar w:fldCharType="end"/>
        </w:r>
      </w:hyperlink>
    </w:p>
    <w:p w14:paraId="1726F8FB" w14:textId="1BB2C47F"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60" w:history="1">
        <w:r w:rsidR="00EB75EE" w:rsidRPr="00247083">
          <w:rPr>
            <w:rStyle w:val="Hyperlink"/>
            <w:noProof/>
          </w:rPr>
          <w:t xml:space="preserve">Figure 12: </w:t>
        </w:r>
        <w:r w:rsidR="00EB75EE" w:rsidRPr="00247083">
          <w:rPr>
            <w:rStyle w:val="Hyperlink"/>
            <w:noProof/>
            <w:lang w:val="en-IE"/>
          </w:rPr>
          <w:t>Evolution of non-CO2 greenhouse gas emissions by sector</w:t>
        </w:r>
        <w:r w:rsidR="00EB75EE">
          <w:rPr>
            <w:noProof/>
            <w:webHidden/>
          </w:rPr>
          <w:tab/>
        </w:r>
        <w:r w:rsidR="00EB75EE">
          <w:rPr>
            <w:noProof/>
            <w:webHidden/>
          </w:rPr>
          <w:fldChar w:fldCharType="begin"/>
        </w:r>
        <w:r w:rsidR="00EB75EE">
          <w:rPr>
            <w:noProof/>
            <w:webHidden/>
          </w:rPr>
          <w:instrText xml:space="preserve"> PAGEREF _Toc157679760 \h </w:instrText>
        </w:r>
        <w:r w:rsidR="00EB75EE">
          <w:rPr>
            <w:noProof/>
            <w:webHidden/>
          </w:rPr>
        </w:r>
        <w:r w:rsidR="00EB75EE">
          <w:rPr>
            <w:noProof/>
            <w:webHidden/>
          </w:rPr>
          <w:fldChar w:fldCharType="separate"/>
        </w:r>
        <w:r w:rsidR="00EB75EE">
          <w:rPr>
            <w:noProof/>
            <w:webHidden/>
          </w:rPr>
          <w:t>25</w:t>
        </w:r>
        <w:r w:rsidR="00EB75EE">
          <w:rPr>
            <w:noProof/>
            <w:webHidden/>
          </w:rPr>
          <w:fldChar w:fldCharType="end"/>
        </w:r>
      </w:hyperlink>
    </w:p>
    <w:p w14:paraId="4D2A6D4E" w14:textId="3612F77F"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61" w:history="1">
        <w:r w:rsidR="00EB75EE" w:rsidRPr="00247083">
          <w:rPr>
            <w:rStyle w:val="Hyperlink"/>
            <w:noProof/>
          </w:rPr>
          <w:t xml:space="preserve">Figure 13: </w:t>
        </w:r>
        <w:r w:rsidR="00EB75EE" w:rsidRPr="00247083">
          <w:rPr>
            <w:rStyle w:val="Hyperlink"/>
            <w:noProof/>
            <w:lang w:val="en-IE"/>
          </w:rPr>
          <w:t>Evolution of non-CO2 greenhouse gas emissions by gas</w:t>
        </w:r>
        <w:r w:rsidR="00EB75EE">
          <w:rPr>
            <w:noProof/>
            <w:webHidden/>
          </w:rPr>
          <w:tab/>
        </w:r>
        <w:r w:rsidR="00EB75EE">
          <w:rPr>
            <w:noProof/>
            <w:webHidden/>
          </w:rPr>
          <w:fldChar w:fldCharType="begin"/>
        </w:r>
        <w:r w:rsidR="00EB75EE">
          <w:rPr>
            <w:noProof/>
            <w:webHidden/>
          </w:rPr>
          <w:instrText xml:space="preserve"> PAGEREF _Toc157679761 \h </w:instrText>
        </w:r>
        <w:r w:rsidR="00EB75EE">
          <w:rPr>
            <w:noProof/>
            <w:webHidden/>
          </w:rPr>
        </w:r>
        <w:r w:rsidR="00EB75EE">
          <w:rPr>
            <w:noProof/>
            <w:webHidden/>
          </w:rPr>
          <w:fldChar w:fldCharType="separate"/>
        </w:r>
        <w:r w:rsidR="00EB75EE">
          <w:rPr>
            <w:noProof/>
            <w:webHidden/>
          </w:rPr>
          <w:t>25</w:t>
        </w:r>
        <w:r w:rsidR="00EB75EE">
          <w:rPr>
            <w:noProof/>
            <w:webHidden/>
          </w:rPr>
          <w:fldChar w:fldCharType="end"/>
        </w:r>
      </w:hyperlink>
    </w:p>
    <w:p w14:paraId="6FB0250C" w14:textId="09978ED8"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62" w:history="1">
        <w:r w:rsidR="00EB75EE" w:rsidRPr="00247083">
          <w:rPr>
            <w:rStyle w:val="Hyperlink"/>
            <w:noProof/>
          </w:rPr>
          <w:t>Figure 14: Gross Available Energy by energy vector, 2015-2050</w:t>
        </w:r>
        <w:r w:rsidR="00EB75EE">
          <w:rPr>
            <w:noProof/>
            <w:webHidden/>
          </w:rPr>
          <w:tab/>
        </w:r>
        <w:r w:rsidR="00EB75EE">
          <w:rPr>
            <w:noProof/>
            <w:webHidden/>
          </w:rPr>
          <w:fldChar w:fldCharType="begin"/>
        </w:r>
        <w:r w:rsidR="00EB75EE">
          <w:rPr>
            <w:noProof/>
            <w:webHidden/>
          </w:rPr>
          <w:instrText xml:space="preserve"> PAGEREF _Toc157679762 \h </w:instrText>
        </w:r>
        <w:r w:rsidR="00EB75EE">
          <w:rPr>
            <w:noProof/>
            <w:webHidden/>
          </w:rPr>
        </w:r>
        <w:r w:rsidR="00EB75EE">
          <w:rPr>
            <w:noProof/>
            <w:webHidden/>
          </w:rPr>
          <w:fldChar w:fldCharType="separate"/>
        </w:r>
        <w:r w:rsidR="00EB75EE">
          <w:rPr>
            <w:noProof/>
            <w:webHidden/>
          </w:rPr>
          <w:t>27</w:t>
        </w:r>
        <w:r w:rsidR="00EB75EE">
          <w:rPr>
            <w:noProof/>
            <w:webHidden/>
          </w:rPr>
          <w:fldChar w:fldCharType="end"/>
        </w:r>
      </w:hyperlink>
    </w:p>
    <w:p w14:paraId="538A23C9" w14:textId="059E1D33"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63" w:history="1">
        <w:r w:rsidR="00EB75EE" w:rsidRPr="00247083">
          <w:rPr>
            <w:rStyle w:val="Hyperlink"/>
            <w:noProof/>
          </w:rPr>
          <w:t>Figure 15: Net imports by energy vector, 2015-2050</w:t>
        </w:r>
        <w:r w:rsidR="00EB75EE">
          <w:rPr>
            <w:noProof/>
            <w:webHidden/>
          </w:rPr>
          <w:tab/>
        </w:r>
        <w:r w:rsidR="00EB75EE">
          <w:rPr>
            <w:noProof/>
            <w:webHidden/>
          </w:rPr>
          <w:fldChar w:fldCharType="begin"/>
        </w:r>
        <w:r w:rsidR="00EB75EE">
          <w:rPr>
            <w:noProof/>
            <w:webHidden/>
          </w:rPr>
          <w:instrText xml:space="preserve"> PAGEREF _Toc157679763 \h </w:instrText>
        </w:r>
        <w:r w:rsidR="00EB75EE">
          <w:rPr>
            <w:noProof/>
            <w:webHidden/>
          </w:rPr>
        </w:r>
        <w:r w:rsidR="00EB75EE">
          <w:rPr>
            <w:noProof/>
            <w:webHidden/>
          </w:rPr>
          <w:fldChar w:fldCharType="separate"/>
        </w:r>
        <w:r w:rsidR="00EB75EE">
          <w:rPr>
            <w:noProof/>
            <w:webHidden/>
          </w:rPr>
          <w:t>28</w:t>
        </w:r>
        <w:r w:rsidR="00EB75EE">
          <w:rPr>
            <w:noProof/>
            <w:webHidden/>
          </w:rPr>
          <w:fldChar w:fldCharType="end"/>
        </w:r>
      </w:hyperlink>
    </w:p>
    <w:p w14:paraId="758BBB8B" w14:textId="3821052B"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64" w:history="1">
        <w:r w:rsidR="00EB75EE" w:rsidRPr="00247083">
          <w:rPr>
            <w:rStyle w:val="Hyperlink"/>
            <w:noProof/>
          </w:rPr>
          <w:t>Figure 16: Import dependence</w:t>
        </w:r>
        <w:r w:rsidR="00EB75EE">
          <w:rPr>
            <w:noProof/>
            <w:webHidden/>
          </w:rPr>
          <w:tab/>
        </w:r>
        <w:r w:rsidR="00EB75EE">
          <w:rPr>
            <w:noProof/>
            <w:webHidden/>
          </w:rPr>
          <w:fldChar w:fldCharType="begin"/>
        </w:r>
        <w:r w:rsidR="00EB75EE">
          <w:rPr>
            <w:noProof/>
            <w:webHidden/>
          </w:rPr>
          <w:instrText xml:space="preserve"> PAGEREF _Toc157679764 \h </w:instrText>
        </w:r>
        <w:r w:rsidR="00EB75EE">
          <w:rPr>
            <w:noProof/>
            <w:webHidden/>
          </w:rPr>
        </w:r>
        <w:r w:rsidR="00EB75EE">
          <w:rPr>
            <w:noProof/>
            <w:webHidden/>
          </w:rPr>
          <w:fldChar w:fldCharType="separate"/>
        </w:r>
        <w:r w:rsidR="00EB75EE">
          <w:rPr>
            <w:noProof/>
            <w:webHidden/>
          </w:rPr>
          <w:t>29</w:t>
        </w:r>
        <w:r w:rsidR="00EB75EE">
          <w:rPr>
            <w:noProof/>
            <w:webHidden/>
          </w:rPr>
          <w:fldChar w:fldCharType="end"/>
        </w:r>
      </w:hyperlink>
    </w:p>
    <w:p w14:paraId="0CA6C86C" w14:textId="389ECE0C"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65" w:history="1">
        <w:r w:rsidR="00EB75EE" w:rsidRPr="00247083">
          <w:rPr>
            <w:rStyle w:val="Hyperlink"/>
            <w:noProof/>
          </w:rPr>
          <w:t>Figure 17: Total Gross Available Energy from different energy models, 2019-2050</w:t>
        </w:r>
        <w:r w:rsidR="00EB75EE">
          <w:rPr>
            <w:noProof/>
            <w:webHidden/>
          </w:rPr>
          <w:tab/>
        </w:r>
        <w:r w:rsidR="00EB75EE">
          <w:rPr>
            <w:noProof/>
            <w:webHidden/>
          </w:rPr>
          <w:fldChar w:fldCharType="begin"/>
        </w:r>
        <w:r w:rsidR="00EB75EE">
          <w:rPr>
            <w:noProof/>
            <w:webHidden/>
          </w:rPr>
          <w:instrText xml:space="preserve"> PAGEREF _Toc157679765 \h </w:instrText>
        </w:r>
        <w:r w:rsidR="00EB75EE">
          <w:rPr>
            <w:noProof/>
            <w:webHidden/>
          </w:rPr>
        </w:r>
        <w:r w:rsidR="00EB75EE">
          <w:rPr>
            <w:noProof/>
            <w:webHidden/>
          </w:rPr>
          <w:fldChar w:fldCharType="separate"/>
        </w:r>
        <w:r w:rsidR="00EB75EE">
          <w:rPr>
            <w:noProof/>
            <w:webHidden/>
          </w:rPr>
          <w:t>30</w:t>
        </w:r>
        <w:r w:rsidR="00EB75EE">
          <w:rPr>
            <w:noProof/>
            <w:webHidden/>
          </w:rPr>
          <w:fldChar w:fldCharType="end"/>
        </w:r>
      </w:hyperlink>
    </w:p>
    <w:p w14:paraId="756393B3" w14:textId="6E1D8969"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66" w:history="1">
        <w:r w:rsidR="00EB75EE" w:rsidRPr="00247083">
          <w:rPr>
            <w:rStyle w:val="Hyperlink"/>
            <w:noProof/>
          </w:rPr>
          <w:t>Figure 18</w:t>
        </w:r>
        <w:r w:rsidR="00EB75EE" w:rsidRPr="00247083">
          <w:rPr>
            <w:rStyle w:val="Hyperlink"/>
            <w:noProof/>
            <w:lang w:val="en-IE"/>
          </w:rPr>
          <w:t>: Final electricity consumption by end-use sector</w:t>
        </w:r>
        <w:r w:rsidR="00EB75EE">
          <w:rPr>
            <w:noProof/>
            <w:webHidden/>
          </w:rPr>
          <w:tab/>
        </w:r>
        <w:r w:rsidR="00EB75EE">
          <w:rPr>
            <w:noProof/>
            <w:webHidden/>
          </w:rPr>
          <w:fldChar w:fldCharType="begin"/>
        </w:r>
        <w:r w:rsidR="00EB75EE">
          <w:rPr>
            <w:noProof/>
            <w:webHidden/>
          </w:rPr>
          <w:instrText xml:space="preserve"> PAGEREF _Toc157679766 \h </w:instrText>
        </w:r>
        <w:r w:rsidR="00EB75EE">
          <w:rPr>
            <w:noProof/>
            <w:webHidden/>
          </w:rPr>
        </w:r>
        <w:r w:rsidR="00EB75EE">
          <w:rPr>
            <w:noProof/>
            <w:webHidden/>
          </w:rPr>
          <w:fldChar w:fldCharType="separate"/>
        </w:r>
        <w:r w:rsidR="00EB75EE">
          <w:rPr>
            <w:noProof/>
            <w:webHidden/>
          </w:rPr>
          <w:t>31</w:t>
        </w:r>
        <w:r w:rsidR="00EB75EE">
          <w:rPr>
            <w:noProof/>
            <w:webHidden/>
          </w:rPr>
          <w:fldChar w:fldCharType="end"/>
        </w:r>
      </w:hyperlink>
    </w:p>
    <w:p w14:paraId="08262A46" w14:textId="58E4DD06"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67" w:history="1">
        <w:r w:rsidR="00EB75EE" w:rsidRPr="00247083">
          <w:rPr>
            <w:rStyle w:val="Hyperlink"/>
            <w:noProof/>
          </w:rPr>
          <w:t>Figure 19: Electricity generation by energy carrier, 2015-2050</w:t>
        </w:r>
        <w:r w:rsidR="00EB75EE">
          <w:rPr>
            <w:noProof/>
            <w:webHidden/>
          </w:rPr>
          <w:tab/>
        </w:r>
        <w:r w:rsidR="00EB75EE">
          <w:rPr>
            <w:noProof/>
            <w:webHidden/>
          </w:rPr>
          <w:fldChar w:fldCharType="begin"/>
        </w:r>
        <w:r w:rsidR="00EB75EE">
          <w:rPr>
            <w:noProof/>
            <w:webHidden/>
          </w:rPr>
          <w:instrText xml:space="preserve"> PAGEREF _Toc157679767 \h </w:instrText>
        </w:r>
        <w:r w:rsidR="00EB75EE">
          <w:rPr>
            <w:noProof/>
            <w:webHidden/>
          </w:rPr>
        </w:r>
        <w:r w:rsidR="00EB75EE">
          <w:rPr>
            <w:noProof/>
            <w:webHidden/>
          </w:rPr>
          <w:fldChar w:fldCharType="separate"/>
        </w:r>
        <w:r w:rsidR="00EB75EE">
          <w:rPr>
            <w:noProof/>
            <w:webHidden/>
          </w:rPr>
          <w:t>32</w:t>
        </w:r>
        <w:r w:rsidR="00EB75EE">
          <w:rPr>
            <w:noProof/>
            <w:webHidden/>
          </w:rPr>
          <w:fldChar w:fldCharType="end"/>
        </w:r>
      </w:hyperlink>
    </w:p>
    <w:p w14:paraId="3B3076CD" w14:textId="2555B353"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68" w:history="1">
        <w:r w:rsidR="00EB75EE" w:rsidRPr="00247083">
          <w:rPr>
            <w:rStyle w:val="Hyperlink"/>
            <w:noProof/>
          </w:rPr>
          <w:t>Figure 20: Electricity generation from renewables, 2015-2050</w:t>
        </w:r>
        <w:r w:rsidR="00EB75EE">
          <w:rPr>
            <w:noProof/>
            <w:webHidden/>
          </w:rPr>
          <w:tab/>
        </w:r>
        <w:r w:rsidR="00EB75EE">
          <w:rPr>
            <w:noProof/>
            <w:webHidden/>
          </w:rPr>
          <w:fldChar w:fldCharType="begin"/>
        </w:r>
        <w:r w:rsidR="00EB75EE">
          <w:rPr>
            <w:noProof/>
            <w:webHidden/>
          </w:rPr>
          <w:instrText xml:space="preserve"> PAGEREF _Toc157679768 \h </w:instrText>
        </w:r>
        <w:r w:rsidR="00EB75EE">
          <w:rPr>
            <w:noProof/>
            <w:webHidden/>
          </w:rPr>
        </w:r>
        <w:r w:rsidR="00EB75EE">
          <w:rPr>
            <w:noProof/>
            <w:webHidden/>
          </w:rPr>
          <w:fldChar w:fldCharType="separate"/>
        </w:r>
        <w:r w:rsidR="00EB75EE">
          <w:rPr>
            <w:noProof/>
            <w:webHidden/>
          </w:rPr>
          <w:t>33</w:t>
        </w:r>
        <w:r w:rsidR="00EB75EE">
          <w:rPr>
            <w:noProof/>
            <w:webHidden/>
          </w:rPr>
          <w:fldChar w:fldCharType="end"/>
        </w:r>
      </w:hyperlink>
    </w:p>
    <w:p w14:paraId="4D4A793A" w14:textId="227CDFD6"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69" w:history="1">
        <w:r w:rsidR="00EB75EE" w:rsidRPr="00247083">
          <w:rPr>
            <w:rStyle w:val="Hyperlink"/>
            <w:noProof/>
          </w:rPr>
          <w:t xml:space="preserve">Figure 21: </w:t>
        </w:r>
        <w:r w:rsidR="00EB75EE" w:rsidRPr="00247083">
          <w:rPr>
            <w:rStyle w:val="Hyperlink"/>
            <w:noProof/>
            <w:lang w:val="en-IE"/>
          </w:rPr>
          <w:t>Net installed capacity by energy carrier, 2015-2050</w:t>
        </w:r>
        <w:r w:rsidR="00EB75EE">
          <w:rPr>
            <w:noProof/>
            <w:webHidden/>
          </w:rPr>
          <w:tab/>
        </w:r>
        <w:r w:rsidR="00EB75EE">
          <w:rPr>
            <w:noProof/>
            <w:webHidden/>
          </w:rPr>
          <w:fldChar w:fldCharType="begin"/>
        </w:r>
        <w:r w:rsidR="00EB75EE">
          <w:rPr>
            <w:noProof/>
            <w:webHidden/>
          </w:rPr>
          <w:instrText xml:space="preserve"> PAGEREF _Toc157679769 \h </w:instrText>
        </w:r>
        <w:r w:rsidR="00EB75EE">
          <w:rPr>
            <w:noProof/>
            <w:webHidden/>
          </w:rPr>
        </w:r>
        <w:r w:rsidR="00EB75EE">
          <w:rPr>
            <w:noProof/>
            <w:webHidden/>
          </w:rPr>
          <w:fldChar w:fldCharType="separate"/>
        </w:r>
        <w:r w:rsidR="00EB75EE">
          <w:rPr>
            <w:noProof/>
            <w:webHidden/>
          </w:rPr>
          <w:t>34</w:t>
        </w:r>
        <w:r w:rsidR="00EB75EE">
          <w:rPr>
            <w:noProof/>
            <w:webHidden/>
          </w:rPr>
          <w:fldChar w:fldCharType="end"/>
        </w:r>
      </w:hyperlink>
    </w:p>
    <w:p w14:paraId="3D198F58" w14:textId="1EF6CF77"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70" w:history="1">
        <w:r w:rsidR="00EB75EE" w:rsidRPr="00247083">
          <w:rPr>
            <w:rStyle w:val="Hyperlink"/>
            <w:noProof/>
          </w:rPr>
          <w:t>Figure 22: Net installed renewable capacity, 2015-2050</w:t>
        </w:r>
        <w:r w:rsidR="00EB75EE">
          <w:rPr>
            <w:noProof/>
            <w:webHidden/>
          </w:rPr>
          <w:tab/>
        </w:r>
        <w:r w:rsidR="00EB75EE">
          <w:rPr>
            <w:noProof/>
            <w:webHidden/>
          </w:rPr>
          <w:fldChar w:fldCharType="begin"/>
        </w:r>
        <w:r w:rsidR="00EB75EE">
          <w:rPr>
            <w:noProof/>
            <w:webHidden/>
          </w:rPr>
          <w:instrText xml:space="preserve"> PAGEREF _Toc157679770 \h </w:instrText>
        </w:r>
        <w:r w:rsidR="00EB75EE">
          <w:rPr>
            <w:noProof/>
            <w:webHidden/>
          </w:rPr>
        </w:r>
        <w:r w:rsidR="00EB75EE">
          <w:rPr>
            <w:noProof/>
            <w:webHidden/>
          </w:rPr>
          <w:fldChar w:fldCharType="separate"/>
        </w:r>
        <w:r w:rsidR="00EB75EE">
          <w:rPr>
            <w:noProof/>
            <w:webHidden/>
          </w:rPr>
          <w:t>35</w:t>
        </w:r>
        <w:r w:rsidR="00EB75EE">
          <w:rPr>
            <w:noProof/>
            <w:webHidden/>
          </w:rPr>
          <w:fldChar w:fldCharType="end"/>
        </w:r>
      </w:hyperlink>
    </w:p>
    <w:p w14:paraId="189D04AE" w14:textId="03BA7327"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71" w:history="1">
        <w:r w:rsidR="00EB75EE" w:rsidRPr="00247083">
          <w:rPr>
            <w:rStyle w:val="Hyperlink"/>
            <w:noProof/>
          </w:rPr>
          <w:t>Figure 23: Net installed storage and new fuels production capacity, 2015-2050</w:t>
        </w:r>
        <w:r w:rsidR="00EB75EE">
          <w:rPr>
            <w:noProof/>
            <w:webHidden/>
          </w:rPr>
          <w:tab/>
        </w:r>
        <w:r w:rsidR="00EB75EE">
          <w:rPr>
            <w:noProof/>
            <w:webHidden/>
          </w:rPr>
          <w:fldChar w:fldCharType="begin"/>
        </w:r>
        <w:r w:rsidR="00EB75EE">
          <w:rPr>
            <w:noProof/>
            <w:webHidden/>
          </w:rPr>
          <w:instrText xml:space="preserve"> PAGEREF _Toc157679771 \h </w:instrText>
        </w:r>
        <w:r w:rsidR="00EB75EE">
          <w:rPr>
            <w:noProof/>
            <w:webHidden/>
          </w:rPr>
        </w:r>
        <w:r w:rsidR="00EB75EE">
          <w:rPr>
            <w:noProof/>
            <w:webHidden/>
          </w:rPr>
          <w:fldChar w:fldCharType="separate"/>
        </w:r>
        <w:r w:rsidR="00EB75EE">
          <w:rPr>
            <w:noProof/>
            <w:webHidden/>
          </w:rPr>
          <w:t>35</w:t>
        </w:r>
        <w:r w:rsidR="00EB75EE">
          <w:rPr>
            <w:noProof/>
            <w:webHidden/>
          </w:rPr>
          <w:fldChar w:fldCharType="end"/>
        </w:r>
      </w:hyperlink>
    </w:p>
    <w:p w14:paraId="5AC9354A" w14:textId="397799EB"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72" w:history="1">
        <w:r w:rsidR="00EB75EE" w:rsidRPr="00247083">
          <w:rPr>
            <w:rStyle w:val="Hyperlink"/>
            <w:noProof/>
          </w:rPr>
          <w:t>Figure 24: Stored energy by technology, 2015-2050</w:t>
        </w:r>
        <w:r w:rsidR="00EB75EE">
          <w:rPr>
            <w:noProof/>
            <w:webHidden/>
          </w:rPr>
          <w:tab/>
        </w:r>
        <w:r w:rsidR="00EB75EE">
          <w:rPr>
            <w:noProof/>
            <w:webHidden/>
          </w:rPr>
          <w:fldChar w:fldCharType="begin"/>
        </w:r>
        <w:r w:rsidR="00EB75EE">
          <w:rPr>
            <w:noProof/>
            <w:webHidden/>
          </w:rPr>
          <w:instrText xml:space="preserve"> PAGEREF _Toc157679772 \h </w:instrText>
        </w:r>
        <w:r w:rsidR="00EB75EE">
          <w:rPr>
            <w:noProof/>
            <w:webHidden/>
          </w:rPr>
        </w:r>
        <w:r w:rsidR="00EB75EE">
          <w:rPr>
            <w:noProof/>
            <w:webHidden/>
          </w:rPr>
          <w:fldChar w:fldCharType="separate"/>
        </w:r>
        <w:r w:rsidR="00EB75EE">
          <w:rPr>
            <w:noProof/>
            <w:webHidden/>
          </w:rPr>
          <w:t>36</w:t>
        </w:r>
        <w:r w:rsidR="00EB75EE">
          <w:rPr>
            <w:noProof/>
            <w:webHidden/>
          </w:rPr>
          <w:fldChar w:fldCharType="end"/>
        </w:r>
      </w:hyperlink>
    </w:p>
    <w:p w14:paraId="740E4CEB" w14:textId="1B6518B8"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73" w:history="1">
        <w:r w:rsidR="00EB75EE" w:rsidRPr="00247083">
          <w:rPr>
            <w:rStyle w:val="Hyperlink"/>
            <w:noProof/>
          </w:rPr>
          <w:t>Figure 25: Share of renewables in gross electricity generation, 2019-2050</w:t>
        </w:r>
        <w:r w:rsidR="00EB75EE">
          <w:rPr>
            <w:noProof/>
            <w:webHidden/>
          </w:rPr>
          <w:tab/>
        </w:r>
        <w:r w:rsidR="00EB75EE">
          <w:rPr>
            <w:noProof/>
            <w:webHidden/>
          </w:rPr>
          <w:fldChar w:fldCharType="begin"/>
        </w:r>
        <w:r w:rsidR="00EB75EE">
          <w:rPr>
            <w:noProof/>
            <w:webHidden/>
          </w:rPr>
          <w:instrText xml:space="preserve"> PAGEREF _Toc157679773 \h </w:instrText>
        </w:r>
        <w:r w:rsidR="00EB75EE">
          <w:rPr>
            <w:noProof/>
            <w:webHidden/>
          </w:rPr>
        </w:r>
        <w:r w:rsidR="00EB75EE">
          <w:rPr>
            <w:noProof/>
            <w:webHidden/>
          </w:rPr>
          <w:fldChar w:fldCharType="separate"/>
        </w:r>
        <w:r w:rsidR="00EB75EE">
          <w:rPr>
            <w:noProof/>
            <w:webHidden/>
          </w:rPr>
          <w:t>37</w:t>
        </w:r>
        <w:r w:rsidR="00EB75EE">
          <w:rPr>
            <w:noProof/>
            <w:webHidden/>
          </w:rPr>
          <w:fldChar w:fldCharType="end"/>
        </w:r>
      </w:hyperlink>
    </w:p>
    <w:p w14:paraId="63A9C8EF" w14:textId="07EDE37C"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74" w:history="1">
        <w:r w:rsidR="00EB75EE" w:rsidRPr="00247083">
          <w:rPr>
            <w:rStyle w:val="Hyperlink"/>
            <w:noProof/>
          </w:rPr>
          <w:t>Figure 26: Gross electricity generation in different energy models, 2019-2050</w:t>
        </w:r>
        <w:r w:rsidR="00EB75EE">
          <w:rPr>
            <w:noProof/>
            <w:webHidden/>
          </w:rPr>
          <w:tab/>
        </w:r>
        <w:r w:rsidR="00EB75EE">
          <w:rPr>
            <w:noProof/>
            <w:webHidden/>
          </w:rPr>
          <w:fldChar w:fldCharType="begin"/>
        </w:r>
        <w:r w:rsidR="00EB75EE">
          <w:rPr>
            <w:noProof/>
            <w:webHidden/>
          </w:rPr>
          <w:instrText xml:space="preserve"> PAGEREF _Toc157679774 \h </w:instrText>
        </w:r>
        <w:r w:rsidR="00EB75EE">
          <w:rPr>
            <w:noProof/>
            <w:webHidden/>
          </w:rPr>
        </w:r>
        <w:r w:rsidR="00EB75EE">
          <w:rPr>
            <w:noProof/>
            <w:webHidden/>
          </w:rPr>
          <w:fldChar w:fldCharType="separate"/>
        </w:r>
        <w:r w:rsidR="00EB75EE">
          <w:rPr>
            <w:noProof/>
            <w:webHidden/>
          </w:rPr>
          <w:t>38</w:t>
        </w:r>
        <w:r w:rsidR="00EB75EE">
          <w:rPr>
            <w:noProof/>
            <w:webHidden/>
          </w:rPr>
          <w:fldChar w:fldCharType="end"/>
        </w:r>
      </w:hyperlink>
    </w:p>
    <w:p w14:paraId="038E5284" w14:textId="1F72C952"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75" w:history="1">
        <w:r w:rsidR="00EB75EE" w:rsidRPr="00247083">
          <w:rPr>
            <w:rStyle w:val="Hyperlink"/>
            <w:noProof/>
          </w:rPr>
          <w:t>Figure 27: Average annual deployment of wind and PV</w:t>
        </w:r>
        <w:r w:rsidR="00EB75EE">
          <w:rPr>
            <w:noProof/>
            <w:webHidden/>
          </w:rPr>
          <w:tab/>
        </w:r>
        <w:r w:rsidR="00EB75EE">
          <w:rPr>
            <w:noProof/>
            <w:webHidden/>
          </w:rPr>
          <w:fldChar w:fldCharType="begin"/>
        </w:r>
        <w:r w:rsidR="00EB75EE">
          <w:rPr>
            <w:noProof/>
            <w:webHidden/>
          </w:rPr>
          <w:instrText xml:space="preserve"> PAGEREF _Toc157679775 \h </w:instrText>
        </w:r>
        <w:r w:rsidR="00EB75EE">
          <w:rPr>
            <w:noProof/>
            <w:webHidden/>
          </w:rPr>
        </w:r>
        <w:r w:rsidR="00EB75EE">
          <w:rPr>
            <w:noProof/>
            <w:webHidden/>
          </w:rPr>
          <w:fldChar w:fldCharType="separate"/>
        </w:r>
        <w:r w:rsidR="00EB75EE">
          <w:rPr>
            <w:noProof/>
            <w:webHidden/>
          </w:rPr>
          <w:t>38</w:t>
        </w:r>
        <w:r w:rsidR="00EB75EE">
          <w:rPr>
            <w:noProof/>
            <w:webHidden/>
          </w:rPr>
          <w:fldChar w:fldCharType="end"/>
        </w:r>
      </w:hyperlink>
    </w:p>
    <w:p w14:paraId="060055B1" w14:textId="05A34BC4"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76" w:history="1">
        <w:r w:rsidR="00EB75EE" w:rsidRPr="00247083">
          <w:rPr>
            <w:rStyle w:val="Hyperlink"/>
            <w:noProof/>
          </w:rPr>
          <w:t>Figure 28: Average change in renewable power generation</w:t>
        </w:r>
        <w:r w:rsidR="00EB75EE">
          <w:rPr>
            <w:noProof/>
            <w:webHidden/>
          </w:rPr>
          <w:tab/>
        </w:r>
        <w:r w:rsidR="00EB75EE">
          <w:rPr>
            <w:noProof/>
            <w:webHidden/>
          </w:rPr>
          <w:fldChar w:fldCharType="begin"/>
        </w:r>
        <w:r w:rsidR="00EB75EE">
          <w:rPr>
            <w:noProof/>
            <w:webHidden/>
          </w:rPr>
          <w:instrText xml:space="preserve"> PAGEREF _Toc157679776 \h </w:instrText>
        </w:r>
        <w:r w:rsidR="00EB75EE">
          <w:rPr>
            <w:noProof/>
            <w:webHidden/>
          </w:rPr>
        </w:r>
        <w:r w:rsidR="00EB75EE">
          <w:rPr>
            <w:noProof/>
            <w:webHidden/>
          </w:rPr>
          <w:fldChar w:fldCharType="separate"/>
        </w:r>
        <w:r w:rsidR="00EB75EE">
          <w:rPr>
            <w:noProof/>
            <w:webHidden/>
          </w:rPr>
          <w:t>39</w:t>
        </w:r>
        <w:r w:rsidR="00EB75EE">
          <w:rPr>
            <w:noProof/>
            <w:webHidden/>
          </w:rPr>
          <w:fldChar w:fldCharType="end"/>
        </w:r>
      </w:hyperlink>
    </w:p>
    <w:p w14:paraId="55E42291" w14:textId="6B71A0F3"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77" w:history="1">
        <w:r w:rsidR="00EB75EE" w:rsidRPr="00247083">
          <w:rPr>
            <w:rStyle w:val="Hyperlink"/>
            <w:noProof/>
          </w:rPr>
          <w:t>Figure 29: Consumption of gaseous fuels in the gas network, 2040-2050</w:t>
        </w:r>
        <w:r w:rsidR="00EB75EE">
          <w:rPr>
            <w:noProof/>
            <w:webHidden/>
          </w:rPr>
          <w:tab/>
        </w:r>
        <w:r w:rsidR="00EB75EE">
          <w:rPr>
            <w:noProof/>
            <w:webHidden/>
          </w:rPr>
          <w:fldChar w:fldCharType="begin"/>
        </w:r>
        <w:r w:rsidR="00EB75EE">
          <w:rPr>
            <w:noProof/>
            <w:webHidden/>
          </w:rPr>
          <w:instrText xml:space="preserve"> PAGEREF _Toc157679777 \h </w:instrText>
        </w:r>
        <w:r w:rsidR="00EB75EE">
          <w:rPr>
            <w:noProof/>
            <w:webHidden/>
          </w:rPr>
        </w:r>
        <w:r w:rsidR="00EB75EE">
          <w:rPr>
            <w:noProof/>
            <w:webHidden/>
          </w:rPr>
          <w:fldChar w:fldCharType="separate"/>
        </w:r>
        <w:r w:rsidR="00EB75EE">
          <w:rPr>
            <w:noProof/>
            <w:webHidden/>
          </w:rPr>
          <w:t>40</w:t>
        </w:r>
        <w:r w:rsidR="00EB75EE">
          <w:rPr>
            <w:noProof/>
            <w:webHidden/>
          </w:rPr>
          <w:fldChar w:fldCharType="end"/>
        </w:r>
      </w:hyperlink>
    </w:p>
    <w:p w14:paraId="2C0F0884" w14:textId="30E1B788"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78" w:history="1">
        <w:r w:rsidR="00EB75EE" w:rsidRPr="00247083">
          <w:rPr>
            <w:rStyle w:val="Hyperlink"/>
            <w:noProof/>
          </w:rPr>
          <w:t>Figure 30: Consumption of gaseous fuels by sector, 2040-2050</w:t>
        </w:r>
        <w:r w:rsidR="00EB75EE">
          <w:rPr>
            <w:noProof/>
            <w:webHidden/>
          </w:rPr>
          <w:tab/>
        </w:r>
        <w:r w:rsidR="00EB75EE">
          <w:rPr>
            <w:noProof/>
            <w:webHidden/>
          </w:rPr>
          <w:fldChar w:fldCharType="begin"/>
        </w:r>
        <w:r w:rsidR="00EB75EE">
          <w:rPr>
            <w:noProof/>
            <w:webHidden/>
          </w:rPr>
          <w:instrText xml:space="preserve"> PAGEREF _Toc157679778 \h </w:instrText>
        </w:r>
        <w:r w:rsidR="00EB75EE">
          <w:rPr>
            <w:noProof/>
            <w:webHidden/>
          </w:rPr>
        </w:r>
        <w:r w:rsidR="00EB75EE">
          <w:rPr>
            <w:noProof/>
            <w:webHidden/>
          </w:rPr>
          <w:fldChar w:fldCharType="separate"/>
        </w:r>
        <w:r w:rsidR="00EB75EE">
          <w:rPr>
            <w:noProof/>
            <w:webHidden/>
          </w:rPr>
          <w:t>40</w:t>
        </w:r>
        <w:r w:rsidR="00EB75EE">
          <w:rPr>
            <w:noProof/>
            <w:webHidden/>
          </w:rPr>
          <w:fldChar w:fldCharType="end"/>
        </w:r>
      </w:hyperlink>
    </w:p>
    <w:p w14:paraId="57C682BF" w14:textId="5E7E538E"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79" w:history="1">
        <w:r w:rsidR="00EB75EE" w:rsidRPr="00247083">
          <w:rPr>
            <w:rStyle w:val="Hyperlink"/>
            <w:noProof/>
          </w:rPr>
          <w:t>Figure 31: Consumption of hydrogen by sector, 2040-2050</w:t>
        </w:r>
        <w:r w:rsidR="00EB75EE">
          <w:rPr>
            <w:noProof/>
            <w:webHidden/>
          </w:rPr>
          <w:tab/>
        </w:r>
        <w:r w:rsidR="00EB75EE">
          <w:rPr>
            <w:noProof/>
            <w:webHidden/>
          </w:rPr>
          <w:fldChar w:fldCharType="begin"/>
        </w:r>
        <w:r w:rsidR="00EB75EE">
          <w:rPr>
            <w:noProof/>
            <w:webHidden/>
          </w:rPr>
          <w:instrText xml:space="preserve"> PAGEREF _Toc157679779 \h </w:instrText>
        </w:r>
        <w:r w:rsidR="00EB75EE">
          <w:rPr>
            <w:noProof/>
            <w:webHidden/>
          </w:rPr>
        </w:r>
        <w:r w:rsidR="00EB75EE">
          <w:rPr>
            <w:noProof/>
            <w:webHidden/>
          </w:rPr>
          <w:fldChar w:fldCharType="separate"/>
        </w:r>
        <w:r w:rsidR="00EB75EE">
          <w:rPr>
            <w:noProof/>
            <w:webHidden/>
          </w:rPr>
          <w:t>42</w:t>
        </w:r>
        <w:r w:rsidR="00EB75EE">
          <w:rPr>
            <w:noProof/>
            <w:webHidden/>
          </w:rPr>
          <w:fldChar w:fldCharType="end"/>
        </w:r>
      </w:hyperlink>
    </w:p>
    <w:p w14:paraId="7592CE92" w14:textId="41A8D568"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80" w:history="1">
        <w:r w:rsidR="00EB75EE" w:rsidRPr="00247083">
          <w:rPr>
            <w:rStyle w:val="Hyperlink"/>
            <w:noProof/>
          </w:rPr>
          <w:t>Figure 32: Final Energy Consumption by fuel, 2015-2050</w:t>
        </w:r>
        <w:r w:rsidR="00EB75EE">
          <w:rPr>
            <w:noProof/>
            <w:webHidden/>
          </w:rPr>
          <w:tab/>
        </w:r>
        <w:r w:rsidR="00EB75EE">
          <w:rPr>
            <w:noProof/>
            <w:webHidden/>
          </w:rPr>
          <w:fldChar w:fldCharType="begin"/>
        </w:r>
        <w:r w:rsidR="00EB75EE">
          <w:rPr>
            <w:noProof/>
            <w:webHidden/>
          </w:rPr>
          <w:instrText xml:space="preserve"> PAGEREF _Toc157679780 \h </w:instrText>
        </w:r>
        <w:r w:rsidR="00EB75EE">
          <w:rPr>
            <w:noProof/>
            <w:webHidden/>
          </w:rPr>
        </w:r>
        <w:r w:rsidR="00EB75EE">
          <w:rPr>
            <w:noProof/>
            <w:webHidden/>
          </w:rPr>
          <w:fldChar w:fldCharType="separate"/>
        </w:r>
        <w:r w:rsidR="00EB75EE">
          <w:rPr>
            <w:noProof/>
            <w:webHidden/>
          </w:rPr>
          <w:t>42</w:t>
        </w:r>
        <w:r w:rsidR="00EB75EE">
          <w:rPr>
            <w:noProof/>
            <w:webHidden/>
          </w:rPr>
          <w:fldChar w:fldCharType="end"/>
        </w:r>
      </w:hyperlink>
    </w:p>
    <w:p w14:paraId="1C0BBA8A" w14:textId="47A66B3F"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81" w:history="1">
        <w:r w:rsidR="00EB75EE" w:rsidRPr="00247083">
          <w:rPr>
            <w:rStyle w:val="Hyperlink"/>
            <w:noProof/>
          </w:rPr>
          <w:t>Figure 33: Share of electricity (left) and RFNBOs (right) in FEC, 2019-2050</w:t>
        </w:r>
        <w:r w:rsidR="00EB75EE">
          <w:rPr>
            <w:noProof/>
            <w:webHidden/>
          </w:rPr>
          <w:tab/>
        </w:r>
        <w:r w:rsidR="00EB75EE">
          <w:rPr>
            <w:noProof/>
            <w:webHidden/>
          </w:rPr>
          <w:fldChar w:fldCharType="begin"/>
        </w:r>
        <w:r w:rsidR="00EB75EE">
          <w:rPr>
            <w:noProof/>
            <w:webHidden/>
          </w:rPr>
          <w:instrText xml:space="preserve"> PAGEREF _Toc157679781 \h </w:instrText>
        </w:r>
        <w:r w:rsidR="00EB75EE">
          <w:rPr>
            <w:noProof/>
            <w:webHidden/>
          </w:rPr>
        </w:r>
        <w:r w:rsidR="00EB75EE">
          <w:rPr>
            <w:noProof/>
            <w:webHidden/>
          </w:rPr>
          <w:fldChar w:fldCharType="separate"/>
        </w:r>
        <w:r w:rsidR="00EB75EE">
          <w:rPr>
            <w:noProof/>
            <w:webHidden/>
          </w:rPr>
          <w:t>44</w:t>
        </w:r>
        <w:r w:rsidR="00EB75EE">
          <w:rPr>
            <w:noProof/>
            <w:webHidden/>
          </w:rPr>
          <w:fldChar w:fldCharType="end"/>
        </w:r>
      </w:hyperlink>
    </w:p>
    <w:p w14:paraId="09001195" w14:textId="793FED86"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82" w:history="1">
        <w:r w:rsidR="00EB75EE" w:rsidRPr="00247083">
          <w:rPr>
            <w:rStyle w:val="Hyperlink"/>
            <w:noProof/>
          </w:rPr>
          <w:t>Figure 34: FEC by sector, 2015-2050</w:t>
        </w:r>
        <w:r w:rsidR="00EB75EE">
          <w:rPr>
            <w:noProof/>
            <w:webHidden/>
          </w:rPr>
          <w:tab/>
        </w:r>
        <w:r w:rsidR="00EB75EE">
          <w:rPr>
            <w:noProof/>
            <w:webHidden/>
          </w:rPr>
          <w:fldChar w:fldCharType="begin"/>
        </w:r>
        <w:r w:rsidR="00EB75EE">
          <w:rPr>
            <w:noProof/>
            <w:webHidden/>
          </w:rPr>
          <w:instrText xml:space="preserve"> PAGEREF _Toc157679782 \h </w:instrText>
        </w:r>
        <w:r w:rsidR="00EB75EE">
          <w:rPr>
            <w:noProof/>
            <w:webHidden/>
          </w:rPr>
        </w:r>
        <w:r w:rsidR="00EB75EE">
          <w:rPr>
            <w:noProof/>
            <w:webHidden/>
          </w:rPr>
          <w:fldChar w:fldCharType="separate"/>
        </w:r>
        <w:r w:rsidR="00EB75EE">
          <w:rPr>
            <w:noProof/>
            <w:webHidden/>
          </w:rPr>
          <w:t>45</w:t>
        </w:r>
        <w:r w:rsidR="00EB75EE">
          <w:rPr>
            <w:noProof/>
            <w:webHidden/>
          </w:rPr>
          <w:fldChar w:fldCharType="end"/>
        </w:r>
      </w:hyperlink>
    </w:p>
    <w:p w14:paraId="62AF459D" w14:textId="7F71E22E"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83" w:history="1">
        <w:r w:rsidR="00EB75EE" w:rsidRPr="00247083">
          <w:rPr>
            <w:rStyle w:val="Hyperlink"/>
            <w:noProof/>
          </w:rPr>
          <w:t>Figure 35: Total FEC from different energy models, 2019-2050</w:t>
        </w:r>
        <w:r w:rsidR="00EB75EE">
          <w:rPr>
            <w:noProof/>
            <w:webHidden/>
          </w:rPr>
          <w:tab/>
        </w:r>
        <w:r w:rsidR="00EB75EE">
          <w:rPr>
            <w:noProof/>
            <w:webHidden/>
          </w:rPr>
          <w:fldChar w:fldCharType="begin"/>
        </w:r>
        <w:r w:rsidR="00EB75EE">
          <w:rPr>
            <w:noProof/>
            <w:webHidden/>
          </w:rPr>
          <w:instrText xml:space="preserve"> PAGEREF _Toc157679783 \h </w:instrText>
        </w:r>
        <w:r w:rsidR="00EB75EE">
          <w:rPr>
            <w:noProof/>
            <w:webHidden/>
          </w:rPr>
        </w:r>
        <w:r w:rsidR="00EB75EE">
          <w:rPr>
            <w:noProof/>
            <w:webHidden/>
          </w:rPr>
          <w:fldChar w:fldCharType="separate"/>
        </w:r>
        <w:r w:rsidR="00EB75EE">
          <w:rPr>
            <w:noProof/>
            <w:webHidden/>
          </w:rPr>
          <w:t>46</w:t>
        </w:r>
        <w:r w:rsidR="00EB75EE">
          <w:rPr>
            <w:noProof/>
            <w:webHidden/>
          </w:rPr>
          <w:fldChar w:fldCharType="end"/>
        </w:r>
      </w:hyperlink>
    </w:p>
    <w:p w14:paraId="790E729F" w14:textId="7CADF06E"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84" w:history="1">
        <w:r w:rsidR="00EB75EE" w:rsidRPr="00247083">
          <w:rPr>
            <w:rStyle w:val="Hyperlink"/>
            <w:noProof/>
          </w:rPr>
          <w:t>Figure 36: Domestic energy-related CO</w:t>
        </w:r>
        <w:r w:rsidR="00EB75EE" w:rsidRPr="00247083">
          <w:rPr>
            <w:rStyle w:val="Hyperlink"/>
            <w:noProof/>
            <w:shd w:val="clear" w:color="auto" w:fill="E6E6E6"/>
            <w:vertAlign w:val="subscript"/>
          </w:rPr>
          <w:t>2</w:t>
        </w:r>
        <w:r w:rsidR="00EB75EE" w:rsidRPr="00247083">
          <w:rPr>
            <w:rStyle w:val="Hyperlink"/>
            <w:noProof/>
          </w:rPr>
          <w:t xml:space="preserve"> emissions by sector, 2015-2050</w:t>
        </w:r>
        <w:r w:rsidR="00EB75EE">
          <w:rPr>
            <w:noProof/>
            <w:webHidden/>
          </w:rPr>
          <w:tab/>
        </w:r>
        <w:r w:rsidR="00EB75EE">
          <w:rPr>
            <w:noProof/>
            <w:webHidden/>
          </w:rPr>
          <w:fldChar w:fldCharType="begin"/>
        </w:r>
        <w:r w:rsidR="00EB75EE">
          <w:rPr>
            <w:noProof/>
            <w:webHidden/>
          </w:rPr>
          <w:instrText xml:space="preserve"> PAGEREF _Toc157679784 \h </w:instrText>
        </w:r>
        <w:r w:rsidR="00EB75EE">
          <w:rPr>
            <w:noProof/>
            <w:webHidden/>
          </w:rPr>
        </w:r>
        <w:r w:rsidR="00EB75EE">
          <w:rPr>
            <w:noProof/>
            <w:webHidden/>
          </w:rPr>
          <w:fldChar w:fldCharType="separate"/>
        </w:r>
        <w:r w:rsidR="00EB75EE">
          <w:rPr>
            <w:noProof/>
            <w:webHidden/>
          </w:rPr>
          <w:t>47</w:t>
        </w:r>
        <w:r w:rsidR="00EB75EE">
          <w:rPr>
            <w:noProof/>
            <w:webHidden/>
          </w:rPr>
          <w:fldChar w:fldCharType="end"/>
        </w:r>
      </w:hyperlink>
    </w:p>
    <w:p w14:paraId="3A502EC1" w14:textId="2BFF5A8A"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85" w:history="1">
        <w:r w:rsidR="00EB75EE" w:rsidRPr="00247083">
          <w:rPr>
            <w:rStyle w:val="Hyperlink"/>
            <w:noProof/>
          </w:rPr>
          <w:t>Figure 37: Comparison of domestic energy-related CO2 emissions, 2021-2050</w:t>
        </w:r>
        <w:r w:rsidR="00EB75EE">
          <w:rPr>
            <w:noProof/>
            <w:webHidden/>
          </w:rPr>
          <w:tab/>
        </w:r>
        <w:r w:rsidR="00EB75EE">
          <w:rPr>
            <w:noProof/>
            <w:webHidden/>
          </w:rPr>
          <w:fldChar w:fldCharType="begin"/>
        </w:r>
        <w:r w:rsidR="00EB75EE">
          <w:rPr>
            <w:noProof/>
            <w:webHidden/>
          </w:rPr>
          <w:instrText xml:space="preserve"> PAGEREF _Toc157679785 \h </w:instrText>
        </w:r>
        <w:r w:rsidR="00EB75EE">
          <w:rPr>
            <w:noProof/>
            <w:webHidden/>
          </w:rPr>
        </w:r>
        <w:r w:rsidR="00EB75EE">
          <w:rPr>
            <w:noProof/>
            <w:webHidden/>
          </w:rPr>
          <w:fldChar w:fldCharType="separate"/>
        </w:r>
        <w:r w:rsidR="00EB75EE">
          <w:rPr>
            <w:noProof/>
            <w:webHidden/>
          </w:rPr>
          <w:t>47</w:t>
        </w:r>
        <w:r w:rsidR="00EB75EE">
          <w:rPr>
            <w:noProof/>
            <w:webHidden/>
          </w:rPr>
          <w:fldChar w:fldCharType="end"/>
        </w:r>
      </w:hyperlink>
    </w:p>
    <w:p w14:paraId="311E78A8" w14:textId="258DFB66"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86" w:history="1">
        <w:r w:rsidR="00EB75EE" w:rsidRPr="00247083">
          <w:rPr>
            <w:rStyle w:val="Hyperlink"/>
            <w:noProof/>
          </w:rPr>
          <w:t>Figure 38: FEC in the residential sector by energy service, 2015-2050</w:t>
        </w:r>
        <w:r w:rsidR="00EB75EE">
          <w:rPr>
            <w:noProof/>
            <w:webHidden/>
          </w:rPr>
          <w:tab/>
        </w:r>
        <w:r w:rsidR="00EB75EE">
          <w:rPr>
            <w:noProof/>
            <w:webHidden/>
          </w:rPr>
          <w:fldChar w:fldCharType="begin"/>
        </w:r>
        <w:r w:rsidR="00EB75EE">
          <w:rPr>
            <w:noProof/>
            <w:webHidden/>
          </w:rPr>
          <w:instrText xml:space="preserve"> PAGEREF _Toc157679786 \h </w:instrText>
        </w:r>
        <w:r w:rsidR="00EB75EE">
          <w:rPr>
            <w:noProof/>
            <w:webHidden/>
          </w:rPr>
        </w:r>
        <w:r w:rsidR="00EB75EE">
          <w:rPr>
            <w:noProof/>
            <w:webHidden/>
          </w:rPr>
          <w:fldChar w:fldCharType="separate"/>
        </w:r>
        <w:r w:rsidR="00EB75EE">
          <w:rPr>
            <w:noProof/>
            <w:webHidden/>
          </w:rPr>
          <w:t>50</w:t>
        </w:r>
        <w:r w:rsidR="00EB75EE">
          <w:rPr>
            <w:noProof/>
            <w:webHidden/>
          </w:rPr>
          <w:fldChar w:fldCharType="end"/>
        </w:r>
      </w:hyperlink>
    </w:p>
    <w:p w14:paraId="79079700" w14:textId="5DEC8EC7"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87" w:history="1">
        <w:r w:rsidR="00EB75EE" w:rsidRPr="00247083">
          <w:rPr>
            <w:rStyle w:val="Hyperlink"/>
            <w:noProof/>
          </w:rPr>
          <w:t>Figure 39: FEC in the services sector by energy service, 2015-2050</w:t>
        </w:r>
        <w:r w:rsidR="00EB75EE">
          <w:rPr>
            <w:noProof/>
            <w:webHidden/>
          </w:rPr>
          <w:tab/>
        </w:r>
        <w:r w:rsidR="00EB75EE">
          <w:rPr>
            <w:noProof/>
            <w:webHidden/>
          </w:rPr>
          <w:fldChar w:fldCharType="begin"/>
        </w:r>
        <w:r w:rsidR="00EB75EE">
          <w:rPr>
            <w:noProof/>
            <w:webHidden/>
          </w:rPr>
          <w:instrText xml:space="preserve"> PAGEREF _Toc157679787 \h </w:instrText>
        </w:r>
        <w:r w:rsidR="00EB75EE">
          <w:rPr>
            <w:noProof/>
            <w:webHidden/>
          </w:rPr>
        </w:r>
        <w:r w:rsidR="00EB75EE">
          <w:rPr>
            <w:noProof/>
            <w:webHidden/>
          </w:rPr>
          <w:fldChar w:fldCharType="separate"/>
        </w:r>
        <w:r w:rsidR="00EB75EE">
          <w:rPr>
            <w:noProof/>
            <w:webHidden/>
          </w:rPr>
          <w:t>51</w:t>
        </w:r>
        <w:r w:rsidR="00EB75EE">
          <w:rPr>
            <w:noProof/>
            <w:webHidden/>
          </w:rPr>
          <w:fldChar w:fldCharType="end"/>
        </w:r>
      </w:hyperlink>
    </w:p>
    <w:p w14:paraId="3338D044" w14:textId="6EF43B13"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88" w:history="1">
        <w:r w:rsidR="00EB75EE" w:rsidRPr="00247083">
          <w:rPr>
            <w:rStyle w:val="Hyperlink"/>
            <w:noProof/>
          </w:rPr>
          <w:t>Figure 40: Renovation rates in the residential and services sectors, 2020-2050</w:t>
        </w:r>
        <w:r w:rsidR="00EB75EE">
          <w:rPr>
            <w:noProof/>
            <w:webHidden/>
          </w:rPr>
          <w:tab/>
        </w:r>
        <w:r w:rsidR="00EB75EE">
          <w:rPr>
            <w:noProof/>
            <w:webHidden/>
          </w:rPr>
          <w:fldChar w:fldCharType="begin"/>
        </w:r>
        <w:r w:rsidR="00EB75EE">
          <w:rPr>
            <w:noProof/>
            <w:webHidden/>
          </w:rPr>
          <w:instrText xml:space="preserve"> PAGEREF _Toc157679788 \h </w:instrText>
        </w:r>
        <w:r w:rsidR="00EB75EE">
          <w:rPr>
            <w:noProof/>
            <w:webHidden/>
          </w:rPr>
        </w:r>
        <w:r w:rsidR="00EB75EE">
          <w:rPr>
            <w:noProof/>
            <w:webHidden/>
          </w:rPr>
          <w:fldChar w:fldCharType="separate"/>
        </w:r>
        <w:r w:rsidR="00EB75EE">
          <w:rPr>
            <w:noProof/>
            <w:webHidden/>
          </w:rPr>
          <w:t>52</w:t>
        </w:r>
        <w:r w:rsidR="00EB75EE">
          <w:rPr>
            <w:noProof/>
            <w:webHidden/>
          </w:rPr>
          <w:fldChar w:fldCharType="end"/>
        </w:r>
      </w:hyperlink>
    </w:p>
    <w:p w14:paraId="259A7E85" w14:textId="7A56B185"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89" w:history="1">
        <w:r w:rsidR="00EB75EE" w:rsidRPr="00247083">
          <w:rPr>
            <w:rStyle w:val="Hyperlink"/>
            <w:noProof/>
          </w:rPr>
          <w:t>Figure 41: Average useful energy for space heating (S3)</w:t>
        </w:r>
        <w:r w:rsidR="00EB75EE">
          <w:rPr>
            <w:noProof/>
            <w:webHidden/>
          </w:rPr>
          <w:tab/>
        </w:r>
        <w:r w:rsidR="00EB75EE">
          <w:rPr>
            <w:noProof/>
            <w:webHidden/>
          </w:rPr>
          <w:fldChar w:fldCharType="begin"/>
        </w:r>
        <w:r w:rsidR="00EB75EE">
          <w:rPr>
            <w:noProof/>
            <w:webHidden/>
          </w:rPr>
          <w:instrText xml:space="preserve"> PAGEREF _Toc157679789 \h </w:instrText>
        </w:r>
        <w:r w:rsidR="00EB75EE">
          <w:rPr>
            <w:noProof/>
            <w:webHidden/>
          </w:rPr>
        </w:r>
        <w:r w:rsidR="00EB75EE">
          <w:rPr>
            <w:noProof/>
            <w:webHidden/>
          </w:rPr>
          <w:fldChar w:fldCharType="separate"/>
        </w:r>
        <w:r w:rsidR="00EB75EE">
          <w:rPr>
            <w:noProof/>
            <w:webHidden/>
          </w:rPr>
          <w:t>53</w:t>
        </w:r>
        <w:r w:rsidR="00EB75EE">
          <w:rPr>
            <w:noProof/>
            <w:webHidden/>
          </w:rPr>
          <w:fldChar w:fldCharType="end"/>
        </w:r>
      </w:hyperlink>
    </w:p>
    <w:p w14:paraId="32F48889" w14:textId="370CFE78"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90" w:history="1">
        <w:r w:rsidR="00EB75EE" w:rsidRPr="00247083">
          <w:rPr>
            <w:rStyle w:val="Hyperlink"/>
            <w:noProof/>
          </w:rPr>
          <w:t>Figure 42: FEC in the residential sector, 2015-2050</w:t>
        </w:r>
        <w:r w:rsidR="00EB75EE">
          <w:rPr>
            <w:noProof/>
            <w:webHidden/>
          </w:rPr>
          <w:tab/>
        </w:r>
        <w:r w:rsidR="00EB75EE">
          <w:rPr>
            <w:noProof/>
            <w:webHidden/>
          </w:rPr>
          <w:fldChar w:fldCharType="begin"/>
        </w:r>
        <w:r w:rsidR="00EB75EE">
          <w:rPr>
            <w:noProof/>
            <w:webHidden/>
          </w:rPr>
          <w:instrText xml:space="preserve"> PAGEREF _Toc157679790 \h </w:instrText>
        </w:r>
        <w:r w:rsidR="00EB75EE">
          <w:rPr>
            <w:noProof/>
            <w:webHidden/>
          </w:rPr>
        </w:r>
        <w:r w:rsidR="00EB75EE">
          <w:rPr>
            <w:noProof/>
            <w:webHidden/>
          </w:rPr>
          <w:fldChar w:fldCharType="separate"/>
        </w:r>
        <w:r w:rsidR="00EB75EE">
          <w:rPr>
            <w:noProof/>
            <w:webHidden/>
          </w:rPr>
          <w:t>54</w:t>
        </w:r>
        <w:r w:rsidR="00EB75EE">
          <w:rPr>
            <w:noProof/>
            <w:webHidden/>
          </w:rPr>
          <w:fldChar w:fldCharType="end"/>
        </w:r>
      </w:hyperlink>
    </w:p>
    <w:p w14:paraId="6A26CFE6" w14:textId="65A780CB"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91" w:history="1">
        <w:r w:rsidR="00EB75EE" w:rsidRPr="00247083">
          <w:rPr>
            <w:rStyle w:val="Hyperlink"/>
            <w:noProof/>
          </w:rPr>
          <w:t>Figure 43: FEC in the services sector, 2015-2050</w:t>
        </w:r>
        <w:r w:rsidR="00EB75EE">
          <w:rPr>
            <w:noProof/>
            <w:webHidden/>
          </w:rPr>
          <w:tab/>
        </w:r>
        <w:r w:rsidR="00EB75EE">
          <w:rPr>
            <w:noProof/>
            <w:webHidden/>
          </w:rPr>
          <w:fldChar w:fldCharType="begin"/>
        </w:r>
        <w:r w:rsidR="00EB75EE">
          <w:rPr>
            <w:noProof/>
            <w:webHidden/>
          </w:rPr>
          <w:instrText xml:space="preserve"> PAGEREF _Toc157679791 \h </w:instrText>
        </w:r>
        <w:r w:rsidR="00EB75EE">
          <w:rPr>
            <w:noProof/>
            <w:webHidden/>
          </w:rPr>
        </w:r>
        <w:r w:rsidR="00EB75EE">
          <w:rPr>
            <w:noProof/>
            <w:webHidden/>
          </w:rPr>
          <w:fldChar w:fldCharType="separate"/>
        </w:r>
        <w:r w:rsidR="00EB75EE">
          <w:rPr>
            <w:noProof/>
            <w:webHidden/>
          </w:rPr>
          <w:t>54</w:t>
        </w:r>
        <w:r w:rsidR="00EB75EE">
          <w:rPr>
            <w:noProof/>
            <w:webHidden/>
          </w:rPr>
          <w:fldChar w:fldCharType="end"/>
        </w:r>
      </w:hyperlink>
    </w:p>
    <w:p w14:paraId="6E02AC7A" w14:textId="53B4C284"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92" w:history="1">
        <w:r w:rsidR="00EB75EE" w:rsidRPr="00247083">
          <w:rPr>
            <w:rStyle w:val="Hyperlink"/>
            <w:noProof/>
          </w:rPr>
          <w:t>Figure 44: Stock of heat pumps in the residential and services sector, 2015-2050</w:t>
        </w:r>
        <w:r w:rsidR="00EB75EE">
          <w:rPr>
            <w:noProof/>
            <w:webHidden/>
          </w:rPr>
          <w:tab/>
        </w:r>
        <w:r w:rsidR="00EB75EE">
          <w:rPr>
            <w:noProof/>
            <w:webHidden/>
          </w:rPr>
          <w:fldChar w:fldCharType="begin"/>
        </w:r>
        <w:r w:rsidR="00EB75EE">
          <w:rPr>
            <w:noProof/>
            <w:webHidden/>
          </w:rPr>
          <w:instrText xml:space="preserve"> PAGEREF _Toc157679792 \h </w:instrText>
        </w:r>
        <w:r w:rsidR="00EB75EE">
          <w:rPr>
            <w:noProof/>
            <w:webHidden/>
          </w:rPr>
        </w:r>
        <w:r w:rsidR="00EB75EE">
          <w:rPr>
            <w:noProof/>
            <w:webHidden/>
          </w:rPr>
          <w:fldChar w:fldCharType="separate"/>
        </w:r>
        <w:r w:rsidR="00EB75EE">
          <w:rPr>
            <w:noProof/>
            <w:webHidden/>
          </w:rPr>
          <w:t>55</w:t>
        </w:r>
        <w:r w:rsidR="00EB75EE">
          <w:rPr>
            <w:noProof/>
            <w:webHidden/>
          </w:rPr>
          <w:fldChar w:fldCharType="end"/>
        </w:r>
      </w:hyperlink>
    </w:p>
    <w:p w14:paraId="779FC32C" w14:textId="63DE3986"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93" w:history="1">
        <w:r w:rsidR="00EB75EE" w:rsidRPr="00247083">
          <w:rPr>
            <w:rStyle w:val="Hyperlink"/>
            <w:noProof/>
          </w:rPr>
          <w:t>Figure 45: Contribution of electricity and gaseous fuels to buildings’ FEC, 2030-2050</w:t>
        </w:r>
        <w:r w:rsidR="00EB75EE">
          <w:rPr>
            <w:noProof/>
            <w:webHidden/>
          </w:rPr>
          <w:tab/>
        </w:r>
        <w:r w:rsidR="00EB75EE">
          <w:rPr>
            <w:noProof/>
            <w:webHidden/>
          </w:rPr>
          <w:fldChar w:fldCharType="begin"/>
        </w:r>
        <w:r w:rsidR="00EB75EE">
          <w:rPr>
            <w:noProof/>
            <w:webHidden/>
          </w:rPr>
          <w:instrText xml:space="preserve"> PAGEREF _Toc157679793 \h </w:instrText>
        </w:r>
        <w:r w:rsidR="00EB75EE">
          <w:rPr>
            <w:noProof/>
            <w:webHidden/>
          </w:rPr>
        </w:r>
        <w:r w:rsidR="00EB75EE">
          <w:rPr>
            <w:noProof/>
            <w:webHidden/>
          </w:rPr>
          <w:fldChar w:fldCharType="separate"/>
        </w:r>
        <w:r w:rsidR="00EB75EE">
          <w:rPr>
            <w:noProof/>
            <w:webHidden/>
          </w:rPr>
          <w:t>56</w:t>
        </w:r>
        <w:r w:rsidR="00EB75EE">
          <w:rPr>
            <w:noProof/>
            <w:webHidden/>
          </w:rPr>
          <w:fldChar w:fldCharType="end"/>
        </w:r>
      </w:hyperlink>
    </w:p>
    <w:p w14:paraId="470F5CC1" w14:textId="4EDB9480"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94" w:history="1">
        <w:r w:rsidR="00EB75EE" w:rsidRPr="00247083">
          <w:rPr>
            <w:rStyle w:val="Hyperlink"/>
            <w:noProof/>
          </w:rPr>
          <w:t>Figure 46: Stock of black and white appliances and of lighting equipment, 2015-2050</w:t>
        </w:r>
        <w:r w:rsidR="00EB75EE">
          <w:rPr>
            <w:noProof/>
            <w:webHidden/>
          </w:rPr>
          <w:tab/>
        </w:r>
        <w:r w:rsidR="00EB75EE">
          <w:rPr>
            <w:noProof/>
            <w:webHidden/>
          </w:rPr>
          <w:fldChar w:fldCharType="begin"/>
        </w:r>
        <w:r w:rsidR="00EB75EE">
          <w:rPr>
            <w:noProof/>
            <w:webHidden/>
          </w:rPr>
          <w:instrText xml:space="preserve"> PAGEREF _Toc157679794 \h </w:instrText>
        </w:r>
        <w:r w:rsidR="00EB75EE">
          <w:rPr>
            <w:noProof/>
            <w:webHidden/>
          </w:rPr>
        </w:r>
        <w:r w:rsidR="00EB75EE">
          <w:rPr>
            <w:noProof/>
            <w:webHidden/>
          </w:rPr>
          <w:fldChar w:fldCharType="separate"/>
        </w:r>
        <w:r w:rsidR="00EB75EE">
          <w:rPr>
            <w:noProof/>
            <w:webHidden/>
          </w:rPr>
          <w:t>57</w:t>
        </w:r>
        <w:r w:rsidR="00EB75EE">
          <w:rPr>
            <w:noProof/>
            <w:webHidden/>
          </w:rPr>
          <w:fldChar w:fldCharType="end"/>
        </w:r>
      </w:hyperlink>
    </w:p>
    <w:p w14:paraId="33663600" w14:textId="5D072329"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95" w:history="1">
        <w:r w:rsidR="00EB75EE" w:rsidRPr="00247083">
          <w:rPr>
            <w:rStyle w:val="Hyperlink"/>
            <w:noProof/>
          </w:rPr>
          <w:t>Figure 47: Electricity demand associated to appliances and lighting, 2015-2050</w:t>
        </w:r>
        <w:r w:rsidR="00EB75EE">
          <w:rPr>
            <w:noProof/>
            <w:webHidden/>
          </w:rPr>
          <w:tab/>
        </w:r>
        <w:r w:rsidR="00EB75EE">
          <w:rPr>
            <w:noProof/>
            <w:webHidden/>
          </w:rPr>
          <w:fldChar w:fldCharType="begin"/>
        </w:r>
        <w:r w:rsidR="00EB75EE">
          <w:rPr>
            <w:noProof/>
            <w:webHidden/>
          </w:rPr>
          <w:instrText xml:space="preserve"> PAGEREF _Toc157679795 \h </w:instrText>
        </w:r>
        <w:r w:rsidR="00EB75EE">
          <w:rPr>
            <w:noProof/>
            <w:webHidden/>
          </w:rPr>
        </w:r>
        <w:r w:rsidR="00EB75EE">
          <w:rPr>
            <w:noProof/>
            <w:webHidden/>
          </w:rPr>
          <w:fldChar w:fldCharType="separate"/>
        </w:r>
        <w:r w:rsidR="00EB75EE">
          <w:rPr>
            <w:noProof/>
            <w:webHidden/>
          </w:rPr>
          <w:t>58</w:t>
        </w:r>
        <w:r w:rsidR="00EB75EE">
          <w:rPr>
            <w:noProof/>
            <w:webHidden/>
          </w:rPr>
          <w:fldChar w:fldCharType="end"/>
        </w:r>
      </w:hyperlink>
    </w:p>
    <w:p w14:paraId="73326853" w14:textId="2A99F35F"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96" w:history="1">
        <w:r w:rsidR="00EB75EE" w:rsidRPr="00247083">
          <w:rPr>
            <w:rStyle w:val="Hyperlink"/>
            <w:noProof/>
          </w:rPr>
          <w:t>Figure 48: Buildings CO2 emissions trajectory by sector, 2015-2050</w:t>
        </w:r>
        <w:r w:rsidR="00EB75EE">
          <w:rPr>
            <w:noProof/>
            <w:webHidden/>
          </w:rPr>
          <w:tab/>
        </w:r>
        <w:r w:rsidR="00EB75EE">
          <w:rPr>
            <w:noProof/>
            <w:webHidden/>
          </w:rPr>
          <w:fldChar w:fldCharType="begin"/>
        </w:r>
        <w:r w:rsidR="00EB75EE">
          <w:rPr>
            <w:noProof/>
            <w:webHidden/>
          </w:rPr>
          <w:instrText xml:space="preserve"> PAGEREF _Toc157679796 \h </w:instrText>
        </w:r>
        <w:r w:rsidR="00EB75EE">
          <w:rPr>
            <w:noProof/>
            <w:webHidden/>
          </w:rPr>
        </w:r>
        <w:r w:rsidR="00EB75EE">
          <w:rPr>
            <w:noProof/>
            <w:webHidden/>
          </w:rPr>
          <w:fldChar w:fldCharType="separate"/>
        </w:r>
        <w:r w:rsidR="00EB75EE">
          <w:rPr>
            <w:noProof/>
            <w:webHidden/>
          </w:rPr>
          <w:t>58</w:t>
        </w:r>
        <w:r w:rsidR="00EB75EE">
          <w:rPr>
            <w:noProof/>
            <w:webHidden/>
          </w:rPr>
          <w:fldChar w:fldCharType="end"/>
        </w:r>
      </w:hyperlink>
    </w:p>
    <w:p w14:paraId="6FD93F8C" w14:textId="7173165C"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97" w:history="1">
        <w:r w:rsidR="00EB75EE" w:rsidRPr="00247083">
          <w:rPr>
            <w:rStyle w:val="Hyperlink"/>
            <w:noProof/>
          </w:rPr>
          <w:t>Figure 49: Final Energy Consumption in industry by sector</w:t>
        </w:r>
        <w:r w:rsidR="00EB75EE">
          <w:rPr>
            <w:noProof/>
            <w:webHidden/>
          </w:rPr>
          <w:tab/>
        </w:r>
        <w:r w:rsidR="00EB75EE">
          <w:rPr>
            <w:noProof/>
            <w:webHidden/>
          </w:rPr>
          <w:fldChar w:fldCharType="begin"/>
        </w:r>
        <w:r w:rsidR="00EB75EE">
          <w:rPr>
            <w:noProof/>
            <w:webHidden/>
          </w:rPr>
          <w:instrText xml:space="preserve"> PAGEREF _Toc157679797 \h </w:instrText>
        </w:r>
        <w:r w:rsidR="00EB75EE">
          <w:rPr>
            <w:noProof/>
            <w:webHidden/>
          </w:rPr>
        </w:r>
        <w:r w:rsidR="00EB75EE">
          <w:rPr>
            <w:noProof/>
            <w:webHidden/>
          </w:rPr>
          <w:fldChar w:fldCharType="separate"/>
        </w:r>
        <w:r w:rsidR="00EB75EE">
          <w:rPr>
            <w:noProof/>
            <w:webHidden/>
          </w:rPr>
          <w:t>62</w:t>
        </w:r>
        <w:r w:rsidR="00EB75EE">
          <w:rPr>
            <w:noProof/>
            <w:webHidden/>
          </w:rPr>
          <w:fldChar w:fldCharType="end"/>
        </w:r>
      </w:hyperlink>
    </w:p>
    <w:p w14:paraId="7C67C063" w14:textId="380F9ED7"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98" w:history="1">
        <w:r w:rsidR="00EB75EE" w:rsidRPr="00247083">
          <w:rPr>
            <w:rStyle w:val="Hyperlink"/>
            <w:noProof/>
          </w:rPr>
          <w:t>Figure 50: Energy Consumption in industry by fuel</w:t>
        </w:r>
        <w:r w:rsidR="00EB75EE">
          <w:rPr>
            <w:noProof/>
            <w:webHidden/>
          </w:rPr>
          <w:tab/>
        </w:r>
        <w:r w:rsidR="00EB75EE">
          <w:rPr>
            <w:noProof/>
            <w:webHidden/>
          </w:rPr>
          <w:fldChar w:fldCharType="begin"/>
        </w:r>
        <w:r w:rsidR="00EB75EE">
          <w:rPr>
            <w:noProof/>
            <w:webHidden/>
          </w:rPr>
          <w:instrText xml:space="preserve"> PAGEREF _Toc157679798 \h </w:instrText>
        </w:r>
        <w:r w:rsidR="00EB75EE">
          <w:rPr>
            <w:noProof/>
            <w:webHidden/>
          </w:rPr>
        </w:r>
        <w:r w:rsidR="00EB75EE">
          <w:rPr>
            <w:noProof/>
            <w:webHidden/>
          </w:rPr>
          <w:fldChar w:fldCharType="separate"/>
        </w:r>
        <w:r w:rsidR="00EB75EE">
          <w:rPr>
            <w:noProof/>
            <w:webHidden/>
          </w:rPr>
          <w:t>63</w:t>
        </w:r>
        <w:r w:rsidR="00EB75EE">
          <w:rPr>
            <w:noProof/>
            <w:webHidden/>
          </w:rPr>
          <w:fldChar w:fldCharType="end"/>
        </w:r>
      </w:hyperlink>
    </w:p>
    <w:p w14:paraId="334C90C6" w14:textId="21E76AE9"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799" w:history="1">
        <w:r w:rsidR="00EB75EE" w:rsidRPr="00247083">
          <w:rPr>
            <w:rStyle w:val="Hyperlink"/>
            <w:noProof/>
          </w:rPr>
          <w:t>Figure 51: Final Non-Energy Consumption in industry by fuel</w:t>
        </w:r>
        <w:r w:rsidR="00EB75EE">
          <w:rPr>
            <w:noProof/>
            <w:webHidden/>
          </w:rPr>
          <w:tab/>
        </w:r>
        <w:r w:rsidR="00EB75EE">
          <w:rPr>
            <w:noProof/>
            <w:webHidden/>
          </w:rPr>
          <w:fldChar w:fldCharType="begin"/>
        </w:r>
        <w:r w:rsidR="00EB75EE">
          <w:rPr>
            <w:noProof/>
            <w:webHidden/>
          </w:rPr>
          <w:instrText xml:space="preserve"> PAGEREF _Toc157679799 \h </w:instrText>
        </w:r>
        <w:r w:rsidR="00EB75EE">
          <w:rPr>
            <w:noProof/>
            <w:webHidden/>
          </w:rPr>
        </w:r>
        <w:r w:rsidR="00EB75EE">
          <w:rPr>
            <w:noProof/>
            <w:webHidden/>
          </w:rPr>
          <w:fldChar w:fldCharType="separate"/>
        </w:r>
        <w:r w:rsidR="00EB75EE">
          <w:rPr>
            <w:noProof/>
            <w:webHidden/>
          </w:rPr>
          <w:t>64</w:t>
        </w:r>
        <w:r w:rsidR="00EB75EE">
          <w:rPr>
            <w:noProof/>
            <w:webHidden/>
          </w:rPr>
          <w:fldChar w:fldCharType="end"/>
        </w:r>
      </w:hyperlink>
    </w:p>
    <w:p w14:paraId="1B5ACAAF" w14:textId="4E243E53"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00" w:history="1">
        <w:r w:rsidR="00EB75EE" w:rsidRPr="00247083">
          <w:rPr>
            <w:rStyle w:val="Hyperlink"/>
            <w:noProof/>
          </w:rPr>
          <w:t>Figure 52 : Energy-related CO</w:t>
        </w:r>
        <w:r w:rsidR="00EB75EE" w:rsidRPr="00247083">
          <w:rPr>
            <w:rStyle w:val="Hyperlink"/>
            <w:noProof/>
            <w:vertAlign w:val="subscript"/>
          </w:rPr>
          <w:t>2</w:t>
        </w:r>
        <w:r w:rsidR="00EB75EE" w:rsidRPr="00247083">
          <w:rPr>
            <w:rStyle w:val="Hyperlink"/>
            <w:noProof/>
          </w:rPr>
          <w:t xml:space="preserve"> emissions in industry by sector</w:t>
        </w:r>
        <w:r w:rsidR="00EB75EE">
          <w:rPr>
            <w:noProof/>
            <w:webHidden/>
          </w:rPr>
          <w:tab/>
        </w:r>
        <w:r w:rsidR="00EB75EE">
          <w:rPr>
            <w:noProof/>
            <w:webHidden/>
          </w:rPr>
          <w:fldChar w:fldCharType="begin"/>
        </w:r>
        <w:r w:rsidR="00EB75EE">
          <w:rPr>
            <w:noProof/>
            <w:webHidden/>
          </w:rPr>
          <w:instrText xml:space="preserve"> PAGEREF _Toc157679800 \h </w:instrText>
        </w:r>
        <w:r w:rsidR="00EB75EE">
          <w:rPr>
            <w:noProof/>
            <w:webHidden/>
          </w:rPr>
        </w:r>
        <w:r w:rsidR="00EB75EE">
          <w:rPr>
            <w:noProof/>
            <w:webHidden/>
          </w:rPr>
          <w:fldChar w:fldCharType="separate"/>
        </w:r>
        <w:r w:rsidR="00EB75EE">
          <w:rPr>
            <w:noProof/>
            <w:webHidden/>
          </w:rPr>
          <w:t>65</w:t>
        </w:r>
        <w:r w:rsidR="00EB75EE">
          <w:rPr>
            <w:noProof/>
            <w:webHidden/>
          </w:rPr>
          <w:fldChar w:fldCharType="end"/>
        </w:r>
      </w:hyperlink>
    </w:p>
    <w:p w14:paraId="051E4B62" w14:textId="77F532CB"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01" w:history="1">
        <w:r w:rsidR="00EB75EE" w:rsidRPr="00247083">
          <w:rPr>
            <w:rStyle w:val="Hyperlink"/>
            <w:noProof/>
          </w:rPr>
          <w:t>Figure 53: Process CO2 emissions in industry by sector</w:t>
        </w:r>
        <w:r w:rsidR="00EB75EE">
          <w:rPr>
            <w:noProof/>
            <w:webHidden/>
          </w:rPr>
          <w:tab/>
        </w:r>
        <w:r w:rsidR="00EB75EE">
          <w:rPr>
            <w:noProof/>
            <w:webHidden/>
          </w:rPr>
          <w:fldChar w:fldCharType="begin"/>
        </w:r>
        <w:r w:rsidR="00EB75EE">
          <w:rPr>
            <w:noProof/>
            <w:webHidden/>
          </w:rPr>
          <w:instrText xml:space="preserve"> PAGEREF _Toc157679801 \h </w:instrText>
        </w:r>
        <w:r w:rsidR="00EB75EE">
          <w:rPr>
            <w:noProof/>
            <w:webHidden/>
          </w:rPr>
        </w:r>
        <w:r w:rsidR="00EB75EE">
          <w:rPr>
            <w:noProof/>
            <w:webHidden/>
          </w:rPr>
          <w:fldChar w:fldCharType="separate"/>
        </w:r>
        <w:r w:rsidR="00EB75EE">
          <w:rPr>
            <w:noProof/>
            <w:webHidden/>
          </w:rPr>
          <w:t>65</w:t>
        </w:r>
        <w:r w:rsidR="00EB75EE">
          <w:rPr>
            <w:noProof/>
            <w:webHidden/>
          </w:rPr>
          <w:fldChar w:fldCharType="end"/>
        </w:r>
      </w:hyperlink>
    </w:p>
    <w:p w14:paraId="763E9DBA" w14:textId="58C03A1F"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02" w:history="1">
        <w:r w:rsidR="00EB75EE" w:rsidRPr="00247083">
          <w:rPr>
            <w:rStyle w:val="Hyperlink"/>
            <w:noProof/>
          </w:rPr>
          <w:t>Figure 54: Carbon captured in industrial processes.</w:t>
        </w:r>
        <w:r w:rsidR="00EB75EE">
          <w:rPr>
            <w:noProof/>
            <w:webHidden/>
          </w:rPr>
          <w:tab/>
        </w:r>
        <w:r w:rsidR="00EB75EE">
          <w:rPr>
            <w:noProof/>
            <w:webHidden/>
          </w:rPr>
          <w:fldChar w:fldCharType="begin"/>
        </w:r>
        <w:r w:rsidR="00EB75EE">
          <w:rPr>
            <w:noProof/>
            <w:webHidden/>
          </w:rPr>
          <w:instrText xml:space="preserve"> PAGEREF _Toc157679802 \h </w:instrText>
        </w:r>
        <w:r w:rsidR="00EB75EE">
          <w:rPr>
            <w:noProof/>
            <w:webHidden/>
          </w:rPr>
        </w:r>
        <w:r w:rsidR="00EB75EE">
          <w:rPr>
            <w:noProof/>
            <w:webHidden/>
          </w:rPr>
          <w:fldChar w:fldCharType="separate"/>
        </w:r>
        <w:r w:rsidR="00EB75EE">
          <w:rPr>
            <w:noProof/>
            <w:webHidden/>
          </w:rPr>
          <w:t>66</w:t>
        </w:r>
        <w:r w:rsidR="00EB75EE">
          <w:rPr>
            <w:noProof/>
            <w:webHidden/>
          </w:rPr>
          <w:fldChar w:fldCharType="end"/>
        </w:r>
      </w:hyperlink>
    </w:p>
    <w:p w14:paraId="5B35F270" w14:textId="43AE174C"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03" w:history="1">
        <w:r w:rsidR="00EB75EE" w:rsidRPr="00247083">
          <w:rPr>
            <w:rStyle w:val="Hyperlink"/>
            <w:noProof/>
          </w:rPr>
          <w:t>Figure 55: CO2 Emissions from industrial sector</w:t>
        </w:r>
        <w:r w:rsidR="00EB75EE">
          <w:rPr>
            <w:noProof/>
            <w:webHidden/>
          </w:rPr>
          <w:tab/>
        </w:r>
        <w:r w:rsidR="00EB75EE">
          <w:rPr>
            <w:noProof/>
            <w:webHidden/>
          </w:rPr>
          <w:fldChar w:fldCharType="begin"/>
        </w:r>
        <w:r w:rsidR="00EB75EE">
          <w:rPr>
            <w:noProof/>
            <w:webHidden/>
          </w:rPr>
          <w:instrText xml:space="preserve"> PAGEREF _Toc157679803 \h </w:instrText>
        </w:r>
        <w:r w:rsidR="00EB75EE">
          <w:rPr>
            <w:noProof/>
            <w:webHidden/>
          </w:rPr>
        </w:r>
        <w:r w:rsidR="00EB75EE">
          <w:rPr>
            <w:noProof/>
            <w:webHidden/>
          </w:rPr>
          <w:fldChar w:fldCharType="separate"/>
        </w:r>
        <w:r w:rsidR="00EB75EE">
          <w:rPr>
            <w:noProof/>
            <w:webHidden/>
          </w:rPr>
          <w:t>67</w:t>
        </w:r>
        <w:r w:rsidR="00EB75EE">
          <w:rPr>
            <w:noProof/>
            <w:webHidden/>
          </w:rPr>
          <w:fldChar w:fldCharType="end"/>
        </w:r>
      </w:hyperlink>
    </w:p>
    <w:p w14:paraId="3FA294EB" w14:textId="7A6FFA00"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04" w:history="1">
        <w:r w:rsidR="00EB75EE" w:rsidRPr="00247083">
          <w:rPr>
            <w:rStyle w:val="Hyperlink"/>
            <w:noProof/>
          </w:rPr>
          <w:t>Figure 56: Historical EU production and future demand for specific materials</w:t>
        </w:r>
        <w:r w:rsidR="00EB75EE">
          <w:rPr>
            <w:noProof/>
            <w:webHidden/>
          </w:rPr>
          <w:tab/>
        </w:r>
        <w:r w:rsidR="00EB75EE">
          <w:rPr>
            <w:noProof/>
            <w:webHidden/>
          </w:rPr>
          <w:fldChar w:fldCharType="begin"/>
        </w:r>
        <w:r w:rsidR="00EB75EE">
          <w:rPr>
            <w:noProof/>
            <w:webHidden/>
          </w:rPr>
          <w:instrText xml:space="preserve"> PAGEREF _Toc157679804 \h </w:instrText>
        </w:r>
        <w:r w:rsidR="00EB75EE">
          <w:rPr>
            <w:noProof/>
            <w:webHidden/>
          </w:rPr>
        </w:r>
        <w:r w:rsidR="00EB75EE">
          <w:rPr>
            <w:noProof/>
            <w:webHidden/>
          </w:rPr>
          <w:fldChar w:fldCharType="separate"/>
        </w:r>
        <w:r w:rsidR="00EB75EE">
          <w:rPr>
            <w:noProof/>
            <w:webHidden/>
          </w:rPr>
          <w:t>71</w:t>
        </w:r>
        <w:r w:rsidR="00EB75EE">
          <w:rPr>
            <w:noProof/>
            <w:webHidden/>
          </w:rPr>
          <w:fldChar w:fldCharType="end"/>
        </w:r>
      </w:hyperlink>
    </w:p>
    <w:p w14:paraId="5B37DA3B" w14:textId="11B8519C"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05" w:history="1">
        <w:r w:rsidR="00EB75EE" w:rsidRPr="00247083">
          <w:rPr>
            <w:rStyle w:val="Hyperlink"/>
            <w:noProof/>
          </w:rPr>
          <w:t>Figure 57: FEC, FEC-E and FEC-RFNBOs as % of 2019</w:t>
        </w:r>
        <w:r w:rsidR="00EB75EE">
          <w:rPr>
            <w:noProof/>
            <w:webHidden/>
          </w:rPr>
          <w:tab/>
        </w:r>
        <w:r w:rsidR="00EB75EE">
          <w:rPr>
            <w:noProof/>
            <w:webHidden/>
          </w:rPr>
          <w:fldChar w:fldCharType="begin"/>
        </w:r>
        <w:r w:rsidR="00EB75EE">
          <w:rPr>
            <w:noProof/>
            <w:webHidden/>
          </w:rPr>
          <w:instrText xml:space="preserve"> PAGEREF _Toc157679805 \h </w:instrText>
        </w:r>
        <w:r w:rsidR="00EB75EE">
          <w:rPr>
            <w:noProof/>
            <w:webHidden/>
          </w:rPr>
        </w:r>
        <w:r w:rsidR="00EB75EE">
          <w:rPr>
            <w:noProof/>
            <w:webHidden/>
          </w:rPr>
          <w:fldChar w:fldCharType="separate"/>
        </w:r>
        <w:r w:rsidR="00EB75EE">
          <w:rPr>
            <w:noProof/>
            <w:webHidden/>
          </w:rPr>
          <w:t>72</w:t>
        </w:r>
        <w:r w:rsidR="00EB75EE">
          <w:rPr>
            <w:noProof/>
            <w:webHidden/>
          </w:rPr>
          <w:fldChar w:fldCharType="end"/>
        </w:r>
      </w:hyperlink>
    </w:p>
    <w:p w14:paraId="08BBE1A1" w14:textId="2AECAB90"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06" w:history="1">
        <w:r w:rsidR="00EB75EE" w:rsidRPr="00247083">
          <w:rPr>
            <w:rStyle w:val="Hyperlink"/>
            <w:noProof/>
          </w:rPr>
          <w:t>Figure 58: Share of electricity and RFNBOs in FEC</w:t>
        </w:r>
        <w:r w:rsidR="00EB75EE">
          <w:rPr>
            <w:noProof/>
            <w:webHidden/>
          </w:rPr>
          <w:tab/>
        </w:r>
        <w:r w:rsidR="00EB75EE">
          <w:rPr>
            <w:noProof/>
            <w:webHidden/>
          </w:rPr>
          <w:fldChar w:fldCharType="begin"/>
        </w:r>
        <w:r w:rsidR="00EB75EE">
          <w:rPr>
            <w:noProof/>
            <w:webHidden/>
          </w:rPr>
          <w:instrText xml:space="preserve"> PAGEREF _Toc157679806 \h </w:instrText>
        </w:r>
        <w:r w:rsidR="00EB75EE">
          <w:rPr>
            <w:noProof/>
            <w:webHidden/>
          </w:rPr>
        </w:r>
        <w:r w:rsidR="00EB75EE">
          <w:rPr>
            <w:noProof/>
            <w:webHidden/>
          </w:rPr>
          <w:fldChar w:fldCharType="separate"/>
        </w:r>
        <w:r w:rsidR="00EB75EE">
          <w:rPr>
            <w:noProof/>
            <w:webHidden/>
          </w:rPr>
          <w:t>73</w:t>
        </w:r>
        <w:r w:rsidR="00EB75EE">
          <w:rPr>
            <w:noProof/>
            <w:webHidden/>
          </w:rPr>
          <w:fldChar w:fldCharType="end"/>
        </w:r>
      </w:hyperlink>
    </w:p>
    <w:p w14:paraId="2ACB88F3" w14:textId="5881CFA7"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07" w:history="1">
        <w:r w:rsidR="00EB75EE" w:rsidRPr="00247083">
          <w:rPr>
            <w:rStyle w:val="Hyperlink"/>
            <w:noProof/>
          </w:rPr>
          <w:t xml:space="preserve">Figure 59: GHG emissions by </w:t>
        </w:r>
        <w:r w:rsidR="00EB75EE" w:rsidRPr="00247083">
          <w:rPr>
            <w:rStyle w:val="Hyperlink"/>
            <w:bCs/>
            <w:noProof/>
          </w:rPr>
          <w:t>type in % of 2019 values</w:t>
        </w:r>
        <w:r w:rsidR="00EB75EE">
          <w:rPr>
            <w:noProof/>
            <w:webHidden/>
          </w:rPr>
          <w:tab/>
        </w:r>
        <w:r w:rsidR="00EB75EE">
          <w:rPr>
            <w:noProof/>
            <w:webHidden/>
          </w:rPr>
          <w:fldChar w:fldCharType="begin"/>
        </w:r>
        <w:r w:rsidR="00EB75EE">
          <w:rPr>
            <w:noProof/>
            <w:webHidden/>
          </w:rPr>
          <w:instrText xml:space="preserve"> PAGEREF _Toc157679807 \h </w:instrText>
        </w:r>
        <w:r w:rsidR="00EB75EE">
          <w:rPr>
            <w:noProof/>
            <w:webHidden/>
          </w:rPr>
        </w:r>
        <w:r w:rsidR="00EB75EE">
          <w:rPr>
            <w:noProof/>
            <w:webHidden/>
          </w:rPr>
          <w:fldChar w:fldCharType="separate"/>
        </w:r>
        <w:r w:rsidR="00EB75EE">
          <w:rPr>
            <w:noProof/>
            <w:webHidden/>
          </w:rPr>
          <w:t>75</w:t>
        </w:r>
        <w:r w:rsidR="00EB75EE">
          <w:rPr>
            <w:noProof/>
            <w:webHidden/>
          </w:rPr>
          <w:fldChar w:fldCharType="end"/>
        </w:r>
      </w:hyperlink>
    </w:p>
    <w:p w14:paraId="5D51933D" w14:textId="2A460FC4"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08" w:history="1">
        <w:r w:rsidR="00EB75EE" w:rsidRPr="00247083">
          <w:rPr>
            <w:rStyle w:val="Hyperlink"/>
            <w:noProof/>
          </w:rPr>
          <w:t>Figure 60: Passenger transport activity in the EU disaggregated by mode</w:t>
        </w:r>
        <w:r w:rsidR="00EB75EE">
          <w:rPr>
            <w:noProof/>
            <w:webHidden/>
          </w:rPr>
          <w:tab/>
        </w:r>
        <w:r w:rsidR="00EB75EE">
          <w:rPr>
            <w:noProof/>
            <w:webHidden/>
          </w:rPr>
          <w:fldChar w:fldCharType="begin"/>
        </w:r>
        <w:r w:rsidR="00EB75EE">
          <w:rPr>
            <w:noProof/>
            <w:webHidden/>
          </w:rPr>
          <w:instrText xml:space="preserve"> PAGEREF _Toc157679808 \h </w:instrText>
        </w:r>
        <w:r w:rsidR="00EB75EE">
          <w:rPr>
            <w:noProof/>
            <w:webHidden/>
          </w:rPr>
        </w:r>
        <w:r w:rsidR="00EB75EE">
          <w:rPr>
            <w:noProof/>
            <w:webHidden/>
          </w:rPr>
          <w:fldChar w:fldCharType="separate"/>
        </w:r>
        <w:r w:rsidR="00EB75EE">
          <w:rPr>
            <w:noProof/>
            <w:webHidden/>
          </w:rPr>
          <w:t>77</w:t>
        </w:r>
        <w:r w:rsidR="00EB75EE">
          <w:rPr>
            <w:noProof/>
            <w:webHidden/>
          </w:rPr>
          <w:fldChar w:fldCharType="end"/>
        </w:r>
      </w:hyperlink>
    </w:p>
    <w:p w14:paraId="1D8A7782" w14:textId="6DA42A82"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09" w:history="1">
        <w:r w:rsidR="00EB75EE" w:rsidRPr="00247083">
          <w:rPr>
            <w:rStyle w:val="Hyperlink"/>
            <w:noProof/>
          </w:rPr>
          <w:t>Figure 61: Change in passenger transport activity between 2015 and 2040 by mode</w:t>
        </w:r>
        <w:r w:rsidR="00EB75EE">
          <w:rPr>
            <w:noProof/>
            <w:webHidden/>
          </w:rPr>
          <w:tab/>
        </w:r>
        <w:r w:rsidR="00EB75EE">
          <w:rPr>
            <w:noProof/>
            <w:webHidden/>
          </w:rPr>
          <w:fldChar w:fldCharType="begin"/>
        </w:r>
        <w:r w:rsidR="00EB75EE">
          <w:rPr>
            <w:noProof/>
            <w:webHidden/>
          </w:rPr>
          <w:instrText xml:space="preserve"> PAGEREF _Toc157679809 \h </w:instrText>
        </w:r>
        <w:r w:rsidR="00EB75EE">
          <w:rPr>
            <w:noProof/>
            <w:webHidden/>
          </w:rPr>
        </w:r>
        <w:r w:rsidR="00EB75EE">
          <w:rPr>
            <w:noProof/>
            <w:webHidden/>
          </w:rPr>
          <w:fldChar w:fldCharType="separate"/>
        </w:r>
        <w:r w:rsidR="00EB75EE">
          <w:rPr>
            <w:noProof/>
            <w:webHidden/>
          </w:rPr>
          <w:t>78</w:t>
        </w:r>
        <w:r w:rsidR="00EB75EE">
          <w:rPr>
            <w:noProof/>
            <w:webHidden/>
          </w:rPr>
          <w:fldChar w:fldCharType="end"/>
        </w:r>
      </w:hyperlink>
    </w:p>
    <w:p w14:paraId="641782BA" w14:textId="467E7322"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10" w:history="1">
        <w:r w:rsidR="00EB75EE" w:rsidRPr="00247083">
          <w:rPr>
            <w:rStyle w:val="Hyperlink"/>
            <w:noProof/>
          </w:rPr>
          <w:t>Figure 62: EU freight transport activity by mode (excluding international navigation)</w:t>
        </w:r>
        <w:r w:rsidR="00EB75EE">
          <w:rPr>
            <w:noProof/>
            <w:webHidden/>
          </w:rPr>
          <w:tab/>
        </w:r>
        <w:r w:rsidR="00EB75EE">
          <w:rPr>
            <w:noProof/>
            <w:webHidden/>
          </w:rPr>
          <w:fldChar w:fldCharType="begin"/>
        </w:r>
        <w:r w:rsidR="00EB75EE">
          <w:rPr>
            <w:noProof/>
            <w:webHidden/>
          </w:rPr>
          <w:instrText xml:space="preserve"> PAGEREF _Toc157679810 \h </w:instrText>
        </w:r>
        <w:r w:rsidR="00EB75EE">
          <w:rPr>
            <w:noProof/>
            <w:webHidden/>
          </w:rPr>
        </w:r>
        <w:r w:rsidR="00EB75EE">
          <w:rPr>
            <w:noProof/>
            <w:webHidden/>
          </w:rPr>
          <w:fldChar w:fldCharType="separate"/>
        </w:r>
        <w:r w:rsidR="00EB75EE">
          <w:rPr>
            <w:noProof/>
            <w:webHidden/>
          </w:rPr>
          <w:t>79</w:t>
        </w:r>
        <w:r w:rsidR="00EB75EE">
          <w:rPr>
            <w:noProof/>
            <w:webHidden/>
          </w:rPr>
          <w:fldChar w:fldCharType="end"/>
        </w:r>
      </w:hyperlink>
    </w:p>
    <w:p w14:paraId="74FF04DD" w14:textId="2EFD059E"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11" w:history="1">
        <w:r w:rsidR="00EB75EE" w:rsidRPr="00247083">
          <w:rPr>
            <w:rStyle w:val="Hyperlink"/>
            <w:noProof/>
          </w:rPr>
          <w:t>Figure 63: Change in EU freight transport activity between 2015 and 2040 by mode</w:t>
        </w:r>
        <w:r w:rsidR="00EB75EE">
          <w:rPr>
            <w:noProof/>
            <w:webHidden/>
          </w:rPr>
          <w:tab/>
        </w:r>
        <w:r w:rsidR="00EB75EE">
          <w:rPr>
            <w:noProof/>
            <w:webHidden/>
          </w:rPr>
          <w:fldChar w:fldCharType="begin"/>
        </w:r>
        <w:r w:rsidR="00EB75EE">
          <w:rPr>
            <w:noProof/>
            <w:webHidden/>
          </w:rPr>
          <w:instrText xml:space="preserve"> PAGEREF _Toc157679811 \h </w:instrText>
        </w:r>
        <w:r w:rsidR="00EB75EE">
          <w:rPr>
            <w:noProof/>
            <w:webHidden/>
          </w:rPr>
        </w:r>
        <w:r w:rsidR="00EB75EE">
          <w:rPr>
            <w:noProof/>
            <w:webHidden/>
          </w:rPr>
          <w:fldChar w:fldCharType="separate"/>
        </w:r>
        <w:r w:rsidR="00EB75EE">
          <w:rPr>
            <w:noProof/>
            <w:webHidden/>
          </w:rPr>
          <w:t>79</w:t>
        </w:r>
        <w:r w:rsidR="00EB75EE">
          <w:rPr>
            <w:noProof/>
            <w:webHidden/>
          </w:rPr>
          <w:fldChar w:fldCharType="end"/>
        </w:r>
      </w:hyperlink>
    </w:p>
    <w:p w14:paraId="766A96AE" w14:textId="0504ECFE"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12" w:history="1">
        <w:r w:rsidR="00EB75EE" w:rsidRPr="00247083">
          <w:rPr>
            <w:rStyle w:val="Hyperlink"/>
            <w:noProof/>
          </w:rPr>
          <w:t>Figure 64: EU energy consumption in the transport sector by mode</w:t>
        </w:r>
        <w:r w:rsidR="00EB75EE">
          <w:rPr>
            <w:noProof/>
            <w:webHidden/>
          </w:rPr>
          <w:tab/>
        </w:r>
        <w:r w:rsidR="00EB75EE">
          <w:rPr>
            <w:noProof/>
            <w:webHidden/>
          </w:rPr>
          <w:fldChar w:fldCharType="begin"/>
        </w:r>
        <w:r w:rsidR="00EB75EE">
          <w:rPr>
            <w:noProof/>
            <w:webHidden/>
          </w:rPr>
          <w:instrText xml:space="preserve"> PAGEREF _Toc157679812 \h </w:instrText>
        </w:r>
        <w:r w:rsidR="00EB75EE">
          <w:rPr>
            <w:noProof/>
            <w:webHidden/>
          </w:rPr>
        </w:r>
        <w:r w:rsidR="00EB75EE">
          <w:rPr>
            <w:noProof/>
            <w:webHidden/>
          </w:rPr>
          <w:fldChar w:fldCharType="separate"/>
        </w:r>
        <w:r w:rsidR="00EB75EE">
          <w:rPr>
            <w:noProof/>
            <w:webHidden/>
          </w:rPr>
          <w:t>81</w:t>
        </w:r>
        <w:r w:rsidR="00EB75EE">
          <w:rPr>
            <w:noProof/>
            <w:webHidden/>
          </w:rPr>
          <w:fldChar w:fldCharType="end"/>
        </w:r>
      </w:hyperlink>
    </w:p>
    <w:p w14:paraId="72238FE9" w14:textId="5F20E9BF"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13" w:history="1">
        <w:r w:rsidR="00EB75EE" w:rsidRPr="00247083">
          <w:rPr>
            <w:rStyle w:val="Hyperlink"/>
            <w:noProof/>
          </w:rPr>
          <w:t>Figure 65: Change in EU energy consumption between 2015 and 2040 by mode</w:t>
        </w:r>
        <w:r w:rsidR="00EB75EE">
          <w:rPr>
            <w:noProof/>
            <w:webHidden/>
          </w:rPr>
          <w:tab/>
        </w:r>
        <w:r w:rsidR="00EB75EE">
          <w:rPr>
            <w:noProof/>
            <w:webHidden/>
          </w:rPr>
          <w:fldChar w:fldCharType="begin"/>
        </w:r>
        <w:r w:rsidR="00EB75EE">
          <w:rPr>
            <w:noProof/>
            <w:webHidden/>
          </w:rPr>
          <w:instrText xml:space="preserve"> PAGEREF _Toc157679813 \h </w:instrText>
        </w:r>
        <w:r w:rsidR="00EB75EE">
          <w:rPr>
            <w:noProof/>
            <w:webHidden/>
          </w:rPr>
        </w:r>
        <w:r w:rsidR="00EB75EE">
          <w:rPr>
            <w:noProof/>
            <w:webHidden/>
          </w:rPr>
          <w:fldChar w:fldCharType="separate"/>
        </w:r>
        <w:r w:rsidR="00EB75EE">
          <w:rPr>
            <w:noProof/>
            <w:webHidden/>
          </w:rPr>
          <w:t>81</w:t>
        </w:r>
        <w:r w:rsidR="00EB75EE">
          <w:rPr>
            <w:noProof/>
            <w:webHidden/>
          </w:rPr>
          <w:fldChar w:fldCharType="end"/>
        </w:r>
      </w:hyperlink>
    </w:p>
    <w:p w14:paraId="5954E3D7" w14:textId="7C095101"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14" w:history="1">
        <w:r w:rsidR="00EB75EE" w:rsidRPr="00247083">
          <w:rPr>
            <w:rStyle w:val="Hyperlink"/>
            <w:noProof/>
          </w:rPr>
          <w:t>Figure 66: EU energy consumption in the transport sector by fuel/energy carrier type</w:t>
        </w:r>
        <w:r w:rsidR="00EB75EE">
          <w:rPr>
            <w:noProof/>
            <w:webHidden/>
          </w:rPr>
          <w:tab/>
        </w:r>
        <w:r w:rsidR="00EB75EE">
          <w:rPr>
            <w:noProof/>
            <w:webHidden/>
          </w:rPr>
          <w:fldChar w:fldCharType="begin"/>
        </w:r>
        <w:r w:rsidR="00EB75EE">
          <w:rPr>
            <w:noProof/>
            <w:webHidden/>
          </w:rPr>
          <w:instrText xml:space="preserve"> PAGEREF _Toc157679814 \h </w:instrText>
        </w:r>
        <w:r w:rsidR="00EB75EE">
          <w:rPr>
            <w:noProof/>
            <w:webHidden/>
          </w:rPr>
        </w:r>
        <w:r w:rsidR="00EB75EE">
          <w:rPr>
            <w:noProof/>
            <w:webHidden/>
          </w:rPr>
          <w:fldChar w:fldCharType="separate"/>
        </w:r>
        <w:r w:rsidR="00EB75EE">
          <w:rPr>
            <w:noProof/>
            <w:webHidden/>
          </w:rPr>
          <w:t>83</w:t>
        </w:r>
        <w:r w:rsidR="00EB75EE">
          <w:rPr>
            <w:noProof/>
            <w:webHidden/>
          </w:rPr>
          <w:fldChar w:fldCharType="end"/>
        </w:r>
      </w:hyperlink>
    </w:p>
    <w:p w14:paraId="28B5953C" w14:textId="4EDFFE35"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15" w:history="1">
        <w:r w:rsidR="00EB75EE" w:rsidRPr="00247083">
          <w:rPr>
            <w:rStyle w:val="Hyperlink"/>
            <w:noProof/>
          </w:rPr>
          <w:t>Figure 67: Distribution of the EU passenger car stock per type of drivetrain</w:t>
        </w:r>
        <w:r w:rsidR="00EB75EE">
          <w:rPr>
            <w:noProof/>
            <w:webHidden/>
          </w:rPr>
          <w:tab/>
        </w:r>
        <w:r w:rsidR="00EB75EE">
          <w:rPr>
            <w:noProof/>
            <w:webHidden/>
          </w:rPr>
          <w:fldChar w:fldCharType="begin"/>
        </w:r>
        <w:r w:rsidR="00EB75EE">
          <w:rPr>
            <w:noProof/>
            <w:webHidden/>
          </w:rPr>
          <w:instrText xml:space="preserve"> PAGEREF _Toc157679815 \h </w:instrText>
        </w:r>
        <w:r w:rsidR="00EB75EE">
          <w:rPr>
            <w:noProof/>
            <w:webHidden/>
          </w:rPr>
        </w:r>
        <w:r w:rsidR="00EB75EE">
          <w:rPr>
            <w:noProof/>
            <w:webHidden/>
          </w:rPr>
          <w:fldChar w:fldCharType="separate"/>
        </w:r>
        <w:r w:rsidR="00EB75EE">
          <w:rPr>
            <w:noProof/>
            <w:webHidden/>
          </w:rPr>
          <w:t>85</w:t>
        </w:r>
        <w:r w:rsidR="00EB75EE">
          <w:rPr>
            <w:noProof/>
            <w:webHidden/>
          </w:rPr>
          <w:fldChar w:fldCharType="end"/>
        </w:r>
      </w:hyperlink>
    </w:p>
    <w:p w14:paraId="592AE860" w14:textId="4C7A71D3"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16" w:history="1">
        <w:r w:rsidR="00EB75EE" w:rsidRPr="00247083">
          <w:rPr>
            <w:rStyle w:val="Hyperlink"/>
            <w:noProof/>
          </w:rPr>
          <w:t>Figure 68: EU energy consumption by passenger cars by fuel/energy carrier type</w:t>
        </w:r>
        <w:r w:rsidR="00EB75EE">
          <w:rPr>
            <w:noProof/>
            <w:webHidden/>
          </w:rPr>
          <w:tab/>
        </w:r>
        <w:r w:rsidR="00EB75EE">
          <w:rPr>
            <w:noProof/>
            <w:webHidden/>
          </w:rPr>
          <w:fldChar w:fldCharType="begin"/>
        </w:r>
        <w:r w:rsidR="00EB75EE">
          <w:rPr>
            <w:noProof/>
            <w:webHidden/>
          </w:rPr>
          <w:instrText xml:space="preserve"> PAGEREF _Toc157679816 \h </w:instrText>
        </w:r>
        <w:r w:rsidR="00EB75EE">
          <w:rPr>
            <w:noProof/>
            <w:webHidden/>
          </w:rPr>
        </w:r>
        <w:r w:rsidR="00EB75EE">
          <w:rPr>
            <w:noProof/>
            <w:webHidden/>
          </w:rPr>
          <w:fldChar w:fldCharType="separate"/>
        </w:r>
        <w:r w:rsidR="00EB75EE">
          <w:rPr>
            <w:noProof/>
            <w:webHidden/>
          </w:rPr>
          <w:t>86</w:t>
        </w:r>
        <w:r w:rsidR="00EB75EE">
          <w:rPr>
            <w:noProof/>
            <w:webHidden/>
          </w:rPr>
          <w:fldChar w:fldCharType="end"/>
        </w:r>
      </w:hyperlink>
    </w:p>
    <w:p w14:paraId="5E2192F3" w14:textId="5006AFA4"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17" w:history="1">
        <w:r w:rsidR="00EB75EE" w:rsidRPr="00247083">
          <w:rPr>
            <w:rStyle w:val="Hyperlink"/>
            <w:noProof/>
          </w:rPr>
          <w:t>Figure 69: Distribution of the EU HGV stock by type of drivetrain</w:t>
        </w:r>
        <w:r w:rsidR="00EB75EE">
          <w:rPr>
            <w:noProof/>
            <w:webHidden/>
          </w:rPr>
          <w:tab/>
        </w:r>
        <w:r w:rsidR="00EB75EE">
          <w:rPr>
            <w:noProof/>
            <w:webHidden/>
          </w:rPr>
          <w:fldChar w:fldCharType="begin"/>
        </w:r>
        <w:r w:rsidR="00EB75EE">
          <w:rPr>
            <w:noProof/>
            <w:webHidden/>
          </w:rPr>
          <w:instrText xml:space="preserve"> PAGEREF _Toc157679817 \h </w:instrText>
        </w:r>
        <w:r w:rsidR="00EB75EE">
          <w:rPr>
            <w:noProof/>
            <w:webHidden/>
          </w:rPr>
        </w:r>
        <w:r w:rsidR="00EB75EE">
          <w:rPr>
            <w:noProof/>
            <w:webHidden/>
          </w:rPr>
          <w:fldChar w:fldCharType="separate"/>
        </w:r>
        <w:r w:rsidR="00EB75EE">
          <w:rPr>
            <w:noProof/>
            <w:webHidden/>
          </w:rPr>
          <w:t>88</w:t>
        </w:r>
        <w:r w:rsidR="00EB75EE">
          <w:rPr>
            <w:noProof/>
            <w:webHidden/>
          </w:rPr>
          <w:fldChar w:fldCharType="end"/>
        </w:r>
      </w:hyperlink>
    </w:p>
    <w:p w14:paraId="490F5995" w14:textId="2CE8D310"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18" w:history="1">
        <w:r w:rsidR="00EB75EE" w:rsidRPr="00247083">
          <w:rPr>
            <w:rStyle w:val="Hyperlink"/>
            <w:noProof/>
          </w:rPr>
          <w:t>Figure 70: EU energy consumption by HGVs by fuel/energy carrier type</w:t>
        </w:r>
        <w:r w:rsidR="00EB75EE">
          <w:rPr>
            <w:noProof/>
            <w:webHidden/>
          </w:rPr>
          <w:tab/>
        </w:r>
        <w:r w:rsidR="00EB75EE">
          <w:rPr>
            <w:noProof/>
            <w:webHidden/>
          </w:rPr>
          <w:fldChar w:fldCharType="begin"/>
        </w:r>
        <w:r w:rsidR="00EB75EE">
          <w:rPr>
            <w:noProof/>
            <w:webHidden/>
          </w:rPr>
          <w:instrText xml:space="preserve"> PAGEREF _Toc157679818 \h </w:instrText>
        </w:r>
        <w:r w:rsidR="00EB75EE">
          <w:rPr>
            <w:noProof/>
            <w:webHidden/>
          </w:rPr>
        </w:r>
        <w:r w:rsidR="00EB75EE">
          <w:rPr>
            <w:noProof/>
            <w:webHidden/>
          </w:rPr>
          <w:fldChar w:fldCharType="separate"/>
        </w:r>
        <w:r w:rsidR="00EB75EE">
          <w:rPr>
            <w:noProof/>
            <w:webHidden/>
          </w:rPr>
          <w:t>88</w:t>
        </w:r>
        <w:r w:rsidR="00EB75EE">
          <w:rPr>
            <w:noProof/>
            <w:webHidden/>
          </w:rPr>
          <w:fldChar w:fldCharType="end"/>
        </w:r>
      </w:hyperlink>
    </w:p>
    <w:p w14:paraId="6CEC72C8" w14:textId="2E79CBF4"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19" w:history="1">
        <w:r w:rsidR="00EB75EE" w:rsidRPr="00247083">
          <w:rPr>
            <w:rStyle w:val="Hyperlink"/>
            <w:noProof/>
          </w:rPr>
          <w:t>Figure 71: EU energy consumption in the rail sector by fuel/energy carrier type</w:t>
        </w:r>
        <w:r w:rsidR="00EB75EE">
          <w:rPr>
            <w:noProof/>
            <w:webHidden/>
          </w:rPr>
          <w:tab/>
        </w:r>
        <w:r w:rsidR="00EB75EE">
          <w:rPr>
            <w:noProof/>
            <w:webHidden/>
          </w:rPr>
          <w:fldChar w:fldCharType="begin"/>
        </w:r>
        <w:r w:rsidR="00EB75EE">
          <w:rPr>
            <w:noProof/>
            <w:webHidden/>
          </w:rPr>
          <w:instrText xml:space="preserve"> PAGEREF _Toc157679819 \h </w:instrText>
        </w:r>
        <w:r w:rsidR="00EB75EE">
          <w:rPr>
            <w:noProof/>
            <w:webHidden/>
          </w:rPr>
        </w:r>
        <w:r w:rsidR="00EB75EE">
          <w:rPr>
            <w:noProof/>
            <w:webHidden/>
          </w:rPr>
          <w:fldChar w:fldCharType="separate"/>
        </w:r>
        <w:r w:rsidR="00EB75EE">
          <w:rPr>
            <w:noProof/>
            <w:webHidden/>
          </w:rPr>
          <w:t>91</w:t>
        </w:r>
        <w:r w:rsidR="00EB75EE">
          <w:rPr>
            <w:noProof/>
            <w:webHidden/>
          </w:rPr>
          <w:fldChar w:fldCharType="end"/>
        </w:r>
      </w:hyperlink>
    </w:p>
    <w:p w14:paraId="45FC51B3" w14:textId="56CACE1B"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20" w:history="1">
        <w:r w:rsidR="00EB75EE" w:rsidRPr="00247083">
          <w:rPr>
            <w:rStyle w:val="Hyperlink"/>
            <w:noProof/>
          </w:rPr>
          <w:t>Figure 72: EU energy consumption in domestic navigation by fuel/energy carrier type</w:t>
        </w:r>
        <w:r w:rsidR="00EB75EE">
          <w:rPr>
            <w:noProof/>
            <w:webHidden/>
          </w:rPr>
          <w:tab/>
        </w:r>
        <w:r w:rsidR="00EB75EE">
          <w:rPr>
            <w:noProof/>
            <w:webHidden/>
          </w:rPr>
          <w:fldChar w:fldCharType="begin"/>
        </w:r>
        <w:r w:rsidR="00EB75EE">
          <w:rPr>
            <w:noProof/>
            <w:webHidden/>
          </w:rPr>
          <w:instrText xml:space="preserve"> PAGEREF _Toc157679820 \h </w:instrText>
        </w:r>
        <w:r w:rsidR="00EB75EE">
          <w:rPr>
            <w:noProof/>
            <w:webHidden/>
          </w:rPr>
        </w:r>
        <w:r w:rsidR="00EB75EE">
          <w:rPr>
            <w:noProof/>
            <w:webHidden/>
          </w:rPr>
          <w:fldChar w:fldCharType="separate"/>
        </w:r>
        <w:r w:rsidR="00EB75EE">
          <w:rPr>
            <w:noProof/>
            <w:webHidden/>
          </w:rPr>
          <w:t>93</w:t>
        </w:r>
        <w:r w:rsidR="00EB75EE">
          <w:rPr>
            <w:noProof/>
            <w:webHidden/>
          </w:rPr>
          <w:fldChar w:fldCharType="end"/>
        </w:r>
      </w:hyperlink>
    </w:p>
    <w:p w14:paraId="7BD7215B" w14:textId="3E1BD689"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21" w:history="1">
        <w:r w:rsidR="00EB75EE" w:rsidRPr="00247083">
          <w:rPr>
            <w:rStyle w:val="Hyperlink"/>
            <w:noProof/>
          </w:rPr>
          <w:t>Figure 73: Composition of the EU vessel fleet used for international navigation</w:t>
        </w:r>
        <w:r w:rsidR="00EB75EE">
          <w:rPr>
            <w:noProof/>
            <w:webHidden/>
          </w:rPr>
          <w:tab/>
        </w:r>
        <w:r w:rsidR="00EB75EE">
          <w:rPr>
            <w:noProof/>
            <w:webHidden/>
          </w:rPr>
          <w:fldChar w:fldCharType="begin"/>
        </w:r>
        <w:r w:rsidR="00EB75EE">
          <w:rPr>
            <w:noProof/>
            <w:webHidden/>
          </w:rPr>
          <w:instrText xml:space="preserve"> PAGEREF _Toc157679821 \h </w:instrText>
        </w:r>
        <w:r w:rsidR="00EB75EE">
          <w:rPr>
            <w:noProof/>
            <w:webHidden/>
          </w:rPr>
        </w:r>
        <w:r w:rsidR="00EB75EE">
          <w:rPr>
            <w:noProof/>
            <w:webHidden/>
          </w:rPr>
          <w:fldChar w:fldCharType="separate"/>
        </w:r>
        <w:r w:rsidR="00EB75EE">
          <w:rPr>
            <w:noProof/>
            <w:webHidden/>
          </w:rPr>
          <w:t>95</w:t>
        </w:r>
        <w:r w:rsidR="00EB75EE">
          <w:rPr>
            <w:noProof/>
            <w:webHidden/>
          </w:rPr>
          <w:fldChar w:fldCharType="end"/>
        </w:r>
      </w:hyperlink>
    </w:p>
    <w:p w14:paraId="07279E64" w14:textId="73B114DE"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22" w:history="1">
        <w:r w:rsidR="00EB75EE" w:rsidRPr="00247083">
          <w:rPr>
            <w:rStyle w:val="Hyperlink"/>
            <w:noProof/>
          </w:rPr>
          <w:t>Figure 74: EU energy consumption in international navigation by fuel/energy carrier type</w:t>
        </w:r>
        <w:r w:rsidR="00EB75EE">
          <w:rPr>
            <w:noProof/>
            <w:webHidden/>
          </w:rPr>
          <w:tab/>
        </w:r>
        <w:r w:rsidR="00EB75EE">
          <w:rPr>
            <w:noProof/>
            <w:webHidden/>
          </w:rPr>
          <w:fldChar w:fldCharType="begin"/>
        </w:r>
        <w:r w:rsidR="00EB75EE">
          <w:rPr>
            <w:noProof/>
            <w:webHidden/>
          </w:rPr>
          <w:instrText xml:space="preserve"> PAGEREF _Toc157679822 \h </w:instrText>
        </w:r>
        <w:r w:rsidR="00EB75EE">
          <w:rPr>
            <w:noProof/>
            <w:webHidden/>
          </w:rPr>
        </w:r>
        <w:r w:rsidR="00EB75EE">
          <w:rPr>
            <w:noProof/>
            <w:webHidden/>
          </w:rPr>
          <w:fldChar w:fldCharType="separate"/>
        </w:r>
        <w:r w:rsidR="00EB75EE">
          <w:rPr>
            <w:noProof/>
            <w:webHidden/>
          </w:rPr>
          <w:t>95</w:t>
        </w:r>
        <w:r w:rsidR="00EB75EE">
          <w:rPr>
            <w:noProof/>
            <w:webHidden/>
          </w:rPr>
          <w:fldChar w:fldCharType="end"/>
        </w:r>
      </w:hyperlink>
    </w:p>
    <w:p w14:paraId="15F41F66" w14:textId="1B433181"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23" w:history="1">
        <w:r w:rsidR="00EB75EE" w:rsidRPr="00247083">
          <w:rPr>
            <w:rStyle w:val="Hyperlink"/>
            <w:noProof/>
          </w:rPr>
          <w:t>Figure 75: EU energy consumption in aviation by fuel/energy carrier type</w:t>
        </w:r>
        <w:r w:rsidR="00EB75EE">
          <w:rPr>
            <w:noProof/>
            <w:webHidden/>
          </w:rPr>
          <w:tab/>
        </w:r>
        <w:r w:rsidR="00EB75EE">
          <w:rPr>
            <w:noProof/>
            <w:webHidden/>
          </w:rPr>
          <w:fldChar w:fldCharType="begin"/>
        </w:r>
        <w:r w:rsidR="00EB75EE">
          <w:rPr>
            <w:noProof/>
            <w:webHidden/>
          </w:rPr>
          <w:instrText xml:space="preserve"> PAGEREF _Toc157679823 \h </w:instrText>
        </w:r>
        <w:r w:rsidR="00EB75EE">
          <w:rPr>
            <w:noProof/>
            <w:webHidden/>
          </w:rPr>
        </w:r>
        <w:r w:rsidR="00EB75EE">
          <w:rPr>
            <w:noProof/>
            <w:webHidden/>
          </w:rPr>
          <w:fldChar w:fldCharType="separate"/>
        </w:r>
        <w:r w:rsidR="00EB75EE">
          <w:rPr>
            <w:noProof/>
            <w:webHidden/>
          </w:rPr>
          <w:t>97</w:t>
        </w:r>
        <w:r w:rsidR="00EB75EE">
          <w:rPr>
            <w:noProof/>
            <w:webHidden/>
          </w:rPr>
          <w:fldChar w:fldCharType="end"/>
        </w:r>
      </w:hyperlink>
    </w:p>
    <w:p w14:paraId="516540F4" w14:textId="3369E1B6"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24" w:history="1">
        <w:r w:rsidR="00EB75EE" w:rsidRPr="00247083">
          <w:rPr>
            <w:rStyle w:val="Hyperlink"/>
            <w:noProof/>
          </w:rPr>
          <w:t>Figure 76: Direct CO2 emissions from the EU transport sector by mode</w:t>
        </w:r>
        <w:r w:rsidR="00EB75EE">
          <w:rPr>
            <w:noProof/>
            <w:webHidden/>
          </w:rPr>
          <w:tab/>
        </w:r>
        <w:r w:rsidR="00EB75EE">
          <w:rPr>
            <w:noProof/>
            <w:webHidden/>
          </w:rPr>
          <w:fldChar w:fldCharType="begin"/>
        </w:r>
        <w:r w:rsidR="00EB75EE">
          <w:rPr>
            <w:noProof/>
            <w:webHidden/>
          </w:rPr>
          <w:instrText xml:space="preserve"> PAGEREF _Toc157679824 \h </w:instrText>
        </w:r>
        <w:r w:rsidR="00EB75EE">
          <w:rPr>
            <w:noProof/>
            <w:webHidden/>
          </w:rPr>
        </w:r>
        <w:r w:rsidR="00EB75EE">
          <w:rPr>
            <w:noProof/>
            <w:webHidden/>
          </w:rPr>
          <w:fldChar w:fldCharType="separate"/>
        </w:r>
        <w:r w:rsidR="00EB75EE">
          <w:rPr>
            <w:noProof/>
            <w:webHidden/>
          </w:rPr>
          <w:t>99</w:t>
        </w:r>
        <w:r w:rsidR="00EB75EE">
          <w:rPr>
            <w:noProof/>
            <w:webHidden/>
          </w:rPr>
          <w:fldChar w:fldCharType="end"/>
        </w:r>
      </w:hyperlink>
    </w:p>
    <w:p w14:paraId="3479B39F" w14:textId="4C603F45"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25" w:history="1">
        <w:r w:rsidR="00EB75EE" w:rsidRPr="00247083">
          <w:rPr>
            <w:rStyle w:val="Hyperlink"/>
            <w:noProof/>
          </w:rPr>
          <w:t>Figure 77: Change in EU transport direct CO2 emissions between 2015 and 2040 by mode</w:t>
        </w:r>
        <w:r w:rsidR="00EB75EE">
          <w:rPr>
            <w:noProof/>
            <w:webHidden/>
          </w:rPr>
          <w:tab/>
        </w:r>
        <w:r w:rsidR="00EB75EE">
          <w:rPr>
            <w:noProof/>
            <w:webHidden/>
          </w:rPr>
          <w:fldChar w:fldCharType="begin"/>
        </w:r>
        <w:r w:rsidR="00EB75EE">
          <w:rPr>
            <w:noProof/>
            <w:webHidden/>
          </w:rPr>
          <w:instrText xml:space="preserve"> PAGEREF _Toc157679825 \h </w:instrText>
        </w:r>
        <w:r w:rsidR="00EB75EE">
          <w:rPr>
            <w:noProof/>
            <w:webHidden/>
          </w:rPr>
        </w:r>
        <w:r w:rsidR="00EB75EE">
          <w:rPr>
            <w:noProof/>
            <w:webHidden/>
          </w:rPr>
          <w:fldChar w:fldCharType="separate"/>
        </w:r>
        <w:r w:rsidR="00EB75EE">
          <w:rPr>
            <w:noProof/>
            <w:webHidden/>
          </w:rPr>
          <w:t>99</w:t>
        </w:r>
        <w:r w:rsidR="00EB75EE">
          <w:rPr>
            <w:noProof/>
            <w:webHidden/>
          </w:rPr>
          <w:fldChar w:fldCharType="end"/>
        </w:r>
      </w:hyperlink>
    </w:p>
    <w:p w14:paraId="3BECB294" w14:textId="11EDA7FF"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26" w:history="1">
        <w:r w:rsidR="00EB75EE" w:rsidRPr="00247083">
          <w:rPr>
            <w:rStyle w:val="Hyperlink"/>
            <w:noProof/>
          </w:rPr>
          <w:t>Figure 78: MACC across all non-land-related sectors in 2040 (per gas)</w:t>
        </w:r>
        <w:r w:rsidR="00EB75EE">
          <w:rPr>
            <w:noProof/>
            <w:webHidden/>
          </w:rPr>
          <w:tab/>
        </w:r>
        <w:r w:rsidR="00EB75EE">
          <w:rPr>
            <w:noProof/>
            <w:webHidden/>
          </w:rPr>
          <w:fldChar w:fldCharType="begin"/>
        </w:r>
        <w:r w:rsidR="00EB75EE">
          <w:rPr>
            <w:noProof/>
            <w:webHidden/>
          </w:rPr>
          <w:instrText xml:space="preserve"> PAGEREF _Toc157679826 \h </w:instrText>
        </w:r>
        <w:r w:rsidR="00EB75EE">
          <w:rPr>
            <w:noProof/>
            <w:webHidden/>
          </w:rPr>
        </w:r>
        <w:r w:rsidR="00EB75EE">
          <w:rPr>
            <w:noProof/>
            <w:webHidden/>
          </w:rPr>
          <w:fldChar w:fldCharType="separate"/>
        </w:r>
        <w:r w:rsidR="00EB75EE">
          <w:rPr>
            <w:noProof/>
            <w:webHidden/>
          </w:rPr>
          <w:t>102</w:t>
        </w:r>
        <w:r w:rsidR="00EB75EE">
          <w:rPr>
            <w:noProof/>
            <w:webHidden/>
          </w:rPr>
          <w:fldChar w:fldCharType="end"/>
        </w:r>
      </w:hyperlink>
    </w:p>
    <w:p w14:paraId="028BAD1D" w14:textId="3C9C2A28"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27" w:history="1">
        <w:r w:rsidR="00EB75EE" w:rsidRPr="00247083">
          <w:rPr>
            <w:rStyle w:val="Hyperlink"/>
            <w:noProof/>
          </w:rPr>
          <w:t>Figure 79: MACC across all non-CO2 greenhouse gases in 2040 (per sector)</w:t>
        </w:r>
        <w:r w:rsidR="00EB75EE">
          <w:rPr>
            <w:noProof/>
            <w:webHidden/>
          </w:rPr>
          <w:tab/>
        </w:r>
        <w:r w:rsidR="00EB75EE">
          <w:rPr>
            <w:noProof/>
            <w:webHidden/>
          </w:rPr>
          <w:fldChar w:fldCharType="begin"/>
        </w:r>
        <w:r w:rsidR="00EB75EE">
          <w:rPr>
            <w:noProof/>
            <w:webHidden/>
          </w:rPr>
          <w:instrText xml:space="preserve"> PAGEREF _Toc157679827 \h </w:instrText>
        </w:r>
        <w:r w:rsidR="00EB75EE">
          <w:rPr>
            <w:noProof/>
            <w:webHidden/>
          </w:rPr>
        </w:r>
        <w:r w:rsidR="00EB75EE">
          <w:rPr>
            <w:noProof/>
            <w:webHidden/>
          </w:rPr>
          <w:fldChar w:fldCharType="separate"/>
        </w:r>
        <w:r w:rsidR="00EB75EE">
          <w:rPr>
            <w:noProof/>
            <w:webHidden/>
          </w:rPr>
          <w:t>102</w:t>
        </w:r>
        <w:r w:rsidR="00EB75EE">
          <w:rPr>
            <w:noProof/>
            <w:webHidden/>
          </w:rPr>
          <w:fldChar w:fldCharType="end"/>
        </w:r>
      </w:hyperlink>
    </w:p>
    <w:p w14:paraId="437CE0BD" w14:textId="7A1291E7"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28" w:history="1">
        <w:r w:rsidR="00EB75EE" w:rsidRPr="00247083">
          <w:rPr>
            <w:rStyle w:val="Hyperlink"/>
            <w:noProof/>
          </w:rPr>
          <w:t>Figure 80: Emissions from Agriculture in the EU by sector</w:t>
        </w:r>
        <w:r w:rsidR="00EB75EE">
          <w:rPr>
            <w:noProof/>
            <w:webHidden/>
          </w:rPr>
          <w:tab/>
        </w:r>
        <w:r w:rsidR="00EB75EE">
          <w:rPr>
            <w:noProof/>
            <w:webHidden/>
          </w:rPr>
          <w:fldChar w:fldCharType="begin"/>
        </w:r>
        <w:r w:rsidR="00EB75EE">
          <w:rPr>
            <w:noProof/>
            <w:webHidden/>
          </w:rPr>
          <w:instrText xml:space="preserve"> PAGEREF _Toc157679828 \h </w:instrText>
        </w:r>
        <w:r w:rsidR="00EB75EE">
          <w:rPr>
            <w:noProof/>
            <w:webHidden/>
          </w:rPr>
        </w:r>
        <w:r w:rsidR="00EB75EE">
          <w:rPr>
            <w:noProof/>
            <w:webHidden/>
          </w:rPr>
          <w:fldChar w:fldCharType="separate"/>
        </w:r>
        <w:r w:rsidR="00EB75EE">
          <w:rPr>
            <w:noProof/>
            <w:webHidden/>
          </w:rPr>
          <w:t>107</w:t>
        </w:r>
        <w:r w:rsidR="00EB75EE">
          <w:rPr>
            <w:noProof/>
            <w:webHidden/>
          </w:rPr>
          <w:fldChar w:fldCharType="end"/>
        </w:r>
      </w:hyperlink>
    </w:p>
    <w:p w14:paraId="28C69D23" w14:textId="73F23D16"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29" w:history="1">
        <w:r w:rsidR="00EB75EE" w:rsidRPr="00247083">
          <w:rPr>
            <w:rStyle w:val="Hyperlink"/>
            <w:noProof/>
          </w:rPr>
          <w:t>Figure 81: MACC of the agriculture sector in 2040 per scenario</w:t>
        </w:r>
        <w:r w:rsidR="00EB75EE">
          <w:rPr>
            <w:noProof/>
            <w:webHidden/>
          </w:rPr>
          <w:tab/>
        </w:r>
        <w:r w:rsidR="00EB75EE">
          <w:rPr>
            <w:noProof/>
            <w:webHidden/>
          </w:rPr>
          <w:fldChar w:fldCharType="begin"/>
        </w:r>
        <w:r w:rsidR="00EB75EE">
          <w:rPr>
            <w:noProof/>
            <w:webHidden/>
          </w:rPr>
          <w:instrText xml:space="preserve"> PAGEREF _Toc157679829 \h </w:instrText>
        </w:r>
        <w:r w:rsidR="00EB75EE">
          <w:rPr>
            <w:noProof/>
            <w:webHidden/>
          </w:rPr>
        </w:r>
        <w:r w:rsidR="00EB75EE">
          <w:rPr>
            <w:noProof/>
            <w:webHidden/>
          </w:rPr>
          <w:fldChar w:fldCharType="separate"/>
        </w:r>
        <w:r w:rsidR="00EB75EE">
          <w:rPr>
            <w:noProof/>
            <w:webHidden/>
          </w:rPr>
          <w:t>112</w:t>
        </w:r>
        <w:r w:rsidR="00EB75EE">
          <w:rPr>
            <w:noProof/>
            <w:webHidden/>
          </w:rPr>
          <w:fldChar w:fldCharType="end"/>
        </w:r>
      </w:hyperlink>
    </w:p>
    <w:p w14:paraId="66871676" w14:textId="69076FF7"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30" w:history="1">
        <w:r w:rsidR="00EB75EE" w:rsidRPr="00247083">
          <w:rPr>
            <w:rStyle w:val="Hyperlink"/>
            <w:noProof/>
          </w:rPr>
          <w:t>Figure 82: MACC of the agriculture sector in 2040 in S1, S2 and S3 (by gas and area of application)</w:t>
        </w:r>
        <w:r w:rsidR="00EB75EE">
          <w:rPr>
            <w:noProof/>
            <w:webHidden/>
          </w:rPr>
          <w:tab/>
        </w:r>
        <w:r w:rsidR="00EB75EE">
          <w:rPr>
            <w:noProof/>
            <w:webHidden/>
          </w:rPr>
          <w:fldChar w:fldCharType="begin"/>
        </w:r>
        <w:r w:rsidR="00EB75EE">
          <w:rPr>
            <w:noProof/>
            <w:webHidden/>
          </w:rPr>
          <w:instrText xml:space="preserve"> PAGEREF _Toc157679830 \h </w:instrText>
        </w:r>
        <w:r w:rsidR="00EB75EE">
          <w:rPr>
            <w:noProof/>
            <w:webHidden/>
          </w:rPr>
        </w:r>
        <w:r w:rsidR="00EB75EE">
          <w:rPr>
            <w:noProof/>
            <w:webHidden/>
          </w:rPr>
          <w:fldChar w:fldCharType="separate"/>
        </w:r>
        <w:r w:rsidR="00EB75EE">
          <w:rPr>
            <w:noProof/>
            <w:webHidden/>
          </w:rPr>
          <w:t>113</w:t>
        </w:r>
        <w:r w:rsidR="00EB75EE">
          <w:rPr>
            <w:noProof/>
            <w:webHidden/>
          </w:rPr>
          <w:fldChar w:fldCharType="end"/>
        </w:r>
      </w:hyperlink>
    </w:p>
    <w:p w14:paraId="6775A965" w14:textId="0A7A9557"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31" w:history="1">
        <w:r w:rsidR="00EB75EE" w:rsidRPr="00247083">
          <w:rPr>
            <w:rStyle w:val="Hyperlink"/>
            <w:noProof/>
          </w:rPr>
          <w:t>Figure 83: MACC of the agriculture sector in 2040 in LIFE (by gas and area of application)</w:t>
        </w:r>
        <w:r w:rsidR="00EB75EE">
          <w:rPr>
            <w:noProof/>
            <w:webHidden/>
          </w:rPr>
          <w:tab/>
        </w:r>
        <w:r w:rsidR="00EB75EE">
          <w:rPr>
            <w:noProof/>
            <w:webHidden/>
          </w:rPr>
          <w:fldChar w:fldCharType="begin"/>
        </w:r>
        <w:r w:rsidR="00EB75EE">
          <w:rPr>
            <w:noProof/>
            <w:webHidden/>
          </w:rPr>
          <w:instrText xml:space="preserve"> PAGEREF _Toc157679831 \h </w:instrText>
        </w:r>
        <w:r w:rsidR="00EB75EE">
          <w:rPr>
            <w:noProof/>
            <w:webHidden/>
          </w:rPr>
        </w:r>
        <w:r w:rsidR="00EB75EE">
          <w:rPr>
            <w:noProof/>
            <w:webHidden/>
          </w:rPr>
          <w:fldChar w:fldCharType="separate"/>
        </w:r>
        <w:r w:rsidR="00EB75EE">
          <w:rPr>
            <w:noProof/>
            <w:webHidden/>
          </w:rPr>
          <w:t>113</w:t>
        </w:r>
        <w:r w:rsidR="00EB75EE">
          <w:rPr>
            <w:noProof/>
            <w:webHidden/>
          </w:rPr>
          <w:fldChar w:fldCharType="end"/>
        </w:r>
      </w:hyperlink>
    </w:p>
    <w:p w14:paraId="27F0838D" w14:textId="0CC4BA60"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32" w:history="1">
        <w:r w:rsidR="00EB75EE" w:rsidRPr="00247083">
          <w:rPr>
            <w:rStyle w:val="Hyperlink"/>
            <w:noProof/>
            <w:lang w:val="en-IE"/>
          </w:rPr>
          <w:t>Figure 84: GHG emissions from agriculture by gas</w:t>
        </w:r>
        <w:r w:rsidR="00EB75EE">
          <w:rPr>
            <w:noProof/>
            <w:webHidden/>
          </w:rPr>
          <w:tab/>
        </w:r>
        <w:r w:rsidR="00EB75EE">
          <w:rPr>
            <w:noProof/>
            <w:webHidden/>
          </w:rPr>
          <w:fldChar w:fldCharType="begin"/>
        </w:r>
        <w:r w:rsidR="00EB75EE">
          <w:rPr>
            <w:noProof/>
            <w:webHidden/>
          </w:rPr>
          <w:instrText xml:space="preserve"> PAGEREF _Toc157679832 \h </w:instrText>
        </w:r>
        <w:r w:rsidR="00EB75EE">
          <w:rPr>
            <w:noProof/>
            <w:webHidden/>
          </w:rPr>
        </w:r>
        <w:r w:rsidR="00EB75EE">
          <w:rPr>
            <w:noProof/>
            <w:webHidden/>
          </w:rPr>
          <w:fldChar w:fldCharType="separate"/>
        </w:r>
        <w:r w:rsidR="00EB75EE">
          <w:rPr>
            <w:noProof/>
            <w:webHidden/>
          </w:rPr>
          <w:t>115</w:t>
        </w:r>
        <w:r w:rsidR="00EB75EE">
          <w:rPr>
            <w:noProof/>
            <w:webHidden/>
          </w:rPr>
          <w:fldChar w:fldCharType="end"/>
        </w:r>
      </w:hyperlink>
    </w:p>
    <w:p w14:paraId="50F3755D" w14:textId="7B402690"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33" w:history="1">
        <w:r w:rsidR="00EB75EE" w:rsidRPr="00247083">
          <w:rPr>
            <w:rStyle w:val="Hyperlink"/>
            <w:noProof/>
            <w:lang w:val="en-IE"/>
          </w:rPr>
          <w:t>Figure 85: GHG emissions from agriculture by type of source</w:t>
        </w:r>
        <w:r w:rsidR="00EB75EE">
          <w:rPr>
            <w:noProof/>
            <w:webHidden/>
          </w:rPr>
          <w:tab/>
        </w:r>
        <w:r w:rsidR="00EB75EE">
          <w:rPr>
            <w:noProof/>
            <w:webHidden/>
          </w:rPr>
          <w:fldChar w:fldCharType="begin"/>
        </w:r>
        <w:r w:rsidR="00EB75EE">
          <w:rPr>
            <w:noProof/>
            <w:webHidden/>
          </w:rPr>
          <w:instrText xml:space="preserve"> PAGEREF _Toc157679833 \h </w:instrText>
        </w:r>
        <w:r w:rsidR="00EB75EE">
          <w:rPr>
            <w:noProof/>
            <w:webHidden/>
          </w:rPr>
        </w:r>
        <w:r w:rsidR="00EB75EE">
          <w:rPr>
            <w:noProof/>
            <w:webHidden/>
          </w:rPr>
          <w:fldChar w:fldCharType="separate"/>
        </w:r>
        <w:r w:rsidR="00EB75EE">
          <w:rPr>
            <w:noProof/>
            <w:webHidden/>
          </w:rPr>
          <w:t>117</w:t>
        </w:r>
        <w:r w:rsidR="00EB75EE">
          <w:rPr>
            <w:noProof/>
            <w:webHidden/>
          </w:rPr>
          <w:fldChar w:fldCharType="end"/>
        </w:r>
      </w:hyperlink>
    </w:p>
    <w:p w14:paraId="26EA5305" w14:textId="1E713ACC"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34" w:history="1">
        <w:r w:rsidR="00EB75EE" w:rsidRPr="00247083">
          <w:rPr>
            <w:rStyle w:val="Hyperlink"/>
            <w:noProof/>
          </w:rPr>
          <w:t>Figure 86: Historical LULUCF emissions, removals and net carbon removals</w:t>
        </w:r>
        <w:r w:rsidR="00EB75EE">
          <w:rPr>
            <w:noProof/>
            <w:webHidden/>
          </w:rPr>
          <w:tab/>
        </w:r>
        <w:r w:rsidR="00EB75EE">
          <w:rPr>
            <w:noProof/>
            <w:webHidden/>
          </w:rPr>
          <w:fldChar w:fldCharType="begin"/>
        </w:r>
        <w:r w:rsidR="00EB75EE">
          <w:rPr>
            <w:noProof/>
            <w:webHidden/>
          </w:rPr>
          <w:instrText xml:space="preserve"> PAGEREF _Toc157679834 \h </w:instrText>
        </w:r>
        <w:r w:rsidR="00EB75EE">
          <w:rPr>
            <w:noProof/>
            <w:webHidden/>
          </w:rPr>
        </w:r>
        <w:r w:rsidR="00EB75EE">
          <w:rPr>
            <w:noProof/>
            <w:webHidden/>
          </w:rPr>
          <w:fldChar w:fldCharType="separate"/>
        </w:r>
        <w:r w:rsidR="00EB75EE">
          <w:rPr>
            <w:noProof/>
            <w:webHidden/>
          </w:rPr>
          <w:t>118</w:t>
        </w:r>
        <w:r w:rsidR="00EB75EE">
          <w:rPr>
            <w:noProof/>
            <w:webHidden/>
          </w:rPr>
          <w:fldChar w:fldCharType="end"/>
        </w:r>
      </w:hyperlink>
    </w:p>
    <w:p w14:paraId="067F9F51" w14:textId="218A6821"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35" w:history="1">
        <w:r w:rsidR="00EB75EE" w:rsidRPr="00247083">
          <w:rPr>
            <w:rStyle w:val="Hyperlink"/>
            <w:noProof/>
          </w:rPr>
          <w:t>Figure 87: Final bioenergy demand by sector and scenario</w:t>
        </w:r>
        <w:r w:rsidR="00EB75EE">
          <w:rPr>
            <w:noProof/>
            <w:webHidden/>
          </w:rPr>
          <w:tab/>
        </w:r>
        <w:r w:rsidR="00EB75EE">
          <w:rPr>
            <w:noProof/>
            <w:webHidden/>
          </w:rPr>
          <w:fldChar w:fldCharType="begin"/>
        </w:r>
        <w:r w:rsidR="00EB75EE">
          <w:rPr>
            <w:noProof/>
            <w:webHidden/>
          </w:rPr>
          <w:instrText xml:space="preserve"> PAGEREF _Toc157679835 \h </w:instrText>
        </w:r>
        <w:r w:rsidR="00EB75EE">
          <w:rPr>
            <w:noProof/>
            <w:webHidden/>
          </w:rPr>
        </w:r>
        <w:r w:rsidR="00EB75EE">
          <w:rPr>
            <w:noProof/>
            <w:webHidden/>
          </w:rPr>
          <w:fldChar w:fldCharType="separate"/>
        </w:r>
        <w:r w:rsidR="00EB75EE">
          <w:rPr>
            <w:noProof/>
            <w:webHidden/>
          </w:rPr>
          <w:t>119</w:t>
        </w:r>
        <w:r w:rsidR="00EB75EE">
          <w:rPr>
            <w:noProof/>
            <w:webHidden/>
          </w:rPr>
          <w:fldChar w:fldCharType="end"/>
        </w:r>
      </w:hyperlink>
    </w:p>
    <w:p w14:paraId="690F9840" w14:textId="1C6AC67D"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36" w:history="1">
        <w:r w:rsidR="00EB75EE" w:rsidRPr="00247083">
          <w:rPr>
            <w:rStyle w:val="Hyperlink"/>
            <w:noProof/>
          </w:rPr>
          <w:t>Figure 88: Domestic supply of feedstock for bioenergy and waste</w:t>
        </w:r>
        <w:r w:rsidR="00EB75EE">
          <w:rPr>
            <w:noProof/>
            <w:webHidden/>
          </w:rPr>
          <w:tab/>
        </w:r>
        <w:r w:rsidR="00EB75EE">
          <w:rPr>
            <w:noProof/>
            <w:webHidden/>
          </w:rPr>
          <w:fldChar w:fldCharType="begin"/>
        </w:r>
        <w:r w:rsidR="00EB75EE">
          <w:rPr>
            <w:noProof/>
            <w:webHidden/>
          </w:rPr>
          <w:instrText xml:space="preserve"> PAGEREF _Toc157679836 \h </w:instrText>
        </w:r>
        <w:r w:rsidR="00EB75EE">
          <w:rPr>
            <w:noProof/>
            <w:webHidden/>
          </w:rPr>
        </w:r>
        <w:r w:rsidR="00EB75EE">
          <w:rPr>
            <w:noProof/>
            <w:webHidden/>
          </w:rPr>
          <w:fldChar w:fldCharType="separate"/>
        </w:r>
        <w:r w:rsidR="00EB75EE">
          <w:rPr>
            <w:noProof/>
            <w:webHidden/>
          </w:rPr>
          <w:t>121</w:t>
        </w:r>
        <w:r w:rsidR="00EB75EE">
          <w:rPr>
            <w:noProof/>
            <w:webHidden/>
          </w:rPr>
          <w:fldChar w:fldCharType="end"/>
        </w:r>
      </w:hyperlink>
    </w:p>
    <w:p w14:paraId="1650C770" w14:textId="6C3849EC"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37" w:history="1">
        <w:r w:rsidR="00EB75EE" w:rsidRPr="00247083">
          <w:rPr>
            <w:rStyle w:val="Hyperlink"/>
            <w:noProof/>
          </w:rPr>
          <w:t>Figure 89: Harvest of wood for energy and non-energy use</w:t>
        </w:r>
        <w:r w:rsidR="00EB75EE">
          <w:rPr>
            <w:noProof/>
            <w:webHidden/>
          </w:rPr>
          <w:tab/>
        </w:r>
        <w:r w:rsidR="00EB75EE">
          <w:rPr>
            <w:noProof/>
            <w:webHidden/>
          </w:rPr>
          <w:fldChar w:fldCharType="begin"/>
        </w:r>
        <w:r w:rsidR="00EB75EE">
          <w:rPr>
            <w:noProof/>
            <w:webHidden/>
          </w:rPr>
          <w:instrText xml:space="preserve"> PAGEREF _Toc157679837 \h </w:instrText>
        </w:r>
        <w:r w:rsidR="00EB75EE">
          <w:rPr>
            <w:noProof/>
            <w:webHidden/>
          </w:rPr>
        </w:r>
        <w:r w:rsidR="00EB75EE">
          <w:rPr>
            <w:noProof/>
            <w:webHidden/>
          </w:rPr>
          <w:fldChar w:fldCharType="separate"/>
        </w:r>
        <w:r w:rsidR="00EB75EE">
          <w:rPr>
            <w:noProof/>
            <w:webHidden/>
          </w:rPr>
          <w:t>122</w:t>
        </w:r>
        <w:r w:rsidR="00EB75EE">
          <w:rPr>
            <w:noProof/>
            <w:webHidden/>
          </w:rPr>
          <w:fldChar w:fldCharType="end"/>
        </w:r>
      </w:hyperlink>
    </w:p>
    <w:p w14:paraId="33FFD4A7" w14:textId="3EE39F12"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38" w:history="1">
        <w:r w:rsidR="00EB75EE" w:rsidRPr="00247083">
          <w:rPr>
            <w:rStyle w:val="Hyperlink"/>
            <w:noProof/>
          </w:rPr>
          <w:t>Figure 90: Total forest increment of managed forests per year and scenario in EU</w:t>
        </w:r>
        <w:r w:rsidR="00EB75EE">
          <w:rPr>
            <w:noProof/>
            <w:webHidden/>
          </w:rPr>
          <w:tab/>
        </w:r>
        <w:r w:rsidR="00EB75EE">
          <w:rPr>
            <w:noProof/>
            <w:webHidden/>
          </w:rPr>
          <w:fldChar w:fldCharType="begin"/>
        </w:r>
        <w:r w:rsidR="00EB75EE">
          <w:rPr>
            <w:noProof/>
            <w:webHidden/>
          </w:rPr>
          <w:instrText xml:space="preserve"> PAGEREF _Toc157679838 \h </w:instrText>
        </w:r>
        <w:r w:rsidR="00EB75EE">
          <w:rPr>
            <w:noProof/>
            <w:webHidden/>
          </w:rPr>
        </w:r>
        <w:r w:rsidR="00EB75EE">
          <w:rPr>
            <w:noProof/>
            <w:webHidden/>
          </w:rPr>
          <w:fldChar w:fldCharType="separate"/>
        </w:r>
        <w:r w:rsidR="00EB75EE">
          <w:rPr>
            <w:noProof/>
            <w:webHidden/>
          </w:rPr>
          <w:t>123</w:t>
        </w:r>
        <w:r w:rsidR="00EB75EE">
          <w:rPr>
            <w:noProof/>
            <w:webHidden/>
          </w:rPr>
          <w:fldChar w:fldCharType="end"/>
        </w:r>
      </w:hyperlink>
    </w:p>
    <w:p w14:paraId="788DD0A6" w14:textId="38B8AB8A"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39" w:history="1">
        <w:r w:rsidR="00EB75EE" w:rsidRPr="00247083">
          <w:rPr>
            <w:rStyle w:val="Hyperlink"/>
            <w:noProof/>
          </w:rPr>
          <w:t>Figure 91: Evolution of land use in EU by category</w:t>
        </w:r>
        <w:r w:rsidR="00EB75EE">
          <w:rPr>
            <w:noProof/>
            <w:webHidden/>
          </w:rPr>
          <w:tab/>
        </w:r>
        <w:r w:rsidR="00EB75EE">
          <w:rPr>
            <w:noProof/>
            <w:webHidden/>
          </w:rPr>
          <w:fldChar w:fldCharType="begin"/>
        </w:r>
        <w:r w:rsidR="00EB75EE">
          <w:rPr>
            <w:noProof/>
            <w:webHidden/>
          </w:rPr>
          <w:instrText xml:space="preserve"> PAGEREF _Toc157679839 \h </w:instrText>
        </w:r>
        <w:r w:rsidR="00EB75EE">
          <w:rPr>
            <w:noProof/>
            <w:webHidden/>
          </w:rPr>
        </w:r>
        <w:r w:rsidR="00EB75EE">
          <w:rPr>
            <w:noProof/>
            <w:webHidden/>
          </w:rPr>
          <w:fldChar w:fldCharType="separate"/>
        </w:r>
        <w:r w:rsidR="00EB75EE">
          <w:rPr>
            <w:noProof/>
            <w:webHidden/>
          </w:rPr>
          <w:t>124</w:t>
        </w:r>
        <w:r w:rsidR="00EB75EE">
          <w:rPr>
            <w:noProof/>
            <w:webHidden/>
          </w:rPr>
          <w:fldChar w:fldCharType="end"/>
        </w:r>
      </w:hyperlink>
    </w:p>
    <w:p w14:paraId="738A632B" w14:textId="511A7ED6"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40" w:history="1">
        <w:r w:rsidR="00EB75EE" w:rsidRPr="00247083">
          <w:rPr>
            <w:rStyle w:val="Hyperlink"/>
            <w:noProof/>
          </w:rPr>
          <w:t>Figure 92: Changes in land use between 2020 and 2040 by scenario</w:t>
        </w:r>
        <w:r w:rsidR="00EB75EE">
          <w:rPr>
            <w:noProof/>
            <w:webHidden/>
          </w:rPr>
          <w:tab/>
        </w:r>
        <w:r w:rsidR="00EB75EE">
          <w:rPr>
            <w:noProof/>
            <w:webHidden/>
          </w:rPr>
          <w:fldChar w:fldCharType="begin"/>
        </w:r>
        <w:r w:rsidR="00EB75EE">
          <w:rPr>
            <w:noProof/>
            <w:webHidden/>
          </w:rPr>
          <w:instrText xml:space="preserve"> PAGEREF _Toc157679840 \h </w:instrText>
        </w:r>
        <w:r w:rsidR="00EB75EE">
          <w:rPr>
            <w:noProof/>
            <w:webHidden/>
          </w:rPr>
        </w:r>
        <w:r w:rsidR="00EB75EE">
          <w:rPr>
            <w:noProof/>
            <w:webHidden/>
          </w:rPr>
          <w:fldChar w:fldCharType="separate"/>
        </w:r>
        <w:r w:rsidR="00EB75EE">
          <w:rPr>
            <w:noProof/>
            <w:webHidden/>
          </w:rPr>
          <w:t>124</w:t>
        </w:r>
        <w:r w:rsidR="00EB75EE">
          <w:rPr>
            <w:noProof/>
            <w:webHidden/>
          </w:rPr>
          <w:fldChar w:fldCharType="end"/>
        </w:r>
      </w:hyperlink>
    </w:p>
    <w:p w14:paraId="1F0B53FF" w14:textId="48992815"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41" w:history="1">
        <w:r w:rsidR="00EB75EE" w:rsidRPr="00247083">
          <w:rPr>
            <w:rStyle w:val="Hyperlink"/>
            <w:noProof/>
          </w:rPr>
          <w:t>Figure 93: Mitigation potentials in LULUCF at different mitigation costs</w:t>
        </w:r>
        <w:r w:rsidR="00EB75EE">
          <w:rPr>
            <w:noProof/>
            <w:webHidden/>
          </w:rPr>
          <w:tab/>
        </w:r>
        <w:r w:rsidR="00EB75EE">
          <w:rPr>
            <w:noProof/>
            <w:webHidden/>
          </w:rPr>
          <w:fldChar w:fldCharType="begin"/>
        </w:r>
        <w:r w:rsidR="00EB75EE">
          <w:rPr>
            <w:noProof/>
            <w:webHidden/>
          </w:rPr>
          <w:instrText xml:space="preserve"> PAGEREF _Toc157679841 \h </w:instrText>
        </w:r>
        <w:r w:rsidR="00EB75EE">
          <w:rPr>
            <w:noProof/>
            <w:webHidden/>
          </w:rPr>
        </w:r>
        <w:r w:rsidR="00EB75EE">
          <w:rPr>
            <w:noProof/>
            <w:webHidden/>
          </w:rPr>
          <w:fldChar w:fldCharType="separate"/>
        </w:r>
        <w:r w:rsidR="00EB75EE">
          <w:rPr>
            <w:noProof/>
            <w:webHidden/>
          </w:rPr>
          <w:t>128</w:t>
        </w:r>
        <w:r w:rsidR="00EB75EE">
          <w:rPr>
            <w:noProof/>
            <w:webHidden/>
          </w:rPr>
          <w:fldChar w:fldCharType="end"/>
        </w:r>
      </w:hyperlink>
    </w:p>
    <w:p w14:paraId="10A21C5B" w14:textId="36788B68"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42" w:history="1">
        <w:r w:rsidR="00EB75EE" w:rsidRPr="00247083">
          <w:rPr>
            <w:rStyle w:val="Hyperlink"/>
            <w:noProof/>
          </w:rPr>
          <w:t>Figure 94: LULUCF net carbon removal potential for different mitigation costs</w:t>
        </w:r>
        <w:r w:rsidR="00EB75EE">
          <w:rPr>
            <w:noProof/>
            <w:webHidden/>
          </w:rPr>
          <w:tab/>
        </w:r>
        <w:r w:rsidR="00EB75EE">
          <w:rPr>
            <w:noProof/>
            <w:webHidden/>
          </w:rPr>
          <w:fldChar w:fldCharType="begin"/>
        </w:r>
        <w:r w:rsidR="00EB75EE">
          <w:rPr>
            <w:noProof/>
            <w:webHidden/>
          </w:rPr>
          <w:instrText xml:space="preserve"> PAGEREF _Toc157679842 \h </w:instrText>
        </w:r>
        <w:r w:rsidR="00EB75EE">
          <w:rPr>
            <w:noProof/>
            <w:webHidden/>
          </w:rPr>
        </w:r>
        <w:r w:rsidR="00EB75EE">
          <w:rPr>
            <w:noProof/>
            <w:webHidden/>
          </w:rPr>
          <w:fldChar w:fldCharType="separate"/>
        </w:r>
        <w:r w:rsidR="00EB75EE">
          <w:rPr>
            <w:noProof/>
            <w:webHidden/>
          </w:rPr>
          <w:t>129</w:t>
        </w:r>
        <w:r w:rsidR="00EB75EE">
          <w:rPr>
            <w:noProof/>
            <w:webHidden/>
          </w:rPr>
          <w:fldChar w:fldCharType="end"/>
        </w:r>
      </w:hyperlink>
    </w:p>
    <w:p w14:paraId="362683CF" w14:textId="31015C39"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43" w:history="1">
        <w:r w:rsidR="00EB75EE" w:rsidRPr="00247083">
          <w:rPr>
            <w:rStyle w:val="Hyperlink"/>
            <w:noProof/>
          </w:rPr>
          <w:t>Figure 95: LULUCF net removal emissions and removals</w:t>
        </w:r>
        <w:r w:rsidR="00EB75EE">
          <w:rPr>
            <w:noProof/>
            <w:webHidden/>
          </w:rPr>
          <w:tab/>
        </w:r>
        <w:r w:rsidR="00EB75EE">
          <w:rPr>
            <w:noProof/>
            <w:webHidden/>
          </w:rPr>
          <w:fldChar w:fldCharType="begin"/>
        </w:r>
        <w:r w:rsidR="00EB75EE">
          <w:rPr>
            <w:noProof/>
            <w:webHidden/>
          </w:rPr>
          <w:instrText xml:space="preserve"> PAGEREF _Toc157679843 \h </w:instrText>
        </w:r>
        <w:r w:rsidR="00EB75EE">
          <w:rPr>
            <w:noProof/>
            <w:webHidden/>
          </w:rPr>
        </w:r>
        <w:r w:rsidR="00EB75EE">
          <w:rPr>
            <w:noProof/>
            <w:webHidden/>
          </w:rPr>
          <w:fldChar w:fldCharType="separate"/>
        </w:r>
        <w:r w:rsidR="00EB75EE">
          <w:rPr>
            <w:noProof/>
            <w:webHidden/>
          </w:rPr>
          <w:t>131</w:t>
        </w:r>
        <w:r w:rsidR="00EB75EE">
          <w:rPr>
            <w:noProof/>
            <w:webHidden/>
          </w:rPr>
          <w:fldChar w:fldCharType="end"/>
        </w:r>
      </w:hyperlink>
    </w:p>
    <w:p w14:paraId="7E9B713D" w14:textId="418D7152"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44" w:history="1">
        <w:r w:rsidR="00EB75EE" w:rsidRPr="00247083">
          <w:rPr>
            <w:rStyle w:val="Hyperlink"/>
            <w:noProof/>
          </w:rPr>
          <w:t>Figure 96: Estimated climate change impacts on LULUCF net removal in EU</w:t>
        </w:r>
        <w:r w:rsidR="00EB75EE">
          <w:rPr>
            <w:noProof/>
            <w:webHidden/>
          </w:rPr>
          <w:tab/>
        </w:r>
        <w:r w:rsidR="00EB75EE">
          <w:rPr>
            <w:noProof/>
            <w:webHidden/>
          </w:rPr>
          <w:fldChar w:fldCharType="begin"/>
        </w:r>
        <w:r w:rsidR="00EB75EE">
          <w:rPr>
            <w:noProof/>
            <w:webHidden/>
          </w:rPr>
          <w:instrText xml:space="preserve"> PAGEREF _Toc157679844 \h </w:instrText>
        </w:r>
        <w:r w:rsidR="00EB75EE">
          <w:rPr>
            <w:noProof/>
            <w:webHidden/>
          </w:rPr>
        </w:r>
        <w:r w:rsidR="00EB75EE">
          <w:rPr>
            <w:noProof/>
            <w:webHidden/>
          </w:rPr>
          <w:fldChar w:fldCharType="separate"/>
        </w:r>
        <w:r w:rsidR="00EB75EE">
          <w:rPr>
            <w:noProof/>
            <w:webHidden/>
          </w:rPr>
          <w:t>134</w:t>
        </w:r>
        <w:r w:rsidR="00EB75EE">
          <w:rPr>
            <w:noProof/>
            <w:webHidden/>
          </w:rPr>
          <w:fldChar w:fldCharType="end"/>
        </w:r>
      </w:hyperlink>
    </w:p>
    <w:p w14:paraId="2C543795" w14:textId="76C0FFE2"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45" w:history="1">
        <w:r w:rsidR="00EB75EE" w:rsidRPr="00247083">
          <w:rPr>
            <w:rStyle w:val="Hyperlink"/>
            <w:noProof/>
          </w:rPr>
          <w:t>Figure 97: Area coverage of simulated series of extreme events in 2035</w:t>
        </w:r>
        <w:r w:rsidR="00EB75EE">
          <w:rPr>
            <w:noProof/>
            <w:webHidden/>
          </w:rPr>
          <w:tab/>
        </w:r>
        <w:r w:rsidR="00EB75EE">
          <w:rPr>
            <w:noProof/>
            <w:webHidden/>
          </w:rPr>
          <w:fldChar w:fldCharType="begin"/>
        </w:r>
        <w:r w:rsidR="00EB75EE">
          <w:rPr>
            <w:noProof/>
            <w:webHidden/>
          </w:rPr>
          <w:instrText xml:space="preserve"> PAGEREF _Toc157679845 \h </w:instrText>
        </w:r>
        <w:r w:rsidR="00EB75EE">
          <w:rPr>
            <w:noProof/>
            <w:webHidden/>
          </w:rPr>
        </w:r>
        <w:r w:rsidR="00EB75EE">
          <w:rPr>
            <w:noProof/>
            <w:webHidden/>
          </w:rPr>
          <w:fldChar w:fldCharType="separate"/>
        </w:r>
        <w:r w:rsidR="00EB75EE">
          <w:rPr>
            <w:noProof/>
            <w:webHidden/>
          </w:rPr>
          <w:t>136</w:t>
        </w:r>
        <w:r w:rsidR="00EB75EE">
          <w:rPr>
            <w:noProof/>
            <w:webHidden/>
          </w:rPr>
          <w:fldChar w:fldCharType="end"/>
        </w:r>
      </w:hyperlink>
    </w:p>
    <w:p w14:paraId="35E523E0" w14:textId="018D01FE"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46" w:history="1">
        <w:r w:rsidR="00EB75EE" w:rsidRPr="00247083">
          <w:rPr>
            <w:rStyle w:val="Hyperlink"/>
            <w:noProof/>
          </w:rPr>
          <w:t>Figure 98: Estimated climate change impacts and extreme events on LULUCF net removal</w:t>
        </w:r>
        <w:r w:rsidR="00EB75EE">
          <w:rPr>
            <w:noProof/>
            <w:webHidden/>
          </w:rPr>
          <w:tab/>
        </w:r>
        <w:r w:rsidR="00EB75EE">
          <w:rPr>
            <w:noProof/>
            <w:webHidden/>
          </w:rPr>
          <w:fldChar w:fldCharType="begin"/>
        </w:r>
        <w:r w:rsidR="00EB75EE">
          <w:rPr>
            <w:noProof/>
            <w:webHidden/>
          </w:rPr>
          <w:instrText xml:space="preserve"> PAGEREF _Toc157679846 \h </w:instrText>
        </w:r>
        <w:r w:rsidR="00EB75EE">
          <w:rPr>
            <w:noProof/>
            <w:webHidden/>
          </w:rPr>
        </w:r>
        <w:r w:rsidR="00EB75EE">
          <w:rPr>
            <w:noProof/>
            <w:webHidden/>
          </w:rPr>
          <w:fldChar w:fldCharType="separate"/>
        </w:r>
        <w:r w:rsidR="00EB75EE">
          <w:rPr>
            <w:noProof/>
            <w:webHidden/>
          </w:rPr>
          <w:t>137</w:t>
        </w:r>
        <w:r w:rsidR="00EB75EE">
          <w:rPr>
            <w:noProof/>
            <w:webHidden/>
          </w:rPr>
          <w:fldChar w:fldCharType="end"/>
        </w:r>
      </w:hyperlink>
    </w:p>
    <w:p w14:paraId="329E0C90" w14:textId="39CC62E1"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47" w:history="1">
        <w:r w:rsidR="00EB75EE" w:rsidRPr="00247083">
          <w:rPr>
            <w:rStyle w:val="Hyperlink"/>
            <w:noProof/>
          </w:rPr>
          <w:t>Figure 99: Biodiversity impacts from LIFE by region.</w:t>
        </w:r>
        <w:r w:rsidR="00EB75EE">
          <w:rPr>
            <w:noProof/>
            <w:webHidden/>
          </w:rPr>
          <w:tab/>
        </w:r>
        <w:r w:rsidR="00EB75EE">
          <w:rPr>
            <w:noProof/>
            <w:webHidden/>
          </w:rPr>
          <w:fldChar w:fldCharType="begin"/>
        </w:r>
        <w:r w:rsidR="00EB75EE">
          <w:rPr>
            <w:noProof/>
            <w:webHidden/>
          </w:rPr>
          <w:instrText xml:space="preserve"> PAGEREF _Toc157679847 \h </w:instrText>
        </w:r>
        <w:r w:rsidR="00EB75EE">
          <w:rPr>
            <w:noProof/>
            <w:webHidden/>
          </w:rPr>
        </w:r>
        <w:r w:rsidR="00EB75EE">
          <w:rPr>
            <w:noProof/>
            <w:webHidden/>
          </w:rPr>
          <w:fldChar w:fldCharType="separate"/>
        </w:r>
        <w:r w:rsidR="00EB75EE">
          <w:rPr>
            <w:noProof/>
            <w:webHidden/>
          </w:rPr>
          <w:t>146</w:t>
        </w:r>
        <w:r w:rsidR="00EB75EE">
          <w:rPr>
            <w:noProof/>
            <w:webHidden/>
          </w:rPr>
          <w:fldChar w:fldCharType="end"/>
        </w:r>
      </w:hyperlink>
    </w:p>
    <w:p w14:paraId="7454AF06" w14:textId="432F3377"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48" w:history="1">
        <w:r w:rsidR="00EB75EE" w:rsidRPr="00247083">
          <w:rPr>
            <w:rStyle w:val="Hyperlink"/>
            <w:noProof/>
          </w:rPr>
          <w:t>Figure 100: Composition of private consumption (% of total, S3)</w:t>
        </w:r>
        <w:r w:rsidR="00EB75EE">
          <w:rPr>
            <w:noProof/>
            <w:webHidden/>
          </w:rPr>
          <w:tab/>
        </w:r>
        <w:r w:rsidR="00EB75EE">
          <w:rPr>
            <w:noProof/>
            <w:webHidden/>
          </w:rPr>
          <w:fldChar w:fldCharType="begin"/>
        </w:r>
        <w:r w:rsidR="00EB75EE">
          <w:rPr>
            <w:noProof/>
            <w:webHidden/>
          </w:rPr>
          <w:instrText xml:space="preserve"> PAGEREF _Toc157679848 \h </w:instrText>
        </w:r>
        <w:r w:rsidR="00EB75EE">
          <w:rPr>
            <w:noProof/>
            <w:webHidden/>
          </w:rPr>
        </w:r>
        <w:r w:rsidR="00EB75EE">
          <w:rPr>
            <w:noProof/>
            <w:webHidden/>
          </w:rPr>
          <w:fldChar w:fldCharType="separate"/>
        </w:r>
        <w:r w:rsidR="00EB75EE">
          <w:rPr>
            <w:noProof/>
            <w:webHidden/>
          </w:rPr>
          <w:t>153</w:t>
        </w:r>
        <w:r w:rsidR="00EB75EE">
          <w:rPr>
            <w:noProof/>
            <w:webHidden/>
          </w:rPr>
          <w:fldChar w:fldCharType="end"/>
        </w:r>
      </w:hyperlink>
    </w:p>
    <w:p w14:paraId="6FCB7AA7" w14:textId="6398B28E"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49" w:history="1">
        <w:r w:rsidR="00EB75EE" w:rsidRPr="00247083">
          <w:rPr>
            <w:rStyle w:val="Hyperlink"/>
            <w:noProof/>
            <w:lang w:val="en-IE"/>
          </w:rPr>
          <w:t>Figure 101: Real GDP, deviation from S2</w:t>
        </w:r>
        <w:r w:rsidR="00EB75EE">
          <w:rPr>
            <w:noProof/>
            <w:webHidden/>
          </w:rPr>
          <w:tab/>
        </w:r>
        <w:r w:rsidR="00EB75EE">
          <w:rPr>
            <w:noProof/>
            <w:webHidden/>
          </w:rPr>
          <w:fldChar w:fldCharType="begin"/>
        </w:r>
        <w:r w:rsidR="00EB75EE">
          <w:rPr>
            <w:noProof/>
            <w:webHidden/>
          </w:rPr>
          <w:instrText xml:space="preserve"> PAGEREF _Toc157679849 \h </w:instrText>
        </w:r>
        <w:r w:rsidR="00EB75EE">
          <w:rPr>
            <w:noProof/>
            <w:webHidden/>
          </w:rPr>
        </w:r>
        <w:r w:rsidR="00EB75EE">
          <w:rPr>
            <w:noProof/>
            <w:webHidden/>
          </w:rPr>
          <w:fldChar w:fldCharType="separate"/>
        </w:r>
        <w:r w:rsidR="00EB75EE">
          <w:rPr>
            <w:noProof/>
            <w:webHidden/>
          </w:rPr>
          <w:t>153</w:t>
        </w:r>
        <w:r w:rsidR="00EB75EE">
          <w:rPr>
            <w:noProof/>
            <w:webHidden/>
          </w:rPr>
          <w:fldChar w:fldCharType="end"/>
        </w:r>
      </w:hyperlink>
    </w:p>
    <w:p w14:paraId="6C2D5413" w14:textId="292EA74D"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50" w:history="1">
        <w:r w:rsidR="00EB75EE" w:rsidRPr="00247083">
          <w:rPr>
            <w:rStyle w:val="Hyperlink"/>
            <w:noProof/>
          </w:rPr>
          <w:t>Figure 102: Impact of frictions in investment decisions</w:t>
        </w:r>
        <w:r w:rsidR="00EB75EE">
          <w:rPr>
            <w:noProof/>
            <w:webHidden/>
          </w:rPr>
          <w:tab/>
        </w:r>
        <w:r w:rsidR="00EB75EE">
          <w:rPr>
            <w:noProof/>
            <w:webHidden/>
          </w:rPr>
          <w:fldChar w:fldCharType="begin"/>
        </w:r>
        <w:r w:rsidR="00EB75EE">
          <w:rPr>
            <w:noProof/>
            <w:webHidden/>
          </w:rPr>
          <w:instrText xml:space="preserve"> PAGEREF _Toc157679850 \h </w:instrText>
        </w:r>
        <w:r w:rsidR="00EB75EE">
          <w:rPr>
            <w:noProof/>
            <w:webHidden/>
          </w:rPr>
        </w:r>
        <w:r w:rsidR="00EB75EE">
          <w:rPr>
            <w:noProof/>
            <w:webHidden/>
          </w:rPr>
          <w:fldChar w:fldCharType="separate"/>
        </w:r>
        <w:r w:rsidR="00EB75EE">
          <w:rPr>
            <w:noProof/>
            <w:webHidden/>
          </w:rPr>
          <w:t>155</w:t>
        </w:r>
        <w:r w:rsidR="00EB75EE">
          <w:rPr>
            <w:noProof/>
            <w:webHidden/>
          </w:rPr>
          <w:fldChar w:fldCharType="end"/>
        </w:r>
      </w:hyperlink>
    </w:p>
    <w:p w14:paraId="21FF3D0A" w14:textId="54A58C4C"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51" w:history="1">
        <w:r w:rsidR="00EB75EE" w:rsidRPr="00247083">
          <w:rPr>
            <w:rStyle w:val="Hyperlink"/>
            <w:noProof/>
          </w:rPr>
          <w:t>Figure 103: Average annual energy system investment needs, excluding transport</w:t>
        </w:r>
        <w:r w:rsidR="00EB75EE">
          <w:rPr>
            <w:noProof/>
            <w:webHidden/>
          </w:rPr>
          <w:tab/>
        </w:r>
        <w:r w:rsidR="00EB75EE">
          <w:rPr>
            <w:noProof/>
            <w:webHidden/>
          </w:rPr>
          <w:fldChar w:fldCharType="begin"/>
        </w:r>
        <w:r w:rsidR="00EB75EE">
          <w:rPr>
            <w:noProof/>
            <w:webHidden/>
          </w:rPr>
          <w:instrText xml:space="preserve"> PAGEREF _Toc157679851 \h </w:instrText>
        </w:r>
        <w:r w:rsidR="00EB75EE">
          <w:rPr>
            <w:noProof/>
            <w:webHidden/>
          </w:rPr>
        </w:r>
        <w:r w:rsidR="00EB75EE">
          <w:rPr>
            <w:noProof/>
            <w:webHidden/>
          </w:rPr>
          <w:fldChar w:fldCharType="separate"/>
        </w:r>
        <w:r w:rsidR="00EB75EE">
          <w:rPr>
            <w:noProof/>
            <w:webHidden/>
          </w:rPr>
          <w:t>160</w:t>
        </w:r>
        <w:r w:rsidR="00EB75EE">
          <w:rPr>
            <w:noProof/>
            <w:webHidden/>
          </w:rPr>
          <w:fldChar w:fldCharType="end"/>
        </w:r>
      </w:hyperlink>
    </w:p>
    <w:p w14:paraId="57D55DE8" w14:textId="48639213"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52" w:history="1">
        <w:r w:rsidR="00EB75EE" w:rsidRPr="00247083">
          <w:rPr>
            <w:rStyle w:val="Hyperlink"/>
            <w:noProof/>
          </w:rPr>
          <w:t>Figure 104: Average annual energy system investment needs by sector</w:t>
        </w:r>
        <w:r w:rsidR="00EB75EE">
          <w:rPr>
            <w:noProof/>
            <w:webHidden/>
          </w:rPr>
          <w:tab/>
        </w:r>
        <w:r w:rsidR="00EB75EE">
          <w:rPr>
            <w:noProof/>
            <w:webHidden/>
          </w:rPr>
          <w:fldChar w:fldCharType="begin"/>
        </w:r>
        <w:r w:rsidR="00EB75EE">
          <w:rPr>
            <w:noProof/>
            <w:webHidden/>
          </w:rPr>
          <w:instrText xml:space="preserve"> PAGEREF _Toc157679852 \h </w:instrText>
        </w:r>
        <w:r w:rsidR="00EB75EE">
          <w:rPr>
            <w:noProof/>
            <w:webHidden/>
          </w:rPr>
        </w:r>
        <w:r w:rsidR="00EB75EE">
          <w:rPr>
            <w:noProof/>
            <w:webHidden/>
          </w:rPr>
          <w:fldChar w:fldCharType="separate"/>
        </w:r>
        <w:r w:rsidR="00EB75EE">
          <w:rPr>
            <w:noProof/>
            <w:webHidden/>
          </w:rPr>
          <w:t>161</w:t>
        </w:r>
        <w:r w:rsidR="00EB75EE">
          <w:rPr>
            <w:noProof/>
            <w:webHidden/>
          </w:rPr>
          <w:fldChar w:fldCharType="end"/>
        </w:r>
      </w:hyperlink>
    </w:p>
    <w:p w14:paraId="2F806CBE" w14:textId="0D00958A"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53" w:history="1">
        <w:r w:rsidR="00EB75EE" w:rsidRPr="00247083">
          <w:rPr>
            <w:rStyle w:val="Hyperlink"/>
            <w:noProof/>
          </w:rPr>
          <w:t>Figure 105: Ratio of gross fixed capital formation to GDP and GDP growth (5-year backward moving average)</w:t>
        </w:r>
        <w:r w:rsidR="00EB75EE">
          <w:rPr>
            <w:noProof/>
            <w:webHidden/>
          </w:rPr>
          <w:tab/>
        </w:r>
        <w:r w:rsidR="00EB75EE">
          <w:rPr>
            <w:noProof/>
            <w:webHidden/>
          </w:rPr>
          <w:fldChar w:fldCharType="begin"/>
        </w:r>
        <w:r w:rsidR="00EB75EE">
          <w:rPr>
            <w:noProof/>
            <w:webHidden/>
          </w:rPr>
          <w:instrText xml:space="preserve"> PAGEREF _Toc157679853 \h </w:instrText>
        </w:r>
        <w:r w:rsidR="00EB75EE">
          <w:rPr>
            <w:noProof/>
            <w:webHidden/>
          </w:rPr>
        </w:r>
        <w:r w:rsidR="00EB75EE">
          <w:rPr>
            <w:noProof/>
            <w:webHidden/>
          </w:rPr>
          <w:fldChar w:fldCharType="separate"/>
        </w:r>
        <w:r w:rsidR="00EB75EE">
          <w:rPr>
            <w:noProof/>
            <w:webHidden/>
          </w:rPr>
          <w:t>162</w:t>
        </w:r>
        <w:r w:rsidR="00EB75EE">
          <w:rPr>
            <w:noProof/>
            <w:webHidden/>
          </w:rPr>
          <w:fldChar w:fldCharType="end"/>
        </w:r>
      </w:hyperlink>
    </w:p>
    <w:p w14:paraId="6CD8783B" w14:textId="4DB3C7BA"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54" w:history="1">
        <w:r w:rsidR="00EB75EE" w:rsidRPr="00247083">
          <w:rPr>
            <w:rStyle w:val="Hyperlink"/>
            <w:noProof/>
          </w:rPr>
          <w:t>Figure 106: Average annual investment in power supply</w:t>
        </w:r>
        <w:r w:rsidR="00EB75EE">
          <w:rPr>
            <w:noProof/>
            <w:webHidden/>
          </w:rPr>
          <w:tab/>
        </w:r>
        <w:r w:rsidR="00EB75EE">
          <w:rPr>
            <w:noProof/>
            <w:webHidden/>
          </w:rPr>
          <w:fldChar w:fldCharType="begin"/>
        </w:r>
        <w:r w:rsidR="00EB75EE">
          <w:rPr>
            <w:noProof/>
            <w:webHidden/>
          </w:rPr>
          <w:instrText xml:space="preserve"> PAGEREF _Toc157679854 \h </w:instrText>
        </w:r>
        <w:r w:rsidR="00EB75EE">
          <w:rPr>
            <w:noProof/>
            <w:webHidden/>
          </w:rPr>
        </w:r>
        <w:r w:rsidR="00EB75EE">
          <w:rPr>
            <w:noProof/>
            <w:webHidden/>
          </w:rPr>
          <w:fldChar w:fldCharType="separate"/>
        </w:r>
        <w:r w:rsidR="00EB75EE">
          <w:rPr>
            <w:noProof/>
            <w:webHidden/>
          </w:rPr>
          <w:t>163</w:t>
        </w:r>
        <w:r w:rsidR="00EB75EE">
          <w:rPr>
            <w:noProof/>
            <w:webHidden/>
          </w:rPr>
          <w:fldChar w:fldCharType="end"/>
        </w:r>
      </w:hyperlink>
    </w:p>
    <w:p w14:paraId="47896D03" w14:textId="16FC8726"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55" w:history="1">
        <w:r w:rsidR="00EB75EE" w:rsidRPr="00247083">
          <w:rPr>
            <w:rStyle w:val="Hyperlink"/>
            <w:noProof/>
          </w:rPr>
          <w:t>Figure 107: Average annual energy system investment needs in industrial sectors</w:t>
        </w:r>
        <w:r w:rsidR="00EB75EE">
          <w:rPr>
            <w:noProof/>
            <w:webHidden/>
          </w:rPr>
          <w:tab/>
        </w:r>
        <w:r w:rsidR="00EB75EE">
          <w:rPr>
            <w:noProof/>
            <w:webHidden/>
          </w:rPr>
          <w:fldChar w:fldCharType="begin"/>
        </w:r>
        <w:r w:rsidR="00EB75EE">
          <w:rPr>
            <w:noProof/>
            <w:webHidden/>
          </w:rPr>
          <w:instrText xml:space="preserve"> PAGEREF _Toc157679855 \h </w:instrText>
        </w:r>
        <w:r w:rsidR="00EB75EE">
          <w:rPr>
            <w:noProof/>
            <w:webHidden/>
          </w:rPr>
        </w:r>
        <w:r w:rsidR="00EB75EE">
          <w:rPr>
            <w:noProof/>
            <w:webHidden/>
          </w:rPr>
          <w:fldChar w:fldCharType="separate"/>
        </w:r>
        <w:r w:rsidR="00EB75EE">
          <w:rPr>
            <w:noProof/>
            <w:webHidden/>
          </w:rPr>
          <w:t>164</w:t>
        </w:r>
        <w:r w:rsidR="00EB75EE">
          <w:rPr>
            <w:noProof/>
            <w:webHidden/>
          </w:rPr>
          <w:fldChar w:fldCharType="end"/>
        </w:r>
      </w:hyperlink>
    </w:p>
    <w:p w14:paraId="7E27F669" w14:textId="576ABA7F"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56" w:history="1">
        <w:r w:rsidR="00EB75EE" w:rsidRPr="00247083">
          <w:rPr>
            <w:rStyle w:val="Hyperlink"/>
            <w:noProof/>
          </w:rPr>
          <w:t>Figure 108: Average annual energy system investment needs in services</w:t>
        </w:r>
        <w:r w:rsidR="00EB75EE">
          <w:rPr>
            <w:noProof/>
            <w:webHidden/>
          </w:rPr>
          <w:tab/>
        </w:r>
        <w:r w:rsidR="00EB75EE">
          <w:rPr>
            <w:noProof/>
            <w:webHidden/>
          </w:rPr>
          <w:fldChar w:fldCharType="begin"/>
        </w:r>
        <w:r w:rsidR="00EB75EE">
          <w:rPr>
            <w:noProof/>
            <w:webHidden/>
          </w:rPr>
          <w:instrText xml:space="preserve"> PAGEREF _Toc157679856 \h </w:instrText>
        </w:r>
        <w:r w:rsidR="00EB75EE">
          <w:rPr>
            <w:noProof/>
            <w:webHidden/>
          </w:rPr>
        </w:r>
        <w:r w:rsidR="00EB75EE">
          <w:rPr>
            <w:noProof/>
            <w:webHidden/>
          </w:rPr>
          <w:fldChar w:fldCharType="separate"/>
        </w:r>
        <w:r w:rsidR="00EB75EE">
          <w:rPr>
            <w:noProof/>
            <w:webHidden/>
          </w:rPr>
          <w:t>170</w:t>
        </w:r>
        <w:r w:rsidR="00EB75EE">
          <w:rPr>
            <w:noProof/>
            <w:webHidden/>
          </w:rPr>
          <w:fldChar w:fldCharType="end"/>
        </w:r>
      </w:hyperlink>
    </w:p>
    <w:p w14:paraId="5E2510AE" w14:textId="4A0F2A99"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57" w:history="1">
        <w:r w:rsidR="00EB75EE" w:rsidRPr="00247083">
          <w:rPr>
            <w:rStyle w:val="Hyperlink"/>
            <w:noProof/>
          </w:rPr>
          <w:t>Figure 109: Average annual energy system investment needs in residential sector</w:t>
        </w:r>
        <w:r w:rsidR="00EB75EE">
          <w:rPr>
            <w:noProof/>
            <w:webHidden/>
          </w:rPr>
          <w:tab/>
        </w:r>
        <w:r w:rsidR="00EB75EE">
          <w:rPr>
            <w:noProof/>
            <w:webHidden/>
          </w:rPr>
          <w:fldChar w:fldCharType="begin"/>
        </w:r>
        <w:r w:rsidR="00EB75EE">
          <w:rPr>
            <w:noProof/>
            <w:webHidden/>
          </w:rPr>
          <w:instrText xml:space="preserve"> PAGEREF _Toc157679857 \h </w:instrText>
        </w:r>
        <w:r w:rsidR="00EB75EE">
          <w:rPr>
            <w:noProof/>
            <w:webHidden/>
          </w:rPr>
        </w:r>
        <w:r w:rsidR="00EB75EE">
          <w:rPr>
            <w:noProof/>
            <w:webHidden/>
          </w:rPr>
          <w:fldChar w:fldCharType="separate"/>
        </w:r>
        <w:r w:rsidR="00EB75EE">
          <w:rPr>
            <w:noProof/>
            <w:webHidden/>
          </w:rPr>
          <w:t>171</w:t>
        </w:r>
        <w:r w:rsidR="00EB75EE">
          <w:rPr>
            <w:noProof/>
            <w:webHidden/>
          </w:rPr>
          <w:fldChar w:fldCharType="end"/>
        </w:r>
      </w:hyperlink>
    </w:p>
    <w:p w14:paraId="4EFDCAD6" w14:textId="2AEE27BB"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58" w:history="1">
        <w:r w:rsidR="00EB75EE" w:rsidRPr="00247083">
          <w:rPr>
            <w:rStyle w:val="Hyperlink"/>
            <w:noProof/>
          </w:rPr>
          <w:t>Figure 110: Average annual investment needs in transport</w:t>
        </w:r>
        <w:r w:rsidR="00EB75EE">
          <w:rPr>
            <w:noProof/>
            <w:webHidden/>
          </w:rPr>
          <w:tab/>
        </w:r>
        <w:r w:rsidR="00EB75EE">
          <w:rPr>
            <w:noProof/>
            <w:webHidden/>
          </w:rPr>
          <w:fldChar w:fldCharType="begin"/>
        </w:r>
        <w:r w:rsidR="00EB75EE">
          <w:rPr>
            <w:noProof/>
            <w:webHidden/>
          </w:rPr>
          <w:instrText xml:space="preserve"> PAGEREF _Toc157679858 \h </w:instrText>
        </w:r>
        <w:r w:rsidR="00EB75EE">
          <w:rPr>
            <w:noProof/>
            <w:webHidden/>
          </w:rPr>
        </w:r>
        <w:r w:rsidR="00EB75EE">
          <w:rPr>
            <w:noProof/>
            <w:webHidden/>
          </w:rPr>
          <w:fldChar w:fldCharType="separate"/>
        </w:r>
        <w:r w:rsidR="00EB75EE">
          <w:rPr>
            <w:noProof/>
            <w:webHidden/>
          </w:rPr>
          <w:t>175</w:t>
        </w:r>
        <w:r w:rsidR="00EB75EE">
          <w:rPr>
            <w:noProof/>
            <w:webHidden/>
          </w:rPr>
          <w:fldChar w:fldCharType="end"/>
        </w:r>
      </w:hyperlink>
    </w:p>
    <w:p w14:paraId="795B5598" w14:textId="6AE7A279"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59" w:history="1">
        <w:r w:rsidR="00EB75EE" w:rsidRPr="00247083">
          <w:rPr>
            <w:rStyle w:val="Hyperlink"/>
            <w:noProof/>
          </w:rPr>
          <w:t>Figure 111: Carbon pricing payments</w:t>
        </w:r>
        <w:r w:rsidR="00EB75EE">
          <w:rPr>
            <w:noProof/>
            <w:webHidden/>
          </w:rPr>
          <w:tab/>
        </w:r>
        <w:r w:rsidR="00EB75EE">
          <w:rPr>
            <w:noProof/>
            <w:webHidden/>
          </w:rPr>
          <w:fldChar w:fldCharType="begin"/>
        </w:r>
        <w:r w:rsidR="00EB75EE">
          <w:rPr>
            <w:noProof/>
            <w:webHidden/>
          </w:rPr>
          <w:instrText xml:space="preserve"> PAGEREF _Toc157679859 \h </w:instrText>
        </w:r>
        <w:r w:rsidR="00EB75EE">
          <w:rPr>
            <w:noProof/>
            <w:webHidden/>
          </w:rPr>
        </w:r>
        <w:r w:rsidR="00EB75EE">
          <w:rPr>
            <w:noProof/>
            <w:webHidden/>
          </w:rPr>
          <w:fldChar w:fldCharType="separate"/>
        </w:r>
        <w:r w:rsidR="00EB75EE">
          <w:rPr>
            <w:noProof/>
            <w:webHidden/>
          </w:rPr>
          <w:t>183</w:t>
        </w:r>
        <w:r w:rsidR="00EB75EE">
          <w:rPr>
            <w:noProof/>
            <w:webHidden/>
          </w:rPr>
          <w:fldChar w:fldCharType="end"/>
        </w:r>
      </w:hyperlink>
    </w:p>
    <w:p w14:paraId="3FEFB0F7" w14:textId="0081CB89"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60" w:history="1">
        <w:r w:rsidR="00EB75EE" w:rsidRPr="00247083">
          <w:rPr>
            <w:rStyle w:val="Hyperlink"/>
            <w:noProof/>
          </w:rPr>
          <w:t>Figure 112: Total energy system costs as a percentage of GDP</w:t>
        </w:r>
        <w:r w:rsidR="00EB75EE">
          <w:rPr>
            <w:noProof/>
            <w:webHidden/>
          </w:rPr>
          <w:tab/>
        </w:r>
        <w:r w:rsidR="00EB75EE">
          <w:rPr>
            <w:noProof/>
            <w:webHidden/>
          </w:rPr>
          <w:fldChar w:fldCharType="begin"/>
        </w:r>
        <w:r w:rsidR="00EB75EE">
          <w:rPr>
            <w:noProof/>
            <w:webHidden/>
          </w:rPr>
          <w:instrText xml:space="preserve"> PAGEREF _Toc157679860 \h </w:instrText>
        </w:r>
        <w:r w:rsidR="00EB75EE">
          <w:rPr>
            <w:noProof/>
            <w:webHidden/>
          </w:rPr>
        </w:r>
        <w:r w:rsidR="00EB75EE">
          <w:rPr>
            <w:noProof/>
            <w:webHidden/>
          </w:rPr>
          <w:fldChar w:fldCharType="separate"/>
        </w:r>
        <w:r w:rsidR="00EB75EE">
          <w:rPr>
            <w:noProof/>
            <w:webHidden/>
          </w:rPr>
          <w:t>186</w:t>
        </w:r>
        <w:r w:rsidR="00EB75EE">
          <w:rPr>
            <w:noProof/>
            <w:webHidden/>
          </w:rPr>
          <w:fldChar w:fldCharType="end"/>
        </w:r>
      </w:hyperlink>
    </w:p>
    <w:p w14:paraId="6964BA3C" w14:textId="73F48680"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61" w:history="1">
        <w:r w:rsidR="00EB75EE" w:rsidRPr="00247083">
          <w:rPr>
            <w:rStyle w:val="Hyperlink"/>
            <w:noProof/>
          </w:rPr>
          <w:t>Figure 113</w:t>
        </w:r>
        <w:r w:rsidR="00EB75EE" w:rsidRPr="00247083">
          <w:rPr>
            <w:rStyle w:val="Hyperlink"/>
            <w:bCs/>
            <w:noProof/>
          </w:rPr>
          <w:t>: Consumption of electricity by industry</w:t>
        </w:r>
        <w:r w:rsidR="00EB75EE">
          <w:rPr>
            <w:noProof/>
            <w:webHidden/>
          </w:rPr>
          <w:tab/>
        </w:r>
        <w:r w:rsidR="00EB75EE">
          <w:rPr>
            <w:noProof/>
            <w:webHidden/>
          </w:rPr>
          <w:fldChar w:fldCharType="begin"/>
        </w:r>
        <w:r w:rsidR="00EB75EE">
          <w:rPr>
            <w:noProof/>
            <w:webHidden/>
          </w:rPr>
          <w:instrText xml:space="preserve"> PAGEREF _Toc157679861 \h </w:instrText>
        </w:r>
        <w:r w:rsidR="00EB75EE">
          <w:rPr>
            <w:noProof/>
            <w:webHidden/>
          </w:rPr>
        </w:r>
        <w:r w:rsidR="00EB75EE">
          <w:rPr>
            <w:noProof/>
            <w:webHidden/>
          </w:rPr>
          <w:fldChar w:fldCharType="separate"/>
        </w:r>
        <w:r w:rsidR="00EB75EE">
          <w:rPr>
            <w:noProof/>
            <w:webHidden/>
          </w:rPr>
          <w:t>188</w:t>
        </w:r>
        <w:r w:rsidR="00EB75EE">
          <w:rPr>
            <w:noProof/>
            <w:webHidden/>
          </w:rPr>
          <w:fldChar w:fldCharType="end"/>
        </w:r>
      </w:hyperlink>
    </w:p>
    <w:p w14:paraId="58498D13" w14:textId="73A108FC"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62" w:history="1">
        <w:r w:rsidR="00EB75EE" w:rsidRPr="00247083">
          <w:rPr>
            <w:rStyle w:val="Hyperlink"/>
            <w:noProof/>
          </w:rPr>
          <w:t>Figure 114</w:t>
        </w:r>
        <w:r w:rsidR="00EB75EE" w:rsidRPr="00247083">
          <w:rPr>
            <w:rStyle w:val="Hyperlink"/>
            <w:bCs/>
            <w:noProof/>
          </w:rPr>
          <w:t>: Consumption of gas by industry</w:t>
        </w:r>
        <w:r w:rsidR="00EB75EE">
          <w:rPr>
            <w:noProof/>
            <w:webHidden/>
          </w:rPr>
          <w:tab/>
        </w:r>
        <w:r w:rsidR="00EB75EE">
          <w:rPr>
            <w:noProof/>
            <w:webHidden/>
          </w:rPr>
          <w:fldChar w:fldCharType="begin"/>
        </w:r>
        <w:r w:rsidR="00EB75EE">
          <w:rPr>
            <w:noProof/>
            <w:webHidden/>
          </w:rPr>
          <w:instrText xml:space="preserve"> PAGEREF _Toc157679862 \h </w:instrText>
        </w:r>
        <w:r w:rsidR="00EB75EE">
          <w:rPr>
            <w:noProof/>
            <w:webHidden/>
          </w:rPr>
        </w:r>
        <w:r w:rsidR="00EB75EE">
          <w:rPr>
            <w:noProof/>
            <w:webHidden/>
          </w:rPr>
          <w:fldChar w:fldCharType="separate"/>
        </w:r>
        <w:r w:rsidR="00EB75EE">
          <w:rPr>
            <w:noProof/>
            <w:webHidden/>
          </w:rPr>
          <w:t>189</w:t>
        </w:r>
        <w:r w:rsidR="00EB75EE">
          <w:rPr>
            <w:noProof/>
            <w:webHidden/>
          </w:rPr>
          <w:fldChar w:fldCharType="end"/>
        </w:r>
      </w:hyperlink>
    </w:p>
    <w:p w14:paraId="18B606B8" w14:textId="0E80C7B6"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63" w:history="1">
        <w:r w:rsidR="00EB75EE" w:rsidRPr="00247083">
          <w:rPr>
            <w:rStyle w:val="Hyperlink"/>
            <w:noProof/>
          </w:rPr>
          <w:t>Figure 115: Annual fuel purchasing expenses in buildings per low-income household</w:t>
        </w:r>
        <w:r w:rsidR="00EB75EE">
          <w:rPr>
            <w:noProof/>
            <w:webHidden/>
          </w:rPr>
          <w:tab/>
        </w:r>
        <w:r w:rsidR="00EB75EE">
          <w:rPr>
            <w:noProof/>
            <w:webHidden/>
          </w:rPr>
          <w:fldChar w:fldCharType="begin"/>
        </w:r>
        <w:r w:rsidR="00EB75EE">
          <w:rPr>
            <w:noProof/>
            <w:webHidden/>
          </w:rPr>
          <w:instrText xml:space="preserve"> PAGEREF _Toc157679863 \h </w:instrText>
        </w:r>
        <w:r w:rsidR="00EB75EE">
          <w:rPr>
            <w:noProof/>
            <w:webHidden/>
          </w:rPr>
        </w:r>
        <w:r w:rsidR="00EB75EE">
          <w:rPr>
            <w:noProof/>
            <w:webHidden/>
          </w:rPr>
          <w:fldChar w:fldCharType="separate"/>
        </w:r>
        <w:r w:rsidR="00EB75EE">
          <w:rPr>
            <w:noProof/>
            <w:webHidden/>
          </w:rPr>
          <w:t>200</w:t>
        </w:r>
        <w:r w:rsidR="00EB75EE">
          <w:rPr>
            <w:noProof/>
            <w:webHidden/>
          </w:rPr>
          <w:fldChar w:fldCharType="end"/>
        </w:r>
      </w:hyperlink>
    </w:p>
    <w:p w14:paraId="1A2C7B24" w14:textId="11F8196D"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64" w:history="1">
        <w:r w:rsidR="00EB75EE" w:rsidRPr="00247083">
          <w:rPr>
            <w:rStyle w:val="Hyperlink"/>
            <w:noProof/>
          </w:rPr>
          <w:t>Figure 116: Annual fuel purchasing expenses in buildings in S2</w:t>
        </w:r>
        <w:r w:rsidR="00EB75EE">
          <w:rPr>
            <w:noProof/>
            <w:webHidden/>
          </w:rPr>
          <w:tab/>
        </w:r>
        <w:r w:rsidR="00EB75EE">
          <w:rPr>
            <w:noProof/>
            <w:webHidden/>
          </w:rPr>
          <w:fldChar w:fldCharType="begin"/>
        </w:r>
        <w:r w:rsidR="00EB75EE">
          <w:rPr>
            <w:noProof/>
            <w:webHidden/>
          </w:rPr>
          <w:instrText xml:space="preserve"> PAGEREF _Toc157679864 \h </w:instrText>
        </w:r>
        <w:r w:rsidR="00EB75EE">
          <w:rPr>
            <w:noProof/>
            <w:webHidden/>
          </w:rPr>
        </w:r>
        <w:r w:rsidR="00EB75EE">
          <w:rPr>
            <w:noProof/>
            <w:webHidden/>
          </w:rPr>
          <w:fldChar w:fldCharType="separate"/>
        </w:r>
        <w:r w:rsidR="00EB75EE">
          <w:rPr>
            <w:noProof/>
            <w:webHidden/>
          </w:rPr>
          <w:t>201</w:t>
        </w:r>
        <w:r w:rsidR="00EB75EE">
          <w:rPr>
            <w:noProof/>
            <w:webHidden/>
          </w:rPr>
          <w:fldChar w:fldCharType="end"/>
        </w:r>
      </w:hyperlink>
    </w:p>
    <w:p w14:paraId="377CD3B1" w14:textId="7184F0CC"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65" w:history="1">
        <w:r w:rsidR="00EB75EE" w:rsidRPr="00247083">
          <w:rPr>
            <w:rStyle w:val="Hyperlink"/>
            <w:noProof/>
          </w:rPr>
          <w:t>Figure 117: Annual expenditures for private vehicles per household</w:t>
        </w:r>
        <w:r w:rsidR="00EB75EE">
          <w:rPr>
            <w:noProof/>
            <w:webHidden/>
          </w:rPr>
          <w:tab/>
        </w:r>
        <w:r w:rsidR="00EB75EE">
          <w:rPr>
            <w:noProof/>
            <w:webHidden/>
          </w:rPr>
          <w:fldChar w:fldCharType="begin"/>
        </w:r>
        <w:r w:rsidR="00EB75EE">
          <w:rPr>
            <w:noProof/>
            <w:webHidden/>
          </w:rPr>
          <w:instrText xml:space="preserve"> PAGEREF _Toc157679865 \h </w:instrText>
        </w:r>
        <w:r w:rsidR="00EB75EE">
          <w:rPr>
            <w:noProof/>
            <w:webHidden/>
          </w:rPr>
        </w:r>
        <w:r w:rsidR="00EB75EE">
          <w:rPr>
            <w:noProof/>
            <w:webHidden/>
          </w:rPr>
          <w:fldChar w:fldCharType="separate"/>
        </w:r>
        <w:r w:rsidR="00EB75EE">
          <w:rPr>
            <w:noProof/>
            <w:webHidden/>
          </w:rPr>
          <w:t>202</w:t>
        </w:r>
        <w:r w:rsidR="00EB75EE">
          <w:rPr>
            <w:noProof/>
            <w:webHidden/>
          </w:rPr>
          <w:fldChar w:fldCharType="end"/>
        </w:r>
      </w:hyperlink>
    </w:p>
    <w:p w14:paraId="4AD20F4F" w14:textId="6381F011"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66" w:history="1">
        <w:r w:rsidR="00EB75EE" w:rsidRPr="00247083">
          <w:rPr>
            <w:rStyle w:val="Hyperlink"/>
            <w:noProof/>
          </w:rPr>
          <w:t>Figure 118: Annual expenditures for transport-related energy purchases per household</w:t>
        </w:r>
        <w:r w:rsidR="00EB75EE">
          <w:rPr>
            <w:noProof/>
            <w:webHidden/>
          </w:rPr>
          <w:tab/>
        </w:r>
        <w:r w:rsidR="00EB75EE">
          <w:rPr>
            <w:noProof/>
            <w:webHidden/>
          </w:rPr>
          <w:fldChar w:fldCharType="begin"/>
        </w:r>
        <w:r w:rsidR="00EB75EE">
          <w:rPr>
            <w:noProof/>
            <w:webHidden/>
          </w:rPr>
          <w:instrText xml:space="preserve"> PAGEREF _Toc157679866 \h </w:instrText>
        </w:r>
        <w:r w:rsidR="00EB75EE">
          <w:rPr>
            <w:noProof/>
            <w:webHidden/>
          </w:rPr>
        </w:r>
        <w:r w:rsidR="00EB75EE">
          <w:rPr>
            <w:noProof/>
            <w:webHidden/>
          </w:rPr>
          <w:fldChar w:fldCharType="separate"/>
        </w:r>
        <w:r w:rsidR="00EB75EE">
          <w:rPr>
            <w:noProof/>
            <w:webHidden/>
          </w:rPr>
          <w:t>202</w:t>
        </w:r>
        <w:r w:rsidR="00EB75EE">
          <w:rPr>
            <w:noProof/>
            <w:webHidden/>
          </w:rPr>
          <w:fldChar w:fldCharType="end"/>
        </w:r>
      </w:hyperlink>
    </w:p>
    <w:p w14:paraId="77A213A6" w14:textId="7E6C50ED"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67" w:history="1">
        <w:r w:rsidR="00EB75EE" w:rsidRPr="00247083">
          <w:rPr>
            <w:rStyle w:val="Hyperlink"/>
            <w:noProof/>
          </w:rPr>
          <w:t>Figure 119: Annual expenditures for transport services per household</w:t>
        </w:r>
        <w:r w:rsidR="00EB75EE">
          <w:rPr>
            <w:noProof/>
            <w:webHidden/>
          </w:rPr>
          <w:tab/>
        </w:r>
        <w:r w:rsidR="00EB75EE">
          <w:rPr>
            <w:noProof/>
            <w:webHidden/>
          </w:rPr>
          <w:fldChar w:fldCharType="begin"/>
        </w:r>
        <w:r w:rsidR="00EB75EE">
          <w:rPr>
            <w:noProof/>
            <w:webHidden/>
          </w:rPr>
          <w:instrText xml:space="preserve"> PAGEREF _Toc157679867 \h </w:instrText>
        </w:r>
        <w:r w:rsidR="00EB75EE">
          <w:rPr>
            <w:noProof/>
            <w:webHidden/>
          </w:rPr>
        </w:r>
        <w:r w:rsidR="00EB75EE">
          <w:rPr>
            <w:noProof/>
            <w:webHidden/>
          </w:rPr>
          <w:fldChar w:fldCharType="separate"/>
        </w:r>
        <w:r w:rsidR="00EB75EE">
          <w:rPr>
            <w:noProof/>
            <w:webHidden/>
          </w:rPr>
          <w:t>203</w:t>
        </w:r>
        <w:r w:rsidR="00EB75EE">
          <w:rPr>
            <w:noProof/>
            <w:webHidden/>
          </w:rPr>
          <w:fldChar w:fldCharType="end"/>
        </w:r>
      </w:hyperlink>
    </w:p>
    <w:p w14:paraId="1FD8D239" w14:textId="49380B90"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68" w:history="1">
        <w:r w:rsidR="00EB75EE" w:rsidRPr="00247083">
          <w:rPr>
            <w:rStyle w:val="Hyperlink"/>
            <w:noProof/>
          </w:rPr>
          <w:t>Figure 120: Historical and projected shares of employment by occupations in 2040 (% of total)</w:t>
        </w:r>
        <w:r w:rsidR="00EB75EE">
          <w:rPr>
            <w:noProof/>
            <w:webHidden/>
          </w:rPr>
          <w:tab/>
        </w:r>
        <w:r w:rsidR="00EB75EE">
          <w:rPr>
            <w:noProof/>
            <w:webHidden/>
          </w:rPr>
          <w:fldChar w:fldCharType="begin"/>
        </w:r>
        <w:r w:rsidR="00EB75EE">
          <w:rPr>
            <w:noProof/>
            <w:webHidden/>
          </w:rPr>
          <w:instrText xml:space="preserve"> PAGEREF _Toc157679868 \h </w:instrText>
        </w:r>
        <w:r w:rsidR="00EB75EE">
          <w:rPr>
            <w:noProof/>
            <w:webHidden/>
          </w:rPr>
        </w:r>
        <w:r w:rsidR="00EB75EE">
          <w:rPr>
            <w:noProof/>
            <w:webHidden/>
          </w:rPr>
          <w:fldChar w:fldCharType="separate"/>
        </w:r>
        <w:r w:rsidR="00EB75EE">
          <w:rPr>
            <w:noProof/>
            <w:webHidden/>
          </w:rPr>
          <w:t>209</w:t>
        </w:r>
        <w:r w:rsidR="00EB75EE">
          <w:rPr>
            <w:noProof/>
            <w:webHidden/>
          </w:rPr>
          <w:fldChar w:fldCharType="end"/>
        </w:r>
      </w:hyperlink>
    </w:p>
    <w:p w14:paraId="5C05A58E" w14:textId="4EEBF1E6"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69" w:history="1">
        <w:r w:rsidR="00EB75EE" w:rsidRPr="00247083">
          <w:rPr>
            <w:rStyle w:val="Hyperlink"/>
            <w:noProof/>
          </w:rPr>
          <w:t>Figure 121: EU household mean budget shares by expenditure decile, 2015 (%)</w:t>
        </w:r>
        <w:r w:rsidR="00EB75EE">
          <w:rPr>
            <w:noProof/>
            <w:webHidden/>
          </w:rPr>
          <w:tab/>
        </w:r>
        <w:r w:rsidR="00EB75EE">
          <w:rPr>
            <w:noProof/>
            <w:webHidden/>
          </w:rPr>
          <w:fldChar w:fldCharType="begin"/>
        </w:r>
        <w:r w:rsidR="00EB75EE">
          <w:rPr>
            <w:noProof/>
            <w:webHidden/>
          </w:rPr>
          <w:instrText xml:space="preserve"> PAGEREF _Toc157679869 \h </w:instrText>
        </w:r>
        <w:r w:rsidR="00EB75EE">
          <w:rPr>
            <w:noProof/>
            <w:webHidden/>
          </w:rPr>
        </w:r>
        <w:r w:rsidR="00EB75EE">
          <w:rPr>
            <w:noProof/>
            <w:webHidden/>
          </w:rPr>
          <w:fldChar w:fldCharType="separate"/>
        </w:r>
        <w:r w:rsidR="00EB75EE">
          <w:rPr>
            <w:noProof/>
            <w:webHidden/>
          </w:rPr>
          <w:t>214</w:t>
        </w:r>
        <w:r w:rsidR="00EB75EE">
          <w:rPr>
            <w:noProof/>
            <w:webHidden/>
          </w:rPr>
          <w:fldChar w:fldCharType="end"/>
        </w:r>
      </w:hyperlink>
    </w:p>
    <w:p w14:paraId="5FAD120C" w14:textId="3841E62B"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70" w:history="1">
        <w:r w:rsidR="00EB75EE" w:rsidRPr="00247083">
          <w:rPr>
            <w:rStyle w:val="Hyperlink"/>
            <w:noProof/>
          </w:rPr>
          <w:t>Figure 122: Change in relative welfare by expenditure decile, S2</w:t>
        </w:r>
        <w:r w:rsidR="00EB75EE">
          <w:rPr>
            <w:noProof/>
            <w:webHidden/>
          </w:rPr>
          <w:tab/>
        </w:r>
        <w:r w:rsidR="00EB75EE">
          <w:rPr>
            <w:noProof/>
            <w:webHidden/>
          </w:rPr>
          <w:fldChar w:fldCharType="begin"/>
        </w:r>
        <w:r w:rsidR="00EB75EE">
          <w:rPr>
            <w:noProof/>
            <w:webHidden/>
          </w:rPr>
          <w:instrText xml:space="preserve"> PAGEREF _Toc157679870 \h </w:instrText>
        </w:r>
        <w:r w:rsidR="00EB75EE">
          <w:rPr>
            <w:noProof/>
            <w:webHidden/>
          </w:rPr>
        </w:r>
        <w:r w:rsidR="00EB75EE">
          <w:rPr>
            <w:noProof/>
            <w:webHidden/>
          </w:rPr>
          <w:fldChar w:fldCharType="separate"/>
        </w:r>
        <w:r w:rsidR="00EB75EE">
          <w:rPr>
            <w:noProof/>
            <w:webHidden/>
          </w:rPr>
          <w:t>216</w:t>
        </w:r>
        <w:r w:rsidR="00EB75EE">
          <w:rPr>
            <w:noProof/>
            <w:webHidden/>
          </w:rPr>
          <w:fldChar w:fldCharType="end"/>
        </w:r>
      </w:hyperlink>
    </w:p>
    <w:p w14:paraId="0D9A51EB" w14:textId="381B9266"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71" w:history="1">
        <w:r w:rsidR="00EB75EE" w:rsidRPr="00247083">
          <w:rPr>
            <w:rStyle w:val="Hyperlink"/>
            <w:noProof/>
          </w:rPr>
          <w:t>Figure 123: Change in relative welfare by expenditure decile, S3</w:t>
        </w:r>
        <w:r w:rsidR="00EB75EE">
          <w:rPr>
            <w:noProof/>
            <w:webHidden/>
          </w:rPr>
          <w:tab/>
        </w:r>
        <w:r w:rsidR="00EB75EE">
          <w:rPr>
            <w:noProof/>
            <w:webHidden/>
          </w:rPr>
          <w:fldChar w:fldCharType="begin"/>
        </w:r>
        <w:r w:rsidR="00EB75EE">
          <w:rPr>
            <w:noProof/>
            <w:webHidden/>
          </w:rPr>
          <w:instrText xml:space="preserve"> PAGEREF _Toc157679871 \h </w:instrText>
        </w:r>
        <w:r w:rsidR="00EB75EE">
          <w:rPr>
            <w:noProof/>
            <w:webHidden/>
          </w:rPr>
        </w:r>
        <w:r w:rsidR="00EB75EE">
          <w:rPr>
            <w:noProof/>
            <w:webHidden/>
          </w:rPr>
          <w:fldChar w:fldCharType="separate"/>
        </w:r>
        <w:r w:rsidR="00EB75EE">
          <w:rPr>
            <w:noProof/>
            <w:webHidden/>
          </w:rPr>
          <w:t>216</w:t>
        </w:r>
        <w:r w:rsidR="00EB75EE">
          <w:rPr>
            <w:noProof/>
            <w:webHidden/>
          </w:rPr>
          <w:fldChar w:fldCharType="end"/>
        </w:r>
      </w:hyperlink>
    </w:p>
    <w:p w14:paraId="74456C00" w14:textId="37859202"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72" w:history="1">
        <w:r w:rsidR="00EB75EE" w:rsidRPr="00247083">
          <w:rPr>
            <w:rStyle w:val="Hyperlink"/>
            <w:noProof/>
          </w:rPr>
          <w:t>Figure 124: Household GHG emissions per income category</w:t>
        </w:r>
        <w:r w:rsidR="00EB75EE">
          <w:rPr>
            <w:noProof/>
            <w:webHidden/>
          </w:rPr>
          <w:tab/>
        </w:r>
        <w:r w:rsidR="00EB75EE">
          <w:rPr>
            <w:noProof/>
            <w:webHidden/>
          </w:rPr>
          <w:fldChar w:fldCharType="begin"/>
        </w:r>
        <w:r w:rsidR="00EB75EE">
          <w:rPr>
            <w:noProof/>
            <w:webHidden/>
          </w:rPr>
          <w:instrText xml:space="preserve"> PAGEREF _Toc157679872 \h </w:instrText>
        </w:r>
        <w:r w:rsidR="00EB75EE">
          <w:rPr>
            <w:noProof/>
            <w:webHidden/>
          </w:rPr>
        </w:r>
        <w:r w:rsidR="00EB75EE">
          <w:rPr>
            <w:noProof/>
            <w:webHidden/>
          </w:rPr>
          <w:fldChar w:fldCharType="separate"/>
        </w:r>
        <w:r w:rsidR="00EB75EE">
          <w:rPr>
            <w:noProof/>
            <w:webHidden/>
          </w:rPr>
          <w:t>217</w:t>
        </w:r>
        <w:r w:rsidR="00EB75EE">
          <w:rPr>
            <w:noProof/>
            <w:webHidden/>
          </w:rPr>
          <w:fldChar w:fldCharType="end"/>
        </w:r>
      </w:hyperlink>
    </w:p>
    <w:p w14:paraId="264D2EB8" w14:textId="6E7B3018"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73" w:history="1">
        <w:r w:rsidR="00EB75EE" w:rsidRPr="00247083">
          <w:rPr>
            <w:rStyle w:val="Hyperlink"/>
            <w:noProof/>
          </w:rPr>
          <w:t>Figure 125:  Total emissions at regional level (left) and corresponding change since 1990 (right)</w:t>
        </w:r>
        <w:r w:rsidR="00EB75EE">
          <w:rPr>
            <w:noProof/>
            <w:webHidden/>
          </w:rPr>
          <w:tab/>
        </w:r>
        <w:r w:rsidR="00EB75EE">
          <w:rPr>
            <w:noProof/>
            <w:webHidden/>
          </w:rPr>
          <w:fldChar w:fldCharType="begin"/>
        </w:r>
        <w:r w:rsidR="00EB75EE">
          <w:rPr>
            <w:noProof/>
            <w:webHidden/>
          </w:rPr>
          <w:instrText xml:space="preserve"> PAGEREF _Toc157679873 \h </w:instrText>
        </w:r>
        <w:r w:rsidR="00EB75EE">
          <w:rPr>
            <w:noProof/>
            <w:webHidden/>
          </w:rPr>
        </w:r>
        <w:r w:rsidR="00EB75EE">
          <w:rPr>
            <w:noProof/>
            <w:webHidden/>
          </w:rPr>
          <w:fldChar w:fldCharType="separate"/>
        </w:r>
        <w:r w:rsidR="00EB75EE">
          <w:rPr>
            <w:noProof/>
            <w:webHidden/>
          </w:rPr>
          <w:t>218</w:t>
        </w:r>
        <w:r w:rsidR="00EB75EE">
          <w:rPr>
            <w:noProof/>
            <w:webHidden/>
          </w:rPr>
          <w:fldChar w:fldCharType="end"/>
        </w:r>
      </w:hyperlink>
    </w:p>
    <w:p w14:paraId="7A05FFEA" w14:textId="1519F2FD"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74" w:history="1">
        <w:r w:rsidR="00EB75EE" w:rsidRPr="00247083">
          <w:rPr>
            <w:rStyle w:val="Hyperlink"/>
            <w:noProof/>
          </w:rPr>
          <w:t>Figure 126: GHG emissions per capita in 2021 and change in GHG emissions per capita between 1990 and 2021</w:t>
        </w:r>
        <w:r w:rsidR="00EB75EE">
          <w:rPr>
            <w:noProof/>
            <w:webHidden/>
          </w:rPr>
          <w:tab/>
        </w:r>
        <w:r w:rsidR="00EB75EE">
          <w:rPr>
            <w:noProof/>
            <w:webHidden/>
          </w:rPr>
          <w:fldChar w:fldCharType="begin"/>
        </w:r>
        <w:r w:rsidR="00EB75EE">
          <w:rPr>
            <w:noProof/>
            <w:webHidden/>
          </w:rPr>
          <w:instrText xml:space="preserve"> PAGEREF _Toc157679874 \h </w:instrText>
        </w:r>
        <w:r w:rsidR="00EB75EE">
          <w:rPr>
            <w:noProof/>
            <w:webHidden/>
          </w:rPr>
        </w:r>
        <w:r w:rsidR="00EB75EE">
          <w:rPr>
            <w:noProof/>
            <w:webHidden/>
          </w:rPr>
          <w:fldChar w:fldCharType="separate"/>
        </w:r>
        <w:r w:rsidR="00EB75EE">
          <w:rPr>
            <w:noProof/>
            <w:webHidden/>
          </w:rPr>
          <w:t>219</w:t>
        </w:r>
        <w:r w:rsidR="00EB75EE">
          <w:rPr>
            <w:noProof/>
            <w:webHidden/>
          </w:rPr>
          <w:fldChar w:fldCharType="end"/>
        </w:r>
      </w:hyperlink>
    </w:p>
    <w:p w14:paraId="5337A141" w14:textId="63A7BFB3"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75" w:history="1">
        <w:r w:rsidR="00EB75EE" w:rsidRPr="00247083">
          <w:rPr>
            <w:rStyle w:val="Hyperlink"/>
            <w:noProof/>
          </w:rPr>
          <w:t>Figure 127:Emission intensity (left) and corresponding change since 1990 (right)</w:t>
        </w:r>
        <w:r w:rsidR="00EB75EE">
          <w:rPr>
            <w:noProof/>
            <w:webHidden/>
          </w:rPr>
          <w:tab/>
        </w:r>
        <w:r w:rsidR="00EB75EE">
          <w:rPr>
            <w:noProof/>
            <w:webHidden/>
          </w:rPr>
          <w:fldChar w:fldCharType="begin"/>
        </w:r>
        <w:r w:rsidR="00EB75EE">
          <w:rPr>
            <w:noProof/>
            <w:webHidden/>
          </w:rPr>
          <w:instrText xml:space="preserve"> PAGEREF _Toc157679875 \h </w:instrText>
        </w:r>
        <w:r w:rsidR="00EB75EE">
          <w:rPr>
            <w:noProof/>
            <w:webHidden/>
          </w:rPr>
        </w:r>
        <w:r w:rsidR="00EB75EE">
          <w:rPr>
            <w:noProof/>
            <w:webHidden/>
          </w:rPr>
          <w:fldChar w:fldCharType="separate"/>
        </w:r>
        <w:r w:rsidR="00EB75EE">
          <w:rPr>
            <w:noProof/>
            <w:webHidden/>
          </w:rPr>
          <w:t>221</w:t>
        </w:r>
        <w:r w:rsidR="00EB75EE">
          <w:rPr>
            <w:noProof/>
            <w:webHidden/>
          </w:rPr>
          <w:fldChar w:fldCharType="end"/>
        </w:r>
      </w:hyperlink>
    </w:p>
    <w:p w14:paraId="18320E29" w14:textId="1061D69F"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76" w:history="1">
        <w:r w:rsidR="00EB75EE" w:rsidRPr="00247083">
          <w:rPr>
            <w:rStyle w:val="Hyperlink"/>
            <w:noProof/>
          </w:rPr>
          <w:t>Figure 128: Greenhouse gas emissions by sector in the EU27 and sector with the highest contribution at the regional level in 2021</w:t>
        </w:r>
        <w:r w:rsidR="00EB75EE">
          <w:rPr>
            <w:noProof/>
            <w:webHidden/>
          </w:rPr>
          <w:tab/>
        </w:r>
        <w:r w:rsidR="00EB75EE">
          <w:rPr>
            <w:noProof/>
            <w:webHidden/>
          </w:rPr>
          <w:fldChar w:fldCharType="begin"/>
        </w:r>
        <w:r w:rsidR="00EB75EE">
          <w:rPr>
            <w:noProof/>
            <w:webHidden/>
          </w:rPr>
          <w:instrText xml:space="preserve"> PAGEREF _Toc157679876 \h </w:instrText>
        </w:r>
        <w:r w:rsidR="00EB75EE">
          <w:rPr>
            <w:noProof/>
            <w:webHidden/>
          </w:rPr>
        </w:r>
        <w:r w:rsidR="00EB75EE">
          <w:rPr>
            <w:noProof/>
            <w:webHidden/>
          </w:rPr>
          <w:fldChar w:fldCharType="separate"/>
        </w:r>
        <w:r w:rsidR="00EB75EE">
          <w:rPr>
            <w:noProof/>
            <w:webHidden/>
          </w:rPr>
          <w:t>221</w:t>
        </w:r>
        <w:r w:rsidR="00EB75EE">
          <w:rPr>
            <w:noProof/>
            <w:webHidden/>
          </w:rPr>
          <w:fldChar w:fldCharType="end"/>
        </w:r>
      </w:hyperlink>
    </w:p>
    <w:p w14:paraId="535602AD" w14:textId="48435DD4"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77" w:history="1">
        <w:r w:rsidR="00EB75EE" w:rsidRPr="00247083">
          <w:rPr>
            <w:rStyle w:val="Hyperlink"/>
            <w:noProof/>
          </w:rPr>
          <w:t>Figure 129: Share of employment in sectors most negatively impacted</w:t>
        </w:r>
        <w:r w:rsidR="00EB75EE">
          <w:rPr>
            <w:noProof/>
            <w:webHidden/>
          </w:rPr>
          <w:tab/>
        </w:r>
        <w:r w:rsidR="00EB75EE">
          <w:rPr>
            <w:noProof/>
            <w:webHidden/>
          </w:rPr>
          <w:fldChar w:fldCharType="begin"/>
        </w:r>
        <w:r w:rsidR="00EB75EE">
          <w:rPr>
            <w:noProof/>
            <w:webHidden/>
          </w:rPr>
          <w:instrText xml:space="preserve"> PAGEREF _Toc157679877 \h </w:instrText>
        </w:r>
        <w:r w:rsidR="00EB75EE">
          <w:rPr>
            <w:noProof/>
            <w:webHidden/>
          </w:rPr>
        </w:r>
        <w:r w:rsidR="00EB75EE">
          <w:rPr>
            <w:noProof/>
            <w:webHidden/>
          </w:rPr>
          <w:fldChar w:fldCharType="separate"/>
        </w:r>
        <w:r w:rsidR="00EB75EE">
          <w:rPr>
            <w:noProof/>
            <w:webHidden/>
          </w:rPr>
          <w:t>226</w:t>
        </w:r>
        <w:r w:rsidR="00EB75EE">
          <w:rPr>
            <w:noProof/>
            <w:webHidden/>
          </w:rPr>
          <w:fldChar w:fldCharType="end"/>
        </w:r>
      </w:hyperlink>
    </w:p>
    <w:p w14:paraId="25B18123" w14:textId="1432891A"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78" w:history="1">
        <w:r w:rsidR="00EB75EE" w:rsidRPr="00247083">
          <w:rPr>
            <w:rStyle w:val="Hyperlink"/>
            <w:noProof/>
          </w:rPr>
          <w:t>Figure 130: Untapped potential for electricity production from solar and wind in 2019 (left) and present-day annual hydrogen production (right) in EU regions.</w:t>
        </w:r>
        <w:r w:rsidR="00EB75EE">
          <w:rPr>
            <w:noProof/>
            <w:webHidden/>
          </w:rPr>
          <w:tab/>
        </w:r>
        <w:r w:rsidR="00EB75EE">
          <w:rPr>
            <w:noProof/>
            <w:webHidden/>
          </w:rPr>
          <w:fldChar w:fldCharType="begin"/>
        </w:r>
        <w:r w:rsidR="00EB75EE">
          <w:rPr>
            <w:noProof/>
            <w:webHidden/>
          </w:rPr>
          <w:instrText xml:space="preserve"> PAGEREF _Toc157679878 \h </w:instrText>
        </w:r>
        <w:r w:rsidR="00EB75EE">
          <w:rPr>
            <w:noProof/>
            <w:webHidden/>
          </w:rPr>
        </w:r>
        <w:r w:rsidR="00EB75EE">
          <w:rPr>
            <w:noProof/>
            <w:webHidden/>
          </w:rPr>
          <w:fldChar w:fldCharType="separate"/>
        </w:r>
        <w:r w:rsidR="00EB75EE">
          <w:rPr>
            <w:noProof/>
            <w:webHidden/>
          </w:rPr>
          <w:t>227</w:t>
        </w:r>
        <w:r w:rsidR="00EB75EE">
          <w:rPr>
            <w:noProof/>
            <w:webHidden/>
          </w:rPr>
          <w:fldChar w:fldCharType="end"/>
        </w:r>
      </w:hyperlink>
    </w:p>
    <w:p w14:paraId="25B3F0D6" w14:textId="348D7961"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79" w:history="1">
        <w:r w:rsidR="00EB75EE" w:rsidRPr="00247083">
          <w:rPr>
            <w:rStyle w:val="Hyperlink"/>
            <w:noProof/>
          </w:rPr>
          <w:t>Figure 131: Potential contribution of the various economic sectors to the EU emission reductions</w:t>
        </w:r>
        <w:r w:rsidR="00EB75EE">
          <w:rPr>
            <w:noProof/>
            <w:webHidden/>
          </w:rPr>
          <w:tab/>
        </w:r>
        <w:r w:rsidR="00EB75EE">
          <w:rPr>
            <w:noProof/>
            <w:webHidden/>
          </w:rPr>
          <w:fldChar w:fldCharType="begin"/>
        </w:r>
        <w:r w:rsidR="00EB75EE">
          <w:rPr>
            <w:noProof/>
            <w:webHidden/>
          </w:rPr>
          <w:instrText xml:space="preserve"> PAGEREF _Toc157679879 \h </w:instrText>
        </w:r>
        <w:r w:rsidR="00EB75EE">
          <w:rPr>
            <w:noProof/>
            <w:webHidden/>
          </w:rPr>
        </w:r>
        <w:r w:rsidR="00EB75EE">
          <w:rPr>
            <w:noProof/>
            <w:webHidden/>
          </w:rPr>
          <w:fldChar w:fldCharType="separate"/>
        </w:r>
        <w:r w:rsidR="00EB75EE">
          <w:rPr>
            <w:noProof/>
            <w:webHidden/>
          </w:rPr>
          <w:t>228</w:t>
        </w:r>
        <w:r w:rsidR="00EB75EE">
          <w:rPr>
            <w:noProof/>
            <w:webHidden/>
          </w:rPr>
          <w:fldChar w:fldCharType="end"/>
        </w:r>
      </w:hyperlink>
    </w:p>
    <w:p w14:paraId="032B0269" w14:textId="2F86CD81"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80" w:history="1">
        <w:r w:rsidR="00EB75EE" w:rsidRPr="00247083">
          <w:rPr>
            <w:rStyle w:val="Hyperlink"/>
            <w:noProof/>
          </w:rPr>
          <w:t>Figure 132: Regional readiness for the green transition and correlation with growth potential</w:t>
        </w:r>
        <w:r w:rsidR="00EB75EE">
          <w:rPr>
            <w:noProof/>
            <w:webHidden/>
          </w:rPr>
          <w:tab/>
        </w:r>
        <w:r w:rsidR="00EB75EE">
          <w:rPr>
            <w:noProof/>
            <w:webHidden/>
          </w:rPr>
          <w:fldChar w:fldCharType="begin"/>
        </w:r>
        <w:r w:rsidR="00EB75EE">
          <w:rPr>
            <w:noProof/>
            <w:webHidden/>
          </w:rPr>
          <w:instrText xml:space="preserve"> PAGEREF _Toc157679880 \h </w:instrText>
        </w:r>
        <w:r w:rsidR="00EB75EE">
          <w:rPr>
            <w:noProof/>
            <w:webHidden/>
          </w:rPr>
        </w:r>
        <w:r w:rsidR="00EB75EE">
          <w:rPr>
            <w:noProof/>
            <w:webHidden/>
          </w:rPr>
          <w:fldChar w:fldCharType="separate"/>
        </w:r>
        <w:r w:rsidR="00EB75EE">
          <w:rPr>
            <w:noProof/>
            <w:webHidden/>
          </w:rPr>
          <w:t>229</w:t>
        </w:r>
        <w:r w:rsidR="00EB75EE">
          <w:rPr>
            <w:noProof/>
            <w:webHidden/>
          </w:rPr>
          <w:fldChar w:fldCharType="end"/>
        </w:r>
      </w:hyperlink>
    </w:p>
    <w:p w14:paraId="24082042" w14:textId="6BCC590D"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81" w:history="1">
        <w:r w:rsidR="00EB75EE" w:rsidRPr="00247083">
          <w:rPr>
            <w:rStyle w:val="Hyperlink"/>
            <w:noProof/>
            <w:lang w:val="fr-BE"/>
          </w:rPr>
          <w:t>Figure 133: Net fossil fuel imports, 2000-2022</w:t>
        </w:r>
        <w:r w:rsidR="00EB75EE">
          <w:rPr>
            <w:noProof/>
            <w:webHidden/>
          </w:rPr>
          <w:tab/>
        </w:r>
        <w:r w:rsidR="00EB75EE">
          <w:rPr>
            <w:noProof/>
            <w:webHidden/>
          </w:rPr>
          <w:fldChar w:fldCharType="begin"/>
        </w:r>
        <w:r w:rsidR="00EB75EE">
          <w:rPr>
            <w:noProof/>
            <w:webHidden/>
          </w:rPr>
          <w:instrText xml:space="preserve"> PAGEREF _Toc157679881 \h </w:instrText>
        </w:r>
        <w:r w:rsidR="00EB75EE">
          <w:rPr>
            <w:noProof/>
            <w:webHidden/>
          </w:rPr>
        </w:r>
        <w:r w:rsidR="00EB75EE">
          <w:rPr>
            <w:noProof/>
            <w:webHidden/>
          </w:rPr>
          <w:fldChar w:fldCharType="separate"/>
        </w:r>
        <w:r w:rsidR="00EB75EE">
          <w:rPr>
            <w:noProof/>
            <w:webHidden/>
          </w:rPr>
          <w:t>230</w:t>
        </w:r>
        <w:r w:rsidR="00EB75EE">
          <w:rPr>
            <w:noProof/>
            <w:webHidden/>
          </w:rPr>
          <w:fldChar w:fldCharType="end"/>
        </w:r>
      </w:hyperlink>
    </w:p>
    <w:p w14:paraId="66CA3A99" w14:textId="6C3048CC"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82" w:history="1">
        <w:r w:rsidR="00EB75EE" w:rsidRPr="00247083">
          <w:rPr>
            <w:rStyle w:val="Hyperlink"/>
            <w:noProof/>
            <w:lang w:val="fr-FR"/>
          </w:rPr>
          <w:t>Figure 134: Annual fossil fuels imports</w:t>
        </w:r>
        <w:r w:rsidR="00EB75EE">
          <w:rPr>
            <w:noProof/>
            <w:webHidden/>
          </w:rPr>
          <w:tab/>
        </w:r>
        <w:r w:rsidR="00EB75EE">
          <w:rPr>
            <w:noProof/>
            <w:webHidden/>
          </w:rPr>
          <w:fldChar w:fldCharType="begin"/>
        </w:r>
        <w:r w:rsidR="00EB75EE">
          <w:rPr>
            <w:noProof/>
            <w:webHidden/>
          </w:rPr>
          <w:instrText xml:space="preserve"> PAGEREF _Toc157679882 \h </w:instrText>
        </w:r>
        <w:r w:rsidR="00EB75EE">
          <w:rPr>
            <w:noProof/>
            <w:webHidden/>
          </w:rPr>
        </w:r>
        <w:r w:rsidR="00EB75EE">
          <w:rPr>
            <w:noProof/>
            <w:webHidden/>
          </w:rPr>
          <w:fldChar w:fldCharType="separate"/>
        </w:r>
        <w:r w:rsidR="00EB75EE">
          <w:rPr>
            <w:noProof/>
            <w:webHidden/>
          </w:rPr>
          <w:t>231</w:t>
        </w:r>
        <w:r w:rsidR="00EB75EE">
          <w:rPr>
            <w:noProof/>
            <w:webHidden/>
          </w:rPr>
          <w:fldChar w:fldCharType="end"/>
        </w:r>
      </w:hyperlink>
    </w:p>
    <w:p w14:paraId="77370061" w14:textId="760D6D1E" w:rsidR="00EB75E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83" w:history="1">
        <w:r w:rsidR="00EB75EE" w:rsidRPr="00247083">
          <w:rPr>
            <w:rStyle w:val="Hyperlink"/>
            <w:noProof/>
          </w:rPr>
          <w:t>Figure 135: Monthly fossil fuel prices (US$, 1960-October 2023)</w:t>
        </w:r>
        <w:r w:rsidR="00EB75EE">
          <w:rPr>
            <w:noProof/>
            <w:webHidden/>
          </w:rPr>
          <w:tab/>
        </w:r>
        <w:r w:rsidR="00EB75EE">
          <w:rPr>
            <w:noProof/>
            <w:webHidden/>
          </w:rPr>
          <w:fldChar w:fldCharType="begin"/>
        </w:r>
        <w:r w:rsidR="00EB75EE">
          <w:rPr>
            <w:noProof/>
            <w:webHidden/>
          </w:rPr>
          <w:instrText xml:space="preserve"> PAGEREF _Toc157679883 \h </w:instrText>
        </w:r>
        <w:r w:rsidR="00EB75EE">
          <w:rPr>
            <w:noProof/>
            <w:webHidden/>
          </w:rPr>
        </w:r>
        <w:r w:rsidR="00EB75EE">
          <w:rPr>
            <w:noProof/>
            <w:webHidden/>
          </w:rPr>
          <w:fldChar w:fldCharType="separate"/>
        </w:r>
        <w:r w:rsidR="00EB75EE">
          <w:rPr>
            <w:noProof/>
            <w:webHidden/>
          </w:rPr>
          <w:t>232</w:t>
        </w:r>
        <w:r w:rsidR="00EB75EE">
          <w:rPr>
            <w:noProof/>
            <w:webHidden/>
          </w:rPr>
          <w:fldChar w:fldCharType="end"/>
        </w:r>
      </w:hyperlink>
    </w:p>
    <w:p w14:paraId="6C1FA419" w14:textId="607A42BC" w:rsidR="009F1B07" w:rsidRDefault="0056514C">
      <w:pPr>
        <w:spacing w:after="0"/>
        <w:jc w:val="left"/>
        <w:rPr>
          <w:noProof/>
        </w:rPr>
      </w:pPr>
      <w:r>
        <w:rPr>
          <w:noProof/>
        </w:rPr>
        <w:fldChar w:fldCharType="end"/>
      </w:r>
    </w:p>
    <w:p w14:paraId="0401934B" w14:textId="5C8DBA97" w:rsidR="00771CF2" w:rsidRDefault="00771CF2">
      <w:pPr>
        <w:spacing w:after="0"/>
        <w:jc w:val="left"/>
        <w:rPr>
          <w:noProof/>
        </w:rPr>
      </w:pPr>
      <w:r>
        <w:rPr>
          <w:noProof/>
        </w:rPr>
        <w:br w:type="page"/>
      </w:r>
    </w:p>
    <w:p w14:paraId="443C2A98" w14:textId="77777777" w:rsidR="00771CF2" w:rsidRDefault="00771CF2">
      <w:pPr>
        <w:spacing w:after="0"/>
        <w:jc w:val="left"/>
        <w:rPr>
          <w:noProof/>
        </w:rPr>
      </w:pPr>
    </w:p>
    <w:p w14:paraId="3957175B" w14:textId="420AEF9E" w:rsidR="00771CF2" w:rsidRDefault="00771CF2" w:rsidP="00771CF2">
      <w:pPr>
        <w:pStyle w:val="Heading1"/>
        <w:numPr>
          <w:ilvl w:val="0"/>
          <w:numId w:val="0"/>
        </w:numPr>
        <w:rPr>
          <w:noProof/>
        </w:rPr>
      </w:pPr>
      <w:bookmarkStart w:id="861" w:name="_Toc148605664"/>
      <w:bookmarkStart w:id="862" w:name="_Toc157692113"/>
      <w:r>
        <w:rPr>
          <w:noProof/>
        </w:rPr>
        <w:t>Table of Tables</w:t>
      </w:r>
      <w:bookmarkEnd w:id="861"/>
      <w:bookmarkEnd w:id="862"/>
    </w:p>
    <w:p w14:paraId="77B2BC03" w14:textId="07CD9025" w:rsidR="0092604E" w:rsidRDefault="00771CF2">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r>
        <w:rPr>
          <w:noProof/>
        </w:rPr>
        <w:fldChar w:fldCharType="begin"/>
      </w:r>
      <w:r>
        <w:rPr>
          <w:noProof/>
        </w:rPr>
        <w:instrText xml:space="preserve"> TOC \h \z \c "Table" </w:instrText>
      </w:r>
      <w:r>
        <w:rPr>
          <w:noProof/>
        </w:rPr>
        <w:fldChar w:fldCharType="separate"/>
      </w:r>
      <w:hyperlink w:anchor="_Toc157679884" w:history="1">
        <w:r w:rsidR="0092604E" w:rsidRPr="00CE5FEB">
          <w:rPr>
            <w:rStyle w:val="Hyperlink"/>
            <w:noProof/>
          </w:rPr>
          <w:t>Table 1: Net GHG emissions and reductions compared to 1990</w:t>
        </w:r>
        <w:r w:rsidR="0092604E">
          <w:rPr>
            <w:noProof/>
            <w:webHidden/>
          </w:rPr>
          <w:tab/>
        </w:r>
        <w:r w:rsidR="0092604E">
          <w:rPr>
            <w:noProof/>
            <w:webHidden/>
          </w:rPr>
          <w:fldChar w:fldCharType="begin"/>
        </w:r>
        <w:r w:rsidR="0092604E">
          <w:rPr>
            <w:noProof/>
            <w:webHidden/>
          </w:rPr>
          <w:instrText xml:space="preserve"> PAGEREF _Toc157679884 \h </w:instrText>
        </w:r>
        <w:r w:rsidR="0092604E">
          <w:rPr>
            <w:noProof/>
            <w:webHidden/>
          </w:rPr>
        </w:r>
        <w:r w:rsidR="0092604E">
          <w:rPr>
            <w:noProof/>
            <w:webHidden/>
          </w:rPr>
          <w:fldChar w:fldCharType="separate"/>
        </w:r>
        <w:r w:rsidR="0092604E">
          <w:rPr>
            <w:noProof/>
            <w:webHidden/>
          </w:rPr>
          <w:t>4</w:t>
        </w:r>
        <w:r w:rsidR="0092604E">
          <w:rPr>
            <w:noProof/>
            <w:webHidden/>
          </w:rPr>
          <w:fldChar w:fldCharType="end"/>
        </w:r>
      </w:hyperlink>
    </w:p>
    <w:p w14:paraId="1EE3B0D5" w14:textId="7D9476D1"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85" w:history="1">
        <w:r w:rsidR="0092604E" w:rsidRPr="00CE5FEB">
          <w:rPr>
            <w:rStyle w:val="Hyperlink"/>
            <w:noProof/>
          </w:rPr>
          <w:t>Table 2: CO2, non-CO2 and emissions from LULUCF sector.</w:t>
        </w:r>
        <w:r w:rsidR="0092604E">
          <w:rPr>
            <w:noProof/>
            <w:webHidden/>
          </w:rPr>
          <w:tab/>
        </w:r>
        <w:r w:rsidR="0092604E">
          <w:rPr>
            <w:noProof/>
            <w:webHidden/>
          </w:rPr>
          <w:fldChar w:fldCharType="begin"/>
        </w:r>
        <w:r w:rsidR="0092604E">
          <w:rPr>
            <w:noProof/>
            <w:webHidden/>
          </w:rPr>
          <w:instrText xml:space="preserve"> PAGEREF _Toc157679885 \h </w:instrText>
        </w:r>
        <w:r w:rsidR="0092604E">
          <w:rPr>
            <w:noProof/>
            <w:webHidden/>
          </w:rPr>
        </w:r>
        <w:r w:rsidR="0092604E">
          <w:rPr>
            <w:noProof/>
            <w:webHidden/>
          </w:rPr>
          <w:fldChar w:fldCharType="separate"/>
        </w:r>
        <w:r w:rsidR="0092604E">
          <w:rPr>
            <w:noProof/>
            <w:webHidden/>
          </w:rPr>
          <w:t>5</w:t>
        </w:r>
        <w:r w:rsidR="0092604E">
          <w:rPr>
            <w:noProof/>
            <w:webHidden/>
          </w:rPr>
          <w:fldChar w:fldCharType="end"/>
        </w:r>
      </w:hyperlink>
    </w:p>
    <w:p w14:paraId="2003AB08" w14:textId="09D55E21"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86" w:history="1">
        <w:r w:rsidR="0092604E" w:rsidRPr="00CE5FEB">
          <w:rPr>
            <w:rStyle w:val="Hyperlink"/>
            <w:noProof/>
          </w:rPr>
          <w:t>Table 3: Gross GHG emissions</w:t>
        </w:r>
        <w:r w:rsidR="0092604E">
          <w:rPr>
            <w:noProof/>
            <w:webHidden/>
          </w:rPr>
          <w:tab/>
        </w:r>
        <w:r w:rsidR="0092604E">
          <w:rPr>
            <w:noProof/>
            <w:webHidden/>
          </w:rPr>
          <w:fldChar w:fldCharType="begin"/>
        </w:r>
        <w:r w:rsidR="0092604E">
          <w:rPr>
            <w:noProof/>
            <w:webHidden/>
          </w:rPr>
          <w:instrText xml:space="preserve"> PAGEREF _Toc157679886 \h </w:instrText>
        </w:r>
        <w:r w:rsidR="0092604E">
          <w:rPr>
            <w:noProof/>
            <w:webHidden/>
          </w:rPr>
        </w:r>
        <w:r w:rsidR="0092604E">
          <w:rPr>
            <w:noProof/>
            <w:webHidden/>
          </w:rPr>
          <w:fldChar w:fldCharType="separate"/>
        </w:r>
        <w:r w:rsidR="0092604E">
          <w:rPr>
            <w:noProof/>
            <w:webHidden/>
          </w:rPr>
          <w:t>8</w:t>
        </w:r>
        <w:r w:rsidR="0092604E">
          <w:rPr>
            <w:noProof/>
            <w:webHidden/>
          </w:rPr>
          <w:fldChar w:fldCharType="end"/>
        </w:r>
      </w:hyperlink>
    </w:p>
    <w:p w14:paraId="47C5089B" w14:textId="72BA3F9D"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87" w:history="1">
        <w:r w:rsidR="0092604E" w:rsidRPr="00CE5FEB">
          <w:rPr>
            <w:rStyle w:val="Hyperlink"/>
            <w:noProof/>
          </w:rPr>
          <w:t>Table 4: LULUCF net removals by scenarios in 2040 and 2050</w:t>
        </w:r>
        <w:r w:rsidR="0092604E">
          <w:rPr>
            <w:noProof/>
            <w:webHidden/>
          </w:rPr>
          <w:tab/>
        </w:r>
        <w:r w:rsidR="0092604E">
          <w:rPr>
            <w:noProof/>
            <w:webHidden/>
          </w:rPr>
          <w:fldChar w:fldCharType="begin"/>
        </w:r>
        <w:r w:rsidR="0092604E">
          <w:rPr>
            <w:noProof/>
            <w:webHidden/>
          </w:rPr>
          <w:instrText xml:space="preserve"> PAGEREF _Toc157679887 \h </w:instrText>
        </w:r>
        <w:r w:rsidR="0092604E">
          <w:rPr>
            <w:noProof/>
            <w:webHidden/>
          </w:rPr>
        </w:r>
        <w:r w:rsidR="0092604E">
          <w:rPr>
            <w:noProof/>
            <w:webHidden/>
          </w:rPr>
          <w:fldChar w:fldCharType="separate"/>
        </w:r>
        <w:r w:rsidR="0092604E">
          <w:rPr>
            <w:noProof/>
            <w:webHidden/>
          </w:rPr>
          <w:t>9</w:t>
        </w:r>
        <w:r w:rsidR="0092604E">
          <w:rPr>
            <w:noProof/>
            <w:webHidden/>
          </w:rPr>
          <w:fldChar w:fldCharType="end"/>
        </w:r>
      </w:hyperlink>
    </w:p>
    <w:p w14:paraId="6CE7ECB6" w14:textId="0EAA691C"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88" w:history="1">
        <w:r w:rsidR="0092604E" w:rsidRPr="00CE5FEB">
          <w:rPr>
            <w:rStyle w:val="Hyperlink"/>
            <w:noProof/>
            <w:lang w:val="en-IE"/>
          </w:rPr>
          <w:t>Table 5: LULUCF net removals and industrial carbon removals</w:t>
        </w:r>
        <w:r w:rsidR="0092604E">
          <w:rPr>
            <w:noProof/>
            <w:webHidden/>
          </w:rPr>
          <w:tab/>
        </w:r>
        <w:r w:rsidR="0092604E">
          <w:rPr>
            <w:noProof/>
            <w:webHidden/>
          </w:rPr>
          <w:fldChar w:fldCharType="begin"/>
        </w:r>
        <w:r w:rsidR="0092604E">
          <w:rPr>
            <w:noProof/>
            <w:webHidden/>
          </w:rPr>
          <w:instrText xml:space="preserve"> PAGEREF _Toc157679888 \h </w:instrText>
        </w:r>
        <w:r w:rsidR="0092604E">
          <w:rPr>
            <w:noProof/>
            <w:webHidden/>
          </w:rPr>
        </w:r>
        <w:r w:rsidR="0092604E">
          <w:rPr>
            <w:noProof/>
            <w:webHidden/>
          </w:rPr>
          <w:fldChar w:fldCharType="separate"/>
        </w:r>
        <w:r w:rsidR="0092604E">
          <w:rPr>
            <w:noProof/>
            <w:webHidden/>
          </w:rPr>
          <w:t>13</w:t>
        </w:r>
        <w:r w:rsidR="0092604E">
          <w:rPr>
            <w:noProof/>
            <w:webHidden/>
          </w:rPr>
          <w:fldChar w:fldCharType="end"/>
        </w:r>
      </w:hyperlink>
    </w:p>
    <w:p w14:paraId="1870EA1F" w14:textId="3BEA4AF0"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89" w:history="1">
        <w:r w:rsidR="0092604E" w:rsidRPr="00CE5FEB">
          <w:rPr>
            <w:rStyle w:val="Hyperlink"/>
            <w:noProof/>
          </w:rPr>
          <w:t>Table 6: Energy and Industry net CO2 emissions</w:t>
        </w:r>
        <w:r w:rsidR="0092604E">
          <w:rPr>
            <w:noProof/>
            <w:webHidden/>
          </w:rPr>
          <w:tab/>
        </w:r>
        <w:r w:rsidR="0092604E">
          <w:rPr>
            <w:noProof/>
            <w:webHidden/>
          </w:rPr>
          <w:fldChar w:fldCharType="begin"/>
        </w:r>
        <w:r w:rsidR="0092604E">
          <w:rPr>
            <w:noProof/>
            <w:webHidden/>
          </w:rPr>
          <w:instrText xml:space="preserve"> PAGEREF _Toc157679889 \h </w:instrText>
        </w:r>
        <w:r w:rsidR="0092604E">
          <w:rPr>
            <w:noProof/>
            <w:webHidden/>
          </w:rPr>
        </w:r>
        <w:r w:rsidR="0092604E">
          <w:rPr>
            <w:noProof/>
            <w:webHidden/>
          </w:rPr>
          <w:fldChar w:fldCharType="separate"/>
        </w:r>
        <w:r w:rsidR="0092604E">
          <w:rPr>
            <w:noProof/>
            <w:webHidden/>
          </w:rPr>
          <w:t>17</w:t>
        </w:r>
        <w:r w:rsidR="0092604E">
          <w:rPr>
            <w:noProof/>
            <w:webHidden/>
          </w:rPr>
          <w:fldChar w:fldCharType="end"/>
        </w:r>
      </w:hyperlink>
    </w:p>
    <w:p w14:paraId="3ED25F3C" w14:textId="4B1CBDEA"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90" w:history="1">
        <w:r w:rsidR="0092604E" w:rsidRPr="00CE5FEB">
          <w:rPr>
            <w:rStyle w:val="Hyperlink"/>
            <w:noProof/>
          </w:rPr>
          <w:t>Table 7: Total non-CO2 GHG emissions in all sectors and CO2 emissions from agriculture</w:t>
        </w:r>
        <w:r w:rsidR="0092604E">
          <w:rPr>
            <w:noProof/>
            <w:webHidden/>
          </w:rPr>
          <w:tab/>
        </w:r>
        <w:r w:rsidR="0092604E">
          <w:rPr>
            <w:noProof/>
            <w:webHidden/>
          </w:rPr>
          <w:fldChar w:fldCharType="begin"/>
        </w:r>
        <w:r w:rsidR="0092604E">
          <w:rPr>
            <w:noProof/>
            <w:webHidden/>
          </w:rPr>
          <w:instrText xml:space="preserve"> PAGEREF _Toc157679890 \h </w:instrText>
        </w:r>
        <w:r w:rsidR="0092604E">
          <w:rPr>
            <w:noProof/>
            <w:webHidden/>
          </w:rPr>
        </w:r>
        <w:r w:rsidR="0092604E">
          <w:rPr>
            <w:noProof/>
            <w:webHidden/>
          </w:rPr>
          <w:fldChar w:fldCharType="separate"/>
        </w:r>
        <w:r w:rsidR="0092604E">
          <w:rPr>
            <w:noProof/>
            <w:webHidden/>
          </w:rPr>
          <w:t>26</w:t>
        </w:r>
        <w:r w:rsidR="0092604E">
          <w:rPr>
            <w:noProof/>
            <w:webHidden/>
          </w:rPr>
          <w:fldChar w:fldCharType="end"/>
        </w:r>
      </w:hyperlink>
    </w:p>
    <w:p w14:paraId="279C4E93" w14:textId="6141CDF0"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91" w:history="1">
        <w:r w:rsidR="0092604E" w:rsidRPr="00CE5FEB">
          <w:rPr>
            <w:rStyle w:val="Hyperlink"/>
            <w:noProof/>
          </w:rPr>
          <w:t>Table 8: Assumptions on evolution of industrial domestic production for selected materials</w:t>
        </w:r>
        <w:r w:rsidR="0092604E">
          <w:rPr>
            <w:noProof/>
            <w:webHidden/>
          </w:rPr>
          <w:tab/>
        </w:r>
        <w:r w:rsidR="0092604E">
          <w:rPr>
            <w:noProof/>
            <w:webHidden/>
          </w:rPr>
          <w:fldChar w:fldCharType="begin"/>
        </w:r>
        <w:r w:rsidR="0092604E">
          <w:rPr>
            <w:noProof/>
            <w:webHidden/>
          </w:rPr>
          <w:instrText xml:space="preserve"> PAGEREF _Toc157679891 \h </w:instrText>
        </w:r>
        <w:r w:rsidR="0092604E">
          <w:rPr>
            <w:noProof/>
            <w:webHidden/>
          </w:rPr>
        </w:r>
        <w:r w:rsidR="0092604E">
          <w:rPr>
            <w:noProof/>
            <w:webHidden/>
          </w:rPr>
          <w:fldChar w:fldCharType="separate"/>
        </w:r>
        <w:r w:rsidR="0092604E">
          <w:rPr>
            <w:noProof/>
            <w:webHidden/>
          </w:rPr>
          <w:t>61</w:t>
        </w:r>
        <w:r w:rsidR="0092604E">
          <w:rPr>
            <w:noProof/>
            <w:webHidden/>
          </w:rPr>
          <w:fldChar w:fldCharType="end"/>
        </w:r>
      </w:hyperlink>
    </w:p>
    <w:p w14:paraId="327F25B6" w14:textId="36D753C7"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92" w:history="1">
        <w:r w:rsidR="0092604E" w:rsidRPr="00CE5FEB">
          <w:rPr>
            <w:rStyle w:val="Hyperlink"/>
            <w:noProof/>
          </w:rPr>
          <w:t>Table 9: List of circular economy actions applied to the CIRC scenario</w:t>
        </w:r>
        <w:r w:rsidR="0092604E">
          <w:rPr>
            <w:noProof/>
            <w:webHidden/>
          </w:rPr>
          <w:tab/>
        </w:r>
        <w:r w:rsidR="0092604E">
          <w:rPr>
            <w:noProof/>
            <w:webHidden/>
          </w:rPr>
          <w:fldChar w:fldCharType="begin"/>
        </w:r>
        <w:r w:rsidR="0092604E">
          <w:rPr>
            <w:noProof/>
            <w:webHidden/>
          </w:rPr>
          <w:instrText xml:space="preserve"> PAGEREF _Toc157679892 \h </w:instrText>
        </w:r>
        <w:r w:rsidR="0092604E">
          <w:rPr>
            <w:noProof/>
            <w:webHidden/>
          </w:rPr>
        </w:r>
        <w:r w:rsidR="0092604E">
          <w:rPr>
            <w:noProof/>
            <w:webHidden/>
          </w:rPr>
          <w:fldChar w:fldCharType="separate"/>
        </w:r>
        <w:r w:rsidR="0092604E">
          <w:rPr>
            <w:noProof/>
            <w:webHidden/>
          </w:rPr>
          <w:t>70</w:t>
        </w:r>
        <w:r w:rsidR="0092604E">
          <w:rPr>
            <w:noProof/>
            <w:webHidden/>
          </w:rPr>
          <w:fldChar w:fldCharType="end"/>
        </w:r>
      </w:hyperlink>
    </w:p>
    <w:p w14:paraId="52D67575" w14:textId="22609D79"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93" w:history="1">
        <w:r w:rsidR="0092604E" w:rsidRPr="00CE5FEB">
          <w:rPr>
            <w:rStyle w:val="Hyperlink"/>
            <w:noProof/>
          </w:rPr>
          <w:t>Table 10: Non-CO2 GHG emissions without add. mitigation in non-land-related sectors</w:t>
        </w:r>
        <w:r w:rsidR="0092604E">
          <w:rPr>
            <w:noProof/>
            <w:webHidden/>
          </w:rPr>
          <w:tab/>
        </w:r>
        <w:r w:rsidR="0092604E">
          <w:rPr>
            <w:noProof/>
            <w:webHidden/>
          </w:rPr>
          <w:fldChar w:fldCharType="begin"/>
        </w:r>
        <w:r w:rsidR="0092604E">
          <w:rPr>
            <w:noProof/>
            <w:webHidden/>
          </w:rPr>
          <w:instrText xml:space="preserve"> PAGEREF _Toc157679893 \h </w:instrText>
        </w:r>
        <w:r w:rsidR="0092604E">
          <w:rPr>
            <w:noProof/>
            <w:webHidden/>
          </w:rPr>
        </w:r>
        <w:r w:rsidR="0092604E">
          <w:rPr>
            <w:noProof/>
            <w:webHidden/>
          </w:rPr>
          <w:fldChar w:fldCharType="separate"/>
        </w:r>
        <w:r w:rsidR="0092604E">
          <w:rPr>
            <w:noProof/>
            <w:webHidden/>
          </w:rPr>
          <w:t>101</w:t>
        </w:r>
        <w:r w:rsidR="0092604E">
          <w:rPr>
            <w:noProof/>
            <w:webHidden/>
          </w:rPr>
          <w:fldChar w:fldCharType="end"/>
        </w:r>
      </w:hyperlink>
    </w:p>
    <w:p w14:paraId="0864E824" w14:textId="09B68C9A"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94" w:history="1">
        <w:r w:rsidR="0092604E" w:rsidRPr="00CE5FEB">
          <w:rPr>
            <w:rStyle w:val="Hyperlink"/>
            <w:noProof/>
          </w:rPr>
          <w:t>Table 11: Additional mitigation potentials of non-CO2 GHG emissions across all non-land-related sectors in 2040 (by gas)</w:t>
        </w:r>
        <w:r w:rsidR="0092604E">
          <w:rPr>
            <w:noProof/>
            <w:webHidden/>
          </w:rPr>
          <w:tab/>
        </w:r>
        <w:r w:rsidR="0092604E">
          <w:rPr>
            <w:noProof/>
            <w:webHidden/>
          </w:rPr>
          <w:fldChar w:fldCharType="begin"/>
        </w:r>
        <w:r w:rsidR="0092604E">
          <w:rPr>
            <w:noProof/>
            <w:webHidden/>
          </w:rPr>
          <w:instrText xml:space="preserve"> PAGEREF _Toc157679894 \h </w:instrText>
        </w:r>
        <w:r w:rsidR="0092604E">
          <w:rPr>
            <w:noProof/>
            <w:webHidden/>
          </w:rPr>
        </w:r>
        <w:r w:rsidR="0092604E">
          <w:rPr>
            <w:noProof/>
            <w:webHidden/>
          </w:rPr>
          <w:fldChar w:fldCharType="separate"/>
        </w:r>
        <w:r w:rsidR="0092604E">
          <w:rPr>
            <w:noProof/>
            <w:webHidden/>
          </w:rPr>
          <w:t>103</w:t>
        </w:r>
        <w:r w:rsidR="0092604E">
          <w:rPr>
            <w:noProof/>
            <w:webHidden/>
          </w:rPr>
          <w:fldChar w:fldCharType="end"/>
        </w:r>
      </w:hyperlink>
    </w:p>
    <w:p w14:paraId="222A705E" w14:textId="368EDD0E"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95" w:history="1">
        <w:r w:rsidR="0092604E" w:rsidRPr="00CE5FEB">
          <w:rPr>
            <w:rStyle w:val="Hyperlink"/>
            <w:noProof/>
          </w:rPr>
          <w:t>Table 12: Additional mitigation potentials of non-CO2 GHG emissions in 2040 (by non-land-related sector)</w:t>
        </w:r>
        <w:r w:rsidR="0092604E">
          <w:rPr>
            <w:noProof/>
            <w:webHidden/>
          </w:rPr>
          <w:tab/>
        </w:r>
        <w:r w:rsidR="0092604E">
          <w:rPr>
            <w:noProof/>
            <w:webHidden/>
          </w:rPr>
          <w:fldChar w:fldCharType="begin"/>
        </w:r>
        <w:r w:rsidR="0092604E">
          <w:rPr>
            <w:noProof/>
            <w:webHidden/>
          </w:rPr>
          <w:instrText xml:space="preserve"> PAGEREF _Toc157679895 \h </w:instrText>
        </w:r>
        <w:r w:rsidR="0092604E">
          <w:rPr>
            <w:noProof/>
            <w:webHidden/>
          </w:rPr>
        </w:r>
        <w:r w:rsidR="0092604E">
          <w:rPr>
            <w:noProof/>
            <w:webHidden/>
          </w:rPr>
          <w:fldChar w:fldCharType="separate"/>
        </w:r>
        <w:r w:rsidR="0092604E">
          <w:rPr>
            <w:noProof/>
            <w:webHidden/>
          </w:rPr>
          <w:t>104</w:t>
        </w:r>
        <w:r w:rsidR="0092604E">
          <w:rPr>
            <w:noProof/>
            <w:webHidden/>
          </w:rPr>
          <w:fldChar w:fldCharType="end"/>
        </w:r>
      </w:hyperlink>
    </w:p>
    <w:p w14:paraId="51257DF8" w14:textId="0DEACD3A"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96" w:history="1">
        <w:r w:rsidR="0092604E" w:rsidRPr="00CE5FEB">
          <w:rPr>
            <w:rStyle w:val="Hyperlink"/>
            <w:noProof/>
          </w:rPr>
          <w:t>Table 13: Non-CO2 GHG emissions from the non-land-related sectors</w:t>
        </w:r>
        <w:r w:rsidR="0092604E">
          <w:rPr>
            <w:noProof/>
            <w:webHidden/>
          </w:rPr>
          <w:tab/>
        </w:r>
        <w:r w:rsidR="0092604E">
          <w:rPr>
            <w:noProof/>
            <w:webHidden/>
          </w:rPr>
          <w:fldChar w:fldCharType="begin"/>
        </w:r>
        <w:r w:rsidR="0092604E">
          <w:rPr>
            <w:noProof/>
            <w:webHidden/>
          </w:rPr>
          <w:instrText xml:space="preserve"> PAGEREF _Toc157679896 \h </w:instrText>
        </w:r>
        <w:r w:rsidR="0092604E">
          <w:rPr>
            <w:noProof/>
            <w:webHidden/>
          </w:rPr>
        </w:r>
        <w:r w:rsidR="0092604E">
          <w:rPr>
            <w:noProof/>
            <w:webHidden/>
          </w:rPr>
          <w:fldChar w:fldCharType="separate"/>
        </w:r>
        <w:r w:rsidR="0092604E">
          <w:rPr>
            <w:noProof/>
            <w:webHidden/>
          </w:rPr>
          <w:t>106</w:t>
        </w:r>
        <w:r w:rsidR="0092604E">
          <w:rPr>
            <w:noProof/>
            <w:webHidden/>
          </w:rPr>
          <w:fldChar w:fldCharType="end"/>
        </w:r>
      </w:hyperlink>
    </w:p>
    <w:p w14:paraId="265E794C" w14:textId="6B630229"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97" w:history="1">
        <w:r w:rsidR="0092604E" w:rsidRPr="00CE5FEB">
          <w:rPr>
            <w:rStyle w:val="Hyperlink"/>
            <w:noProof/>
          </w:rPr>
          <w:t>Table 14: GHG emissions in agriculture without additional mitigation in S1, S2, S3</w:t>
        </w:r>
        <w:r w:rsidR="0092604E">
          <w:rPr>
            <w:noProof/>
            <w:webHidden/>
          </w:rPr>
          <w:tab/>
        </w:r>
        <w:r w:rsidR="0092604E">
          <w:rPr>
            <w:noProof/>
            <w:webHidden/>
          </w:rPr>
          <w:fldChar w:fldCharType="begin"/>
        </w:r>
        <w:r w:rsidR="0092604E">
          <w:rPr>
            <w:noProof/>
            <w:webHidden/>
          </w:rPr>
          <w:instrText xml:space="preserve"> PAGEREF _Toc157679897 \h </w:instrText>
        </w:r>
        <w:r w:rsidR="0092604E">
          <w:rPr>
            <w:noProof/>
            <w:webHidden/>
          </w:rPr>
        </w:r>
        <w:r w:rsidR="0092604E">
          <w:rPr>
            <w:noProof/>
            <w:webHidden/>
          </w:rPr>
          <w:fldChar w:fldCharType="separate"/>
        </w:r>
        <w:r w:rsidR="0092604E">
          <w:rPr>
            <w:noProof/>
            <w:webHidden/>
          </w:rPr>
          <w:t>110</w:t>
        </w:r>
        <w:r w:rsidR="0092604E">
          <w:rPr>
            <w:noProof/>
            <w:webHidden/>
          </w:rPr>
          <w:fldChar w:fldCharType="end"/>
        </w:r>
      </w:hyperlink>
    </w:p>
    <w:p w14:paraId="11602929" w14:textId="1DC91F1C"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98" w:history="1">
        <w:r w:rsidR="0092604E" w:rsidRPr="00CE5FEB">
          <w:rPr>
            <w:rStyle w:val="Hyperlink"/>
            <w:noProof/>
          </w:rPr>
          <w:t>Table 15: GHG emissions in the agriculture without additional mitigation in LIFE</w:t>
        </w:r>
        <w:r w:rsidR="0092604E">
          <w:rPr>
            <w:noProof/>
            <w:webHidden/>
          </w:rPr>
          <w:tab/>
        </w:r>
        <w:r w:rsidR="0092604E">
          <w:rPr>
            <w:noProof/>
            <w:webHidden/>
          </w:rPr>
          <w:fldChar w:fldCharType="begin"/>
        </w:r>
        <w:r w:rsidR="0092604E">
          <w:rPr>
            <w:noProof/>
            <w:webHidden/>
          </w:rPr>
          <w:instrText xml:space="preserve"> PAGEREF _Toc157679898 \h </w:instrText>
        </w:r>
        <w:r w:rsidR="0092604E">
          <w:rPr>
            <w:noProof/>
            <w:webHidden/>
          </w:rPr>
        </w:r>
        <w:r w:rsidR="0092604E">
          <w:rPr>
            <w:noProof/>
            <w:webHidden/>
          </w:rPr>
          <w:fldChar w:fldCharType="separate"/>
        </w:r>
        <w:r w:rsidR="0092604E">
          <w:rPr>
            <w:noProof/>
            <w:webHidden/>
          </w:rPr>
          <w:t>111</w:t>
        </w:r>
        <w:r w:rsidR="0092604E">
          <w:rPr>
            <w:noProof/>
            <w:webHidden/>
          </w:rPr>
          <w:fldChar w:fldCharType="end"/>
        </w:r>
      </w:hyperlink>
    </w:p>
    <w:p w14:paraId="3117C77D" w14:textId="52E46DEE"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899" w:history="1">
        <w:r w:rsidR="0092604E" w:rsidRPr="00CE5FEB">
          <w:rPr>
            <w:rStyle w:val="Hyperlink"/>
            <w:noProof/>
          </w:rPr>
          <w:t>Table 16: Mitigation potential in the agriculture sector in S1, S2 and S3</w:t>
        </w:r>
        <w:r w:rsidR="0092604E">
          <w:rPr>
            <w:noProof/>
            <w:webHidden/>
          </w:rPr>
          <w:tab/>
        </w:r>
        <w:r w:rsidR="0092604E">
          <w:rPr>
            <w:noProof/>
            <w:webHidden/>
          </w:rPr>
          <w:fldChar w:fldCharType="begin"/>
        </w:r>
        <w:r w:rsidR="0092604E">
          <w:rPr>
            <w:noProof/>
            <w:webHidden/>
          </w:rPr>
          <w:instrText xml:space="preserve"> PAGEREF _Toc157679899 \h </w:instrText>
        </w:r>
        <w:r w:rsidR="0092604E">
          <w:rPr>
            <w:noProof/>
            <w:webHidden/>
          </w:rPr>
        </w:r>
        <w:r w:rsidR="0092604E">
          <w:rPr>
            <w:noProof/>
            <w:webHidden/>
          </w:rPr>
          <w:fldChar w:fldCharType="separate"/>
        </w:r>
        <w:r w:rsidR="0092604E">
          <w:rPr>
            <w:noProof/>
            <w:webHidden/>
          </w:rPr>
          <w:t>114</w:t>
        </w:r>
        <w:r w:rsidR="0092604E">
          <w:rPr>
            <w:noProof/>
            <w:webHidden/>
          </w:rPr>
          <w:fldChar w:fldCharType="end"/>
        </w:r>
      </w:hyperlink>
    </w:p>
    <w:p w14:paraId="784CC5B9" w14:textId="6890BFC4"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00" w:history="1">
        <w:r w:rsidR="0092604E" w:rsidRPr="00CE5FEB">
          <w:rPr>
            <w:rStyle w:val="Hyperlink"/>
            <w:noProof/>
          </w:rPr>
          <w:t>Table 17: Mitigation potential in the agriculture sector in LIFE</w:t>
        </w:r>
        <w:r w:rsidR="0092604E">
          <w:rPr>
            <w:noProof/>
            <w:webHidden/>
          </w:rPr>
          <w:tab/>
        </w:r>
        <w:r w:rsidR="0092604E">
          <w:rPr>
            <w:noProof/>
            <w:webHidden/>
          </w:rPr>
          <w:fldChar w:fldCharType="begin"/>
        </w:r>
        <w:r w:rsidR="0092604E">
          <w:rPr>
            <w:noProof/>
            <w:webHidden/>
          </w:rPr>
          <w:instrText xml:space="preserve"> PAGEREF _Toc157679900 \h </w:instrText>
        </w:r>
        <w:r w:rsidR="0092604E">
          <w:rPr>
            <w:noProof/>
            <w:webHidden/>
          </w:rPr>
        </w:r>
        <w:r w:rsidR="0092604E">
          <w:rPr>
            <w:noProof/>
            <w:webHidden/>
          </w:rPr>
          <w:fldChar w:fldCharType="separate"/>
        </w:r>
        <w:r w:rsidR="0092604E">
          <w:rPr>
            <w:noProof/>
            <w:webHidden/>
          </w:rPr>
          <w:t>114</w:t>
        </w:r>
        <w:r w:rsidR="0092604E">
          <w:rPr>
            <w:noProof/>
            <w:webHidden/>
          </w:rPr>
          <w:fldChar w:fldCharType="end"/>
        </w:r>
      </w:hyperlink>
    </w:p>
    <w:p w14:paraId="344A36B4" w14:textId="540A95AA"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01" w:history="1">
        <w:r w:rsidR="0092604E" w:rsidRPr="00CE5FEB">
          <w:rPr>
            <w:rStyle w:val="Hyperlink"/>
            <w:noProof/>
          </w:rPr>
          <w:t>Table 18: GHG emissions from the agriculture sector (by gas and type of source)</w:t>
        </w:r>
        <w:r w:rsidR="0092604E">
          <w:rPr>
            <w:noProof/>
            <w:webHidden/>
          </w:rPr>
          <w:tab/>
        </w:r>
        <w:r w:rsidR="0092604E">
          <w:rPr>
            <w:noProof/>
            <w:webHidden/>
          </w:rPr>
          <w:fldChar w:fldCharType="begin"/>
        </w:r>
        <w:r w:rsidR="0092604E">
          <w:rPr>
            <w:noProof/>
            <w:webHidden/>
          </w:rPr>
          <w:instrText xml:space="preserve"> PAGEREF _Toc157679901 \h </w:instrText>
        </w:r>
        <w:r w:rsidR="0092604E">
          <w:rPr>
            <w:noProof/>
            <w:webHidden/>
          </w:rPr>
        </w:r>
        <w:r w:rsidR="0092604E">
          <w:rPr>
            <w:noProof/>
            <w:webHidden/>
          </w:rPr>
          <w:fldChar w:fldCharType="separate"/>
        </w:r>
        <w:r w:rsidR="0092604E">
          <w:rPr>
            <w:noProof/>
            <w:webHidden/>
          </w:rPr>
          <w:t>116</w:t>
        </w:r>
        <w:r w:rsidR="0092604E">
          <w:rPr>
            <w:noProof/>
            <w:webHidden/>
          </w:rPr>
          <w:fldChar w:fldCharType="end"/>
        </w:r>
      </w:hyperlink>
    </w:p>
    <w:p w14:paraId="1E2171D5" w14:textId="70C192A8"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02" w:history="1">
        <w:r w:rsidR="0092604E" w:rsidRPr="00CE5FEB">
          <w:rPr>
            <w:rStyle w:val="Hyperlink"/>
            <w:noProof/>
            <w:lang w:val="en-IE"/>
          </w:rPr>
          <w:t>Table 19: Air pollution emissions, impacts on public health and costs</w:t>
        </w:r>
        <w:r w:rsidR="0092604E">
          <w:rPr>
            <w:noProof/>
            <w:webHidden/>
          </w:rPr>
          <w:tab/>
        </w:r>
        <w:r w:rsidR="0092604E">
          <w:rPr>
            <w:noProof/>
            <w:webHidden/>
          </w:rPr>
          <w:fldChar w:fldCharType="begin"/>
        </w:r>
        <w:r w:rsidR="0092604E">
          <w:rPr>
            <w:noProof/>
            <w:webHidden/>
          </w:rPr>
          <w:instrText xml:space="preserve"> PAGEREF _Toc157679902 \h </w:instrText>
        </w:r>
        <w:r w:rsidR="0092604E">
          <w:rPr>
            <w:noProof/>
            <w:webHidden/>
          </w:rPr>
        </w:r>
        <w:r w:rsidR="0092604E">
          <w:rPr>
            <w:noProof/>
            <w:webHidden/>
          </w:rPr>
          <w:fldChar w:fldCharType="separate"/>
        </w:r>
        <w:r w:rsidR="0092604E">
          <w:rPr>
            <w:noProof/>
            <w:webHidden/>
          </w:rPr>
          <w:t>141</w:t>
        </w:r>
        <w:r w:rsidR="0092604E">
          <w:rPr>
            <w:noProof/>
            <w:webHidden/>
          </w:rPr>
          <w:fldChar w:fldCharType="end"/>
        </w:r>
      </w:hyperlink>
    </w:p>
    <w:p w14:paraId="0418B513" w14:textId="54F270F3"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03" w:history="1">
        <w:r w:rsidR="0092604E" w:rsidRPr="00CE5FEB">
          <w:rPr>
            <w:rStyle w:val="Hyperlink"/>
            <w:noProof/>
          </w:rPr>
          <w:t>Table 20: Area affected by acidification and eutrophication per scenario</w:t>
        </w:r>
        <w:r w:rsidR="0092604E">
          <w:rPr>
            <w:noProof/>
            <w:webHidden/>
          </w:rPr>
          <w:tab/>
        </w:r>
        <w:r w:rsidR="0092604E">
          <w:rPr>
            <w:noProof/>
            <w:webHidden/>
          </w:rPr>
          <w:fldChar w:fldCharType="begin"/>
        </w:r>
        <w:r w:rsidR="0092604E">
          <w:rPr>
            <w:noProof/>
            <w:webHidden/>
          </w:rPr>
          <w:instrText xml:space="preserve"> PAGEREF _Toc157679903 \h </w:instrText>
        </w:r>
        <w:r w:rsidR="0092604E">
          <w:rPr>
            <w:noProof/>
            <w:webHidden/>
          </w:rPr>
        </w:r>
        <w:r w:rsidR="0092604E">
          <w:rPr>
            <w:noProof/>
            <w:webHidden/>
          </w:rPr>
          <w:fldChar w:fldCharType="separate"/>
        </w:r>
        <w:r w:rsidR="0092604E">
          <w:rPr>
            <w:noProof/>
            <w:webHidden/>
          </w:rPr>
          <w:t>142</w:t>
        </w:r>
        <w:r w:rsidR="0092604E">
          <w:rPr>
            <w:noProof/>
            <w:webHidden/>
          </w:rPr>
          <w:fldChar w:fldCharType="end"/>
        </w:r>
      </w:hyperlink>
    </w:p>
    <w:p w14:paraId="42E75253" w14:textId="3F235088"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04" w:history="1">
        <w:r w:rsidR="0092604E" w:rsidRPr="00CE5FEB">
          <w:rPr>
            <w:rStyle w:val="Hyperlink"/>
            <w:noProof/>
          </w:rPr>
          <w:t>Table 21: Overview of Farm to Fork objectives indicators in LIFE in 2040</w:t>
        </w:r>
        <w:r w:rsidR="0092604E">
          <w:rPr>
            <w:noProof/>
            <w:webHidden/>
          </w:rPr>
          <w:tab/>
        </w:r>
        <w:r w:rsidR="0092604E">
          <w:rPr>
            <w:noProof/>
            <w:webHidden/>
          </w:rPr>
          <w:fldChar w:fldCharType="begin"/>
        </w:r>
        <w:r w:rsidR="0092604E">
          <w:rPr>
            <w:noProof/>
            <w:webHidden/>
          </w:rPr>
          <w:instrText xml:space="preserve"> PAGEREF _Toc157679904 \h </w:instrText>
        </w:r>
        <w:r w:rsidR="0092604E">
          <w:rPr>
            <w:noProof/>
            <w:webHidden/>
          </w:rPr>
        </w:r>
        <w:r w:rsidR="0092604E">
          <w:rPr>
            <w:noProof/>
            <w:webHidden/>
          </w:rPr>
          <w:fldChar w:fldCharType="separate"/>
        </w:r>
        <w:r w:rsidR="0092604E">
          <w:rPr>
            <w:noProof/>
            <w:webHidden/>
          </w:rPr>
          <w:t>144</w:t>
        </w:r>
        <w:r w:rsidR="0092604E">
          <w:rPr>
            <w:noProof/>
            <w:webHidden/>
          </w:rPr>
          <w:fldChar w:fldCharType="end"/>
        </w:r>
      </w:hyperlink>
    </w:p>
    <w:p w14:paraId="3F4E0B60" w14:textId="0AAA90A1"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05" w:history="1">
        <w:r w:rsidR="0092604E" w:rsidRPr="00CE5FEB">
          <w:rPr>
            <w:rStyle w:val="Hyperlink"/>
            <w:noProof/>
          </w:rPr>
          <w:t>Table 22: Overview of LIFE outputs related to biodiversity in 2040</w:t>
        </w:r>
        <w:r w:rsidR="0092604E">
          <w:rPr>
            <w:noProof/>
            <w:webHidden/>
          </w:rPr>
          <w:tab/>
        </w:r>
        <w:r w:rsidR="0092604E">
          <w:rPr>
            <w:noProof/>
            <w:webHidden/>
          </w:rPr>
          <w:fldChar w:fldCharType="begin"/>
        </w:r>
        <w:r w:rsidR="0092604E">
          <w:rPr>
            <w:noProof/>
            <w:webHidden/>
          </w:rPr>
          <w:instrText xml:space="preserve"> PAGEREF _Toc157679905 \h </w:instrText>
        </w:r>
        <w:r w:rsidR="0092604E">
          <w:rPr>
            <w:noProof/>
            <w:webHidden/>
          </w:rPr>
        </w:r>
        <w:r w:rsidR="0092604E">
          <w:rPr>
            <w:noProof/>
            <w:webHidden/>
          </w:rPr>
          <w:fldChar w:fldCharType="separate"/>
        </w:r>
        <w:r w:rsidR="0092604E">
          <w:rPr>
            <w:noProof/>
            <w:webHidden/>
          </w:rPr>
          <w:t>145</w:t>
        </w:r>
        <w:r w:rsidR="0092604E">
          <w:rPr>
            <w:noProof/>
            <w:webHidden/>
          </w:rPr>
          <w:fldChar w:fldCharType="end"/>
        </w:r>
      </w:hyperlink>
    </w:p>
    <w:p w14:paraId="301737D2" w14:textId="3B407D3F"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06" w:history="1">
        <w:r w:rsidR="0092604E" w:rsidRPr="00CE5FEB">
          <w:rPr>
            <w:rStyle w:val="Hyperlink"/>
            <w:noProof/>
          </w:rPr>
          <w:t>Table 23: Agricultural area change in 2040 by scenarios.</w:t>
        </w:r>
        <w:r w:rsidR="0092604E">
          <w:rPr>
            <w:noProof/>
            <w:webHidden/>
          </w:rPr>
          <w:tab/>
        </w:r>
        <w:r w:rsidR="0092604E">
          <w:rPr>
            <w:noProof/>
            <w:webHidden/>
          </w:rPr>
          <w:fldChar w:fldCharType="begin"/>
        </w:r>
        <w:r w:rsidR="0092604E">
          <w:rPr>
            <w:noProof/>
            <w:webHidden/>
          </w:rPr>
          <w:instrText xml:space="preserve"> PAGEREF _Toc157679906 \h </w:instrText>
        </w:r>
        <w:r w:rsidR="0092604E">
          <w:rPr>
            <w:noProof/>
            <w:webHidden/>
          </w:rPr>
        </w:r>
        <w:r w:rsidR="0092604E">
          <w:rPr>
            <w:noProof/>
            <w:webHidden/>
          </w:rPr>
          <w:fldChar w:fldCharType="separate"/>
        </w:r>
        <w:r w:rsidR="0092604E">
          <w:rPr>
            <w:noProof/>
            <w:webHidden/>
          </w:rPr>
          <w:t>145</w:t>
        </w:r>
        <w:r w:rsidR="0092604E">
          <w:rPr>
            <w:noProof/>
            <w:webHidden/>
          </w:rPr>
          <w:fldChar w:fldCharType="end"/>
        </w:r>
      </w:hyperlink>
    </w:p>
    <w:p w14:paraId="05C533E2" w14:textId="210E990D"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07" w:history="1">
        <w:r w:rsidR="0092604E" w:rsidRPr="00CE5FEB">
          <w:rPr>
            <w:rStyle w:val="Hyperlink"/>
            <w:noProof/>
          </w:rPr>
          <w:t>Table 24: Net production of agricultural outputs in 2040 by scenarios</w:t>
        </w:r>
        <w:r w:rsidR="0092604E">
          <w:rPr>
            <w:noProof/>
            <w:webHidden/>
          </w:rPr>
          <w:tab/>
        </w:r>
        <w:r w:rsidR="0092604E">
          <w:rPr>
            <w:noProof/>
            <w:webHidden/>
          </w:rPr>
          <w:fldChar w:fldCharType="begin"/>
        </w:r>
        <w:r w:rsidR="0092604E">
          <w:rPr>
            <w:noProof/>
            <w:webHidden/>
          </w:rPr>
          <w:instrText xml:space="preserve"> PAGEREF _Toc157679907 \h </w:instrText>
        </w:r>
        <w:r w:rsidR="0092604E">
          <w:rPr>
            <w:noProof/>
            <w:webHidden/>
          </w:rPr>
        </w:r>
        <w:r w:rsidR="0092604E">
          <w:rPr>
            <w:noProof/>
            <w:webHidden/>
          </w:rPr>
          <w:fldChar w:fldCharType="separate"/>
        </w:r>
        <w:r w:rsidR="0092604E">
          <w:rPr>
            <w:noProof/>
            <w:webHidden/>
          </w:rPr>
          <w:t>147</w:t>
        </w:r>
        <w:r w:rsidR="0092604E">
          <w:rPr>
            <w:noProof/>
            <w:webHidden/>
          </w:rPr>
          <w:fldChar w:fldCharType="end"/>
        </w:r>
      </w:hyperlink>
    </w:p>
    <w:p w14:paraId="7964083D" w14:textId="76403392"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08" w:history="1">
        <w:r w:rsidR="0092604E" w:rsidRPr="00CE5FEB">
          <w:rPr>
            <w:rStyle w:val="Hyperlink"/>
            <w:noProof/>
          </w:rPr>
          <w:t>Table 25: Macro-economic impacts (% change compared to S2)</w:t>
        </w:r>
        <w:r w:rsidR="0092604E">
          <w:rPr>
            <w:noProof/>
            <w:webHidden/>
          </w:rPr>
          <w:tab/>
        </w:r>
        <w:r w:rsidR="0092604E">
          <w:rPr>
            <w:noProof/>
            <w:webHidden/>
          </w:rPr>
          <w:fldChar w:fldCharType="begin"/>
        </w:r>
        <w:r w:rsidR="0092604E">
          <w:rPr>
            <w:noProof/>
            <w:webHidden/>
          </w:rPr>
          <w:instrText xml:space="preserve"> PAGEREF _Toc157679908 \h </w:instrText>
        </w:r>
        <w:r w:rsidR="0092604E">
          <w:rPr>
            <w:noProof/>
            <w:webHidden/>
          </w:rPr>
        </w:r>
        <w:r w:rsidR="0092604E">
          <w:rPr>
            <w:noProof/>
            <w:webHidden/>
          </w:rPr>
          <w:fldChar w:fldCharType="separate"/>
        </w:r>
        <w:r w:rsidR="0092604E">
          <w:rPr>
            <w:noProof/>
            <w:webHidden/>
          </w:rPr>
          <w:t>152</w:t>
        </w:r>
        <w:r w:rsidR="0092604E">
          <w:rPr>
            <w:noProof/>
            <w:webHidden/>
          </w:rPr>
          <w:fldChar w:fldCharType="end"/>
        </w:r>
      </w:hyperlink>
    </w:p>
    <w:p w14:paraId="0D9D13A2" w14:textId="6543EF8A"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09" w:history="1">
        <w:r w:rsidR="0092604E" w:rsidRPr="00CE5FEB">
          <w:rPr>
            <w:rStyle w:val="Hyperlink"/>
            <w:noProof/>
          </w:rPr>
          <w:t>Table 26: Average annual energy system investment needs (billion EUR 2023)</w:t>
        </w:r>
        <w:r w:rsidR="0092604E">
          <w:rPr>
            <w:noProof/>
            <w:webHidden/>
          </w:rPr>
          <w:tab/>
        </w:r>
        <w:r w:rsidR="0092604E">
          <w:rPr>
            <w:noProof/>
            <w:webHidden/>
          </w:rPr>
          <w:fldChar w:fldCharType="begin"/>
        </w:r>
        <w:r w:rsidR="0092604E">
          <w:rPr>
            <w:noProof/>
            <w:webHidden/>
          </w:rPr>
          <w:instrText xml:space="preserve"> PAGEREF _Toc157679909 \h </w:instrText>
        </w:r>
        <w:r w:rsidR="0092604E">
          <w:rPr>
            <w:noProof/>
            <w:webHidden/>
          </w:rPr>
        </w:r>
        <w:r w:rsidR="0092604E">
          <w:rPr>
            <w:noProof/>
            <w:webHidden/>
          </w:rPr>
          <w:fldChar w:fldCharType="separate"/>
        </w:r>
        <w:r w:rsidR="0092604E">
          <w:rPr>
            <w:noProof/>
            <w:webHidden/>
          </w:rPr>
          <w:t>159</w:t>
        </w:r>
        <w:r w:rsidR="0092604E">
          <w:rPr>
            <w:noProof/>
            <w:webHidden/>
          </w:rPr>
          <w:fldChar w:fldCharType="end"/>
        </w:r>
      </w:hyperlink>
    </w:p>
    <w:p w14:paraId="5E06F0E9" w14:textId="7E9692EA"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10" w:history="1">
        <w:r w:rsidR="0092604E" w:rsidRPr="00CE5FEB">
          <w:rPr>
            <w:rStyle w:val="Hyperlink"/>
            <w:noProof/>
          </w:rPr>
          <w:t>Table 27: Indicators of SME activity by sector (2019)</w:t>
        </w:r>
        <w:r w:rsidR="0092604E">
          <w:rPr>
            <w:noProof/>
            <w:webHidden/>
          </w:rPr>
          <w:tab/>
        </w:r>
        <w:r w:rsidR="0092604E">
          <w:rPr>
            <w:noProof/>
            <w:webHidden/>
          </w:rPr>
          <w:fldChar w:fldCharType="begin"/>
        </w:r>
        <w:r w:rsidR="0092604E">
          <w:rPr>
            <w:noProof/>
            <w:webHidden/>
          </w:rPr>
          <w:instrText xml:space="preserve"> PAGEREF _Toc157679910 \h </w:instrText>
        </w:r>
        <w:r w:rsidR="0092604E">
          <w:rPr>
            <w:noProof/>
            <w:webHidden/>
          </w:rPr>
        </w:r>
        <w:r w:rsidR="0092604E">
          <w:rPr>
            <w:noProof/>
            <w:webHidden/>
          </w:rPr>
          <w:fldChar w:fldCharType="separate"/>
        </w:r>
        <w:r w:rsidR="0092604E">
          <w:rPr>
            <w:noProof/>
            <w:webHidden/>
          </w:rPr>
          <w:t>165</w:t>
        </w:r>
        <w:r w:rsidR="0092604E">
          <w:rPr>
            <w:noProof/>
            <w:webHidden/>
          </w:rPr>
          <w:fldChar w:fldCharType="end"/>
        </w:r>
      </w:hyperlink>
    </w:p>
    <w:p w14:paraId="4B550A4A" w14:textId="582E9598"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11" w:history="1">
        <w:r w:rsidR="0092604E" w:rsidRPr="00CE5FEB">
          <w:rPr>
            <w:rStyle w:val="Hyperlink"/>
            <w:noProof/>
          </w:rPr>
          <w:t>Table 28: Average annual energy-related side investment needs in industry,services and agriculture (billion EUR 2023)</w:t>
        </w:r>
        <w:r w:rsidR="0092604E">
          <w:rPr>
            <w:noProof/>
            <w:webHidden/>
          </w:rPr>
          <w:tab/>
        </w:r>
        <w:r w:rsidR="0092604E">
          <w:rPr>
            <w:noProof/>
            <w:webHidden/>
          </w:rPr>
          <w:fldChar w:fldCharType="begin"/>
        </w:r>
        <w:r w:rsidR="0092604E">
          <w:rPr>
            <w:noProof/>
            <w:webHidden/>
          </w:rPr>
          <w:instrText xml:space="preserve"> PAGEREF _Toc157679911 \h </w:instrText>
        </w:r>
        <w:r w:rsidR="0092604E">
          <w:rPr>
            <w:noProof/>
            <w:webHidden/>
          </w:rPr>
        </w:r>
        <w:r w:rsidR="0092604E">
          <w:rPr>
            <w:noProof/>
            <w:webHidden/>
          </w:rPr>
          <w:fldChar w:fldCharType="separate"/>
        </w:r>
        <w:r w:rsidR="0092604E">
          <w:rPr>
            <w:noProof/>
            <w:webHidden/>
          </w:rPr>
          <w:t>167</w:t>
        </w:r>
        <w:r w:rsidR="0092604E">
          <w:rPr>
            <w:noProof/>
            <w:webHidden/>
          </w:rPr>
          <w:fldChar w:fldCharType="end"/>
        </w:r>
      </w:hyperlink>
    </w:p>
    <w:p w14:paraId="18788516" w14:textId="1F0B3B53"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12" w:history="1">
        <w:r w:rsidR="0092604E" w:rsidRPr="00CE5FEB">
          <w:rPr>
            <w:rStyle w:val="Hyperlink"/>
            <w:noProof/>
          </w:rPr>
          <w:t>Table 29: Average annual demand side investment, residential sector (billion EUR 2023)</w:t>
        </w:r>
        <w:r w:rsidR="0092604E">
          <w:rPr>
            <w:noProof/>
            <w:webHidden/>
          </w:rPr>
          <w:tab/>
        </w:r>
        <w:r w:rsidR="0092604E">
          <w:rPr>
            <w:noProof/>
            <w:webHidden/>
          </w:rPr>
          <w:fldChar w:fldCharType="begin"/>
        </w:r>
        <w:r w:rsidR="0092604E">
          <w:rPr>
            <w:noProof/>
            <w:webHidden/>
          </w:rPr>
          <w:instrText xml:space="preserve"> PAGEREF _Toc157679912 \h </w:instrText>
        </w:r>
        <w:r w:rsidR="0092604E">
          <w:rPr>
            <w:noProof/>
            <w:webHidden/>
          </w:rPr>
        </w:r>
        <w:r w:rsidR="0092604E">
          <w:rPr>
            <w:noProof/>
            <w:webHidden/>
          </w:rPr>
          <w:fldChar w:fldCharType="separate"/>
        </w:r>
        <w:r w:rsidR="0092604E">
          <w:rPr>
            <w:noProof/>
            <w:webHidden/>
          </w:rPr>
          <w:t>173</w:t>
        </w:r>
        <w:r w:rsidR="0092604E">
          <w:rPr>
            <w:noProof/>
            <w:webHidden/>
          </w:rPr>
          <w:fldChar w:fldCharType="end"/>
        </w:r>
      </w:hyperlink>
    </w:p>
    <w:p w14:paraId="62966C6A" w14:textId="26A0699D"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13" w:history="1">
        <w:r w:rsidR="0092604E" w:rsidRPr="00CE5FEB">
          <w:rPr>
            <w:rStyle w:val="Hyperlink"/>
            <w:noProof/>
          </w:rPr>
          <w:t>Table 30: Average annual demand side investment needs, transport (billion EUR 2023)</w:t>
        </w:r>
        <w:r w:rsidR="0092604E">
          <w:rPr>
            <w:noProof/>
            <w:webHidden/>
          </w:rPr>
          <w:tab/>
        </w:r>
        <w:r w:rsidR="0092604E">
          <w:rPr>
            <w:noProof/>
            <w:webHidden/>
          </w:rPr>
          <w:fldChar w:fldCharType="begin"/>
        </w:r>
        <w:r w:rsidR="0092604E">
          <w:rPr>
            <w:noProof/>
            <w:webHidden/>
          </w:rPr>
          <w:instrText xml:space="preserve"> PAGEREF _Toc157679913 \h </w:instrText>
        </w:r>
        <w:r w:rsidR="0092604E">
          <w:rPr>
            <w:noProof/>
            <w:webHidden/>
          </w:rPr>
        </w:r>
        <w:r w:rsidR="0092604E">
          <w:rPr>
            <w:noProof/>
            <w:webHidden/>
          </w:rPr>
          <w:fldChar w:fldCharType="separate"/>
        </w:r>
        <w:r w:rsidR="0092604E">
          <w:rPr>
            <w:noProof/>
            <w:webHidden/>
          </w:rPr>
          <w:t>176</w:t>
        </w:r>
        <w:r w:rsidR="0092604E">
          <w:rPr>
            <w:noProof/>
            <w:webHidden/>
          </w:rPr>
          <w:fldChar w:fldCharType="end"/>
        </w:r>
      </w:hyperlink>
    </w:p>
    <w:p w14:paraId="3FCA0D07" w14:textId="05DC2955"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14" w:history="1">
        <w:r w:rsidR="0092604E" w:rsidRPr="00CE5FEB">
          <w:rPr>
            <w:rStyle w:val="Hyperlink"/>
            <w:noProof/>
          </w:rPr>
          <w:t>Table 31: Technology investment costs assumptions (EUR 2015 per kW)</w:t>
        </w:r>
        <w:r w:rsidR="0092604E">
          <w:rPr>
            <w:noProof/>
            <w:webHidden/>
          </w:rPr>
          <w:tab/>
        </w:r>
        <w:r w:rsidR="0092604E">
          <w:rPr>
            <w:noProof/>
            <w:webHidden/>
          </w:rPr>
          <w:fldChar w:fldCharType="begin"/>
        </w:r>
        <w:r w:rsidR="0092604E">
          <w:rPr>
            <w:noProof/>
            <w:webHidden/>
          </w:rPr>
          <w:instrText xml:space="preserve"> PAGEREF _Toc157679914 \h </w:instrText>
        </w:r>
        <w:r w:rsidR="0092604E">
          <w:rPr>
            <w:noProof/>
            <w:webHidden/>
          </w:rPr>
        </w:r>
        <w:r w:rsidR="0092604E">
          <w:rPr>
            <w:noProof/>
            <w:webHidden/>
          </w:rPr>
          <w:fldChar w:fldCharType="separate"/>
        </w:r>
        <w:r w:rsidR="0092604E">
          <w:rPr>
            <w:noProof/>
            <w:webHidden/>
          </w:rPr>
          <w:t>177</w:t>
        </w:r>
        <w:r w:rsidR="0092604E">
          <w:rPr>
            <w:noProof/>
            <w:webHidden/>
          </w:rPr>
          <w:fldChar w:fldCharType="end"/>
        </w:r>
      </w:hyperlink>
    </w:p>
    <w:p w14:paraId="45629C4F" w14:textId="05F77A91"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15" w:history="1">
        <w:r w:rsidR="0092604E" w:rsidRPr="00CE5FEB">
          <w:rPr>
            <w:rStyle w:val="Hyperlink"/>
            <w:noProof/>
          </w:rPr>
          <w:t>Table 32: Sensitivity of average annual energy system investment needs (excluding transport) to a price shock</w:t>
        </w:r>
        <w:r w:rsidR="0092604E">
          <w:rPr>
            <w:noProof/>
            <w:webHidden/>
          </w:rPr>
          <w:tab/>
        </w:r>
        <w:r w:rsidR="0092604E">
          <w:rPr>
            <w:noProof/>
            <w:webHidden/>
          </w:rPr>
          <w:fldChar w:fldCharType="begin"/>
        </w:r>
        <w:r w:rsidR="0092604E">
          <w:rPr>
            <w:noProof/>
            <w:webHidden/>
          </w:rPr>
          <w:instrText xml:space="preserve"> PAGEREF _Toc157679915 \h </w:instrText>
        </w:r>
        <w:r w:rsidR="0092604E">
          <w:rPr>
            <w:noProof/>
            <w:webHidden/>
          </w:rPr>
        </w:r>
        <w:r w:rsidR="0092604E">
          <w:rPr>
            <w:noProof/>
            <w:webHidden/>
          </w:rPr>
          <w:fldChar w:fldCharType="separate"/>
        </w:r>
        <w:r w:rsidR="0092604E">
          <w:rPr>
            <w:noProof/>
            <w:webHidden/>
          </w:rPr>
          <w:t>178</w:t>
        </w:r>
        <w:r w:rsidR="0092604E">
          <w:rPr>
            <w:noProof/>
            <w:webHidden/>
          </w:rPr>
          <w:fldChar w:fldCharType="end"/>
        </w:r>
      </w:hyperlink>
    </w:p>
    <w:p w14:paraId="73136993" w14:textId="6A7D7E98"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16" w:history="1">
        <w:r w:rsidR="0092604E" w:rsidRPr="00CE5FEB">
          <w:rPr>
            <w:rStyle w:val="Hyperlink"/>
            <w:noProof/>
          </w:rPr>
          <w:t>Table 33: Manufacturing capacity and investment needs per technology (2031-2040)</w:t>
        </w:r>
        <w:r w:rsidR="0092604E">
          <w:rPr>
            <w:noProof/>
            <w:webHidden/>
          </w:rPr>
          <w:tab/>
        </w:r>
        <w:r w:rsidR="0092604E">
          <w:rPr>
            <w:noProof/>
            <w:webHidden/>
          </w:rPr>
          <w:fldChar w:fldCharType="begin"/>
        </w:r>
        <w:r w:rsidR="0092604E">
          <w:rPr>
            <w:noProof/>
            <w:webHidden/>
          </w:rPr>
          <w:instrText xml:space="preserve"> PAGEREF _Toc157679916 \h </w:instrText>
        </w:r>
        <w:r w:rsidR="0092604E">
          <w:rPr>
            <w:noProof/>
            <w:webHidden/>
          </w:rPr>
        </w:r>
        <w:r w:rsidR="0092604E">
          <w:rPr>
            <w:noProof/>
            <w:webHidden/>
          </w:rPr>
          <w:fldChar w:fldCharType="separate"/>
        </w:r>
        <w:r w:rsidR="0092604E">
          <w:rPr>
            <w:noProof/>
            <w:webHidden/>
          </w:rPr>
          <w:t>179</w:t>
        </w:r>
        <w:r w:rsidR="0092604E">
          <w:rPr>
            <w:noProof/>
            <w:webHidden/>
          </w:rPr>
          <w:fldChar w:fldCharType="end"/>
        </w:r>
      </w:hyperlink>
    </w:p>
    <w:p w14:paraId="4AC6154D" w14:textId="4C120A84"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17" w:history="1">
        <w:r w:rsidR="0092604E" w:rsidRPr="00CE5FEB">
          <w:rPr>
            <w:rStyle w:val="Hyperlink"/>
            <w:noProof/>
          </w:rPr>
          <w:t>Table 34</w:t>
        </w:r>
        <w:r w:rsidR="0092604E" w:rsidRPr="00CE5FEB">
          <w:rPr>
            <w:rStyle w:val="Hyperlink"/>
            <w:noProof/>
            <w:shd w:val="clear" w:color="auto" w:fill="E6E6E6"/>
          </w:rPr>
          <w:t>:</w:t>
        </w:r>
        <w:r w:rsidR="0092604E" w:rsidRPr="00CE5FEB">
          <w:rPr>
            <w:rStyle w:val="Hyperlink"/>
            <w:noProof/>
          </w:rPr>
          <w:t xml:space="preserve"> Sectoral disaggregation of energy system costs (% difference vs. S2)</w:t>
        </w:r>
        <w:r w:rsidR="0092604E">
          <w:rPr>
            <w:noProof/>
            <w:webHidden/>
          </w:rPr>
          <w:tab/>
        </w:r>
        <w:r w:rsidR="0092604E">
          <w:rPr>
            <w:noProof/>
            <w:webHidden/>
          </w:rPr>
          <w:fldChar w:fldCharType="begin"/>
        </w:r>
        <w:r w:rsidR="0092604E">
          <w:rPr>
            <w:noProof/>
            <w:webHidden/>
          </w:rPr>
          <w:instrText xml:space="preserve"> PAGEREF _Toc157679917 \h </w:instrText>
        </w:r>
        <w:r w:rsidR="0092604E">
          <w:rPr>
            <w:noProof/>
            <w:webHidden/>
          </w:rPr>
        </w:r>
        <w:r w:rsidR="0092604E">
          <w:rPr>
            <w:noProof/>
            <w:webHidden/>
          </w:rPr>
          <w:fldChar w:fldCharType="separate"/>
        </w:r>
        <w:r w:rsidR="0092604E">
          <w:rPr>
            <w:noProof/>
            <w:webHidden/>
          </w:rPr>
          <w:t>185</w:t>
        </w:r>
        <w:r w:rsidR="0092604E">
          <w:rPr>
            <w:noProof/>
            <w:webHidden/>
          </w:rPr>
          <w:fldChar w:fldCharType="end"/>
        </w:r>
      </w:hyperlink>
    </w:p>
    <w:p w14:paraId="2C2C1034" w14:textId="4D262082"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18" w:history="1">
        <w:r w:rsidR="0092604E" w:rsidRPr="00CE5FEB">
          <w:rPr>
            <w:rStyle w:val="Hyperlink"/>
            <w:noProof/>
          </w:rPr>
          <w:t>Table 35: Energy system costs for industry (% difference vs. S2)</w:t>
        </w:r>
        <w:r w:rsidR="0092604E">
          <w:rPr>
            <w:noProof/>
            <w:webHidden/>
          </w:rPr>
          <w:tab/>
        </w:r>
        <w:r w:rsidR="0092604E">
          <w:rPr>
            <w:noProof/>
            <w:webHidden/>
          </w:rPr>
          <w:fldChar w:fldCharType="begin"/>
        </w:r>
        <w:r w:rsidR="0092604E">
          <w:rPr>
            <w:noProof/>
            <w:webHidden/>
          </w:rPr>
          <w:instrText xml:space="preserve"> PAGEREF _Toc157679918 \h </w:instrText>
        </w:r>
        <w:r w:rsidR="0092604E">
          <w:rPr>
            <w:noProof/>
            <w:webHidden/>
          </w:rPr>
        </w:r>
        <w:r w:rsidR="0092604E">
          <w:rPr>
            <w:noProof/>
            <w:webHidden/>
          </w:rPr>
          <w:fldChar w:fldCharType="separate"/>
        </w:r>
        <w:r w:rsidR="0092604E">
          <w:rPr>
            <w:noProof/>
            <w:webHidden/>
          </w:rPr>
          <w:t>187</w:t>
        </w:r>
        <w:r w:rsidR="0092604E">
          <w:rPr>
            <w:noProof/>
            <w:webHidden/>
          </w:rPr>
          <w:fldChar w:fldCharType="end"/>
        </w:r>
      </w:hyperlink>
    </w:p>
    <w:p w14:paraId="31765D94" w14:textId="258741DE"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19" w:history="1">
        <w:r w:rsidR="0092604E" w:rsidRPr="00CE5FEB">
          <w:rPr>
            <w:rStyle w:val="Hyperlink"/>
            <w:noProof/>
          </w:rPr>
          <w:t>Table 36: Average final price of electricity for industry</w:t>
        </w:r>
        <w:r w:rsidR="0092604E">
          <w:rPr>
            <w:noProof/>
            <w:webHidden/>
          </w:rPr>
          <w:tab/>
        </w:r>
        <w:r w:rsidR="0092604E">
          <w:rPr>
            <w:noProof/>
            <w:webHidden/>
          </w:rPr>
          <w:fldChar w:fldCharType="begin"/>
        </w:r>
        <w:r w:rsidR="0092604E">
          <w:rPr>
            <w:noProof/>
            <w:webHidden/>
          </w:rPr>
          <w:instrText xml:space="preserve"> PAGEREF _Toc157679919 \h </w:instrText>
        </w:r>
        <w:r w:rsidR="0092604E">
          <w:rPr>
            <w:noProof/>
            <w:webHidden/>
          </w:rPr>
        </w:r>
        <w:r w:rsidR="0092604E">
          <w:rPr>
            <w:noProof/>
            <w:webHidden/>
          </w:rPr>
          <w:fldChar w:fldCharType="separate"/>
        </w:r>
        <w:r w:rsidR="0092604E">
          <w:rPr>
            <w:noProof/>
            <w:webHidden/>
          </w:rPr>
          <w:t>188</w:t>
        </w:r>
        <w:r w:rsidR="0092604E">
          <w:rPr>
            <w:noProof/>
            <w:webHidden/>
          </w:rPr>
          <w:fldChar w:fldCharType="end"/>
        </w:r>
      </w:hyperlink>
    </w:p>
    <w:p w14:paraId="24F0C392" w14:textId="732DDA2B"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20" w:history="1">
        <w:r w:rsidR="0092604E" w:rsidRPr="00CE5FEB">
          <w:rPr>
            <w:rStyle w:val="Hyperlink"/>
            <w:noProof/>
          </w:rPr>
          <w:t>Table 37: Average final price of electricity for services</w:t>
        </w:r>
        <w:r w:rsidR="0092604E">
          <w:rPr>
            <w:noProof/>
            <w:webHidden/>
          </w:rPr>
          <w:tab/>
        </w:r>
        <w:r w:rsidR="0092604E">
          <w:rPr>
            <w:noProof/>
            <w:webHidden/>
          </w:rPr>
          <w:fldChar w:fldCharType="begin"/>
        </w:r>
        <w:r w:rsidR="0092604E">
          <w:rPr>
            <w:noProof/>
            <w:webHidden/>
          </w:rPr>
          <w:instrText xml:space="preserve"> PAGEREF _Toc157679920 \h </w:instrText>
        </w:r>
        <w:r w:rsidR="0092604E">
          <w:rPr>
            <w:noProof/>
            <w:webHidden/>
          </w:rPr>
        </w:r>
        <w:r w:rsidR="0092604E">
          <w:rPr>
            <w:noProof/>
            <w:webHidden/>
          </w:rPr>
          <w:fldChar w:fldCharType="separate"/>
        </w:r>
        <w:r w:rsidR="0092604E">
          <w:rPr>
            <w:noProof/>
            <w:webHidden/>
          </w:rPr>
          <w:t>190</w:t>
        </w:r>
        <w:r w:rsidR="0092604E">
          <w:rPr>
            <w:noProof/>
            <w:webHidden/>
          </w:rPr>
          <w:fldChar w:fldCharType="end"/>
        </w:r>
      </w:hyperlink>
    </w:p>
    <w:p w14:paraId="438B727C" w14:textId="56B46B03"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21" w:history="1">
        <w:r w:rsidR="0092604E" w:rsidRPr="00CE5FEB">
          <w:rPr>
            <w:rStyle w:val="Hyperlink"/>
            <w:noProof/>
          </w:rPr>
          <w:t>Table 38: Energy prices for private transport in S2</w:t>
        </w:r>
        <w:r w:rsidR="0092604E">
          <w:rPr>
            <w:noProof/>
            <w:webHidden/>
          </w:rPr>
          <w:tab/>
        </w:r>
        <w:r w:rsidR="0092604E">
          <w:rPr>
            <w:noProof/>
            <w:webHidden/>
          </w:rPr>
          <w:fldChar w:fldCharType="begin"/>
        </w:r>
        <w:r w:rsidR="0092604E">
          <w:rPr>
            <w:noProof/>
            <w:webHidden/>
          </w:rPr>
          <w:instrText xml:space="preserve"> PAGEREF _Toc157679921 \h </w:instrText>
        </w:r>
        <w:r w:rsidR="0092604E">
          <w:rPr>
            <w:noProof/>
            <w:webHidden/>
          </w:rPr>
        </w:r>
        <w:r w:rsidR="0092604E">
          <w:rPr>
            <w:noProof/>
            <w:webHidden/>
          </w:rPr>
          <w:fldChar w:fldCharType="separate"/>
        </w:r>
        <w:r w:rsidR="0092604E">
          <w:rPr>
            <w:noProof/>
            <w:webHidden/>
          </w:rPr>
          <w:t>190</w:t>
        </w:r>
        <w:r w:rsidR="0092604E">
          <w:rPr>
            <w:noProof/>
            <w:webHidden/>
          </w:rPr>
          <w:fldChar w:fldCharType="end"/>
        </w:r>
      </w:hyperlink>
    </w:p>
    <w:p w14:paraId="57B3CC99" w14:textId="311B4566"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22" w:history="1">
        <w:r w:rsidR="0092604E" w:rsidRPr="00CE5FEB">
          <w:rPr>
            <w:rStyle w:val="Hyperlink"/>
            <w:noProof/>
          </w:rPr>
          <w:t>Table 39: Costs related to GHG emissions mitigation in LULUCF and non-CO2</w:t>
        </w:r>
        <w:r w:rsidR="0092604E">
          <w:rPr>
            <w:noProof/>
            <w:webHidden/>
          </w:rPr>
          <w:tab/>
        </w:r>
        <w:r w:rsidR="0092604E">
          <w:rPr>
            <w:noProof/>
            <w:webHidden/>
          </w:rPr>
          <w:fldChar w:fldCharType="begin"/>
        </w:r>
        <w:r w:rsidR="0092604E">
          <w:rPr>
            <w:noProof/>
            <w:webHidden/>
          </w:rPr>
          <w:instrText xml:space="preserve"> PAGEREF _Toc157679922 \h </w:instrText>
        </w:r>
        <w:r w:rsidR="0092604E">
          <w:rPr>
            <w:noProof/>
            <w:webHidden/>
          </w:rPr>
        </w:r>
        <w:r w:rsidR="0092604E">
          <w:rPr>
            <w:noProof/>
            <w:webHidden/>
          </w:rPr>
          <w:fldChar w:fldCharType="separate"/>
        </w:r>
        <w:r w:rsidR="0092604E">
          <w:rPr>
            <w:noProof/>
            <w:webHidden/>
          </w:rPr>
          <w:t>191</w:t>
        </w:r>
        <w:r w:rsidR="0092604E">
          <w:rPr>
            <w:noProof/>
            <w:webHidden/>
          </w:rPr>
          <w:fldChar w:fldCharType="end"/>
        </w:r>
      </w:hyperlink>
    </w:p>
    <w:p w14:paraId="27BCE359" w14:textId="5817D6FA"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23" w:history="1">
        <w:r w:rsidR="0092604E" w:rsidRPr="00CE5FEB">
          <w:rPr>
            <w:rStyle w:val="Hyperlink"/>
            <w:noProof/>
          </w:rPr>
          <w:t>Table 40: Sectoral output, deviation vs. S2 (%)</w:t>
        </w:r>
        <w:r w:rsidR="0092604E">
          <w:rPr>
            <w:noProof/>
            <w:webHidden/>
          </w:rPr>
          <w:tab/>
        </w:r>
        <w:r w:rsidR="0092604E">
          <w:rPr>
            <w:noProof/>
            <w:webHidden/>
          </w:rPr>
          <w:fldChar w:fldCharType="begin"/>
        </w:r>
        <w:r w:rsidR="0092604E">
          <w:rPr>
            <w:noProof/>
            <w:webHidden/>
          </w:rPr>
          <w:instrText xml:space="preserve"> PAGEREF _Toc157679923 \h </w:instrText>
        </w:r>
        <w:r w:rsidR="0092604E">
          <w:rPr>
            <w:noProof/>
            <w:webHidden/>
          </w:rPr>
        </w:r>
        <w:r w:rsidR="0092604E">
          <w:rPr>
            <w:noProof/>
            <w:webHidden/>
          </w:rPr>
          <w:fldChar w:fldCharType="separate"/>
        </w:r>
        <w:r w:rsidR="0092604E">
          <w:rPr>
            <w:noProof/>
            <w:webHidden/>
          </w:rPr>
          <w:t>193</w:t>
        </w:r>
        <w:r w:rsidR="0092604E">
          <w:rPr>
            <w:noProof/>
            <w:webHidden/>
          </w:rPr>
          <w:fldChar w:fldCharType="end"/>
        </w:r>
      </w:hyperlink>
    </w:p>
    <w:p w14:paraId="146A980A" w14:textId="7ACE2284"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24" w:history="1">
        <w:r w:rsidR="0092604E" w:rsidRPr="00CE5FEB">
          <w:rPr>
            <w:rStyle w:val="Hyperlink"/>
            <w:noProof/>
          </w:rPr>
          <w:t>Table 41: Sectoral output, % change vs. 2015</w:t>
        </w:r>
        <w:r w:rsidR="0092604E">
          <w:rPr>
            <w:noProof/>
            <w:webHidden/>
          </w:rPr>
          <w:tab/>
        </w:r>
        <w:r w:rsidR="0092604E">
          <w:rPr>
            <w:noProof/>
            <w:webHidden/>
          </w:rPr>
          <w:fldChar w:fldCharType="begin"/>
        </w:r>
        <w:r w:rsidR="0092604E">
          <w:rPr>
            <w:noProof/>
            <w:webHidden/>
          </w:rPr>
          <w:instrText xml:space="preserve"> PAGEREF _Toc157679924 \h </w:instrText>
        </w:r>
        <w:r w:rsidR="0092604E">
          <w:rPr>
            <w:noProof/>
            <w:webHidden/>
          </w:rPr>
        </w:r>
        <w:r w:rsidR="0092604E">
          <w:rPr>
            <w:noProof/>
            <w:webHidden/>
          </w:rPr>
          <w:fldChar w:fldCharType="separate"/>
        </w:r>
        <w:r w:rsidR="0092604E">
          <w:rPr>
            <w:noProof/>
            <w:webHidden/>
          </w:rPr>
          <w:t>194</w:t>
        </w:r>
        <w:r w:rsidR="0092604E">
          <w:rPr>
            <w:noProof/>
            <w:webHidden/>
          </w:rPr>
          <w:fldChar w:fldCharType="end"/>
        </w:r>
      </w:hyperlink>
    </w:p>
    <w:p w14:paraId="58576EC7" w14:textId="57092EDF"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25" w:history="1">
        <w:r w:rsidR="0092604E" w:rsidRPr="00CE5FEB">
          <w:rPr>
            <w:rStyle w:val="Hyperlink"/>
            <w:noProof/>
          </w:rPr>
          <w:t>Table 42: Sectoral output, share of total (%)</w:t>
        </w:r>
        <w:r w:rsidR="0092604E">
          <w:rPr>
            <w:noProof/>
            <w:webHidden/>
          </w:rPr>
          <w:tab/>
        </w:r>
        <w:r w:rsidR="0092604E">
          <w:rPr>
            <w:noProof/>
            <w:webHidden/>
          </w:rPr>
          <w:fldChar w:fldCharType="begin"/>
        </w:r>
        <w:r w:rsidR="0092604E">
          <w:rPr>
            <w:noProof/>
            <w:webHidden/>
          </w:rPr>
          <w:instrText xml:space="preserve"> PAGEREF _Toc157679925 \h </w:instrText>
        </w:r>
        <w:r w:rsidR="0092604E">
          <w:rPr>
            <w:noProof/>
            <w:webHidden/>
          </w:rPr>
        </w:r>
        <w:r w:rsidR="0092604E">
          <w:rPr>
            <w:noProof/>
            <w:webHidden/>
          </w:rPr>
          <w:fldChar w:fldCharType="separate"/>
        </w:r>
        <w:r w:rsidR="0092604E">
          <w:rPr>
            <w:noProof/>
            <w:webHidden/>
          </w:rPr>
          <w:t>194</w:t>
        </w:r>
        <w:r w:rsidR="0092604E">
          <w:rPr>
            <w:noProof/>
            <w:webHidden/>
          </w:rPr>
          <w:fldChar w:fldCharType="end"/>
        </w:r>
      </w:hyperlink>
    </w:p>
    <w:p w14:paraId="2D41BC82" w14:textId="6740A299"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26" w:history="1">
        <w:r w:rsidR="0092604E" w:rsidRPr="00CE5FEB">
          <w:rPr>
            <w:rStyle w:val="Hyperlink"/>
            <w:noProof/>
          </w:rPr>
          <w:t>Table 43: EU shares in global exports (% of total)</w:t>
        </w:r>
        <w:r w:rsidR="0092604E">
          <w:rPr>
            <w:noProof/>
            <w:webHidden/>
          </w:rPr>
          <w:tab/>
        </w:r>
        <w:r w:rsidR="0092604E">
          <w:rPr>
            <w:noProof/>
            <w:webHidden/>
          </w:rPr>
          <w:fldChar w:fldCharType="begin"/>
        </w:r>
        <w:r w:rsidR="0092604E">
          <w:rPr>
            <w:noProof/>
            <w:webHidden/>
          </w:rPr>
          <w:instrText xml:space="preserve"> PAGEREF _Toc157679926 \h </w:instrText>
        </w:r>
        <w:r w:rsidR="0092604E">
          <w:rPr>
            <w:noProof/>
            <w:webHidden/>
          </w:rPr>
        </w:r>
        <w:r w:rsidR="0092604E">
          <w:rPr>
            <w:noProof/>
            <w:webHidden/>
          </w:rPr>
          <w:fldChar w:fldCharType="separate"/>
        </w:r>
        <w:r w:rsidR="0092604E">
          <w:rPr>
            <w:noProof/>
            <w:webHidden/>
          </w:rPr>
          <w:t>195</w:t>
        </w:r>
        <w:r w:rsidR="0092604E">
          <w:rPr>
            <w:noProof/>
            <w:webHidden/>
          </w:rPr>
          <w:fldChar w:fldCharType="end"/>
        </w:r>
      </w:hyperlink>
    </w:p>
    <w:p w14:paraId="4DE99680" w14:textId="0B3B9A71"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27" w:history="1">
        <w:r w:rsidR="0092604E" w:rsidRPr="00CE5FEB">
          <w:rPr>
            <w:rStyle w:val="Hyperlink"/>
            <w:noProof/>
          </w:rPr>
          <w:t>Table 44: EU shares in global imports (% of total)</w:t>
        </w:r>
        <w:r w:rsidR="0092604E">
          <w:rPr>
            <w:noProof/>
            <w:webHidden/>
          </w:rPr>
          <w:tab/>
        </w:r>
        <w:r w:rsidR="0092604E">
          <w:rPr>
            <w:noProof/>
            <w:webHidden/>
          </w:rPr>
          <w:fldChar w:fldCharType="begin"/>
        </w:r>
        <w:r w:rsidR="0092604E">
          <w:rPr>
            <w:noProof/>
            <w:webHidden/>
          </w:rPr>
          <w:instrText xml:space="preserve"> PAGEREF _Toc157679927 \h </w:instrText>
        </w:r>
        <w:r w:rsidR="0092604E">
          <w:rPr>
            <w:noProof/>
            <w:webHidden/>
          </w:rPr>
        </w:r>
        <w:r w:rsidR="0092604E">
          <w:rPr>
            <w:noProof/>
            <w:webHidden/>
          </w:rPr>
          <w:fldChar w:fldCharType="separate"/>
        </w:r>
        <w:r w:rsidR="0092604E">
          <w:rPr>
            <w:noProof/>
            <w:webHidden/>
          </w:rPr>
          <w:t>196</w:t>
        </w:r>
        <w:r w:rsidR="0092604E">
          <w:rPr>
            <w:noProof/>
            <w:webHidden/>
          </w:rPr>
          <w:fldChar w:fldCharType="end"/>
        </w:r>
      </w:hyperlink>
    </w:p>
    <w:p w14:paraId="153F8D16" w14:textId="79986F6F"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28" w:history="1">
        <w:r w:rsidR="0092604E" w:rsidRPr="00CE5FEB">
          <w:rPr>
            <w:rStyle w:val="Hyperlink"/>
            <w:noProof/>
          </w:rPr>
          <w:t>Table 45: Structure of EU imports (% of total)</w:t>
        </w:r>
        <w:r w:rsidR="0092604E">
          <w:rPr>
            <w:noProof/>
            <w:webHidden/>
          </w:rPr>
          <w:tab/>
        </w:r>
        <w:r w:rsidR="0092604E">
          <w:rPr>
            <w:noProof/>
            <w:webHidden/>
          </w:rPr>
          <w:fldChar w:fldCharType="begin"/>
        </w:r>
        <w:r w:rsidR="0092604E">
          <w:rPr>
            <w:noProof/>
            <w:webHidden/>
          </w:rPr>
          <w:instrText xml:space="preserve"> PAGEREF _Toc157679928 \h </w:instrText>
        </w:r>
        <w:r w:rsidR="0092604E">
          <w:rPr>
            <w:noProof/>
            <w:webHidden/>
          </w:rPr>
        </w:r>
        <w:r w:rsidR="0092604E">
          <w:rPr>
            <w:noProof/>
            <w:webHidden/>
          </w:rPr>
          <w:fldChar w:fldCharType="separate"/>
        </w:r>
        <w:r w:rsidR="0092604E">
          <w:rPr>
            <w:noProof/>
            <w:webHidden/>
          </w:rPr>
          <w:t>197</w:t>
        </w:r>
        <w:r w:rsidR="0092604E">
          <w:rPr>
            <w:noProof/>
            <w:webHidden/>
          </w:rPr>
          <w:fldChar w:fldCharType="end"/>
        </w:r>
      </w:hyperlink>
    </w:p>
    <w:p w14:paraId="42143DA3" w14:textId="569519A2"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29" w:history="1">
        <w:r w:rsidR="0092604E" w:rsidRPr="00CE5FEB">
          <w:rPr>
            <w:rStyle w:val="Hyperlink"/>
            <w:noProof/>
          </w:rPr>
          <w:t>Table 46: Origin of EU imports by main trading parterns (% of total EU imports, S3)</w:t>
        </w:r>
        <w:r w:rsidR="0092604E">
          <w:rPr>
            <w:noProof/>
            <w:webHidden/>
          </w:rPr>
          <w:tab/>
        </w:r>
        <w:r w:rsidR="0092604E">
          <w:rPr>
            <w:noProof/>
            <w:webHidden/>
          </w:rPr>
          <w:fldChar w:fldCharType="begin"/>
        </w:r>
        <w:r w:rsidR="0092604E">
          <w:rPr>
            <w:noProof/>
            <w:webHidden/>
          </w:rPr>
          <w:instrText xml:space="preserve"> PAGEREF _Toc157679929 \h </w:instrText>
        </w:r>
        <w:r w:rsidR="0092604E">
          <w:rPr>
            <w:noProof/>
            <w:webHidden/>
          </w:rPr>
        </w:r>
        <w:r w:rsidR="0092604E">
          <w:rPr>
            <w:noProof/>
            <w:webHidden/>
          </w:rPr>
          <w:fldChar w:fldCharType="separate"/>
        </w:r>
        <w:r w:rsidR="0092604E">
          <w:rPr>
            <w:noProof/>
            <w:webHidden/>
          </w:rPr>
          <w:t>198</w:t>
        </w:r>
        <w:r w:rsidR="0092604E">
          <w:rPr>
            <w:noProof/>
            <w:webHidden/>
          </w:rPr>
          <w:fldChar w:fldCharType="end"/>
        </w:r>
      </w:hyperlink>
    </w:p>
    <w:p w14:paraId="1D8D7C58" w14:textId="642F92A3"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30" w:history="1">
        <w:r w:rsidR="0092604E" w:rsidRPr="00CE5FEB">
          <w:rPr>
            <w:rStyle w:val="Hyperlink"/>
            <w:noProof/>
          </w:rPr>
          <w:t>Table 47: Average annual energy system costs as % of private consumption and average final price of electricity for households in the residential sector</w:t>
        </w:r>
        <w:r w:rsidR="0092604E">
          <w:rPr>
            <w:noProof/>
            <w:webHidden/>
          </w:rPr>
          <w:tab/>
        </w:r>
        <w:r w:rsidR="0092604E">
          <w:rPr>
            <w:noProof/>
            <w:webHidden/>
          </w:rPr>
          <w:fldChar w:fldCharType="begin"/>
        </w:r>
        <w:r w:rsidR="0092604E">
          <w:rPr>
            <w:noProof/>
            <w:webHidden/>
          </w:rPr>
          <w:instrText xml:space="preserve"> PAGEREF _Toc157679930 \h </w:instrText>
        </w:r>
        <w:r w:rsidR="0092604E">
          <w:rPr>
            <w:noProof/>
            <w:webHidden/>
          </w:rPr>
        </w:r>
        <w:r w:rsidR="0092604E">
          <w:rPr>
            <w:noProof/>
            <w:webHidden/>
          </w:rPr>
          <w:fldChar w:fldCharType="separate"/>
        </w:r>
        <w:r w:rsidR="0092604E">
          <w:rPr>
            <w:noProof/>
            <w:webHidden/>
          </w:rPr>
          <w:t>200</w:t>
        </w:r>
        <w:r w:rsidR="0092604E">
          <w:rPr>
            <w:noProof/>
            <w:webHidden/>
          </w:rPr>
          <w:fldChar w:fldCharType="end"/>
        </w:r>
      </w:hyperlink>
    </w:p>
    <w:p w14:paraId="57E8058C" w14:textId="128ACDBF"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31" w:history="1">
        <w:r w:rsidR="0092604E" w:rsidRPr="00CE5FEB">
          <w:rPr>
            <w:rStyle w:val="Hyperlink"/>
            <w:noProof/>
          </w:rPr>
          <w:t>Table 48: Employment by economic activity (million people and % of total)</w:t>
        </w:r>
        <w:r w:rsidR="0092604E">
          <w:rPr>
            <w:noProof/>
            <w:webHidden/>
          </w:rPr>
          <w:tab/>
        </w:r>
        <w:r w:rsidR="0092604E">
          <w:rPr>
            <w:noProof/>
            <w:webHidden/>
          </w:rPr>
          <w:fldChar w:fldCharType="begin"/>
        </w:r>
        <w:r w:rsidR="0092604E">
          <w:rPr>
            <w:noProof/>
            <w:webHidden/>
          </w:rPr>
          <w:instrText xml:space="preserve"> PAGEREF _Toc157679931 \h </w:instrText>
        </w:r>
        <w:r w:rsidR="0092604E">
          <w:rPr>
            <w:noProof/>
            <w:webHidden/>
          </w:rPr>
        </w:r>
        <w:r w:rsidR="0092604E">
          <w:rPr>
            <w:noProof/>
            <w:webHidden/>
          </w:rPr>
          <w:fldChar w:fldCharType="separate"/>
        </w:r>
        <w:r w:rsidR="0092604E">
          <w:rPr>
            <w:noProof/>
            <w:webHidden/>
          </w:rPr>
          <w:t>206</w:t>
        </w:r>
        <w:r w:rsidR="0092604E">
          <w:rPr>
            <w:noProof/>
            <w:webHidden/>
          </w:rPr>
          <w:fldChar w:fldCharType="end"/>
        </w:r>
      </w:hyperlink>
    </w:p>
    <w:p w14:paraId="7B29B3EE" w14:textId="6600EBCA"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32" w:history="1">
        <w:r w:rsidR="0092604E" w:rsidRPr="00CE5FEB">
          <w:rPr>
            <w:rStyle w:val="Hyperlink"/>
            <w:noProof/>
          </w:rPr>
          <w:t>Table 49: Employment by occupations</w:t>
        </w:r>
        <w:r w:rsidR="0092604E">
          <w:rPr>
            <w:noProof/>
            <w:webHidden/>
          </w:rPr>
          <w:tab/>
        </w:r>
        <w:r w:rsidR="0092604E">
          <w:rPr>
            <w:noProof/>
            <w:webHidden/>
          </w:rPr>
          <w:fldChar w:fldCharType="begin"/>
        </w:r>
        <w:r w:rsidR="0092604E">
          <w:rPr>
            <w:noProof/>
            <w:webHidden/>
          </w:rPr>
          <w:instrText xml:space="preserve"> PAGEREF _Toc157679932 \h </w:instrText>
        </w:r>
        <w:r w:rsidR="0092604E">
          <w:rPr>
            <w:noProof/>
            <w:webHidden/>
          </w:rPr>
        </w:r>
        <w:r w:rsidR="0092604E">
          <w:rPr>
            <w:noProof/>
            <w:webHidden/>
          </w:rPr>
          <w:fldChar w:fldCharType="separate"/>
        </w:r>
        <w:r w:rsidR="0092604E">
          <w:rPr>
            <w:noProof/>
            <w:webHidden/>
          </w:rPr>
          <w:t>207</w:t>
        </w:r>
        <w:r w:rsidR="0092604E">
          <w:rPr>
            <w:noProof/>
            <w:webHidden/>
          </w:rPr>
          <w:fldChar w:fldCharType="end"/>
        </w:r>
      </w:hyperlink>
    </w:p>
    <w:p w14:paraId="09E8BD22" w14:textId="5538117F"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33" w:history="1">
        <w:r w:rsidR="0092604E" w:rsidRPr="00CE5FEB">
          <w:rPr>
            <w:rStyle w:val="Hyperlink"/>
            <w:noProof/>
          </w:rPr>
          <w:t>Table 50: Sectoral employment, share in total employment (%)</w:t>
        </w:r>
        <w:r w:rsidR="0092604E">
          <w:rPr>
            <w:noProof/>
            <w:webHidden/>
          </w:rPr>
          <w:tab/>
        </w:r>
        <w:r w:rsidR="0092604E">
          <w:rPr>
            <w:noProof/>
            <w:webHidden/>
          </w:rPr>
          <w:fldChar w:fldCharType="begin"/>
        </w:r>
        <w:r w:rsidR="0092604E">
          <w:rPr>
            <w:noProof/>
            <w:webHidden/>
          </w:rPr>
          <w:instrText xml:space="preserve"> PAGEREF _Toc157679933 \h </w:instrText>
        </w:r>
        <w:r w:rsidR="0092604E">
          <w:rPr>
            <w:noProof/>
            <w:webHidden/>
          </w:rPr>
        </w:r>
        <w:r w:rsidR="0092604E">
          <w:rPr>
            <w:noProof/>
            <w:webHidden/>
          </w:rPr>
          <w:fldChar w:fldCharType="separate"/>
        </w:r>
        <w:r w:rsidR="0092604E">
          <w:rPr>
            <w:noProof/>
            <w:webHidden/>
          </w:rPr>
          <w:t>208</w:t>
        </w:r>
        <w:r w:rsidR="0092604E">
          <w:rPr>
            <w:noProof/>
            <w:webHidden/>
          </w:rPr>
          <w:fldChar w:fldCharType="end"/>
        </w:r>
      </w:hyperlink>
    </w:p>
    <w:p w14:paraId="40AC64A5" w14:textId="5E03DC6D"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34" w:history="1">
        <w:r w:rsidR="0092604E" w:rsidRPr="00CE5FEB">
          <w:rPr>
            <w:rStyle w:val="Hyperlink"/>
            <w:noProof/>
          </w:rPr>
          <w:t>Table 51: Average annual renovations in residential and tertiary sectors</w:t>
        </w:r>
        <w:r w:rsidR="0092604E">
          <w:rPr>
            <w:noProof/>
            <w:webHidden/>
          </w:rPr>
          <w:tab/>
        </w:r>
        <w:r w:rsidR="0092604E">
          <w:rPr>
            <w:noProof/>
            <w:webHidden/>
          </w:rPr>
          <w:fldChar w:fldCharType="begin"/>
        </w:r>
        <w:r w:rsidR="0092604E">
          <w:rPr>
            <w:noProof/>
            <w:webHidden/>
          </w:rPr>
          <w:instrText xml:space="preserve"> PAGEREF _Toc157679934 \h </w:instrText>
        </w:r>
        <w:r w:rsidR="0092604E">
          <w:rPr>
            <w:noProof/>
            <w:webHidden/>
          </w:rPr>
        </w:r>
        <w:r w:rsidR="0092604E">
          <w:rPr>
            <w:noProof/>
            <w:webHidden/>
          </w:rPr>
          <w:fldChar w:fldCharType="separate"/>
        </w:r>
        <w:r w:rsidR="0092604E">
          <w:rPr>
            <w:noProof/>
            <w:webHidden/>
          </w:rPr>
          <w:t>211</w:t>
        </w:r>
        <w:r w:rsidR="0092604E">
          <w:rPr>
            <w:noProof/>
            <w:webHidden/>
          </w:rPr>
          <w:fldChar w:fldCharType="end"/>
        </w:r>
      </w:hyperlink>
    </w:p>
    <w:p w14:paraId="309DD6A0" w14:textId="31413B04"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35" w:history="1">
        <w:r w:rsidR="0092604E" w:rsidRPr="00CE5FEB">
          <w:rPr>
            <w:rStyle w:val="Hyperlink"/>
            <w:noProof/>
          </w:rPr>
          <w:t>Table 52: Changes in relative prices, S1 and S3 vs. S2 (% change)</w:t>
        </w:r>
        <w:r w:rsidR="0092604E">
          <w:rPr>
            <w:noProof/>
            <w:webHidden/>
          </w:rPr>
          <w:tab/>
        </w:r>
        <w:r w:rsidR="0092604E">
          <w:rPr>
            <w:noProof/>
            <w:webHidden/>
          </w:rPr>
          <w:fldChar w:fldCharType="begin"/>
        </w:r>
        <w:r w:rsidR="0092604E">
          <w:rPr>
            <w:noProof/>
            <w:webHidden/>
          </w:rPr>
          <w:instrText xml:space="preserve"> PAGEREF _Toc157679935 \h </w:instrText>
        </w:r>
        <w:r w:rsidR="0092604E">
          <w:rPr>
            <w:noProof/>
            <w:webHidden/>
          </w:rPr>
        </w:r>
        <w:r w:rsidR="0092604E">
          <w:rPr>
            <w:noProof/>
            <w:webHidden/>
          </w:rPr>
          <w:fldChar w:fldCharType="separate"/>
        </w:r>
        <w:r w:rsidR="0092604E">
          <w:rPr>
            <w:noProof/>
            <w:webHidden/>
          </w:rPr>
          <w:t>215</w:t>
        </w:r>
        <w:r w:rsidR="0092604E">
          <w:rPr>
            <w:noProof/>
            <w:webHidden/>
          </w:rPr>
          <w:fldChar w:fldCharType="end"/>
        </w:r>
      </w:hyperlink>
    </w:p>
    <w:p w14:paraId="323F72F2" w14:textId="1512BBB9"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36" w:history="1">
        <w:r w:rsidR="0092604E" w:rsidRPr="00CE5FEB">
          <w:rPr>
            <w:rStyle w:val="Hyperlink"/>
            <w:noProof/>
          </w:rPr>
          <w:t>Table 53: National per capita emissions and range across regions</w:t>
        </w:r>
        <w:r w:rsidR="0092604E">
          <w:rPr>
            <w:noProof/>
            <w:webHidden/>
          </w:rPr>
          <w:tab/>
        </w:r>
        <w:r w:rsidR="0092604E">
          <w:rPr>
            <w:noProof/>
            <w:webHidden/>
          </w:rPr>
          <w:fldChar w:fldCharType="begin"/>
        </w:r>
        <w:r w:rsidR="0092604E">
          <w:rPr>
            <w:noProof/>
            <w:webHidden/>
          </w:rPr>
          <w:instrText xml:space="preserve"> PAGEREF _Toc157679936 \h </w:instrText>
        </w:r>
        <w:r w:rsidR="0092604E">
          <w:rPr>
            <w:noProof/>
            <w:webHidden/>
          </w:rPr>
        </w:r>
        <w:r w:rsidR="0092604E">
          <w:rPr>
            <w:noProof/>
            <w:webHidden/>
          </w:rPr>
          <w:fldChar w:fldCharType="separate"/>
        </w:r>
        <w:r w:rsidR="0092604E">
          <w:rPr>
            <w:noProof/>
            <w:webHidden/>
          </w:rPr>
          <w:t>220</w:t>
        </w:r>
        <w:r w:rsidR="0092604E">
          <w:rPr>
            <w:noProof/>
            <w:webHidden/>
          </w:rPr>
          <w:fldChar w:fldCharType="end"/>
        </w:r>
      </w:hyperlink>
    </w:p>
    <w:p w14:paraId="472977F1" w14:textId="43E0A616"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37" w:history="1">
        <w:r w:rsidR="0092604E" w:rsidRPr="00CE5FEB">
          <w:rPr>
            <w:rStyle w:val="Hyperlink"/>
            <w:noProof/>
          </w:rPr>
          <w:t>Table 54: Sectoral per capita emissions and range across regions in 1990</w:t>
        </w:r>
        <w:r w:rsidR="0092604E">
          <w:rPr>
            <w:noProof/>
            <w:webHidden/>
          </w:rPr>
          <w:tab/>
        </w:r>
        <w:r w:rsidR="0092604E">
          <w:rPr>
            <w:noProof/>
            <w:webHidden/>
          </w:rPr>
          <w:fldChar w:fldCharType="begin"/>
        </w:r>
        <w:r w:rsidR="0092604E">
          <w:rPr>
            <w:noProof/>
            <w:webHidden/>
          </w:rPr>
          <w:instrText xml:space="preserve"> PAGEREF _Toc157679937 \h </w:instrText>
        </w:r>
        <w:r w:rsidR="0092604E">
          <w:rPr>
            <w:noProof/>
            <w:webHidden/>
          </w:rPr>
        </w:r>
        <w:r w:rsidR="0092604E">
          <w:rPr>
            <w:noProof/>
            <w:webHidden/>
          </w:rPr>
          <w:fldChar w:fldCharType="separate"/>
        </w:r>
        <w:r w:rsidR="0092604E">
          <w:rPr>
            <w:noProof/>
            <w:webHidden/>
          </w:rPr>
          <w:t>223</w:t>
        </w:r>
        <w:r w:rsidR="0092604E">
          <w:rPr>
            <w:noProof/>
            <w:webHidden/>
          </w:rPr>
          <w:fldChar w:fldCharType="end"/>
        </w:r>
      </w:hyperlink>
    </w:p>
    <w:p w14:paraId="1CEB4413" w14:textId="0987DC0D"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38" w:history="1">
        <w:r w:rsidR="0092604E" w:rsidRPr="00CE5FEB">
          <w:rPr>
            <w:rStyle w:val="Hyperlink"/>
            <w:noProof/>
          </w:rPr>
          <w:t>Table 55: Sectoral per capita emissions and range across regions in 2021</w:t>
        </w:r>
        <w:r w:rsidR="0092604E">
          <w:rPr>
            <w:noProof/>
            <w:webHidden/>
          </w:rPr>
          <w:tab/>
        </w:r>
        <w:r w:rsidR="0092604E">
          <w:rPr>
            <w:noProof/>
            <w:webHidden/>
          </w:rPr>
          <w:fldChar w:fldCharType="begin"/>
        </w:r>
        <w:r w:rsidR="0092604E">
          <w:rPr>
            <w:noProof/>
            <w:webHidden/>
          </w:rPr>
          <w:instrText xml:space="preserve"> PAGEREF _Toc157679938 \h </w:instrText>
        </w:r>
        <w:r w:rsidR="0092604E">
          <w:rPr>
            <w:noProof/>
            <w:webHidden/>
          </w:rPr>
        </w:r>
        <w:r w:rsidR="0092604E">
          <w:rPr>
            <w:noProof/>
            <w:webHidden/>
          </w:rPr>
          <w:fldChar w:fldCharType="separate"/>
        </w:r>
        <w:r w:rsidR="0092604E">
          <w:rPr>
            <w:noProof/>
            <w:webHidden/>
          </w:rPr>
          <w:t>224</w:t>
        </w:r>
        <w:r w:rsidR="0092604E">
          <w:rPr>
            <w:noProof/>
            <w:webHidden/>
          </w:rPr>
          <w:fldChar w:fldCharType="end"/>
        </w:r>
      </w:hyperlink>
    </w:p>
    <w:p w14:paraId="089F597C" w14:textId="4A4C3490" w:rsidR="0092604E" w:rsidRDefault="009245CF">
      <w:pPr>
        <w:pStyle w:val="TableofFigures"/>
        <w:tabs>
          <w:tab w:val="right" w:leader="dot" w:pos="8608"/>
        </w:tabs>
        <w:rPr>
          <w:rFonts w:asciiTheme="minorHAnsi" w:eastAsiaTheme="minorEastAsia" w:hAnsiTheme="minorHAnsi" w:cstheme="minorBidi"/>
          <w:noProof/>
          <w:kern w:val="2"/>
          <w:sz w:val="22"/>
          <w:szCs w:val="22"/>
          <w:lang w:val="en-IE"/>
          <w14:ligatures w14:val="standardContextual"/>
        </w:rPr>
      </w:pPr>
      <w:hyperlink w:anchor="_Toc157679939" w:history="1">
        <w:r w:rsidR="0092604E" w:rsidRPr="00CE5FEB">
          <w:rPr>
            <w:rStyle w:val="Hyperlink"/>
            <w:noProof/>
          </w:rPr>
          <w:t>Table 56: Macroeconomic impacts of energy price shocks (deviation from baseline)</w:t>
        </w:r>
        <w:r w:rsidR="0092604E">
          <w:rPr>
            <w:noProof/>
            <w:webHidden/>
          </w:rPr>
          <w:tab/>
        </w:r>
        <w:r w:rsidR="0092604E">
          <w:rPr>
            <w:noProof/>
            <w:webHidden/>
          </w:rPr>
          <w:fldChar w:fldCharType="begin"/>
        </w:r>
        <w:r w:rsidR="0092604E">
          <w:rPr>
            <w:noProof/>
            <w:webHidden/>
          </w:rPr>
          <w:instrText xml:space="preserve"> PAGEREF _Toc157679939 \h </w:instrText>
        </w:r>
        <w:r w:rsidR="0092604E">
          <w:rPr>
            <w:noProof/>
            <w:webHidden/>
          </w:rPr>
        </w:r>
        <w:r w:rsidR="0092604E">
          <w:rPr>
            <w:noProof/>
            <w:webHidden/>
          </w:rPr>
          <w:fldChar w:fldCharType="separate"/>
        </w:r>
        <w:r w:rsidR="0092604E">
          <w:rPr>
            <w:noProof/>
            <w:webHidden/>
          </w:rPr>
          <w:t>233</w:t>
        </w:r>
        <w:r w:rsidR="0092604E">
          <w:rPr>
            <w:noProof/>
            <w:webHidden/>
          </w:rPr>
          <w:fldChar w:fldCharType="end"/>
        </w:r>
      </w:hyperlink>
    </w:p>
    <w:p w14:paraId="10EEA7C6" w14:textId="64388F96" w:rsidR="00771CF2" w:rsidRDefault="00771CF2" w:rsidP="00737A0B">
      <w:pPr>
        <w:pStyle w:val="TableofFigures"/>
        <w:tabs>
          <w:tab w:val="right" w:leader="dot" w:pos="8608"/>
        </w:tabs>
        <w:rPr>
          <w:noProof/>
        </w:rPr>
      </w:pPr>
      <w:r>
        <w:rPr>
          <w:noProof/>
        </w:rPr>
        <w:fldChar w:fldCharType="end"/>
      </w:r>
      <w:bookmarkEnd w:id="7"/>
    </w:p>
    <w:sectPr w:rsidR="00771CF2" w:rsidSect="006A679F">
      <w:headerReference w:type="even" r:id="rId239"/>
      <w:headerReference w:type="default" r:id="rId240"/>
      <w:footerReference w:type="even" r:id="rId241"/>
      <w:footerReference w:type="default" r:id="rId242"/>
      <w:headerReference w:type="first" r:id="rId243"/>
      <w:footerReference w:type="first" r:id="rId244"/>
      <w:pgSz w:w="11906" w:h="16838"/>
      <w:pgMar w:top="1020" w:right="1701" w:bottom="1020" w:left="1587" w:header="601" w:footer="107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0F5D8C" w14:textId="77777777" w:rsidR="001C609A" w:rsidRDefault="001C609A">
      <w:pPr>
        <w:spacing w:after="0"/>
      </w:pPr>
      <w:r>
        <w:separator/>
      </w:r>
    </w:p>
    <w:p w14:paraId="7784A231" w14:textId="77777777" w:rsidR="001C609A" w:rsidRDefault="001C609A"/>
  </w:endnote>
  <w:endnote w:type="continuationSeparator" w:id="0">
    <w:p w14:paraId="156F5702" w14:textId="77777777" w:rsidR="001C609A" w:rsidRDefault="001C609A">
      <w:pPr>
        <w:spacing w:after="0"/>
      </w:pPr>
      <w:r>
        <w:continuationSeparator/>
      </w:r>
    </w:p>
    <w:p w14:paraId="6B69B400" w14:textId="77777777" w:rsidR="001C609A" w:rsidRDefault="001C609A"/>
  </w:endnote>
  <w:endnote w:type="continuationNotice" w:id="1">
    <w:p w14:paraId="082BB697" w14:textId="77777777" w:rsidR="001C609A" w:rsidRDefault="001C609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Italic">
    <w:altName w:val="Times New Roman"/>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dy CS)">
    <w:altName w:val="Times New Roman"/>
    <w:charset w:val="00"/>
    <w:family w:val="roman"/>
    <w:pitch w:val="variable"/>
    <w:sig w:usb0="E0002AEF" w:usb1="C0007841"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RijksoverheidSansText">
    <w:altName w:val="Calibri"/>
    <w:panose1 w:val="00000000000000000000"/>
    <w:charset w:val="00"/>
    <w:family w:val="swiss"/>
    <w:notTrueType/>
    <w:pitch w:val="variable"/>
    <w:sig w:usb0="00000087" w:usb1="00000001" w:usb2="00000000" w:usb3="00000000" w:csb0="0000009B" w:csb1="00000000"/>
  </w:font>
  <w:font w:name="CharisSIL">
    <w:altName w:val="Yu Gothic"/>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0002EFF" w:usb1="C000247B" w:usb2="00000009" w:usb3="00000000" w:csb0="000001FF" w:csb1="00000000"/>
  </w:font>
  <w:font w:name="Roboto">
    <w:charset w:val="00"/>
    <w:family w:val="auto"/>
    <w:pitch w:val="variable"/>
    <w:sig w:usb0="E0000AFF" w:usb1="5000217F" w:usb2="00000021" w:usb3="00000000" w:csb0="0000019F" w:csb1="00000000"/>
  </w:font>
  <w:font w:name="EC Square Sans Cond Pro">
    <w:altName w:val="Calibri"/>
    <w:charset w:val="00"/>
    <w:family w:val="swiss"/>
    <w:pitch w:val="variable"/>
    <w:sig w:usb0="20000287" w:usb1="00000001" w:usb2="00000000" w:usb3="00000000" w:csb0="0000019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venir Next LT Pro">
    <w:altName w:val="Arial"/>
    <w:charset w:val="00"/>
    <w:family w:val="swiss"/>
    <w:pitch w:val="variable"/>
    <w:sig w:usb0="00000001" w:usb1="5000204A" w:usb2="00000000" w:usb3="00000000" w:csb0="00000093" w:csb1="00000000"/>
  </w:font>
  <w:font w:name="Elza">
    <w:altName w:val="Calibri"/>
    <w:panose1 w:val="00000000000000000000"/>
    <w:charset w:val="00"/>
    <w:family w:val="swiss"/>
    <w:notTrueType/>
    <w:pitch w:val="default"/>
    <w:sig w:usb0="00000003" w:usb1="00000000" w:usb2="00000000" w:usb3="00000000" w:csb0="00000001" w:csb1="00000000"/>
  </w:font>
  <w:font w:name="Montserrat SemiBold">
    <w:charset w:val="00"/>
    <w:family w:val="auto"/>
    <w:pitch w:val="variable"/>
    <w:sig w:usb0="2000020F" w:usb1="00000003" w:usb2="00000000" w:usb3="00000000" w:csb0="00000197"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CB9D8" w14:textId="3C7A8640" w:rsidR="009245CF" w:rsidRPr="009245CF" w:rsidRDefault="009245CF" w:rsidP="009245CF">
    <w:pPr>
      <w:pStyle w:val="FooterCoverPage"/>
      <w:rPr>
        <w:rFonts w:ascii="Arial" w:hAnsi="Arial" w:cs="Arial"/>
        <w:b/>
        <w:sz w:val="48"/>
      </w:rPr>
    </w:pPr>
    <w:r w:rsidRPr="009245CF">
      <w:rPr>
        <w:rFonts w:ascii="Arial" w:hAnsi="Arial" w:cs="Arial"/>
        <w:b/>
        <w:sz w:val="48"/>
      </w:rPr>
      <w:t>EN</w:t>
    </w:r>
    <w:r w:rsidRPr="009245CF">
      <w:rPr>
        <w:rFonts w:ascii="Arial" w:hAnsi="Arial" w:cs="Arial"/>
        <w:b/>
        <w:sz w:val="48"/>
      </w:rPr>
      <w:tab/>
    </w:r>
    <w:r w:rsidRPr="009245CF">
      <w:rPr>
        <w:rFonts w:ascii="Arial" w:hAnsi="Arial" w:cs="Arial"/>
        <w:b/>
        <w:sz w:val="48"/>
      </w:rPr>
      <w:tab/>
    </w:r>
    <w:r w:rsidRPr="009245CF">
      <w:tab/>
    </w:r>
    <w:r w:rsidRPr="009245CF">
      <w:rPr>
        <w:rFonts w:ascii="Arial" w:hAnsi="Arial" w:cs="Arial"/>
        <w:b/>
        <w:sz w:val="48"/>
      </w:rPr>
      <w:t>EN</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6C1A00" w14:textId="6C311535" w:rsidR="009245CF" w:rsidRPr="009245CF" w:rsidRDefault="009245CF" w:rsidP="009245CF">
    <w:pPr>
      <w:pStyle w:val="FooterCoverPage"/>
      <w:rPr>
        <w:rFonts w:ascii="Arial" w:hAnsi="Arial" w:cs="Arial"/>
        <w:b/>
        <w:sz w:val="48"/>
      </w:rPr>
    </w:pPr>
    <w:r w:rsidRPr="009245CF">
      <w:rPr>
        <w:rFonts w:ascii="Arial" w:hAnsi="Arial" w:cs="Arial"/>
        <w:b/>
        <w:sz w:val="48"/>
      </w:rPr>
      <w:t>EN</w:t>
    </w:r>
    <w:r w:rsidRPr="009245CF">
      <w:rPr>
        <w:rFonts w:ascii="Arial" w:hAnsi="Arial" w:cs="Arial"/>
        <w:b/>
        <w:sz w:val="48"/>
      </w:rPr>
      <w:tab/>
    </w:r>
    <w:r w:rsidRPr="009245CF">
      <w:rPr>
        <w:rFonts w:ascii="Arial" w:hAnsi="Arial" w:cs="Arial"/>
        <w:b/>
        <w:sz w:val="48"/>
      </w:rPr>
      <w:tab/>
    </w:r>
    <w:r w:rsidRPr="009245CF">
      <w:tab/>
    </w:r>
    <w:r w:rsidRPr="009245CF">
      <w:rPr>
        <w:rFonts w:ascii="Arial" w:hAnsi="Arial" w:cs="Arial"/>
        <w:b/>
        <w:sz w:val="48"/>
      </w:rPr>
      <w:t>EN</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F810CE" w14:textId="77777777" w:rsidR="009245CF" w:rsidRPr="009245CF" w:rsidRDefault="009245CF" w:rsidP="009245CF">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EC0101" w14:textId="77777777" w:rsidR="00A1313E" w:rsidRDefault="00A1313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2751941"/>
      <w:docPartObj>
        <w:docPartGallery w:val="Page Numbers (Bottom of Page)"/>
        <w:docPartUnique/>
      </w:docPartObj>
    </w:sdtPr>
    <w:sdtEndPr>
      <w:rPr>
        <w:noProof/>
      </w:rPr>
    </w:sdtEndPr>
    <w:sdtContent>
      <w:p w14:paraId="1012C3FA" w14:textId="7A294E9E" w:rsidR="00DA44B1" w:rsidRDefault="00DA44B1">
        <w:pPr>
          <w:pStyle w:val="Footer"/>
          <w:jc w:val="right"/>
        </w:pPr>
        <w:r>
          <w:fldChar w:fldCharType="begin"/>
        </w:r>
        <w:r>
          <w:instrText xml:space="preserve"> PAGE   \* MERGEFORMAT </w:instrText>
        </w:r>
        <w:r>
          <w:fldChar w:fldCharType="separate"/>
        </w:r>
        <w:r w:rsidR="005D6F5C">
          <w:rPr>
            <w:noProof/>
          </w:rPr>
          <w:t>16</w:t>
        </w:r>
        <w:r>
          <w:rPr>
            <w:noProof/>
          </w:rPr>
          <w:fldChar w:fldCharType="end"/>
        </w:r>
      </w:p>
    </w:sdtContent>
  </w:sdt>
  <w:p w14:paraId="289B0848" w14:textId="77777777" w:rsidR="00A1313E" w:rsidRDefault="00A1313E">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ADFAD" w14:textId="4DF6F747" w:rsidR="00DA44B1" w:rsidRDefault="00DA44B1">
    <w:pPr>
      <w:pStyle w:val="Footer"/>
      <w:jc w:val="right"/>
    </w:pPr>
    <w:r>
      <w:fldChar w:fldCharType="begin"/>
    </w:r>
    <w:r>
      <w:instrText xml:space="preserve"> PAGE   \* MERGEFORMAT </w:instrText>
    </w:r>
    <w:r>
      <w:fldChar w:fldCharType="separate"/>
    </w:r>
    <w:r w:rsidR="009245CF">
      <w:rPr>
        <w:noProof/>
      </w:rPr>
      <w:t>1</w:t>
    </w:r>
    <w:r>
      <w:rPr>
        <w:noProof/>
      </w:rPr>
      <w:fldChar w:fldCharType="end"/>
    </w:r>
  </w:p>
  <w:p w14:paraId="02A84151" w14:textId="77777777" w:rsidR="00A1313E" w:rsidRDefault="00A1313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03B30C" w14:textId="77777777" w:rsidR="00181FE9" w:rsidRDefault="00181FE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3035551"/>
      <w:docPartObj>
        <w:docPartGallery w:val="Page Numbers (Bottom of Page)"/>
        <w:docPartUnique/>
      </w:docPartObj>
    </w:sdtPr>
    <w:sdtEndPr>
      <w:rPr>
        <w:noProof/>
      </w:rPr>
    </w:sdtEndPr>
    <w:sdtContent>
      <w:p w14:paraId="6161D978" w14:textId="77777777" w:rsidR="00D36593" w:rsidRDefault="00D36593">
        <w:pPr>
          <w:pStyle w:val="Foote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17</w:t>
        </w:r>
        <w:r>
          <w:rPr>
            <w:color w:val="2B579A"/>
            <w:shd w:val="clear" w:color="auto" w:fill="E6E6E6"/>
          </w:rPr>
          <w:fldChar w:fldCharType="end"/>
        </w:r>
      </w:p>
    </w:sdtContent>
  </w:sdt>
  <w:p w14:paraId="01E0B1EE" w14:textId="77777777" w:rsidR="00181FE9" w:rsidRDefault="00181FE9">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3606AB" w14:textId="6A4B3AD5" w:rsidR="00DD41DF" w:rsidRDefault="00DD41DF">
    <w:pPr>
      <w:pStyle w:val="Footer"/>
      <w:jc w:val="right"/>
    </w:pPr>
    <w:r>
      <w:fldChar w:fldCharType="begin"/>
    </w:r>
    <w:r>
      <w:instrText xml:space="preserve"> PAGE   \* MERGEFORMAT </w:instrText>
    </w:r>
    <w:r>
      <w:fldChar w:fldCharType="separate"/>
    </w:r>
    <w:r>
      <w:rPr>
        <w:noProof/>
      </w:rPr>
      <w:t>2</w:t>
    </w:r>
    <w:r>
      <w:rPr>
        <w:noProof/>
      </w:rPr>
      <w:fldChar w:fldCharType="end"/>
    </w:r>
  </w:p>
  <w:p w14:paraId="4E67D0EE" w14:textId="77777777" w:rsidR="00181FE9" w:rsidRDefault="00181FE9">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3F762" w14:textId="77777777" w:rsidR="00181FE9" w:rsidRDefault="00181FE9">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9381848"/>
      <w:docPartObj>
        <w:docPartGallery w:val="Page Numbers (Bottom of Page)"/>
        <w:docPartUnique/>
      </w:docPartObj>
    </w:sdtPr>
    <w:sdtEndPr>
      <w:rPr>
        <w:noProof/>
      </w:rPr>
    </w:sdtEndPr>
    <w:sdtContent>
      <w:p w14:paraId="6465B502" w14:textId="1BA629E7" w:rsidR="00DD41DF" w:rsidRDefault="00DD41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DFAA67" w14:textId="77777777" w:rsidR="00181FE9" w:rsidRDefault="00181FE9">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6FBC49" w14:textId="7201F871" w:rsidR="00DD41DF" w:rsidRDefault="00DD41DF">
    <w:pPr>
      <w:pStyle w:val="Footer"/>
      <w:jc w:val="right"/>
    </w:pPr>
    <w:r>
      <w:fldChar w:fldCharType="begin"/>
    </w:r>
    <w:r>
      <w:instrText xml:space="preserve"> PAGE   \* MERGEFORMAT </w:instrText>
    </w:r>
    <w:r>
      <w:fldChar w:fldCharType="separate"/>
    </w:r>
    <w:r>
      <w:rPr>
        <w:noProof/>
      </w:rPr>
      <w:t>2</w:t>
    </w:r>
    <w:r>
      <w:rPr>
        <w:noProof/>
      </w:rPr>
      <w:fldChar w:fldCharType="end"/>
    </w:r>
  </w:p>
  <w:p w14:paraId="6829DC12" w14:textId="77777777" w:rsidR="00181FE9" w:rsidRDefault="00181FE9">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18D58A" w14:textId="77777777" w:rsidR="00181FE9" w:rsidRDefault="00181FE9">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041805"/>
      <w:docPartObj>
        <w:docPartGallery w:val="Page Numbers (Bottom of Page)"/>
        <w:docPartUnique/>
      </w:docPartObj>
    </w:sdtPr>
    <w:sdtEndPr>
      <w:rPr>
        <w:noProof/>
      </w:rPr>
    </w:sdtEndPr>
    <w:sdtContent>
      <w:p w14:paraId="6F221E3F" w14:textId="77777777" w:rsidR="00D36593" w:rsidRDefault="00D36593">
        <w:pPr>
          <w:pStyle w:val="Foote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17</w:t>
        </w:r>
        <w:r>
          <w:rPr>
            <w:color w:val="2B579A"/>
            <w:shd w:val="clear" w:color="auto" w:fill="E6E6E6"/>
          </w:rPr>
          <w:fldChar w:fldCharType="end"/>
        </w:r>
      </w:p>
    </w:sdtContent>
  </w:sdt>
  <w:p w14:paraId="0AEF4F3A" w14:textId="77777777" w:rsidR="00181FE9" w:rsidRDefault="00181FE9">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B041E" w14:textId="15869D74" w:rsidR="00DD41DF" w:rsidRDefault="00DD41DF">
    <w:pPr>
      <w:pStyle w:val="Footer"/>
      <w:jc w:val="right"/>
    </w:pPr>
    <w:r>
      <w:fldChar w:fldCharType="begin"/>
    </w:r>
    <w:r>
      <w:instrText xml:space="preserve"> PAGE   \* MERGEFORMAT </w:instrText>
    </w:r>
    <w:r>
      <w:fldChar w:fldCharType="separate"/>
    </w:r>
    <w:r>
      <w:rPr>
        <w:noProof/>
      </w:rPr>
      <w:t>2</w:t>
    </w:r>
    <w:r>
      <w:rPr>
        <w:noProof/>
      </w:rPr>
      <w:fldChar w:fldCharType="end"/>
    </w:r>
  </w:p>
  <w:p w14:paraId="04B73A5B" w14:textId="77777777" w:rsidR="00181FE9" w:rsidRDefault="00181FE9">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47F5B3" w14:textId="77777777" w:rsidR="00181FE9" w:rsidRDefault="00181FE9">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8265363"/>
      <w:docPartObj>
        <w:docPartGallery w:val="Page Numbers (Bottom of Page)"/>
        <w:docPartUnique/>
      </w:docPartObj>
    </w:sdtPr>
    <w:sdtEndPr>
      <w:rPr>
        <w:noProof/>
      </w:rPr>
    </w:sdtEndPr>
    <w:sdtContent>
      <w:p w14:paraId="6319F2F3" w14:textId="6F8B04BC" w:rsidR="00DD41DF" w:rsidRDefault="00DD41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A12706" w14:textId="77777777" w:rsidR="00181FE9" w:rsidRDefault="00181FE9">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F6146D" w14:textId="613E95DD" w:rsidR="00DD41DF" w:rsidRDefault="00DD41DF">
    <w:pPr>
      <w:pStyle w:val="Footer"/>
      <w:jc w:val="right"/>
    </w:pPr>
    <w:r>
      <w:fldChar w:fldCharType="begin"/>
    </w:r>
    <w:r>
      <w:instrText xml:space="preserve"> PAGE   \* MERGEFORMAT </w:instrText>
    </w:r>
    <w:r>
      <w:fldChar w:fldCharType="separate"/>
    </w:r>
    <w:r>
      <w:rPr>
        <w:noProof/>
      </w:rPr>
      <w:t>2</w:t>
    </w:r>
    <w:r>
      <w:rPr>
        <w:noProof/>
      </w:rPr>
      <w:fldChar w:fldCharType="end"/>
    </w:r>
  </w:p>
  <w:p w14:paraId="101A0726" w14:textId="77777777" w:rsidR="00181FE9" w:rsidRDefault="00181FE9">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C58A9" w14:textId="77777777" w:rsidR="00181FE9" w:rsidRDefault="00181FE9">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8448928"/>
      <w:docPartObj>
        <w:docPartGallery w:val="Page Numbers (Bottom of Page)"/>
        <w:docPartUnique/>
      </w:docPartObj>
    </w:sdtPr>
    <w:sdtEndPr>
      <w:rPr>
        <w:noProof/>
      </w:rPr>
    </w:sdtEndPr>
    <w:sdtContent>
      <w:p w14:paraId="4DD2A13B" w14:textId="77777777" w:rsidR="00D36593" w:rsidRDefault="00D36593">
        <w:pPr>
          <w:pStyle w:val="Foote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17</w:t>
        </w:r>
        <w:r>
          <w:rPr>
            <w:color w:val="2B579A"/>
            <w:shd w:val="clear" w:color="auto" w:fill="E6E6E6"/>
          </w:rPr>
          <w:fldChar w:fldCharType="end"/>
        </w:r>
      </w:p>
    </w:sdtContent>
  </w:sdt>
  <w:p w14:paraId="2480364B" w14:textId="77777777" w:rsidR="00181FE9" w:rsidRDefault="00181FE9">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A8C32" w14:textId="2221AEAA" w:rsidR="00DD41DF" w:rsidRDefault="00DD41DF">
    <w:pPr>
      <w:pStyle w:val="Footer"/>
      <w:jc w:val="right"/>
    </w:pPr>
    <w:r>
      <w:fldChar w:fldCharType="begin"/>
    </w:r>
    <w:r>
      <w:instrText xml:space="preserve"> PAGE   \* MERGEFORMAT </w:instrText>
    </w:r>
    <w:r>
      <w:fldChar w:fldCharType="separate"/>
    </w:r>
    <w:r>
      <w:rPr>
        <w:noProof/>
      </w:rPr>
      <w:t>2</w:t>
    </w:r>
    <w:r>
      <w:rPr>
        <w:noProof/>
      </w:rPr>
      <w:fldChar w:fldCharType="end"/>
    </w:r>
  </w:p>
  <w:p w14:paraId="479EF015" w14:textId="77777777" w:rsidR="00181FE9" w:rsidRDefault="00181FE9">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4771D6" w14:textId="77777777" w:rsidR="00181FE9" w:rsidRDefault="00181FE9">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5690723"/>
      <w:docPartObj>
        <w:docPartGallery w:val="Page Numbers (Bottom of Page)"/>
        <w:docPartUnique/>
      </w:docPartObj>
    </w:sdtPr>
    <w:sdtEndPr>
      <w:rPr>
        <w:noProof/>
      </w:rPr>
    </w:sdtEndPr>
    <w:sdtContent>
      <w:p w14:paraId="5410BE86" w14:textId="6A77FDC5" w:rsidR="00DD41DF" w:rsidRDefault="00DD41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1F0C97" w14:textId="77777777" w:rsidR="00181FE9" w:rsidRDefault="00181FE9">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399BE" w14:textId="50DB2CE9" w:rsidR="00DD41DF" w:rsidRDefault="00DD41DF">
    <w:pPr>
      <w:pStyle w:val="Footer"/>
      <w:jc w:val="right"/>
    </w:pPr>
    <w:r>
      <w:fldChar w:fldCharType="begin"/>
    </w:r>
    <w:r>
      <w:instrText xml:space="preserve"> PAGE   \* MERGEFORMAT </w:instrText>
    </w:r>
    <w:r>
      <w:fldChar w:fldCharType="separate"/>
    </w:r>
    <w:r>
      <w:rPr>
        <w:noProof/>
      </w:rPr>
      <w:t>2</w:t>
    </w:r>
    <w:r>
      <w:rPr>
        <w:noProof/>
      </w:rPr>
      <w:fldChar w:fldCharType="end"/>
    </w:r>
  </w:p>
  <w:p w14:paraId="0148E8C9" w14:textId="77777777" w:rsidR="00181FE9" w:rsidRDefault="00181FE9">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E2B2DB" w14:textId="77777777" w:rsidR="00181FE9" w:rsidRDefault="00181FE9">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9213571"/>
      <w:docPartObj>
        <w:docPartGallery w:val="Page Numbers (Bottom of Page)"/>
        <w:docPartUnique/>
      </w:docPartObj>
    </w:sdtPr>
    <w:sdtEndPr>
      <w:rPr>
        <w:noProof/>
      </w:rPr>
    </w:sdtEndPr>
    <w:sdtContent>
      <w:p w14:paraId="7EB61692" w14:textId="77777777" w:rsidR="00D36593" w:rsidRDefault="00D36593">
        <w:pPr>
          <w:pStyle w:val="Foote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17</w:t>
        </w:r>
        <w:r>
          <w:rPr>
            <w:color w:val="2B579A"/>
            <w:shd w:val="clear" w:color="auto" w:fill="E6E6E6"/>
          </w:rPr>
          <w:fldChar w:fldCharType="end"/>
        </w:r>
      </w:p>
    </w:sdtContent>
  </w:sdt>
  <w:p w14:paraId="2A8CD188" w14:textId="77777777" w:rsidR="00181FE9" w:rsidRDefault="00181FE9">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0B73F" w14:textId="64D54C90" w:rsidR="00DD41DF" w:rsidRDefault="00DD41DF">
    <w:pPr>
      <w:pStyle w:val="Footer"/>
      <w:jc w:val="right"/>
    </w:pPr>
    <w:r>
      <w:fldChar w:fldCharType="begin"/>
    </w:r>
    <w:r>
      <w:instrText xml:space="preserve"> PAGE   \* MERGEFORMAT </w:instrText>
    </w:r>
    <w:r>
      <w:fldChar w:fldCharType="separate"/>
    </w:r>
    <w:r>
      <w:rPr>
        <w:noProof/>
      </w:rPr>
      <w:t>2</w:t>
    </w:r>
    <w:r>
      <w:rPr>
        <w:noProof/>
      </w:rPr>
      <w:fldChar w:fldCharType="end"/>
    </w:r>
  </w:p>
  <w:p w14:paraId="5E253CCA" w14:textId="77777777" w:rsidR="00181FE9" w:rsidRDefault="00181FE9">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DF161E" w14:textId="77777777" w:rsidR="00181FE9" w:rsidRDefault="00181FE9">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1749434"/>
      <w:docPartObj>
        <w:docPartGallery w:val="Page Numbers (Bottom of Page)"/>
        <w:docPartUnique/>
      </w:docPartObj>
    </w:sdtPr>
    <w:sdtEndPr>
      <w:rPr>
        <w:noProof/>
      </w:rPr>
    </w:sdtEndPr>
    <w:sdtContent>
      <w:p w14:paraId="20475B10" w14:textId="58B153C2" w:rsidR="00DD41DF" w:rsidRDefault="00DD41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DFDF47" w14:textId="77777777" w:rsidR="00181FE9" w:rsidRDefault="00181FE9">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6D576" w14:textId="7EEB30C9" w:rsidR="00DD41DF" w:rsidRDefault="00DD41DF">
    <w:pPr>
      <w:pStyle w:val="Footer"/>
      <w:jc w:val="right"/>
    </w:pPr>
    <w:r>
      <w:fldChar w:fldCharType="begin"/>
    </w:r>
    <w:r>
      <w:instrText xml:space="preserve"> PAGE   \* MERGEFORMAT </w:instrText>
    </w:r>
    <w:r>
      <w:fldChar w:fldCharType="separate"/>
    </w:r>
    <w:r>
      <w:rPr>
        <w:noProof/>
      </w:rPr>
      <w:t>2</w:t>
    </w:r>
    <w:r>
      <w:rPr>
        <w:noProof/>
      </w:rPr>
      <w:fldChar w:fldCharType="end"/>
    </w:r>
  </w:p>
  <w:p w14:paraId="77CB7339" w14:textId="77777777" w:rsidR="00181FE9" w:rsidRDefault="00181F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1B98A" w14:textId="77777777" w:rsidR="001C609A" w:rsidRDefault="001C609A">
      <w:pPr>
        <w:spacing w:after="0"/>
      </w:pPr>
      <w:r>
        <w:separator/>
      </w:r>
    </w:p>
    <w:p w14:paraId="3B27A0CD" w14:textId="77777777" w:rsidR="001C609A" w:rsidRDefault="001C609A"/>
  </w:footnote>
  <w:footnote w:type="continuationSeparator" w:id="0">
    <w:p w14:paraId="01E73A7E" w14:textId="77777777" w:rsidR="001C609A" w:rsidRDefault="001C609A">
      <w:pPr>
        <w:spacing w:after="0"/>
      </w:pPr>
      <w:r>
        <w:continuationSeparator/>
      </w:r>
    </w:p>
    <w:p w14:paraId="1EBBA84D" w14:textId="77777777" w:rsidR="001C609A" w:rsidRDefault="001C609A"/>
  </w:footnote>
  <w:footnote w:type="continuationNotice" w:id="1">
    <w:p w14:paraId="123EFF99" w14:textId="77777777" w:rsidR="001C609A" w:rsidRDefault="001C609A">
      <w:pPr>
        <w:spacing w:after="0"/>
      </w:pPr>
    </w:p>
  </w:footnote>
  <w:footnote w:id="2">
    <w:p w14:paraId="19B0231E" w14:textId="77777777" w:rsidR="002731E1" w:rsidRPr="0018224E" w:rsidRDefault="002731E1" w:rsidP="002731E1">
      <w:pPr>
        <w:pStyle w:val="FootnoteText"/>
        <w:rPr>
          <w:lang w:val="en-IE"/>
        </w:rPr>
      </w:pPr>
      <w:r>
        <w:t>(</w:t>
      </w:r>
      <w:r>
        <w:rPr>
          <w:rStyle w:val="FootnoteReference"/>
        </w:rPr>
        <w:footnoteRef/>
      </w:r>
      <w:r>
        <w:t>) The ESABCC provides ranges for intra-EU emissions which do not take into account international emissions under Union Law as in the European Climate Law and analysed in this impact assessment.</w:t>
      </w:r>
    </w:p>
  </w:footnote>
  <w:footnote w:id="3">
    <w:p w14:paraId="17845D6B" w14:textId="58435AD4" w:rsidR="00A1313E" w:rsidRPr="00CE7980" w:rsidRDefault="00A1313E" w:rsidP="004B1F73">
      <w:pPr>
        <w:pStyle w:val="FootnoteText"/>
        <w:rPr>
          <w:lang w:val="en-IE"/>
        </w:rPr>
      </w:pPr>
      <w:r w:rsidRPr="00CE7980">
        <w:rPr>
          <w:lang w:val="en-IE"/>
        </w:rPr>
        <w:t>(</w:t>
      </w:r>
      <w:r>
        <w:rPr>
          <w:rStyle w:val="FootnoteReference"/>
        </w:rPr>
        <w:footnoteRef/>
      </w:r>
      <w:r w:rsidRPr="00CE7980">
        <w:rPr>
          <w:lang w:val="en-IE"/>
        </w:rPr>
        <w:t xml:space="preserve">) Regulation (EU) 2021/1119, </w:t>
      </w:r>
      <w:r w:rsidR="009C1648" w:rsidRPr="00CE7980">
        <w:rPr>
          <w:lang w:val="en-IE"/>
        </w:rPr>
        <w:t>A</w:t>
      </w:r>
      <w:r w:rsidRPr="00CE7980">
        <w:rPr>
          <w:lang w:val="en-IE"/>
        </w:rPr>
        <w:t>rticle 2</w:t>
      </w:r>
    </w:p>
  </w:footnote>
  <w:footnote w:id="4">
    <w:p w14:paraId="055556A9" w14:textId="6E8B5DB7" w:rsidR="00FB652A" w:rsidRPr="00FB652A" w:rsidRDefault="00FB652A">
      <w:pPr>
        <w:pStyle w:val="FootnoteText"/>
        <w:rPr>
          <w:lang w:val="en-IE"/>
        </w:rPr>
      </w:pPr>
      <w:r>
        <w:t>(</w:t>
      </w:r>
      <w:r>
        <w:rPr>
          <w:rStyle w:val="FootnoteReference"/>
        </w:rPr>
        <w:footnoteRef/>
      </w:r>
      <w:r>
        <w:t>)</w:t>
      </w:r>
      <w:r w:rsidRPr="00FB652A">
        <w:t>COM/2021/550 final</w:t>
      </w:r>
    </w:p>
  </w:footnote>
  <w:footnote w:id="5">
    <w:p w14:paraId="1B050706" w14:textId="2CD13F89" w:rsidR="00A1313E" w:rsidRPr="009C1648" w:rsidRDefault="00A1313E">
      <w:pPr>
        <w:pStyle w:val="FootnoteText"/>
        <w:rPr>
          <w:lang w:val="en-IE"/>
        </w:rPr>
      </w:pPr>
      <w:r w:rsidRPr="009C1648">
        <w:rPr>
          <w:lang w:val="en-IE"/>
        </w:rPr>
        <w:t>(</w:t>
      </w:r>
      <w:r>
        <w:rPr>
          <w:rStyle w:val="FootnoteReference"/>
        </w:rPr>
        <w:footnoteRef/>
      </w:r>
      <w:r w:rsidRPr="009C1648">
        <w:rPr>
          <w:lang w:val="en-IE"/>
        </w:rPr>
        <w:t xml:space="preserve">) </w:t>
      </w:r>
      <w:r w:rsidR="009C1648" w:rsidRPr="009C1648">
        <w:rPr>
          <w:lang w:val="en-IE"/>
        </w:rPr>
        <w:t>Regulation (EU) 2015/757 (a</w:t>
      </w:r>
      <w:r w:rsidR="009C1648">
        <w:rPr>
          <w:lang w:val="en-IE"/>
        </w:rPr>
        <w:t xml:space="preserve">mended by </w:t>
      </w:r>
      <w:r w:rsidR="009C1648" w:rsidRPr="009C1648">
        <w:rPr>
          <w:lang w:val="en-IE"/>
        </w:rPr>
        <w:t>Regulation (EU) 2023/957</w:t>
      </w:r>
      <w:r w:rsidR="009C1648">
        <w:rPr>
          <w:lang w:val="en-IE"/>
        </w:rPr>
        <w:t>)</w:t>
      </w:r>
    </w:p>
  </w:footnote>
  <w:footnote w:id="6">
    <w:p w14:paraId="4B6796BC" w14:textId="05DBD454" w:rsidR="00005AE2" w:rsidRPr="001E1672" w:rsidRDefault="00005AE2" w:rsidP="00005AE2">
      <w:pPr>
        <w:pStyle w:val="FootnoteText"/>
        <w:rPr>
          <w:lang w:val="en-IE"/>
        </w:rPr>
      </w:pPr>
      <w:r>
        <w:t>(</w:t>
      </w:r>
      <w:r>
        <w:rPr>
          <w:rStyle w:val="FootnoteReference"/>
        </w:rPr>
        <w:footnoteRef/>
      </w:r>
      <w:r>
        <w:t>)</w:t>
      </w:r>
      <w:r w:rsidR="00287D0F">
        <w:t xml:space="preserve"> </w:t>
      </w:r>
      <w:r>
        <w:t>Not yet commercially available at large scale, such as carbon capture and renewable hydrogen</w:t>
      </w:r>
    </w:p>
  </w:footnote>
  <w:footnote w:id="7">
    <w:p w14:paraId="2CF0674C" w14:textId="670573A5" w:rsidR="00C611C5" w:rsidRPr="002C5911" w:rsidRDefault="00C611C5" w:rsidP="00C611C5">
      <w:pPr>
        <w:pStyle w:val="FootnoteText"/>
      </w:pPr>
      <w:r>
        <w:t>(</w:t>
      </w:r>
      <w:r>
        <w:rPr>
          <w:rStyle w:val="FootnoteReference"/>
        </w:rPr>
        <w:footnoteRef/>
      </w:r>
      <w:r>
        <w:t>)</w:t>
      </w:r>
      <w:r w:rsidR="00287D0F">
        <w:t xml:space="preserve"> </w:t>
      </w:r>
      <w:r w:rsidR="00EF5DE0">
        <w:t>ECEMF</w:t>
      </w:r>
      <w:r w:rsidR="00452F72">
        <w:t xml:space="preserve"> (2023)</w:t>
      </w:r>
      <w:r w:rsidR="00EF5DE0">
        <w:t xml:space="preserve">, </w:t>
      </w:r>
      <w:r w:rsidR="00EF5DE0" w:rsidRPr="00452F72">
        <w:t>ECEMF Policy Brief: Insights on EU2040 targets based on a model intercomparison exercise of EU Climate Neutrality Pathway</w:t>
      </w:r>
      <w:r w:rsidR="00452F72" w:rsidRPr="00452F72">
        <w:t>s</w:t>
      </w:r>
      <w:r w:rsidR="00EF5DE0">
        <w:t xml:space="preserve">. </w:t>
      </w:r>
      <w:r w:rsidR="00EF5DE0" w:rsidRPr="00A546E7">
        <w:t>DOI 10.5281/zenodo.8337667</w:t>
      </w:r>
      <w:r w:rsidR="00CA5F04">
        <w:t xml:space="preserve">. </w:t>
      </w:r>
      <w:hyperlink r:id="rId1" w:history="1">
        <w:r w:rsidR="00C30812" w:rsidRPr="001567DD">
          <w:rPr>
            <w:rStyle w:val="Hyperlink"/>
          </w:rPr>
          <w:t>https://zenodo.org/record/8337668</w:t>
        </w:r>
      </w:hyperlink>
      <w:r w:rsidR="00C30812">
        <w:t xml:space="preserve"> </w:t>
      </w:r>
      <w:r w:rsidR="00CA5F04">
        <w:t xml:space="preserve">Full model range, including international bunkers. </w:t>
      </w:r>
    </w:p>
  </w:footnote>
  <w:footnote w:id="8">
    <w:p w14:paraId="0A858ECE" w14:textId="4D2B9AF1" w:rsidR="00C611C5" w:rsidRPr="002C5911" w:rsidRDefault="00C611C5" w:rsidP="00C611C5">
      <w:pPr>
        <w:pStyle w:val="FootnoteText"/>
      </w:pPr>
      <w:r>
        <w:t>(</w:t>
      </w:r>
      <w:r>
        <w:rPr>
          <w:rStyle w:val="FootnoteReference"/>
        </w:rPr>
        <w:footnoteRef/>
      </w:r>
      <w:r>
        <w:t xml:space="preserve">) </w:t>
      </w:r>
      <w:r w:rsidR="00EF5DE0">
        <w:t>Rodrigues et al</w:t>
      </w:r>
      <w:r w:rsidR="00452F72">
        <w:t xml:space="preserve">., (2023). </w:t>
      </w:r>
      <w:r w:rsidR="00EF5DE0">
        <w:t xml:space="preserve">2040 greenhouse gas reduction targets and energy transitions in line with the EU Green Deal, </w:t>
      </w:r>
      <w:r w:rsidR="00EF5DE0" w:rsidRPr="0023623B">
        <w:rPr>
          <w:i/>
          <w:iCs/>
        </w:rPr>
        <w:t>Nature Communicatio</w:t>
      </w:r>
      <w:r w:rsidR="00EF5DE0">
        <w:rPr>
          <w:i/>
          <w:iCs/>
        </w:rPr>
        <w:t>n</w:t>
      </w:r>
      <w:r w:rsidR="00EF5DE0" w:rsidRPr="0023623B">
        <w:rPr>
          <w:i/>
          <w:iCs/>
        </w:rPr>
        <w:t>,</w:t>
      </w:r>
      <w:r w:rsidR="00EF5DE0">
        <w:t xml:space="preserve"> Under Review.</w:t>
      </w:r>
      <w:r w:rsidR="00CA5F04">
        <w:t xml:space="preserve"> Intra-EU scope. </w:t>
      </w:r>
    </w:p>
  </w:footnote>
  <w:footnote w:id="9">
    <w:p w14:paraId="6C0302D9" w14:textId="5D6D3F01" w:rsidR="00EF5DE0" w:rsidRPr="00534E10" w:rsidRDefault="00EF5DE0">
      <w:pPr>
        <w:pStyle w:val="FootnoteText"/>
        <w:rPr>
          <w:lang w:val="en-IE"/>
        </w:rPr>
      </w:pPr>
      <w:r w:rsidRPr="00C30812">
        <w:t>(</w:t>
      </w:r>
      <w:r w:rsidRPr="00C30812">
        <w:rPr>
          <w:rStyle w:val="FootnoteReference"/>
        </w:rPr>
        <w:footnoteRef/>
      </w:r>
      <w:r w:rsidRPr="00C30812">
        <w:t>)</w:t>
      </w:r>
      <w:r w:rsidRPr="00C30812">
        <w:tab/>
      </w:r>
      <w:r w:rsidRPr="00C30812">
        <w:rPr>
          <w:szCs w:val="20"/>
          <w:lang w:val="en-IE"/>
        </w:rPr>
        <w:t xml:space="preserve">Graf, A., et al. (2023). </w:t>
      </w:r>
      <w:r w:rsidRPr="00C30812">
        <w:rPr>
          <w:szCs w:val="20"/>
        </w:rPr>
        <w:t>Breaking free from fossil gas. A new path to a climate-neutral Europe. Agora Energiewende.</w:t>
      </w:r>
    </w:p>
  </w:footnote>
  <w:footnote w:id="10">
    <w:p w14:paraId="4116EA58" w14:textId="7F2381CB" w:rsidR="00C611C5" w:rsidRPr="00BB0EA4" w:rsidRDefault="00C611C5" w:rsidP="00C611C5">
      <w:pPr>
        <w:pStyle w:val="FootnoteText"/>
      </w:pPr>
      <w:r>
        <w:t>(</w:t>
      </w:r>
      <w:r>
        <w:rPr>
          <w:rStyle w:val="FootnoteReference"/>
        </w:rPr>
        <w:footnoteRef/>
      </w:r>
      <w:r>
        <w:t xml:space="preserve">) </w:t>
      </w:r>
      <w:r w:rsidRPr="009B2276">
        <w:rPr>
          <w:lang w:val="en-IE"/>
        </w:rPr>
        <w:t>ESABCC</w:t>
      </w:r>
      <w:r w:rsidR="00B11F1E" w:rsidRPr="009B2276">
        <w:rPr>
          <w:lang w:val="en-IE"/>
        </w:rPr>
        <w:t xml:space="preserve"> (2023).</w:t>
      </w:r>
      <w:r w:rsidRPr="009B2276">
        <w:rPr>
          <w:lang w:val="en-IE"/>
        </w:rPr>
        <w:t xml:space="preserve"> </w:t>
      </w:r>
      <w:r>
        <w:rPr>
          <w:lang w:val="en-IE"/>
        </w:rPr>
        <w:t>Scientific advice for the determination of an EU-wide 2040 climate target and a greenhouse gas budget for 2030–2050</w:t>
      </w:r>
      <w:r w:rsidR="00B11F1E" w:rsidRPr="009B2276">
        <w:rPr>
          <w:lang w:val="en-IE"/>
        </w:rPr>
        <w:t>. DOI: 10.2800/609405.</w:t>
      </w:r>
      <w:r>
        <w:rPr>
          <w:rFonts w:cs="Calibri"/>
        </w:rPr>
        <w:t xml:space="preserve"> </w:t>
      </w:r>
      <w:r>
        <w:t>Table 9</w:t>
      </w:r>
      <w:r w:rsidR="00B11F1E">
        <w:t>, Table 12.</w:t>
      </w:r>
      <w:r w:rsidDel="00B11F1E">
        <w:t xml:space="preserve"> </w:t>
      </w:r>
      <w:r w:rsidR="00C30812">
        <w:t>The range spans from 88-92% and up to 95% if technological challenges can be overcome.</w:t>
      </w:r>
    </w:p>
  </w:footnote>
  <w:footnote w:id="11">
    <w:p w14:paraId="61F9FDAC" w14:textId="295C9F70" w:rsidR="00A1313E" w:rsidRPr="003003CF" w:rsidRDefault="00A1313E">
      <w:pPr>
        <w:pStyle w:val="FootnoteText"/>
        <w:rPr>
          <w:lang w:val="en-US"/>
        </w:rPr>
      </w:pPr>
      <w:r>
        <w:t>(</w:t>
      </w:r>
      <w:r>
        <w:rPr>
          <w:rStyle w:val="FootnoteReference"/>
        </w:rPr>
        <w:footnoteRef/>
      </w:r>
      <w:r>
        <w:t>)</w:t>
      </w:r>
      <w:r>
        <w:tab/>
      </w:r>
      <w:r w:rsidRPr="003003CF">
        <w:t>IPCC</w:t>
      </w:r>
      <w:r w:rsidR="00452F72">
        <w:t xml:space="preserve"> (</w:t>
      </w:r>
      <w:r w:rsidRPr="003003CF">
        <w:t>2022</w:t>
      </w:r>
      <w:r w:rsidR="00452F72">
        <w:t>)</w:t>
      </w:r>
      <w:r w:rsidRPr="003003CF">
        <w:t xml:space="preserve">: </w:t>
      </w:r>
      <w:r w:rsidRPr="00452F72">
        <w:rPr>
          <w:i/>
          <w:iCs/>
        </w:rPr>
        <w:t xml:space="preserve">Climate Change 2022: Mitigation of Climate Change. </w:t>
      </w:r>
      <w:r w:rsidRPr="003003CF">
        <w:t>Contribution of Working Group III to the Sixth Assessment Report of the Intergovernmental Panel on Climate Change</w:t>
      </w:r>
      <w:r>
        <w:t>.</w:t>
      </w:r>
    </w:p>
  </w:footnote>
  <w:footnote w:id="12">
    <w:p w14:paraId="5589D11D" w14:textId="77777777" w:rsidR="00B11F1E" w:rsidRPr="000204AB" w:rsidRDefault="00B11F1E" w:rsidP="00B11F1E">
      <w:pPr>
        <w:pStyle w:val="FootnoteText"/>
        <w:rPr>
          <w:lang w:val="en-US"/>
        </w:rPr>
      </w:pPr>
      <w:r>
        <w:t>(</w:t>
      </w:r>
      <w:r>
        <w:rPr>
          <w:rStyle w:val="FootnoteReference"/>
        </w:rPr>
        <w:footnoteRef/>
      </w:r>
      <w:r>
        <w:t>)</w:t>
      </w:r>
      <w:r>
        <w:tab/>
        <w:t>CLG Europe (2023). Raising European Climate Ambition for 2040 A CLG Europe position paper.</w:t>
      </w:r>
    </w:p>
  </w:footnote>
  <w:footnote w:id="13">
    <w:p w14:paraId="526B502A" w14:textId="5422CE4E" w:rsidR="00A1313E" w:rsidRPr="003072C1" w:rsidRDefault="00A1313E" w:rsidP="003072C1">
      <w:pPr>
        <w:pStyle w:val="FootnoteText"/>
        <w:rPr>
          <w:lang w:val="en-IE"/>
        </w:rPr>
      </w:pPr>
      <w:r>
        <w:t>(</w:t>
      </w:r>
      <w:r>
        <w:rPr>
          <w:rStyle w:val="FootnoteReference"/>
        </w:rPr>
        <w:footnoteRef/>
      </w:r>
      <w:r>
        <w:t>)</w:t>
      </w:r>
      <w:r>
        <w:tab/>
        <w:t xml:space="preserve"> EEA Greenhouse Gases Data Viewer. DAS-270-en Published </w:t>
      </w:r>
      <w:r w:rsidR="00452F72">
        <w:t xml:space="preserve">on </w:t>
      </w:r>
      <w:r>
        <w:t>18 Apr 2023</w:t>
      </w:r>
    </w:p>
  </w:footnote>
  <w:footnote w:id="14">
    <w:p w14:paraId="3C2E7D7A" w14:textId="21360BED" w:rsidR="00A1313E" w:rsidRPr="00341380" w:rsidRDefault="00A1313E" w:rsidP="00523E61">
      <w:pPr>
        <w:pStyle w:val="FootnoteText"/>
      </w:pPr>
      <w:r>
        <w:t>(</w:t>
      </w:r>
      <w:r>
        <w:rPr>
          <w:rStyle w:val="FootnoteReference"/>
        </w:rPr>
        <w:footnoteRef/>
      </w:r>
      <w:r>
        <w:t>)</w:t>
      </w:r>
      <w:r w:rsidR="00DB17D5" w:rsidRPr="009B2276">
        <w:rPr>
          <w:lang w:val="en-IE"/>
        </w:rPr>
        <w:t xml:space="preserve">ESABCC (2023). </w:t>
      </w:r>
      <w:r>
        <w:rPr>
          <w:lang w:val="en-IE"/>
        </w:rPr>
        <w:t>Scientific advice for the determination of an EU-wide 2040</w:t>
      </w:r>
      <w:r w:rsidRPr="009B2276">
        <w:rPr>
          <w:lang w:val="en-IE"/>
        </w:rPr>
        <w:t xml:space="preserve"> climate </w:t>
      </w:r>
      <w:r>
        <w:rPr>
          <w:lang w:val="en-IE"/>
        </w:rPr>
        <w:t>target</w:t>
      </w:r>
      <w:r w:rsidRPr="009B2276">
        <w:rPr>
          <w:lang w:val="en-IE"/>
        </w:rPr>
        <w:t xml:space="preserve"> and </w:t>
      </w:r>
      <w:r>
        <w:rPr>
          <w:lang w:val="en-IE"/>
        </w:rPr>
        <w:t>a greenhouse gas budget for 2030–2050</w:t>
      </w:r>
      <w:r w:rsidR="00DB17D5" w:rsidRPr="009B2276">
        <w:rPr>
          <w:lang w:val="en-IE"/>
        </w:rPr>
        <w:t xml:space="preserve">. </w:t>
      </w:r>
      <w:r w:rsidRPr="009B2276">
        <w:rPr>
          <w:lang w:val="en-IE"/>
        </w:rPr>
        <w:t>DOI: 10.2800/609405</w:t>
      </w:r>
      <w:r w:rsidR="00DB17D5" w:rsidRPr="009B2276">
        <w:rPr>
          <w:lang w:val="en-IE"/>
        </w:rPr>
        <w:t>.</w:t>
      </w:r>
      <w:r w:rsidR="00DB17D5">
        <w:rPr>
          <w:lang w:val="en-IE"/>
        </w:rPr>
        <w:t xml:space="preserve"> </w:t>
      </w:r>
      <w:r>
        <w:t>Section 7.7.1</w:t>
      </w:r>
      <w:r w:rsidR="00DB17D5">
        <w:t>.</w:t>
      </w:r>
      <w:r>
        <w:t xml:space="preserve"> This risk level was based on research by Pilli et al. (2022) who provide as a probable range of -100 to -400 MtCO</w:t>
      </w:r>
      <w:r w:rsidRPr="00866E17">
        <w:rPr>
          <w:vertAlign w:val="subscript"/>
        </w:rPr>
        <w:t>2</w:t>
      </w:r>
      <w:r>
        <w:t>-eq for the LULUCF sink in 2050 taking future climate change impacts based on RCP 2.6 into account. Scenarios exceeding the upper bound of -400 MtCO</w:t>
      </w:r>
      <w:r w:rsidRPr="00866E17">
        <w:rPr>
          <w:vertAlign w:val="subscript"/>
        </w:rPr>
        <w:t>2</w:t>
      </w:r>
      <w:r>
        <w:t xml:space="preserve">-eq may rely on implausibly high LULUCF sink levels. </w:t>
      </w:r>
    </w:p>
  </w:footnote>
  <w:footnote w:id="15">
    <w:p w14:paraId="567A687A" w14:textId="2B9E39FC" w:rsidR="00A1313E" w:rsidRPr="00341380" w:rsidRDefault="00A1313E">
      <w:pPr>
        <w:pStyle w:val="FootnoteText"/>
      </w:pPr>
      <w:r>
        <w:t>(</w:t>
      </w:r>
      <w:r>
        <w:rPr>
          <w:rStyle w:val="FootnoteReference"/>
        </w:rPr>
        <w:footnoteRef/>
      </w:r>
      <w:r>
        <w:t>) Ibid</w:t>
      </w:r>
      <w:r w:rsidR="00DB17D5">
        <w:t>.</w:t>
      </w:r>
      <w:r>
        <w:t xml:space="preserve"> Table 15 </w:t>
      </w:r>
    </w:p>
  </w:footnote>
  <w:footnote w:id="16">
    <w:p w14:paraId="22066B9F" w14:textId="5FDF285B" w:rsidR="00773C51" w:rsidRPr="00773C51" w:rsidRDefault="00773C51">
      <w:pPr>
        <w:pStyle w:val="FootnoteText"/>
        <w:rPr>
          <w:lang w:val="en-IE"/>
        </w:rPr>
      </w:pPr>
      <w:r>
        <w:t>(</w:t>
      </w:r>
      <w:r>
        <w:rPr>
          <w:rStyle w:val="FootnoteReference"/>
        </w:rPr>
        <w:footnoteRef/>
      </w:r>
      <w:r>
        <w:t>)</w:t>
      </w:r>
      <w:r>
        <w:tab/>
        <w:t>COM(2021) 800 fina</w:t>
      </w:r>
      <w:r w:rsidR="00260864">
        <w:t>l</w:t>
      </w:r>
    </w:p>
  </w:footnote>
  <w:footnote w:id="17">
    <w:p w14:paraId="472DB6DA" w14:textId="5D45BAF9" w:rsidR="00A1313E" w:rsidRPr="006F3B33" w:rsidRDefault="00A1313E">
      <w:pPr>
        <w:pStyle w:val="FootnoteText"/>
        <w:rPr>
          <w:lang w:val="en-IE"/>
        </w:rPr>
      </w:pPr>
      <w:r>
        <w:t>(</w:t>
      </w:r>
      <w:r>
        <w:rPr>
          <w:rStyle w:val="FootnoteReference"/>
        </w:rPr>
        <w:footnoteRef/>
      </w:r>
      <w:r>
        <w:t xml:space="preserve">) </w:t>
      </w:r>
      <w:r>
        <w:rPr>
          <w:lang w:val="en-IE"/>
        </w:rPr>
        <w:t>European Climate Law (Regulation</w:t>
      </w:r>
      <w:r w:rsidRPr="006F3B33">
        <w:rPr>
          <w:lang w:val="en-IE"/>
        </w:rPr>
        <w:t xml:space="preserve"> (EU) 2021/1119</w:t>
      </w:r>
      <w:r>
        <w:rPr>
          <w:lang w:val="en-IE"/>
        </w:rPr>
        <w:t>), Article 2.</w:t>
      </w:r>
    </w:p>
  </w:footnote>
  <w:footnote w:id="18">
    <w:p w14:paraId="25375C4C" w14:textId="1B92CE07" w:rsidR="00A1313E" w:rsidRPr="004A3971" w:rsidRDefault="00A1313E">
      <w:pPr>
        <w:pStyle w:val="FootnoteText"/>
        <w:rPr>
          <w:lang w:val="en-IE"/>
        </w:rPr>
      </w:pPr>
      <w:r>
        <w:t>(</w:t>
      </w:r>
      <w:r>
        <w:rPr>
          <w:rStyle w:val="FootnoteReference"/>
        </w:rPr>
        <w:footnoteRef/>
      </w:r>
      <w:r>
        <w:t>)</w:t>
      </w:r>
      <w:r>
        <w:tab/>
      </w:r>
      <w:r w:rsidRPr="004A3971">
        <w:t>The Global CO2 Initiative</w:t>
      </w:r>
      <w:r>
        <w:t xml:space="preserve"> (2016). </w:t>
      </w:r>
      <w:r w:rsidRPr="004A3971">
        <w:t>Global Roadmap for Implementing CO2 Utilization</w:t>
      </w:r>
      <w:r>
        <w:t>.</w:t>
      </w:r>
    </w:p>
  </w:footnote>
  <w:footnote w:id="19">
    <w:p w14:paraId="021306E2" w14:textId="7016C2C0" w:rsidR="00A1313E" w:rsidRPr="000F2737" w:rsidRDefault="00A1313E" w:rsidP="00E6112E">
      <w:pPr>
        <w:pStyle w:val="FootnoteText"/>
        <w:rPr>
          <w:lang w:val="en-IE"/>
        </w:rPr>
      </w:pPr>
      <w:r>
        <w:t>(</w:t>
      </w:r>
      <w:r>
        <w:rPr>
          <w:rStyle w:val="FootnoteReference"/>
        </w:rPr>
        <w:footnoteRef/>
      </w:r>
      <w:r>
        <w:t>)</w:t>
      </w:r>
      <w:r>
        <w:tab/>
        <w:t>CEFIC (2021). Shining a light on the EU27 chemical sector’s journey toward climate neutrality.</w:t>
      </w:r>
    </w:p>
  </w:footnote>
  <w:footnote w:id="20">
    <w:p w14:paraId="00CCDCBB" w14:textId="1F1C4054" w:rsidR="00260864" w:rsidRPr="00603FDF" w:rsidRDefault="00260864" w:rsidP="00260864">
      <w:pPr>
        <w:pStyle w:val="FootnoteText"/>
        <w:rPr>
          <w:lang w:val="en-IE"/>
        </w:rPr>
      </w:pPr>
      <w:r w:rsidRPr="00465F10">
        <w:rPr>
          <w:lang w:val="de-DE"/>
        </w:rPr>
        <w:t>(</w:t>
      </w:r>
      <w:r>
        <w:rPr>
          <w:rStyle w:val="FootnoteReference"/>
        </w:rPr>
        <w:footnoteRef/>
      </w:r>
      <w:r w:rsidRPr="00465F10">
        <w:rPr>
          <w:lang w:val="de-DE"/>
        </w:rPr>
        <w:t>)</w:t>
      </w:r>
      <w:r w:rsidRPr="00465F10">
        <w:rPr>
          <w:lang w:val="de-DE"/>
        </w:rPr>
        <w:tab/>
      </w:r>
      <w:r w:rsidR="00452F72" w:rsidRPr="00465F10">
        <w:rPr>
          <w:lang w:val="de-DE"/>
        </w:rPr>
        <w:t xml:space="preserve">Motlaghzadeh, K., Schweizer, V., Craik, N., &amp; Moreno-Cruz, J. (2023). </w:t>
      </w:r>
      <w:r w:rsidR="00452F72" w:rsidRPr="00452F72">
        <w:t xml:space="preserve">Key uncertainties behind global projections of direct air capture deployment. </w:t>
      </w:r>
      <w:r w:rsidR="00452F72" w:rsidRPr="00452F72">
        <w:rPr>
          <w:i/>
          <w:iCs/>
        </w:rPr>
        <w:t>Applied Energy</w:t>
      </w:r>
      <w:r w:rsidR="00452F72" w:rsidRPr="00452F72">
        <w:t>, 348, 121485.</w:t>
      </w:r>
      <w:r w:rsidR="00452F72">
        <w:t xml:space="preserve"> </w:t>
      </w:r>
      <w:r>
        <w:t>https://doi.org/10.1016/j.apenergy.2023.121485.</w:t>
      </w:r>
    </w:p>
  </w:footnote>
  <w:footnote w:id="21">
    <w:p w14:paraId="4E3CAF60" w14:textId="77777777" w:rsidR="00260864" w:rsidRPr="00E24A55" w:rsidRDefault="00260864" w:rsidP="00260864">
      <w:pPr>
        <w:pStyle w:val="FootnoteText"/>
        <w:rPr>
          <w:lang w:val="en-IE"/>
        </w:rPr>
      </w:pPr>
      <w:r>
        <w:t>(</w:t>
      </w:r>
      <w:r>
        <w:rPr>
          <w:rStyle w:val="FootnoteReference"/>
        </w:rPr>
        <w:footnoteRef/>
      </w:r>
      <w:r>
        <w:t>)</w:t>
      </w:r>
      <w:r>
        <w:tab/>
      </w:r>
      <w:r w:rsidRPr="00E24A55">
        <w:t xml:space="preserve">Lehtveer, Mariliis &amp; Emanuelsson, Anna. (2021). BECCS and DACCS as Negative Emission Providers in an Intermittent Electricity System: Why Levelized Cost of Carbon May Be a Misleading Measure for Policy Decisions. </w:t>
      </w:r>
      <w:r w:rsidRPr="00A66B57">
        <w:rPr>
          <w:i/>
        </w:rPr>
        <w:t>Frontiers in Climate</w:t>
      </w:r>
      <w:r w:rsidRPr="00E24A55">
        <w:t>. 647276. 10.3389/fclim.2021.647276.</w:t>
      </w:r>
    </w:p>
  </w:footnote>
  <w:footnote w:id="22">
    <w:p w14:paraId="0920CD9F" w14:textId="60B11AC8" w:rsidR="00260864" w:rsidRPr="001F2ED1" w:rsidRDefault="00260864" w:rsidP="00260864">
      <w:pPr>
        <w:pStyle w:val="FootnoteText"/>
        <w:rPr>
          <w:lang w:val="en-IE"/>
        </w:rPr>
      </w:pPr>
      <w:r>
        <w:t>(</w:t>
      </w:r>
      <w:r>
        <w:rPr>
          <w:rStyle w:val="FootnoteReference"/>
        </w:rPr>
        <w:footnoteRef/>
      </w:r>
      <w:r>
        <w:t>)</w:t>
      </w:r>
      <w:r>
        <w:tab/>
      </w:r>
      <w:r w:rsidRPr="006F3ECA">
        <w:t xml:space="preserve">Slade, R., Bauen, A., and Gross, R. (2014). Global bioenergy resources. </w:t>
      </w:r>
      <w:r w:rsidRPr="00F55573">
        <w:rPr>
          <w:lang w:val="en-IE"/>
        </w:rPr>
        <w:t xml:space="preserve">Nat. Clim. </w:t>
      </w:r>
      <w:r w:rsidRPr="001F2ED1">
        <w:rPr>
          <w:lang w:val="en-IE"/>
        </w:rPr>
        <w:t>Change 4:99. doi: 10.1038/nclimate2097</w:t>
      </w:r>
      <w:r w:rsidR="00A66B57" w:rsidRPr="001F2ED1">
        <w:rPr>
          <w:lang w:val="en-IE"/>
        </w:rPr>
        <w:t xml:space="preserve"> </w:t>
      </w:r>
    </w:p>
  </w:footnote>
  <w:footnote w:id="23">
    <w:p w14:paraId="4A7D003D" w14:textId="19DC96F5" w:rsidR="00260864" w:rsidRPr="005969E4" w:rsidRDefault="00260864" w:rsidP="00260864">
      <w:pPr>
        <w:pStyle w:val="FootnoteText"/>
      </w:pPr>
      <w:r w:rsidRPr="001F2ED1">
        <w:rPr>
          <w:lang w:val="en-IE"/>
        </w:rPr>
        <w:t>(</w:t>
      </w:r>
      <w:r>
        <w:rPr>
          <w:rStyle w:val="FootnoteReference"/>
        </w:rPr>
        <w:footnoteRef/>
      </w:r>
      <w:r w:rsidRPr="001F2ED1">
        <w:rPr>
          <w:lang w:val="en-IE"/>
        </w:rPr>
        <w:t>)</w:t>
      </w:r>
      <w:r w:rsidRPr="001F2ED1">
        <w:rPr>
          <w:lang w:val="en-IE"/>
        </w:rPr>
        <w:tab/>
      </w:r>
      <w:r w:rsidRPr="005969E4">
        <w:t>Creutzig, F., et al. (2015). Bioenergy and climate change mitigation: an assessment. GCB Bioenergy 7, 916–944. doi: 10.1111/gcbb.12205</w:t>
      </w:r>
    </w:p>
  </w:footnote>
  <w:footnote w:id="24">
    <w:p w14:paraId="387EF5D5" w14:textId="77777777" w:rsidR="00260864" w:rsidRPr="00FD5BD7" w:rsidRDefault="00260864" w:rsidP="00260864">
      <w:pPr>
        <w:pStyle w:val="FootnoteText"/>
        <w:rPr>
          <w:lang w:val="en-IE"/>
        </w:rPr>
      </w:pPr>
      <w:r>
        <w:t>(</w:t>
      </w:r>
      <w:r>
        <w:rPr>
          <w:rStyle w:val="FootnoteReference"/>
        </w:rPr>
        <w:footnoteRef/>
      </w:r>
      <w:r>
        <w:t>)</w:t>
      </w:r>
      <w:r>
        <w:tab/>
      </w:r>
      <w:r w:rsidRPr="00DF07AA">
        <w:t>Directive (EU) 2018/2001</w:t>
      </w:r>
      <w:r>
        <w:t xml:space="preserve"> (amendment to be published)</w:t>
      </w:r>
    </w:p>
  </w:footnote>
  <w:footnote w:id="25">
    <w:p w14:paraId="79A9C5C4" w14:textId="77777777" w:rsidR="00260864" w:rsidRPr="00E55801" w:rsidRDefault="00260864" w:rsidP="00260864">
      <w:pPr>
        <w:pStyle w:val="FootnoteText"/>
        <w:rPr>
          <w:lang w:val="en-IE"/>
        </w:rPr>
      </w:pPr>
      <w:r>
        <w:t>(</w:t>
      </w:r>
      <w:r>
        <w:rPr>
          <w:rStyle w:val="FootnoteReference"/>
        </w:rPr>
        <w:footnoteRef/>
      </w:r>
      <w:r>
        <w:t>)</w:t>
      </w:r>
      <w:r>
        <w:tab/>
        <w:t xml:space="preserve">Liebling K., et al. (2023). </w:t>
      </w:r>
      <w:r w:rsidRPr="002B421A">
        <w:t>International Governance of Technological Carbon Removal: Surfacing Questions, Exploring Solutions</w:t>
      </w:r>
      <w:r>
        <w:t>.</w:t>
      </w:r>
    </w:p>
  </w:footnote>
  <w:footnote w:id="26">
    <w:p w14:paraId="199A0B80" w14:textId="2FD013E7" w:rsidR="00260864" w:rsidRPr="00B250AE" w:rsidRDefault="00260864" w:rsidP="00260864">
      <w:pPr>
        <w:pStyle w:val="FootnoteText"/>
        <w:rPr>
          <w:lang w:val="en-IE"/>
        </w:rPr>
      </w:pPr>
      <w:r>
        <w:t>(</w:t>
      </w:r>
      <w:r>
        <w:rPr>
          <w:rStyle w:val="FootnoteReference"/>
        </w:rPr>
        <w:footnoteRef/>
      </w:r>
      <w:r>
        <w:t>)</w:t>
      </w:r>
      <w:r>
        <w:tab/>
      </w:r>
      <w:r w:rsidR="00452F72">
        <w:t>E</w:t>
      </w:r>
      <w:r w:rsidR="00452F72">
        <w:rPr>
          <w:lang w:val="en-IE"/>
        </w:rPr>
        <w:t>S</w:t>
      </w:r>
      <w:r w:rsidR="00452F72" w:rsidRPr="009B2276">
        <w:rPr>
          <w:lang w:val="en-IE"/>
        </w:rPr>
        <w:t xml:space="preserve">ABCC (2023). </w:t>
      </w:r>
      <w:r w:rsidR="00452F72">
        <w:rPr>
          <w:lang w:val="en-IE"/>
        </w:rPr>
        <w:t>Scientific advice for the determination of an EU-wide 2040</w:t>
      </w:r>
      <w:r w:rsidR="00452F72" w:rsidRPr="009B2276">
        <w:rPr>
          <w:lang w:val="en-IE"/>
        </w:rPr>
        <w:t xml:space="preserve"> climate </w:t>
      </w:r>
      <w:r w:rsidR="00452F72">
        <w:rPr>
          <w:lang w:val="en-IE"/>
        </w:rPr>
        <w:t>target</w:t>
      </w:r>
      <w:r w:rsidR="00452F72" w:rsidRPr="009B2276">
        <w:rPr>
          <w:lang w:val="en-IE"/>
        </w:rPr>
        <w:t xml:space="preserve"> and </w:t>
      </w:r>
      <w:r w:rsidR="00452F72">
        <w:rPr>
          <w:lang w:val="en-IE"/>
        </w:rPr>
        <w:t>a greenhouse gas budget for 2030–2050</w:t>
      </w:r>
      <w:r w:rsidR="00452F72" w:rsidRPr="009B2276">
        <w:rPr>
          <w:lang w:val="en-IE"/>
        </w:rPr>
        <w:t>. DOI: 10.2800/609405.</w:t>
      </w:r>
      <w:r w:rsidR="00452F72">
        <w:rPr>
          <w:lang w:val="en-IE"/>
        </w:rPr>
        <w:t xml:space="preserve"> </w:t>
      </w:r>
      <w:r>
        <w:t>Table 16.</w:t>
      </w:r>
    </w:p>
  </w:footnote>
  <w:footnote w:id="27">
    <w:p w14:paraId="5B41B792" w14:textId="77777777" w:rsidR="006F1E0F" w:rsidRPr="00603FDF" w:rsidRDefault="006F1E0F" w:rsidP="006F1E0F">
      <w:pPr>
        <w:pStyle w:val="FootnoteText"/>
        <w:rPr>
          <w:lang w:val="en-IE"/>
        </w:rPr>
      </w:pPr>
      <w:r w:rsidRPr="00581701">
        <w:t>(</w:t>
      </w:r>
      <w:r w:rsidRPr="00581701">
        <w:rPr>
          <w:rStyle w:val="FootnoteReference"/>
        </w:rPr>
        <w:footnoteRef/>
      </w:r>
      <w:r w:rsidRPr="00581701">
        <w:t>)</w:t>
      </w:r>
      <w:r w:rsidRPr="00581701">
        <w:tab/>
        <w:t xml:space="preserve"> IEA (2023), Tracking Direct Air Capture. Accessed on 14-08-23</w:t>
      </w:r>
    </w:p>
  </w:footnote>
  <w:footnote w:id="28">
    <w:p w14:paraId="477751C1" w14:textId="77777777" w:rsidR="00667A9F" w:rsidRPr="00303BAE" w:rsidRDefault="00667A9F" w:rsidP="00667A9F">
      <w:pPr>
        <w:pStyle w:val="FootnoteText"/>
        <w:rPr>
          <w:lang w:val="en-IE"/>
        </w:rPr>
      </w:pPr>
      <w:r w:rsidRPr="00303BAE">
        <w:rPr>
          <w:lang w:val="en-IE"/>
        </w:rPr>
        <w:t>(</w:t>
      </w:r>
      <w:r>
        <w:rPr>
          <w:rStyle w:val="FootnoteReference"/>
        </w:rPr>
        <w:footnoteRef/>
      </w:r>
      <w:r w:rsidRPr="00303BAE">
        <w:rPr>
          <w:lang w:val="en-IE"/>
        </w:rPr>
        <w:t>)</w:t>
      </w:r>
      <w:r w:rsidRPr="00303BAE">
        <w:rPr>
          <w:lang w:val="en-IE"/>
        </w:rPr>
        <w:tab/>
        <w:t xml:space="preserve"> </w:t>
      </w:r>
      <w:r w:rsidRPr="009B2276">
        <w:rPr>
          <w:lang w:val="en-IE"/>
        </w:rPr>
        <w:t xml:space="preserve">ESABCC (2023). </w:t>
      </w:r>
      <w:r>
        <w:rPr>
          <w:lang w:val="en-IE"/>
        </w:rPr>
        <w:t>Scientific advice for the determination of an EU-wide 2040 climate target and a greenhouse gas budget for 2030–2050</w:t>
      </w:r>
      <w:r w:rsidRPr="009B2276">
        <w:rPr>
          <w:lang w:val="en-IE"/>
        </w:rPr>
        <w:t>. DOI: 10.2800/609405.</w:t>
      </w:r>
      <w:r w:rsidRPr="00303BAE">
        <w:rPr>
          <w:lang w:val="en-IE"/>
        </w:rPr>
        <w:t xml:space="preserve"> Table 16</w:t>
      </w:r>
      <w:r>
        <w:rPr>
          <w:lang w:val="en-IE"/>
        </w:rPr>
        <w:t xml:space="preserve"> summing DACCS and BECCS.</w:t>
      </w:r>
    </w:p>
  </w:footnote>
  <w:footnote w:id="29">
    <w:p w14:paraId="4788417D" w14:textId="4403F2BA" w:rsidR="00667A9F" w:rsidRPr="00E9401C" w:rsidRDefault="00667A9F" w:rsidP="00667A9F">
      <w:pPr>
        <w:pStyle w:val="FootnoteText"/>
        <w:rPr>
          <w:lang w:val="en-IE"/>
        </w:rPr>
      </w:pPr>
      <w:r w:rsidRPr="00487BE5">
        <w:rPr>
          <w:lang w:val="en-IE"/>
        </w:rPr>
        <w:t>(</w:t>
      </w:r>
      <w:r>
        <w:rPr>
          <w:rStyle w:val="FootnoteReference"/>
        </w:rPr>
        <w:footnoteRef/>
      </w:r>
      <w:r w:rsidRPr="00487BE5">
        <w:rPr>
          <w:lang w:val="en-IE"/>
        </w:rPr>
        <w:t>)</w:t>
      </w:r>
      <w:r w:rsidRPr="00487BE5">
        <w:rPr>
          <w:lang w:val="en-IE"/>
        </w:rPr>
        <w:tab/>
      </w:r>
      <w:r w:rsidR="00452F72">
        <w:t xml:space="preserve">Rodrigues et al., (2023). 2040 greenhouse gas reduction targets and energy transitions in line with the EU Green Deal, </w:t>
      </w:r>
      <w:r w:rsidR="00452F72" w:rsidRPr="0023623B">
        <w:rPr>
          <w:i/>
          <w:iCs/>
        </w:rPr>
        <w:t>Nature Communicatio</w:t>
      </w:r>
      <w:r w:rsidR="00452F72">
        <w:rPr>
          <w:i/>
          <w:iCs/>
        </w:rPr>
        <w:t>n</w:t>
      </w:r>
      <w:r w:rsidR="00452F72" w:rsidRPr="0023623B">
        <w:rPr>
          <w:i/>
          <w:iCs/>
        </w:rPr>
        <w:t>,</w:t>
      </w:r>
      <w:r w:rsidR="00452F72">
        <w:t xml:space="preserve"> Under Review.</w:t>
      </w:r>
    </w:p>
  </w:footnote>
  <w:footnote w:id="30">
    <w:p w14:paraId="51453339" w14:textId="3F998B52" w:rsidR="00667A9F" w:rsidRPr="001B2BBA" w:rsidRDefault="00667A9F" w:rsidP="00667A9F">
      <w:pPr>
        <w:pStyle w:val="FootnoteText"/>
        <w:rPr>
          <w:sz w:val="22"/>
          <w:szCs w:val="26"/>
          <w:lang w:val="en-IE"/>
        </w:rPr>
      </w:pPr>
      <w:r>
        <w:t>(</w:t>
      </w:r>
      <w:r>
        <w:rPr>
          <w:rStyle w:val="FootnoteReference"/>
        </w:rPr>
        <w:footnoteRef/>
      </w:r>
      <w:r>
        <w:t>)</w:t>
      </w:r>
      <w:r>
        <w:tab/>
      </w:r>
      <w:r w:rsidR="0008392F" w:rsidRPr="001B2BBA">
        <w:rPr>
          <w:szCs w:val="20"/>
        </w:rPr>
        <w:t>Kalcher, L. et al.</w:t>
      </w:r>
      <w:r w:rsidR="0008392F">
        <w:rPr>
          <w:szCs w:val="20"/>
        </w:rPr>
        <w:t xml:space="preserve">, (2023). </w:t>
      </w:r>
      <w:r w:rsidR="0008392F" w:rsidRPr="00452F72">
        <w:rPr>
          <w:iCs/>
          <w:szCs w:val="20"/>
        </w:rPr>
        <w:t>The post-2030 climate target debate starts now,</w:t>
      </w:r>
      <w:r w:rsidR="0008392F" w:rsidRPr="001B2BBA">
        <w:rPr>
          <w:szCs w:val="20"/>
        </w:rPr>
        <w:t xml:space="preserve"> </w:t>
      </w:r>
      <w:r w:rsidR="0008392F" w:rsidRPr="00452F72">
        <w:rPr>
          <w:i/>
          <w:iCs/>
          <w:szCs w:val="20"/>
        </w:rPr>
        <w:t>Strategic Perspectives and Climact</w:t>
      </w:r>
      <w:r w:rsidR="0008392F" w:rsidRPr="001B2BBA">
        <w:rPr>
          <w:szCs w:val="20"/>
        </w:rPr>
        <w:t>.</w:t>
      </w:r>
      <w:r w:rsidR="0008392F">
        <w:rPr>
          <w:szCs w:val="20"/>
        </w:rPr>
        <w:t xml:space="preserve"> </w:t>
      </w:r>
      <w:r w:rsidR="0008392F" w:rsidRPr="0008392F">
        <w:t>https://strategicperspectives.eu/the-post-2030-climate-target-debate-starts-now/</w:t>
      </w:r>
    </w:p>
  </w:footnote>
  <w:footnote w:id="31">
    <w:p w14:paraId="66CAF13D" w14:textId="77777777" w:rsidR="00667A9F" w:rsidRPr="00452F72" w:rsidRDefault="00667A9F" w:rsidP="00667A9F">
      <w:pPr>
        <w:pStyle w:val="FootnoteText"/>
        <w:rPr>
          <w:i/>
          <w:iCs/>
          <w:lang w:val="en-IE"/>
        </w:rPr>
      </w:pPr>
      <w:r w:rsidRPr="009516AD">
        <w:rPr>
          <w:lang w:val="en-IE"/>
        </w:rPr>
        <w:t>(</w:t>
      </w:r>
      <w:r>
        <w:rPr>
          <w:rStyle w:val="FootnoteReference"/>
        </w:rPr>
        <w:footnoteRef/>
      </w:r>
      <w:r w:rsidRPr="009516AD">
        <w:rPr>
          <w:lang w:val="en-IE"/>
        </w:rPr>
        <w:t>)</w:t>
      </w:r>
      <w:r w:rsidRPr="009516AD">
        <w:rPr>
          <w:lang w:val="en-IE"/>
        </w:rPr>
        <w:tab/>
      </w:r>
      <w:bookmarkStart w:id="44" w:name="_Hlk147823532"/>
      <w:r w:rsidRPr="001B2BBA">
        <w:rPr>
          <w:szCs w:val="20"/>
          <w:lang w:val="en-IE"/>
        </w:rPr>
        <w:t xml:space="preserve">Graf, A., et al. (2023). </w:t>
      </w:r>
      <w:r w:rsidRPr="001B2BBA">
        <w:rPr>
          <w:szCs w:val="20"/>
        </w:rPr>
        <w:t xml:space="preserve">Breaking free from fossil gas. A new path to a climate-neutral Europe. </w:t>
      </w:r>
      <w:r w:rsidRPr="00452F72">
        <w:rPr>
          <w:i/>
          <w:iCs/>
          <w:szCs w:val="20"/>
        </w:rPr>
        <w:t>Agora Energiewende.</w:t>
      </w:r>
      <w:bookmarkEnd w:id="44"/>
    </w:p>
  </w:footnote>
  <w:footnote w:id="32">
    <w:p w14:paraId="1295A1B5" w14:textId="22BBEDF1" w:rsidR="00667A9F" w:rsidRPr="00AA3A8D" w:rsidRDefault="00667A9F" w:rsidP="00667A9F">
      <w:pPr>
        <w:pStyle w:val="FootnoteText"/>
        <w:rPr>
          <w:lang w:val="en-IE"/>
        </w:rPr>
      </w:pPr>
      <w:r>
        <w:t>(</w:t>
      </w:r>
      <w:r>
        <w:rPr>
          <w:rStyle w:val="FootnoteReference"/>
        </w:rPr>
        <w:footnoteRef/>
      </w:r>
      <w:r>
        <w:t>)</w:t>
      </w:r>
      <w:r>
        <w:tab/>
      </w:r>
      <w:r w:rsidRPr="001B2BBA">
        <w:rPr>
          <w:szCs w:val="20"/>
        </w:rPr>
        <w:t xml:space="preserve">Climate Analytics (2022). 1.5°C National Pathways Explorer. </w:t>
      </w:r>
      <w:r w:rsidRPr="00452F72">
        <w:rPr>
          <w:i/>
          <w:iCs/>
          <w:szCs w:val="20"/>
        </w:rPr>
        <w:t>Climate Analytics</w:t>
      </w:r>
      <w:r w:rsidR="00452F72">
        <w:rPr>
          <w:szCs w:val="20"/>
        </w:rPr>
        <w:t>.</w:t>
      </w:r>
    </w:p>
  </w:footnote>
  <w:footnote w:id="33">
    <w:p w14:paraId="255E6BCD" w14:textId="67DDB29C" w:rsidR="00A1313E" w:rsidRPr="006B31AE" w:rsidRDefault="00A1313E" w:rsidP="00AE1F11">
      <w:pPr>
        <w:pStyle w:val="FootnoteText"/>
        <w:rPr>
          <w:lang w:val="en-IE"/>
        </w:rPr>
      </w:pPr>
      <w:r>
        <w:t>(</w:t>
      </w:r>
      <w:r>
        <w:rPr>
          <w:rStyle w:val="FootnoteReference"/>
        </w:rPr>
        <w:footnoteRef/>
      </w:r>
      <w:r>
        <w:t>)</w:t>
      </w:r>
      <w:r>
        <w:tab/>
        <w:t xml:space="preserve"> In line with the remaining gross emissions without counting compensation from removals analysed by the ESAB</w:t>
      </w:r>
      <w:r w:rsidR="00421096">
        <w:t>C</w:t>
      </w:r>
      <w:r>
        <w:t>C and corresponding to around 390 MtCO2.</w:t>
      </w:r>
    </w:p>
  </w:footnote>
  <w:footnote w:id="34">
    <w:p w14:paraId="28799ACA" w14:textId="432147CA" w:rsidR="00A1313E" w:rsidRPr="006B31AE" w:rsidRDefault="00A1313E" w:rsidP="00987734">
      <w:pPr>
        <w:pStyle w:val="FootnoteText"/>
        <w:rPr>
          <w:lang w:val="en-IE"/>
        </w:rPr>
      </w:pPr>
      <w:r>
        <w:t>(</w:t>
      </w:r>
      <w:r>
        <w:rPr>
          <w:rStyle w:val="FootnoteReference"/>
        </w:rPr>
        <w:footnoteRef/>
      </w:r>
      <w:r>
        <w:t>)</w:t>
      </w:r>
      <w:r>
        <w:tab/>
        <w:t xml:space="preserve"> The range refers to the 36 filtered scenarios, including also scenarios not complying with environmental risk that </w:t>
      </w:r>
      <w:r w:rsidR="0076141F">
        <w:t>led</w:t>
      </w:r>
      <w:r>
        <w:t xml:space="preserve"> to an emission reduction for 2040 between 83% and 96%. </w:t>
      </w:r>
    </w:p>
  </w:footnote>
  <w:footnote w:id="35">
    <w:p w14:paraId="1727E821" w14:textId="45C5716E" w:rsidR="00A1313E" w:rsidRPr="00B932BF" w:rsidRDefault="00A1313E">
      <w:pPr>
        <w:pStyle w:val="FootnoteText"/>
      </w:pPr>
      <w:r>
        <w:t>(</w:t>
      </w:r>
      <w:r>
        <w:rPr>
          <w:rStyle w:val="FootnoteReference"/>
        </w:rPr>
        <w:footnoteRef/>
      </w:r>
      <w:r>
        <w:t xml:space="preserve">) </w:t>
      </w:r>
      <w:r w:rsidRPr="009B2276">
        <w:rPr>
          <w:lang w:val="en-IE"/>
        </w:rPr>
        <w:t xml:space="preserve">ESABCC </w:t>
      </w:r>
      <w:r w:rsidR="00DB17D5" w:rsidRPr="009B2276">
        <w:rPr>
          <w:lang w:val="en-IE"/>
        </w:rPr>
        <w:t xml:space="preserve">(2023). </w:t>
      </w:r>
      <w:r w:rsidR="00192878">
        <w:rPr>
          <w:lang w:val="en-IE"/>
        </w:rPr>
        <w:t>Scientific</w:t>
      </w:r>
      <w:r>
        <w:rPr>
          <w:lang w:val="en-IE"/>
        </w:rPr>
        <w:t xml:space="preserve"> advice</w:t>
      </w:r>
      <w:r w:rsidR="00192878">
        <w:rPr>
          <w:lang w:val="en-IE"/>
        </w:rPr>
        <w:t xml:space="preserve"> for the determination of an EU-wide 2040 climate target and a greenhouse gas budget for 2030–2050</w:t>
      </w:r>
      <w:r w:rsidR="00DB17D5" w:rsidRPr="009B2276">
        <w:rPr>
          <w:lang w:val="en-IE"/>
        </w:rPr>
        <w:t>. DOI: 10.2800/609405.</w:t>
      </w:r>
      <w:r>
        <w:rPr>
          <w:lang w:val="en-IE"/>
        </w:rPr>
        <w:t xml:space="preserve"> </w:t>
      </w:r>
      <w:r>
        <w:t>Figure 37</w:t>
      </w:r>
    </w:p>
  </w:footnote>
  <w:footnote w:id="36">
    <w:p w14:paraId="3DC9592C" w14:textId="1EAEBDBF" w:rsidR="00A1313E" w:rsidRPr="00A70B9D" w:rsidRDefault="00A1313E">
      <w:pPr>
        <w:pStyle w:val="FootnoteText"/>
      </w:pPr>
      <w:r>
        <w:t>(</w:t>
      </w:r>
      <w:r>
        <w:rPr>
          <w:rStyle w:val="FootnoteReference"/>
        </w:rPr>
        <w:footnoteRef/>
      </w:r>
      <w:r>
        <w:t>) Ibid., Figure 35, Figure 36 and Table 16</w:t>
      </w:r>
    </w:p>
  </w:footnote>
  <w:footnote w:id="37">
    <w:p w14:paraId="2EEB198A" w14:textId="32FE7A8B" w:rsidR="00A1313E" w:rsidRPr="0025607E" w:rsidRDefault="00A1313E" w:rsidP="00A16F5A">
      <w:pPr>
        <w:pStyle w:val="FootnoteText"/>
        <w:rPr>
          <w:lang w:val="en-IE"/>
        </w:rPr>
      </w:pPr>
      <w:r>
        <w:t>(</w:t>
      </w:r>
      <w:r>
        <w:rPr>
          <w:rStyle w:val="FootnoteReference"/>
        </w:rPr>
        <w:footnoteRef/>
      </w:r>
      <w:r>
        <w:t>)</w:t>
      </w:r>
      <w:r>
        <w:tab/>
        <w:t xml:space="preserve">The emissions scope includes the net domestic energy-related CO2, the net domestic non-energy related CO2, the intra-EU transport and 50% of the international extra-EU maritime as per MRV. </w:t>
      </w:r>
    </w:p>
  </w:footnote>
  <w:footnote w:id="38">
    <w:p w14:paraId="09D5541B" w14:textId="12F0C12D" w:rsidR="006B676A" w:rsidRPr="006B676A" w:rsidRDefault="006B676A">
      <w:pPr>
        <w:pStyle w:val="FootnoteText"/>
        <w:rPr>
          <w:lang w:val="en-IE"/>
        </w:rPr>
      </w:pPr>
      <w:r>
        <w:t>(</w:t>
      </w:r>
      <w:r>
        <w:rPr>
          <w:rStyle w:val="FootnoteReference"/>
        </w:rPr>
        <w:footnoteRef/>
      </w:r>
      <w:r>
        <w:t>)</w:t>
      </w:r>
      <w:r>
        <w:tab/>
        <w:t>Essentially, the emissions from fuel combustion.</w:t>
      </w:r>
    </w:p>
  </w:footnote>
  <w:footnote w:id="39">
    <w:p w14:paraId="04E62828" w14:textId="5223B8A1" w:rsidR="001B3E0E" w:rsidRPr="00465F10" w:rsidRDefault="001B3E0E" w:rsidP="001B3E0E">
      <w:pPr>
        <w:pStyle w:val="FootnoteText"/>
        <w:rPr>
          <w:lang w:val="en-US"/>
        </w:rPr>
      </w:pPr>
      <w:r w:rsidRPr="001B3E0E">
        <w:t>(</w:t>
      </w:r>
      <w:r w:rsidRPr="001B3E0E">
        <w:rPr>
          <w:rStyle w:val="FootnoteReference"/>
        </w:rPr>
        <w:footnoteRef/>
      </w:r>
      <w:r w:rsidRPr="001B3E0E">
        <w:t>)</w:t>
      </w:r>
      <w:r w:rsidRPr="001B3E0E">
        <w:tab/>
        <w:t>COM(2023) 161</w:t>
      </w:r>
    </w:p>
  </w:footnote>
  <w:footnote w:id="40">
    <w:p w14:paraId="600CF400" w14:textId="54167955" w:rsidR="00A1313E" w:rsidRPr="005C0466" w:rsidRDefault="00A1313E" w:rsidP="00952EFE">
      <w:pPr>
        <w:pStyle w:val="FootnoteText"/>
        <w:rPr>
          <w:lang w:val="en-IE"/>
        </w:rPr>
      </w:pPr>
      <w:r>
        <w:t>(</w:t>
      </w:r>
      <w:r>
        <w:rPr>
          <w:rStyle w:val="FootnoteReference"/>
        </w:rPr>
        <w:footnoteRef/>
      </w:r>
      <w:r>
        <w:t>)</w:t>
      </w:r>
      <w:r>
        <w:tab/>
      </w:r>
      <w:r w:rsidR="00556FAE" w:rsidRPr="007B1CA1">
        <w:t>ENGAGE</w:t>
      </w:r>
      <w:r w:rsidR="009468B4" w:rsidRPr="007B1CA1">
        <w:t xml:space="preserve"> Scenario Explorer, </w:t>
      </w:r>
      <w:r w:rsidR="009468B4" w:rsidRPr="007B1CA1">
        <w:rPr>
          <w:i/>
        </w:rPr>
        <w:t>Engage</w:t>
      </w:r>
      <w:r w:rsidR="00556FAE" w:rsidRPr="007B1CA1">
        <w:rPr>
          <w:i/>
        </w:rPr>
        <w:t>: Feasibility of Climate Pathways Project</w:t>
      </w:r>
      <w:r w:rsidR="009468B4" w:rsidRPr="007B1CA1">
        <w:t xml:space="preserve">, </w:t>
      </w:r>
      <w:r w:rsidR="007B1CA1" w:rsidRPr="007B1CA1">
        <w:br/>
      </w:r>
      <w:hyperlink r:id="rId2" w:history="1">
        <w:r w:rsidR="007B1CA1" w:rsidRPr="007B1CA1">
          <w:rPr>
            <w:rStyle w:val="Hyperlink"/>
          </w:rPr>
          <w:t>https://www.engage-climate.org/</w:t>
        </w:r>
      </w:hyperlink>
      <w:r w:rsidR="007B1CA1" w:rsidRPr="007B1CA1">
        <w:t xml:space="preserve"> </w:t>
      </w:r>
      <w:r w:rsidR="009468B4" w:rsidRPr="007B1CA1">
        <w:t xml:space="preserve"> Accessed 15-09-23</w:t>
      </w:r>
    </w:p>
  </w:footnote>
  <w:footnote w:id="41">
    <w:p w14:paraId="46989DB5" w14:textId="71CDE8A1" w:rsidR="00A1313E" w:rsidRPr="002E5C51" w:rsidRDefault="00A1313E" w:rsidP="00952EFE">
      <w:pPr>
        <w:pStyle w:val="FootnoteText"/>
      </w:pPr>
      <w:r>
        <w:t>(</w:t>
      </w:r>
      <w:r>
        <w:rPr>
          <w:rStyle w:val="FootnoteReference"/>
        </w:rPr>
        <w:footnoteRef/>
      </w:r>
      <w:r>
        <w:t>)</w:t>
      </w:r>
      <w:bookmarkStart w:id="77" w:name="_Hlk146783735"/>
      <w:r>
        <w:t xml:space="preserve"> </w:t>
      </w:r>
      <w:bookmarkEnd w:id="77"/>
      <w:r w:rsidR="00452F72">
        <w:t xml:space="preserve">ECEMF (2023), </w:t>
      </w:r>
      <w:r w:rsidR="00452F72" w:rsidRPr="00452F72">
        <w:t>ECEMF Policy Brief: Insights on EU2040 targets based on a model intercomparison exercise of EU Climate Neutrality Pathways</w:t>
      </w:r>
      <w:r w:rsidR="00452F72">
        <w:t xml:space="preserve">. </w:t>
      </w:r>
      <w:r w:rsidR="00452F72" w:rsidRPr="00A546E7">
        <w:t>DOI 10.5281/zenodo.8337667</w:t>
      </w:r>
      <w:r w:rsidR="00452F72">
        <w:t xml:space="preserve">. </w:t>
      </w:r>
      <w:hyperlink r:id="rId3" w:history="1">
        <w:r w:rsidR="00452F72" w:rsidRPr="001567DD">
          <w:rPr>
            <w:rStyle w:val="Hyperlink"/>
          </w:rPr>
          <w:t>https://zenodo.org/record/8337668</w:t>
        </w:r>
      </w:hyperlink>
      <w:r w:rsidR="00452F72">
        <w:t xml:space="preserve"> Full model range, including international bunkers.</w:t>
      </w:r>
    </w:p>
  </w:footnote>
  <w:footnote w:id="42">
    <w:p w14:paraId="5A8DB8A8" w14:textId="5893934D" w:rsidR="00A1313E" w:rsidRPr="002E5C51" w:rsidRDefault="00A1313E" w:rsidP="00952EFE">
      <w:pPr>
        <w:pStyle w:val="FootnoteText"/>
      </w:pPr>
      <w:r w:rsidRPr="003B4E4B">
        <w:rPr>
          <w:lang w:val="en-IE"/>
        </w:rPr>
        <w:t>(</w:t>
      </w:r>
      <w:r>
        <w:rPr>
          <w:rStyle w:val="FootnoteReference"/>
        </w:rPr>
        <w:footnoteRef/>
      </w:r>
      <w:r w:rsidRPr="003B4E4B">
        <w:rPr>
          <w:lang w:val="en-IE"/>
        </w:rPr>
        <w:t xml:space="preserve">) </w:t>
      </w:r>
      <w:r w:rsidR="00452F72">
        <w:t xml:space="preserve">Rodrigues et al., (2023). 2040 greenhouse gas reduction targets and energy transitions in line with the EU Green Deal, </w:t>
      </w:r>
      <w:r w:rsidR="00452F72" w:rsidRPr="0023623B">
        <w:rPr>
          <w:i/>
          <w:iCs/>
        </w:rPr>
        <w:t>Nature Communicatio</w:t>
      </w:r>
      <w:r w:rsidR="00452F72">
        <w:rPr>
          <w:i/>
          <w:iCs/>
        </w:rPr>
        <w:t>n</w:t>
      </w:r>
      <w:r w:rsidR="00452F72" w:rsidRPr="0023623B">
        <w:rPr>
          <w:i/>
          <w:iCs/>
        </w:rPr>
        <w:t>,</w:t>
      </w:r>
      <w:r w:rsidR="00452F72">
        <w:t xml:space="preserve"> Under Review.</w:t>
      </w:r>
    </w:p>
  </w:footnote>
  <w:footnote w:id="43">
    <w:p w14:paraId="088F6B5E" w14:textId="5C8087F8" w:rsidR="00556FAE" w:rsidRPr="00556FAE" w:rsidRDefault="00556FAE">
      <w:pPr>
        <w:pStyle w:val="FootnoteText"/>
        <w:rPr>
          <w:lang w:val="en-US"/>
        </w:rPr>
      </w:pPr>
      <w:r>
        <w:t>(</w:t>
      </w:r>
      <w:r>
        <w:rPr>
          <w:rStyle w:val="FootnoteReference"/>
        </w:rPr>
        <w:footnoteRef/>
      </w:r>
      <w:r>
        <w:t xml:space="preserve">)Ecologic and Oeko-Institut, </w:t>
      </w:r>
      <w:r w:rsidRPr="00F87C67">
        <w:rPr>
          <w:i/>
        </w:rPr>
        <w:t>Designing the EU 2040 climate target,</w:t>
      </w:r>
      <w:r>
        <w:t xml:space="preserve"> 2023.</w:t>
      </w:r>
    </w:p>
  </w:footnote>
  <w:footnote w:id="44">
    <w:p w14:paraId="2E0D065F" w14:textId="2F28AF2D" w:rsidR="00A1313E" w:rsidRPr="00C81262" w:rsidRDefault="00A1313E" w:rsidP="00C06B4B">
      <w:pPr>
        <w:pStyle w:val="FootnoteText"/>
        <w:rPr>
          <w:lang w:val="en-IE"/>
        </w:rPr>
      </w:pPr>
      <w:r>
        <w:t>(</w:t>
      </w:r>
      <w:r>
        <w:rPr>
          <w:rStyle w:val="FootnoteReference"/>
        </w:rPr>
        <w:footnoteRef/>
      </w:r>
      <w:r>
        <w:t>)</w:t>
      </w:r>
      <w:r>
        <w:tab/>
      </w:r>
      <w:r w:rsidR="00452F72" w:rsidRPr="009B2276">
        <w:rPr>
          <w:lang w:val="en-IE"/>
        </w:rPr>
        <w:t xml:space="preserve">ESABCC (2023). </w:t>
      </w:r>
      <w:r w:rsidR="00452F72">
        <w:rPr>
          <w:lang w:val="en-IE"/>
        </w:rPr>
        <w:t>Scientific advice for the determination of an EU-wide 2040 climate target and a greenhouse gas budget for 2030–2050</w:t>
      </w:r>
      <w:r w:rsidR="00452F72" w:rsidRPr="009B2276">
        <w:rPr>
          <w:lang w:val="en-IE"/>
        </w:rPr>
        <w:t>. DOI: 10.2800/609405.</w:t>
      </w:r>
      <w:r>
        <w:t>Table 5.</w:t>
      </w:r>
    </w:p>
  </w:footnote>
  <w:footnote w:id="45">
    <w:p w14:paraId="44BA3EA8" w14:textId="6194BB56" w:rsidR="00A1313E" w:rsidRPr="00667C7D" w:rsidRDefault="00A1313E" w:rsidP="00C06B4B">
      <w:pPr>
        <w:pStyle w:val="FootnoteText"/>
        <w:rPr>
          <w:lang w:val="en-IE"/>
        </w:rPr>
      </w:pPr>
      <w:r w:rsidRPr="00A438D4">
        <w:t>(</w:t>
      </w:r>
      <w:r w:rsidRPr="00A438D4">
        <w:rPr>
          <w:rStyle w:val="FootnoteReference"/>
        </w:rPr>
        <w:footnoteRef/>
      </w:r>
      <w:r w:rsidRPr="00A438D4">
        <w:t>)</w:t>
      </w:r>
      <w:r w:rsidRPr="00A438D4">
        <w:tab/>
      </w:r>
      <w:r w:rsidR="00582A52" w:rsidRPr="00A438D4">
        <w:t xml:space="preserve">ENGAGE Scenario Explorer, </w:t>
      </w:r>
      <w:r w:rsidR="00582A52" w:rsidRPr="00A438D4">
        <w:rPr>
          <w:i/>
        </w:rPr>
        <w:t>Engage: Feasibility of Climate Pathways Project</w:t>
      </w:r>
      <w:r w:rsidR="00582A52" w:rsidRPr="00A438D4">
        <w:t>, Accessed 15-09-23</w:t>
      </w:r>
      <w:r w:rsidR="00582A52" w:rsidRPr="00A438D4" w:rsidDel="00582A52">
        <w:t xml:space="preserve"> </w:t>
      </w:r>
    </w:p>
  </w:footnote>
  <w:footnote w:id="46">
    <w:p w14:paraId="40B4437D" w14:textId="31B9C82E" w:rsidR="00615D40" w:rsidRPr="00ED0696" w:rsidRDefault="00615D40">
      <w:pPr>
        <w:pStyle w:val="FootnoteText"/>
        <w:rPr>
          <w:lang w:val="en-US"/>
        </w:rPr>
      </w:pPr>
      <w:r>
        <w:t>(</w:t>
      </w:r>
      <w:r>
        <w:rPr>
          <w:rStyle w:val="FootnoteReference"/>
        </w:rPr>
        <w:footnoteRef/>
      </w:r>
      <w:r>
        <w:t>)</w:t>
      </w:r>
      <w:r>
        <w:tab/>
        <w:t xml:space="preserve">These values </w:t>
      </w:r>
      <w:r w:rsidR="00547E95">
        <w:t>only represent indicative capacities</w:t>
      </w:r>
      <w:r w:rsidR="004C0E19">
        <w:t xml:space="preserve"> and </w:t>
      </w:r>
      <w:r w:rsidR="004C0E19" w:rsidRPr="004C0E19">
        <w:t>will have to take account of normal operational downtimes and be supported by a total geological storage capacity of several giga-tonnes of CO2</w:t>
      </w:r>
      <w:r w:rsidR="004C0E19">
        <w:t>.</w:t>
      </w:r>
    </w:p>
  </w:footnote>
  <w:footnote w:id="47">
    <w:p w14:paraId="1ACEEA33" w14:textId="598438B5" w:rsidR="00A1313E" w:rsidRPr="0089744D" w:rsidRDefault="00A1313E" w:rsidP="00801ECE">
      <w:pPr>
        <w:pStyle w:val="FootnoteText"/>
        <w:rPr>
          <w:lang w:val="fr-FR"/>
        </w:rPr>
      </w:pPr>
      <w:r w:rsidRPr="00465F10">
        <w:rPr>
          <w:lang w:val="de-DE"/>
        </w:rPr>
        <w:t>(</w:t>
      </w:r>
      <w:r>
        <w:rPr>
          <w:rStyle w:val="FootnoteReference"/>
        </w:rPr>
        <w:footnoteRef/>
      </w:r>
      <w:r w:rsidRPr="00465F10">
        <w:rPr>
          <w:lang w:val="de-DE"/>
        </w:rPr>
        <w:t>)</w:t>
      </w:r>
      <w:r w:rsidRPr="00465F10">
        <w:rPr>
          <w:lang w:val="de-DE"/>
        </w:rPr>
        <w:tab/>
      </w:r>
      <w:r w:rsidR="00452F72" w:rsidRPr="00465F10">
        <w:rPr>
          <w:lang w:val="de-DE"/>
        </w:rPr>
        <w:t xml:space="preserve">Lane, J., Greig, C., &amp; Garnett, A. (2021). </w:t>
      </w:r>
      <w:r w:rsidR="00452F72" w:rsidRPr="00452F72">
        <w:rPr>
          <w:lang w:val="en-IE"/>
        </w:rPr>
        <w:t xml:space="preserve">Uncertain storage prospects create a conundrum for carbon capture and storage ambitions. </w:t>
      </w:r>
      <w:r w:rsidR="00452F72" w:rsidRPr="0089744D">
        <w:rPr>
          <w:i/>
          <w:lang w:val="fr-FR"/>
        </w:rPr>
        <w:t>Nature Climate Change, 11</w:t>
      </w:r>
      <w:r w:rsidR="00452F72" w:rsidRPr="0089744D">
        <w:rPr>
          <w:lang w:val="fr-FR"/>
        </w:rPr>
        <w:t xml:space="preserve">(11), 925-936. </w:t>
      </w:r>
      <w:r w:rsidRPr="0089744D">
        <w:rPr>
          <w:lang w:val="fr-FR"/>
        </w:rPr>
        <w:t>https://doi.org/10.1038/s41558-021-01175-7</w:t>
      </w:r>
    </w:p>
  </w:footnote>
  <w:footnote w:id="48">
    <w:p w14:paraId="0EFB6ED6" w14:textId="135BAF82" w:rsidR="00A1313E" w:rsidRPr="00720B91" w:rsidRDefault="00A1313E" w:rsidP="00801ECE">
      <w:pPr>
        <w:pStyle w:val="FootnoteText"/>
        <w:rPr>
          <w:lang w:val="en-IE"/>
        </w:rPr>
      </w:pPr>
      <w:r w:rsidRPr="006D18D2">
        <w:rPr>
          <w:lang w:val="fr-FR"/>
        </w:rPr>
        <w:t>(</w:t>
      </w:r>
      <w:r>
        <w:rPr>
          <w:rStyle w:val="FootnoteReference"/>
        </w:rPr>
        <w:footnoteRef/>
      </w:r>
      <w:r w:rsidRPr="006D18D2">
        <w:rPr>
          <w:lang w:val="fr-FR"/>
        </w:rPr>
        <w:t>)</w:t>
      </w:r>
      <w:r w:rsidRPr="006D18D2">
        <w:rPr>
          <w:lang w:val="fr-FR"/>
        </w:rPr>
        <w:tab/>
      </w:r>
      <w:r w:rsidR="00452F72" w:rsidRPr="006D18D2">
        <w:rPr>
          <w:rFonts w:ascii="Times New Roman" w:hAnsi="Times New Roman" w:cs="Times New Roman"/>
          <w:color w:val="222222"/>
          <w:szCs w:val="20"/>
          <w:shd w:val="clear" w:color="auto" w:fill="FFFFFF"/>
          <w:lang w:val="fr-FR"/>
        </w:rPr>
        <w:t xml:space="preserve">Koelbl, B. S., </w:t>
      </w:r>
      <w:r w:rsidR="006D18D2" w:rsidRPr="006D18D2">
        <w:rPr>
          <w:rFonts w:ascii="Times New Roman" w:hAnsi="Times New Roman" w:cs="Times New Roman"/>
          <w:color w:val="222222"/>
          <w:szCs w:val="20"/>
          <w:shd w:val="clear" w:color="auto" w:fill="FFFFFF"/>
          <w:lang w:val="fr-FR"/>
        </w:rPr>
        <w:t>et al</w:t>
      </w:r>
      <w:r w:rsidR="00452F72" w:rsidRPr="006D18D2">
        <w:rPr>
          <w:rFonts w:ascii="Times New Roman" w:hAnsi="Times New Roman" w:cs="Times New Roman"/>
          <w:color w:val="222222"/>
          <w:szCs w:val="20"/>
          <w:shd w:val="clear" w:color="auto" w:fill="FFFFFF"/>
          <w:lang w:val="fr-FR"/>
        </w:rPr>
        <w:t xml:space="preserve">. </w:t>
      </w:r>
      <w:r w:rsidR="00452F72" w:rsidRPr="0089744D">
        <w:rPr>
          <w:rFonts w:ascii="Times New Roman" w:hAnsi="Times New Roman" w:cs="Times New Roman"/>
          <w:color w:val="222222"/>
          <w:szCs w:val="20"/>
          <w:shd w:val="clear" w:color="auto" w:fill="FFFFFF"/>
          <w:lang w:val="en-IE"/>
        </w:rPr>
        <w:t xml:space="preserve">(2014). </w:t>
      </w:r>
      <w:r w:rsidR="00452F72" w:rsidRPr="00452F72">
        <w:rPr>
          <w:rFonts w:ascii="Times New Roman" w:hAnsi="Times New Roman" w:cs="Times New Roman"/>
          <w:color w:val="222222"/>
          <w:szCs w:val="20"/>
          <w:shd w:val="clear" w:color="auto" w:fill="FFFFFF"/>
        </w:rPr>
        <w:t>Uncertainty in the deployment of Carbon Capture and Storage (CCS): A sensitivity analysis to techno-economic parameter uncertainty. </w:t>
      </w:r>
      <w:r w:rsidR="00452F72" w:rsidRPr="00452F72">
        <w:rPr>
          <w:rFonts w:ascii="Times New Roman" w:hAnsi="Times New Roman" w:cs="Times New Roman"/>
          <w:i/>
          <w:iCs/>
          <w:color w:val="222222"/>
          <w:szCs w:val="20"/>
          <w:shd w:val="clear" w:color="auto" w:fill="FFFFFF"/>
        </w:rPr>
        <w:t>International Journal of Greenhouse Gas Control</w:t>
      </w:r>
      <w:r w:rsidR="00452F72" w:rsidRPr="00452F72">
        <w:rPr>
          <w:rFonts w:ascii="Times New Roman" w:hAnsi="Times New Roman" w:cs="Times New Roman"/>
          <w:color w:val="222222"/>
          <w:szCs w:val="20"/>
          <w:shd w:val="clear" w:color="auto" w:fill="FFFFFF"/>
        </w:rPr>
        <w:t>, </w:t>
      </w:r>
      <w:r w:rsidR="00452F72" w:rsidRPr="00452F72">
        <w:rPr>
          <w:rFonts w:ascii="Times New Roman" w:hAnsi="Times New Roman" w:cs="Times New Roman"/>
          <w:i/>
          <w:iCs/>
          <w:color w:val="222222"/>
          <w:szCs w:val="20"/>
          <w:shd w:val="clear" w:color="auto" w:fill="FFFFFF"/>
        </w:rPr>
        <w:t>27</w:t>
      </w:r>
      <w:r w:rsidR="00452F72" w:rsidRPr="00452F72">
        <w:rPr>
          <w:rFonts w:ascii="Times New Roman" w:hAnsi="Times New Roman" w:cs="Times New Roman"/>
          <w:color w:val="222222"/>
          <w:szCs w:val="20"/>
          <w:shd w:val="clear" w:color="auto" w:fill="FFFFFF"/>
        </w:rPr>
        <w:t>, 81-102.</w:t>
      </w:r>
    </w:p>
  </w:footnote>
  <w:footnote w:id="49">
    <w:p w14:paraId="352F98D5" w14:textId="76105AEA" w:rsidR="00DD2F48" w:rsidRPr="00534E10" w:rsidRDefault="00DD2F48">
      <w:pPr>
        <w:pStyle w:val="FootnoteText"/>
        <w:rPr>
          <w:lang w:val="en-US"/>
        </w:rPr>
      </w:pPr>
      <w:r>
        <w:t>(</w:t>
      </w:r>
      <w:r>
        <w:rPr>
          <w:rStyle w:val="FootnoteReference"/>
        </w:rPr>
        <w:footnoteRef/>
      </w:r>
      <w:r>
        <w:t>)</w:t>
      </w:r>
      <w:r>
        <w:tab/>
      </w:r>
      <w:r w:rsidRPr="00DD2F48">
        <w:t>Directive 2009/31/EC</w:t>
      </w:r>
    </w:p>
  </w:footnote>
  <w:footnote w:id="50">
    <w:p w14:paraId="24230A34" w14:textId="5D62249C" w:rsidR="00A1313E" w:rsidRPr="00CD742E" w:rsidRDefault="00A1313E">
      <w:pPr>
        <w:pStyle w:val="FootnoteText"/>
        <w:rPr>
          <w:lang w:val="en-IE"/>
        </w:rPr>
      </w:pPr>
      <w:r>
        <w:t>(</w:t>
      </w:r>
      <w:r>
        <w:rPr>
          <w:rStyle w:val="FootnoteReference"/>
        </w:rPr>
        <w:footnoteRef/>
      </w:r>
      <w:r>
        <w:t>)</w:t>
      </w:r>
      <w:r>
        <w:tab/>
      </w:r>
      <w:r w:rsidR="001B31FB" w:rsidRPr="00A438D4">
        <w:t>This list is to be published by JRC mid-october 2023</w:t>
      </w:r>
      <w:r w:rsidR="001B31FB">
        <w:t>.</w:t>
      </w:r>
    </w:p>
  </w:footnote>
  <w:footnote w:id="51">
    <w:p w14:paraId="73A85F72" w14:textId="0A5603E3" w:rsidR="00A20F03" w:rsidRPr="00A20F03" w:rsidRDefault="00A20F03">
      <w:pPr>
        <w:pStyle w:val="FootnoteText"/>
        <w:rPr>
          <w:lang w:val="en-US"/>
        </w:rPr>
      </w:pPr>
      <w:r w:rsidRPr="00A438D4">
        <w:t>(</w:t>
      </w:r>
      <w:r w:rsidRPr="00A438D4">
        <w:rPr>
          <w:rStyle w:val="FootnoteReference"/>
        </w:rPr>
        <w:footnoteRef/>
      </w:r>
      <w:r w:rsidRPr="00A438D4">
        <w:t>)</w:t>
      </w:r>
      <w:r w:rsidR="001B3E0E">
        <w:t xml:space="preserve"> </w:t>
      </w:r>
      <w:r w:rsidR="009468B4" w:rsidRPr="00A438D4">
        <w:t>Industrial Carbon management Communication</w:t>
      </w:r>
      <w:r w:rsidR="001B3E0E">
        <w:t xml:space="preserve"> (upcoming)</w:t>
      </w:r>
      <w:r w:rsidR="001B31FB" w:rsidRPr="00A438D4">
        <w:t>.</w:t>
      </w:r>
      <w:r w:rsidRPr="00A438D4">
        <w:t xml:space="preserve"> </w:t>
      </w:r>
    </w:p>
  </w:footnote>
  <w:footnote w:id="52">
    <w:p w14:paraId="06C0BADD" w14:textId="79ED9859" w:rsidR="002D142E" w:rsidRPr="005E370C" w:rsidRDefault="00640586" w:rsidP="002D142E">
      <w:pPr>
        <w:pStyle w:val="FootnoteText"/>
        <w:rPr>
          <w:lang w:val="en-IE"/>
        </w:rPr>
      </w:pPr>
      <w:r>
        <w:t>(</w:t>
      </w:r>
      <w:r>
        <w:rPr>
          <w:rStyle w:val="FootnoteReference"/>
        </w:rPr>
        <w:footnoteRef/>
      </w:r>
      <w:r>
        <w:t>)</w:t>
      </w:r>
      <w:r>
        <w:tab/>
      </w:r>
      <w:r w:rsidR="002D142E" w:rsidRPr="00C61226">
        <w:t>Commission Delegated Regulation (EU) 2023/1184</w:t>
      </w:r>
    </w:p>
    <w:p w14:paraId="59DC0213" w14:textId="2ACD7585" w:rsidR="00640586" w:rsidRPr="002D142E" w:rsidRDefault="00640586">
      <w:pPr>
        <w:pStyle w:val="FootnoteText"/>
        <w:rPr>
          <w:lang w:val="en-IE"/>
        </w:rPr>
      </w:pPr>
    </w:p>
  </w:footnote>
  <w:footnote w:id="53">
    <w:p w14:paraId="36587ED6" w14:textId="77777777" w:rsidR="00295F71" w:rsidRPr="00472C51" w:rsidRDefault="00295F71" w:rsidP="00295F71">
      <w:pPr>
        <w:pStyle w:val="FootnoteText"/>
        <w:rPr>
          <w:lang w:val="en-IE"/>
        </w:rPr>
      </w:pPr>
      <w:r>
        <w:t>(</w:t>
      </w:r>
      <w:r>
        <w:rPr>
          <w:rStyle w:val="FootnoteReference"/>
        </w:rPr>
        <w:footnoteRef/>
      </w:r>
      <w:r>
        <w:t>)</w:t>
      </w:r>
      <w:r>
        <w:tab/>
      </w:r>
      <w:r w:rsidRPr="00F870E7">
        <w:t>The model-based analysis is a technical exercise based on a number of assumptions that are shared across scenarios. Its results do not prejudge the future design of the post-2030 policy framework.</w:t>
      </w:r>
    </w:p>
  </w:footnote>
  <w:footnote w:id="54">
    <w:p w14:paraId="6CAD691F" w14:textId="03E67237" w:rsidR="00A1313E" w:rsidRDefault="00A1313E" w:rsidP="00BB4897">
      <w:pPr>
        <w:pStyle w:val="FootnoteText"/>
      </w:pPr>
      <w:r>
        <w:t>(</w:t>
      </w:r>
      <w:r>
        <w:rPr>
          <w:rStyle w:val="FootnoteReference"/>
        </w:rPr>
        <w:footnoteRef/>
      </w:r>
      <w:r>
        <w:t>)</w:t>
      </w:r>
      <w:r>
        <w:tab/>
        <w:t>Gross Available E</w:t>
      </w:r>
      <w:r w:rsidRPr="00510475">
        <w:t xml:space="preserve">nergy </w:t>
      </w:r>
      <w:r>
        <w:t>refers to t</w:t>
      </w:r>
      <w:r w:rsidRPr="00510475">
        <w:t>he overall supply of energy for all activities o</w:t>
      </w:r>
      <w:r>
        <w:t xml:space="preserve">f a </w:t>
      </w:r>
      <w:r w:rsidRPr="00510475">
        <w:t xml:space="preserve">country. It includes energy needs for energy transformation, </w:t>
      </w:r>
      <w:r>
        <w:t xml:space="preserve">for the </w:t>
      </w:r>
      <w:r w:rsidRPr="00510475">
        <w:t xml:space="preserve">energy sector itself, transmission and distribution losses, final energy consumption and the use of </w:t>
      </w:r>
      <w:r>
        <w:t>fuels</w:t>
      </w:r>
      <w:r w:rsidRPr="00510475">
        <w:t xml:space="preserve"> for non-energy purposes. It also includes fuel purchased within the country that is used elsewhere (</w:t>
      </w:r>
      <w:r w:rsidR="00F9360D" w:rsidRPr="00510475">
        <w:t>e.g.,</w:t>
      </w:r>
      <w:r w:rsidRPr="00510475">
        <w:t xml:space="preserve"> international aviation</w:t>
      </w:r>
      <w:r>
        <w:t xml:space="preserve"> and shipping</w:t>
      </w:r>
      <w:r w:rsidRPr="00510475">
        <w:t>).</w:t>
      </w:r>
      <w:r w:rsidR="00837DD3">
        <w:t xml:space="preserve"> These figures </w:t>
      </w:r>
      <w:r w:rsidR="00837DD3" w:rsidRPr="00B1334B">
        <w:t>exclude ambient heat</w:t>
      </w:r>
      <w:r w:rsidR="00837DD3">
        <w:t xml:space="preserve"> (from heat pumps).</w:t>
      </w:r>
    </w:p>
  </w:footnote>
  <w:footnote w:id="55">
    <w:p w14:paraId="069E31E1" w14:textId="61219061" w:rsidR="00E16DFA" w:rsidRPr="00EC35AC" w:rsidRDefault="00E16DFA" w:rsidP="00E16DFA">
      <w:pPr>
        <w:pStyle w:val="FootnoteText"/>
        <w:rPr>
          <w:lang w:val="en-IE"/>
        </w:rPr>
      </w:pPr>
      <w:r>
        <w:t>(</w:t>
      </w:r>
      <w:r>
        <w:rPr>
          <w:rStyle w:val="FootnoteReference"/>
        </w:rPr>
        <w:footnoteRef/>
      </w:r>
      <w:r>
        <w:t>)</w:t>
      </w:r>
      <w:r>
        <w:tab/>
      </w:r>
      <w:r w:rsidR="007100DA" w:rsidRPr="007100DA">
        <w:t xml:space="preserve">These assumptions reflect the situation until March 2023. </w:t>
      </w:r>
      <w:r w:rsidR="00643E73">
        <w:t>In June 2023</w:t>
      </w:r>
      <w:r w:rsidR="007100DA" w:rsidRPr="007100DA">
        <w:t xml:space="preserve">, France has adopted a law which removes the objective of reducing the share of nuclear power in the electricity mix. </w:t>
      </w:r>
      <w:r w:rsidR="00643E73">
        <w:t>A</w:t>
      </w:r>
      <w:r w:rsidR="007100DA" w:rsidRPr="007100DA">
        <w:t>dditional 3.3 GWe nuclear capacity was officially announced for deployment by mid-2030s.</w:t>
      </w:r>
      <w:r w:rsidR="00A061F5">
        <w:t xml:space="preserve"> See </w:t>
      </w:r>
      <w:r w:rsidR="00E05E7D">
        <w:t>the box in 6.2.1 of the main Impact Assessment and the assumptions in Annex 6.</w:t>
      </w:r>
      <w:r w:rsidR="007100DA" w:rsidRPr="007100DA">
        <w:t xml:space="preserve"> </w:t>
      </w:r>
      <w:r w:rsidRPr="000F0074">
        <w:t>Future EU policies and analysis will take the revised policies into account, as reflected in the</w:t>
      </w:r>
      <w:r>
        <w:t xml:space="preserve"> updated National Energy and Climate Plans which are currently being drafted.</w:t>
      </w:r>
    </w:p>
  </w:footnote>
  <w:footnote w:id="56">
    <w:p w14:paraId="3C2E7CF7" w14:textId="77777777" w:rsidR="00A1313E" w:rsidRPr="00991A7F" w:rsidRDefault="00A1313E" w:rsidP="00BB4897">
      <w:pPr>
        <w:pStyle w:val="FootnoteText"/>
        <w:rPr>
          <w:lang w:val="en-IE"/>
        </w:rPr>
      </w:pPr>
      <w:r>
        <w:t>(</w:t>
      </w:r>
      <w:r>
        <w:rPr>
          <w:rStyle w:val="FootnoteReference"/>
        </w:rPr>
        <w:footnoteRef/>
      </w:r>
      <w:r>
        <w:t>)</w:t>
      </w:r>
      <w:r>
        <w:tab/>
      </w:r>
      <w:r w:rsidRPr="0023684E">
        <w:t>COM/2022/230 final</w:t>
      </w:r>
    </w:p>
  </w:footnote>
  <w:footnote w:id="57">
    <w:p w14:paraId="372EB9A7" w14:textId="6FE52B7F" w:rsidR="00A1313E" w:rsidRPr="005B45D4" w:rsidRDefault="00A1313E">
      <w:pPr>
        <w:pStyle w:val="FootnoteText"/>
        <w:rPr>
          <w:lang w:val="en-US"/>
        </w:rPr>
      </w:pPr>
      <w:r>
        <w:t>(</w:t>
      </w:r>
      <w:r>
        <w:rPr>
          <w:rStyle w:val="FootnoteReference"/>
        </w:rPr>
        <w:footnoteRef/>
      </w:r>
      <w:r>
        <w:t>)</w:t>
      </w:r>
      <w:r>
        <w:tab/>
        <w:t xml:space="preserve"> </w:t>
      </w:r>
      <w:r w:rsidRPr="005B45D4">
        <w:t>Koolen, D.</w:t>
      </w:r>
      <w:r>
        <w:t xml:space="preserve"> et al.</w:t>
      </w:r>
      <w:r w:rsidRPr="005B45D4">
        <w:t>, Flexibility requirements and the role of storage in future European power systems, EUR 31239 EN, Publications Office of the European Union, Luxembourg, 2023, ISBN 978-92-76-57363-0, doi:10.2760/384443, JRC130519.</w:t>
      </w:r>
    </w:p>
  </w:footnote>
  <w:footnote w:id="58">
    <w:p w14:paraId="6AD97B40" w14:textId="1A996274" w:rsidR="00B21A00" w:rsidRPr="00B21A00" w:rsidRDefault="00B21A00">
      <w:pPr>
        <w:pStyle w:val="FootnoteText"/>
        <w:rPr>
          <w:lang w:val="en-IE"/>
        </w:rPr>
      </w:pPr>
      <w:r>
        <w:t>(</w:t>
      </w:r>
      <w:r>
        <w:rPr>
          <w:rStyle w:val="FootnoteReference"/>
        </w:rPr>
        <w:footnoteRef/>
      </w:r>
      <w:r>
        <w:t>)</w:t>
      </w:r>
      <w:r>
        <w:tab/>
        <w:t xml:space="preserve"> </w:t>
      </w:r>
      <w:r w:rsidRPr="00B21A00">
        <w:t>Future EU policies and analysis will take the revised policies into account, as reflected in the updated National Energy and Climate Plans which are currently being drafted.</w:t>
      </w:r>
    </w:p>
  </w:footnote>
  <w:footnote w:id="59">
    <w:p w14:paraId="021F340D" w14:textId="5567133C" w:rsidR="00A1313E" w:rsidRPr="00454247" w:rsidRDefault="00A1313E" w:rsidP="00A82B41">
      <w:pPr>
        <w:pStyle w:val="FootnoteText"/>
        <w:rPr>
          <w:lang w:val="en-IE"/>
        </w:rPr>
      </w:pPr>
      <w:r>
        <w:t>(</w:t>
      </w:r>
      <w:r>
        <w:rPr>
          <w:rStyle w:val="FootnoteReference"/>
        </w:rPr>
        <w:footnoteRef/>
      </w:r>
      <w:r>
        <w:t>)</w:t>
      </w:r>
      <w:r>
        <w:tab/>
        <w:t>The installed nuclear capacity is mostly exogenous based on the NECPs submitted in 2019 and modifications based on discussions with Member States</w:t>
      </w:r>
      <w:r w:rsidR="00D75A9C" w:rsidRPr="002F0573">
        <w:t>, which however reflect the status only until March 2023.</w:t>
      </w:r>
      <w:r w:rsidR="00BF0524" w:rsidRPr="00BF0524">
        <w:t xml:space="preserve"> In June 2023, France has adopted a law which removes the objective of reducing the share of nuclear power in the electricity mix. Additional 3.3 GWe capacity was officially announced for deployment by mid-2030s. </w:t>
      </w:r>
      <w:r w:rsidR="003A6D69" w:rsidRPr="003A6D69">
        <w:t>. See the box in 6.2.1 of the main Impact Assessment and the assumptions in Annex 6.</w:t>
      </w:r>
      <w:r w:rsidR="003A6D69">
        <w:t xml:space="preserve"> </w:t>
      </w:r>
      <w:r w:rsidR="00BF0524" w:rsidRPr="00BF0524">
        <w:t>Forthcoming analysis will take the revised policies into account, as reflected in the updated National Energy and Climate Plans which are currently being drafted. See Annex 8 for more details</w:t>
      </w:r>
      <w:r w:rsidR="0033064A">
        <w:t>.</w:t>
      </w:r>
    </w:p>
  </w:footnote>
  <w:footnote w:id="60">
    <w:p w14:paraId="03C96E5B" w14:textId="4CE924CB" w:rsidR="00DE2528" w:rsidRPr="00DE2528" w:rsidRDefault="00DE2528">
      <w:pPr>
        <w:pStyle w:val="FootnoteText"/>
        <w:rPr>
          <w:lang w:val="en-IE"/>
        </w:rPr>
      </w:pPr>
      <w:r>
        <w:t>(</w:t>
      </w:r>
      <w:r>
        <w:rPr>
          <w:rStyle w:val="FootnoteReference"/>
        </w:rPr>
        <w:footnoteRef/>
      </w:r>
      <w:r>
        <w:t>)</w:t>
      </w:r>
      <w:r>
        <w:tab/>
        <w:t>Natural gas is still used as feedstock for the industry after 2040.</w:t>
      </w:r>
    </w:p>
  </w:footnote>
  <w:footnote w:id="61">
    <w:p w14:paraId="4956A278" w14:textId="7FD858C5" w:rsidR="00D40061" w:rsidRPr="00D40061" w:rsidRDefault="00D40061">
      <w:pPr>
        <w:pStyle w:val="FootnoteText"/>
        <w:rPr>
          <w:lang w:val="en-US"/>
        </w:rPr>
      </w:pPr>
      <w:r w:rsidRPr="004E6621">
        <w:rPr>
          <w:lang w:val="pt-PT"/>
        </w:rPr>
        <w:t>(</w:t>
      </w:r>
      <w:r>
        <w:rPr>
          <w:rStyle w:val="FootnoteReference"/>
        </w:rPr>
        <w:footnoteRef/>
      </w:r>
      <w:r w:rsidRPr="004E6621">
        <w:rPr>
          <w:lang w:val="pt-PT"/>
        </w:rPr>
        <w:t>)</w:t>
      </w:r>
      <w:r w:rsidRPr="004E6621">
        <w:rPr>
          <w:lang w:val="pt-PT"/>
        </w:rPr>
        <w:tab/>
        <w:t xml:space="preserve">IEA (2023), Critical Minerals Data Explorer, IEA, Paris </w:t>
      </w:r>
      <w:hyperlink r:id="rId4" w:history="1">
        <w:r w:rsidRPr="004E6621">
          <w:rPr>
            <w:rStyle w:val="Hyperlink"/>
            <w:lang w:val="pt-PT"/>
          </w:rPr>
          <w:t>https://www.iea.org/data-and-statistics/data-tools/critical-minerals-data-explorer</w:t>
        </w:r>
      </w:hyperlink>
      <w:r w:rsidRPr="004E6621">
        <w:rPr>
          <w:rStyle w:val="Hyperlink"/>
          <w:lang w:val="pt-PT"/>
        </w:rPr>
        <w:t>.</w:t>
      </w:r>
      <w:r w:rsidRPr="004E6621">
        <w:rPr>
          <w:lang w:val="pt-PT"/>
        </w:rPr>
        <w:t xml:space="preserve"> </w:t>
      </w:r>
      <w:r>
        <w:t>Accessed on 05 December 2023.</w:t>
      </w:r>
    </w:p>
  </w:footnote>
  <w:footnote w:id="62">
    <w:p w14:paraId="19A8E521" w14:textId="77777777" w:rsidR="001544E6" w:rsidRPr="001544E6" w:rsidRDefault="001544E6" w:rsidP="001544E6">
      <w:pPr>
        <w:pStyle w:val="FootnoteText"/>
        <w:rPr>
          <w:lang w:val="en-US"/>
        </w:rPr>
      </w:pPr>
      <w:r>
        <w:t>(</w:t>
      </w:r>
      <w:r>
        <w:rPr>
          <w:rStyle w:val="FootnoteReference"/>
        </w:rPr>
        <w:footnoteRef/>
      </w:r>
      <w:r>
        <w:t>)</w:t>
      </w:r>
      <w:r>
        <w:tab/>
        <w:t>Ibid</w:t>
      </w:r>
    </w:p>
  </w:footnote>
  <w:footnote w:id="63">
    <w:p w14:paraId="0DB145D9" w14:textId="77777777" w:rsidR="00A438D4" w:rsidRPr="00D8149F" w:rsidRDefault="00A438D4" w:rsidP="00A438D4">
      <w:pPr>
        <w:pStyle w:val="FootnoteText"/>
        <w:rPr>
          <w:lang w:val="en-IE"/>
        </w:rPr>
      </w:pPr>
      <w:r>
        <w:t>(</w:t>
      </w:r>
      <w:r>
        <w:rPr>
          <w:rStyle w:val="FootnoteReference"/>
        </w:rPr>
        <w:footnoteRef/>
      </w:r>
      <w:r>
        <w:t>)</w:t>
      </w:r>
      <w:r>
        <w:tab/>
      </w:r>
      <w:r w:rsidRPr="00E20AB5">
        <w:t>The model-based analysis is a technical exercise based on a number of assumptions that are shared across scenarios. Its results do not prejudge the future design of the post-2030 policy framework.</w:t>
      </w:r>
    </w:p>
  </w:footnote>
  <w:footnote w:id="64">
    <w:p w14:paraId="3C08244A" w14:textId="58EA642C" w:rsidR="00A1313E" w:rsidRPr="006B34E7" w:rsidRDefault="00A1313E" w:rsidP="00350C25">
      <w:pPr>
        <w:pStyle w:val="FootnoteText"/>
        <w:rPr>
          <w:lang w:val="en-IE"/>
        </w:rPr>
      </w:pPr>
      <w:r>
        <w:t>(</w:t>
      </w:r>
      <w:r>
        <w:rPr>
          <w:rStyle w:val="FootnoteReference"/>
        </w:rPr>
        <w:footnoteRef/>
      </w:r>
      <w:r>
        <w:t>)</w:t>
      </w:r>
      <w:r>
        <w:tab/>
      </w:r>
      <w:r w:rsidR="0071180E" w:rsidRPr="008E599C">
        <w:rPr>
          <w:lang w:val="en-IE"/>
        </w:rPr>
        <w:t>Eurostat</w:t>
      </w:r>
      <w:r w:rsidR="0071180E">
        <w:rPr>
          <w:lang w:val="en-IE"/>
        </w:rPr>
        <w:t xml:space="preserve">, </w:t>
      </w:r>
      <w:r w:rsidR="0071180E" w:rsidRPr="00E8125A">
        <w:rPr>
          <w:i/>
          <w:iCs/>
          <w:lang w:val="en-IE"/>
        </w:rPr>
        <w:t>Complete</w:t>
      </w:r>
      <w:r w:rsidR="0071180E" w:rsidRPr="00E8125A">
        <w:rPr>
          <w:i/>
          <w:lang w:val="en-IE"/>
        </w:rPr>
        <w:t xml:space="preserve"> Energy Balances </w:t>
      </w:r>
      <w:r w:rsidR="0071180E" w:rsidRPr="00E8125A">
        <w:rPr>
          <w:i/>
          <w:iCs/>
          <w:lang w:val="en-IE"/>
        </w:rPr>
        <w:t>European Union (27 countries) – 2021,</w:t>
      </w:r>
      <w:r w:rsidR="0071180E">
        <w:rPr>
          <w:lang w:val="en-IE"/>
        </w:rPr>
        <w:t xml:space="preserve"> </w:t>
      </w:r>
      <w:r w:rsidR="0071180E" w:rsidRPr="008E599C">
        <w:rPr>
          <w:lang w:val="en-IE"/>
        </w:rPr>
        <w:t>2023.</w:t>
      </w:r>
    </w:p>
  </w:footnote>
  <w:footnote w:id="65">
    <w:p w14:paraId="4C1AB2F4" w14:textId="3A1CAE1A" w:rsidR="00A1313E" w:rsidRDefault="00A1313E">
      <w:pPr>
        <w:pStyle w:val="FootnoteText"/>
      </w:pPr>
      <w:r>
        <w:t>(</w:t>
      </w:r>
      <w:r>
        <w:rPr>
          <w:rStyle w:val="FootnoteReference"/>
        </w:rPr>
        <w:footnoteRef/>
      </w:r>
      <w:r>
        <w:t>)</w:t>
      </w:r>
      <w:r>
        <w:tab/>
      </w:r>
      <w:r w:rsidRPr="001630DC">
        <w:t>Dosio, A, Fischer, E.M. (2018): Will half a degree make a difference? Robust projection of indices of mean and extreme climate in Europe under 1.5°C, 2°C  and 3°C global warming, Geophysical Research Letter, 45(2), 935-944, DOI:10.1002/2017GL076222</w:t>
      </w:r>
    </w:p>
  </w:footnote>
  <w:footnote w:id="66">
    <w:p w14:paraId="70D4211E" w14:textId="60DC79AF" w:rsidR="00A1313E" w:rsidRDefault="00A1313E">
      <w:pPr>
        <w:pStyle w:val="FootnoteText"/>
      </w:pPr>
      <w:r>
        <w:t>(</w:t>
      </w:r>
      <w:r>
        <w:rPr>
          <w:rStyle w:val="FootnoteReference"/>
        </w:rPr>
        <w:footnoteRef/>
      </w:r>
      <w:r>
        <w:t>)</w:t>
      </w:r>
      <w:r>
        <w:tab/>
        <w:t xml:space="preserve">Energy consumption associated to cooling buildings is much lower than the one associated to heating and thus a large growth in  CDDs provides a limited contribution to the overall change in building energy (see </w:t>
      </w:r>
      <w:r>
        <w:fldChar w:fldCharType="begin"/>
      </w:r>
      <w:r>
        <w:instrText xml:space="preserve"> REF _Ref142031996 \h </w:instrText>
      </w:r>
      <w:r>
        <w:fldChar w:fldCharType="separate"/>
      </w:r>
      <w:r w:rsidR="00947B26">
        <w:t xml:space="preserve">Figure </w:t>
      </w:r>
      <w:r>
        <w:fldChar w:fldCharType="end"/>
      </w:r>
      <w:r>
        <w:t xml:space="preserve"> and </w:t>
      </w:r>
      <w:r>
        <w:fldChar w:fldCharType="begin"/>
      </w:r>
      <w:r>
        <w:instrText xml:space="preserve"> REF _Ref142031998 \h </w:instrText>
      </w:r>
      <w:r>
        <w:fldChar w:fldCharType="separate"/>
      </w:r>
      <w:r w:rsidR="00947B26">
        <w:t xml:space="preserve">Figure </w:t>
      </w:r>
      <w:r>
        <w:fldChar w:fldCharType="end"/>
      </w:r>
      <w:r>
        <w:t>).</w:t>
      </w:r>
    </w:p>
  </w:footnote>
  <w:footnote w:id="67">
    <w:p w14:paraId="1F64F789" w14:textId="77777777" w:rsidR="00A1313E" w:rsidRPr="000D3665" w:rsidRDefault="00A1313E" w:rsidP="00350C25">
      <w:pPr>
        <w:pStyle w:val="FootnoteText"/>
        <w:rPr>
          <w:lang w:val="en-IE"/>
        </w:rPr>
      </w:pPr>
      <w:r>
        <w:t>(</w:t>
      </w:r>
      <w:r>
        <w:rPr>
          <w:rStyle w:val="FootnoteReference"/>
        </w:rPr>
        <w:footnoteRef/>
      </w:r>
      <w:r>
        <w:t>)</w:t>
      </w:r>
      <w:r>
        <w:tab/>
        <w:t>The figures on heating include energy used for space heating, water heating and cooking, although the two latter have minor contributions.</w:t>
      </w:r>
    </w:p>
  </w:footnote>
  <w:footnote w:id="68">
    <w:p w14:paraId="1582C13A" w14:textId="21910321" w:rsidR="00285F48" w:rsidRPr="003706A9" w:rsidRDefault="00285F48">
      <w:pPr>
        <w:pStyle w:val="FootnoteText"/>
        <w:rPr>
          <w:lang w:val="en-IE"/>
        </w:rPr>
      </w:pPr>
      <w:r>
        <w:t>(</w:t>
      </w:r>
      <w:r>
        <w:rPr>
          <w:rStyle w:val="FootnoteReference"/>
        </w:rPr>
        <w:footnoteRef/>
      </w:r>
      <w:r>
        <w:t>)</w:t>
      </w:r>
      <w:r>
        <w:tab/>
      </w:r>
      <w:r w:rsidRPr="00285F48">
        <w:t>Renewable hydrogen is a rapidly evolving technology and sector. The modelling results for 2030 reflect the EU RFNBO targets, and associated hydrogen production, as per the revision of the Renewable Energy Directive under the Fit-for-55 package. However, the modelling for the future design of the post-2030 policy framework will take into account the updates of the National Climate and Energy Plans due in June 2024.</w:t>
      </w:r>
    </w:p>
  </w:footnote>
  <w:footnote w:id="69">
    <w:p w14:paraId="215CCFB0" w14:textId="4656F818" w:rsidR="00285F48" w:rsidRPr="003706A9" w:rsidRDefault="00285F48">
      <w:pPr>
        <w:pStyle w:val="FootnoteText"/>
        <w:rPr>
          <w:lang w:val="en-IE"/>
        </w:rPr>
      </w:pPr>
      <w:r>
        <w:t>(</w:t>
      </w:r>
      <w:r>
        <w:rPr>
          <w:rStyle w:val="FootnoteReference"/>
        </w:rPr>
        <w:footnoteRef/>
      </w:r>
      <w:r>
        <w:t>)</w:t>
      </w:r>
      <w:r>
        <w:tab/>
      </w:r>
      <w:r w:rsidRPr="00285F48">
        <w:t>Future analyses may assume other supply levels of biomass to stay within the sustainability boundaries, in view of the on-going scientific debate.</w:t>
      </w:r>
    </w:p>
  </w:footnote>
  <w:footnote w:id="70">
    <w:p w14:paraId="69AF22B6" w14:textId="77777777" w:rsidR="00A1313E" w:rsidRDefault="00A1313E" w:rsidP="00FF4CA3">
      <w:pPr>
        <w:pStyle w:val="FootnoteText"/>
      </w:pPr>
      <w:r>
        <w:t>(</w:t>
      </w:r>
      <w:r>
        <w:rPr>
          <w:rStyle w:val="FootnoteReference"/>
        </w:rPr>
        <w:footnoteRef/>
      </w:r>
      <w:r>
        <w:t>)</w:t>
      </w:r>
      <w:r>
        <w:tab/>
        <w:t xml:space="preserve"> Quarton C.J, Tlili O., Welder L., Mansilla C., Blanco H., Heinrichs H., Leaver J., Samsatli N.J., Lucchese P., Robinius M., Samsatli S. (2020), The curious case of the conflicting roles of hydrogen in global energy scenarios, Sustainable Energy Fuels, 4, 80, </w:t>
      </w:r>
      <w:r w:rsidRPr="00E0607C">
        <w:t>DOI: 10.1039/c9se00833k</w:t>
      </w:r>
    </w:p>
  </w:footnote>
  <w:footnote w:id="71">
    <w:p w14:paraId="7F7915A3" w14:textId="77777777" w:rsidR="00A1313E" w:rsidRPr="004B1E94" w:rsidRDefault="00A1313E" w:rsidP="00350C25">
      <w:pPr>
        <w:pStyle w:val="FootnoteText"/>
        <w:rPr>
          <w:lang w:val="en-IE"/>
        </w:rPr>
      </w:pPr>
      <w:r>
        <w:t>(</w:t>
      </w:r>
      <w:r>
        <w:rPr>
          <w:rStyle w:val="FootnoteReference"/>
        </w:rPr>
        <w:footnoteRef/>
      </w:r>
      <w:r>
        <w:t>)</w:t>
      </w:r>
      <w:r>
        <w:tab/>
        <w:t>Black appliances refer to vacuum cleaners, small appliances, information and entertainment appliances.</w:t>
      </w:r>
    </w:p>
  </w:footnote>
  <w:footnote w:id="72">
    <w:p w14:paraId="65C6FD4F" w14:textId="77777777" w:rsidR="00A1313E" w:rsidRDefault="00A1313E" w:rsidP="00F37A99">
      <w:pPr>
        <w:pStyle w:val="FootnoteText"/>
      </w:pPr>
      <w:r>
        <w:t>(</w:t>
      </w:r>
      <w:r>
        <w:rPr>
          <w:rStyle w:val="FootnoteReference"/>
        </w:rPr>
        <w:footnoteRef/>
      </w:r>
      <w:r>
        <w:t>)</w:t>
      </w:r>
      <w:r>
        <w:tab/>
        <w:t>White appliances refer to dishwasher, dryers, freezers, refrigerators and washing machines.</w:t>
      </w:r>
    </w:p>
  </w:footnote>
  <w:footnote w:id="73">
    <w:p w14:paraId="416C9B27" w14:textId="77777777" w:rsidR="000A2E6F" w:rsidRPr="00D8149F" w:rsidRDefault="000A2E6F" w:rsidP="000A2E6F">
      <w:pPr>
        <w:pStyle w:val="FootnoteText"/>
        <w:rPr>
          <w:lang w:val="en-IE"/>
        </w:rPr>
      </w:pPr>
      <w:r>
        <w:t>(</w:t>
      </w:r>
      <w:r>
        <w:rPr>
          <w:rStyle w:val="FootnoteReference"/>
        </w:rPr>
        <w:footnoteRef/>
      </w:r>
      <w:r>
        <w:t xml:space="preserve">) </w:t>
      </w:r>
      <w:r w:rsidRPr="00EE3AC3">
        <w:t>The model-based analysis is a technical exercise based on a number of assumptions that are shared across scenarios. Its results do not prejudge the future design of the post-2030 policy framework.</w:t>
      </w:r>
    </w:p>
  </w:footnote>
  <w:footnote w:id="74">
    <w:p w14:paraId="3C212E2B" w14:textId="77D872AE" w:rsidR="00A1313E" w:rsidRPr="00F46DC1" w:rsidRDefault="00446DC1" w:rsidP="00350C25">
      <w:pPr>
        <w:pStyle w:val="FootnoteText"/>
      </w:pPr>
      <w:r>
        <w:t>(</w:t>
      </w:r>
      <w:r>
        <w:rPr>
          <w:rStyle w:val="FootnoteReference"/>
        </w:rPr>
        <w:footnoteRef/>
      </w:r>
      <w:r>
        <w:t>) IEA</w:t>
      </w:r>
      <w:r w:rsidR="006D18D2">
        <w:t>, (2022).</w:t>
      </w:r>
      <w:r w:rsidR="00CE4180">
        <w:t xml:space="preserve"> </w:t>
      </w:r>
      <w:r w:rsidRPr="006D18D2">
        <w:t>Achieving Net Zero Heavy Industry Sectors in G7 Members</w:t>
      </w:r>
      <w:r w:rsidR="006D18D2" w:rsidRPr="006D18D2">
        <w:t>.</w:t>
      </w:r>
    </w:p>
  </w:footnote>
  <w:footnote w:id="75">
    <w:p w14:paraId="727E68F1" w14:textId="62AD629E" w:rsidR="00A1313E" w:rsidRPr="001531B2" w:rsidRDefault="00446DC1" w:rsidP="00350C25">
      <w:pPr>
        <w:pStyle w:val="FootnoteText"/>
        <w:rPr>
          <w:lang w:val="en-IE"/>
        </w:rPr>
      </w:pPr>
      <w:r w:rsidRPr="00925DB7">
        <w:rPr>
          <w:lang w:val="en-IE"/>
        </w:rPr>
        <w:t>(</w:t>
      </w:r>
      <w:r w:rsidRPr="00925DB7">
        <w:rPr>
          <w:rStyle w:val="FootnoteReference"/>
        </w:rPr>
        <w:footnoteRef/>
      </w:r>
      <w:r w:rsidRPr="00925DB7">
        <w:rPr>
          <w:lang w:val="en-IE"/>
        </w:rPr>
        <w:t xml:space="preserve">) </w:t>
      </w:r>
      <w:r w:rsidR="00CE4180" w:rsidRPr="00925DB7">
        <w:rPr>
          <w:lang w:val="en-IE"/>
        </w:rPr>
        <w:t>COM/2022/514 final</w:t>
      </w:r>
    </w:p>
  </w:footnote>
  <w:footnote w:id="76">
    <w:p w14:paraId="3B0FBC57" w14:textId="7BB43F2B" w:rsidR="00446DC1" w:rsidRPr="00AF2D7C" w:rsidRDefault="00446DC1" w:rsidP="00446DC1">
      <w:pPr>
        <w:pStyle w:val="FootnoteText"/>
      </w:pPr>
      <w:r>
        <w:t>(</w:t>
      </w:r>
      <w:r>
        <w:rPr>
          <w:rStyle w:val="FootnoteReference"/>
        </w:rPr>
        <w:footnoteRef/>
      </w:r>
      <w:r>
        <w:t xml:space="preserve">) </w:t>
      </w:r>
      <w:r w:rsidRPr="00AF2D7C">
        <w:t>McKinsey</w:t>
      </w:r>
      <w:r w:rsidR="006D18D2">
        <w:t xml:space="preserve">, (2020). </w:t>
      </w:r>
      <w:r w:rsidR="001531B2" w:rsidRPr="006D18D2">
        <w:t>Net-Zero Europe Decarbonization pathways and socioeconomic implications</w:t>
      </w:r>
      <w:r w:rsidR="006D18D2">
        <w:t xml:space="preserve">. </w:t>
      </w:r>
    </w:p>
  </w:footnote>
  <w:footnote w:id="77">
    <w:p w14:paraId="31E10AAB" w14:textId="771E1A08" w:rsidR="00925DB7" w:rsidRPr="006D18D2" w:rsidRDefault="00925DB7" w:rsidP="00925DB7">
      <w:pPr>
        <w:pStyle w:val="FootnoteText"/>
        <w:rPr>
          <w:rFonts w:ascii="Times New Roman" w:hAnsi="Times New Roman" w:cs="Times New Roman"/>
        </w:rPr>
      </w:pPr>
      <w:r>
        <w:t>(</w:t>
      </w:r>
      <w:r>
        <w:rPr>
          <w:rStyle w:val="FootnoteReference"/>
        </w:rPr>
        <w:footnoteRef/>
      </w:r>
      <w:r>
        <w:t>)</w:t>
      </w:r>
      <w:r w:rsidRPr="006D18D2">
        <w:rPr>
          <w:rFonts w:ascii="Times New Roman" w:hAnsi="Times New Roman" w:cs="Times New Roman"/>
        </w:rPr>
        <w:tab/>
      </w:r>
      <w:r w:rsidR="0008392F" w:rsidRPr="001B2BBA">
        <w:rPr>
          <w:szCs w:val="20"/>
        </w:rPr>
        <w:t>Kalcher, L. et al.</w:t>
      </w:r>
      <w:r w:rsidR="0008392F">
        <w:rPr>
          <w:szCs w:val="20"/>
        </w:rPr>
        <w:t xml:space="preserve">, (2023). </w:t>
      </w:r>
      <w:r w:rsidR="0008392F" w:rsidRPr="00452F72">
        <w:rPr>
          <w:iCs/>
          <w:szCs w:val="20"/>
        </w:rPr>
        <w:t>The post-2030 climate target debate starts now,</w:t>
      </w:r>
      <w:r w:rsidR="0008392F" w:rsidRPr="001B2BBA">
        <w:rPr>
          <w:szCs w:val="20"/>
        </w:rPr>
        <w:t xml:space="preserve"> </w:t>
      </w:r>
      <w:r w:rsidR="0008392F" w:rsidRPr="00452F72">
        <w:rPr>
          <w:i/>
          <w:iCs/>
          <w:szCs w:val="20"/>
        </w:rPr>
        <w:t>Strategic Perspectives and Climact</w:t>
      </w:r>
      <w:r w:rsidR="0008392F" w:rsidRPr="001B2BBA">
        <w:rPr>
          <w:szCs w:val="20"/>
        </w:rPr>
        <w:t>.</w:t>
      </w:r>
      <w:r w:rsidR="0008392F">
        <w:rPr>
          <w:szCs w:val="20"/>
        </w:rPr>
        <w:t xml:space="preserve"> </w:t>
      </w:r>
      <w:r w:rsidR="0008392F" w:rsidRPr="0008392F">
        <w:t>https://strategicperspectives.eu/the-post-2030-climate-target-debate-starts-now/</w:t>
      </w:r>
    </w:p>
  </w:footnote>
  <w:footnote w:id="78">
    <w:p w14:paraId="2CEFDBA4" w14:textId="4F63BDFB" w:rsidR="00A1313E" w:rsidRPr="00381D9E" w:rsidRDefault="00A1313E" w:rsidP="00350C25">
      <w:pPr>
        <w:pStyle w:val="FootnoteText"/>
      </w:pPr>
      <w:r w:rsidRPr="006D18D2">
        <w:rPr>
          <w:rFonts w:ascii="Times New Roman" w:hAnsi="Times New Roman" w:cs="Times New Roman"/>
        </w:rPr>
        <w:t>(</w:t>
      </w:r>
      <w:r w:rsidRPr="006D18D2">
        <w:rPr>
          <w:rStyle w:val="FootnoteReference"/>
          <w:rFonts w:ascii="Times New Roman" w:hAnsi="Times New Roman" w:cs="Times New Roman"/>
        </w:rPr>
        <w:footnoteRef/>
      </w:r>
      <w:r w:rsidRPr="006D18D2">
        <w:rPr>
          <w:rFonts w:ascii="Times New Roman" w:hAnsi="Times New Roman" w:cs="Times New Roman"/>
        </w:rPr>
        <w:t xml:space="preserve">) </w:t>
      </w:r>
      <w:r w:rsidR="006D18D2" w:rsidRPr="006D18D2">
        <w:rPr>
          <w:rFonts w:ascii="Times New Roman" w:hAnsi="Times New Roman" w:cs="Times New Roman"/>
          <w:color w:val="222222"/>
          <w:szCs w:val="20"/>
          <w:shd w:val="clear" w:color="auto" w:fill="FFFFFF"/>
        </w:rPr>
        <w:t xml:space="preserve">Madeddu, S., </w:t>
      </w:r>
      <w:r w:rsidR="006D18D2">
        <w:rPr>
          <w:rFonts w:ascii="Times New Roman" w:hAnsi="Times New Roman" w:cs="Times New Roman"/>
          <w:color w:val="222222"/>
          <w:szCs w:val="20"/>
          <w:shd w:val="clear" w:color="auto" w:fill="FFFFFF"/>
        </w:rPr>
        <w:t>et al</w:t>
      </w:r>
      <w:r w:rsidR="006D18D2" w:rsidRPr="006D18D2">
        <w:rPr>
          <w:rFonts w:ascii="Times New Roman" w:hAnsi="Times New Roman" w:cs="Times New Roman"/>
          <w:color w:val="222222"/>
          <w:szCs w:val="20"/>
          <w:shd w:val="clear" w:color="auto" w:fill="FFFFFF"/>
        </w:rPr>
        <w:t>. (2020). The CO2 reduction potential for the European industry via direct electrification of heat supply (power-to-heat). </w:t>
      </w:r>
      <w:r w:rsidR="006D18D2" w:rsidRPr="006D18D2">
        <w:rPr>
          <w:rFonts w:ascii="Times New Roman" w:hAnsi="Times New Roman" w:cs="Times New Roman"/>
          <w:i/>
          <w:iCs/>
          <w:color w:val="222222"/>
          <w:szCs w:val="20"/>
          <w:shd w:val="clear" w:color="auto" w:fill="FFFFFF"/>
        </w:rPr>
        <w:t>Environmental Research Letters</w:t>
      </w:r>
      <w:r w:rsidR="006D18D2" w:rsidRPr="006D18D2">
        <w:rPr>
          <w:rFonts w:ascii="Times New Roman" w:hAnsi="Times New Roman" w:cs="Times New Roman"/>
          <w:color w:val="222222"/>
          <w:szCs w:val="20"/>
          <w:shd w:val="clear" w:color="auto" w:fill="FFFFFF"/>
        </w:rPr>
        <w:t>, </w:t>
      </w:r>
      <w:r w:rsidR="006D18D2" w:rsidRPr="006D18D2">
        <w:rPr>
          <w:rFonts w:ascii="Times New Roman" w:hAnsi="Times New Roman" w:cs="Times New Roman"/>
          <w:i/>
          <w:iCs/>
          <w:color w:val="222222"/>
          <w:szCs w:val="20"/>
          <w:shd w:val="clear" w:color="auto" w:fill="FFFFFF"/>
        </w:rPr>
        <w:t>15</w:t>
      </w:r>
      <w:r w:rsidR="006D18D2" w:rsidRPr="006D18D2">
        <w:rPr>
          <w:rFonts w:ascii="Times New Roman" w:hAnsi="Times New Roman" w:cs="Times New Roman"/>
          <w:color w:val="222222"/>
          <w:szCs w:val="20"/>
          <w:shd w:val="clear" w:color="auto" w:fill="FFFFFF"/>
        </w:rPr>
        <w:t>(12), 124004.</w:t>
      </w:r>
    </w:p>
  </w:footnote>
  <w:footnote w:id="79">
    <w:p w14:paraId="0AA4CA2D" w14:textId="66F962E5" w:rsidR="006F2220" w:rsidRPr="003B4E4B" w:rsidRDefault="006F2220">
      <w:pPr>
        <w:pStyle w:val="FootnoteText"/>
        <w:rPr>
          <w:lang w:val="en-US"/>
        </w:rPr>
      </w:pPr>
      <w:r>
        <w:t>(</w:t>
      </w:r>
      <w:r>
        <w:rPr>
          <w:rStyle w:val="FootnoteReference"/>
        </w:rPr>
        <w:footnoteRef/>
      </w:r>
      <w:r>
        <w:t>)</w:t>
      </w:r>
      <w:r>
        <w:tab/>
      </w:r>
      <w:bookmarkStart w:id="258" w:name="_Hlk147823550"/>
      <w:bookmarkStart w:id="259" w:name="_Hlk150521273"/>
      <w:r>
        <w:t>CLEVER</w:t>
      </w:r>
      <w:r w:rsidR="006D18D2">
        <w:t>, (2023).</w:t>
      </w:r>
      <w:r w:rsidR="00716BD9">
        <w:t xml:space="preserve"> </w:t>
      </w:r>
      <w:r w:rsidR="00716BD9" w:rsidRPr="006D18D2">
        <w:rPr>
          <w:iCs/>
        </w:rPr>
        <w:t>Climate neutrality, Energy security and Sustainability: A pathway to bridge the gap through Sufficiency, Efficiency and Renewables</w:t>
      </w:r>
      <w:r w:rsidR="006D18D2">
        <w:rPr>
          <w:iCs/>
        </w:rPr>
        <w:t xml:space="preserve">, </w:t>
      </w:r>
      <w:r w:rsidR="001531B2">
        <w:rPr>
          <w:i/>
          <w:iCs/>
        </w:rPr>
        <w:t>Final Repor</w:t>
      </w:r>
      <w:r w:rsidR="006D18D2">
        <w:rPr>
          <w:i/>
          <w:iCs/>
        </w:rPr>
        <w:t>t</w:t>
      </w:r>
      <w:r w:rsidR="001531B2" w:rsidRPr="001531B2">
        <w:t>.</w:t>
      </w:r>
      <w:bookmarkEnd w:id="258"/>
      <w:r w:rsidR="0008392F">
        <w:t xml:space="preserve"> </w:t>
      </w:r>
      <w:r w:rsidR="0008392F" w:rsidRPr="0008392F">
        <w:t>https://clever-energy-scenario.eu/wp-content/uploads/2023/06/clever_final_report-exec_summary.pdf</w:t>
      </w:r>
      <w:bookmarkEnd w:id="259"/>
    </w:p>
  </w:footnote>
  <w:footnote w:id="80">
    <w:p w14:paraId="748BD666" w14:textId="6E4BF880" w:rsidR="00200A20" w:rsidRPr="00200A20" w:rsidRDefault="00200A20" w:rsidP="00200A20">
      <w:pPr>
        <w:pStyle w:val="FootnoteText"/>
        <w:rPr>
          <w:lang w:val="en-US"/>
        </w:rPr>
      </w:pPr>
      <w:r>
        <w:t>(</w:t>
      </w:r>
      <w:r>
        <w:rPr>
          <w:rStyle w:val="FootnoteReference"/>
        </w:rPr>
        <w:footnoteRef/>
      </w:r>
      <w:r>
        <w:t>)</w:t>
      </w:r>
      <w:r>
        <w:tab/>
        <w:t>BNEF</w:t>
      </w:r>
      <w:r w:rsidR="006D18D2">
        <w:t>, (2023).</w:t>
      </w:r>
      <w:r w:rsidRPr="006D18D2">
        <w:t xml:space="preserve"> New Energy Outlook: Industry</w:t>
      </w:r>
      <w:r>
        <w:t>.</w:t>
      </w:r>
    </w:p>
  </w:footnote>
  <w:footnote w:id="81">
    <w:p w14:paraId="7712FF34" w14:textId="2E24DAB2" w:rsidR="00D96F21" w:rsidRPr="00D96F21" w:rsidRDefault="00D96F21">
      <w:pPr>
        <w:pStyle w:val="FootnoteText"/>
        <w:rPr>
          <w:lang w:val="en-US"/>
        </w:rPr>
      </w:pPr>
      <w:r>
        <w:t>(</w:t>
      </w:r>
      <w:r>
        <w:rPr>
          <w:rStyle w:val="FootnoteReference"/>
        </w:rPr>
        <w:footnoteRef/>
      </w:r>
      <w:r>
        <w:t>)</w:t>
      </w:r>
      <w:r>
        <w:tab/>
        <w:t>Agora Industry and Wuppertal Institute</w:t>
      </w:r>
      <w:r w:rsidR="006D18D2">
        <w:t>, (2023).</w:t>
      </w:r>
      <w:r w:rsidRPr="006D18D2">
        <w:t xml:space="preserve"> 15 insights on the global steel transformation</w:t>
      </w:r>
      <w:r w:rsidR="006D18D2">
        <w:t>.</w:t>
      </w:r>
    </w:p>
  </w:footnote>
  <w:footnote w:id="82">
    <w:p w14:paraId="1D9E8152" w14:textId="5D092EC2" w:rsidR="00F450B2" w:rsidRPr="00F450B2" w:rsidRDefault="00875110">
      <w:pPr>
        <w:pStyle w:val="FootnoteText"/>
        <w:rPr>
          <w:lang w:val="en-IE"/>
        </w:rPr>
      </w:pPr>
      <w:r>
        <w:t>(</w:t>
      </w:r>
      <w:r w:rsidR="00F450B2">
        <w:rPr>
          <w:rStyle w:val="FootnoteReference"/>
        </w:rPr>
        <w:footnoteRef/>
      </w:r>
      <w:r w:rsidR="00F450B2">
        <w:t>)</w:t>
      </w:r>
      <w:r w:rsidR="00F450B2">
        <w:tab/>
        <w:t>IEA,</w:t>
      </w:r>
      <w:r w:rsidR="006D18D2">
        <w:t xml:space="preserve"> (2023). </w:t>
      </w:r>
      <w:r w:rsidR="00F450B2" w:rsidRPr="006D18D2">
        <w:t>Tracking Clean Energy Process, Tracking Pul</w:t>
      </w:r>
      <w:r w:rsidR="006D18D2">
        <w:t>p</w:t>
      </w:r>
      <w:r w:rsidR="00F450B2" w:rsidRPr="006D18D2">
        <w:t xml:space="preserve"> and Paper</w:t>
      </w:r>
      <w:r w:rsidR="00F450B2">
        <w:t>.</w:t>
      </w:r>
    </w:p>
  </w:footnote>
  <w:footnote w:id="83">
    <w:p w14:paraId="570974A7" w14:textId="13B2CE62" w:rsidR="007D4416" w:rsidRPr="007D4416" w:rsidRDefault="007D4416">
      <w:pPr>
        <w:pStyle w:val="FootnoteText"/>
        <w:rPr>
          <w:lang w:val="en-US"/>
        </w:rPr>
      </w:pPr>
      <w:r>
        <w:t>(</w:t>
      </w:r>
      <w:r>
        <w:rPr>
          <w:rStyle w:val="FootnoteReference"/>
        </w:rPr>
        <w:footnoteRef/>
      </w:r>
      <w:r>
        <w:t xml:space="preserve">) </w:t>
      </w:r>
      <w:r w:rsidRPr="00534E10">
        <w:t>Directive 94/62/EC (Amended by Directive(EU) 2018/852).</w:t>
      </w:r>
    </w:p>
  </w:footnote>
  <w:footnote w:id="84">
    <w:p w14:paraId="71AA8618" w14:textId="4EFEDA0A" w:rsidR="00DD4B99" w:rsidRPr="00DD4B99" w:rsidRDefault="00DD4B99">
      <w:pPr>
        <w:pStyle w:val="FootnoteText"/>
        <w:rPr>
          <w:lang w:val="en-US"/>
        </w:rPr>
      </w:pPr>
      <w:r>
        <w:t>(</w:t>
      </w:r>
      <w:r>
        <w:rPr>
          <w:rStyle w:val="FootnoteReference"/>
        </w:rPr>
        <w:footnoteRef/>
      </w:r>
      <w:r>
        <w:t>)</w:t>
      </w:r>
      <w:r>
        <w:tab/>
        <w:t xml:space="preserve"> Final energy consumption (FEC) and consumption in refineries</w:t>
      </w:r>
    </w:p>
  </w:footnote>
  <w:footnote w:id="85">
    <w:p w14:paraId="08C9F66D" w14:textId="10CA851E" w:rsidR="00A1313E" w:rsidRPr="008E599C" w:rsidRDefault="00A1313E" w:rsidP="00350C25">
      <w:pPr>
        <w:pStyle w:val="FootnoteText"/>
        <w:rPr>
          <w:lang w:val="en-IE"/>
        </w:rPr>
      </w:pPr>
      <w:r w:rsidRPr="008E599C">
        <w:rPr>
          <w:lang w:val="en-IE"/>
        </w:rPr>
        <w:t>(</w:t>
      </w:r>
      <w:r>
        <w:rPr>
          <w:rStyle w:val="FootnoteReference"/>
        </w:rPr>
        <w:footnoteRef/>
      </w:r>
      <w:r w:rsidRPr="008E599C">
        <w:rPr>
          <w:lang w:val="en-IE"/>
        </w:rPr>
        <w:t>)</w:t>
      </w:r>
      <w:r w:rsidR="00E8125A">
        <w:rPr>
          <w:lang w:val="en-IE"/>
        </w:rPr>
        <w:t xml:space="preserve"> </w:t>
      </w:r>
      <w:r w:rsidRPr="008E599C">
        <w:rPr>
          <w:lang w:val="en-IE"/>
        </w:rPr>
        <w:t>Eurostat</w:t>
      </w:r>
      <w:r w:rsidR="00E8125A">
        <w:rPr>
          <w:lang w:val="en-IE"/>
        </w:rPr>
        <w:t>,</w:t>
      </w:r>
      <w:r w:rsidR="006D18D2">
        <w:rPr>
          <w:lang w:val="en-IE"/>
        </w:rPr>
        <w:t xml:space="preserve"> (2023). </w:t>
      </w:r>
      <w:r w:rsidR="00E8125A" w:rsidRPr="006D18D2">
        <w:rPr>
          <w:lang w:val="en-IE"/>
        </w:rPr>
        <w:t>Complete</w:t>
      </w:r>
      <w:r w:rsidRPr="006D18D2">
        <w:rPr>
          <w:lang w:val="en-IE"/>
        </w:rPr>
        <w:t xml:space="preserve"> Energy Balances </w:t>
      </w:r>
      <w:r w:rsidR="00E8125A" w:rsidRPr="006D18D2">
        <w:rPr>
          <w:lang w:val="en-IE"/>
        </w:rPr>
        <w:t>European Union (27 countries) – 2021</w:t>
      </w:r>
      <w:r w:rsidR="006D18D2">
        <w:rPr>
          <w:i/>
          <w:iCs/>
          <w:lang w:val="en-IE"/>
        </w:rPr>
        <w:t>.</w:t>
      </w:r>
    </w:p>
  </w:footnote>
  <w:footnote w:id="86">
    <w:p w14:paraId="77DBDF80" w14:textId="1D4A4C31" w:rsidR="004A02C9" w:rsidRPr="008D4B7C" w:rsidRDefault="008D4B7C">
      <w:pPr>
        <w:pStyle w:val="FootnoteText"/>
      </w:pPr>
      <w:r>
        <w:t>(</w:t>
      </w:r>
      <w:r>
        <w:rPr>
          <w:rStyle w:val="FootnoteReference"/>
        </w:rPr>
        <w:footnoteRef/>
      </w:r>
      <w:r>
        <w:t>)</w:t>
      </w:r>
      <w:r>
        <w:tab/>
        <w:t xml:space="preserve">Eurelectric (2023). Decarbonisation speedways: </w:t>
      </w:r>
      <w:r w:rsidRPr="008D4B7C">
        <w:t>Accelerating Europe’s journey to net zero with realistic 2040 targets</w:t>
      </w:r>
      <w:r>
        <w:t>.</w:t>
      </w:r>
      <w:r w:rsidR="00807C84">
        <w:t xml:space="preserve"> Slide 19.</w:t>
      </w:r>
      <w:r>
        <w:t xml:space="preserve"> </w:t>
      </w:r>
      <w:hyperlink r:id="rId5" w:history="1">
        <w:r w:rsidR="004A02C9" w:rsidRPr="007B050F">
          <w:rPr>
            <w:rStyle w:val="Hyperlink"/>
          </w:rPr>
          <w:t>https://www.eurelectric.org/publications/decarbonisation-speedways-full-report</w:t>
        </w:r>
      </w:hyperlink>
    </w:p>
  </w:footnote>
  <w:footnote w:id="87">
    <w:p w14:paraId="7388E5A8" w14:textId="28496B7C" w:rsidR="00807C84" w:rsidRPr="00772BC6" w:rsidRDefault="00807C84">
      <w:pPr>
        <w:pStyle w:val="FootnoteText"/>
        <w:rPr>
          <w:lang w:val="en-IE"/>
        </w:rPr>
      </w:pPr>
      <w:r>
        <w:t>(</w:t>
      </w:r>
      <w:r>
        <w:rPr>
          <w:rStyle w:val="FootnoteReference"/>
        </w:rPr>
        <w:footnoteRef/>
      </w:r>
      <w:r>
        <w:t>)</w:t>
      </w:r>
      <w:r>
        <w:tab/>
        <w:t>Ibid</w:t>
      </w:r>
    </w:p>
  </w:footnote>
  <w:footnote w:id="88">
    <w:p w14:paraId="27240837" w14:textId="5EDB58D1" w:rsidR="009B09E1" w:rsidRPr="00534E10" w:rsidRDefault="009B09E1">
      <w:pPr>
        <w:pStyle w:val="FootnoteText"/>
        <w:rPr>
          <w:lang w:val="en-IE"/>
        </w:rPr>
      </w:pPr>
      <w:r>
        <w:t>(</w:t>
      </w:r>
      <w:r>
        <w:rPr>
          <w:rStyle w:val="FootnoteReference"/>
        </w:rPr>
        <w:footnoteRef/>
      </w:r>
      <w:r>
        <w:t>)</w:t>
      </w:r>
      <w:r>
        <w:tab/>
        <w:t xml:space="preserve"> Industrial challenges explained in </w:t>
      </w:r>
      <w:r>
        <w:fldChar w:fldCharType="begin"/>
      </w:r>
      <w:r>
        <w:instrText xml:space="preserve"> REF _Ref146616760 \r \h </w:instrText>
      </w:r>
      <w:r>
        <w:fldChar w:fldCharType="separate"/>
      </w:r>
      <w:r w:rsidR="00947B26">
        <w:t>1.1.3.2</w:t>
      </w:r>
      <w:r>
        <w:fldChar w:fldCharType="end"/>
      </w:r>
      <w:r>
        <w:t xml:space="preserve"> are associated to the development of carbon capture, but these challenges are assumed to be overcome in the projections. </w:t>
      </w:r>
    </w:p>
  </w:footnote>
  <w:footnote w:id="89">
    <w:p w14:paraId="7F83B09F" w14:textId="6799A72C" w:rsidR="005530DC" w:rsidRPr="005530DC" w:rsidRDefault="005530DC">
      <w:pPr>
        <w:pStyle w:val="FootnoteText"/>
        <w:rPr>
          <w:lang w:val="en-US"/>
        </w:rPr>
      </w:pPr>
      <w:r>
        <w:t>(</w:t>
      </w:r>
      <w:r>
        <w:rPr>
          <w:rStyle w:val="FootnoteReference"/>
        </w:rPr>
        <w:footnoteRef/>
      </w:r>
      <w:r>
        <w:t>)</w:t>
      </w:r>
      <w:r>
        <w:tab/>
        <w:t xml:space="preserve"> BNEF,</w:t>
      </w:r>
      <w:r w:rsidR="006D18D2">
        <w:t xml:space="preserve"> (2021). </w:t>
      </w:r>
      <w:r w:rsidRPr="006D18D2">
        <w:t>Decarbonizing steel – Technologies and Costs</w:t>
      </w:r>
      <w:r w:rsidR="006D18D2">
        <w:t>.</w:t>
      </w:r>
    </w:p>
  </w:footnote>
  <w:footnote w:id="90">
    <w:p w14:paraId="62A01DEB" w14:textId="0CAF38DA" w:rsidR="00CD0FD0" w:rsidRPr="00BC7A2C" w:rsidRDefault="00CD0FD0" w:rsidP="00CD0FD0">
      <w:pPr>
        <w:pStyle w:val="FootnoteText"/>
        <w:rPr>
          <w:lang w:val="en-US"/>
        </w:rPr>
      </w:pPr>
      <w:r>
        <w:t>(</w:t>
      </w:r>
      <w:r>
        <w:rPr>
          <w:rStyle w:val="FootnoteReference"/>
        </w:rPr>
        <w:footnoteRef/>
      </w:r>
      <w:r>
        <w:t>)</w:t>
      </w:r>
      <w:r>
        <w:tab/>
        <w:t>CEFIC</w:t>
      </w:r>
      <w:r w:rsidR="006D18D2">
        <w:t>,</w:t>
      </w:r>
      <w:r>
        <w:t xml:space="preserve"> (2021). Shining a light on the EU27 chemical sector’s journey toward climate neutrality. </w:t>
      </w:r>
    </w:p>
  </w:footnote>
  <w:footnote w:id="91">
    <w:p w14:paraId="33A8AC6B" w14:textId="4EE5A8A6" w:rsidR="00CD0FD0" w:rsidRPr="00F379D7" w:rsidRDefault="00CD0FD0" w:rsidP="00CD0FD0">
      <w:pPr>
        <w:pStyle w:val="FootnoteText"/>
        <w:rPr>
          <w:lang w:val="en-US"/>
        </w:rPr>
      </w:pPr>
      <w:r>
        <w:t>(</w:t>
      </w:r>
      <w:r>
        <w:rPr>
          <w:rStyle w:val="FootnoteReference"/>
        </w:rPr>
        <w:footnoteRef/>
      </w:r>
      <w:r>
        <w:t>)</w:t>
      </w:r>
      <w:r>
        <w:tab/>
        <w:t>McKinsey</w:t>
      </w:r>
      <w:r w:rsidR="006D18D2">
        <w:t>,</w:t>
      </w:r>
      <w:r>
        <w:t xml:space="preserve"> (2020). </w:t>
      </w:r>
      <w:r w:rsidRPr="00F379D7">
        <w:t>Laying the foundation for zero-carbon cement</w:t>
      </w:r>
      <w:r w:rsidR="006D18D2">
        <w:t>.</w:t>
      </w:r>
    </w:p>
  </w:footnote>
  <w:footnote w:id="92">
    <w:p w14:paraId="4BC000FA" w14:textId="4D9BDBA5" w:rsidR="00031713" w:rsidRPr="00031713" w:rsidRDefault="00031713">
      <w:pPr>
        <w:pStyle w:val="FootnoteText"/>
        <w:rPr>
          <w:lang w:val="en-IE"/>
        </w:rPr>
      </w:pPr>
      <w:r>
        <w:t>(</w:t>
      </w:r>
      <w:r>
        <w:rPr>
          <w:rStyle w:val="FootnoteReference"/>
        </w:rPr>
        <w:footnoteRef/>
      </w:r>
      <w:r>
        <w:t>)</w:t>
      </w:r>
      <w:r>
        <w:tab/>
        <w:t xml:space="preserve">Carbon capture from </w:t>
      </w:r>
      <w:r w:rsidR="007270CA">
        <w:t>DACCS not included.</w:t>
      </w:r>
    </w:p>
  </w:footnote>
  <w:footnote w:id="93">
    <w:p w14:paraId="60E28804" w14:textId="7316AD66" w:rsidR="00A1313E" w:rsidRPr="00DB0DF8" w:rsidRDefault="00A1313E" w:rsidP="00014D2D">
      <w:pPr>
        <w:pStyle w:val="FootnoteText"/>
        <w:rPr>
          <w:lang w:val="en-US"/>
        </w:rPr>
      </w:pPr>
      <w:r w:rsidRPr="00753522">
        <w:t>(</w:t>
      </w:r>
      <w:r w:rsidRPr="00753522">
        <w:rPr>
          <w:rStyle w:val="FootnoteReference"/>
        </w:rPr>
        <w:footnoteRef/>
      </w:r>
      <w:r w:rsidRPr="00753522">
        <w:t xml:space="preserve">) </w:t>
      </w:r>
      <w:r w:rsidR="00F87C67" w:rsidRPr="001B31FB">
        <w:t>Kriegler, E. et al.</w:t>
      </w:r>
      <w:r w:rsidR="006D18D2">
        <w:t xml:space="preserve">, (2023). </w:t>
      </w:r>
      <w:r w:rsidR="006D18D2" w:rsidRPr="006D18D2">
        <w:t>T</w:t>
      </w:r>
      <w:r w:rsidRPr="006D18D2">
        <w:t xml:space="preserve">he EU’s 2040 target Insights from the NAVIGATE </w:t>
      </w:r>
      <w:r w:rsidR="00F87C67" w:rsidRPr="006D18D2">
        <w:t>project,</w:t>
      </w:r>
      <w:r w:rsidR="00F87C67" w:rsidRPr="006D18D2">
        <w:rPr>
          <w:i/>
          <w:iCs/>
        </w:rPr>
        <w:t xml:space="preserve"> NAVIGATE</w:t>
      </w:r>
      <w:r w:rsidR="00F87C67">
        <w:t xml:space="preserve">. </w:t>
      </w:r>
    </w:p>
  </w:footnote>
  <w:footnote w:id="94">
    <w:p w14:paraId="13E6A3A3" w14:textId="578AA70E" w:rsidR="00FE6B27" w:rsidRPr="003B4E4B" w:rsidRDefault="00FE6B27">
      <w:pPr>
        <w:pStyle w:val="FootnoteText"/>
        <w:rPr>
          <w:lang w:val="en-US"/>
        </w:rPr>
      </w:pPr>
      <w:r>
        <w:t>(</w:t>
      </w:r>
      <w:r>
        <w:rPr>
          <w:rStyle w:val="FootnoteReference"/>
        </w:rPr>
        <w:footnoteRef/>
      </w:r>
      <w:r>
        <w:t>)</w:t>
      </w:r>
      <w:r>
        <w:tab/>
      </w:r>
      <w:r w:rsidR="0008392F">
        <w:t xml:space="preserve">CLEVER, (2023). </w:t>
      </w:r>
      <w:r w:rsidR="0008392F" w:rsidRPr="006D18D2">
        <w:rPr>
          <w:iCs/>
        </w:rPr>
        <w:t>Climate neutrality, Energy security and Sustainability: A pathway to bridge the gap through Sufficiency, Efficiency and Renewables</w:t>
      </w:r>
      <w:r w:rsidR="0008392F">
        <w:rPr>
          <w:iCs/>
        </w:rPr>
        <w:t xml:space="preserve">, </w:t>
      </w:r>
      <w:r w:rsidR="0008392F">
        <w:rPr>
          <w:i/>
          <w:iCs/>
        </w:rPr>
        <w:t>Final Report</w:t>
      </w:r>
      <w:r w:rsidR="0008392F" w:rsidRPr="001531B2">
        <w:t>.</w:t>
      </w:r>
      <w:r w:rsidR="0008392F">
        <w:t xml:space="preserve"> </w:t>
      </w:r>
      <w:r w:rsidR="0008392F" w:rsidRPr="0008392F">
        <w:t>https://clever-energy-scenario.eu/wp-content/uploads/2023/06/clever_final_report-exec_summary.pdf</w:t>
      </w:r>
    </w:p>
  </w:footnote>
  <w:footnote w:id="95">
    <w:p w14:paraId="6966917F" w14:textId="48467F56" w:rsidR="00A1313E" w:rsidRPr="00866B94" w:rsidRDefault="00A1313E" w:rsidP="00014D2D">
      <w:pPr>
        <w:pStyle w:val="FootnoteText"/>
        <w:rPr>
          <w:lang w:val="en-IE"/>
        </w:rPr>
      </w:pPr>
      <w:r w:rsidRPr="00F87C67">
        <w:rPr>
          <w:lang w:val="en-IE"/>
        </w:rPr>
        <w:t>(</w:t>
      </w:r>
      <w:r>
        <w:rPr>
          <w:rStyle w:val="FootnoteReference"/>
        </w:rPr>
        <w:footnoteRef/>
      </w:r>
      <w:r w:rsidRPr="00F87C67">
        <w:rPr>
          <w:lang w:val="en-IE"/>
        </w:rPr>
        <w:t>)</w:t>
      </w:r>
      <w:r w:rsidRPr="00F87C67">
        <w:rPr>
          <w:lang w:val="en-IE"/>
        </w:rPr>
        <w:tab/>
      </w:r>
      <w:r>
        <w:t>Ecologic</w:t>
      </w:r>
      <w:r w:rsidR="00F87C67">
        <w:t xml:space="preserve"> and Oeko-Institut,</w:t>
      </w:r>
      <w:r>
        <w:t xml:space="preserve"> </w:t>
      </w:r>
      <w:r w:rsidR="006D18D2">
        <w:t xml:space="preserve">(2023). </w:t>
      </w:r>
      <w:r w:rsidRPr="006D18D2">
        <w:rPr>
          <w:iCs/>
        </w:rPr>
        <w:t>Designing the EU 2040 climate target</w:t>
      </w:r>
      <w:r w:rsidR="006D18D2">
        <w:rPr>
          <w:i/>
          <w:iCs/>
        </w:rPr>
        <w:t>.</w:t>
      </w:r>
    </w:p>
  </w:footnote>
  <w:footnote w:id="96">
    <w:p w14:paraId="528DA6CD" w14:textId="3B27B1BE" w:rsidR="00D20356" w:rsidRPr="00772BC6" w:rsidRDefault="00D20356">
      <w:pPr>
        <w:pStyle w:val="FootnoteText"/>
        <w:rPr>
          <w:lang w:val="de-DE"/>
        </w:rPr>
      </w:pPr>
      <w:r>
        <w:t>(</w:t>
      </w:r>
      <w:r>
        <w:rPr>
          <w:rStyle w:val="FootnoteReference"/>
        </w:rPr>
        <w:footnoteRef/>
      </w:r>
      <w:r>
        <w:t>)</w:t>
      </w:r>
      <w:r>
        <w:tab/>
      </w:r>
      <w:r w:rsidRPr="00D849B9">
        <w:t>Ellen MacArthur Foundation, Completing the picture: How the circular economy tackles climate change (2019).</w:t>
      </w:r>
      <w:r>
        <w:t xml:space="preserve"> </w:t>
      </w:r>
      <w:r w:rsidRPr="008037AC">
        <w:rPr>
          <w:rFonts w:eastAsiaTheme="minorEastAsia"/>
          <w:lang w:val="de-DE"/>
        </w:rPr>
        <w:t>20% GHG emission saving potential due to CE actions until 2050.</w:t>
      </w:r>
    </w:p>
  </w:footnote>
  <w:footnote w:id="97">
    <w:p w14:paraId="53C6C183" w14:textId="54DACF1E" w:rsidR="00F064F1" w:rsidRPr="00772BC6" w:rsidRDefault="00F064F1">
      <w:pPr>
        <w:pStyle w:val="FootnoteText"/>
        <w:rPr>
          <w:sz w:val="24"/>
          <w:lang w:val="en-US"/>
        </w:rPr>
      </w:pPr>
      <w:r w:rsidRPr="00772BC6">
        <w:rPr>
          <w:lang w:val="de-DE"/>
        </w:rPr>
        <w:t>(</w:t>
      </w:r>
      <w:r>
        <w:rPr>
          <w:rStyle w:val="FootnoteReference"/>
        </w:rPr>
        <w:footnoteRef/>
      </w:r>
      <w:r w:rsidRPr="00772BC6">
        <w:rPr>
          <w:lang w:val="de-DE"/>
        </w:rPr>
        <w:t>)</w:t>
      </w:r>
      <w:r w:rsidRPr="00772BC6">
        <w:rPr>
          <w:lang w:val="de-DE"/>
        </w:rPr>
        <w:tab/>
      </w:r>
      <w:r w:rsidRPr="008037AC">
        <w:rPr>
          <w:lang w:val="de-DE"/>
        </w:rPr>
        <w:t>Agora Industrie, Systemiq (2023): Resilienter Klimaschutz durch eine zirkuläre Wirtschaft: Perspektiven und Potenziale für energieintensive Grundstoffindustrien</w:t>
      </w:r>
      <w:r w:rsidRPr="008037AC">
        <w:rPr>
          <w:rFonts w:eastAsiaTheme="minorEastAsia"/>
          <w:lang w:val="de-DE"/>
        </w:rPr>
        <w:t xml:space="preserve">. </w:t>
      </w:r>
      <w:r w:rsidRPr="0056157E">
        <w:rPr>
          <w:rFonts w:eastAsiaTheme="minorEastAsia"/>
        </w:rPr>
        <w:t xml:space="preserve">Agora estimates </w:t>
      </w:r>
      <w:r>
        <w:rPr>
          <w:rFonts w:eastAsiaTheme="minorEastAsia"/>
        </w:rPr>
        <w:t>circular economy</w:t>
      </w:r>
      <w:r w:rsidRPr="0056157E">
        <w:rPr>
          <w:rFonts w:eastAsiaTheme="minorEastAsia"/>
        </w:rPr>
        <w:t xml:space="preserve"> potential to be around 25%</w:t>
      </w:r>
      <w:r>
        <w:rPr>
          <w:rFonts w:eastAsiaTheme="minorEastAsia"/>
        </w:rPr>
        <w:t xml:space="preserve"> until 2050 for Germany.</w:t>
      </w:r>
    </w:p>
  </w:footnote>
  <w:footnote w:id="98">
    <w:p w14:paraId="4C0DF8C0" w14:textId="149F7F3A" w:rsidR="005F1A54" w:rsidRPr="00772BC6" w:rsidRDefault="005F1A54">
      <w:pPr>
        <w:pStyle w:val="FootnoteText"/>
        <w:rPr>
          <w:lang w:val="en-US"/>
        </w:rPr>
      </w:pPr>
      <w:r>
        <w:t>(</w:t>
      </w:r>
      <w:r>
        <w:rPr>
          <w:rStyle w:val="FootnoteReference"/>
        </w:rPr>
        <w:footnoteRef/>
      </w:r>
      <w:r>
        <w:t>)</w:t>
      </w:r>
      <w:r>
        <w:tab/>
        <w:t>Ramboll</w:t>
      </w:r>
      <w:r w:rsidR="006A5C9E">
        <w:t>. Fraunhofer ISI, Ecologic Institute</w:t>
      </w:r>
      <w:r w:rsidR="0049153C" w:rsidRPr="0049153C">
        <w:rPr>
          <w:szCs w:val="20"/>
        </w:rPr>
        <w:t xml:space="preserve"> (2020). </w:t>
      </w:r>
      <w:r w:rsidR="006A5C9E" w:rsidRPr="00772BC6">
        <w:rPr>
          <w:i/>
          <w:iCs/>
          <w:szCs w:val="20"/>
        </w:rPr>
        <w:t>Q</w:t>
      </w:r>
      <w:r w:rsidR="00E36DF6" w:rsidRPr="00772BC6">
        <w:rPr>
          <w:i/>
          <w:szCs w:val="20"/>
        </w:rPr>
        <w:t>uantification methodology for, and analysis of, the decarbonisation benefits of sectoral circular economy actions</w:t>
      </w:r>
      <w:r w:rsidR="006A5C9E" w:rsidRPr="00772BC6">
        <w:rPr>
          <w:szCs w:val="20"/>
        </w:rPr>
        <w:t>. Final Report</w:t>
      </w:r>
      <w:r w:rsidR="004631ED" w:rsidRPr="004631ED">
        <w:rPr>
          <w:szCs w:val="20"/>
        </w:rPr>
        <w:t>.</w:t>
      </w:r>
      <w:r w:rsidR="0049153C" w:rsidRPr="00772BC6">
        <w:rPr>
          <w:szCs w:val="20"/>
        </w:rPr>
        <w:t xml:space="preserve"> </w:t>
      </w:r>
    </w:p>
  </w:footnote>
  <w:footnote w:id="99">
    <w:p w14:paraId="71C31C25" w14:textId="297DC7BC" w:rsidR="00C91F3D" w:rsidRPr="00772BC6" w:rsidRDefault="00C91F3D">
      <w:pPr>
        <w:pStyle w:val="FootnoteText"/>
        <w:rPr>
          <w:lang w:val="en-US"/>
        </w:rPr>
      </w:pPr>
      <w:r>
        <w:t>(</w:t>
      </w:r>
      <w:r>
        <w:rPr>
          <w:rStyle w:val="FootnoteReference"/>
        </w:rPr>
        <w:footnoteRef/>
      </w:r>
      <w:r>
        <w:t>)</w:t>
      </w:r>
      <w:r>
        <w:tab/>
      </w:r>
      <w:r w:rsidRPr="00C91F3D">
        <w:t xml:space="preserve">IRP (2020). Resource Efficiency and Climate Change: </w:t>
      </w:r>
      <w:r w:rsidRPr="00772BC6">
        <w:rPr>
          <w:i/>
          <w:iCs/>
        </w:rPr>
        <w:t>Material Efficiency Strategies for a Low-Carbon Future</w:t>
      </w:r>
      <w:r w:rsidRPr="00C91F3D">
        <w:t>. Hertwich, E., Lifset, R., Pauliuk, S., Heeren, N. A report of the International Resource Panel. United Nations Environment Programme, Nairobi, Kenya.</w:t>
      </w:r>
    </w:p>
  </w:footnote>
  <w:footnote w:id="100">
    <w:p w14:paraId="4135BDE5" w14:textId="45493DB4" w:rsidR="00D849B9" w:rsidRPr="00465F10" w:rsidRDefault="00D849B9">
      <w:pPr>
        <w:pStyle w:val="FootnoteText"/>
        <w:rPr>
          <w:lang w:val="de-DE"/>
        </w:rPr>
      </w:pPr>
      <w:r>
        <w:rPr>
          <w:rStyle w:val="FootnoteReference"/>
        </w:rPr>
        <w:footnoteRef/>
      </w:r>
      <w:r>
        <w:t>)</w:t>
      </w:r>
      <w:r>
        <w:tab/>
      </w:r>
      <w:r w:rsidRPr="00D849B9">
        <w:t>Ellen MacArthur Foundation, Completing the picture: How the circular economy tackles climate change (2019).</w:t>
      </w:r>
      <w:r>
        <w:t xml:space="preserve"> </w:t>
      </w:r>
      <w:r w:rsidRPr="008037AC">
        <w:rPr>
          <w:rFonts w:eastAsiaTheme="minorEastAsia"/>
          <w:lang w:val="de-DE"/>
        </w:rPr>
        <w:t>20% GHG emission saving potential due to CE actions until 2050.</w:t>
      </w:r>
    </w:p>
  </w:footnote>
  <w:footnote w:id="101">
    <w:p w14:paraId="4A9DB550" w14:textId="120EC792" w:rsidR="00D849B9" w:rsidRPr="00465F10" w:rsidRDefault="00D849B9">
      <w:pPr>
        <w:pStyle w:val="FootnoteText"/>
        <w:rPr>
          <w:lang w:val="en-IE"/>
        </w:rPr>
      </w:pPr>
      <w:r w:rsidRPr="008037AC">
        <w:rPr>
          <w:lang w:val="de-DE"/>
        </w:rPr>
        <w:t>(</w:t>
      </w:r>
      <w:r>
        <w:rPr>
          <w:rStyle w:val="FootnoteReference"/>
        </w:rPr>
        <w:footnoteRef/>
      </w:r>
      <w:r w:rsidRPr="008037AC">
        <w:rPr>
          <w:lang w:val="de-DE"/>
        </w:rPr>
        <w:t>)</w:t>
      </w:r>
      <w:r w:rsidRPr="008037AC">
        <w:rPr>
          <w:lang w:val="de-DE"/>
        </w:rPr>
        <w:tab/>
        <w:t>Agora Industrie, Systemiq (2023): Resilienter Klimaschutz durch eine zirkuläre Wirtschaft: Perspektiven und Potenziale für energieintensive Grundstoffindustrien</w:t>
      </w:r>
      <w:r w:rsidRPr="008037AC">
        <w:rPr>
          <w:rFonts w:eastAsiaTheme="minorEastAsia"/>
          <w:lang w:val="de-DE"/>
        </w:rPr>
        <w:t xml:space="preserve">. </w:t>
      </w:r>
      <w:r w:rsidRPr="0056157E">
        <w:rPr>
          <w:rFonts w:eastAsiaTheme="minorEastAsia"/>
        </w:rPr>
        <w:t xml:space="preserve">Agora estimates </w:t>
      </w:r>
      <w:r>
        <w:rPr>
          <w:rFonts w:eastAsiaTheme="minorEastAsia"/>
        </w:rPr>
        <w:t>circular economy</w:t>
      </w:r>
      <w:r w:rsidRPr="0056157E">
        <w:rPr>
          <w:rFonts w:eastAsiaTheme="minorEastAsia"/>
        </w:rPr>
        <w:t xml:space="preserve"> potential to be around 25%</w:t>
      </w:r>
      <w:r>
        <w:rPr>
          <w:rFonts w:eastAsiaTheme="minorEastAsia"/>
        </w:rPr>
        <w:t xml:space="preserve"> until 2050 for Germany.</w:t>
      </w:r>
    </w:p>
  </w:footnote>
  <w:footnote w:id="102">
    <w:p w14:paraId="53837BFD" w14:textId="3FDE460C" w:rsidR="00067F49" w:rsidRPr="00772BC6" w:rsidRDefault="00067F49">
      <w:pPr>
        <w:pStyle w:val="FootnoteText"/>
        <w:rPr>
          <w:lang w:val="en-IE"/>
        </w:rPr>
      </w:pPr>
      <w:r>
        <w:t>(</w:t>
      </w:r>
      <w:r>
        <w:rPr>
          <w:rStyle w:val="FootnoteReference"/>
        </w:rPr>
        <w:footnoteRef/>
      </w:r>
      <w:r>
        <w:t>)</w:t>
      </w:r>
      <w:r>
        <w:tab/>
        <w:t>The STD scenarios implements actions from the CEAP (COM/2020/98) that have been legislated or agreed until March 2023.</w:t>
      </w:r>
    </w:p>
  </w:footnote>
  <w:footnote w:id="103">
    <w:p w14:paraId="0FD68770" w14:textId="5212D19C" w:rsidR="00020148" w:rsidRPr="003B4E4B" w:rsidRDefault="00020148">
      <w:pPr>
        <w:pStyle w:val="FootnoteText"/>
        <w:rPr>
          <w:lang w:val="en-US"/>
        </w:rPr>
      </w:pPr>
      <w:r w:rsidRPr="00465F10">
        <w:t>(</w:t>
      </w:r>
      <w:r>
        <w:rPr>
          <w:rStyle w:val="FootnoteReference"/>
        </w:rPr>
        <w:footnoteRef/>
      </w:r>
      <w:r w:rsidRPr="00465F10">
        <w:t>)</w:t>
      </w:r>
      <w:r w:rsidRPr="00465F10">
        <w:tab/>
        <w:t>McKinsey</w:t>
      </w:r>
      <w:r w:rsidR="006D18D2" w:rsidRPr="00465F10">
        <w:t>,</w:t>
      </w:r>
      <w:r w:rsidRPr="00465F10">
        <w:t xml:space="preserve"> (2020). </w:t>
      </w:r>
      <w:r w:rsidRPr="006D18D2">
        <w:t>Laying the foundation for zero-carbon cement</w:t>
      </w:r>
      <w:r w:rsidR="006D18D2">
        <w:t>.</w:t>
      </w:r>
    </w:p>
  </w:footnote>
  <w:footnote w:id="104">
    <w:p w14:paraId="38DDCFD5" w14:textId="3790D28C" w:rsidR="00020148" w:rsidRPr="006D18D2" w:rsidRDefault="000B2A65">
      <w:pPr>
        <w:pStyle w:val="FootnoteText"/>
        <w:rPr>
          <w:lang w:val="en-US"/>
        </w:rPr>
      </w:pPr>
      <w:r>
        <w:t>(</w:t>
      </w:r>
      <w:r>
        <w:rPr>
          <w:rStyle w:val="FootnoteReference"/>
        </w:rPr>
        <w:footnoteRef/>
      </w:r>
      <w:r>
        <w:t>)</w:t>
      </w:r>
      <w:r>
        <w:tab/>
        <w:t xml:space="preserve"> Cembureau</w:t>
      </w:r>
      <w:r w:rsidR="006D18D2">
        <w:t xml:space="preserve">, (2023). </w:t>
      </w:r>
      <w:r w:rsidRPr="006D18D2">
        <w:t xml:space="preserve"> Cementing the European Green Deal. Reaching climate neutrality along the cement</w:t>
      </w:r>
      <w:r w:rsidR="006D18D2">
        <w:rPr>
          <w:i/>
          <w:iCs/>
        </w:rPr>
        <w:t>.</w:t>
      </w:r>
    </w:p>
  </w:footnote>
  <w:footnote w:id="105">
    <w:p w14:paraId="4D983279" w14:textId="77777777" w:rsidR="007D2C97" w:rsidRPr="00ED7DB0" w:rsidRDefault="007D2C97" w:rsidP="007D2C97">
      <w:pPr>
        <w:pStyle w:val="FootnoteText"/>
        <w:rPr>
          <w:lang w:val="en-IE"/>
        </w:rPr>
      </w:pPr>
      <w:r>
        <w:t>(</w:t>
      </w:r>
      <w:r>
        <w:rPr>
          <w:rStyle w:val="FootnoteReference"/>
        </w:rPr>
        <w:footnoteRef/>
      </w:r>
      <w:r>
        <w:t>)</w:t>
      </w:r>
      <w:r>
        <w:tab/>
      </w:r>
      <w:r w:rsidRPr="002D2E12">
        <w:t>Herbst</w:t>
      </w:r>
      <w:r>
        <w:t xml:space="preserve">, A. et al. </w:t>
      </w:r>
      <w:r w:rsidRPr="002D2E12">
        <w:t>(2023): Role of the circular economy as a contributor to industry decarbonisation beyond 2030. Report prepared for DG CLIMA: Job number 330301101. Fraunhofer ISI &amp; ICF</w:t>
      </w:r>
      <w:r>
        <w:t>.</w:t>
      </w:r>
      <w:r w:rsidRPr="002D2E12">
        <w:t xml:space="preserve">  </w:t>
      </w:r>
    </w:p>
  </w:footnote>
  <w:footnote w:id="106">
    <w:p w14:paraId="6345C720" w14:textId="49EA1735" w:rsidR="00417CCB" w:rsidRPr="003C4C9C" w:rsidRDefault="00417CCB" w:rsidP="00417CCB">
      <w:pPr>
        <w:pStyle w:val="FootnoteText"/>
        <w:rPr>
          <w:lang w:val="en-IE"/>
        </w:rPr>
      </w:pPr>
      <w:r>
        <w:t>(</w:t>
      </w:r>
      <w:r>
        <w:rPr>
          <w:rStyle w:val="FootnoteReference"/>
        </w:rPr>
        <w:footnoteRef/>
      </w:r>
      <w:r>
        <w:t>)</w:t>
      </w:r>
      <w:r>
        <w:tab/>
      </w:r>
      <w:r w:rsidRPr="001A4101">
        <w:t>Le Den,</w:t>
      </w:r>
      <w:r>
        <w:t xml:space="preserve"> et al.</w:t>
      </w:r>
      <w:r w:rsidR="006D18D2">
        <w:t>,</w:t>
      </w:r>
      <w:r>
        <w:t xml:space="preserve"> </w:t>
      </w:r>
      <w:r w:rsidRPr="001A4101">
        <w:t>(2020)</w:t>
      </w:r>
      <w:r w:rsidR="00EF1A11">
        <w:t>.</w:t>
      </w:r>
      <w:r w:rsidRPr="001A4101">
        <w:t xml:space="preserve"> Quantification methodology for, and analysis of, the decarbonisation benefits of sectoral circular economy actions. Final report.</w:t>
      </w:r>
    </w:p>
  </w:footnote>
  <w:footnote w:id="107">
    <w:p w14:paraId="06F500F4" w14:textId="348917A2" w:rsidR="00417CCB" w:rsidRPr="006E077E" w:rsidRDefault="00417CCB" w:rsidP="00417CCB">
      <w:pPr>
        <w:pStyle w:val="FootnoteText"/>
        <w:rPr>
          <w:lang w:val="en-IE"/>
        </w:rPr>
      </w:pPr>
      <w:r>
        <w:t>(</w:t>
      </w:r>
      <w:r>
        <w:rPr>
          <w:rStyle w:val="FootnoteReference"/>
        </w:rPr>
        <w:footnoteRef/>
      </w:r>
      <w:r>
        <w:t>)</w:t>
      </w:r>
      <w:r>
        <w:tab/>
      </w:r>
      <w:r w:rsidRPr="006E077E">
        <w:t>Rehfeldt, M.</w:t>
      </w:r>
      <w:r>
        <w:t xml:space="preserve"> et al.</w:t>
      </w:r>
      <w:r w:rsidR="006D18D2">
        <w:t>,</w:t>
      </w:r>
      <w:r>
        <w:t xml:space="preserve"> </w:t>
      </w:r>
      <w:r w:rsidRPr="006E077E">
        <w:t>(2020)</w:t>
      </w:r>
      <w:r w:rsidR="00EF1A11">
        <w:t>.</w:t>
      </w:r>
      <w:r w:rsidRPr="006E077E">
        <w:t xml:space="preserve"> Modelling circular economy action impacts in the building sector on the EU cement industry. </w:t>
      </w:r>
      <w:r w:rsidRPr="00EF1A11">
        <w:rPr>
          <w:i/>
          <w:iCs/>
        </w:rPr>
        <w:t>ECEEE Industrial Summer Study Proceedings</w:t>
      </w:r>
      <w:r w:rsidRPr="006E077E">
        <w:t>,  133–143.</w:t>
      </w:r>
    </w:p>
  </w:footnote>
  <w:footnote w:id="108">
    <w:p w14:paraId="00323A74" w14:textId="77777777" w:rsidR="00417CCB" w:rsidRPr="00FF282F" w:rsidRDefault="00417CCB" w:rsidP="00417CCB">
      <w:pPr>
        <w:pStyle w:val="FootnoteText"/>
        <w:rPr>
          <w:lang w:val="en-IE"/>
        </w:rPr>
      </w:pPr>
      <w:r>
        <w:t>(</w:t>
      </w:r>
      <w:r>
        <w:rPr>
          <w:rStyle w:val="FootnoteReference"/>
        </w:rPr>
        <w:footnoteRef/>
      </w:r>
      <w:r>
        <w:t>)</w:t>
      </w:r>
      <w:r>
        <w:tab/>
        <w:t xml:space="preserve"> </w:t>
      </w:r>
      <w:r w:rsidRPr="00FF282F">
        <w:t>Nemry, F.; Uihlein, A. (2008): Environmental Improvement Potentials of Residential Buildings (IMPRO-Building).</w:t>
      </w:r>
    </w:p>
  </w:footnote>
  <w:footnote w:id="109">
    <w:p w14:paraId="04DDC6A5" w14:textId="793EDB1D" w:rsidR="00061759" w:rsidRPr="00534E10" w:rsidRDefault="00061759">
      <w:pPr>
        <w:pStyle w:val="FootnoteText"/>
        <w:rPr>
          <w:lang w:val="en-IE"/>
        </w:rPr>
      </w:pPr>
      <w:r>
        <w:t>(</w:t>
      </w:r>
      <w:r>
        <w:rPr>
          <w:rStyle w:val="FootnoteReference"/>
        </w:rPr>
        <w:footnoteRef/>
      </w:r>
      <w:r>
        <w:t>)</w:t>
      </w:r>
      <w:r>
        <w:tab/>
        <w:t xml:space="preserve"> Comparison in absolute terms is not possible since the total FEC in CIRC and BENCH is different.</w:t>
      </w:r>
    </w:p>
  </w:footnote>
  <w:footnote w:id="110">
    <w:p w14:paraId="6B18DDC2" w14:textId="77777777" w:rsidR="008507CE" w:rsidRPr="00AE7A2E" w:rsidRDefault="008507CE" w:rsidP="008507CE">
      <w:pPr>
        <w:pStyle w:val="FootnoteText"/>
        <w:rPr>
          <w:lang w:val="en-IE"/>
        </w:rPr>
      </w:pPr>
      <w:r>
        <w:t>(</w:t>
      </w:r>
      <w:r>
        <w:rPr>
          <w:rStyle w:val="FootnoteReference"/>
        </w:rPr>
        <w:footnoteRef/>
      </w:r>
      <w:r>
        <w:t>)</w:t>
      </w:r>
      <w:r>
        <w:tab/>
        <w:t xml:space="preserve"> </w:t>
      </w:r>
      <w:r w:rsidRPr="00C55E7F">
        <w:t>The model-based analysis is a technical exercise based on a number of assumptions that are shared across scenarios. Its results do not prejudge the future design of the post-2030 policy framework.</w:t>
      </w:r>
    </w:p>
  </w:footnote>
  <w:footnote w:id="111">
    <w:p w14:paraId="787966D0" w14:textId="5A89F442" w:rsidR="003169CE" w:rsidRPr="00343542" w:rsidRDefault="003169CE">
      <w:pPr>
        <w:pStyle w:val="FootnoteText"/>
        <w:rPr>
          <w:lang w:val="en-US"/>
        </w:rPr>
      </w:pPr>
      <w:r>
        <w:t>(</w:t>
      </w:r>
      <w:r>
        <w:rPr>
          <w:rStyle w:val="FootnoteReference"/>
        </w:rPr>
        <w:footnoteRef/>
      </w:r>
      <w:r>
        <w:t>)</w:t>
      </w:r>
      <w:r>
        <w:tab/>
      </w:r>
      <w:r w:rsidRPr="003169CE">
        <w:t xml:space="preserve">In this impact assessment, the term </w:t>
      </w:r>
      <w:r w:rsidRPr="00343542">
        <w:rPr>
          <w:i/>
          <w:iCs/>
        </w:rPr>
        <w:t>domestic navigation</w:t>
      </w:r>
      <w:r w:rsidRPr="003169CE">
        <w:t xml:space="preserve"> includes inland waterway transport and national maritime transport. These two waterborne transport modes are grouped together because a split between inland waterway and national maritime transport is currently not available in the official energy statistics, so the PRIMES model takes them together.</w:t>
      </w:r>
    </w:p>
  </w:footnote>
  <w:footnote w:id="112">
    <w:p w14:paraId="635C3D78" w14:textId="00AA25C2" w:rsidR="00CD649B" w:rsidRPr="00CD649B" w:rsidRDefault="00CD649B">
      <w:pPr>
        <w:pStyle w:val="FootnoteText"/>
      </w:pPr>
      <w:r>
        <w:t>(</w:t>
      </w:r>
      <w:r>
        <w:rPr>
          <w:rStyle w:val="FootnoteReference"/>
        </w:rPr>
        <w:footnoteRef/>
      </w:r>
      <w:r>
        <w:t xml:space="preserve">) </w:t>
      </w:r>
      <w:r w:rsidR="00263C91">
        <w:t>Other analyses look at much stronger change</w:t>
      </w:r>
      <w:r w:rsidR="00CF5605">
        <w:t>s</w:t>
      </w:r>
      <w:r w:rsidR="00263C91">
        <w:t xml:space="preserve"> in mobility patterns. For instance, the CLEVER scenario</w:t>
      </w:r>
      <w:r w:rsidR="00ED3362">
        <w:t xml:space="preserve"> published in “</w:t>
      </w:r>
      <w:r w:rsidR="00E74DC4" w:rsidRPr="00F87C67">
        <w:rPr>
          <w:i/>
        </w:rPr>
        <w:t>Energy security and Sustainability: A pathway to bridge the gap through Sufficiency, Efficiency and Renewables</w:t>
      </w:r>
      <w:r w:rsidR="00ED3362">
        <w:rPr>
          <w:i/>
        </w:rPr>
        <w:t>”</w:t>
      </w:r>
      <w:r w:rsidR="00ED3362">
        <w:t xml:space="preserve"> </w:t>
      </w:r>
      <w:r w:rsidR="007E3AEA">
        <w:t xml:space="preserve">projects </w:t>
      </w:r>
      <w:r w:rsidR="00263C91">
        <w:t xml:space="preserve">a </w:t>
      </w:r>
      <w:r w:rsidR="00C16526">
        <w:t xml:space="preserve">21% </w:t>
      </w:r>
      <w:r w:rsidR="00263C91">
        <w:t xml:space="preserve">reduction </w:t>
      </w:r>
      <w:r w:rsidR="00C16526">
        <w:t>in</w:t>
      </w:r>
      <w:r w:rsidR="00263C91">
        <w:t xml:space="preserve"> passenger traffic between 2019 and 2050. </w:t>
      </w:r>
      <w:r w:rsidR="00F542F2" w:rsidRPr="00F542F2">
        <w:t xml:space="preserve">However, the costs associated to these changes are not assessed.  </w:t>
      </w:r>
      <w:r w:rsidR="00761F8B">
        <w:t xml:space="preserve"> </w:t>
      </w:r>
    </w:p>
  </w:footnote>
  <w:footnote w:id="113">
    <w:p w14:paraId="2584F5D9" w14:textId="7E480B8A" w:rsidR="003A4CBA" w:rsidRPr="00A8542C" w:rsidRDefault="003A4CBA">
      <w:pPr>
        <w:pStyle w:val="FootnoteText"/>
        <w:rPr>
          <w:lang w:val="en-IE"/>
        </w:rPr>
      </w:pPr>
      <w:r>
        <w:t>(</w:t>
      </w:r>
      <w:r>
        <w:rPr>
          <w:rStyle w:val="FootnoteReference"/>
        </w:rPr>
        <w:footnoteRef/>
      </w:r>
      <w:r>
        <w:t>) In its “</w:t>
      </w:r>
      <w:r w:rsidRPr="003A4CBA">
        <w:t>Aviation Outlook 2050 – Main Report, 2022</w:t>
      </w:r>
      <w:r>
        <w:t>” report EUROCONTROL looks at scenarios on the evolution of</w:t>
      </w:r>
      <w:r w:rsidRPr="003A4CBA">
        <w:t xml:space="preserve"> the number of flights</w:t>
      </w:r>
      <w:r w:rsidR="008538BF" w:rsidRPr="008538BF">
        <w:t xml:space="preserve"> </w:t>
      </w:r>
      <w:r w:rsidR="008538BF">
        <w:t xml:space="preserve">in Europe </w:t>
      </w:r>
      <w:r w:rsidR="008538BF" w:rsidRPr="003A4CBA">
        <w:t>between 2019</w:t>
      </w:r>
      <w:r w:rsidR="008538BF">
        <w:t xml:space="preserve"> (</w:t>
      </w:r>
      <w:r w:rsidR="00683A1C">
        <w:t xml:space="preserve">the year with the highest number of flights) </w:t>
      </w:r>
      <w:r w:rsidR="008538BF" w:rsidRPr="003A4CBA">
        <w:t>and 2050</w:t>
      </w:r>
      <w:r>
        <w:t xml:space="preserve">, </w:t>
      </w:r>
      <w:r w:rsidR="00683A1C">
        <w:t>reaching</w:t>
      </w:r>
      <w:r>
        <w:t xml:space="preserve"> +</w:t>
      </w:r>
      <w:r w:rsidR="00683A1C">
        <w:t>44</w:t>
      </w:r>
      <w:r>
        <w:t xml:space="preserve">% </w:t>
      </w:r>
      <w:r w:rsidRPr="003A4CBA">
        <w:t>in the “base” (or most-likely) scenario,</w:t>
      </w:r>
      <w:r w:rsidR="00683A1C">
        <w:t xml:space="preserve"> ranging from</w:t>
      </w:r>
      <w:r w:rsidRPr="003A4CBA">
        <w:t xml:space="preserve"> </w:t>
      </w:r>
      <w:r>
        <w:t>+</w:t>
      </w:r>
      <w:r w:rsidR="00683A1C">
        <w:t>54</w:t>
      </w:r>
      <w:r>
        <w:t xml:space="preserve">% in the “high” scenario </w:t>
      </w:r>
      <w:r w:rsidR="00683A1C">
        <w:t>to</w:t>
      </w:r>
      <w:r>
        <w:t xml:space="preserve"> +</w:t>
      </w:r>
      <w:r w:rsidR="00683A1C">
        <w:t>20</w:t>
      </w:r>
      <w:r>
        <w:t>% in the “low” scenario.</w:t>
      </w:r>
    </w:p>
  </w:footnote>
  <w:footnote w:id="114">
    <w:p w14:paraId="671C13C8" w14:textId="44B354EB" w:rsidR="00A1313E" w:rsidRPr="0075314C" w:rsidRDefault="00A1313E">
      <w:pPr>
        <w:pStyle w:val="FootnoteText"/>
        <w:rPr>
          <w:lang w:val="en-US"/>
        </w:rPr>
      </w:pPr>
      <w:r>
        <w:t>(</w:t>
      </w:r>
      <w:r>
        <w:rPr>
          <w:rStyle w:val="FootnoteReference"/>
        </w:rPr>
        <w:footnoteRef/>
      </w:r>
      <w:r>
        <w:t>)</w:t>
      </w:r>
      <w:r>
        <w:tab/>
      </w:r>
      <w:r w:rsidRPr="0075314C">
        <w:t>In general, electric engines are 3-4 times more energy-efficient than internal combustion engines.</w:t>
      </w:r>
    </w:p>
  </w:footnote>
  <w:footnote w:id="115">
    <w:p w14:paraId="288DE94F" w14:textId="33D75F86" w:rsidR="005C775E" w:rsidRPr="003C51FC" w:rsidRDefault="005C775E">
      <w:pPr>
        <w:pStyle w:val="FootnoteText"/>
        <w:rPr>
          <w:lang w:val="en-US"/>
        </w:rPr>
      </w:pPr>
      <w:r>
        <w:t>(</w:t>
      </w:r>
      <w:r>
        <w:rPr>
          <w:rStyle w:val="FootnoteReference"/>
        </w:rPr>
        <w:footnoteRef/>
      </w:r>
      <w:r>
        <w:t>)</w:t>
      </w:r>
      <w:r>
        <w:tab/>
      </w:r>
      <w:r w:rsidRPr="005C775E">
        <w:t xml:space="preserve">In the case of rail transport, the shift to electrification is less prominent than for road transport only because </w:t>
      </w:r>
      <w:r w:rsidR="00D15108">
        <w:t xml:space="preserve">currently </w:t>
      </w:r>
      <w:r w:rsidRPr="005C775E">
        <w:t>the sector is already largely electrified.</w:t>
      </w:r>
    </w:p>
  </w:footnote>
  <w:footnote w:id="116">
    <w:p w14:paraId="6437DB5A" w14:textId="77777777" w:rsidR="00F23B5E" w:rsidRPr="0027151C" w:rsidRDefault="00F23B5E" w:rsidP="00F23B5E">
      <w:pPr>
        <w:pStyle w:val="FootnoteText"/>
        <w:rPr>
          <w:lang w:val="en-US"/>
        </w:rPr>
      </w:pPr>
      <w:r>
        <w:t>(</w:t>
      </w:r>
      <w:r>
        <w:rPr>
          <w:rStyle w:val="FootnoteReference"/>
        </w:rPr>
        <w:footnoteRef/>
      </w:r>
      <w:r>
        <w:t>)</w:t>
      </w:r>
      <w:r>
        <w:tab/>
      </w:r>
      <w:r w:rsidRPr="00F613F3">
        <w:t>Only bioliquids are used in aviation.</w:t>
      </w:r>
    </w:p>
  </w:footnote>
  <w:footnote w:id="117">
    <w:p w14:paraId="0E37D560" w14:textId="47135032" w:rsidR="00CF124A" w:rsidRPr="00543008" w:rsidRDefault="00CF124A">
      <w:pPr>
        <w:pStyle w:val="FootnoteText"/>
        <w:rPr>
          <w:lang w:val="it-IT"/>
        </w:rPr>
      </w:pPr>
      <w:r w:rsidRPr="00543008">
        <w:rPr>
          <w:lang w:val="it-IT"/>
        </w:rPr>
        <w:t>(</w:t>
      </w:r>
      <w:r>
        <w:rPr>
          <w:rStyle w:val="FootnoteReference"/>
        </w:rPr>
        <w:footnoteRef/>
      </w:r>
      <w:r w:rsidRPr="00543008">
        <w:rPr>
          <w:lang w:val="it-IT"/>
        </w:rPr>
        <w:t>)</w:t>
      </w:r>
      <w:r w:rsidRPr="00543008">
        <w:rPr>
          <w:lang w:val="it-IT"/>
        </w:rPr>
        <w:tab/>
      </w:r>
      <w:r w:rsidR="007A004E" w:rsidRPr="00543008">
        <w:rPr>
          <w:lang w:val="it-IT"/>
        </w:rPr>
        <w:t>E-liquids include e-ammonia and e-methanol.</w:t>
      </w:r>
    </w:p>
  </w:footnote>
  <w:footnote w:id="118">
    <w:p w14:paraId="4C51CD2A" w14:textId="6153C500" w:rsidR="00DC7D66" w:rsidRPr="009D30B4" w:rsidRDefault="00DC7D66">
      <w:pPr>
        <w:pStyle w:val="FootnoteText"/>
        <w:rPr>
          <w:lang w:val="en-US"/>
        </w:rPr>
      </w:pPr>
      <w:r>
        <w:t>(</w:t>
      </w:r>
      <w:r>
        <w:rPr>
          <w:rStyle w:val="FootnoteReference"/>
        </w:rPr>
        <w:footnoteRef/>
      </w:r>
      <w:r>
        <w:t>)</w:t>
      </w:r>
      <w:r>
        <w:tab/>
      </w:r>
      <w:r w:rsidRPr="00DC7D66">
        <w:t>Only e-liquids are used in aviation.</w:t>
      </w:r>
    </w:p>
  </w:footnote>
  <w:footnote w:id="119">
    <w:p w14:paraId="05A82ED5" w14:textId="3FBF5340" w:rsidR="008B5C54" w:rsidRPr="008B5C54" w:rsidRDefault="008B5C54">
      <w:pPr>
        <w:pStyle w:val="FootnoteText"/>
        <w:rPr>
          <w:lang w:val="en-US"/>
        </w:rPr>
      </w:pPr>
      <w:r>
        <w:t>(</w:t>
      </w:r>
      <w:r>
        <w:rPr>
          <w:rStyle w:val="FootnoteReference"/>
        </w:rPr>
        <w:footnoteRef/>
      </w:r>
      <w:r>
        <w:t>)</w:t>
      </w:r>
      <w:r>
        <w:tab/>
      </w:r>
      <w:r w:rsidRPr="008B5C54">
        <w:t xml:space="preserve">The electric passenger car and van market is growing rapidly. According to IEA’s </w:t>
      </w:r>
      <w:r w:rsidR="002B4FF3">
        <w:t>‘</w:t>
      </w:r>
      <w:r w:rsidRPr="008B5C54">
        <w:t>Global EV Outlook 2023</w:t>
      </w:r>
      <w:r w:rsidR="002B4FF3">
        <w:t>’</w:t>
      </w:r>
      <w:r w:rsidRPr="008B5C54">
        <w:t>, in Europe, electric passenger car sales increased by more than 15% in 2022 relative to 2021 to reach 2.7 million units (including battery-electric and plug-in hybrid cars). As a result, 21% of all new cars sold in Europe in 2022 were electric, up from 18% in 2021, 10% in 2020 and less than 3% prior to 2019. Electric van sales increased by around 50% in 2022 relative to 2021 to reach 95</w:t>
      </w:r>
      <w:r>
        <w:t> </w:t>
      </w:r>
      <w:r w:rsidRPr="008B5C54">
        <w:t>000 units (including battery-electric and plug-in hybrid vehicles). As a result, 5% of all new vans sold in Europe in 2022 were electric, up from 3% in 2021 and less than 2% prior to 2020. Note that, in IEA’s study, “Europe” includes the EU countries, Iceland, Israel, Norway, Switzerland, Türkiye, and the UK.</w:t>
      </w:r>
    </w:p>
  </w:footnote>
  <w:footnote w:id="120">
    <w:p w14:paraId="53A038BB" w14:textId="1AD023CE" w:rsidR="008B5C54" w:rsidRPr="008B5C54" w:rsidRDefault="008B5C54">
      <w:pPr>
        <w:pStyle w:val="FootnoteText"/>
        <w:rPr>
          <w:lang w:val="en-US"/>
        </w:rPr>
      </w:pPr>
      <w:r>
        <w:t>(</w:t>
      </w:r>
      <w:r>
        <w:rPr>
          <w:rStyle w:val="FootnoteReference"/>
        </w:rPr>
        <w:footnoteRef/>
      </w:r>
      <w:r>
        <w:t>)</w:t>
      </w:r>
      <w:r>
        <w:tab/>
      </w:r>
      <w:r w:rsidRPr="008B5C54">
        <w:t xml:space="preserve">The share of electric vehicles (including battery-electric and plug-in hybrid vehicles) in the annual amount of cars and vans sold in Europe is expected to continue rising in the next years, reaching more than 40% in 2026 (according to BNEF’s </w:t>
      </w:r>
      <w:r w:rsidR="002B4FF3">
        <w:t>‘</w:t>
      </w:r>
      <w:r w:rsidRPr="008B5C54">
        <w:t>Electric Vehicle Outlook 2023</w:t>
      </w:r>
      <w:r w:rsidR="002B4FF3">
        <w:t>’</w:t>
      </w:r>
      <w:r w:rsidRPr="008B5C54">
        <w:t xml:space="preserve">) and around 60% in 2030 (according to IEA’s </w:t>
      </w:r>
      <w:r w:rsidR="002B4FF3">
        <w:t>‘</w:t>
      </w:r>
      <w:r w:rsidRPr="008B5C54">
        <w:t>Global EV Outlook 2023</w:t>
      </w:r>
      <w:r w:rsidR="002B4FF3">
        <w:t>’</w:t>
      </w:r>
      <w:r w:rsidRPr="008B5C54">
        <w:t>, in the Stated Policies Scenario).</w:t>
      </w:r>
    </w:p>
  </w:footnote>
  <w:footnote w:id="121">
    <w:p w14:paraId="3293E6AB" w14:textId="010D7A55" w:rsidR="00A1313E" w:rsidRPr="008B5768" w:rsidRDefault="00A1313E">
      <w:pPr>
        <w:pStyle w:val="FootnoteText"/>
        <w:rPr>
          <w:lang w:val="en-US"/>
        </w:rPr>
      </w:pPr>
      <w:r>
        <w:t>(</w:t>
      </w:r>
      <w:r>
        <w:rPr>
          <w:rStyle w:val="FootnoteReference"/>
        </w:rPr>
        <w:footnoteRef/>
      </w:r>
      <w:r>
        <w:t>)</w:t>
      </w:r>
      <w:r>
        <w:tab/>
      </w:r>
      <w:r w:rsidRPr="008B5768">
        <w:t>COM(2023) 88 final.</w:t>
      </w:r>
    </w:p>
  </w:footnote>
  <w:footnote w:id="122">
    <w:p w14:paraId="7BE3E0D1" w14:textId="2972F2B3" w:rsidR="00743DD1" w:rsidRPr="00743DD1" w:rsidRDefault="00743DD1">
      <w:pPr>
        <w:pStyle w:val="FootnoteText"/>
        <w:rPr>
          <w:lang w:val="en-US"/>
        </w:rPr>
      </w:pPr>
      <w:r>
        <w:t>(</w:t>
      </w:r>
      <w:r>
        <w:rPr>
          <w:rStyle w:val="FootnoteReference"/>
        </w:rPr>
        <w:footnoteRef/>
      </w:r>
      <w:r>
        <w:t>)</w:t>
      </w:r>
      <w:r>
        <w:tab/>
        <w:t xml:space="preserve"> </w:t>
      </w:r>
      <w:r w:rsidRPr="00743DD1">
        <w:t xml:space="preserve">Electric truck sales are currently low, but this market is growing. According to IEA’s </w:t>
      </w:r>
      <w:r w:rsidR="002B4FF3">
        <w:t>‘</w:t>
      </w:r>
      <w:r w:rsidRPr="00743DD1">
        <w:t>Global EV Outlook 2023</w:t>
      </w:r>
      <w:r w:rsidR="002B4FF3">
        <w:t>’</w:t>
      </w:r>
      <w:r w:rsidRPr="00743DD1">
        <w:t>, 0.5% of all new trucks sold in Europe in 2022 were electric (including battery-electric and plug-in hybrid vehicles). This is a small share, but an increasing trend is observed in the last years (the share of electric truck sales was almost zero in 2017 and 0.2% in 2020). Furthermore, the share of electric truck sales is projected to continue rising in the next years, reaching 10% in Europe and 13% in the EU in 2030 (in the Stated Policies Scenario). Note that, in IEA’s study, “Europe” includes the EU countries, Iceland, Israel, Norway, Switzerland, Türkiye, and the UK.</w:t>
      </w:r>
    </w:p>
  </w:footnote>
  <w:footnote w:id="123">
    <w:p w14:paraId="554274CF" w14:textId="685B27B3" w:rsidR="006872AE" w:rsidRPr="009744B0" w:rsidRDefault="006872AE">
      <w:pPr>
        <w:pStyle w:val="FootnoteText"/>
        <w:rPr>
          <w:lang w:val="en-US"/>
        </w:rPr>
      </w:pPr>
      <w:r>
        <w:t>(</w:t>
      </w:r>
      <w:r>
        <w:rPr>
          <w:rStyle w:val="FootnoteReference"/>
        </w:rPr>
        <w:footnoteRef/>
      </w:r>
      <w:r>
        <w:t>)</w:t>
      </w:r>
      <w:r>
        <w:tab/>
      </w:r>
      <w:r w:rsidR="00593A72">
        <w:t>Here, diesel hybrid vehicles i</w:t>
      </w:r>
      <w:r w:rsidRPr="006872AE">
        <w:t>nclud</w:t>
      </w:r>
      <w:r w:rsidR="00593A72">
        <w:t>e</w:t>
      </w:r>
      <w:r w:rsidRPr="006872AE">
        <w:t xml:space="preserve"> plug-in hybrids</w:t>
      </w:r>
      <w:r w:rsidR="00342B75">
        <w:t>. The share of plug-in hybrids</w:t>
      </w:r>
      <w:r w:rsidRPr="006872AE">
        <w:t xml:space="preserve"> </w:t>
      </w:r>
      <w:r w:rsidR="00023D32">
        <w:t xml:space="preserve">in the HGV stock </w:t>
      </w:r>
      <w:r w:rsidRPr="006872AE">
        <w:t xml:space="preserve">is limited </w:t>
      </w:r>
      <w:r w:rsidR="00023D32">
        <w:t>(</w:t>
      </w:r>
      <w:r w:rsidRPr="006872AE">
        <w:t xml:space="preserve">below 2% of the fleet </w:t>
      </w:r>
      <w:r w:rsidR="009A5F2F">
        <w:t xml:space="preserve">in all years </w:t>
      </w:r>
      <w:r w:rsidRPr="006872AE">
        <w:t>up to 2050</w:t>
      </w:r>
      <w:r w:rsidR="004B6488">
        <w:t>)</w:t>
      </w:r>
      <w:r w:rsidRPr="006872AE">
        <w:t>.</w:t>
      </w:r>
    </w:p>
  </w:footnote>
  <w:footnote w:id="124">
    <w:p w14:paraId="3EB57D7E" w14:textId="0013CF08" w:rsidR="00FE16C2" w:rsidRPr="00FE16C2" w:rsidRDefault="00FE16C2">
      <w:pPr>
        <w:pStyle w:val="FootnoteText"/>
        <w:rPr>
          <w:lang w:val="en-US"/>
        </w:rPr>
      </w:pPr>
      <w:r>
        <w:t>(</w:t>
      </w:r>
      <w:r>
        <w:rPr>
          <w:rStyle w:val="FootnoteReference"/>
        </w:rPr>
        <w:footnoteRef/>
      </w:r>
      <w:r>
        <w:t>)</w:t>
      </w:r>
      <w:r>
        <w:tab/>
        <w:t xml:space="preserve"> </w:t>
      </w:r>
      <w:r w:rsidRPr="00FE16C2">
        <w:t>COM(2023) 88 final.</w:t>
      </w:r>
    </w:p>
  </w:footnote>
  <w:footnote w:id="125">
    <w:p w14:paraId="36E828DF" w14:textId="5E5997E7" w:rsidR="00D873F9" w:rsidRPr="00D873F9" w:rsidRDefault="00D873F9">
      <w:pPr>
        <w:pStyle w:val="FootnoteText"/>
        <w:rPr>
          <w:lang w:val="en-US"/>
        </w:rPr>
      </w:pPr>
      <w:r>
        <w:t>(</w:t>
      </w:r>
      <w:r>
        <w:rPr>
          <w:rStyle w:val="FootnoteReference"/>
        </w:rPr>
        <w:footnoteRef/>
      </w:r>
      <w:r>
        <w:t>)</w:t>
      </w:r>
      <w:r>
        <w:tab/>
        <w:t xml:space="preserve"> </w:t>
      </w:r>
      <w:r w:rsidRPr="00D873F9">
        <w:t xml:space="preserve">Electric bus and coach sales are growing. According to IEA’s </w:t>
      </w:r>
      <w:r w:rsidR="002B4FF3">
        <w:t>‘</w:t>
      </w:r>
      <w:r w:rsidRPr="00D873F9">
        <w:t>Global EV Outlook 2023</w:t>
      </w:r>
      <w:r w:rsidR="002B4FF3">
        <w:t>’</w:t>
      </w:r>
      <w:r w:rsidRPr="00D873F9">
        <w:t>, around 9% of all new buses and coaches sold in Europe in 2022 were electric (including battery-electric and plug-in hybrid vehicles), up from around 7% in 2021, 4% in 2020 and less than 3% prior to 2019. Furthermore, the share of electric bus and coach sales is projected to continue rising in the next years, reaching 40% in Europe and 55% in the EU in 2030 (in the Stated Policies Scenario). Note that, in IEA’s study, “Europe” includes the EU countries, Iceland, Israel, Norway, Switzerland, Türkiye, and the UK.</w:t>
      </w:r>
    </w:p>
  </w:footnote>
  <w:footnote w:id="126">
    <w:p w14:paraId="025C418C" w14:textId="413058B0" w:rsidR="00021117" w:rsidRPr="00021117" w:rsidRDefault="00021117">
      <w:pPr>
        <w:pStyle w:val="FootnoteText"/>
        <w:rPr>
          <w:lang w:val="en-US"/>
        </w:rPr>
      </w:pPr>
      <w:r>
        <w:t>(</w:t>
      </w:r>
      <w:r>
        <w:rPr>
          <w:rStyle w:val="FootnoteReference"/>
        </w:rPr>
        <w:footnoteRef/>
      </w:r>
      <w:r>
        <w:t>)</w:t>
      </w:r>
      <w:r>
        <w:tab/>
        <w:t>Diesel hybrid vehicles i</w:t>
      </w:r>
      <w:r w:rsidRPr="00021117">
        <w:t>nclud</w:t>
      </w:r>
      <w:r>
        <w:t>e</w:t>
      </w:r>
      <w:r w:rsidRPr="00021117">
        <w:t xml:space="preserve"> plug-in hybrids.</w:t>
      </w:r>
    </w:p>
  </w:footnote>
  <w:footnote w:id="127">
    <w:p w14:paraId="051E6687" w14:textId="6CCAA152" w:rsidR="003040F5" w:rsidRPr="003040F5" w:rsidRDefault="003040F5">
      <w:pPr>
        <w:pStyle w:val="FootnoteText"/>
        <w:rPr>
          <w:lang w:val="en-US"/>
        </w:rPr>
      </w:pPr>
      <w:r>
        <w:t>(</w:t>
      </w:r>
      <w:r>
        <w:rPr>
          <w:rStyle w:val="FootnoteReference"/>
        </w:rPr>
        <w:footnoteRef/>
      </w:r>
      <w:r>
        <w:t>)</w:t>
      </w:r>
      <w:r>
        <w:tab/>
        <w:t xml:space="preserve"> </w:t>
      </w:r>
      <w:r w:rsidRPr="003040F5">
        <w:t xml:space="preserve">The electric two- and three-wheeler market is growing. According to IEA’s </w:t>
      </w:r>
      <w:r w:rsidR="002B4FF3">
        <w:t>‘</w:t>
      </w:r>
      <w:r w:rsidRPr="003040F5">
        <w:t>Global EV Outlook 2023</w:t>
      </w:r>
      <w:r w:rsidR="002B4FF3">
        <w:t>’</w:t>
      </w:r>
      <w:r w:rsidRPr="003040F5">
        <w:t xml:space="preserve">, in Europe, 8% of all new powered two-wheelers and 7% of all new powered three-wheelers sold in 2022 were electric, up from around 5% and 4%, respectively, in 2020. The share of electric two- and three-wheeler sales is projected to continue rising in the next years, reaching more than 90% in 2040 (according to BNEF’s </w:t>
      </w:r>
      <w:r w:rsidR="002B4FF3">
        <w:t>‘</w:t>
      </w:r>
      <w:r w:rsidRPr="003040F5">
        <w:t>Electric Vehicle Outlook 2023</w:t>
      </w:r>
      <w:r w:rsidR="002B4FF3">
        <w:t>’</w:t>
      </w:r>
      <w:r w:rsidRPr="003040F5">
        <w:t>).</w:t>
      </w:r>
    </w:p>
  </w:footnote>
  <w:footnote w:id="128">
    <w:p w14:paraId="55C8C6E9" w14:textId="51ED00E7" w:rsidR="001A64FA" w:rsidRPr="001A64FA" w:rsidRDefault="001A64FA">
      <w:pPr>
        <w:pStyle w:val="FootnoteText"/>
        <w:rPr>
          <w:lang w:val="en-US"/>
        </w:rPr>
      </w:pPr>
      <w:r>
        <w:t>(</w:t>
      </w:r>
      <w:r>
        <w:rPr>
          <w:rStyle w:val="FootnoteReference"/>
        </w:rPr>
        <w:footnoteRef/>
      </w:r>
      <w:r>
        <w:t>)</w:t>
      </w:r>
      <w:r>
        <w:tab/>
      </w:r>
      <w:r w:rsidRPr="001A64FA">
        <w:t xml:space="preserve">The investment costs </w:t>
      </w:r>
      <w:r>
        <w:t>corresponding to</w:t>
      </w:r>
      <w:r w:rsidRPr="001A64FA">
        <w:t xml:space="preserve"> the electrification of the rail network are not </w:t>
      </w:r>
      <w:r>
        <w:t>includ</w:t>
      </w:r>
      <w:r w:rsidRPr="001A64FA">
        <w:t>ed in the modelling</w:t>
      </w:r>
      <w:r>
        <w:t>. Instead, the investment costs</w:t>
      </w:r>
      <w:r w:rsidRPr="001A64FA">
        <w:t xml:space="preserve"> related to rolling stock</w:t>
      </w:r>
      <w:r>
        <w:t xml:space="preserve"> are included</w:t>
      </w:r>
      <w:r w:rsidRPr="001A64FA">
        <w:t>.</w:t>
      </w:r>
    </w:p>
  </w:footnote>
  <w:footnote w:id="129">
    <w:p w14:paraId="1312A670" w14:textId="56E7D685" w:rsidR="00541481" w:rsidRPr="00541481" w:rsidRDefault="00541481">
      <w:pPr>
        <w:pStyle w:val="FootnoteText"/>
        <w:rPr>
          <w:lang w:val="en-US"/>
        </w:rPr>
      </w:pPr>
      <w:r>
        <w:t>(</w:t>
      </w:r>
      <w:r>
        <w:rPr>
          <w:rStyle w:val="FootnoteReference"/>
        </w:rPr>
        <w:footnoteRef/>
      </w:r>
      <w:r>
        <w:t>)</w:t>
      </w:r>
      <w:r>
        <w:tab/>
      </w:r>
      <w:r w:rsidRPr="00541481">
        <w:t>Th</w:t>
      </w:r>
      <w:r w:rsidR="0008779B">
        <w:t>ese two waterborne transport modes are grouped together because</w:t>
      </w:r>
      <w:r w:rsidRPr="00541481">
        <w:t xml:space="preserve"> a split between inland waterway and national maritime transport is currently not available in the official energy statistics, so the PRIMES model </w:t>
      </w:r>
      <w:r w:rsidR="0008779B">
        <w:t>takes them</w:t>
      </w:r>
      <w:r w:rsidRPr="00541481">
        <w:t xml:space="preserve"> together.</w:t>
      </w:r>
    </w:p>
  </w:footnote>
  <w:footnote w:id="130">
    <w:p w14:paraId="10FA3CCE" w14:textId="51CF01E1" w:rsidR="00E76259" w:rsidRPr="00E76259" w:rsidRDefault="00E76259">
      <w:pPr>
        <w:pStyle w:val="FootnoteText"/>
        <w:rPr>
          <w:lang w:val="en-US"/>
        </w:rPr>
      </w:pPr>
      <w:r>
        <w:t>(</w:t>
      </w:r>
      <w:r>
        <w:rPr>
          <w:rStyle w:val="FootnoteReference"/>
        </w:rPr>
        <w:footnoteRef/>
      </w:r>
      <w:r>
        <w:t>)</w:t>
      </w:r>
      <w:r>
        <w:tab/>
        <w:t xml:space="preserve"> </w:t>
      </w:r>
      <w:r w:rsidRPr="00E76259">
        <w:t>Including e-ammonia</w:t>
      </w:r>
      <w:r w:rsidR="00B30489">
        <w:t>,</w:t>
      </w:r>
      <w:r w:rsidRPr="00E76259">
        <w:t xml:space="preserve"> e-methanol and other </w:t>
      </w:r>
      <w:r w:rsidR="00B30489">
        <w:t>e-</w:t>
      </w:r>
      <w:r w:rsidRPr="00E76259">
        <w:t>fuels.</w:t>
      </w:r>
    </w:p>
  </w:footnote>
  <w:footnote w:id="131">
    <w:p w14:paraId="64D87B45" w14:textId="349BC47B" w:rsidR="00D574F9" w:rsidRPr="00D574F9" w:rsidRDefault="00D574F9">
      <w:pPr>
        <w:pStyle w:val="FootnoteText"/>
        <w:rPr>
          <w:lang w:val="en-US"/>
        </w:rPr>
      </w:pPr>
      <w:r>
        <w:t>(</w:t>
      </w:r>
      <w:r>
        <w:rPr>
          <w:rStyle w:val="FootnoteReference"/>
        </w:rPr>
        <w:footnoteRef/>
      </w:r>
      <w:r>
        <w:t>)</w:t>
      </w:r>
      <w:r>
        <w:tab/>
        <w:t xml:space="preserve"> </w:t>
      </w:r>
      <w:r w:rsidRPr="00D574F9">
        <w:t>Projections made by other studies also show an increasing use of zero- and low-emission energy carriers over the next decades. For example, IEA’s ‘Net Zero Road Map’ (2023 update) shows an increase in the use of bioenergy, hydrogen and e-fuels in international shipping at global level, with bioenergy representing 8% and 19% of the energy consumed in 2030 and 2050, respectively, hydrogen representing 4% and 19% in 2030 and 2050, respectively, and e-fuels (mostly, ammonia), representing 7% and 47% in the same years. Similarly, DNV’s ‘Energy Transition Outlook 2023’ argues that the main decarbonisation opportunity for the international maritime sector is switching to low- and zero-carbon fuels such as ammonia, e-methanol, e-methane, and various forms of biofuel.</w:t>
      </w:r>
    </w:p>
  </w:footnote>
  <w:footnote w:id="132">
    <w:p w14:paraId="17EB2983" w14:textId="6EDE57EA" w:rsidR="0078756A" w:rsidRPr="0078756A" w:rsidRDefault="0078756A">
      <w:pPr>
        <w:pStyle w:val="FootnoteText"/>
        <w:rPr>
          <w:lang w:val="en-US"/>
        </w:rPr>
      </w:pPr>
      <w:r>
        <w:t>(</w:t>
      </w:r>
      <w:r>
        <w:rPr>
          <w:rStyle w:val="FootnoteReference"/>
        </w:rPr>
        <w:footnoteRef/>
      </w:r>
      <w:r>
        <w:t>)</w:t>
      </w:r>
      <w:r>
        <w:tab/>
        <w:t xml:space="preserve"> </w:t>
      </w:r>
      <w:r w:rsidRPr="0078756A">
        <w:t xml:space="preserve">Projections made by other studies also show an increasing use of zero- and low-emission fuels over the next decades. For </w:t>
      </w:r>
      <w:r w:rsidR="00384A2E">
        <w:t>instance</w:t>
      </w:r>
      <w:r w:rsidRPr="0078756A">
        <w:t xml:space="preserve">, IEA’s ‘Net Zero Road Map’ (2023 update) projects an increase in the use of sustainable aviation fuels (SAF) at global level, with biofuels representing 10% and 33% of the energy consumed in 2030 and 2050, respectively, and synthetic hydrogen-based fuels representing 1% in 2030 and 37% in 2050. Similarly, both DNV’s ‘Energy Transition Outlook 2023’ and ITF’s ‘Decarbonising Air Transport’ (published in 2021) expect a large uptake of sustainable aviation fuels (biofuels and e-fuels) over the next decades, which will play a key role in decarbonising air transport </w:t>
      </w:r>
      <w:r w:rsidR="004E30F4">
        <w:t>(</w:t>
      </w:r>
      <w:r w:rsidRPr="0078756A">
        <w:t>together with technological and operational measures to improve energy efficiency</w:t>
      </w:r>
      <w:r w:rsidR="004C2C79">
        <w:t>, which will play a smaller role</w:t>
      </w:r>
      <w:r w:rsidR="004E30F4">
        <w:t>)</w:t>
      </w:r>
      <w:r w:rsidRPr="0078756A">
        <w:t>.</w:t>
      </w:r>
    </w:p>
  </w:footnote>
  <w:footnote w:id="133">
    <w:p w14:paraId="2D014272" w14:textId="5FCEA0DE" w:rsidR="00BF05E6" w:rsidRPr="00BF05E6" w:rsidRDefault="00BF05E6">
      <w:pPr>
        <w:pStyle w:val="FootnoteText"/>
        <w:rPr>
          <w:lang w:val="en-US"/>
        </w:rPr>
      </w:pPr>
      <w:r>
        <w:t>(</w:t>
      </w:r>
      <w:r>
        <w:rPr>
          <w:rStyle w:val="FootnoteReference"/>
        </w:rPr>
        <w:footnoteRef/>
      </w:r>
      <w:r>
        <w:t>)</w:t>
      </w:r>
      <w:r>
        <w:tab/>
        <w:t>A</w:t>
      </w:r>
      <w:r w:rsidRPr="00BF05E6">
        <w:t>lthough S3 and LIFE are designed to meet the same climate target in 2040, transport-related CO2 emissions are higher in LIFE. Other sectors (e.g., agriculture) have lower GHG emissions in LIFE than in S3, which compensates for the higher transport-related CO2 emissions.</w:t>
      </w:r>
    </w:p>
  </w:footnote>
  <w:footnote w:id="134">
    <w:p w14:paraId="491B9B30" w14:textId="5B343636" w:rsidR="00DC3BC8" w:rsidRPr="00DC3BC8" w:rsidRDefault="00DC3BC8">
      <w:pPr>
        <w:pStyle w:val="FootnoteText"/>
        <w:rPr>
          <w:lang w:val="en-US"/>
        </w:rPr>
      </w:pPr>
      <w:r>
        <w:t>(</w:t>
      </w:r>
      <w:r>
        <w:rPr>
          <w:rStyle w:val="FootnoteReference"/>
        </w:rPr>
        <w:footnoteRef/>
      </w:r>
      <w:r>
        <w:t>)</w:t>
      </w:r>
      <w:r>
        <w:tab/>
      </w:r>
      <w:r w:rsidRPr="00DC3BC8">
        <w:t>Directive 1999/31/EC and Amending Directive (EU) 2018/850.</w:t>
      </w:r>
    </w:p>
  </w:footnote>
  <w:footnote w:id="135">
    <w:p w14:paraId="0F24BFC5" w14:textId="738EAD85" w:rsidR="00DC3BC8" w:rsidRPr="00290CEA" w:rsidRDefault="00DC3BC8">
      <w:pPr>
        <w:pStyle w:val="FootnoteText"/>
        <w:rPr>
          <w:lang w:val="pt-PT"/>
        </w:rPr>
      </w:pPr>
      <w:r w:rsidRPr="00290CEA">
        <w:rPr>
          <w:lang w:val="pt-PT"/>
        </w:rPr>
        <w:t>(</w:t>
      </w:r>
      <w:r>
        <w:rPr>
          <w:rStyle w:val="FootnoteReference"/>
        </w:rPr>
        <w:footnoteRef/>
      </w:r>
      <w:r w:rsidRPr="00290CEA">
        <w:rPr>
          <w:lang w:val="pt-PT"/>
        </w:rPr>
        <w:t>)</w:t>
      </w:r>
      <w:r w:rsidRPr="00290CEA">
        <w:rPr>
          <w:lang w:val="pt-PT"/>
        </w:rPr>
        <w:tab/>
        <w:t>Directive 2008/98/EC.</w:t>
      </w:r>
    </w:p>
  </w:footnote>
  <w:footnote w:id="136">
    <w:p w14:paraId="48F5EDC0" w14:textId="53FE6B3F" w:rsidR="00A1313E" w:rsidRPr="00C90870" w:rsidRDefault="00A1313E">
      <w:pPr>
        <w:pStyle w:val="FootnoteText"/>
        <w:rPr>
          <w:lang w:val="pt-PT"/>
        </w:rPr>
      </w:pPr>
      <w:r w:rsidRPr="00C90870">
        <w:rPr>
          <w:lang w:val="pt-PT"/>
        </w:rPr>
        <w:t>(</w:t>
      </w:r>
      <w:r>
        <w:rPr>
          <w:rStyle w:val="FootnoteReference"/>
        </w:rPr>
        <w:footnoteRef/>
      </w:r>
      <w:r w:rsidRPr="00C90870">
        <w:rPr>
          <w:lang w:val="pt-PT"/>
        </w:rPr>
        <w:t>)</w:t>
      </w:r>
      <w:r w:rsidRPr="00C90870">
        <w:rPr>
          <w:lang w:val="pt-PT"/>
        </w:rPr>
        <w:tab/>
      </w:r>
      <w:r w:rsidR="0076141F" w:rsidRPr="00C90870">
        <w:rPr>
          <w:lang w:val="pt-PT"/>
        </w:rPr>
        <w:t>COM(</w:t>
      </w:r>
      <w:r w:rsidRPr="00C90870">
        <w:rPr>
          <w:lang w:val="pt-PT"/>
        </w:rPr>
        <w:t>2021) 805 final.</w:t>
      </w:r>
    </w:p>
  </w:footnote>
  <w:footnote w:id="137">
    <w:p w14:paraId="113AE84B" w14:textId="2B5CF946" w:rsidR="00A1313E" w:rsidRPr="00C90870" w:rsidRDefault="00A1313E">
      <w:pPr>
        <w:pStyle w:val="FootnoteText"/>
        <w:rPr>
          <w:lang w:val="pt-PT"/>
        </w:rPr>
      </w:pPr>
      <w:r w:rsidRPr="00C90870">
        <w:rPr>
          <w:lang w:val="pt-PT"/>
        </w:rPr>
        <w:t>(</w:t>
      </w:r>
      <w:r>
        <w:rPr>
          <w:rStyle w:val="FootnoteReference"/>
        </w:rPr>
        <w:footnoteRef/>
      </w:r>
      <w:r w:rsidRPr="00C90870">
        <w:rPr>
          <w:lang w:val="pt-PT"/>
        </w:rPr>
        <w:t>)</w:t>
      </w:r>
      <w:r w:rsidRPr="00C90870">
        <w:rPr>
          <w:lang w:val="pt-PT"/>
        </w:rPr>
        <w:tab/>
        <w:t>COM(2022) 541 final.</w:t>
      </w:r>
    </w:p>
  </w:footnote>
  <w:footnote w:id="138">
    <w:p w14:paraId="0A91269C" w14:textId="5A124222" w:rsidR="00A1313E" w:rsidRPr="00415FEC" w:rsidRDefault="00A1313E">
      <w:pPr>
        <w:pStyle w:val="FootnoteText"/>
      </w:pPr>
      <w:r w:rsidRPr="00415FEC">
        <w:t>(</w:t>
      </w:r>
      <w:r>
        <w:rPr>
          <w:rStyle w:val="FootnoteReference"/>
        </w:rPr>
        <w:footnoteRef/>
      </w:r>
      <w:r w:rsidRPr="00415FEC">
        <w:t>)</w:t>
      </w:r>
      <w:r w:rsidRPr="00415FEC">
        <w:tab/>
        <w:t>COM(2022) 150 final.</w:t>
      </w:r>
    </w:p>
  </w:footnote>
  <w:footnote w:id="139">
    <w:p w14:paraId="2380B62D" w14:textId="3FE66F85" w:rsidR="00CC3514" w:rsidRPr="00200731" w:rsidRDefault="00CC3514">
      <w:pPr>
        <w:pStyle w:val="FootnoteText"/>
        <w:rPr>
          <w:lang w:val="en-IE"/>
        </w:rPr>
      </w:pPr>
      <w:r>
        <w:t>(</w:t>
      </w:r>
      <w:r>
        <w:rPr>
          <w:rStyle w:val="FootnoteReference"/>
        </w:rPr>
        <w:footnoteRef/>
      </w:r>
      <w:r>
        <w:t>)</w:t>
      </w:r>
      <w:r>
        <w:tab/>
      </w:r>
      <w:r w:rsidR="00200731">
        <w:t>European Environment Agency, ‘</w:t>
      </w:r>
      <w:r w:rsidR="00200731" w:rsidRPr="00200731">
        <w:t>Agricultural emissions and projected emissions by EU Member State</w:t>
      </w:r>
      <w:r w:rsidR="00200731">
        <w:t xml:space="preserve">’, </w:t>
      </w:r>
      <w:hyperlink r:id="rId6" w:history="1">
        <w:r w:rsidR="00200731" w:rsidRPr="007336B4">
          <w:rPr>
            <w:rStyle w:val="Hyperlink"/>
          </w:rPr>
          <w:t>https://www.eea.europa.eu/ds_resolveuid/KPQBZ3Y6T9</w:t>
        </w:r>
      </w:hyperlink>
      <w:r w:rsidR="00200731">
        <w:t xml:space="preserve"> , 2022. </w:t>
      </w:r>
    </w:p>
  </w:footnote>
  <w:footnote w:id="140">
    <w:p w14:paraId="67869C57" w14:textId="0D5EE9B8" w:rsidR="00A1313E" w:rsidRPr="00EF7B89" w:rsidRDefault="00A1313E" w:rsidP="00747C2A">
      <w:pPr>
        <w:pStyle w:val="FootnoteText"/>
        <w:rPr>
          <w:lang w:val="en-IE"/>
        </w:rPr>
      </w:pPr>
      <w:r>
        <w:t>(</w:t>
      </w:r>
      <w:r>
        <w:rPr>
          <w:rStyle w:val="FootnoteReference"/>
        </w:rPr>
        <w:footnoteRef/>
      </w:r>
      <w:r>
        <w:t>)</w:t>
      </w:r>
      <w:r>
        <w:tab/>
        <w:t xml:space="preserve"> UNFCCC inventory data 2023</w:t>
      </w:r>
    </w:p>
  </w:footnote>
  <w:footnote w:id="141">
    <w:p w14:paraId="75C0AAA4" w14:textId="250A4219" w:rsidR="00A1313E" w:rsidRPr="00554271" w:rsidRDefault="00A1313E">
      <w:pPr>
        <w:pStyle w:val="FootnoteText"/>
        <w:rPr>
          <w:lang w:val="en-IE"/>
        </w:rPr>
      </w:pPr>
      <w:r>
        <w:t>(</w:t>
      </w:r>
      <w:r>
        <w:rPr>
          <w:rStyle w:val="FootnoteReference"/>
        </w:rPr>
        <w:footnoteRef/>
      </w:r>
      <w:r>
        <w:t>)</w:t>
      </w:r>
      <w:r>
        <w:tab/>
      </w:r>
      <w:r w:rsidRPr="00B508D4">
        <w:t xml:space="preserve">Wall, E., Simm, G., &amp; Moran, D. (2010). Developing breeding schemes to assist mitigation of greenhouse gas emissions. Animal, 4(3), 366-376. </w:t>
      </w:r>
    </w:p>
  </w:footnote>
  <w:footnote w:id="142">
    <w:p w14:paraId="3E053A23" w14:textId="4E04662C" w:rsidR="00A1313E" w:rsidRPr="00BD5D9D" w:rsidRDefault="00A1313E">
      <w:pPr>
        <w:pStyle w:val="FootnoteText"/>
        <w:rPr>
          <w:lang w:val="en-IE"/>
        </w:rPr>
      </w:pPr>
      <w:r>
        <w:t>(</w:t>
      </w:r>
      <w:r>
        <w:rPr>
          <w:rStyle w:val="FootnoteReference"/>
        </w:rPr>
        <w:footnoteRef/>
      </w:r>
      <w:r>
        <w:t>)</w:t>
      </w:r>
      <w:r>
        <w:tab/>
        <w:t xml:space="preserve">for overview on precision agriculture technologies: </w:t>
      </w:r>
      <w:r w:rsidRPr="00BD5D9D">
        <w:t>Balafoutis, A.; Beck, B.; Fountas, S.; Vangeyte, J.; Wal, T.V.d.; Soto, I.; Gómez-Barbero, M.; Barnes, A.; Eory, V. Precision Agriculture Technologies Positively Contributing to GHG Emissions Mitigation, Farm Productivity and Economics. Sustainability 2017, 9, 1339.</w:t>
      </w:r>
    </w:p>
  </w:footnote>
  <w:footnote w:id="143">
    <w:p w14:paraId="6AC644E6" w14:textId="72CDEA33" w:rsidR="00A1313E" w:rsidRPr="00554271" w:rsidRDefault="00A1313E">
      <w:pPr>
        <w:pStyle w:val="FootnoteText"/>
        <w:rPr>
          <w:lang w:val="en-IE"/>
        </w:rPr>
      </w:pPr>
      <w:r>
        <w:t>(</w:t>
      </w:r>
      <w:r>
        <w:rPr>
          <w:rStyle w:val="FootnoteReference"/>
        </w:rPr>
        <w:footnoteRef/>
      </w:r>
      <w:r>
        <w:t>)</w:t>
      </w:r>
      <w:r>
        <w:tab/>
      </w:r>
      <w:r w:rsidRPr="001F0C79">
        <w:t>Panchasara, H.; Samrat, N.H.; Islam, N. Greenhouse Gas Emissions Trends and Mitigation Measures in Australian Agriculture Sector—A Review. Agriculture 2021, 11, 85.</w:t>
      </w:r>
    </w:p>
  </w:footnote>
  <w:footnote w:id="144">
    <w:p w14:paraId="5E18EBFB" w14:textId="0A30B338" w:rsidR="00A1313E" w:rsidRPr="00BD5D9D" w:rsidRDefault="00A1313E">
      <w:pPr>
        <w:pStyle w:val="FootnoteText"/>
        <w:rPr>
          <w:lang w:val="en-IE"/>
        </w:rPr>
      </w:pPr>
      <w:r>
        <w:t>(</w:t>
      </w:r>
      <w:r>
        <w:rPr>
          <w:rStyle w:val="FootnoteReference"/>
        </w:rPr>
        <w:footnoteRef/>
      </w:r>
      <w:r>
        <w:t>)</w:t>
      </w:r>
      <w:r>
        <w:tab/>
      </w:r>
      <w:r w:rsidRPr="00897DA0">
        <w:t>COM(2020) 381 final</w:t>
      </w:r>
      <w:r w:rsidR="008B64A6">
        <w:t>.</w:t>
      </w:r>
    </w:p>
  </w:footnote>
  <w:footnote w:id="145">
    <w:p w14:paraId="5469C0A5" w14:textId="61C9EF2B" w:rsidR="00DD195C" w:rsidRPr="001B4A91" w:rsidRDefault="00DD195C">
      <w:pPr>
        <w:pStyle w:val="FootnoteText"/>
        <w:rPr>
          <w:lang w:val="en-US"/>
        </w:rPr>
      </w:pPr>
      <w:r>
        <w:t>(</w:t>
      </w:r>
      <w:r>
        <w:rPr>
          <w:rStyle w:val="FootnoteReference"/>
        </w:rPr>
        <w:footnoteRef/>
      </w:r>
      <w:r>
        <w:t>)</w:t>
      </w:r>
      <w:r>
        <w:tab/>
      </w:r>
      <w:r w:rsidRPr="00DD195C">
        <w:t>Secondary agriculture is defined as processing and adding value to the basic agriculture commodities (O’Shea et al. Dietary fibre and phytochemical characteristics of fruit and vegetable by-products and their recent applications as novel ingredients in food products. Innov Food Sci Emerg Technol 2012, 16).</w:t>
      </w:r>
    </w:p>
  </w:footnote>
  <w:footnote w:id="146">
    <w:p w14:paraId="0409E6CC" w14:textId="670ED04B" w:rsidR="00CC6734" w:rsidRPr="00CC6734" w:rsidRDefault="00CC6734">
      <w:pPr>
        <w:pStyle w:val="FootnoteText"/>
        <w:rPr>
          <w:lang w:val="en-IE"/>
        </w:rPr>
      </w:pPr>
      <w:r>
        <w:t>(</w:t>
      </w:r>
      <w:r>
        <w:rPr>
          <w:rStyle w:val="FootnoteReference"/>
        </w:rPr>
        <w:footnoteRef/>
      </w:r>
      <w:r>
        <w:t>)</w:t>
      </w:r>
      <w:r>
        <w:tab/>
      </w:r>
      <w:r w:rsidR="00035900">
        <w:t xml:space="preserve"> </w:t>
      </w:r>
      <w:r>
        <w:t>Mc Kinsey &amp; Company, ‘The agricultural transition: Building a sustainable future’, 2023.</w:t>
      </w:r>
    </w:p>
  </w:footnote>
  <w:footnote w:id="147">
    <w:p w14:paraId="4902BE18" w14:textId="7785C552" w:rsidR="001B6EE0" w:rsidRPr="00AE2077" w:rsidRDefault="001B6EE0">
      <w:pPr>
        <w:pStyle w:val="FootnoteText"/>
        <w:rPr>
          <w:lang w:val="en-IE"/>
        </w:rPr>
      </w:pPr>
      <w:r>
        <w:t>(</w:t>
      </w:r>
      <w:r>
        <w:rPr>
          <w:rStyle w:val="FootnoteReference"/>
        </w:rPr>
        <w:footnoteRef/>
      </w:r>
      <w:r>
        <w:t>)</w:t>
      </w:r>
      <w:r>
        <w:tab/>
      </w:r>
      <w:r w:rsidR="00035900">
        <w:t xml:space="preserve"> I</w:t>
      </w:r>
      <w:r>
        <w:t xml:space="preserve">bid. </w:t>
      </w:r>
    </w:p>
  </w:footnote>
  <w:footnote w:id="148">
    <w:p w14:paraId="15AB0FE6" w14:textId="4DA451A7" w:rsidR="00A1313E" w:rsidRPr="000354EB" w:rsidRDefault="00A1313E" w:rsidP="00165F4C">
      <w:pPr>
        <w:pStyle w:val="FootnoteText"/>
        <w:rPr>
          <w:lang w:val="en-US"/>
        </w:rPr>
      </w:pPr>
      <w:r>
        <w:t>(</w:t>
      </w:r>
      <w:r>
        <w:rPr>
          <w:rStyle w:val="FootnoteReference"/>
        </w:rPr>
        <w:footnoteRef/>
      </w:r>
      <w:r>
        <w:t>)</w:t>
      </w:r>
      <w:r>
        <w:tab/>
      </w:r>
      <w:r w:rsidR="00386558">
        <w:t xml:space="preserve">The Agricultural Outlook 2022 is assumed to reflect the Common Agricultural Policy at the time of publication in 2022.; </w:t>
      </w:r>
      <w:r w:rsidR="00745AB8">
        <w:t>European Commission, DG Agriculture and Rural Development, ‘</w:t>
      </w:r>
      <w:r w:rsidRPr="000354EB">
        <w:t>EU agricultural outlook for markets, income and environment, 2022-</w:t>
      </w:r>
      <w:r w:rsidR="00745AB8">
        <w:t xml:space="preserve">2032’, </w:t>
      </w:r>
      <w:r w:rsidRPr="000354EB">
        <w:t>Brussels</w:t>
      </w:r>
      <w:r w:rsidR="00745AB8">
        <w:t>, 2022</w:t>
      </w:r>
      <w:r w:rsidRPr="000354EB">
        <w:t>.</w:t>
      </w:r>
    </w:p>
  </w:footnote>
  <w:footnote w:id="149">
    <w:p w14:paraId="59082716" w14:textId="49ADC353" w:rsidR="00A1313E" w:rsidRPr="000354EB" w:rsidRDefault="00A1313E" w:rsidP="00165F4C">
      <w:pPr>
        <w:pStyle w:val="FootnoteText"/>
        <w:rPr>
          <w:lang w:val="en-US"/>
        </w:rPr>
      </w:pPr>
      <w:r>
        <w:t>(</w:t>
      </w:r>
      <w:r>
        <w:rPr>
          <w:rStyle w:val="FootnoteReference"/>
        </w:rPr>
        <w:footnoteRef/>
      </w:r>
      <w:r>
        <w:t>)</w:t>
      </w:r>
      <w:r>
        <w:tab/>
        <w:t xml:space="preserve"> </w:t>
      </w:r>
      <w:r w:rsidRPr="000354EB">
        <w:t>COM(2022) 156 final.</w:t>
      </w:r>
      <w:r>
        <w:t xml:space="preserve"> Note that t</w:t>
      </w:r>
      <w:r w:rsidRPr="00C45C7C">
        <w:t xml:space="preserve">his impact assessment takes into account </w:t>
      </w:r>
      <w:r>
        <w:t xml:space="preserve">the </w:t>
      </w:r>
      <w:r w:rsidRPr="00C45C7C">
        <w:t xml:space="preserve">changes </w:t>
      </w:r>
      <w:r>
        <w:t>made to</w:t>
      </w:r>
      <w:r w:rsidRPr="00C45C7C">
        <w:t xml:space="preserve"> the European Commission’s proposal during the co-decision process up to July 2023.</w:t>
      </w:r>
    </w:p>
  </w:footnote>
  <w:footnote w:id="150">
    <w:p w14:paraId="1019A0A8" w14:textId="77777777" w:rsidR="00611838" w:rsidRDefault="00611838" w:rsidP="00611838">
      <w:pPr>
        <w:pStyle w:val="FootnoteText"/>
        <w:rPr>
          <w:lang w:val="en-US"/>
        </w:rPr>
      </w:pPr>
      <w:r>
        <w:t>(</w:t>
      </w:r>
      <w:r>
        <w:rPr>
          <w:rStyle w:val="FootnoteReference"/>
        </w:rPr>
        <w:footnoteRef/>
      </w:r>
      <w:r>
        <w:t>)</w:t>
      </w:r>
      <w:r>
        <w:tab/>
        <w:t xml:space="preserve"> COM(2020) 381 final.</w:t>
      </w:r>
    </w:p>
  </w:footnote>
  <w:footnote w:id="151">
    <w:p w14:paraId="2F148103" w14:textId="40807D19" w:rsidR="00CA7023" w:rsidRPr="00CA7023" w:rsidRDefault="00CA7023">
      <w:pPr>
        <w:pStyle w:val="FootnoteText"/>
        <w:rPr>
          <w:lang w:val="en-US"/>
        </w:rPr>
      </w:pPr>
      <w:r>
        <w:t>(</w:t>
      </w:r>
      <w:r>
        <w:rPr>
          <w:rStyle w:val="FootnoteReference"/>
        </w:rPr>
        <w:footnoteRef/>
      </w:r>
      <w:r>
        <w:t>)</w:t>
      </w:r>
      <w:r>
        <w:tab/>
        <w:t xml:space="preserve"> Marginal abatement costs are defined using the </w:t>
      </w:r>
      <w:r w:rsidRPr="00CA7023">
        <w:rPr>
          <w:i/>
          <w:iCs/>
        </w:rPr>
        <w:t>opportunity cost</w:t>
      </w:r>
      <w:r>
        <w:t xml:space="preserve"> approach.</w:t>
      </w:r>
    </w:p>
  </w:footnote>
  <w:footnote w:id="152">
    <w:p w14:paraId="10E19754" w14:textId="0448FE19" w:rsidR="00A1313E" w:rsidRPr="00F528F4" w:rsidRDefault="00A1313E">
      <w:pPr>
        <w:pStyle w:val="FootnoteText"/>
        <w:rPr>
          <w:lang w:val="en-US"/>
        </w:rPr>
      </w:pPr>
      <w:r>
        <w:t>(</w:t>
      </w:r>
      <w:r>
        <w:rPr>
          <w:rStyle w:val="FootnoteReference"/>
        </w:rPr>
        <w:footnoteRef/>
      </w:r>
      <w:r>
        <w:t>)</w:t>
      </w:r>
      <w:r>
        <w:tab/>
        <w:t xml:space="preserve"> </w:t>
      </w:r>
      <w:r w:rsidRPr="00F528F4">
        <w:t>Note that even in cases where marginal abatement costs are nearly zero, policy intervention is often needed to overcome market barriers, lack of information and split incentives.</w:t>
      </w:r>
    </w:p>
  </w:footnote>
  <w:footnote w:id="153">
    <w:p w14:paraId="515194AE" w14:textId="6C554A5E" w:rsidR="00942275" w:rsidRPr="00942275" w:rsidRDefault="00942275">
      <w:pPr>
        <w:pStyle w:val="FootnoteText"/>
        <w:rPr>
          <w:lang w:val="en-US"/>
        </w:rPr>
      </w:pPr>
      <w:r>
        <w:t>(</w:t>
      </w:r>
      <w:r>
        <w:rPr>
          <w:rStyle w:val="FootnoteReference"/>
        </w:rPr>
        <w:footnoteRef/>
      </w:r>
      <w:r>
        <w:t>)</w:t>
      </w:r>
      <w:r>
        <w:tab/>
        <w:t xml:space="preserve"> I</w:t>
      </w:r>
      <w:r w:rsidRPr="00942275">
        <w:t>ncluding CO2, CH4 and N2O emissions</w:t>
      </w:r>
      <w:r w:rsidR="00FD71B9">
        <w:t xml:space="preserve"> </w:t>
      </w:r>
      <w:r w:rsidR="00822A42">
        <w:t>in</w:t>
      </w:r>
      <w:r w:rsidR="00FD71B9">
        <w:t xml:space="preserve"> category 3 of the UNFCCC inventory</w:t>
      </w:r>
      <w:r>
        <w:t>.</w:t>
      </w:r>
    </w:p>
  </w:footnote>
  <w:footnote w:id="154">
    <w:p w14:paraId="0D1A292D" w14:textId="4268EC1A" w:rsidR="00613FB4" w:rsidRPr="00613FB4" w:rsidRDefault="00613FB4">
      <w:pPr>
        <w:pStyle w:val="FootnoteText"/>
        <w:rPr>
          <w:lang w:val="en-US"/>
        </w:rPr>
      </w:pPr>
      <w:r>
        <w:t>(</w:t>
      </w:r>
      <w:r>
        <w:rPr>
          <w:rStyle w:val="FootnoteReference"/>
        </w:rPr>
        <w:footnoteRef/>
      </w:r>
      <w:r>
        <w:t>)</w:t>
      </w:r>
      <w:r>
        <w:tab/>
        <w:t xml:space="preserve"> </w:t>
      </w:r>
      <w:r w:rsidR="00D63A80">
        <w:t>According to the UNFCCC inventory, around 93% of the GHG emissions from livestock in the EU in 2021 were CH4 emissions, whereas the remainder (7%) were N2O emissions.</w:t>
      </w:r>
    </w:p>
  </w:footnote>
  <w:footnote w:id="155">
    <w:p w14:paraId="0A9E0F40" w14:textId="458498CD" w:rsidR="00F80219" w:rsidRPr="00F80219" w:rsidRDefault="00F80219">
      <w:pPr>
        <w:pStyle w:val="FootnoteText"/>
        <w:rPr>
          <w:lang w:val="en-US"/>
        </w:rPr>
      </w:pPr>
      <w:r>
        <w:t>(</w:t>
      </w:r>
      <w:r>
        <w:rPr>
          <w:rStyle w:val="FootnoteReference"/>
        </w:rPr>
        <w:footnoteRef/>
      </w:r>
      <w:r>
        <w:t>)</w:t>
      </w:r>
      <w:r>
        <w:tab/>
        <w:t xml:space="preserve"> </w:t>
      </w:r>
      <w:r w:rsidR="0086296F" w:rsidRPr="0086296F">
        <w:t xml:space="preserve">According to the UNFCCC inventory, </w:t>
      </w:r>
      <w:r w:rsidR="0086296F">
        <w:t>100</w:t>
      </w:r>
      <w:r w:rsidR="0086296F" w:rsidRPr="0086296F">
        <w:t xml:space="preserve">% of the GHG emissions from </w:t>
      </w:r>
      <w:r w:rsidR="0086296F">
        <w:t>agricultural soils</w:t>
      </w:r>
      <w:r w:rsidR="0086296F" w:rsidRPr="0086296F">
        <w:t xml:space="preserve"> in the EU in 2021 were N2O emissions.</w:t>
      </w:r>
    </w:p>
  </w:footnote>
  <w:footnote w:id="156">
    <w:p w14:paraId="1D49D445" w14:textId="428B3278" w:rsidR="00A1313E" w:rsidRPr="00563E97" w:rsidRDefault="00A1313E">
      <w:pPr>
        <w:pStyle w:val="FootnoteText"/>
        <w:rPr>
          <w:sz w:val="18"/>
          <w:szCs w:val="18"/>
          <w:lang w:val="en-IE"/>
        </w:rPr>
      </w:pPr>
      <w:r>
        <w:t>(</w:t>
      </w:r>
      <w:r>
        <w:rPr>
          <w:rStyle w:val="FootnoteReference"/>
        </w:rPr>
        <w:footnoteRef/>
      </w:r>
      <w:r>
        <w:t>)</w:t>
      </w:r>
      <w:r w:rsidRPr="00563E97">
        <w:rPr>
          <w:sz w:val="18"/>
          <w:szCs w:val="18"/>
        </w:rPr>
        <w:tab/>
      </w:r>
      <w:r w:rsidR="00156323" w:rsidRPr="00563E97">
        <w:rPr>
          <w:sz w:val="18"/>
          <w:szCs w:val="18"/>
        </w:rPr>
        <w:t>JRC</w:t>
      </w:r>
      <w:r w:rsidR="00156323">
        <w:rPr>
          <w:sz w:val="18"/>
          <w:szCs w:val="18"/>
        </w:rPr>
        <w:t>,</w:t>
      </w:r>
      <w:r w:rsidR="00156323" w:rsidRPr="00563E97">
        <w:rPr>
          <w:sz w:val="18"/>
          <w:szCs w:val="18"/>
        </w:rPr>
        <w:t xml:space="preserve"> ‘Biomass production, supply, uses and flows in the European Union’, </w:t>
      </w:r>
      <w:r w:rsidR="00156323" w:rsidRPr="00563E97">
        <w:rPr>
          <w:i/>
          <w:sz w:val="18"/>
          <w:szCs w:val="18"/>
        </w:rPr>
        <w:t>JRC Science for policy report,</w:t>
      </w:r>
      <w:r w:rsidR="00156323" w:rsidRPr="00563E97">
        <w:rPr>
          <w:sz w:val="18"/>
          <w:szCs w:val="18"/>
        </w:rPr>
        <w:t xml:space="preserve"> 2023.</w:t>
      </w:r>
    </w:p>
  </w:footnote>
  <w:footnote w:id="157">
    <w:p w14:paraId="34612ADE" w14:textId="77777777" w:rsidR="00597247" w:rsidRPr="00563E97" w:rsidRDefault="00597247" w:rsidP="006F2600">
      <w:pPr>
        <w:pStyle w:val="FootnoteText"/>
        <w:rPr>
          <w:sz w:val="18"/>
          <w:szCs w:val="18"/>
          <w:lang w:val="fr-BE"/>
        </w:rPr>
      </w:pPr>
      <w:r w:rsidRPr="00563E97">
        <w:rPr>
          <w:sz w:val="18"/>
          <w:szCs w:val="18"/>
        </w:rPr>
        <w:t>(</w:t>
      </w:r>
      <w:r w:rsidRPr="00563E97">
        <w:rPr>
          <w:rStyle w:val="FootnoteReference"/>
          <w:sz w:val="18"/>
          <w:szCs w:val="18"/>
        </w:rPr>
        <w:footnoteRef/>
      </w:r>
      <w:r w:rsidRPr="00563E97">
        <w:rPr>
          <w:sz w:val="18"/>
          <w:szCs w:val="18"/>
        </w:rPr>
        <w:t>)</w:t>
      </w:r>
      <w:r w:rsidRPr="00563E97">
        <w:rPr>
          <w:sz w:val="18"/>
          <w:szCs w:val="18"/>
        </w:rPr>
        <w:tab/>
      </w:r>
      <w:r w:rsidRPr="00563E97">
        <w:rPr>
          <w:rStyle w:val="A12"/>
          <w:sz w:val="18"/>
          <w:szCs w:val="18"/>
        </w:rPr>
        <w:t>ICOS ERIC, ‘</w:t>
      </w:r>
      <w:r w:rsidR="006F2600" w:rsidRPr="00563E97">
        <w:rPr>
          <w:rStyle w:val="A12"/>
          <w:sz w:val="18"/>
          <w:szCs w:val="18"/>
        </w:rPr>
        <w:t xml:space="preserve">Forest carbon sinks under pressure’ </w:t>
      </w:r>
      <w:r w:rsidRPr="00563E97">
        <w:rPr>
          <w:rStyle w:val="A12"/>
          <w:i/>
          <w:sz w:val="18"/>
          <w:szCs w:val="18"/>
        </w:rPr>
        <w:t>Fluxes - The European Greenhouse Gas Bulletin Volume 2: Nature-based solutions for net zero.</w:t>
      </w:r>
      <w:r w:rsidRPr="00563E97">
        <w:rPr>
          <w:rStyle w:val="A12"/>
          <w:sz w:val="18"/>
          <w:szCs w:val="18"/>
        </w:rPr>
        <w:t xml:space="preserve"> </w:t>
      </w:r>
      <w:r w:rsidRPr="00563E97">
        <w:rPr>
          <w:rStyle w:val="A12"/>
          <w:sz w:val="18"/>
          <w:szCs w:val="18"/>
          <w:lang w:val="fr-BE"/>
        </w:rPr>
        <w:t>ICOS ERIC, 2023. https://doi.org/10.18160/99JW-2D3S</w:t>
      </w:r>
    </w:p>
  </w:footnote>
  <w:footnote w:id="158">
    <w:p w14:paraId="719EDEDF" w14:textId="3AF722FF" w:rsidR="008E2721" w:rsidRPr="00563E97" w:rsidRDefault="008E2721">
      <w:pPr>
        <w:pStyle w:val="FootnoteText"/>
        <w:rPr>
          <w:sz w:val="18"/>
          <w:szCs w:val="18"/>
          <w:lang w:val="en-IE"/>
        </w:rPr>
      </w:pPr>
      <w:r w:rsidRPr="00563E97">
        <w:rPr>
          <w:sz w:val="18"/>
          <w:szCs w:val="18"/>
          <w:lang w:val="fr-BE"/>
        </w:rPr>
        <w:t>(</w:t>
      </w:r>
      <w:r w:rsidRPr="00563E97">
        <w:rPr>
          <w:rStyle w:val="FootnoteReference"/>
          <w:sz w:val="18"/>
          <w:szCs w:val="18"/>
        </w:rPr>
        <w:footnoteRef/>
      </w:r>
      <w:r w:rsidRPr="00563E97">
        <w:rPr>
          <w:sz w:val="18"/>
          <w:szCs w:val="18"/>
          <w:lang w:val="fr-BE"/>
        </w:rPr>
        <w:t>)</w:t>
      </w:r>
      <w:r w:rsidRPr="00563E97">
        <w:rPr>
          <w:sz w:val="18"/>
          <w:szCs w:val="18"/>
          <w:lang w:val="fr-BE"/>
        </w:rPr>
        <w:tab/>
        <w:t xml:space="preserve">Ceccherini, G., Duveiller, G., Grassi, G. et al. </w:t>
      </w:r>
      <w:r w:rsidRPr="00563E97">
        <w:rPr>
          <w:sz w:val="18"/>
          <w:szCs w:val="18"/>
        </w:rPr>
        <w:t>Abrupt increase in harvested forest area over Europe after 2015. Nature 583, 72–77 (2020). https://doi.org/10.1038/s41586-020-2438-y</w:t>
      </w:r>
    </w:p>
  </w:footnote>
  <w:footnote w:id="159">
    <w:p w14:paraId="0A060144" w14:textId="77777777" w:rsidR="00E24876" w:rsidRPr="00D3348B" w:rsidRDefault="00E24876" w:rsidP="00E24876">
      <w:pPr>
        <w:pStyle w:val="FootnoteText"/>
        <w:rPr>
          <w:lang w:val="en-IE"/>
        </w:rPr>
      </w:pPr>
      <w:r w:rsidRPr="00563E97">
        <w:rPr>
          <w:sz w:val="18"/>
          <w:szCs w:val="18"/>
        </w:rPr>
        <w:t>(</w:t>
      </w:r>
      <w:r w:rsidRPr="00563E97">
        <w:rPr>
          <w:rStyle w:val="FootnoteReference"/>
          <w:sz w:val="18"/>
          <w:szCs w:val="18"/>
        </w:rPr>
        <w:footnoteRef/>
      </w:r>
      <w:r w:rsidRPr="00563E97">
        <w:rPr>
          <w:sz w:val="18"/>
          <w:szCs w:val="18"/>
        </w:rPr>
        <w:t>)</w:t>
      </w:r>
      <w:r w:rsidRPr="00563E97">
        <w:rPr>
          <w:sz w:val="18"/>
          <w:szCs w:val="18"/>
        </w:rPr>
        <w:tab/>
        <w:t>JRC</w:t>
      </w:r>
      <w:r w:rsidR="00B60C1B">
        <w:rPr>
          <w:sz w:val="18"/>
          <w:szCs w:val="18"/>
        </w:rPr>
        <w:t>,</w:t>
      </w:r>
      <w:r w:rsidRPr="00563E97">
        <w:rPr>
          <w:sz w:val="18"/>
          <w:szCs w:val="18"/>
        </w:rPr>
        <w:t xml:space="preserve"> ‘Biomass production, supply, uses and flows in the European Union’, </w:t>
      </w:r>
      <w:r w:rsidR="00F61D09" w:rsidRPr="00563E97">
        <w:rPr>
          <w:i/>
          <w:sz w:val="18"/>
          <w:szCs w:val="18"/>
        </w:rPr>
        <w:t>JRC Science for policy report,</w:t>
      </w:r>
      <w:r w:rsidRPr="00563E97">
        <w:rPr>
          <w:sz w:val="18"/>
          <w:szCs w:val="18"/>
        </w:rPr>
        <w:t xml:space="preserve"> 2023.</w:t>
      </w:r>
    </w:p>
  </w:footnote>
  <w:footnote w:id="160">
    <w:p w14:paraId="45C742D9" w14:textId="1D295125" w:rsidR="00A664C3" w:rsidRPr="000136F2" w:rsidRDefault="00A664C3">
      <w:pPr>
        <w:pStyle w:val="FootnoteText"/>
        <w:rPr>
          <w:lang w:val="en-IE"/>
        </w:rPr>
      </w:pPr>
      <w:r>
        <w:t>(</w:t>
      </w:r>
      <w:r>
        <w:rPr>
          <w:rStyle w:val="FootnoteReference"/>
        </w:rPr>
        <w:footnoteRef/>
      </w:r>
      <w:r>
        <w:t>)</w:t>
      </w:r>
      <w:r>
        <w:tab/>
      </w:r>
      <w:r w:rsidRPr="00AF479A">
        <w:rPr>
          <w:sz w:val="18"/>
          <w:szCs w:val="18"/>
        </w:rPr>
        <w:t>Camia, A., Giuntoli, J., Jonsson, K., Robert, N., Cazzaniga, N., Jasinevičius, G., Avitabile, V., Grassi, G., Barredo Cano, J.I. and Mubareka, S., The use of woody biomass for energy production in the EU, EUR 30548 EN, Publications Office of the European Union, Luxembourg, 2020, ISBN 978-92-76-27867-2, doi:10.2760/831621, JRC122719.</w:t>
      </w:r>
    </w:p>
  </w:footnote>
  <w:footnote w:id="161">
    <w:p w14:paraId="009149EA" w14:textId="014EE5BB" w:rsidR="000309C8" w:rsidRPr="000136F2" w:rsidRDefault="007204BD">
      <w:pPr>
        <w:pStyle w:val="FootnoteText"/>
        <w:rPr>
          <w:lang w:val="en-IE"/>
        </w:rPr>
      </w:pPr>
      <w:r>
        <w:t>(</w:t>
      </w:r>
      <w:r>
        <w:rPr>
          <w:rStyle w:val="FootnoteReference"/>
        </w:rPr>
        <w:footnoteRef/>
      </w:r>
      <w:r>
        <w:t xml:space="preserve">) </w:t>
      </w:r>
      <w:r w:rsidRPr="00AF479A">
        <w:rPr>
          <w:sz w:val="18"/>
          <w:szCs w:val="18"/>
          <w:lang w:val="en-IE"/>
        </w:rPr>
        <w:t>“Final” demand for bioenergy includes here bioenergy used in final energy consumption sectors (industry, transport, buildings, agriculture, services), in international aviation and maritime and as input to the electiricity and district heating. It does not consider transformation process losses to produce biofuels, biogas or biomethane.</w:t>
      </w:r>
      <w:r w:rsidRPr="00AF479A">
        <w:rPr>
          <w:sz w:val="18"/>
          <w:szCs w:val="18"/>
        </w:rPr>
        <w:tab/>
      </w:r>
    </w:p>
  </w:footnote>
  <w:footnote w:id="162">
    <w:p w14:paraId="13A4AF6F" w14:textId="5E52D34F" w:rsidR="008F761F" w:rsidRPr="008F761F" w:rsidRDefault="008F761F">
      <w:pPr>
        <w:pStyle w:val="FootnoteText"/>
        <w:rPr>
          <w:lang w:val="en-IE"/>
        </w:rPr>
      </w:pPr>
      <w:r>
        <w:t>(</w:t>
      </w:r>
      <w:r>
        <w:rPr>
          <w:rStyle w:val="FootnoteReference"/>
        </w:rPr>
        <w:footnoteRef/>
      </w:r>
      <w:r>
        <w:t>)</w:t>
      </w:r>
      <w:r>
        <w:tab/>
        <w:t xml:space="preserve"> Forest stemwood </w:t>
      </w:r>
      <w:r w:rsidR="00012C3F">
        <w:t xml:space="preserve">for bioenergy </w:t>
      </w:r>
      <w:r>
        <w:t xml:space="preserve">can be defined as fuelwood and usually consists of roundwood of quality that is in general not suitable for </w:t>
      </w:r>
      <w:r w:rsidR="00D37387">
        <w:t>other</w:t>
      </w:r>
      <w:r>
        <w:t xml:space="preserve"> purposes. It </w:t>
      </w:r>
      <w:r w:rsidR="00D37387">
        <w:t xml:space="preserve">is harvested directly from forests. </w:t>
      </w:r>
    </w:p>
  </w:footnote>
  <w:footnote w:id="163">
    <w:p w14:paraId="405395E2" w14:textId="172DF82E" w:rsidR="00EF6BDA" w:rsidRPr="00534E10" w:rsidRDefault="00EF6BDA" w:rsidP="00EF6BDA">
      <w:pPr>
        <w:pStyle w:val="FootnoteText"/>
        <w:rPr>
          <w:lang w:val="en-IE"/>
        </w:rPr>
      </w:pPr>
      <w:r>
        <w:t>(</w:t>
      </w:r>
      <w:r>
        <w:rPr>
          <w:rStyle w:val="FootnoteReference"/>
        </w:rPr>
        <w:footnoteRef/>
      </w:r>
      <w:r>
        <w:t>)</w:t>
      </w:r>
      <w:r>
        <w:tab/>
        <w:t xml:space="preserve"> Future analyses may </w:t>
      </w:r>
      <w:r w:rsidR="00F45415">
        <w:t>assume other</w:t>
      </w:r>
      <w:r>
        <w:t xml:space="preserve"> supply levels of biomass to stay within the sustainability boundaries, in view of the on-going scientific debate.</w:t>
      </w:r>
    </w:p>
  </w:footnote>
  <w:footnote w:id="164">
    <w:p w14:paraId="65B36941" w14:textId="77777777" w:rsidR="00A1313E" w:rsidRPr="00414D09" w:rsidRDefault="00A1313E" w:rsidP="00414D09">
      <w:pPr>
        <w:pStyle w:val="FootnoteText"/>
        <w:rPr>
          <w:lang w:val="en-IE"/>
        </w:rPr>
      </w:pPr>
      <w:r>
        <w:t>(</w:t>
      </w:r>
      <w:r>
        <w:rPr>
          <w:rStyle w:val="FootnoteReference"/>
        </w:rPr>
        <w:footnoteRef/>
      </w:r>
      <w:r>
        <w:t>)</w:t>
      </w:r>
      <w:r>
        <w:tab/>
        <w:t xml:space="preserve">Korosuo, A. et al., ‘The role of forests in the EU climate policy: are we on the right track?’, </w:t>
      </w:r>
      <w:r w:rsidRPr="00414D09">
        <w:rPr>
          <w:i/>
          <w:iCs/>
        </w:rPr>
        <w:t>Carbon Balance and Management</w:t>
      </w:r>
      <w:r>
        <w:t xml:space="preserve">, </w:t>
      </w:r>
      <w:r w:rsidRPr="00414D09">
        <w:t>18, 15</w:t>
      </w:r>
      <w:r>
        <w:t xml:space="preserve">, 2023. </w:t>
      </w:r>
    </w:p>
  </w:footnote>
  <w:footnote w:id="165">
    <w:p w14:paraId="4DD16186" w14:textId="3D670E37" w:rsidR="00894127" w:rsidRPr="00B95DB5" w:rsidRDefault="00894127" w:rsidP="00894127">
      <w:pPr>
        <w:pStyle w:val="FootnoteText"/>
        <w:rPr>
          <w:lang w:val="en-IE"/>
        </w:rPr>
      </w:pPr>
      <w:r>
        <w:t>(</w:t>
      </w:r>
      <w:r>
        <w:rPr>
          <w:rStyle w:val="FootnoteReference"/>
        </w:rPr>
        <w:footnoteRef/>
      </w:r>
      <w:r>
        <w:t xml:space="preserve">) </w:t>
      </w:r>
      <w:r w:rsidR="00156323" w:rsidRPr="00563E97">
        <w:rPr>
          <w:sz w:val="18"/>
          <w:szCs w:val="18"/>
        </w:rPr>
        <w:t>JRC</w:t>
      </w:r>
      <w:r w:rsidR="00156323">
        <w:rPr>
          <w:sz w:val="18"/>
          <w:szCs w:val="18"/>
        </w:rPr>
        <w:t>,</w:t>
      </w:r>
      <w:r w:rsidR="00156323" w:rsidRPr="00563E97">
        <w:rPr>
          <w:sz w:val="18"/>
          <w:szCs w:val="18"/>
        </w:rPr>
        <w:t xml:space="preserve"> ‘Biomass production, supply, uses and flows in the European Union’, </w:t>
      </w:r>
      <w:r w:rsidR="00156323" w:rsidRPr="00563E97">
        <w:rPr>
          <w:i/>
          <w:sz w:val="18"/>
          <w:szCs w:val="18"/>
        </w:rPr>
        <w:t>JRC Science for policy report,</w:t>
      </w:r>
      <w:r w:rsidR="00156323" w:rsidRPr="00563E97">
        <w:rPr>
          <w:sz w:val="18"/>
          <w:szCs w:val="18"/>
        </w:rPr>
        <w:t xml:space="preserve"> 2023.</w:t>
      </w:r>
    </w:p>
  </w:footnote>
  <w:footnote w:id="166">
    <w:p w14:paraId="2D5FC93E" w14:textId="359926ED" w:rsidR="00CD7F7F" w:rsidRPr="008E5536" w:rsidRDefault="00CD7F7F" w:rsidP="00CD7F7F">
      <w:pPr>
        <w:pStyle w:val="FootnoteText"/>
        <w:rPr>
          <w:lang w:val="en-IE"/>
        </w:rPr>
      </w:pPr>
      <w:r>
        <w:t>(</w:t>
      </w:r>
      <w:r>
        <w:rPr>
          <w:rStyle w:val="FootnoteReference"/>
        </w:rPr>
        <w:footnoteRef/>
      </w:r>
      <w:r>
        <w:t>)</w:t>
      </w:r>
      <w:r>
        <w:tab/>
      </w:r>
      <w:r w:rsidR="00156323" w:rsidRPr="00563E97">
        <w:rPr>
          <w:sz w:val="18"/>
          <w:szCs w:val="18"/>
        </w:rPr>
        <w:t>JRC</w:t>
      </w:r>
      <w:r w:rsidR="00156323">
        <w:rPr>
          <w:sz w:val="18"/>
          <w:szCs w:val="18"/>
        </w:rPr>
        <w:t>,</w:t>
      </w:r>
      <w:r w:rsidR="00156323" w:rsidRPr="00563E97">
        <w:rPr>
          <w:sz w:val="18"/>
          <w:szCs w:val="18"/>
        </w:rPr>
        <w:t xml:space="preserve"> ‘Biomass production, supply, uses and flows in the European Union’, </w:t>
      </w:r>
      <w:r w:rsidR="00156323" w:rsidRPr="00563E97">
        <w:rPr>
          <w:i/>
          <w:sz w:val="18"/>
          <w:szCs w:val="18"/>
        </w:rPr>
        <w:t>JRC Science for policy report,</w:t>
      </w:r>
      <w:r w:rsidR="00156323" w:rsidRPr="00563E97">
        <w:rPr>
          <w:sz w:val="18"/>
          <w:szCs w:val="18"/>
        </w:rPr>
        <w:t xml:space="preserve"> 2023.</w:t>
      </w:r>
    </w:p>
  </w:footnote>
  <w:footnote w:id="167">
    <w:p w14:paraId="2900379D" w14:textId="2464D9C8" w:rsidR="003D0078" w:rsidRPr="007C1471" w:rsidRDefault="003D0078">
      <w:pPr>
        <w:pStyle w:val="FootnoteText"/>
        <w:rPr>
          <w:lang w:val="en-IE"/>
        </w:rPr>
      </w:pPr>
      <w:r>
        <w:t>(</w:t>
      </w:r>
      <w:r>
        <w:rPr>
          <w:rStyle w:val="FootnoteReference"/>
        </w:rPr>
        <w:footnoteRef/>
      </w:r>
      <w:r>
        <w:t>)</w:t>
      </w:r>
      <w:r>
        <w:tab/>
        <w:t xml:space="preserve"> The scenarios assume a </w:t>
      </w:r>
      <w:r w:rsidR="008B2B0B">
        <w:t>marginal</w:t>
      </w:r>
      <w:r>
        <w:t xml:space="preserve"> mitigation cost covered for additional nature-based removals of EUR 5</w:t>
      </w:r>
      <w:r w:rsidR="008B2B0B">
        <w:t>0</w:t>
      </w:r>
      <w:r>
        <w:t xml:space="preserve"> for S2, S3, LIFE and no mitigation costs covered in S1. For details see Annex 6, section 3.2.</w:t>
      </w:r>
    </w:p>
  </w:footnote>
  <w:footnote w:id="168">
    <w:p w14:paraId="3A771B65" w14:textId="72D97410" w:rsidR="00B6002F" w:rsidRPr="0088419B" w:rsidRDefault="00B6002F">
      <w:pPr>
        <w:pStyle w:val="FootnoteText"/>
        <w:rPr>
          <w:lang w:val="en-IE"/>
        </w:rPr>
      </w:pPr>
      <w:r>
        <w:t>(</w:t>
      </w:r>
      <w:r>
        <w:rPr>
          <w:rStyle w:val="FootnoteReference"/>
        </w:rPr>
        <w:footnoteRef/>
      </w:r>
      <w:r>
        <w:t>)</w:t>
      </w:r>
      <w:r>
        <w:tab/>
        <w:t xml:space="preserve"> ‘Grassland and other natural land’ consists of managed pasture land, unmanaged grassland and shrubland. The </w:t>
      </w:r>
      <w:r w:rsidR="00384776">
        <w:t>area</w:t>
      </w:r>
      <w:r>
        <w:t xml:space="preserve"> of managed pasture land remains relatively stable</w:t>
      </w:r>
      <w:r w:rsidR="00384776">
        <w:t xml:space="preserve"> within the category</w:t>
      </w:r>
      <w:r>
        <w:t xml:space="preserve">. </w:t>
      </w:r>
    </w:p>
  </w:footnote>
  <w:footnote w:id="169">
    <w:p w14:paraId="02562F62" w14:textId="1BF27082" w:rsidR="007478D1" w:rsidRPr="0088419B" w:rsidRDefault="007478D1">
      <w:pPr>
        <w:pStyle w:val="FootnoteText"/>
        <w:rPr>
          <w:lang w:val="en-IE"/>
        </w:rPr>
      </w:pPr>
      <w:r>
        <w:t>(</w:t>
      </w:r>
      <w:r>
        <w:rPr>
          <w:rStyle w:val="FootnoteReference"/>
        </w:rPr>
        <w:footnoteRef/>
      </w:r>
      <w:r>
        <w:t>)</w:t>
      </w:r>
      <w:r>
        <w:tab/>
      </w:r>
      <w:r w:rsidR="00BD21F0" w:rsidRPr="0088419B">
        <w:t>In 2040 total cropland remains unchanged in S1 and increases by 1.2 Mha in S2 and S3, because around 80% of the required area for lignocellulosic crops comes from cropland currently used for first generation biofuels (7.5 Mha) or other cropland (1.9 Mha).</w:t>
      </w:r>
      <w:r w:rsidRPr="0088419B">
        <w:t xml:space="preserve"> </w:t>
      </w:r>
      <w:r w:rsidR="00407A22" w:rsidRPr="0088419B">
        <w:t xml:space="preserve">The total potential for lignocellulosic crops is </w:t>
      </w:r>
      <w:r w:rsidR="00BD21F0" w:rsidRPr="0088419B">
        <w:t xml:space="preserve">however </w:t>
      </w:r>
      <w:r w:rsidR="00407A22" w:rsidRPr="0088419B">
        <w:t>limited.</w:t>
      </w:r>
      <w:r w:rsidRPr="0088419B">
        <w:t xml:space="preserve"> A </w:t>
      </w:r>
      <w:r w:rsidR="001C622C" w:rsidRPr="0088419B">
        <w:t xml:space="preserve">higher use of </w:t>
      </w:r>
      <w:r w:rsidR="00481D6E" w:rsidRPr="0088419B">
        <w:t xml:space="preserve">biofuels for </w:t>
      </w:r>
      <w:r w:rsidR="00C96688" w:rsidRPr="0088419B">
        <w:t xml:space="preserve">road </w:t>
      </w:r>
      <w:r w:rsidR="00481D6E" w:rsidRPr="0088419B">
        <w:t xml:space="preserve">transport, maritime </w:t>
      </w:r>
      <w:r w:rsidR="004A5D69" w:rsidRPr="0088419B">
        <w:t xml:space="preserve">transport </w:t>
      </w:r>
      <w:r w:rsidR="00481D6E" w:rsidRPr="0088419B">
        <w:t>and a</w:t>
      </w:r>
      <w:r w:rsidR="004A5D69" w:rsidRPr="0088419B">
        <w:t>viation than displayed in the scenarios would have a much bigger impact on land use change</w:t>
      </w:r>
      <w:r w:rsidR="001829A9" w:rsidRPr="0088419B">
        <w:t xml:space="preserve"> or food production</w:t>
      </w:r>
      <w:r w:rsidR="004A5D69" w:rsidRPr="0088419B">
        <w:t>, because</w:t>
      </w:r>
      <w:r w:rsidR="008520FE" w:rsidRPr="0088419B">
        <w:t xml:space="preserve"> </w:t>
      </w:r>
      <w:r w:rsidR="001829A9" w:rsidRPr="0088419B">
        <w:t xml:space="preserve">no further </w:t>
      </w:r>
      <w:r w:rsidR="00407A22" w:rsidRPr="0088419B">
        <w:t xml:space="preserve">areas </w:t>
      </w:r>
      <w:r w:rsidR="00ED1B9F" w:rsidRPr="0088419B">
        <w:t>from first generation lignocellulosic crops could be substituted.</w:t>
      </w:r>
      <w:r w:rsidR="00407A22">
        <w:t xml:space="preserve"> </w:t>
      </w:r>
      <w:r w:rsidR="001829A9">
        <w:t xml:space="preserve"> </w:t>
      </w:r>
    </w:p>
  </w:footnote>
  <w:footnote w:id="170">
    <w:p w14:paraId="1F81BBBF" w14:textId="09CF4713" w:rsidR="00424C49" w:rsidRPr="00534E10" w:rsidRDefault="00424C49">
      <w:pPr>
        <w:pStyle w:val="FootnoteText"/>
        <w:rPr>
          <w:lang w:val="en-IE"/>
        </w:rPr>
      </w:pPr>
      <w:r>
        <w:t>(</w:t>
      </w:r>
      <w:r>
        <w:rPr>
          <w:rStyle w:val="FootnoteReference"/>
        </w:rPr>
        <w:footnoteRef/>
      </w:r>
      <w:r>
        <w:t>)</w:t>
      </w:r>
      <w:r>
        <w:tab/>
      </w:r>
      <w:r w:rsidRPr="00424C49">
        <w:t>Muylle, H., Van Hulle, S., De Vliegher, A., Baert, J., Van Bockstaele, E., &amp; Roldán-Ruiz, I.</w:t>
      </w:r>
      <w:r>
        <w:t>,</w:t>
      </w:r>
      <w:r w:rsidRPr="00424C49">
        <w:t xml:space="preserve"> </w:t>
      </w:r>
      <w:r>
        <w:t>‘</w:t>
      </w:r>
      <w:r w:rsidRPr="00424C49">
        <w:t>Yield and energy balance of annual and perennial lignocellulosic crops for bio-refinery use: a 4-year field experiment in Belgium</w:t>
      </w:r>
      <w:r>
        <w:t>’,</w:t>
      </w:r>
      <w:r w:rsidRPr="00424C49">
        <w:t xml:space="preserve"> </w:t>
      </w:r>
      <w:r w:rsidRPr="00534E10">
        <w:rPr>
          <w:i/>
          <w:iCs/>
        </w:rPr>
        <w:t>European Journal of Agronomy</w:t>
      </w:r>
      <w:r w:rsidRPr="00424C49">
        <w:t>, 63, 62-70</w:t>
      </w:r>
      <w:r>
        <w:t xml:space="preserve">, </w:t>
      </w:r>
      <w:r w:rsidRPr="00424C49">
        <w:t>2015.</w:t>
      </w:r>
    </w:p>
  </w:footnote>
  <w:footnote w:id="171">
    <w:p w14:paraId="5447352C" w14:textId="5BABB2D7" w:rsidR="00531C9F" w:rsidRPr="00534E10" w:rsidRDefault="00531C9F">
      <w:pPr>
        <w:pStyle w:val="FootnoteText"/>
        <w:rPr>
          <w:lang w:val="en-IE"/>
        </w:rPr>
      </w:pPr>
      <w:r>
        <w:t>(</w:t>
      </w:r>
      <w:r>
        <w:rPr>
          <w:rStyle w:val="FootnoteReference"/>
        </w:rPr>
        <w:footnoteRef/>
      </w:r>
      <w:r>
        <w:t>)</w:t>
      </w:r>
      <w:r>
        <w:tab/>
      </w:r>
      <w:r w:rsidRPr="00531C9F">
        <w:t>Second-generation biofuel feedstocks often have a higher energy yield per unit of land and water compared to first-generation crops</w:t>
      </w:r>
      <w:r w:rsidR="00424C49">
        <w:t xml:space="preserve">, which </w:t>
      </w:r>
      <w:r w:rsidRPr="00531C9F">
        <w:t>means that more energy can be obtained from the same amount of resources, making them more efficient in terms of land and water use.</w:t>
      </w:r>
      <w:r>
        <w:t xml:space="preserve"> Moreover</w:t>
      </w:r>
      <w:r w:rsidR="0009775F">
        <w:t>,</w:t>
      </w:r>
      <w:r>
        <w:t xml:space="preserve"> these feedstocks are typically non-food feedstocks from energy crops which do not </w:t>
      </w:r>
      <w:r w:rsidR="005570DB">
        <w:t>directly</w:t>
      </w:r>
      <w:r>
        <w:t xml:space="preserve"> compete with food production and can </w:t>
      </w:r>
      <w:r w:rsidR="0042485F">
        <w:t>also</w:t>
      </w:r>
      <w:r>
        <w:t xml:space="preserve"> be produced on marginal lands</w:t>
      </w:r>
      <w:r w:rsidR="00424C49">
        <w:t xml:space="preserve">; </w:t>
      </w:r>
      <w:r w:rsidR="00424C49" w:rsidRPr="00424C49">
        <w:t xml:space="preserve">Antizar‐Ladislao, B., &amp; Turrion‐Gomez, J. L. </w:t>
      </w:r>
      <w:r w:rsidR="00424C49">
        <w:t>‘</w:t>
      </w:r>
      <w:r w:rsidR="00424C49" w:rsidRPr="00424C49">
        <w:t>Second‐generation biofuels and local bioenergy systems.</w:t>
      </w:r>
      <w:r w:rsidR="00424C49">
        <w:t>’</w:t>
      </w:r>
      <w:r w:rsidR="00424C49" w:rsidRPr="00424C49">
        <w:t xml:space="preserve"> </w:t>
      </w:r>
      <w:r w:rsidR="00424C49" w:rsidRPr="00534E10">
        <w:rPr>
          <w:i/>
          <w:iCs/>
        </w:rPr>
        <w:t>Biofuels, Bioproducts and Biorefining: Innovation for a sustainable economy</w:t>
      </w:r>
      <w:r w:rsidR="00424C49" w:rsidRPr="00424C49">
        <w:t>, 2(5), 455-469</w:t>
      </w:r>
      <w:r w:rsidR="00424C49">
        <w:t>, 2008</w:t>
      </w:r>
      <w:r w:rsidR="00424C49" w:rsidRPr="00424C49">
        <w:t>.</w:t>
      </w:r>
      <w:r>
        <w:t xml:space="preserve"> </w:t>
      </w:r>
    </w:p>
  </w:footnote>
  <w:footnote w:id="172">
    <w:p w14:paraId="2E287EB2" w14:textId="35ADE052" w:rsidR="001E74BA" w:rsidRPr="00DF5F5E" w:rsidRDefault="001E74BA" w:rsidP="001E74BA">
      <w:pPr>
        <w:pStyle w:val="FootnoteText"/>
        <w:rPr>
          <w:lang w:val="en-IE"/>
        </w:rPr>
      </w:pPr>
      <w:r>
        <w:t>(</w:t>
      </w:r>
      <w:r>
        <w:rPr>
          <w:rStyle w:val="FootnoteReference"/>
        </w:rPr>
        <w:footnoteRef/>
      </w:r>
      <w:r>
        <w:t>)</w:t>
      </w:r>
      <w:r>
        <w:tab/>
        <w:t xml:space="preserve">Additional land available from fodder production and for livestock is becoming </w:t>
      </w:r>
      <w:r w:rsidR="0042485F">
        <w:t xml:space="preserve">either </w:t>
      </w:r>
      <w:r>
        <w:t xml:space="preserve">afforested land </w:t>
      </w:r>
      <w:r w:rsidR="0042485F">
        <w:t xml:space="preserve">or </w:t>
      </w:r>
      <w:r>
        <w:t xml:space="preserve">abandoned land with </w:t>
      </w:r>
      <w:r w:rsidRPr="00F015D6">
        <w:t xml:space="preserve">buffer stripes, hedges </w:t>
      </w:r>
      <w:r>
        <w:t>or other natural vegetation.</w:t>
      </w:r>
      <w:r w:rsidR="005F470D" w:rsidRPr="005F470D">
        <w:t xml:space="preserve"> </w:t>
      </w:r>
      <w:r w:rsidR="005F470D">
        <w:t>This abandoned land is attributed here to the UNFCCC grassland sector which also includes shrubland, hence including some woody vegetation</w:t>
      </w:r>
      <w:r w:rsidR="0042485F">
        <w:t>.</w:t>
      </w:r>
      <w:r w:rsidR="005F470D">
        <w:t xml:space="preserve"> </w:t>
      </w:r>
      <w:r>
        <w:t>Some changes in LIFE occur within the grassland sector</w:t>
      </w:r>
      <w:r w:rsidR="00B36277">
        <w:t xml:space="preserve"> (from productive to unproductive grasslands) </w:t>
      </w:r>
      <w:r>
        <w:t xml:space="preserve">and are therefore not visible as change in the overview on land use changes. </w:t>
      </w:r>
    </w:p>
  </w:footnote>
  <w:footnote w:id="173">
    <w:p w14:paraId="171237BB" w14:textId="2A7CF4BF" w:rsidR="00F46B43" w:rsidRPr="00534E10" w:rsidRDefault="00F46B43">
      <w:pPr>
        <w:pStyle w:val="FootnoteText"/>
        <w:rPr>
          <w:lang w:val="en-IE"/>
        </w:rPr>
      </w:pPr>
      <w:r>
        <w:t>(</w:t>
      </w:r>
      <w:r>
        <w:rPr>
          <w:rStyle w:val="FootnoteReference"/>
        </w:rPr>
        <w:footnoteRef/>
      </w:r>
      <w:r>
        <w:t>)</w:t>
      </w:r>
      <w:r>
        <w:tab/>
        <w:t>Resulting from the goal to return at least 10% of agricultural area under high-diversity landscape features; see COM(2020) 380 final</w:t>
      </w:r>
      <w:r w:rsidR="00ED7011">
        <w:t xml:space="preserve">. </w:t>
      </w:r>
      <w:r w:rsidR="00450AE1">
        <w:rPr>
          <w:lang w:val="en-US"/>
        </w:rPr>
        <w:t>A share of this natural land is formerly intensively managed grassland which stays within the grassland category.</w:t>
      </w:r>
    </w:p>
  </w:footnote>
  <w:footnote w:id="174">
    <w:p w14:paraId="681AC502" w14:textId="77777777" w:rsidR="00B604F0" w:rsidRPr="005545B3" w:rsidRDefault="00B604F0" w:rsidP="00B604F0">
      <w:pPr>
        <w:pStyle w:val="FootnoteText"/>
        <w:rPr>
          <w:lang w:val="en-IE"/>
        </w:rPr>
      </w:pPr>
      <w:r w:rsidRPr="003B7C44">
        <w:rPr>
          <w:lang w:val="en-IE"/>
        </w:rPr>
        <w:t>(</w:t>
      </w:r>
      <w:r>
        <w:rPr>
          <w:rStyle w:val="FootnoteReference"/>
        </w:rPr>
        <w:footnoteRef/>
      </w:r>
      <w:r w:rsidRPr="003B7C44">
        <w:rPr>
          <w:lang w:val="en-IE"/>
        </w:rPr>
        <w:t>)</w:t>
      </w:r>
      <w:r w:rsidRPr="003B7C44">
        <w:rPr>
          <w:lang w:val="en-IE"/>
        </w:rPr>
        <w:tab/>
      </w:r>
      <w:r>
        <w:rPr>
          <w:lang w:val="en-IE"/>
        </w:rPr>
        <w:t>F</w:t>
      </w:r>
      <w:r w:rsidRPr="003B7C44">
        <w:rPr>
          <w:lang w:val="en-IE"/>
        </w:rPr>
        <w:t xml:space="preserve">or an overview of nature-based removals see: Roe, S., Streck, C., Beach, R., Busch, J., Chapman, M., Daioglou, V., Deppermann, A., Doelman, J., Emmet-Booth, J., Engelmann, J., Fricko, O., Frischmann, C., Funk, J., Grassi, G., Griscom, B., Havlik, P., Hanssen, S., Humpenöder, F., Landholm, D., … </w:t>
      </w:r>
      <w:r w:rsidRPr="005545B3">
        <w:t>Lawrence, D.</w:t>
      </w:r>
      <w:r>
        <w:t>,</w:t>
      </w:r>
      <w:r w:rsidRPr="005545B3">
        <w:t xml:space="preserve"> </w:t>
      </w:r>
      <w:r>
        <w:t>‘</w:t>
      </w:r>
      <w:r w:rsidRPr="005545B3">
        <w:t>Land-based measures to mitigate climate change: Potential and feasibility by country.</w:t>
      </w:r>
      <w:r>
        <w:t>’</w:t>
      </w:r>
      <w:r w:rsidRPr="005545B3">
        <w:t xml:space="preserve"> </w:t>
      </w:r>
      <w:r w:rsidRPr="005545B3">
        <w:rPr>
          <w:i/>
          <w:iCs/>
        </w:rPr>
        <w:t>Global Change Biology</w:t>
      </w:r>
      <w:r w:rsidRPr="005545B3">
        <w:t>, 27, 6025–6058</w:t>
      </w:r>
      <w:r>
        <w:t xml:space="preserve">, </w:t>
      </w:r>
      <w:r w:rsidRPr="005545B3">
        <w:t>2021.</w:t>
      </w:r>
    </w:p>
  </w:footnote>
  <w:footnote w:id="175">
    <w:p w14:paraId="01936DBD" w14:textId="3768177F" w:rsidR="0026303D" w:rsidRPr="0026303D" w:rsidRDefault="0026303D">
      <w:pPr>
        <w:pStyle w:val="FootnoteText"/>
        <w:rPr>
          <w:lang w:val="en-IE"/>
        </w:rPr>
      </w:pPr>
      <w:r>
        <w:t>(</w:t>
      </w:r>
      <w:r>
        <w:rPr>
          <w:rStyle w:val="FootnoteReference"/>
        </w:rPr>
        <w:footnoteRef/>
      </w:r>
      <w:r>
        <w:t>)</w:t>
      </w:r>
      <w:r>
        <w:tab/>
        <w:t xml:space="preserve"> Among a range of possible offered options (</w:t>
      </w:r>
      <w:r w:rsidR="00BE622A">
        <w:t>e.g.,</w:t>
      </w:r>
      <w:r>
        <w:t xml:space="preserve"> Peatland restoration, Agroforestry, BECCS, Bioachar, DACCS, nuclear fusion, solar radiation modification)</w:t>
      </w:r>
    </w:p>
  </w:footnote>
  <w:footnote w:id="176">
    <w:p w14:paraId="0E812302" w14:textId="56D3F74C" w:rsidR="00224071" w:rsidRPr="00573927" w:rsidRDefault="00224071">
      <w:pPr>
        <w:pStyle w:val="FootnoteText"/>
        <w:rPr>
          <w:lang w:val="en-IE"/>
        </w:rPr>
      </w:pPr>
      <w:r>
        <w:t>(</w:t>
      </w:r>
      <w:r>
        <w:rPr>
          <w:rStyle w:val="FootnoteReference"/>
        </w:rPr>
        <w:footnoteRef/>
      </w:r>
      <w:r>
        <w:t>)</w:t>
      </w:r>
      <w:r>
        <w:tab/>
        <w:t xml:space="preserve"> All mitigation costs to cover for nature-based removals in this section are expressed in EUR 2020 values. </w:t>
      </w:r>
    </w:p>
  </w:footnote>
  <w:footnote w:id="177">
    <w:p w14:paraId="6604CC05" w14:textId="77777777" w:rsidR="00B604F0" w:rsidRPr="009C75CE" w:rsidRDefault="00B604F0" w:rsidP="00B604F0">
      <w:pPr>
        <w:pStyle w:val="FootnoteText"/>
        <w:rPr>
          <w:lang w:val="en-US"/>
        </w:rPr>
      </w:pPr>
      <w:r>
        <w:t>(</w:t>
      </w:r>
      <w:r>
        <w:rPr>
          <w:rStyle w:val="FootnoteReference"/>
        </w:rPr>
        <w:footnoteRef/>
      </w:r>
      <w:r>
        <w:t>)</w:t>
      </w:r>
      <w:r>
        <w:tab/>
        <w:t xml:space="preserve">CH4 emissions on rewetted lands decrease the sink potential of active rewetting activities. CH4 emissions have been included, to avoid an overly optimistic assumption of the potential. However, a high range of uncertainties still exist on CH4 emissions on rewetted lands and therefore the sequestration potential needs to be interpreted with caution.  </w:t>
      </w:r>
    </w:p>
  </w:footnote>
  <w:footnote w:id="178">
    <w:p w14:paraId="6113C40A" w14:textId="77777777" w:rsidR="00B604F0" w:rsidRPr="008E57F7" w:rsidRDefault="00B604F0" w:rsidP="00B604F0">
      <w:pPr>
        <w:pStyle w:val="FootnoteText"/>
      </w:pPr>
      <w:r>
        <w:t>(</w:t>
      </w:r>
      <w:r>
        <w:rPr>
          <w:rStyle w:val="FootnoteReference"/>
        </w:rPr>
        <w:footnoteRef/>
      </w:r>
      <w:r>
        <w:t>)</w:t>
      </w:r>
      <w:r>
        <w:tab/>
        <w:t xml:space="preserve"> R</w:t>
      </w:r>
      <w:r w:rsidRPr="008E57F7">
        <w:t xml:space="preserve">ewetting of drained peatlands </w:t>
      </w:r>
      <w:r>
        <w:t xml:space="preserve">overall </w:t>
      </w:r>
      <w:r w:rsidRPr="008E57F7">
        <w:t xml:space="preserve">reduces </w:t>
      </w:r>
      <w:r>
        <w:t>climate warming</w:t>
      </w:r>
      <w:r w:rsidRPr="008E57F7">
        <w:t xml:space="preserve"> despite </w:t>
      </w:r>
      <w:r>
        <w:t>CH4</w:t>
      </w:r>
      <w:r w:rsidRPr="008E57F7">
        <w:t xml:space="preserve"> emissions</w:t>
      </w:r>
      <w:r>
        <w:t xml:space="preserve">. See for details: </w:t>
      </w:r>
      <w:r w:rsidRPr="00B66DE2">
        <w:t xml:space="preserve">Günther, A., Barthelmes, A., Huth, V. et al. </w:t>
      </w:r>
      <w:r>
        <w:t>‘</w:t>
      </w:r>
      <w:r w:rsidRPr="00B66DE2">
        <w:t>Prompt rewetting of drained peatlands reduces climate warming despite methane emissions</w:t>
      </w:r>
      <w:r>
        <w:t>’,</w:t>
      </w:r>
      <w:r w:rsidRPr="00B66DE2">
        <w:t xml:space="preserve"> </w:t>
      </w:r>
      <w:r w:rsidRPr="00B66DE2">
        <w:rPr>
          <w:i/>
          <w:iCs/>
        </w:rPr>
        <w:t>Nat</w:t>
      </w:r>
      <w:r>
        <w:rPr>
          <w:i/>
          <w:iCs/>
        </w:rPr>
        <w:t>ure</w:t>
      </w:r>
      <w:r w:rsidRPr="00B66DE2">
        <w:rPr>
          <w:i/>
          <w:iCs/>
        </w:rPr>
        <w:t xml:space="preserve"> Commun</w:t>
      </w:r>
      <w:r>
        <w:t>ications,</w:t>
      </w:r>
      <w:r w:rsidRPr="00B66DE2">
        <w:t xml:space="preserve"> 11, 1644</w:t>
      </w:r>
      <w:r>
        <w:t xml:space="preserve">, </w:t>
      </w:r>
      <w:r w:rsidRPr="00B66DE2">
        <w:t>2020.</w:t>
      </w:r>
    </w:p>
  </w:footnote>
  <w:footnote w:id="179">
    <w:p w14:paraId="2092A0CA" w14:textId="2EBE7BBC" w:rsidR="00B604F0" w:rsidRPr="003565B7" w:rsidRDefault="00B604F0" w:rsidP="00B604F0">
      <w:pPr>
        <w:pStyle w:val="FootnoteText"/>
        <w:rPr>
          <w:lang w:val="en-IE"/>
        </w:rPr>
      </w:pPr>
      <w:r>
        <w:t>(</w:t>
      </w:r>
      <w:r>
        <w:rPr>
          <w:rStyle w:val="FootnoteReference"/>
        </w:rPr>
        <w:footnoteRef/>
      </w:r>
      <w:r>
        <w:t>)</w:t>
      </w:r>
      <w:r>
        <w:tab/>
        <w:t>New assumptions on active rewetting and corresponding prices for land acquisition, active rewetting and maintenance have been incorporated for this impact assessment.</w:t>
      </w:r>
    </w:p>
  </w:footnote>
  <w:footnote w:id="180">
    <w:p w14:paraId="342F2ED0" w14:textId="555AB4F4" w:rsidR="00B604F0" w:rsidRPr="00423335" w:rsidRDefault="00B604F0" w:rsidP="00B604F0">
      <w:pPr>
        <w:pStyle w:val="FootnoteText"/>
        <w:rPr>
          <w:lang w:val="en-IE"/>
        </w:rPr>
      </w:pPr>
      <w:r w:rsidRPr="00423335">
        <w:rPr>
          <w:lang w:val="en-IE"/>
        </w:rPr>
        <w:t>(</w:t>
      </w:r>
      <w:r>
        <w:rPr>
          <w:rStyle w:val="FootnoteReference"/>
        </w:rPr>
        <w:footnoteRef/>
      </w:r>
      <w:r w:rsidRPr="00423335">
        <w:rPr>
          <w:lang w:val="en-IE"/>
        </w:rPr>
        <w:t>)</w:t>
      </w:r>
      <w:r w:rsidRPr="00423335">
        <w:rPr>
          <w:lang w:val="en-IE"/>
        </w:rPr>
        <w:tab/>
      </w:r>
      <w:r w:rsidR="009F155D">
        <w:rPr>
          <w:lang w:val="en-IE"/>
        </w:rPr>
        <w:t xml:space="preserve"> S</w:t>
      </w:r>
      <w:r w:rsidRPr="00423335">
        <w:rPr>
          <w:lang w:val="en-IE"/>
        </w:rPr>
        <w:t xml:space="preserve">ee LULUCF regulation: Regulation (EU) </w:t>
      </w:r>
      <w:r>
        <w:rPr>
          <w:lang w:val="en-IE"/>
        </w:rPr>
        <w:t xml:space="preserve">2018/841 (amended by Regulation </w:t>
      </w:r>
      <w:r w:rsidRPr="00423335">
        <w:rPr>
          <w:lang w:val="en-IE"/>
        </w:rPr>
        <w:t>2023/839</w:t>
      </w:r>
      <w:r>
        <w:rPr>
          <w:lang w:val="en-IE"/>
        </w:rPr>
        <w:t>)</w:t>
      </w:r>
    </w:p>
  </w:footnote>
  <w:footnote w:id="181">
    <w:p w14:paraId="1123BBB4" w14:textId="4B260734" w:rsidR="00B604F0" w:rsidRPr="00864F5B" w:rsidRDefault="00B604F0" w:rsidP="00B604F0">
      <w:pPr>
        <w:pStyle w:val="FootnoteText"/>
        <w:rPr>
          <w:lang w:val="en-IE"/>
        </w:rPr>
      </w:pPr>
      <w:r>
        <w:t>(</w:t>
      </w:r>
      <w:r>
        <w:rPr>
          <w:rStyle w:val="FootnoteReference"/>
        </w:rPr>
        <w:footnoteRef/>
      </w:r>
      <w:r>
        <w:t xml:space="preserve">) </w:t>
      </w:r>
      <w:r w:rsidRPr="003632F8">
        <w:rPr>
          <w:lang w:val="en-IE"/>
        </w:rPr>
        <w:t>The Impact Assessment accompanying the proposal for a revised LULUCF Regulation indicated that the target of -310 MtCO</w:t>
      </w:r>
      <w:r w:rsidRPr="003632F8">
        <w:rPr>
          <w:vertAlign w:val="subscript"/>
          <w:lang w:val="en-IE"/>
        </w:rPr>
        <w:t>2-</w:t>
      </w:r>
      <w:r w:rsidRPr="003632F8">
        <w:rPr>
          <w:lang w:val="en-IE"/>
        </w:rPr>
        <w:t>eq could be achieved at lower mitigation costs (5-10€/tCO</w:t>
      </w:r>
      <w:r w:rsidRPr="003632F8">
        <w:rPr>
          <w:vertAlign w:val="subscript"/>
          <w:lang w:val="en-IE"/>
        </w:rPr>
        <w:t>2</w:t>
      </w:r>
      <w:r w:rsidRPr="003632F8">
        <w:rPr>
          <w:lang w:val="en-IE"/>
        </w:rPr>
        <w:t>-eq), but the starting point for those assumptions was the average LULUCF sink in 2016-2018 which was much larger than the current trend of the LULUCF sink.</w:t>
      </w:r>
      <w:r>
        <w:rPr>
          <w:lang w:val="en-IE"/>
        </w:rPr>
        <w:t xml:space="preserve"> More importantly, updated mitigation costs have been taken into account </w:t>
      </w:r>
      <w:r w:rsidR="009F155D">
        <w:rPr>
          <w:lang w:val="en-IE"/>
        </w:rPr>
        <w:t xml:space="preserve">in this impact assessment </w:t>
      </w:r>
      <w:r>
        <w:rPr>
          <w:lang w:val="en-IE"/>
        </w:rPr>
        <w:t xml:space="preserve">based on the latest scientific literature. </w:t>
      </w:r>
    </w:p>
  </w:footnote>
  <w:footnote w:id="182">
    <w:p w14:paraId="7C94CDDC" w14:textId="77777777" w:rsidR="00093311" w:rsidRPr="000127AE" w:rsidRDefault="00093311" w:rsidP="00093311">
      <w:pPr>
        <w:pStyle w:val="FootnoteText"/>
      </w:pPr>
      <w:r>
        <w:t>(</w:t>
      </w:r>
      <w:r>
        <w:rPr>
          <w:rStyle w:val="FootnoteReference"/>
        </w:rPr>
        <w:footnoteRef/>
      </w:r>
      <w:r>
        <w:t>)</w:t>
      </w:r>
      <w:r w:rsidRPr="00423335">
        <w:rPr>
          <w:lang w:val="en-IE"/>
        </w:rPr>
        <w:t xml:space="preserve">Regulation (EU) </w:t>
      </w:r>
      <w:r>
        <w:rPr>
          <w:lang w:val="en-IE"/>
        </w:rPr>
        <w:t xml:space="preserve">2018/841 (amended by Regulation </w:t>
      </w:r>
      <w:r w:rsidRPr="00423335">
        <w:rPr>
          <w:lang w:val="en-IE"/>
        </w:rPr>
        <w:t>2023/839</w:t>
      </w:r>
      <w:r>
        <w:rPr>
          <w:lang w:val="en-IE"/>
        </w:rPr>
        <w:t>)</w:t>
      </w:r>
    </w:p>
  </w:footnote>
  <w:footnote w:id="183">
    <w:p w14:paraId="329BC0BA" w14:textId="77F4502D" w:rsidR="00A117A3" w:rsidRPr="00573927" w:rsidRDefault="00A117A3">
      <w:pPr>
        <w:pStyle w:val="FootnoteText"/>
        <w:rPr>
          <w:lang w:val="en-IE"/>
        </w:rPr>
      </w:pPr>
      <w:r>
        <w:t>(</w:t>
      </w:r>
      <w:r>
        <w:rPr>
          <w:rStyle w:val="FootnoteReference"/>
        </w:rPr>
        <w:footnoteRef/>
      </w:r>
      <w:r>
        <w:t>)</w:t>
      </w:r>
      <w:r>
        <w:tab/>
        <w:t>In EUR 2020</w:t>
      </w:r>
      <w:r w:rsidR="00573927">
        <w:t>. The carbon value per tCO</w:t>
      </w:r>
      <w:r w:rsidR="00573927" w:rsidRPr="00C33231">
        <w:rPr>
          <w:vertAlign w:val="subscript"/>
        </w:rPr>
        <w:t>2</w:t>
      </w:r>
      <w:r w:rsidR="00573927">
        <w:t>-eq are calculated as a yearly cost for mitigation. In the following only the marginal carbon values are specified, which means large shares of additional nature-based removals are available at lower costs (see previous section for details).</w:t>
      </w:r>
    </w:p>
  </w:footnote>
  <w:footnote w:id="184">
    <w:p w14:paraId="6712B812" w14:textId="2C26861E" w:rsidR="001E3317" w:rsidRPr="002677AC" w:rsidRDefault="001E3317" w:rsidP="001E3317">
      <w:pPr>
        <w:pStyle w:val="FootnoteText"/>
        <w:rPr>
          <w:lang w:val="en-IE"/>
        </w:rPr>
      </w:pPr>
      <w:r>
        <w:t>(</w:t>
      </w:r>
      <w:r>
        <w:rPr>
          <w:rStyle w:val="FootnoteReference"/>
        </w:rPr>
        <w:footnoteRef/>
      </w:r>
      <w:r>
        <w:t>)</w:t>
      </w:r>
      <w:r>
        <w:tab/>
        <w:t xml:space="preserve">Lignocellulosic crops create a singular short-term sink effect, when being planted the first time. This growing carbon stock is resulting in carbon removals in cropland starting by 2035 is fading out by 2050 when the carbon pool through these crops has been saturated and no additional carbon removal is achieved. This temporary sink is therefore not a reliable source for the LULUCF sink in the long term. S1 uses less lignocellulosic crops for biofuels compared to S2 and S3. </w:t>
      </w:r>
    </w:p>
  </w:footnote>
  <w:footnote w:id="185">
    <w:p w14:paraId="4B9713B8" w14:textId="49FA641A" w:rsidR="00A1313E" w:rsidRPr="00827616" w:rsidRDefault="0095019B" w:rsidP="00D74ACB">
      <w:pPr>
        <w:pStyle w:val="FootnoteText"/>
        <w:keepNext/>
        <w:keepLines/>
        <w:widowControl w:val="0"/>
      </w:pPr>
      <w:r>
        <w:t>(</w:t>
      </w:r>
      <w:r>
        <w:rPr>
          <w:rStyle w:val="FootnoteReference"/>
        </w:rPr>
        <w:footnoteRef/>
      </w:r>
      <w:r>
        <w:t>)</w:t>
      </w:r>
      <w:r>
        <w:tab/>
        <w:t xml:space="preserve">This risk level was based on research by Pilli et al. (2022) who provide as a probable range of -100 to </w:t>
      </w:r>
      <w:r w:rsidR="00B26DD7">
        <w:noBreakHyphen/>
      </w:r>
      <w:r>
        <w:t>400 MtCO</w:t>
      </w:r>
      <w:r w:rsidRPr="00866E17">
        <w:rPr>
          <w:vertAlign w:val="subscript"/>
        </w:rPr>
        <w:t>2</w:t>
      </w:r>
      <w:r>
        <w:t>-eq for the LULUCF net removal</w:t>
      </w:r>
      <w:r w:rsidR="00541E5D">
        <w:t>s</w:t>
      </w:r>
      <w:r>
        <w:t xml:space="preserve"> in 2050 taking future climate change impacts based on RCP 2.6 into account. Scenarios exceeding the upper bound of -400 MtCO</w:t>
      </w:r>
      <w:r w:rsidRPr="00866E17">
        <w:rPr>
          <w:vertAlign w:val="subscript"/>
        </w:rPr>
        <w:t>2</w:t>
      </w:r>
      <w:r>
        <w:t>-eq may rely on implausibly high LULUCF net removal levels.</w:t>
      </w:r>
    </w:p>
  </w:footnote>
  <w:footnote w:id="186">
    <w:p w14:paraId="602728FB" w14:textId="0E609234" w:rsidR="001D2B95" w:rsidRPr="00EF39FF" w:rsidRDefault="00930DFC" w:rsidP="001D2B95">
      <w:pPr>
        <w:pStyle w:val="FootnoteText"/>
      </w:pPr>
      <w:r>
        <w:t>(</w:t>
      </w:r>
      <w:r w:rsidR="001D2B95">
        <w:rPr>
          <w:rStyle w:val="FootnoteReference"/>
        </w:rPr>
        <w:footnoteRef/>
      </w:r>
      <w:r>
        <w:t>)</w:t>
      </w:r>
      <w:r w:rsidR="001D2B95">
        <w:t xml:space="preserve"> Carbon removals from Forest land and harvested wood products from both models are compared against each other in an aggregated form because neither of the two subcomponents deviated systematically from that aggregate. The numbers are missing emissions from other lands and do not show the total LULUCF net removal. The GLOBIOM model numbers derive from the central</w:t>
      </w:r>
      <w:r w:rsidR="001A4E2C">
        <w:t xml:space="preserve"> level</w:t>
      </w:r>
      <w:r w:rsidR="001D2B95">
        <w:t xml:space="preserve"> LULUCF case with </w:t>
      </w:r>
      <w:r w:rsidR="007F4983">
        <w:t>a</w:t>
      </w:r>
      <w:r w:rsidR="0075700F">
        <w:t xml:space="preserve"> carbon value of</w:t>
      </w:r>
      <w:r w:rsidR="001D2B95">
        <w:t xml:space="preserve"> </w:t>
      </w:r>
      <w:r w:rsidR="00396873">
        <w:t>5</w:t>
      </w:r>
      <w:r w:rsidR="001D2B95">
        <w:t>0</w:t>
      </w:r>
      <w:r w:rsidR="001A4E2C">
        <w:t xml:space="preserve"> </w:t>
      </w:r>
      <w:r w:rsidR="001D2B95">
        <w:t>€</w:t>
      </w:r>
      <w:r w:rsidR="00B26DD7">
        <w:t>/tCO2</w:t>
      </w:r>
      <w:r w:rsidR="001D2B95">
        <w:t xml:space="preserve">, the JRC FSCM does not make these assumptions and assumes a market-driven process. </w:t>
      </w:r>
    </w:p>
  </w:footnote>
  <w:footnote w:id="187">
    <w:p w14:paraId="0A5762E5" w14:textId="77777777" w:rsidR="005514DA" w:rsidRPr="00D3135D" w:rsidRDefault="005514DA" w:rsidP="005514DA">
      <w:pPr>
        <w:pStyle w:val="FootnoteText"/>
        <w:rPr>
          <w:lang w:val="en-IE"/>
        </w:rPr>
      </w:pPr>
      <w:r>
        <w:t>(</w:t>
      </w:r>
      <w:r>
        <w:rPr>
          <w:rStyle w:val="FootnoteReference"/>
        </w:rPr>
        <w:footnoteRef/>
      </w:r>
      <w:r>
        <w:t>)</w:t>
      </w:r>
      <w:r>
        <w:tab/>
        <w:t xml:space="preserve">Because the model assumes only sustainable harvest, yearly harvesting levels cannot exceed the yearly increment from growth. The higher bioenergy demand therefore leads to price feedbacks on biomass for materials, leading to a decline in material demands for harvested wood products.  </w:t>
      </w:r>
    </w:p>
  </w:footnote>
  <w:footnote w:id="188">
    <w:p w14:paraId="55799C0B" w14:textId="77777777" w:rsidR="005514DA" w:rsidRPr="000772E4" w:rsidRDefault="005514DA" w:rsidP="005514DA">
      <w:pPr>
        <w:pStyle w:val="FootnoteText"/>
        <w:rPr>
          <w:lang w:val="en-IE"/>
        </w:rPr>
      </w:pPr>
      <w:r>
        <w:t>(</w:t>
      </w:r>
      <w:r>
        <w:rPr>
          <w:rStyle w:val="FootnoteReference"/>
        </w:rPr>
        <w:footnoteRef/>
      </w:r>
      <w:r>
        <w:t xml:space="preserve">) </w:t>
      </w:r>
      <w:r w:rsidRPr="00074E1A">
        <w:t>Merfort, L., et al., ‘Bioenergy-induced land-use-change emissions with sectorally fragmented policies’ Nature climate change, 2023</w:t>
      </w:r>
    </w:p>
  </w:footnote>
  <w:footnote w:id="189">
    <w:p w14:paraId="4B7F5D12" w14:textId="77777777" w:rsidR="00481E63" w:rsidRPr="00F25002" w:rsidRDefault="00481E63" w:rsidP="00481E63">
      <w:pPr>
        <w:pStyle w:val="FootnoteText"/>
        <w:rPr>
          <w:lang w:val="en-IE"/>
        </w:rPr>
      </w:pPr>
      <w:r>
        <w:t>(</w:t>
      </w:r>
      <w:r>
        <w:rPr>
          <w:rStyle w:val="FootnoteReference"/>
        </w:rPr>
        <w:footnoteRef/>
      </w:r>
      <w:r>
        <w:t xml:space="preserve">) </w:t>
      </w:r>
      <w:r w:rsidRPr="00696597">
        <w:t xml:space="preserve">It should be noted that the valence of an impact depends on different factors and therefore even natural disturbances </w:t>
      </w:r>
      <w:r>
        <w:t>may</w:t>
      </w:r>
      <w:r w:rsidRPr="00696597">
        <w:t xml:space="preserve"> have long-term beneficial effects for the sink.</w:t>
      </w:r>
      <w:r>
        <w:t xml:space="preserve"> Thus, the listed examples only illustrate the standard case. </w:t>
      </w:r>
    </w:p>
  </w:footnote>
  <w:footnote w:id="190">
    <w:p w14:paraId="70225B72" w14:textId="77777777" w:rsidR="00481E63" w:rsidRPr="00CC617F" w:rsidRDefault="00481E63" w:rsidP="00481E63">
      <w:pPr>
        <w:pStyle w:val="FootnoteText"/>
        <w:rPr>
          <w:lang w:val="en-IE"/>
        </w:rPr>
      </w:pPr>
      <w:r>
        <w:t>(</w:t>
      </w:r>
      <w:r>
        <w:rPr>
          <w:rStyle w:val="FootnoteReference"/>
        </w:rPr>
        <w:footnoteRef/>
      </w:r>
      <w:r>
        <w:t>)</w:t>
      </w:r>
      <w:r>
        <w:tab/>
      </w:r>
      <w:r w:rsidRPr="00705267">
        <w:t xml:space="preserve">Smith, S. M., Geden, O., Nemet, G., Gidden, M., Lamb, W. F., Powis, C., Bellamy, R., Callaghan, M., Cowie, A., Cox, E., Fuss, S., Gasser, T., Grassi, G., Greene, J., Lück, S., Mohan, A., Müller-Hansen, F., Peters, G., Pratama, Y., Repke, T., Riahi, K., Schenuit, F., Steinhauser, J., Strefler, J., Valenzuela, J. M., and Minx, J. C. (2023). </w:t>
      </w:r>
      <w:r>
        <w:t xml:space="preserve">The State of Carbon Dioxide Removal - 1st Edition. Available at: </w:t>
      </w:r>
      <w:hyperlink r:id="rId7" w:history="1">
        <w:r w:rsidRPr="00BD3FC0">
          <w:rPr>
            <w:rStyle w:val="Hyperlink"/>
          </w:rPr>
          <w:t>https://www.stateofcdr.org</w:t>
        </w:r>
      </w:hyperlink>
    </w:p>
  </w:footnote>
  <w:footnote w:id="191">
    <w:p w14:paraId="79C61736" w14:textId="411E504E" w:rsidR="001F1B16" w:rsidRPr="00290CEA" w:rsidRDefault="001F1B16">
      <w:pPr>
        <w:pStyle w:val="FootnoteText"/>
        <w:rPr>
          <w:lang w:val="pt-PT"/>
        </w:rPr>
      </w:pPr>
      <w:r>
        <w:t>(</w:t>
      </w:r>
      <w:r>
        <w:rPr>
          <w:rStyle w:val="FootnoteReference"/>
        </w:rPr>
        <w:footnoteRef/>
      </w:r>
      <w:r>
        <w:t>)</w:t>
      </w:r>
      <w:r>
        <w:tab/>
        <w:t xml:space="preserve"> </w:t>
      </w:r>
      <w:r w:rsidRPr="001F1B16">
        <w:t xml:space="preserve">Pastor, J., &amp; Post, W. M. (1988). Response of northern forests to CO2-induced climate change. </w:t>
      </w:r>
      <w:r w:rsidRPr="00534E10">
        <w:rPr>
          <w:lang w:val="pt-PT"/>
        </w:rPr>
        <w:t>Nature, 334(6177), 55-58.</w:t>
      </w:r>
    </w:p>
  </w:footnote>
  <w:footnote w:id="192">
    <w:p w14:paraId="1051C4F9" w14:textId="2C29D7E4" w:rsidR="00786D98" w:rsidRPr="00737A0B" w:rsidRDefault="00786D98">
      <w:pPr>
        <w:pStyle w:val="FootnoteText"/>
        <w:rPr>
          <w:lang w:val="en-IE"/>
        </w:rPr>
      </w:pPr>
      <w:r w:rsidRPr="00290CEA">
        <w:rPr>
          <w:lang w:val="pt-PT"/>
        </w:rPr>
        <w:t>(</w:t>
      </w:r>
      <w:r>
        <w:rPr>
          <w:rStyle w:val="FootnoteReference"/>
        </w:rPr>
        <w:footnoteRef/>
      </w:r>
      <w:r w:rsidRPr="00290CEA">
        <w:rPr>
          <w:lang w:val="pt-PT"/>
        </w:rPr>
        <w:t>)</w:t>
      </w:r>
      <w:r w:rsidRPr="00290CEA">
        <w:rPr>
          <w:lang w:val="pt-PT"/>
        </w:rPr>
        <w:tab/>
        <w:t xml:space="preserve"> Ruiz-Benito, P., Madrigal-Gonzalez, J., Ratcliffe, S., Coomes, D. A., Kändler, G., Lehtonen, A., ... </w:t>
      </w:r>
      <w:r w:rsidRPr="00737A0B">
        <w:rPr>
          <w:lang w:val="pt-PT"/>
        </w:rPr>
        <w:t xml:space="preserve">&amp; Zavala, M. A. (2014). </w:t>
      </w:r>
      <w:r w:rsidRPr="00786D98">
        <w:rPr>
          <w:lang w:val="en-IE"/>
        </w:rPr>
        <w:t xml:space="preserve">Stand structure and recent climate change constrain stand basal area change in European forests: a comparison across boreal, temperate, and Mediterranean biomes. </w:t>
      </w:r>
      <w:r w:rsidRPr="00737A0B">
        <w:rPr>
          <w:lang w:val="en-IE"/>
        </w:rPr>
        <w:t>Ecosystems, 17, 1439-1454.</w:t>
      </w:r>
    </w:p>
  </w:footnote>
  <w:footnote w:id="193">
    <w:p w14:paraId="4FA7EEDD" w14:textId="77777777" w:rsidR="00481E63" w:rsidRPr="00211AD3" w:rsidRDefault="00481E63" w:rsidP="00481E63">
      <w:pPr>
        <w:pStyle w:val="FootnoteText"/>
        <w:rPr>
          <w:lang w:val="en-IE"/>
        </w:rPr>
      </w:pPr>
      <w:r>
        <w:t>(</w:t>
      </w:r>
      <w:r>
        <w:rPr>
          <w:rStyle w:val="FootnoteReference"/>
        </w:rPr>
        <w:footnoteRef/>
      </w:r>
      <w:r>
        <w:t>)</w:t>
      </w:r>
      <w:r>
        <w:tab/>
        <w:t xml:space="preserve"> As factors were considered climate change impacts (temperature, precipitation, vapor pressure deficit), increased in damage of wood due to natural disturbances (wind damage, fire, and instect damage) as well as CO2 fertilisation.  </w:t>
      </w:r>
    </w:p>
  </w:footnote>
  <w:footnote w:id="194">
    <w:p w14:paraId="78837889" w14:textId="77777777" w:rsidR="00481E63" w:rsidRPr="005B0908" w:rsidRDefault="00481E63" w:rsidP="00481E63">
      <w:pPr>
        <w:pStyle w:val="FootnoteText"/>
        <w:rPr>
          <w:lang w:val="en-IE"/>
        </w:rPr>
      </w:pPr>
      <w:r>
        <w:t>(</w:t>
      </w:r>
      <w:r>
        <w:rPr>
          <w:rStyle w:val="FootnoteReference"/>
        </w:rPr>
        <w:footnoteRef/>
      </w:r>
      <w:r>
        <w:t>)</w:t>
      </w:r>
      <w:r>
        <w:tab/>
      </w:r>
      <w:r w:rsidRPr="004C4CB7">
        <w:t>RCP 2.6 is associated with a best estimate long-term temperature increase until 2100 of 1.8°C, therefore assuming coordinated global action to keep climate change below 2.0°C. RCP 7.0 represents a medium-to-high end of range of emissions and associated global warming, associated to a baseline outcome rather than ambitious climate action on a global level and results in 3.6 °C long-term temperature increase until 2100.</w:t>
      </w:r>
    </w:p>
  </w:footnote>
  <w:footnote w:id="195">
    <w:p w14:paraId="66B42152" w14:textId="77777777" w:rsidR="00481E63" w:rsidRPr="000152CA" w:rsidRDefault="00481E63" w:rsidP="00481E63">
      <w:pPr>
        <w:pStyle w:val="FootnoteText"/>
      </w:pPr>
      <w:r>
        <w:t>(</w:t>
      </w:r>
      <w:r>
        <w:rPr>
          <w:rStyle w:val="FootnoteReference"/>
        </w:rPr>
        <w:footnoteRef/>
      </w:r>
      <w:r>
        <w:t>)</w:t>
      </w:r>
      <w:r>
        <w:tab/>
        <w:t xml:space="preserve"> UKESM1-0-LL - The UKESM1.0-N96ORCA1 climate model run by the Met Office Hadley Centre, UK; IPSL-CM6A-LR - The IPSL-CM6A-LR climate model run by the Institute Pierre Simon Laplace, France; GFDL-ESM4 - The GFDL-ESM4 climate model run by the National Oceanic and Atmospheric Administration, Geophysical Fluid Dynamics Laboratory, USA; MPI-ESM1-2-HR - The MPI-ESM1.2-HR climate model run by the Deutsches Klimarechenzentrum, Germany </w:t>
      </w:r>
    </w:p>
  </w:footnote>
  <w:footnote w:id="196">
    <w:p w14:paraId="276F22E1" w14:textId="77777777" w:rsidR="00481E63" w:rsidRPr="00CE0214" w:rsidRDefault="00481E63" w:rsidP="00481E63">
      <w:pPr>
        <w:pStyle w:val="FootnoteText"/>
        <w:rPr>
          <w:lang w:val="en-IE"/>
        </w:rPr>
      </w:pPr>
      <w:r>
        <w:t>(</w:t>
      </w:r>
      <w:r>
        <w:rPr>
          <w:rStyle w:val="FootnoteReference"/>
        </w:rPr>
        <w:footnoteRef/>
      </w:r>
      <w:r>
        <w:t>)</w:t>
      </w:r>
      <w:r>
        <w:tab/>
        <w:t xml:space="preserve"> </w:t>
      </w:r>
      <w:r w:rsidRPr="00605FA4">
        <w:t>Jiang, M., Medlyn, B.E., Drake, J.E. et al.</w:t>
      </w:r>
      <w:r>
        <w:t>,</w:t>
      </w:r>
      <w:r w:rsidRPr="00605FA4">
        <w:t xml:space="preserve"> </w:t>
      </w:r>
      <w:r>
        <w:t>‘</w:t>
      </w:r>
      <w:r w:rsidRPr="00605FA4">
        <w:t>The fate of carbon in a mature forest under carbon dioxide enrichment</w:t>
      </w:r>
      <w:r>
        <w:t>’,</w:t>
      </w:r>
      <w:r w:rsidRPr="00605FA4">
        <w:t xml:space="preserve"> </w:t>
      </w:r>
      <w:r w:rsidRPr="00CE0214">
        <w:rPr>
          <w:i/>
          <w:iCs/>
        </w:rPr>
        <w:t>Nature</w:t>
      </w:r>
      <w:r>
        <w:rPr>
          <w:i/>
          <w:iCs/>
        </w:rPr>
        <w:t>,</w:t>
      </w:r>
      <w:r w:rsidRPr="00605FA4">
        <w:t xml:space="preserve"> 580, 227–231</w:t>
      </w:r>
      <w:r>
        <w:t xml:space="preserve">, </w:t>
      </w:r>
      <w:r w:rsidRPr="00605FA4">
        <w:t>2020.</w:t>
      </w:r>
    </w:p>
  </w:footnote>
  <w:footnote w:id="197">
    <w:p w14:paraId="6D99CE47" w14:textId="77777777" w:rsidR="00481E63" w:rsidRPr="00CE0214" w:rsidRDefault="00481E63" w:rsidP="00481E63">
      <w:pPr>
        <w:pStyle w:val="FootnoteText"/>
        <w:rPr>
          <w:lang w:val="en-IE"/>
        </w:rPr>
      </w:pPr>
      <w:r>
        <w:t>(</w:t>
      </w:r>
      <w:r>
        <w:rPr>
          <w:rStyle w:val="FootnoteReference"/>
        </w:rPr>
        <w:footnoteRef/>
      </w:r>
      <w:r>
        <w:t>)</w:t>
      </w:r>
      <w:r>
        <w:tab/>
        <w:t xml:space="preserve"> </w:t>
      </w:r>
      <w:r w:rsidRPr="00CE0214">
        <w:t xml:space="preserve">Haverd, V., Smith, B., Canadell, J.G., Cuntz, M., Mikaloff‐Fletcher, S., Farquhar, G., Woodgate, W., Briggs, P.R. and Trudinger, C.M., </w:t>
      </w:r>
      <w:r>
        <w:t>‘</w:t>
      </w:r>
      <w:r w:rsidRPr="00CE0214">
        <w:t>Higher than expected CO2 fertilization inferred from leaf to global observations</w:t>
      </w:r>
      <w:r>
        <w:t>’,</w:t>
      </w:r>
      <w:r w:rsidRPr="00CE0214">
        <w:t xml:space="preserve"> </w:t>
      </w:r>
      <w:r w:rsidRPr="00CE0214">
        <w:rPr>
          <w:i/>
          <w:iCs/>
        </w:rPr>
        <w:t>Global Change Biology</w:t>
      </w:r>
      <w:r w:rsidRPr="00CE0214">
        <w:t>, 26</w:t>
      </w:r>
      <w:r>
        <w:t>,</w:t>
      </w:r>
      <w:r w:rsidRPr="00CE0214">
        <w:t>4, 2390-2402</w:t>
      </w:r>
      <w:r>
        <w:t>, 2020</w:t>
      </w:r>
      <w:r w:rsidRPr="00CE0214">
        <w:t>.</w:t>
      </w:r>
    </w:p>
  </w:footnote>
  <w:footnote w:id="198">
    <w:p w14:paraId="7534AB98" w14:textId="43D1F6BF" w:rsidR="003435CB" w:rsidRPr="00737A0B" w:rsidRDefault="003435CB" w:rsidP="003435CB">
      <w:pPr>
        <w:pStyle w:val="FootnoteText"/>
        <w:rPr>
          <w:lang w:val="en-IE"/>
        </w:rPr>
      </w:pPr>
      <w:r>
        <w:t>(</w:t>
      </w:r>
      <w:r>
        <w:rPr>
          <w:rStyle w:val="FootnoteReference"/>
        </w:rPr>
        <w:footnoteRef/>
      </w:r>
      <w:r>
        <w:t>)</w:t>
      </w:r>
      <w:r>
        <w:tab/>
        <w:t xml:space="preserve">The uncertainty is caused by changes in mortality and foliage/root turnover rates, as well as the influence of temperature and precipitation on the decomposition rates of these carbon pools. The different climate change trajectories entail different rates of carbon input to the soil (due to changes in forest dynamics) and different decomposition rates of deadwood, litter and soil carbon, resulting from changes in temperature and precipitation. </w:t>
      </w:r>
    </w:p>
  </w:footnote>
  <w:footnote w:id="199">
    <w:p w14:paraId="2357D24D" w14:textId="5BF23FE4" w:rsidR="00246CD6" w:rsidRPr="006F29F2" w:rsidRDefault="00246CD6" w:rsidP="00246CD6">
      <w:pPr>
        <w:pStyle w:val="FootnoteText"/>
        <w:rPr>
          <w:lang w:val="en-IE"/>
        </w:rPr>
      </w:pPr>
      <w:r>
        <w:rPr>
          <w:lang w:val="en-IE"/>
        </w:rPr>
        <w:t>(</w:t>
      </w:r>
      <w:r>
        <w:rPr>
          <w:rStyle w:val="FootnoteReference"/>
        </w:rPr>
        <w:footnoteRef/>
      </w:r>
      <w:r>
        <w:rPr>
          <w:lang w:val="en-IE"/>
        </w:rPr>
        <w:t>)</w:t>
      </w:r>
      <w:r w:rsidRPr="006F29F2">
        <w:rPr>
          <w:lang w:val="en-IE"/>
        </w:rPr>
        <w:t xml:space="preserve"> For </w:t>
      </w:r>
      <w:r w:rsidR="00BE622A" w:rsidRPr="006F29F2">
        <w:rPr>
          <w:lang w:val="en-IE"/>
        </w:rPr>
        <w:t>example:</w:t>
      </w:r>
      <w:r w:rsidRPr="006F29F2">
        <w:rPr>
          <w:lang w:val="en-IE"/>
        </w:rPr>
        <w:t xml:space="preserve"> Pilli, R., </w:t>
      </w:r>
      <w:r>
        <w:rPr>
          <w:lang w:val="en-IE"/>
        </w:rPr>
        <w:t>‘</w:t>
      </w:r>
      <w:r w:rsidR="00765D8E" w:rsidRPr="006F29F2">
        <w:rPr>
          <w:lang w:val="en-IE"/>
        </w:rPr>
        <w:t>The European Forest</w:t>
      </w:r>
      <w:r w:rsidRPr="006F29F2">
        <w:rPr>
          <w:lang w:val="en-IE"/>
        </w:rPr>
        <w:t xml:space="preserve"> carbon budget under future climate</w:t>
      </w:r>
      <w:r>
        <w:rPr>
          <w:lang w:val="en-IE"/>
        </w:rPr>
        <w:t xml:space="preserve"> </w:t>
      </w:r>
      <w:r w:rsidRPr="006F29F2">
        <w:rPr>
          <w:lang w:val="en-IE"/>
        </w:rPr>
        <w:t>conditions and current management practices</w:t>
      </w:r>
      <w:r>
        <w:rPr>
          <w:lang w:val="en-IE"/>
        </w:rPr>
        <w:t xml:space="preserve">’, </w:t>
      </w:r>
      <w:r w:rsidRPr="00810560">
        <w:rPr>
          <w:i/>
          <w:iCs/>
          <w:lang w:val="en-IE"/>
        </w:rPr>
        <w:t>Biogeosciences</w:t>
      </w:r>
      <w:r>
        <w:rPr>
          <w:lang w:val="en-IE"/>
        </w:rPr>
        <w:t xml:space="preserve">, 19, </w:t>
      </w:r>
      <w:r>
        <w:t>3263–3284, 2022.</w:t>
      </w:r>
    </w:p>
  </w:footnote>
  <w:footnote w:id="200">
    <w:p w14:paraId="407B0CE7" w14:textId="013E275B" w:rsidR="00481E63" w:rsidRPr="006F27B9" w:rsidRDefault="00481E63" w:rsidP="00481E63">
      <w:pPr>
        <w:pStyle w:val="FootnoteText"/>
        <w:rPr>
          <w:lang w:val="en-IE"/>
        </w:rPr>
      </w:pPr>
      <w:r>
        <w:rPr>
          <w:lang w:val="en-IE"/>
        </w:rPr>
        <w:t>(</w:t>
      </w:r>
      <w:r>
        <w:rPr>
          <w:rStyle w:val="FootnoteReference"/>
        </w:rPr>
        <w:footnoteRef/>
      </w:r>
      <w:r>
        <w:rPr>
          <w:lang w:val="en-IE"/>
        </w:rPr>
        <w:t>)</w:t>
      </w:r>
      <w:r w:rsidRPr="006F27B9">
        <w:rPr>
          <w:lang w:val="en-IE"/>
        </w:rPr>
        <w:t xml:space="preserve"> </w:t>
      </w:r>
      <w:r>
        <w:rPr>
          <w:lang w:val="en-IE"/>
        </w:rPr>
        <w:t>There is a high confidence among the</w:t>
      </w:r>
      <w:r w:rsidRPr="006F27B9">
        <w:rPr>
          <w:lang w:val="en-IE"/>
        </w:rPr>
        <w:t xml:space="preserve"> scientific community </w:t>
      </w:r>
      <w:r>
        <w:rPr>
          <w:lang w:val="en-IE"/>
        </w:rPr>
        <w:t xml:space="preserve">of the existence of a positive effect of CO2 fertilisation and extended growing seasons on forests. However, uncertainty remains on the on the size of the </w:t>
      </w:r>
      <w:r w:rsidR="00BE622A">
        <w:rPr>
          <w:lang w:val="en-IE"/>
        </w:rPr>
        <w:t>effect,</w:t>
      </w:r>
      <w:r>
        <w:rPr>
          <w:lang w:val="en-IE"/>
        </w:rPr>
        <w:t xml:space="preserve"> </w:t>
      </w:r>
      <w:r>
        <w:t>IPCC, Summary for Policymakers. In: Climate Change and Land: an IPCC special report on climate change, desertification, land degradation, sustainable land management, food security, and greenhouse gas fluxes in terrestrial ecosystems, 2019.</w:t>
      </w:r>
      <w:r>
        <w:rPr>
          <w:lang w:val="en-IE"/>
        </w:rPr>
        <w:t xml:space="preserve"> </w:t>
      </w:r>
    </w:p>
  </w:footnote>
  <w:footnote w:id="201">
    <w:p w14:paraId="4BAAD614" w14:textId="3A7275A9" w:rsidR="00D81872" w:rsidRPr="00677DD1" w:rsidRDefault="00D81872" w:rsidP="00F566BF">
      <w:pPr>
        <w:pStyle w:val="FootnoteText"/>
        <w:rPr>
          <w:lang w:val="en-IE"/>
        </w:rPr>
      </w:pPr>
      <w:r w:rsidRPr="003B4E4B">
        <w:rPr>
          <w:lang w:val="it-IT"/>
        </w:rPr>
        <w:t>(</w:t>
      </w:r>
      <w:r>
        <w:rPr>
          <w:rStyle w:val="FootnoteReference"/>
        </w:rPr>
        <w:footnoteRef/>
      </w:r>
      <w:r w:rsidRPr="003B4E4B">
        <w:rPr>
          <w:lang w:val="it-IT"/>
        </w:rPr>
        <w:t>)</w:t>
      </w:r>
      <w:r w:rsidRPr="003B4E4B">
        <w:rPr>
          <w:lang w:val="it-IT"/>
        </w:rPr>
        <w:tab/>
      </w:r>
      <w:r w:rsidR="00F669EF">
        <w:rPr>
          <w:lang w:val="it-IT"/>
        </w:rPr>
        <w:t xml:space="preserve"> </w:t>
      </w:r>
      <w:r w:rsidRPr="003B4E4B">
        <w:rPr>
          <w:lang w:val="it-IT"/>
        </w:rPr>
        <w:t xml:space="preserve">Seidl, R., Thom, D., Kautz, M., Martin-Benito, D., Peltoniemi, M., Vacchiano, G., ... </w:t>
      </w:r>
      <w:r w:rsidRPr="00677DD1">
        <w:rPr>
          <w:lang w:val="en-IE"/>
        </w:rPr>
        <w:t>&amp; Reyer, C. P.</w:t>
      </w:r>
      <w:r>
        <w:rPr>
          <w:lang w:val="en-IE"/>
        </w:rPr>
        <w:t>,</w:t>
      </w:r>
      <w:r w:rsidRPr="00677DD1">
        <w:rPr>
          <w:lang w:val="en-IE"/>
        </w:rPr>
        <w:t xml:space="preserve"> </w:t>
      </w:r>
      <w:r>
        <w:rPr>
          <w:lang w:val="en-IE"/>
        </w:rPr>
        <w:t>‘</w:t>
      </w:r>
      <w:r w:rsidRPr="00677DD1">
        <w:rPr>
          <w:lang w:val="en-IE"/>
        </w:rPr>
        <w:t xml:space="preserve">Forest disturbances under climate change’, </w:t>
      </w:r>
      <w:r w:rsidRPr="00677DD1">
        <w:rPr>
          <w:i/>
          <w:iCs/>
          <w:lang w:val="en-IE"/>
        </w:rPr>
        <w:t>Nature climate change</w:t>
      </w:r>
      <w:r w:rsidRPr="00677DD1">
        <w:rPr>
          <w:lang w:val="en-IE"/>
        </w:rPr>
        <w:t>, 7(6), 395-402, 2017.</w:t>
      </w:r>
    </w:p>
  </w:footnote>
  <w:footnote w:id="202">
    <w:p w14:paraId="73E3A723" w14:textId="5E5046B7" w:rsidR="00D81872" w:rsidRPr="00677DD1" w:rsidRDefault="00D81872" w:rsidP="00F566BF">
      <w:pPr>
        <w:pStyle w:val="FootnoteText"/>
        <w:rPr>
          <w:lang w:val="en-IE"/>
        </w:rPr>
      </w:pPr>
      <w:r w:rsidRPr="00677DD1">
        <w:rPr>
          <w:lang w:val="en-IE"/>
        </w:rPr>
        <w:t>(</w:t>
      </w:r>
      <w:r>
        <w:rPr>
          <w:rStyle w:val="FootnoteReference"/>
        </w:rPr>
        <w:footnoteRef/>
      </w:r>
      <w:r w:rsidRPr="00677DD1">
        <w:rPr>
          <w:lang w:val="en-IE"/>
        </w:rPr>
        <w:t>)</w:t>
      </w:r>
      <w:r w:rsidRPr="00677DD1">
        <w:rPr>
          <w:rFonts w:ascii="Times New Roman" w:hAnsi="Times New Roman" w:cs="Times New Roman"/>
          <w:lang w:val="en-IE"/>
        </w:rPr>
        <w:tab/>
      </w:r>
      <w:r w:rsidR="00F669EF">
        <w:rPr>
          <w:rFonts w:ascii="Times New Roman" w:hAnsi="Times New Roman" w:cs="Times New Roman"/>
          <w:lang w:val="en-IE"/>
        </w:rPr>
        <w:t xml:space="preserve"> </w:t>
      </w:r>
      <w:r w:rsidRPr="00677DD1">
        <w:rPr>
          <w:rFonts w:ascii="Times New Roman" w:hAnsi="Times New Roman" w:cs="Times New Roman"/>
          <w:color w:val="222222"/>
          <w:szCs w:val="20"/>
          <w:shd w:val="clear" w:color="auto" w:fill="FFFFFF"/>
        </w:rPr>
        <w:t>Asensio, D., Zuccarini, P., Ogaya, R., Marañón-Jiménez, S., Sardans, J., &amp; Peñuelas, J., ‘Simulated climate change and seasonal drought increase carbon and phosphorus demand in Mediterranean forest soils’, </w:t>
      </w:r>
      <w:r w:rsidRPr="00677DD1">
        <w:rPr>
          <w:rFonts w:ascii="Times New Roman" w:hAnsi="Times New Roman" w:cs="Times New Roman"/>
          <w:i/>
          <w:iCs/>
          <w:color w:val="222222"/>
          <w:szCs w:val="20"/>
          <w:shd w:val="clear" w:color="auto" w:fill="FFFFFF"/>
        </w:rPr>
        <w:t>Soil biology and biochemistryä,</w:t>
      </w:r>
      <w:r w:rsidRPr="00677DD1">
        <w:rPr>
          <w:rFonts w:ascii="Times New Roman" w:hAnsi="Times New Roman" w:cs="Times New Roman"/>
          <w:color w:val="222222"/>
          <w:szCs w:val="20"/>
          <w:shd w:val="clear" w:color="auto" w:fill="FFFFFF"/>
        </w:rPr>
        <w:t> 163, 108424, 2021.</w:t>
      </w:r>
    </w:p>
  </w:footnote>
  <w:footnote w:id="203">
    <w:p w14:paraId="7F8FDCCD" w14:textId="41194B4D" w:rsidR="00D81872" w:rsidRPr="0018111D" w:rsidRDefault="00D81872" w:rsidP="00F566BF">
      <w:pPr>
        <w:pStyle w:val="FootnoteText"/>
        <w:rPr>
          <w:lang w:val="en-IE"/>
        </w:rPr>
      </w:pPr>
      <w:r>
        <w:t>(</w:t>
      </w:r>
      <w:r>
        <w:rPr>
          <w:rStyle w:val="FootnoteReference"/>
        </w:rPr>
        <w:footnoteRef/>
      </w:r>
      <w:r>
        <w:t>)</w:t>
      </w:r>
      <w:r>
        <w:tab/>
      </w:r>
      <w:r w:rsidR="00F669EF">
        <w:t xml:space="preserve"> </w:t>
      </w:r>
      <w:r>
        <w:t>Copernicus Climate Change Service, ‘European State of the Climate Summary 2022’, 2022.</w:t>
      </w:r>
    </w:p>
  </w:footnote>
  <w:footnote w:id="204">
    <w:p w14:paraId="116ADD8A" w14:textId="79A3ECB7" w:rsidR="0095019B" w:rsidRPr="003C236A" w:rsidRDefault="0095019B" w:rsidP="0095019B">
      <w:pPr>
        <w:pStyle w:val="FootnoteText"/>
        <w:rPr>
          <w:lang w:val="en-IE"/>
        </w:rPr>
      </w:pPr>
      <w:r>
        <w:t>(</w:t>
      </w:r>
      <w:r>
        <w:rPr>
          <w:rStyle w:val="FootnoteReference"/>
        </w:rPr>
        <w:footnoteRef/>
      </w:r>
      <w:r>
        <w:t>)</w:t>
      </w:r>
      <w:r w:rsidR="00F669EF">
        <w:t xml:space="preserve"> </w:t>
      </w:r>
      <w:r>
        <w:t>corroborating with the results (Laurila et al. 2021)</w:t>
      </w:r>
    </w:p>
  </w:footnote>
  <w:footnote w:id="205">
    <w:p w14:paraId="4BC1A61D" w14:textId="77777777" w:rsidR="00D81872" w:rsidRPr="00677DD1" w:rsidRDefault="00D81872">
      <w:pPr>
        <w:pStyle w:val="FootnoteText"/>
        <w:rPr>
          <w:lang w:val="en-IE"/>
        </w:rPr>
      </w:pPr>
      <w:r>
        <w:t>(</w:t>
      </w:r>
      <w:r>
        <w:rPr>
          <w:rStyle w:val="FootnoteReference"/>
        </w:rPr>
        <w:footnoteRef/>
      </w:r>
      <w:r>
        <w:t>)</w:t>
      </w:r>
      <w:r>
        <w:tab/>
      </w:r>
      <w:r w:rsidRPr="009C6A66">
        <w:t xml:space="preserve">Patacca, M., Lindner, M., Lucas-Borja, M. E., Cordonnier, T., Fidej, G., Gardiner, B., Hauf, Y., Jasinevičius, G., Labonne, S., Linkevičius, E., Mahnken, M., Milanovic, S., Nabuurs, G.-J., Nagel, T. A., Nikinmaa, L., Panyatov, M., Bercak, R., Seidl, R., Ostrogović Sever, M. Z. … Schelhaas, M.-J. </w:t>
      </w:r>
      <w:r>
        <w:t>‘</w:t>
      </w:r>
      <w:r w:rsidRPr="009C6A66">
        <w:t>Significant increase in natural disturbance impacts on European forests since 1950</w:t>
      </w:r>
      <w:r>
        <w:t>’,</w:t>
      </w:r>
      <w:r w:rsidRPr="009C6A66">
        <w:t xml:space="preserve"> </w:t>
      </w:r>
      <w:r w:rsidRPr="00677DD1">
        <w:rPr>
          <w:i/>
          <w:iCs/>
        </w:rPr>
        <w:t>Global Change Biology</w:t>
      </w:r>
      <w:r w:rsidRPr="009C6A66">
        <w:t>, 29, 1359–1376</w:t>
      </w:r>
      <w:r>
        <w:t>, 2023</w:t>
      </w:r>
      <w:r w:rsidRPr="009C6A66">
        <w:t>.</w:t>
      </w:r>
    </w:p>
  </w:footnote>
  <w:footnote w:id="206">
    <w:p w14:paraId="5F0E7C1A" w14:textId="77777777" w:rsidR="00D81872" w:rsidRPr="00A74843" w:rsidRDefault="00D81872">
      <w:pPr>
        <w:pStyle w:val="FootnoteText"/>
      </w:pPr>
      <w:r>
        <w:t>(</w:t>
      </w:r>
      <w:r>
        <w:rPr>
          <w:rStyle w:val="FootnoteReference"/>
        </w:rPr>
        <w:footnoteRef/>
      </w:r>
      <w:r>
        <w:t>)</w:t>
      </w:r>
      <w:r>
        <w:tab/>
        <w:t xml:space="preserve">In total, </w:t>
      </w:r>
      <w:r w:rsidRPr="00A74843">
        <w:t>333,066,346</w:t>
      </w:r>
      <w:r>
        <w:t xml:space="preserve"> m³ of forest are damaged in the simulation, wind damages </w:t>
      </w:r>
      <w:r>
        <w:rPr>
          <w:color w:val="000000"/>
        </w:rPr>
        <w:t xml:space="preserve">228,520,374 m³, biotic agents 77,828,111m³, and fire </w:t>
      </w:r>
      <w:r w:rsidRPr="00A74843">
        <w:rPr>
          <w:color w:val="000000"/>
        </w:rPr>
        <w:t xml:space="preserve">26,717,862 </w:t>
      </w:r>
      <w:r>
        <w:rPr>
          <w:color w:val="000000"/>
        </w:rPr>
        <w:t xml:space="preserve">m³ of forest wood. </w:t>
      </w:r>
    </w:p>
  </w:footnote>
  <w:footnote w:id="207">
    <w:p w14:paraId="49BBDBEB" w14:textId="2371938A" w:rsidR="00D81872" w:rsidRPr="005B0908" w:rsidRDefault="0095019B" w:rsidP="00F566BF">
      <w:pPr>
        <w:pStyle w:val="FootnoteText"/>
        <w:rPr>
          <w:lang w:val="en-IE"/>
        </w:rPr>
      </w:pPr>
      <w:r>
        <w:t>(</w:t>
      </w:r>
      <w:r>
        <w:rPr>
          <w:rStyle w:val="FootnoteReference"/>
        </w:rPr>
        <w:footnoteRef/>
      </w:r>
      <w:r>
        <w:t>)</w:t>
      </w:r>
      <w:r>
        <w:tab/>
      </w:r>
      <w:r>
        <w:rPr>
          <w:lang w:val="en-US"/>
        </w:rPr>
        <w:t>Disturbances usually damage older and larger trees, therefore, the extreme disturbance event eliminates a considerable amount of older trees, shifting the age structure of the damaged forest and enhancing forest regrowth. The model assumes that 86% of wood damaged by wind, 72% of wood damaged by biotic and 54% of wood damaged by fire, is harvested. The rest of the damaged wood is becoming deadwood and litter when disturbed by wind or biotic agents, while for wildfires about 10% of merchantable wood and 22% of litter and deadwood are burnt.</w:t>
      </w:r>
    </w:p>
  </w:footnote>
  <w:footnote w:id="208">
    <w:p w14:paraId="4D230505" w14:textId="5389A55F" w:rsidR="00F566BF" w:rsidRPr="00286AFF" w:rsidRDefault="00D81872" w:rsidP="00F566BF">
      <w:pPr>
        <w:pStyle w:val="FootnoteText"/>
        <w:rPr>
          <w:lang w:val="en-IE"/>
        </w:rPr>
      </w:pPr>
      <w:r>
        <w:t>(</w:t>
      </w:r>
      <w:r>
        <w:rPr>
          <w:rStyle w:val="FootnoteReference"/>
        </w:rPr>
        <w:footnoteRef/>
      </w:r>
      <w:r>
        <w:t>)</w:t>
      </w:r>
      <w:r>
        <w:tab/>
      </w:r>
      <w:r w:rsidRPr="001E2F98">
        <w:t>Gardiner, B., Schuck, A. R. T., Schelhaas, M. J., Orazio, C., Blennow, K., &amp; Nicoll, B. (Eds.</w:t>
      </w:r>
      <w:r w:rsidR="00BE622A" w:rsidRPr="001E2F98">
        <w:t>).</w:t>
      </w:r>
      <w:r w:rsidRPr="001E2F98">
        <w:t> </w:t>
      </w:r>
      <w:r>
        <w:t>’</w:t>
      </w:r>
      <w:r w:rsidRPr="001E2F98">
        <w:t>Living with storm damage to forests</w:t>
      </w:r>
      <w:r>
        <w:t>’,</w:t>
      </w:r>
      <w:r w:rsidRPr="001E2F98">
        <w:t> Vol. 3, pp. 129-p</w:t>
      </w:r>
      <w:r>
        <w:t>,</w:t>
      </w:r>
      <w:r w:rsidRPr="001E2F98">
        <w:t xml:space="preserve"> Joensuu: European Forest Institute</w:t>
      </w:r>
      <w:r>
        <w:t>, 2013.</w:t>
      </w:r>
    </w:p>
  </w:footnote>
  <w:footnote w:id="209">
    <w:p w14:paraId="314D32D0" w14:textId="4D723D67" w:rsidR="00A1313E" w:rsidRPr="00C720EE" w:rsidRDefault="00A1313E">
      <w:pPr>
        <w:pStyle w:val="FootnoteText"/>
        <w:rPr>
          <w:lang w:val="en-US"/>
        </w:rPr>
      </w:pPr>
      <w:r>
        <w:t>(</w:t>
      </w:r>
      <w:r>
        <w:rPr>
          <w:rStyle w:val="FootnoteReference"/>
        </w:rPr>
        <w:footnoteRef/>
      </w:r>
      <w:r>
        <w:t>)</w:t>
      </w:r>
      <w:r>
        <w:tab/>
        <w:t xml:space="preserve"> </w:t>
      </w:r>
      <w:r w:rsidRPr="00C720EE">
        <w:t>E</w:t>
      </w:r>
      <w:r w:rsidR="009A0EE6">
        <w:t xml:space="preserve">uropean </w:t>
      </w:r>
      <w:r w:rsidRPr="00C720EE">
        <w:t>E</w:t>
      </w:r>
      <w:r w:rsidR="009A0EE6">
        <w:t xml:space="preserve">nvironment </w:t>
      </w:r>
      <w:r w:rsidRPr="00C720EE">
        <w:t>A</w:t>
      </w:r>
      <w:r w:rsidR="009A0EE6">
        <w:t>gency (2021).</w:t>
      </w:r>
      <w:r w:rsidRPr="00C720EE">
        <w:t xml:space="preserve"> Air Quality in Europe 2021.</w:t>
      </w:r>
    </w:p>
  </w:footnote>
  <w:footnote w:id="210">
    <w:p w14:paraId="0A7E3322" w14:textId="1BEA90ED" w:rsidR="00A1313E" w:rsidRPr="00C720EE" w:rsidRDefault="00A1313E">
      <w:pPr>
        <w:pStyle w:val="FootnoteText"/>
        <w:rPr>
          <w:lang w:val="en-US"/>
        </w:rPr>
      </w:pPr>
      <w:r>
        <w:t>(</w:t>
      </w:r>
      <w:r>
        <w:rPr>
          <w:rStyle w:val="FootnoteReference"/>
        </w:rPr>
        <w:footnoteRef/>
      </w:r>
      <w:r>
        <w:t>)</w:t>
      </w:r>
      <w:r>
        <w:tab/>
        <w:t xml:space="preserve"> </w:t>
      </w:r>
      <w:r w:rsidRPr="00C720EE">
        <w:t>United States Environmental Protection Agency</w:t>
      </w:r>
      <w:r w:rsidR="009A0EE6">
        <w:t xml:space="preserve"> (2022). </w:t>
      </w:r>
      <w:r w:rsidRPr="00C720EE">
        <w:t>Supplement to the 2019 Integrated Science Assessment for Particulate Matter.</w:t>
      </w:r>
    </w:p>
  </w:footnote>
  <w:footnote w:id="211">
    <w:p w14:paraId="27ED2E28" w14:textId="384EDE6B" w:rsidR="00A1313E" w:rsidRPr="00C720EE" w:rsidRDefault="00A1313E">
      <w:pPr>
        <w:pStyle w:val="FootnoteText"/>
        <w:rPr>
          <w:lang w:val="en-US"/>
        </w:rPr>
      </w:pPr>
      <w:r>
        <w:t>(</w:t>
      </w:r>
      <w:r>
        <w:rPr>
          <w:rStyle w:val="FootnoteReference"/>
        </w:rPr>
        <w:footnoteRef/>
      </w:r>
      <w:r>
        <w:t>)</w:t>
      </w:r>
      <w:r>
        <w:tab/>
        <w:t xml:space="preserve"> </w:t>
      </w:r>
      <w:r w:rsidR="009A0EE6" w:rsidRPr="00C720EE">
        <w:t>E</w:t>
      </w:r>
      <w:r w:rsidR="009A0EE6">
        <w:t xml:space="preserve">uropean </w:t>
      </w:r>
      <w:r w:rsidR="009A0EE6" w:rsidRPr="00C720EE">
        <w:t>E</w:t>
      </w:r>
      <w:r w:rsidR="009A0EE6">
        <w:t xml:space="preserve">nvironment </w:t>
      </w:r>
      <w:r w:rsidR="009A0EE6" w:rsidRPr="00C720EE">
        <w:t>A</w:t>
      </w:r>
      <w:r w:rsidR="009A0EE6">
        <w:t>gency (2018).</w:t>
      </w:r>
      <w:r w:rsidRPr="00C720EE">
        <w:t xml:space="preserve"> Unequal exposure and unequal impacts: social vulnerability to air pollution, noise and extreme temperatures in Europe.</w:t>
      </w:r>
    </w:p>
  </w:footnote>
  <w:footnote w:id="212">
    <w:p w14:paraId="1911DE01" w14:textId="37B8A59D" w:rsidR="00A1313E" w:rsidRPr="00C720EE" w:rsidRDefault="00A1313E">
      <w:pPr>
        <w:pStyle w:val="FootnoteText"/>
        <w:rPr>
          <w:lang w:val="en-US"/>
        </w:rPr>
      </w:pPr>
      <w:r>
        <w:t>(</w:t>
      </w:r>
      <w:r>
        <w:rPr>
          <w:rStyle w:val="FootnoteReference"/>
        </w:rPr>
        <w:footnoteRef/>
      </w:r>
      <w:r>
        <w:t>)</w:t>
      </w:r>
      <w:r>
        <w:tab/>
        <w:t xml:space="preserve"> </w:t>
      </w:r>
      <w:r w:rsidRPr="00C720EE">
        <w:t>COM(202</w:t>
      </w:r>
      <w:r w:rsidR="00001FA6">
        <w:t>2</w:t>
      </w:r>
      <w:r w:rsidRPr="00C720EE">
        <w:t xml:space="preserve">) </w:t>
      </w:r>
      <w:r w:rsidR="00001FA6">
        <w:t>67</w:t>
      </w:r>
      <w:r w:rsidRPr="00C720EE">
        <w:t>3 final</w:t>
      </w:r>
      <w:r>
        <w:t xml:space="preserve"> (The </w:t>
      </w:r>
      <w:r w:rsidR="00001FA6">
        <w:t>Thir</w:t>
      </w:r>
      <w:r>
        <w:t>d Clean Air Outlook).</w:t>
      </w:r>
    </w:p>
  </w:footnote>
  <w:footnote w:id="213">
    <w:p w14:paraId="160747CF" w14:textId="1F4A640D" w:rsidR="00A1313E" w:rsidRPr="00C720EE" w:rsidRDefault="00A1313E">
      <w:pPr>
        <w:pStyle w:val="FootnoteText"/>
        <w:rPr>
          <w:lang w:val="en-US"/>
        </w:rPr>
      </w:pPr>
      <w:r>
        <w:t>(</w:t>
      </w:r>
      <w:r>
        <w:rPr>
          <w:rStyle w:val="FootnoteReference"/>
        </w:rPr>
        <w:footnoteRef/>
      </w:r>
      <w:r>
        <w:t>)</w:t>
      </w:r>
      <w:r>
        <w:tab/>
        <w:t xml:space="preserve"> </w:t>
      </w:r>
      <w:r w:rsidRPr="00C720EE">
        <w:t>Vandyck, T. et al</w:t>
      </w:r>
      <w:r>
        <w:t>.</w:t>
      </w:r>
      <w:r w:rsidR="00062355">
        <w:t xml:space="preserve"> (2018).</w:t>
      </w:r>
      <w:r w:rsidRPr="00C720EE">
        <w:t xml:space="preserve"> Air quality co-benefits for human health and agriculture counterbalance costs to meet Paris Agreement pledges</w:t>
      </w:r>
      <w:r w:rsidR="00062355">
        <w:t>,</w:t>
      </w:r>
      <w:r w:rsidRPr="00C720EE">
        <w:t xml:space="preserve"> </w:t>
      </w:r>
      <w:r w:rsidRPr="007B6DB7">
        <w:rPr>
          <w:i/>
          <w:iCs/>
        </w:rPr>
        <w:t>Nature Communications</w:t>
      </w:r>
      <w:r>
        <w:t>,</w:t>
      </w:r>
      <w:r w:rsidRPr="00C720EE">
        <w:t xml:space="preserve"> </w:t>
      </w:r>
      <w:r>
        <w:t xml:space="preserve">Vol. </w:t>
      </w:r>
      <w:r w:rsidRPr="00C720EE">
        <w:t xml:space="preserve">9, </w:t>
      </w:r>
      <w:r>
        <w:t xml:space="preserve">No. </w:t>
      </w:r>
      <w:r w:rsidRPr="00C720EE">
        <w:t>4939.</w:t>
      </w:r>
    </w:p>
  </w:footnote>
  <w:footnote w:id="214">
    <w:p w14:paraId="34C001BF" w14:textId="0F32AC9F" w:rsidR="00D72382" w:rsidRPr="00D72382" w:rsidRDefault="00D72382" w:rsidP="00D72382">
      <w:pPr>
        <w:pStyle w:val="FootnoteText"/>
        <w:rPr>
          <w:lang w:val="en-US"/>
        </w:rPr>
      </w:pPr>
      <w:r>
        <w:t>(</w:t>
      </w:r>
      <w:r>
        <w:rPr>
          <w:rStyle w:val="FootnoteReference"/>
        </w:rPr>
        <w:footnoteRef/>
      </w:r>
      <w:r>
        <w:t>)</w:t>
      </w:r>
      <w:r>
        <w:tab/>
        <w:t xml:space="preserve"> </w:t>
      </w:r>
      <w:r w:rsidRPr="00D72382">
        <w:t>World Meteorological Organization</w:t>
      </w:r>
      <w:r w:rsidR="00062355">
        <w:t xml:space="preserve"> (2023).</w:t>
      </w:r>
      <w:r w:rsidRPr="00D72382">
        <w:t xml:space="preserve"> WMO Air Quality and Climate Bulletin, No 3, September 2023.</w:t>
      </w:r>
    </w:p>
  </w:footnote>
  <w:footnote w:id="215">
    <w:p w14:paraId="3824FFB3" w14:textId="319FB089" w:rsidR="00B33F81" w:rsidRPr="00B33F81" w:rsidRDefault="00B33F81">
      <w:pPr>
        <w:pStyle w:val="FootnoteText"/>
        <w:rPr>
          <w:lang w:val="en-US"/>
        </w:rPr>
      </w:pPr>
      <w:r>
        <w:t>(</w:t>
      </w:r>
      <w:r>
        <w:rPr>
          <w:rStyle w:val="FootnoteReference"/>
        </w:rPr>
        <w:footnoteRef/>
      </w:r>
      <w:r>
        <w:t>)</w:t>
      </w:r>
      <w:r>
        <w:tab/>
        <w:t xml:space="preserve"> </w:t>
      </w:r>
      <w:r w:rsidR="00C35800">
        <w:t>Note that t</w:t>
      </w:r>
      <w:r w:rsidRPr="00B33F81">
        <w:t xml:space="preserve">he methodology used in this impact assessment is similar to the one used </w:t>
      </w:r>
      <w:r w:rsidR="00C35800">
        <w:t>in</w:t>
      </w:r>
      <w:r w:rsidRPr="00B33F81">
        <w:t xml:space="preserve"> the Third Clean Air Outlook (COM(2022) 673).</w:t>
      </w:r>
    </w:p>
  </w:footnote>
  <w:footnote w:id="216">
    <w:p w14:paraId="0A19ED5E" w14:textId="65B73ACA" w:rsidR="00A6433F" w:rsidRPr="00BE79E0" w:rsidRDefault="00A6433F" w:rsidP="00A6433F">
      <w:pPr>
        <w:pStyle w:val="FootnoteText"/>
        <w:rPr>
          <w:lang w:val="en-US"/>
        </w:rPr>
      </w:pPr>
      <w:r>
        <w:t>(</w:t>
      </w:r>
      <w:r>
        <w:rPr>
          <w:rStyle w:val="FootnoteReference"/>
        </w:rPr>
        <w:footnoteRef/>
      </w:r>
      <w:r>
        <w:t>)</w:t>
      </w:r>
      <w:r>
        <w:tab/>
        <w:t>E</w:t>
      </w:r>
      <w:r w:rsidR="00062355">
        <w:t xml:space="preserve">uropean </w:t>
      </w:r>
      <w:r>
        <w:t>E</w:t>
      </w:r>
      <w:r w:rsidR="00062355">
        <w:t xml:space="preserve">nvironment </w:t>
      </w:r>
      <w:r>
        <w:t>A</w:t>
      </w:r>
      <w:r w:rsidR="00062355">
        <w:t xml:space="preserve">gency (2019). </w:t>
      </w:r>
      <w:r w:rsidRPr="00BE79E0">
        <w:t>Renewable energy in Europe: key for climate objectives, but air pollution needs attention</w:t>
      </w:r>
      <w:r>
        <w:t>.</w:t>
      </w:r>
    </w:p>
  </w:footnote>
  <w:footnote w:id="217">
    <w:p w14:paraId="1FB3E673" w14:textId="69C38B85" w:rsidR="00A6433F" w:rsidRPr="007E2228" w:rsidRDefault="00A6433F" w:rsidP="00A6433F">
      <w:pPr>
        <w:pStyle w:val="FootnoteText"/>
        <w:rPr>
          <w:lang w:val="en-US"/>
        </w:rPr>
      </w:pPr>
      <w:r>
        <w:t>(</w:t>
      </w:r>
      <w:r>
        <w:rPr>
          <w:rStyle w:val="FootnoteReference"/>
        </w:rPr>
        <w:footnoteRef/>
      </w:r>
      <w:r>
        <w:t>)</w:t>
      </w:r>
      <w:r>
        <w:tab/>
      </w:r>
      <w:r w:rsidR="00062355">
        <w:t>European Environment Agency.</w:t>
      </w:r>
      <w:r>
        <w:t xml:space="preserve"> </w:t>
      </w:r>
      <w:r w:rsidRPr="007E2228">
        <w:t>National air pollutant emissions data viewer 2005-2021</w:t>
      </w:r>
      <w:r>
        <w:t xml:space="preserve"> (online). [Retrieved in August 2023.]</w:t>
      </w:r>
    </w:p>
  </w:footnote>
  <w:footnote w:id="218">
    <w:p w14:paraId="68643B04" w14:textId="39FE766D" w:rsidR="0093589F" w:rsidRPr="0093589F" w:rsidRDefault="0093589F">
      <w:pPr>
        <w:pStyle w:val="FootnoteText"/>
        <w:rPr>
          <w:lang w:val="en-US"/>
        </w:rPr>
      </w:pPr>
      <w:r>
        <w:t>(</w:t>
      </w:r>
      <w:r>
        <w:rPr>
          <w:rStyle w:val="FootnoteReference"/>
        </w:rPr>
        <w:footnoteRef/>
      </w:r>
      <w:r>
        <w:t>)</w:t>
      </w:r>
      <w:r>
        <w:tab/>
        <w:t xml:space="preserve"> The analysis</w:t>
      </w:r>
      <w:r w:rsidRPr="0093589F">
        <w:t xml:space="preserve"> </w:t>
      </w:r>
      <w:r>
        <w:t xml:space="preserve">considers the direct effects of PM2.5 </w:t>
      </w:r>
      <w:r w:rsidR="00750034">
        <w:t>(full exposure range)</w:t>
      </w:r>
      <w:r>
        <w:t xml:space="preserve"> and ozone on human health, together with the indirect effects of NOx as precursors of particulate matter and ozone. However, the direct effects of NO2 are not considered</w:t>
      </w:r>
      <w:r w:rsidR="00CB7E7A">
        <w:t xml:space="preserve"> to avoid the risk of double counting</w:t>
      </w:r>
      <w:r>
        <w:t xml:space="preserve">, </w:t>
      </w:r>
      <w:r w:rsidR="00CB7E7A">
        <w:t>since</w:t>
      </w:r>
      <w:r>
        <w:t xml:space="preserve"> there is conflicting scientific evidence on the extent </w:t>
      </w:r>
      <w:r w:rsidR="00CB7E7A">
        <w:t xml:space="preserve">to which </w:t>
      </w:r>
      <w:r>
        <w:t>the health impacts of PM2.5</w:t>
      </w:r>
      <w:r w:rsidR="004E2DED">
        <w:t xml:space="preserve"> and NO2</w:t>
      </w:r>
      <w:r w:rsidR="00CB7E7A">
        <w:t xml:space="preserve"> overlap</w:t>
      </w:r>
      <w:r>
        <w:t xml:space="preserve">.  </w:t>
      </w:r>
    </w:p>
  </w:footnote>
  <w:footnote w:id="219">
    <w:p w14:paraId="2C4CCE4D" w14:textId="7D6AA7B1" w:rsidR="00222977" w:rsidRPr="0093589F" w:rsidRDefault="00222977">
      <w:pPr>
        <w:pStyle w:val="FootnoteText"/>
        <w:rPr>
          <w:lang w:val="en-US"/>
        </w:rPr>
      </w:pPr>
      <w:r>
        <w:t>(</w:t>
      </w:r>
      <w:r>
        <w:rPr>
          <w:rStyle w:val="FootnoteReference"/>
        </w:rPr>
        <w:footnoteRef/>
      </w:r>
      <w:r>
        <w:t>)</w:t>
      </w:r>
      <w:r>
        <w:tab/>
        <w:t xml:space="preserve"> Like the Third Clean Air Outlook, this impact assessment assumes that on average </w:t>
      </w:r>
      <w:r w:rsidRPr="00222977">
        <w:t xml:space="preserve">one year </w:t>
      </w:r>
      <w:r>
        <w:t>of life</w:t>
      </w:r>
      <w:r w:rsidRPr="00222977">
        <w:t xml:space="preserve"> </w:t>
      </w:r>
      <w:r>
        <w:t xml:space="preserve">is </w:t>
      </w:r>
      <w:r w:rsidRPr="00222977">
        <w:t xml:space="preserve">lost </w:t>
      </w:r>
      <w:r>
        <w:t>for each premature death caused by ozone exposure.</w:t>
      </w:r>
    </w:p>
  </w:footnote>
  <w:footnote w:id="220">
    <w:p w14:paraId="32A5336B" w14:textId="501A7A8C" w:rsidR="00A1313E" w:rsidRPr="00E668EE" w:rsidRDefault="00A1313E">
      <w:pPr>
        <w:pStyle w:val="FootnoteText"/>
        <w:rPr>
          <w:lang w:val="en-US"/>
        </w:rPr>
      </w:pPr>
      <w:r>
        <w:t>(</w:t>
      </w:r>
      <w:r>
        <w:rPr>
          <w:rStyle w:val="FootnoteReference"/>
        </w:rPr>
        <w:footnoteRef/>
      </w:r>
      <w:r>
        <w:t>)</w:t>
      </w:r>
      <w:r>
        <w:tab/>
        <w:t xml:space="preserve"> </w:t>
      </w:r>
      <w:r w:rsidR="008A4A19" w:rsidRPr="008A4A19">
        <w:t xml:space="preserve">In accordance with the </w:t>
      </w:r>
      <w:r w:rsidR="008A4A19" w:rsidRPr="00FF5625">
        <w:t>premature mortality valuation methodology used in the Third Clean Air Outlook (COM(2022) 673).</w:t>
      </w:r>
      <w:r w:rsidR="009B21F6" w:rsidRPr="00FF5625">
        <w:t xml:space="preserve"> Note that in the Third Clean Air Outlook the value of a statistical life and the value of a life year are expressed in EUR 2015, whereas in this impact assessment the</w:t>
      </w:r>
      <w:r w:rsidR="00DF3780" w:rsidRPr="00FF5625">
        <w:t>se values</w:t>
      </w:r>
      <w:r w:rsidR="009B21F6" w:rsidRPr="00FF5625">
        <w:t xml:space="preserve"> are expressed in EUR 2023.</w:t>
      </w:r>
    </w:p>
  </w:footnote>
  <w:footnote w:id="221">
    <w:p w14:paraId="12ACE109" w14:textId="2F96FF61" w:rsidR="00EE243A" w:rsidRPr="00465F10" w:rsidRDefault="00EE243A">
      <w:pPr>
        <w:pStyle w:val="FootnoteText"/>
        <w:rPr>
          <w:lang w:val="en-US"/>
        </w:rPr>
      </w:pPr>
      <w:r>
        <w:t>(</w:t>
      </w:r>
      <w:r>
        <w:rPr>
          <w:rStyle w:val="FootnoteReference"/>
        </w:rPr>
        <w:footnoteRef/>
      </w:r>
      <w:r>
        <w:t>)</w:t>
      </w:r>
      <w:r>
        <w:tab/>
        <w:t>As indicated in the</w:t>
      </w:r>
      <w:r w:rsidRPr="00EE243A">
        <w:t xml:space="preserve"> Third Clean Air Outlook</w:t>
      </w:r>
      <w:r>
        <w:t xml:space="preserve"> (Annex to the Final Report, p. 122),</w:t>
      </w:r>
      <w:r w:rsidRPr="00EE243A">
        <w:t xml:space="preserve"> premature mortality caused by ozone exposure </w:t>
      </w:r>
      <w:r>
        <w:t>is</w:t>
      </w:r>
      <w:r w:rsidRPr="00EE243A">
        <w:t xml:space="preserve"> considered only </w:t>
      </w:r>
      <w:r>
        <w:t>in</w:t>
      </w:r>
      <w:r w:rsidRPr="00EE243A">
        <w:t xml:space="preserve"> the VOLY method, but not </w:t>
      </w:r>
      <w:r>
        <w:t xml:space="preserve">in </w:t>
      </w:r>
      <w:r w:rsidRPr="00EE243A">
        <w:t>the VSL method.</w:t>
      </w:r>
    </w:p>
  </w:footnote>
  <w:footnote w:id="222">
    <w:p w14:paraId="1AF35804" w14:textId="77777777" w:rsidR="002B7F04" w:rsidRPr="002F42C0" w:rsidRDefault="002B7F04" w:rsidP="00F26B75">
      <w:pPr>
        <w:pStyle w:val="FootnoteText"/>
        <w:rPr>
          <w:rFonts w:ascii="Times New Roman" w:hAnsi="Times New Roman" w:cs="Times New Roman"/>
          <w:szCs w:val="20"/>
          <w:lang w:val="en-IE"/>
        </w:rPr>
      </w:pPr>
      <w:r w:rsidRPr="003B4E4B">
        <w:rPr>
          <w:rFonts w:ascii="Times New Roman" w:hAnsi="Times New Roman" w:cs="Times New Roman"/>
          <w:szCs w:val="20"/>
          <w:lang w:val="nl-NL"/>
        </w:rPr>
        <w:t>(</w:t>
      </w:r>
      <w:r w:rsidRPr="003B4E4B">
        <w:rPr>
          <w:rStyle w:val="FootnoteReference"/>
          <w:rFonts w:ascii="Times New Roman" w:hAnsi="Times New Roman" w:cs="Times New Roman"/>
          <w:szCs w:val="20"/>
        </w:rPr>
        <w:footnoteRef/>
      </w:r>
      <w:r w:rsidRPr="003B4E4B">
        <w:rPr>
          <w:rFonts w:ascii="Times New Roman" w:hAnsi="Times New Roman" w:cs="Times New Roman"/>
          <w:szCs w:val="20"/>
          <w:lang w:val="nl-NL"/>
        </w:rPr>
        <w:t>)</w:t>
      </w:r>
      <w:r w:rsidRPr="003B4E4B">
        <w:rPr>
          <w:rFonts w:ascii="Times New Roman" w:hAnsi="Times New Roman" w:cs="Times New Roman"/>
          <w:szCs w:val="20"/>
          <w:lang w:val="nl-NL"/>
        </w:rPr>
        <w:tab/>
        <w:t xml:space="preserve">Warren, R., </w:t>
      </w:r>
      <w:r w:rsidRPr="002F42C0">
        <w:rPr>
          <w:rFonts w:ascii="Times New Roman" w:hAnsi="Times New Roman" w:cs="Times New Roman"/>
          <w:szCs w:val="20"/>
          <w:lang w:val="nl-NL"/>
        </w:rPr>
        <w:t xml:space="preserve">VanDerWal, J., Price, J. et al. </w:t>
      </w:r>
      <w:r w:rsidRPr="002F42C0">
        <w:rPr>
          <w:rFonts w:ascii="Times New Roman" w:hAnsi="Times New Roman" w:cs="Times New Roman"/>
          <w:szCs w:val="20"/>
        </w:rPr>
        <w:t>Quantifying the benefit of early climate change mitigation in avoiding biodiversity loss. Nature Clim Change 3, 678–682 (2013)</w:t>
      </w:r>
    </w:p>
  </w:footnote>
  <w:footnote w:id="223">
    <w:p w14:paraId="4E24B4D0" w14:textId="5E9D92A7" w:rsidR="00070D96" w:rsidRPr="002F42C0" w:rsidRDefault="00070D96">
      <w:pPr>
        <w:pStyle w:val="FootnoteText"/>
        <w:rPr>
          <w:rFonts w:ascii="Times New Roman" w:hAnsi="Times New Roman" w:cs="Times New Roman"/>
          <w:szCs w:val="20"/>
          <w:lang w:val="en-IE"/>
        </w:rPr>
      </w:pPr>
      <w:r w:rsidRPr="002F42C0">
        <w:rPr>
          <w:rFonts w:ascii="Times New Roman" w:hAnsi="Times New Roman" w:cs="Times New Roman"/>
          <w:szCs w:val="20"/>
        </w:rPr>
        <w:t>(</w:t>
      </w:r>
      <w:r w:rsidRPr="002F42C0">
        <w:rPr>
          <w:rStyle w:val="FootnoteReference"/>
          <w:rFonts w:ascii="Times New Roman" w:hAnsi="Times New Roman" w:cs="Times New Roman"/>
          <w:szCs w:val="20"/>
        </w:rPr>
        <w:footnoteRef/>
      </w:r>
      <w:r w:rsidRPr="002F42C0">
        <w:rPr>
          <w:rFonts w:ascii="Times New Roman" w:hAnsi="Times New Roman" w:cs="Times New Roman"/>
          <w:szCs w:val="20"/>
        </w:rPr>
        <w:t>)</w:t>
      </w:r>
      <w:r w:rsidRPr="002F42C0">
        <w:rPr>
          <w:rFonts w:ascii="Times New Roman" w:hAnsi="Times New Roman" w:cs="Times New Roman"/>
          <w:szCs w:val="20"/>
        </w:rPr>
        <w:tab/>
        <w:t>IPBES (2019) Global assessment report on biodiversity and ecosystem services of the Intergovernmental Science-Policy Platform on Biodiversity and Ecosystem Services. Zenodo. Available at: https://doi.org/10.5281/ZENODO.3831673.</w:t>
      </w:r>
    </w:p>
  </w:footnote>
  <w:footnote w:id="224">
    <w:p w14:paraId="04846168" w14:textId="77777777" w:rsidR="002B7F04" w:rsidRPr="002F42C0" w:rsidRDefault="002B7F04" w:rsidP="00F26B75">
      <w:pPr>
        <w:pStyle w:val="FootnoteText"/>
        <w:rPr>
          <w:rFonts w:ascii="Times New Roman" w:hAnsi="Times New Roman" w:cs="Times New Roman"/>
          <w:szCs w:val="20"/>
          <w:lang w:val="en-IE"/>
        </w:rPr>
      </w:pPr>
      <w:r w:rsidRPr="002F42C0">
        <w:rPr>
          <w:rFonts w:ascii="Times New Roman" w:hAnsi="Times New Roman" w:cs="Times New Roman"/>
          <w:szCs w:val="20"/>
        </w:rPr>
        <w:t>(</w:t>
      </w:r>
      <w:r w:rsidRPr="002F42C0">
        <w:rPr>
          <w:rStyle w:val="FootnoteReference"/>
          <w:rFonts w:ascii="Times New Roman" w:hAnsi="Times New Roman" w:cs="Times New Roman"/>
          <w:szCs w:val="20"/>
        </w:rPr>
        <w:footnoteRef/>
      </w:r>
      <w:r w:rsidRPr="002F42C0">
        <w:rPr>
          <w:rFonts w:ascii="Times New Roman" w:hAnsi="Times New Roman" w:cs="Times New Roman"/>
          <w:szCs w:val="20"/>
        </w:rPr>
        <w:t>)</w:t>
      </w:r>
      <w:r w:rsidRPr="002F42C0">
        <w:rPr>
          <w:rFonts w:ascii="Times New Roman" w:hAnsi="Times New Roman" w:cs="Times New Roman"/>
          <w:szCs w:val="20"/>
        </w:rPr>
        <w:tab/>
        <w:t>For more details on the complex interaction see IPCC AR6 WGII Chapter 13</w:t>
      </w:r>
    </w:p>
  </w:footnote>
  <w:footnote w:id="225">
    <w:p w14:paraId="47A63C0C" w14:textId="0D13C533" w:rsidR="008D5CBB" w:rsidRPr="00737A0B" w:rsidRDefault="008D5CBB">
      <w:pPr>
        <w:pStyle w:val="FootnoteText"/>
        <w:rPr>
          <w:lang w:val="pt-PT"/>
        </w:rPr>
      </w:pPr>
      <w:r>
        <w:t>(</w:t>
      </w:r>
      <w:r>
        <w:rPr>
          <w:rStyle w:val="FootnoteReference"/>
        </w:rPr>
        <w:footnoteRef/>
      </w:r>
      <w:r>
        <w:t>)</w:t>
      </w:r>
      <w:r>
        <w:tab/>
      </w:r>
      <w:r w:rsidRPr="00B77AD1">
        <w:rPr>
          <w:rFonts w:ascii="Times New Roman" w:eastAsia="Times New Roman" w:hAnsi="Times New Roman" w:cs="Times New Roman"/>
          <w:szCs w:val="20"/>
        </w:rPr>
        <w:t xml:space="preserve">Pukkala, T. 2016. Which type of forest management provides most ecosystem services? </w:t>
      </w:r>
      <w:r w:rsidRPr="00737A0B">
        <w:rPr>
          <w:rFonts w:ascii="Times New Roman" w:eastAsia="Times New Roman" w:hAnsi="Times New Roman" w:cs="Times New Roman"/>
          <w:szCs w:val="20"/>
          <w:lang w:val="pt-PT"/>
        </w:rPr>
        <w:t xml:space="preserve">Forest Ecosystems 3:9; </w:t>
      </w:r>
      <w:hyperlink r:id="rId8" w:history="1">
        <w:r w:rsidRPr="00737A0B">
          <w:rPr>
            <w:rStyle w:val="Hyperlink"/>
            <w:rFonts w:ascii="Times New Roman" w:eastAsia="Times New Roman" w:hAnsi="Times New Roman" w:cs="Times New Roman"/>
            <w:szCs w:val="20"/>
            <w:lang w:val="pt-PT"/>
          </w:rPr>
          <w:t>https://forestecosyst.springeropen.com/track/pdf/10.1186/s40663-016-0068-5</w:t>
        </w:r>
      </w:hyperlink>
      <w:r w:rsidR="00F82696">
        <w:rPr>
          <w:rFonts w:ascii="Times New Roman" w:eastAsia="Times New Roman" w:hAnsi="Times New Roman" w:cs="Times New Roman"/>
          <w:szCs w:val="20"/>
          <w:lang w:val="pt-PT"/>
        </w:rPr>
        <w:t xml:space="preserve"> </w:t>
      </w:r>
    </w:p>
  </w:footnote>
  <w:footnote w:id="226">
    <w:p w14:paraId="73012F26" w14:textId="77777777" w:rsidR="003153B3" w:rsidRPr="00737A0B" w:rsidRDefault="003153B3" w:rsidP="003153B3">
      <w:pPr>
        <w:pStyle w:val="FootnoteText"/>
        <w:rPr>
          <w:lang w:val="en-IE"/>
        </w:rPr>
      </w:pPr>
      <w:r w:rsidRPr="00290CEA">
        <w:rPr>
          <w:lang w:val="pt-PT"/>
        </w:rPr>
        <w:t>(</w:t>
      </w:r>
      <w:r>
        <w:rPr>
          <w:rStyle w:val="FootnoteReference"/>
        </w:rPr>
        <w:footnoteRef/>
      </w:r>
      <w:r w:rsidRPr="00290CEA">
        <w:rPr>
          <w:lang w:val="pt-PT"/>
        </w:rPr>
        <w:t>)</w:t>
      </w:r>
      <w:r w:rsidRPr="00290CEA">
        <w:rPr>
          <w:lang w:val="pt-PT"/>
        </w:rPr>
        <w:tab/>
        <w:t xml:space="preserve"> Barquín, J., L. Concostrina-Zubiri, I. Pérez-Silos, G. Hernández-Romero, A. Vélez-Martín, and J. M. Álvarez-Martínez. </w:t>
      </w:r>
      <w:r w:rsidRPr="003153B3">
        <w:t>"Monoculture plantations fuel fires amid heat waves." Science 377, no. 6614 (2022): 1498-1498.</w:t>
      </w:r>
    </w:p>
  </w:footnote>
  <w:footnote w:id="227">
    <w:p w14:paraId="035F5260" w14:textId="10DB1448" w:rsidR="003153B3" w:rsidRPr="003153B3" w:rsidRDefault="003153B3">
      <w:pPr>
        <w:pStyle w:val="FootnoteText"/>
        <w:rPr>
          <w:lang w:val="en-IE"/>
        </w:rPr>
      </w:pPr>
      <w:r>
        <w:t>(</w:t>
      </w:r>
      <w:r>
        <w:rPr>
          <w:rStyle w:val="FootnoteReference"/>
        </w:rPr>
        <w:footnoteRef/>
      </w:r>
      <w:r>
        <w:t>)</w:t>
      </w:r>
      <w:r>
        <w:tab/>
        <w:t xml:space="preserve"> </w:t>
      </w:r>
      <w:r w:rsidRPr="003153B3">
        <w:t>Barredo, J.I., Mansuy, N. and Mubareka, S.B., Primary and old-growth forests are more resilient to natural disturbances – Perspective on wildfires, European Commission, 2023, JRC133970.</w:t>
      </w:r>
    </w:p>
  </w:footnote>
  <w:footnote w:id="228">
    <w:p w14:paraId="3FFD3EA4" w14:textId="5A833F64" w:rsidR="002F42C0" w:rsidRPr="002F0573" w:rsidRDefault="002F42C0">
      <w:pPr>
        <w:pStyle w:val="FootnoteText"/>
        <w:rPr>
          <w:lang w:val="en-IE"/>
        </w:rPr>
      </w:pPr>
      <w:r w:rsidRPr="00573927">
        <w:rPr>
          <w:lang w:val="en-IE"/>
        </w:rPr>
        <w:t>(</w:t>
      </w:r>
      <w:r>
        <w:rPr>
          <w:rStyle w:val="FootnoteReference"/>
        </w:rPr>
        <w:footnoteRef/>
      </w:r>
      <w:r w:rsidRPr="00573927">
        <w:rPr>
          <w:lang w:val="en-IE"/>
        </w:rPr>
        <w:t>)</w:t>
      </w:r>
      <w:r w:rsidRPr="00573927">
        <w:rPr>
          <w:lang w:val="en-IE"/>
        </w:rPr>
        <w:tab/>
        <w:t xml:space="preserve">Pörtner, H.-O. et al. </w:t>
      </w:r>
      <w:r w:rsidRPr="002F42C0">
        <w:t>(2021) Scientific outcome of the IPBES-IPCC co-sponsored workshop on biodiversity and climate change. Zenodo. Available at: https://doi.org/10.5281/ZENODO.5031995</w:t>
      </w:r>
    </w:p>
  </w:footnote>
  <w:footnote w:id="229">
    <w:p w14:paraId="4CA99031" w14:textId="540A1C11" w:rsidR="002B7F04" w:rsidRPr="00A8012E" w:rsidRDefault="002B7F04" w:rsidP="00F26B75">
      <w:pPr>
        <w:pStyle w:val="FootnoteText"/>
        <w:rPr>
          <w:lang w:val="en-IE"/>
        </w:rPr>
      </w:pPr>
      <w:r>
        <w:t>(</w:t>
      </w:r>
      <w:r>
        <w:rPr>
          <w:rStyle w:val="FootnoteReference"/>
        </w:rPr>
        <w:footnoteRef/>
      </w:r>
      <w:r>
        <w:t>)</w:t>
      </w:r>
      <w:r>
        <w:tab/>
      </w:r>
      <w:r w:rsidR="00165F69" w:rsidRPr="003B4E4B">
        <w:rPr>
          <w:lang w:val="en-IE"/>
        </w:rPr>
        <w:t xml:space="preserve">Ohashi, H., Hasegawa, T., Hirata, A. et al. </w:t>
      </w:r>
      <w:r w:rsidR="00165F69" w:rsidRPr="00CC143A">
        <w:t>Biodiversity can benefit from climate stabilization despite adverse side effects of land-based mitigation. Nat Commun 10, 5240 (2019)</w:t>
      </w:r>
    </w:p>
  </w:footnote>
  <w:footnote w:id="230">
    <w:p w14:paraId="200D914D" w14:textId="5EACD69D" w:rsidR="00F26B75" w:rsidRPr="00936B38" w:rsidRDefault="00F26B75" w:rsidP="00F26B75">
      <w:pPr>
        <w:pStyle w:val="FootnoteText"/>
        <w:rPr>
          <w:lang w:val="en-IE"/>
        </w:rPr>
      </w:pPr>
      <w:r>
        <w:t>(</w:t>
      </w:r>
      <w:r>
        <w:rPr>
          <w:rStyle w:val="FootnoteReference"/>
        </w:rPr>
        <w:footnoteRef/>
      </w:r>
      <w:r>
        <w:t>)</w:t>
      </w:r>
      <w:r>
        <w:tab/>
        <w:t xml:space="preserve"> </w:t>
      </w:r>
      <w:bookmarkStart w:id="558" w:name="_Hlk146026211"/>
      <w:r>
        <w:t>Biodiversity impacts were calculated with GLOBIOM modelling framework</w:t>
      </w:r>
      <w:r>
        <w:rPr>
          <w:vertAlign w:val="subscript"/>
        </w:rPr>
        <w:t xml:space="preserve">. </w:t>
      </w:r>
      <w:r w:rsidRPr="00326C64">
        <w:t>The biodiversity</w:t>
      </w:r>
      <w:r>
        <w:t xml:space="preserve"> indicator provides the average suitable habitat change since 2020, by assessing the suitability of a habitat for </w:t>
      </w:r>
      <w:r w:rsidR="004B6039">
        <w:t>each</w:t>
      </w:r>
      <w:r>
        <w:t xml:space="preserve"> species. The indicator is based on a total set of </w:t>
      </w:r>
      <w:r w:rsidR="004B6039">
        <w:t>1033</w:t>
      </w:r>
      <w:r>
        <w:t xml:space="preserve"> species living across five land categories. </w:t>
      </w:r>
      <w:bookmarkEnd w:id="558"/>
    </w:p>
  </w:footnote>
  <w:footnote w:id="231">
    <w:p w14:paraId="5E9FC3E7" w14:textId="30E20D28" w:rsidR="0041097A" w:rsidRPr="0041097A" w:rsidRDefault="0041097A">
      <w:pPr>
        <w:pStyle w:val="FootnoteText"/>
        <w:rPr>
          <w:lang w:val="en-IE"/>
        </w:rPr>
      </w:pPr>
      <w:r>
        <w:t>(</w:t>
      </w:r>
      <w:r>
        <w:rPr>
          <w:rStyle w:val="FootnoteReference"/>
        </w:rPr>
        <w:footnoteRef/>
      </w:r>
      <w:r>
        <w:t>)</w:t>
      </w:r>
      <w:r>
        <w:tab/>
      </w:r>
      <w:r w:rsidR="00D434BE">
        <w:t>The exact steering towards the different objectives from the Farm to Fork and Biodiversity strategy, the dietary changes, as well as the targets for the food waste reduction in the modelling is technically difficult, which results in the overfullfillment of some targets and missing the threshold for others in the LIFE scenario.</w:t>
      </w:r>
    </w:p>
  </w:footnote>
  <w:footnote w:id="232">
    <w:p w14:paraId="6DFDDDC9" w14:textId="77777777" w:rsidR="00F26B75" w:rsidRPr="004D6548" w:rsidRDefault="00F26B75" w:rsidP="00F26B75">
      <w:pPr>
        <w:pStyle w:val="FootnoteText"/>
        <w:rPr>
          <w:lang w:val="en-IE"/>
        </w:rPr>
      </w:pPr>
      <w:r>
        <w:t>(</w:t>
      </w:r>
      <w:r>
        <w:rPr>
          <w:rStyle w:val="FootnoteReference"/>
        </w:rPr>
        <w:footnoteRef/>
      </w:r>
      <w:r>
        <w:t>)</w:t>
      </w:r>
      <w:r>
        <w:tab/>
        <w:t xml:space="preserve">Using the ‘Biodiversity Friendly Practices’ (BFP), a biodiversity indicator capturing the likelihood to find High Nature Value farmland in a region. </w:t>
      </w:r>
      <w:r>
        <w:rPr>
          <w:rFonts w:eastAsiaTheme="minorEastAsia"/>
          <w:lang w:val="en-US"/>
        </w:rPr>
        <w:t>Partial indices for different land use categories are weighted according to their proportion of the total utilized agricultural area.</w:t>
      </w:r>
    </w:p>
  </w:footnote>
  <w:footnote w:id="233">
    <w:p w14:paraId="3F325E2F" w14:textId="77777777" w:rsidR="00F26B75" w:rsidRPr="00EB1A46" w:rsidRDefault="00F26B75" w:rsidP="00F26B75">
      <w:pPr>
        <w:pStyle w:val="FootnoteText"/>
        <w:rPr>
          <w:lang w:val="en-IE"/>
        </w:rPr>
      </w:pPr>
      <w:r>
        <w:t>(</w:t>
      </w:r>
      <w:r>
        <w:rPr>
          <w:rStyle w:val="FootnoteReference"/>
        </w:rPr>
        <w:footnoteRef/>
      </w:r>
      <w:r>
        <w:t>)</w:t>
      </w:r>
      <w:r>
        <w:tab/>
        <w:t>The nutrient reduction through the farm to fork strategy aims to reduce nutrient losses by 50%. The areas for arable crops make up almost 60% of the total farmland, therefore this partial index plays a significant role.</w:t>
      </w:r>
    </w:p>
  </w:footnote>
  <w:footnote w:id="234">
    <w:p w14:paraId="0A53F5C9" w14:textId="77777777" w:rsidR="00B14ED3" w:rsidRPr="003B4E4B" w:rsidRDefault="00B14ED3" w:rsidP="00B14ED3">
      <w:pPr>
        <w:pStyle w:val="FootnoteText"/>
        <w:rPr>
          <w:lang w:val="pt-PT"/>
        </w:rPr>
      </w:pPr>
      <w:r w:rsidRPr="003B4E4B">
        <w:rPr>
          <w:lang w:val="pt-PT"/>
        </w:rPr>
        <w:t>(</w:t>
      </w:r>
      <w:r>
        <w:rPr>
          <w:rStyle w:val="FootnoteReference"/>
        </w:rPr>
        <w:footnoteRef/>
      </w:r>
      <w:r w:rsidRPr="003B4E4B">
        <w:rPr>
          <w:lang w:val="pt-PT"/>
        </w:rPr>
        <w:t>) IPCC AR6 SPM</w:t>
      </w:r>
    </w:p>
  </w:footnote>
  <w:footnote w:id="235">
    <w:p w14:paraId="5208E926" w14:textId="77777777" w:rsidR="00990695" w:rsidRPr="003B4E4B" w:rsidRDefault="00990695" w:rsidP="00990695">
      <w:pPr>
        <w:pStyle w:val="FootnoteText"/>
        <w:rPr>
          <w:lang w:val="pt-PT"/>
        </w:rPr>
      </w:pPr>
      <w:r w:rsidRPr="003B4E4B">
        <w:rPr>
          <w:lang w:val="pt-PT"/>
        </w:rPr>
        <w:t>(</w:t>
      </w:r>
      <w:r>
        <w:rPr>
          <w:rStyle w:val="FootnoteReference"/>
        </w:rPr>
        <w:footnoteRef/>
      </w:r>
      <w:r w:rsidRPr="003B4E4B">
        <w:rPr>
          <w:lang w:val="pt-PT"/>
        </w:rPr>
        <w:t>)</w:t>
      </w:r>
      <w:r w:rsidRPr="003B4E4B">
        <w:rPr>
          <w:lang w:val="pt-PT"/>
        </w:rPr>
        <w:tab/>
        <w:t xml:space="preserve"> IPCC AR6 WG II, 13</w:t>
      </w:r>
    </w:p>
  </w:footnote>
  <w:footnote w:id="236">
    <w:p w14:paraId="3AE53B6F" w14:textId="77777777" w:rsidR="00B14ED3" w:rsidRPr="001F4F96" w:rsidRDefault="00B14ED3" w:rsidP="00B14ED3">
      <w:pPr>
        <w:pStyle w:val="FootnoteText"/>
        <w:rPr>
          <w:lang w:val="en-IE"/>
        </w:rPr>
      </w:pPr>
      <w:r>
        <w:t>(</w:t>
      </w:r>
      <w:r>
        <w:rPr>
          <w:rStyle w:val="FootnoteReference"/>
        </w:rPr>
        <w:footnoteRef/>
      </w:r>
      <w:r>
        <w:t>)</w:t>
      </w:r>
      <w:r>
        <w:tab/>
        <w:t xml:space="preserve"> Capone, R., et al., ‘Food System Sustainability and Food Security: Connecting the Dots.’, </w:t>
      </w:r>
      <w:r w:rsidRPr="001F4F96">
        <w:rPr>
          <w:i/>
          <w:iCs/>
        </w:rPr>
        <w:t>Journal of Food Security</w:t>
      </w:r>
      <w:r>
        <w:t>, 2, 1, 13-22, 2014.</w:t>
      </w:r>
    </w:p>
  </w:footnote>
  <w:footnote w:id="237">
    <w:p w14:paraId="0725E8FE" w14:textId="77777777" w:rsidR="00B14ED3" w:rsidRPr="00D13351" w:rsidRDefault="00B14ED3" w:rsidP="00B14ED3">
      <w:pPr>
        <w:pStyle w:val="FootnoteText"/>
        <w:rPr>
          <w:lang w:val="en-IE"/>
        </w:rPr>
      </w:pPr>
      <w:r>
        <w:t>(</w:t>
      </w:r>
      <w:r>
        <w:rPr>
          <w:rStyle w:val="FootnoteReference"/>
        </w:rPr>
        <w:footnoteRef/>
      </w:r>
      <w:r>
        <w:t>)</w:t>
      </w:r>
      <w:r>
        <w:tab/>
        <w:t xml:space="preserve"> Institution of Mechanical Engineers-UK, ‘Global food, waste not, want not’. London. 2013. Available online at: </w:t>
      </w:r>
      <w:hyperlink r:id="rId9" w:history="1">
        <w:r>
          <w:rPr>
            <w:rStyle w:val="Hyperlink"/>
          </w:rPr>
          <w:t>global-food---waste-not-want-not.pdf (imeche.org)</w:t>
        </w:r>
      </w:hyperlink>
    </w:p>
  </w:footnote>
  <w:footnote w:id="238">
    <w:p w14:paraId="54681FAE" w14:textId="77777777" w:rsidR="00990695" w:rsidRPr="00F83E2B" w:rsidRDefault="00990695" w:rsidP="00990695">
      <w:pPr>
        <w:pStyle w:val="FootnoteText"/>
        <w:rPr>
          <w:lang w:val="en-IE"/>
        </w:rPr>
      </w:pPr>
      <w:r>
        <w:t>(</w:t>
      </w:r>
      <w:r>
        <w:rPr>
          <w:rStyle w:val="FootnoteReference"/>
        </w:rPr>
        <w:footnoteRef/>
      </w:r>
      <w:r>
        <w:t>)</w:t>
      </w:r>
      <w:r>
        <w:tab/>
        <w:t xml:space="preserve"> Based on the years 2020 to 2022; European Commission, DG Agriculture and Rural Development, ‘EU agricultural outlook for markets, income and environment, 2022-2032’, Brussels, 2022.</w:t>
      </w:r>
    </w:p>
  </w:footnote>
  <w:footnote w:id="239">
    <w:p w14:paraId="39943406" w14:textId="1AD49115" w:rsidR="002B7F04" w:rsidRPr="00576BFF" w:rsidRDefault="002B7F04">
      <w:pPr>
        <w:pStyle w:val="FootnoteText"/>
        <w:rPr>
          <w:lang w:val="en-IE"/>
        </w:rPr>
      </w:pPr>
      <w:r>
        <w:t>(</w:t>
      </w:r>
      <w:r>
        <w:rPr>
          <w:rStyle w:val="FootnoteReference"/>
        </w:rPr>
        <w:footnoteRef/>
      </w:r>
      <w:r>
        <w:t>)</w:t>
      </w:r>
      <w:r>
        <w:tab/>
        <w:t xml:space="preserve">In </w:t>
      </w:r>
      <w:r w:rsidR="00C459D4">
        <w:t>LIFE</w:t>
      </w:r>
      <w:r>
        <w:t xml:space="preserve"> the overall animal density [lifestock units / ha] decrease by -27%; for all cattle activities by -29% and other animals -26%. </w:t>
      </w:r>
      <w:r w:rsidR="003905DD" w:rsidRPr="003905DD">
        <w:t>See</w:t>
      </w:r>
      <w:r w:rsidR="003905DD">
        <w:t xml:space="preserve"> </w:t>
      </w:r>
      <w:r w:rsidR="003905DD">
        <w:rPr>
          <w:highlight w:val="yellow"/>
        </w:rPr>
        <w:fldChar w:fldCharType="begin"/>
      </w:r>
      <w:r w:rsidR="003905DD">
        <w:instrText xml:space="preserve"> REF _Ref145694464 \h </w:instrText>
      </w:r>
      <w:r w:rsidR="003905DD">
        <w:rPr>
          <w:highlight w:val="yellow"/>
        </w:rPr>
      </w:r>
      <w:r w:rsidR="003905DD">
        <w:rPr>
          <w:highlight w:val="yellow"/>
        </w:rPr>
        <w:fldChar w:fldCharType="separate"/>
      </w:r>
      <w:r w:rsidR="004D61D6" w:rsidRPr="00CE0860" w:rsidDel="00947B26">
        <w:t xml:space="preserve">Table </w:t>
      </w:r>
      <w:r w:rsidR="00FD4287" w:rsidDel="00947B26">
        <w:rPr>
          <w:noProof/>
        </w:rPr>
        <w:t>21</w:t>
      </w:r>
      <w:r w:rsidR="003905DD">
        <w:rPr>
          <w:highlight w:val="yellow"/>
        </w:rPr>
        <w:fldChar w:fldCharType="end"/>
      </w:r>
      <w:r>
        <w:t xml:space="preserve">  </w:t>
      </w:r>
    </w:p>
  </w:footnote>
  <w:footnote w:id="240">
    <w:p w14:paraId="059C8D8B" w14:textId="77777777" w:rsidR="00990695" w:rsidRPr="00860FB6" w:rsidRDefault="00990695" w:rsidP="00990695">
      <w:pPr>
        <w:pStyle w:val="FootnoteText"/>
        <w:rPr>
          <w:lang w:val="en-IE"/>
        </w:rPr>
      </w:pPr>
      <w:r w:rsidRPr="008B0B70">
        <w:rPr>
          <w:lang w:val="en-IE"/>
        </w:rPr>
        <w:t>(</w:t>
      </w:r>
      <w:r>
        <w:rPr>
          <w:rStyle w:val="FootnoteReference"/>
        </w:rPr>
        <w:footnoteRef/>
      </w:r>
      <w:r w:rsidRPr="008B0B70">
        <w:rPr>
          <w:lang w:val="en-IE"/>
        </w:rPr>
        <w:t>)</w:t>
      </w:r>
      <w:r w:rsidRPr="008B0B70">
        <w:rPr>
          <w:lang w:val="en-IE"/>
        </w:rPr>
        <w:tab/>
        <w:t xml:space="preserve">Sundström, J.F., Albihn, A., Boqvist, S. et al. </w:t>
      </w:r>
      <w:r w:rsidRPr="00860FB6">
        <w:rPr>
          <w:lang w:val="en-IE"/>
        </w:rPr>
        <w:t>‚Future threats to agricultural food production posed by environmental degradation, climate change, and animal and plant diseases – a risk analysis in three economic and climate settings</w:t>
      </w:r>
      <w:r>
        <w:rPr>
          <w:lang w:val="en-IE"/>
        </w:rPr>
        <w:t>’,</w:t>
      </w:r>
      <w:r w:rsidRPr="00860FB6">
        <w:rPr>
          <w:lang w:val="en-IE"/>
        </w:rPr>
        <w:t xml:space="preserve"> </w:t>
      </w:r>
      <w:r w:rsidRPr="00860FB6">
        <w:rPr>
          <w:i/>
          <w:iCs/>
          <w:lang w:val="en-IE"/>
        </w:rPr>
        <w:t>Food Security</w:t>
      </w:r>
      <w:r>
        <w:rPr>
          <w:lang w:val="en-IE"/>
        </w:rPr>
        <w:t>,</w:t>
      </w:r>
      <w:r w:rsidRPr="00860FB6">
        <w:rPr>
          <w:lang w:val="en-IE"/>
        </w:rPr>
        <w:t xml:space="preserve"> 6, 201–215</w:t>
      </w:r>
      <w:r>
        <w:rPr>
          <w:lang w:val="en-IE"/>
        </w:rPr>
        <w:t xml:space="preserve">, </w:t>
      </w:r>
      <w:r w:rsidRPr="00860FB6">
        <w:rPr>
          <w:lang w:val="en-IE"/>
        </w:rPr>
        <w:t>2014.</w:t>
      </w:r>
    </w:p>
  </w:footnote>
  <w:footnote w:id="241">
    <w:p w14:paraId="550E5F5B" w14:textId="77777777" w:rsidR="00D502C2" w:rsidRPr="009F3092" w:rsidRDefault="00D502C2" w:rsidP="00D502C2">
      <w:pPr>
        <w:pStyle w:val="FootnoteText"/>
      </w:pPr>
      <w:r>
        <w:t>(</w:t>
      </w:r>
      <w:r>
        <w:rPr>
          <w:rStyle w:val="FootnoteReference"/>
        </w:rPr>
        <w:footnoteRef/>
      </w:r>
      <w:r>
        <w:t xml:space="preserve">) </w:t>
      </w:r>
      <w:r w:rsidRPr="009F3092">
        <w:t>Willet et al.</w:t>
      </w:r>
      <w:r>
        <w:t>, ‘</w:t>
      </w:r>
      <w:r w:rsidRPr="009F3092">
        <w:t>Food in the Anthropocene: the EAT–Lancet Commission on</w:t>
      </w:r>
      <w:r>
        <w:t xml:space="preserve"> </w:t>
      </w:r>
      <w:r w:rsidRPr="009F3092">
        <w:t>healthy diets from sustainable food systems</w:t>
      </w:r>
      <w:r>
        <w:t xml:space="preserve">’, Lancet, </w:t>
      </w:r>
      <w:r w:rsidRPr="009F3092">
        <w:t>2019</w:t>
      </w:r>
      <w:r>
        <w:t xml:space="preserve">. </w:t>
      </w:r>
    </w:p>
  </w:footnote>
  <w:footnote w:id="242">
    <w:p w14:paraId="236D03F2" w14:textId="77777777" w:rsidR="00D502C2" w:rsidRPr="001C051C" w:rsidRDefault="00D502C2" w:rsidP="00D502C2">
      <w:pPr>
        <w:pStyle w:val="FootnoteText"/>
      </w:pPr>
      <w:r>
        <w:t>(</w:t>
      </w:r>
      <w:r>
        <w:rPr>
          <w:rStyle w:val="FootnoteReference"/>
        </w:rPr>
        <w:footnoteRef/>
      </w:r>
      <w:r>
        <w:t>) WHO/FAO (2003) Diet, nutrition and the prevention of chronic diseases: report of a joint WHO/FAO expert consultation. World Health Organization, Geneva.</w:t>
      </w:r>
    </w:p>
  </w:footnote>
  <w:footnote w:id="243">
    <w:p w14:paraId="283D253F" w14:textId="77777777" w:rsidR="00D502C2" w:rsidRPr="00AB3184" w:rsidRDefault="00D502C2" w:rsidP="00D502C2">
      <w:pPr>
        <w:pStyle w:val="FootnoteText"/>
      </w:pPr>
      <w:r>
        <w:t>(</w:t>
      </w:r>
      <w:r>
        <w:rPr>
          <w:rStyle w:val="FootnoteReference"/>
        </w:rPr>
        <w:footnoteRef/>
      </w:r>
      <w:r>
        <w:t>)</w:t>
      </w:r>
      <w:r w:rsidRPr="00E45A51">
        <w:t xml:space="preserve"> Koch et al. </w:t>
      </w:r>
      <w:r w:rsidRPr="00AB3184">
        <w:t xml:space="preserve">(2023) </w:t>
      </w:r>
      <w:r>
        <w:t xml:space="preserve">Vegetarian or vegan diets and blood lipids: a meta-analysis of randomized trials. European Heart Journal </w:t>
      </w:r>
    </w:p>
  </w:footnote>
  <w:footnote w:id="244">
    <w:p w14:paraId="7F33CDA0" w14:textId="77777777" w:rsidR="00EB7326" w:rsidRPr="007B68E4" w:rsidRDefault="00EB7326" w:rsidP="00EB7326">
      <w:pPr>
        <w:pStyle w:val="FootnoteText"/>
        <w:rPr>
          <w:lang w:val="en-IE"/>
        </w:rPr>
      </w:pPr>
      <w:r>
        <w:t>(</w:t>
      </w:r>
      <w:r>
        <w:rPr>
          <w:rStyle w:val="FootnoteReference"/>
        </w:rPr>
        <w:footnoteRef/>
      </w:r>
      <w:r>
        <w:t>)</w:t>
      </w:r>
      <w:r>
        <w:tab/>
        <w:t xml:space="preserve"> </w:t>
      </w:r>
      <w:r w:rsidRPr="00F0366D">
        <w:t xml:space="preserve">Westhoek, Henk, Jan Peter Lesschen, Trudy Rood, Susanne Wagner, Alessandra De Marco, Donal Murphy-Bokern, Adrian Leip, Hans van Grinsven, Mark A. Sutton, and Oene Oenema. </w:t>
      </w:r>
      <w:r>
        <w:t>‘</w:t>
      </w:r>
      <w:r w:rsidRPr="00F0366D">
        <w:t>Food choices, health and environment: Effects of cutting Europe's meat and dairy intake.</w:t>
      </w:r>
      <w:r>
        <w:t>’</w:t>
      </w:r>
      <w:r w:rsidRPr="00F0366D">
        <w:t xml:space="preserve"> </w:t>
      </w:r>
      <w:r w:rsidRPr="00F0366D">
        <w:rPr>
          <w:i/>
          <w:iCs/>
        </w:rPr>
        <w:t>Global Environmental Change</w:t>
      </w:r>
      <w:r>
        <w:t>,</w:t>
      </w:r>
      <w:r w:rsidRPr="00F0366D">
        <w:t xml:space="preserve"> 26</w:t>
      </w:r>
      <w:r>
        <w:t>,</w:t>
      </w:r>
      <w:r w:rsidRPr="00F0366D">
        <w:t xml:space="preserve"> 196-205</w:t>
      </w:r>
      <w:r>
        <w:t xml:space="preserve">, </w:t>
      </w:r>
      <w:r w:rsidRPr="00F0366D">
        <w:t>2014.</w:t>
      </w:r>
    </w:p>
  </w:footnote>
  <w:footnote w:id="245">
    <w:p w14:paraId="7538040F" w14:textId="7FE04584" w:rsidR="00EB7326" w:rsidRPr="00344B6E" w:rsidRDefault="00EB7326">
      <w:pPr>
        <w:pStyle w:val="FootnoteText"/>
        <w:rPr>
          <w:lang w:val="en-IE"/>
        </w:rPr>
      </w:pPr>
      <w:r>
        <w:t>(</w:t>
      </w:r>
      <w:r>
        <w:rPr>
          <w:rStyle w:val="FootnoteReference"/>
        </w:rPr>
        <w:footnoteRef/>
      </w:r>
      <w:r>
        <w:t>)</w:t>
      </w:r>
      <w:bookmarkStart w:id="579" w:name="_Hlk147933538"/>
      <w:r w:rsidRPr="00344B6E">
        <w:rPr>
          <w:rFonts w:ascii="Times New Roman" w:hAnsi="Times New Roman" w:cs="Times New Roman"/>
        </w:rPr>
        <w:tab/>
        <w:t xml:space="preserve"> </w:t>
      </w:r>
      <w:r w:rsidRPr="00344B6E">
        <w:rPr>
          <w:rFonts w:ascii="Times New Roman" w:hAnsi="Times New Roman" w:cs="Times New Roman"/>
          <w:color w:val="222222"/>
          <w:szCs w:val="20"/>
          <w:shd w:val="clear" w:color="auto" w:fill="FFFFFF"/>
        </w:rPr>
        <w:t>Chan, Doris SM, Rosa Lau, Dagfinn Aune, Rui Vieira, Darren C. Greenwood, Ellen Kampman, and Teresa Norat. "Red and processed meat and colorectal cancer incidence: meta-analysis of prospective studies." </w:t>
      </w:r>
      <w:r w:rsidRPr="00344B6E">
        <w:rPr>
          <w:rFonts w:ascii="Times New Roman" w:hAnsi="Times New Roman" w:cs="Times New Roman"/>
          <w:i/>
          <w:iCs/>
          <w:color w:val="222222"/>
          <w:szCs w:val="20"/>
          <w:shd w:val="clear" w:color="auto" w:fill="FFFFFF"/>
        </w:rPr>
        <w:t>PloS one</w:t>
      </w:r>
      <w:r w:rsidRPr="00344B6E">
        <w:rPr>
          <w:rFonts w:ascii="Times New Roman" w:hAnsi="Times New Roman" w:cs="Times New Roman"/>
          <w:color w:val="222222"/>
          <w:szCs w:val="20"/>
          <w:shd w:val="clear" w:color="auto" w:fill="FFFFFF"/>
        </w:rPr>
        <w:t> 6, no. 6 (2011): e20456.</w:t>
      </w:r>
      <w:bookmarkEnd w:id="579"/>
    </w:p>
  </w:footnote>
  <w:footnote w:id="246">
    <w:p w14:paraId="4CCA9C8E" w14:textId="77777777" w:rsidR="00D502C2" w:rsidRPr="001C051C" w:rsidRDefault="00D502C2" w:rsidP="00D502C2">
      <w:pPr>
        <w:pStyle w:val="FootnoteText"/>
      </w:pPr>
      <w:r>
        <w:t>(</w:t>
      </w:r>
      <w:r>
        <w:rPr>
          <w:rStyle w:val="FootnoteReference"/>
        </w:rPr>
        <w:footnoteRef/>
      </w:r>
      <w:r>
        <w:t xml:space="preserve">) </w:t>
      </w:r>
      <w:bookmarkStart w:id="580" w:name="_Hlk147933848"/>
      <w:r>
        <w:t xml:space="preserve">Tukker et al. (2011) </w:t>
      </w:r>
      <w:r w:rsidRPr="00966271">
        <w:t>Environmental impacts of changes to healthier diets in Europe</w:t>
      </w:r>
      <w:r>
        <w:t>. Ecological Economics</w:t>
      </w:r>
      <w:bookmarkEnd w:id="580"/>
    </w:p>
  </w:footnote>
  <w:footnote w:id="247">
    <w:p w14:paraId="4CF43166" w14:textId="4F2E51AE" w:rsidR="00D502C2" w:rsidRPr="00E45A51" w:rsidRDefault="00D502C2" w:rsidP="00D502C2">
      <w:pPr>
        <w:pStyle w:val="FootnoteText"/>
      </w:pPr>
      <w:r>
        <w:t>(</w:t>
      </w:r>
      <w:r>
        <w:rPr>
          <w:rStyle w:val="FootnoteReference"/>
        </w:rPr>
        <w:footnoteRef/>
      </w:r>
      <w:r>
        <w:t>)</w:t>
      </w:r>
      <w:r w:rsidRPr="00E45A51">
        <w:t xml:space="preserve"> Springmann et al. </w:t>
      </w:r>
      <w:r>
        <w:t>‘</w:t>
      </w:r>
      <w:r w:rsidRPr="00E45A51">
        <w:t>Health and nutritional aspects of sustainable diet strategies</w:t>
      </w:r>
      <w:r>
        <w:t xml:space="preserve"> </w:t>
      </w:r>
      <w:r w:rsidRPr="00E45A51">
        <w:t>and their association with environmental impacts: a global</w:t>
      </w:r>
      <w:r>
        <w:t xml:space="preserve"> </w:t>
      </w:r>
      <w:r w:rsidRPr="00E45A51">
        <w:t>modelling analysis with country-level detail</w:t>
      </w:r>
      <w:r>
        <w:t xml:space="preserve">’, </w:t>
      </w:r>
      <w:r w:rsidRPr="00D502C2">
        <w:rPr>
          <w:i/>
          <w:iCs/>
        </w:rPr>
        <w:t>Lancet Planet Health</w:t>
      </w:r>
      <w:r>
        <w:t xml:space="preserve">, </w:t>
      </w:r>
      <w:r w:rsidRPr="00E45A51">
        <w:t>2018</w:t>
      </w:r>
      <w:r>
        <w:t>.</w:t>
      </w:r>
    </w:p>
  </w:footnote>
  <w:footnote w:id="248">
    <w:p w14:paraId="4F17E1E2" w14:textId="77777777" w:rsidR="00D502C2" w:rsidRPr="00072C7E" w:rsidRDefault="00D502C2" w:rsidP="00D502C2">
      <w:pPr>
        <w:pStyle w:val="FootnoteText"/>
      </w:pPr>
      <w:r>
        <w:t>(</w:t>
      </w:r>
      <w:r>
        <w:rPr>
          <w:rStyle w:val="FootnoteReference"/>
        </w:rPr>
        <w:footnoteRef/>
      </w:r>
      <w:r>
        <w:t xml:space="preserve">) </w:t>
      </w:r>
      <w:r w:rsidRPr="00072C7E">
        <w:t>COM(2022) 673 final</w:t>
      </w:r>
    </w:p>
  </w:footnote>
  <w:footnote w:id="249">
    <w:p w14:paraId="62416E0C" w14:textId="5A5AD0FA" w:rsidR="00D502C2" w:rsidRPr="009F2CA8" w:rsidRDefault="00D502C2" w:rsidP="00D502C2">
      <w:pPr>
        <w:pStyle w:val="FootnoteText"/>
      </w:pPr>
      <w:r>
        <w:t>(</w:t>
      </w:r>
      <w:r>
        <w:rPr>
          <w:rStyle w:val="FootnoteReference"/>
        </w:rPr>
        <w:footnoteRef/>
      </w:r>
      <w:r>
        <w:t>)</w:t>
      </w:r>
      <w:r w:rsidR="008236CB">
        <w:t xml:space="preserve"> </w:t>
      </w:r>
      <w:r>
        <w:t xml:space="preserve">A shift to flexitarian diets </w:t>
      </w:r>
      <w:r w:rsidR="008236CB">
        <w:t>could</w:t>
      </w:r>
      <w:r>
        <w:t xml:space="preserve"> reduce ammonia emissions by 33% in the EU. Through avoided premature mortality</w:t>
      </w:r>
      <w:r w:rsidR="008236CB">
        <w:t xml:space="preserve"> rates, economic</w:t>
      </w:r>
      <w:r>
        <w:t xml:space="preserve"> losses </w:t>
      </w:r>
      <w:r w:rsidR="008236CB">
        <w:t xml:space="preserve">in the agricultural sector </w:t>
      </w:r>
      <w:r>
        <w:t xml:space="preserve">from dietary shifts </w:t>
      </w:r>
      <w:r w:rsidR="008236CB">
        <w:t>could</w:t>
      </w:r>
      <w:r>
        <w:t xml:space="preserve"> be mitigated by 39% in the EU</w:t>
      </w:r>
      <w:r w:rsidR="008236CB">
        <w:t xml:space="preserve"> in such a scenario.</w:t>
      </w:r>
      <w:r>
        <w:t xml:space="preserve"> See Himics et al. ‘</w:t>
      </w:r>
      <w:r w:rsidRPr="00D102BC">
        <w:t xml:space="preserve">Co-benefits of a flexitarian diet for air quality and </w:t>
      </w:r>
      <w:r w:rsidRPr="004A4521">
        <w:t>human health in Europe’, 2022</w:t>
      </w:r>
    </w:p>
  </w:footnote>
  <w:footnote w:id="250">
    <w:p w14:paraId="60109DA6" w14:textId="7311977C" w:rsidR="00A1313E" w:rsidRPr="00307781" w:rsidRDefault="00A1313E">
      <w:pPr>
        <w:pStyle w:val="FootnoteText"/>
        <w:rPr>
          <w:lang w:val="en-IE"/>
        </w:rPr>
      </w:pPr>
      <w:r>
        <w:t>(</w:t>
      </w:r>
      <w:r>
        <w:rPr>
          <w:rStyle w:val="FootnoteReference"/>
        </w:rPr>
        <w:footnoteRef/>
      </w:r>
      <w:r>
        <w:t>)</w:t>
      </w:r>
      <w:r>
        <w:tab/>
        <w:t>World Bank (2020), Minerals for Climate Action: The Mineral Intensity of the Clean Energy Transition.</w:t>
      </w:r>
    </w:p>
  </w:footnote>
  <w:footnote w:id="251">
    <w:p w14:paraId="23B19426" w14:textId="7B6F4967" w:rsidR="00A1313E" w:rsidRDefault="00A1313E" w:rsidP="00695A72">
      <w:pPr>
        <w:pStyle w:val="FootnoteText"/>
      </w:pPr>
      <w:r>
        <w:t>(</w:t>
      </w:r>
      <w:r>
        <w:rPr>
          <w:rStyle w:val="FootnoteReference"/>
        </w:rPr>
        <w:footnoteRef/>
      </w:r>
      <w:r>
        <w:t>) BNEF (2023b), Transition Metals Outlook 2023.</w:t>
      </w:r>
    </w:p>
  </w:footnote>
  <w:footnote w:id="252">
    <w:p w14:paraId="689BA401" w14:textId="4AB6F241" w:rsidR="00A1313E" w:rsidRPr="00C32928" w:rsidRDefault="00A1313E">
      <w:pPr>
        <w:pStyle w:val="FootnoteText"/>
        <w:rPr>
          <w:lang w:val="en-IE"/>
        </w:rPr>
      </w:pPr>
      <w:r>
        <w:t>(</w:t>
      </w:r>
      <w:r>
        <w:rPr>
          <w:rStyle w:val="FootnoteReference"/>
        </w:rPr>
        <w:footnoteRef/>
      </w:r>
      <w:r>
        <w:t xml:space="preserve">)As per the STEPS scenario of the </w:t>
      </w:r>
      <w:r w:rsidRPr="00C32928">
        <w:t>IEA,</w:t>
      </w:r>
      <w:r>
        <w:t xml:space="preserve"> described in </w:t>
      </w:r>
      <w:r w:rsidRPr="00C32928">
        <w:t xml:space="preserve">The Role of Critical Minerals in Clean Energy Transitions, Revised Version in </w:t>
      </w:r>
      <w:r w:rsidR="00BE622A" w:rsidRPr="00C32928">
        <w:t>May</w:t>
      </w:r>
      <w:r w:rsidRPr="00C32928">
        <w:t xml:space="preserve"> 2022.</w:t>
      </w:r>
    </w:p>
  </w:footnote>
  <w:footnote w:id="253">
    <w:p w14:paraId="53199728" w14:textId="7BDE5D08" w:rsidR="00A1313E" w:rsidRPr="00C251E2" w:rsidRDefault="00A1313E">
      <w:pPr>
        <w:pStyle w:val="FootnoteText"/>
        <w:rPr>
          <w:lang w:val="en-IE"/>
        </w:rPr>
      </w:pPr>
      <w:r>
        <w:t>(</w:t>
      </w:r>
      <w:r>
        <w:rPr>
          <w:rStyle w:val="FootnoteReference"/>
        </w:rPr>
        <w:footnoteRef/>
      </w:r>
      <w:r>
        <w:t>)</w:t>
      </w:r>
      <w:r>
        <w:tab/>
        <w:t>IEA (2023) Energy Technology Perspectives.</w:t>
      </w:r>
    </w:p>
  </w:footnote>
  <w:footnote w:id="254">
    <w:p w14:paraId="3A1AC64E" w14:textId="5BE30877" w:rsidR="00A1313E" w:rsidRDefault="00A1313E" w:rsidP="007F2A03">
      <w:pPr>
        <w:pStyle w:val="FootnoteText"/>
      </w:pPr>
      <w:r>
        <w:t>(</w:t>
      </w:r>
      <w:r>
        <w:rPr>
          <w:rStyle w:val="FootnoteReference"/>
        </w:rPr>
        <w:footnoteRef/>
      </w:r>
      <w:r>
        <w:t>)</w:t>
      </w:r>
      <w:r>
        <w:tab/>
        <w:t>Desing et al., Resource pressure – A circular design method, Resources, Conservation and Recycling,</w:t>
      </w:r>
    </w:p>
    <w:p w14:paraId="79139802" w14:textId="2FC893B3" w:rsidR="00A1313E" w:rsidRPr="00563F4A" w:rsidRDefault="00A1313E" w:rsidP="007F2A03">
      <w:pPr>
        <w:pStyle w:val="FootnoteText"/>
        <w:rPr>
          <w:lang w:val="en-IE"/>
        </w:rPr>
      </w:pPr>
      <w:r>
        <w:t xml:space="preserve">Volume 164, 2021, 105179, ISSN 0921-3449. </w:t>
      </w:r>
    </w:p>
  </w:footnote>
  <w:footnote w:id="255">
    <w:p w14:paraId="22295234" w14:textId="069E2147" w:rsidR="00A1313E" w:rsidRPr="002A5280" w:rsidRDefault="00A1313E">
      <w:pPr>
        <w:pStyle w:val="FootnoteText"/>
        <w:rPr>
          <w:lang w:val="en-IE"/>
        </w:rPr>
      </w:pPr>
      <w:r>
        <w:t>(</w:t>
      </w:r>
      <w:r>
        <w:rPr>
          <w:rStyle w:val="FootnoteReference"/>
        </w:rPr>
        <w:footnoteRef/>
      </w:r>
      <w:r>
        <w:t>)</w:t>
      </w:r>
      <w:r>
        <w:tab/>
        <w:t>IEA (2023) Energy Technology Perspectives.</w:t>
      </w:r>
    </w:p>
  </w:footnote>
  <w:footnote w:id="256">
    <w:p w14:paraId="26434B4A" w14:textId="305D4EA0" w:rsidR="00A1313E" w:rsidRPr="00542107" w:rsidRDefault="00A1313E">
      <w:pPr>
        <w:pStyle w:val="FootnoteText"/>
        <w:rPr>
          <w:lang w:val="en-IE"/>
        </w:rPr>
      </w:pPr>
      <w:r>
        <w:t>(</w:t>
      </w:r>
      <w:r>
        <w:rPr>
          <w:rStyle w:val="FootnoteReference"/>
        </w:rPr>
        <w:footnoteRef/>
      </w:r>
      <w:r>
        <w:t>)</w:t>
      </w:r>
      <w:r>
        <w:tab/>
        <w:t>See for instance Moore’s law and Swanson’ law</w:t>
      </w:r>
    </w:p>
  </w:footnote>
  <w:footnote w:id="257">
    <w:p w14:paraId="2FD72020" w14:textId="6E00D0F6" w:rsidR="00A1313E" w:rsidRDefault="00A1313E" w:rsidP="009B0069">
      <w:pPr>
        <w:pStyle w:val="FootnoteText"/>
      </w:pPr>
      <w:r>
        <w:t>(</w:t>
      </w:r>
      <w:r>
        <w:rPr>
          <w:rStyle w:val="FootnoteReference"/>
        </w:rPr>
        <w:footnoteRef/>
      </w:r>
      <w:r>
        <w:t xml:space="preserve">) </w:t>
      </w:r>
      <w:hyperlink r:id="rId10" w:history="1">
        <w:r>
          <w:rPr>
            <w:rStyle w:val="Hyperlink"/>
          </w:rPr>
          <w:t>Tesla to use iron-based batteries in Semi electric trucks and affordable electric car | Reuters</w:t>
        </w:r>
      </w:hyperlink>
    </w:p>
  </w:footnote>
  <w:footnote w:id="258">
    <w:p w14:paraId="6AF84636" w14:textId="512405D6" w:rsidR="00A1313E" w:rsidRDefault="00A1313E" w:rsidP="009B0069">
      <w:pPr>
        <w:pStyle w:val="FootnoteText"/>
      </w:pPr>
      <w:r>
        <w:t>(</w:t>
      </w:r>
      <w:r>
        <w:rPr>
          <w:rStyle w:val="FootnoteReference"/>
        </w:rPr>
        <w:footnoteRef/>
      </w:r>
      <w:r>
        <w:t>)https://www.bloomberg.com/news/articles/2021-07-29/catl-debuts-sodium-ion-batteries-amid-raw-material-cost-spike#xj4y7vzkg</w:t>
      </w:r>
    </w:p>
  </w:footnote>
  <w:footnote w:id="259">
    <w:p w14:paraId="3D9FCF5D" w14:textId="55B66A7F" w:rsidR="00A1313E" w:rsidRPr="003A1C8F" w:rsidRDefault="00A1313E">
      <w:pPr>
        <w:pStyle w:val="FootnoteText"/>
        <w:rPr>
          <w:lang w:val="en-IE"/>
        </w:rPr>
      </w:pPr>
      <w:r>
        <w:t>(</w:t>
      </w:r>
      <w:r>
        <w:rPr>
          <w:rStyle w:val="FootnoteReference"/>
        </w:rPr>
        <w:footnoteRef/>
      </w:r>
      <w:r>
        <w:t>)</w:t>
      </w:r>
      <w:r>
        <w:tab/>
        <w:t>BNEF (2023). Transition material outlook.</w:t>
      </w:r>
    </w:p>
  </w:footnote>
  <w:footnote w:id="260">
    <w:p w14:paraId="10A2C878" w14:textId="75957987" w:rsidR="00A1313E" w:rsidRPr="00266901" w:rsidRDefault="00A1313E">
      <w:pPr>
        <w:pStyle w:val="FootnoteText"/>
        <w:rPr>
          <w:lang w:val="en-IE"/>
        </w:rPr>
      </w:pPr>
      <w:r>
        <w:t>(</w:t>
      </w:r>
      <w:r>
        <w:rPr>
          <w:rStyle w:val="FootnoteReference"/>
        </w:rPr>
        <w:footnoteRef/>
      </w:r>
      <w:r>
        <w:t xml:space="preserve">) </w:t>
      </w:r>
      <w:hyperlink r:id="rId11" w:history="1">
        <w:r w:rsidRPr="006D3FD4">
          <w:rPr>
            <w:rStyle w:val="Hyperlink"/>
          </w:rPr>
          <w:t>SWD(2020) 176 final</w:t>
        </w:r>
      </w:hyperlink>
      <w:r>
        <w:t>.</w:t>
      </w:r>
    </w:p>
  </w:footnote>
  <w:footnote w:id="261">
    <w:p w14:paraId="309BBCA9" w14:textId="673B896D" w:rsidR="00601065" w:rsidRPr="001A3558" w:rsidRDefault="00601065">
      <w:pPr>
        <w:pStyle w:val="FootnoteText"/>
        <w:rPr>
          <w:lang w:val="en-IE"/>
        </w:rPr>
      </w:pPr>
      <w:r>
        <w:t>(</w:t>
      </w:r>
      <w:r>
        <w:rPr>
          <w:rStyle w:val="FootnoteReference"/>
        </w:rPr>
        <w:footnoteRef/>
      </w:r>
      <w:r>
        <w:t>)</w:t>
      </w:r>
      <w:r>
        <w:tab/>
        <w:t xml:space="preserve"> </w:t>
      </w:r>
      <w:r w:rsidRPr="00601065">
        <w:t>The model-based analysis is a technical exercise based on a number of assumptions that are shared across scenarios. Its results do not prejudge the future design of the post-2030 policy framework.</w:t>
      </w:r>
    </w:p>
  </w:footnote>
  <w:footnote w:id="262">
    <w:p w14:paraId="379BA1F6" w14:textId="77777777" w:rsidR="00CC47DF" w:rsidRPr="00643679" w:rsidRDefault="00CC47DF" w:rsidP="00CC47DF">
      <w:pPr>
        <w:pStyle w:val="FootnoteText"/>
        <w:rPr>
          <w:lang w:val="en-IE"/>
        </w:rPr>
      </w:pPr>
      <w:r>
        <w:t>(</w:t>
      </w:r>
      <w:r>
        <w:rPr>
          <w:rStyle w:val="FootnoteReference"/>
        </w:rPr>
        <w:footnoteRef/>
      </w:r>
      <w:r>
        <w:t>)</w:t>
      </w:r>
      <w:r>
        <w:tab/>
      </w:r>
      <w:r w:rsidRPr="00643679">
        <w:t>E-QUEST includes a representation of 3 types of investment: (1) electricity intensive (clean technologies); (2) fuel-intensive technologies; and (3) all other types of investments.</w:t>
      </w:r>
    </w:p>
  </w:footnote>
  <w:footnote w:id="263">
    <w:p w14:paraId="68A12DE9" w14:textId="77777777" w:rsidR="00CC47DF" w:rsidRPr="00CE2BB3" w:rsidRDefault="00CC47DF" w:rsidP="00CC47DF">
      <w:pPr>
        <w:pStyle w:val="FootnoteText"/>
        <w:rPr>
          <w:lang w:val="en-IE"/>
        </w:rPr>
      </w:pPr>
      <w:r>
        <w:t>(</w:t>
      </w:r>
      <w:r>
        <w:rPr>
          <w:rStyle w:val="FootnoteReference"/>
        </w:rPr>
        <w:footnoteRef/>
      </w:r>
      <w:r>
        <w:t>)</w:t>
      </w:r>
      <w:r>
        <w:tab/>
      </w:r>
      <w:hyperlink r:id="rId12" w:history="1">
        <w:r w:rsidRPr="00CE2BB3">
          <w:rPr>
            <w:rStyle w:val="Hyperlink"/>
          </w:rPr>
          <w:t>Occasional Paper Series N°328</w:t>
        </w:r>
      </w:hyperlink>
      <w:r>
        <w:t>. The Road to Paris: stress testing the transition towards a net-zero economy. The energy transition through the lens of the second ECB economy-wide stress test.</w:t>
      </w:r>
    </w:p>
  </w:footnote>
  <w:footnote w:id="264">
    <w:p w14:paraId="0A6B31CB" w14:textId="77777777" w:rsidR="00CC47DF" w:rsidRPr="008E5B24" w:rsidRDefault="00CC47DF" w:rsidP="00CC47DF">
      <w:pPr>
        <w:pStyle w:val="FootnoteText"/>
        <w:rPr>
          <w:lang w:val="en-IE"/>
        </w:rPr>
      </w:pPr>
      <w:r>
        <w:t>(</w:t>
      </w:r>
      <w:r>
        <w:rPr>
          <w:rStyle w:val="FootnoteReference"/>
        </w:rPr>
        <w:footnoteRef/>
      </w:r>
      <w:r>
        <w:t>)</w:t>
      </w:r>
      <w:r>
        <w:tab/>
        <w:t xml:space="preserve"> These figures draw on </w:t>
      </w:r>
      <w:hyperlink r:id="rId13" w:history="1">
        <w:r w:rsidRPr="00930D99">
          <w:rPr>
            <w:rStyle w:val="Hyperlink"/>
          </w:rPr>
          <w:t>European Economy Discussion Paper 176, December 2022: The Possible Implications of the Green Transition for the EU Labour Market.</w:t>
        </w:r>
      </w:hyperlink>
    </w:p>
  </w:footnote>
  <w:footnote w:id="265">
    <w:p w14:paraId="4D61ECAC" w14:textId="77777777" w:rsidR="00CC47DF" w:rsidRPr="008E5B24" w:rsidRDefault="00CC47DF" w:rsidP="00CC47DF">
      <w:pPr>
        <w:pStyle w:val="FootnoteText"/>
        <w:rPr>
          <w:lang w:val="en-IE"/>
        </w:rPr>
      </w:pPr>
      <w:r>
        <w:t>(</w:t>
      </w:r>
      <w:r>
        <w:rPr>
          <w:rStyle w:val="FootnoteReference"/>
        </w:rPr>
        <w:footnoteRef/>
      </w:r>
      <w:r>
        <w:t>)</w:t>
      </w:r>
      <w:r>
        <w:tab/>
        <w:t xml:space="preserve"> This assumptions builds on </w:t>
      </w:r>
      <w:hyperlink r:id="rId14" w:history="1">
        <w:r w:rsidRPr="008E5B24">
          <w:rPr>
            <w:rStyle w:val="Hyperlink"/>
          </w:rPr>
          <w:t>SWD(2023) 68 final</w:t>
        </w:r>
      </w:hyperlink>
      <w:r>
        <w:t xml:space="preserve"> and </w:t>
      </w:r>
      <w:hyperlink r:id="rId15" w:history="1">
        <w:r w:rsidRPr="008E5B24">
          <w:rPr>
            <w:rStyle w:val="Hyperlink"/>
          </w:rPr>
          <w:t>Employment and Social Developments in Europe 2023 (Box 2.4)</w:t>
        </w:r>
      </w:hyperlink>
    </w:p>
  </w:footnote>
  <w:footnote w:id="266">
    <w:p w14:paraId="40C1579A" w14:textId="77777777" w:rsidR="00CC47DF" w:rsidRPr="00637AFF" w:rsidRDefault="00CC47DF" w:rsidP="00CC47DF">
      <w:pPr>
        <w:pStyle w:val="FootnoteText"/>
        <w:rPr>
          <w:lang w:val="en-IE"/>
        </w:rPr>
      </w:pPr>
      <w:r>
        <w:t>(</w:t>
      </w:r>
      <w:r>
        <w:rPr>
          <w:rStyle w:val="FootnoteReference"/>
        </w:rPr>
        <w:footnoteRef/>
      </w:r>
      <w:r>
        <w:t>)</w:t>
      </w:r>
      <w:r>
        <w:tab/>
        <w:t xml:space="preserve"> See for example </w:t>
      </w:r>
      <w:hyperlink r:id="rId16" w:history="1">
        <w:r w:rsidRPr="00913F2C">
          <w:rPr>
            <w:rStyle w:val="Hyperlink"/>
          </w:rPr>
          <w:t>Konings J. and Vanormelingen S</w:t>
        </w:r>
        <w:r w:rsidRPr="0068600B">
          <w:rPr>
            <w:rStyle w:val="Hyperlink"/>
          </w:rPr>
          <w:t>. The impact of training on productivity and wages: firm-level evidence.</w:t>
        </w:r>
      </w:hyperlink>
    </w:p>
  </w:footnote>
  <w:footnote w:id="267">
    <w:p w14:paraId="3B8070F8" w14:textId="32295926" w:rsidR="00601065" w:rsidRPr="00234339" w:rsidRDefault="00601065">
      <w:pPr>
        <w:pStyle w:val="FootnoteText"/>
        <w:rPr>
          <w:lang w:val="en-IE"/>
        </w:rPr>
      </w:pPr>
      <w:r>
        <w:t>(</w:t>
      </w:r>
      <w:r>
        <w:rPr>
          <w:rStyle w:val="FootnoteReference"/>
        </w:rPr>
        <w:footnoteRef/>
      </w:r>
      <w:r>
        <w:t>)</w:t>
      </w:r>
      <w:r>
        <w:tab/>
      </w:r>
      <w:r w:rsidRPr="00601065">
        <w:t>The model-based analysis is a technical exercise based on a number of assumptions that are shared across scenarios. Its results do not prejudge the future design of the post-2030 policy framework.</w:t>
      </w:r>
    </w:p>
  </w:footnote>
  <w:footnote w:id="268">
    <w:p w14:paraId="4B7A72B0" w14:textId="69EB88F2" w:rsidR="00A1313E" w:rsidRPr="00A6392C" w:rsidRDefault="00A1313E">
      <w:pPr>
        <w:pStyle w:val="FootnoteText"/>
        <w:rPr>
          <w:lang w:val="en-IE"/>
        </w:rPr>
      </w:pPr>
      <w:r>
        <w:t>(</w:t>
      </w:r>
      <w:r>
        <w:rPr>
          <w:rStyle w:val="FootnoteReference"/>
        </w:rPr>
        <w:footnoteRef/>
      </w:r>
      <w:r>
        <w:t>)</w:t>
      </w:r>
      <w:r>
        <w:tab/>
        <w:t xml:space="preserve"> </w:t>
      </w:r>
      <w:hyperlink r:id="rId17" w:history="1">
        <w:r w:rsidRPr="007D4740">
          <w:rPr>
            <w:rStyle w:val="Hyperlink"/>
          </w:rPr>
          <w:t>SWD(2020) 176 final</w:t>
        </w:r>
      </w:hyperlink>
    </w:p>
  </w:footnote>
  <w:footnote w:id="269">
    <w:p w14:paraId="1FFA9F6D" w14:textId="3E053C6A" w:rsidR="00A1313E" w:rsidRPr="00A6392C" w:rsidRDefault="00A1313E">
      <w:pPr>
        <w:pStyle w:val="FootnoteText"/>
        <w:rPr>
          <w:lang w:val="en-IE"/>
        </w:rPr>
      </w:pPr>
      <w:r>
        <w:t>(</w:t>
      </w:r>
      <w:r>
        <w:rPr>
          <w:rStyle w:val="FootnoteReference"/>
        </w:rPr>
        <w:footnoteRef/>
      </w:r>
      <w:r>
        <w:t>)</w:t>
      </w:r>
      <w:r>
        <w:tab/>
        <w:t xml:space="preserve"> See for example </w:t>
      </w:r>
      <w:hyperlink r:id="rId18" w:history="1">
        <w:r w:rsidRPr="00842BBB">
          <w:rPr>
            <w:rStyle w:val="Hyperlink"/>
          </w:rPr>
          <w:t>SWD(2021) 621 final</w:t>
        </w:r>
      </w:hyperlink>
    </w:p>
  </w:footnote>
  <w:footnote w:id="270">
    <w:p w14:paraId="15D76E7F" w14:textId="641410A7" w:rsidR="00A1313E" w:rsidRPr="00506891" w:rsidRDefault="00A1313E">
      <w:pPr>
        <w:pStyle w:val="FootnoteText"/>
        <w:rPr>
          <w:lang w:val="en-IE"/>
        </w:rPr>
      </w:pPr>
      <w:r>
        <w:t>(</w:t>
      </w:r>
      <w:r>
        <w:rPr>
          <w:rStyle w:val="FootnoteReference"/>
        </w:rPr>
        <w:footnoteRef/>
      </w:r>
      <w:r>
        <w:t>)</w:t>
      </w:r>
      <w:r>
        <w:tab/>
        <w:t xml:space="preserve"> </w:t>
      </w:r>
      <w:hyperlink r:id="rId19" w:history="1">
        <w:r w:rsidRPr="005D0C9B">
          <w:rPr>
            <w:rStyle w:val="Hyperlink"/>
          </w:rPr>
          <w:t>SWD(2022) 230 final</w:t>
        </w:r>
      </w:hyperlink>
    </w:p>
  </w:footnote>
  <w:footnote w:id="271">
    <w:p w14:paraId="1735DCB6" w14:textId="423E8B70" w:rsidR="00A1313E" w:rsidRPr="00E17FC3" w:rsidRDefault="00A1313E" w:rsidP="00E17FC3">
      <w:pPr>
        <w:pStyle w:val="FootnoteText"/>
        <w:rPr>
          <w:lang w:val="en-IE"/>
        </w:rPr>
      </w:pPr>
      <w:r>
        <w:t>(</w:t>
      </w:r>
      <w:r>
        <w:rPr>
          <w:rStyle w:val="FootnoteReference"/>
        </w:rPr>
        <w:footnoteRef/>
      </w:r>
      <w:r>
        <w:t>)</w:t>
      </w:r>
      <w:r>
        <w:tab/>
      </w:r>
      <w:hyperlink r:id="rId20" w:history="1">
        <w:r w:rsidRPr="00311F33">
          <w:rPr>
            <w:rStyle w:val="Hyperlink"/>
          </w:rPr>
          <w:t>SWD (2023) 68 final</w:t>
        </w:r>
      </w:hyperlink>
      <w:r>
        <w:t xml:space="preserve"> estimates investment needs for 2023-2030 associated with boosting EU manufacturing capacity for a part of strategic net-zero technologies, focusing on wind, solar photovoltaic, heat pumps, batteries and electrolysers, as part of the Net Zero Industry Act proposal.</w:t>
      </w:r>
    </w:p>
  </w:footnote>
  <w:footnote w:id="272">
    <w:p w14:paraId="1AA54616" w14:textId="22777D79" w:rsidR="00A1313E" w:rsidRPr="009A5173" w:rsidRDefault="00A1313E">
      <w:pPr>
        <w:pStyle w:val="FootnoteText"/>
        <w:rPr>
          <w:lang w:val="en-IE"/>
        </w:rPr>
      </w:pPr>
      <w:r>
        <w:t>(</w:t>
      </w:r>
      <w:r>
        <w:rPr>
          <w:rStyle w:val="FootnoteReference"/>
        </w:rPr>
        <w:footnoteRef/>
      </w:r>
      <w:r>
        <w:t>)</w:t>
      </w:r>
      <w:r>
        <w:tab/>
      </w:r>
      <w:r w:rsidR="00F47317">
        <w:t xml:space="preserve"> </w:t>
      </w:r>
      <w:r w:rsidR="00821734">
        <w:t xml:space="preserve">The </w:t>
      </w:r>
      <w:r w:rsidR="00821734" w:rsidRPr="00821734">
        <w:t>Guidelines for Energy and Environmental Aid</w:t>
      </w:r>
      <w:r w:rsidR="00821734">
        <w:t xml:space="preserve"> (EEAG) facilitated the provision of State aid for the deployment of renewable electricity and promoted the competitiveness of aid mechanisms by promoting competition auction mechanisms for the allocation of aid and requiring aid to be granted as a premium over market prices. The </w:t>
      </w:r>
      <w:r w:rsidR="00821734" w:rsidRPr="00821734">
        <w:t>Guidelines on State aid for climate, environmental protection and energy</w:t>
      </w:r>
      <w:r w:rsidR="00821734">
        <w:t xml:space="preserve"> (CEEAG), as adopted in 2022, further improved the framework for the allocation of aid for renewable electricity generation. Finally, the Temporary Crisis and Transition Framework</w:t>
      </w:r>
      <w:r w:rsidR="00BC2209">
        <w:t xml:space="preserve"> </w:t>
      </w:r>
      <w:r w:rsidR="00821734">
        <w:t>further facilitate</w:t>
      </w:r>
      <w:r w:rsidR="00BC2209">
        <w:t>s</w:t>
      </w:r>
      <w:r w:rsidR="00821734">
        <w:t xml:space="preserve"> the granting of aid </w:t>
      </w:r>
      <w:r w:rsidR="00BC2209">
        <w:t>to accelerate the rollout of renewable energy and energy storage relevant for REPowerEU.</w:t>
      </w:r>
    </w:p>
  </w:footnote>
  <w:footnote w:id="273">
    <w:p w14:paraId="2C5B2489" w14:textId="74CF917D" w:rsidR="00DE7D61" w:rsidRPr="00DE7D61" w:rsidRDefault="00DE7D61">
      <w:pPr>
        <w:pStyle w:val="FootnoteText"/>
        <w:rPr>
          <w:lang w:val="en-IE"/>
        </w:rPr>
      </w:pPr>
      <w:r>
        <w:t>(</w:t>
      </w:r>
      <w:r>
        <w:rPr>
          <w:rStyle w:val="FootnoteReference"/>
        </w:rPr>
        <w:footnoteRef/>
      </w:r>
      <w:r>
        <w:t>)</w:t>
      </w:r>
      <w:r>
        <w:tab/>
      </w:r>
      <w:r w:rsidRPr="00DE7D61">
        <w:t>Sebastian Busch, Ruben Kasdorp, Derck Koolen, Arnaud Mercier, Magdalena Spooner: The Development of Renewable Energy in the Electricity Market</w:t>
      </w:r>
      <w:r>
        <w:t>.</w:t>
      </w:r>
      <w:r w:rsidRPr="00DE7D61">
        <w:t xml:space="preserve"> Directorate-General for Economic and Financial Affairs.</w:t>
      </w:r>
      <w:r>
        <w:t xml:space="preserve"> </w:t>
      </w:r>
      <w:hyperlink r:id="rId21" w:history="1">
        <w:r w:rsidRPr="00DE7D61">
          <w:rPr>
            <w:rStyle w:val="Hyperlink"/>
          </w:rPr>
          <w:t>Discussion Paper 187. June 2023</w:t>
        </w:r>
      </w:hyperlink>
      <w:r>
        <w:t>.</w:t>
      </w:r>
    </w:p>
  </w:footnote>
  <w:footnote w:id="274">
    <w:p w14:paraId="6EEB195A" w14:textId="3926C19B" w:rsidR="00D07346" w:rsidRPr="00392972" w:rsidRDefault="00D07346" w:rsidP="00D07346">
      <w:pPr>
        <w:pStyle w:val="FootnoteText"/>
        <w:rPr>
          <w:lang w:val="en-IE"/>
        </w:rPr>
      </w:pPr>
      <w:r>
        <w:t>(</w:t>
      </w:r>
      <w:r>
        <w:rPr>
          <w:rStyle w:val="FootnoteReference"/>
        </w:rPr>
        <w:footnoteRef/>
      </w:r>
      <w:r>
        <w:t>)</w:t>
      </w:r>
      <w:r>
        <w:tab/>
        <w:t xml:space="preserve">The </w:t>
      </w:r>
      <w:r w:rsidR="006E125F" w:rsidRPr="006E125F">
        <w:t xml:space="preserve">data is calculated from the Structural Business Statistics (SBS), except for agriculture, which is not included in the dataset. For SBS sectors, the </w:t>
      </w:r>
      <w:r>
        <w:t xml:space="preserve">table is based on an aggregation of sectors </w:t>
      </w:r>
      <w:r w:rsidR="006E125F" w:rsidRPr="006E125F">
        <w:t>by size class for special aggregates of activities (</w:t>
      </w:r>
      <w:r>
        <w:t>NACE 2</w:t>
      </w:r>
      <w:r w:rsidR="006E125F" w:rsidRPr="006E125F">
        <w:t>).</w:t>
      </w:r>
      <w:r>
        <w:t xml:space="preserve"> Fossil fuel sectors (B05, B06, C19); other mining and extraction activities (B07, B08, B09); energy intensive industries (C17, C20, C21, C23, C24); manufacturing of transport equipment (C29, C30); manufacturing of electrical equipment and other machinery (C27, C28); other manufacturing (all other C codes); electricity, gas, steam and air conditioning supply (D35); construction and architecture services (F41, F42, F43, M71); transport and storage (H49 to H53); services (all codes not listed in other sectors); water, treatment and waste (E36 to E39).</w:t>
      </w:r>
      <w:r w:rsidR="006E125F" w:rsidRPr="006E125F">
        <w:t xml:space="preserve"> The data for agriculture is not directly comparable and therefore provided separately. All farms under the holding of natural persons are considered SMEs, while all others are considered as not being SMEs. The gross valued added of SMEs in agriculture (and its share in total agricultural GVA) is estimated based on the percentage of hectares exploited by holdings under the ownership of natural persons, using total gross value added in agriculture (NACE code A01) as reporting in the national accounts. Similarly, SME employment in agriculture (and its share in total agricultural employment) is estimated based on the percentage of farms under the ownership of natural persons. SBS-based data is for 2019 to avoid the distortions due to the COVID pandemic. Figures for agriculture are for 2020 due to data availability.</w:t>
      </w:r>
    </w:p>
  </w:footnote>
  <w:footnote w:id="275">
    <w:p w14:paraId="0276462A" w14:textId="557B088A" w:rsidR="00A1313E" w:rsidRPr="00CC4404" w:rsidRDefault="00A1313E">
      <w:pPr>
        <w:pStyle w:val="FootnoteText"/>
        <w:rPr>
          <w:lang w:val="en-IE"/>
        </w:rPr>
      </w:pPr>
      <w:r>
        <w:t>(</w:t>
      </w:r>
      <w:r>
        <w:rPr>
          <w:rStyle w:val="FootnoteReference"/>
        </w:rPr>
        <w:footnoteRef/>
      </w:r>
      <w:r>
        <w:t>)</w:t>
      </w:r>
      <w:r>
        <w:tab/>
      </w:r>
      <w:hyperlink r:id="rId22" w:history="1">
        <w:r w:rsidRPr="00311F33">
          <w:rPr>
            <w:rStyle w:val="Hyperlink"/>
          </w:rPr>
          <w:t>SWD (2023) 68 final</w:t>
        </w:r>
      </w:hyperlink>
    </w:p>
  </w:footnote>
  <w:footnote w:id="276">
    <w:p w14:paraId="5230C31C" w14:textId="2A7F3B2E" w:rsidR="00A1313E" w:rsidRPr="00901EEF" w:rsidRDefault="00A1313E">
      <w:pPr>
        <w:pStyle w:val="FootnoteText"/>
        <w:rPr>
          <w:lang w:val="en-IE"/>
        </w:rPr>
      </w:pPr>
      <w:r>
        <w:t>(</w:t>
      </w:r>
      <w:r>
        <w:rPr>
          <w:rStyle w:val="FootnoteReference"/>
        </w:rPr>
        <w:footnoteRef/>
      </w:r>
      <w:r>
        <w:t>)</w:t>
      </w:r>
      <w:r w:rsidR="00041747">
        <w:t>For example,</w:t>
      </w:r>
      <w:r w:rsidR="00992956">
        <w:t xml:space="preserve"> the Commission approved the granting of EUR </w:t>
      </w:r>
      <w:r w:rsidR="00992956" w:rsidRPr="00992956">
        <w:t>1</w:t>
      </w:r>
      <w:r w:rsidR="00992956">
        <w:t> </w:t>
      </w:r>
      <w:r w:rsidR="00992956" w:rsidRPr="00992956">
        <w:t xml:space="preserve">billion </w:t>
      </w:r>
      <w:r w:rsidR="00992956">
        <w:t xml:space="preserve">of State aid by Gemarny </w:t>
      </w:r>
      <w:r w:rsidR="00992956" w:rsidRPr="00992956">
        <w:t>to Salzgitter to green its steel manufacturing processes</w:t>
      </w:r>
      <w:r w:rsidR="00992956">
        <w:t xml:space="preserve">, </w:t>
      </w:r>
      <w:r w:rsidR="00992956" w:rsidRPr="00992956">
        <w:t xml:space="preserve">and over </w:t>
      </w:r>
      <w:r w:rsidR="00992956">
        <w:t>EUR </w:t>
      </w:r>
      <w:r w:rsidR="00992956" w:rsidRPr="00992956">
        <w:t>130</w:t>
      </w:r>
      <w:r w:rsidR="00992956">
        <w:t> </w:t>
      </w:r>
      <w:r w:rsidR="00992956" w:rsidRPr="00992956">
        <w:t xml:space="preserve">million </w:t>
      </w:r>
      <w:r w:rsidR="00992956">
        <w:t xml:space="preserve">of </w:t>
      </w:r>
      <w:r w:rsidR="00992956" w:rsidRPr="00992956">
        <w:t xml:space="preserve">aid to BASF to replace natural </w:t>
      </w:r>
      <w:r w:rsidR="00BE622A" w:rsidRPr="00992956">
        <w:t>gas</w:t>
      </w:r>
      <w:r w:rsidR="00BE622A">
        <w:t>-based</w:t>
      </w:r>
      <w:r w:rsidR="00992956" w:rsidRPr="00992956">
        <w:t xml:space="preserve"> hydrogen with renewable hydrogen at its chemical production facilities.</w:t>
      </w:r>
      <w:r w:rsidR="00041747">
        <w:t xml:space="preserve"> </w:t>
      </w:r>
      <w:r w:rsidR="00992956">
        <w:t xml:space="preserve">Recently as well, the Commission approved </w:t>
      </w:r>
      <w:r w:rsidR="00041747">
        <w:t xml:space="preserve">two schemes notified by Slovakia, with a total budget of over </w:t>
      </w:r>
      <w:r w:rsidR="00992956">
        <w:t>EUR </w:t>
      </w:r>
      <w:r w:rsidR="00041747">
        <w:t>1.1</w:t>
      </w:r>
      <w:r w:rsidR="00992956">
        <w:t> </w:t>
      </w:r>
      <w:r w:rsidR="00041747">
        <w:t>billion from the RRF and the Modernisation Fund, aiming at reducing CO</w:t>
      </w:r>
      <w:r w:rsidR="00041747" w:rsidRPr="00992956">
        <w:rPr>
          <w:vertAlign w:val="subscript"/>
        </w:rPr>
        <w:t>2</w:t>
      </w:r>
      <w:r w:rsidR="00041747">
        <w:t xml:space="preserve"> emissions in industrial production processes as well as to implement energy efficiency measures in industrial installations. The measures supported under the schemes range from electrification projects to the installation of industrial waste heat recovery technologies. The projects will be selected through an open competitive bidding process and will be ranked on the basis of two criteria: (i) the </w:t>
      </w:r>
      <w:r w:rsidR="00041747" w:rsidRPr="00041747">
        <w:t>lowest amount of aid requested per ton of CO</w:t>
      </w:r>
      <w:r w:rsidR="00041747" w:rsidRPr="00992956">
        <w:rPr>
          <w:vertAlign w:val="subscript"/>
        </w:rPr>
        <w:t>2</w:t>
      </w:r>
      <w:r w:rsidR="00041747" w:rsidRPr="00041747">
        <w:t xml:space="preserve"> emissions avoided, and (ii) the highest contribution to the achievement of the CO</w:t>
      </w:r>
      <w:r w:rsidR="00041747" w:rsidRPr="00992956">
        <w:rPr>
          <w:vertAlign w:val="subscript"/>
        </w:rPr>
        <w:t>2</w:t>
      </w:r>
      <w:r w:rsidR="00041747" w:rsidRPr="00041747">
        <w:t xml:space="preserve"> emission reduction objective.</w:t>
      </w:r>
    </w:p>
  </w:footnote>
  <w:footnote w:id="277">
    <w:p w14:paraId="23848418" w14:textId="2A1A8F87" w:rsidR="001E19B7" w:rsidRPr="00137E49" w:rsidRDefault="001E19B7">
      <w:pPr>
        <w:pStyle w:val="FootnoteText"/>
        <w:rPr>
          <w:lang w:val="en-US"/>
        </w:rPr>
      </w:pPr>
      <w:r>
        <w:t>(</w:t>
      </w:r>
      <w:r>
        <w:rPr>
          <w:rStyle w:val="FootnoteReference"/>
        </w:rPr>
        <w:footnoteRef/>
      </w:r>
      <w:r>
        <w:t>)</w:t>
      </w:r>
      <w:r>
        <w:tab/>
      </w:r>
      <w:r w:rsidRPr="001E19B7">
        <w:t>These figures represent the full acquisition cost of new vehicles, not only the incremental cost related to the decarbonisation of transport. In addition, it should be noted that investment</w:t>
      </w:r>
      <w:r>
        <w:t>s</w:t>
      </w:r>
      <w:r w:rsidRPr="001E19B7">
        <w:t xml:space="preserve"> in transport reflect here the expenditures on vehicles, rolling stock, aircraft and vessels plus recharging and refuelling infrastructure. They do not cover investments in infrastructure to support multimodal mobility and sustainable urban transport.</w:t>
      </w:r>
    </w:p>
  </w:footnote>
  <w:footnote w:id="278">
    <w:p w14:paraId="427BFB36" w14:textId="373A44D6" w:rsidR="00A1313E" w:rsidRPr="007B4FD1" w:rsidRDefault="00A1313E">
      <w:pPr>
        <w:pStyle w:val="FootnoteText"/>
        <w:rPr>
          <w:lang w:val="en-IE"/>
        </w:rPr>
      </w:pPr>
      <w:r>
        <w:t>(</w:t>
      </w:r>
      <w:r>
        <w:rPr>
          <w:rStyle w:val="FootnoteReference"/>
        </w:rPr>
        <w:footnoteRef/>
      </w:r>
      <w:r>
        <w:t>)</w:t>
      </w:r>
      <w:r>
        <w:tab/>
      </w:r>
      <w:hyperlink r:id="rId23" w:history="1">
        <w:r w:rsidR="000246A4" w:rsidRPr="000246A4">
          <w:rPr>
            <w:rStyle w:val="Hyperlink"/>
          </w:rPr>
          <w:t xml:space="preserve"> SWD(2021) 613 final</w:t>
        </w:r>
      </w:hyperlink>
      <w:r w:rsidR="000246A4">
        <w:t>.</w:t>
      </w:r>
    </w:p>
  </w:footnote>
  <w:footnote w:id="279">
    <w:p w14:paraId="11A51229" w14:textId="1D2BC997" w:rsidR="00DA49A8" w:rsidRPr="00DA49A8" w:rsidRDefault="00DA49A8">
      <w:pPr>
        <w:pStyle w:val="FootnoteText"/>
        <w:rPr>
          <w:lang w:val="en-IE"/>
        </w:rPr>
      </w:pPr>
      <w:r>
        <w:t>(</w:t>
      </w:r>
      <w:r>
        <w:rPr>
          <w:rStyle w:val="FootnoteReference"/>
        </w:rPr>
        <w:footnoteRef/>
      </w:r>
      <w:r>
        <w:t>)</w:t>
      </w:r>
      <w:r>
        <w:tab/>
        <w:t xml:space="preserve"> </w:t>
      </w:r>
      <w:r w:rsidRPr="00DA49A8">
        <w:t>Given that there is very little difference across scenarios regarding the deployment of electric vehicles, no shock is simulated on the transport side.</w:t>
      </w:r>
    </w:p>
  </w:footnote>
  <w:footnote w:id="280">
    <w:p w14:paraId="0A3540D7" w14:textId="77777777" w:rsidR="003E3188" w:rsidRPr="00FA3317" w:rsidRDefault="003E3188" w:rsidP="003E3188">
      <w:pPr>
        <w:pStyle w:val="FootnoteText"/>
        <w:rPr>
          <w:lang w:val="en-IE"/>
        </w:rPr>
      </w:pPr>
      <w:r w:rsidRPr="007A0CCB">
        <w:rPr>
          <w:szCs w:val="20"/>
          <w:vertAlign w:val="superscript"/>
        </w:rPr>
        <w:t>(</w:t>
      </w:r>
      <w:r w:rsidRPr="007A0CCB">
        <w:rPr>
          <w:rStyle w:val="FootnoteReference"/>
          <w:szCs w:val="20"/>
        </w:rPr>
        <w:footnoteRef/>
      </w:r>
      <w:r w:rsidRPr="007A0CCB">
        <w:rPr>
          <w:szCs w:val="20"/>
          <w:vertAlign w:val="superscript"/>
        </w:rPr>
        <w:t>)</w:t>
      </w:r>
      <w:r>
        <w:tab/>
        <w:t xml:space="preserve"> Investment needs until 2030 have been assessed in the Commission </w:t>
      </w:r>
      <w:hyperlink r:id="rId24" w:history="1">
        <w:r w:rsidRPr="00213BCB">
          <w:rPr>
            <w:rStyle w:val="Hyperlink"/>
          </w:rPr>
          <w:t>Staff Working Document Investment needs assessment and funding availabilities to strengthen EU’s Net-Zero technology manufacturing capacity (SWD(2023) 68 final</w:t>
        </w:r>
      </w:hyperlink>
      <w:r>
        <w:t xml:space="preserve">. </w:t>
      </w:r>
    </w:p>
  </w:footnote>
  <w:footnote w:id="281">
    <w:p w14:paraId="11CE899A" w14:textId="0D42E9CD" w:rsidR="000F1019" w:rsidRPr="000F1019" w:rsidRDefault="000F1019">
      <w:pPr>
        <w:pStyle w:val="FootnoteText"/>
        <w:rPr>
          <w:lang w:val="en-US"/>
        </w:rPr>
      </w:pPr>
      <w:r>
        <w:t>(</w:t>
      </w:r>
      <w:r>
        <w:rPr>
          <w:rStyle w:val="FootnoteReference"/>
        </w:rPr>
        <w:footnoteRef/>
      </w:r>
      <w:r>
        <w:t>)</w:t>
      </w:r>
      <w:r>
        <w:tab/>
        <w:t>See</w:t>
      </w:r>
      <w:r w:rsidRPr="00AD5264">
        <w:t xml:space="preserve"> Annex 8 of SWD(2023) 68 final</w:t>
      </w:r>
      <w:r>
        <w:t>.</w:t>
      </w:r>
    </w:p>
  </w:footnote>
  <w:footnote w:id="282">
    <w:p w14:paraId="35B9400F" w14:textId="47C83B88" w:rsidR="52B571EE" w:rsidRDefault="007A0CCB">
      <w:r w:rsidRPr="007A0CCB">
        <w:rPr>
          <w:sz w:val="20"/>
          <w:szCs w:val="20"/>
          <w:vertAlign w:val="superscript"/>
        </w:rPr>
        <w:t>(</w:t>
      </w:r>
      <w:r w:rsidR="52B571EE" w:rsidRPr="007A0CCB">
        <w:rPr>
          <w:sz w:val="20"/>
          <w:szCs w:val="20"/>
          <w:vertAlign w:val="superscript"/>
        </w:rPr>
        <w:footnoteRef/>
      </w:r>
      <w:r w:rsidRPr="007A0CCB">
        <w:rPr>
          <w:sz w:val="20"/>
          <w:szCs w:val="20"/>
          <w:vertAlign w:val="superscript"/>
        </w:rPr>
        <w:t>)</w:t>
      </w:r>
      <w:r w:rsidR="243E7855">
        <w:t xml:space="preserve"> </w:t>
      </w:r>
      <w:r w:rsidR="00B2361C">
        <w:rPr>
          <w:sz w:val="20"/>
          <w:szCs w:val="20"/>
        </w:rPr>
        <w:t>Objectives of g</w:t>
      </w:r>
      <w:r w:rsidR="00B2361C" w:rsidRPr="00B2361C">
        <w:rPr>
          <w:sz w:val="20"/>
          <w:szCs w:val="20"/>
        </w:rPr>
        <w:t>lobal market shares of</w:t>
      </w:r>
      <w:r w:rsidR="243E7855" w:rsidRPr="00B2361C">
        <w:rPr>
          <w:sz w:val="20"/>
          <w:szCs w:val="20"/>
        </w:rPr>
        <w:t xml:space="preserve"> 85% for wind, 45% for solar PV, 60% for heat pumps, 90% for battery cells and 100% for electrolysers.</w:t>
      </w:r>
    </w:p>
  </w:footnote>
  <w:footnote w:id="283">
    <w:p w14:paraId="53DE450F" w14:textId="084E59C3" w:rsidR="003E3188" w:rsidRPr="00913156" w:rsidRDefault="00BF05E6" w:rsidP="003E3188">
      <w:pPr>
        <w:pStyle w:val="FootnoteText"/>
      </w:pPr>
      <w:r>
        <w:t>(</w:t>
      </w:r>
      <w:r w:rsidR="003E3188">
        <w:rPr>
          <w:rStyle w:val="FootnoteReference"/>
        </w:rPr>
        <w:footnoteRef/>
      </w:r>
      <w:r>
        <w:t>)</w:t>
      </w:r>
      <w:r w:rsidR="003E3188">
        <w:t xml:space="preserve"> IEA (2023)</w:t>
      </w:r>
      <w:r w:rsidR="00335679">
        <w:t>.</w:t>
      </w:r>
      <w:r w:rsidR="003E3188">
        <w:t xml:space="preserve"> “Net Zero Roadmap. A Global Pathway to Keep the 1.5°C Goal in Reach”</w:t>
      </w:r>
    </w:p>
  </w:footnote>
  <w:footnote w:id="284">
    <w:p w14:paraId="110C2173" w14:textId="366A28BB" w:rsidR="003E3188" w:rsidRPr="00E21F82" w:rsidRDefault="00BF05E6" w:rsidP="003E3188">
      <w:pPr>
        <w:pStyle w:val="FootnoteText"/>
        <w:rPr>
          <w:lang w:val="en-IE"/>
        </w:rPr>
      </w:pPr>
      <w:r>
        <w:t>(</w:t>
      </w:r>
      <w:r w:rsidR="003E3188">
        <w:rPr>
          <w:rStyle w:val="FootnoteReference"/>
        </w:rPr>
        <w:footnoteRef/>
      </w:r>
      <w:r>
        <w:t>)</w:t>
      </w:r>
      <w:r w:rsidR="003E3188">
        <w:t xml:space="preserve"> </w:t>
      </w:r>
      <w:r w:rsidR="003E3188" w:rsidRPr="00E21F82">
        <w:t>The TRL</w:t>
      </w:r>
      <w:r w:rsidR="003E3188">
        <w:t xml:space="preserve"> evaluation</w:t>
      </w:r>
      <w:r w:rsidR="003E3188" w:rsidRPr="00E21F82">
        <w:t xml:space="preserve"> is based on the EU’s Clean Energy Technology Observatory (CETO).</w:t>
      </w:r>
    </w:p>
  </w:footnote>
  <w:footnote w:id="285">
    <w:p w14:paraId="72E0CDF8" w14:textId="77777777" w:rsidR="003046F6" w:rsidRPr="00AC6D09" w:rsidRDefault="003046F6" w:rsidP="003046F6">
      <w:pPr>
        <w:pStyle w:val="FootnoteText"/>
        <w:rPr>
          <w:lang w:val="en-IE"/>
        </w:rPr>
      </w:pPr>
      <w:r>
        <w:t>(</w:t>
      </w:r>
      <w:r>
        <w:rPr>
          <w:rStyle w:val="FootnoteReference"/>
        </w:rPr>
        <w:footnoteRef/>
      </w:r>
      <w:r>
        <w:t>)</w:t>
      </w:r>
      <w:r>
        <w:tab/>
        <w:t xml:space="preserve"> </w:t>
      </w:r>
      <w:r w:rsidRPr="00AC6D09">
        <w:t xml:space="preserve">European Commission, Directorate-General for Research and Innovation, European bioeconomy policy – Stocktaking and future developments – Report from the Commission to the European Parliament, the Council, the European Economic and Social Committee and the Committee of the Regions, Publications Office of the European Union, 2022, </w:t>
      </w:r>
      <w:hyperlink r:id="rId25" w:history="1">
        <w:r w:rsidRPr="009749B0">
          <w:rPr>
            <w:rStyle w:val="Hyperlink"/>
          </w:rPr>
          <w:t>https://data.europa.eu/doi/10.2777/997651</w:t>
        </w:r>
      </w:hyperlink>
      <w:r>
        <w:t xml:space="preserve"> </w:t>
      </w:r>
    </w:p>
  </w:footnote>
  <w:footnote w:id="286">
    <w:p w14:paraId="25D97852" w14:textId="010EDABD" w:rsidR="00C92102" w:rsidRPr="00362F2A" w:rsidRDefault="00C92102">
      <w:pPr>
        <w:pStyle w:val="FootnoteText"/>
      </w:pPr>
      <w:r w:rsidRPr="00C92102">
        <w:rPr>
          <w:lang w:val="de-DE"/>
        </w:rPr>
        <w:t>(</w:t>
      </w:r>
      <w:r>
        <w:rPr>
          <w:rStyle w:val="FootnoteReference"/>
        </w:rPr>
        <w:footnoteRef/>
      </w:r>
      <w:r w:rsidRPr="00C92102">
        <w:rPr>
          <w:lang w:val="de-DE"/>
        </w:rPr>
        <w:t>)</w:t>
      </w:r>
      <w:r w:rsidRPr="00C92102">
        <w:rPr>
          <w:lang w:val="de-DE"/>
        </w:rPr>
        <w:tab/>
        <w:t xml:space="preserve">Girardin, C. A., Jenkins, S., Seddon, N., Allen, M., Lewis, S. L., Wheeler, C. E., ... &amp; Malhi, Y. (2021). </w:t>
      </w:r>
      <w:r w:rsidRPr="00C92102">
        <w:t>Nature-based solutions can help cool the planet—if we act now. Nature, 593(7858), 191-194.</w:t>
      </w:r>
    </w:p>
  </w:footnote>
  <w:footnote w:id="287">
    <w:p w14:paraId="625CE533" w14:textId="63BCD0A1" w:rsidR="00575566" w:rsidRPr="00575566" w:rsidRDefault="00575566">
      <w:pPr>
        <w:pStyle w:val="FootnoteText"/>
        <w:rPr>
          <w:lang w:val="en-IE"/>
        </w:rPr>
      </w:pPr>
      <w:r w:rsidRPr="00362F2A">
        <w:t>(</w:t>
      </w:r>
      <w:r>
        <w:rPr>
          <w:rStyle w:val="FootnoteReference"/>
        </w:rPr>
        <w:footnoteRef/>
      </w:r>
      <w:r w:rsidRPr="00362F2A">
        <w:t>)</w:t>
      </w:r>
      <w:r w:rsidRPr="00362F2A">
        <w:tab/>
        <w:t xml:space="preserve">Griscom, Bronson W., Justin Adams, Peter W. Ellis, Richard A. Houghton, Guy Lomax, Daniela A. Miteva, William H. Schlesinger et al. </w:t>
      </w:r>
      <w:r w:rsidRPr="00575566">
        <w:t>"Natural climate solutions." Proceedings of the National Academy of Sciences 114, no. 44 (2017): 11645-11650.</w:t>
      </w:r>
    </w:p>
  </w:footnote>
  <w:footnote w:id="288">
    <w:p w14:paraId="7F23FE97" w14:textId="244D95C7" w:rsidR="00C92102" w:rsidRPr="00963084" w:rsidRDefault="00C92102">
      <w:pPr>
        <w:pStyle w:val="FootnoteText"/>
        <w:rPr>
          <w:lang w:val="en-IE"/>
        </w:rPr>
      </w:pPr>
      <w:r w:rsidRPr="0092532F">
        <w:rPr>
          <w:lang w:val="de-DE"/>
        </w:rPr>
        <w:t>(</w:t>
      </w:r>
      <w:r>
        <w:rPr>
          <w:rStyle w:val="FootnoteReference"/>
        </w:rPr>
        <w:footnoteRef/>
      </w:r>
      <w:r w:rsidRPr="0092532F">
        <w:rPr>
          <w:lang w:val="de-DE"/>
        </w:rPr>
        <w:t>)</w:t>
      </w:r>
      <w:r w:rsidR="00575566" w:rsidRPr="0092532F">
        <w:rPr>
          <w:lang w:val="de-DE"/>
        </w:rPr>
        <w:tab/>
        <w:t xml:space="preserve">Girardin, C. A., Jenkins, S., Seddon, N., Allen, M., Lewis, S. L., Wheeler, C. E., ... </w:t>
      </w:r>
      <w:r w:rsidR="00575566" w:rsidRPr="00C92102">
        <w:rPr>
          <w:lang w:val="de-DE"/>
        </w:rPr>
        <w:t xml:space="preserve">&amp; Malhi, Y. (2021). </w:t>
      </w:r>
      <w:r w:rsidR="00575566" w:rsidRPr="00C92102">
        <w:t>Nature-based solutions can help cool the planet—if we act now. Nature, 593(7858), 191-194.</w:t>
      </w:r>
    </w:p>
  </w:footnote>
  <w:footnote w:id="289">
    <w:p w14:paraId="240C15D1" w14:textId="5404D84E" w:rsidR="00C621A2" w:rsidRPr="00F82696" w:rsidRDefault="00C621A2">
      <w:pPr>
        <w:pStyle w:val="FootnoteText"/>
        <w:rPr>
          <w:lang w:val="en-IE"/>
        </w:rPr>
      </w:pPr>
      <w:r>
        <w:t>(</w:t>
      </w:r>
      <w:r>
        <w:rPr>
          <w:rStyle w:val="FootnoteReference"/>
        </w:rPr>
        <w:footnoteRef/>
      </w:r>
      <w:r>
        <w:t>)</w:t>
      </w:r>
      <w:r>
        <w:tab/>
      </w:r>
      <w:hyperlink r:id="rId26" w:history="1">
        <w:r w:rsidRPr="00C621A2">
          <w:rPr>
            <w:rStyle w:val="Hyperlink"/>
          </w:rPr>
          <w:t>COM(2021) 82 final</w:t>
        </w:r>
      </w:hyperlink>
      <w:r>
        <w:t xml:space="preserve"> and accompanying impact assessment </w:t>
      </w:r>
      <w:hyperlink r:id="rId27" w:history="1">
        <w:r w:rsidRPr="00C621A2">
          <w:rPr>
            <w:rStyle w:val="Hyperlink"/>
          </w:rPr>
          <w:t>SWD(2021) 25 final</w:t>
        </w:r>
      </w:hyperlink>
      <w:r>
        <w:t>.</w:t>
      </w:r>
    </w:p>
  </w:footnote>
  <w:footnote w:id="290">
    <w:p w14:paraId="184C1C9D" w14:textId="7851CA5E" w:rsidR="00815105" w:rsidRPr="00F82696" w:rsidRDefault="00815105">
      <w:pPr>
        <w:pStyle w:val="FootnoteText"/>
        <w:rPr>
          <w:lang w:val="en-IE"/>
        </w:rPr>
      </w:pPr>
      <w:r>
        <w:t>(</w:t>
      </w:r>
      <w:r>
        <w:rPr>
          <w:rStyle w:val="FootnoteReference"/>
        </w:rPr>
        <w:footnoteRef/>
      </w:r>
      <w:r>
        <w:t>)</w:t>
      </w:r>
      <w:r>
        <w:tab/>
      </w:r>
      <w:hyperlink r:id="rId28" w:history="1">
        <w:r w:rsidRPr="00815105">
          <w:rPr>
            <w:rStyle w:val="Hyperlink"/>
          </w:rPr>
          <w:t>European Climate Risk Assessment</w:t>
        </w:r>
      </w:hyperlink>
      <w:r>
        <w:t>.</w:t>
      </w:r>
    </w:p>
  </w:footnote>
  <w:footnote w:id="291">
    <w:p w14:paraId="702FFA27" w14:textId="0D1D96A0" w:rsidR="00815105" w:rsidRPr="00F82696" w:rsidRDefault="00815105">
      <w:pPr>
        <w:pStyle w:val="FootnoteText"/>
        <w:rPr>
          <w:lang w:val="en-IE"/>
        </w:rPr>
      </w:pPr>
      <w:r>
        <w:t>(</w:t>
      </w:r>
      <w:r>
        <w:rPr>
          <w:rStyle w:val="FootnoteReference"/>
        </w:rPr>
        <w:footnoteRef/>
      </w:r>
      <w:r>
        <w:t>)</w:t>
      </w:r>
      <w:r>
        <w:tab/>
      </w:r>
      <w:hyperlink r:id="rId29" w:history="1">
        <w:r w:rsidRPr="00815105">
          <w:rPr>
            <w:rStyle w:val="Hyperlink"/>
          </w:rPr>
          <w:t>CINEA/2023/OP/0013</w:t>
        </w:r>
      </w:hyperlink>
      <w:r>
        <w:t>.</w:t>
      </w:r>
    </w:p>
  </w:footnote>
  <w:footnote w:id="292">
    <w:p w14:paraId="419A1800" w14:textId="2F7233FB" w:rsidR="00DE5BEF" w:rsidRPr="00A617FD" w:rsidRDefault="00DE5BEF">
      <w:pPr>
        <w:pStyle w:val="FootnoteText"/>
        <w:rPr>
          <w:lang w:val="en-IE"/>
        </w:rPr>
      </w:pPr>
      <w:r>
        <w:t>(</w:t>
      </w:r>
      <w:r>
        <w:rPr>
          <w:rStyle w:val="FootnoteReference"/>
        </w:rPr>
        <w:footnoteRef/>
      </w:r>
      <w:r>
        <w:t xml:space="preserve">) </w:t>
      </w:r>
      <w:hyperlink r:id="rId30" w:history="1">
        <w:r w:rsidRPr="00DE5BEF">
          <w:rPr>
            <w:rStyle w:val="Hyperlink"/>
          </w:rPr>
          <w:t>Environmental tax statistics</w:t>
        </w:r>
      </w:hyperlink>
    </w:p>
  </w:footnote>
  <w:footnote w:id="293">
    <w:p w14:paraId="4C9FA511" w14:textId="77777777" w:rsidR="006166AB" w:rsidRPr="00234339" w:rsidRDefault="006166AB" w:rsidP="006166AB">
      <w:pPr>
        <w:pStyle w:val="FootnoteText"/>
        <w:rPr>
          <w:lang w:val="en-IE"/>
        </w:rPr>
      </w:pPr>
      <w:r>
        <w:t>(</w:t>
      </w:r>
      <w:r>
        <w:rPr>
          <w:rStyle w:val="FootnoteReference"/>
        </w:rPr>
        <w:footnoteRef/>
      </w:r>
      <w:r>
        <w:t>)</w:t>
      </w:r>
      <w:r>
        <w:tab/>
        <w:t xml:space="preserve"> </w:t>
      </w:r>
      <w:r w:rsidRPr="00601065">
        <w:t>The model-based analysis is a technical exercise based on a number of assumptions that are shared across scenarios. Its results do not prejudge the future design of the post-2030 policy framework.</w:t>
      </w:r>
    </w:p>
  </w:footnote>
  <w:footnote w:id="294">
    <w:p w14:paraId="4B445D56" w14:textId="0919E3EA" w:rsidR="00A1313E" w:rsidRPr="0071232E" w:rsidRDefault="00A1313E">
      <w:pPr>
        <w:pStyle w:val="FootnoteText"/>
        <w:rPr>
          <w:lang w:val="en-IE"/>
        </w:rPr>
      </w:pPr>
      <w:r>
        <w:t>(</w:t>
      </w:r>
      <w:r>
        <w:rPr>
          <w:rStyle w:val="FootnoteReference"/>
        </w:rPr>
        <w:footnoteRef/>
      </w:r>
      <w:r>
        <w:t>)</w:t>
      </w:r>
      <w:r>
        <w:tab/>
        <w:t xml:space="preserve">The calculated cost is influenced by the discount rate used. The discount rate of 10% is used to reflect in the perspective of the private investor faced with real world investment constraints. It is also applied ex-post to calculate system costs. The value of 10% is kept constant between modelling scenarios, to ensure comparability across scenarios. For planning investments, the model uses slightly different discount rates that are representative of investors’ hurdles rates in the sector. A detailed explanation of this methodology is provided in the annex of the 2016 reference projection: </w:t>
      </w:r>
      <w:hyperlink r:id="rId31" w:history="1">
        <w:r w:rsidRPr="00D50170">
          <w:rPr>
            <w:rStyle w:val="Hyperlink"/>
          </w:rPr>
          <w:t>https://ec.europa.eu/energy/data-analysis/energy-modelling/eu-reference-scenario-2016_en</w:t>
        </w:r>
      </w:hyperlink>
      <w:r>
        <w:t>.</w:t>
      </w:r>
    </w:p>
  </w:footnote>
  <w:footnote w:id="295">
    <w:p w14:paraId="78A07050" w14:textId="77777777" w:rsidR="0074506B" w:rsidRPr="007372C5" w:rsidRDefault="0074506B" w:rsidP="0074506B">
      <w:pPr>
        <w:pStyle w:val="FootnoteText"/>
        <w:rPr>
          <w:lang w:val="en-IE"/>
        </w:rPr>
      </w:pPr>
      <w:r>
        <w:t>(</w:t>
      </w:r>
      <w:r>
        <w:rPr>
          <w:rStyle w:val="FootnoteReference"/>
        </w:rPr>
        <w:footnoteRef/>
      </w:r>
      <w:r>
        <w:t>)</w:t>
      </w:r>
      <w:r>
        <w:tab/>
        <w:t xml:space="preserve">Consumer prices for products from organic agriculture are conservatively assumed to be similar to conventional agricultural products. However lower outputs of products or higher quality of products may lead to higher producer prices, partly buffering the losses. Also, consumers’ budgetary savings for food, which result from changing diets, which may be reinvested into food products with higher quality are not considered.  </w:t>
      </w:r>
    </w:p>
  </w:footnote>
  <w:footnote w:id="296">
    <w:p w14:paraId="54255869" w14:textId="30D45117" w:rsidR="00CB6D44" w:rsidRPr="00CB6D44" w:rsidRDefault="00CB6D44">
      <w:pPr>
        <w:pStyle w:val="FootnoteText"/>
        <w:rPr>
          <w:lang w:val="en-IE"/>
        </w:rPr>
      </w:pPr>
      <w:r>
        <w:t>(</w:t>
      </w:r>
      <w:r>
        <w:rPr>
          <w:rStyle w:val="FootnoteReference"/>
        </w:rPr>
        <w:footnoteRef/>
      </w:r>
      <w:r>
        <w:t>)</w:t>
      </w:r>
      <w:r>
        <w:tab/>
        <w:t xml:space="preserve">This was analysed in more details in the Joint Research Centre’s </w:t>
      </w:r>
      <w:hyperlink r:id="rId32" w:history="1">
        <w:r w:rsidRPr="00CB6D44">
          <w:rPr>
            <w:rStyle w:val="Hyperlink"/>
          </w:rPr>
          <w:t>Global Energy and Climate Outlook 2022: Energy trade in a decarbonised world</w:t>
        </w:r>
      </w:hyperlink>
      <w:r>
        <w:t>.</w:t>
      </w:r>
    </w:p>
  </w:footnote>
  <w:footnote w:id="297">
    <w:p w14:paraId="4C02CE37" w14:textId="771BB104" w:rsidR="006F5F3C" w:rsidRPr="00465912" w:rsidRDefault="006F5F3C">
      <w:pPr>
        <w:pStyle w:val="FootnoteText"/>
        <w:rPr>
          <w:lang w:val="en-US"/>
        </w:rPr>
      </w:pPr>
      <w:r w:rsidRPr="00465912">
        <w:t>(</w:t>
      </w:r>
      <w:r w:rsidRPr="00465912">
        <w:rPr>
          <w:rStyle w:val="FootnoteReference"/>
        </w:rPr>
        <w:footnoteRef/>
      </w:r>
      <w:r w:rsidRPr="00465912">
        <w:t>)</w:t>
      </w:r>
      <w:r w:rsidRPr="00465912">
        <w:tab/>
      </w:r>
      <w:r w:rsidRPr="00465912">
        <w:rPr>
          <w:rFonts w:cs="Calibri"/>
          <w:szCs w:val="20"/>
        </w:rPr>
        <w:t>IEA (2023): “Net Zero Roadmap. A Global Pathway to Keep the 1.5°C Goal in Reach”</w:t>
      </w:r>
    </w:p>
  </w:footnote>
  <w:footnote w:id="298">
    <w:p w14:paraId="1F1D084F" w14:textId="6A8A3F12" w:rsidR="00465912" w:rsidRPr="00465912" w:rsidRDefault="00465912">
      <w:pPr>
        <w:pStyle w:val="FootnoteText"/>
        <w:rPr>
          <w:lang w:val="en-US"/>
        </w:rPr>
      </w:pPr>
      <w:r w:rsidRPr="00465912">
        <w:t>(</w:t>
      </w:r>
      <w:r w:rsidRPr="00465912">
        <w:rPr>
          <w:rStyle w:val="FootnoteReference"/>
        </w:rPr>
        <w:footnoteRef/>
      </w:r>
      <w:r w:rsidRPr="00465912">
        <w:t>)</w:t>
      </w:r>
      <w:r w:rsidRPr="00465912">
        <w:tab/>
      </w:r>
      <w:r w:rsidRPr="00465912">
        <w:rPr>
          <w:rFonts w:cs="Calibri"/>
        </w:rPr>
        <w:t>The TRL evaluation is based on the EU’s Clean Energy Technology Observatory (CETO).</w:t>
      </w:r>
    </w:p>
  </w:footnote>
  <w:footnote w:id="299">
    <w:p w14:paraId="3D929198" w14:textId="77777777" w:rsidR="00F62511" w:rsidRPr="00234339" w:rsidRDefault="00F62511" w:rsidP="00F62511">
      <w:pPr>
        <w:pStyle w:val="FootnoteText"/>
        <w:rPr>
          <w:lang w:val="en-IE"/>
        </w:rPr>
      </w:pPr>
      <w:r>
        <w:t>(</w:t>
      </w:r>
      <w:r>
        <w:rPr>
          <w:rStyle w:val="FootnoteReference"/>
        </w:rPr>
        <w:footnoteRef/>
      </w:r>
      <w:r>
        <w:t>)</w:t>
      </w:r>
      <w:r>
        <w:tab/>
        <w:t xml:space="preserve"> </w:t>
      </w:r>
      <w:r w:rsidRPr="003711C9">
        <w:t>The model-based analysis is a technical exercise based on a number of assumptions that are shared across scenarios. Its results do not prejudge the future design of the post-2030 policy framework.</w:t>
      </w:r>
    </w:p>
  </w:footnote>
  <w:footnote w:id="300">
    <w:p w14:paraId="7E815015" w14:textId="7F578A78" w:rsidR="00F75452" w:rsidRPr="002B53BA" w:rsidRDefault="00F75452">
      <w:pPr>
        <w:pStyle w:val="FootnoteText"/>
        <w:rPr>
          <w:lang w:val="en-US"/>
        </w:rPr>
      </w:pPr>
      <w:r>
        <w:t>(</w:t>
      </w:r>
      <w:r>
        <w:rPr>
          <w:rStyle w:val="FootnoteReference"/>
        </w:rPr>
        <w:footnoteRef/>
      </w:r>
      <w:r>
        <w:t>)</w:t>
      </w:r>
      <w:r>
        <w:tab/>
      </w:r>
      <w:r w:rsidRPr="00F75452">
        <w:t>The annual expenditures for private vehicles cover the total expenditures to purchase vehicles as well as the fixed operation costs (excluding taxes).</w:t>
      </w:r>
    </w:p>
  </w:footnote>
  <w:footnote w:id="301">
    <w:p w14:paraId="63D3691D" w14:textId="777D3F68" w:rsidR="00A1313E" w:rsidRPr="001D6C01" w:rsidRDefault="00A1313E" w:rsidP="00BF26E0">
      <w:pPr>
        <w:widowControl w:val="0"/>
        <w:tabs>
          <w:tab w:val="left" w:pos="425"/>
        </w:tabs>
        <w:suppressAutoHyphens/>
        <w:autoSpaceDE w:val="0"/>
        <w:autoSpaceDN w:val="0"/>
        <w:spacing w:after="0"/>
        <w:rPr>
          <w:rFonts w:ascii="Times New Roman" w:eastAsiaTheme="minorHAnsi" w:hAnsi="Times New Roman" w:cs="Times New Roman"/>
          <w:sz w:val="20"/>
          <w:szCs w:val="20"/>
          <w:lang w:eastAsia="en-US"/>
        </w:rPr>
      </w:pPr>
      <w:r>
        <w:rPr>
          <w:rFonts w:ascii="Times New Roman" w:hAnsi="Times New Roman" w:cs="Times New Roman"/>
          <w:sz w:val="20"/>
          <w:szCs w:val="20"/>
        </w:rPr>
        <w:t>(</w:t>
      </w:r>
      <w:r w:rsidRPr="001D6C01">
        <w:rPr>
          <w:rStyle w:val="FootnoteReference"/>
          <w:rFonts w:ascii="Times New Roman" w:hAnsi="Times New Roman" w:cs="Times New Roman"/>
          <w:sz w:val="20"/>
          <w:szCs w:val="20"/>
        </w:rPr>
        <w:footnoteRef/>
      </w:r>
      <w:r>
        <w:rPr>
          <w:rFonts w:ascii="Times New Roman" w:hAnsi="Times New Roman" w:cs="Times New Roman"/>
          <w:sz w:val="20"/>
          <w:szCs w:val="20"/>
        </w:rPr>
        <w:t>)</w:t>
      </w:r>
      <w:r w:rsidRPr="001D6C01">
        <w:rPr>
          <w:rFonts w:ascii="Times New Roman" w:hAnsi="Times New Roman" w:cs="Times New Roman"/>
          <w:sz w:val="20"/>
          <w:szCs w:val="20"/>
        </w:rPr>
        <w:t xml:space="preserve"> </w:t>
      </w:r>
      <w:r w:rsidRPr="001D6C01">
        <w:rPr>
          <w:rFonts w:ascii="Times New Roman" w:hAnsi="Times New Roman" w:cs="Times New Roman"/>
          <w:sz w:val="20"/>
          <w:szCs w:val="20"/>
          <w:shd w:val="clear" w:color="auto" w:fill="FFFFFF"/>
        </w:rPr>
        <w:t xml:space="preserve">Regulation (EU) 2023/955 of the European Parliament and of the Council of 10 May 2023 establishing a Social Climate Fund and amending Regulation (EU) 2021/1060: </w:t>
      </w:r>
      <w:r w:rsidRPr="001D6C01">
        <w:rPr>
          <w:rFonts w:ascii="Times New Roman" w:hAnsi="Times New Roman" w:cs="Times New Roman"/>
          <w:sz w:val="20"/>
          <w:szCs w:val="20"/>
        </w:rPr>
        <w:t>‘</w:t>
      </w:r>
      <w:r w:rsidRPr="001D6C01">
        <w:rPr>
          <w:rFonts w:ascii="Times New Roman" w:eastAsiaTheme="minorHAnsi" w:hAnsi="Times New Roman" w:cs="Times New Roman"/>
          <w:sz w:val="20"/>
          <w:szCs w:val="20"/>
          <w:lang w:eastAsia="en-US"/>
        </w:rPr>
        <w:t>transport poverty’ means individuals’ and households’ inability or difficulty to meet the costs of private or public transport, or their lack of or limited access to transport needed for their access to essential socio-economic services and activities, taking into account the national and spatial context.</w:t>
      </w:r>
    </w:p>
  </w:footnote>
  <w:footnote w:id="302">
    <w:p w14:paraId="40747156" w14:textId="285399A4" w:rsidR="00A1313E" w:rsidRPr="00E15B80" w:rsidRDefault="00A1313E" w:rsidP="000F3920">
      <w:pPr>
        <w:pStyle w:val="FootnoteText"/>
        <w:ind w:left="0" w:firstLine="0"/>
        <w:rPr>
          <w:rFonts w:ascii="Times New Roman" w:hAnsi="Times New Roman" w:cs="Times New Roman"/>
          <w:lang w:val="en-IE"/>
        </w:rPr>
      </w:pPr>
      <w:r>
        <w:rPr>
          <w:rFonts w:ascii="Times New Roman" w:hAnsi="Times New Roman" w:cs="Times New Roman"/>
        </w:rPr>
        <w:t>(</w:t>
      </w:r>
      <w:r w:rsidRPr="001D6C01">
        <w:rPr>
          <w:rStyle w:val="FootnoteReference"/>
          <w:rFonts w:ascii="Times New Roman" w:hAnsi="Times New Roman" w:cs="Times New Roman"/>
        </w:rPr>
        <w:footnoteRef/>
      </w:r>
      <w:r>
        <w:rPr>
          <w:rFonts w:ascii="Times New Roman" w:hAnsi="Times New Roman" w:cs="Times New Roman"/>
        </w:rPr>
        <w:t>)</w:t>
      </w:r>
      <w:r w:rsidRPr="001D6C01">
        <w:rPr>
          <w:rFonts w:ascii="Times New Roman" w:hAnsi="Times New Roman" w:cs="Times New Roman"/>
        </w:rPr>
        <w:t xml:space="preserve"> Information collected ad hoc by Eurostat in 2014. New data on affordability of public transport will be collected by Eurostat in 2024, as part of the new ad hoc module on access to services. See Commission Implementing Regulation (EU) 2022/2498 of 9 December 2022 specifying technical items of data sets of the sample survey in the income and living conditions domain on access to services pursuant to Regulation (EU) 2019/1700 of the European Parliament and of the Council.</w:t>
      </w:r>
    </w:p>
  </w:footnote>
  <w:footnote w:id="303">
    <w:p w14:paraId="0FAD5778" w14:textId="64D396F0" w:rsidR="00A1313E" w:rsidRPr="003421A1" w:rsidRDefault="00A1313E" w:rsidP="005F2F2B">
      <w:pPr>
        <w:pStyle w:val="FootnoteText"/>
        <w:rPr>
          <w:lang w:val="en-IE"/>
        </w:rPr>
      </w:pPr>
      <w:r>
        <w:t>(</w:t>
      </w:r>
      <w:r>
        <w:rPr>
          <w:rStyle w:val="FootnoteReference"/>
        </w:rPr>
        <w:footnoteRef/>
      </w:r>
      <w:r>
        <w:t xml:space="preserve">) </w:t>
      </w:r>
      <w:hyperlink r:id="rId33" w:history="1">
        <w:r w:rsidRPr="00155282">
          <w:rPr>
            <w:rStyle w:val="Hyperlink"/>
          </w:rPr>
          <w:t>Proposal for a REGULATION OF THE EUROPEAN PARLIAMENT AND OF THE COUNCIL amending Regulations (EU) 2019/943 and (EU) 2019/942 as well as Directives (EU) 2018/2001 and (EU) 2019/944 to improve the Union’s electricity market design</w:t>
        </w:r>
      </w:hyperlink>
    </w:p>
  </w:footnote>
  <w:footnote w:id="304">
    <w:p w14:paraId="191E24E2" w14:textId="4EC7EDD4" w:rsidR="00A1313E" w:rsidRPr="008644E1" w:rsidRDefault="00A1313E" w:rsidP="004C0730">
      <w:pPr>
        <w:pStyle w:val="FootnoteText"/>
        <w:ind w:left="0" w:firstLine="0"/>
        <w:rPr>
          <w:lang w:val="en-IE"/>
        </w:rPr>
      </w:pPr>
    </w:p>
  </w:footnote>
  <w:footnote w:id="305">
    <w:p w14:paraId="3A060072" w14:textId="439EE8CB" w:rsidR="00DD5028" w:rsidRPr="00392972" w:rsidRDefault="00DD5028" w:rsidP="00DD5028">
      <w:pPr>
        <w:pStyle w:val="FootnoteText"/>
        <w:rPr>
          <w:lang w:val="en-IE"/>
        </w:rPr>
      </w:pPr>
      <w:r>
        <w:t>(</w:t>
      </w:r>
      <w:r>
        <w:rPr>
          <w:rStyle w:val="FootnoteReference"/>
        </w:rPr>
        <w:footnoteRef/>
      </w:r>
      <w:r>
        <w:t>)</w:t>
      </w:r>
      <w:r>
        <w:tab/>
        <w:t>The table is based on an aggregation of NACE 2 sectors. Fossil fuel sectors (B05, B06, C19); other mining and extraction activities (B07, B08, B09); energy intensive industries (C17, C20, C21, C23, C</w:t>
      </w:r>
      <w:r w:rsidR="004F1ECB">
        <w:t>24</w:t>
      </w:r>
      <w:r>
        <w:t>); manufacturing of transport equipment (C29, C30); manufacturing of electrical equipment and other machinery (C27, C28); other manufacturing (all other C codes); electricity, gas, steam and air conditioning supply (D35); construction and architecture services (F41, F42, F43, M71); transport and storage (H49 to H53); services (all codes not listed in other sectors); water, treatment and waste (E36 to E39); agriculture, forestry and fishing (A01, A02, A03).</w:t>
      </w:r>
    </w:p>
  </w:footnote>
  <w:footnote w:id="306">
    <w:p w14:paraId="751C3B3A" w14:textId="3035B490" w:rsidR="00DD5028" w:rsidRPr="008E2B54" w:rsidRDefault="00DD5028" w:rsidP="00DD5028">
      <w:pPr>
        <w:pStyle w:val="FootnoteText"/>
        <w:rPr>
          <w:lang w:val="en-IE"/>
        </w:rPr>
      </w:pPr>
      <w:r>
        <w:t>(</w:t>
      </w:r>
      <w:r>
        <w:rPr>
          <w:rStyle w:val="FootnoteReference"/>
        </w:rPr>
        <w:footnoteRef/>
      </w:r>
      <w:r>
        <w:t>)</w:t>
      </w:r>
      <w:r>
        <w:tab/>
        <w:t xml:space="preserve">The table is based on ISCO-08 </w:t>
      </w:r>
      <w:r w:rsidR="00BE622A">
        <w:t>two-digit</w:t>
      </w:r>
      <w:r>
        <w:t xml:space="preserve"> level occupations. Managers (OC1); professionals (OC2); professional (science and engineering) (OC21); technicians (OC3); technicians (science and engineering) (OC31); clerical support (OC4); services and sales (OC5); skilled workers in agriculture, forestry and fisheries (OC6); crafts and trade (OC7); crafts and trade (building) (OC71);</w:t>
      </w:r>
      <w:r w:rsidRPr="00BC7AB8">
        <w:t xml:space="preserve"> </w:t>
      </w:r>
      <w:r>
        <w:t>crafts and trade (electrical and electronic) (OC74);</w:t>
      </w:r>
      <w:r w:rsidRPr="00BC7AB8">
        <w:t xml:space="preserve"> </w:t>
      </w:r>
      <w:r>
        <w:t>crafts and trade (metal, machinery related) (OC72); plant and machine operators (OC8); elementary occupations (OC9), elementary occupations (m</w:t>
      </w:r>
      <w:r w:rsidRPr="00BC7AB8">
        <w:t>ining, constr., manuf. and transport)</w:t>
      </w:r>
      <w:r>
        <w:t xml:space="preserve"> (OC93); other (OC0 and NRP).</w:t>
      </w:r>
    </w:p>
  </w:footnote>
  <w:footnote w:id="307">
    <w:p w14:paraId="4F2F13FA" w14:textId="77777777" w:rsidR="00DD5028" w:rsidRPr="00E8358B" w:rsidRDefault="00DD5028" w:rsidP="00DD5028">
      <w:pPr>
        <w:pStyle w:val="FootnoteText"/>
        <w:rPr>
          <w:lang w:val="en-IE"/>
        </w:rPr>
      </w:pPr>
      <w:r>
        <w:t>(</w:t>
      </w:r>
      <w:r>
        <w:rPr>
          <w:rStyle w:val="FootnoteReference"/>
        </w:rPr>
        <w:footnoteRef/>
      </w:r>
      <w:r>
        <w:t>)</w:t>
      </w:r>
      <w:r>
        <w:tab/>
        <w:t>The sectoral classifications resulting from the JRC-GEM-E3 modelling differ to some extent from those based on NACE 2 sectors.</w:t>
      </w:r>
    </w:p>
  </w:footnote>
  <w:footnote w:id="308">
    <w:p w14:paraId="4EA0F869" w14:textId="16169D17" w:rsidR="001F4FD4" w:rsidRPr="001F4FD4" w:rsidRDefault="001F4FD4">
      <w:pPr>
        <w:pStyle w:val="FootnoteText"/>
        <w:rPr>
          <w:lang w:val="en-IE"/>
        </w:rPr>
      </w:pPr>
      <w:r>
        <w:t>(</w:t>
      </w:r>
      <w:r>
        <w:rPr>
          <w:rStyle w:val="FootnoteReference"/>
        </w:rPr>
        <w:footnoteRef/>
      </w:r>
      <w:r>
        <w:t>)</w:t>
      </w:r>
      <w:r>
        <w:tab/>
      </w:r>
      <w:hyperlink r:id="rId34" w:history="1">
        <w:r w:rsidRPr="001F4FD4">
          <w:rPr>
            <w:rStyle w:val="Hyperlink"/>
          </w:rPr>
          <w:t>Cedefop skills forecast: green and digital transitions to have positive employment impacts.</w:t>
        </w:r>
      </w:hyperlink>
    </w:p>
  </w:footnote>
  <w:footnote w:id="309">
    <w:p w14:paraId="5A2C6B43" w14:textId="2D6EB78F" w:rsidR="00A1313E" w:rsidRPr="00C56EB1" w:rsidRDefault="00A1313E" w:rsidP="00C56EB1">
      <w:pPr>
        <w:pStyle w:val="FootnoteText"/>
        <w:rPr>
          <w:lang w:val="en-IE"/>
        </w:rPr>
      </w:pPr>
      <w:r>
        <w:t>(</w:t>
      </w:r>
      <w:r>
        <w:rPr>
          <w:rStyle w:val="FootnoteReference"/>
        </w:rPr>
        <w:footnoteRef/>
      </w:r>
      <w:r>
        <w:t>)</w:t>
      </w:r>
      <w:r>
        <w:tab/>
        <w:t xml:space="preserve">Marie Tamba, Jette Krause, Matthias Weitzel, Raileanu Ioan, Louison Duboz, Monica Grosso, Toon Vandyck, </w:t>
      </w:r>
      <w:hyperlink r:id="rId35" w:history="1">
        <w:r w:rsidRPr="001A654E">
          <w:rPr>
            <w:rStyle w:val="Hyperlink"/>
          </w:rPr>
          <w:t>Economy-wide impacts of road transport electrification in the EU</w:t>
        </w:r>
      </w:hyperlink>
      <w:r>
        <w:t>, Technological Forecasting and Social Change, Volume 182, 2022.</w:t>
      </w:r>
    </w:p>
  </w:footnote>
  <w:footnote w:id="310">
    <w:p w14:paraId="41519463" w14:textId="518C6E6A" w:rsidR="000B4143" w:rsidRPr="000B4143" w:rsidRDefault="000B4143">
      <w:pPr>
        <w:pStyle w:val="FootnoteText"/>
        <w:rPr>
          <w:lang w:val="en-IE"/>
        </w:rPr>
      </w:pPr>
      <w:r>
        <w:t>(</w:t>
      </w:r>
      <w:r>
        <w:rPr>
          <w:rStyle w:val="FootnoteReference"/>
        </w:rPr>
        <w:footnoteRef/>
      </w:r>
      <w:r>
        <w:t>)</w:t>
      </w:r>
      <w:r>
        <w:tab/>
      </w:r>
      <w:r w:rsidR="00E57490">
        <w:t xml:space="preserve"> </w:t>
      </w:r>
      <w:r>
        <w:t>This corresponds to the average number of full-time jobs equivalent per million euro of turnover in the construction of residential and non-residential buildings in 2016-2020, as per Eurostat data.</w:t>
      </w:r>
    </w:p>
  </w:footnote>
  <w:footnote w:id="311">
    <w:p w14:paraId="35CE4A53" w14:textId="06B8C930" w:rsidR="00D43AA9" w:rsidRPr="00D43AA9" w:rsidRDefault="00D43AA9" w:rsidP="00D43AA9">
      <w:pPr>
        <w:pStyle w:val="FootnoteText"/>
        <w:rPr>
          <w:lang w:val="en-IE"/>
        </w:rPr>
      </w:pPr>
      <w:r>
        <w:t>(</w:t>
      </w:r>
      <w:r>
        <w:rPr>
          <w:rStyle w:val="FootnoteReference"/>
        </w:rPr>
        <w:footnoteRef/>
      </w:r>
      <w:r>
        <w:t>)</w:t>
      </w:r>
      <w:r w:rsidR="00E57490">
        <w:t xml:space="preserve"> </w:t>
      </w:r>
      <w:hyperlink r:id="rId36" w:history="1">
        <w:r w:rsidRPr="00172B2C">
          <w:rPr>
            <w:rStyle w:val="Hyperlink"/>
          </w:rPr>
          <w:t>SWD(2021) 453 final, part 1/4</w:t>
        </w:r>
      </w:hyperlink>
      <w:r>
        <w:t xml:space="preserve"> provides an additional discussion of the employment impacts of renovations, focusing on the effect of the Commission </w:t>
      </w:r>
      <w:r w:rsidR="00E57490">
        <w:t>p</w:t>
      </w:r>
      <w:r>
        <w:t>roposal for a Directive of the European Parliament and of the Council on the energy performance of buildings (recast)</w:t>
      </w:r>
      <w:r w:rsidR="00E57490">
        <w:t>.</w:t>
      </w:r>
    </w:p>
  </w:footnote>
  <w:footnote w:id="312">
    <w:p w14:paraId="116441C3" w14:textId="2AEB1D5D" w:rsidR="000151C3" w:rsidRPr="00B42172" w:rsidRDefault="000151C3" w:rsidP="00CA27C7">
      <w:pPr>
        <w:pStyle w:val="FootnoteText"/>
        <w:rPr>
          <w:lang w:val="en-IE"/>
        </w:rPr>
      </w:pPr>
      <w:r>
        <w:t>(</w:t>
      </w:r>
      <w:r>
        <w:rPr>
          <w:rStyle w:val="FootnoteReference"/>
        </w:rPr>
        <w:footnoteRef/>
      </w:r>
      <w:r>
        <w:t>)</w:t>
      </w:r>
      <w:hyperlink r:id="rId37" w:history="1">
        <w:r w:rsidR="00CA27C7" w:rsidRPr="008259E8">
          <w:rPr>
            <w:rStyle w:val="Hyperlink"/>
          </w:rPr>
          <w:t>The Employment and Social Developments in Europe 2023 Annual Review</w:t>
        </w:r>
      </w:hyperlink>
      <w:r w:rsidR="00CA27C7">
        <w:t xml:space="preserve"> (</w:t>
      </w:r>
      <w:r w:rsidR="008259E8">
        <w:t>a</w:t>
      </w:r>
      <w:r w:rsidR="00CA27C7">
        <w:t xml:space="preserve">dressing labour shortages and skills gaps in the EU) </w:t>
      </w:r>
      <w:r w:rsidR="008259E8">
        <w:t xml:space="preserve">provides first estimates of the </w:t>
      </w:r>
      <w:r w:rsidR="008259E8" w:rsidRPr="008259E8">
        <w:t xml:space="preserve">job creation </w:t>
      </w:r>
      <w:r w:rsidR="008259E8">
        <w:t xml:space="preserve">potential up to 2030 </w:t>
      </w:r>
      <w:r w:rsidR="008259E8" w:rsidRPr="008259E8">
        <w:t xml:space="preserve">related to the deployment of certain </w:t>
      </w:r>
      <w:r w:rsidR="008259E8">
        <w:t xml:space="preserve">clean </w:t>
      </w:r>
      <w:r w:rsidR="008259E8" w:rsidRPr="008259E8">
        <w:t>technologie</w:t>
      </w:r>
      <w:r w:rsidR="008259E8">
        <w:t xml:space="preserve">s, as well as estimates of the necessary spending on </w:t>
      </w:r>
      <w:r w:rsidR="008259E8" w:rsidRPr="008259E8">
        <w:t>retraining, reskilling and upskilling</w:t>
      </w:r>
      <w:r w:rsidR="008259E8">
        <w:t>.</w:t>
      </w:r>
    </w:p>
  </w:footnote>
  <w:footnote w:id="313">
    <w:p w14:paraId="0D092766" w14:textId="1F969B8E" w:rsidR="00107C97" w:rsidRPr="00107C97" w:rsidRDefault="00107C97">
      <w:pPr>
        <w:pStyle w:val="FootnoteText"/>
        <w:rPr>
          <w:lang w:val="en-IE"/>
        </w:rPr>
      </w:pPr>
      <w:r>
        <w:t>(</w:t>
      </w:r>
      <w:r>
        <w:rPr>
          <w:rStyle w:val="FootnoteReference"/>
        </w:rPr>
        <w:footnoteRef/>
      </w:r>
      <w:r>
        <w:t>)</w:t>
      </w:r>
      <w:r>
        <w:tab/>
        <w:t xml:space="preserve">The European Heat Pump Association’s European Heat Pump Market and Statistics Report 2023 indicates that </w:t>
      </w:r>
      <w:r w:rsidR="007F76FB">
        <w:t>close to 3 million</w:t>
      </w:r>
      <w:r>
        <w:t xml:space="preserve"> heat pumps were </w:t>
      </w:r>
      <w:r w:rsidR="007F76FB">
        <w:t>installed in the EU in 2022, with 67 000 installers employed in the sector (a ratio of 44 to 1). Similarly, a report from the Heat Pump Association projected the needs for heat pump installation and installers to decarbonise heating the UK up to 2035. Their projections indicate a ratio of 28 to 1 on average for the period.</w:t>
      </w:r>
    </w:p>
  </w:footnote>
  <w:footnote w:id="314">
    <w:p w14:paraId="59D860AF" w14:textId="77777777" w:rsidR="00A1313E" w:rsidRPr="00796B80" w:rsidRDefault="00A1313E" w:rsidP="00870632">
      <w:pPr>
        <w:pStyle w:val="FootnoteText"/>
        <w:rPr>
          <w:lang w:val="en-IE"/>
        </w:rPr>
      </w:pPr>
      <w:r>
        <w:t>(</w:t>
      </w:r>
      <w:r>
        <w:rPr>
          <w:rStyle w:val="FootnoteReference"/>
        </w:rPr>
        <w:footnoteRef/>
      </w:r>
      <w:r>
        <w:t>)</w:t>
      </w:r>
      <w:r>
        <w:tab/>
        <w:t xml:space="preserve"> </w:t>
      </w:r>
      <w:hyperlink r:id="rId38" w:history="1">
        <w:r w:rsidRPr="00C3363E">
          <w:rPr>
            <w:rStyle w:val="Hyperlink"/>
          </w:rPr>
          <w:t>SWD(2023) 68 final</w:t>
        </w:r>
      </w:hyperlink>
      <w:r>
        <w:t>.</w:t>
      </w:r>
    </w:p>
  </w:footnote>
  <w:footnote w:id="315">
    <w:p w14:paraId="484FC50E" w14:textId="62957E39" w:rsidR="00C734A3" w:rsidRPr="00EF5EBD" w:rsidRDefault="00C734A3">
      <w:pPr>
        <w:pStyle w:val="FootnoteText"/>
        <w:rPr>
          <w:lang w:val="en-IE"/>
        </w:rPr>
      </w:pPr>
      <w:r>
        <w:t>(</w:t>
      </w:r>
      <w:r>
        <w:rPr>
          <w:rStyle w:val="FootnoteReference"/>
        </w:rPr>
        <w:footnoteRef/>
      </w:r>
      <w:r>
        <w:t>)</w:t>
      </w:r>
      <w:r>
        <w:tab/>
      </w:r>
      <w:r w:rsidR="00EF5EBD">
        <w:t xml:space="preserve"> </w:t>
      </w:r>
      <w:hyperlink r:id="rId39" w:history="1">
        <w:r w:rsidR="00EF5EBD" w:rsidRPr="00EF5EBD">
          <w:rPr>
            <w:rStyle w:val="Hyperlink"/>
          </w:rPr>
          <w:t>GAIA. Zero Waste and Economic Recovery. The Job Creation Potential of Zero Waste Solutions.</w:t>
        </w:r>
      </w:hyperlink>
    </w:p>
  </w:footnote>
  <w:footnote w:id="316">
    <w:p w14:paraId="05CF376B" w14:textId="3D38708A" w:rsidR="005F5C1E" w:rsidRPr="00B42172" w:rsidRDefault="005F5C1E">
      <w:pPr>
        <w:pStyle w:val="FootnoteText"/>
        <w:rPr>
          <w:lang w:val="en-IE"/>
        </w:rPr>
      </w:pPr>
      <w:r>
        <w:t>(</w:t>
      </w:r>
      <w:r>
        <w:rPr>
          <w:rStyle w:val="FootnoteReference"/>
        </w:rPr>
        <w:footnoteRef/>
      </w:r>
      <w:r>
        <w:t>)</w:t>
      </w:r>
      <w:r>
        <w:tab/>
      </w:r>
      <w:r w:rsidRPr="005F5C1E">
        <w:t xml:space="preserve">The </w:t>
      </w:r>
      <w:r>
        <w:t>analytical tool was</w:t>
      </w:r>
      <w:r w:rsidRPr="005F5C1E">
        <w:t xml:space="preserve"> developed under </w:t>
      </w:r>
      <w:hyperlink r:id="rId40" w:history="1">
        <w:r w:rsidRPr="00E27263">
          <w:rPr>
            <w:rStyle w:val="Hyperlink"/>
          </w:rPr>
          <w:t>two joint projects</w:t>
        </w:r>
      </w:hyperlink>
      <w:r w:rsidRPr="005F5C1E">
        <w:t xml:space="preserve"> between </w:t>
      </w:r>
      <w:r>
        <w:t xml:space="preserve">the </w:t>
      </w:r>
      <w:r w:rsidRPr="005F5C1E">
        <w:t xml:space="preserve">Directorate-General Employment, Social Affairs and Inclusion and the Joint Research Centre. The two projects are: “Assessing and monitoring employment and distributional impacts of the Green Deal (GD-AMEDI)” and “Assessing distributional impacts of geopolitical developments and their direct and indirect socio-economic implications, and socio-economic stress tests for future energy price scenarios (AMEDI+)”. The projects combine macro- and micro-economic modelling approaches </w:t>
      </w:r>
      <w:r w:rsidR="00E27263">
        <w:t>to enhance</w:t>
      </w:r>
      <w:r w:rsidRPr="005F5C1E">
        <w:t xml:space="preserve"> the Commission’s analy</w:t>
      </w:r>
      <w:r w:rsidR="00E27263">
        <w:t>tical</w:t>
      </w:r>
      <w:r w:rsidRPr="005F5C1E">
        <w:t xml:space="preserve"> capacities for assessing and monitoring employment, social and distributional impacts of climate and energy policies.</w:t>
      </w:r>
    </w:p>
  </w:footnote>
  <w:footnote w:id="317">
    <w:p w14:paraId="6DFD0E5C" w14:textId="32516AC8" w:rsidR="008259E8" w:rsidRPr="00B42172" w:rsidRDefault="008259E8" w:rsidP="005F5C1E">
      <w:pPr>
        <w:pStyle w:val="FootnoteText"/>
        <w:rPr>
          <w:lang w:val="en-IE"/>
        </w:rPr>
      </w:pPr>
      <w:r>
        <w:t>(</w:t>
      </w:r>
      <w:r>
        <w:rPr>
          <w:rStyle w:val="FootnoteReference"/>
        </w:rPr>
        <w:footnoteRef/>
      </w:r>
      <w:r>
        <w:t>)</w:t>
      </w:r>
      <w:r>
        <w:tab/>
      </w:r>
      <w:hyperlink r:id="rId41" w:history="1">
        <w:r w:rsidR="005F5C1E" w:rsidRPr="005F5C1E">
          <w:rPr>
            <w:rStyle w:val="Hyperlink"/>
          </w:rPr>
          <w:t>Council Recommendation of 16 June 2022 on ensuring a fair transition towards climate neutrality (2022/C 243/04)</w:t>
        </w:r>
      </w:hyperlink>
      <w:r w:rsidR="005F5C1E">
        <w:t xml:space="preserve">. See also </w:t>
      </w:r>
      <w:hyperlink r:id="rId42" w:history="1">
        <w:r w:rsidR="005F5C1E" w:rsidRPr="005F5C1E">
          <w:rPr>
            <w:rStyle w:val="Hyperlink"/>
          </w:rPr>
          <w:t>SWD(2021) 452 final</w:t>
        </w:r>
      </w:hyperlink>
      <w:r w:rsidR="005F5C1E">
        <w:t xml:space="preserve">, which </w:t>
      </w:r>
      <w:r w:rsidRPr="008259E8">
        <w:t>provides an overview and discussion of the available analytical evidence underpinning the recommended policy interventions.</w:t>
      </w:r>
    </w:p>
  </w:footnote>
  <w:footnote w:id="318">
    <w:p w14:paraId="29F0CE18" w14:textId="3C28EA46" w:rsidR="00285EC7" w:rsidRPr="00F82696" w:rsidRDefault="008E5E3C" w:rsidP="00285EC7">
      <w:pPr>
        <w:pStyle w:val="FootnoteText"/>
        <w:rPr>
          <w:lang w:val="it-IT"/>
        </w:rPr>
      </w:pPr>
      <w:r w:rsidRPr="00F82696">
        <w:rPr>
          <w:lang w:val="it-IT"/>
        </w:rPr>
        <w:t>(</w:t>
      </w:r>
      <w:r w:rsidR="00285EC7">
        <w:rPr>
          <w:rStyle w:val="FootnoteReference"/>
        </w:rPr>
        <w:footnoteRef/>
      </w:r>
      <w:r w:rsidRPr="00F82696">
        <w:rPr>
          <w:lang w:val="it-IT"/>
        </w:rPr>
        <w:t>)</w:t>
      </w:r>
      <w:r w:rsidR="00285EC7" w:rsidRPr="00F82696">
        <w:rPr>
          <w:lang w:val="it-IT"/>
        </w:rPr>
        <w:t xml:space="preserve"> Guizzardi, Diego; Pisoni, Enrico; Pagani, Federico; Crippa, Monica (2023): GHG Emissions at sub-national level. European Commission, Joint Research Centre (JRC) [Dataset] doi: 10.2905/D67EEDA8-C03E-4421-95D0-0ADC460B9658 PID: http://data.europa.eu/89h/d67eeda8-c03e-4421-95d0-0adc460b9658</w:t>
      </w:r>
    </w:p>
  </w:footnote>
  <w:footnote w:id="319">
    <w:p w14:paraId="456F9FB2" w14:textId="1B986C1C" w:rsidR="008E5E3C" w:rsidRPr="00F82696" w:rsidRDefault="008E5E3C">
      <w:pPr>
        <w:pStyle w:val="FootnoteText"/>
        <w:rPr>
          <w:lang w:val="en-IE"/>
        </w:rPr>
      </w:pPr>
      <w:r>
        <w:t>(</w:t>
      </w:r>
      <w:r>
        <w:rPr>
          <w:rStyle w:val="FootnoteReference"/>
        </w:rPr>
        <w:footnoteRef/>
      </w:r>
      <w:r>
        <w:t>)</w:t>
      </w:r>
      <w:r>
        <w:tab/>
        <w:t>In the case of Groningen, emissions</w:t>
      </w:r>
      <w:r w:rsidDel="008E5E3C">
        <w:t xml:space="preserve"> </w:t>
      </w:r>
      <w:r>
        <w:t>might decrease after</w:t>
      </w:r>
      <w:r w:rsidDel="008E5E3C">
        <w:t xml:space="preserve"> </w:t>
      </w:r>
      <w:r>
        <w:t>the permanent closure of the region’s gas field</w:t>
      </w:r>
      <w:r w:rsidR="00EE4265">
        <w:t xml:space="preserve"> in 2023</w:t>
      </w:r>
      <w:r>
        <w:t>.</w:t>
      </w:r>
    </w:p>
  </w:footnote>
  <w:footnote w:id="320">
    <w:p w14:paraId="609B07F1" w14:textId="785BAD16" w:rsidR="00E716DD" w:rsidRPr="00DE7842" w:rsidRDefault="00E716DD" w:rsidP="00E716DD">
      <w:pPr>
        <w:pStyle w:val="FootnoteText"/>
        <w:rPr>
          <w:lang w:val="en-IE"/>
        </w:rPr>
      </w:pPr>
      <w:r>
        <w:t>(</w:t>
      </w:r>
      <w:r>
        <w:rPr>
          <w:rStyle w:val="FootnoteReference"/>
        </w:rPr>
        <w:footnoteRef/>
      </w:r>
      <w:r>
        <w:t>)</w:t>
      </w:r>
      <w:r>
        <w:tab/>
        <w:t>The figure of the EU average GHG intensity compatible with the 55% target depends on the computation method and on the GDP estimates used. Other computations can give an average of 0.10 tCO</w:t>
      </w:r>
      <w:r w:rsidRPr="004D1008">
        <w:rPr>
          <w:vertAlign w:val="subscript"/>
        </w:rPr>
        <w:t>2</w:t>
      </w:r>
      <w:r>
        <w:t>eq per 1000 euros instead of 0.15.</w:t>
      </w:r>
    </w:p>
  </w:footnote>
  <w:footnote w:id="321">
    <w:p w14:paraId="6644D354" w14:textId="77777777" w:rsidR="002C17ED" w:rsidRPr="007B27D3" w:rsidRDefault="002C17ED" w:rsidP="002C17ED">
      <w:pPr>
        <w:pStyle w:val="FootnoteText"/>
        <w:rPr>
          <w:lang w:val="en-IE"/>
        </w:rPr>
      </w:pPr>
      <w:r>
        <w:t>(</w:t>
      </w:r>
      <w:r>
        <w:rPr>
          <w:rStyle w:val="FootnoteReference"/>
        </w:rPr>
        <w:footnoteRef/>
      </w:r>
      <w:r>
        <w:t>)</w:t>
      </w:r>
      <w:r>
        <w:tab/>
        <w:t xml:space="preserve"> Emissions data in EDGAR include </w:t>
      </w:r>
      <w:r w:rsidRPr="00DD70E4">
        <w:t>CO</w:t>
      </w:r>
      <w:r w:rsidRPr="00AC6609">
        <w:rPr>
          <w:vertAlign w:val="subscript"/>
        </w:rPr>
        <w:t>2</w:t>
      </w:r>
      <w:r w:rsidRPr="00DD70E4">
        <w:t>, CH</w:t>
      </w:r>
      <w:r w:rsidRPr="00AC6609">
        <w:rPr>
          <w:vertAlign w:val="subscript"/>
        </w:rPr>
        <w:t>4</w:t>
      </w:r>
      <w:r w:rsidRPr="00DD70E4">
        <w:t>, N</w:t>
      </w:r>
      <w:r w:rsidRPr="00AC6609">
        <w:rPr>
          <w:vertAlign w:val="subscript"/>
        </w:rPr>
        <w:t>2</w:t>
      </w:r>
      <w:r w:rsidRPr="00DD70E4">
        <w:t>O, F-gases</w:t>
      </w:r>
      <w:r>
        <w:t>.</w:t>
      </w:r>
    </w:p>
  </w:footnote>
  <w:footnote w:id="322">
    <w:p w14:paraId="3680BA5B" w14:textId="2AC8B7DC" w:rsidR="00DA71ED" w:rsidRPr="00857BA2" w:rsidRDefault="000F515D" w:rsidP="00DA71ED">
      <w:pPr>
        <w:pStyle w:val="FootnoteText"/>
      </w:pPr>
      <w:r>
        <w:t>(</w:t>
      </w:r>
      <w:r w:rsidR="00DA71ED">
        <w:rPr>
          <w:rStyle w:val="FootnoteReference"/>
        </w:rPr>
        <w:footnoteRef/>
      </w:r>
      <w:r>
        <w:t>)</w:t>
      </w:r>
      <w:r w:rsidR="00DA71ED">
        <w:t xml:space="preserve"> See also </w:t>
      </w:r>
      <w:r w:rsidR="00DA71ED" w:rsidRPr="00B35904">
        <w:t>OECD (2023), Regional Industrial Transitions to Climate Neutrality, OECD Regional Development Studies, OECD Publishing, Paris</w:t>
      </w:r>
      <w:r w:rsidR="00DA71ED">
        <w:t>.</w:t>
      </w:r>
    </w:p>
  </w:footnote>
  <w:footnote w:id="323">
    <w:p w14:paraId="1A560C11" w14:textId="108945FB" w:rsidR="00A1313E" w:rsidRPr="00B35904" w:rsidRDefault="00A1313E" w:rsidP="00E41ABF">
      <w:pPr>
        <w:pStyle w:val="FootnoteText"/>
        <w:rPr>
          <w:lang w:val="en-IE"/>
        </w:rPr>
      </w:pPr>
      <w:r>
        <w:t>(</w:t>
      </w:r>
      <w:r w:rsidRPr="00B35904">
        <w:footnoteRef/>
      </w:r>
      <w:r>
        <w:t>)</w:t>
      </w:r>
      <w:r>
        <w:tab/>
      </w:r>
      <w:r w:rsidRPr="00A83E2F">
        <w:rPr>
          <w:rFonts w:eastAsia="Times New Roman" w:cs="Times New Roman"/>
        </w:rPr>
        <w:t>According to Kakoulaki et al. (2021), the technical potential for wind and solar for the EU amounts to 9040 TWh, which is 6441TWh more than the current demand. 10% of this excess (</w:t>
      </w:r>
      <w:r w:rsidR="00BE622A" w:rsidRPr="00A83E2F">
        <w:rPr>
          <w:rFonts w:eastAsia="Times New Roman" w:cs="Times New Roman"/>
        </w:rPr>
        <w:t>i.e.,</w:t>
      </w:r>
      <w:r w:rsidRPr="00A83E2F">
        <w:rPr>
          <w:rFonts w:eastAsia="Times New Roman" w:cs="Times New Roman"/>
        </w:rPr>
        <w:t xml:space="preserve"> 644 MWh) is in </w:t>
      </w:r>
      <w:r>
        <w:rPr>
          <w:rFonts w:eastAsia="Times New Roman" w:cs="Times New Roman"/>
        </w:rPr>
        <w:t>coal regions in transition</w:t>
      </w:r>
      <w:r w:rsidRPr="00A83E2F">
        <w:rPr>
          <w:rFonts w:eastAsia="Times New Roman" w:cs="Times New Roman"/>
        </w:rPr>
        <w:t xml:space="preserve"> with </w:t>
      </w:r>
      <w:r>
        <w:rPr>
          <w:rFonts w:eastAsia="Times New Roman" w:cs="Times New Roman"/>
        </w:rPr>
        <w:t>hydrogen</w:t>
      </w:r>
      <w:r w:rsidRPr="00A83E2F">
        <w:rPr>
          <w:rFonts w:eastAsia="Times New Roman" w:cs="Times New Roman"/>
        </w:rPr>
        <w:t xml:space="preserve"> infrastructure</w:t>
      </w:r>
      <w:r>
        <w:rPr>
          <w:rFonts w:eastAsia="Times New Roman" w:cs="Times New Roman"/>
        </w:rPr>
        <w:t>s</w:t>
      </w:r>
      <w:r w:rsidRPr="00A83E2F">
        <w:rPr>
          <w:rFonts w:eastAsia="Times New Roman" w:cs="Times New Roman"/>
        </w:rPr>
        <w:t>.</w:t>
      </w:r>
    </w:p>
  </w:footnote>
  <w:footnote w:id="324">
    <w:p w14:paraId="08061E09" w14:textId="77777777" w:rsidR="007705C7" w:rsidRPr="00B063DF" w:rsidRDefault="007705C7">
      <w:pPr>
        <w:pStyle w:val="FootnoteText"/>
        <w:rPr>
          <w:lang w:val="en-IE"/>
        </w:rPr>
      </w:pPr>
      <w:r>
        <w:t>(</w:t>
      </w:r>
      <w:r>
        <w:rPr>
          <w:rStyle w:val="FootnoteReference"/>
        </w:rPr>
        <w:footnoteRef/>
      </w:r>
      <w:r>
        <w:t>)</w:t>
      </w:r>
      <w:r>
        <w:tab/>
        <w:t>IPCC. Climate Change 2022. Mitigation of Climate Change. Working Group III contribution to the Sixth Assessment Report of the Intergovernmental Panel on Climate Change. 2022</w:t>
      </w:r>
    </w:p>
  </w:footnote>
  <w:footnote w:id="325">
    <w:p w14:paraId="1B74B3D3" w14:textId="25FE0C52" w:rsidR="00A1313E" w:rsidRPr="001139FF" w:rsidRDefault="00A1313E" w:rsidP="00363A89">
      <w:pPr>
        <w:pStyle w:val="FootnoteText"/>
        <w:rPr>
          <w:lang w:val="en-IE"/>
        </w:rPr>
      </w:pPr>
      <w:r w:rsidRPr="00A96F5B">
        <w:rPr>
          <w:lang w:val="en-IE"/>
        </w:rPr>
        <w:t>(</w:t>
      </w:r>
      <w:r>
        <w:rPr>
          <w:rStyle w:val="FootnoteReference"/>
        </w:rPr>
        <w:footnoteRef/>
      </w:r>
      <w:r w:rsidRPr="00A96F5B">
        <w:rPr>
          <w:lang w:val="en-IE"/>
        </w:rPr>
        <w:t>)</w:t>
      </w:r>
      <w:r w:rsidRPr="00A96F5B">
        <w:rPr>
          <w:lang w:val="en-IE"/>
        </w:rPr>
        <w:tab/>
        <w:t>Proposal for a Regulation of the European Parliament and of the Council establishing a framework for ensuring a secure and sustainable supply of critical raw materials and amending Regulations (EU) 168/2013, (EU) 2018/858, 2018/1724 and (EU) 2019/1020. Impact Assessment Report accompanying the document</w:t>
      </w:r>
      <w:r w:rsidR="00C4152F">
        <w:rPr>
          <w:lang w:val="en-IE"/>
        </w:rPr>
        <w:t>:</w:t>
      </w:r>
      <w:r w:rsidRPr="00A96F5B">
        <w:rPr>
          <w:lang w:val="en-IE"/>
        </w:rPr>
        <w:t xml:space="preserve"> SWD(2023) 161 final</w:t>
      </w:r>
      <w:r w:rsidR="00C4152F">
        <w:rPr>
          <w:lang w:val="en-IE"/>
        </w:rPr>
        <w:t>.</w:t>
      </w:r>
    </w:p>
    <w:p w14:paraId="46AB9809" w14:textId="77777777" w:rsidR="00BE622A" w:rsidRPr="001139FF" w:rsidRDefault="00BE622A" w:rsidP="00363A89">
      <w:pPr>
        <w:pStyle w:val="FootnoteText"/>
        <w:rPr>
          <w:lang w:val="en-IE"/>
        </w:rPr>
      </w:pPr>
    </w:p>
  </w:footnote>
  <w:footnote w:id="326">
    <w:p w14:paraId="67235BE6" w14:textId="72697425" w:rsidR="00A1313E" w:rsidRPr="004024EA" w:rsidRDefault="00A1313E" w:rsidP="00363A89">
      <w:pPr>
        <w:pStyle w:val="FootnoteText"/>
        <w:rPr>
          <w:lang w:val="en-IE"/>
        </w:rPr>
      </w:pPr>
      <w:r>
        <w:t>(</w:t>
      </w:r>
      <w:r>
        <w:rPr>
          <w:rStyle w:val="FootnoteReference"/>
        </w:rPr>
        <w:footnoteRef/>
      </w:r>
      <w:r>
        <w:t>)</w:t>
      </w:r>
      <w:r>
        <w:tab/>
        <w:t>IRENA and ILO (2022), Renewable energy and jobs: Annual review 2022, International Renewable Energy Agency, Abu Dhabi and International Labour Organization, Geneva.</w:t>
      </w:r>
    </w:p>
  </w:footnote>
  <w:footnote w:id="327">
    <w:p w14:paraId="3367FBFE" w14:textId="77777777" w:rsidR="00A1313E" w:rsidRPr="00DA50E0" w:rsidRDefault="00A1313E" w:rsidP="00363A89">
      <w:pPr>
        <w:pStyle w:val="FootnoteText"/>
        <w:rPr>
          <w:lang w:val="en-IE"/>
        </w:rPr>
      </w:pPr>
      <w:r>
        <w:t>(</w:t>
      </w:r>
      <w:r>
        <w:rPr>
          <w:rStyle w:val="FootnoteReference"/>
        </w:rPr>
        <w:footnoteRef/>
      </w:r>
      <w:r>
        <w:t>)</w:t>
      </w:r>
      <w:r>
        <w:tab/>
        <w:t>Science, Research and Innovation Performance of the EU, 2022 (SRIP) – Publications Office of the EU.</w:t>
      </w:r>
    </w:p>
  </w:footnote>
  <w:footnote w:id="328">
    <w:p w14:paraId="373B0DB9" w14:textId="7F7B21F5" w:rsidR="00A1313E" w:rsidRPr="007D1A09" w:rsidRDefault="00A1313E" w:rsidP="00363A89">
      <w:pPr>
        <w:pStyle w:val="FootnoteText"/>
        <w:rPr>
          <w:lang w:val="en-US"/>
        </w:rPr>
      </w:pPr>
      <w:r w:rsidRPr="005E164B">
        <w:t>(</w:t>
      </w:r>
      <w:r w:rsidRPr="005E164B">
        <w:footnoteRef/>
      </w:r>
      <w:r w:rsidRPr="005E164B">
        <w:t xml:space="preserve">) </w:t>
      </w:r>
      <w:r w:rsidRPr="003C118F">
        <w:t xml:space="preserve">Maucorps, Ambre, R. Römisch, T. Schwab, N. Vujanovic, (2022). The Future of EU Cohesion. Effects of the Twin Transition on Disparities across European Region, Bertelsmann foundation. </w:t>
      </w:r>
    </w:p>
  </w:footnote>
  <w:footnote w:id="329">
    <w:p w14:paraId="789FD9B6" w14:textId="71772BD3" w:rsidR="00660DD2" w:rsidRPr="00094B63" w:rsidRDefault="00660DD2">
      <w:pPr>
        <w:pStyle w:val="FootnoteText"/>
        <w:rPr>
          <w:lang w:val="en-IE"/>
        </w:rPr>
      </w:pPr>
      <w:r w:rsidRPr="00234339">
        <w:rPr>
          <w:lang w:val="it-IT"/>
        </w:rPr>
        <w:t>(</w:t>
      </w:r>
      <w:r>
        <w:rPr>
          <w:rStyle w:val="FootnoteReference"/>
        </w:rPr>
        <w:footnoteRef/>
      </w:r>
      <w:r w:rsidRPr="00234339">
        <w:rPr>
          <w:lang w:val="it-IT"/>
        </w:rPr>
        <w:t>)</w:t>
      </w:r>
      <w:r w:rsidRPr="00234339">
        <w:rPr>
          <w:lang w:val="it-IT"/>
        </w:rPr>
        <w:tab/>
        <w:t>Santos</w:t>
      </w:r>
      <w:r w:rsidR="005C3303" w:rsidRPr="00234339">
        <w:rPr>
          <w:lang w:val="it-IT"/>
        </w:rPr>
        <w:t xml:space="preserve"> A.</w:t>
      </w:r>
      <w:r w:rsidRPr="00234339">
        <w:rPr>
          <w:lang w:val="it-IT"/>
        </w:rPr>
        <w:t>,</w:t>
      </w:r>
      <w:r w:rsidR="005C3303" w:rsidRPr="00234339">
        <w:rPr>
          <w:lang w:val="it-IT"/>
        </w:rPr>
        <w:t xml:space="preserve"> J. </w:t>
      </w:r>
      <w:r w:rsidRPr="00234339">
        <w:rPr>
          <w:lang w:val="it-IT"/>
        </w:rPr>
        <w:t>Barbero,</w:t>
      </w:r>
      <w:r w:rsidR="005C3303" w:rsidRPr="00234339">
        <w:rPr>
          <w:lang w:val="it-IT"/>
        </w:rPr>
        <w:t xml:space="preserve"> S. </w:t>
      </w:r>
      <w:r w:rsidRPr="00234339">
        <w:rPr>
          <w:lang w:val="it-IT"/>
        </w:rPr>
        <w:t>Salotti,</w:t>
      </w:r>
      <w:r w:rsidR="005C3303" w:rsidRPr="00234339">
        <w:rPr>
          <w:lang w:val="it-IT"/>
        </w:rPr>
        <w:t xml:space="preserve"> O. </w:t>
      </w:r>
      <w:r w:rsidRPr="00234339">
        <w:rPr>
          <w:lang w:val="it-IT"/>
        </w:rPr>
        <w:t>Diukanova</w:t>
      </w:r>
      <w:r w:rsidR="005C3303" w:rsidRPr="00234339">
        <w:rPr>
          <w:lang w:val="it-IT"/>
        </w:rPr>
        <w:t xml:space="preserve"> and </w:t>
      </w:r>
      <w:r w:rsidRPr="00234339">
        <w:rPr>
          <w:lang w:val="it-IT"/>
        </w:rPr>
        <w:t>D</w:t>
      </w:r>
      <w:r w:rsidR="005C3303" w:rsidRPr="00234339">
        <w:rPr>
          <w:lang w:val="it-IT"/>
        </w:rPr>
        <w:t xml:space="preserve">. </w:t>
      </w:r>
      <w:r w:rsidRPr="00234339">
        <w:rPr>
          <w:lang w:val="it-IT"/>
        </w:rPr>
        <w:t>Pontikakis</w:t>
      </w:r>
      <w:r w:rsidR="005C3303" w:rsidRPr="00234339">
        <w:rPr>
          <w:lang w:val="it-IT"/>
        </w:rPr>
        <w:t xml:space="preserve">. </w:t>
      </w:r>
      <w:r w:rsidRPr="001D54FD">
        <w:t>On the road to regional ‘Competitive Environmental Sustainability’: the role of the European structural funds, Industry and Innovation, 30:7, 801-823, </w:t>
      </w:r>
      <w:r w:rsidR="005C3303">
        <w:t xml:space="preserve">2023. </w:t>
      </w:r>
      <w:r w:rsidRPr="00094B63">
        <w:rPr>
          <w:lang w:val="en-IE"/>
        </w:rPr>
        <w:t>DOI: </w:t>
      </w:r>
      <w:hyperlink r:id="rId43" w:history="1">
        <w:r w:rsidRPr="00094B63">
          <w:rPr>
            <w:lang w:val="en-IE"/>
          </w:rPr>
          <w:t>10.1080/13662716.2023.2236048</w:t>
        </w:r>
      </w:hyperlink>
    </w:p>
  </w:footnote>
  <w:footnote w:id="330">
    <w:p w14:paraId="65E5EAF2" w14:textId="77777777" w:rsidR="00320D70" w:rsidRPr="00234339" w:rsidRDefault="00320D70" w:rsidP="00320D70">
      <w:pPr>
        <w:pStyle w:val="FootnoteText"/>
        <w:rPr>
          <w:lang w:val="en-IE"/>
        </w:rPr>
      </w:pPr>
      <w:r>
        <w:t>(</w:t>
      </w:r>
      <w:r>
        <w:rPr>
          <w:rStyle w:val="FootnoteReference"/>
        </w:rPr>
        <w:footnoteRef/>
      </w:r>
      <w:r>
        <w:t>)</w:t>
      </w:r>
      <w:r>
        <w:tab/>
        <w:t xml:space="preserve"> </w:t>
      </w:r>
      <w:r w:rsidRPr="003711C9">
        <w:t>The model-based analysis is a technical exercise based on a number of assumptions that are shared across scenarios. Its results do not prejudge the future design of the post-2030 policy framework.</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7CC875" w14:textId="77777777" w:rsidR="009245CF" w:rsidRPr="009245CF" w:rsidRDefault="009245CF" w:rsidP="009245CF">
    <w:pPr>
      <w:pStyle w:val="HeaderCoverPag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030722" w14:textId="77777777" w:rsidR="009245CF" w:rsidRPr="009245CF" w:rsidRDefault="009245CF" w:rsidP="009245CF">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59F1B3" w14:textId="77777777" w:rsidR="009245CF" w:rsidRPr="009245CF" w:rsidRDefault="009245CF" w:rsidP="009245CF">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6EE00" w14:textId="36E0CBAF" w:rsidR="00A1313E" w:rsidRPr="00567422" w:rsidRDefault="00A1313E" w:rsidP="0056742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A5B7D" w14:textId="3BF165F2" w:rsidR="00A1313E" w:rsidRPr="00567422" w:rsidRDefault="00A1313E" w:rsidP="0056742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6F93B" w14:textId="038C6453" w:rsidR="00A1313E" w:rsidRPr="00567422" w:rsidRDefault="00A1313E" w:rsidP="0056742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C6436A" w14:textId="77F2350E" w:rsidR="00181FE9" w:rsidRPr="00567422" w:rsidRDefault="00181FE9" w:rsidP="0056742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D1D36" w14:textId="42B369E4" w:rsidR="00181FE9" w:rsidRPr="00567422" w:rsidRDefault="00181FE9" w:rsidP="0056742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A1409" w14:textId="68F2B916" w:rsidR="00181FE9" w:rsidRPr="00567422" w:rsidRDefault="00181FE9" w:rsidP="0056742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9144B" w14:textId="2FBC0281" w:rsidR="00181FE9" w:rsidRPr="00567422" w:rsidRDefault="00181FE9" w:rsidP="0056742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9A3B4" w14:textId="331E62AB" w:rsidR="00181FE9" w:rsidRPr="00567422" w:rsidRDefault="00181FE9" w:rsidP="00567422">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81AC7" w14:textId="21EA4323" w:rsidR="00181FE9" w:rsidRPr="00567422" w:rsidRDefault="00181FE9" w:rsidP="00567422">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722BB8" w14:textId="2FBED029" w:rsidR="00181FE9" w:rsidRPr="00567422" w:rsidRDefault="00181FE9" w:rsidP="00567422">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2B053" w14:textId="7FB0767F" w:rsidR="00181FE9" w:rsidRPr="00567422" w:rsidRDefault="00181FE9" w:rsidP="00567422">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AFA12" w14:textId="5AB8D42C" w:rsidR="00181FE9" w:rsidRPr="00567422" w:rsidRDefault="00181FE9" w:rsidP="00567422">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871D56" w14:textId="749A612B" w:rsidR="00181FE9" w:rsidRPr="00567422" w:rsidRDefault="00181FE9" w:rsidP="00567422">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817096" w14:textId="4F47126B" w:rsidR="00181FE9" w:rsidRPr="00567422" w:rsidRDefault="00181FE9" w:rsidP="00567422">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1EF16" w14:textId="46448FA2" w:rsidR="00181FE9" w:rsidRPr="00567422" w:rsidRDefault="00181FE9" w:rsidP="00567422">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D715C" w14:textId="68394BED" w:rsidR="00181FE9" w:rsidRPr="00567422" w:rsidRDefault="00181FE9" w:rsidP="00567422">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EF8B4" w14:textId="38C4929C" w:rsidR="00181FE9" w:rsidRPr="00567422" w:rsidRDefault="00181FE9" w:rsidP="00567422">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13A76F" w14:textId="618EA7B4" w:rsidR="00181FE9" w:rsidRPr="00567422" w:rsidRDefault="00181FE9" w:rsidP="00567422">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F86EEC" w14:textId="7F4DEE3B" w:rsidR="00181FE9" w:rsidRPr="00567422" w:rsidRDefault="00181FE9" w:rsidP="00567422">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0A276" w14:textId="445801E8" w:rsidR="00181FE9" w:rsidRPr="00567422" w:rsidRDefault="00181FE9" w:rsidP="00567422">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07D5A" w14:textId="7922BA75" w:rsidR="00181FE9" w:rsidRPr="00567422" w:rsidRDefault="00181FE9" w:rsidP="00567422">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1288E" w14:textId="76303825" w:rsidR="00181FE9" w:rsidRPr="00567422" w:rsidRDefault="00181FE9" w:rsidP="00567422">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B1D65" w14:textId="3C46762C" w:rsidR="00181FE9" w:rsidRPr="00567422" w:rsidRDefault="00181FE9" w:rsidP="00567422">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16F3E7" w14:textId="6BB93C2D" w:rsidR="00181FE9" w:rsidRPr="00567422" w:rsidRDefault="00181FE9" w:rsidP="00567422">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E48E0" w14:textId="00376265" w:rsidR="00181FE9" w:rsidRPr="00567422" w:rsidRDefault="00181FE9" w:rsidP="00567422">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A87B42" w14:textId="5B344B3E" w:rsidR="00181FE9" w:rsidRPr="00567422" w:rsidRDefault="00181FE9" w:rsidP="00567422">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F07971" w14:textId="32E6CC31" w:rsidR="00181FE9" w:rsidRPr="00567422" w:rsidRDefault="00181FE9" w:rsidP="00567422">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900F7"/>
    <w:multiLevelType w:val="multilevel"/>
    <w:tmpl w:val="928EFF60"/>
    <w:name w:val="ListDash4Numbering"/>
    <w:lvl w:ilvl="0">
      <w:start w:val="1"/>
      <w:numFmt w:val="bullet"/>
      <w:pStyle w:val="TableSource3"/>
      <w:lvlText w:val="–"/>
      <w:lvlJc w:val="left"/>
      <w:pPr>
        <w:tabs>
          <w:tab w:val="num" w:pos="1485"/>
        </w:tabs>
        <w:ind w:left="1485" w:hanging="283"/>
      </w:pPr>
      <w:rPr>
        <w:rFonts w:ascii="Times New Roman,Italic" w:hAnsi="Times New Roman,Italic"/>
      </w:rPr>
    </w:lvl>
    <w:lvl w:ilvl="1">
      <w:start w:val="1"/>
      <w:numFmt w:val="bullet"/>
      <w:pStyle w:val="TableSource4"/>
      <w:lvlText w:val="–"/>
      <w:lvlJc w:val="left"/>
      <w:pPr>
        <w:tabs>
          <w:tab w:val="num" w:pos="1769"/>
        </w:tabs>
        <w:ind w:left="1769" w:hanging="284"/>
      </w:pPr>
      <w:rPr>
        <w:rFonts w:ascii="Times New Roman,Italic" w:hAnsi="Times New Roman,Italic"/>
      </w:rPr>
    </w:lvl>
    <w:lvl w:ilvl="2">
      <w:start w:val="1"/>
      <w:numFmt w:val="bullet"/>
      <w:pStyle w:val="TableText"/>
      <w:lvlText w:val="–"/>
      <w:lvlJc w:val="left"/>
      <w:pPr>
        <w:tabs>
          <w:tab w:val="num" w:pos="2052"/>
        </w:tabs>
        <w:ind w:left="2052" w:hanging="283"/>
      </w:pPr>
      <w:rPr>
        <w:rFonts w:ascii="Times New Roman,Italic" w:hAnsi="Times New Roman,Italic"/>
      </w:rPr>
    </w:lvl>
    <w:lvl w:ilvl="3">
      <w:start w:val="1"/>
      <w:numFmt w:val="bullet"/>
      <w:lvlText w:val="–"/>
      <w:lvlJc w:val="left"/>
      <w:pPr>
        <w:tabs>
          <w:tab w:val="num" w:pos="2336"/>
        </w:tabs>
        <w:ind w:left="2336" w:hanging="284"/>
      </w:pPr>
      <w:rPr>
        <w:rFonts w:ascii="Times New Roman,Italic" w:hAnsi="Times New Roman,Italic"/>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15:restartNumberingAfterBreak="0">
    <w:nsid w:val="0EFB7115"/>
    <w:multiLevelType w:val="multilevel"/>
    <w:tmpl w:val="B1E4085C"/>
    <w:name w:val="ListNumber3Numbering"/>
    <w:lvl w:ilvl="0">
      <w:start w:val="1"/>
      <w:numFmt w:val="decimal"/>
      <w:pStyle w:val="ListBulletLevel3"/>
      <w:lvlText w:val="(%1)"/>
      <w:lvlJc w:val="left"/>
      <w:pPr>
        <w:tabs>
          <w:tab w:val="num" w:pos="1911"/>
        </w:tabs>
        <w:ind w:left="1911" w:hanging="709"/>
      </w:pPr>
    </w:lvl>
    <w:lvl w:ilvl="1">
      <w:start w:val="1"/>
      <w:numFmt w:val="lowerLetter"/>
      <w:lvlText w:val="(%2)"/>
      <w:lvlJc w:val="left"/>
      <w:pPr>
        <w:tabs>
          <w:tab w:val="num" w:pos="2619"/>
        </w:tabs>
        <w:ind w:left="2619" w:hanging="708"/>
      </w:pPr>
    </w:lvl>
    <w:lvl w:ilvl="2">
      <w:start w:val="1"/>
      <w:numFmt w:val="bullet"/>
      <w:lvlText w:val="–"/>
      <w:lvlJc w:val="left"/>
      <w:pPr>
        <w:tabs>
          <w:tab w:val="num" w:pos="3328"/>
        </w:tabs>
        <w:ind w:left="3328" w:hanging="709"/>
      </w:pPr>
      <w:rPr>
        <w:rFonts w:ascii="Times New Roman,Italic" w:hAnsi="Times New Roman,Italic"/>
      </w:rPr>
    </w:lvl>
    <w:lvl w:ilvl="3">
      <w:start w:val="1"/>
      <w:numFmt w:val="bullet"/>
      <w:lvlText w:val=""/>
      <w:lvlJc w:val="left"/>
      <w:pPr>
        <w:tabs>
          <w:tab w:val="num" w:pos="4037"/>
        </w:tabs>
        <w:ind w:left="4037" w:hanging="709"/>
      </w:pPr>
      <w:rPr>
        <w:rFonts w:ascii="Georgia" w:hAnsi="Georgia"/>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 w15:restartNumberingAfterBreak="0">
    <w:nsid w:val="120B7201"/>
    <w:multiLevelType w:val="multilevel"/>
    <w:tmpl w:val="B178F32E"/>
    <w:name w:val="ListNumberNumbering"/>
    <w:lvl w:ilvl="0">
      <w:start w:val="1"/>
      <w:numFmt w:val="decimal"/>
      <w:pStyle w:val="TableTitle2"/>
      <w:lvlText w:val="(%1)"/>
      <w:lvlJc w:val="left"/>
      <w:pPr>
        <w:tabs>
          <w:tab w:val="num" w:pos="709"/>
        </w:tabs>
        <w:ind w:left="709" w:hanging="709"/>
      </w:pPr>
    </w:lvl>
    <w:lvl w:ilvl="1">
      <w:start w:val="1"/>
      <w:numFmt w:val="lowerLetter"/>
      <w:pStyle w:val="TableTitle3"/>
      <w:lvlText w:val="(%2)"/>
      <w:lvlJc w:val="left"/>
      <w:pPr>
        <w:tabs>
          <w:tab w:val="num" w:pos="1417"/>
        </w:tabs>
        <w:ind w:left="1417" w:hanging="708"/>
      </w:pPr>
    </w:lvl>
    <w:lvl w:ilvl="2">
      <w:start w:val="1"/>
      <w:numFmt w:val="bullet"/>
      <w:pStyle w:val="TableTitle4"/>
      <w:lvlText w:val="–"/>
      <w:lvlJc w:val="left"/>
      <w:pPr>
        <w:tabs>
          <w:tab w:val="num" w:pos="2126"/>
        </w:tabs>
        <w:ind w:left="2126" w:hanging="709"/>
      </w:pPr>
      <w:rPr>
        <w:rFonts w:ascii="Times New Roman,Italic" w:hAnsi="Times New Roman,Italic"/>
      </w:rPr>
    </w:lvl>
    <w:lvl w:ilvl="3">
      <w:start w:val="1"/>
      <w:numFmt w:val="bullet"/>
      <w:pStyle w:val="FigureBody1"/>
      <w:lvlText w:val=""/>
      <w:lvlJc w:val="left"/>
      <w:pPr>
        <w:tabs>
          <w:tab w:val="num" w:pos="2835"/>
        </w:tabs>
        <w:ind w:left="2835" w:hanging="709"/>
      </w:pPr>
      <w:rPr>
        <w:rFonts w:ascii="Georgia" w:hAnsi="Georgia"/>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3" w15:restartNumberingAfterBreak="0">
    <w:nsid w:val="120B8345"/>
    <w:multiLevelType w:val="multilevel"/>
    <w:tmpl w:val="1016613E"/>
    <w:name w:val="TableListNumberNumbering"/>
    <w:lvl w:ilvl="0">
      <w:start w:val="1"/>
      <w:numFmt w:val="decimal"/>
      <w:lvlText w:val="(%1)"/>
      <w:lvlJc w:val="left"/>
      <w:pPr>
        <w:tabs>
          <w:tab w:val="num" w:pos="454"/>
        </w:tabs>
        <w:ind w:left="454" w:hanging="454"/>
      </w:pPr>
    </w:lvl>
    <w:lvl w:ilvl="1">
      <w:start w:val="1"/>
      <w:numFmt w:val="lowerLetter"/>
      <w:lvlText w:val="(%2)"/>
      <w:lvlJc w:val="left"/>
      <w:pPr>
        <w:tabs>
          <w:tab w:val="num" w:pos="907"/>
        </w:tabs>
        <w:ind w:left="907" w:hanging="453"/>
      </w:pPr>
    </w:lvl>
    <w:lvl w:ilvl="2">
      <w:start w:val="1"/>
      <w:numFmt w:val="bullet"/>
      <w:lvlText w:val="–"/>
      <w:lvlJc w:val="left"/>
      <w:pPr>
        <w:tabs>
          <w:tab w:val="num" w:pos="1361"/>
        </w:tabs>
        <w:ind w:left="1361" w:hanging="454"/>
      </w:pPr>
      <w:rPr>
        <w:rFonts w:ascii="Times New Roman,Italic" w:hAnsi="Times New Roman,Italic"/>
      </w:rPr>
    </w:lvl>
    <w:lvl w:ilvl="3">
      <w:start w:val="1"/>
      <w:numFmt w:val="bullet"/>
      <w:lvlText w:val=""/>
      <w:lvlJc w:val="left"/>
      <w:pPr>
        <w:tabs>
          <w:tab w:val="num" w:pos="1814"/>
        </w:tabs>
        <w:ind w:left="1814" w:hanging="453"/>
      </w:pPr>
      <w:rPr>
        <w:rFonts w:ascii="Georgia" w:hAnsi="Georgia"/>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4" w15:restartNumberingAfterBreak="0">
    <w:nsid w:val="1262685D"/>
    <w:multiLevelType w:val="multilevel"/>
    <w:tmpl w:val="BCD4CB76"/>
    <w:name w:val="ListBullet4Numbering"/>
    <w:lvl w:ilvl="0">
      <w:start w:val="1"/>
      <w:numFmt w:val="bullet"/>
      <w:pStyle w:val="SignatureL"/>
      <w:lvlText w:val=""/>
      <w:lvlJc w:val="left"/>
      <w:pPr>
        <w:tabs>
          <w:tab w:val="num" w:pos="1485"/>
        </w:tabs>
        <w:ind w:left="1485" w:hanging="283"/>
      </w:pPr>
      <w:rPr>
        <w:rFonts w:ascii="Georgia" w:hAnsi="Georgia"/>
      </w:rPr>
    </w:lvl>
    <w:lvl w:ilvl="1">
      <w:start w:val="1"/>
      <w:numFmt w:val="bullet"/>
      <w:pStyle w:val="SubTitle1"/>
      <w:lvlText w:val=""/>
      <w:lvlJc w:val="left"/>
      <w:pPr>
        <w:tabs>
          <w:tab w:val="num" w:pos="1769"/>
        </w:tabs>
        <w:ind w:left="1769" w:hanging="284"/>
      </w:pPr>
      <w:rPr>
        <w:rFonts w:ascii="Georgia" w:hAnsi="Georgia"/>
      </w:rPr>
    </w:lvl>
    <w:lvl w:ilvl="2">
      <w:start w:val="1"/>
      <w:numFmt w:val="bullet"/>
      <w:pStyle w:val="SubTitle2"/>
      <w:lvlText w:val=""/>
      <w:lvlJc w:val="left"/>
      <w:pPr>
        <w:tabs>
          <w:tab w:val="num" w:pos="2052"/>
        </w:tabs>
        <w:ind w:left="2052" w:hanging="283"/>
      </w:pPr>
      <w:rPr>
        <w:rFonts w:ascii="Georgia" w:hAnsi="Georgia"/>
      </w:rPr>
    </w:lvl>
    <w:lvl w:ilvl="3">
      <w:start w:val="1"/>
      <w:numFmt w:val="bullet"/>
      <w:pStyle w:val="TableListBullet"/>
      <w:lvlText w:val=""/>
      <w:lvlJc w:val="left"/>
      <w:pPr>
        <w:tabs>
          <w:tab w:val="num" w:pos="2336"/>
        </w:tabs>
        <w:ind w:left="2336" w:hanging="284"/>
      </w:pPr>
      <w:rPr>
        <w:rFonts w:ascii="Georgia" w:hAnsi="Georgia"/>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5" w15:restartNumberingAfterBreak="0">
    <w:nsid w:val="143D0A16"/>
    <w:multiLevelType w:val="multilevel"/>
    <w:tmpl w:val="FD5A2164"/>
    <w:name w:val="ListBullet3Numbering"/>
    <w:lvl w:ilvl="0">
      <w:start w:val="1"/>
      <w:numFmt w:val="bullet"/>
      <w:pStyle w:val="RUE"/>
      <w:lvlText w:val=""/>
      <w:lvlJc w:val="left"/>
      <w:pPr>
        <w:tabs>
          <w:tab w:val="num" w:pos="1485"/>
        </w:tabs>
        <w:ind w:left="1485" w:hanging="283"/>
      </w:pPr>
      <w:rPr>
        <w:rFonts w:ascii="Georgia" w:hAnsi="Georgia"/>
      </w:rPr>
    </w:lvl>
    <w:lvl w:ilvl="1">
      <w:start w:val="1"/>
      <w:numFmt w:val="bullet"/>
      <w:pStyle w:val="SecretUE"/>
      <w:lvlText w:val=""/>
      <w:lvlJc w:val="left"/>
      <w:pPr>
        <w:tabs>
          <w:tab w:val="num" w:pos="1769"/>
        </w:tabs>
        <w:ind w:left="1769" w:hanging="284"/>
      </w:pPr>
      <w:rPr>
        <w:rFonts w:ascii="Georgia" w:hAnsi="Georgia"/>
      </w:rPr>
    </w:lvl>
    <w:lvl w:ilvl="2">
      <w:start w:val="1"/>
      <w:numFmt w:val="bullet"/>
      <w:pStyle w:val="SectionTitle"/>
      <w:lvlText w:val=""/>
      <w:lvlJc w:val="left"/>
      <w:pPr>
        <w:tabs>
          <w:tab w:val="num" w:pos="2052"/>
        </w:tabs>
        <w:ind w:left="2052" w:hanging="283"/>
      </w:pPr>
      <w:rPr>
        <w:rFonts w:ascii="Georgia" w:hAnsi="Georgia"/>
      </w:rPr>
    </w:lvl>
    <w:lvl w:ilvl="3">
      <w:start w:val="1"/>
      <w:numFmt w:val="bullet"/>
      <w:pStyle w:val="Signature"/>
      <w:lvlText w:val=""/>
      <w:lvlJc w:val="left"/>
      <w:pPr>
        <w:tabs>
          <w:tab w:val="num" w:pos="2336"/>
        </w:tabs>
        <w:ind w:left="2336" w:hanging="284"/>
      </w:pPr>
      <w:rPr>
        <w:rFonts w:ascii="Georgia" w:hAnsi="Georgia"/>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6" w15:restartNumberingAfterBreak="0">
    <w:nsid w:val="172F0AC5"/>
    <w:multiLevelType w:val="multilevel"/>
    <w:tmpl w:val="F6BA0384"/>
    <w:name w:val="ListNumber2Numbering"/>
    <w:lvl w:ilvl="0">
      <w:start w:val="1"/>
      <w:numFmt w:val="decimal"/>
      <w:pStyle w:val="ListBullet1Level2"/>
      <w:lvlText w:val="(%1)"/>
      <w:lvlJc w:val="left"/>
      <w:pPr>
        <w:tabs>
          <w:tab w:val="num" w:pos="1911"/>
        </w:tabs>
        <w:ind w:left="1911" w:hanging="709"/>
      </w:pPr>
    </w:lvl>
    <w:lvl w:ilvl="1">
      <w:start w:val="1"/>
      <w:numFmt w:val="lowerLetter"/>
      <w:lvlText w:val="(%2)"/>
      <w:lvlJc w:val="left"/>
      <w:pPr>
        <w:tabs>
          <w:tab w:val="num" w:pos="2619"/>
        </w:tabs>
        <w:ind w:left="2619" w:hanging="708"/>
      </w:pPr>
    </w:lvl>
    <w:lvl w:ilvl="2">
      <w:start w:val="1"/>
      <w:numFmt w:val="bullet"/>
      <w:lvlText w:val="–"/>
      <w:lvlJc w:val="left"/>
      <w:pPr>
        <w:tabs>
          <w:tab w:val="num" w:pos="3328"/>
        </w:tabs>
        <w:ind w:left="3328" w:hanging="709"/>
      </w:pPr>
      <w:rPr>
        <w:rFonts w:ascii="Times New Roman,Italic" w:hAnsi="Times New Roman,Italic"/>
      </w:rPr>
    </w:lvl>
    <w:lvl w:ilvl="3">
      <w:start w:val="1"/>
      <w:numFmt w:val="bullet"/>
      <w:lvlText w:val=""/>
      <w:lvlJc w:val="left"/>
      <w:pPr>
        <w:tabs>
          <w:tab w:val="num" w:pos="4037"/>
        </w:tabs>
        <w:ind w:left="4037" w:hanging="709"/>
      </w:pPr>
      <w:rPr>
        <w:rFonts w:ascii="Georgia" w:hAnsi="Georgia"/>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7" w15:restartNumberingAfterBreak="0">
    <w:nsid w:val="1C7B624F"/>
    <w:multiLevelType w:val="multilevel"/>
    <w:tmpl w:val="C624110A"/>
    <w:name w:val="ListDash2Numbering"/>
    <w:lvl w:ilvl="0">
      <w:start w:val="1"/>
      <w:numFmt w:val="bullet"/>
      <w:pStyle w:val="TableListNumberLevel2"/>
      <w:lvlText w:val="–"/>
      <w:lvlJc w:val="left"/>
      <w:pPr>
        <w:tabs>
          <w:tab w:val="num" w:pos="1485"/>
        </w:tabs>
        <w:ind w:left="1485" w:hanging="283"/>
      </w:pPr>
      <w:rPr>
        <w:rFonts w:ascii="Times New Roman,Italic" w:hAnsi="Times New Roman,Italic"/>
      </w:rPr>
    </w:lvl>
    <w:lvl w:ilvl="1">
      <w:start w:val="1"/>
      <w:numFmt w:val="bullet"/>
      <w:pStyle w:val="FigureTitle1"/>
      <w:lvlText w:val="–"/>
      <w:lvlJc w:val="left"/>
      <w:pPr>
        <w:tabs>
          <w:tab w:val="num" w:pos="1769"/>
        </w:tabs>
        <w:ind w:left="1769" w:hanging="284"/>
      </w:pPr>
      <w:rPr>
        <w:rFonts w:ascii="Times New Roman,Italic" w:hAnsi="Times New Roman,Italic"/>
      </w:rPr>
    </w:lvl>
    <w:lvl w:ilvl="2">
      <w:start w:val="1"/>
      <w:numFmt w:val="bullet"/>
      <w:pStyle w:val="TableListNumberLevel3"/>
      <w:lvlText w:val="–"/>
      <w:lvlJc w:val="left"/>
      <w:pPr>
        <w:tabs>
          <w:tab w:val="num" w:pos="2052"/>
        </w:tabs>
        <w:ind w:left="2052" w:hanging="283"/>
      </w:pPr>
      <w:rPr>
        <w:rFonts w:ascii="Times New Roman,Italic" w:hAnsi="Times New Roman,Italic"/>
      </w:rPr>
    </w:lvl>
    <w:lvl w:ilvl="3">
      <w:start w:val="1"/>
      <w:numFmt w:val="bullet"/>
      <w:pStyle w:val="TableListNumberLevel4"/>
      <w:lvlText w:val="–"/>
      <w:lvlJc w:val="left"/>
      <w:pPr>
        <w:tabs>
          <w:tab w:val="num" w:pos="2336"/>
        </w:tabs>
        <w:ind w:left="2336" w:hanging="284"/>
      </w:pPr>
      <w:rPr>
        <w:rFonts w:ascii="Times New Roman,Italic" w:hAnsi="Times New Roman,Italic"/>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8" w15:restartNumberingAfterBreak="0">
    <w:nsid w:val="1F734306"/>
    <w:multiLevelType w:val="multilevel"/>
    <w:tmpl w:val="D266108E"/>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200"/>
        </w:tabs>
        <w:ind w:left="1200" w:hanging="720"/>
      </w:pPr>
    </w:lvl>
    <w:lvl w:ilvl="2">
      <w:start w:val="1"/>
      <w:numFmt w:val="decimal"/>
      <w:pStyle w:val="Heading3"/>
      <w:lvlText w:val="%1.%2.%3."/>
      <w:lvlJc w:val="left"/>
      <w:pPr>
        <w:tabs>
          <w:tab w:val="num" w:pos="1920"/>
        </w:tabs>
        <w:ind w:left="1920" w:hanging="720"/>
      </w:pPr>
    </w:lvl>
    <w:lvl w:ilvl="3">
      <w:start w:val="1"/>
      <w:numFmt w:val="decimal"/>
      <w:pStyle w:val="Heading4"/>
      <w:lvlText w:val="%1.%2.%3.%4."/>
      <w:lvlJc w:val="left"/>
      <w:pPr>
        <w:tabs>
          <w:tab w:val="num" w:pos="720"/>
        </w:tabs>
        <w:ind w:left="7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2C8DFDF8"/>
    <w:multiLevelType w:val="multilevel"/>
    <w:tmpl w:val="5F001AC4"/>
    <w:name w:val="ListBullet2Numbering"/>
    <w:lvl w:ilvl="0">
      <w:start w:val="1"/>
      <w:numFmt w:val="bullet"/>
      <w:pStyle w:val="NumPar4"/>
      <w:lvlText w:val=""/>
      <w:lvlJc w:val="left"/>
      <w:pPr>
        <w:tabs>
          <w:tab w:val="num" w:pos="1485"/>
        </w:tabs>
        <w:ind w:left="1485" w:hanging="283"/>
      </w:pPr>
      <w:rPr>
        <w:rFonts w:ascii="Georgia" w:hAnsi="Georgia"/>
      </w:rPr>
    </w:lvl>
    <w:lvl w:ilvl="1">
      <w:start w:val="1"/>
      <w:numFmt w:val="bullet"/>
      <w:pStyle w:val="PartTitle"/>
      <w:lvlText w:val=""/>
      <w:lvlJc w:val="left"/>
      <w:pPr>
        <w:tabs>
          <w:tab w:val="num" w:pos="1769"/>
        </w:tabs>
        <w:ind w:left="1769" w:hanging="284"/>
      </w:pPr>
      <w:rPr>
        <w:rFonts w:ascii="Georgia" w:hAnsi="Georgia"/>
      </w:rPr>
    </w:lvl>
    <w:lvl w:ilvl="2">
      <w:start w:val="1"/>
      <w:numFmt w:val="bullet"/>
      <w:pStyle w:val="References"/>
      <w:lvlText w:val=""/>
      <w:lvlJc w:val="left"/>
      <w:pPr>
        <w:tabs>
          <w:tab w:val="num" w:pos="2052"/>
        </w:tabs>
        <w:ind w:left="2052" w:hanging="283"/>
      </w:pPr>
      <w:rPr>
        <w:rFonts w:ascii="Georgia" w:hAnsi="Georgia"/>
      </w:rPr>
    </w:lvl>
    <w:lvl w:ilvl="3">
      <w:start w:val="1"/>
      <w:numFmt w:val="bullet"/>
      <w:pStyle w:val="Releasable"/>
      <w:lvlText w:val=""/>
      <w:lvlJc w:val="left"/>
      <w:pPr>
        <w:tabs>
          <w:tab w:val="num" w:pos="2336"/>
        </w:tabs>
        <w:ind w:left="2336" w:hanging="284"/>
      </w:pPr>
      <w:rPr>
        <w:rFonts w:ascii="Georgia" w:hAnsi="Georgia"/>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0" w15:restartNumberingAfterBreak="0">
    <w:nsid w:val="2D293CE3"/>
    <w:multiLevelType w:val="multilevel"/>
    <w:tmpl w:val="197E6FAE"/>
    <w:name w:val="LegalNumParNumbering"/>
    <w:lvl w:ilvl="0">
      <w:start w:val="1"/>
      <w:numFmt w:val="decimal"/>
      <w:pStyle w:val="ListNumber3Level3"/>
      <w:lvlText w:val="%1."/>
      <w:lvlJc w:val="left"/>
      <w:pPr>
        <w:tabs>
          <w:tab w:val="num" w:pos="476"/>
        </w:tabs>
        <w:ind w:left="476" w:hanging="476"/>
      </w:pPr>
      <w:rPr>
        <w:rFonts w:hint="default"/>
      </w:rPr>
    </w:lvl>
    <w:lvl w:ilvl="1">
      <w:start w:val="1"/>
      <w:numFmt w:val="lowerLetter"/>
      <w:lvlText w:val="%2."/>
      <w:lvlJc w:val="left"/>
      <w:pPr>
        <w:tabs>
          <w:tab w:val="num" w:pos="952"/>
        </w:tabs>
        <w:ind w:left="952" w:hanging="476"/>
      </w:pPr>
      <w:rPr>
        <w:rFonts w:hint="default"/>
      </w:rPr>
    </w:lvl>
    <w:lvl w:ilvl="2">
      <w:start w:val="1"/>
      <w:numFmt w:val="lowerRoman"/>
      <w:lvlText w:val="%3."/>
      <w:lvlJc w:val="left"/>
      <w:pPr>
        <w:tabs>
          <w:tab w:val="num" w:pos="1429"/>
        </w:tabs>
        <w:ind w:left="1429" w:hanging="477"/>
      </w:pPr>
      <w:rPr>
        <w:rFonts w:hint="default"/>
      </w:rPr>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1" w15:restartNumberingAfterBreak="0">
    <w:nsid w:val="2D293CF4"/>
    <w:multiLevelType w:val="multilevel"/>
    <w:tmpl w:val="EB385790"/>
    <w:name w:val="ContNumNumbering"/>
    <w:lvl w:ilvl="0">
      <w:start w:val="1"/>
      <w:numFmt w:val="decimal"/>
      <w:pStyle w:val="ListBullet4Level3"/>
      <w:lvlText w:val="%1."/>
      <w:lvlJc w:val="left"/>
      <w:pPr>
        <w:tabs>
          <w:tab w:val="num" w:pos="476"/>
        </w:tabs>
        <w:ind w:left="476" w:hanging="476"/>
      </w:pPr>
      <w:rPr>
        <w:rFonts w:hint="default"/>
      </w:rPr>
    </w:lvl>
    <w:lvl w:ilvl="1">
      <w:start w:val="1"/>
      <w:numFmt w:val="lowerLetter"/>
      <w:pStyle w:val="ListDash"/>
      <w:lvlText w:val="%2."/>
      <w:lvlJc w:val="left"/>
      <w:pPr>
        <w:tabs>
          <w:tab w:val="num" w:pos="952"/>
        </w:tabs>
        <w:ind w:left="952" w:hanging="476"/>
      </w:pPr>
      <w:rPr>
        <w:rFonts w:hint="default"/>
      </w:rPr>
    </w:lvl>
    <w:lvl w:ilvl="2">
      <w:start w:val="1"/>
      <w:numFmt w:val="lowerRoman"/>
      <w:pStyle w:val="ListDashLevel3"/>
      <w:lvlText w:val="%3."/>
      <w:lvlJc w:val="left"/>
      <w:pPr>
        <w:tabs>
          <w:tab w:val="num" w:pos="1429"/>
        </w:tabs>
        <w:ind w:left="1429" w:hanging="477"/>
      </w:pPr>
      <w:rPr>
        <w:rFonts w:hint="default"/>
      </w:rPr>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2" w15:restartNumberingAfterBreak="0">
    <w:nsid w:val="36324F1E"/>
    <w:multiLevelType w:val="multilevel"/>
    <w:tmpl w:val="992001AE"/>
    <w:name w:val="ListDash3Numbering"/>
    <w:lvl w:ilvl="0">
      <w:start w:val="1"/>
      <w:numFmt w:val="bullet"/>
      <w:pStyle w:val="TableSource"/>
      <w:lvlText w:val="–"/>
      <w:lvlJc w:val="left"/>
      <w:pPr>
        <w:tabs>
          <w:tab w:val="num" w:pos="1485"/>
        </w:tabs>
        <w:ind w:left="1485" w:hanging="283"/>
      </w:pPr>
      <w:rPr>
        <w:rFonts w:ascii="Times New Roman,Italic" w:hAnsi="Times New Roman,Italic"/>
      </w:rPr>
    </w:lvl>
    <w:lvl w:ilvl="1">
      <w:start w:val="1"/>
      <w:numFmt w:val="bullet"/>
      <w:pStyle w:val="FigureBody4"/>
      <w:lvlText w:val="–"/>
      <w:lvlJc w:val="left"/>
      <w:pPr>
        <w:tabs>
          <w:tab w:val="num" w:pos="1769"/>
        </w:tabs>
        <w:ind w:left="1769" w:hanging="284"/>
      </w:pPr>
      <w:rPr>
        <w:rFonts w:ascii="Times New Roman,Italic" w:hAnsi="Times New Roman,Italic"/>
      </w:rPr>
    </w:lvl>
    <w:lvl w:ilvl="2">
      <w:start w:val="1"/>
      <w:numFmt w:val="bullet"/>
      <w:pStyle w:val="TableSource1"/>
      <w:lvlText w:val="–"/>
      <w:lvlJc w:val="left"/>
      <w:pPr>
        <w:tabs>
          <w:tab w:val="num" w:pos="2052"/>
        </w:tabs>
        <w:ind w:left="2052" w:hanging="283"/>
      </w:pPr>
      <w:rPr>
        <w:rFonts w:ascii="Times New Roman,Italic" w:hAnsi="Times New Roman,Italic"/>
      </w:rPr>
    </w:lvl>
    <w:lvl w:ilvl="3">
      <w:start w:val="1"/>
      <w:numFmt w:val="bullet"/>
      <w:pStyle w:val="TableSource2"/>
      <w:lvlText w:val="–"/>
      <w:lvlJc w:val="left"/>
      <w:pPr>
        <w:tabs>
          <w:tab w:val="num" w:pos="2336"/>
        </w:tabs>
        <w:ind w:left="2336" w:hanging="284"/>
      </w:pPr>
      <w:rPr>
        <w:rFonts w:ascii="Times New Roman,Italic" w:hAnsi="Times New Roman,Italic"/>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3" w15:restartNumberingAfterBreak="0">
    <w:nsid w:val="37CB1E1C"/>
    <w:multiLevelType w:val="multilevel"/>
    <w:tmpl w:val="F41EDC06"/>
    <w:name w:val="ListDash1Numbering"/>
    <w:lvl w:ilvl="0">
      <w:start w:val="1"/>
      <w:numFmt w:val="bullet"/>
      <w:pStyle w:val="TableListDashLevel2"/>
      <w:lvlText w:val="–"/>
      <w:lvlJc w:val="left"/>
      <w:pPr>
        <w:tabs>
          <w:tab w:val="num" w:pos="765"/>
        </w:tabs>
        <w:ind w:left="765" w:hanging="283"/>
      </w:pPr>
      <w:rPr>
        <w:rFonts w:ascii="Times New Roman,Italic" w:hAnsi="Times New Roman,Italic"/>
      </w:rPr>
    </w:lvl>
    <w:lvl w:ilvl="1">
      <w:start w:val="1"/>
      <w:numFmt w:val="bullet"/>
      <w:lvlText w:val="–"/>
      <w:lvlJc w:val="left"/>
      <w:pPr>
        <w:tabs>
          <w:tab w:val="num" w:pos="1049"/>
        </w:tabs>
        <w:ind w:left="1049" w:hanging="284"/>
      </w:pPr>
      <w:rPr>
        <w:rFonts w:ascii="Times New Roman,Italic" w:hAnsi="Times New Roman,Italic"/>
      </w:rPr>
    </w:lvl>
    <w:lvl w:ilvl="2">
      <w:start w:val="1"/>
      <w:numFmt w:val="bullet"/>
      <w:pStyle w:val="TableListDashLevel4"/>
      <w:lvlText w:val="–"/>
      <w:lvlJc w:val="left"/>
      <w:pPr>
        <w:tabs>
          <w:tab w:val="num" w:pos="1332"/>
        </w:tabs>
        <w:ind w:left="1332" w:hanging="283"/>
      </w:pPr>
      <w:rPr>
        <w:rFonts w:ascii="Times New Roman,Italic" w:hAnsi="Times New Roman,Italic"/>
      </w:rPr>
    </w:lvl>
    <w:lvl w:ilvl="3">
      <w:start w:val="1"/>
      <w:numFmt w:val="bullet"/>
      <w:pStyle w:val="TableListNumber"/>
      <w:lvlText w:val="–"/>
      <w:lvlJc w:val="left"/>
      <w:pPr>
        <w:tabs>
          <w:tab w:val="num" w:pos="1616"/>
        </w:tabs>
        <w:ind w:left="1616" w:hanging="284"/>
      </w:pPr>
      <w:rPr>
        <w:rFonts w:ascii="Times New Roman,Italic" w:hAnsi="Times New Roman,Italic"/>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4" w15:restartNumberingAfterBreak="0">
    <w:nsid w:val="3A7730C4"/>
    <w:multiLevelType w:val="multilevel"/>
    <w:tmpl w:val="33D49A92"/>
    <w:name w:val="ListBullet1Numbering"/>
    <w:lvl w:ilvl="0">
      <w:start w:val="1"/>
      <w:numFmt w:val="bullet"/>
      <w:lvlText w:val=""/>
      <w:lvlJc w:val="left"/>
      <w:pPr>
        <w:tabs>
          <w:tab w:val="num" w:pos="765"/>
        </w:tabs>
        <w:ind w:left="765" w:hanging="283"/>
      </w:pPr>
      <w:rPr>
        <w:rFonts w:ascii="Georgia" w:hAnsi="Georgia"/>
      </w:rPr>
    </w:lvl>
    <w:lvl w:ilvl="1">
      <w:start w:val="1"/>
      <w:numFmt w:val="bullet"/>
      <w:pStyle w:val="NumPar1"/>
      <w:lvlText w:val=""/>
      <w:lvlJc w:val="left"/>
      <w:pPr>
        <w:tabs>
          <w:tab w:val="num" w:pos="1049"/>
        </w:tabs>
        <w:ind w:left="1049" w:hanging="284"/>
      </w:pPr>
      <w:rPr>
        <w:rFonts w:ascii="Georgia" w:hAnsi="Georgia"/>
      </w:rPr>
    </w:lvl>
    <w:lvl w:ilvl="2">
      <w:start w:val="1"/>
      <w:numFmt w:val="bullet"/>
      <w:pStyle w:val="NumPar2"/>
      <w:lvlText w:val=""/>
      <w:lvlJc w:val="left"/>
      <w:pPr>
        <w:tabs>
          <w:tab w:val="num" w:pos="1332"/>
        </w:tabs>
        <w:ind w:left="1332" w:hanging="283"/>
      </w:pPr>
      <w:rPr>
        <w:rFonts w:ascii="Georgia" w:hAnsi="Georgia"/>
      </w:rPr>
    </w:lvl>
    <w:lvl w:ilvl="3">
      <w:start w:val="1"/>
      <w:numFmt w:val="bullet"/>
      <w:pStyle w:val="NumPar3"/>
      <w:lvlText w:val=""/>
      <w:lvlJc w:val="left"/>
      <w:pPr>
        <w:tabs>
          <w:tab w:val="num" w:pos="1616"/>
        </w:tabs>
        <w:ind w:left="1616" w:hanging="284"/>
      </w:pPr>
      <w:rPr>
        <w:rFonts w:ascii="Georgia" w:hAnsi="Georgia"/>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5" w15:restartNumberingAfterBreak="0">
    <w:nsid w:val="429E662A"/>
    <w:multiLevelType w:val="multilevel"/>
    <w:tmpl w:val="258E38CE"/>
    <w:name w:val="ListNumber1Numbering"/>
    <w:lvl w:ilvl="0">
      <w:start w:val="1"/>
      <w:numFmt w:val="decimal"/>
      <w:lvlText w:val="(%1)"/>
      <w:lvlJc w:val="left"/>
      <w:pPr>
        <w:tabs>
          <w:tab w:val="num" w:pos="1191"/>
        </w:tabs>
        <w:ind w:left="1191" w:hanging="709"/>
      </w:pPr>
    </w:lvl>
    <w:lvl w:ilvl="1">
      <w:start w:val="1"/>
      <w:numFmt w:val="lowerLetter"/>
      <w:pStyle w:val="FigureTitle4"/>
      <w:lvlText w:val="(%2)"/>
      <w:lvlJc w:val="left"/>
      <w:pPr>
        <w:tabs>
          <w:tab w:val="num" w:pos="1899"/>
        </w:tabs>
        <w:ind w:left="1899" w:hanging="708"/>
      </w:pPr>
    </w:lvl>
    <w:lvl w:ilvl="2">
      <w:start w:val="1"/>
      <w:numFmt w:val="bullet"/>
      <w:pStyle w:val="FigureSource3"/>
      <w:lvlText w:val="–"/>
      <w:lvlJc w:val="left"/>
      <w:pPr>
        <w:tabs>
          <w:tab w:val="num" w:pos="2608"/>
        </w:tabs>
        <w:ind w:left="2608" w:hanging="709"/>
      </w:pPr>
      <w:rPr>
        <w:rFonts w:ascii="Times New Roman,Italic" w:hAnsi="Times New Roman,Italic"/>
      </w:rPr>
    </w:lvl>
    <w:lvl w:ilvl="3">
      <w:start w:val="1"/>
      <w:numFmt w:val="bullet"/>
      <w:pStyle w:val="Title"/>
      <w:lvlText w:val=""/>
      <w:lvlJc w:val="left"/>
      <w:pPr>
        <w:tabs>
          <w:tab w:val="num" w:pos="3317"/>
        </w:tabs>
        <w:ind w:left="3317" w:hanging="709"/>
      </w:pPr>
      <w:rPr>
        <w:rFonts w:ascii="Georgia" w:hAnsi="Georgia"/>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6" w15:restartNumberingAfterBreak="0">
    <w:nsid w:val="4370513A"/>
    <w:multiLevelType w:val="multilevel"/>
    <w:tmpl w:val="E086216A"/>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3557"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7" w15:restartNumberingAfterBreak="0">
    <w:nsid w:val="4E1A63DF"/>
    <w:multiLevelType w:val="multilevel"/>
    <w:tmpl w:val="CDC23018"/>
    <w:name w:val="TableListBulletNumbering"/>
    <w:lvl w:ilvl="0">
      <w:start w:val="1"/>
      <w:numFmt w:val="bullet"/>
      <w:lvlText w:val=""/>
      <w:lvlJc w:val="left"/>
      <w:pPr>
        <w:tabs>
          <w:tab w:val="num" w:pos="283"/>
        </w:tabs>
        <w:ind w:left="283" w:hanging="283"/>
      </w:pPr>
      <w:rPr>
        <w:rFonts w:ascii="Georgia" w:hAnsi="Georgia"/>
      </w:rPr>
    </w:lvl>
    <w:lvl w:ilvl="1">
      <w:start w:val="1"/>
      <w:numFmt w:val="bullet"/>
      <w:lvlText w:val=""/>
      <w:lvlJc w:val="left"/>
      <w:pPr>
        <w:tabs>
          <w:tab w:val="num" w:pos="567"/>
        </w:tabs>
        <w:ind w:left="567" w:hanging="284"/>
      </w:pPr>
      <w:rPr>
        <w:rFonts w:ascii="Georgia" w:hAnsi="Georgia"/>
      </w:rPr>
    </w:lvl>
    <w:lvl w:ilvl="2">
      <w:start w:val="1"/>
      <w:numFmt w:val="bullet"/>
      <w:lvlText w:val=""/>
      <w:lvlJc w:val="left"/>
      <w:pPr>
        <w:tabs>
          <w:tab w:val="num" w:pos="850"/>
        </w:tabs>
        <w:ind w:left="850" w:hanging="283"/>
      </w:pPr>
      <w:rPr>
        <w:rFonts w:ascii="Georgia" w:hAnsi="Georgia"/>
      </w:rPr>
    </w:lvl>
    <w:lvl w:ilvl="3">
      <w:start w:val="1"/>
      <w:numFmt w:val="bullet"/>
      <w:lvlText w:val=""/>
      <w:lvlJc w:val="left"/>
      <w:pPr>
        <w:tabs>
          <w:tab w:val="num" w:pos="1134"/>
        </w:tabs>
        <w:ind w:left="1134" w:hanging="284"/>
      </w:pPr>
      <w:rPr>
        <w:rFonts w:ascii="Georgia" w:hAnsi="Georgia"/>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8" w15:restartNumberingAfterBreak="0">
    <w:nsid w:val="4E1A982C"/>
    <w:multiLevelType w:val="multilevel"/>
    <w:tmpl w:val="5EB6C48C"/>
    <w:name w:val="ListBulletNumbering"/>
    <w:lvl w:ilvl="0">
      <w:start w:val="1"/>
      <w:numFmt w:val="bullet"/>
      <w:pStyle w:val="ListNumber4Level2"/>
      <w:lvlText w:val=""/>
      <w:lvlJc w:val="left"/>
      <w:pPr>
        <w:tabs>
          <w:tab w:val="num" w:pos="283"/>
        </w:tabs>
        <w:ind w:left="283" w:hanging="283"/>
      </w:pPr>
      <w:rPr>
        <w:rFonts w:ascii="Georgia" w:hAnsi="Georgia"/>
      </w:rPr>
    </w:lvl>
    <w:lvl w:ilvl="1">
      <w:start w:val="1"/>
      <w:numFmt w:val="bullet"/>
      <w:pStyle w:val="ListNumber4Level3"/>
      <w:lvlText w:val=""/>
      <w:lvlJc w:val="left"/>
      <w:pPr>
        <w:tabs>
          <w:tab w:val="num" w:pos="567"/>
        </w:tabs>
        <w:ind w:left="567" w:hanging="284"/>
      </w:pPr>
      <w:rPr>
        <w:rFonts w:ascii="Georgia" w:hAnsi="Georgia"/>
      </w:rPr>
    </w:lvl>
    <w:lvl w:ilvl="2">
      <w:start w:val="1"/>
      <w:numFmt w:val="bullet"/>
      <w:lvlText w:val=""/>
      <w:lvlJc w:val="left"/>
      <w:pPr>
        <w:tabs>
          <w:tab w:val="num" w:pos="850"/>
        </w:tabs>
        <w:ind w:left="850" w:hanging="283"/>
      </w:pPr>
      <w:rPr>
        <w:rFonts w:ascii="Georgia" w:hAnsi="Georgia"/>
      </w:rPr>
    </w:lvl>
    <w:lvl w:ilvl="3">
      <w:start w:val="1"/>
      <w:numFmt w:val="bullet"/>
      <w:pStyle w:val="MacroText"/>
      <w:lvlText w:val=""/>
      <w:lvlJc w:val="left"/>
      <w:pPr>
        <w:tabs>
          <w:tab w:val="num" w:pos="1134"/>
        </w:tabs>
        <w:ind w:left="1134" w:hanging="284"/>
      </w:pPr>
      <w:rPr>
        <w:rFonts w:ascii="Georgia" w:hAnsi="Georgia"/>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9" w15:restartNumberingAfterBreak="0">
    <w:nsid w:val="5072619B"/>
    <w:multiLevelType w:val="multilevel"/>
    <w:tmpl w:val="6DFCF512"/>
    <w:name w:val="ListDashNumbering"/>
    <w:lvl w:ilvl="0">
      <w:start w:val="1"/>
      <w:numFmt w:val="bullet"/>
      <w:pStyle w:val="TableListBulletLevel2"/>
      <w:lvlText w:val="–"/>
      <w:lvlJc w:val="left"/>
      <w:pPr>
        <w:tabs>
          <w:tab w:val="num" w:pos="283"/>
        </w:tabs>
        <w:ind w:left="283" w:hanging="283"/>
      </w:pPr>
      <w:rPr>
        <w:rFonts w:ascii="Times New Roman,Italic" w:hAnsi="Times New Roman,Italic"/>
      </w:rPr>
    </w:lvl>
    <w:lvl w:ilvl="1">
      <w:start w:val="1"/>
      <w:numFmt w:val="bullet"/>
      <w:pStyle w:val="TableListBulletLevel3"/>
      <w:lvlText w:val="–"/>
      <w:lvlJc w:val="left"/>
      <w:pPr>
        <w:tabs>
          <w:tab w:val="num" w:pos="567"/>
        </w:tabs>
        <w:ind w:left="567" w:hanging="284"/>
      </w:pPr>
      <w:rPr>
        <w:rFonts w:ascii="Times New Roman,Italic" w:hAnsi="Times New Roman,Italic"/>
      </w:rPr>
    </w:lvl>
    <w:lvl w:ilvl="2">
      <w:start w:val="1"/>
      <w:numFmt w:val="bullet"/>
      <w:pStyle w:val="TableListBulletLevel4"/>
      <w:lvlText w:val="–"/>
      <w:lvlJc w:val="left"/>
      <w:pPr>
        <w:tabs>
          <w:tab w:val="num" w:pos="850"/>
        </w:tabs>
        <w:ind w:left="850" w:hanging="283"/>
      </w:pPr>
      <w:rPr>
        <w:rFonts w:ascii="Times New Roman,Italic" w:hAnsi="Times New Roman,Italic"/>
      </w:rPr>
    </w:lvl>
    <w:lvl w:ilvl="3">
      <w:start w:val="1"/>
      <w:numFmt w:val="bullet"/>
      <w:pStyle w:val="TableListDash"/>
      <w:lvlText w:val="–"/>
      <w:lvlJc w:val="left"/>
      <w:pPr>
        <w:tabs>
          <w:tab w:val="num" w:pos="1134"/>
        </w:tabs>
        <w:ind w:left="1134" w:hanging="284"/>
      </w:pPr>
      <w:rPr>
        <w:rFonts w:ascii="Times New Roman,Italic" w:hAnsi="Times New Roman,Italic"/>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0" w15:restartNumberingAfterBreak="0">
    <w:nsid w:val="50729B52"/>
    <w:multiLevelType w:val="multilevel"/>
    <w:tmpl w:val="7DC42F90"/>
    <w:name w:val="TableListDashNumbering"/>
    <w:lvl w:ilvl="0">
      <w:start w:val="1"/>
      <w:numFmt w:val="bullet"/>
      <w:lvlText w:val="–"/>
      <w:lvlJc w:val="left"/>
      <w:pPr>
        <w:tabs>
          <w:tab w:val="num" w:pos="283"/>
        </w:tabs>
        <w:ind w:left="283" w:hanging="283"/>
      </w:pPr>
      <w:rPr>
        <w:rFonts w:ascii="Times New Roman,Italic" w:hAnsi="Times New Roman,Italic"/>
      </w:rPr>
    </w:lvl>
    <w:lvl w:ilvl="1">
      <w:start w:val="1"/>
      <w:numFmt w:val="bullet"/>
      <w:lvlText w:val="–"/>
      <w:lvlJc w:val="left"/>
      <w:pPr>
        <w:tabs>
          <w:tab w:val="num" w:pos="567"/>
        </w:tabs>
        <w:ind w:left="567" w:hanging="284"/>
      </w:pPr>
      <w:rPr>
        <w:rFonts w:ascii="Times New Roman,Italic" w:hAnsi="Times New Roman,Italic"/>
      </w:rPr>
    </w:lvl>
    <w:lvl w:ilvl="2">
      <w:start w:val="1"/>
      <w:numFmt w:val="bullet"/>
      <w:lvlText w:val="–"/>
      <w:lvlJc w:val="left"/>
      <w:pPr>
        <w:tabs>
          <w:tab w:val="num" w:pos="850"/>
        </w:tabs>
        <w:ind w:left="850" w:hanging="283"/>
      </w:pPr>
      <w:rPr>
        <w:rFonts w:ascii="Times New Roman,Italic" w:hAnsi="Times New Roman,Italic"/>
      </w:rPr>
    </w:lvl>
    <w:lvl w:ilvl="3">
      <w:start w:val="1"/>
      <w:numFmt w:val="bullet"/>
      <w:lvlText w:val="–"/>
      <w:lvlJc w:val="left"/>
      <w:pPr>
        <w:tabs>
          <w:tab w:val="num" w:pos="1134"/>
        </w:tabs>
        <w:ind w:left="1134" w:hanging="284"/>
      </w:pPr>
      <w:rPr>
        <w:rFonts w:ascii="Times New Roman,Italic" w:hAnsi="Times New Roman,Italic"/>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1" w15:restartNumberingAfterBreak="0">
    <w:nsid w:val="6057433F"/>
    <w:multiLevelType w:val="singleLevel"/>
    <w:tmpl w:val="3D5ECD48"/>
    <w:lvl w:ilvl="0">
      <w:start w:val="1"/>
      <w:numFmt w:val="bullet"/>
      <w:lvlText w:val="–"/>
      <w:lvlJc w:val="left"/>
      <w:pPr>
        <w:tabs>
          <w:tab w:val="num" w:pos="765"/>
        </w:tabs>
        <w:ind w:left="765" w:hanging="283"/>
      </w:pPr>
      <w:rPr>
        <w:rFonts w:ascii="Times New Roman" w:hAnsi="Times New Roman"/>
      </w:rPr>
    </w:lvl>
  </w:abstractNum>
  <w:abstractNum w:abstractNumId="22" w15:restartNumberingAfterBreak="0">
    <w:nsid w:val="640B475D"/>
    <w:multiLevelType w:val="hybridMultilevel"/>
    <w:tmpl w:val="FFFFFFFF"/>
    <w:lvl w:ilvl="0" w:tplc="B02AE79A">
      <w:start w:val="1"/>
      <w:numFmt w:val="bullet"/>
      <w:lvlText w:val="-"/>
      <w:lvlJc w:val="left"/>
      <w:pPr>
        <w:ind w:left="720" w:hanging="360"/>
      </w:pPr>
      <w:rPr>
        <w:rFonts w:ascii="Calibri Light" w:hAnsi="Calibri Light" w:hint="default"/>
      </w:rPr>
    </w:lvl>
    <w:lvl w:ilvl="1" w:tplc="B2DADF32">
      <w:start w:val="1"/>
      <w:numFmt w:val="bullet"/>
      <w:lvlText w:val="o"/>
      <w:lvlJc w:val="left"/>
      <w:pPr>
        <w:ind w:left="1440" w:hanging="360"/>
      </w:pPr>
      <w:rPr>
        <w:rFonts w:ascii="Wingdings" w:hAnsi="Wingdings" w:hint="default"/>
      </w:rPr>
    </w:lvl>
    <w:lvl w:ilvl="2" w:tplc="FC24A1E6">
      <w:start w:val="1"/>
      <w:numFmt w:val="bullet"/>
      <w:lvlText w:val=""/>
      <w:lvlJc w:val="left"/>
      <w:pPr>
        <w:ind w:left="2160" w:hanging="360"/>
      </w:pPr>
      <w:rPr>
        <w:rFonts w:ascii="Times New Roman (Body CS)" w:hAnsi="Times New Roman (Body CS)" w:hint="default"/>
      </w:rPr>
    </w:lvl>
    <w:lvl w:ilvl="3" w:tplc="7F46385A">
      <w:start w:val="1"/>
      <w:numFmt w:val="bullet"/>
      <w:lvlText w:val=""/>
      <w:lvlJc w:val="left"/>
      <w:pPr>
        <w:ind w:left="2880" w:hanging="360"/>
      </w:pPr>
      <w:rPr>
        <w:rFonts w:ascii="Yu Gothic Light" w:hAnsi="Yu Gothic Light" w:hint="default"/>
      </w:rPr>
    </w:lvl>
    <w:lvl w:ilvl="4" w:tplc="638EC586">
      <w:start w:val="1"/>
      <w:numFmt w:val="bullet"/>
      <w:lvlText w:val="o"/>
      <w:lvlJc w:val="left"/>
      <w:pPr>
        <w:ind w:left="3600" w:hanging="360"/>
      </w:pPr>
      <w:rPr>
        <w:rFonts w:ascii="Wingdings" w:hAnsi="Wingdings" w:hint="default"/>
      </w:rPr>
    </w:lvl>
    <w:lvl w:ilvl="5" w:tplc="4FBE88EA">
      <w:start w:val="1"/>
      <w:numFmt w:val="bullet"/>
      <w:lvlText w:val=""/>
      <w:lvlJc w:val="left"/>
      <w:pPr>
        <w:ind w:left="4320" w:hanging="360"/>
      </w:pPr>
      <w:rPr>
        <w:rFonts w:ascii="Times New Roman (Body CS)" w:hAnsi="Times New Roman (Body CS)" w:hint="default"/>
      </w:rPr>
    </w:lvl>
    <w:lvl w:ilvl="6" w:tplc="1234D33E">
      <w:start w:val="1"/>
      <w:numFmt w:val="bullet"/>
      <w:lvlText w:val=""/>
      <w:lvlJc w:val="left"/>
      <w:pPr>
        <w:ind w:left="5040" w:hanging="360"/>
      </w:pPr>
      <w:rPr>
        <w:rFonts w:ascii="Yu Gothic Light" w:hAnsi="Yu Gothic Light" w:hint="default"/>
      </w:rPr>
    </w:lvl>
    <w:lvl w:ilvl="7" w:tplc="AB06B070">
      <w:start w:val="1"/>
      <w:numFmt w:val="bullet"/>
      <w:lvlText w:val="o"/>
      <w:lvlJc w:val="left"/>
      <w:pPr>
        <w:ind w:left="5760" w:hanging="360"/>
      </w:pPr>
      <w:rPr>
        <w:rFonts w:ascii="Wingdings" w:hAnsi="Wingdings" w:hint="default"/>
      </w:rPr>
    </w:lvl>
    <w:lvl w:ilvl="8" w:tplc="5EF42196">
      <w:start w:val="1"/>
      <w:numFmt w:val="bullet"/>
      <w:lvlText w:val=""/>
      <w:lvlJc w:val="left"/>
      <w:pPr>
        <w:ind w:left="6480" w:hanging="360"/>
      </w:pPr>
      <w:rPr>
        <w:rFonts w:ascii="Times New Roman (Body CS)" w:hAnsi="Times New Roman (Body CS)" w:hint="default"/>
      </w:rPr>
    </w:lvl>
  </w:abstractNum>
  <w:abstractNum w:abstractNumId="23" w15:restartNumberingAfterBreak="0">
    <w:nsid w:val="6977472E"/>
    <w:multiLevelType w:val="multilevel"/>
    <w:tmpl w:val="7AC8E152"/>
    <w:name w:val="ListNumber4Numbering"/>
    <w:lvl w:ilvl="0">
      <w:start w:val="1"/>
      <w:numFmt w:val="decimal"/>
      <w:lvlText w:val="(%1)"/>
      <w:lvlJc w:val="left"/>
      <w:pPr>
        <w:tabs>
          <w:tab w:val="num" w:pos="1911"/>
        </w:tabs>
        <w:ind w:left="1911" w:hanging="709"/>
      </w:pPr>
    </w:lvl>
    <w:lvl w:ilvl="1">
      <w:start w:val="1"/>
      <w:numFmt w:val="lowerLetter"/>
      <w:pStyle w:val="TableTitle"/>
      <w:lvlText w:val="(%2)"/>
      <w:lvlJc w:val="left"/>
      <w:pPr>
        <w:tabs>
          <w:tab w:val="num" w:pos="2619"/>
        </w:tabs>
        <w:ind w:left="2619" w:hanging="708"/>
      </w:pPr>
    </w:lvl>
    <w:lvl w:ilvl="2">
      <w:start w:val="1"/>
      <w:numFmt w:val="bullet"/>
      <w:lvlText w:val="–"/>
      <w:lvlJc w:val="left"/>
      <w:pPr>
        <w:tabs>
          <w:tab w:val="num" w:pos="3328"/>
        </w:tabs>
        <w:ind w:left="3328" w:hanging="709"/>
      </w:pPr>
      <w:rPr>
        <w:rFonts w:ascii="Times New Roman,Italic" w:hAnsi="Times New Roman,Italic"/>
      </w:rPr>
    </w:lvl>
    <w:lvl w:ilvl="3">
      <w:start w:val="1"/>
      <w:numFmt w:val="bullet"/>
      <w:lvlText w:val=""/>
      <w:lvlJc w:val="left"/>
      <w:pPr>
        <w:tabs>
          <w:tab w:val="num" w:pos="4037"/>
        </w:tabs>
        <w:ind w:left="4037" w:hanging="709"/>
      </w:pPr>
      <w:rPr>
        <w:rFonts w:ascii="Georgia" w:hAnsi="Georgia"/>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4" w15:restartNumberingAfterBreak="0">
    <w:nsid w:val="6FD50565"/>
    <w:multiLevelType w:val="hybridMultilevel"/>
    <w:tmpl w:val="68D428D8"/>
    <w:lvl w:ilvl="0" w:tplc="AA9CC580">
      <w:start w:val="1"/>
      <w:numFmt w:val="bullet"/>
      <w:pStyle w:val="Tabeltekst"/>
      <w:lvlText w:val=""/>
      <w:lvlJc w:val="left"/>
      <w:pPr>
        <w:ind w:left="720" w:hanging="360"/>
      </w:pPr>
      <w:rPr>
        <w:rFonts w:ascii="Symbol" w:hAnsi="Symbol" w:hint="default"/>
        <w:b w:val="0"/>
        <w:i w:val="0"/>
        <w:color w:val="auto"/>
        <w:sz w:val="24"/>
      </w:rPr>
    </w:lvl>
    <w:lvl w:ilvl="1" w:tplc="FFFFFFFF" w:tentative="1">
      <w:start w:val="1"/>
      <w:numFmt w:val="bullet"/>
      <w:lvlText w:val="o"/>
      <w:lvlJc w:val="left"/>
      <w:pPr>
        <w:ind w:left="1440" w:hanging="360"/>
      </w:pPr>
      <w:rPr>
        <w:rFonts w:ascii="Wingdings" w:hAnsi="Wingdings" w:cs="Wingdings" w:hint="default"/>
      </w:rPr>
    </w:lvl>
    <w:lvl w:ilvl="2" w:tplc="FFFFFFFF" w:tentative="1">
      <w:start w:val="1"/>
      <w:numFmt w:val="bullet"/>
      <w:lvlText w:val=""/>
      <w:lvlJc w:val="left"/>
      <w:pPr>
        <w:ind w:left="2160" w:hanging="360"/>
      </w:pPr>
      <w:rPr>
        <w:rFonts w:ascii="Times New Roman (Body CS)" w:hAnsi="Times New Roman (Body CS)" w:hint="default"/>
      </w:rPr>
    </w:lvl>
    <w:lvl w:ilvl="3" w:tplc="FFFFFFFF" w:tentative="1">
      <w:start w:val="1"/>
      <w:numFmt w:val="bullet"/>
      <w:lvlText w:val=""/>
      <w:lvlJc w:val="left"/>
      <w:pPr>
        <w:ind w:left="2880" w:hanging="360"/>
      </w:pPr>
      <w:rPr>
        <w:rFonts w:ascii="Yu Gothic Light" w:hAnsi="Yu Gothic Light" w:hint="default"/>
      </w:rPr>
    </w:lvl>
    <w:lvl w:ilvl="4" w:tplc="FFFFFFFF" w:tentative="1">
      <w:start w:val="1"/>
      <w:numFmt w:val="bullet"/>
      <w:lvlText w:val="o"/>
      <w:lvlJc w:val="left"/>
      <w:pPr>
        <w:ind w:left="3600" w:hanging="360"/>
      </w:pPr>
      <w:rPr>
        <w:rFonts w:ascii="Wingdings" w:hAnsi="Wingdings" w:cs="Wingdings" w:hint="default"/>
      </w:rPr>
    </w:lvl>
    <w:lvl w:ilvl="5" w:tplc="FFFFFFFF" w:tentative="1">
      <w:start w:val="1"/>
      <w:numFmt w:val="bullet"/>
      <w:lvlText w:val=""/>
      <w:lvlJc w:val="left"/>
      <w:pPr>
        <w:ind w:left="4320" w:hanging="360"/>
      </w:pPr>
      <w:rPr>
        <w:rFonts w:ascii="Times New Roman (Body CS)" w:hAnsi="Times New Roman (Body CS)" w:hint="default"/>
      </w:rPr>
    </w:lvl>
    <w:lvl w:ilvl="6" w:tplc="FFFFFFFF" w:tentative="1">
      <w:start w:val="1"/>
      <w:numFmt w:val="bullet"/>
      <w:lvlText w:val=""/>
      <w:lvlJc w:val="left"/>
      <w:pPr>
        <w:ind w:left="5040" w:hanging="360"/>
      </w:pPr>
      <w:rPr>
        <w:rFonts w:ascii="Yu Gothic Light" w:hAnsi="Yu Gothic Light" w:hint="default"/>
      </w:rPr>
    </w:lvl>
    <w:lvl w:ilvl="7" w:tplc="FFFFFFFF" w:tentative="1">
      <w:start w:val="1"/>
      <w:numFmt w:val="bullet"/>
      <w:lvlText w:val="o"/>
      <w:lvlJc w:val="left"/>
      <w:pPr>
        <w:ind w:left="5760" w:hanging="360"/>
      </w:pPr>
      <w:rPr>
        <w:rFonts w:ascii="Wingdings" w:hAnsi="Wingdings" w:cs="Wingdings" w:hint="default"/>
      </w:rPr>
    </w:lvl>
    <w:lvl w:ilvl="8" w:tplc="FFFFFFFF" w:tentative="1">
      <w:start w:val="1"/>
      <w:numFmt w:val="bullet"/>
      <w:lvlText w:val=""/>
      <w:lvlJc w:val="left"/>
      <w:pPr>
        <w:ind w:left="6480" w:hanging="360"/>
      </w:pPr>
      <w:rPr>
        <w:rFonts w:ascii="Times New Roman (Body CS)" w:hAnsi="Times New Roman (Body CS)" w:hint="default"/>
      </w:rPr>
    </w:lvl>
  </w:abstractNum>
  <w:abstractNum w:abstractNumId="25" w15:restartNumberingAfterBreak="0">
    <w:nsid w:val="70DD25D5"/>
    <w:multiLevelType w:val="hybridMultilevel"/>
    <w:tmpl w:val="2D0A4658"/>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6" w15:restartNumberingAfterBreak="0">
    <w:nsid w:val="7C651460"/>
    <w:multiLevelType w:val="singleLevel"/>
    <w:tmpl w:val="8ED643B6"/>
    <w:lvl w:ilvl="0">
      <w:start w:val="1"/>
      <w:numFmt w:val="decimal"/>
      <w:pStyle w:val="ListBullet3Level4"/>
      <w:lvlText w:val="%1."/>
      <w:lvlJc w:val="left"/>
      <w:pPr>
        <w:ind w:left="360" w:hanging="360"/>
      </w:pPr>
    </w:lvl>
  </w:abstractNum>
  <w:num w:numId="1">
    <w:abstractNumId w:val="0"/>
  </w:num>
  <w:num w:numId="2">
    <w:abstractNumId w:val="12"/>
  </w:num>
  <w:num w:numId="3">
    <w:abstractNumId w:val="7"/>
  </w:num>
  <w:num w:numId="4">
    <w:abstractNumId w:val="13"/>
  </w:num>
  <w:num w:numId="5">
    <w:abstractNumId w:val="19"/>
  </w:num>
  <w:num w:numId="6">
    <w:abstractNumId w:val="23"/>
  </w:num>
  <w:num w:numId="7">
    <w:abstractNumId w:val="1"/>
  </w:num>
  <w:num w:numId="8">
    <w:abstractNumId w:val="6"/>
  </w:num>
  <w:num w:numId="9">
    <w:abstractNumId w:val="15"/>
  </w:num>
  <w:num w:numId="10">
    <w:abstractNumId w:val="2"/>
  </w:num>
  <w:num w:numId="11">
    <w:abstractNumId w:val="4"/>
  </w:num>
  <w:num w:numId="12">
    <w:abstractNumId w:val="5"/>
  </w:num>
  <w:num w:numId="13">
    <w:abstractNumId w:val="9"/>
  </w:num>
  <w:num w:numId="14">
    <w:abstractNumId w:val="14"/>
  </w:num>
  <w:num w:numId="15">
    <w:abstractNumId w:val="18"/>
  </w:num>
  <w:num w:numId="16">
    <w:abstractNumId w:val="10"/>
  </w:num>
  <w:num w:numId="17">
    <w:abstractNumId w:val="11"/>
  </w:num>
  <w:num w:numId="18">
    <w:abstractNumId w:val="26"/>
  </w:num>
  <w:num w:numId="19">
    <w:abstractNumId w:val="22"/>
  </w:num>
  <w:num w:numId="20">
    <w:abstractNumId w:val="24"/>
  </w:num>
  <w:num w:numId="21">
    <w:abstractNumId w:val="25"/>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 w:numId="29">
    <w:abstractNumId w:val="21"/>
  </w:num>
  <w:num w:numId="30">
    <w:abstractNumId w:val="8"/>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ACCOMPAGNANT.CP" w:val="Accompanying the document"/>
    <w:docVar w:name="LW_CORRIGENDUM" w:val="&lt;UNUSED&gt;"/>
    <w:docVar w:name="LW_COVERPAGE_EXISTS" w:val="True"/>
    <w:docVar w:name="LW_COVERPAGE_GUID" w:val="4DD5EF91-7905-4746-A776-497AF98371B7"/>
    <w:docVar w:name="LW_COVERPAGE_TYPE" w:val="1"/>
    <w:docVar w:name="LW_CROSSREFERENCE" w:val="{COM(2024) 63 final} - {SEC(2024) 64 final} - {SWD(2024) 64 final}"/>
    <w:docVar w:name="LW_DocType" w:val="22597D0A7183484E8563ACC3225327F0"/>
    <w:docVar w:name="LW_EMISSION" w:val="6.2.2024"/>
    <w:docVar w:name="LW_EMISSION_ISODATE" w:val="2024-02-06"/>
    <w:docVar w:name="LW_EMISSION_LOCATION" w:val="STR"/>
    <w:docVar w:name="LW_EMISSION_PREFIX" w:val="Strasbourg, "/>
    <w:docVar w:name="LW_EMISSION_SUFFIX" w:val=" "/>
    <w:docVar w:name="LW_ID_DOCTYPE_NONLW" w:val="CP-026"/>
    <w:docVar w:name="LW_LANGUE" w:val="EN"/>
    <w:docVar w:name="LW_LEVEL_OF_SENSITIVITY" w:val="Standard treatment"/>
    <w:docVar w:name="LW_NOM.INST" w:val="EUROPEAN COMMISSION"/>
    <w:docVar w:name="LW_NOM.INST_JOINTDOC" w:val="&lt;EMPTY&gt;"/>
    <w:docVar w:name="LW_OBJETACTEPRINCIPAL.CP" w:val="Securing our future_x000d__x000d__x000d__x000b__x000d__x000d__x000d__x000b_Europe's 2040 climate target and path to climate neutrality by 2050 building a sustainable, just and prosperous society"/>
    <w:docVar w:name="LW_PART_NBR" w:val="3"/>
    <w:docVar w:name="LW_PART_NBR_TOTAL" w:val="5"/>
    <w:docVar w:name="LW_REF.INST.NEW" w:val="SWD"/>
    <w:docVar w:name="LW_REF.INST.NEW_ADOPTED" w:val="final"/>
    <w:docVar w:name="LW_REF.INST.NEW_TEXT" w:val="(2024) 63"/>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ITRE.OBJ.CP" w:val="&lt;FMT:Font=Arial&gt;Part 3&lt;/FMT&gt;"/>
    <w:docVar w:name="LW_TYPE.DOC.CP" w:val="COMMISSION STAFF WORKING DOCUMENT_x000b__x000b_IMPACT ASSESSMENT REPORT_x000b_"/>
    <w:docVar w:name="LW_TYPEACTEPRINCIPAL.CP" w:val="COMMUNICATION FROM THE COMMISSION TO THE EUROPEAN PARLIAMENT, THE COUNCIL, THE EUROPEAN ECONOMIC AND SOCIAL COMMITTEE AND THE COMMITTEE OF THE REGIONS"/>
    <w:docVar w:name="LwApiVersions" w:val="LW4CoDe 1.24.4.0; LW 9.0, Build 20240125"/>
  </w:docVars>
  <w:rsids>
    <w:rsidRoot w:val="007E297E"/>
    <w:rsid w:val="00000104"/>
    <w:rsid w:val="000001C8"/>
    <w:rsid w:val="0000020C"/>
    <w:rsid w:val="00000276"/>
    <w:rsid w:val="00000399"/>
    <w:rsid w:val="00000410"/>
    <w:rsid w:val="00000412"/>
    <w:rsid w:val="000004C6"/>
    <w:rsid w:val="000004FB"/>
    <w:rsid w:val="00000519"/>
    <w:rsid w:val="0000057B"/>
    <w:rsid w:val="00000624"/>
    <w:rsid w:val="00000674"/>
    <w:rsid w:val="000006C6"/>
    <w:rsid w:val="00000712"/>
    <w:rsid w:val="00000782"/>
    <w:rsid w:val="00000789"/>
    <w:rsid w:val="00000790"/>
    <w:rsid w:val="000007F3"/>
    <w:rsid w:val="00000802"/>
    <w:rsid w:val="00000848"/>
    <w:rsid w:val="00000870"/>
    <w:rsid w:val="000008C8"/>
    <w:rsid w:val="00000911"/>
    <w:rsid w:val="00000A01"/>
    <w:rsid w:val="00000A35"/>
    <w:rsid w:val="00000A6C"/>
    <w:rsid w:val="00000AE0"/>
    <w:rsid w:val="00000B7E"/>
    <w:rsid w:val="00000BAF"/>
    <w:rsid w:val="00000C62"/>
    <w:rsid w:val="00000C65"/>
    <w:rsid w:val="00000C7A"/>
    <w:rsid w:val="00000CA8"/>
    <w:rsid w:val="00000D29"/>
    <w:rsid w:val="00000DAE"/>
    <w:rsid w:val="00000E0B"/>
    <w:rsid w:val="00000E21"/>
    <w:rsid w:val="00000E7A"/>
    <w:rsid w:val="00000F53"/>
    <w:rsid w:val="00000FB0"/>
    <w:rsid w:val="0000104F"/>
    <w:rsid w:val="000011C2"/>
    <w:rsid w:val="000011C4"/>
    <w:rsid w:val="0000121D"/>
    <w:rsid w:val="00001226"/>
    <w:rsid w:val="0000126F"/>
    <w:rsid w:val="00001365"/>
    <w:rsid w:val="00001398"/>
    <w:rsid w:val="0000150A"/>
    <w:rsid w:val="00001549"/>
    <w:rsid w:val="0000156A"/>
    <w:rsid w:val="000015D7"/>
    <w:rsid w:val="000015DE"/>
    <w:rsid w:val="00001766"/>
    <w:rsid w:val="00001797"/>
    <w:rsid w:val="000017AD"/>
    <w:rsid w:val="000017B4"/>
    <w:rsid w:val="00001841"/>
    <w:rsid w:val="0000185E"/>
    <w:rsid w:val="00001894"/>
    <w:rsid w:val="000018AA"/>
    <w:rsid w:val="000018CE"/>
    <w:rsid w:val="000018DB"/>
    <w:rsid w:val="00001943"/>
    <w:rsid w:val="0000195C"/>
    <w:rsid w:val="000019C3"/>
    <w:rsid w:val="00001B1A"/>
    <w:rsid w:val="00001BE5"/>
    <w:rsid w:val="00001C49"/>
    <w:rsid w:val="00001C7C"/>
    <w:rsid w:val="00001D16"/>
    <w:rsid w:val="00001D4B"/>
    <w:rsid w:val="00001DD5"/>
    <w:rsid w:val="00001DE3"/>
    <w:rsid w:val="00001EE9"/>
    <w:rsid w:val="00001F50"/>
    <w:rsid w:val="00001F80"/>
    <w:rsid w:val="00001FA6"/>
    <w:rsid w:val="0000200F"/>
    <w:rsid w:val="00002095"/>
    <w:rsid w:val="000020F8"/>
    <w:rsid w:val="00002110"/>
    <w:rsid w:val="0000212A"/>
    <w:rsid w:val="00002178"/>
    <w:rsid w:val="000021C5"/>
    <w:rsid w:val="000021E2"/>
    <w:rsid w:val="000021F2"/>
    <w:rsid w:val="00002231"/>
    <w:rsid w:val="0000229E"/>
    <w:rsid w:val="000022B2"/>
    <w:rsid w:val="00002341"/>
    <w:rsid w:val="0000234B"/>
    <w:rsid w:val="00002414"/>
    <w:rsid w:val="00002473"/>
    <w:rsid w:val="00002487"/>
    <w:rsid w:val="00002582"/>
    <w:rsid w:val="000025B4"/>
    <w:rsid w:val="000025B8"/>
    <w:rsid w:val="000025E8"/>
    <w:rsid w:val="0000260F"/>
    <w:rsid w:val="000026F8"/>
    <w:rsid w:val="0000271D"/>
    <w:rsid w:val="0000274C"/>
    <w:rsid w:val="0000281A"/>
    <w:rsid w:val="0000286C"/>
    <w:rsid w:val="000028A8"/>
    <w:rsid w:val="000028C1"/>
    <w:rsid w:val="00002940"/>
    <w:rsid w:val="00002A1A"/>
    <w:rsid w:val="00002AD1"/>
    <w:rsid w:val="00002ADB"/>
    <w:rsid w:val="00002B4A"/>
    <w:rsid w:val="00002B57"/>
    <w:rsid w:val="00002C00"/>
    <w:rsid w:val="00002C73"/>
    <w:rsid w:val="00002C85"/>
    <w:rsid w:val="00002C89"/>
    <w:rsid w:val="00002D66"/>
    <w:rsid w:val="00002E4A"/>
    <w:rsid w:val="00002E58"/>
    <w:rsid w:val="00002F05"/>
    <w:rsid w:val="00002F1A"/>
    <w:rsid w:val="00002FF6"/>
    <w:rsid w:val="00003020"/>
    <w:rsid w:val="00003092"/>
    <w:rsid w:val="00003110"/>
    <w:rsid w:val="00003114"/>
    <w:rsid w:val="000031EA"/>
    <w:rsid w:val="000031F4"/>
    <w:rsid w:val="00003223"/>
    <w:rsid w:val="00003258"/>
    <w:rsid w:val="00003282"/>
    <w:rsid w:val="00003283"/>
    <w:rsid w:val="00003360"/>
    <w:rsid w:val="000033DD"/>
    <w:rsid w:val="0000340C"/>
    <w:rsid w:val="0000347D"/>
    <w:rsid w:val="00003501"/>
    <w:rsid w:val="00003503"/>
    <w:rsid w:val="0000355F"/>
    <w:rsid w:val="0000357E"/>
    <w:rsid w:val="00003587"/>
    <w:rsid w:val="000035D1"/>
    <w:rsid w:val="00003603"/>
    <w:rsid w:val="00003615"/>
    <w:rsid w:val="0000377F"/>
    <w:rsid w:val="00003794"/>
    <w:rsid w:val="0000380E"/>
    <w:rsid w:val="00003888"/>
    <w:rsid w:val="00003895"/>
    <w:rsid w:val="00003897"/>
    <w:rsid w:val="000038C7"/>
    <w:rsid w:val="000038C9"/>
    <w:rsid w:val="00003932"/>
    <w:rsid w:val="000039C6"/>
    <w:rsid w:val="000039FB"/>
    <w:rsid w:val="00003A76"/>
    <w:rsid w:val="00003AA8"/>
    <w:rsid w:val="00003AE4"/>
    <w:rsid w:val="00003B2C"/>
    <w:rsid w:val="00003CB7"/>
    <w:rsid w:val="00003D9F"/>
    <w:rsid w:val="00003DD2"/>
    <w:rsid w:val="00003DD8"/>
    <w:rsid w:val="00003DF4"/>
    <w:rsid w:val="00003E10"/>
    <w:rsid w:val="00003E25"/>
    <w:rsid w:val="00003E48"/>
    <w:rsid w:val="00003E60"/>
    <w:rsid w:val="00003ECA"/>
    <w:rsid w:val="00003EE2"/>
    <w:rsid w:val="00003F49"/>
    <w:rsid w:val="00003F98"/>
    <w:rsid w:val="000040FE"/>
    <w:rsid w:val="0000412A"/>
    <w:rsid w:val="0000417B"/>
    <w:rsid w:val="0000437D"/>
    <w:rsid w:val="0000447C"/>
    <w:rsid w:val="000044FD"/>
    <w:rsid w:val="00004576"/>
    <w:rsid w:val="0000461B"/>
    <w:rsid w:val="0000464D"/>
    <w:rsid w:val="000047D2"/>
    <w:rsid w:val="0000483C"/>
    <w:rsid w:val="00004845"/>
    <w:rsid w:val="00004861"/>
    <w:rsid w:val="000048CF"/>
    <w:rsid w:val="00004914"/>
    <w:rsid w:val="00004927"/>
    <w:rsid w:val="000049A4"/>
    <w:rsid w:val="000049D3"/>
    <w:rsid w:val="00004AA1"/>
    <w:rsid w:val="00004B39"/>
    <w:rsid w:val="00004B4E"/>
    <w:rsid w:val="00004B72"/>
    <w:rsid w:val="00004B81"/>
    <w:rsid w:val="00004C2E"/>
    <w:rsid w:val="00004CF9"/>
    <w:rsid w:val="00004D40"/>
    <w:rsid w:val="00004D4D"/>
    <w:rsid w:val="00004D71"/>
    <w:rsid w:val="00004D9B"/>
    <w:rsid w:val="00004DD4"/>
    <w:rsid w:val="00004DD5"/>
    <w:rsid w:val="00004E93"/>
    <w:rsid w:val="00004F88"/>
    <w:rsid w:val="00004FE0"/>
    <w:rsid w:val="00005073"/>
    <w:rsid w:val="000050BE"/>
    <w:rsid w:val="000050EA"/>
    <w:rsid w:val="00005155"/>
    <w:rsid w:val="0000524A"/>
    <w:rsid w:val="0000525E"/>
    <w:rsid w:val="0000528E"/>
    <w:rsid w:val="000052D5"/>
    <w:rsid w:val="000052D6"/>
    <w:rsid w:val="000052DA"/>
    <w:rsid w:val="00005307"/>
    <w:rsid w:val="0000536C"/>
    <w:rsid w:val="0000539E"/>
    <w:rsid w:val="0000546C"/>
    <w:rsid w:val="0000559E"/>
    <w:rsid w:val="00005616"/>
    <w:rsid w:val="0000569A"/>
    <w:rsid w:val="00005724"/>
    <w:rsid w:val="00005781"/>
    <w:rsid w:val="000057A0"/>
    <w:rsid w:val="000057C7"/>
    <w:rsid w:val="000057CC"/>
    <w:rsid w:val="00005926"/>
    <w:rsid w:val="00005946"/>
    <w:rsid w:val="0000594C"/>
    <w:rsid w:val="00005992"/>
    <w:rsid w:val="00005A87"/>
    <w:rsid w:val="00005AD8"/>
    <w:rsid w:val="00005AE2"/>
    <w:rsid w:val="00005AEF"/>
    <w:rsid w:val="00005BC6"/>
    <w:rsid w:val="00005C3C"/>
    <w:rsid w:val="00005C4D"/>
    <w:rsid w:val="00005C67"/>
    <w:rsid w:val="00005CD0"/>
    <w:rsid w:val="00005CDE"/>
    <w:rsid w:val="00005CE8"/>
    <w:rsid w:val="00005D37"/>
    <w:rsid w:val="00005DF0"/>
    <w:rsid w:val="00005E8E"/>
    <w:rsid w:val="00005EA4"/>
    <w:rsid w:val="00005F0A"/>
    <w:rsid w:val="00006041"/>
    <w:rsid w:val="0000607C"/>
    <w:rsid w:val="0000607F"/>
    <w:rsid w:val="00006096"/>
    <w:rsid w:val="000060D4"/>
    <w:rsid w:val="000060E9"/>
    <w:rsid w:val="000060EB"/>
    <w:rsid w:val="000060F7"/>
    <w:rsid w:val="0000614A"/>
    <w:rsid w:val="000061BE"/>
    <w:rsid w:val="00006296"/>
    <w:rsid w:val="000062A7"/>
    <w:rsid w:val="00006345"/>
    <w:rsid w:val="000063CA"/>
    <w:rsid w:val="00006433"/>
    <w:rsid w:val="00006456"/>
    <w:rsid w:val="00006459"/>
    <w:rsid w:val="0000646E"/>
    <w:rsid w:val="00006488"/>
    <w:rsid w:val="000064C8"/>
    <w:rsid w:val="000064E9"/>
    <w:rsid w:val="0000653F"/>
    <w:rsid w:val="00006541"/>
    <w:rsid w:val="0000658D"/>
    <w:rsid w:val="000065B3"/>
    <w:rsid w:val="0000665C"/>
    <w:rsid w:val="000066FC"/>
    <w:rsid w:val="0000671B"/>
    <w:rsid w:val="0000674E"/>
    <w:rsid w:val="000067DC"/>
    <w:rsid w:val="00006822"/>
    <w:rsid w:val="00006874"/>
    <w:rsid w:val="0000687A"/>
    <w:rsid w:val="000068C5"/>
    <w:rsid w:val="000068E0"/>
    <w:rsid w:val="00006AB1"/>
    <w:rsid w:val="00006B90"/>
    <w:rsid w:val="00006C58"/>
    <w:rsid w:val="00006CA0"/>
    <w:rsid w:val="00006CF1"/>
    <w:rsid w:val="00006D6F"/>
    <w:rsid w:val="00006EF9"/>
    <w:rsid w:val="00006F87"/>
    <w:rsid w:val="00006F8D"/>
    <w:rsid w:val="00006FB4"/>
    <w:rsid w:val="00006FDD"/>
    <w:rsid w:val="00006FEC"/>
    <w:rsid w:val="0000708F"/>
    <w:rsid w:val="00007096"/>
    <w:rsid w:val="00007131"/>
    <w:rsid w:val="00007142"/>
    <w:rsid w:val="000071C9"/>
    <w:rsid w:val="00007237"/>
    <w:rsid w:val="0000723F"/>
    <w:rsid w:val="00007258"/>
    <w:rsid w:val="0000728A"/>
    <w:rsid w:val="000072BE"/>
    <w:rsid w:val="000072E6"/>
    <w:rsid w:val="00007317"/>
    <w:rsid w:val="00007380"/>
    <w:rsid w:val="000073A1"/>
    <w:rsid w:val="000074E5"/>
    <w:rsid w:val="00007542"/>
    <w:rsid w:val="00007565"/>
    <w:rsid w:val="00007576"/>
    <w:rsid w:val="000075C8"/>
    <w:rsid w:val="00007652"/>
    <w:rsid w:val="00007694"/>
    <w:rsid w:val="000076C8"/>
    <w:rsid w:val="00007754"/>
    <w:rsid w:val="00007782"/>
    <w:rsid w:val="000077CF"/>
    <w:rsid w:val="00007845"/>
    <w:rsid w:val="000078AF"/>
    <w:rsid w:val="000078DE"/>
    <w:rsid w:val="000078EE"/>
    <w:rsid w:val="0000795E"/>
    <w:rsid w:val="000079D0"/>
    <w:rsid w:val="00007A18"/>
    <w:rsid w:val="00007ABE"/>
    <w:rsid w:val="00007BF2"/>
    <w:rsid w:val="00007C05"/>
    <w:rsid w:val="00007C7B"/>
    <w:rsid w:val="00007C7E"/>
    <w:rsid w:val="00007CA4"/>
    <w:rsid w:val="00007CF4"/>
    <w:rsid w:val="00007D61"/>
    <w:rsid w:val="00007E14"/>
    <w:rsid w:val="00007E49"/>
    <w:rsid w:val="00007E5A"/>
    <w:rsid w:val="00007F09"/>
    <w:rsid w:val="00007F67"/>
    <w:rsid w:val="00010082"/>
    <w:rsid w:val="00010084"/>
    <w:rsid w:val="0001015F"/>
    <w:rsid w:val="00010164"/>
    <w:rsid w:val="000101CB"/>
    <w:rsid w:val="000101EB"/>
    <w:rsid w:val="00010227"/>
    <w:rsid w:val="00010274"/>
    <w:rsid w:val="000103B5"/>
    <w:rsid w:val="00010486"/>
    <w:rsid w:val="0001048F"/>
    <w:rsid w:val="00010547"/>
    <w:rsid w:val="000105A6"/>
    <w:rsid w:val="0001061A"/>
    <w:rsid w:val="00010626"/>
    <w:rsid w:val="00010648"/>
    <w:rsid w:val="000106A7"/>
    <w:rsid w:val="000106CA"/>
    <w:rsid w:val="000106D9"/>
    <w:rsid w:val="0001075C"/>
    <w:rsid w:val="000107AA"/>
    <w:rsid w:val="000107C6"/>
    <w:rsid w:val="000107DF"/>
    <w:rsid w:val="0001080A"/>
    <w:rsid w:val="0001085B"/>
    <w:rsid w:val="000108D9"/>
    <w:rsid w:val="00010908"/>
    <w:rsid w:val="00010968"/>
    <w:rsid w:val="00010A0E"/>
    <w:rsid w:val="00010A13"/>
    <w:rsid w:val="00010A1D"/>
    <w:rsid w:val="00010A26"/>
    <w:rsid w:val="00010A39"/>
    <w:rsid w:val="00010ABF"/>
    <w:rsid w:val="00010AC4"/>
    <w:rsid w:val="00010B79"/>
    <w:rsid w:val="00010C04"/>
    <w:rsid w:val="00010C15"/>
    <w:rsid w:val="00010C21"/>
    <w:rsid w:val="00010C69"/>
    <w:rsid w:val="00010C92"/>
    <w:rsid w:val="00010CA9"/>
    <w:rsid w:val="00010D25"/>
    <w:rsid w:val="00010D70"/>
    <w:rsid w:val="00010D72"/>
    <w:rsid w:val="00010D81"/>
    <w:rsid w:val="00010DAA"/>
    <w:rsid w:val="00010E77"/>
    <w:rsid w:val="00010E7B"/>
    <w:rsid w:val="00010EC8"/>
    <w:rsid w:val="00010ECF"/>
    <w:rsid w:val="00010F56"/>
    <w:rsid w:val="00010FEA"/>
    <w:rsid w:val="0001103E"/>
    <w:rsid w:val="00011044"/>
    <w:rsid w:val="000110E5"/>
    <w:rsid w:val="00011112"/>
    <w:rsid w:val="0001115A"/>
    <w:rsid w:val="000111F8"/>
    <w:rsid w:val="00011276"/>
    <w:rsid w:val="00011280"/>
    <w:rsid w:val="0001132F"/>
    <w:rsid w:val="00011362"/>
    <w:rsid w:val="00011406"/>
    <w:rsid w:val="00011473"/>
    <w:rsid w:val="00011515"/>
    <w:rsid w:val="0001152D"/>
    <w:rsid w:val="000116F9"/>
    <w:rsid w:val="00011712"/>
    <w:rsid w:val="00011855"/>
    <w:rsid w:val="0001185B"/>
    <w:rsid w:val="000118B2"/>
    <w:rsid w:val="000118D7"/>
    <w:rsid w:val="000119A0"/>
    <w:rsid w:val="000119AE"/>
    <w:rsid w:val="000119D7"/>
    <w:rsid w:val="00011A52"/>
    <w:rsid w:val="00011A5A"/>
    <w:rsid w:val="00011B0F"/>
    <w:rsid w:val="00011B31"/>
    <w:rsid w:val="00011B9B"/>
    <w:rsid w:val="00011BCA"/>
    <w:rsid w:val="00011BF5"/>
    <w:rsid w:val="00011C30"/>
    <w:rsid w:val="00011C88"/>
    <w:rsid w:val="00011C96"/>
    <w:rsid w:val="00011CB3"/>
    <w:rsid w:val="00011D2B"/>
    <w:rsid w:val="00011D81"/>
    <w:rsid w:val="00011E21"/>
    <w:rsid w:val="00011E33"/>
    <w:rsid w:val="00011E4C"/>
    <w:rsid w:val="00011EBC"/>
    <w:rsid w:val="00011EF3"/>
    <w:rsid w:val="00011F2E"/>
    <w:rsid w:val="00011FA5"/>
    <w:rsid w:val="00012022"/>
    <w:rsid w:val="0001203A"/>
    <w:rsid w:val="00012098"/>
    <w:rsid w:val="000120C7"/>
    <w:rsid w:val="00012204"/>
    <w:rsid w:val="00012236"/>
    <w:rsid w:val="0001238B"/>
    <w:rsid w:val="000123B9"/>
    <w:rsid w:val="000123CC"/>
    <w:rsid w:val="00012410"/>
    <w:rsid w:val="0001242C"/>
    <w:rsid w:val="00012433"/>
    <w:rsid w:val="0001248B"/>
    <w:rsid w:val="000124A8"/>
    <w:rsid w:val="000125E9"/>
    <w:rsid w:val="000126D5"/>
    <w:rsid w:val="000126FC"/>
    <w:rsid w:val="00012708"/>
    <w:rsid w:val="000127AE"/>
    <w:rsid w:val="000127BB"/>
    <w:rsid w:val="000127C4"/>
    <w:rsid w:val="000127CF"/>
    <w:rsid w:val="00012834"/>
    <w:rsid w:val="00012842"/>
    <w:rsid w:val="00012846"/>
    <w:rsid w:val="0001287D"/>
    <w:rsid w:val="0001289B"/>
    <w:rsid w:val="000128A8"/>
    <w:rsid w:val="000128B7"/>
    <w:rsid w:val="000128FC"/>
    <w:rsid w:val="00012978"/>
    <w:rsid w:val="00012987"/>
    <w:rsid w:val="000129B4"/>
    <w:rsid w:val="00012A9B"/>
    <w:rsid w:val="00012AE5"/>
    <w:rsid w:val="00012C01"/>
    <w:rsid w:val="00012C06"/>
    <w:rsid w:val="00012C0D"/>
    <w:rsid w:val="00012C3F"/>
    <w:rsid w:val="00012CA7"/>
    <w:rsid w:val="00012E06"/>
    <w:rsid w:val="00012E15"/>
    <w:rsid w:val="00012E52"/>
    <w:rsid w:val="00012E5C"/>
    <w:rsid w:val="00012E60"/>
    <w:rsid w:val="00012E97"/>
    <w:rsid w:val="00012EA3"/>
    <w:rsid w:val="00012FB9"/>
    <w:rsid w:val="0001300F"/>
    <w:rsid w:val="00013024"/>
    <w:rsid w:val="00013073"/>
    <w:rsid w:val="0001308B"/>
    <w:rsid w:val="000130A2"/>
    <w:rsid w:val="000130AC"/>
    <w:rsid w:val="000130D7"/>
    <w:rsid w:val="00013162"/>
    <w:rsid w:val="000131AE"/>
    <w:rsid w:val="000131BA"/>
    <w:rsid w:val="000131DB"/>
    <w:rsid w:val="000133B4"/>
    <w:rsid w:val="00013464"/>
    <w:rsid w:val="000135C8"/>
    <w:rsid w:val="000135F6"/>
    <w:rsid w:val="000136E4"/>
    <w:rsid w:val="000136F2"/>
    <w:rsid w:val="0001371C"/>
    <w:rsid w:val="00013787"/>
    <w:rsid w:val="000137F2"/>
    <w:rsid w:val="0001380A"/>
    <w:rsid w:val="00013830"/>
    <w:rsid w:val="00013841"/>
    <w:rsid w:val="00013846"/>
    <w:rsid w:val="00013891"/>
    <w:rsid w:val="000138BD"/>
    <w:rsid w:val="00013950"/>
    <w:rsid w:val="00013968"/>
    <w:rsid w:val="000139D3"/>
    <w:rsid w:val="00013A54"/>
    <w:rsid w:val="00013AF5"/>
    <w:rsid w:val="00013B19"/>
    <w:rsid w:val="00013B79"/>
    <w:rsid w:val="00013B99"/>
    <w:rsid w:val="00013C23"/>
    <w:rsid w:val="00013C4A"/>
    <w:rsid w:val="00013CD5"/>
    <w:rsid w:val="00013D2B"/>
    <w:rsid w:val="00013D48"/>
    <w:rsid w:val="00013D6A"/>
    <w:rsid w:val="00013DF9"/>
    <w:rsid w:val="00013E45"/>
    <w:rsid w:val="00013E74"/>
    <w:rsid w:val="00013E83"/>
    <w:rsid w:val="00013E8C"/>
    <w:rsid w:val="00013F40"/>
    <w:rsid w:val="00014034"/>
    <w:rsid w:val="0001407B"/>
    <w:rsid w:val="0001410F"/>
    <w:rsid w:val="00014130"/>
    <w:rsid w:val="00014133"/>
    <w:rsid w:val="0001419A"/>
    <w:rsid w:val="0001427B"/>
    <w:rsid w:val="00014289"/>
    <w:rsid w:val="000142C0"/>
    <w:rsid w:val="000142DC"/>
    <w:rsid w:val="0001433B"/>
    <w:rsid w:val="000143B4"/>
    <w:rsid w:val="00014416"/>
    <w:rsid w:val="0001443B"/>
    <w:rsid w:val="00014466"/>
    <w:rsid w:val="0001454D"/>
    <w:rsid w:val="00014564"/>
    <w:rsid w:val="0001460E"/>
    <w:rsid w:val="00014662"/>
    <w:rsid w:val="00014733"/>
    <w:rsid w:val="000147DB"/>
    <w:rsid w:val="00014825"/>
    <w:rsid w:val="000148A1"/>
    <w:rsid w:val="00014988"/>
    <w:rsid w:val="00014A0F"/>
    <w:rsid w:val="00014A2C"/>
    <w:rsid w:val="00014A88"/>
    <w:rsid w:val="00014A95"/>
    <w:rsid w:val="00014AF3"/>
    <w:rsid w:val="00014B3A"/>
    <w:rsid w:val="00014B57"/>
    <w:rsid w:val="00014B8A"/>
    <w:rsid w:val="00014BAD"/>
    <w:rsid w:val="00014D11"/>
    <w:rsid w:val="00014D2D"/>
    <w:rsid w:val="00014D81"/>
    <w:rsid w:val="00014D9B"/>
    <w:rsid w:val="00014F16"/>
    <w:rsid w:val="00014FE2"/>
    <w:rsid w:val="00015040"/>
    <w:rsid w:val="00015151"/>
    <w:rsid w:val="00015153"/>
    <w:rsid w:val="000151A6"/>
    <w:rsid w:val="000151C3"/>
    <w:rsid w:val="000151C5"/>
    <w:rsid w:val="000151E7"/>
    <w:rsid w:val="00015231"/>
    <w:rsid w:val="00015244"/>
    <w:rsid w:val="000152AA"/>
    <w:rsid w:val="000152B3"/>
    <w:rsid w:val="000152CA"/>
    <w:rsid w:val="000152EC"/>
    <w:rsid w:val="00015361"/>
    <w:rsid w:val="0001541A"/>
    <w:rsid w:val="0001546B"/>
    <w:rsid w:val="00015575"/>
    <w:rsid w:val="00015578"/>
    <w:rsid w:val="00015587"/>
    <w:rsid w:val="000155CF"/>
    <w:rsid w:val="000156E3"/>
    <w:rsid w:val="00015705"/>
    <w:rsid w:val="0001574B"/>
    <w:rsid w:val="00015798"/>
    <w:rsid w:val="00015827"/>
    <w:rsid w:val="00015887"/>
    <w:rsid w:val="00015937"/>
    <w:rsid w:val="000159A2"/>
    <w:rsid w:val="000159B1"/>
    <w:rsid w:val="00015A81"/>
    <w:rsid w:val="00015A87"/>
    <w:rsid w:val="00015AB7"/>
    <w:rsid w:val="00015B42"/>
    <w:rsid w:val="00015B62"/>
    <w:rsid w:val="00015B77"/>
    <w:rsid w:val="00015BEC"/>
    <w:rsid w:val="00015BED"/>
    <w:rsid w:val="00015C54"/>
    <w:rsid w:val="00015C8E"/>
    <w:rsid w:val="00015D3C"/>
    <w:rsid w:val="00015D84"/>
    <w:rsid w:val="00015DE0"/>
    <w:rsid w:val="00015E11"/>
    <w:rsid w:val="00015E1F"/>
    <w:rsid w:val="00015E61"/>
    <w:rsid w:val="00015E73"/>
    <w:rsid w:val="00015E7F"/>
    <w:rsid w:val="00015EA8"/>
    <w:rsid w:val="00015F01"/>
    <w:rsid w:val="00015F08"/>
    <w:rsid w:val="00015FC1"/>
    <w:rsid w:val="00016011"/>
    <w:rsid w:val="00016051"/>
    <w:rsid w:val="00016069"/>
    <w:rsid w:val="00016074"/>
    <w:rsid w:val="00016077"/>
    <w:rsid w:val="000160EF"/>
    <w:rsid w:val="000160F6"/>
    <w:rsid w:val="0001614A"/>
    <w:rsid w:val="00016157"/>
    <w:rsid w:val="00016171"/>
    <w:rsid w:val="000161E5"/>
    <w:rsid w:val="00016248"/>
    <w:rsid w:val="00016264"/>
    <w:rsid w:val="00016343"/>
    <w:rsid w:val="00016365"/>
    <w:rsid w:val="00016373"/>
    <w:rsid w:val="000164AC"/>
    <w:rsid w:val="000164E8"/>
    <w:rsid w:val="0001652E"/>
    <w:rsid w:val="000165AA"/>
    <w:rsid w:val="000165F1"/>
    <w:rsid w:val="000165FC"/>
    <w:rsid w:val="00016642"/>
    <w:rsid w:val="0001668A"/>
    <w:rsid w:val="000166D8"/>
    <w:rsid w:val="00016763"/>
    <w:rsid w:val="000167A8"/>
    <w:rsid w:val="000167DF"/>
    <w:rsid w:val="0001682E"/>
    <w:rsid w:val="00016870"/>
    <w:rsid w:val="00016937"/>
    <w:rsid w:val="0001694D"/>
    <w:rsid w:val="00016951"/>
    <w:rsid w:val="00016967"/>
    <w:rsid w:val="000169A6"/>
    <w:rsid w:val="000169BC"/>
    <w:rsid w:val="000169C3"/>
    <w:rsid w:val="000169EE"/>
    <w:rsid w:val="00016AF3"/>
    <w:rsid w:val="00016B4B"/>
    <w:rsid w:val="00016B61"/>
    <w:rsid w:val="00016D9A"/>
    <w:rsid w:val="00016DD3"/>
    <w:rsid w:val="00016E00"/>
    <w:rsid w:val="00016E89"/>
    <w:rsid w:val="00016F52"/>
    <w:rsid w:val="00016F57"/>
    <w:rsid w:val="00016F5F"/>
    <w:rsid w:val="00016F72"/>
    <w:rsid w:val="00017058"/>
    <w:rsid w:val="0001707A"/>
    <w:rsid w:val="000170A4"/>
    <w:rsid w:val="000170CB"/>
    <w:rsid w:val="000170CF"/>
    <w:rsid w:val="00017100"/>
    <w:rsid w:val="0001713B"/>
    <w:rsid w:val="000171D4"/>
    <w:rsid w:val="0001727B"/>
    <w:rsid w:val="000172A3"/>
    <w:rsid w:val="00017332"/>
    <w:rsid w:val="0001736F"/>
    <w:rsid w:val="00017532"/>
    <w:rsid w:val="0001753A"/>
    <w:rsid w:val="000176E3"/>
    <w:rsid w:val="00017707"/>
    <w:rsid w:val="00017717"/>
    <w:rsid w:val="00017752"/>
    <w:rsid w:val="0001778C"/>
    <w:rsid w:val="000177DC"/>
    <w:rsid w:val="00017850"/>
    <w:rsid w:val="000178A0"/>
    <w:rsid w:val="00017969"/>
    <w:rsid w:val="000179A8"/>
    <w:rsid w:val="00017A96"/>
    <w:rsid w:val="00017B34"/>
    <w:rsid w:val="00017B92"/>
    <w:rsid w:val="00017C46"/>
    <w:rsid w:val="00017C6D"/>
    <w:rsid w:val="00017C7D"/>
    <w:rsid w:val="00017D45"/>
    <w:rsid w:val="00017DDD"/>
    <w:rsid w:val="00017E76"/>
    <w:rsid w:val="00017E9F"/>
    <w:rsid w:val="00017EC9"/>
    <w:rsid w:val="00017ED4"/>
    <w:rsid w:val="00017EE7"/>
    <w:rsid w:val="00017FE6"/>
    <w:rsid w:val="000200D1"/>
    <w:rsid w:val="00020144"/>
    <w:rsid w:val="00020148"/>
    <w:rsid w:val="00020171"/>
    <w:rsid w:val="00020176"/>
    <w:rsid w:val="00020181"/>
    <w:rsid w:val="0002019B"/>
    <w:rsid w:val="000201E7"/>
    <w:rsid w:val="0002049F"/>
    <w:rsid w:val="000204A2"/>
    <w:rsid w:val="000204AB"/>
    <w:rsid w:val="000205EE"/>
    <w:rsid w:val="00020633"/>
    <w:rsid w:val="0002065E"/>
    <w:rsid w:val="0002066D"/>
    <w:rsid w:val="00020685"/>
    <w:rsid w:val="000206F9"/>
    <w:rsid w:val="00020761"/>
    <w:rsid w:val="000207DB"/>
    <w:rsid w:val="000207EA"/>
    <w:rsid w:val="00020824"/>
    <w:rsid w:val="0002082B"/>
    <w:rsid w:val="00020856"/>
    <w:rsid w:val="00020891"/>
    <w:rsid w:val="000208A3"/>
    <w:rsid w:val="000208AB"/>
    <w:rsid w:val="0002091F"/>
    <w:rsid w:val="0002098A"/>
    <w:rsid w:val="000209FA"/>
    <w:rsid w:val="00020ABA"/>
    <w:rsid w:val="00020AC7"/>
    <w:rsid w:val="00020B87"/>
    <w:rsid w:val="00020BF5"/>
    <w:rsid w:val="00020BF9"/>
    <w:rsid w:val="00020C4A"/>
    <w:rsid w:val="00020C5C"/>
    <w:rsid w:val="00020C70"/>
    <w:rsid w:val="00020CF1"/>
    <w:rsid w:val="00020E54"/>
    <w:rsid w:val="00020EB0"/>
    <w:rsid w:val="00020ECF"/>
    <w:rsid w:val="00020FFC"/>
    <w:rsid w:val="00021015"/>
    <w:rsid w:val="00021117"/>
    <w:rsid w:val="00021219"/>
    <w:rsid w:val="0002127A"/>
    <w:rsid w:val="00021341"/>
    <w:rsid w:val="000213A4"/>
    <w:rsid w:val="0002141E"/>
    <w:rsid w:val="0002146D"/>
    <w:rsid w:val="0002149D"/>
    <w:rsid w:val="000214BD"/>
    <w:rsid w:val="00021509"/>
    <w:rsid w:val="00021533"/>
    <w:rsid w:val="00021569"/>
    <w:rsid w:val="0002158E"/>
    <w:rsid w:val="000215AF"/>
    <w:rsid w:val="000215F8"/>
    <w:rsid w:val="0002168F"/>
    <w:rsid w:val="00021755"/>
    <w:rsid w:val="000217FB"/>
    <w:rsid w:val="0002199E"/>
    <w:rsid w:val="000219DE"/>
    <w:rsid w:val="000219F2"/>
    <w:rsid w:val="00021AC4"/>
    <w:rsid w:val="00021B0B"/>
    <w:rsid w:val="00021B1E"/>
    <w:rsid w:val="00021B42"/>
    <w:rsid w:val="00021B6E"/>
    <w:rsid w:val="00021C6E"/>
    <w:rsid w:val="00021DE5"/>
    <w:rsid w:val="00021E5C"/>
    <w:rsid w:val="00021E65"/>
    <w:rsid w:val="00021ED3"/>
    <w:rsid w:val="00021F75"/>
    <w:rsid w:val="00021FB3"/>
    <w:rsid w:val="0002202D"/>
    <w:rsid w:val="0002214F"/>
    <w:rsid w:val="00022229"/>
    <w:rsid w:val="00022234"/>
    <w:rsid w:val="000222D7"/>
    <w:rsid w:val="00022447"/>
    <w:rsid w:val="0002246D"/>
    <w:rsid w:val="00022511"/>
    <w:rsid w:val="00022519"/>
    <w:rsid w:val="00022587"/>
    <w:rsid w:val="000225A4"/>
    <w:rsid w:val="000225A5"/>
    <w:rsid w:val="000225C5"/>
    <w:rsid w:val="000225DA"/>
    <w:rsid w:val="00022604"/>
    <w:rsid w:val="00022626"/>
    <w:rsid w:val="00022683"/>
    <w:rsid w:val="000226F4"/>
    <w:rsid w:val="00022706"/>
    <w:rsid w:val="000227C1"/>
    <w:rsid w:val="00022935"/>
    <w:rsid w:val="000229AA"/>
    <w:rsid w:val="000229B5"/>
    <w:rsid w:val="000229C2"/>
    <w:rsid w:val="000229C9"/>
    <w:rsid w:val="00022A05"/>
    <w:rsid w:val="00022AA0"/>
    <w:rsid w:val="00022AC8"/>
    <w:rsid w:val="00022AE1"/>
    <w:rsid w:val="00022B83"/>
    <w:rsid w:val="00022B84"/>
    <w:rsid w:val="00022B97"/>
    <w:rsid w:val="00022C7B"/>
    <w:rsid w:val="00022CB8"/>
    <w:rsid w:val="00022CFC"/>
    <w:rsid w:val="00022D8A"/>
    <w:rsid w:val="00022D8C"/>
    <w:rsid w:val="00022D93"/>
    <w:rsid w:val="00022D9D"/>
    <w:rsid w:val="00022E56"/>
    <w:rsid w:val="00022E70"/>
    <w:rsid w:val="00022EDC"/>
    <w:rsid w:val="00022EFA"/>
    <w:rsid w:val="00022EFE"/>
    <w:rsid w:val="00022F34"/>
    <w:rsid w:val="00022F3D"/>
    <w:rsid w:val="00022F48"/>
    <w:rsid w:val="00022FAF"/>
    <w:rsid w:val="00022FD2"/>
    <w:rsid w:val="00023076"/>
    <w:rsid w:val="000230CC"/>
    <w:rsid w:val="000231B5"/>
    <w:rsid w:val="0002321B"/>
    <w:rsid w:val="00023227"/>
    <w:rsid w:val="000232B1"/>
    <w:rsid w:val="000232EB"/>
    <w:rsid w:val="00023337"/>
    <w:rsid w:val="00023349"/>
    <w:rsid w:val="000233CB"/>
    <w:rsid w:val="00023508"/>
    <w:rsid w:val="00023625"/>
    <w:rsid w:val="000236B8"/>
    <w:rsid w:val="0002371B"/>
    <w:rsid w:val="0002373F"/>
    <w:rsid w:val="0002375E"/>
    <w:rsid w:val="0002388C"/>
    <w:rsid w:val="0002395C"/>
    <w:rsid w:val="000239C2"/>
    <w:rsid w:val="00023A12"/>
    <w:rsid w:val="00023A29"/>
    <w:rsid w:val="00023A78"/>
    <w:rsid w:val="00023AA5"/>
    <w:rsid w:val="00023AB9"/>
    <w:rsid w:val="00023ABF"/>
    <w:rsid w:val="00023AD9"/>
    <w:rsid w:val="00023B6E"/>
    <w:rsid w:val="00023BAB"/>
    <w:rsid w:val="00023C7A"/>
    <w:rsid w:val="00023CC8"/>
    <w:rsid w:val="00023CE8"/>
    <w:rsid w:val="00023D1B"/>
    <w:rsid w:val="00023D32"/>
    <w:rsid w:val="00023D45"/>
    <w:rsid w:val="00023D55"/>
    <w:rsid w:val="00023D56"/>
    <w:rsid w:val="00023DEB"/>
    <w:rsid w:val="00023DF8"/>
    <w:rsid w:val="00023E5E"/>
    <w:rsid w:val="00023E6D"/>
    <w:rsid w:val="00023E8E"/>
    <w:rsid w:val="00023F00"/>
    <w:rsid w:val="00023F73"/>
    <w:rsid w:val="00023FDB"/>
    <w:rsid w:val="00023FF3"/>
    <w:rsid w:val="00023FFA"/>
    <w:rsid w:val="00024015"/>
    <w:rsid w:val="0002409A"/>
    <w:rsid w:val="000240F9"/>
    <w:rsid w:val="00024117"/>
    <w:rsid w:val="00024119"/>
    <w:rsid w:val="00024155"/>
    <w:rsid w:val="0002419B"/>
    <w:rsid w:val="0002421C"/>
    <w:rsid w:val="0002422E"/>
    <w:rsid w:val="0002425C"/>
    <w:rsid w:val="00024406"/>
    <w:rsid w:val="000244F5"/>
    <w:rsid w:val="000246A4"/>
    <w:rsid w:val="00024724"/>
    <w:rsid w:val="00024797"/>
    <w:rsid w:val="00024799"/>
    <w:rsid w:val="0002481E"/>
    <w:rsid w:val="0002492D"/>
    <w:rsid w:val="000249CD"/>
    <w:rsid w:val="000249DD"/>
    <w:rsid w:val="000249E0"/>
    <w:rsid w:val="00024A18"/>
    <w:rsid w:val="00024AEA"/>
    <w:rsid w:val="00024D20"/>
    <w:rsid w:val="00024E63"/>
    <w:rsid w:val="00024ED4"/>
    <w:rsid w:val="00024F04"/>
    <w:rsid w:val="00024F09"/>
    <w:rsid w:val="00024F3A"/>
    <w:rsid w:val="0002503B"/>
    <w:rsid w:val="00025048"/>
    <w:rsid w:val="00025066"/>
    <w:rsid w:val="00025120"/>
    <w:rsid w:val="0002512F"/>
    <w:rsid w:val="0002518F"/>
    <w:rsid w:val="0002531D"/>
    <w:rsid w:val="00025369"/>
    <w:rsid w:val="000253C3"/>
    <w:rsid w:val="000254C5"/>
    <w:rsid w:val="000255C9"/>
    <w:rsid w:val="0002568D"/>
    <w:rsid w:val="000256F0"/>
    <w:rsid w:val="00025819"/>
    <w:rsid w:val="00025831"/>
    <w:rsid w:val="0002585F"/>
    <w:rsid w:val="0002590D"/>
    <w:rsid w:val="00025949"/>
    <w:rsid w:val="00025AA9"/>
    <w:rsid w:val="00025AE9"/>
    <w:rsid w:val="00025C3D"/>
    <w:rsid w:val="00025CAB"/>
    <w:rsid w:val="00025CCC"/>
    <w:rsid w:val="00025D8C"/>
    <w:rsid w:val="00025DB8"/>
    <w:rsid w:val="00025DEE"/>
    <w:rsid w:val="00025E10"/>
    <w:rsid w:val="00025E91"/>
    <w:rsid w:val="00025EBB"/>
    <w:rsid w:val="00025F10"/>
    <w:rsid w:val="00025F2C"/>
    <w:rsid w:val="00026045"/>
    <w:rsid w:val="00026051"/>
    <w:rsid w:val="000260DF"/>
    <w:rsid w:val="00026199"/>
    <w:rsid w:val="0002622B"/>
    <w:rsid w:val="0002624F"/>
    <w:rsid w:val="000262B6"/>
    <w:rsid w:val="00026363"/>
    <w:rsid w:val="000263AB"/>
    <w:rsid w:val="000263D8"/>
    <w:rsid w:val="0002643F"/>
    <w:rsid w:val="00026486"/>
    <w:rsid w:val="000265C1"/>
    <w:rsid w:val="000265DD"/>
    <w:rsid w:val="00026680"/>
    <w:rsid w:val="00026693"/>
    <w:rsid w:val="00026704"/>
    <w:rsid w:val="000267BC"/>
    <w:rsid w:val="000267E8"/>
    <w:rsid w:val="000267F4"/>
    <w:rsid w:val="00026843"/>
    <w:rsid w:val="00026857"/>
    <w:rsid w:val="0002685A"/>
    <w:rsid w:val="000268A7"/>
    <w:rsid w:val="000268C6"/>
    <w:rsid w:val="0002696E"/>
    <w:rsid w:val="000269A6"/>
    <w:rsid w:val="000269CC"/>
    <w:rsid w:val="000269D7"/>
    <w:rsid w:val="00026A2D"/>
    <w:rsid w:val="00026A65"/>
    <w:rsid w:val="00026AEB"/>
    <w:rsid w:val="00026B46"/>
    <w:rsid w:val="00026B51"/>
    <w:rsid w:val="00026B8B"/>
    <w:rsid w:val="00026BF0"/>
    <w:rsid w:val="00026C7A"/>
    <w:rsid w:val="00026CC4"/>
    <w:rsid w:val="00026CE7"/>
    <w:rsid w:val="00026D10"/>
    <w:rsid w:val="00026D1D"/>
    <w:rsid w:val="00026D1E"/>
    <w:rsid w:val="00026D54"/>
    <w:rsid w:val="00026D55"/>
    <w:rsid w:val="00026DDA"/>
    <w:rsid w:val="00026E08"/>
    <w:rsid w:val="00026EA2"/>
    <w:rsid w:val="00026FFD"/>
    <w:rsid w:val="00027011"/>
    <w:rsid w:val="00027089"/>
    <w:rsid w:val="0002709B"/>
    <w:rsid w:val="000270DF"/>
    <w:rsid w:val="00027101"/>
    <w:rsid w:val="00027133"/>
    <w:rsid w:val="000271A4"/>
    <w:rsid w:val="000271AF"/>
    <w:rsid w:val="000271D8"/>
    <w:rsid w:val="0002721E"/>
    <w:rsid w:val="000272EF"/>
    <w:rsid w:val="0002735E"/>
    <w:rsid w:val="000273CB"/>
    <w:rsid w:val="000273DF"/>
    <w:rsid w:val="000273E5"/>
    <w:rsid w:val="000273F5"/>
    <w:rsid w:val="00027460"/>
    <w:rsid w:val="0002746A"/>
    <w:rsid w:val="000274BF"/>
    <w:rsid w:val="0002751D"/>
    <w:rsid w:val="000275BA"/>
    <w:rsid w:val="000275F2"/>
    <w:rsid w:val="000275FE"/>
    <w:rsid w:val="0002767B"/>
    <w:rsid w:val="00027688"/>
    <w:rsid w:val="000276BB"/>
    <w:rsid w:val="000276C9"/>
    <w:rsid w:val="000276CF"/>
    <w:rsid w:val="0002772E"/>
    <w:rsid w:val="00027768"/>
    <w:rsid w:val="00027782"/>
    <w:rsid w:val="0002778C"/>
    <w:rsid w:val="000277F2"/>
    <w:rsid w:val="0002780C"/>
    <w:rsid w:val="000278CD"/>
    <w:rsid w:val="00027909"/>
    <w:rsid w:val="00027974"/>
    <w:rsid w:val="0002797C"/>
    <w:rsid w:val="00027987"/>
    <w:rsid w:val="000279EF"/>
    <w:rsid w:val="00027A79"/>
    <w:rsid w:val="00027AFC"/>
    <w:rsid w:val="00027B46"/>
    <w:rsid w:val="00027B86"/>
    <w:rsid w:val="00027BEB"/>
    <w:rsid w:val="00027BED"/>
    <w:rsid w:val="00027C2C"/>
    <w:rsid w:val="00027C44"/>
    <w:rsid w:val="00027C61"/>
    <w:rsid w:val="00027CAD"/>
    <w:rsid w:val="00027D06"/>
    <w:rsid w:val="00027E46"/>
    <w:rsid w:val="00027ED7"/>
    <w:rsid w:val="00027F33"/>
    <w:rsid w:val="00027F49"/>
    <w:rsid w:val="00027F4C"/>
    <w:rsid w:val="00027F59"/>
    <w:rsid w:val="00027FC0"/>
    <w:rsid w:val="00027FCC"/>
    <w:rsid w:val="0003006F"/>
    <w:rsid w:val="00030138"/>
    <w:rsid w:val="00030141"/>
    <w:rsid w:val="000301A0"/>
    <w:rsid w:val="000302B8"/>
    <w:rsid w:val="000302C6"/>
    <w:rsid w:val="000302DD"/>
    <w:rsid w:val="0003043C"/>
    <w:rsid w:val="0003043E"/>
    <w:rsid w:val="0003046B"/>
    <w:rsid w:val="000304E6"/>
    <w:rsid w:val="000304F0"/>
    <w:rsid w:val="00030570"/>
    <w:rsid w:val="00030571"/>
    <w:rsid w:val="00030577"/>
    <w:rsid w:val="000305BE"/>
    <w:rsid w:val="000305DF"/>
    <w:rsid w:val="0003066C"/>
    <w:rsid w:val="00030679"/>
    <w:rsid w:val="000306A9"/>
    <w:rsid w:val="000306AD"/>
    <w:rsid w:val="000307B2"/>
    <w:rsid w:val="00030844"/>
    <w:rsid w:val="0003090E"/>
    <w:rsid w:val="000309C8"/>
    <w:rsid w:val="00030B53"/>
    <w:rsid w:val="00030B57"/>
    <w:rsid w:val="00030BB9"/>
    <w:rsid w:val="00030BE5"/>
    <w:rsid w:val="00030BE8"/>
    <w:rsid w:val="00030BF9"/>
    <w:rsid w:val="00030C4A"/>
    <w:rsid w:val="00030D09"/>
    <w:rsid w:val="00030D2D"/>
    <w:rsid w:val="00030D5B"/>
    <w:rsid w:val="00030D93"/>
    <w:rsid w:val="00030DCC"/>
    <w:rsid w:val="00030E0F"/>
    <w:rsid w:val="00030E57"/>
    <w:rsid w:val="00030E8F"/>
    <w:rsid w:val="00030E90"/>
    <w:rsid w:val="00030EC4"/>
    <w:rsid w:val="00030F01"/>
    <w:rsid w:val="00030FBD"/>
    <w:rsid w:val="00031053"/>
    <w:rsid w:val="00031059"/>
    <w:rsid w:val="00031205"/>
    <w:rsid w:val="00031209"/>
    <w:rsid w:val="00031241"/>
    <w:rsid w:val="000312B6"/>
    <w:rsid w:val="000312C5"/>
    <w:rsid w:val="00031315"/>
    <w:rsid w:val="0003134F"/>
    <w:rsid w:val="0003141A"/>
    <w:rsid w:val="0003141B"/>
    <w:rsid w:val="0003145E"/>
    <w:rsid w:val="00031541"/>
    <w:rsid w:val="00031542"/>
    <w:rsid w:val="0003157C"/>
    <w:rsid w:val="000315A9"/>
    <w:rsid w:val="000316A4"/>
    <w:rsid w:val="000316AD"/>
    <w:rsid w:val="000316BA"/>
    <w:rsid w:val="000316FA"/>
    <w:rsid w:val="000316FB"/>
    <w:rsid w:val="00031713"/>
    <w:rsid w:val="00031728"/>
    <w:rsid w:val="000317F5"/>
    <w:rsid w:val="00031813"/>
    <w:rsid w:val="00031858"/>
    <w:rsid w:val="00031891"/>
    <w:rsid w:val="000318C9"/>
    <w:rsid w:val="000318D8"/>
    <w:rsid w:val="000318EC"/>
    <w:rsid w:val="00031910"/>
    <w:rsid w:val="00031917"/>
    <w:rsid w:val="0003191B"/>
    <w:rsid w:val="0003193A"/>
    <w:rsid w:val="000319B4"/>
    <w:rsid w:val="000319BE"/>
    <w:rsid w:val="000319E0"/>
    <w:rsid w:val="00031A98"/>
    <w:rsid w:val="00031AF9"/>
    <w:rsid w:val="00031BC4"/>
    <w:rsid w:val="00031C89"/>
    <w:rsid w:val="00031C9F"/>
    <w:rsid w:val="00031D1B"/>
    <w:rsid w:val="00031DAF"/>
    <w:rsid w:val="00031DF3"/>
    <w:rsid w:val="00031E61"/>
    <w:rsid w:val="00031E9D"/>
    <w:rsid w:val="0003209A"/>
    <w:rsid w:val="000320BF"/>
    <w:rsid w:val="0003212F"/>
    <w:rsid w:val="0003214E"/>
    <w:rsid w:val="000321D9"/>
    <w:rsid w:val="000321E2"/>
    <w:rsid w:val="0003220F"/>
    <w:rsid w:val="0003221C"/>
    <w:rsid w:val="0003234E"/>
    <w:rsid w:val="000323D7"/>
    <w:rsid w:val="0003245F"/>
    <w:rsid w:val="0003251A"/>
    <w:rsid w:val="00032571"/>
    <w:rsid w:val="000325A6"/>
    <w:rsid w:val="0003260D"/>
    <w:rsid w:val="0003263C"/>
    <w:rsid w:val="0003263E"/>
    <w:rsid w:val="00032643"/>
    <w:rsid w:val="00032672"/>
    <w:rsid w:val="0003271B"/>
    <w:rsid w:val="0003274B"/>
    <w:rsid w:val="000327E6"/>
    <w:rsid w:val="00032876"/>
    <w:rsid w:val="00032968"/>
    <w:rsid w:val="0003298D"/>
    <w:rsid w:val="00032998"/>
    <w:rsid w:val="000329BB"/>
    <w:rsid w:val="00032A52"/>
    <w:rsid w:val="00032A76"/>
    <w:rsid w:val="00032AA0"/>
    <w:rsid w:val="00032AFC"/>
    <w:rsid w:val="00032C1E"/>
    <w:rsid w:val="00032C24"/>
    <w:rsid w:val="00032C51"/>
    <w:rsid w:val="00032CFD"/>
    <w:rsid w:val="00032D67"/>
    <w:rsid w:val="00032DA9"/>
    <w:rsid w:val="00032DDD"/>
    <w:rsid w:val="00032E2C"/>
    <w:rsid w:val="00032EE5"/>
    <w:rsid w:val="00032F22"/>
    <w:rsid w:val="00032F93"/>
    <w:rsid w:val="00033013"/>
    <w:rsid w:val="00033085"/>
    <w:rsid w:val="000330C1"/>
    <w:rsid w:val="000331D8"/>
    <w:rsid w:val="000331E6"/>
    <w:rsid w:val="000332B2"/>
    <w:rsid w:val="0003336C"/>
    <w:rsid w:val="000333C4"/>
    <w:rsid w:val="000333E7"/>
    <w:rsid w:val="0003342F"/>
    <w:rsid w:val="00033439"/>
    <w:rsid w:val="00033501"/>
    <w:rsid w:val="0003351D"/>
    <w:rsid w:val="0003354A"/>
    <w:rsid w:val="000335A7"/>
    <w:rsid w:val="000335B4"/>
    <w:rsid w:val="000335B5"/>
    <w:rsid w:val="000335C7"/>
    <w:rsid w:val="00033631"/>
    <w:rsid w:val="00033641"/>
    <w:rsid w:val="0003368A"/>
    <w:rsid w:val="0003371F"/>
    <w:rsid w:val="000337CE"/>
    <w:rsid w:val="00033852"/>
    <w:rsid w:val="000338CE"/>
    <w:rsid w:val="000338F1"/>
    <w:rsid w:val="00033915"/>
    <w:rsid w:val="0003396A"/>
    <w:rsid w:val="00033975"/>
    <w:rsid w:val="000339C5"/>
    <w:rsid w:val="00033A34"/>
    <w:rsid w:val="00033B01"/>
    <w:rsid w:val="00033B21"/>
    <w:rsid w:val="00033B34"/>
    <w:rsid w:val="00033B57"/>
    <w:rsid w:val="00033C74"/>
    <w:rsid w:val="00033D3D"/>
    <w:rsid w:val="00033E02"/>
    <w:rsid w:val="00033E0D"/>
    <w:rsid w:val="00033E6F"/>
    <w:rsid w:val="00033F0E"/>
    <w:rsid w:val="00033FF0"/>
    <w:rsid w:val="00034008"/>
    <w:rsid w:val="00034028"/>
    <w:rsid w:val="00034067"/>
    <w:rsid w:val="000340A0"/>
    <w:rsid w:val="000340E2"/>
    <w:rsid w:val="000340F2"/>
    <w:rsid w:val="000340FD"/>
    <w:rsid w:val="0003416D"/>
    <w:rsid w:val="000341E2"/>
    <w:rsid w:val="000342DC"/>
    <w:rsid w:val="000342F9"/>
    <w:rsid w:val="00034327"/>
    <w:rsid w:val="00034346"/>
    <w:rsid w:val="000343C1"/>
    <w:rsid w:val="0003440F"/>
    <w:rsid w:val="000344A1"/>
    <w:rsid w:val="000344D1"/>
    <w:rsid w:val="00034543"/>
    <w:rsid w:val="00034671"/>
    <w:rsid w:val="00034673"/>
    <w:rsid w:val="00034681"/>
    <w:rsid w:val="0003477F"/>
    <w:rsid w:val="000347BC"/>
    <w:rsid w:val="00034806"/>
    <w:rsid w:val="00034897"/>
    <w:rsid w:val="000348E2"/>
    <w:rsid w:val="000349D9"/>
    <w:rsid w:val="000349EC"/>
    <w:rsid w:val="00034A24"/>
    <w:rsid w:val="00034A60"/>
    <w:rsid w:val="00034A8A"/>
    <w:rsid w:val="00034AF5"/>
    <w:rsid w:val="00034B15"/>
    <w:rsid w:val="00034C56"/>
    <w:rsid w:val="00034CEE"/>
    <w:rsid w:val="00034D26"/>
    <w:rsid w:val="00034D74"/>
    <w:rsid w:val="00034D85"/>
    <w:rsid w:val="00034D97"/>
    <w:rsid w:val="00034EDB"/>
    <w:rsid w:val="00034FAF"/>
    <w:rsid w:val="0003501F"/>
    <w:rsid w:val="00035090"/>
    <w:rsid w:val="0003518D"/>
    <w:rsid w:val="0003519F"/>
    <w:rsid w:val="00035203"/>
    <w:rsid w:val="0003526F"/>
    <w:rsid w:val="000352C5"/>
    <w:rsid w:val="000352DC"/>
    <w:rsid w:val="000352F1"/>
    <w:rsid w:val="000353CF"/>
    <w:rsid w:val="00035410"/>
    <w:rsid w:val="0003545F"/>
    <w:rsid w:val="000354B4"/>
    <w:rsid w:val="000354EB"/>
    <w:rsid w:val="0003550E"/>
    <w:rsid w:val="0003555A"/>
    <w:rsid w:val="000355A9"/>
    <w:rsid w:val="000357AD"/>
    <w:rsid w:val="000358A4"/>
    <w:rsid w:val="000358AD"/>
    <w:rsid w:val="00035900"/>
    <w:rsid w:val="0003594E"/>
    <w:rsid w:val="00035953"/>
    <w:rsid w:val="00035A5B"/>
    <w:rsid w:val="00035A6C"/>
    <w:rsid w:val="00035AA1"/>
    <w:rsid w:val="00035B07"/>
    <w:rsid w:val="00035B3D"/>
    <w:rsid w:val="00035B84"/>
    <w:rsid w:val="00035B85"/>
    <w:rsid w:val="00035BF0"/>
    <w:rsid w:val="00035C51"/>
    <w:rsid w:val="00035D15"/>
    <w:rsid w:val="00035D45"/>
    <w:rsid w:val="00035D61"/>
    <w:rsid w:val="00035E28"/>
    <w:rsid w:val="00035ED5"/>
    <w:rsid w:val="00035F3C"/>
    <w:rsid w:val="00035F44"/>
    <w:rsid w:val="00035F53"/>
    <w:rsid w:val="00035F86"/>
    <w:rsid w:val="00035FBB"/>
    <w:rsid w:val="00036018"/>
    <w:rsid w:val="00036039"/>
    <w:rsid w:val="0003604B"/>
    <w:rsid w:val="0003607B"/>
    <w:rsid w:val="0003611D"/>
    <w:rsid w:val="0003617F"/>
    <w:rsid w:val="0003629A"/>
    <w:rsid w:val="000362A1"/>
    <w:rsid w:val="000362D5"/>
    <w:rsid w:val="000362E5"/>
    <w:rsid w:val="00036315"/>
    <w:rsid w:val="000363F1"/>
    <w:rsid w:val="00036458"/>
    <w:rsid w:val="00036460"/>
    <w:rsid w:val="000364A4"/>
    <w:rsid w:val="00036518"/>
    <w:rsid w:val="0003659B"/>
    <w:rsid w:val="0003659D"/>
    <w:rsid w:val="000365AC"/>
    <w:rsid w:val="000365EB"/>
    <w:rsid w:val="000365EE"/>
    <w:rsid w:val="00036634"/>
    <w:rsid w:val="0003667E"/>
    <w:rsid w:val="00036687"/>
    <w:rsid w:val="000366A9"/>
    <w:rsid w:val="000366AC"/>
    <w:rsid w:val="000366AD"/>
    <w:rsid w:val="000366C7"/>
    <w:rsid w:val="000366F8"/>
    <w:rsid w:val="00036700"/>
    <w:rsid w:val="00036725"/>
    <w:rsid w:val="00036797"/>
    <w:rsid w:val="00036817"/>
    <w:rsid w:val="0003682E"/>
    <w:rsid w:val="0003687F"/>
    <w:rsid w:val="00036895"/>
    <w:rsid w:val="000368DE"/>
    <w:rsid w:val="000368EF"/>
    <w:rsid w:val="0003696C"/>
    <w:rsid w:val="00036A1A"/>
    <w:rsid w:val="00036ACB"/>
    <w:rsid w:val="00036BE9"/>
    <w:rsid w:val="00036C87"/>
    <w:rsid w:val="00036C92"/>
    <w:rsid w:val="00036CFA"/>
    <w:rsid w:val="00036D26"/>
    <w:rsid w:val="00036D50"/>
    <w:rsid w:val="00036DA9"/>
    <w:rsid w:val="00036DD3"/>
    <w:rsid w:val="00036DEA"/>
    <w:rsid w:val="00036E6C"/>
    <w:rsid w:val="00036E81"/>
    <w:rsid w:val="00036EBE"/>
    <w:rsid w:val="00036F0B"/>
    <w:rsid w:val="00036F25"/>
    <w:rsid w:val="00036F8E"/>
    <w:rsid w:val="00036F93"/>
    <w:rsid w:val="00036FF6"/>
    <w:rsid w:val="0003700D"/>
    <w:rsid w:val="000370AF"/>
    <w:rsid w:val="000370E0"/>
    <w:rsid w:val="000370E6"/>
    <w:rsid w:val="00037175"/>
    <w:rsid w:val="000371E5"/>
    <w:rsid w:val="000373EA"/>
    <w:rsid w:val="0003748D"/>
    <w:rsid w:val="000374EA"/>
    <w:rsid w:val="0003754A"/>
    <w:rsid w:val="00037566"/>
    <w:rsid w:val="0003770E"/>
    <w:rsid w:val="00037719"/>
    <w:rsid w:val="00037732"/>
    <w:rsid w:val="00037749"/>
    <w:rsid w:val="00037767"/>
    <w:rsid w:val="000377B7"/>
    <w:rsid w:val="0003785A"/>
    <w:rsid w:val="0003789F"/>
    <w:rsid w:val="000378D5"/>
    <w:rsid w:val="0003793D"/>
    <w:rsid w:val="00037983"/>
    <w:rsid w:val="00037B8D"/>
    <w:rsid w:val="00037B9A"/>
    <w:rsid w:val="00037BC1"/>
    <w:rsid w:val="00037C33"/>
    <w:rsid w:val="00037C5A"/>
    <w:rsid w:val="00037CEF"/>
    <w:rsid w:val="00037CF4"/>
    <w:rsid w:val="00037D12"/>
    <w:rsid w:val="00037D4F"/>
    <w:rsid w:val="00037DB1"/>
    <w:rsid w:val="00037DD0"/>
    <w:rsid w:val="00037E42"/>
    <w:rsid w:val="00037E9F"/>
    <w:rsid w:val="00037ED3"/>
    <w:rsid w:val="00037F75"/>
    <w:rsid w:val="000400B1"/>
    <w:rsid w:val="0004012E"/>
    <w:rsid w:val="00040132"/>
    <w:rsid w:val="0004015A"/>
    <w:rsid w:val="000401AA"/>
    <w:rsid w:val="000401C6"/>
    <w:rsid w:val="000402AD"/>
    <w:rsid w:val="00040332"/>
    <w:rsid w:val="00040388"/>
    <w:rsid w:val="00040464"/>
    <w:rsid w:val="00040488"/>
    <w:rsid w:val="00040489"/>
    <w:rsid w:val="0004053B"/>
    <w:rsid w:val="00040569"/>
    <w:rsid w:val="00040628"/>
    <w:rsid w:val="0004064F"/>
    <w:rsid w:val="00040670"/>
    <w:rsid w:val="0004067A"/>
    <w:rsid w:val="0004069E"/>
    <w:rsid w:val="0004070A"/>
    <w:rsid w:val="00040761"/>
    <w:rsid w:val="00040780"/>
    <w:rsid w:val="000407DD"/>
    <w:rsid w:val="000408EB"/>
    <w:rsid w:val="0004090E"/>
    <w:rsid w:val="00040967"/>
    <w:rsid w:val="0004096E"/>
    <w:rsid w:val="000409BB"/>
    <w:rsid w:val="00040B5A"/>
    <w:rsid w:val="00040B82"/>
    <w:rsid w:val="00040B98"/>
    <w:rsid w:val="00040BC6"/>
    <w:rsid w:val="00040C0B"/>
    <w:rsid w:val="00040C54"/>
    <w:rsid w:val="00040CBC"/>
    <w:rsid w:val="00040CF1"/>
    <w:rsid w:val="00040E00"/>
    <w:rsid w:val="00040F44"/>
    <w:rsid w:val="00040F65"/>
    <w:rsid w:val="00040F78"/>
    <w:rsid w:val="00041038"/>
    <w:rsid w:val="0004104B"/>
    <w:rsid w:val="00041050"/>
    <w:rsid w:val="000410A3"/>
    <w:rsid w:val="000410B9"/>
    <w:rsid w:val="00041110"/>
    <w:rsid w:val="000411D8"/>
    <w:rsid w:val="00041267"/>
    <w:rsid w:val="0004128F"/>
    <w:rsid w:val="000412A8"/>
    <w:rsid w:val="00041326"/>
    <w:rsid w:val="0004132A"/>
    <w:rsid w:val="00041438"/>
    <w:rsid w:val="0004143E"/>
    <w:rsid w:val="00041499"/>
    <w:rsid w:val="000414A8"/>
    <w:rsid w:val="000414C7"/>
    <w:rsid w:val="000414FC"/>
    <w:rsid w:val="00041579"/>
    <w:rsid w:val="000415D9"/>
    <w:rsid w:val="00041636"/>
    <w:rsid w:val="000416E3"/>
    <w:rsid w:val="0004173E"/>
    <w:rsid w:val="00041747"/>
    <w:rsid w:val="00041759"/>
    <w:rsid w:val="00041775"/>
    <w:rsid w:val="000417C4"/>
    <w:rsid w:val="00041832"/>
    <w:rsid w:val="00041837"/>
    <w:rsid w:val="0004186D"/>
    <w:rsid w:val="000418AD"/>
    <w:rsid w:val="000418B4"/>
    <w:rsid w:val="0004190F"/>
    <w:rsid w:val="0004191D"/>
    <w:rsid w:val="0004196C"/>
    <w:rsid w:val="00041981"/>
    <w:rsid w:val="000419CC"/>
    <w:rsid w:val="00041B1A"/>
    <w:rsid w:val="00041B46"/>
    <w:rsid w:val="00041B89"/>
    <w:rsid w:val="00041B99"/>
    <w:rsid w:val="00041BBC"/>
    <w:rsid w:val="00041BC6"/>
    <w:rsid w:val="00041BE0"/>
    <w:rsid w:val="00041BE5"/>
    <w:rsid w:val="00041BFC"/>
    <w:rsid w:val="00041C24"/>
    <w:rsid w:val="00041C3B"/>
    <w:rsid w:val="00041C8A"/>
    <w:rsid w:val="00041C99"/>
    <w:rsid w:val="00041CC9"/>
    <w:rsid w:val="00041D9E"/>
    <w:rsid w:val="00041E90"/>
    <w:rsid w:val="00041EC3"/>
    <w:rsid w:val="00041F49"/>
    <w:rsid w:val="00041F4A"/>
    <w:rsid w:val="00041FD5"/>
    <w:rsid w:val="00041FE4"/>
    <w:rsid w:val="0004209B"/>
    <w:rsid w:val="000420B5"/>
    <w:rsid w:val="0004215F"/>
    <w:rsid w:val="00042187"/>
    <w:rsid w:val="00042253"/>
    <w:rsid w:val="0004226F"/>
    <w:rsid w:val="0004235A"/>
    <w:rsid w:val="0004235E"/>
    <w:rsid w:val="00042416"/>
    <w:rsid w:val="0004241E"/>
    <w:rsid w:val="000424A5"/>
    <w:rsid w:val="000425E8"/>
    <w:rsid w:val="000426BE"/>
    <w:rsid w:val="000426C9"/>
    <w:rsid w:val="00042720"/>
    <w:rsid w:val="0004275F"/>
    <w:rsid w:val="00042889"/>
    <w:rsid w:val="0004288A"/>
    <w:rsid w:val="000428AB"/>
    <w:rsid w:val="00042930"/>
    <w:rsid w:val="00042950"/>
    <w:rsid w:val="00042960"/>
    <w:rsid w:val="00042992"/>
    <w:rsid w:val="000429C7"/>
    <w:rsid w:val="00042A44"/>
    <w:rsid w:val="00042A46"/>
    <w:rsid w:val="00042A47"/>
    <w:rsid w:val="00042B17"/>
    <w:rsid w:val="00042BE6"/>
    <w:rsid w:val="00042BFC"/>
    <w:rsid w:val="00042C20"/>
    <w:rsid w:val="00042D10"/>
    <w:rsid w:val="00042D5E"/>
    <w:rsid w:val="00042D6E"/>
    <w:rsid w:val="00042E25"/>
    <w:rsid w:val="00042E97"/>
    <w:rsid w:val="00042EBC"/>
    <w:rsid w:val="00042F2D"/>
    <w:rsid w:val="00042F41"/>
    <w:rsid w:val="00042F43"/>
    <w:rsid w:val="00042F6F"/>
    <w:rsid w:val="00042FB9"/>
    <w:rsid w:val="00042FC8"/>
    <w:rsid w:val="00042FFE"/>
    <w:rsid w:val="00043006"/>
    <w:rsid w:val="0004307C"/>
    <w:rsid w:val="00043115"/>
    <w:rsid w:val="00043139"/>
    <w:rsid w:val="0004319D"/>
    <w:rsid w:val="000431BF"/>
    <w:rsid w:val="0004324D"/>
    <w:rsid w:val="00043264"/>
    <w:rsid w:val="000432DD"/>
    <w:rsid w:val="000433DE"/>
    <w:rsid w:val="00043418"/>
    <w:rsid w:val="0004344A"/>
    <w:rsid w:val="00043485"/>
    <w:rsid w:val="000434BD"/>
    <w:rsid w:val="000435C2"/>
    <w:rsid w:val="00043677"/>
    <w:rsid w:val="000436DF"/>
    <w:rsid w:val="000436EF"/>
    <w:rsid w:val="00043707"/>
    <w:rsid w:val="00043711"/>
    <w:rsid w:val="0004372F"/>
    <w:rsid w:val="000437AB"/>
    <w:rsid w:val="00043843"/>
    <w:rsid w:val="00043929"/>
    <w:rsid w:val="00043971"/>
    <w:rsid w:val="00043A76"/>
    <w:rsid w:val="00043A8A"/>
    <w:rsid w:val="00043ACD"/>
    <w:rsid w:val="00043B2B"/>
    <w:rsid w:val="00043C0A"/>
    <w:rsid w:val="00043C63"/>
    <w:rsid w:val="00043D24"/>
    <w:rsid w:val="00043DC5"/>
    <w:rsid w:val="00043EAD"/>
    <w:rsid w:val="00043F7A"/>
    <w:rsid w:val="00043F8A"/>
    <w:rsid w:val="0004407A"/>
    <w:rsid w:val="0004413C"/>
    <w:rsid w:val="000441FC"/>
    <w:rsid w:val="000442E0"/>
    <w:rsid w:val="00044348"/>
    <w:rsid w:val="000443A1"/>
    <w:rsid w:val="000443CD"/>
    <w:rsid w:val="00044410"/>
    <w:rsid w:val="00044413"/>
    <w:rsid w:val="0004445F"/>
    <w:rsid w:val="00044470"/>
    <w:rsid w:val="00044498"/>
    <w:rsid w:val="000444F3"/>
    <w:rsid w:val="00044544"/>
    <w:rsid w:val="0004462A"/>
    <w:rsid w:val="000446EB"/>
    <w:rsid w:val="00044772"/>
    <w:rsid w:val="00044914"/>
    <w:rsid w:val="00044964"/>
    <w:rsid w:val="00044A82"/>
    <w:rsid w:val="00044A9F"/>
    <w:rsid w:val="00044ABD"/>
    <w:rsid w:val="00044B16"/>
    <w:rsid w:val="00044B3A"/>
    <w:rsid w:val="00044C87"/>
    <w:rsid w:val="00044C9D"/>
    <w:rsid w:val="00044CC1"/>
    <w:rsid w:val="00044D6D"/>
    <w:rsid w:val="00044DA7"/>
    <w:rsid w:val="00044ECC"/>
    <w:rsid w:val="00044F2D"/>
    <w:rsid w:val="00044F6B"/>
    <w:rsid w:val="00044F9D"/>
    <w:rsid w:val="00044FD8"/>
    <w:rsid w:val="00044FDF"/>
    <w:rsid w:val="00045016"/>
    <w:rsid w:val="00045030"/>
    <w:rsid w:val="000450AB"/>
    <w:rsid w:val="000451D6"/>
    <w:rsid w:val="0004520D"/>
    <w:rsid w:val="00045213"/>
    <w:rsid w:val="00045240"/>
    <w:rsid w:val="0004528B"/>
    <w:rsid w:val="0004528D"/>
    <w:rsid w:val="000453A9"/>
    <w:rsid w:val="000453C7"/>
    <w:rsid w:val="000453D3"/>
    <w:rsid w:val="000453E8"/>
    <w:rsid w:val="00045409"/>
    <w:rsid w:val="0004548A"/>
    <w:rsid w:val="000454A4"/>
    <w:rsid w:val="00045519"/>
    <w:rsid w:val="0004553C"/>
    <w:rsid w:val="0004558C"/>
    <w:rsid w:val="000455A8"/>
    <w:rsid w:val="00045633"/>
    <w:rsid w:val="00045652"/>
    <w:rsid w:val="0004573F"/>
    <w:rsid w:val="0004577C"/>
    <w:rsid w:val="0004580A"/>
    <w:rsid w:val="0004581D"/>
    <w:rsid w:val="00045822"/>
    <w:rsid w:val="00045853"/>
    <w:rsid w:val="0004589B"/>
    <w:rsid w:val="00045926"/>
    <w:rsid w:val="00045986"/>
    <w:rsid w:val="000459C3"/>
    <w:rsid w:val="00045A1D"/>
    <w:rsid w:val="00045A23"/>
    <w:rsid w:val="00045B4F"/>
    <w:rsid w:val="00045BC6"/>
    <w:rsid w:val="00045BE3"/>
    <w:rsid w:val="00045C68"/>
    <w:rsid w:val="00045C8D"/>
    <w:rsid w:val="00045CD8"/>
    <w:rsid w:val="00045D7A"/>
    <w:rsid w:val="00045D7F"/>
    <w:rsid w:val="00045DE4"/>
    <w:rsid w:val="00045E7B"/>
    <w:rsid w:val="00045ED6"/>
    <w:rsid w:val="00045F0D"/>
    <w:rsid w:val="00045F15"/>
    <w:rsid w:val="000460B5"/>
    <w:rsid w:val="00046131"/>
    <w:rsid w:val="00046184"/>
    <w:rsid w:val="0004618E"/>
    <w:rsid w:val="00046190"/>
    <w:rsid w:val="000461CB"/>
    <w:rsid w:val="000461D5"/>
    <w:rsid w:val="00046293"/>
    <w:rsid w:val="000462BD"/>
    <w:rsid w:val="00046328"/>
    <w:rsid w:val="00046426"/>
    <w:rsid w:val="0004666E"/>
    <w:rsid w:val="00046744"/>
    <w:rsid w:val="00046748"/>
    <w:rsid w:val="00046749"/>
    <w:rsid w:val="0004677C"/>
    <w:rsid w:val="00046852"/>
    <w:rsid w:val="0004691C"/>
    <w:rsid w:val="0004696A"/>
    <w:rsid w:val="000469A0"/>
    <w:rsid w:val="000469AC"/>
    <w:rsid w:val="000469BD"/>
    <w:rsid w:val="00046AC0"/>
    <w:rsid w:val="00046B0A"/>
    <w:rsid w:val="00046B71"/>
    <w:rsid w:val="00046C35"/>
    <w:rsid w:val="00046C80"/>
    <w:rsid w:val="00046CCA"/>
    <w:rsid w:val="00046CED"/>
    <w:rsid w:val="00046D85"/>
    <w:rsid w:val="00046DE9"/>
    <w:rsid w:val="00046E37"/>
    <w:rsid w:val="00046F33"/>
    <w:rsid w:val="00046FB7"/>
    <w:rsid w:val="00047106"/>
    <w:rsid w:val="00047117"/>
    <w:rsid w:val="0004711E"/>
    <w:rsid w:val="000471BF"/>
    <w:rsid w:val="000471ED"/>
    <w:rsid w:val="00047232"/>
    <w:rsid w:val="00047248"/>
    <w:rsid w:val="000472A0"/>
    <w:rsid w:val="000472BB"/>
    <w:rsid w:val="00047316"/>
    <w:rsid w:val="000473E2"/>
    <w:rsid w:val="000473E4"/>
    <w:rsid w:val="00047400"/>
    <w:rsid w:val="0004746C"/>
    <w:rsid w:val="000474B8"/>
    <w:rsid w:val="000474CB"/>
    <w:rsid w:val="00047568"/>
    <w:rsid w:val="0004759F"/>
    <w:rsid w:val="000475B3"/>
    <w:rsid w:val="0004762A"/>
    <w:rsid w:val="0004762D"/>
    <w:rsid w:val="00047651"/>
    <w:rsid w:val="0004789A"/>
    <w:rsid w:val="000478CA"/>
    <w:rsid w:val="000479A2"/>
    <w:rsid w:val="000479EE"/>
    <w:rsid w:val="00047A27"/>
    <w:rsid w:val="00047AC1"/>
    <w:rsid w:val="00047AD0"/>
    <w:rsid w:val="00047AE4"/>
    <w:rsid w:val="00047B7A"/>
    <w:rsid w:val="00047BD4"/>
    <w:rsid w:val="00047BDE"/>
    <w:rsid w:val="00047BF1"/>
    <w:rsid w:val="00047BFB"/>
    <w:rsid w:val="00047C49"/>
    <w:rsid w:val="00047CF1"/>
    <w:rsid w:val="00047D10"/>
    <w:rsid w:val="00047D61"/>
    <w:rsid w:val="00047D6D"/>
    <w:rsid w:val="00047D7D"/>
    <w:rsid w:val="00047D84"/>
    <w:rsid w:val="00047E41"/>
    <w:rsid w:val="00047E9A"/>
    <w:rsid w:val="00047ED0"/>
    <w:rsid w:val="00047F27"/>
    <w:rsid w:val="00047F4E"/>
    <w:rsid w:val="00047F52"/>
    <w:rsid w:val="00047FBF"/>
    <w:rsid w:val="0005009A"/>
    <w:rsid w:val="000500BA"/>
    <w:rsid w:val="000500E2"/>
    <w:rsid w:val="000500F4"/>
    <w:rsid w:val="000501C8"/>
    <w:rsid w:val="000502E6"/>
    <w:rsid w:val="0005032F"/>
    <w:rsid w:val="00050331"/>
    <w:rsid w:val="00050345"/>
    <w:rsid w:val="000503A6"/>
    <w:rsid w:val="000503A9"/>
    <w:rsid w:val="000503B9"/>
    <w:rsid w:val="000503C8"/>
    <w:rsid w:val="000503ED"/>
    <w:rsid w:val="000503F1"/>
    <w:rsid w:val="00050424"/>
    <w:rsid w:val="00050435"/>
    <w:rsid w:val="0005044C"/>
    <w:rsid w:val="00050461"/>
    <w:rsid w:val="0005046F"/>
    <w:rsid w:val="00050495"/>
    <w:rsid w:val="000504FD"/>
    <w:rsid w:val="000505E1"/>
    <w:rsid w:val="0005062C"/>
    <w:rsid w:val="00050635"/>
    <w:rsid w:val="0005066A"/>
    <w:rsid w:val="0005066E"/>
    <w:rsid w:val="000507B6"/>
    <w:rsid w:val="00050840"/>
    <w:rsid w:val="0005084F"/>
    <w:rsid w:val="00050872"/>
    <w:rsid w:val="0005090B"/>
    <w:rsid w:val="000509BA"/>
    <w:rsid w:val="00050ABD"/>
    <w:rsid w:val="00050AF2"/>
    <w:rsid w:val="00050B0B"/>
    <w:rsid w:val="00050B38"/>
    <w:rsid w:val="00050B6E"/>
    <w:rsid w:val="00050BF5"/>
    <w:rsid w:val="00050C53"/>
    <w:rsid w:val="00050C5B"/>
    <w:rsid w:val="00050C5E"/>
    <w:rsid w:val="00050CE9"/>
    <w:rsid w:val="00050CEE"/>
    <w:rsid w:val="00050D0B"/>
    <w:rsid w:val="00050D1F"/>
    <w:rsid w:val="00050D2F"/>
    <w:rsid w:val="00050D6D"/>
    <w:rsid w:val="00050DD8"/>
    <w:rsid w:val="00050E2F"/>
    <w:rsid w:val="00050E4D"/>
    <w:rsid w:val="00050E51"/>
    <w:rsid w:val="00050EE3"/>
    <w:rsid w:val="00050F07"/>
    <w:rsid w:val="00050F5B"/>
    <w:rsid w:val="00050F87"/>
    <w:rsid w:val="00050F9C"/>
    <w:rsid w:val="00050FC5"/>
    <w:rsid w:val="0005108F"/>
    <w:rsid w:val="00051193"/>
    <w:rsid w:val="0005119C"/>
    <w:rsid w:val="000511AA"/>
    <w:rsid w:val="000511D6"/>
    <w:rsid w:val="00051238"/>
    <w:rsid w:val="00051317"/>
    <w:rsid w:val="0005137F"/>
    <w:rsid w:val="000513E8"/>
    <w:rsid w:val="00051408"/>
    <w:rsid w:val="000514BE"/>
    <w:rsid w:val="000514CB"/>
    <w:rsid w:val="0005150A"/>
    <w:rsid w:val="0005159A"/>
    <w:rsid w:val="00051639"/>
    <w:rsid w:val="0005166D"/>
    <w:rsid w:val="0005167A"/>
    <w:rsid w:val="000516BE"/>
    <w:rsid w:val="000516F2"/>
    <w:rsid w:val="000516F3"/>
    <w:rsid w:val="00051701"/>
    <w:rsid w:val="00051736"/>
    <w:rsid w:val="0005173F"/>
    <w:rsid w:val="00051766"/>
    <w:rsid w:val="0005179C"/>
    <w:rsid w:val="000517D8"/>
    <w:rsid w:val="00051827"/>
    <w:rsid w:val="0005186A"/>
    <w:rsid w:val="000518D8"/>
    <w:rsid w:val="00051902"/>
    <w:rsid w:val="0005194A"/>
    <w:rsid w:val="000519A2"/>
    <w:rsid w:val="00051B26"/>
    <w:rsid w:val="00051B2D"/>
    <w:rsid w:val="00051B74"/>
    <w:rsid w:val="00051B82"/>
    <w:rsid w:val="00051BE7"/>
    <w:rsid w:val="00051C82"/>
    <w:rsid w:val="00051CC6"/>
    <w:rsid w:val="00051D0C"/>
    <w:rsid w:val="00051D5E"/>
    <w:rsid w:val="00051E02"/>
    <w:rsid w:val="00051E23"/>
    <w:rsid w:val="00051E68"/>
    <w:rsid w:val="00051ED4"/>
    <w:rsid w:val="00051F4A"/>
    <w:rsid w:val="00051F4F"/>
    <w:rsid w:val="0005207E"/>
    <w:rsid w:val="000520E8"/>
    <w:rsid w:val="00052136"/>
    <w:rsid w:val="0005215C"/>
    <w:rsid w:val="00052190"/>
    <w:rsid w:val="000521B4"/>
    <w:rsid w:val="00052200"/>
    <w:rsid w:val="0005221C"/>
    <w:rsid w:val="0005223D"/>
    <w:rsid w:val="00052250"/>
    <w:rsid w:val="0005225A"/>
    <w:rsid w:val="00052274"/>
    <w:rsid w:val="00052281"/>
    <w:rsid w:val="0005229F"/>
    <w:rsid w:val="000522AF"/>
    <w:rsid w:val="00052367"/>
    <w:rsid w:val="00052378"/>
    <w:rsid w:val="00052384"/>
    <w:rsid w:val="000523EB"/>
    <w:rsid w:val="00052401"/>
    <w:rsid w:val="00052404"/>
    <w:rsid w:val="00052420"/>
    <w:rsid w:val="0005244C"/>
    <w:rsid w:val="00052488"/>
    <w:rsid w:val="00052571"/>
    <w:rsid w:val="000525CC"/>
    <w:rsid w:val="00052621"/>
    <w:rsid w:val="00052629"/>
    <w:rsid w:val="00052738"/>
    <w:rsid w:val="0005277D"/>
    <w:rsid w:val="00052817"/>
    <w:rsid w:val="00052948"/>
    <w:rsid w:val="000529FB"/>
    <w:rsid w:val="00052AC8"/>
    <w:rsid w:val="00052B42"/>
    <w:rsid w:val="00052C13"/>
    <w:rsid w:val="00052C45"/>
    <w:rsid w:val="00052C84"/>
    <w:rsid w:val="00052CB1"/>
    <w:rsid w:val="00052D07"/>
    <w:rsid w:val="00052D39"/>
    <w:rsid w:val="00052DF1"/>
    <w:rsid w:val="00052DFE"/>
    <w:rsid w:val="00052E17"/>
    <w:rsid w:val="00052E27"/>
    <w:rsid w:val="00052E3D"/>
    <w:rsid w:val="00052E44"/>
    <w:rsid w:val="00052EA3"/>
    <w:rsid w:val="00052ECE"/>
    <w:rsid w:val="00052F12"/>
    <w:rsid w:val="00052F13"/>
    <w:rsid w:val="00052F2D"/>
    <w:rsid w:val="00052F58"/>
    <w:rsid w:val="00052F5E"/>
    <w:rsid w:val="00053061"/>
    <w:rsid w:val="00053072"/>
    <w:rsid w:val="000530E2"/>
    <w:rsid w:val="000530F1"/>
    <w:rsid w:val="000530FD"/>
    <w:rsid w:val="0005317B"/>
    <w:rsid w:val="0005318F"/>
    <w:rsid w:val="00053277"/>
    <w:rsid w:val="00053344"/>
    <w:rsid w:val="0005335F"/>
    <w:rsid w:val="00053362"/>
    <w:rsid w:val="000533EE"/>
    <w:rsid w:val="0005346A"/>
    <w:rsid w:val="000534C6"/>
    <w:rsid w:val="00053511"/>
    <w:rsid w:val="0005353A"/>
    <w:rsid w:val="0005354D"/>
    <w:rsid w:val="0005357D"/>
    <w:rsid w:val="000535DE"/>
    <w:rsid w:val="0005366F"/>
    <w:rsid w:val="000536C2"/>
    <w:rsid w:val="000537B6"/>
    <w:rsid w:val="000537FB"/>
    <w:rsid w:val="0005383D"/>
    <w:rsid w:val="00053840"/>
    <w:rsid w:val="0005387F"/>
    <w:rsid w:val="000538C1"/>
    <w:rsid w:val="000538F8"/>
    <w:rsid w:val="00053923"/>
    <w:rsid w:val="00053980"/>
    <w:rsid w:val="00053A64"/>
    <w:rsid w:val="00053A90"/>
    <w:rsid w:val="00053B43"/>
    <w:rsid w:val="00053B49"/>
    <w:rsid w:val="00053B5E"/>
    <w:rsid w:val="00053B76"/>
    <w:rsid w:val="00053BA1"/>
    <w:rsid w:val="00053C6E"/>
    <w:rsid w:val="00053C9E"/>
    <w:rsid w:val="00053FE3"/>
    <w:rsid w:val="00053FF0"/>
    <w:rsid w:val="00054004"/>
    <w:rsid w:val="00054046"/>
    <w:rsid w:val="00054074"/>
    <w:rsid w:val="00054092"/>
    <w:rsid w:val="000540E6"/>
    <w:rsid w:val="00054126"/>
    <w:rsid w:val="00054204"/>
    <w:rsid w:val="00054207"/>
    <w:rsid w:val="00054228"/>
    <w:rsid w:val="00054231"/>
    <w:rsid w:val="0005425E"/>
    <w:rsid w:val="00054283"/>
    <w:rsid w:val="000542B0"/>
    <w:rsid w:val="000543C4"/>
    <w:rsid w:val="00054436"/>
    <w:rsid w:val="0005446D"/>
    <w:rsid w:val="00054473"/>
    <w:rsid w:val="0005460E"/>
    <w:rsid w:val="000546A4"/>
    <w:rsid w:val="00054766"/>
    <w:rsid w:val="0005476E"/>
    <w:rsid w:val="00054918"/>
    <w:rsid w:val="0005496F"/>
    <w:rsid w:val="00054986"/>
    <w:rsid w:val="0005499F"/>
    <w:rsid w:val="000549A4"/>
    <w:rsid w:val="00054A34"/>
    <w:rsid w:val="00054A77"/>
    <w:rsid w:val="00054ABE"/>
    <w:rsid w:val="00054B56"/>
    <w:rsid w:val="00054B5C"/>
    <w:rsid w:val="00054BD7"/>
    <w:rsid w:val="00054C66"/>
    <w:rsid w:val="00054C81"/>
    <w:rsid w:val="00054CEE"/>
    <w:rsid w:val="00054D44"/>
    <w:rsid w:val="00054E83"/>
    <w:rsid w:val="00054ED2"/>
    <w:rsid w:val="00054EF7"/>
    <w:rsid w:val="00054F51"/>
    <w:rsid w:val="0005502D"/>
    <w:rsid w:val="0005503A"/>
    <w:rsid w:val="000550A9"/>
    <w:rsid w:val="000550C9"/>
    <w:rsid w:val="0005517C"/>
    <w:rsid w:val="000551CA"/>
    <w:rsid w:val="000551E8"/>
    <w:rsid w:val="00055209"/>
    <w:rsid w:val="000552BE"/>
    <w:rsid w:val="000552C5"/>
    <w:rsid w:val="000552D0"/>
    <w:rsid w:val="00055342"/>
    <w:rsid w:val="00055353"/>
    <w:rsid w:val="00055384"/>
    <w:rsid w:val="0005543E"/>
    <w:rsid w:val="000554AE"/>
    <w:rsid w:val="000554B9"/>
    <w:rsid w:val="000554DC"/>
    <w:rsid w:val="0005551D"/>
    <w:rsid w:val="0005558E"/>
    <w:rsid w:val="00055598"/>
    <w:rsid w:val="000555A6"/>
    <w:rsid w:val="000555F5"/>
    <w:rsid w:val="000556A1"/>
    <w:rsid w:val="000556B1"/>
    <w:rsid w:val="000557D7"/>
    <w:rsid w:val="0005580E"/>
    <w:rsid w:val="00055917"/>
    <w:rsid w:val="0005599B"/>
    <w:rsid w:val="00055AEC"/>
    <w:rsid w:val="00055B8D"/>
    <w:rsid w:val="00055B9E"/>
    <w:rsid w:val="00055BB6"/>
    <w:rsid w:val="00055BD1"/>
    <w:rsid w:val="00055CB1"/>
    <w:rsid w:val="00055D88"/>
    <w:rsid w:val="00055F27"/>
    <w:rsid w:val="00055F35"/>
    <w:rsid w:val="00055F47"/>
    <w:rsid w:val="00055F59"/>
    <w:rsid w:val="00055FE4"/>
    <w:rsid w:val="00056023"/>
    <w:rsid w:val="0005602D"/>
    <w:rsid w:val="000560F3"/>
    <w:rsid w:val="0005611A"/>
    <w:rsid w:val="0005613D"/>
    <w:rsid w:val="00056161"/>
    <w:rsid w:val="00056176"/>
    <w:rsid w:val="00056192"/>
    <w:rsid w:val="0005622D"/>
    <w:rsid w:val="00056296"/>
    <w:rsid w:val="00056375"/>
    <w:rsid w:val="00056377"/>
    <w:rsid w:val="00056379"/>
    <w:rsid w:val="0005639B"/>
    <w:rsid w:val="0005647C"/>
    <w:rsid w:val="000564A8"/>
    <w:rsid w:val="000564CE"/>
    <w:rsid w:val="00056556"/>
    <w:rsid w:val="000565ED"/>
    <w:rsid w:val="000565F2"/>
    <w:rsid w:val="00056685"/>
    <w:rsid w:val="0005669B"/>
    <w:rsid w:val="00056727"/>
    <w:rsid w:val="0005678F"/>
    <w:rsid w:val="00056795"/>
    <w:rsid w:val="000567A3"/>
    <w:rsid w:val="000567F8"/>
    <w:rsid w:val="00056893"/>
    <w:rsid w:val="000568E7"/>
    <w:rsid w:val="0005692F"/>
    <w:rsid w:val="00056975"/>
    <w:rsid w:val="00056A1E"/>
    <w:rsid w:val="00056A58"/>
    <w:rsid w:val="00056B61"/>
    <w:rsid w:val="00056B81"/>
    <w:rsid w:val="00056BF2"/>
    <w:rsid w:val="00056C88"/>
    <w:rsid w:val="00056D29"/>
    <w:rsid w:val="00056D2B"/>
    <w:rsid w:val="00056D83"/>
    <w:rsid w:val="00056D84"/>
    <w:rsid w:val="00056DB4"/>
    <w:rsid w:val="00056DBC"/>
    <w:rsid w:val="00056DD7"/>
    <w:rsid w:val="00056F0E"/>
    <w:rsid w:val="00056FC6"/>
    <w:rsid w:val="00057025"/>
    <w:rsid w:val="00057151"/>
    <w:rsid w:val="00057184"/>
    <w:rsid w:val="00057194"/>
    <w:rsid w:val="0005719F"/>
    <w:rsid w:val="000571FE"/>
    <w:rsid w:val="0005726C"/>
    <w:rsid w:val="00057296"/>
    <w:rsid w:val="000572C4"/>
    <w:rsid w:val="00057319"/>
    <w:rsid w:val="000573D9"/>
    <w:rsid w:val="000573DA"/>
    <w:rsid w:val="000576DF"/>
    <w:rsid w:val="000576F4"/>
    <w:rsid w:val="00057762"/>
    <w:rsid w:val="000577D6"/>
    <w:rsid w:val="00057821"/>
    <w:rsid w:val="00057843"/>
    <w:rsid w:val="0005784C"/>
    <w:rsid w:val="000578EF"/>
    <w:rsid w:val="00057920"/>
    <w:rsid w:val="0005794E"/>
    <w:rsid w:val="000579B1"/>
    <w:rsid w:val="00057A33"/>
    <w:rsid w:val="00057A8C"/>
    <w:rsid w:val="00057A97"/>
    <w:rsid w:val="00057ADC"/>
    <w:rsid w:val="00057B3B"/>
    <w:rsid w:val="00057B4B"/>
    <w:rsid w:val="00057B7F"/>
    <w:rsid w:val="00057BD1"/>
    <w:rsid w:val="00057C33"/>
    <w:rsid w:val="00057C3F"/>
    <w:rsid w:val="00057D75"/>
    <w:rsid w:val="00057DBE"/>
    <w:rsid w:val="00057DD6"/>
    <w:rsid w:val="00057E48"/>
    <w:rsid w:val="00057E93"/>
    <w:rsid w:val="00057FC2"/>
    <w:rsid w:val="00060096"/>
    <w:rsid w:val="0006011F"/>
    <w:rsid w:val="00060170"/>
    <w:rsid w:val="00060245"/>
    <w:rsid w:val="0006028B"/>
    <w:rsid w:val="00060339"/>
    <w:rsid w:val="000603DF"/>
    <w:rsid w:val="00060446"/>
    <w:rsid w:val="0006047A"/>
    <w:rsid w:val="000604FF"/>
    <w:rsid w:val="0006052E"/>
    <w:rsid w:val="00060563"/>
    <w:rsid w:val="000605F5"/>
    <w:rsid w:val="0006062C"/>
    <w:rsid w:val="00060648"/>
    <w:rsid w:val="00060664"/>
    <w:rsid w:val="000606F3"/>
    <w:rsid w:val="0006071E"/>
    <w:rsid w:val="000607FB"/>
    <w:rsid w:val="0006081E"/>
    <w:rsid w:val="00060892"/>
    <w:rsid w:val="0006097E"/>
    <w:rsid w:val="000609B7"/>
    <w:rsid w:val="000609FF"/>
    <w:rsid w:val="00060A2B"/>
    <w:rsid w:val="00060A53"/>
    <w:rsid w:val="00060A62"/>
    <w:rsid w:val="00060AC1"/>
    <w:rsid w:val="00060AD3"/>
    <w:rsid w:val="00060B5D"/>
    <w:rsid w:val="00060B88"/>
    <w:rsid w:val="00060BB8"/>
    <w:rsid w:val="00060BCF"/>
    <w:rsid w:val="00060C10"/>
    <w:rsid w:val="00060C34"/>
    <w:rsid w:val="00060C4C"/>
    <w:rsid w:val="00060D0F"/>
    <w:rsid w:val="00060D54"/>
    <w:rsid w:val="00060DC8"/>
    <w:rsid w:val="00060DF3"/>
    <w:rsid w:val="00060E1F"/>
    <w:rsid w:val="00060E58"/>
    <w:rsid w:val="00060E78"/>
    <w:rsid w:val="00060E95"/>
    <w:rsid w:val="00060EA2"/>
    <w:rsid w:val="00060ED2"/>
    <w:rsid w:val="00060F2B"/>
    <w:rsid w:val="00060F5D"/>
    <w:rsid w:val="0006102A"/>
    <w:rsid w:val="000610A9"/>
    <w:rsid w:val="000610BC"/>
    <w:rsid w:val="0006113C"/>
    <w:rsid w:val="0006116A"/>
    <w:rsid w:val="00061174"/>
    <w:rsid w:val="00061197"/>
    <w:rsid w:val="000611B9"/>
    <w:rsid w:val="000611F4"/>
    <w:rsid w:val="00061262"/>
    <w:rsid w:val="0006126F"/>
    <w:rsid w:val="00061329"/>
    <w:rsid w:val="000613C6"/>
    <w:rsid w:val="0006141D"/>
    <w:rsid w:val="0006143A"/>
    <w:rsid w:val="000614DD"/>
    <w:rsid w:val="000614FC"/>
    <w:rsid w:val="0006152D"/>
    <w:rsid w:val="000615A1"/>
    <w:rsid w:val="00061647"/>
    <w:rsid w:val="00061666"/>
    <w:rsid w:val="00061759"/>
    <w:rsid w:val="0006177D"/>
    <w:rsid w:val="000617AF"/>
    <w:rsid w:val="000618F9"/>
    <w:rsid w:val="0006196F"/>
    <w:rsid w:val="00061993"/>
    <w:rsid w:val="000619E1"/>
    <w:rsid w:val="000619F0"/>
    <w:rsid w:val="00061A04"/>
    <w:rsid w:val="00061A22"/>
    <w:rsid w:val="00061A31"/>
    <w:rsid w:val="00061ACB"/>
    <w:rsid w:val="00061AFF"/>
    <w:rsid w:val="00061B38"/>
    <w:rsid w:val="00061BCB"/>
    <w:rsid w:val="00061C15"/>
    <w:rsid w:val="00061CBB"/>
    <w:rsid w:val="00061DA2"/>
    <w:rsid w:val="00061DA4"/>
    <w:rsid w:val="00061E05"/>
    <w:rsid w:val="00061EB2"/>
    <w:rsid w:val="00062071"/>
    <w:rsid w:val="0006210E"/>
    <w:rsid w:val="00062156"/>
    <w:rsid w:val="0006215A"/>
    <w:rsid w:val="0006219E"/>
    <w:rsid w:val="000621F2"/>
    <w:rsid w:val="00062201"/>
    <w:rsid w:val="00062235"/>
    <w:rsid w:val="0006228B"/>
    <w:rsid w:val="000622D4"/>
    <w:rsid w:val="000622EA"/>
    <w:rsid w:val="000622EB"/>
    <w:rsid w:val="000622F2"/>
    <w:rsid w:val="00062355"/>
    <w:rsid w:val="0006239E"/>
    <w:rsid w:val="00062435"/>
    <w:rsid w:val="00062493"/>
    <w:rsid w:val="00062530"/>
    <w:rsid w:val="00062610"/>
    <w:rsid w:val="00062619"/>
    <w:rsid w:val="00062713"/>
    <w:rsid w:val="00062741"/>
    <w:rsid w:val="0006274A"/>
    <w:rsid w:val="0006275A"/>
    <w:rsid w:val="000627DF"/>
    <w:rsid w:val="00062815"/>
    <w:rsid w:val="0006282E"/>
    <w:rsid w:val="00062838"/>
    <w:rsid w:val="00062902"/>
    <w:rsid w:val="00062952"/>
    <w:rsid w:val="0006296A"/>
    <w:rsid w:val="000629BA"/>
    <w:rsid w:val="00062B30"/>
    <w:rsid w:val="00062BE8"/>
    <w:rsid w:val="00062CFC"/>
    <w:rsid w:val="00062D19"/>
    <w:rsid w:val="00062D1E"/>
    <w:rsid w:val="00062D5C"/>
    <w:rsid w:val="00062D6B"/>
    <w:rsid w:val="00062E59"/>
    <w:rsid w:val="00062F03"/>
    <w:rsid w:val="00063006"/>
    <w:rsid w:val="00063022"/>
    <w:rsid w:val="00063057"/>
    <w:rsid w:val="00063092"/>
    <w:rsid w:val="00063096"/>
    <w:rsid w:val="000630B7"/>
    <w:rsid w:val="0006310E"/>
    <w:rsid w:val="0006312C"/>
    <w:rsid w:val="00063167"/>
    <w:rsid w:val="0006316E"/>
    <w:rsid w:val="00063249"/>
    <w:rsid w:val="00063309"/>
    <w:rsid w:val="00063424"/>
    <w:rsid w:val="0006349F"/>
    <w:rsid w:val="00063686"/>
    <w:rsid w:val="000636DE"/>
    <w:rsid w:val="00063739"/>
    <w:rsid w:val="000637A7"/>
    <w:rsid w:val="000637BE"/>
    <w:rsid w:val="000637D1"/>
    <w:rsid w:val="00063835"/>
    <w:rsid w:val="000638C2"/>
    <w:rsid w:val="00063973"/>
    <w:rsid w:val="000639D9"/>
    <w:rsid w:val="000639E8"/>
    <w:rsid w:val="00063AB0"/>
    <w:rsid w:val="00063B49"/>
    <w:rsid w:val="00063B4A"/>
    <w:rsid w:val="00063BCD"/>
    <w:rsid w:val="00063C71"/>
    <w:rsid w:val="00063C8F"/>
    <w:rsid w:val="00063D55"/>
    <w:rsid w:val="00063DCF"/>
    <w:rsid w:val="00063DE4"/>
    <w:rsid w:val="00063DF1"/>
    <w:rsid w:val="00063E42"/>
    <w:rsid w:val="00063E72"/>
    <w:rsid w:val="00063E9C"/>
    <w:rsid w:val="00063ECA"/>
    <w:rsid w:val="00063ED3"/>
    <w:rsid w:val="00063FF8"/>
    <w:rsid w:val="000640FE"/>
    <w:rsid w:val="00064109"/>
    <w:rsid w:val="000641E0"/>
    <w:rsid w:val="00064210"/>
    <w:rsid w:val="000642B5"/>
    <w:rsid w:val="0006435D"/>
    <w:rsid w:val="00064364"/>
    <w:rsid w:val="00064388"/>
    <w:rsid w:val="000643C2"/>
    <w:rsid w:val="000643D9"/>
    <w:rsid w:val="00064401"/>
    <w:rsid w:val="00064415"/>
    <w:rsid w:val="0006457D"/>
    <w:rsid w:val="000645BA"/>
    <w:rsid w:val="00064621"/>
    <w:rsid w:val="0006462E"/>
    <w:rsid w:val="00064675"/>
    <w:rsid w:val="000646B6"/>
    <w:rsid w:val="00064708"/>
    <w:rsid w:val="0006473A"/>
    <w:rsid w:val="0006479A"/>
    <w:rsid w:val="000647C9"/>
    <w:rsid w:val="00064887"/>
    <w:rsid w:val="00064891"/>
    <w:rsid w:val="000648B1"/>
    <w:rsid w:val="000648C5"/>
    <w:rsid w:val="00064920"/>
    <w:rsid w:val="000649F6"/>
    <w:rsid w:val="00064A29"/>
    <w:rsid w:val="00064AE9"/>
    <w:rsid w:val="00064B4E"/>
    <w:rsid w:val="00064C0C"/>
    <w:rsid w:val="00064C97"/>
    <w:rsid w:val="00064CCA"/>
    <w:rsid w:val="00064D49"/>
    <w:rsid w:val="00064D7F"/>
    <w:rsid w:val="00064D9B"/>
    <w:rsid w:val="00064DA3"/>
    <w:rsid w:val="00064DF3"/>
    <w:rsid w:val="00064E4A"/>
    <w:rsid w:val="00064E6C"/>
    <w:rsid w:val="00064EC2"/>
    <w:rsid w:val="00065001"/>
    <w:rsid w:val="0006503E"/>
    <w:rsid w:val="000650CF"/>
    <w:rsid w:val="000650F9"/>
    <w:rsid w:val="00065108"/>
    <w:rsid w:val="0006512C"/>
    <w:rsid w:val="000651C0"/>
    <w:rsid w:val="00065238"/>
    <w:rsid w:val="00065340"/>
    <w:rsid w:val="00065371"/>
    <w:rsid w:val="000653EC"/>
    <w:rsid w:val="000653F0"/>
    <w:rsid w:val="00065490"/>
    <w:rsid w:val="000654A4"/>
    <w:rsid w:val="00065525"/>
    <w:rsid w:val="00065574"/>
    <w:rsid w:val="000655CF"/>
    <w:rsid w:val="000656E1"/>
    <w:rsid w:val="0006574B"/>
    <w:rsid w:val="0006578D"/>
    <w:rsid w:val="00065868"/>
    <w:rsid w:val="0006592D"/>
    <w:rsid w:val="0006593D"/>
    <w:rsid w:val="00065C33"/>
    <w:rsid w:val="00065CBC"/>
    <w:rsid w:val="00065CE6"/>
    <w:rsid w:val="00065F54"/>
    <w:rsid w:val="00066027"/>
    <w:rsid w:val="000660CF"/>
    <w:rsid w:val="00066104"/>
    <w:rsid w:val="0006615F"/>
    <w:rsid w:val="00066187"/>
    <w:rsid w:val="000661DB"/>
    <w:rsid w:val="00066201"/>
    <w:rsid w:val="000662B2"/>
    <w:rsid w:val="00066340"/>
    <w:rsid w:val="00066359"/>
    <w:rsid w:val="000663CB"/>
    <w:rsid w:val="000664EF"/>
    <w:rsid w:val="0006658D"/>
    <w:rsid w:val="00066653"/>
    <w:rsid w:val="000666D8"/>
    <w:rsid w:val="0006674A"/>
    <w:rsid w:val="00066763"/>
    <w:rsid w:val="00066784"/>
    <w:rsid w:val="000667FA"/>
    <w:rsid w:val="00066819"/>
    <w:rsid w:val="000669CC"/>
    <w:rsid w:val="00066A4C"/>
    <w:rsid w:val="00066AE9"/>
    <w:rsid w:val="00066AF6"/>
    <w:rsid w:val="00066B9C"/>
    <w:rsid w:val="00066BBA"/>
    <w:rsid w:val="00066BCF"/>
    <w:rsid w:val="00066C6C"/>
    <w:rsid w:val="00066CB7"/>
    <w:rsid w:val="00066CC8"/>
    <w:rsid w:val="00066D06"/>
    <w:rsid w:val="00066D41"/>
    <w:rsid w:val="00066DD8"/>
    <w:rsid w:val="00066DE9"/>
    <w:rsid w:val="00066EC7"/>
    <w:rsid w:val="00066EF6"/>
    <w:rsid w:val="00066F41"/>
    <w:rsid w:val="00066F8E"/>
    <w:rsid w:val="00066FA4"/>
    <w:rsid w:val="000670D0"/>
    <w:rsid w:val="0006711E"/>
    <w:rsid w:val="0006713C"/>
    <w:rsid w:val="0006713D"/>
    <w:rsid w:val="00067149"/>
    <w:rsid w:val="00067171"/>
    <w:rsid w:val="00067192"/>
    <w:rsid w:val="0006720A"/>
    <w:rsid w:val="00067370"/>
    <w:rsid w:val="00067378"/>
    <w:rsid w:val="0006738D"/>
    <w:rsid w:val="00067408"/>
    <w:rsid w:val="00067411"/>
    <w:rsid w:val="00067461"/>
    <w:rsid w:val="000674EC"/>
    <w:rsid w:val="00067581"/>
    <w:rsid w:val="00067635"/>
    <w:rsid w:val="000676B6"/>
    <w:rsid w:val="000676CB"/>
    <w:rsid w:val="000676E2"/>
    <w:rsid w:val="00067739"/>
    <w:rsid w:val="00067767"/>
    <w:rsid w:val="00067768"/>
    <w:rsid w:val="0006776B"/>
    <w:rsid w:val="00067856"/>
    <w:rsid w:val="00067884"/>
    <w:rsid w:val="0006788E"/>
    <w:rsid w:val="000678A4"/>
    <w:rsid w:val="000678A6"/>
    <w:rsid w:val="000678BD"/>
    <w:rsid w:val="00067925"/>
    <w:rsid w:val="00067956"/>
    <w:rsid w:val="00067988"/>
    <w:rsid w:val="000679D5"/>
    <w:rsid w:val="00067AB3"/>
    <w:rsid w:val="00067AB9"/>
    <w:rsid w:val="00067B64"/>
    <w:rsid w:val="00067B81"/>
    <w:rsid w:val="00067C47"/>
    <w:rsid w:val="00067D3F"/>
    <w:rsid w:val="00067D43"/>
    <w:rsid w:val="00067D78"/>
    <w:rsid w:val="00067DC9"/>
    <w:rsid w:val="00067DCD"/>
    <w:rsid w:val="00067DD8"/>
    <w:rsid w:val="00067E34"/>
    <w:rsid w:val="00067E3C"/>
    <w:rsid w:val="00067E63"/>
    <w:rsid w:val="00067EED"/>
    <w:rsid w:val="00067EF4"/>
    <w:rsid w:val="00067F11"/>
    <w:rsid w:val="00067F1F"/>
    <w:rsid w:val="00067F49"/>
    <w:rsid w:val="00067F51"/>
    <w:rsid w:val="00067F89"/>
    <w:rsid w:val="00067FDC"/>
    <w:rsid w:val="00067FFE"/>
    <w:rsid w:val="00070001"/>
    <w:rsid w:val="0007009E"/>
    <w:rsid w:val="00070121"/>
    <w:rsid w:val="000701D4"/>
    <w:rsid w:val="000701D5"/>
    <w:rsid w:val="00070225"/>
    <w:rsid w:val="0007022E"/>
    <w:rsid w:val="00070252"/>
    <w:rsid w:val="00070278"/>
    <w:rsid w:val="000702FB"/>
    <w:rsid w:val="00070319"/>
    <w:rsid w:val="00070400"/>
    <w:rsid w:val="0007044C"/>
    <w:rsid w:val="0007053D"/>
    <w:rsid w:val="00070725"/>
    <w:rsid w:val="0007074B"/>
    <w:rsid w:val="0007078C"/>
    <w:rsid w:val="00070872"/>
    <w:rsid w:val="000708CB"/>
    <w:rsid w:val="000708F1"/>
    <w:rsid w:val="00070933"/>
    <w:rsid w:val="0007096B"/>
    <w:rsid w:val="000709D6"/>
    <w:rsid w:val="00070A68"/>
    <w:rsid w:val="00070ADE"/>
    <w:rsid w:val="00070AFF"/>
    <w:rsid w:val="00070B36"/>
    <w:rsid w:val="00070B5F"/>
    <w:rsid w:val="00070BDA"/>
    <w:rsid w:val="00070C20"/>
    <w:rsid w:val="00070D06"/>
    <w:rsid w:val="00070D24"/>
    <w:rsid w:val="00070D2B"/>
    <w:rsid w:val="00070D96"/>
    <w:rsid w:val="00070DD3"/>
    <w:rsid w:val="00070E5C"/>
    <w:rsid w:val="00070E79"/>
    <w:rsid w:val="00070E86"/>
    <w:rsid w:val="00070E9C"/>
    <w:rsid w:val="00070F8F"/>
    <w:rsid w:val="00070FBE"/>
    <w:rsid w:val="00070FD5"/>
    <w:rsid w:val="000710B6"/>
    <w:rsid w:val="000711A0"/>
    <w:rsid w:val="0007121D"/>
    <w:rsid w:val="00071225"/>
    <w:rsid w:val="000712DF"/>
    <w:rsid w:val="00071333"/>
    <w:rsid w:val="00071394"/>
    <w:rsid w:val="000713DD"/>
    <w:rsid w:val="000713E1"/>
    <w:rsid w:val="00071409"/>
    <w:rsid w:val="0007148B"/>
    <w:rsid w:val="000714E9"/>
    <w:rsid w:val="0007151F"/>
    <w:rsid w:val="00071566"/>
    <w:rsid w:val="000715B9"/>
    <w:rsid w:val="00071685"/>
    <w:rsid w:val="000716E1"/>
    <w:rsid w:val="0007172F"/>
    <w:rsid w:val="00071751"/>
    <w:rsid w:val="00071762"/>
    <w:rsid w:val="0007176A"/>
    <w:rsid w:val="000717A5"/>
    <w:rsid w:val="000717EA"/>
    <w:rsid w:val="0007181D"/>
    <w:rsid w:val="00071860"/>
    <w:rsid w:val="000718A7"/>
    <w:rsid w:val="000718B2"/>
    <w:rsid w:val="000718B7"/>
    <w:rsid w:val="000718E6"/>
    <w:rsid w:val="000719EC"/>
    <w:rsid w:val="00071ADF"/>
    <w:rsid w:val="00071B56"/>
    <w:rsid w:val="00071CE3"/>
    <w:rsid w:val="00071E15"/>
    <w:rsid w:val="00071E7A"/>
    <w:rsid w:val="00071E97"/>
    <w:rsid w:val="00071EF5"/>
    <w:rsid w:val="00071FD4"/>
    <w:rsid w:val="00072046"/>
    <w:rsid w:val="00072063"/>
    <w:rsid w:val="0007207A"/>
    <w:rsid w:val="00072243"/>
    <w:rsid w:val="00072253"/>
    <w:rsid w:val="00072255"/>
    <w:rsid w:val="00072359"/>
    <w:rsid w:val="00072375"/>
    <w:rsid w:val="0007239C"/>
    <w:rsid w:val="000723C0"/>
    <w:rsid w:val="000723D2"/>
    <w:rsid w:val="00072443"/>
    <w:rsid w:val="00072476"/>
    <w:rsid w:val="0007248C"/>
    <w:rsid w:val="000725B4"/>
    <w:rsid w:val="0007261C"/>
    <w:rsid w:val="0007263E"/>
    <w:rsid w:val="000727F5"/>
    <w:rsid w:val="0007288D"/>
    <w:rsid w:val="000728A8"/>
    <w:rsid w:val="000728A9"/>
    <w:rsid w:val="000728AC"/>
    <w:rsid w:val="00072939"/>
    <w:rsid w:val="00072971"/>
    <w:rsid w:val="0007297C"/>
    <w:rsid w:val="000729A0"/>
    <w:rsid w:val="000729D5"/>
    <w:rsid w:val="00072A1A"/>
    <w:rsid w:val="00072A46"/>
    <w:rsid w:val="00072A64"/>
    <w:rsid w:val="00072A6F"/>
    <w:rsid w:val="00072AEC"/>
    <w:rsid w:val="00072B1A"/>
    <w:rsid w:val="00072C27"/>
    <w:rsid w:val="00072C5E"/>
    <w:rsid w:val="00072CC9"/>
    <w:rsid w:val="00072CD4"/>
    <w:rsid w:val="00072CEC"/>
    <w:rsid w:val="00072D0A"/>
    <w:rsid w:val="00072DA2"/>
    <w:rsid w:val="00072E82"/>
    <w:rsid w:val="00072ED9"/>
    <w:rsid w:val="00072F14"/>
    <w:rsid w:val="00072F1C"/>
    <w:rsid w:val="00072F31"/>
    <w:rsid w:val="00072F63"/>
    <w:rsid w:val="00072FD3"/>
    <w:rsid w:val="00073005"/>
    <w:rsid w:val="0007301D"/>
    <w:rsid w:val="00073031"/>
    <w:rsid w:val="00073051"/>
    <w:rsid w:val="000730C2"/>
    <w:rsid w:val="000730CB"/>
    <w:rsid w:val="0007314A"/>
    <w:rsid w:val="000731B3"/>
    <w:rsid w:val="0007325F"/>
    <w:rsid w:val="000732C7"/>
    <w:rsid w:val="00073302"/>
    <w:rsid w:val="00073373"/>
    <w:rsid w:val="0007337B"/>
    <w:rsid w:val="000733AB"/>
    <w:rsid w:val="000733D5"/>
    <w:rsid w:val="000733D6"/>
    <w:rsid w:val="000733DE"/>
    <w:rsid w:val="00073432"/>
    <w:rsid w:val="0007349A"/>
    <w:rsid w:val="000735A4"/>
    <w:rsid w:val="000735D9"/>
    <w:rsid w:val="00073633"/>
    <w:rsid w:val="00073636"/>
    <w:rsid w:val="00073638"/>
    <w:rsid w:val="00073642"/>
    <w:rsid w:val="0007366A"/>
    <w:rsid w:val="00073686"/>
    <w:rsid w:val="0007375F"/>
    <w:rsid w:val="00073767"/>
    <w:rsid w:val="00073813"/>
    <w:rsid w:val="0007387E"/>
    <w:rsid w:val="0007394E"/>
    <w:rsid w:val="00073950"/>
    <w:rsid w:val="000739C1"/>
    <w:rsid w:val="00073A28"/>
    <w:rsid w:val="00073A66"/>
    <w:rsid w:val="00073A92"/>
    <w:rsid w:val="00073BC0"/>
    <w:rsid w:val="00073C1C"/>
    <w:rsid w:val="00073C53"/>
    <w:rsid w:val="00073D5A"/>
    <w:rsid w:val="00073DD2"/>
    <w:rsid w:val="00073DDF"/>
    <w:rsid w:val="00073DE4"/>
    <w:rsid w:val="00073E19"/>
    <w:rsid w:val="00073E5F"/>
    <w:rsid w:val="00073E6B"/>
    <w:rsid w:val="00073EAA"/>
    <w:rsid w:val="00073EB8"/>
    <w:rsid w:val="00073F42"/>
    <w:rsid w:val="00074012"/>
    <w:rsid w:val="00074034"/>
    <w:rsid w:val="00074035"/>
    <w:rsid w:val="00074067"/>
    <w:rsid w:val="0007409F"/>
    <w:rsid w:val="00074113"/>
    <w:rsid w:val="00074129"/>
    <w:rsid w:val="00074164"/>
    <w:rsid w:val="000741FB"/>
    <w:rsid w:val="00074389"/>
    <w:rsid w:val="000743ED"/>
    <w:rsid w:val="00074412"/>
    <w:rsid w:val="00074426"/>
    <w:rsid w:val="00074446"/>
    <w:rsid w:val="0007446B"/>
    <w:rsid w:val="00074473"/>
    <w:rsid w:val="0007449B"/>
    <w:rsid w:val="000744D4"/>
    <w:rsid w:val="0007462E"/>
    <w:rsid w:val="0007465F"/>
    <w:rsid w:val="0007466C"/>
    <w:rsid w:val="000746FB"/>
    <w:rsid w:val="000746FD"/>
    <w:rsid w:val="00074735"/>
    <w:rsid w:val="000747F3"/>
    <w:rsid w:val="0007480A"/>
    <w:rsid w:val="0007481E"/>
    <w:rsid w:val="000748BA"/>
    <w:rsid w:val="000748FA"/>
    <w:rsid w:val="00074903"/>
    <w:rsid w:val="0007494A"/>
    <w:rsid w:val="000749E1"/>
    <w:rsid w:val="000749F3"/>
    <w:rsid w:val="00074B2D"/>
    <w:rsid w:val="00074BF0"/>
    <w:rsid w:val="00074C30"/>
    <w:rsid w:val="00074D26"/>
    <w:rsid w:val="00074D4C"/>
    <w:rsid w:val="00074D67"/>
    <w:rsid w:val="00074D8A"/>
    <w:rsid w:val="00074DC2"/>
    <w:rsid w:val="00074DE3"/>
    <w:rsid w:val="00074E1A"/>
    <w:rsid w:val="00074E7E"/>
    <w:rsid w:val="00074EE3"/>
    <w:rsid w:val="00074F19"/>
    <w:rsid w:val="00074F34"/>
    <w:rsid w:val="00074F3D"/>
    <w:rsid w:val="00074FA3"/>
    <w:rsid w:val="0007506D"/>
    <w:rsid w:val="00075107"/>
    <w:rsid w:val="00075108"/>
    <w:rsid w:val="00075121"/>
    <w:rsid w:val="0007519C"/>
    <w:rsid w:val="0007533E"/>
    <w:rsid w:val="000753C9"/>
    <w:rsid w:val="000753DC"/>
    <w:rsid w:val="00075412"/>
    <w:rsid w:val="0007543C"/>
    <w:rsid w:val="00075447"/>
    <w:rsid w:val="00075470"/>
    <w:rsid w:val="00075488"/>
    <w:rsid w:val="0007555E"/>
    <w:rsid w:val="000755E8"/>
    <w:rsid w:val="0007561D"/>
    <w:rsid w:val="00075638"/>
    <w:rsid w:val="0007564B"/>
    <w:rsid w:val="00075697"/>
    <w:rsid w:val="000756A9"/>
    <w:rsid w:val="000756DE"/>
    <w:rsid w:val="000756E2"/>
    <w:rsid w:val="000756F6"/>
    <w:rsid w:val="000757CA"/>
    <w:rsid w:val="000757EA"/>
    <w:rsid w:val="00075824"/>
    <w:rsid w:val="0007584E"/>
    <w:rsid w:val="00075864"/>
    <w:rsid w:val="000758AF"/>
    <w:rsid w:val="000758B0"/>
    <w:rsid w:val="000758F2"/>
    <w:rsid w:val="00075997"/>
    <w:rsid w:val="000759D5"/>
    <w:rsid w:val="000759E2"/>
    <w:rsid w:val="00075A5E"/>
    <w:rsid w:val="00075AF0"/>
    <w:rsid w:val="00075B11"/>
    <w:rsid w:val="00075CF1"/>
    <w:rsid w:val="00075D60"/>
    <w:rsid w:val="00075DA9"/>
    <w:rsid w:val="00075E27"/>
    <w:rsid w:val="00075E2B"/>
    <w:rsid w:val="00075E35"/>
    <w:rsid w:val="00075E6C"/>
    <w:rsid w:val="00075EA5"/>
    <w:rsid w:val="00075EC5"/>
    <w:rsid w:val="00075F26"/>
    <w:rsid w:val="00075F67"/>
    <w:rsid w:val="00075FBA"/>
    <w:rsid w:val="00075FCC"/>
    <w:rsid w:val="00075FED"/>
    <w:rsid w:val="00076039"/>
    <w:rsid w:val="0007604F"/>
    <w:rsid w:val="0007608A"/>
    <w:rsid w:val="000761FE"/>
    <w:rsid w:val="00076227"/>
    <w:rsid w:val="00076300"/>
    <w:rsid w:val="00076340"/>
    <w:rsid w:val="00076381"/>
    <w:rsid w:val="000763E5"/>
    <w:rsid w:val="0007640E"/>
    <w:rsid w:val="00076452"/>
    <w:rsid w:val="000764C7"/>
    <w:rsid w:val="000764DF"/>
    <w:rsid w:val="00076581"/>
    <w:rsid w:val="000765D4"/>
    <w:rsid w:val="00076607"/>
    <w:rsid w:val="0007668B"/>
    <w:rsid w:val="000766C2"/>
    <w:rsid w:val="00076701"/>
    <w:rsid w:val="0007677F"/>
    <w:rsid w:val="000767D1"/>
    <w:rsid w:val="0007681A"/>
    <w:rsid w:val="00076831"/>
    <w:rsid w:val="0007688D"/>
    <w:rsid w:val="000769D6"/>
    <w:rsid w:val="00076A21"/>
    <w:rsid w:val="00076BBF"/>
    <w:rsid w:val="00076BCB"/>
    <w:rsid w:val="00076BF6"/>
    <w:rsid w:val="00076CE0"/>
    <w:rsid w:val="00076D15"/>
    <w:rsid w:val="00076DF2"/>
    <w:rsid w:val="00076E9D"/>
    <w:rsid w:val="00076ED7"/>
    <w:rsid w:val="00076F3F"/>
    <w:rsid w:val="00077067"/>
    <w:rsid w:val="000770F1"/>
    <w:rsid w:val="000770F3"/>
    <w:rsid w:val="00077338"/>
    <w:rsid w:val="0007733F"/>
    <w:rsid w:val="00077386"/>
    <w:rsid w:val="000773AE"/>
    <w:rsid w:val="0007748C"/>
    <w:rsid w:val="000774D6"/>
    <w:rsid w:val="000775C3"/>
    <w:rsid w:val="00077677"/>
    <w:rsid w:val="000776FD"/>
    <w:rsid w:val="00077702"/>
    <w:rsid w:val="0007773C"/>
    <w:rsid w:val="000777A8"/>
    <w:rsid w:val="000777CA"/>
    <w:rsid w:val="000777F7"/>
    <w:rsid w:val="000778AC"/>
    <w:rsid w:val="00077922"/>
    <w:rsid w:val="0007792E"/>
    <w:rsid w:val="0007794D"/>
    <w:rsid w:val="00077968"/>
    <w:rsid w:val="00077981"/>
    <w:rsid w:val="000779AF"/>
    <w:rsid w:val="00077A98"/>
    <w:rsid w:val="00077ABE"/>
    <w:rsid w:val="00077B3B"/>
    <w:rsid w:val="00077C39"/>
    <w:rsid w:val="00077CD9"/>
    <w:rsid w:val="00077CE5"/>
    <w:rsid w:val="00077D39"/>
    <w:rsid w:val="00077D62"/>
    <w:rsid w:val="00077E18"/>
    <w:rsid w:val="00077E58"/>
    <w:rsid w:val="00077E6F"/>
    <w:rsid w:val="00077E77"/>
    <w:rsid w:val="00077E94"/>
    <w:rsid w:val="00077F1F"/>
    <w:rsid w:val="00077F92"/>
    <w:rsid w:val="00077FDB"/>
    <w:rsid w:val="00080056"/>
    <w:rsid w:val="0008013E"/>
    <w:rsid w:val="00080171"/>
    <w:rsid w:val="000801FD"/>
    <w:rsid w:val="00080208"/>
    <w:rsid w:val="00080223"/>
    <w:rsid w:val="000802D7"/>
    <w:rsid w:val="00080334"/>
    <w:rsid w:val="000803AC"/>
    <w:rsid w:val="000803C8"/>
    <w:rsid w:val="000803DF"/>
    <w:rsid w:val="00080462"/>
    <w:rsid w:val="000804F4"/>
    <w:rsid w:val="000804FD"/>
    <w:rsid w:val="00080537"/>
    <w:rsid w:val="0008056B"/>
    <w:rsid w:val="0008057B"/>
    <w:rsid w:val="0008058E"/>
    <w:rsid w:val="000805E9"/>
    <w:rsid w:val="000805F2"/>
    <w:rsid w:val="00080719"/>
    <w:rsid w:val="000807AA"/>
    <w:rsid w:val="000807B7"/>
    <w:rsid w:val="0008093E"/>
    <w:rsid w:val="00080A0D"/>
    <w:rsid w:val="00080AA1"/>
    <w:rsid w:val="00080AD5"/>
    <w:rsid w:val="00080B14"/>
    <w:rsid w:val="00080C58"/>
    <w:rsid w:val="00080C63"/>
    <w:rsid w:val="00080C7B"/>
    <w:rsid w:val="00080CAC"/>
    <w:rsid w:val="00080CB3"/>
    <w:rsid w:val="00080CF3"/>
    <w:rsid w:val="00080DE7"/>
    <w:rsid w:val="00080E25"/>
    <w:rsid w:val="00080E2A"/>
    <w:rsid w:val="00080E3F"/>
    <w:rsid w:val="00080EF5"/>
    <w:rsid w:val="00080F05"/>
    <w:rsid w:val="00081043"/>
    <w:rsid w:val="00081049"/>
    <w:rsid w:val="0008105F"/>
    <w:rsid w:val="000810B5"/>
    <w:rsid w:val="000811EB"/>
    <w:rsid w:val="000811FA"/>
    <w:rsid w:val="000811FF"/>
    <w:rsid w:val="0008124E"/>
    <w:rsid w:val="00081355"/>
    <w:rsid w:val="000813D3"/>
    <w:rsid w:val="000813E9"/>
    <w:rsid w:val="00081440"/>
    <w:rsid w:val="00081524"/>
    <w:rsid w:val="000815D9"/>
    <w:rsid w:val="0008166B"/>
    <w:rsid w:val="000817F5"/>
    <w:rsid w:val="000818B5"/>
    <w:rsid w:val="0008190E"/>
    <w:rsid w:val="00081924"/>
    <w:rsid w:val="0008196C"/>
    <w:rsid w:val="00081A52"/>
    <w:rsid w:val="00081A53"/>
    <w:rsid w:val="00081A65"/>
    <w:rsid w:val="00081C92"/>
    <w:rsid w:val="00081D52"/>
    <w:rsid w:val="00081D63"/>
    <w:rsid w:val="00081D8C"/>
    <w:rsid w:val="00081DCE"/>
    <w:rsid w:val="00081E08"/>
    <w:rsid w:val="00081EBD"/>
    <w:rsid w:val="00081FA9"/>
    <w:rsid w:val="00081FAF"/>
    <w:rsid w:val="00081FCD"/>
    <w:rsid w:val="00082052"/>
    <w:rsid w:val="00082082"/>
    <w:rsid w:val="000820F6"/>
    <w:rsid w:val="00082105"/>
    <w:rsid w:val="00082143"/>
    <w:rsid w:val="00082185"/>
    <w:rsid w:val="00082272"/>
    <w:rsid w:val="0008229D"/>
    <w:rsid w:val="000822C3"/>
    <w:rsid w:val="000822D6"/>
    <w:rsid w:val="000824E8"/>
    <w:rsid w:val="00082523"/>
    <w:rsid w:val="00082549"/>
    <w:rsid w:val="00082591"/>
    <w:rsid w:val="000825C7"/>
    <w:rsid w:val="000825DE"/>
    <w:rsid w:val="0008262B"/>
    <w:rsid w:val="00082668"/>
    <w:rsid w:val="000828C3"/>
    <w:rsid w:val="000828E9"/>
    <w:rsid w:val="000829AC"/>
    <w:rsid w:val="00082A2C"/>
    <w:rsid w:val="00082A3D"/>
    <w:rsid w:val="00082A5B"/>
    <w:rsid w:val="00082A78"/>
    <w:rsid w:val="00082AAA"/>
    <w:rsid w:val="00082B52"/>
    <w:rsid w:val="00082BCA"/>
    <w:rsid w:val="00082BE5"/>
    <w:rsid w:val="00082C09"/>
    <w:rsid w:val="00082C16"/>
    <w:rsid w:val="00082C21"/>
    <w:rsid w:val="00082C41"/>
    <w:rsid w:val="00082C51"/>
    <w:rsid w:val="00082CC8"/>
    <w:rsid w:val="00082D2D"/>
    <w:rsid w:val="00082D78"/>
    <w:rsid w:val="00082DB4"/>
    <w:rsid w:val="00082E15"/>
    <w:rsid w:val="00082E30"/>
    <w:rsid w:val="00082E6B"/>
    <w:rsid w:val="00082EAE"/>
    <w:rsid w:val="00082F6B"/>
    <w:rsid w:val="00082F6C"/>
    <w:rsid w:val="00082F7D"/>
    <w:rsid w:val="00082FAD"/>
    <w:rsid w:val="00083021"/>
    <w:rsid w:val="000831F8"/>
    <w:rsid w:val="0008330A"/>
    <w:rsid w:val="00083320"/>
    <w:rsid w:val="0008334C"/>
    <w:rsid w:val="000833EA"/>
    <w:rsid w:val="00083427"/>
    <w:rsid w:val="00083455"/>
    <w:rsid w:val="0008350E"/>
    <w:rsid w:val="000835D3"/>
    <w:rsid w:val="00083632"/>
    <w:rsid w:val="00083691"/>
    <w:rsid w:val="00083747"/>
    <w:rsid w:val="0008387F"/>
    <w:rsid w:val="0008392F"/>
    <w:rsid w:val="00083A9A"/>
    <w:rsid w:val="00083AB1"/>
    <w:rsid w:val="00083B14"/>
    <w:rsid w:val="00083B91"/>
    <w:rsid w:val="00083BCA"/>
    <w:rsid w:val="00083D0C"/>
    <w:rsid w:val="00083D3E"/>
    <w:rsid w:val="00083DBE"/>
    <w:rsid w:val="00083DC0"/>
    <w:rsid w:val="00083DD7"/>
    <w:rsid w:val="00083E29"/>
    <w:rsid w:val="00083E98"/>
    <w:rsid w:val="00083E9E"/>
    <w:rsid w:val="00083EA2"/>
    <w:rsid w:val="00083EC0"/>
    <w:rsid w:val="00083ED2"/>
    <w:rsid w:val="00083F4E"/>
    <w:rsid w:val="00083F63"/>
    <w:rsid w:val="0008404A"/>
    <w:rsid w:val="0008406A"/>
    <w:rsid w:val="00084081"/>
    <w:rsid w:val="000840A3"/>
    <w:rsid w:val="00084180"/>
    <w:rsid w:val="00084218"/>
    <w:rsid w:val="00084234"/>
    <w:rsid w:val="0008428D"/>
    <w:rsid w:val="000842E8"/>
    <w:rsid w:val="00084360"/>
    <w:rsid w:val="0008436A"/>
    <w:rsid w:val="0008438E"/>
    <w:rsid w:val="000843F0"/>
    <w:rsid w:val="00084425"/>
    <w:rsid w:val="00084444"/>
    <w:rsid w:val="000844E9"/>
    <w:rsid w:val="00084574"/>
    <w:rsid w:val="000845B4"/>
    <w:rsid w:val="000846FA"/>
    <w:rsid w:val="00084718"/>
    <w:rsid w:val="0008471E"/>
    <w:rsid w:val="0008472B"/>
    <w:rsid w:val="0008472F"/>
    <w:rsid w:val="0008473A"/>
    <w:rsid w:val="000847BC"/>
    <w:rsid w:val="000847DE"/>
    <w:rsid w:val="000847FA"/>
    <w:rsid w:val="000848BC"/>
    <w:rsid w:val="000848E6"/>
    <w:rsid w:val="0008497F"/>
    <w:rsid w:val="00084B05"/>
    <w:rsid w:val="00084C9B"/>
    <w:rsid w:val="00084CA6"/>
    <w:rsid w:val="00084D38"/>
    <w:rsid w:val="00084D8A"/>
    <w:rsid w:val="00084DCB"/>
    <w:rsid w:val="00084E48"/>
    <w:rsid w:val="00084ECC"/>
    <w:rsid w:val="00084F00"/>
    <w:rsid w:val="00084F14"/>
    <w:rsid w:val="00084FC4"/>
    <w:rsid w:val="00085025"/>
    <w:rsid w:val="00085086"/>
    <w:rsid w:val="000850AB"/>
    <w:rsid w:val="000850DD"/>
    <w:rsid w:val="00085159"/>
    <w:rsid w:val="0008517F"/>
    <w:rsid w:val="000851DD"/>
    <w:rsid w:val="000851F7"/>
    <w:rsid w:val="00085224"/>
    <w:rsid w:val="0008522A"/>
    <w:rsid w:val="00085344"/>
    <w:rsid w:val="0008536D"/>
    <w:rsid w:val="00085436"/>
    <w:rsid w:val="0008547F"/>
    <w:rsid w:val="000854A0"/>
    <w:rsid w:val="000854CC"/>
    <w:rsid w:val="000854DB"/>
    <w:rsid w:val="000854DC"/>
    <w:rsid w:val="000854F0"/>
    <w:rsid w:val="0008554D"/>
    <w:rsid w:val="00085646"/>
    <w:rsid w:val="0008565C"/>
    <w:rsid w:val="00085662"/>
    <w:rsid w:val="000856B3"/>
    <w:rsid w:val="00085775"/>
    <w:rsid w:val="00085777"/>
    <w:rsid w:val="000857AE"/>
    <w:rsid w:val="000857E2"/>
    <w:rsid w:val="0008580A"/>
    <w:rsid w:val="00085858"/>
    <w:rsid w:val="000859C8"/>
    <w:rsid w:val="000859E2"/>
    <w:rsid w:val="00085A48"/>
    <w:rsid w:val="00085ADA"/>
    <w:rsid w:val="00085B37"/>
    <w:rsid w:val="00085CBE"/>
    <w:rsid w:val="00085D38"/>
    <w:rsid w:val="00085D91"/>
    <w:rsid w:val="00085DB0"/>
    <w:rsid w:val="00085DC3"/>
    <w:rsid w:val="00085E4F"/>
    <w:rsid w:val="00085E52"/>
    <w:rsid w:val="00085E69"/>
    <w:rsid w:val="00085F04"/>
    <w:rsid w:val="00085F48"/>
    <w:rsid w:val="00085FB4"/>
    <w:rsid w:val="00085FBB"/>
    <w:rsid w:val="00085FDF"/>
    <w:rsid w:val="00085FE4"/>
    <w:rsid w:val="0008605C"/>
    <w:rsid w:val="000860DC"/>
    <w:rsid w:val="000860E4"/>
    <w:rsid w:val="00086157"/>
    <w:rsid w:val="0008615C"/>
    <w:rsid w:val="0008620D"/>
    <w:rsid w:val="00086255"/>
    <w:rsid w:val="000862E3"/>
    <w:rsid w:val="000862FC"/>
    <w:rsid w:val="00086303"/>
    <w:rsid w:val="0008633A"/>
    <w:rsid w:val="0008634C"/>
    <w:rsid w:val="00086372"/>
    <w:rsid w:val="0008641F"/>
    <w:rsid w:val="0008646E"/>
    <w:rsid w:val="00086496"/>
    <w:rsid w:val="000864CF"/>
    <w:rsid w:val="000864DC"/>
    <w:rsid w:val="000864DD"/>
    <w:rsid w:val="0008650D"/>
    <w:rsid w:val="0008651B"/>
    <w:rsid w:val="000865EC"/>
    <w:rsid w:val="000865FB"/>
    <w:rsid w:val="00086617"/>
    <w:rsid w:val="00086708"/>
    <w:rsid w:val="00086782"/>
    <w:rsid w:val="00086878"/>
    <w:rsid w:val="00086889"/>
    <w:rsid w:val="0008694C"/>
    <w:rsid w:val="00086A35"/>
    <w:rsid w:val="00086A3C"/>
    <w:rsid w:val="00086A8E"/>
    <w:rsid w:val="00086ABF"/>
    <w:rsid w:val="00086AFB"/>
    <w:rsid w:val="00086B26"/>
    <w:rsid w:val="00086B59"/>
    <w:rsid w:val="00086BB7"/>
    <w:rsid w:val="00086C1A"/>
    <w:rsid w:val="00086C6D"/>
    <w:rsid w:val="00086D0A"/>
    <w:rsid w:val="00086DD6"/>
    <w:rsid w:val="00086FB1"/>
    <w:rsid w:val="00086FF7"/>
    <w:rsid w:val="00087043"/>
    <w:rsid w:val="00087092"/>
    <w:rsid w:val="000870C3"/>
    <w:rsid w:val="00087125"/>
    <w:rsid w:val="00087255"/>
    <w:rsid w:val="000872BE"/>
    <w:rsid w:val="000872E4"/>
    <w:rsid w:val="000872F1"/>
    <w:rsid w:val="000872F5"/>
    <w:rsid w:val="00087345"/>
    <w:rsid w:val="00087350"/>
    <w:rsid w:val="0008735A"/>
    <w:rsid w:val="0008737B"/>
    <w:rsid w:val="00087385"/>
    <w:rsid w:val="00087389"/>
    <w:rsid w:val="00087391"/>
    <w:rsid w:val="000873EF"/>
    <w:rsid w:val="000873FC"/>
    <w:rsid w:val="000874D0"/>
    <w:rsid w:val="0008750F"/>
    <w:rsid w:val="0008752C"/>
    <w:rsid w:val="00087539"/>
    <w:rsid w:val="0008756B"/>
    <w:rsid w:val="00087585"/>
    <w:rsid w:val="0008758F"/>
    <w:rsid w:val="000875C7"/>
    <w:rsid w:val="0008760F"/>
    <w:rsid w:val="00087660"/>
    <w:rsid w:val="00087663"/>
    <w:rsid w:val="0008769E"/>
    <w:rsid w:val="000876B1"/>
    <w:rsid w:val="000876FF"/>
    <w:rsid w:val="0008779B"/>
    <w:rsid w:val="000877CA"/>
    <w:rsid w:val="000877CD"/>
    <w:rsid w:val="00087892"/>
    <w:rsid w:val="0008789B"/>
    <w:rsid w:val="000878C1"/>
    <w:rsid w:val="00087947"/>
    <w:rsid w:val="000879B6"/>
    <w:rsid w:val="000879EC"/>
    <w:rsid w:val="000879F0"/>
    <w:rsid w:val="00087ABD"/>
    <w:rsid w:val="00087AC4"/>
    <w:rsid w:val="00087AD3"/>
    <w:rsid w:val="00087B2F"/>
    <w:rsid w:val="00087BBC"/>
    <w:rsid w:val="00087C09"/>
    <w:rsid w:val="00087C9F"/>
    <w:rsid w:val="00087CA1"/>
    <w:rsid w:val="00087CBD"/>
    <w:rsid w:val="00087F2A"/>
    <w:rsid w:val="00087F84"/>
    <w:rsid w:val="0009001C"/>
    <w:rsid w:val="0009002F"/>
    <w:rsid w:val="0009003C"/>
    <w:rsid w:val="00090056"/>
    <w:rsid w:val="000900BD"/>
    <w:rsid w:val="00090129"/>
    <w:rsid w:val="00090131"/>
    <w:rsid w:val="00090162"/>
    <w:rsid w:val="0009019C"/>
    <w:rsid w:val="000901AD"/>
    <w:rsid w:val="000901ED"/>
    <w:rsid w:val="000901F3"/>
    <w:rsid w:val="000902B5"/>
    <w:rsid w:val="000902B6"/>
    <w:rsid w:val="00090347"/>
    <w:rsid w:val="00090393"/>
    <w:rsid w:val="000903B5"/>
    <w:rsid w:val="000903DF"/>
    <w:rsid w:val="0009047F"/>
    <w:rsid w:val="000904A7"/>
    <w:rsid w:val="000904D7"/>
    <w:rsid w:val="000905DD"/>
    <w:rsid w:val="000906FB"/>
    <w:rsid w:val="00090726"/>
    <w:rsid w:val="00090822"/>
    <w:rsid w:val="00090837"/>
    <w:rsid w:val="00090855"/>
    <w:rsid w:val="00090866"/>
    <w:rsid w:val="000908DF"/>
    <w:rsid w:val="00090904"/>
    <w:rsid w:val="00090933"/>
    <w:rsid w:val="0009094B"/>
    <w:rsid w:val="0009096E"/>
    <w:rsid w:val="0009098B"/>
    <w:rsid w:val="00090999"/>
    <w:rsid w:val="00090A00"/>
    <w:rsid w:val="00090AA9"/>
    <w:rsid w:val="00090AF3"/>
    <w:rsid w:val="00090B94"/>
    <w:rsid w:val="00090BE0"/>
    <w:rsid w:val="00090C1F"/>
    <w:rsid w:val="00090C5C"/>
    <w:rsid w:val="00090CCF"/>
    <w:rsid w:val="00090D5C"/>
    <w:rsid w:val="00090D88"/>
    <w:rsid w:val="00090E40"/>
    <w:rsid w:val="00090F0F"/>
    <w:rsid w:val="00090FB3"/>
    <w:rsid w:val="00090FB8"/>
    <w:rsid w:val="00091042"/>
    <w:rsid w:val="00091055"/>
    <w:rsid w:val="0009107E"/>
    <w:rsid w:val="000910D6"/>
    <w:rsid w:val="000910F4"/>
    <w:rsid w:val="00091103"/>
    <w:rsid w:val="0009111B"/>
    <w:rsid w:val="000911F6"/>
    <w:rsid w:val="0009122D"/>
    <w:rsid w:val="000912C8"/>
    <w:rsid w:val="000912EF"/>
    <w:rsid w:val="00091387"/>
    <w:rsid w:val="00091484"/>
    <w:rsid w:val="000914B6"/>
    <w:rsid w:val="000914C4"/>
    <w:rsid w:val="00091504"/>
    <w:rsid w:val="0009152B"/>
    <w:rsid w:val="00091584"/>
    <w:rsid w:val="0009159F"/>
    <w:rsid w:val="000915E5"/>
    <w:rsid w:val="00091668"/>
    <w:rsid w:val="000916E2"/>
    <w:rsid w:val="000917A7"/>
    <w:rsid w:val="000917ED"/>
    <w:rsid w:val="000917F2"/>
    <w:rsid w:val="00091802"/>
    <w:rsid w:val="00091817"/>
    <w:rsid w:val="0009185D"/>
    <w:rsid w:val="000918B8"/>
    <w:rsid w:val="000918DE"/>
    <w:rsid w:val="00091919"/>
    <w:rsid w:val="00091A38"/>
    <w:rsid w:val="00091A39"/>
    <w:rsid w:val="00091A60"/>
    <w:rsid w:val="00091A88"/>
    <w:rsid w:val="00091B2C"/>
    <w:rsid w:val="00091B60"/>
    <w:rsid w:val="00091B6B"/>
    <w:rsid w:val="00091B82"/>
    <w:rsid w:val="00091C09"/>
    <w:rsid w:val="00091CDE"/>
    <w:rsid w:val="00091D2C"/>
    <w:rsid w:val="00091D40"/>
    <w:rsid w:val="00091E66"/>
    <w:rsid w:val="00091EFB"/>
    <w:rsid w:val="00091FD4"/>
    <w:rsid w:val="00092027"/>
    <w:rsid w:val="00092036"/>
    <w:rsid w:val="000920F3"/>
    <w:rsid w:val="0009212A"/>
    <w:rsid w:val="0009225E"/>
    <w:rsid w:val="0009228D"/>
    <w:rsid w:val="0009229D"/>
    <w:rsid w:val="00092307"/>
    <w:rsid w:val="00092319"/>
    <w:rsid w:val="0009237C"/>
    <w:rsid w:val="000923B6"/>
    <w:rsid w:val="000923F2"/>
    <w:rsid w:val="00092417"/>
    <w:rsid w:val="00092470"/>
    <w:rsid w:val="0009247D"/>
    <w:rsid w:val="0009248A"/>
    <w:rsid w:val="00092517"/>
    <w:rsid w:val="00092543"/>
    <w:rsid w:val="0009257A"/>
    <w:rsid w:val="00092581"/>
    <w:rsid w:val="000925B5"/>
    <w:rsid w:val="000925EB"/>
    <w:rsid w:val="00092642"/>
    <w:rsid w:val="0009268D"/>
    <w:rsid w:val="0009269F"/>
    <w:rsid w:val="000926A1"/>
    <w:rsid w:val="000926A5"/>
    <w:rsid w:val="00092730"/>
    <w:rsid w:val="000927BB"/>
    <w:rsid w:val="00092834"/>
    <w:rsid w:val="000928B9"/>
    <w:rsid w:val="000928CB"/>
    <w:rsid w:val="00092908"/>
    <w:rsid w:val="000929BB"/>
    <w:rsid w:val="000929D5"/>
    <w:rsid w:val="000929E0"/>
    <w:rsid w:val="000929E5"/>
    <w:rsid w:val="00092A57"/>
    <w:rsid w:val="00092A89"/>
    <w:rsid w:val="00092A94"/>
    <w:rsid w:val="00092AAF"/>
    <w:rsid w:val="00092B18"/>
    <w:rsid w:val="00092B78"/>
    <w:rsid w:val="00092B91"/>
    <w:rsid w:val="00092C4D"/>
    <w:rsid w:val="00092C60"/>
    <w:rsid w:val="00092C6B"/>
    <w:rsid w:val="00092C92"/>
    <w:rsid w:val="00092D36"/>
    <w:rsid w:val="00092DC5"/>
    <w:rsid w:val="00092E01"/>
    <w:rsid w:val="00092E16"/>
    <w:rsid w:val="00092E35"/>
    <w:rsid w:val="00092E96"/>
    <w:rsid w:val="00092EFD"/>
    <w:rsid w:val="00093001"/>
    <w:rsid w:val="0009302C"/>
    <w:rsid w:val="000930A9"/>
    <w:rsid w:val="000930C0"/>
    <w:rsid w:val="000930D2"/>
    <w:rsid w:val="000930F1"/>
    <w:rsid w:val="000930FD"/>
    <w:rsid w:val="00093182"/>
    <w:rsid w:val="000931BF"/>
    <w:rsid w:val="000931C5"/>
    <w:rsid w:val="0009321C"/>
    <w:rsid w:val="00093258"/>
    <w:rsid w:val="00093286"/>
    <w:rsid w:val="00093292"/>
    <w:rsid w:val="000932C5"/>
    <w:rsid w:val="000932D0"/>
    <w:rsid w:val="000932D7"/>
    <w:rsid w:val="00093311"/>
    <w:rsid w:val="00093327"/>
    <w:rsid w:val="00093368"/>
    <w:rsid w:val="000933B6"/>
    <w:rsid w:val="0009345B"/>
    <w:rsid w:val="000934CD"/>
    <w:rsid w:val="000934D0"/>
    <w:rsid w:val="000934E7"/>
    <w:rsid w:val="00093572"/>
    <w:rsid w:val="000935AD"/>
    <w:rsid w:val="00093693"/>
    <w:rsid w:val="00093795"/>
    <w:rsid w:val="000937C9"/>
    <w:rsid w:val="000937EE"/>
    <w:rsid w:val="0009393E"/>
    <w:rsid w:val="0009395F"/>
    <w:rsid w:val="00093964"/>
    <w:rsid w:val="00093A92"/>
    <w:rsid w:val="00093B80"/>
    <w:rsid w:val="00093BBC"/>
    <w:rsid w:val="00093C12"/>
    <w:rsid w:val="00093C76"/>
    <w:rsid w:val="00093CAF"/>
    <w:rsid w:val="00093CC7"/>
    <w:rsid w:val="00093D05"/>
    <w:rsid w:val="00093D3C"/>
    <w:rsid w:val="00093DBB"/>
    <w:rsid w:val="00093DF3"/>
    <w:rsid w:val="00093DFC"/>
    <w:rsid w:val="00093E76"/>
    <w:rsid w:val="00093E7C"/>
    <w:rsid w:val="00093E93"/>
    <w:rsid w:val="00093ED1"/>
    <w:rsid w:val="00093FB4"/>
    <w:rsid w:val="00094077"/>
    <w:rsid w:val="0009407E"/>
    <w:rsid w:val="000940BE"/>
    <w:rsid w:val="000940EE"/>
    <w:rsid w:val="00094175"/>
    <w:rsid w:val="0009421C"/>
    <w:rsid w:val="00094234"/>
    <w:rsid w:val="00094296"/>
    <w:rsid w:val="00094392"/>
    <w:rsid w:val="000943CF"/>
    <w:rsid w:val="000943FE"/>
    <w:rsid w:val="00094408"/>
    <w:rsid w:val="00094468"/>
    <w:rsid w:val="0009446B"/>
    <w:rsid w:val="000944E8"/>
    <w:rsid w:val="0009456C"/>
    <w:rsid w:val="00094599"/>
    <w:rsid w:val="000945EB"/>
    <w:rsid w:val="00094630"/>
    <w:rsid w:val="000946CE"/>
    <w:rsid w:val="000947C0"/>
    <w:rsid w:val="000947D5"/>
    <w:rsid w:val="000947EB"/>
    <w:rsid w:val="000947ED"/>
    <w:rsid w:val="0009481D"/>
    <w:rsid w:val="00094831"/>
    <w:rsid w:val="000948A5"/>
    <w:rsid w:val="000948D0"/>
    <w:rsid w:val="000948F1"/>
    <w:rsid w:val="00094901"/>
    <w:rsid w:val="0009496E"/>
    <w:rsid w:val="00094998"/>
    <w:rsid w:val="000949DA"/>
    <w:rsid w:val="00094A01"/>
    <w:rsid w:val="00094A29"/>
    <w:rsid w:val="00094A2B"/>
    <w:rsid w:val="00094A92"/>
    <w:rsid w:val="00094A95"/>
    <w:rsid w:val="00094AF4"/>
    <w:rsid w:val="00094B55"/>
    <w:rsid w:val="00094B63"/>
    <w:rsid w:val="00094BFB"/>
    <w:rsid w:val="00094C91"/>
    <w:rsid w:val="00094CF8"/>
    <w:rsid w:val="00094D7B"/>
    <w:rsid w:val="00094DA2"/>
    <w:rsid w:val="00094E17"/>
    <w:rsid w:val="00094E50"/>
    <w:rsid w:val="00094E5C"/>
    <w:rsid w:val="00094E63"/>
    <w:rsid w:val="00094EB1"/>
    <w:rsid w:val="00094EBC"/>
    <w:rsid w:val="00094ED4"/>
    <w:rsid w:val="00094F00"/>
    <w:rsid w:val="00094F3D"/>
    <w:rsid w:val="00094FCE"/>
    <w:rsid w:val="00094FD8"/>
    <w:rsid w:val="000950BE"/>
    <w:rsid w:val="000950D3"/>
    <w:rsid w:val="0009514D"/>
    <w:rsid w:val="00095191"/>
    <w:rsid w:val="000951B4"/>
    <w:rsid w:val="000951C2"/>
    <w:rsid w:val="00095215"/>
    <w:rsid w:val="00095252"/>
    <w:rsid w:val="00095282"/>
    <w:rsid w:val="000952EE"/>
    <w:rsid w:val="00095311"/>
    <w:rsid w:val="00095335"/>
    <w:rsid w:val="00095363"/>
    <w:rsid w:val="00095368"/>
    <w:rsid w:val="000953C1"/>
    <w:rsid w:val="000953E7"/>
    <w:rsid w:val="0009545C"/>
    <w:rsid w:val="0009551B"/>
    <w:rsid w:val="00095649"/>
    <w:rsid w:val="000956F3"/>
    <w:rsid w:val="00095713"/>
    <w:rsid w:val="00095761"/>
    <w:rsid w:val="000957F8"/>
    <w:rsid w:val="000957FD"/>
    <w:rsid w:val="00095873"/>
    <w:rsid w:val="00095875"/>
    <w:rsid w:val="0009588A"/>
    <w:rsid w:val="000958F5"/>
    <w:rsid w:val="0009590F"/>
    <w:rsid w:val="00095914"/>
    <w:rsid w:val="00095924"/>
    <w:rsid w:val="0009598D"/>
    <w:rsid w:val="0009598E"/>
    <w:rsid w:val="00095B36"/>
    <w:rsid w:val="00095B3C"/>
    <w:rsid w:val="00095B8F"/>
    <w:rsid w:val="00095B98"/>
    <w:rsid w:val="00095C3C"/>
    <w:rsid w:val="00095C69"/>
    <w:rsid w:val="00095C6A"/>
    <w:rsid w:val="00095D6B"/>
    <w:rsid w:val="00095D9E"/>
    <w:rsid w:val="00095DC9"/>
    <w:rsid w:val="00095E1C"/>
    <w:rsid w:val="00095E3C"/>
    <w:rsid w:val="00095E46"/>
    <w:rsid w:val="00095E7B"/>
    <w:rsid w:val="00095E88"/>
    <w:rsid w:val="00095EAF"/>
    <w:rsid w:val="00095F1B"/>
    <w:rsid w:val="00096012"/>
    <w:rsid w:val="00096017"/>
    <w:rsid w:val="00096022"/>
    <w:rsid w:val="000960B2"/>
    <w:rsid w:val="0009614B"/>
    <w:rsid w:val="000961CF"/>
    <w:rsid w:val="00096269"/>
    <w:rsid w:val="000964EB"/>
    <w:rsid w:val="00096529"/>
    <w:rsid w:val="0009662B"/>
    <w:rsid w:val="00096666"/>
    <w:rsid w:val="0009681A"/>
    <w:rsid w:val="000968B0"/>
    <w:rsid w:val="000968C7"/>
    <w:rsid w:val="0009696F"/>
    <w:rsid w:val="00096A76"/>
    <w:rsid w:val="00096A8C"/>
    <w:rsid w:val="00096ACE"/>
    <w:rsid w:val="00096AD3"/>
    <w:rsid w:val="00096B21"/>
    <w:rsid w:val="00096B38"/>
    <w:rsid w:val="00096BC0"/>
    <w:rsid w:val="00096BE1"/>
    <w:rsid w:val="00096C72"/>
    <w:rsid w:val="00096CAF"/>
    <w:rsid w:val="00096DA6"/>
    <w:rsid w:val="00096DD6"/>
    <w:rsid w:val="00096E03"/>
    <w:rsid w:val="00096E0F"/>
    <w:rsid w:val="00096E42"/>
    <w:rsid w:val="00096E4B"/>
    <w:rsid w:val="00096EA2"/>
    <w:rsid w:val="00096F8F"/>
    <w:rsid w:val="00096F90"/>
    <w:rsid w:val="0009705B"/>
    <w:rsid w:val="000970E3"/>
    <w:rsid w:val="000970FB"/>
    <w:rsid w:val="00097170"/>
    <w:rsid w:val="00097177"/>
    <w:rsid w:val="000971AF"/>
    <w:rsid w:val="00097206"/>
    <w:rsid w:val="000972B9"/>
    <w:rsid w:val="000972BC"/>
    <w:rsid w:val="00097319"/>
    <w:rsid w:val="00097349"/>
    <w:rsid w:val="00097351"/>
    <w:rsid w:val="00097399"/>
    <w:rsid w:val="0009739C"/>
    <w:rsid w:val="000973B4"/>
    <w:rsid w:val="0009747E"/>
    <w:rsid w:val="000974B0"/>
    <w:rsid w:val="00097548"/>
    <w:rsid w:val="00097564"/>
    <w:rsid w:val="0009757F"/>
    <w:rsid w:val="000975C3"/>
    <w:rsid w:val="000975DD"/>
    <w:rsid w:val="0009761B"/>
    <w:rsid w:val="0009775F"/>
    <w:rsid w:val="000977B6"/>
    <w:rsid w:val="000978BD"/>
    <w:rsid w:val="00097913"/>
    <w:rsid w:val="00097954"/>
    <w:rsid w:val="00097987"/>
    <w:rsid w:val="00097A58"/>
    <w:rsid w:val="00097B97"/>
    <w:rsid w:val="00097C2F"/>
    <w:rsid w:val="00097CA8"/>
    <w:rsid w:val="00097D5B"/>
    <w:rsid w:val="00097D5F"/>
    <w:rsid w:val="00097DE6"/>
    <w:rsid w:val="00097E61"/>
    <w:rsid w:val="00097E70"/>
    <w:rsid w:val="00097EAA"/>
    <w:rsid w:val="00097EEC"/>
    <w:rsid w:val="00097EF1"/>
    <w:rsid w:val="00097F93"/>
    <w:rsid w:val="00097FB9"/>
    <w:rsid w:val="00097FCA"/>
    <w:rsid w:val="00097FDB"/>
    <w:rsid w:val="000A0021"/>
    <w:rsid w:val="000A0096"/>
    <w:rsid w:val="000A00A9"/>
    <w:rsid w:val="000A00B5"/>
    <w:rsid w:val="000A0117"/>
    <w:rsid w:val="000A02A2"/>
    <w:rsid w:val="000A02B1"/>
    <w:rsid w:val="000A02E3"/>
    <w:rsid w:val="000A0409"/>
    <w:rsid w:val="000A046D"/>
    <w:rsid w:val="000A051A"/>
    <w:rsid w:val="000A06C8"/>
    <w:rsid w:val="000A0707"/>
    <w:rsid w:val="000A076C"/>
    <w:rsid w:val="000A07F2"/>
    <w:rsid w:val="000A07FA"/>
    <w:rsid w:val="000A0812"/>
    <w:rsid w:val="000A0818"/>
    <w:rsid w:val="000A0833"/>
    <w:rsid w:val="000A0836"/>
    <w:rsid w:val="000A087C"/>
    <w:rsid w:val="000A0881"/>
    <w:rsid w:val="000A0901"/>
    <w:rsid w:val="000A09F9"/>
    <w:rsid w:val="000A0A6C"/>
    <w:rsid w:val="000A0AC1"/>
    <w:rsid w:val="000A0ACA"/>
    <w:rsid w:val="000A0B76"/>
    <w:rsid w:val="000A0BA5"/>
    <w:rsid w:val="000A0BD2"/>
    <w:rsid w:val="000A0C33"/>
    <w:rsid w:val="000A0CFD"/>
    <w:rsid w:val="000A0D4C"/>
    <w:rsid w:val="000A0DCC"/>
    <w:rsid w:val="000A0E0B"/>
    <w:rsid w:val="000A0EF7"/>
    <w:rsid w:val="000A0F7E"/>
    <w:rsid w:val="000A1018"/>
    <w:rsid w:val="000A107C"/>
    <w:rsid w:val="000A1097"/>
    <w:rsid w:val="000A110E"/>
    <w:rsid w:val="000A1151"/>
    <w:rsid w:val="000A11A3"/>
    <w:rsid w:val="000A1290"/>
    <w:rsid w:val="000A12A1"/>
    <w:rsid w:val="000A134F"/>
    <w:rsid w:val="000A13A1"/>
    <w:rsid w:val="000A1486"/>
    <w:rsid w:val="000A1505"/>
    <w:rsid w:val="000A1525"/>
    <w:rsid w:val="000A154D"/>
    <w:rsid w:val="000A1590"/>
    <w:rsid w:val="000A16DF"/>
    <w:rsid w:val="000A176E"/>
    <w:rsid w:val="000A1958"/>
    <w:rsid w:val="000A19A6"/>
    <w:rsid w:val="000A1A1F"/>
    <w:rsid w:val="000A1A88"/>
    <w:rsid w:val="000A1B09"/>
    <w:rsid w:val="000A1B1E"/>
    <w:rsid w:val="000A1B70"/>
    <w:rsid w:val="000A1B79"/>
    <w:rsid w:val="000A1B7F"/>
    <w:rsid w:val="000A1B8F"/>
    <w:rsid w:val="000A1BC8"/>
    <w:rsid w:val="000A1BD3"/>
    <w:rsid w:val="000A1C4A"/>
    <w:rsid w:val="000A1C5C"/>
    <w:rsid w:val="000A1D36"/>
    <w:rsid w:val="000A1D85"/>
    <w:rsid w:val="000A1E59"/>
    <w:rsid w:val="000A1EA6"/>
    <w:rsid w:val="000A1EC8"/>
    <w:rsid w:val="000A1EF1"/>
    <w:rsid w:val="000A1F23"/>
    <w:rsid w:val="000A1F3B"/>
    <w:rsid w:val="000A1F6F"/>
    <w:rsid w:val="000A201A"/>
    <w:rsid w:val="000A2047"/>
    <w:rsid w:val="000A2085"/>
    <w:rsid w:val="000A20F8"/>
    <w:rsid w:val="000A2164"/>
    <w:rsid w:val="000A2183"/>
    <w:rsid w:val="000A2186"/>
    <w:rsid w:val="000A21A2"/>
    <w:rsid w:val="000A22A1"/>
    <w:rsid w:val="000A22B1"/>
    <w:rsid w:val="000A22B6"/>
    <w:rsid w:val="000A22CB"/>
    <w:rsid w:val="000A2325"/>
    <w:rsid w:val="000A2357"/>
    <w:rsid w:val="000A2414"/>
    <w:rsid w:val="000A241D"/>
    <w:rsid w:val="000A2502"/>
    <w:rsid w:val="000A2656"/>
    <w:rsid w:val="000A26A0"/>
    <w:rsid w:val="000A2806"/>
    <w:rsid w:val="000A2815"/>
    <w:rsid w:val="000A281F"/>
    <w:rsid w:val="000A2885"/>
    <w:rsid w:val="000A28F4"/>
    <w:rsid w:val="000A2935"/>
    <w:rsid w:val="000A296E"/>
    <w:rsid w:val="000A2A0C"/>
    <w:rsid w:val="000A2A43"/>
    <w:rsid w:val="000A2A88"/>
    <w:rsid w:val="000A2AB2"/>
    <w:rsid w:val="000A2AB9"/>
    <w:rsid w:val="000A2C24"/>
    <w:rsid w:val="000A2C39"/>
    <w:rsid w:val="000A2D40"/>
    <w:rsid w:val="000A2E54"/>
    <w:rsid w:val="000A2E6F"/>
    <w:rsid w:val="000A2EA4"/>
    <w:rsid w:val="000A2EC9"/>
    <w:rsid w:val="000A2FC4"/>
    <w:rsid w:val="000A301B"/>
    <w:rsid w:val="000A30C4"/>
    <w:rsid w:val="000A3126"/>
    <w:rsid w:val="000A3164"/>
    <w:rsid w:val="000A3286"/>
    <w:rsid w:val="000A32A8"/>
    <w:rsid w:val="000A32F1"/>
    <w:rsid w:val="000A331F"/>
    <w:rsid w:val="000A338F"/>
    <w:rsid w:val="000A3394"/>
    <w:rsid w:val="000A33B3"/>
    <w:rsid w:val="000A3416"/>
    <w:rsid w:val="000A344D"/>
    <w:rsid w:val="000A346B"/>
    <w:rsid w:val="000A3526"/>
    <w:rsid w:val="000A3531"/>
    <w:rsid w:val="000A35B3"/>
    <w:rsid w:val="000A35E7"/>
    <w:rsid w:val="000A36B7"/>
    <w:rsid w:val="000A3767"/>
    <w:rsid w:val="000A379C"/>
    <w:rsid w:val="000A37F2"/>
    <w:rsid w:val="000A3837"/>
    <w:rsid w:val="000A38FE"/>
    <w:rsid w:val="000A3963"/>
    <w:rsid w:val="000A3A09"/>
    <w:rsid w:val="000A3B58"/>
    <w:rsid w:val="000A3C7D"/>
    <w:rsid w:val="000A3C94"/>
    <w:rsid w:val="000A3D02"/>
    <w:rsid w:val="000A3D7A"/>
    <w:rsid w:val="000A3D98"/>
    <w:rsid w:val="000A3DA2"/>
    <w:rsid w:val="000A3DE9"/>
    <w:rsid w:val="000A3E64"/>
    <w:rsid w:val="000A3EA9"/>
    <w:rsid w:val="000A3F6D"/>
    <w:rsid w:val="000A400E"/>
    <w:rsid w:val="000A4017"/>
    <w:rsid w:val="000A4021"/>
    <w:rsid w:val="000A4032"/>
    <w:rsid w:val="000A4067"/>
    <w:rsid w:val="000A40E1"/>
    <w:rsid w:val="000A4118"/>
    <w:rsid w:val="000A41F1"/>
    <w:rsid w:val="000A4236"/>
    <w:rsid w:val="000A4268"/>
    <w:rsid w:val="000A4281"/>
    <w:rsid w:val="000A4298"/>
    <w:rsid w:val="000A429F"/>
    <w:rsid w:val="000A42D6"/>
    <w:rsid w:val="000A4307"/>
    <w:rsid w:val="000A43F6"/>
    <w:rsid w:val="000A4440"/>
    <w:rsid w:val="000A4555"/>
    <w:rsid w:val="000A45A6"/>
    <w:rsid w:val="000A45F2"/>
    <w:rsid w:val="000A464A"/>
    <w:rsid w:val="000A470F"/>
    <w:rsid w:val="000A479F"/>
    <w:rsid w:val="000A47B2"/>
    <w:rsid w:val="000A481A"/>
    <w:rsid w:val="000A481C"/>
    <w:rsid w:val="000A4829"/>
    <w:rsid w:val="000A4877"/>
    <w:rsid w:val="000A490C"/>
    <w:rsid w:val="000A4926"/>
    <w:rsid w:val="000A4963"/>
    <w:rsid w:val="000A4A38"/>
    <w:rsid w:val="000A4A66"/>
    <w:rsid w:val="000A4B94"/>
    <w:rsid w:val="000A4BA6"/>
    <w:rsid w:val="000A4D2D"/>
    <w:rsid w:val="000A4FA7"/>
    <w:rsid w:val="000A4FB5"/>
    <w:rsid w:val="000A5022"/>
    <w:rsid w:val="000A50E7"/>
    <w:rsid w:val="000A5104"/>
    <w:rsid w:val="000A5137"/>
    <w:rsid w:val="000A514B"/>
    <w:rsid w:val="000A5188"/>
    <w:rsid w:val="000A520C"/>
    <w:rsid w:val="000A523F"/>
    <w:rsid w:val="000A526B"/>
    <w:rsid w:val="000A52B8"/>
    <w:rsid w:val="000A52F7"/>
    <w:rsid w:val="000A5366"/>
    <w:rsid w:val="000A5383"/>
    <w:rsid w:val="000A53B1"/>
    <w:rsid w:val="000A53C4"/>
    <w:rsid w:val="000A543A"/>
    <w:rsid w:val="000A5465"/>
    <w:rsid w:val="000A546D"/>
    <w:rsid w:val="000A5518"/>
    <w:rsid w:val="000A563A"/>
    <w:rsid w:val="000A5660"/>
    <w:rsid w:val="000A5665"/>
    <w:rsid w:val="000A568E"/>
    <w:rsid w:val="000A56AF"/>
    <w:rsid w:val="000A56C0"/>
    <w:rsid w:val="000A56E1"/>
    <w:rsid w:val="000A572D"/>
    <w:rsid w:val="000A576E"/>
    <w:rsid w:val="000A5771"/>
    <w:rsid w:val="000A57A0"/>
    <w:rsid w:val="000A57DA"/>
    <w:rsid w:val="000A584A"/>
    <w:rsid w:val="000A58EA"/>
    <w:rsid w:val="000A58EE"/>
    <w:rsid w:val="000A59D4"/>
    <w:rsid w:val="000A5A11"/>
    <w:rsid w:val="000A5B1D"/>
    <w:rsid w:val="000A5B4C"/>
    <w:rsid w:val="000A5B6F"/>
    <w:rsid w:val="000A5C6A"/>
    <w:rsid w:val="000A5C6F"/>
    <w:rsid w:val="000A5C93"/>
    <w:rsid w:val="000A5C9E"/>
    <w:rsid w:val="000A5DC1"/>
    <w:rsid w:val="000A5E0D"/>
    <w:rsid w:val="000A5E41"/>
    <w:rsid w:val="000A5E8E"/>
    <w:rsid w:val="000A5EB7"/>
    <w:rsid w:val="000A5EF7"/>
    <w:rsid w:val="000A5F18"/>
    <w:rsid w:val="000A5F1C"/>
    <w:rsid w:val="000A5F29"/>
    <w:rsid w:val="000A5F81"/>
    <w:rsid w:val="000A5F90"/>
    <w:rsid w:val="000A5F91"/>
    <w:rsid w:val="000A5F9A"/>
    <w:rsid w:val="000A5FB7"/>
    <w:rsid w:val="000A5FBD"/>
    <w:rsid w:val="000A6040"/>
    <w:rsid w:val="000A605C"/>
    <w:rsid w:val="000A6079"/>
    <w:rsid w:val="000A6096"/>
    <w:rsid w:val="000A60AA"/>
    <w:rsid w:val="000A6133"/>
    <w:rsid w:val="000A613E"/>
    <w:rsid w:val="000A6194"/>
    <w:rsid w:val="000A6279"/>
    <w:rsid w:val="000A6359"/>
    <w:rsid w:val="000A636A"/>
    <w:rsid w:val="000A645B"/>
    <w:rsid w:val="000A6462"/>
    <w:rsid w:val="000A64C0"/>
    <w:rsid w:val="000A64DE"/>
    <w:rsid w:val="000A653E"/>
    <w:rsid w:val="000A6563"/>
    <w:rsid w:val="000A6605"/>
    <w:rsid w:val="000A667B"/>
    <w:rsid w:val="000A67A9"/>
    <w:rsid w:val="000A6830"/>
    <w:rsid w:val="000A68CD"/>
    <w:rsid w:val="000A68EA"/>
    <w:rsid w:val="000A68F5"/>
    <w:rsid w:val="000A6970"/>
    <w:rsid w:val="000A69F9"/>
    <w:rsid w:val="000A6AA8"/>
    <w:rsid w:val="000A6B64"/>
    <w:rsid w:val="000A6B68"/>
    <w:rsid w:val="000A6C04"/>
    <w:rsid w:val="000A6C24"/>
    <w:rsid w:val="000A6C6A"/>
    <w:rsid w:val="000A6C71"/>
    <w:rsid w:val="000A6CB5"/>
    <w:rsid w:val="000A6D0B"/>
    <w:rsid w:val="000A6D58"/>
    <w:rsid w:val="000A6D7C"/>
    <w:rsid w:val="000A6DD6"/>
    <w:rsid w:val="000A6E3C"/>
    <w:rsid w:val="000A6E85"/>
    <w:rsid w:val="000A6E9A"/>
    <w:rsid w:val="000A6FA3"/>
    <w:rsid w:val="000A6FB3"/>
    <w:rsid w:val="000A6FDB"/>
    <w:rsid w:val="000A6FDF"/>
    <w:rsid w:val="000A7025"/>
    <w:rsid w:val="000A703A"/>
    <w:rsid w:val="000A7074"/>
    <w:rsid w:val="000A70EA"/>
    <w:rsid w:val="000A7126"/>
    <w:rsid w:val="000A71D1"/>
    <w:rsid w:val="000A71F9"/>
    <w:rsid w:val="000A71FD"/>
    <w:rsid w:val="000A722C"/>
    <w:rsid w:val="000A728B"/>
    <w:rsid w:val="000A72DB"/>
    <w:rsid w:val="000A734E"/>
    <w:rsid w:val="000A73D2"/>
    <w:rsid w:val="000A73F0"/>
    <w:rsid w:val="000A74F9"/>
    <w:rsid w:val="000A7508"/>
    <w:rsid w:val="000A7530"/>
    <w:rsid w:val="000A756C"/>
    <w:rsid w:val="000A75D4"/>
    <w:rsid w:val="000A75E7"/>
    <w:rsid w:val="000A7656"/>
    <w:rsid w:val="000A76BC"/>
    <w:rsid w:val="000A7723"/>
    <w:rsid w:val="000A7788"/>
    <w:rsid w:val="000A779B"/>
    <w:rsid w:val="000A77AF"/>
    <w:rsid w:val="000A783C"/>
    <w:rsid w:val="000A7941"/>
    <w:rsid w:val="000A79BF"/>
    <w:rsid w:val="000A7A2B"/>
    <w:rsid w:val="000A7B3B"/>
    <w:rsid w:val="000A7B3F"/>
    <w:rsid w:val="000A7BE7"/>
    <w:rsid w:val="000A7CAF"/>
    <w:rsid w:val="000A7CFF"/>
    <w:rsid w:val="000A7D3E"/>
    <w:rsid w:val="000A7DD1"/>
    <w:rsid w:val="000A7DF7"/>
    <w:rsid w:val="000A7EDA"/>
    <w:rsid w:val="000A7F4B"/>
    <w:rsid w:val="000A7F7A"/>
    <w:rsid w:val="000A7FD2"/>
    <w:rsid w:val="000A7FD6"/>
    <w:rsid w:val="000A7FE4"/>
    <w:rsid w:val="000B009E"/>
    <w:rsid w:val="000B00FA"/>
    <w:rsid w:val="000B010D"/>
    <w:rsid w:val="000B0150"/>
    <w:rsid w:val="000B01C7"/>
    <w:rsid w:val="000B01D5"/>
    <w:rsid w:val="000B01E4"/>
    <w:rsid w:val="000B0339"/>
    <w:rsid w:val="000B0368"/>
    <w:rsid w:val="000B03AD"/>
    <w:rsid w:val="000B03BD"/>
    <w:rsid w:val="000B041C"/>
    <w:rsid w:val="000B06AE"/>
    <w:rsid w:val="000B06D6"/>
    <w:rsid w:val="000B0709"/>
    <w:rsid w:val="000B0746"/>
    <w:rsid w:val="000B0943"/>
    <w:rsid w:val="000B09EF"/>
    <w:rsid w:val="000B0A98"/>
    <w:rsid w:val="000B0AD1"/>
    <w:rsid w:val="000B0B4E"/>
    <w:rsid w:val="000B0BC6"/>
    <w:rsid w:val="000B0C54"/>
    <w:rsid w:val="000B0CA8"/>
    <w:rsid w:val="000B0D13"/>
    <w:rsid w:val="000B0D7A"/>
    <w:rsid w:val="000B0DEB"/>
    <w:rsid w:val="000B0DF4"/>
    <w:rsid w:val="000B0E00"/>
    <w:rsid w:val="000B0E47"/>
    <w:rsid w:val="000B0ECB"/>
    <w:rsid w:val="000B0EFF"/>
    <w:rsid w:val="000B0F29"/>
    <w:rsid w:val="000B0F2F"/>
    <w:rsid w:val="000B0FBF"/>
    <w:rsid w:val="000B0FF4"/>
    <w:rsid w:val="000B10E8"/>
    <w:rsid w:val="000B1115"/>
    <w:rsid w:val="000B1199"/>
    <w:rsid w:val="000B11C3"/>
    <w:rsid w:val="000B128E"/>
    <w:rsid w:val="000B129E"/>
    <w:rsid w:val="000B130E"/>
    <w:rsid w:val="000B1367"/>
    <w:rsid w:val="000B13D3"/>
    <w:rsid w:val="000B143A"/>
    <w:rsid w:val="000B14C6"/>
    <w:rsid w:val="000B14F0"/>
    <w:rsid w:val="000B15F7"/>
    <w:rsid w:val="000B1600"/>
    <w:rsid w:val="000B1617"/>
    <w:rsid w:val="000B1767"/>
    <w:rsid w:val="000B182D"/>
    <w:rsid w:val="000B183C"/>
    <w:rsid w:val="000B1840"/>
    <w:rsid w:val="000B184F"/>
    <w:rsid w:val="000B1888"/>
    <w:rsid w:val="000B1928"/>
    <w:rsid w:val="000B1A77"/>
    <w:rsid w:val="000B1C60"/>
    <w:rsid w:val="000B1C7B"/>
    <w:rsid w:val="000B1CAD"/>
    <w:rsid w:val="000B1CBC"/>
    <w:rsid w:val="000B1D20"/>
    <w:rsid w:val="000B1D2E"/>
    <w:rsid w:val="000B1D89"/>
    <w:rsid w:val="000B1D8C"/>
    <w:rsid w:val="000B1EAC"/>
    <w:rsid w:val="000B1EBC"/>
    <w:rsid w:val="000B1ED7"/>
    <w:rsid w:val="000B1F09"/>
    <w:rsid w:val="000B1F61"/>
    <w:rsid w:val="000B1F70"/>
    <w:rsid w:val="000B1FC6"/>
    <w:rsid w:val="000B2023"/>
    <w:rsid w:val="000B2083"/>
    <w:rsid w:val="000B2094"/>
    <w:rsid w:val="000B22B2"/>
    <w:rsid w:val="000B2381"/>
    <w:rsid w:val="000B23D3"/>
    <w:rsid w:val="000B2463"/>
    <w:rsid w:val="000B24DD"/>
    <w:rsid w:val="000B2503"/>
    <w:rsid w:val="000B2505"/>
    <w:rsid w:val="000B2514"/>
    <w:rsid w:val="000B2564"/>
    <w:rsid w:val="000B25A2"/>
    <w:rsid w:val="000B25C6"/>
    <w:rsid w:val="000B262D"/>
    <w:rsid w:val="000B26E1"/>
    <w:rsid w:val="000B26E2"/>
    <w:rsid w:val="000B27FE"/>
    <w:rsid w:val="000B2808"/>
    <w:rsid w:val="000B2839"/>
    <w:rsid w:val="000B28B1"/>
    <w:rsid w:val="000B290A"/>
    <w:rsid w:val="000B2928"/>
    <w:rsid w:val="000B29D9"/>
    <w:rsid w:val="000B2A65"/>
    <w:rsid w:val="000B2AC8"/>
    <w:rsid w:val="000B2B3B"/>
    <w:rsid w:val="000B2B87"/>
    <w:rsid w:val="000B2C65"/>
    <w:rsid w:val="000B2C93"/>
    <w:rsid w:val="000B2CBA"/>
    <w:rsid w:val="000B2D87"/>
    <w:rsid w:val="000B2DEB"/>
    <w:rsid w:val="000B2E32"/>
    <w:rsid w:val="000B2EFA"/>
    <w:rsid w:val="000B2F5E"/>
    <w:rsid w:val="000B300C"/>
    <w:rsid w:val="000B3038"/>
    <w:rsid w:val="000B30C6"/>
    <w:rsid w:val="000B311D"/>
    <w:rsid w:val="000B312D"/>
    <w:rsid w:val="000B31CE"/>
    <w:rsid w:val="000B31E5"/>
    <w:rsid w:val="000B3234"/>
    <w:rsid w:val="000B3238"/>
    <w:rsid w:val="000B324C"/>
    <w:rsid w:val="000B3259"/>
    <w:rsid w:val="000B3354"/>
    <w:rsid w:val="000B3409"/>
    <w:rsid w:val="000B3486"/>
    <w:rsid w:val="000B34EC"/>
    <w:rsid w:val="000B3517"/>
    <w:rsid w:val="000B3555"/>
    <w:rsid w:val="000B358A"/>
    <w:rsid w:val="000B35EF"/>
    <w:rsid w:val="000B3667"/>
    <w:rsid w:val="000B36BB"/>
    <w:rsid w:val="000B36FC"/>
    <w:rsid w:val="000B37A3"/>
    <w:rsid w:val="000B37CF"/>
    <w:rsid w:val="000B3810"/>
    <w:rsid w:val="000B3859"/>
    <w:rsid w:val="000B390F"/>
    <w:rsid w:val="000B3943"/>
    <w:rsid w:val="000B3976"/>
    <w:rsid w:val="000B3A74"/>
    <w:rsid w:val="000B3AC1"/>
    <w:rsid w:val="000B3AE3"/>
    <w:rsid w:val="000B3AF2"/>
    <w:rsid w:val="000B3BCB"/>
    <w:rsid w:val="000B3C45"/>
    <w:rsid w:val="000B3C8E"/>
    <w:rsid w:val="000B3CE0"/>
    <w:rsid w:val="000B3D50"/>
    <w:rsid w:val="000B3D6A"/>
    <w:rsid w:val="000B3E43"/>
    <w:rsid w:val="000B3E77"/>
    <w:rsid w:val="000B3F0D"/>
    <w:rsid w:val="000B3F10"/>
    <w:rsid w:val="000B3FD2"/>
    <w:rsid w:val="000B3FE3"/>
    <w:rsid w:val="000B3FEB"/>
    <w:rsid w:val="000B4025"/>
    <w:rsid w:val="000B4060"/>
    <w:rsid w:val="000B409B"/>
    <w:rsid w:val="000B40A1"/>
    <w:rsid w:val="000B40B8"/>
    <w:rsid w:val="000B40F1"/>
    <w:rsid w:val="000B413C"/>
    <w:rsid w:val="000B4143"/>
    <w:rsid w:val="000B4145"/>
    <w:rsid w:val="000B4189"/>
    <w:rsid w:val="000B41D2"/>
    <w:rsid w:val="000B434E"/>
    <w:rsid w:val="000B4367"/>
    <w:rsid w:val="000B436F"/>
    <w:rsid w:val="000B4393"/>
    <w:rsid w:val="000B43C2"/>
    <w:rsid w:val="000B43CA"/>
    <w:rsid w:val="000B43DE"/>
    <w:rsid w:val="000B440B"/>
    <w:rsid w:val="000B441F"/>
    <w:rsid w:val="000B447E"/>
    <w:rsid w:val="000B44C1"/>
    <w:rsid w:val="000B4500"/>
    <w:rsid w:val="000B4536"/>
    <w:rsid w:val="000B4540"/>
    <w:rsid w:val="000B45E6"/>
    <w:rsid w:val="000B469D"/>
    <w:rsid w:val="000B46A3"/>
    <w:rsid w:val="000B46D6"/>
    <w:rsid w:val="000B4738"/>
    <w:rsid w:val="000B4789"/>
    <w:rsid w:val="000B47AB"/>
    <w:rsid w:val="000B48CE"/>
    <w:rsid w:val="000B48EE"/>
    <w:rsid w:val="000B49C5"/>
    <w:rsid w:val="000B4A03"/>
    <w:rsid w:val="000B4B14"/>
    <w:rsid w:val="000B4B2B"/>
    <w:rsid w:val="000B4B31"/>
    <w:rsid w:val="000B4BBE"/>
    <w:rsid w:val="000B4C14"/>
    <w:rsid w:val="000B4C45"/>
    <w:rsid w:val="000B4C4C"/>
    <w:rsid w:val="000B4C8C"/>
    <w:rsid w:val="000B4CD3"/>
    <w:rsid w:val="000B4D0B"/>
    <w:rsid w:val="000B4D4B"/>
    <w:rsid w:val="000B4E50"/>
    <w:rsid w:val="000B4E61"/>
    <w:rsid w:val="000B4EFF"/>
    <w:rsid w:val="000B4F0C"/>
    <w:rsid w:val="000B4F4E"/>
    <w:rsid w:val="000B4F9C"/>
    <w:rsid w:val="000B504E"/>
    <w:rsid w:val="000B50F2"/>
    <w:rsid w:val="000B50FC"/>
    <w:rsid w:val="000B5122"/>
    <w:rsid w:val="000B51B1"/>
    <w:rsid w:val="000B51D9"/>
    <w:rsid w:val="000B51EB"/>
    <w:rsid w:val="000B527F"/>
    <w:rsid w:val="000B52A2"/>
    <w:rsid w:val="000B52AA"/>
    <w:rsid w:val="000B5301"/>
    <w:rsid w:val="000B5394"/>
    <w:rsid w:val="000B53D6"/>
    <w:rsid w:val="000B54B5"/>
    <w:rsid w:val="000B54D5"/>
    <w:rsid w:val="000B5580"/>
    <w:rsid w:val="000B5584"/>
    <w:rsid w:val="000B5591"/>
    <w:rsid w:val="000B5599"/>
    <w:rsid w:val="000B55AE"/>
    <w:rsid w:val="000B560D"/>
    <w:rsid w:val="000B5648"/>
    <w:rsid w:val="000B5696"/>
    <w:rsid w:val="000B56D2"/>
    <w:rsid w:val="000B56E9"/>
    <w:rsid w:val="000B5704"/>
    <w:rsid w:val="000B572B"/>
    <w:rsid w:val="000B5944"/>
    <w:rsid w:val="000B594B"/>
    <w:rsid w:val="000B595E"/>
    <w:rsid w:val="000B598B"/>
    <w:rsid w:val="000B59D5"/>
    <w:rsid w:val="000B5A05"/>
    <w:rsid w:val="000B5A0C"/>
    <w:rsid w:val="000B5A65"/>
    <w:rsid w:val="000B5B98"/>
    <w:rsid w:val="000B5BA0"/>
    <w:rsid w:val="000B5BA1"/>
    <w:rsid w:val="000B5BC5"/>
    <w:rsid w:val="000B5BC6"/>
    <w:rsid w:val="000B5C33"/>
    <w:rsid w:val="000B5C82"/>
    <w:rsid w:val="000B5CB0"/>
    <w:rsid w:val="000B5D14"/>
    <w:rsid w:val="000B5D87"/>
    <w:rsid w:val="000B5DB3"/>
    <w:rsid w:val="000B5DD6"/>
    <w:rsid w:val="000B5DD8"/>
    <w:rsid w:val="000B5EB2"/>
    <w:rsid w:val="000B5EDD"/>
    <w:rsid w:val="000B5F59"/>
    <w:rsid w:val="000B5FBC"/>
    <w:rsid w:val="000B6040"/>
    <w:rsid w:val="000B604F"/>
    <w:rsid w:val="000B6078"/>
    <w:rsid w:val="000B60B6"/>
    <w:rsid w:val="000B60C5"/>
    <w:rsid w:val="000B60C6"/>
    <w:rsid w:val="000B60E8"/>
    <w:rsid w:val="000B6272"/>
    <w:rsid w:val="000B6293"/>
    <w:rsid w:val="000B62C4"/>
    <w:rsid w:val="000B62F7"/>
    <w:rsid w:val="000B6331"/>
    <w:rsid w:val="000B635B"/>
    <w:rsid w:val="000B640D"/>
    <w:rsid w:val="000B644A"/>
    <w:rsid w:val="000B64B8"/>
    <w:rsid w:val="000B6515"/>
    <w:rsid w:val="000B6574"/>
    <w:rsid w:val="000B6589"/>
    <w:rsid w:val="000B6619"/>
    <w:rsid w:val="000B6663"/>
    <w:rsid w:val="000B6928"/>
    <w:rsid w:val="000B6965"/>
    <w:rsid w:val="000B698E"/>
    <w:rsid w:val="000B69E1"/>
    <w:rsid w:val="000B69F1"/>
    <w:rsid w:val="000B6A0A"/>
    <w:rsid w:val="000B6A4C"/>
    <w:rsid w:val="000B6A78"/>
    <w:rsid w:val="000B6A87"/>
    <w:rsid w:val="000B6AFE"/>
    <w:rsid w:val="000B6B45"/>
    <w:rsid w:val="000B6C31"/>
    <w:rsid w:val="000B6C54"/>
    <w:rsid w:val="000B6C59"/>
    <w:rsid w:val="000B6C9C"/>
    <w:rsid w:val="000B6CE3"/>
    <w:rsid w:val="000B6DAC"/>
    <w:rsid w:val="000B6DE6"/>
    <w:rsid w:val="000B6DF3"/>
    <w:rsid w:val="000B6E9A"/>
    <w:rsid w:val="000B6E9D"/>
    <w:rsid w:val="000B6FFA"/>
    <w:rsid w:val="000B7016"/>
    <w:rsid w:val="000B7023"/>
    <w:rsid w:val="000B7075"/>
    <w:rsid w:val="000B7108"/>
    <w:rsid w:val="000B7128"/>
    <w:rsid w:val="000B7138"/>
    <w:rsid w:val="000B713A"/>
    <w:rsid w:val="000B720D"/>
    <w:rsid w:val="000B7240"/>
    <w:rsid w:val="000B7250"/>
    <w:rsid w:val="000B72A4"/>
    <w:rsid w:val="000B72AF"/>
    <w:rsid w:val="000B72D2"/>
    <w:rsid w:val="000B72E6"/>
    <w:rsid w:val="000B72F4"/>
    <w:rsid w:val="000B740C"/>
    <w:rsid w:val="000B74FC"/>
    <w:rsid w:val="000B7599"/>
    <w:rsid w:val="000B7669"/>
    <w:rsid w:val="000B767B"/>
    <w:rsid w:val="000B76AE"/>
    <w:rsid w:val="000B77BC"/>
    <w:rsid w:val="000B77C9"/>
    <w:rsid w:val="000B77D5"/>
    <w:rsid w:val="000B78C8"/>
    <w:rsid w:val="000B793A"/>
    <w:rsid w:val="000B795E"/>
    <w:rsid w:val="000B79E9"/>
    <w:rsid w:val="000B7A5D"/>
    <w:rsid w:val="000B7A95"/>
    <w:rsid w:val="000B7B77"/>
    <w:rsid w:val="000B7BA0"/>
    <w:rsid w:val="000B7BD6"/>
    <w:rsid w:val="000B7D5D"/>
    <w:rsid w:val="000B7DD1"/>
    <w:rsid w:val="000B7DF6"/>
    <w:rsid w:val="000B7E3E"/>
    <w:rsid w:val="000B7EAC"/>
    <w:rsid w:val="000B7EF1"/>
    <w:rsid w:val="000B7F68"/>
    <w:rsid w:val="000C006B"/>
    <w:rsid w:val="000C00C0"/>
    <w:rsid w:val="000C023D"/>
    <w:rsid w:val="000C0245"/>
    <w:rsid w:val="000C027B"/>
    <w:rsid w:val="000C02A1"/>
    <w:rsid w:val="000C02D9"/>
    <w:rsid w:val="000C02FF"/>
    <w:rsid w:val="000C0354"/>
    <w:rsid w:val="000C038E"/>
    <w:rsid w:val="000C0457"/>
    <w:rsid w:val="000C0469"/>
    <w:rsid w:val="000C054D"/>
    <w:rsid w:val="000C064B"/>
    <w:rsid w:val="000C066B"/>
    <w:rsid w:val="000C06C7"/>
    <w:rsid w:val="000C06D0"/>
    <w:rsid w:val="000C0715"/>
    <w:rsid w:val="000C0730"/>
    <w:rsid w:val="000C0748"/>
    <w:rsid w:val="000C07D1"/>
    <w:rsid w:val="000C07FB"/>
    <w:rsid w:val="000C0999"/>
    <w:rsid w:val="000C09A4"/>
    <w:rsid w:val="000C09C9"/>
    <w:rsid w:val="000C0A8E"/>
    <w:rsid w:val="000C0AB9"/>
    <w:rsid w:val="000C0AC5"/>
    <w:rsid w:val="000C0AE6"/>
    <w:rsid w:val="000C0B10"/>
    <w:rsid w:val="000C0B49"/>
    <w:rsid w:val="000C0BF0"/>
    <w:rsid w:val="000C0C1D"/>
    <w:rsid w:val="000C0CF0"/>
    <w:rsid w:val="000C0D01"/>
    <w:rsid w:val="000C0D48"/>
    <w:rsid w:val="000C0DA9"/>
    <w:rsid w:val="000C0DC7"/>
    <w:rsid w:val="000C0E28"/>
    <w:rsid w:val="000C0ED3"/>
    <w:rsid w:val="000C0EF3"/>
    <w:rsid w:val="000C0F07"/>
    <w:rsid w:val="000C0F23"/>
    <w:rsid w:val="000C0FAB"/>
    <w:rsid w:val="000C103B"/>
    <w:rsid w:val="000C10AE"/>
    <w:rsid w:val="000C11B8"/>
    <w:rsid w:val="000C11C6"/>
    <w:rsid w:val="000C1235"/>
    <w:rsid w:val="000C1291"/>
    <w:rsid w:val="000C1377"/>
    <w:rsid w:val="000C139C"/>
    <w:rsid w:val="000C13BF"/>
    <w:rsid w:val="000C1465"/>
    <w:rsid w:val="000C1483"/>
    <w:rsid w:val="000C14C9"/>
    <w:rsid w:val="000C151B"/>
    <w:rsid w:val="000C153A"/>
    <w:rsid w:val="000C153C"/>
    <w:rsid w:val="000C1671"/>
    <w:rsid w:val="000C177E"/>
    <w:rsid w:val="000C1807"/>
    <w:rsid w:val="000C1826"/>
    <w:rsid w:val="000C18CD"/>
    <w:rsid w:val="000C1916"/>
    <w:rsid w:val="000C1923"/>
    <w:rsid w:val="000C19A9"/>
    <w:rsid w:val="000C1A06"/>
    <w:rsid w:val="000C1AD8"/>
    <w:rsid w:val="000C1BD4"/>
    <w:rsid w:val="000C1CBB"/>
    <w:rsid w:val="000C1D0D"/>
    <w:rsid w:val="000C1D82"/>
    <w:rsid w:val="000C1E29"/>
    <w:rsid w:val="000C1E4E"/>
    <w:rsid w:val="000C1E5A"/>
    <w:rsid w:val="000C1FC8"/>
    <w:rsid w:val="000C2002"/>
    <w:rsid w:val="000C203B"/>
    <w:rsid w:val="000C2052"/>
    <w:rsid w:val="000C211A"/>
    <w:rsid w:val="000C212C"/>
    <w:rsid w:val="000C216E"/>
    <w:rsid w:val="000C218B"/>
    <w:rsid w:val="000C23BC"/>
    <w:rsid w:val="000C23EB"/>
    <w:rsid w:val="000C244F"/>
    <w:rsid w:val="000C24F7"/>
    <w:rsid w:val="000C2510"/>
    <w:rsid w:val="000C2544"/>
    <w:rsid w:val="000C2577"/>
    <w:rsid w:val="000C25B7"/>
    <w:rsid w:val="000C25BB"/>
    <w:rsid w:val="000C266E"/>
    <w:rsid w:val="000C2673"/>
    <w:rsid w:val="000C2813"/>
    <w:rsid w:val="000C2832"/>
    <w:rsid w:val="000C2871"/>
    <w:rsid w:val="000C292E"/>
    <w:rsid w:val="000C2986"/>
    <w:rsid w:val="000C2998"/>
    <w:rsid w:val="000C2A04"/>
    <w:rsid w:val="000C2A29"/>
    <w:rsid w:val="000C2C01"/>
    <w:rsid w:val="000C2C72"/>
    <w:rsid w:val="000C2D7D"/>
    <w:rsid w:val="000C2DAE"/>
    <w:rsid w:val="000C2DED"/>
    <w:rsid w:val="000C2E73"/>
    <w:rsid w:val="000C2ECF"/>
    <w:rsid w:val="000C2F0A"/>
    <w:rsid w:val="000C2F7B"/>
    <w:rsid w:val="000C2FFD"/>
    <w:rsid w:val="000C30B8"/>
    <w:rsid w:val="000C30C3"/>
    <w:rsid w:val="000C319E"/>
    <w:rsid w:val="000C31EF"/>
    <w:rsid w:val="000C321F"/>
    <w:rsid w:val="000C322E"/>
    <w:rsid w:val="000C3240"/>
    <w:rsid w:val="000C32EF"/>
    <w:rsid w:val="000C33EA"/>
    <w:rsid w:val="000C342A"/>
    <w:rsid w:val="000C3439"/>
    <w:rsid w:val="000C345A"/>
    <w:rsid w:val="000C346B"/>
    <w:rsid w:val="000C34CD"/>
    <w:rsid w:val="000C34E8"/>
    <w:rsid w:val="000C3597"/>
    <w:rsid w:val="000C35DB"/>
    <w:rsid w:val="000C35F3"/>
    <w:rsid w:val="000C3615"/>
    <w:rsid w:val="000C362B"/>
    <w:rsid w:val="000C36B4"/>
    <w:rsid w:val="000C36D7"/>
    <w:rsid w:val="000C3712"/>
    <w:rsid w:val="000C3789"/>
    <w:rsid w:val="000C3805"/>
    <w:rsid w:val="000C38DA"/>
    <w:rsid w:val="000C38E6"/>
    <w:rsid w:val="000C395C"/>
    <w:rsid w:val="000C39BE"/>
    <w:rsid w:val="000C3A40"/>
    <w:rsid w:val="000C3AD9"/>
    <w:rsid w:val="000C3BAE"/>
    <w:rsid w:val="000C3BB2"/>
    <w:rsid w:val="000C3BDF"/>
    <w:rsid w:val="000C3C00"/>
    <w:rsid w:val="000C3C87"/>
    <w:rsid w:val="000C3C9F"/>
    <w:rsid w:val="000C3CC3"/>
    <w:rsid w:val="000C3D26"/>
    <w:rsid w:val="000C3D57"/>
    <w:rsid w:val="000C3D8E"/>
    <w:rsid w:val="000C3D90"/>
    <w:rsid w:val="000C3E70"/>
    <w:rsid w:val="000C3E76"/>
    <w:rsid w:val="000C3E77"/>
    <w:rsid w:val="000C3EB7"/>
    <w:rsid w:val="000C3EFD"/>
    <w:rsid w:val="000C41B6"/>
    <w:rsid w:val="000C41D0"/>
    <w:rsid w:val="000C41E9"/>
    <w:rsid w:val="000C41F5"/>
    <w:rsid w:val="000C4282"/>
    <w:rsid w:val="000C42B1"/>
    <w:rsid w:val="000C4335"/>
    <w:rsid w:val="000C43BB"/>
    <w:rsid w:val="000C4491"/>
    <w:rsid w:val="000C449D"/>
    <w:rsid w:val="000C44C3"/>
    <w:rsid w:val="000C4507"/>
    <w:rsid w:val="000C450F"/>
    <w:rsid w:val="000C4566"/>
    <w:rsid w:val="000C4605"/>
    <w:rsid w:val="000C46DF"/>
    <w:rsid w:val="000C472D"/>
    <w:rsid w:val="000C4734"/>
    <w:rsid w:val="000C475B"/>
    <w:rsid w:val="000C479F"/>
    <w:rsid w:val="000C49A0"/>
    <w:rsid w:val="000C4A2D"/>
    <w:rsid w:val="000C4A65"/>
    <w:rsid w:val="000C4A84"/>
    <w:rsid w:val="000C4B9D"/>
    <w:rsid w:val="000C4C07"/>
    <w:rsid w:val="000C4C2F"/>
    <w:rsid w:val="000C4C4F"/>
    <w:rsid w:val="000C4DC9"/>
    <w:rsid w:val="000C4DF4"/>
    <w:rsid w:val="000C4E33"/>
    <w:rsid w:val="000C4E9E"/>
    <w:rsid w:val="000C4EF1"/>
    <w:rsid w:val="000C4F1E"/>
    <w:rsid w:val="000C4FA7"/>
    <w:rsid w:val="000C4FCC"/>
    <w:rsid w:val="000C5002"/>
    <w:rsid w:val="000C5058"/>
    <w:rsid w:val="000C5085"/>
    <w:rsid w:val="000C50D8"/>
    <w:rsid w:val="000C50FB"/>
    <w:rsid w:val="000C512C"/>
    <w:rsid w:val="000C512F"/>
    <w:rsid w:val="000C5156"/>
    <w:rsid w:val="000C515A"/>
    <w:rsid w:val="000C51E7"/>
    <w:rsid w:val="000C5205"/>
    <w:rsid w:val="000C52F0"/>
    <w:rsid w:val="000C5334"/>
    <w:rsid w:val="000C53F4"/>
    <w:rsid w:val="000C5415"/>
    <w:rsid w:val="000C54C3"/>
    <w:rsid w:val="000C55AF"/>
    <w:rsid w:val="000C5614"/>
    <w:rsid w:val="000C5629"/>
    <w:rsid w:val="000C569B"/>
    <w:rsid w:val="000C5753"/>
    <w:rsid w:val="000C578D"/>
    <w:rsid w:val="000C578E"/>
    <w:rsid w:val="000C57B8"/>
    <w:rsid w:val="000C57C8"/>
    <w:rsid w:val="000C57D0"/>
    <w:rsid w:val="000C57F5"/>
    <w:rsid w:val="000C5870"/>
    <w:rsid w:val="000C5893"/>
    <w:rsid w:val="000C58AE"/>
    <w:rsid w:val="000C5929"/>
    <w:rsid w:val="000C5969"/>
    <w:rsid w:val="000C5A20"/>
    <w:rsid w:val="000C5A6D"/>
    <w:rsid w:val="000C5B6F"/>
    <w:rsid w:val="000C5C54"/>
    <w:rsid w:val="000C5CD7"/>
    <w:rsid w:val="000C5D0D"/>
    <w:rsid w:val="000C5DA3"/>
    <w:rsid w:val="000C5DDC"/>
    <w:rsid w:val="000C5E07"/>
    <w:rsid w:val="000C5E5A"/>
    <w:rsid w:val="000C5E8D"/>
    <w:rsid w:val="000C5E91"/>
    <w:rsid w:val="000C5E94"/>
    <w:rsid w:val="000C5E9B"/>
    <w:rsid w:val="000C5F0F"/>
    <w:rsid w:val="000C5F56"/>
    <w:rsid w:val="000C5FAC"/>
    <w:rsid w:val="000C608A"/>
    <w:rsid w:val="000C6097"/>
    <w:rsid w:val="000C609A"/>
    <w:rsid w:val="000C6116"/>
    <w:rsid w:val="000C61A3"/>
    <w:rsid w:val="000C61DC"/>
    <w:rsid w:val="000C6207"/>
    <w:rsid w:val="000C628D"/>
    <w:rsid w:val="000C63D8"/>
    <w:rsid w:val="000C64ED"/>
    <w:rsid w:val="000C6541"/>
    <w:rsid w:val="000C658A"/>
    <w:rsid w:val="000C665B"/>
    <w:rsid w:val="000C66A4"/>
    <w:rsid w:val="000C672A"/>
    <w:rsid w:val="000C67A0"/>
    <w:rsid w:val="000C67DA"/>
    <w:rsid w:val="000C680E"/>
    <w:rsid w:val="000C682C"/>
    <w:rsid w:val="000C68E1"/>
    <w:rsid w:val="000C6911"/>
    <w:rsid w:val="000C6924"/>
    <w:rsid w:val="000C694B"/>
    <w:rsid w:val="000C6985"/>
    <w:rsid w:val="000C6A24"/>
    <w:rsid w:val="000C6A6F"/>
    <w:rsid w:val="000C6B99"/>
    <w:rsid w:val="000C6BA0"/>
    <w:rsid w:val="000C6C2F"/>
    <w:rsid w:val="000C6C38"/>
    <w:rsid w:val="000C6C6F"/>
    <w:rsid w:val="000C6C9B"/>
    <w:rsid w:val="000C6CF7"/>
    <w:rsid w:val="000C6D04"/>
    <w:rsid w:val="000C6DAB"/>
    <w:rsid w:val="000C6DAE"/>
    <w:rsid w:val="000C6E0F"/>
    <w:rsid w:val="000C6E54"/>
    <w:rsid w:val="000C6E77"/>
    <w:rsid w:val="000C6E7C"/>
    <w:rsid w:val="000C6EB9"/>
    <w:rsid w:val="000C6EE3"/>
    <w:rsid w:val="000C6F4F"/>
    <w:rsid w:val="000C6F52"/>
    <w:rsid w:val="000C6FB4"/>
    <w:rsid w:val="000C705A"/>
    <w:rsid w:val="000C7067"/>
    <w:rsid w:val="000C7088"/>
    <w:rsid w:val="000C70B8"/>
    <w:rsid w:val="000C70EF"/>
    <w:rsid w:val="000C71DC"/>
    <w:rsid w:val="000C7218"/>
    <w:rsid w:val="000C7238"/>
    <w:rsid w:val="000C7251"/>
    <w:rsid w:val="000C7310"/>
    <w:rsid w:val="000C7399"/>
    <w:rsid w:val="000C73B1"/>
    <w:rsid w:val="000C73E2"/>
    <w:rsid w:val="000C743B"/>
    <w:rsid w:val="000C7493"/>
    <w:rsid w:val="000C74CE"/>
    <w:rsid w:val="000C74EB"/>
    <w:rsid w:val="000C7525"/>
    <w:rsid w:val="000C7594"/>
    <w:rsid w:val="000C75E0"/>
    <w:rsid w:val="000C76AA"/>
    <w:rsid w:val="000C76D4"/>
    <w:rsid w:val="000C76E3"/>
    <w:rsid w:val="000C7766"/>
    <w:rsid w:val="000C77D0"/>
    <w:rsid w:val="000C7810"/>
    <w:rsid w:val="000C78C2"/>
    <w:rsid w:val="000C79AA"/>
    <w:rsid w:val="000C79BE"/>
    <w:rsid w:val="000C79D4"/>
    <w:rsid w:val="000C7A0C"/>
    <w:rsid w:val="000C7B3C"/>
    <w:rsid w:val="000C7B51"/>
    <w:rsid w:val="000C7B5B"/>
    <w:rsid w:val="000C7BD6"/>
    <w:rsid w:val="000C7BE1"/>
    <w:rsid w:val="000C7C0B"/>
    <w:rsid w:val="000C7C0D"/>
    <w:rsid w:val="000C7CBD"/>
    <w:rsid w:val="000C7CC0"/>
    <w:rsid w:val="000C7D71"/>
    <w:rsid w:val="000C7D92"/>
    <w:rsid w:val="000C7DB6"/>
    <w:rsid w:val="000C7DFD"/>
    <w:rsid w:val="000C7ED8"/>
    <w:rsid w:val="000C7EDE"/>
    <w:rsid w:val="000C7F22"/>
    <w:rsid w:val="000C7F6C"/>
    <w:rsid w:val="000C7F6D"/>
    <w:rsid w:val="000D0000"/>
    <w:rsid w:val="000D0096"/>
    <w:rsid w:val="000D00B1"/>
    <w:rsid w:val="000D00B7"/>
    <w:rsid w:val="000D00DF"/>
    <w:rsid w:val="000D014A"/>
    <w:rsid w:val="000D014B"/>
    <w:rsid w:val="000D015F"/>
    <w:rsid w:val="000D0216"/>
    <w:rsid w:val="000D023C"/>
    <w:rsid w:val="000D02E6"/>
    <w:rsid w:val="000D0309"/>
    <w:rsid w:val="000D0316"/>
    <w:rsid w:val="000D03A3"/>
    <w:rsid w:val="000D03D8"/>
    <w:rsid w:val="000D0421"/>
    <w:rsid w:val="000D0454"/>
    <w:rsid w:val="000D0489"/>
    <w:rsid w:val="000D04FB"/>
    <w:rsid w:val="000D056F"/>
    <w:rsid w:val="000D05F7"/>
    <w:rsid w:val="000D0755"/>
    <w:rsid w:val="000D07AF"/>
    <w:rsid w:val="000D082F"/>
    <w:rsid w:val="000D08C1"/>
    <w:rsid w:val="000D08DA"/>
    <w:rsid w:val="000D09FF"/>
    <w:rsid w:val="000D0A56"/>
    <w:rsid w:val="000D0A94"/>
    <w:rsid w:val="000D0B5B"/>
    <w:rsid w:val="000D0B8C"/>
    <w:rsid w:val="000D0BFF"/>
    <w:rsid w:val="000D0CCD"/>
    <w:rsid w:val="000D0D09"/>
    <w:rsid w:val="000D0D1D"/>
    <w:rsid w:val="000D0D3A"/>
    <w:rsid w:val="000D0DFE"/>
    <w:rsid w:val="000D0E1A"/>
    <w:rsid w:val="000D0E68"/>
    <w:rsid w:val="000D0ED6"/>
    <w:rsid w:val="000D0FA6"/>
    <w:rsid w:val="000D0FF8"/>
    <w:rsid w:val="000D1053"/>
    <w:rsid w:val="000D10A9"/>
    <w:rsid w:val="000D10FE"/>
    <w:rsid w:val="000D11D5"/>
    <w:rsid w:val="000D11F8"/>
    <w:rsid w:val="000D121F"/>
    <w:rsid w:val="000D1287"/>
    <w:rsid w:val="000D1293"/>
    <w:rsid w:val="000D12B4"/>
    <w:rsid w:val="000D13F4"/>
    <w:rsid w:val="000D13FB"/>
    <w:rsid w:val="000D1453"/>
    <w:rsid w:val="000D147E"/>
    <w:rsid w:val="000D14C6"/>
    <w:rsid w:val="000D14E2"/>
    <w:rsid w:val="000D1585"/>
    <w:rsid w:val="000D1668"/>
    <w:rsid w:val="000D1695"/>
    <w:rsid w:val="000D16B8"/>
    <w:rsid w:val="000D16FB"/>
    <w:rsid w:val="000D17DA"/>
    <w:rsid w:val="000D17E9"/>
    <w:rsid w:val="000D180A"/>
    <w:rsid w:val="000D1820"/>
    <w:rsid w:val="000D1890"/>
    <w:rsid w:val="000D18AF"/>
    <w:rsid w:val="000D1A9F"/>
    <w:rsid w:val="000D1B43"/>
    <w:rsid w:val="000D1BF6"/>
    <w:rsid w:val="000D1C1A"/>
    <w:rsid w:val="000D1C8A"/>
    <w:rsid w:val="000D1D8F"/>
    <w:rsid w:val="000D1D92"/>
    <w:rsid w:val="000D1DA0"/>
    <w:rsid w:val="000D1E9C"/>
    <w:rsid w:val="000D1EBC"/>
    <w:rsid w:val="000D1ED1"/>
    <w:rsid w:val="000D1F37"/>
    <w:rsid w:val="000D1F87"/>
    <w:rsid w:val="000D2095"/>
    <w:rsid w:val="000D20EC"/>
    <w:rsid w:val="000D2186"/>
    <w:rsid w:val="000D21DC"/>
    <w:rsid w:val="000D21EC"/>
    <w:rsid w:val="000D220E"/>
    <w:rsid w:val="000D2229"/>
    <w:rsid w:val="000D238E"/>
    <w:rsid w:val="000D23A2"/>
    <w:rsid w:val="000D23F1"/>
    <w:rsid w:val="000D2431"/>
    <w:rsid w:val="000D24CB"/>
    <w:rsid w:val="000D25EE"/>
    <w:rsid w:val="000D26AB"/>
    <w:rsid w:val="000D26E8"/>
    <w:rsid w:val="000D273D"/>
    <w:rsid w:val="000D27B4"/>
    <w:rsid w:val="000D2835"/>
    <w:rsid w:val="000D2851"/>
    <w:rsid w:val="000D287F"/>
    <w:rsid w:val="000D2959"/>
    <w:rsid w:val="000D2978"/>
    <w:rsid w:val="000D29B6"/>
    <w:rsid w:val="000D29FB"/>
    <w:rsid w:val="000D2A45"/>
    <w:rsid w:val="000D2AA2"/>
    <w:rsid w:val="000D2AAF"/>
    <w:rsid w:val="000D2AE9"/>
    <w:rsid w:val="000D2B82"/>
    <w:rsid w:val="000D2BCD"/>
    <w:rsid w:val="000D2C7C"/>
    <w:rsid w:val="000D2D40"/>
    <w:rsid w:val="000D2E0C"/>
    <w:rsid w:val="000D2F9B"/>
    <w:rsid w:val="000D30C4"/>
    <w:rsid w:val="000D31F5"/>
    <w:rsid w:val="000D31F9"/>
    <w:rsid w:val="000D3202"/>
    <w:rsid w:val="000D3215"/>
    <w:rsid w:val="000D3244"/>
    <w:rsid w:val="000D3254"/>
    <w:rsid w:val="000D32CF"/>
    <w:rsid w:val="000D330C"/>
    <w:rsid w:val="000D3421"/>
    <w:rsid w:val="000D3428"/>
    <w:rsid w:val="000D3460"/>
    <w:rsid w:val="000D34BE"/>
    <w:rsid w:val="000D34DB"/>
    <w:rsid w:val="000D356D"/>
    <w:rsid w:val="000D362F"/>
    <w:rsid w:val="000D3653"/>
    <w:rsid w:val="000D36F2"/>
    <w:rsid w:val="000D36F4"/>
    <w:rsid w:val="000D375F"/>
    <w:rsid w:val="000D3765"/>
    <w:rsid w:val="000D37D2"/>
    <w:rsid w:val="000D3820"/>
    <w:rsid w:val="000D383A"/>
    <w:rsid w:val="000D38C3"/>
    <w:rsid w:val="000D3959"/>
    <w:rsid w:val="000D3A0E"/>
    <w:rsid w:val="000D3AF3"/>
    <w:rsid w:val="000D3B2B"/>
    <w:rsid w:val="000D3B98"/>
    <w:rsid w:val="000D3C02"/>
    <w:rsid w:val="000D3CE0"/>
    <w:rsid w:val="000D3E53"/>
    <w:rsid w:val="000D3EAD"/>
    <w:rsid w:val="000D3EF1"/>
    <w:rsid w:val="000D3F8C"/>
    <w:rsid w:val="000D41F9"/>
    <w:rsid w:val="000D426E"/>
    <w:rsid w:val="000D42FB"/>
    <w:rsid w:val="000D42FD"/>
    <w:rsid w:val="000D4315"/>
    <w:rsid w:val="000D433C"/>
    <w:rsid w:val="000D4360"/>
    <w:rsid w:val="000D4380"/>
    <w:rsid w:val="000D43DB"/>
    <w:rsid w:val="000D45B3"/>
    <w:rsid w:val="000D45D4"/>
    <w:rsid w:val="000D4606"/>
    <w:rsid w:val="000D4641"/>
    <w:rsid w:val="000D4652"/>
    <w:rsid w:val="000D46B9"/>
    <w:rsid w:val="000D473F"/>
    <w:rsid w:val="000D4772"/>
    <w:rsid w:val="000D479A"/>
    <w:rsid w:val="000D48F7"/>
    <w:rsid w:val="000D4905"/>
    <w:rsid w:val="000D499B"/>
    <w:rsid w:val="000D4A14"/>
    <w:rsid w:val="000D4B73"/>
    <w:rsid w:val="000D4B7D"/>
    <w:rsid w:val="000D4BE5"/>
    <w:rsid w:val="000D4CA6"/>
    <w:rsid w:val="000D4CAA"/>
    <w:rsid w:val="000D4CC4"/>
    <w:rsid w:val="000D4D2D"/>
    <w:rsid w:val="000D4D4F"/>
    <w:rsid w:val="000D4D8C"/>
    <w:rsid w:val="000D4DC8"/>
    <w:rsid w:val="000D4E0A"/>
    <w:rsid w:val="000D4E3E"/>
    <w:rsid w:val="000D4E4C"/>
    <w:rsid w:val="000D4E6F"/>
    <w:rsid w:val="000D50E2"/>
    <w:rsid w:val="000D5118"/>
    <w:rsid w:val="000D51F1"/>
    <w:rsid w:val="000D522D"/>
    <w:rsid w:val="000D528F"/>
    <w:rsid w:val="000D52A3"/>
    <w:rsid w:val="000D5366"/>
    <w:rsid w:val="000D541A"/>
    <w:rsid w:val="000D545E"/>
    <w:rsid w:val="000D546B"/>
    <w:rsid w:val="000D54AC"/>
    <w:rsid w:val="000D5579"/>
    <w:rsid w:val="000D55A7"/>
    <w:rsid w:val="000D562E"/>
    <w:rsid w:val="000D5649"/>
    <w:rsid w:val="000D566C"/>
    <w:rsid w:val="000D5686"/>
    <w:rsid w:val="000D5724"/>
    <w:rsid w:val="000D578D"/>
    <w:rsid w:val="000D57F3"/>
    <w:rsid w:val="000D5829"/>
    <w:rsid w:val="000D589C"/>
    <w:rsid w:val="000D5946"/>
    <w:rsid w:val="000D595D"/>
    <w:rsid w:val="000D59AC"/>
    <w:rsid w:val="000D59AE"/>
    <w:rsid w:val="000D59D1"/>
    <w:rsid w:val="000D5A35"/>
    <w:rsid w:val="000D5A53"/>
    <w:rsid w:val="000D5A69"/>
    <w:rsid w:val="000D5AFE"/>
    <w:rsid w:val="000D5B37"/>
    <w:rsid w:val="000D5B5C"/>
    <w:rsid w:val="000D5BCE"/>
    <w:rsid w:val="000D5C58"/>
    <w:rsid w:val="000D5C88"/>
    <w:rsid w:val="000D5C90"/>
    <w:rsid w:val="000D5CB0"/>
    <w:rsid w:val="000D5D04"/>
    <w:rsid w:val="000D5DAB"/>
    <w:rsid w:val="000D5E16"/>
    <w:rsid w:val="000D5E48"/>
    <w:rsid w:val="000D5ED6"/>
    <w:rsid w:val="000D5F9A"/>
    <w:rsid w:val="000D6033"/>
    <w:rsid w:val="000D6084"/>
    <w:rsid w:val="000D613D"/>
    <w:rsid w:val="000D615C"/>
    <w:rsid w:val="000D615D"/>
    <w:rsid w:val="000D61BF"/>
    <w:rsid w:val="000D61F3"/>
    <w:rsid w:val="000D622E"/>
    <w:rsid w:val="000D6282"/>
    <w:rsid w:val="000D6298"/>
    <w:rsid w:val="000D62A6"/>
    <w:rsid w:val="000D6316"/>
    <w:rsid w:val="000D631D"/>
    <w:rsid w:val="000D6367"/>
    <w:rsid w:val="000D6393"/>
    <w:rsid w:val="000D6461"/>
    <w:rsid w:val="000D64E4"/>
    <w:rsid w:val="000D6528"/>
    <w:rsid w:val="000D657B"/>
    <w:rsid w:val="000D6588"/>
    <w:rsid w:val="000D65D0"/>
    <w:rsid w:val="000D667D"/>
    <w:rsid w:val="000D66B0"/>
    <w:rsid w:val="000D6728"/>
    <w:rsid w:val="000D674C"/>
    <w:rsid w:val="000D679D"/>
    <w:rsid w:val="000D6821"/>
    <w:rsid w:val="000D6823"/>
    <w:rsid w:val="000D685B"/>
    <w:rsid w:val="000D6909"/>
    <w:rsid w:val="000D694E"/>
    <w:rsid w:val="000D69FA"/>
    <w:rsid w:val="000D6AF5"/>
    <w:rsid w:val="000D6B0C"/>
    <w:rsid w:val="000D6B16"/>
    <w:rsid w:val="000D6B3D"/>
    <w:rsid w:val="000D6B58"/>
    <w:rsid w:val="000D6B78"/>
    <w:rsid w:val="000D6BB2"/>
    <w:rsid w:val="000D6BB3"/>
    <w:rsid w:val="000D6BC8"/>
    <w:rsid w:val="000D6BCD"/>
    <w:rsid w:val="000D6C1B"/>
    <w:rsid w:val="000D6C97"/>
    <w:rsid w:val="000D6CA9"/>
    <w:rsid w:val="000D6CC6"/>
    <w:rsid w:val="000D6CF6"/>
    <w:rsid w:val="000D6D09"/>
    <w:rsid w:val="000D6E85"/>
    <w:rsid w:val="000D6F30"/>
    <w:rsid w:val="000D6F83"/>
    <w:rsid w:val="000D7021"/>
    <w:rsid w:val="000D707F"/>
    <w:rsid w:val="000D70C2"/>
    <w:rsid w:val="000D714C"/>
    <w:rsid w:val="000D7156"/>
    <w:rsid w:val="000D71E1"/>
    <w:rsid w:val="000D7249"/>
    <w:rsid w:val="000D725D"/>
    <w:rsid w:val="000D72AF"/>
    <w:rsid w:val="000D7350"/>
    <w:rsid w:val="000D7384"/>
    <w:rsid w:val="000D7387"/>
    <w:rsid w:val="000D73AF"/>
    <w:rsid w:val="000D7405"/>
    <w:rsid w:val="000D7448"/>
    <w:rsid w:val="000D749F"/>
    <w:rsid w:val="000D74F6"/>
    <w:rsid w:val="000D7545"/>
    <w:rsid w:val="000D758B"/>
    <w:rsid w:val="000D760D"/>
    <w:rsid w:val="000D76A1"/>
    <w:rsid w:val="000D7716"/>
    <w:rsid w:val="000D7785"/>
    <w:rsid w:val="000D7824"/>
    <w:rsid w:val="000D7832"/>
    <w:rsid w:val="000D78EA"/>
    <w:rsid w:val="000D79B4"/>
    <w:rsid w:val="000D7A3F"/>
    <w:rsid w:val="000D7A45"/>
    <w:rsid w:val="000D7B8F"/>
    <w:rsid w:val="000D7C92"/>
    <w:rsid w:val="000D7CEF"/>
    <w:rsid w:val="000D7CFD"/>
    <w:rsid w:val="000D7D18"/>
    <w:rsid w:val="000D7DD3"/>
    <w:rsid w:val="000D7EFC"/>
    <w:rsid w:val="000D7F06"/>
    <w:rsid w:val="000D7F32"/>
    <w:rsid w:val="000D7F64"/>
    <w:rsid w:val="000D7F73"/>
    <w:rsid w:val="000D7FF0"/>
    <w:rsid w:val="000E01EF"/>
    <w:rsid w:val="000E02AE"/>
    <w:rsid w:val="000E02DD"/>
    <w:rsid w:val="000E034F"/>
    <w:rsid w:val="000E0428"/>
    <w:rsid w:val="000E045A"/>
    <w:rsid w:val="000E0482"/>
    <w:rsid w:val="000E04C9"/>
    <w:rsid w:val="000E0547"/>
    <w:rsid w:val="000E054C"/>
    <w:rsid w:val="000E0626"/>
    <w:rsid w:val="000E0628"/>
    <w:rsid w:val="000E0672"/>
    <w:rsid w:val="000E07C3"/>
    <w:rsid w:val="000E07F9"/>
    <w:rsid w:val="000E087F"/>
    <w:rsid w:val="000E08CB"/>
    <w:rsid w:val="000E08CD"/>
    <w:rsid w:val="000E08F0"/>
    <w:rsid w:val="000E093F"/>
    <w:rsid w:val="000E09B5"/>
    <w:rsid w:val="000E09FD"/>
    <w:rsid w:val="000E0D06"/>
    <w:rsid w:val="000E0D64"/>
    <w:rsid w:val="000E0D7F"/>
    <w:rsid w:val="000E0DCA"/>
    <w:rsid w:val="000E0DE5"/>
    <w:rsid w:val="000E0E35"/>
    <w:rsid w:val="000E0E83"/>
    <w:rsid w:val="000E0EA7"/>
    <w:rsid w:val="000E0EB0"/>
    <w:rsid w:val="000E0F83"/>
    <w:rsid w:val="000E0FC6"/>
    <w:rsid w:val="000E0FEA"/>
    <w:rsid w:val="000E0FFE"/>
    <w:rsid w:val="000E1010"/>
    <w:rsid w:val="000E101D"/>
    <w:rsid w:val="000E1038"/>
    <w:rsid w:val="000E104A"/>
    <w:rsid w:val="000E1058"/>
    <w:rsid w:val="000E1099"/>
    <w:rsid w:val="000E10BB"/>
    <w:rsid w:val="000E10E1"/>
    <w:rsid w:val="000E1139"/>
    <w:rsid w:val="000E1143"/>
    <w:rsid w:val="000E116B"/>
    <w:rsid w:val="000E11CD"/>
    <w:rsid w:val="000E124B"/>
    <w:rsid w:val="000E12A6"/>
    <w:rsid w:val="000E12EC"/>
    <w:rsid w:val="000E1371"/>
    <w:rsid w:val="000E14AA"/>
    <w:rsid w:val="000E14D8"/>
    <w:rsid w:val="000E14FF"/>
    <w:rsid w:val="000E1541"/>
    <w:rsid w:val="000E1546"/>
    <w:rsid w:val="000E157F"/>
    <w:rsid w:val="000E16FC"/>
    <w:rsid w:val="000E1748"/>
    <w:rsid w:val="000E1764"/>
    <w:rsid w:val="000E1854"/>
    <w:rsid w:val="000E18E8"/>
    <w:rsid w:val="000E1ABA"/>
    <w:rsid w:val="000E1AEF"/>
    <w:rsid w:val="000E1B0B"/>
    <w:rsid w:val="000E1C61"/>
    <w:rsid w:val="000E1DED"/>
    <w:rsid w:val="000E1E18"/>
    <w:rsid w:val="000E1EBE"/>
    <w:rsid w:val="000E1F03"/>
    <w:rsid w:val="000E1FDC"/>
    <w:rsid w:val="000E1FFC"/>
    <w:rsid w:val="000E2056"/>
    <w:rsid w:val="000E2065"/>
    <w:rsid w:val="000E2075"/>
    <w:rsid w:val="000E20E7"/>
    <w:rsid w:val="000E20F2"/>
    <w:rsid w:val="000E2136"/>
    <w:rsid w:val="000E219D"/>
    <w:rsid w:val="000E21FD"/>
    <w:rsid w:val="000E238E"/>
    <w:rsid w:val="000E23BD"/>
    <w:rsid w:val="000E24AC"/>
    <w:rsid w:val="000E25C8"/>
    <w:rsid w:val="000E2604"/>
    <w:rsid w:val="000E2630"/>
    <w:rsid w:val="000E2631"/>
    <w:rsid w:val="000E266A"/>
    <w:rsid w:val="000E2684"/>
    <w:rsid w:val="000E26D5"/>
    <w:rsid w:val="000E278C"/>
    <w:rsid w:val="000E27EA"/>
    <w:rsid w:val="000E2822"/>
    <w:rsid w:val="000E2825"/>
    <w:rsid w:val="000E283A"/>
    <w:rsid w:val="000E28A7"/>
    <w:rsid w:val="000E28CF"/>
    <w:rsid w:val="000E28EC"/>
    <w:rsid w:val="000E2B0C"/>
    <w:rsid w:val="000E2B63"/>
    <w:rsid w:val="000E2C4C"/>
    <w:rsid w:val="000E2CC2"/>
    <w:rsid w:val="000E2D24"/>
    <w:rsid w:val="000E2D49"/>
    <w:rsid w:val="000E2D86"/>
    <w:rsid w:val="000E2DC1"/>
    <w:rsid w:val="000E2E14"/>
    <w:rsid w:val="000E2E1E"/>
    <w:rsid w:val="000E2E87"/>
    <w:rsid w:val="000E2F3C"/>
    <w:rsid w:val="000E2F46"/>
    <w:rsid w:val="000E2FB1"/>
    <w:rsid w:val="000E2FD6"/>
    <w:rsid w:val="000E2FD9"/>
    <w:rsid w:val="000E30B4"/>
    <w:rsid w:val="000E30C0"/>
    <w:rsid w:val="000E3106"/>
    <w:rsid w:val="000E31F4"/>
    <w:rsid w:val="000E325E"/>
    <w:rsid w:val="000E32DE"/>
    <w:rsid w:val="000E32F6"/>
    <w:rsid w:val="000E3302"/>
    <w:rsid w:val="000E3322"/>
    <w:rsid w:val="000E3383"/>
    <w:rsid w:val="000E3395"/>
    <w:rsid w:val="000E33C5"/>
    <w:rsid w:val="000E33D5"/>
    <w:rsid w:val="000E3462"/>
    <w:rsid w:val="000E3479"/>
    <w:rsid w:val="000E34EC"/>
    <w:rsid w:val="000E3529"/>
    <w:rsid w:val="000E3544"/>
    <w:rsid w:val="000E3603"/>
    <w:rsid w:val="000E3621"/>
    <w:rsid w:val="000E36F2"/>
    <w:rsid w:val="000E36F7"/>
    <w:rsid w:val="000E3780"/>
    <w:rsid w:val="000E37AF"/>
    <w:rsid w:val="000E37C6"/>
    <w:rsid w:val="000E380E"/>
    <w:rsid w:val="000E381A"/>
    <w:rsid w:val="000E382F"/>
    <w:rsid w:val="000E3848"/>
    <w:rsid w:val="000E395D"/>
    <w:rsid w:val="000E3A2D"/>
    <w:rsid w:val="000E3A95"/>
    <w:rsid w:val="000E3B10"/>
    <w:rsid w:val="000E3DCC"/>
    <w:rsid w:val="000E3E27"/>
    <w:rsid w:val="000E3E80"/>
    <w:rsid w:val="000E3EB2"/>
    <w:rsid w:val="000E3F63"/>
    <w:rsid w:val="000E3F98"/>
    <w:rsid w:val="000E3FD2"/>
    <w:rsid w:val="000E3FF5"/>
    <w:rsid w:val="000E401D"/>
    <w:rsid w:val="000E4045"/>
    <w:rsid w:val="000E40E6"/>
    <w:rsid w:val="000E41CA"/>
    <w:rsid w:val="000E41CF"/>
    <w:rsid w:val="000E427D"/>
    <w:rsid w:val="000E4283"/>
    <w:rsid w:val="000E42C5"/>
    <w:rsid w:val="000E4316"/>
    <w:rsid w:val="000E4426"/>
    <w:rsid w:val="000E4429"/>
    <w:rsid w:val="000E4451"/>
    <w:rsid w:val="000E4482"/>
    <w:rsid w:val="000E456D"/>
    <w:rsid w:val="000E458A"/>
    <w:rsid w:val="000E45EF"/>
    <w:rsid w:val="000E46C8"/>
    <w:rsid w:val="000E46E1"/>
    <w:rsid w:val="000E470F"/>
    <w:rsid w:val="000E471E"/>
    <w:rsid w:val="000E476C"/>
    <w:rsid w:val="000E4813"/>
    <w:rsid w:val="000E48A5"/>
    <w:rsid w:val="000E48E7"/>
    <w:rsid w:val="000E48FD"/>
    <w:rsid w:val="000E4903"/>
    <w:rsid w:val="000E498E"/>
    <w:rsid w:val="000E49A5"/>
    <w:rsid w:val="000E49A8"/>
    <w:rsid w:val="000E4BB1"/>
    <w:rsid w:val="000E4C02"/>
    <w:rsid w:val="000E4C93"/>
    <w:rsid w:val="000E4D23"/>
    <w:rsid w:val="000E4D46"/>
    <w:rsid w:val="000E4DC4"/>
    <w:rsid w:val="000E4DC9"/>
    <w:rsid w:val="000E4E42"/>
    <w:rsid w:val="000E4F05"/>
    <w:rsid w:val="000E4FBE"/>
    <w:rsid w:val="000E5045"/>
    <w:rsid w:val="000E508C"/>
    <w:rsid w:val="000E5094"/>
    <w:rsid w:val="000E5148"/>
    <w:rsid w:val="000E5175"/>
    <w:rsid w:val="000E5188"/>
    <w:rsid w:val="000E51B0"/>
    <w:rsid w:val="000E51F5"/>
    <w:rsid w:val="000E52A3"/>
    <w:rsid w:val="000E52A7"/>
    <w:rsid w:val="000E52B6"/>
    <w:rsid w:val="000E52F7"/>
    <w:rsid w:val="000E53AD"/>
    <w:rsid w:val="000E53CC"/>
    <w:rsid w:val="000E53FE"/>
    <w:rsid w:val="000E5408"/>
    <w:rsid w:val="000E54A7"/>
    <w:rsid w:val="000E54E4"/>
    <w:rsid w:val="000E55A4"/>
    <w:rsid w:val="000E5647"/>
    <w:rsid w:val="000E564D"/>
    <w:rsid w:val="000E5656"/>
    <w:rsid w:val="000E56CD"/>
    <w:rsid w:val="000E570D"/>
    <w:rsid w:val="000E5710"/>
    <w:rsid w:val="000E5766"/>
    <w:rsid w:val="000E57A1"/>
    <w:rsid w:val="000E57B4"/>
    <w:rsid w:val="000E57D4"/>
    <w:rsid w:val="000E57E6"/>
    <w:rsid w:val="000E58CF"/>
    <w:rsid w:val="000E599A"/>
    <w:rsid w:val="000E59CC"/>
    <w:rsid w:val="000E59E5"/>
    <w:rsid w:val="000E5A07"/>
    <w:rsid w:val="000E5A1D"/>
    <w:rsid w:val="000E5A98"/>
    <w:rsid w:val="000E5A9F"/>
    <w:rsid w:val="000E5B9A"/>
    <w:rsid w:val="000E5C35"/>
    <w:rsid w:val="000E5C37"/>
    <w:rsid w:val="000E5C53"/>
    <w:rsid w:val="000E5E41"/>
    <w:rsid w:val="000E5EC7"/>
    <w:rsid w:val="000E5EE5"/>
    <w:rsid w:val="000E6007"/>
    <w:rsid w:val="000E6018"/>
    <w:rsid w:val="000E6099"/>
    <w:rsid w:val="000E60CD"/>
    <w:rsid w:val="000E60DF"/>
    <w:rsid w:val="000E6172"/>
    <w:rsid w:val="000E624F"/>
    <w:rsid w:val="000E62AC"/>
    <w:rsid w:val="000E644B"/>
    <w:rsid w:val="000E649E"/>
    <w:rsid w:val="000E64DF"/>
    <w:rsid w:val="000E64E5"/>
    <w:rsid w:val="000E64FD"/>
    <w:rsid w:val="000E6523"/>
    <w:rsid w:val="000E65DE"/>
    <w:rsid w:val="000E65E0"/>
    <w:rsid w:val="000E6613"/>
    <w:rsid w:val="000E667B"/>
    <w:rsid w:val="000E667F"/>
    <w:rsid w:val="000E6680"/>
    <w:rsid w:val="000E66A3"/>
    <w:rsid w:val="000E66B1"/>
    <w:rsid w:val="000E6707"/>
    <w:rsid w:val="000E67A7"/>
    <w:rsid w:val="000E6851"/>
    <w:rsid w:val="000E69A0"/>
    <w:rsid w:val="000E69B2"/>
    <w:rsid w:val="000E6AFB"/>
    <w:rsid w:val="000E6B6D"/>
    <w:rsid w:val="000E6B83"/>
    <w:rsid w:val="000E6BAC"/>
    <w:rsid w:val="000E6C91"/>
    <w:rsid w:val="000E6D0F"/>
    <w:rsid w:val="000E6D6A"/>
    <w:rsid w:val="000E6D93"/>
    <w:rsid w:val="000E6DE8"/>
    <w:rsid w:val="000E6E39"/>
    <w:rsid w:val="000E6E5D"/>
    <w:rsid w:val="000E6F0F"/>
    <w:rsid w:val="000E6F7F"/>
    <w:rsid w:val="000E6FDA"/>
    <w:rsid w:val="000E6FF4"/>
    <w:rsid w:val="000E7049"/>
    <w:rsid w:val="000E7060"/>
    <w:rsid w:val="000E7248"/>
    <w:rsid w:val="000E72F4"/>
    <w:rsid w:val="000E73AA"/>
    <w:rsid w:val="000E73BA"/>
    <w:rsid w:val="000E7465"/>
    <w:rsid w:val="000E74B4"/>
    <w:rsid w:val="000E75B0"/>
    <w:rsid w:val="000E75B6"/>
    <w:rsid w:val="000E7644"/>
    <w:rsid w:val="000E76EB"/>
    <w:rsid w:val="000E773E"/>
    <w:rsid w:val="000E77FB"/>
    <w:rsid w:val="000E780C"/>
    <w:rsid w:val="000E785E"/>
    <w:rsid w:val="000E7871"/>
    <w:rsid w:val="000E78C1"/>
    <w:rsid w:val="000E78C4"/>
    <w:rsid w:val="000E7979"/>
    <w:rsid w:val="000E7A21"/>
    <w:rsid w:val="000E7AB3"/>
    <w:rsid w:val="000E7B03"/>
    <w:rsid w:val="000E7C65"/>
    <w:rsid w:val="000E7D3D"/>
    <w:rsid w:val="000E7F10"/>
    <w:rsid w:val="000E7F21"/>
    <w:rsid w:val="000E7FD2"/>
    <w:rsid w:val="000F0002"/>
    <w:rsid w:val="000F0032"/>
    <w:rsid w:val="000F003B"/>
    <w:rsid w:val="000F0060"/>
    <w:rsid w:val="000F008B"/>
    <w:rsid w:val="000F00C5"/>
    <w:rsid w:val="000F00C7"/>
    <w:rsid w:val="000F016A"/>
    <w:rsid w:val="000F016C"/>
    <w:rsid w:val="000F0171"/>
    <w:rsid w:val="000F0236"/>
    <w:rsid w:val="000F025E"/>
    <w:rsid w:val="000F0262"/>
    <w:rsid w:val="000F036E"/>
    <w:rsid w:val="000F043B"/>
    <w:rsid w:val="000F0473"/>
    <w:rsid w:val="000F047C"/>
    <w:rsid w:val="000F04D9"/>
    <w:rsid w:val="000F05CC"/>
    <w:rsid w:val="000F05DD"/>
    <w:rsid w:val="000F05E5"/>
    <w:rsid w:val="000F061E"/>
    <w:rsid w:val="000F0624"/>
    <w:rsid w:val="000F066E"/>
    <w:rsid w:val="000F069F"/>
    <w:rsid w:val="000F06B7"/>
    <w:rsid w:val="000F06CF"/>
    <w:rsid w:val="000F074C"/>
    <w:rsid w:val="000F07A5"/>
    <w:rsid w:val="000F0984"/>
    <w:rsid w:val="000F0990"/>
    <w:rsid w:val="000F09B6"/>
    <w:rsid w:val="000F09CD"/>
    <w:rsid w:val="000F09DC"/>
    <w:rsid w:val="000F0A46"/>
    <w:rsid w:val="000F0AE0"/>
    <w:rsid w:val="000F0B2C"/>
    <w:rsid w:val="000F0B50"/>
    <w:rsid w:val="000F0B80"/>
    <w:rsid w:val="000F0C91"/>
    <w:rsid w:val="000F0CD9"/>
    <w:rsid w:val="000F0CF7"/>
    <w:rsid w:val="000F0DE4"/>
    <w:rsid w:val="000F0DFD"/>
    <w:rsid w:val="000F0E61"/>
    <w:rsid w:val="000F0E74"/>
    <w:rsid w:val="000F0E8B"/>
    <w:rsid w:val="000F0E91"/>
    <w:rsid w:val="000F0EED"/>
    <w:rsid w:val="000F0F11"/>
    <w:rsid w:val="000F0F17"/>
    <w:rsid w:val="000F0F26"/>
    <w:rsid w:val="000F0FF1"/>
    <w:rsid w:val="000F1015"/>
    <w:rsid w:val="000F1019"/>
    <w:rsid w:val="000F1026"/>
    <w:rsid w:val="000F103E"/>
    <w:rsid w:val="000F10F2"/>
    <w:rsid w:val="000F1133"/>
    <w:rsid w:val="000F11D9"/>
    <w:rsid w:val="000F1242"/>
    <w:rsid w:val="000F1253"/>
    <w:rsid w:val="000F126E"/>
    <w:rsid w:val="000F12C6"/>
    <w:rsid w:val="000F12E3"/>
    <w:rsid w:val="000F12F1"/>
    <w:rsid w:val="000F1401"/>
    <w:rsid w:val="000F1402"/>
    <w:rsid w:val="000F140F"/>
    <w:rsid w:val="000F1414"/>
    <w:rsid w:val="000F1422"/>
    <w:rsid w:val="000F1478"/>
    <w:rsid w:val="000F1495"/>
    <w:rsid w:val="000F14FB"/>
    <w:rsid w:val="000F1504"/>
    <w:rsid w:val="000F1574"/>
    <w:rsid w:val="000F15EE"/>
    <w:rsid w:val="000F1627"/>
    <w:rsid w:val="000F1628"/>
    <w:rsid w:val="000F16D7"/>
    <w:rsid w:val="000F16EB"/>
    <w:rsid w:val="000F1722"/>
    <w:rsid w:val="000F17A1"/>
    <w:rsid w:val="000F17F9"/>
    <w:rsid w:val="000F184C"/>
    <w:rsid w:val="000F1852"/>
    <w:rsid w:val="000F18EE"/>
    <w:rsid w:val="000F195F"/>
    <w:rsid w:val="000F1987"/>
    <w:rsid w:val="000F1A58"/>
    <w:rsid w:val="000F1A7D"/>
    <w:rsid w:val="000F1B76"/>
    <w:rsid w:val="000F1CBC"/>
    <w:rsid w:val="000F1CD1"/>
    <w:rsid w:val="000F1D3A"/>
    <w:rsid w:val="000F1D73"/>
    <w:rsid w:val="000F1D8D"/>
    <w:rsid w:val="000F1E0E"/>
    <w:rsid w:val="000F1F4F"/>
    <w:rsid w:val="000F1F7A"/>
    <w:rsid w:val="000F1FEB"/>
    <w:rsid w:val="000F208F"/>
    <w:rsid w:val="000F20FB"/>
    <w:rsid w:val="000F2100"/>
    <w:rsid w:val="000F212E"/>
    <w:rsid w:val="000F2183"/>
    <w:rsid w:val="000F2189"/>
    <w:rsid w:val="000F21BC"/>
    <w:rsid w:val="000F22E8"/>
    <w:rsid w:val="000F232C"/>
    <w:rsid w:val="000F233A"/>
    <w:rsid w:val="000F23A8"/>
    <w:rsid w:val="000F23CB"/>
    <w:rsid w:val="000F2409"/>
    <w:rsid w:val="000F2429"/>
    <w:rsid w:val="000F2434"/>
    <w:rsid w:val="000F2479"/>
    <w:rsid w:val="000F24F2"/>
    <w:rsid w:val="000F253A"/>
    <w:rsid w:val="000F253B"/>
    <w:rsid w:val="000F2567"/>
    <w:rsid w:val="000F257E"/>
    <w:rsid w:val="000F261F"/>
    <w:rsid w:val="000F269F"/>
    <w:rsid w:val="000F26E2"/>
    <w:rsid w:val="000F26E4"/>
    <w:rsid w:val="000F270B"/>
    <w:rsid w:val="000F2737"/>
    <w:rsid w:val="000F2787"/>
    <w:rsid w:val="000F27AA"/>
    <w:rsid w:val="000F27D4"/>
    <w:rsid w:val="000F29A6"/>
    <w:rsid w:val="000F29B9"/>
    <w:rsid w:val="000F2A1D"/>
    <w:rsid w:val="000F2A33"/>
    <w:rsid w:val="000F2A9E"/>
    <w:rsid w:val="000F2AA7"/>
    <w:rsid w:val="000F2B30"/>
    <w:rsid w:val="000F2B80"/>
    <w:rsid w:val="000F2BB9"/>
    <w:rsid w:val="000F2D34"/>
    <w:rsid w:val="000F2D54"/>
    <w:rsid w:val="000F2E15"/>
    <w:rsid w:val="000F2E25"/>
    <w:rsid w:val="000F2EA8"/>
    <w:rsid w:val="000F2EB7"/>
    <w:rsid w:val="000F2F3A"/>
    <w:rsid w:val="000F2F90"/>
    <w:rsid w:val="000F302D"/>
    <w:rsid w:val="000F3033"/>
    <w:rsid w:val="000F3046"/>
    <w:rsid w:val="000F308B"/>
    <w:rsid w:val="000F3107"/>
    <w:rsid w:val="000F3154"/>
    <w:rsid w:val="000F31E9"/>
    <w:rsid w:val="000F31FD"/>
    <w:rsid w:val="000F320C"/>
    <w:rsid w:val="000F325E"/>
    <w:rsid w:val="000F3274"/>
    <w:rsid w:val="000F328D"/>
    <w:rsid w:val="000F3316"/>
    <w:rsid w:val="000F3350"/>
    <w:rsid w:val="000F338D"/>
    <w:rsid w:val="000F3420"/>
    <w:rsid w:val="000F346D"/>
    <w:rsid w:val="000F3475"/>
    <w:rsid w:val="000F3490"/>
    <w:rsid w:val="000F3523"/>
    <w:rsid w:val="000F35F0"/>
    <w:rsid w:val="000F361B"/>
    <w:rsid w:val="000F3626"/>
    <w:rsid w:val="000F36A6"/>
    <w:rsid w:val="000F3721"/>
    <w:rsid w:val="000F373B"/>
    <w:rsid w:val="000F37D0"/>
    <w:rsid w:val="000F3818"/>
    <w:rsid w:val="000F381F"/>
    <w:rsid w:val="000F386D"/>
    <w:rsid w:val="000F3920"/>
    <w:rsid w:val="000F3980"/>
    <w:rsid w:val="000F398F"/>
    <w:rsid w:val="000F39BC"/>
    <w:rsid w:val="000F3A05"/>
    <w:rsid w:val="000F3A32"/>
    <w:rsid w:val="000F3AA9"/>
    <w:rsid w:val="000F3AC9"/>
    <w:rsid w:val="000F3AEA"/>
    <w:rsid w:val="000F3B0B"/>
    <w:rsid w:val="000F3B6E"/>
    <w:rsid w:val="000F3B73"/>
    <w:rsid w:val="000F3B97"/>
    <w:rsid w:val="000F3E1C"/>
    <w:rsid w:val="000F3E8E"/>
    <w:rsid w:val="000F3E94"/>
    <w:rsid w:val="000F3ECD"/>
    <w:rsid w:val="000F3EF1"/>
    <w:rsid w:val="000F3F87"/>
    <w:rsid w:val="000F3F8B"/>
    <w:rsid w:val="000F3FC8"/>
    <w:rsid w:val="000F4004"/>
    <w:rsid w:val="000F402D"/>
    <w:rsid w:val="000F4037"/>
    <w:rsid w:val="000F4070"/>
    <w:rsid w:val="000F40AA"/>
    <w:rsid w:val="000F40AB"/>
    <w:rsid w:val="000F40E2"/>
    <w:rsid w:val="000F4132"/>
    <w:rsid w:val="000F4173"/>
    <w:rsid w:val="000F421D"/>
    <w:rsid w:val="000F4229"/>
    <w:rsid w:val="000F4282"/>
    <w:rsid w:val="000F4380"/>
    <w:rsid w:val="000F43C7"/>
    <w:rsid w:val="000F4400"/>
    <w:rsid w:val="000F4431"/>
    <w:rsid w:val="000F4449"/>
    <w:rsid w:val="000F44A5"/>
    <w:rsid w:val="000F44B9"/>
    <w:rsid w:val="000F4535"/>
    <w:rsid w:val="000F455D"/>
    <w:rsid w:val="000F4566"/>
    <w:rsid w:val="000F4580"/>
    <w:rsid w:val="000F463A"/>
    <w:rsid w:val="000F46EF"/>
    <w:rsid w:val="000F4782"/>
    <w:rsid w:val="000F4785"/>
    <w:rsid w:val="000F47AC"/>
    <w:rsid w:val="000F4801"/>
    <w:rsid w:val="000F48BA"/>
    <w:rsid w:val="000F48DC"/>
    <w:rsid w:val="000F4948"/>
    <w:rsid w:val="000F497C"/>
    <w:rsid w:val="000F498D"/>
    <w:rsid w:val="000F49C4"/>
    <w:rsid w:val="000F49DE"/>
    <w:rsid w:val="000F4A55"/>
    <w:rsid w:val="000F4A62"/>
    <w:rsid w:val="000F4ABD"/>
    <w:rsid w:val="000F4B7B"/>
    <w:rsid w:val="000F4BF6"/>
    <w:rsid w:val="000F4C12"/>
    <w:rsid w:val="000F4C2A"/>
    <w:rsid w:val="000F4D38"/>
    <w:rsid w:val="000F4D5B"/>
    <w:rsid w:val="000F4D5D"/>
    <w:rsid w:val="000F4DF6"/>
    <w:rsid w:val="000F4E0C"/>
    <w:rsid w:val="000F4E17"/>
    <w:rsid w:val="000F4E68"/>
    <w:rsid w:val="000F5024"/>
    <w:rsid w:val="000F5054"/>
    <w:rsid w:val="000F506B"/>
    <w:rsid w:val="000F5085"/>
    <w:rsid w:val="000F50DC"/>
    <w:rsid w:val="000F515D"/>
    <w:rsid w:val="000F51B6"/>
    <w:rsid w:val="000F51DE"/>
    <w:rsid w:val="000F5379"/>
    <w:rsid w:val="000F57CF"/>
    <w:rsid w:val="000F586B"/>
    <w:rsid w:val="000F5887"/>
    <w:rsid w:val="000F58C3"/>
    <w:rsid w:val="000F58D8"/>
    <w:rsid w:val="000F5922"/>
    <w:rsid w:val="000F599E"/>
    <w:rsid w:val="000F5C19"/>
    <w:rsid w:val="000F5C79"/>
    <w:rsid w:val="000F5C8A"/>
    <w:rsid w:val="000F5CB8"/>
    <w:rsid w:val="000F5D4C"/>
    <w:rsid w:val="000F5DE2"/>
    <w:rsid w:val="000F5DEB"/>
    <w:rsid w:val="000F5DEE"/>
    <w:rsid w:val="000F5DFA"/>
    <w:rsid w:val="000F5E61"/>
    <w:rsid w:val="000F5EB0"/>
    <w:rsid w:val="000F5F30"/>
    <w:rsid w:val="000F5F43"/>
    <w:rsid w:val="000F5F71"/>
    <w:rsid w:val="000F5FD3"/>
    <w:rsid w:val="000F600B"/>
    <w:rsid w:val="000F60FF"/>
    <w:rsid w:val="000F6155"/>
    <w:rsid w:val="000F62D0"/>
    <w:rsid w:val="000F6362"/>
    <w:rsid w:val="000F6398"/>
    <w:rsid w:val="000F63FC"/>
    <w:rsid w:val="000F6497"/>
    <w:rsid w:val="000F64FD"/>
    <w:rsid w:val="000F6526"/>
    <w:rsid w:val="000F657F"/>
    <w:rsid w:val="000F65AC"/>
    <w:rsid w:val="000F6644"/>
    <w:rsid w:val="000F6662"/>
    <w:rsid w:val="000F6675"/>
    <w:rsid w:val="000F66C8"/>
    <w:rsid w:val="000F66D9"/>
    <w:rsid w:val="000F6714"/>
    <w:rsid w:val="000F672F"/>
    <w:rsid w:val="000F676A"/>
    <w:rsid w:val="000F6825"/>
    <w:rsid w:val="000F688B"/>
    <w:rsid w:val="000F68B4"/>
    <w:rsid w:val="000F68C6"/>
    <w:rsid w:val="000F694E"/>
    <w:rsid w:val="000F695F"/>
    <w:rsid w:val="000F6990"/>
    <w:rsid w:val="000F6ADA"/>
    <w:rsid w:val="000F6AFD"/>
    <w:rsid w:val="000F6BCA"/>
    <w:rsid w:val="000F6BD1"/>
    <w:rsid w:val="000F6C2A"/>
    <w:rsid w:val="000F6C85"/>
    <w:rsid w:val="000F6D06"/>
    <w:rsid w:val="000F6D3B"/>
    <w:rsid w:val="000F6DD4"/>
    <w:rsid w:val="000F6E0C"/>
    <w:rsid w:val="000F6EB7"/>
    <w:rsid w:val="000F6EF5"/>
    <w:rsid w:val="000F6F0D"/>
    <w:rsid w:val="000F6FF2"/>
    <w:rsid w:val="000F7015"/>
    <w:rsid w:val="000F7061"/>
    <w:rsid w:val="000F708C"/>
    <w:rsid w:val="000F7124"/>
    <w:rsid w:val="000F7190"/>
    <w:rsid w:val="000F71B1"/>
    <w:rsid w:val="000F723C"/>
    <w:rsid w:val="000F724F"/>
    <w:rsid w:val="000F72C1"/>
    <w:rsid w:val="000F739D"/>
    <w:rsid w:val="000F73F1"/>
    <w:rsid w:val="000F7450"/>
    <w:rsid w:val="000F7481"/>
    <w:rsid w:val="000F74B0"/>
    <w:rsid w:val="000F7557"/>
    <w:rsid w:val="000F757B"/>
    <w:rsid w:val="000F757E"/>
    <w:rsid w:val="000F7617"/>
    <w:rsid w:val="000F7650"/>
    <w:rsid w:val="000F7688"/>
    <w:rsid w:val="000F76A7"/>
    <w:rsid w:val="000F76E5"/>
    <w:rsid w:val="000F770F"/>
    <w:rsid w:val="000F778A"/>
    <w:rsid w:val="000F77B4"/>
    <w:rsid w:val="000F78C1"/>
    <w:rsid w:val="000F78F6"/>
    <w:rsid w:val="000F7971"/>
    <w:rsid w:val="000F7987"/>
    <w:rsid w:val="000F7A29"/>
    <w:rsid w:val="000F7A41"/>
    <w:rsid w:val="000F7ACB"/>
    <w:rsid w:val="000F7AD6"/>
    <w:rsid w:val="000F7B08"/>
    <w:rsid w:val="000F7BF9"/>
    <w:rsid w:val="000F7BFB"/>
    <w:rsid w:val="000F7BFF"/>
    <w:rsid w:val="000F7C16"/>
    <w:rsid w:val="000F7C53"/>
    <w:rsid w:val="000F7D40"/>
    <w:rsid w:val="000F7D7C"/>
    <w:rsid w:val="000F7D8D"/>
    <w:rsid w:val="000F7DB4"/>
    <w:rsid w:val="000F7DEC"/>
    <w:rsid w:val="000F7E10"/>
    <w:rsid w:val="000F7E12"/>
    <w:rsid w:val="000F7EBE"/>
    <w:rsid w:val="000F7EFD"/>
    <w:rsid w:val="000F7F3A"/>
    <w:rsid w:val="000F7F93"/>
    <w:rsid w:val="000F7FD2"/>
    <w:rsid w:val="000F7FEA"/>
    <w:rsid w:val="0010009C"/>
    <w:rsid w:val="001000AE"/>
    <w:rsid w:val="001000F1"/>
    <w:rsid w:val="00100126"/>
    <w:rsid w:val="0010017F"/>
    <w:rsid w:val="001001B5"/>
    <w:rsid w:val="001001B8"/>
    <w:rsid w:val="001001E7"/>
    <w:rsid w:val="001001F8"/>
    <w:rsid w:val="0010025D"/>
    <w:rsid w:val="00100289"/>
    <w:rsid w:val="001002BA"/>
    <w:rsid w:val="00100336"/>
    <w:rsid w:val="00100343"/>
    <w:rsid w:val="001003CD"/>
    <w:rsid w:val="001003DF"/>
    <w:rsid w:val="0010045A"/>
    <w:rsid w:val="00100464"/>
    <w:rsid w:val="001004CB"/>
    <w:rsid w:val="001004D2"/>
    <w:rsid w:val="0010051A"/>
    <w:rsid w:val="00100581"/>
    <w:rsid w:val="00100585"/>
    <w:rsid w:val="001005C1"/>
    <w:rsid w:val="001005CD"/>
    <w:rsid w:val="0010065E"/>
    <w:rsid w:val="001007EF"/>
    <w:rsid w:val="00100882"/>
    <w:rsid w:val="001008F3"/>
    <w:rsid w:val="00100993"/>
    <w:rsid w:val="00100A57"/>
    <w:rsid w:val="00100A59"/>
    <w:rsid w:val="00100ADE"/>
    <w:rsid w:val="00100B5F"/>
    <w:rsid w:val="00100C3A"/>
    <w:rsid w:val="00100C95"/>
    <w:rsid w:val="00100CEE"/>
    <w:rsid w:val="00100D1E"/>
    <w:rsid w:val="00100D2E"/>
    <w:rsid w:val="00100DA5"/>
    <w:rsid w:val="00100E04"/>
    <w:rsid w:val="00100E6B"/>
    <w:rsid w:val="00100EDC"/>
    <w:rsid w:val="00100EF7"/>
    <w:rsid w:val="00100F13"/>
    <w:rsid w:val="0010114E"/>
    <w:rsid w:val="001011A2"/>
    <w:rsid w:val="001011EC"/>
    <w:rsid w:val="001012B7"/>
    <w:rsid w:val="00101500"/>
    <w:rsid w:val="0010152C"/>
    <w:rsid w:val="00101541"/>
    <w:rsid w:val="00101583"/>
    <w:rsid w:val="00101587"/>
    <w:rsid w:val="00101601"/>
    <w:rsid w:val="001016D4"/>
    <w:rsid w:val="001016E4"/>
    <w:rsid w:val="00101747"/>
    <w:rsid w:val="00101771"/>
    <w:rsid w:val="00101805"/>
    <w:rsid w:val="00101825"/>
    <w:rsid w:val="00101867"/>
    <w:rsid w:val="0010188E"/>
    <w:rsid w:val="001018E3"/>
    <w:rsid w:val="00101904"/>
    <w:rsid w:val="00101909"/>
    <w:rsid w:val="001019AF"/>
    <w:rsid w:val="00101A88"/>
    <w:rsid w:val="00101AE9"/>
    <w:rsid w:val="00101BF3"/>
    <w:rsid w:val="00101C15"/>
    <w:rsid w:val="00101CEB"/>
    <w:rsid w:val="00101D6D"/>
    <w:rsid w:val="00101E63"/>
    <w:rsid w:val="00101E82"/>
    <w:rsid w:val="00101E87"/>
    <w:rsid w:val="00101EF9"/>
    <w:rsid w:val="00101F66"/>
    <w:rsid w:val="00102064"/>
    <w:rsid w:val="001020A7"/>
    <w:rsid w:val="0010214E"/>
    <w:rsid w:val="00102234"/>
    <w:rsid w:val="00102247"/>
    <w:rsid w:val="0010226C"/>
    <w:rsid w:val="001022B0"/>
    <w:rsid w:val="001022CA"/>
    <w:rsid w:val="001022DB"/>
    <w:rsid w:val="001022FB"/>
    <w:rsid w:val="0010233F"/>
    <w:rsid w:val="00102383"/>
    <w:rsid w:val="001023B6"/>
    <w:rsid w:val="001023E7"/>
    <w:rsid w:val="00102460"/>
    <w:rsid w:val="001024C6"/>
    <w:rsid w:val="00102504"/>
    <w:rsid w:val="00102531"/>
    <w:rsid w:val="0010258D"/>
    <w:rsid w:val="001025AE"/>
    <w:rsid w:val="001025EB"/>
    <w:rsid w:val="001025F7"/>
    <w:rsid w:val="0010267C"/>
    <w:rsid w:val="0010267F"/>
    <w:rsid w:val="00102708"/>
    <w:rsid w:val="0010272F"/>
    <w:rsid w:val="00102739"/>
    <w:rsid w:val="001027DB"/>
    <w:rsid w:val="001027E5"/>
    <w:rsid w:val="00102807"/>
    <w:rsid w:val="0010290A"/>
    <w:rsid w:val="00102934"/>
    <w:rsid w:val="0010294F"/>
    <w:rsid w:val="0010296B"/>
    <w:rsid w:val="001029C1"/>
    <w:rsid w:val="001029EC"/>
    <w:rsid w:val="00102A5F"/>
    <w:rsid w:val="00102B3C"/>
    <w:rsid w:val="00102B6E"/>
    <w:rsid w:val="00102C0B"/>
    <w:rsid w:val="00102C12"/>
    <w:rsid w:val="00102CEE"/>
    <w:rsid w:val="00102CF4"/>
    <w:rsid w:val="00102D7E"/>
    <w:rsid w:val="00102E10"/>
    <w:rsid w:val="00102E61"/>
    <w:rsid w:val="00102E64"/>
    <w:rsid w:val="00102E82"/>
    <w:rsid w:val="00102E99"/>
    <w:rsid w:val="00102EA3"/>
    <w:rsid w:val="00102F10"/>
    <w:rsid w:val="00103045"/>
    <w:rsid w:val="001030C5"/>
    <w:rsid w:val="0010312B"/>
    <w:rsid w:val="00103226"/>
    <w:rsid w:val="0010322B"/>
    <w:rsid w:val="001032BC"/>
    <w:rsid w:val="00103316"/>
    <w:rsid w:val="001033BD"/>
    <w:rsid w:val="001033CC"/>
    <w:rsid w:val="001033E6"/>
    <w:rsid w:val="001033FA"/>
    <w:rsid w:val="00103590"/>
    <w:rsid w:val="001035B6"/>
    <w:rsid w:val="001035FC"/>
    <w:rsid w:val="00103658"/>
    <w:rsid w:val="001036B3"/>
    <w:rsid w:val="00103759"/>
    <w:rsid w:val="001037CF"/>
    <w:rsid w:val="0010381B"/>
    <w:rsid w:val="00103826"/>
    <w:rsid w:val="001038B3"/>
    <w:rsid w:val="001038DF"/>
    <w:rsid w:val="00103983"/>
    <w:rsid w:val="001039FF"/>
    <w:rsid w:val="00103B5A"/>
    <w:rsid w:val="00103B9A"/>
    <w:rsid w:val="00103BD0"/>
    <w:rsid w:val="00103C43"/>
    <w:rsid w:val="00103C64"/>
    <w:rsid w:val="00103C72"/>
    <w:rsid w:val="00103C76"/>
    <w:rsid w:val="00103CAC"/>
    <w:rsid w:val="00103DA7"/>
    <w:rsid w:val="00103EC2"/>
    <w:rsid w:val="00103F1C"/>
    <w:rsid w:val="00103F3A"/>
    <w:rsid w:val="00103F6D"/>
    <w:rsid w:val="0010403A"/>
    <w:rsid w:val="0010418C"/>
    <w:rsid w:val="001041E9"/>
    <w:rsid w:val="001041EA"/>
    <w:rsid w:val="00104250"/>
    <w:rsid w:val="001042AF"/>
    <w:rsid w:val="001043B8"/>
    <w:rsid w:val="00104453"/>
    <w:rsid w:val="00104519"/>
    <w:rsid w:val="00104580"/>
    <w:rsid w:val="001045CA"/>
    <w:rsid w:val="001045DB"/>
    <w:rsid w:val="0010460C"/>
    <w:rsid w:val="0010465D"/>
    <w:rsid w:val="00104695"/>
    <w:rsid w:val="001046CC"/>
    <w:rsid w:val="00104707"/>
    <w:rsid w:val="00104765"/>
    <w:rsid w:val="00104767"/>
    <w:rsid w:val="0010476F"/>
    <w:rsid w:val="001047DB"/>
    <w:rsid w:val="0010482F"/>
    <w:rsid w:val="00104877"/>
    <w:rsid w:val="001048DB"/>
    <w:rsid w:val="001048F9"/>
    <w:rsid w:val="00104954"/>
    <w:rsid w:val="0010497D"/>
    <w:rsid w:val="001049C9"/>
    <w:rsid w:val="001049DC"/>
    <w:rsid w:val="00104A30"/>
    <w:rsid w:val="00104AEC"/>
    <w:rsid w:val="00104B86"/>
    <w:rsid w:val="00104BE2"/>
    <w:rsid w:val="00104C01"/>
    <w:rsid w:val="00104C04"/>
    <w:rsid w:val="00104C3B"/>
    <w:rsid w:val="00104C61"/>
    <w:rsid w:val="00104CBA"/>
    <w:rsid w:val="00104D03"/>
    <w:rsid w:val="00104E4E"/>
    <w:rsid w:val="00104E5B"/>
    <w:rsid w:val="00105013"/>
    <w:rsid w:val="00105082"/>
    <w:rsid w:val="00105094"/>
    <w:rsid w:val="001050F7"/>
    <w:rsid w:val="0010513C"/>
    <w:rsid w:val="00105143"/>
    <w:rsid w:val="00105176"/>
    <w:rsid w:val="00105178"/>
    <w:rsid w:val="0010519F"/>
    <w:rsid w:val="00105266"/>
    <w:rsid w:val="0010528A"/>
    <w:rsid w:val="0010528B"/>
    <w:rsid w:val="001052BC"/>
    <w:rsid w:val="001052BF"/>
    <w:rsid w:val="001052DD"/>
    <w:rsid w:val="0010530C"/>
    <w:rsid w:val="0010533E"/>
    <w:rsid w:val="0010534E"/>
    <w:rsid w:val="00105354"/>
    <w:rsid w:val="00105384"/>
    <w:rsid w:val="00105388"/>
    <w:rsid w:val="001053E8"/>
    <w:rsid w:val="0010540A"/>
    <w:rsid w:val="00105420"/>
    <w:rsid w:val="00105493"/>
    <w:rsid w:val="0010549B"/>
    <w:rsid w:val="001054DE"/>
    <w:rsid w:val="0010561C"/>
    <w:rsid w:val="0010565F"/>
    <w:rsid w:val="00105687"/>
    <w:rsid w:val="00105697"/>
    <w:rsid w:val="001056B9"/>
    <w:rsid w:val="00105783"/>
    <w:rsid w:val="001058A1"/>
    <w:rsid w:val="00105980"/>
    <w:rsid w:val="001059CD"/>
    <w:rsid w:val="00105A72"/>
    <w:rsid w:val="00105A84"/>
    <w:rsid w:val="00105A9C"/>
    <w:rsid w:val="00105AC1"/>
    <w:rsid w:val="00105B73"/>
    <w:rsid w:val="00105B7B"/>
    <w:rsid w:val="00105BF5"/>
    <w:rsid w:val="00105C92"/>
    <w:rsid w:val="00105C9E"/>
    <w:rsid w:val="00105D2D"/>
    <w:rsid w:val="00105DA7"/>
    <w:rsid w:val="00105E30"/>
    <w:rsid w:val="00105E47"/>
    <w:rsid w:val="00105E84"/>
    <w:rsid w:val="00105F0D"/>
    <w:rsid w:val="00105FD6"/>
    <w:rsid w:val="00106027"/>
    <w:rsid w:val="0010603F"/>
    <w:rsid w:val="001060D5"/>
    <w:rsid w:val="001060E3"/>
    <w:rsid w:val="001060FA"/>
    <w:rsid w:val="001061EB"/>
    <w:rsid w:val="001061F2"/>
    <w:rsid w:val="001061F3"/>
    <w:rsid w:val="00106226"/>
    <w:rsid w:val="0010625F"/>
    <w:rsid w:val="0010629F"/>
    <w:rsid w:val="001062B5"/>
    <w:rsid w:val="0010631C"/>
    <w:rsid w:val="001063A1"/>
    <w:rsid w:val="001063A2"/>
    <w:rsid w:val="0010642B"/>
    <w:rsid w:val="00106496"/>
    <w:rsid w:val="001064B5"/>
    <w:rsid w:val="0010651A"/>
    <w:rsid w:val="0010660E"/>
    <w:rsid w:val="001066F3"/>
    <w:rsid w:val="00106700"/>
    <w:rsid w:val="00106770"/>
    <w:rsid w:val="00106778"/>
    <w:rsid w:val="0010678F"/>
    <w:rsid w:val="00106795"/>
    <w:rsid w:val="001067C9"/>
    <w:rsid w:val="0010683F"/>
    <w:rsid w:val="00106884"/>
    <w:rsid w:val="00106955"/>
    <w:rsid w:val="001069FE"/>
    <w:rsid w:val="00106A3B"/>
    <w:rsid w:val="00106A75"/>
    <w:rsid w:val="00106A94"/>
    <w:rsid w:val="00106B35"/>
    <w:rsid w:val="00106B69"/>
    <w:rsid w:val="00106BB9"/>
    <w:rsid w:val="00106BBE"/>
    <w:rsid w:val="00106BF1"/>
    <w:rsid w:val="00106BF7"/>
    <w:rsid w:val="00106C5E"/>
    <w:rsid w:val="00106C7C"/>
    <w:rsid w:val="00106C7F"/>
    <w:rsid w:val="00106D64"/>
    <w:rsid w:val="00106DC8"/>
    <w:rsid w:val="00106E86"/>
    <w:rsid w:val="00106F9B"/>
    <w:rsid w:val="00106FC4"/>
    <w:rsid w:val="00106FF6"/>
    <w:rsid w:val="00107008"/>
    <w:rsid w:val="0010705C"/>
    <w:rsid w:val="001070AB"/>
    <w:rsid w:val="0010711B"/>
    <w:rsid w:val="001071D8"/>
    <w:rsid w:val="00107223"/>
    <w:rsid w:val="00107274"/>
    <w:rsid w:val="001072D7"/>
    <w:rsid w:val="0010732C"/>
    <w:rsid w:val="0010733A"/>
    <w:rsid w:val="00107391"/>
    <w:rsid w:val="00107398"/>
    <w:rsid w:val="0010745D"/>
    <w:rsid w:val="00107483"/>
    <w:rsid w:val="001074B4"/>
    <w:rsid w:val="001074BC"/>
    <w:rsid w:val="00107527"/>
    <w:rsid w:val="0010752E"/>
    <w:rsid w:val="00107594"/>
    <w:rsid w:val="001075BD"/>
    <w:rsid w:val="00107602"/>
    <w:rsid w:val="001076D9"/>
    <w:rsid w:val="0010772F"/>
    <w:rsid w:val="0010774E"/>
    <w:rsid w:val="0010776B"/>
    <w:rsid w:val="0010784B"/>
    <w:rsid w:val="0010785B"/>
    <w:rsid w:val="00107892"/>
    <w:rsid w:val="00107995"/>
    <w:rsid w:val="0010799D"/>
    <w:rsid w:val="00107A32"/>
    <w:rsid w:val="00107A81"/>
    <w:rsid w:val="00107B4C"/>
    <w:rsid w:val="00107C52"/>
    <w:rsid w:val="00107C66"/>
    <w:rsid w:val="00107C8A"/>
    <w:rsid w:val="00107C97"/>
    <w:rsid w:val="00107CB6"/>
    <w:rsid w:val="00107CD5"/>
    <w:rsid w:val="00107D25"/>
    <w:rsid w:val="00107D2F"/>
    <w:rsid w:val="00107D7F"/>
    <w:rsid w:val="00107E16"/>
    <w:rsid w:val="00107E40"/>
    <w:rsid w:val="00107E4E"/>
    <w:rsid w:val="00107EA2"/>
    <w:rsid w:val="00107EDD"/>
    <w:rsid w:val="00107EE9"/>
    <w:rsid w:val="00107F6F"/>
    <w:rsid w:val="00107FD9"/>
    <w:rsid w:val="00110030"/>
    <w:rsid w:val="001100BE"/>
    <w:rsid w:val="001100C8"/>
    <w:rsid w:val="001100EF"/>
    <w:rsid w:val="0011014D"/>
    <w:rsid w:val="001101A0"/>
    <w:rsid w:val="00110269"/>
    <w:rsid w:val="00110293"/>
    <w:rsid w:val="001102F1"/>
    <w:rsid w:val="001103B3"/>
    <w:rsid w:val="001103FE"/>
    <w:rsid w:val="001104FF"/>
    <w:rsid w:val="00110594"/>
    <w:rsid w:val="0011060A"/>
    <w:rsid w:val="00110721"/>
    <w:rsid w:val="00110841"/>
    <w:rsid w:val="00110988"/>
    <w:rsid w:val="00110A9E"/>
    <w:rsid w:val="00110AB8"/>
    <w:rsid w:val="00110B1F"/>
    <w:rsid w:val="00110BA0"/>
    <w:rsid w:val="00110BCC"/>
    <w:rsid w:val="00110C20"/>
    <w:rsid w:val="00110CEB"/>
    <w:rsid w:val="00110D08"/>
    <w:rsid w:val="00110D3B"/>
    <w:rsid w:val="00110D41"/>
    <w:rsid w:val="00110DAA"/>
    <w:rsid w:val="00110DB9"/>
    <w:rsid w:val="00110DBD"/>
    <w:rsid w:val="00110E90"/>
    <w:rsid w:val="00110EB7"/>
    <w:rsid w:val="00110F38"/>
    <w:rsid w:val="0011102C"/>
    <w:rsid w:val="0011106C"/>
    <w:rsid w:val="001110C9"/>
    <w:rsid w:val="001110E5"/>
    <w:rsid w:val="00111107"/>
    <w:rsid w:val="001111B8"/>
    <w:rsid w:val="001111CE"/>
    <w:rsid w:val="00111272"/>
    <w:rsid w:val="0011129A"/>
    <w:rsid w:val="001112A5"/>
    <w:rsid w:val="00111325"/>
    <w:rsid w:val="0011134B"/>
    <w:rsid w:val="0011137A"/>
    <w:rsid w:val="001113AB"/>
    <w:rsid w:val="001114BA"/>
    <w:rsid w:val="00111551"/>
    <w:rsid w:val="00111599"/>
    <w:rsid w:val="001115FB"/>
    <w:rsid w:val="00111690"/>
    <w:rsid w:val="001116C7"/>
    <w:rsid w:val="001116CF"/>
    <w:rsid w:val="001116F6"/>
    <w:rsid w:val="001117BC"/>
    <w:rsid w:val="00111816"/>
    <w:rsid w:val="0011189B"/>
    <w:rsid w:val="001119E8"/>
    <w:rsid w:val="00111A26"/>
    <w:rsid w:val="00111B19"/>
    <w:rsid w:val="00111B27"/>
    <w:rsid w:val="00111B55"/>
    <w:rsid w:val="00111C26"/>
    <w:rsid w:val="00111C8D"/>
    <w:rsid w:val="00111CB6"/>
    <w:rsid w:val="00111D79"/>
    <w:rsid w:val="00111E40"/>
    <w:rsid w:val="00111E5F"/>
    <w:rsid w:val="00111EDA"/>
    <w:rsid w:val="00111F1C"/>
    <w:rsid w:val="00111FF3"/>
    <w:rsid w:val="0011208F"/>
    <w:rsid w:val="0011212B"/>
    <w:rsid w:val="00112153"/>
    <w:rsid w:val="00112162"/>
    <w:rsid w:val="00112257"/>
    <w:rsid w:val="001122E5"/>
    <w:rsid w:val="0011247C"/>
    <w:rsid w:val="0011247D"/>
    <w:rsid w:val="001124CE"/>
    <w:rsid w:val="001124E8"/>
    <w:rsid w:val="0011255F"/>
    <w:rsid w:val="001125CF"/>
    <w:rsid w:val="001125DF"/>
    <w:rsid w:val="001125F2"/>
    <w:rsid w:val="00112604"/>
    <w:rsid w:val="00112610"/>
    <w:rsid w:val="0011262F"/>
    <w:rsid w:val="00112682"/>
    <w:rsid w:val="00112699"/>
    <w:rsid w:val="001127C0"/>
    <w:rsid w:val="001127CC"/>
    <w:rsid w:val="001127CF"/>
    <w:rsid w:val="0011280F"/>
    <w:rsid w:val="001128AF"/>
    <w:rsid w:val="00112980"/>
    <w:rsid w:val="001129E5"/>
    <w:rsid w:val="00112A15"/>
    <w:rsid w:val="00112AD7"/>
    <w:rsid w:val="00112B39"/>
    <w:rsid w:val="00112B92"/>
    <w:rsid w:val="00112BF1"/>
    <w:rsid w:val="00112CE8"/>
    <w:rsid w:val="00112D29"/>
    <w:rsid w:val="00112D72"/>
    <w:rsid w:val="00112DD4"/>
    <w:rsid w:val="00112E1D"/>
    <w:rsid w:val="00112E73"/>
    <w:rsid w:val="00112EA6"/>
    <w:rsid w:val="00112EAA"/>
    <w:rsid w:val="00112F90"/>
    <w:rsid w:val="00112FDC"/>
    <w:rsid w:val="001130AE"/>
    <w:rsid w:val="001130F5"/>
    <w:rsid w:val="00113113"/>
    <w:rsid w:val="0011319C"/>
    <w:rsid w:val="001131B5"/>
    <w:rsid w:val="001131C9"/>
    <w:rsid w:val="001132A9"/>
    <w:rsid w:val="00113350"/>
    <w:rsid w:val="00113356"/>
    <w:rsid w:val="00113401"/>
    <w:rsid w:val="0011341C"/>
    <w:rsid w:val="00113445"/>
    <w:rsid w:val="00113446"/>
    <w:rsid w:val="00113459"/>
    <w:rsid w:val="00113519"/>
    <w:rsid w:val="0011353D"/>
    <w:rsid w:val="001135CE"/>
    <w:rsid w:val="001135F5"/>
    <w:rsid w:val="0011362F"/>
    <w:rsid w:val="00113635"/>
    <w:rsid w:val="001136CC"/>
    <w:rsid w:val="001137E1"/>
    <w:rsid w:val="00113910"/>
    <w:rsid w:val="0011394D"/>
    <w:rsid w:val="0011397E"/>
    <w:rsid w:val="001139BD"/>
    <w:rsid w:val="001139CE"/>
    <w:rsid w:val="001139FF"/>
    <w:rsid w:val="00113B1F"/>
    <w:rsid w:val="00113B2F"/>
    <w:rsid w:val="00113C2E"/>
    <w:rsid w:val="00113C81"/>
    <w:rsid w:val="00113D43"/>
    <w:rsid w:val="00113F6F"/>
    <w:rsid w:val="00113FC4"/>
    <w:rsid w:val="00113FD9"/>
    <w:rsid w:val="00114094"/>
    <w:rsid w:val="0011412E"/>
    <w:rsid w:val="0011414F"/>
    <w:rsid w:val="00114184"/>
    <w:rsid w:val="001141FA"/>
    <w:rsid w:val="0011427D"/>
    <w:rsid w:val="00114285"/>
    <w:rsid w:val="0011428D"/>
    <w:rsid w:val="00114295"/>
    <w:rsid w:val="0011436A"/>
    <w:rsid w:val="001143E1"/>
    <w:rsid w:val="001143FF"/>
    <w:rsid w:val="00114440"/>
    <w:rsid w:val="001144D2"/>
    <w:rsid w:val="0011454D"/>
    <w:rsid w:val="00114557"/>
    <w:rsid w:val="001145E7"/>
    <w:rsid w:val="00114610"/>
    <w:rsid w:val="00114678"/>
    <w:rsid w:val="0011468A"/>
    <w:rsid w:val="001146F2"/>
    <w:rsid w:val="00114800"/>
    <w:rsid w:val="00114839"/>
    <w:rsid w:val="00114855"/>
    <w:rsid w:val="0011488A"/>
    <w:rsid w:val="001148DF"/>
    <w:rsid w:val="001149AF"/>
    <w:rsid w:val="00114A13"/>
    <w:rsid w:val="00114A19"/>
    <w:rsid w:val="00114A6E"/>
    <w:rsid w:val="00114AA7"/>
    <w:rsid w:val="00114B50"/>
    <w:rsid w:val="00114B6F"/>
    <w:rsid w:val="00114BF7"/>
    <w:rsid w:val="00114C86"/>
    <w:rsid w:val="00114E29"/>
    <w:rsid w:val="00114EEC"/>
    <w:rsid w:val="00114F13"/>
    <w:rsid w:val="00114F3A"/>
    <w:rsid w:val="00114FF0"/>
    <w:rsid w:val="001150C3"/>
    <w:rsid w:val="001150DD"/>
    <w:rsid w:val="001151F2"/>
    <w:rsid w:val="00115273"/>
    <w:rsid w:val="001152E9"/>
    <w:rsid w:val="00115303"/>
    <w:rsid w:val="0011530A"/>
    <w:rsid w:val="0011538C"/>
    <w:rsid w:val="00115449"/>
    <w:rsid w:val="0011546C"/>
    <w:rsid w:val="0011557D"/>
    <w:rsid w:val="001155A5"/>
    <w:rsid w:val="0011565A"/>
    <w:rsid w:val="001156DF"/>
    <w:rsid w:val="00115772"/>
    <w:rsid w:val="00115775"/>
    <w:rsid w:val="001157A7"/>
    <w:rsid w:val="001157CB"/>
    <w:rsid w:val="00115804"/>
    <w:rsid w:val="001158AE"/>
    <w:rsid w:val="001158F0"/>
    <w:rsid w:val="00115907"/>
    <w:rsid w:val="00115971"/>
    <w:rsid w:val="001159F7"/>
    <w:rsid w:val="00115A99"/>
    <w:rsid w:val="00115AE6"/>
    <w:rsid w:val="00115AFD"/>
    <w:rsid w:val="00115B03"/>
    <w:rsid w:val="00115B23"/>
    <w:rsid w:val="00115BD7"/>
    <w:rsid w:val="00115D6D"/>
    <w:rsid w:val="00115F06"/>
    <w:rsid w:val="00115F2B"/>
    <w:rsid w:val="00115FDC"/>
    <w:rsid w:val="00115FF5"/>
    <w:rsid w:val="0011606C"/>
    <w:rsid w:val="0011606D"/>
    <w:rsid w:val="001160E8"/>
    <w:rsid w:val="001160FC"/>
    <w:rsid w:val="0011612E"/>
    <w:rsid w:val="0011623C"/>
    <w:rsid w:val="0011625D"/>
    <w:rsid w:val="0011629B"/>
    <w:rsid w:val="001162EB"/>
    <w:rsid w:val="00116359"/>
    <w:rsid w:val="00116421"/>
    <w:rsid w:val="00116683"/>
    <w:rsid w:val="00116694"/>
    <w:rsid w:val="00116715"/>
    <w:rsid w:val="001167C5"/>
    <w:rsid w:val="0011682C"/>
    <w:rsid w:val="00116877"/>
    <w:rsid w:val="001168C3"/>
    <w:rsid w:val="001168FF"/>
    <w:rsid w:val="0011694E"/>
    <w:rsid w:val="00116979"/>
    <w:rsid w:val="001169D5"/>
    <w:rsid w:val="00116A19"/>
    <w:rsid w:val="00116A20"/>
    <w:rsid w:val="00116A59"/>
    <w:rsid w:val="00116A94"/>
    <w:rsid w:val="00116B0F"/>
    <w:rsid w:val="00116B40"/>
    <w:rsid w:val="00116B67"/>
    <w:rsid w:val="00116B6B"/>
    <w:rsid w:val="00116B87"/>
    <w:rsid w:val="00116BAB"/>
    <w:rsid w:val="00116C3B"/>
    <w:rsid w:val="00116C89"/>
    <w:rsid w:val="00116D67"/>
    <w:rsid w:val="00116DAA"/>
    <w:rsid w:val="00116DB1"/>
    <w:rsid w:val="00116DC4"/>
    <w:rsid w:val="00116E2A"/>
    <w:rsid w:val="00116E4C"/>
    <w:rsid w:val="00116ECB"/>
    <w:rsid w:val="00116EDC"/>
    <w:rsid w:val="00116F6E"/>
    <w:rsid w:val="00116FD4"/>
    <w:rsid w:val="00117009"/>
    <w:rsid w:val="00117046"/>
    <w:rsid w:val="0011711E"/>
    <w:rsid w:val="0011719A"/>
    <w:rsid w:val="001171CD"/>
    <w:rsid w:val="001171D3"/>
    <w:rsid w:val="00117227"/>
    <w:rsid w:val="00117228"/>
    <w:rsid w:val="0011725F"/>
    <w:rsid w:val="0011726D"/>
    <w:rsid w:val="001172A4"/>
    <w:rsid w:val="001172D4"/>
    <w:rsid w:val="001172D8"/>
    <w:rsid w:val="001172FF"/>
    <w:rsid w:val="0011734F"/>
    <w:rsid w:val="00117388"/>
    <w:rsid w:val="001173B5"/>
    <w:rsid w:val="0011748A"/>
    <w:rsid w:val="00117511"/>
    <w:rsid w:val="00117527"/>
    <w:rsid w:val="00117550"/>
    <w:rsid w:val="00117572"/>
    <w:rsid w:val="001175E7"/>
    <w:rsid w:val="001175FF"/>
    <w:rsid w:val="00117628"/>
    <w:rsid w:val="00117632"/>
    <w:rsid w:val="00117728"/>
    <w:rsid w:val="00117831"/>
    <w:rsid w:val="0011785F"/>
    <w:rsid w:val="0011793D"/>
    <w:rsid w:val="0011799F"/>
    <w:rsid w:val="00117B0B"/>
    <w:rsid w:val="00117B9C"/>
    <w:rsid w:val="00117BEC"/>
    <w:rsid w:val="00117CC5"/>
    <w:rsid w:val="00117D25"/>
    <w:rsid w:val="00117E27"/>
    <w:rsid w:val="00117E6C"/>
    <w:rsid w:val="00117E86"/>
    <w:rsid w:val="00117EC1"/>
    <w:rsid w:val="00117F47"/>
    <w:rsid w:val="00117F4A"/>
    <w:rsid w:val="00117F82"/>
    <w:rsid w:val="00117F90"/>
    <w:rsid w:val="00117F99"/>
    <w:rsid w:val="00117FCE"/>
    <w:rsid w:val="00120042"/>
    <w:rsid w:val="00120073"/>
    <w:rsid w:val="00120095"/>
    <w:rsid w:val="0012014A"/>
    <w:rsid w:val="001201FE"/>
    <w:rsid w:val="00120279"/>
    <w:rsid w:val="001203B2"/>
    <w:rsid w:val="001203E3"/>
    <w:rsid w:val="001203F5"/>
    <w:rsid w:val="0012045D"/>
    <w:rsid w:val="001205A5"/>
    <w:rsid w:val="001205BF"/>
    <w:rsid w:val="001206B7"/>
    <w:rsid w:val="001206E9"/>
    <w:rsid w:val="00120794"/>
    <w:rsid w:val="001207DC"/>
    <w:rsid w:val="00120899"/>
    <w:rsid w:val="00120905"/>
    <w:rsid w:val="001209B3"/>
    <w:rsid w:val="001209E7"/>
    <w:rsid w:val="00120A34"/>
    <w:rsid w:val="00120A5C"/>
    <w:rsid w:val="00120A97"/>
    <w:rsid w:val="00120AB3"/>
    <w:rsid w:val="00120B26"/>
    <w:rsid w:val="00120B3A"/>
    <w:rsid w:val="00120B50"/>
    <w:rsid w:val="00120B60"/>
    <w:rsid w:val="00120BA3"/>
    <w:rsid w:val="00120BF4"/>
    <w:rsid w:val="00120CD8"/>
    <w:rsid w:val="00120D7A"/>
    <w:rsid w:val="00120DD3"/>
    <w:rsid w:val="00120E1F"/>
    <w:rsid w:val="00120E3F"/>
    <w:rsid w:val="00120E99"/>
    <w:rsid w:val="00120ED6"/>
    <w:rsid w:val="00120F7D"/>
    <w:rsid w:val="00120F89"/>
    <w:rsid w:val="00120F92"/>
    <w:rsid w:val="00121087"/>
    <w:rsid w:val="0012113F"/>
    <w:rsid w:val="00121167"/>
    <w:rsid w:val="0012116D"/>
    <w:rsid w:val="00121174"/>
    <w:rsid w:val="00121177"/>
    <w:rsid w:val="0012119D"/>
    <w:rsid w:val="001211EA"/>
    <w:rsid w:val="0012129C"/>
    <w:rsid w:val="00121322"/>
    <w:rsid w:val="00121406"/>
    <w:rsid w:val="00121438"/>
    <w:rsid w:val="00121457"/>
    <w:rsid w:val="00121501"/>
    <w:rsid w:val="0012159A"/>
    <w:rsid w:val="001215BB"/>
    <w:rsid w:val="001215FE"/>
    <w:rsid w:val="001216AE"/>
    <w:rsid w:val="001216C8"/>
    <w:rsid w:val="00121790"/>
    <w:rsid w:val="001217EA"/>
    <w:rsid w:val="001217EB"/>
    <w:rsid w:val="00121815"/>
    <w:rsid w:val="00121838"/>
    <w:rsid w:val="00121847"/>
    <w:rsid w:val="001218DD"/>
    <w:rsid w:val="00121910"/>
    <w:rsid w:val="00121959"/>
    <w:rsid w:val="0012198A"/>
    <w:rsid w:val="0012198D"/>
    <w:rsid w:val="001219B0"/>
    <w:rsid w:val="00121A09"/>
    <w:rsid w:val="00121A0A"/>
    <w:rsid w:val="00121B03"/>
    <w:rsid w:val="00121B27"/>
    <w:rsid w:val="00121B57"/>
    <w:rsid w:val="00121B9D"/>
    <w:rsid w:val="00121BEE"/>
    <w:rsid w:val="00121C31"/>
    <w:rsid w:val="00121C7D"/>
    <w:rsid w:val="00121CDA"/>
    <w:rsid w:val="00121CE2"/>
    <w:rsid w:val="00121D42"/>
    <w:rsid w:val="00121D83"/>
    <w:rsid w:val="00121E57"/>
    <w:rsid w:val="00122066"/>
    <w:rsid w:val="001220BC"/>
    <w:rsid w:val="0012211A"/>
    <w:rsid w:val="00122133"/>
    <w:rsid w:val="00122138"/>
    <w:rsid w:val="0012218D"/>
    <w:rsid w:val="00122208"/>
    <w:rsid w:val="00122217"/>
    <w:rsid w:val="0012228C"/>
    <w:rsid w:val="001222A3"/>
    <w:rsid w:val="001222B1"/>
    <w:rsid w:val="001222CD"/>
    <w:rsid w:val="001222E0"/>
    <w:rsid w:val="0012230D"/>
    <w:rsid w:val="0012239E"/>
    <w:rsid w:val="001223BE"/>
    <w:rsid w:val="00122435"/>
    <w:rsid w:val="00122480"/>
    <w:rsid w:val="001224FA"/>
    <w:rsid w:val="00122538"/>
    <w:rsid w:val="0012255B"/>
    <w:rsid w:val="001225AC"/>
    <w:rsid w:val="001225E3"/>
    <w:rsid w:val="0012266C"/>
    <w:rsid w:val="0012266F"/>
    <w:rsid w:val="00122700"/>
    <w:rsid w:val="0012272B"/>
    <w:rsid w:val="0012274C"/>
    <w:rsid w:val="00122834"/>
    <w:rsid w:val="00122893"/>
    <w:rsid w:val="001228CB"/>
    <w:rsid w:val="00122929"/>
    <w:rsid w:val="00122977"/>
    <w:rsid w:val="001229BF"/>
    <w:rsid w:val="00122A30"/>
    <w:rsid w:val="00122AD6"/>
    <w:rsid w:val="00122AD9"/>
    <w:rsid w:val="00122B05"/>
    <w:rsid w:val="00122BB7"/>
    <w:rsid w:val="00122BDD"/>
    <w:rsid w:val="00122C44"/>
    <w:rsid w:val="00122CAB"/>
    <w:rsid w:val="00122CC0"/>
    <w:rsid w:val="00122D03"/>
    <w:rsid w:val="00122D0C"/>
    <w:rsid w:val="00122D4E"/>
    <w:rsid w:val="00122D7C"/>
    <w:rsid w:val="00122DE5"/>
    <w:rsid w:val="00122E72"/>
    <w:rsid w:val="00122EE6"/>
    <w:rsid w:val="00122FF5"/>
    <w:rsid w:val="00122FF7"/>
    <w:rsid w:val="0012301A"/>
    <w:rsid w:val="0012303A"/>
    <w:rsid w:val="00123103"/>
    <w:rsid w:val="0012310E"/>
    <w:rsid w:val="00123126"/>
    <w:rsid w:val="00123156"/>
    <w:rsid w:val="0012319D"/>
    <w:rsid w:val="00123211"/>
    <w:rsid w:val="00123239"/>
    <w:rsid w:val="0012333E"/>
    <w:rsid w:val="00123419"/>
    <w:rsid w:val="00123482"/>
    <w:rsid w:val="00123488"/>
    <w:rsid w:val="0012349F"/>
    <w:rsid w:val="0012350D"/>
    <w:rsid w:val="00123512"/>
    <w:rsid w:val="0012354A"/>
    <w:rsid w:val="001235EC"/>
    <w:rsid w:val="00123603"/>
    <w:rsid w:val="00123673"/>
    <w:rsid w:val="00123715"/>
    <w:rsid w:val="00123753"/>
    <w:rsid w:val="00123771"/>
    <w:rsid w:val="001237DD"/>
    <w:rsid w:val="001237FE"/>
    <w:rsid w:val="00123801"/>
    <w:rsid w:val="0012381E"/>
    <w:rsid w:val="00123931"/>
    <w:rsid w:val="0012399E"/>
    <w:rsid w:val="001239B9"/>
    <w:rsid w:val="00123A38"/>
    <w:rsid w:val="00123A4A"/>
    <w:rsid w:val="00123A7E"/>
    <w:rsid w:val="00123AA2"/>
    <w:rsid w:val="00123ADA"/>
    <w:rsid w:val="00123ADD"/>
    <w:rsid w:val="00123B1A"/>
    <w:rsid w:val="00123C1D"/>
    <w:rsid w:val="00123E26"/>
    <w:rsid w:val="00123E48"/>
    <w:rsid w:val="00123E63"/>
    <w:rsid w:val="00123E70"/>
    <w:rsid w:val="00123E90"/>
    <w:rsid w:val="00123EA5"/>
    <w:rsid w:val="00123ED4"/>
    <w:rsid w:val="00123EDD"/>
    <w:rsid w:val="00123F04"/>
    <w:rsid w:val="00123F9D"/>
    <w:rsid w:val="00123FB3"/>
    <w:rsid w:val="00123FC1"/>
    <w:rsid w:val="00124018"/>
    <w:rsid w:val="00124025"/>
    <w:rsid w:val="001240CC"/>
    <w:rsid w:val="0012413E"/>
    <w:rsid w:val="0012419D"/>
    <w:rsid w:val="001241A5"/>
    <w:rsid w:val="001241C8"/>
    <w:rsid w:val="00124269"/>
    <w:rsid w:val="00124287"/>
    <w:rsid w:val="001242D4"/>
    <w:rsid w:val="001242F7"/>
    <w:rsid w:val="001243CA"/>
    <w:rsid w:val="0012440C"/>
    <w:rsid w:val="001244EC"/>
    <w:rsid w:val="0012458E"/>
    <w:rsid w:val="001245E1"/>
    <w:rsid w:val="0012463D"/>
    <w:rsid w:val="00124654"/>
    <w:rsid w:val="0012470F"/>
    <w:rsid w:val="00124754"/>
    <w:rsid w:val="001247FB"/>
    <w:rsid w:val="00124874"/>
    <w:rsid w:val="00124885"/>
    <w:rsid w:val="001248BB"/>
    <w:rsid w:val="001248D9"/>
    <w:rsid w:val="00124925"/>
    <w:rsid w:val="001249C8"/>
    <w:rsid w:val="00124A23"/>
    <w:rsid w:val="00124A33"/>
    <w:rsid w:val="00124A74"/>
    <w:rsid w:val="00124A8C"/>
    <w:rsid w:val="00124AA7"/>
    <w:rsid w:val="00124AE1"/>
    <w:rsid w:val="00124AED"/>
    <w:rsid w:val="00124B5A"/>
    <w:rsid w:val="00124BCC"/>
    <w:rsid w:val="00124C91"/>
    <w:rsid w:val="00124CB5"/>
    <w:rsid w:val="00124D5A"/>
    <w:rsid w:val="00124DDF"/>
    <w:rsid w:val="00124EC0"/>
    <w:rsid w:val="00125017"/>
    <w:rsid w:val="00125086"/>
    <w:rsid w:val="001250ED"/>
    <w:rsid w:val="001250F2"/>
    <w:rsid w:val="0012515B"/>
    <w:rsid w:val="001251CF"/>
    <w:rsid w:val="00125220"/>
    <w:rsid w:val="00125253"/>
    <w:rsid w:val="00125295"/>
    <w:rsid w:val="001252B6"/>
    <w:rsid w:val="001252D7"/>
    <w:rsid w:val="001253E8"/>
    <w:rsid w:val="00125401"/>
    <w:rsid w:val="00125417"/>
    <w:rsid w:val="001254CB"/>
    <w:rsid w:val="0012553B"/>
    <w:rsid w:val="00125547"/>
    <w:rsid w:val="001255E8"/>
    <w:rsid w:val="001255F5"/>
    <w:rsid w:val="00125654"/>
    <w:rsid w:val="00125695"/>
    <w:rsid w:val="001256CB"/>
    <w:rsid w:val="00125718"/>
    <w:rsid w:val="0012581F"/>
    <w:rsid w:val="0012584F"/>
    <w:rsid w:val="00125857"/>
    <w:rsid w:val="00125948"/>
    <w:rsid w:val="00125957"/>
    <w:rsid w:val="0012597E"/>
    <w:rsid w:val="0012598E"/>
    <w:rsid w:val="0012599B"/>
    <w:rsid w:val="001259D1"/>
    <w:rsid w:val="00125A28"/>
    <w:rsid w:val="00125A41"/>
    <w:rsid w:val="00125A9F"/>
    <w:rsid w:val="00125AD3"/>
    <w:rsid w:val="00125B0D"/>
    <w:rsid w:val="00125B1E"/>
    <w:rsid w:val="00125B37"/>
    <w:rsid w:val="00125BD6"/>
    <w:rsid w:val="00125C5E"/>
    <w:rsid w:val="00125C9F"/>
    <w:rsid w:val="00125CAC"/>
    <w:rsid w:val="00125CBC"/>
    <w:rsid w:val="00125D34"/>
    <w:rsid w:val="00125D41"/>
    <w:rsid w:val="00125D4D"/>
    <w:rsid w:val="00125E14"/>
    <w:rsid w:val="00125EC5"/>
    <w:rsid w:val="00125F62"/>
    <w:rsid w:val="00125F69"/>
    <w:rsid w:val="00126027"/>
    <w:rsid w:val="0012602C"/>
    <w:rsid w:val="0012605E"/>
    <w:rsid w:val="0012609F"/>
    <w:rsid w:val="00126119"/>
    <w:rsid w:val="00126123"/>
    <w:rsid w:val="00126138"/>
    <w:rsid w:val="00126176"/>
    <w:rsid w:val="00126180"/>
    <w:rsid w:val="0012618D"/>
    <w:rsid w:val="001261D1"/>
    <w:rsid w:val="00126335"/>
    <w:rsid w:val="00126340"/>
    <w:rsid w:val="0012634D"/>
    <w:rsid w:val="0012649B"/>
    <w:rsid w:val="0012650B"/>
    <w:rsid w:val="00126511"/>
    <w:rsid w:val="00126675"/>
    <w:rsid w:val="001266A9"/>
    <w:rsid w:val="001266BA"/>
    <w:rsid w:val="001266DA"/>
    <w:rsid w:val="001266EF"/>
    <w:rsid w:val="00126748"/>
    <w:rsid w:val="00126780"/>
    <w:rsid w:val="00126839"/>
    <w:rsid w:val="00126843"/>
    <w:rsid w:val="0012687E"/>
    <w:rsid w:val="001268BC"/>
    <w:rsid w:val="001268FD"/>
    <w:rsid w:val="0012693C"/>
    <w:rsid w:val="0012697D"/>
    <w:rsid w:val="00126985"/>
    <w:rsid w:val="001269C7"/>
    <w:rsid w:val="00126A0C"/>
    <w:rsid w:val="00126A5A"/>
    <w:rsid w:val="00126B9B"/>
    <w:rsid w:val="00126BF8"/>
    <w:rsid w:val="00126BFC"/>
    <w:rsid w:val="00126C53"/>
    <w:rsid w:val="00126C58"/>
    <w:rsid w:val="00126D84"/>
    <w:rsid w:val="00126DB1"/>
    <w:rsid w:val="00126DD0"/>
    <w:rsid w:val="00126FE6"/>
    <w:rsid w:val="00127097"/>
    <w:rsid w:val="001271F4"/>
    <w:rsid w:val="0012723F"/>
    <w:rsid w:val="001273BB"/>
    <w:rsid w:val="001273F3"/>
    <w:rsid w:val="00127405"/>
    <w:rsid w:val="00127503"/>
    <w:rsid w:val="00127512"/>
    <w:rsid w:val="00127520"/>
    <w:rsid w:val="00127562"/>
    <w:rsid w:val="001275F1"/>
    <w:rsid w:val="00127786"/>
    <w:rsid w:val="001277A8"/>
    <w:rsid w:val="00127846"/>
    <w:rsid w:val="0012785E"/>
    <w:rsid w:val="00127861"/>
    <w:rsid w:val="001279A3"/>
    <w:rsid w:val="001279C5"/>
    <w:rsid w:val="001279D1"/>
    <w:rsid w:val="00127A1F"/>
    <w:rsid w:val="00127A44"/>
    <w:rsid w:val="00127AB9"/>
    <w:rsid w:val="00127B61"/>
    <w:rsid w:val="00127CE7"/>
    <w:rsid w:val="00127CF0"/>
    <w:rsid w:val="00127CF3"/>
    <w:rsid w:val="00127CFB"/>
    <w:rsid w:val="00127D17"/>
    <w:rsid w:val="00127DB3"/>
    <w:rsid w:val="00127F71"/>
    <w:rsid w:val="00127FCF"/>
    <w:rsid w:val="00130001"/>
    <w:rsid w:val="0013001B"/>
    <w:rsid w:val="0013009C"/>
    <w:rsid w:val="001300DC"/>
    <w:rsid w:val="001300ED"/>
    <w:rsid w:val="001301A2"/>
    <w:rsid w:val="001301B9"/>
    <w:rsid w:val="001301D1"/>
    <w:rsid w:val="001301F1"/>
    <w:rsid w:val="00130237"/>
    <w:rsid w:val="00130292"/>
    <w:rsid w:val="00130320"/>
    <w:rsid w:val="00130364"/>
    <w:rsid w:val="001304F2"/>
    <w:rsid w:val="00130502"/>
    <w:rsid w:val="00130554"/>
    <w:rsid w:val="00130575"/>
    <w:rsid w:val="001306CB"/>
    <w:rsid w:val="00130731"/>
    <w:rsid w:val="0013074A"/>
    <w:rsid w:val="00130757"/>
    <w:rsid w:val="001307E1"/>
    <w:rsid w:val="001308BC"/>
    <w:rsid w:val="00130978"/>
    <w:rsid w:val="001309A1"/>
    <w:rsid w:val="00130A06"/>
    <w:rsid w:val="00130A1E"/>
    <w:rsid w:val="00130A53"/>
    <w:rsid w:val="00130B63"/>
    <w:rsid w:val="00130BC5"/>
    <w:rsid w:val="00130C6F"/>
    <w:rsid w:val="00130CF6"/>
    <w:rsid w:val="00130D7C"/>
    <w:rsid w:val="00130D81"/>
    <w:rsid w:val="00130E0E"/>
    <w:rsid w:val="00130E69"/>
    <w:rsid w:val="00130E74"/>
    <w:rsid w:val="00130EEA"/>
    <w:rsid w:val="00130F71"/>
    <w:rsid w:val="00130FB5"/>
    <w:rsid w:val="001310B2"/>
    <w:rsid w:val="0013111C"/>
    <w:rsid w:val="0013120A"/>
    <w:rsid w:val="001313E6"/>
    <w:rsid w:val="001313EF"/>
    <w:rsid w:val="0013140F"/>
    <w:rsid w:val="00131410"/>
    <w:rsid w:val="00131486"/>
    <w:rsid w:val="00131504"/>
    <w:rsid w:val="0013168D"/>
    <w:rsid w:val="00131731"/>
    <w:rsid w:val="00131974"/>
    <w:rsid w:val="00131A4B"/>
    <w:rsid w:val="00131ABD"/>
    <w:rsid w:val="00131AC4"/>
    <w:rsid w:val="00131AF9"/>
    <w:rsid w:val="00131BC2"/>
    <w:rsid w:val="00131C07"/>
    <w:rsid w:val="00131C1E"/>
    <w:rsid w:val="00131CDC"/>
    <w:rsid w:val="00131D05"/>
    <w:rsid w:val="00131D09"/>
    <w:rsid w:val="00131D41"/>
    <w:rsid w:val="00131DC0"/>
    <w:rsid w:val="00131E09"/>
    <w:rsid w:val="00131E42"/>
    <w:rsid w:val="00131E63"/>
    <w:rsid w:val="00131EDF"/>
    <w:rsid w:val="00131F03"/>
    <w:rsid w:val="00131F12"/>
    <w:rsid w:val="00131FD9"/>
    <w:rsid w:val="00132014"/>
    <w:rsid w:val="0013202E"/>
    <w:rsid w:val="00132033"/>
    <w:rsid w:val="00132172"/>
    <w:rsid w:val="001321E1"/>
    <w:rsid w:val="001321F7"/>
    <w:rsid w:val="00132201"/>
    <w:rsid w:val="0013221F"/>
    <w:rsid w:val="0013224B"/>
    <w:rsid w:val="001322ED"/>
    <w:rsid w:val="00132363"/>
    <w:rsid w:val="0013254D"/>
    <w:rsid w:val="0013258C"/>
    <w:rsid w:val="001325A5"/>
    <w:rsid w:val="001325CA"/>
    <w:rsid w:val="001325DB"/>
    <w:rsid w:val="001325F1"/>
    <w:rsid w:val="0013267C"/>
    <w:rsid w:val="001326A6"/>
    <w:rsid w:val="0013278E"/>
    <w:rsid w:val="001327E4"/>
    <w:rsid w:val="0013288E"/>
    <w:rsid w:val="001328A3"/>
    <w:rsid w:val="001328D3"/>
    <w:rsid w:val="0013292E"/>
    <w:rsid w:val="001329C3"/>
    <w:rsid w:val="001329D0"/>
    <w:rsid w:val="001329F5"/>
    <w:rsid w:val="00132A8B"/>
    <w:rsid w:val="00132B2E"/>
    <w:rsid w:val="00132B75"/>
    <w:rsid w:val="00132CBB"/>
    <w:rsid w:val="00132D4B"/>
    <w:rsid w:val="00132D7E"/>
    <w:rsid w:val="00132D9C"/>
    <w:rsid w:val="00132E0C"/>
    <w:rsid w:val="00132EAC"/>
    <w:rsid w:val="00132FDB"/>
    <w:rsid w:val="00132FF0"/>
    <w:rsid w:val="00133015"/>
    <w:rsid w:val="00133057"/>
    <w:rsid w:val="00133062"/>
    <w:rsid w:val="00133090"/>
    <w:rsid w:val="0013311B"/>
    <w:rsid w:val="00133134"/>
    <w:rsid w:val="00133243"/>
    <w:rsid w:val="001332A6"/>
    <w:rsid w:val="001332DE"/>
    <w:rsid w:val="00133331"/>
    <w:rsid w:val="00133364"/>
    <w:rsid w:val="001333CF"/>
    <w:rsid w:val="0013340E"/>
    <w:rsid w:val="00133471"/>
    <w:rsid w:val="001334EC"/>
    <w:rsid w:val="001335AE"/>
    <w:rsid w:val="001335B9"/>
    <w:rsid w:val="001335C4"/>
    <w:rsid w:val="00133617"/>
    <w:rsid w:val="00133687"/>
    <w:rsid w:val="00133698"/>
    <w:rsid w:val="001336CA"/>
    <w:rsid w:val="0013373B"/>
    <w:rsid w:val="001337B3"/>
    <w:rsid w:val="00133822"/>
    <w:rsid w:val="0013383D"/>
    <w:rsid w:val="00133843"/>
    <w:rsid w:val="001338A5"/>
    <w:rsid w:val="001338B6"/>
    <w:rsid w:val="001338DE"/>
    <w:rsid w:val="001338FE"/>
    <w:rsid w:val="0013390C"/>
    <w:rsid w:val="00133A06"/>
    <w:rsid w:val="00133B34"/>
    <w:rsid w:val="00133BA3"/>
    <w:rsid w:val="00133C63"/>
    <w:rsid w:val="00133D3C"/>
    <w:rsid w:val="00133D83"/>
    <w:rsid w:val="00133D8C"/>
    <w:rsid w:val="00133DD5"/>
    <w:rsid w:val="00133E5F"/>
    <w:rsid w:val="00133E73"/>
    <w:rsid w:val="00133EEB"/>
    <w:rsid w:val="00133F2F"/>
    <w:rsid w:val="00133FB4"/>
    <w:rsid w:val="00133FFF"/>
    <w:rsid w:val="00134004"/>
    <w:rsid w:val="00134034"/>
    <w:rsid w:val="0013407B"/>
    <w:rsid w:val="0013407C"/>
    <w:rsid w:val="00134091"/>
    <w:rsid w:val="001340B3"/>
    <w:rsid w:val="00134181"/>
    <w:rsid w:val="0013420F"/>
    <w:rsid w:val="0013429D"/>
    <w:rsid w:val="001342EF"/>
    <w:rsid w:val="0013432C"/>
    <w:rsid w:val="00134398"/>
    <w:rsid w:val="001343D1"/>
    <w:rsid w:val="001343E5"/>
    <w:rsid w:val="001343EB"/>
    <w:rsid w:val="0013452D"/>
    <w:rsid w:val="00134550"/>
    <w:rsid w:val="00134607"/>
    <w:rsid w:val="00134629"/>
    <w:rsid w:val="00134678"/>
    <w:rsid w:val="0013468F"/>
    <w:rsid w:val="001346A2"/>
    <w:rsid w:val="001346EE"/>
    <w:rsid w:val="00134784"/>
    <w:rsid w:val="0013478E"/>
    <w:rsid w:val="001349CA"/>
    <w:rsid w:val="001349F0"/>
    <w:rsid w:val="00134A76"/>
    <w:rsid w:val="00134AD8"/>
    <w:rsid w:val="00134B06"/>
    <w:rsid w:val="00134BE0"/>
    <w:rsid w:val="00134BE5"/>
    <w:rsid w:val="00134BFA"/>
    <w:rsid w:val="00134C5A"/>
    <w:rsid w:val="00134CD5"/>
    <w:rsid w:val="00134CDF"/>
    <w:rsid w:val="00134D1B"/>
    <w:rsid w:val="00134D1E"/>
    <w:rsid w:val="00134E12"/>
    <w:rsid w:val="00134E94"/>
    <w:rsid w:val="00134EAC"/>
    <w:rsid w:val="00134EDC"/>
    <w:rsid w:val="00134EDD"/>
    <w:rsid w:val="00134F5B"/>
    <w:rsid w:val="00134FAF"/>
    <w:rsid w:val="00134FCE"/>
    <w:rsid w:val="00134FFA"/>
    <w:rsid w:val="0013508C"/>
    <w:rsid w:val="0013514F"/>
    <w:rsid w:val="0013520A"/>
    <w:rsid w:val="0013521E"/>
    <w:rsid w:val="00135245"/>
    <w:rsid w:val="0013524D"/>
    <w:rsid w:val="00135261"/>
    <w:rsid w:val="0013526B"/>
    <w:rsid w:val="0013526C"/>
    <w:rsid w:val="001352B6"/>
    <w:rsid w:val="00135356"/>
    <w:rsid w:val="00135377"/>
    <w:rsid w:val="00135401"/>
    <w:rsid w:val="0013543F"/>
    <w:rsid w:val="00135478"/>
    <w:rsid w:val="0013548C"/>
    <w:rsid w:val="001354AD"/>
    <w:rsid w:val="001354C8"/>
    <w:rsid w:val="00135553"/>
    <w:rsid w:val="00135574"/>
    <w:rsid w:val="00135586"/>
    <w:rsid w:val="0013561B"/>
    <w:rsid w:val="00135627"/>
    <w:rsid w:val="001356B8"/>
    <w:rsid w:val="001356C6"/>
    <w:rsid w:val="001357BB"/>
    <w:rsid w:val="00135828"/>
    <w:rsid w:val="0013583A"/>
    <w:rsid w:val="001359D2"/>
    <w:rsid w:val="001359D5"/>
    <w:rsid w:val="00135AEE"/>
    <w:rsid w:val="00135B6A"/>
    <w:rsid w:val="00135C85"/>
    <w:rsid w:val="00135CAA"/>
    <w:rsid w:val="00135CD0"/>
    <w:rsid w:val="00135D36"/>
    <w:rsid w:val="00135D72"/>
    <w:rsid w:val="00135DD8"/>
    <w:rsid w:val="00135DFD"/>
    <w:rsid w:val="00135EAB"/>
    <w:rsid w:val="00135F0E"/>
    <w:rsid w:val="00135F2F"/>
    <w:rsid w:val="00135FA1"/>
    <w:rsid w:val="00136022"/>
    <w:rsid w:val="00136080"/>
    <w:rsid w:val="00136084"/>
    <w:rsid w:val="0013611B"/>
    <w:rsid w:val="00136143"/>
    <w:rsid w:val="0013621C"/>
    <w:rsid w:val="00136336"/>
    <w:rsid w:val="00136345"/>
    <w:rsid w:val="001363AA"/>
    <w:rsid w:val="001363B2"/>
    <w:rsid w:val="001363D4"/>
    <w:rsid w:val="001363EF"/>
    <w:rsid w:val="00136426"/>
    <w:rsid w:val="00136436"/>
    <w:rsid w:val="00136456"/>
    <w:rsid w:val="001364AB"/>
    <w:rsid w:val="00136528"/>
    <w:rsid w:val="001365DC"/>
    <w:rsid w:val="0013660D"/>
    <w:rsid w:val="00136629"/>
    <w:rsid w:val="00136639"/>
    <w:rsid w:val="00136648"/>
    <w:rsid w:val="00136710"/>
    <w:rsid w:val="001367C7"/>
    <w:rsid w:val="001367E8"/>
    <w:rsid w:val="00136811"/>
    <w:rsid w:val="001368A6"/>
    <w:rsid w:val="00136A02"/>
    <w:rsid w:val="00136A0C"/>
    <w:rsid w:val="00136A7F"/>
    <w:rsid w:val="00136A98"/>
    <w:rsid w:val="00136B77"/>
    <w:rsid w:val="00136B86"/>
    <w:rsid w:val="00136B95"/>
    <w:rsid w:val="00136B98"/>
    <w:rsid w:val="00136C3C"/>
    <w:rsid w:val="00136CD6"/>
    <w:rsid w:val="00136CFE"/>
    <w:rsid w:val="00136D2E"/>
    <w:rsid w:val="00136D8E"/>
    <w:rsid w:val="00136DE2"/>
    <w:rsid w:val="00136DF3"/>
    <w:rsid w:val="00136E9F"/>
    <w:rsid w:val="00136EC2"/>
    <w:rsid w:val="00136ED4"/>
    <w:rsid w:val="00136EFA"/>
    <w:rsid w:val="00136F72"/>
    <w:rsid w:val="00136FA2"/>
    <w:rsid w:val="00136FDC"/>
    <w:rsid w:val="00137065"/>
    <w:rsid w:val="0013718F"/>
    <w:rsid w:val="001371EE"/>
    <w:rsid w:val="0013723F"/>
    <w:rsid w:val="0013727F"/>
    <w:rsid w:val="001372C7"/>
    <w:rsid w:val="001372DF"/>
    <w:rsid w:val="0013732E"/>
    <w:rsid w:val="001373F0"/>
    <w:rsid w:val="0013744A"/>
    <w:rsid w:val="00137467"/>
    <w:rsid w:val="0013748C"/>
    <w:rsid w:val="001374B2"/>
    <w:rsid w:val="001374D0"/>
    <w:rsid w:val="001374E5"/>
    <w:rsid w:val="00137578"/>
    <w:rsid w:val="00137611"/>
    <w:rsid w:val="00137615"/>
    <w:rsid w:val="00137621"/>
    <w:rsid w:val="0013766F"/>
    <w:rsid w:val="00137756"/>
    <w:rsid w:val="001377B4"/>
    <w:rsid w:val="001377C2"/>
    <w:rsid w:val="00137829"/>
    <w:rsid w:val="00137925"/>
    <w:rsid w:val="001379FA"/>
    <w:rsid w:val="00137A54"/>
    <w:rsid w:val="00137AD5"/>
    <w:rsid w:val="00137B03"/>
    <w:rsid w:val="00137B06"/>
    <w:rsid w:val="00137B27"/>
    <w:rsid w:val="00137B2F"/>
    <w:rsid w:val="00137BB4"/>
    <w:rsid w:val="00137BF1"/>
    <w:rsid w:val="00137C5E"/>
    <w:rsid w:val="00137C87"/>
    <w:rsid w:val="00137C9C"/>
    <w:rsid w:val="00137CA4"/>
    <w:rsid w:val="00137D31"/>
    <w:rsid w:val="00137DAB"/>
    <w:rsid w:val="00137DB2"/>
    <w:rsid w:val="00137DF1"/>
    <w:rsid w:val="00137E16"/>
    <w:rsid w:val="00137E49"/>
    <w:rsid w:val="00137E89"/>
    <w:rsid w:val="00137EFD"/>
    <w:rsid w:val="00137F49"/>
    <w:rsid w:val="00137F79"/>
    <w:rsid w:val="00137FDB"/>
    <w:rsid w:val="00140042"/>
    <w:rsid w:val="00140054"/>
    <w:rsid w:val="00140061"/>
    <w:rsid w:val="001400A3"/>
    <w:rsid w:val="001400A7"/>
    <w:rsid w:val="001401E9"/>
    <w:rsid w:val="001402AC"/>
    <w:rsid w:val="00140397"/>
    <w:rsid w:val="0014040C"/>
    <w:rsid w:val="0014043A"/>
    <w:rsid w:val="00140475"/>
    <w:rsid w:val="0014048E"/>
    <w:rsid w:val="00140506"/>
    <w:rsid w:val="00140560"/>
    <w:rsid w:val="00140588"/>
    <w:rsid w:val="001405F0"/>
    <w:rsid w:val="00140617"/>
    <w:rsid w:val="00140747"/>
    <w:rsid w:val="0014074D"/>
    <w:rsid w:val="001407DA"/>
    <w:rsid w:val="001407F2"/>
    <w:rsid w:val="00140956"/>
    <w:rsid w:val="00140967"/>
    <w:rsid w:val="001409B6"/>
    <w:rsid w:val="00140A03"/>
    <w:rsid w:val="00140A04"/>
    <w:rsid w:val="00140AB0"/>
    <w:rsid w:val="00140D2D"/>
    <w:rsid w:val="00140D68"/>
    <w:rsid w:val="00140DC3"/>
    <w:rsid w:val="00140F86"/>
    <w:rsid w:val="00140FD0"/>
    <w:rsid w:val="00140FE9"/>
    <w:rsid w:val="001410E3"/>
    <w:rsid w:val="001410FD"/>
    <w:rsid w:val="00141138"/>
    <w:rsid w:val="00141143"/>
    <w:rsid w:val="00141144"/>
    <w:rsid w:val="00141194"/>
    <w:rsid w:val="001411BE"/>
    <w:rsid w:val="001411F4"/>
    <w:rsid w:val="0014131E"/>
    <w:rsid w:val="00141355"/>
    <w:rsid w:val="0014137B"/>
    <w:rsid w:val="00141388"/>
    <w:rsid w:val="001413AA"/>
    <w:rsid w:val="00141451"/>
    <w:rsid w:val="00141481"/>
    <w:rsid w:val="001414A8"/>
    <w:rsid w:val="00141583"/>
    <w:rsid w:val="001415E3"/>
    <w:rsid w:val="001415EB"/>
    <w:rsid w:val="00141657"/>
    <w:rsid w:val="001416D4"/>
    <w:rsid w:val="00141739"/>
    <w:rsid w:val="0014175B"/>
    <w:rsid w:val="001417F9"/>
    <w:rsid w:val="00141841"/>
    <w:rsid w:val="00141872"/>
    <w:rsid w:val="0014187D"/>
    <w:rsid w:val="0014189B"/>
    <w:rsid w:val="0014193A"/>
    <w:rsid w:val="00141A41"/>
    <w:rsid w:val="00141A84"/>
    <w:rsid w:val="00141A88"/>
    <w:rsid w:val="00141A8E"/>
    <w:rsid w:val="00141AEB"/>
    <w:rsid w:val="00141B1C"/>
    <w:rsid w:val="00141B2D"/>
    <w:rsid w:val="00141B4B"/>
    <w:rsid w:val="00141CA1"/>
    <w:rsid w:val="00141CE2"/>
    <w:rsid w:val="00141D1D"/>
    <w:rsid w:val="00141D46"/>
    <w:rsid w:val="00141D87"/>
    <w:rsid w:val="00141DCE"/>
    <w:rsid w:val="00141DD3"/>
    <w:rsid w:val="00141ED6"/>
    <w:rsid w:val="00141F16"/>
    <w:rsid w:val="00141F27"/>
    <w:rsid w:val="00141F30"/>
    <w:rsid w:val="00141F8E"/>
    <w:rsid w:val="00141FB8"/>
    <w:rsid w:val="00141FCB"/>
    <w:rsid w:val="00141FCD"/>
    <w:rsid w:val="00142047"/>
    <w:rsid w:val="0014213C"/>
    <w:rsid w:val="0014216B"/>
    <w:rsid w:val="00142185"/>
    <w:rsid w:val="0014219B"/>
    <w:rsid w:val="001421AE"/>
    <w:rsid w:val="0014222E"/>
    <w:rsid w:val="00142257"/>
    <w:rsid w:val="00142337"/>
    <w:rsid w:val="001423A9"/>
    <w:rsid w:val="0014247D"/>
    <w:rsid w:val="0014252B"/>
    <w:rsid w:val="0014255E"/>
    <w:rsid w:val="001425A0"/>
    <w:rsid w:val="001425B5"/>
    <w:rsid w:val="00142700"/>
    <w:rsid w:val="0014272A"/>
    <w:rsid w:val="00142759"/>
    <w:rsid w:val="00142764"/>
    <w:rsid w:val="00142796"/>
    <w:rsid w:val="001427C6"/>
    <w:rsid w:val="001427D8"/>
    <w:rsid w:val="001427E6"/>
    <w:rsid w:val="001427E8"/>
    <w:rsid w:val="00142943"/>
    <w:rsid w:val="00142975"/>
    <w:rsid w:val="001429F8"/>
    <w:rsid w:val="00142A24"/>
    <w:rsid w:val="00142B06"/>
    <w:rsid w:val="00142B10"/>
    <w:rsid w:val="00142C27"/>
    <w:rsid w:val="00142CD0"/>
    <w:rsid w:val="00142D1D"/>
    <w:rsid w:val="00142D4B"/>
    <w:rsid w:val="00142D6B"/>
    <w:rsid w:val="00142D92"/>
    <w:rsid w:val="00142D9C"/>
    <w:rsid w:val="00142DCF"/>
    <w:rsid w:val="00142E24"/>
    <w:rsid w:val="00142E41"/>
    <w:rsid w:val="00142E58"/>
    <w:rsid w:val="00142F80"/>
    <w:rsid w:val="0014308A"/>
    <w:rsid w:val="001430CB"/>
    <w:rsid w:val="00143183"/>
    <w:rsid w:val="001431DF"/>
    <w:rsid w:val="001431EF"/>
    <w:rsid w:val="00143240"/>
    <w:rsid w:val="00143288"/>
    <w:rsid w:val="001432C7"/>
    <w:rsid w:val="001432F2"/>
    <w:rsid w:val="0014331B"/>
    <w:rsid w:val="00143331"/>
    <w:rsid w:val="00143365"/>
    <w:rsid w:val="001433C1"/>
    <w:rsid w:val="001433DC"/>
    <w:rsid w:val="0014347C"/>
    <w:rsid w:val="00143505"/>
    <w:rsid w:val="0014354D"/>
    <w:rsid w:val="00143559"/>
    <w:rsid w:val="0014356E"/>
    <w:rsid w:val="001435A8"/>
    <w:rsid w:val="001435CD"/>
    <w:rsid w:val="001435D7"/>
    <w:rsid w:val="00143644"/>
    <w:rsid w:val="0014366E"/>
    <w:rsid w:val="00143686"/>
    <w:rsid w:val="001436BE"/>
    <w:rsid w:val="001436C7"/>
    <w:rsid w:val="001436F2"/>
    <w:rsid w:val="001437A7"/>
    <w:rsid w:val="001437C0"/>
    <w:rsid w:val="001437C3"/>
    <w:rsid w:val="001437FE"/>
    <w:rsid w:val="0014385D"/>
    <w:rsid w:val="001438BF"/>
    <w:rsid w:val="00143972"/>
    <w:rsid w:val="001439CE"/>
    <w:rsid w:val="00143A51"/>
    <w:rsid w:val="00143A63"/>
    <w:rsid w:val="00143AFC"/>
    <w:rsid w:val="00143D01"/>
    <w:rsid w:val="00143D03"/>
    <w:rsid w:val="00143D5B"/>
    <w:rsid w:val="00143D72"/>
    <w:rsid w:val="00143D93"/>
    <w:rsid w:val="00143DA0"/>
    <w:rsid w:val="00143DC7"/>
    <w:rsid w:val="00143DCB"/>
    <w:rsid w:val="00143EE6"/>
    <w:rsid w:val="00143FA6"/>
    <w:rsid w:val="00143FF2"/>
    <w:rsid w:val="001440B6"/>
    <w:rsid w:val="001440CD"/>
    <w:rsid w:val="00144106"/>
    <w:rsid w:val="0014410D"/>
    <w:rsid w:val="00144164"/>
    <w:rsid w:val="0014417F"/>
    <w:rsid w:val="001441AD"/>
    <w:rsid w:val="001441BA"/>
    <w:rsid w:val="001441E9"/>
    <w:rsid w:val="00144258"/>
    <w:rsid w:val="00144265"/>
    <w:rsid w:val="00144310"/>
    <w:rsid w:val="00144361"/>
    <w:rsid w:val="00144389"/>
    <w:rsid w:val="001444A1"/>
    <w:rsid w:val="001444F8"/>
    <w:rsid w:val="00144604"/>
    <w:rsid w:val="001446A7"/>
    <w:rsid w:val="001446B5"/>
    <w:rsid w:val="001446FD"/>
    <w:rsid w:val="0014472C"/>
    <w:rsid w:val="00144730"/>
    <w:rsid w:val="001447C3"/>
    <w:rsid w:val="00144820"/>
    <w:rsid w:val="001448E4"/>
    <w:rsid w:val="0014490A"/>
    <w:rsid w:val="00144A6D"/>
    <w:rsid w:val="00144A8A"/>
    <w:rsid w:val="00144AEF"/>
    <w:rsid w:val="00144AFF"/>
    <w:rsid w:val="00144B99"/>
    <w:rsid w:val="00144C68"/>
    <w:rsid w:val="00144CC1"/>
    <w:rsid w:val="00144D15"/>
    <w:rsid w:val="00144D4B"/>
    <w:rsid w:val="00144D6B"/>
    <w:rsid w:val="00144E36"/>
    <w:rsid w:val="00144EB4"/>
    <w:rsid w:val="00144EDA"/>
    <w:rsid w:val="00144F1F"/>
    <w:rsid w:val="00144F39"/>
    <w:rsid w:val="00144F5E"/>
    <w:rsid w:val="00144F97"/>
    <w:rsid w:val="00144FDA"/>
    <w:rsid w:val="00144FF7"/>
    <w:rsid w:val="00144FFF"/>
    <w:rsid w:val="00145025"/>
    <w:rsid w:val="00145044"/>
    <w:rsid w:val="001450C1"/>
    <w:rsid w:val="00145131"/>
    <w:rsid w:val="001451C5"/>
    <w:rsid w:val="001451E3"/>
    <w:rsid w:val="001451E8"/>
    <w:rsid w:val="001451FC"/>
    <w:rsid w:val="00145213"/>
    <w:rsid w:val="00145255"/>
    <w:rsid w:val="00145359"/>
    <w:rsid w:val="001454FF"/>
    <w:rsid w:val="0014550D"/>
    <w:rsid w:val="0014559A"/>
    <w:rsid w:val="00145615"/>
    <w:rsid w:val="0014569E"/>
    <w:rsid w:val="001456EE"/>
    <w:rsid w:val="001457A6"/>
    <w:rsid w:val="00145859"/>
    <w:rsid w:val="001458F1"/>
    <w:rsid w:val="0014591B"/>
    <w:rsid w:val="0014597A"/>
    <w:rsid w:val="001459C1"/>
    <w:rsid w:val="001459F0"/>
    <w:rsid w:val="00145A81"/>
    <w:rsid w:val="00145A8B"/>
    <w:rsid w:val="00145B83"/>
    <w:rsid w:val="00145BF1"/>
    <w:rsid w:val="00145C36"/>
    <w:rsid w:val="00145C4E"/>
    <w:rsid w:val="00145C81"/>
    <w:rsid w:val="00145CB8"/>
    <w:rsid w:val="00145DA1"/>
    <w:rsid w:val="00145DCF"/>
    <w:rsid w:val="00145E1B"/>
    <w:rsid w:val="00145E22"/>
    <w:rsid w:val="00145F67"/>
    <w:rsid w:val="00145F78"/>
    <w:rsid w:val="0014603A"/>
    <w:rsid w:val="00146063"/>
    <w:rsid w:val="001461A8"/>
    <w:rsid w:val="001461C9"/>
    <w:rsid w:val="00146229"/>
    <w:rsid w:val="0014623F"/>
    <w:rsid w:val="00146290"/>
    <w:rsid w:val="001462FD"/>
    <w:rsid w:val="0014646F"/>
    <w:rsid w:val="001464F6"/>
    <w:rsid w:val="001465FE"/>
    <w:rsid w:val="0014663E"/>
    <w:rsid w:val="001466A5"/>
    <w:rsid w:val="001466E4"/>
    <w:rsid w:val="0014673B"/>
    <w:rsid w:val="0014678C"/>
    <w:rsid w:val="0014685B"/>
    <w:rsid w:val="00146867"/>
    <w:rsid w:val="0014686D"/>
    <w:rsid w:val="001468B2"/>
    <w:rsid w:val="00146987"/>
    <w:rsid w:val="00146A11"/>
    <w:rsid w:val="00146B03"/>
    <w:rsid w:val="00146C58"/>
    <w:rsid w:val="00146C73"/>
    <w:rsid w:val="00146CC2"/>
    <w:rsid w:val="00146CD0"/>
    <w:rsid w:val="00146D3D"/>
    <w:rsid w:val="00146D80"/>
    <w:rsid w:val="00146E2F"/>
    <w:rsid w:val="00146E65"/>
    <w:rsid w:val="00146E9C"/>
    <w:rsid w:val="00146EEE"/>
    <w:rsid w:val="00146F2D"/>
    <w:rsid w:val="00146F51"/>
    <w:rsid w:val="00146F97"/>
    <w:rsid w:val="00146F99"/>
    <w:rsid w:val="00147059"/>
    <w:rsid w:val="001470D0"/>
    <w:rsid w:val="001470D8"/>
    <w:rsid w:val="001470D9"/>
    <w:rsid w:val="0014713F"/>
    <w:rsid w:val="00147182"/>
    <w:rsid w:val="001471DE"/>
    <w:rsid w:val="001472AF"/>
    <w:rsid w:val="001472F8"/>
    <w:rsid w:val="001473D0"/>
    <w:rsid w:val="0014742B"/>
    <w:rsid w:val="00147472"/>
    <w:rsid w:val="00147477"/>
    <w:rsid w:val="001474C8"/>
    <w:rsid w:val="001474DC"/>
    <w:rsid w:val="001474DE"/>
    <w:rsid w:val="0014753E"/>
    <w:rsid w:val="00147568"/>
    <w:rsid w:val="00147633"/>
    <w:rsid w:val="001476E6"/>
    <w:rsid w:val="00147822"/>
    <w:rsid w:val="00147839"/>
    <w:rsid w:val="001478E0"/>
    <w:rsid w:val="00147920"/>
    <w:rsid w:val="001479CC"/>
    <w:rsid w:val="00147A2B"/>
    <w:rsid w:val="00147A57"/>
    <w:rsid w:val="00147B08"/>
    <w:rsid w:val="00147B5D"/>
    <w:rsid w:val="00147B82"/>
    <w:rsid w:val="00147BA5"/>
    <w:rsid w:val="00147C30"/>
    <w:rsid w:val="00147CE6"/>
    <w:rsid w:val="00147D22"/>
    <w:rsid w:val="00147D27"/>
    <w:rsid w:val="00147E34"/>
    <w:rsid w:val="00147E4B"/>
    <w:rsid w:val="00147E83"/>
    <w:rsid w:val="00147E9F"/>
    <w:rsid w:val="00147F4E"/>
    <w:rsid w:val="00147FD8"/>
    <w:rsid w:val="0015000B"/>
    <w:rsid w:val="001500B7"/>
    <w:rsid w:val="001500DD"/>
    <w:rsid w:val="0015018E"/>
    <w:rsid w:val="00150241"/>
    <w:rsid w:val="001502AE"/>
    <w:rsid w:val="00150412"/>
    <w:rsid w:val="00150453"/>
    <w:rsid w:val="001504AB"/>
    <w:rsid w:val="00150572"/>
    <w:rsid w:val="0015058B"/>
    <w:rsid w:val="001505C6"/>
    <w:rsid w:val="001505D5"/>
    <w:rsid w:val="00150619"/>
    <w:rsid w:val="001506A4"/>
    <w:rsid w:val="001506E9"/>
    <w:rsid w:val="00150706"/>
    <w:rsid w:val="0015074F"/>
    <w:rsid w:val="00150896"/>
    <w:rsid w:val="001508E6"/>
    <w:rsid w:val="00150935"/>
    <w:rsid w:val="001509D2"/>
    <w:rsid w:val="001509DD"/>
    <w:rsid w:val="00150A0D"/>
    <w:rsid w:val="00150A1F"/>
    <w:rsid w:val="00150A41"/>
    <w:rsid w:val="00150A83"/>
    <w:rsid w:val="00150A93"/>
    <w:rsid w:val="00150AB5"/>
    <w:rsid w:val="00150B7B"/>
    <w:rsid w:val="00150BB3"/>
    <w:rsid w:val="00150C1C"/>
    <w:rsid w:val="00150C23"/>
    <w:rsid w:val="00150CCA"/>
    <w:rsid w:val="00150CEC"/>
    <w:rsid w:val="00150CFA"/>
    <w:rsid w:val="00150D7C"/>
    <w:rsid w:val="00150D96"/>
    <w:rsid w:val="00150E05"/>
    <w:rsid w:val="00150EEC"/>
    <w:rsid w:val="00150EF3"/>
    <w:rsid w:val="00150F1D"/>
    <w:rsid w:val="00150F59"/>
    <w:rsid w:val="00150F87"/>
    <w:rsid w:val="00150FAE"/>
    <w:rsid w:val="0015107B"/>
    <w:rsid w:val="00151365"/>
    <w:rsid w:val="001513A8"/>
    <w:rsid w:val="001513CC"/>
    <w:rsid w:val="001513CF"/>
    <w:rsid w:val="001513D0"/>
    <w:rsid w:val="00151495"/>
    <w:rsid w:val="001514C8"/>
    <w:rsid w:val="001514DA"/>
    <w:rsid w:val="0015150F"/>
    <w:rsid w:val="00151529"/>
    <w:rsid w:val="001515BD"/>
    <w:rsid w:val="0015167F"/>
    <w:rsid w:val="001516B6"/>
    <w:rsid w:val="00151705"/>
    <w:rsid w:val="00151724"/>
    <w:rsid w:val="00151731"/>
    <w:rsid w:val="00151733"/>
    <w:rsid w:val="00151738"/>
    <w:rsid w:val="00151757"/>
    <w:rsid w:val="0015175D"/>
    <w:rsid w:val="0015179D"/>
    <w:rsid w:val="001518E5"/>
    <w:rsid w:val="00151934"/>
    <w:rsid w:val="00151A22"/>
    <w:rsid w:val="00151A6C"/>
    <w:rsid w:val="00151B59"/>
    <w:rsid w:val="00151B63"/>
    <w:rsid w:val="00151C0C"/>
    <w:rsid w:val="00151C9F"/>
    <w:rsid w:val="00151D16"/>
    <w:rsid w:val="00151D8E"/>
    <w:rsid w:val="00151DCA"/>
    <w:rsid w:val="00151E4C"/>
    <w:rsid w:val="00151E67"/>
    <w:rsid w:val="00151EFF"/>
    <w:rsid w:val="00151F0B"/>
    <w:rsid w:val="00151F10"/>
    <w:rsid w:val="00152072"/>
    <w:rsid w:val="0015209D"/>
    <w:rsid w:val="001520C9"/>
    <w:rsid w:val="001520F4"/>
    <w:rsid w:val="00152176"/>
    <w:rsid w:val="001521C0"/>
    <w:rsid w:val="001521EB"/>
    <w:rsid w:val="0015224E"/>
    <w:rsid w:val="00152264"/>
    <w:rsid w:val="00152284"/>
    <w:rsid w:val="00152304"/>
    <w:rsid w:val="0015236C"/>
    <w:rsid w:val="0015239D"/>
    <w:rsid w:val="001523D2"/>
    <w:rsid w:val="001523F6"/>
    <w:rsid w:val="0015247A"/>
    <w:rsid w:val="001524B1"/>
    <w:rsid w:val="001524BC"/>
    <w:rsid w:val="001524DA"/>
    <w:rsid w:val="001524F5"/>
    <w:rsid w:val="001524FE"/>
    <w:rsid w:val="00152538"/>
    <w:rsid w:val="00152682"/>
    <w:rsid w:val="001526F5"/>
    <w:rsid w:val="0015277E"/>
    <w:rsid w:val="00152781"/>
    <w:rsid w:val="0015284F"/>
    <w:rsid w:val="00152852"/>
    <w:rsid w:val="0015286D"/>
    <w:rsid w:val="00152875"/>
    <w:rsid w:val="00152903"/>
    <w:rsid w:val="0015297D"/>
    <w:rsid w:val="001529BD"/>
    <w:rsid w:val="001529C2"/>
    <w:rsid w:val="00152A36"/>
    <w:rsid w:val="00152AA4"/>
    <w:rsid w:val="00152B73"/>
    <w:rsid w:val="00152BA4"/>
    <w:rsid w:val="00152BDD"/>
    <w:rsid w:val="00152DB4"/>
    <w:rsid w:val="00152DB8"/>
    <w:rsid w:val="00152DBF"/>
    <w:rsid w:val="00152E26"/>
    <w:rsid w:val="00152E9C"/>
    <w:rsid w:val="00152EA8"/>
    <w:rsid w:val="00153001"/>
    <w:rsid w:val="00153086"/>
    <w:rsid w:val="001530CF"/>
    <w:rsid w:val="0015311F"/>
    <w:rsid w:val="00153150"/>
    <w:rsid w:val="001531B1"/>
    <w:rsid w:val="001531B2"/>
    <w:rsid w:val="00153247"/>
    <w:rsid w:val="001532E6"/>
    <w:rsid w:val="001533CD"/>
    <w:rsid w:val="001533DE"/>
    <w:rsid w:val="00153410"/>
    <w:rsid w:val="0015342B"/>
    <w:rsid w:val="001534E9"/>
    <w:rsid w:val="0015351E"/>
    <w:rsid w:val="00153539"/>
    <w:rsid w:val="00153578"/>
    <w:rsid w:val="00153629"/>
    <w:rsid w:val="00153685"/>
    <w:rsid w:val="001536A5"/>
    <w:rsid w:val="001536A7"/>
    <w:rsid w:val="001537AF"/>
    <w:rsid w:val="001537BF"/>
    <w:rsid w:val="00153838"/>
    <w:rsid w:val="001538FA"/>
    <w:rsid w:val="00153956"/>
    <w:rsid w:val="001539CB"/>
    <w:rsid w:val="00153A00"/>
    <w:rsid w:val="00153AB2"/>
    <w:rsid w:val="00153ACE"/>
    <w:rsid w:val="00153B6E"/>
    <w:rsid w:val="00153CF9"/>
    <w:rsid w:val="00153D58"/>
    <w:rsid w:val="00153D6C"/>
    <w:rsid w:val="00153D8F"/>
    <w:rsid w:val="00153DE8"/>
    <w:rsid w:val="00153E14"/>
    <w:rsid w:val="00153E53"/>
    <w:rsid w:val="00153F30"/>
    <w:rsid w:val="00153F8E"/>
    <w:rsid w:val="00153F9E"/>
    <w:rsid w:val="001540AA"/>
    <w:rsid w:val="001540B0"/>
    <w:rsid w:val="001540EA"/>
    <w:rsid w:val="00154132"/>
    <w:rsid w:val="00154164"/>
    <w:rsid w:val="0015417E"/>
    <w:rsid w:val="00154221"/>
    <w:rsid w:val="00154304"/>
    <w:rsid w:val="001543A3"/>
    <w:rsid w:val="001543D2"/>
    <w:rsid w:val="001543F9"/>
    <w:rsid w:val="00154486"/>
    <w:rsid w:val="0015449D"/>
    <w:rsid w:val="001544E6"/>
    <w:rsid w:val="001545E9"/>
    <w:rsid w:val="001545FE"/>
    <w:rsid w:val="0015467C"/>
    <w:rsid w:val="0015474E"/>
    <w:rsid w:val="0015479A"/>
    <w:rsid w:val="001547AC"/>
    <w:rsid w:val="001547D3"/>
    <w:rsid w:val="0015482F"/>
    <w:rsid w:val="00154882"/>
    <w:rsid w:val="001548A4"/>
    <w:rsid w:val="001548CC"/>
    <w:rsid w:val="001548EE"/>
    <w:rsid w:val="00154975"/>
    <w:rsid w:val="001549B4"/>
    <w:rsid w:val="00154A03"/>
    <w:rsid w:val="00154A26"/>
    <w:rsid w:val="00154AC8"/>
    <w:rsid w:val="00154AD8"/>
    <w:rsid w:val="00154AE6"/>
    <w:rsid w:val="00154C63"/>
    <w:rsid w:val="00154C6C"/>
    <w:rsid w:val="00154C6E"/>
    <w:rsid w:val="00154C8A"/>
    <w:rsid w:val="00154CDF"/>
    <w:rsid w:val="00154CE9"/>
    <w:rsid w:val="00154D1A"/>
    <w:rsid w:val="00154D7A"/>
    <w:rsid w:val="00154D7F"/>
    <w:rsid w:val="00154DA5"/>
    <w:rsid w:val="00154E26"/>
    <w:rsid w:val="00154E4F"/>
    <w:rsid w:val="00154E71"/>
    <w:rsid w:val="00154ECD"/>
    <w:rsid w:val="00154F47"/>
    <w:rsid w:val="00155017"/>
    <w:rsid w:val="00155034"/>
    <w:rsid w:val="0015508C"/>
    <w:rsid w:val="001550B0"/>
    <w:rsid w:val="001550D7"/>
    <w:rsid w:val="001550DA"/>
    <w:rsid w:val="00155132"/>
    <w:rsid w:val="00155192"/>
    <w:rsid w:val="00155196"/>
    <w:rsid w:val="001551FD"/>
    <w:rsid w:val="00155262"/>
    <w:rsid w:val="001552E8"/>
    <w:rsid w:val="001553CE"/>
    <w:rsid w:val="001554AB"/>
    <w:rsid w:val="0015560E"/>
    <w:rsid w:val="00155649"/>
    <w:rsid w:val="00155681"/>
    <w:rsid w:val="001557BD"/>
    <w:rsid w:val="001557C1"/>
    <w:rsid w:val="00155898"/>
    <w:rsid w:val="0015591F"/>
    <w:rsid w:val="00155933"/>
    <w:rsid w:val="0015596F"/>
    <w:rsid w:val="00155A06"/>
    <w:rsid w:val="00155A7B"/>
    <w:rsid w:val="00155A7C"/>
    <w:rsid w:val="00155AF0"/>
    <w:rsid w:val="00155B59"/>
    <w:rsid w:val="00155B68"/>
    <w:rsid w:val="00155C1F"/>
    <w:rsid w:val="00155D61"/>
    <w:rsid w:val="00155DA5"/>
    <w:rsid w:val="00155DD7"/>
    <w:rsid w:val="00155EE1"/>
    <w:rsid w:val="00155F6D"/>
    <w:rsid w:val="00155F92"/>
    <w:rsid w:val="00156031"/>
    <w:rsid w:val="001561DF"/>
    <w:rsid w:val="00156283"/>
    <w:rsid w:val="001562DA"/>
    <w:rsid w:val="00156323"/>
    <w:rsid w:val="00156353"/>
    <w:rsid w:val="00156399"/>
    <w:rsid w:val="001563CF"/>
    <w:rsid w:val="00156450"/>
    <w:rsid w:val="00156493"/>
    <w:rsid w:val="001564A1"/>
    <w:rsid w:val="001564B9"/>
    <w:rsid w:val="001565CB"/>
    <w:rsid w:val="001566BE"/>
    <w:rsid w:val="001566D5"/>
    <w:rsid w:val="00156718"/>
    <w:rsid w:val="001567D8"/>
    <w:rsid w:val="001567E7"/>
    <w:rsid w:val="0015680E"/>
    <w:rsid w:val="00156876"/>
    <w:rsid w:val="0015688A"/>
    <w:rsid w:val="001568C9"/>
    <w:rsid w:val="0015695F"/>
    <w:rsid w:val="00156A14"/>
    <w:rsid w:val="00156A54"/>
    <w:rsid w:val="00156A73"/>
    <w:rsid w:val="00156ACC"/>
    <w:rsid w:val="00156AE1"/>
    <w:rsid w:val="00156B22"/>
    <w:rsid w:val="00156B31"/>
    <w:rsid w:val="00156B7E"/>
    <w:rsid w:val="00156CB3"/>
    <w:rsid w:val="00156D29"/>
    <w:rsid w:val="00156E07"/>
    <w:rsid w:val="00156F51"/>
    <w:rsid w:val="00156F7B"/>
    <w:rsid w:val="00156FD0"/>
    <w:rsid w:val="00156FE8"/>
    <w:rsid w:val="001571BF"/>
    <w:rsid w:val="0015736A"/>
    <w:rsid w:val="00157434"/>
    <w:rsid w:val="001574CA"/>
    <w:rsid w:val="001574E4"/>
    <w:rsid w:val="00157529"/>
    <w:rsid w:val="0015759A"/>
    <w:rsid w:val="001576CD"/>
    <w:rsid w:val="001576E5"/>
    <w:rsid w:val="001576F5"/>
    <w:rsid w:val="0015774E"/>
    <w:rsid w:val="00157777"/>
    <w:rsid w:val="001577B8"/>
    <w:rsid w:val="00157854"/>
    <w:rsid w:val="00157864"/>
    <w:rsid w:val="001578A6"/>
    <w:rsid w:val="001578F8"/>
    <w:rsid w:val="00157923"/>
    <w:rsid w:val="001579F8"/>
    <w:rsid w:val="00157B12"/>
    <w:rsid w:val="00157B73"/>
    <w:rsid w:val="00157C19"/>
    <w:rsid w:val="00157C3E"/>
    <w:rsid w:val="00157C4B"/>
    <w:rsid w:val="00157CF3"/>
    <w:rsid w:val="00157D06"/>
    <w:rsid w:val="00157D6C"/>
    <w:rsid w:val="00157DEA"/>
    <w:rsid w:val="00157E0A"/>
    <w:rsid w:val="00157E1B"/>
    <w:rsid w:val="00157E28"/>
    <w:rsid w:val="00157E65"/>
    <w:rsid w:val="00157E93"/>
    <w:rsid w:val="00157EC7"/>
    <w:rsid w:val="00157ED3"/>
    <w:rsid w:val="00157ED4"/>
    <w:rsid w:val="00157F34"/>
    <w:rsid w:val="00157FBA"/>
    <w:rsid w:val="00157FC9"/>
    <w:rsid w:val="00157FF4"/>
    <w:rsid w:val="0016002D"/>
    <w:rsid w:val="00160051"/>
    <w:rsid w:val="001600F8"/>
    <w:rsid w:val="001600FE"/>
    <w:rsid w:val="00160129"/>
    <w:rsid w:val="0016019B"/>
    <w:rsid w:val="001601A1"/>
    <w:rsid w:val="001601B1"/>
    <w:rsid w:val="001601BE"/>
    <w:rsid w:val="001601F1"/>
    <w:rsid w:val="00160233"/>
    <w:rsid w:val="00160244"/>
    <w:rsid w:val="001602BB"/>
    <w:rsid w:val="001602BE"/>
    <w:rsid w:val="0016031F"/>
    <w:rsid w:val="0016037C"/>
    <w:rsid w:val="00160384"/>
    <w:rsid w:val="00160413"/>
    <w:rsid w:val="00160442"/>
    <w:rsid w:val="0016044A"/>
    <w:rsid w:val="00160476"/>
    <w:rsid w:val="001604E6"/>
    <w:rsid w:val="00160527"/>
    <w:rsid w:val="00160531"/>
    <w:rsid w:val="0016053D"/>
    <w:rsid w:val="00160571"/>
    <w:rsid w:val="001605BE"/>
    <w:rsid w:val="00160688"/>
    <w:rsid w:val="00160689"/>
    <w:rsid w:val="0016073C"/>
    <w:rsid w:val="001607C3"/>
    <w:rsid w:val="00160814"/>
    <w:rsid w:val="00160859"/>
    <w:rsid w:val="00160875"/>
    <w:rsid w:val="001608E4"/>
    <w:rsid w:val="001608FA"/>
    <w:rsid w:val="0016091B"/>
    <w:rsid w:val="0016097E"/>
    <w:rsid w:val="001609A7"/>
    <w:rsid w:val="001609EF"/>
    <w:rsid w:val="00160A52"/>
    <w:rsid w:val="00160A7D"/>
    <w:rsid w:val="00160B1B"/>
    <w:rsid w:val="00160B96"/>
    <w:rsid w:val="00160BB2"/>
    <w:rsid w:val="00160C6A"/>
    <w:rsid w:val="00160CD2"/>
    <w:rsid w:val="00160D40"/>
    <w:rsid w:val="00160D82"/>
    <w:rsid w:val="00160DD5"/>
    <w:rsid w:val="00160E58"/>
    <w:rsid w:val="00160E87"/>
    <w:rsid w:val="00160E97"/>
    <w:rsid w:val="00160EA9"/>
    <w:rsid w:val="00160EEB"/>
    <w:rsid w:val="00160F95"/>
    <w:rsid w:val="00161109"/>
    <w:rsid w:val="00161150"/>
    <w:rsid w:val="00161169"/>
    <w:rsid w:val="001612FB"/>
    <w:rsid w:val="001612FC"/>
    <w:rsid w:val="00161316"/>
    <w:rsid w:val="0016131C"/>
    <w:rsid w:val="0016133C"/>
    <w:rsid w:val="00161395"/>
    <w:rsid w:val="001613B0"/>
    <w:rsid w:val="00161411"/>
    <w:rsid w:val="00161459"/>
    <w:rsid w:val="00161543"/>
    <w:rsid w:val="001615F4"/>
    <w:rsid w:val="001615F5"/>
    <w:rsid w:val="00161648"/>
    <w:rsid w:val="001616D1"/>
    <w:rsid w:val="00161702"/>
    <w:rsid w:val="0016172E"/>
    <w:rsid w:val="00161793"/>
    <w:rsid w:val="00161882"/>
    <w:rsid w:val="001618D9"/>
    <w:rsid w:val="001618E7"/>
    <w:rsid w:val="001618FA"/>
    <w:rsid w:val="0016194C"/>
    <w:rsid w:val="00161956"/>
    <w:rsid w:val="0016196D"/>
    <w:rsid w:val="001619B0"/>
    <w:rsid w:val="001619B5"/>
    <w:rsid w:val="00161A0C"/>
    <w:rsid w:val="00161A3A"/>
    <w:rsid w:val="00161A8D"/>
    <w:rsid w:val="00161AC3"/>
    <w:rsid w:val="00161AFC"/>
    <w:rsid w:val="00161B1C"/>
    <w:rsid w:val="00161BDF"/>
    <w:rsid w:val="00161BED"/>
    <w:rsid w:val="00161BF2"/>
    <w:rsid w:val="00161C0A"/>
    <w:rsid w:val="00161CAE"/>
    <w:rsid w:val="00161D03"/>
    <w:rsid w:val="00161DB7"/>
    <w:rsid w:val="00161DFD"/>
    <w:rsid w:val="00161E6F"/>
    <w:rsid w:val="00161E76"/>
    <w:rsid w:val="0016202B"/>
    <w:rsid w:val="00162064"/>
    <w:rsid w:val="00162070"/>
    <w:rsid w:val="0016211F"/>
    <w:rsid w:val="0016218D"/>
    <w:rsid w:val="001621EC"/>
    <w:rsid w:val="001621F1"/>
    <w:rsid w:val="001621F5"/>
    <w:rsid w:val="001622F1"/>
    <w:rsid w:val="00162386"/>
    <w:rsid w:val="001623D1"/>
    <w:rsid w:val="001624FC"/>
    <w:rsid w:val="00162529"/>
    <w:rsid w:val="0016252E"/>
    <w:rsid w:val="00162612"/>
    <w:rsid w:val="00162620"/>
    <w:rsid w:val="00162625"/>
    <w:rsid w:val="0016262C"/>
    <w:rsid w:val="001626E5"/>
    <w:rsid w:val="001626F9"/>
    <w:rsid w:val="001627C1"/>
    <w:rsid w:val="001628A6"/>
    <w:rsid w:val="00162934"/>
    <w:rsid w:val="00162981"/>
    <w:rsid w:val="001629AA"/>
    <w:rsid w:val="001629CE"/>
    <w:rsid w:val="00162A60"/>
    <w:rsid w:val="00162AE8"/>
    <w:rsid w:val="00162B8D"/>
    <w:rsid w:val="00162BA8"/>
    <w:rsid w:val="00162C00"/>
    <w:rsid w:val="00162C18"/>
    <w:rsid w:val="00162C70"/>
    <w:rsid w:val="00162CA0"/>
    <w:rsid w:val="00162CF1"/>
    <w:rsid w:val="00162D60"/>
    <w:rsid w:val="00162DCF"/>
    <w:rsid w:val="00162DFA"/>
    <w:rsid w:val="00162E6E"/>
    <w:rsid w:val="00162F39"/>
    <w:rsid w:val="001630DC"/>
    <w:rsid w:val="001630E8"/>
    <w:rsid w:val="001630F4"/>
    <w:rsid w:val="0016313C"/>
    <w:rsid w:val="00163174"/>
    <w:rsid w:val="0016319B"/>
    <w:rsid w:val="00163250"/>
    <w:rsid w:val="001632B6"/>
    <w:rsid w:val="001632C7"/>
    <w:rsid w:val="001632E5"/>
    <w:rsid w:val="00163373"/>
    <w:rsid w:val="001633C1"/>
    <w:rsid w:val="001634DF"/>
    <w:rsid w:val="00163521"/>
    <w:rsid w:val="00163536"/>
    <w:rsid w:val="00163539"/>
    <w:rsid w:val="00163587"/>
    <w:rsid w:val="00163599"/>
    <w:rsid w:val="001635E4"/>
    <w:rsid w:val="00163632"/>
    <w:rsid w:val="0016375A"/>
    <w:rsid w:val="00163772"/>
    <w:rsid w:val="00163820"/>
    <w:rsid w:val="00163829"/>
    <w:rsid w:val="00163869"/>
    <w:rsid w:val="00163885"/>
    <w:rsid w:val="001638C5"/>
    <w:rsid w:val="001638DF"/>
    <w:rsid w:val="00163905"/>
    <w:rsid w:val="00163968"/>
    <w:rsid w:val="001639E7"/>
    <w:rsid w:val="001639F3"/>
    <w:rsid w:val="00163A08"/>
    <w:rsid w:val="00163AD6"/>
    <w:rsid w:val="00163AE5"/>
    <w:rsid w:val="00163B0A"/>
    <w:rsid w:val="00163C7A"/>
    <w:rsid w:val="00163CA1"/>
    <w:rsid w:val="00163D5F"/>
    <w:rsid w:val="00163D67"/>
    <w:rsid w:val="00163DB1"/>
    <w:rsid w:val="00163E90"/>
    <w:rsid w:val="00163F21"/>
    <w:rsid w:val="00163FE3"/>
    <w:rsid w:val="001640AA"/>
    <w:rsid w:val="001640BE"/>
    <w:rsid w:val="0016415B"/>
    <w:rsid w:val="0016425D"/>
    <w:rsid w:val="0016428D"/>
    <w:rsid w:val="00164344"/>
    <w:rsid w:val="0016445D"/>
    <w:rsid w:val="001644BF"/>
    <w:rsid w:val="00164585"/>
    <w:rsid w:val="0016459A"/>
    <w:rsid w:val="0016462E"/>
    <w:rsid w:val="001646A7"/>
    <w:rsid w:val="00164724"/>
    <w:rsid w:val="001647EE"/>
    <w:rsid w:val="00164801"/>
    <w:rsid w:val="0016485A"/>
    <w:rsid w:val="0016488A"/>
    <w:rsid w:val="0016495A"/>
    <w:rsid w:val="00164994"/>
    <w:rsid w:val="001649A0"/>
    <w:rsid w:val="001649AF"/>
    <w:rsid w:val="00164A3B"/>
    <w:rsid w:val="00164A43"/>
    <w:rsid w:val="00164A4F"/>
    <w:rsid w:val="00164A79"/>
    <w:rsid w:val="00164BD4"/>
    <w:rsid w:val="00164C0E"/>
    <w:rsid w:val="00164C4A"/>
    <w:rsid w:val="00164CB2"/>
    <w:rsid w:val="00164D2F"/>
    <w:rsid w:val="00164E4D"/>
    <w:rsid w:val="00164E4E"/>
    <w:rsid w:val="00164E8E"/>
    <w:rsid w:val="00164E97"/>
    <w:rsid w:val="00164ECA"/>
    <w:rsid w:val="00164F10"/>
    <w:rsid w:val="00164F1F"/>
    <w:rsid w:val="00164F5D"/>
    <w:rsid w:val="00165012"/>
    <w:rsid w:val="001650AA"/>
    <w:rsid w:val="001650E5"/>
    <w:rsid w:val="001650F8"/>
    <w:rsid w:val="0016529B"/>
    <w:rsid w:val="001652B7"/>
    <w:rsid w:val="0016532C"/>
    <w:rsid w:val="001654E9"/>
    <w:rsid w:val="001654FB"/>
    <w:rsid w:val="0016553F"/>
    <w:rsid w:val="0016557B"/>
    <w:rsid w:val="001655C8"/>
    <w:rsid w:val="00165613"/>
    <w:rsid w:val="001656D7"/>
    <w:rsid w:val="001656F4"/>
    <w:rsid w:val="0016573C"/>
    <w:rsid w:val="00165766"/>
    <w:rsid w:val="00165787"/>
    <w:rsid w:val="001657FC"/>
    <w:rsid w:val="001658B2"/>
    <w:rsid w:val="001659FD"/>
    <w:rsid w:val="00165A4E"/>
    <w:rsid w:val="00165A65"/>
    <w:rsid w:val="00165A9D"/>
    <w:rsid w:val="00165B1F"/>
    <w:rsid w:val="00165B47"/>
    <w:rsid w:val="00165B72"/>
    <w:rsid w:val="00165B8F"/>
    <w:rsid w:val="00165C00"/>
    <w:rsid w:val="00165C1B"/>
    <w:rsid w:val="00165C9E"/>
    <w:rsid w:val="00165CA0"/>
    <w:rsid w:val="00165CD5"/>
    <w:rsid w:val="00165D17"/>
    <w:rsid w:val="00165D3D"/>
    <w:rsid w:val="00165DE7"/>
    <w:rsid w:val="00165DFC"/>
    <w:rsid w:val="00165EA5"/>
    <w:rsid w:val="00165F1A"/>
    <w:rsid w:val="00165F2C"/>
    <w:rsid w:val="00165F36"/>
    <w:rsid w:val="00165F4C"/>
    <w:rsid w:val="00165F69"/>
    <w:rsid w:val="00165FC1"/>
    <w:rsid w:val="00165FD0"/>
    <w:rsid w:val="00166010"/>
    <w:rsid w:val="00166025"/>
    <w:rsid w:val="00166035"/>
    <w:rsid w:val="001660CA"/>
    <w:rsid w:val="00166101"/>
    <w:rsid w:val="00166282"/>
    <w:rsid w:val="0016628D"/>
    <w:rsid w:val="001662A5"/>
    <w:rsid w:val="001662B6"/>
    <w:rsid w:val="001662D1"/>
    <w:rsid w:val="00166327"/>
    <w:rsid w:val="00166353"/>
    <w:rsid w:val="00166379"/>
    <w:rsid w:val="001663BF"/>
    <w:rsid w:val="001663F2"/>
    <w:rsid w:val="001663FB"/>
    <w:rsid w:val="0016650E"/>
    <w:rsid w:val="00166511"/>
    <w:rsid w:val="00166580"/>
    <w:rsid w:val="00166595"/>
    <w:rsid w:val="001665F0"/>
    <w:rsid w:val="001665FD"/>
    <w:rsid w:val="00166682"/>
    <w:rsid w:val="00166741"/>
    <w:rsid w:val="0016674F"/>
    <w:rsid w:val="00166843"/>
    <w:rsid w:val="0016684F"/>
    <w:rsid w:val="001668D9"/>
    <w:rsid w:val="001669E7"/>
    <w:rsid w:val="00166A20"/>
    <w:rsid w:val="00166A45"/>
    <w:rsid w:val="00166ADE"/>
    <w:rsid w:val="00166AE1"/>
    <w:rsid w:val="00166AEE"/>
    <w:rsid w:val="00166AFF"/>
    <w:rsid w:val="00166B02"/>
    <w:rsid w:val="00166B28"/>
    <w:rsid w:val="00166B30"/>
    <w:rsid w:val="00166B64"/>
    <w:rsid w:val="00166BC4"/>
    <w:rsid w:val="00166BDD"/>
    <w:rsid w:val="00166C2F"/>
    <w:rsid w:val="00166D19"/>
    <w:rsid w:val="00166D35"/>
    <w:rsid w:val="00166D83"/>
    <w:rsid w:val="00166E06"/>
    <w:rsid w:val="00166E0F"/>
    <w:rsid w:val="00166E37"/>
    <w:rsid w:val="00166E54"/>
    <w:rsid w:val="00166EA4"/>
    <w:rsid w:val="00166F77"/>
    <w:rsid w:val="00166FA4"/>
    <w:rsid w:val="00166FA7"/>
    <w:rsid w:val="0016708F"/>
    <w:rsid w:val="001670E5"/>
    <w:rsid w:val="00167125"/>
    <w:rsid w:val="0016715D"/>
    <w:rsid w:val="001671E0"/>
    <w:rsid w:val="00167214"/>
    <w:rsid w:val="0016722D"/>
    <w:rsid w:val="00167289"/>
    <w:rsid w:val="0016728C"/>
    <w:rsid w:val="001672BC"/>
    <w:rsid w:val="001672D9"/>
    <w:rsid w:val="001673A1"/>
    <w:rsid w:val="001673C0"/>
    <w:rsid w:val="001673D8"/>
    <w:rsid w:val="00167435"/>
    <w:rsid w:val="0016745C"/>
    <w:rsid w:val="0016747D"/>
    <w:rsid w:val="00167503"/>
    <w:rsid w:val="0016750E"/>
    <w:rsid w:val="00167553"/>
    <w:rsid w:val="0016758C"/>
    <w:rsid w:val="0016760B"/>
    <w:rsid w:val="00167625"/>
    <w:rsid w:val="00167660"/>
    <w:rsid w:val="001676B7"/>
    <w:rsid w:val="00167700"/>
    <w:rsid w:val="00167708"/>
    <w:rsid w:val="00167731"/>
    <w:rsid w:val="0016775F"/>
    <w:rsid w:val="001677D1"/>
    <w:rsid w:val="00167892"/>
    <w:rsid w:val="001678AB"/>
    <w:rsid w:val="001678F0"/>
    <w:rsid w:val="001678F3"/>
    <w:rsid w:val="00167961"/>
    <w:rsid w:val="001679C7"/>
    <w:rsid w:val="00167A06"/>
    <w:rsid w:val="00167A2F"/>
    <w:rsid w:val="00167A73"/>
    <w:rsid w:val="00167AD1"/>
    <w:rsid w:val="00167B61"/>
    <w:rsid w:val="00167B80"/>
    <w:rsid w:val="00167BD7"/>
    <w:rsid w:val="00167BFB"/>
    <w:rsid w:val="00167C0F"/>
    <w:rsid w:val="00167C38"/>
    <w:rsid w:val="00167C39"/>
    <w:rsid w:val="00167C43"/>
    <w:rsid w:val="00167CB3"/>
    <w:rsid w:val="00167D56"/>
    <w:rsid w:val="00167D89"/>
    <w:rsid w:val="00167DC1"/>
    <w:rsid w:val="00167DF7"/>
    <w:rsid w:val="00167E7D"/>
    <w:rsid w:val="00167ED6"/>
    <w:rsid w:val="00167EE5"/>
    <w:rsid w:val="00167EF3"/>
    <w:rsid w:val="00167F02"/>
    <w:rsid w:val="00167F53"/>
    <w:rsid w:val="00167FB5"/>
    <w:rsid w:val="0016E38C"/>
    <w:rsid w:val="00170013"/>
    <w:rsid w:val="001700A0"/>
    <w:rsid w:val="001700D4"/>
    <w:rsid w:val="001700E5"/>
    <w:rsid w:val="00170101"/>
    <w:rsid w:val="00170167"/>
    <w:rsid w:val="001701BC"/>
    <w:rsid w:val="001701D0"/>
    <w:rsid w:val="00170210"/>
    <w:rsid w:val="00170239"/>
    <w:rsid w:val="0017028C"/>
    <w:rsid w:val="001702B5"/>
    <w:rsid w:val="001702D3"/>
    <w:rsid w:val="00170319"/>
    <w:rsid w:val="0017034D"/>
    <w:rsid w:val="001703E9"/>
    <w:rsid w:val="001703EA"/>
    <w:rsid w:val="0017049E"/>
    <w:rsid w:val="001704B1"/>
    <w:rsid w:val="001704D0"/>
    <w:rsid w:val="00170511"/>
    <w:rsid w:val="0017051E"/>
    <w:rsid w:val="00170630"/>
    <w:rsid w:val="0017063D"/>
    <w:rsid w:val="00170660"/>
    <w:rsid w:val="00170682"/>
    <w:rsid w:val="001706E6"/>
    <w:rsid w:val="0017076F"/>
    <w:rsid w:val="00170772"/>
    <w:rsid w:val="00170787"/>
    <w:rsid w:val="001707D8"/>
    <w:rsid w:val="00170812"/>
    <w:rsid w:val="00170821"/>
    <w:rsid w:val="00170843"/>
    <w:rsid w:val="00170863"/>
    <w:rsid w:val="00170951"/>
    <w:rsid w:val="00170A3C"/>
    <w:rsid w:val="00170AB9"/>
    <w:rsid w:val="00170ACB"/>
    <w:rsid w:val="00170AFE"/>
    <w:rsid w:val="00170B04"/>
    <w:rsid w:val="00170B08"/>
    <w:rsid w:val="00170B84"/>
    <w:rsid w:val="00170B8F"/>
    <w:rsid w:val="00170BC7"/>
    <w:rsid w:val="00170BD1"/>
    <w:rsid w:val="00170C6A"/>
    <w:rsid w:val="00170CE3"/>
    <w:rsid w:val="00170D29"/>
    <w:rsid w:val="00170E11"/>
    <w:rsid w:val="00170E77"/>
    <w:rsid w:val="00170E9B"/>
    <w:rsid w:val="00170EBA"/>
    <w:rsid w:val="00170F0A"/>
    <w:rsid w:val="00170F1E"/>
    <w:rsid w:val="00170F22"/>
    <w:rsid w:val="00171075"/>
    <w:rsid w:val="001710CB"/>
    <w:rsid w:val="001711DD"/>
    <w:rsid w:val="001711EB"/>
    <w:rsid w:val="00171219"/>
    <w:rsid w:val="00171230"/>
    <w:rsid w:val="00171274"/>
    <w:rsid w:val="00171291"/>
    <w:rsid w:val="001712F5"/>
    <w:rsid w:val="0017131E"/>
    <w:rsid w:val="0017135A"/>
    <w:rsid w:val="00171385"/>
    <w:rsid w:val="00171390"/>
    <w:rsid w:val="001713AE"/>
    <w:rsid w:val="0017150D"/>
    <w:rsid w:val="00171581"/>
    <w:rsid w:val="001715EC"/>
    <w:rsid w:val="0017168D"/>
    <w:rsid w:val="001716AF"/>
    <w:rsid w:val="001716C8"/>
    <w:rsid w:val="001717C5"/>
    <w:rsid w:val="001717CC"/>
    <w:rsid w:val="001718A3"/>
    <w:rsid w:val="0017193E"/>
    <w:rsid w:val="0017198C"/>
    <w:rsid w:val="001719A8"/>
    <w:rsid w:val="00171A20"/>
    <w:rsid w:val="00171A4B"/>
    <w:rsid w:val="00171AAB"/>
    <w:rsid w:val="00171ACE"/>
    <w:rsid w:val="00171AD6"/>
    <w:rsid w:val="00171AF9"/>
    <w:rsid w:val="00171B71"/>
    <w:rsid w:val="00171B76"/>
    <w:rsid w:val="00171BAD"/>
    <w:rsid w:val="00171BE9"/>
    <w:rsid w:val="00171C0C"/>
    <w:rsid w:val="00171C35"/>
    <w:rsid w:val="00171C3B"/>
    <w:rsid w:val="00171C44"/>
    <w:rsid w:val="00171D26"/>
    <w:rsid w:val="00171DA6"/>
    <w:rsid w:val="00171E44"/>
    <w:rsid w:val="00171E81"/>
    <w:rsid w:val="00171FC9"/>
    <w:rsid w:val="00172140"/>
    <w:rsid w:val="001721B9"/>
    <w:rsid w:val="0017229F"/>
    <w:rsid w:val="001722C0"/>
    <w:rsid w:val="001722C7"/>
    <w:rsid w:val="001723DE"/>
    <w:rsid w:val="001723F7"/>
    <w:rsid w:val="0017241D"/>
    <w:rsid w:val="001724D8"/>
    <w:rsid w:val="00172560"/>
    <w:rsid w:val="00172575"/>
    <w:rsid w:val="0017267A"/>
    <w:rsid w:val="001726BC"/>
    <w:rsid w:val="001726D1"/>
    <w:rsid w:val="00172724"/>
    <w:rsid w:val="00172771"/>
    <w:rsid w:val="0017282F"/>
    <w:rsid w:val="0017283A"/>
    <w:rsid w:val="00172852"/>
    <w:rsid w:val="00172874"/>
    <w:rsid w:val="001728C1"/>
    <w:rsid w:val="001728EB"/>
    <w:rsid w:val="0017290A"/>
    <w:rsid w:val="00172917"/>
    <w:rsid w:val="001729DE"/>
    <w:rsid w:val="00172AF0"/>
    <w:rsid w:val="00172B2C"/>
    <w:rsid w:val="00172B80"/>
    <w:rsid w:val="00172BD4"/>
    <w:rsid w:val="00172BE2"/>
    <w:rsid w:val="00172BEB"/>
    <w:rsid w:val="00172C21"/>
    <w:rsid w:val="00172D57"/>
    <w:rsid w:val="00172D5C"/>
    <w:rsid w:val="00172D6E"/>
    <w:rsid w:val="00172D86"/>
    <w:rsid w:val="00172D96"/>
    <w:rsid w:val="00172DE5"/>
    <w:rsid w:val="00172F15"/>
    <w:rsid w:val="00172F26"/>
    <w:rsid w:val="00172FE5"/>
    <w:rsid w:val="00173019"/>
    <w:rsid w:val="00173027"/>
    <w:rsid w:val="00173066"/>
    <w:rsid w:val="0017315E"/>
    <w:rsid w:val="00173166"/>
    <w:rsid w:val="001731BC"/>
    <w:rsid w:val="001731EB"/>
    <w:rsid w:val="001732A8"/>
    <w:rsid w:val="001732C5"/>
    <w:rsid w:val="0017336D"/>
    <w:rsid w:val="0017338E"/>
    <w:rsid w:val="001733CA"/>
    <w:rsid w:val="0017347F"/>
    <w:rsid w:val="00173598"/>
    <w:rsid w:val="0017362C"/>
    <w:rsid w:val="001736C6"/>
    <w:rsid w:val="0017371B"/>
    <w:rsid w:val="001737AE"/>
    <w:rsid w:val="001737B4"/>
    <w:rsid w:val="001737CA"/>
    <w:rsid w:val="001737D5"/>
    <w:rsid w:val="001738EF"/>
    <w:rsid w:val="00173952"/>
    <w:rsid w:val="00173954"/>
    <w:rsid w:val="0017395B"/>
    <w:rsid w:val="00173A5B"/>
    <w:rsid w:val="00173AF0"/>
    <w:rsid w:val="00173AFB"/>
    <w:rsid w:val="00173B76"/>
    <w:rsid w:val="00173C35"/>
    <w:rsid w:val="00173C6F"/>
    <w:rsid w:val="00173C84"/>
    <w:rsid w:val="00173CB6"/>
    <w:rsid w:val="00173D9C"/>
    <w:rsid w:val="00173E10"/>
    <w:rsid w:val="00173E65"/>
    <w:rsid w:val="00173EDD"/>
    <w:rsid w:val="00173F11"/>
    <w:rsid w:val="00173FB3"/>
    <w:rsid w:val="00173FB6"/>
    <w:rsid w:val="00173FE1"/>
    <w:rsid w:val="00173FE9"/>
    <w:rsid w:val="00174003"/>
    <w:rsid w:val="00174011"/>
    <w:rsid w:val="00174083"/>
    <w:rsid w:val="001741D5"/>
    <w:rsid w:val="001741E4"/>
    <w:rsid w:val="001742A2"/>
    <w:rsid w:val="001742CC"/>
    <w:rsid w:val="001742E3"/>
    <w:rsid w:val="001744B6"/>
    <w:rsid w:val="00174568"/>
    <w:rsid w:val="0017459F"/>
    <w:rsid w:val="001745C0"/>
    <w:rsid w:val="001745C4"/>
    <w:rsid w:val="00174600"/>
    <w:rsid w:val="00174655"/>
    <w:rsid w:val="0017481F"/>
    <w:rsid w:val="0017484C"/>
    <w:rsid w:val="00174869"/>
    <w:rsid w:val="001748AA"/>
    <w:rsid w:val="001748DB"/>
    <w:rsid w:val="00174906"/>
    <w:rsid w:val="00174924"/>
    <w:rsid w:val="0017494F"/>
    <w:rsid w:val="00174986"/>
    <w:rsid w:val="001749E4"/>
    <w:rsid w:val="001749ED"/>
    <w:rsid w:val="00174A6A"/>
    <w:rsid w:val="00174AC3"/>
    <w:rsid w:val="00174B03"/>
    <w:rsid w:val="00174B35"/>
    <w:rsid w:val="00174B8B"/>
    <w:rsid w:val="00174BC0"/>
    <w:rsid w:val="00174BDC"/>
    <w:rsid w:val="00174C56"/>
    <w:rsid w:val="00174CAB"/>
    <w:rsid w:val="00174CAC"/>
    <w:rsid w:val="00174CDC"/>
    <w:rsid w:val="00174E07"/>
    <w:rsid w:val="00174E7B"/>
    <w:rsid w:val="00174EF5"/>
    <w:rsid w:val="00174F29"/>
    <w:rsid w:val="00174FF6"/>
    <w:rsid w:val="00175010"/>
    <w:rsid w:val="00175030"/>
    <w:rsid w:val="0017505C"/>
    <w:rsid w:val="00175099"/>
    <w:rsid w:val="001750DF"/>
    <w:rsid w:val="0017515C"/>
    <w:rsid w:val="001751B4"/>
    <w:rsid w:val="00175218"/>
    <w:rsid w:val="00175280"/>
    <w:rsid w:val="001752A8"/>
    <w:rsid w:val="001752B9"/>
    <w:rsid w:val="001752BF"/>
    <w:rsid w:val="00175366"/>
    <w:rsid w:val="001753A5"/>
    <w:rsid w:val="0017541A"/>
    <w:rsid w:val="00175433"/>
    <w:rsid w:val="00175464"/>
    <w:rsid w:val="0017550D"/>
    <w:rsid w:val="001755E9"/>
    <w:rsid w:val="00175677"/>
    <w:rsid w:val="0017575D"/>
    <w:rsid w:val="001757A8"/>
    <w:rsid w:val="001757AB"/>
    <w:rsid w:val="00175808"/>
    <w:rsid w:val="001758B8"/>
    <w:rsid w:val="00175918"/>
    <w:rsid w:val="0017598D"/>
    <w:rsid w:val="001759FB"/>
    <w:rsid w:val="00175A76"/>
    <w:rsid w:val="00175A85"/>
    <w:rsid w:val="00175AEB"/>
    <w:rsid w:val="00175AFC"/>
    <w:rsid w:val="00175B1F"/>
    <w:rsid w:val="00175C98"/>
    <w:rsid w:val="00175CEF"/>
    <w:rsid w:val="00175DEA"/>
    <w:rsid w:val="00175E33"/>
    <w:rsid w:val="00175EF3"/>
    <w:rsid w:val="00175F07"/>
    <w:rsid w:val="00175F32"/>
    <w:rsid w:val="00175FB7"/>
    <w:rsid w:val="00175FEE"/>
    <w:rsid w:val="001760FD"/>
    <w:rsid w:val="00176104"/>
    <w:rsid w:val="00176128"/>
    <w:rsid w:val="00176133"/>
    <w:rsid w:val="00176160"/>
    <w:rsid w:val="00176196"/>
    <w:rsid w:val="001761F7"/>
    <w:rsid w:val="00176205"/>
    <w:rsid w:val="00176236"/>
    <w:rsid w:val="00176290"/>
    <w:rsid w:val="001763DC"/>
    <w:rsid w:val="00176406"/>
    <w:rsid w:val="0017640A"/>
    <w:rsid w:val="00176481"/>
    <w:rsid w:val="001764FC"/>
    <w:rsid w:val="0017656A"/>
    <w:rsid w:val="001765AF"/>
    <w:rsid w:val="001765C1"/>
    <w:rsid w:val="001765C7"/>
    <w:rsid w:val="001766BC"/>
    <w:rsid w:val="001766D3"/>
    <w:rsid w:val="00176791"/>
    <w:rsid w:val="001767A5"/>
    <w:rsid w:val="001767B1"/>
    <w:rsid w:val="001767D3"/>
    <w:rsid w:val="00176845"/>
    <w:rsid w:val="001768AA"/>
    <w:rsid w:val="001768B8"/>
    <w:rsid w:val="001769CC"/>
    <w:rsid w:val="00176A6F"/>
    <w:rsid w:val="00176AB0"/>
    <w:rsid w:val="00176AB2"/>
    <w:rsid w:val="00176ACE"/>
    <w:rsid w:val="00176B4B"/>
    <w:rsid w:val="00176C3C"/>
    <w:rsid w:val="00176CAB"/>
    <w:rsid w:val="00176D61"/>
    <w:rsid w:val="00176EAB"/>
    <w:rsid w:val="00176EB0"/>
    <w:rsid w:val="00176EB9"/>
    <w:rsid w:val="00176FA3"/>
    <w:rsid w:val="00176FAE"/>
    <w:rsid w:val="0017700D"/>
    <w:rsid w:val="0017705B"/>
    <w:rsid w:val="00177152"/>
    <w:rsid w:val="00177165"/>
    <w:rsid w:val="00177295"/>
    <w:rsid w:val="00177376"/>
    <w:rsid w:val="00177446"/>
    <w:rsid w:val="001774FF"/>
    <w:rsid w:val="0017751D"/>
    <w:rsid w:val="001775CF"/>
    <w:rsid w:val="00177635"/>
    <w:rsid w:val="0017766B"/>
    <w:rsid w:val="001776B9"/>
    <w:rsid w:val="00177723"/>
    <w:rsid w:val="001778B6"/>
    <w:rsid w:val="00177906"/>
    <w:rsid w:val="001779DB"/>
    <w:rsid w:val="001779F3"/>
    <w:rsid w:val="00177ACD"/>
    <w:rsid w:val="00177BE9"/>
    <w:rsid w:val="00177CEC"/>
    <w:rsid w:val="00177CF0"/>
    <w:rsid w:val="00177D76"/>
    <w:rsid w:val="00177D85"/>
    <w:rsid w:val="00177D8A"/>
    <w:rsid w:val="00177E0B"/>
    <w:rsid w:val="00177E17"/>
    <w:rsid w:val="00177E58"/>
    <w:rsid w:val="00177F57"/>
    <w:rsid w:val="00177FA7"/>
    <w:rsid w:val="00177FD3"/>
    <w:rsid w:val="00180000"/>
    <w:rsid w:val="001800C8"/>
    <w:rsid w:val="00180153"/>
    <w:rsid w:val="00180156"/>
    <w:rsid w:val="00180195"/>
    <w:rsid w:val="00180233"/>
    <w:rsid w:val="00180243"/>
    <w:rsid w:val="001802D1"/>
    <w:rsid w:val="00180312"/>
    <w:rsid w:val="001803DA"/>
    <w:rsid w:val="00180403"/>
    <w:rsid w:val="00180426"/>
    <w:rsid w:val="00180435"/>
    <w:rsid w:val="0018043F"/>
    <w:rsid w:val="00180529"/>
    <w:rsid w:val="0018057C"/>
    <w:rsid w:val="0018061D"/>
    <w:rsid w:val="00180626"/>
    <w:rsid w:val="00180658"/>
    <w:rsid w:val="001806BB"/>
    <w:rsid w:val="001806E6"/>
    <w:rsid w:val="001806E9"/>
    <w:rsid w:val="00180777"/>
    <w:rsid w:val="00180822"/>
    <w:rsid w:val="00180852"/>
    <w:rsid w:val="0018085A"/>
    <w:rsid w:val="001808A6"/>
    <w:rsid w:val="001808BD"/>
    <w:rsid w:val="00180941"/>
    <w:rsid w:val="00180972"/>
    <w:rsid w:val="001809B0"/>
    <w:rsid w:val="001809BC"/>
    <w:rsid w:val="001809E2"/>
    <w:rsid w:val="00180A18"/>
    <w:rsid w:val="00180A48"/>
    <w:rsid w:val="00180A52"/>
    <w:rsid w:val="00180A7B"/>
    <w:rsid w:val="00180AB4"/>
    <w:rsid w:val="00180AFA"/>
    <w:rsid w:val="00180BA0"/>
    <w:rsid w:val="00180BC2"/>
    <w:rsid w:val="00180C1B"/>
    <w:rsid w:val="00180E28"/>
    <w:rsid w:val="00180E84"/>
    <w:rsid w:val="00180EBD"/>
    <w:rsid w:val="00180F08"/>
    <w:rsid w:val="00180F4D"/>
    <w:rsid w:val="00180F8A"/>
    <w:rsid w:val="00180FB1"/>
    <w:rsid w:val="0018105D"/>
    <w:rsid w:val="001810E2"/>
    <w:rsid w:val="001810F3"/>
    <w:rsid w:val="001810FB"/>
    <w:rsid w:val="0018111D"/>
    <w:rsid w:val="00181292"/>
    <w:rsid w:val="00181299"/>
    <w:rsid w:val="00181325"/>
    <w:rsid w:val="00181337"/>
    <w:rsid w:val="00181341"/>
    <w:rsid w:val="0018135D"/>
    <w:rsid w:val="001813F1"/>
    <w:rsid w:val="001813F5"/>
    <w:rsid w:val="0018140C"/>
    <w:rsid w:val="00181557"/>
    <w:rsid w:val="00181585"/>
    <w:rsid w:val="00181612"/>
    <w:rsid w:val="0018163B"/>
    <w:rsid w:val="00181642"/>
    <w:rsid w:val="001816E6"/>
    <w:rsid w:val="0018178B"/>
    <w:rsid w:val="001817F6"/>
    <w:rsid w:val="001817FE"/>
    <w:rsid w:val="00181825"/>
    <w:rsid w:val="00181861"/>
    <w:rsid w:val="001818C3"/>
    <w:rsid w:val="001818D4"/>
    <w:rsid w:val="00181910"/>
    <w:rsid w:val="001819A1"/>
    <w:rsid w:val="001819A5"/>
    <w:rsid w:val="00181A3A"/>
    <w:rsid w:val="00181A6B"/>
    <w:rsid w:val="00181B22"/>
    <w:rsid w:val="00181B7C"/>
    <w:rsid w:val="00181C34"/>
    <w:rsid w:val="00181D50"/>
    <w:rsid w:val="00181DD6"/>
    <w:rsid w:val="00181E2E"/>
    <w:rsid w:val="00181E55"/>
    <w:rsid w:val="00181E9A"/>
    <w:rsid w:val="00181EDC"/>
    <w:rsid w:val="00181F26"/>
    <w:rsid w:val="00181F38"/>
    <w:rsid w:val="00181F6A"/>
    <w:rsid w:val="00181F8A"/>
    <w:rsid w:val="00181FE9"/>
    <w:rsid w:val="00181FF2"/>
    <w:rsid w:val="00182018"/>
    <w:rsid w:val="0018203D"/>
    <w:rsid w:val="001820BA"/>
    <w:rsid w:val="001820BC"/>
    <w:rsid w:val="00182142"/>
    <w:rsid w:val="00182189"/>
    <w:rsid w:val="0018218F"/>
    <w:rsid w:val="001821F7"/>
    <w:rsid w:val="0018224E"/>
    <w:rsid w:val="00182269"/>
    <w:rsid w:val="00182298"/>
    <w:rsid w:val="00182301"/>
    <w:rsid w:val="00182390"/>
    <w:rsid w:val="0018239B"/>
    <w:rsid w:val="001823E2"/>
    <w:rsid w:val="001823F6"/>
    <w:rsid w:val="0018248E"/>
    <w:rsid w:val="001824B2"/>
    <w:rsid w:val="00182635"/>
    <w:rsid w:val="0018264D"/>
    <w:rsid w:val="0018265C"/>
    <w:rsid w:val="0018271A"/>
    <w:rsid w:val="00182724"/>
    <w:rsid w:val="0018273A"/>
    <w:rsid w:val="00182778"/>
    <w:rsid w:val="00182858"/>
    <w:rsid w:val="001828BB"/>
    <w:rsid w:val="00182915"/>
    <w:rsid w:val="0018292F"/>
    <w:rsid w:val="001829A9"/>
    <w:rsid w:val="001829DE"/>
    <w:rsid w:val="00182A60"/>
    <w:rsid w:val="00182A93"/>
    <w:rsid w:val="00182ADB"/>
    <w:rsid w:val="00182AFA"/>
    <w:rsid w:val="00182B97"/>
    <w:rsid w:val="00182BB9"/>
    <w:rsid w:val="00182BD6"/>
    <w:rsid w:val="00182C01"/>
    <w:rsid w:val="00182C12"/>
    <w:rsid w:val="00182C4A"/>
    <w:rsid w:val="00182DBC"/>
    <w:rsid w:val="00182E38"/>
    <w:rsid w:val="00182ECD"/>
    <w:rsid w:val="00182EE3"/>
    <w:rsid w:val="00182F76"/>
    <w:rsid w:val="00182F8D"/>
    <w:rsid w:val="00183066"/>
    <w:rsid w:val="00183079"/>
    <w:rsid w:val="00183153"/>
    <w:rsid w:val="00183184"/>
    <w:rsid w:val="00183198"/>
    <w:rsid w:val="0018328B"/>
    <w:rsid w:val="001832DA"/>
    <w:rsid w:val="00183312"/>
    <w:rsid w:val="00183352"/>
    <w:rsid w:val="0018337F"/>
    <w:rsid w:val="001833FB"/>
    <w:rsid w:val="0018346D"/>
    <w:rsid w:val="001834B2"/>
    <w:rsid w:val="001834E9"/>
    <w:rsid w:val="001835F4"/>
    <w:rsid w:val="00183636"/>
    <w:rsid w:val="00183715"/>
    <w:rsid w:val="0018378A"/>
    <w:rsid w:val="00183888"/>
    <w:rsid w:val="00183921"/>
    <w:rsid w:val="00183962"/>
    <w:rsid w:val="0018396A"/>
    <w:rsid w:val="001839A8"/>
    <w:rsid w:val="00183A22"/>
    <w:rsid w:val="00183A3B"/>
    <w:rsid w:val="00183ADB"/>
    <w:rsid w:val="00183AE6"/>
    <w:rsid w:val="00183B1C"/>
    <w:rsid w:val="00183B6C"/>
    <w:rsid w:val="00183BCA"/>
    <w:rsid w:val="00183C0F"/>
    <w:rsid w:val="00183C53"/>
    <w:rsid w:val="00183CDF"/>
    <w:rsid w:val="00183DAE"/>
    <w:rsid w:val="00183EF2"/>
    <w:rsid w:val="00183FF5"/>
    <w:rsid w:val="00184008"/>
    <w:rsid w:val="0018411B"/>
    <w:rsid w:val="0018415C"/>
    <w:rsid w:val="0018416B"/>
    <w:rsid w:val="00184210"/>
    <w:rsid w:val="001842B2"/>
    <w:rsid w:val="001842F8"/>
    <w:rsid w:val="00184368"/>
    <w:rsid w:val="0018437D"/>
    <w:rsid w:val="0018438A"/>
    <w:rsid w:val="001843F1"/>
    <w:rsid w:val="001843F8"/>
    <w:rsid w:val="001844F8"/>
    <w:rsid w:val="0018453F"/>
    <w:rsid w:val="001845A2"/>
    <w:rsid w:val="00184604"/>
    <w:rsid w:val="00184663"/>
    <w:rsid w:val="001846C4"/>
    <w:rsid w:val="001846FF"/>
    <w:rsid w:val="001848AA"/>
    <w:rsid w:val="001849C0"/>
    <w:rsid w:val="001849D8"/>
    <w:rsid w:val="00184A5D"/>
    <w:rsid w:val="00184B85"/>
    <w:rsid w:val="00184C56"/>
    <w:rsid w:val="00184D6E"/>
    <w:rsid w:val="00184E1F"/>
    <w:rsid w:val="00184EA6"/>
    <w:rsid w:val="00184EC1"/>
    <w:rsid w:val="00184EFB"/>
    <w:rsid w:val="00184F8F"/>
    <w:rsid w:val="00185021"/>
    <w:rsid w:val="00185022"/>
    <w:rsid w:val="00185090"/>
    <w:rsid w:val="001850C9"/>
    <w:rsid w:val="001850F4"/>
    <w:rsid w:val="001851CB"/>
    <w:rsid w:val="001851D8"/>
    <w:rsid w:val="00185228"/>
    <w:rsid w:val="00185304"/>
    <w:rsid w:val="00185346"/>
    <w:rsid w:val="00185383"/>
    <w:rsid w:val="0018540E"/>
    <w:rsid w:val="0018546E"/>
    <w:rsid w:val="0018547E"/>
    <w:rsid w:val="0018559E"/>
    <w:rsid w:val="001855B3"/>
    <w:rsid w:val="00185617"/>
    <w:rsid w:val="00185673"/>
    <w:rsid w:val="00185681"/>
    <w:rsid w:val="001856AF"/>
    <w:rsid w:val="001856E6"/>
    <w:rsid w:val="0018574C"/>
    <w:rsid w:val="00185755"/>
    <w:rsid w:val="00185759"/>
    <w:rsid w:val="00185793"/>
    <w:rsid w:val="00185799"/>
    <w:rsid w:val="001857AF"/>
    <w:rsid w:val="001857E4"/>
    <w:rsid w:val="00185821"/>
    <w:rsid w:val="0018587C"/>
    <w:rsid w:val="0018587E"/>
    <w:rsid w:val="001858E1"/>
    <w:rsid w:val="001858E2"/>
    <w:rsid w:val="00185A03"/>
    <w:rsid w:val="00185BAE"/>
    <w:rsid w:val="00185C55"/>
    <w:rsid w:val="00185CB3"/>
    <w:rsid w:val="00185CC0"/>
    <w:rsid w:val="00185CD3"/>
    <w:rsid w:val="00185D9A"/>
    <w:rsid w:val="00185E0D"/>
    <w:rsid w:val="00185E73"/>
    <w:rsid w:val="00185E8E"/>
    <w:rsid w:val="00185EB6"/>
    <w:rsid w:val="00185EB9"/>
    <w:rsid w:val="00185EE2"/>
    <w:rsid w:val="00185F63"/>
    <w:rsid w:val="00185F71"/>
    <w:rsid w:val="00185FAF"/>
    <w:rsid w:val="00185FB8"/>
    <w:rsid w:val="00186081"/>
    <w:rsid w:val="001860A0"/>
    <w:rsid w:val="001861D0"/>
    <w:rsid w:val="0018623D"/>
    <w:rsid w:val="0018629B"/>
    <w:rsid w:val="001862BD"/>
    <w:rsid w:val="001862C0"/>
    <w:rsid w:val="001862DC"/>
    <w:rsid w:val="00186327"/>
    <w:rsid w:val="00186350"/>
    <w:rsid w:val="00186399"/>
    <w:rsid w:val="001863C0"/>
    <w:rsid w:val="001863D1"/>
    <w:rsid w:val="0018645D"/>
    <w:rsid w:val="00186463"/>
    <w:rsid w:val="001864C7"/>
    <w:rsid w:val="0018677C"/>
    <w:rsid w:val="001867B6"/>
    <w:rsid w:val="001867CA"/>
    <w:rsid w:val="001867EC"/>
    <w:rsid w:val="00186852"/>
    <w:rsid w:val="001868CB"/>
    <w:rsid w:val="001868DF"/>
    <w:rsid w:val="00186910"/>
    <w:rsid w:val="0018696E"/>
    <w:rsid w:val="00186992"/>
    <w:rsid w:val="00186997"/>
    <w:rsid w:val="00186999"/>
    <w:rsid w:val="00186A14"/>
    <w:rsid w:val="00186ADB"/>
    <w:rsid w:val="00186B54"/>
    <w:rsid w:val="00186B82"/>
    <w:rsid w:val="00186BA1"/>
    <w:rsid w:val="00186C01"/>
    <w:rsid w:val="00186CF6"/>
    <w:rsid w:val="00186D82"/>
    <w:rsid w:val="00186DCA"/>
    <w:rsid w:val="00186E07"/>
    <w:rsid w:val="00186EC8"/>
    <w:rsid w:val="00186ECF"/>
    <w:rsid w:val="00186EFD"/>
    <w:rsid w:val="00186F0D"/>
    <w:rsid w:val="00186F2E"/>
    <w:rsid w:val="00186F9E"/>
    <w:rsid w:val="00186FD1"/>
    <w:rsid w:val="001870C6"/>
    <w:rsid w:val="00187193"/>
    <w:rsid w:val="001871AB"/>
    <w:rsid w:val="0018721D"/>
    <w:rsid w:val="00187369"/>
    <w:rsid w:val="0018736D"/>
    <w:rsid w:val="0018739C"/>
    <w:rsid w:val="001873C2"/>
    <w:rsid w:val="001873E3"/>
    <w:rsid w:val="0018741B"/>
    <w:rsid w:val="00187484"/>
    <w:rsid w:val="00187492"/>
    <w:rsid w:val="00187499"/>
    <w:rsid w:val="001874DC"/>
    <w:rsid w:val="001874FC"/>
    <w:rsid w:val="0018752D"/>
    <w:rsid w:val="001875E7"/>
    <w:rsid w:val="0018763B"/>
    <w:rsid w:val="001876F7"/>
    <w:rsid w:val="00187770"/>
    <w:rsid w:val="001877C9"/>
    <w:rsid w:val="0018786D"/>
    <w:rsid w:val="001878A8"/>
    <w:rsid w:val="001878DC"/>
    <w:rsid w:val="001878F7"/>
    <w:rsid w:val="00187A9F"/>
    <w:rsid w:val="00187ABB"/>
    <w:rsid w:val="00187B3D"/>
    <w:rsid w:val="00187CBA"/>
    <w:rsid w:val="00187D8E"/>
    <w:rsid w:val="00187D90"/>
    <w:rsid w:val="00187DCF"/>
    <w:rsid w:val="00187ECE"/>
    <w:rsid w:val="00187F5D"/>
    <w:rsid w:val="00187FCA"/>
    <w:rsid w:val="00190082"/>
    <w:rsid w:val="0019010D"/>
    <w:rsid w:val="00190183"/>
    <w:rsid w:val="001901C8"/>
    <w:rsid w:val="001901DC"/>
    <w:rsid w:val="00190266"/>
    <w:rsid w:val="0019026E"/>
    <w:rsid w:val="00190292"/>
    <w:rsid w:val="001903AF"/>
    <w:rsid w:val="001903F4"/>
    <w:rsid w:val="0019041B"/>
    <w:rsid w:val="001904D1"/>
    <w:rsid w:val="00190559"/>
    <w:rsid w:val="001905D8"/>
    <w:rsid w:val="00190721"/>
    <w:rsid w:val="00190799"/>
    <w:rsid w:val="001908AD"/>
    <w:rsid w:val="001908EB"/>
    <w:rsid w:val="001908EE"/>
    <w:rsid w:val="001908FC"/>
    <w:rsid w:val="00190999"/>
    <w:rsid w:val="001909B4"/>
    <w:rsid w:val="001909D4"/>
    <w:rsid w:val="001909F2"/>
    <w:rsid w:val="00190A18"/>
    <w:rsid w:val="00190A5E"/>
    <w:rsid w:val="00190B02"/>
    <w:rsid w:val="00190B18"/>
    <w:rsid w:val="00190B23"/>
    <w:rsid w:val="00190B3A"/>
    <w:rsid w:val="00190C30"/>
    <w:rsid w:val="00190CB0"/>
    <w:rsid w:val="00190D46"/>
    <w:rsid w:val="00190D56"/>
    <w:rsid w:val="00190E50"/>
    <w:rsid w:val="00190FAC"/>
    <w:rsid w:val="00190FEE"/>
    <w:rsid w:val="00191016"/>
    <w:rsid w:val="0019104B"/>
    <w:rsid w:val="00191075"/>
    <w:rsid w:val="001910AA"/>
    <w:rsid w:val="001911D7"/>
    <w:rsid w:val="001911F3"/>
    <w:rsid w:val="001912D3"/>
    <w:rsid w:val="00191360"/>
    <w:rsid w:val="00191374"/>
    <w:rsid w:val="001913CD"/>
    <w:rsid w:val="0019141C"/>
    <w:rsid w:val="00191472"/>
    <w:rsid w:val="00191496"/>
    <w:rsid w:val="0019152B"/>
    <w:rsid w:val="001915AB"/>
    <w:rsid w:val="001915DD"/>
    <w:rsid w:val="00191608"/>
    <w:rsid w:val="00191689"/>
    <w:rsid w:val="00191710"/>
    <w:rsid w:val="001917AA"/>
    <w:rsid w:val="001917B2"/>
    <w:rsid w:val="001917D0"/>
    <w:rsid w:val="00191800"/>
    <w:rsid w:val="001918E0"/>
    <w:rsid w:val="001918E5"/>
    <w:rsid w:val="001918F2"/>
    <w:rsid w:val="00191917"/>
    <w:rsid w:val="0019194B"/>
    <w:rsid w:val="00191980"/>
    <w:rsid w:val="001919BC"/>
    <w:rsid w:val="00191A3C"/>
    <w:rsid w:val="00191AF3"/>
    <w:rsid w:val="00191B19"/>
    <w:rsid w:val="00191B7F"/>
    <w:rsid w:val="00191BE4"/>
    <w:rsid w:val="00191C0C"/>
    <w:rsid w:val="00191C6D"/>
    <w:rsid w:val="00191CBA"/>
    <w:rsid w:val="00191CF0"/>
    <w:rsid w:val="00191E06"/>
    <w:rsid w:val="00191E09"/>
    <w:rsid w:val="00191E4E"/>
    <w:rsid w:val="00191ED5"/>
    <w:rsid w:val="00191EE0"/>
    <w:rsid w:val="00191F45"/>
    <w:rsid w:val="00191F4E"/>
    <w:rsid w:val="00191FB7"/>
    <w:rsid w:val="001920D6"/>
    <w:rsid w:val="00192155"/>
    <w:rsid w:val="0019216C"/>
    <w:rsid w:val="00192185"/>
    <w:rsid w:val="001921B3"/>
    <w:rsid w:val="0019221D"/>
    <w:rsid w:val="00192228"/>
    <w:rsid w:val="001922DD"/>
    <w:rsid w:val="00192354"/>
    <w:rsid w:val="001923D0"/>
    <w:rsid w:val="00192446"/>
    <w:rsid w:val="00192481"/>
    <w:rsid w:val="001925BE"/>
    <w:rsid w:val="0019262B"/>
    <w:rsid w:val="0019273E"/>
    <w:rsid w:val="00192771"/>
    <w:rsid w:val="00192799"/>
    <w:rsid w:val="001927A8"/>
    <w:rsid w:val="001927C4"/>
    <w:rsid w:val="001927E5"/>
    <w:rsid w:val="00192812"/>
    <w:rsid w:val="0019281A"/>
    <w:rsid w:val="00192878"/>
    <w:rsid w:val="0019290D"/>
    <w:rsid w:val="00192983"/>
    <w:rsid w:val="001929C1"/>
    <w:rsid w:val="00192A1D"/>
    <w:rsid w:val="00192A25"/>
    <w:rsid w:val="00192A43"/>
    <w:rsid w:val="00192A65"/>
    <w:rsid w:val="00192A9A"/>
    <w:rsid w:val="00192AF7"/>
    <w:rsid w:val="00192B7E"/>
    <w:rsid w:val="00192BEE"/>
    <w:rsid w:val="00192BFA"/>
    <w:rsid w:val="00192C0C"/>
    <w:rsid w:val="00192C4D"/>
    <w:rsid w:val="00192D8B"/>
    <w:rsid w:val="00192DF3"/>
    <w:rsid w:val="00192EA4"/>
    <w:rsid w:val="00192F29"/>
    <w:rsid w:val="00192FA9"/>
    <w:rsid w:val="00193088"/>
    <w:rsid w:val="0019308F"/>
    <w:rsid w:val="001930AF"/>
    <w:rsid w:val="001930B6"/>
    <w:rsid w:val="001930BA"/>
    <w:rsid w:val="001930EC"/>
    <w:rsid w:val="0019314A"/>
    <w:rsid w:val="001931BD"/>
    <w:rsid w:val="001931C9"/>
    <w:rsid w:val="00193447"/>
    <w:rsid w:val="00193561"/>
    <w:rsid w:val="00193574"/>
    <w:rsid w:val="00193580"/>
    <w:rsid w:val="0019360F"/>
    <w:rsid w:val="00193633"/>
    <w:rsid w:val="00193644"/>
    <w:rsid w:val="001936A1"/>
    <w:rsid w:val="001936E6"/>
    <w:rsid w:val="001936ED"/>
    <w:rsid w:val="00193749"/>
    <w:rsid w:val="001937FD"/>
    <w:rsid w:val="00193828"/>
    <w:rsid w:val="001938A5"/>
    <w:rsid w:val="00193A21"/>
    <w:rsid w:val="00193AB3"/>
    <w:rsid w:val="00193BAC"/>
    <w:rsid w:val="00193BE2"/>
    <w:rsid w:val="00193C27"/>
    <w:rsid w:val="00193C7A"/>
    <w:rsid w:val="00193C93"/>
    <w:rsid w:val="00193CC1"/>
    <w:rsid w:val="00193D23"/>
    <w:rsid w:val="00193DEA"/>
    <w:rsid w:val="00193E5B"/>
    <w:rsid w:val="00193EE6"/>
    <w:rsid w:val="00193F39"/>
    <w:rsid w:val="00193F69"/>
    <w:rsid w:val="00194088"/>
    <w:rsid w:val="001940AF"/>
    <w:rsid w:val="0019410E"/>
    <w:rsid w:val="00194138"/>
    <w:rsid w:val="00194160"/>
    <w:rsid w:val="001941CC"/>
    <w:rsid w:val="00194213"/>
    <w:rsid w:val="0019428F"/>
    <w:rsid w:val="00194334"/>
    <w:rsid w:val="00194495"/>
    <w:rsid w:val="0019464E"/>
    <w:rsid w:val="00194690"/>
    <w:rsid w:val="001946C3"/>
    <w:rsid w:val="00194753"/>
    <w:rsid w:val="0019475C"/>
    <w:rsid w:val="00194812"/>
    <w:rsid w:val="00194886"/>
    <w:rsid w:val="00194902"/>
    <w:rsid w:val="0019490F"/>
    <w:rsid w:val="001949AB"/>
    <w:rsid w:val="001949C5"/>
    <w:rsid w:val="001949E3"/>
    <w:rsid w:val="00194A40"/>
    <w:rsid w:val="00194AB7"/>
    <w:rsid w:val="00194B41"/>
    <w:rsid w:val="00194B50"/>
    <w:rsid w:val="00194B6C"/>
    <w:rsid w:val="00194B70"/>
    <w:rsid w:val="00194BB0"/>
    <w:rsid w:val="00194BD1"/>
    <w:rsid w:val="00194BF2"/>
    <w:rsid w:val="00194BF4"/>
    <w:rsid w:val="00194C8F"/>
    <w:rsid w:val="00194CDB"/>
    <w:rsid w:val="00194CDD"/>
    <w:rsid w:val="00194D6F"/>
    <w:rsid w:val="00194D86"/>
    <w:rsid w:val="00194DBF"/>
    <w:rsid w:val="00194DCA"/>
    <w:rsid w:val="00194E64"/>
    <w:rsid w:val="00194FA4"/>
    <w:rsid w:val="001950D6"/>
    <w:rsid w:val="001950E4"/>
    <w:rsid w:val="001950EE"/>
    <w:rsid w:val="001950F2"/>
    <w:rsid w:val="001952B3"/>
    <w:rsid w:val="00195317"/>
    <w:rsid w:val="00195344"/>
    <w:rsid w:val="00195352"/>
    <w:rsid w:val="0019546C"/>
    <w:rsid w:val="001954A8"/>
    <w:rsid w:val="001954E7"/>
    <w:rsid w:val="00195542"/>
    <w:rsid w:val="0019554F"/>
    <w:rsid w:val="00195583"/>
    <w:rsid w:val="00195653"/>
    <w:rsid w:val="00195664"/>
    <w:rsid w:val="0019566A"/>
    <w:rsid w:val="0019567F"/>
    <w:rsid w:val="00195683"/>
    <w:rsid w:val="001956DB"/>
    <w:rsid w:val="001956E5"/>
    <w:rsid w:val="00195799"/>
    <w:rsid w:val="00195846"/>
    <w:rsid w:val="001958A3"/>
    <w:rsid w:val="001959B8"/>
    <w:rsid w:val="001959C1"/>
    <w:rsid w:val="001959C4"/>
    <w:rsid w:val="00195A12"/>
    <w:rsid w:val="00195A18"/>
    <w:rsid w:val="00195A38"/>
    <w:rsid w:val="00195A65"/>
    <w:rsid w:val="00195B4C"/>
    <w:rsid w:val="00195B96"/>
    <w:rsid w:val="00195B9C"/>
    <w:rsid w:val="00195BB7"/>
    <w:rsid w:val="00195BD9"/>
    <w:rsid w:val="00195C08"/>
    <w:rsid w:val="00195C79"/>
    <w:rsid w:val="00195CD3"/>
    <w:rsid w:val="00195D66"/>
    <w:rsid w:val="00195D89"/>
    <w:rsid w:val="00195D8D"/>
    <w:rsid w:val="00195D98"/>
    <w:rsid w:val="00195DA0"/>
    <w:rsid w:val="00195E29"/>
    <w:rsid w:val="00195E92"/>
    <w:rsid w:val="00195E9C"/>
    <w:rsid w:val="00195F1B"/>
    <w:rsid w:val="00195F2E"/>
    <w:rsid w:val="00195F7A"/>
    <w:rsid w:val="00195F94"/>
    <w:rsid w:val="00195FA4"/>
    <w:rsid w:val="00195FEC"/>
    <w:rsid w:val="0019603C"/>
    <w:rsid w:val="0019607D"/>
    <w:rsid w:val="001960DC"/>
    <w:rsid w:val="001961A8"/>
    <w:rsid w:val="001961B9"/>
    <w:rsid w:val="001961E6"/>
    <w:rsid w:val="00196204"/>
    <w:rsid w:val="00196233"/>
    <w:rsid w:val="00196277"/>
    <w:rsid w:val="0019627F"/>
    <w:rsid w:val="001962A2"/>
    <w:rsid w:val="0019638E"/>
    <w:rsid w:val="00196395"/>
    <w:rsid w:val="00196397"/>
    <w:rsid w:val="001963B3"/>
    <w:rsid w:val="001965E1"/>
    <w:rsid w:val="001965EE"/>
    <w:rsid w:val="001965F1"/>
    <w:rsid w:val="00196626"/>
    <w:rsid w:val="001966E6"/>
    <w:rsid w:val="00196763"/>
    <w:rsid w:val="00196802"/>
    <w:rsid w:val="0019680D"/>
    <w:rsid w:val="00196811"/>
    <w:rsid w:val="0019683E"/>
    <w:rsid w:val="0019688F"/>
    <w:rsid w:val="001968A4"/>
    <w:rsid w:val="001968D2"/>
    <w:rsid w:val="0019694D"/>
    <w:rsid w:val="00196957"/>
    <w:rsid w:val="0019697F"/>
    <w:rsid w:val="00196982"/>
    <w:rsid w:val="00196A83"/>
    <w:rsid w:val="00196A99"/>
    <w:rsid w:val="00196ACF"/>
    <w:rsid w:val="00196B4A"/>
    <w:rsid w:val="00196BEE"/>
    <w:rsid w:val="00196C90"/>
    <w:rsid w:val="00196DC8"/>
    <w:rsid w:val="00196E54"/>
    <w:rsid w:val="00196E60"/>
    <w:rsid w:val="00196E67"/>
    <w:rsid w:val="00196EAC"/>
    <w:rsid w:val="00196EDC"/>
    <w:rsid w:val="00196F0B"/>
    <w:rsid w:val="00196FD9"/>
    <w:rsid w:val="001970E8"/>
    <w:rsid w:val="001970F8"/>
    <w:rsid w:val="0019711A"/>
    <w:rsid w:val="00197185"/>
    <w:rsid w:val="001971B4"/>
    <w:rsid w:val="001971C2"/>
    <w:rsid w:val="0019731B"/>
    <w:rsid w:val="00197349"/>
    <w:rsid w:val="001973B6"/>
    <w:rsid w:val="0019747E"/>
    <w:rsid w:val="00197517"/>
    <w:rsid w:val="00197577"/>
    <w:rsid w:val="001975A9"/>
    <w:rsid w:val="0019762B"/>
    <w:rsid w:val="00197719"/>
    <w:rsid w:val="0019784E"/>
    <w:rsid w:val="001978C6"/>
    <w:rsid w:val="0019791D"/>
    <w:rsid w:val="00197957"/>
    <w:rsid w:val="001979A6"/>
    <w:rsid w:val="00197A8C"/>
    <w:rsid w:val="00197AB5"/>
    <w:rsid w:val="00197AE5"/>
    <w:rsid w:val="00197AF7"/>
    <w:rsid w:val="00197B51"/>
    <w:rsid w:val="00197BAF"/>
    <w:rsid w:val="00197BFB"/>
    <w:rsid w:val="00197C54"/>
    <w:rsid w:val="00197CB3"/>
    <w:rsid w:val="00197D23"/>
    <w:rsid w:val="00197D6D"/>
    <w:rsid w:val="00197DD4"/>
    <w:rsid w:val="00197E4C"/>
    <w:rsid w:val="00197E91"/>
    <w:rsid w:val="00197F58"/>
    <w:rsid w:val="001A0082"/>
    <w:rsid w:val="001A00D3"/>
    <w:rsid w:val="001A00E5"/>
    <w:rsid w:val="001A00F5"/>
    <w:rsid w:val="001A0152"/>
    <w:rsid w:val="001A0163"/>
    <w:rsid w:val="001A016F"/>
    <w:rsid w:val="001A0228"/>
    <w:rsid w:val="001A024A"/>
    <w:rsid w:val="001A02C5"/>
    <w:rsid w:val="001A02DC"/>
    <w:rsid w:val="001A0381"/>
    <w:rsid w:val="001A0399"/>
    <w:rsid w:val="001A039C"/>
    <w:rsid w:val="001A03B7"/>
    <w:rsid w:val="001A03E4"/>
    <w:rsid w:val="001A0419"/>
    <w:rsid w:val="001A0537"/>
    <w:rsid w:val="001A0547"/>
    <w:rsid w:val="001A05B4"/>
    <w:rsid w:val="001A05BB"/>
    <w:rsid w:val="001A05D9"/>
    <w:rsid w:val="001A05E1"/>
    <w:rsid w:val="001A069D"/>
    <w:rsid w:val="001A0787"/>
    <w:rsid w:val="001A07B8"/>
    <w:rsid w:val="001A07BF"/>
    <w:rsid w:val="001A0826"/>
    <w:rsid w:val="001A08B2"/>
    <w:rsid w:val="001A0925"/>
    <w:rsid w:val="001A0987"/>
    <w:rsid w:val="001A09A6"/>
    <w:rsid w:val="001A0A7B"/>
    <w:rsid w:val="001A0B89"/>
    <w:rsid w:val="001A0B8D"/>
    <w:rsid w:val="001A0BA9"/>
    <w:rsid w:val="001A0C4A"/>
    <w:rsid w:val="001A0C4F"/>
    <w:rsid w:val="001A0C6A"/>
    <w:rsid w:val="001A0D0A"/>
    <w:rsid w:val="001A0D30"/>
    <w:rsid w:val="001A0D62"/>
    <w:rsid w:val="001A0E56"/>
    <w:rsid w:val="001A0E5F"/>
    <w:rsid w:val="001A0E8C"/>
    <w:rsid w:val="001A0EBF"/>
    <w:rsid w:val="001A0F27"/>
    <w:rsid w:val="001A0F4E"/>
    <w:rsid w:val="001A0F95"/>
    <w:rsid w:val="001A1020"/>
    <w:rsid w:val="001A1078"/>
    <w:rsid w:val="001A10AA"/>
    <w:rsid w:val="001A10F0"/>
    <w:rsid w:val="001A10FC"/>
    <w:rsid w:val="001A112D"/>
    <w:rsid w:val="001A116E"/>
    <w:rsid w:val="001A11A9"/>
    <w:rsid w:val="001A1277"/>
    <w:rsid w:val="001A12DD"/>
    <w:rsid w:val="001A12E8"/>
    <w:rsid w:val="001A1386"/>
    <w:rsid w:val="001A1458"/>
    <w:rsid w:val="001A1472"/>
    <w:rsid w:val="001A14D0"/>
    <w:rsid w:val="001A155D"/>
    <w:rsid w:val="001A15DB"/>
    <w:rsid w:val="001A15E7"/>
    <w:rsid w:val="001A1618"/>
    <w:rsid w:val="001A16DF"/>
    <w:rsid w:val="001A16EA"/>
    <w:rsid w:val="001A1821"/>
    <w:rsid w:val="001A185F"/>
    <w:rsid w:val="001A188E"/>
    <w:rsid w:val="001A188F"/>
    <w:rsid w:val="001A1956"/>
    <w:rsid w:val="001A1962"/>
    <w:rsid w:val="001A197E"/>
    <w:rsid w:val="001A1987"/>
    <w:rsid w:val="001A1992"/>
    <w:rsid w:val="001A1A07"/>
    <w:rsid w:val="001A1A3E"/>
    <w:rsid w:val="001A1A3F"/>
    <w:rsid w:val="001A1B18"/>
    <w:rsid w:val="001A1B65"/>
    <w:rsid w:val="001A1C03"/>
    <w:rsid w:val="001A1C3A"/>
    <w:rsid w:val="001A1CC5"/>
    <w:rsid w:val="001A1CD0"/>
    <w:rsid w:val="001A1CED"/>
    <w:rsid w:val="001A1D1D"/>
    <w:rsid w:val="001A1D93"/>
    <w:rsid w:val="001A1DAE"/>
    <w:rsid w:val="001A1E17"/>
    <w:rsid w:val="001A1E7F"/>
    <w:rsid w:val="001A1EC2"/>
    <w:rsid w:val="001A1F93"/>
    <w:rsid w:val="001A1FC1"/>
    <w:rsid w:val="001A2042"/>
    <w:rsid w:val="001A2047"/>
    <w:rsid w:val="001A2061"/>
    <w:rsid w:val="001A20BF"/>
    <w:rsid w:val="001A20FB"/>
    <w:rsid w:val="001A2115"/>
    <w:rsid w:val="001A21B5"/>
    <w:rsid w:val="001A21BD"/>
    <w:rsid w:val="001A2201"/>
    <w:rsid w:val="001A2254"/>
    <w:rsid w:val="001A225F"/>
    <w:rsid w:val="001A22C7"/>
    <w:rsid w:val="001A22E2"/>
    <w:rsid w:val="001A230D"/>
    <w:rsid w:val="001A2375"/>
    <w:rsid w:val="001A240E"/>
    <w:rsid w:val="001A2454"/>
    <w:rsid w:val="001A247A"/>
    <w:rsid w:val="001A248A"/>
    <w:rsid w:val="001A2542"/>
    <w:rsid w:val="001A257D"/>
    <w:rsid w:val="001A258E"/>
    <w:rsid w:val="001A25E0"/>
    <w:rsid w:val="001A264F"/>
    <w:rsid w:val="001A26E6"/>
    <w:rsid w:val="001A2725"/>
    <w:rsid w:val="001A27AE"/>
    <w:rsid w:val="001A27E2"/>
    <w:rsid w:val="001A2857"/>
    <w:rsid w:val="001A2884"/>
    <w:rsid w:val="001A29C6"/>
    <w:rsid w:val="001A2A2E"/>
    <w:rsid w:val="001A2A63"/>
    <w:rsid w:val="001A2A81"/>
    <w:rsid w:val="001A2B13"/>
    <w:rsid w:val="001A2BDA"/>
    <w:rsid w:val="001A2D07"/>
    <w:rsid w:val="001A2D62"/>
    <w:rsid w:val="001A2D78"/>
    <w:rsid w:val="001A2E2E"/>
    <w:rsid w:val="001A2F55"/>
    <w:rsid w:val="001A308C"/>
    <w:rsid w:val="001A318B"/>
    <w:rsid w:val="001A3261"/>
    <w:rsid w:val="001A3283"/>
    <w:rsid w:val="001A328A"/>
    <w:rsid w:val="001A32D0"/>
    <w:rsid w:val="001A32F6"/>
    <w:rsid w:val="001A3329"/>
    <w:rsid w:val="001A3354"/>
    <w:rsid w:val="001A3395"/>
    <w:rsid w:val="001A3473"/>
    <w:rsid w:val="001A354A"/>
    <w:rsid w:val="001A3550"/>
    <w:rsid w:val="001A3558"/>
    <w:rsid w:val="001A35C7"/>
    <w:rsid w:val="001A35D7"/>
    <w:rsid w:val="001A3657"/>
    <w:rsid w:val="001A3692"/>
    <w:rsid w:val="001A373B"/>
    <w:rsid w:val="001A375B"/>
    <w:rsid w:val="001A378E"/>
    <w:rsid w:val="001A3798"/>
    <w:rsid w:val="001A380B"/>
    <w:rsid w:val="001A382B"/>
    <w:rsid w:val="001A39AE"/>
    <w:rsid w:val="001A3A82"/>
    <w:rsid w:val="001A3AB4"/>
    <w:rsid w:val="001A3AE2"/>
    <w:rsid w:val="001A3AED"/>
    <w:rsid w:val="001A3BEF"/>
    <w:rsid w:val="001A3C28"/>
    <w:rsid w:val="001A3C30"/>
    <w:rsid w:val="001A3C3E"/>
    <w:rsid w:val="001A3D1C"/>
    <w:rsid w:val="001A3DDD"/>
    <w:rsid w:val="001A3E7B"/>
    <w:rsid w:val="001A3FCD"/>
    <w:rsid w:val="001A3FD9"/>
    <w:rsid w:val="001A4025"/>
    <w:rsid w:val="001A4101"/>
    <w:rsid w:val="001A4142"/>
    <w:rsid w:val="001A41B4"/>
    <w:rsid w:val="001A41FD"/>
    <w:rsid w:val="001A431B"/>
    <w:rsid w:val="001A453C"/>
    <w:rsid w:val="001A4620"/>
    <w:rsid w:val="001A462B"/>
    <w:rsid w:val="001A4664"/>
    <w:rsid w:val="001A46A4"/>
    <w:rsid w:val="001A46DE"/>
    <w:rsid w:val="001A471C"/>
    <w:rsid w:val="001A4785"/>
    <w:rsid w:val="001A47A6"/>
    <w:rsid w:val="001A47C3"/>
    <w:rsid w:val="001A4923"/>
    <w:rsid w:val="001A49D2"/>
    <w:rsid w:val="001A4A82"/>
    <w:rsid w:val="001A4ABB"/>
    <w:rsid w:val="001A4B1A"/>
    <w:rsid w:val="001A4B28"/>
    <w:rsid w:val="001A4B47"/>
    <w:rsid w:val="001A4B8D"/>
    <w:rsid w:val="001A4BBB"/>
    <w:rsid w:val="001A4C3E"/>
    <w:rsid w:val="001A4C72"/>
    <w:rsid w:val="001A4CD2"/>
    <w:rsid w:val="001A4CF8"/>
    <w:rsid w:val="001A4DAC"/>
    <w:rsid w:val="001A4DE9"/>
    <w:rsid w:val="001A4E2C"/>
    <w:rsid w:val="001A4EE9"/>
    <w:rsid w:val="001A4F25"/>
    <w:rsid w:val="001A4F29"/>
    <w:rsid w:val="001A5008"/>
    <w:rsid w:val="001A5020"/>
    <w:rsid w:val="001A5034"/>
    <w:rsid w:val="001A5097"/>
    <w:rsid w:val="001A5129"/>
    <w:rsid w:val="001A515B"/>
    <w:rsid w:val="001A5177"/>
    <w:rsid w:val="001A52CB"/>
    <w:rsid w:val="001A5398"/>
    <w:rsid w:val="001A53DD"/>
    <w:rsid w:val="001A540D"/>
    <w:rsid w:val="001A5438"/>
    <w:rsid w:val="001A543D"/>
    <w:rsid w:val="001A547B"/>
    <w:rsid w:val="001A55EE"/>
    <w:rsid w:val="001A564E"/>
    <w:rsid w:val="001A56DF"/>
    <w:rsid w:val="001A5711"/>
    <w:rsid w:val="001A5760"/>
    <w:rsid w:val="001A577B"/>
    <w:rsid w:val="001A583B"/>
    <w:rsid w:val="001A58F9"/>
    <w:rsid w:val="001A5924"/>
    <w:rsid w:val="001A5933"/>
    <w:rsid w:val="001A5A39"/>
    <w:rsid w:val="001A5A42"/>
    <w:rsid w:val="001A5B94"/>
    <w:rsid w:val="001A5C1C"/>
    <w:rsid w:val="001A5C81"/>
    <w:rsid w:val="001A5CFB"/>
    <w:rsid w:val="001A5D25"/>
    <w:rsid w:val="001A5E1D"/>
    <w:rsid w:val="001A5FC2"/>
    <w:rsid w:val="001A605B"/>
    <w:rsid w:val="001A615F"/>
    <w:rsid w:val="001A626E"/>
    <w:rsid w:val="001A6378"/>
    <w:rsid w:val="001A6465"/>
    <w:rsid w:val="001A6493"/>
    <w:rsid w:val="001A64FA"/>
    <w:rsid w:val="001A6513"/>
    <w:rsid w:val="001A654E"/>
    <w:rsid w:val="001A654F"/>
    <w:rsid w:val="001A66D4"/>
    <w:rsid w:val="001A6720"/>
    <w:rsid w:val="001A67B7"/>
    <w:rsid w:val="001A6811"/>
    <w:rsid w:val="001A687A"/>
    <w:rsid w:val="001A6995"/>
    <w:rsid w:val="001A69A9"/>
    <w:rsid w:val="001A6C4A"/>
    <w:rsid w:val="001A6C6B"/>
    <w:rsid w:val="001A6CAD"/>
    <w:rsid w:val="001A6D00"/>
    <w:rsid w:val="001A6D8B"/>
    <w:rsid w:val="001A6DC9"/>
    <w:rsid w:val="001A6DFC"/>
    <w:rsid w:val="001A6E0D"/>
    <w:rsid w:val="001A6E18"/>
    <w:rsid w:val="001A6F3C"/>
    <w:rsid w:val="001A6F55"/>
    <w:rsid w:val="001A6F7F"/>
    <w:rsid w:val="001A6FE7"/>
    <w:rsid w:val="001A702F"/>
    <w:rsid w:val="001A706E"/>
    <w:rsid w:val="001A7073"/>
    <w:rsid w:val="001A70EF"/>
    <w:rsid w:val="001A710A"/>
    <w:rsid w:val="001A710C"/>
    <w:rsid w:val="001A7112"/>
    <w:rsid w:val="001A7182"/>
    <w:rsid w:val="001A71F0"/>
    <w:rsid w:val="001A7263"/>
    <w:rsid w:val="001A728C"/>
    <w:rsid w:val="001A7291"/>
    <w:rsid w:val="001A72B5"/>
    <w:rsid w:val="001A72FD"/>
    <w:rsid w:val="001A7350"/>
    <w:rsid w:val="001A7362"/>
    <w:rsid w:val="001A73FF"/>
    <w:rsid w:val="001A740D"/>
    <w:rsid w:val="001A7428"/>
    <w:rsid w:val="001A742B"/>
    <w:rsid w:val="001A74DF"/>
    <w:rsid w:val="001A75A3"/>
    <w:rsid w:val="001A75BC"/>
    <w:rsid w:val="001A75E5"/>
    <w:rsid w:val="001A7614"/>
    <w:rsid w:val="001A772C"/>
    <w:rsid w:val="001A7752"/>
    <w:rsid w:val="001A7754"/>
    <w:rsid w:val="001A7811"/>
    <w:rsid w:val="001A7821"/>
    <w:rsid w:val="001A7863"/>
    <w:rsid w:val="001A78AC"/>
    <w:rsid w:val="001A78CC"/>
    <w:rsid w:val="001A7950"/>
    <w:rsid w:val="001A79C1"/>
    <w:rsid w:val="001A7A47"/>
    <w:rsid w:val="001A7A48"/>
    <w:rsid w:val="001A7A55"/>
    <w:rsid w:val="001A7A5E"/>
    <w:rsid w:val="001A7AC5"/>
    <w:rsid w:val="001A7B00"/>
    <w:rsid w:val="001A7B26"/>
    <w:rsid w:val="001A7B34"/>
    <w:rsid w:val="001A7B4B"/>
    <w:rsid w:val="001A7B74"/>
    <w:rsid w:val="001A7C12"/>
    <w:rsid w:val="001A7DD9"/>
    <w:rsid w:val="001A7DEE"/>
    <w:rsid w:val="001A7E95"/>
    <w:rsid w:val="001A7F27"/>
    <w:rsid w:val="001A7FD3"/>
    <w:rsid w:val="001A7FF1"/>
    <w:rsid w:val="001B0059"/>
    <w:rsid w:val="001B00E6"/>
    <w:rsid w:val="001B0115"/>
    <w:rsid w:val="001B0131"/>
    <w:rsid w:val="001B02B5"/>
    <w:rsid w:val="001B02BE"/>
    <w:rsid w:val="001B03A9"/>
    <w:rsid w:val="001B045A"/>
    <w:rsid w:val="001B04BD"/>
    <w:rsid w:val="001B0569"/>
    <w:rsid w:val="001B059F"/>
    <w:rsid w:val="001B06BF"/>
    <w:rsid w:val="001B06CA"/>
    <w:rsid w:val="001B0747"/>
    <w:rsid w:val="001B075E"/>
    <w:rsid w:val="001B079D"/>
    <w:rsid w:val="001B07EE"/>
    <w:rsid w:val="001B080E"/>
    <w:rsid w:val="001B082F"/>
    <w:rsid w:val="001B0893"/>
    <w:rsid w:val="001B08B7"/>
    <w:rsid w:val="001B091E"/>
    <w:rsid w:val="001B0923"/>
    <w:rsid w:val="001B0958"/>
    <w:rsid w:val="001B095B"/>
    <w:rsid w:val="001B0977"/>
    <w:rsid w:val="001B097E"/>
    <w:rsid w:val="001B09F0"/>
    <w:rsid w:val="001B09F6"/>
    <w:rsid w:val="001B0A9F"/>
    <w:rsid w:val="001B0B1D"/>
    <w:rsid w:val="001B0BF6"/>
    <w:rsid w:val="001B0D65"/>
    <w:rsid w:val="001B0DF8"/>
    <w:rsid w:val="001B0E3E"/>
    <w:rsid w:val="001B0F3F"/>
    <w:rsid w:val="001B0FED"/>
    <w:rsid w:val="001B1046"/>
    <w:rsid w:val="001B1147"/>
    <w:rsid w:val="001B11A4"/>
    <w:rsid w:val="001B11A7"/>
    <w:rsid w:val="001B1211"/>
    <w:rsid w:val="001B1212"/>
    <w:rsid w:val="001B1218"/>
    <w:rsid w:val="001B1220"/>
    <w:rsid w:val="001B1258"/>
    <w:rsid w:val="001B1332"/>
    <w:rsid w:val="001B1338"/>
    <w:rsid w:val="001B139E"/>
    <w:rsid w:val="001B1402"/>
    <w:rsid w:val="001B1498"/>
    <w:rsid w:val="001B14A6"/>
    <w:rsid w:val="001B159C"/>
    <w:rsid w:val="001B15B0"/>
    <w:rsid w:val="001B1612"/>
    <w:rsid w:val="001B1752"/>
    <w:rsid w:val="001B175D"/>
    <w:rsid w:val="001B176D"/>
    <w:rsid w:val="001B1A2C"/>
    <w:rsid w:val="001B1A3B"/>
    <w:rsid w:val="001B1AF6"/>
    <w:rsid w:val="001B1AFB"/>
    <w:rsid w:val="001B1B04"/>
    <w:rsid w:val="001B1B3D"/>
    <w:rsid w:val="001B1B95"/>
    <w:rsid w:val="001B1C9D"/>
    <w:rsid w:val="001B1CB4"/>
    <w:rsid w:val="001B1D18"/>
    <w:rsid w:val="001B1DDA"/>
    <w:rsid w:val="001B1ED3"/>
    <w:rsid w:val="001B1F5A"/>
    <w:rsid w:val="001B1F84"/>
    <w:rsid w:val="001B1F86"/>
    <w:rsid w:val="001B1F8F"/>
    <w:rsid w:val="001B1FD3"/>
    <w:rsid w:val="001B206C"/>
    <w:rsid w:val="001B209A"/>
    <w:rsid w:val="001B209C"/>
    <w:rsid w:val="001B213E"/>
    <w:rsid w:val="001B215C"/>
    <w:rsid w:val="001B2166"/>
    <w:rsid w:val="001B2219"/>
    <w:rsid w:val="001B224F"/>
    <w:rsid w:val="001B225E"/>
    <w:rsid w:val="001B22CD"/>
    <w:rsid w:val="001B238D"/>
    <w:rsid w:val="001B23DD"/>
    <w:rsid w:val="001B2427"/>
    <w:rsid w:val="001B24A4"/>
    <w:rsid w:val="001B24E0"/>
    <w:rsid w:val="001B253E"/>
    <w:rsid w:val="001B25A2"/>
    <w:rsid w:val="001B267D"/>
    <w:rsid w:val="001B26D1"/>
    <w:rsid w:val="001B26E8"/>
    <w:rsid w:val="001B271E"/>
    <w:rsid w:val="001B274A"/>
    <w:rsid w:val="001B27F4"/>
    <w:rsid w:val="001B281E"/>
    <w:rsid w:val="001B2827"/>
    <w:rsid w:val="001B2871"/>
    <w:rsid w:val="001B2937"/>
    <w:rsid w:val="001B298C"/>
    <w:rsid w:val="001B29A6"/>
    <w:rsid w:val="001B29E5"/>
    <w:rsid w:val="001B29FE"/>
    <w:rsid w:val="001B2A05"/>
    <w:rsid w:val="001B2A49"/>
    <w:rsid w:val="001B2ACA"/>
    <w:rsid w:val="001B2B11"/>
    <w:rsid w:val="001B2B1E"/>
    <w:rsid w:val="001B2B77"/>
    <w:rsid w:val="001B2BBA"/>
    <w:rsid w:val="001B2BCD"/>
    <w:rsid w:val="001B2BE0"/>
    <w:rsid w:val="001B2C7A"/>
    <w:rsid w:val="001B2C86"/>
    <w:rsid w:val="001B2DD6"/>
    <w:rsid w:val="001B2E3B"/>
    <w:rsid w:val="001B2E41"/>
    <w:rsid w:val="001B2E94"/>
    <w:rsid w:val="001B2EC3"/>
    <w:rsid w:val="001B2F51"/>
    <w:rsid w:val="001B2F8C"/>
    <w:rsid w:val="001B2F8F"/>
    <w:rsid w:val="001B2F9E"/>
    <w:rsid w:val="001B309A"/>
    <w:rsid w:val="001B3109"/>
    <w:rsid w:val="001B311A"/>
    <w:rsid w:val="001B3146"/>
    <w:rsid w:val="001B31C2"/>
    <w:rsid w:val="001B31FB"/>
    <w:rsid w:val="001B3263"/>
    <w:rsid w:val="001B3284"/>
    <w:rsid w:val="001B334A"/>
    <w:rsid w:val="001B3374"/>
    <w:rsid w:val="001B340C"/>
    <w:rsid w:val="001B345F"/>
    <w:rsid w:val="001B34E1"/>
    <w:rsid w:val="001B34F9"/>
    <w:rsid w:val="001B354B"/>
    <w:rsid w:val="001B3552"/>
    <w:rsid w:val="001B35B0"/>
    <w:rsid w:val="001B3709"/>
    <w:rsid w:val="001B3741"/>
    <w:rsid w:val="001B3761"/>
    <w:rsid w:val="001B37D0"/>
    <w:rsid w:val="001B3828"/>
    <w:rsid w:val="001B3845"/>
    <w:rsid w:val="001B38F1"/>
    <w:rsid w:val="001B3941"/>
    <w:rsid w:val="001B39F4"/>
    <w:rsid w:val="001B3AF0"/>
    <w:rsid w:val="001B3AFE"/>
    <w:rsid w:val="001B3B26"/>
    <w:rsid w:val="001B3B79"/>
    <w:rsid w:val="001B3BD0"/>
    <w:rsid w:val="001B3C45"/>
    <w:rsid w:val="001B3CB3"/>
    <w:rsid w:val="001B3CB5"/>
    <w:rsid w:val="001B3D6F"/>
    <w:rsid w:val="001B3D9A"/>
    <w:rsid w:val="001B3D9B"/>
    <w:rsid w:val="001B3E0E"/>
    <w:rsid w:val="001B3EBB"/>
    <w:rsid w:val="001B3EC9"/>
    <w:rsid w:val="001B3ECF"/>
    <w:rsid w:val="001B3F01"/>
    <w:rsid w:val="001B3F3D"/>
    <w:rsid w:val="001B3F8D"/>
    <w:rsid w:val="001B3FB6"/>
    <w:rsid w:val="001B3FEC"/>
    <w:rsid w:val="001B4092"/>
    <w:rsid w:val="001B4126"/>
    <w:rsid w:val="001B4134"/>
    <w:rsid w:val="001B41D1"/>
    <w:rsid w:val="001B41F4"/>
    <w:rsid w:val="001B41F7"/>
    <w:rsid w:val="001B41F9"/>
    <w:rsid w:val="001B4216"/>
    <w:rsid w:val="001B4238"/>
    <w:rsid w:val="001B4245"/>
    <w:rsid w:val="001B42A2"/>
    <w:rsid w:val="001B42BC"/>
    <w:rsid w:val="001B4374"/>
    <w:rsid w:val="001B4376"/>
    <w:rsid w:val="001B44FB"/>
    <w:rsid w:val="001B450E"/>
    <w:rsid w:val="001B4531"/>
    <w:rsid w:val="001B4570"/>
    <w:rsid w:val="001B458D"/>
    <w:rsid w:val="001B467F"/>
    <w:rsid w:val="001B46B8"/>
    <w:rsid w:val="001B46FA"/>
    <w:rsid w:val="001B4767"/>
    <w:rsid w:val="001B4799"/>
    <w:rsid w:val="001B47EC"/>
    <w:rsid w:val="001B4835"/>
    <w:rsid w:val="001B48AD"/>
    <w:rsid w:val="001B48FE"/>
    <w:rsid w:val="001B4939"/>
    <w:rsid w:val="001B49AD"/>
    <w:rsid w:val="001B4A5F"/>
    <w:rsid w:val="001B4A91"/>
    <w:rsid w:val="001B4AA4"/>
    <w:rsid w:val="001B4B31"/>
    <w:rsid w:val="001B4B9A"/>
    <w:rsid w:val="001B4BD9"/>
    <w:rsid w:val="001B4C83"/>
    <w:rsid w:val="001B4CF7"/>
    <w:rsid w:val="001B4D74"/>
    <w:rsid w:val="001B4EBB"/>
    <w:rsid w:val="001B4ED4"/>
    <w:rsid w:val="001B4F2C"/>
    <w:rsid w:val="001B4F54"/>
    <w:rsid w:val="001B500C"/>
    <w:rsid w:val="001B5024"/>
    <w:rsid w:val="001B50A4"/>
    <w:rsid w:val="001B51A7"/>
    <w:rsid w:val="001B52AE"/>
    <w:rsid w:val="001B52B0"/>
    <w:rsid w:val="001B52C1"/>
    <w:rsid w:val="001B5389"/>
    <w:rsid w:val="001B53B1"/>
    <w:rsid w:val="001B53C2"/>
    <w:rsid w:val="001B5401"/>
    <w:rsid w:val="001B5447"/>
    <w:rsid w:val="001B555A"/>
    <w:rsid w:val="001B558F"/>
    <w:rsid w:val="001B55D8"/>
    <w:rsid w:val="001B5620"/>
    <w:rsid w:val="001B5747"/>
    <w:rsid w:val="001B5761"/>
    <w:rsid w:val="001B57DD"/>
    <w:rsid w:val="001B57DE"/>
    <w:rsid w:val="001B57EF"/>
    <w:rsid w:val="001B5810"/>
    <w:rsid w:val="001B5815"/>
    <w:rsid w:val="001B58B7"/>
    <w:rsid w:val="001B58F2"/>
    <w:rsid w:val="001B5951"/>
    <w:rsid w:val="001B599C"/>
    <w:rsid w:val="001B59D4"/>
    <w:rsid w:val="001B5A15"/>
    <w:rsid w:val="001B5ACF"/>
    <w:rsid w:val="001B5AD8"/>
    <w:rsid w:val="001B5B1C"/>
    <w:rsid w:val="001B5B1D"/>
    <w:rsid w:val="001B5B83"/>
    <w:rsid w:val="001B5C1F"/>
    <w:rsid w:val="001B5CC8"/>
    <w:rsid w:val="001B5CDA"/>
    <w:rsid w:val="001B5CF8"/>
    <w:rsid w:val="001B5D2C"/>
    <w:rsid w:val="001B5D4A"/>
    <w:rsid w:val="001B5DA3"/>
    <w:rsid w:val="001B5DF9"/>
    <w:rsid w:val="001B5E6D"/>
    <w:rsid w:val="001B5EE2"/>
    <w:rsid w:val="001B5F8D"/>
    <w:rsid w:val="001B5FE4"/>
    <w:rsid w:val="001B609F"/>
    <w:rsid w:val="001B60AC"/>
    <w:rsid w:val="001B6111"/>
    <w:rsid w:val="001B6202"/>
    <w:rsid w:val="001B620E"/>
    <w:rsid w:val="001B6221"/>
    <w:rsid w:val="001B623C"/>
    <w:rsid w:val="001B62CB"/>
    <w:rsid w:val="001B62CF"/>
    <w:rsid w:val="001B630F"/>
    <w:rsid w:val="001B6313"/>
    <w:rsid w:val="001B6350"/>
    <w:rsid w:val="001B6354"/>
    <w:rsid w:val="001B6398"/>
    <w:rsid w:val="001B63B8"/>
    <w:rsid w:val="001B63E1"/>
    <w:rsid w:val="001B640F"/>
    <w:rsid w:val="001B6427"/>
    <w:rsid w:val="001B645A"/>
    <w:rsid w:val="001B6473"/>
    <w:rsid w:val="001B64AC"/>
    <w:rsid w:val="001B64BA"/>
    <w:rsid w:val="001B64F6"/>
    <w:rsid w:val="001B6507"/>
    <w:rsid w:val="001B6542"/>
    <w:rsid w:val="001B65FA"/>
    <w:rsid w:val="001B66B1"/>
    <w:rsid w:val="001B66BB"/>
    <w:rsid w:val="001B67CA"/>
    <w:rsid w:val="001B683A"/>
    <w:rsid w:val="001B687F"/>
    <w:rsid w:val="001B69D3"/>
    <w:rsid w:val="001B6A1D"/>
    <w:rsid w:val="001B6A37"/>
    <w:rsid w:val="001B6B06"/>
    <w:rsid w:val="001B6BAE"/>
    <w:rsid w:val="001B6C57"/>
    <w:rsid w:val="001B6C6B"/>
    <w:rsid w:val="001B6CA8"/>
    <w:rsid w:val="001B6D05"/>
    <w:rsid w:val="001B6D36"/>
    <w:rsid w:val="001B6D3C"/>
    <w:rsid w:val="001B6D5A"/>
    <w:rsid w:val="001B6D95"/>
    <w:rsid w:val="001B6DA2"/>
    <w:rsid w:val="001B6EE0"/>
    <w:rsid w:val="001B6EFD"/>
    <w:rsid w:val="001B6F8F"/>
    <w:rsid w:val="001B6FA9"/>
    <w:rsid w:val="001B7037"/>
    <w:rsid w:val="001B7076"/>
    <w:rsid w:val="001B70AA"/>
    <w:rsid w:val="001B70C8"/>
    <w:rsid w:val="001B71DB"/>
    <w:rsid w:val="001B7230"/>
    <w:rsid w:val="001B72BF"/>
    <w:rsid w:val="001B730E"/>
    <w:rsid w:val="001B73BD"/>
    <w:rsid w:val="001B73BE"/>
    <w:rsid w:val="001B7449"/>
    <w:rsid w:val="001B752B"/>
    <w:rsid w:val="001B7565"/>
    <w:rsid w:val="001B757E"/>
    <w:rsid w:val="001B75DE"/>
    <w:rsid w:val="001B75EA"/>
    <w:rsid w:val="001B7651"/>
    <w:rsid w:val="001B769E"/>
    <w:rsid w:val="001B76C3"/>
    <w:rsid w:val="001B76F1"/>
    <w:rsid w:val="001B7700"/>
    <w:rsid w:val="001B7702"/>
    <w:rsid w:val="001B774E"/>
    <w:rsid w:val="001B77BE"/>
    <w:rsid w:val="001B7837"/>
    <w:rsid w:val="001B789D"/>
    <w:rsid w:val="001B78DA"/>
    <w:rsid w:val="001B7926"/>
    <w:rsid w:val="001B7939"/>
    <w:rsid w:val="001B7942"/>
    <w:rsid w:val="001B7A11"/>
    <w:rsid w:val="001B7B15"/>
    <w:rsid w:val="001B7C00"/>
    <w:rsid w:val="001B7C12"/>
    <w:rsid w:val="001B7C2E"/>
    <w:rsid w:val="001B7CA7"/>
    <w:rsid w:val="001B7CE0"/>
    <w:rsid w:val="001B7D4B"/>
    <w:rsid w:val="001B7D64"/>
    <w:rsid w:val="001B7DA1"/>
    <w:rsid w:val="001B7DCB"/>
    <w:rsid w:val="001B7DF7"/>
    <w:rsid w:val="001B7DFD"/>
    <w:rsid w:val="001B7E03"/>
    <w:rsid w:val="001B7E85"/>
    <w:rsid w:val="001B7F4D"/>
    <w:rsid w:val="001B7FEE"/>
    <w:rsid w:val="001C00C7"/>
    <w:rsid w:val="001C0133"/>
    <w:rsid w:val="001C0140"/>
    <w:rsid w:val="001C0182"/>
    <w:rsid w:val="001C019C"/>
    <w:rsid w:val="001C01D5"/>
    <w:rsid w:val="001C0214"/>
    <w:rsid w:val="001C0287"/>
    <w:rsid w:val="001C030F"/>
    <w:rsid w:val="001C031A"/>
    <w:rsid w:val="001C0342"/>
    <w:rsid w:val="001C036A"/>
    <w:rsid w:val="001C04CA"/>
    <w:rsid w:val="001C0561"/>
    <w:rsid w:val="001C062B"/>
    <w:rsid w:val="001C0646"/>
    <w:rsid w:val="001C065E"/>
    <w:rsid w:val="001C0667"/>
    <w:rsid w:val="001C06BB"/>
    <w:rsid w:val="001C06CB"/>
    <w:rsid w:val="001C06FA"/>
    <w:rsid w:val="001C072E"/>
    <w:rsid w:val="001C084B"/>
    <w:rsid w:val="001C0869"/>
    <w:rsid w:val="001C089E"/>
    <w:rsid w:val="001C096B"/>
    <w:rsid w:val="001C0A27"/>
    <w:rsid w:val="001C0A69"/>
    <w:rsid w:val="001C0A85"/>
    <w:rsid w:val="001C0ACE"/>
    <w:rsid w:val="001C0AFB"/>
    <w:rsid w:val="001C0B8F"/>
    <w:rsid w:val="001C0BE3"/>
    <w:rsid w:val="001C0CF0"/>
    <w:rsid w:val="001C0D1E"/>
    <w:rsid w:val="001C0D2A"/>
    <w:rsid w:val="001C0D55"/>
    <w:rsid w:val="001C0E40"/>
    <w:rsid w:val="001C0EB4"/>
    <w:rsid w:val="001C0ECC"/>
    <w:rsid w:val="001C0FA8"/>
    <w:rsid w:val="001C0FC4"/>
    <w:rsid w:val="001C1019"/>
    <w:rsid w:val="001C1083"/>
    <w:rsid w:val="001C10A4"/>
    <w:rsid w:val="001C1191"/>
    <w:rsid w:val="001C11AD"/>
    <w:rsid w:val="001C11F5"/>
    <w:rsid w:val="001C125D"/>
    <w:rsid w:val="001C12AB"/>
    <w:rsid w:val="001C13B0"/>
    <w:rsid w:val="001C13F6"/>
    <w:rsid w:val="001C1502"/>
    <w:rsid w:val="001C1534"/>
    <w:rsid w:val="001C15C3"/>
    <w:rsid w:val="001C15C5"/>
    <w:rsid w:val="001C160D"/>
    <w:rsid w:val="001C162B"/>
    <w:rsid w:val="001C1679"/>
    <w:rsid w:val="001C1691"/>
    <w:rsid w:val="001C16A4"/>
    <w:rsid w:val="001C16B8"/>
    <w:rsid w:val="001C175A"/>
    <w:rsid w:val="001C177C"/>
    <w:rsid w:val="001C17BD"/>
    <w:rsid w:val="001C17F5"/>
    <w:rsid w:val="001C1801"/>
    <w:rsid w:val="001C1934"/>
    <w:rsid w:val="001C1969"/>
    <w:rsid w:val="001C198E"/>
    <w:rsid w:val="001C1996"/>
    <w:rsid w:val="001C1A38"/>
    <w:rsid w:val="001C1A60"/>
    <w:rsid w:val="001C1B29"/>
    <w:rsid w:val="001C1B84"/>
    <w:rsid w:val="001C1BA2"/>
    <w:rsid w:val="001C1C36"/>
    <w:rsid w:val="001C1C69"/>
    <w:rsid w:val="001C1D1D"/>
    <w:rsid w:val="001C1D4C"/>
    <w:rsid w:val="001C1DCC"/>
    <w:rsid w:val="001C1F4A"/>
    <w:rsid w:val="001C1F7F"/>
    <w:rsid w:val="001C1FA5"/>
    <w:rsid w:val="001C1FB3"/>
    <w:rsid w:val="001C2009"/>
    <w:rsid w:val="001C2040"/>
    <w:rsid w:val="001C2054"/>
    <w:rsid w:val="001C2085"/>
    <w:rsid w:val="001C20A6"/>
    <w:rsid w:val="001C2142"/>
    <w:rsid w:val="001C2160"/>
    <w:rsid w:val="001C2183"/>
    <w:rsid w:val="001C219C"/>
    <w:rsid w:val="001C21AB"/>
    <w:rsid w:val="001C2255"/>
    <w:rsid w:val="001C226B"/>
    <w:rsid w:val="001C22C2"/>
    <w:rsid w:val="001C22D9"/>
    <w:rsid w:val="001C2345"/>
    <w:rsid w:val="001C2349"/>
    <w:rsid w:val="001C2418"/>
    <w:rsid w:val="001C2424"/>
    <w:rsid w:val="001C2482"/>
    <w:rsid w:val="001C248A"/>
    <w:rsid w:val="001C24A2"/>
    <w:rsid w:val="001C24FB"/>
    <w:rsid w:val="001C250D"/>
    <w:rsid w:val="001C25EC"/>
    <w:rsid w:val="001C2658"/>
    <w:rsid w:val="001C268B"/>
    <w:rsid w:val="001C26C9"/>
    <w:rsid w:val="001C26FC"/>
    <w:rsid w:val="001C2747"/>
    <w:rsid w:val="001C277E"/>
    <w:rsid w:val="001C27F5"/>
    <w:rsid w:val="001C286E"/>
    <w:rsid w:val="001C289C"/>
    <w:rsid w:val="001C28F3"/>
    <w:rsid w:val="001C290C"/>
    <w:rsid w:val="001C29D4"/>
    <w:rsid w:val="001C2A35"/>
    <w:rsid w:val="001C2AB8"/>
    <w:rsid w:val="001C2AF2"/>
    <w:rsid w:val="001C2B04"/>
    <w:rsid w:val="001C2B18"/>
    <w:rsid w:val="001C2B2C"/>
    <w:rsid w:val="001C2B6C"/>
    <w:rsid w:val="001C2C40"/>
    <w:rsid w:val="001C2DCD"/>
    <w:rsid w:val="001C2EB7"/>
    <w:rsid w:val="001C2EC3"/>
    <w:rsid w:val="001C2EEE"/>
    <w:rsid w:val="001C2F50"/>
    <w:rsid w:val="001C2F93"/>
    <w:rsid w:val="001C3082"/>
    <w:rsid w:val="001C30B5"/>
    <w:rsid w:val="001C30C4"/>
    <w:rsid w:val="001C3152"/>
    <w:rsid w:val="001C31B5"/>
    <w:rsid w:val="001C31BD"/>
    <w:rsid w:val="001C31D3"/>
    <w:rsid w:val="001C31EC"/>
    <w:rsid w:val="001C31F6"/>
    <w:rsid w:val="001C3214"/>
    <w:rsid w:val="001C325F"/>
    <w:rsid w:val="001C3262"/>
    <w:rsid w:val="001C32CA"/>
    <w:rsid w:val="001C3302"/>
    <w:rsid w:val="001C3366"/>
    <w:rsid w:val="001C33CC"/>
    <w:rsid w:val="001C33DB"/>
    <w:rsid w:val="001C33E2"/>
    <w:rsid w:val="001C33EB"/>
    <w:rsid w:val="001C34AA"/>
    <w:rsid w:val="001C34C4"/>
    <w:rsid w:val="001C34E9"/>
    <w:rsid w:val="001C34FC"/>
    <w:rsid w:val="001C3528"/>
    <w:rsid w:val="001C35BB"/>
    <w:rsid w:val="001C35CD"/>
    <w:rsid w:val="001C36A3"/>
    <w:rsid w:val="001C36D5"/>
    <w:rsid w:val="001C37F3"/>
    <w:rsid w:val="001C389A"/>
    <w:rsid w:val="001C38D9"/>
    <w:rsid w:val="001C394E"/>
    <w:rsid w:val="001C3975"/>
    <w:rsid w:val="001C3996"/>
    <w:rsid w:val="001C39B4"/>
    <w:rsid w:val="001C3A02"/>
    <w:rsid w:val="001C3A0A"/>
    <w:rsid w:val="001C3A73"/>
    <w:rsid w:val="001C3A94"/>
    <w:rsid w:val="001C3A97"/>
    <w:rsid w:val="001C3AB8"/>
    <w:rsid w:val="001C3ABA"/>
    <w:rsid w:val="001C3B26"/>
    <w:rsid w:val="001C3BCA"/>
    <w:rsid w:val="001C3C20"/>
    <w:rsid w:val="001C3CFD"/>
    <w:rsid w:val="001C3E3B"/>
    <w:rsid w:val="001C3E46"/>
    <w:rsid w:val="001C3E52"/>
    <w:rsid w:val="001C3E7C"/>
    <w:rsid w:val="001C3F04"/>
    <w:rsid w:val="001C3F92"/>
    <w:rsid w:val="001C3F98"/>
    <w:rsid w:val="001C4041"/>
    <w:rsid w:val="001C4045"/>
    <w:rsid w:val="001C4062"/>
    <w:rsid w:val="001C41C6"/>
    <w:rsid w:val="001C4335"/>
    <w:rsid w:val="001C4398"/>
    <w:rsid w:val="001C4420"/>
    <w:rsid w:val="001C4445"/>
    <w:rsid w:val="001C44BA"/>
    <w:rsid w:val="001C44D6"/>
    <w:rsid w:val="001C44DC"/>
    <w:rsid w:val="001C44EC"/>
    <w:rsid w:val="001C4555"/>
    <w:rsid w:val="001C456F"/>
    <w:rsid w:val="001C45CB"/>
    <w:rsid w:val="001C4610"/>
    <w:rsid w:val="001C46B9"/>
    <w:rsid w:val="001C47B1"/>
    <w:rsid w:val="001C47BB"/>
    <w:rsid w:val="001C47CA"/>
    <w:rsid w:val="001C47E0"/>
    <w:rsid w:val="001C485F"/>
    <w:rsid w:val="001C4887"/>
    <w:rsid w:val="001C4917"/>
    <w:rsid w:val="001C4927"/>
    <w:rsid w:val="001C495A"/>
    <w:rsid w:val="001C4987"/>
    <w:rsid w:val="001C49DE"/>
    <w:rsid w:val="001C4A5A"/>
    <w:rsid w:val="001C4AA6"/>
    <w:rsid w:val="001C4AE4"/>
    <w:rsid w:val="001C4B42"/>
    <w:rsid w:val="001C4C01"/>
    <w:rsid w:val="001C4D2F"/>
    <w:rsid w:val="001C4D59"/>
    <w:rsid w:val="001C4D6A"/>
    <w:rsid w:val="001C4D78"/>
    <w:rsid w:val="001C4D8A"/>
    <w:rsid w:val="001C4D8D"/>
    <w:rsid w:val="001C4E0F"/>
    <w:rsid w:val="001C4E9B"/>
    <w:rsid w:val="001C4EF7"/>
    <w:rsid w:val="001C4F29"/>
    <w:rsid w:val="001C4F37"/>
    <w:rsid w:val="001C4F38"/>
    <w:rsid w:val="001C4F83"/>
    <w:rsid w:val="001C4F88"/>
    <w:rsid w:val="001C4FA7"/>
    <w:rsid w:val="001C4FF3"/>
    <w:rsid w:val="001C5039"/>
    <w:rsid w:val="001C510C"/>
    <w:rsid w:val="001C51C1"/>
    <w:rsid w:val="001C51FC"/>
    <w:rsid w:val="001C52B9"/>
    <w:rsid w:val="001C52CE"/>
    <w:rsid w:val="001C536D"/>
    <w:rsid w:val="001C5409"/>
    <w:rsid w:val="001C5419"/>
    <w:rsid w:val="001C544A"/>
    <w:rsid w:val="001C5457"/>
    <w:rsid w:val="001C547D"/>
    <w:rsid w:val="001C5520"/>
    <w:rsid w:val="001C557C"/>
    <w:rsid w:val="001C55A6"/>
    <w:rsid w:val="001C562F"/>
    <w:rsid w:val="001C567F"/>
    <w:rsid w:val="001C56B6"/>
    <w:rsid w:val="001C570A"/>
    <w:rsid w:val="001C576B"/>
    <w:rsid w:val="001C581B"/>
    <w:rsid w:val="001C582B"/>
    <w:rsid w:val="001C5851"/>
    <w:rsid w:val="001C5861"/>
    <w:rsid w:val="001C58E5"/>
    <w:rsid w:val="001C590D"/>
    <w:rsid w:val="001C59E8"/>
    <w:rsid w:val="001C5AC5"/>
    <w:rsid w:val="001C5BB2"/>
    <w:rsid w:val="001C5C8B"/>
    <w:rsid w:val="001C5DB5"/>
    <w:rsid w:val="001C5DBA"/>
    <w:rsid w:val="001C5E1A"/>
    <w:rsid w:val="001C5E4F"/>
    <w:rsid w:val="001C5EA2"/>
    <w:rsid w:val="001C5FA4"/>
    <w:rsid w:val="001C5FB2"/>
    <w:rsid w:val="001C5FDD"/>
    <w:rsid w:val="001C6004"/>
    <w:rsid w:val="001C609A"/>
    <w:rsid w:val="001C6148"/>
    <w:rsid w:val="001C61F7"/>
    <w:rsid w:val="001C622C"/>
    <w:rsid w:val="001C6307"/>
    <w:rsid w:val="001C6315"/>
    <w:rsid w:val="001C6339"/>
    <w:rsid w:val="001C6379"/>
    <w:rsid w:val="001C63D1"/>
    <w:rsid w:val="001C64FF"/>
    <w:rsid w:val="001C654C"/>
    <w:rsid w:val="001C6567"/>
    <w:rsid w:val="001C6668"/>
    <w:rsid w:val="001C66A7"/>
    <w:rsid w:val="001C6815"/>
    <w:rsid w:val="001C682B"/>
    <w:rsid w:val="001C6838"/>
    <w:rsid w:val="001C6886"/>
    <w:rsid w:val="001C68EE"/>
    <w:rsid w:val="001C69C9"/>
    <w:rsid w:val="001C69D2"/>
    <w:rsid w:val="001C69DA"/>
    <w:rsid w:val="001C6AD9"/>
    <w:rsid w:val="001C6BA9"/>
    <w:rsid w:val="001C6BCD"/>
    <w:rsid w:val="001C6BD4"/>
    <w:rsid w:val="001C6BD8"/>
    <w:rsid w:val="001C6C33"/>
    <w:rsid w:val="001C6C61"/>
    <w:rsid w:val="001C6C76"/>
    <w:rsid w:val="001C6CC3"/>
    <w:rsid w:val="001C6CC5"/>
    <w:rsid w:val="001C6CCB"/>
    <w:rsid w:val="001C6D0B"/>
    <w:rsid w:val="001C6D2C"/>
    <w:rsid w:val="001C6D42"/>
    <w:rsid w:val="001C6E03"/>
    <w:rsid w:val="001C6E5F"/>
    <w:rsid w:val="001C6F0E"/>
    <w:rsid w:val="001C6F86"/>
    <w:rsid w:val="001C6FDB"/>
    <w:rsid w:val="001C705D"/>
    <w:rsid w:val="001C7087"/>
    <w:rsid w:val="001C711D"/>
    <w:rsid w:val="001C716F"/>
    <w:rsid w:val="001C7177"/>
    <w:rsid w:val="001C71A5"/>
    <w:rsid w:val="001C7220"/>
    <w:rsid w:val="001C7227"/>
    <w:rsid w:val="001C7284"/>
    <w:rsid w:val="001C72F0"/>
    <w:rsid w:val="001C739A"/>
    <w:rsid w:val="001C73EF"/>
    <w:rsid w:val="001C7463"/>
    <w:rsid w:val="001C7475"/>
    <w:rsid w:val="001C74B3"/>
    <w:rsid w:val="001C7520"/>
    <w:rsid w:val="001C754E"/>
    <w:rsid w:val="001C7621"/>
    <w:rsid w:val="001C764A"/>
    <w:rsid w:val="001C76D5"/>
    <w:rsid w:val="001C76DC"/>
    <w:rsid w:val="001C7760"/>
    <w:rsid w:val="001C7771"/>
    <w:rsid w:val="001C777D"/>
    <w:rsid w:val="001C77EA"/>
    <w:rsid w:val="001C78DF"/>
    <w:rsid w:val="001C7944"/>
    <w:rsid w:val="001C79B4"/>
    <w:rsid w:val="001C7A03"/>
    <w:rsid w:val="001C7A0E"/>
    <w:rsid w:val="001C7ACD"/>
    <w:rsid w:val="001C7B5E"/>
    <w:rsid w:val="001C7BA8"/>
    <w:rsid w:val="001C7BFD"/>
    <w:rsid w:val="001C7C1A"/>
    <w:rsid w:val="001C7C2B"/>
    <w:rsid w:val="001C7C74"/>
    <w:rsid w:val="001C7C7E"/>
    <w:rsid w:val="001C7D0E"/>
    <w:rsid w:val="001C7D25"/>
    <w:rsid w:val="001C7D3E"/>
    <w:rsid w:val="001C7DC2"/>
    <w:rsid w:val="001C7E50"/>
    <w:rsid w:val="001C7E78"/>
    <w:rsid w:val="001C7E9C"/>
    <w:rsid w:val="001C7EC5"/>
    <w:rsid w:val="001C7F18"/>
    <w:rsid w:val="001D001E"/>
    <w:rsid w:val="001D0087"/>
    <w:rsid w:val="001D0111"/>
    <w:rsid w:val="001D0114"/>
    <w:rsid w:val="001D01F1"/>
    <w:rsid w:val="001D01F8"/>
    <w:rsid w:val="001D0202"/>
    <w:rsid w:val="001D0218"/>
    <w:rsid w:val="001D0247"/>
    <w:rsid w:val="001D02F9"/>
    <w:rsid w:val="001D0324"/>
    <w:rsid w:val="001D035B"/>
    <w:rsid w:val="001D03C1"/>
    <w:rsid w:val="001D0500"/>
    <w:rsid w:val="001D0565"/>
    <w:rsid w:val="001D058E"/>
    <w:rsid w:val="001D05DD"/>
    <w:rsid w:val="001D0790"/>
    <w:rsid w:val="001D07E7"/>
    <w:rsid w:val="001D0821"/>
    <w:rsid w:val="001D0875"/>
    <w:rsid w:val="001D0897"/>
    <w:rsid w:val="001D0898"/>
    <w:rsid w:val="001D08AC"/>
    <w:rsid w:val="001D0962"/>
    <w:rsid w:val="001D096C"/>
    <w:rsid w:val="001D09DF"/>
    <w:rsid w:val="001D09E6"/>
    <w:rsid w:val="001D0A99"/>
    <w:rsid w:val="001D0B3B"/>
    <w:rsid w:val="001D0C4C"/>
    <w:rsid w:val="001D0C72"/>
    <w:rsid w:val="001D0CE2"/>
    <w:rsid w:val="001D0CE4"/>
    <w:rsid w:val="001D0CFF"/>
    <w:rsid w:val="001D0D86"/>
    <w:rsid w:val="001D0EC7"/>
    <w:rsid w:val="001D0F13"/>
    <w:rsid w:val="001D0F24"/>
    <w:rsid w:val="001D0FFB"/>
    <w:rsid w:val="001D1007"/>
    <w:rsid w:val="001D1122"/>
    <w:rsid w:val="001D1160"/>
    <w:rsid w:val="001D12E5"/>
    <w:rsid w:val="001D13F0"/>
    <w:rsid w:val="001D14D4"/>
    <w:rsid w:val="001D152A"/>
    <w:rsid w:val="001D153F"/>
    <w:rsid w:val="001D15F8"/>
    <w:rsid w:val="001D1654"/>
    <w:rsid w:val="001D165F"/>
    <w:rsid w:val="001D16F6"/>
    <w:rsid w:val="001D1705"/>
    <w:rsid w:val="001D177F"/>
    <w:rsid w:val="001D1783"/>
    <w:rsid w:val="001D17E9"/>
    <w:rsid w:val="001D1803"/>
    <w:rsid w:val="001D182E"/>
    <w:rsid w:val="001D1864"/>
    <w:rsid w:val="001D18ED"/>
    <w:rsid w:val="001D1900"/>
    <w:rsid w:val="001D193D"/>
    <w:rsid w:val="001D194F"/>
    <w:rsid w:val="001D1978"/>
    <w:rsid w:val="001D19D6"/>
    <w:rsid w:val="001D19DB"/>
    <w:rsid w:val="001D19E6"/>
    <w:rsid w:val="001D19FB"/>
    <w:rsid w:val="001D1A6F"/>
    <w:rsid w:val="001D1A9C"/>
    <w:rsid w:val="001D1AA4"/>
    <w:rsid w:val="001D1B0E"/>
    <w:rsid w:val="001D1B44"/>
    <w:rsid w:val="001D1B81"/>
    <w:rsid w:val="001D1B82"/>
    <w:rsid w:val="001D1B9D"/>
    <w:rsid w:val="001D1C04"/>
    <w:rsid w:val="001D1C17"/>
    <w:rsid w:val="001D1C2F"/>
    <w:rsid w:val="001D1C52"/>
    <w:rsid w:val="001D1CB8"/>
    <w:rsid w:val="001D1D58"/>
    <w:rsid w:val="001D1D84"/>
    <w:rsid w:val="001D1DF2"/>
    <w:rsid w:val="001D1E2D"/>
    <w:rsid w:val="001D1F5B"/>
    <w:rsid w:val="001D1FA4"/>
    <w:rsid w:val="001D1FC1"/>
    <w:rsid w:val="001D2001"/>
    <w:rsid w:val="001D204B"/>
    <w:rsid w:val="001D20FA"/>
    <w:rsid w:val="001D21AD"/>
    <w:rsid w:val="001D2231"/>
    <w:rsid w:val="001D2253"/>
    <w:rsid w:val="001D2259"/>
    <w:rsid w:val="001D23A2"/>
    <w:rsid w:val="001D24A1"/>
    <w:rsid w:val="001D24E0"/>
    <w:rsid w:val="001D2514"/>
    <w:rsid w:val="001D2574"/>
    <w:rsid w:val="001D26A1"/>
    <w:rsid w:val="001D2710"/>
    <w:rsid w:val="001D2726"/>
    <w:rsid w:val="001D274C"/>
    <w:rsid w:val="001D2771"/>
    <w:rsid w:val="001D280E"/>
    <w:rsid w:val="001D28DE"/>
    <w:rsid w:val="001D28E1"/>
    <w:rsid w:val="001D28E9"/>
    <w:rsid w:val="001D295C"/>
    <w:rsid w:val="001D2961"/>
    <w:rsid w:val="001D29C8"/>
    <w:rsid w:val="001D2A15"/>
    <w:rsid w:val="001D2A4F"/>
    <w:rsid w:val="001D2A75"/>
    <w:rsid w:val="001D2A8D"/>
    <w:rsid w:val="001D2AFB"/>
    <w:rsid w:val="001D2B87"/>
    <w:rsid w:val="001D2B95"/>
    <w:rsid w:val="001D2BA2"/>
    <w:rsid w:val="001D2BD8"/>
    <w:rsid w:val="001D2BE3"/>
    <w:rsid w:val="001D2C5F"/>
    <w:rsid w:val="001D2CC5"/>
    <w:rsid w:val="001D2D0E"/>
    <w:rsid w:val="001D2D42"/>
    <w:rsid w:val="001D2D89"/>
    <w:rsid w:val="001D2DAD"/>
    <w:rsid w:val="001D2E25"/>
    <w:rsid w:val="001D2E46"/>
    <w:rsid w:val="001D2E5C"/>
    <w:rsid w:val="001D2ECC"/>
    <w:rsid w:val="001D2F15"/>
    <w:rsid w:val="001D3000"/>
    <w:rsid w:val="001D303A"/>
    <w:rsid w:val="001D30E0"/>
    <w:rsid w:val="001D31C8"/>
    <w:rsid w:val="001D32C3"/>
    <w:rsid w:val="001D32CC"/>
    <w:rsid w:val="001D335B"/>
    <w:rsid w:val="001D3361"/>
    <w:rsid w:val="001D34FA"/>
    <w:rsid w:val="001D3503"/>
    <w:rsid w:val="001D3550"/>
    <w:rsid w:val="001D3605"/>
    <w:rsid w:val="001D3619"/>
    <w:rsid w:val="001D36A0"/>
    <w:rsid w:val="001D3760"/>
    <w:rsid w:val="001D37AA"/>
    <w:rsid w:val="001D385D"/>
    <w:rsid w:val="001D3869"/>
    <w:rsid w:val="001D386E"/>
    <w:rsid w:val="001D38E4"/>
    <w:rsid w:val="001D3956"/>
    <w:rsid w:val="001D3991"/>
    <w:rsid w:val="001D39DC"/>
    <w:rsid w:val="001D3ACC"/>
    <w:rsid w:val="001D3AD4"/>
    <w:rsid w:val="001D3AD7"/>
    <w:rsid w:val="001D3ADB"/>
    <w:rsid w:val="001D3AE8"/>
    <w:rsid w:val="001D3AF7"/>
    <w:rsid w:val="001D3AF9"/>
    <w:rsid w:val="001D3B52"/>
    <w:rsid w:val="001D3B71"/>
    <w:rsid w:val="001D3C33"/>
    <w:rsid w:val="001D3C43"/>
    <w:rsid w:val="001D3CDC"/>
    <w:rsid w:val="001D3CE8"/>
    <w:rsid w:val="001D3CEB"/>
    <w:rsid w:val="001D3D29"/>
    <w:rsid w:val="001D3D3C"/>
    <w:rsid w:val="001D3D87"/>
    <w:rsid w:val="001D3DAE"/>
    <w:rsid w:val="001D3F09"/>
    <w:rsid w:val="001D3F18"/>
    <w:rsid w:val="001D3F22"/>
    <w:rsid w:val="001D3F2F"/>
    <w:rsid w:val="001D3FBB"/>
    <w:rsid w:val="001D3FC4"/>
    <w:rsid w:val="001D40B4"/>
    <w:rsid w:val="001D41B0"/>
    <w:rsid w:val="001D41F8"/>
    <w:rsid w:val="001D422D"/>
    <w:rsid w:val="001D427D"/>
    <w:rsid w:val="001D42F9"/>
    <w:rsid w:val="001D4380"/>
    <w:rsid w:val="001D43D0"/>
    <w:rsid w:val="001D43DF"/>
    <w:rsid w:val="001D4586"/>
    <w:rsid w:val="001D45C3"/>
    <w:rsid w:val="001D45E9"/>
    <w:rsid w:val="001D45ED"/>
    <w:rsid w:val="001D462B"/>
    <w:rsid w:val="001D462C"/>
    <w:rsid w:val="001D4679"/>
    <w:rsid w:val="001D46A2"/>
    <w:rsid w:val="001D472B"/>
    <w:rsid w:val="001D4738"/>
    <w:rsid w:val="001D474D"/>
    <w:rsid w:val="001D47BB"/>
    <w:rsid w:val="001D4821"/>
    <w:rsid w:val="001D4823"/>
    <w:rsid w:val="001D4832"/>
    <w:rsid w:val="001D4911"/>
    <w:rsid w:val="001D4928"/>
    <w:rsid w:val="001D496A"/>
    <w:rsid w:val="001D4994"/>
    <w:rsid w:val="001D4A22"/>
    <w:rsid w:val="001D4B7E"/>
    <w:rsid w:val="001D4BED"/>
    <w:rsid w:val="001D4C39"/>
    <w:rsid w:val="001D4D51"/>
    <w:rsid w:val="001D4E34"/>
    <w:rsid w:val="001D4E4E"/>
    <w:rsid w:val="001D4E64"/>
    <w:rsid w:val="001D4EAC"/>
    <w:rsid w:val="001D4EEE"/>
    <w:rsid w:val="001D4F57"/>
    <w:rsid w:val="001D4F7C"/>
    <w:rsid w:val="001D5044"/>
    <w:rsid w:val="001D5064"/>
    <w:rsid w:val="001D515A"/>
    <w:rsid w:val="001D51DF"/>
    <w:rsid w:val="001D5277"/>
    <w:rsid w:val="001D527D"/>
    <w:rsid w:val="001D5282"/>
    <w:rsid w:val="001D52AC"/>
    <w:rsid w:val="001D5302"/>
    <w:rsid w:val="001D5349"/>
    <w:rsid w:val="001D53AD"/>
    <w:rsid w:val="001D5419"/>
    <w:rsid w:val="001D542E"/>
    <w:rsid w:val="001D54C3"/>
    <w:rsid w:val="001D54FD"/>
    <w:rsid w:val="001D5569"/>
    <w:rsid w:val="001D557A"/>
    <w:rsid w:val="001D5589"/>
    <w:rsid w:val="001D5597"/>
    <w:rsid w:val="001D55D5"/>
    <w:rsid w:val="001D55F2"/>
    <w:rsid w:val="001D560D"/>
    <w:rsid w:val="001D561E"/>
    <w:rsid w:val="001D56CC"/>
    <w:rsid w:val="001D57A6"/>
    <w:rsid w:val="001D57D8"/>
    <w:rsid w:val="001D57E4"/>
    <w:rsid w:val="001D58AC"/>
    <w:rsid w:val="001D58FC"/>
    <w:rsid w:val="001D59A9"/>
    <w:rsid w:val="001D5A47"/>
    <w:rsid w:val="001D5A95"/>
    <w:rsid w:val="001D5AB0"/>
    <w:rsid w:val="001D5AB8"/>
    <w:rsid w:val="001D5B04"/>
    <w:rsid w:val="001D5B0F"/>
    <w:rsid w:val="001D5BD9"/>
    <w:rsid w:val="001D5C06"/>
    <w:rsid w:val="001D5C1A"/>
    <w:rsid w:val="001D5C23"/>
    <w:rsid w:val="001D5CB2"/>
    <w:rsid w:val="001D5D5E"/>
    <w:rsid w:val="001D5D62"/>
    <w:rsid w:val="001D5DD6"/>
    <w:rsid w:val="001D5E03"/>
    <w:rsid w:val="001D5E14"/>
    <w:rsid w:val="001D5E19"/>
    <w:rsid w:val="001D5E29"/>
    <w:rsid w:val="001D5E8F"/>
    <w:rsid w:val="001D5EE8"/>
    <w:rsid w:val="001D5F0A"/>
    <w:rsid w:val="001D602E"/>
    <w:rsid w:val="001D6069"/>
    <w:rsid w:val="001D60AB"/>
    <w:rsid w:val="001D60B1"/>
    <w:rsid w:val="001D61D8"/>
    <w:rsid w:val="001D61F5"/>
    <w:rsid w:val="001D61FD"/>
    <w:rsid w:val="001D6298"/>
    <w:rsid w:val="001D6316"/>
    <w:rsid w:val="001D6319"/>
    <w:rsid w:val="001D63C1"/>
    <w:rsid w:val="001D6453"/>
    <w:rsid w:val="001D64D6"/>
    <w:rsid w:val="001D64E5"/>
    <w:rsid w:val="001D650C"/>
    <w:rsid w:val="001D6525"/>
    <w:rsid w:val="001D664F"/>
    <w:rsid w:val="001D672B"/>
    <w:rsid w:val="001D677A"/>
    <w:rsid w:val="001D6790"/>
    <w:rsid w:val="001D68AD"/>
    <w:rsid w:val="001D68C4"/>
    <w:rsid w:val="001D692F"/>
    <w:rsid w:val="001D6959"/>
    <w:rsid w:val="001D69C9"/>
    <w:rsid w:val="001D69CA"/>
    <w:rsid w:val="001D6A2E"/>
    <w:rsid w:val="001D6AB7"/>
    <w:rsid w:val="001D6AD2"/>
    <w:rsid w:val="001D6AEA"/>
    <w:rsid w:val="001D6B62"/>
    <w:rsid w:val="001D6C35"/>
    <w:rsid w:val="001D6C4C"/>
    <w:rsid w:val="001D6C63"/>
    <w:rsid w:val="001D6CA5"/>
    <w:rsid w:val="001D6CEB"/>
    <w:rsid w:val="001D6CFC"/>
    <w:rsid w:val="001D6D44"/>
    <w:rsid w:val="001D6EAE"/>
    <w:rsid w:val="001D7025"/>
    <w:rsid w:val="001D708D"/>
    <w:rsid w:val="001D70A3"/>
    <w:rsid w:val="001D7127"/>
    <w:rsid w:val="001D714F"/>
    <w:rsid w:val="001D71B3"/>
    <w:rsid w:val="001D7212"/>
    <w:rsid w:val="001D7308"/>
    <w:rsid w:val="001D7470"/>
    <w:rsid w:val="001D74F1"/>
    <w:rsid w:val="001D755D"/>
    <w:rsid w:val="001D7585"/>
    <w:rsid w:val="001D75B1"/>
    <w:rsid w:val="001D760B"/>
    <w:rsid w:val="001D7615"/>
    <w:rsid w:val="001D7663"/>
    <w:rsid w:val="001D76A9"/>
    <w:rsid w:val="001D7726"/>
    <w:rsid w:val="001D7735"/>
    <w:rsid w:val="001D7788"/>
    <w:rsid w:val="001D7883"/>
    <w:rsid w:val="001D78D6"/>
    <w:rsid w:val="001D791D"/>
    <w:rsid w:val="001D799A"/>
    <w:rsid w:val="001D79E0"/>
    <w:rsid w:val="001D7A16"/>
    <w:rsid w:val="001D7A19"/>
    <w:rsid w:val="001D7AC4"/>
    <w:rsid w:val="001D7AE7"/>
    <w:rsid w:val="001D7BF3"/>
    <w:rsid w:val="001D7C00"/>
    <w:rsid w:val="001D7C59"/>
    <w:rsid w:val="001D7C61"/>
    <w:rsid w:val="001D7D0B"/>
    <w:rsid w:val="001D7D2E"/>
    <w:rsid w:val="001D7D94"/>
    <w:rsid w:val="001D7DB0"/>
    <w:rsid w:val="001D7DDA"/>
    <w:rsid w:val="001D7E51"/>
    <w:rsid w:val="001D7E8F"/>
    <w:rsid w:val="001D7EA0"/>
    <w:rsid w:val="001D7ECE"/>
    <w:rsid w:val="001D7EE2"/>
    <w:rsid w:val="001D7FE8"/>
    <w:rsid w:val="001E0013"/>
    <w:rsid w:val="001E013E"/>
    <w:rsid w:val="001E01A2"/>
    <w:rsid w:val="001E01C3"/>
    <w:rsid w:val="001E0278"/>
    <w:rsid w:val="001E02FD"/>
    <w:rsid w:val="001E040E"/>
    <w:rsid w:val="001E0412"/>
    <w:rsid w:val="001E0429"/>
    <w:rsid w:val="001E0430"/>
    <w:rsid w:val="001E0450"/>
    <w:rsid w:val="001E049F"/>
    <w:rsid w:val="001E04C1"/>
    <w:rsid w:val="001E04FB"/>
    <w:rsid w:val="001E0534"/>
    <w:rsid w:val="001E05AB"/>
    <w:rsid w:val="001E05BA"/>
    <w:rsid w:val="001E05CC"/>
    <w:rsid w:val="001E05D5"/>
    <w:rsid w:val="001E0603"/>
    <w:rsid w:val="001E0608"/>
    <w:rsid w:val="001E0693"/>
    <w:rsid w:val="001E0696"/>
    <w:rsid w:val="001E06B2"/>
    <w:rsid w:val="001E07AB"/>
    <w:rsid w:val="001E07C9"/>
    <w:rsid w:val="001E0840"/>
    <w:rsid w:val="001E08E8"/>
    <w:rsid w:val="001E094F"/>
    <w:rsid w:val="001E0964"/>
    <w:rsid w:val="001E098A"/>
    <w:rsid w:val="001E09E7"/>
    <w:rsid w:val="001E0B12"/>
    <w:rsid w:val="001E0B79"/>
    <w:rsid w:val="001E0BBF"/>
    <w:rsid w:val="001E0BFC"/>
    <w:rsid w:val="001E0C11"/>
    <w:rsid w:val="001E0CEA"/>
    <w:rsid w:val="001E0D20"/>
    <w:rsid w:val="001E0D4E"/>
    <w:rsid w:val="001E0D78"/>
    <w:rsid w:val="001E0E89"/>
    <w:rsid w:val="001E0EF5"/>
    <w:rsid w:val="001E0F5D"/>
    <w:rsid w:val="001E0F97"/>
    <w:rsid w:val="001E1124"/>
    <w:rsid w:val="001E12D6"/>
    <w:rsid w:val="001E12E6"/>
    <w:rsid w:val="001E1310"/>
    <w:rsid w:val="001E1317"/>
    <w:rsid w:val="001E1337"/>
    <w:rsid w:val="001E1373"/>
    <w:rsid w:val="001E1494"/>
    <w:rsid w:val="001E1569"/>
    <w:rsid w:val="001E15BF"/>
    <w:rsid w:val="001E15D7"/>
    <w:rsid w:val="001E1672"/>
    <w:rsid w:val="001E1699"/>
    <w:rsid w:val="001E16C4"/>
    <w:rsid w:val="001E171B"/>
    <w:rsid w:val="001E173F"/>
    <w:rsid w:val="001E177D"/>
    <w:rsid w:val="001E1807"/>
    <w:rsid w:val="001E18BE"/>
    <w:rsid w:val="001E1921"/>
    <w:rsid w:val="001E19B7"/>
    <w:rsid w:val="001E19D8"/>
    <w:rsid w:val="001E19ED"/>
    <w:rsid w:val="001E19F3"/>
    <w:rsid w:val="001E1A43"/>
    <w:rsid w:val="001E1A4F"/>
    <w:rsid w:val="001E1A6F"/>
    <w:rsid w:val="001E1B1A"/>
    <w:rsid w:val="001E1BC2"/>
    <w:rsid w:val="001E1CA0"/>
    <w:rsid w:val="001E1D66"/>
    <w:rsid w:val="001E1DB3"/>
    <w:rsid w:val="001E1DC0"/>
    <w:rsid w:val="001E1E28"/>
    <w:rsid w:val="001E1E78"/>
    <w:rsid w:val="001E1E9D"/>
    <w:rsid w:val="001E1EA2"/>
    <w:rsid w:val="001E1EAE"/>
    <w:rsid w:val="001E1F6C"/>
    <w:rsid w:val="001E210E"/>
    <w:rsid w:val="001E2175"/>
    <w:rsid w:val="001E222B"/>
    <w:rsid w:val="001E2240"/>
    <w:rsid w:val="001E2246"/>
    <w:rsid w:val="001E22E9"/>
    <w:rsid w:val="001E2307"/>
    <w:rsid w:val="001E2380"/>
    <w:rsid w:val="001E238E"/>
    <w:rsid w:val="001E23AD"/>
    <w:rsid w:val="001E23D7"/>
    <w:rsid w:val="001E23DA"/>
    <w:rsid w:val="001E23E2"/>
    <w:rsid w:val="001E2472"/>
    <w:rsid w:val="001E24E5"/>
    <w:rsid w:val="001E2505"/>
    <w:rsid w:val="001E2556"/>
    <w:rsid w:val="001E25E2"/>
    <w:rsid w:val="001E2678"/>
    <w:rsid w:val="001E26AC"/>
    <w:rsid w:val="001E271A"/>
    <w:rsid w:val="001E282E"/>
    <w:rsid w:val="001E2860"/>
    <w:rsid w:val="001E2881"/>
    <w:rsid w:val="001E2893"/>
    <w:rsid w:val="001E2956"/>
    <w:rsid w:val="001E2A18"/>
    <w:rsid w:val="001E2A2B"/>
    <w:rsid w:val="001E2B18"/>
    <w:rsid w:val="001E2B8A"/>
    <w:rsid w:val="001E2BA7"/>
    <w:rsid w:val="001E2BCA"/>
    <w:rsid w:val="001E2CA0"/>
    <w:rsid w:val="001E2D20"/>
    <w:rsid w:val="001E2D49"/>
    <w:rsid w:val="001E2DE2"/>
    <w:rsid w:val="001E2E82"/>
    <w:rsid w:val="001E2E97"/>
    <w:rsid w:val="001E2EFF"/>
    <w:rsid w:val="001E2F05"/>
    <w:rsid w:val="001E2F2F"/>
    <w:rsid w:val="001E2FCF"/>
    <w:rsid w:val="001E2FEA"/>
    <w:rsid w:val="001E30CF"/>
    <w:rsid w:val="001E31D3"/>
    <w:rsid w:val="001E31D9"/>
    <w:rsid w:val="001E3212"/>
    <w:rsid w:val="001E325F"/>
    <w:rsid w:val="001E326D"/>
    <w:rsid w:val="001E329C"/>
    <w:rsid w:val="001E32D0"/>
    <w:rsid w:val="001E3301"/>
    <w:rsid w:val="001E3317"/>
    <w:rsid w:val="001E334C"/>
    <w:rsid w:val="001E337D"/>
    <w:rsid w:val="001E33BA"/>
    <w:rsid w:val="001E33BC"/>
    <w:rsid w:val="001E340F"/>
    <w:rsid w:val="001E3429"/>
    <w:rsid w:val="001E347E"/>
    <w:rsid w:val="001E34A0"/>
    <w:rsid w:val="001E34A6"/>
    <w:rsid w:val="001E34B6"/>
    <w:rsid w:val="001E34FE"/>
    <w:rsid w:val="001E350C"/>
    <w:rsid w:val="001E3562"/>
    <w:rsid w:val="001E3649"/>
    <w:rsid w:val="001E3674"/>
    <w:rsid w:val="001E36C4"/>
    <w:rsid w:val="001E36D6"/>
    <w:rsid w:val="001E3775"/>
    <w:rsid w:val="001E37AA"/>
    <w:rsid w:val="001E38C9"/>
    <w:rsid w:val="001E38D3"/>
    <w:rsid w:val="001E396C"/>
    <w:rsid w:val="001E3A14"/>
    <w:rsid w:val="001E3ACD"/>
    <w:rsid w:val="001E3BD1"/>
    <w:rsid w:val="001E3BDB"/>
    <w:rsid w:val="001E3C2B"/>
    <w:rsid w:val="001E3C66"/>
    <w:rsid w:val="001E3C77"/>
    <w:rsid w:val="001E3C9E"/>
    <w:rsid w:val="001E3D5C"/>
    <w:rsid w:val="001E3D68"/>
    <w:rsid w:val="001E3E2A"/>
    <w:rsid w:val="001E3E2D"/>
    <w:rsid w:val="001E3E85"/>
    <w:rsid w:val="001E3E9B"/>
    <w:rsid w:val="001E3F10"/>
    <w:rsid w:val="001E3F42"/>
    <w:rsid w:val="001E3FDB"/>
    <w:rsid w:val="001E4086"/>
    <w:rsid w:val="001E409F"/>
    <w:rsid w:val="001E40F3"/>
    <w:rsid w:val="001E4201"/>
    <w:rsid w:val="001E4256"/>
    <w:rsid w:val="001E429A"/>
    <w:rsid w:val="001E42BE"/>
    <w:rsid w:val="001E42CA"/>
    <w:rsid w:val="001E434D"/>
    <w:rsid w:val="001E4420"/>
    <w:rsid w:val="001E444E"/>
    <w:rsid w:val="001E447E"/>
    <w:rsid w:val="001E4485"/>
    <w:rsid w:val="001E4511"/>
    <w:rsid w:val="001E4590"/>
    <w:rsid w:val="001E45B0"/>
    <w:rsid w:val="001E45D4"/>
    <w:rsid w:val="001E46C1"/>
    <w:rsid w:val="001E46C8"/>
    <w:rsid w:val="001E46CF"/>
    <w:rsid w:val="001E47CF"/>
    <w:rsid w:val="001E47ED"/>
    <w:rsid w:val="001E47EE"/>
    <w:rsid w:val="001E484F"/>
    <w:rsid w:val="001E4875"/>
    <w:rsid w:val="001E48D3"/>
    <w:rsid w:val="001E491D"/>
    <w:rsid w:val="001E492F"/>
    <w:rsid w:val="001E4994"/>
    <w:rsid w:val="001E49B6"/>
    <w:rsid w:val="001E49D5"/>
    <w:rsid w:val="001E4A4C"/>
    <w:rsid w:val="001E4A66"/>
    <w:rsid w:val="001E4B76"/>
    <w:rsid w:val="001E4CB0"/>
    <w:rsid w:val="001E4CE0"/>
    <w:rsid w:val="001E4D3D"/>
    <w:rsid w:val="001E4E10"/>
    <w:rsid w:val="001E4E28"/>
    <w:rsid w:val="001E4E32"/>
    <w:rsid w:val="001E4E9E"/>
    <w:rsid w:val="001E4FAA"/>
    <w:rsid w:val="001E5049"/>
    <w:rsid w:val="001E506B"/>
    <w:rsid w:val="001E5085"/>
    <w:rsid w:val="001E50AD"/>
    <w:rsid w:val="001E50B7"/>
    <w:rsid w:val="001E50DF"/>
    <w:rsid w:val="001E511B"/>
    <w:rsid w:val="001E5150"/>
    <w:rsid w:val="001E521B"/>
    <w:rsid w:val="001E522C"/>
    <w:rsid w:val="001E53A6"/>
    <w:rsid w:val="001E53C7"/>
    <w:rsid w:val="001E5463"/>
    <w:rsid w:val="001E54B5"/>
    <w:rsid w:val="001E54B8"/>
    <w:rsid w:val="001E54E5"/>
    <w:rsid w:val="001E5504"/>
    <w:rsid w:val="001E55D2"/>
    <w:rsid w:val="001E55E8"/>
    <w:rsid w:val="001E565D"/>
    <w:rsid w:val="001E5669"/>
    <w:rsid w:val="001E5696"/>
    <w:rsid w:val="001E5711"/>
    <w:rsid w:val="001E5757"/>
    <w:rsid w:val="001E5769"/>
    <w:rsid w:val="001E57FF"/>
    <w:rsid w:val="001E5816"/>
    <w:rsid w:val="001E582E"/>
    <w:rsid w:val="001E5853"/>
    <w:rsid w:val="001E5885"/>
    <w:rsid w:val="001E5895"/>
    <w:rsid w:val="001E594B"/>
    <w:rsid w:val="001E5971"/>
    <w:rsid w:val="001E598D"/>
    <w:rsid w:val="001E59D4"/>
    <w:rsid w:val="001E5A2E"/>
    <w:rsid w:val="001E5A37"/>
    <w:rsid w:val="001E5AB2"/>
    <w:rsid w:val="001E5AD5"/>
    <w:rsid w:val="001E5BFB"/>
    <w:rsid w:val="001E5C42"/>
    <w:rsid w:val="001E5CAB"/>
    <w:rsid w:val="001E5CD5"/>
    <w:rsid w:val="001E5CED"/>
    <w:rsid w:val="001E5CF0"/>
    <w:rsid w:val="001E5D10"/>
    <w:rsid w:val="001E5D1E"/>
    <w:rsid w:val="001E5D31"/>
    <w:rsid w:val="001E5D85"/>
    <w:rsid w:val="001E5E00"/>
    <w:rsid w:val="001E5EA8"/>
    <w:rsid w:val="001E5F47"/>
    <w:rsid w:val="001E5F6E"/>
    <w:rsid w:val="001E5F82"/>
    <w:rsid w:val="001E6022"/>
    <w:rsid w:val="001E604F"/>
    <w:rsid w:val="001E6059"/>
    <w:rsid w:val="001E60AE"/>
    <w:rsid w:val="001E6136"/>
    <w:rsid w:val="001E6389"/>
    <w:rsid w:val="001E63AC"/>
    <w:rsid w:val="001E63B4"/>
    <w:rsid w:val="001E6409"/>
    <w:rsid w:val="001E6487"/>
    <w:rsid w:val="001E6515"/>
    <w:rsid w:val="001E653A"/>
    <w:rsid w:val="001E655A"/>
    <w:rsid w:val="001E6589"/>
    <w:rsid w:val="001E658B"/>
    <w:rsid w:val="001E6655"/>
    <w:rsid w:val="001E6671"/>
    <w:rsid w:val="001E66EC"/>
    <w:rsid w:val="001E66FB"/>
    <w:rsid w:val="001E6700"/>
    <w:rsid w:val="001E6716"/>
    <w:rsid w:val="001E6778"/>
    <w:rsid w:val="001E67C6"/>
    <w:rsid w:val="001E6891"/>
    <w:rsid w:val="001E691E"/>
    <w:rsid w:val="001E6AE3"/>
    <w:rsid w:val="001E6B31"/>
    <w:rsid w:val="001E6B52"/>
    <w:rsid w:val="001E6CC4"/>
    <w:rsid w:val="001E6D14"/>
    <w:rsid w:val="001E6D77"/>
    <w:rsid w:val="001E6D99"/>
    <w:rsid w:val="001E6DB9"/>
    <w:rsid w:val="001E6E00"/>
    <w:rsid w:val="001E6E48"/>
    <w:rsid w:val="001E6E92"/>
    <w:rsid w:val="001E6EDF"/>
    <w:rsid w:val="001E6F33"/>
    <w:rsid w:val="001E6F88"/>
    <w:rsid w:val="001E6FA1"/>
    <w:rsid w:val="001E6FCB"/>
    <w:rsid w:val="001E6FD9"/>
    <w:rsid w:val="001E7158"/>
    <w:rsid w:val="001E720D"/>
    <w:rsid w:val="001E720E"/>
    <w:rsid w:val="001E7253"/>
    <w:rsid w:val="001E72EC"/>
    <w:rsid w:val="001E72FD"/>
    <w:rsid w:val="001E737E"/>
    <w:rsid w:val="001E73E8"/>
    <w:rsid w:val="001E7471"/>
    <w:rsid w:val="001E747A"/>
    <w:rsid w:val="001E74AC"/>
    <w:rsid w:val="001E74BA"/>
    <w:rsid w:val="001E7520"/>
    <w:rsid w:val="001E755C"/>
    <w:rsid w:val="001E7563"/>
    <w:rsid w:val="001E7590"/>
    <w:rsid w:val="001E75C8"/>
    <w:rsid w:val="001E760F"/>
    <w:rsid w:val="001E7636"/>
    <w:rsid w:val="001E7643"/>
    <w:rsid w:val="001E765B"/>
    <w:rsid w:val="001E766B"/>
    <w:rsid w:val="001E7677"/>
    <w:rsid w:val="001E76CA"/>
    <w:rsid w:val="001E76F9"/>
    <w:rsid w:val="001E7726"/>
    <w:rsid w:val="001E7769"/>
    <w:rsid w:val="001E77D5"/>
    <w:rsid w:val="001E782D"/>
    <w:rsid w:val="001E785E"/>
    <w:rsid w:val="001E7879"/>
    <w:rsid w:val="001E788A"/>
    <w:rsid w:val="001E78FB"/>
    <w:rsid w:val="001E795F"/>
    <w:rsid w:val="001E7965"/>
    <w:rsid w:val="001E7977"/>
    <w:rsid w:val="001E7984"/>
    <w:rsid w:val="001E79E7"/>
    <w:rsid w:val="001E7A09"/>
    <w:rsid w:val="001E7A67"/>
    <w:rsid w:val="001E7ADB"/>
    <w:rsid w:val="001E7BAA"/>
    <w:rsid w:val="001E7C3B"/>
    <w:rsid w:val="001E7E40"/>
    <w:rsid w:val="001E7F00"/>
    <w:rsid w:val="001E7F45"/>
    <w:rsid w:val="001E7F8B"/>
    <w:rsid w:val="001F000A"/>
    <w:rsid w:val="001F001C"/>
    <w:rsid w:val="001F011C"/>
    <w:rsid w:val="001F01DD"/>
    <w:rsid w:val="001F0200"/>
    <w:rsid w:val="001F023C"/>
    <w:rsid w:val="001F02E5"/>
    <w:rsid w:val="001F031D"/>
    <w:rsid w:val="001F0399"/>
    <w:rsid w:val="001F03B9"/>
    <w:rsid w:val="001F03E9"/>
    <w:rsid w:val="001F03EA"/>
    <w:rsid w:val="001F0539"/>
    <w:rsid w:val="001F059E"/>
    <w:rsid w:val="001F0648"/>
    <w:rsid w:val="001F064C"/>
    <w:rsid w:val="001F06AA"/>
    <w:rsid w:val="001F06C0"/>
    <w:rsid w:val="001F06C4"/>
    <w:rsid w:val="001F06DE"/>
    <w:rsid w:val="001F0769"/>
    <w:rsid w:val="001F07B6"/>
    <w:rsid w:val="001F07EA"/>
    <w:rsid w:val="001F0840"/>
    <w:rsid w:val="001F0852"/>
    <w:rsid w:val="001F0865"/>
    <w:rsid w:val="001F0886"/>
    <w:rsid w:val="001F08F1"/>
    <w:rsid w:val="001F0925"/>
    <w:rsid w:val="001F094B"/>
    <w:rsid w:val="001F09E0"/>
    <w:rsid w:val="001F0A0E"/>
    <w:rsid w:val="001F0A30"/>
    <w:rsid w:val="001F0A94"/>
    <w:rsid w:val="001F0AA0"/>
    <w:rsid w:val="001F0ACD"/>
    <w:rsid w:val="001F0AF0"/>
    <w:rsid w:val="001F0B08"/>
    <w:rsid w:val="001F0B15"/>
    <w:rsid w:val="001F0B6E"/>
    <w:rsid w:val="001F0BE1"/>
    <w:rsid w:val="001F0C5E"/>
    <w:rsid w:val="001F0C64"/>
    <w:rsid w:val="001F0C79"/>
    <w:rsid w:val="001F0CAB"/>
    <w:rsid w:val="001F0CD7"/>
    <w:rsid w:val="001F0CDF"/>
    <w:rsid w:val="001F0D32"/>
    <w:rsid w:val="001F0D4B"/>
    <w:rsid w:val="001F0DD1"/>
    <w:rsid w:val="001F0EE5"/>
    <w:rsid w:val="001F0F2A"/>
    <w:rsid w:val="001F0F3A"/>
    <w:rsid w:val="001F0FAD"/>
    <w:rsid w:val="001F0FB3"/>
    <w:rsid w:val="001F1113"/>
    <w:rsid w:val="001F11A2"/>
    <w:rsid w:val="001F121B"/>
    <w:rsid w:val="001F12C0"/>
    <w:rsid w:val="001F1335"/>
    <w:rsid w:val="001F1395"/>
    <w:rsid w:val="001F1428"/>
    <w:rsid w:val="001F1495"/>
    <w:rsid w:val="001F14E9"/>
    <w:rsid w:val="001F154F"/>
    <w:rsid w:val="001F1595"/>
    <w:rsid w:val="001F15F1"/>
    <w:rsid w:val="001F15FD"/>
    <w:rsid w:val="001F161A"/>
    <w:rsid w:val="001F179D"/>
    <w:rsid w:val="001F17B2"/>
    <w:rsid w:val="001F18D9"/>
    <w:rsid w:val="001F1907"/>
    <w:rsid w:val="001F1ADB"/>
    <w:rsid w:val="001F1B16"/>
    <w:rsid w:val="001F1C7E"/>
    <w:rsid w:val="001F1C96"/>
    <w:rsid w:val="001F1CE7"/>
    <w:rsid w:val="001F1DF8"/>
    <w:rsid w:val="001F1E0C"/>
    <w:rsid w:val="001F1E38"/>
    <w:rsid w:val="001F1E49"/>
    <w:rsid w:val="001F1E89"/>
    <w:rsid w:val="001F1EA5"/>
    <w:rsid w:val="001F1F93"/>
    <w:rsid w:val="001F2001"/>
    <w:rsid w:val="001F208F"/>
    <w:rsid w:val="001F20B1"/>
    <w:rsid w:val="001F20D6"/>
    <w:rsid w:val="001F214B"/>
    <w:rsid w:val="001F21DF"/>
    <w:rsid w:val="001F22B5"/>
    <w:rsid w:val="001F230C"/>
    <w:rsid w:val="001F2319"/>
    <w:rsid w:val="001F2539"/>
    <w:rsid w:val="001F2543"/>
    <w:rsid w:val="001F255F"/>
    <w:rsid w:val="001F2563"/>
    <w:rsid w:val="001F2664"/>
    <w:rsid w:val="001F26B6"/>
    <w:rsid w:val="001F2753"/>
    <w:rsid w:val="001F27DC"/>
    <w:rsid w:val="001F27EA"/>
    <w:rsid w:val="001F27F4"/>
    <w:rsid w:val="001F27FE"/>
    <w:rsid w:val="001F2819"/>
    <w:rsid w:val="001F2857"/>
    <w:rsid w:val="001F28B7"/>
    <w:rsid w:val="001F2944"/>
    <w:rsid w:val="001F2988"/>
    <w:rsid w:val="001F2B62"/>
    <w:rsid w:val="001F2BC5"/>
    <w:rsid w:val="001F2C50"/>
    <w:rsid w:val="001F2CC3"/>
    <w:rsid w:val="001F2CDC"/>
    <w:rsid w:val="001F2D25"/>
    <w:rsid w:val="001F2D72"/>
    <w:rsid w:val="001F2E54"/>
    <w:rsid w:val="001F2ED1"/>
    <w:rsid w:val="001F2EEB"/>
    <w:rsid w:val="001F2F18"/>
    <w:rsid w:val="001F2FA3"/>
    <w:rsid w:val="001F2FE6"/>
    <w:rsid w:val="001F300C"/>
    <w:rsid w:val="001F3062"/>
    <w:rsid w:val="001F3075"/>
    <w:rsid w:val="001F30E1"/>
    <w:rsid w:val="001F3132"/>
    <w:rsid w:val="001F31C0"/>
    <w:rsid w:val="001F330C"/>
    <w:rsid w:val="001F3328"/>
    <w:rsid w:val="001F339A"/>
    <w:rsid w:val="001F339E"/>
    <w:rsid w:val="001F3400"/>
    <w:rsid w:val="001F366A"/>
    <w:rsid w:val="001F36A5"/>
    <w:rsid w:val="001F3737"/>
    <w:rsid w:val="001F373C"/>
    <w:rsid w:val="001F383B"/>
    <w:rsid w:val="001F3880"/>
    <w:rsid w:val="001F3882"/>
    <w:rsid w:val="001F394E"/>
    <w:rsid w:val="001F3A1E"/>
    <w:rsid w:val="001F3AA6"/>
    <w:rsid w:val="001F3B42"/>
    <w:rsid w:val="001F3B76"/>
    <w:rsid w:val="001F3BC4"/>
    <w:rsid w:val="001F3CB2"/>
    <w:rsid w:val="001F3CC8"/>
    <w:rsid w:val="001F3CDC"/>
    <w:rsid w:val="001F3CED"/>
    <w:rsid w:val="001F3CFA"/>
    <w:rsid w:val="001F3E19"/>
    <w:rsid w:val="001F3E1B"/>
    <w:rsid w:val="001F3EA6"/>
    <w:rsid w:val="001F3ED4"/>
    <w:rsid w:val="001F3F50"/>
    <w:rsid w:val="001F3F77"/>
    <w:rsid w:val="001F3F85"/>
    <w:rsid w:val="001F3FB3"/>
    <w:rsid w:val="001F3FC4"/>
    <w:rsid w:val="001F401D"/>
    <w:rsid w:val="001F4039"/>
    <w:rsid w:val="001F4044"/>
    <w:rsid w:val="001F4076"/>
    <w:rsid w:val="001F40A4"/>
    <w:rsid w:val="001F40B3"/>
    <w:rsid w:val="001F40D9"/>
    <w:rsid w:val="001F40EE"/>
    <w:rsid w:val="001F40F9"/>
    <w:rsid w:val="001F412D"/>
    <w:rsid w:val="001F41AC"/>
    <w:rsid w:val="001F41C6"/>
    <w:rsid w:val="001F42E9"/>
    <w:rsid w:val="001F42EE"/>
    <w:rsid w:val="001F4339"/>
    <w:rsid w:val="001F44B8"/>
    <w:rsid w:val="001F44E2"/>
    <w:rsid w:val="001F450B"/>
    <w:rsid w:val="001F4530"/>
    <w:rsid w:val="001F4554"/>
    <w:rsid w:val="001F45AB"/>
    <w:rsid w:val="001F46C1"/>
    <w:rsid w:val="001F4707"/>
    <w:rsid w:val="001F47F7"/>
    <w:rsid w:val="001F4854"/>
    <w:rsid w:val="001F4883"/>
    <w:rsid w:val="001F499F"/>
    <w:rsid w:val="001F4A1D"/>
    <w:rsid w:val="001F4AC4"/>
    <w:rsid w:val="001F4B97"/>
    <w:rsid w:val="001F4C22"/>
    <w:rsid w:val="001F4C45"/>
    <w:rsid w:val="001F4C85"/>
    <w:rsid w:val="001F4CA7"/>
    <w:rsid w:val="001F4CB3"/>
    <w:rsid w:val="001F4CE2"/>
    <w:rsid w:val="001F4CF9"/>
    <w:rsid w:val="001F4D4F"/>
    <w:rsid w:val="001F4F92"/>
    <w:rsid w:val="001F4FD4"/>
    <w:rsid w:val="001F5013"/>
    <w:rsid w:val="001F503E"/>
    <w:rsid w:val="001F506A"/>
    <w:rsid w:val="001F50F1"/>
    <w:rsid w:val="001F5128"/>
    <w:rsid w:val="001F516B"/>
    <w:rsid w:val="001F517F"/>
    <w:rsid w:val="001F5180"/>
    <w:rsid w:val="001F51AE"/>
    <w:rsid w:val="001F51DE"/>
    <w:rsid w:val="001F520B"/>
    <w:rsid w:val="001F526D"/>
    <w:rsid w:val="001F52B4"/>
    <w:rsid w:val="001F5329"/>
    <w:rsid w:val="001F534B"/>
    <w:rsid w:val="001F5367"/>
    <w:rsid w:val="001F536D"/>
    <w:rsid w:val="001F5417"/>
    <w:rsid w:val="001F545D"/>
    <w:rsid w:val="001F5472"/>
    <w:rsid w:val="001F547E"/>
    <w:rsid w:val="001F54F6"/>
    <w:rsid w:val="001F5555"/>
    <w:rsid w:val="001F55BE"/>
    <w:rsid w:val="001F5613"/>
    <w:rsid w:val="001F5657"/>
    <w:rsid w:val="001F5881"/>
    <w:rsid w:val="001F58CF"/>
    <w:rsid w:val="001F5917"/>
    <w:rsid w:val="001F5960"/>
    <w:rsid w:val="001F598D"/>
    <w:rsid w:val="001F5A64"/>
    <w:rsid w:val="001F5A8C"/>
    <w:rsid w:val="001F5B05"/>
    <w:rsid w:val="001F5B34"/>
    <w:rsid w:val="001F5B4F"/>
    <w:rsid w:val="001F5C0B"/>
    <w:rsid w:val="001F5C1A"/>
    <w:rsid w:val="001F5C2A"/>
    <w:rsid w:val="001F5C93"/>
    <w:rsid w:val="001F5CC3"/>
    <w:rsid w:val="001F5CF6"/>
    <w:rsid w:val="001F5D07"/>
    <w:rsid w:val="001F5D28"/>
    <w:rsid w:val="001F5D39"/>
    <w:rsid w:val="001F5D6C"/>
    <w:rsid w:val="001F5DDF"/>
    <w:rsid w:val="001F5DF6"/>
    <w:rsid w:val="001F5EE4"/>
    <w:rsid w:val="001F5F5C"/>
    <w:rsid w:val="001F5FEC"/>
    <w:rsid w:val="001F6010"/>
    <w:rsid w:val="001F604B"/>
    <w:rsid w:val="001F6065"/>
    <w:rsid w:val="001F617D"/>
    <w:rsid w:val="001F6226"/>
    <w:rsid w:val="001F6251"/>
    <w:rsid w:val="001F626C"/>
    <w:rsid w:val="001F6288"/>
    <w:rsid w:val="001F6304"/>
    <w:rsid w:val="001F630C"/>
    <w:rsid w:val="001F632F"/>
    <w:rsid w:val="001F636E"/>
    <w:rsid w:val="001F63CB"/>
    <w:rsid w:val="001F64E9"/>
    <w:rsid w:val="001F6513"/>
    <w:rsid w:val="001F6539"/>
    <w:rsid w:val="001F6575"/>
    <w:rsid w:val="001F66C9"/>
    <w:rsid w:val="001F66DD"/>
    <w:rsid w:val="001F6709"/>
    <w:rsid w:val="001F6742"/>
    <w:rsid w:val="001F6819"/>
    <w:rsid w:val="001F68DB"/>
    <w:rsid w:val="001F6902"/>
    <w:rsid w:val="001F692D"/>
    <w:rsid w:val="001F6964"/>
    <w:rsid w:val="001F6A23"/>
    <w:rsid w:val="001F6A4D"/>
    <w:rsid w:val="001F6A8D"/>
    <w:rsid w:val="001F6A8E"/>
    <w:rsid w:val="001F6B3C"/>
    <w:rsid w:val="001F6B41"/>
    <w:rsid w:val="001F6B53"/>
    <w:rsid w:val="001F6B55"/>
    <w:rsid w:val="001F6C2F"/>
    <w:rsid w:val="001F6DAD"/>
    <w:rsid w:val="001F6E46"/>
    <w:rsid w:val="001F6E73"/>
    <w:rsid w:val="001F6EDE"/>
    <w:rsid w:val="001F6F15"/>
    <w:rsid w:val="001F7044"/>
    <w:rsid w:val="001F7095"/>
    <w:rsid w:val="001F70BF"/>
    <w:rsid w:val="001F70C0"/>
    <w:rsid w:val="001F7119"/>
    <w:rsid w:val="001F7168"/>
    <w:rsid w:val="001F72B3"/>
    <w:rsid w:val="001F7354"/>
    <w:rsid w:val="001F7361"/>
    <w:rsid w:val="001F73EB"/>
    <w:rsid w:val="001F7412"/>
    <w:rsid w:val="001F7468"/>
    <w:rsid w:val="001F74B6"/>
    <w:rsid w:val="001F75A8"/>
    <w:rsid w:val="001F75AD"/>
    <w:rsid w:val="001F75B1"/>
    <w:rsid w:val="001F7625"/>
    <w:rsid w:val="001F766E"/>
    <w:rsid w:val="001F7677"/>
    <w:rsid w:val="001F77D0"/>
    <w:rsid w:val="001F786A"/>
    <w:rsid w:val="001F78F5"/>
    <w:rsid w:val="001F793F"/>
    <w:rsid w:val="001F799F"/>
    <w:rsid w:val="001F7A5A"/>
    <w:rsid w:val="001F7A9F"/>
    <w:rsid w:val="001F7AC5"/>
    <w:rsid w:val="001F7BA5"/>
    <w:rsid w:val="001F7BA6"/>
    <w:rsid w:val="001F7BF5"/>
    <w:rsid w:val="001F7C21"/>
    <w:rsid w:val="001F7C67"/>
    <w:rsid w:val="001F7DEB"/>
    <w:rsid w:val="001F7DED"/>
    <w:rsid w:val="001F7E11"/>
    <w:rsid w:val="001F7E21"/>
    <w:rsid w:val="001F7E98"/>
    <w:rsid w:val="001F7EE9"/>
    <w:rsid w:val="001F7F4F"/>
    <w:rsid w:val="001F7F6F"/>
    <w:rsid w:val="0020001B"/>
    <w:rsid w:val="00200020"/>
    <w:rsid w:val="00200037"/>
    <w:rsid w:val="0020011E"/>
    <w:rsid w:val="0020015E"/>
    <w:rsid w:val="00200170"/>
    <w:rsid w:val="00200184"/>
    <w:rsid w:val="002001B1"/>
    <w:rsid w:val="002001CB"/>
    <w:rsid w:val="00200216"/>
    <w:rsid w:val="00200288"/>
    <w:rsid w:val="002002B6"/>
    <w:rsid w:val="002002C9"/>
    <w:rsid w:val="00200319"/>
    <w:rsid w:val="0020038E"/>
    <w:rsid w:val="002003AA"/>
    <w:rsid w:val="00200423"/>
    <w:rsid w:val="0020044B"/>
    <w:rsid w:val="002004D7"/>
    <w:rsid w:val="00200500"/>
    <w:rsid w:val="0020058B"/>
    <w:rsid w:val="00200635"/>
    <w:rsid w:val="0020064E"/>
    <w:rsid w:val="002006BC"/>
    <w:rsid w:val="00200731"/>
    <w:rsid w:val="00200854"/>
    <w:rsid w:val="002008AD"/>
    <w:rsid w:val="00200921"/>
    <w:rsid w:val="00200931"/>
    <w:rsid w:val="00200941"/>
    <w:rsid w:val="00200956"/>
    <w:rsid w:val="002009B5"/>
    <w:rsid w:val="00200A20"/>
    <w:rsid w:val="00200A9F"/>
    <w:rsid w:val="00200B00"/>
    <w:rsid w:val="00200B36"/>
    <w:rsid w:val="00200B6E"/>
    <w:rsid w:val="00200BC7"/>
    <w:rsid w:val="00200BF1"/>
    <w:rsid w:val="00200C32"/>
    <w:rsid w:val="00200C60"/>
    <w:rsid w:val="00200CAE"/>
    <w:rsid w:val="00201033"/>
    <w:rsid w:val="00201081"/>
    <w:rsid w:val="00201145"/>
    <w:rsid w:val="002011C3"/>
    <w:rsid w:val="002011C8"/>
    <w:rsid w:val="00201259"/>
    <w:rsid w:val="0020128B"/>
    <w:rsid w:val="002013B9"/>
    <w:rsid w:val="002013D1"/>
    <w:rsid w:val="002015BA"/>
    <w:rsid w:val="002015C3"/>
    <w:rsid w:val="0020164A"/>
    <w:rsid w:val="00201681"/>
    <w:rsid w:val="002016BA"/>
    <w:rsid w:val="002017BD"/>
    <w:rsid w:val="00201840"/>
    <w:rsid w:val="00201888"/>
    <w:rsid w:val="0020197B"/>
    <w:rsid w:val="002019DE"/>
    <w:rsid w:val="002019E7"/>
    <w:rsid w:val="00201A3A"/>
    <w:rsid w:val="00201A4B"/>
    <w:rsid w:val="00201A97"/>
    <w:rsid w:val="00201B4F"/>
    <w:rsid w:val="00201B7F"/>
    <w:rsid w:val="00201BBD"/>
    <w:rsid w:val="00201BE4"/>
    <w:rsid w:val="00201C23"/>
    <w:rsid w:val="00201D32"/>
    <w:rsid w:val="00201D62"/>
    <w:rsid w:val="00201D8B"/>
    <w:rsid w:val="00201DC1"/>
    <w:rsid w:val="00201DDD"/>
    <w:rsid w:val="00201DF3"/>
    <w:rsid w:val="00201ECD"/>
    <w:rsid w:val="00201F95"/>
    <w:rsid w:val="0020205C"/>
    <w:rsid w:val="002020E7"/>
    <w:rsid w:val="0020210E"/>
    <w:rsid w:val="0020211F"/>
    <w:rsid w:val="0020215A"/>
    <w:rsid w:val="002021AD"/>
    <w:rsid w:val="00202248"/>
    <w:rsid w:val="00202306"/>
    <w:rsid w:val="00202329"/>
    <w:rsid w:val="00202344"/>
    <w:rsid w:val="00202384"/>
    <w:rsid w:val="00202396"/>
    <w:rsid w:val="00202399"/>
    <w:rsid w:val="002023D0"/>
    <w:rsid w:val="00202686"/>
    <w:rsid w:val="00202695"/>
    <w:rsid w:val="002026F2"/>
    <w:rsid w:val="00202748"/>
    <w:rsid w:val="00202764"/>
    <w:rsid w:val="00202779"/>
    <w:rsid w:val="0020280E"/>
    <w:rsid w:val="00202819"/>
    <w:rsid w:val="002028B1"/>
    <w:rsid w:val="002028E0"/>
    <w:rsid w:val="0020296E"/>
    <w:rsid w:val="00202991"/>
    <w:rsid w:val="00202ABE"/>
    <w:rsid w:val="00202B20"/>
    <w:rsid w:val="00202B50"/>
    <w:rsid w:val="00202BA4"/>
    <w:rsid w:val="00202C0F"/>
    <w:rsid w:val="00202C3C"/>
    <w:rsid w:val="00202C59"/>
    <w:rsid w:val="00202C8F"/>
    <w:rsid w:val="00202DF1"/>
    <w:rsid w:val="00202E77"/>
    <w:rsid w:val="00202E87"/>
    <w:rsid w:val="00202E92"/>
    <w:rsid w:val="00202EC6"/>
    <w:rsid w:val="00202F1C"/>
    <w:rsid w:val="00202F5F"/>
    <w:rsid w:val="00202F8E"/>
    <w:rsid w:val="00202FAA"/>
    <w:rsid w:val="00202FB0"/>
    <w:rsid w:val="00203072"/>
    <w:rsid w:val="002030C3"/>
    <w:rsid w:val="002030DF"/>
    <w:rsid w:val="002030E0"/>
    <w:rsid w:val="00203161"/>
    <w:rsid w:val="002032BF"/>
    <w:rsid w:val="002032FE"/>
    <w:rsid w:val="00203362"/>
    <w:rsid w:val="002033BC"/>
    <w:rsid w:val="0020341F"/>
    <w:rsid w:val="0020345E"/>
    <w:rsid w:val="00203469"/>
    <w:rsid w:val="0020347A"/>
    <w:rsid w:val="0020348F"/>
    <w:rsid w:val="0020349A"/>
    <w:rsid w:val="00203588"/>
    <w:rsid w:val="00203603"/>
    <w:rsid w:val="00203615"/>
    <w:rsid w:val="0020363D"/>
    <w:rsid w:val="00203662"/>
    <w:rsid w:val="002036B9"/>
    <w:rsid w:val="0020372E"/>
    <w:rsid w:val="002037D2"/>
    <w:rsid w:val="0020385D"/>
    <w:rsid w:val="002038D4"/>
    <w:rsid w:val="002038E7"/>
    <w:rsid w:val="00203932"/>
    <w:rsid w:val="0020396B"/>
    <w:rsid w:val="00203979"/>
    <w:rsid w:val="00203993"/>
    <w:rsid w:val="002039FD"/>
    <w:rsid w:val="00203A4E"/>
    <w:rsid w:val="00203B20"/>
    <w:rsid w:val="00203B50"/>
    <w:rsid w:val="00203B8B"/>
    <w:rsid w:val="00203D2C"/>
    <w:rsid w:val="00203D5B"/>
    <w:rsid w:val="00203DA9"/>
    <w:rsid w:val="00203EDA"/>
    <w:rsid w:val="002040A3"/>
    <w:rsid w:val="002040C1"/>
    <w:rsid w:val="002041B3"/>
    <w:rsid w:val="002042B1"/>
    <w:rsid w:val="0020437C"/>
    <w:rsid w:val="002043BA"/>
    <w:rsid w:val="0020443A"/>
    <w:rsid w:val="0020444C"/>
    <w:rsid w:val="0020448B"/>
    <w:rsid w:val="002044CB"/>
    <w:rsid w:val="00204521"/>
    <w:rsid w:val="00204559"/>
    <w:rsid w:val="0020455F"/>
    <w:rsid w:val="002045A0"/>
    <w:rsid w:val="00204663"/>
    <w:rsid w:val="00204670"/>
    <w:rsid w:val="002046C9"/>
    <w:rsid w:val="00204730"/>
    <w:rsid w:val="00204776"/>
    <w:rsid w:val="00204899"/>
    <w:rsid w:val="0020489F"/>
    <w:rsid w:val="002048E4"/>
    <w:rsid w:val="00204924"/>
    <w:rsid w:val="0020495D"/>
    <w:rsid w:val="00204988"/>
    <w:rsid w:val="00204997"/>
    <w:rsid w:val="00204A79"/>
    <w:rsid w:val="00204AA3"/>
    <w:rsid w:val="00204B1B"/>
    <w:rsid w:val="00204B43"/>
    <w:rsid w:val="00204B4A"/>
    <w:rsid w:val="00204B71"/>
    <w:rsid w:val="00204B7E"/>
    <w:rsid w:val="00204C95"/>
    <w:rsid w:val="00204CBD"/>
    <w:rsid w:val="00204CCC"/>
    <w:rsid w:val="00204CE9"/>
    <w:rsid w:val="00204CF4"/>
    <w:rsid w:val="00204D32"/>
    <w:rsid w:val="00204DA4"/>
    <w:rsid w:val="00204DE5"/>
    <w:rsid w:val="00204E10"/>
    <w:rsid w:val="00204E38"/>
    <w:rsid w:val="00204EE9"/>
    <w:rsid w:val="00204F1C"/>
    <w:rsid w:val="00204F26"/>
    <w:rsid w:val="00204FBC"/>
    <w:rsid w:val="00205036"/>
    <w:rsid w:val="0020508E"/>
    <w:rsid w:val="002050A7"/>
    <w:rsid w:val="00205144"/>
    <w:rsid w:val="00205187"/>
    <w:rsid w:val="002051C1"/>
    <w:rsid w:val="00205210"/>
    <w:rsid w:val="0020522D"/>
    <w:rsid w:val="00205281"/>
    <w:rsid w:val="002052A2"/>
    <w:rsid w:val="002052C4"/>
    <w:rsid w:val="0020536C"/>
    <w:rsid w:val="00205444"/>
    <w:rsid w:val="002055A1"/>
    <w:rsid w:val="002055C6"/>
    <w:rsid w:val="00205689"/>
    <w:rsid w:val="0020574B"/>
    <w:rsid w:val="0020577C"/>
    <w:rsid w:val="00205854"/>
    <w:rsid w:val="0020586B"/>
    <w:rsid w:val="00205891"/>
    <w:rsid w:val="00205906"/>
    <w:rsid w:val="0020599A"/>
    <w:rsid w:val="00205A5A"/>
    <w:rsid w:val="00205AB6"/>
    <w:rsid w:val="00205AB7"/>
    <w:rsid w:val="00205B58"/>
    <w:rsid w:val="00205BA0"/>
    <w:rsid w:val="00205C49"/>
    <w:rsid w:val="00205C57"/>
    <w:rsid w:val="00205CDC"/>
    <w:rsid w:val="00205D1C"/>
    <w:rsid w:val="00205D63"/>
    <w:rsid w:val="00205D91"/>
    <w:rsid w:val="00205E7F"/>
    <w:rsid w:val="00205EE0"/>
    <w:rsid w:val="00205FA4"/>
    <w:rsid w:val="00205FC6"/>
    <w:rsid w:val="0020619B"/>
    <w:rsid w:val="002061B2"/>
    <w:rsid w:val="002061D6"/>
    <w:rsid w:val="00206219"/>
    <w:rsid w:val="00206240"/>
    <w:rsid w:val="00206267"/>
    <w:rsid w:val="002062B6"/>
    <w:rsid w:val="00206311"/>
    <w:rsid w:val="00206319"/>
    <w:rsid w:val="002063FC"/>
    <w:rsid w:val="00206425"/>
    <w:rsid w:val="0020643A"/>
    <w:rsid w:val="002064BE"/>
    <w:rsid w:val="00206510"/>
    <w:rsid w:val="00206593"/>
    <w:rsid w:val="002065CA"/>
    <w:rsid w:val="002065CC"/>
    <w:rsid w:val="002066CF"/>
    <w:rsid w:val="002067C2"/>
    <w:rsid w:val="00206864"/>
    <w:rsid w:val="00206890"/>
    <w:rsid w:val="002068F5"/>
    <w:rsid w:val="00206A2B"/>
    <w:rsid w:val="00206A33"/>
    <w:rsid w:val="00206ADC"/>
    <w:rsid w:val="00206B0F"/>
    <w:rsid w:val="00206B45"/>
    <w:rsid w:val="00206BF5"/>
    <w:rsid w:val="00206C06"/>
    <w:rsid w:val="00206C0F"/>
    <w:rsid w:val="00206C40"/>
    <w:rsid w:val="00206CF1"/>
    <w:rsid w:val="00206D66"/>
    <w:rsid w:val="00206D8E"/>
    <w:rsid w:val="00206D9F"/>
    <w:rsid w:val="00206DAF"/>
    <w:rsid w:val="00206DEA"/>
    <w:rsid w:val="00206E0D"/>
    <w:rsid w:val="00206E23"/>
    <w:rsid w:val="00206E83"/>
    <w:rsid w:val="00206EEB"/>
    <w:rsid w:val="00206F37"/>
    <w:rsid w:val="00206F6F"/>
    <w:rsid w:val="0020702F"/>
    <w:rsid w:val="002070BE"/>
    <w:rsid w:val="002070C1"/>
    <w:rsid w:val="00207147"/>
    <w:rsid w:val="00207168"/>
    <w:rsid w:val="0020718E"/>
    <w:rsid w:val="002071AA"/>
    <w:rsid w:val="002071BB"/>
    <w:rsid w:val="00207262"/>
    <w:rsid w:val="00207292"/>
    <w:rsid w:val="00207310"/>
    <w:rsid w:val="00207370"/>
    <w:rsid w:val="002073DA"/>
    <w:rsid w:val="002073ED"/>
    <w:rsid w:val="00207416"/>
    <w:rsid w:val="002074AE"/>
    <w:rsid w:val="0020759B"/>
    <w:rsid w:val="0020768C"/>
    <w:rsid w:val="00207694"/>
    <w:rsid w:val="00207719"/>
    <w:rsid w:val="00207768"/>
    <w:rsid w:val="00207773"/>
    <w:rsid w:val="00207779"/>
    <w:rsid w:val="002077A2"/>
    <w:rsid w:val="002077EA"/>
    <w:rsid w:val="002077F0"/>
    <w:rsid w:val="00207863"/>
    <w:rsid w:val="002078B8"/>
    <w:rsid w:val="00207904"/>
    <w:rsid w:val="002079CE"/>
    <w:rsid w:val="00207A7D"/>
    <w:rsid w:val="00207A94"/>
    <w:rsid w:val="00207AE4"/>
    <w:rsid w:val="00207B07"/>
    <w:rsid w:val="00207BB3"/>
    <w:rsid w:val="00207BF0"/>
    <w:rsid w:val="00207C4F"/>
    <w:rsid w:val="00207D44"/>
    <w:rsid w:val="00207D70"/>
    <w:rsid w:val="00207D7C"/>
    <w:rsid w:val="00207E24"/>
    <w:rsid w:val="00207E48"/>
    <w:rsid w:val="00207E8B"/>
    <w:rsid w:val="00207F12"/>
    <w:rsid w:val="00207F1B"/>
    <w:rsid w:val="00207F70"/>
    <w:rsid w:val="00207F93"/>
    <w:rsid w:val="00207F9F"/>
    <w:rsid w:val="00207FB6"/>
    <w:rsid w:val="00210066"/>
    <w:rsid w:val="002100B7"/>
    <w:rsid w:val="00210165"/>
    <w:rsid w:val="002101E7"/>
    <w:rsid w:val="002101F9"/>
    <w:rsid w:val="00210235"/>
    <w:rsid w:val="00210258"/>
    <w:rsid w:val="0021026D"/>
    <w:rsid w:val="0021028A"/>
    <w:rsid w:val="00210332"/>
    <w:rsid w:val="002103A6"/>
    <w:rsid w:val="002103C3"/>
    <w:rsid w:val="0021040E"/>
    <w:rsid w:val="00210423"/>
    <w:rsid w:val="002104A7"/>
    <w:rsid w:val="0021058F"/>
    <w:rsid w:val="002105B5"/>
    <w:rsid w:val="00210706"/>
    <w:rsid w:val="00210742"/>
    <w:rsid w:val="00210778"/>
    <w:rsid w:val="0021079A"/>
    <w:rsid w:val="00210888"/>
    <w:rsid w:val="0021088D"/>
    <w:rsid w:val="002108C8"/>
    <w:rsid w:val="002108D2"/>
    <w:rsid w:val="002108DA"/>
    <w:rsid w:val="00210917"/>
    <w:rsid w:val="00210993"/>
    <w:rsid w:val="002109B9"/>
    <w:rsid w:val="002109C7"/>
    <w:rsid w:val="002109E7"/>
    <w:rsid w:val="00210A71"/>
    <w:rsid w:val="00210A9C"/>
    <w:rsid w:val="00210B71"/>
    <w:rsid w:val="00210BD0"/>
    <w:rsid w:val="00210C42"/>
    <w:rsid w:val="00210D15"/>
    <w:rsid w:val="00210D46"/>
    <w:rsid w:val="00210DD2"/>
    <w:rsid w:val="00210DEF"/>
    <w:rsid w:val="00210E85"/>
    <w:rsid w:val="00210EA1"/>
    <w:rsid w:val="00210EF1"/>
    <w:rsid w:val="00210F8B"/>
    <w:rsid w:val="00210F95"/>
    <w:rsid w:val="00211050"/>
    <w:rsid w:val="002110DC"/>
    <w:rsid w:val="0021122F"/>
    <w:rsid w:val="00211244"/>
    <w:rsid w:val="002112B0"/>
    <w:rsid w:val="002112B8"/>
    <w:rsid w:val="002113C5"/>
    <w:rsid w:val="00211403"/>
    <w:rsid w:val="0021141E"/>
    <w:rsid w:val="00211436"/>
    <w:rsid w:val="00211483"/>
    <w:rsid w:val="00211484"/>
    <w:rsid w:val="00211490"/>
    <w:rsid w:val="00211535"/>
    <w:rsid w:val="0021154A"/>
    <w:rsid w:val="0021163F"/>
    <w:rsid w:val="00211680"/>
    <w:rsid w:val="0021169C"/>
    <w:rsid w:val="002116F4"/>
    <w:rsid w:val="00211722"/>
    <w:rsid w:val="00211743"/>
    <w:rsid w:val="00211774"/>
    <w:rsid w:val="00211797"/>
    <w:rsid w:val="002117B1"/>
    <w:rsid w:val="00211804"/>
    <w:rsid w:val="00211824"/>
    <w:rsid w:val="0021185A"/>
    <w:rsid w:val="00211863"/>
    <w:rsid w:val="00211880"/>
    <w:rsid w:val="002118A5"/>
    <w:rsid w:val="002118F3"/>
    <w:rsid w:val="0021197D"/>
    <w:rsid w:val="002119CC"/>
    <w:rsid w:val="002119F8"/>
    <w:rsid w:val="00211A44"/>
    <w:rsid w:val="00211ABD"/>
    <w:rsid w:val="00211AD3"/>
    <w:rsid w:val="00211BD2"/>
    <w:rsid w:val="00211C0E"/>
    <w:rsid w:val="00211C19"/>
    <w:rsid w:val="00211C42"/>
    <w:rsid w:val="00211C81"/>
    <w:rsid w:val="00211CA4"/>
    <w:rsid w:val="00211D14"/>
    <w:rsid w:val="00211D59"/>
    <w:rsid w:val="00211DE0"/>
    <w:rsid w:val="00211DFE"/>
    <w:rsid w:val="00211E4E"/>
    <w:rsid w:val="00211E6D"/>
    <w:rsid w:val="00211FBC"/>
    <w:rsid w:val="0021205D"/>
    <w:rsid w:val="00212133"/>
    <w:rsid w:val="002121A7"/>
    <w:rsid w:val="00212235"/>
    <w:rsid w:val="00212265"/>
    <w:rsid w:val="002122A6"/>
    <w:rsid w:val="0021230E"/>
    <w:rsid w:val="002123C9"/>
    <w:rsid w:val="00212457"/>
    <w:rsid w:val="0021247B"/>
    <w:rsid w:val="002124F0"/>
    <w:rsid w:val="00212523"/>
    <w:rsid w:val="0021254A"/>
    <w:rsid w:val="0021260F"/>
    <w:rsid w:val="002126E1"/>
    <w:rsid w:val="00212736"/>
    <w:rsid w:val="002127DB"/>
    <w:rsid w:val="00212867"/>
    <w:rsid w:val="00212883"/>
    <w:rsid w:val="002128E9"/>
    <w:rsid w:val="0021297F"/>
    <w:rsid w:val="002129EF"/>
    <w:rsid w:val="00212B1D"/>
    <w:rsid w:val="00212B2C"/>
    <w:rsid w:val="00212B7A"/>
    <w:rsid w:val="00212B7B"/>
    <w:rsid w:val="00212BEA"/>
    <w:rsid w:val="00212C82"/>
    <w:rsid w:val="00212CA4"/>
    <w:rsid w:val="00212CE1"/>
    <w:rsid w:val="00212CEC"/>
    <w:rsid w:val="00212D09"/>
    <w:rsid w:val="00212D56"/>
    <w:rsid w:val="00212DAA"/>
    <w:rsid w:val="00212DED"/>
    <w:rsid w:val="00212E63"/>
    <w:rsid w:val="00212E85"/>
    <w:rsid w:val="00212E87"/>
    <w:rsid w:val="00212EB7"/>
    <w:rsid w:val="00212EBD"/>
    <w:rsid w:val="00212F1E"/>
    <w:rsid w:val="00212FD9"/>
    <w:rsid w:val="0021306F"/>
    <w:rsid w:val="002130BA"/>
    <w:rsid w:val="00213195"/>
    <w:rsid w:val="002131BF"/>
    <w:rsid w:val="0021327A"/>
    <w:rsid w:val="00213281"/>
    <w:rsid w:val="0021328D"/>
    <w:rsid w:val="00213296"/>
    <w:rsid w:val="0021329D"/>
    <w:rsid w:val="002132F5"/>
    <w:rsid w:val="00213314"/>
    <w:rsid w:val="0021335D"/>
    <w:rsid w:val="002133B3"/>
    <w:rsid w:val="002133DB"/>
    <w:rsid w:val="0021342F"/>
    <w:rsid w:val="002134D7"/>
    <w:rsid w:val="00213525"/>
    <w:rsid w:val="00213566"/>
    <w:rsid w:val="0021356A"/>
    <w:rsid w:val="002136AC"/>
    <w:rsid w:val="0021373C"/>
    <w:rsid w:val="002137DD"/>
    <w:rsid w:val="002137FD"/>
    <w:rsid w:val="0021387E"/>
    <w:rsid w:val="002138EA"/>
    <w:rsid w:val="002138ED"/>
    <w:rsid w:val="00213993"/>
    <w:rsid w:val="00213994"/>
    <w:rsid w:val="002139A7"/>
    <w:rsid w:val="002139D8"/>
    <w:rsid w:val="00213A14"/>
    <w:rsid w:val="00213A28"/>
    <w:rsid w:val="00213A7D"/>
    <w:rsid w:val="00213AA6"/>
    <w:rsid w:val="00213AE1"/>
    <w:rsid w:val="00213B98"/>
    <w:rsid w:val="00213BCB"/>
    <w:rsid w:val="00213CC0"/>
    <w:rsid w:val="00213CC4"/>
    <w:rsid w:val="00213CCA"/>
    <w:rsid w:val="00213D12"/>
    <w:rsid w:val="00213D17"/>
    <w:rsid w:val="00213D1B"/>
    <w:rsid w:val="00213DA0"/>
    <w:rsid w:val="00213DE7"/>
    <w:rsid w:val="00213E18"/>
    <w:rsid w:val="00213E33"/>
    <w:rsid w:val="00213E63"/>
    <w:rsid w:val="00213EAD"/>
    <w:rsid w:val="00213F59"/>
    <w:rsid w:val="00213F8E"/>
    <w:rsid w:val="00213FD4"/>
    <w:rsid w:val="00214071"/>
    <w:rsid w:val="002140A5"/>
    <w:rsid w:val="00214164"/>
    <w:rsid w:val="002141A0"/>
    <w:rsid w:val="00214262"/>
    <w:rsid w:val="00214273"/>
    <w:rsid w:val="00214313"/>
    <w:rsid w:val="002143A5"/>
    <w:rsid w:val="002143B9"/>
    <w:rsid w:val="00214460"/>
    <w:rsid w:val="00214477"/>
    <w:rsid w:val="002144E8"/>
    <w:rsid w:val="00214637"/>
    <w:rsid w:val="002146AD"/>
    <w:rsid w:val="002146AF"/>
    <w:rsid w:val="0021470A"/>
    <w:rsid w:val="0021483B"/>
    <w:rsid w:val="002148C2"/>
    <w:rsid w:val="002148CF"/>
    <w:rsid w:val="002148F0"/>
    <w:rsid w:val="0021491B"/>
    <w:rsid w:val="00214953"/>
    <w:rsid w:val="0021498D"/>
    <w:rsid w:val="0021499F"/>
    <w:rsid w:val="002149F1"/>
    <w:rsid w:val="00214A8A"/>
    <w:rsid w:val="00214C0A"/>
    <w:rsid w:val="00214C62"/>
    <w:rsid w:val="00214C64"/>
    <w:rsid w:val="00214CA9"/>
    <w:rsid w:val="00214D61"/>
    <w:rsid w:val="00214DEB"/>
    <w:rsid w:val="00214F64"/>
    <w:rsid w:val="00214FA8"/>
    <w:rsid w:val="00214FB9"/>
    <w:rsid w:val="00215008"/>
    <w:rsid w:val="00215084"/>
    <w:rsid w:val="00215198"/>
    <w:rsid w:val="002152E5"/>
    <w:rsid w:val="0021530F"/>
    <w:rsid w:val="00215316"/>
    <w:rsid w:val="00215377"/>
    <w:rsid w:val="0021540A"/>
    <w:rsid w:val="0021541C"/>
    <w:rsid w:val="0021543C"/>
    <w:rsid w:val="0021548B"/>
    <w:rsid w:val="0021552E"/>
    <w:rsid w:val="0021553A"/>
    <w:rsid w:val="0021558C"/>
    <w:rsid w:val="0021559C"/>
    <w:rsid w:val="002155E7"/>
    <w:rsid w:val="0021561F"/>
    <w:rsid w:val="0021564D"/>
    <w:rsid w:val="002156A7"/>
    <w:rsid w:val="002156CD"/>
    <w:rsid w:val="002156CF"/>
    <w:rsid w:val="00215765"/>
    <w:rsid w:val="0021576C"/>
    <w:rsid w:val="002157F5"/>
    <w:rsid w:val="002157F9"/>
    <w:rsid w:val="0021582E"/>
    <w:rsid w:val="002158C2"/>
    <w:rsid w:val="00215920"/>
    <w:rsid w:val="00215944"/>
    <w:rsid w:val="00215A73"/>
    <w:rsid w:val="00215A8B"/>
    <w:rsid w:val="00215ADB"/>
    <w:rsid w:val="00215B2D"/>
    <w:rsid w:val="00215B93"/>
    <w:rsid w:val="00215BFF"/>
    <w:rsid w:val="00215CA3"/>
    <w:rsid w:val="00215CD0"/>
    <w:rsid w:val="00215DE4"/>
    <w:rsid w:val="00215DEE"/>
    <w:rsid w:val="00215E3D"/>
    <w:rsid w:val="00215E6E"/>
    <w:rsid w:val="00215E70"/>
    <w:rsid w:val="00215EAF"/>
    <w:rsid w:val="00215EB5"/>
    <w:rsid w:val="00215EC2"/>
    <w:rsid w:val="00215F53"/>
    <w:rsid w:val="00215F55"/>
    <w:rsid w:val="002160A6"/>
    <w:rsid w:val="002160E0"/>
    <w:rsid w:val="002160E9"/>
    <w:rsid w:val="00216181"/>
    <w:rsid w:val="0021619C"/>
    <w:rsid w:val="00216214"/>
    <w:rsid w:val="00216221"/>
    <w:rsid w:val="00216228"/>
    <w:rsid w:val="00216256"/>
    <w:rsid w:val="0021634B"/>
    <w:rsid w:val="002164AF"/>
    <w:rsid w:val="002164B2"/>
    <w:rsid w:val="002164B8"/>
    <w:rsid w:val="00216594"/>
    <w:rsid w:val="002165C8"/>
    <w:rsid w:val="00216606"/>
    <w:rsid w:val="00216671"/>
    <w:rsid w:val="002166D7"/>
    <w:rsid w:val="0021677B"/>
    <w:rsid w:val="00216791"/>
    <w:rsid w:val="002167FA"/>
    <w:rsid w:val="00216821"/>
    <w:rsid w:val="0021689D"/>
    <w:rsid w:val="002168E2"/>
    <w:rsid w:val="0021698C"/>
    <w:rsid w:val="00216999"/>
    <w:rsid w:val="002169D8"/>
    <w:rsid w:val="00216A42"/>
    <w:rsid w:val="00216A76"/>
    <w:rsid w:val="00216ACA"/>
    <w:rsid w:val="00216B23"/>
    <w:rsid w:val="00216B53"/>
    <w:rsid w:val="00216B95"/>
    <w:rsid w:val="00216BAD"/>
    <w:rsid w:val="00216BD3"/>
    <w:rsid w:val="00216C83"/>
    <w:rsid w:val="00216CF2"/>
    <w:rsid w:val="00216DA5"/>
    <w:rsid w:val="00216DAA"/>
    <w:rsid w:val="00216DD3"/>
    <w:rsid w:val="00216E23"/>
    <w:rsid w:val="00216EF9"/>
    <w:rsid w:val="00216F56"/>
    <w:rsid w:val="00216F5A"/>
    <w:rsid w:val="00216FEE"/>
    <w:rsid w:val="00216FFA"/>
    <w:rsid w:val="0021702E"/>
    <w:rsid w:val="002170D4"/>
    <w:rsid w:val="002170DE"/>
    <w:rsid w:val="002170EB"/>
    <w:rsid w:val="002171EE"/>
    <w:rsid w:val="0021725F"/>
    <w:rsid w:val="002173C0"/>
    <w:rsid w:val="002173D4"/>
    <w:rsid w:val="00217449"/>
    <w:rsid w:val="0021746A"/>
    <w:rsid w:val="00217496"/>
    <w:rsid w:val="002174A2"/>
    <w:rsid w:val="002174CC"/>
    <w:rsid w:val="002174E9"/>
    <w:rsid w:val="002174F5"/>
    <w:rsid w:val="002174F7"/>
    <w:rsid w:val="00217604"/>
    <w:rsid w:val="002176B3"/>
    <w:rsid w:val="002176DA"/>
    <w:rsid w:val="00217754"/>
    <w:rsid w:val="00217768"/>
    <w:rsid w:val="002177DD"/>
    <w:rsid w:val="002177F8"/>
    <w:rsid w:val="002177FE"/>
    <w:rsid w:val="00217801"/>
    <w:rsid w:val="002178EE"/>
    <w:rsid w:val="00217922"/>
    <w:rsid w:val="0021792B"/>
    <w:rsid w:val="00217998"/>
    <w:rsid w:val="002179BD"/>
    <w:rsid w:val="002179E9"/>
    <w:rsid w:val="002179F3"/>
    <w:rsid w:val="00217A61"/>
    <w:rsid w:val="00217A6F"/>
    <w:rsid w:val="00217B67"/>
    <w:rsid w:val="00217B89"/>
    <w:rsid w:val="00217B92"/>
    <w:rsid w:val="00217BEE"/>
    <w:rsid w:val="00217C67"/>
    <w:rsid w:val="00217CF7"/>
    <w:rsid w:val="00217D39"/>
    <w:rsid w:val="00217DF1"/>
    <w:rsid w:val="00217F4F"/>
    <w:rsid w:val="00217F53"/>
    <w:rsid w:val="00217F80"/>
    <w:rsid w:val="00217FC4"/>
    <w:rsid w:val="00217FCC"/>
    <w:rsid w:val="0022007E"/>
    <w:rsid w:val="00220125"/>
    <w:rsid w:val="00220132"/>
    <w:rsid w:val="0022014B"/>
    <w:rsid w:val="0022019A"/>
    <w:rsid w:val="00220317"/>
    <w:rsid w:val="0022031D"/>
    <w:rsid w:val="0022035B"/>
    <w:rsid w:val="0022036B"/>
    <w:rsid w:val="0022039B"/>
    <w:rsid w:val="002204E8"/>
    <w:rsid w:val="002205A4"/>
    <w:rsid w:val="002205EB"/>
    <w:rsid w:val="00220604"/>
    <w:rsid w:val="0022067D"/>
    <w:rsid w:val="00220699"/>
    <w:rsid w:val="0022069D"/>
    <w:rsid w:val="002206A9"/>
    <w:rsid w:val="0022074E"/>
    <w:rsid w:val="0022075C"/>
    <w:rsid w:val="002207FD"/>
    <w:rsid w:val="00220830"/>
    <w:rsid w:val="00220905"/>
    <w:rsid w:val="00220925"/>
    <w:rsid w:val="00220A06"/>
    <w:rsid w:val="00220A33"/>
    <w:rsid w:val="00220B39"/>
    <w:rsid w:val="00220BE0"/>
    <w:rsid w:val="00220BEE"/>
    <w:rsid w:val="00220CBF"/>
    <w:rsid w:val="00220D7E"/>
    <w:rsid w:val="00220D8F"/>
    <w:rsid w:val="00220DC1"/>
    <w:rsid w:val="00220DC3"/>
    <w:rsid w:val="00220DD9"/>
    <w:rsid w:val="00220E00"/>
    <w:rsid w:val="00220E34"/>
    <w:rsid w:val="00220E3B"/>
    <w:rsid w:val="00220EB5"/>
    <w:rsid w:val="00220EB8"/>
    <w:rsid w:val="00220F2D"/>
    <w:rsid w:val="00220F4A"/>
    <w:rsid w:val="00220FC7"/>
    <w:rsid w:val="00220FC8"/>
    <w:rsid w:val="00221008"/>
    <w:rsid w:val="00221037"/>
    <w:rsid w:val="0022103D"/>
    <w:rsid w:val="002210B6"/>
    <w:rsid w:val="002210D3"/>
    <w:rsid w:val="0022111E"/>
    <w:rsid w:val="00221135"/>
    <w:rsid w:val="00221255"/>
    <w:rsid w:val="002212AA"/>
    <w:rsid w:val="0022130D"/>
    <w:rsid w:val="0022131B"/>
    <w:rsid w:val="00221359"/>
    <w:rsid w:val="0022137B"/>
    <w:rsid w:val="00221384"/>
    <w:rsid w:val="002213DB"/>
    <w:rsid w:val="00221441"/>
    <w:rsid w:val="00221519"/>
    <w:rsid w:val="002215D4"/>
    <w:rsid w:val="00221609"/>
    <w:rsid w:val="00221697"/>
    <w:rsid w:val="0022169C"/>
    <w:rsid w:val="002216C3"/>
    <w:rsid w:val="00221726"/>
    <w:rsid w:val="0022173A"/>
    <w:rsid w:val="00221794"/>
    <w:rsid w:val="002217B7"/>
    <w:rsid w:val="002217E4"/>
    <w:rsid w:val="0022187D"/>
    <w:rsid w:val="002218AB"/>
    <w:rsid w:val="00221A02"/>
    <w:rsid w:val="00221A31"/>
    <w:rsid w:val="00221B08"/>
    <w:rsid w:val="00221B1D"/>
    <w:rsid w:val="00221B60"/>
    <w:rsid w:val="00221B7D"/>
    <w:rsid w:val="00221C32"/>
    <w:rsid w:val="00221CBB"/>
    <w:rsid w:val="00221D14"/>
    <w:rsid w:val="00221DDE"/>
    <w:rsid w:val="00221DEE"/>
    <w:rsid w:val="00221E01"/>
    <w:rsid w:val="00221E1D"/>
    <w:rsid w:val="00221E43"/>
    <w:rsid w:val="00221EB3"/>
    <w:rsid w:val="00221ED5"/>
    <w:rsid w:val="00221EF2"/>
    <w:rsid w:val="00221F31"/>
    <w:rsid w:val="00221F36"/>
    <w:rsid w:val="00221F62"/>
    <w:rsid w:val="00221F90"/>
    <w:rsid w:val="00221F9F"/>
    <w:rsid w:val="00222085"/>
    <w:rsid w:val="00222086"/>
    <w:rsid w:val="00222182"/>
    <w:rsid w:val="002221F3"/>
    <w:rsid w:val="002222CA"/>
    <w:rsid w:val="0022234E"/>
    <w:rsid w:val="002223A1"/>
    <w:rsid w:val="00222499"/>
    <w:rsid w:val="002224D7"/>
    <w:rsid w:val="002224F2"/>
    <w:rsid w:val="00222516"/>
    <w:rsid w:val="00222548"/>
    <w:rsid w:val="0022256C"/>
    <w:rsid w:val="002225AC"/>
    <w:rsid w:val="00222604"/>
    <w:rsid w:val="00222621"/>
    <w:rsid w:val="00222694"/>
    <w:rsid w:val="002226FB"/>
    <w:rsid w:val="00222866"/>
    <w:rsid w:val="002228EE"/>
    <w:rsid w:val="002228FC"/>
    <w:rsid w:val="00222977"/>
    <w:rsid w:val="00222A01"/>
    <w:rsid w:val="00222A18"/>
    <w:rsid w:val="00222A8C"/>
    <w:rsid w:val="00222A9A"/>
    <w:rsid w:val="00222AAA"/>
    <w:rsid w:val="00222B38"/>
    <w:rsid w:val="00222B54"/>
    <w:rsid w:val="00222BC7"/>
    <w:rsid w:val="00222C25"/>
    <w:rsid w:val="00222C2C"/>
    <w:rsid w:val="00222C94"/>
    <w:rsid w:val="00222CD8"/>
    <w:rsid w:val="00222D2F"/>
    <w:rsid w:val="00222DA6"/>
    <w:rsid w:val="00222DC0"/>
    <w:rsid w:val="00222F44"/>
    <w:rsid w:val="0022305F"/>
    <w:rsid w:val="00223070"/>
    <w:rsid w:val="00223215"/>
    <w:rsid w:val="00223362"/>
    <w:rsid w:val="0022340C"/>
    <w:rsid w:val="00223435"/>
    <w:rsid w:val="00223444"/>
    <w:rsid w:val="00223462"/>
    <w:rsid w:val="002234AF"/>
    <w:rsid w:val="0022362F"/>
    <w:rsid w:val="00223735"/>
    <w:rsid w:val="0022374D"/>
    <w:rsid w:val="00223757"/>
    <w:rsid w:val="002237DC"/>
    <w:rsid w:val="002237F8"/>
    <w:rsid w:val="00223829"/>
    <w:rsid w:val="00223866"/>
    <w:rsid w:val="0022388B"/>
    <w:rsid w:val="002238ED"/>
    <w:rsid w:val="0022393A"/>
    <w:rsid w:val="0022397E"/>
    <w:rsid w:val="00223A71"/>
    <w:rsid w:val="00223BB4"/>
    <w:rsid w:val="00223C10"/>
    <w:rsid w:val="00223C32"/>
    <w:rsid w:val="00223D17"/>
    <w:rsid w:val="00223D6A"/>
    <w:rsid w:val="00223D8C"/>
    <w:rsid w:val="00223DA6"/>
    <w:rsid w:val="00223E39"/>
    <w:rsid w:val="00223E78"/>
    <w:rsid w:val="00223EEF"/>
    <w:rsid w:val="00223F88"/>
    <w:rsid w:val="00223F9E"/>
    <w:rsid w:val="00223FA5"/>
    <w:rsid w:val="00224071"/>
    <w:rsid w:val="002240BD"/>
    <w:rsid w:val="002240C7"/>
    <w:rsid w:val="002240EC"/>
    <w:rsid w:val="002241C8"/>
    <w:rsid w:val="002241D4"/>
    <w:rsid w:val="00224238"/>
    <w:rsid w:val="002242B4"/>
    <w:rsid w:val="002242CD"/>
    <w:rsid w:val="00224352"/>
    <w:rsid w:val="00224373"/>
    <w:rsid w:val="00224413"/>
    <w:rsid w:val="002244DA"/>
    <w:rsid w:val="0022451A"/>
    <w:rsid w:val="00224533"/>
    <w:rsid w:val="00224580"/>
    <w:rsid w:val="00224592"/>
    <w:rsid w:val="002245CA"/>
    <w:rsid w:val="002245D5"/>
    <w:rsid w:val="002245E6"/>
    <w:rsid w:val="002247C2"/>
    <w:rsid w:val="00224844"/>
    <w:rsid w:val="002248E7"/>
    <w:rsid w:val="00224938"/>
    <w:rsid w:val="002249DE"/>
    <w:rsid w:val="00224A2A"/>
    <w:rsid w:val="00224AB2"/>
    <w:rsid w:val="00224BDC"/>
    <w:rsid w:val="00224C17"/>
    <w:rsid w:val="00224C21"/>
    <w:rsid w:val="00224CE9"/>
    <w:rsid w:val="00224D79"/>
    <w:rsid w:val="00224D8D"/>
    <w:rsid w:val="00224D8F"/>
    <w:rsid w:val="00224DF4"/>
    <w:rsid w:val="00224E6D"/>
    <w:rsid w:val="00224F15"/>
    <w:rsid w:val="00224FC8"/>
    <w:rsid w:val="00225087"/>
    <w:rsid w:val="002250EA"/>
    <w:rsid w:val="00225118"/>
    <w:rsid w:val="002251F6"/>
    <w:rsid w:val="002251FB"/>
    <w:rsid w:val="00225222"/>
    <w:rsid w:val="0022524F"/>
    <w:rsid w:val="00225269"/>
    <w:rsid w:val="0022533B"/>
    <w:rsid w:val="0022533D"/>
    <w:rsid w:val="0022534A"/>
    <w:rsid w:val="0022540F"/>
    <w:rsid w:val="00225492"/>
    <w:rsid w:val="00225519"/>
    <w:rsid w:val="002255A2"/>
    <w:rsid w:val="002255B6"/>
    <w:rsid w:val="002255BE"/>
    <w:rsid w:val="002255C2"/>
    <w:rsid w:val="00225606"/>
    <w:rsid w:val="0022568B"/>
    <w:rsid w:val="0022568E"/>
    <w:rsid w:val="002256E7"/>
    <w:rsid w:val="00225703"/>
    <w:rsid w:val="00225768"/>
    <w:rsid w:val="00225862"/>
    <w:rsid w:val="002258E8"/>
    <w:rsid w:val="00225965"/>
    <w:rsid w:val="00225A8A"/>
    <w:rsid w:val="00225A94"/>
    <w:rsid w:val="00225AB4"/>
    <w:rsid w:val="00225B34"/>
    <w:rsid w:val="00225B44"/>
    <w:rsid w:val="00225B49"/>
    <w:rsid w:val="00225B92"/>
    <w:rsid w:val="00225B9A"/>
    <w:rsid w:val="00225CE8"/>
    <w:rsid w:val="00225D92"/>
    <w:rsid w:val="00225DC5"/>
    <w:rsid w:val="00225E1C"/>
    <w:rsid w:val="00225E3D"/>
    <w:rsid w:val="00225E68"/>
    <w:rsid w:val="00225F6D"/>
    <w:rsid w:val="00225F7F"/>
    <w:rsid w:val="00225FA5"/>
    <w:rsid w:val="00225FC9"/>
    <w:rsid w:val="00225FEF"/>
    <w:rsid w:val="00226050"/>
    <w:rsid w:val="00226097"/>
    <w:rsid w:val="002260D6"/>
    <w:rsid w:val="00226169"/>
    <w:rsid w:val="00226223"/>
    <w:rsid w:val="002262D2"/>
    <w:rsid w:val="00226338"/>
    <w:rsid w:val="0022637A"/>
    <w:rsid w:val="00226413"/>
    <w:rsid w:val="002264F7"/>
    <w:rsid w:val="0022652D"/>
    <w:rsid w:val="002265BF"/>
    <w:rsid w:val="00226636"/>
    <w:rsid w:val="00226653"/>
    <w:rsid w:val="0022669B"/>
    <w:rsid w:val="002266E2"/>
    <w:rsid w:val="002267AF"/>
    <w:rsid w:val="00226896"/>
    <w:rsid w:val="002268CD"/>
    <w:rsid w:val="002268D7"/>
    <w:rsid w:val="002268F1"/>
    <w:rsid w:val="002268F2"/>
    <w:rsid w:val="00226903"/>
    <w:rsid w:val="0022692A"/>
    <w:rsid w:val="00226973"/>
    <w:rsid w:val="00226A00"/>
    <w:rsid w:val="00226A10"/>
    <w:rsid w:val="00226A3B"/>
    <w:rsid w:val="00226A5C"/>
    <w:rsid w:val="00226A85"/>
    <w:rsid w:val="00226B49"/>
    <w:rsid w:val="00226C2D"/>
    <w:rsid w:val="00226C8B"/>
    <w:rsid w:val="00226C94"/>
    <w:rsid w:val="00226CEC"/>
    <w:rsid w:val="00226D51"/>
    <w:rsid w:val="00226D5D"/>
    <w:rsid w:val="00226D6A"/>
    <w:rsid w:val="00226D8C"/>
    <w:rsid w:val="00226E86"/>
    <w:rsid w:val="00226EBA"/>
    <w:rsid w:val="00226EBF"/>
    <w:rsid w:val="00226ECE"/>
    <w:rsid w:val="00226F5C"/>
    <w:rsid w:val="00226F83"/>
    <w:rsid w:val="00226F9B"/>
    <w:rsid w:val="00226FC1"/>
    <w:rsid w:val="00226FE0"/>
    <w:rsid w:val="00227033"/>
    <w:rsid w:val="002270BB"/>
    <w:rsid w:val="002270BC"/>
    <w:rsid w:val="002270BE"/>
    <w:rsid w:val="002270E0"/>
    <w:rsid w:val="00227190"/>
    <w:rsid w:val="00227191"/>
    <w:rsid w:val="002271B6"/>
    <w:rsid w:val="002271D5"/>
    <w:rsid w:val="002271E6"/>
    <w:rsid w:val="002272A2"/>
    <w:rsid w:val="002272FA"/>
    <w:rsid w:val="0022731D"/>
    <w:rsid w:val="00227382"/>
    <w:rsid w:val="00227398"/>
    <w:rsid w:val="002273D4"/>
    <w:rsid w:val="00227598"/>
    <w:rsid w:val="002275AB"/>
    <w:rsid w:val="002275E0"/>
    <w:rsid w:val="00227615"/>
    <w:rsid w:val="00227699"/>
    <w:rsid w:val="00227818"/>
    <w:rsid w:val="0022785E"/>
    <w:rsid w:val="002278CA"/>
    <w:rsid w:val="0022796A"/>
    <w:rsid w:val="0022798F"/>
    <w:rsid w:val="0022799C"/>
    <w:rsid w:val="00227A0D"/>
    <w:rsid w:val="00227A12"/>
    <w:rsid w:val="00227A3C"/>
    <w:rsid w:val="00227A55"/>
    <w:rsid w:val="00227AB8"/>
    <w:rsid w:val="00227AC2"/>
    <w:rsid w:val="00227BE0"/>
    <w:rsid w:val="00227BF2"/>
    <w:rsid w:val="00227C13"/>
    <w:rsid w:val="00227C66"/>
    <w:rsid w:val="00227C79"/>
    <w:rsid w:val="00227CEB"/>
    <w:rsid w:val="00227D8F"/>
    <w:rsid w:val="00227E72"/>
    <w:rsid w:val="00227E93"/>
    <w:rsid w:val="00227F1A"/>
    <w:rsid w:val="00227F86"/>
    <w:rsid w:val="00227FEA"/>
    <w:rsid w:val="0023006A"/>
    <w:rsid w:val="002300D8"/>
    <w:rsid w:val="002300F5"/>
    <w:rsid w:val="0023017F"/>
    <w:rsid w:val="002301D4"/>
    <w:rsid w:val="00230232"/>
    <w:rsid w:val="0023039B"/>
    <w:rsid w:val="002303BF"/>
    <w:rsid w:val="002303C8"/>
    <w:rsid w:val="002303D4"/>
    <w:rsid w:val="002303E3"/>
    <w:rsid w:val="00230441"/>
    <w:rsid w:val="00230480"/>
    <w:rsid w:val="00230495"/>
    <w:rsid w:val="00230592"/>
    <w:rsid w:val="00230618"/>
    <w:rsid w:val="0023061D"/>
    <w:rsid w:val="00230695"/>
    <w:rsid w:val="002306CA"/>
    <w:rsid w:val="002306CC"/>
    <w:rsid w:val="00230773"/>
    <w:rsid w:val="0023082D"/>
    <w:rsid w:val="0023083E"/>
    <w:rsid w:val="00230842"/>
    <w:rsid w:val="00230A25"/>
    <w:rsid w:val="00230BF9"/>
    <w:rsid w:val="00230CBF"/>
    <w:rsid w:val="00230CFA"/>
    <w:rsid w:val="00230D26"/>
    <w:rsid w:val="00230D7D"/>
    <w:rsid w:val="00230D8B"/>
    <w:rsid w:val="00230DF4"/>
    <w:rsid w:val="00230DF9"/>
    <w:rsid w:val="00230E37"/>
    <w:rsid w:val="00230EA8"/>
    <w:rsid w:val="00230EB9"/>
    <w:rsid w:val="00230EE9"/>
    <w:rsid w:val="00230F1B"/>
    <w:rsid w:val="00230F1E"/>
    <w:rsid w:val="00230F86"/>
    <w:rsid w:val="00230FA2"/>
    <w:rsid w:val="00231076"/>
    <w:rsid w:val="0023108E"/>
    <w:rsid w:val="002310B3"/>
    <w:rsid w:val="002310C5"/>
    <w:rsid w:val="0023117A"/>
    <w:rsid w:val="0023118E"/>
    <w:rsid w:val="002311BC"/>
    <w:rsid w:val="002311EE"/>
    <w:rsid w:val="002311F1"/>
    <w:rsid w:val="002312AC"/>
    <w:rsid w:val="002312BF"/>
    <w:rsid w:val="002312DF"/>
    <w:rsid w:val="00231388"/>
    <w:rsid w:val="0023138B"/>
    <w:rsid w:val="00231398"/>
    <w:rsid w:val="00231497"/>
    <w:rsid w:val="002314F6"/>
    <w:rsid w:val="0023150B"/>
    <w:rsid w:val="00231517"/>
    <w:rsid w:val="0023158E"/>
    <w:rsid w:val="0023159E"/>
    <w:rsid w:val="002315A5"/>
    <w:rsid w:val="002315AA"/>
    <w:rsid w:val="002315BB"/>
    <w:rsid w:val="0023176E"/>
    <w:rsid w:val="002317BD"/>
    <w:rsid w:val="0023182F"/>
    <w:rsid w:val="00231853"/>
    <w:rsid w:val="00231891"/>
    <w:rsid w:val="002318AD"/>
    <w:rsid w:val="002318C4"/>
    <w:rsid w:val="00231902"/>
    <w:rsid w:val="00231AEA"/>
    <w:rsid w:val="00231B6B"/>
    <w:rsid w:val="00231B8B"/>
    <w:rsid w:val="00231BC7"/>
    <w:rsid w:val="00231CCD"/>
    <w:rsid w:val="00231D8B"/>
    <w:rsid w:val="00231EF0"/>
    <w:rsid w:val="00231F53"/>
    <w:rsid w:val="00231FC7"/>
    <w:rsid w:val="00231FEE"/>
    <w:rsid w:val="00231FF9"/>
    <w:rsid w:val="0023202A"/>
    <w:rsid w:val="0023203B"/>
    <w:rsid w:val="00232051"/>
    <w:rsid w:val="00232081"/>
    <w:rsid w:val="00232108"/>
    <w:rsid w:val="0023213A"/>
    <w:rsid w:val="002321AD"/>
    <w:rsid w:val="00232220"/>
    <w:rsid w:val="0023224F"/>
    <w:rsid w:val="002322C2"/>
    <w:rsid w:val="00232382"/>
    <w:rsid w:val="002323AB"/>
    <w:rsid w:val="002323D6"/>
    <w:rsid w:val="002323F3"/>
    <w:rsid w:val="0023243F"/>
    <w:rsid w:val="002324FE"/>
    <w:rsid w:val="00232518"/>
    <w:rsid w:val="00232574"/>
    <w:rsid w:val="00232597"/>
    <w:rsid w:val="002325D7"/>
    <w:rsid w:val="0023265D"/>
    <w:rsid w:val="00232699"/>
    <w:rsid w:val="002326B0"/>
    <w:rsid w:val="002326CE"/>
    <w:rsid w:val="002327C9"/>
    <w:rsid w:val="00232833"/>
    <w:rsid w:val="00232849"/>
    <w:rsid w:val="002328A3"/>
    <w:rsid w:val="002328BC"/>
    <w:rsid w:val="00232A2A"/>
    <w:rsid w:val="00232A59"/>
    <w:rsid w:val="00232AD2"/>
    <w:rsid w:val="00232B39"/>
    <w:rsid w:val="00232B48"/>
    <w:rsid w:val="00232B6F"/>
    <w:rsid w:val="00232B71"/>
    <w:rsid w:val="00232B9F"/>
    <w:rsid w:val="00232C2C"/>
    <w:rsid w:val="00232C9A"/>
    <w:rsid w:val="00232CF4"/>
    <w:rsid w:val="00232CFC"/>
    <w:rsid w:val="00232D80"/>
    <w:rsid w:val="00232DDC"/>
    <w:rsid w:val="00232EBB"/>
    <w:rsid w:val="00232F83"/>
    <w:rsid w:val="00232FC3"/>
    <w:rsid w:val="0023301B"/>
    <w:rsid w:val="0023313F"/>
    <w:rsid w:val="00233294"/>
    <w:rsid w:val="00233326"/>
    <w:rsid w:val="0023336F"/>
    <w:rsid w:val="002333B4"/>
    <w:rsid w:val="002334E6"/>
    <w:rsid w:val="002335A0"/>
    <w:rsid w:val="002335A6"/>
    <w:rsid w:val="002335F0"/>
    <w:rsid w:val="0023360D"/>
    <w:rsid w:val="0023364B"/>
    <w:rsid w:val="002336B7"/>
    <w:rsid w:val="00233754"/>
    <w:rsid w:val="0023375C"/>
    <w:rsid w:val="0023376C"/>
    <w:rsid w:val="00233804"/>
    <w:rsid w:val="00233821"/>
    <w:rsid w:val="002338E4"/>
    <w:rsid w:val="002338F8"/>
    <w:rsid w:val="0023398E"/>
    <w:rsid w:val="002339BF"/>
    <w:rsid w:val="00233A38"/>
    <w:rsid w:val="00233A56"/>
    <w:rsid w:val="00233B17"/>
    <w:rsid w:val="00233B52"/>
    <w:rsid w:val="00233B6B"/>
    <w:rsid w:val="00233C99"/>
    <w:rsid w:val="00233D17"/>
    <w:rsid w:val="00233D80"/>
    <w:rsid w:val="00233D89"/>
    <w:rsid w:val="00233DE8"/>
    <w:rsid w:val="00233E34"/>
    <w:rsid w:val="00233E42"/>
    <w:rsid w:val="00233F03"/>
    <w:rsid w:val="00233F08"/>
    <w:rsid w:val="00233F0F"/>
    <w:rsid w:val="00233FC6"/>
    <w:rsid w:val="00234021"/>
    <w:rsid w:val="00234082"/>
    <w:rsid w:val="00234089"/>
    <w:rsid w:val="00234091"/>
    <w:rsid w:val="002340D9"/>
    <w:rsid w:val="002340ED"/>
    <w:rsid w:val="00234120"/>
    <w:rsid w:val="002341A2"/>
    <w:rsid w:val="002341A4"/>
    <w:rsid w:val="0023424E"/>
    <w:rsid w:val="00234282"/>
    <w:rsid w:val="002342C9"/>
    <w:rsid w:val="002342CF"/>
    <w:rsid w:val="00234339"/>
    <w:rsid w:val="00234370"/>
    <w:rsid w:val="00234500"/>
    <w:rsid w:val="0023459A"/>
    <w:rsid w:val="002345CD"/>
    <w:rsid w:val="002345DF"/>
    <w:rsid w:val="00234629"/>
    <w:rsid w:val="002346B9"/>
    <w:rsid w:val="002348D3"/>
    <w:rsid w:val="00234900"/>
    <w:rsid w:val="002349B7"/>
    <w:rsid w:val="002349D2"/>
    <w:rsid w:val="00234A69"/>
    <w:rsid w:val="00234AA3"/>
    <w:rsid w:val="00234ADD"/>
    <w:rsid w:val="00234ADF"/>
    <w:rsid w:val="00234B5B"/>
    <w:rsid w:val="00234B73"/>
    <w:rsid w:val="00234BC6"/>
    <w:rsid w:val="00234C0C"/>
    <w:rsid w:val="00234C2A"/>
    <w:rsid w:val="00234C6C"/>
    <w:rsid w:val="00234D29"/>
    <w:rsid w:val="00234DC4"/>
    <w:rsid w:val="00234F4F"/>
    <w:rsid w:val="00234F84"/>
    <w:rsid w:val="00234FD8"/>
    <w:rsid w:val="00234FFC"/>
    <w:rsid w:val="002350BF"/>
    <w:rsid w:val="002350F2"/>
    <w:rsid w:val="00235133"/>
    <w:rsid w:val="00235142"/>
    <w:rsid w:val="0023526B"/>
    <w:rsid w:val="00235273"/>
    <w:rsid w:val="002352EF"/>
    <w:rsid w:val="002353CC"/>
    <w:rsid w:val="00235431"/>
    <w:rsid w:val="00235446"/>
    <w:rsid w:val="00235467"/>
    <w:rsid w:val="00235472"/>
    <w:rsid w:val="0023566E"/>
    <w:rsid w:val="0023578E"/>
    <w:rsid w:val="002357B8"/>
    <w:rsid w:val="00235805"/>
    <w:rsid w:val="0023588C"/>
    <w:rsid w:val="002358C3"/>
    <w:rsid w:val="00235926"/>
    <w:rsid w:val="002359F9"/>
    <w:rsid w:val="00235A1C"/>
    <w:rsid w:val="00235A32"/>
    <w:rsid w:val="00235B2B"/>
    <w:rsid w:val="00235BEB"/>
    <w:rsid w:val="00235C07"/>
    <w:rsid w:val="00235C39"/>
    <w:rsid w:val="00235D60"/>
    <w:rsid w:val="00235E0B"/>
    <w:rsid w:val="00235E45"/>
    <w:rsid w:val="00235E91"/>
    <w:rsid w:val="00235EB8"/>
    <w:rsid w:val="00235ED2"/>
    <w:rsid w:val="00235F1A"/>
    <w:rsid w:val="00235F50"/>
    <w:rsid w:val="00235FE2"/>
    <w:rsid w:val="00236011"/>
    <w:rsid w:val="0023602B"/>
    <w:rsid w:val="00236082"/>
    <w:rsid w:val="002360E7"/>
    <w:rsid w:val="002360F4"/>
    <w:rsid w:val="00236135"/>
    <w:rsid w:val="00236151"/>
    <w:rsid w:val="00236154"/>
    <w:rsid w:val="002361C6"/>
    <w:rsid w:val="0023623B"/>
    <w:rsid w:val="002362FF"/>
    <w:rsid w:val="0023633A"/>
    <w:rsid w:val="00236358"/>
    <w:rsid w:val="0023636D"/>
    <w:rsid w:val="002363DB"/>
    <w:rsid w:val="00236422"/>
    <w:rsid w:val="0023642D"/>
    <w:rsid w:val="0023644F"/>
    <w:rsid w:val="00236482"/>
    <w:rsid w:val="00236511"/>
    <w:rsid w:val="0023652C"/>
    <w:rsid w:val="002365C7"/>
    <w:rsid w:val="002365D2"/>
    <w:rsid w:val="002365EF"/>
    <w:rsid w:val="00236656"/>
    <w:rsid w:val="002366BC"/>
    <w:rsid w:val="00236730"/>
    <w:rsid w:val="002367DC"/>
    <w:rsid w:val="00236843"/>
    <w:rsid w:val="0023684E"/>
    <w:rsid w:val="002368B5"/>
    <w:rsid w:val="002368BA"/>
    <w:rsid w:val="002368BC"/>
    <w:rsid w:val="00236967"/>
    <w:rsid w:val="00236998"/>
    <w:rsid w:val="002369B9"/>
    <w:rsid w:val="002369CB"/>
    <w:rsid w:val="002369EA"/>
    <w:rsid w:val="00236A77"/>
    <w:rsid w:val="00236BDF"/>
    <w:rsid w:val="00236CE7"/>
    <w:rsid w:val="00236D88"/>
    <w:rsid w:val="00236DCA"/>
    <w:rsid w:val="00236DF5"/>
    <w:rsid w:val="00236E32"/>
    <w:rsid w:val="00236E4F"/>
    <w:rsid w:val="00236E6A"/>
    <w:rsid w:val="00236E89"/>
    <w:rsid w:val="00236EB2"/>
    <w:rsid w:val="00236EF8"/>
    <w:rsid w:val="00236F79"/>
    <w:rsid w:val="0023700B"/>
    <w:rsid w:val="00237024"/>
    <w:rsid w:val="00237125"/>
    <w:rsid w:val="002371A0"/>
    <w:rsid w:val="0023721B"/>
    <w:rsid w:val="0023721C"/>
    <w:rsid w:val="0023725C"/>
    <w:rsid w:val="00237264"/>
    <w:rsid w:val="0023728E"/>
    <w:rsid w:val="002372E7"/>
    <w:rsid w:val="00237310"/>
    <w:rsid w:val="00237361"/>
    <w:rsid w:val="002373AC"/>
    <w:rsid w:val="0023742F"/>
    <w:rsid w:val="00237447"/>
    <w:rsid w:val="002374D3"/>
    <w:rsid w:val="002374DC"/>
    <w:rsid w:val="00237534"/>
    <w:rsid w:val="00237561"/>
    <w:rsid w:val="0023757E"/>
    <w:rsid w:val="002376E5"/>
    <w:rsid w:val="00237735"/>
    <w:rsid w:val="00237836"/>
    <w:rsid w:val="0023785D"/>
    <w:rsid w:val="00237885"/>
    <w:rsid w:val="002378D1"/>
    <w:rsid w:val="002378F1"/>
    <w:rsid w:val="00237965"/>
    <w:rsid w:val="00237984"/>
    <w:rsid w:val="00237993"/>
    <w:rsid w:val="00237A43"/>
    <w:rsid w:val="00237A47"/>
    <w:rsid w:val="00237A7A"/>
    <w:rsid w:val="00237A83"/>
    <w:rsid w:val="00237AB3"/>
    <w:rsid w:val="00237AC8"/>
    <w:rsid w:val="00237ACB"/>
    <w:rsid w:val="00237BB0"/>
    <w:rsid w:val="00237BC3"/>
    <w:rsid w:val="00237C9C"/>
    <w:rsid w:val="00237CBF"/>
    <w:rsid w:val="00237CF3"/>
    <w:rsid w:val="00237D00"/>
    <w:rsid w:val="00237D02"/>
    <w:rsid w:val="00237D25"/>
    <w:rsid w:val="00237D27"/>
    <w:rsid w:val="00237D74"/>
    <w:rsid w:val="00237E04"/>
    <w:rsid w:val="00237EB6"/>
    <w:rsid w:val="00237ECE"/>
    <w:rsid w:val="00237EDF"/>
    <w:rsid w:val="00237F3D"/>
    <w:rsid w:val="00237F4D"/>
    <w:rsid w:val="00237F60"/>
    <w:rsid w:val="00237F79"/>
    <w:rsid w:val="00237F7F"/>
    <w:rsid w:val="00237F94"/>
    <w:rsid w:val="00237FB5"/>
    <w:rsid w:val="00240018"/>
    <w:rsid w:val="00240030"/>
    <w:rsid w:val="00240057"/>
    <w:rsid w:val="00240077"/>
    <w:rsid w:val="00240144"/>
    <w:rsid w:val="00240277"/>
    <w:rsid w:val="002402D6"/>
    <w:rsid w:val="002402DB"/>
    <w:rsid w:val="00240319"/>
    <w:rsid w:val="0024035C"/>
    <w:rsid w:val="002403FB"/>
    <w:rsid w:val="0024040A"/>
    <w:rsid w:val="00240478"/>
    <w:rsid w:val="002404C8"/>
    <w:rsid w:val="00240513"/>
    <w:rsid w:val="0024054A"/>
    <w:rsid w:val="0024055D"/>
    <w:rsid w:val="00240633"/>
    <w:rsid w:val="0024073C"/>
    <w:rsid w:val="0024074D"/>
    <w:rsid w:val="00240776"/>
    <w:rsid w:val="002407B4"/>
    <w:rsid w:val="002407BD"/>
    <w:rsid w:val="00240843"/>
    <w:rsid w:val="00240871"/>
    <w:rsid w:val="002408B4"/>
    <w:rsid w:val="0024091D"/>
    <w:rsid w:val="00240975"/>
    <w:rsid w:val="0024099A"/>
    <w:rsid w:val="00240A02"/>
    <w:rsid w:val="00240A5C"/>
    <w:rsid w:val="00240A9A"/>
    <w:rsid w:val="00240B27"/>
    <w:rsid w:val="00240BDE"/>
    <w:rsid w:val="00240C1E"/>
    <w:rsid w:val="00240CAE"/>
    <w:rsid w:val="00240DB7"/>
    <w:rsid w:val="00240DCC"/>
    <w:rsid w:val="00240DEF"/>
    <w:rsid w:val="00240E5C"/>
    <w:rsid w:val="00240ECE"/>
    <w:rsid w:val="00240FEC"/>
    <w:rsid w:val="00240FF7"/>
    <w:rsid w:val="0024100D"/>
    <w:rsid w:val="00241028"/>
    <w:rsid w:val="00241035"/>
    <w:rsid w:val="00241063"/>
    <w:rsid w:val="002411A1"/>
    <w:rsid w:val="002411EC"/>
    <w:rsid w:val="00241202"/>
    <w:rsid w:val="00241208"/>
    <w:rsid w:val="00241231"/>
    <w:rsid w:val="0024139D"/>
    <w:rsid w:val="002413E2"/>
    <w:rsid w:val="00241474"/>
    <w:rsid w:val="00241487"/>
    <w:rsid w:val="002414D9"/>
    <w:rsid w:val="0024150D"/>
    <w:rsid w:val="00241563"/>
    <w:rsid w:val="00241573"/>
    <w:rsid w:val="00241600"/>
    <w:rsid w:val="0024166F"/>
    <w:rsid w:val="0024167F"/>
    <w:rsid w:val="00241699"/>
    <w:rsid w:val="002416D5"/>
    <w:rsid w:val="002416EC"/>
    <w:rsid w:val="0024174D"/>
    <w:rsid w:val="00241761"/>
    <w:rsid w:val="002417BA"/>
    <w:rsid w:val="0024180C"/>
    <w:rsid w:val="0024188F"/>
    <w:rsid w:val="002418CC"/>
    <w:rsid w:val="00241974"/>
    <w:rsid w:val="002419AB"/>
    <w:rsid w:val="00241AAF"/>
    <w:rsid w:val="00241B4A"/>
    <w:rsid w:val="00241B5D"/>
    <w:rsid w:val="00241BCD"/>
    <w:rsid w:val="00241C14"/>
    <w:rsid w:val="00241C9C"/>
    <w:rsid w:val="00241CA0"/>
    <w:rsid w:val="00241D8C"/>
    <w:rsid w:val="00241DDB"/>
    <w:rsid w:val="00241E29"/>
    <w:rsid w:val="00241E6C"/>
    <w:rsid w:val="00241E74"/>
    <w:rsid w:val="00241E79"/>
    <w:rsid w:val="00241EDD"/>
    <w:rsid w:val="00241F63"/>
    <w:rsid w:val="002420FD"/>
    <w:rsid w:val="00242122"/>
    <w:rsid w:val="002421CB"/>
    <w:rsid w:val="00242244"/>
    <w:rsid w:val="0024233A"/>
    <w:rsid w:val="00242434"/>
    <w:rsid w:val="002424C3"/>
    <w:rsid w:val="002424D7"/>
    <w:rsid w:val="0024253C"/>
    <w:rsid w:val="00242546"/>
    <w:rsid w:val="00242548"/>
    <w:rsid w:val="0024258F"/>
    <w:rsid w:val="002425BA"/>
    <w:rsid w:val="00242632"/>
    <w:rsid w:val="00242650"/>
    <w:rsid w:val="0024266E"/>
    <w:rsid w:val="00242724"/>
    <w:rsid w:val="002427C4"/>
    <w:rsid w:val="00242839"/>
    <w:rsid w:val="002428D2"/>
    <w:rsid w:val="002428EE"/>
    <w:rsid w:val="00242918"/>
    <w:rsid w:val="0024291A"/>
    <w:rsid w:val="00242969"/>
    <w:rsid w:val="002429C4"/>
    <w:rsid w:val="00242A1E"/>
    <w:rsid w:val="00242BD7"/>
    <w:rsid w:val="00242BD8"/>
    <w:rsid w:val="00242C14"/>
    <w:rsid w:val="00242C1F"/>
    <w:rsid w:val="00242CB2"/>
    <w:rsid w:val="00242CCE"/>
    <w:rsid w:val="00242CFB"/>
    <w:rsid w:val="00242E52"/>
    <w:rsid w:val="00242E6F"/>
    <w:rsid w:val="00242EDF"/>
    <w:rsid w:val="00242EFA"/>
    <w:rsid w:val="00242FB5"/>
    <w:rsid w:val="00243044"/>
    <w:rsid w:val="00243236"/>
    <w:rsid w:val="002432B8"/>
    <w:rsid w:val="002432FC"/>
    <w:rsid w:val="00243309"/>
    <w:rsid w:val="002433C6"/>
    <w:rsid w:val="00243428"/>
    <w:rsid w:val="00243445"/>
    <w:rsid w:val="00243497"/>
    <w:rsid w:val="00243595"/>
    <w:rsid w:val="0024367A"/>
    <w:rsid w:val="00243722"/>
    <w:rsid w:val="0024379E"/>
    <w:rsid w:val="002437F4"/>
    <w:rsid w:val="0024388D"/>
    <w:rsid w:val="002438C5"/>
    <w:rsid w:val="00243927"/>
    <w:rsid w:val="002439CE"/>
    <w:rsid w:val="00243A1D"/>
    <w:rsid w:val="00243A23"/>
    <w:rsid w:val="00243A28"/>
    <w:rsid w:val="00243B5B"/>
    <w:rsid w:val="00243B74"/>
    <w:rsid w:val="00243C23"/>
    <w:rsid w:val="00243C28"/>
    <w:rsid w:val="00243C4C"/>
    <w:rsid w:val="00243CEF"/>
    <w:rsid w:val="00243CF6"/>
    <w:rsid w:val="00243DF1"/>
    <w:rsid w:val="00243E52"/>
    <w:rsid w:val="00243E6D"/>
    <w:rsid w:val="00243E8C"/>
    <w:rsid w:val="00243EDA"/>
    <w:rsid w:val="00243F51"/>
    <w:rsid w:val="00243F84"/>
    <w:rsid w:val="00243FA6"/>
    <w:rsid w:val="002440D3"/>
    <w:rsid w:val="0024410C"/>
    <w:rsid w:val="00244110"/>
    <w:rsid w:val="002441E3"/>
    <w:rsid w:val="00244210"/>
    <w:rsid w:val="00244226"/>
    <w:rsid w:val="0024426D"/>
    <w:rsid w:val="002442D4"/>
    <w:rsid w:val="00244361"/>
    <w:rsid w:val="00244441"/>
    <w:rsid w:val="00244499"/>
    <w:rsid w:val="00244531"/>
    <w:rsid w:val="0024458D"/>
    <w:rsid w:val="002445E1"/>
    <w:rsid w:val="002445EB"/>
    <w:rsid w:val="00244601"/>
    <w:rsid w:val="0024460F"/>
    <w:rsid w:val="0024463E"/>
    <w:rsid w:val="00244643"/>
    <w:rsid w:val="002446DB"/>
    <w:rsid w:val="00244710"/>
    <w:rsid w:val="00244725"/>
    <w:rsid w:val="0024474B"/>
    <w:rsid w:val="00244752"/>
    <w:rsid w:val="00244960"/>
    <w:rsid w:val="00244A2F"/>
    <w:rsid w:val="00244B2A"/>
    <w:rsid w:val="00244B34"/>
    <w:rsid w:val="00244CB1"/>
    <w:rsid w:val="00244CB6"/>
    <w:rsid w:val="00244CCC"/>
    <w:rsid w:val="00244D60"/>
    <w:rsid w:val="00244DB0"/>
    <w:rsid w:val="00244EE5"/>
    <w:rsid w:val="00244FB3"/>
    <w:rsid w:val="00245005"/>
    <w:rsid w:val="0024503C"/>
    <w:rsid w:val="0024506D"/>
    <w:rsid w:val="00245098"/>
    <w:rsid w:val="00245146"/>
    <w:rsid w:val="00245177"/>
    <w:rsid w:val="0024517F"/>
    <w:rsid w:val="002451C2"/>
    <w:rsid w:val="002452A5"/>
    <w:rsid w:val="002452B7"/>
    <w:rsid w:val="002452E6"/>
    <w:rsid w:val="00245309"/>
    <w:rsid w:val="00245396"/>
    <w:rsid w:val="002453F2"/>
    <w:rsid w:val="00245536"/>
    <w:rsid w:val="002455B7"/>
    <w:rsid w:val="002455B9"/>
    <w:rsid w:val="0024563C"/>
    <w:rsid w:val="002456A5"/>
    <w:rsid w:val="002456F5"/>
    <w:rsid w:val="00245737"/>
    <w:rsid w:val="002457D9"/>
    <w:rsid w:val="00245850"/>
    <w:rsid w:val="0024590D"/>
    <w:rsid w:val="00245945"/>
    <w:rsid w:val="00245975"/>
    <w:rsid w:val="00245985"/>
    <w:rsid w:val="002459B4"/>
    <w:rsid w:val="002459C6"/>
    <w:rsid w:val="00245A9C"/>
    <w:rsid w:val="00245AC2"/>
    <w:rsid w:val="00245B17"/>
    <w:rsid w:val="00245B21"/>
    <w:rsid w:val="00245B39"/>
    <w:rsid w:val="00245B4F"/>
    <w:rsid w:val="00245BE5"/>
    <w:rsid w:val="00245BF2"/>
    <w:rsid w:val="00245BFB"/>
    <w:rsid w:val="00245C8B"/>
    <w:rsid w:val="00245CCC"/>
    <w:rsid w:val="00245DA4"/>
    <w:rsid w:val="00245E2E"/>
    <w:rsid w:val="00245EAC"/>
    <w:rsid w:val="00245EB3"/>
    <w:rsid w:val="00245EE0"/>
    <w:rsid w:val="00245F15"/>
    <w:rsid w:val="00245F33"/>
    <w:rsid w:val="00245FD1"/>
    <w:rsid w:val="002460B6"/>
    <w:rsid w:val="002460F3"/>
    <w:rsid w:val="0024611A"/>
    <w:rsid w:val="00246141"/>
    <w:rsid w:val="00246184"/>
    <w:rsid w:val="002461B9"/>
    <w:rsid w:val="002461C2"/>
    <w:rsid w:val="00246219"/>
    <w:rsid w:val="002462E7"/>
    <w:rsid w:val="002462F1"/>
    <w:rsid w:val="0024631D"/>
    <w:rsid w:val="00246337"/>
    <w:rsid w:val="00246356"/>
    <w:rsid w:val="00246393"/>
    <w:rsid w:val="002463BE"/>
    <w:rsid w:val="00246430"/>
    <w:rsid w:val="002464DB"/>
    <w:rsid w:val="0024658A"/>
    <w:rsid w:val="0024662C"/>
    <w:rsid w:val="0024664F"/>
    <w:rsid w:val="0024666A"/>
    <w:rsid w:val="002466CD"/>
    <w:rsid w:val="00246815"/>
    <w:rsid w:val="00246831"/>
    <w:rsid w:val="00246869"/>
    <w:rsid w:val="002468D2"/>
    <w:rsid w:val="0024694C"/>
    <w:rsid w:val="002469DC"/>
    <w:rsid w:val="002469DD"/>
    <w:rsid w:val="00246A6C"/>
    <w:rsid w:val="00246AC0"/>
    <w:rsid w:val="00246AE2"/>
    <w:rsid w:val="00246B68"/>
    <w:rsid w:val="00246B90"/>
    <w:rsid w:val="00246C2F"/>
    <w:rsid w:val="00246C6B"/>
    <w:rsid w:val="00246CC4"/>
    <w:rsid w:val="00246CC9"/>
    <w:rsid w:val="00246CD6"/>
    <w:rsid w:val="00246D2F"/>
    <w:rsid w:val="00246DC9"/>
    <w:rsid w:val="00246F52"/>
    <w:rsid w:val="00246F7F"/>
    <w:rsid w:val="00246F8F"/>
    <w:rsid w:val="00246FB7"/>
    <w:rsid w:val="00246FC0"/>
    <w:rsid w:val="00246FC6"/>
    <w:rsid w:val="00247007"/>
    <w:rsid w:val="002470A1"/>
    <w:rsid w:val="002470BE"/>
    <w:rsid w:val="00247144"/>
    <w:rsid w:val="00247190"/>
    <w:rsid w:val="002471AF"/>
    <w:rsid w:val="002471D5"/>
    <w:rsid w:val="00247206"/>
    <w:rsid w:val="00247256"/>
    <w:rsid w:val="002472B2"/>
    <w:rsid w:val="002472FA"/>
    <w:rsid w:val="0024731D"/>
    <w:rsid w:val="00247327"/>
    <w:rsid w:val="00247330"/>
    <w:rsid w:val="002473DA"/>
    <w:rsid w:val="00247440"/>
    <w:rsid w:val="0024748D"/>
    <w:rsid w:val="00247554"/>
    <w:rsid w:val="00247576"/>
    <w:rsid w:val="00247607"/>
    <w:rsid w:val="00247638"/>
    <w:rsid w:val="002476F0"/>
    <w:rsid w:val="002476FC"/>
    <w:rsid w:val="00247721"/>
    <w:rsid w:val="0024773A"/>
    <w:rsid w:val="00247757"/>
    <w:rsid w:val="002477DD"/>
    <w:rsid w:val="0024783F"/>
    <w:rsid w:val="0024784B"/>
    <w:rsid w:val="00247869"/>
    <w:rsid w:val="0024787D"/>
    <w:rsid w:val="00247894"/>
    <w:rsid w:val="00247897"/>
    <w:rsid w:val="002478AE"/>
    <w:rsid w:val="002479BA"/>
    <w:rsid w:val="002479D2"/>
    <w:rsid w:val="00247A16"/>
    <w:rsid w:val="00247B5D"/>
    <w:rsid w:val="00247B60"/>
    <w:rsid w:val="00247BB2"/>
    <w:rsid w:val="00247BB8"/>
    <w:rsid w:val="00247C02"/>
    <w:rsid w:val="00247CF5"/>
    <w:rsid w:val="00247D03"/>
    <w:rsid w:val="00247D10"/>
    <w:rsid w:val="00247E69"/>
    <w:rsid w:val="00247E9A"/>
    <w:rsid w:val="00247F5B"/>
    <w:rsid w:val="00247F82"/>
    <w:rsid w:val="00247FD2"/>
    <w:rsid w:val="00247FE3"/>
    <w:rsid w:val="00247FEE"/>
    <w:rsid w:val="002500B2"/>
    <w:rsid w:val="0025015E"/>
    <w:rsid w:val="00250185"/>
    <w:rsid w:val="0025022B"/>
    <w:rsid w:val="00250232"/>
    <w:rsid w:val="0025027D"/>
    <w:rsid w:val="002502C8"/>
    <w:rsid w:val="00250318"/>
    <w:rsid w:val="0025034D"/>
    <w:rsid w:val="002503AA"/>
    <w:rsid w:val="002503E3"/>
    <w:rsid w:val="00250438"/>
    <w:rsid w:val="00250455"/>
    <w:rsid w:val="0025046F"/>
    <w:rsid w:val="00250502"/>
    <w:rsid w:val="0025050A"/>
    <w:rsid w:val="00250531"/>
    <w:rsid w:val="0025054B"/>
    <w:rsid w:val="00250554"/>
    <w:rsid w:val="0025059F"/>
    <w:rsid w:val="002505DB"/>
    <w:rsid w:val="0025068B"/>
    <w:rsid w:val="002506FD"/>
    <w:rsid w:val="00250702"/>
    <w:rsid w:val="00250797"/>
    <w:rsid w:val="002507EC"/>
    <w:rsid w:val="002508AF"/>
    <w:rsid w:val="002508BA"/>
    <w:rsid w:val="00250A0B"/>
    <w:rsid w:val="00250A7E"/>
    <w:rsid w:val="00250B03"/>
    <w:rsid w:val="00250BB7"/>
    <w:rsid w:val="00250C0C"/>
    <w:rsid w:val="00250CD3"/>
    <w:rsid w:val="00250D20"/>
    <w:rsid w:val="00250D59"/>
    <w:rsid w:val="00250D76"/>
    <w:rsid w:val="00250D78"/>
    <w:rsid w:val="00250DD3"/>
    <w:rsid w:val="00250E15"/>
    <w:rsid w:val="00250E49"/>
    <w:rsid w:val="00250F6C"/>
    <w:rsid w:val="00250F7A"/>
    <w:rsid w:val="00250F7E"/>
    <w:rsid w:val="00250F88"/>
    <w:rsid w:val="0025102E"/>
    <w:rsid w:val="00251051"/>
    <w:rsid w:val="00251162"/>
    <w:rsid w:val="00251163"/>
    <w:rsid w:val="00251174"/>
    <w:rsid w:val="002511C6"/>
    <w:rsid w:val="00251323"/>
    <w:rsid w:val="0025137A"/>
    <w:rsid w:val="00251439"/>
    <w:rsid w:val="00251465"/>
    <w:rsid w:val="00251484"/>
    <w:rsid w:val="00251658"/>
    <w:rsid w:val="002516BC"/>
    <w:rsid w:val="002516D2"/>
    <w:rsid w:val="0025177C"/>
    <w:rsid w:val="0025178A"/>
    <w:rsid w:val="002517B3"/>
    <w:rsid w:val="0025181C"/>
    <w:rsid w:val="00251856"/>
    <w:rsid w:val="0025186E"/>
    <w:rsid w:val="002518D1"/>
    <w:rsid w:val="002518F0"/>
    <w:rsid w:val="00251909"/>
    <w:rsid w:val="0025192B"/>
    <w:rsid w:val="00251981"/>
    <w:rsid w:val="002519B3"/>
    <w:rsid w:val="002519DB"/>
    <w:rsid w:val="00251A2C"/>
    <w:rsid w:val="00251A2F"/>
    <w:rsid w:val="00251A4F"/>
    <w:rsid w:val="00251AD2"/>
    <w:rsid w:val="00251B47"/>
    <w:rsid w:val="00251B78"/>
    <w:rsid w:val="00251B7E"/>
    <w:rsid w:val="00251BCB"/>
    <w:rsid w:val="00251BDA"/>
    <w:rsid w:val="00251C83"/>
    <w:rsid w:val="00251DFB"/>
    <w:rsid w:val="00251E82"/>
    <w:rsid w:val="00251E83"/>
    <w:rsid w:val="00251EA0"/>
    <w:rsid w:val="00251EF7"/>
    <w:rsid w:val="00251F84"/>
    <w:rsid w:val="00251F9C"/>
    <w:rsid w:val="00251FB9"/>
    <w:rsid w:val="00252005"/>
    <w:rsid w:val="0025208C"/>
    <w:rsid w:val="00252097"/>
    <w:rsid w:val="002520AA"/>
    <w:rsid w:val="00252199"/>
    <w:rsid w:val="002521DD"/>
    <w:rsid w:val="0025220A"/>
    <w:rsid w:val="00252240"/>
    <w:rsid w:val="00252246"/>
    <w:rsid w:val="00252259"/>
    <w:rsid w:val="0025225D"/>
    <w:rsid w:val="00252269"/>
    <w:rsid w:val="00252283"/>
    <w:rsid w:val="00252323"/>
    <w:rsid w:val="00252359"/>
    <w:rsid w:val="00252383"/>
    <w:rsid w:val="002523FE"/>
    <w:rsid w:val="00252491"/>
    <w:rsid w:val="002524BF"/>
    <w:rsid w:val="002524D9"/>
    <w:rsid w:val="002524EC"/>
    <w:rsid w:val="002525A7"/>
    <w:rsid w:val="00252638"/>
    <w:rsid w:val="002526D8"/>
    <w:rsid w:val="002527BE"/>
    <w:rsid w:val="002527D4"/>
    <w:rsid w:val="0025280E"/>
    <w:rsid w:val="0025284F"/>
    <w:rsid w:val="00252857"/>
    <w:rsid w:val="00252870"/>
    <w:rsid w:val="00252886"/>
    <w:rsid w:val="002528E3"/>
    <w:rsid w:val="00252900"/>
    <w:rsid w:val="00252962"/>
    <w:rsid w:val="002529B4"/>
    <w:rsid w:val="00252A4D"/>
    <w:rsid w:val="00252A4F"/>
    <w:rsid w:val="00252AB1"/>
    <w:rsid w:val="00252D0F"/>
    <w:rsid w:val="00252D19"/>
    <w:rsid w:val="00252D1A"/>
    <w:rsid w:val="00252DE4"/>
    <w:rsid w:val="00252EC5"/>
    <w:rsid w:val="00252ECD"/>
    <w:rsid w:val="00252EFC"/>
    <w:rsid w:val="00252F52"/>
    <w:rsid w:val="00252F53"/>
    <w:rsid w:val="00252FD4"/>
    <w:rsid w:val="00253088"/>
    <w:rsid w:val="00253093"/>
    <w:rsid w:val="0025314F"/>
    <w:rsid w:val="00253178"/>
    <w:rsid w:val="002531AF"/>
    <w:rsid w:val="00253248"/>
    <w:rsid w:val="002532D7"/>
    <w:rsid w:val="0025335B"/>
    <w:rsid w:val="002533A7"/>
    <w:rsid w:val="002533B6"/>
    <w:rsid w:val="0025343E"/>
    <w:rsid w:val="00253440"/>
    <w:rsid w:val="00253548"/>
    <w:rsid w:val="00253566"/>
    <w:rsid w:val="0025360A"/>
    <w:rsid w:val="0025364A"/>
    <w:rsid w:val="00253661"/>
    <w:rsid w:val="00253697"/>
    <w:rsid w:val="002537CD"/>
    <w:rsid w:val="00253871"/>
    <w:rsid w:val="00253893"/>
    <w:rsid w:val="00253984"/>
    <w:rsid w:val="00253AB3"/>
    <w:rsid w:val="00253AB7"/>
    <w:rsid w:val="00253AD9"/>
    <w:rsid w:val="00253BB8"/>
    <w:rsid w:val="00253BFF"/>
    <w:rsid w:val="00253D77"/>
    <w:rsid w:val="00253E8B"/>
    <w:rsid w:val="00253EF5"/>
    <w:rsid w:val="00253F21"/>
    <w:rsid w:val="00253FB7"/>
    <w:rsid w:val="002540A3"/>
    <w:rsid w:val="00254136"/>
    <w:rsid w:val="00254152"/>
    <w:rsid w:val="0025416F"/>
    <w:rsid w:val="0025417B"/>
    <w:rsid w:val="002541DF"/>
    <w:rsid w:val="00254270"/>
    <w:rsid w:val="002542A6"/>
    <w:rsid w:val="002543C7"/>
    <w:rsid w:val="002544E1"/>
    <w:rsid w:val="002544E7"/>
    <w:rsid w:val="0025455D"/>
    <w:rsid w:val="002545BB"/>
    <w:rsid w:val="0025468B"/>
    <w:rsid w:val="002546A0"/>
    <w:rsid w:val="002546F7"/>
    <w:rsid w:val="00254719"/>
    <w:rsid w:val="0025471B"/>
    <w:rsid w:val="00254729"/>
    <w:rsid w:val="00254778"/>
    <w:rsid w:val="0025478F"/>
    <w:rsid w:val="002547B7"/>
    <w:rsid w:val="002547E7"/>
    <w:rsid w:val="002548C5"/>
    <w:rsid w:val="002548F0"/>
    <w:rsid w:val="00254909"/>
    <w:rsid w:val="00254958"/>
    <w:rsid w:val="00254987"/>
    <w:rsid w:val="002549B3"/>
    <w:rsid w:val="002549E0"/>
    <w:rsid w:val="00254A25"/>
    <w:rsid w:val="00254AC0"/>
    <w:rsid w:val="00254AD5"/>
    <w:rsid w:val="00254B02"/>
    <w:rsid w:val="00254B1D"/>
    <w:rsid w:val="00254B32"/>
    <w:rsid w:val="00254B47"/>
    <w:rsid w:val="00254B6E"/>
    <w:rsid w:val="00254B7D"/>
    <w:rsid w:val="00254C96"/>
    <w:rsid w:val="00254CD1"/>
    <w:rsid w:val="00254D07"/>
    <w:rsid w:val="00254D12"/>
    <w:rsid w:val="00254F11"/>
    <w:rsid w:val="00254FC1"/>
    <w:rsid w:val="00254FCE"/>
    <w:rsid w:val="00255001"/>
    <w:rsid w:val="00255089"/>
    <w:rsid w:val="002550E9"/>
    <w:rsid w:val="00255104"/>
    <w:rsid w:val="00255123"/>
    <w:rsid w:val="0025519B"/>
    <w:rsid w:val="002551BA"/>
    <w:rsid w:val="00255214"/>
    <w:rsid w:val="00255251"/>
    <w:rsid w:val="0025528E"/>
    <w:rsid w:val="002553B2"/>
    <w:rsid w:val="002553EB"/>
    <w:rsid w:val="002554B5"/>
    <w:rsid w:val="00255631"/>
    <w:rsid w:val="0025563B"/>
    <w:rsid w:val="00255681"/>
    <w:rsid w:val="002556F8"/>
    <w:rsid w:val="00255783"/>
    <w:rsid w:val="002557C0"/>
    <w:rsid w:val="002557C2"/>
    <w:rsid w:val="00255881"/>
    <w:rsid w:val="00255894"/>
    <w:rsid w:val="0025589C"/>
    <w:rsid w:val="002559DC"/>
    <w:rsid w:val="00255A17"/>
    <w:rsid w:val="00255A25"/>
    <w:rsid w:val="00255A70"/>
    <w:rsid w:val="00255A74"/>
    <w:rsid w:val="00255AF4"/>
    <w:rsid w:val="00255B0B"/>
    <w:rsid w:val="00255B53"/>
    <w:rsid w:val="00255B8C"/>
    <w:rsid w:val="00255BE2"/>
    <w:rsid w:val="00255C9C"/>
    <w:rsid w:val="00255CAB"/>
    <w:rsid w:val="00255CE9"/>
    <w:rsid w:val="00255CFF"/>
    <w:rsid w:val="00255D63"/>
    <w:rsid w:val="00255E1E"/>
    <w:rsid w:val="00255E40"/>
    <w:rsid w:val="00255E53"/>
    <w:rsid w:val="00255E68"/>
    <w:rsid w:val="00255ED9"/>
    <w:rsid w:val="00255EE0"/>
    <w:rsid w:val="00255EE4"/>
    <w:rsid w:val="00255F5E"/>
    <w:rsid w:val="00256030"/>
    <w:rsid w:val="00256064"/>
    <w:rsid w:val="0025606A"/>
    <w:rsid w:val="0025607E"/>
    <w:rsid w:val="00256098"/>
    <w:rsid w:val="002560A2"/>
    <w:rsid w:val="00256115"/>
    <w:rsid w:val="00256165"/>
    <w:rsid w:val="002561AF"/>
    <w:rsid w:val="00256295"/>
    <w:rsid w:val="00256303"/>
    <w:rsid w:val="002563B6"/>
    <w:rsid w:val="002563C3"/>
    <w:rsid w:val="00256435"/>
    <w:rsid w:val="00256534"/>
    <w:rsid w:val="0025656B"/>
    <w:rsid w:val="0025658D"/>
    <w:rsid w:val="00256634"/>
    <w:rsid w:val="002566A6"/>
    <w:rsid w:val="002566B6"/>
    <w:rsid w:val="002566BC"/>
    <w:rsid w:val="002567F0"/>
    <w:rsid w:val="00256842"/>
    <w:rsid w:val="002568C7"/>
    <w:rsid w:val="00256950"/>
    <w:rsid w:val="002569AA"/>
    <w:rsid w:val="002569C6"/>
    <w:rsid w:val="002569D1"/>
    <w:rsid w:val="00256A1E"/>
    <w:rsid w:val="00256A23"/>
    <w:rsid w:val="00256A45"/>
    <w:rsid w:val="00256ADC"/>
    <w:rsid w:val="00256AF5"/>
    <w:rsid w:val="00256BA9"/>
    <w:rsid w:val="00256BD4"/>
    <w:rsid w:val="00256C02"/>
    <w:rsid w:val="00256C80"/>
    <w:rsid w:val="00256CD1"/>
    <w:rsid w:val="00256CE9"/>
    <w:rsid w:val="00256E69"/>
    <w:rsid w:val="00256E86"/>
    <w:rsid w:val="00256FAA"/>
    <w:rsid w:val="00257029"/>
    <w:rsid w:val="00257076"/>
    <w:rsid w:val="002570EA"/>
    <w:rsid w:val="002570F6"/>
    <w:rsid w:val="00257107"/>
    <w:rsid w:val="00257136"/>
    <w:rsid w:val="0025713A"/>
    <w:rsid w:val="002572C3"/>
    <w:rsid w:val="002572CD"/>
    <w:rsid w:val="00257378"/>
    <w:rsid w:val="002573D1"/>
    <w:rsid w:val="002573D5"/>
    <w:rsid w:val="0025741E"/>
    <w:rsid w:val="00257459"/>
    <w:rsid w:val="00257470"/>
    <w:rsid w:val="0025749C"/>
    <w:rsid w:val="00257549"/>
    <w:rsid w:val="00257596"/>
    <w:rsid w:val="002575E9"/>
    <w:rsid w:val="0025760F"/>
    <w:rsid w:val="00257626"/>
    <w:rsid w:val="0025764A"/>
    <w:rsid w:val="002576E9"/>
    <w:rsid w:val="002577C7"/>
    <w:rsid w:val="002577FB"/>
    <w:rsid w:val="00257930"/>
    <w:rsid w:val="00257933"/>
    <w:rsid w:val="00257A1F"/>
    <w:rsid w:val="00257A2F"/>
    <w:rsid w:val="00257A4F"/>
    <w:rsid w:val="00257A8A"/>
    <w:rsid w:val="00257A8C"/>
    <w:rsid w:val="00257AD4"/>
    <w:rsid w:val="00257B16"/>
    <w:rsid w:val="00257B52"/>
    <w:rsid w:val="00257CDC"/>
    <w:rsid w:val="00257CEE"/>
    <w:rsid w:val="00257D5C"/>
    <w:rsid w:val="00257D77"/>
    <w:rsid w:val="00257D90"/>
    <w:rsid w:val="00257D97"/>
    <w:rsid w:val="00257E68"/>
    <w:rsid w:val="00257EFA"/>
    <w:rsid w:val="00257F58"/>
    <w:rsid w:val="00260053"/>
    <w:rsid w:val="0026017E"/>
    <w:rsid w:val="002601AA"/>
    <w:rsid w:val="00260265"/>
    <w:rsid w:val="002602AE"/>
    <w:rsid w:val="0026032F"/>
    <w:rsid w:val="00260331"/>
    <w:rsid w:val="002604F8"/>
    <w:rsid w:val="00260524"/>
    <w:rsid w:val="00260541"/>
    <w:rsid w:val="00260571"/>
    <w:rsid w:val="00260592"/>
    <w:rsid w:val="00260640"/>
    <w:rsid w:val="0026064E"/>
    <w:rsid w:val="00260672"/>
    <w:rsid w:val="00260675"/>
    <w:rsid w:val="0026067F"/>
    <w:rsid w:val="002606BF"/>
    <w:rsid w:val="002606EF"/>
    <w:rsid w:val="00260738"/>
    <w:rsid w:val="0026075C"/>
    <w:rsid w:val="00260864"/>
    <w:rsid w:val="00260868"/>
    <w:rsid w:val="0026086A"/>
    <w:rsid w:val="002608A2"/>
    <w:rsid w:val="0026091F"/>
    <w:rsid w:val="00260983"/>
    <w:rsid w:val="002609CE"/>
    <w:rsid w:val="00260AC0"/>
    <w:rsid w:val="00260B5E"/>
    <w:rsid w:val="00260B9C"/>
    <w:rsid w:val="00260C57"/>
    <w:rsid w:val="00260D1C"/>
    <w:rsid w:val="00260D66"/>
    <w:rsid w:val="00260E6B"/>
    <w:rsid w:val="00260EC3"/>
    <w:rsid w:val="00260F39"/>
    <w:rsid w:val="00260F77"/>
    <w:rsid w:val="00260F7D"/>
    <w:rsid w:val="00260FD4"/>
    <w:rsid w:val="00261034"/>
    <w:rsid w:val="0026104C"/>
    <w:rsid w:val="00261067"/>
    <w:rsid w:val="0026107F"/>
    <w:rsid w:val="002610A5"/>
    <w:rsid w:val="00261140"/>
    <w:rsid w:val="0026116F"/>
    <w:rsid w:val="002611B4"/>
    <w:rsid w:val="00261235"/>
    <w:rsid w:val="00261256"/>
    <w:rsid w:val="002612A5"/>
    <w:rsid w:val="0026134B"/>
    <w:rsid w:val="002613B9"/>
    <w:rsid w:val="00261410"/>
    <w:rsid w:val="00261598"/>
    <w:rsid w:val="0026160E"/>
    <w:rsid w:val="0026165D"/>
    <w:rsid w:val="00261664"/>
    <w:rsid w:val="0026168A"/>
    <w:rsid w:val="00261693"/>
    <w:rsid w:val="002617BD"/>
    <w:rsid w:val="00261845"/>
    <w:rsid w:val="00261871"/>
    <w:rsid w:val="0026189F"/>
    <w:rsid w:val="002618B0"/>
    <w:rsid w:val="002618CF"/>
    <w:rsid w:val="002618D4"/>
    <w:rsid w:val="00261985"/>
    <w:rsid w:val="002619BF"/>
    <w:rsid w:val="00261AC8"/>
    <w:rsid w:val="00261B25"/>
    <w:rsid w:val="00261BFA"/>
    <w:rsid w:val="00261C13"/>
    <w:rsid w:val="00261C19"/>
    <w:rsid w:val="00261C5E"/>
    <w:rsid w:val="00261D24"/>
    <w:rsid w:val="00261D95"/>
    <w:rsid w:val="00261DDB"/>
    <w:rsid w:val="00261E11"/>
    <w:rsid w:val="00261E5C"/>
    <w:rsid w:val="00261E97"/>
    <w:rsid w:val="00261EB9"/>
    <w:rsid w:val="00261ECB"/>
    <w:rsid w:val="00261F10"/>
    <w:rsid w:val="00261F19"/>
    <w:rsid w:val="00261F2E"/>
    <w:rsid w:val="00261F40"/>
    <w:rsid w:val="00261F5F"/>
    <w:rsid w:val="00261F86"/>
    <w:rsid w:val="00261F89"/>
    <w:rsid w:val="00261F95"/>
    <w:rsid w:val="0026201B"/>
    <w:rsid w:val="0026205D"/>
    <w:rsid w:val="0026209A"/>
    <w:rsid w:val="002620A7"/>
    <w:rsid w:val="00262125"/>
    <w:rsid w:val="0026215E"/>
    <w:rsid w:val="00262161"/>
    <w:rsid w:val="00262168"/>
    <w:rsid w:val="002621AB"/>
    <w:rsid w:val="002621C3"/>
    <w:rsid w:val="0026222E"/>
    <w:rsid w:val="00262241"/>
    <w:rsid w:val="0026226B"/>
    <w:rsid w:val="00262274"/>
    <w:rsid w:val="00262338"/>
    <w:rsid w:val="002624A6"/>
    <w:rsid w:val="002624A8"/>
    <w:rsid w:val="0026256E"/>
    <w:rsid w:val="002625CA"/>
    <w:rsid w:val="00262607"/>
    <w:rsid w:val="00262662"/>
    <w:rsid w:val="002626EE"/>
    <w:rsid w:val="00262717"/>
    <w:rsid w:val="0026273B"/>
    <w:rsid w:val="002627DE"/>
    <w:rsid w:val="002627F0"/>
    <w:rsid w:val="00262835"/>
    <w:rsid w:val="002628EE"/>
    <w:rsid w:val="002628FF"/>
    <w:rsid w:val="002629C1"/>
    <w:rsid w:val="002629CB"/>
    <w:rsid w:val="002629F5"/>
    <w:rsid w:val="00262A53"/>
    <w:rsid w:val="00262B03"/>
    <w:rsid w:val="00262B52"/>
    <w:rsid w:val="00262BAC"/>
    <w:rsid w:val="00262C29"/>
    <w:rsid w:val="00262C50"/>
    <w:rsid w:val="00262C7F"/>
    <w:rsid w:val="00262CB6"/>
    <w:rsid w:val="00262CD5"/>
    <w:rsid w:val="00262D09"/>
    <w:rsid w:val="00262DFC"/>
    <w:rsid w:val="00262ECF"/>
    <w:rsid w:val="00262F52"/>
    <w:rsid w:val="00262FA0"/>
    <w:rsid w:val="0026303D"/>
    <w:rsid w:val="00263052"/>
    <w:rsid w:val="00263097"/>
    <w:rsid w:val="002630EC"/>
    <w:rsid w:val="002631AB"/>
    <w:rsid w:val="002631D7"/>
    <w:rsid w:val="002632DC"/>
    <w:rsid w:val="002632F6"/>
    <w:rsid w:val="00263326"/>
    <w:rsid w:val="002633D3"/>
    <w:rsid w:val="00263418"/>
    <w:rsid w:val="0026347F"/>
    <w:rsid w:val="00263483"/>
    <w:rsid w:val="0026352D"/>
    <w:rsid w:val="00263546"/>
    <w:rsid w:val="00263569"/>
    <w:rsid w:val="00263579"/>
    <w:rsid w:val="002635A1"/>
    <w:rsid w:val="002635A9"/>
    <w:rsid w:val="0026362E"/>
    <w:rsid w:val="00263641"/>
    <w:rsid w:val="0026364B"/>
    <w:rsid w:val="00263815"/>
    <w:rsid w:val="00263858"/>
    <w:rsid w:val="00263923"/>
    <w:rsid w:val="00263964"/>
    <w:rsid w:val="002639B5"/>
    <w:rsid w:val="00263A66"/>
    <w:rsid w:val="00263AC7"/>
    <w:rsid w:val="00263AFB"/>
    <w:rsid w:val="00263B26"/>
    <w:rsid w:val="00263B3A"/>
    <w:rsid w:val="00263B4D"/>
    <w:rsid w:val="00263BB6"/>
    <w:rsid w:val="00263C30"/>
    <w:rsid w:val="00263C5C"/>
    <w:rsid w:val="00263C75"/>
    <w:rsid w:val="00263C91"/>
    <w:rsid w:val="00263CDF"/>
    <w:rsid w:val="00263CE0"/>
    <w:rsid w:val="00263D00"/>
    <w:rsid w:val="00263DF2"/>
    <w:rsid w:val="00263F6D"/>
    <w:rsid w:val="0026401C"/>
    <w:rsid w:val="00264115"/>
    <w:rsid w:val="00264118"/>
    <w:rsid w:val="00264158"/>
    <w:rsid w:val="002641D5"/>
    <w:rsid w:val="0026429E"/>
    <w:rsid w:val="002642C6"/>
    <w:rsid w:val="0026433C"/>
    <w:rsid w:val="002643FD"/>
    <w:rsid w:val="00264456"/>
    <w:rsid w:val="00264467"/>
    <w:rsid w:val="002645FC"/>
    <w:rsid w:val="00264675"/>
    <w:rsid w:val="002646BD"/>
    <w:rsid w:val="00264700"/>
    <w:rsid w:val="00264790"/>
    <w:rsid w:val="0026479C"/>
    <w:rsid w:val="0026488F"/>
    <w:rsid w:val="0026492B"/>
    <w:rsid w:val="00264945"/>
    <w:rsid w:val="0026496F"/>
    <w:rsid w:val="0026497C"/>
    <w:rsid w:val="0026498C"/>
    <w:rsid w:val="00264993"/>
    <w:rsid w:val="00264995"/>
    <w:rsid w:val="00264996"/>
    <w:rsid w:val="002649BF"/>
    <w:rsid w:val="002649C9"/>
    <w:rsid w:val="00264AFD"/>
    <w:rsid w:val="00264B5E"/>
    <w:rsid w:val="00264BFA"/>
    <w:rsid w:val="00264C4D"/>
    <w:rsid w:val="00264D3D"/>
    <w:rsid w:val="00264D90"/>
    <w:rsid w:val="00264ED3"/>
    <w:rsid w:val="00264ED4"/>
    <w:rsid w:val="00264EDD"/>
    <w:rsid w:val="00264EEB"/>
    <w:rsid w:val="00264F66"/>
    <w:rsid w:val="0026509B"/>
    <w:rsid w:val="002650A6"/>
    <w:rsid w:val="002650EC"/>
    <w:rsid w:val="0026510C"/>
    <w:rsid w:val="00265187"/>
    <w:rsid w:val="002651D3"/>
    <w:rsid w:val="0026525D"/>
    <w:rsid w:val="0026538C"/>
    <w:rsid w:val="0026539E"/>
    <w:rsid w:val="002653D8"/>
    <w:rsid w:val="0026543F"/>
    <w:rsid w:val="00265449"/>
    <w:rsid w:val="00265451"/>
    <w:rsid w:val="00265485"/>
    <w:rsid w:val="002654FA"/>
    <w:rsid w:val="00265537"/>
    <w:rsid w:val="00265566"/>
    <w:rsid w:val="0026558E"/>
    <w:rsid w:val="002655A9"/>
    <w:rsid w:val="0026561B"/>
    <w:rsid w:val="002656A8"/>
    <w:rsid w:val="002656F9"/>
    <w:rsid w:val="00265734"/>
    <w:rsid w:val="002657A1"/>
    <w:rsid w:val="002657CB"/>
    <w:rsid w:val="00265809"/>
    <w:rsid w:val="0026583E"/>
    <w:rsid w:val="002658B2"/>
    <w:rsid w:val="002658B7"/>
    <w:rsid w:val="002658C6"/>
    <w:rsid w:val="00265921"/>
    <w:rsid w:val="002659AF"/>
    <w:rsid w:val="002659BC"/>
    <w:rsid w:val="00265A50"/>
    <w:rsid w:val="00265B2C"/>
    <w:rsid w:val="00265B47"/>
    <w:rsid w:val="00265B97"/>
    <w:rsid w:val="00265C28"/>
    <w:rsid w:val="00265C57"/>
    <w:rsid w:val="00265C99"/>
    <w:rsid w:val="00265CD6"/>
    <w:rsid w:val="00265CE0"/>
    <w:rsid w:val="00265D50"/>
    <w:rsid w:val="00265F07"/>
    <w:rsid w:val="00265F7D"/>
    <w:rsid w:val="00265F8D"/>
    <w:rsid w:val="0026600A"/>
    <w:rsid w:val="00266088"/>
    <w:rsid w:val="00266122"/>
    <w:rsid w:val="0026617C"/>
    <w:rsid w:val="00266203"/>
    <w:rsid w:val="00266259"/>
    <w:rsid w:val="002662C8"/>
    <w:rsid w:val="00266306"/>
    <w:rsid w:val="00266309"/>
    <w:rsid w:val="0026631F"/>
    <w:rsid w:val="00266333"/>
    <w:rsid w:val="00266392"/>
    <w:rsid w:val="0026643F"/>
    <w:rsid w:val="002664F3"/>
    <w:rsid w:val="00266501"/>
    <w:rsid w:val="0026650A"/>
    <w:rsid w:val="0026655E"/>
    <w:rsid w:val="00266570"/>
    <w:rsid w:val="00266588"/>
    <w:rsid w:val="002665B3"/>
    <w:rsid w:val="002665FC"/>
    <w:rsid w:val="00266625"/>
    <w:rsid w:val="0026666C"/>
    <w:rsid w:val="002666CB"/>
    <w:rsid w:val="002667D6"/>
    <w:rsid w:val="0026689E"/>
    <w:rsid w:val="002668A6"/>
    <w:rsid w:val="002668E3"/>
    <w:rsid w:val="00266901"/>
    <w:rsid w:val="00266935"/>
    <w:rsid w:val="00266941"/>
    <w:rsid w:val="00266977"/>
    <w:rsid w:val="0026697B"/>
    <w:rsid w:val="00266997"/>
    <w:rsid w:val="0026699C"/>
    <w:rsid w:val="00266A86"/>
    <w:rsid w:val="00266B91"/>
    <w:rsid w:val="00266BD9"/>
    <w:rsid w:val="00266D37"/>
    <w:rsid w:val="00266DFA"/>
    <w:rsid w:val="00266E57"/>
    <w:rsid w:val="00266EFF"/>
    <w:rsid w:val="00266F09"/>
    <w:rsid w:val="00266F4C"/>
    <w:rsid w:val="00266F62"/>
    <w:rsid w:val="00267033"/>
    <w:rsid w:val="0026706D"/>
    <w:rsid w:val="002670FA"/>
    <w:rsid w:val="0026715B"/>
    <w:rsid w:val="002671CD"/>
    <w:rsid w:val="002671D5"/>
    <w:rsid w:val="002671E3"/>
    <w:rsid w:val="00267299"/>
    <w:rsid w:val="002672FE"/>
    <w:rsid w:val="0026738B"/>
    <w:rsid w:val="00267392"/>
    <w:rsid w:val="002673A8"/>
    <w:rsid w:val="002673E6"/>
    <w:rsid w:val="00267413"/>
    <w:rsid w:val="0026741B"/>
    <w:rsid w:val="0026741C"/>
    <w:rsid w:val="00267458"/>
    <w:rsid w:val="0026745D"/>
    <w:rsid w:val="00267489"/>
    <w:rsid w:val="002674CA"/>
    <w:rsid w:val="002674D1"/>
    <w:rsid w:val="002674E1"/>
    <w:rsid w:val="0026754E"/>
    <w:rsid w:val="0026763A"/>
    <w:rsid w:val="0026766A"/>
    <w:rsid w:val="002677AC"/>
    <w:rsid w:val="002677AF"/>
    <w:rsid w:val="0026789A"/>
    <w:rsid w:val="002678AC"/>
    <w:rsid w:val="0026791F"/>
    <w:rsid w:val="002679C0"/>
    <w:rsid w:val="002679F3"/>
    <w:rsid w:val="00267A46"/>
    <w:rsid w:val="00267A8E"/>
    <w:rsid w:val="00267AE4"/>
    <w:rsid w:val="00267B58"/>
    <w:rsid w:val="00267B66"/>
    <w:rsid w:val="00267BC2"/>
    <w:rsid w:val="00267C26"/>
    <w:rsid w:val="00267C90"/>
    <w:rsid w:val="00267CBD"/>
    <w:rsid w:val="00267D3B"/>
    <w:rsid w:val="00267DA1"/>
    <w:rsid w:val="00267E72"/>
    <w:rsid w:val="00267F67"/>
    <w:rsid w:val="00270010"/>
    <w:rsid w:val="00270011"/>
    <w:rsid w:val="002700DE"/>
    <w:rsid w:val="00270101"/>
    <w:rsid w:val="0027019D"/>
    <w:rsid w:val="00270243"/>
    <w:rsid w:val="00270293"/>
    <w:rsid w:val="002703B1"/>
    <w:rsid w:val="00270400"/>
    <w:rsid w:val="00270445"/>
    <w:rsid w:val="00270468"/>
    <w:rsid w:val="002704A9"/>
    <w:rsid w:val="0027053A"/>
    <w:rsid w:val="0027059D"/>
    <w:rsid w:val="002706CE"/>
    <w:rsid w:val="00270727"/>
    <w:rsid w:val="002707F9"/>
    <w:rsid w:val="00270873"/>
    <w:rsid w:val="00270964"/>
    <w:rsid w:val="00270A26"/>
    <w:rsid w:val="00270A48"/>
    <w:rsid w:val="00270A79"/>
    <w:rsid w:val="00270A95"/>
    <w:rsid w:val="00270AC4"/>
    <w:rsid w:val="00270ACF"/>
    <w:rsid w:val="00270B36"/>
    <w:rsid w:val="00270BCE"/>
    <w:rsid w:val="00270BEC"/>
    <w:rsid w:val="00270BF8"/>
    <w:rsid w:val="00270C2C"/>
    <w:rsid w:val="00270CB9"/>
    <w:rsid w:val="00270D26"/>
    <w:rsid w:val="00270D4B"/>
    <w:rsid w:val="00270DDF"/>
    <w:rsid w:val="00270E63"/>
    <w:rsid w:val="00270E79"/>
    <w:rsid w:val="00270EC3"/>
    <w:rsid w:val="00270EFA"/>
    <w:rsid w:val="00270F56"/>
    <w:rsid w:val="00270F7D"/>
    <w:rsid w:val="0027103F"/>
    <w:rsid w:val="00271091"/>
    <w:rsid w:val="002710AB"/>
    <w:rsid w:val="002710F6"/>
    <w:rsid w:val="00271110"/>
    <w:rsid w:val="00271133"/>
    <w:rsid w:val="0027113C"/>
    <w:rsid w:val="002711BB"/>
    <w:rsid w:val="002711FC"/>
    <w:rsid w:val="002712F0"/>
    <w:rsid w:val="0027131C"/>
    <w:rsid w:val="00271386"/>
    <w:rsid w:val="00271429"/>
    <w:rsid w:val="00271457"/>
    <w:rsid w:val="0027149A"/>
    <w:rsid w:val="002714C0"/>
    <w:rsid w:val="002714E5"/>
    <w:rsid w:val="0027151C"/>
    <w:rsid w:val="00271590"/>
    <w:rsid w:val="002715AA"/>
    <w:rsid w:val="002715B8"/>
    <w:rsid w:val="002715E7"/>
    <w:rsid w:val="002716AD"/>
    <w:rsid w:val="0027170C"/>
    <w:rsid w:val="00271715"/>
    <w:rsid w:val="00271766"/>
    <w:rsid w:val="002717C7"/>
    <w:rsid w:val="00271838"/>
    <w:rsid w:val="002718A7"/>
    <w:rsid w:val="002718A9"/>
    <w:rsid w:val="002718FC"/>
    <w:rsid w:val="00271940"/>
    <w:rsid w:val="0027199B"/>
    <w:rsid w:val="002719A9"/>
    <w:rsid w:val="00271A68"/>
    <w:rsid w:val="00271A6F"/>
    <w:rsid w:val="00271A77"/>
    <w:rsid w:val="00271AAD"/>
    <w:rsid w:val="00271AB0"/>
    <w:rsid w:val="00271BC0"/>
    <w:rsid w:val="00271D09"/>
    <w:rsid w:val="00271D6B"/>
    <w:rsid w:val="00271D7D"/>
    <w:rsid w:val="00271DFF"/>
    <w:rsid w:val="00271E54"/>
    <w:rsid w:val="00271FA6"/>
    <w:rsid w:val="00271FAC"/>
    <w:rsid w:val="00271FDC"/>
    <w:rsid w:val="0027205A"/>
    <w:rsid w:val="002720BD"/>
    <w:rsid w:val="002720E5"/>
    <w:rsid w:val="00272129"/>
    <w:rsid w:val="00272266"/>
    <w:rsid w:val="0027226A"/>
    <w:rsid w:val="00272354"/>
    <w:rsid w:val="0027235E"/>
    <w:rsid w:val="00272362"/>
    <w:rsid w:val="00272465"/>
    <w:rsid w:val="002724D5"/>
    <w:rsid w:val="00272554"/>
    <w:rsid w:val="0027259D"/>
    <w:rsid w:val="002725D4"/>
    <w:rsid w:val="002725E0"/>
    <w:rsid w:val="002725F0"/>
    <w:rsid w:val="00272617"/>
    <w:rsid w:val="00272686"/>
    <w:rsid w:val="002726A5"/>
    <w:rsid w:val="00272706"/>
    <w:rsid w:val="002727B9"/>
    <w:rsid w:val="002727DC"/>
    <w:rsid w:val="002728DF"/>
    <w:rsid w:val="00272913"/>
    <w:rsid w:val="0027298D"/>
    <w:rsid w:val="00272A17"/>
    <w:rsid w:val="00272A9D"/>
    <w:rsid w:val="00272B0A"/>
    <w:rsid w:val="00272B4F"/>
    <w:rsid w:val="00272BA4"/>
    <w:rsid w:val="00272C6B"/>
    <w:rsid w:val="00272D28"/>
    <w:rsid w:val="00272DDF"/>
    <w:rsid w:val="00272E45"/>
    <w:rsid w:val="00272E4A"/>
    <w:rsid w:val="00272ECB"/>
    <w:rsid w:val="00272EEA"/>
    <w:rsid w:val="00272F1C"/>
    <w:rsid w:val="00272F4F"/>
    <w:rsid w:val="00273070"/>
    <w:rsid w:val="002730B6"/>
    <w:rsid w:val="0027313A"/>
    <w:rsid w:val="002731E1"/>
    <w:rsid w:val="002732E1"/>
    <w:rsid w:val="00273317"/>
    <w:rsid w:val="00273378"/>
    <w:rsid w:val="002733B4"/>
    <w:rsid w:val="002733CF"/>
    <w:rsid w:val="0027340A"/>
    <w:rsid w:val="00273425"/>
    <w:rsid w:val="00273549"/>
    <w:rsid w:val="0027354C"/>
    <w:rsid w:val="0027362F"/>
    <w:rsid w:val="00273670"/>
    <w:rsid w:val="00273678"/>
    <w:rsid w:val="00273693"/>
    <w:rsid w:val="0027369E"/>
    <w:rsid w:val="002736D8"/>
    <w:rsid w:val="002736E5"/>
    <w:rsid w:val="00273701"/>
    <w:rsid w:val="0027370A"/>
    <w:rsid w:val="00273710"/>
    <w:rsid w:val="00273715"/>
    <w:rsid w:val="0027372E"/>
    <w:rsid w:val="00273757"/>
    <w:rsid w:val="0027376F"/>
    <w:rsid w:val="0027378E"/>
    <w:rsid w:val="002737B0"/>
    <w:rsid w:val="002737BA"/>
    <w:rsid w:val="00273847"/>
    <w:rsid w:val="00273870"/>
    <w:rsid w:val="00273906"/>
    <w:rsid w:val="00273977"/>
    <w:rsid w:val="00273A2C"/>
    <w:rsid w:val="00273A67"/>
    <w:rsid w:val="00273A93"/>
    <w:rsid w:val="00273B57"/>
    <w:rsid w:val="00273C95"/>
    <w:rsid w:val="00273CDD"/>
    <w:rsid w:val="00273D07"/>
    <w:rsid w:val="00273DD5"/>
    <w:rsid w:val="00273E2E"/>
    <w:rsid w:val="00273EB4"/>
    <w:rsid w:val="00273F00"/>
    <w:rsid w:val="00273F82"/>
    <w:rsid w:val="00274004"/>
    <w:rsid w:val="00274061"/>
    <w:rsid w:val="0027412C"/>
    <w:rsid w:val="0027419E"/>
    <w:rsid w:val="0027429E"/>
    <w:rsid w:val="002742C3"/>
    <w:rsid w:val="0027436E"/>
    <w:rsid w:val="002743A7"/>
    <w:rsid w:val="002743C9"/>
    <w:rsid w:val="00274423"/>
    <w:rsid w:val="00274465"/>
    <w:rsid w:val="002744D9"/>
    <w:rsid w:val="002744DF"/>
    <w:rsid w:val="00274526"/>
    <w:rsid w:val="00274557"/>
    <w:rsid w:val="0027459A"/>
    <w:rsid w:val="00274671"/>
    <w:rsid w:val="002746BD"/>
    <w:rsid w:val="002746F0"/>
    <w:rsid w:val="0027471F"/>
    <w:rsid w:val="0027472F"/>
    <w:rsid w:val="00274782"/>
    <w:rsid w:val="00274795"/>
    <w:rsid w:val="002748A3"/>
    <w:rsid w:val="002748B8"/>
    <w:rsid w:val="002748E9"/>
    <w:rsid w:val="00274960"/>
    <w:rsid w:val="00274966"/>
    <w:rsid w:val="00274B40"/>
    <w:rsid w:val="00274BE6"/>
    <w:rsid w:val="00274BFC"/>
    <w:rsid w:val="00274D91"/>
    <w:rsid w:val="00274D97"/>
    <w:rsid w:val="00274DA8"/>
    <w:rsid w:val="00274ECC"/>
    <w:rsid w:val="00274ED9"/>
    <w:rsid w:val="00274F0D"/>
    <w:rsid w:val="00274F6A"/>
    <w:rsid w:val="00275204"/>
    <w:rsid w:val="00275280"/>
    <w:rsid w:val="0027534C"/>
    <w:rsid w:val="00275380"/>
    <w:rsid w:val="0027538E"/>
    <w:rsid w:val="0027552F"/>
    <w:rsid w:val="00275534"/>
    <w:rsid w:val="00275555"/>
    <w:rsid w:val="00275563"/>
    <w:rsid w:val="002755AF"/>
    <w:rsid w:val="002756C5"/>
    <w:rsid w:val="00275754"/>
    <w:rsid w:val="00275759"/>
    <w:rsid w:val="0027576F"/>
    <w:rsid w:val="002757B4"/>
    <w:rsid w:val="00275839"/>
    <w:rsid w:val="00275843"/>
    <w:rsid w:val="0027588C"/>
    <w:rsid w:val="0027588E"/>
    <w:rsid w:val="002758D1"/>
    <w:rsid w:val="00275952"/>
    <w:rsid w:val="002759D1"/>
    <w:rsid w:val="00275A05"/>
    <w:rsid w:val="00275A07"/>
    <w:rsid w:val="00275A78"/>
    <w:rsid w:val="00275AA7"/>
    <w:rsid w:val="00275AED"/>
    <w:rsid w:val="00275B9E"/>
    <w:rsid w:val="00275C02"/>
    <w:rsid w:val="00275C24"/>
    <w:rsid w:val="00275CA3"/>
    <w:rsid w:val="00275CC3"/>
    <w:rsid w:val="00275D35"/>
    <w:rsid w:val="00275D3F"/>
    <w:rsid w:val="00275D4E"/>
    <w:rsid w:val="00275D53"/>
    <w:rsid w:val="00275DB3"/>
    <w:rsid w:val="00275E2E"/>
    <w:rsid w:val="00275E45"/>
    <w:rsid w:val="00275E47"/>
    <w:rsid w:val="00275EC0"/>
    <w:rsid w:val="00275EDA"/>
    <w:rsid w:val="00275F1F"/>
    <w:rsid w:val="00275FA7"/>
    <w:rsid w:val="0027603A"/>
    <w:rsid w:val="00276074"/>
    <w:rsid w:val="00276143"/>
    <w:rsid w:val="0027618E"/>
    <w:rsid w:val="002761A6"/>
    <w:rsid w:val="002761C2"/>
    <w:rsid w:val="00276233"/>
    <w:rsid w:val="00276238"/>
    <w:rsid w:val="00276362"/>
    <w:rsid w:val="00276386"/>
    <w:rsid w:val="00276392"/>
    <w:rsid w:val="002763C0"/>
    <w:rsid w:val="002763F6"/>
    <w:rsid w:val="00276447"/>
    <w:rsid w:val="00276521"/>
    <w:rsid w:val="0027652C"/>
    <w:rsid w:val="00276539"/>
    <w:rsid w:val="002765E9"/>
    <w:rsid w:val="002765F7"/>
    <w:rsid w:val="002766D3"/>
    <w:rsid w:val="002766F4"/>
    <w:rsid w:val="002766F7"/>
    <w:rsid w:val="0027672F"/>
    <w:rsid w:val="0027679A"/>
    <w:rsid w:val="002767B3"/>
    <w:rsid w:val="00276823"/>
    <w:rsid w:val="002768B5"/>
    <w:rsid w:val="00276943"/>
    <w:rsid w:val="0027695C"/>
    <w:rsid w:val="00276A5C"/>
    <w:rsid w:val="00276A84"/>
    <w:rsid w:val="00276AA8"/>
    <w:rsid w:val="00276BBC"/>
    <w:rsid w:val="00276BD4"/>
    <w:rsid w:val="00276C05"/>
    <w:rsid w:val="00276C5D"/>
    <w:rsid w:val="00276C91"/>
    <w:rsid w:val="00276CD2"/>
    <w:rsid w:val="00276CF8"/>
    <w:rsid w:val="00276CFD"/>
    <w:rsid w:val="00276D1D"/>
    <w:rsid w:val="00276D6C"/>
    <w:rsid w:val="00276E8C"/>
    <w:rsid w:val="00276EA0"/>
    <w:rsid w:val="00276EFE"/>
    <w:rsid w:val="00276F8A"/>
    <w:rsid w:val="00276FD7"/>
    <w:rsid w:val="00276FE2"/>
    <w:rsid w:val="0027706D"/>
    <w:rsid w:val="0027709E"/>
    <w:rsid w:val="002770A4"/>
    <w:rsid w:val="002770CB"/>
    <w:rsid w:val="00277113"/>
    <w:rsid w:val="0027712C"/>
    <w:rsid w:val="00277131"/>
    <w:rsid w:val="00277139"/>
    <w:rsid w:val="00277240"/>
    <w:rsid w:val="0027726F"/>
    <w:rsid w:val="002772BA"/>
    <w:rsid w:val="0027731A"/>
    <w:rsid w:val="00277338"/>
    <w:rsid w:val="0027739C"/>
    <w:rsid w:val="00277420"/>
    <w:rsid w:val="00277528"/>
    <w:rsid w:val="00277586"/>
    <w:rsid w:val="0027764F"/>
    <w:rsid w:val="00277705"/>
    <w:rsid w:val="00277730"/>
    <w:rsid w:val="00277782"/>
    <w:rsid w:val="002777BC"/>
    <w:rsid w:val="0027788A"/>
    <w:rsid w:val="002778A8"/>
    <w:rsid w:val="0027794B"/>
    <w:rsid w:val="0027795E"/>
    <w:rsid w:val="00277999"/>
    <w:rsid w:val="00277A9D"/>
    <w:rsid w:val="00277AA2"/>
    <w:rsid w:val="00277AAE"/>
    <w:rsid w:val="00277AF5"/>
    <w:rsid w:val="00277C09"/>
    <w:rsid w:val="00277C67"/>
    <w:rsid w:val="00277C71"/>
    <w:rsid w:val="00277C9F"/>
    <w:rsid w:val="00277CDA"/>
    <w:rsid w:val="00277DB5"/>
    <w:rsid w:val="00277F01"/>
    <w:rsid w:val="00277F02"/>
    <w:rsid w:val="0028008C"/>
    <w:rsid w:val="002800B6"/>
    <w:rsid w:val="002800B9"/>
    <w:rsid w:val="00280188"/>
    <w:rsid w:val="0028018D"/>
    <w:rsid w:val="002801B2"/>
    <w:rsid w:val="0028021E"/>
    <w:rsid w:val="0028026C"/>
    <w:rsid w:val="0028029E"/>
    <w:rsid w:val="002802C2"/>
    <w:rsid w:val="002802F3"/>
    <w:rsid w:val="0028038A"/>
    <w:rsid w:val="002803A2"/>
    <w:rsid w:val="00280428"/>
    <w:rsid w:val="002804E1"/>
    <w:rsid w:val="002804F1"/>
    <w:rsid w:val="00280516"/>
    <w:rsid w:val="0028053B"/>
    <w:rsid w:val="00280673"/>
    <w:rsid w:val="00280702"/>
    <w:rsid w:val="002807B9"/>
    <w:rsid w:val="002807CA"/>
    <w:rsid w:val="00280827"/>
    <w:rsid w:val="0028083F"/>
    <w:rsid w:val="00280848"/>
    <w:rsid w:val="002808AD"/>
    <w:rsid w:val="00280981"/>
    <w:rsid w:val="00280989"/>
    <w:rsid w:val="00280A77"/>
    <w:rsid w:val="00280B79"/>
    <w:rsid w:val="00280B7A"/>
    <w:rsid w:val="00280B9F"/>
    <w:rsid w:val="00280BE2"/>
    <w:rsid w:val="00280C19"/>
    <w:rsid w:val="00280C2C"/>
    <w:rsid w:val="00280C33"/>
    <w:rsid w:val="00280CFA"/>
    <w:rsid w:val="00280CFD"/>
    <w:rsid w:val="00280D6B"/>
    <w:rsid w:val="00280D95"/>
    <w:rsid w:val="00280DF9"/>
    <w:rsid w:val="00280EE7"/>
    <w:rsid w:val="00280F37"/>
    <w:rsid w:val="002810D2"/>
    <w:rsid w:val="00281125"/>
    <w:rsid w:val="0028112A"/>
    <w:rsid w:val="0028116E"/>
    <w:rsid w:val="00281191"/>
    <w:rsid w:val="0028119D"/>
    <w:rsid w:val="002811F3"/>
    <w:rsid w:val="0028121E"/>
    <w:rsid w:val="00281249"/>
    <w:rsid w:val="002812F5"/>
    <w:rsid w:val="00281422"/>
    <w:rsid w:val="0028147B"/>
    <w:rsid w:val="0028154D"/>
    <w:rsid w:val="0028155C"/>
    <w:rsid w:val="002815AB"/>
    <w:rsid w:val="002815E6"/>
    <w:rsid w:val="002815EB"/>
    <w:rsid w:val="00281609"/>
    <w:rsid w:val="00281716"/>
    <w:rsid w:val="002817D0"/>
    <w:rsid w:val="0028180D"/>
    <w:rsid w:val="002818D0"/>
    <w:rsid w:val="00281929"/>
    <w:rsid w:val="00281934"/>
    <w:rsid w:val="00281A65"/>
    <w:rsid w:val="00281A6D"/>
    <w:rsid w:val="00281A94"/>
    <w:rsid w:val="00281AAD"/>
    <w:rsid w:val="00281B32"/>
    <w:rsid w:val="00281D34"/>
    <w:rsid w:val="00281D57"/>
    <w:rsid w:val="00281DC8"/>
    <w:rsid w:val="00281E2F"/>
    <w:rsid w:val="00281F10"/>
    <w:rsid w:val="00281F4A"/>
    <w:rsid w:val="0028200F"/>
    <w:rsid w:val="00282058"/>
    <w:rsid w:val="0028211B"/>
    <w:rsid w:val="002821D4"/>
    <w:rsid w:val="002821F6"/>
    <w:rsid w:val="00282216"/>
    <w:rsid w:val="0028226D"/>
    <w:rsid w:val="002822E6"/>
    <w:rsid w:val="00282391"/>
    <w:rsid w:val="002823D4"/>
    <w:rsid w:val="002823D7"/>
    <w:rsid w:val="00282582"/>
    <w:rsid w:val="002825A0"/>
    <w:rsid w:val="00282646"/>
    <w:rsid w:val="002826AB"/>
    <w:rsid w:val="0028270C"/>
    <w:rsid w:val="00282760"/>
    <w:rsid w:val="002827AB"/>
    <w:rsid w:val="002827E6"/>
    <w:rsid w:val="002827E9"/>
    <w:rsid w:val="00282807"/>
    <w:rsid w:val="0028285A"/>
    <w:rsid w:val="00282974"/>
    <w:rsid w:val="002829B1"/>
    <w:rsid w:val="002829CA"/>
    <w:rsid w:val="00282A12"/>
    <w:rsid w:val="00282A14"/>
    <w:rsid w:val="00282AC9"/>
    <w:rsid w:val="00282B0A"/>
    <w:rsid w:val="00282B0B"/>
    <w:rsid w:val="00282B6C"/>
    <w:rsid w:val="00282B6D"/>
    <w:rsid w:val="00282BCC"/>
    <w:rsid w:val="00282C1C"/>
    <w:rsid w:val="00282CB3"/>
    <w:rsid w:val="00282CF9"/>
    <w:rsid w:val="00282D44"/>
    <w:rsid w:val="00282D53"/>
    <w:rsid w:val="00282D66"/>
    <w:rsid w:val="00282DA3"/>
    <w:rsid w:val="00282DE5"/>
    <w:rsid w:val="00282E17"/>
    <w:rsid w:val="00282E37"/>
    <w:rsid w:val="00282F01"/>
    <w:rsid w:val="00282F6A"/>
    <w:rsid w:val="00282F83"/>
    <w:rsid w:val="00283046"/>
    <w:rsid w:val="00283052"/>
    <w:rsid w:val="0028306E"/>
    <w:rsid w:val="002830CA"/>
    <w:rsid w:val="002830D1"/>
    <w:rsid w:val="002830E4"/>
    <w:rsid w:val="00283102"/>
    <w:rsid w:val="0028315F"/>
    <w:rsid w:val="0028316E"/>
    <w:rsid w:val="00283192"/>
    <w:rsid w:val="0028319B"/>
    <w:rsid w:val="002831AD"/>
    <w:rsid w:val="002831B1"/>
    <w:rsid w:val="002831C7"/>
    <w:rsid w:val="002831DA"/>
    <w:rsid w:val="0028321D"/>
    <w:rsid w:val="00283304"/>
    <w:rsid w:val="00283333"/>
    <w:rsid w:val="002833FF"/>
    <w:rsid w:val="00283470"/>
    <w:rsid w:val="0028349C"/>
    <w:rsid w:val="0028349E"/>
    <w:rsid w:val="002834C9"/>
    <w:rsid w:val="002834D8"/>
    <w:rsid w:val="00283543"/>
    <w:rsid w:val="002835B1"/>
    <w:rsid w:val="00283604"/>
    <w:rsid w:val="0028361E"/>
    <w:rsid w:val="00283624"/>
    <w:rsid w:val="0028370F"/>
    <w:rsid w:val="0028372F"/>
    <w:rsid w:val="0028379A"/>
    <w:rsid w:val="0028379B"/>
    <w:rsid w:val="002837A7"/>
    <w:rsid w:val="002837EF"/>
    <w:rsid w:val="00283885"/>
    <w:rsid w:val="002838C3"/>
    <w:rsid w:val="002838C5"/>
    <w:rsid w:val="002839A5"/>
    <w:rsid w:val="002839C7"/>
    <w:rsid w:val="00283A45"/>
    <w:rsid w:val="00283A9D"/>
    <w:rsid w:val="00283AA3"/>
    <w:rsid w:val="00283AF1"/>
    <w:rsid w:val="00283B4D"/>
    <w:rsid w:val="00283B79"/>
    <w:rsid w:val="00283B96"/>
    <w:rsid w:val="00283CB6"/>
    <w:rsid w:val="00283D65"/>
    <w:rsid w:val="00283D76"/>
    <w:rsid w:val="00283DD1"/>
    <w:rsid w:val="00283DEE"/>
    <w:rsid w:val="00283DF1"/>
    <w:rsid w:val="00283E4F"/>
    <w:rsid w:val="00283EE8"/>
    <w:rsid w:val="00283EF1"/>
    <w:rsid w:val="00283F2D"/>
    <w:rsid w:val="00283FB5"/>
    <w:rsid w:val="00283FC4"/>
    <w:rsid w:val="002840AB"/>
    <w:rsid w:val="002840FC"/>
    <w:rsid w:val="0028410F"/>
    <w:rsid w:val="002842C1"/>
    <w:rsid w:val="002842DC"/>
    <w:rsid w:val="0028436A"/>
    <w:rsid w:val="0028437E"/>
    <w:rsid w:val="00284383"/>
    <w:rsid w:val="002843AD"/>
    <w:rsid w:val="00284446"/>
    <w:rsid w:val="0028454F"/>
    <w:rsid w:val="00284568"/>
    <w:rsid w:val="002845D7"/>
    <w:rsid w:val="0028463F"/>
    <w:rsid w:val="00284657"/>
    <w:rsid w:val="00284672"/>
    <w:rsid w:val="00284711"/>
    <w:rsid w:val="00284726"/>
    <w:rsid w:val="002848AE"/>
    <w:rsid w:val="002848BF"/>
    <w:rsid w:val="002848D0"/>
    <w:rsid w:val="0028490A"/>
    <w:rsid w:val="00284944"/>
    <w:rsid w:val="002849EE"/>
    <w:rsid w:val="00284A75"/>
    <w:rsid w:val="00284C18"/>
    <w:rsid w:val="00284C48"/>
    <w:rsid w:val="00284C52"/>
    <w:rsid w:val="00284C81"/>
    <w:rsid w:val="00284C8C"/>
    <w:rsid w:val="00284C90"/>
    <w:rsid w:val="00284D58"/>
    <w:rsid w:val="00284D63"/>
    <w:rsid w:val="00284D76"/>
    <w:rsid w:val="00284DCC"/>
    <w:rsid w:val="00284E14"/>
    <w:rsid w:val="00284E47"/>
    <w:rsid w:val="00284E8C"/>
    <w:rsid w:val="00285055"/>
    <w:rsid w:val="002850CF"/>
    <w:rsid w:val="00285141"/>
    <w:rsid w:val="002852CE"/>
    <w:rsid w:val="002852F1"/>
    <w:rsid w:val="002853A4"/>
    <w:rsid w:val="002853C6"/>
    <w:rsid w:val="002853D1"/>
    <w:rsid w:val="00285413"/>
    <w:rsid w:val="00285426"/>
    <w:rsid w:val="00285462"/>
    <w:rsid w:val="00285534"/>
    <w:rsid w:val="00285576"/>
    <w:rsid w:val="002855A4"/>
    <w:rsid w:val="002855EE"/>
    <w:rsid w:val="002855F0"/>
    <w:rsid w:val="002855F4"/>
    <w:rsid w:val="0028565A"/>
    <w:rsid w:val="002856E4"/>
    <w:rsid w:val="00285768"/>
    <w:rsid w:val="002857C4"/>
    <w:rsid w:val="00285804"/>
    <w:rsid w:val="0028583D"/>
    <w:rsid w:val="00285886"/>
    <w:rsid w:val="0028590D"/>
    <w:rsid w:val="00285A35"/>
    <w:rsid w:val="00285AA4"/>
    <w:rsid w:val="00285B91"/>
    <w:rsid w:val="00285BA5"/>
    <w:rsid w:val="00285C1F"/>
    <w:rsid w:val="00285C6F"/>
    <w:rsid w:val="00285CB2"/>
    <w:rsid w:val="00285D60"/>
    <w:rsid w:val="00285DB0"/>
    <w:rsid w:val="00285DC8"/>
    <w:rsid w:val="00285DCD"/>
    <w:rsid w:val="00285E80"/>
    <w:rsid w:val="00285EC5"/>
    <w:rsid w:val="00285EC7"/>
    <w:rsid w:val="00285F48"/>
    <w:rsid w:val="00285F62"/>
    <w:rsid w:val="00286064"/>
    <w:rsid w:val="00286073"/>
    <w:rsid w:val="00286093"/>
    <w:rsid w:val="00286147"/>
    <w:rsid w:val="00286197"/>
    <w:rsid w:val="00286254"/>
    <w:rsid w:val="00286284"/>
    <w:rsid w:val="002862B9"/>
    <w:rsid w:val="002862C1"/>
    <w:rsid w:val="002862D0"/>
    <w:rsid w:val="00286393"/>
    <w:rsid w:val="0028639A"/>
    <w:rsid w:val="002863BC"/>
    <w:rsid w:val="002863D3"/>
    <w:rsid w:val="0028640B"/>
    <w:rsid w:val="00286434"/>
    <w:rsid w:val="00286488"/>
    <w:rsid w:val="0028654C"/>
    <w:rsid w:val="00286576"/>
    <w:rsid w:val="002865B8"/>
    <w:rsid w:val="002865BA"/>
    <w:rsid w:val="002865C9"/>
    <w:rsid w:val="00286627"/>
    <w:rsid w:val="00286629"/>
    <w:rsid w:val="00286753"/>
    <w:rsid w:val="0028675F"/>
    <w:rsid w:val="00286790"/>
    <w:rsid w:val="002867C8"/>
    <w:rsid w:val="002867DC"/>
    <w:rsid w:val="00286844"/>
    <w:rsid w:val="00286875"/>
    <w:rsid w:val="00286888"/>
    <w:rsid w:val="00286927"/>
    <w:rsid w:val="00286A76"/>
    <w:rsid w:val="00286A82"/>
    <w:rsid w:val="00286AEA"/>
    <w:rsid w:val="00286AFF"/>
    <w:rsid w:val="00286BE6"/>
    <w:rsid w:val="00286BED"/>
    <w:rsid w:val="00286C33"/>
    <w:rsid w:val="00286CD8"/>
    <w:rsid w:val="00286CFE"/>
    <w:rsid w:val="00286D01"/>
    <w:rsid w:val="00286D30"/>
    <w:rsid w:val="00286D6A"/>
    <w:rsid w:val="00286DC2"/>
    <w:rsid w:val="00286E66"/>
    <w:rsid w:val="00286E68"/>
    <w:rsid w:val="00286EE7"/>
    <w:rsid w:val="00286F18"/>
    <w:rsid w:val="00286FF6"/>
    <w:rsid w:val="00286FFB"/>
    <w:rsid w:val="002870C0"/>
    <w:rsid w:val="002870C1"/>
    <w:rsid w:val="0028721A"/>
    <w:rsid w:val="00287224"/>
    <w:rsid w:val="00287225"/>
    <w:rsid w:val="002872B0"/>
    <w:rsid w:val="00287309"/>
    <w:rsid w:val="0028737C"/>
    <w:rsid w:val="0028739B"/>
    <w:rsid w:val="002875EA"/>
    <w:rsid w:val="002875F1"/>
    <w:rsid w:val="00287611"/>
    <w:rsid w:val="00287633"/>
    <w:rsid w:val="002876B3"/>
    <w:rsid w:val="00287719"/>
    <w:rsid w:val="00287725"/>
    <w:rsid w:val="002877F3"/>
    <w:rsid w:val="00287873"/>
    <w:rsid w:val="002878B3"/>
    <w:rsid w:val="002878DE"/>
    <w:rsid w:val="00287947"/>
    <w:rsid w:val="00287960"/>
    <w:rsid w:val="00287972"/>
    <w:rsid w:val="00287975"/>
    <w:rsid w:val="00287A2A"/>
    <w:rsid w:val="00287A88"/>
    <w:rsid w:val="00287B36"/>
    <w:rsid w:val="00287B63"/>
    <w:rsid w:val="00287BC3"/>
    <w:rsid w:val="00287C39"/>
    <w:rsid w:val="00287C80"/>
    <w:rsid w:val="00287D0F"/>
    <w:rsid w:val="00287D4F"/>
    <w:rsid w:val="00287DCC"/>
    <w:rsid w:val="00287DDF"/>
    <w:rsid w:val="00287E60"/>
    <w:rsid w:val="00287E6C"/>
    <w:rsid w:val="00290014"/>
    <w:rsid w:val="0029003E"/>
    <w:rsid w:val="00290132"/>
    <w:rsid w:val="0029013B"/>
    <w:rsid w:val="0029019E"/>
    <w:rsid w:val="002901A8"/>
    <w:rsid w:val="002901A9"/>
    <w:rsid w:val="002901CA"/>
    <w:rsid w:val="002901E5"/>
    <w:rsid w:val="00290202"/>
    <w:rsid w:val="0029020D"/>
    <w:rsid w:val="00290278"/>
    <w:rsid w:val="002902FC"/>
    <w:rsid w:val="00290320"/>
    <w:rsid w:val="0029036A"/>
    <w:rsid w:val="00290487"/>
    <w:rsid w:val="002904C4"/>
    <w:rsid w:val="002905B7"/>
    <w:rsid w:val="002905F8"/>
    <w:rsid w:val="00290633"/>
    <w:rsid w:val="00290660"/>
    <w:rsid w:val="0029075C"/>
    <w:rsid w:val="002907FB"/>
    <w:rsid w:val="00290802"/>
    <w:rsid w:val="00290813"/>
    <w:rsid w:val="00290859"/>
    <w:rsid w:val="002908A0"/>
    <w:rsid w:val="002908BA"/>
    <w:rsid w:val="002909B8"/>
    <w:rsid w:val="002909C6"/>
    <w:rsid w:val="002909CB"/>
    <w:rsid w:val="00290A1F"/>
    <w:rsid w:val="00290AD7"/>
    <w:rsid w:val="00290B49"/>
    <w:rsid w:val="00290C60"/>
    <w:rsid w:val="00290CEA"/>
    <w:rsid w:val="00290D03"/>
    <w:rsid w:val="00290DEA"/>
    <w:rsid w:val="00290E0E"/>
    <w:rsid w:val="00290E51"/>
    <w:rsid w:val="00290E8A"/>
    <w:rsid w:val="00290E99"/>
    <w:rsid w:val="00290EEB"/>
    <w:rsid w:val="00290EF0"/>
    <w:rsid w:val="00290F20"/>
    <w:rsid w:val="00290F3D"/>
    <w:rsid w:val="00290F68"/>
    <w:rsid w:val="00290F80"/>
    <w:rsid w:val="00290F82"/>
    <w:rsid w:val="00290FBA"/>
    <w:rsid w:val="00291065"/>
    <w:rsid w:val="002910A7"/>
    <w:rsid w:val="0029110A"/>
    <w:rsid w:val="00291173"/>
    <w:rsid w:val="002911A4"/>
    <w:rsid w:val="002911AA"/>
    <w:rsid w:val="002911E9"/>
    <w:rsid w:val="002912C2"/>
    <w:rsid w:val="002912C8"/>
    <w:rsid w:val="00291300"/>
    <w:rsid w:val="00291402"/>
    <w:rsid w:val="0029146A"/>
    <w:rsid w:val="00291483"/>
    <w:rsid w:val="00291499"/>
    <w:rsid w:val="002914BB"/>
    <w:rsid w:val="002914DA"/>
    <w:rsid w:val="002914EC"/>
    <w:rsid w:val="0029153E"/>
    <w:rsid w:val="00291548"/>
    <w:rsid w:val="0029157B"/>
    <w:rsid w:val="002915BC"/>
    <w:rsid w:val="002915CB"/>
    <w:rsid w:val="00291623"/>
    <w:rsid w:val="00291677"/>
    <w:rsid w:val="002916FA"/>
    <w:rsid w:val="00291721"/>
    <w:rsid w:val="00291766"/>
    <w:rsid w:val="002917BB"/>
    <w:rsid w:val="00291820"/>
    <w:rsid w:val="00291857"/>
    <w:rsid w:val="00291872"/>
    <w:rsid w:val="002918B3"/>
    <w:rsid w:val="00291941"/>
    <w:rsid w:val="0029194D"/>
    <w:rsid w:val="002919F9"/>
    <w:rsid w:val="00291A27"/>
    <w:rsid w:val="00291A96"/>
    <w:rsid w:val="00291B0B"/>
    <w:rsid w:val="00291B22"/>
    <w:rsid w:val="00291B26"/>
    <w:rsid w:val="00291CB4"/>
    <w:rsid w:val="00291D54"/>
    <w:rsid w:val="00291D55"/>
    <w:rsid w:val="00291DFB"/>
    <w:rsid w:val="00291E4B"/>
    <w:rsid w:val="00291E65"/>
    <w:rsid w:val="00291E75"/>
    <w:rsid w:val="00291EB5"/>
    <w:rsid w:val="00291EC5"/>
    <w:rsid w:val="00291F64"/>
    <w:rsid w:val="00291FA8"/>
    <w:rsid w:val="00292000"/>
    <w:rsid w:val="002920B1"/>
    <w:rsid w:val="00292109"/>
    <w:rsid w:val="0029211C"/>
    <w:rsid w:val="00292143"/>
    <w:rsid w:val="00292189"/>
    <w:rsid w:val="0029225D"/>
    <w:rsid w:val="00292262"/>
    <w:rsid w:val="00292286"/>
    <w:rsid w:val="00292330"/>
    <w:rsid w:val="00292339"/>
    <w:rsid w:val="0029234A"/>
    <w:rsid w:val="0029235D"/>
    <w:rsid w:val="002923AF"/>
    <w:rsid w:val="00292423"/>
    <w:rsid w:val="00292450"/>
    <w:rsid w:val="0029248B"/>
    <w:rsid w:val="00292515"/>
    <w:rsid w:val="002925AE"/>
    <w:rsid w:val="00292615"/>
    <w:rsid w:val="00292619"/>
    <w:rsid w:val="00292692"/>
    <w:rsid w:val="0029274D"/>
    <w:rsid w:val="00292759"/>
    <w:rsid w:val="00292772"/>
    <w:rsid w:val="00292773"/>
    <w:rsid w:val="002927BC"/>
    <w:rsid w:val="0029280A"/>
    <w:rsid w:val="0029282C"/>
    <w:rsid w:val="002928C7"/>
    <w:rsid w:val="002928D9"/>
    <w:rsid w:val="0029291B"/>
    <w:rsid w:val="00292924"/>
    <w:rsid w:val="00292983"/>
    <w:rsid w:val="00292986"/>
    <w:rsid w:val="00292A25"/>
    <w:rsid w:val="00292C03"/>
    <w:rsid w:val="00292C0E"/>
    <w:rsid w:val="00292D66"/>
    <w:rsid w:val="00292E9E"/>
    <w:rsid w:val="00292F36"/>
    <w:rsid w:val="00292F38"/>
    <w:rsid w:val="00292F3C"/>
    <w:rsid w:val="002930BE"/>
    <w:rsid w:val="00293116"/>
    <w:rsid w:val="0029312D"/>
    <w:rsid w:val="00293131"/>
    <w:rsid w:val="002931B7"/>
    <w:rsid w:val="002931C1"/>
    <w:rsid w:val="00293207"/>
    <w:rsid w:val="00293287"/>
    <w:rsid w:val="002932A6"/>
    <w:rsid w:val="0029336F"/>
    <w:rsid w:val="002933C7"/>
    <w:rsid w:val="00293470"/>
    <w:rsid w:val="0029351D"/>
    <w:rsid w:val="0029352C"/>
    <w:rsid w:val="0029354A"/>
    <w:rsid w:val="0029355F"/>
    <w:rsid w:val="002935C8"/>
    <w:rsid w:val="002935D5"/>
    <w:rsid w:val="002935FF"/>
    <w:rsid w:val="0029360F"/>
    <w:rsid w:val="0029361D"/>
    <w:rsid w:val="00293647"/>
    <w:rsid w:val="002937EE"/>
    <w:rsid w:val="00293804"/>
    <w:rsid w:val="00293826"/>
    <w:rsid w:val="00293864"/>
    <w:rsid w:val="00293889"/>
    <w:rsid w:val="00293897"/>
    <w:rsid w:val="002938E3"/>
    <w:rsid w:val="00293999"/>
    <w:rsid w:val="002939BB"/>
    <w:rsid w:val="00293ABB"/>
    <w:rsid w:val="00293B59"/>
    <w:rsid w:val="00293CB8"/>
    <w:rsid w:val="00293CB9"/>
    <w:rsid w:val="00293D18"/>
    <w:rsid w:val="00293D72"/>
    <w:rsid w:val="00293E0C"/>
    <w:rsid w:val="00293E5B"/>
    <w:rsid w:val="00293F1C"/>
    <w:rsid w:val="00293F37"/>
    <w:rsid w:val="00293F43"/>
    <w:rsid w:val="00293F55"/>
    <w:rsid w:val="00293FB7"/>
    <w:rsid w:val="00293FDD"/>
    <w:rsid w:val="0029401C"/>
    <w:rsid w:val="00294037"/>
    <w:rsid w:val="0029405D"/>
    <w:rsid w:val="0029413F"/>
    <w:rsid w:val="002941DB"/>
    <w:rsid w:val="002941F6"/>
    <w:rsid w:val="0029423B"/>
    <w:rsid w:val="0029424D"/>
    <w:rsid w:val="00294334"/>
    <w:rsid w:val="00294397"/>
    <w:rsid w:val="00294454"/>
    <w:rsid w:val="0029446B"/>
    <w:rsid w:val="00294499"/>
    <w:rsid w:val="00294593"/>
    <w:rsid w:val="0029459F"/>
    <w:rsid w:val="002945DE"/>
    <w:rsid w:val="00294626"/>
    <w:rsid w:val="00294629"/>
    <w:rsid w:val="002946A8"/>
    <w:rsid w:val="00294810"/>
    <w:rsid w:val="00294834"/>
    <w:rsid w:val="002948B8"/>
    <w:rsid w:val="002948CC"/>
    <w:rsid w:val="002948CE"/>
    <w:rsid w:val="00294979"/>
    <w:rsid w:val="002949ED"/>
    <w:rsid w:val="00294AC3"/>
    <w:rsid w:val="00294B0D"/>
    <w:rsid w:val="00294B62"/>
    <w:rsid w:val="00294BF1"/>
    <w:rsid w:val="00294C72"/>
    <w:rsid w:val="00294C9C"/>
    <w:rsid w:val="00294CAC"/>
    <w:rsid w:val="00294D21"/>
    <w:rsid w:val="00294D31"/>
    <w:rsid w:val="00294D32"/>
    <w:rsid w:val="00294D68"/>
    <w:rsid w:val="00294E44"/>
    <w:rsid w:val="00294F22"/>
    <w:rsid w:val="00294F3E"/>
    <w:rsid w:val="00294F9B"/>
    <w:rsid w:val="00294FBE"/>
    <w:rsid w:val="00294FC2"/>
    <w:rsid w:val="00295018"/>
    <w:rsid w:val="0029504D"/>
    <w:rsid w:val="00295062"/>
    <w:rsid w:val="0029511C"/>
    <w:rsid w:val="00295143"/>
    <w:rsid w:val="002951EE"/>
    <w:rsid w:val="002951EF"/>
    <w:rsid w:val="002952D3"/>
    <w:rsid w:val="0029532A"/>
    <w:rsid w:val="002953CE"/>
    <w:rsid w:val="0029542E"/>
    <w:rsid w:val="00295533"/>
    <w:rsid w:val="002955C7"/>
    <w:rsid w:val="002955EE"/>
    <w:rsid w:val="00295615"/>
    <w:rsid w:val="0029567E"/>
    <w:rsid w:val="00295698"/>
    <w:rsid w:val="002956B2"/>
    <w:rsid w:val="002956D8"/>
    <w:rsid w:val="002956FF"/>
    <w:rsid w:val="00295851"/>
    <w:rsid w:val="00295862"/>
    <w:rsid w:val="002958AB"/>
    <w:rsid w:val="00295925"/>
    <w:rsid w:val="0029596D"/>
    <w:rsid w:val="002959F6"/>
    <w:rsid w:val="00295A85"/>
    <w:rsid w:val="00295AED"/>
    <w:rsid w:val="00295B22"/>
    <w:rsid w:val="00295BCB"/>
    <w:rsid w:val="00295C3C"/>
    <w:rsid w:val="00295CB4"/>
    <w:rsid w:val="00295D55"/>
    <w:rsid w:val="00295DBB"/>
    <w:rsid w:val="00295DD7"/>
    <w:rsid w:val="00295E44"/>
    <w:rsid w:val="00295E5B"/>
    <w:rsid w:val="00295F47"/>
    <w:rsid w:val="00295F71"/>
    <w:rsid w:val="00295F7B"/>
    <w:rsid w:val="0029610D"/>
    <w:rsid w:val="0029629F"/>
    <w:rsid w:val="002962A1"/>
    <w:rsid w:val="00296300"/>
    <w:rsid w:val="0029633C"/>
    <w:rsid w:val="0029644F"/>
    <w:rsid w:val="002964C9"/>
    <w:rsid w:val="002964DD"/>
    <w:rsid w:val="002965A3"/>
    <w:rsid w:val="002965B3"/>
    <w:rsid w:val="002965C5"/>
    <w:rsid w:val="002965F0"/>
    <w:rsid w:val="002965F1"/>
    <w:rsid w:val="00296646"/>
    <w:rsid w:val="002966B9"/>
    <w:rsid w:val="002966CB"/>
    <w:rsid w:val="00296804"/>
    <w:rsid w:val="00296919"/>
    <w:rsid w:val="00296955"/>
    <w:rsid w:val="00296966"/>
    <w:rsid w:val="002969CA"/>
    <w:rsid w:val="002969EB"/>
    <w:rsid w:val="00296A21"/>
    <w:rsid w:val="00296A2B"/>
    <w:rsid w:val="00296A36"/>
    <w:rsid w:val="00296A7B"/>
    <w:rsid w:val="00296ACF"/>
    <w:rsid w:val="00296C45"/>
    <w:rsid w:val="00296CC8"/>
    <w:rsid w:val="00296DDD"/>
    <w:rsid w:val="00296E35"/>
    <w:rsid w:val="00296E56"/>
    <w:rsid w:val="00296E84"/>
    <w:rsid w:val="00296E91"/>
    <w:rsid w:val="00296EBA"/>
    <w:rsid w:val="00296EFC"/>
    <w:rsid w:val="00296F22"/>
    <w:rsid w:val="00296FB7"/>
    <w:rsid w:val="0029705C"/>
    <w:rsid w:val="0029707D"/>
    <w:rsid w:val="00297086"/>
    <w:rsid w:val="00297135"/>
    <w:rsid w:val="00297149"/>
    <w:rsid w:val="0029718D"/>
    <w:rsid w:val="002971E1"/>
    <w:rsid w:val="002971EC"/>
    <w:rsid w:val="002971FF"/>
    <w:rsid w:val="00297275"/>
    <w:rsid w:val="002972AF"/>
    <w:rsid w:val="002972C4"/>
    <w:rsid w:val="00297301"/>
    <w:rsid w:val="00297306"/>
    <w:rsid w:val="0029750C"/>
    <w:rsid w:val="00297575"/>
    <w:rsid w:val="0029757B"/>
    <w:rsid w:val="002975B6"/>
    <w:rsid w:val="00297656"/>
    <w:rsid w:val="002976A1"/>
    <w:rsid w:val="002976C1"/>
    <w:rsid w:val="002976C4"/>
    <w:rsid w:val="00297793"/>
    <w:rsid w:val="00297802"/>
    <w:rsid w:val="00297856"/>
    <w:rsid w:val="002978A4"/>
    <w:rsid w:val="002979E3"/>
    <w:rsid w:val="00297A68"/>
    <w:rsid w:val="00297A74"/>
    <w:rsid w:val="00297B85"/>
    <w:rsid w:val="00297BA4"/>
    <w:rsid w:val="00297C68"/>
    <w:rsid w:val="00297CC0"/>
    <w:rsid w:val="00297CD7"/>
    <w:rsid w:val="00297D71"/>
    <w:rsid w:val="00297D7E"/>
    <w:rsid w:val="00297D80"/>
    <w:rsid w:val="00297DB0"/>
    <w:rsid w:val="00297DF4"/>
    <w:rsid w:val="00297EF9"/>
    <w:rsid w:val="00297EFC"/>
    <w:rsid w:val="00297F06"/>
    <w:rsid w:val="00297F31"/>
    <w:rsid w:val="002A0035"/>
    <w:rsid w:val="002A004E"/>
    <w:rsid w:val="002A0065"/>
    <w:rsid w:val="002A006D"/>
    <w:rsid w:val="002A006E"/>
    <w:rsid w:val="002A0072"/>
    <w:rsid w:val="002A00C4"/>
    <w:rsid w:val="002A00D2"/>
    <w:rsid w:val="002A0154"/>
    <w:rsid w:val="002A01EE"/>
    <w:rsid w:val="002A01F4"/>
    <w:rsid w:val="002A01FF"/>
    <w:rsid w:val="002A023C"/>
    <w:rsid w:val="002A0279"/>
    <w:rsid w:val="002A0307"/>
    <w:rsid w:val="002A031D"/>
    <w:rsid w:val="002A0324"/>
    <w:rsid w:val="002A037C"/>
    <w:rsid w:val="002A03DD"/>
    <w:rsid w:val="002A0472"/>
    <w:rsid w:val="002A0497"/>
    <w:rsid w:val="002A04D2"/>
    <w:rsid w:val="002A04DD"/>
    <w:rsid w:val="002A051E"/>
    <w:rsid w:val="002A054C"/>
    <w:rsid w:val="002A0553"/>
    <w:rsid w:val="002A0554"/>
    <w:rsid w:val="002A064D"/>
    <w:rsid w:val="002A0777"/>
    <w:rsid w:val="002A07A6"/>
    <w:rsid w:val="002A07D8"/>
    <w:rsid w:val="002A084E"/>
    <w:rsid w:val="002A0874"/>
    <w:rsid w:val="002A08CF"/>
    <w:rsid w:val="002A08D8"/>
    <w:rsid w:val="002A0954"/>
    <w:rsid w:val="002A09B3"/>
    <w:rsid w:val="002A09B7"/>
    <w:rsid w:val="002A09F1"/>
    <w:rsid w:val="002A0A4E"/>
    <w:rsid w:val="002A0A62"/>
    <w:rsid w:val="002A0A91"/>
    <w:rsid w:val="002A0B56"/>
    <w:rsid w:val="002A0BB2"/>
    <w:rsid w:val="002A0C0B"/>
    <w:rsid w:val="002A0C42"/>
    <w:rsid w:val="002A0C49"/>
    <w:rsid w:val="002A0CE0"/>
    <w:rsid w:val="002A0CF1"/>
    <w:rsid w:val="002A0D99"/>
    <w:rsid w:val="002A0DCB"/>
    <w:rsid w:val="002A0E2B"/>
    <w:rsid w:val="002A0E9B"/>
    <w:rsid w:val="002A0FD7"/>
    <w:rsid w:val="002A102E"/>
    <w:rsid w:val="002A1046"/>
    <w:rsid w:val="002A1050"/>
    <w:rsid w:val="002A10AA"/>
    <w:rsid w:val="002A1179"/>
    <w:rsid w:val="002A1192"/>
    <w:rsid w:val="002A1239"/>
    <w:rsid w:val="002A123F"/>
    <w:rsid w:val="002A1243"/>
    <w:rsid w:val="002A12D7"/>
    <w:rsid w:val="002A1302"/>
    <w:rsid w:val="002A1316"/>
    <w:rsid w:val="002A13C0"/>
    <w:rsid w:val="002A13DE"/>
    <w:rsid w:val="002A1432"/>
    <w:rsid w:val="002A146B"/>
    <w:rsid w:val="002A14AB"/>
    <w:rsid w:val="002A14C1"/>
    <w:rsid w:val="002A1508"/>
    <w:rsid w:val="002A1592"/>
    <w:rsid w:val="002A160D"/>
    <w:rsid w:val="002A1653"/>
    <w:rsid w:val="002A16AA"/>
    <w:rsid w:val="002A1714"/>
    <w:rsid w:val="002A1805"/>
    <w:rsid w:val="002A1867"/>
    <w:rsid w:val="002A1890"/>
    <w:rsid w:val="002A18A5"/>
    <w:rsid w:val="002A18C3"/>
    <w:rsid w:val="002A1A16"/>
    <w:rsid w:val="002A1A1E"/>
    <w:rsid w:val="002A1AFB"/>
    <w:rsid w:val="002A1B45"/>
    <w:rsid w:val="002A1B8E"/>
    <w:rsid w:val="002A1BA6"/>
    <w:rsid w:val="002A1BAF"/>
    <w:rsid w:val="002A1C23"/>
    <w:rsid w:val="002A1C3E"/>
    <w:rsid w:val="002A1C9D"/>
    <w:rsid w:val="002A1D48"/>
    <w:rsid w:val="002A1E06"/>
    <w:rsid w:val="002A1E30"/>
    <w:rsid w:val="002A1E31"/>
    <w:rsid w:val="002A1E5C"/>
    <w:rsid w:val="002A201D"/>
    <w:rsid w:val="002A2082"/>
    <w:rsid w:val="002A211F"/>
    <w:rsid w:val="002A212D"/>
    <w:rsid w:val="002A213D"/>
    <w:rsid w:val="002A216C"/>
    <w:rsid w:val="002A2171"/>
    <w:rsid w:val="002A2187"/>
    <w:rsid w:val="002A21B5"/>
    <w:rsid w:val="002A2215"/>
    <w:rsid w:val="002A2268"/>
    <w:rsid w:val="002A22BC"/>
    <w:rsid w:val="002A230F"/>
    <w:rsid w:val="002A23CA"/>
    <w:rsid w:val="002A2457"/>
    <w:rsid w:val="002A248E"/>
    <w:rsid w:val="002A24C0"/>
    <w:rsid w:val="002A2581"/>
    <w:rsid w:val="002A2586"/>
    <w:rsid w:val="002A25F7"/>
    <w:rsid w:val="002A2626"/>
    <w:rsid w:val="002A262F"/>
    <w:rsid w:val="002A267F"/>
    <w:rsid w:val="002A26A1"/>
    <w:rsid w:val="002A26AE"/>
    <w:rsid w:val="002A270D"/>
    <w:rsid w:val="002A27E4"/>
    <w:rsid w:val="002A2839"/>
    <w:rsid w:val="002A288C"/>
    <w:rsid w:val="002A28AF"/>
    <w:rsid w:val="002A28EE"/>
    <w:rsid w:val="002A28F3"/>
    <w:rsid w:val="002A2910"/>
    <w:rsid w:val="002A291F"/>
    <w:rsid w:val="002A29A2"/>
    <w:rsid w:val="002A29B9"/>
    <w:rsid w:val="002A2A85"/>
    <w:rsid w:val="002A2AE1"/>
    <w:rsid w:val="002A2BE1"/>
    <w:rsid w:val="002A2CA5"/>
    <w:rsid w:val="002A2CB2"/>
    <w:rsid w:val="002A2CD1"/>
    <w:rsid w:val="002A2DA9"/>
    <w:rsid w:val="002A2E55"/>
    <w:rsid w:val="002A2F73"/>
    <w:rsid w:val="002A305E"/>
    <w:rsid w:val="002A30B1"/>
    <w:rsid w:val="002A316C"/>
    <w:rsid w:val="002A3214"/>
    <w:rsid w:val="002A334C"/>
    <w:rsid w:val="002A33F2"/>
    <w:rsid w:val="002A33FA"/>
    <w:rsid w:val="002A344F"/>
    <w:rsid w:val="002A34A3"/>
    <w:rsid w:val="002A3537"/>
    <w:rsid w:val="002A3546"/>
    <w:rsid w:val="002A370D"/>
    <w:rsid w:val="002A3717"/>
    <w:rsid w:val="002A3787"/>
    <w:rsid w:val="002A3837"/>
    <w:rsid w:val="002A3858"/>
    <w:rsid w:val="002A3915"/>
    <w:rsid w:val="002A3938"/>
    <w:rsid w:val="002A3988"/>
    <w:rsid w:val="002A39CD"/>
    <w:rsid w:val="002A3ABB"/>
    <w:rsid w:val="002A3AC9"/>
    <w:rsid w:val="002A3AF1"/>
    <w:rsid w:val="002A3AFC"/>
    <w:rsid w:val="002A3B33"/>
    <w:rsid w:val="002A3B9C"/>
    <w:rsid w:val="002A3BFA"/>
    <w:rsid w:val="002A3C1D"/>
    <w:rsid w:val="002A3C22"/>
    <w:rsid w:val="002A3C25"/>
    <w:rsid w:val="002A3D2B"/>
    <w:rsid w:val="002A3D7F"/>
    <w:rsid w:val="002A3DC8"/>
    <w:rsid w:val="002A3E0A"/>
    <w:rsid w:val="002A3E30"/>
    <w:rsid w:val="002A3E95"/>
    <w:rsid w:val="002A3EA7"/>
    <w:rsid w:val="002A3EAC"/>
    <w:rsid w:val="002A3F90"/>
    <w:rsid w:val="002A3F92"/>
    <w:rsid w:val="002A3FCC"/>
    <w:rsid w:val="002A3FE7"/>
    <w:rsid w:val="002A401D"/>
    <w:rsid w:val="002A4051"/>
    <w:rsid w:val="002A4055"/>
    <w:rsid w:val="002A40F1"/>
    <w:rsid w:val="002A411D"/>
    <w:rsid w:val="002A4167"/>
    <w:rsid w:val="002A417F"/>
    <w:rsid w:val="002A4184"/>
    <w:rsid w:val="002A41F0"/>
    <w:rsid w:val="002A4204"/>
    <w:rsid w:val="002A4246"/>
    <w:rsid w:val="002A4259"/>
    <w:rsid w:val="002A42F0"/>
    <w:rsid w:val="002A4349"/>
    <w:rsid w:val="002A43C0"/>
    <w:rsid w:val="002A4460"/>
    <w:rsid w:val="002A447A"/>
    <w:rsid w:val="002A44E3"/>
    <w:rsid w:val="002A4669"/>
    <w:rsid w:val="002A46DB"/>
    <w:rsid w:val="002A46FC"/>
    <w:rsid w:val="002A473D"/>
    <w:rsid w:val="002A4749"/>
    <w:rsid w:val="002A4797"/>
    <w:rsid w:val="002A47BC"/>
    <w:rsid w:val="002A4864"/>
    <w:rsid w:val="002A48BE"/>
    <w:rsid w:val="002A4900"/>
    <w:rsid w:val="002A498A"/>
    <w:rsid w:val="002A4B89"/>
    <w:rsid w:val="002A4BFB"/>
    <w:rsid w:val="002A4CA9"/>
    <w:rsid w:val="002A4CB9"/>
    <w:rsid w:val="002A4CCD"/>
    <w:rsid w:val="002A4E2E"/>
    <w:rsid w:val="002A4E9B"/>
    <w:rsid w:val="002A4EE8"/>
    <w:rsid w:val="002A4F10"/>
    <w:rsid w:val="002A4F16"/>
    <w:rsid w:val="002A4F74"/>
    <w:rsid w:val="002A4F78"/>
    <w:rsid w:val="002A4FA6"/>
    <w:rsid w:val="002A5006"/>
    <w:rsid w:val="002A512D"/>
    <w:rsid w:val="002A51FB"/>
    <w:rsid w:val="002A522F"/>
    <w:rsid w:val="002A5280"/>
    <w:rsid w:val="002A52AE"/>
    <w:rsid w:val="002A52BD"/>
    <w:rsid w:val="002A5312"/>
    <w:rsid w:val="002A53C6"/>
    <w:rsid w:val="002A541D"/>
    <w:rsid w:val="002A548C"/>
    <w:rsid w:val="002A56E3"/>
    <w:rsid w:val="002A57A7"/>
    <w:rsid w:val="002A57AC"/>
    <w:rsid w:val="002A57B2"/>
    <w:rsid w:val="002A5824"/>
    <w:rsid w:val="002A5869"/>
    <w:rsid w:val="002A5893"/>
    <w:rsid w:val="002A58DF"/>
    <w:rsid w:val="002A5900"/>
    <w:rsid w:val="002A5A67"/>
    <w:rsid w:val="002A5AE5"/>
    <w:rsid w:val="002A5AFB"/>
    <w:rsid w:val="002A5B77"/>
    <w:rsid w:val="002A5BB0"/>
    <w:rsid w:val="002A5BFC"/>
    <w:rsid w:val="002A5C1F"/>
    <w:rsid w:val="002A5C5D"/>
    <w:rsid w:val="002A5CD7"/>
    <w:rsid w:val="002A5CDB"/>
    <w:rsid w:val="002A5D43"/>
    <w:rsid w:val="002A5E30"/>
    <w:rsid w:val="002A5E8D"/>
    <w:rsid w:val="002A5EC0"/>
    <w:rsid w:val="002A5ECD"/>
    <w:rsid w:val="002A5F46"/>
    <w:rsid w:val="002A5F9C"/>
    <w:rsid w:val="002A6078"/>
    <w:rsid w:val="002A608F"/>
    <w:rsid w:val="002A60F6"/>
    <w:rsid w:val="002A6117"/>
    <w:rsid w:val="002A614E"/>
    <w:rsid w:val="002A615C"/>
    <w:rsid w:val="002A618B"/>
    <w:rsid w:val="002A61C4"/>
    <w:rsid w:val="002A623B"/>
    <w:rsid w:val="002A6302"/>
    <w:rsid w:val="002A6307"/>
    <w:rsid w:val="002A6385"/>
    <w:rsid w:val="002A63A1"/>
    <w:rsid w:val="002A63BB"/>
    <w:rsid w:val="002A63FE"/>
    <w:rsid w:val="002A6524"/>
    <w:rsid w:val="002A654F"/>
    <w:rsid w:val="002A6566"/>
    <w:rsid w:val="002A65DF"/>
    <w:rsid w:val="002A661E"/>
    <w:rsid w:val="002A66DB"/>
    <w:rsid w:val="002A66DF"/>
    <w:rsid w:val="002A66E5"/>
    <w:rsid w:val="002A6703"/>
    <w:rsid w:val="002A672A"/>
    <w:rsid w:val="002A68A2"/>
    <w:rsid w:val="002A691E"/>
    <w:rsid w:val="002A6968"/>
    <w:rsid w:val="002A6976"/>
    <w:rsid w:val="002A69B8"/>
    <w:rsid w:val="002A69E3"/>
    <w:rsid w:val="002A6AD2"/>
    <w:rsid w:val="002A6AEF"/>
    <w:rsid w:val="002A6B40"/>
    <w:rsid w:val="002A6B8A"/>
    <w:rsid w:val="002A6BBE"/>
    <w:rsid w:val="002A6C5E"/>
    <w:rsid w:val="002A6CA0"/>
    <w:rsid w:val="002A6CD4"/>
    <w:rsid w:val="002A6CF1"/>
    <w:rsid w:val="002A6D75"/>
    <w:rsid w:val="002A6DA6"/>
    <w:rsid w:val="002A6E2E"/>
    <w:rsid w:val="002A6EBC"/>
    <w:rsid w:val="002A6F0E"/>
    <w:rsid w:val="002A6F33"/>
    <w:rsid w:val="002A6FE3"/>
    <w:rsid w:val="002A7025"/>
    <w:rsid w:val="002A7027"/>
    <w:rsid w:val="002A7086"/>
    <w:rsid w:val="002A7092"/>
    <w:rsid w:val="002A70BE"/>
    <w:rsid w:val="002A70D7"/>
    <w:rsid w:val="002A70FE"/>
    <w:rsid w:val="002A7106"/>
    <w:rsid w:val="002A7107"/>
    <w:rsid w:val="002A7131"/>
    <w:rsid w:val="002A715B"/>
    <w:rsid w:val="002A71B8"/>
    <w:rsid w:val="002A71D0"/>
    <w:rsid w:val="002A71E7"/>
    <w:rsid w:val="002A726E"/>
    <w:rsid w:val="002A7364"/>
    <w:rsid w:val="002A73C4"/>
    <w:rsid w:val="002A743E"/>
    <w:rsid w:val="002A74B4"/>
    <w:rsid w:val="002A7500"/>
    <w:rsid w:val="002A7515"/>
    <w:rsid w:val="002A7565"/>
    <w:rsid w:val="002A75CE"/>
    <w:rsid w:val="002A75FB"/>
    <w:rsid w:val="002A764C"/>
    <w:rsid w:val="002A7729"/>
    <w:rsid w:val="002A7740"/>
    <w:rsid w:val="002A7748"/>
    <w:rsid w:val="002A7769"/>
    <w:rsid w:val="002A778C"/>
    <w:rsid w:val="002A77D6"/>
    <w:rsid w:val="002A77F9"/>
    <w:rsid w:val="002A7808"/>
    <w:rsid w:val="002A784F"/>
    <w:rsid w:val="002A7853"/>
    <w:rsid w:val="002A78C3"/>
    <w:rsid w:val="002A7987"/>
    <w:rsid w:val="002A7998"/>
    <w:rsid w:val="002A7999"/>
    <w:rsid w:val="002A7A03"/>
    <w:rsid w:val="002A7A22"/>
    <w:rsid w:val="002A7A27"/>
    <w:rsid w:val="002A7AC1"/>
    <w:rsid w:val="002A7ACE"/>
    <w:rsid w:val="002A7B2F"/>
    <w:rsid w:val="002A7B52"/>
    <w:rsid w:val="002A7B53"/>
    <w:rsid w:val="002A7B6A"/>
    <w:rsid w:val="002A7BB8"/>
    <w:rsid w:val="002A7C64"/>
    <w:rsid w:val="002A7CBA"/>
    <w:rsid w:val="002A7CC9"/>
    <w:rsid w:val="002A7CCE"/>
    <w:rsid w:val="002A7CE3"/>
    <w:rsid w:val="002A7D35"/>
    <w:rsid w:val="002A7D96"/>
    <w:rsid w:val="002A7E49"/>
    <w:rsid w:val="002A7E7F"/>
    <w:rsid w:val="002A7F4C"/>
    <w:rsid w:val="002A7F7F"/>
    <w:rsid w:val="002B005F"/>
    <w:rsid w:val="002B0067"/>
    <w:rsid w:val="002B0098"/>
    <w:rsid w:val="002B00AC"/>
    <w:rsid w:val="002B00F5"/>
    <w:rsid w:val="002B01E9"/>
    <w:rsid w:val="002B020B"/>
    <w:rsid w:val="002B0210"/>
    <w:rsid w:val="002B021F"/>
    <w:rsid w:val="002B02A6"/>
    <w:rsid w:val="002B02EE"/>
    <w:rsid w:val="002B0375"/>
    <w:rsid w:val="002B03E6"/>
    <w:rsid w:val="002B04BB"/>
    <w:rsid w:val="002B04DF"/>
    <w:rsid w:val="002B0552"/>
    <w:rsid w:val="002B0559"/>
    <w:rsid w:val="002B05DD"/>
    <w:rsid w:val="002B06CE"/>
    <w:rsid w:val="002B0708"/>
    <w:rsid w:val="002B0761"/>
    <w:rsid w:val="002B0765"/>
    <w:rsid w:val="002B0775"/>
    <w:rsid w:val="002B0795"/>
    <w:rsid w:val="002B082E"/>
    <w:rsid w:val="002B08CA"/>
    <w:rsid w:val="002B08D9"/>
    <w:rsid w:val="002B09A3"/>
    <w:rsid w:val="002B09BE"/>
    <w:rsid w:val="002B09D4"/>
    <w:rsid w:val="002B0A34"/>
    <w:rsid w:val="002B0ABC"/>
    <w:rsid w:val="002B0AC9"/>
    <w:rsid w:val="002B0AFF"/>
    <w:rsid w:val="002B0B22"/>
    <w:rsid w:val="002B0C0E"/>
    <w:rsid w:val="002B0C1D"/>
    <w:rsid w:val="002B0C52"/>
    <w:rsid w:val="002B0CFF"/>
    <w:rsid w:val="002B0D82"/>
    <w:rsid w:val="002B0DC8"/>
    <w:rsid w:val="002B0DFA"/>
    <w:rsid w:val="002B0E13"/>
    <w:rsid w:val="002B0E14"/>
    <w:rsid w:val="002B0EDD"/>
    <w:rsid w:val="002B0EF5"/>
    <w:rsid w:val="002B0FA3"/>
    <w:rsid w:val="002B109E"/>
    <w:rsid w:val="002B10C4"/>
    <w:rsid w:val="002B1132"/>
    <w:rsid w:val="002B116C"/>
    <w:rsid w:val="002B11A5"/>
    <w:rsid w:val="002B11BC"/>
    <w:rsid w:val="002B11C6"/>
    <w:rsid w:val="002B128A"/>
    <w:rsid w:val="002B13C3"/>
    <w:rsid w:val="002B1404"/>
    <w:rsid w:val="002B140A"/>
    <w:rsid w:val="002B1454"/>
    <w:rsid w:val="002B1456"/>
    <w:rsid w:val="002B154B"/>
    <w:rsid w:val="002B1598"/>
    <w:rsid w:val="002B15BE"/>
    <w:rsid w:val="002B1667"/>
    <w:rsid w:val="002B166A"/>
    <w:rsid w:val="002B16A6"/>
    <w:rsid w:val="002B16D5"/>
    <w:rsid w:val="002B16DF"/>
    <w:rsid w:val="002B1704"/>
    <w:rsid w:val="002B1739"/>
    <w:rsid w:val="002B185A"/>
    <w:rsid w:val="002B1880"/>
    <w:rsid w:val="002B18D5"/>
    <w:rsid w:val="002B195F"/>
    <w:rsid w:val="002B1991"/>
    <w:rsid w:val="002B19E2"/>
    <w:rsid w:val="002B19E7"/>
    <w:rsid w:val="002B19EE"/>
    <w:rsid w:val="002B1A0F"/>
    <w:rsid w:val="002B1A6F"/>
    <w:rsid w:val="002B1B4F"/>
    <w:rsid w:val="002B1B52"/>
    <w:rsid w:val="002B1B59"/>
    <w:rsid w:val="002B1BB1"/>
    <w:rsid w:val="002B1C4F"/>
    <w:rsid w:val="002B1D18"/>
    <w:rsid w:val="002B1F35"/>
    <w:rsid w:val="002B1F68"/>
    <w:rsid w:val="002B1F78"/>
    <w:rsid w:val="002B1FDA"/>
    <w:rsid w:val="002B2087"/>
    <w:rsid w:val="002B209C"/>
    <w:rsid w:val="002B20AC"/>
    <w:rsid w:val="002B20B5"/>
    <w:rsid w:val="002B2119"/>
    <w:rsid w:val="002B217F"/>
    <w:rsid w:val="002B2191"/>
    <w:rsid w:val="002B2199"/>
    <w:rsid w:val="002B21B3"/>
    <w:rsid w:val="002B21DE"/>
    <w:rsid w:val="002B21E4"/>
    <w:rsid w:val="002B2223"/>
    <w:rsid w:val="002B2238"/>
    <w:rsid w:val="002B223C"/>
    <w:rsid w:val="002B2262"/>
    <w:rsid w:val="002B22EA"/>
    <w:rsid w:val="002B2342"/>
    <w:rsid w:val="002B236F"/>
    <w:rsid w:val="002B2379"/>
    <w:rsid w:val="002B23C1"/>
    <w:rsid w:val="002B23DD"/>
    <w:rsid w:val="002B2452"/>
    <w:rsid w:val="002B2461"/>
    <w:rsid w:val="002B24B7"/>
    <w:rsid w:val="002B24EA"/>
    <w:rsid w:val="002B25E4"/>
    <w:rsid w:val="002B25E6"/>
    <w:rsid w:val="002B262E"/>
    <w:rsid w:val="002B2646"/>
    <w:rsid w:val="002B26D8"/>
    <w:rsid w:val="002B278A"/>
    <w:rsid w:val="002B280E"/>
    <w:rsid w:val="002B2858"/>
    <w:rsid w:val="002B2890"/>
    <w:rsid w:val="002B2927"/>
    <w:rsid w:val="002B293F"/>
    <w:rsid w:val="002B294B"/>
    <w:rsid w:val="002B297D"/>
    <w:rsid w:val="002B2987"/>
    <w:rsid w:val="002B29E1"/>
    <w:rsid w:val="002B29E9"/>
    <w:rsid w:val="002B2A1A"/>
    <w:rsid w:val="002B2A52"/>
    <w:rsid w:val="002B2AA2"/>
    <w:rsid w:val="002B2B28"/>
    <w:rsid w:val="002B2B3A"/>
    <w:rsid w:val="002B2B3B"/>
    <w:rsid w:val="002B2B5E"/>
    <w:rsid w:val="002B2B8D"/>
    <w:rsid w:val="002B2BB2"/>
    <w:rsid w:val="002B2C2B"/>
    <w:rsid w:val="002B2C43"/>
    <w:rsid w:val="002B2C59"/>
    <w:rsid w:val="002B2DAD"/>
    <w:rsid w:val="002B2DC0"/>
    <w:rsid w:val="002B2DEE"/>
    <w:rsid w:val="002B2E47"/>
    <w:rsid w:val="002B2F30"/>
    <w:rsid w:val="002B2F9F"/>
    <w:rsid w:val="002B2FCF"/>
    <w:rsid w:val="002B2FEF"/>
    <w:rsid w:val="002B3007"/>
    <w:rsid w:val="002B3090"/>
    <w:rsid w:val="002B30AB"/>
    <w:rsid w:val="002B313F"/>
    <w:rsid w:val="002B314B"/>
    <w:rsid w:val="002B3157"/>
    <w:rsid w:val="002B315C"/>
    <w:rsid w:val="002B318A"/>
    <w:rsid w:val="002B31C3"/>
    <w:rsid w:val="002B3225"/>
    <w:rsid w:val="002B327D"/>
    <w:rsid w:val="002B3281"/>
    <w:rsid w:val="002B32E2"/>
    <w:rsid w:val="002B3358"/>
    <w:rsid w:val="002B337F"/>
    <w:rsid w:val="002B33B7"/>
    <w:rsid w:val="002B354A"/>
    <w:rsid w:val="002B35BD"/>
    <w:rsid w:val="002B3669"/>
    <w:rsid w:val="002B369E"/>
    <w:rsid w:val="002B372E"/>
    <w:rsid w:val="002B379A"/>
    <w:rsid w:val="002B37AB"/>
    <w:rsid w:val="002B37AD"/>
    <w:rsid w:val="002B380E"/>
    <w:rsid w:val="002B3850"/>
    <w:rsid w:val="002B3856"/>
    <w:rsid w:val="002B3885"/>
    <w:rsid w:val="002B3903"/>
    <w:rsid w:val="002B3929"/>
    <w:rsid w:val="002B39C1"/>
    <w:rsid w:val="002B3A44"/>
    <w:rsid w:val="002B3A78"/>
    <w:rsid w:val="002B3A87"/>
    <w:rsid w:val="002B3AD2"/>
    <w:rsid w:val="002B3AE6"/>
    <w:rsid w:val="002B3AF1"/>
    <w:rsid w:val="002B3B20"/>
    <w:rsid w:val="002B3B56"/>
    <w:rsid w:val="002B3B75"/>
    <w:rsid w:val="002B3B79"/>
    <w:rsid w:val="002B3B88"/>
    <w:rsid w:val="002B3D52"/>
    <w:rsid w:val="002B3D60"/>
    <w:rsid w:val="002B3F5B"/>
    <w:rsid w:val="002B3F86"/>
    <w:rsid w:val="002B4050"/>
    <w:rsid w:val="002B409D"/>
    <w:rsid w:val="002B40E9"/>
    <w:rsid w:val="002B4155"/>
    <w:rsid w:val="002B41D1"/>
    <w:rsid w:val="002B421A"/>
    <w:rsid w:val="002B42A2"/>
    <w:rsid w:val="002B42CE"/>
    <w:rsid w:val="002B43D1"/>
    <w:rsid w:val="002B440B"/>
    <w:rsid w:val="002B4424"/>
    <w:rsid w:val="002B44C6"/>
    <w:rsid w:val="002B44DD"/>
    <w:rsid w:val="002B454E"/>
    <w:rsid w:val="002B45A6"/>
    <w:rsid w:val="002B4664"/>
    <w:rsid w:val="002B469A"/>
    <w:rsid w:val="002B4711"/>
    <w:rsid w:val="002B4769"/>
    <w:rsid w:val="002B4793"/>
    <w:rsid w:val="002B47A8"/>
    <w:rsid w:val="002B47DA"/>
    <w:rsid w:val="002B4852"/>
    <w:rsid w:val="002B487E"/>
    <w:rsid w:val="002B4933"/>
    <w:rsid w:val="002B4934"/>
    <w:rsid w:val="002B493C"/>
    <w:rsid w:val="002B49BE"/>
    <w:rsid w:val="002B49E2"/>
    <w:rsid w:val="002B4AF6"/>
    <w:rsid w:val="002B4BBA"/>
    <w:rsid w:val="002B4C3B"/>
    <w:rsid w:val="002B4CC2"/>
    <w:rsid w:val="002B4E33"/>
    <w:rsid w:val="002B4E48"/>
    <w:rsid w:val="002B4EE9"/>
    <w:rsid w:val="002B4F30"/>
    <w:rsid w:val="002B4F4E"/>
    <w:rsid w:val="002B4F50"/>
    <w:rsid w:val="002B4F51"/>
    <w:rsid w:val="002B4FAA"/>
    <w:rsid w:val="002B4FB7"/>
    <w:rsid w:val="002B4FF3"/>
    <w:rsid w:val="002B500D"/>
    <w:rsid w:val="002B502F"/>
    <w:rsid w:val="002B503B"/>
    <w:rsid w:val="002B504A"/>
    <w:rsid w:val="002B5065"/>
    <w:rsid w:val="002B50B4"/>
    <w:rsid w:val="002B5112"/>
    <w:rsid w:val="002B5135"/>
    <w:rsid w:val="002B5175"/>
    <w:rsid w:val="002B5222"/>
    <w:rsid w:val="002B5298"/>
    <w:rsid w:val="002B52D2"/>
    <w:rsid w:val="002B53BA"/>
    <w:rsid w:val="002B53EA"/>
    <w:rsid w:val="002B542C"/>
    <w:rsid w:val="002B543E"/>
    <w:rsid w:val="002B5542"/>
    <w:rsid w:val="002B5557"/>
    <w:rsid w:val="002B555F"/>
    <w:rsid w:val="002B55CE"/>
    <w:rsid w:val="002B5601"/>
    <w:rsid w:val="002B57B8"/>
    <w:rsid w:val="002B57F1"/>
    <w:rsid w:val="002B5809"/>
    <w:rsid w:val="002B581F"/>
    <w:rsid w:val="002B58A6"/>
    <w:rsid w:val="002B5939"/>
    <w:rsid w:val="002B5965"/>
    <w:rsid w:val="002B5979"/>
    <w:rsid w:val="002B597B"/>
    <w:rsid w:val="002B599C"/>
    <w:rsid w:val="002B59F9"/>
    <w:rsid w:val="002B5A40"/>
    <w:rsid w:val="002B5AB0"/>
    <w:rsid w:val="002B5B76"/>
    <w:rsid w:val="002B5C2D"/>
    <w:rsid w:val="002B5C37"/>
    <w:rsid w:val="002B5C7F"/>
    <w:rsid w:val="002B5D0D"/>
    <w:rsid w:val="002B5D4D"/>
    <w:rsid w:val="002B5DA5"/>
    <w:rsid w:val="002B5DD1"/>
    <w:rsid w:val="002B5E17"/>
    <w:rsid w:val="002B5E4E"/>
    <w:rsid w:val="002B5EBF"/>
    <w:rsid w:val="002B5EDB"/>
    <w:rsid w:val="002B5F6A"/>
    <w:rsid w:val="002B5FC3"/>
    <w:rsid w:val="002B6100"/>
    <w:rsid w:val="002B613A"/>
    <w:rsid w:val="002B6181"/>
    <w:rsid w:val="002B61C8"/>
    <w:rsid w:val="002B62D7"/>
    <w:rsid w:val="002B6389"/>
    <w:rsid w:val="002B638B"/>
    <w:rsid w:val="002B63A9"/>
    <w:rsid w:val="002B63E7"/>
    <w:rsid w:val="002B644E"/>
    <w:rsid w:val="002B648C"/>
    <w:rsid w:val="002B648F"/>
    <w:rsid w:val="002B64E4"/>
    <w:rsid w:val="002B64EB"/>
    <w:rsid w:val="002B651C"/>
    <w:rsid w:val="002B65FA"/>
    <w:rsid w:val="002B6679"/>
    <w:rsid w:val="002B66B0"/>
    <w:rsid w:val="002B66E5"/>
    <w:rsid w:val="002B67DF"/>
    <w:rsid w:val="002B68CD"/>
    <w:rsid w:val="002B6974"/>
    <w:rsid w:val="002B6A0C"/>
    <w:rsid w:val="002B6A70"/>
    <w:rsid w:val="002B6A7C"/>
    <w:rsid w:val="002B6AE2"/>
    <w:rsid w:val="002B6AFF"/>
    <w:rsid w:val="002B6B52"/>
    <w:rsid w:val="002B6B54"/>
    <w:rsid w:val="002B6B80"/>
    <w:rsid w:val="002B6C4B"/>
    <w:rsid w:val="002B6C76"/>
    <w:rsid w:val="002B6C83"/>
    <w:rsid w:val="002B6D1A"/>
    <w:rsid w:val="002B6D1C"/>
    <w:rsid w:val="002B6D1F"/>
    <w:rsid w:val="002B6D31"/>
    <w:rsid w:val="002B6D6D"/>
    <w:rsid w:val="002B6D8B"/>
    <w:rsid w:val="002B6DAD"/>
    <w:rsid w:val="002B6DC7"/>
    <w:rsid w:val="002B6E83"/>
    <w:rsid w:val="002B6EB5"/>
    <w:rsid w:val="002B6EBA"/>
    <w:rsid w:val="002B6FB7"/>
    <w:rsid w:val="002B6FBB"/>
    <w:rsid w:val="002B701F"/>
    <w:rsid w:val="002B7088"/>
    <w:rsid w:val="002B70BF"/>
    <w:rsid w:val="002B71C6"/>
    <w:rsid w:val="002B7275"/>
    <w:rsid w:val="002B728B"/>
    <w:rsid w:val="002B72A5"/>
    <w:rsid w:val="002B72AC"/>
    <w:rsid w:val="002B72B7"/>
    <w:rsid w:val="002B72F1"/>
    <w:rsid w:val="002B750A"/>
    <w:rsid w:val="002B75CC"/>
    <w:rsid w:val="002B75DF"/>
    <w:rsid w:val="002B769E"/>
    <w:rsid w:val="002B772E"/>
    <w:rsid w:val="002B7789"/>
    <w:rsid w:val="002B7793"/>
    <w:rsid w:val="002B77E6"/>
    <w:rsid w:val="002B7889"/>
    <w:rsid w:val="002B78B5"/>
    <w:rsid w:val="002B78C4"/>
    <w:rsid w:val="002B7A23"/>
    <w:rsid w:val="002B7A90"/>
    <w:rsid w:val="002B7B20"/>
    <w:rsid w:val="002B7B47"/>
    <w:rsid w:val="002B7B84"/>
    <w:rsid w:val="002B7B93"/>
    <w:rsid w:val="002B7B9A"/>
    <w:rsid w:val="002B7BE7"/>
    <w:rsid w:val="002B7C01"/>
    <w:rsid w:val="002B7C59"/>
    <w:rsid w:val="002B7C89"/>
    <w:rsid w:val="002B7CAB"/>
    <w:rsid w:val="002B7D0F"/>
    <w:rsid w:val="002B7D43"/>
    <w:rsid w:val="002B7D6A"/>
    <w:rsid w:val="002B7EC6"/>
    <w:rsid w:val="002B7F04"/>
    <w:rsid w:val="002B7F14"/>
    <w:rsid w:val="002B7F48"/>
    <w:rsid w:val="002B7F6B"/>
    <w:rsid w:val="002B7FDA"/>
    <w:rsid w:val="002C002F"/>
    <w:rsid w:val="002C005C"/>
    <w:rsid w:val="002C00B0"/>
    <w:rsid w:val="002C00EF"/>
    <w:rsid w:val="002C0119"/>
    <w:rsid w:val="002C0179"/>
    <w:rsid w:val="002C02D6"/>
    <w:rsid w:val="002C0315"/>
    <w:rsid w:val="002C0398"/>
    <w:rsid w:val="002C0506"/>
    <w:rsid w:val="002C0539"/>
    <w:rsid w:val="002C0556"/>
    <w:rsid w:val="002C0597"/>
    <w:rsid w:val="002C05A2"/>
    <w:rsid w:val="002C05DA"/>
    <w:rsid w:val="002C0626"/>
    <w:rsid w:val="002C0657"/>
    <w:rsid w:val="002C0685"/>
    <w:rsid w:val="002C06DD"/>
    <w:rsid w:val="002C06E0"/>
    <w:rsid w:val="002C07A2"/>
    <w:rsid w:val="002C0829"/>
    <w:rsid w:val="002C08BA"/>
    <w:rsid w:val="002C0900"/>
    <w:rsid w:val="002C09E9"/>
    <w:rsid w:val="002C09ED"/>
    <w:rsid w:val="002C0A3E"/>
    <w:rsid w:val="002C0AAE"/>
    <w:rsid w:val="002C0B41"/>
    <w:rsid w:val="002C0B88"/>
    <w:rsid w:val="002C0BEB"/>
    <w:rsid w:val="002C0C05"/>
    <w:rsid w:val="002C0C77"/>
    <w:rsid w:val="002C0C8A"/>
    <w:rsid w:val="002C0D84"/>
    <w:rsid w:val="002C0DC5"/>
    <w:rsid w:val="002C0DF3"/>
    <w:rsid w:val="002C0E38"/>
    <w:rsid w:val="002C0FFF"/>
    <w:rsid w:val="002C1026"/>
    <w:rsid w:val="002C1038"/>
    <w:rsid w:val="002C1066"/>
    <w:rsid w:val="002C10C3"/>
    <w:rsid w:val="002C10DE"/>
    <w:rsid w:val="002C10E2"/>
    <w:rsid w:val="002C115D"/>
    <w:rsid w:val="002C11B2"/>
    <w:rsid w:val="002C125B"/>
    <w:rsid w:val="002C125E"/>
    <w:rsid w:val="002C1337"/>
    <w:rsid w:val="002C1386"/>
    <w:rsid w:val="002C1430"/>
    <w:rsid w:val="002C1441"/>
    <w:rsid w:val="002C1472"/>
    <w:rsid w:val="002C14A5"/>
    <w:rsid w:val="002C1507"/>
    <w:rsid w:val="002C1538"/>
    <w:rsid w:val="002C1566"/>
    <w:rsid w:val="002C15A1"/>
    <w:rsid w:val="002C165E"/>
    <w:rsid w:val="002C1692"/>
    <w:rsid w:val="002C16B9"/>
    <w:rsid w:val="002C179C"/>
    <w:rsid w:val="002C17ED"/>
    <w:rsid w:val="002C1815"/>
    <w:rsid w:val="002C1834"/>
    <w:rsid w:val="002C18C1"/>
    <w:rsid w:val="002C18EA"/>
    <w:rsid w:val="002C18F7"/>
    <w:rsid w:val="002C1949"/>
    <w:rsid w:val="002C196C"/>
    <w:rsid w:val="002C19A7"/>
    <w:rsid w:val="002C19D3"/>
    <w:rsid w:val="002C1A17"/>
    <w:rsid w:val="002C1A2F"/>
    <w:rsid w:val="002C1AAD"/>
    <w:rsid w:val="002C1AC7"/>
    <w:rsid w:val="002C1AC9"/>
    <w:rsid w:val="002C1B21"/>
    <w:rsid w:val="002C1B2E"/>
    <w:rsid w:val="002C1C02"/>
    <w:rsid w:val="002C1CFB"/>
    <w:rsid w:val="002C1D2A"/>
    <w:rsid w:val="002C1E79"/>
    <w:rsid w:val="002C1E83"/>
    <w:rsid w:val="002C1EF9"/>
    <w:rsid w:val="002C1F2E"/>
    <w:rsid w:val="002C1F81"/>
    <w:rsid w:val="002C2024"/>
    <w:rsid w:val="002C2183"/>
    <w:rsid w:val="002C2324"/>
    <w:rsid w:val="002C2389"/>
    <w:rsid w:val="002C23C9"/>
    <w:rsid w:val="002C2442"/>
    <w:rsid w:val="002C2473"/>
    <w:rsid w:val="002C24BD"/>
    <w:rsid w:val="002C2558"/>
    <w:rsid w:val="002C25CD"/>
    <w:rsid w:val="002C264C"/>
    <w:rsid w:val="002C267F"/>
    <w:rsid w:val="002C26D6"/>
    <w:rsid w:val="002C26F3"/>
    <w:rsid w:val="002C2750"/>
    <w:rsid w:val="002C2790"/>
    <w:rsid w:val="002C287D"/>
    <w:rsid w:val="002C2941"/>
    <w:rsid w:val="002C29C1"/>
    <w:rsid w:val="002C2A66"/>
    <w:rsid w:val="002C2B18"/>
    <w:rsid w:val="002C2BB8"/>
    <w:rsid w:val="002C2BD4"/>
    <w:rsid w:val="002C2BF7"/>
    <w:rsid w:val="002C2C38"/>
    <w:rsid w:val="002C2C54"/>
    <w:rsid w:val="002C2C86"/>
    <w:rsid w:val="002C2D20"/>
    <w:rsid w:val="002C2D2D"/>
    <w:rsid w:val="002C2D5C"/>
    <w:rsid w:val="002C2D6D"/>
    <w:rsid w:val="002C2E14"/>
    <w:rsid w:val="002C2E1A"/>
    <w:rsid w:val="002C2E21"/>
    <w:rsid w:val="002C2E88"/>
    <w:rsid w:val="002C2EF8"/>
    <w:rsid w:val="002C2F4A"/>
    <w:rsid w:val="002C2F75"/>
    <w:rsid w:val="002C2F7D"/>
    <w:rsid w:val="002C2FCB"/>
    <w:rsid w:val="002C2FDB"/>
    <w:rsid w:val="002C307B"/>
    <w:rsid w:val="002C3092"/>
    <w:rsid w:val="002C3105"/>
    <w:rsid w:val="002C314C"/>
    <w:rsid w:val="002C3161"/>
    <w:rsid w:val="002C3185"/>
    <w:rsid w:val="002C322A"/>
    <w:rsid w:val="002C3292"/>
    <w:rsid w:val="002C332F"/>
    <w:rsid w:val="002C3333"/>
    <w:rsid w:val="002C3397"/>
    <w:rsid w:val="002C33A5"/>
    <w:rsid w:val="002C3429"/>
    <w:rsid w:val="002C3470"/>
    <w:rsid w:val="002C34E4"/>
    <w:rsid w:val="002C3515"/>
    <w:rsid w:val="002C3534"/>
    <w:rsid w:val="002C3539"/>
    <w:rsid w:val="002C35EB"/>
    <w:rsid w:val="002C36E0"/>
    <w:rsid w:val="002C36EF"/>
    <w:rsid w:val="002C36F4"/>
    <w:rsid w:val="002C3718"/>
    <w:rsid w:val="002C372D"/>
    <w:rsid w:val="002C3760"/>
    <w:rsid w:val="002C3769"/>
    <w:rsid w:val="002C3804"/>
    <w:rsid w:val="002C38B1"/>
    <w:rsid w:val="002C3948"/>
    <w:rsid w:val="002C3975"/>
    <w:rsid w:val="002C3978"/>
    <w:rsid w:val="002C39EB"/>
    <w:rsid w:val="002C3A29"/>
    <w:rsid w:val="002C3A32"/>
    <w:rsid w:val="002C3A36"/>
    <w:rsid w:val="002C3A88"/>
    <w:rsid w:val="002C3A90"/>
    <w:rsid w:val="002C3AA8"/>
    <w:rsid w:val="002C3B1C"/>
    <w:rsid w:val="002C3BDD"/>
    <w:rsid w:val="002C3C35"/>
    <w:rsid w:val="002C3CF0"/>
    <w:rsid w:val="002C3D4E"/>
    <w:rsid w:val="002C3DBE"/>
    <w:rsid w:val="002C3E0B"/>
    <w:rsid w:val="002C3EAD"/>
    <w:rsid w:val="002C3EEF"/>
    <w:rsid w:val="002C3EF8"/>
    <w:rsid w:val="002C3F09"/>
    <w:rsid w:val="002C3FAA"/>
    <w:rsid w:val="002C3FBE"/>
    <w:rsid w:val="002C400A"/>
    <w:rsid w:val="002C40C9"/>
    <w:rsid w:val="002C4130"/>
    <w:rsid w:val="002C4144"/>
    <w:rsid w:val="002C4164"/>
    <w:rsid w:val="002C417A"/>
    <w:rsid w:val="002C4196"/>
    <w:rsid w:val="002C41DC"/>
    <w:rsid w:val="002C4256"/>
    <w:rsid w:val="002C4350"/>
    <w:rsid w:val="002C4483"/>
    <w:rsid w:val="002C450A"/>
    <w:rsid w:val="002C4553"/>
    <w:rsid w:val="002C4561"/>
    <w:rsid w:val="002C4585"/>
    <w:rsid w:val="002C45A5"/>
    <w:rsid w:val="002C45F2"/>
    <w:rsid w:val="002C464F"/>
    <w:rsid w:val="002C46B0"/>
    <w:rsid w:val="002C474C"/>
    <w:rsid w:val="002C479D"/>
    <w:rsid w:val="002C486B"/>
    <w:rsid w:val="002C4879"/>
    <w:rsid w:val="002C489E"/>
    <w:rsid w:val="002C4A0F"/>
    <w:rsid w:val="002C4A10"/>
    <w:rsid w:val="002C4A2D"/>
    <w:rsid w:val="002C4A41"/>
    <w:rsid w:val="002C4AD8"/>
    <w:rsid w:val="002C4B08"/>
    <w:rsid w:val="002C4B09"/>
    <w:rsid w:val="002C4B38"/>
    <w:rsid w:val="002C4B95"/>
    <w:rsid w:val="002C4BC8"/>
    <w:rsid w:val="002C4C96"/>
    <w:rsid w:val="002C4C98"/>
    <w:rsid w:val="002C4CB4"/>
    <w:rsid w:val="002C4D0C"/>
    <w:rsid w:val="002C4D40"/>
    <w:rsid w:val="002C4DF2"/>
    <w:rsid w:val="002C4E5A"/>
    <w:rsid w:val="002C4E68"/>
    <w:rsid w:val="002C4E6E"/>
    <w:rsid w:val="002C4F23"/>
    <w:rsid w:val="002C4F36"/>
    <w:rsid w:val="002C4F39"/>
    <w:rsid w:val="002C4F6B"/>
    <w:rsid w:val="002C4F7D"/>
    <w:rsid w:val="002C4FE6"/>
    <w:rsid w:val="002C5016"/>
    <w:rsid w:val="002C5058"/>
    <w:rsid w:val="002C505F"/>
    <w:rsid w:val="002C50FF"/>
    <w:rsid w:val="002C5162"/>
    <w:rsid w:val="002C51F0"/>
    <w:rsid w:val="002C5223"/>
    <w:rsid w:val="002C526B"/>
    <w:rsid w:val="002C5275"/>
    <w:rsid w:val="002C52AB"/>
    <w:rsid w:val="002C52C1"/>
    <w:rsid w:val="002C52C2"/>
    <w:rsid w:val="002C5327"/>
    <w:rsid w:val="002C5355"/>
    <w:rsid w:val="002C53EA"/>
    <w:rsid w:val="002C5405"/>
    <w:rsid w:val="002C540A"/>
    <w:rsid w:val="002C5461"/>
    <w:rsid w:val="002C546B"/>
    <w:rsid w:val="002C54EE"/>
    <w:rsid w:val="002C554B"/>
    <w:rsid w:val="002C5568"/>
    <w:rsid w:val="002C56F6"/>
    <w:rsid w:val="002C5722"/>
    <w:rsid w:val="002C5817"/>
    <w:rsid w:val="002C5835"/>
    <w:rsid w:val="002C586A"/>
    <w:rsid w:val="002C586E"/>
    <w:rsid w:val="002C58D8"/>
    <w:rsid w:val="002C5911"/>
    <w:rsid w:val="002C598E"/>
    <w:rsid w:val="002C5994"/>
    <w:rsid w:val="002C59EA"/>
    <w:rsid w:val="002C5AFC"/>
    <w:rsid w:val="002C5B1B"/>
    <w:rsid w:val="002C5B53"/>
    <w:rsid w:val="002C5B5D"/>
    <w:rsid w:val="002C5B5F"/>
    <w:rsid w:val="002C5C1E"/>
    <w:rsid w:val="002C5CF4"/>
    <w:rsid w:val="002C5D11"/>
    <w:rsid w:val="002C5D17"/>
    <w:rsid w:val="002C5D39"/>
    <w:rsid w:val="002C5DD9"/>
    <w:rsid w:val="002C5DF4"/>
    <w:rsid w:val="002C5E95"/>
    <w:rsid w:val="002C5E99"/>
    <w:rsid w:val="002C5EA1"/>
    <w:rsid w:val="002C5EA5"/>
    <w:rsid w:val="002C5ECC"/>
    <w:rsid w:val="002C5FF3"/>
    <w:rsid w:val="002C600A"/>
    <w:rsid w:val="002C6081"/>
    <w:rsid w:val="002C60B8"/>
    <w:rsid w:val="002C620E"/>
    <w:rsid w:val="002C6248"/>
    <w:rsid w:val="002C62B5"/>
    <w:rsid w:val="002C62BD"/>
    <w:rsid w:val="002C62D5"/>
    <w:rsid w:val="002C62DC"/>
    <w:rsid w:val="002C638D"/>
    <w:rsid w:val="002C6435"/>
    <w:rsid w:val="002C6509"/>
    <w:rsid w:val="002C658A"/>
    <w:rsid w:val="002C6597"/>
    <w:rsid w:val="002C662B"/>
    <w:rsid w:val="002C6654"/>
    <w:rsid w:val="002C6773"/>
    <w:rsid w:val="002C6793"/>
    <w:rsid w:val="002C67F0"/>
    <w:rsid w:val="002C687C"/>
    <w:rsid w:val="002C6897"/>
    <w:rsid w:val="002C692C"/>
    <w:rsid w:val="002C6930"/>
    <w:rsid w:val="002C6968"/>
    <w:rsid w:val="002C697A"/>
    <w:rsid w:val="002C69E5"/>
    <w:rsid w:val="002C6A83"/>
    <w:rsid w:val="002C6B44"/>
    <w:rsid w:val="002C6B88"/>
    <w:rsid w:val="002C6BCE"/>
    <w:rsid w:val="002C6C1A"/>
    <w:rsid w:val="002C6DED"/>
    <w:rsid w:val="002C6E28"/>
    <w:rsid w:val="002C6E35"/>
    <w:rsid w:val="002C6ED2"/>
    <w:rsid w:val="002C6F75"/>
    <w:rsid w:val="002C7180"/>
    <w:rsid w:val="002C71B6"/>
    <w:rsid w:val="002C71BC"/>
    <w:rsid w:val="002C71D7"/>
    <w:rsid w:val="002C71DB"/>
    <w:rsid w:val="002C7280"/>
    <w:rsid w:val="002C72AA"/>
    <w:rsid w:val="002C72EF"/>
    <w:rsid w:val="002C7376"/>
    <w:rsid w:val="002C73ED"/>
    <w:rsid w:val="002C740E"/>
    <w:rsid w:val="002C7431"/>
    <w:rsid w:val="002C7585"/>
    <w:rsid w:val="002C75AF"/>
    <w:rsid w:val="002C75B1"/>
    <w:rsid w:val="002C75BA"/>
    <w:rsid w:val="002C75DA"/>
    <w:rsid w:val="002C7640"/>
    <w:rsid w:val="002C767E"/>
    <w:rsid w:val="002C76A3"/>
    <w:rsid w:val="002C76B5"/>
    <w:rsid w:val="002C772B"/>
    <w:rsid w:val="002C7749"/>
    <w:rsid w:val="002C77F0"/>
    <w:rsid w:val="002C7830"/>
    <w:rsid w:val="002C7848"/>
    <w:rsid w:val="002C78FC"/>
    <w:rsid w:val="002C7924"/>
    <w:rsid w:val="002C7AC0"/>
    <w:rsid w:val="002C7B1D"/>
    <w:rsid w:val="002C7B3C"/>
    <w:rsid w:val="002C7B57"/>
    <w:rsid w:val="002C7B6A"/>
    <w:rsid w:val="002C7C6B"/>
    <w:rsid w:val="002C7D24"/>
    <w:rsid w:val="002C7D9F"/>
    <w:rsid w:val="002C7DB1"/>
    <w:rsid w:val="002C7E0A"/>
    <w:rsid w:val="002C7E51"/>
    <w:rsid w:val="002C7E8F"/>
    <w:rsid w:val="002C7F0A"/>
    <w:rsid w:val="002C7F56"/>
    <w:rsid w:val="002C7F6D"/>
    <w:rsid w:val="002C7F7C"/>
    <w:rsid w:val="002D0001"/>
    <w:rsid w:val="002D0043"/>
    <w:rsid w:val="002D0050"/>
    <w:rsid w:val="002D0068"/>
    <w:rsid w:val="002D007A"/>
    <w:rsid w:val="002D00A5"/>
    <w:rsid w:val="002D0193"/>
    <w:rsid w:val="002D01E6"/>
    <w:rsid w:val="002D02F2"/>
    <w:rsid w:val="002D02FA"/>
    <w:rsid w:val="002D031A"/>
    <w:rsid w:val="002D0322"/>
    <w:rsid w:val="002D0338"/>
    <w:rsid w:val="002D03D0"/>
    <w:rsid w:val="002D03ED"/>
    <w:rsid w:val="002D051B"/>
    <w:rsid w:val="002D052B"/>
    <w:rsid w:val="002D0571"/>
    <w:rsid w:val="002D0581"/>
    <w:rsid w:val="002D05B8"/>
    <w:rsid w:val="002D05EE"/>
    <w:rsid w:val="002D0608"/>
    <w:rsid w:val="002D0624"/>
    <w:rsid w:val="002D062E"/>
    <w:rsid w:val="002D063E"/>
    <w:rsid w:val="002D067F"/>
    <w:rsid w:val="002D0887"/>
    <w:rsid w:val="002D08A4"/>
    <w:rsid w:val="002D091F"/>
    <w:rsid w:val="002D0986"/>
    <w:rsid w:val="002D09A6"/>
    <w:rsid w:val="002D0A39"/>
    <w:rsid w:val="002D0BB6"/>
    <w:rsid w:val="002D0BCA"/>
    <w:rsid w:val="002D0BE6"/>
    <w:rsid w:val="002D0BFE"/>
    <w:rsid w:val="002D0C07"/>
    <w:rsid w:val="002D0C44"/>
    <w:rsid w:val="002D0C5C"/>
    <w:rsid w:val="002D0D07"/>
    <w:rsid w:val="002D0D40"/>
    <w:rsid w:val="002D0D52"/>
    <w:rsid w:val="002D0DC6"/>
    <w:rsid w:val="002D0F44"/>
    <w:rsid w:val="002D0FE4"/>
    <w:rsid w:val="002D1037"/>
    <w:rsid w:val="002D1112"/>
    <w:rsid w:val="002D11BE"/>
    <w:rsid w:val="002D11F2"/>
    <w:rsid w:val="002D11F3"/>
    <w:rsid w:val="002D1257"/>
    <w:rsid w:val="002D129E"/>
    <w:rsid w:val="002D13C0"/>
    <w:rsid w:val="002D13C2"/>
    <w:rsid w:val="002D13E6"/>
    <w:rsid w:val="002D140C"/>
    <w:rsid w:val="002D142E"/>
    <w:rsid w:val="002D1431"/>
    <w:rsid w:val="002D1489"/>
    <w:rsid w:val="002D14B8"/>
    <w:rsid w:val="002D1511"/>
    <w:rsid w:val="002D151A"/>
    <w:rsid w:val="002D1534"/>
    <w:rsid w:val="002D1545"/>
    <w:rsid w:val="002D1553"/>
    <w:rsid w:val="002D15B0"/>
    <w:rsid w:val="002D15D1"/>
    <w:rsid w:val="002D15F9"/>
    <w:rsid w:val="002D170A"/>
    <w:rsid w:val="002D182F"/>
    <w:rsid w:val="002D185E"/>
    <w:rsid w:val="002D187E"/>
    <w:rsid w:val="002D191A"/>
    <w:rsid w:val="002D1985"/>
    <w:rsid w:val="002D19BB"/>
    <w:rsid w:val="002D19F0"/>
    <w:rsid w:val="002D1A68"/>
    <w:rsid w:val="002D1A7F"/>
    <w:rsid w:val="002D1B7C"/>
    <w:rsid w:val="002D1BB3"/>
    <w:rsid w:val="002D1BD0"/>
    <w:rsid w:val="002D1C5F"/>
    <w:rsid w:val="002D1CBA"/>
    <w:rsid w:val="002D1D82"/>
    <w:rsid w:val="002D1F0C"/>
    <w:rsid w:val="002D1F5A"/>
    <w:rsid w:val="002D1F9E"/>
    <w:rsid w:val="002D2008"/>
    <w:rsid w:val="002D200C"/>
    <w:rsid w:val="002D2023"/>
    <w:rsid w:val="002D2042"/>
    <w:rsid w:val="002D2066"/>
    <w:rsid w:val="002D2090"/>
    <w:rsid w:val="002D20E6"/>
    <w:rsid w:val="002D2274"/>
    <w:rsid w:val="002D22B3"/>
    <w:rsid w:val="002D22BD"/>
    <w:rsid w:val="002D2337"/>
    <w:rsid w:val="002D2374"/>
    <w:rsid w:val="002D23AC"/>
    <w:rsid w:val="002D23B3"/>
    <w:rsid w:val="002D2401"/>
    <w:rsid w:val="002D24EF"/>
    <w:rsid w:val="002D254D"/>
    <w:rsid w:val="002D2563"/>
    <w:rsid w:val="002D25C7"/>
    <w:rsid w:val="002D25D7"/>
    <w:rsid w:val="002D266F"/>
    <w:rsid w:val="002D273E"/>
    <w:rsid w:val="002D27BA"/>
    <w:rsid w:val="002D2800"/>
    <w:rsid w:val="002D2907"/>
    <w:rsid w:val="002D290F"/>
    <w:rsid w:val="002D2953"/>
    <w:rsid w:val="002D296E"/>
    <w:rsid w:val="002D2A25"/>
    <w:rsid w:val="002D2AB0"/>
    <w:rsid w:val="002D2B58"/>
    <w:rsid w:val="002D2BCD"/>
    <w:rsid w:val="002D2C8F"/>
    <w:rsid w:val="002D2C93"/>
    <w:rsid w:val="002D2D15"/>
    <w:rsid w:val="002D2DA6"/>
    <w:rsid w:val="002D2DE8"/>
    <w:rsid w:val="002D2E12"/>
    <w:rsid w:val="002D2E7E"/>
    <w:rsid w:val="002D2EC7"/>
    <w:rsid w:val="002D2F18"/>
    <w:rsid w:val="002D2F4A"/>
    <w:rsid w:val="002D2FC9"/>
    <w:rsid w:val="002D30AD"/>
    <w:rsid w:val="002D30C1"/>
    <w:rsid w:val="002D3105"/>
    <w:rsid w:val="002D31B3"/>
    <w:rsid w:val="002D31E3"/>
    <w:rsid w:val="002D31EF"/>
    <w:rsid w:val="002D31FA"/>
    <w:rsid w:val="002D3219"/>
    <w:rsid w:val="002D32DE"/>
    <w:rsid w:val="002D32F7"/>
    <w:rsid w:val="002D33C9"/>
    <w:rsid w:val="002D3403"/>
    <w:rsid w:val="002D3501"/>
    <w:rsid w:val="002D3514"/>
    <w:rsid w:val="002D3533"/>
    <w:rsid w:val="002D3550"/>
    <w:rsid w:val="002D3566"/>
    <w:rsid w:val="002D3582"/>
    <w:rsid w:val="002D35CD"/>
    <w:rsid w:val="002D35FD"/>
    <w:rsid w:val="002D3645"/>
    <w:rsid w:val="002D36D8"/>
    <w:rsid w:val="002D377A"/>
    <w:rsid w:val="002D3813"/>
    <w:rsid w:val="002D3835"/>
    <w:rsid w:val="002D3839"/>
    <w:rsid w:val="002D384A"/>
    <w:rsid w:val="002D386B"/>
    <w:rsid w:val="002D3891"/>
    <w:rsid w:val="002D38E2"/>
    <w:rsid w:val="002D392F"/>
    <w:rsid w:val="002D395F"/>
    <w:rsid w:val="002D39C6"/>
    <w:rsid w:val="002D3A8F"/>
    <w:rsid w:val="002D3AB0"/>
    <w:rsid w:val="002D3AC2"/>
    <w:rsid w:val="002D3B10"/>
    <w:rsid w:val="002D3B45"/>
    <w:rsid w:val="002D3B4C"/>
    <w:rsid w:val="002D3B6E"/>
    <w:rsid w:val="002D3BB7"/>
    <w:rsid w:val="002D3C44"/>
    <w:rsid w:val="002D3C4E"/>
    <w:rsid w:val="002D3CC1"/>
    <w:rsid w:val="002D3D5F"/>
    <w:rsid w:val="002D3DAE"/>
    <w:rsid w:val="002D3ED2"/>
    <w:rsid w:val="002D3EDA"/>
    <w:rsid w:val="002D3EEC"/>
    <w:rsid w:val="002D3F0A"/>
    <w:rsid w:val="002D3F3F"/>
    <w:rsid w:val="002D3F80"/>
    <w:rsid w:val="002D406E"/>
    <w:rsid w:val="002D4083"/>
    <w:rsid w:val="002D40A9"/>
    <w:rsid w:val="002D40BB"/>
    <w:rsid w:val="002D4116"/>
    <w:rsid w:val="002D4159"/>
    <w:rsid w:val="002D4166"/>
    <w:rsid w:val="002D4182"/>
    <w:rsid w:val="002D42AC"/>
    <w:rsid w:val="002D42CA"/>
    <w:rsid w:val="002D4334"/>
    <w:rsid w:val="002D4528"/>
    <w:rsid w:val="002D45AC"/>
    <w:rsid w:val="002D45BC"/>
    <w:rsid w:val="002D45BF"/>
    <w:rsid w:val="002D45E5"/>
    <w:rsid w:val="002D4628"/>
    <w:rsid w:val="002D463F"/>
    <w:rsid w:val="002D470B"/>
    <w:rsid w:val="002D473C"/>
    <w:rsid w:val="002D47AD"/>
    <w:rsid w:val="002D4835"/>
    <w:rsid w:val="002D48CB"/>
    <w:rsid w:val="002D4947"/>
    <w:rsid w:val="002D49A9"/>
    <w:rsid w:val="002D49C8"/>
    <w:rsid w:val="002D4A12"/>
    <w:rsid w:val="002D4A33"/>
    <w:rsid w:val="002D4B50"/>
    <w:rsid w:val="002D4B54"/>
    <w:rsid w:val="002D4BF5"/>
    <w:rsid w:val="002D4C0D"/>
    <w:rsid w:val="002D4C66"/>
    <w:rsid w:val="002D4D18"/>
    <w:rsid w:val="002D4D6D"/>
    <w:rsid w:val="002D4E2E"/>
    <w:rsid w:val="002D4EB5"/>
    <w:rsid w:val="002D4F7F"/>
    <w:rsid w:val="002D5044"/>
    <w:rsid w:val="002D5090"/>
    <w:rsid w:val="002D50EC"/>
    <w:rsid w:val="002D513D"/>
    <w:rsid w:val="002D5149"/>
    <w:rsid w:val="002D51F3"/>
    <w:rsid w:val="002D52D7"/>
    <w:rsid w:val="002D537F"/>
    <w:rsid w:val="002D5400"/>
    <w:rsid w:val="002D544E"/>
    <w:rsid w:val="002D552B"/>
    <w:rsid w:val="002D56F0"/>
    <w:rsid w:val="002D570D"/>
    <w:rsid w:val="002D5768"/>
    <w:rsid w:val="002D5790"/>
    <w:rsid w:val="002D5795"/>
    <w:rsid w:val="002D57B4"/>
    <w:rsid w:val="002D5838"/>
    <w:rsid w:val="002D593E"/>
    <w:rsid w:val="002D59FF"/>
    <w:rsid w:val="002D5A07"/>
    <w:rsid w:val="002D5A78"/>
    <w:rsid w:val="002D5A79"/>
    <w:rsid w:val="002D5A7F"/>
    <w:rsid w:val="002D5A8A"/>
    <w:rsid w:val="002D5B02"/>
    <w:rsid w:val="002D5B5A"/>
    <w:rsid w:val="002D5BAD"/>
    <w:rsid w:val="002D5BED"/>
    <w:rsid w:val="002D5CDC"/>
    <w:rsid w:val="002D5D72"/>
    <w:rsid w:val="002D5DEF"/>
    <w:rsid w:val="002D5EC2"/>
    <w:rsid w:val="002D5ED5"/>
    <w:rsid w:val="002D5FC6"/>
    <w:rsid w:val="002D5FD1"/>
    <w:rsid w:val="002D5FF7"/>
    <w:rsid w:val="002D60AE"/>
    <w:rsid w:val="002D6142"/>
    <w:rsid w:val="002D615E"/>
    <w:rsid w:val="002D623C"/>
    <w:rsid w:val="002D62B3"/>
    <w:rsid w:val="002D62F4"/>
    <w:rsid w:val="002D6399"/>
    <w:rsid w:val="002D63C6"/>
    <w:rsid w:val="002D63C8"/>
    <w:rsid w:val="002D63DD"/>
    <w:rsid w:val="002D6407"/>
    <w:rsid w:val="002D647B"/>
    <w:rsid w:val="002D647E"/>
    <w:rsid w:val="002D65ED"/>
    <w:rsid w:val="002D663E"/>
    <w:rsid w:val="002D664F"/>
    <w:rsid w:val="002D6679"/>
    <w:rsid w:val="002D667D"/>
    <w:rsid w:val="002D66B9"/>
    <w:rsid w:val="002D66CF"/>
    <w:rsid w:val="002D66D4"/>
    <w:rsid w:val="002D66EA"/>
    <w:rsid w:val="002D66F1"/>
    <w:rsid w:val="002D66F7"/>
    <w:rsid w:val="002D677E"/>
    <w:rsid w:val="002D67B5"/>
    <w:rsid w:val="002D697C"/>
    <w:rsid w:val="002D69B4"/>
    <w:rsid w:val="002D69C4"/>
    <w:rsid w:val="002D6A6C"/>
    <w:rsid w:val="002D6A9B"/>
    <w:rsid w:val="002D6AA4"/>
    <w:rsid w:val="002D6AD7"/>
    <w:rsid w:val="002D6B4D"/>
    <w:rsid w:val="002D6B5A"/>
    <w:rsid w:val="002D6B82"/>
    <w:rsid w:val="002D6C1D"/>
    <w:rsid w:val="002D6C74"/>
    <w:rsid w:val="002D6CB1"/>
    <w:rsid w:val="002D6CE0"/>
    <w:rsid w:val="002D6D10"/>
    <w:rsid w:val="002D6D7D"/>
    <w:rsid w:val="002D6DEC"/>
    <w:rsid w:val="002D6DF4"/>
    <w:rsid w:val="002D6E26"/>
    <w:rsid w:val="002D6EC1"/>
    <w:rsid w:val="002D6ECB"/>
    <w:rsid w:val="002D6F56"/>
    <w:rsid w:val="002D6F95"/>
    <w:rsid w:val="002D7096"/>
    <w:rsid w:val="002D70FE"/>
    <w:rsid w:val="002D7199"/>
    <w:rsid w:val="002D719F"/>
    <w:rsid w:val="002D7370"/>
    <w:rsid w:val="002D73C5"/>
    <w:rsid w:val="002D7401"/>
    <w:rsid w:val="002D742F"/>
    <w:rsid w:val="002D74E7"/>
    <w:rsid w:val="002D7525"/>
    <w:rsid w:val="002D752E"/>
    <w:rsid w:val="002D7546"/>
    <w:rsid w:val="002D75E7"/>
    <w:rsid w:val="002D7627"/>
    <w:rsid w:val="002D7634"/>
    <w:rsid w:val="002D764D"/>
    <w:rsid w:val="002D76A4"/>
    <w:rsid w:val="002D7704"/>
    <w:rsid w:val="002D7719"/>
    <w:rsid w:val="002D7753"/>
    <w:rsid w:val="002D775F"/>
    <w:rsid w:val="002D776F"/>
    <w:rsid w:val="002D7779"/>
    <w:rsid w:val="002D778B"/>
    <w:rsid w:val="002D77BB"/>
    <w:rsid w:val="002D7840"/>
    <w:rsid w:val="002D7884"/>
    <w:rsid w:val="002D78FD"/>
    <w:rsid w:val="002D790B"/>
    <w:rsid w:val="002D7910"/>
    <w:rsid w:val="002D795C"/>
    <w:rsid w:val="002D79C7"/>
    <w:rsid w:val="002D79D8"/>
    <w:rsid w:val="002D79E0"/>
    <w:rsid w:val="002D7AB6"/>
    <w:rsid w:val="002D7B0B"/>
    <w:rsid w:val="002D7B9A"/>
    <w:rsid w:val="002D7BAF"/>
    <w:rsid w:val="002D7C65"/>
    <w:rsid w:val="002D7C9B"/>
    <w:rsid w:val="002D7CC8"/>
    <w:rsid w:val="002D7CD9"/>
    <w:rsid w:val="002D7D1F"/>
    <w:rsid w:val="002D7D28"/>
    <w:rsid w:val="002D7D5B"/>
    <w:rsid w:val="002D7D6F"/>
    <w:rsid w:val="002D7D88"/>
    <w:rsid w:val="002D7DD0"/>
    <w:rsid w:val="002D7DFE"/>
    <w:rsid w:val="002D7E0E"/>
    <w:rsid w:val="002D7E13"/>
    <w:rsid w:val="002D7E71"/>
    <w:rsid w:val="002D7EC4"/>
    <w:rsid w:val="002D7F1F"/>
    <w:rsid w:val="002D7F9B"/>
    <w:rsid w:val="002E009E"/>
    <w:rsid w:val="002E00EC"/>
    <w:rsid w:val="002E00F7"/>
    <w:rsid w:val="002E0110"/>
    <w:rsid w:val="002E0121"/>
    <w:rsid w:val="002E016E"/>
    <w:rsid w:val="002E0170"/>
    <w:rsid w:val="002E017F"/>
    <w:rsid w:val="002E01A4"/>
    <w:rsid w:val="002E01C7"/>
    <w:rsid w:val="002E025F"/>
    <w:rsid w:val="002E027B"/>
    <w:rsid w:val="002E02E4"/>
    <w:rsid w:val="002E0311"/>
    <w:rsid w:val="002E040D"/>
    <w:rsid w:val="002E0422"/>
    <w:rsid w:val="002E04C0"/>
    <w:rsid w:val="002E04EE"/>
    <w:rsid w:val="002E0563"/>
    <w:rsid w:val="002E05B1"/>
    <w:rsid w:val="002E05DA"/>
    <w:rsid w:val="002E061C"/>
    <w:rsid w:val="002E0640"/>
    <w:rsid w:val="002E0646"/>
    <w:rsid w:val="002E069B"/>
    <w:rsid w:val="002E073D"/>
    <w:rsid w:val="002E07FD"/>
    <w:rsid w:val="002E0807"/>
    <w:rsid w:val="002E083C"/>
    <w:rsid w:val="002E08E6"/>
    <w:rsid w:val="002E08F9"/>
    <w:rsid w:val="002E0925"/>
    <w:rsid w:val="002E0985"/>
    <w:rsid w:val="002E098B"/>
    <w:rsid w:val="002E09F7"/>
    <w:rsid w:val="002E0A1A"/>
    <w:rsid w:val="002E0A21"/>
    <w:rsid w:val="002E0A7F"/>
    <w:rsid w:val="002E0A8F"/>
    <w:rsid w:val="002E0B28"/>
    <w:rsid w:val="002E0BAA"/>
    <w:rsid w:val="002E0C72"/>
    <w:rsid w:val="002E0D3C"/>
    <w:rsid w:val="002E0D4B"/>
    <w:rsid w:val="002E0DEB"/>
    <w:rsid w:val="002E0E3B"/>
    <w:rsid w:val="002E0E7F"/>
    <w:rsid w:val="002E0E8A"/>
    <w:rsid w:val="002E0EE3"/>
    <w:rsid w:val="002E0F09"/>
    <w:rsid w:val="002E0F4D"/>
    <w:rsid w:val="002E0F7A"/>
    <w:rsid w:val="002E103A"/>
    <w:rsid w:val="002E1053"/>
    <w:rsid w:val="002E10A0"/>
    <w:rsid w:val="002E10E3"/>
    <w:rsid w:val="002E1110"/>
    <w:rsid w:val="002E1135"/>
    <w:rsid w:val="002E113C"/>
    <w:rsid w:val="002E1171"/>
    <w:rsid w:val="002E1216"/>
    <w:rsid w:val="002E1320"/>
    <w:rsid w:val="002E13D7"/>
    <w:rsid w:val="002E1479"/>
    <w:rsid w:val="002E149B"/>
    <w:rsid w:val="002E14D7"/>
    <w:rsid w:val="002E14D9"/>
    <w:rsid w:val="002E14F4"/>
    <w:rsid w:val="002E1509"/>
    <w:rsid w:val="002E156C"/>
    <w:rsid w:val="002E15B1"/>
    <w:rsid w:val="002E15E0"/>
    <w:rsid w:val="002E165D"/>
    <w:rsid w:val="002E167B"/>
    <w:rsid w:val="002E167D"/>
    <w:rsid w:val="002E16A7"/>
    <w:rsid w:val="002E16AB"/>
    <w:rsid w:val="002E1791"/>
    <w:rsid w:val="002E17C5"/>
    <w:rsid w:val="002E1878"/>
    <w:rsid w:val="002E18B4"/>
    <w:rsid w:val="002E18F7"/>
    <w:rsid w:val="002E19ED"/>
    <w:rsid w:val="002E1A18"/>
    <w:rsid w:val="002E1ABD"/>
    <w:rsid w:val="002E1AE3"/>
    <w:rsid w:val="002E1B66"/>
    <w:rsid w:val="002E1B8C"/>
    <w:rsid w:val="002E1BC3"/>
    <w:rsid w:val="002E1BCF"/>
    <w:rsid w:val="002E1BEC"/>
    <w:rsid w:val="002E1C3F"/>
    <w:rsid w:val="002E1C70"/>
    <w:rsid w:val="002E1E4F"/>
    <w:rsid w:val="002E1E94"/>
    <w:rsid w:val="002E1E96"/>
    <w:rsid w:val="002E1EB2"/>
    <w:rsid w:val="002E1F0E"/>
    <w:rsid w:val="002E1F6A"/>
    <w:rsid w:val="002E1FD2"/>
    <w:rsid w:val="002E1FD8"/>
    <w:rsid w:val="002E207C"/>
    <w:rsid w:val="002E208C"/>
    <w:rsid w:val="002E2099"/>
    <w:rsid w:val="002E20B8"/>
    <w:rsid w:val="002E210A"/>
    <w:rsid w:val="002E2176"/>
    <w:rsid w:val="002E21D9"/>
    <w:rsid w:val="002E22E7"/>
    <w:rsid w:val="002E236C"/>
    <w:rsid w:val="002E23DD"/>
    <w:rsid w:val="002E2404"/>
    <w:rsid w:val="002E2489"/>
    <w:rsid w:val="002E2512"/>
    <w:rsid w:val="002E2521"/>
    <w:rsid w:val="002E2536"/>
    <w:rsid w:val="002E256A"/>
    <w:rsid w:val="002E25A6"/>
    <w:rsid w:val="002E26C6"/>
    <w:rsid w:val="002E26D5"/>
    <w:rsid w:val="002E2710"/>
    <w:rsid w:val="002E2775"/>
    <w:rsid w:val="002E280F"/>
    <w:rsid w:val="002E282F"/>
    <w:rsid w:val="002E2892"/>
    <w:rsid w:val="002E29B3"/>
    <w:rsid w:val="002E2A2F"/>
    <w:rsid w:val="002E2B7D"/>
    <w:rsid w:val="002E2B9F"/>
    <w:rsid w:val="002E2BEC"/>
    <w:rsid w:val="002E2C7E"/>
    <w:rsid w:val="002E2C8C"/>
    <w:rsid w:val="002E2CB7"/>
    <w:rsid w:val="002E2D3A"/>
    <w:rsid w:val="002E2E05"/>
    <w:rsid w:val="002E2E0B"/>
    <w:rsid w:val="002E2E18"/>
    <w:rsid w:val="002E2E52"/>
    <w:rsid w:val="002E2EDB"/>
    <w:rsid w:val="002E2F45"/>
    <w:rsid w:val="002E2F8E"/>
    <w:rsid w:val="002E3141"/>
    <w:rsid w:val="002E3229"/>
    <w:rsid w:val="002E325A"/>
    <w:rsid w:val="002E327F"/>
    <w:rsid w:val="002E32EB"/>
    <w:rsid w:val="002E32FD"/>
    <w:rsid w:val="002E33D4"/>
    <w:rsid w:val="002E3415"/>
    <w:rsid w:val="002E348B"/>
    <w:rsid w:val="002E34A5"/>
    <w:rsid w:val="002E3508"/>
    <w:rsid w:val="002E351C"/>
    <w:rsid w:val="002E3589"/>
    <w:rsid w:val="002E359B"/>
    <w:rsid w:val="002E35C7"/>
    <w:rsid w:val="002E35D2"/>
    <w:rsid w:val="002E3623"/>
    <w:rsid w:val="002E3738"/>
    <w:rsid w:val="002E374D"/>
    <w:rsid w:val="002E37F4"/>
    <w:rsid w:val="002E3831"/>
    <w:rsid w:val="002E3877"/>
    <w:rsid w:val="002E38EB"/>
    <w:rsid w:val="002E394F"/>
    <w:rsid w:val="002E39FD"/>
    <w:rsid w:val="002E3A00"/>
    <w:rsid w:val="002E3A28"/>
    <w:rsid w:val="002E3A62"/>
    <w:rsid w:val="002E3A83"/>
    <w:rsid w:val="002E3AA2"/>
    <w:rsid w:val="002E3B2B"/>
    <w:rsid w:val="002E3B49"/>
    <w:rsid w:val="002E3B7E"/>
    <w:rsid w:val="002E3C0B"/>
    <w:rsid w:val="002E3C1A"/>
    <w:rsid w:val="002E3C2E"/>
    <w:rsid w:val="002E3C34"/>
    <w:rsid w:val="002E3C51"/>
    <w:rsid w:val="002E3C8E"/>
    <w:rsid w:val="002E3CA8"/>
    <w:rsid w:val="002E3D23"/>
    <w:rsid w:val="002E3DBF"/>
    <w:rsid w:val="002E3E66"/>
    <w:rsid w:val="002E3E69"/>
    <w:rsid w:val="002E3E8E"/>
    <w:rsid w:val="002E3ECD"/>
    <w:rsid w:val="002E3F36"/>
    <w:rsid w:val="002E3F43"/>
    <w:rsid w:val="002E3F66"/>
    <w:rsid w:val="002E3FE4"/>
    <w:rsid w:val="002E403E"/>
    <w:rsid w:val="002E4053"/>
    <w:rsid w:val="002E40DF"/>
    <w:rsid w:val="002E4117"/>
    <w:rsid w:val="002E4135"/>
    <w:rsid w:val="002E41B5"/>
    <w:rsid w:val="002E41DD"/>
    <w:rsid w:val="002E4206"/>
    <w:rsid w:val="002E4221"/>
    <w:rsid w:val="002E42BA"/>
    <w:rsid w:val="002E43D4"/>
    <w:rsid w:val="002E440B"/>
    <w:rsid w:val="002E446A"/>
    <w:rsid w:val="002E44AE"/>
    <w:rsid w:val="002E4550"/>
    <w:rsid w:val="002E45F9"/>
    <w:rsid w:val="002E47D0"/>
    <w:rsid w:val="002E489A"/>
    <w:rsid w:val="002E48EE"/>
    <w:rsid w:val="002E493F"/>
    <w:rsid w:val="002E4ACF"/>
    <w:rsid w:val="002E4B3C"/>
    <w:rsid w:val="002E4BB4"/>
    <w:rsid w:val="002E4C35"/>
    <w:rsid w:val="002E4C40"/>
    <w:rsid w:val="002E4C57"/>
    <w:rsid w:val="002E4C86"/>
    <w:rsid w:val="002E4CC6"/>
    <w:rsid w:val="002E4D9F"/>
    <w:rsid w:val="002E4E1A"/>
    <w:rsid w:val="002E4E7A"/>
    <w:rsid w:val="002E4E9B"/>
    <w:rsid w:val="002E4EA6"/>
    <w:rsid w:val="002E4F22"/>
    <w:rsid w:val="002E5002"/>
    <w:rsid w:val="002E5012"/>
    <w:rsid w:val="002E507A"/>
    <w:rsid w:val="002E5114"/>
    <w:rsid w:val="002E5148"/>
    <w:rsid w:val="002E5162"/>
    <w:rsid w:val="002E51B9"/>
    <w:rsid w:val="002E5240"/>
    <w:rsid w:val="002E5295"/>
    <w:rsid w:val="002E52CE"/>
    <w:rsid w:val="002E52EA"/>
    <w:rsid w:val="002E52F5"/>
    <w:rsid w:val="002E53A8"/>
    <w:rsid w:val="002E5490"/>
    <w:rsid w:val="002E54C4"/>
    <w:rsid w:val="002E54F0"/>
    <w:rsid w:val="002E54F6"/>
    <w:rsid w:val="002E54F9"/>
    <w:rsid w:val="002E5503"/>
    <w:rsid w:val="002E5530"/>
    <w:rsid w:val="002E5552"/>
    <w:rsid w:val="002E5598"/>
    <w:rsid w:val="002E55C9"/>
    <w:rsid w:val="002E5631"/>
    <w:rsid w:val="002E564B"/>
    <w:rsid w:val="002E5658"/>
    <w:rsid w:val="002E570B"/>
    <w:rsid w:val="002E5757"/>
    <w:rsid w:val="002E5761"/>
    <w:rsid w:val="002E57A9"/>
    <w:rsid w:val="002E57AE"/>
    <w:rsid w:val="002E5825"/>
    <w:rsid w:val="002E5850"/>
    <w:rsid w:val="002E5865"/>
    <w:rsid w:val="002E590D"/>
    <w:rsid w:val="002E599C"/>
    <w:rsid w:val="002E59C3"/>
    <w:rsid w:val="002E5A0F"/>
    <w:rsid w:val="002E5A38"/>
    <w:rsid w:val="002E5A6F"/>
    <w:rsid w:val="002E5AF1"/>
    <w:rsid w:val="002E5B41"/>
    <w:rsid w:val="002E5B6B"/>
    <w:rsid w:val="002E5BDA"/>
    <w:rsid w:val="002E5C51"/>
    <w:rsid w:val="002E5C5F"/>
    <w:rsid w:val="002E5DD0"/>
    <w:rsid w:val="002E5DF2"/>
    <w:rsid w:val="002E5E15"/>
    <w:rsid w:val="002E5E26"/>
    <w:rsid w:val="002E5E6F"/>
    <w:rsid w:val="002E6023"/>
    <w:rsid w:val="002E6046"/>
    <w:rsid w:val="002E6134"/>
    <w:rsid w:val="002E619F"/>
    <w:rsid w:val="002E61BE"/>
    <w:rsid w:val="002E61ED"/>
    <w:rsid w:val="002E6265"/>
    <w:rsid w:val="002E62B1"/>
    <w:rsid w:val="002E62E4"/>
    <w:rsid w:val="002E62F9"/>
    <w:rsid w:val="002E62FA"/>
    <w:rsid w:val="002E633E"/>
    <w:rsid w:val="002E642A"/>
    <w:rsid w:val="002E6442"/>
    <w:rsid w:val="002E6467"/>
    <w:rsid w:val="002E6504"/>
    <w:rsid w:val="002E6513"/>
    <w:rsid w:val="002E6521"/>
    <w:rsid w:val="002E6548"/>
    <w:rsid w:val="002E656B"/>
    <w:rsid w:val="002E6587"/>
    <w:rsid w:val="002E65CB"/>
    <w:rsid w:val="002E65D2"/>
    <w:rsid w:val="002E65F4"/>
    <w:rsid w:val="002E668A"/>
    <w:rsid w:val="002E6727"/>
    <w:rsid w:val="002E675E"/>
    <w:rsid w:val="002E67E7"/>
    <w:rsid w:val="002E67F9"/>
    <w:rsid w:val="002E689D"/>
    <w:rsid w:val="002E68C7"/>
    <w:rsid w:val="002E68CD"/>
    <w:rsid w:val="002E6971"/>
    <w:rsid w:val="002E69B0"/>
    <w:rsid w:val="002E69B8"/>
    <w:rsid w:val="002E69EE"/>
    <w:rsid w:val="002E6A1A"/>
    <w:rsid w:val="002E6AB8"/>
    <w:rsid w:val="002E6ABD"/>
    <w:rsid w:val="002E6AEE"/>
    <w:rsid w:val="002E6B10"/>
    <w:rsid w:val="002E6B57"/>
    <w:rsid w:val="002E6BDD"/>
    <w:rsid w:val="002E6C52"/>
    <w:rsid w:val="002E6C61"/>
    <w:rsid w:val="002E6D62"/>
    <w:rsid w:val="002E6DA7"/>
    <w:rsid w:val="002E6DF3"/>
    <w:rsid w:val="002E6E16"/>
    <w:rsid w:val="002E6E4D"/>
    <w:rsid w:val="002E6E82"/>
    <w:rsid w:val="002E6F24"/>
    <w:rsid w:val="002E6F42"/>
    <w:rsid w:val="002E6F5A"/>
    <w:rsid w:val="002E6FB5"/>
    <w:rsid w:val="002E6FC5"/>
    <w:rsid w:val="002E6FFD"/>
    <w:rsid w:val="002E7021"/>
    <w:rsid w:val="002E7027"/>
    <w:rsid w:val="002E70C4"/>
    <w:rsid w:val="002E70F4"/>
    <w:rsid w:val="002E71BF"/>
    <w:rsid w:val="002E71F4"/>
    <w:rsid w:val="002E7218"/>
    <w:rsid w:val="002E7285"/>
    <w:rsid w:val="002E7295"/>
    <w:rsid w:val="002E7336"/>
    <w:rsid w:val="002E743D"/>
    <w:rsid w:val="002E7464"/>
    <w:rsid w:val="002E74F5"/>
    <w:rsid w:val="002E74F9"/>
    <w:rsid w:val="002E74FB"/>
    <w:rsid w:val="002E750B"/>
    <w:rsid w:val="002E757B"/>
    <w:rsid w:val="002E757D"/>
    <w:rsid w:val="002E759B"/>
    <w:rsid w:val="002E7634"/>
    <w:rsid w:val="002E7688"/>
    <w:rsid w:val="002E76ED"/>
    <w:rsid w:val="002E773D"/>
    <w:rsid w:val="002E7745"/>
    <w:rsid w:val="002E774C"/>
    <w:rsid w:val="002E7823"/>
    <w:rsid w:val="002E782B"/>
    <w:rsid w:val="002E785A"/>
    <w:rsid w:val="002E78D6"/>
    <w:rsid w:val="002E78EE"/>
    <w:rsid w:val="002E7935"/>
    <w:rsid w:val="002E7955"/>
    <w:rsid w:val="002E79CB"/>
    <w:rsid w:val="002E7A24"/>
    <w:rsid w:val="002E7AEF"/>
    <w:rsid w:val="002E7B7A"/>
    <w:rsid w:val="002E7BDA"/>
    <w:rsid w:val="002E7BF5"/>
    <w:rsid w:val="002E7C2B"/>
    <w:rsid w:val="002E7C5D"/>
    <w:rsid w:val="002E7C6F"/>
    <w:rsid w:val="002E7D4B"/>
    <w:rsid w:val="002E7DA3"/>
    <w:rsid w:val="002E7E86"/>
    <w:rsid w:val="002E7F5E"/>
    <w:rsid w:val="002E7F8B"/>
    <w:rsid w:val="002E7F9A"/>
    <w:rsid w:val="002F005C"/>
    <w:rsid w:val="002F00EA"/>
    <w:rsid w:val="002F0106"/>
    <w:rsid w:val="002F0170"/>
    <w:rsid w:val="002F01CE"/>
    <w:rsid w:val="002F01F7"/>
    <w:rsid w:val="002F0212"/>
    <w:rsid w:val="002F023F"/>
    <w:rsid w:val="002F0254"/>
    <w:rsid w:val="002F0269"/>
    <w:rsid w:val="002F03E4"/>
    <w:rsid w:val="002F043F"/>
    <w:rsid w:val="002F0499"/>
    <w:rsid w:val="002F04BF"/>
    <w:rsid w:val="002F04F4"/>
    <w:rsid w:val="002F055E"/>
    <w:rsid w:val="002F0573"/>
    <w:rsid w:val="002F0582"/>
    <w:rsid w:val="002F069C"/>
    <w:rsid w:val="002F06AD"/>
    <w:rsid w:val="002F06E6"/>
    <w:rsid w:val="002F06FE"/>
    <w:rsid w:val="002F0736"/>
    <w:rsid w:val="002F0799"/>
    <w:rsid w:val="002F079C"/>
    <w:rsid w:val="002F07A8"/>
    <w:rsid w:val="002F07B2"/>
    <w:rsid w:val="002F0854"/>
    <w:rsid w:val="002F085C"/>
    <w:rsid w:val="002F08D7"/>
    <w:rsid w:val="002F0947"/>
    <w:rsid w:val="002F0959"/>
    <w:rsid w:val="002F09B8"/>
    <w:rsid w:val="002F0A3D"/>
    <w:rsid w:val="002F0A6A"/>
    <w:rsid w:val="002F0B2B"/>
    <w:rsid w:val="002F0B47"/>
    <w:rsid w:val="002F0C21"/>
    <w:rsid w:val="002F0C88"/>
    <w:rsid w:val="002F0C95"/>
    <w:rsid w:val="002F0D31"/>
    <w:rsid w:val="002F0DBD"/>
    <w:rsid w:val="002F0E13"/>
    <w:rsid w:val="002F0E66"/>
    <w:rsid w:val="002F0E9E"/>
    <w:rsid w:val="002F0E9F"/>
    <w:rsid w:val="002F0FA3"/>
    <w:rsid w:val="002F0FEF"/>
    <w:rsid w:val="002F1000"/>
    <w:rsid w:val="002F10B1"/>
    <w:rsid w:val="002F10FE"/>
    <w:rsid w:val="002F1142"/>
    <w:rsid w:val="002F11E7"/>
    <w:rsid w:val="002F120B"/>
    <w:rsid w:val="002F1226"/>
    <w:rsid w:val="002F125C"/>
    <w:rsid w:val="002F12AD"/>
    <w:rsid w:val="002F13E6"/>
    <w:rsid w:val="002F1419"/>
    <w:rsid w:val="002F14AF"/>
    <w:rsid w:val="002F1578"/>
    <w:rsid w:val="002F15A7"/>
    <w:rsid w:val="002F15DF"/>
    <w:rsid w:val="002F1616"/>
    <w:rsid w:val="002F1677"/>
    <w:rsid w:val="002F174A"/>
    <w:rsid w:val="002F1772"/>
    <w:rsid w:val="002F187D"/>
    <w:rsid w:val="002F192C"/>
    <w:rsid w:val="002F1953"/>
    <w:rsid w:val="002F19C6"/>
    <w:rsid w:val="002F19D9"/>
    <w:rsid w:val="002F19F2"/>
    <w:rsid w:val="002F1A72"/>
    <w:rsid w:val="002F1A9D"/>
    <w:rsid w:val="002F1AC0"/>
    <w:rsid w:val="002F1AD4"/>
    <w:rsid w:val="002F1AEA"/>
    <w:rsid w:val="002F1B14"/>
    <w:rsid w:val="002F1B59"/>
    <w:rsid w:val="002F1B68"/>
    <w:rsid w:val="002F1B7A"/>
    <w:rsid w:val="002F1C91"/>
    <w:rsid w:val="002F1D60"/>
    <w:rsid w:val="002F1D84"/>
    <w:rsid w:val="002F1DE6"/>
    <w:rsid w:val="002F1DF7"/>
    <w:rsid w:val="002F1E71"/>
    <w:rsid w:val="002F1F23"/>
    <w:rsid w:val="002F1F62"/>
    <w:rsid w:val="002F20D2"/>
    <w:rsid w:val="002F2106"/>
    <w:rsid w:val="002F2156"/>
    <w:rsid w:val="002F215B"/>
    <w:rsid w:val="002F217D"/>
    <w:rsid w:val="002F21AE"/>
    <w:rsid w:val="002F21B9"/>
    <w:rsid w:val="002F2280"/>
    <w:rsid w:val="002F2287"/>
    <w:rsid w:val="002F229B"/>
    <w:rsid w:val="002F238D"/>
    <w:rsid w:val="002F23FD"/>
    <w:rsid w:val="002F2408"/>
    <w:rsid w:val="002F2462"/>
    <w:rsid w:val="002F24F2"/>
    <w:rsid w:val="002F250A"/>
    <w:rsid w:val="002F252C"/>
    <w:rsid w:val="002F257D"/>
    <w:rsid w:val="002F26E1"/>
    <w:rsid w:val="002F2702"/>
    <w:rsid w:val="002F2716"/>
    <w:rsid w:val="002F2774"/>
    <w:rsid w:val="002F2799"/>
    <w:rsid w:val="002F2844"/>
    <w:rsid w:val="002F2848"/>
    <w:rsid w:val="002F28A8"/>
    <w:rsid w:val="002F28C5"/>
    <w:rsid w:val="002F2918"/>
    <w:rsid w:val="002F29F1"/>
    <w:rsid w:val="002F2AE4"/>
    <w:rsid w:val="002F2BB0"/>
    <w:rsid w:val="002F2C35"/>
    <w:rsid w:val="002F2C52"/>
    <w:rsid w:val="002F2CAB"/>
    <w:rsid w:val="002F2D62"/>
    <w:rsid w:val="002F2D9C"/>
    <w:rsid w:val="002F2E17"/>
    <w:rsid w:val="002F2E92"/>
    <w:rsid w:val="002F2F19"/>
    <w:rsid w:val="002F2F78"/>
    <w:rsid w:val="002F3004"/>
    <w:rsid w:val="002F3017"/>
    <w:rsid w:val="002F3031"/>
    <w:rsid w:val="002F3042"/>
    <w:rsid w:val="002F3052"/>
    <w:rsid w:val="002F3078"/>
    <w:rsid w:val="002F30F5"/>
    <w:rsid w:val="002F3148"/>
    <w:rsid w:val="002F31D4"/>
    <w:rsid w:val="002F3209"/>
    <w:rsid w:val="002F3215"/>
    <w:rsid w:val="002F3230"/>
    <w:rsid w:val="002F33C2"/>
    <w:rsid w:val="002F3418"/>
    <w:rsid w:val="002F3431"/>
    <w:rsid w:val="002F3446"/>
    <w:rsid w:val="002F345E"/>
    <w:rsid w:val="002F34BB"/>
    <w:rsid w:val="002F3511"/>
    <w:rsid w:val="002F353C"/>
    <w:rsid w:val="002F3588"/>
    <w:rsid w:val="002F358B"/>
    <w:rsid w:val="002F35C9"/>
    <w:rsid w:val="002F3627"/>
    <w:rsid w:val="002F36B1"/>
    <w:rsid w:val="002F373E"/>
    <w:rsid w:val="002F37E6"/>
    <w:rsid w:val="002F38C1"/>
    <w:rsid w:val="002F394C"/>
    <w:rsid w:val="002F3A71"/>
    <w:rsid w:val="002F3AB3"/>
    <w:rsid w:val="002F3BD2"/>
    <w:rsid w:val="002F3C4D"/>
    <w:rsid w:val="002F3C76"/>
    <w:rsid w:val="002F3CCA"/>
    <w:rsid w:val="002F3CDE"/>
    <w:rsid w:val="002F3D1E"/>
    <w:rsid w:val="002F3D32"/>
    <w:rsid w:val="002F3D33"/>
    <w:rsid w:val="002F3D39"/>
    <w:rsid w:val="002F3DA0"/>
    <w:rsid w:val="002F3E5F"/>
    <w:rsid w:val="002F3EAA"/>
    <w:rsid w:val="002F3EB8"/>
    <w:rsid w:val="002F3EC0"/>
    <w:rsid w:val="002F3F95"/>
    <w:rsid w:val="002F3FBB"/>
    <w:rsid w:val="002F4082"/>
    <w:rsid w:val="002F4091"/>
    <w:rsid w:val="002F4102"/>
    <w:rsid w:val="002F4125"/>
    <w:rsid w:val="002F4136"/>
    <w:rsid w:val="002F41A5"/>
    <w:rsid w:val="002F4206"/>
    <w:rsid w:val="002F420B"/>
    <w:rsid w:val="002F4214"/>
    <w:rsid w:val="002F422F"/>
    <w:rsid w:val="002F4273"/>
    <w:rsid w:val="002F42C0"/>
    <w:rsid w:val="002F42C2"/>
    <w:rsid w:val="002F4337"/>
    <w:rsid w:val="002F438C"/>
    <w:rsid w:val="002F439B"/>
    <w:rsid w:val="002F43CD"/>
    <w:rsid w:val="002F43F9"/>
    <w:rsid w:val="002F4420"/>
    <w:rsid w:val="002F44A6"/>
    <w:rsid w:val="002F44FA"/>
    <w:rsid w:val="002F45B4"/>
    <w:rsid w:val="002F45BA"/>
    <w:rsid w:val="002F4668"/>
    <w:rsid w:val="002F46CE"/>
    <w:rsid w:val="002F46EE"/>
    <w:rsid w:val="002F4720"/>
    <w:rsid w:val="002F4768"/>
    <w:rsid w:val="002F476D"/>
    <w:rsid w:val="002F47D6"/>
    <w:rsid w:val="002F47E8"/>
    <w:rsid w:val="002F4812"/>
    <w:rsid w:val="002F4850"/>
    <w:rsid w:val="002F485F"/>
    <w:rsid w:val="002F486E"/>
    <w:rsid w:val="002F4887"/>
    <w:rsid w:val="002F48F0"/>
    <w:rsid w:val="002F49C7"/>
    <w:rsid w:val="002F49F0"/>
    <w:rsid w:val="002F4A03"/>
    <w:rsid w:val="002F4A6C"/>
    <w:rsid w:val="002F4A72"/>
    <w:rsid w:val="002F4AAE"/>
    <w:rsid w:val="002F4AB9"/>
    <w:rsid w:val="002F4B8F"/>
    <w:rsid w:val="002F4C0D"/>
    <w:rsid w:val="002F4C14"/>
    <w:rsid w:val="002F4C26"/>
    <w:rsid w:val="002F4C3E"/>
    <w:rsid w:val="002F4C4C"/>
    <w:rsid w:val="002F4CBD"/>
    <w:rsid w:val="002F4CC7"/>
    <w:rsid w:val="002F4D79"/>
    <w:rsid w:val="002F4D8C"/>
    <w:rsid w:val="002F4DB6"/>
    <w:rsid w:val="002F4ED0"/>
    <w:rsid w:val="002F4F61"/>
    <w:rsid w:val="002F4F8C"/>
    <w:rsid w:val="002F4FC8"/>
    <w:rsid w:val="002F500D"/>
    <w:rsid w:val="002F506D"/>
    <w:rsid w:val="002F5125"/>
    <w:rsid w:val="002F5128"/>
    <w:rsid w:val="002F516B"/>
    <w:rsid w:val="002F51D2"/>
    <w:rsid w:val="002F51F2"/>
    <w:rsid w:val="002F520B"/>
    <w:rsid w:val="002F5231"/>
    <w:rsid w:val="002F52AE"/>
    <w:rsid w:val="002F52B6"/>
    <w:rsid w:val="002F53D1"/>
    <w:rsid w:val="002F53FA"/>
    <w:rsid w:val="002F5455"/>
    <w:rsid w:val="002F5489"/>
    <w:rsid w:val="002F5518"/>
    <w:rsid w:val="002F5574"/>
    <w:rsid w:val="002F55AD"/>
    <w:rsid w:val="002F5684"/>
    <w:rsid w:val="002F56C9"/>
    <w:rsid w:val="002F56F1"/>
    <w:rsid w:val="002F5758"/>
    <w:rsid w:val="002F5770"/>
    <w:rsid w:val="002F57B3"/>
    <w:rsid w:val="002F57D8"/>
    <w:rsid w:val="002F59DC"/>
    <w:rsid w:val="002F5AD1"/>
    <w:rsid w:val="002F5ADF"/>
    <w:rsid w:val="002F5B15"/>
    <w:rsid w:val="002F5BA8"/>
    <w:rsid w:val="002F5BBF"/>
    <w:rsid w:val="002F5C65"/>
    <w:rsid w:val="002F5D1C"/>
    <w:rsid w:val="002F5D1F"/>
    <w:rsid w:val="002F5D43"/>
    <w:rsid w:val="002F5D5F"/>
    <w:rsid w:val="002F5E44"/>
    <w:rsid w:val="002F5EE2"/>
    <w:rsid w:val="002F5F68"/>
    <w:rsid w:val="002F5FCA"/>
    <w:rsid w:val="002F6020"/>
    <w:rsid w:val="002F6026"/>
    <w:rsid w:val="002F6086"/>
    <w:rsid w:val="002F6126"/>
    <w:rsid w:val="002F617E"/>
    <w:rsid w:val="002F6224"/>
    <w:rsid w:val="002F6249"/>
    <w:rsid w:val="002F6397"/>
    <w:rsid w:val="002F63C1"/>
    <w:rsid w:val="002F63FA"/>
    <w:rsid w:val="002F648D"/>
    <w:rsid w:val="002F64E6"/>
    <w:rsid w:val="002F6526"/>
    <w:rsid w:val="002F6575"/>
    <w:rsid w:val="002F65E2"/>
    <w:rsid w:val="002F66E6"/>
    <w:rsid w:val="002F6719"/>
    <w:rsid w:val="002F671D"/>
    <w:rsid w:val="002F6789"/>
    <w:rsid w:val="002F6829"/>
    <w:rsid w:val="002F6883"/>
    <w:rsid w:val="002F6884"/>
    <w:rsid w:val="002F68CD"/>
    <w:rsid w:val="002F6910"/>
    <w:rsid w:val="002F6965"/>
    <w:rsid w:val="002F6AA4"/>
    <w:rsid w:val="002F6ACF"/>
    <w:rsid w:val="002F6AF8"/>
    <w:rsid w:val="002F6B11"/>
    <w:rsid w:val="002F6B25"/>
    <w:rsid w:val="002F6B3B"/>
    <w:rsid w:val="002F6B4D"/>
    <w:rsid w:val="002F6BB8"/>
    <w:rsid w:val="002F6C1F"/>
    <w:rsid w:val="002F6C93"/>
    <w:rsid w:val="002F6D99"/>
    <w:rsid w:val="002F6DD8"/>
    <w:rsid w:val="002F6E56"/>
    <w:rsid w:val="002F6FDC"/>
    <w:rsid w:val="002F7070"/>
    <w:rsid w:val="002F70F3"/>
    <w:rsid w:val="002F7175"/>
    <w:rsid w:val="002F7218"/>
    <w:rsid w:val="002F727F"/>
    <w:rsid w:val="002F742E"/>
    <w:rsid w:val="002F7466"/>
    <w:rsid w:val="002F746A"/>
    <w:rsid w:val="002F74AE"/>
    <w:rsid w:val="002F74EF"/>
    <w:rsid w:val="002F7698"/>
    <w:rsid w:val="002F76A9"/>
    <w:rsid w:val="002F7729"/>
    <w:rsid w:val="002F77F9"/>
    <w:rsid w:val="002F781B"/>
    <w:rsid w:val="002F7874"/>
    <w:rsid w:val="002F7875"/>
    <w:rsid w:val="002F78B8"/>
    <w:rsid w:val="002F78DB"/>
    <w:rsid w:val="002F7937"/>
    <w:rsid w:val="002F7965"/>
    <w:rsid w:val="002F79D6"/>
    <w:rsid w:val="002F79E1"/>
    <w:rsid w:val="002F7A0B"/>
    <w:rsid w:val="002F7A2B"/>
    <w:rsid w:val="002F7A8F"/>
    <w:rsid w:val="002F7AD1"/>
    <w:rsid w:val="002F7B3E"/>
    <w:rsid w:val="002F7BAA"/>
    <w:rsid w:val="002F7C05"/>
    <w:rsid w:val="002F7C8E"/>
    <w:rsid w:val="002F7CF0"/>
    <w:rsid w:val="002F7D30"/>
    <w:rsid w:val="002F7DC7"/>
    <w:rsid w:val="002F7FAA"/>
    <w:rsid w:val="002F7FB2"/>
    <w:rsid w:val="002F7FC6"/>
    <w:rsid w:val="002F7FD8"/>
    <w:rsid w:val="0030001C"/>
    <w:rsid w:val="0030009F"/>
    <w:rsid w:val="003000AF"/>
    <w:rsid w:val="00300120"/>
    <w:rsid w:val="0030019F"/>
    <w:rsid w:val="003001D8"/>
    <w:rsid w:val="00300269"/>
    <w:rsid w:val="00300297"/>
    <w:rsid w:val="0030035F"/>
    <w:rsid w:val="00300387"/>
    <w:rsid w:val="0030038F"/>
    <w:rsid w:val="003003A5"/>
    <w:rsid w:val="003003CF"/>
    <w:rsid w:val="003003F6"/>
    <w:rsid w:val="00300408"/>
    <w:rsid w:val="0030042B"/>
    <w:rsid w:val="00300432"/>
    <w:rsid w:val="003004A3"/>
    <w:rsid w:val="00300508"/>
    <w:rsid w:val="00300588"/>
    <w:rsid w:val="003005C4"/>
    <w:rsid w:val="003005EE"/>
    <w:rsid w:val="00300611"/>
    <w:rsid w:val="0030066A"/>
    <w:rsid w:val="00300754"/>
    <w:rsid w:val="003007CC"/>
    <w:rsid w:val="00300806"/>
    <w:rsid w:val="0030080B"/>
    <w:rsid w:val="00300893"/>
    <w:rsid w:val="0030094C"/>
    <w:rsid w:val="00300A0D"/>
    <w:rsid w:val="00300A1E"/>
    <w:rsid w:val="00300A58"/>
    <w:rsid w:val="00300ABF"/>
    <w:rsid w:val="00300ACC"/>
    <w:rsid w:val="00300AFE"/>
    <w:rsid w:val="00300B54"/>
    <w:rsid w:val="00300BAD"/>
    <w:rsid w:val="00300BC2"/>
    <w:rsid w:val="00300BEB"/>
    <w:rsid w:val="00300C38"/>
    <w:rsid w:val="00300CA3"/>
    <w:rsid w:val="00300CBA"/>
    <w:rsid w:val="00300CC3"/>
    <w:rsid w:val="00300D1E"/>
    <w:rsid w:val="00300D2D"/>
    <w:rsid w:val="00300E06"/>
    <w:rsid w:val="00300F05"/>
    <w:rsid w:val="00300F58"/>
    <w:rsid w:val="003010FE"/>
    <w:rsid w:val="00301100"/>
    <w:rsid w:val="003011B2"/>
    <w:rsid w:val="003011C1"/>
    <w:rsid w:val="003011E8"/>
    <w:rsid w:val="0030124D"/>
    <w:rsid w:val="003012B6"/>
    <w:rsid w:val="00301412"/>
    <w:rsid w:val="00301435"/>
    <w:rsid w:val="003014B3"/>
    <w:rsid w:val="00301500"/>
    <w:rsid w:val="00301688"/>
    <w:rsid w:val="0030169C"/>
    <w:rsid w:val="003016C7"/>
    <w:rsid w:val="0030171A"/>
    <w:rsid w:val="00301810"/>
    <w:rsid w:val="00301824"/>
    <w:rsid w:val="00301843"/>
    <w:rsid w:val="003018AC"/>
    <w:rsid w:val="003018C7"/>
    <w:rsid w:val="003018FF"/>
    <w:rsid w:val="0030191B"/>
    <w:rsid w:val="0030197C"/>
    <w:rsid w:val="003019E7"/>
    <w:rsid w:val="00301A45"/>
    <w:rsid w:val="00301A9D"/>
    <w:rsid w:val="00301AAF"/>
    <w:rsid w:val="00301ABE"/>
    <w:rsid w:val="00301ADA"/>
    <w:rsid w:val="00301B33"/>
    <w:rsid w:val="00301CD5"/>
    <w:rsid w:val="00301D42"/>
    <w:rsid w:val="00301D88"/>
    <w:rsid w:val="00301DCA"/>
    <w:rsid w:val="00301E07"/>
    <w:rsid w:val="00301E08"/>
    <w:rsid w:val="00301E11"/>
    <w:rsid w:val="00301E9C"/>
    <w:rsid w:val="00301EE2"/>
    <w:rsid w:val="00301EEA"/>
    <w:rsid w:val="00301F17"/>
    <w:rsid w:val="00301F83"/>
    <w:rsid w:val="00301F91"/>
    <w:rsid w:val="00301FFC"/>
    <w:rsid w:val="003020F0"/>
    <w:rsid w:val="00302213"/>
    <w:rsid w:val="0030221E"/>
    <w:rsid w:val="00302291"/>
    <w:rsid w:val="00302339"/>
    <w:rsid w:val="0030233C"/>
    <w:rsid w:val="0030235B"/>
    <w:rsid w:val="00302361"/>
    <w:rsid w:val="0030241F"/>
    <w:rsid w:val="0030252A"/>
    <w:rsid w:val="003025B0"/>
    <w:rsid w:val="003026F2"/>
    <w:rsid w:val="0030277B"/>
    <w:rsid w:val="003027A1"/>
    <w:rsid w:val="003027C2"/>
    <w:rsid w:val="0030280E"/>
    <w:rsid w:val="00302820"/>
    <w:rsid w:val="00302878"/>
    <w:rsid w:val="003028B0"/>
    <w:rsid w:val="00302912"/>
    <w:rsid w:val="00302917"/>
    <w:rsid w:val="00302941"/>
    <w:rsid w:val="00302944"/>
    <w:rsid w:val="00302949"/>
    <w:rsid w:val="0030296F"/>
    <w:rsid w:val="003029D7"/>
    <w:rsid w:val="003029F9"/>
    <w:rsid w:val="00302A07"/>
    <w:rsid w:val="00302A0E"/>
    <w:rsid w:val="00302A48"/>
    <w:rsid w:val="00302A49"/>
    <w:rsid w:val="00302A5B"/>
    <w:rsid w:val="00302A61"/>
    <w:rsid w:val="00302B80"/>
    <w:rsid w:val="00302B83"/>
    <w:rsid w:val="00302B8A"/>
    <w:rsid w:val="00302BA9"/>
    <w:rsid w:val="00302BC9"/>
    <w:rsid w:val="00302BCC"/>
    <w:rsid w:val="00302BD5"/>
    <w:rsid w:val="00302BF2"/>
    <w:rsid w:val="00302C1A"/>
    <w:rsid w:val="00302CA3"/>
    <w:rsid w:val="00302CE2"/>
    <w:rsid w:val="00302D3C"/>
    <w:rsid w:val="00302D5E"/>
    <w:rsid w:val="00302DA3"/>
    <w:rsid w:val="00302E1B"/>
    <w:rsid w:val="00302E41"/>
    <w:rsid w:val="00302E80"/>
    <w:rsid w:val="00302F16"/>
    <w:rsid w:val="00302F1D"/>
    <w:rsid w:val="00302F3D"/>
    <w:rsid w:val="00302FEE"/>
    <w:rsid w:val="00303058"/>
    <w:rsid w:val="0030306D"/>
    <w:rsid w:val="003030FA"/>
    <w:rsid w:val="00303169"/>
    <w:rsid w:val="00303299"/>
    <w:rsid w:val="003032C1"/>
    <w:rsid w:val="0030330C"/>
    <w:rsid w:val="0030330E"/>
    <w:rsid w:val="003033F9"/>
    <w:rsid w:val="0030341A"/>
    <w:rsid w:val="0030342E"/>
    <w:rsid w:val="003034C3"/>
    <w:rsid w:val="0030350C"/>
    <w:rsid w:val="0030350D"/>
    <w:rsid w:val="0030359E"/>
    <w:rsid w:val="003035B5"/>
    <w:rsid w:val="003035CE"/>
    <w:rsid w:val="003035FD"/>
    <w:rsid w:val="00303609"/>
    <w:rsid w:val="00303627"/>
    <w:rsid w:val="00303637"/>
    <w:rsid w:val="003036BA"/>
    <w:rsid w:val="003036BB"/>
    <w:rsid w:val="003037C4"/>
    <w:rsid w:val="0030380D"/>
    <w:rsid w:val="00303829"/>
    <w:rsid w:val="003038AB"/>
    <w:rsid w:val="00303901"/>
    <w:rsid w:val="0030391A"/>
    <w:rsid w:val="00303960"/>
    <w:rsid w:val="003039D5"/>
    <w:rsid w:val="00303AC9"/>
    <w:rsid w:val="00303ACD"/>
    <w:rsid w:val="00303B1E"/>
    <w:rsid w:val="00303BAE"/>
    <w:rsid w:val="00303BB9"/>
    <w:rsid w:val="00303C1D"/>
    <w:rsid w:val="00303C4E"/>
    <w:rsid w:val="00303DF8"/>
    <w:rsid w:val="00303E09"/>
    <w:rsid w:val="00303E39"/>
    <w:rsid w:val="00303EA2"/>
    <w:rsid w:val="00303EB1"/>
    <w:rsid w:val="00303ECB"/>
    <w:rsid w:val="0030403D"/>
    <w:rsid w:val="003040F5"/>
    <w:rsid w:val="00304117"/>
    <w:rsid w:val="00304168"/>
    <w:rsid w:val="0030419F"/>
    <w:rsid w:val="0030420D"/>
    <w:rsid w:val="0030420E"/>
    <w:rsid w:val="00304244"/>
    <w:rsid w:val="0030426B"/>
    <w:rsid w:val="00304408"/>
    <w:rsid w:val="00304419"/>
    <w:rsid w:val="0030449A"/>
    <w:rsid w:val="003044A1"/>
    <w:rsid w:val="003044B4"/>
    <w:rsid w:val="003045AA"/>
    <w:rsid w:val="0030462F"/>
    <w:rsid w:val="003046F6"/>
    <w:rsid w:val="00304760"/>
    <w:rsid w:val="00304798"/>
    <w:rsid w:val="00304817"/>
    <w:rsid w:val="00304829"/>
    <w:rsid w:val="00304912"/>
    <w:rsid w:val="0030493B"/>
    <w:rsid w:val="0030494C"/>
    <w:rsid w:val="0030497F"/>
    <w:rsid w:val="00304A88"/>
    <w:rsid w:val="00304AE3"/>
    <w:rsid w:val="00304B5C"/>
    <w:rsid w:val="00304BB2"/>
    <w:rsid w:val="00304BC2"/>
    <w:rsid w:val="00304BC6"/>
    <w:rsid w:val="00304BE3"/>
    <w:rsid w:val="00304C58"/>
    <w:rsid w:val="00304C68"/>
    <w:rsid w:val="00304D2E"/>
    <w:rsid w:val="00304D4E"/>
    <w:rsid w:val="00304D8D"/>
    <w:rsid w:val="00304D8F"/>
    <w:rsid w:val="00304D96"/>
    <w:rsid w:val="00304E50"/>
    <w:rsid w:val="00304E59"/>
    <w:rsid w:val="00304E9C"/>
    <w:rsid w:val="00304ED8"/>
    <w:rsid w:val="00304EEF"/>
    <w:rsid w:val="00304FA5"/>
    <w:rsid w:val="00304FAF"/>
    <w:rsid w:val="00305021"/>
    <w:rsid w:val="00305087"/>
    <w:rsid w:val="00305092"/>
    <w:rsid w:val="00305098"/>
    <w:rsid w:val="00305148"/>
    <w:rsid w:val="003051A6"/>
    <w:rsid w:val="003051F0"/>
    <w:rsid w:val="0030527B"/>
    <w:rsid w:val="0030528F"/>
    <w:rsid w:val="003053DF"/>
    <w:rsid w:val="003053EC"/>
    <w:rsid w:val="00305419"/>
    <w:rsid w:val="00305509"/>
    <w:rsid w:val="003055C0"/>
    <w:rsid w:val="00305669"/>
    <w:rsid w:val="00305674"/>
    <w:rsid w:val="00305715"/>
    <w:rsid w:val="00305746"/>
    <w:rsid w:val="003057C3"/>
    <w:rsid w:val="003057FD"/>
    <w:rsid w:val="0030586F"/>
    <w:rsid w:val="003058AF"/>
    <w:rsid w:val="0030592B"/>
    <w:rsid w:val="00305982"/>
    <w:rsid w:val="00305A97"/>
    <w:rsid w:val="00305A9F"/>
    <w:rsid w:val="00305B67"/>
    <w:rsid w:val="00305B91"/>
    <w:rsid w:val="00305BDC"/>
    <w:rsid w:val="00305C35"/>
    <w:rsid w:val="00305C55"/>
    <w:rsid w:val="00305CE3"/>
    <w:rsid w:val="00305D11"/>
    <w:rsid w:val="00305D8E"/>
    <w:rsid w:val="00305E8A"/>
    <w:rsid w:val="00305EDF"/>
    <w:rsid w:val="00305F76"/>
    <w:rsid w:val="00305F7D"/>
    <w:rsid w:val="00305FF6"/>
    <w:rsid w:val="00306014"/>
    <w:rsid w:val="0030607A"/>
    <w:rsid w:val="00306188"/>
    <w:rsid w:val="0030620F"/>
    <w:rsid w:val="0030623D"/>
    <w:rsid w:val="0030626A"/>
    <w:rsid w:val="00306327"/>
    <w:rsid w:val="00306458"/>
    <w:rsid w:val="003064C3"/>
    <w:rsid w:val="003064C5"/>
    <w:rsid w:val="00306513"/>
    <w:rsid w:val="00306523"/>
    <w:rsid w:val="0030657A"/>
    <w:rsid w:val="00306599"/>
    <w:rsid w:val="003066D3"/>
    <w:rsid w:val="0030675E"/>
    <w:rsid w:val="0030682E"/>
    <w:rsid w:val="0030683A"/>
    <w:rsid w:val="00306866"/>
    <w:rsid w:val="00306967"/>
    <w:rsid w:val="00306999"/>
    <w:rsid w:val="003069FA"/>
    <w:rsid w:val="00306A0D"/>
    <w:rsid w:val="00306C44"/>
    <w:rsid w:val="00306C7D"/>
    <w:rsid w:val="00306D24"/>
    <w:rsid w:val="00306D66"/>
    <w:rsid w:val="00306DF0"/>
    <w:rsid w:val="00306E5B"/>
    <w:rsid w:val="00306E8C"/>
    <w:rsid w:val="00306F3E"/>
    <w:rsid w:val="00306F72"/>
    <w:rsid w:val="00306F9F"/>
    <w:rsid w:val="00306FAC"/>
    <w:rsid w:val="00306FF4"/>
    <w:rsid w:val="00306FF6"/>
    <w:rsid w:val="003070C5"/>
    <w:rsid w:val="003070E0"/>
    <w:rsid w:val="003070FB"/>
    <w:rsid w:val="00307188"/>
    <w:rsid w:val="00307190"/>
    <w:rsid w:val="003071DC"/>
    <w:rsid w:val="003071E8"/>
    <w:rsid w:val="003071EF"/>
    <w:rsid w:val="00307296"/>
    <w:rsid w:val="003072C1"/>
    <w:rsid w:val="003072D4"/>
    <w:rsid w:val="00307313"/>
    <w:rsid w:val="0030733E"/>
    <w:rsid w:val="00307374"/>
    <w:rsid w:val="003073A9"/>
    <w:rsid w:val="0030757F"/>
    <w:rsid w:val="003075A2"/>
    <w:rsid w:val="003075B3"/>
    <w:rsid w:val="003075B6"/>
    <w:rsid w:val="003076FE"/>
    <w:rsid w:val="00307745"/>
    <w:rsid w:val="00307781"/>
    <w:rsid w:val="0030781F"/>
    <w:rsid w:val="00307895"/>
    <w:rsid w:val="0030791F"/>
    <w:rsid w:val="0030792C"/>
    <w:rsid w:val="003079FB"/>
    <w:rsid w:val="00307A1B"/>
    <w:rsid w:val="00307A51"/>
    <w:rsid w:val="00307A5A"/>
    <w:rsid w:val="00307A85"/>
    <w:rsid w:val="00307AB4"/>
    <w:rsid w:val="00307AB8"/>
    <w:rsid w:val="00307ACF"/>
    <w:rsid w:val="00307B2E"/>
    <w:rsid w:val="00307B40"/>
    <w:rsid w:val="00307BAF"/>
    <w:rsid w:val="00307C1D"/>
    <w:rsid w:val="00307C62"/>
    <w:rsid w:val="00307CC8"/>
    <w:rsid w:val="00307CFB"/>
    <w:rsid w:val="00310037"/>
    <w:rsid w:val="00310070"/>
    <w:rsid w:val="003100A2"/>
    <w:rsid w:val="003100D6"/>
    <w:rsid w:val="00310107"/>
    <w:rsid w:val="0031010F"/>
    <w:rsid w:val="00310126"/>
    <w:rsid w:val="00310142"/>
    <w:rsid w:val="0031018A"/>
    <w:rsid w:val="00310199"/>
    <w:rsid w:val="003101BB"/>
    <w:rsid w:val="003101DA"/>
    <w:rsid w:val="0031027D"/>
    <w:rsid w:val="0031028E"/>
    <w:rsid w:val="003102A0"/>
    <w:rsid w:val="003102C1"/>
    <w:rsid w:val="003102DF"/>
    <w:rsid w:val="003103DC"/>
    <w:rsid w:val="003103E0"/>
    <w:rsid w:val="003103FD"/>
    <w:rsid w:val="003104EB"/>
    <w:rsid w:val="00310526"/>
    <w:rsid w:val="00310573"/>
    <w:rsid w:val="003105FD"/>
    <w:rsid w:val="00310609"/>
    <w:rsid w:val="003106EB"/>
    <w:rsid w:val="0031070E"/>
    <w:rsid w:val="00310729"/>
    <w:rsid w:val="00310763"/>
    <w:rsid w:val="00310941"/>
    <w:rsid w:val="003109CA"/>
    <w:rsid w:val="003109F0"/>
    <w:rsid w:val="00310A2A"/>
    <w:rsid w:val="00310AC6"/>
    <w:rsid w:val="00310BB6"/>
    <w:rsid w:val="00310D5D"/>
    <w:rsid w:val="00310DD6"/>
    <w:rsid w:val="00310DE6"/>
    <w:rsid w:val="00310E08"/>
    <w:rsid w:val="00310E49"/>
    <w:rsid w:val="00310E5A"/>
    <w:rsid w:val="00310EB5"/>
    <w:rsid w:val="00310F36"/>
    <w:rsid w:val="00310F5C"/>
    <w:rsid w:val="00310F6D"/>
    <w:rsid w:val="00310F98"/>
    <w:rsid w:val="00310FC4"/>
    <w:rsid w:val="00310FC7"/>
    <w:rsid w:val="00310FD8"/>
    <w:rsid w:val="00311036"/>
    <w:rsid w:val="0031105A"/>
    <w:rsid w:val="003110A7"/>
    <w:rsid w:val="00311197"/>
    <w:rsid w:val="003111D6"/>
    <w:rsid w:val="00311209"/>
    <w:rsid w:val="0031120E"/>
    <w:rsid w:val="00311238"/>
    <w:rsid w:val="00311297"/>
    <w:rsid w:val="003112A4"/>
    <w:rsid w:val="003112AD"/>
    <w:rsid w:val="003112BB"/>
    <w:rsid w:val="003112E1"/>
    <w:rsid w:val="00311344"/>
    <w:rsid w:val="0031152C"/>
    <w:rsid w:val="003115D8"/>
    <w:rsid w:val="0031167E"/>
    <w:rsid w:val="003116C5"/>
    <w:rsid w:val="003116D9"/>
    <w:rsid w:val="003116E2"/>
    <w:rsid w:val="0031172D"/>
    <w:rsid w:val="0031174E"/>
    <w:rsid w:val="00311786"/>
    <w:rsid w:val="003117DB"/>
    <w:rsid w:val="0031180A"/>
    <w:rsid w:val="00311868"/>
    <w:rsid w:val="003118DE"/>
    <w:rsid w:val="00311948"/>
    <w:rsid w:val="00311988"/>
    <w:rsid w:val="00311A2A"/>
    <w:rsid w:val="00311A6F"/>
    <w:rsid w:val="00311A9C"/>
    <w:rsid w:val="00311AD3"/>
    <w:rsid w:val="00311ADD"/>
    <w:rsid w:val="00311B02"/>
    <w:rsid w:val="00311B2F"/>
    <w:rsid w:val="00311B58"/>
    <w:rsid w:val="00311BF6"/>
    <w:rsid w:val="00311CFF"/>
    <w:rsid w:val="00311D2A"/>
    <w:rsid w:val="00311DBB"/>
    <w:rsid w:val="00311DD4"/>
    <w:rsid w:val="00311E40"/>
    <w:rsid w:val="00311E92"/>
    <w:rsid w:val="00311EAA"/>
    <w:rsid w:val="00311F11"/>
    <w:rsid w:val="00311F33"/>
    <w:rsid w:val="00311FF6"/>
    <w:rsid w:val="00312073"/>
    <w:rsid w:val="00312082"/>
    <w:rsid w:val="0031218A"/>
    <w:rsid w:val="00312195"/>
    <w:rsid w:val="0031227D"/>
    <w:rsid w:val="003122B4"/>
    <w:rsid w:val="003122D3"/>
    <w:rsid w:val="0031238D"/>
    <w:rsid w:val="003123DF"/>
    <w:rsid w:val="00312405"/>
    <w:rsid w:val="00312497"/>
    <w:rsid w:val="003124A3"/>
    <w:rsid w:val="003124DE"/>
    <w:rsid w:val="00312547"/>
    <w:rsid w:val="00312578"/>
    <w:rsid w:val="00312594"/>
    <w:rsid w:val="003125AA"/>
    <w:rsid w:val="003125B4"/>
    <w:rsid w:val="003125F7"/>
    <w:rsid w:val="0031265D"/>
    <w:rsid w:val="00312680"/>
    <w:rsid w:val="00312698"/>
    <w:rsid w:val="003126E9"/>
    <w:rsid w:val="00312723"/>
    <w:rsid w:val="00312751"/>
    <w:rsid w:val="003127EB"/>
    <w:rsid w:val="003127ED"/>
    <w:rsid w:val="00312812"/>
    <w:rsid w:val="0031284D"/>
    <w:rsid w:val="00312860"/>
    <w:rsid w:val="00312888"/>
    <w:rsid w:val="003129A2"/>
    <w:rsid w:val="00312A33"/>
    <w:rsid w:val="00312AAE"/>
    <w:rsid w:val="00312AEE"/>
    <w:rsid w:val="00312B3E"/>
    <w:rsid w:val="00312BE4"/>
    <w:rsid w:val="00312D26"/>
    <w:rsid w:val="00312D99"/>
    <w:rsid w:val="00312DE7"/>
    <w:rsid w:val="00312E27"/>
    <w:rsid w:val="00312E78"/>
    <w:rsid w:val="00312E88"/>
    <w:rsid w:val="00312EA6"/>
    <w:rsid w:val="00312F79"/>
    <w:rsid w:val="00313006"/>
    <w:rsid w:val="0031301D"/>
    <w:rsid w:val="0031305A"/>
    <w:rsid w:val="00313108"/>
    <w:rsid w:val="003131A5"/>
    <w:rsid w:val="00313239"/>
    <w:rsid w:val="00313318"/>
    <w:rsid w:val="0031338C"/>
    <w:rsid w:val="00313439"/>
    <w:rsid w:val="00313457"/>
    <w:rsid w:val="00313472"/>
    <w:rsid w:val="00313493"/>
    <w:rsid w:val="003134D1"/>
    <w:rsid w:val="003134E2"/>
    <w:rsid w:val="00313500"/>
    <w:rsid w:val="00313554"/>
    <w:rsid w:val="003135A1"/>
    <w:rsid w:val="003135A4"/>
    <w:rsid w:val="003135E0"/>
    <w:rsid w:val="00313643"/>
    <w:rsid w:val="0031365E"/>
    <w:rsid w:val="003136C5"/>
    <w:rsid w:val="003136CF"/>
    <w:rsid w:val="003136FB"/>
    <w:rsid w:val="00313727"/>
    <w:rsid w:val="00313788"/>
    <w:rsid w:val="00313809"/>
    <w:rsid w:val="0031388D"/>
    <w:rsid w:val="003138F1"/>
    <w:rsid w:val="00313922"/>
    <w:rsid w:val="00313942"/>
    <w:rsid w:val="00313997"/>
    <w:rsid w:val="003139D4"/>
    <w:rsid w:val="003139E3"/>
    <w:rsid w:val="00313AA5"/>
    <w:rsid w:val="00313B07"/>
    <w:rsid w:val="00313BE4"/>
    <w:rsid w:val="00313CE6"/>
    <w:rsid w:val="00313E08"/>
    <w:rsid w:val="00313E23"/>
    <w:rsid w:val="00313E9B"/>
    <w:rsid w:val="00313EC0"/>
    <w:rsid w:val="00313F17"/>
    <w:rsid w:val="00313F1A"/>
    <w:rsid w:val="00313F1C"/>
    <w:rsid w:val="00313F25"/>
    <w:rsid w:val="00313F83"/>
    <w:rsid w:val="00313F8B"/>
    <w:rsid w:val="00313FA1"/>
    <w:rsid w:val="003140C6"/>
    <w:rsid w:val="00314109"/>
    <w:rsid w:val="00314117"/>
    <w:rsid w:val="0031411F"/>
    <w:rsid w:val="0031414B"/>
    <w:rsid w:val="0031416D"/>
    <w:rsid w:val="00314193"/>
    <w:rsid w:val="0031419B"/>
    <w:rsid w:val="003141F6"/>
    <w:rsid w:val="00314317"/>
    <w:rsid w:val="0031434A"/>
    <w:rsid w:val="00314390"/>
    <w:rsid w:val="003143B8"/>
    <w:rsid w:val="0031441B"/>
    <w:rsid w:val="00314436"/>
    <w:rsid w:val="0031445A"/>
    <w:rsid w:val="00314542"/>
    <w:rsid w:val="0031457D"/>
    <w:rsid w:val="003145A5"/>
    <w:rsid w:val="003145DD"/>
    <w:rsid w:val="003146BB"/>
    <w:rsid w:val="003146E9"/>
    <w:rsid w:val="003146F3"/>
    <w:rsid w:val="0031488F"/>
    <w:rsid w:val="003148F4"/>
    <w:rsid w:val="003149F4"/>
    <w:rsid w:val="003149F6"/>
    <w:rsid w:val="00314A05"/>
    <w:rsid w:val="00314ACA"/>
    <w:rsid w:val="00314B80"/>
    <w:rsid w:val="00314C11"/>
    <w:rsid w:val="00314CCA"/>
    <w:rsid w:val="00314D24"/>
    <w:rsid w:val="00314D65"/>
    <w:rsid w:val="00314E31"/>
    <w:rsid w:val="00314E9D"/>
    <w:rsid w:val="00314EA0"/>
    <w:rsid w:val="00314EF7"/>
    <w:rsid w:val="00314F32"/>
    <w:rsid w:val="00315040"/>
    <w:rsid w:val="00315073"/>
    <w:rsid w:val="00315079"/>
    <w:rsid w:val="003150E9"/>
    <w:rsid w:val="00315118"/>
    <w:rsid w:val="0031512E"/>
    <w:rsid w:val="003151D0"/>
    <w:rsid w:val="003151D4"/>
    <w:rsid w:val="00315276"/>
    <w:rsid w:val="00315292"/>
    <w:rsid w:val="003152DB"/>
    <w:rsid w:val="003152E4"/>
    <w:rsid w:val="00315365"/>
    <w:rsid w:val="003153B3"/>
    <w:rsid w:val="003153B9"/>
    <w:rsid w:val="00315440"/>
    <w:rsid w:val="00315458"/>
    <w:rsid w:val="0031545A"/>
    <w:rsid w:val="00315484"/>
    <w:rsid w:val="003154C3"/>
    <w:rsid w:val="00315592"/>
    <w:rsid w:val="003156F0"/>
    <w:rsid w:val="00315776"/>
    <w:rsid w:val="00315787"/>
    <w:rsid w:val="0031578C"/>
    <w:rsid w:val="00315840"/>
    <w:rsid w:val="003158C6"/>
    <w:rsid w:val="003158E1"/>
    <w:rsid w:val="0031590F"/>
    <w:rsid w:val="003159CB"/>
    <w:rsid w:val="003159E4"/>
    <w:rsid w:val="003159EB"/>
    <w:rsid w:val="00315A4E"/>
    <w:rsid w:val="00315A55"/>
    <w:rsid w:val="00315A7E"/>
    <w:rsid w:val="00315B82"/>
    <w:rsid w:val="00315C1D"/>
    <w:rsid w:val="00315C3D"/>
    <w:rsid w:val="00315CAF"/>
    <w:rsid w:val="00315CB7"/>
    <w:rsid w:val="00315CDB"/>
    <w:rsid w:val="00315D13"/>
    <w:rsid w:val="00315D4B"/>
    <w:rsid w:val="00315DF8"/>
    <w:rsid w:val="00315E15"/>
    <w:rsid w:val="00315E1A"/>
    <w:rsid w:val="00315E22"/>
    <w:rsid w:val="00315E9A"/>
    <w:rsid w:val="00315EA8"/>
    <w:rsid w:val="00315F36"/>
    <w:rsid w:val="00315FDA"/>
    <w:rsid w:val="0031609E"/>
    <w:rsid w:val="003161A2"/>
    <w:rsid w:val="003161C5"/>
    <w:rsid w:val="00316207"/>
    <w:rsid w:val="00316276"/>
    <w:rsid w:val="00316298"/>
    <w:rsid w:val="003162E0"/>
    <w:rsid w:val="0031630B"/>
    <w:rsid w:val="00316356"/>
    <w:rsid w:val="0031637C"/>
    <w:rsid w:val="003163DB"/>
    <w:rsid w:val="0031651D"/>
    <w:rsid w:val="003165C6"/>
    <w:rsid w:val="003165D5"/>
    <w:rsid w:val="0031668B"/>
    <w:rsid w:val="003166B7"/>
    <w:rsid w:val="003166DA"/>
    <w:rsid w:val="003166EF"/>
    <w:rsid w:val="003166FD"/>
    <w:rsid w:val="00316718"/>
    <w:rsid w:val="003167BA"/>
    <w:rsid w:val="003167EE"/>
    <w:rsid w:val="0031680F"/>
    <w:rsid w:val="00316815"/>
    <w:rsid w:val="003168ED"/>
    <w:rsid w:val="003168F4"/>
    <w:rsid w:val="003169CD"/>
    <w:rsid w:val="003169CE"/>
    <w:rsid w:val="003169D7"/>
    <w:rsid w:val="003169E9"/>
    <w:rsid w:val="00316A12"/>
    <w:rsid w:val="00316A58"/>
    <w:rsid w:val="00316A6B"/>
    <w:rsid w:val="00316A83"/>
    <w:rsid w:val="00316A9B"/>
    <w:rsid w:val="00316B29"/>
    <w:rsid w:val="00316B64"/>
    <w:rsid w:val="00316BA9"/>
    <w:rsid w:val="00316D45"/>
    <w:rsid w:val="00316D54"/>
    <w:rsid w:val="00316DF0"/>
    <w:rsid w:val="00316ECE"/>
    <w:rsid w:val="00316F0A"/>
    <w:rsid w:val="00316F3F"/>
    <w:rsid w:val="00316F5D"/>
    <w:rsid w:val="00316F8D"/>
    <w:rsid w:val="00317018"/>
    <w:rsid w:val="00317064"/>
    <w:rsid w:val="00317081"/>
    <w:rsid w:val="00317096"/>
    <w:rsid w:val="003170B3"/>
    <w:rsid w:val="003170BA"/>
    <w:rsid w:val="00317154"/>
    <w:rsid w:val="00317267"/>
    <w:rsid w:val="003172D5"/>
    <w:rsid w:val="003172E7"/>
    <w:rsid w:val="003172FD"/>
    <w:rsid w:val="0031730B"/>
    <w:rsid w:val="00317324"/>
    <w:rsid w:val="00317352"/>
    <w:rsid w:val="0031738F"/>
    <w:rsid w:val="003173A9"/>
    <w:rsid w:val="003173DE"/>
    <w:rsid w:val="003173E6"/>
    <w:rsid w:val="00317437"/>
    <w:rsid w:val="0031749E"/>
    <w:rsid w:val="003174EB"/>
    <w:rsid w:val="003174F1"/>
    <w:rsid w:val="00317529"/>
    <w:rsid w:val="00317582"/>
    <w:rsid w:val="00317593"/>
    <w:rsid w:val="003175B9"/>
    <w:rsid w:val="003175D0"/>
    <w:rsid w:val="003175D1"/>
    <w:rsid w:val="00317656"/>
    <w:rsid w:val="0031770B"/>
    <w:rsid w:val="00317745"/>
    <w:rsid w:val="00317790"/>
    <w:rsid w:val="0031779D"/>
    <w:rsid w:val="003177E1"/>
    <w:rsid w:val="00317800"/>
    <w:rsid w:val="0031785B"/>
    <w:rsid w:val="00317906"/>
    <w:rsid w:val="0031795E"/>
    <w:rsid w:val="00317A21"/>
    <w:rsid w:val="00317A2A"/>
    <w:rsid w:val="00317A6A"/>
    <w:rsid w:val="00317AA3"/>
    <w:rsid w:val="00317AEF"/>
    <w:rsid w:val="00317B10"/>
    <w:rsid w:val="00317B2C"/>
    <w:rsid w:val="00317B31"/>
    <w:rsid w:val="00317BB8"/>
    <w:rsid w:val="00317BEB"/>
    <w:rsid w:val="00317CC8"/>
    <w:rsid w:val="00317CD3"/>
    <w:rsid w:val="00317D45"/>
    <w:rsid w:val="00317D74"/>
    <w:rsid w:val="00317D7A"/>
    <w:rsid w:val="00317E74"/>
    <w:rsid w:val="00320122"/>
    <w:rsid w:val="0032015E"/>
    <w:rsid w:val="00320184"/>
    <w:rsid w:val="00320201"/>
    <w:rsid w:val="003202A2"/>
    <w:rsid w:val="003202A3"/>
    <w:rsid w:val="003202E0"/>
    <w:rsid w:val="003202EC"/>
    <w:rsid w:val="0032034E"/>
    <w:rsid w:val="00320383"/>
    <w:rsid w:val="00320386"/>
    <w:rsid w:val="003203CC"/>
    <w:rsid w:val="003203E7"/>
    <w:rsid w:val="0032042F"/>
    <w:rsid w:val="00320448"/>
    <w:rsid w:val="00320468"/>
    <w:rsid w:val="00320472"/>
    <w:rsid w:val="00320517"/>
    <w:rsid w:val="0032054F"/>
    <w:rsid w:val="0032062E"/>
    <w:rsid w:val="00320662"/>
    <w:rsid w:val="003206B8"/>
    <w:rsid w:val="003206C2"/>
    <w:rsid w:val="00320710"/>
    <w:rsid w:val="003208E0"/>
    <w:rsid w:val="0032092F"/>
    <w:rsid w:val="003209B9"/>
    <w:rsid w:val="003209F9"/>
    <w:rsid w:val="00320A2A"/>
    <w:rsid w:val="00320A36"/>
    <w:rsid w:val="00320A49"/>
    <w:rsid w:val="00320A62"/>
    <w:rsid w:val="00320AC6"/>
    <w:rsid w:val="00320B6C"/>
    <w:rsid w:val="00320B7D"/>
    <w:rsid w:val="00320B8D"/>
    <w:rsid w:val="00320B98"/>
    <w:rsid w:val="00320BDB"/>
    <w:rsid w:val="00320C02"/>
    <w:rsid w:val="00320C08"/>
    <w:rsid w:val="00320C16"/>
    <w:rsid w:val="00320C2F"/>
    <w:rsid w:val="00320D1A"/>
    <w:rsid w:val="00320D45"/>
    <w:rsid w:val="00320D54"/>
    <w:rsid w:val="00320D70"/>
    <w:rsid w:val="00320DE5"/>
    <w:rsid w:val="00320E35"/>
    <w:rsid w:val="00320E70"/>
    <w:rsid w:val="00320EB9"/>
    <w:rsid w:val="00320EEC"/>
    <w:rsid w:val="00320F86"/>
    <w:rsid w:val="00320FA8"/>
    <w:rsid w:val="00320FC4"/>
    <w:rsid w:val="0032100B"/>
    <w:rsid w:val="00321017"/>
    <w:rsid w:val="0032101A"/>
    <w:rsid w:val="00321022"/>
    <w:rsid w:val="0032102C"/>
    <w:rsid w:val="0032114B"/>
    <w:rsid w:val="0032119D"/>
    <w:rsid w:val="003211AB"/>
    <w:rsid w:val="003211B1"/>
    <w:rsid w:val="0032130F"/>
    <w:rsid w:val="00321333"/>
    <w:rsid w:val="00321399"/>
    <w:rsid w:val="003213DF"/>
    <w:rsid w:val="00321429"/>
    <w:rsid w:val="0032143A"/>
    <w:rsid w:val="003214B6"/>
    <w:rsid w:val="003216BD"/>
    <w:rsid w:val="003216EB"/>
    <w:rsid w:val="003217DF"/>
    <w:rsid w:val="0032181A"/>
    <w:rsid w:val="00321833"/>
    <w:rsid w:val="003218AA"/>
    <w:rsid w:val="00321964"/>
    <w:rsid w:val="0032199B"/>
    <w:rsid w:val="003219CD"/>
    <w:rsid w:val="00321A13"/>
    <w:rsid w:val="00321A37"/>
    <w:rsid w:val="00321A66"/>
    <w:rsid w:val="00321B60"/>
    <w:rsid w:val="00321B92"/>
    <w:rsid w:val="00321C01"/>
    <w:rsid w:val="00321CCC"/>
    <w:rsid w:val="00321D26"/>
    <w:rsid w:val="00321D37"/>
    <w:rsid w:val="00321DDC"/>
    <w:rsid w:val="00321E21"/>
    <w:rsid w:val="00321E44"/>
    <w:rsid w:val="00321E95"/>
    <w:rsid w:val="00321F4E"/>
    <w:rsid w:val="00321FBC"/>
    <w:rsid w:val="0032201E"/>
    <w:rsid w:val="00322053"/>
    <w:rsid w:val="003220B8"/>
    <w:rsid w:val="003220E9"/>
    <w:rsid w:val="003222A0"/>
    <w:rsid w:val="003223EF"/>
    <w:rsid w:val="003223F2"/>
    <w:rsid w:val="0032252D"/>
    <w:rsid w:val="00322614"/>
    <w:rsid w:val="0032268A"/>
    <w:rsid w:val="003226DA"/>
    <w:rsid w:val="00322717"/>
    <w:rsid w:val="00322812"/>
    <w:rsid w:val="0032282F"/>
    <w:rsid w:val="00322864"/>
    <w:rsid w:val="0032288F"/>
    <w:rsid w:val="00322892"/>
    <w:rsid w:val="00322956"/>
    <w:rsid w:val="00322998"/>
    <w:rsid w:val="003229A5"/>
    <w:rsid w:val="003229A7"/>
    <w:rsid w:val="003229EC"/>
    <w:rsid w:val="003229FA"/>
    <w:rsid w:val="00322A5F"/>
    <w:rsid w:val="00322A77"/>
    <w:rsid w:val="00322A88"/>
    <w:rsid w:val="00322ACE"/>
    <w:rsid w:val="00322B4A"/>
    <w:rsid w:val="00322C06"/>
    <w:rsid w:val="00322C79"/>
    <w:rsid w:val="00322CC6"/>
    <w:rsid w:val="00322D06"/>
    <w:rsid w:val="00322D0F"/>
    <w:rsid w:val="00322D57"/>
    <w:rsid w:val="00322DDA"/>
    <w:rsid w:val="00322E20"/>
    <w:rsid w:val="00322E77"/>
    <w:rsid w:val="00322E7B"/>
    <w:rsid w:val="00322F30"/>
    <w:rsid w:val="00322F91"/>
    <w:rsid w:val="00322FD3"/>
    <w:rsid w:val="00323017"/>
    <w:rsid w:val="0032306A"/>
    <w:rsid w:val="00323083"/>
    <w:rsid w:val="003230F4"/>
    <w:rsid w:val="0032317E"/>
    <w:rsid w:val="0032323D"/>
    <w:rsid w:val="0032323E"/>
    <w:rsid w:val="00323268"/>
    <w:rsid w:val="003232AA"/>
    <w:rsid w:val="003232C9"/>
    <w:rsid w:val="00323356"/>
    <w:rsid w:val="0032336B"/>
    <w:rsid w:val="0032338E"/>
    <w:rsid w:val="003233FB"/>
    <w:rsid w:val="003234DB"/>
    <w:rsid w:val="0032350A"/>
    <w:rsid w:val="00323539"/>
    <w:rsid w:val="00323727"/>
    <w:rsid w:val="00323773"/>
    <w:rsid w:val="003237D5"/>
    <w:rsid w:val="003237F0"/>
    <w:rsid w:val="00323876"/>
    <w:rsid w:val="00323893"/>
    <w:rsid w:val="0032389C"/>
    <w:rsid w:val="0032393A"/>
    <w:rsid w:val="0032396F"/>
    <w:rsid w:val="003239C9"/>
    <w:rsid w:val="003239CA"/>
    <w:rsid w:val="00323A37"/>
    <w:rsid w:val="00323B7C"/>
    <w:rsid w:val="00323BD3"/>
    <w:rsid w:val="00323BFB"/>
    <w:rsid w:val="00323CBC"/>
    <w:rsid w:val="00323DAA"/>
    <w:rsid w:val="00323DAF"/>
    <w:rsid w:val="00323E1C"/>
    <w:rsid w:val="00323E90"/>
    <w:rsid w:val="00323EE8"/>
    <w:rsid w:val="00323EF0"/>
    <w:rsid w:val="00323EF3"/>
    <w:rsid w:val="00323F0C"/>
    <w:rsid w:val="00323FDE"/>
    <w:rsid w:val="00324082"/>
    <w:rsid w:val="003240AE"/>
    <w:rsid w:val="003240C8"/>
    <w:rsid w:val="0032411E"/>
    <w:rsid w:val="0032415C"/>
    <w:rsid w:val="003241D1"/>
    <w:rsid w:val="00324201"/>
    <w:rsid w:val="0032421D"/>
    <w:rsid w:val="00324220"/>
    <w:rsid w:val="0032424A"/>
    <w:rsid w:val="00324267"/>
    <w:rsid w:val="0032427D"/>
    <w:rsid w:val="003242FF"/>
    <w:rsid w:val="00324371"/>
    <w:rsid w:val="00324379"/>
    <w:rsid w:val="003243EF"/>
    <w:rsid w:val="0032445D"/>
    <w:rsid w:val="00324512"/>
    <w:rsid w:val="00324516"/>
    <w:rsid w:val="0032458B"/>
    <w:rsid w:val="003245AA"/>
    <w:rsid w:val="003246F9"/>
    <w:rsid w:val="00324710"/>
    <w:rsid w:val="0032471A"/>
    <w:rsid w:val="00324751"/>
    <w:rsid w:val="00324753"/>
    <w:rsid w:val="0032487F"/>
    <w:rsid w:val="0032488C"/>
    <w:rsid w:val="0032493F"/>
    <w:rsid w:val="00324945"/>
    <w:rsid w:val="003249B8"/>
    <w:rsid w:val="00324A2B"/>
    <w:rsid w:val="00324AB7"/>
    <w:rsid w:val="00324B27"/>
    <w:rsid w:val="00324B77"/>
    <w:rsid w:val="00324B7D"/>
    <w:rsid w:val="00324C57"/>
    <w:rsid w:val="00324CD5"/>
    <w:rsid w:val="00324CFF"/>
    <w:rsid w:val="00324D64"/>
    <w:rsid w:val="00324D7A"/>
    <w:rsid w:val="00324D84"/>
    <w:rsid w:val="00324E1A"/>
    <w:rsid w:val="00324EA4"/>
    <w:rsid w:val="00324F3B"/>
    <w:rsid w:val="00324F52"/>
    <w:rsid w:val="00324F8F"/>
    <w:rsid w:val="00324FE8"/>
    <w:rsid w:val="00324FF6"/>
    <w:rsid w:val="00324FFC"/>
    <w:rsid w:val="00324FFF"/>
    <w:rsid w:val="00325027"/>
    <w:rsid w:val="0032503F"/>
    <w:rsid w:val="00325042"/>
    <w:rsid w:val="00325086"/>
    <w:rsid w:val="003250E6"/>
    <w:rsid w:val="003251A9"/>
    <w:rsid w:val="00325245"/>
    <w:rsid w:val="00325253"/>
    <w:rsid w:val="0032527C"/>
    <w:rsid w:val="003252AC"/>
    <w:rsid w:val="0032536F"/>
    <w:rsid w:val="00325384"/>
    <w:rsid w:val="003253F6"/>
    <w:rsid w:val="00325435"/>
    <w:rsid w:val="00325477"/>
    <w:rsid w:val="00325541"/>
    <w:rsid w:val="00325681"/>
    <w:rsid w:val="00325694"/>
    <w:rsid w:val="003256AD"/>
    <w:rsid w:val="0032577E"/>
    <w:rsid w:val="003258DD"/>
    <w:rsid w:val="00325933"/>
    <w:rsid w:val="00325B0F"/>
    <w:rsid w:val="00325B76"/>
    <w:rsid w:val="00325B97"/>
    <w:rsid w:val="00325BC5"/>
    <w:rsid w:val="00325BF5"/>
    <w:rsid w:val="00325C17"/>
    <w:rsid w:val="00325C7B"/>
    <w:rsid w:val="00325C8E"/>
    <w:rsid w:val="00325CCA"/>
    <w:rsid w:val="00325DD1"/>
    <w:rsid w:val="00325E0C"/>
    <w:rsid w:val="00325E29"/>
    <w:rsid w:val="00325E60"/>
    <w:rsid w:val="00325EE6"/>
    <w:rsid w:val="00325EE9"/>
    <w:rsid w:val="00325F1E"/>
    <w:rsid w:val="00325F6B"/>
    <w:rsid w:val="00325F6C"/>
    <w:rsid w:val="00325F81"/>
    <w:rsid w:val="00325FA8"/>
    <w:rsid w:val="00325FBB"/>
    <w:rsid w:val="00325FDC"/>
    <w:rsid w:val="00325FFD"/>
    <w:rsid w:val="003260D0"/>
    <w:rsid w:val="003260DB"/>
    <w:rsid w:val="0032610C"/>
    <w:rsid w:val="0032612A"/>
    <w:rsid w:val="00326185"/>
    <w:rsid w:val="00326191"/>
    <w:rsid w:val="00326296"/>
    <w:rsid w:val="00326386"/>
    <w:rsid w:val="0032639B"/>
    <w:rsid w:val="003263CE"/>
    <w:rsid w:val="00326422"/>
    <w:rsid w:val="00326454"/>
    <w:rsid w:val="0032655D"/>
    <w:rsid w:val="00326575"/>
    <w:rsid w:val="003265E8"/>
    <w:rsid w:val="00326634"/>
    <w:rsid w:val="00326689"/>
    <w:rsid w:val="003266F0"/>
    <w:rsid w:val="00326740"/>
    <w:rsid w:val="0032675D"/>
    <w:rsid w:val="0032681A"/>
    <w:rsid w:val="003268B8"/>
    <w:rsid w:val="003268E7"/>
    <w:rsid w:val="00326904"/>
    <w:rsid w:val="00326976"/>
    <w:rsid w:val="003269C8"/>
    <w:rsid w:val="00326A0B"/>
    <w:rsid w:val="00326A12"/>
    <w:rsid w:val="00326B07"/>
    <w:rsid w:val="00326B56"/>
    <w:rsid w:val="00326BF8"/>
    <w:rsid w:val="00326C60"/>
    <w:rsid w:val="00326C64"/>
    <w:rsid w:val="00326C80"/>
    <w:rsid w:val="00326CD1"/>
    <w:rsid w:val="00326DA2"/>
    <w:rsid w:val="00326E32"/>
    <w:rsid w:val="00326ED8"/>
    <w:rsid w:val="00326F35"/>
    <w:rsid w:val="00327033"/>
    <w:rsid w:val="0032709D"/>
    <w:rsid w:val="0032719B"/>
    <w:rsid w:val="003271E2"/>
    <w:rsid w:val="003271E9"/>
    <w:rsid w:val="00327216"/>
    <w:rsid w:val="0032732E"/>
    <w:rsid w:val="00327367"/>
    <w:rsid w:val="0032736A"/>
    <w:rsid w:val="003273AA"/>
    <w:rsid w:val="003273C0"/>
    <w:rsid w:val="003273CA"/>
    <w:rsid w:val="003273F1"/>
    <w:rsid w:val="00327444"/>
    <w:rsid w:val="003274E4"/>
    <w:rsid w:val="003274F9"/>
    <w:rsid w:val="0032754A"/>
    <w:rsid w:val="0032754D"/>
    <w:rsid w:val="00327583"/>
    <w:rsid w:val="003275CB"/>
    <w:rsid w:val="003276DC"/>
    <w:rsid w:val="003276EA"/>
    <w:rsid w:val="00327766"/>
    <w:rsid w:val="0032781F"/>
    <w:rsid w:val="0032792B"/>
    <w:rsid w:val="003279A2"/>
    <w:rsid w:val="003279D9"/>
    <w:rsid w:val="00327A44"/>
    <w:rsid w:val="00327A5A"/>
    <w:rsid w:val="00327AF9"/>
    <w:rsid w:val="00327B8F"/>
    <w:rsid w:val="00327B9E"/>
    <w:rsid w:val="00327BC7"/>
    <w:rsid w:val="00327C52"/>
    <w:rsid w:val="00327C9C"/>
    <w:rsid w:val="00327D0E"/>
    <w:rsid w:val="00327DD9"/>
    <w:rsid w:val="00327E49"/>
    <w:rsid w:val="00327E58"/>
    <w:rsid w:val="00327E97"/>
    <w:rsid w:val="0033002C"/>
    <w:rsid w:val="00330066"/>
    <w:rsid w:val="0033011C"/>
    <w:rsid w:val="003301C2"/>
    <w:rsid w:val="003301CD"/>
    <w:rsid w:val="0033029E"/>
    <w:rsid w:val="003302A6"/>
    <w:rsid w:val="003302E6"/>
    <w:rsid w:val="00330339"/>
    <w:rsid w:val="00330374"/>
    <w:rsid w:val="00330393"/>
    <w:rsid w:val="003303A4"/>
    <w:rsid w:val="003303DE"/>
    <w:rsid w:val="00330496"/>
    <w:rsid w:val="00330555"/>
    <w:rsid w:val="0033059C"/>
    <w:rsid w:val="003305D8"/>
    <w:rsid w:val="0033064A"/>
    <w:rsid w:val="0033064D"/>
    <w:rsid w:val="00330656"/>
    <w:rsid w:val="0033066C"/>
    <w:rsid w:val="003306BC"/>
    <w:rsid w:val="003306EC"/>
    <w:rsid w:val="003306F0"/>
    <w:rsid w:val="003307DF"/>
    <w:rsid w:val="00330835"/>
    <w:rsid w:val="0033086E"/>
    <w:rsid w:val="003308A9"/>
    <w:rsid w:val="0033096C"/>
    <w:rsid w:val="00330972"/>
    <w:rsid w:val="00330983"/>
    <w:rsid w:val="00330997"/>
    <w:rsid w:val="003309CA"/>
    <w:rsid w:val="00330A11"/>
    <w:rsid w:val="00330A21"/>
    <w:rsid w:val="00330A6E"/>
    <w:rsid w:val="00330A76"/>
    <w:rsid w:val="00330AB3"/>
    <w:rsid w:val="00330B28"/>
    <w:rsid w:val="00330B4D"/>
    <w:rsid w:val="00330C5C"/>
    <w:rsid w:val="00330CAF"/>
    <w:rsid w:val="00330D43"/>
    <w:rsid w:val="00330D46"/>
    <w:rsid w:val="00330D66"/>
    <w:rsid w:val="00330D86"/>
    <w:rsid w:val="00330D9E"/>
    <w:rsid w:val="00330DC4"/>
    <w:rsid w:val="00330DDC"/>
    <w:rsid w:val="00330E7B"/>
    <w:rsid w:val="00330EC3"/>
    <w:rsid w:val="00330F08"/>
    <w:rsid w:val="00330F17"/>
    <w:rsid w:val="00330F3E"/>
    <w:rsid w:val="00330F42"/>
    <w:rsid w:val="00330F64"/>
    <w:rsid w:val="00330F6E"/>
    <w:rsid w:val="00330FC6"/>
    <w:rsid w:val="00331003"/>
    <w:rsid w:val="00331025"/>
    <w:rsid w:val="00331048"/>
    <w:rsid w:val="003310AE"/>
    <w:rsid w:val="00331130"/>
    <w:rsid w:val="0033116B"/>
    <w:rsid w:val="00331185"/>
    <w:rsid w:val="00331216"/>
    <w:rsid w:val="00331284"/>
    <w:rsid w:val="003312CA"/>
    <w:rsid w:val="00331302"/>
    <w:rsid w:val="003313C8"/>
    <w:rsid w:val="003314CD"/>
    <w:rsid w:val="003314D8"/>
    <w:rsid w:val="00331531"/>
    <w:rsid w:val="003315F2"/>
    <w:rsid w:val="0033164C"/>
    <w:rsid w:val="0033166C"/>
    <w:rsid w:val="00331705"/>
    <w:rsid w:val="0033170C"/>
    <w:rsid w:val="00331745"/>
    <w:rsid w:val="00331749"/>
    <w:rsid w:val="00331782"/>
    <w:rsid w:val="003317BB"/>
    <w:rsid w:val="003317DE"/>
    <w:rsid w:val="003318BD"/>
    <w:rsid w:val="0033197E"/>
    <w:rsid w:val="00331997"/>
    <w:rsid w:val="00331A61"/>
    <w:rsid w:val="00331B07"/>
    <w:rsid w:val="00331B4B"/>
    <w:rsid w:val="00331B51"/>
    <w:rsid w:val="00331B6A"/>
    <w:rsid w:val="00331B8D"/>
    <w:rsid w:val="00331C1B"/>
    <w:rsid w:val="00331C37"/>
    <w:rsid w:val="00331CEA"/>
    <w:rsid w:val="00331D32"/>
    <w:rsid w:val="00331D67"/>
    <w:rsid w:val="00331E0E"/>
    <w:rsid w:val="00331E27"/>
    <w:rsid w:val="00331E29"/>
    <w:rsid w:val="00331E46"/>
    <w:rsid w:val="00331EC9"/>
    <w:rsid w:val="00331ED1"/>
    <w:rsid w:val="00331F51"/>
    <w:rsid w:val="00331FC7"/>
    <w:rsid w:val="0033207C"/>
    <w:rsid w:val="003320CF"/>
    <w:rsid w:val="0033210A"/>
    <w:rsid w:val="00332159"/>
    <w:rsid w:val="003321BA"/>
    <w:rsid w:val="00332238"/>
    <w:rsid w:val="0033224C"/>
    <w:rsid w:val="00332251"/>
    <w:rsid w:val="00332264"/>
    <w:rsid w:val="003322D8"/>
    <w:rsid w:val="00332323"/>
    <w:rsid w:val="00332347"/>
    <w:rsid w:val="00332353"/>
    <w:rsid w:val="0033240B"/>
    <w:rsid w:val="0033240E"/>
    <w:rsid w:val="00332416"/>
    <w:rsid w:val="00332426"/>
    <w:rsid w:val="0033244B"/>
    <w:rsid w:val="00332491"/>
    <w:rsid w:val="0033255B"/>
    <w:rsid w:val="0033258F"/>
    <w:rsid w:val="003325F7"/>
    <w:rsid w:val="003326F2"/>
    <w:rsid w:val="003327F8"/>
    <w:rsid w:val="00332816"/>
    <w:rsid w:val="00332831"/>
    <w:rsid w:val="0033289D"/>
    <w:rsid w:val="003328A2"/>
    <w:rsid w:val="003328AB"/>
    <w:rsid w:val="003328AD"/>
    <w:rsid w:val="003328E5"/>
    <w:rsid w:val="00332959"/>
    <w:rsid w:val="0033297D"/>
    <w:rsid w:val="00332988"/>
    <w:rsid w:val="00332A84"/>
    <w:rsid w:val="00332ABB"/>
    <w:rsid w:val="00332B00"/>
    <w:rsid w:val="00332B5D"/>
    <w:rsid w:val="00332BDD"/>
    <w:rsid w:val="00332C6A"/>
    <w:rsid w:val="00332CBF"/>
    <w:rsid w:val="00332CC3"/>
    <w:rsid w:val="00332CE5"/>
    <w:rsid w:val="00332D66"/>
    <w:rsid w:val="00332D88"/>
    <w:rsid w:val="00332D8B"/>
    <w:rsid w:val="00332E3C"/>
    <w:rsid w:val="00332E54"/>
    <w:rsid w:val="00332E7E"/>
    <w:rsid w:val="00332E8F"/>
    <w:rsid w:val="00332EFE"/>
    <w:rsid w:val="00332F11"/>
    <w:rsid w:val="00332F49"/>
    <w:rsid w:val="00332F84"/>
    <w:rsid w:val="00333069"/>
    <w:rsid w:val="0033309F"/>
    <w:rsid w:val="003330EA"/>
    <w:rsid w:val="00333194"/>
    <w:rsid w:val="003331E2"/>
    <w:rsid w:val="0033321B"/>
    <w:rsid w:val="0033322F"/>
    <w:rsid w:val="00333304"/>
    <w:rsid w:val="0033330E"/>
    <w:rsid w:val="00333490"/>
    <w:rsid w:val="003334C8"/>
    <w:rsid w:val="0033350E"/>
    <w:rsid w:val="0033361A"/>
    <w:rsid w:val="00333648"/>
    <w:rsid w:val="003337A1"/>
    <w:rsid w:val="0033387E"/>
    <w:rsid w:val="003338C8"/>
    <w:rsid w:val="003338E3"/>
    <w:rsid w:val="003338EE"/>
    <w:rsid w:val="003339C7"/>
    <w:rsid w:val="00333ADB"/>
    <w:rsid w:val="00333B88"/>
    <w:rsid w:val="00333BF8"/>
    <w:rsid w:val="00333C2F"/>
    <w:rsid w:val="00333CA2"/>
    <w:rsid w:val="00333D04"/>
    <w:rsid w:val="00333D29"/>
    <w:rsid w:val="00333F28"/>
    <w:rsid w:val="00333FDB"/>
    <w:rsid w:val="00334087"/>
    <w:rsid w:val="00334121"/>
    <w:rsid w:val="00334383"/>
    <w:rsid w:val="00334395"/>
    <w:rsid w:val="00334457"/>
    <w:rsid w:val="003344D6"/>
    <w:rsid w:val="0033462F"/>
    <w:rsid w:val="003346EF"/>
    <w:rsid w:val="00334711"/>
    <w:rsid w:val="00334772"/>
    <w:rsid w:val="003347B3"/>
    <w:rsid w:val="003347D1"/>
    <w:rsid w:val="003347E3"/>
    <w:rsid w:val="003347F2"/>
    <w:rsid w:val="00334804"/>
    <w:rsid w:val="0033482B"/>
    <w:rsid w:val="00334880"/>
    <w:rsid w:val="00334888"/>
    <w:rsid w:val="00334902"/>
    <w:rsid w:val="00334963"/>
    <w:rsid w:val="003349AC"/>
    <w:rsid w:val="00334A74"/>
    <w:rsid w:val="00334B09"/>
    <w:rsid w:val="00334B3D"/>
    <w:rsid w:val="00334BB8"/>
    <w:rsid w:val="00334C65"/>
    <w:rsid w:val="00334C68"/>
    <w:rsid w:val="00334D01"/>
    <w:rsid w:val="00334D04"/>
    <w:rsid w:val="00334D19"/>
    <w:rsid w:val="00334E46"/>
    <w:rsid w:val="00334E4B"/>
    <w:rsid w:val="00334EAF"/>
    <w:rsid w:val="00334EC7"/>
    <w:rsid w:val="003350AF"/>
    <w:rsid w:val="00335108"/>
    <w:rsid w:val="00335168"/>
    <w:rsid w:val="003351AC"/>
    <w:rsid w:val="00335276"/>
    <w:rsid w:val="003352BD"/>
    <w:rsid w:val="0033539D"/>
    <w:rsid w:val="003353CB"/>
    <w:rsid w:val="003353CD"/>
    <w:rsid w:val="003353E8"/>
    <w:rsid w:val="003353FC"/>
    <w:rsid w:val="003353FF"/>
    <w:rsid w:val="00335470"/>
    <w:rsid w:val="003354A6"/>
    <w:rsid w:val="003354AE"/>
    <w:rsid w:val="003354F2"/>
    <w:rsid w:val="0033557B"/>
    <w:rsid w:val="0033557E"/>
    <w:rsid w:val="003355A5"/>
    <w:rsid w:val="00335679"/>
    <w:rsid w:val="003356A0"/>
    <w:rsid w:val="00335707"/>
    <w:rsid w:val="0033572C"/>
    <w:rsid w:val="003357EE"/>
    <w:rsid w:val="00335872"/>
    <w:rsid w:val="003358BB"/>
    <w:rsid w:val="00335995"/>
    <w:rsid w:val="00335A2F"/>
    <w:rsid w:val="00335A56"/>
    <w:rsid w:val="00335ABB"/>
    <w:rsid w:val="00335AE5"/>
    <w:rsid w:val="00335B02"/>
    <w:rsid w:val="00335BD7"/>
    <w:rsid w:val="00335C1B"/>
    <w:rsid w:val="00335C3F"/>
    <w:rsid w:val="00335D59"/>
    <w:rsid w:val="00335D7D"/>
    <w:rsid w:val="00335DA2"/>
    <w:rsid w:val="00335E0C"/>
    <w:rsid w:val="00335EB7"/>
    <w:rsid w:val="00335F4A"/>
    <w:rsid w:val="00335F9B"/>
    <w:rsid w:val="0033605D"/>
    <w:rsid w:val="0033618A"/>
    <w:rsid w:val="0033619E"/>
    <w:rsid w:val="003361DD"/>
    <w:rsid w:val="0033622E"/>
    <w:rsid w:val="00336268"/>
    <w:rsid w:val="0033629B"/>
    <w:rsid w:val="003362AC"/>
    <w:rsid w:val="003362E5"/>
    <w:rsid w:val="003362F5"/>
    <w:rsid w:val="00336385"/>
    <w:rsid w:val="00336386"/>
    <w:rsid w:val="00336428"/>
    <w:rsid w:val="0033646F"/>
    <w:rsid w:val="003364CE"/>
    <w:rsid w:val="003364D1"/>
    <w:rsid w:val="003364F9"/>
    <w:rsid w:val="00336569"/>
    <w:rsid w:val="0033659E"/>
    <w:rsid w:val="0033665F"/>
    <w:rsid w:val="00336769"/>
    <w:rsid w:val="00336770"/>
    <w:rsid w:val="003367FD"/>
    <w:rsid w:val="00336835"/>
    <w:rsid w:val="0033683D"/>
    <w:rsid w:val="0033687B"/>
    <w:rsid w:val="003368D9"/>
    <w:rsid w:val="00336997"/>
    <w:rsid w:val="003369D7"/>
    <w:rsid w:val="00336A33"/>
    <w:rsid w:val="00336A4D"/>
    <w:rsid w:val="00336B4C"/>
    <w:rsid w:val="00336B4D"/>
    <w:rsid w:val="00336BBA"/>
    <w:rsid w:val="00336BBF"/>
    <w:rsid w:val="00336C13"/>
    <w:rsid w:val="00336C37"/>
    <w:rsid w:val="00336C50"/>
    <w:rsid w:val="00336C5C"/>
    <w:rsid w:val="00336CD3"/>
    <w:rsid w:val="00336D19"/>
    <w:rsid w:val="00336DCD"/>
    <w:rsid w:val="00336EA2"/>
    <w:rsid w:val="00336F94"/>
    <w:rsid w:val="00336FB3"/>
    <w:rsid w:val="00336FD6"/>
    <w:rsid w:val="0033701E"/>
    <w:rsid w:val="0033702B"/>
    <w:rsid w:val="003370C3"/>
    <w:rsid w:val="003370F6"/>
    <w:rsid w:val="0033715D"/>
    <w:rsid w:val="00337189"/>
    <w:rsid w:val="00337233"/>
    <w:rsid w:val="00337267"/>
    <w:rsid w:val="003372EF"/>
    <w:rsid w:val="00337313"/>
    <w:rsid w:val="0033737B"/>
    <w:rsid w:val="003373A1"/>
    <w:rsid w:val="00337412"/>
    <w:rsid w:val="0033743A"/>
    <w:rsid w:val="00337489"/>
    <w:rsid w:val="003374D7"/>
    <w:rsid w:val="003374F7"/>
    <w:rsid w:val="00337505"/>
    <w:rsid w:val="00337526"/>
    <w:rsid w:val="00337588"/>
    <w:rsid w:val="003375BC"/>
    <w:rsid w:val="00337604"/>
    <w:rsid w:val="00337657"/>
    <w:rsid w:val="0033769F"/>
    <w:rsid w:val="00337715"/>
    <w:rsid w:val="00337717"/>
    <w:rsid w:val="0033788A"/>
    <w:rsid w:val="00337895"/>
    <w:rsid w:val="003378D4"/>
    <w:rsid w:val="003378E6"/>
    <w:rsid w:val="0033796B"/>
    <w:rsid w:val="003379FE"/>
    <w:rsid w:val="00337B02"/>
    <w:rsid w:val="00337B0B"/>
    <w:rsid w:val="00337B22"/>
    <w:rsid w:val="00337B92"/>
    <w:rsid w:val="00337BA1"/>
    <w:rsid w:val="00337C1B"/>
    <w:rsid w:val="00337C1F"/>
    <w:rsid w:val="00337C6D"/>
    <w:rsid w:val="00337CFF"/>
    <w:rsid w:val="00337D0A"/>
    <w:rsid w:val="00337DEE"/>
    <w:rsid w:val="00337E58"/>
    <w:rsid w:val="00337E9C"/>
    <w:rsid w:val="00337E9E"/>
    <w:rsid w:val="00337EEB"/>
    <w:rsid w:val="00337EF3"/>
    <w:rsid w:val="00337F3E"/>
    <w:rsid w:val="00337F5D"/>
    <w:rsid w:val="00337F62"/>
    <w:rsid w:val="00337FEC"/>
    <w:rsid w:val="00340123"/>
    <w:rsid w:val="00340137"/>
    <w:rsid w:val="0034016C"/>
    <w:rsid w:val="00340178"/>
    <w:rsid w:val="0034017E"/>
    <w:rsid w:val="003401CD"/>
    <w:rsid w:val="00340284"/>
    <w:rsid w:val="003402A2"/>
    <w:rsid w:val="003402CC"/>
    <w:rsid w:val="003402DA"/>
    <w:rsid w:val="0034038B"/>
    <w:rsid w:val="003403A3"/>
    <w:rsid w:val="003403C7"/>
    <w:rsid w:val="00340454"/>
    <w:rsid w:val="00340467"/>
    <w:rsid w:val="0034046A"/>
    <w:rsid w:val="003404CD"/>
    <w:rsid w:val="003404DB"/>
    <w:rsid w:val="00340579"/>
    <w:rsid w:val="00340628"/>
    <w:rsid w:val="00340700"/>
    <w:rsid w:val="0034072B"/>
    <w:rsid w:val="00340784"/>
    <w:rsid w:val="003407B9"/>
    <w:rsid w:val="00340888"/>
    <w:rsid w:val="003408F4"/>
    <w:rsid w:val="00340A8F"/>
    <w:rsid w:val="00340AFC"/>
    <w:rsid w:val="00340B38"/>
    <w:rsid w:val="00340B47"/>
    <w:rsid w:val="00340BB6"/>
    <w:rsid w:val="00340BFB"/>
    <w:rsid w:val="00340C46"/>
    <w:rsid w:val="00340C8B"/>
    <w:rsid w:val="00340DE9"/>
    <w:rsid w:val="00340E34"/>
    <w:rsid w:val="00340E3D"/>
    <w:rsid w:val="00340F9C"/>
    <w:rsid w:val="00341027"/>
    <w:rsid w:val="00341061"/>
    <w:rsid w:val="00341083"/>
    <w:rsid w:val="003411E9"/>
    <w:rsid w:val="003411FF"/>
    <w:rsid w:val="00341239"/>
    <w:rsid w:val="00341241"/>
    <w:rsid w:val="0034125E"/>
    <w:rsid w:val="00341354"/>
    <w:rsid w:val="00341380"/>
    <w:rsid w:val="00341417"/>
    <w:rsid w:val="0034145D"/>
    <w:rsid w:val="00341463"/>
    <w:rsid w:val="00341467"/>
    <w:rsid w:val="0034148C"/>
    <w:rsid w:val="003414E4"/>
    <w:rsid w:val="003414EC"/>
    <w:rsid w:val="003415C8"/>
    <w:rsid w:val="00341689"/>
    <w:rsid w:val="00341748"/>
    <w:rsid w:val="003417C0"/>
    <w:rsid w:val="0034180B"/>
    <w:rsid w:val="003418EB"/>
    <w:rsid w:val="00341A06"/>
    <w:rsid w:val="00341A47"/>
    <w:rsid w:val="00341AEB"/>
    <w:rsid w:val="00341C71"/>
    <w:rsid w:val="00341CBB"/>
    <w:rsid w:val="00341E4B"/>
    <w:rsid w:val="00341ED7"/>
    <w:rsid w:val="00341F14"/>
    <w:rsid w:val="00341F3C"/>
    <w:rsid w:val="00341F51"/>
    <w:rsid w:val="00341F88"/>
    <w:rsid w:val="00342040"/>
    <w:rsid w:val="00342083"/>
    <w:rsid w:val="0034208F"/>
    <w:rsid w:val="00342166"/>
    <w:rsid w:val="00342183"/>
    <w:rsid w:val="003422E1"/>
    <w:rsid w:val="003423EA"/>
    <w:rsid w:val="003423F4"/>
    <w:rsid w:val="003424D6"/>
    <w:rsid w:val="00342588"/>
    <w:rsid w:val="003425B1"/>
    <w:rsid w:val="0034260E"/>
    <w:rsid w:val="00342647"/>
    <w:rsid w:val="003426BB"/>
    <w:rsid w:val="0034270C"/>
    <w:rsid w:val="003427E8"/>
    <w:rsid w:val="003428B5"/>
    <w:rsid w:val="00342925"/>
    <w:rsid w:val="0034294D"/>
    <w:rsid w:val="00342966"/>
    <w:rsid w:val="003429F5"/>
    <w:rsid w:val="003429FA"/>
    <w:rsid w:val="00342AD0"/>
    <w:rsid w:val="00342AE0"/>
    <w:rsid w:val="00342B35"/>
    <w:rsid w:val="00342B5E"/>
    <w:rsid w:val="00342B75"/>
    <w:rsid w:val="00342B7E"/>
    <w:rsid w:val="00342B7F"/>
    <w:rsid w:val="00342B98"/>
    <w:rsid w:val="00342C26"/>
    <w:rsid w:val="00342C49"/>
    <w:rsid w:val="00342E2E"/>
    <w:rsid w:val="00342E3D"/>
    <w:rsid w:val="00342EB6"/>
    <w:rsid w:val="00342EC4"/>
    <w:rsid w:val="00342F29"/>
    <w:rsid w:val="00342F51"/>
    <w:rsid w:val="00342FEC"/>
    <w:rsid w:val="00343012"/>
    <w:rsid w:val="003430B4"/>
    <w:rsid w:val="003430F8"/>
    <w:rsid w:val="00343229"/>
    <w:rsid w:val="00343292"/>
    <w:rsid w:val="003432ED"/>
    <w:rsid w:val="0034332E"/>
    <w:rsid w:val="00343335"/>
    <w:rsid w:val="00343389"/>
    <w:rsid w:val="00343441"/>
    <w:rsid w:val="0034345F"/>
    <w:rsid w:val="00343488"/>
    <w:rsid w:val="003434F4"/>
    <w:rsid w:val="003434F6"/>
    <w:rsid w:val="00343542"/>
    <w:rsid w:val="003435C9"/>
    <w:rsid w:val="003435CB"/>
    <w:rsid w:val="00343607"/>
    <w:rsid w:val="0034361D"/>
    <w:rsid w:val="0034365F"/>
    <w:rsid w:val="003436C7"/>
    <w:rsid w:val="003436E4"/>
    <w:rsid w:val="0034374C"/>
    <w:rsid w:val="00343756"/>
    <w:rsid w:val="0034376A"/>
    <w:rsid w:val="003437A0"/>
    <w:rsid w:val="003438EA"/>
    <w:rsid w:val="003438EB"/>
    <w:rsid w:val="003438FC"/>
    <w:rsid w:val="00343939"/>
    <w:rsid w:val="0034396C"/>
    <w:rsid w:val="00343A1F"/>
    <w:rsid w:val="00343A70"/>
    <w:rsid w:val="00343A93"/>
    <w:rsid w:val="00343B0A"/>
    <w:rsid w:val="00343B12"/>
    <w:rsid w:val="00343B3B"/>
    <w:rsid w:val="00343BF2"/>
    <w:rsid w:val="00343C4D"/>
    <w:rsid w:val="00343CFB"/>
    <w:rsid w:val="00343DA1"/>
    <w:rsid w:val="00343DBD"/>
    <w:rsid w:val="00343DBE"/>
    <w:rsid w:val="00343DE6"/>
    <w:rsid w:val="00343DE9"/>
    <w:rsid w:val="00343E04"/>
    <w:rsid w:val="00343E0F"/>
    <w:rsid w:val="00343E10"/>
    <w:rsid w:val="00343E73"/>
    <w:rsid w:val="00343ECB"/>
    <w:rsid w:val="00343F0A"/>
    <w:rsid w:val="00343FD9"/>
    <w:rsid w:val="00343FFE"/>
    <w:rsid w:val="00344022"/>
    <w:rsid w:val="00344028"/>
    <w:rsid w:val="003440D6"/>
    <w:rsid w:val="00344164"/>
    <w:rsid w:val="0034419F"/>
    <w:rsid w:val="003441A8"/>
    <w:rsid w:val="00344243"/>
    <w:rsid w:val="003442FB"/>
    <w:rsid w:val="00344339"/>
    <w:rsid w:val="00344388"/>
    <w:rsid w:val="00344447"/>
    <w:rsid w:val="0034446B"/>
    <w:rsid w:val="003444E0"/>
    <w:rsid w:val="00344554"/>
    <w:rsid w:val="0034457A"/>
    <w:rsid w:val="00344656"/>
    <w:rsid w:val="003446CA"/>
    <w:rsid w:val="003446EA"/>
    <w:rsid w:val="0034472B"/>
    <w:rsid w:val="00344730"/>
    <w:rsid w:val="00344848"/>
    <w:rsid w:val="003448C7"/>
    <w:rsid w:val="003448F4"/>
    <w:rsid w:val="003449F9"/>
    <w:rsid w:val="00344A90"/>
    <w:rsid w:val="00344B6E"/>
    <w:rsid w:val="00344BAE"/>
    <w:rsid w:val="00344BC6"/>
    <w:rsid w:val="00344C38"/>
    <w:rsid w:val="00344CCB"/>
    <w:rsid w:val="00344D87"/>
    <w:rsid w:val="00344DF2"/>
    <w:rsid w:val="00344E2C"/>
    <w:rsid w:val="00344EB2"/>
    <w:rsid w:val="00344F6B"/>
    <w:rsid w:val="0034506F"/>
    <w:rsid w:val="00345130"/>
    <w:rsid w:val="0034516C"/>
    <w:rsid w:val="003452DB"/>
    <w:rsid w:val="003453C7"/>
    <w:rsid w:val="003453F0"/>
    <w:rsid w:val="00345473"/>
    <w:rsid w:val="003454FA"/>
    <w:rsid w:val="00345504"/>
    <w:rsid w:val="00345529"/>
    <w:rsid w:val="0034557B"/>
    <w:rsid w:val="003455A2"/>
    <w:rsid w:val="00345674"/>
    <w:rsid w:val="0034567B"/>
    <w:rsid w:val="003456A3"/>
    <w:rsid w:val="003456C4"/>
    <w:rsid w:val="003456C5"/>
    <w:rsid w:val="003456C8"/>
    <w:rsid w:val="0034575E"/>
    <w:rsid w:val="003457A0"/>
    <w:rsid w:val="003457DB"/>
    <w:rsid w:val="003457DD"/>
    <w:rsid w:val="003457E5"/>
    <w:rsid w:val="003457F4"/>
    <w:rsid w:val="00345807"/>
    <w:rsid w:val="00345884"/>
    <w:rsid w:val="00345953"/>
    <w:rsid w:val="0034595B"/>
    <w:rsid w:val="00345971"/>
    <w:rsid w:val="00345A09"/>
    <w:rsid w:val="00345A45"/>
    <w:rsid w:val="00345A5F"/>
    <w:rsid w:val="00345A6B"/>
    <w:rsid w:val="00345A70"/>
    <w:rsid w:val="00345B50"/>
    <w:rsid w:val="00345BBE"/>
    <w:rsid w:val="00345BDE"/>
    <w:rsid w:val="00345C43"/>
    <w:rsid w:val="00345D3D"/>
    <w:rsid w:val="00345D50"/>
    <w:rsid w:val="00345D60"/>
    <w:rsid w:val="00345D91"/>
    <w:rsid w:val="00345E25"/>
    <w:rsid w:val="00345E4C"/>
    <w:rsid w:val="00345E4E"/>
    <w:rsid w:val="00345E64"/>
    <w:rsid w:val="00345E95"/>
    <w:rsid w:val="00345E97"/>
    <w:rsid w:val="00345F22"/>
    <w:rsid w:val="00345F93"/>
    <w:rsid w:val="00345FB7"/>
    <w:rsid w:val="00345FD7"/>
    <w:rsid w:val="00345FF5"/>
    <w:rsid w:val="0034603C"/>
    <w:rsid w:val="003460A2"/>
    <w:rsid w:val="00346279"/>
    <w:rsid w:val="003462CD"/>
    <w:rsid w:val="0034635B"/>
    <w:rsid w:val="003464E6"/>
    <w:rsid w:val="00346526"/>
    <w:rsid w:val="00346597"/>
    <w:rsid w:val="003465B3"/>
    <w:rsid w:val="003465DA"/>
    <w:rsid w:val="003466E5"/>
    <w:rsid w:val="003466EB"/>
    <w:rsid w:val="003466F8"/>
    <w:rsid w:val="003467E3"/>
    <w:rsid w:val="00346823"/>
    <w:rsid w:val="003468C8"/>
    <w:rsid w:val="00346928"/>
    <w:rsid w:val="00346949"/>
    <w:rsid w:val="00346A2F"/>
    <w:rsid w:val="00346A3F"/>
    <w:rsid w:val="00346A68"/>
    <w:rsid w:val="00346A75"/>
    <w:rsid w:val="00346A7E"/>
    <w:rsid w:val="00346AB3"/>
    <w:rsid w:val="00346B06"/>
    <w:rsid w:val="00346B13"/>
    <w:rsid w:val="00346C17"/>
    <w:rsid w:val="00346C5F"/>
    <w:rsid w:val="00346C6A"/>
    <w:rsid w:val="00346CA9"/>
    <w:rsid w:val="00346D34"/>
    <w:rsid w:val="00346DBA"/>
    <w:rsid w:val="00346E01"/>
    <w:rsid w:val="00346F38"/>
    <w:rsid w:val="00346F85"/>
    <w:rsid w:val="003470F1"/>
    <w:rsid w:val="0034717D"/>
    <w:rsid w:val="0034718C"/>
    <w:rsid w:val="003471F6"/>
    <w:rsid w:val="0034723B"/>
    <w:rsid w:val="003472CB"/>
    <w:rsid w:val="003472F5"/>
    <w:rsid w:val="003472F7"/>
    <w:rsid w:val="00347330"/>
    <w:rsid w:val="00347350"/>
    <w:rsid w:val="0034737F"/>
    <w:rsid w:val="0034739E"/>
    <w:rsid w:val="00347407"/>
    <w:rsid w:val="0034743C"/>
    <w:rsid w:val="003474D7"/>
    <w:rsid w:val="003474DB"/>
    <w:rsid w:val="00347545"/>
    <w:rsid w:val="0034754A"/>
    <w:rsid w:val="003475D6"/>
    <w:rsid w:val="003475DD"/>
    <w:rsid w:val="0034764F"/>
    <w:rsid w:val="003476C1"/>
    <w:rsid w:val="003476FC"/>
    <w:rsid w:val="0034774D"/>
    <w:rsid w:val="003477FB"/>
    <w:rsid w:val="00347846"/>
    <w:rsid w:val="00347862"/>
    <w:rsid w:val="00347883"/>
    <w:rsid w:val="003478FC"/>
    <w:rsid w:val="003479AA"/>
    <w:rsid w:val="003479B7"/>
    <w:rsid w:val="00347A06"/>
    <w:rsid w:val="00347A56"/>
    <w:rsid w:val="00347B06"/>
    <w:rsid w:val="00347BCE"/>
    <w:rsid w:val="00347D02"/>
    <w:rsid w:val="00347D85"/>
    <w:rsid w:val="00347E3A"/>
    <w:rsid w:val="00347E55"/>
    <w:rsid w:val="00347EA2"/>
    <w:rsid w:val="00347EC9"/>
    <w:rsid w:val="00347F6C"/>
    <w:rsid w:val="00347FEE"/>
    <w:rsid w:val="00350037"/>
    <w:rsid w:val="0035004C"/>
    <w:rsid w:val="0035004E"/>
    <w:rsid w:val="0035007B"/>
    <w:rsid w:val="003500DC"/>
    <w:rsid w:val="003500DE"/>
    <w:rsid w:val="00350114"/>
    <w:rsid w:val="0035016B"/>
    <w:rsid w:val="0035018F"/>
    <w:rsid w:val="003501C2"/>
    <w:rsid w:val="00350236"/>
    <w:rsid w:val="00350265"/>
    <w:rsid w:val="003502F5"/>
    <w:rsid w:val="00350311"/>
    <w:rsid w:val="00350389"/>
    <w:rsid w:val="003503D4"/>
    <w:rsid w:val="003503D7"/>
    <w:rsid w:val="003503EA"/>
    <w:rsid w:val="00350415"/>
    <w:rsid w:val="00350451"/>
    <w:rsid w:val="00350478"/>
    <w:rsid w:val="003504D8"/>
    <w:rsid w:val="003505CE"/>
    <w:rsid w:val="003505E2"/>
    <w:rsid w:val="00350609"/>
    <w:rsid w:val="00350633"/>
    <w:rsid w:val="003506B5"/>
    <w:rsid w:val="00350700"/>
    <w:rsid w:val="0035074D"/>
    <w:rsid w:val="0035090D"/>
    <w:rsid w:val="00350A2D"/>
    <w:rsid w:val="00350A44"/>
    <w:rsid w:val="00350A45"/>
    <w:rsid w:val="00350AA2"/>
    <w:rsid w:val="00350AB0"/>
    <w:rsid w:val="00350ACB"/>
    <w:rsid w:val="00350B06"/>
    <w:rsid w:val="00350B59"/>
    <w:rsid w:val="00350B77"/>
    <w:rsid w:val="00350B9F"/>
    <w:rsid w:val="00350C0C"/>
    <w:rsid w:val="00350C1A"/>
    <w:rsid w:val="00350C25"/>
    <w:rsid w:val="00350CC0"/>
    <w:rsid w:val="00350E47"/>
    <w:rsid w:val="00350E8A"/>
    <w:rsid w:val="00350EB2"/>
    <w:rsid w:val="00350EB3"/>
    <w:rsid w:val="00350EDA"/>
    <w:rsid w:val="00350F8D"/>
    <w:rsid w:val="00350FCC"/>
    <w:rsid w:val="00351012"/>
    <w:rsid w:val="00351100"/>
    <w:rsid w:val="003511A7"/>
    <w:rsid w:val="00351221"/>
    <w:rsid w:val="00351261"/>
    <w:rsid w:val="003512F8"/>
    <w:rsid w:val="0035132B"/>
    <w:rsid w:val="0035139E"/>
    <w:rsid w:val="003513CF"/>
    <w:rsid w:val="0035145C"/>
    <w:rsid w:val="00351580"/>
    <w:rsid w:val="00351607"/>
    <w:rsid w:val="00351613"/>
    <w:rsid w:val="00351645"/>
    <w:rsid w:val="0035168F"/>
    <w:rsid w:val="003516BC"/>
    <w:rsid w:val="00351748"/>
    <w:rsid w:val="0035177C"/>
    <w:rsid w:val="00351786"/>
    <w:rsid w:val="003517BD"/>
    <w:rsid w:val="003517FD"/>
    <w:rsid w:val="0035196E"/>
    <w:rsid w:val="00351970"/>
    <w:rsid w:val="003519F4"/>
    <w:rsid w:val="00351A5E"/>
    <w:rsid w:val="00351A99"/>
    <w:rsid w:val="00351AEA"/>
    <w:rsid w:val="00351AFB"/>
    <w:rsid w:val="00351B21"/>
    <w:rsid w:val="00351BD0"/>
    <w:rsid w:val="00351BD5"/>
    <w:rsid w:val="00351C27"/>
    <w:rsid w:val="00351CF2"/>
    <w:rsid w:val="00351D78"/>
    <w:rsid w:val="00351DCE"/>
    <w:rsid w:val="00351DE3"/>
    <w:rsid w:val="00351E20"/>
    <w:rsid w:val="00351E7C"/>
    <w:rsid w:val="00351E98"/>
    <w:rsid w:val="00351EF7"/>
    <w:rsid w:val="00351FF7"/>
    <w:rsid w:val="0035206C"/>
    <w:rsid w:val="0035209F"/>
    <w:rsid w:val="003520B7"/>
    <w:rsid w:val="0035212B"/>
    <w:rsid w:val="00352187"/>
    <w:rsid w:val="0035219E"/>
    <w:rsid w:val="003521D6"/>
    <w:rsid w:val="00352237"/>
    <w:rsid w:val="0035225E"/>
    <w:rsid w:val="00352265"/>
    <w:rsid w:val="0035226A"/>
    <w:rsid w:val="00352296"/>
    <w:rsid w:val="00352335"/>
    <w:rsid w:val="003523B4"/>
    <w:rsid w:val="003523D1"/>
    <w:rsid w:val="003523F1"/>
    <w:rsid w:val="00352492"/>
    <w:rsid w:val="003524F6"/>
    <w:rsid w:val="00352525"/>
    <w:rsid w:val="003525AF"/>
    <w:rsid w:val="003525C1"/>
    <w:rsid w:val="003525DB"/>
    <w:rsid w:val="003525FD"/>
    <w:rsid w:val="0035267B"/>
    <w:rsid w:val="0035267D"/>
    <w:rsid w:val="003526D3"/>
    <w:rsid w:val="0035274F"/>
    <w:rsid w:val="003527DA"/>
    <w:rsid w:val="0035281E"/>
    <w:rsid w:val="00352881"/>
    <w:rsid w:val="003528D8"/>
    <w:rsid w:val="00352937"/>
    <w:rsid w:val="0035299E"/>
    <w:rsid w:val="003529E3"/>
    <w:rsid w:val="003529F3"/>
    <w:rsid w:val="00352B53"/>
    <w:rsid w:val="00352BE4"/>
    <w:rsid w:val="00352C00"/>
    <w:rsid w:val="00352C61"/>
    <w:rsid w:val="00352C75"/>
    <w:rsid w:val="00352D4B"/>
    <w:rsid w:val="00352E0C"/>
    <w:rsid w:val="00352E4D"/>
    <w:rsid w:val="00352E76"/>
    <w:rsid w:val="00352E9A"/>
    <w:rsid w:val="00352EE0"/>
    <w:rsid w:val="00352F6F"/>
    <w:rsid w:val="00352FCD"/>
    <w:rsid w:val="00352FD0"/>
    <w:rsid w:val="00352FE9"/>
    <w:rsid w:val="00352FFF"/>
    <w:rsid w:val="0035303C"/>
    <w:rsid w:val="00353058"/>
    <w:rsid w:val="00353138"/>
    <w:rsid w:val="00353139"/>
    <w:rsid w:val="003531BD"/>
    <w:rsid w:val="00353246"/>
    <w:rsid w:val="00353286"/>
    <w:rsid w:val="00353299"/>
    <w:rsid w:val="0035329A"/>
    <w:rsid w:val="003532EC"/>
    <w:rsid w:val="003532F7"/>
    <w:rsid w:val="00353335"/>
    <w:rsid w:val="003534C0"/>
    <w:rsid w:val="003534D8"/>
    <w:rsid w:val="003534E0"/>
    <w:rsid w:val="003534F4"/>
    <w:rsid w:val="0035354D"/>
    <w:rsid w:val="00353587"/>
    <w:rsid w:val="0035358C"/>
    <w:rsid w:val="003535C3"/>
    <w:rsid w:val="00353633"/>
    <w:rsid w:val="00353638"/>
    <w:rsid w:val="003536A7"/>
    <w:rsid w:val="003536AF"/>
    <w:rsid w:val="003536DE"/>
    <w:rsid w:val="0035371F"/>
    <w:rsid w:val="003537A3"/>
    <w:rsid w:val="003537A8"/>
    <w:rsid w:val="003537AD"/>
    <w:rsid w:val="00353812"/>
    <w:rsid w:val="003539A7"/>
    <w:rsid w:val="00353A3D"/>
    <w:rsid w:val="00353A69"/>
    <w:rsid w:val="00353AC0"/>
    <w:rsid w:val="00353ADB"/>
    <w:rsid w:val="00353B26"/>
    <w:rsid w:val="00353C2E"/>
    <w:rsid w:val="00353C31"/>
    <w:rsid w:val="00353C49"/>
    <w:rsid w:val="00353CA1"/>
    <w:rsid w:val="00353CD2"/>
    <w:rsid w:val="00353CE9"/>
    <w:rsid w:val="00353D21"/>
    <w:rsid w:val="00353DE3"/>
    <w:rsid w:val="00353E19"/>
    <w:rsid w:val="00353E1D"/>
    <w:rsid w:val="00353FD0"/>
    <w:rsid w:val="003540E6"/>
    <w:rsid w:val="0035410C"/>
    <w:rsid w:val="00354148"/>
    <w:rsid w:val="0035420B"/>
    <w:rsid w:val="0035426C"/>
    <w:rsid w:val="003542A3"/>
    <w:rsid w:val="003542EF"/>
    <w:rsid w:val="00354318"/>
    <w:rsid w:val="00354379"/>
    <w:rsid w:val="00354390"/>
    <w:rsid w:val="003544D0"/>
    <w:rsid w:val="00354504"/>
    <w:rsid w:val="00354516"/>
    <w:rsid w:val="00354661"/>
    <w:rsid w:val="003546A6"/>
    <w:rsid w:val="0035480E"/>
    <w:rsid w:val="003548B9"/>
    <w:rsid w:val="003548C0"/>
    <w:rsid w:val="003548C5"/>
    <w:rsid w:val="003548CB"/>
    <w:rsid w:val="003548D8"/>
    <w:rsid w:val="00354947"/>
    <w:rsid w:val="00354982"/>
    <w:rsid w:val="003549AB"/>
    <w:rsid w:val="00354A1A"/>
    <w:rsid w:val="00354A90"/>
    <w:rsid w:val="00354AAB"/>
    <w:rsid w:val="00354B23"/>
    <w:rsid w:val="00354BFD"/>
    <w:rsid w:val="00354C03"/>
    <w:rsid w:val="00354C41"/>
    <w:rsid w:val="00354C7B"/>
    <w:rsid w:val="00354D9D"/>
    <w:rsid w:val="00354E31"/>
    <w:rsid w:val="00354E6F"/>
    <w:rsid w:val="00354EFB"/>
    <w:rsid w:val="00354FF1"/>
    <w:rsid w:val="00355037"/>
    <w:rsid w:val="00355066"/>
    <w:rsid w:val="0035521A"/>
    <w:rsid w:val="003552FF"/>
    <w:rsid w:val="00355341"/>
    <w:rsid w:val="00355419"/>
    <w:rsid w:val="00355489"/>
    <w:rsid w:val="0035548F"/>
    <w:rsid w:val="003554A5"/>
    <w:rsid w:val="003554F3"/>
    <w:rsid w:val="0035550B"/>
    <w:rsid w:val="003555E8"/>
    <w:rsid w:val="00355604"/>
    <w:rsid w:val="00355658"/>
    <w:rsid w:val="00355679"/>
    <w:rsid w:val="003556F8"/>
    <w:rsid w:val="00355718"/>
    <w:rsid w:val="0035571B"/>
    <w:rsid w:val="00355727"/>
    <w:rsid w:val="00355782"/>
    <w:rsid w:val="003557EF"/>
    <w:rsid w:val="00355833"/>
    <w:rsid w:val="00355883"/>
    <w:rsid w:val="003558A1"/>
    <w:rsid w:val="003558B2"/>
    <w:rsid w:val="003558EA"/>
    <w:rsid w:val="0035590C"/>
    <w:rsid w:val="00355933"/>
    <w:rsid w:val="003559BD"/>
    <w:rsid w:val="00355A3C"/>
    <w:rsid w:val="00355A58"/>
    <w:rsid w:val="00355AC7"/>
    <w:rsid w:val="00355B58"/>
    <w:rsid w:val="00355BA3"/>
    <w:rsid w:val="00355C79"/>
    <w:rsid w:val="00355D3F"/>
    <w:rsid w:val="00355D9E"/>
    <w:rsid w:val="00355DB1"/>
    <w:rsid w:val="00355DB7"/>
    <w:rsid w:val="00355E3B"/>
    <w:rsid w:val="00355E85"/>
    <w:rsid w:val="00355EAE"/>
    <w:rsid w:val="00356060"/>
    <w:rsid w:val="003560E4"/>
    <w:rsid w:val="003560F9"/>
    <w:rsid w:val="0035611E"/>
    <w:rsid w:val="00356127"/>
    <w:rsid w:val="00356199"/>
    <w:rsid w:val="003561B8"/>
    <w:rsid w:val="0035624C"/>
    <w:rsid w:val="0035627E"/>
    <w:rsid w:val="003562D7"/>
    <w:rsid w:val="00356334"/>
    <w:rsid w:val="00356385"/>
    <w:rsid w:val="003563F6"/>
    <w:rsid w:val="0035653E"/>
    <w:rsid w:val="00356540"/>
    <w:rsid w:val="0035659C"/>
    <w:rsid w:val="003565B7"/>
    <w:rsid w:val="003565CA"/>
    <w:rsid w:val="003565D1"/>
    <w:rsid w:val="003565EC"/>
    <w:rsid w:val="00356626"/>
    <w:rsid w:val="003566F4"/>
    <w:rsid w:val="00356706"/>
    <w:rsid w:val="0035672D"/>
    <w:rsid w:val="003567CB"/>
    <w:rsid w:val="00356961"/>
    <w:rsid w:val="0035698B"/>
    <w:rsid w:val="00356996"/>
    <w:rsid w:val="003569D7"/>
    <w:rsid w:val="00356AD1"/>
    <w:rsid w:val="00356ADA"/>
    <w:rsid w:val="00356AF9"/>
    <w:rsid w:val="00356B0E"/>
    <w:rsid w:val="00356B80"/>
    <w:rsid w:val="00356C20"/>
    <w:rsid w:val="00356C2E"/>
    <w:rsid w:val="00356C52"/>
    <w:rsid w:val="00356CC8"/>
    <w:rsid w:val="00356CD7"/>
    <w:rsid w:val="00356CEF"/>
    <w:rsid w:val="00356CFC"/>
    <w:rsid w:val="00356E2B"/>
    <w:rsid w:val="00356E7E"/>
    <w:rsid w:val="00357000"/>
    <w:rsid w:val="003570A2"/>
    <w:rsid w:val="003570E6"/>
    <w:rsid w:val="0035715A"/>
    <w:rsid w:val="00357171"/>
    <w:rsid w:val="00357232"/>
    <w:rsid w:val="0035724F"/>
    <w:rsid w:val="00357256"/>
    <w:rsid w:val="0035725C"/>
    <w:rsid w:val="0035737D"/>
    <w:rsid w:val="003573E4"/>
    <w:rsid w:val="00357474"/>
    <w:rsid w:val="00357477"/>
    <w:rsid w:val="003574AE"/>
    <w:rsid w:val="00357573"/>
    <w:rsid w:val="0035757D"/>
    <w:rsid w:val="0035771C"/>
    <w:rsid w:val="00357752"/>
    <w:rsid w:val="003577AA"/>
    <w:rsid w:val="003577B1"/>
    <w:rsid w:val="003577CE"/>
    <w:rsid w:val="003577F6"/>
    <w:rsid w:val="00357808"/>
    <w:rsid w:val="0035784E"/>
    <w:rsid w:val="00357859"/>
    <w:rsid w:val="0035786C"/>
    <w:rsid w:val="003578BC"/>
    <w:rsid w:val="003578E7"/>
    <w:rsid w:val="0035795E"/>
    <w:rsid w:val="0035799B"/>
    <w:rsid w:val="00357A4E"/>
    <w:rsid w:val="00357B10"/>
    <w:rsid w:val="00357B62"/>
    <w:rsid w:val="00357B7B"/>
    <w:rsid w:val="00357B7C"/>
    <w:rsid w:val="00357BB0"/>
    <w:rsid w:val="00357C0E"/>
    <w:rsid w:val="00357C34"/>
    <w:rsid w:val="00357C38"/>
    <w:rsid w:val="00357C3A"/>
    <w:rsid w:val="00357C41"/>
    <w:rsid w:val="00357C94"/>
    <w:rsid w:val="00357CAF"/>
    <w:rsid w:val="00357CBE"/>
    <w:rsid w:val="00357D1D"/>
    <w:rsid w:val="00357D85"/>
    <w:rsid w:val="00357E7F"/>
    <w:rsid w:val="00357ECA"/>
    <w:rsid w:val="00357F92"/>
    <w:rsid w:val="00357FA1"/>
    <w:rsid w:val="0036004B"/>
    <w:rsid w:val="0036008B"/>
    <w:rsid w:val="003600D9"/>
    <w:rsid w:val="003601FA"/>
    <w:rsid w:val="003601FC"/>
    <w:rsid w:val="00360263"/>
    <w:rsid w:val="003602BF"/>
    <w:rsid w:val="003603AB"/>
    <w:rsid w:val="003603C0"/>
    <w:rsid w:val="0036045D"/>
    <w:rsid w:val="0036047A"/>
    <w:rsid w:val="00360520"/>
    <w:rsid w:val="00360528"/>
    <w:rsid w:val="0036052C"/>
    <w:rsid w:val="00360532"/>
    <w:rsid w:val="00360543"/>
    <w:rsid w:val="003605CE"/>
    <w:rsid w:val="003605DA"/>
    <w:rsid w:val="003605F7"/>
    <w:rsid w:val="0036061A"/>
    <w:rsid w:val="00360634"/>
    <w:rsid w:val="00360691"/>
    <w:rsid w:val="0036077E"/>
    <w:rsid w:val="00360789"/>
    <w:rsid w:val="00360794"/>
    <w:rsid w:val="003607B4"/>
    <w:rsid w:val="003607FA"/>
    <w:rsid w:val="003608DC"/>
    <w:rsid w:val="0036094F"/>
    <w:rsid w:val="0036099B"/>
    <w:rsid w:val="00360A7C"/>
    <w:rsid w:val="00360AB4"/>
    <w:rsid w:val="00360B04"/>
    <w:rsid w:val="00360B19"/>
    <w:rsid w:val="00360B4D"/>
    <w:rsid w:val="00360B8F"/>
    <w:rsid w:val="00360BD3"/>
    <w:rsid w:val="00360CE3"/>
    <w:rsid w:val="00360D58"/>
    <w:rsid w:val="00360E6C"/>
    <w:rsid w:val="00360E86"/>
    <w:rsid w:val="00360EAB"/>
    <w:rsid w:val="00360F5A"/>
    <w:rsid w:val="00360FC0"/>
    <w:rsid w:val="00361061"/>
    <w:rsid w:val="00361075"/>
    <w:rsid w:val="0036107D"/>
    <w:rsid w:val="0036109E"/>
    <w:rsid w:val="003610F7"/>
    <w:rsid w:val="00361128"/>
    <w:rsid w:val="00361243"/>
    <w:rsid w:val="003612CB"/>
    <w:rsid w:val="003613AF"/>
    <w:rsid w:val="00361401"/>
    <w:rsid w:val="0036149E"/>
    <w:rsid w:val="003615B8"/>
    <w:rsid w:val="003616C8"/>
    <w:rsid w:val="003616F4"/>
    <w:rsid w:val="0036170E"/>
    <w:rsid w:val="00361717"/>
    <w:rsid w:val="0036182E"/>
    <w:rsid w:val="00361837"/>
    <w:rsid w:val="00361877"/>
    <w:rsid w:val="003618F7"/>
    <w:rsid w:val="00361951"/>
    <w:rsid w:val="00361952"/>
    <w:rsid w:val="00361974"/>
    <w:rsid w:val="003619A1"/>
    <w:rsid w:val="003619B7"/>
    <w:rsid w:val="003619EF"/>
    <w:rsid w:val="00361A79"/>
    <w:rsid w:val="00361CBA"/>
    <w:rsid w:val="00361CDE"/>
    <w:rsid w:val="00361CE6"/>
    <w:rsid w:val="00361CF2"/>
    <w:rsid w:val="00361D23"/>
    <w:rsid w:val="00361D6D"/>
    <w:rsid w:val="00361DA2"/>
    <w:rsid w:val="00361DA3"/>
    <w:rsid w:val="00361DE2"/>
    <w:rsid w:val="00361E96"/>
    <w:rsid w:val="00361EC6"/>
    <w:rsid w:val="00361EDE"/>
    <w:rsid w:val="00361EED"/>
    <w:rsid w:val="00361F99"/>
    <w:rsid w:val="00361FA7"/>
    <w:rsid w:val="00361FB3"/>
    <w:rsid w:val="00362022"/>
    <w:rsid w:val="0036205B"/>
    <w:rsid w:val="0036214B"/>
    <w:rsid w:val="00362156"/>
    <w:rsid w:val="003621C3"/>
    <w:rsid w:val="003621E2"/>
    <w:rsid w:val="003621F0"/>
    <w:rsid w:val="00362297"/>
    <w:rsid w:val="003622AC"/>
    <w:rsid w:val="003622BC"/>
    <w:rsid w:val="003622FE"/>
    <w:rsid w:val="00362315"/>
    <w:rsid w:val="003623F1"/>
    <w:rsid w:val="00362474"/>
    <w:rsid w:val="003624BA"/>
    <w:rsid w:val="00362543"/>
    <w:rsid w:val="00362562"/>
    <w:rsid w:val="00362568"/>
    <w:rsid w:val="003625A3"/>
    <w:rsid w:val="003625B4"/>
    <w:rsid w:val="003625D9"/>
    <w:rsid w:val="00362626"/>
    <w:rsid w:val="003626D4"/>
    <w:rsid w:val="00362710"/>
    <w:rsid w:val="003627B7"/>
    <w:rsid w:val="0036281C"/>
    <w:rsid w:val="00362827"/>
    <w:rsid w:val="00362860"/>
    <w:rsid w:val="00362867"/>
    <w:rsid w:val="003628C5"/>
    <w:rsid w:val="003628DA"/>
    <w:rsid w:val="00362965"/>
    <w:rsid w:val="0036296B"/>
    <w:rsid w:val="003629B5"/>
    <w:rsid w:val="003629BB"/>
    <w:rsid w:val="00362A5E"/>
    <w:rsid w:val="00362A8A"/>
    <w:rsid w:val="00362AB4"/>
    <w:rsid w:val="00362AE9"/>
    <w:rsid w:val="00362B2F"/>
    <w:rsid w:val="00362C0B"/>
    <w:rsid w:val="00362CF6"/>
    <w:rsid w:val="00362D51"/>
    <w:rsid w:val="00362DF0"/>
    <w:rsid w:val="00362EA2"/>
    <w:rsid w:val="00362F00"/>
    <w:rsid w:val="00362F08"/>
    <w:rsid w:val="00362F2A"/>
    <w:rsid w:val="00362F68"/>
    <w:rsid w:val="00362FDC"/>
    <w:rsid w:val="00362FEE"/>
    <w:rsid w:val="00363028"/>
    <w:rsid w:val="0036302F"/>
    <w:rsid w:val="00363124"/>
    <w:rsid w:val="00363151"/>
    <w:rsid w:val="003631C8"/>
    <w:rsid w:val="003631D4"/>
    <w:rsid w:val="003631F0"/>
    <w:rsid w:val="00363283"/>
    <w:rsid w:val="003632A1"/>
    <w:rsid w:val="003632F2"/>
    <w:rsid w:val="003632F8"/>
    <w:rsid w:val="003632FA"/>
    <w:rsid w:val="0036332B"/>
    <w:rsid w:val="0036337C"/>
    <w:rsid w:val="003633F7"/>
    <w:rsid w:val="00363412"/>
    <w:rsid w:val="00363436"/>
    <w:rsid w:val="0036345D"/>
    <w:rsid w:val="0036346F"/>
    <w:rsid w:val="003634AA"/>
    <w:rsid w:val="00363509"/>
    <w:rsid w:val="0036350B"/>
    <w:rsid w:val="003635A0"/>
    <w:rsid w:val="0036360F"/>
    <w:rsid w:val="0036363A"/>
    <w:rsid w:val="00363696"/>
    <w:rsid w:val="003636BA"/>
    <w:rsid w:val="00363807"/>
    <w:rsid w:val="00363837"/>
    <w:rsid w:val="00363869"/>
    <w:rsid w:val="003638CE"/>
    <w:rsid w:val="003639AB"/>
    <w:rsid w:val="003639E2"/>
    <w:rsid w:val="00363A1D"/>
    <w:rsid w:val="00363A80"/>
    <w:rsid w:val="00363A89"/>
    <w:rsid w:val="00363AE8"/>
    <w:rsid w:val="00363B0F"/>
    <w:rsid w:val="00363B28"/>
    <w:rsid w:val="00363B36"/>
    <w:rsid w:val="00363B42"/>
    <w:rsid w:val="00363B45"/>
    <w:rsid w:val="00363B8A"/>
    <w:rsid w:val="00363BAD"/>
    <w:rsid w:val="00363BBA"/>
    <w:rsid w:val="00363C7E"/>
    <w:rsid w:val="00363C81"/>
    <w:rsid w:val="00363CA7"/>
    <w:rsid w:val="00363CC4"/>
    <w:rsid w:val="00363CD4"/>
    <w:rsid w:val="00363CDB"/>
    <w:rsid w:val="00363DD5"/>
    <w:rsid w:val="00363F14"/>
    <w:rsid w:val="00363F48"/>
    <w:rsid w:val="0036405C"/>
    <w:rsid w:val="00364065"/>
    <w:rsid w:val="0036409F"/>
    <w:rsid w:val="003640F8"/>
    <w:rsid w:val="00364150"/>
    <w:rsid w:val="003641E0"/>
    <w:rsid w:val="0036427C"/>
    <w:rsid w:val="003642B0"/>
    <w:rsid w:val="003642B8"/>
    <w:rsid w:val="003642D3"/>
    <w:rsid w:val="0036431E"/>
    <w:rsid w:val="0036437D"/>
    <w:rsid w:val="003643DD"/>
    <w:rsid w:val="00364417"/>
    <w:rsid w:val="00364597"/>
    <w:rsid w:val="003645D2"/>
    <w:rsid w:val="00364724"/>
    <w:rsid w:val="00364762"/>
    <w:rsid w:val="00364789"/>
    <w:rsid w:val="0036494C"/>
    <w:rsid w:val="003649D6"/>
    <w:rsid w:val="003649F8"/>
    <w:rsid w:val="00364A0D"/>
    <w:rsid w:val="00364A7E"/>
    <w:rsid w:val="00364AE4"/>
    <w:rsid w:val="00364AEB"/>
    <w:rsid w:val="00364AF9"/>
    <w:rsid w:val="00364B17"/>
    <w:rsid w:val="00364B4E"/>
    <w:rsid w:val="00364B4F"/>
    <w:rsid w:val="00364B57"/>
    <w:rsid w:val="00364B73"/>
    <w:rsid w:val="00364B8A"/>
    <w:rsid w:val="00364C26"/>
    <w:rsid w:val="00364C5B"/>
    <w:rsid w:val="00364C60"/>
    <w:rsid w:val="00364C65"/>
    <w:rsid w:val="00364CE8"/>
    <w:rsid w:val="00364D16"/>
    <w:rsid w:val="00364D9D"/>
    <w:rsid w:val="00364DAF"/>
    <w:rsid w:val="00364E46"/>
    <w:rsid w:val="00364E95"/>
    <w:rsid w:val="00364ED1"/>
    <w:rsid w:val="00364F6E"/>
    <w:rsid w:val="0036504F"/>
    <w:rsid w:val="003650A8"/>
    <w:rsid w:val="003650C2"/>
    <w:rsid w:val="0036514B"/>
    <w:rsid w:val="0036516F"/>
    <w:rsid w:val="00365186"/>
    <w:rsid w:val="00365196"/>
    <w:rsid w:val="003651C4"/>
    <w:rsid w:val="00365231"/>
    <w:rsid w:val="0036526B"/>
    <w:rsid w:val="003652A3"/>
    <w:rsid w:val="003652C0"/>
    <w:rsid w:val="003652CE"/>
    <w:rsid w:val="00365318"/>
    <w:rsid w:val="00365349"/>
    <w:rsid w:val="0036539B"/>
    <w:rsid w:val="003654FC"/>
    <w:rsid w:val="00365517"/>
    <w:rsid w:val="00365575"/>
    <w:rsid w:val="00365585"/>
    <w:rsid w:val="0036561D"/>
    <w:rsid w:val="00365645"/>
    <w:rsid w:val="00365686"/>
    <w:rsid w:val="0036573B"/>
    <w:rsid w:val="00365741"/>
    <w:rsid w:val="0036575C"/>
    <w:rsid w:val="003657AD"/>
    <w:rsid w:val="003657F9"/>
    <w:rsid w:val="00365802"/>
    <w:rsid w:val="00365828"/>
    <w:rsid w:val="00365830"/>
    <w:rsid w:val="00365866"/>
    <w:rsid w:val="003658AB"/>
    <w:rsid w:val="00365975"/>
    <w:rsid w:val="003659B3"/>
    <w:rsid w:val="003659ED"/>
    <w:rsid w:val="00365A57"/>
    <w:rsid w:val="00365AD3"/>
    <w:rsid w:val="00365B0F"/>
    <w:rsid w:val="00365B55"/>
    <w:rsid w:val="00365B63"/>
    <w:rsid w:val="00365B9D"/>
    <w:rsid w:val="00365BAF"/>
    <w:rsid w:val="00365C12"/>
    <w:rsid w:val="00365C1D"/>
    <w:rsid w:val="00365C43"/>
    <w:rsid w:val="00365CC5"/>
    <w:rsid w:val="00365CF0"/>
    <w:rsid w:val="00365D11"/>
    <w:rsid w:val="00365D8E"/>
    <w:rsid w:val="00365DFF"/>
    <w:rsid w:val="00365E77"/>
    <w:rsid w:val="00365E96"/>
    <w:rsid w:val="00365F32"/>
    <w:rsid w:val="00366059"/>
    <w:rsid w:val="00366109"/>
    <w:rsid w:val="0036610B"/>
    <w:rsid w:val="0036611C"/>
    <w:rsid w:val="0036611D"/>
    <w:rsid w:val="0036614C"/>
    <w:rsid w:val="003661BB"/>
    <w:rsid w:val="00366200"/>
    <w:rsid w:val="00366281"/>
    <w:rsid w:val="003662B2"/>
    <w:rsid w:val="003662CE"/>
    <w:rsid w:val="003662E0"/>
    <w:rsid w:val="003662EB"/>
    <w:rsid w:val="0036640E"/>
    <w:rsid w:val="003664C5"/>
    <w:rsid w:val="003664DE"/>
    <w:rsid w:val="00366516"/>
    <w:rsid w:val="00366533"/>
    <w:rsid w:val="0036653D"/>
    <w:rsid w:val="00366546"/>
    <w:rsid w:val="003665A2"/>
    <w:rsid w:val="003665A8"/>
    <w:rsid w:val="0036660F"/>
    <w:rsid w:val="00366618"/>
    <w:rsid w:val="00366645"/>
    <w:rsid w:val="0036668D"/>
    <w:rsid w:val="003666C1"/>
    <w:rsid w:val="00366793"/>
    <w:rsid w:val="003667BE"/>
    <w:rsid w:val="003667C2"/>
    <w:rsid w:val="003667CA"/>
    <w:rsid w:val="0036686B"/>
    <w:rsid w:val="00366950"/>
    <w:rsid w:val="003669AD"/>
    <w:rsid w:val="003669B2"/>
    <w:rsid w:val="003669ED"/>
    <w:rsid w:val="003669F3"/>
    <w:rsid w:val="00366AD2"/>
    <w:rsid w:val="00366B2C"/>
    <w:rsid w:val="00366B86"/>
    <w:rsid w:val="00366BE0"/>
    <w:rsid w:val="00366C89"/>
    <w:rsid w:val="00366CD1"/>
    <w:rsid w:val="00366D68"/>
    <w:rsid w:val="00366D72"/>
    <w:rsid w:val="00366D9B"/>
    <w:rsid w:val="00366DC1"/>
    <w:rsid w:val="00366DD1"/>
    <w:rsid w:val="00366DD9"/>
    <w:rsid w:val="00366E04"/>
    <w:rsid w:val="00366E2B"/>
    <w:rsid w:val="00366E3C"/>
    <w:rsid w:val="00366E4C"/>
    <w:rsid w:val="00366E62"/>
    <w:rsid w:val="00366E67"/>
    <w:rsid w:val="00366EA0"/>
    <w:rsid w:val="00366F01"/>
    <w:rsid w:val="00366F96"/>
    <w:rsid w:val="0036705B"/>
    <w:rsid w:val="0036709D"/>
    <w:rsid w:val="00367169"/>
    <w:rsid w:val="00367269"/>
    <w:rsid w:val="00367293"/>
    <w:rsid w:val="003672B2"/>
    <w:rsid w:val="003672C1"/>
    <w:rsid w:val="0036730E"/>
    <w:rsid w:val="00367317"/>
    <w:rsid w:val="00367323"/>
    <w:rsid w:val="00367384"/>
    <w:rsid w:val="0036745E"/>
    <w:rsid w:val="003674BE"/>
    <w:rsid w:val="0036759C"/>
    <w:rsid w:val="0036759D"/>
    <w:rsid w:val="003675C4"/>
    <w:rsid w:val="00367616"/>
    <w:rsid w:val="0036761C"/>
    <w:rsid w:val="003677CD"/>
    <w:rsid w:val="00367810"/>
    <w:rsid w:val="00367823"/>
    <w:rsid w:val="003678FE"/>
    <w:rsid w:val="003679B3"/>
    <w:rsid w:val="003679C5"/>
    <w:rsid w:val="00367A4F"/>
    <w:rsid w:val="00367A53"/>
    <w:rsid w:val="00367ADB"/>
    <w:rsid w:val="00367BA4"/>
    <w:rsid w:val="00367BAC"/>
    <w:rsid w:val="00367BEE"/>
    <w:rsid w:val="00367C0C"/>
    <w:rsid w:val="00367C65"/>
    <w:rsid w:val="00367C6A"/>
    <w:rsid w:val="00367D1D"/>
    <w:rsid w:val="00367DA4"/>
    <w:rsid w:val="00367DDA"/>
    <w:rsid w:val="00367EA3"/>
    <w:rsid w:val="00367F10"/>
    <w:rsid w:val="00367F6C"/>
    <w:rsid w:val="00367F89"/>
    <w:rsid w:val="00370002"/>
    <w:rsid w:val="003700E1"/>
    <w:rsid w:val="003700F6"/>
    <w:rsid w:val="0037013B"/>
    <w:rsid w:val="00370150"/>
    <w:rsid w:val="003701B6"/>
    <w:rsid w:val="00370257"/>
    <w:rsid w:val="0037028C"/>
    <w:rsid w:val="00370334"/>
    <w:rsid w:val="00370348"/>
    <w:rsid w:val="00370385"/>
    <w:rsid w:val="003704F5"/>
    <w:rsid w:val="00370509"/>
    <w:rsid w:val="0037058A"/>
    <w:rsid w:val="003705AA"/>
    <w:rsid w:val="003705B0"/>
    <w:rsid w:val="003705E3"/>
    <w:rsid w:val="00370607"/>
    <w:rsid w:val="003706A9"/>
    <w:rsid w:val="003706C0"/>
    <w:rsid w:val="003706FE"/>
    <w:rsid w:val="00370757"/>
    <w:rsid w:val="003707FC"/>
    <w:rsid w:val="00370858"/>
    <w:rsid w:val="003708BE"/>
    <w:rsid w:val="0037091C"/>
    <w:rsid w:val="00370920"/>
    <w:rsid w:val="0037093A"/>
    <w:rsid w:val="0037097C"/>
    <w:rsid w:val="00370A44"/>
    <w:rsid w:val="00370A7A"/>
    <w:rsid w:val="00370ABE"/>
    <w:rsid w:val="00370AD1"/>
    <w:rsid w:val="00370B03"/>
    <w:rsid w:val="00370B04"/>
    <w:rsid w:val="00370B0C"/>
    <w:rsid w:val="00370B9A"/>
    <w:rsid w:val="00370C32"/>
    <w:rsid w:val="00370C36"/>
    <w:rsid w:val="00370C38"/>
    <w:rsid w:val="00370C99"/>
    <w:rsid w:val="00370D7A"/>
    <w:rsid w:val="00370DB2"/>
    <w:rsid w:val="00370E00"/>
    <w:rsid w:val="00370E51"/>
    <w:rsid w:val="00370E77"/>
    <w:rsid w:val="00370EF5"/>
    <w:rsid w:val="00370F76"/>
    <w:rsid w:val="00370FA3"/>
    <w:rsid w:val="00370FBE"/>
    <w:rsid w:val="00370FC7"/>
    <w:rsid w:val="0037107A"/>
    <w:rsid w:val="00371094"/>
    <w:rsid w:val="003710DB"/>
    <w:rsid w:val="003710E8"/>
    <w:rsid w:val="00371138"/>
    <w:rsid w:val="003711C9"/>
    <w:rsid w:val="003711CB"/>
    <w:rsid w:val="0037127A"/>
    <w:rsid w:val="003713A6"/>
    <w:rsid w:val="003714BD"/>
    <w:rsid w:val="003714C4"/>
    <w:rsid w:val="0037150A"/>
    <w:rsid w:val="00371608"/>
    <w:rsid w:val="00371685"/>
    <w:rsid w:val="0037168A"/>
    <w:rsid w:val="003716B3"/>
    <w:rsid w:val="003716C1"/>
    <w:rsid w:val="00371782"/>
    <w:rsid w:val="00371783"/>
    <w:rsid w:val="003717A8"/>
    <w:rsid w:val="00371886"/>
    <w:rsid w:val="00371912"/>
    <w:rsid w:val="00371927"/>
    <w:rsid w:val="00371995"/>
    <w:rsid w:val="003719E1"/>
    <w:rsid w:val="00371A17"/>
    <w:rsid w:val="00371A83"/>
    <w:rsid w:val="00371AA1"/>
    <w:rsid w:val="00371AE0"/>
    <w:rsid w:val="00371AEB"/>
    <w:rsid w:val="00371B49"/>
    <w:rsid w:val="00371BF1"/>
    <w:rsid w:val="00371C2B"/>
    <w:rsid w:val="00371CA0"/>
    <w:rsid w:val="00371D2F"/>
    <w:rsid w:val="00371D49"/>
    <w:rsid w:val="00371D4C"/>
    <w:rsid w:val="00371DE0"/>
    <w:rsid w:val="00371DFB"/>
    <w:rsid w:val="00371E76"/>
    <w:rsid w:val="00371EA2"/>
    <w:rsid w:val="00371F87"/>
    <w:rsid w:val="00371FD0"/>
    <w:rsid w:val="0037207F"/>
    <w:rsid w:val="003720DE"/>
    <w:rsid w:val="00372174"/>
    <w:rsid w:val="003721CE"/>
    <w:rsid w:val="003721F6"/>
    <w:rsid w:val="00372214"/>
    <w:rsid w:val="00372262"/>
    <w:rsid w:val="003722AC"/>
    <w:rsid w:val="00372309"/>
    <w:rsid w:val="00372338"/>
    <w:rsid w:val="00372386"/>
    <w:rsid w:val="00372445"/>
    <w:rsid w:val="0037258C"/>
    <w:rsid w:val="00372632"/>
    <w:rsid w:val="0037267B"/>
    <w:rsid w:val="00372701"/>
    <w:rsid w:val="00372748"/>
    <w:rsid w:val="00372751"/>
    <w:rsid w:val="00372755"/>
    <w:rsid w:val="00372768"/>
    <w:rsid w:val="00372769"/>
    <w:rsid w:val="0037278A"/>
    <w:rsid w:val="003727F8"/>
    <w:rsid w:val="00372857"/>
    <w:rsid w:val="0037285C"/>
    <w:rsid w:val="00372867"/>
    <w:rsid w:val="003728D8"/>
    <w:rsid w:val="003728DD"/>
    <w:rsid w:val="00372954"/>
    <w:rsid w:val="00372980"/>
    <w:rsid w:val="003729D7"/>
    <w:rsid w:val="003729E7"/>
    <w:rsid w:val="00372A8D"/>
    <w:rsid w:val="00372B21"/>
    <w:rsid w:val="00372B27"/>
    <w:rsid w:val="00372B50"/>
    <w:rsid w:val="00372B88"/>
    <w:rsid w:val="00372BBD"/>
    <w:rsid w:val="00372BE8"/>
    <w:rsid w:val="00372BEF"/>
    <w:rsid w:val="00372C33"/>
    <w:rsid w:val="00372C96"/>
    <w:rsid w:val="00372D35"/>
    <w:rsid w:val="00372D41"/>
    <w:rsid w:val="00372D92"/>
    <w:rsid w:val="00372DB8"/>
    <w:rsid w:val="00372DC9"/>
    <w:rsid w:val="00372DD1"/>
    <w:rsid w:val="00372F2F"/>
    <w:rsid w:val="00372FE8"/>
    <w:rsid w:val="0037310B"/>
    <w:rsid w:val="00373111"/>
    <w:rsid w:val="003731B6"/>
    <w:rsid w:val="003731CE"/>
    <w:rsid w:val="003731E9"/>
    <w:rsid w:val="0037320C"/>
    <w:rsid w:val="0037323D"/>
    <w:rsid w:val="0037328A"/>
    <w:rsid w:val="003732B7"/>
    <w:rsid w:val="00373307"/>
    <w:rsid w:val="0037337E"/>
    <w:rsid w:val="0037338F"/>
    <w:rsid w:val="0037344F"/>
    <w:rsid w:val="0037345F"/>
    <w:rsid w:val="00373538"/>
    <w:rsid w:val="00373539"/>
    <w:rsid w:val="00373541"/>
    <w:rsid w:val="003736F9"/>
    <w:rsid w:val="00373728"/>
    <w:rsid w:val="0037372E"/>
    <w:rsid w:val="0037375C"/>
    <w:rsid w:val="00373769"/>
    <w:rsid w:val="00373793"/>
    <w:rsid w:val="003737B1"/>
    <w:rsid w:val="003737C2"/>
    <w:rsid w:val="003737C5"/>
    <w:rsid w:val="003737D4"/>
    <w:rsid w:val="00373844"/>
    <w:rsid w:val="00373867"/>
    <w:rsid w:val="003738B2"/>
    <w:rsid w:val="003738DC"/>
    <w:rsid w:val="003738E0"/>
    <w:rsid w:val="003738F3"/>
    <w:rsid w:val="00373B0E"/>
    <w:rsid w:val="00373B87"/>
    <w:rsid w:val="00373BBC"/>
    <w:rsid w:val="00373C31"/>
    <w:rsid w:val="00373CA6"/>
    <w:rsid w:val="00373CB0"/>
    <w:rsid w:val="00373CC6"/>
    <w:rsid w:val="00373D18"/>
    <w:rsid w:val="00373DA0"/>
    <w:rsid w:val="00373DAE"/>
    <w:rsid w:val="00373DC5"/>
    <w:rsid w:val="00373DD2"/>
    <w:rsid w:val="00373DE3"/>
    <w:rsid w:val="00373DF4"/>
    <w:rsid w:val="00373E8D"/>
    <w:rsid w:val="00373F37"/>
    <w:rsid w:val="00373F5A"/>
    <w:rsid w:val="00373FF6"/>
    <w:rsid w:val="00374062"/>
    <w:rsid w:val="0037411F"/>
    <w:rsid w:val="0037415B"/>
    <w:rsid w:val="00374179"/>
    <w:rsid w:val="0037419C"/>
    <w:rsid w:val="003741AC"/>
    <w:rsid w:val="0037426A"/>
    <w:rsid w:val="00374327"/>
    <w:rsid w:val="0037434C"/>
    <w:rsid w:val="00374382"/>
    <w:rsid w:val="00374470"/>
    <w:rsid w:val="003744AB"/>
    <w:rsid w:val="003744C5"/>
    <w:rsid w:val="003744CC"/>
    <w:rsid w:val="00374560"/>
    <w:rsid w:val="00374633"/>
    <w:rsid w:val="0037465E"/>
    <w:rsid w:val="00374679"/>
    <w:rsid w:val="003746D0"/>
    <w:rsid w:val="003746EB"/>
    <w:rsid w:val="00374746"/>
    <w:rsid w:val="00374768"/>
    <w:rsid w:val="00374786"/>
    <w:rsid w:val="0037484C"/>
    <w:rsid w:val="003748A7"/>
    <w:rsid w:val="003748AF"/>
    <w:rsid w:val="00374941"/>
    <w:rsid w:val="00374963"/>
    <w:rsid w:val="003749AE"/>
    <w:rsid w:val="00374ACE"/>
    <w:rsid w:val="00374AF3"/>
    <w:rsid w:val="00374B2E"/>
    <w:rsid w:val="00374BB1"/>
    <w:rsid w:val="00374C89"/>
    <w:rsid w:val="00374CFD"/>
    <w:rsid w:val="00374DC1"/>
    <w:rsid w:val="00374E25"/>
    <w:rsid w:val="00374E3E"/>
    <w:rsid w:val="00374E54"/>
    <w:rsid w:val="00374E63"/>
    <w:rsid w:val="00374E9B"/>
    <w:rsid w:val="00374EB1"/>
    <w:rsid w:val="00374EDE"/>
    <w:rsid w:val="00374EFA"/>
    <w:rsid w:val="00374F16"/>
    <w:rsid w:val="00374F7E"/>
    <w:rsid w:val="00374FE0"/>
    <w:rsid w:val="00374FE4"/>
    <w:rsid w:val="00375039"/>
    <w:rsid w:val="00375077"/>
    <w:rsid w:val="003750AA"/>
    <w:rsid w:val="003750ED"/>
    <w:rsid w:val="003750FD"/>
    <w:rsid w:val="0037511A"/>
    <w:rsid w:val="003751C4"/>
    <w:rsid w:val="003751F6"/>
    <w:rsid w:val="00375216"/>
    <w:rsid w:val="0037521B"/>
    <w:rsid w:val="00375274"/>
    <w:rsid w:val="003752AC"/>
    <w:rsid w:val="0037535C"/>
    <w:rsid w:val="00375366"/>
    <w:rsid w:val="00375373"/>
    <w:rsid w:val="0037539A"/>
    <w:rsid w:val="003753C8"/>
    <w:rsid w:val="003754A9"/>
    <w:rsid w:val="0037558D"/>
    <w:rsid w:val="003755AA"/>
    <w:rsid w:val="003755E3"/>
    <w:rsid w:val="003755F8"/>
    <w:rsid w:val="00375721"/>
    <w:rsid w:val="00375733"/>
    <w:rsid w:val="00375763"/>
    <w:rsid w:val="003757A0"/>
    <w:rsid w:val="003757B7"/>
    <w:rsid w:val="003757D0"/>
    <w:rsid w:val="003757E5"/>
    <w:rsid w:val="00375861"/>
    <w:rsid w:val="00375900"/>
    <w:rsid w:val="00375994"/>
    <w:rsid w:val="003759E9"/>
    <w:rsid w:val="00375A02"/>
    <w:rsid w:val="00375A08"/>
    <w:rsid w:val="00375A11"/>
    <w:rsid w:val="00375A5D"/>
    <w:rsid w:val="00375AC5"/>
    <w:rsid w:val="00375ADE"/>
    <w:rsid w:val="00375B78"/>
    <w:rsid w:val="00375C39"/>
    <w:rsid w:val="00375C8D"/>
    <w:rsid w:val="00375CA1"/>
    <w:rsid w:val="00375D63"/>
    <w:rsid w:val="00375DC1"/>
    <w:rsid w:val="00375DCC"/>
    <w:rsid w:val="00375DE5"/>
    <w:rsid w:val="00375E04"/>
    <w:rsid w:val="00375E39"/>
    <w:rsid w:val="00375E3E"/>
    <w:rsid w:val="00375E94"/>
    <w:rsid w:val="00375EB6"/>
    <w:rsid w:val="00375F3E"/>
    <w:rsid w:val="00375FCD"/>
    <w:rsid w:val="003761A8"/>
    <w:rsid w:val="003761D3"/>
    <w:rsid w:val="003762D6"/>
    <w:rsid w:val="003762EB"/>
    <w:rsid w:val="003762F7"/>
    <w:rsid w:val="0037634E"/>
    <w:rsid w:val="00376354"/>
    <w:rsid w:val="00376419"/>
    <w:rsid w:val="0037653B"/>
    <w:rsid w:val="00376555"/>
    <w:rsid w:val="0037655B"/>
    <w:rsid w:val="003765AB"/>
    <w:rsid w:val="00376604"/>
    <w:rsid w:val="00376607"/>
    <w:rsid w:val="00376623"/>
    <w:rsid w:val="0037663D"/>
    <w:rsid w:val="00376702"/>
    <w:rsid w:val="00376763"/>
    <w:rsid w:val="003767C0"/>
    <w:rsid w:val="003767CF"/>
    <w:rsid w:val="003767D0"/>
    <w:rsid w:val="003767DF"/>
    <w:rsid w:val="00376868"/>
    <w:rsid w:val="00376A53"/>
    <w:rsid w:val="00376A5B"/>
    <w:rsid w:val="00376AEF"/>
    <w:rsid w:val="00376C64"/>
    <w:rsid w:val="00376C75"/>
    <w:rsid w:val="00376C7A"/>
    <w:rsid w:val="00376CB5"/>
    <w:rsid w:val="00376D09"/>
    <w:rsid w:val="00376D76"/>
    <w:rsid w:val="00376DEB"/>
    <w:rsid w:val="00376E9D"/>
    <w:rsid w:val="00376EAD"/>
    <w:rsid w:val="00376F16"/>
    <w:rsid w:val="00377010"/>
    <w:rsid w:val="0037704A"/>
    <w:rsid w:val="003770B3"/>
    <w:rsid w:val="003770B4"/>
    <w:rsid w:val="003770C6"/>
    <w:rsid w:val="00377162"/>
    <w:rsid w:val="003771A5"/>
    <w:rsid w:val="003771BC"/>
    <w:rsid w:val="003771C1"/>
    <w:rsid w:val="003771D3"/>
    <w:rsid w:val="00377215"/>
    <w:rsid w:val="00377286"/>
    <w:rsid w:val="003772D9"/>
    <w:rsid w:val="00377306"/>
    <w:rsid w:val="0037732F"/>
    <w:rsid w:val="0037740C"/>
    <w:rsid w:val="00377455"/>
    <w:rsid w:val="00377476"/>
    <w:rsid w:val="003774A3"/>
    <w:rsid w:val="003774C3"/>
    <w:rsid w:val="003774E9"/>
    <w:rsid w:val="00377539"/>
    <w:rsid w:val="0037762D"/>
    <w:rsid w:val="003776E9"/>
    <w:rsid w:val="003776EA"/>
    <w:rsid w:val="003777AC"/>
    <w:rsid w:val="0037782B"/>
    <w:rsid w:val="003778B1"/>
    <w:rsid w:val="003778B3"/>
    <w:rsid w:val="003778F4"/>
    <w:rsid w:val="00377924"/>
    <w:rsid w:val="00377926"/>
    <w:rsid w:val="00377A51"/>
    <w:rsid w:val="00377A60"/>
    <w:rsid w:val="00377B6D"/>
    <w:rsid w:val="00377B7F"/>
    <w:rsid w:val="00377B87"/>
    <w:rsid w:val="00377BEB"/>
    <w:rsid w:val="00377C09"/>
    <w:rsid w:val="00377C1A"/>
    <w:rsid w:val="00377C5E"/>
    <w:rsid w:val="00377D1B"/>
    <w:rsid w:val="00377D74"/>
    <w:rsid w:val="00377D80"/>
    <w:rsid w:val="00377DE8"/>
    <w:rsid w:val="00377E05"/>
    <w:rsid w:val="00377E3A"/>
    <w:rsid w:val="00377E9C"/>
    <w:rsid w:val="00377F7A"/>
    <w:rsid w:val="00377FCE"/>
    <w:rsid w:val="00377FEA"/>
    <w:rsid w:val="00377FF8"/>
    <w:rsid w:val="0038001D"/>
    <w:rsid w:val="0038008B"/>
    <w:rsid w:val="003800BD"/>
    <w:rsid w:val="0038018B"/>
    <w:rsid w:val="003801E4"/>
    <w:rsid w:val="0038024E"/>
    <w:rsid w:val="003802D3"/>
    <w:rsid w:val="003802FE"/>
    <w:rsid w:val="003803A7"/>
    <w:rsid w:val="003803BA"/>
    <w:rsid w:val="003803E5"/>
    <w:rsid w:val="00380403"/>
    <w:rsid w:val="003804F5"/>
    <w:rsid w:val="00380537"/>
    <w:rsid w:val="00380593"/>
    <w:rsid w:val="00380676"/>
    <w:rsid w:val="0038067E"/>
    <w:rsid w:val="003806FD"/>
    <w:rsid w:val="0038076F"/>
    <w:rsid w:val="00380770"/>
    <w:rsid w:val="003807D8"/>
    <w:rsid w:val="00380824"/>
    <w:rsid w:val="00380991"/>
    <w:rsid w:val="003809EF"/>
    <w:rsid w:val="00380AA7"/>
    <w:rsid w:val="00380AC2"/>
    <w:rsid w:val="00380ADA"/>
    <w:rsid w:val="00380AE4"/>
    <w:rsid w:val="00380B7D"/>
    <w:rsid w:val="00380BD0"/>
    <w:rsid w:val="00380C18"/>
    <w:rsid w:val="00380CD8"/>
    <w:rsid w:val="00380D9D"/>
    <w:rsid w:val="00380DA3"/>
    <w:rsid w:val="00380DE8"/>
    <w:rsid w:val="00380E0B"/>
    <w:rsid w:val="00380EAC"/>
    <w:rsid w:val="00380EF2"/>
    <w:rsid w:val="00380F10"/>
    <w:rsid w:val="00380F4C"/>
    <w:rsid w:val="00381019"/>
    <w:rsid w:val="00381062"/>
    <w:rsid w:val="0038114B"/>
    <w:rsid w:val="0038115B"/>
    <w:rsid w:val="003811E1"/>
    <w:rsid w:val="00381236"/>
    <w:rsid w:val="00381282"/>
    <w:rsid w:val="00381288"/>
    <w:rsid w:val="003812E3"/>
    <w:rsid w:val="003812F7"/>
    <w:rsid w:val="0038137C"/>
    <w:rsid w:val="003813D3"/>
    <w:rsid w:val="003814AB"/>
    <w:rsid w:val="003814E2"/>
    <w:rsid w:val="003814F5"/>
    <w:rsid w:val="00381512"/>
    <w:rsid w:val="003815D2"/>
    <w:rsid w:val="003815DE"/>
    <w:rsid w:val="003815E8"/>
    <w:rsid w:val="00381699"/>
    <w:rsid w:val="003816BF"/>
    <w:rsid w:val="003816C6"/>
    <w:rsid w:val="00381748"/>
    <w:rsid w:val="0038175C"/>
    <w:rsid w:val="00381786"/>
    <w:rsid w:val="00381838"/>
    <w:rsid w:val="0038183F"/>
    <w:rsid w:val="0038184C"/>
    <w:rsid w:val="00381888"/>
    <w:rsid w:val="00381898"/>
    <w:rsid w:val="003818BF"/>
    <w:rsid w:val="003818CD"/>
    <w:rsid w:val="00381919"/>
    <w:rsid w:val="003819AB"/>
    <w:rsid w:val="00381A1A"/>
    <w:rsid w:val="00381A60"/>
    <w:rsid w:val="00381A84"/>
    <w:rsid w:val="00381B45"/>
    <w:rsid w:val="00381B5D"/>
    <w:rsid w:val="00381B6A"/>
    <w:rsid w:val="00381B79"/>
    <w:rsid w:val="00381B7F"/>
    <w:rsid w:val="00381BF5"/>
    <w:rsid w:val="00381C65"/>
    <w:rsid w:val="00381CFE"/>
    <w:rsid w:val="00381D22"/>
    <w:rsid w:val="00381D86"/>
    <w:rsid w:val="00381D9E"/>
    <w:rsid w:val="00381E28"/>
    <w:rsid w:val="00381EC7"/>
    <w:rsid w:val="00381EF7"/>
    <w:rsid w:val="00382015"/>
    <w:rsid w:val="003820C1"/>
    <w:rsid w:val="00382108"/>
    <w:rsid w:val="0038217B"/>
    <w:rsid w:val="003821EB"/>
    <w:rsid w:val="00382233"/>
    <w:rsid w:val="003822D9"/>
    <w:rsid w:val="00382338"/>
    <w:rsid w:val="0038236B"/>
    <w:rsid w:val="0038239E"/>
    <w:rsid w:val="003823DE"/>
    <w:rsid w:val="00382471"/>
    <w:rsid w:val="003825D1"/>
    <w:rsid w:val="003825E5"/>
    <w:rsid w:val="003826E8"/>
    <w:rsid w:val="0038271F"/>
    <w:rsid w:val="00382743"/>
    <w:rsid w:val="00382764"/>
    <w:rsid w:val="0038277F"/>
    <w:rsid w:val="003827F2"/>
    <w:rsid w:val="00382807"/>
    <w:rsid w:val="00382977"/>
    <w:rsid w:val="00382983"/>
    <w:rsid w:val="003829EE"/>
    <w:rsid w:val="00382A25"/>
    <w:rsid w:val="00382A45"/>
    <w:rsid w:val="00382B40"/>
    <w:rsid w:val="00382C06"/>
    <w:rsid w:val="00382CDE"/>
    <w:rsid w:val="00382D4B"/>
    <w:rsid w:val="00382DC2"/>
    <w:rsid w:val="00382E12"/>
    <w:rsid w:val="00382E44"/>
    <w:rsid w:val="00382F1C"/>
    <w:rsid w:val="00382F29"/>
    <w:rsid w:val="00382F6F"/>
    <w:rsid w:val="00382FAF"/>
    <w:rsid w:val="0038309F"/>
    <w:rsid w:val="003830E2"/>
    <w:rsid w:val="00383283"/>
    <w:rsid w:val="00383316"/>
    <w:rsid w:val="00383322"/>
    <w:rsid w:val="003833CC"/>
    <w:rsid w:val="00383410"/>
    <w:rsid w:val="003834C6"/>
    <w:rsid w:val="00383559"/>
    <w:rsid w:val="00383594"/>
    <w:rsid w:val="003835C8"/>
    <w:rsid w:val="003835D2"/>
    <w:rsid w:val="0038363D"/>
    <w:rsid w:val="0038367B"/>
    <w:rsid w:val="003836C2"/>
    <w:rsid w:val="003836F8"/>
    <w:rsid w:val="0038370C"/>
    <w:rsid w:val="00383789"/>
    <w:rsid w:val="003837FC"/>
    <w:rsid w:val="00383808"/>
    <w:rsid w:val="00383809"/>
    <w:rsid w:val="0038389B"/>
    <w:rsid w:val="003838BE"/>
    <w:rsid w:val="00383905"/>
    <w:rsid w:val="00383921"/>
    <w:rsid w:val="00383943"/>
    <w:rsid w:val="003839D3"/>
    <w:rsid w:val="003839F9"/>
    <w:rsid w:val="00383A04"/>
    <w:rsid w:val="00383A23"/>
    <w:rsid w:val="00383A35"/>
    <w:rsid w:val="00383A3F"/>
    <w:rsid w:val="00383AF7"/>
    <w:rsid w:val="00383B1D"/>
    <w:rsid w:val="00383B59"/>
    <w:rsid w:val="00383B5D"/>
    <w:rsid w:val="00383BC1"/>
    <w:rsid w:val="00383BC5"/>
    <w:rsid w:val="00383BF9"/>
    <w:rsid w:val="00383C11"/>
    <w:rsid w:val="00383C5A"/>
    <w:rsid w:val="00383C65"/>
    <w:rsid w:val="00383C7A"/>
    <w:rsid w:val="00383C82"/>
    <w:rsid w:val="00383D9C"/>
    <w:rsid w:val="00383DD5"/>
    <w:rsid w:val="00383E04"/>
    <w:rsid w:val="00383E70"/>
    <w:rsid w:val="00383EC2"/>
    <w:rsid w:val="00383ECA"/>
    <w:rsid w:val="00383F1A"/>
    <w:rsid w:val="00383FB8"/>
    <w:rsid w:val="00383FC3"/>
    <w:rsid w:val="00384041"/>
    <w:rsid w:val="0038404A"/>
    <w:rsid w:val="00384100"/>
    <w:rsid w:val="00384103"/>
    <w:rsid w:val="003842A6"/>
    <w:rsid w:val="00384306"/>
    <w:rsid w:val="0038430E"/>
    <w:rsid w:val="0038435C"/>
    <w:rsid w:val="00384388"/>
    <w:rsid w:val="003843CE"/>
    <w:rsid w:val="0038440D"/>
    <w:rsid w:val="0038441B"/>
    <w:rsid w:val="003844E8"/>
    <w:rsid w:val="00384530"/>
    <w:rsid w:val="0038458D"/>
    <w:rsid w:val="003845ED"/>
    <w:rsid w:val="003846AF"/>
    <w:rsid w:val="003846C1"/>
    <w:rsid w:val="003846F3"/>
    <w:rsid w:val="00384776"/>
    <w:rsid w:val="00384786"/>
    <w:rsid w:val="003847BC"/>
    <w:rsid w:val="00384803"/>
    <w:rsid w:val="00384837"/>
    <w:rsid w:val="0038499B"/>
    <w:rsid w:val="003849D5"/>
    <w:rsid w:val="003849E0"/>
    <w:rsid w:val="003849FB"/>
    <w:rsid w:val="00384A2E"/>
    <w:rsid w:val="00384A79"/>
    <w:rsid w:val="00384A82"/>
    <w:rsid w:val="00384B89"/>
    <w:rsid w:val="00384BCE"/>
    <w:rsid w:val="00384BD4"/>
    <w:rsid w:val="00384C16"/>
    <w:rsid w:val="00384C2B"/>
    <w:rsid w:val="00384C37"/>
    <w:rsid w:val="00384D85"/>
    <w:rsid w:val="00384DC2"/>
    <w:rsid w:val="00384DF7"/>
    <w:rsid w:val="00384E31"/>
    <w:rsid w:val="00384E33"/>
    <w:rsid w:val="00384E76"/>
    <w:rsid w:val="00384E8C"/>
    <w:rsid w:val="00384F8F"/>
    <w:rsid w:val="00384F9C"/>
    <w:rsid w:val="00384FAC"/>
    <w:rsid w:val="00384FD3"/>
    <w:rsid w:val="00384FEB"/>
    <w:rsid w:val="00385081"/>
    <w:rsid w:val="00385086"/>
    <w:rsid w:val="00385163"/>
    <w:rsid w:val="00385168"/>
    <w:rsid w:val="00385178"/>
    <w:rsid w:val="003852B3"/>
    <w:rsid w:val="0038535D"/>
    <w:rsid w:val="00385399"/>
    <w:rsid w:val="0038541D"/>
    <w:rsid w:val="0038546D"/>
    <w:rsid w:val="0038548B"/>
    <w:rsid w:val="003854AB"/>
    <w:rsid w:val="003855AF"/>
    <w:rsid w:val="003855CB"/>
    <w:rsid w:val="003856C3"/>
    <w:rsid w:val="003856CD"/>
    <w:rsid w:val="003856D6"/>
    <w:rsid w:val="00385725"/>
    <w:rsid w:val="0038573E"/>
    <w:rsid w:val="00385829"/>
    <w:rsid w:val="0038584E"/>
    <w:rsid w:val="003858AB"/>
    <w:rsid w:val="0038595C"/>
    <w:rsid w:val="00385966"/>
    <w:rsid w:val="003859BF"/>
    <w:rsid w:val="00385A0C"/>
    <w:rsid w:val="00385A1D"/>
    <w:rsid w:val="00385A32"/>
    <w:rsid w:val="00385AE4"/>
    <w:rsid w:val="00385B11"/>
    <w:rsid w:val="00385B2F"/>
    <w:rsid w:val="00385B72"/>
    <w:rsid w:val="00385BE2"/>
    <w:rsid w:val="00385C1A"/>
    <w:rsid w:val="00385C2C"/>
    <w:rsid w:val="00385CEB"/>
    <w:rsid w:val="00385DA2"/>
    <w:rsid w:val="00385DA6"/>
    <w:rsid w:val="00385DE8"/>
    <w:rsid w:val="00385DF7"/>
    <w:rsid w:val="00385EDB"/>
    <w:rsid w:val="00385F0E"/>
    <w:rsid w:val="00385F27"/>
    <w:rsid w:val="0038602D"/>
    <w:rsid w:val="0038603E"/>
    <w:rsid w:val="003860B3"/>
    <w:rsid w:val="00386114"/>
    <w:rsid w:val="0038616B"/>
    <w:rsid w:val="0038618D"/>
    <w:rsid w:val="003861A1"/>
    <w:rsid w:val="003861A7"/>
    <w:rsid w:val="0038622E"/>
    <w:rsid w:val="00386292"/>
    <w:rsid w:val="00386307"/>
    <w:rsid w:val="00386315"/>
    <w:rsid w:val="003863BC"/>
    <w:rsid w:val="003863FB"/>
    <w:rsid w:val="00386433"/>
    <w:rsid w:val="00386499"/>
    <w:rsid w:val="00386539"/>
    <w:rsid w:val="00386558"/>
    <w:rsid w:val="0038660C"/>
    <w:rsid w:val="0038668E"/>
    <w:rsid w:val="0038670A"/>
    <w:rsid w:val="00386737"/>
    <w:rsid w:val="0038684F"/>
    <w:rsid w:val="003869FC"/>
    <w:rsid w:val="00386ACA"/>
    <w:rsid w:val="00386AEA"/>
    <w:rsid w:val="00386C18"/>
    <w:rsid w:val="00386C6D"/>
    <w:rsid w:val="00386C6E"/>
    <w:rsid w:val="00386C90"/>
    <w:rsid w:val="00386CB4"/>
    <w:rsid w:val="00386D29"/>
    <w:rsid w:val="00386DA8"/>
    <w:rsid w:val="00386DBD"/>
    <w:rsid w:val="00386E69"/>
    <w:rsid w:val="00386E70"/>
    <w:rsid w:val="00386EB7"/>
    <w:rsid w:val="00386EC2"/>
    <w:rsid w:val="00386F0E"/>
    <w:rsid w:val="00386F2C"/>
    <w:rsid w:val="00386F93"/>
    <w:rsid w:val="00386FD2"/>
    <w:rsid w:val="00387039"/>
    <w:rsid w:val="00387080"/>
    <w:rsid w:val="00387083"/>
    <w:rsid w:val="003870B5"/>
    <w:rsid w:val="003870BA"/>
    <w:rsid w:val="00387123"/>
    <w:rsid w:val="00387132"/>
    <w:rsid w:val="0038716F"/>
    <w:rsid w:val="00387247"/>
    <w:rsid w:val="00387274"/>
    <w:rsid w:val="00387294"/>
    <w:rsid w:val="003872C1"/>
    <w:rsid w:val="003872D9"/>
    <w:rsid w:val="003872E6"/>
    <w:rsid w:val="0038735E"/>
    <w:rsid w:val="00387368"/>
    <w:rsid w:val="00387440"/>
    <w:rsid w:val="0038748F"/>
    <w:rsid w:val="00387573"/>
    <w:rsid w:val="003875A1"/>
    <w:rsid w:val="00387645"/>
    <w:rsid w:val="00387650"/>
    <w:rsid w:val="0038767A"/>
    <w:rsid w:val="00387714"/>
    <w:rsid w:val="0038776A"/>
    <w:rsid w:val="00387794"/>
    <w:rsid w:val="00387796"/>
    <w:rsid w:val="0038782E"/>
    <w:rsid w:val="003878B8"/>
    <w:rsid w:val="003878EF"/>
    <w:rsid w:val="00387950"/>
    <w:rsid w:val="0038796C"/>
    <w:rsid w:val="00387993"/>
    <w:rsid w:val="00387996"/>
    <w:rsid w:val="003879D8"/>
    <w:rsid w:val="003879E8"/>
    <w:rsid w:val="00387A33"/>
    <w:rsid w:val="00387A67"/>
    <w:rsid w:val="00387ABC"/>
    <w:rsid w:val="00387C48"/>
    <w:rsid w:val="00387C53"/>
    <w:rsid w:val="00387D41"/>
    <w:rsid w:val="00387D67"/>
    <w:rsid w:val="00387DA2"/>
    <w:rsid w:val="00387DA4"/>
    <w:rsid w:val="00387DBF"/>
    <w:rsid w:val="00387DC9"/>
    <w:rsid w:val="00387E93"/>
    <w:rsid w:val="00387EFA"/>
    <w:rsid w:val="00387FC3"/>
    <w:rsid w:val="00387FF2"/>
    <w:rsid w:val="00390078"/>
    <w:rsid w:val="0039009F"/>
    <w:rsid w:val="003900B4"/>
    <w:rsid w:val="003900C5"/>
    <w:rsid w:val="003900CA"/>
    <w:rsid w:val="0039012E"/>
    <w:rsid w:val="00390133"/>
    <w:rsid w:val="00390182"/>
    <w:rsid w:val="003901F2"/>
    <w:rsid w:val="00390202"/>
    <w:rsid w:val="00390221"/>
    <w:rsid w:val="00390382"/>
    <w:rsid w:val="003903FE"/>
    <w:rsid w:val="00390414"/>
    <w:rsid w:val="00390473"/>
    <w:rsid w:val="003904E6"/>
    <w:rsid w:val="0039051A"/>
    <w:rsid w:val="00390577"/>
    <w:rsid w:val="00390592"/>
    <w:rsid w:val="003905AA"/>
    <w:rsid w:val="003905BB"/>
    <w:rsid w:val="003905D8"/>
    <w:rsid w:val="003905DD"/>
    <w:rsid w:val="003905E0"/>
    <w:rsid w:val="0039064C"/>
    <w:rsid w:val="003906EB"/>
    <w:rsid w:val="00390782"/>
    <w:rsid w:val="003907CE"/>
    <w:rsid w:val="003907DC"/>
    <w:rsid w:val="003908BB"/>
    <w:rsid w:val="00390998"/>
    <w:rsid w:val="003909CE"/>
    <w:rsid w:val="003909EF"/>
    <w:rsid w:val="00390ADF"/>
    <w:rsid w:val="00390B1C"/>
    <w:rsid w:val="00390B52"/>
    <w:rsid w:val="00390B54"/>
    <w:rsid w:val="00390CFB"/>
    <w:rsid w:val="00390D26"/>
    <w:rsid w:val="00390D52"/>
    <w:rsid w:val="00390D72"/>
    <w:rsid w:val="00390D9D"/>
    <w:rsid w:val="00390E0D"/>
    <w:rsid w:val="00390ECD"/>
    <w:rsid w:val="00390F4F"/>
    <w:rsid w:val="00390FEA"/>
    <w:rsid w:val="00391026"/>
    <w:rsid w:val="00391120"/>
    <w:rsid w:val="00391176"/>
    <w:rsid w:val="0039117B"/>
    <w:rsid w:val="0039118D"/>
    <w:rsid w:val="003911CE"/>
    <w:rsid w:val="003911D5"/>
    <w:rsid w:val="003911F7"/>
    <w:rsid w:val="0039132C"/>
    <w:rsid w:val="003913AB"/>
    <w:rsid w:val="003914E9"/>
    <w:rsid w:val="003914EB"/>
    <w:rsid w:val="0039153A"/>
    <w:rsid w:val="003915C7"/>
    <w:rsid w:val="00391613"/>
    <w:rsid w:val="00391673"/>
    <w:rsid w:val="00391687"/>
    <w:rsid w:val="003916D9"/>
    <w:rsid w:val="00391752"/>
    <w:rsid w:val="00391765"/>
    <w:rsid w:val="003917B7"/>
    <w:rsid w:val="00391910"/>
    <w:rsid w:val="00391914"/>
    <w:rsid w:val="003919D5"/>
    <w:rsid w:val="00391A03"/>
    <w:rsid w:val="00391AE9"/>
    <w:rsid w:val="00391B9C"/>
    <w:rsid w:val="00391BE2"/>
    <w:rsid w:val="00391C52"/>
    <w:rsid w:val="00391DB8"/>
    <w:rsid w:val="00391E74"/>
    <w:rsid w:val="00391EB4"/>
    <w:rsid w:val="00391ED4"/>
    <w:rsid w:val="00391F2E"/>
    <w:rsid w:val="0039208F"/>
    <w:rsid w:val="003920A3"/>
    <w:rsid w:val="003920B6"/>
    <w:rsid w:val="00392238"/>
    <w:rsid w:val="00392247"/>
    <w:rsid w:val="00392294"/>
    <w:rsid w:val="00392305"/>
    <w:rsid w:val="00392460"/>
    <w:rsid w:val="00392484"/>
    <w:rsid w:val="0039253C"/>
    <w:rsid w:val="003925B8"/>
    <w:rsid w:val="003925E9"/>
    <w:rsid w:val="003925F7"/>
    <w:rsid w:val="0039272B"/>
    <w:rsid w:val="0039272F"/>
    <w:rsid w:val="00392736"/>
    <w:rsid w:val="00392765"/>
    <w:rsid w:val="003927A0"/>
    <w:rsid w:val="003927DB"/>
    <w:rsid w:val="003927E8"/>
    <w:rsid w:val="00392804"/>
    <w:rsid w:val="003928B6"/>
    <w:rsid w:val="003928D0"/>
    <w:rsid w:val="003928F9"/>
    <w:rsid w:val="00392972"/>
    <w:rsid w:val="00392973"/>
    <w:rsid w:val="00392A32"/>
    <w:rsid w:val="00392A66"/>
    <w:rsid w:val="00392A6E"/>
    <w:rsid w:val="00392B1D"/>
    <w:rsid w:val="00392B25"/>
    <w:rsid w:val="00392B5D"/>
    <w:rsid w:val="00392BEF"/>
    <w:rsid w:val="00392CC4"/>
    <w:rsid w:val="00392CCF"/>
    <w:rsid w:val="00392CE3"/>
    <w:rsid w:val="00392CE6"/>
    <w:rsid w:val="00392D4E"/>
    <w:rsid w:val="00392D54"/>
    <w:rsid w:val="00392D59"/>
    <w:rsid w:val="00392E22"/>
    <w:rsid w:val="00392E30"/>
    <w:rsid w:val="00392E95"/>
    <w:rsid w:val="00392ED0"/>
    <w:rsid w:val="00392EE1"/>
    <w:rsid w:val="00392F63"/>
    <w:rsid w:val="00392FB9"/>
    <w:rsid w:val="00392FEB"/>
    <w:rsid w:val="00393045"/>
    <w:rsid w:val="00393090"/>
    <w:rsid w:val="00393202"/>
    <w:rsid w:val="0039327D"/>
    <w:rsid w:val="00393296"/>
    <w:rsid w:val="0039333F"/>
    <w:rsid w:val="00393343"/>
    <w:rsid w:val="0039336F"/>
    <w:rsid w:val="00393395"/>
    <w:rsid w:val="0039339D"/>
    <w:rsid w:val="003933CF"/>
    <w:rsid w:val="003933D0"/>
    <w:rsid w:val="0039344B"/>
    <w:rsid w:val="003934A0"/>
    <w:rsid w:val="003934A9"/>
    <w:rsid w:val="00393509"/>
    <w:rsid w:val="0039356F"/>
    <w:rsid w:val="0039358B"/>
    <w:rsid w:val="003935FB"/>
    <w:rsid w:val="00393621"/>
    <w:rsid w:val="00393636"/>
    <w:rsid w:val="00393668"/>
    <w:rsid w:val="003936AC"/>
    <w:rsid w:val="00393773"/>
    <w:rsid w:val="003937BC"/>
    <w:rsid w:val="003937C9"/>
    <w:rsid w:val="003937ED"/>
    <w:rsid w:val="00393814"/>
    <w:rsid w:val="00393912"/>
    <w:rsid w:val="0039392B"/>
    <w:rsid w:val="0039394E"/>
    <w:rsid w:val="00393953"/>
    <w:rsid w:val="0039395C"/>
    <w:rsid w:val="00393990"/>
    <w:rsid w:val="003939AD"/>
    <w:rsid w:val="003939FB"/>
    <w:rsid w:val="00393A2D"/>
    <w:rsid w:val="00393AB3"/>
    <w:rsid w:val="00393B44"/>
    <w:rsid w:val="00393B54"/>
    <w:rsid w:val="00393B6B"/>
    <w:rsid w:val="00393BFA"/>
    <w:rsid w:val="00393C12"/>
    <w:rsid w:val="00393CB0"/>
    <w:rsid w:val="00393D10"/>
    <w:rsid w:val="00393D38"/>
    <w:rsid w:val="00393D43"/>
    <w:rsid w:val="00393E37"/>
    <w:rsid w:val="00393E51"/>
    <w:rsid w:val="00393E9D"/>
    <w:rsid w:val="00393ED6"/>
    <w:rsid w:val="00393EDC"/>
    <w:rsid w:val="00393F23"/>
    <w:rsid w:val="00393F66"/>
    <w:rsid w:val="00393FE6"/>
    <w:rsid w:val="00394058"/>
    <w:rsid w:val="00394076"/>
    <w:rsid w:val="00394095"/>
    <w:rsid w:val="003940B4"/>
    <w:rsid w:val="003940E7"/>
    <w:rsid w:val="003941DD"/>
    <w:rsid w:val="003941DE"/>
    <w:rsid w:val="00394289"/>
    <w:rsid w:val="003942B0"/>
    <w:rsid w:val="00394360"/>
    <w:rsid w:val="003943B1"/>
    <w:rsid w:val="003943E1"/>
    <w:rsid w:val="003943FE"/>
    <w:rsid w:val="00394401"/>
    <w:rsid w:val="00394556"/>
    <w:rsid w:val="003945EF"/>
    <w:rsid w:val="0039475F"/>
    <w:rsid w:val="0039478F"/>
    <w:rsid w:val="003947C2"/>
    <w:rsid w:val="00394827"/>
    <w:rsid w:val="0039486A"/>
    <w:rsid w:val="00394896"/>
    <w:rsid w:val="00394904"/>
    <w:rsid w:val="003949D6"/>
    <w:rsid w:val="00394A0B"/>
    <w:rsid w:val="00394A43"/>
    <w:rsid w:val="00394AEA"/>
    <w:rsid w:val="00394B8F"/>
    <w:rsid w:val="00394BAE"/>
    <w:rsid w:val="00394BD2"/>
    <w:rsid w:val="00394BD5"/>
    <w:rsid w:val="00394BDD"/>
    <w:rsid w:val="00394C60"/>
    <w:rsid w:val="00394D10"/>
    <w:rsid w:val="00394D95"/>
    <w:rsid w:val="0039509F"/>
    <w:rsid w:val="003950C8"/>
    <w:rsid w:val="003950CF"/>
    <w:rsid w:val="003950F1"/>
    <w:rsid w:val="00395101"/>
    <w:rsid w:val="0039510A"/>
    <w:rsid w:val="00395114"/>
    <w:rsid w:val="0039511D"/>
    <w:rsid w:val="003951DD"/>
    <w:rsid w:val="0039525F"/>
    <w:rsid w:val="0039526B"/>
    <w:rsid w:val="0039533E"/>
    <w:rsid w:val="00395360"/>
    <w:rsid w:val="003953FC"/>
    <w:rsid w:val="00395444"/>
    <w:rsid w:val="00395468"/>
    <w:rsid w:val="003955B2"/>
    <w:rsid w:val="003955BD"/>
    <w:rsid w:val="00395611"/>
    <w:rsid w:val="0039568E"/>
    <w:rsid w:val="003956D3"/>
    <w:rsid w:val="00395715"/>
    <w:rsid w:val="00395741"/>
    <w:rsid w:val="00395775"/>
    <w:rsid w:val="003957AE"/>
    <w:rsid w:val="00395882"/>
    <w:rsid w:val="0039591F"/>
    <w:rsid w:val="00395A63"/>
    <w:rsid w:val="00395AF9"/>
    <w:rsid w:val="00395C92"/>
    <w:rsid w:val="00395CDE"/>
    <w:rsid w:val="00395D14"/>
    <w:rsid w:val="00395D38"/>
    <w:rsid w:val="00395D43"/>
    <w:rsid w:val="00395D54"/>
    <w:rsid w:val="00395DD4"/>
    <w:rsid w:val="00395E35"/>
    <w:rsid w:val="00395ED1"/>
    <w:rsid w:val="00395EF4"/>
    <w:rsid w:val="00395EFE"/>
    <w:rsid w:val="00395F85"/>
    <w:rsid w:val="00395FE7"/>
    <w:rsid w:val="00395FFC"/>
    <w:rsid w:val="00396065"/>
    <w:rsid w:val="00396118"/>
    <w:rsid w:val="0039611A"/>
    <w:rsid w:val="0039619A"/>
    <w:rsid w:val="003961C9"/>
    <w:rsid w:val="00396256"/>
    <w:rsid w:val="00396263"/>
    <w:rsid w:val="003962EF"/>
    <w:rsid w:val="00396326"/>
    <w:rsid w:val="00396330"/>
    <w:rsid w:val="00396367"/>
    <w:rsid w:val="003963DB"/>
    <w:rsid w:val="0039644A"/>
    <w:rsid w:val="00396501"/>
    <w:rsid w:val="00396541"/>
    <w:rsid w:val="0039654F"/>
    <w:rsid w:val="0039656C"/>
    <w:rsid w:val="003965AF"/>
    <w:rsid w:val="00396640"/>
    <w:rsid w:val="00396668"/>
    <w:rsid w:val="00396737"/>
    <w:rsid w:val="0039677E"/>
    <w:rsid w:val="003967B4"/>
    <w:rsid w:val="003967C0"/>
    <w:rsid w:val="003967F8"/>
    <w:rsid w:val="00396840"/>
    <w:rsid w:val="00396855"/>
    <w:rsid w:val="00396873"/>
    <w:rsid w:val="00396920"/>
    <w:rsid w:val="003969DD"/>
    <w:rsid w:val="00396A61"/>
    <w:rsid w:val="00396AA9"/>
    <w:rsid w:val="00396B36"/>
    <w:rsid w:val="00396BE0"/>
    <w:rsid w:val="00396D01"/>
    <w:rsid w:val="00396D0D"/>
    <w:rsid w:val="00396D80"/>
    <w:rsid w:val="00396DE4"/>
    <w:rsid w:val="00396E24"/>
    <w:rsid w:val="00396E34"/>
    <w:rsid w:val="00396E79"/>
    <w:rsid w:val="00396EC1"/>
    <w:rsid w:val="00396F23"/>
    <w:rsid w:val="00396F4C"/>
    <w:rsid w:val="00396F59"/>
    <w:rsid w:val="00396F5C"/>
    <w:rsid w:val="00396FF5"/>
    <w:rsid w:val="003970A8"/>
    <w:rsid w:val="003970DB"/>
    <w:rsid w:val="00397100"/>
    <w:rsid w:val="0039711D"/>
    <w:rsid w:val="00397138"/>
    <w:rsid w:val="0039716F"/>
    <w:rsid w:val="0039717A"/>
    <w:rsid w:val="00397224"/>
    <w:rsid w:val="00397238"/>
    <w:rsid w:val="003972F0"/>
    <w:rsid w:val="003973CB"/>
    <w:rsid w:val="0039740C"/>
    <w:rsid w:val="00397417"/>
    <w:rsid w:val="003974D2"/>
    <w:rsid w:val="0039752D"/>
    <w:rsid w:val="0039755C"/>
    <w:rsid w:val="003975BC"/>
    <w:rsid w:val="003975F6"/>
    <w:rsid w:val="00397687"/>
    <w:rsid w:val="0039769A"/>
    <w:rsid w:val="003976B5"/>
    <w:rsid w:val="003976DE"/>
    <w:rsid w:val="0039778A"/>
    <w:rsid w:val="003977A8"/>
    <w:rsid w:val="0039785A"/>
    <w:rsid w:val="003978EA"/>
    <w:rsid w:val="00397911"/>
    <w:rsid w:val="003979A2"/>
    <w:rsid w:val="00397A0B"/>
    <w:rsid w:val="00397AB5"/>
    <w:rsid w:val="00397B11"/>
    <w:rsid w:val="00397C32"/>
    <w:rsid w:val="00397D97"/>
    <w:rsid w:val="00397DD1"/>
    <w:rsid w:val="00397DEE"/>
    <w:rsid w:val="00397E0B"/>
    <w:rsid w:val="00397ED4"/>
    <w:rsid w:val="00397F0D"/>
    <w:rsid w:val="00397FFC"/>
    <w:rsid w:val="003A0048"/>
    <w:rsid w:val="003A006A"/>
    <w:rsid w:val="003A0096"/>
    <w:rsid w:val="003A0097"/>
    <w:rsid w:val="003A00C8"/>
    <w:rsid w:val="003A0108"/>
    <w:rsid w:val="003A0142"/>
    <w:rsid w:val="003A01A8"/>
    <w:rsid w:val="003A01F6"/>
    <w:rsid w:val="003A0263"/>
    <w:rsid w:val="003A0440"/>
    <w:rsid w:val="003A04B5"/>
    <w:rsid w:val="003A04C7"/>
    <w:rsid w:val="003A05C3"/>
    <w:rsid w:val="003A05DB"/>
    <w:rsid w:val="003A070F"/>
    <w:rsid w:val="003A0786"/>
    <w:rsid w:val="003A07FE"/>
    <w:rsid w:val="003A081B"/>
    <w:rsid w:val="003A0832"/>
    <w:rsid w:val="003A0847"/>
    <w:rsid w:val="003A08AF"/>
    <w:rsid w:val="003A08C0"/>
    <w:rsid w:val="003A08D7"/>
    <w:rsid w:val="003A08EA"/>
    <w:rsid w:val="003A092E"/>
    <w:rsid w:val="003A09AD"/>
    <w:rsid w:val="003A09CE"/>
    <w:rsid w:val="003A09DA"/>
    <w:rsid w:val="003A09F6"/>
    <w:rsid w:val="003A0A07"/>
    <w:rsid w:val="003A0B02"/>
    <w:rsid w:val="003A0C0D"/>
    <w:rsid w:val="003A0DD0"/>
    <w:rsid w:val="003A0E52"/>
    <w:rsid w:val="003A0FDE"/>
    <w:rsid w:val="003A10BF"/>
    <w:rsid w:val="003A1120"/>
    <w:rsid w:val="003A112D"/>
    <w:rsid w:val="003A112E"/>
    <w:rsid w:val="003A1130"/>
    <w:rsid w:val="003A11CA"/>
    <w:rsid w:val="003A125C"/>
    <w:rsid w:val="003A1378"/>
    <w:rsid w:val="003A1405"/>
    <w:rsid w:val="003A1452"/>
    <w:rsid w:val="003A14BE"/>
    <w:rsid w:val="003A14DC"/>
    <w:rsid w:val="003A1593"/>
    <w:rsid w:val="003A1598"/>
    <w:rsid w:val="003A160E"/>
    <w:rsid w:val="003A1686"/>
    <w:rsid w:val="003A16D4"/>
    <w:rsid w:val="003A170A"/>
    <w:rsid w:val="003A18DF"/>
    <w:rsid w:val="003A1905"/>
    <w:rsid w:val="003A1933"/>
    <w:rsid w:val="003A1944"/>
    <w:rsid w:val="003A194C"/>
    <w:rsid w:val="003A1983"/>
    <w:rsid w:val="003A19AA"/>
    <w:rsid w:val="003A1A32"/>
    <w:rsid w:val="003A1A81"/>
    <w:rsid w:val="003A1A85"/>
    <w:rsid w:val="003A1A88"/>
    <w:rsid w:val="003A1A89"/>
    <w:rsid w:val="003A1A90"/>
    <w:rsid w:val="003A1AB1"/>
    <w:rsid w:val="003A1BB4"/>
    <w:rsid w:val="003A1C0D"/>
    <w:rsid w:val="003A1C2F"/>
    <w:rsid w:val="003A1C7F"/>
    <w:rsid w:val="003A1C8F"/>
    <w:rsid w:val="003A1CB5"/>
    <w:rsid w:val="003A1FA9"/>
    <w:rsid w:val="003A1FFF"/>
    <w:rsid w:val="003A2022"/>
    <w:rsid w:val="003A2063"/>
    <w:rsid w:val="003A20E2"/>
    <w:rsid w:val="003A210C"/>
    <w:rsid w:val="003A21C4"/>
    <w:rsid w:val="003A21D6"/>
    <w:rsid w:val="003A2207"/>
    <w:rsid w:val="003A2317"/>
    <w:rsid w:val="003A2386"/>
    <w:rsid w:val="003A23E9"/>
    <w:rsid w:val="003A2488"/>
    <w:rsid w:val="003A249B"/>
    <w:rsid w:val="003A24BF"/>
    <w:rsid w:val="003A24C3"/>
    <w:rsid w:val="003A259B"/>
    <w:rsid w:val="003A25A9"/>
    <w:rsid w:val="003A25F7"/>
    <w:rsid w:val="003A2676"/>
    <w:rsid w:val="003A26A4"/>
    <w:rsid w:val="003A26D4"/>
    <w:rsid w:val="003A2724"/>
    <w:rsid w:val="003A279B"/>
    <w:rsid w:val="003A289C"/>
    <w:rsid w:val="003A2A79"/>
    <w:rsid w:val="003A2A7C"/>
    <w:rsid w:val="003A2AC1"/>
    <w:rsid w:val="003A2AC5"/>
    <w:rsid w:val="003A2B36"/>
    <w:rsid w:val="003A2BBE"/>
    <w:rsid w:val="003A2BCD"/>
    <w:rsid w:val="003A2C68"/>
    <w:rsid w:val="003A2C71"/>
    <w:rsid w:val="003A2C73"/>
    <w:rsid w:val="003A2CC6"/>
    <w:rsid w:val="003A2D2C"/>
    <w:rsid w:val="003A2D52"/>
    <w:rsid w:val="003A2D8E"/>
    <w:rsid w:val="003A2EC0"/>
    <w:rsid w:val="003A2EC6"/>
    <w:rsid w:val="003A2EE5"/>
    <w:rsid w:val="003A2EF7"/>
    <w:rsid w:val="003A2F0C"/>
    <w:rsid w:val="003A2F23"/>
    <w:rsid w:val="003A2F9B"/>
    <w:rsid w:val="003A2FC6"/>
    <w:rsid w:val="003A3067"/>
    <w:rsid w:val="003A3088"/>
    <w:rsid w:val="003A308A"/>
    <w:rsid w:val="003A30A0"/>
    <w:rsid w:val="003A30DF"/>
    <w:rsid w:val="003A3130"/>
    <w:rsid w:val="003A314F"/>
    <w:rsid w:val="003A31E2"/>
    <w:rsid w:val="003A32D2"/>
    <w:rsid w:val="003A333C"/>
    <w:rsid w:val="003A3349"/>
    <w:rsid w:val="003A33E8"/>
    <w:rsid w:val="003A346E"/>
    <w:rsid w:val="003A34CE"/>
    <w:rsid w:val="003A34DF"/>
    <w:rsid w:val="003A3542"/>
    <w:rsid w:val="003A359B"/>
    <w:rsid w:val="003A35D4"/>
    <w:rsid w:val="003A3677"/>
    <w:rsid w:val="003A36C3"/>
    <w:rsid w:val="003A3824"/>
    <w:rsid w:val="003A38D4"/>
    <w:rsid w:val="003A39CF"/>
    <w:rsid w:val="003A39DE"/>
    <w:rsid w:val="003A39F6"/>
    <w:rsid w:val="003A3A1E"/>
    <w:rsid w:val="003A3A39"/>
    <w:rsid w:val="003A3B08"/>
    <w:rsid w:val="003A3B77"/>
    <w:rsid w:val="003A3B9F"/>
    <w:rsid w:val="003A3BAD"/>
    <w:rsid w:val="003A3BD5"/>
    <w:rsid w:val="003A3C3B"/>
    <w:rsid w:val="003A3C53"/>
    <w:rsid w:val="003A3D25"/>
    <w:rsid w:val="003A3D61"/>
    <w:rsid w:val="003A3D71"/>
    <w:rsid w:val="003A3E20"/>
    <w:rsid w:val="003A3E87"/>
    <w:rsid w:val="003A3EC2"/>
    <w:rsid w:val="003A3EF7"/>
    <w:rsid w:val="003A3F3B"/>
    <w:rsid w:val="003A3F66"/>
    <w:rsid w:val="003A401C"/>
    <w:rsid w:val="003A40E8"/>
    <w:rsid w:val="003A40E9"/>
    <w:rsid w:val="003A4100"/>
    <w:rsid w:val="003A4134"/>
    <w:rsid w:val="003A413B"/>
    <w:rsid w:val="003A413E"/>
    <w:rsid w:val="003A424F"/>
    <w:rsid w:val="003A425A"/>
    <w:rsid w:val="003A42A7"/>
    <w:rsid w:val="003A43AC"/>
    <w:rsid w:val="003A43E8"/>
    <w:rsid w:val="003A446A"/>
    <w:rsid w:val="003A4496"/>
    <w:rsid w:val="003A44D3"/>
    <w:rsid w:val="003A44ED"/>
    <w:rsid w:val="003A4576"/>
    <w:rsid w:val="003A4578"/>
    <w:rsid w:val="003A460F"/>
    <w:rsid w:val="003A463C"/>
    <w:rsid w:val="003A4675"/>
    <w:rsid w:val="003A4686"/>
    <w:rsid w:val="003A47C8"/>
    <w:rsid w:val="003A487A"/>
    <w:rsid w:val="003A48E0"/>
    <w:rsid w:val="003A4905"/>
    <w:rsid w:val="003A4A21"/>
    <w:rsid w:val="003A4C61"/>
    <w:rsid w:val="003A4CBA"/>
    <w:rsid w:val="003A4D61"/>
    <w:rsid w:val="003A4D75"/>
    <w:rsid w:val="003A4DE9"/>
    <w:rsid w:val="003A508E"/>
    <w:rsid w:val="003A5090"/>
    <w:rsid w:val="003A509C"/>
    <w:rsid w:val="003A514A"/>
    <w:rsid w:val="003A5176"/>
    <w:rsid w:val="003A51FB"/>
    <w:rsid w:val="003A5214"/>
    <w:rsid w:val="003A5249"/>
    <w:rsid w:val="003A5264"/>
    <w:rsid w:val="003A526E"/>
    <w:rsid w:val="003A527C"/>
    <w:rsid w:val="003A5295"/>
    <w:rsid w:val="003A53A7"/>
    <w:rsid w:val="003A5407"/>
    <w:rsid w:val="003A5433"/>
    <w:rsid w:val="003A5439"/>
    <w:rsid w:val="003A54E9"/>
    <w:rsid w:val="003A5593"/>
    <w:rsid w:val="003A55D8"/>
    <w:rsid w:val="003A5619"/>
    <w:rsid w:val="003A5620"/>
    <w:rsid w:val="003A56DA"/>
    <w:rsid w:val="003A576B"/>
    <w:rsid w:val="003A57D1"/>
    <w:rsid w:val="003A57E0"/>
    <w:rsid w:val="003A5876"/>
    <w:rsid w:val="003A58C4"/>
    <w:rsid w:val="003A59AB"/>
    <w:rsid w:val="003A5A80"/>
    <w:rsid w:val="003A5AC4"/>
    <w:rsid w:val="003A5ACC"/>
    <w:rsid w:val="003A5B52"/>
    <w:rsid w:val="003A5B95"/>
    <w:rsid w:val="003A5C0A"/>
    <w:rsid w:val="003A5C0F"/>
    <w:rsid w:val="003A5C27"/>
    <w:rsid w:val="003A5C41"/>
    <w:rsid w:val="003A5C63"/>
    <w:rsid w:val="003A5D07"/>
    <w:rsid w:val="003A5D80"/>
    <w:rsid w:val="003A5DCB"/>
    <w:rsid w:val="003A5DD8"/>
    <w:rsid w:val="003A5E99"/>
    <w:rsid w:val="003A5EAB"/>
    <w:rsid w:val="003A5ED3"/>
    <w:rsid w:val="003A5F00"/>
    <w:rsid w:val="003A5F19"/>
    <w:rsid w:val="003A5F22"/>
    <w:rsid w:val="003A5F9B"/>
    <w:rsid w:val="003A5FB5"/>
    <w:rsid w:val="003A5FB8"/>
    <w:rsid w:val="003A6001"/>
    <w:rsid w:val="003A6017"/>
    <w:rsid w:val="003A6019"/>
    <w:rsid w:val="003A6044"/>
    <w:rsid w:val="003A6072"/>
    <w:rsid w:val="003A60A1"/>
    <w:rsid w:val="003A60BB"/>
    <w:rsid w:val="003A6217"/>
    <w:rsid w:val="003A6319"/>
    <w:rsid w:val="003A6360"/>
    <w:rsid w:val="003A6398"/>
    <w:rsid w:val="003A642D"/>
    <w:rsid w:val="003A643E"/>
    <w:rsid w:val="003A64BE"/>
    <w:rsid w:val="003A64F7"/>
    <w:rsid w:val="003A6520"/>
    <w:rsid w:val="003A65C6"/>
    <w:rsid w:val="003A65FB"/>
    <w:rsid w:val="003A66A7"/>
    <w:rsid w:val="003A6890"/>
    <w:rsid w:val="003A69BB"/>
    <w:rsid w:val="003A6A99"/>
    <w:rsid w:val="003A6B09"/>
    <w:rsid w:val="003A6B4B"/>
    <w:rsid w:val="003A6C4C"/>
    <w:rsid w:val="003A6CB4"/>
    <w:rsid w:val="003A6D69"/>
    <w:rsid w:val="003A6D6C"/>
    <w:rsid w:val="003A6D83"/>
    <w:rsid w:val="003A6DA7"/>
    <w:rsid w:val="003A6DD0"/>
    <w:rsid w:val="003A6E48"/>
    <w:rsid w:val="003A6EB1"/>
    <w:rsid w:val="003A6F93"/>
    <w:rsid w:val="003A6FA3"/>
    <w:rsid w:val="003A709C"/>
    <w:rsid w:val="003A70CB"/>
    <w:rsid w:val="003A7179"/>
    <w:rsid w:val="003A71D2"/>
    <w:rsid w:val="003A7210"/>
    <w:rsid w:val="003A7229"/>
    <w:rsid w:val="003A729B"/>
    <w:rsid w:val="003A7340"/>
    <w:rsid w:val="003A7341"/>
    <w:rsid w:val="003A734E"/>
    <w:rsid w:val="003A7359"/>
    <w:rsid w:val="003A73C3"/>
    <w:rsid w:val="003A7520"/>
    <w:rsid w:val="003A752E"/>
    <w:rsid w:val="003A75DF"/>
    <w:rsid w:val="003A7669"/>
    <w:rsid w:val="003A7670"/>
    <w:rsid w:val="003A7691"/>
    <w:rsid w:val="003A76E0"/>
    <w:rsid w:val="003A76FD"/>
    <w:rsid w:val="003A7759"/>
    <w:rsid w:val="003A7815"/>
    <w:rsid w:val="003A7849"/>
    <w:rsid w:val="003A7869"/>
    <w:rsid w:val="003A789F"/>
    <w:rsid w:val="003A78F2"/>
    <w:rsid w:val="003A7917"/>
    <w:rsid w:val="003A79DF"/>
    <w:rsid w:val="003A79EF"/>
    <w:rsid w:val="003A7A49"/>
    <w:rsid w:val="003A7A52"/>
    <w:rsid w:val="003A7A8C"/>
    <w:rsid w:val="003A7B22"/>
    <w:rsid w:val="003A7B2F"/>
    <w:rsid w:val="003A7B94"/>
    <w:rsid w:val="003A7BCC"/>
    <w:rsid w:val="003A7BF0"/>
    <w:rsid w:val="003A7DC7"/>
    <w:rsid w:val="003A7E59"/>
    <w:rsid w:val="003A7E8B"/>
    <w:rsid w:val="003A7EE0"/>
    <w:rsid w:val="003A7EF0"/>
    <w:rsid w:val="003A7F79"/>
    <w:rsid w:val="003A7FA7"/>
    <w:rsid w:val="003B0012"/>
    <w:rsid w:val="003B0054"/>
    <w:rsid w:val="003B009E"/>
    <w:rsid w:val="003B0123"/>
    <w:rsid w:val="003B0128"/>
    <w:rsid w:val="003B0191"/>
    <w:rsid w:val="003B01CC"/>
    <w:rsid w:val="003B0321"/>
    <w:rsid w:val="003B035E"/>
    <w:rsid w:val="003B03E7"/>
    <w:rsid w:val="003B04B9"/>
    <w:rsid w:val="003B0650"/>
    <w:rsid w:val="003B067E"/>
    <w:rsid w:val="003B06CE"/>
    <w:rsid w:val="003B06D6"/>
    <w:rsid w:val="003B06E4"/>
    <w:rsid w:val="003B072A"/>
    <w:rsid w:val="003B0751"/>
    <w:rsid w:val="003B07C9"/>
    <w:rsid w:val="003B082C"/>
    <w:rsid w:val="003B0841"/>
    <w:rsid w:val="003B089A"/>
    <w:rsid w:val="003B08D3"/>
    <w:rsid w:val="003B094B"/>
    <w:rsid w:val="003B0960"/>
    <w:rsid w:val="003B0A6C"/>
    <w:rsid w:val="003B0AF5"/>
    <w:rsid w:val="003B0B00"/>
    <w:rsid w:val="003B0BA9"/>
    <w:rsid w:val="003B0BB4"/>
    <w:rsid w:val="003B0BF9"/>
    <w:rsid w:val="003B0C10"/>
    <w:rsid w:val="003B0C61"/>
    <w:rsid w:val="003B0CC2"/>
    <w:rsid w:val="003B0D0B"/>
    <w:rsid w:val="003B0E6C"/>
    <w:rsid w:val="003B0EAE"/>
    <w:rsid w:val="003B0EE3"/>
    <w:rsid w:val="003B0F48"/>
    <w:rsid w:val="003B0F57"/>
    <w:rsid w:val="003B0F82"/>
    <w:rsid w:val="003B0F8D"/>
    <w:rsid w:val="003B1012"/>
    <w:rsid w:val="003B103A"/>
    <w:rsid w:val="003B103E"/>
    <w:rsid w:val="003B10D6"/>
    <w:rsid w:val="003B10FA"/>
    <w:rsid w:val="003B115F"/>
    <w:rsid w:val="003B1182"/>
    <w:rsid w:val="003B119B"/>
    <w:rsid w:val="003B11B1"/>
    <w:rsid w:val="003B11BE"/>
    <w:rsid w:val="003B11C7"/>
    <w:rsid w:val="003B125F"/>
    <w:rsid w:val="003B12B2"/>
    <w:rsid w:val="003B12B9"/>
    <w:rsid w:val="003B12C3"/>
    <w:rsid w:val="003B1314"/>
    <w:rsid w:val="003B13D5"/>
    <w:rsid w:val="003B13D7"/>
    <w:rsid w:val="003B141D"/>
    <w:rsid w:val="003B1432"/>
    <w:rsid w:val="003B1437"/>
    <w:rsid w:val="003B1473"/>
    <w:rsid w:val="003B14F8"/>
    <w:rsid w:val="003B150B"/>
    <w:rsid w:val="003B1571"/>
    <w:rsid w:val="003B1577"/>
    <w:rsid w:val="003B15E6"/>
    <w:rsid w:val="003B15ED"/>
    <w:rsid w:val="003B1644"/>
    <w:rsid w:val="003B1674"/>
    <w:rsid w:val="003B1711"/>
    <w:rsid w:val="003B185E"/>
    <w:rsid w:val="003B1861"/>
    <w:rsid w:val="003B188C"/>
    <w:rsid w:val="003B18A3"/>
    <w:rsid w:val="003B18BF"/>
    <w:rsid w:val="003B1922"/>
    <w:rsid w:val="003B1A1D"/>
    <w:rsid w:val="003B1A3E"/>
    <w:rsid w:val="003B1B41"/>
    <w:rsid w:val="003B1BCB"/>
    <w:rsid w:val="003B1BD6"/>
    <w:rsid w:val="003B1C09"/>
    <w:rsid w:val="003B1C97"/>
    <w:rsid w:val="003B1CCA"/>
    <w:rsid w:val="003B1D1F"/>
    <w:rsid w:val="003B1DD5"/>
    <w:rsid w:val="003B1E08"/>
    <w:rsid w:val="003B1F06"/>
    <w:rsid w:val="003B1F10"/>
    <w:rsid w:val="003B1F71"/>
    <w:rsid w:val="003B1FA3"/>
    <w:rsid w:val="003B200B"/>
    <w:rsid w:val="003B2011"/>
    <w:rsid w:val="003B2094"/>
    <w:rsid w:val="003B20F4"/>
    <w:rsid w:val="003B20F7"/>
    <w:rsid w:val="003B2190"/>
    <w:rsid w:val="003B21EF"/>
    <w:rsid w:val="003B2253"/>
    <w:rsid w:val="003B229D"/>
    <w:rsid w:val="003B22C7"/>
    <w:rsid w:val="003B2369"/>
    <w:rsid w:val="003B2440"/>
    <w:rsid w:val="003B2469"/>
    <w:rsid w:val="003B2502"/>
    <w:rsid w:val="003B2548"/>
    <w:rsid w:val="003B25A5"/>
    <w:rsid w:val="003B25DE"/>
    <w:rsid w:val="003B2639"/>
    <w:rsid w:val="003B266E"/>
    <w:rsid w:val="003B26BD"/>
    <w:rsid w:val="003B280C"/>
    <w:rsid w:val="003B29B7"/>
    <w:rsid w:val="003B29C7"/>
    <w:rsid w:val="003B2A0A"/>
    <w:rsid w:val="003B2A16"/>
    <w:rsid w:val="003B2A90"/>
    <w:rsid w:val="003B2B03"/>
    <w:rsid w:val="003B2C6B"/>
    <w:rsid w:val="003B2C9F"/>
    <w:rsid w:val="003B2CA5"/>
    <w:rsid w:val="003B2CA9"/>
    <w:rsid w:val="003B2D30"/>
    <w:rsid w:val="003B2D54"/>
    <w:rsid w:val="003B2D5C"/>
    <w:rsid w:val="003B2DB3"/>
    <w:rsid w:val="003B2DEA"/>
    <w:rsid w:val="003B2DF0"/>
    <w:rsid w:val="003B2E10"/>
    <w:rsid w:val="003B2E37"/>
    <w:rsid w:val="003B2F13"/>
    <w:rsid w:val="003B2F36"/>
    <w:rsid w:val="003B2F69"/>
    <w:rsid w:val="003B2F8C"/>
    <w:rsid w:val="003B2FA5"/>
    <w:rsid w:val="003B2FB9"/>
    <w:rsid w:val="003B30BA"/>
    <w:rsid w:val="003B310F"/>
    <w:rsid w:val="003B3187"/>
    <w:rsid w:val="003B319C"/>
    <w:rsid w:val="003B3211"/>
    <w:rsid w:val="003B322F"/>
    <w:rsid w:val="003B323A"/>
    <w:rsid w:val="003B32A4"/>
    <w:rsid w:val="003B334A"/>
    <w:rsid w:val="003B3366"/>
    <w:rsid w:val="003B33E1"/>
    <w:rsid w:val="003B33EB"/>
    <w:rsid w:val="003B340C"/>
    <w:rsid w:val="003B340F"/>
    <w:rsid w:val="003B3472"/>
    <w:rsid w:val="003B3478"/>
    <w:rsid w:val="003B347E"/>
    <w:rsid w:val="003B34F7"/>
    <w:rsid w:val="003B35C3"/>
    <w:rsid w:val="003B35C7"/>
    <w:rsid w:val="003B35CF"/>
    <w:rsid w:val="003B3632"/>
    <w:rsid w:val="003B36DB"/>
    <w:rsid w:val="003B37DE"/>
    <w:rsid w:val="003B384E"/>
    <w:rsid w:val="003B38A3"/>
    <w:rsid w:val="003B38E1"/>
    <w:rsid w:val="003B399B"/>
    <w:rsid w:val="003B39B3"/>
    <w:rsid w:val="003B3AD8"/>
    <w:rsid w:val="003B3C25"/>
    <w:rsid w:val="003B3C4C"/>
    <w:rsid w:val="003B3C7C"/>
    <w:rsid w:val="003B3D32"/>
    <w:rsid w:val="003B3DAC"/>
    <w:rsid w:val="003B3DC0"/>
    <w:rsid w:val="003B3FA3"/>
    <w:rsid w:val="003B3FE8"/>
    <w:rsid w:val="003B403F"/>
    <w:rsid w:val="003B412B"/>
    <w:rsid w:val="003B4135"/>
    <w:rsid w:val="003B416F"/>
    <w:rsid w:val="003B4234"/>
    <w:rsid w:val="003B426E"/>
    <w:rsid w:val="003B427D"/>
    <w:rsid w:val="003B4321"/>
    <w:rsid w:val="003B4338"/>
    <w:rsid w:val="003B441F"/>
    <w:rsid w:val="003B4475"/>
    <w:rsid w:val="003B44D4"/>
    <w:rsid w:val="003B457B"/>
    <w:rsid w:val="003B45C3"/>
    <w:rsid w:val="003B4608"/>
    <w:rsid w:val="003B460C"/>
    <w:rsid w:val="003B471C"/>
    <w:rsid w:val="003B4744"/>
    <w:rsid w:val="003B4765"/>
    <w:rsid w:val="003B4794"/>
    <w:rsid w:val="003B4796"/>
    <w:rsid w:val="003B47CD"/>
    <w:rsid w:val="003B4893"/>
    <w:rsid w:val="003B48E3"/>
    <w:rsid w:val="003B4980"/>
    <w:rsid w:val="003B49B7"/>
    <w:rsid w:val="003B4A18"/>
    <w:rsid w:val="003B4AB2"/>
    <w:rsid w:val="003B4B05"/>
    <w:rsid w:val="003B4B3F"/>
    <w:rsid w:val="003B4BE4"/>
    <w:rsid w:val="003B4C63"/>
    <w:rsid w:val="003B4C82"/>
    <w:rsid w:val="003B4CB5"/>
    <w:rsid w:val="003B4D01"/>
    <w:rsid w:val="003B4DA0"/>
    <w:rsid w:val="003B4E1B"/>
    <w:rsid w:val="003B4E4B"/>
    <w:rsid w:val="003B4EC9"/>
    <w:rsid w:val="003B4ECA"/>
    <w:rsid w:val="003B4F06"/>
    <w:rsid w:val="003B4F1F"/>
    <w:rsid w:val="003B4FF1"/>
    <w:rsid w:val="003B5094"/>
    <w:rsid w:val="003B50AD"/>
    <w:rsid w:val="003B5103"/>
    <w:rsid w:val="003B510E"/>
    <w:rsid w:val="003B5138"/>
    <w:rsid w:val="003B5148"/>
    <w:rsid w:val="003B515E"/>
    <w:rsid w:val="003B51E3"/>
    <w:rsid w:val="003B51F0"/>
    <w:rsid w:val="003B5257"/>
    <w:rsid w:val="003B52AF"/>
    <w:rsid w:val="003B52FC"/>
    <w:rsid w:val="003B537E"/>
    <w:rsid w:val="003B556B"/>
    <w:rsid w:val="003B563D"/>
    <w:rsid w:val="003B5645"/>
    <w:rsid w:val="003B5647"/>
    <w:rsid w:val="003B567E"/>
    <w:rsid w:val="003B56BB"/>
    <w:rsid w:val="003B570D"/>
    <w:rsid w:val="003B5722"/>
    <w:rsid w:val="003B57F0"/>
    <w:rsid w:val="003B5828"/>
    <w:rsid w:val="003B5883"/>
    <w:rsid w:val="003B58E8"/>
    <w:rsid w:val="003B5900"/>
    <w:rsid w:val="003B5914"/>
    <w:rsid w:val="003B5937"/>
    <w:rsid w:val="003B599D"/>
    <w:rsid w:val="003B59BC"/>
    <w:rsid w:val="003B59D9"/>
    <w:rsid w:val="003B5AFA"/>
    <w:rsid w:val="003B5B32"/>
    <w:rsid w:val="003B5BA9"/>
    <w:rsid w:val="003B5BB8"/>
    <w:rsid w:val="003B5C04"/>
    <w:rsid w:val="003B5C41"/>
    <w:rsid w:val="003B5CB5"/>
    <w:rsid w:val="003B5CE6"/>
    <w:rsid w:val="003B5CFA"/>
    <w:rsid w:val="003B5E06"/>
    <w:rsid w:val="003B5F17"/>
    <w:rsid w:val="003B5F18"/>
    <w:rsid w:val="003B5FA9"/>
    <w:rsid w:val="003B600D"/>
    <w:rsid w:val="003B601F"/>
    <w:rsid w:val="003B6052"/>
    <w:rsid w:val="003B6059"/>
    <w:rsid w:val="003B6075"/>
    <w:rsid w:val="003B60A3"/>
    <w:rsid w:val="003B60C1"/>
    <w:rsid w:val="003B60C8"/>
    <w:rsid w:val="003B617E"/>
    <w:rsid w:val="003B6193"/>
    <w:rsid w:val="003B6226"/>
    <w:rsid w:val="003B6244"/>
    <w:rsid w:val="003B6322"/>
    <w:rsid w:val="003B6378"/>
    <w:rsid w:val="003B638B"/>
    <w:rsid w:val="003B639C"/>
    <w:rsid w:val="003B63A8"/>
    <w:rsid w:val="003B6486"/>
    <w:rsid w:val="003B649F"/>
    <w:rsid w:val="003B64B8"/>
    <w:rsid w:val="003B6551"/>
    <w:rsid w:val="003B65AD"/>
    <w:rsid w:val="003B6750"/>
    <w:rsid w:val="003B6757"/>
    <w:rsid w:val="003B6830"/>
    <w:rsid w:val="003B684D"/>
    <w:rsid w:val="003B690B"/>
    <w:rsid w:val="003B692A"/>
    <w:rsid w:val="003B6948"/>
    <w:rsid w:val="003B699D"/>
    <w:rsid w:val="003B6A4F"/>
    <w:rsid w:val="003B6AB5"/>
    <w:rsid w:val="003B6ADE"/>
    <w:rsid w:val="003B6AFA"/>
    <w:rsid w:val="003B6B06"/>
    <w:rsid w:val="003B6B0F"/>
    <w:rsid w:val="003B6B70"/>
    <w:rsid w:val="003B6BC1"/>
    <w:rsid w:val="003B6DFB"/>
    <w:rsid w:val="003B6E3E"/>
    <w:rsid w:val="003B6E93"/>
    <w:rsid w:val="003B6F05"/>
    <w:rsid w:val="003B6F0D"/>
    <w:rsid w:val="003B6F2F"/>
    <w:rsid w:val="003B6FA2"/>
    <w:rsid w:val="003B6FDF"/>
    <w:rsid w:val="003B704F"/>
    <w:rsid w:val="003B706C"/>
    <w:rsid w:val="003B70A8"/>
    <w:rsid w:val="003B70EC"/>
    <w:rsid w:val="003B71BA"/>
    <w:rsid w:val="003B7218"/>
    <w:rsid w:val="003B72AC"/>
    <w:rsid w:val="003B73CB"/>
    <w:rsid w:val="003B7492"/>
    <w:rsid w:val="003B7523"/>
    <w:rsid w:val="003B7550"/>
    <w:rsid w:val="003B755B"/>
    <w:rsid w:val="003B7592"/>
    <w:rsid w:val="003B7597"/>
    <w:rsid w:val="003B75AE"/>
    <w:rsid w:val="003B75E1"/>
    <w:rsid w:val="003B75F1"/>
    <w:rsid w:val="003B75FD"/>
    <w:rsid w:val="003B7653"/>
    <w:rsid w:val="003B7689"/>
    <w:rsid w:val="003B76AA"/>
    <w:rsid w:val="003B76B6"/>
    <w:rsid w:val="003B76D5"/>
    <w:rsid w:val="003B771D"/>
    <w:rsid w:val="003B7781"/>
    <w:rsid w:val="003B789A"/>
    <w:rsid w:val="003B78AD"/>
    <w:rsid w:val="003B7917"/>
    <w:rsid w:val="003B7929"/>
    <w:rsid w:val="003B796D"/>
    <w:rsid w:val="003B79B0"/>
    <w:rsid w:val="003B7ADF"/>
    <w:rsid w:val="003B7B42"/>
    <w:rsid w:val="003B7BAA"/>
    <w:rsid w:val="003B7BB0"/>
    <w:rsid w:val="003B7BD9"/>
    <w:rsid w:val="003B7C44"/>
    <w:rsid w:val="003B7D1A"/>
    <w:rsid w:val="003B7D42"/>
    <w:rsid w:val="003B7DA4"/>
    <w:rsid w:val="003B7DE6"/>
    <w:rsid w:val="003B7DE9"/>
    <w:rsid w:val="003B7E58"/>
    <w:rsid w:val="003B7EF2"/>
    <w:rsid w:val="003B7F5F"/>
    <w:rsid w:val="003B7F76"/>
    <w:rsid w:val="003B7FB8"/>
    <w:rsid w:val="003B7FCA"/>
    <w:rsid w:val="003C0063"/>
    <w:rsid w:val="003C00AB"/>
    <w:rsid w:val="003C0102"/>
    <w:rsid w:val="003C0230"/>
    <w:rsid w:val="003C025D"/>
    <w:rsid w:val="003C02A1"/>
    <w:rsid w:val="003C032F"/>
    <w:rsid w:val="003C034F"/>
    <w:rsid w:val="003C0484"/>
    <w:rsid w:val="003C04DF"/>
    <w:rsid w:val="003C04E0"/>
    <w:rsid w:val="003C0510"/>
    <w:rsid w:val="003C0543"/>
    <w:rsid w:val="003C0560"/>
    <w:rsid w:val="003C05A6"/>
    <w:rsid w:val="003C0642"/>
    <w:rsid w:val="003C0674"/>
    <w:rsid w:val="003C0689"/>
    <w:rsid w:val="003C0A22"/>
    <w:rsid w:val="003C0ACD"/>
    <w:rsid w:val="003C0B0F"/>
    <w:rsid w:val="003C0C1E"/>
    <w:rsid w:val="003C0C27"/>
    <w:rsid w:val="003C0C4B"/>
    <w:rsid w:val="003C0C76"/>
    <w:rsid w:val="003C0D87"/>
    <w:rsid w:val="003C0D88"/>
    <w:rsid w:val="003C0D94"/>
    <w:rsid w:val="003C0EEA"/>
    <w:rsid w:val="003C0F49"/>
    <w:rsid w:val="003C10D8"/>
    <w:rsid w:val="003C111C"/>
    <w:rsid w:val="003C1132"/>
    <w:rsid w:val="003C1157"/>
    <w:rsid w:val="003C11B8"/>
    <w:rsid w:val="003C1261"/>
    <w:rsid w:val="003C12F1"/>
    <w:rsid w:val="003C12F7"/>
    <w:rsid w:val="003C130B"/>
    <w:rsid w:val="003C1314"/>
    <w:rsid w:val="003C1332"/>
    <w:rsid w:val="003C138F"/>
    <w:rsid w:val="003C13C4"/>
    <w:rsid w:val="003C148F"/>
    <w:rsid w:val="003C14C9"/>
    <w:rsid w:val="003C1691"/>
    <w:rsid w:val="003C16D9"/>
    <w:rsid w:val="003C170F"/>
    <w:rsid w:val="003C1792"/>
    <w:rsid w:val="003C1817"/>
    <w:rsid w:val="003C1847"/>
    <w:rsid w:val="003C18B1"/>
    <w:rsid w:val="003C18D0"/>
    <w:rsid w:val="003C1979"/>
    <w:rsid w:val="003C1988"/>
    <w:rsid w:val="003C1ACD"/>
    <w:rsid w:val="003C1B28"/>
    <w:rsid w:val="003C1B86"/>
    <w:rsid w:val="003C1BB8"/>
    <w:rsid w:val="003C1C10"/>
    <w:rsid w:val="003C1C15"/>
    <w:rsid w:val="003C1CF4"/>
    <w:rsid w:val="003C1D3B"/>
    <w:rsid w:val="003C1DC7"/>
    <w:rsid w:val="003C1E2A"/>
    <w:rsid w:val="003C1E52"/>
    <w:rsid w:val="003C1E5D"/>
    <w:rsid w:val="003C1EC0"/>
    <w:rsid w:val="003C1EF8"/>
    <w:rsid w:val="003C1F17"/>
    <w:rsid w:val="003C1FF3"/>
    <w:rsid w:val="003C202E"/>
    <w:rsid w:val="003C2033"/>
    <w:rsid w:val="003C20AC"/>
    <w:rsid w:val="003C20DA"/>
    <w:rsid w:val="003C217C"/>
    <w:rsid w:val="003C22BE"/>
    <w:rsid w:val="003C22DD"/>
    <w:rsid w:val="003C236A"/>
    <w:rsid w:val="003C2383"/>
    <w:rsid w:val="003C2472"/>
    <w:rsid w:val="003C253F"/>
    <w:rsid w:val="003C2618"/>
    <w:rsid w:val="003C2677"/>
    <w:rsid w:val="003C26F2"/>
    <w:rsid w:val="003C277C"/>
    <w:rsid w:val="003C27AB"/>
    <w:rsid w:val="003C2828"/>
    <w:rsid w:val="003C2832"/>
    <w:rsid w:val="003C2970"/>
    <w:rsid w:val="003C29DC"/>
    <w:rsid w:val="003C2A58"/>
    <w:rsid w:val="003C2AF3"/>
    <w:rsid w:val="003C2B95"/>
    <w:rsid w:val="003C2BB2"/>
    <w:rsid w:val="003C2BDD"/>
    <w:rsid w:val="003C2C7F"/>
    <w:rsid w:val="003C2CD8"/>
    <w:rsid w:val="003C2D88"/>
    <w:rsid w:val="003C2E38"/>
    <w:rsid w:val="003C2E7A"/>
    <w:rsid w:val="003C2EB6"/>
    <w:rsid w:val="003C2EBF"/>
    <w:rsid w:val="003C2F80"/>
    <w:rsid w:val="003C303F"/>
    <w:rsid w:val="003C30D5"/>
    <w:rsid w:val="003C3125"/>
    <w:rsid w:val="003C3190"/>
    <w:rsid w:val="003C3222"/>
    <w:rsid w:val="003C338E"/>
    <w:rsid w:val="003C3456"/>
    <w:rsid w:val="003C34A8"/>
    <w:rsid w:val="003C34E3"/>
    <w:rsid w:val="003C35C0"/>
    <w:rsid w:val="003C35F4"/>
    <w:rsid w:val="003C3604"/>
    <w:rsid w:val="003C3608"/>
    <w:rsid w:val="003C3641"/>
    <w:rsid w:val="003C3701"/>
    <w:rsid w:val="003C3707"/>
    <w:rsid w:val="003C370B"/>
    <w:rsid w:val="003C3741"/>
    <w:rsid w:val="003C392C"/>
    <w:rsid w:val="003C3987"/>
    <w:rsid w:val="003C39BE"/>
    <w:rsid w:val="003C3AD1"/>
    <w:rsid w:val="003C3AF9"/>
    <w:rsid w:val="003C3B14"/>
    <w:rsid w:val="003C3B70"/>
    <w:rsid w:val="003C3BD5"/>
    <w:rsid w:val="003C3BE2"/>
    <w:rsid w:val="003C3C79"/>
    <w:rsid w:val="003C3C99"/>
    <w:rsid w:val="003C3CB3"/>
    <w:rsid w:val="003C3ED3"/>
    <w:rsid w:val="003C3F42"/>
    <w:rsid w:val="003C3F9D"/>
    <w:rsid w:val="003C3FC0"/>
    <w:rsid w:val="003C4071"/>
    <w:rsid w:val="003C40CB"/>
    <w:rsid w:val="003C4109"/>
    <w:rsid w:val="003C414B"/>
    <w:rsid w:val="003C42EB"/>
    <w:rsid w:val="003C4337"/>
    <w:rsid w:val="003C43D2"/>
    <w:rsid w:val="003C447A"/>
    <w:rsid w:val="003C4528"/>
    <w:rsid w:val="003C461F"/>
    <w:rsid w:val="003C4667"/>
    <w:rsid w:val="003C468C"/>
    <w:rsid w:val="003C47BA"/>
    <w:rsid w:val="003C47CF"/>
    <w:rsid w:val="003C47F6"/>
    <w:rsid w:val="003C4867"/>
    <w:rsid w:val="003C48E4"/>
    <w:rsid w:val="003C48E5"/>
    <w:rsid w:val="003C48F6"/>
    <w:rsid w:val="003C490E"/>
    <w:rsid w:val="003C499C"/>
    <w:rsid w:val="003C4A2F"/>
    <w:rsid w:val="003C4A7F"/>
    <w:rsid w:val="003C4A8A"/>
    <w:rsid w:val="003C4AE3"/>
    <w:rsid w:val="003C4B83"/>
    <w:rsid w:val="003C4BB9"/>
    <w:rsid w:val="003C4C07"/>
    <w:rsid w:val="003C4C9C"/>
    <w:rsid w:val="003C4CFA"/>
    <w:rsid w:val="003C4D30"/>
    <w:rsid w:val="003C4D41"/>
    <w:rsid w:val="003C4D6E"/>
    <w:rsid w:val="003C4D97"/>
    <w:rsid w:val="003C4DC3"/>
    <w:rsid w:val="003C4E04"/>
    <w:rsid w:val="003C4E0C"/>
    <w:rsid w:val="003C4E2B"/>
    <w:rsid w:val="003C4EB7"/>
    <w:rsid w:val="003C4EC5"/>
    <w:rsid w:val="003C4F54"/>
    <w:rsid w:val="003C4F9A"/>
    <w:rsid w:val="003C50FF"/>
    <w:rsid w:val="003C510D"/>
    <w:rsid w:val="003C512A"/>
    <w:rsid w:val="003C5130"/>
    <w:rsid w:val="003C5143"/>
    <w:rsid w:val="003C518D"/>
    <w:rsid w:val="003C51FC"/>
    <w:rsid w:val="003C5221"/>
    <w:rsid w:val="003C5225"/>
    <w:rsid w:val="003C522D"/>
    <w:rsid w:val="003C525C"/>
    <w:rsid w:val="003C533F"/>
    <w:rsid w:val="003C53C2"/>
    <w:rsid w:val="003C5567"/>
    <w:rsid w:val="003C55CB"/>
    <w:rsid w:val="003C5639"/>
    <w:rsid w:val="003C56BC"/>
    <w:rsid w:val="003C570E"/>
    <w:rsid w:val="003C5715"/>
    <w:rsid w:val="003C5731"/>
    <w:rsid w:val="003C575E"/>
    <w:rsid w:val="003C578C"/>
    <w:rsid w:val="003C57B4"/>
    <w:rsid w:val="003C57F0"/>
    <w:rsid w:val="003C587E"/>
    <w:rsid w:val="003C58A7"/>
    <w:rsid w:val="003C58B1"/>
    <w:rsid w:val="003C58CA"/>
    <w:rsid w:val="003C5944"/>
    <w:rsid w:val="003C5976"/>
    <w:rsid w:val="003C5999"/>
    <w:rsid w:val="003C5A10"/>
    <w:rsid w:val="003C5BA4"/>
    <w:rsid w:val="003C5BEC"/>
    <w:rsid w:val="003C5C2B"/>
    <w:rsid w:val="003C5C5A"/>
    <w:rsid w:val="003C5C65"/>
    <w:rsid w:val="003C5C8F"/>
    <w:rsid w:val="003C5CBF"/>
    <w:rsid w:val="003C5D0A"/>
    <w:rsid w:val="003C5D1B"/>
    <w:rsid w:val="003C5D41"/>
    <w:rsid w:val="003C5D73"/>
    <w:rsid w:val="003C5D79"/>
    <w:rsid w:val="003C5DF2"/>
    <w:rsid w:val="003C5EBA"/>
    <w:rsid w:val="003C5EE2"/>
    <w:rsid w:val="003C5F29"/>
    <w:rsid w:val="003C5F3D"/>
    <w:rsid w:val="003C5F49"/>
    <w:rsid w:val="003C5F5E"/>
    <w:rsid w:val="003C600B"/>
    <w:rsid w:val="003C60DF"/>
    <w:rsid w:val="003C60E7"/>
    <w:rsid w:val="003C60F5"/>
    <w:rsid w:val="003C6108"/>
    <w:rsid w:val="003C6140"/>
    <w:rsid w:val="003C61C1"/>
    <w:rsid w:val="003C6214"/>
    <w:rsid w:val="003C6262"/>
    <w:rsid w:val="003C63FA"/>
    <w:rsid w:val="003C643E"/>
    <w:rsid w:val="003C645D"/>
    <w:rsid w:val="003C652A"/>
    <w:rsid w:val="003C6574"/>
    <w:rsid w:val="003C6655"/>
    <w:rsid w:val="003C6681"/>
    <w:rsid w:val="003C66C4"/>
    <w:rsid w:val="003C688F"/>
    <w:rsid w:val="003C68A1"/>
    <w:rsid w:val="003C6982"/>
    <w:rsid w:val="003C69E5"/>
    <w:rsid w:val="003C6AB5"/>
    <w:rsid w:val="003C6AFF"/>
    <w:rsid w:val="003C6B32"/>
    <w:rsid w:val="003C6B3D"/>
    <w:rsid w:val="003C6B41"/>
    <w:rsid w:val="003C6BC2"/>
    <w:rsid w:val="003C6BE2"/>
    <w:rsid w:val="003C6BEB"/>
    <w:rsid w:val="003C6BEE"/>
    <w:rsid w:val="003C6BF2"/>
    <w:rsid w:val="003C6C36"/>
    <w:rsid w:val="003C6D35"/>
    <w:rsid w:val="003C6DCC"/>
    <w:rsid w:val="003C6DD4"/>
    <w:rsid w:val="003C6E1D"/>
    <w:rsid w:val="003C6E95"/>
    <w:rsid w:val="003C6EF1"/>
    <w:rsid w:val="003C6F1D"/>
    <w:rsid w:val="003C6F7D"/>
    <w:rsid w:val="003C7055"/>
    <w:rsid w:val="003C705E"/>
    <w:rsid w:val="003C70B8"/>
    <w:rsid w:val="003C716B"/>
    <w:rsid w:val="003C7287"/>
    <w:rsid w:val="003C72EE"/>
    <w:rsid w:val="003C72F8"/>
    <w:rsid w:val="003C72FE"/>
    <w:rsid w:val="003C7327"/>
    <w:rsid w:val="003C7336"/>
    <w:rsid w:val="003C7372"/>
    <w:rsid w:val="003C7438"/>
    <w:rsid w:val="003C7444"/>
    <w:rsid w:val="003C744E"/>
    <w:rsid w:val="003C74A2"/>
    <w:rsid w:val="003C74AA"/>
    <w:rsid w:val="003C75E4"/>
    <w:rsid w:val="003C75FA"/>
    <w:rsid w:val="003C764B"/>
    <w:rsid w:val="003C76B7"/>
    <w:rsid w:val="003C76CF"/>
    <w:rsid w:val="003C76F9"/>
    <w:rsid w:val="003C7748"/>
    <w:rsid w:val="003C77BC"/>
    <w:rsid w:val="003C77CE"/>
    <w:rsid w:val="003C7827"/>
    <w:rsid w:val="003C78C4"/>
    <w:rsid w:val="003C78DA"/>
    <w:rsid w:val="003C78F6"/>
    <w:rsid w:val="003C795F"/>
    <w:rsid w:val="003C7973"/>
    <w:rsid w:val="003C79BE"/>
    <w:rsid w:val="003C7A05"/>
    <w:rsid w:val="003C7A5D"/>
    <w:rsid w:val="003C7A89"/>
    <w:rsid w:val="003C7B47"/>
    <w:rsid w:val="003C7B9C"/>
    <w:rsid w:val="003C7C0F"/>
    <w:rsid w:val="003C7C1B"/>
    <w:rsid w:val="003C7C66"/>
    <w:rsid w:val="003C7D23"/>
    <w:rsid w:val="003C7DC4"/>
    <w:rsid w:val="003C7E53"/>
    <w:rsid w:val="003C7E65"/>
    <w:rsid w:val="003C7EA3"/>
    <w:rsid w:val="003C7F50"/>
    <w:rsid w:val="003D0007"/>
    <w:rsid w:val="003D0078"/>
    <w:rsid w:val="003D00CA"/>
    <w:rsid w:val="003D011D"/>
    <w:rsid w:val="003D0130"/>
    <w:rsid w:val="003D0140"/>
    <w:rsid w:val="003D0144"/>
    <w:rsid w:val="003D0159"/>
    <w:rsid w:val="003D01E5"/>
    <w:rsid w:val="003D024E"/>
    <w:rsid w:val="003D0255"/>
    <w:rsid w:val="003D02AF"/>
    <w:rsid w:val="003D02DC"/>
    <w:rsid w:val="003D02FF"/>
    <w:rsid w:val="003D0362"/>
    <w:rsid w:val="003D037F"/>
    <w:rsid w:val="003D0392"/>
    <w:rsid w:val="003D03A0"/>
    <w:rsid w:val="003D045A"/>
    <w:rsid w:val="003D0487"/>
    <w:rsid w:val="003D04DE"/>
    <w:rsid w:val="003D059A"/>
    <w:rsid w:val="003D0618"/>
    <w:rsid w:val="003D06A3"/>
    <w:rsid w:val="003D06AB"/>
    <w:rsid w:val="003D079B"/>
    <w:rsid w:val="003D083C"/>
    <w:rsid w:val="003D089F"/>
    <w:rsid w:val="003D08F2"/>
    <w:rsid w:val="003D09B7"/>
    <w:rsid w:val="003D09E2"/>
    <w:rsid w:val="003D0A75"/>
    <w:rsid w:val="003D0AB1"/>
    <w:rsid w:val="003D0B04"/>
    <w:rsid w:val="003D0BBC"/>
    <w:rsid w:val="003D0C1A"/>
    <w:rsid w:val="003D0C9F"/>
    <w:rsid w:val="003D0CAB"/>
    <w:rsid w:val="003D0CEB"/>
    <w:rsid w:val="003D0D9B"/>
    <w:rsid w:val="003D0E23"/>
    <w:rsid w:val="003D0E78"/>
    <w:rsid w:val="003D0E95"/>
    <w:rsid w:val="003D0EA3"/>
    <w:rsid w:val="003D0ECD"/>
    <w:rsid w:val="003D1017"/>
    <w:rsid w:val="003D10BD"/>
    <w:rsid w:val="003D114A"/>
    <w:rsid w:val="003D1192"/>
    <w:rsid w:val="003D11C3"/>
    <w:rsid w:val="003D138B"/>
    <w:rsid w:val="003D13A2"/>
    <w:rsid w:val="003D1436"/>
    <w:rsid w:val="003D147D"/>
    <w:rsid w:val="003D14AF"/>
    <w:rsid w:val="003D1556"/>
    <w:rsid w:val="003D1599"/>
    <w:rsid w:val="003D1626"/>
    <w:rsid w:val="003D16CD"/>
    <w:rsid w:val="003D1713"/>
    <w:rsid w:val="003D174F"/>
    <w:rsid w:val="003D176D"/>
    <w:rsid w:val="003D17B1"/>
    <w:rsid w:val="003D18B1"/>
    <w:rsid w:val="003D19A9"/>
    <w:rsid w:val="003D19ED"/>
    <w:rsid w:val="003D1B09"/>
    <w:rsid w:val="003D1C17"/>
    <w:rsid w:val="003D1C25"/>
    <w:rsid w:val="003D1CD5"/>
    <w:rsid w:val="003D1DC3"/>
    <w:rsid w:val="003D1DFE"/>
    <w:rsid w:val="003D1E23"/>
    <w:rsid w:val="003D1E55"/>
    <w:rsid w:val="003D1E86"/>
    <w:rsid w:val="003D1F0C"/>
    <w:rsid w:val="003D1F52"/>
    <w:rsid w:val="003D1F7F"/>
    <w:rsid w:val="003D2019"/>
    <w:rsid w:val="003D2075"/>
    <w:rsid w:val="003D20A6"/>
    <w:rsid w:val="003D20BF"/>
    <w:rsid w:val="003D2194"/>
    <w:rsid w:val="003D21E3"/>
    <w:rsid w:val="003D2223"/>
    <w:rsid w:val="003D23AC"/>
    <w:rsid w:val="003D2433"/>
    <w:rsid w:val="003D24A1"/>
    <w:rsid w:val="003D2506"/>
    <w:rsid w:val="003D2580"/>
    <w:rsid w:val="003D2678"/>
    <w:rsid w:val="003D2732"/>
    <w:rsid w:val="003D27BD"/>
    <w:rsid w:val="003D2825"/>
    <w:rsid w:val="003D2834"/>
    <w:rsid w:val="003D2845"/>
    <w:rsid w:val="003D284E"/>
    <w:rsid w:val="003D28BD"/>
    <w:rsid w:val="003D28C5"/>
    <w:rsid w:val="003D2905"/>
    <w:rsid w:val="003D296F"/>
    <w:rsid w:val="003D29BE"/>
    <w:rsid w:val="003D2A06"/>
    <w:rsid w:val="003D2A0D"/>
    <w:rsid w:val="003D2A34"/>
    <w:rsid w:val="003D2A60"/>
    <w:rsid w:val="003D2A66"/>
    <w:rsid w:val="003D2AAD"/>
    <w:rsid w:val="003D2B81"/>
    <w:rsid w:val="003D2BCC"/>
    <w:rsid w:val="003D2BD4"/>
    <w:rsid w:val="003D2C4B"/>
    <w:rsid w:val="003D2CB5"/>
    <w:rsid w:val="003D2CB7"/>
    <w:rsid w:val="003D2D06"/>
    <w:rsid w:val="003D2D07"/>
    <w:rsid w:val="003D2D0E"/>
    <w:rsid w:val="003D2D9F"/>
    <w:rsid w:val="003D2DF0"/>
    <w:rsid w:val="003D2EA7"/>
    <w:rsid w:val="003D2F37"/>
    <w:rsid w:val="003D2F52"/>
    <w:rsid w:val="003D2F68"/>
    <w:rsid w:val="003D2FB8"/>
    <w:rsid w:val="003D2FEB"/>
    <w:rsid w:val="003D300C"/>
    <w:rsid w:val="003D301E"/>
    <w:rsid w:val="003D3067"/>
    <w:rsid w:val="003D309B"/>
    <w:rsid w:val="003D30D5"/>
    <w:rsid w:val="003D316E"/>
    <w:rsid w:val="003D31EF"/>
    <w:rsid w:val="003D3243"/>
    <w:rsid w:val="003D3293"/>
    <w:rsid w:val="003D330C"/>
    <w:rsid w:val="003D3344"/>
    <w:rsid w:val="003D3377"/>
    <w:rsid w:val="003D33F3"/>
    <w:rsid w:val="003D341B"/>
    <w:rsid w:val="003D343E"/>
    <w:rsid w:val="003D347A"/>
    <w:rsid w:val="003D34A1"/>
    <w:rsid w:val="003D34AA"/>
    <w:rsid w:val="003D353E"/>
    <w:rsid w:val="003D35B6"/>
    <w:rsid w:val="003D35D4"/>
    <w:rsid w:val="003D35EF"/>
    <w:rsid w:val="003D3624"/>
    <w:rsid w:val="003D3676"/>
    <w:rsid w:val="003D3701"/>
    <w:rsid w:val="003D3786"/>
    <w:rsid w:val="003D37A2"/>
    <w:rsid w:val="003D37B7"/>
    <w:rsid w:val="003D384A"/>
    <w:rsid w:val="003D38EB"/>
    <w:rsid w:val="003D395A"/>
    <w:rsid w:val="003D3985"/>
    <w:rsid w:val="003D39C4"/>
    <w:rsid w:val="003D3B0F"/>
    <w:rsid w:val="003D3B1E"/>
    <w:rsid w:val="003D3B6B"/>
    <w:rsid w:val="003D3B6E"/>
    <w:rsid w:val="003D3B80"/>
    <w:rsid w:val="003D3B92"/>
    <w:rsid w:val="003D3BAD"/>
    <w:rsid w:val="003D3BB5"/>
    <w:rsid w:val="003D3C17"/>
    <w:rsid w:val="003D3C34"/>
    <w:rsid w:val="003D3C36"/>
    <w:rsid w:val="003D3C9E"/>
    <w:rsid w:val="003D3CE5"/>
    <w:rsid w:val="003D3D28"/>
    <w:rsid w:val="003D3D6D"/>
    <w:rsid w:val="003D3DF9"/>
    <w:rsid w:val="003D3E08"/>
    <w:rsid w:val="003D3EB7"/>
    <w:rsid w:val="003D3F0E"/>
    <w:rsid w:val="003D3F61"/>
    <w:rsid w:val="003D3FF1"/>
    <w:rsid w:val="003D402F"/>
    <w:rsid w:val="003D40C4"/>
    <w:rsid w:val="003D411B"/>
    <w:rsid w:val="003D4130"/>
    <w:rsid w:val="003D4186"/>
    <w:rsid w:val="003D41CB"/>
    <w:rsid w:val="003D4283"/>
    <w:rsid w:val="003D4347"/>
    <w:rsid w:val="003D43BC"/>
    <w:rsid w:val="003D440F"/>
    <w:rsid w:val="003D455B"/>
    <w:rsid w:val="003D460A"/>
    <w:rsid w:val="003D4642"/>
    <w:rsid w:val="003D46B0"/>
    <w:rsid w:val="003D46EC"/>
    <w:rsid w:val="003D472B"/>
    <w:rsid w:val="003D47E7"/>
    <w:rsid w:val="003D4808"/>
    <w:rsid w:val="003D4854"/>
    <w:rsid w:val="003D48D8"/>
    <w:rsid w:val="003D4996"/>
    <w:rsid w:val="003D49A4"/>
    <w:rsid w:val="003D49B4"/>
    <w:rsid w:val="003D49BB"/>
    <w:rsid w:val="003D4A67"/>
    <w:rsid w:val="003D4A7B"/>
    <w:rsid w:val="003D4AC1"/>
    <w:rsid w:val="003D4AF0"/>
    <w:rsid w:val="003D4AF3"/>
    <w:rsid w:val="003D4B5B"/>
    <w:rsid w:val="003D4BB6"/>
    <w:rsid w:val="003D4BF6"/>
    <w:rsid w:val="003D4C81"/>
    <w:rsid w:val="003D4CE8"/>
    <w:rsid w:val="003D4D14"/>
    <w:rsid w:val="003D4D7E"/>
    <w:rsid w:val="003D4D85"/>
    <w:rsid w:val="003D4D99"/>
    <w:rsid w:val="003D502A"/>
    <w:rsid w:val="003D506D"/>
    <w:rsid w:val="003D507A"/>
    <w:rsid w:val="003D50E0"/>
    <w:rsid w:val="003D5109"/>
    <w:rsid w:val="003D5140"/>
    <w:rsid w:val="003D517A"/>
    <w:rsid w:val="003D5194"/>
    <w:rsid w:val="003D5225"/>
    <w:rsid w:val="003D5235"/>
    <w:rsid w:val="003D528C"/>
    <w:rsid w:val="003D529F"/>
    <w:rsid w:val="003D535A"/>
    <w:rsid w:val="003D542D"/>
    <w:rsid w:val="003D54CB"/>
    <w:rsid w:val="003D5577"/>
    <w:rsid w:val="003D56C0"/>
    <w:rsid w:val="003D56F0"/>
    <w:rsid w:val="003D574A"/>
    <w:rsid w:val="003D5759"/>
    <w:rsid w:val="003D575C"/>
    <w:rsid w:val="003D57E7"/>
    <w:rsid w:val="003D5839"/>
    <w:rsid w:val="003D5847"/>
    <w:rsid w:val="003D5896"/>
    <w:rsid w:val="003D58B0"/>
    <w:rsid w:val="003D5989"/>
    <w:rsid w:val="003D59C2"/>
    <w:rsid w:val="003D59C3"/>
    <w:rsid w:val="003D59D3"/>
    <w:rsid w:val="003D5B44"/>
    <w:rsid w:val="003D5B50"/>
    <w:rsid w:val="003D5C31"/>
    <w:rsid w:val="003D5C6F"/>
    <w:rsid w:val="003D5CA6"/>
    <w:rsid w:val="003D5D1A"/>
    <w:rsid w:val="003D5D1E"/>
    <w:rsid w:val="003D5D41"/>
    <w:rsid w:val="003D5D9F"/>
    <w:rsid w:val="003D5DF1"/>
    <w:rsid w:val="003D5E0D"/>
    <w:rsid w:val="003D5E8E"/>
    <w:rsid w:val="003D5EE3"/>
    <w:rsid w:val="003D5EE4"/>
    <w:rsid w:val="003D5F01"/>
    <w:rsid w:val="003D5F4F"/>
    <w:rsid w:val="003D6079"/>
    <w:rsid w:val="003D60A9"/>
    <w:rsid w:val="003D6124"/>
    <w:rsid w:val="003D612D"/>
    <w:rsid w:val="003D6189"/>
    <w:rsid w:val="003D6235"/>
    <w:rsid w:val="003D62F5"/>
    <w:rsid w:val="003D62FB"/>
    <w:rsid w:val="003D6420"/>
    <w:rsid w:val="003D6446"/>
    <w:rsid w:val="003D65EE"/>
    <w:rsid w:val="003D6739"/>
    <w:rsid w:val="003D6800"/>
    <w:rsid w:val="003D6831"/>
    <w:rsid w:val="003D6878"/>
    <w:rsid w:val="003D690C"/>
    <w:rsid w:val="003D69A7"/>
    <w:rsid w:val="003D6A15"/>
    <w:rsid w:val="003D6A69"/>
    <w:rsid w:val="003D6B66"/>
    <w:rsid w:val="003D6C01"/>
    <w:rsid w:val="003D6C3D"/>
    <w:rsid w:val="003D6CD1"/>
    <w:rsid w:val="003D6D0E"/>
    <w:rsid w:val="003D6D65"/>
    <w:rsid w:val="003D6DB1"/>
    <w:rsid w:val="003D6EC6"/>
    <w:rsid w:val="003D6EFD"/>
    <w:rsid w:val="003D6F0F"/>
    <w:rsid w:val="003D6F20"/>
    <w:rsid w:val="003D6F84"/>
    <w:rsid w:val="003D6FD2"/>
    <w:rsid w:val="003D710F"/>
    <w:rsid w:val="003D728F"/>
    <w:rsid w:val="003D729F"/>
    <w:rsid w:val="003D72A5"/>
    <w:rsid w:val="003D7310"/>
    <w:rsid w:val="003D7320"/>
    <w:rsid w:val="003D7359"/>
    <w:rsid w:val="003D736C"/>
    <w:rsid w:val="003D737F"/>
    <w:rsid w:val="003D7451"/>
    <w:rsid w:val="003D7465"/>
    <w:rsid w:val="003D74D9"/>
    <w:rsid w:val="003D74DA"/>
    <w:rsid w:val="003D753B"/>
    <w:rsid w:val="003D7596"/>
    <w:rsid w:val="003D759E"/>
    <w:rsid w:val="003D75F1"/>
    <w:rsid w:val="003D7610"/>
    <w:rsid w:val="003D7614"/>
    <w:rsid w:val="003D7670"/>
    <w:rsid w:val="003D76B0"/>
    <w:rsid w:val="003D771C"/>
    <w:rsid w:val="003D7735"/>
    <w:rsid w:val="003D774F"/>
    <w:rsid w:val="003D77A1"/>
    <w:rsid w:val="003D77B1"/>
    <w:rsid w:val="003D7813"/>
    <w:rsid w:val="003D7899"/>
    <w:rsid w:val="003D78BA"/>
    <w:rsid w:val="003D78D3"/>
    <w:rsid w:val="003D78E0"/>
    <w:rsid w:val="003D7948"/>
    <w:rsid w:val="003D7962"/>
    <w:rsid w:val="003D7979"/>
    <w:rsid w:val="003D7A4F"/>
    <w:rsid w:val="003D7AA6"/>
    <w:rsid w:val="003D7BDC"/>
    <w:rsid w:val="003D7BF8"/>
    <w:rsid w:val="003D7C32"/>
    <w:rsid w:val="003D7D2B"/>
    <w:rsid w:val="003D7D62"/>
    <w:rsid w:val="003D7D63"/>
    <w:rsid w:val="003D7D72"/>
    <w:rsid w:val="003D7D7C"/>
    <w:rsid w:val="003D7D96"/>
    <w:rsid w:val="003D7DA1"/>
    <w:rsid w:val="003D7E03"/>
    <w:rsid w:val="003D7E11"/>
    <w:rsid w:val="003D7E1D"/>
    <w:rsid w:val="003D7E25"/>
    <w:rsid w:val="003D7E37"/>
    <w:rsid w:val="003D7EC4"/>
    <w:rsid w:val="003D7EEE"/>
    <w:rsid w:val="003E003C"/>
    <w:rsid w:val="003E0117"/>
    <w:rsid w:val="003E0141"/>
    <w:rsid w:val="003E0146"/>
    <w:rsid w:val="003E0187"/>
    <w:rsid w:val="003E01E3"/>
    <w:rsid w:val="003E0228"/>
    <w:rsid w:val="003E0260"/>
    <w:rsid w:val="003E03CC"/>
    <w:rsid w:val="003E0424"/>
    <w:rsid w:val="003E047E"/>
    <w:rsid w:val="003E048D"/>
    <w:rsid w:val="003E049A"/>
    <w:rsid w:val="003E04A1"/>
    <w:rsid w:val="003E04EC"/>
    <w:rsid w:val="003E0547"/>
    <w:rsid w:val="003E0579"/>
    <w:rsid w:val="003E05DB"/>
    <w:rsid w:val="003E05E9"/>
    <w:rsid w:val="003E05F6"/>
    <w:rsid w:val="003E06F7"/>
    <w:rsid w:val="003E0816"/>
    <w:rsid w:val="003E087F"/>
    <w:rsid w:val="003E0A40"/>
    <w:rsid w:val="003E0AA6"/>
    <w:rsid w:val="003E0ABC"/>
    <w:rsid w:val="003E0AC6"/>
    <w:rsid w:val="003E0AD8"/>
    <w:rsid w:val="003E0ADD"/>
    <w:rsid w:val="003E0AE0"/>
    <w:rsid w:val="003E0AEA"/>
    <w:rsid w:val="003E0AEB"/>
    <w:rsid w:val="003E0B47"/>
    <w:rsid w:val="003E0BC9"/>
    <w:rsid w:val="003E0C02"/>
    <w:rsid w:val="003E0C76"/>
    <w:rsid w:val="003E0CEF"/>
    <w:rsid w:val="003E0D69"/>
    <w:rsid w:val="003E0D79"/>
    <w:rsid w:val="003E0D9C"/>
    <w:rsid w:val="003E0DAF"/>
    <w:rsid w:val="003E0E78"/>
    <w:rsid w:val="003E0EDE"/>
    <w:rsid w:val="003E0EF9"/>
    <w:rsid w:val="003E0F3D"/>
    <w:rsid w:val="003E1047"/>
    <w:rsid w:val="003E1069"/>
    <w:rsid w:val="003E1099"/>
    <w:rsid w:val="003E111D"/>
    <w:rsid w:val="003E1129"/>
    <w:rsid w:val="003E11A2"/>
    <w:rsid w:val="003E1245"/>
    <w:rsid w:val="003E124A"/>
    <w:rsid w:val="003E12C2"/>
    <w:rsid w:val="003E12C7"/>
    <w:rsid w:val="003E131E"/>
    <w:rsid w:val="003E1366"/>
    <w:rsid w:val="003E13AB"/>
    <w:rsid w:val="003E13C5"/>
    <w:rsid w:val="003E14F3"/>
    <w:rsid w:val="003E1520"/>
    <w:rsid w:val="003E1592"/>
    <w:rsid w:val="003E15AB"/>
    <w:rsid w:val="003E15C3"/>
    <w:rsid w:val="003E1623"/>
    <w:rsid w:val="003E1638"/>
    <w:rsid w:val="003E16A1"/>
    <w:rsid w:val="003E16F3"/>
    <w:rsid w:val="003E1790"/>
    <w:rsid w:val="003E1793"/>
    <w:rsid w:val="003E17A0"/>
    <w:rsid w:val="003E17ED"/>
    <w:rsid w:val="003E18D7"/>
    <w:rsid w:val="003E18DB"/>
    <w:rsid w:val="003E193F"/>
    <w:rsid w:val="003E195B"/>
    <w:rsid w:val="003E1997"/>
    <w:rsid w:val="003E19D7"/>
    <w:rsid w:val="003E1A0A"/>
    <w:rsid w:val="003E1AB1"/>
    <w:rsid w:val="003E1B11"/>
    <w:rsid w:val="003E1BC9"/>
    <w:rsid w:val="003E1BD0"/>
    <w:rsid w:val="003E1C42"/>
    <w:rsid w:val="003E1C4E"/>
    <w:rsid w:val="003E1C88"/>
    <w:rsid w:val="003E1CD6"/>
    <w:rsid w:val="003E1CF4"/>
    <w:rsid w:val="003E1CF5"/>
    <w:rsid w:val="003E1DF9"/>
    <w:rsid w:val="003E1E15"/>
    <w:rsid w:val="003E1F2D"/>
    <w:rsid w:val="003E1F74"/>
    <w:rsid w:val="003E1F80"/>
    <w:rsid w:val="003E1FAD"/>
    <w:rsid w:val="003E1FE6"/>
    <w:rsid w:val="003E2006"/>
    <w:rsid w:val="003E20B9"/>
    <w:rsid w:val="003E2151"/>
    <w:rsid w:val="003E215A"/>
    <w:rsid w:val="003E217C"/>
    <w:rsid w:val="003E21E8"/>
    <w:rsid w:val="003E21EC"/>
    <w:rsid w:val="003E22BC"/>
    <w:rsid w:val="003E22D3"/>
    <w:rsid w:val="003E22ED"/>
    <w:rsid w:val="003E2380"/>
    <w:rsid w:val="003E2448"/>
    <w:rsid w:val="003E244B"/>
    <w:rsid w:val="003E245A"/>
    <w:rsid w:val="003E24B0"/>
    <w:rsid w:val="003E24E4"/>
    <w:rsid w:val="003E24E7"/>
    <w:rsid w:val="003E250D"/>
    <w:rsid w:val="003E25E6"/>
    <w:rsid w:val="003E264F"/>
    <w:rsid w:val="003E2686"/>
    <w:rsid w:val="003E26EC"/>
    <w:rsid w:val="003E271D"/>
    <w:rsid w:val="003E2796"/>
    <w:rsid w:val="003E2869"/>
    <w:rsid w:val="003E2883"/>
    <w:rsid w:val="003E2986"/>
    <w:rsid w:val="003E29B6"/>
    <w:rsid w:val="003E29EB"/>
    <w:rsid w:val="003E2A3B"/>
    <w:rsid w:val="003E2AC3"/>
    <w:rsid w:val="003E2BA5"/>
    <w:rsid w:val="003E2C07"/>
    <w:rsid w:val="003E2C7A"/>
    <w:rsid w:val="003E2C7C"/>
    <w:rsid w:val="003E2CB8"/>
    <w:rsid w:val="003E2D59"/>
    <w:rsid w:val="003E2EA2"/>
    <w:rsid w:val="003E2F00"/>
    <w:rsid w:val="003E2FAD"/>
    <w:rsid w:val="003E3051"/>
    <w:rsid w:val="003E30A3"/>
    <w:rsid w:val="003E30CA"/>
    <w:rsid w:val="003E30E1"/>
    <w:rsid w:val="003E314F"/>
    <w:rsid w:val="003E3188"/>
    <w:rsid w:val="003E31F2"/>
    <w:rsid w:val="003E324A"/>
    <w:rsid w:val="003E3258"/>
    <w:rsid w:val="003E32A9"/>
    <w:rsid w:val="003E32BE"/>
    <w:rsid w:val="003E32EA"/>
    <w:rsid w:val="003E32F0"/>
    <w:rsid w:val="003E33EC"/>
    <w:rsid w:val="003E3414"/>
    <w:rsid w:val="003E345B"/>
    <w:rsid w:val="003E3473"/>
    <w:rsid w:val="003E3494"/>
    <w:rsid w:val="003E354A"/>
    <w:rsid w:val="003E366C"/>
    <w:rsid w:val="003E36E1"/>
    <w:rsid w:val="003E36FB"/>
    <w:rsid w:val="003E3726"/>
    <w:rsid w:val="003E374D"/>
    <w:rsid w:val="003E375B"/>
    <w:rsid w:val="003E37BB"/>
    <w:rsid w:val="003E37FB"/>
    <w:rsid w:val="003E383C"/>
    <w:rsid w:val="003E383E"/>
    <w:rsid w:val="003E3852"/>
    <w:rsid w:val="003E38A0"/>
    <w:rsid w:val="003E38C9"/>
    <w:rsid w:val="003E3988"/>
    <w:rsid w:val="003E3A7C"/>
    <w:rsid w:val="003E3AF6"/>
    <w:rsid w:val="003E3B1E"/>
    <w:rsid w:val="003E3B9F"/>
    <w:rsid w:val="003E3C53"/>
    <w:rsid w:val="003E3C8F"/>
    <w:rsid w:val="003E3CE7"/>
    <w:rsid w:val="003E3D12"/>
    <w:rsid w:val="003E3D1B"/>
    <w:rsid w:val="003E3D36"/>
    <w:rsid w:val="003E3E04"/>
    <w:rsid w:val="003E3EA5"/>
    <w:rsid w:val="003E3EEC"/>
    <w:rsid w:val="003E3F31"/>
    <w:rsid w:val="003E3F5A"/>
    <w:rsid w:val="003E3FA6"/>
    <w:rsid w:val="003E40D9"/>
    <w:rsid w:val="003E40E2"/>
    <w:rsid w:val="003E410B"/>
    <w:rsid w:val="003E4192"/>
    <w:rsid w:val="003E41AB"/>
    <w:rsid w:val="003E41DE"/>
    <w:rsid w:val="003E4217"/>
    <w:rsid w:val="003E4229"/>
    <w:rsid w:val="003E4274"/>
    <w:rsid w:val="003E431C"/>
    <w:rsid w:val="003E4341"/>
    <w:rsid w:val="003E437F"/>
    <w:rsid w:val="003E4386"/>
    <w:rsid w:val="003E441A"/>
    <w:rsid w:val="003E4421"/>
    <w:rsid w:val="003E443A"/>
    <w:rsid w:val="003E443E"/>
    <w:rsid w:val="003E4473"/>
    <w:rsid w:val="003E44B4"/>
    <w:rsid w:val="003E44CA"/>
    <w:rsid w:val="003E4514"/>
    <w:rsid w:val="003E451F"/>
    <w:rsid w:val="003E452C"/>
    <w:rsid w:val="003E45C2"/>
    <w:rsid w:val="003E4650"/>
    <w:rsid w:val="003E465A"/>
    <w:rsid w:val="003E468B"/>
    <w:rsid w:val="003E4711"/>
    <w:rsid w:val="003E4785"/>
    <w:rsid w:val="003E47AD"/>
    <w:rsid w:val="003E47CD"/>
    <w:rsid w:val="003E482E"/>
    <w:rsid w:val="003E4898"/>
    <w:rsid w:val="003E48B7"/>
    <w:rsid w:val="003E48D8"/>
    <w:rsid w:val="003E48E4"/>
    <w:rsid w:val="003E49B0"/>
    <w:rsid w:val="003E4A42"/>
    <w:rsid w:val="003E4A46"/>
    <w:rsid w:val="003E4A65"/>
    <w:rsid w:val="003E4A85"/>
    <w:rsid w:val="003E4B5E"/>
    <w:rsid w:val="003E4BE6"/>
    <w:rsid w:val="003E4D5A"/>
    <w:rsid w:val="003E4D6F"/>
    <w:rsid w:val="003E4D7D"/>
    <w:rsid w:val="003E4E5F"/>
    <w:rsid w:val="003E4E97"/>
    <w:rsid w:val="003E4EBA"/>
    <w:rsid w:val="003E4ED9"/>
    <w:rsid w:val="003E4EE0"/>
    <w:rsid w:val="003E4EF2"/>
    <w:rsid w:val="003E4F35"/>
    <w:rsid w:val="003E505E"/>
    <w:rsid w:val="003E50A8"/>
    <w:rsid w:val="003E50A9"/>
    <w:rsid w:val="003E5112"/>
    <w:rsid w:val="003E5119"/>
    <w:rsid w:val="003E5135"/>
    <w:rsid w:val="003E51E8"/>
    <w:rsid w:val="003E5204"/>
    <w:rsid w:val="003E52A7"/>
    <w:rsid w:val="003E52D8"/>
    <w:rsid w:val="003E52E4"/>
    <w:rsid w:val="003E530C"/>
    <w:rsid w:val="003E5332"/>
    <w:rsid w:val="003E5409"/>
    <w:rsid w:val="003E5420"/>
    <w:rsid w:val="003E5423"/>
    <w:rsid w:val="003E5486"/>
    <w:rsid w:val="003E5491"/>
    <w:rsid w:val="003E54AF"/>
    <w:rsid w:val="003E578F"/>
    <w:rsid w:val="003E57FA"/>
    <w:rsid w:val="003E5807"/>
    <w:rsid w:val="003E580A"/>
    <w:rsid w:val="003E58AD"/>
    <w:rsid w:val="003E5994"/>
    <w:rsid w:val="003E59D9"/>
    <w:rsid w:val="003E5B05"/>
    <w:rsid w:val="003E5B6A"/>
    <w:rsid w:val="003E5B8D"/>
    <w:rsid w:val="003E5C1C"/>
    <w:rsid w:val="003E5C1F"/>
    <w:rsid w:val="003E5C2A"/>
    <w:rsid w:val="003E5C2D"/>
    <w:rsid w:val="003E5C4A"/>
    <w:rsid w:val="003E5CB9"/>
    <w:rsid w:val="003E5D63"/>
    <w:rsid w:val="003E5D8E"/>
    <w:rsid w:val="003E5E60"/>
    <w:rsid w:val="003E5E68"/>
    <w:rsid w:val="003E5EA4"/>
    <w:rsid w:val="003E5EC9"/>
    <w:rsid w:val="003E5F9B"/>
    <w:rsid w:val="003E6006"/>
    <w:rsid w:val="003E60F3"/>
    <w:rsid w:val="003E6162"/>
    <w:rsid w:val="003E6233"/>
    <w:rsid w:val="003E6251"/>
    <w:rsid w:val="003E634A"/>
    <w:rsid w:val="003E63A8"/>
    <w:rsid w:val="003E6422"/>
    <w:rsid w:val="003E645F"/>
    <w:rsid w:val="003E6467"/>
    <w:rsid w:val="003E6495"/>
    <w:rsid w:val="003E6514"/>
    <w:rsid w:val="003E6615"/>
    <w:rsid w:val="003E661F"/>
    <w:rsid w:val="003E66A1"/>
    <w:rsid w:val="003E6709"/>
    <w:rsid w:val="003E6738"/>
    <w:rsid w:val="003E678D"/>
    <w:rsid w:val="003E681A"/>
    <w:rsid w:val="003E6835"/>
    <w:rsid w:val="003E6859"/>
    <w:rsid w:val="003E687E"/>
    <w:rsid w:val="003E68BA"/>
    <w:rsid w:val="003E68C0"/>
    <w:rsid w:val="003E68E7"/>
    <w:rsid w:val="003E69C4"/>
    <w:rsid w:val="003E6A42"/>
    <w:rsid w:val="003E6AED"/>
    <w:rsid w:val="003E6B3C"/>
    <w:rsid w:val="003E6B46"/>
    <w:rsid w:val="003E6B9B"/>
    <w:rsid w:val="003E6BAA"/>
    <w:rsid w:val="003E6C49"/>
    <w:rsid w:val="003E6CD8"/>
    <w:rsid w:val="003E6CD9"/>
    <w:rsid w:val="003E6D97"/>
    <w:rsid w:val="003E6DA2"/>
    <w:rsid w:val="003E6DB4"/>
    <w:rsid w:val="003E6DD2"/>
    <w:rsid w:val="003E6DD8"/>
    <w:rsid w:val="003E6DF1"/>
    <w:rsid w:val="003E6E13"/>
    <w:rsid w:val="003E6E79"/>
    <w:rsid w:val="003E6EC5"/>
    <w:rsid w:val="003E6F76"/>
    <w:rsid w:val="003E6F7C"/>
    <w:rsid w:val="003E6FA6"/>
    <w:rsid w:val="003E6FD3"/>
    <w:rsid w:val="003E7111"/>
    <w:rsid w:val="003E711E"/>
    <w:rsid w:val="003E7147"/>
    <w:rsid w:val="003E7214"/>
    <w:rsid w:val="003E7261"/>
    <w:rsid w:val="003E731E"/>
    <w:rsid w:val="003E7390"/>
    <w:rsid w:val="003E73A5"/>
    <w:rsid w:val="003E73AD"/>
    <w:rsid w:val="003E73D8"/>
    <w:rsid w:val="003E7486"/>
    <w:rsid w:val="003E74BF"/>
    <w:rsid w:val="003E7519"/>
    <w:rsid w:val="003E7563"/>
    <w:rsid w:val="003E7565"/>
    <w:rsid w:val="003E758C"/>
    <w:rsid w:val="003E76DC"/>
    <w:rsid w:val="003E7761"/>
    <w:rsid w:val="003E7818"/>
    <w:rsid w:val="003E7883"/>
    <w:rsid w:val="003E78D2"/>
    <w:rsid w:val="003E79B5"/>
    <w:rsid w:val="003E7B0C"/>
    <w:rsid w:val="003E7B14"/>
    <w:rsid w:val="003E7BAC"/>
    <w:rsid w:val="003E7BBC"/>
    <w:rsid w:val="003E7C48"/>
    <w:rsid w:val="003E7C89"/>
    <w:rsid w:val="003E7DB4"/>
    <w:rsid w:val="003E7ED1"/>
    <w:rsid w:val="003E7F95"/>
    <w:rsid w:val="003E7FCC"/>
    <w:rsid w:val="003E7FD6"/>
    <w:rsid w:val="003E7FF3"/>
    <w:rsid w:val="003F0067"/>
    <w:rsid w:val="003F00DA"/>
    <w:rsid w:val="003F0160"/>
    <w:rsid w:val="003F01D9"/>
    <w:rsid w:val="003F0285"/>
    <w:rsid w:val="003F028D"/>
    <w:rsid w:val="003F0313"/>
    <w:rsid w:val="003F036D"/>
    <w:rsid w:val="003F0405"/>
    <w:rsid w:val="003F0418"/>
    <w:rsid w:val="003F041D"/>
    <w:rsid w:val="003F0435"/>
    <w:rsid w:val="003F046C"/>
    <w:rsid w:val="003F049A"/>
    <w:rsid w:val="003F0524"/>
    <w:rsid w:val="003F05F6"/>
    <w:rsid w:val="003F068C"/>
    <w:rsid w:val="003F090A"/>
    <w:rsid w:val="003F0942"/>
    <w:rsid w:val="003F097D"/>
    <w:rsid w:val="003F0984"/>
    <w:rsid w:val="003F09C8"/>
    <w:rsid w:val="003F09EC"/>
    <w:rsid w:val="003F0A47"/>
    <w:rsid w:val="003F0AEC"/>
    <w:rsid w:val="003F0B21"/>
    <w:rsid w:val="003F0C74"/>
    <w:rsid w:val="003F0CEC"/>
    <w:rsid w:val="003F0D07"/>
    <w:rsid w:val="003F0D55"/>
    <w:rsid w:val="003F0DD4"/>
    <w:rsid w:val="003F0E1E"/>
    <w:rsid w:val="003F0EBA"/>
    <w:rsid w:val="003F0EE0"/>
    <w:rsid w:val="003F0F2E"/>
    <w:rsid w:val="003F0F53"/>
    <w:rsid w:val="003F0F74"/>
    <w:rsid w:val="003F0FF5"/>
    <w:rsid w:val="003F101D"/>
    <w:rsid w:val="003F10FE"/>
    <w:rsid w:val="003F1232"/>
    <w:rsid w:val="003F12AC"/>
    <w:rsid w:val="003F12B1"/>
    <w:rsid w:val="003F12FE"/>
    <w:rsid w:val="003F1339"/>
    <w:rsid w:val="003F139B"/>
    <w:rsid w:val="003F13D8"/>
    <w:rsid w:val="003F149E"/>
    <w:rsid w:val="003F158A"/>
    <w:rsid w:val="003F1674"/>
    <w:rsid w:val="003F1699"/>
    <w:rsid w:val="003F17A2"/>
    <w:rsid w:val="003F17EE"/>
    <w:rsid w:val="003F1851"/>
    <w:rsid w:val="003F18A2"/>
    <w:rsid w:val="003F19C2"/>
    <w:rsid w:val="003F19D4"/>
    <w:rsid w:val="003F19D9"/>
    <w:rsid w:val="003F1A04"/>
    <w:rsid w:val="003F1A05"/>
    <w:rsid w:val="003F1A12"/>
    <w:rsid w:val="003F1AB2"/>
    <w:rsid w:val="003F1AFB"/>
    <w:rsid w:val="003F1B15"/>
    <w:rsid w:val="003F1B4B"/>
    <w:rsid w:val="003F1BB3"/>
    <w:rsid w:val="003F1C11"/>
    <w:rsid w:val="003F1C89"/>
    <w:rsid w:val="003F1D27"/>
    <w:rsid w:val="003F1D7F"/>
    <w:rsid w:val="003F1DF0"/>
    <w:rsid w:val="003F1F48"/>
    <w:rsid w:val="003F1F5A"/>
    <w:rsid w:val="003F2004"/>
    <w:rsid w:val="003F207F"/>
    <w:rsid w:val="003F20A5"/>
    <w:rsid w:val="003F20AF"/>
    <w:rsid w:val="003F20FD"/>
    <w:rsid w:val="003F2124"/>
    <w:rsid w:val="003F2245"/>
    <w:rsid w:val="003F225E"/>
    <w:rsid w:val="003F2274"/>
    <w:rsid w:val="003F2295"/>
    <w:rsid w:val="003F234C"/>
    <w:rsid w:val="003F2380"/>
    <w:rsid w:val="003F249E"/>
    <w:rsid w:val="003F24F6"/>
    <w:rsid w:val="003F2533"/>
    <w:rsid w:val="003F2582"/>
    <w:rsid w:val="003F26C4"/>
    <w:rsid w:val="003F26E7"/>
    <w:rsid w:val="003F2702"/>
    <w:rsid w:val="003F2723"/>
    <w:rsid w:val="003F274B"/>
    <w:rsid w:val="003F2802"/>
    <w:rsid w:val="003F2804"/>
    <w:rsid w:val="003F2807"/>
    <w:rsid w:val="003F2819"/>
    <w:rsid w:val="003F2984"/>
    <w:rsid w:val="003F29CF"/>
    <w:rsid w:val="003F2A7D"/>
    <w:rsid w:val="003F2ACB"/>
    <w:rsid w:val="003F2AD0"/>
    <w:rsid w:val="003F2AE8"/>
    <w:rsid w:val="003F2B43"/>
    <w:rsid w:val="003F2B60"/>
    <w:rsid w:val="003F2B6D"/>
    <w:rsid w:val="003F2BF7"/>
    <w:rsid w:val="003F2C3C"/>
    <w:rsid w:val="003F2CB0"/>
    <w:rsid w:val="003F2D17"/>
    <w:rsid w:val="003F2D4A"/>
    <w:rsid w:val="003F2D4D"/>
    <w:rsid w:val="003F2E48"/>
    <w:rsid w:val="003F2F04"/>
    <w:rsid w:val="003F2F34"/>
    <w:rsid w:val="003F304A"/>
    <w:rsid w:val="003F30F8"/>
    <w:rsid w:val="003F3165"/>
    <w:rsid w:val="003F317F"/>
    <w:rsid w:val="003F32BB"/>
    <w:rsid w:val="003F32CE"/>
    <w:rsid w:val="003F32D2"/>
    <w:rsid w:val="003F3344"/>
    <w:rsid w:val="003F3349"/>
    <w:rsid w:val="003F3434"/>
    <w:rsid w:val="003F3472"/>
    <w:rsid w:val="003F34AE"/>
    <w:rsid w:val="003F34F3"/>
    <w:rsid w:val="003F360D"/>
    <w:rsid w:val="003F366A"/>
    <w:rsid w:val="003F36AD"/>
    <w:rsid w:val="003F37AC"/>
    <w:rsid w:val="003F38DD"/>
    <w:rsid w:val="003F3958"/>
    <w:rsid w:val="003F39B6"/>
    <w:rsid w:val="003F39B7"/>
    <w:rsid w:val="003F39EB"/>
    <w:rsid w:val="003F3A04"/>
    <w:rsid w:val="003F3B65"/>
    <w:rsid w:val="003F3BE4"/>
    <w:rsid w:val="003F3BF1"/>
    <w:rsid w:val="003F3DB1"/>
    <w:rsid w:val="003F3E8F"/>
    <w:rsid w:val="003F3F63"/>
    <w:rsid w:val="003F3F8C"/>
    <w:rsid w:val="003F3FDA"/>
    <w:rsid w:val="003F402B"/>
    <w:rsid w:val="003F407F"/>
    <w:rsid w:val="003F40AB"/>
    <w:rsid w:val="003F40F0"/>
    <w:rsid w:val="003F41D0"/>
    <w:rsid w:val="003F41E6"/>
    <w:rsid w:val="003F41E8"/>
    <w:rsid w:val="003F4202"/>
    <w:rsid w:val="003F4232"/>
    <w:rsid w:val="003F4278"/>
    <w:rsid w:val="003F4308"/>
    <w:rsid w:val="003F437A"/>
    <w:rsid w:val="003F43A6"/>
    <w:rsid w:val="003F43BF"/>
    <w:rsid w:val="003F43CA"/>
    <w:rsid w:val="003F4475"/>
    <w:rsid w:val="003F4489"/>
    <w:rsid w:val="003F4508"/>
    <w:rsid w:val="003F4610"/>
    <w:rsid w:val="003F4690"/>
    <w:rsid w:val="003F4720"/>
    <w:rsid w:val="003F4786"/>
    <w:rsid w:val="003F47F0"/>
    <w:rsid w:val="003F4861"/>
    <w:rsid w:val="003F4872"/>
    <w:rsid w:val="003F4887"/>
    <w:rsid w:val="003F4A22"/>
    <w:rsid w:val="003F4A47"/>
    <w:rsid w:val="003F4AC0"/>
    <w:rsid w:val="003F4ACF"/>
    <w:rsid w:val="003F4B0F"/>
    <w:rsid w:val="003F4BAA"/>
    <w:rsid w:val="003F4BE3"/>
    <w:rsid w:val="003F4BEE"/>
    <w:rsid w:val="003F4BEF"/>
    <w:rsid w:val="003F4C5E"/>
    <w:rsid w:val="003F4CE9"/>
    <w:rsid w:val="003F4D5F"/>
    <w:rsid w:val="003F4D6F"/>
    <w:rsid w:val="003F4DC3"/>
    <w:rsid w:val="003F4E79"/>
    <w:rsid w:val="003F4E8A"/>
    <w:rsid w:val="003F4EB2"/>
    <w:rsid w:val="003F4EB5"/>
    <w:rsid w:val="003F4F45"/>
    <w:rsid w:val="003F4F52"/>
    <w:rsid w:val="003F4F6B"/>
    <w:rsid w:val="003F4FF9"/>
    <w:rsid w:val="003F503C"/>
    <w:rsid w:val="003F5081"/>
    <w:rsid w:val="003F5103"/>
    <w:rsid w:val="003F5139"/>
    <w:rsid w:val="003F514F"/>
    <w:rsid w:val="003F51D4"/>
    <w:rsid w:val="003F5225"/>
    <w:rsid w:val="003F525D"/>
    <w:rsid w:val="003F525F"/>
    <w:rsid w:val="003F5288"/>
    <w:rsid w:val="003F52A6"/>
    <w:rsid w:val="003F52F3"/>
    <w:rsid w:val="003F5308"/>
    <w:rsid w:val="003F53C3"/>
    <w:rsid w:val="003F5431"/>
    <w:rsid w:val="003F5448"/>
    <w:rsid w:val="003F54BE"/>
    <w:rsid w:val="003F5506"/>
    <w:rsid w:val="003F569F"/>
    <w:rsid w:val="003F575A"/>
    <w:rsid w:val="003F58D7"/>
    <w:rsid w:val="003F58F5"/>
    <w:rsid w:val="003F5985"/>
    <w:rsid w:val="003F59D6"/>
    <w:rsid w:val="003F5A32"/>
    <w:rsid w:val="003F5AB6"/>
    <w:rsid w:val="003F5B9A"/>
    <w:rsid w:val="003F5B9F"/>
    <w:rsid w:val="003F5BA7"/>
    <w:rsid w:val="003F5BD2"/>
    <w:rsid w:val="003F5BEF"/>
    <w:rsid w:val="003F5C3B"/>
    <w:rsid w:val="003F5C75"/>
    <w:rsid w:val="003F5CA1"/>
    <w:rsid w:val="003F5CE3"/>
    <w:rsid w:val="003F5D42"/>
    <w:rsid w:val="003F5DDE"/>
    <w:rsid w:val="003F5E1C"/>
    <w:rsid w:val="003F5E4E"/>
    <w:rsid w:val="003F5EBD"/>
    <w:rsid w:val="003F5F03"/>
    <w:rsid w:val="003F5F2A"/>
    <w:rsid w:val="003F5F3C"/>
    <w:rsid w:val="003F5FA5"/>
    <w:rsid w:val="003F5FB5"/>
    <w:rsid w:val="003F5FE8"/>
    <w:rsid w:val="003F6011"/>
    <w:rsid w:val="003F615C"/>
    <w:rsid w:val="003F63B2"/>
    <w:rsid w:val="003F63D7"/>
    <w:rsid w:val="003F643D"/>
    <w:rsid w:val="003F6440"/>
    <w:rsid w:val="003F64D4"/>
    <w:rsid w:val="003F657F"/>
    <w:rsid w:val="003F65B8"/>
    <w:rsid w:val="003F65EF"/>
    <w:rsid w:val="003F6604"/>
    <w:rsid w:val="003F66C2"/>
    <w:rsid w:val="003F6748"/>
    <w:rsid w:val="003F6777"/>
    <w:rsid w:val="003F6779"/>
    <w:rsid w:val="003F690E"/>
    <w:rsid w:val="003F6956"/>
    <w:rsid w:val="003F6965"/>
    <w:rsid w:val="003F696D"/>
    <w:rsid w:val="003F6A2D"/>
    <w:rsid w:val="003F6A97"/>
    <w:rsid w:val="003F6AB9"/>
    <w:rsid w:val="003F6B4E"/>
    <w:rsid w:val="003F6B5D"/>
    <w:rsid w:val="003F6B63"/>
    <w:rsid w:val="003F6B9F"/>
    <w:rsid w:val="003F6C45"/>
    <w:rsid w:val="003F6C89"/>
    <w:rsid w:val="003F6CCB"/>
    <w:rsid w:val="003F6D30"/>
    <w:rsid w:val="003F6D4C"/>
    <w:rsid w:val="003F6D6B"/>
    <w:rsid w:val="003F6DAF"/>
    <w:rsid w:val="003F6E20"/>
    <w:rsid w:val="003F6F52"/>
    <w:rsid w:val="003F6F63"/>
    <w:rsid w:val="003F6F6A"/>
    <w:rsid w:val="003F6F6D"/>
    <w:rsid w:val="003F6F8E"/>
    <w:rsid w:val="003F70B0"/>
    <w:rsid w:val="003F7170"/>
    <w:rsid w:val="003F71F9"/>
    <w:rsid w:val="003F7307"/>
    <w:rsid w:val="003F7349"/>
    <w:rsid w:val="003F7372"/>
    <w:rsid w:val="003F742A"/>
    <w:rsid w:val="003F74FE"/>
    <w:rsid w:val="003F7514"/>
    <w:rsid w:val="003F760D"/>
    <w:rsid w:val="003F7670"/>
    <w:rsid w:val="003F7717"/>
    <w:rsid w:val="003F7757"/>
    <w:rsid w:val="003F77B9"/>
    <w:rsid w:val="003F77DA"/>
    <w:rsid w:val="003F783F"/>
    <w:rsid w:val="003F79D8"/>
    <w:rsid w:val="003F7A54"/>
    <w:rsid w:val="003F7A68"/>
    <w:rsid w:val="003F7A7D"/>
    <w:rsid w:val="003F7AB4"/>
    <w:rsid w:val="003F7AD5"/>
    <w:rsid w:val="003F7B35"/>
    <w:rsid w:val="003F7B52"/>
    <w:rsid w:val="003F7B58"/>
    <w:rsid w:val="003F7CE1"/>
    <w:rsid w:val="003F7CFD"/>
    <w:rsid w:val="003F7D00"/>
    <w:rsid w:val="003F7D25"/>
    <w:rsid w:val="003F7D8E"/>
    <w:rsid w:val="003F7EAF"/>
    <w:rsid w:val="003F7EC6"/>
    <w:rsid w:val="003F7EF5"/>
    <w:rsid w:val="003F7F6D"/>
    <w:rsid w:val="003F7F84"/>
    <w:rsid w:val="0040006C"/>
    <w:rsid w:val="0040010F"/>
    <w:rsid w:val="00400130"/>
    <w:rsid w:val="00400132"/>
    <w:rsid w:val="00400139"/>
    <w:rsid w:val="00400142"/>
    <w:rsid w:val="00400175"/>
    <w:rsid w:val="00400178"/>
    <w:rsid w:val="004001F5"/>
    <w:rsid w:val="00400211"/>
    <w:rsid w:val="004002E5"/>
    <w:rsid w:val="00400324"/>
    <w:rsid w:val="00400327"/>
    <w:rsid w:val="0040039F"/>
    <w:rsid w:val="0040042D"/>
    <w:rsid w:val="00400447"/>
    <w:rsid w:val="0040044E"/>
    <w:rsid w:val="004004C6"/>
    <w:rsid w:val="00400511"/>
    <w:rsid w:val="0040052F"/>
    <w:rsid w:val="00400772"/>
    <w:rsid w:val="0040077F"/>
    <w:rsid w:val="0040087C"/>
    <w:rsid w:val="0040088C"/>
    <w:rsid w:val="00400902"/>
    <w:rsid w:val="00400980"/>
    <w:rsid w:val="004009B6"/>
    <w:rsid w:val="00400A21"/>
    <w:rsid w:val="00400B1C"/>
    <w:rsid w:val="00400BD5"/>
    <w:rsid w:val="00400C74"/>
    <w:rsid w:val="00400D5E"/>
    <w:rsid w:val="00400D65"/>
    <w:rsid w:val="00400DA4"/>
    <w:rsid w:val="00400DDF"/>
    <w:rsid w:val="00400E7A"/>
    <w:rsid w:val="00400EA1"/>
    <w:rsid w:val="00400EC8"/>
    <w:rsid w:val="00400F71"/>
    <w:rsid w:val="0040101B"/>
    <w:rsid w:val="00401074"/>
    <w:rsid w:val="004010FE"/>
    <w:rsid w:val="00401114"/>
    <w:rsid w:val="0040116E"/>
    <w:rsid w:val="0040119F"/>
    <w:rsid w:val="004011C8"/>
    <w:rsid w:val="004011DF"/>
    <w:rsid w:val="00401288"/>
    <w:rsid w:val="004012BC"/>
    <w:rsid w:val="004012DC"/>
    <w:rsid w:val="004012EA"/>
    <w:rsid w:val="004012FB"/>
    <w:rsid w:val="0040142A"/>
    <w:rsid w:val="00401482"/>
    <w:rsid w:val="004014F0"/>
    <w:rsid w:val="00401548"/>
    <w:rsid w:val="00401595"/>
    <w:rsid w:val="004015C5"/>
    <w:rsid w:val="004015F1"/>
    <w:rsid w:val="00401720"/>
    <w:rsid w:val="00401733"/>
    <w:rsid w:val="0040173E"/>
    <w:rsid w:val="00401742"/>
    <w:rsid w:val="00401797"/>
    <w:rsid w:val="00401798"/>
    <w:rsid w:val="004017FF"/>
    <w:rsid w:val="00401849"/>
    <w:rsid w:val="0040187D"/>
    <w:rsid w:val="0040188E"/>
    <w:rsid w:val="004018A3"/>
    <w:rsid w:val="004018CC"/>
    <w:rsid w:val="004018FB"/>
    <w:rsid w:val="00401965"/>
    <w:rsid w:val="0040198B"/>
    <w:rsid w:val="004019AB"/>
    <w:rsid w:val="004019B9"/>
    <w:rsid w:val="004019DA"/>
    <w:rsid w:val="00401A54"/>
    <w:rsid w:val="00401A6C"/>
    <w:rsid w:val="00401A6E"/>
    <w:rsid w:val="00401AD6"/>
    <w:rsid w:val="00401CB0"/>
    <w:rsid w:val="00401D5B"/>
    <w:rsid w:val="00401D69"/>
    <w:rsid w:val="00401D88"/>
    <w:rsid w:val="00401D9E"/>
    <w:rsid w:val="00401DC5"/>
    <w:rsid w:val="00401DD4"/>
    <w:rsid w:val="00401E65"/>
    <w:rsid w:val="00401F7E"/>
    <w:rsid w:val="00401F99"/>
    <w:rsid w:val="00401F9B"/>
    <w:rsid w:val="00401FD0"/>
    <w:rsid w:val="00402046"/>
    <w:rsid w:val="004020CF"/>
    <w:rsid w:val="00402114"/>
    <w:rsid w:val="0040212A"/>
    <w:rsid w:val="0040214A"/>
    <w:rsid w:val="004021D0"/>
    <w:rsid w:val="00402322"/>
    <w:rsid w:val="0040233A"/>
    <w:rsid w:val="00402362"/>
    <w:rsid w:val="00402393"/>
    <w:rsid w:val="00402417"/>
    <w:rsid w:val="00402447"/>
    <w:rsid w:val="004024C0"/>
    <w:rsid w:val="004024EA"/>
    <w:rsid w:val="004024F1"/>
    <w:rsid w:val="0040261A"/>
    <w:rsid w:val="00402688"/>
    <w:rsid w:val="0040269A"/>
    <w:rsid w:val="00402710"/>
    <w:rsid w:val="0040272F"/>
    <w:rsid w:val="00402744"/>
    <w:rsid w:val="00402770"/>
    <w:rsid w:val="00402849"/>
    <w:rsid w:val="0040284B"/>
    <w:rsid w:val="0040289D"/>
    <w:rsid w:val="004028BA"/>
    <w:rsid w:val="004028BE"/>
    <w:rsid w:val="004028D5"/>
    <w:rsid w:val="004028DB"/>
    <w:rsid w:val="004029F4"/>
    <w:rsid w:val="00402A0D"/>
    <w:rsid w:val="00402A36"/>
    <w:rsid w:val="00402A5A"/>
    <w:rsid w:val="00402ACB"/>
    <w:rsid w:val="00402AD0"/>
    <w:rsid w:val="00402AE1"/>
    <w:rsid w:val="00402AE6"/>
    <w:rsid w:val="00402B59"/>
    <w:rsid w:val="00402B81"/>
    <w:rsid w:val="00402BA9"/>
    <w:rsid w:val="00402C04"/>
    <w:rsid w:val="00402C11"/>
    <w:rsid w:val="00402C3F"/>
    <w:rsid w:val="00402D19"/>
    <w:rsid w:val="00402DD8"/>
    <w:rsid w:val="00402E74"/>
    <w:rsid w:val="00402F13"/>
    <w:rsid w:val="00402F60"/>
    <w:rsid w:val="00402F7A"/>
    <w:rsid w:val="00402FB8"/>
    <w:rsid w:val="00403077"/>
    <w:rsid w:val="0040312C"/>
    <w:rsid w:val="0040316C"/>
    <w:rsid w:val="00403190"/>
    <w:rsid w:val="004031B6"/>
    <w:rsid w:val="0040322C"/>
    <w:rsid w:val="00403280"/>
    <w:rsid w:val="004032DA"/>
    <w:rsid w:val="0040334C"/>
    <w:rsid w:val="004033D2"/>
    <w:rsid w:val="00403530"/>
    <w:rsid w:val="0040358D"/>
    <w:rsid w:val="004035C1"/>
    <w:rsid w:val="004035DB"/>
    <w:rsid w:val="004035E8"/>
    <w:rsid w:val="00403626"/>
    <w:rsid w:val="0040362F"/>
    <w:rsid w:val="00403682"/>
    <w:rsid w:val="004036B5"/>
    <w:rsid w:val="0040371B"/>
    <w:rsid w:val="00403738"/>
    <w:rsid w:val="00403747"/>
    <w:rsid w:val="0040375E"/>
    <w:rsid w:val="00403852"/>
    <w:rsid w:val="0040385B"/>
    <w:rsid w:val="0040387B"/>
    <w:rsid w:val="004038AF"/>
    <w:rsid w:val="004038D9"/>
    <w:rsid w:val="0040391D"/>
    <w:rsid w:val="00403984"/>
    <w:rsid w:val="004039E4"/>
    <w:rsid w:val="004039F7"/>
    <w:rsid w:val="00403A01"/>
    <w:rsid w:val="00403A11"/>
    <w:rsid w:val="00403ABC"/>
    <w:rsid w:val="00403BA6"/>
    <w:rsid w:val="00403BBF"/>
    <w:rsid w:val="00403C06"/>
    <w:rsid w:val="00403C35"/>
    <w:rsid w:val="00403D19"/>
    <w:rsid w:val="00403D2C"/>
    <w:rsid w:val="00403D5B"/>
    <w:rsid w:val="00403DB4"/>
    <w:rsid w:val="00403E28"/>
    <w:rsid w:val="00403E2E"/>
    <w:rsid w:val="00403E34"/>
    <w:rsid w:val="00403EC0"/>
    <w:rsid w:val="00403EDA"/>
    <w:rsid w:val="00403F65"/>
    <w:rsid w:val="00403FC8"/>
    <w:rsid w:val="00404083"/>
    <w:rsid w:val="0040408B"/>
    <w:rsid w:val="004040B9"/>
    <w:rsid w:val="0040411B"/>
    <w:rsid w:val="00404271"/>
    <w:rsid w:val="004042C7"/>
    <w:rsid w:val="004042DC"/>
    <w:rsid w:val="0040433D"/>
    <w:rsid w:val="004043C5"/>
    <w:rsid w:val="004043D4"/>
    <w:rsid w:val="004043D8"/>
    <w:rsid w:val="004043DF"/>
    <w:rsid w:val="0040440C"/>
    <w:rsid w:val="0040444A"/>
    <w:rsid w:val="00404483"/>
    <w:rsid w:val="004044B1"/>
    <w:rsid w:val="004044F7"/>
    <w:rsid w:val="004044FF"/>
    <w:rsid w:val="004045A8"/>
    <w:rsid w:val="004045CE"/>
    <w:rsid w:val="00404618"/>
    <w:rsid w:val="00404678"/>
    <w:rsid w:val="00404697"/>
    <w:rsid w:val="0040470D"/>
    <w:rsid w:val="00404743"/>
    <w:rsid w:val="004047A9"/>
    <w:rsid w:val="004047C2"/>
    <w:rsid w:val="00404809"/>
    <w:rsid w:val="0040480A"/>
    <w:rsid w:val="00404838"/>
    <w:rsid w:val="004048D5"/>
    <w:rsid w:val="0040490C"/>
    <w:rsid w:val="00404932"/>
    <w:rsid w:val="00404963"/>
    <w:rsid w:val="00404ABA"/>
    <w:rsid w:val="00404B1F"/>
    <w:rsid w:val="00404B47"/>
    <w:rsid w:val="00404B54"/>
    <w:rsid w:val="00404B61"/>
    <w:rsid w:val="00404CA3"/>
    <w:rsid w:val="00404D1C"/>
    <w:rsid w:val="00404D73"/>
    <w:rsid w:val="00404DBE"/>
    <w:rsid w:val="00404DD8"/>
    <w:rsid w:val="00404DD9"/>
    <w:rsid w:val="00404E1F"/>
    <w:rsid w:val="00404FD4"/>
    <w:rsid w:val="00404FEC"/>
    <w:rsid w:val="00405041"/>
    <w:rsid w:val="00405146"/>
    <w:rsid w:val="0040517A"/>
    <w:rsid w:val="0040519E"/>
    <w:rsid w:val="004051EC"/>
    <w:rsid w:val="004052B3"/>
    <w:rsid w:val="00405300"/>
    <w:rsid w:val="00405378"/>
    <w:rsid w:val="00405385"/>
    <w:rsid w:val="004053A7"/>
    <w:rsid w:val="004053E8"/>
    <w:rsid w:val="004053FA"/>
    <w:rsid w:val="00405435"/>
    <w:rsid w:val="004054FC"/>
    <w:rsid w:val="004055AC"/>
    <w:rsid w:val="004055E9"/>
    <w:rsid w:val="00405624"/>
    <w:rsid w:val="004056E1"/>
    <w:rsid w:val="00405717"/>
    <w:rsid w:val="004057A1"/>
    <w:rsid w:val="004057DD"/>
    <w:rsid w:val="00405872"/>
    <w:rsid w:val="004058A7"/>
    <w:rsid w:val="004058D2"/>
    <w:rsid w:val="004058D5"/>
    <w:rsid w:val="0040594E"/>
    <w:rsid w:val="00405A6F"/>
    <w:rsid w:val="00405AE6"/>
    <w:rsid w:val="00405B49"/>
    <w:rsid w:val="00405B99"/>
    <w:rsid w:val="00405BAE"/>
    <w:rsid w:val="00405C3C"/>
    <w:rsid w:val="00405CF4"/>
    <w:rsid w:val="00405D8B"/>
    <w:rsid w:val="00405DB1"/>
    <w:rsid w:val="00405DCA"/>
    <w:rsid w:val="00405EB6"/>
    <w:rsid w:val="00405F21"/>
    <w:rsid w:val="00405F5A"/>
    <w:rsid w:val="00405F85"/>
    <w:rsid w:val="0040601B"/>
    <w:rsid w:val="00406038"/>
    <w:rsid w:val="0040607E"/>
    <w:rsid w:val="004060F5"/>
    <w:rsid w:val="0040612D"/>
    <w:rsid w:val="0040622D"/>
    <w:rsid w:val="0040625E"/>
    <w:rsid w:val="00406261"/>
    <w:rsid w:val="0040629B"/>
    <w:rsid w:val="004062BD"/>
    <w:rsid w:val="00406334"/>
    <w:rsid w:val="0040636B"/>
    <w:rsid w:val="004063E4"/>
    <w:rsid w:val="004063E9"/>
    <w:rsid w:val="004063FC"/>
    <w:rsid w:val="00406474"/>
    <w:rsid w:val="00406480"/>
    <w:rsid w:val="004064FA"/>
    <w:rsid w:val="0040652D"/>
    <w:rsid w:val="0040653C"/>
    <w:rsid w:val="00406581"/>
    <w:rsid w:val="00406635"/>
    <w:rsid w:val="0040666D"/>
    <w:rsid w:val="00406733"/>
    <w:rsid w:val="00406808"/>
    <w:rsid w:val="004068F0"/>
    <w:rsid w:val="0040690B"/>
    <w:rsid w:val="00406941"/>
    <w:rsid w:val="004069E9"/>
    <w:rsid w:val="00406BD0"/>
    <w:rsid w:val="00406C07"/>
    <w:rsid w:val="00406C08"/>
    <w:rsid w:val="00406C17"/>
    <w:rsid w:val="00406C61"/>
    <w:rsid w:val="00406E60"/>
    <w:rsid w:val="00406F00"/>
    <w:rsid w:val="00406F1A"/>
    <w:rsid w:val="00406F2B"/>
    <w:rsid w:val="00406F33"/>
    <w:rsid w:val="00406F50"/>
    <w:rsid w:val="00406F65"/>
    <w:rsid w:val="0040704C"/>
    <w:rsid w:val="004070C5"/>
    <w:rsid w:val="0040715D"/>
    <w:rsid w:val="004071EE"/>
    <w:rsid w:val="0040727B"/>
    <w:rsid w:val="004072B7"/>
    <w:rsid w:val="00407311"/>
    <w:rsid w:val="00407317"/>
    <w:rsid w:val="00407389"/>
    <w:rsid w:val="00407420"/>
    <w:rsid w:val="00407476"/>
    <w:rsid w:val="004074B2"/>
    <w:rsid w:val="004074F3"/>
    <w:rsid w:val="00407503"/>
    <w:rsid w:val="00407567"/>
    <w:rsid w:val="00407591"/>
    <w:rsid w:val="00407593"/>
    <w:rsid w:val="004075F2"/>
    <w:rsid w:val="004076CB"/>
    <w:rsid w:val="00407756"/>
    <w:rsid w:val="004077BD"/>
    <w:rsid w:val="00407891"/>
    <w:rsid w:val="0040793D"/>
    <w:rsid w:val="0040795D"/>
    <w:rsid w:val="00407986"/>
    <w:rsid w:val="0040798C"/>
    <w:rsid w:val="0040799A"/>
    <w:rsid w:val="0040799D"/>
    <w:rsid w:val="0040799F"/>
    <w:rsid w:val="004079FC"/>
    <w:rsid w:val="00407A22"/>
    <w:rsid w:val="00407A8A"/>
    <w:rsid w:val="00407AD6"/>
    <w:rsid w:val="00407C15"/>
    <w:rsid w:val="00407C1D"/>
    <w:rsid w:val="00407C3E"/>
    <w:rsid w:val="00407C69"/>
    <w:rsid w:val="00407C82"/>
    <w:rsid w:val="00407CD0"/>
    <w:rsid w:val="00407D12"/>
    <w:rsid w:val="00407D57"/>
    <w:rsid w:val="00407D6E"/>
    <w:rsid w:val="00407D8E"/>
    <w:rsid w:val="00407E05"/>
    <w:rsid w:val="00407F4C"/>
    <w:rsid w:val="00407F7F"/>
    <w:rsid w:val="0041001A"/>
    <w:rsid w:val="00410021"/>
    <w:rsid w:val="00410044"/>
    <w:rsid w:val="004100B8"/>
    <w:rsid w:val="004100C7"/>
    <w:rsid w:val="004101B0"/>
    <w:rsid w:val="004101B1"/>
    <w:rsid w:val="004101CF"/>
    <w:rsid w:val="00410214"/>
    <w:rsid w:val="004102A4"/>
    <w:rsid w:val="0041034E"/>
    <w:rsid w:val="00410475"/>
    <w:rsid w:val="0041050E"/>
    <w:rsid w:val="00410574"/>
    <w:rsid w:val="0041065D"/>
    <w:rsid w:val="00410811"/>
    <w:rsid w:val="00410867"/>
    <w:rsid w:val="004108A7"/>
    <w:rsid w:val="0041097A"/>
    <w:rsid w:val="00410A16"/>
    <w:rsid w:val="00410A42"/>
    <w:rsid w:val="00410AB5"/>
    <w:rsid w:val="00410AC5"/>
    <w:rsid w:val="00410B5C"/>
    <w:rsid w:val="00410B63"/>
    <w:rsid w:val="00410B8D"/>
    <w:rsid w:val="00410BF2"/>
    <w:rsid w:val="00410C08"/>
    <w:rsid w:val="00410CF7"/>
    <w:rsid w:val="00410D2F"/>
    <w:rsid w:val="00410DD7"/>
    <w:rsid w:val="00410E2D"/>
    <w:rsid w:val="00410E5A"/>
    <w:rsid w:val="00410EA3"/>
    <w:rsid w:val="00410F78"/>
    <w:rsid w:val="00410FBA"/>
    <w:rsid w:val="00410FD7"/>
    <w:rsid w:val="0041105C"/>
    <w:rsid w:val="0041107B"/>
    <w:rsid w:val="004110F7"/>
    <w:rsid w:val="004111CA"/>
    <w:rsid w:val="00411239"/>
    <w:rsid w:val="0041124C"/>
    <w:rsid w:val="00411286"/>
    <w:rsid w:val="0041129E"/>
    <w:rsid w:val="004112E7"/>
    <w:rsid w:val="00411408"/>
    <w:rsid w:val="0041141B"/>
    <w:rsid w:val="0041145C"/>
    <w:rsid w:val="0041149C"/>
    <w:rsid w:val="004114CA"/>
    <w:rsid w:val="004114F7"/>
    <w:rsid w:val="004116B2"/>
    <w:rsid w:val="004116B3"/>
    <w:rsid w:val="00411722"/>
    <w:rsid w:val="00411796"/>
    <w:rsid w:val="004117CB"/>
    <w:rsid w:val="0041186D"/>
    <w:rsid w:val="00411870"/>
    <w:rsid w:val="00411890"/>
    <w:rsid w:val="004118A0"/>
    <w:rsid w:val="00411915"/>
    <w:rsid w:val="00411957"/>
    <w:rsid w:val="00411AC6"/>
    <w:rsid w:val="00411AE0"/>
    <w:rsid w:val="00411B0A"/>
    <w:rsid w:val="00411B9C"/>
    <w:rsid w:val="00411BBB"/>
    <w:rsid w:val="00411C0D"/>
    <w:rsid w:val="00411C46"/>
    <w:rsid w:val="00411C6F"/>
    <w:rsid w:val="00411C8A"/>
    <w:rsid w:val="00411CA1"/>
    <w:rsid w:val="00411D0E"/>
    <w:rsid w:val="00411D48"/>
    <w:rsid w:val="00411D56"/>
    <w:rsid w:val="00411D60"/>
    <w:rsid w:val="00411DB9"/>
    <w:rsid w:val="00411DE7"/>
    <w:rsid w:val="00411EB6"/>
    <w:rsid w:val="00411F74"/>
    <w:rsid w:val="00411F83"/>
    <w:rsid w:val="00411FC8"/>
    <w:rsid w:val="00411FEA"/>
    <w:rsid w:val="00411FF1"/>
    <w:rsid w:val="00411FF6"/>
    <w:rsid w:val="0041201E"/>
    <w:rsid w:val="004120A3"/>
    <w:rsid w:val="004120E2"/>
    <w:rsid w:val="00412129"/>
    <w:rsid w:val="004121D1"/>
    <w:rsid w:val="004121D6"/>
    <w:rsid w:val="0041220D"/>
    <w:rsid w:val="00412212"/>
    <w:rsid w:val="0041221D"/>
    <w:rsid w:val="00412229"/>
    <w:rsid w:val="004123C7"/>
    <w:rsid w:val="004123CA"/>
    <w:rsid w:val="004123FC"/>
    <w:rsid w:val="00412542"/>
    <w:rsid w:val="00412692"/>
    <w:rsid w:val="00412699"/>
    <w:rsid w:val="0041276A"/>
    <w:rsid w:val="0041279B"/>
    <w:rsid w:val="004129C9"/>
    <w:rsid w:val="00412A50"/>
    <w:rsid w:val="00412B2C"/>
    <w:rsid w:val="00412B9A"/>
    <w:rsid w:val="00412C56"/>
    <w:rsid w:val="00412C6E"/>
    <w:rsid w:val="00412D01"/>
    <w:rsid w:val="00412D36"/>
    <w:rsid w:val="00412D55"/>
    <w:rsid w:val="00412D6A"/>
    <w:rsid w:val="00412D74"/>
    <w:rsid w:val="00412D79"/>
    <w:rsid w:val="00412D89"/>
    <w:rsid w:val="00412DD1"/>
    <w:rsid w:val="00412DED"/>
    <w:rsid w:val="00412E57"/>
    <w:rsid w:val="00412EAE"/>
    <w:rsid w:val="00412EB1"/>
    <w:rsid w:val="00412F2D"/>
    <w:rsid w:val="00412F33"/>
    <w:rsid w:val="00412FA1"/>
    <w:rsid w:val="00413141"/>
    <w:rsid w:val="0041322C"/>
    <w:rsid w:val="00413293"/>
    <w:rsid w:val="004133C5"/>
    <w:rsid w:val="0041346A"/>
    <w:rsid w:val="00413479"/>
    <w:rsid w:val="00413512"/>
    <w:rsid w:val="00413596"/>
    <w:rsid w:val="004135D7"/>
    <w:rsid w:val="0041364F"/>
    <w:rsid w:val="004136DE"/>
    <w:rsid w:val="0041377D"/>
    <w:rsid w:val="004137A0"/>
    <w:rsid w:val="00413802"/>
    <w:rsid w:val="00413920"/>
    <w:rsid w:val="00413935"/>
    <w:rsid w:val="00413948"/>
    <w:rsid w:val="00413959"/>
    <w:rsid w:val="004139FA"/>
    <w:rsid w:val="00413B0B"/>
    <w:rsid w:val="00413B2B"/>
    <w:rsid w:val="00413B6F"/>
    <w:rsid w:val="00413BAA"/>
    <w:rsid w:val="00413BEF"/>
    <w:rsid w:val="00413C23"/>
    <w:rsid w:val="00413C9C"/>
    <w:rsid w:val="00413CAA"/>
    <w:rsid w:val="00413CB5"/>
    <w:rsid w:val="00413D67"/>
    <w:rsid w:val="00413D88"/>
    <w:rsid w:val="00413E04"/>
    <w:rsid w:val="00413E36"/>
    <w:rsid w:val="00413E3B"/>
    <w:rsid w:val="00413E86"/>
    <w:rsid w:val="00413FDF"/>
    <w:rsid w:val="00413FEB"/>
    <w:rsid w:val="00414025"/>
    <w:rsid w:val="00414125"/>
    <w:rsid w:val="0041416D"/>
    <w:rsid w:val="0041426A"/>
    <w:rsid w:val="0041430B"/>
    <w:rsid w:val="00414334"/>
    <w:rsid w:val="004143C3"/>
    <w:rsid w:val="00414482"/>
    <w:rsid w:val="00414492"/>
    <w:rsid w:val="004144C9"/>
    <w:rsid w:val="004144F5"/>
    <w:rsid w:val="00414508"/>
    <w:rsid w:val="0041451E"/>
    <w:rsid w:val="00414578"/>
    <w:rsid w:val="00414597"/>
    <w:rsid w:val="0041463A"/>
    <w:rsid w:val="004146D5"/>
    <w:rsid w:val="0041471E"/>
    <w:rsid w:val="004147B9"/>
    <w:rsid w:val="004147C9"/>
    <w:rsid w:val="004147FB"/>
    <w:rsid w:val="00414828"/>
    <w:rsid w:val="00414862"/>
    <w:rsid w:val="00414878"/>
    <w:rsid w:val="004148E2"/>
    <w:rsid w:val="004148E9"/>
    <w:rsid w:val="0041499F"/>
    <w:rsid w:val="004149D8"/>
    <w:rsid w:val="004149FB"/>
    <w:rsid w:val="00414A2B"/>
    <w:rsid w:val="00414AE5"/>
    <w:rsid w:val="00414B03"/>
    <w:rsid w:val="00414B15"/>
    <w:rsid w:val="00414BED"/>
    <w:rsid w:val="00414BFF"/>
    <w:rsid w:val="00414C26"/>
    <w:rsid w:val="00414C6F"/>
    <w:rsid w:val="00414CDA"/>
    <w:rsid w:val="00414D09"/>
    <w:rsid w:val="00414D39"/>
    <w:rsid w:val="00414D4C"/>
    <w:rsid w:val="00414D98"/>
    <w:rsid w:val="00414E10"/>
    <w:rsid w:val="00414E1B"/>
    <w:rsid w:val="00414E61"/>
    <w:rsid w:val="00414EC1"/>
    <w:rsid w:val="00414ECF"/>
    <w:rsid w:val="00414F11"/>
    <w:rsid w:val="00414F1E"/>
    <w:rsid w:val="00414F6B"/>
    <w:rsid w:val="00414FF6"/>
    <w:rsid w:val="00415002"/>
    <w:rsid w:val="0041509B"/>
    <w:rsid w:val="004150D3"/>
    <w:rsid w:val="004150D4"/>
    <w:rsid w:val="00415124"/>
    <w:rsid w:val="00415199"/>
    <w:rsid w:val="004151D0"/>
    <w:rsid w:val="00415275"/>
    <w:rsid w:val="00415299"/>
    <w:rsid w:val="00415305"/>
    <w:rsid w:val="00415372"/>
    <w:rsid w:val="004153CF"/>
    <w:rsid w:val="00415450"/>
    <w:rsid w:val="00415488"/>
    <w:rsid w:val="0041550F"/>
    <w:rsid w:val="0041553C"/>
    <w:rsid w:val="00415646"/>
    <w:rsid w:val="004156FA"/>
    <w:rsid w:val="0041580F"/>
    <w:rsid w:val="0041587D"/>
    <w:rsid w:val="00415895"/>
    <w:rsid w:val="004158A6"/>
    <w:rsid w:val="00415A35"/>
    <w:rsid w:val="00415A83"/>
    <w:rsid w:val="00415A94"/>
    <w:rsid w:val="00415AD3"/>
    <w:rsid w:val="00415BBF"/>
    <w:rsid w:val="00415C03"/>
    <w:rsid w:val="00415C0A"/>
    <w:rsid w:val="00415C14"/>
    <w:rsid w:val="00415F4A"/>
    <w:rsid w:val="00415F7E"/>
    <w:rsid w:val="00415FEC"/>
    <w:rsid w:val="0041603F"/>
    <w:rsid w:val="0041604B"/>
    <w:rsid w:val="004160B4"/>
    <w:rsid w:val="00416100"/>
    <w:rsid w:val="00416158"/>
    <w:rsid w:val="004161D9"/>
    <w:rsid w:val="004161DB"/>
    <w:rsid w:val="00416271"/>
    <w:rsid w:val="00416292"/>
    <w:rsid w:val="004163DF"/>
    <w:rsid w:val="00416472"/>
    <w:rsid w:val="004164CE"/>
    <w:rsid w:val="0041651D"/>
    <w:rsid w:val="00416529"/>
    <w:rsid w:val="0041657A"/>
    <w:rsid w:val="00416580"/>
    <w:rsid w:val="00416583"/>
    <w:rsid w:val="00416587"/>
    <w:rsid w:val="00416596"/>
    <w:rsid w:val="0041659D"/>
    <w:rsid w:val="004165F0"/>
    <w:rsid w:val="0041664B"/>
    <w:rsid w:val="0041671F"/>
    <w:rsid w:val="00416743"/>
    <w:rsid w:val="00416789"/>
    <w:rsid w:val="004167F0"/>
    <w:rsid w:val="00416836"/>
    <w:rsid w:val="004168C9"/>
    <w:rsid w:val="00416920"/>
    <w:rsid w:val="004169BA"/>
    <w:rsid w:val="00416A03"/>
    <w:rsid w:val="00416A22"/>
    <w:rsid w:val="00416AED"/>
    <w:rsid w:val="00416B27"/>
    <w:rsid w:val="00416C4C"/>
    <w:rsid w:val="00416C7A"/>
    <w:rsid w:val="00416CFB"/>
    <w:rsid w:val="00416D2B"/>
    <w:rsid w:val="00416D85"/>
    <w:rsid w:val="00416E22"/>
    <w:rsid w:val="00416E51"/>
    <w:rsid w:val="00416EEE"/>
    <w:rsid w:val="00416EF2"/>
    <w:rsid w:val="00416FF2"/>
    <w:rsid w:val="00417035"/>
    <w:rsid w:val="004170A2"/>
    <w:rsid w:val="0041721B"/>
    <w:rsid w:val="004172AA"/>
    <w:rsid w:val="00417386"/>
    <w:rsid w:val="004173B6"/>
    <w:rsid w:val="00417483"/>
    <w:rsid w:val="00417551"/>
    <w:rsid w:val="00417564"/>
    <w:rsid w:val="0041762A"/>
    <w:rsid w:val="004176A9"/>
    <w:rsid w:val="00417766"/>
    <w:rsid w:val="0041782B"/>
    <w:rsid w:val="00417840"/>
    <w:rsid w:val="00417843"/>
    <w:rsid w:val="0041784F"/>
    <w:rsid w:val="00417915"/>
    <w:rsid w:val="00417961"/>
    <w:rsid w:val="00417988"/>
    <w:rsid w:val="004179DF"/>
    <w:rsid w:val="00417A80"/>
    <w:rsid w:val="00417ACE"/>
    <w:rsid w:val="00417B00"/>
    <w:rsid w:val="00417B0D"/>
    <w:rsid w:val="00417B39"/>
    <w:rsid w:val="00417BF6"/>
    <w:rsid w:val="00417CA0"/>
    <w:rsid w:val="00417CCB"/>
    <w:rsid w:val="00417CFA"/>
    <w:rsid w:val="00417D2B"/>
    <w:rsid w:val="00417E26"/>
    <w:rsid w:val="00417E6F"/>
    <w:rsid w:val="00417EAE"/>
    <w:rsid w:val="00417F21"/>
    <w:rsid w:val="00420021"/>
    <w:rsid w:val="00420052"/>
    <w:rsid w:val="00420057"/>
    <w:rsid w:val="004200CD"/>
    <w:rsid w:val="004200DC"/>
    <w:rsid w:val="0042015A"/>
    <w:rsid w:val="00420172"/>
    <w:rsid w:val="00420191"/>
    <w:rsid w:val="0042024B"/>
    <w:rsid w:val="00420272"/>
    <w:rsid w:val="0042027F"/>
    <w:rsid w:val="0042033B"/>
    <w:rsid w:val="0042038F"/>
    <w:rsid w:val="004203FD"/>
    <w:rsid w:val="00420419"/>
    <w:rsid w:val="00420459"/>
    <w:rsid w:val="00420482"/>
    <w:rsid w:val="0042048A"/>
    <w:rsid w:val="00420594"/>
    <w:rsid w:val="004205D8"/>
    <w:rsid w:val="0042061D"/>
    <w:rsid w:val="00420710"/>
    <w:rsid w:val="0042078E"/>
    <w:rsid w:val="00420833"/>
    <w:rsid w:val="0042088D"/>
    <w:rsid w:val="00420894"/>
    <w:rsid w:val="00420926"/>
    <w:rsid w:val="0042095F"/>
    <w:rsid w:val="004209BF"/>
    <w:rsid w:val="004209F8"/>
    <w:rsid w:val="00420A52"/>
    <w:rsid w:val="00420A5D"/>
    <w:rsid w:val="00420AA2"/>
    <w:rsid w:val="00420BC4"/>
    <w:rsid w:val="00420BD7"/>
    <w:rsid w:val="00420C14"/>
    <w:rsid w:val="00420CA0"/>
    <w:rsid w:val="00421010"/>
    <w:rsid w:val="00421073"/>
    <w:rsid w:val="00421094"/>
    <w:rsid w:val="00421096"/>
    <w:rsid w:val="00421099"/>
    <w:rsid w:val="004210D7"/>
    <w:rsid w:val="00421310"/>
    <w:rsid w:val="0042134C"/>
    <w:rsid w:val="00421387"/>
    <w:rsid w:val="0042139D"/>
    <w:rsid w:val="00421415"/>
    <w:rsid w:val="00421428"/>
    <w:rsid w:val="00421449"/>
    <w:rsid w:val="0042145D"/>
    <w:rsid w:val="0042146B"/>
    <w:rsid w:val="00421475"/>
    <w:rsid w:val="0042153F"/>
    <w:rsid w:val="004215B5"/>
    <w:rsid w:val="00421692"/>
    <w:rsid w:val="004216B4"/>
    <w:rsid w:val="00421737"/>
    <w:rsid w:val="004217E7"/>
    <w:rsid w:val="0042186F"/>
    <w:rsid w:val="004218B6"/>
    <w:rsid w:val="004218DF"/>
    <w:rsid w:val="0042192F"/>
    <w:rsid w:val="00421938"/>
    <w:rsid w:val="004219BB"/>
    <w:rsid w:val="00421A27"/>
    <w:rsid w:val="00421A4A"/>
    <w:rsid w:val="00421A78"/>
    <w:rsid w:val="00421AEB"/>
    <w:rsid w:val="00421AFA"/>
    <w:rsid w:val="00421CB9"/>
    <w:rsid w:val="00421CF4"/>
    <w:rsid w:val="00421D04"/>
    <w:rsid w:val="00421D68"/>
    <w:rsid w:val="00421D97"/>
    <w:rsid w:val="00421E54"/>
    <w:rsid w:val="00421E6F"/>
    <w:rsid w:val="00421ED4"/>
    <w:rsid w:val="00421F3D"/>
    <w:rsid w:val="00421FA9"/>
    <w:rsid w:val="00421FC3"/>
    <w:rsid w:val="00421FF9"/>
    <w:rsid w:val="00422043"/>
    <w:rsid w:val="0042208F"/>
    <w:rsid w:val="004220D1"/>
    <w:rsid w:val="0042212B"/>
    <w:rsid w:val="0042212E"/>
    <w:rsid w:val="00422161"/>
    <w:rsid w:val="004221BC"/>
    <w:rsid w:val="004221D8"/>
    <w:rsid w:val="004222DB"/>
    <w:rsid w:val="00422327"/>
    <w:rsid w:val="0042234E"/>
    <w:rsid w:val="00422374"/>
    <w:rsid w:val="00422382"/>
    <w:rsid w:val="00422390"/>
    <w:rsid w:val="004223CF"/>
    <w:rsid w:val="004223EB"/>
    <w:rsid w:val="0042240B"/>
    <w:rsid w:val="0042241D"/>
    <w:rsid w:val="004224E7"/>
    <w:rsid w:val="00422513"/>
    <w:rsid w:val="0042253B"/>
    <w:rsid w:val="00422649"/>
    <w:rsid w:val="00422677"/>
    <w:rsid w:val="004226A6"/>
    <w:rsid w:val="004226BD"/>
    <w:rsid w:val="0042270E"/>
    <w:rsid w:val="00422775"/>
    <w:rsid w:val="00422798"/>
    <w:rsid w:val="004227B0"/>
    <w:rsid w:val="004227EF"/>
    <w:rsid w:val="0042280E"/>
    <w:rsid w:val="00422820"/>
    <w:rsid w:val="00422868"/>
    <w:rsid w:val="00422874"/>
    <w:rsid w:val="00422887"/>
    <w:rsid w:val="004228AB"/>
    <w:rsid w:val="004228B6"/>
    <w:rsid w:val="004228EA"/>
    <w:rsid w:val="00422934"/>
    <w:rsid w:val="004229EC"/>
    <w:rsid w:val="004229F6"/>
    <w:rsid w:val="00422A8D"/>
    <w:rsid w:val="00422ABE"/>
    <w:rsid w:val="00422AEA"/>
    <w:rsid w:val="00422B38"/>
    <w:rsid w:val="00422B79"/>
    <w:rsid w:val="00422B85"/>
    <w:rsid w:val="00422D60"/>
    <w:rsid w:val="00422D9B"/>
    <w:rsid w:val="00422DD8"/>
    <w:rsid w:val="00422DF9"/>
    <w:rsid w:val="00422EDA"/>
    <w:rsid w:val="00422F14"/>
    <w:rsid w:val="00422F51"/>
    <w:rsid w:val="00422FC1"/>
    <w:rsid w:val="00423088"/>
    <w:rsid w:val="004230C8"/>
    <w:rsid w:val="00423144"/>
    <w:rsid w:val="004231A0"/>
    <w:rsid w:val="0042322B"/>
    <w:rsid w:val="00423321"/>
    <w:rsid w:val="004233B8"/>
    <w:rsid w:val="00423401"/>
    <w:rsid w:val="00423414"/>
    <w:rsid w:val="0042347A"/>
    <w:rsid w:val="004234A8"/>
    <w:rsid w:val="004234A9"/>
    <w:rsid w:val="004234AC"/>
    <w:rsid w:val="00423532"/>
    <w:rsid w:val="004235BA"/>
    <w:rsid w:val="004235FD"/>
    <w:rsid w:val="00423703"/>
    <w:rsid w:val="00423787"/>
    <w:rsid w:val="004237E1"/>
    <w:rsid w:val="004237EB"/>
    <w:rsid w:val="0042382D"/>
    <w:rsid w:val="0042386D"/>
    <w:rsid w:val="004238C3"/>
    <w:rsid w:val="004239A7"/>
    <w:rsid w:val="004239A9"/>
    <w:rsid w:val="00423A1D"/>
    <w:rsid w:val="00423A98"/>
    <w:rsid w:val="00423ACB"/>
    <w:rsid w:val="00423C0D"/>
    <w:rsid w:val="00423C23"/>
    <w:rsid w:val="00423C85"/>
    <w:rsid w:val="00423CB1"/>
    <w:rsid w:val="00423CC7"/>
    <w:rsid w:val="00423CE2"/>
    <w:rsid w:val="00423D10"/>
    <w:rsid w:val="00423DAD"/>
    <w:rsid w:val="00423E33"/>
    <w:rsid w:val="00423E41"/>
    <w:rsid w:val="00423F07"/>
    <w:rsid w:val="00423FC1"/>
    <w:rsid w:val="00424021"/>
    <w:rsid w:val="00424049"/>
    <w:rsid w:val="004240B4"/>
    <w:rsid w:val="00424110"/>
    <w:rsid w:val="00424228"/>
    <w:rsid w:val="00424280"/>
    <w:rsid w:val="004243CF"/>
    <w:rsid w:val="004243DE"/>
    <w:rsid w:val="004244BA"/>
    <w:rsid w:val="00424502"/>
    <w:rsid w:val="00424556"/>
    <w:rsid w:val="0042462B"/>
    <w:rsid w:val="0042468A"/>
    <w:rsid w:val="00424696"/>
    <w:rsid w:val="004246D1"/>
    <w:rsid w:val="004246D5"/>
    <w:rsid w:val="00424762"/>
    <w:rsid w:val="004247DF"/>
    <w:rsid w:val="004247FC"/>
    <w:rsid w:val="0042484D"/>
    <w:rsid w:val="0042485F"/>
    <w:rsid w:val="00424889"/>
    <w:rsid w:val="00424905"/>
    <w:rsid w:val="0042491C"/>
    <w:rsid w:val="00424953"/>
    <w:rsid w:val="0042496C"/>
    <w:rsid w:val="004249C5"/>
    <w:rsid w:val="00424A12"/>
    <w:rsid w:val="00424A23"/>
    <w:rsid w:val="00424A29"/>
    <w:rsid w:val="00424AEB"/>
    <w:rsid w:val="00424B1A"/>
    <w:rsid w:val="00424BC4"/>
    <w:rsid w:val="00424BFA"/>
    <w:rsid w:val="00424C49"/>
    <w:rsid w:val="00424CE2"/>
    <w:rsid w:val="00424D11"/>
    <w:rsid w:val="00424D32"/>
    <w:rsid w:val="00424D89"/>
    <w:rsid w:val="00424DBD"/>
    <w:rsid w:val="00424E0F"/>
    <w:rsid w:val="00424E23"/>
    <w:rsid w:val="00424E2D"/>
    <w:rsid w:val="00424E72"/>
    <w:rsid w:val="00424F08"/>
    <w:rsid w:val="00424F2A"/>
    <w:rsid w:val="00424F78"/>
    <w:rsid w:val="00424FAD"/>
    <w:rsid w:val="00424FE7"/>
    <w:rsid w:val="00425010"/>
    <w:rsid w:val="00425053"/>
    <w:rsid w:val="00425126"/>
    <w:rsid w:val="00425132"/>
    <w:rsid w:val="00425152"/>
    <w:rsid w:val="00425165"/>
    <w:rsid w:val="00425184"/>
    <w:rsid w:val="004251D6"/>
    <w:rsid w:val="00425237"/>
    <w:rsid w:val="00425335"/>
    <w:rsid w:val="0042539D"/>
    <w:rsid w:val="00425426"/>
    <w:rsid w:val="004254AC"/>
    <w:rsid w:val="0042552E"/>
    <w:rsid w:val="00425533"/>
    <w:rsid w:val="00425584"/>
    <w:rsid w:val="0042558A"/>
    <w:rsid w:val="0042559F"/>
    <w:rsid w:val="004255A5"/>
    <w:rsid w:val="00425708"/>
    <w:rsid w:val="0042572F"/>
    <w:rsid w:val="004257BF"/>
    <w:rsid w:val="004257F0"/>
    <w:rsid w:val="00425842"/>
    <w:rsid w:val="0042584C"/>
    <w:rsid w:val="004258BE"/>
    <w:rsid w:val="004258D4"/>
    <w:rsid w:val="004259EE"/>
    <w:rsid w:val="00425A22"/>
    <w:rsid w:val="00425A28"/>
    <w:rsid w:val="00425ACD"/>
    <w:rsid w:val="00425B26"/>
    <w:rsid w:val="00425B72"/>
    <w:rsid w:val="00425C44"/>
    <w:rsid w:val="00425C7D"/>
    <w:rsid w:val="00425CA7"/>
    <w:rsid w:val="00425CF3"/>
    <w:rsid w:val="00425D38"/>
    <w:rsid w:val="00425D46"/>
    <w:rsid w:val="00425D4A"/>
    <w:rsid w:val="00425DF5"/>
    <w:rsid w:val="00425E27"/>
    <w:rsid w:val="00425E4E"/>
    <w:rsid w:val="00425E77"/>
    <w:rsid w:val="00425EF5"/>
    <w:rsid w:val="00425FEF"/>
    <w:rsid w:val="0042602F"/>
    <w:rsid w:val="00426126"/>
    <w:rsid w:val="0042617F"/>
    <w:rsid w:val="004261B7"/>
    <w:rsid w:val="0042623F"/>
    <w:rsid w:val="00426259"/>
    <w:rsid w:val="004262A4"/>
    <w:rsid w:val="004262D1"/>
    <w:rsid w:val="00426347"/>
    <w:rsid w:val="00426364"/>
    <w:rsid w:val="0042636A"/>
    <w:rsid w:val="0042636B"/>
    <w:rsid w:val="004263A8"/>
    <w:rsid w:val="004263C1"/>
    <w:rsid w:val="004263D7"/>
    <w:rsid w:val="004263F2"/>
    <w:rsid w:val="00426403"/>
    <w:rsid w:val="00426472"/>
    <w:rsid w:val="0042653F"/>
    <w:rsid w:val="0042658F"/>
    <w:rsid w:val="00426596"/>
    <w:rsid w:val="004265EC"/>
    <w:rsid w:val="0042662D"/>
    <w:rsid w:val="0042675B"/>
    <w:rsid w:val="00426838"/>
    <w:rsid w:val="0042686C"/>
    <w:rsid w:val="00426896"/>
    <w:rsid w:val="004268AD"/>
    <w:rsid w:val="004268EF"/>
    <w:rsid w:val="00426972"/>
    <w:rsid w:val="004269DD"/>
    <w:rsid w:val="004269EA"/>
    <w:rsid w:val="00426A15"/>
    <w:rsid w:val="00426B08"/>
    <w:rsid w:val="00426B0B"/>
    <w:rsid w:val="00426B43"/>
    <w:rsid w:val="00426B9D"/>
    <w:rsid w:val="00426B9E"/>
    <w:rsid w:val="00426BAC"/>
    <w:rsid w:val="00426BCE"/>
    <w:rsid w:val="00426CB0"/>
    <w:rsid w:val="00426CDB"/>
    <w:rsid w:val="00426D02"/>
    <w:rsid w:val="00426D58"/>
    <w:rsid w:val="00426E15"/>
    <w:rsid w:val="00426E55"/>
    <w:rsid w:val="00426E73"/>
    <w:rsid w:val="00426EDC"/>
    <w:rsid w:val="00426F1A"/>
    <w:rsid w:val="00426F3B"/>
    <w:rsid w:val="00426F53"/>
    <w:rsid w:val="004270DD"/>
    <w:rsid w:val="004270E7"/>
    <w:rsid w:val="004271FF"/>
    <w:rsid w:val="004272A7"/>
    <w:rsid w:val="004272B5"/>
    <w:rsid w:val="004272EB"/>
    <w:rsid w:val="004273E4"/>
    <w:rsid w:val="00427449"/>
    <w:rsid w:val="00427458"/>
    <w:rsid w:val="004274A7"/>
    <w:rsid w:val="0042752B"/>
    <w:rsid w:val="0042752C"/>
    <w:rsid w:val="00427560"/>
    <w:rsid w:val="0042756C"/>
    <w:rsid w:val="004275DD"/>
    <w:rsid w:val="004275F8"/>
    <w:rsid w:val="0042763F"/>
    <w:rsid w:val="00427746"/>
    <w:rsid w:val="004277A1"/>
    <w:rsid w:val="004277D9"/>
    <w:rsid w:val="0042782C"/>
    <w:rsid w:val="004278A4"/>
    <w:rsid w:val="004278BA"/>
    <w:rsid w:val="004278C8"/>
    <w:rsid w:val="004278C9"/>
    <w:rsid w:val="004278F7"/>
    <w:rsid w:val="00427981"/>
    <w:rsid w:val="004279D7"/>
    <w:rsid w:val="00427A75"/>
    <w:rsid w:val="00427B28"/>
    <w:rsid w:val="00427BCC"/>
    <w:rsid w:val="00427BF8"/>
    <w:rsid w:val="00427C15"/>
    <w:rsid w:val="00427C61"/>
    <w:rsid w:val="00427CC6"/>
    <w:rsid w:val="00427D2A"/>
    <w:rsid w:val="00427D58"/>
    <w:rsid w:val="00427DB1"/>
    <w:rsid w:val="00427DD7"/>
    <w:rsid w:val="00427E05"/>
    <w:rsid w:val="00427E22"/>
    <w:rsid w:val="00427F08"/>
    <w:rsid w:val="00427F17"/>
    <w:rsid w:val="00427F1B"/>
    <w:rsid w:val="00427F3E"/>
    <w:rsid w:val="00427F61"/>
    <w:rsid w:val="00427F6D"/>
    <w:rsid w:val="00427FA4"/>
    <w:rsid w:val="00427FD9"/>
    <w:rsid w:val="0043002D"/>
    <w:rsid w:val="00430050"/>
    <w:rsid w:val="00430059"/>
    <w:rsid w:val="004300AF"/>
    <w:rsid w:val="004300B4"/>
    <w:rsid w:val="004300D6"/>
    <w:rsid w:val="0043011B"/>
    <w:rsid w:val="0043011D"/>
    <w:rsid w:val="004301CB"/>
    <w:rsid w:val="004301FF"/>
    <w:rsid w:val="004302BB"/>
    <w:rsid w:val="004302D0"/>
    <w:rsid w:val="00430353"/>
    <w:rsid w:val="00430478"/>
    <w:rsid w:val="00430491"/>
    <w:rsid w:val="004304C1"/>
    <w:rsid w:val="004305C3"/>
    <w:rsid w:val="00430605"/>
    <w:rsid w:val="004306F5"/>
    <w:rsid w:val="00430813"/>
    <w:rsid w:val="00430845"/>
    <w:rsid w:val="004309BA"/>
    <w:rsid w:val="004309D5"/>
    <w:rsid w:val="00430A04"/>
    <w:rsid w:val="00430A49"/>
    <w:rsid w:val="00430AA9"/>
    <w:rsid w:val="00430ADB"/>
    <w:rsid w:val="00430B35"/>
    <w:rsid w:val="00430BE7"/>
    <w:rsid w:val="00430CE6"/>
    <w:rsid w:val="00430D26"/>
    <w:rsid w:val="00430DA8"/>
    <w:rsid w:val="00430DB8"/>
    <w:rsid w:val="00430E46"/>
    <w:rsid w:val="00430E80"/>
    <w:rsid w:val="00430ED4"/>
    <w:rsid w:val="00430F21"/>
    <w:rsid w:val="0043100E"/>
    <w:rsid w:val="00431016"/>
    <w:rsid w:val="0043102E"/>
    <w:rsid w:val="00431056"/>
    <w:rsid w:val="00431080"/>
    <w:rsid w:val="004310B8"/>
    <w:rsid w:val="004310CF"/>
    <w:rsid w:val="004310EC"/>
    <w:rsid w:val="004310EE"/>
    <w:rsid w:val="00431107"/>
    <w:rsid w:val="00431156"/>
    <w:rsid w:val="0043117B"/>
    <w:rsid w:val="00431190"/>
    <w:rsid w:val="00431234"/>
    <w:rsid w:val="004312EA"/>
    <w:rsid w:val="004312ED"/>
    <w:rsid w:val="0043133C"/>
    <w:rsid w:val="00431340"/>
    <w:rsid w:val="0043135B"/>
    <w:rsid w:val="00431416"/>
    <w:rsid w:val="00431438"/>
    <w:rsid w:val="00431440"/>
    <w:rsid w:val="00431460"/>
    <w:rsid w:val="00431461"/>
    <w:rsid w:val="004314AD"/>
    <w:rsid w:val="004314AF"/>
    <w:rsid w:val="004316AC"/>
    <w:rsid w:val="004316F1"/>
    <w:rsid w:val="00431707"/>
    <w:rsid w:val="00431729"/>
    <w:rsid w:val="00431735"/>
    <w:rsid w:val="00431752"/>
    <w:rsid w:val="00431784"/>
    <w:rsid w:val="004317A8"/>
    <w:rsid w:val="0043188B"/>
    <w:rsid w:val="00431895"/>
    <w:rsid w:val="004318AB"/>
    <w:rsid w:val="00431951"/>
    <w:rsid w:val="0043199C"/>
    <w:rsid w:val="004319AD"/>
    <w:rsid w:val="004319C8"/>
    <w:rsid w:val="004319E4"/>
    <w:rsid w:val="004319EC"/>
    <w:rsid w:val="00431A29"/>
    <w:rsid w:val="00431AD6"/>
    <w:rsid w:val="00431B17"/>
    <w:rsid w:val="00431BD5"/>
    <w:rsid w:val="00431C2C"/>
    <w:rsid w:val="00431C4E"/>
    <w:rsid w:val="00431C8B"/>
    <w:rsid w:val="00431CB6"/>
    <w:rsid w:val="00431E05"/>
    <w:rsid w:val="00431EA2"/>
    <w:rsid w:val="00431ECE"/>
    <w:rsid w:val="00431F16"/>
    <w:rsid w:val="00431FFA"/>
    <w:rsid w:val="00432067"/>
    <w:rsid w:val="0043221B"/>
    <w:rsid w:val="00432229"/>
    <w:rsid w:val="00432287"/>
    <w:rsid w:val="00432317"/>
    <w:rsid w:val="00432339"/>
    <w:rsid w:val="00432359"/>
    <w:rsid w:val="004323B6"/>
    <w:rsid w:val="0043243C"/>
    <w:rsid w:val="0043244B"/>
    <w:rsid w:val="004324B3"/>
    <w:rsid w:val="0043250B"/>
    <w:rsid w:val="00432515"/>
    <w:rsid w:val="00432548"/>
    <w:rsid w:val="00432565"/>
    <w:rsid w:val="004325D0"/>
    <w:rsid w:val="004325F5"/>
    <w:rsid w:val="00432681"/>
    <w:rsid w:val="00432715"/>
    <w:rsid w:val="00432758"/>
    <w:rsid w:val="0043278E"/>
    <w:rsid w:val="004327B7"/>
    <w:rsid w:val="004327CF"/>
    <w:rsid w:val="004327E9"/>
    <w:rsid w:val="004328D3"/>
    <w:rsid w:val="004329CE"/>
    <w:rsid w:val="00432A4C"/>
    <w:rsid w:val="00432A58"/>
    <w:rsid w:val="00432AD3"/>
    <w:rsid w:val="00432AD9"/>
    <w:rsid w:val="00432B0B"/>
    <w:rsid w:val="00432C0F"/>
    <w:rsid w:val="00432C41"/>
    <w:rsid w:val="00432CE2"/>
    <w:rsid w:val="00432CF8"/>
    <w:rsid w:val="00432D05"/>
    <w:rsid w:val="00432D3A"/>
    <w:rsid w:val="00432EC0"/>
    <w:rsid w:val="00432EF7"/>
    <w:rsid w:val="00432F05"/>
    <w:rsid w:val="00432F41"/>
    <w:rsid w:val="0043300A"/>
    <w:rsid w:val="00433024"/>
    <w:rsid w:val="00433045"/>
    <w:rsid w:val="00433065"/>
    <w:rsid w:val="00433066"/>
    <w:rsid w:val="00433115"/>
    <w:rsid w:val="0043322C"/>
    <w:rsid w:val="00433233"/>
    <w:rsid w:val="004332FE"/>
    <w:rsid w:val="004333CB"/>
    <w:rsid w:val="00433444"/>
    <w:rsid w:val="00433450"/>
    <w:rsid w:val="004334E8"/>
    <w:rsid w:val="0043351B"/>
    <w:rsid w:val="0043353C"/>
    <w:rsid w:val="00433567"/>
    <w:rsid w:val="00433584"/>
    <w:rsid w:val="004335EF"/>
    <w:rsid w:val="00433659"/>
    <w:rsid w:val="0043366B"/>
    <w:rsid w:val="00433675"/>
    <w:rsid w:val="00433686"/>
    <w:rsid w:val="00433688"/>
    <w:rsid w:val="00433710"/>
    <w:rsid w:val="00433712"/>
    <w:rsid w:val="004338A9"/>
    <w:rsid w:val="004338C4"/>
    <w:rsid w:val="004338F5"/>
    <w:rsid w:val="00433930"/>
    <w:rsid w:val="00433A05"/>
    <w:rsid w:val="00433AC4"/>
    <w:rsid w:val="00433B36"/>
    <w:rsid w:val="00433B5C"/>
    <w:rsid w:val="00433B5D"/>
    <w:rsid w:val="00433BB7"/>
    <w:rsid w:val="00433C31"/>
    <w:rsid w:val="00433C34"/>
    <w:rsid w:val="00433C4B"/>
    <w:rsid w:val="00433C75"/>
    <w:rsid w:val="00433C86"/>
    <w:rsid w:val="00433CD4"/>
    <w:rsid w:val="00433D8D"/>
    <w:rsid w:val="00433D97"/>
    <w:rsid w:val="00433DA3"/>
    <w:rsid w:val="00433E55"/>
    <w:rsid w:val="00433E5E"/>
    <w:rsid w:val="00433F22"/>
    <w:rsid w:val="00433F9B"/>
    <w:rsid w:val="00433F9E"/>
    <w:rsid w:val="0043416E"/>
    <w:rsid w:val="004341A6"/>
    <w:rsid w:val="004342C5"/>
    <w:rsid w:val="00434341"/>
    <w:rsid w:val="004343AC"/>
    <w:rsid w:val="00434433"/>
    <w:rsid w:val="00434454"/>
    <w:rsid w:val="004344D0"/>
    <w:rsid w:val="004344EC"/>
    <w:rsid w:val="00434517"/>
    <w:rsid w:val="00434630"/>
    <w:rsid w:val="0043464A"/>
    <w:rsid w:val="0043464F"/>
    <w:rsid w:val="0043468B"/>
    <w:rsid w:val="004346AB"/>
    <w:rsid w:val="004346EA"/>
    <w:rsid w:val="0043472E"/>
    <w:rsid w:val="00434730"/>
    <w:rsid w:val="004347B1"/>
    <w:rsid w:val="004347DD"/>
    <w:rsid w:val="0043481F"/>
    <w:rsid w:val="00434863"/>
    <w:rsid w:val="00434869"/>
    <w:rsid w:val="004348C6"/>
    <w:rsid w:val="0043496A"/>
    <w:rsid w:val="0043499A"/>
    <w:rsid w:val="004349E3"/>
    <w:rsid w:val="004349ED"/>
    <w:rsid w:val="00434A0F"/>
    <w:rsid w:val="00434A7A"/>
    <w:rsid w:val="00434ADE"/>
    <w:rsid w:val="00434AE3"/>
    <w:rsid w:val="00434B08"/>
    <w:rsid w:val="00434B82"/>
    <w:rsid w:val="00434B94"/>
    <w:rsid w:val="00434BA6"/>
    <w:rsid w:val="00434BA9"/>
    <w:rsid w:val="00434BE6"/>
    <w:rsid w:val="00434C7F"/>
    <w:rsid w:val="00434D12"/>
    <w:rsid w:val="00434DFA"/>
    <w:rsid w:val="00434F0F"/>
    <w:rsid w:val="0043509E"/>
    <w:rsid w:val="004350AA"/>
    <w:rsid w:val="004350C6"/>
    <w:rsid w:val="0043514C"/>
    <w:rsid w:val="004351AC"/>
    <w:rsid w:val="00435261"/>
    <w:rsid w:val="00435281"/>
    <w:rsid w:val="00435297"/>
    <w:rsid w:val="00435338"/>
    <w:rsid w:val="00435355"/>
    <w:rsid w:val="0043536A"/>
    <w:rsid w:val="004353C1"/>
    <w:rsid w:val="00435422"/>
    <w:rsid w:val="004354FC"/>
    <w:rsid w:val="00435500"/>
    <w:rsid w:val="00435522"/>
    <w:rsid w:val="00435574"/>
    <w:rsid w:val="004355C8"/>
    <w:rsid w:val="00435634"/>
    <w:rsid w:val="004356F0"/>
    <w:rsid w:val="00435735"/>
    <w:rsid w:val="00435830"/>
    <w:rsid w:val="00435858"/>
    <w:rsid w:val="004359B3"/>
    <w:rsid w:val="004359BE"/>
    <w:rsid w:val="00435A81"/>
    <w:rsid w:val="00435A8A"/>
    <w:rsid w:val="00435AB1"/>
    <w:rsid w:val="00435AC9"/>
    <w:rsid w:val="00435AF7"/>
    <w:rsid w:val="00435B0F"/>
    <w:rsid w:val="00435B37"/>
    <w:rsid w:val="00435B51"/>
    <w:rsid w:val="00435BA7"/>
    <w:rsid w:val="00435BB8"/>
    <w:rsid w:val="00435C34"/>
    <w:rsid w:val="00435C35"/>
    <w:rsid w:val="00435C43"/>
    <w:rsid w:val="00435C72"/>
    <w:rsid w:val="00435CA5"/>
    <w:rsid w:val="00435CC0"/>
    <w:rsid w:val="00435CD4"/>
    <w:rsid w:val="00435CD5"/>
    <w:rsid w:val="00435CEF"/>
    <w:rsid w:val="00435D82"/>
    <w:rsid w:val="00435DDB"/>
    <w:rsid w:val="00435E86"/>
    <w:rsid w:val="00435E95"/>
    <w:rsid w:val="00435EF4"/>
    <w:rsid w:val="00435F13"/>
    <w:rsid w:val="00435FCC"/>
    <w:rsid w:val="00436008"/>
    <w:rsid w:val="0043608A"/>
    <w:rsid w:val="004360E6"/>
    <w:rsid w:val="004360EC"/>
    <w:rsid w:val="00436194"/>
    <w:rsid w:val="004362CA"/>
    <w:rsid w:val="004362DA"/>
    <w:rsid w:val="004362E1"/>
    <w:rsid w:val="00436352"/>
    <w:rsid w:val="004363AA"/>
    <w:rsid w:val="004363B7"/>
    <w:rsid w:val="004363FA"/>
    <w:rsid w:val="004364E6"/>
    <w:rsid w:val="00436543"/>
    <w:rsid w:val="00436697"/>
    <w:rsid w:val="00436725"/>
    <w:rsid w:val="0043673D"/>
    <w:rsid w:val="004367D5"/>
    <w:rsid w:val="0043680F"/>
    <w:rsid w:val="00436829"/>
    <w:rsid w:val="00436851"/>
    <w:rsid w:val="0043687F"/>
    <w:rsid w:val="004368D8"/>
    <w:rsid w:val="00436928"/>
    <w:rsid w:val="004369DD"/>
    <w:rsid w:val="00436A19"/>
    <w:rsid w:val="00436A85"/>
    <w:rsid w:val="00436B01"/>
    <w:rsid w:val="00436B1E"/>
    <w:rsid w:val="00436B78"/>
    <w:rsid w:val="00436B93"/>
    <w:rsid w:val="00436C1E"/>
    <w:rsid w:val="00436CB9"/>
    <w:rsid w:val="00436D74"/>
    <w:rsid w:val="00436DC0"/>
    <w:rsid w:val="00436E4E"/>
    <w:rsid w:val="00436E92"/>
    <w:rsid w:val="00436F37"/>
    <w:rsid w:val="00436F38"/>
    <w:rsid w:val="00436FB1"/>
    <w:rsid w:val="00436FB4"/>
    <w:rsid w:val="00436FF8"/>
    <w:rsid w:val="00437024"/>
    <w:rsid w:val="0043703D"/>
    <w:rsid w:val="00437088"/>
    <w:rsid w:val="00437227"/>
    <w:rsid w:val="00437286"/>
    <w:rsid w:val="00437317"/>
    <w:rsid w:val="0043734A"/>
    <w:rsid w:val="00437394"/>
    <w:rsid w:val="004373C9"/>
    <w:rsid w:val="0043745C"/>
    <w:rsid w:val="00437499"/>
    <w:rsid w:val="00437509"/>
    <w:rsid w:val="0043754D"/>
    <w:rsid w:val="00437564"/>
    <w:rsid w:val="00437575"/>
    <w:rsid w:val="00437640"/>
    <w:rsid w:val="00437655"/>
    <w:rsid w:val="0043767D"/>
    <w:rsid w:val="00437694"/>
    <w:rsid w:val="004376E1"/>
    <w:rsid w:val="004376E9"/>
    <w:rsid w:val="0043771F"/>
    <w:rsid w:val="00437812"/>
    <w:rsid w:val="0043781A"/>
    <w:rsid w:val="0043793F"/>
    <w:rsid w:val="00437A2B"/>
    <w:rsid w:val="00437AE2"/>
    <w:rsid w:val="00437B04"/>
    <w:rsid w:val="00437B2F"/>
    <w:rsid w:val="00437B61"/>
    <w:rsid w:val="00437B70"/>
    <w:rsid w:val="00437BB1"/>
    <w:rsid w:val="00437C98"/>
    <w:rsid w:val="00437CD5"/>
    <w:rsid w:val="00437CFB"/>
    <w:rsid w:val="00437D70"/>
    <w:rsid w:val="00437DAF"/>
    <w:rsid w:val="00437DD7"/>
    <w:rsid w:val="00437E33"/>
    <w:rsid w:val="00437EE5"/>
    <w:rsid w:val="00437F97"/>
    <w:rsid w:val="00440073"/>
    <w:rsid w:val="00440082"/>
    <w:rsid w:val="004400D8"/>
    <w:rsid w:val="00440156"/>
    <w:rsid w:val="0044018C"/>
    <w:rsid w:val="004401D2"/>
    <w:rsid w:val="004401F3"/>
    <w:rsid w:val="00440236"/>
    <w:rsid w:val="00440299"/>
    <w:rsid w:val="004403E0"/>
    <w:rsid w:val="004403F6"/>
    <w:rsid w:val="004403FC"/>
    <w:rsid w:val="00440408"/>
    <w:rsid w:val="00440447"/>
    <w:rsid w:val="004404A4"/>
    <w:rsid w:val="0044050C"/>
    <w:rsid w:val="00440559"/>
    <w:rsid w:val="004405A5"/>
    <w:rsid w:val="0044062A"/>
    <w:rsid w:val="00440630"/>
    <w:rsid w:val="00440632"/>
    <w:rsid w:val="00440650"/>
    <w:rsid w:val="0044069F"/>
    <w:rsid w:val="0044072F"/>
    <w:rsid w:val="00440732"/>
    <w:rsid w:val="0044075B"/>
    <w:rsid w:val="0044079B"/>
    <w:rsid w:val="0044080D"/>
    <w:rsid w:val="00440835"/>
    <w:rsid w:val="004408BE"/>
    <w:rsid w:val="004408F7"/>
    <w:rsid w:val="00440975"/>
    <w:rsid w:val="00440B1D"/>
    <w:rsid w:val="00440BE0"/>
    <w:rsid w:val="00440C73"/>
    <w:rsid w:val="00440CC9"/>
    <w:rsid w:val="00440D3F"/>
    <w:rsid w:val="00440D40"/>
    <w:rsid w:val="00440DC3"/>
    <w:rsid w:val="00440DE7"/>
    <w:rsid w:val="00440E00"/>
    <w:rsid w:val="00440E0E"/>
    <w:rsid w:val="00440E1D"/>
    <w:rsid w:val="00440E79"/>
    <w:rsid w:val="00440F19"/>
    <w:rsid w:val="00440F55"/>
    <w:rsid w:val="00440FC9"/>
    <w:rsid w:val="00441204"/>
    <w:rsid w:val="00441215"/>
    <w:rsid w:val="0044123F"/>
    <w:rsid w:val="00441296"/>
    <w:rsid w:val="004412D1"/>
    <w:rsid w:val="00441368"/>
    <w:rsid w:val="0044139C"/>
    <w:rsid w:val="004413AF"/>
    <w:rsid w:val="0044141E"/>
    <w:rsid w:val="00441424"/>
    <w:rsid w:val="004414D5"/>
    <w:rsid w:val="004414F5"/>
    <w:rsid w:val="0044154F"/>
    <w:rsid w:val="0044157C"/>
    <w:rsid w:val="004415B3"/>
    <w:rsid w:val="00441603"/>
    <w:rsid w:val="0044169A"/>
    <w:rsid w:val="0044169B"/>
    <w:rsid w:val="004416A5"/>
    <w:rsid w:val="004416DA"/>
    <w:rsid w:val="004416EA"/>
    <w:rsid w:val="00441791"/>
    <w:rsid w:val="0044185D"/>
    <w:rsid w:val="004418C2"/>
    <w:rsid w:val="0044190B"/>
    <w:rsid w:val="004419F0"/>
    <w:rsid w:val="00441A29"/>
    <w:rsid w:val="00441A4A"/>
    <w:rsid w:val="00441A4C"/>
    <w:rsid w:val="00441AB9"/>
    <w:rsid w:val="00441C57"/>
    <w:rsid w:val="00441C7A"/>
    <w:rsid w:val="00441CFC"/>
    <w:rsid w:val="00441D2B"/>
    <w:rsid w:val="00441D50"/>
    <w:rsid w:val="00441DA9"/>
    <w:rsid w:val="00441DEA"/>
    <w:rsid w:val="00441ED9"/>
    <w:rsid w:val="00441F08"/>
    <w:rsid w:val="00441F13"/>
    <w:rsid w:val="00441F36"/>
    <w:rsid w:val="00441F57"/>
    <w:rsid w:val="00441FCB"/>
    <w:rsid w:val="00441FF1"/>
    <w:rsid w:val="00442067"/>
    <w:rsid w:val="0044207A"/>
    <w:rsid w:val="004420C5"/>
    <w:rsid w:val="00442171"/>
    <w:rsid w:val="0044217A"/>
    <w:rsid w:val="004421A8"/>
    <w:rsid w:val="004421BA"/>
    <w:rsid w:val="004421E7"/>
    <w:rsid w:val="0044220C"/>
    <w:rsid w:val="0044221C"/>
    <w:rsid w:val="00442237"/>
    <w:rsid w:val="0044226F"/>
    <w:rsid w:val="0044229D"/>
    <w:rsid w:val="004422F9"/>
    <w:rsid w:val="00442330"/>
    <w:rsid w:val="0044236B"/>
    <w:rsid w:val="004423FA"/>
    <w:rsid w:val="00442418"/>
    <w:rsid w:val="00442509"/>
    <w:rsid w:val="00442522"/>
    <w:rsid w:val="0044252E"/>
    <w:rsid w:val="00442543"/>
    <w:rsid w:val="00442567"/>
    <w:rsid w:val="0044256E"/>
    <w:rsid w:val="004425D9"/>
    <w:rsid w:val="0044260D"/>
    <w:rsid w:val="0044262F"/>
    <w:rsid w:val="00442631"/>
    <w:rsid w:val="004426A1"/>
    <w:rsid w:val="004426EA"/>
    <w:rsid w:val="004426EE"/>
    <w:rsid w:val="00442709"/>
    <w:rsid w:val="00442724"/>
    <w:rsid w:val="00442749"/>
    <w:rsid w:val="004427D0"/>
    <w:rsid w:val="00442844"/>
    <w:rsid w:val="004428A1"/>
    <w:rsid w:val="004428EC"/>
    <w:rsid w:val="00442953"/>
    <w:rsid w:val="00442981"/>
    <w:rsid w:val="00442AA2"/>
    <w:rsid w:val="00442AAF"/>
    <w:rsid w:val="00442AB6"/>
    <w:rsid w:val="00442B99"/>
    <w:rsid w:val="00442BB7"/>
    <w:rsid w:val="00442BCA"/>
    <w:rsid w:val="00442BDB"/>
    <w:rsid w:val="00442D37"/>
    <w:rsid w:val="00442D74"/>
    <w:rsid w:val="00442D84"/>
    <w:rsid w:val="00442DA4"/>
    <w:rsid w:val="00442DCB"/>
    <w:rsid w:val="00442DF3"/>
    <w:rsid w:val="00442E46"/>
    <w:rsid w:val="00442E85"/>
    <w:rsid w:val="00442E9E"/>
    <w:rsid w:val="00442EB9"/>
    <w:rsid w:val="00442EC0"/>
    <w:rsid w:val="00442F2F"/>
    <w:rsid w:val="00442F6D"/>
    <w:rsid w:val="00442F97"/>
    <w:rsid w:val="00442FCF"/>
    <w:rsid w:val="00443014"/>
    <w:rsid w:val="0044308C"/>
    <w:rsid w:val="00443096"/>
    <w:rsid w:val="004430ED"/>
    <w:rsid w:val="00443103"/>
    <w:rsid w:val="00443108"/>
    <w:rsid w:val="00443189"/>
    <w:rsid w:val="004431AF"/>
    <w:rsid w:val="004431B2"/>
    <w:rsid w:val="00443236"/>
    <w:rsid w:val="0044323F"/>
    <w:rsid w:val="0044324E"/>
    <w:rsid w:val="0044326D"/>
    <w:rsid w:val="0044326F"/>
    <w:rsid w:val="00443285"/>
    <w:rsid w:val="004432A1"/>
    <w:rsid w:val="004432BE"/>
    <w:rsid w:val="00443347"/>
    <w:rsid w:val="00443426"/>
    <w:rsid w:val="00443469"/>
    <w:rsid w:val="004434BD"/>
    <w:rsid w:val="004435AF"/>
    <w:rsid w:val="004435D0"/>
    <w:rsid w:val="0044365C"/>
    <w:rsid w:val="00443699"/>
    <w:rsid w:val="0044379A"/>
    <w:rsid w:val="00443832"/>
    <w:rsid w:val="00443902"/>
    <w:rsid w:val="0044390E"/>
    <w:rsid w:val="0044393C"/>
    <w:rsid w:val="0044394F"/>
    <w:rsid w:val="00443960"/>
    <w:rsid w:val="00443995"/>
    <w:rsid w:val="004439AB"/>
    <w:rsid w:val="004439B5"/>
    <w:rsid w:val="00443A4E"/>
    <w:rsid w:val="00443A5E"/>
    <w:rsid w:val="00443B09"/>
    <w:rsid w:val="00443BE4"/>
    <w:rsid w:val="00443C4D"/>
    <w:rsid w:val="00443C60"/>
    <w:rsid w:val="00443CD7"/>
    <w:rsid w:val="00443CFF"/>
    <w:rsid w:val="00443D93"/>
    <w:rsid w:val="00443DA0"/>
    <w:rsid w:val="00443DD9"/>
    <w:rsid w:val="00443E1C"/>
    <w:rsid w:val="00443E2D"/>
    <w:rsid w:val="00443E85"/>
    <w:rsid w:val="00443EC4"/>
    <w:rsid w:val="00443F36"/>
    <w:rsid w:val="00443F64"/>
    <w:rsid w:val="00443FD1"/>
    <w:rsid w:val="0044401A"/>
    <w:rsid w:val="00444049"/>
    <w:rsid w:val="00444051"/>
    <w:rsid w:val="00444072"/>
    <w:rsid w:val="00444090"/>
    <w:rsid w:val="004440AD"/>
    <w:rsid w:val="00444123"/>
    <w:rsid w:val="00444187"/>
    <w:rsid w:val="004441C5"/>
    <w:rsid w:val="004441CB"/>
    <w:rsid w:val="0044421C"/>
    <w:rsid w:val="00444227"/>
    <w:rsid w:val="00444384"/>
    <w:rsid w:val="00444390"/>
    <w:rsid w:val="0044446A"/>
    <w:rsid w:val="004444C8"/>
    <w:rsid w:val="00444502"/>
    <w:rsid w:val="00444520"/>
    <w:rsid w:val="004445C9"/>
    <w:rsid w:val="00444656"/>
    <w:rsid w:val="00444660"/>
    <w:rsid w:val="004446DC"/>
    <w:rsid w:val="004446E8"/>
    <w:rsid w:val="004446FA"/>
    <w:rsid w:val="0044473B"/>
    <w:rsid w:val="00444789"/>
    <w:rsid w:val="004447B5"/>
    <w:rsid w:val="0044482A"/>
    <w:rsid w:val="004448EB"/>
    <w:rsid w:val="00444934"/>
    <w:rsid w:val="004449A0"/>
    <w:rsid w:val="004449AB"/>
    <w:rsid w:val="004449F9"/>
    <w:rsid w:val="00444A4D"/>
    <w:rsid w:val="00444AA6"/>
    <w:rsid w:val="00444AB6"/>
    <w:rsid w:val="00444AFE"/>
    <w:rsid w:val="00444B00"/>
    <w:rsid w:val="00444B9D"/>
    <w:rsid w:val="00444BC5"/>
    <w:rsid w:val="00444BCB"/>
    <w:rsid w:val="00444BF2"/>
    <w:rsid w:val="00444E6E"/>
    <w:rsid w:val="00444EE1"/>
    <w:rsid w:val="00444EFA"/>
    <w:rsid w:val="00444F61"/>
    <w:rsid w:val="00444FA1"/>
    <w:rsid w:val="00444FB3"/>
    <w:rsid w:val="00444FB9"/>
    <w:rsid w:val="00444FD8"/>
    <w:rsid w:val="00445036"/>
    <w:rsid w:val="004450CD"/>
    <w:rsid w:val="004450E3"/>
    <w:rsid w:val="00445126"/>
    <w:rsid w:val="004451AA"/>
    <w:rsid w:val="00445202"/>
    <w:rsid w:val="0044523C"/>
    <w:rsid w:val="0044529C"/>
    <w:rsid w:val="004452A4"/>
    <w:rsid w:val="0044532F"/>
    <w:rsid w:val="004453AB"/>
    <w:rsid w:val="00445492"/>
    <w:rsid w:val="004454A0"/>
    <w:rsid w:val="00445561"/>
    <w:rsid w:val="00445582"/>
    <w:rsid w:val="00445597"/>
    <w:rsid w:val="0044559E"/>
    <w:rsid w:val="004456E0"/>
    <w:rsid w:val="0044570A"/>
    <w:rsid w:val="0044571B"/>
    <w:rsid w:val="004457EB"/>
    <w:rsid w:val="0044585A"/>
    <w:rsid w:val="0044586F"/>
    <w:rsid w:val="0044589E"/>
    <w:rsid w:val="0044590A"/>
    <w:rsid w:val="00445979"/>
    <w:rsid w:val="00445A03"/>
    <w:rsid w:val="00445A44"/>
    <w:rsid w:val="00445AF4"/>
    <w:rsid w:val="00445B48"/>
    <w:rsid w:val="00445B4F"/>
    <w:rsid w:val="00445C52"/>
    <w:rsid w:val="00445C78"/>
    <w:rsid w:val="00445CBA"/>
    <w:rsid w:val="00445CBC"/>
    <w:rsid w:val="00445D93"/>
    <w:rsid w:val="00445DD7"/>
    <w:rsid w:val="00445E04"/>
    <w:rsid w:val="00445E2B"/>
    <w:rsid w:val="00445E8F"/>
    <w:rsid w:val="00445F20"/>
    <w:rsid w:val="00445F77"/>
    <w:rsid w:val="0044606A"/>
    <w:rsid w:val="00446074"/>
    <w:rsid w:val="004460C4"/>
    <w:rsid w:val="0044613A"/>
    <w:rsid w:val="00446162"/>
    <w:rsid w:val="0044616E"/>
    <w:rsid w:val="004462A0"/>
    <w:rsid w:val="004462AE"/>
    <w:rsid w:val="00446328"/>
    <w:rsid w:val="004463EE"/>
    <w:rsid w:val="00446411"/>
    <w:rsid w:val="0044648F"/>
    <w:rsid w:val="00446500"/>
    <w:rsid w:val="00446514"/>
    <w:rsid w:val="0044656D"/>
    <w:rsid w:val="0044656F"/>
    <w:rsid w:val="00446584"/>
    <w:rsid w:val="004465A5"/>
    <w:rsid w:val="004465D7"/>
    <w:rsid w:val="00446640"/>
    <w:rsid w:val="00446674"/>
    <w:rsid w:val="00446775"/>
    <w:rsid w:val="0044678D"/>
    <w:rsid w:val="004467F4"/>
    <w:rsid w:val="0044680E"/>
    <w:rsid w:val="0044682A"/>
    <w:rsid w:val="00446850"/>
    <w:rsid w:val="004468D6"/>
    <w:rsid w:val="004468E1"/>
    <w:rsid w:val="004468FB"/>
    <w:rsid w:val="00446956"/>
    <w:rsid w:val="00446A74"/>
    <w:rsid w:val="00446A93"/>
    <w:rsid w:val="00446A95"/>
    <w:rsid w:val="00446AAC"/>
    <w:rsid w:val="00446B11"/>
    <w:rsid w:val="00446C5B"/>
    <w:rsid w:val="00446D08"/>
    <w:rsid w:val="00446DC1"/>
    <w:rsid w:val="00446E49"/>
    <w:rsid w:val="00446F08"/>
    <w:rsid w:val="00446FA0"/>
    <w:rsid w:val="00446FE7"/>
    <w:rsid w:val="0044703A"/>
    <w:rsid w:val="0044705C"/>
    <w:rsid w:val="004470A2"/>
    <w:rsid w:val="00447147"/>
    <w:rsid w:val="00447168"/>
    <w:rsid w:val="004471B0"/>
    <w:rsid w:val="00447217"/>
    <w:rsid w:val="0044723E"/>
    <w:rsid w:val="0044731F"/>
    <w:rsid w:val="004473F1"/>
    <w:rsid w:val="00447545"/>
    <w:rsid w:val="00447568"/>
    <w:rsid w:val="004475D5"/>
    <w:rsid w:val="00447733"/>
    <w:rsid w:val="004477C7"/>
    <w:rsid w:val="00447854"/>
    <w:rsid w:val="0044795F"/>
    <w:rsid w:val="00447963"/>
    <w:rsid w:val="00447ADD"/>
    <w:rsid w:val="00447B35"/>
    <w:rsid w:val="00447B9D"/>
    <w:rsid w:val="00447C56"/>
    <w:rsid w:val="00447C7F"/>
    <w:rsid w:val="00447C89"/>
    <w:rsid w:val="00447C8E"/>
    <w:rsid w:val="00447D82"/>
    <w:rsid w:val="00447DA7"/>
    <w:rsid w:val="00447DEE"/>
    <w:rsid w:val="00447E03"/>
    <w:rsid w:val="00447E71"/>
    <w:rsid w:val="00447F3A"/>
    <w:rsid w:val="00450015"/>
    <w:rsid w:val="0045002E"/>
    <w:rsid w:val="00450044"/>
    <w:rsid w:val="0045005F"/>
    <w:rsid w:val="0045009C"/>
    <w:rsid w:val="0045009D"/>
    <w:rsid w:val="004500A0"/>
    <w:rsid w:val="00450126"/>
    <w:rsid w:val="004501B0"/>
    <w:rsid w:val="0045030F"/>
    <w:rsid w:val="0045034D"/>
    <w:rsid w:val="00450375"/>
    <w:rsid w:val="004503E3"/>
    <w:rsid w:val="00450406"/>
    <w:rsid w:val="0045047E"/>
    <w:rsid w:val="004504FA"/>
    <w:rsid w:val="00450583"/>
    <w:rsid w:val="00450613"/>
    <w:rsid w:val="00450631"/>
    <w:rsid w:val="0045063B"/>
    <w:rsid w:val="004506A3"/>
    <w:rsid w:val="0045073B"/>
    <w:rsid w:val="0045082B"/>
    <w:rsid w:val="0045084C"/>
    <w:rsid w:val="00450877"/>
    <w:rsid w:val="00450883"/>
    <w:rsid w:val="00450903"/>
    <w:rsid w:val="00450921"/>
    <w:rsid w:val="0045095E"/>
    <w:rsid w:val="00450984"/>
    <w:rsid w:val="004509A1"/>
    <w:rsid w:val="004509B4"/>
    <w:rsid w:val="004509B7"/>
    <w:rsid w:val="00450AD2"/>
    <w:rsid w:val="00450AE1"/>
    <w:rsid w:val="00450AE9"/>
    <w:rsid w:val="00450B55"/>
    <w:rsid w:val="00450BDE"/>
    <w:rsid w:val="00450C8E"/>
    <w:rsid w:val="00450CA9"/>
    <w:rsid w:val="00450CD6"/>
    <w:rsid w:val="00450CE2"/>
    <w:rsid w:val="00450D06"/>
    <w:rsid w:val="00450D4A"/>
    <w:rsid w:val="00450D5B"/>
    <w:rsid w:val="00450D70"/>
    <w:rsid w:val="00450D8B"/>
    <w:rsid w:val="00450DB7"/>
    <w:rsid w:val="00450E23"/>
    <w:rsid w:val="00450E78"/>
    <w:rsid w:val="00450EB5"/>
    <w:rsid w:val="00450ECC"/>
    <w:rsid w:val="00450F0D"/>
    <w:rsid w:val="0045114C"/>
    <w:rsid w:val="0045120E"/>
    <w:rsid w:val="00451246"/>
    <w:rsid w:val="00451288"/>
    <w:rsid w:val="0045130B"/>
    <w:rsid w:val="00451311"/>
    <w:rsid w:val="004513E3"/>
    <w:rsid w:val="004513FA"/>
    <w:rsid w:val="0045148C"/>
    <w:rsid w:val="004514B4"/>
    <w:rsid w:val="00451501"/>
    <w:rsid w:val="00451604"/>
    <w:rsid w:val="0045160E"/>
    <w:rsid w:val="0045168E"/>
    <w:rsid w:val="004516A4"/>
    <w:rsid w:val="00451745"/>
    <w:rsid w:val="00451751"/>
    <w:rsid w:val="004517CA"/>
    <w:rsid w:val="00451816"/>
    <w:rsid w:val="00451896"/>
    <w:rsid w:val="004518D0"/>
    <w:rsid w:val="004518E2"/>
    <w:rsid w:val="004518FE"/>
    <w:rsid w:val="00451964"/>
    <w:rsid w:val="0045197A"/>
    <w:rsid w:val="004519BC"/>
    <w:rsid w:val="00451A24"/>
    <w:rsid w:val="00451A85"/>
    <w:rsid w:val="00451B14"/>
    <w:rsid w:val="00451BD8"/>
    <w:rsid w:val="00451BDC"/>
    <w:rsid w:val="00451BF5"/>
    <w:rsid w:val="00451C7E"/>
    <w:rsid w:val="00451D20"/>
    <w:rsid w:val="00451DEB"/>
    <w:rsid w:val="00451DFA"/>
    <w:rsid w:val="00451E7B"/>
    <w:rsid w:val="00451EB0"/>
    <w:rsid w:val="00451F13"/>
    <w:rsid w:val="00451F8C"/>
    <w:rsid w:val="00451FF4"/>
    <w:rsid w:val="00452047"/>
    <w:rsid w:val="00452094"/>
    <w:rsid w:val="004520A2"/>
    <w:rsid w:val="004520D0"/>
    <w:rsid w:val="004520DF"/>
    <w:rsid w:val="00452206"/>
    <w:rsid w:val="00452371"/>
    <w:rsid w:val="00452374"/>
    <w:rsid w:val="00452467"/>
    <w:rsid w:val="004524A0"/>
    <w:rsid w:val="0045254B"/>
    <w:rsid w:val="00452637"/>
    <w:rsid w:val="0045263B"/>
    <w:rsid w:val="00452791"/>
    <w:rsid w:val="004527B2"/>
    <w:rsid w:val="00452810"/>
    <w:rsid w:val="0045289D"/>
    <w:rsid w:val="004528DE"/>
    <w:rsid w:val="004528E8"/>
    <w:rsid w:val="004528FA"/>
    <w:rsid w:val="004528FB"/>
    <w:rsid w:val="004529DF"/>
    <w:rsid w:val="00452B4C"/>
    <w:rsid w:val="00452B8E"/>
    <w:rsid w:val="00452BA6"/>
    <w:rsid w:val="00452BB3"/>
    <w:rsid w:val="00452BC8"/>
    <w:rsid w:val="00452BEE"/>
    <w:rsid w:val="00452C7E"/>
    <w:rsid w:val="00452C8F"/>
    <w:rsid w:val="00452D76"/>
    <w:rsid w:val="00452E16"/>
    <w:rsid w:val="00452E1B"/>
    <w:rsid w:val="00452EDE"/>
    <w:rsid w:val="00452F26"/>
    <w:rsid w:val="00452F31"/>
    <w:rsid w:val="00452F72"/>
    <w:rsid w:val="00452FAE"/>
    <w:rsid w:val="0045304B"/>
    <w:rsid w:val="00453096"/>
    <w:rsid w:val="004530F6"/>
    <w:rsid w:val="0045311E"/>
    <w:rsid w:val="0045317A"/>
    <w:rsid w:val="004531D0"/>
    <w:rsid w:val="004531D1"/>
    <w:rsid w:val="00453285"/>
    <w:rsid w:val="004532AF"/>
    <w:rsid w:val="004532D2"/>
    <w:rsid w:val="004532E7"/>
    <w:rsid w:val="004533CE"/>
    <w:rsid w:val="0045345D"/>
    <w:rsid w:val="0045347C"/>
    <w:rsid w:val="0045348C"/>
    <w:rsid w:val="0045350F"/>
    <w:rsid w:val="00453533"/>
    <w:rsid w:val="00453557"/>
    <w:rsid w:val="004535E0"/>
    <w:rsid w:val="0045363B"/>
    <w:rsid w:val="004536B9"/>
    <w:rsid w:val="004536C8"/>
    <w:rsid w:val="0045373B"/>
    <w:rsid w:val="00453769"/>
    <w:rsid w:val="004537B3"/>
    <w:rsid w:val="004537BF"/>
    <w:rsid w:val="004537CD"/>
    <w:rsid w:val="004537E9"/>
    <w:rsid w:val="00453827"/>
    <w:rsid w:val="00453848"/>
    <w:rsid w:val="004539AE"/>
    <w:rsid w:val="00453A59"/>
    <w:rsid w:val="00453B3C"/>
    <w:rsid w:val="00453CDD"/>
    <w:rsid w:val="00453D06"/>
    <w:rsid w:val="00453D3E"/>
    <w:rsid w:val="00453D46"/>
    <w:rsid w:val="00453DCA"/>
    <w:rsid w:val="00453DE2"/>
    <w:rsid w:val="00453E35"/>
    <w:rsid w:val="00453ECF"/>
    <w:rsid w:val="00453EFC"/>
    <w:rsid w:val="00453F44"/>
    <w:rsid w:val="00453FB5"/>
    <w:rsid w:val="004540C7"/>
    <w:rsid w:val="0045412E"/>
    <w:rsid w:val="004541B0"/>
    <w:rsid w:val="004541C9"/>
    <w:rsid w:val="00454232"/>
    <w:rsid w:val="00454296"/>
    <w:rsid w:val="004542DB"/>
    <w:rsid w:val="00454313"/>
    <w:rsid w:val="004543FE"/>
    <w:rsid w:val="0045440E"/>
    <w:rsid w:val="00454448"/>
    <w:rsid w:val="00454501"/>
    <w:rsid w:val="004545D1"/>
    <w:rsid w:val="00454617"/>
    <w:rsid w:val="00454653"/>
    <w:rsid w:val="004546B2"/>
    <w:rsid w:val="004546BE"/>
    <w:rsid w:val="004546C8"/>
    <w:rsid w:val="0045472B"/>
    <w:rsid w:val="0045478D"/>
    <w:rsid w:val="004547A4"/>
    <w:rsid w:val="0045485E"/>
    <w:rsid w:val="00454892"/>
    <w:rsid w:val="0045489F"/>
    <w:rsid w:val="00454985"/>
    <w:rsid w:val="004549D2"/>
    <w:rsid w:val="00454B02"/>
    <w:rsid w:val="00454BE3"/>
    <w:rsid w:val="00454C12"/>
    <w:rsid w:val="00454C64"/>
    <w:rsid w:val="00454CAC"/>
    <w:rsid w:val="00454CD6"/>
    <w:rsid w:val="00454D36"/>
    <w:rsid w:val="00454D5A"/>
    <w:rsid w:val="00454D5F"/>
    <w:rsid w:val="00454DA5"/>
    <w:rsid w:val="00454DCC"/>
    <w:rsid w:val="00454E01"/>
    <w:rsid w:val="00454E34"/>
    <w:rsid w:val="00454E9F"/>
    <w:rsid w:val="00454F1D"/>
    <w:rsid w:val="00454F7B"/>
    <w:rsid w:val="00454F7E"/>
    <w:rsid w:val="00454FE8"/>
    <w:rsid w:val="0045511A"/>
    <w:rsid w:val="00455164"/>
    <w:rsid w:val="004551BE"/>
    <w:rsid w:val="004551F6"/>
    <w:rsid w:val="00455247"/>
    <w:rsid w:val="004552D5"/>
    <w:rsid w:val="0045543E"/>
    <w:rsid w:val="00455538"/>
    <w:rsid w:val="0045557A"/>
    <w:rsid w:val="004555F9"/>
    <w:rsid w:val="004555FB"/>
    <w:rsid w:val="00455601"/>
    <w:rsid w:val="0045562D"/>
    <w:rsid w:val="0045563F"/>
    <w:rsid w:val="004556F1"/>
    <w:rsid w:val="0045571B"/>
    <w:rsid w:val="004557D4"/>
    <w:rsid w:val="00455860"/>
    <w:rsid w:val="00455968"/>
    <w:rsid w:val="004559DD"/>
    <w:rsid w:val="00455A04"/>
    <w:rsid w:val="00455A5E"/>
    <w:rsid w:val="00455BA3"/>
    <w:rsid w:val="00455BAC"/>
    <w:rsid w:val="00455C19"/>
    <w:rsid w:val="00455C33"/>
    <w:rsid w:val="00455C7D"/>
    <w:rsid w:val="00455CA7"/>
    <w:rsid w:val="00455D79"/>
    <w:rsid w:val="00455D83"/>
    <w:rsid w:val="00455DB6"/>
    <w:rsid w:val="00455DC5"/>
    <w:rsid w:val="00455DD8"/>
    <w:rsid w:val="00455DFE"/>
    <w:rsid w:val="00455EC3"/>
    <w:rsid w:val="00455EEA"/>
    <w:rsid w:val="00455F06"/>
    <w:rsid w:val="00455F07"/>
    <w:rsid w:val="00455F29"/>
    <w:rsid w:val="00455FEC"/>
    <w:rsid w:val="00455FFD"/>
    <w:rsid w:val="00456083"/>
    <w:rsid w:val="004560A4"/>
    <w:rsid w:val="00456165"/>
    <w:rsid w:val="004561EC"/>
    <w:rsid w:val="0045620A"/>
    <w:rsid w:val="00456263"/>
    <w:rsid w:val="004562DB"/>
    <w:rsid w:val="00456404"/>
    <w:rsid w:val="0045643C"/>
    <w:rsid w:val="00456474"/>
    <w:rsid w:val="004564AD"/>
    <w:rsid w:val="004565A6"/>
    <w:rsid w:val="00456673"/>
    <w:rsid w:val="004566F7"/>
    <w:rsid w:val="00456701"/>
    <w:rsid w:val="0045674F"/>
    <w:rsid w:val="0045676C"/>
    <w:rsid w:val="00456793"/>
    <w:rsid w:val="004567C1"/>
    <w:rsid w:val="00456800"/>
    <w:rsid w:val="00456893"/>
    <w:rsid w:val="00456990"/>
    <w:rsid w:val="004569F0"/>
    <w:rsid w:val="00456AE1"/>
    <w:rsid w:val="00456AED"/>
    <w:rsid w:val="00456B34"/>
    <w:rsid w:val="00456B4C"/>
    <w:rsid w:val="00456B5E"/>
    <w:rsid w:val="00456B66"/>
    <w:rsid w:val="00456B6B"/>
    <w:rsid w:val="00456BCC"/>
    <w:rsid w:val="00456C04"/>
    <w:rsid w:val="00456CBB"/>
    <w:rsid w:val="00456D21"/>
    <w:rsid w:val="00456D78"/>
    <w:rsid w:val="00456D7A"/>
    <w:rsid w:val="00456DC2"/>
    <w:rsid w:val="00456DFA"/>
    <w:rsid w:val="00456E6C"/>
    <w:rsid w:val="00456F0B"/>
    <w:rsid w:val="00456F33"/>
    <w:rsid w:val="00456F91"/>
    <w:rsid w:val="00456FD5"/>
    <w:rsid w:val="00457089"/>
    <w:rsid w:val="0045709A"/>
    <w:rsid w:val="004570FA"/>
    <w:rsid w:val="00457118"/>
    <w:rsid w:val="00457131"/>
    <w:rsid w:val="004571FA"/>
    <w:rsid w:val="00457228"/>
    <w:rsid w:val="004572C8"/>
    <w:rsid w:val="004572CA"/>
    <w:rsid w:val="004572FA"/>
    <w:rsid w:val="004573E6"/>
    <w:rsid w:val="004573EB"/>
    <w:rsid w:val="004573EF"/>
    <w:rsid w:val="00457436"/>
    <w:rsid w:val="00457444"/>
    <w:rsid w:val="004574A8"/>
    <w:rsid w:val="004574B5"/>
    <w:rsid w:val="004575D5"/>
    <w:rsid w:val="00457612"/>
    <w:rsid w:val="00457672"/>
    <w:rsid w:val="004576E6"/>
    <w:rsid w:val="0045773F"/>
    <w:rsid w:val="00457890"/>
    <w:rsid w:val="004578F8"/>
    <w:rsid w:val="0045791B"/>
    <w:rsid w:val="00457989"/>
    <w:rsid w:val="004579E2"/>
    <w:rsid w:val="00457A15"/>
    <w:rsid w:val="00457A7F"/>
    <w:rsid w:val="00457ACD"/>
    <w:rsid w:val="00457ADC"/>
    <w:rsid w:val="00457B4F"/>
    <w:rsid w:val="00457BAD"/>
    <w:rsid w:val="00457BEF"/>
    <w:rsid w:val="00457C0A"/>
    <w:rsid w:val="00457C52"/>
    <w:rsid w:val="00457CDB"/>
    <w:rsid w:val="00457CF9"/>
    <w:rsid w:val="00457DD3"/>
    <w:rsid w:val="00457DFE"/>
    <w:rsid w:val="00457F34"/>
    <w:rsid w:val="00457F72"/>
    <w:rsid w:val="00457FCC"/>
    <w:rsid w:val="0046002D"/>
    <w:rsid w:val="0046007A"/>
    <w:rsid w:val="0046007F"/>
    <w:rsid w:val="0046008B"/>
    <w:rsid w:val="004600D0"/>
    <w:rsid w:val="0046014D"/>
    <w:rsid w:val="00460207"/>
    <w:rsid w:val="0046021F"/>
    <w:rsid w:val="00460226"/>
    <w:rsid w:val="004602A0"/>
    <w:rsid w:val="004602CB"/>
    <w:rsid w:val="00460433"/>
    <w:rsid w:val="00460491"/>
    <w:rsid w:val="004604CA"/>
    <w:rsid w:val="004604F5"/>
    <w:rsid w:val="00460662"/>
    <w:rsid w:val="004606A7"/>
    <w:rsid w:val="00460779"/>
    <w:rsid w:val="0046078E"/>
    <w:rsid w:val="00460799"/>
    <w:rsid w:val="0046079E"/>
    <w:rsid w:val="004607EE"/>
    <w:rsid w:val="0046085C"/>
    <w:rsid w:val="004609E6"/>
    <w:rsid w:val="004609F7"/>
    <w:rsid w:val="00460A22"/>
    <w:rsid w:val="00460A8C"/>
    <w:rsid w:val="00460AB7"/>
    <w:rsid w:val="00460AC5"/>
    <w:rsid w:val="00460ACB"/>
    <w:rsid w:val="00460BD8"/>
    <w:rsid w:val="00460C14"/>
    <w:rsid w:val="00460C16"/>
    <w:rsid w:val="00460C22"/>
    <w:rsid w:val="00460CDA"/>
    <w:rsid w:val="00460CF8"/>
    <w:rsid w:val="00460D52"/>
    <w:rsid w:val="00460D7F"/>
    <w:rsid w:val="00460D94"/>
    <w:rsid w:val="00460DBF"/>
    <w:rsid w:val="00460E17"/>
    <w:rsid w:val="00460E41"/>
    <w:rsid w:val="00460E72"/>
    <w:rsid w:val="00460E7A"/>
    <w:rsid w:val="00460EB4"/>
    <w:rsid w:val="00460EBF"/>
    <w:rsid w:val="00460F80"/>
    <w:rsid w:val="00460F92"/>
    <w:rsid w:val="00461052"/>
    <w:rsid w:val="004610E0"/>
    <w:rsid w:val="00461109"/>
    <w:rsid w:val="0046111B"/>
    <w:rsid w:val="004611FB"/>
    <w:rsid w:val="00461239"/>
    <w:rsid w:val="00461290"/>
    <w:rsid w:val="0046133D"/>
    <w:rsid w:val="004613EA"/>
    <w:rsid w:val="00461400"/>
    <w:rsid w:val="00461578"/>
    <w:rsid w:val="00461636"/>
    <w:rsid w:val="004616B0"/>
    <w:rsid w:val="004617AE"/>
    <w:rsid w:val="004617C7"/>
    <w:rsid w:val="004617C9"/>
    <w:rsid w:val="004618B6"/>
    <w:rsid w:val="004618C0"/>
    <w:rsid w:val="004618C4"/>
    <w:rsid w:val="004618FE"/>
    <w:rsid w:val="00461903"/>
    <w:rsid w:val="004619E5"/>
    <w:rsid w:val="004619F2"/>
    <w:rsid w:val="00461A33"/>
    <w:rsid w:val="00461A7F"/>
    <w:rsid w:val="00461AB0"/>
    <w:rsid w:val="00461AC9"/>
    <w:rsid w:val="00461C43"/>
    <w:rsid w:val="00461CB8"/>
    <w:rsid w:val="00461CEF"/>
    <w:rsid w:val="00461D17"/>
    <w:rsid w:val="00461DCE"/>
    <w:rsid w:val="00461E57"/>
    <w:rsid w:val="00461E81"/>
    <w:rsid w:val="00461EC6"/>
    <w:rsid w:val="00461EF0"/>
    <w:rsid w:val="00461F08"/>
    <w:rsid w:val="00461F12"/>
    <w:rsid w:val="00461F7F"/>
    <w:rsid w:val="00461FBF"/>
    <w:rsid w:val="0046202D"/>
    <w:rsid w:val="004620AF"/>
    <w:rsid w:val="004620F4"/>
    <w:rsid w:val="00462160"/>
    <w:rsid w:val="00462279"/>
    <w:rsid w:val="00462305"/>
    <w:rsid w:val="0046236E"/>
    <w:rsid w:val="00462374"/>
    <w:rsid w:val="004623F9"/>
    <w:rsid w:val="004624EF"/>
    <w:rsid w:val="00462513"/>
    <w:rsid w:val="0046256C"/>
    <w:rsid w:val="00462670"/>
    <w:rsid w:val="004626EA"/>
    <w:rsid w:val="00462718"/>
    <w:rsid w:val="0046274F"/>
    <w:rsid w:val="004627C5"/>
    <w:rsid w:val="00462815"/>
    <w:rsid w:val="00462872"/>
    <w:rsid w:val="00462920"/>
    <w:rsid w:val="004629CA"/>
    <w:rsid w:val="00462A0D"/>
    <w:rsid w:val="00462A16"/>
    <w:rsid w:val="00462AC6"/>
    <w:rsid w:val="00462ACF"/>
    <w:rsid w:val="00462B1D"/>
    <w:rsid w:val="00462C1E"/>
    <w:rsid w:val="00462CB1"/>
    <w:rsid w:val="00462CD1"/>
    <w:rsid w:val="00462CD6"/>
    <w:rsid w:val="00462DB0"/>
    <w:rsid w:val="00462DE1"/>
    <w:rsid w:val="00462ED9"/>
    <w:rsid w:val="00462F17"/>
    <w:rsid w:val="00462F4B"/>
    <w:rsid w:val="00462F65"/>
    <w:rsid w:val="00462F6B"/>
    <w:rsid w:val="00462F88"/>
    <w:rsid w:val="00462FF6"/>
    <w:rsid w:val="00463082"/>
    <w:rsid w:val="0046312D"/>
    <w:rsid w:val="00463169"/>
    <w:rsid w:val="004631E3"/>
    <w:rsid w:val="004631ED"/>
    <w:rsid w:val="004632AC"/>
    <w:rsid w:val="00463302"/>
    <w:rsid w:val="00463366"/>
    <w:rsid w:val="00463384"/>
    <w:rsid w:val="0046338F"/>
    <w:rsid w:val="004633A8"/>
    <w:rsid w:val="004634DC"/>
    <w:rsid w:val="004634ED"/>
    <w:rsid w:val="00463544"/>
    <w:rsid w:val="004635AA"/>
    <w:rsid w:val="004635C0"/>
    <w:rsid w:val="00463686"/>
    <w:rsid w:val="0046371B"/>
    <w:rsid w:val="00463723"/>
    <w:rsid w:val="00463758"/>
    <w:rsid w:val="00463844"/>
    <w:rsid w:val="0046384A"/>
    <w:rsid w:val="00463879"/>
    <w:rsid w:val="00463891"/>
    <w:rsid w:val="0046390D"/>
    <w:rsid w:val="004639C1"/>
    <w:rsid w:val="004639C7"/>
    <w:rsid w:val="00463A04"/>
    <w:rsid w:val="00463A82"/>
    <w:rsid w:val="00463A9A"/>
    <w:rsid w:val="00463B02"/>
    <w:rsid w:val="00463B6A"/>
    <w:rsid w:val="00463C14"/>
    <w:rsid w:val="00463CC6"/>
    <w:rsid w:val="00463CEA"/>
    <w:rsid w:val="00463D0F"/>
    <w:rsid w:val="00463D29"/>
    <w:rsid w:val="00463D8F"/>
    <w:rsid w:val="00463DB3"/>
    <w:rsid w:val="00463E01"/>
    <w:rsid w:val="00463EB5"/>
    <w:rsid w:val="004640BA"/>
    <w:rsid w:val="00464160"/>
    <w:rsid w:val="0046424E"/>
    <w:rsid w:val="00464263"/>
    <w:rsid w:val="0046430C"/>
    <w:rsid w:val="00464367"/>
    <w:rsid w:val="00464387"/>
    <w:rsid w:val="0046438E"/>
    <w:rsid w:val="004643AD"/>
    <w:rsid w:val="00464410"/>
    <w:rsid w:val="004644B7"/>
    <w:rsid w:val="00464567"/>
    <w:rsid w:val="004646A0"/>
    <w:rsid w:val="00464731"/>
    <w:rsid w:val="004649CE"/>
    <w:rsid w:val="00464A59"/>
    <w:rsid w:val="00464A75"/>
    <w:rsid w:val="00464ACA"/>
    <w:rsid w:val="00464AEC"/>
    <w:rsid w:val="00464B44"/>
    <w:rsid w:val="00464B5A"/>
    <w:rsid w:val="00464B7D"/>
    <w:rsid w:val="00464BE9"/>
    <w:rsid w:val="00464C27"/>
    <w:rsid w:val="00464CD4"/>
    <w:rsid w:val="00464E2F"/>
    <w:rsid w:val="00464E72"/>
    <w:rsid w:val="00464EEB"/>
    <w:rsid w:val="00464F94"/>
    <w:rsid w:val="00464F9A"/>
    <w:rsid w:val="00464FED"/>
    <w:rsid w:val="0046500C"/>
    <w:rsid w:val="0046502B"/>
    <w:rsid w:val="00465041"/>
    <w:rsid w:val="0046506D"/>
    <w:rsid w:val="004650A3"/>
    <w:rsid w:val="004650D0"/>
    <w:rsid w:val="0046512B"/>
    <w:rsid w:val="00465144"/>
    <w:rsid w:val="004651BA"/>
    <w:rsid w:val="0046520A"/>
    <w:rsid w:val="00465284"/>
    <w:rsid w:val="004652D2"/>
    <w:rsid w:val="0046541C"/>
    <w:rsid w:val="0046548A"/>
    <w:rsid w:val="00465491"/>
    <w:rsid w:val="004655EF"/>
    <w:rsid w:val="00465605"/>
    <w:rsid w:val="00465662"/>
    <w:rsid w:val="004656C2"/>
    <w:rsid w:val="004656E0"/>
    <w:rsid w:val="004656E9"/>
    <w:rsid w:val="00465834"/>
    <w:rsid w:val="004658A3"/>
    <w:rsid w:val="004658AD"/>
    <w:rsid w:val="004658F1"/>
    <w:rsid w:val="00465902"/>
    <w:rsid w:val="00465912"/>
    <w:rsid w:val="00465A35"/>
    <w:rsid w:val="00465ACD"/>
    <w:rsid w:val="00465AD7"/>
    <w:rsid w:val="00465AF7"/>
    <w:rsid w:val="00465BE4"/>
    <w:rsid w:val="00465C7B"/>
    <w:rsid w:val="00465C80"/>
    <w:rsid w:val="00465CB4"/>
    <w:rsid w:val="00465CBC"/>
    <w:rsid w:val="00465CC2"/>
    <w:rsid w:val="00465D1B"/>
    <w:rsid w:val="00465D24"/>
    <w:rsid w:val="00465D80"/>
    <w:rsid w:val="00465D8A"/>
    <w:rsid w:val="00465DB0"/>
    <w:rsid w:val="00465DDA"/>
    <w:rsid w:val="00465DDD"/>
    <w:rsid w:val="00465DF1"/>
    <w:rsid w:val="00465E91"/>
    <w:rsid w:val="00465F10"/>
    <w:rsid w:val="00465F7F"/>
    <w:rsid w:val="00465F95"/>
    <w:rsid w:val="00465FE6"/>
    <w:rsid w:val="00466049"/>
    <w:rsid w:val="004660D8"/>
    <w:rsid w:val="004660DD"/>
    <w:rsid w:val="0046610F"/>
    <w:rsid w:val="004661C5"/>
    <w:rsid w:val="004661F7"/>
    <w:rsid w:val="00466206"/>
    <w:rsid w:val="00466238"/>
    <w:rsid w:val="0046629D"/>
    <w:rsid w:val="00466305"/>
    <w:rsid w:val="00466384"/>
    <w:rsid w:val="0046643C"/>
    <w:rsid w:val="0046645D"/>
    <w:rsid w:val="0046648B"/>
    <w:rsid w:val="00466495"/>
    <w:rsid w:val="004664FA"/>
    <w:rsid w:val="00466607"/>
    <w:rsid w:val="00466799"/>
    <w:rsid w:val="00466809"/>
    <w:rsid w:val="0046681A"/>
    <w:rsid w:val="0046682E"/>
    <w:rsid w:val="0046686C"/>
    <w:rsid w:val="004669AB"/>
    <w:rsid w:val="004669F0"/>
    <w:rsid w:val="00466A05"/>
    <w:rsid w:val="00466AA8"/>
    <w:rsid w:val="00466AC4"/>
    <w:rsid w:val="00466AC7"/>
    <w:rsid w:val="00466B13"/>
    <w:rsid w:val="00466BDE"/>
    <w:rsid w:val="00466BF3"/>
    <w:rsid w:val="00466BFA"/>
    <w:rsid w:val="00466C01"/>
    <w:rsid w:val="00466C7C"/>
    <w:rsid w:val="00466D46"/>
    <w:rsid w:val="00466D64"/>
    <w:rsid w:val="00466DB7"/>
    <w:rsid w:val="00466EA6"/>
    <w:rsid w:val="00466EBC"/>
    <w:rsid w:val="00466EE7"/>
    <w:rsid w:val="00466FF3"/>
    <w:rsid w:val="004671B1"/>
    <w:rsid w:val="0046736A"/>
    <w:rsid w:val="0046736D"/>
    <w:rsid w:val="0046749F"/>
    <w:rsid w:val="004674C2"/>
    <w:rsid w:val="004675E5"/>
    <w:rsid w:val="00467626"/>
    <w:rsid w:val="0046765F"/>
    <w:rsid w:val="00467703"/>
    <w:rsid w:val="00467742"/>
    <w:rsid w:val="004677AC"/>
    <w:rsid w:val="004677E6"/>
    <w:rsid w:val="004677EF"/>
    <w:rsid w:val="004677F8"/>
    <w:rsid w:val="0046783D"/>
    <w:rsid w:val="0046785C"/>
    <w:rsid w:val="004678D4"/>
    <w:rsid w:val="004678FA"/>
    <w:rsid w:val="00467944"/>
    <w:rsid w:val="004679AC"/>
    <w:rsid w:val="00467A14"/>
    <w:rsid w:val="00467A3A"/>
    <w:rsid w:val="00467A81"/>
    <w:rsid w:val="00467AD5"/>
    <w:rsid w:val="00467AE6"/>
    <w:rsid w:val="00467B1D"/>
    <w:rsid w:val="00467B32"/>
    <w:rsid w:val="00467B6E"/>
    <w:rsid w:val="00467B7D"/>
    <w:rsid w:val="00467C4B"/>
    <w:rsid w:val="00467C78"/>
    <w:rsid w:val="00467C96"/>
    <w:rsid w:val="00467D1F"/>
    <w:rsid w:val="00467E09"/>
    <w:rsid w:val="00467E1F"/>
    <w:rsid w:val="00467E5B"/>
    <w:rsid w:val="00467E81"/>
    <w:rsid w:val="00467ECB"/>
    <w:rsid w:val="00467F01"/>
    <w:rsid w:val="00467FDA"/>
    <w:rsid w:val="004700EB"/>
    <w:rsid w:val="00470114"/>
    <w:rsid w:val="00470162"/>
    <w:rsid w:val="004701C5"/>
    <w:rsid w:val="00470294"/>
    <w:rsid w:val="004702C0"/>
    <w:rsid w:val="004703B4"/>
    <w:rsid w:val="004703EB"/>
    <w:rsid w:val="00470501"/>
    <w:rsid w:val="0047056C"/>
    <w:rsid w:val="004705BA"/>
    <w:rsid w:val="004706B9"/>
    <w:rsid w:val="0047077D"/>
    <w:rsid w:val="00470791"/>
    <w:rsid w:val="00470864"/>
    <w:rsid w:val="004708C3"/>
    <w:rsid w:val="004708DE"/>
    <w:rsid w:val="0047091F"/>
    <w:rsid w:val="00470940"/>
    <w:rsid w:val="004709F1"/>
    <w:rsid w:val="00470A31"/>
    <w:rsid w:val="00470ADE"/>
    <w:rsid w:val="00470ADF"/>
    <w:rsid w:val="00470B99"/>
    <w:rsid w:val="00470BF7"/>
    <w:rsid w:val="00470C62"/>
    <w:rsid w:val="00470CDA"/>
    <w:rsid w:val="00470CDB"/>
    <w:rsid w:val="00470D4E"/>
    <w:rsid w:val="00470DD3"/>
    <w:rsid w:val="00470F13"/>
    <w:rsid w:val="00470FD3"/>
    <w:rsid w:val="00471034"/>
    <w:rsid w:val="00471082"/>
    <w:rsid w:val="004710A6"/>
    <w:rsid w:val="004710C4"/>
    <w:rsid w:val="00471158"/>
    <w:rsid w:val="004711FE"/>
    <w:rsid w:val="00471216"/>
    <w:rsid w:val="00471233"/>
    <w:rsid w:val="0047123C"/>
    <w:rsid w:val="00471270"/>
    <w:rsid w:val="00471271"/>
    <w:rsid w:val="0047133C"/>
    <w:rsid w:val="00471356"/>
    <w:rsid w:val="0047139C"/>
    <w:rsid w:val="004713AA"/>
    <w:rsid w:val="004713F0"/>
    <w:rsid w:val="004714A6"/>
    <w:rsid w:val="004714E0"/>
    <w:rsid w:val="004714E2"/>
    <w:rsid w:val="0047153B"/>
    <w:rsid w:val="0047158A"/>
    <w:rsid w:val="004715A7"/>
    <w:rsid w:val="0047166E"/>
    <w:rsid w:val="004716C4"/>
    <w:rsid w:val="00471703"/>
    <w:rsid w:val="00471787"/>
    <w:rsid w:val="0047182C"/>
    <w:rsid w:val="00471834"/>
    <w:rsid w:val="0047183A"/>
    <w:rsid w:val="0047193B"/>
    <w:rsid w:val="004719F9"/>
    <w:rsid w:val="00471AF7"/>
    <w:rsid w:val="00471B3B"/>
    <w:rsid w:val="00471BEC"/>
    <w:rsid w:val="00471C21"/>
    <w:rsid w:val="00471C4C"/>
    <w:rsid w:val="00471CEE"/>
    <w:rsid w:val="00471DF4"/>
    <w:rsid w:val="00471E12"/>
    <w:rsid w:val="00471E34"/>
    <w:rsid w:val="00471E89"/>
    <w:rsid w:val="00471E91"/>
    <w:rsid w:val="00471EC9"/>
    <w:rsid w:val="00471EE4"/>
    <w:rsid w:val="00471EE8"/>
    <w:rsid w:val="00471EF3"/>
    <w:rsid w:val="00471F4D"/>
    <w:rsid w:val="00471F7B"/>
    <w:rsid w:val="00471F80"/>
    <w:rsid w:val="00472014"/>
    <w:rsid w:val="00472151"/>
    <w:rsid w:val="00472166"/>
    <w:rsid w:val="00472186"/>
    <w:rsid w:val="0047229C"/>
    <w:rsid w:val="004722B9"/>
    <w:rsid w:val="00472382"/>
    <w:rsid w:val="004723B9"/>
    <w:rsid w:val="00472444"/>
    <w:rsid w:val="004724A6"/>
    <w:rsid w:val="004725A1"/>
    <w:rsid w:val="004725C1"/>
    <w:rsid w:val="0047271D"/>
    <w:rsid w:val="0047271F"/>
    <w:rsid w:val="0047273C"/>
    <w:rsid w:val="0047274C"/>
    <w:rsid w:val="0047285C"/>
    <w:rsid w:val="004728FC"/>
    <w:rsid w:val="0047295A"/>
    <w:rsid w:val="00472962"/>
    <w:rsid w:val="00472B0F"/>
    <w:rsid w:val="00472BE0"/>
    <w:rsid w:val="00472C51"/>
    <w:rsid w:val="00472C52"/>
    <w:rsid w:val="00472C94"/>
    <w:rsid w:val="00472D18"/>
    <w:rsid w:val="00472D2D"/>
    <w:rsid w:val="00472D92"/>
    <w:rsid w:val="00472DD4"/>
    <w:rsid w:val="00472E0E"/>
    <w:rsid w:val="00472E3A"/>
    <w:rsid w:val="00472E3B"/>
    <w:rsid w:val="00472E93"/>
    <w:rsid w:val="00472F44"/>
    <w:rsid w:val="0047302A"/>
    <w:rsid w:val="00473064"/>
    <w:rsid w:val="004730AB"/>
    <w:rsid w:val="004730BF"/>
    <w:rsid w:val="00473161"/>
    <w:rsid w:val="004731E7"/>
    <w:rsid w:val="004731F4"/>
    <w:rsid w:val="004732D0"/>
    <w:rsid w:val="004732E9"/>
    <w:rsid w:val="004732F3"/>
    <w:rsid w:val="00473324"/>
    <w:rsid w:val="004733CF"/>
    <w:rsid w:val="00473456"/>
    <w:rsid w:val="0047356C"/>
    <w:rsid w:val="0047359E"/>
    <w:rsid w:val="00473603"/>
    <w:rsid w:val="0047361F"/>
    <w:rsid w:val="0047364F"/>
    <w:rsid w:val="00473721"/>
    <w:rsid w:val="0047378D"/>
    <w:rsid w:val="0047379A"/>
    <w:rsid w:val="00473853"/>
    <w:rsid w:val="0047385C"/>
    <w:rsid w:val="0047387F"/>
    <w:rsid w:val="00473892"/>
    <w:rsid w:val="004738CF"/>
    <w:rsid w:val="004738F7"/>
    <w:rsid w:val="0047394D"/>
    <w:rsid w:val="00473955"/>
    <w:rsid w:val="004739AA"/>
    <w:rsid w:val="00473A38"/>
    <w:rsid w:val="00473A67"/>
    <w:rsid w:val="00473A6B"/>
    <w:rsid w:val="00473AA5"/>
    <w:rsid w:val="00473B3B"/>
    <w:rsid w:val="00473B73"/>
    <w:rsid w:val="00473BFC"/>
    <w:rsid w:val="00473CD0"/>
    <w:rsid w:val="00473CEA"/>
    <w:rsid w:val="00473DE1"/>
    <w:rsid w:val="00473E36"/>
    <w:rsid w:val="00473F4A"/>
    <w:rsid w:val="00474064"/>
    <w:rsid w:val="004740F9"/>
    <w:rsid w:val="0047410E"/>
    <w:rsid w:val="0047413A"/>
    <w:rsid w:val="004741CB"/>
    <w:rsid w:val="00474284"/>
    <w:rsid w:val="004742A0"/>
    <w:rsid w:val="004742D3"/>
    <w:rsid w:val="004742F5"/>
    <w:rsid w:val="00474346"/>
    <w:rsid w:val="0047436F"/>
    <w:rsid w:val="004743B2"/>
    <w:rsid w:val="004743F9"/>
    <w:rsid w:val="00474468"/>
    <w:rsid w:val="0047448A"/>
    <w:rsid w:val="004744F8"/>
    <w:rsid w:val="00474604"/>
    <w:rsid w:val="00474655"/>
    <w:rsid w:val="00474680"/>
    <w:rsid w:val="004746C6"/>
    <w:rsid w:val="004747ED"/>
    <w:rsid w:val="0047483B"/>
    <w:rsid w:val="004748AC"/>
    <w:rsid w:val="004748DB"/>
    <w:rsid w:val="00474933"/>
    <w:rsid w:val="00474983"/>
    <w:rsid w:val="004749CE"/>
    <w:rsid w:val="00474A04"/>
    <w:rsid w:val="00474AEC"/>
    <w:rsid w:val="00474AFC"/>
    <w:rsid w:val="00474B32"/>
    <w:rsid w:val="00474C06"/>
    <w:rsid w:val="00474C43"/>
    <w:rsid w:val="00474C58"/>
    <w:rsid w:val="00474D11"/>
    <w:rsid w:val="00474D4B"/>
    <w:rsid w:val="00474DF8"/>
    <w:rsid w:val="00474E29"/>
    <w:rsid w:val="00474EB4"/>
    <w:rsid w:val="00474EE1"/>
    <w:rsid w:val="00474EED"/>
    <w:rsid w:val="00474F57"/>
    <w:rsid w:val="00474F6D"/>
    <w:rsid w:val="0047502D"/>
    <w:rsid w:val="004750C9"/>
    <w:rsid w:val="00475104"/>
    <w:rsid w:val="00475175"/>
    <w:rsid w:val="0047518A"/>
    <w:rsid w:val="00475259"/>
    <w:rsid w:val="0047529E"/>
    <w:rsid w:val="00475333"/>
    <w:rsid w:val="004753CB"/>
    <w:rsid w:val="004753D9"/>
    <w:rsid w:val="00475459"/>
    <w:rsid w:val="004754CE"/>
    <w:rsid w:val="004755B9"/>
    <w:rsid w:val="004755D6"/>
    <w:rsid w:val="00475612"/>
    <w:rsid w:val="00475631"/>
    <w:rsid w:val="00475638"/>
    <w:rsid w:val="00475665"/>
    <w:rsid w:val="00475676"/>
    <w:rsid w:val="004756BF"/>
    <w:rsid w:val="00475700"/>
    <w:rsid w:val="00475725"/>
    <w:rsid w:val="00475728"/>
    <w:rsid w:val="00475785"/>
    <w:rsid w:val="004757B6"/>
    <w:rsid w:val="0047587F"/>
    <w:rsid w:val="00475892"/>
    <w:rsid w:val="0047589A"/>
    <w:rsid w:val="004758C1"/>
    <w:rsid w:val="004758E2"/>
    <w:rsid w:val="004758F6"/>
    <w:rsid w:val="004759DB"/>
    <w:rsid w:val="00475A5D"/>
    <w:rsid w:val="00475A7B"/>
    <w:rsid w:val="00475AE6"/>
    <w:rsid w:val="00475BD4"/>
    <w:rsid w:val="00475C88"/>
    <w:rsid w:val="00475C89"/>
    <w:rsid w:val="00475D6D"/>
    <w:rsid w:val="00475E4A"/>
    <w:rsid w:val="00475E77"/>
    <w:rsid w:val="00475EA5"/>
    <w:rsid w:val="00475ED3"/>
    <w:rsid w:val="00475F3F"/>
    <w:rsid w:val="00475F66"/>
    <w:rsid w:val="00475F6D"/>
    <w:rsid w:val="00475FAD"/>
    <w:rsid w:val="00475FD1"/>
    <w:rsid w:val="00475FF5"/>
    <w:rsid w:val="00475FF8"/>
    <w:rsid w:val="00476095"/>
    <w:rsid w:val="004760EB"/>
    <w:rsid w:val="00476136"/>
    <w:rsid w:val="00476214"/>
    <w:rsid w:val="0047624F"/>
    <w:rsid w:val="00476258"/>
    <w:rsid w:val="00476262"/>
    <w:rsid w:val="00476381"/>
    <w:rsid w:val="0047641A"/>
    <w:rsid w:val="0047650E"/>
    <w:rsid w:val="00476585"/>
    <w:rsid w:val="004766BB"/>
    <w:rsid w:val="0047671A"/>
    <w:rsid w:val="00476741"/>
    <w:rsid w:val="00476766"/>
    <w:rsid w:val="00476775"/>
    <w:rsid w:val="00476781"/>
    <w:rsid w:val="004767C2"/>
    <w:rsid w:val="0047687B"/>
    <w:rsid w:val="004768B4"/>
    <w:rsid w:val="0047697F"/>
    <w:rsid w:val="004769EE"/>
    <w:rsid w:val="004769FC"/>
    <w:rsid w:val="00476A56"/>
    <w:rsid w:val="00476B8D"/>
    <w:rsid w:val="00476C2F"/>
    <w:rsid w:val="00476C4F"/>
    <w:rsid w:val="00476C90"/>
    <w:rsid w:val="00476D97"/>
    <w:rsid w:val="00476DDA"/>
    <w:rsid w:val="00476EAB"/>
    <w:rsid w:val="00476EC7"/>
    <w:rsid w:val="00476EDC"/>
    <w:rsid w:val="00476F74"/>
    <w:rsid w:val="00476FAE"/>
    <w:rsid w:val="00476FBD"/>
    <w:rsid w:val="00477061"/>
    <w:rsid w:val="0047709C"/>
    <w:rsid w:val="004770A7"/>
    <w:rsid w:val="00477152"/>
    <w:rsid w:val="00477238"/>
    <w:rsid w:val="00477261"/>
    <w:rsid w:val="00477276"/>
    <w:rsid w:val="0047731F"/>
    <w:rsid w:val="00477324"/>
    <w:rsid w:val="00477325"/>
    <w:rsid w:val="0047734B"/>
    <w:rsid w:val="00477430"/>
    <w:rsid w:val="00477472"/>
    <w:rsid w:val="00477500"/>
    <w:rsid w:val="00477530"/>
    <w:rsid w:val="0047753D"/>
    <w:rsid w:val="00477547"/>
    <w:rsid w:val="004775DA"/>
    <w:rsid w:val="004775FF"/>
    <w:rsid w:val="00477622"/>
    <w:rsid w:val="00477677"/>
    <w:rsid w:val="00477697"/>
    <w:rsid w:val="00477729"/>
    <w:rsid w:val="00477778"/>
    <w:rsid w:val="004777A2"/>
    <w:rsid w:val="004777A6"/>
    <w:rsid w:val="004777CD"/>
    <w:rsid w:val="004777F3"/>
    <w:rsid w:val="00477803"/>
    <w:rsid w:val="004778A0"/>
    <w:rsid w:val="004778FC"/>
    <w:rsid w:val="0047791A"/>
    <w:rsid w:val="00477934"/>
    <w:rsid w:val="00477979"/>
    <w:rsid w:val="00477989"/>
    <w:rsid w:val="00477A44"/>
    <w:rsid w:val="00477ACA"/>
    <w:rsid w:val="00477AE7"/>
    <w:rsid w:val="00477C03"/>
    <w:rsid w:val="00477C2C"/>
    <w:rsid w:val="00477E05"/>
    <w:rsid w:val="00477E29"/>
    <w:rsid w:val="00477EDB"/>
    <w:rsid w:val="00477EF2"/>
    <w:rsid w:val="00477EF4"/>
    <w:rsid w:val="00477F4C"/>
    <w:rsid w:val="00477FC3"/>
    <w:rsid w:val="00480265"/>
    <w:rsid w:val="004802C1"/>
    <w:rsid w:val="00480333"/>
    <w:rsid w:val="0048036F"/>
    <w:rsid w:val="00480427"/>
    <w:rsid w:val="004804A5"/>
    <w:rsid w:val="004804A6"/>
    <w:rsid w:val="00480581"/>
    <w:rsid w:val="004805B7"/>
    <w:rsid w:val="004806F8"/>
    <w:rsid w:val="00480720"/>
    <w:rsid w:val="0048076D"/>
    <w:rsid w:val="004807A6"/>
    <w:rsid w:val="004807FA"/>
    <w:rsid w:val="004808E7"/>
    <w:rsid w:val="004808EC"/>
    <w:rsid w:val="0048090D"/>
    <w:rsid w:val="00480938"/>
    <w:rsid w:val="00480962"/>
    <w:rsid w:val="004809A2"/>
    <w:rsid w:val="00480A3B"/>
    <w:rsid w:val="00480A4A"/>
    <w:rsid w:val="00480A5E"/>
    <w:rsid w:val="00480AF1"/>
    <w:rsid w:val="00480B6F"/>
    <w:rsid w:val="00480C56"/>
    <w:rsid w:val="00480C9C"/>
    <w:rsid w:val="00480CAC"/>
    <w:rsid w:val="00480CCA"/>
    <w:rsid w:val="00480CD9"/>
    <w:rsid w:val="00480DB9"/>
    <w:rsid w:val="00480DC9"/>
    <w:rsid w:val="00480E07"/>
    <w:rsid w:val="00480E22"/>
    <w:rsid w:val="00480F05"/>
    <w:rsid w:val="00480F34"/>
    <w:rsid w:val="00480F3A"/>
    <w:rsid w:val="00480FCF"/>
    <w:rsid w:val="00480FF2"/>
    <w:rsid w:val="0048106D"/>
    <w:rsid w:val="00481078"/>
    <w:rsid w:val="00481123"/>
    <w:rsid w:val="0048115A"/>
    <w:rsid w:val="0048119D"/>
    <w:rsid w:val="004811AF"/>
    <w:rsid w:val="00481274"/>
    <w:rsid w:val="004812D4"/>
    <w:rsid w:val="00481318"/>
    <w:rsid w:val="00481330"/>
    <w:rsid w:val="004813BC"/>
    <w:rsid w:val="004813D6"/>
    <w:rsid w:val="004813F7"/>
    <w:rsid w:val="0048140D"/>
    <w:rsid w:val="0048141A"/>
    <w:rsid w:val="0048145E"/>
    <w:rsid w:val="00481472"/>
    <w:rsid w:val="004814FC"/>
    <w:rsid w:val="00481504"/>
    <w:rsid w:val="004815E4"/>
    <w:rsid w:val="00481667"/>
    <w:rsid w:val="00481699"/>
    <w:rsid w:val="00481775"/>
    <w:rsid w:val="004817A8"/>
    <w:rsid w:val="004817A9"/>
    <w:rsid w:val="004817E9"/>
    <w:rsid w:val="0048180B"/>
    <w:rsid w:val="00481890"/>
    <w:rsid w:val="00481963"/>
    <w:rsid w:val="00481969"/>
    <w:rsid w:val="00481A15"/>
    <w:rsid w:val="00481B16"/>
    <w:rsid w:val="00481B67"/>
    <w:rsid w:val="00481BEC"/>
    <w:rsid w:val="00481C05"/>
    <w:rsid w:val="00481C24"/>
    <w:rsid w:val="00481C5E"/>
    <w:rsid w:val="00481C7C"/>
    <w:rsid w:val="00481CFE"/>
    <w:rsid w:val="00481D5F"/>
    <w:rsid w:val="00481D6E"/>
    <w:rsid w:val="00481DB1"/>
    <w:rsid w:val="00481E63"/>
    <w:rsid w:val="00481EE3"/>
    <w:rsid w:val="00481F32"/>
    <w:rsid w:val="00481F84"/>
    <w:rsid w:val="00481F89"/>
    <w:rsid w:val="00481FD5"/>
    <w:rsid w:val="00482004"/>
    <w:rsid w:val="00482140"/>
    <w:rsid w:val="004821E6"/>
    <w:rsid w:val="0048221B"/>
    <w:rsid w:val="00482265"/>
    <w:rsid w:val="00482399"/>
    <w:rsid w:val="00482442"/>
    <w:rsid w:val="00482453"/>
    <w:rsid w:val="00482466"/>
    <w:rsid w:val="004824B3"/>
    <w:rsid w:val="00482644"/>
    <w:rsid w:val="0048264E"/>
    <w:rsid w:val="0048265C"/>
    <w:rsid w:val="0048279D"/>
    <w:rsid w:val="004827BD"/>
    <w:rsid w:val="004827FF"/>
    <w:rsid w:val="00482868"/>
    <w:rsid w:val="004828F2"/>
    <w:rsid w:val="00482937"/>
    <w:rsid w:val="00482992"/>
    <w:rsid w:val="004829D7"/>
    <w:rsid w:val="00482A61"/>
    <w:rsid w:val="00482AD7"/>
    <w:rsid w:val="00482AF9"/>
    <w:rsid w:val="00482B31"/>
    <w:rsid w:val="00482B70"/>
    <w:rsid w:val="00482B95"/>
    <w:rsid w:val="00482BA2"/>
    <w:rsid w:val="00482BC0"/>
    <w:rsid w:val="00482C9B"/>
    <w:rsid w:val="00482D0D"/>
    <w:rsid w:val="00482D2A"/>
    <w:rsid w:val="00482D61"/>
    <w:rsid w:val="00482DCC"/>
    <w:rsid w:val="00482DD7"/>
    <w:rsid w:val="00482E26"/>
    <w:rsid w:val="00482E8D"/>
    <w:rsid w:val="00482EB3"/>
    <w:rsid w:val="00482F78"/>
    <w:rsid w:val="004830AD"/>
    <w:rsid w:val="004830C3"/>
    <w:rsid w:val="0048310E"/>
    <w:rsid w:val="0048312D"/>
    <w:rsid w:val="0048313F"/>
    <w:rsid w:val="0048319D"/>
    <w:rsid w:val="004832A3"/>
    <w:rsid w:val="00483314"/>
    <w:rsid w:val="004833F3"/>
    <w:rsid w:val="004833F5"/>
    <w:rsid w:val="00483468"/>
    <w:rsid w:val="0048348C"/>
    <w:rsid w:val="00483506"/>
    <w:rsid w:val="0048352F"/>
    <w:rsid w:val="00483573"/>
    <w:rsid w:val="00483626"/>
    <w:rsid w:val="004836BE"/>
    <w:rsid w:val="004836D3"/>
    <w:rsid w:val="004837CC"/>
    <w:rsid w:val="00483842"/>
    <w:rsid w:val="00483855"/>
    <w:rsid w:val="004838D4"/>
    <w:rsid w:val="004838E4"/>
    <w:rsid w:val="0048393B"/>
    <w:rsid w:val="004839F1"/>
    <w:rsid w:val="00483A70"/>
    <w:rsid w:val="00483AAE"/>
    <w:rsid w:val="00483ACF"/>
    <w:rsid w:val="00483B63"/>
    <w:rsid w:val="00483B6A"/>
    <w:rsid w:val="00483B7A"/>
    <w:rsid w:val="00483BDF"/>
    <w:rsid w:val="00483C9A"/>
    <w:rsid w:val="00483CC3"/>
    <w:rsid w:val="00483CC6"/>
    <w:rsid w:val="00483CDE"/>
    <w:rsid w:val="00483CE4"/>
    <w:rsid w:val="00483D0C"/>
    <w:rsid w:val="00483D5F"/>
    <w:rsid w:val="00483DA1"/>
    <w:rsid w:val="00483E45"/>
    <w:rsid w:val="00483E64"/>
    <w:rsid w:val="00483E80"/>
    <w:rsid w:val="00483E82"/>
    <w:rsid w:val="00483EA3"/>
    <w:rsid w:val="00483ECC"/>
    <w:rsid w:val="00483EDC"/>
    <w:rsid w:val="00483F4F"/>
    <w:rsid w:val="00483F8A"/>
    <w:rsid w:val="00483FC7"/>
    <w:rsid w:val="00484022"/>
    <w:rsid w:val="00484032"/>
    <w:rsid w:val="0048408D"/>
    <w:rsid w:val="00484123"/>
    <w:rsid w:val="0048412D"/>
    <w:rsid w:val="00484171"/>
    <w:rsid w:val="00484314"/>
    <w:rsid w:val="0048433B"/>
    <w:rsid w:val="00484357"/>
    <w:rsid w:val="00484393"/>
    <w:rsid w:val="0048443A"/>
    <w:rsid w:val="00484440"/>
    <w:rsid w:val="00484501"/>
    <w:rsid w:val="0048452D"/>
    <w:rsid w:val="0048457D"/>
    <w:rsid w:val="00484580"/>
    <w:rsid w:val="00484660"/>
    <w:rsid w:val="004846DE"/>
    <w:rsid w:val="004846E9"/>
    <w:rsid w:val="00484773"/>
    <w:rsid w:val="004847FA"/>
    <w:rsid w:val="00484842"/>
    <w:rsid w:val="00484848"/>
    <w:rsid w:val="0048491F"/>
    <w:rsid w:val="00484939"/>
    <w:rsid w:val="00484949"/>
    <w:rsid w:val="00484AC6"/>
    <w:rsid w:val="00484B2A"/>
    <w:rsid w:val="00484B42"/>
    <w:rsid w:val="00484B5A"/>
    <w:rsid w:val="00484B97"/>
    <w:rsid w:val="00484BB8"/>
    <w:rsid w:val="00484BE7"/>
    <w:rsid w:val="00484C48"/>
    <w:rsid w:val="00484CF8"/>
    <w:rsid w:val="00484D6B"/>
    <w:rsid w:val="00484DEC"/>
    <w:rsid w:val="00484E30"/>
    <w:rsid w:val="00484E95"/>
    <w:rsid w:val="00484EC2"/>
    <w:rsid w:val="00485046"/>
    <w:rsid w:val="00485085"/>
    <w:rsid w:val="00485101"/>
    <w:rsid w:val="00485105"/>
    <w:rsid w:val="0048516A"/>
    <w:rsid w:val="004851FE"/>
    <w:rsid w:val="00485282"/>
    <w:rsid w:val="004852B1"/>
    <w:rsid w:val="004852BD"/>
    <w:rsid w:val="0048531E"/>
    <w:rsid w:val="0048545E"/>
    <w:rsid w:val="0048548D"/>
    <w:rsid w:val="00485490"/>
    <w:rsid w:val="00485515"/>
    <w:rsid w:val="004855EB"/>
    <w:rsid w:val="0048560E"/>
    <w:rsid w:val="0048562B"/>
    <w:rsid w:val="00485638"/>
    <w:rsid w:val="00485692"/>
    <w:rsid w:val="00485698"/>
    <w:rsid w:val="004857D2"/>
    <w:rsid w:val="004857D3"/>
    <w:rsid w:val="00485816"/>
    <w:rsid w:val="004859C1"/>
    <w:rsid w:val="00485A4A"/>
    <w:rsid w:val="00485AFD"/>
    <w:rsid w:val="00485B17"/>
    <w:rsid w:val="00485B8A"/>
    <w:rsid w:val="00485BBD"/>
    <w:rsid w:val="00485CAA"/>
    <w:rsid w:val="00485D60"/>
    <w:rsid w:val="00485D70"/>
    <w:rsid w:val="00485DA0"/>
    <w:rsid w:val="00485E8E"/>
    <w:rsid w:val="00485ECB"/>
    <w:rsid w:val="00485ED1"/>
    <w:rsid w:val="00485EFF"/>
    <w:rsid w:val="00485F48"/>
    <w:rsid w:val="00486099"/>
    <w:rsid w:val="004860A5"/>
    <w:rsid w:val="004861A6"/>
    <w:rsid w:val="004861B3"/>
    <w:rsid w:val="00486290"/>
    <w:rsid w:val="004862BA"/>
    <w:rsid w:val="004862F2"/>
    <w:rsid w:val="00486349"/>
    <w:rsid w:val="00486374"/>
    <w:rsid w:val="004863A6"/>
    <w:rsid w:val="004863D8"/>
    <w:rsid w:val="004863E9"/>
    <w:rsid w:val="00486429"/>
    <w:rsid w:val="00486431"/>
    <w:rsid w:val="00486519"/>
    <w:rsid w:val="0048653E"/>
    <w:rsid w:val="0048657E"/>
    <w:rsid w:val="004865C6"/>
    <w:rsid w:val="004865DA"/>
    <w:rsid w:val="004866AD"/>
    <w:rsid w:val="004866BB"/>
    <w:rsid w:val="004866C3"/>
    <w:rsid w:val="00486713"/>
    <w:rsid w:val="00486743"/>
    <w:rsid w:val="0048675A"/>
    <w:rsid w:val="004867C5"/>
    <w:rsid w:val="0048680B"/>
    <w:rsid w:val="0048680E"/>
    <w:rsid w:val="00486814"/>
    <w:rsid w:val="00486827"/>
    <w:rsid w:val="00486A07"/>
    <w:rsid w:val="00486A45"/>
    <w:rsid w:val="00486B2F"/>
    <w:rsid w:val="00486B77"/>
    <w:rsid w:val="00486B82"/>
    <w:rsid w:val="00486BCD"/>
    <w:rsid w:val="00486BD8"/>
    <w:rsid w:val="00486C1D"/>
    <w:rsid w:val="00486C37"/>
    <w:rsid w:val="00486CB4"/>
    <w:rsid w:val="00486D33"/>
    <w:rsid w:val="00486DAF"/>
    <w:rsid w:val="00486E09"/>
    <w:rsid w:val="00486E4F"/>
    <w:rsid w:val="00486EE1"/>
    <w:rsid w:val="00486F06"/>
    <w:rsid w:val="00486F2A"/>
    <w:rsid w:val="00486F9F"/>
    <w:rsid w:val="00486FE9"/>
    <w:rsid w:val="00486FEB"/>
    <w:rsid w:val="00487145"/>
    <w:rsid w:val="004871A5"/>
    <w:rsid w:val="004871E6"/>
    <w:rsid w:val="00487209"/>
    <w:rsid w:val="0048721B"/>
    <w:rsid w:val="0048724B"/>
    <w:rsid w:val="004872A2"/>
    <w:rsid w:val="004872FB"/>
    <w:rsid w:val="004873A1"/>
    <w:rsid w:val="004873A2"/>
    <w:rsid w:val="00487444"/>
    <w:rsid w:val="004874B0"/>
    <w:rsid w:val="004874DC"/>
    <w:rsid w:val="00487501"/>
    <w:rsid w:val="0048751F"/>
    <w:rsid w:val="004875FA"/>
    <w:rsid w:val="00487661"/>
    <w:rsid w:val="004876E3"/>
    <w:rsid w:val="00487752"/>
    <w:rsid w:val="00487773"/>
    <w:rsid w:val="004877E4"/>
    <w:rsid w:val="004877E5"/>
    <w:rsid w:val="004878C4"/>
    <w:rsid w:val="004878F1"/>
    <w:rsid w:val="0048792D"/>
    <w:rsid w:val="0048796A"/>
    <w:rsid w:val="0048796B"/>
    <w:rsid w:val="004879BF"/>
    <w:rsid w:val="004879D0"/>
    <w:rsid w:val="00487A41"/>
    <w:rsid w:val="00487A6B"/>
    <w:rsid w:val="00487A86"/>
    <w:rsid w:val="00487B23"/>
    <w:rsid w:val="00487B32"/>
    <w:rsid w:val="00487B62"/>
    <w:rsid w:val="00487B68"/>
    <w:rsid w:val="00487BE5"/>
    <w:rsid w:val="00487CBD"/>
    <w:rsid w:val="00487CDB"/>
    <w:rsid w:val="00487CDE"/>
    <w:rsid w:val="00487CF0"/>
    <w:rsid w:val="00487D18"/>
    <w:rsid w:val="00487D79"/>
    <w:rsid w:val="00487E13"/>
    <w:rsid w:val="00487E42"/>
    <w:rsid w:val="00487ED1"/>
    <w:rsid w:val="00487FE7"/>
    <w:rsid w:val="00490037"/>
    <w:rsid w:val="00490084"/>
    <w:rsid w:val="004900A5"/>
    <w:rsid w:val="004900ED"/>
    <w:rsid w:val="004900FA"/>
    <w:rsid w:val="00490129"/>
    <w:rsid w:val="00490199"/>
    <w:rsid w:val="0049019C"/>
    <w:rsid w:val="004901A5"/>
    <w:rsid w:val="004901B9"/>
    <w:rsid w:val="00490282"/>
    <w:rsid w:val="004902A3"/>
    <w:rsid w:val="004902D3"/>
    <w:rsid w:val="00490300"/>
    <w:rsid w:val="0049041F"/>
    <w:rsid w:val="00490443"/>
    <w:rsid w:val="00490548"/>
    <w:rsid w:val="004905B3"/>
    <w:rsid w:val="004905F0"/>
    <w:rsid w:val="004906AC"/>
    <w:rsid w:val="004906AF"/>
    <w:rsid w:val="004906BB"/>
    <w:rsid w:val="0049078B"/>
    <w:rsid w:val="00490799"/>
    <w:rsid w:val="004907D9"/>
    <w:rsid w:val="00490812"/>
    <w:rsid w:val="00490828"/>
    <w:rsid w:val="0049087A"/>
    <w:rsid w:val="0049092D"/>
    <w:rsid w:val="00490974"/>
    <w:rsid w:val="004909CD"/>
    <w:rsid w:val="00490A0B"/>
    <w:rsid w:val="00490A88"/>
    <w:rsid w:val="00490A92"/>
    <w:rsid w:val="00490AB3"/>
    <w:rsid w:val="00490ADD"/>
    <w:rsid w:val="00490BB8"/>
    <w:rsid w:val="00490CB0"/>
    <w:rsid w:val="00490CC5"/>
    <w:rsid w:val="00490D01"/>
    <w:rsid w:val="00490D7D"/>
    <w:rsid w:val="00490DF5"/>
    <w:rsid w:val="00490E04"/>
    <w:rsid w:val="00490E06"/>
    <w:rsid w:val="00490E3E"/>
    <w:rsid w:val="00490FC4"/>
    <w:rsid w:val="004910BC"/>
    <w:rsid w:val="0049120A"/>
    <w:rsid w:val="0049126F"/>
    <w:rsid w:val="0049129D"/>
    <w:rsid w:val="004912A0"/>
    <w:rsid w:val="004912EB"/>
    <w:rsid w:val="0049130A"/>
    <w:rsid w:val="004913AB"/>
    <w:rsid w:val="0049143F"/>
    <w:rsid w:val="00491448"/>
    <w:rsid w:val="00491476"/>
    <w:rsid w:val="004914A7"/>
    <w:rsid w:val="0049153C"/>
    <w:rsid w:val="0049154C"/>
    <w:rsid w:val="004915AF"/>
    <w:rsid w:val="004915E6"/>
    <w:rsid w:val="00491620"/>
    <w:rsid w:val="0049165C"/>
    <w:rsid w:val="0049166B"/>
    <w:rsid w:val="00491699"/>
    <w:rsid w:val="004916D0"/>
    <w:rsid w:val="0049171B"/>
    <w:rsid w:val="0049175C"/>
    <w:rsid w:val="00491818"/>
    <w:rsid w:val="00491826"/>
    <w:rsid w:val="00491885"/>
    <w:rsid w:val="00491887"/>
    <w:rsid w:val="004918F1"/>
    <w:rsid w:val="0049190C"/>
    <w:rsid w:val="00491925"/>
    <w:rsid w:val="004919E2"/>
    <w:rsid w:val="00491A7E"/>
    <w:rsid w:val="00491A8D"/>
    <w:rsid w:val="00491A97"/>
    <w:rsid w:val="00491B11"/>
    <w:rsid w:val="00491B76"/>
    <w:rsid w:val="00491BA0"/>
    <w:rsid w:val="00491C08"/>
    <w:rsid w:val="00491C0A"/>
    <w:rsid w:val="00491C1D"/>
    <w:rsid w:val="00491C40"/>
    <w:rsid w:val="00491D59"/>
    <w:rsid w:val="00491E09"/>
    <w:rsid w:val="00491E22"/>
    <w:rsid w:val="00491E36"/>
    <w:rsid w:val="00491E38"/>
    <w:rsid w:val="00491E86"/>
    <w:rsid w:val="00491F0D"/>
    <w:rsid w:val="00491F84"/>
    <w:rsid w:val="00492031"/>
    <w:rsid w:val="00492057"/>
    <w:rsid w:val="00492079"/>
    <w:rsid w:val="0049207F"/>
    <w:rsid w:val="0049225A"/>
    <w:rsid w:val="004922BA"/>
    <w:rsid w:val="004922E4"/>
    <w:rsid w:val="004922ED"/>
    <w:rsid w:val="00492310"/>
    <w:rsid w:val="00492333"/>
    <w:rsid w:val="00492334"/>
    <w:rsid w:val="00492338"/>
    <w:rsid w:val="00492368"/>
    <w:rsid w:val="004923FD"/>
    <w:rsid w:val="004926DB"/>
    <w:rsid w:val="00492706"/>
    <w:rsid w:val="00492707"/>
    <w:rsid w:val="0049278B"/>
    <w:rsid w:val="004927B4"/>
    <w:rsid w:val="0049291C"/>
    <w:rsid w:val="0049291E"/>
    <w:rsid w:val="00492976"/>
    <w:rsid w:val="004929A1"/>
    <w:rsid w:val="004929FA"/>
    <w:rsid w:val="00492A91"/>
    <w:rsid w:val="00492A9D"/>
    <w:rsid w:val="00492B89"/>
    <w:rsid w:val="00492BF0"/>
    <w:rsid w:val="00492CC7"/>
    <w:rsid w:val="00492D9E"/>
    <w:rsid w:val="00492DBB"/>
    <w:rsid w:val="00492DEC"/>
    <w:rsid w:val="00492E4C"/>
    <w:rsid w:val="00492EF3"/>
    <w:rsid w:val="00492F7E"/>
    <w:rsid w:val="00492F90"/>
    <w:rsid w:val="00492FA0"/>
    <w:rsid w:val="00492FCD"/>
    <w:rsid w:val="00493081"/>
    <w:rsid w:val="00493095"/>
    <w:rsid w:val="004931A9"/>
    <w:rsid w:val="00493297"/>
    <w:rsid w:val="00493302"/>
    <w:rsid w:val="0049331D"/>
    <w:rsid w:val="00493399"/>
    <w:rsid w:val="004933C2"/>
    <w:rsid w:val="0049348E"/>
    <w:rsid w:val="004934D1"/>
    <w:rsid w:val="00493583"/>
    <w:rsid w:val="004935B0"/>
    <w:rsid w:val="004935EA"/>
    <w:rsid w:val="004935EC"/>
    <w:rsid w:val="0049360F"/>
    <w:rsid w:val="0049368E"/>
    <w:rsid w:val="0049377D"/>
    <w:rsid w:val="004937AF"/>
    <w:rsid w:val="004937B9"/>
    <w:rsid w:val="00493830"/>
    <w:rsid w:val="004938B6"/>
    <w:rsid w:val="004938E0"/>
    <w:rsid w:val="004938E1"/>
    <w:rsid w:val="004938E9"/>
    <w:rsid w:val="004938FF"/>
    <w:rsid w:val="00493914"/>
    <w:rsid w:val="00493A3E"/>
    <w:rsid w:val="00493AAF"/>
    <w:rsid w:val="00493AEF"/>
    <w:rsid w:val="00493B09"/>
    <w:rsid w:val="00493B6A"/>
    <w:rsid w:val="00493BBD"/>
    <w:rsid w:val="00493BE5"/>
    <w:rsid w:val="00493C24"/>
    <w:rsid w:val="00493C35"/>
    <w:rsid w:val="00493C36"/>
    <w:rsid w:val="00493CDD"/>
    <w:rsid w:val="00493D34"/>
    <w:rsid w:val="00493D74"/>
    <w:rsid w:val="00493DEA"/>
    <w:rsid w:val="00493E39"/>
    <w:rsid w:val="00493EE2"/>
    <w:rsid w:val="00493F54"/>
    <w:rsid w:val="00493FAF"/>
    <w:rsid w:val="00493FDD"/>
    <w:rsid w:val="00494047"/>
    <w:rsid w:val="0049418D"/>
    <w:rsid w:val="0049419C"/>
    <w:rsid w:val="004941AE"/>
    <w:rsid w:val="00494232"/>
    <w:rsid w:val="0049423D"/>
    <w:rsid w:val="00494266"/>
    <w:rsid w:val="0049430F"/>
    <w:rsid w:val="00494315"/>
    <w:rsid w:val="00494392"/>
    <w:rsid w:val="004944D2"/>
    <w:rsid w:val="00494520"/>
    <w:rsid w:val="004945E1"/>
    <w:rsid w:val="00494692"/>
    <w:rsid w:val="004946DA"/>
    <w:rsid w:val="004946DE"/>
    <w:rsid w:val="004946E3"/>
    <w:rsid w:val="004946EB"/>
    <w:rsid w:val="0049478D"/>
    <w:rsid w:val="00494828"/>
    <w:rsid w:val="0049485C"/>
    <w:rsid w:val="0049485F"/>
    <w:rsid w:val="0049487F"/>
    <w:rsid w:val="00494894"/>
    <w:rsid w:val="004948B2"/>
    <w:rsid w:val="004948CE"/>
    <w:rsid w:val="0049494D"/>
    <w:rsid w:val="0049498C"/>
    <w:rsid w:val="004949BE"/>
    <w:rsid w:val="00494A2D"/>
    <w:rsid w:val="00494B70"/>
    <w:rsid w:val="00494BBC"/>
    <w:rsid w:val="00494BFD"/>
    <w:rsid w:val="00494C04"/>
    <w:rsid w:val="00494C0B"/>
    <w:rsid w:val="00494CCD"/>
    <w:rsid w:val="00494D08"/>
    <w:rsid w:val="00494D24"/>
    <w:rsid w:val="00494D4B"/>
    <w:rsid w:val="00494D92"/>
    <w:rsid w:val="00494EFE"/>
    <w:rsid w:val="00494F23"/>
    <w:rsid w:val="00494F78"/>
    <w:rsid w:val="00494FC1"/>
    <w:rsid w:val="00494FDE"/>
    <w:rsid w:val="00495108"/>
    <w:rsid w:val="004951B8"/>
    <w:rsid w:val="004951C9"/>
    <w:rsid w:val="00495205"/>
    <w:rsid w:val="0049520A"/>
    <w:rsid w:val="00495287"/>
    <w:rsid w:val="004953F9"/>
    <w:rsid w:val="00495570"/>
    <w:rsid w:val="004955B8"/>
    <w:rsid w:val="004955F0"/>
    <w:rsid w:val="004955FE"/>
    <w:rsid w:val="00495628"/>
    <w:rsid w:val="004956E2"/>
    <w:rsid w:val="004956E9"/>
    <w:rsid w:val="004956F9"/>
    <w:rsid w:val="00495732"/>
    <w:rsid w:val="0049579B"/>
    <w:rsid w:val="004957A0"/>
    <w:rsid w:val="004957D4"/>
    <w:rsid w:val="004957E7"/>
    <w:rsid w:val="00495806"/>
    <w:rsid w:val="00495813"/>
    <w:rsid w:val="00495877"/>
    <w:rsid w:val="00495893"/>
    <w:rsid w:val="004958B9"/>
    <w:rsid w:val="00495908"/>
    <w:rsid w:val="0049591A"/>
    <w:rsid w:val="0049594D"/>
    <w:rsid w:val="0049595C"/>
    <w:rsid w:val="00495A73"/>
    <w:rsid w:val="00495B5F"/>
    <w:rsid w:val="00495B9A"/>
    <w:rsid w:val="00495CBA"/>
    <w:rsid w:val="00495D46"/>
    <w:rsid w:val="00495D51"/>
    <w:rsid w:val="00495DBF"/>
    <w:rsid w:val="00495DF3"/>
    <w:rsid w:val="00495E7C"/>
    <w:rsid w:val="00495F77"/>
    <w:rsid w:val="00495FA8"/>
    <w:rsid w:val="00495FB6"/>
    <w:rsid w:val="00495FB7"/>
    <w:rsid w:val="00496086"/>
    <w:rsid w:val="004960EC"/>
    <w:rsid w:val="00496223"/>
    <w:rsid w:val="00496248"/>
    <w:rsid w:val="00496291"/>
    <w:rsid w:val="00496310"/>
    <w:rsid w:val="00496337"/>
    <w:rsid w:val="004963BA"/>
    <w:rsid w:val="00496748"/>
    <w:rsid w:val="004967EE"/>
    <w:rsid w:val="0049680B"/>
    <w:rsid w:val="00496819"/>
    <w:rsid w:val="00496825"/>
    <w:rsid w:val="0049682B"/>
    <w:rsid w:val="0049684B"/>
    <w:rsid w:val="00496858"/>
    <w:rsid w:val="00496918"/>
    <w:rsid w:val="004969D7"/>
    <w:rsid w:val="00496A0A"/>
    <w:rsid w:val="00496AA6"/>
    <w:rsid w:val="00496B5F"/>
    <w:rsid w:val="00496BB4"/>
    <w:rsid w:val="00496BC4"/>
    <w:rsid w:val="00496BDF"/>
    <w:rsid w:val="00496BE1"/>
    <w:rsid w:val="00496C8B"/>
    <w:rsid w:val="00496CB2"/>
    <w:rsid w:val="00496CD5"/>
    <w:rsid w:val="00496D08"/>
    <w:rsid w:val="00496E46"/>
    <w:rsid w:val="00496E60"/>
    <w:rsid w:val="00496EA8"/>
    <w:rsid w:val="00496EB1"/>
    <w:rsid w:val="00496F30"/>
    <w:rsid w:val="00496F78"/>
    <w:rsid w:val="0049703F"/>
    <w:rsid w:val="004970B1"/>
    <w:rsid w:val="004970C4"/>
    <w:rsid w:val="00497118"/>
    <w:rsid w:val="00497164"/>
    <w:rsid w:val="004971AD"/>
    <w:rsid w:val="004971BB"/>
    <w:rsid w:val="004972D7"/>
    <w:rsid w:val="00497302"/>
    <w:rsid w:val="004973A5"/>
    <w:rsid w:val="004973AF"/>
    <w:rsid w:val="00497441"/>
    <w:rsid w:val="0049746C"/>
    <w:rsid w:val="00497554"/>
    <w:rsid w:val="00497556"/>
    <w:rsid w:val="0049756A"/>
    <w:rsid w:val="004975CF"/>
    <w:rsid w:val="00497693"/>
    <w:rsid w:val="00497698"/>
    <w:rsid w:val="00497708"/>
    <w:rsid w:val="004977D3"/>
    <w:rsid w:val="00497803"/>
    <w:rsid w:val="00497829"/>
    <w:rsid w:val="00497842"/>
    <w:rsid w:val="00497843"/>
    <w:rsid w:val="004978B7"/>
    <w:rsid w:val="0049792B"/>
    <w:rsid w:val="00497A7F"/>
    <w:rsid w:val="00497B02"/>
    <w:rsid w:val="00497B2B"/>
    <w:rsid w:val="00497BFF"/>
    <w:rsid w:val="00497C18"/>
    <w:rsid w:val="00497C57"/>
    <w:rsid w:val="00497C70"/>
    <w:rsid w:val="00497D46"/>
    <w:rsid w:val="00497D76"/>
    <w:rsid w:val="00497DF2"/>
    <w:rsid w:val="00497DF6"/>
    <w:rsid w:val="00497E85"/>
    <w:rsid w:val="00497E8C"/>
    <w:rsid w:val="00497E95"/>
    <w:rsid w:val="00497E9A"/>
    <w:rsid w:val="00497EE9"/>
    <w:rsid w:val="00497EFE"/>
    <w:rsid w:val="00497F3A"/>
    <w:rsid w:val="00497F44"/>
    <w:rsid w:val="00497F5F"/>
    <w:rsid w:val="00497FF7"/>
    <w:rsid w:val="004A003C"/>
    <w:rsid w:val="004A003D"/>
    <w:rsid w:val="004A009A"/>
    <w:rsid w:val="004A0168"/>
    <w:rsid w:val="004A01A4"/>
    <w:rsid w:val="004A0225"/>
    <w:rsid w:val="004A02AC"/>
    <w:rsid w:val="004A02C9"/>
    <w:rsid w:val="004A033C"/>
    <w:rsid w:val="004A0376"/>
    <w:rsid w:val="004A03D1"/>
    <w:rsid w:val="004A0416"/>
    <w:rsid w:val="004A0461"/>
    <w:rsid w:val="004A0468"/>
    <w:rsid w:val="004A0489"/>
    <w:rsid w:val="004A04D2"/>
    <w:rsid w:val="004A054E"/>
    <w:rsid w:val="004A05B2"/>
    <w:rsid w:val="004A061C"/>
    <w:rsid w:val="004A0723"/>
    <w:rsid w:val="004A074E"/>
    <w:rsid w:val="004A0771"/>
    <w:rsid w:val="004A07C6"/>
    <w:rsid w:val="004A07E7"/>
    <w:rsid w:val="004A0932"/>
    <w:rsid w:val="004A0958"/>
    <w:rsid w:val="004A095A"/>
    <w:rsid w:val="004A0A9E"/>
    <w:rsid w:val="004A0AD8"/>
    <w:rsid w:val="004A0B02"/>
    <w:rsid w:val="004A0B4C"/>
    <w:rsid w:val="004A0B58"/>
    <w:rsid w:val="004A0B8E"/>
    <w:rsid w:val="004A0BBF"/>
    <w:rsid w:val="004A0C1B"/>
    <w:rsid w:val="004A0C5B"/>
    <w:rsid w:val="004A0C7B"/>
    <w:rsid w:val="004A0C85"/>
    <w:rsid w:val="004A0C9A"/>
    <w:rsid w:val="004A0CC9"/>
    <w:rsid w:val="004A0D0E"/>
    <w:rsid w:val="004A0D8B"/>
    <w:rsid w:val="004A0F16"/>
    <w:rsid w:val="004A1019"/>
    <w:rsid w:val="004A10BF"/>
    <w:rsid w:val="004A1127"/>
    <w:rsid w:val="004A11AC"/>
    <w:rsid w:val="004A11B4"/>
    <w:rsid w:val="004A1241"/>
    <w:rsid w:val="004A13C4"/>
    <w:rsid w:val="004A145B"/>
    <w:rsid w:val="004A1483"/>
    <w:rsid w:val="004A152F"/>
    <w:rsid w:val="004A1530"/>
    <w:rsid w:val="004A1544"/>
    <w:rsid w:val="004A1547"/>
    <w:rsid w:val="004A157D"/>
    <w:rsid w:val="004A1587"/>
    <w:rsid w:val="004A158D"/>
    <w:rsid w:val="004A15C9"/>
    <w:rsid w:val="004A160C"/>
    <w:rsid w:val="004A16A8"/>
    <w:rsid w:val="004A1707"/>
    <w:rsid w:val="004A177A"/>
    <w:rsid w:val="004A18BD"/>
    <w:rsid w:val="004A18BE"/>
    <w:rsid w:val="004A18D0"/>
    <w:rsid w:val="004A1971"/>
    <w:rsid w:val="004A1AC1"/>
    <w:rsid w:val="004A1B31"/>
    <w:rsid w:val="004A1B32"/>
    <w:rsid w:val="004A1C47"/>
    <w:rsid w:val="004A1CF3"/>
    <w:rsid w:val="004A1D8B"/>
    <w:rsid w:val="004A1DD6"/>
    <w:rsid w:val="004A1E6A"/>
    <w:rsid w:val="004A1F32"/>
    <w:rsid w:val="004A1F6A"/>
    <w:rsid w:val="004A1F85"/>
    <w:rsid w:val="004A1FE0"/>
    <w:rsid w:val="004A1FEA"/>
    <w:rsid w:val="004A2004"/>
    <w:rsid w:val="004A20A5"/>
    <w:rsid w:val="004A20B4"/>
    <w:rsid w:val="004A20D8"/>
    <w:rsid w:val="004A211B"/>
    <w:rsid w:val="004A2144"/>
    <w:rsid w:val="004A2154"/>
    <w:rsid w:val="004A2164"/>
    <w:rsid w:val="004A2294"/>
    <w:rsid w:val="004A22E4"/>
    <w:rsid w:val="004A2445"/>
    <w:rsid w:val="004A24B7"/>
    <w:rsid w:val="004A24BA"/>
    <w:rsid w:val="004A24C6"/>
    <w:rsid w:val="004A24D1"/>
    <w:rsid w:val="004A24F7"/>
    <w:rsid w:val="004A2508"/>
    <w:rsid w:val="004A2532"/>
    <w:rsid w:val="004A2567"/>
    <w:rsid w:val="004A2604"/>
    <w:rsid w:val="004A265C"/>
    <w:rsid w:val="004A2670"/>
    <w:rsid w:val="004A26A7"/>
    <w:rsid w:val="004A26BD"/>
    <w:rsid w:val="004A26E2"/>
    <w:rsid w:val="004A284A"/>
    <w:rsid w:val="004A289B"/>
    <w:rsid w:val="004A28EA"/>
    <w:rsid w:val="004A2901"/>
    <w:rsid w:val="004A29A0"/>
    <w:rsid w:val="004A29DC"/>
    <w:rsid w:val="004A29FB"/>
    <w:rsid w:val="004A2A09"/>
    <w:rsid w:val="004A2A35"/>
    <w:rsid w:val="004A2A70"/>
    <w:rsid w:val="004A2ADA"/>
    <w:rsid w:val="004A2B02"/>
    <w:rsid w:val="004A2B55"/>
    <w:rsid w:val="004A2B79"/>
    <w:rsid w:val="004A2B7A"/>
    <w:rsid w:val="004A2BA2"/>
    <w:rsid w:val="004A2C0C"/>
    <w:rsid w:val="004A2CA2"/>
    <w:rsid w:val="004A2CFB"/>
    <w:rsid w:val="004A2D07"/>
    <w:rsid w:val="004A2D4F"/>
    <w:rsid w:val="004A2D7C"/>
    <w:rsid w:val="004A2D8F"/>
    <w:rsid w:val="004A2D92"/>
    <w:rsid w:val="004A2DC6"/>
    <w:rsid w:val="004A2DCD"/>
    <w:rsid w:val="004A2EBF"/>
    <w:rsid w:val="004A2EED"/>
    <w:rsid w:val="004A2F0B"/>
    <w:rsid w:val="004A3038"/>
    <w:rsid w:val="004A3072"/>
    <w:rsid w:val="004A307C"/>
    <w:rsid w:val="004A30B7"/>
    <w:rsid w:val="004A30D5"/>
    <w:rsid w:val="004A311D"/>
    <w:rsid w:val="004A313C"/>
    <w:rsid w:val="004A3142"/>
    <w:rsid w:val="004A3150"/>
    <w:rsid w:val="004A31C8"/>
    <w:rsid w:val="004A320D"/>
    <w:rsid w:val="004A3213"/>
    <w:rsid w:val="004A3242"/>
    <w:rsid w:val="004A3247"/>
    <w:rsid w:val="004A3263"/>
    <w:rsid w:val="004A3424"/>
    <w:rsid w:val="004A345F"/>
    <w:rsid w:val="004A34F9"/>
    <w:rsid w:val="004A3622"/>
    <w:rsid w:val="004A362A"/>
    <w:rsid w:val="004A366F"/>
    <w:rsid w:val="004A36A9"/>
    <w:rsid w:val="004A3736"/>
    <w:rsid w:val="004A3739"/>
    <w:rsid w:val="004A37DD"/>
    <w:rsid w:val="004A3815"/>
    <w:rsid w:val="004A381B"/>
    <w:rsid w:val="004A38D9"/>
    <w:rsid w:val="004A38DC"/>
    <w:rsid w:val="004A390B"/>
    <w:rsid w:val="004A3971"/>
    <w:rsid w:val="004A3984"/>
    <w:rsid w:val="004A3A15"/>
    <w:rsid w:val="004A3A92"/>
    <w:rsid w:val="004A3AA1"/>
    <w:rsid w:val="004A3BAF"/>
    <w:rsid w:val="004A3C21"/>
    <w:rsid w:val="004A3C35"/>
    <w:rsid w:val="004A3C7A"/>
    <w:rsid w:val="004A3DA3"/>
    <w:rsid w:val="004A3DFA"/>
    <w:rsid w:val="004A3E3B"/>
    <w:rsid w:val="004A3E5A"/>
    <w:rsid w:val="004A3F00"/>
    <w:rsid w:val="004A3F42"/>
    <w:rsid w:val="004A3FEA"/>
    <w:rsid w:val="004A408E"/>
    <w:rsid w:val="004A4098"/>
    <w:rsid w:val="004A40EC"/>
    <w:rsid w:val="004A4172"/>
    <w:rsid w:val="004A41B6"/>
    <w:rsid w:val="004A4220"/>
    <w:rsid w:val="004A4249"/>
    <w:rsid w:val="004A4258"/>
    <w:rsid w:val="004A4282"/>
    <w:rsid w:val="004A4283"/>
    <w:rsid w:val="004A42F6"/>
    <w:rsid w:val="004A434E"/>
    <w:rsid w:val="004A43F2"/>
    <w:rsid w:val="004A4474"/>
    <w:rsid w:val="004A44E8"/>
    <w:rsid w:val="004A44EA"/>
    <w:rsid w:val="004A45B0"/>
    <w:rsid w:val="004A464F"/>
    <w:rsid w:val="004A4687"/>
    <w:rsid w:val="004A46A9"/>
    <w:rsid w:val="004A46C1"/>
    <w:rsid w:val="004A46DB"/>
    <w:rsid w:val="004A4706"/>
    <w:rsid w:val="004A470A"/>
    <w:rsid w:val="004A4713"/>
    <w:rsid w:val="004A4789"/>
    <w:rsid w:val="004A48C5"/>
    <w:rsid w:val="004A498B"/>
    <w:rsid w:val="004A49C1"/>
    <w:rsid w:val="004A49D8"/>
    <w:rsid w:val="004A49F7"/>
    <w:rsid w:val="004A4A48"/>
    <w:rsid w:val="004A4B4A"/>
    <w:rsid w:val="004A4B5D"/>
    <w:rsid w:val="004A4BC8"/>
    <w:rsid w:val="004A4BE8"/>
    <w:rsid w:val="004A4C47"/>
    <w:rsid w:val="004A4D0B"/>
    <w:rsid w:val="004A4DB0"/>
    <w:rsid w:val="004A4DC4"/>
    <w:rsid w:val="004A4DEC"/>
    <w:rsid w:val="004A4E67"/>
    <w:rsid w:val="004A4EA8"/>
    <w:rsid w:val="004A4F3F"/>
    <w:rsid w:val="004A4FD8"/>
    <w:rsid w:val="004A504C"/>
    <w:rsid w:val="004A5092"/>
    <w:rsid w:val="004A50F4"/>
    <w:rsid w:val="004A50FE"/>
    <w:rsid w:val="004A517B"/>
    <w:rsid w:val="004A524A"/>
    <w:rsid w:val="004A53C2"/>
    <w:rsid w:val="004A53F2"/>
    <w:rsid w:val="004A54EA"/>
    <w:rsid w:val="004A5610"/>
    <w:rsid w:val="004A5624"/>
    <w:rsid w:val="004A56DA"/>
    <w:rsid w:val="004A5731"/>
    <w:rsid w:val="004A5828"/>
    <w:rsid w:val="004A583B"/>
    <w:rsid w:val="004A585F"/>
    <w:rsid w:val="004A5958"/>
    <w:rsid w:val="004A59E5"/>
    <w:rsid w:val="004A5A2F"/>
    <w:rsid w:val="004A5ACA"/>
    <w:rsid w:val="004A5B09"/>
    <w:rsid w:val="004A5B18"/>
    <w:rsid w:val="004A5BA3"/>
    <w:rsid w:val="004A5C0A"/>
    <w:rsid w:val="004A5C28"/>
    <w:rsid w:val="004A5C60"/>
    <w:rsid w:val="004A5CED"/>
    <w:rsid w:val="004A5D0B"/>
    <w:rsid w:val="004A5D3F"/>
    <w:rsid w:val="004A5D4F"/>
    <w:rsid w:val="004A5D69"/>
    <w:rsid w:val="004A5E26"/>
    <w:rsid w:val="004A5F27"/>
    <w:rsid w:val="004A5F73"/>
    <w:rsid w:val="004A5FA1"/>
    <w:rsid w:val="004A5FBD"/>
    <w:rsid w:val="004A6046"/>
    <w:rsid w:val="004A6089"/>
    <w:rsid w:val="004A6091"/>
    <w:rsid w:val="004A60AF"/>
    <w:rsid w:val="004A60D0"/>
    <w:rsid w:val="004A61A7"/>
    <w:rsid w:val="004A61E5"/>
    <w:rsid w:val="004A6267"/>
    <w:rsid w:val="004A6315"/>
    <w:rsid w:val="004A6342"/>
    <w:rsid w:val="004A63E1"/>
    <w:rsid w:val="004A6420"/>
    <w:rsid w:val="004A645D"/>
    <w:rsid w:val="004A650C"/>
    <w:rsid w:val="004A6532"/>
    <w:rsid w:val="004A655E"/>
    <w:rsid w:val="004A6622"/>
    <w:rsid w:val="004A6734"/>
    <w:rsid w:val="004A679E"/>
    <w:rsid w:val="004A67CF"/>
    <w:rsid w:val="004A685D"/>
    <w:rsid w:val="004A686A"/>
    <w:rsid w:val="004A6945"/>
    <w:rsid w:val="004A696C"/>
    <w:rsid w:val="004A6A09"/>
    <w:rsid w:val="004A6A4E"/>
    <w:rsid w:val="004A6A5D"/>
    <w:rsid w:val="004A6A87"/>
    <w:rsid w:val="004A6AB0"/>
    <w:rsid w:val="004A6BC6"/>
    <w:rsid w:val="004A6C1F"/>
    <w:rsid w:val="004A6C4D"/>
    <w:rsid w:val="004A6C68"/>
    <w:rsid w:val="004A6CC2"/>
    <w:rsid w:val="004A6D5F"/>
    <w:rsid w:val="004A6D87"/>
    <w:rsid w:val="004A6D8B"/>
    <w:rsid w:val="004A6DB2"/>
    <w:rsid w:val="004A6DD0"/>
    <w:rsid w:val="004A6E44"/>
    <w:rsid w:val="004A6E74"/>
    <w:rsid w:val="004A6F18"/>
    <w:rsid w:val="004A6F1F"/>
    <w:rsid w:val="004A6F5C"/>
    <w:rsid w:val="004A6F7A"/>
    <w:rsid w:val="004A6F8E"/>
    <w:rsid w:val="004A709C"/>
    <w:rsid w:val="004A70F2"/>
    <w:rsid w:val="004A7134"/>
    <w:rsid w:val="004A713E"/>
    <w:rsid w:val="004A71AF"/>
    <w:rsid w:val="004A71E9"/>
    <w:rsid w:val="004A7210"/>
    <w:rsid w:val="004A7271"/>
    <w:rsid w:val="004A7290"/>
    <w:rsid w:val="004A72B0"/>
    <w:rsid w:val="004A7398"/>
    <w:rsid w:val="004A73B4"/>
    <w:rsid w:val="004A73C0"/>
    <w:rsid w:val="004A73C2"/>
    <w:rsid w:val="004A7453"/>
    <w:rsid w:val="004A7467"/>
    <w:rsid w:val="004A747D"/>
    <w:rsid w:val="004A7489"/>
    <w:rsid w:val="004A74E9"/>
    <w:rsid w:val="004A74F7"/>
    <w:rsid w:val="004A75B8"/>
    <w:rsid w:val="004A777F"/>
    <w:rsid w:val="004A77A1"/>
    <w:rsid w:val="004A77EB"/>
    <w:rsid w:val="004A7837"/>
    <w:rsid w:val="004A789D"/>
    <w:rsid w:val="004A78B8"/>
    <w:rsid w:val="004A78DA"/>
    <w:rsid w:val="004A7A2C"/>
    <w:rsid w:val="004A7AFF"/>
    <w:rsid w:val="004A7B7A"/>
    <w:rsid w:val="004A7B81"/>
    <w:rsid w:val="004A7BE9"/>
    <w:rsid w:val="004A7CC3"/>
    <w:rsid w:val="004A7CD0"/>
    <w:rsid w:val="004A7CDB"/>
    <w:rsid w:val="004A7D11"/>
    <w:rsid w:val="004A7D71"/>
    <w:rsid w:val="004A7D94"/>
    <w:rsid w:val="004A7DB7"/>
    <w:rsid w:val="004A7DF2"/>
    <w:rsid w:val="004A7E20"/>
    <w:rsid w:val="004A7EE2"/>
    <w:rsid w:val="004A7F1E"/>
    <w:rsid w:val="004A7F68"/>
    <w:rsid w:val="004B0063"/>
    <w:rsid w:val="004B0065"/>
    <w:rsid w:val="004B00DF"/>
    <w:rsid w:val="004B0122"/>
    <w:rsid w:val="004B0137"/>
    <w:rsid w:val="004B019B"/>
    <w:rsid w:val="004B01B8"/>
    <w:rsid w:val="004B0210"/>
    <w:rsid w:val="004B0287"/>
    <w:rsid w:val="004B02D1"/>
    <w:rsid w:val="004B0329"/>
    <w:rsid w:val="004B0399"/>
    <w:rsid w:val="004B03A5"/>
    <w:rsid w:val="004B03E2"/>
    <w:rsid w:val="004B0421"/>
    <w:rsid w:val="004B0542"/>
    <w:rsid w:val="004B0604"/>
    <w:rsid w:val="004B0642"/>
    <w:rsid w:val="004B06A1"/>
    <w:rsid w:val="004B081A"/>
    <w:rsid w:val="004B0830"/>
    <w:rsid w:val="004B0892"/>
    <w:rsid w:val="004B08CA"/>
    <w:rsid w:val="004B098D"/>
    <w:rsid w:val="004B09C6"/>
    <w:rsid w:val="004B0AB2"/>
    <w:rsid w:val="004B0AEA"/>
    <w:rsid w:val="004B0AF2"/>
    <w:rsid w:val="004B0BA8"/>
    <w:rsid w:val="004B0C22"/>
    <w:rsid w:val="004B0C97"/>
    <w:rsid w:val="004B0CAA"/>
    <w:rsid w:val="004B0CAF"/>
    <w:rsid w:val="004B0CC4"/>
    <w:rsid w:val="004B0F2B"/>
    <w:rsid w:val="004B104E"/>
    <w:rsid w:val="004B1097"/>
    <w:rsid w:val="004B10DD"/>
    <w:rsid w:val="004B1103"/>
    <w:rsid w:val="004B114D"/>
    <w:rsid w:val="004B1151"/>
    <w:rsid w:val="004B11F2"/>
    <w:rsid w:val="004B121A"/>
    <w:rsid w:val="004B1342"/>
    <w:rsid w:val="004B1379"/>
    <w:rsid w:val="004B1381"/>
    <w:rsid w:val="004B1407"/>
    <w:rsid w:val="004B146E"/>
    <w:rsid w:val="004B151C"/>
    <w:rsid w:val="004B1573"/>
    <w:rsid w:val="004B1576"/>
    <w:rsid w:val="004B15F2"/>
    <w:rsid w:val="004B162F"/>
    <w:rsid w:val="004B1649"/>
    <w:rsid w:val="004B16A9"/>
    <w:rsid w:val="004B16FE"/>
    <w:rsid w:val="004B1730"/>
    <w:rsid w:val="004B1765"/>
    <w:rsid w:val="004B1779"/>
    <w:rsid w:val="004B178A"/>
    <w:rsid w:val="004B1831"/>
    <w:rsid w:val="004B185F"/>
    <w:rsid w:val="004B1866"/>
    <w:rsid w:val="004B18C5"/>
    <w:rsid w:val="004B18CE"/>
    <w:rsid w:val="004B1927"/>
    <w:rsid w:val="004B1957"/>
    <w:rsid w:val="004B1964"/>
    <w:rsid w:val="004B197F"/>
    <w:rsid w:val="004B1988"/>
    <w:rsid w:val="004B19EC"/>
    <w:rsid w:val="004B1A6E"/>
    <w:rsid w:val="004B1A9B"/>
    <w:rsid w:val="004B1AA3"/>
    <w:rsid w:val="004B1B47"/>
    <w:rsid w:val="004B1B9D"/>
    <w:rsid w:val="004B1C3B"/>
    <w:rsid w:val="004B1C7D"/>
    <w:rsid w:val="004B1C87"/>
    <w:rsid w:val="004B1CDF"/>
    <w:rsid w:val="004B1D6C"/>
    <w:rsid w:val="004B1DBA"/>
    <w:rsid w:val="004B1E34"/>
    <w:rsid w:val="004B1E94"/>
    <w:rsid w:val="004B1EE8"/>
    <w:rsid w:val="004B1F73"/>
    <w:rsid w:val="004B1FA7"/>
    <w:rsid w:val="004B1FAA"/>
    <w:rsid w:val="004B20AB"/>
    <w:rsid w:val="004B20B2"/>
    <w:rsid w:val="004B20DB"/>
    <w:rsid w:val="004B20FA"/>
    <w:rsid w:val="004B2167"/>
    <w:rsid w:val="004B22FE"/>
    <w:rsid w:val="004B2317"/>
    <w:rsid w:val="004B2330"/>
    <w:rsid w:val="004B23EA"/>
    <w:rsid w:val="004B24A2"/>
    <w:rsid w:val="004B24B6"/>
    <w:rsid w:val="004B24D9"/>
    <w:rsid w:val="004B2533"/>
    <w:rsid w:val="004B256F"/>
    <w:rsid w:val="004B263C"/>
    <w:rsid w:val="004B2679"/>
    <w:rsid w:val="004B2682"/>
    <w:rsid w:val="004B26EC"/>
    <w:rsid w:val="004B2707"/>
    <w:rsid w:val="004B2832"/>
    <w:rsid w:val="004B2835"/>
    <w:rsid w:val="004B287E"/>
    <w:rsid w:val="004B292A"/>
    <w:rsid w:val="004B2944"/>
    <w:rsid w:val="004B2963"/>
    <w:rsid w:val="004B29BD"/>
    <w:rsid w:val="004B2A1F"/>
    <w:rsid w:val="004B2A47"/>
    <w:rsid w:val="004B2A87"/>
    <w:rsid w:val="004B2AEF"/>
    <w:rsid w:val="004B2B50"/>
    <w:rsid w:val="004B2B5B"/>
    <w:rsid w:val="004B2BBA"/>
    <w:rsid w:val="004B2BCA"/>
    <w:rsid w:val="004B2BDC"/>
    <w:rsid w:val="004B2BDF"/>
    <w:rsid w:val="004B2D1E"/>
    <w:rsid w:val="004B2D36"/>
    <w:rsid w:val="004B2DB7"/>
    <w:rsid w:val="004B2DF6"/>
    <w:rsid w:val="004B2DF8"/>
    <w:rsid w:val="004B2E1C"/>
    <w:rsid w:val="004B2F3F"/>
    <w:rsid w:val="004B3021"/>
    <w:rsid w:val="004B308B"/>
    <w:rsid w:val="004B30C5"/>
    <w:rsid w:val="004B313E"/>
    <w:rsid w:val="004B3180"/>
    <w:rsid w:val="004B31C0"/>
    <w:rsid w:val="004B32F8"/>
    <w:rsid w:val="004B330F"/>
    <w:rsid w:val="004B3351"/>
    <w:rsid w:val="004B33E6"/>
    <w:rsid w:val="004B33E7"/>
    <w:rsid w:val="004B3418"/>
    <w:rsid w:val="004B34C8"/>
    <w:rsid w:val="004B34F1"/>
    <w:rsid w:val="004B34FE"/>
    <w:rsid w:val="004B3524"/>
    <w:rsid w:val="004B357A"/>
    <w:rsid w:val="004B3607"/>
    <w:rsid w:val="004B3660"/>
    <w:rsid w:val="004B371A"/>
    <w:rsid w:val="004B371C"/>
    <w:rsid w:val="004B374E"/>
    <w:rsid w:val="004B37E5"/>
    <w:rsid w:val="004B3812"/>
    <w:rsid w:val="004B389C"/>
    <w:rsid w:val="004B38DB"/>
    <w:rsid w:val="004B3947"/>
    <w:rsid w:val="004B3948"/>
    <w:rsid w:val="004B39B3"/>
    <w:rsid w:val="004B3A8D"/>
    <w:rsid w:val="004B3AB7"/>
    <w:rsid w:val="004B3AE1"/>
    <w:rsid w:val="004B3B20"/>
    <w:rsid w:val="004B3B38"/>
    <w:rsid w:val="004B3D1E"/>
    <w:rsid w:val="004B3D5B"/>
    <w:rsid w:val="004B3D7B"/>
    <w:rsid w:val="004B3DC6"/>
    <w:rsid w:val="004B3F3B"/>
    <w:rsid w:val="004B3FA4"/>
    <w:rsid w:val="004B3FF3"/>
    <w:rsid w:val="004B3FFD"/>
    <w:rsid w:val="004B4017"/>
    <w:rsid w:val="004B416B"/>
    <w:rsid w:val="004B41B3"/>
    <w:rsid w:val="004B41B4"/>
    <w:rsid w:val="004B41D4"/>
    <w:rsid w:val="004B429B"/>
    <w:rsid w:val="004B4397"/>
    <w:rsid w:val="004B43C0"/>
    <w:rsid w:val="004B44C5"/>
    <w:rsid w:val="004B44FD"/>
    <w:rsid w:val="004B4538"/>
    <w:rsid w:val="004B455E"/>
    <w:rsid w:val="004B45D9"/>
    <w:rsid w:val="004B4630"/>
    <w:rsid w:val="004B46FE"/>
    <w:rsid w:val="004B4706"/>
    <w:rsid w:val="004B484B"/>
    <w:rsid w:val="004B489A"/>
    <w:rsid w:val="004B48A6"/>
    <w:rsid w:val="004B48D0"/>
    <w:rsid w:val="004B48F2"/>
    <w:rsid w:val="004B48FF"/>
    <w:rsid w:val="004B495E"/>
    <w:rsid w:val="004B49AB"/>
    <w:rsid w:val="004B4A03"/>
    <w:rsid w:val="004B4A38"/>
    <w:rsid w:val="004B4ACB"/>
    <w:rsid w:val="004B4B4E"/>
    <w:rsid w:val="004B4BDC"/>
    <w:rsid w:val="004B4C65"/>
    <w:rsid w:val="004B4CB3"/>
    <w:rsid w:val="004B4D6F"/>
    <w:rsid w:val="004B4DEA"/>
    <w:rsid w:val="004B4E08"/>
    <w:rsid w:val="004B4E45"/>
    <w:rsid w:val="004B4FDF"/>
    <w:rsid w:val="004B4FE1"/>
    <w:rsid w:val="004B5020"/>
    <w:rsid w:val="004B502D"/>
    <w:rsid w:val="004B5040"/>
    <w:rsid w:val="004B50FC"/>
    <w:rsid w:val="004B5148"/>
    <w:rsid w:val="004B51B8"/>
    <w:rsid w:val="004B521E"/>
    <w:rsid w:val="004B522F"/>
    <w:rsid w:val="004B5236"/>
    <w:rsid w:val="004B5256"/>
    <w:rsid w:val="004B5282"/>
    <w:rsid w:val="004B52FA"/>
    <w:rsid w:val="004B5378"/>
    <w:rsid w:val="004B53A2"/>
    <w:rsid w:val="004B53B7"/>
    <w:rsid w:val="004B543A"/>
    <w:rsid w:val="004B5469"/>
    <w:rsid w:val="004B5471"/>
    <w:rsid w:val="004B54BD"/>
    <w:rsid w:val="004B5506"/>
    <w:rsid w:val="004B5615"/>
    <w:rsid w:val="004B5658"/>
    <w:rsid w:val="004B56CB"/>
    <w:rsid w:val="004B5708"/>
    <w:rsid w:val="004B572D"/>
    <w:rsid w:val="004B5798"/>
    <w:rsid w:val="004B57E5"/>
    <w:rsid w:val="004B57EE"/>
    <w:rsid w:val="004B5928"/>
    <w:rsid w:val="004B599A"/>
    <w:rsid w:val="004B5A4E"/>
    <w:rsid w:val="004B5AC2"/>
    <w:rsid w:val="004B5ACE"/>
    <w:rsid w:val="004B5AEA"/>
    <w:rsid w:val="004B5B43"/>
    <w:rsid w:val="004B5BF8"/>
    <w:rsid w:val="004B5D26"/>
    <w:rsid w:val="004B5D46"/>
    <w:rsid w:val="004B5D72"/>
    <w:rsid w:val="004B5D76"/>
    <w:rsid w:val="004B5DA9"/>
    <w:rsid w:val="004B5E09"/>
    <w:rsid w:val="004B5E64"/>
    <w:rsid w:val="004B5E6F"/>
    <w:rsid w:val="004B5E7F"/>
    <w:rsid w:val="004B5E8F"/>
    <w:rsid w:val="004B5EC2"/>
    <w:rsid w:val="004B5EC7"/>
    <w:rsid w:val="004B5ECB"/>
    <w:rsid w:val="004B5F54"/>
    <w:rsid w:val="004B5FC7"/>
    <w:rsid w:val="004B5FDB"/>
    <w:rsid w:val="004B6039"/>
    <w:rsid w:val="004B6099"/>
    <w:rsid w:val="004B609F"/>
    <w:rsid w:val="004B60F7"/>
    <w:rsid w:val="004B61AF"/>
    <w:rsid w:val="004B61E2"/>
    <w:rsid w:val="004B626D"/>
    <w:rsid w:val="004B6298"/>
    <w:rsid w:val="004B62DA"/>
    <w:rsid w:val="004B6310"/>
    <w:rsid w:val="004B6317"/>
    <w:rsid w:val="004B6341"/>
    <w:rsid w:val="004B635E"/>
    <w:rsid w:val="004B63AA"/>
    <w:rsid w:val="004B63BC"/>
    <w:rsid w:val="004B63C6"/>
    <w:rsid w:val="004B641B"/>
    <w:rsid w:val="004B6458"/>
    <w:rsid w:val="004B6488"/>
    <w:rsid w:val="004B64A7"/>
    <w:rsid w:val="004B64F7"/>
    <w:rsid w:val="004B651F"/>
    <w:rsid w:val="004B6541"/>
    <w:rsid w:val="004B656B"/>
    <w:rsid w:val="004B65E7"/>
    <w:rsid w:val="004B661A"/>
    <w:rsid w:val="004B6633"/>
    <w:rsid w:val="004B6712"/>
    <w:rsid w:val="004B678B"/>
    <w:rsid w:val="004B6799"/>
    <w:rsid w:val="004B67A6"/>
    <w:rsid w:val="004B68AA"/>
    <w:rsid w:val="004B68C2"/>
    <w:rsid w:val="004B690C"/>
    <w:rsid w:val="004B690F"/>
    <w:rsid w:val="004B6930"/>
    <w:rsid w:val="004B6946"/>
    <w:rsid w:val="004B6958"/>
    <w:rsid w:val="004B699B"/>
    <w:rsid w:val="004B69D8"/>
    <w:rsid w:val="004B6B0D"/>
    <w:rsid w:val="004B6B4B"/>
    <w:rsid w:val="004B6BA4"/>
    <w:rsid w:val="004B6C8C"/>
    <w:rsid w:val="004B6C8F"/>
    <w:rsid w:val="004B6CEA"/>
    <w:rsid w:val="004B6D63"/>
    <w:rsid w:val="004B6DAB"/>
    <w:rsid w:val="004B6EBC"/>
    <w:rsid w:val="004B6ED1"/>
    <w:rsid w:val="004B6EEF"/>
    <w:rsid w:val="004B6F1F"/>
    <w:rsid w:val="004B7014"/>
    <w:rsid w:val="004B70D1"/>
    <w:rsid w:val="004B70F8"/>
    <w:rsid w:val="004B7175"/>
    <w:rsid w:val="004B71C2"/>
    <w:rsid w:val="004B724C"/>
    <w:rsid w:val="004B7293"/>
    <w:rsid w:val="004B72B4"/>
    <w:rsid w:val="004B735B"/>
    <w:rsid w:val="004B7392"/>
    <w:rsid w:val="004B74AB"/>
    <w:rsid w:val="004B757F"/>
    <w:rsid w:val="004B75D4"/>
    <w:rsid w:val="004B7648"/>
    <w:rsid w:val="004B7733"/>
    <w:rsid w:val="004B7766"/>
    <w:rsid w:val="004B776B"/>
    <w:rsid w:val="004B77D1"/>
    <w:rsid w:val="004B780A"/>
    <w:rsid w:val="004B7826"/>
    <w:rsid w:val="004B7829"/>
    <w:rsid w:val="004B783D"/>
    <w:rsid w:val="004B7883"/>
    <w:rsid w:val="004B789F"/>
    <w:rsid w:val="004B78D0"/>
    <w:rsid w:val="004B790B"/>
    <w:rsid w:val="004B790F"/>
    <w:rsid w:val="004B7917"/>
    <w:rsid w:val="004B792A"/>
    <w:rsid w:val="004B7986"/>
    <w:rsid w:val="004B79C6"/>
    <w:rsid w:val="004B7A45"/>
    <w:rsid w:val="004B7AB9"/>
    <w:rsid w:val="004B7B53"/>
    <w:rsid w:val="004B7B5B"/>
    <w:rsid w:val="004B7B6C"/>
    <w:rsid w:val="004B7B85"/>
    <w:rsid w:val="004B7BC4"/>
    <w:rsid w:val="004B7C52"/>
    <w:rsid w:val="004B7C6C"/>
    <w:rsid w:val="004B7CE8"/>
    <w:rsid w:val="004B7D8C"/>
    <w:rsid w:val="004B7DA5"/>
    <w:rsid w:val="004B7E03"/>
    <w:rsid w:val="004B7F2C"/>
    <w:rsid w:val="004B7F67"/>
    <w:rsid w:val="004B7F6C"/>
    <w:rsid w:val="004B7F81"/>
    <w:rsid w:val="004B7FA1"/>
    <w:rsid w:val="004B7FB9"/>
    <w:rsid w:val="004C0098"/>
    <w:rsid w:val="004C00A8"/>
    <w:rsid w:val="004C00F7"/>
    <w:rsid w:val="004C011E"/>
    <w:rsid w:val="004C014C"/>
    <w:rsid w:val="004C0168"/>
    <w:rsid w:val="004C0175"/>
    <w:rsid w:val="004C025C"/>
    <w:rsid w:val="004C02F1"/>
    <w:rsid w:val="004C033A"/>
    <w:rsid w:val="004C0353"/>
    <w:rsid w:val="004C039A"/>
    <w:rsid w:val="004C03A0"/>
    <w:rsid w:val="004C0451"/>
    <w:rsid w:val="004C056A"/>
    <w:rsid w:val="004C05BD"/>
    <w:rsid w:val="004C0657"/>
    <w:rsid w:val="004C06B8"/>
    <w:rsid w:val="004C06C1"/>
    <w:rsid w:val="004C06D9"/>
    <w:rsid w:val="004C0703"/>
    <w:rsid w:val="004C0730"/>
    <w:rsid w:val="004C0794"/>
    <w:rsid w:val="004C0821"/>
    <w:rsid w:val="004C0856"/>
    <w:rsid w:val="004C0891"/>
    <w:rsid w:val="004C0899"/>
    <w:rsid w:val="004C089F"/>
    <w:rsid w:val="004C08CE"/>
    <w:rsid w:val="004C0955"/>
    <w:rsid w:val="004C0962"/>
    <w:rsid w:val="004C09D8"/>
    <w:rsid w:val="004C0A0A"/>
    <w:rsid w:val="004C0A59"/>
    <w:rsid w:val="004C0AA5"/>
    <w:rsid w:val="004C0AAF"/>
    <w:rsid w:val="004C0B41"/>
    <w:rsid w:val="004C0B7D"/>
    <w:rsid w:val="004C0BBB"/>
    <w:rsid w:val="004C0CA9"/>
    <w:rsid w:val="004C0CE3"/>
    <w:rsid w:val="004C0D2C"/>
    <w:rsid w:val="004C0DAA"/>
    <w:rsid w:val="004C0E19"/>
    <w:rsid w:val="004C0EF4"/>
    <w:rsid w:val="004C0F4F"/>
    <w:rsid w:val="004C0FBD"/>
    <w:rsid w:val="004C0FD5"/>
    <w:rsid w:val="004C0FEA"/>
    <w:rsid w:val="004C1035"/>
    <w:rsid w:val="004C10E1"/>
    <w:rsid w:val="004C112D"/>
    <w:rsid w:val="004C1131"/>
    <w:rsid w:val="004C1171"/>
    <w:rsid w:val="004C11B0"/>
    <w:rsid w:val="004C123C"/>
    <w:rsid w:val="004C124D"/>
    <w:rsid w:val="004C1280"/>
    <w:rsid w:val="004C1377"/>
    <w:rsid w:val="004C13B5"/>
    <w:rsid w:val="004C13DF"/>
    <w:rsid w:val="004C1448"/>
    <w:rsid w:val="004C1620"/>
    <w:rsid w:val="004C1622"/>
    <w:rsid w:val="004C1650"/>
    <w:rsid w:val="004C179B"/>
    <w:rsid w:val="004C17E2"/>
    <w:rsid w:val="004C17E3"/>
    <w:rsid w:val="004C1855"/>
    <w:rsid w:val="004C1884"/>
    <w:rsid w:val="004C1889"/>
    <w:rsid w:val="004C18FF"/>
    <w:rsid w:val="004C1A57"/>
    <w:rsid w:val="004C1B0F"/>
    <w:rsid w:val="004C1B2B"/>
    <w:rsid w:val="004C1B62"/>
    <w:rsid w:val="004C1C12"/>
    <w:rsid w:val="004C1CFF"/>
    <w:rsid w:val="004C1D77"/>
    <w:rsid w:val="004C1D7F"/>
    <w:rsid w:val="004C1E29"/>
    <w:rsid w:val="004C1E31"/>
    <w:rsid w:val="004C1E50"/>
    <w:rsid w:val="004C21C0"/>
    <w:rsid w:val="004C21E5"/>
    <w:rsid w:val="004C21F0"/>
    <w:rsid w:val="004C21FD"/>
    <w:rsid w:val="004C2201"/>
    <w:rsid w:val="004C22B9"/>
    <w:rsid w:val="004C235B"/>
    <w:rsid w:val="004C236B"/>
    <w:rsid w:val="004C23DF"/>
    <w:rsid w:val="004C23FD"/>
    <w:rsid w:val="004C2468"/>
    <w:rsid w:val="004C24B3"/>
    <w:rsid w:val="004C250D"/>
    <w:rsid w:val="004C262C"/>
    <w:rsid w:val="004C2643"/>
    <w:rsid w:val="004C2664"/>
    <w:rsid w:val="004C26B8"/>
    <w:rsid w:val="004C26F2"/>
    <w:rsid w:val="004C273E"/>
    <w:rsid w:val="004C27E2"/>
    <w:rsid w:val="004C2988"/>
    <w:rsid w:val="004C29ED"/>
    <w:rsid w:val="004C2A12"/>
    <w:rsid w:val="004C2ABA"/>
    <w:rsid w:val="004C2AED"/>
    <w:rsid w:val="004C2B2E"/>
    <w:rsid w:val="004C2B2F"/>
    <w:rsid w:val="004C2B40"/>
    <w:rsid w:val="004C2B89"/>
    <w:rsid w:val="004C2B98"/>
    <w:rsid w:val="004C2C3D"/>
    <w:rsid w:val="004C2C55"/>
    <w:rsid w:val="004C2C79"/>
    <w:rsid w:val="004C2CE2"/>
    <w:rsid w:val="004C2CF4"/>
    <w:rsid w:val="004C2D29"/>
    <w:rsid w:val="004C2D81"/>
    <w:rsid w:val="004C2DB1"/>
    <w:rsid w:val="004C2E0E"/>
    <w:rsid w:val="004C2F39"/>
    <w:rsid w:val="004C2F45"/>
    <w:rsid w:val="004C2FA5"/>
    <w:rsid w:val="004C2FBE"/>
    <w:rsid w:val="004C2FE4"/>
    <w:rsid w:val="004C305E"/>
    <w:rsid w:val="004C3068"/>
    <w:rsid w:val="004C3095"/>
    <w:rsid w:val="004C31AA"/>
    <w:rsid w:val="004C31D8"/>
    <w:rsid w:val="004C31EB"/>
    <w:rsid w:val="004C324F"/>
    <w:rsid w:val="004C32F9"/>
    <w:rsid w:val="004C3321"/>
    <w:rsid w:val="004C3412"/>
    <w:rsid w:val="004C3484"/>
    <w:rsid w:val="004C35DA"/>
    <w:rsid w:val="004C35F9"/>
    <w:rsid w:val="004C35FA"/>
    <w:rsid w:val="004C3674"/>
    <w:rsid w:val="004C3755"/>
    <w:rsid w:val="004C37CD"/>
    <w:rsid w:val="004C37EE"/>
    <w:rsid w:val="004C3880"/>
    <w:rsid w:val="004C390A"/>
    <w:rsid w:val="004C3920"/>
    <w:rsid w:val="004C3961"/>
    <w:rsid w:val="004C3978"/>
    <w:rsid w:val="004C39D0"/>
    <w:rsid w:val="004C3A37"/>
    <w:rsid w:val="004C3BE5"/>
    <w:rsid w:val="004C3C6C"/>
    <w:rsid w:val="004C3CC6"/>
    <w:rsid w:val="004C3CCC"/>
    <w:rsid w:val="004C3CFD"/>
    <w:rsid w:val="004C3D42"/>
    <w:rsid w:val="004C3DA7"/>
    <w:rsid w:val="004C3E0D"/>
    <w:rsid w:val="004C3E48"/>
    <w:rsid w:val="004C3E52"/>
    <w:rsid w:val="004C3E62"/>
    <w:rsid w:val="004C3E8F"/>
    <w:rsid w:val="004C3F49"/>
    <w:rsid w:val="004C3FB0"/>
    <w:rsid w:val="004C4068"/>
    <w:rsid w:val="004C409A"/>
    <w:rsid w:val="004C40A5"/>
    <w:rsid w:val="004C40AB"/>
    <w:rsid w:val="004C4155"/>
    <w:rsid w:val="004C4183"/>
    <w:rsid w:val="004C41E0"/>
    <w:rsid w:val="004C424E"/>
    <w:rsid w:val="004C4251"/>
    <w:rsid w:val="004C4288"/>
    <w:rsid w:val="004C428B"/>
    <w:rsid w:val="004C4294"/>
    <w:rsid w:val="004C42AC"/>
    <w:rsid w:val="004C4341"/>
    <w:rsid w:val="004C438C"/>
    <w:rsid w:val="004C444E"/>
    <w:rsid w:val="004C445B"/>
    <w:rsid w:val="004C4472"/>
    <w:rsid w:val="004C4490"/>
    <w:rsid w:val="004C44A9"/>
    <w:rsid w:val="004C44C7"/>
    <w:rsid w:val="004C4547"/>
    <w:rsid w:val="004C457B"/>
    <w:rsid w:val="004C45A6"/>
    <w:rsid w:val="004C45B8"/>
    <w:rsid w:val="004C45D4"/>
    <w:rsid w:val="004C45E9"/>
    <w:rsid w:val="004C4653"/>
    <w:rsid w:val="004C46E3"/>
    <w:rsid w:val="004C474E"/>
    <w:rsid w:val="004C4766"/>
    <w:rsid w:val="004C478A"/>
    <w:rsid w:val="004C47C4"/>
    <w:rsid w:val="004C47F0"/>
    <w:rsid w:val="004C4919"/>
    <w:rsid w:val="004C49CF"/>
    <w:rsid w:val="004C4A43"/>
    <w:rsid w:val="004C4AAE"/>
    <w:rsid w:val="004C4AF4"/>
    <w:rsid w:val="004C4B33"/>
    <w:rsid w:val="004C4B54"/>
    <w:rsid w:val="004C4B85"/>
    <w:rsid w:val="004C4BFC"/>
    <w:rsid w:val="004C4C5F"/>
    <w:rsid w:val="004C4CB7"/>
    <w:rsid w:val="004C4D69"/>
    <w:rsid w:val="004C4D91"/>
    <w:rsid w:val="004C4DE7"/>
    <w:rsid w:val="004C4E23"/>
    <w:rsid w:val="004C4E33"/>
    <w:rsid w:val="004C4E88"/>
    <w:rsid w:val="004C4ECF"/>
    <w:rsid w:val="004C4EDB"/>
    <w:rsid w:val="004C4F1B"/>
    <w:rsid w:val="004C4F79"/>
    <w:rsid w:val="004C4F93"/>
    <w:rsid w:val="004C4FD3"/>
    <w:rsid w:val="004C502C"/>
    <w:rsid w:val="004C50B2"/>
    <w:rsid w:val="004C50EA"/>
    <w:rsid w:val="004C50F1"/>
    <w:rsid w:val="004C512F"/>
    <w:rsid w:val="004C513E"/>
    <w:rsid w:val="004C51C9"/>
    <w:rsid w:val="004C51DC"/>
    <w:rsid w:val="004C52A0"/>
    <w:rsid w:val="004C52AD"/>
    <w:rsid w:val="004C52DF"/>
    <w:rsid w:val="004C52E9"/>
    <w:rsid w:val="004C531B"/>
    <w:rsid w:val="004C5352"/>
    <w:rsid w:val="004C5356"/>
    <w:rsid w:val="004C5421"/>
    <w:rsid w:val="004C549E"/>
    <w:rsid w:val="004C54CC"/>
    <w:rsid w:val="004C54E2"/>
    <w:rsid w:val="004C5505"/>
    <w:rsid w:val="004C5516"/>
    <w:rsid w:val="004C5629"/>
    <w:rsid w:val="004C5644"/>
    <w:rsid w:val="004C5685"/>
    <w:rsid w:val="004C56E6"/>
    <w:rsid w:val="004C56F5"/>
    <w:rsid w:val="004C572A"/>
    <w:rsid w:val="004C578D"/>
    <w:rsid w:val="004C57B3"/>
    <w:rsid w:val="004C57D9"/>
    <w:rsid w:val="004C57F7"/>
    <w:rsid w:val="004C5800"/>
    <w:rsid w:val="004C58B2"/>
    <w:rsid w:val="004C58B7"/>
    <w:rsid w:val="004C58E5"/>
    <w:rsid w:val="004C591B"/>
    <w:rsid w:val="004C5992"/>
    <w:rsid w:val="004C59DA"/>
    <w:rsid w:val="004C5A4A"/>
    <w:rsid w:val="004C5A75"/>
    <w:rsid w:val="004C5A85"/>
    <w:rsid w:val="004C5B07"/>
    <w:rsid w:val="004C5B08"/>
    <w:rsid w:val="004C5B52"/>
    <w:rsid w:val="004C5B74"/>
    <w:rsid w:val="004C5BB6"/>
    <w:rsid w:val="004C5BBF"/>
    <w:rsid w:val="004C5BC8"/>
    <w:rsid w:val="004C5C09"/>
    <w:rsid w:val="004C5C48"/>
    <w:rsid w:val="004C5C96"/>
    <w:rsid w:val="004C5CB8"/>
    <w:rsid w:val="004C5CCF"/>
    <w:rsid w:val="004C5D16"/>
    <w:rsid w:val="004C5DAB"/>
    <w:rsid w:val="004C5E57"/>
    <w:rsid w:val="004C5E61"/>
    <w:rsid w:val="004C5EC3"/>
    <w:rsid w:val="004C5ED3"/>
    <w:rsid w:val="004C5EE5"/>
    <w:rsid w:val="004C5F11"/>
    <w:rsid w:val="004C5F9C"/>
    <w:rsid w:val="004C5FC9"/>
    <w:rsid w:val="004C5FD7"/>
    <w:rsid w:val="004C5FDA"/>
    <w:rsid w:val="004C6075"/>
    <w:rsid w:val="004C6099"/>
    <w:rsid w:val="004C60FC"/>
    <w:rsid w:val="004C61A9"/>
    <w:rsid w:val="004C61F0"/>
    <w:rsid w:val="004C61F5"/>
    <w:rsid w:val="004C625C"/>
    <w:rsid w:val="004C626F"/>
    <w:rsid w:val="004C6289"/>
    <w:rsid w:val="004C629A"/>
    <w:rsid w:val="004C6345"/>
    <w:rsid w:val="004C6451"/>
    <w:rsid w:val="004C6477"/>
    <w:rsid w:val="004C64B4"/>
    <w:rsid w:val="004C64BE"/>
    <w:rsid w:val="004C6508"/>
    <w:rsid w:val="004C6514"/>
    <w:rsid w:val="004C6576"/>
    <w:rsid w:val="004C65B7"/>
    <w:rsid w:val="004C65DB"/>
    <w:rsid w:val="004C663D"/>
    <w:rsid w:val="004C6664"/>
    <w:rsid w:val="004C6778"/>
    <w:rsid w:val="004C679F"/>
    <w:rsid w:val="004C6837"/>
    <w:rsid w:val="004C68F3"/>
    <w:rsid w:val="004C6903"/>
    <w:rsid w:val="004C6951"/>
    <w:rsid w:val="004C6956"/>
    <w:rsid w:val="004C6983"/>
    <w:rsid w:val="004C6993"/>
    <w:rsid w:val="004C69CD"/>
    <w:rsid w:val="004C6A08"/>
    <w:rsid w:val="004C6AB1"/>
    <w:rsid w:val="004C6AB4"/>
    <w:rsid w:val="004C6B03"/>
    <w:rsid w:val="004C6C20"/>
    <w:rsid w:val="004C6C6E"/>
    <w:rsid w:val="004C6CE0"/>
    <w:rsid w:val="004C6CFC"/>
    <w:rsid w:val="004C6E2D"/>
    <w:rsid w:val="004C6E73"/>
    <w:rsid w:val="004C6F12"/>
    <w:rsid w:val="004C6FC9"/>
    <w:rsid w:val="004C6FCC"/>
    <w:rsid w:val="004C7032"/>
    <w:rsid w:val="004C7112"/>
    <w:rsid w:val="004C7116"/>
    <w:rsid w:val="004C712E"/>
    <w:rsid w:val="004C71BE"/>
    <w:rsid w:val="004C7232"/>
    <w:rsid w:val="004C72A0"/>
    <w:rsid w:val="004C7310"/>
    <w:rsid w:val="004C733C"/>
    <w:rsid w:val="004C735C"/>
    <w:rsid w:val="004C7366"/>
    <w:rsid w:val="004C7379"/>
    <w:rsid w:val="004C7439"/>
    <w:rsid w:val="004C7462"/>
    <w:rsid w:val="004C748A"/>
    <w:rsid w:val="004C7490"/>
    <w:rsid w:val="004C7541"/>
    <w:rsid w:val="004C75D6"/>
    <w:rsid w:val="004C75D8"/>
    <w:rsid w:val="004C75ED"/>
    <w:rsid w:val="004C7639"/>
    <w:rsid w:val="004C766F"/>
    <w:rsid w:val="004C7685"/>
    <w:rsid w:val="004C76C7"/>
    <w:rsid w:val="004C773E"/>
    <w:rsid w:val="004C7803"/>
    <w:rsid w:val="004C7870"/>
    <w:rsid w:val="004C7937"/>
    <w:rsid w:val="004C7B9F"/>
    <w:rsid w:val="004C7BA3"/>
    <w:rsid w:val="004C7D24"/>
    <w:rsid w:val="004C7D33"/>
    <w:rsid w:val="004C7DD1"/>
    <w:rsid w:val="004C7DD4"/>
    <w:rsid w:val="004C7E45"/>
    <w:rsid w:val="004C7E84"/>
    <w:rsid w:val="004C7EEC"/>
    <w:rsid w:val="004C7F0A"/>
    <w:rsid w:val="004C7F6C"/>
    <w:rsid w:val="004C7F96"/>
    <w:rsid w:val="004C7FE5"/>
    <w:rsid w:val="004C7FF3"/>
    <w:rsid w:val="004D0035"/>
    <w:rsid w:val="004D0075"/>
    <w:rsid w:val="004D00EF"/>
    <w:rsid w:val="004D00F4"/>
    <w:rsid w:val="004D0189"/>
    <w:rsid w:val="004D01A0"/>
    <w:rsid w:val="004D01DF"/>
    <w:rsid w:val="004D01FC"/>
    <w:rsid w:val="004D0256"/>
    <w:rsid w:val="004D03B5"/>
    <w:rsid w:val="004D03F2"/>
    <w:rsid w:val="004D0453"/>
    <w:rsid w:val="004D048F"/>
    <w:rsid w:val="004D04C7"/>
    <w:rsid w:val="004D05BB"/>
    <w:rsid w:val="004D0603"/>
    <w:rsid w:val="004D0739"/>
    <w:rsid w:val="004D0745"/>
    <w:rsid w:val="004D0761"/>
    <w:rsid w:val="004D0765"/>
    <w:rsid w:val="004D080C"/>
    <w:rsid w:val="004D086A"/>
    <w:rsid w:val="004D0933"/>
    <w:rsid w:val="004D0A29"/>
    <w:rsid w:val="004D0B7D"/>
    <w:rsid w:val="004D0B8A"/>
    <w:rsid w:val="004D0BE3"/>
    <w:rsid w:val="004D0C82"/>
    <w:rsid w:val="004D0C99"/>
    <w:rsid w:val="004D0D0A"/>
    <w:rsid w:val="004D0D1D"/>
    <w:rsid w:val="004D0D3C"/>
    <w:rsid w:val="004D0EC2"/>
    <w:rsid w:val="004D0EFC"/>
    <w:rsid w:val="004D0F2E"/>
    <w:rsid w:val="004D0F62"/>
    <w:rsid w:val="004D0FCC"/>
    <w:rsid w:val="004D1048"/>
    <w:rsid w:val="004D1060"/>
    <w:rsid w:val="004D10B3"/>
    <w:rsid w:val="004D10C1"/>
    <w:rsid w:val="004D127C"/>
    <w:rsid w:val="004D1284"/>
    <w:rsid w:val="004D1308"/>
    <w:rsid w:val="004D1330"/>
    <w:rsid w:val="004D136A"/>
    <w:rsid w:val="004D137F"/>
    <w:rsid w:val="004D13CD"/>
    <w:rsid w:val="004D1441"/>
    <w:rsid w:val="004D1443"/>
    <w:rsid w:val="004D1510"/>
    <w:rsid w:val="004D1524"/>
    <w:rsid w:val="004D1535"/>
    <w:rsid w:val="004D159A"/>
    <w:rsid w:val="004D168C"/>
    <w:rsid w:val="004D1711"/>
    <w:rsid w:val="004D1736"/>
    <w:rsid w:val="004D1777"/>
    <w:rsid w:val="004D17A0"/>
    <w:rsid w:val="004D17B5"/>
    <w:rsid w:val="004D17C2"/>
    <w:rsid w:val="004D1823"/>
    <w:rsid w:val="004D183E"/>
    <w:rsid w:val="004D185E"/>
    <w:rsid w:val="004D186B"/>
    <w:rsid w:val="004D187B"/>
    <w:rsid w:val="004D18D3"/>
    <w:rsid w:val="004D193B"/>
    <w:rsid w:val="004D1997"/>
    <w:rsid w:val="004D1A74"/>
    <w:rsid w:val="004D1AC0"/>
    <w:rsid w:val="004D1AD7"/>
    <w:rsid w:val="004D1ADE"/>
    <w:rsid w:val="004D1AE3"/>
    <w:rsid w:val="004D1B35"/>
    <w:rsid w:val="004D1BC1"/>
    <w:rsid w:val="004D1C57"/>
    <w:rsid w:val="004D1CB6"/>
    <w:rsid w:val="004D1CB7"/>
    <w:rsid w:val="004D1CE6"/>
    <w:rsid w:val="004D1DE4"/>
    <w:rsid w:val="004D1E1A"/>
    <w:rsid w:val="004D1E5F"/>
    <w:rsid w:val="004D1F55"/>
    <w:rsid w:val="004D1FB7"/>
    <w:rsid w:val="004D1FD5"/>
    <w:rsid w:val="004D20C4"/>
    <w:rsid w:val="004D2111"/>
    <w:rsid w:val="004D2163"/>
    <w:rsid w:val="004D2196"/>
    <w:rsid w:val="004D2247"/>
    <w:rsid w:val="004D22FF"/>
    <w:rsid w:val="004D23CA"/>
    <w:rsid w:val="004D2408"/>
    <w:rsid w:val="004D24B4"/>
    <w:rsid w:val="004D2520"/>
    <w:rsid w:val="004D253E"/>
    <w:rsid w:val="004D2581"/>
    <w:rsid w:val="004D25D4"/>
    <w:rsid w:val="004D25DD"/>
    <w:rsid w:val="004D2600"/>
    <w:rsid w:val="004D2604"/>
    <w:rsid w:val="004D2631"/>
    <w:rsid w:val="004D2637"/>
    <w:rsid w:val="004D266B"/>
    <w:rsid w:val="004D275D"/>
    <w:rsid w:val="004D2778"/>
    <w:rsid w:val="004D281E"/>
    <w:rsid w:val="004D284C"/>
    <w:rsid w:val="004D284F"/>
    <w:rsid w:val="004D28D2"/>
    <w:rsid w:val="004D29ED"/>
    <w:rsid w:val="004D2A62"/>
    <w:rsid w:val="004D2A87"/>
    <w:rsid w:val="004D2AB0"/>
    <w:rsid w:val="004D2AD4"/>
    <w:rsid w:val="004D2AEB"/>
    <w:rsid w:val="004D2B9A"/>
    <w:rsid w:val="004D2C1D"/>
    <w:rsid w:val="004D2C7A"/>
    <w:rsid w:val="004D2D05"/>
    <w:rsid w:val="004D2D2A"/>
    <w:rsid w:val="004D2D42"/>
    <w:rsid w:val="004D2D85"/>
    <w:rsid w:val="004D2DCF"/>
    <w:rsid w:val="004D2DF2"/>
    <w:rsid w:val="004D2E02"/>
    <w:rsid w:val="004D2E42"/>
    <w:rsid w:val="004D2E85"/>
    <w:rsid w:val="004D2E97"/>
    <w:rsid w:val="004D2EF2"/>
    <w:rsid w:val="004D2F06"/>
    <w:rsid w:val="004D2F17"/>
    <w:rsid w:val="004D2F6E"/>
    <w:rsid w:val="004D2F86"/>
    <w:rsid w:val="004D2FDD"/>
    <w:rsid w:val="004D30A2"/>
    <w:rsid w:val="004D31D6"/>
    <w:rsid w:val="004D327B"/>
    <w:rsid w:val="004D3377"/>
    <w:rsid w:val="004D33E9"/>
    <w:rsid w:val="004D33FD"/>
    <w:rsid w:val="004D34EC"/>
    <w:rsid w:val="004D3552"/>
    <w:rsid w:val="004D35C5"/>
    <w:rsid w:val="004D35D6"/>
    <w:rsid w:val="004D35E3"/>
    <w:rsid w:val="004D35F9"/>
    <w:rsid w:val="004D364D"/>
    <w:rsid w:val="004D3667"/>
    <w:rsid w:val="004D369C"/>
    <w:rsid w:val="004D36E1"/>
    <w:rsid w:val="004D3851"/>
    <w:rsid w:val="004D391B"/>
    <w:rsid w:val="004D392B"/>
    <w:rsid w:val="004D396D"/>
    <w:rsid w:val="004D397D"/>
    <w:rsid w:val="004D39D6"/>
    <w:rsid w:val="004D39EB"/>
    <w:rsid w:val="004D3A3E"/>
    <w:rsid w:val="004D3B6C"/>
    <w:rsid w:val="004D3B8A"/>
    <w:rsid w:val="004D3BCA"/>
    <w:rsid w:val="004D3BEA"/>
    <w:rsid w:val="004D3BFE"/>
    <w:rsid w:val="004D3C48"/>
    <w:rsid w:val="004D3C54"/>
    <w:rsid w:val="004D3C81"/>
    <w:rsid w:val="004D3C98"/>
    <w:rsid w:val="004D3CD3"/>
    <w:rsid w:val="004D3CFE"/>
    <w:rsid w:val="004D3D28"/>
    <w:rsid w:val="004D3D37"/>
    <w:rsid w:val="004D3D4E"/>
    <w:rsid w:val="004D3D9B"/>
    <w:rsid w:val="004D3DCE"/>
    <w:rsid w:val="004D3DDE"/>
    <w:rsid w:val="004D3DF2"/>
    <w:rsid w:val="004D3F5E"/>
    <w:rsid w:val="004D3F7C"/>
    <w:rsid w:val="004D4070"/>
    <w:rsid w:val="004D407D"/>
    <w:rsid w:val="004D413A"/>
    <w:rsid w:val="004D418D"/>
    <w:rsid w:val="004D41B1"/>
    <w:rsid w:val="004D41CB"/>
    <w:rsid w:val="004D41EE"/>
    <w:rsid w:val="004D4276"/>
    <w:rsid w:val="004D4366"/>
    <w:rsid w:val="004D4408"/>
    <w:rsid w:val="004D4533"/>
    <w:rsid w:val="004D4568"/>
    <w:rsid w:val="004D4573"/>
    <w:rsid w:val="004D4577"/>
    <w:rsid w:val="004D45CD"/>
    <w:rsid w:val="004D45E5"/>
    <w:rsid w:val="004D46FA"/>
    <w:rsid w:val="004D473A"/>
    <w:rsid w:val="004D4776"/>
    <w:rsid w:val="004D4779"/>
    <w:rsid w:val="004D4782"/>
    <w:rsid w:val="004D47D9"/>
    <w:rsid w:val="004D47F2"/>
    <w:rsid w:val="004D480A"/>
    <w:rsid w:val="004D487C"/>
    <w:rsid w:val="004D489A"/>
    <w:rsid w:val="004D48A3"/>
    <w:rsid w:val="004D48BD"/>
    <w:rsid w:val="004D48D9"/>
    <w:rsid w:val="004D4AC8"/>
    <w:rsid w:val="004D4ACE"/>
    <w:rsid w:val="004D4B13"/>
    <w:rsid w:val="004D4B57"/>
    <w:rsid w:val="004D4BE1"/>
    <w:rsid w:val="004D4C31"/>
    <w:rsid w:val="004D4C33"/>
    <w:rsid w:val="004D4C37"/>
    <w:rsid w:val="004D4C54"/>
    <w:rsid w:val="004D4CB0"/>
    <w:rsid w:val="004D4CB4"/>
    <w:rsid w:val="004D4CE5"/>
    <w:rsid w:val="004D4CF3"/>
    <w:rsid w:val="004D4D5B"/>
    <w:rsid w:val="004D4D6D"/>
    <w:rsid w:val="004D4DE4"/>
    <w:rsid w:val="004D4E44"/>
    <w:rsid w:val="004D4E82"/>
    <w:rsid w:val="004D4EBD"/>
    <w:rsid w:val="004D4F9F"/>
    <w:rsid w:val="004D5041"/>
    <w:rsid w:val="004D5056"/>
    <w:rsid w:val="004D50A2"/>
    <w:rsid w:val="004D52A5"/>
    <w:rsid w:val="004D532E"/>
    <w:rsid w:val="004D53E0"/>
    <w:rsid w:val="004D5433"/>
    <w:rsid w:val="004D54AB"/>
    <w:rsid w:val="004D555F"/>
    <w:rsid w:val="004D5565"/>
    <w:rsid w:val="004D5592"/>
    <w:rsid w:val="004D565D"/>
    <w:rsid w:val="004D56DB"/>
    <w:rsid w:val="004D57CD"/>
    <w:rsid w:val="004D585F"/>
    <w:rsid w:val="004D587B"/>
    <w:rsid w:val="004D5936"/>
    <w:rsid w:val="004D5973"/>
    <w:rsid w:val="004D5A16"/>
    <w:rsid w:val="004D5AA5"/>
    <w:rsid w:val="004D5AC9"/>
    <w:rsid w:val="004D5AE0"/>
    <w:rsid w:val="004D5BC0"/>
    <w:rsid w:val="004D5C0F"/>
    <w:rsid w:val="004D5C92"/>
    <w:rsid w:val="004D5CCB"/>
    <w:rsid w:val="004D5D0C"/>
    <w:rsid w:val="004D5D15"/>
    <w:rsid w:val="004D5D41"/>
    <w:rsid w:val="004D5D48"/>
    <w:rsid w:val="004D5D65"/>
    <w:rsid w:val="004D5E3C"/>
    <w:rsid w:val="004D5EDE"/>
    <w:rsid w:val="004D5F6C"/>
    <w:rsid w:val="004D5FA1"/>
    <w:rsid w:val="004D5FB6"/>
    <w:rsid w:val="004D5FB9"/>
    <w:rsid w:val="004D5FC5"/>
    <w:rsid w:val="004D5FEC"/>
    <w:rsid w:val="004D6043"/>
    <w:rsid w:val="004D6191"/>
    <w:rsid w:val="004D6192"/>
    <w:rsid w:val="004D61D6"/>
    <w:rsid w:val="004D6260"/>
    <w:rsid w:val="004D626D"/>
    <w:rsid w:val="004D629B"/>
    <w:rsid w:val="004D630D"/>
    <w:rsid w:val="004D6324"/>
    <w:rsid w:val="004D6332"/>
    <w:rsid w:val="004D63F5"/>
    <w:rsid w:val="004D641E"/>
    <w:rsid w:val="004D64DB"/>
    <w:rsid w:val="004D651B"/>
    <w:rsid w:val="004D6548"/>
    <w:rsid w:val="004D65A8"/>
    <w:rsid w:val="004D6614"/>
    <w:rsid w:val="004D664D"/>
    <w:rsid w:val="004D671F"/>
    <w:rsid w:val="004D6744"/>
    <w:rsid w:val="004D675F"/>
    <w:rsid w:val="004D678D"/>
    <w:rsid w:val="004D6795"/>
    <w:rsid w:val="004D67CB"/>
    <w:rsid w:val="004D67D3"/>
    <w:rsid w:val="004D6827"/>
    <w:rsid w:val="004D684D"/>
    <w:rsid w:val="004D6896"/>
    <w:rsid w:val="004D68FF"/>
    <w:rsid w:val="004D6953"/>
    <w:rsid w:val="004D697D"/>
    <w:rsid w:val="004D6A9C"/>
    <w:rsid w:val="004D6AFE"/>
    <w:rsid w:val="004D6B2A"/>
    <w:rsid w:val="004D6B31"/>
    <w:rsid w:val="004D6B54"/>
    <w:rsid w:val="004D6B66"/>
    <w:rsid w:val="004D6BAF"/>
    <w:rsid w:val="004D6BCE"/>
    <w:rsid w:val="004D6C40"/>
    <w:rsid w:val="004D6C53"/>
    <w:rsid w:val="004D6CA3"/>
    <w:rsid w:val="004D6CD5"/>
    <w:rsid w:val="004D6D30"/>
    <w:rsid w:val="004D6D35"/>
    <w:rsid w:val="004D6D72"/>
    <w:rsid w:val="004D6DA7"/>
    <w:rsid w:val="004D6EB0"/>
    <w:rsid w:val="004D6ECA"/>
    <w:rsid w:val="004D6FC1"/>
    <w:rsid w:val="004D6FC4"/>
    <w:rsid w:val="004D6FDD"/>
    <w:rsid w:val="004D6FFA"/>
    <w:rsid w:val="004D7099"/>
    <w:rsid w:val="004D70B4"/>
    <w:rsid w:val="004D710B"/>
    <w:rsid w:val="004D711C"/>
    <w:rsid w:val="004D71AC"/>
    <w:rsid w:val="004D7203"/>
    <w:rsid w:val="004D7223"/>
    <w:rsid w:val="004D7266"/>
    <w:rsid w:val="004D72C8"/>
    <w:rsid w:val="004D7372"/>
    <w:rsid w:val="004D73A1"/>
    <w:rsid w:val="004D75CF"/>
    <w:rsid w:val="004D75F6"/>
    <w:rsid w:val="004D765F"/>
    <w:rsid w:val="004D76C6"/>
    <w:rsid w:val="004D78D3"/>
    <w:rsid w:val="004D78EC"/>
    <w:rsid w:val="004D798C"/>
    <w:rsid w:val="004D7A3D"/>
    <w:rsid w:val="004D7A56"/>
    <w:rsid w:val="004D7A82"/>
    <w:rsid w:val="004D7AC7"/>
    <w:rsid w:val="004D7ADE"/>
    <w:rsid w:val="004D7AE6"/>
    <w:rsid w:val="004D7B9F"/>
    <w:rsid w:val="004D7BFA"/>
    <w:rsid w:val="004D7C33"/>
    <w:rsid w:val="004D7D3B"/>
    <w:rsid w:val="004D7D5B"/>
    <w:rsid w:val="004D7D89"/>
    <w:rsid w:val="004D7DC1"/>
    <w:rsid w:val="004D7DC7"/>
    <w:rsid w:val="004D7E0B"/>
    <w:rsid w:val="004D7E86"/>
    <w:rsid w:val="004D7EEE"/>
    <w:rsid w:val="004D7EFB"/>
    <w:rsid w:val="004D7F6B"/>
    <w:rsid w:val="004D7FC1"/>
    <w:rsid w:val="004D7FD3"/>
    <w:rsid w:val="004D7FD5"/>
    <w:rsid w:val="004E0036"/>
    <w:rsid w:val="004E0069"/>
    <w:rsid w:val="004E0073"/>
    <w:rsid w:val="004E0090"/>
    <w:rsid w:val="004E00BB"/>
    <w:rsid w:val="004E00BC"/>
    <w:rsid w:val="004E010C"/>
    <w:rsid w:val="004E01A0"/>
    <w:rsid w:val="004E01DD"/>
    <w:rsid w:val="004E01F2"/>
    <w:rsid w:val="004E024E"/>
    <w:rsid w:val="004E0312"/>
    <w:rsid w:val="004E0320"/>
    <w:rsid w:val="004E03BD"/>
    <w:rsid w:val="004E03D4"/>
    <w:rsid w:val="004E0488"/>
    <w:rsid w:val="004E06D6"/>
    <w:rsid w:val="004E0757"/>
    <w:rsid w:val="004E07B4"/>
    <w:rsid w:val="004E07C7"/>
    <w:rsid w:val="004E07D4"/>
    <w:rsid w:val="004E08B8"/>
    <w:rsid w:val="004E08D7"/>
    <w:rsid w:val="004E0964"/>
    <w:rsid w:val="004E09AE"/>
    <w:rsid w:val="004E09FB"/>
    <w:rsid w:val="004E0A9E"/>
    <w:rsid w:val="004E0ACC"/>
    <w:rsid w:val="004E0ADD"/>
    <w:rsid w:val="004E0B5B"/>
    <w:rsid w:val="004E0C62"/>
    <w:rsid w:val="004E0C82"/>
    <w:rsid w:val="004E0D64"/>
    <w:rsid w:val="004E0E48"/>
    <w:rsid w:val="004E0E5F"/>
    <w:rsid w:val="004E0F09"/>
    <w:rsid w:val="004E0F43"/>
    <w:rsid w:val="004E0FB0"/>
    <w:rsid w:val="004E0FDE"/>
    <w:rsid w:val="004E106D"/>
    <w:rsid w:val="004E10CA"/>
    <w:rsid w:val="004E116A"/>
    <w:rsid w:val="004E116C"/>
    <w:rsid w:val="004E11CC"/>
    <w:rsid w:val="004E11D1"/>
    <w:rsid w:val="004E120B"/>
    <w:rsid w:val="004E1211"/>
    <w:rsid w:val="004E1288"/>
    <w:rsid w:val="004E12D9"/>
    <w:rsid w:val="004E132E"/>
    <w:rsid w:val="004E137B"/>
    <w:rsid w:val="004E1442"/>
    <w:rsid w:val="004E14F4"/>
    <w:rsid w:val="004E151A"/>
    <w:rsid w:val="004E153D"/>
    <w:rsid w:val="004E15ED"/>
    <w:rsid w:val="004E1648"/>
    <w:rsid w:val="004E16C1"/>
    <w:rsid w:val="004E1720"/>
    <w:rsid w:val="004E1740"/>
    <w:rsid w:val="004E1761"/>
    <w:rsid w:val="004E182F"/>
    <w:rsid w:val="004E185A"/>
    <w:rsid w:val="004E1865"/>
    <w:rsid w:val="004E1896"/>
    <w:rsid w:val="004E18A0"/>
    <w:rsid w:val="004E18EB"/>
    <w:rsid w:val="004E1950"/>
    <w:rsid w:val="004E19A0"/>
    <w:rsid w:val="004E19CB"/>
    <w:rsid w:val="004E1A75"/>
    <w:rsid w:val="004E1AB6"/>
    <w:rsid w:val="004E1AC5"/>
    <w:rsid w:val="004E1B25"/>
    <w:rsid w:val="004E1B45"/>
    <w:rsid w:val="004E1B4B"/>
    <w:rsid w:val="004E1B88"/>
    <w:rsid w:val="004E1BF5"/>
    <w:rsid w:val="004E1C30"/>
    <w:rsid w:val="004E1C5F"/>
    <w:rsid w:val="004E1C8D"/>
    <w:rsid w:val="004E1D15"/>
    <w:rsid w:val="004E1D31"/>
    <w:rsid w:val="004E1D39"/>
    <w:rsid w:val="004E1DA8"/>
    <w:rsid w:val="004E1DCD"/>
    <w:rsid w:val="004E1DD3"/>
    <w:rsid w:val="004E1DF2"/>
    <w:rsid w:val="004E1E35"/>
    <w:rsid w:val="004E1EE1"/>
    <w:rsid w:val="004E1F24"/>
    <w:rsid w:val="004E1F37"/>
    <w:rsid w:val="004E1F6A"/>
    <w:rsid w:val="004E1FA7"/>
    <w:rsid w:val="004E1FC9"/>
    <w:rsid w:val="004E2052"/>
    <w:rsid w:val="004E2055"/>
    <w:rsid w:val="004E2081"/>
    <w:rsid w:val="004E2092"/>
    <w:rsid w:val="004E2100"/>
    <w:rsid w:val="004E2114"/>
    <w:rsid w:val="004E2119"/>
    <w:rsid w:val="004E2166"/>
    <w:rsid w:val="004E2330"/>
    <w:rsid w:val="004E234A"/>
    <w:rsid w:val="004E239F"/>
    <w:rsid w:val="004E2412"/>
    <w:rsid w:val="004E244C"/>
    <w:rsid w:val="004E2453"/>
    <w:rsid w:val="004E24AF"/>
    <w:rsid w:val="004E24F8"/>
    <w:rsid w:val="004E2504"/>
    <w:rsid w:val="004E255A"/>
    <w:rsid w:val="004E25DC"/>
    <w:rsid w:val="004E2640"/>
    <w:rsid w:val="004E26FB"/>
    <w:rsid w:val="004E271D"/>
    <w:rsid w:val="004E272B"/>
    <w:rsid w:val="004E274A"/>
    <w:rsid w:val="004E278C"/>
    <w:rsid w:val="004E2824"/>
    <w:rsid w:val="004E2862"/>
    <w:rsid w:val="004E28FA"/>
    <w:rsid w:val="004E2ABC"/>
    <w:rsid w:val="004E2AEA"/>
    <w:rsid w:val="004E2B16"/>
    <w:rsid w:val="004E2C66"/>
    <w:rsid w:val="004E2D3C"/>
    <w:rsid w:val="004E2D57"/>
    <w:rsid w:val="004E2D7F"/>
    <w:rsid w:val="004E2DAC"/>
    <w:rsid w:val="004E2DD3"/>
    <w:rsid w:val="004E2DE1"/>
    <w:rsid w:val="004E2DE5"/>
    <w:rsid w:val="004E2DED"/>
    <w:rsid w:val="004E2E50"/>
    <w:rsid w:val="004E2F26"/>
    <w:rsid w:val="004E2F30"/>
    <w:rsid w:val="004E302D"/>
    <w:rsid w:val="004E305D"/>
    <w:rsid w:val="004E30CC"/>
    <w:rsid w:val="004E30F4"/>
    <w:rsid w:val="004E3239"/>
    <w:rsid w:val="004E327D"/>
    <w:rsid w:val="004E32D8"/>
    <w:rsid w:val="004E32E2"/>
    <w:rsid w:val="004E33B9"/>
    <w:rsid w:val="004E3401"/>
    <w:rsid w:val="004E3433"/>
    <w:rsid w:val="004E3434"/>
    <w:rsid w:val="004E34AA"/>
    <w:rsid w:val="004E350E"/>
    <w:rsid w:val="004E3526"/>
    <w:rsid w:val="004E3532"/>
    <w:rsid w:val="004E360A"/>
    <w:rsid w:val="004E360D"/>
    <w:rsid w:val="004E362A"/>
    <w:rsid w:val="004E3686"/>
    <w:rsid w:val="004E3715"/>
    <w:rsid w:val="004E37E1"/>
    <w:rsid w:val="004E3809"/>
    <w:rsid w:val="004E3A3A"/>
    <w:rsid w:val="004E3ABF"/>
    <w:rsid w:val="004E3B3D"/>
    <w:rsid w:val="004E3B4C"/>
    <w:rsid w:val="004E3BC6"/>
    <w:rsid w:val="004E3C71"/>
    <w:rsid w:val="004E3CBC"/>
    <w:rsid w:val="004E3D17"/>
    <w:rsid w:val="004E3D2C"/>
    <w:rsid w:val="004E3DD8"/>
    <w:rsid w:val="004E3E59"/>
    <w:rsid w:val="004E3EA7"/>
    <w:rsid w:val="004E3ED9"/>
    <w:rsid w:val="004E3F07"/>
    <w:rsid w:val="004E3F44"/>
    <w:rsid w:val="004E3F81"/>
    <w:rsid w:val="004E3FC9"/>
    <w:rsid w:val="004E400C"/>
    <w:rsid w:val="004E404D"/>
    <w:rsid w:val="004E40A3"/>
    <w:rsid w:val="004E40F0"/>
    <w:rsid w:val="004E4282"/>
    <w:rsid w:val="004E42AE"/>
    <w:rsid w:val="004E4386"/>
    <w:rsid w:val="004E4465"/>
    <w:rsid w:val="004E448B"/>
    <w:rsid w:val="004E44A1"/>
    <w:rsid w:val="004E44E9"/>
    <w:rsid w:val="004E44EF"/>
    <w:rsid w:val="004E4503"/>
    <w:rsid w:val="004E4591"/>
    <w:rsid w:val="004E4692"/>
    <w:rsid w:val="004E46FA"/>
    <w:rsid w:val="004E4734"/>
    <w:rsid w:val="004E475B"/>
    <w:rsid w:val="004E479D"/>
    <w:rsid w:val="004E479E"/>
    <w:rsid w:val="004E48EB"/>
    <w:rsid w:val="004E494A"/>
    <w:rsid w:val="004E4A19"/>
    <w:rsid w:val="004E4A9B"/>
    <w:rsid w:val="004E4AEC"/>
    <w:rsid w:val="004E4B11"/>
    <w:rsid w:val="004E4B63"/>
    <w:rsid w:val="004E4B79"/>
    <w:rsid w:val="004E4BD8"/>
    <w:rsid w:val="004E4C5D"/>
    <w:rsid w:val="004E4CEE"/>
    <w:rsid w:val="004E4D10"/>
    <w:rsid w:val="004E4D2D"/>
    <w:rsid w:val="004E4DAC"/>
    <w:rsid w:val="004E4DF3"/>
    <w:rsid w:val="004E4DFC"/>
    <w:rsid w:val="004E4F00"/>
    <w:rsid w:val="004E4F9C"/>
    <w:rsid w:val="004E4FAA"/>
    <w:rsid w:val="004E502D"/>
    <w:rsid w:val="004E5059"/>
    <w:rsid w:val="004E5087"/>
    <w:rsid w:val="004E508C"/>
    <w:rsid w:val="004E50E8"/>
    <w:rsid w:val="004E51D2"/>
    <w:rsid w:val="004E5244"/>
    <w:rsid w:val="004E531F"/>
    <w:rsid w:val="004E5371"/>
    <w:rsid w:val="004E5377"/>
    <w:rsid w:val="004E5414"/>
    <w:rsid w:val="004E547E"/>
    <w:rsid w:val="004E54CC"/>
    <w:rsid w:val="004E5568"/>
    <w:rsid w:val="004E5585"/>
    <w:rsid w:val="004E55D2"/>
    <w:rsid w:val="004E55D6"/>
    <w:rsid w:val="004E5628"/>
    <w:rsid w:val="004E566A"/>
    <w:rsid w:val="004E5752"/>
    <w:rsid w:val="004E576A"/>
    <w:rsid w:val="004E5781"/>
    <w:rsid w:val="004E57A0"/>
    <w:rsid w:val="004E5858"/>
    <w:rsid w:val="004E585A"/>
    <w:rsid w:val="004E5951"/>
    <w:rsid w:val="004E5A21"/>
    <w:rsid w:val="004E5AA8"/>
    <w:rsid w:val="004E5AC9"/>
    <w:rsid w:val="004E5AD4"/>
    <w:rsid w:val="004E5AE6"/>
    <w:rsid w:val="004E5B98"/>
    <w:rsid w:val="004E5B9D"/>
    <w:rsid w:val="004E5BA6"/>
    <w:rsid w:val="004E5C6A"/>
    <w:rsid w:val="004E5C8E"/>
    <w:rsid w:val="004E5D29"/>
    <w:rsid w:val="004E5D2C"/>
    <w:rsid w:val="004E5DF9"/>
    <w:rsid w:val="004E5E05"/>
    <w:rsid w:val="004E5E0C"/>
    <w:rsid w:val="004E5E13"/>
    <w:rsid w:val="004E5E15"/>
    <w:rsid w:val="004E5EE2"/>
    <w:rsid w:val="004E5EE3"/>
    <w:rsid w:val="004E5F00"/>
    <w:rsid w:val="004E5F3A"/>
    <w:rsid w:val="004E5F40"/>
    <w:rsid w:val="004E5F6A"/>
    <w:rsid w:val="004E5FFE"/>
    <w:rsid w:val="004E6128"/>
    <w:rsid w:val="004E6265"/>
    <w:rsid w:val="004E62DD"/>
    <w:rsid w:val="004E62E0"/>
    <w:rsid w:val="004E6329"/>
    <w:rsid w:val="004E647C"/>
    <w:rsid w:val="004E649B"/>
    <w:rsid w:val="004E64C0"/>
    <w:rsid w:val="004E650D"/>
    <w:rsid w:val="004E65DC"/>
    <w:rsid w:val="004E65DF"/>
    <w:rsid w:val="004E6621"/>
    <w:rsid w:val="004E665C"/>
    <w:rsid w:val="004E66DF"/>
    <w:rsid w:val="004E6706"/>
    <w:rsid w:val="004E672C"/>
    <w:rsid w:val="004E6753"/>
    <w:rsid w:val="004E678A"/>
    <w:rsid w:val="004E67D4"/>
    <w:rsid w:val="004E67D5"/>
    <w:rsid w:val="004E6889"/>
    <w:rsid w:val="004E68B4"/>
    <w:rsid w:val="004E6911"/>
    <w:rsid w:val="004E692A"/>
    <w:rsid w:val="004E6994"/>
    <w:rsid w:val="004E69AC"/>
    <w:rsid w:val="004E6A07"/>
    <w:rsid w:val="004E6A2B"/>
    <w:rsid w:val="004E6A36"/>
    <w:rsid w:val="004E6A9D"/>
    <w:rsid w:val="004E6B36"/>
    <w:rsid w:val="004E6B5F"/>
    <w:rsid w:val="004E6BE3"/>
    <w:rsid w:val="004E6C64"/>
    <w:rsid w:val="004E6C92"/>
    <w:rsid w:val="004E6CE2"/>
    <w:rsid w:val="004E6DA9"/>
    <w:rsid w:val="004E6DE8"/>
    <w:rsid w:val="004E6E4A"/>
    <w:rsid w:val="004E6E84"/>
    <w:rsid w:val="004E6E9D"/>
    <w:rsid w:val="004E6EAC"/>
    <w:rsid w:val="004E6EE4"/>
    <w:rsid w:val="004E6F46"/>
    <w:rsid w:val="004E6F74"/>
    <w:rsid w:val="004E6FCD"/>
    <w:rsid w:val="004E6FE8"/>
    <w:rsid w:val="004E7080"/>
    <w:rsid w:val="004E70DB"/>
    <w:rsid w:val="004E70ED"/>
    <w:rsid w:val="004E7162"/>
    <w:rsid w:val="004E719A"/>
    <w:rsid w:val="004E71D5"/>
    <w:rsid w:val="004E71DC"/>
    <w:rsid w:val="004E722A"/>
    <w:rsid w:val="004E7322"/>
    <w:rsid w:val="004E7344"/>
    <w:rsid w:val="004E7458"/>
    <w:rsid w:val="004E74D3"/>
    <w:rsid w:val="004E7564"/>
    <w:rsid w:val="004E7606"/>
    <w:rsid w:val="004E7614"/>
    <w:rsid w:val="004E7687"/>
    <w:rsid w:val="004E76CA"/>
    <w:rsid w:val="004E7715"/>
    <w:rsid w:val="004E77CC"/>
    <w:rsid w:val="004E7835"/>
    <w:rsid w:val="004E786F"/>
    <w:rsid w:val="004E79E0"/>
    <w:rsid w:val="004E7A24"/>
    <w:rsid w:val="004E7A2F"/>
    <w:rsid w:val="004E7AAB"/>
    <w:rsid w:val="004E7B01"/>
    <w:rsid w:val="004E7B25"/>
    <w:rsid w:val="004E7B46"/>
    <w:rsid w:val="004E7B5B"/>
    <w:rsid w:val="004E7B85"/>
    <w:rsid w:val="004E7B98"/>
    <w:rsid w:val="004E7CDA"/>
    <w:rsid w:val="004E7D1F"/>
    <w:rsid w:val="004E7D23"/>
    <w:rsid w:val="004E7D40"/>
    <w:rsid w:val="004E7DB2"/>
    <w:rsid w:val="004E7DE1"/>
    <w:rsid w:val="004E7DF3"/>
    <w:rsid w:val="004E7DF5"/>
    <w:rsid w:val="004E7E0B"/>
    <w:rsid w:val="004E7EDE"/>
    <w:rsid w:val="004E7FBD"/>
    <w:rsid w:val="004E7FD7"/>
    <w:rsid w:val="004E7FF5"/>
    <w:rsid w:val="004E7FFD"/>
    <w:rsid w:val="004E7FFE"/>
    <w:rsid w:val="004F0022"/>
    <w:rsid w:val="004F0121"/>
    <w:rsid w:val="004F019E"/>
    <w:rsid w:val="004F01C9"/>
    <w:rsid w:val="004F0212"/>
    <w:rsid w:val="004F0277"/>
    <w:rsid w:val="004F02B9"/>
    <w:rsid w:val="004F02FF"/>
    <w:rsid w:val="004F0323"/>
    <w:rsid w:val="004F037A"/>
    <w:rsid w:val="004F03E2"/>
    <w:rsid w:val="004F04A8"/>
    <w:rsid w:val="004F04B7"/>
    <w:rsid w:val="004F055E"/>
    <w:rsid w:val="004F0572"/>
    <w:rsid w:val="004F058B"/>
    <w:rsid w:val="004F059B"/>
    <w:rsid w:val="004F0605"/>
    <w:rsid w:val="004F0635"/>
    <w:rsid w:val="004F0645"/>
    <w:rsid w:val="004F0697"/>
    <w:rsid w:val="004F087B"/>
    <w:rsid w:val="004F088B"/>
    <w:rsid w:val="004F08A1"/>
    <w:rsid w:val="004F08F0"/>
    <w:rsid w:val="004F0977"/>
    <w:rsid w:val="004F0998"/>
    <w:rsid w:val="004F099F"/>
    <w:rsid w:val="004F09D3"/>
    <w:rsid w:val="004F09F3"/>
    <w:rsid w:val="004F0A3D"/>
    <w:rsid w:val="004F0A49"/>
    <w:rsid w:val="004F0AD9"/>
    <w:rsid w:val="004F0B3A"/>
    <w:rsid w:val="004F0B90"/>
    <w:rsid w:val="004F0BC7"/>
    <w:rsid w:val="004F0C29"/>
    <w:rsid w:val="004F0C2C"/>
    <w:rsid w:val="004F0C3C"/>
    <w:rsid w:val="004F0C43"/>
    <w:rsid w:val="004F0C61"/>
    <w:rsid w:val="004F0DAC"/>
    <w:rsid w:val="004F0E01"/>
    <w:rsid w:val="004F0E8F"/>
    <w:rsid w:val="004F0EC5"/>
    <w:rsid w:val="004F0EF9"/>
    <w:rsid w:val="004F0F44"/>
    <w:rsid w:val="004F0F54"/>
    <w:rsid w:val="004F0F7E"/>
    <w:rsid w:val="004F0FB9"/>
    <w:rsid w:val="004F100E"/>
    <w:rsid w:val="004F1143"/>
    <w:rsid w:val="004F114F"/>
    <w:rsid w:val="004F1150"/>
    <w:rsid w:val="004F1152"/>
    <w:rsid w:val="004F11BD"/>
    <w:rsid w:val="004F11D1"/>
    <w:rsid w:val="004F1200"/>
    <w:rsid w:val="004F129E"/>
    <w:rsid w:val="004F12C9"/>
    <w:rsid w:val="004F12E9"/>
    <w:rsid w:val="004F1350"/>
    <w:rsid w:val="004F1376"/>
    <w:rsid w:val="004F139C"/>
    <w:rsid w:val="004F13C1"/>
    <w:rsid w:val="004F13C5"/>
    <w:rsid w:val="004F14FE"/>
    <w:rsid w:val="004F1530"/>
    <w:rsid w:val="004F15CF"/>
    <w:rsid w:val="004F1609"/>
    <w:rsid w:val="004F1621"/>
    <w:rsid w:val="004F163F"/>
    <w:rsid w:val="004F165A"/>
    <w:rsid w:val="004F166B"/>
    <w:rsid w:val="004F167A"/>
    <w:rsid w:val="004F16C1"/>
    <w:rsid w:val="004F16CC"/>
    <w:rsid w:val="004F1747"/>
    <w:rsid w:val="004F1819"/>
    <w:rsid w:val="004F181D"/>
    <w:rsid w:val="004F188C"/>
    <w:rsid w:val="004F18BA"/>
    <w:rsid w:val="004F190E"/>
    <w:rsid w:val="004F192F"/>
    <w:rsid w:val="004F1956"/>
    <w:rsid w:val="004F1AD6"/>
    <w:rsid w:val="004F1B9C"/>
    <w:rsid w:val="004F1CF6"/>
    <w:rsid w:val="004F1D11"/>
    <w:rsid w:val="004F1D89"/>
    <w:rsid w:val="004F1DD0"/>
    <w:rsid w:val="004F1E41"/>
    <w:rsid w:val="004F1E85"/>
    <w:rsid w:val="004F1E87"/>
    <w:rsid w:val="004F1ECB"/>
    <w:rsid w:val="004F1F14"/>
    <w:rsid w:val="004F1F74"/>
    <w:rsid w:val="004F1F75"/>
    <w:rsid w:val="004F1FFA"/>
    <w:rsid w:val="004F2188"/>
    <w:rsid w:val="004F2190"/>
    <w:rsid w:val="004F21A3"/>
    <w:rsid w:val="004F21B5"/>
    <w:rsid w:val="004F21CB"/>
    <w:rsid w:val="004F220B"/>
    <w:rsid w:val="004F2215"/>
    <w:rsid w:val="004F2239"/>
    <w:rsid w:val="004F230E"/>
    <w:rsid w:val="004F23BE"/>
    <w:rsid w:val="004F23C5"/>
    <w:rsid w:val="004F24F3"/>
    <w:rsid w:val="004F254B"/>
    <w:rsid w:val="004F2581"/>
    <w:rsid w:val="004F2582"/>
    <w:rsid w:val="004F25AB"/>
    <w:rsid w:val="004F25F1"/>
    <w:rsid w:val="004F2614"/>
    <w:rsid w:val="004F2634"/>
    <w:rsid w:val="004F2637"/>
    <w:rsid w:val="004F265A"/>
    <w:rsid w:val="004F271F"/>
    <w:rsid w:val="004F27C0"/>
    <w:rsid w:val="004F27D4"/>
    <w:rsid w:val="004F27E7"/>
    <w:rsid w:val="004F28A5"/>
    <w:rsid w:val="004F28A8"/>
    <w:rsid w:val="004F28BE"/>
    <w:rsid w:val="004F28D6"/>
    <w:rsid w:val="004F291A"/>
    <w:rsid w:val="004F296D"/>
    <w:rsid w:val="004F296E"/>
    <w:rsid w:val="004F2983"/>
    <w:rsid w:val="004F2993"/>
    <w:rsid w:val="004F29A1"/>
    <w:rsid w:val="004F29FC"/>
    <w:rsid w:val="004F2A37"/>
    <w:rsid w:val="004F2A52"/>
    <w:rsid w:val="004F2A6B"/>
    <w:rsid w:val="004F2AE6"/>
    <w:rsid w:val="004F2B0A"/>
    <w:rsid w:val="004F2B53"/>
    <w:rsid w:val="004F2C59"/>
    <w:rsid w:val="004F2D10"/>
    <w:rsid w:val="004F2D75"/>
    <w:rsid w:val="004F2DA2"/>
    <w:rsid w:val="004F2DBC"/>
    <w:rsid w:val="004F2E1B"/>
    <w:rsid w:val="004F2E31"/>
    <w:rsid w:val="004F2F54"/>
    <w:rsid w:val="004F2F86"/>
    <w:rsid w:val="004F304E"/>
    <w:rsid w:val="004F30E8"/>
    <w:rsid w:val="004F31BA"/>
    <w:rsid w:val="004F31CA"/>
    <w:rsid w:val="004F328C"/>
    <w:rsid w:val="004F32CF"/>
    <w:rsid w:val="004F32F8"/>
    <w:rsid w:val="004F3307"/>
    <w:rsid w:val="004F3325"/>
    <w:rsid w:val="004F33C4"/>
    <w:rsid w:val="004F350F"/>
    <w:rsid w:val="004F3566"/>
    <w:rsid w:val="004F35C8"/>
    <w:rsid w:val="004F366C"/>
    <w:rsid w:val="004F3683"/>
    <w:rsid w:val="004F36AB"/>
    <w:rsid w:val="004F370C"/>
    <w:rsid w:val="004F3772"/>
    <w:rsid w:val="004F3856"/>
    <w:rsid w:val="004F3954"/>
    <w:rsid w:val="004F39F1"/>
    <w:rsid w:val="004F3A79"/>
    <w:rsid w:val="004F3AA4"/>
    <w:rsid w:val="004F3AC6"/>
    <w:rsid w:val="004F3AD4"/>
    <w:rsid w:val="004F3AEB"/>
    <w:rsid w:val="004F3C41"/>
    <w:rsid w:val="004F3C81"/>
    <w:rsid w:val="004F3DCE"/>
    <w:rsid w:val="004F3E35"/>
    <w:rsid w:val="004F3EA3"/>
    <w:rsid w:val="004F3EAE"/>
    <w:rsid w:val="004F3EB2"/>
    <w:rsid w:val="004F3ED8"/>
    <w:rsid w:val="004F3F3B"/>
    <w:rsid w:val="004F3FF2"/>
    <w:rsid w:val="004F4055"/>
    <w:rsid w:val="004F40ED"/>
    <w:rsid w:val="004F4141"/>
    <w:rsid w:val="004F414A"/>
    <w:rsid w:val="004F41C6"/>
    <w:rsid w:val="004F41D3"/>
    <w:rsid w:val="004F4205"/>
    <w:rsid w:val="004F420A"/>
    <w:rsid w:val="004F422E"/>
    <w:rsid w:val="004F4235"/>
    <w:rsid w:val="004F42A3"/>
    <w:rsid w:val="004F43C3"/>
    <w:rsid w:val="004F443C"/>
    <w:rsid w:val="004F444C"/>
    <w:rsid w:val="004F4466"/>
    <w:rsid w:val="004F4496"/>
    <w:rsid w:val="004F4619"/>
    <w:rsid w:val="004F46A0"/>
    <w:rsid w:val="004F471C"/>
    <w:rsid w:val="004F472D"/>
    <w:rsid w:val="004F4764"/>
    <w:rsid w:val="004F476E"/>
    <w:rsid w:val="004F4781"/>
    <w:rsid w:val="004F47B9"/>
    <w:rsid w:val="004F4891"/>
    <w:rsid w:val="004F490A"/>
    <w:rsid w:val="004F4996"/>
    <w:rsid w:val="004F49F9"/>
    <w:rsid w:val="004F4A13"/>
    <w:rsid w:val="004F4A8A"/>
    <w:rsid w:val="004F4AE2"/>
    <w:rsid w:val="004F4BA2"/>
    <w:rsid w:val="004F4C24"/>
    <w:rsid w:val="004F4CF7"/>
    <w:rsid w:val="004F4D38"/>
    <w:rsid w:val="004F4E0C"/>
    <w:rsid w:val="004F4E84"/>
    <w:rsid w:val="004F4EAF"/>
    <w:rsid w:val="004F4EDC"/>
    <w:rsid w:val="004F4FFF"/>
    <w:rsid w:val="004F5023"/>
    <w:rsid w:val="004F504D"/>
    <w:rsid w:val="004F50A1"/>
    <w:rsid w:val="004F50F0"/>
    <w:rsid w:val="004F514C"/>
    <w:rsid w:val="004F516E"/>
    <w:rsid w:val="004F523D"/>
    <w:rsid w:val="004F5287"/>
    <w:rsid w:val="004F52B5"/>
    <w:rsid w:val="004F5343"/>
    <w:rsid w:val="004F539D"/>
    <w:rsid w:val="004F53C8"/>
    <w:rsid w:val="004F5473"/>
    <w:rsid w:val="004F5557"/>
    <w:rsid w:val="004F5662"/>
    <w:rsid w:val="004F56AC"/>
    <w:rsid w:val="004F576F"/>
    <w:rsid w:val="004F579B"/>
    <w:rsid w:val="004F57B4"/>
    <w:rsid w:val="004F58B0"/>
    <w:rsid w:val="004F58DB"/>
    <w:rsid w:val="004F5999"/>
    <w:rsid w:val="004F5A09"/>
    <w:rsid w:val="004F5BE3"/>
    <w:rsid w:val="004F5C0D"/>
    <w:rsid w:val="004F5C35"/>
    <w:rsid w:val="004F5CCE"/>
    <w:rsid w:val="004F5D22"/>
    <w:rsid w:val="004F5E1F"/>
    <w:rsid w:val="004F5EB3"/>
    <w:rsid w:val="004F5ECB"/>
    <w:rsid w:val="004F608D"/>
    <w:rsid w:val="004F60A0"/>
    <w:rsid w:val="004F610B"/>
    <w:rsid w:val="004F6169"/>
    <w:rsid w:val="004F61A5"/>
    <w:rsid w:val="004F61C4"/>
    <w:rsid w:val="004F61E8"/>
    <w:rsid w:val="004F622B"/>
    <w:rsid w:val="004F627A"/>
    <w:rsid w:val="004F6342"/>
    <w:rsid w:val="004F6343"/>
    <w:rsid w:val="004F63CE"/>
    <w:rsid w:val="004F648D"/>
    <w:rsid w:val="004F64B1"/>
    <w:rsid w:val="004F652D"/>
    <w:rsid w:val="004F6534"/>
    <w:rsid w:val="004F65B1"/>
    <w:rsid w:val="004F660F"/>
    <w:rsid w:val="004F665D"/>
    <w:rsid w:val="004F669B"/>
    <w:rsid w:val="004F66BD"/>
    <w:rsid w:val="004F685D"/>
    <w:rsid w:val="004F68CC"/>
    <w:rsid w:val="004F68CF"/>
    <w:rsid w:val="004F6909"/>
    <w:rsid w:val="004F6965"/>
    <w:rsid w:val="004F6AE4"/>
    <w:rsid w:val="004F6AF4"/>
    <w:rsid w:val="004F6B02"/>
    <w:rsid w:val="004F6B0A"/>
    <w:rsid w:val="004F6B4E"/>
    <w:rsid w:val="004F6C04"/>
    <w:rsid w:val="004F6C4B"/>
    <w:rsid w:val="004F6D25"/>
    <w:rsid w:val="004F6DA5"/>
    <w:rsid w:val="004F6E69"/>
    <w:rsid w:val="004F6EA4"/>
    <w:rsid w:val="004F6EC7"/>
    <w:rsid w:val="004F6ECB"/>
    <w:rsid w:val="004F6F76"/>
    <w:rsid w:val="004F6FE2"/>
    <w:rsid w:val="004F70C7"/>
    <w:rsid w:val="004F70DB"/>
    <w:rsid w:val="004F7195"/>
    <w:rsid w:val="004F735C"/>
    <w:rsid w:val="004F7470"/>
    <w:rsid w:val="004F74D4"/>
    <w:rsid w:val="004F757D"/>
    <w:rsid w:val="004F75AD"/>
    <w:rsid w:val="004F7632"/>
    <w:rsid w:val="004F7652"/>
    <w:rsid w:val="004F76AD"/>
    <w:rsid w:val="004F76CE"/>
    <w:rsid w:val="004F76EA"/>
    <w:rsid w:val="004F777E"/>
    <w:rsid w:val="004F77C9"/>
    <w:rsid w:val="004F780C"/>
    <w:rsid w:val="004F7864"/>
    <w:rsid w:val="004F7929"/>
    <w:rsid w:val="004F798D"/>
    <w:rsid w:val="004F79A0"/>
    <w:rsid w:val="004F79A2"/>
    <w:rsid w:val="004F79CB"/>
    <w:rsid w:val="004F79DA"/>
    <w:rsid w:val="004F7AF4"/>
    <w:rsid w:val="004F7B3F"/>
    <w:rsid w:val="004F7B46"/>
    <w:rsid w:val="004F7B7A"/>
    <w:rsid w:val="004F7B85"/>
    <w:rsid w:val="004F7BAF"/>
    <w:rsid w:val="004F7BD1"/>
    <w:rsid w:val="004F7C61"/>
    <w:rsid w:val="004F7C8D"/>
    <w:rsid w:val="004F7D07"/>
    <w:rsid w:val="004F7D32"/>
    <w:rsid w:val="004F7D60"/>
    <w:rsid w:val="004F7DD2"/>
    <w:rsid w:val="004F7DDC"/>
    <w:rsid w:val="004F7E47"/>
    <w:rsid w:val="004F7EC4"/>
    <w:rsid w:val="004F7EED"/>
    <w:rsid w:val="004F7F4D"/>
    <w:rsid w:val="004F7F8B"/>
    <w:rsid w:val="004F7F8C"/>
    <w:rsid w:val="004F7FA6"/>
    <w:rsid w:val="00500098"/>
    <w:rsid w:val="0050009E"/>
    <w:rsid w:val="005000B9"/>
    <w:rsid w:val="005000F7"/>
    <w:rsid w:val="00500169"/>
    <w:rsid w:val="0050024F"/>
    <w:rsid w:val="005002D3"/>
    <w:rsid w:val="005002F7"/>
    <w:rsid w:val="005002FD"/>
    <w:rsid w:val="00500346"/>
    <w:rsid w:val="00500393"/>
    <w:rsid w:val="005003E6"/>
    <w:rsid w:val="0050046B"/>
    <w:rsid w:val="005004D5"/>
    <w:rsid w:val="005004FB"/>
    <w:rsid w:val="00500553"/>
    <w:rsid w:val="0050056E"/>
    <w:rsid w:val="00500572"/>
    <w:rsid w:val="00500575"/>
    <w:rsid w:val="0050057B"/>
    <w:rsid w:val="0050058A"/>
    <w:rsid w:val="005006EB"/>
    <w:rsid w:val="005006FA"/>
    <w:rsid w:val="00500769"/>
    <w:rsid w:val="00500784"/>
    <w:rsid w:val="00500821"/>
    <w:rsid w:val="00500893"/>
    <w:rsid w:val="005008A9"/>
    <w:rsid w:val="005008C9"/>
    <w:rsid w:val="005008DB"/>
    <w:rsid w:val="00500964"/>
    <w:rsid w:val="0050098B"/>
    <w:rsid w:val="00500A74"/>
    <w:rsid w:val="00500A80"/>
    <w:rsid w:val="00500A8A"/>
    <w:rsid w:val="00500B7E"/>
    <w:rsid w:val="00500BC9"/>
    <w:rsid w:val="00500CAD"/>
    <w:rsid w:val="00500CF4"/>
    <w:rsid w:val="00500CFF"/>
    <w:rsid w:val="00500D5B"/>
    <w:rsid w:val="00500DCE"/>
    <w:rsid w:val="00500DF3"/>
    <w:rsid w:val="00500E53"/>
    <w:rsid w:val="00500F83"/>
    <w:rsid w:val="00500F93"/>
    <w:rsid w:val="00500FA1"/>
    <w:rsid w:val="00500FB3"/>
    <w:rsid w:val="00501022"/>
    <w:rsid w:val="00501055"/>
    <w:rsid w:val="00501082"/>
    <w:rsid w:val="00501098"/>
    <w:rsid w:val="005010CC"/>
    <w:rsid w:val="0050119C"/>
    <w:rsid w:val="0050124E"/>
    <w:rsid w:val="00501296"/>
    <w:rsid w:val="005012B0"/>
    <w:rsid w:val="005012C1"/>
    <w:rsid w:val="005012FC"/>
    <w:rsid w:val="0050130B"/>
    <w:rsid w:val="00501335"/>
    <w:rsid w:val="0050139E"/>
    <w:rsid w:val="005013C9"/>
    <w:rsid w:val="005013F5"/>
    <w:rsid w:val="0050142C"/>
    <w:rsid w:val="00501431"/>
    <w:rsid w:val="0050149F"/>
    <w:rsid w:val="005014DC"/>
    <w:rsid w:val="005014F0"/>
    <w:rsid w:val="0050153D"/>
    <w:rsid w:val="0050158C"/>
    <w:rsid w:val="005015C4"/>
    <w:rsid w:val="0050163B"/>
    <w:rsid w:val="0050172B"/>
    <w:rsid w:val="00501756"/>
    <w:rsid w:val="00501759"/>
    <w:rsid w:val="0050175B"/>
    <w:rsid w:val="00501775"/>
    <w:rsid w:val="00501785"/>
    <w:rsid w:val="0050179F"/>
    <w:rsid w:val="00501816"/>
    <w:rsid w:val="00501888"/>
    <w:rsid w:val="005018A7"/>
    <w:rsid w:val="005018AD"/>
    <w:rsid w:val="005018CA"/>
    <w:rsid w:val="005018CB"/>
    <w:rsid w:val="00501950"/>
    <w:rsid w:val="0050196A"/>
    <w:rsid w:val="0050196B"/>
    <w:rsid w:val="00501973"/>
    <w:rsid w:val="00501985"/>
    <w:rsid w:val="0050198D"/>
    <w:rsid w:val="005019CF"/>
    <w:rsid w:val="00501A63"/>
    <w:rsid w:val="00501A8B"/>
    <w:rsid w:val="00501A8E"/>
    <w:rsid w:val="00501AB6"/>
    <w:rsid w:val="00501B1B"/>
    <w:rsid w:val="00501B4E"/>
    <w:rsid w:val="00501B6A"/>
    <w:rsid w:val="00501BC7"/>
    <w:rsid w:val="00501C54"/>
    <w:rsid w:val="00501C6A"/>
    <w:rsid w:val="00501C7E"/>
    <w:rsid w:val="00501CC9"/>
    <w:rsid w:val="00501CD7"/>
    <w:rsid w:val="00501CF5"/>
    <w:rsid w:val="00501D07"/>
    <w:rsid w:val="00501E22"/>
    <w:rsid w:val="00501EEF"/>
    <w:rsid w:val="00501EF0"/>
    <w:rsid w:val="00501F61"/>
    <w:rsid w:val="00501F65"/>
    <w:rsid w:val="00501F82"/>
    <w:rsid w:val="00502054"/>
    <w:rsid w:val="00502067"/>
    <w:rsid w:val="00502096"/>
    <w:rsid w:val="005020A3"/>
    <w:rsid w:val="005020C9"/>
    <w:rsid w:val="005020CC"/>
    <w:rsid w:val="005020FF"/>
    <w:rsid w:val="005021A5"/>
    <w:rsid w:val="005021EF"/>
    <w:rsid w:val="00502241"/>
    <w:rsid w:val="00502329"/>
    <w:rsid w:val="005023C9"/>
    <w:rsid w:val="00502405"/>
    <w:rsid w:val="00502409"/>
    <w:rsid w:val="00502489"/>
    <w:rsid w:val="0050252E"/>
    <w:rsid w:val="00502595"/>
    <w:rsid w:val="0050262A"/>
    <w:rsid w:val="00502676"/>
    <w:rsid w:val="005026C5"/>
    <w:rsid w:val="0050279A"/>
    <w:rsid w:val="005027C5"/>
    <w:rsid w:val="00502822"/>
    <w:rsid w:val="00502893"/>
    <w:rsid w:val="005028AB"/>
    <w:rsid w:val="005028DF"/>
    <w:rsid w:val="005028E5"/>
    <w:rsid w:val="005028E9"/>
    <w:rsid w:val="0050293D"/>
    <w:rsid w:val="005029D9"/>
    <w:rsid w:val="005029ED"/>
    <w:rsid w:val="00502A49"/>
    <w:rsid w:val="00502A67"/>
    <w:rsid w:val="00502A9E"/>
    <w:rsid w:val="00502AB0"/>
    <w:rsid w:val="00502ABE"/>
    <w:rsid w:val="00502ACF"/>
    <w:rsid w:val="00502B8C"/>
    <w:rsid w:val="00502C64"/>
    <w:rsid w:val="00502C87"/>
    <w:rsid w:val="00502D47"/>
    <w:rsid w:val="00502D69"/>
    <w:rsid w:val="00502DB3"/>
    <w:rsid w:val="00502EAD"/>
    <w:rsid w:val="00502EC3"/>
    <w:rsid w:val="00502ECC"/>
    <w:rsid w:val="00502F54"/>
    <w:rsid w:val="00502F8D"/>
    <w:rsid w:val="00502FA3"/>
    <w:rsid w:val="00502FB7"/>
    <w:rsid w:val="00502FC6"/>
    <w:rsid w:val="00503042"/>
    <w:rsid w:val="00503063"/>
    <w:rsid w:val="005030DC"/>
    <w:rsid w:val="00503152"/>
    <w:rsid w:val="005031C6"/>
    <w:rsid w:val="0050330D"/>
    <w:rsid w:val="0050332D"/>
    <w:rsid w:val="0050334C"/>
    <w:rsid w:val="005033A6"/>
    <w:rsid w:val="0050341D"/>
    <w:rsid w:val="0050341F"/>
    <w:rsid w:val="00503432"/>
    <w:rsid w:val="00503443"/>
    <w:rsid w:val="005034CE"/>
    <w:rsid w:val="00503514"/>
    <w:rsid w:val="0050351C"/>
    <w:rsid w:val="00503531"/>
    <w:rsid w:val="0050354D"/>
    <w:rsid w:val="0050355F"/>
    <w:rsid w:val="00503599"/>
    <w:rsid w:val="005035E7"/>
    <w:rsid w:val="00503603"/>
    <w:rsid w:val="00503647"/>
    <w:rsid w:val="00503684"/>
    <w:rsid w:val="0050374C"/>
    <w:rsid w:val="00503768"/>
    <w:rsid w:val="005037C9"/>
    <w:rsid w:val="005037F9"/>
    <w:rsid w:val="005038A7"/>
    <w:rsid w:val="005038C7"/>
    <w:rsid w:val="005038F6"/>
    <w:rsid w:val="00503909"/>
    <w:rsid w:val="00503951"/>
    <w:rsid w:val="0050398F"/>
    <w:rsid w:val="00503993"/>
    <w:rsid w:val="005039D5"/>
    <w:rsid w:val="00503A75"/>
    <w:rsid w:val="00503A7E"/>
    <w:rsid w:val="00503AB4"/>
    <w:rsid w:val="00503ADF"/>
    <w:rsid w:val="00503AEF"/>
    <w:rsid w:val="00503AF1"/>
    <w:rsid w:val="00503B41"/>
    <w:rsid w:val="00503C27"/>
    <w:rsid w:val="00503C36"/>
    <w:rsid w:val="00503CC7"/>
    <w:rsid w:val="00503CFD"/>
    <w:rsid w:val="00503DE6"/>
    <w:rsid w:val="00503ECD"/>
    <w:rsid w:val="00503F93"/>
    <w:rsid w:val="005040C4"/>
    <w:rsid w:val="005040E7"/>
    <w:rsid w:val="00504107"/>
    <w:rsid w:val="0050423F"/>
    <w:rsid w:val="005042A5"/>
    <w:rsid w:val="005042DF"/>
    <w:rsid w:val="0050431C"/>
    <w:rsid w:val="0050432E"/>
    <w:rsid w:val="0050436F"/>
    <w:rsid w:val="0050447D"/>
    <w:rsid w:val="0050447F"/>
    <w:rsid w:val="005044AD"/>
    <w:rsid w:val="005044C7"/>
    <w:rsid w:val="005044F7"/>
    <w:rsid w:val="0050464C"/>
    <w:rsid w:val="00504699"/>
    <w:rsid w:val="005046A7"/>
    <w:rsid w:val="005046B8"/>
    <w:rsid w:val="00504708"/>
    <w:rsid w:val="00504727"/>
    <w:rsid w:val="005047C2"/>
    <w:rsid w:val="005047E7"/>
    <w:rsid w:val="00504815"/>
    <w:rsid w:val="0050483A"/>
    <w:rsid w:val="00504879"/>
    <w:rsid w:val="005048C0"/>
    <w:rsid w:val="005048F6"/>
    <w:rsid w:val="0050496B"/>
    <w:rsid w:val="0050496C"/>
    <w:rsid w:val="00504A46"/>
    <w:rsid w:val="00504A47"/>
    <w:rsid w:val="00504A4C"/>
    <w:rsid w:val="00504BD6"/>
    <w:rsid w:val="00504C7B"/>
    <w:rsid w:val="00504C80"/>
    <w:rsid w:val="00504C98"/>
    <w:rsid w:val="00504D6F"/>
    <w:rsid w:val="00504D7B"/>
    <w:rsid w:val="00504E13"/>
    <w:rsid w:val="00504F26"/>
    <w:rsid w:val="00504F64"/>
    <w:rsid w:val="00504FE9"/>
    <w:rsid w:val="00505129"/>
    <w:rsid w:val="00505143"/>
    <w:rsid w:val="005052BD"/>
    <w:rsid w:val="0050539C"/>
    <w:rsid w:val="005053C6"/>
    <w:rsid w:val="0050548E"/>
    <w:rsid w:val="005054EF"/>
    <w:rsid w:val="005054FA"/>
    <w:rsid w:val="0050550B"/>
    <w:rsid w:val="00505521"/>
    <w:rsid w:val="0050563F"/>
    <w:rsid w:val="00505646"/>
    <w:rsid w:val="00505659"/>
    <w:rsid w:val="005056D1"/>
    <w:rsid w:val="0050574B"/>
    <w:rsid w:val="00505776"/>
    <w:rsid w:val="005057A7"/>
    <w:rsid w:val="005057BC"/>
    <w:rsid w:val="00505868"/>
    <w:rsid w:val="00505A08"/>
    <w:rsid w:val="00505ADD"/>
    <w:rsid w:val="00505B1F"/>
    <w:rsid w:val="00505BFC"/>
    <w:rsid w:val="00505C01"/>
    <w:rsid w:val="00505C42"/>
    <w:rsid w:val="00505E3A"/>
    <w:rsid w:val="00505ED0"/>
    <w:rsid w:val="00505F81"/>
    <w:rsid w:val="00505F90"/>
    <w:rsid w:val="00505F9E"/>
    <w:rsid w:val="00505FDB"/>
    <w:rsid w:val="00506037"/>
    <w:rsid w:val="0050609D"/>
    <w:rsid w:val="005060C1"/>
    <w:rsid w:val="005061B7"/>
    <w:rsid w:val="005061BD"/>
    <w:rsid w:val="0050626F"/>
    <w:rsid w:val="005062A0"/>
    <w:rsid w:val="005062F5"/>
    <w:rsid w:val="0050637E"/>
    <w:rsid w:val="00506382"/>
    <w:rsid w:val="0050639B"/>
    <w:rsid w:val="00506516"/>
    <w:rsid w:val="00506569"/>
    <w:rsid w:val="005065D5"/>
    <w:rsid w:val="0050660A"/>
    <w:rsid w:val="005066AD"/>
    <w:rsid w:val="00506752"/>
    <w:rsid w:val="005067A0"/>
    <w:rsid w:val="0050681E"/>
    <w:rsid w:val="00506891"/>
    <w:rsid w:val="005068B7"/>
    <w:rsid w:val="00506946"/>
    <w:rsid w:val="00506966"/>
    <w:rsid w:val="005069B9"/>
    <w:rsid w:val="005069F7"/>
    <w:rsid w:val="00506B4A"/>
    <w:rsid w:val="00506B9E"/>
    <w:rsid w:val="00506BFB"/>
    <w:rsid w:val="00506C3A"/>
    <w:rsid w:val="00506D76"/>
    <w:rsid w:val="00506D86"/>
    <w:rsid w:val="00506DC7"/>
    <w:rsid w:val="00506E4A"/>
    <w:rsid w:val="00506E54"/>
    <w:rsid w:val="00506E7A"/>
    <w:rsid w:val="00506E7C"/>
    <w:rsid w:val="00506EA1"/>
    <w:rsid w:val="00506F0E"/>
    <w:rsid w:val="00506F0F"/>
    <w:rsid w:val="00506F10"/>
    <w:rsid w:val="00507013"/>
    <w:rsid w:val="005070C2"/>
    <w:rsid w:val="005070DA"/>
    <w:rsid w:val="005070E0"/>
    <w:rsid w:val="005070EC"/>
    <w:rsid w:val="005072AE"/>
    <w:rsid w:val="005072FC"/>
    <w:rsid w:val="00507369"/>
    <w:rsid w:val="005073A2"/>
    <w:rsid w:val="005073E4"/>
    <w:rsid w:val="005073EE"/>
    <w:rsid w:val="0050740D"/>
    <w:rsid w:val="00507488"/>
    <w:rsid w:val="00507497"/>
    <w:rsid w:val="005074EE"/>
    <w:rsid w:val="00507519"/>
    <w:rsid w:val="00507559"/>
    <w:rsid w:val="00507600"/>
    <w:rsid w:val="00507612"/>
    <w:rsid w:val="00507621"/>
    <w:rsid w:val="0050765D"/>
    <w:rsid w:val="005076EC"/>
    <w:rsid w:val="005077AF"/>
    <w:rsid w:val="005077D9"/>
    <w:rsid w:val="005077E7"/>
    <w:rsid w:val="0050784A"/>
    <w:rsid w:val="0050784B"/>
    <w:rsid w:val="005078D6"/>
    <w:rsid w:val="005078D7"/>
    <w:rsid w:val="005078D9"/>
    <w:rsid w:val="00507969"/>
    <w:rsid w:val="00507A0C"/>
    <w:rsid w:val="00507A3D"/>
    <w:rsid w:val="00507A53"/>
    <w:rsid w:val="00507B5E"/>
    <w:rsid w:val="00507B78"/>
    <w:rsid w:val="00507B80"/>
    <w:rsid w:val="00507BEE"/>
    <w:rsid w:val="00507C75"/>
    <w:rsid w:val="00507CE4"/>
    <w:rsid w:val="00507D44"/>
    <w:rsid w:val="00507D4B"/>
    <w:rsid w:val="00507EB1"/>
    <w:rsid w:val="00507F5E"/>
    <w:rsid w:val="00510011"/>
    <w:rsid w:val="0051003C"/>
    <w:rsid w:val="0051006F"/>
    <w:rsid w:val="0051008B"/>
    <w:rsid w:val="0051013D"/>
    <w:rsid w:val="005101B7"/>
    <w:rsid w:val="005101E7"/>
    <w:rsid w:val="0051024E"/>
    <w:rsid w:val="005102A8"/>
    <w:rsid w:val="0051033F"/>
    <w:rsid w:val="00510389"/>
    <w:rsid w:val="00510444"/>
    <w:rsid w:val="00510475"/>
    <w:rsid w:val="00510487"/>
    <w:rsid w:val="005104D0"/>
    <w:rsid w:val="00510542"/>
    <w:rsid w:val="00510609"/>
    <w:rsid w:val="00510628"/>
    <w:rsid w:val="0051062F"/>
    <w:rsid w:val="00510633"/>
    <w:rsid w:val="0051068A"/>
    <w:rsid w:val="005106CE"/>
    <w:rsid w:val="005106E9"/>
    <w:rsid w:val="0051071E"/>
    <w:rsid w:val="00510757"/>
    <w:rsid w:val="00510768"/>
    <w:rsid w:val="005107BF"/>
    <w:rsid w:val="00510805"/>
    <w:rsid w:val="00510809"/>
    <w:rsid w:val="00510859"/>
    <w:rsid w:val="005108D6"/>
    <w:rsid w:val="00510992"/>
    <w:rsid w:val="00510994"/>
    <w:rsid w:val="005109DF"/>
    <w:rsid w:val="00510A6B"/>
    <w:rsid w:val="00510AA3"/>
    <w:rsid w:val="00510B1C"/>
    <w:rsid w:val="00510B86"/>
    <w:rsid w:val="00510BA9"/>
    <w:rsid w:val="00510BB9"/>
    <w:rsid w:val="00510C4A"/>
    <w:rsid w:val="00510C5B"/>
    <w:rsid w:val="00510D65"/>
    <w:rsid w:val="00510DE1"/>
    <w:rsid w:val="00510DF2"/>
    <w:rsid w:val="00510E36"/>
    <w:rsid w:val="00510E77"/>
    <w:rsid w:val="00510E7A"/>
    <w:rsid w:val="00510F09"/>
    <w:rsid w:val="00510F85"/>
    <w:rsid w:val="00510FA3"/>
    <w:rsid w:val="0051103D"/>
    <w:rsid w:val="0051103E"/>
    <w:rsid w:val="0051108A"/>
    <w:rsid w:val="005110F8"/>
    <w:rsid w:val="005111B7"/>
    <w:rsid w:val="00511238"/>
    <w:rsid w:val="00511344"/>
    <w:rsid w:val="005113A2"/>
    <w:rsid w:val="005113CA"/>
    <w:rsid w:val="005113FF"/>
    <w:rsid w:val="00511410"/>
    <w:rsid w:val="00511425"/>
    <w:rsid w:val="00511433"/>
    <w:rsid w:val="005114C0"/>
    <w:rsid w:val="00511522"/>
    <w:rsid w:val="00511524"/>
    <w:rsid w:val="005115A4"/>
    <w:rsid w:val="005115F5"/>
    <w:rsid w:val="00511612"/>
    <w:rsid w:val="00511627"/>
    <w:rsid w:val="00511645"/>
    <w:rsid w:val="00511686"/>
    <w:rsid w:val="005116D8"/>
    <w:rsid w:val="0051179B"/>
    <w:rsid w:val="005117AA"/>
    <w:rsid w:val="00511804"/>
    <w:rsid w:val="005118CE"/>
    <w:rsid w:val="005118D7"/>
    <w:rsid w:val="005118DE"/>
    <w:rsid w:val="005118E8"/>
    <w:rsid w:val="005118FC"/>
    <w:rsid w:val="0051191D"/>
    <w:rsid w:val="005119BA"/>
    <w:rsid w:val="00511A33"/>
    <w:rsid w:val="00511AB0"/>
    <w:rsid w:val="00511B5A"/>
    <w:rsid w:val="00511B7D"/>
    <w:rsid w:val="00511C56"/>
    <w:rsid w:val="00511C88"/>
    <w:rsid w:val="00511C93"/>
    <w:rsid w:val="00511CED"/>
    <w:rsid w:val="00511D3C"/>
    <w:rsid w:val="00511DBB"/>
    <w:rsid w:val="00511E57"/>
    <w:rsid w:val="00511EA7"/>
    <w:rsid w:val="00511F03"/>
    <w:rsid w:val="00512031"/>
    <w:rsid w:val="00512060"/>
    <w:rsid w:val="0051208F"/>
    <w:rsid w:val="005120D6"/>
    <w:rsid w:val="005120E0"/>
    <w:rsid w:val="0051213F"/>
    <w:rsid w:val="005121BD"/>
    <w:rsid w:val="0051224A"/>
    <w:rsid w:val="0051231C"/>
    <w:rsid w:val="0051237F"/>
    <w:rsid w:val="005123E4"/>
    <w:rsid w:val="0051241F"/>
    <w:rsid w:val="0051242A"/>
    <w:rsid w:val="005124FC"/>
    <w:rsid w:val="0051256D"/>
    <w:rsid w:val="005125E8"/>
    <w:rsid w:val="00512639"/>
    <w:rsid w:val="00512684"/>
    <w:rsid w:val="00512728"/>
    <w:rsid w:val="0051281F"/>
    <w:rsid w:val="00512842"/>
    <w:rsid w:val="005128A4"/>
    <w:rsid w:val="005128A7"/>
    <w:rsid w:val="005128B8"/>
    <w:rsid w:val="00512974"/>
    <w:rsid w:val="005129B6"/>
    <w:rsid w:val="005129DB"/>
    <w:rsid w:val="005129EA"/>
    <w:rsid w:val="005129F3"/>
    <w:rsid w:val="00512A55"/>
    <w:rsid w:val="00512A87"/>
    <w:rsid w:val="00512A8E"/>
    <w:rsid w:val="00512B20"/>
    <w:rsid w:val="00512CB0"/>
    <w:rsid w:val="00512D40"/>
    <w:rsid w:val="00512D61"/>
    <w:rsid w:val="00512D9D"/>
    <w:rsid w:val="00512DCA"/>
    <w:rsid w:val="00512EC4"/>
    <w:rsid w:val="00512EF1"/>
    <w:rsid w:val="00512F95"/>
    <w:rsid w:val="00512FC1"/>
    <w:rsid w:val="0051301A"/>
    <w:rsid w:val="005130A8"/>
    <w:rsid w:val="00513127"/>
    <w:rsid w:val="00513149"/>
    <w:rsid w:val="00513176"/>
    <w:rsid w:val="005131EA"/>
    <w:rsid w:val="005132BF"/>
    <w:rsid w:val="0051330F"/>
    <w:rsid w:val="00513322"/>
    <w:rsid w:val="00513323"/>
    <w:rsid w:val="0051338B"/>
    <w:rsid w:val="005133A8"/>
    <w:rsid w:val="005133E9"/>
    <w:rsid w:val="005134C4"/>
    <w:rsid w:val="00513509"/>
    <w:rsid w:val="0051352D"/>
    <w:rsid w:val="0051352E"/>
    <w:rsid w:val="00513544"/>
    <w:rsid w:val="0051357A"/>
    <w:rsid w:val="0051359B"/>
    <w:rsid w:val="0051359E"/>
    <w:rsid w:val="005135F3"/>
    <w:rsid w:val="005135F7"/>
    <w:rsid w:val="005135FB"/>
    <w:rsid w:val="005135FD"/>
    <w:rsid w:val="00513609"/>
    <w:rsid w:val="00513714"/>
    <w:rsid w:val="00513724"/>
    <w:rsid w:val="00513789"/>
    <w:rsid w:val="00513825"/>
    <w:rsid w:val="005138FB"/>
    <w:rsid w:val="00513907"/>
    <w:rsid w:val="00513921"/>
    <w:rsid w:val="005139C1"/>
    <w:rsid w:val="005139F1"/>
    <w:rsid w:val="005139FA"/>
    <w:rsid w:val="00513AFB"/>
    <w:rsid w:val="00513B0D"/>
    <w:rsid w:val="00513C0F"/>
    <w:rsid w:val="00513C42"/>
    <w:rsid w:val="00513C8F"/>
    <w:rsid w:val="00513C9D"/>
    <w:rsid w:val="00513E41"/>
    <w:rsid w:val="00513EB0"/>
    <w:rsid w:val="00513EEA"/>
    <w:rsid w:val="00513F04"/>
    <w:rsid w:val="00513FB6"/>
    <w:rsid w:val="00513FE9"/>
    <w:rsid w:val="00514038"/>
    <w:rsid w:val="005140B2"/>
    <w:rsid w:val="005140BD"/>
    <w:rsid w:val="005141F2"/>
    <w:rsid w:val="005141FC"/>
    <w:rsid w:val="00514202"/>
    <w:rsid w:val="00514206"/>
    <w:rsid w:val="00514317"/>
    <w:rsid w:val="005143AE"/>
    <w:rsid w:val="005143D1"/>
    <w:rsid w:val="00514424"/>
    <w:rsid w:val="005144D6"/>
    <w:rsid w:val="00514519"/>
    <w:rsid w:val="0051452E"/>
    <w:rsid w:val="00514534"/>
    <w:rsid w:val="0051454D"/>
    <w:rsid w:val="005145D9"/>
    <w:rsid w:val="005145F0"/>
    <w:rsid w:val="00514603"/>
    <w:rsid w:val="0051463F"/>
    <w:rsid w:val="00514649"/>
    <w:rsid w:val="00514676"/>
    <w:rsid w:val="0051467B"/>
    <w:rsid w:val="0051469C"/>
    <w:rsid w:val="005146E6"/>
    <w:rsid w:val="0051478F"/>
    <w:rsid w:val="00514795"/>
    <w:rsid w:val="0051479D"/>
    <w:rsid w:val="005147B4"/>
    <w:rsid w:val="005147D4"/>
    <w:rsid w:val="00514837"/>
    <w:rsid w:val="005149DE"/>
    <w:rsid w:val="005149E5"/>
    <w:rsid w:val="00514AA2"/>
    <w:rsid w:val="00514AC5"/>
    <w:rsid w:val="00514B02"/>
    <w:rsid w:val="00514B11"/>
    <w:rsid w:val="00514B24"/>
    <w:rsid w:val="00514B5C"/>
    <w:rsid w:val="00514B67"/>
    <w:rsid w:val="00514BB4"/>
    <w:rsid w:val="00514BF2"/>
    <w:rsid w:val="00514C60"/>
    <w:rsid w:val="00514CD7"/>
    <w:rsid w:val="00514CEC"/>
    <w:rsid w:val="00514D47"/>
    <w:rsid w:val="00514E6D"/>
    <w:rsid w:val="00514ECD"/>
    <w:rsid w:val="00514ED8"/>
    <w:rsid w:val="00514EFA"/>
    <w:rsid w:val="00514FA2"/>
    <w:rsid w:val="00514FBA"/>
    <w:rsid w:val="00515068"/>
    <w:rsid w:val="0051506E"/>
    <w:rsid w:val="005150B4"/>
    <w:rsid w:val="005150F9"/>
    <w:rsid w:val="005151CF"/>
    <w:rsid w:val="005151D6"/>
    <w:rsid w:val="005151E9"/>
    <w:rsid w:val="0051529A"/>
    <w:rsid w:val="0051535A"/>
    <w:rsid w:val="005153D3"/>
    <w:rsid w:val="00515454"/>
    <w:rsid w:val="0051549A"/>
    <w:rsid w:val="005154A4"/>
    <w:rsid w:val="005154C4"/>
    <w:rsid w:val="0051553C"/>
    <w:rsid w:val="0051555C"/>
    <w:rsid w:val="00515581"/>
    <w:rsid w:val="00515684"/>
    <w:rsid w:val="00515699"/>
    <w:rsid w:val="005156E7"/>
    <w:rsid w:val="00515706"/>
    <w:rsid w:val="0051574F"/>
    <w:rsid w:val="00515756"/>
    <w:rsid w:val="0051577D"/>
    <w:rsid w:val="00515797"/>
    <w:rsid w:val="00515802"/>
    <w:rsid w:val="00515832"/>
    <w:rsid w:val="0051585C"/>
    <w:rsid w:val="005158C5"/>
    <w:rsid w:val="00515958"/>
    <w:rsid w:val="0051596C"/>
    <w:rsid w:val="00515995"/>
    <w:rsid w:val="005159A4"/>
    <w:rsid w:val="005159CA"/>
    <w:rsid w:val="00515A05"/>
    <w:rsid w:val="00515A1D"/>
    <w:rsid w:val="00515A46"/>
    <w:rsid w:val="00515AAD"/>
    <w:rsid w:val="00515B74"/>
    <w:rsid w:val="00515B82"/>
    <w:rsid w:val="00515C31"/>
    <w:rsid w:val="00515C5D"/>
    <w:rsid w:val="00515C62"/>
    <w:rsid w:val="00515C75"/>
    <w:rsid w:val="00515DCA"/>
    <w:rsid w:val="00515ED8"/>
    <w:rsid w:val="0051611F"/>
    <w:rsid w:val="005161D6"/>
    <w:rsid w:val="0051624A"/>
    <w:rsid w:val="005162B1"/>
    <w:rsid w:val="0051631C"/>
    <w:rsid w:val="00516380"/>
    <w:rsid w:val="005163CB"/>
    <w:rsid w:val="005163E0"/>
    <w:rsid w:val="005163FA"/>
    <w:rsid w:val="00516401"/>
    <w:rsid w:val="00516468"/>
    <w:rsid w:val="00516539"/>
    <w:rsid w:val="00516574"/>
    <w:rsid w:val="005165F3"/>
    <w:rsid w:val="00516634"/>
    <w:rsid w:val="00516663"/>
    <w:rsid w:val="005166D5"/>
    <w:rsid w:val="0051676A"/>
    <w:rsid w:val="005167D8"/>
    <w:rsid w:val="005167E6"/>
    <w:rsid w:val="0051680D"/>
    <w:rsid w:val="0051682F"/>
    <w:rsid w:val="00516870"/>
    <w:rsid w:val="0051689B"/>
    <w:rsid w:val="005168B2"/>
    <w:rsid w:val="005169FC"/>
    <w:rsid w:val="00516A1B"/>
    <w:rsid w:val="00516A36"/>
    <w:rsid w:val="00516AB7"/>
    <w:rsid w:val="00516AD9"/>
    <w:rsid w:val="00516AF9"/>
    <w:rsid w:val="00516B5B"/>
    <w:rsid w:val="00516BED"/>
    <w:rsid w:val="00516C11"/>
    <w:rsid w:val="00516C9D"/>
    <w:rsid w:val="00516CAD"/>
    <w:rsid w:val="00516D58"/>
    <w:rsid w:val="00516DC1"/>
    <w:rsid w:val="00516DE0"/>
    <w:rsid w:val="00516DF6"/>
    <w:rsid w:val="00516E54"/>
    <w:rsid w:val="00516E5E"/>
    <w:rsid w:val="00516EFF"/>
    <w:rsid w:val="00516F24"/>
    <w:rsid w:val="00516FAE"/>
    <w:rsid w:val="00516FC2"/>
    <w:rsid w:val="00516FE4"/>
    <w:rsid w:val="0051701D"/>
    <w:rsid w:val="00517042"/>
    <w:rsid w:val="0051706C"/>
    <w:rsid w:val="005170C3"/>
    <w:rsid w:val="005170CD"/>
    <w:rsid w:val="005170DE"/>
    <w:rsid w:val="00517106"/>
    <w:rsid w:val="00517158"/>
    <w:rsid w:val="00517163"/>
    <w:rsid w:val="0051716E"/>
    <w:rsid w:val="005171A9"/>
    <w:rsid w:val="00517366"/>
    <w:rsid w:val="0051736B"/>
    <w:rsid w:val="0051736F"/>
    <w:rsid w:val="0051739F"/>
    <w:rsid w:val="005174B1"/>
    <w:rsid w:val="005175CE"/>
    <w:rsid w:val="0051766F"/>
    <w:rsid w:val="0051767F"/>
    <w:rsid w:val="0051768C"/>
    <w:rsid w:val="0051769E"/>
    <w:rsid w:val="005176C0"/>
    <w:rsid w:val="00517719"/>
    <w:rsid w:val="00517762"/>
    <w:rsid w:val="005178AC"/>
    <w:rsid w:val="005178CE"/>
    <w:rsid w:val="005178EF"/>
    <w:rsid w:val="00517908"/>
    <w:rsid w:val="0051791D"/>
    <w:rsid w:val="00517921"/>
    <w:rsid w:val="005179F1"/>
    <w:rsid w:val="00517AA6"/>
    <w:rsid w:val="00517B25"/>
    <w:rsid w:val="00517CDB"/>
    <w:rsid w:val="00517D48"/>
    <w:rsid w:val="00517DAC"/>
    <w:rsid w:val="00517DB5"/>
    <w:rsid w:val="00517DF1"/>
    <w:rsid w:val="00517E9D"/>
    <w:rsid w:val="00517E9E"/>
    <w:rsid w:val="00517EB5"/>
    <w:rsid w:val="00517EE0"/>
    <w:rsid w:val="00517F6B"/>
    <w:rsid w:val="00517FC9"/>
    <w:rsid w:val="00517FF3"/>
    <w:rsid w:val="00520071"/>
    <w:rsid w:val="005200E1"/>
    <w:rsid w:val="0052011A"/>
    <w:rsid w:val="005201B9"/>
    <w:rsid w:val="005201DC"/>
    <w:rsid w:val="0052022C"/>
    <w:rsid w:val="00520242"/>
    <w:rsid w:val="005202AC"/>
    <w:rsid w:val="0052030F"/>
    <w:rsid w:val="00520409"/>
    <w:rsid w:val="0052046C"/>
    <w:rsid w:val="0052051E"/>
    <w:rsid w:val="00520576"/>
    <w:rsid w:val="005205D2"/>
    <w:rsid w:val="00520606"/>
    <w:rsid w:val="005206A1"/>
    <w:rsid w:val="00520706"/>
    <w:rsid w:val="00520731"/>
    <w:rsid w:val="00520794"/>
    <w:rsid w:val="005207BC"/>
    <w:rsid w:val="0052084A"/>
    <w:rsid w:val="00520935"/>
    <w:rsid w:val="00520959"/>
    <w:rsid w:val="00520A20"/>
    <w:rsid w:val="00520A57"/>
    <w:rsid w:val="00520A72"/>
    <w:rsid w:val="00520A81"/>
    <w:rsid w:val="00520ADC"/>
    <w:rsid w:val="00520ADE"/>
    <w:rsid w:val="00520AF1"/>
    <w:rsid w:val="00520C1B"/>
    <w:rsid w:val="00520C6F"/>
    <w:rsid w:val="00520CB6"/>
    <w:rsid w:val="00520CF2"/>
    <w:rsid w:val="00520D55"/>
    <w:rsid w:val="00520D77"/>
    <w:rsid w:val="00520E45"/>
    <w:rsid w:val="00520E56"/>
    <w:rsid w:val="00520EF8"/>
    <w:rsid w:val="00520F04"/>
    <w:rsid w:val="00520F06"/>
    <w:rsid w:val="00520F09"/>
    <w:rsid w:val="00520F6D"/>
    <w:rsid w:val="00520F70"/>
    <w:rsid w:val="00520FC8"/>
    <w:rsid w:val="00520FF6"/>
    <w:rsid w:val="00521005"/>
    <w:rsid w:val="00521008"/>
    <w:rsid w:val="00521063"/>
    <w:rsid w:val="005210B0"/>
    <w:rsid w:val="005210DA"/>
    <w:rsid w:val="00521130"/>
    <w:rsid w:val="00521138"/>
    <w:rsid w:val="0052119E"/>
    <w:rsid w:val="005211CD"/>
    <w:rsid w:val="00521276"/>
    <w:rsid w:val="005212A7"/>
    <w:rsid w:val="0052137B"/>
    <w:rsid w:val="005213A6"/>
    <w:rsid w:val="00521431"/>
    <w:rsid w:val="00521458"/>
    <w:rsid w:val="005214B5"/>
    <w:rsid w:val="005214C8"/>
    <w:rsid w:val="005214F5"/>
    <w:rsid w:val="0052154B"/>
    <w:rsid w:val="00521566"/>
    <w:rsid w:val="005215A8"/>
    <w:rsid w:val="00521626"/>
    <w:rsid w:val="005216E5"/>
    <w:rsid w:val="005216FC"/>
    <w:rsid w:val="0052178E"/>
    <w:rsid w:val="005217A3"/>
    <w:rsid w:val="005217C3"/>
    <w:rsid w:val="0052180B"/>
    <w:rsid w:val="005218EA"/>
    <w:rsid w:val="0052195C"/>
    <w:rsid w:val="005219A1"/>
    <w:rsid w:val="005219BD"/>
    <w:rsid w:val="00521A33"/>
    <w:rsid w:val="00521A56"/>
    <w:rsid w:val="00521BC8"/>
    <w:rsid w:val="00521BE3"/>
    <w:rsid w:val="00521BE9"/>
    <w:rsid w:val="00521C04"/>
    <w:rsid w:val="00521C56"/>
    <w:rsid w:val="00521C7B"/>
    <w:rsid w:val="00521C7E"/>
    <w:rsid w:val="00521D29"/>
    <w:rsid w:val="00521D2C"/>
    <w:rsid w:val="00521D90"/>
    <w:rsid w:val="00521EA3"/>
    <w:rsid w:val="00521F1B"/>
    <w:rsid w:val="00521F5F"/>
    <w:rsid w:val="00521F7E"/>
    <w:rsid w:val="005220AF"/>
    <w:rsid w:val="005220ED"/>
    <w:rsid w:val="00522109"/>
    <w:rsid w:val="00522147"/>
    <w:rsid w:val="00522186"/>
    <w:rsid w:val="00522219"/>
    <w:rsid w:val="00522262"/>
    <w:rsid w:val="005222AD"/>
    <w:rsid w:val="005222F2"/>
    <w:rsid w:val="0052239F"/>
    <w:rsid w:val="00522406"/>
    <w:rsid w:val="00522448"/>
    <w:rsid w:val="0052245C"/>
    <w:rsid w:val="00522497"/>
    <w:rsid w:val="0052252F"/>
    <w:rsid w:val="0052271E"/>
    <w:rsid w:val="00522737"/>
    <w:rsid w:val="00522883"/>
    <w:rsid w:val="00522914"/>
    <w:rsid w:val="005229C1"/>
    <w:rsid w:val="00522ABD"/>
    <w:rsid w:val="00522B13"/>
    <w:rsid w:val="00522BF4"/>
    <w:rsid w:val="00522C12"/>
    <w:rsid w:val="00522D0D"/>
    <w:rsid w:val="00522D58"/>
    <w:rsid w:val="00522DCA"/>
    <w:rsid w:val="00522E42"/>
    <w:rsid w:val="00522E72"/>
    <w:rsid w:val="00522F16"/>
    <w:rsid w:val="00522F78"/>
    <w:rsid w:val="00522F86"/>
    <w:rsid w:val="00522FC1"/>
    <w:rsid w:val="005230B0"/>
    <w:rsid w:val="005230BA"/>
    <w:rsid w:val="00523150"/>
    <w:rsid w:val="005231CA"/>
    <w:rsid w:val="00523283"/>
    <w:rsid w:val="00523322"/>
    <w:rsid w:val="00523348"/>
    <w:rsid w:val="00523364"/>
    <w:rsid w:val="005233A3"/>
    <w:rsid w:val="005233C1"/>
    <w:rsid w:val="00523428"/>
    <w:rsid w:val="005234C6"/>
    <w:rsid w:val="00523515"/>
    <w:rsid w:val="0052362D"/>
    <w:rsid w:val="0052365D"/>
    <w:rsid w:val="00523688"/>
    <w:rsid w:val="0052369E"/>
    <w:rsid w:val="005236E7"/>
    <w:rsid w:val="005236FE"/>
    <w:rsid w:val="00523732"/>
    <w:rsid w:val="005237A3"/>
    <w:rsid w:val="005237D3"/>
    <w:rsid w:val="005237E6"/>
    <w:rsid w:val="005237FD"/>
    <w:rsid w:val="00523811"/>
    <w:rsid w:val="0052386F"/>
    <w:rsid w:val="0052387E"/>
    <w:rsid w:val="00523A4B"/>
    <w:rsid w:val="00523A77"/>
    <w:rsid w:val="00523A8F"/>
    <w:rsid w:val="00523A97"/>
    <w:rsid w:val="00523ABF"/>
    <w:rsid w:val="00523BFE"/>
    <w:rsid w:val="00523C33"/>
    <w:rsid w:val="00523C4A"/>
    <w:rsid w:val="00523C4D"/>
    <w:rsid w:val="00523CA8"/>
    <w:rsid w:val="00523CC0"/>
    <w:rsid w:val="00523CDC"/>
    <w:rsid w:val="00523D02"/>
    <w:rsid w:val="00523D10"/>
    <w:rsid w:val="00523D30"/>
    <w:rsid w:val="00523D5F"/>
    <w:rsid w:val="00523DC6"/>
    <w:rsid w:val="00523E61"/>
    <w:rsid w:val="00523F19"/>
    <w:rsid w:val="00523F3C"/>
    <w:rsid w:val="00523FE3"/>
    <w:rsid w:val="0052403B"/>
    <w:rsid w:val="0052403E"/>
    <w:rsid w:val="00524073"/>
    <w:rsid w:val="005240E4"/>
    <w:rsid w:val="005240E7"/>
    <w:rsid w:val="005240F7"/>
    <w:rsid w:val="00524116"/>
    <w:rsid w:val="005241E1"/>
    <w:rsid w:val="005242F2"/>
    <w:rsid w:val="0052438F"/>
    <w:rsid w:val="00524402"/>
    <w:rsid w:val="00524449"/>
    <w:rsid w:val="00524469"/>
    <w:rsid w:val="005245F3"/>
    <w:rsid w:val="00524610"/>
    <w:rsid w:val="00524637"/>
    <w:rsid w:val="0052469D"/>
    <w:rsid w:val="005246A0"/>
    <w:rsid w:val="005246B7"/>
    <w:rsid w:val="0052477E"/>
    <w:rsid w:val="00524883"/>
    <w:rsid w:val="005249B8"/>
    <w:rsid w:val="00524B2F"/>
    <w:rsid w:val="00524B32"/>
    <w:rsid w:val="00524B70"/>
    <w:rsid w:val="00524C01"/>
    <w:rsid w:val="00524C8E"/>
    <w:rsid w:val="00524D13"/>
    <w:rsid w:val="00524D5B"/>
    <w:rsid w:val="00524D74"/>
    <w:rsid w:val="00524D7C"/>
    <w:rsid w:val="00524DC5"/>
    <w:rsid w:val="00524DC6"/>
    <w:rsid w:val="00524E46"/>
    <w:rsid w:val="00524EE9"/>
    <w:rsid w:val="00524F2F"/>
    <w:rsid w:val="0052501B"/>
    <w:rsid w:val="0052501C"/>
    <w:rsid w:val="005250B9"/>
    <w:rsid w:val="0052511F"/>
    <w:rsid w:val="00525171"/>
    <w:rsid w:val="005251E1"/>
    <w:rsid w:val="00525206"/>
    <w:rsid w:val="00525208"/>
    <w:rsid w:val="005252AB"/>
    <w:rsid w:val="005252CE"/>
    <w:rsid w:val="005252D0"/>
    <w:rsid w:val="00525306"/>
    <w:rsid w:val="0052530B"/>
    <w:rsid w:val="00525326"/>
    <w:rsid w:val="0052542D"/>
    <w:rsid w:val="00525478"/>
    <w:rsid w:val="00525494"/>
    <w:rsid w:val="00525571"/>
    <w:rsid w:val="005255D0"/>
    <w:rsid w:val="005255D2"/>
    <w:rsid w:val="00525614"/>
    <w:rsid w:val="005256D4"/>
    <w:rsid w:val="00525708"/>
    <w:rsid w:val="00525761"/>
    <w:rsid w:val="00525796"/>
    <w:rsid w:val="00525840"/>
    <w:rsid w:val="00525871"/>
    <w:rsid w:val="005258C5"/>
    <w:rsid w:val="005259E1"/>
    <w:rsid w:val="005259E6"/>
    <w:rsid w:val="00525A36"/>
    <w:rsid w:val="00525A7E"/>
    <w:rsid w:val="00525AAA"/>
    <w:rsid w:val="00525ABF"/>
    <w:rsid w:val="00525AC5"/>
    <w:rsid w:val="00525AEA"/>
    <w:rsid w:val="00525B21"/>
    <w:rsid w:val="00525C16"/>
    <w:rsid w:val="00525C3D"/>
    <w:rsid w:val="00525CA2"/>
    <w:rsid w:val="00525CF5"/>
    <w:rsid w:val="00525D55"/>
    <w:rsid w:val="00525D80"/>
    <w:rsid w:val="00525D81"/>
    <w:rsid w:val="00525DBD"/>
    <w:rsid w:val="00525E06"/>
    <w:rsid w:val="00525E37"/>
    <w:rsid w:val="00525E3E"/>
    <w:rsid w:val="00525E76"/>
    <w:rsid w:val="00525EC1"/>
    <w:rsid w:val="00525F45"/>
    <w:rsid w:val="00525FD2"/>
    <w:rsid w:val="00526037"/>
    <w:rsid w:val="005260A0"/>
    <w:rsid w:val="00526167"/>
    <w:rsid w:val="0052622C"/>
    <w:rsid w:val="00526230"/>
    <w:rsid w:val="0052624B"/>
    <w:rsid w:val="00526271"/>
    <w:rsid w:val="00526292"/>
    <w:rsid w:val="005262FA"/>
    <w:rsid w:val="005263F1"/>
    <w:rsid w:val="0052648C"/>
    <w:rsid w:val="00526518"/>
    <w:rsid w:val="0052653B"/>
    <w:rsid w:val="00526544"/>
    <w:rsid w:val="00526590"/>
    <w:rsid w:val="005265A2"/>
    <w:rsid w:val="005265F7"/>
    <w:rsid w:val="00526682"/>
    <w:rsid w:val="005266B1"/>
    <w:rsid w:val="005266C7"/>
    <w:rsid w:val="005266DC"/>
    <w:rsid w:val="0052670F"/>
    <w:rsid w:val="00526753"/>
    <w:rsid w:val="00526771"/>
    <w:rsid w:val="0052679E"/>
    <w:rsid w:val="005267D1"/>
    <w:rsid w:val="00526829"/>
    <w:rsid w:val="0052687B"/>
    <w:rsid w:val="005268CD"/>
    <w:rsid w:val="00526936"/>
    <w:rsid w:val="005269A4"/>
    <w:rsid w:val="00526A7B"/>
    <w:rsid w:val="00526ACE"/>
    <w:rsid w:val="00526B1F"/>
    <w:rsid w:val="00526B58"/>
    <w:rsid w:val="00526C0A"/>
    <w:rsid w:val="00526C10"/>
    <w:rsid w:val="00526C27"/>
    <w:rsid w:val="00526CBF"/>
    <w:rsid w:val="00526CD4"/>
    <w:rsid w:val="00526D17"/>
    <w:rsid w:val="00526D3F"/>
    <w:rsid w:val="00526DAA"/>
    <w:rsid w:val="00526E13"/>
    <w:rsid w:val="00526E76"/>
    <w:rsid w:val="00526EE7"/>
    <w:rsid w:val="00526EFA"/>
    <w:rsid w:val="00526F1C"/>
    <w:rsid w:val="00526F5A"/>
    <w:rsid w:val="00527077"/>
    <w:rsid w:val="00527078"/>
    <w:rsid w:val="00527156"/>
    <w:rsid w:val="0052715E"/>
    <w:rsid w:val="00527184"/>
    <w:rsid w:val="00527193"/>
    <w:rsid w:val="005271F7"/>
    <w:rsid w:val="00527253"/>
    <w:rsid w:val="005272EE"/>
    <w:rsid w:val="00527346"/>
    <w:rsid w:val="00527380"/>
    <w:rsid w:val="005273B7"/>
    <w:rsid w:val="005273E0"/>
    <w:rsid w:val="00527564"/>
    <w:rsid w:val="00527579"/>
    <w:rsid w:val="005275B2"/>
    <w:rsid w:val="005275D6"/>
    <w:rsid w:val="00527674"/>
    <w:rsid w:val="0052769C"/>
    <w:rsid w:val="00527767"/>
    <w:rsid w:val="0052780A"/>
    <w:rsid w:val="005278C1"/>
    <w:rsid w:val="00527924"/>
    <w:rsid w:val="00527928"/>
    <w:rsid w:val="0052792A"/>
    <w:rsid w:val="005279AD"/>
    <w:rsid w:val="005279CB"/>
    <w:rsid w:val="005279E3"/>
    <w:rsid w:val="00527A6D"/>
    <w:rsid w:val="00527AB7"/>
    <w:rsid w:val="00527B0D"/>
    <w:rsid w:val="00527B24"/>
    <w:rsid w:val="00527B37"/>
    <w:rsid w:val="00527B50"/>
    <w:rsid w:val="00527B7D"/>
    <w:rsid w:val="00527C4B"/>
    <w:rsid w:val="00527C5D"/>
    <w:rsid w:val="00527C6C"/>
    <w:rsid w:val="00527CDB"/>
    <w:rsid w:val="00527DAB"/>
    <w:rsid w:val="00527DEA"/>
    <w:rsid w:val="00527E0B"/>
    <w:rsid w:val="00527F2A"/>
    <w:rsid w:val="00527F2F"/>
    <w:rsid w:val="00527FEA"/>
    <w:rsid w:val="00527FFE"/>
    <w:rsid w:val="005300E2"/>
    <w:rsid w:val="005300E3"/>
    <w:rsid w:val="005302C7"/>
    <w:rsid w:val="005302E1"/>
    <w:rsid w:val="0053030D"/>
    <w:rsid w:val="00530315"/>
    <w:rsid w:val="0053031F"/>
    <w:rsid w:val="00530332"/>
    <w:rsid w:val="0053033A"/>
    <w:rsid w:val="00530376"/>
    <w:rsid w:val="0053038C"/>
    <w:rsid w:val="0053039E"/>
    <w:rsid w:val="00530424"/>
    <w:rsid w:val="00530501"/>
    <w:rsid w:val="0053050B"/>
    <w:rsid w:val="005305D9"/>
    <w:rsid w:val="005305E9"/>
    <w:rsid w:val="005306BE"/>
    <w:rsid w:val="00530703"/>
    <w:rsid w:val="0053073E"/>
    <w:rsid w:val="005307BC"/>
    <w:rsid w:val="005307C7"/>
    <w:rsid w:val="005307CE"/>
    <w:rsid w:val="0053082B"/>
    <w:rsid w:val="0053083C"/>
    <w:rsid w:val="0053089C"/>
    <w:rsid w:val="005308A4"/>
    <w:rsid w:val="00530941"/>
    <w:rsid w:val="00530996"/>
    <w:rsid w:val="005309DF"/>
    <w:rsid w:val="00530B09"/>
    <w:rsid w:val="00530B27"/>
    <w:rsid w:val="00530B3D"/>
    <w:rsid w:val="00530B6C"/>
    <w:rsid w:val="00530B8D"/>
    <w:rsid w:val="00530BF4"/>
    <w:rsid w:val="00530D34"/>
    <w:rsid w:val="00530D35"/>
    <w:rsid w:val="00530DDE"/>
    <w:rsid w:val="00530E30"/>
    <w:rsid w:val="00530ECE"/>
    <w:rsid w:val="00530EE0"/>
    <w:rsid w:val="00530F0B"/>
    <w:rsid w:val="00531070"/>
    <w:rsid w:val="005310E1"/>
    <w:rsid w:val="005310EF"/>
    <w:rsid w:val="0053118B"/>
    <w:rsid w:val="00531192"/>
    <w:rsid w:val="005311D3"/>
    <w:rsid w:val="0053123C"/>
    <w:rsid w:val="00531272"/>
    <w:rsid w:val="005312E5"/>
    <w:rsid w:val="00531318"/>
    <w:rsid w:val="0053135C"/>
    <w:rsid w:val="00531362"/>
    <w:rsid w:val="00531377"/>
    <w:rsid w:val="0053139F"/>
    <w:rsid w:val="005313D1"/>
    <w:rsid w:val="0053145A"/>
    <w:rsid w:val="00531499"/>
    <w:rsid w:val="005314B8"/>
    <w:rsid w:val="005314C0"/>
    <w:rsid w:val="00531520"/>
    <w:rsid w:val="00531546"/>
    <w:rsid w:val="00531661"/>
    <w:rsid w:val="0053168F"/>
    <w:rsid w:val="005316B6"/>
    <w:rsid w:val="005316DC"/>
    <w:rsid w:val="00531780"/>
    <w:rsid w:val="00531839"/>
    <w:rsid w:val="00531873"/>
    <w:rsid w:val="005318D0"/>
    <w:rsid w:val="00531928"/>
    <w:rsid w:val="005319CC"/>
    <w:rsid w:val="00531A5A"/>
    <w:rsid w:val="00531AC3"/>
    <w:rsid w:val="00531AEC"/>
    <w:rsid w:val="00531B86"/>
    <w:rsid w:val="00531BB1"/>
    <w:rsid w:val="00531C9F"/>
    <w:rsid w:val="00531DF1"/>
    <w:rsid w:val="00531E55"/>
    <w:rsid w:val="00531EAC"/>
    <w:rsid w:val="00531EF8"/>
    <w:rsid w:val="00531F4E"/>
    <w:rsid w:val="00531F9F"/>
    <w:rsid w:val="00531FA9"/>
    <w:rsid w:val="00531FAB"/>
    <w:rsid w:val="00532079"/>
    <w:rsid w:val="0053216C"/>
    <w:rsid w:val="0053217E"/>
    <w:rsid w:val="005321A9"/>
    <w:rsid w:val="00532214"/>
    <w:rsid w:val="00532224"/>
    <w:rsid w:val="005322A2"/>
    <w:rsid w:val="005323CF"/>
    <w:rsid w:val="005323E7"/>
    <w:rsid w:val="0053241D"/>
    <w:rsid w:val="005324CC"/>
    <w:rsid w:val="0053250C"/>
    <w:rsid w:val="0053254E"/>
    <w:rsid w:val="00532683"/>
    <w:rsid w:val="00532695"/>
    <w:rsid w:val="005326A6"/>
    <w:rsid w:val="00532749"/>
    <w:rsid w:val="0053275D"/>
    <w:rsid w:val="00532794"/>
    <w:rsid w:val="00532911"/>
    <w:rsid w:val="005329F5"/>
    <w:rsid w:val="00532B0E"/>
    <w:rsid w:val="00532B1E"/>
    <w:rsid w:val="00532B5E"/>
    <w:rsid w:val="00532B68"/>
    <w:rsid w:val="00532C46"/>
    <w:rsid w:val="00532CA5"/>
    <w:rsid w:val="00532CB2"/>
    <w:rsid w:val="00532CCD"/>
    <w:rsid w:val="00532CE0"/>
    <w:rsid w:val="00532D0F"/>
    <w:rsid w:val="00532D41"/>
    <w:rsid w:val="00532D7A"/>
    <w:rsid w:val="00532D97"/>
    <w:rsid w:val="00532D9D"/>
    <w:rsid w:val="00532DA0"/>
    <w:rsid w:val="00532DB8"/>
    <w:rsid w:val="00532DBE"/>
    <w:rsid w:val="00532DF4"/>
    <w:rsid w:val="00532E1E"/>
    <w:rsid w:val="00532E6B"/>
    <w:rsid w:val="00532EAD"/>
    <w:rsid w:val="005330DD"/>
    <w:rsid w:val="0053316B"/>
    <w:rsid w:val="00533173"/>
    <w:rsid w:val="005331BE"/>
    <w:rsid w:val="005331E9"/>
    <w:rsid w:val="00533234"/>
    <w:rsid w:val="0053324C"/>
    <w:rsid w:val="0053326A"/>
    <w:rsid w:val="005332A7"/>
    <w:rsid w:val="0053339B"/>
    <w:rsid w:val="005333CD"/>
    <w:rsid w:val="005333FA"/>
    <w:rsid w:val="005334C8"/>
    <w:rsid w:val="005334CF"/>
    <w:rsid w:val="0053355F"/>
    <w:rsid w:val="005335B8"/>
    <w:rsid w:val="00533609"/>
    <w:rsid w:val="0053360A"/>
    <w:rsid w:val="00533637"/>
    <w:rsid w:val="005336AC"/>
    <w:rsid w:val="00533706"/>
    <w:rsid w:val="0053378E"/>
    <w:rsid w:val="005339B9"/>
    <w:rsid w:val="00533A14"/>
    <w:rsid w:val="00533A45"/>
    <w:rsid w:val="00533B88"/>
    <w:rsid w:val="00533BA1"/>
    <w:rsid w:val="00533BD3"/>
    <w:rsid w:val="00533BEC"/>
    <w:rsid w:val="00533EEC"/>
    <w:rsid w:val="00533EED"/>
    <w:rsid w:val="00533F9D"/>
    <w:rsid w:val="00533FB2"/>
    <w:rsid w:val="00533FF0"/>
    <w:rsid w:val="00534083"/>
    <w:rsid w:val="0053422F"/>
    <w:rsid w:val="0053427A"/>
    <w:rsid w:val="005342AC"/>
    <w:rsid w:val="005342B2"/>
    <w:rsid w:val="005342F8"/>
    <w:rsid w:val="00534320"/>
    <w:rsid w:val="0053435C"/>
    <w:rsid w:val="00534360"/>
    <w:rsid w:val="005343A0"/>
    <w:rsid w:val="0053449D"/>
    <w:rsid w:val="005344A6"/>
    <w:rsid w:val="005344EE"/>
    <w:rsid w:val="00534575"/>
    <w:rsid w:val="00534602"/>
    <w:rsid w:val="00534642"/>
    <w:rsid w:val="00534660"/>
    <w:rsid w:val="00534664"/>
    <w:rsid w:val="0053469E"/>
    <w:rsid w:val="00534771"/>
    <w:rsid w:val="00534785"/>
    <w:rsid w:val="005347C4"/>
    <w:rsid w:val="005347EE"/>
    <w:rsid w:val="0053481B"/>
    <w:rsid w:val="0053483C"/>
    <w:rsid w:val="00534884"/>
    <w:rsid w:val="0053488B"/>
    <w:rsid w:val="005348D4"/>
    <w:rsid w:val="005349D4"/>
    <w:rsid w:val="00534A2A"/>
    <w:rsid w:val="00534A5E"/>
    <w:rsid w:val="00534ADA"/>
    <w:rsid w:val="00534B7B"/>
    <w:rsid w:val="00534BB1"/>
    <w:rsid w:val="00534BB2"/>
    <w:rsid w:val="00534BD1"/>
    <w:rsid w:val="00534BE6"/>
    <w:rsid w:val="00534C94"/>
    <w:rsid w:val="00534CEB"/>
    <w:rsid w:val="00534D6F"/>
    <w:rsid w:val="00534E0C"/>
    <w:rsid w:val="00534E10"/>
    <w:rsid w:val="00534ED9"/>
    <w:rsid w:val="00534EF8"/>
    <w:rsid w:val="0053508F"/>
    <w:rsid w:val="005350A4"/>
    <w:rsid w:val="005350D7"/>
    <w:rsid w:val="00535117"/>
    <w:rsid w:val="00535147"/>
    <w:rsid w:val="0053518E"/>
    <w:rsid w:val="00535192"/>
    <w:rsid w:val="0053526E"/>
    <w:rsid w:val="005352B4"/>
    <w:rsid w:val="005352BA"/>
    <w:rsid w:val="005352BF"/>
    <w:rsid w:val="00535320"/>
    <w:rsid w:val="00535388"/>
    <w:rsid w:val="00535698"/>
    <w:rsid w:val="005356A1"/>
    <w:rsid w:val="00535722"/>
    <w:rsid w:val="005357C0"/>
    <w:rsid w:val="00535829"/>
    <w:rsid w:val="0053591B"/>
    <w:rsid w:val="00535970"/>
    <w:rsid w:val="0053598D"/>
    <w:rsid w:val="00535A2B"/>
    <w:rsid w:val="00535ABC"/>
    <w:rsid w:val="00535B19"/>
    <w:rsid w:val="00535B64"/>
    <w:rsid w:val="00535C0A"/>
    <w:rsid w:val="00535C44"/>
    <w:rsid w:val="00535CBD"/>
    <w:rsid w:val="00535CD3"/>
    <w:rsid w:val="00535E0E"/>
    <w:rsid w:val="00535E6E"/>
    <w:rsid w:val="00535E83"/>
    <w:rsid w:val="00535EAA"/>
    <w:rsid w:val="00535F10"/>
    <w:rsid w:val="00535F2D"/>
    <w:rsid w:val="00535F5C"/>
    <w:rsid w:val="00535F6C"/>
    <w:rsid w:val="00535F84"/>
    <w:rsid w:val="005360CD"/>
    <w:rsid w:val="00536208"/>
    <w:rsid w:val="0053624D"/>
    <w:rsid w:val="00536283"/>
    <w:rsid w:val="0053628A"/>
    <w:rsid w:val="00536336"/>
    <w:rsid w:val="00536392"/>
    <w:rsid w:val="005363C2"/>
    <w:rsid w:val="00536406"/>
    <w:rsid w:val="00536514"/>
    <w:rsid w:val="00536635"/>
    <w:rsid w:val="005366CE"/>
    <w:rsid w:val="005367CE"/>
    <w:rsid w:val="005368D2"/>
    <w:rsid w:val="0053692A"/>
    <w:rsid w:val="00536940"/>
    <w:rsid w:val="005369A3"/>
    <w:rsid w:val="00536A1F"/>
    <w:rsid w:val="00536A2B"/>
    <w:rsid w:val="00536A35"/>
    <w:rsid w:val="00536A44"/>
    <w:rsid w:val="00536A88"/>
    <w:rsid w:val="00536AAD"/>
    <w:rsid w:val="00536AD0"/>
    <w:rsid w:val="00536AF8"/>
    <w:rsid w:val="00536AFF"/>
    <w:rsid w:val="00536BBE"/>
    <w:rsid w:val="00536BCD"/>
    <w:rsid w:val="00536C81"/>
    <w:rsid w:val="00536DDB"/>
    <w:rsid w:val="00536E39"/>
    <w:rsid w:val="00536E4E"/>
    <w:rsid w:val="00536EB5"/>
    <w:rsid w:val="00536ED6"/>
    <w:rsid w:val="00536EE5"/>
    <w:rsid w:val="00536F3A"/>
    <w:rsid w:val="00536F45"/>
    <w:rsid w:val="00536F6D"/>
    <w:rsid w:val="00536FB5"/>
    <w:rsid w:val="00537042"/>
    <w:rsid w:val="00537082"/>
    <w:rsid w:val="00537086"/>
    <w:rsid w:val="00537166"/>
    <w:rsid w:val="00537182"/>
    <w:rsid w:val="00537247"/>
    <w:rsid w:val="005372F3"/>
    <w:rsid w:val="005373A5"/>
    <w:rsid w:val="0053742B"/>
    <w:rsid w:val="00537600"/>
    <w:rsid w:val="0053761B"/>
    <w:rsid w:val="00537637"/>
    <w:rsid w:val="005376DB"/>
    <w:rsid w:val="005376E6"/>
    <w:rsid w:val="00537712"/>
    <w:rsid w:val="00537753"/>
    <w:rsid w:val="0053776E"/>
    <w:rsid w:val="0053784E"/>
    <w:rsid w:val="00537874"/>
    <w:rsid w:val="005378AD"/>
    <w:rsid w:val="0053792F"/>
    <w:rsid w:val="00537934"/>
    <w:rsid w:val="00537937"/>
    <w:rsid w:val="005379B1"/>
    <w:rsid w:val="005379B6"/>
    <w:rsid w:val="005379FB"/>
    <w:rsid w:val="00537A6B"/>
    <w:rsid w:val="00537A8A"/>
    <w:rsid w:val="00537AEC"/>
    <w:rsid w:val="00537AF8"/>
    <w:rsid w:val="00537B90"/>
    <w:rsid w:val="00537C0F"/>
    <w:rsid w:val="00537C26"/>
    <w:rsid w:val="00537C54"/>
    <w:rsid w:val="00537C58"/>
    <w:rsid w:val="00537C77"/>
    <w:rsid w:val="00537CA2"/>
    <w:rsid w:val="00537CF8"/>
    <w:rsid w:val="00537D00"/>
    <w:rsid w:val="00537E2F"/>
    <w:rsid w:val="00537E37"/>
    <w:rsid w:val="00537E90"/>
    <w:rsid w:val="00537E92"/>
    <w:rsid w:val="00537EC6"/>
    <w:rsid w:val="00537ED7"/>
    <w:rsid w:val="00537F23"/>
    <w:rsid w:val="00537F3D"/>
    <w:rsid w:val="00537F7C"/>
    <w:rsid w:val="00537FC7"/>
    <w:rsid w:val="0054000D"/>
    <w:rsid w:val="00540013"/>
    <w:rsid w:val="0054001A"/>
    <w:rsid w:val="0054001E"/>
    <w:rsid w:val="00540021"/>
    <w:rsid w:val="005400C4"/>
    <w:rsid w:val="00540100"/>
    <w:rsid w:val="005401DA"/>
    <w:rsid w:val="00540252"/>
    <w:rsid w:val="00540257"/>
    <w:rsid w:val="00540267"/>
    <w:rsid w:val="0054028D"/>
    <w:rsid w:val="005402C9"/>
    <w:rsid w:val="00540301"/>
    <w:rsid w:val="0054035E"/>
    <w:rsid w:val="0054038A"/>
    <w:rsid w:val="005403AC"/>
    <w:rsid w:val="005403DE"/>
    <w:rsid w:val="005404F2"/>
    <w:rsid w:val="005404F6"/>
    <w:rsid w:val="0054056D"/>
    <w:rsid w:val="005405D4"/>
    <w:rsid w:val="00540646"/>
    <w:rsid w:val="00540655"/>
    <w:rsid w:val="0054069B"/>
    <w:rsid w:val="005406DD"/>
    <w:rsid w:val="0054085D"/>
    <w:rsid w:val="00540891"/>
    <w:rsid w:val="005408D8"/>
    <w:rsid w:val="00540983"/>
    <w:rsid w:val="0054099B"/>
    <w:rsid w:val="005409AF"/>
    <w:rsid w:val="00540A44"/>
    <w:rsid w:val="00540ADA"/>
    <w:rsid w:val="00540B25"/>
    <w:rsid w:val="00540B46"/>
    <w:rsid w:val="00540B60"/>
    <w:rsid w:val="00540B9F"/>
    <w:rsid w:val="00540BF4"/>
    <w:rsid w:val="00540C4B"/>
    <w:rsid w:val="00540C79"/>
    <w:rsid w:val="00540CC1"/>
    <w:rsid w:val="00540D49"/>
    <w:rsid w:val="00540D50"/>
    <w:rsid w:val="00540D55"/>
    <w:rsid w:val="00540DE3"/>
    <w:rsid w:val="00540E3D"/>
    <w:rsid w:val="00540E92"/>
    <w:rsid w:val="00540F29"/>
    <w:rsid w:val="00541007"/>
    <w:rsid w:val="0054102D"/>
    <w:rsid w:val="00541069"/>
    <w:rsid w:val="0054107D"/>
    <w:rsid w:val="00541089"/>
    <w:rsid w:val="0054108F"/>
    <w:rsid w:val="005410B0"/>
    <w:rsid w:val="005410B2"/>
    <w:rsid w:val="005410B3"/>
    <w:rsid w:val="005410DE"/>
    <w:rsid w:val="0054115E"/>
    <w:rsid w:val="0054119A"/>
    <w:rsid w:val="005411A7"/>
    <w:rsid w:val="005411C2"/>
    <w:rsid w:val="0054129E"/>
    <w:rsid w:val="005412F3"/>
    <w:rsid w:val="00541348"/>
    <w:rsid w:val="005413E0"/>
    <w:rsid w:val="0054142F"/>
    <w:rsid w:val="00541478"/>
    <w:rsid w:val="00541481"/>
    <w:rsid w:val="005414C5"/>
    <w:rsid w:val="005414E7"/>
    <w:rsid w:val="00541517"/>
    <w:rsid w:val="005415C7"/>
    <w:rsid w:val="005415CB"/>
    <w:rsid w:val="005416AE"/>
    <w:rsid w:val="00541731"/>
    <w:rsid w:val="00541739"/>
    <w:rsid w:val="00541771"/>
    <w:rsid w:val="00541843"/>
    <w:rsid w:val="00541848"/>
    <w:rsid w:val="00541856"/>
    <w:rsid w:val="005418D8"/>
    <w:rsid w:val="005419A3"/>
    <w:rsid w:val="00541A67"/>
    <w:rsid w:val="00541A9B"/>
    <w:rsid w:val="00541B2E"/>
    <w:rsid w:val="00541B64"/>
    <w:rsid w:val="00541BDB"/>
    <w:rsid w:val="00541CBB"/>
    <w:rsid w:val="00541CBF"/>
    <w:rsid w:val="00541CC9"/>
    <w:rsid w:val="00541CE3"/>
    <w:rsid w:val="00541D0E"/>
    <w:rsid w:val="00541D4D"/>
    <w:rsid w:val="00541D59"/>
    <w:rsid w:val="00541D68"/>
    <w:rsid w:val="00541DF1"/>
    <w:rsid w:val="00541E07"/>
    <w:rsid w:val="00541E4C"/>
    <w:rsid w:val="00541E5D"/>
    <w:rsid w:val="00541EC7"/>
    <w:rsid w:val="0054201F"/>
    <w:rsid w:val="00542030"/>
    <w:rsid w:val="00542037"/>
    <w:rsid w:val="0054204A"/>
    <w:rsid w:val="00542052"/>
    <w:rsid w:val="0054205D"/>
    <w:rsid w:val="0054206E"/>
    <w:rsid w:val="0054208E"/>
    <w:rsid w:val="005420B0"/>
    <w:rsid w:val="00542107"/>
    <w:rsid w:val="005421A8"/>
    <w:rsid w:val="005422FF"/>
    <w:rsid w:val="00542303"/>
    <w:rsid w:val="00542332"/>
    <w:rsid w:val="0054248D"/>
    <w:rsid w:val="0054249F"/>
    <w:rsid w:val="0054250E"/>
    <w:rsid w:val="00542531"/>
    <w:rsid w:val="0054257B"/>
    <w:rsid w:val="005425DF"/>
    <w:rsid w:val="00542600"/>
    <w:rsid w:val="00542606"/>
    <w:rsid w:val="0054265A"/>
    <w:rsid w:val="005426C5"/>
    <w:rsid w:val="005426CD"/>
    <w:rsid w:val="005426E6"/>
    <w:rsid w:val="005426FD"/>
    <w:rsid w:val="00542703"/>
    <w:rsid w:val="00542759"/>
    <w:rsid w:val="0054275D"/>
    <w:rsid w:val="00542784"/>
    <w:rsid w:val="005427AA"/>
    <w:rsid w:val="00542849"/>
    <w:rsid w:val="00542892"/>
    <w:rsid w:val="0054289A"/>
    <w:rsid w:val="00542964"/>
    <w:rsid w:val="00542987"/>
    <w:rsid w:val="005429B8"/>
    <w:rsid w:val="005429F9"/>
    <w:rsid w:val="00542B33"/>
    <w:rsid w:val="00542B50"/>
    <w:rsid w:val="00542BBA"/>
    <w:rsid w:val="00542BE5"/>
    <w:rsid w:val="00542C09"/>
    <w:rsid w:val="00542C9B"/>
    <w:rsid w:val="00542D01"/>
    <w:rsid w:val="00542D16"/>
    <w:rsid w:val="00542D73"/>
    <w:rsid w:val="00542DFE"/>
    <w:rsid w:val="00542E74"/>
    <w:rsid w:val="00542E96"/>
    <w:rsid w:val="00542EAF"/>
    <w:rsid w:val="00542ED3"/>
    <w:rsid w:val="00542EE7"/>
    <w:rsid w:val="00543008"/>
    <w:rsid w:val="005431A8"/>
    <w:rsid w:val="0054333D"/>
    <w:rsid w:val="005433A0"/>
    <w:rsid w:val="0054345F"/>
    <w:rsid w:val="00543478"/>
    <w:rsid w:val="005434DB"/>
    <w:rsid w:val="0054352E"/>
    <w:rsid w:val="00543586"/>
    <w:rsid w:val="0054367F"/>
    <w:rsid w:val="00543683"/>
    <w:rsid w:val="0054369A"/>
    <w:rsid w:val="0054371C"/>
    <w:rsid w:val="00543749"/>
    <w:rsid w:val="00543762"/>
    <w:rsid w:val="005437E2"/>
    <w:rsid w:val="00543896"/>
    <w:rsid w:val="005438A1"/>
    <w:rsid w:val="005438A3"/>
    <w:rsid w:val="005438B8"/>
    <w:rsid w:val="00543934"/>
    <w:rsid w:val="0054394A"/>
    <w:rsid w:val="0054395A"/>
    <w:rsid w:val="00543A52"/>
    <w:rsid w:val="00543A75"/>
    <w:rsid w:val="00543AA2"/>
    <w:rsid w:val="00543B70"/>
    <w:rsid w:val="00543BD8"/>
    <w:rsid w:val="00543D1F"/>
    <w:rsid w:val="00543D6E"/>
    <w:rsid w:val="00543E58"/>
    <w:rsid w:val="00543E9E"/>
    <w:rsid w:val="00543FBC"/>
    <w:rsid w:val="00543FC6"/>
    <w:rsid w:val="0054403B"/>
    <w:rsid w:val="005440C4"/>
    <w:rsid w:val="00544170"/>
    <w:rsid w:val="005442C4"/>
    <w:rsid w:val="00544386"/>
    <w:rsid w:val="00544497"/>
    <w:rsid w:val="005444A0"/>
    <w:rsid w:val="005444D0"/>
    <w:rsid w:val="00544501"/>
    <w:rsid w:val="00544517"/>
    <w:rsid w:val="00544537"/>
    <w:rsid w:val="005445E1"/>
    <w:rsid w:val="00544600"/>
    <w:rsid w:val="0054462D"/>
    <w:rsid w:val="00544684"/>
    <w:rsid w:val="00544686"/>
    <w:rsid w:val="00544736"/>
    <w:rsid w:val="00544779"/>
    <w:rsid w:val="00544810"/>
    <w:rsid w:val="00544830"/>
    <w:rsid w:val="005448CE"/>
    <w:rsid w:val="0054490B"/>
    <w:rsid w:val="0054495B"/>
    <w:rsid w:val="00544983"/>
    <w:rsid w:val="0054499D"/>
    <w:rsid w:val="005449A7"/>
    <w:rsid w:val="005449DD"/>
    <w:rsid w:val="00544A17"/>
    <w:rsid w:val="00544A34"/>
    <w:rsid w:val="00544A41"/>
    <w:rsid w:val="00544ACA"/>
    <w:rsid w:val="00544AF6"/>
    <w:rsid w:val="00544B07"/>
    <w:rsid w:val="00544C23"/>
    <w:rsid w:val="00544CAD"/>
    <w:rsid w:val="00544CD3"/>
    <w:rsid w:val="00544CE7"/>
    <w:rsid w:val="00544D36"/>
    <w:rsid w:val="00544DC5"/>
    <w:rsid w:val="00544E8B"/>
    <w:rsid w:val="00544EBD"/>
    <w:rsid w:val="00544F2E"/>
    <w:rsid w:val="00544FAD"/>
    <w:rsid w:val="00544FD1"/>
    <w:rsid w:val="00544FFD"/>
    <w:rsid w:val="00545164"/>
    <w:rsid w:val="0054516C"/>
    <w:rsid w:val="005451D4"/>
    <w:rsid w:val="005452FC"/>
    <w:rsid w:val="0054536F"/>
    <w:rsid w:val="005453D1"/>
    <w:rsid w:val="00545416"/>
    <w:rsid w:val="0054543B"/>
    <w:rsid w:val="005454AF"/>
    <w:rsid w:val="005454F4"/>
    <w:rsid w:val="005455D7"/>
    <w:rsid w:val="005455FC"/>
    <w:rsid w:val="00545600"/>
    <w:rsid w:val="0054561D"/>
    <w:rsid w:val="00545622"/>
    <w:rsid w:val="00545642"/>
    <w:rsid w:val="00545649"/>
    <w:rsid w:val="005456CF"/>
    <w:rsid w:val="005456EE"/>
    <w:rsid w:val="00545732"/>
    <w:rsid w:val="0054573C"/>
    <w:rsid w:val="00545776"/>
    <w:rsid w:val="0054579E"/>
    <w:rsid w:val="005457C1"/>
    <w:rsid w:val="005457EF"/>
    <w:rsid w:val="00545895"/>
    <w:rsid w:val="005458EB"/>
    <w:rsid w:val="005459CD"/>
    <w:rsid w:val="005459D7"/>
    <w:rsid w:val="00545A12"/>
    <w:rsid w:val="00545AC9"/>
    <w:rsid w:val="00545AF6"/>
    <w:rsid w:val="00545AFB"/>
    <w:rsid w:val="00545B09"/>
    <w:rsid w:val="00545B58"/>
    <w:rsid w:val="00545B6D"/>
    <w:rsid w:val="00545B72"/>
    <w:rsid w:val="00545B92"/>
    <w:rsid w:val="00545BBE"/>
    <w:rsid w:val="00545BCA"/>
    <w:rsid w:val="00545C1D"/>
    <w:rsid w:val="00545C77"/>
    <w:rsid w:val="00545C91"/>
    <w:rsid w:val="00545CA1"/>
    <w:rsid w:val="00545D89"/>
    <w:rsid w:val="00545EE2"/>
    <w:rsid w:val="00545FE1"/>
    <w:rsid w:val="00546037"/>
    <w:rsid w:val="0054609E"/>
    <w:rsid w:val="005460CB"/>
    <w:rsid w:val="00546136"/>
    <w:rsid w:val="00546167"/>
    <w:rsid w:val="00546168"/>
    <w:rsid w:val="00546185"/>
    <w:rsid w:val="0054626C"/>
    <w:rsid w:val="0054627B"/>
    <w:rsid w:val="005462C1"/>
    <w:rsid w:val="005462EC"/>
    <w:rsid w:val="0054630A"/>
    <w:rsid w:val="00546314"/>
    <w:rsid w:val="005463A4"/>
    <w:rsid w:val="005463D8"/>
    <w:rsid w:val="00546446"/>
    <w:rsid w:val="00546478"/>
    <w:rsid w:val="00546542"/>
    <w:rsid w:val="00546568"/>
    <w:rsid w:val="005465B9"/>
    <w:rsid w:val="005465C9"/>
    <w:rsid w:val="005465D6"/>
    <w:rsid w:val="00546641"/>
    <w:rsid w:val="0054666B"/>
    <w:rsid w:val="005467B1"/>
    <w:rsid w:val="005467DA"/>
    <w:rsid w:val="005468A0"/>
    <w:rsid w:val="005468C1"/>
    <w:rsid w:val="005468CE"/>
    <w:rsid w:val="005468D9"/>
    <w:rsid w:val="00546A2D"/>
    <w:rsid w:val="00546A43"/>
    <w:rsid w:val="00546A4A"/>
    <w:rsid w:val="00546AC8"/>
    <w:rsid w:val="00546B25"/>
    <w:rsid w:val="00546C43"/>
    <w:rsid w:val="00546C86"/>
    <w:rsid w:val="00546CEA"/>
    <w:rsid w:val="00546D72"/>
    <w:rsid w:val="00546DC7"/>
    <w:rsid w:val="00546DEE"/>
    <w:rsid w:val="00546F9A"/>
    <w:rsid w:val="00546FB4"/>
    <w:rsid w:val="00546FCE"/>
    <w:rsid w:val="00547035"/>
    <w:rsid w:val="00547079"/>
    <w:rsid w:val="00547139"/>
    <w:rsid w:val="00547216"/>
    <w:rsid w:val="0054727B"/>
    <w:rsid w:val="005472B0"/>
    <w:rsid w:val="005474E5"/>
    <w:rsid w:val="00547508"/>
    <w:rsid w:val="00547556"/>
    <w:rsid w:val="00547575"/>
    <w:rsid w:val="005476EB"/>
    <w:rsid w:val="005478D9"/>
    <w:rsid w:val="0054794D"/>
    <w:rsid w:val="00547960"/>
    <w:rsid w:val="005479BC"/>
    <w:rsid w:val="00547B53"/>
    <w:rsid w:val="00547B9C"/>
    <w:rsid w:val="00547C04"/>
    <w:rsid w:val="00547C8E"/>
    <w:rsid w:val="00547CAB"/>
    <w:rsid w:val="00547D13"/>
    <w:rsid w:val="00547DFA"/>
    <w:rsid w:val="00547E6C"/>
    <w:rsid w:val="00547E95"/>
    <w:rsid w:val="00547EBA"/>
    <w:rsid w:val="00547F1F"/>
    <w:rsid w:val="00547F47"/>
    <w:rsid w:val="00547F6A"/>
    <w:rsid w:val="00547F7D"/>
    <w:rsid w:val="00547F93"/>
    <w:rsid w:val="00547FC9"/>
    <w:rsid w:val="00550004"/>
    <w:rsid w:val="00550030"/>
    <w:rsid w:val="0055008D"/>
    <w:rsid w:val="00550120"/>
    <w:rsid w:val="00550149"/>
    <w:rsid w:val="0055015D"/>
    <w:rsid w:val="005501F2"/>
    <w:rsid w:val="005502B6"/>
    <w:rsid w:val="00550480"/>
    <w:rsid w:val="005504BA"/>
    <w:rsid w:val="005504C9"/>
    <w:rsid w:val="005504EB"/>
    <w:rsid w:val="005504EF"/>
    <w:rsid w:val="0055053F"/>
    <w:rsid w:val="005505DC"/>
    <w:rsid w:val="005505E9"/>
    <w:rsid w:val="00550638"/>
    <w:rsid w:val="00550706"/>
    <w:rsid w:val="005507B3"/>
    <w:rsid w:val="00550818"/>
    <w:rsid w:val="00550871"/>
    <w:rsid w:val="00550881"/>
    <w:rsid w:val="00550990"/>
    <w:rsid w:val="005509F9"/>
    <w:rsid w:val="00550ADC"/>
    <w:rsid w:val="00550AFE"/>
    <w:rsid w:val="00550BDB"/>
    <w:rsid w:val="00550BDC"/>
    <w:rsid w:val="00550BDD"/>
    <w:rsid w:val="00550C54"/>
    <w:rsid w:val="00550C8D"/>
    <w:rsid w:val="00550CA3"/>
    <w:rsid w:val="00550D06"/>
    <w:rsid w:val="00550D63"/>
    <w:rsid w:val="00550DA1"/>
    <w:rsid w:val="00550EB7"/>
    <w:rsid w:val="00550F1F"/>
    <w:rsid w:val="00550F53"/>
    <w:rsid w:val="00550F7E"/>
    <w:rsid w:val="00550F8E"/>
    <w:rsid w:val="00550F92"/>
    <w:rsid w:val="00550FCB"/>
    <w:rsid w:val="00551001"/>
    <w:rsid w:val="0055104B"/>
    <w:rsid w:val="0055115F"/>
    <w:rsid w:val="00551172"/>
    <w:rsid w:val="00551288"/>
    <w:rsid w:val="005512D8"/>
    <w:rsid w:val="005512EC"/>
    <w:rsid w:val="0055132C"/>
    <w:rsid w:val="005513E7"/>
    <w:rsid w:val="00551403"/>
    <w:rsid w:val="00551468"/>
    <w:rsid w:val="005514DA"/>
    <w:rsid w:val="0055151D"/>
    <w:rsid w:val="00551520"/>
    <w:rsid w:val="00551529"/>
    <w:rsid w:val="0055156C"/>
    <w:rsid w:val="0055156D"/>
    <w:rsid w:val="00551623"/>
    <w:rsid w:val="00551798"/>
    <w:rsid w:val="0055182B"/>
    <w:rsid w:val="00551979"/>
    <w:rsid w:val="00551A69"/>
    <w:rsid w:val="00551B43"/>
    <w:rsid w:val="00551BB5"/>
    <w:rsid w:val="00551CF5"/>
    <w:rsid w:val="00551D60"/>
    <w:rsid w:val="00551D6B"/>
    <w:rsid w:val="00551DA8"/>
    <w:rsid w:val="00551ECB"/>
    <w:rsid w:val="00551EDD"/>
    <w:rsid w:val="00551F13"/>
    <w:rsid w:val="00551F98"/>
    <w:rsid w:val="00552001"/>
    <w:rsid w:val="0055203E"/>
    <w:rsid w:val="0055204B"/>
    <w:rsid w:val="0055205C"/>
    <w:rsid w:val="00552171"/>
    <w:rsid w:val="00552186"/>
    <w:rsid w:val="005521C3"/>
    <w:rsid w:val="005521CC"/>
    <w:rsid w:val="005521E2"/>
    <w:rsid w:val="00552223"/>
    <w:rsid w:val="00552233"/>
    <w:rsid w:val="00552271"/>
    <w:rsid w:val="005522B0"/>
    <w:rsid w:val="0055234F"/>
    <w:rsid w:val="005523DB"/>
    <w:rsid w:val="0055248D"/>
    <w:rsid w:val="0055249E"/>
    <w:rsid w:val="0055250F"/>
    <w:rsid w:val="0055253A"/>
    <w:rsid w:val="0055255C"/>
    <w:rsid w:val="00552579"/>
    <w:rsid w:val="005525B6"/>
    <w:rsid w:val="005525C7"/>
    <w:rsid w:val="00552639"/>
    <w:rsid w:val="005526AA"/>
    <w:rsid w:val="00552716"/>
    <w:rsid w:val="005527AC"/>
    <w:rsid w:val="005527C5"/>
    <w:rsid w:val="0055283B"/>
    <w:rsid w:val="00552861"/>
    <w:rsid w:val="005528B6"/>
    <w:rsid w:val="005528D1"/>
    <w:rsid w:val="005528ED"/>
    <w:rsid w:val="00552973"/>
    <w:rsid w:val="005529BD"/>
    <w:rsid w:val="00552A66"/>
    <w:rsid w:val="00552A6E"/>
    <w:rsid w:val="00552B61"/>
    <w:rsid w:val="00552B6A"/>
    <w:rsid w:val="00552B73"/>
    <w:rsid w:val="00552B80"/>
    <w:rsid w:val="00552BD7"/>
    <w:rsid w:val="00552BEB"/>
    <w:rsid w:val="00552C80"/>
    <w:rsid w:val="00552CB6"/>
    <w:rsid w:val="00552CC9"/>
    <w:rsid w:val="00552DB6"/>
    <w:rsid w:val="00552E38"/>
    <w:rsid w:val="00552EB6"/>
    <w:rsid w:val="00552F5C"/>
    <w:rsid w:val="00552FF2"/>
    <w:rsid w:val="005530BE"/>
    <w:rsid w:val="005530C6"/>
    <w:rsid w:val="005530DC"/>
    <w:rsid w:val="0055311A"/>
    <w:rsid w:val="00553170"/>
    <w:rsid w:val="00553243"/>
    <w:rsid w:val="005532F6"/>
    <w:rsid w:val="0055342A"/>
    <w:rsid w:val="0055347E"/>
    <w:rsid w:val="005534D3"/>
    <w:rsid w:val="00553579"/>
    <w:rsid w:val="0055357C"/>
    <w:rsid w:val="00553641"/>
    <w:rsid w:val="005536AA"/>
    <w:rsid w:val="00553713"/>
    <w:rsid w:val="00553798"/>
    <w:rsid w:val="005537F0"/>
    <w:rsid w:val="00553854"/>
    <w:rsid w:val="005538BB"/>
    <w:rsid w:val="0055390B"/>
    <w:rsid w:val="005539CF"/>
    <w:rsid w:val="005539DE"/>
    <w:rsid w:val="00553A39"/>
    <w:rsid w:val="00553A58"/>
    <w:rsid w:val="00553AC0"/>
    <w:rsid w:val="00553B21"/>
    <w:rsid w:val="00553B2A"/>
    <w:rsid w:val="00553BCA"/>
    <w:rsid w:val="00553BE0"/>
    <w:rsid w:val="00553C47"/>
    <w:rsid w:val="00553E6C"/>
    <w:rsid w:val="00553EF7"/>
    <w:rsid w:val="00553F0E"/>
    <w:rsid w:val="00553F47"/>
    <w:rsid w:val="00553F58"/>
    <w:rsid w:val="00553F5E"/>
    <w:rsid w:val="00553FAE"/>
    <w:rsid w:val="00553FC1"/>
    <w:rsid w:val="00553FC7"/>
    <w:rsid w:val="00554244"/>
    <w:rsid w:val="00554271"/>
    <w:rsid w:val="00554279"/>
    <w:rsid w:val="005542B3"/>
    <w:rsid w:val="005542B7"/>
    <w:rsid w:val="005542C8"/>
    <w:rsid w:val="005542D5"/>
    <w:rsid w:val="005542E1"/>
    <w:rsid w:val="00554327"/>
    <w:rsid w:val="00554332"/>
    <w:rsid w:val="0055456E"/>
    <w:rsid w:val="005545A8"/>
    <w:rsid w:val="005545B1"/>
    <w:rsid w:val="005545B3"/>
    <w:rsid w:val="005545D1"/>
    <w:rsid w:val="005545D7"/>
    <w:rsid w:val="00554613"/>
    <w:rsid w:val="0055463D"/>
    <w:rsid w:val="005546E3"/>
    <w:rsid w:val="00554779"/>
    <w:rsid w:val="00554780"/>
    <w:rsid w:val="00554807"/>
    <w:rsid w:val="00554846"/>
    <w:rsid w:val="00554855"/>
    <w:rsid w:val="0055489E"/>
    <w:rsid w:val="005548BB"/>
    <w:rsid w:val="005548DF"/>
    <w:rsid w:val="0055490C"/>
    <w:rsid w:val="0055496F"/>
    <w:rsid w:val="0055498E"/>
    <w:rsid w:val="00554A30"/>
    <w:rsid w:val="00554A9C"/>
    <w:rsid w:val="00554AF0"/>
    <w:rsid w:val="00554C23"/>
    <w:rsid w:val="00554C33"/>
    <w:rsid w:val="00554C35"/>
    <w:rsid w:val="00554C64"/>
    <w:rsid w:val="00554CD3"/>
    <w:rsid w:val="00554D19"/>
    <w:rsid w:val="00554D3B"/>
    <w:rsid w:val="00554D52"/>
    <w:rsid w:val="00554DC6"/>
    <w:rsid w:val="00554DCF"/>
    <w:rsid w:val="00554DED"/>
    <w:rsid w:val="00554E36"/>
    <w:rsid w:val="00554ED5"/>
    <w:rsid w:val="00554EEE"/>
    <w:rsid w:val="00554F11"/>
    <w:rsid w:val="00554F13"/>
    <w:rsid w:val="00554F24"/>
    <w:rsid w:val="00554F2A"/>
    <w:rsid w:val="00554F69"/>
    <w:rsid w:val="00554FA8"/>
    <w:rsid w:val="00554FBD"/>
    <w:rsid w:val="00554FE4"/>
    <w:rsid w:val="0055504D"/>
    <w:rsid w:val="00555051"/>
    <w:rsid w:val="00555090"/>
    <w:rsid w:val="005550BB"/>
    <w:rsid w:val="005550D8"/>
    <w:rsid w:val="00555236"/>
    <w:rsid w:val="00555273"/>
    <w:rsid w:val="005552AE"/>
    <w:rsid w:val="005552B0"/>
    <w:rsid w:val="005552C3"/>
    <w:rsid w:val="0055539C"/>
    <w:rsid w:val="005553D7"/>
    <w:rsid w:val="005553EF"/>
    <w:rsid w:val="00555438"/>
    <w:rsid w:val="005554A3"/>
    <w:rsid w:val="005554DC"/>
    <w:rsid w:val="005554DD"/>
    <w:rsid w:val="005554E4"/>
    <w:rsid w:val="00555575"/>
    <w:rsid w:val="005555C5"/>
    <w:rsid w:val="0055561C"/>
    <w:rsid w:val="0055571C"/>
    <w:rsid w:val="00555779"/>
    <w:rsid w:val="005557CD"/>
    <w:rsid w:val="00555821"/>
    <w:rsid w:val="0055583F"/>
    <w:rsid w:val="005558C7"/>
    <w:rsid w:val="005559D1"/>
    <w:rsid w:val="005559E6"/>
    <w:rsid w:val="00555A53"/>
    <w:rsid w:val="00555A74"/>
    <w:rsid w:val="00555A8D"/>
    <w:rsid w:val="00555AA0"/>
    <w:rsid w:val="00555AA5"/>
    <w:rsid w:val="00555AC3"/>
    <w:rsid w:val="00555AE6"/>
    <w:rsid w:val="00555B18"/>
    <w:rsid w:val="00555B5F"/>
    <w:rsid w:val="00555B92"/>
    <w:rsid w:val="00555BE4"/>
    <w:rsid w:val="00555C0A"/>
    <w:rsid w:val="00555C0E"/>
    <w:rsid w:val="00555C44"/>
    <w:rsid w:val="00555C9A"/>
    <w:rsid w:val="00555CF9"/>
    <w:rsid w:val="00555D82"/>
    <w:rsid w:val="00555E68"/>
    <w:rsid w:val="00555E7D"/>
    <w:rsid w:val="00555E80"/>
    <w:rsid w:val="00555F0F"/>
    <w:rsid w:val="00555F2C"/>
    <w:rsid w:val="00555F3C"/>
    <w:rsid w:val="00555F9E"/>
    <w:rsid w:val="00555FA4"/>
    <w:rsid w:val="0055602E"/>
    <w:rsid w:val="00556080"/>
    <w:rsid w:val="005560BB"/>
    <w:rsid w:val="00556245"/>
    <w:rsid w:val="00556316"/>
    <w:rsid w:val="00556365"/>
    <w:rsid w:val="0055637C"/>
    <w:rsid w:val="005563B4"/>
    <w:rsid w:val="0055642F"/>
    <w:rsid w:val="00556441"/>
    <w:rsid w:val="005564C2"/>
    <w:rsid w:val="005564DF"/>
    <w:rsid w:val="005564E4"/>
    <w:rsid w:val="00556505"/>
    <w:rsid w:val="00556514"/>
    <w:rsid w:val="005565B2"/>
    <w:rsid w:val="005565E7"/>
    <w:rsid w:val="0055662C"/>
    <w:rsid w:val="005566B1"/>
    <w:rsid w:val="005566C7"/>
    <w:rsid w:val="005566CA"/>
    <w:rsid w:val="005566F3"/>
    <w:rsid w:val="005567C3"/>
    <w:rsid w:val="0055687D"/>
    <w:rsid w:val="005568DE"/>
    <w:rsid w:val="005568EA"/>
    <w:rsid w:val="005569D4"/>
    <w:rsid w:val="00556AE3"/>
    <w:rsid w:val="00556B6B"/>
    <w:rsid w:val="00556B96"/>
    <w:rsid w:val="00556C29"/>
    <w:rsid w:val="00556CE9"/>
    <w:rsid w:val="00556D11"/>
    <w:rsid w:val="00556D35"/>
    <w:rsid w:val="00556DD7"/>
    <w:rsid w:val="00556E3A"/>
    <w:rsid w:val="00556E8F"/>
    <w:rsid w:val="00556E9D"/>
    <w:rsid w:val="00556EC7"/>
    <w:rsid w:val="00556ECE"/>
    <w:rsid w:val="00556F29"/>
    <w:rsid w:val="00556FAE"/>
    <w:rsid w:val="00557094"/>
    <w:rsid w:val="005570BC"/>
    <w:rsid w:val="005570DB"/>
    <w:rsid w:val="005570E6"/>
    <w:rsid w:val="0055713A"/>
    <w:rsid w:val="0055713F"/>
    <w:rsid w:val="00557160"/>
    <w:rsid w:val="00557163"/>
    <w:rsid w:val="0055716F"/>
    <w:rsid w:val="00557193"/>
    <w:rsid w:val="005571B4"/>
    <w:rsid w:val="005571FF"/>
    <w:rsid w:val="0055726C"/>
    <w:rsid w:val="00557277"/>
    <w:rsid w:val="005572CB"/>
    <w:rsid w:val="00557321"/>
    <w:rsid w:val="00557333"/>
    <w:rsid w:val="0055737E"/>
    <w:rsid w:val="005573B0"/>
    <w:rsid w:val="005573BF"/>
    <w:rsid w:val="005573C2"/>
    <w:rsid w:val="00557435"/>
    <w:rsid w:val="0055747E"/>
    <w:rsid w:val="005574B8"/>
    <w:rsid w:val="005574E4"/>
    <w:rsid w:val="005575B4"/>
    <w:rsid w:val="0055760C"/>
    <w:rsid w:val="00557629"/>
    <w:rsid w:val="00557638"/>
    <w:rsid w:val="0055763C"/>
    <w:rsid w:val="00557657"/>
    <w:rsid w:val="005576DC"/>
    <w:rsid w:val="005576FE"/>
    <w:rsid w:val="00557730"/>
    <w:rsid w:val="00557758"/>
    <w:rsid w:val="00557760"/>
    <w:rsid w:val="00557793"/>
    <w:rsid w:val="0055786E"/>
    <w:rsid w:val="0055788E"/>
    <w:rsid w:val="005578F6"/>
    <w:rsid w:val="005579BF"/>
    <w:rsid w:val="005579DB"/>
    <w:rsid w:val="005579DD"/>
    <w:rsid w:val="00557AFD"/>
    <w:rsid w:val="00557B59"/>
    <w:rsid w:val="00557B6E"/>
    <w:rsid w:val="00557C14"/>
    <w:rsid w:val="00557C4E"/>
    <w:rsid w:val="00557CC2"/>
    <w:rsid w:val="00557CF9"/>
    <w:rsid w:val="00557DA0"/>
    <w:rsid w:val="00557DB7"/>
    <w:rsid w:val="00557E01"/>
    <w:rsid w:val="00557E37"/>
    <w:rsid w:val="00560179"/>
    <w:rsid w:val="005601A4"/>
    <w:rsid w:val="00560211"/>
    <w:rsid w:val="00560217"/>
    <w:rsid w:val="00560252"/>
    <w:rsid w:val="00560263"/>
    <w:rsid w:val="005602AC"/>
    <w:rsid w:val="005602E9"/>
    <w:rsid w:val="005602FE"/>
    <w:rsid w:val="0056030C"/>
    <w:rsid w:val="00560346"/>
    <w:rsid w:val="0056039B"/>
    <w:rsid w:val="005603AF"/>
    <w:rsid w:val="005603BB"/>
    <w:rsid w:val="005604B2"/>
    <w:rsid w:val="005604E7"/>
    <w:rsid w:val="0056050B"/>
    <w:rsid w:val="0056054E"/>
    <w:rsid w:val="00560709"/>
    <w:rsid w:val="0056072D"/>
    <w:rsid w:val="005607E3"/>
    <w:rsid w:val="005608E3"/>
    <w:rsid w:val="005608F6"/>
    <w:rsid w:val="00560999"/>
    <w:rsid w:val="005609A0"/>
    <w:rsid w:val="00560A33"/>
    <w:rsid w:val="00560A4A"/>
    <w:rsid w:val="00560AF4"/>
    <w:rsid w:val="00560B8C"/>
    <w:rsid w:val="00560BC6"/>
    <w:rsid w:val="00560C83"/>
    <w:rsid w:val="00560CE5"/>
    <w:rsid w:val="00560D20"/>
    <w:rsid w:val="00560D2B"/>
    <w:rsid w:val="00560DAA"/>
    <w:rsid w:val="00560DC6"/>
    <w:rsid w:val="00560DD5"/>
    <w:rsid w:val="00560E7A"/>
    <w:rsid w:val="00560FBD"/>
    <w:rsid w:val="00561029"/>
    <w:rsid w:val="0056105A"/>
    <w:rsid w:val="00561108"/>
    <w:rsid w:val="00561184"/>
    <w:rsid w:val="005611D3"/>
    <w:rsid w:val="005611D9"/>
    <w:rsid w:val="00561205"/>
    <w:rsid w:val="00561242"/>
    <w:rsid w:val="00561269"/>
    <w:rsid w:val="00561275"/>
    <w:rsid w:val="00561345"/>
    <w:rsid w:val="00561388"/>
    <w:rsid w:val="005613D5"/>
    <w:rsid w:val="0056143F"/>
    <w:rsid w:val="00561526"/>
    <w:rsid w:val="00561569"/>
    <w:rsid w:val="005615E4"/>
    <w:rsid w:val="00561674"/>
    <w:rsid w:val="00561679"/>
    <w:rsid w:val="005616B5"/>
    <w:rsid w:val="005616D8"/>
    <w:rsid w:val="0056175F"/>
    <w:rsid w:val="005617DB"/>
    <w:rsid w:val="005617E5"/>
    <w:rsid w:val="00561880"/>
    <w:rsid w:val="005618A3"/>
    <w:rsid w:val="005618B3"/>
    <w:rsid w:val="00561944"/>
    <w:rsid w:val="0056194F"/>
    <w:rsid w:val="005619A0"/>
    <w:rsid w:val="00561A16"/>
    <w:rsid w:val="00561A48"/>
    <w:rsid w:val="00561A69"/>
    <w:rsid w:val="00561A8A"/>
    <w:rsid w:val="00561B27"/>
    <w:rsid w:val="00561BAC"/>
    <w:rsid w:val="00561BC0"/>
    <w:rsid w:val="00561BCA"/>
    <w:rsid w:val="00561BF5"/>
    <w:rsid w:val="00561C56"/>
    <w:rsid w:val="00561CCF"/>
    <w:rsid w:val="00561CE4"/>
    <w:rsid w:val="00561D3B"/>
    <w:rsid w:val="00561D6C"/>
    <w:rsid w:val="00561DB3"/>
    <w:rsid w:val="00561DFB"/>
    <w:rsid w:val="00561EBB"/>
    <w:rsid w:val="00562004"/>
    <w:rsid w:val="00562008"/>
    <w:rsid w:val="00562039"/>
    <w:rsid w:val="00562040"/>
    <w:rsid w:val="00562081"/>
    <w:rsid w:val="00562108"/>
    <w:rsid w:val="00562113"/>
    <w:rsid w:val="00562140"/>
    <w:rsid w:val="0056218C"/>
    <w:rsid w:val="005622E5"/>
    <w:rsid w:val="00562438"/>
    <w:rsid w:val="0056257B"/>
    <w:rsid w:val="0056261B"/>
    <w:rsid w:val="005626C3"/>
    <w:rsid w:val="005626F3"/>
    <w:rsid w:val="00562768"/>
    <w:rsid w:val="005627C4"/>
    <w:rsid w:val="005627C9"/>
    <w:rsid w:val="00562826"/>
    <w:rsid w:val="005628B0"/>
    <w:rsid w:val="00562940"/>
    <w:rsid w:val="0056298D"/>
    <w:rsid w:val="0056298F"/>
    <w:rsid w:val="00562A1F"/>
    <w:rsid w:val="00562A29"/>
    <w:rsid w:val="00562A40"/>
    <w:rsid w:val="00562BD5"/>
    <w:rsid w:val="00562C07"/>
    <w:rsid w:val="00562CE1"/>
    <w:rsid w:val="00562D3B"/>
    <w:rsid w:val="00562D8D"/>
    <w:rsid w:val="00562EB5"/>
    <w:rsid w:val="00562EF0"/>
    <w:rsid w:val="00562F91"/>
    <w:rsid w:val="00563093"/>
    <w:rsid w:val="00563160"/>
    <w:rsid w:val="00563207"/>
    <w:rsid w:val="0056322D"/>
    <w:rsid w:val="00563256"/>
    <w:rsid w:val="005632D0"/>
    <w:rsid w:val="005632FB"/>
    <w:rsid w:val="0056334D"/>
    <w:rsid w:val="0056335D"/>
    <w:rsid w:val="00563372"/>
    <w:rsid w:val="00563378"/>
    <w:rsid w:val="00563434"/>
    <w:rsid w:val="00563489"/>
    <w:rsid w:val="00563566"/>
    <w:rsid w:val="0056356A"/>
    <w:rsid w:val="005635A3"/>
    <w:rsid w:val="00563726"/>
    <w:rsid w:val="0056374A"/>
    <w:rsid w:val="00563755"/>
    <w:rsid w:val="00563760"/>
    <w:rsid w:val="0056381E"/>
    <w:rsid w:val="00563834"/>
    <w:rsid w:val="0056388D"/>
    <w:rsid w:val="005638BD"/>
    <w:rsid w:val="00563913"/>
    <w:rsid w:val="005639D5"/>
    <w:rsid w:val="00563A3B"/>
    <w:rsid w:val="00563A4F"/>
    <w:rsid w:val="00563AB4"/>
    <w:rsid w:val="00563B25"/>
    <w:rsid w:val="00563B65"/>
    <w:rsid w:val="00563B6E"/>
    <w:rsid w:val="00563C16"/>
    <w:rsid w:val="00563C2E"/>
    <w:rsid w:val="00563C31"/>
    <w:rsid w:val="00563C52"/>
    <w:rsid w:val="00563C63"/>
    <w:rsid w:val="00563C69"/>
    <w:rsid w:val="00563C86"/>
    <w:rsid w:val="00563CA5"/>
    <w:rsid w:val="00563D1F"/>
    <w:rsid w:val="00563E3A"/>
    <w:rsid w:val="00563E52"/>
    <w:rsid w:val="00563E97"/>
    <w:rsid w:val="00563ED1"/>
    <w:rsid w:val="00563F4A"/>
    <w:rsid w:val="00563F73"/>
    <w:rsid w:val="00563FEE"/>
    <w:rsid w:val="00564093"/>
    <w:rsid w:val="005640EB"/>
    <w:rsid w:val="0056414F"/>
    <w:rsid w:val="0056417B"/>
    <w:rsid w:val="0056422F"/>
    <w:rsid w:val="00564260"/>
    <w:rsid w:val="0056428E"/>
    <w:rsid w:val="005642F6"/>
    <w:rsid w:val="00564336"/>
    <w:rsid w:val="0056436E"/>
    <w:rsid w:val="00564394"/>
    <w:rsid w:val="0056439E"/>
    <w:rsid w:val="005643C1"/>
    <w:rsid w:val="0056444F"/>
    <w:rsid w:val="0056449F"/>
    <w:rsid w:val="005644A1"/>
    <w:rsid w:val="005644A3"/>
    <w:rsid w:val="005644C1"/>
    <w:rsid w:val="005644DC"/>
    <w:rsid w:val="00564518"/>
    <w:rsid w:val="005645CB"/>
    <w:rsid w:val="005645EE"/>
    <w:rsid w:val="00564674"/>
    <w:rsid w:val="0056472A"/>
    <w:rsid w:val="00564746"/>
    <w:rsid w:val="005647DC"/>
    <w:rsid w:val="0056486A"/>
    <w:rsid w:val="0056490B"/>
    <w:rsid w:val="005649E6"/>
    <w:rsid w:val="00564AC6"/>
    <w:rsid w:val="00564B03"/>
    <w:rsid w:val="00564B3F"/>
    <w:rsid w:val="00564BB7"/>
    <w:rsid w:val="00564BDA"/>
    <w:rsid w:val="00564BDB"/>
    <w:rsid w:val="00564C36"/>
    <w:rsid w:val="00564C60"/>
    <w:rsid w:val="00564C73"/>
    <w:rsid w:val="00564D37"/>
    <w:rsid w:val="00564D39"/>
    <w:rsid w:val="00564E20"/>
    <w:rsid w:val="00564E22"/>
    <w:rsid w:val="00564E2C"/>
    <w:rsid w:val="00564E35"/>
    <w:rsid w:val="00564E62"/>
    <w:rsid w:val="00564E80"/>
    <w:rsid w:val="00564EDD"/>
    <w:rsid w:val="00564F4E"/>
    <w:rsid w:val="00564F6F"/>
    <w:rsid w:val="00564FF4"/>
    <w:rsid w:val="0056501C"/>
    <w:rsid w:val="00565035"/>
    <w:rsid w:val="00565037"/>
    <w:rsid w:val="0056503F"/>
    <w:rsid w:val="0056509A"/>
    <w:rsid w:val="005650F2"/>
    <w:rsid w:val="00565100"/>
    <w:rsid w:val="0056514C"/>
    <w:rsid w:val="00565161"/>
    <w:rsid w:val="005651D9"/>
    <w:rsid w:val="00565207"/>
    <w:rsid w:val="00565254"/>
    <w:rsid w:val="00565264"/>
    <w:rsid w:val="00565297"/>
    <w:rsid w:val="005652DE"/>
    <w:rsid w:val="005652FC"/>
    <w:rsid w:val="0056533C"/>
    <w:rsid w:val="00565359"/>
    <w:rsid w:val="0056539E"/>
    <w:rsid w:val="005653EC"/>
    <w:rsid w:val="00565450"/>
    <w:rsid w:val="0056550C"/>
    <w:rsid w:val="00565537"/>
    <w:rsid w:val="00565585"/>
    <w:rsid w:val="0056560F"/>
    <w:rsid w:val="00565635"/>
    <w:rsid w:val="0056566A"/>
    <w:rsid w:val="005656A1"/>
    <w:rsid w:val="005656EB"/>
    <w:rsid w:val="005656EF"/>
    <w:rsid w:val="00565765"/>
    <w:rsid w:val="0056589E"/>
    <w:rsid w:val="005658C1"/>
    <w:rsid w:val="005658F7"/>
    <w:rsid w:val="005659A7"/>
    <w:rsid w:val="005659C8"/>
    <w:rsid w:val="00565A6A"/>
    <w:rsid w:val="00565AA6"/>
    <w:rsid w:val="00565AF4"/>
    <w:rsid w:val="00565BDD"/>
    <w:rsid w:val="00565BE7"/>
    <w:rsid w:val="00565CC7"/>
    <w:rsid w:val="00565CF7"/>
    <w:rsid w:val="00565D3C"/>
    <w:rsid w:val="00565D55"/>
    <w:rsid w:val="00565D79"/>
    <w:rsid w:val="00565DC5"/>
    <w:rsid w:val="00565DF1"/>
    <w:rsid w:val="00565F50"/>
    <w:rsid w:val="005660A4"/>
    <w:rsid w:val="005660E2"/>
    <w:rsid w:val="0056616E"/>
    <w:rsid w:val="0056621E"/>
    <w:rsid w:val="0056624A"/>
    <w:rsid w:val="00566272"/>
    <w:rsid w:val="0056629C"/>
    <w:rsid w:val="0056632B"/>
    <w:rsid w:val="00566363"/>
    <w:rsid w:val="00566382"/>
    <w:rsid w:val="00566436"/>
    <w:rsid w:val="005664EF"/>
    <w:rsid w:val="005664F7"/>
    <w:rsid w:val="005665B4"/>
    <w:rsid w:val="00566650"/>
    <w:rsid w:val="005666A0"/>
    <w:rsid w:val="0056674A"/>
    <w:rsid w:val="0056677B"/>
    <w:rsid w:val="00566803"/>
    <w:rsid w:val="0056682D"/>
    <w:rsid w:val="005668AF"/>
    <w:rsid w:val="005668C8"/>
    <w:rsid w:val="005669CD"/>
    <w:rsid w:val="00566A98"/>
    <w:rsid w:val="00566A9E"/>
    <w:rsid w:val="00566ABC"/>
    <w:rsid w:val="00566AEC"/>
    <w:rsid w:val="00566AF1"/>
    <w:rsid w:val="00566B27"/>
    <w:rsid w:val="00566BB0"/>
    <w:rsid w:val="00566BBA"/>
    <w:rsid w:val="00566C41"/>
    <w:rsid w:val="00566C47"/>
    <w:rsid w:val="00566C55"/>
    <w:rsid w:val="00566C6F"/>
    <w:rsid w:val="00566C77"/>
    <w:rsid w:val="00566C78"/>
    <w:rsid w:val="00566C7B"/>
    <w:rsid w:val="00566CD3"/>
    <w:rsid w:val="00566D03"/>
    <w:rsid w:val="00566D14"/>
    <w:rsid w:val="00566D63"/>
    <w:rsid w:val="00566D8D"/>
    <w:rsid w:val="00566D93"/>
    <w:rsid w:val="00566DB5"/>
    <w:rsid w:val="00566E70"/>
    <w:rsid w:val="00566EED"/>
    <w:rsid w:val="00566F4A"/>
    <w:rsid w:val="00566F50"/>
    <w:rsid w:val="00566FC3"/>
    <w:rsid w:val="00566FE2"/>
    <w:rsid w:val="005670B2"/>
    <w:rsid w:val="005670D5"/>
    <w:rsid w:val="00567139"/>
    <w:rsid w:val="00567196"/>
    <w:rsid w:val="005671B2"/>
    <w:rsid w:val="005671DA"/>
    <w:rsid w:val="005672FE"/>
    <w:rsid w:val="00567384"/>
    <w:rsid w:val="0056738A"/>
    <w:rsid w:val="00567422"/>
    <w:rsid w:val="005674E8"/>
    <w:rsid w:val="00567563"/>
    <w:rsid w:val="005675CB"/>
    <w:rsid w:val="005676F0"/>
    <w:rsid w:val="00567701"/>
    <w:rsid w:val="00567766"/>
    <w:rsid w:val="005677C4"/>
    <w:rsid w:val="0056788B"/>
    <w:rsid w:val="0056791C"/>
    <w:rsid w:val="005679A0"/>
    <w:rsid w:val="005679DF"/>
    <w:rsid w:val="00567A1D"/>
    <w:rsid w:val="00567AB2"/>
    <w:rsid w:val="00567B45"/>
    <w:rsid w:val="00567BC0"/>
    <w:rsid w:val="00567BFB"/>
    <w:rsid w:val="00567C02"/>
    <w:rsid w:val="00567C17"/>
    <w:rsid w:val="00567C7A"/>
    <w:rsid w:val="00567DB6"/>
    <w:rsid w:val="00567DC0"/>
    <w:rsid w:val="00567DFB"/>
    <w:rsid w:val="00567E01"/>
    <w:rsid w:val="00567E29"/>
    <w:rsid w:val="00567EEA"/>
    <w:rsid w:val="00567EEB"/>
    <w:rsid w:val="00567EF6"/>
    <w:rsid w:val="00567F3A"/>
    <w:rsid w:val="00567F4C"/>
    <w:rsid w:val="00567F9B"/>
    <w:rsid w:val="005700B2"/>
    <w:rsid w:val="005700E3"/>
    <w:rsid w:val="00570113"/>
    <w:rsid w:val="0057020E"/>
    <w:rsid w:val="00570220"/>
    <w:rsid w:val="00570240"/>
    <w:rsid w:val="00570265"/>
    <w:rsid w:val="0057028D"/>
    <w:rsid w:val="005702D4"/>
    <w:rsid w:val="005702EA"/>
    <w:rsid w:val="00570340"/>
    <w:rsid w:val="0057035E"/>
    <w:rsid w:val="00570375"/>
    <w:rsid w:val="0057043A"/>
    <w:rsid w:val="00570481"/>
    <w:rsid w:val="005704EF"/>
    <w:rsid w:val="005704FE"/>
    <w:rsid w:val="00570504"/>
    <w:rsid w:val="00570659"/>
    <w:rsid w:val="0057066F"/>
    <w:rsid w:val="005707AB"/>
    <w:rsid w:val="005707F5"/>
    <w:rsid w:val="00570839"/>
    <w:rsid w:val="0057089B"/>
    <w:rsid w:val="005708EB"/>
    <w:rsid w:val="005709EB"/>
    <w:rsid w:val="005709F9"/>
    <w:rsid w:val="00570A1E"/>
    <w:rsid w:val="00570A35"/>
    <w:rsid w:val="00570A3A"/>
    <w:rsid w:val="00570A90"/>
    <w:rsid w:val="00570AD1"/>
    <w:rsid w:val="00570B18"/>
    <w:rsid w:val="00570B2D"/>
    <w:rsid w:val="00570B39"/>
    <w:rsid w:val="00570B45"/>
    <w:rsid w:val="00570BA9"/>
    <w:rsid w:val="00570BE2"/>
    <w:rsid w:val="00570C28"/>
    <w:rsid w:val="00570C60"/>
    <w:rsid w:val="00570CEA"/>
    <w:rsid w:val="00570D12"/>
    <w:rsid w:val="00570DEE"/>
    <w:rsid w:val="00570E3C"/>
    <w:rsid w:val="00570F2E"/>
    <w:rsid w:val="00570F6B"/>
    <w:rsid w:val="00570F85"/>
    <w:rsid w:val="00571024"/>
    <w:rsid w:val="00571039"/>
    <w:rsid w:val="00571058"/>
    <w:rsid w:val="0057105D"/>
    <w:rsid w:val="0057107B"/>
    <w:rsid w:val="00571143"/>
    <w:rsid w:val="00571205"/>
    <w:rsid w:val="0057125F"/>
    <w:rsid w:val="005712F4"/>
    <w:rsid w:val="0057132C"/>
    <w:rsid w:val="00571361"/>
    <w:rsid w:val="0057138B"/>
    <w:rsid w:val="00571416"/>
    <w:rsid w:val="005714FC"/>
    <w:rsid w:val="0057151B"/>
    <w:rsid w:val="00571551"/>
    <w:rsid w:val="005715AD"/>
    <w:rsid w:val="005715C9"/>
    <w:rsid w:val="005715D2"/>
    <w:rsid w:val="005715E9"/>
    <w:rsid w:val="00571619"/>
    <w:rsid w:val="00571622"/>
    <w:rsid w:val="0057173C"/>
    <w:rsid w:val="0057184D"/>
    <w:rsid w:val="005718CC"/>
    <w:rsid w:val="005718E7"/>
    <w:rsid w:val="0057193A"/>
    <w:rsid w:val="0057194A"/>
    <w:rsid w:val="00571975"/>
    <w:rsid w:val="00571A65"/>
    <w:rsid w:val="00571A85"/>
    <w:rsid w:val="00571BB7"/>
    <w:rsid w:val="00571C41"/>
    <w:rsid w:val="00571CAD"/>
    <w:rsid w:val="00571CB2"/>
    <w:rsid w:val="00571D07"/>
    <w:rsid w:val="00571E80"/>
    <w:rsid w:val="00571E91"/>
    <w:rsid w:val="00571EDA"/>
    <w:rsid w:val="00571F07"/>
    <w:rsid w:val="00571F11"/>
    <w:rsid w:val="00571F1C"/>
    <w:rsid w:val="00571F40"/>
    <w:rsid w:val="00571FD8"/>
    <w:rsid w:val="00572070"/>
    <w:rsid w:val="005720F5"/>
    <w:rsid w:val="005721AA"/>
    <w:rsid w:val="005721F4"/>
    <w:rsid w:val="005721FE"/>
    <w:rsid w:val="0057229E"/>
    <w:rsid w:val="00572430"/>
    <w:rsid w:val="0057245E"/>
    <w:rsid w:val="005724B3"/>
    <w:rsid w:val="005724BA"/>
    <w:rsid w:val="005724DE"/>
    <w:rsid w:val="0057255E"/>
    <w:rsid w:val="00572567"/>
    <w:rsid w:val="00572578"/>
    <w:rsid w:val="00572643"/>
    <w:rsid w:val="0057266A"/>
    <w:rsid w:val="005726FF"/>
    <w:rsid w:val="005727AC"/>
    <w:rsid w:val="005727CF"/>
    <w:rsid w:val="0057280A"/>
    <w:rsid w:val="00572848"/>
    <w:rsid w:val="00572883"/>
    <w:rsid w:val="00572939"/>
    <w:rsid w:val="00572948"/>
    <w:rsid w:val="005729EC"/>
    <w:rsid w:val="005729F7"/>
    <w:rsid w:val="00572A89"/>
    <w:rsid w:val="00572AD9"/>
    <w:rsid w:val="00572ADF"/>
    <w:rsid w:val="00572AFB"/>
    <w:rsid w:val="00572B34"/>
    <w:rsid w:val="00572B3A"/>
    <w:rsid w:val="00572BDC"/>
    <w:rsid w:val="00572C0A"/>
    <w:rsid w:val="00572C8C"/>
    <w:rsid w:val="00572CA8"/>
    <w:rsid w:val="00572CE2"/>
    <w:rsid w:val="00572D30"/>
    <w:rsid w:val="00572D9E"/>
    <w:rsid w:val="00572DBF"/>
    <w:rsid w:val="00572EB1"/>
    <w:rsid w:val="00573009"/>
    <w:rsid w:val="00573080"/>
    <w:rsid w:val="005730CD"/>
    <w:rsid w:val="0057310E"/>
    <w:rsid w:val="0057314B"/>
    <w:rsid w:val="00573161"/>
    <w:rsid w:val="0057317E"/>
    <w:rsid w:val="0057319A"/>
    <w:rsid w:val="00573262"/>
    <w:rsid w:val="0057326D"/>
    <w:rsid w:val="0057330E"/>
    <w:rsid w:val="0057331D"/>
    <w:rsid w:val="00573328"/>
    <w:rsid w:val="005733A6"/>
    <w:rsid w:val="00573433"/>
    <w:rsid w:val="0057343C"/>
    <w:rsid w:val="0057346C"/>
    <w:rsid w:val="00573473"/>
    <w:rsid w:val="00573485"/>
    <w:rsid w:val="005734B6"/>
    <w:rsid w:val="00573559"/>
    <w:rsid w:val="005735F3"/>
    <w:rsid w:val="0057367B"/>
    <w:rsid w:val="00573742"/>
    <w:rsid w:val="0057374B"/>
    <w:rsid w:val="00573768"/>
    <w:rsid w:val="005737BC"/>
    <w:rsid w:val="005737DC"/>
    <w:rsid w:val="0057387D"/>
    <w:rsid w:val="005738E1"/>
    <w:rsid w:val="0057390B"/>
    <w:rsid w:val="00573927"/>
    <w:rsid w:val="00573A08"/>
    <w:rsid w:val="00573A34"/>
    <w:rsid w:val="00573B3F"/>
    <w:rsid w:val="00573BE6"/>
    <w:rsid w:val="00573BF4"/>
    <w:rsid w:val="00573C34"/>
    <w:rsid w:val="00573C9B"/>
    <w:rsid w:val="00573D34"/>
    <w:rsid w:val="00573DC1"/>
    <w:rsid w:val="00573E07"/>
    <w:rsid w:val="00573E1C"/>
    <w:rsid w:val="00573E25"/>
    <w:rsid w:val="00573E4B"/>
    <w:rsid w:val="00573EBA"/>
    <w:rsid w:val="00573F81"/>
    <w:rsid w:val="00574015"/>
    <w:rsid w:val="0057401A"/>
    <w:rsid w:val="00574057"/>
    <w:rsid w:val="00574074"/>
    <w:rsid w:val="005740DC"/>
    <w:rsid w:val="0057413A"/>
    <w:rsid w:val="00574191"/>
    <w:rsid w:val="00574367"/>
    <w:rsid w:val="005743DB"/>
    <w:rsid w:val="00574446"/>
    <w:rsid w:val="00574585"/>
    <w:rsid w:val="005745CB"/>
    <w:rsid w:val="005745E8"/>
    <w:rsid w:val="005745F8"/>
    <w:rsid w:val="00574681"/>
    <w:rsid w:val="005746B4"/>
    <w:rsid w:val="005746D8"/>
    <w:rsid w:val="0057470D"/>
    <w:rsid w:val="00574722"/>
    <w:rsid w:val="00574849"/>
    <w:rsid w:val="0057484B"/>
    <w:rsid w:val="0057488A"/>
    <w:rsid w:val="005748C8"/>
    <w:rsid w:val="005748DB"/>
    <w:rsid w:val="005748EC"/>
    <w:rsid w:val="005748F2"/>
    <w:rsid w:val="00574909"/>
    <w:rsid w:val="00574924"/>
    <w:rsid w:val="00574952"/>
    <w:rsid w:val="0057496F"/>
    <w:rsid w:val="005749AF"/>
    <w:rsid w:val="005749FD"/>
    <w:rsid w:val="00574A10"/>
    <w:rsid w:val="00574A69"/>
    <w:rsid w:val="00574A93"/>
    <w:rsid w:val="00574AB1"/>
    <w:rsid w:val="00574AD8"/>
    <w:rsid w:val="00574AF8"/>
    <w:rsid w:val="00574BB1"/>
    <w:rsid w:val="00574CCC"/>
    <w:rsid w:val="00574DB1"/>
    <w:rsid w:val="00574E65"/>
    <w:rsid w:val="00574EF0"/>
    <w:rsid w:val="00574F3A"/>
    <w:rsid w:val="0057503E"/>
    <w:rsid w:val="00575079"/>
    <w:rsid w:val="005750A5"/>
    <w:rsid w:val="005750B0"/>
    <w:rsid w:val="005751DA"/>
    <w:rsid w:val="0057520B"/>
    <w:rsid w:val="00575230"/>
    <w:rsid w:val="00575322"/>
    <w:rsid w:val="0057534A"/>
    <w:rsid w:val="00575358"/>
    <w:rsid w:val="0057536E"/>
    <w:rsid w:val="00575403"/>
    <w:rsid w:val="0057543E"/>
    <w:rsid w:val="005754DA"/>
    <w:rsid w:val="00575527"/>
    <w:rsid w:val="00575539"/>
    <w:rsid w:val="0057553F"/>
    <w:rsid w:val="0057554C"/>
    <w:rsid w:val="00575566"/>
    <w:rsid w:val="00575578"/>
    <w:rsid w:val="005755E9"/>
    <w:rsid w:val="00575601"/>
    <w:rsid w:val="0057560C"/>
    <w:rsid w:val="00575647"/>
    <w:rsid w:val="0057568E"/>
    <w:rsid w:val="0057569A"/>
    <w:rsid w:val="0057569B"/>
    <w:rsid w:val="0057569F"/>
    <w:rsid w:val="0057575D"/>
    <w:rsid w:val="00575776"/>
    <w:rsid w:val="00575777"/>
    <w:rsid w:val="005757DA"/>
    <w:rsid w:val="005757E0"/>
    <w:rsid w:val="005759A0"/>
    <w:rsid w:val="005759A5"/>
    <w:rsid w:val="005759ED"/>
    <w:rsid w:val="00575A0D"/>
    <w:rsid w:val="00575A74"/>
    <w:rsid w:val="00575AF2"/>
    <w:rsid w:val="00575B12"/>
    <w:rsid w:val="00575B41"/>
    <w:rsid w:val="00575C01"/>
    <w:rsid w:val="00575CD7"/>
    <w:rsid w:val="00575D22"/>
    <w:rsid w:val="00575D89"/>
    <w:rsid w:val="00575E14"/>
    <w:rsid w:val="00575EB3"/>
    <w:rsid w:val="00575EEE"/>
    <w:rsid w:val="00575EF3"/>
    <w:rsid w:val="00575F06"/>
    <w:rsid w:val="00575F8C"/>
    <w:rsid w:val="00575FB1"/>
    <w:rsid w:val="00576012"/>
    <w:rsid w:val="0057602E"/>
    <w:rsid w:val="0057606D"/>
    <w:rsid w:val="00576092"/>
    <w:rsid w:val="005760A9"/>
    <w:rsid w:val="005760C8"/>
    <w:rsid w:val="005760D2"/>
    <w:rsid w:val="005760DD"/>
    <w:rsid w:val="00576154"/>
    <w:rsid w:val="0057615C"/>
    <w:rsid w:val="00576173"/>
    <w:rsid w:val="005761C6"/>
    <w:rsid w:val="00576222"/>
    <w:rsid w:val="0057623D"/>
    <w:rsid w:val="00576266"/>
    <w:rsid w:val="005762A3"/>
    <w:rsid w:val="005762F9"/>
    <w:rsid w:val="0057631F"/>
    <w:rsid w:val="00576344"/>
    <w:rsid w:val="00576403"/>
    <w:rsid w:val="00576524"/>
    <w:rsid w:val="0057653D"/>
    <w:rsid w:val="00576544"/>
    <w:rsid w:val="005765A8"/>
    <w:rsid w:val="005765AF"/>
    <w:rsid w:val="005765DC"/>
    <w:rsid w:val="00576625"/>
    <w:rsid w:val="0057666A"/>
    <w:rsid w:val="0057669D"/>
    <w:rsid w:val="00576716"/>
    <w:rsid w:val="0057687F"/>
    <w:rsid w:val="00576891"/>
    <w:rsid w:val="005768C0"/>
    <w:rsid w:val="005768EC"/>
    <w:rsid w:val="00576904"/>
    <w:rsid w:val="0057695C"/>
    <w:rsid w:val="005769A7"/>
    <w:rsid w:val="005769AF"/>
    <w:rsid w:val="00576A08"/>
    <w:rsid w:val="00576B4A"/>
    <w:rsid w:val="00576C41"/>
    <w:rsid w:val="00576C56"/>
    <w:rsid w:val="00576C6D"/>
    <w:rsid w:val="00576CA9"/>
    <w:rsid w:val="00576D72"/>
    <w:rsid w:val="00576DCE"/>
    <w:rsid w:val="00576DE2"/>
    <w:rsid w:val="00576E21"/>
    <w:rsid w:val="00576E79"/>
    <w:rsid w:val="00576EA1"/>
    <w:rsid w:val="00576F8C"/>
    <w:rsid w:val="00576F95"/>
    <w:rsid w:val="00577007"/>
    <w:rsid w:val="0057703A"/>
    <w:rsid w:val="005770AE"/>
    <w:rsid w:val="005772D9"/>
    <w:rsid w:val="00577311"/>
    <w:rsid w:val="0057738A"/>
    <w:rsid w:val="0057746C"/>
    <w:rsid w:val="00577474"/>
    <w:rsid w:val="005774B8"/>
    <w:rsid w:val="005775AD"/>
    <w:rsid w:val="005775C3"/>
    <w:rsid w:val="00577650"/>
    <w:rsid w:val="00577663"/>
    <w:rsid w:val="00577665"/>
    <w:rsid w:val="0057770C"/>
    <w:rsid w:val="005777D0"/>
    <w:rsid w:val="00577830"/>
    <w:rsid w:val="0057787B"/>
    <w:rsid w:val="005778D0"/>
    <w:rsid w:val="005779A0"/>
    <w:rsid w:val="005779A8"/>
    <w:rsid w:val="005779E9"/>
    <w:rsid w:val="00577A86"/>
    <w:rsid w:val="00577A9A"/>
    <w:rsid w:val="00577AC1"/>
    <w:rsid w:val="00577B14"/>
    <w:rsid w:val="00577B1F"/>
    <w:rsid w:val="00577B85"/>
    <w:rsid w:val="00577BF1"/>
    <w:rsid w:val="00577BF2"/>
    <w:rsid w:val="00577E78"/>
    <w:rsid w:val="00577E8D"/>
    <w:rsid w:val="00577E91"/>
    <w:rsid w:val="00577F1F"/>
    <w:rsid w:val="00577FA4"/>
    <w:rsid w:val="005800DC"/>
    <w:rsid w:val="005800E0"/>
    <w:rsid w:val="0058017F"/>
    <w:rsid w:val="005801FE"/>
    <w:rsid w:val="00580220"/>
    <w:rsid w:val="0058025E"/>
    <w:rsid w:val="00580280"/>
    <w:rsid w:val="005803E6"/>
    <w:rsid w:val="005804EC"/>
    <w:rsid w:val="005804FD"/>
    <w:rsid w:val="005805AC"/>
    <w:rsid w:val="00580618"/>
    <w:rsid w:val="0058061C"/>
    <w:rsid w:val="005806BB"/>
    <w:rsid w:val="005806E5"/>
    <w:rsid w:val="00580702"/>
    <w:rsid w:val="00580740"/>
    <w:rsid w:val="005807B7"/>
    <w:rsid w:val="00580878"/>
    <w:rsid w:val="00580880"/>
    <w:rsid w:val="005808D6"/>
    <w:rsid w:val="00580941"/>
    <w:rsid w:val="00580A3E"/>
    <w:rsid w:val="00580A4A"/>
    <w:rsid w:val="00580A4B"/>
    <w:rsid w:val="00580A5D"/>
    <w:rsid w:val="00580A7C"/>
    <w:rsid w:val="00580AB9"/>
    <w:rsid w:val="00580B3C"/>
    <w:rsid w:val="00580C19"/>
    <w:rsid w:val="00580C91"/>
    <w:rsid w:val="00580CB9"/>
    <w:rsid w:val="00580DB5"/>
    <w:rsid w:val="00580DC8"/>
    <w:rsid w:val="00580DCB"/>
    <w:rsid w:val="00580E42"/>
    <w:rsid w:val="00580F1B"/>
    <w:rsid w:val="00580F79"/>
    <w:rsid w:val="00580FEC"/>
    <w:rsid w:val="00580FEE"/>
    <w:rsid w:val="00580FFA"/>
    <w:rsid w:val="005810A4"/>
    <w:rsid w:val="0058114C"/>
    <w:rsid w:val="005811AA"/>
    <w:rsid w:val="005811C9"/>
    <w:rsid w:val="005811EF"/>
    <w:rsid w:val="0058127E"/>
    <w:rsid w:val="00581449"/>
    <w:rsid w:val="00581492"/>
    <w:rsid w:val="005814F8"/>
    <w:rsid w:val="00581548"/>
    <w:rsid w:val="005815EC"/>
    <w:rsid w:val="00581627"/>
    <w:rsid w:val="0058168B"/>
    <w:rsid w:val="005816FA"/>
    <w:rsid w:val="00581701"/>
    <w:rsid w:val="0058173F"/>
    <w:rsid w:val="00581750"/>
    <w:rsid w:val="00581777"/>
    <w:rsid w:val="00581791"/>
    <w:rsid w:val="005817E3"/>
    <w:rsid w:val="00581817"/>
    <w:rsid w:val="00581823"/>
    <w:rsid w:val="00581827"/>
    <w:rsid w:val="00581856"/>
    <w:rsid w:val="005818DD"/>
    <w:rsid w:val="00581901"/>
    <w:rsid w:val="0058194D"/>
    <w:rsid w:val="005819AF"/>
    <w:rsid w:val="005819CB"/>
    <w:rsid w:val="00581AA1"/>
    <w:rsid w:val="00581AB8"/>
    <w:rsid w:val="00581AD8"/>
    <w:rsid w:val="00581B65"/>
    <w:rsid w:val="00581BBF"/>
    <w:rsid w:val="00581C14"/>
    <w:rsid w:val="00581C74"/>
    <w:rsid w:val="00581C79"/>
    <w:rsid w:val="00581C8B"/>
    <w:rsid w:val="00581D0C"/>
    <w:rsid w:val="00581D1F"/>
    <w:rsid w:val="00581D80"/>
    <w:rsid w:val="00581E08"/>
    <w:rsid w:val="00581E4F"/>
    <w:rsid w:val="00581E57"/>
    <w:rsid w:val="00581EAF"/>
    <w:rsid w:val="00581F1A"/>
    <w:rsid w:val="00581F2D"/>
    <w:rsid w:val="00581FAC"/>
    <w:rsid w:val="00581FD6"/>
    <w:rsid w:val="00581FE8"/>
    <w:rsid w:val="00582012"/>
    <w:rsid w:val="00582063"/>
    <w:rsid w:val="00582115"/>
    <w:rsid w:val="0058214F"/>
    <w:rsid w:val="005821C7"/>
    <w:rsid w:val="00582211"/>
    <w:rsid w:val="00582237"/>
    <w:rsid w:val="0058224C"/>
    <w:rsid w:val="00582305"/>
    <w:rsid w:val="00582352"/>
    <w:rsid w:val="005823FD"/>
    <w:rsid w:val="00582523"/>
    <w:rsid w:val="00582584"/>
    <w:rsid w:val="005825E3"/>
    <w:rsid w:val="005826BB"/>
    <w:rsid w:val="005826ED"/>
    <w:rsid w:val="005826FE"/>
    <w:rsid w:val="0058271D"/>
    <w:rsid w:val="00582742"/>
    <w:rsid w:val="00582746"/>
    <w:rsid w:val="0058279D"/>
    <w:rsid w:val="00582861"/>
    <w:rsid w:val="0058288C"/>
    <w:rsid w:val="00582927"/>
    <w:rsid w:val="00582987"/>
    <w:rsid w:val="005829C2"/>
    <w:rsid w:val="005829F3"/>
    <w:rsid w:val="00582A52"/>
    <w:rsid w:val="00582A5F"/>
    <w:rsid w:val="00582B16"/>
    <w:rsid w:val="00582B2B"/>
    <w:rsid w:val="00582B96"/>
    <w:rsid w:val="00582BA9"/>
    <w:rsid w:val="00582BAE"/>
    <w:rsid w:val="00582BB3"/>
    <w:rsid w:val="00582D2F"/>
    <w:rsid w:val="00582E1C"/>
    <w:rsid w:val="00582E38"/>
    <w:rsid w:val="00582E7F"/>
    <w:rsid w:val="00582E82"/>
    <w:rsid w:val="00582EE3"/>
    <w:rsid w:val="00582F51"/>
    <w:rsid w:val="00583006"/>
    <w:rsid w:val="005830A4"/>
    <w:rsid w:val="005830B5"/>
    <w:rsid w:val="005830C4"/>
    <w:rsid w:val="005830C7"/>
    <w:rsid w:val="0058310E"/>
    <w:rsid w:val="00583156"/>
    <w:rsid w:val="00583278"/>
    <w:rsid w:val="005832BA"/>
    <w:rsid w:val="005832F1"/>
    <w:rsid w:val="0058331C"/>
    <w:rsid w:val="0058338A"/>
    <w:rsid w:val="0058338B"/>
    <w:rsid w:val="005833E9"/>
    <w:rsid w:val="00583413"/>
    <w:rsid w:val="00583434"/>
    <w:rsid w:val="005834E0"/>
    <w:rsid w:val="0058356B"/>
    <w:rsid w:val="005835AB"/>
    <w:rsid w:val="005836A8"/>
    <w:rsid w:val="005836C7"/>
    <w:rsid w:val="005837C8"/>
    <w:rsid w:val="005837EA"/>
    <w:rsid w:val="005837EE"/>
    <w:rsid w:val="00583840"/>
    <w:rsid w:val="00583881"/>
    <w:rsid w:val="005838B3"/>
    <w:rsid w:val="005838C0"/>
    <w:rsid w:val="005838EB"/>
    <w:rsid w:val="005838F8"/>
    <w:rsid w:val="005839D1"/>
    <w:rsid w:val="00583A4A"/>
    <w:rsid w:val="00583A71"/>
    <w:rsid w:val="00583A8A"/>
    <w:rsid w:val="00583ACB"/>
    <w:rsid w:val="00583AF8"/>
    <w:rsid w:val="00583BB5"/>
    <w:rsid w:val="00583C14"/>
    <w:rsid w:val="00583C32"/>
    <w:rsid w:val="00583C5F"/>
    <w:rsid w:val="00583C8D"/>
    <w:rsid w:val="00583D1B"/>
    <w:rsid w:val="00583D8E"/>
    <w:rsid w:val="00583D95"/>
    <w:rsid w:val="00583E03"/>
    <w:rsid w:val="00583EF4"/>
    <w:rsid w:val="00583F00"/>
    <w:rsid w:val="00583F67"/>
    <w:rsid w:val="00583FB1"/>
    <w:rsid w:val="00583FF5"/>
    <w:rsid w:val="0058406E"/>
    <w:rsid w:val="00584115"/>
    <w:rsid w:val="0058412B"/>
    <w:rsid w:val="0058414E"/>
    <w:rsid w:val="00584154"/>
    <w:rsid w:val="005841C1"/>
    <w:rsid w:val="005841DA"/>
    <w:rsid w:val="00584297"/>
    <w:rsid w:val="005842A6"/>
    <w:rsid w:val="005842F5"/>
    <w:rsid w:val="0058434E"/>
    <w:rsid w:val="00584350"/>
    <w:rsid w:val="00584374"/>
    <w:rsid w:val="0058439E"/>
    <w:rsid w:val="005843A1"/>
    <w:rsid w:val="005843D8"/>
    <w:rsid w:val="005843F8"/>
    <w:rsid w:val="00584476"/>
    <w:rsid w:val="00584523"/>
    <w:rsid w:val="005845C2"/>
    <w:rsid w:val="00584767"/>
    <w:rsid w:val="0058476E"/>
    <w:rsid w:val="00584803"/>
    <w:rsid w:val="00584859"/>
    <w:rsid w:val="0058488F"/>
    <w:rsid w:val="00584923"/>
    <w:rsid w:val="0058498F"/>
    <w:rsid w:val="00584A4E"/>
    <w:rsid w:val="00584A5A"/>
    <w:rsid w:val="00584A67"/>
    <w:rsid w:val="00584B23"/>
    <w:rsid w:val="00584B39"/>
    <w:rsid w:val="00584B4D"/>
    <w:rsid w:val="00584B5E"/>
    <w:rsid w:val="00584BAD"/>
    <w:rsid w:val="00584C04"/>
    <w:rsid w:val="00584C3E"/>
    <w:rsid w:val="00584C4C"/>
    <w:rsid w:val="00584D60"/>
    <w:rsid w:val="00584E51"/>
    <w:rsid w:val="00584E5D"/>
    <w:rsid w:val="00584E8A"/>
    <w:rsid w:val="00584F26"/>
    <w:rsid w:val="0058501D"/>
    <w:rsid w:val="0058505B"/>
    <w:rsid w:val="00585107"/>
    <w:rsid w:val="00585174"/>
    <w:rsid w:val="00585177"/>
    <w:rsid w:val="005851AA"/>
    <w:rsid w:val="00585208"/>
    <w:rsid w:val="00585294"/>
    <w:rsid w:val="005852A6"/>
    <w:rsid w:val="005852BD"/>
    <w:rsid w:val="005852E4"/>
    <w:rsid w:val="005853BE"/>
    <w:rsid w:val="005853D1"/>
    <w:rsid w:val="0058546C"/>
    <w:rsid w:val="00585498"/>
    <w:rsid w:val="005854FB"/>
    <w:rsid w:val="005854FC"/>
    <w:rsid w:val="00585531"/>
    <w:rsid w:val="0058554B"/>
    <w:rsid w:val="005855C5"/>
    <w:rsid w:val="005855F4"/>
    <w:rsid w:val="00585610"/>
    <w:rsid w:val="00585623"/>
    <w:rsid w:val="00585643"/>
    <w:rsid w:val="00585667"/>
    <w:rsid w:val="00585682"/>
    <w:rsid w:val="005856F4"/>
    <w:rsid w:val="00585702"/>
    <w:rsid w:val="0058572B"/>
    <w:rsid w:val="00585745"/>
    <w:rsid w:val="0058576C"/>
    <w:rsid w:val="005858A2"/>
    <w:rsid w:val="005858AA"/>
    <w:rsid w:val="00585900"/>
    <w:rsid w:val="0058591F"/>
    <w:rsid w:val="0058594F"/>
    <w:rsid w:val="00585962"/>
    <w:rsid w:val="0058598A"/>
    <w:rsid w:val="005859DB"/>
    <w:rsid w:val="005859FB"/>
    <w:rsid w:val="00585A24"/>
    <w:rsid w:val="00585ACC"/>
    <w:rsid w:val="00585B96"/>
    <w:rsid w:val="00585BBB"/>
    <w:rsid w:val="00585BD1"/>
    <w:rsid w:val="00585BDA"/>
    <w:rsid w:val="00585BFA"/>
    <w:rsid w:val="00585D28"/>
    <w:rsid w:val="00585D38"/>
    <w:rsid w:val="00585D71"/>
    <w:rsid w:val="00585D97"/>
    <w:rsid w:val="00585D99"/>
    <w:rsid w:val="00585E2C"/>
    <w:rsid w:val="00585E3F"/>
    <w:rsid w:val="00585E81"/>
    <w:rsid w:val="00586013"/>
    <w:rsid w:val="0058604C"/>
    <w:rsid w:val="0058607B"/>
    <w:rsid w:val="00586110"/>
    <w:rsid w:val="0058613B"/>
    <w:rsid w:val="005861C6"/>
    <w:rsid w:val="00586212"/>
    <w:rsid w:val="0058626A"/>
    <w:rsid w:val="0058626B"/>
    <w:rsid w:val="005862B2"/>
    <w:rsid w:val="0058639A"/>
    <w:rsid w:val="005863B1"/>
    <w:rsid w:val="00586403"/>
    <w:rsid w:val="005864CE"/>
    <w:rsid w:val="005864E1"/>
    <w:rsid w:val="005864E7"/>
    <w:rsid w:val="005864F8"/>
    <w:rsid w:val="00586537"/>
    <w:rsid w:val="00586542"/>
    <w:rsid w:val="00586649"/>
    <w:rsid w:val="0058666C"/>
    <w:rsid w:val="0058667E"/>
    <w:rsid w:val="005866DC"/>
    <w:rsid w:val="00586717"/>
    <w:rsid w:val="00586771"/>
    <w:rsid w:val="00586828"/>
    <w:rsid w:val="005868FA"/>
    <w:rsid w:val="00586926"/>
    <w:rsid w:val="0058695B"/>
    <w:rsid w:val="005869CC"/>
    <w:rsid w:val="00586A22"/>
    <w:rsid w:val="00586AE4"/>
    <w:rsid w:val="00586B0B"/>
    <w:rsid w:val="00586B82"/>
    <w:rsid w:val="00586BC9"/>
    <w:rsid w:val="00586BD6"/>
    <w:rsid w:val="00586C22"/>
    <w:rsid w:val="00586C60"/>
    <w:rsid w:val="00586CC3"/>
    <w:rsid w:val="00586D37"/>
    <w:rsid w:val="00586D4E"/>
    <w:rsid w:val="00586DF7"/>
    <w:rsid w:val="00586E33"/>
    <w:rsid w:val="00586EFE"/>
    <w:rsid w:val="00586F6F"/>
    <w:rsid w:val="0058709E"/>
    <w:rsid w:val="0058713D"/>
    <w:rsid w:val="005871BE"/>
    <w:rsid w:val="00587244"/>
    <w:rsid w:val="005872E4"/>
    <w:rsid w:val="005872F6"/>
    <w:rsid w:val="0058731C"/>
    <w:rsid w:val="005874E0"/>
    <w:rsid w:val="00587534"/>
    <w:rsid w:val="00587565"/>
    <w:rsid w:val="00587590"/>
    <w:rsid w:val="005875AA"/>
    <w:rsid w:val="00587645"/>
    <w:rsid w:val="0058764D"/>
    <w:rsid w:val="00587660"/>
    <w:rsid w:val="00587676"/>
    <w:rsid w:val="005876D7"/>
    <w:rsid w:val="00587752"/>
    <w:rsid w:val="005877D9"/>
    <w:rsid w:val="0058783D"/>
    <w:rsid w:val="00587867"/>
    <w:rsid w:val="005878CF"/>
    <w:rsid w:val="00587932"/>
    <w:rsid w:val="005879F4"/>
    <w:rsid w:val="00587A33"/>
    <w:rsid w:val="00587A5D"/>
    <w:rsid w:val="00587B32"/>
    <w:rsid w:val="00587B98"/>
    <w:rsid w:val="00587C01"/>
    <w:rsid w:val="00587CA8"/>
    <w:rsid w:val="00587D08"/>
    <w:rsid w:val="00587D15"/>
    <w:rsid w:val="00587D90"/>
    <w:rsid w:val="00587DCA"/>
    <w:rsid w:val="00587DE0"/>
    <w:rsid w:val="00587E71"/>
    <w:rsid w:val="00587E9D"/>
    <w:rsid w:val="00587EB1"/>
    <w:rsid w:val="00587F43"/>
    <w:rsid w:val="00587F8C"/>
    <w:rsid w:val="00590237"/>
    <w:rsid w:val="00590244"/>
    <w:rsid w:val="0059026B"/>
    <w:rsid w:val="005902BF"/>
    <w:rsid w:val="005902D7"/>
    <w:rsid w:val="00590369"/>
    <w:rsid w:val="00590383"/>
    <w:rsid w:val="0059043B"/>
    <w:rsid w:val="00590469"/>
    <w:rsid w:val="005904E4"/>
    <w:rsid w:val="005904F1"/>
    <w:rsid w:val="00590501"/>
    <w:rsid w:val="00590503"/>
    <w:rsid w:val="00590525"/>
    <w:rsid w:val="00590527"/>
    <w:rsid w:val="005905B2"/>
    <w:rsid w:val="005905B3"/>
    <w:rsid w:val="0059062D"/>
    <w:rsid w:val="0059066C"/>
    <w:rsid w:val="00590745"/>
    <w:rsid w:val="00590765"/>
    <w:rsid w:val="00590779"/>
    <w:rsid w:val="005907D2"/>
    <w:rsid w:val="005907EB"/>
    <w:rsid w:val="00590840"/>
    <w:rsid w:val="0059086E"/>
    <w:rsid w:val="0059099D"/>
    <w:rsid w:val="005909B8"/>
    <w:rsid w:val="005909E8"/>
    <w:rsid w:val="00590A69"/>
    <w:rsid w:val="00590AC4"/>
    <w:rsid w:val="00590B02"/>
    <w:rsid w:val="00590B29"/>
    <w:rsid w:val="00590B40"/>
    <w:rsid w:val="00590C3D"/>
    <w:rsid w:val="00590C6D"/>
    <w:rsid w:val="00590C75"/>
    <w:rsid w:val="00590CA6"/>
    <w:rsid w:val="00590CEA"/>
    <w:rsid w:val="00590D96"/>
    <w:rsid w:val="00590DD6"/>
    <w:rsid w:val="00590E6F"/>
    <w:rsid w:val="00590E86"/>
    <w:rsid w:val="00590EB3"/>
    <w:rsid w:val="00590EC7"/>
    <w:rsid w:val="00590EDB"/>
    <w:rsid w:val="00590F04"/>
    <w:rsid w:val="00590F1B"/>
    <w:rsid w:val="00590F8A"/>
    <w:rsid w:val="00590FBE"/>
    <w:rsid w:val="00590FD7"/>
    <w:rsid w:val="0059109F"/>
    <w:rsid w:val="00591101"/>
    <w:rsid w:val="0059116E"/>
    <w:rsid w:val="0059119D"/>
    <w:rsid w:val="00591215"/>
    <w:rsid w:val="00591296"/>
    <w:rsid w:val="00591457"/>
    <w:rsid w:val="005914C7"/>
    <w:rsid w:val="0059152B"/>
    <w:rsid w:val="00591549"/>
    <w:rsid w:val="005915D4"/>
    <w:rsid w:val="005915FA"/>
    <w:rsid w:val="0059169B"/>
    <w:rsid w:val="005916D6"/>
    <w:rsid w:val="005916E2"/>
    <w:rsid w:val="0059178C"/>
    <w:rsid w:val="005917A3"/>
    <w:rsid w:val="005917D3"/>
    <w:rsid w:val="005917E1"/>
    <w:rsid w:val="005917E2"/>
    <w:rsid w:val="005917EE"/>
    <w:rsid w:val="0059184B"/>
    <w:rsid w:val="005918AD"/>
    <w:rsid w:val="005918C2"/>
    <w:rsid w:val="005918ED"/>
    <w:rsid w:val="005919A2"/>
    <w:rsid w:val="00591A14"/>
    <w:rsid w:val="00591A4D"/>
    <w:rsid w:val="00591A76"/>
    <w:rsid w:val="00591A77"/>
    <w:rsid w:val="00591B27"/>
    <w:rsid w:val="00591BA4"/>
    <w:rsid w:val="00591C62"/>
    <w:rsid w:val="00591C82"/>
    <w:rsid w:val="00591CDE"/>
    <w:rsid w:val="00591D92"/>
    <w:rsid w:val="00591DE6"/>
    <w:rsid w:val="00591E0F"/>
    <w:rsid w:val="00591F4B"/>
    <w:rsid w:val="00591F54"/>
    <w:rsid w:val="00591FC3"/>
    <w:rsid w:val="00591FCF"/>
    <w:rsid w:val="0059200D"/>
    <w:rsid w:val="005920B9"/>
    <w:rsid w:val="0059218F"/>
    <w:rsid w:val="005921F2"/>
    <w:rsid w:val="00592267"/>
    <w:rsid w:val="00592281"/>
    <w:rsid w:val="005922A8"/>
    <w:rsid w:val="00592323"/>
    <w:rsid w:val="00592360"/>
    <w:rsid w:val="00592361"/>
    <w:rsid w:val="00592372"/>
    <w:rsid w:val="0059255E"/>
    <w:rsid w:val="005925BB"/>
    <w:rsid w:val="005925BD"/>
    <w:rsid w:val="005925DD"/>
    <w:rsid w:val="005925DE"/>
    <w:rsid w:val="00592620"/>
    <w:rsid w:val="005926D6"/>
    <w:rsid w:val="00592710"/>
    <w:rsid w:val="0059279D"/>
    <w:rsid w:val="005927BE"/>
    <w:rsid w:val="00592808"/>
    <w:rsid w:val="0059280A"/>
    <w:rsid w:val="00592883"/>
    <w:rsid w:val="0059289F"/>
    <w:rsid w:val="005928BF"/>
    <w:rsid w:val="0059292F"/>
    <w:rsid w:val="00592957"/>
    <w:rsid w:val="00592996"/>
    <w:rsid w:val="0059299A"/>
    <w:rsid w:val="00592A77"/>
    <w:rsid w:val="00592AAF"/>
    <w:rsid w:val="00592B43"/>
    <w:rsid w:val="00592BDB"/>
    <w:rsid w:val="00592C37"/>
    <w:rsid w:val="00592CBF"/>
    <w:rsid w:val="00592CE1"/>
    <w:rsid w:val="00592D72"/>
    <w:rsid w:val="00592D8C"/>
    <w:rsid w:val="00592D9E"/>
    <w:rsid w:val="00592E0E"/>
    <w:rsid w:val="00592EB8"/>
    <w:rsid w:val="00592EC8"/>
    <w:rsid w:val="00592F0B"/>
    <w:rsid w:val="00592F37"/>
    <w:rsid w:val="00592FC0"/>
    <w:rsid w:val="00592FCE"/>
    <w:rsid w:val="00592FCF"/>
    <w:rsid w:val="00592FD4"/>
    <w:rsid w:val="00592FD6"/>
    <w:rsid w:val="00593026"/>
    <w:rsid w:val="00593061"/>
    <w:rsid w:val="0059307A"/>
    <w:rsid w:val="00593107"/>
    <w:rsid w:val="00593155"/>
    <w:rsid w:val="005931B7"/>
    <w:rsid w:val="005931D2"/>
    <w:rsid w:val="005931DC"/>
    <w:rsid w:val="0059322D"/>
    <w:rsid w:val="00593298"/>
    <w:rsid w:val="005932B1"/>
    <w:rsid w:val="0059332B"/>
    <w:rsid w:val="00593341"/>
    <w:rsid w:val="005933BD"/>
    <w:rsid w:val="005933BE"/>
    <w:rsid w:val="005934C7"/>
    <w:rsid w:val="005934EB"/>
    <w:rsid w:val="0059351B"/>
    <w:rsid w:val="00593537"/>
    <w:rsid w:val="005935EE"/>
    <w:rsid w:val="005936B3"/>
    <w:rsid w:val="005936EB"/>
    <w:rsid w:val="005936FE"/>
    <w:rsid w:val="005937D6"/>
    <w:rsid w:val="00593879"/>
    <w:rsid w:val="00593891"/>
    <w:rsid w:val="0059389E"/>
    <w:rsid w:val="00593920"/>
    <w:rsid w:val="0059394C"/>
    <w:rsid w:val="00593952"/>
    <w:rsid w:val="00593979"/>
    <w:rsid w:val="0059398A"/>
    <w:rsid w:val="0059399A"/>
    <w:rsid w:val="005939B9"/>
    <w:rsid w:val="00593A08"/>
    <w:rsid w:val="00593A32"/>
    <w:rsid w:val="00593A72"/>
    <w:rsid w:val="00593A9D"/>
    <w:rsid w:val="00593AA4"/>
    <w:rsid w:val="00593AB9"/>
    <w:rsid w:val="00593BC1"/>
    <w:rsid w:val="00593BDC"/>
    <w:rsid w:val="00593C3B"/>
    <w:rsid w:val="00593C69"/>
    <w:rsid w:val="00593C9C"/>
    <w:rsid w:val="00593D20"/>
    <w:rsid w:val="00593D24"/>
    <w:rsid w:val="00593D34"/>
    <w:rsid w:val="00593D3D"/>
    <w:rsid w:val="00593D55"/>
    <w:rsid w:val="00593D6D"/>
    <w:rsid w:val="00593DA5"/>
    <w:rsid w:val="00593E38"/>
    <w:rsid w:val="00593FA4"/>
    <w:rsid w:val="00593FD1"/>
    <w:rsid w:val="0059400F"/>
    <w:rsid w:val="005941A2"/>
    <w:rsid w:val="005941CA"/>
    <w:rsid w:val="0059422C"/>
    <w:rsid w:val="0059425F"/>
    <w:rsid w:val="0059429D"/>
    <w:rsid w:val="0059431B"/>
    <w:rsid w:val="00594525"/>
    <w:rsid w:val="005945B2"/>
    <w:rsid w:val="005945BB"/>
    <w:rsid w:val="0059461E"/>
    <w:rsid w:val="005946D6"/>
    <w:rsid w:val="0059474E"/>
    <w:rsid w:val="00594852"/>
    <w:rsid w:val="005948CC"/>
    <w:rsid w:val="005948F1"/>
    <w:rsid w:val="00594905"/>
    <w:rsid w:val="005949CB"/>
    <w:rsid w:val="00594B0B"/>
    <w:rsid w:val="00594B91"/>
    <w:rsid w:val="00594B92"/>
    <w:rsid w:val="00594C24"/>
    <w:rsid w:val="00594CE3"/>
    <w:rsid w:val="00594D54"/>
    <w:rsid w:val="00594D93"/>
    <w:rsid w:val="00594D99"/>
    <w:rsid w:val="00594DE1"/>
    <w:rsid w:val="00594E26"/>
    <w:rsid w:val="00594EAE"/>
    <w:rsid w:val="00594EBF"/>
    <w:rsid w:val="00594ECD"/>
    <w:rsid w:val="00594F00"/>
    <w:rsid w:val="00594F19"/>
    <w:rsid w:val="00594F34"/>
    <w:rsid w:val="00594F3F"/>
    <w:rsid w:val="00594F55"/>
    <w:rsid w:val="00594F66"/>
    <w:rsid w:val="00594FE4"/>
    <w:rsid w:val="00595064"/>
    <w:rsid w:val="0059509B"/>
    <w:rsid w:val="0059516D"/>
    <w:rsid w:val="005951A6"/>
    <w:rsid w:val="005951F5"/>
    <w:rsid w:val="0059523D"/>
    <w:rsid w:val="0059534D"/>
    <w:rsid w:val="005953EF"/>
    <w:rsid w:val="0059542A"/>
    <w:rsid w:val="0059545B"/>
    <w:rsid w:val="005954A0"/>
    <w:rsid w:val="005954BE"/>
    <w:rsid w:val="00595531"/>
    <w:rsid w:val="00595556"/>
    <w:rsid w:val="0059556C"/>
    <w:rsid w:val="005955BA"/>
    <w:rsid w:val="005955BB"/>
    <w:rsid w:val="005955BC"/>
    <w:rsid w:val="00595632"/>
    <w:rsid w:val="0059568D"/>
    <w:rsid w:val="005956C0"/>
    <w:rsid w:val="005956F5"/>
    <w:rsid w:val="005957C1"/>
    <w:rsid w:val="0059581C"/>
    <w:rsid w:val="00595834"/>
    <w:rsid w:val="00595957"/>
    <w:rsid w:val="005959A4"/>
    <w:rsid w:val="00595A79"/>
    <w:rsid w:val="00595B28"/>
    <w:rsid w:val="00595B2A"/>
    <w:rsid w:val="00595B2F"/>
    <w:rsid w:val="00595B33"/>
    <w:rsid w:val="00595BD6"/>
    <w:rsid w:val="00595C05"/>
    <w:rsid w:val="00595C9F"/>
    <w:rsid w:val="00595CA2"/>
    <w:rsid w:val="00595D9F"/>
    <w:rsid w:val="00595DE0"/>
    <w:rsid w:val="00595E40"/>
    <w:rsid w:val="00595E8B"/>
    <w:rsid w:val="00595EC8"/>
    <w:rsid w:val="00595EEA"/>
    <w:rsid w:val="00595EF8"/>
    <w:rsid w:val="00595F37"/>
    <w:rsid w:val="00595F3E"/>
    <w:rsid w:val="00595F46"/>
    <w:rsid w:val="00595FBE"/>
    <w:rsid w:val="00595FD2"/>
    <w:rsid w:val="00595FE6"/>
    <w:rsid w:val="00595FF1"/>
    <w:rsid w:val="00595FFA"/>
    <w:rsid w:val="00596019"/>
    <w:rsid w:val="0059604D"/>
    <w:rsid w:val="00596091"/>
    <w:rsid w:val="005960BC"/>
    <w:rsid w:val="00596184"/>
    <w:rsid w:val="005961FF"/>
    <w:rsid w:val="005962AF"/>
    <w:rsid w:val="005962CD"/>
    <w:rsid w:val="00596334"/>
    <w:rsid w:val="00596388"/>
    <w:rsid w:val="005963AE"/>
    <w:rsid w:val="0059640B"/>
    <w:rsid w:val="00596420"/>
    <w:rsid w:val="0059659E"/>
    <w:rsid w:val="0059663C"/>
    <w:rsid w:val="00596689"/>
    <w:rsid w:val="005966C0"/>
    <w:rsid w:val="005966FC"/>
    <w:rsid w:val="00596772"/>
    <w:rsid w:val="0059679B"/>
    <w:rsid w:val="005967A4"/>
    <w:rsid w:val="005967A7"/>
    <w:rsid w:val="005967F9"/>
    <w:rsid w:val="0059680C"/>
    <w:rsid w:val="0059686D"/>
    <w:rsid w:val="00596921"/>
    <w:rsid w:val="00596956"/>
    <w:rsid w:val="005969E4"/>
    <w:rsid w:val="00596A2F"/>
    <w:rsid w:val="00596A92"/>
    <w:rsid w:val="00596A96"/>
    <w:rsid w:val="00596A9E"/>
    <w:rsid w:val="00596B0A"/>
    <w:rsid w:val="00596B97"/>
    <w:rsid w:val="00596BBD"/>
    <w:rsid w:val="00596C98"/>
    <w:rsid w:val="00596CBE"/>
    <w:rsid w:val="00596CEF"/>
    <w:rsid w:val="00596D6D"/>
    <w:rsid w:val="00596D7A"/>
    <w:rsid w:val="00596E1B"/>
    <w:rsid w:val="00596FC5"/>
    <w:rsid w:val="00596FE1"/>
    <w:rsid w:val="00596FEE"/>
    <w:rsid w:val="00596FF0"/>
    <w:rsid w:val="005970E2"/>
    <w:rsid w:val="00597143"/>
    <w:rsid w:val="00597200"/>
    <w:rsid w:val="00597247"/>
    <w:rsid w:val="00597360"/>
    <w:rsid w:val="005973F7"/>
    <w:rsid w:val="00597466"/>
    <w:rsid w:val="00597478"/>
    <w:rsid w:val="0059748C"/>
    <w:rsid w:val="005974B2"/>
    <w:rsid w:val="005974D5"/>
    <w:rsid w:val="00597561"/>
    <w:rsid w:val="00597563"/>
    <w:rsid w:val="00597602"/>
    <w:rsid w:val="0059762F"/>
    <w:rsid w:val="00597633"/>
    <w:rsid w:val="00597652"/>
    <w:rsid w:val="00597658"/>
    <w:rsid w:val="0059768A"/>
    <w:rsid w:val="0059769F"/>
    <w:rsid w:val="005976DA"/>
    <w:rsid w:val="0059772A"/>
    <w:rsid w:val="00597770"/>
    <w:rsid w:val="0059788C"/>
    <w:rsid w:val="00597957"/>
    <w:rsid w:val="005979BB"/>
    <w:rsid w:val="00597A07"/>
    <w:rsid w:val="00597A4A"/>
    <w:rsid w:val="00597B0F"/>
    <w:rsid w:val="00597B34"/>
    <w:rsid w:val="00597B47"/>
    <w:rsid w:val="00597BCD"/>
    <w:rsid w:val="00597D20"/>
    <w:rsid w:val="00597D51"/>
    <w:rsid w:val="00597D5C"/>
    <w:rsid w:val="00597D97"/>
    <w:rsid w:val="00597DD9"/>
    <w:rsid w:val="00597E0C"/>
    <w:rsid w:val="00597E2D"/>
    <w:rsid w:val="00597E5D"/>
    <w:rsid w:val="00597EC2"/>
    <w:rsid w:val="00597F57"/>
    <w:rsid w:val="00597F8B"/>
    <w:rsid w:val="00597FAF"/>
    <w:rsid w:val="005A0042"/>
    <w:rsid w:val="005A0080"/>
    <w:rsid w:val="005A0092"/>
    <w:rsid w:val="005A0165"/>
    <w:rsid w:val="005A01B2"/>
    <w:rsid w:val="005A01B7"/>
    <w:rsid w:val="005A01BF"/>
    <w:rsid w:val="005A01C6"/>
    <w:rsid w:val="005A02CD"/>
    <w:rsid w:val="005A02DB"/>
    <w:rsid w:val="005A02E3"/>
    <w:rsid w:val="005A030B"/>
    <w:rsid w:val="005A030E"/>
    <w:rsid w:val="005A0442"/>
    <w:rsid w:val="005A0452"/>
    <w:rsid w:val="005A059C"/>
    <w:rsid w:val="005A05C2"/>
    <w:rsid w:val="005A06FB"/>
    <w:rsid w:val="005A075E"/>
    <w:rsid w:val="005A075F"/>
    <w:rsid w:val="005A077D"/>
    <w:rsid w:val="005A07BA"/>
    <w:rsid w:val="005A07D9"/>
    <w:rsid w:val="005A081E"/>
    <w:rsid w:val="005A0AFE"/>
    <w:rsid w:val="005A0B70"/>
    <w:rsid w:val="005A0B8E"/>
    <w:rsid w:val="005A0BE1"/>
    <w:rsid w:val="005A0C00"/>
    <w:rsid w:val="005A0C22"/>
    <w:rsid w:val="005A0C25"/>
    <w:rsid w:val="005A0C57"/>
    <w:rsid w:val="005A0C6F"/>
    <w:rsid w:val="005A0C8D"/>
    <w:rsid w:val="005A0D09"/>
    <w:rsid w:val="005A0D8A"/>
    <w:rsid w:val="005A0DBE"/>
    <w:rsid w:val="005A0DDE"/>
    <w:rsid w:val="005A0E46"/>
    <w:rsid w:val="005A0E83"/>
    <w:rsid w:val="005A0F59"/>
    <w:rsid w:val="005A0FC1"/>
    <w:rsid w:val="005A0FC5"/>
    <w:rsid w:val="005A1042"/>
    <w:rsid w:val="005A1149"/>
    <w:rsid w:val="005A115B"/>
    <w:rsid w:val="005A117D"/>
    <w:rsid w:val="005A117F"/>
    <w:rsid w:val="005A118F"/>
    <w:rsid w:val="005A11AF"/>
    <w:rsid w:val="005A11B3"/>
    <w:rsid w:val="005A11B4"/>
    <w:rsid w:val="005A11FF"/>
    <w:rsid w:val="005A1253"/>
    <w:rsid w:val="005A136A"/>
    <w:rsid w:val="005A137B"/>
    <w:rsid w:val="005A1391"/>
    <w:rsid w:val="005A13DF"/>
    <w:rsid w:val="005A13FD"/>
    <w:rsid w:val="005A14D5"/>
    <w:rsid w:val="005A14EE"/>
    <w:rsid w:val="005A1527"/>
    <w:rsid w:val="005A154D"/>
    <w:rsid w:val="005A1585"/>
    <w:rsid w:val="005A15C8"/>
    <w:rsid w:val="005A160B"/>
    <w:rsid w:val="005A16C6"/>
    <w:rsid w:val="005A16ED"/>
    <w:rsid w:val="005A174C"/>
    <w:rsid w:val="005A175E"/>
    <w:rsid w:val="005A1773"/>
    <w:rsid w:val="005A1780"/>
    <w:rsid w:val="005A178B"/>
    <w:rsid w:val="005A17B6"/>
    <w:rsid w:val="005A17D4"/>
    <w:rsid w:val="005A1841"/>
    <w:rsid w:val="005A18B2"/>
    <w:rsid w:val="005A1938"/>
    <w:rsid w:val="005A1988"/>
    <w:rsid w:val="005A1A4C"/>
    <w:rsid w:val="005A1ADB"/>
    <w:rsid w:val="005A1B4B"/>
    <w:rsid w:val="005A1B58"/>
    <w:rsid w:val="005A1B77"/>
    <w:rsid w:val="005A1BB3"/>
    <w:rsid w:val="005A1C56"/>
    <w:rsid w:val="005A1CE1"/>
    <w:rsid w:val="005A1D35"/>
    <w:rsid w:val="005A1DAF"/>
    <w:rsid w:val="005A1E1C"/>
    <w:rsid w:val="005A1E63"/>
    <w:rsid w:val="005A1F9E"/>
    <w:rsid w:val="005A1FC8"/>
    <w:rsid w:val="005A1FE9"/>
    <w:rsid w:val="005A1FF0"/>
    <w:rsid w:val="005A2029"/>
    <w:rsid w:val="005A2031"/>
    <w:rsid w:val="005A2178"/>
    <w:rsid w:val="005A21A1"/>
    <w:rsid w:val="005A21C4"/>
    <w:rsid w:val="005A2210"/>
    <w:rsid w:val="005A223A"/>
    <w:rsid w:val="005A226B"/>
    <w:rsid w:val="005A22F8"/>
    <w:rsid w:val="005A236B"/>
    <w:rsid w:val="005A23C9"/>
    <w:rsid w:val="005A23DB"/>
    <w:rsid w:val="005A2406"/>
    <w:rsid w:val="005A24FF"/>
    <w:rsid w:val="005A2548"/>
    <w:rsid w:val="005A27BE"/>
    <w:rsid w:val="005A2890"/>
    <w:rsid w:val="005A28FD"/>
    <w:rsid w:val="005A29CA"/>
    <w:rsid w:val="005A29F5"/>
    <w:rsid w:val="005A29FD"/>
    <w:rsid w:val="005A2A20"/>
    <w:rsid w:val="005A2A52"/>
    <w:rsid w:val="005A2A6B"/>
    <w:rsid w:val="005A2B49"/>
    <w:rsid w:val="005A2B55"/>
    <w:rsid w:val="005A2B59"/>
    <w:rsid w:val="005A2B61"/>
    <w:rsid w:val="005A2B7D"/>
    <w:rsid w:val="005A2BAD"/>
    <w:rsid w:val="005A2BEE"/>
    <w:rsid w:val="005A2BF9"/>
    <w:rsid w:val="005A2C53"/>
    <w:rsid w:val="005A2D49"/>
    <w:rsid w:val="005A2D75"/>
    <w:rsid w:val="005A2D76"/>
    <w:rsid w:val="005A2D77"/>
    <w:rsid w:val="005A2DC4"/>
    <w:rsid w:val="005A2E06"/>
    <w:rsid w:val="005A2E4E"/>
    <w:rsid w:val="005A2E93"/>
    <w:rsid w:val="005A2EBA"/>
    <w:rsid w:val="005A2F46"/>
    <w:rsid w:val="005A2F90"/>
    <w:rsid w:val="005A2F93"/>
    <w:rsid w:val="005A30B0"/>
    <w:rsid w:val="005A3157"/>
    <w:rsid w:val="005A31CE"/>
    <w:rsid w:val="005A3351"/>
    <w:rsid w:val="005A3373"/>
    <w:rsid w:val="005A33DD"/>
    <w:rsid w:val="005A3543"/>
    <w:rsid w:val="005A3555"/>
    <w:rsid w:val="005A3585"/>
    <w:rsid w:val="005A3592"/>
    <w:rsid w:val="005A36D4"/>
    <w:rsid w:val="005A3735"/>
    <w:rsid w:val="005A3774"/>
    <w:rsid w:val="005A37A4"/>
    <w:rsid w:val="005A37B1"/>
    <w:rsid w:val="005A382A"/>
    <w:rsid w:val="005A3834"/>
    <w:rsid w:val="005A3860"/>
    <w:rsid w:val="005A3864"/>
    <w:rsid w:val="005A38AC"/>
    <w:rsid w:val="005A38C3"/>
    <w:rsid w:val="005A393C"/>
    <w:rsid w:val="005A3955"/>
    <w:rsid w:val="005A398D"/>
    <w:rsid w:val="005A39FB"/>
    <w:rsid w:val="005A3A2B"/>
    <w:rsid w:val="005A3A55"/>
    <w:rsid w:val="005A3A7F"/>
    <w:rsid w:val="005A3A89"/>
    <w:rsid w:val="005A3A96"/>
    <w:rsid w:val="005A3B00"/>
    <w:rsid w:val="005A3BDB"/>
    <w:rsid w:val="005A3C30"/>
    <w:rsid w:val="005A3CC4"/>
    <w:rsid w:val="005A3CDD"/>
    <w:rsid w:val="005A3D0C"/>
    <w:rsid w:val="005A3D54"/>
    <w:rsid w:val="005A3D74"/>
    <w:rsid w:val="005A3D9D"/>
    <w:rsid w:val="005A3DEF"/>
    <w:rsid w:val="005A3E51"/>
    <w:rsid w:val="005A3EE3"/>
    <w:rsid w:val="005A3F0B"/>
    <w:rsid w:val="005A3F1E"/>
    <w:rsid w:val="005A3F50"/>
    <w:rsid w:val="005A40B3"/>
    <w:rsid w:val="005A4190"/>
    <w:rsid w:val="005A41DF"/>
    <w:rsid w:val="005A422A"/>
    <w:rsid w:val="005A4256"/>
    <w:rsid w:val="005A432B"/>
    <w:rsid w:val="005A4332"/>
    <w:rsid w:val="005A433B"/>
    <w:rsid w:val="005A43A2"/>
    <w:rsid w:val="005A441B"/>
    <w:rsid w:val="005A4429"/>
    <w:rsid w:val="005A4488"/>
    <w:rsid w:val="005A44A2"/>
    <w:rsid w:val="005A4523"/>
    <w:rsid w:val="005A4561"/>
    <w:rsid w:val="005A4580"/>
    <w:rsid w:val="005A45B8"/>
    <w:rsid w:val="005A46A8"/>
    <w:rsid w:val="005A46BD"/>
    <w:rsid w:val="005A4767"/>
    <w:rsid w:val="005A476E"/>
    <w:rsid w:val="005A4770"/>
    <w:rsid w:val="005A4788"/>
    <w:rsid w:val="005A479F"/>
    <w:rsid w:val="005A4922"/>
    <w:rsid w:val="005A4983"/>
    <w:rsid w:val="005A49B2"/>
    <w:rsid w:val="005A4A68"/>
    <w:rsid w:val="005A4A97"/>
    <w:rsid w:val="005A4A9E"/>
    <w:rsid w:val="005A4AB1"/>
    <w:rsid w:val="005A4B57"/>
    <w:rsid w:val="005A4B7C"/>
    <w:rsid w:val="005A4BAD"/>
    <w:rsid w:val="005A4C58"/>
    <w:rsid w:val="005A4C67"/>
    <w:rsid w:val="005A4D28"/>
    <w:rsid w:val="005A4DD8"/>
    <w:rsid w:val="005A4EBC"/>
    <w:rsid w:val="005A4EEC"/>
    <w:rsid w:val="005A4F00"/>
    <w:rsid w:val="005A4F16"/>
    <w:rsid w:val="005A4F88"/>
    <w:rsid w:val="005A4FCC"/>
    <w:rsid w:val="005A50C8"/>
    <w:rsid w:val="005A50E8"/>
    <w:rsid w:val="005A5157"/>
    <w:rsid w:val="005A51A6"/>
    <w:rsid w:val="005A51A7"/>
    <w:rsid w:val="005A5214"/>
    <w:rsid w:val="005A52DF"/>
    <w:rsid w:val="005A532D"/>
    <w:rsid w:val="005A5405"/>
    <w:rsid w:val="005A5429"/>
    <w:rsid w:val="005A5443"/>
    <w:rsid w:val="005A546B"/>
    <w:rsid w:val="005A54B5"/>
    <w:rsid w:val="005A55AA"/>
    <w:rsid w:val="005A55E1"/>
    <w:rsid w:val="005A5630"/>
    <w:rsid w:val="005A5692"/>
    <w:rsid w:val="005A57A0"/>
    <w:rsid w:val="005A57C1"/>
    <w:rsid w:val="005A5801"/>
    <w:rsid w:val="005A5824"/>
    <w:rsid w:val="005A5860"/>
    <w:rsid w:val="005A58C7"/>
    <w:rsid w:val="005A5A50"/>
    <w:rsid w:val="005A5AAE"/>
    <w:rsid w:val="005A5AB1"/>
    <w:rsid w:val="005A5B86"/>
    <w:rsid w:val="005A5BC2"/>
    <w:rsid w:val="005A5CB0"/>
    <w:rsid w:val="005A5D4C"/>
    <w:rsid w:val="005A5D54"/>
    <w:rsid w:val="005A5DD0"/>
    <w:rsid w:val="005A5EE8"/>
    <w:rsid w:val="005A5FFD"/>
    <w:rsid w:val="005A601E"/>
    <w:rsid w:val="005A60CA"/>
    <w:rsid w:val="005A6224"/>
    <w:rsid w:val="005A6284"/>
    <w:rsid w:val="005A629C"/>
    <w:rsid w:val="005A62B1"/>
    <w:rsid w:val="005A62C6"/>
    <w:rsid w:val="005A62DE"/>
    <w:rsid w:val="005A6318"/>
    <w:rsid w:val="005A632A"/>
    <w:rsid w:val="005A6353"/>
    <w:rsid w:val="005A63DB"/>
    <w:rsid w:val="005A6428"/>
    <w:rsid w:val="005A6591"/>
    <w:rsid w:val="005A6595"/>
    <w:rsid w:val="005A6654"/>
    <w:rsid w:val="005A66C7"/>
    <w:rsid w:val="005A66DC"/>
    <w:rsid w:val="005A6768"/>
    <w:rsid w:val="005A6812"/>
    <w:rsid w:val="005A687B"/>
    <w:rsid w:val="005A68B0"/>
    <w:rsid w:val="005A68F5"/>
    <w:rsid w:val="005A692E"/>
    <w:rsid w:val="005A69A2"/>
    <w:rsid w:val="005A69D5"/>
    <w:rsid w:val="005A6A46"/>
    <w:rsid w:val="005A6A85"/>
    <w:rsid w:val="005A6AB1"/>
    <w:rsid w:val="005A6B2A"/>
    <w:rsid w:val="005A6BA5"/>
    <w:rsid w:val="005A6BDD"/>
    <w:rsid w:val="005A6BF3"/>
    <w:rsid w:val="005A6C7B"/>
    <w:rsid w:val="005A6CB3"/>
    <w:rsid w:val="005A6CEE"/>
    <w:rsid w:val="005A6DB5"/>
    <w:rsid w:val="005A6DE8"/>
    <w:rsid w:val="005A6E1A"/>
    <w:rsid w:val="005A6E62"/>
    <w:rsid w:val="005A6E92"/>
    <w:rsid w:val="005A6EB2"/>
    <w:rsid w:val="005A6F80"/>
    <w:rsid w:val="005A7075"/>
    <w:rsid w:val="005A70E7"/>
    <w:rsid w:val="005A70F5"/>
    <w:rsid w:val="005A7109"/>
    <w:rsid w:val="005A71A5"/>
    <w:rsid w:val="005A71D3"/>
    <w:rsid w:val="005A71DB"/>
    <w:rsid w:val="005A72D0"/>
    <w:rsid w:val="005A738B"/>
    <w:rsid w:val="005A740D"/>
    <w:rsid w:val="005A7431"/>
    <w:rsid w:val="005A7442"/>
    <w:rsid w:val="005A748B"/>
    <w:rsid w:val="005A7510"/>
    <w:rsid w:val="005A7548"/>
    <w:rsid w:val="005A760D"/>
    <w:rsid w:val="005A765E"/>
    <w:rsid w:val="005A766A"/>
    <w:rsid w:val="005A7700"/>
    <w:rsid w:val="005A77A9"/>
    <w:rsid w:val="005A77D8"/>
    <w:rsid w:val="005A7804"/>
    <w:rsid w:val="005A780F"/>
    <w:rsid w:val="005A785E"/>
    <w:rsid w:val="005A786D"/>
    <w:rsid w:val="005A7890"/>
    <w:rsid w:val="005A78DC"/>
    <w:rsid w:val="005A78E8"/>
    <w:rsid w:val="005A78F7"/>
    <w:rsid w:val="005A794B"/>
    <w:rsid w:val="005A797F"/>
    <w:rsid w:val="005A7990"/>
    <w:rsid w:val="005A7995"/>
    <w:rsid w:val="005A7A19"/>
    <w:rsid w:val="005A7A25"/>
    <w:rsid w:val="005A7B3D"/>
    <w:rsid w:val="005A7C15"/>
    <w:rsid w:val="005A7C16"/>
    <w:rsid w:val="005A7C35"/>
    <w:rsid w:val="005A7D46"/>
    <w:rsid w:val="005A7DC5"/>
    <w:rsid w:val="005A7E0B"/>
    <w:rsid w:val="005A7E42"/>
    <w:rsid w:val="005A7E46"/>
    <w:rsid w:val="005A7EFB"/>
    <w:rsid w:val="005A7F0A"/>
    <w:rsid w:val="005A7F9D"/>
    <w:rsid w:val="005A7FAF"/>
    <w:rsid w:val="005A7FBD"/>
    <w:rsid w:val="005A7FE2"/>
    <w:rsid w:val="005B0075"/>
    <w:rsid w:val="005B008C"/>
    <w:rsid w:val="005B0111"/>
    <w:rsid w:val="005B0168"/>
    <w:rsid w:val="005B0175"/>
    <w:rsid w:val="005B0192"/>
    <w:rsid w:val="005B0198"/>
    <w:rsid w:val="005B01BD"/>
    <w:rsid w:val="005B01C1"/>
    <w:rsid w:val="005B01CA"/>
    <w:rsid w:val="005B022E"/>
    <w:rsid w:val="005B028E"/>
    <w:rsid w:val="005B02F6"/>
    <w:rsid w:val="005B030A"/>
    <w:rsid w:val="005B033F"/>
    <w:rsid w:val="005B03C7"/>
    <w:rsid w:val="005B04B4"/>
    <w:rsid w:val="005B04EA"/>
    <w:rsid w:val="005B04FD"/>
    <w:rsid w:val="005B059F"/>
    <w:rsid w:val="005B05B9"/>
    <w:rsid w:val="005B05E9"/>
    <w:rsid w:val="005B06E3"/>
    <w:rsid w:val="005B06FA"/>
    <w:rsid w:val="005B071A"/>
    <w:rsid w:val="005B0721"/>
    <w:rsid w:val="005B0781"/>
    <w:rsid w:val="005B078E"/>
    <w:rsid w:val="005B083D"/>
    <w:rsid w:val="005B0878"/>
    <w:rsid w:val="005B092A"/>
    <w:rsid w:val="005B09C3"/>
    <w:rsid w:val="005B09C8"/>
    <w:rsid w:val="005B0A63"/>
    <w:rsid w:val="005B0A6F"/>
    <w:rsid w:val="005B0A7C"/>
    <w:rsid w:val="005B0BF3"/>
    <w:rsid w:val="005B0C3B"/>
    <w:rsid w:val="005B0D18"/>
    <w:rsid w:val="005B0D57"/>
    <w:rsid w:val="005B0DDB"/>
    <w:rsid w:val="005B0E3B"/>
    <w:rsid w:val="005B0E4D"/>
    <w:rsid w:val="005B0EB5"/>
    <w:rsid w:val="005B10A1"/>
    <w:rsid w:val="005B10B2"/>
    <w:rsid w:val="005B115C"/>
    <w:rsid w:val="005B11B5"/>
    <w:rsid w:val="005B11C7"/>
    <w:rsid w:val="005B1214"/>
    <w:rsid w:val="005B1357"/>
    <w:rsid w:val="005B140B"/>
    <w:rsid w:val="005B1421"/>
    <w:rsid w:val="005B14EF"/>
    <w:rsid w:val="005B15DA"/>
    <w:rsid w:val="005B1648"/>
    <w:rsid w:val="005B165B"/>
    <w:rsid w:val="005B16C8"/>
    <w:rsid w:val="005B1735"/>
    <w:rsid w:val="005B1789"/>
    <w:rsid w:val="005B17BA"/>
    <w:rsid w:val="005B1804"/>
    <w:rsid w:val="005B182D"/>
    <w:rsid w:val="005B183B"/>
    <w:rsid w:val="005B1866"/>
    <w:rsid w:val="005B1883"/>
    <w:rsid w:val="005B18F2"/>
    <w:rsid w:val="005B1942"/>
    <w:rsid w:val="005B19E0"/>
    <w:rsid w:val="005B19EC"/>
    <w:rsid w:val="005B19F1"/>
    <w:rsid w:val="005B1A4D"/>
    <w:rsid w:val="005B1B44"/>
    <w:rsid w:val="005B1B6E"/>
    <w:rsid w:val="005B1B89"/>
    <w:rsid w:val="005B1C0B"/>
    <w:rsid w:val="005B1C31"/>
    <w:rsid w:val="005B1C38"/>
    <w:rsid w:val="005B1C65"/>
    <w:rsid w:val="005B1CA5"/>
    <w:rsid w:val="005B1CAC"/>
    <w:rsid w:val="005B1D13"/>
    <w:rsid w:val="005B1D8D"/>
    <w:rsid w:val="005B1DC0"/>
    <w:rsid w:val="005B1DF3"/>
    <w:rsid w:val="005B1E8D"/>
    <w:rsid w:val="005B1EC5"/>
    <w:rsid w:val="005B1F20"/>
    <w:rsid w:val="005B1F3D"/>
    <w:rsid w:val="005B1F81"/>
    <w:rsid w:val="005B1FDE"/>
    <w:rsid w:val="005B20C0"/>
    <w:rsid w:val="005B2124"/>
    <w:rsid w:val="005B2196"/>
    <w:rsid w:val="005B21EE"/>
    <w:rsid w:val="005B2318"/>
    <w:rsid w:val="005B235B"/>
    <w:rsid w:val="005B243B"/>
    <w:rsid w:val="005B2443"/>
    <w:rsid w:val="005B2447"/>
    <w:rsid w:val="005B251D"/>
    <w:rsid w:val="005B2595"/>
    <w:rsid w:val="005B271B"/>
    <w:rsid w:val="005B27C1"/>
    <w:rsid w:val="005B2869"/>
    <w:rsid w:val="005B2914"/>
    <w:rsid w:val="005B2959"/>
    <w:rsid w:val="005B2963"/>
    <w:rsid w:val="005B2A20"/>
    <w:rsid w:val="005B2A75"/>
    <w:rsid w:val="005B2AC1"/>
    <w:rsid w:val="005B2ADF"/>
    <w:rsid w:val="005B2B76"/>
    <w:rsid w:val="005B2BD4"/>
    <w:rsid w:val="005B2BE3"/>
    <w:rsid w:val="005B2C52"/>
    <w:rsid w:val="005B2C5B"/>
    <w:rsid w:val="005B2C73"/>
    <w:rsid w:val="005B2C80"/>
    <w:rsid w:val="005B2D0A"/>
    <w:rsid w:val="005B2D4A"/>
    <w:rsid w:val="005B2DDD"/>
    <w:rsid w:val="005B2E2B"/>
    <w:rsid w:val="005B3042"/>
    <w:rsid w:val="005B3136"/>
    <w:rsid w:val="005B316E"/>
    <w:rsid w:val="005B3182"/>
    <w:rsid w:val="005B328C"/>
    <w:rsid w:val="005B3386"/>
    <w:rsid w:val="005B33DF"/>
    <w:rsid w:val="005B33E1"/>
    <w:rsid w:val="005B3423"/>
    <w:rsid w:val="005B3454"/>
    <w:rsid w:val="005B347F"/>
    <w:rsid w:val="005B3488"/>
    <w:rsid w:val="005B34BE"/>
    <w:rsid w:val="005B3599"/>
    <w:rsid w:val="005B35AB"/>
    <w:rsid w:val="005B3668"/>
    <w:rsid w:val="005B36AA"/>
    <w:rsid w:val="005B36C0"/>
    <w:rsid w:val="005B36E2"/>
    <w:rsid w:val="005B37BA"/>
    <w:rsid w:val="005B387C"/>
    <w:rsid w:val="005B38A1"/>
    <w:rsid w:val="005B38F1"/>
    <w:rsid w:val="005B392C"/>
    <w:rsid w:val="005B398D"/>
    <w:rsid w:val="005B39D4"/>
    <w:rsid w:val="005B3A85"/>
    <w:rsid w:val="005B3B8C"/>
    <w:rsid w:val="005B3B8F"/>
    <w:rsid w:val="005B3BE1"/>
    <w:rsid w:val="005B3BF1"/>
    <w:rsid w:val="005B3C11"/>
    <w:rsid w:val="005B3C8C"/>
    <w:rsid w:val="005B3CCF"/>
    <w:rsid w:val="005B3D10"/>
    <w:rsid w:val="005B3E49"/>
    <w:rsid w:val="005B3EB1"/>
    <w:rsid w:val="005B3F3B"/>
    <w:rsid w:val="005B3FAC"/>
    <w:rsid w:val="005B403C"/>
    <w:rsid w:val="005B4074"/>
    <w:rsid w:val="005B40B3"/>
    <w:rsid w:val="005B40CA"/>
    <w:rsid w:val="005B414A"/>
    <w:rsid w:val="005B4168"/>
    <w:rsid w:val="005B4178"/>
    <w:rsid w:val="005B41CC"/>
    <w:rsid w:val="005B41F7"/>
    <w:rsid w:val="005B4207"/>
    <w:rsid w:val="005B4255"/>
    <w:rsid w:val="005B42C0"/>
    <w:rsid w:val="005B42FC"/>
    <w:rsid w:val="005B4309"/>
    <w:rsid w:val="005B4323"/>
    <w:rsid w:val="005B439C"/>
    <w:rsid w:val="005B43E1"/>
    <w:rsid w:val="005B445C"/>
    <w:rsid w:val="005B4485"/>
    <w:rsid w:val="005B455C"/>
    <w:rsid w:val="005B45AA"/>
    <w:rsid w:val="005B45C8"/>
    <w:rsid w:val="005B45D3"/>
    <w:rsid w:val="005B45D4"/>
    <w:rsid w:val="005B45F3"/>
    <w:rsid w:val="005B4602"/>
    <w:rsid w:val="005B4669"/>
    <w:rsid w:val="005B4689"/>
    <w:rsid w:val="005B469B"/>
    <w:rsid w:val="005B46C6"/>
    <w:rsid w:val="005B46DB"/>
    <w:rsid w:val="005B46EB"/>
    <w:rsid w:val="005B46F0"/>
    <w:rsid w:val="005B470E"/>
    <w:rsid w:val="005B473D"/>
    <w:rsid w:val="005B4747"/>
    <w:rsid w:val="005B4809"/>
    <w:rsid w:val="005B48D5"/>
    <w:rsid w:val="005B493C"/>
    <w:rsid w:val="005B4964"/>
    <w:rsid w:val="005B4977"/>
    <w:rsid w:val="005B49D3"/>
    <w:rsid w:val="005B4A28"/>
    <w:rsid w:val="005B4A9B"/>
    <w:rsid w:val="005B4AB9"/>
    <w:rsid w:val="005B4B1D"/>
    <w:rsid w:val="005B4B6E"/>
    <w:rsid w:val="005B4B6F"/>
    <w:rsid w:val="005B4BC8"/>
    <w:rsid w:val="005B4C53"/>
    <w:rsid w:val="005B4C94"/>
    <w:rsid w:val="005B4CE1"/>
    <w:rsid w:val="005B4CF0"/>
    <w:rsid w:val="005B4E6E"/>
    <w:rsid w:val="005B4EE4"/>
    <w:rsid w:val="005B4F7D"/>
    <w:rsid w:val="005B4F9D"/>
    <w:rsid w:val="005B4FBB"/>
    <w:rsid w:val="005B4FC5"/>
    <w:rsid w:val="005B50B7"/>
    <w:rsid w:val="005B50EB"/>
    <w:rsid w:val="005B5111"/>
    <w:rsid w:val="005B5248"/>
    <w:rsid w:val="005B52D6"/>
    <w:rsid w:val="005B53C4"/>
    <w:rsid w:val="005B5400"/>
    <w:rsid w:val="005B5404"/>
    <w:rsid w:val="005B540A"/>
    <w:rsid w:val="005B542E"/>
    <w:rsid w:val="005B5536"/>
    <w:rsid w:val="005B558E"/>
    <w:rsid w:val="005B5597"/>
    <w:rsid w:val="005B564E"/>
    <w:rsid w:val="005B573B"/>
    <w:rsid w:val="005B578D"/>
    <w:rsid w:val="005B57D5"/>
    <w:rsid w:val="005B57D7"/>
    <w:rsid w:val="005B5812"/>
    <w:rsid w:val="005B589A"/>
    <w:rsid w:val="005B58CE"/>
    <w:rsid w:val="005B590E"/>
    <w:rsid w:val="005B5916"/>
    <w:rsid w:val="005B591E"/>
    <w:rsid w:val="005B592E"/>
    <w:rsid w:val="005B5979"/>
    <w:rsid w:val="005B5A33"/>
    <w:rsid w:val="005B5B42"/>
    <w:rsid w:val="005B5B67"/>
    <w:rsid w:val="005B5BC7"/>
    <w:rsid w:val="005B5C4F"/>
    <w:rsid w:val="005B5D41"/>
    <w:rsid w:val="005B5D6F"/>
    <w:rsid w:val="005B5E38"/>
    <w:rsid w:val="005B5E85"/>
    <w:rsid w:val="005B5EA7"/>
    <w:rsid w:val="005B5ED0"/>
    <w:rsid w:val="005B5F59"/>
    <w:rsid w:val="005B6000"/>
    <w:rsid w:val="005B619C"/>
    <w:rsid w:val="005B61A0"/>
    <w:rsid w:val="005B61A9"/>
    <w:rsid w:val="005B61D5"/>
    <w:rsid w:val="005B622D"/>
    <w:rsid w:val="005B6284"/>
    <w:rsid w:val="005B62BF"/>
    <w:rsid w:val="005B62C0"/>
    <w:rsid w:val="005B62D2"/>
    <w:rsid w:val="005B6390"/>
    <w:rsid w:val="005B640F"/>
    <w:rsid w:val="005B643D"/>
    <w:rsid w:val="005B6468"/>
    <w:rsid w:val="005B64BE"/>
    <w:rsid w:val="005B64C4"/>
    <w:rsid w:val="005B6527"/>
    <w:rsid w:val="005B656B"/>
    <w:rsid w:val="005B6571"/>
    <w:rsid w:val="005B6592"/>
    <w:rsid w:val="005B664F"/>
    <w:rsid w:val="005B6696"/>
    <w:rsid w:val="005B6742"/>
    <w:rsid w:val="005B6748"/>
    <w:rsid w:val="005B674B"/>
    <w:rsid w:val="005B691A"/>
    <w:rsid w:val="005B69C1"/>
    <w:rsid w:val="005B6A90"/>
    <w:rsid w:val="005B6ACC"/>
    <w:rsid w:val="005B6ACE"/>
    <w:rsid w:val="005B6AE7"/>
    <w:rsid w:val="005B6AE9"/>
    <w:rsid w:val="005B6B28"/>
    <w:rsid w:val="005B6B49"/>
    <w:rsid w:val="005B6BA3"/>
    <w:rsid w:val="005B6C10"/>
    <w:rsid w:val="005B6C75"/>
    <w:rsid w:val="005B6CBB"/>
    <w:rsid w:val="005B6D79"/>
    <w:rsid w:val="005B6DA2"/>
    <w:rsid w:val="005B6E0C"/>
    <w:rsid w:val="005B6EEE"/>
    <w:rsid w:val="005B6F06"/>
    <w:rsid w:val="005B6F38"/>
    <w:rsid w:val="005B7076"/>
    <w:rsid w:val="005B70F2"/>
    <w:rsid w:val="005B712B"/>
    <w:rsid w:val="005B7180"/>
    <w:rsid w:val="005B71E0"/>
    <w:rsid w:val="005B7228"/>
    <w:rsid w:val="005B7235"/>
    <w:rsid w:val="005B7239"/>
    <w:rsid w:val="005B72EC"/>
    <w:rsid w:val="005B7303"/>
    <w:rsid w:val="005B7307"/>
    <w:rsid w:val="005B7347"/>
    <w:rsid w:val="005B7407"/>
    <w:rsid w:val="005B7495"/>
    <w:rsid w:val="005B74E1"/>
    <w:rsid w:val="005B7596"/>
    <w:rsid w:val="005B75BC"/>
    <w:rsid w:val="005B7607"/>
    <w:rsid w:val="005B7611"/>
    <w:rsid w:val="005B7626"/>
    <w:rsid w:val="005B766F"/>
    <w:rsid w:val="005B767F"/>
    <w:rsid w:val="005B76B2"/>
    <w:rsid w:val="005B76DF"/>
    <w:rsid w:val="005B789F"/>
    <w:rsid w:val="005B78CE"/>
    <w:rsid w:val="005B78D8"/>
    <w:rsid w:val="005B78EA"/>
    <w:rsid w:val="005B7932"/>
    <w:rsid w:val="005B7990"/>
    <w:rsid w:val="005B7994"/>
    <w:rsid w:val="005B79E4"/>
    <w:rsid w:val="005B7A0D"/>
    <w:rsid w:val="005B7A5C"/>
    <w:rsid w:val="005B7B1C"/>
    <w:rsid w:val="005B7BEA"/>
    <w:rsid w:val="005B7C35"/>
    <w:rsid w:val="005B7C5B"/>
    <w:rsid w:val="005B7CBD"/>
    <w:rsid w:val="005B7CD2"/>
    <w:rsid w:val="005B7D8B"/>
    <w:rsid w:val="005B7D8C"/>
    <w:rsid w:val="005B7DB4"/>
    <w:rsid w:val="005B7E43"/>
    <w:rsid w:val="005B7EE1"/>
    <w:rsid w:val="005B7EE6"/>
    <w:rsid w:val="005C0054"/>
    <w:rsid w:val="005C00C6"/>
    <w:rsid w:val="005C011C"/>
    <w:rsid w:val="005C0187"/>
    <w:rsid w:val="005C01DC"/>
    <w:rsid w:val="005C024C"/>
    <w:rsid w:val="005C0251"/>
    <w:rsid w:val="005C025D"/>
    <w:rsid w:val="005C0302"/>
    <w:rsid w:val="005C0313"/>
    <w:rsid w:val="005C0336"/>
    <w:rsid w:val="005C03DA"/>
    <w:rsid w:val="005C0431"/>
    <w:rsid w:val="005C0466"/>
    <w:rsid w:val="005C04B4"/>
    <w:rsid w:val="005C04BE"/>
    <w:rsid w:val="005C0514"/>
    <w:rsid w:val="005C054A"/>
    <w:rsid w:val="005C0577"/>
    <w:rsid w:val="005C05AD"/>
    <w:rsid w:val="005C05B4"/>
    <w:rsid w:val="005C05D3"/>
    <w:rsid w:val="005C06B1"/>
    <w:rsid w:val="005C06C0"/>
    <w:rsid w:val="005C070B"/>
    <w:rsid w:val="005C07AF"/>
    <w:rsid w:val="005C0806"/>
    <w:rsid w:val="005C081D"/>
    <w:rsid w:val="005C083B"/>
    <w:rsid w:val="005C088F"/>
    <w:rsid w:val="005C0898"/>
    <w:rsid w:val="005C08A1"/>
    <w:rsid w:val="005C0975"/>
    <w:rsid w:val="005C097E"/>
    <w:rsid w:val="005C09CF"/>
    <w:rsid w:val="005C0A71"/>
    <w:rsid w:val="005C0A90"/>
    <w:rsid w:val="005C0AEC"/>
    <w:rsid w:val="005C0AF0"/>
    <w:rsid w:val="005C0AF8"/>
    <w:rsid w:val="005C0B02"/>
    <w:rsid w:val="005C0B66"/>
    <w:rsid w:val="005C0CB1"/>
    <w:rsid w:val="005C0D40"/>
    <w:rsid w:val="005C0D5B"/>
    <w:rsid w:val="005C0D8D"/>
    <w:rsid w:val="005C0D94"/>
    <w:rsid w:val="005C0DAF"/>
    <w:rsid w:val="005C0DE4"/>
    <w:rsid w:val="005C0F04"/>
    <w:rsid w:val="005C0F77"/>
    <w:rsid w:val="005C1006"/>
    <w:rsid w:val="005C1088"/>
    <w:rsid w:val="005C10A4"/>
    <w:rsid w:val="005C10AE"/>
    <w:rsid w:val="005C1300"/>
    <w:rsid w:val="005C1413"/>
    <w:rsid w:val="005C149D"/>
    <w:rsid w:val="005C14AF"/>
    <w:rsid w:val="005C150E"/>
    <w:rsid w:val="005C1586"/>
    <w:rsid w:val="005C161F"/>
    <w:rsid w:val="005C16AB"/>
    <w:rsid w:val="005C1867"/>
    <w:rsid w:val="005C1A33"/>
    <w:rsid w:val="005C1AC4"/>
    <w:rsid w:val="005C1AEE"/>
    <w:rsid w:val="005C1B0F"/>
    <w:rsid w:val="005C1B1E"/>
    <w:rsid w:val="005C1B68"/>
    <w:rsid w:val="005C1C37"/>
    <w:rsid w:val="005C1C80"/>
    <w:rsid w:val="005C1CDE"/>
    <w:rsid w:val="005C1D43"/>
    <w:rsid w:val="005C1DC9"/>
    <w:rsid w:val="005C1E24"/>
    <w:rsid w:val="005C1ED2"/>
    <w:rsid w:val="005C1F4A"/>
    <w:rsid w:val="005C1F84"/>
    <w:rsid w:val="005C1FF3"/>
    <w:rsid w:val="005C20DF"/>
    <w:rsid w:val="005C20E2"/>
    <w:rsid w:val="005C2138"/>
    <w:rsid w:val="005C2241"/>
    <w:rsid w:val="005C22D7"/>
    <w:rsid w:val="005C2414"/>
    <w:rsid w:val="005C2427"/>
    <w:rsid w:val="005C247F"/>
    <w:rsid w:val="005C2552"/>
    <w:rsid w:val="005C25CE"/>
    <w:rsid w:val="005C26A0"/>
    <w:rsid w:val="005C274A"/>
    <w:rsid w:val="005C27DA"/>
    <w:rsid w:val="005C286D"/>
    <w:rsid w:val="005C28AA"/>
    <w:rsid w:val="005C2946"/>
    <w:rsid w:val="005C2948"/>
    <w:rsid w:val="005C299C"/>
    <w:rsid w:val="005C2A1F"/>
    <w:rsid w:val="005C2AF2"/>
    <w:rsid w:val="005C2B4A"/>
    <w:rsid w:val="005C2BB0"/>
    <w:rsid w:val="005C2BC3"/>
    <w:rsid w:val="005C2D8B"/>
    <w:rsid w:val="005C2E00"/>
    <w:rsid w:val="005C2E26"/>
    <w:rsid w:val="005C2E9A"/>
    <w:rsid w:val="005C2F47"/>
    <w:rsid w:val="005C2FC9"/>
    <w:rsid w:val="005C304C"/>
    <w:rsid w:val="005C3050"/>
    <w:rsid w:val="005C3132"/>
    <w:rsid w:val="005C318D"/>
    <w:rsid w:val="005C31D6"/>
    <w:rsid w:val="005C3303"/>
    <w:rsid w:val="005C3318"/>
    <w:rsid w:val="005C347F"/>
    <w:rsid w:val="005C34CF"/>
    <w:rsid w:val="005C355A"/>
    <w:rsid w:val="005C35B1"/>
    <w:rsid w:val="005C35B6"/>
    <w:rsid w:val="005C3611"/>
    <w:rsid w:val="005C36AC"/>
    <w:rsid w:val="005C36D4"/>
    <w:rsid w:val="005C3706"/>
    <w:rsid w:val="005C375D"/>
    <w:rsid w:val="005C3763"/>
    <w:rsid w:val="005C3776"/>
    <w:rsid w:val="005C377D"/>
    <w:rsid w:val="005C37FE"/>
    <w:rsid w:val="005C3829"/>
    <w:rsid w:val="005C3833"/>
    <w:rsid w:val="005C38BC"/>
    <w:rsid w:val="005C3944"/>
    <w:rsid w:val="005C3A25"/>
    <w:rsid w:val="005C3A41"/>
    <w:rsid w:val="005C3AEC"/>
    <w:rsid w:val="005C3B28"/>
    <w:rsid w:val="005C3BB4"/>
    <w:rsid w:val="005C3BE4"/>
    <w:rsid w:val="005C3C0C"/>
    <w:rsid w:val="005C3C0F"/>
    <w:rsid w:val="005C3D14"/>
    <w:rsid w:val="005C3D16"/>
    <w:rsid w:val="005C3D2B"/>
    <w:rsid w:val="005C3D31"/>
    <w:rsid w:val="005C3D73"/>
    <w:rsid w:val="005C3D97"/>
    <w:rsid w:val="005C3D9A"/>
    <w:rsid w:val="005C3E34"/>
    <w:rsid w:val="005C3E4D"/>
    <w:rsid w:val="005C3F36"/>
    <w:rsid w:val="005C3F56"/>
    <w:rsid w:val="005C3F72"/>
    <w:rsid w:val="005C3F90"/>
    <w:rsid w:val="005C4009"/>
    <w:rsid w:val="005C40F4"/>
    <w:rsid w:val="005C411A"/>
    <w:rsid w:val="005C411E"/>
    <w:rsid w:val="005C413C"/>
    <w:rsid w:val="005C417D"/>
    <w:rsid w:val="005C41CE"/>
    <w:rsid w:val="005C421D"/>
    <w:rsid w:val="005C422A"/>
    <w:rsid w:val="005C424F"/>
    <w:rsid w:val="005C4284"/>
    <w:rsid w:val="005C42F2"/>
    <w:rsid w:val="005C43D5"/>
    <w:rsid w:val="005C445D"/>
    <w:rsid w:val="005C4560"/>
    <w:rsid w:val="005C4700"/>
    <w:rsid w:val="005C4727"/>
    <w:rsid w:val="005C480D"/>
    <w:rsid w:val="005C4814"/>
    <w:rsid w:val="005C484D"/>
    <w:rsid w:val="005C4937"/>
    <w:rsid w:val="005C495D"/>
    <w:rsid w:val="005C4984"/>
    <w:rsid w:val="005C49C7"/>
    <w:rsid w:val="005C49C8"/>
    <w:rsid w:val="005C49CB"/>
    <w:rsid w:val="005C49F2"/>
    <w:rsid w:val="005C4A11"/>
    <w:rsid w:val="005C4A53"/>
    <w:rsid w:val="005C4A82"/>
    <w:rsid w:val="005C4A9B"/>
    <w:rsid w:val="005C4AEB"/>
    <w:rsid w:val="005C4B13"/>
    <w:rsid w:val="005C4B3E"/>
    <w:rsid w:val="005C4B7F"/>
    <w:rsid w:val="005C4BFB"/>
    <w:rsid w:val="005C4C42"/>
    <w:rsid w:val="005C4C4D"/>
    <w:rsid w:val="005C4DC4"/>
    <w:rsid w:val="005C4E0E"/>
    <w:rsid w:val="005C4E35"/>
    <w:rsid w:val="005C4E45"/>
    <w:rsid w:val="005C4EA2"/>
    <w:rsid w:val="005C4EA4"/>
    <w:rsid w:val="005C4EE1"/>
    <w:rsid w:val="005C4F7F"/>
    <w:rsid w:val="005C4FC0"/>
    <w:rsid w:val="005C4FCB"/>
    <w:rsid w:val="005C5003"/>
    <w:rsid w:val="005C502A"/>
    <w:rsid w:val="005C506B"/>
    <w:rsid w:val="005C50B0"/>
    <w:rsid w:val="005C50CE"/>
    <w:rsid w:val="005C511A"/>
    <w:rsid w:val="005C5163"/>
    <w:rsid w:val="005C51E8"/>
    <w:rsid w:val="005C523A"/>
    <w:rsid w:val="005C52B8"/>
    <w:rsid w:val="005C52FB"/>
    <w:rsid w:val="005C5319"/>
    <w:rsid w:val="005C5361"/>
    <w:rsid w:val="005C551F"/>
    <w:rsid w:val="005C55FE"/>
    <w:rsid w:val="005C5682"/>
    <w:rsid w:val="005C56AA"/>
    <w:rsid w:val="005C57C8"/>
    <w:rsid w:val="005C582B"/>
    <w:rsid w:val="005C5879"/>
    <w:rsid w:val="005C5896"/>
    <w:rsid w:val="005C589F"/>
    <w:rsid w:val="005C58A0"/>
    <w:rsid w:val="005C591F"/>
    <w:rsid w:val="005C5969"/>
    <w:rsid w:val="005C59A6"/>
    <w:rsid w:val="005C59B2"/>
    <w:rsid w:val="005C59DE"/>
    <w:rsid w:val="005C59FF"/>
    <w:rsid w:val="005C5A0A"/>
    <w:rsid w:val="005C5A83"/>
    <w:rsid w:val="005C5B19"/>
    <w:rsid w:val="005C5B58"/>
    <w:rsid w:val="005C5BE1"/>
    <w:rsid w:val="005C5C14"/>
    <w:rsid w:val="005C5C9C"/>
    <w:rsid w:val="005C5DA0"/>
    <w:rsid w:val="005C5DF8"/>
    <w:rsid w:val="005C5E58"/>
    <w:rsid w:val="005C5E59"/>
    <w:rsid w:val="005C5EBF"/>
    <w:rsid w:val="005C5FCA"/>
    <w:rsid w:val="005C6105"/>
    <w:rsid w:val="005C612B"/>
    <w:rsid w:val="005C612C"/>
    <w:rsid w:val="005C61D6"/>
    <w:rsid w:val="005C61E3"/>
    <w:rsid w:val="005C622A"/>
    <w:rsid w:val="005C6324"/>
    <w:rsid w:val="005C645A"/>
    <w:rsid w:val="005C646A"/>
    <w:rsid w:val="005C6495"/>
    <w:rsid w:val="005C64A3"/>
    <w:rsid w:val="005C6504"/>
    <w:rsid w:val="005C6532"/>
    <w:rsid w:val="005C65A4"/>
    <w:rsid w:val="005C6603"/>
    <w:rsid w:val="005C663B"/>
    <w:rsid w:val="005C68BE"/>
    <w:rsid w:val="005C68C2"/>
    <w:rsid w:val="005C69C1"/>
    <w:rsid w:val="005C6A30"/>
    <w:rsid w:val="005C6AFA"/>
    <w:rsid w:val="005C6C05"/>
    <w:rsid w:val="005C6D7E"/>
    <w:rsid w:val="005C6DA8"/>
    <w:rsid w:val="005C6DB8"/>
    <w:rsid w:val="005C6DD0"/>
    <w:rsid w:val="005C6E21"/>
    <w:rsid w:val="005C6E6C"/>
    <w:rsid w:val="005C6EBA"/>
    <w:rsid w:val="005C6EDC"/>
    <w:rsid w:val="005C6FCC"/>
    <w:rsid w:val="005C7035"/>
    <w:rsid w:val="005C7060"/>
    <w:rsid w:val="005C7076"/>
    <w:rsid w:val="005C7105"/>
    <w:rsid w:val="005C7128"/>
    <w:rsid w:val="005C720B"/>
    <w:rsid w:val="005C729D"/>
    <w:rsid w:val="005C72D4"/>
    <w:rsid w:val="005C73B8"/>
    <w:rsid w:val="005C7458"/>
    <w:rsid w:val="005C7492"/>
    <w:rsid w:val="005C751C"/>
    <w:rsid w:val="005C752F"/>
    <w:rsid w:val="005C756D"/>
    <w:rsid w:val="005C75B3"/>
    <w:rsid w:val="005C75E0"/>
    <w:rsid w:val="005C762C"/>
    <w:rsid w:val="005C7683"/>
    <w:rsid w:val="005C7691"/>
    <w:rsid w:val="005C7707"/>
    <w:rsid w:val="005C7744"/>
    <w:rsid w:val="005C775A"/>
    <w:rsid w:val="005C775E"/>
    <w:rsid w:val="005C7779"/>
    <w:rsid w:val="005C7826"/>
    <w:rsid w:val="005C78C1"/>
    <w:rsid w:val="005C78C4"/>
    <w:rsid w:val="005C7932"/>
    <w:rsid w:val="005C794F"/>
    <w:rsid w:val="005C796D"/>
    <w:rsid w:val="005C7A29"/>
    <w:rsid w:val="005C7A7B"/>
    <w:rsid w:val="005C7AAC"/>
    <w:rsid w:val="005C7AAD"/>
    <w:rsid w:val="005C7B17"/>
    <w:rsid w:val="005C7B19"/>
    <w:rsid w:val="005C7B88"/>
    <w:rsid w:val="005C7B8C"/>
    <w:rsid w:val="005C7C39"/>
    <w:rsid w:val="005C7C6C"/>
    <w:rsid w:val="005C7C8B"/>
    <w:rsid w:val="005C7CE8"/>
    <w:rsid w:val="005C7D06"/>
    <w:rsid w:val="005C7D1E"/>
    <w:rsid w:val="005C7D2E"/>
    <w:rsid w:val="005C7D33"/>
    <w:rsid w:val="005C7D3C"/>
    <w:rsid w:val="005C7D58"/>
    <w:rsid w:val="005C7DBE"/>
    <w:rsid w:val="005C7E89"/>
    <w:rsid w:val="005C7EB9"/>
    <w:rsid w:val="005C7FB3"/>
    <w:rsid w:val="005C7FC0"/>
    <w:rsid w:val="005D00E9"/>
    <w:rsid w:val="005D0101"/>
    <w:rsid w:val="005D012F"/>
    <w:rsid w:val="005D0136"/>
    <w:rsid w:val="005D014F"/>
    <w:rsid w:val="005D021B"/>
    <w:rsid w:val="005D0291"/>
    <w:rsid w:val="005D0329"/>
    <w:rsid w:val="005D03F9"/>
    <w:rsid w:val="005D0426"/>
    <w:rsid w:val="005D0472"/>
    <w:rsid w:val="005D0482"/>
    <w:rsid w:val="005D04B4"/>
    <w:rsid w:val="005D0566"/>
    <w:rsid w:val="005D05AE"/>
    <w:rsid w:val="005D060E"/>
    <w:rsid w:val="005D0664"/>
    <w:rsid w:val="005D0680"/>
    <w:rsid w:val="005D06E9"/>
    <w:rsid w:val="005D0729"/>
    <w:rsid w:val="005D07B4"/>
    <w:rsid w:val="005D081E"/>
    <w:rsid w:val="005D082C"/>
    <w:rsid w:val="005D08DD"/>
    <w:rsid w:val="005D095F"/>
    <w:rsid w:val="005D09A6"/>
    <w:rsid w:val="005D0A5A"/>
    <w:rsid w:val="005D0B9B"/>
    <w:rsid w:val="005D0BAF"/>
    <w:rsid w:val="005D0BE2"/>
    <w:rsid w:val="005D0BE6"/>
    <w:rsid w:val="005D0C05"/>
    <w:rsid w:val="005D0C29"/>
    <w:rsid w:val="005D0C93"/>
    <w:rsid w:val="005D0C9B"/>
    <w:rsid w:val="005D0CA3"/>
    <w:rsid w:val="005D0D84"/>
    <w:rsid w:val="005D0E20"/>
    <w:rsid w:val="005D0EAC"/>
    <w:rsid w:val="005D0F13"/>
    <w:rsid w:val="005D0F21"/>
    <w:rsid w:val="005D0F9F"/>
    <w:rsid w:val="005D0FB1"/>
    <w:rsid w:val="005D0FB5"/>
    <w:rsid w:val="005D105D"/>
    <w:rsid w:val="005D11BA"/>
    <w:rsid w:val="005D11C9"/>
    <w:rsid w:val="005D1202"/>
    <w:rsid w:val="005D1219"/>
    <w:rsid w:val="005D1235"/>
    <w:rsid w:val="005D12BC"/>
    <w:rsid w:val="005D12C5"/>
    <w:rsid w:val="005D133C"/>
    <w:rsid w:val="005D138B"/>
    <w:rsid w:val="005D138C"/>
    <w:rsid w:val="005D13F8"/>
    <w:rsid w:val="005D13FE"/>
    <w:rsid w:val="005D14A2"/>
    <w:rsid w:val="005D15A5"/>
    <w:rsid w:val="005D1609"/>
    <w:rsid w:val="005D16C1"/>
    <w:rsid w:val="005D16F3"/>
    <w:rsid w:val="005D1796"/>
    <w:rsid w:val="005D17D3"/>
    <w:rsid w:val="005D185F"/>
    <w:rsid w:val="005D1864"/>
    <w:rsid w:val="005D1880"/>
    <w:rsid w:val="005D18CC"/>
    <w:rsid w:val="005D1929"/>
    <w:rsid w:val="005D193D"/>
    <w:rsid w:val="005D1A0C"/>
    <w:rsid w:val="005D1A26"/>
    <w:rsid w:val="005D1A76"/>
    <w:rsid w:val="005D1A95"/>
    <w:rsid w:val="005D1B40"/>
    <w:rsid w:val="005D1B42"/>
    <w:rsid w:val="005D1B5F"/>
    <w:rsid w:val="005D1BA3"/>
    <w:rsid w:val="005D1D12"/>
    <w:rsid w:val="005D1DA2"/>
    <w:rsid w:val="005D1DC9"/>
    <w:rsid w:val="005D1E56"/>
    <w:rsid w:val="005D1E5A"/>
    <w:rsid w:val="005D1E8B"/>
    <w:rsid w:val="005D1ED9"/>
    <w:rsid w:val="005D1F24"/>
    <w:rsid w:val="005D201B"/>
    <w:rsid w:val="005D2050"/>
    <w:rsid w:val="005D20F7"/>
    <w:rsid w:val="005D2162"/>
    <w:rsid w:val="005D217C"/>
    <w:rsid w:val="005D21D1"/>
    <w:rsid w:val="005D21F4"/>
    <w:rsid w:val="005D21FF"/>
    <w:rsid w:val="005D22D3"/>
    <w:rsid w:val="005D23BC"/>
    <w:rsid w:val="005D24F9"/>
    <w:rsid w:val="005D25B9"/>
    <w:rsid w:val="005D25EF"/>
    <w:rsid w:val="005D2698"/>
    <w:rsid w:val="005D269D"/>
    <w:rsid w:val="005D26B7"/>
    <w:rsid w:val="005D26E8"/>
    <w:rsid w:val="005D2785"/>
    <w:rsid w:val="005D27CC"/>
    <w:rsid w:val="005D282C"/>
    <w:rsid w:val="005D282D"/>
    <w:rsid w:val="005D2831"/>
    <w:rsid w:val="005D2893"/>
    <w:rsid w:val="005D2907"/>
    <w:rsid w:val="005D2949"/>
    <w:rsid w:val="005D2963"/>
    <w:rsid w:val="005D299A"/>
    <w:rsid w:val="005D29DC"/>
    <w:rsid w:val="005D2AC0"/>
    <w:rsid w:val="005D2B2B"/>
    <w:rsid w:val="005D2B2E"/>
    <w:rsid w:val="005D2BA0"/>
    <w:rsid w:val="005D2BBF"/>
    <w:rsid w:val="005D2C60"/>
    <w:rsid w:val="005D2D36"/>
    <w:rsid w:val="005D2D90"/>
    <w:rsid w:val="005D2E1B"/>
    <w:rsid w:val="005D2E20"/>
    <w:rsid w:val="005D2E58"/>
    <w:rsid w:val="005D2E66"/>
    <w:rsid w:val="005D2E75"/>
    <w:rsid w:val="005D2F56"/>
    <w:rsid w:val="005D2FF1"/>
    <w:rsid w:val="005D3279"/>
    <w:rsid w:val="005D32E3"/>
    <w:rsid w:val="005D32F5"/>
    <w:rsid w:val="005D3362"/>
    <w:rsid w:val="005D342C"/>
    <w:rsid w:val="005D3460"/>
    <w:rsid w:val="005D34D2"/>
    <w:rsid w:val="005D34D9"/>
    <w:rsid w:val="005D3527"/>
    <w:rsid w:val="005D353A"/>
    <w:rsid w:val="005D3571"/>
    <w:rsid w:val="005D3783"/>
    <w:rsid w:val="005D37DD"/>
    <w:rsid w:val="005D381F"/>
    <w:rsid w:val="005D3852"/>
    <w:rsid w:val="005D3991"/>
    <w:rsid w:val="005D3A01"/>
    <w:rsid w:val="005D3A4E"/>
    <w:rsid w:val="005D3AF5"/>
    <w:rsid w:val="005D3B22"/>
    <w:rsid w:val="005D3B91"/>
    <w:rsid w:val="005D3BB7"/>
    <w:rsid w:val="005D3C06"/>
    <w:rsid w:val="005D3C3B"/>
    <w:rsid w:val="005D3C48"/>
    <w:rsid w:val="005D3D4D"/>
    <w:rsid w:val="005D3DB0"/>
    <w:rsid w:val="005D3EFC"/>
    <w:rsid w:val="005D3F30"/>
    <w:rsid w:val="005D3F4C"/>
    <w:rsid w:val="005D3F8D"/>
    <w:rsid w:val="005D3FBD"/>
    <w:rsid w:val="005D40CD"/>
    <w:rsid w:val="005D40D2"/>
    <w:rsid w:val="005D411A"/>
    <w:rsid w:val="005D4136"/>
    <w:rsid w:val="005D41D0"/>
    <w:rsid w:val="005D41D8"/>
    <w:rsid w:val="005D41DC"/>
    <w:rsid w:val="005D41EF"/>
    <w:rsid w:val="005D422C"/>
    <w:rsid w:val="005D4252"/>
    <w:rsid w:val="005D434D"/>
    <w:rsid w:val="005D43B2"/>
    <w:rsid w:val="005D43D9"/>
    <w:rsid w:val="005D4402"/>
    <w:rsid w:val="005D4472"/>
    <w:rsid w:val="005D4479"/>
    <w:rsid w:val="005D448C"/>
    <w:rsid w:val="005D4717"/>
    <w:rsid w:val="005D48ED"/>
    <w:rsid w:val="005D492E"/>
    <w:rsid w:val="005D4943"/>
    <w:rsid w:val="005D49A9"/>
    <w:rsid w:val="005D49BD"/>
    <w:rsid w:val="005D4A4E"/>
    <w:rsid w:val="005D4A8A"/>
    <w:rsid w:val="005D4BAD"/>
    <w:rsid w:val="005D4BE5"/>
    <w:rsid w:val="005D4D3F"/>
    <w:rsid w:val="005D4D7F"/>
    <w:rsid w:val="005D4D91"/>
    <w:rsid w:val="005D4DC7"/>
    <w:rsid w:val="005D4E27"/>
    <w:rsid w:val="005D4EC1"/>
    <w:rsid w:val="005D4EC6"/>
    <w:rsid w:val="005D4F38"/>
    <w:rsid w:val="005D4FB7"/>
    <w:rsid w:val="005D4FE4"/>
    <w:rsid w:val="005D508F"/>
    <w:rsid w:val="005D511E"/>
    <w:rsid w:val="005D5137"/>
    <w:rsid w:val="005D514C"/>
    <w:rsid w:val="005D5164"/>
    <w:rsid w:val="005D5173"/>
    <w:rsid w:val="005D5305"/>
    <w:rsid w:val="005D5330"/>
    <w:rsid w:val="005D535A"/>
    <w:rsid w:val="005D539D"/>
    <w:rsid w:val="005D53C9"/>
    <w:rsid w:val="005D542B"/>
    <w:rsid w:val="005D5450"/>
    <w:rsid w:val="005D5473"/>
    <w:rsid w:val="005D548E"/>
    <w:rsid w:val="005D54C7"/>
    <w:rsid w:val="005D55AA"/>
    <w:rsid w:val="005D55B3"/>
    <w:rsid w:val="005D55BF"/>
    <w:rsid w:val="005D5637"/>
    <w:rsid w:val="005D56E0"/>
    <w:rsid w:val="005D5779"/>
    <w:rsid w:val="005D57B2"/>
    <w:rsid w:val="005D57C7"/>
    <w:rsid w:val="005D57EE"/>
    <w:rsid w:val="005D5869"/>
    <w:rsid w:val="005D5870"/>
    <w:rsid w:val="005D58C8"/>
    <w:rsid w:val="005D58FE"/>
    <w:rsid w:val="005D592E"/>
    <w:rsid w:val="005D5941"/>
    <w:rsid w:val="005D5969"/>
    <w:rsid w:val="005D5986"/>
    <w:rsid w:val="005D59FC"/>
    <w:rsid w:val="005D5A40"/>
    <w:rsid w:val="005D5A83"/>
    <w:rsid w:val="005D5B08"/>
    <w:rsid w:val="005D5B7B"/>
    <w:rsid w:val="005D5BE6"/>
    <w:rsid w:val="005D5C93"/>
    <w:rsid w:val="005D5CA8"/>
    <w:rsid w:val="005D5CF6"/>
    <w:rsid w:val="005D5D02"/>
    <w:rsid w:val="005D5D81"/>
    <w:rsid w:val="005D5DBB"/>
    <w:rsid w:val="005D5E65"/>
    <w:rsid w:val="005D5E8A"/>
    <w:rsid w:val="005D5E92"/>
    <w:rsid w:val="005D5ED0"/>
    <w:rsid w:val="005D5ED8"/>
    <w:rsid w:val="005D5F43"/>
    <w:rsid w:val="005D5FBC"/>
    <w:rsid w:val="005D5FFF"/>
    <w:rsid w:val="005D61BA"/>
    <w:rsid w:val="005D6201"/>
    <w:rsid w:val="005D6266"/>
    <w:rsid w:val="005D639E"/>
    <w:rsid w:val="005D641C"/>
    <w:rsid w:val="005D645F"/>
    <w:rsid w:val="005D64DA"/>
    <w:rsid w:val="005D65ED"/>
    <w:rsid w:val="005D6668"/>
    <w:rsid w:val="005D679F"/>
    <w:rsid w:val="005D67D0"/>
    <w:rsid w:val="005D68B8"/>
    <w:rsid w:val="005D68DD"/>
    <w:rsid w:val="005D6912"/>
    <w:rsid w:val="005D6949"/>
    <w:rsid w:val="005D69BC"/>
    <w:rsid w:val="005D69C1"/>
    <w:rsid w:val="005D6A47"/>
    <w:rsid w:val="005D6AAE"/>
    <w:rsid w:val="005D6AFE"/>
    <w:rsid w:val="005D6B8B"/>
    <w:rsid w:val="005D6BE7"/>
    <w:rsid w:val="005D6D3F"/>
    <w:rsid w:val="005D6D75"/>
    <w:rsid w:val="005D6DE3"/>
    <w:rsid w:val="005D6EBC"/>
    <w:rsid w:val="005D6EBE"/>
    <w:rsid w:val="005D6F4E"/>
    <w:rsid w:val="005D6F5C"/>
    <w:rsid w:val="005D6F7F"/>
    <w:rsid w:val="005D6FA9"/>
    <w:rsid w:val="005D7038"/>
    <w:rsid w:val="005D70BB"/>
    <w:rsid w:val="005D7115"/>
    <w:rsid w:val="005D71CD"/>
    <w:rsid w:val="005D7218"/>
    <w:rsid w:val="005D7242"/>
    <w:rsid w:val="005D724B"/>
    <w:rsid w:val="005D72DE"/>
    <w:rsid w:val="005D72F9"/>
    <w:rsid w:val="005D7374"/>
    <w:rsid w:val="005D73A1"/>
    <w:rsid w:val="005D73CC"/>
    <w:rsid w:val="005D73D2"/>
    <w:rsid w:val="005D7468"/>
    <w:rsid w:val="005D74B6"/>
    <w:rsid w:val="005D7525"/>
    <w:rsid w:val="005D757D"/>
    <w:rsid w:val="005D75E0"/>
    <w:rsid w:val="005D763A"/>
    <w:rsid w:val="005D764C"/>
    <w:rsid w:val="005D7690"/>
    <w:rsid w:val="005D776F"/>
    <w:rsid w:val="005D7784"/>
    <w:rsid w:val="005D787C"/>
    <w:rsid w:val="005D78F6"/>
    <w:rsid w:val="005D794E"/>
    <w:rsid w:val="005D7965"/>
    <w:rsid w:val="005D79DD"/>
    <w:rsid w:val="005D7A0A"/>
    <w:rsid w:val="005D7A15"/>
    <w:rsid w:val="005D7A1B"/>
    <w:rsid w:val="005D7A6D"/>
    <w:rsid w:val="005D7A73"/>
    <w:rsid w:val="005D7AF1"/>
    <w:rsid w:val="005D7AFF"/>
    <w:rsid w:val="005D7B68"/>
    <w:rsid w:val="005D7BC1"/>
    <w:rsid w:val="005D7BCE"/>
    <w:rsid w:val="005D7BF1"/>
    <w:rsid w:val="005D7CB2"/>
    <w:rsid w:val="005D7E4A"/>
    <w:rsid w:val="005D7E90"/>
    <w:rsid w:val="005D7F09"/>
    <w:rsid w:val="005D7F22"/>
    <w:rsid w:val="005D7F7B"/>
    <w:rsid w:val="005D7FD8"/>
    <w:rsid w:val="005E0013"/>
    <w:rsid w:val="005E00A7"/>
    <w:rsid w:val="005E00E4"/>
    <w:rsid w:val="005E0119"/>
    <w:rsid w:val="005E0143"/>
    <w:rsid w:val="005E01B8"/>
    <w:rsid w:val="005E01BB"/>
    <w:rsid w:val="005E01DB"/>
    <w:rsid w:val="005E020E"/>
    <w:rsid w:val="005E0285"/>
    <w:rsid w:val="005E0303"/>
    <w:rsid w:val="005E037D"/>
    <w:rsid w:val="005E03B8"/>
    <w:rsid w:val="005E0413"/>
    <w:rsid w:val="005E0459"/>
    <w:rsid w:val="005E04E1"/>
    <w:rsid w:val="005E0544"/>
    <w:rsid w:val="005E05A6"/>
    <w:rsid w:val="005E05BC"/>
    <w:rsid w:val="005E05BD"/>
    <w:rsid w:val="005E05CC"/>
    <w:rsid w:val="005E0632"/>
    <w:rsid w:val="005E0703"/>
    <w:rsid w:val="005E0738"/>
    <w:rsid w:val="005E073A"/>
    <w:rsid w:val="005E0747"/>
    <w:rsid w:val="005E0757"/>
    <w:rsid w:val="005E0766"/>
    <w:rsid w:val="005E07A5"/>
    <w:rsid w:val="005E07C2"/>
    <w:rsid w:val="005E07C6"/>
    <w:rsid w:val="005E07DB"/>
    <w:rsid w:val="005E07FB"/>
    <w:rsid w:val="005E0894"/>
    <w:rsid w:val="005E090F"/>
    <w:rsid w:val="005E0A6D"/>
    <w:rsid w:val="005E0AC1"/>
    <w:rsid w:val="005E0AEC"/>
    <w:rsid w:val="005E0B58"/>
    <w:rsid w:val="005E0BD0"/>
    <w:rsid w:val="005E0CFE"/>
    <w:rsid w:val="005E0D49"/>
    <w:rsid w:val="005E0E49"/>
    <w:rsid w:val="005E0E99"/>
    <w:rsid w:val="005E0ED7"/>
    <w:rsid w:val="005E0F12"/>
    <w:rsid w:val="005E0FBD"/>
    <w:rsid w:val="005E0FBF"/>
    <w:rsid w:val="005E1005"/>
    <w:rsid w:val="005E1059"/>
    <w:rsid w:val="005E108F"/>
    <w:rsid w:val="005E10C5"/>
    <w:rsid w:val="005E10FB"/>
    <w:rsid w:val="005E1191"/>
    <w:rsid w:val="005E11B0"/>
    <w:rsid w:val="005E1220"/>
    <w:rsid w:val="005E122C"/>
    <w:rsid w:val="005E1276"/>
    <w:rsid w:val="005E12AA"/>
    <w:rsid w:val="005E1357"/>
    <w:rsid w:val="005E135B"/>
    <w:rsid w:val="005E135C"/>
    <w:rsid w:val="005E1361"/>
    <w:rsid w:val="005E1370"/>
    <w:rsid w:val="005E13C4"/>
    <w:rsid w:val="005E1464"/>
    <w:rsid w:val="005E14B7"/>
    <w:rsid w:val="005E150F"/>
    <w:rsid w:val="005E1561"/>
    <w:rsid w:val="005E1574"/>
    <w:rsid w:val="005E15CF"/>
    <w:rsid w:val="005E1611"/>
    <w:rsid w:val="005E162F"/>
    <w:rsid w:val="005E1639"/>
    <w:rsid w:val="005E1667"/>
    <w:rsid w:val="005E1694"/>
    <w:rsid w:val="005E1725"/>
    <w:rsid w:val="005E1787"/>
    <w:rsid w:val="005E17DD"/>
    <w:rsid w:val="005E1874"/>
    <w:rsid w:val="005E1917"/>
    <w:rsid w:val="005E19EB"/>
    <w:rsid w:val="005E19F1"/>
    <w:rsid w:val="005E1A15"/>
    <w:rsid w:val="005E1A95"/>
    <w:rsid w:val="005E1A9C"/>
    <w:rsid w:val="005E1B2E"/>
    <w:rsid w:val="005E1B37"/>
    <w:rsid w:val="005E1B7D"/>
    <w:rsid w:val="005E1BBC"/>
    <w:rsid w:val="005E1C16"/>
    <w:rsid w:val="005E1C80"/>
    <w:rsid w:val="005E1CDE"/>
    <w:rsid w:val="005E1D73"/>
    <w:rsid w:val="005E1D75"/>
    <w:rsid w:val="005E1E1A"/>
    <w:rsid w:val="005E1E86"/>
    <w:rsid w:val="005E1EAB"/>
    <w:rsid w:val="005E1ECE"/>
    <w:rsid w:val="005E1F15"/>
    <w:rsid w:val="005E1F23"/>
    <w:rsid w:val="005E1F3C"/>
    <w:rsid w:val="005E1F42"/>
    <w:rsid w:val="005E1F44"/>
    <w:rsid w:val="005E1F61"/>
    <w:rsid w:val="005E1F84"/>
    <w:rsid w:val="005E209C"/>
    <w:rsid w:val="005E20C5"/>
    <w:rsid w:val="005E20EC"/>
    <w:rsid w:val="005E213C"/>
    <w:rsid w:val="005E21B0"/>
    <w:rsid w:val="005E22DE"/>
    <w:rsid w:val="005E22E0"/>
    <w:rsid w:val="005E2306"/>
    <w:rsid w:val="005E2324"/>
    <w:rsid w:val="005E236F"/>
    <w:rsid w:val="005E239D"/>
    <w:rsid w:val="005E23AD"/>
    <w:rsid w:val="005E23B3"/>
    <w:rsid w:val="005E23D7"/>
    <w:rsid w:val="005E2413"/>
    <w:rsid w:val="005E243B"/>
    <w:rsid w:val="005E243E"/>
    <w:rsid w:val="005E247C"/>
    <w:rsid w:val="005E24B7"/>
    <w:rsid w:val="005E24C0"/>
    <w:rsid w:val="005E24D2"/>
    <w:rsid w:val="005E24E9"/>
    <w:rsid w:val="005E2530"/>
    <w:rsid w:val="005E253A"/>
    <w:rsid w:val="005E2573"/>
    <w:rsid w:val="005E25C0"/>
    <w:rsid w:val="005E2610"/>
    <w:rsid w:val="005E2667"/>
    <w:rsid w:val="005E268E"/>
    <w:rsid w:val="005E2695"/>
    <w:rsid w:val="005E28C4"/>
    <w:rsid w:val="005E297D"/>
    <w:rsid w:val="005E2990"/>
    <w:rsid w:val="005E29CE"/>
    <w:rsid w:val="005E2A64"/>
    <w:rsid w:val="005E2A91"/>
    <w:rsid w:val="005E2AD4"/>
    <w:rsid w:val="005E2B70"/>
    <w:rsid w:val="005E2B76"/>
    <w:rsid w:val="005E2BB9"/>
    <w:rsid w:val="005E2C8F"/>
    <w:rsid w:val="005E2CDA"/>
    <w:rsid w:val="005E2D02"/>
    <w:rsid w:val="005E2D81"/>
    <w:rsid w:val="005E2D83"/>
    <w:rsid w:val="005E2DB3"/>
    <w:rsid w:val="005E2E6D"/>
    <w:rsid w:val="005E2EFC"/>
    <w:rsid w:val="005E2F3C"/>
    <w:rsid w:val="005E307C"/>
    <w:rsid w:val="005E30DD"/>
    <w:rsid w:val="005E325F"/>
    <w:rsid w:val="005E3268"/>
    <w:rsid w:val="005E32BE"/>
    <w:rsid w:val="005E338A"/>
    <w:rsid w:val="005E33E1"/>
    <w:rsid w:val="005E34D4"/>
    <w:rsid w:val="005E35B8"/>
    <w:rsid w:val="005E35DF"/>
    <w:rsid w:val="005E36A9"/>
    <w:rsid w:val="005E3702"/>
    <w:rsid w:val="005E370C"/>
    <w:rsid w:val="005E3712"/>
    <w:rsid w:val="005E37D8"/>
    <w:rsid w:val="005E3800"/>
    <w:rsid w:val="005E385F"/>
    <w:rsid w:val="005E387A"/>
    <w:rsid w:val="005E38BD"/>
    <w:rsid w:val="005E38EA"/>
    <w:rsid w:val="005E398C"/>
    <w:rsid w:val="005E39E5"/>
    <w:rsid w:val="005E3A15"/>
    <w:rsid w:val="005E3A97"/>
    <w:rsid w:val="005E3AD0"/>
    <w:rsid w:val="005E3AE1"/>
    <w:rsid w:val="005E3AE4"/>
    <w:rsid w:val="005E3AF8"/>
    <w:rsid w:val="005E3D71"/>
    <w:rsid w:val="005E3E43"/>
    <w:rsid w:val="005E3E74"/>
    <w:rsid w:val="005E3EB1"/>
    <w:rsid w:val="005E3EDD"/>
    <w:rsid w:val="005E3EDE"/>
    <w:rsid w:val="005E3F96"/>
    <w:rsid w:val="005E3FA8"/>
    <w:rsid w:val="005E4035"/>
    <w:rsid w:val="005E405D"/>
    <w:rsid w:val="005E409C"/>
    <w:rsid w:val="005E409F"/>
    <w:rsid w:val="005E40D1"/>
    <w:rsid w:val="005E40E8"/>
    <w:rsid w:val="005E413D"/>
    <w:rsid w:val="005E4194"/>
    <w:rsid w:val="005E41AB"/>
    <w:rsid w:val="005E41BC"/>
    <w:rsid w:val="005E41C6"/>
    <w:rsid w:val="005E41DD"/>
    <w:rsid w:val="005E4228"/>
    <w:rsid w:val="005E4331"/>
    <w:rsid w:val="005E433C"/>
    <w:rsid w:val="005E438C"/>
    <w:rsid w:val="005E43E3"/>
    <w:rsid w:val="005E4414"/>
    <w:rsid w:val="005E4421"/>
    <w:rsid w:val="005E444C"/>
    <w:rsid w:val="005E4461"/>
    <w:rsid w:val="005E44F2"/>
    <w:rsid w:val="005E4511"/>
    <w:rsid w:val="005E456A"/>
    <w:rsid w:val="005E457D"/>
    <w:rsid w:val="005E45AA"/>
    <w:rsid w:val="005E45B5"/>
    <w:rsid w:val="005E45C3"/>
    <w:rsid w:val="005E4607"/>
    <w:rsid w:val="005E4673"/>
    <w:rsid w:val="005E46E2"/>
    <w:rsid w:val="005E4749"/>
    <w:rsid w:val="005E47B0"/>
    <w:rsid w:val="005E47F2"/>
    <w:rsid w:val="005E4867"/>
    <w:rsid w:val="005E48BF"/>
    <w:rsid w:val="005E493F"/>
    <w:rsid w:val="005E4952"/>
    <w:rsid w:val="005E49D2"/>
    <w:rsid w:val="005E4A3E"/>
    <w:rsid w:val="005E4A5E"/>
    <w:rsid w:val="005E4A5F"/>
    <w:rsid w:val="005E4BD4"/>
    <w:rsid w:val="005E4BE6"/>
    <w:rsid w:val="005E4C94"/>
    <w:rsid w:val="005E4D0C"/>
    <w:rsid w:val="005E4D47"/>
    <w:rsid w:val="005E4D80"/>
    <w:rsid w:val="005E4D84"/>
    <w:rsid w:val="005E4FDD"/>
    <w:rsid w:val="005E4FEC"/>
    <w:rsid w:val="005E5035"/>
    <w:rsid w:val="005E5036"/>
    <w:rsid w:val="005E504D"/>
    <w:rsid w:val="005E50AA"/>
    <w:rsid w:val="005E51B5"/>
    <w:rsid w:val="005E522F"/>
    <w:rsid w:val="005E5239"/>
    <w:rsid w:val="005E525C"/>
    <w:rsid w:val="005E5274"/>
    <w:rsid w:val="005E531F"/>
    <w:rsid w:val="005E5357"/>
    <w:rsid w:val="005E53D2"/>
    <w:rsid w:val="005E5462"/>
    <w:rsid w:val="005E54CD"/>
    <w:rsid w:val="005E5605"/>
    <w:rsid w:val="005E5681"/>
    <w:rsid w:val="005E575F"/>
    <w:rsid w:val="005E57F8"/>
    <w:rsid w:val="005E585F"/>
    <w:rsid w:val="005E58B2"/>
    <w:rsid w:val="005E58C2"/>
    <w:rsid w:val="005E59AE"/>
    <w:rsid w:val="005E59B9"/>
    <w:rsid w:val="005E5A11"/>
    <w:rsid w:val="005E5A52"/>
    <w:rsid w:val="005E5AA6"/>
    <w:rsid w:val="005E5BBC"/>
    <w:rsid w:val="005E5CEE"/>
    <w:rsid w:val="005E5D0E"/>
    <w:rsid w:val="005E5DAF"/>
    <w:rsid w:val="005E5DC0"/>
    <w:rsid w:val="005E5E13"/>
    <w:rsid w:val="005E5E17"/>
    <w:rsid w:val="005E5E69"/>
    <w:rsid w:val="005E5EA5"/>
    <w:rsid w:val="005E5ED5"/>
    <w:rsid w:val="005E5EED"/>
    <w:rsid w:val="005E5F13"/>
    <w:rsid w:val="005E5F1A"/>
    <w:rsid w:val="005E600A"/>
    <w:rsid w:val="005E6045"/>
    <w:rsid w:val="005E6053"/>
    <w:rsid w:val="005E6148"/>
    <w:rsid w:val="005E614E"/>
    <w:rsid w:val="005E6160"/>
    <w:rsid w:val="005E6166"/>
    <w:rsid w:val="005E6186"/>
    <w:rsid w:val="005E623E"/>
    <w:rsid w:val="005E62B2"/>
    <w:rsid w:val="005E6311"/>
    <w:rsid w:val="005E6328"/>
    <w:rsid w:val="005E6394"/>
    <w:rsid w:val="005E6446"/>
    <w:rsid w:val="005E6465"/>
    <w:rsid w:val="005E64BE"/>
    <w:rsid w:val="005E6509"/>
    <w:rsid w:val="005E650B"/>
    <w:rsid w:val="005E652C"/>
    <w:rsid w:val="005E659E"/>
    <w:rsid w:val="005E6633"/>
    <w:rsid w:val="005E66F2"/>
    <w:rsid w:val="005E6707"/>
    <w:rsid w:val="005E6744"/>
    <w:rsid w:val="005E6787"/>
    <w:rsid w:val="005E681B"/>
    <w:rsid w:val="005E686B"/>
    <w:rsid w:val="005E6885"/>
    <w:rsid w:val="005E6943"/>
    <w:rsid w:val="005E69CE"/>
    <w:rsid w:val="005E6A36"/>
    <w:rsid w:val="005E6A79"/>
    <w:rsid w:val="005E6AA5"/>
    <w:rsid w:val="005E6ACA"/>
    <w:rsid w:val="005E6ADE"/>
    <w:rsid w:val="005E6B00"/>
    <w:rsid w:val="005E6BBB"/>
    <w:rsid w:val="005E6C20"/>
    <w:rsid w:val="005E6C77"/>
    <w:rsid w:val="005E6C80"/>
    <w:rsid w:val="005E6CCC"/>
    <w:rsid w:val="005E6CD8"/>
    <w:rsid w:val="005E6E56"/>
    <w:rsid w:val="005E6F1B"/>
    <w:rsid w:val="005E6F78"/>
    <w:rsid w:val="005E6FF8"/>
    <w:rsid w:val="005E7035"/>
    <w:rsid w:val="005E7071"/>
    <w:rsid w:val="005E712C"/>
    <w:rsid w:val="005E718F"/>
    <w:rsid w:val="005E71E7"/>
    <w:rsid w:val="005E71FA"/>
    <w:rsid w:val="005E724A"/>
    <w:rsid w:val="005E725A"/>
    <w:rsid w:val="005E728B"/>
    <w:rsid w:val="005E72D7"/>
    <w:rsid w:val="005E7315"/>
    <w:rsid w:val="005E7320"/>
    <w:rsid w:val="005E7358"/>
    <w:rsid w:val="005E737D"/>
    <w:rsid w:val="005E7391"/>
    <w:rsid w:val="005E7417"/>
    <w:rsid w:val="005E7484"/>
    <w:rsid w:val="005E74B4"/>
    <w:rsid w:val="005E7557"/>
    <w:rsid w:val="005E75BF"/>
    <w:rsid w:val="005E75F3"/>
    <w:rsid w:val="005E765A"/>
    <w:rsid w:val="005E7675"/>
    <w:rsid w:val="005E770F"/>
    <w:rsid w:val="005E7728"/>
    <w:rsid w:val="005E77EA"/>
    <w:rsid w:val="005E7804"/>
    <w:rsid w:val="005E783A"/>
    <w:rsid w:val="005E7893"/>
    <w:rsid w:val="005E78A3"/>
    <w:rsid w:val="005E78B6"/>
    <w:rsid w:val="005E78DE"/>
    <w:rsid w:val="005E7954"/>
    <w:rsid w:val="005E79E0"/>
    <w:rsid w:val="005E79FD"/>
    <w:rsid w:val="005E7A7B"/>
    <w:rsid w:val="005E7B31"/>
    <w:rsid w:val="005E7B72"/>
    <w:rsid w:val="005E7B9A"/>
    <w:rsid w:val="005E7C9D"/>
    <w:rsid w:val="005E7D01"/>
    <w:rsid w:val="005E7D04"/>
    <w:rsid w:val="005E7D5D"/>
    <w:rsid w:val="005E7DA0"/>
    <w:rsid w:val="005E7DB2"/>
    <w:rsid w:val="005E7EB4"/>
    <w:rsid w:val="005F0090"/>
    <w:rsid w:val="005F00B8"/>
    <w:rsid w:val="005F00C5"/>
    <w:rsid w:val="005F0155"/>
    <w:rsid w:val="005F0183"/>
    <w:rsid w:val="005F01A0"/>
    <w:rsid w:val="005F01A4"/>
    <w:rsid w:val="005F01F8"/>
    <w:rsid w:val="005F023C"/>
    <w:rsid w:val="005F0267"/>
    <w:rsid w:val="005F026D"/>
    <w:rsid w:val="005F0315"/>
    <w:rsid w:val="005F03A2"/>
    <w:rsid w:val="005F043E"/>
    <w:rsid w:val="005F0461"/>
    <w:rsid w:val="005F0541"/>
    <w:rsid w:val="005F0569"/>
    <w:rsid w:val="005F0572"/>
    <w:rsid w:val="005F0573"/>
    <w:rsid w:val="005F05FE"/>
    <w:rsid w:val="005F0671"/>
    <w:rsid w:val="005F06F4"/>
    <w:rsid w:val="005F0782"/>
    <w:rsid w:val="005F07C0"/>
    <w:rsid w:val="005F081D"/>
    <w:rsid w:val="005F08D5"/>
    <w:rsid w:val="005F0964"/>
    <w:rsid w:val="005F099D"/>
    <w:rsid w:val="005F0A64"/>
    <w:rsid w:val="005F0AC4"/>
    <w:rsid w:val="005F0AEC"/>
    <w:rsid w:val="005F0B08"/>
    <w:rsid w:val="005F0B2C"/>
    <w:rsid w:val="005F0B8F"/>
    <w:rsid w:val="005F0C0A"/>
    <w:rsid w:val="005F0C7D"/>
    <w:rsid w:val="005F0CB4"/>
    <w:rsid w:val="005F0DC2"/>
    <w:rsid w:val="005F0DC3"/>
    <w:rsid w:val="005F0E3A"/>
    <w:rsid w:val="005F0E4F"/>
    <w:rsid w:val="005F0EAE"/>
    <w:rsid w:val="005F0EDF"/>
    <w:rsid w:val="005F0F3E"/>
    <w:rsid w:val="005F0F8E"/>
    <w:rsid w:val="005F0FDC"/>
    <w:rsid w:val="005F1108"/>
    <w:rsid w:val="005F118B"/>
    <w:rsid w:val="005F11A3"/>
    <w:rsid w:val="005F1242"/>
    <w:rsid w:val="005F1248"/>
    <w:rsid w:val="005F132C"/>
    <w:rsid w:val="005F134A"/>
    <w:rsid w:val="005F139C"/>
    <w:rsid w:val="005F1444"/>
    <w:rsid w:val="005F1495"/>
    <w:rsid w:val="005F1499"/>
    <w:rsid w:val="005F1511"/>
    <w:rsid w:val="005F16CB"/>
    <w:rsid w:val="005F16DF"/>
    <w:rsid w:val="005F1728"/>
    <w:rsid w:val="005F1799"/>
    <w:rsid w:val="005F17B8"/>
    <w:rsid w:val="005F17D0"/>
    <w:rsid w:val="005F17D1"/>
    <w:rsid w:val="005F17FD"/>
    <w:rsid w:val="005F1814"/>
    <w:rsid w:val="005F1832"/>
    <w:rsid w:val="005F185A"/>
    <w:rsid w:val="005F1890"/>
    <w:rsid w:val="005F190C"/>
    <w:rsid w:val="005F1992"/>
    <w:rsid w:val="005F1A54"/>
    <w:rsid w:val="005F1BC5"/>
    <w:rsid w:val="005F1BD3"/>
    <w:rsid w:val="005F1C06"/>
    <w:rsid w:val="005F1C2E"/>
    <w:rsid w:val="005F1C5C"/>
    <w:rsid w:val="005F1C82"/>
    <w:rsid w:val="005F1CF1"/>
    <w:rsid w:val="005F1D1E"/>
    <w:rsid w:val="005F1D57"/>
    <w:rsid w:val="005F1E72"/>
    <w:rsid w:val="005F1F01"/>
    <w:rsid w:val="005F1F38"/>
    <w:rsid w:val="005F1F48"/>
    <w:rsid w:val="005F1F6E"/>
    <w:rsid w:val="005F1F92"/>
    <w:rsid w:val="005F1F93"/>
    <w:rsid w:val="005F1FA3"/>
    <w:rsid w:val="005F2030"/>
    <w:rsid w:val="005F207E"/>
    <w:rsid w:val="005F2211"/>
    <w:rsid w:val="005F227F"/>
    <w:rsid w:val="005F22D0"/>
    <w:rsid w:val="005F2310"/>
    <w:rsid w:val="005F2331"/>
    <w:rsid w:val="005F2339"/>
    <w:rsid w:val="005F235A"/>
    <w:rsid w:val="005F2440"/>
    <w:rsid w:val="005F24D7"/>
    <w:rsid w:val="005F2501"/>
    <w:rsid w:val="005F2533"/>
    <w:rsid w:val="005F25C6"/>
    <w:rsid w:val="005F2608"/>
    <w:rsid w:val="005F2730"/>
    <w:rsid w:val="005F27C5"/>
    <w:rsid w:val="005F2848"/>
    <w:rsid w:val="005F28FD"/>
    <w:rsid w:val="005F2917"/>
    <w:rsid w:val="005F2919"/>
    <w:rsid w:val="005F2928"/>
    <w:rsid w:val="005F2A0D"/>
    <w:rsid w:val="005F2A8A"/>
    <w:rsid w:val="005F2A9A"/>
    <w:rsid w:val="005F2B67"/>
    <w:rsid w:val="005F2BCE"/>
    <w:rsid w:val="005F2CAD"/>
    <w:rsid w:val="005F2DD1"/>
    <w:rsid w:val="005F2E8F"/>
    <w:rsid w:val="005F2E95"/>
    <w:rsid w:val="005F2E9A"/>
    <w:rsid w:val="005F2F2B"/>
    <w:rsid w:val="005F2F57"/>
    <w:rsid w:val="005F2FB3"/>
    <w:rsid w:val="005F2FE5"/>
    <w:rsid w:val="005F30EA"/>
    <w:rsid w:val="005F30FC"/>
    <w:rsid w:val="005F3106"/>
    <w:rsid w:val="005F310B"/>
    <w:rsid w:val="005F3168"/>
    <w:rsid w:val="005F3265"/>
    <w:rsid w:val="005F32A6"/>
    <w:rsid w:val="005F32B4"/>
    <w:rsid w:val="005F32D4"/>
    <w:rsid w:val="005F3321"/>
    <w:rsid w:val="005F332C"/>
    <w:rsid w:val="005F3372"/>
    <w:rsid w:val="005F33ED"/>
    <w:rsid w:val="005F33EE"/>
    <w:rsid w:val="005F3430"/>
    <w:rsid w:val="005F346C"/>
    <w:rsid w:val="005F34DF"/>
    <w:rsid w:val="005F353D"/>
    <w:rsid w:val="005F35CC"/>
    <w:rsid w:val="005F3606"/>
    <w:rsid w:val="005F3658"/>
    <w:rsid w:val="005F36B5"/>
    <w:rsid w:val="005F36E6"/>
    <w:rsid w:val="005F373F"/>
    <w:rsid w:val="005F3789"/>
    <w:rsid w:val="005F3790"/>
    <w:rsid w:val="005F39D9"/>
    <w:rsid w:val="005F39F5"/>
    <w:rsid w:val="005F3A5E"/>
    <w:rsid w:val="005F3A5F"/>
    <w:rsid w:val="005F3A81"/>
    <w:rsid w:val="005F3B2B"/>
    <w:rsid w:val="005F3B2C"/>
    <w:rsid w:val="005F3B4E"/>
    <w:rsid w:val="005F3C46"/>
    <w:rsid w:val="005F3C79"/>
    <w:rsid w:val="005F3C7E"/>
    <w:rsid w:val="005F3D88"/>
    <w:rsid w:val="005F3D8A"/>
    <w:rsid w:val="005F3DD1"/>
    <w:rsid w:val="005F3E0D"/>
    <w:rsid w:val="005F3E90"/>
    <w:rsid w:val="005F3EFE"/>
    <w:rsid w:val="005F3F33"/>
    <w:rsid w:val="005F3F52"/>
    <w:rsid w:val="005F3FCF"/>
    <w:rsid w:val="005F4124"/>
    <w:rsid w:val="005F412D"/>
    <w:rsid w:val="005F416A"/>
    <w:rsid w:val="005F4175"/>
    <w:rsid w:val="005F41D2"/>
    <w:rsid w:val="005F41F7"/>
    <w:rsid w:val="005F4241"/>
    <w:rsid w:val="005F4329"/>
    <w:rsid w:val="005F4418"/>
    <w:rsid w:val="005F4545"/>
    <w:rsid w:val="005F4560"/>
    <w:rsid w:val="005F4598"/>
    <w:rsid w:val="005F4612"/>
    <w:rsid w:val="005F4633"/>
    <w:rsid w:val="005F465B"/>
    <w:rsid w:val="005F467D"/>
    <w:rsid w:val="005F4689"/>
    <w:rsid w:val="005F470D"/>
    <w:rsid w:val="005F4828"/>
    <w:rsid w:val="005F482A"/>
    <w:rsid w:val="005F4844"/>
    <w:rsid w:val="005F4868"/>
    <w:rsid w:val="005F492C"/>
    <w:rsid w:val="005F4974"/>
    <w:rsid w:val="005F497B"/>
    <w:rsid w:val="005F4A39"/>
    <w:rsid w:val="005F4ABF"/>
    <w:rsid w:val="005F4B33"/>
    <w:rsid w:val="005F4BF2"/>
    <w:rsid w:val="005F4BFA"/>
    <w:rsid w:val="005F4C37"/>
    <w:rsid w:val="005F4C4B"/>
    <w:rsid w:val="005F4C4C"/>
    <w:rsid w:val="005F4C5E"/>
    <w:rsid w:val="005F4D83"/>
    <w:rsid w:val="005F4D93"/>
    <w:rsid w:val="005F4D94"/>
    <w:rsid w:val="005F4E10"/>
    <w:rsid w:val="005F4E54"/>
    <w:rsid w:val="005F4EB3"/>
    <w:rsid w:val="005F4F1F"/>
    <w:rsid w:val="005F4F32"/>
    <w:rsid w:val="005F4F4F"/>
    <w:rsid w:val="005F4F91"/>
    <w:rsid w:val="005F4FA1"/>
    <w:rsid w:val="005F4FB5"/>
    <w:rsid w:val="005F4FB6"/>
    <w:rsid w:val="005F5095"/>
    <w:rsid w:val="005F50BA"/>
    <w:rsid w:val="005F50C6"/>
    <w:rsid w:val="005F5143"/>
    <w:rsid w:val="005F5149"/>
    <w:rsid w:val="005F5181"/>
    <w:rsid w:val="005F518D"/>
    <w:rsid w:val="005F51A0"/>
    <w:rsid w:val="005F51F4"/>
    <w:rsid w:val="005F5215"/>
    <w:rsid w:val="005F5279"/>
    <w:rsid w:val="005F5288"/>
    <w:rsid w:val="005F5296"/>
    <w:rsid w:val="005F52B2"/>
    <w:rsid w:val="005F5313"/>
    <w:rsid w:val="005F5331"/>
    <w:rsid w:val="005F53D3"/>
    <w:rsid w:val="005F548E"/>
    <w:rsid w:val="005F55AC"/>
    <w:rsid w:val="005F56BC"/>
    <w:rsid w:val="005F5702"/>
    <w:rsid w:val="005F5798"/>
    <w:rsid w:val="005F57BC"/>
    <w:rsid w:val="005F57CE"/>
    <w:rsid w:val="005F5885"/>
    <w:rsid w:val="005F5905"/>
    <w:rsid w:val="005F5936"/>
    <w:rsid w:val="005F5956"/>
    <w:rsid w:val="005F59CD"/>
    <w:rsid w:val="005F59D4"/>
    <w:rsid w:val="005F59DD"/>
    <w:rsid w:val="005F5A26"/>
    <w:rsid w:val="005F5B18"/>
    <w:rsid w:val="005F5B24"/>
    <w:rsid w:val="005F5C1E"/>
    <w:rsid w:val="005F5C27"/>
    <w:rsid w:val="005F5CAE"/>
    <w:rsid w:val="005F5D08"/>
    <w:rsid w:val="005F5D1D"/>
    <w:rsid w:val="005F5EA0"/>
    <w:rsid w:val="005F6047"/>
    <w:rsid w:val="005F60A4"/>
    <w:rsid w:val="005F60B4"/>
    <w:rsid w:val="005F60C1"/>
    <w:rsid w:val="005F611F"/>
    <w:rsid w:val="005F613C"/>
    <w:rsid w:val="005F6141"/>
    <w:rsid w:val="005F615B"/>
    <w:rsid w:val="005F61BE"/>
    <w:rsid w:val="005F61D4"/>
    <w:rsid w:val="005F61E0"/>
    <w:rsid w:val="005F61F3"/>
    <w:rsid w:val="005F620F"/>
    <w:rsid w:val="005F6256"/>
    <w:rsid w:val="005F625A"/>
    <w:rsid w:val="005F626D"/>
    <w:rsid w:val="005F62C7"/>
    <w:rsid w:val="005F62E3"/>
    <w:rsid w:val="005F62EA"/>
    <w:rsid w:val="005F62FB"/>
    <w:rsid w:val="005F6396"/>
    <w:rsid w:val="005F63C7"/>
    <w:rsid w:val="005F650E"/>
    <w:rsid w:val="005F652F"/>
    <w:rsid w:val="005F6561"/>
    <w:rsid w:val="005F65C4"/>
    <w:rsid w:val="005F65F0"/>
    <w:rsid w:val="005F6649"/>
    <w:rsid w:val="005F667E"/>
    <w:rsid w:val="005F668F"/>
    <w:rsid w:val="005F6760"/>
    <w:rsid w:val="005F67AF"/>
    <w:rsid w:val="005F68DE"/>
    <w:rsid w:val="005F694A"/>
    <w:rsid w:val="005F6957"/>
    <w:rsid w:val="005F6971"/>
    <w:rsid w:val="005F697A"/>
    <w:rsid w:val="005F69E4"/>
    <w:rsid w:val="005F6B75"/>
    <w:rsid w:val="005F6BA8"/>
    <w:rsid w:val="005F6C64"/>
    <w:rsid w:val="005F6CD4"/>
    <w:rsid w:val="005F6D3A"/>
    <w:rsid w:val="005F6D5A"/>
    <w:rsid w:val="005F6D8E"/>
    <w:rsid w:val="005F6DD9"/>
    <w:rsid w:val="005F6E2E"/>
    <w:rsid w:val="005F6EE4"/>
    <w:rsid w:val="005F6F87"/>
    <w:rsid w:val="005F7026"/>
    <w:rsid w:val="005F7146"/>
    <w:rsid w:val="005F71A7"/>
    <w:rsid w:val="005F71C0"/>
    <w:rsid w:val="005F71DD"/>
    <w:rsid w:val="005F71E4"/>
    <w:rsid w:val="005F7217"/>
    <w:rsid w:val="005F7346"/>
    <w:rsid w:val="005F739D"/>
    <w:rsid w:val="005F740C"/>
    <w:rsid w:val="005F74A2"/>
    <w:rsid w:val="005F74FE"/>
    <w:rsid w:val="005F753F"/>
    <w:rsid w:val="005F75D1"/>
    <w:rsid w:val="005F7634"/>
    <w:rsid w:val="005F7691"/>
    <w:rsid w:val="005F76C9"/>
    <w:rsid w:val="005F76CD"/>
    <w:rsid w:val="005F7743"/>
    <w:rsid w:val="005F77DF"/>
    <w:rsid w:val="005F77E9"/>
    <w:rsid w:val="005F7823"/>
    <w:rsid w:val="005F783B"/>
    <w:rsid w:val="005F784B"/>
    <w:rsid w:val="005F785F"/>
    <w:rsid w:val="005F78B3"/>
    <w:rsid w:val="005F78F6"/>
    <w:rsid w:val="005F7909"/>
    <w:rsid w:val="005F7AA8"/>
    <w:rsid w:val="005F7B30"/>
    <w:rsid w:val="005F7BEB"/>
    <w:rsid w:val="005F7C08"/>
    <w:rsid w:val="005F7C5C"/>
    <w:rsid w:val="005F7CAC"/>
    <w:rsid w:val="005F7CC0"/>
    <w:rsid w:val="005F7CD9"/>
    <w:rsid w:val="005F7CE4"/>
    <w:rsid w:val="005F7DD5"/>
    <w:rsid w:val="005F7DED"/>
    <w:rsid w:val="005F7E34"/>
    <w:rsid w:val="005F7E4D"/>
    <w:rsid w:val="005F7E59"/>
    <w:rsid w:val="005F7E5B"/>
    <w:rsid w:val="005F7ED4"/>
    <w:rsid w:val="005F7EE2"/>
    <w:rsid w:val="005F7F56"/>
    <w:rsid w:val="00600030"/>
    <w:rsid w:val="006000C3"/>
    <w:rsid w:val="00600139"/>
    <w:rsid w:val="00600159"/>
    <w:rsid w:val="006002D3"/>
    <w:rsid w:val="006002FF"/>
    <w:rsid w:val="0060034E"/>
    <w:rsid w:val="0060054C"/>
    <w:rsid w:val="0060055A"/>
    <w:rsid w:val="006005B0"/>
    <w:rsid w:val="00600603"/>
    <w:rsid w:val="00600668"/>
    <w:rsid w:val="00600693"/>
    <w:rsid w:val="006006B3"/>
    <w:rsid w:val="006006E3"/>
    <w:rsid w:val="0060070D"/>
    <w:rsid w:val="00600722"/>
    <w:rsid w:val="0060073B"/>
    <w:rsid w:val="00600796"/>
    <w:rsid w:val="006007A5"/>
    <w:rsid w:val="00600829"/>
    <w:rsid w:val="006008DD"/>
    <w:rsid w:val="006008F4"/>
    <w:rsid w:val="00600958"/>
    <w:rsid w:val="00600978"/>
    <w:rsid w:val="00600A0E"/>
    <w:rsid w:val="00600A3D"/>
    <w:rsid w:val="00600A5A"/>
    <w:rsid w:val="00600A86"/>
    <w:rsid w:val="00600AC5"/>
    <w:rsid w:val="00600AF9"/>
    <w:rsid w:val="00600B45"/>
    <w:rsid w:val="00600BC3"/>
    <w:rsid w:val="00600C40"/>
    <w:rsid w:val="00600C83"/>
    <w:rsid w:val="00600D64"/>
    <w:rsid w:val="00600E1E"/>
    <w:rsid w:val="00600E24"/>
    <w:rsid w:val="00600E7A"/>
    <w:rsid w:val="00600F3B"/>
    <w:rsid w:val="00600F8E"/>
    <w:rsid w:val="00600FA1"/>
    <w:rsid w:val="00600FAC"/>
    <w:rsid w:val="00600FED"/>
    <w:rsid w:val="0060102D"/>
    <w:rsid w:val="00601065"/>
    <w:rsid w:val="00601122"/>
    <w:rsid w:val="006011F7"/>
    <w:rsid w:val="00601201"/>
    <w:rsid w:val="00601209"/>
    <w:rsid w:val="00601244"/>
    <w:rsid w:val="00601252"/>
    <w:rsid w:val="00601254"/>
    <w:rsid w:val="00601291"/>
    <w:rsid w:val="006012A0"/>
    <w:rsid w:val="006012D5"/>
    <w:rsid w:val="0060132A"/>
    <w:rsid w:val="00601363"/>
    <w:rsid w:val="006013A4"/>
    <w:rsid w:val="006013BE"/>
    <w:rsid w:val="00601406"/>
    <w:rsid w:val="00601440"/>
    <w:rsid w:val="00601494"/>
    <w:rsid w:val="006014A3"/>
    <w:rsid w:val="006015D5"/>
    <w:rsid w:val="006015FB"/>
    <w:rsid w:val="0060160E"/>
    <w:rsid w:val="00601686"/>
    <w:rsid w:val="00601714"/>
    <w:rsid w:val="00601723"/>
    <w:rsid w:val="00601777"/>
    <w:rsid w:val="00601789"/>
    <w:rsid w:val="006017BF"/>
    <w:rsid w:val="006017F3"/>
    <w:rsid w:val="0060181C"/>
    <w:rsid w:val="0060184E"/>
    <w:rsid w:val="0060187A"/>
    <w:rsid w:val="006018CD"/>
    <w:rsid w:val="006019B6"/>
    <w:rsid w:val="006019D5"/>
    <w:rsid w:val="00601A63"/>
    <w:rsid w:val="00601A71"/>
    <w:rsid w:val="00601B12"/>
    <w:rsid w:val="00601BF7"/>
    <w:rsid w:val="00601C0A"/>
    <w:rsid w:val="00601C21"/>
    <w:rsid w:val="00601C73"/>
    <w:rsid w:val="00601CA4"/>
    <w:rsid w:val="00601D65"/>
    <w:rsid w:val="00601E08"/>
    <w:rsid w:val="00601E66"/>
    <w:rsid w:val="00601E81"/>
    <w:rsid w:val="00601EC0"/>
    <w:rsid w:val="00601FA5"/>
    <w:rsid w:val="00602042"/>
    <w:rsid w:val="00602064"/>
    <w:rsid w:val="006020FA"/>
    <w:rsid w:val="00602141"/>
    <w:rsid w:val="00602148"/>
    <w:rsid w:val="00602191"/>
    <w:rsid w:val="006021C1"/>
    <w:rsid w:val="006021E7"/>
    <w:rsid w:val="0060226C"/>
    <w:rsid w:val="006022D2"/>
    <w:rsid w:val="00602336"/>
    <w:rsid w:val="0060238A"/>
    <w:rsid w:val="006023CA"/>
    <w:rsid w:val="006023CB"/>
    <w:rsid w:val="006023F3"/>
    <w:rsid w:val="0060245F"/>
    <w:rsid w:val="00602483"/>
    <w:rsid w:val="0060249B"/>
    <w:rsid w:val="006024A6"/>
    <w:rsid w:val="006024EF"/>
    <w:rsid w:val="00602522"/>
    <w:rsid w:val="0060253F"/>
    <w:rsid w:val="00602553"/>
    <w:rsid w:val="006025EF"/>
    <w:rsid w:val="006026B4"/>
    <w:rsid w:val="006027FB"/>
    <w:rsid w:val="00602842"/>
    <w:rsid w:val="0060286B"/>
    <w:rsid w:val="006029C2"/>
    <w:rsid w:val="006029E4"/>
    <w:rsid w:val="00602AB1"/>
    <w:rsid w:val="00602B5B"/>
    <w:rsid w:val="00602C27"/>
    <w:rsid w:val="00602C98"/>
    <w:rsid w:val="00602E0E"/>
    <w:rsid w:val="00602EEC"/>
    <w:rsid w:val="00602EFF"/>
    <w:rsid w:val="00602F3F"/>
    <w:rsid w:val="00602F43"/>
    <w:rsid w:val="00602F5A"/>
    <w:rsid w:val="00602F5D"/>
    <w:rsid w:val="00602F6F"/>
    <w:rsid w:val="00602FBF"/>
    <w:rsid w:val="00602FC1"/>
    <w:rsid w:val="00603004"/>
    <w:rsid w:val="00603073"/>
    <w:rsid w:val="006030AF"/>
    <w:rsid w:val="006031A2"/>
    <w:rsid w:val="006031C5"/>
    <w:rsid w:val="0060323C"/>
    <w:rsid w:val="0060331C"/>
    <w:rsid w:val="00603327"/>
    <w:rsid w:val="0060335D"/>
    <w:rsid w:val="0060339E"/>
    <w:rsid w:val="006033B5"/>
    <w:rsid w:val="00603449"/>
    <w:rsid w:val="0060346F"/>
    <w:rsid w:val="006034BF"/>
    <w:rsid w:val="006034F5"/>
    <w:rsid w:val="00603563"/>
    <w:rsid w:val="0060357A"/>
    <w:rsid w:val="006035D0"/>
    <w:rsid w:val="006035EC"/>
    <w:rsid w:val="00603655"/>
    <w:rsid w:val="00603684"/>
    <w:rsid w:val="0060368D"/>
    <w:rsid w:val="006036C8"/>
    <w:rsid w:val="006036CF"/>
    <w:rsid w:val="00603720"/>
    <w:rsid w:val="0060380B"/>
    <w:rsid w:val="006038C2"/>
    <w:rsid w:val="00603910"/>
    <w:rsid w:val="0060396C"/>
    <w:rsid w:val="0060399B"/>
    <w:rsid w:val="00603A10"/>
    <w:rsid w:val="00603B31"/>
    <w:rsid w:val="00603B67"/>
    <w:rsid w:val="00603B81"/>
    <w:rsid w:val="00603BC1"/>
    <w:rsid w:val="00603CE0"/>
    <w:rsid w:val="00603D39"/>
    <w:rsid w:val="00603D41"/>
    <w:rsid w:val="00603D4F"/>
    <w:rsid w:val="00603D5F"/>
    <w:rsid w:val="00603DC0"/>
    <w:rsid w:val="00603EEE"/>
    <w:rsid w:val="00603F79"/>
    <w:rsid w:val="00603F89"/>
    <w:rsid w:val="00603FC4"/>
    <w:rsid w:val="00603FD8"/>
    <w:rsid w:val="00603FDF"/>
    <w:rsid w:val="00604031"/>
    <w:rsid w:val="00604085"/>
    <w:rsid w:val="006040A7"/>
    <w:rsid w:val="006040D0"/>
    <w:rsid w:val="00604139"/>
    <w:rsid w:val="00604145"/>
    <w:rsid w:val="006041CF"/>
    <w:rsid w:val="006042FC"/>
    <w:rsid w:val="0060430F"/>
    <w:rsid w:val="0060433A"/>
    <w:rsid w:val="00604460"/>
    <w:rsid w:val="0060454F"/>
    <w:rsid w:val="006045C6"/>
    <w:rsid w:val="006045E6"/>
    <w:rsid w:val="00604644"/>
    <w:rsid w:val="00604782"/>
    <w:rsid w:val="0060482D"/>
    <w:rsid w:val="0060486D"/>
    <w:rsid w:val="00604875"/>
    <w:rsid w:val="006048D5"/>
    <w:rsid w:val="006048E1"/>
    <w:rsid w:val="006049CF"/>
    <w:rsid w:val="00604A99"/>
    <w:rsid w:val="00604AA2"/>
    <w:rsid w:val="00604B13"/>
    <w:rsid w:val="00604B14"/>
    <w:rsid w:val="00604B31"/>
    <w:rsid w:val="00604B44"/>
    <w:rsid w:val="00604B89"/>
    <w:rsid w:val="00604BAB"/>
    <w:rsid w:val="00604BB1"/>
    <w:rsid w:val="00604CE6"/>
    <w:rsid w:val="00604DB8"/>
    <w:rsid w:val="00604E3F"/>
    <w:rsid w:val="00604E69"/>
    <w:rsid w:val="00604EC3"/>
    <w:rsid w:val="00604EFA"/>
    <w:rsid w:val="00604F3C"/>
    <w:rsid w:val="0060503A"/>
    <w:rsid w:val="006050B8"/>
    <w:rsid w:val="006050ED"/>
    <w:rsid w:val="00605132"/>
    <w:rsid w:val="0060514A"/>
    <w:rsid w:val="0060518B"/>
    <w:rsid w:val="006051DD"/>
    <w:rsid w:val="0060525E"/>
    <w:rsid w:val="00605260"/>
    <w:rsid w:val="00605291"/>
    <w:rsid w:val="006052BB"/>
    <w:rsid w:val="006052D1"/>
    <w:rsid w:val="0060530B"/>
    <w:rsid w:val="00605342"/>
    <w:rsid w:val="006053AB"/>
    <w:rsid w:val="006053C3"/>
    <w:rsid w:val="006053C8"/>
    <w:rsid w:val="0060543A"/>
    <w:rsid w:val="00605531"/>
    <w:rsid w:val="00605545"/>
    <w:rsid w:val="006055BD"/>
    <w:rsid w:val="006055D0"/>
    <w:rsid w:val="006055E9"/>
    <w:rsid w:val="0060560F"/>
    <w:rsid w:val="00605670"/>
    <w:rsid w:val="0060568D"/>
    <w:rsid w:val="0060569F"/>
    <w:rsid w:val="006056C2"/>
    <w:rsid w:val="006056C3"/>
    <w:rsid w:val="00605726"/>
    <w:rsid w:val="006057A0"/>
    <w:rsid w:val="0060580A"/>
    <w:rsid w:val="00605810"/>
    <w:rsid w:val="00605811"/>
    <w:rsid w:val="0060586B"/>
    <w:rsid w:val="006058D8"/>
    <w:rsid w:val="00605906"/>
    <w:rsid w:val="00605910"/>
    <w:rsid w:val="00605980"/>
    <w:rsid w:val="006059B2"/>
    <w:rsid w:val="00605A13"/>
    <w:rsid w:val="00605A15"/>
    <w:rsid w:val="00605A8B"/>
    <w:rsid w:val="00605B42"/>
    <w:rsid w:val="00605B79"/>
    <w:rsid w:val="00605BCE"/>
    <w:rsid w:val="00605C24"/>
    <w:rsid w:val="00605C9B"/>
    <w:rsid w:val="00605D3F"/>
    <w:rsid w:val="00605D4B"/>
    <w:rsid w:val="00605D67"/>
    <w:rsid w:val="00605D6D"/>
    <w:rsid w:val="00605D9F"/>
    <w:rsid w:val="00605E91"/>
    <w:rsid w:val="00605EAD"/>
    <w:rsid w:val="00605F1F"/>
    <w:rsid w:val="00605F42"/>
    <w:rsid w:val="00605F44"/>
    <w:rsid w:val="00605FA6"/>
    <w:rsid w:val="0060609F"/>
    <w:rsid w:val="006060E0"/>
    <w:rsid w:val="006060FA"/>
    <w:rsid w:val="00606135"/>
    <w:rsid w:val="00606153"/>
    <w:rsid w:val="00606209"/>
    <w:rsid w:val="0060621C"/>
    <w:rsid w:val="00606292"/>
    <w:rsid w:val="006062A4"/>
    <w:rsid w:val="006062D3"/>
    <w:rsid w:val="00606459"/>
    <w:rsid w:val="006064E0"/>
    <w:rsid w:val="0060662B"/>
    <w:rsid w:val="00606897"/>
    <w:rsid w:val="006068D0"/>
    <w:rsid w:val="006068F2"/>
    <w:rsid w:val="00606909"/>
    <w:rsid w:val="006069A1"/>
    <w:rsid w:val="006069FD"/>
    <w:rsid w:val="00606A3F"/>
    <w:rsid w:val="00606A91"/>
    <w:rsid w:val="00606AB2"/>
    <w:rsid w:val="00606AFE"/>
    <w:rsid w:val="00606B3C"/>
    <w:rsid w:val="00606B59"/>
    <w:rsid w:val="00606B97"/>
    <w:rsid w:val="00606BA1"/>
    <w:rsid w:val="00606BFD"/>
    <w:rsid w:val="00606C06"/>
    <w:rsid w:val="00606C2F"/>
    <w:rsid w:val="00606C3E"/>
    <w:rsid w:val="00606D6D"/>
    <w:rsid w:val="00606EA1"/>
    <w:rsid w:val="00606ED2"/>
    <w:rsid w:val="00606ED8"/>
    <w:rsid w:val="00606F26"/>
    <w:rsid w:val="00606FA9"/>
    <w:rsid w:val="00606FED"/>
    <w:rsid w:val="00607031"/>
    <w:rsid w:val="00607040"/>
    <w:rsid w:val="0060704B"/>
    <w:rsid w:val="0060707B"/>
    <w:rsid w:val="006070BF"/>
    <w:rsid w:val="00607105"/>
    <w:rsid w:val="006071B1"/>
    <w:rsid w:val="006071E4"/>
    <w:rsid w:val="00607272"/>
    <w:rsid w:val="006072BD"/>
    <w:rsid w:val="00607310"/>
    <w:rsid w:val="00607334"/>
    <w:rsid w:val="00607354"/>
    <w:rsid w:val="00607386"/>
    <w:rsid w:val="00607422"/>
    <w:rsid w:val="00607438"/>
    <w:rsid w:val="0060744B"/>
    <w:rsid w:val="00607507"/>
    <w:rsid w:val="00607516"/>
    <w:rsid w:val="00607572"/>
    <w:rsid w:val="006075CD"/>
    <w:rsid w:val="0060764A"/>
    <w:rsid w:val="00607698"/>
    <w:rsid w:val="006076A1"/>
    <w:rsid w:val="006076DB"/>
    <w:rsid w:val="006077F9"/>
    <w:rsid w:val="00607861"/>
    <w:rsid w:val="006078A4"/>
    <w:rsid w:val="006078CC"/>
    <w:rsid w:val="0060793E"/>
    <w:rsid w:val="0060796F"/>
    <w:rsid w:val="00607998"/>
    <w:rsid w:val="006079CA"/>
    <w:rsid w:val="006079EA"/>
    <w:rsid w:val="006079F3"/>
    <w:rsid w:val="006079FA"/>
    <w:rsid w:val="00607A21"/>
    <w:rsid w:val="00607A30"/>
    <w:rsid w:val="00607A41"/>
    <w:rsid w:val="00607A4E"/>
    <w:rsid w:val="00607A60"/>
    <w:rsid w:val="00607A7A"/>
    <w:rsid w:val="00607AB1"/>
    <w:rsid w:val="00607AE5"/>
    <w:rsid w:val="00607B3C"/>
    <w:rsid w:val="00607B3F"/>
    <w:rsid w:val="00607C77"/>
    <w:rsid w:val="00607C9F"/>
    <w:rsid w:val="00607CB5"/>
    <w:rsid w:val="00607D6B"/>
    <w:rsid w:val="00607DBA"/>
    <w:rsid w:val="00607DEE"/>
    <w:rsid w:val="00607E1F"/>
    <w:rsid w:val="00607EA8"/>
    <w:rsid w:val="00607EBA"/>
    <w:rsid w:val="00607F17"/>
    <w:rsid w:val="00607F32"/>
    <w:rsid w:val="00607FA8"/>
    <w:rsid w:val="00610055"/>
    <w:rsid w:val="00610068"/>
    <w:rsid w:val="006100A2"/>
    <w:rsid w:val="006100BF"/>
    <w:rsid w:val="0061010C"/>
    <w:rsid w:val="00610186"/>
    <w:rsid w:val="006101E5"/>
    <w:rsid w:val="006102DF"/>
    <w:rsid w:val="0061040E"/>
    <w:rsid w:val="00610470"/>
    <w:rsid w:val="0061048A"/>
    <w:rsid w:val="00610497"/>
    <w:rsid w:val="00610566"/>
    <w:rsid w:val="00610567"/>
    <w:rsid w:val="006105B9"/>
    <w:rsid w:val="006105FC"/>
    <w:rsid w:val="00610771"/>
    <w:rsid w:val="006107B8"/>
    <w:rsid w:val="006107F9"/>
    <w:rsid w:val="00610829"/>
    <w:rsid w:val="00610857"/>
    <w:rsid w:val="006108A1"/>
    <w:rsid w:val="006108A8"/>
    <w:rsid w:val="006108C4"/>
    <w:rsid w:val="0061094E"/>
    <w:rsid w:val="0061095B"/>
    <w:rsid w:val="00610994"/>
    <w:rsid w:val="006109DE"/>
    <w:rsid w:val="00610A00"/>
    <w:rsid w:val="00610A40"/>
    <w:rsid w:val="00610A5C"/>
    <w:rsid w:val="00610B30"/>
    <w:rsid w:val="00610BAA"/>
    <w:rsid w:val="00610CC0"/>
    <w:rsid w:val="00610D07"/>
    <w:rsid w:val="00610D30"/>
    <w:rsid w:val="00610D6D"/>
    <w:rsid w:val="00610DE4"/>
    <w:rsid w:val="00610E25"/>
    <w:rsid w:val="00610E39"/>
    <w:rsid w:val="00610E6B"/>
    <w:rsid w:val="00610EED"/>
    <w:rsid w:val="00610F0B"/>
    <w:rsid w:val="00610F3A"/>
    <w:rsid w:val="00610F5E"/>
    <w:rsid w:val="00610F6F"/>
    <w:rsid w:val="0061102A"/>
    <w:rsid w:val="00611049"/>
    <w:rsid w:val="00611084"/>
    <w:rsid w:val="006110A6"/>
    <w:rsid w:val="00611170"/>
    <w:rsid w:val="00611187"/>
    <w:rsid w:val="006111DE"/>
    <w:rsid w:val="006111F4"/>
    <w:rsid w:val="006111F9"/>
    <w:rsid w:val="00611202"/>
    <w:rsid w:val="006113B6"/>
    <w:rsid w:val="006113E7"/>
    <w:rsid w:val="006113FD"/>
    <w:rsid w:val="006115F5"/>
    <w:rsid w:val="00611647"/>
    <w:rsid w:val="00611664"/>
    <w:rsid w:val="00611700"/>
    <w:rsid w:val="00611756"/>
    <w:rsid w:val="00611838"/>
    <w:rsid w:val="006118A9"/>
    <w:rsid w:val="006118AF"/>
    <w:rsid w:val="00611919"/>
    <w:rsid w:val="0061192A"/>
    <w:rsid w:val="00611987"/>
    <w:rsid w:val="0061198E"/>
    <w:rsid w:val="006119E3"/>
    <w:rsid w:val="00611AA9"/>
    <w:rsid w:val="00611AFF"/>
    <w:rsid w:val="00611BE1"/>
    <w:rsid w:val="00611C70"/>
    <w:rsid w:val="00611D33"/>
    <w:rsid w:val="00611E02"/>
    <w:rsid w:val="00611E85"/>
    <w:rsid w:val="00611E8A"/>
    <w:rsid w:val="00611FA2"/>
    <w:rsid w:val="00611FB1"/>
    <w:rsid w:val="00612004"/>
    <w:rsid w:val="00612028"/>
    <w:rsid w:val="00612040"/>
    <w:rsid w:val="00612053"/>
    <w:rsid w:val="00612069"/>
    <w:rsid w:val="006120FB"/>
    <w:rsid w:val="00612219"/>
    <w:rsid w:val="0061221D"/>
    <w:rsid w:val="00612262"/>
    <w:rsid w:val="00612399"/>
    <w:rsid w:val="006123F1"/>
    <w:rsid w:val="0061241C"/>
    <w:rsid w:val="00612519"/>
    <w:rsid w:val="00612549"/>
    <w:rsid w:val="006125AF"/>
    <w:rsid w:val="006125BB"/>
    <w:rsid w:val="006125BE"/>
    <w:rsid w:val="006126F9"/>
    <w:rsid w:val="0061270F"/>
    <w:rsid w:val="006127C7"/>
    <w:rsid w:val="00612842"/>
    <w:rsid w:val="00612856"/>
    <w:rsid w:val="00612884"/>
    <w:rsid w:val="00612903"/>
    <w:rsid w:val="00612912"/>
    <w:rsid w:val="00612972"/>
    <w:rsid w:val="00612A7E"/>
    <w:rsid w:val="00612B00"/>
    <w:rsid w:val="00612B68"/>
    <w:rsid w:val="00612C30"/>
    <w:rsid w:val="00612C66"/>
    <w:rsid w:val="00612CA7"/>
    <w:rsid w:val="00612CD1"/>
    <w:rsid w:val="00612DF5"/>
    <w:rsid w:val="00612EA8"/>
    <w:rsid w:val="00612F13"/>
    <w:rsid w:val="00612F72"/>
    <w:rsid w:val="0061301F"/>
    <w:rsid w:val="00613077"/>
    <w:rsid w:val="006130A3"/>
    <w:rsid w:val="006130D8"/>
    <w:rsid w:val="006130E7"/>
    <w:rsid w:val="0061311C"/>
    <w:rsid w:val="00613181"/>
    <w:rsid w:val="006131F3"/>
    <w:rsid w:val="00613235"/>
    <w:rsid w:val="006132AB"/>
    <w:rsid w:val="006132C3"/>
    <w:rsid w:val="006132DD"/>
    <w:rsid w:val="00613303"/>
    <w:rsid w:val="00613344"/>
    <w:rsid w:val="0061338F"/>
    <w:rsid w:val="006133A0"/>
    <w:rsid w:val="006133A6"/>
    <w:rsid w:val="0061345E"/>
    <w:rsid w:val="006134F7"/>
    <w:rsid w:val="006134FB"/>
    <w:rsid w:val="00613574"/>
    <w:rsid w:val="006135EE"/>
    <w:rsid w:val="006136DE"/>
    <w:rsid w:val="006137AC"/>
    <w:rsid w:val="006137EA"/>
    <w:rsid w:val="0061385C"/>
    <w:rsid w:val="00613873"/>
    <w:rsid w:val="00613906"/>
    <w:rsid w:val="00613938"/>
    <w:rsid w:val="006139DC"/>
    <w:rsid w:val="00613A53"/>
    <w:rsid w:val="00613A6B"/>
    <w:rsid w:val="00613ABB"/>
    <w:rsid w:val="00613ABD"/>
    <w:rsid w:val="00613AC0"/>
    <w:rsid w:val="00613AE3"/>
    <w:rsid w:val="00613B12"/>
    <w:rsid w:val="00613B25"/>
    <w:rsid w:val="00613BBC"/>
    <w:rsid w:val="00613BCD"/>
    <w:rsid w:val="00613BCF"/>
    <w:rsid w:val="00613C02"/>
    <w:rsid w:val="00613C66"/>
    <w:rsid w:val="00613C98"/>
    <w:rsid w:val="00613D1F"/>
    <w:rsid w:val="00613DB5"/>
    <w:rsid w:val="00613E86"/>
    <w:rsid w:val="00613ED0"/>
    <w:rsid w:val="00613F03"/>
    <w:rsid w:val="00613F29"/>
    <w:rsid w:val="00613F63"/>
    <w:rsid w:val="00613FB4"/>
    <w:rsid w:val="00614055"/>
    <w:rsid w:val="00614064"/>
    <w:rsid w:val="00614071"/>
    <w:rsid w:val="006140CB"/>
    <w:rsid w:val="00614138"/>
    <w:rsid w:val="0061416B"/>
    <w:rsid w:val="00614228"/>
    <w:rsid w:val="00614266"/>
    <w:rsid w:val="0061426E"/>
    <w:rsid w:val="00614278"/>
    <w:rsid w:val="0061427A"/>
    <w:rsid w:val="006142C0"/>
    <w:rsid w:val="006143E2"/>
    <w:rsid w:val="006144A5"/>
    <w:rsid w:val="0061450D"/>
    <w:rsid w:val="00614515"/>
    <w:rsid w:val="006145A3"/>
    <w:rsid w:val="0061469F"/>
    <w:rsid w:val="006146D1"/>
    <w:rsid w:val="006146FA"/>
    <w:rsid w:val="00614747"/>
    <w:rsid w:val="00614761"/>
    <w:rsid w:val="00614787"/>
    <w:rsid w:val="0061479B"/>
    <w:rsid w:val="006148E5"/>
    <w:rsid w:val="006148F6"/>
    <w:rsid w:val="00614921"/>
    <w:rsid w:val="006149AD"/>
    <w:rsid w:val="00614A3D"/>
    <w:rsid w:val="00614A82"/>
    <w:rsid w:val="00614AAB"/>
    <w:rsid w:val="00614B29"/>
    <w:rsid w:val="00614B38"/>
    <w:rsid w:val="00614B51"/>
    <w:rsid w:val="00614B59"/>
    <w:rsid w:val="00614B80"/>
    <w:rsid w:val="00614B83"/>
    <w:rsid w:val="00614BE5"/>
    <w:rsid w:val="00614BF3"/>
    <w:rsid w:val="00614C6C"/>
    <w:rsid w:val="00614CB5"/>
    <w:rsid w:val="00614CD0"/>
    <w:rsid w:val="00614CE7"/>
    <w:rsid w:val="00614D73"/>
    <w:rsid w:val="00614DCA"/>
    <w:rsid w:val="00614DCC"/>
    <w:rsid w:val="00614E5E"/>
    <w:rsid w:val="00614E81"/>
    <w:rsid w:val="00614EA4"/>
    <w:rsid w:val="00614EF2"/>
    <w:rsid w:val="0061502C"/>
    <w:rsid w:val="00615038"/>
    <w:rsid w:val="00615080"/>
    <w:rsid w:val="006150E4"/>
    <w:rsid w:val="006150FD"/>
    <w:rsid w:val="0061519D"/>
    <w:rsid w:val="006151AA"/>
    <w:rsid w:val="006151BA"/>
    <w:rsid w:val="00615206"/>
    <w:rsid w:val="00615282"/>
    <w:rsid w:val="00615343"/>
    <w:rsid w:val="0061534C"/>
    <w:rsid w:val="0061535B"/>
    <w:rsid w:val="00615370"/>
    <w:rsid w:val="00615394"/>
    <w:rsid w:val="00615468"/>
    <w:rsid w:val="006154A0"/>
    <w:rsid w:val="006154DF"/>
    <w:rsid w:val="006154E7"/>
    <w:rsid w:val="006154EC"/>
    <w:rsid w:val="00615529"/>
    <w:rsid w:val="00615617"/>
    <w:rsid w:val="00615632"/>
    <w:rsid w:val="00615676"/>
    <w:rsid w:val="006156DC"/>
    <w:rsid w:val="00615710"/>
    <w:rsid w:val="00615711"/>
    <w:rsid w:val="00615733"/>
    <w:rsid w:val="00615744"/>
    <w:rsid w:val="00615763"/>
    <w:rsid w:val="00615829"/>
    <w:rsid w:val="006158FA"/>
    <w:rsid w:val="00615921"/>
    <w:rsid w:val="00615954"/>
    <w:rsid w:val="006159A8"/>
    <w:rsid w:val="00615ACB"/>
    <w:rsid w:val="00615AE3"/>
    <w:rsid w:val="00615B01"/>
    <w:rsid w:val="00615BBA"/>
    <w:rsid w:val="00615C28"/>
    <w:rsid w:val="00615C77"/>
    <w:rsid w:val="00615CD0"/>
    <w:rsid w:val="00615CE2"/>
    <w:rsid w:val="00615D40"/>
    <w:rsid w:val="00615E2A"/>
    <w:rsid w:val="00615E48"/>
    <w:rsid w:val="00615F67"/>
    <w:rsid w:val="00616003"/>
    <w:rsid w:val="00616020"/>
    <w:rsid w:val="00616039"/>
    <w:rsid w:val="00616049"/>
    <w:rsid w:val="0061604E"/>
    <w:rsid w:val="00616078"/>
    <w:rsid w:val="0061609D"/>
    <w:rsid w:val="00616192"/>
    <w:rsid w:val="0061619E"/>
    <w:rsid w:val="00616243"/>
    <w:rsid w:val="006162BB"/>
    <w:rsid w:val="0061630D"/>
    <w:rsid w:val="00616380"/>
    <w:rsid w:val="0061638D"/>
    <w:rsid w:val="0061640A"/>
    <w:rsid w:val="00616441"/>
    <w:rsid w:val="006164E9"/>
    <w:rsid w:val="006164FE"/>
    <w:rsid w:val="00616591"/>
    <w:rsid w:val="00616594"/>
    <w:rsid w:val="00616630"/>
    <w:rsid w:val="006166AB"/>
    <w:rsid w:val="0061670F"/>
    <w:rsid w:val="00616717"/>
    <w:rsid w:val="00616912"/>
    <w:rsid w:val="00616A1A"/>
    <w:rsid w:val="00616A1B"/>
    <w:rsid w:val="00616A1E"/>
    <w:rsid w:val="00616A71"/>
    <w:rsid w:val="00616AC2"/>
    <w:rsid w:val="00616ACC"/>
    <w:rsid w:val="00616B10"/>
    <w:rsid w:val="00616B25"/>
    <w:rsid w:val="00616CA4"/>
    <w:rsid w:val="00616D79"/>
    <w:rsid w:val="00616E48"/>
    <w:rsid w:val="00616F3F"/>
    <w:rsid w:val="00616F95"/>
    <w:rsid w:val="00616FD1"/>
    <w:rsid w:val="00616FF4"/>
    <w:rsid w:val="00617048"/>
    <w:rsid w:val="00617069"/>
    <w:rsid w:val="006170EA"/>
    <w:rsid w:val="006170FF"/>
    <w:rsid w:val="00617116"/>
    <w:rsid w:val="0061714E"/>
    <w:rsid w:val="00617198"/>
    <w:rsid w:val="0061721F"/>
    <w:rsid w:val="0061728A"/>
    <w:rsid w:val="00617299"/>
    <w:rsid w:val="006172EC"/>
    <w:rsid w:val="00617324"/>
    <w:rsid w:val="00617345"/>
    <w:rsid w:val="006173B0"/>
    <w:rsid w:val="00617410"/>
    <w:rsid w:val="00617414"/>
    <w:rsid w:val="00617425"/>
    <w:rsid w:val="00617465"/>
    <w:rsid w:val="006174E5"/>
    <w:rsid w:val="006175C6"/>
    <w:rsid w:val="006175EF"/>
    <w:rsid w:val="006175F6"/>
    <w:rsid w:val="006176C0"/>
    <w:rsid w:val="006176CF"/>
    <w:rsid w:val="006177AD"/>
    <w:rsid w:val="00617804"/>
    <w:rsid w:val="0061780F"/>
    <w:rsid w:val="0061781E"/>
    <w:rsid w:val="0061785A"/>
    <w:rsid w:val="0061788B"/>
    <w:rsid w:val="006178FB"/>
    <w:rsid w:val="00617906"/>
    <w:rsid w:val="00617BFA"/>
    <w:rsid w:val="00617C45"/>
    <w:rsid w:val="00617C78"/>
    <w:rsid w:val="00617C79"/>
    <w:rsid w:val="00617C93"/>
    <w:rsid w:val="00617CB5"/>
    <w:rsid w:val="00617CC4"/>
    <w:rsid w:val="00617CD0"/>
    <w:rsid w:val="00617CDD"/>
    <w:rsid w:val="00617F0A"/>
    <w:rsid w:val="00617F79"/>
    <w:rsid w:val="006200BA"/>
    <w:rsid w:val="006200CF"/>
    <w:rsid w:val="006201E5"/>
    <w:rsid w:val="00620202"/>
    <w:rsid w:val="006202B8"/>
    <w:rsid w:val="006202DA"/>
    <w:rsid w:val="006202DD"/>
    <w:rsid w:val="006202EC"/>
    <w:rsid w:val="006202ED"/>
    <w:rsid w:val="006202F1"/>
    <w:rsid w:val="006204B7"/>
    <w:rsid w:val="0062050D"/>
    <w:rsid w:val="00620525"/>
    <w:rsid w:val="00620539"/>
    <w:rsid w:val="00620546"/>
    <w:rsid w:val="006205FC"/>
    <w:rsid w:val="0062064D"/>
    <w:rsid w:val="00620658"/>
    <w:rsid w:val="0062065A"/>
    <w:rsid w:val="0062067A"/>
    <w:rsid w:val="006206B0"/>
    <w:rsid w:val="006206E0"/>
    <w:rsid w:val="006206F7"/>
    <w:rsid w:val="006207B8"/>
    <w:rsid w:val="006207E3"/>
    <w:rsid w:val="006207F3"/>
    <w:rsid w:val="00620805"/>
    <w:rsid w:val="0062080F"/>
    <w:rsid w:val="00620895"/>
    <w:rsid w:val="00620909"/>
    <w:rsid w:val="00620982"/>
    <w:rsid w:val="00620AC3"/>
    <w:rsid w:val="00620AF5"/>
    <w:rsid w:val="00620B94"/>
    <w:rsid w:val="00620BE9"/>
    <w:rsid w:val="00620C46"/>
    <w:rsid w:val="00620C82"/>
    <w:rsid w:val="00620CF7"/>
    <w:rsid w:val="00620D84"/>
    <w:rsid w:val="00620DA6"/>
    <w:rsid w:val="00620DD2"/>
    <w:rsid w:val="00620E31"/>
    <w:rsid w:val="00620E4B"/>
    <w:rsid w:val="00620EA3"/>
    <w:rsid w:val="00620F72"/>
    <w:rsid w:val="00620F7A"/>
    <w:rsid w:val="00621016"/>
    <w:rsid w:val="00621039"/>
    <w:rsid w:val="00621050"/>
    <w:rsid w:val="00621150"/>
    <w:rsid w:val="00621189"/>
    <w:rsid w:val="006211C3"/>
    <w:rsid w:val="00621216"/>
    <w:rsid w:val="006212BE"/>
    <w:rsid w:val="0062131C"/>
    <w:rsid w:val="00621334"/>
    <w:rsid w:val="006213E6"/>
    <w:rsid w:val="0062141B"/>
    <w:rsid w:val="00621443"/>
    <w:rsid w:val="00621460"/>
    <w:rsid w:val="0062148A"/>
    <w:rsid w:val="006214E7"/>
    <w:rsid w:val="006215AF"/>
    <w:rsid w:val="006215D1"/>
    <w:rsid w:val="0062160C"/>
    <w:rsid w:val="006216ED"/>
    <w:rsid w:val="00621721"/>
    <w:rsid w:val="00621777"/>
    <w:rsid w:val="006217AD"/>
    <w:rsid w:val="00621923"/>
    <w:rsid w:val="0062195D"/>
    <w:rsid w:val="00621A34"/>
    <w:rsid w:val="00621AC2"/>
    <w:rsid w:val="00621B49"/>
    <w:rsid w:val="00621BA2"/>
    <w:rsid w:val="00621BAF"/>
    <w:rsid w:val="00621C66"/>
    <w:rsid w:val="00621C90"/>
    <w:rsid w:val="00621D7F"/>
    <w:rsid w:val="00621E03"/>
    <w:rsid w:val="00621E0E"/>
    <w:rsid w:val="00621E7B"/>
    <w:rsid w:val="00621EB8"/>
    <w:rsid w:val="006220A9"/>
    <w:rsid w:val="006220AD"/>
    <w:rsid w:val="00622115"/>
    <w:rsid w:val="00622130"/>
    <w:rsid w:val="0062216D"/>
    <w:rsid w:val="00622179"/>
    <w:rsid w:val="006221DA"/>
    <w:rsid w:val="0062222C"/>
    <w:rsid w:val="00622239"/>
    <w:rsid w:val="006222D2"/>
    <w:rsid w:val="00622350"/>
    <w:rsid w:val="006223AD"/>
    <w:rsid w:val="006223C0"/>
    <w:rsid w:val="00622476"/>
    <w:rsid w:val="00622489"/>
    <w:rsid w:val="006224C7"/>
    <w:rsid w:val="00622551"/>
    <w:rsid w:val="006225E3"/>
    <w:rsid w:val="0062266E"/>
    <w:rsid w:val="006226E1"/>
    <w:rsid w:val="00622764"/>
    <w:rsid w:val="006227B7"/>
    <w:rsid w:val="006227F7"/>
    <w:rsid w:val="0062289D"/>
    <w:rsid w:val="0062291F"/>
    <w:rsid w:val="0062296A"/>
    <w:rsid w:val="00622991"/>
    <w:rsid w:val="00622A85"/>
    <w:rsid w:val="00622ABB"/>
    <w:rsid w:val="00622AE0"/>
    <w:rsid w:val="00622BB2"/>
    <w:rsid w:val="00622C0F"/>
    <w:rsid w:val="00622C2B"/>
    <w:rsid w:val="00622D55"/>
    <w:rsid w:val="00622D94"/>
    <w:rsid w:val="00622DE8"/>
    <w:rsid w:val="00622EE7"/>
    <w:rsid w:val="00622F72"/>
    <w:rsid w:val="00622FA2"/>
    <w:rsid w:val="00622FB4"/>
    <w:rsid w:val="00622FB7"/>
    <w:rsid w:val="006232D3"/>
    <w:rsid w:val="00623378"/>
    <w:rsid w:val="0062339C"/>
    <w:rsid w:val="006233AF"/>
    <w:rsid w:val="006234B8"/>
    <w:rsid w:val="006234B9"/>
    <w:rsid w:val="00623505"/>
    <w:rsid w:val="00623519"/>
    <w:rsid w:val="00623535"/>
    <w:rsid w:val="00623594"/>
    <w:rsid w:val="0062359E"/>
    <w:rsid w:val="00623670"/>
    <w:rsid w:val="006236A6"/>
    <w:rsid w:val="006236E2"/>
    <w:rsid w:val="006236F9"/>
    <w:rsid w:val="00623704"/>
    <w:rsid w:val="0062374E"/>
    <w:rsid w:val="006237A9"/>
    <w:rsid w:val="0062380F"/>
    <w:rsid w:val="0062384B"/>
    <w:rsid w:val="0062388B"/>
    <w:rsid w:val="006238DA"/>
    <w:rsid w:val="00623AD2"/>
    <w:rsid w:val="00623C69"/>
    <w:rsid w:val="00623D61"/>
    <w:rsid w:val="00623D69"/>
    <w:rsid w:val="00623ECB"/>
    <w:rsid w:val="00623F8D"/>
    <w:rsid w:val="0062406C"/>
    <w:rsid w:val="00624076"/>
    <w:rsid w:val="006240A3"/>
    <w:rsid w:val="006240B1"/>
    <w:rsid w:val="006240D8"/>
    <w:rsid w:val="00624106"/>
    <w:rsid w:val="006242A2"/>
    <w:rsid w:val="006242F2"/>
    <w:rsid w:val="0062437F"/>
    <w:rsid w:val="0062443E"/>
    <w:rsid w:val="006244B7"/>
    <w:rsid w:val="0062451D"/>
    <w:rsid w:val="00624564"/>
    <w:rsid w:val="00624566"/>
    <w:rsid w:val="00624567"/>
    <w:rsid w:val="00624575"/>
    <w:rsid w:val="0062468B"/>
    <w:rsid w:val="006246AF"/>
    <w:rsid w:val="00624760"/>
    <w:rsid w:val="00624799"/>
    <w:rsid w:val="00624847"/>
    <w:rsid w:val="0062485A"/>
    <w:rsid w:val="0062488E"/>
    <w:rsid w:val="0062492F"/>
    <w:rsid w:val="00624933"/>
    <w:rsid w:val="0062498A"/>
    <w:rsid w:val="0062499D"/>
    <w:rsid w:val="006249F9"/>
    <w:rsid w:val="00624A94"/>
    <w:rsid w:val="00624ACB"/>
    <w:rsid w:val="00624CE0"/>
    <w:rsid w:val="00624D08"/>
    <w:rsid w:val="00624E45"/>
    <w:rsid w:val="00624EE5"/>
    <w:rsid w:val="00624F0D"/>
    <w:rsid w:val="00624FBF"/>
    <w:rsid w:val="0062504F"/>
    <w:rsid w:val="0062505E"/>
    <w:rsid w:val="006250FB"/>
    <w:rsid w:val="00625157"/>
    <w:rsid w:val="00625179"/>
    <w:rsid w:val="006251D2"/>
    <w:rsid w:val="00625228"/>
    <w:rsid w:val="00625299"/>
    <w:rsid w:val="00625364"/>
    <w:rsid w:val="006253CE"/>
    <w:rsid w:val="0062541C"/>
    <w:rsid w:val="00625449"/>
    <w:rsid w:val="006254A9"/>
    <w:rsid w:val="00625526"/>
    <w:rsid w:val="00625585"/>
    <w:rsid w:val="00625598"/>
    <w:rsid w:val="0062565B"/>
    <w:rsid w:val="006256B8"/>
    <w:rsid w:val="00625736"/>
    <w:rsid w:val="00625781"/>
    <w:rsid w:val="006258F2"/>
    <w:rsid w:val="006258FF"/>
    <w:rsid w:val="0062593C"/>
    <w:rsid w:val="0062594A"/>
    <w:rsid w:val="00625963"/>
    <w:rsid w:val="006259C3"/>
    <w:rsid w:val="006259CB"/>
    <w:rsid w:val="00625A1C"/>
    <w:rsid w:val="00625A75"/>
    <w:rsid w:val="00625A9F"/>
    <w:rsid w:val="00625AA4"/>
    <w:rsid w:val="00625C9F"/>
    <w:rsid w:val="00625CDD"/>
    <w:rsid w:val="00625D38"/>
    <w:rsid w:val="00625D45"/>
    <w:rsid w:val="00625D9F"/>
    <w:rsid w:val="00625F63"/>
    <w:rsid w:val="00625F66"/>
    <w:rsid w:val="00625FD3"/>
    <w:rsid w:val="00626017"/>
    <w:rsid w:val="00626039"/>
    <w:rsid w:val="00626050"/>
    <w:rsid w:val="0062609A"/>
    <w:rsid w:val="00626102"/>
    <w:rsid w:val="00626105"/>
    <w:rsid w:val="006261DA"/>
    <w:rsid w:val="006262F6"/>
    <w:rsid w:val="00626381"/>
    <w:rsid w:val="00626397"/>
    <w:rsid w:val="006263C3"/>
    <w:rsid w:val="0062647B"/>
    <w:rsid w:val="006264D3"/>
    <w:rsid w:val="0062651B"/>
    <w:rsid w:val="00626574"/>
    <w:rsid w:val="00626719"/>
    <w:rsid w:val="0062675D"/>
    <w:rsid w:val="0062679B"/>
    <w:rsid w:val="00626844"/>
    <w:rsid w:val="006268E5"/>
    <w:rsid w:val="00626909"/>
    <w:rsid w:val="00626931"/>
    <w:rsid w:val="006269E5"/>
    <w:rsid w:val="00626A33"/>
    <w:rsid w:val="00626A73"/>
    <w:rsid w:val="00626AC9"/>
    <w:rsid w:val="00626B02"/>
    <w:rsid w:val="00626B4B"/>
    <w:rsid w:val="00626B63"/>
    <w:rsid w:val="00626B6D"/>
    <w:rsid w:val="00626BC9"/>
    <w:rsid w:val="00626BD3"/>
    <w:rsid w:val="00626C20"/>
    <w:rsid w:val="00626C93"/>
    <w:rsid w:val="00626D07"/>
    <w:rsid w:val="00626D21"/>
    <w:rsid w:val="00626DB6"/>
    <w:rsid w:val="00626DC9"/>
    <w:rsid w:val="00626DF7"/>
    <w:rsid w:val="00626E58"/>
    <w:rsid w:val="00626EC2"/>
    <w:rsid w:val="00626EC4"/>
    <w:rsid w:val="00626EF9"/>
    <w:rsid w:val="00626FF4"/>
    <w:rsid w:val="00626FF7"/>
    <w:rsid w:val="00627008"/>
    <w:rsid w:val="00627082"/>
    <w:rsid w:val="006270CB"/>
    <w:rsid w:val="00627155"/>
    <w:rsid w:val="00627181"/>
    <w:rsid w:val="006271B7"/>
    <w:rsid w:val="006272B5"/>
    <w:rsid w:val="006272E9"/>
    <w:rsid w:val="006273D2"/>
    <w:rsid w:val="006273FE"/>
    <w:rsid w:val="00627419"/>
    <w:rsid w:val="00627433"/>
    <w:rsid w:val="0062758A"/>
    <w:rsid w:val="006275BC"/>
    <w:rsid w:val="0062760F"/>
    <w:rsid w:val="0062762A"/>
    <w:rsid w:val="00627639"/>
    <w:rsid w:val="00627659"/>
    <w:rsid w:val="006276CA"/>
    <w:rsid w:val="006276D4"/>
    <w:rsid w:val="006276F4"/>
    <w:rsid w:val="00627725"/>
    <w:rsid w:val="00627815"/>
    <w:rsid w:val="0062784C"/>
    <w:rsid w:val="006278C3"/>
    <w:rsid w:val="006278F9"/>
    <w:rsid w:val="00627910"/>
    <w:rsid w:val="0062792A"/>
    <w:rsid w:val="0062797F"/>
    <w:rsid w:val="00627998"/>
    <w:rsid w:val="00627A32"/>
    <w:rsid w:val="00627ABB"/>
    <w:rsid w:val="00627AD0"/>
    <w:rsid w:val="00627B97"/>
    <w:rsid w:val="00627BB3"/>
    <w:rsid w:val="00627CB2"/>
    <w:rsid w:val="00627CCC"/>
    <w:rsid w:val="00627D1B"/>
    <w:rsid w:val="00627D2E"/>
    <w:rsid w:val="00627D89"/>
    <w:rsid w:val="00627EBC"/>
    <w:rsid w:val="00627EC6"/>
    <w:rsid w:val="00627F5A"/>
    <w:rsid w:val="00627FA2"/>
    <w:rsid w:val="00627FFD"/>
    <w:rsid w:val="00630032"/>
    <w:rsid w:val="00630066"/>
    <w:rsid w:val="0063009F"/>
    <w:rsid w:val="006300F6"/>
    <w:rsid w:val="00630156"/>
    <w:rsid w:val="0063019B"/>
    <w:rsid w:val="00630201"/>
    <w:rsid w:val="00630206"/>
    <w:rsid w:val="00630232"/>
    <w:rsid w:val="00630343"/>
    <w:rsid w:val="00630379"/>
    <w:rsid w:val="0063037B"/>
    <w:rsid w:val="0063042C"/>
    <w:rsid w:val="00630448"/>
    <w:rsid w:val="006304FE"/>
    <w:rsid w:val="00630527"/>
    <w:rsid w:val="0063059D"/>
    <w:rsid w:val="006305C4"/>
    <w:rsid w:val="006305DC"/>
    <w:rsid w:val="00630692"/>
    <w:rsid w:val="0063071B"/>
    <w:rsid w:val="006307AE"/>
    <w:rsid w:val="00630803"/>
    <w:rsid w:val="006308E2"/>
    <w:rsid w:val="006308E4"/>
    <w:rsid w:val="00630971"/>
    <w:rsid w:val="00630A0D"/>
    <w:rsid w:val="00630A20"/>
    <w:rsid w:val="00630A93"/>
    <w:rsid w:val="00630B3B"/>
    <w:rsid w:val="00630BBA"/>
    <w:rsid w:val="00630BE1"/>
    <w:rsid w:val="00630C53"/>
    <w:rsid w:val="00630C9E"/>
    <w:rsid w:val="00630D1D"/>
    <w:rsid w:val="00630D4D"/>
    <w:rsid w:val="00630D57"/>
    <w:rsid w:val="00630E32"/>
    <w:rsid w:val="00630FA4"/>
    <w:rsid w:val="00630FB5"/>
    <w:rsid w:val="00630FDC"/>
    <w:rsid w:val="00631015"/>
    <w:rsid w:val="00631026"/>
    <w:rsid w:val="006310BD"/>
    <w:rsid w:val="006310DD"/>
    <w:rsid w:val="00631112"/>
    <w:rsid w:val="00631190"/>
    <w:rsid w:val="00631273"/>
    <w:rsid w:val="00631356"/>
    <w:rsid w:val="0063138D"/>
    <w:rsid w:val="00631398"/>
    <w:rsid w:val="0063140C"/>
    <w:rsid w:val="00631455"/>
    <w:rsid w:val="00631479"/>
    <w:rsid w:val="006314CE"/>
    <w:rsid w:val="006314EA"/>
    <w:rsid w:val="0063152B"/>
    <w:rsid w:val="0063153C"/>
    <w:rsid w:val="006315C6"/>
    <w:rsid w:val="006315EB"/>
    <w:rsid w:val="00631606"/>
    <w:rsid w:val="00631613"/>
    <w:rsid w:val="0063169F"/>
    <w:rsid w:val="006316F1"/>
    <w:rsid w:val="0063173F"/>
    <w:rsid w:val="00631768"/>
    <w:rsid w:val="0063176C"/>
    <w:rsid w:val="0063178E"/>
    <w:rsid w:val="006317F6"/>
    <w:rsid w:val="0063186C"/>
    <w:rsid w:val="0063190B"/>
    <w:rsid w:val="0063192B"/>
    <w:rsid w:val="00631941"/>
    <w:rsid w:val="00631975"/>
    <w:rsid w:val="00631A26"/>
    <w:rsid w:val="00631A39"/>
    <w:rsid w:val="00631A53"/>
    <w:rsid w:val="00631A71"/>
    <w:rsid w:val="00631A97"/>
    <w:rsid w:val="00631AB7"/>
    <w:rsid w:val="00631AE1"/>
    <w:rsid w:val="00631B5B"/>
    <w:rsid w:val="00631BA6"/>
    <w:rsid w:val="00631BA9"/>
    <w:rsid w:val="00631BAA"/>
    <w:rsid w:val="00631BCD"/>
    <w:rsid w:val="00631C26"/>
    <w:rsid w:val="00631C41"/>
    <w:rsid w:val="00631C44"/>
    <w:rsid w:val="00631C4B"/>
    <w:rsid w:val="00631C5C"/>
    <w:rsid w:val="00631CDB"/>
    <w:rsid w:val="00631D69"/>
    <w:rsid w:val="00631E7A"/>
    <w:rsid w:val="00631EFB"/>
    <w:rsid w:val="00631F2D"/>
    <w:rsid w:val="00631F3E"/>
    <w:rsid w:val="00631F47"/>
    <w:rsid w:val="00631FAD"/>
    <w:rsid w:val="00631FEF"/>
    <w:rsid w:val="00632073"/>
    <w:rsid w:val="006320A0"/>
    <w:rsid w:val="00632107"/>
    <w:rsid w:val="0063217A"/>
    <w:rsid w:val="0063224A"/>
    <w:rsid w:val="00632259"/>
    <w:rsid w:val="006322E3"/>
    <w:rsid w:val="00632309"/>
    <w:rsid w:val="0063231B"/>
    <w:rsid w:val="0063232F"/>
    <w:rsid w:val="00632418"/>
    <w:rsid w:val="0063241B"/>
    <w:rsid w:val="0063245A"/>
    <w:rsid w:val="00632480"/>
    <w:rsid w:val="00632508"/>
    <w:rsid w:val="00632515"/>
    <w:rsid w:val="00632598"/>
    <w:rsid w:val="006325BA"/>
    <w:rsid w:val="006325D7"/>
    <w:rsid w:val="00632640"/>
    <w:rsid w:val="0063265F"/>
    <w:rsid w:val="00632670"/>
    <w:rsid w:val="0063267C"/>
    <w:rsid w:val="006326D8"/>
    <w:rsid w:val="0063272D"/>
    <w:rsid w:val="0063278D"/>
    <w:rsid w:val="006327EA"/>
    <w:rsid w:val="00632883"/>
    <w:rsid w:val="006328C0"/>
    <w:rsid w:val="00632910"/>
    <w:rsid w:val="00632927"/>
    <w:rsid w:val="00632A51"/>
    <w:rsid w:val="00632A62"/>
    <w:rsid w:val="00632ACC"/>
    <w:rsid w:val="00632AD2"/>
    <w:rsid w:val="00632AD8"/>
    <w:rsid w:val="00632AEB"/>
    <w:rsid w:val="00632C44"/>
    <w:rsid w:val="00632C68"/>
    <w:rsid w:val="00632C8D"/>
    <w:rsid w:val="00632CC1"/>
    <w:rsid w:val="00632CEE"/>
    <w:rsid w:val="00632D3C"/>
    <w:rsid w:val="00632D70"/>
    <w:rsid w:val="00632DB3"/>
    <w:rsid w:val="00632E5E"/>
    <w:rsid w:val="00632E72"/>
    <w:rsid w:val="00632FBD"/>
    <w:rsid w:val="00633036"/>
    <w:rsid w:val="00633052"/>
    <w:rsid w:val="00633095"/>
    <w:rsid w:val="0063309D"/>
    <w:rsid w:val="006330BC"/>
    <w:rsid w:val="00633186"/>
    <w:rsid w:val="006331B8"/>
    <w:rsid w:val="006331F7"/>
    <w:rsid w:val="00633232"/>
    <w:rsid w:val="00633243"/>
    <w:rsid w:val="0063328E"/>
    <w:rsid w:val="006332DC"/>
    <w:rsid w:val="00633311"/>
    <w:rsid w:val="006333AA"/>
    <w:rsid w:val="00633507"/>
    <w:rsid w:val="006335EB"/>
    <w:rsid w:val="006336FD"/>
    <w:rsid w:val="00633742"/>
    <w:rsid w:val="00633843"/>
    <w:rsid w:val="00633858"/>
    <w:rsid w:val="0063385B"/>
    <w:rsid w:val="00633872"/>
    <w:rsid w:val="00633885"/>
    <w:rsid w:val="0063390C"/>
    <w:rsid w:val="006339AF"/>
    <w:rsid w:val="006339CF"/>
    <w:rsid w:val="00633AC2"/>
    <w:rsid w:val="00633AC4"/>
    <w:rsid w:val="00633B1D"/>
    <w:rsid w:val="00633B94"/>
    <w:rsid w:val="00633BDC"/>
    <w:rsid w:val="00633C27"/>
    <w:rsid w:val="00633C2A"/>
    <w:rsid w:val="00633C67"/>
    <w:rsid w:val="00633CCC"/>
    <w:rsid w:val="00633D31"/>
    <w:rsid w:val="00633D6E"/>
    <w:rsid w:val="00633DA2"/>
    <w:rsid w:val="00633EE8"/>
    <w:rsid w:val="00633F49"/>
    <w:rsid w:val="00633F51"/>
    <w:rsid w:val="00633F67"/>
    <w:rsid w:val="00634026"/>
    <w:rsid w:val="0063407F"/>
    <w:rsid w:val="0063408F"/>
    <w:rsid w:val="00634099"/>
    <w:rsid w:val="0063412A"/>
    <w:rsid w:val="006341B2"/>
    <w:rsid w:val="006341CA"/>
    <w:rsid w:val="006341E9"/>
    <w:rsid w:val="00634278"/>
    <w:rsid w:val="0063432D"/>
    <w:rsid w:val="0063436B"/>
    <w:rsid w:val="00634402"/>
    <w:rsid w:val="00634426"/>
    <w:rsid w:val="00634442"/>
    <w:rsid w:val="0063446A"/>
    <w:rsid w:val="0063449E"/>
    <w:rsid w:val="00634506"/>
    <w:rsid w:val="0063465F"/>
    <w:rsid w:val="00634693"/>
    <w:rsid w:val="006346F0"/>
    <w:rsid w:val="00634709"/>
    <w:rsid w:val="006347F7"/>
    <w:rsid w:val="0063481A"/>
    <w:rsid w:val="00634884"/>
    <w:rsid w:val="006348A3"/>
    <w:rsid w:val="006348A9"/>
    <w:rsid w:val="00634963"/>
    <w:rsid w:val="00634992"/>
    <w:rsid w:val="006349DD"/>
    <w:rsid w:val="00634B3B"/>
    <w:rsid w:val="00634B67"/>
    <w:rsid w:val="00634BDF"/>
    <w:rsid w:val="00634C8F"/>
    <w:rsid w:val="00634CDE"/>
    <w:rsid w:val="00634CEC"/>
    <w:rsid w:val="00634D44"/>
    <w:rsid w:val="00634D7C"/>
    <w:rsid w:val="00634DF5"/>
    <w:rsid w:val="00634E21"/>
    <w:rsid w:val="00634E4D"/>
    <w:rsid w:val="00634E50"/>
    <w:rsid w:val="00634E51"/>
    <w:rsid w:val="00634F22"/>
    <w:rsid w:val="00634F63"/>
    <w:rsid w:val="00634F9F"/>
    <w:rsid w:val="00634FB5"/>
    <w:rsid w:val="0063505F"/>
    <w:rsid w:val="00635117"/>
    <w:rsid w:val="00635151"/>
    <w:rsid w:val="00635224"/>
    <w:rsid w:val="00635308"/>
    <w:rsid w:val="00635331"/>
    <w:rsid w:val="0063536E"/>
    <w:rsid w:val="006353AE"/>
    <w:rsid w:val="006353DF"/>
    <w:rsid w:val="006353EA"/>
    <w:rsid w:val="00635441"/>
    <w:rsid w:val="00635494"/>
    <w:rsid w:val="006354AE"/>
    <w:rsid w:val="00635542"/>
    <w:rsid w:val="00635561"/>
    <w:rsid w:val="006355A2"/>
    <w:rsid w:val="0063568D"/>
    <w:rsid w:val="0063576B"/>
    <w:rsid w:val="0063578D"/>
    <w:rsid w:val="006357C9"/>
    <w:rsid w:val="00635920"/>
    <w:rsid w:val="00635926"/>
    <w:rsid w:val="006359F7"/>
    <w:rsid w:val="00635A1D"/>
    <w:rsid w:val="00635A37"/>
    <w:rsid w:val="00635A67"/>
    <w:rsid w:val="00635A6B"/>
    <w:rsid w:val="00635A9D"/>
    <w:rsid w:val="00635B2C"/>
    <w:rsid w:val="00635B48"/>
    <w:rsid w:val="00635BA5"/>
    <w:rsid w:val="00635C9D"/>
    <w:rsid w:val="00635CA0"/>
    <w:rsid w:val="00635D01"/>
    <w:rsid w:val="00635D4C"/>
    <w:rsid w:val="00635D88"/>
    <w:rsid w:val="00635DB1"/>
    <w:rsid w:val="00635DF1"/>
    <w:rsid w:val="00635E52"/>
    <w:rsid w:val="00635E9E"/>
    <w:rsid w:val="00635F40"/>
    <w:rsid w:val="00636016"/>
    <w:rsid w:val="0063603E"/>
    <w:rsid w:val="0063604A"/>
    <w:rsid w:val="006360DD"/>
    <w:rsid w:val="0063620C"/>
    <w:rsid w:val="00636264"/>
    <w:rsid w:val="00636266"/>
    <w:rsid w:val="006362C2"/>
    <w:rsid w:val="006362F6"/>
    <w:rsid w:val="00636379"/>
    <w:rsid w:val="0063638D"/>
    <w:rsid w:val="0063640F"/>
    <w:rsid w:val="0063643C"/>
    <w:rsid w:val="006364A3"/>
    <w:rsid w:val="0063651E"/>
    <w:rsid w:val="00636528"/>
    <w:rsid w:val="0063654E"/>
    <w:rsid w:val="0063659E"/>
    <w:rsid w:val="006365ED"/>
    <w:rsid w:val="00636649"/>
    <w:rsid w:val="006366EE"/>
    <w:rsid w:val="00636718"/>
    <w:rsid w:val="00636723"/>
    <w:rsid w:val="006367E6"/>
    <w:rsid w:val="00636865"/>
    <w:rsid w:val="006368AA"/>
    <w:rsid w:val="006368B8"/>
    <w:rsid w:val="006368BF"/>
    <w:rsid w:val="006368D9"/>
    <w:rsid w:val="006368E1"/>
    <w:rsid w:val="006369CF"/>
    <w:rsid w:val="00636A1D"/>
    <w:rsid w:val="00636A53"/>
    <w:rsid w:val="00636AA3"/>
    <w:rsid w:val="00636ABA"/>
    <w:rsid w:val="00636B19"/>
    <w:rsid w:val="00636BA7"/>
    <w:rsid w:val="00636BF6"/>
    <w:rsid w:val="00636C21"/>
    <w:rsid w:val="00636C45"/>
    <w:rsid w:val="00636D02"/>
    <w:rsid w:val="00636D15"/>
    <w:rsid w:val="00636D52"/>
    <w:rsid w:val="00636DA8"/>
    <w:rsid w:val="00636DD4"/>
    <w:rsid w:val="00636E7A"/>
    <w:rsid w:val="00636E7E"/>
    <w:rsid w:val="00636E89"/>
    <w:rsid w:val="00636F4A"/>
    <w:rsid w:val="00636F7C"/>
    <w:rsid w:val="00636F86"/>
    <w:rsid w:val="0063700E"/>
    <w:rsid w:val="00637025"/>
    <w:rsid w:val="0063706D"/>
    <w:rsid w:val="0063709B"/>
    <w:rsid w:val="0063715E"/>
    <w:rsid w:val="00637199"/>
    <w:rsid w:val="006372C4"/>
    <w:rsid w:val="006372CF"/>
    <w:rsid w:val="00637338"/>
    <w:rsid w:val="006373C0"/>
    <w:rsid w:val="00637402"/>
    <w:rsid w:val="00637407"/>
    <w:rsid w:val="00637428"/>
    <w:rsid w:val="00637461"/>
    <w:rsid w:val="00637492"/>
    <w:rsid w:val="0063749A"/>
    <w:rsid w:val="0063749E"/>
    <w:rsid w:val="006374E8"/>
    <w:rsid w:val="006374F0"/>
    <w:rsid w:val="0063751B"/>
    <w:rsid w:val="00637621"/>
    <w:rsid w:val="006376EB"/>
    <w:rsid w:val="006376FF"/>
    <w:rsid w:val="00637716"/>
    <w:rsid w:val="00637843"/>
    <w:rsid w:val="0063789C"/>
    <w:rsid w:val="0063793B"/>
    <w:rsid w:val="00637992"/>
    <w:rsid w:val="006379C9"/>
    <w:rsid w:val="00637A31"/>
    <w:rsid w:val="00637A43"/>
    <w:rsid w:val="00637AB4"/>
    <w:rsid w:val="00637AFF"/>
    <w:rsid w:val="00637B3F"/>
    <w:rsid w:val="00637B52"/>
    <w:rsid w:val="00637BB6"/>
    <w:rsid w:val="00637BCC"/>
    <w:rsid w:val="00637BE1"/>
    <w:rsid w:val="00637C5D"/>
    <w:rsid w:val="00637C63"/>
    <w:rsid w:val="00637C6F"/>
    <w:rsid w:val="00637CE2"/>
    <w:rsid w:val="00637DA8"/>
    <w:rsid w:val="00637DC7"/>
    <w:rsid w:val="00637DDA"/>
    <w:rsid w:val="00637E37"/>
    <w:rsid w:val="00637E5A"/>
    <w:rsid w:val="00637EF0"/>
    <w:rsid w:val="00637F0B"/>
    <w:rsid w:val="00637F5B"/>
    <w:rsid w:val="00637F78"/>
    <w:rsid w:val="0064005B"/>
    <w:rsid w:val="0064010B"/>
    <w:rsid w:val="00640184"/>
    <w:rsid w:val="0064021B"/>
    <w:rsid w:val="00640264"/>
    <w:rsid w:val="00640272"/>
    <w:rsid w:val="0064028B"/>
    <w:rsid w:val="00640290"/>
    <w:rsid w:val="006402C1"/>
    <w:rsid w:val="00640336"/>
    <w:rsid w:val="0064033C"/>
    <w:rsid w:val="00640340"/>
    <w:rsid w:val="006403E5"/>
    <w:rsid w:val="00640403"/>
    <w:rsid w:val="0064045F"/>
    <w:rsid w:val="0064046B"/>
    <w:rsid w:val="00640499"/>
    <w:rsid w:val="006404A8"/>
    <w:rsid w:val="00640586"/>
    <w:rsid w:val="006405C4"/>
    <w:rsid w:val="00640674"/>
    <w:rsid w:val="00640699"/>
    <w:rsid w:val="006406EA"/>
    <w:rsid w:val="00640794"/>
    <w:rsid w:val="00640814"/>
    <w:rsid w:val="00640996"/>
    <w:rsid w:val="006409B7"/>
    <w:rsid w:val="006409B8"/>
    <w:rsid w:val="006409D3"/>
    <w:rsid w:val="006409FA"/>
    <w:rsid w:val="00640AC2"/>
    <w:rsid w:val="00640B0A"/>
    <w:rsid w:val="00640B61"/>
    <w:rsid w:val="00640BCB"/>
    <w:rsid w:val="00640CF1"/>
    <w:rsid w:val="00640E15"/>
    <w:rsid w:val="00640F2D"/>
    <w:rsid w:val="00640F55"/>
    <w:rsid w:val="00640F7C"/>
    <w:rsid w:val="00640FA7"/>
    <w:rsid w:val="00641031"/>
    <w:rsid w:val="00641133"/>
    <w:rsid w:val="00641158"/>
    <w:rsid w:val="00641159"/>
    <w:rsid w:val="0064116F"/>
    <w:rsid w:val="0064122B"/>
    <w:rsid w:val="00641267"/>
    <w:rsid w:val="006412B9"/>
    <w:rsid w:val="006412CF"/>
    <w:rsid w:val="0064132A"/>
    <w:rsid w:val="00641348"/>
    <w:rsid w:val="0064147C"/>
    <w:rsid w:val="00641490"/>
    <w:rsid w:val="006414B6"/>
    <w:rsid w:val="006414D0"/>
    <w:rsid w:val="006414E3"/>
    <w:rsid w:val="00641549"/>
    <w:rsid w:val="006415AC"/>
    <w:rsid w:val="006415EC"/>
    <w:rsid w:val="00641635"/>
    <w:rsid w:val="0064167C"/>
    <w:rsid w:val="0064167E"/>
    <w:rsid w:val="00641716"/>
    <w:rsid w:val="00641726"/>
    <w:rsid w:val="00641741"/>
    <w:rsid w:val="00641746"/>
    <w:rsid w:val="00641749"/>
    <w:rsid w:val="00641828"/>
    <w:rsid w:val="00641844"/>
    <w:rsid w:val="0064187C"/>
    <w:rsid w:val="0064191B"/>
    <w:rsid w:val="006419D9"/>
    <w:rsid w:val="00641A30"/>
    <w:rsid w:val="00641A3A"/>
    <w:rsid w:val="00641A5E"/>
    <w:rsid w:val="00641A9B"/>
    <w:rsid w:val="00641B09"/>
    <w:rsid w:val="00641B6E"/>
    <w:rsid w:val="00641B93"/>
    <w:rsid w:val="00641C34"/>
    <w:rsid w:val="00641C42"/>
    <w:rsid w:val="00641C9D"/>
    <w:rsid w:val="00641CC4"/>
    <w:rsid w:val="00641CCB"/>
    <w:rsid w:val="00641D46"/>
    <w:rsid w:val="00641DB5"/>
    <w:rsid w:val="00641DF6"/>
    <w:rsid w:val="00641E7E"/>
    <w:rsid w:val="00641EB7"/>
    <w:rsid w:val="00641EEB"/>
    <w:rsid w:val="00641F36"/>
    <w:rsid w:val="00641F37"/>
    <w:rsid w:val="00641F48"/>
    <w:rsid w:val="00641F79"/>
    <w:rsid w:val="00642061"/>
    <w:rsid w:val="006420A2"/>
    <w:rsid w:val="006420ED"/>
    <w:rsid w:val="0064210A"/>
    <w:rsid w:val="0064217E"/>
    <w:rsid w:val="00642180"/>
    <w:rsid w:val="006421C8"/>
    <w:rsid w:val="00642241"/>
    <w:rsid w:val="00642267"/>
    <w:rsid w:val="00642290"/>
    <w:rsid w:val="006422A7"/>
    <w:rsid w:val="006422F3"/>
    <w:rsid w:val="006422F5"/>
    <w:rsid w:val="006423A9"/>
    <w:rsid w:val="00642407"/>
    <w:rsid w:val="00642422"/>
    <w:rsid w:val="00642469"/>
    <w:rsid w:val="006424E7"/>
    <w:rsid w:val="00642514"/>
    <w:rsid w:val="00642541"/>
    <w:rsid w:val="0064257A"/>
    <w:rsid w:val="0064257C"/>
    <w:rsid w:val="00642586"/>
    <w:rsid w:val="006425A9"/>
    <w:rsid w:val="006426A9"/>
    <w:rsid w:val="006426B9"/>
    <w:rsid w:val="006426FA"/>
    <w:rsid w:val="00642788"/>
    <w:rsid w:val="00642791"/>
    <w:rsid w:val="006427C2"/>
    <w:rsid w:val="006427C8"/>
    <w:rsid w:val="006427CB"/>
    <w:rsid w:val="0064280B"/>
    <w:rsid w:val="0064283C"/>
    <w:rsid w:val="0064288C"/>
    <w:rsid w:val="00642A54"/>
    <w:rsid w:val="00642ABA"/>
    <w:rsid w:val="00642ACF"/>
    <w:rsid w:val="00642B0F"/>
    <w:rsid w:val="00642B73"/>
    <w:rsid w:val="00642BB9"/>
    <w:rsid w:val="00642D17"/>
    <w:rsid w:val="00642D7A"/>
    <w:rsid w:val="00642E00"/>
    <w:rsid w:val="00642E1F"/>
    <w:rsid w:val="00642E94"/>
    <w:rsid w:val="00642F2E"/>
    <w:rsid w:val="00642F35"/>
    <w:rsid w:val="00642F38"/>
    <w:rsid w:val="00643049"/>
    <w:rsid w:val="006430AD"/>
    <w:rsid w:val="006430D5"/>
    <w:rsid w:val="00643107"/>
    <w:rsid w:val="0064320B"/>
    <w:rsid w:val="00643291"/>
    <w:rsid w:val="006432D1"/>
    <w:rsid w:val="0064333D"/>
    <w:rsid w:val="0064335F"/>
    <w:rsid w:val="00643397"/>
    <w:rsid w:val="006433A4"/>
    <w:rsid w:val="006433C6"/>
    <w:rsid w:val="0064342D"/>
    <w:rsid w:val="00643436"/>
    <w:rsid w:val="00643465"/>
    <w:rsid w:val="006434B4"/>
    <w:rsid w:val="006435A8"/>
    <w:rsid w:val="006435AD"/>
    <w:rsid w:val="006435C8"/>
    <w:rsid w:val="006435E3"/>
    <w:rsid w:val="006435EA"/>
    <w:rsid w:val="00643638"/>
    <w:rsid w:val="00643679"/>
    <w:rsid w:val="00643683"/>
    <w:rsid w:val="006436CF"/>
    <w:rsid w:val="006436F0"/>
    <w:rsid w:val="0064372D"/>
    <w:rsid w:val="006437E7"/>
    <w:rsid w:val="00643881"/>
    <w:rsid w:val="006438DA"/>
    <w:rsid w:val="006438E7"/>
    <w:rsid w:val="0064391B"/>
    <w:rsid w:val="00643960"/>
    <w:rsid w:val="0064397E"/>
    <w:rsid w:val="0064399E"/>
    <w:rsid w:val="006439CE"/>
    <w:rsid w:val="00643A58"/>
    <w:rsid w:val="00643A92"/>
    <w:rsid w:val="00643B36"/>
    <w:rsid w:val="00643CD8"/>
    <w:rsid w:val="00643CF9"/>
    <w:rsid w:val="00643D19"/>
    <w:rsid w:val="00643D7E"/>
    <w:rsid w:val="00643E25"/>
    <w:rsid w:val="00643E46"/>
    <w:rsid w:val="00643E5F"/>
    <w:rsid w:val="00643E73"/>
    <w:rsid w:val="00643E7C"/>
    <w:rsid w:val="00643EBA"/>
    <w:rsid w:val="00643F57"/>
    <w:rsid w:val="00643F66"/>
    <w:rsid w:val="00643F78"/>
    <w:rsid w:val="00643FAE"/>
    <w:rsid w:val="00643FEC"/>
    <w:rsid w:val="00644018"/>
    <w:rsid w:val="00644128"/>
    <w:rsid w:val="00644214"/>
    <w:rsid w:val="00644223"/>
    <w:rsid w:val="00644302"/>
    <w:rsid w:val="00644318"/>
    <w:rsid w:val="00644364"/>
    <w:rsid w:val="00644382"/>
    <w:rsid w:val="006443A8"/>
    <w:rsid w:val="00644445"/>
    <w:rsid w:val="00644493"/>
    <w:rsid w:val="00644547"/>
    <w:rsid w:val="00644559"/>
    <w:rsid w:val="006445A7"/>
    <w:rsid w:val="006445E0"/>
    <w:rsid w:val="00644621"/>
    <w:rsid w:val="00644685"/>
    <w:rsid w:val="00644716"/>
    <w:rsid w:val="00644779"/>
    <w:rsid w:val="006447BF"/>
    <w:rsid w:val="006447E3"/>
    <w:rsid w:val="0064482D"/>
    <w:rsid w:val="006448BE"/>
    <w:rsid w:val="006448CE"/>
    <w:rsid w:val="006448D4"/>
    <w:rsid w:val="006448EE"/>
    <w:rsid w:val="006448F0"/>
    <w:rsid w:val="0064491F"/>
    <w:rsid w:val="00644950"/>
    <w:rsid w:val="00644951"/>
    <w:rsid w:val="0064497C"/>
    <w:rsid w:val="006449B8"/>
    <w:rsid w:val="00644A12"/>
    <w:rsid w:val="00644B04"/>
    <w:rsid w:val="00644B10"/>
    <w:rsid w:val="00644B12"/>
    <w:rsid w:val="00644B33"/>
    <w:rsid w:val="00644B50"/>
    <w:rsid w:val="00644C0C"/>
    <w:rsid w:val="00644CBC"/>
    <w:rsid w:val="00644CDE"/>
    <w:rsid w:val="00644D5B"/>
    <w:rsid w:val="00644E16"/>
    <w:rsid w:val="00644E5E"/>
    <w:rsid w:val="00644F29"/>
    <w:rsid w:val="00645096"/>
    <w:rsid w:val="00645198"/>
    <w:rsid w:val="006451BC"/>
    <w:rsid w:val="00645211"/>
    <w:rsid w:val="006452A3"/>
    <w:rsid w:val="006452B5"/>
    <w:rsid w:val="006452E2"/>
    <w:rsid w:val="00645309"/>
    <w:rsid w:val="00645313"/>
    <w:rsid w:val="00645411"/>
    <w:rsid w:val="00645580"/>
    <w:rsid w:val="006455B2"/>
    <w:rsid w:val="006455FE"/>
    <w:rsid w:val="0064569D"/>
    <w:rsid w:val="00645759"/>
    <w:rsid w:val="0064575E"/>
    <w:rsid w:val="006457BA"/>
    <w:rsid w:val="006457D6"/>
    <w:rsid w:val="00645833"/>
    <w:rsid w:val="0064591F"/>
    <w:rsid w:val="00645949"/>
    <w:rsid w:val="006459C7"/>
    <w:rsid w:val="00645A70"/>
    <w:rsid w:val="00645AA2"/>
    <w:rsid w:val="00645B2E"/>
    <w:rsid w:val="00645B46"/>
    <w:rsid w:val="00645B99"/>
    <w:rsid w:val="00645BB5"/>
    <w:rsid w:val="00645C8B"/>
    <w:rsid w:val="00645D30"/>
    <w:rsid w:val="00645E1F"/>
    <w:rsid w:val="00645EF0"/>
    <w:rsid w:val="00645F39"/>
    <w:rsid w:val="00646014"/>
    <w:rsid w:val="0064605C"/>
    <w:rsid w:val="0064607F"/>
    <w:rsid w:val="006460EB"/>
    <w:rsid w:val="00646175"/>
    <w:rsid w:val="0064617C"/>
    <w:rsid w:val="00646182"/>
    <w:rsid w:val="00646187"/>
    <w:rsid w:val="00646198"/>
    <w:rsid w:val="006461F6"/>
    <w:rsid w:val="006462D4"/>
    <w:rsid w:val="006462F1"/>
    <w:rsid w:val="0064632E"/>
    <w:rsid w:val="006463FA"/>
    <w:rsid w:val="0064640E"/>
    <w:rsid w:val="006464CD"/>
    <w:rsid w:val="0064650C"/>
    <w:rsid w:val="00646554"/>
    <w:rsid w:val="00646561"/>
    <w:rsid w:val="006465A1"/>
    <w:rsid w:val="006465ED"/>
    <w:rsid w:val="0064668C"/>
    <w:rsid w:val="00646701"/>
    <w:rsid w:val="00646719"/>
    <w:rsid w:val="00646743"/>
    <w:rsid w:val="00646767"/>
    <w:rsid w:val="00646798"/>
    <w:rsid w:val="0064682C"/>
    <w:rsid w:val="006468A0"/>
    <w:rsid w:val="006468D4"/>
    <w:rsid w:val="0064694A"/>
    <w:rsid w:val="0064696B"/>
    <w:rsid w:val="006469C1"/>
    <w:rsid w:val="00646A45"/>
    <w:rsid w:val="00646B11"/>
    <w:rsid w:val="00646BAB"/>
    <w:rsid w:val="00646BB1"/>
    <w:rsid w:val="00646BD5"/>
    <w:rsid w:val="00646C51"/>
    <w:rsid w:val="00646D3F"/>
    <w:rsid w:val="00646DA7"/>
    <w:rsid w:val="00646E17"/>
    <w:rsid w:val="00646EF6"/>
    <w:rsid w:val="00646F3A"/>
    <w:rsid w:val="00646F50"/>
    <w:rsid w:val="00646F7A"/>
    <w:rsid w:val="006470D1"/>
    <w:rsid w:val="00647297"/>
    <w:rsid w:val="006472B9"/>
    <w:rsid w:val="0064740C"/>
    <w:rsid w:val="00647459"/>
    <w:rsid w:val="0064746D"/>
    <w:rsid w:val="00647481"/>
    <w:rsid w:val="006474CD"/>
    <w:rsid w:val="006474D1"/>
    <w:rsid w:val="00647501"/>
    <w:rsid w:val="00647518"/>
    <w:rsid w:val="0064752F"/>
    <w:rsid w:val="0064753F"/>
    <w:rsid w:val="0064761F"/>
    <w:rsid w:val="00647663"/>
    <w:rsid w:val="00647676"/>
    <w:rsid w:val="006476D5"/>
    <w:rsid w:val="006476F6"/>
    <w:rsid w:val="00647733"/>
    <w:rsid w:val="006477E6"/>
    <w:rsid w:val="006478E2"/>
    <w:rsid w:val="006479BA"/>
    <w:rsid w:val="006479F0"/>
    <w:rsid w:val="00647A29"/>
    <w:rsid w:val="00647A45"/>
    <w:rsid w:val="00647AEE"/>
    <w:rsid w:val="00647B2E"/>
    <w:rsid w:val="00647B4D"/>
    <w:rsid w:val="00647C54"/>
    <w:rsid w:val="00647D2C"/>
    <w:rsid w:val="00647D35"/>
    <w:rsid w:val="00647E07"/>
    <w:rsid w:val="00647E7C"/>
    <w:rsid w:val="00647EED"/>
    <w:rsid w:val="00647EEE"/>
    <w:rsid w:val="00647F50"/>
    <w:rsid w:val="00647F96"/>
    <w:rsid w:val="00647FFA"/>
    <w:rsid w:val="00650024"/>
    <w:rsid w:val="0065003F"/>
    <w:rsid w:val="006501EF"/>
    <w:rsid w:val="006501F8"/>
    <w:rsid w:val="006502F0"/>
    <w:rsid w:val="0065034E"/>
    <w:rsid w:val="00650387"/>
    <w:rsid w:val="00650395"/>
    <w:rsid w:val="00650422"/>
    <w:rsid w:val="00650449"/>
    <w:rsid w:val="0065045A"/>
    <w:rsid w:val="00650467"/>
    <w:rsid w:val="00650545"/>
    <w:rsid w:val="0065054B"/>
    <w:rsid w:val="006505A9"/>
    <w:rsid w:val="006505BE"/>
    <w:rsid w:val="006506A7"/>
    <w:rsid w:val="006506AE"/>
    <w:rsid w:val="00650760"/>
    <w:rsid w:val="0065076A"/>
    <w:rsid w:val="00650819"/>
    <w:rsid w:val="006508BF"/>
    <w:rsid w:val="006508FC"/>
    <w:rsid w:val="00650951"/>
    <w:rsid w:val="0065095D"/>
    <w:rsid w:val="00650A3A"/>
    <w:rsid w:val="00650A54"/>
    <w:rsid w:val="00650A59"/>
    <w:rsid w:val="00650ADF"/>
    <w:rsid w:val="00650BC5"/>
    <w:rsid w:val="00650C1D"/>
    <w:rsid w:val="00650C4A"/>
    <w:rsid w:val="00650C5B"/>
    <w:rsid w:val="00650CA9"/>
    <w:rsid w:val="00650D7B"/>
    <w:rsid w:val="00650D7E"/>
    <w:rsid w:val="00650DA3"/>
    <w:rsid w:val="00650DC0"/>
    <w:rsid w:val="00650DC3"/>
    <w:rsid w:val="00650DE5"/>
    <w:rsid w:val="00650E3D"/>
    <w:rsid w:val="00650E90"/>
    <w:rsid w:val="00650EAF"/>
    <w:rsid w:val="00650F26"/>
    <w:rsid w:val="00650F46"/>
    <w:rsid w:val="00650FC2"/>
    <w:rsid w:val="00650FC6"/>
    <w:rsid w:val="00651011"/>
    <w:rsid w:val="0065101C"/>
    <w:rsid w:val="0065113F"/>
    <w:rsid w:val="006512C7"/>
    <w:rsid w:val="006512CA"/>
    <w:rsid w:val="00651309"/>
    <w:rsid w:val="00651321"/>
    <w:rsid w:val="0065137B"/>
    <w:rsid w:val="00651449"/>
    <w:rsid w:val="0065148C"/>
    <w:rsid w:val="006514A6"/>
    <w:rsid w:val="006514E6"/>
    <w:rsid w:val="0065152C"/>
    <w:rsid w:val="006515C4"/>
    <w:rsid w:val="00651691"/>
    <w:rsid w:val="006517E4"/>
    <w:rsid w:val="006517F4"/>
    <w:rsid w:val="00651835"/>
    <w:rsid w:val="00651976"/>
    <w:rsid w:val="00651A84"/>
    <w:rsid w:val="00651A90"/>
    <w:rsid w:val="00651A93"/>
    <w:rsid w:val="00651AAA"/>
    <w:rsid w:val="00651B83"/>
    <w:rsid w:val="00651BE0"/>
    <w:rsid w:val="00651BE5"/>
    <w:rsid w:val="00651C0F"/>
    <w:rsid w:val="00651DFC"/>
    <w:rsid w:val="00651E25"/>
    <w:rsid w:val="00651E8F"/>
    <w:rsid w:val="00651EC1"/>
    <w:rsid w:val="00651F02"/>
    <w:rsid w:val="00651F55"/>
    <w:rsid w:val="0065207A"/>
    <w:rsid w:val="0065207F"/>
    <w:rsid w:val="00652080"/>
    <w:rsid w:val="006520B9"/>
    <w:rsid w:val="006520C2"/>
    <w:rsid w:val="0065214C"/>
    <w:rsid w:val="006521A8"/>
    <w:rsid w:val="0065225C"/>
    <w:rsid w:val="006522B6"/>
    <w:rsid w:val="006522C2"/>
    <w:rsid w:val="006522CA"/>
    <w:rsid w:val="00652351"/>
    <w:rsid w:val="0065236F"/>
    <w:rsid w:val="006523CF"/>
    <w:rsid w:val="006523F8"/>
    <w:rsid w:val="006524D3"/>
    <w:rsid w:val="006524F5"/>
    <w:rsid w:val="00652508"/>
    <w:rsid w:val="00652530"/>
    <w:rsid w:val="00652601"/>
    <w:rsid w:val="00652619"/>
    <w:rsid w:val="00652629"/>
    <w:rsid w:val="0065265F"/>
    <w:rsid w:val="00652671"/>
    <w:rsid w:val="006526BD"/>
    <w:rsid w:val="006527EC"/>
    <w:rsid w:val="00652857"/>
    <w:rsid w:val="006528F0"/>
    <w:rsid w:val="00652910"/>
    <w:rsid w:val="00652911"/>
    <w:rsid w:val="006529B8"/>
    <w:rsid w:val="00652B24"/>
    <w:rsid w:val="00652B74"/>
    <w:rsid w:val="00652BD0"/>
    <w:rsid w:val="00652BE4"/>
    <w:rsid w:val="00652C17"/>
    <w:rsid w:val="00652C22"/>
    <w:rsid w:val="00652C42"/>
    <w:rsid w:val="00652C48"/>
    <w:rsid w:val="00652C5A"/>
    <w:rsid w:val="00652CA9"/>
    <w:rsid w:val="00652D26"/>
    <w:rsid w:val="00652D59"/>
    <w:rsid w:val="00652D92"/>
    <w:rsid w:val="00652D9F"/>
    <w:rsid w:val="00652DDD"/>
    <w:rsid w:val="00652E2C"/>
    <w:rsid w:val="00652EDC"/>
    <w:rsid w:val="00652F12"/>
    <w:rsid w:val="00652F47"/>
    <w:rsid w:val="00652FF9"/>
    <w:rsid w:val="00652FFB"/>
    <w:rsid w:val="00653064"/>
    <w:rsid w:val="006530A4"/>
    <w:rsid w:val="00653132"/>
    <w:rsid w:val="006531A4"/>
    <w:rsid w:val="006532C2"/>
    <w:rsid w:val="0065334A"/>
    <w:rsid w:val="0065339D"/>
    <w:rsid w:val="006533B1"/>
    <w:rsid w:val="006533FA"/>
    <w:rsid w:val="0065343B"/>
    <w:rsid w:val="006534E4"/>
    <w:rsid w:val="006535CD"/>
    <w:rsid w:val="0065369B"/>
    <w:rsid w:val="00653703"/>
    <w:rsid w:val="0065378D"/>
    <w:rsid w:val="006537A0"/>
    <w:rsid w:val="006537D4"/>
    <w:rsid w:val="0065380D"/>
    <w:rsid w:val="00653856"/>
    <w:rsid w:val="006538D6"/>
    <w:rsid w:val="00653915"/>
    <w:rsid w:val="00653919"/>
    <w:rsid w:val="006539C4"/>
    <w:rsid w:val="006539E5"/>
    <w:rsid w:val="006539FE"/>
    <w:rsid w:val="00653A5D"/>
    <w:rsid w:val="00653ADF"/>
    <w:rsid w:val="00653AFC"/>
    <w:rsid w:val="00653B0E"/>
    <w:rsid w:val="00653B4B"/>
    <w:rsid w:val="00653C2F"/>
    <w:rsid w:val="00653CC9"/>
    <w:rsid w:val="00653D65"/>
    <w:rsid w:val="00653D96"/>
    <w:rsid w:val="00653EBE"/>
    <w:rsid w:val="00653ED4"/>
    <w:rsid w:val="00653EF7"/>
    <w:rsid w:val="00653F1C"/>
    <w:rsid w:val="00654087"/>
    <w:rsid w:val="006540CD"/>
    <w:rsid w:val="006540D1"/>
    <w:rsid w:val="00654104"/>
    <w:rsid w:val="0065411F"/>
    <w:rsid w:val="00654121"/>
    <w:rsid w:val="0065412D"/>
    <w:rsid w:val="00654162"/>
    <w:rsid w:val="00654243"/>
    <w:rsid w:val="0065432A"/>
    <w:rsid w:val="00654364"/>
    <w:rsid w:val="00654417"/>
    <w:rsid w:val="00654456"/>
    <w:rsid w:val="00654486"/>
    <w:rsid w:val="006544E4"/>
    <w:rsid w:val="006544FF"/>
    <w:rsid w:val="0065455C"/>
    <w:rsid w:val="00654571"/>
    <w:rsid w:val="006545E1"/>
    <w:rsid w:val="0065460B"/>
    <w:rsid w:val="006546C8"/>
    <w:rsid w:val="006546CD"/>
    <w:rsid w:val="006546D2"/>
    <w:rsid w:val="00654749"/>
    <w:rsid w:val="00654825"/>
    <w:rsid w:val="0065484C"/>
    <w:rsid w:val="006548E1"/>
    <w:rsid w:val="0065491A"/>
    <w:rsid w:val="0065497E"/>
    <w:rsid w:val="00654984"/>
    <w:rsid w:val="00654A85"/>
    <w:rsid w:val="00654AE0"/>
    <w:rsid w:val="00654B71"/>
    <w:rsid w:val="00654D0B"/>
    <w:rsid w:val="00654D1E"/>
    <w:rsid w:val="00654D9F"/>
    <w:rsid w:val="00654DDD"/>
    <w:rsid w:val="00654E68"/>
    <w:rsid w:val="00654E77"/>
    <w:rsid w:val="00654EA5"/>
    <w:rsid w:val="00654EB1"/>
    <w:rsid w:val="00654EE4"/>
    <w:rsid w:val="00654F0C"/>
    <w:rsid w:val="00654F37"/>
    <w:rsid w:val="00654FA4"/>
    <w:rsid w:val="00654FB1"/>
    <w:rsid w:val="00654FE6"/>
    <w:rsid w:val="00655139"/>
    <w:rsid w:val="00655213"/>
    <w:rsid w:val="00655270"/>
    <w:rsid w:val="00655295"/>
    <w:rsid w:val="00655328"/>
    <w:rsid w:val="0065534F"/>
    <w:rsid w:val="00655365"/>
    <w:rsid w:val="0065539E"/>
    <w:rsid w:val="006553FF"/>
    <w:rsid w:val="0065549F"/>
    <w:rsid w:val="006554A0"/>
    <w:rsid w:val="006554B3"/>
    <w:rsid w:val="006554BE"/>
    <w:rsid w:val="006554D0"/>
    <w:rsid w:val="006554ED"/>
    <w:rsid w:val="006555B7"/>
    <w:rsid w:val="00655630"/>
    <w:rsid w:val="00655742"/>
    <w:rsid w:val="006557C9"/>
    <w:rsid w:val="00655824"/>
    <w:rsid w:val="0065583B"/>
    <w:rsid w:val="00655842"/>
    <w:rsid w:val="0065584F"/>
    <w:rsid w:val="0065585C"/>
    <w:rsid w:val="00655933"/>
    <w:rsid w:val="00655994"/>
    <w:rsid w:val="00655995"/>
    <w:rsid w:val="006559B2"/>
    <w:rsid w:val="006559F3"/>
    <w:rsid w:val="00655A00"/>
    <w:rsid w:val="00655A18"/>
    <w:rsid w:val="00655A8A"/>
    <w:rsid w:val="00655AA8"/>
    <w:rsid w:val="00655ACF"/>
    <w:rsid w:val="00655CC8"/>
    <w:rsid w:val="00655CD3"/>
    <w:rsid w:val="00655CE6"/>
    <w:rsid w:val="00655D80"/>
    <w:rsid w:val="00655DCB"/>
    <w:rsid w:val="00655DDA"/>
    <w:rsid w:val="00655E2C"/>
    <w:rsid w:val="00655EA9"/>
    <w:rsid w:val="00655EE9"/>
    <w:rsid w:val="00655F49"/>
    <w:rsid w:val="00655F59"/>
    <w:rsid w:val="00655FF6"/>
    <w:rsid w:val="0065604B"/>
    <w:rsid w:val="00656054"/>
    <w:rsid w:val="006560BB"/>
    <w:rsid w:val="006560D4"/>
    <w:rsid w:val="006560E5"/>
    <w:rsid w:val="006561B6"/>
    <w:rsid w:val="006561E8"/>
    <w:rsid w:val="00656209"/>
    <w:rsid w:val="00656224"/>
    <w:rsid w:val="00656284"/>
    <w:rsid w:val="0065628B"/>
    <w:rsid w:val="0065635A"/>
    <w:rsid w:val="0065644B"/>
    <w:rsid w:val="00656456"/>
    <w:rsid w:val="006564A1"/>
    <w:rsid w:val="00656506"/>
    <w:rsid w:val="00656691"/>
    <w:rsid w:val="006566AA"/>
    <w:rsid w:val="0065670F"/>
    <w:rsid w:val="00656736"/>
    <w:rsid w:val="0065673D"/>
    <w:rsid w:val="006567CC"/>
    <w:rsid w:val="006568A4"/>
    <w:rsid w:val="006568EE"/>
    <w:rsid w:val="0065692B"/>
    <w:rsid w:val="0065692D"/>
    <w:rsid w:val="00656969"/>
    <w:rsid w:val="00656970"/>
    <w:rsid w:val="00656971"/>
    <w:rsid w:val="0065697C"/>
    <w:rsid w:val="0065699C"/>
    <w:rsid w:val="006569DA"/>
    <w:rsid w:val="00656A04"/>
    <w:rsid w:val="00656A54"/>
    <w:rsid w:val="00656A8C"/>
    <w:rsid w:val="00656A93"/>
    <w:rsid w:val="00656AB2"/>
    <w:rsid w:val="00656ABB"/>
    <w:rsid w:val="00656AF9"/>
    <w:rsid w:val="00656B0D"/>
    <w:rsid w:val="00656B49"/>
    <w:rsid w:val="00656BD1"/>
    <w:rsid w:val="00656BED"/>
    <w:rsid w:val="00656D3B"/>
    <w:rsid w:val="00656D4C"/>
    <w:rsid w:val="00656DE0"/>
    <w:rsid w:val="00656E06"/>
    <w:rsid w:val="00656E9E"/>
    <w:rsid w:val="00656EA0"/>
    <w:rsid w:val="00656EB8"/>
    <w:rsid w:val="00656EF9"/>
    <w:rsid w:val="00656F80"/>
    <w:rsid w:val="0065703A"/>
    <w:rsid w:val="00657084"/>
    <w:rsid w:val="0065728A"/>
    <w:rsid w:val="006572DE"/>
    <w:rsid w:val="006573B8"/>
    <w:rsid w:val="006573E9"/>
    <w:rsid w:val="0065741E"/>
    <w:rsid w:val="0065742D"/>
    <w:rsid w:val="0065753B"/>
    <w:rsid w:val="0065754C"/>
    <w:rsid w:val="00657558"/>
    <w:rsid w:val="0065758E"/>
    <w:rsid w:val="0065760E"/>
    <w:rsid w:val="00657653"/>
    <w:rsid w:val="00657694"/>
    <w:rsid w:val="006576DA"/>
    <w:rsid w:val="00657775"/>
    <w:rsid w:val="00657816"/>
    <w:rsid w:val="00657959"/>
    <w:rsid w:val="006579A1"/>
    <w:rsid w:val="00657A35"/>
    <w:rsid w:val="00657A3D"/>
    <w:rsid w:val="00657A4E"/>
    <w:rsid w:val="00657AAD"/>
    <w:rsid w:val="00657BCB"/>
    <w:rsid w:val="00657CDE"/>
    <w:rsid w:val="00657CDF"/>
    <w:rsid w:val="00657CF8"/>
    <w:rsid w:val="00657CFE"/>
    <w:rsid w:val="00657D11"/>
    <w:rsid w:val="00657D2B"/>
    <w:rsid w:val="00657D79"/>
    <w:rsid w:val="00657DE4"/>
    <w:rsid w:val="00657DFC"/>
    <w:rsid w:val="00657E11"/>
    <w:rsid w:val="00657E3C"/>
    <w:rsid w:val="00657E51"/>
    <w:rsid w:val="00657E8F"/>
    <w:rsid w:val="00657EEF"/>
    <w:rsid w:val="00657FA1"/>
    <w:rsid w:val="00657FB1"/>
    <w:rsid w:val="006600C2"/>
    <w:rsid w:val="006600C6"/>
    <w:rsid w:val="00660134"/>
    <w:rsid w:val="0066015C"/>
    <w:rsid w:val="00660160"/>
    <w:rsid w:val="0066018D"/>
    <w:rsid w:val="00660196"/>
    <w:rsid w:val="00660334"/>
    <w:rsid w:val="00660360"/>
    <w:rsid w:val="006603B8"/>
    <w:rsid w:val="006603DF"/>
    <w:rsid w:val="006603FA"/>
    <w:rsid w:val="0066045E"/>
    <w:rsid w:val="00660490"/>
    <w:rsid w:val="006604DC"/>
    <w:rsid w:val="006605F5"/>
    <w:rsid w:val="00660606"/>
    <w:rsid w:val="00660640"/>
    <w:rsid w:val="0066064C"/>
    <w:rsid w:val="006606E2"/>
    <w:rsid w:val="006607A0"/>
    <w:rsid w:val="006607AE"/>
    <w:rsid w:val="006607E1"/>
    <w:rsid w:val="00660918"/>
    <w:rsid w:val="00660939"/>
    <w:rsid w:val="00660978"/>
    <w:rsid w:val="006609FF"/>
    <w:rsid w:val="00660AB2"/>
    <w:rsid w:val="00660B1F"/>
    <w:rsid w:val="00660BBA"/>
    <w:rsid w:val="00660BD8"/>
    <w:rsid w:val="00660BE4"/>
    <w:rsid w:val="00660C82"/>
    <w:rsid w:val="00660C8C"/>
    <w:rsid w:val="00660CFD"/>
    <w:rsid w:val="00660D1D"/>
    <w:rsid w:val="00660D3A"/>
    <w:rsid w:val="00660D52"/>
    <w:rsid w:val="00660DD2"/>
    <w:rsid w:val="00660DE6"/>
    <w:rsid w:val="00660DEC"/>
    <w:rsid w:val="00660E22"/>
    <w:rsid w:val="00660ED7"/>
    <w:rsid w:val="00660EFD"/>
    <w:rsid w:val="00660F3B"/>
    <w:rsid w:val="00660F8E"/>
    <w:rsid w:val="00660FC4"/>
    <w:rsid w:val="00660FC9"/>
    <w:rsid w:val="00660FD8"/>
    <w:rsid w:val="00661055"/>
    <w:rsid w:val="00661068"/>
    <w:rsid w:val="00661076"/>
    <w:rsid w:val="00661140"/>
    <w:rsid w:val="00661143"/>
    <w:rsid w:val="006611E2"/>
    <w:rsid w:val="00661210"/>
    <w:rsid w:val="00661222"/>
    <w:rsid w:val="00661274"/>
    <w:rsid w:val="0066127E"/>
    <w:rsid w:val="00661283"/>
    <w:rsid w:val="0066130B"/>
    <w:rsid w:val="00661322"/>
    <w:rsid w:val="00661327"/>
    <w:rsid w:val="0066136B"/>
    <w:rsid w:val="00661397"/>
    <w:rsid w:val="006613B9"/>
    <w:rsid w:val="00661441"/>
    <w:rsid w:val="00661512"/>
    <w:rsid w:val="00661516"/>
    <w:rsid w:val="006615B1"/>
    <w:rsid w:val="006615C3"/>
    <w:rsid w:val="006615D0"/>
    <w:rsid w:val="006615DF"/>
    <w:rsid w:val="006615E9"/>
    <w:rsid w:val="0066164E"/>
    <w:rsid w:val="00661653"/>
    <w:rsid w:val="0066165D"/>
    <w:rsid w:val="006616BD"/>
    <w:rsid w:val="0066170A"/>
    <w:rsid w:val="00661735"/>
    <w:rsid w:val="00661791"/>
    <w:rsid w:val="00661821"/>
    <w:rsid w:val="00661875"/>
    <w:rsid w:val="006618C5"/>
    <w:rsid w:val="00661907"/>
    <w:rsid w:val="0066197E"/>
    <w:rsid w:val="00661989"/>
    <w:rsid w:val="00661992"/>
    <w:rsid w:val="006619A2"/>
    <w:rsid w:val="00661A19"/>
    <w:rsid w:val="00661A30"/>
    <w:rsid w:val="00661A9F"/>
    <w:rsid w:val="00661AD7"/>
    <w:rsid w:val="00661AE9"/>
    <w:rsid w:val="00661B32"/>
    <w:rsid w:val="00661BE3"/>
    <w:rsid w:val="00661C1D"/>
    <w:rsid w:val="00661C4A"/>
    <w:rsid w:val="00661C55"/>
    <w:rsid w:val="00661CE6"/>
    <w:rsid w:val="00661CF7"/>
    <w:rsid w:val="00661DEA"/>
    <w:rsid w:val="00661E3A"/>
    <w:rsid w:val="00661E7A"/>
    <w:rsid w:val="00661E8A"/>
    <w:rsid w:val="00661FA1"/>
    <w:rsid w:val="00661FEB"/>
    <w:rsid w:val="00662047"/>
    <w:rsid w:val="006621BB"/>
    <w:rsid w:val="006622D9"/>
    <w:rsid w:val="00662381"/>
    <w:rsid w:val="006623B5"/>
    <w:rsid w:val="00662547"/>
    <w:rsid w:val="0066277C"/>
    <w:rsid w:val="0066279B"/>
    <w:rsid w:val="006627BC"/>
    <w:rsid w:val="006627E8"/>
    <w:rsid w:val="0066290E"/>
    <w:rsid w:val="006629E7"/>
    <w:rsid w:val="00662A14"/>
    <w:rsid w:val="00662A62"/>
    <w:rsid w:val="00662AB8"/>
    <w:rsid w:val="00662AE1"/>
    <w:rsid w:val="00662B20"/>
    <w:rsid w:val="00662BA5"/>
    <w:rsid w:val="00662BBE"/>
    <w:rsid w:val="00662C7A"/>
    <w:rsid w:val="00662CCB"/>
    <w:rsid w:val="00662D07"/>
    <w:rsid w:val="00662D1A"/>
    <w:rsid w:val="00662D9E"/>
    <w:rsid w:val="00662DD8"/>
    <w:rsid w:val="00662DE4"/>
    <w:rsid w:val="00662EE6"/>
    <w:rsid w:val="00662EFF"/>
    <w:rsid w:val="00662F09"/>
    <w:rsid w:val="00662F2A"/>
    <w:rsid w:val="00663016"/>
    <w:rsid w:val="00663041"/>
    <w:rsid w:val="0066304E"/>
    <w:rsid w:val="00663138"/>
    <w:rsid w:val="006631DD"/>
    <w:rsid w:val="00663211"/>
    <w:rsid w:val="00663249"/>
    <w:rsid w:val="00663260"/>
    <w:rsid w:val="00663271"/>
    <w:rsid w:val="006632B1"/>
    <w:rsid w:val="006632CC"/>
    <w:rsid w:val="006632F3"/>
    <w:rsid w:val="00663342"/>
    <w:rsid w:val="00663398"/>
    <w:rsid w:val="006634A0"/>
    <w:rsid w:val="0066350F"/>
    <w:rsid w:val="00663584"/>
    <w:rsid w:val="0066364C"/>
    <w:rsid w:val="00663706"/>
    <w:rsid w:val="0066379D"/>
    <w:rsid w:val="006638DA"/>
    <w:rsid w:val="00663A2B"/>
    <w:rsid w:val="00663A50"/>
    <w:rsid w:val="00663A8C"/>
    <w:rsid w:val="00663AD2"/>
    <w:rsid w:val="00663B0E"/>
    <w:rsid w:val="00663BB7"/>
    <w:rsid w:val="00663BDE"/>
    <w:rsid w:val="00663C33"/>
    <w:rsid w:val="00663CFA"/>
    <w:rsid w:val="00663D13"/>
    <w:rsid w:val="00663D8F"/>
    <w:rsid w:val="00663DB3"/>
    <w:rsid w:val="00663DDA"/>
    <w:rsid w:val="00663DFB"/>
    <w:rsid w:val="00663E1E"/>
    <w:rsid w:val="00663E43"/>
    <w:rsid w:val="00663EC4"/>
    <w:rsid w:val="00663EFA"/>
    <w:rsid w:val="00663F18"/>
    <w:rsid w:val="0066406E"/>
    <w:rsid w:val="0066408E"/>
    <w:rsid w:val="006640A7"/>
    <w:rsid w:val="0066413D"/>
    <w:rsid w:val="006641C1"/>
    <w:rsid w:val="00664281"/>
    <w:rsid w:val="0066429D"/>
    <w:rsid w:val="006642F8"/>
    <w:rsid w:val="00664331"/>
    <w:rsid w:val="00664342"/>
    <w:rsid w:val="0066438E"/>
    <w:rsid w:val="00664459"/>
    <w:rsid w:val="00664469"/>
    <w:rsid w:val="006644D8"/>
    <w:rsid w:val="00664585"/>
    <w:rsid w:val="006645FF"/>
    <w:rsid w:val="00664659"/>
    <w:rsid w:val="00664662"/>
    <w:rsid w:val="0066467E"/>
    <w:rsid w:val="006646BB"/>
    <w:rsid w:val="006646E3"/>
    <w:rsid w:val="006646F0"/>
    <w:rsid w:val="00664723"/>
    <w:rsid w:val="00664756"/>
    <w:rsid w:val="006647D9"/>
    <w:rsid w:val="006647DC"/>
    <w:rsid w:val="0066480E"/>
    <w:rsid w:val="00664926"/>
    <w:rsid w:val="0066497A"/>
    <w:rsid w:val="00664AC4"/>
    <w:rsid w:val="00664AD8"/>
    <w:rsid w:val="00664BD3"/>
    <w:rsid w:val="00664BFD"/>
    <w:rsid w:val="00664C22"/>
    <w:rsid w:val="00664C24"/>
    <w:rsid w:val="00664CEA"/>
    <w:rsid w:val="00664CFA"/>
    <w:rsid w:val="00664D03"/>
    <w:rsid w:val="00664D14"/>
    <w:rsid w:val="00664DB6"/>
    <w:rsid w:val="00664DE2"/>
    <w:rsid w:val="00664E30"/>
    <w:rsid w:val="00664E74"/>
    <w:rsid w:val="00664E7E"/>
    <w:rsid w:val="00664E85"/>
    <w:rsid w:val="00664EF8"/>
    <w:rsid w:val="00664F1A"/>
    <w:rsid w:val="00665048"/>
    <w:rsid w:val="00665092"/>
    <w:rsid w:val="006650BB"/>
    <w:rsid w:val="0066517B"/>
    <w:rsid w:val="00665182"/>
    <w:rsid w:val="0066518C"/>
    <w:rsid w:val="006651C1"/>
    <w:rsid w:val="00665227"/>
    <w:rsid w:val="0066522C"/>
    <w:rsid w:val="0066529B"/>
    <w:rsid w:val="00665331"/>
    <w:rsid w:val="0066535C"/>
    <w:rsid w:val="00665399"/>
    <w:rsid w:val="006653C7"/>
    <w:rsid w:val="006653D7"/>
    <w:rsid w:val="006653FC"/>
    <w:rsid w:val="00665481"/>
    <w:rsid w:val="006654EF"/>
    <w:rsid w:val="0066559D"/>
    <w:rsid w:val="00665663"/>
    <w:rsid w:val="0066569D"/>
    <w:rsid w:val="006656ED"/>
    <w:rsid w:val="006657C5"/>
    <w:rsid w:val="006657D7"/>
    <w:rsid w:val="0066588F"/>
    <w:rsid w:val="0066594C"/>
    <w:rsid w:val="006659AA"/>
    <w:rsid w:val="00665A63"/>
    <w:rsid w:val="00665A7F"/>
    <w:rsid w:val="00665BAA"/>
    <w:rsid w:val="00665BDD"/>
    <w:rsid w:val="00665BF8"/>
    <w:rsid w:val="00665C06"/>
    <w:rsid w:val="00665CA6"/>
    <w:rsid w:val="00665CE9"/>
    <w:rsid w:val="00665D1C"/>
    <w:rsid w:val="00665D32"/>
    <w:rsid w:val="00665D7C"/>
    <w:rsid w:val="00665EF9"/>
    <w:rsid w:val="00665EFC"/>
    <w:rsid w:val="00665F64"/>
    <w:rsid w:val="00665F8A"/>
    <w:rsid w:val="00665FBA"/>
    <w:rsid w:val="0066601F"/>
    <w:rsid w:val="00666080"/>
    <w:rsid w:val="00666098"/>
    <w:rsid w:val="006661A5"/>
    <w:rsid w:val="006661CD"/>
    <w:rsid w:val="00666281"/>
    <w:rsid w:val="00666299"/>
    <w:rsid w:val="006662BE"/>
    <w:rsid w:val="006662C4"/>
    <w:rsid w:val="006663C9"/>
    <w:rsid w:val="006664B0"/>
    <w:rsid w:val="00666551"/>
    <w:rsid w:val="0066656A"/>
    <w:rsid w:val="006665D3"/>
    <w:rsid w:val="00666665"/>
    <w:rsid w:val="0066670F"/>
    <w:rsid w:val="0066674B"/>
    <w:rsid w:val="00666761"/>
    <w:rsid w:val="0066676A"/>
    <w:rsid w:val="006667F0"/>
    <w:rsid w:val="006667FA"/>
    <w:rsid w:val="0066680A"/>
    <w:rsid w:val="0066683D"/>
    <w:rsid w:val="0066686B"/>
    <w:rsid w:val="00666895"/>
    <w:rsid w:val="00666906"/>
    <w:rsid w:val="00666A49"/>
    <w:rsid w:val="00666A77"/>
    <w:rsid w:val="00666AA8"/>
    <w:rsid w:val="00666AC0"/>
    <w:rsid w:val="00666AF7"/>
    <w:rsid w:val="00666BD1"/>
    <w:rsid w:val="00666C4D"/>
    <w:rsid w:val="00666C67"/>
    <w:rsid w:val="00666C93"/>
    <w:rsid w:val="00666D31"/>
    <w:rsid w:val="00666DFC"/>
    <w:rsid w:val="00666E23"/>
    <w:rsid w:val="00666E78"/>
    <w:rsid w:val="00666E8B"/>
    <w:rsid w:val="00666E8F"/>
    <w:rsid w:val="00666ED4"/>
    <w:rsid w:val="00666FB9"/>
    <w:rsid w:val="00666FF4"/>
    <w:rsid w:val="00667000"/>
    <w:rsid w:val="00667098"/>
    <w:rsid w:val="006670E1"/>
    <w:rsid w:val="006670E3"/>
    <w:rsid w:val="00667118"/>
    <w:rsid w:val="00667183"/>
    <w:rsid w:val="006671E6"/>
    <w:rsid w:val="0066728E"/>
    <w:rsid w:val="006672AF"/>
    <w:rsid w:val="00667306"/>
    <w:rsid w:val="00667335"/>
    <w:rsid w:val="0066734A"/>
    <w:rsid w:val="0066741B"/>
    <w:rsid w:val="00667422"/>
    <w:rsid w:val="00667461"/>
    <w:rsid w:val="006674B9"/>
    <w:rsid w:val="006674D6"/>
    <w:rsid w:val="0066770C"/>
    <w:rsid w:val="0066775C"/>
    <w:rsid w:val="00667771"/>
    <w:rsid w:val="006677ED"/>
    <w:rsid w:val="0066785D"/>
    <w:rsid w:val="006678AC"/>
    <w:rsid w:val="00667903"/>
    <w:rsid w:val="00667913"/>
    <w:rsid w:val="00667945"/>
    <w:rsid w:val="00667992"/>
    <w:rsid w:val="00667A40"/>
    <w:rsid w:val="00667A5F"/>
    <w:rsid w:val="00667A62"/>
    <w:rsid w:val="00667A9F"/>
    <w:rsid w:val="00667ABD"/>
    <w:rsid w:val="00667ADB"/>
    <w:rsid w:val="00667B2C"/>
    <w:rsid w:val="00667B4E"/>
    <w:rsid w:val="00667BB4"/>
    <w:rsid w:val="00667C41"/>
    <w:rsid w:val="00667C7D"/>
    <w:rsid w:val="00667C88"/>
    <w:rsid w:val="00667C9C"/>
    <w:rsid w:val="00667D76"/>
    <w:rsid w:val="00667D8B"/>
    <w:rsid w:val="00667E40"/>
    <w:rsid w:val="00667E9C"/>
    <w:rsid w:val="00667EA8"/>
    <w:rsid w:val="00667F19"/>
    <w:rsid w:val="00670265"/>
    <w:rsid w:val="006702AF"/>
    <w:rsid w:val="006703BF"/>
    <w:rsid w:val="006703D0"/>
    <w:rsid w:val="0067052A"/>
    <w:rsid w:val="00670551"/>
    <w:rsid w:val="0067055C"/>
    <w:rsid w:val="00670587"/>
    <w:rsid w:val="006705F1"/>
    <w:rsid w:val="0067062E"/>
    <w:rsid w:val="0067064B"/>
    <w:rsid w:val="00670665"/>
    <w:rsid w:val="00670692"/>
    <w:rsid w:val="0067075B"/>
    <w:rsid w:val="006707DD"/>
    <w:rsid w:val="00670836"/>
    <w:rsid w:val="00670863"/>
    <w:rsid w:val="00670871"/>
    <w:rsid w:val="0067088B"/>
    <w:rsid w:val="00670910"/>
    <w:rsid w:val="00670946"/>
    <w:rsid w:val="00670964"/>
    <w:rsid w:val="0067096F"/>
    <w:rsid w:val="00670B5C"/>
    <w:rsid w:val="00670BCB"/>
    <w:rsid w:val="00670D20"/>
    <w:rsid w:val="00670D2D"/>
    <w:rsid w:val="00670D4D"/>
    <w:rsid w:val="00670D5D"/>
    <w:rsid w:val="00670D8B"/>
    <w:rsid w:val="00670DFF"/>
    <w:rsid w:val="00670E5A"/>
    <w:rsid w:val="00670EDA"/>
    <w:rsid w:val="00670EFC"/>
    <w:rsid w:val="00670F6D"/>
    <w:rsid w:val="00670FB3"/>
    <w:rsid w:val="00670FC7"/>
    <w:rsid w:val="00670FCE"/>
    <w:rsid w:val="00671027"/>
    <w:rsid w:val="006710AE"/>
    <w:rsid w:val="006710E4"/>
    <w:rsid w:val="0067118D"/>
    <w:rsid w:val="00671214"/>
    <w:rsid w:val="0067121C"/>
    <w:rsid w:val="00671230"/>
    <w:rsid w:val="0067125A"/>
    <w:rsid w:val="006712E8"/>
    <w:rsid w:val="00671312"/>
    <w:rsid w:val="006713A0"/>
    <w:rsid w:val="00671427"/>
    <w:rsid w:val="006714C4"/>
    <w:rsid w:val="006715BE"/>
    <w:rsid w:val="00671607"/>
    <w:rsid w:val="0067161D"/>
    <w:rsid w:val="00671643"/>
    <w:rsid w:val="006716B2"/>
    <w:rsid w:val="006716B3"/>
    <w:rsid w:val="006716D5"/>
    <w:rsid w:val="00671778"/>
    <w:rsid w:val="006717A0"/>
    <w:rsid w:val="006717BD"/>
    <w:rsid w:val="006719A4"/>
    <w:rsid w:val="00671A66"/>
    <w:rsid w:val="00671A6E"/>
    <w:rsid w:val="00671AE1"/>
    <w:rsid w:val="00671AF4"/>
    <w:rsid w:val="00671B2E"/>
    <w:rsid w:val="00671B68"/>
    <w:rsid w:val="00671B91"/>
    <w:rsid w:val="00671BC9"/>
    <w:rsid w:val="00671C20"/>
    <w:rsid w:val="00671C65"/>
    <w:rsid w:val="00671CAC"/>
    <w:rsid w:val="00671D5B"/>
    <w:rsid w:val="00671DBD"/>
    <w:rsid w:val="00671E3C"/>
    <w:rsid w:val="00671E4D"/>
    <w:rsid w:val="00671E4E"/>
    <w:rsid w:val="00671FF3"/>
    <w:rsid w:val="00672054"/>
    <w:rsid w:val="0067210B"/>
    <w:rsid w:val="00672121"/>
    <w:rsid w:val="006721DF"/>
    <w:rsid w:val="006721E9"/>
    <w:rsid w:val="0067220D"/>
    <w:rsid w:val="00672249"/>
    <w:rsid w:val="0067224F"/>
    <w:rsid w:val="00672252"/>
    <w:rsid w:val="006722AA"/>
    <w:rsid w:val="0067233C"/>
    <w:rsid w:val="006723A4"/>
    <w:rsid w:val="006723CD"/>
    <w:rsid w:val="006723D3"/>
    <w:rsid w:val="006723E5"/>
    <w:rsid w:val="006723E6"/>
    <w:rsid w:val="006723E9"/>
    <w:rsid w:val="006724AA"/>
    <w:rsid w:val="006724D5"/>
    <w:rsid w:val="00672542"/>
    <w:rsid w:val="00672553"/>
    <w:rsid w:val="00672567"/>
    <w:rsid w:val="0067258C"/>
    <w:rsid w:val="006725AF"/>
    <w:rsid w:val="00672681"/>
    <w:rsid w:val="00672709"/>
    <w:rsid w:val="00672717"/>
    <w:rsid w:val="00672761"/>
    <w:rsid w:val="006727A2"/>
    <w:rsid w:val="006727B1"/>
    <w:rsid w:val="00672850"/>
    <w:rsid w:val="0067286F"/>
    <w:rsid w:val="006728A6"/>
    <w:rsid w:val="00672957"/>
    <w:rsid w:val="00672985"/>
    <w:rsid w:val="006729CB"/>
    <w:rsid w:val="006729CE"/>
    <w:rsid w:val="00672A2A"/>
    <w:rsid w:val="00672A36"/>
    <w:rsid w:val="00672A4C"/>
    <w:rsid w:val="00672B39"/>
    <w:rsid w:val="00672B46"/>
    <w:rsid w:val="00672C6B"/>
    <w:rsid w:val="00672C75"/>
    <w:rsid w:val="00672DD9"/>
    <w:rsid w:val="00672E62"/>
    <w:rsid w:val="00672ED5"/>
    <w:rsid w:val="00672EDA"/>
    <w:rsid w:val="00672F00"/>
    <w:rsid w:val="0067301B"/>
    <w:rsid w:val="00673177"/>
    <w:rsid w:val="00673326"/>
    <w:rsid w:val="00673403"/>
    <w:rsid w:val="0067343F"/>
    <w:rsid w:val="00673448"/>
    <w:rsid w:val="00673495"/>
    <w:rsid w:val="006734B9"/>
    <w:rsid w:val="00673539"/>
    <w:rsid w:val="00673655"/>
    <w:rsid w:val="00673727"/>
    <w:rsid w:val="00673789"/>
    <w:rsid w:val="006737FC"/>
    <w:rsid w:val="00673832"/>
    <w:rsid w:val="0067391F"/>
    <w:rsid w:val="006739C8"/>
    <w:rsid w:val="006739CC"/>
    <w:rsid w:val="00673AE8"/>
    <w:rsid w:val="00673C24"/>
    <w:rsid w:val="00673C8A"/>
    <w:rsid w:val="00673CAD"/>
    <w:rsid w:val="00673CF2"/>
    <w:rsid w:val="00673D5F"/>
    <w:rsid w:val="00673DB9"/>
    <w:rsid w:val="00673E23"/>
    <w:rsid w:val="00673E91"/>
    <w:rsid w:val="00673EDE"/>
    <w:rsid w:val="00673F7E"/>
    <w:rsid w:val="00673F96"/>
    <w:rsid w:val="00673FD9"/>
    <w:rsid w:val="00673FEC"/>
    <w:rsid w:val="00674042"/>
    <w:rsid w:val="00674056"/>
    <w:rsid w:val="006740BC"/>
    <w:rsid w:val="006740C8"/>
    <w:rsid w:val="006740F1"/>
    <w:rsid w:val="00674111"/>
    <w:rsid w:val="006741B1"/>
    <w:rsid w:val="006741B9"/>
    <w:rsid w:val="00674229"/>
    <w:rsid w:val="0067426A"/>
    <w:rsid w:val="0067427C"/>
    <w:rsid w:val="00674293"/>
    <w:rsid w:val="00674307"/>
    <w:rsid w:val="0067431F"/>
    <w:rsid w:val="00674400"/>
    <w:rsid w:val="00674487"/>
    <w:rsid w:val="006744FB"/>
    <w:rsid w:val="00674520"/>
    <w:rsid w:val="00674523"/>
    <w:rsid w:val="00674564"/>
    <w:rsid w:val="00674630"/>
    <w:rsid w:val="00674649"/>
    <w:rsid w:val="006746C5"/>
    <w:rsid w:val="006746EA"/>
    <w:rsid w:val="006746F9"/>
    <w:rsid w:val="00674702"/>
    <w:rsid w:val="0067471E"/>
    <w:rsid w:val="0067471F"/>
    <w:rsid w:val="006747A1"/>
    <w:rsid w:val="006747B2"/>
    <w:rsid w:val="0067484E"/>
    <w:rsid w:val="00674866"/>
    <w:rsid w:val="00674882"/>
    <w:rsid w:val="006748D6"/>
    <w:rsid w:val="0067496E"/>
    <w:rsid w:val="006749FA"/>
    <w:rsid w:val="00674AC1"/>
    <w:rsid w:val="00674B44"/>
    <w:rsid w:val="00674B50"/>
    <w:rsid w:val="00674B5B"/>
    <w:rsid w:val="00674BF9"/>
    <w:rsid w:val="00674C62"/>
    <w:rsid w:val="00674D20"/>
    <w:rsid w:val="00674D5B"/>
    <w:rsid w:val="00674DE9"/>
    <w:rsid w:val="00674DEF"/>
    <w:rsid w:val="00674DFF"/>
    <w:rsid w:val="00674E46"/>
    <w:rsid w:val="00674ED4"/>
    <w:rsid w:val="00674F15"/>
    <w:rsid w:val="00674F85"/>
    <w:rsid w:val="00674FCF"/>
    <w:rsid w:val="006750CE"/>
    <w:rsid w:val="006750D5"/>
    <w:rsid w:val="006750D6"/>
    <w:rsid w:val="006750FD"/>
    <w:rsid w:val="006751A6"/>
    <w:rsid w:val="0067520E"/>
    <w:rsid w:val="00675231"/>
    <w:rsid w:val="00675286"/>
    <w:rsid w:val="006752A0"/>
    <w:rsid w:val="006752FC"/>
    <w:rsid w:val="00675339"/>
    <w:rsid w:val="0067533C"/>
    <w:rsid w:val="00675347"/>
    <w:rsid w:val="0067536D"/>
    <w:rsid w:val="006753D9"/>
    <w:rsid w:val="006753FB"/>
    <w:rsid w:val="00675447"/>
    <w:rsid w:val="00675456"/>
    <w:rsid w:val="006755D6"/>
    <w:rsid w:val="00675617"/>
    <w:rsid w:val="00675678"/>
    <w:rsid w:val="006756FB"/>
    <w:rsid w:val="0067571C"/>
    <w:rsid w:val="00675781"/>
    <w:rsid w:val="006757B0"/>
    <w:rsid w:val="006757E6"/>
    <w:rsid w:val="00675803"/>
    <w:rsid w:val="006758F7"/>
    <w:rsid w:val="0067598D"/>
    <w:rsid w:val="006759AB"/>
    <w:rsid w:val="006759B6"/>
    <w:rsid w:val="006759E2"/>
    <w:rsid w:val="00675A36"/>
    <w:rsid w:val="00675AAD"/>
    <w:rsid w:val="00675B38"/>
    <w:rsid w:val="00675B4E"/>
    <w:rsid w:val="00675BA5"/>
    <w:rsid w:val="00675C08"/>
    <w:rsid w:val="00675C73"/>
    <w:rsid w:val="00675CBE"/>
    <w:rsid w:val="00675CC8"/>
    <w:rsid w:val="00675CD9"/>
    <w:rsid w:val="00675D21"/>
    <w:rsid w:val="00675DEB"/>
    <w:rsid w:val="00675EA1"/>
    <w:rsid w:val="00675EE4"/>
    <w:rsid w:val="00675EFF"/>
    <w:rsid w:val="00675F28"/>
    <w:rsid w:val="00675F74"/>
    <w:rsid w:val="00675F92"/>
    <w:rsid w:val="00675FC6"/>
    <w:rsid w:val="00675FCC"/>
    <w:rsid w:val="00675FD3"/>
    <w:rsid w:val="00675FF4"/>
    <w:rsid w:val="00676048"/>
    <w:rsid w:val="00676084"/>
    <w:rsid w:val="0067609D"/>
    <w:rsid w:val="006760BD"/>
    <w:rsid w:val="006760CB"/>
    <w:rsid w:val="006760F8"/>
    <w:rsid w:val="006760FD"/>
    <w:rsid w:val="00676105"/>
    <w:rsid w:val="00676132"/>
    <w:rsid w:val="00676165"/>
    <w:rsid w:val="00676284"/>
    <w:rsid w:val="00676302"/>
    <w:rsid w:val="00676397"/>
    <w:rsid w:val="006763D9"/>
    <w:rsid w:val="00676472"/>
    <w:rsid w:val="006764CD"/>
    <w:rsid w:val="0067658B"/>
    <w:rsid w:val="006765C3"/>
    <w:rsid w:val="00676637"/>
    <w:rsid w:val="00676723"/>
    <w:rsid w:val="00676741"/>
    <w:rsid w:val="00676760"/>
    <w:rsid w:val="006767BC"/>
    <w:rsid w:val="00676811"/>
    <w:rsid w:val="00676820"/>
    <w:rsid w:val="006768AA"/>
    <w:rsid w:val="006768DE"/>
    <w:rsid w:val="006768E9"/>
    <w:rsid w:val="0067691B"/>
    <w:rsid w:val="0067697A"/>
    <w:rsid w:val="006769C6"/>
    <w:rsid w:val="00676A2D"/>
    <w:rsid w:val="00676AB1"/>
    <w:rsid w:val="00676BC8"/>
    <w:rsid w:val="00676C51"/>
    <w:rsid w:val="00676C87"/>
    <w:rsid w:val="00676D44"/>
    <w:rsid w:val="00676D4C"/>
    <w:rsid w:val="00676E2B"/>
    <w:rsid w:val="00676F25"/>
    <w:rsid w:val="00676F66"/>
    <w:rsid w:val="00676F6D"/>
    <w:rsid w:val="0067701C"/>
    <w:rsid w:val="006770D4"/>
    <w:rsid w:val="0067712D"/>
    <w:rsid w:val="00677130"/>
    <w:rsid w:val="006771CC"/>
    <w:rsid w:val="006771E5"/>
    <w:rsid w:val="00677227"/>
    <w:rsid w:val="0067723E"/>
    <w:rsid w:val="00677252"/>
    <w:rsid w:val="00677275"/>
    <w:rsid w:val="00677295"/>
    <w:rsid w:val="006772DA"/>
    <w:rsid w:val="00677310"/>
    <w:rsid w:val="00677317"/>
    <w:rsid w:val="00677359"/>
    <w:rsid w:val="0067738A"/>
    <w:rsid w:val="006773B8"/>
    <w:rsid w:val="006773BD"/>
    <w:rsid w:val="006773F1"/>
    <w:rsid w:val="0067742A"/>
    <w:rsid w:val="006774B5"/>
    <w:rsid w:val="00677557"/>
    <w:rsid w:val="006775D9"/>
    <w:rsid w:val="006775FB"/>
    <w:rsid w:val="00677728"/>
    <w:rsid w:val="00677766"/>
    <w:rsid w:val="0067777C"/>
    <w:rsid w:val="0067779B"/>
    <w:rsid w:val="006777B1"/>
    <w:rsid w:val="006777B3"/>
    <w:rsid w:val="00677813"/>
    <w:rsid w:val="00677888"/>
    <w:rsid w:val="00677948"/>
    <w:rsid w:val="00677972"/>
    <w:rsid w:val="00677988"/>
    <w:rsid w:val="006779C3"/>
    <w:rsid w:val="00677AA0"/>
    <w:rsid w:val="00677ADD"/>
    <w:rsid w:val="00677BCC"/>
    <w:rsid w:val="00677BE0"/>
    <w:rsid w:val="00677C92"/>
    <w:rsid w:val="00677C93"/>
    <w:rsid w:val="00677CAD"/>
    <w:rsid w:val="00677DA4"/>
    <w:rsid w:val="00677E5A"/>
    <w:rsid w:val="00677E8D"/>
    <w:rsid w:val="00680049"/>
    <w:rsid w:val="00680066"/>
    <w:rsid w:val="006800A5"/>
    <w:rsid w:val="006800A9"/>
    <w:rsid w:val="006800B5"/>
    <w:rsid w:val="00680137"/>
    <w:rsid w:val="00680138"/>
    <w:rsid w:val="0068015A"/>
    <w:rsid w:val="006801E0"/>
    <w:rsid w:val="0068020A"/>
    <w:rsid w:val="00680250"/>
    <w:rsid w:val="0068026C"/>
    <w:rsid w:val="00680287"/>
    <w:rsid w:val="006802E7"/>
    <w:rsid w:val="0068032A"/>
    <w:rsid w:val="00680362"/>
    <w:rsid w:val="0068044E"/>
    <w:rsid w:val="006804E0"/>
    <w:rsid w:val="006804E8"/>
    <w:rsid w:val="00680506"/>
    <w:rsid w:val="0068059E"/>
    <w:rsid w:val="006805C4"/>
    <w:rsid w:val="006806F1"/>
    <w:rsid w:val="006806FA"/>
    <w:rsid w:val="00680783"/>
    <w:rsid w:val="0068078A"/>
    <w:rsid w:val="006807A8"/>
    <w:rsid w:val="006807A9"/>
    <w:rsid w:val="00680803"/>
    <w:rsid w:val="00680814"/>
    <w:rsid w:val="0068082C"/>
    <w:rsid w:val="00680885"/>
    <w:rsid w:val="00680899"/>
    <w:rsid w:val="006808B3"/>
    <w:rsid w:val="006808F7"/>
    <w:rsid w:val="006808FD"/>
    <w:rsid w:val="00680943"/>
    <w:rsid w:val="00680A29"/>
    <w:rsid w:val="00680A38"/>
    <w:rsid w:val="00680A7A"/>
    <w:rsid w:val="00680AAD"/>
    <w:rsid w:val="00680C04"/>
    <w:rsid w:val="00680C32"/>
    <w:rsid w:val="00680CD8"/>
    <w:rsid w:val="00680D02"/>
    <w:rsid w:val="00680ED0"/>
    <w:rsid w:val="00680F7D"/>
    <w:rsid w:val="00680F8D"/>
    <w:rsid w:val="00680FA0"/>
    <w:rsid w:val="00680FC5"/>
    <w:rsid w:val="00680FD6"/>
    <w:rsid w:val="00680FFD"/>
    <w:rsid w:val="00681027"/>
    <w:rsid w:val="006810D1"/>
    <w:rsid w:val="0068113C"/>
    <w:rsid w:val="00681166"/>
    <w:rsid w:val="006811D8"/>
    <w:rsid w:val="006811D9"/>
    <w:rsid w:val="006811E2"/>
    <w:rsid w:val="006811EC"/>
    <w:rsid w:val="00681227"/>
    <w:rsid w:val="0068126F"/>
    <w:rsid w:val="006812AA"/>
    <w:rsid w:val="00681324"/>
    <w:rsid w:val="006813D9"/>
    <w:rsid w:val="00681407"/>
    <w:rsid w:val="00681420"/>
    <w:rsid w:val="0068143D"/>
    <w:rsid w:val="0068151E"/>
    <w:rsid w:val="00681577"/>
    <w:rsid w:val="006815C0"/>
    <w:rsid w:val="0068161A"/>
    <w:rsid w:val="00681632"/>
    <w:rsid w:val="00681674"/>
    <w:rsid w:val="0068168A"/>
    <w:rsid w:val="00681796"/>
    <w:rsid w:val="0068189A"/>
    <w:rsid w:val="006818B0"/>
    <w:rsid w:val="00681933"/>
    <w:rsid w:val="006819D7"/>
    <w:rsid w:val="006819E7"/>
    <w:rsid w:val="00681A15"/>
    <w:rsid w:val="00681A31"/>
    <w:rsid w:val="00681B1D"/>
    <w:rsid w:val="00681BC0"/>
    <w:rsid w:val="00681BEA"/>
    <w:rsid w:val="00681C4A"/>
    <w:rsid w:val="00681C61"/>
    <w:rsid w:val="00681C8E"/>
    <w:rsid w:val="00681CA4"/>
    <w:rsid w:val="00681D02"/>
    <w:rsid w:val="00681D9E"/>
    <w:rsid w:val="00681E11"/>
    <w:rsid w:val="00681E25"/>
    <w:rsid w:val="00681E66"/>
    <w:rsid w:val="00681EDF"/>
    <w:rsid w:val="00681F09"/>
    <w:rsid w:val="00681F1F"/>
    <w:rsid w:val="00681FBD"/>
    <w:rsid w:val="00681FE9"/>
    <w:rsid w:val="00682032"/>
    <w:rsid w:val="00682068"/>
    <w:rsid w:val="006820F9"/>
    <w:rsid w:val="006820FF"/>
    <w:rsid w:val="0068212D"/>
    <w:rsid w:val="00682155"/>
    <w:rsid w:val="00682171"/>
    <w:rsid w:val="006821B4"/>
    <w:rsid w:val="006821C7"/>
    <w:rsid w:val="006821E4"/>
    <w:rsid w:val="006821FA"/>
    <w:rsid w:val="00682243"/>
    <w:rsid w:val="006822B2"/>
    <w:rsid w:val="0068235B"/>
    <w:rsid w:val="0068242E"/>
    <w:rsid w:val="00682506"/>
    <w:rsid w:val="00682575"/>
    <w:rsid w:val="006825AC"/>
    <w:rsid w:val="00682654"/>
    <w:rsid w:val="006826E1"/>
    <w:rsid w:val="006826F5"/>
    <w:rsid w:val="006826FF"/>
    <w:rsid w:val="00682758"/>
    <w:rsid w:val="006827EC"/>
    <w:rsid w:val="0068280B"/>
    <w:rsid w:val="0068284F"/>
    <w:rsid w:val="00682879"/>
    <w:rsid w:val="006828BB"/>
    <w:rsid w:val="006828E9"/>
    <w:rsid w:val="006828F5"/>
    <w:rsid w:val="00682929"/>
    <w:rsid w:val="00682930"/>
    <w:rsid w:val="0068298F"/>
    <w:rsid w:val="006829DD"/>
    <w:rsid w:val="00682A7C"/>
    <w:rsid w:val="00682AAF"/>
    <w:rsid w:val="00682ADB"/>
    <w:rsid w:val="00682B3E"/>
    <w:rsid w:val="00682B47"/>
    <w:rsid w:val="00682BF3"/>
    <w:rsid w:val="00682C01"/>
    <w:rsid w:val="00682C59"/>
    <w:rsid w:val="00682DD1"/>
    <w:rsid w:val="00682E0D"/>
    <w:rsid w:val="00682E1C"/>
    <w:rsid w:val="00682E87"/>
    <w:rsid w:val="00682EC0"/>
    <w:rsid w:val="00682EFA"/>
    <w:rsid w:val="00682FB1"/>
    <w:rsid w:val="0068303A"/>
    <w:rsid w:val="00683066"/>
    <w:rsid w:val="006830D3"/>
    <w:rsid w:val="0068310F"/>
    <w:rsid w:val="0068314C"/>
    <w:rsid w:val="00683156"/>
    <w:rsid w:val="00683197"/>
    <w:rsid w:val="006831E9"/>
    <w:rsid w:val="0068322A"/>
    <w:rsid w:val="0068325D"/>
    <w:rsid w:val="00683296"/>
    <w:rsid w:val="006832A2"/>
    <w:rsid w:val="006832B1"/>
    <w:rsid w:val="006832BA"/>
    <w:rsid w:val="00683334"/>
    <w:rsid w:val="00683352"/>
    <w:rsid w:val="00683357"/>
    <w:rsid w:val="00683409"/>
    <w:rsid w:val="006834B9"/>
    <w:rsid w:val="006834DF"/>
    <w:rsid w:val="0068359B"/>
    <w:rsid w:val="006835B6"/>
    <w:rsid w:val="00683631"/>
    <w:rsid w:val="0068363F"/>
    <w:rsid w:val="0068366A"/>
    <w:rsid w:val="00683689"/>
    <w:rsid w:val="006836D4"/>
    <w:rsid w:val="0068374E"/>
    <w:rsid w:val="00683887"/>
    <w:rsid w:val="00683972"/>
    <w:rsid w:val="006839B3"/>
    <w:rsid w:val="00683A1C"/>
    <w:rsid w:val="00683AC1"/>
    <w:rsid w:val="00683B41"/>
    <w:rsid w:val="00683B44"/>
    <w:rsid w:val="00683B74"/>
    <w:rsid w:val="00683BDC"/>
    <w:rsid w:val="00683C12"/>
    <w:rsid w:val="00683C8D"/>
    <w:rsid w:val="00683CA5"/>
    <w:rsid w:val="00683D56"/>
    <w:rsid w:val="00683D76"/>
    <w:rsid w:val="00683DB8"/>
    <w:rsid w:val="00683DD9"/>
    <w:rsid w:val="00683DE1"/>
    <w:rsid w:val="00683E12"/>
    <w:rsid w:val="00683E2E"/>
    <w:rsid w:val="00683E39"/>
    <w:rsid w:val="00683ED7"/>
    <w:rsid w:val="00683EDB"/>
    <w:rsid w:val="00683EE3"/>
    <w:rsid w:val="00683FD6"/>
    <w:rsid w:val="00683FE9"/>
    <w:rsid w:val="006840B3"/>
    <w:rsid w:val="006840D7"/>
    <w:rsid w:val="00684151"/>
    <w:rsid w:val="00684273"/>
    <w:rsid w:val="006842CF"/>
    <w:rsid w:val="00684318"/>
    <w:rsid w:val="00684339"/>
    <w:rsid w:val="0068438A"/>
    <w:rsid w:val="0068439E"/>
    <w:rsid w:val="006843B4"/>
    <w:rsid w:val="006843D9"/>
    <w:rsid w:val="00684411"/>
    <w:rsid w:val="00684422"/>
    <w:rsid w:val="006844E7"/>
    <w:rsid w:val="00684513"/>
    <w:rsid w:val="0068458D"/>
    <w:rsid w:val="006845B7"/>
    <w:rsid w:val="006845CF"/>
    <w:rsid w:val="006845D0"/>
    <w:rsid w:val="00684621"/>
    <w:rsid w:val="00684639"/>
    <w:rsid w:val="00684653"/>
    <w:rsid w:val="00684688"/>
    <w:rsid w:val="006846DC"/>
    <w:rsid w:val="006846E6"/>
    <w:rsid w:val="006846F8"/>
    <w:rsid w:val="00684720"/>
    <w:rsid w:val="006847FC"/>
    <w:rsid w:val="00684849"/>
    <w:rsid w:val="00684852"/>
    <w:rsid w:val="00684857"/>
    <w:rsid w:val="006848AA"/>
    <w:rsid w:val="006848C1"/>
    <w:rsid w:val="0068490E"/>
    <w:rsid w:val="00684925"/>
    <w:rsid w:val="00684981"/>
    <w:rsid w:val="0068498F"/>
    <w:rsid w:val="00684990"/>
    <w:rsid w:val="00684994"/>
    <w:rsid w:val="006849D4"/>
    <w:rsid w:val="00684A68"/>
    <w:rsid w:val="00684A91"/>
    <w:rsid w:val="00684ACC"/>
    <w:rsid w:val="00684AEE"/>
    <w:rsid w:val="00684B54"/>
    <w:rsid w:val="00684CE0"/>
    <w:rsid w:val="00684D75"/>
    <w:rsid w:val="00684D7F"/>
    <w:rsid w:val="00684D9A"/>
    <w:rsid w:val="00684E00"/>
    <w:rsid w:val="00684E3D"/>
    <w:rsid w:val="00684E99"/>
    <w:rsid w:val="00684EB5"/>
    <w:rsid w:val="00684EC0"/>
    <w:rsid w:val="00684FA9"/>
    <w:rsid w:val="00684FC2"/>
    <w:rsid w:val="0068505A"/>
    <w:rsid w:val="0068510F"/>
    <w:rsid w:val="006851A0"/>
    <w:rsid w:val="00685285"/>
    <w:rsid w:val="0068530E"/>
    <w:rsid w:val="0068532D"/>
    <w:rsid w:val="00685339"/>
    <w:rsid w:val="0068533A"/>
    <w:rsid w:val="0068537D"/>
    <w:rsid w:val="006853C7"/>
    <w:rsid w:val="0068544E"/>
    <w:rsid w:val="00685463"/>
    <w:rsid w:val="006854D4"/>
    <w:rsid w:val="006854FE"/>
    <w:rsid w:val="00685504"/>
    <w:rsid w:val="00685552"/>
    <w:rsid w:val="006855E9"/>
    <w:rsid w:val="00685638"/>
    <w:rsid w:val="00685675"/>
    <w:rsid w:val="00685798"/>
    <w:rsid w:val="006857CD"/>
    <w:rsid w:val="00685838"/>
    <w:rsid w:val="0068588B"/>
    <w:rsid w:val="006858C0"/>
    <w:rsid w:val="006858EC"/>
    <w:rsid w:val="006858FE"/>
    <w:rsid w:val="006859CF"/>
    <w:rsid w:val="00685A36"/>
    <w:rsid w:val="00685A9D"/>
    <w:rsid w:val="00685AFD"/>
    <w:rsid w:val="00685B4A"/>
    <w:rsid w:val="00685BCE"/>
    <w:rsid w:val="00685BF7"/>
    <w:rsid w:val="00685CFD"/>
    <w:rsid w:val="00685D82"/>
    <w:rsid w:val="00685D8F"/>
    <w:rsid w:val="00685D90"/>
    <w:rsid w:val="00685DCF"/>
    <w:rsid w:val="00685DD1"/>
    <w:rsid w:val="00685E0F"/>
    <w:rsid w:val="00685E11"/>
    <w:rsid w:val="00685E34"/>
    <w:rsid w:val="00685E5F"/>
    <w:rsid w:val="00685F0D"/>
    <w:rsid w:val="00685F43"/>
    <w:rsid w:val="00685F81"/>
    <w:rsid w:val="00685F92"/>
    <w:rsid w:val="00685FCF"/>
    <w:rsid w:val="00685FDD"/>
    <w:rsid w:val="0068600B"/>
    <w:rsid w:val="00686013"/>
    <w:rsid w:val="0068605A"/>
    <w:rsid w:val="00686073"/>
    <w:rsid w:val="006860D4"/>
    <w:rsid w:val="00686105"/>
    <w:rsid w:val="0068613B"/>
    <w:rsid w:val="006861A5"/>
    <w:rsid w:val="00686273"/>
    <w:rsid w:val="006862B7"/>
    <w:rsid w:val="00686430"/>
    <w:rsid w:val="0068644B"/>
    <w:rsid w:val="0068647E"/>
    <w:rsid w:val="0068654D"/>
    <w:rsid w:val="0068659F"/>
    <w:rsid w:val="006865BB"/>
    <w:rsid w:val="006865C3"/>
    <w:rsid w:val="00686668"/>
    <w:rsid w:val="0068666E"/>
    <w:rsid w:val="006866D0"/>
    <w:rsid w:val="00686818"/>
    <w:rsid w:val="00686839"/>
    <w:rsid w:val="006868C4"/>
    <w:rsid w:val="006868DA"/>
    <w:rsid w:val="00686955"/>
    <w:rsid w:val="006869B1"/>
    <w:rsid w:val="006869C2"/>
    <w:rsid w:val="006869C6"/>
    <w:rsid w:val="00686BAC"/>
    <w:rsid w:val="00686BCD"/>
    <w:rsid w:val="00686C6A"/>
    <w:rsid w:val="00686C99"/>
    <w:rsid w:val="00686D27"/>
    <w:rsid w:val="00686D57"/>
    <w:rsid w:val="00686D80"/>
    <w:rsid w:val="00686DA8"/>
    <w:rsid w:val="00686DC0"/>
    <w:rsid w:val="00686F04"/>
    <w:rsid w:val="00686F26"/>
    <w:rsid w:val="00687019"/>
    <w:rsid w:val="0068701C"/>
    <w:rsid w:val="006870C4"/>
    <w:rsid w:val="00687105"/>
    <w:rsid w:val="00687153"/>
    <w:rsid w:val="0068717D"/>
    <w:rsid w:val="006872AE"/>
    <w:rsid w:val="006872F2"/>
    <w:rsid w:val="00687313"/>
    <w:rsid w:val="006873B9"/>
    <w:rsid w:val="006873BF"/>
    <w:rsid w:val="0068748E"/>
    <w:rsid w:val="00687524"/>
    <w:rsid w:val="00687526"/>
    <w:rsid w:val="00687548"/>
    <w:rsid w:val="00687585"/>
    <w:rsid w:val="00687611"/>
    <w:rsid w:val="0068763E"/>
    <w:rsid w:val="00687663"/>
    <w:rsid w:val="0068769E"/>
    <w:rsid w:val="00687771"/>
    <w:rsid w:val="006877BE"/>
    <w:rsid w:val="00687828"/>
    <w:rsid w:val="0068788E"/>
    <w:rsid w:val="0068789D"/>
    <w:rsid w:val="006879CB"/>
    <w:rsid w:val="006879F4"/>
    <w:rsid w:val="00687A06"/>
    <w:rsid w:val="00687A0E"/>
    <w:rsid w:val="00687A40"/>
    <w:rsid w:val="00687A41"/>
    <w:rsid w:val="00687AA2"/>
    <w:rsid w:val="00687B63"/>
    <w:rsid w:val="00687B67"/>
    <w:rsid w:val="00687B7B"/>
    <w:rsid w:val="00687BD9"/>
    <w:rsid w:val="00687C1C"/>
    <w:rsid w:val="00687C39"/>
    <w:rsid w:val="00687C4A"/>
    <w:rsid w:val="00687C7B"/>
    <w:rsid w:val="00687CDC"/>
    <w:rsid w:val="00687CFB"/>
    <w:rsid w:val="00687D38"/>
    <w:rsid w:val="00687D96"/>
    <w:rsid w:val="00687DF1"/>
    <w:rsid w:val="00687E0B"/>
    <w:rsid w:val="00687E14"/>
    <w:rsid w:val="00687E97"/>
    <w:rsid w:val="00687EAC"/>
    <w:rsid w:val="00687F1A"/>
    <w:rsid w:val="00687F88"/>
    <w:rsid w:val="00687FC4"/>
    <w:rsid w:val="00687FDE"/>
    <w:rsid w:val="00687FED"/>
    <w:rsid w:val="0069007C"/>
    <w:rsid w:val="0069007E"/>
    <w:rsid w:val="00690121"/>
    <w:rsid w:val="0069013E"/>
    <w:rsid w:val="00690150"/>
    <w:rsid w:val="00690186"/>
    <w:rsid w:val="0069018D"/>
    <w:rsid w:val="0069019B"/>
    <w:rsid w:val="006901CD"/>
    <w:rsid w:val="00690330"/>
    <w:rsid w:val="00690359"/>
    <w:rsid w:val="00690366"/>
    <w:rsid w:val="006903D0"/>
    <w:rsid w:val="006903DC"/>
    <w:rsid w:val="006903E1"/>
    <w:rsid w:val="006903FE"/>
    <w:rsid w:val="0069043C"/>
    <w:rsid w:val="006904B0"/>
    <w:rsid w:val="006904E5"/>
    <w:rsid w:val="0069051C"/>
    <w:rsid w:val="0069051E"/>
    <w:rsid w:val="0069052B"/>
    <w:rsid w:val="00690536"/>
    <w:rsid w:val="006905C6"/>
    <w:rsid w:val="0069060A"/>
    <w:rsid w:val="0069061E"/>
    <w:rsid w:val="006906CD"/>
    <w:rsid w:val="0069072A"/>
    <w:rsid w:val="006907A6"/>
    <w:rsid w:val="006907BD"/>
    <w:rsid w:val="006907E3"/>
    <w:rsid w:val="00690820"/>
    <w:rsid w:val="00690889"/>
    <w:rsid w:val="006908D4"/>
    <w:rsid w:val="006908DF"/>
    <w:rsid w:val="00690919"/>
    <w:rsid w:val="00690A5D"/>
    <w:rsid w:val="00690AA6"/>
    <w:rsid w:val="00690ABC"/>
    <w:rsid w:val="00690B57"/>
    <w:rsid w:val="00690BDD"/>
    <w:rsid w:val="00690C46"/>
    <w:rsid w:val="00690C49"/>
    <w:rsid w:val="00690CC7"/>
    <w:rsid w:val="00690D10"/>
    <w:rsid w:val="00690D5D"/>
    <w:rsid w:val="00690D65"/>
    <w:rsid w:val="00690D97"/>
    <w:rsid w:val="00690DAE"/>
    <w:rsid w:val="0069103F"/>
    <w:rsid w:val="00691084"/>
    <w:rsid w:val="00691136"/>
    <w:rsid w:val="0069114B"/>
    <w:rsid w:val="0069119E"/>
    <w:rsid w:val="006911DA"/>
    <w:rsid w:val="0069121E"/>
    <w:rsid w:val="00691221"/>
    <w:rsid w:val="0069124D"/>
    <w:rsid w:val="00691296"/>
    <w:rsid w:val="006912C8"/>
    <w:rsid w:val="00691372"/>
    <w:rsid w:val="006914E4"/>
    <w:rsid w:val="006915C2"/>
    <w:rsid w:val="00691636"/>
    <w:rsid w:val="0069165D"/>
    <w:rsid w:val="00691664"/>
    <w:rsid w:val="006916ED"/>
    <w:rsid w:val="0069170C"/>
    <w:rsid w:val="006917C7"/>
    <w:rsid w:val="0069183D"/>
    <w:rsid w:val="006919CF"/>
    <w:rsid w:val="00691A76"/>
    <w:rsid w:val="00691ACB"/>
    <w:rsid w:val="00691B64"/>
    <w:rsid w:val="00691B90"/>
    <w:rsid w:val="00691BC1"/>
    <w:rsid w:val="00691C14"/>
    <w:rsid w:val="00691C56"/>
    <w:rsid w:val="00691D57"/>
    <w:rsid w:val="00691D75"/>
    <w:rsid w:val="00691D84"/>
    <w:rsid w:val="00691DA6"/>
    <w:rsid w:val="00691E1D"/>
    <w:rsid w:val="00691F17"/>
    <w:rsid w:val="00691F2A"/>
    <w:rsid w:val="00691F43"/>
    <w:rsid w:val="00691F53"/>
    <w:rsid w:val="00691FE7"/>
    <w:rsid w:val="00692048"/>
    <w:rsid w:val="0069204E"/>
    <w:rsid w:val="00692053"/>
    <w:rsid w:val="006920D9"/>
    <w:rsid w:val="00692122"/>
    <w:rsid w:val="0069213E"/>
    <w:rsid w:val="006921EA"/>
    <w:rsid w:val="0069221B"/>
    <w:rsid w:val="006922C0"/>
    <w:rsid w:val="006923B0"/>
    <w:rsid w:val="0069252F"/>
    <w:rsid w:val="0069253E"/>
    <w:rsid w:val="00692586"/>
    <w:rsid w:val="006925E5"/>
    <w:rsid w:val="00692613"/>
    <w:rsid w:val="00692637"/>
    <w:rsid w:val="00692641"/>
    <w:rsid w:val="0069277D"/>
    <w:rsid w:val="00692878"/>
    <w:rsid w:val="00692910"/>
    <w:rsid w:val="00692953"/>
    <w:rsid w:val="00692995"/>
    <w:rsid w:val="006929B0"/>
    <w:rsid w:val="00692A1C"/>
    <w:rsid w:val="00692A5C"/>
    <w:rsid w:val="00692ACA"/>
    <w:rsid w:val="00692AD9"/>
    <w:rsid w:val="00692AF5"/>
    <w:rsid w:val="00692B65"/>
    <w:rsid w:val="00692C77"/>
    <w:rsid w:val="00692C85"/>
    <w:rsid w:val="00692CBF"/>
    <w:rsid w:val="00692D08"/>
    <w:rsid w:val="00692D1B"/>
    <w:rsid w:val="00692D44"/>
    <w:rsid w:val="00692E56"/>
    <w:rsid w:val="00692EEA"/>
    <w:rsid w:val="00692F0F"/>
    <w:rsid w:val="00692F29"/>
    <w:rsid w:val="00692F44"/>
    <w:rsid w:val="00692F96"/>
    <w:rsid w:val="00692FC4"/>
    <w:rsid w:val="00692FDB"/>
    <w:rsid w:val="0069301A"/>
    <w:rsid w:val="00693041"/>
    <w:rsid w:val="006930A7"/>
    <w:rsid w:val="00693148"/>
    <w:rsid w:val="00693174"/>
    <w:rsid w:val="006931F7"/>
    <w:rsid w:val="006931FC"/>
    <w:rsid w:val="006931FE"/>
    <w:rsid w:val="0069322D"/>
    <w:rsid w:val="006932F5"/>
    <w:rsid w:val="0069336C"/>
    <w:rsid w:val="00693373"/>
    <w:rsid w:val="006934A0"/>
    <w:rsid w:val="0069352F"/>
    <w:rsid w:val="0069353C"/>
    <w:rsid w:val="0069356C"/>
    <w:rsid w:val="00693576"/>
    <w:rsid w:val="006936AC"/>
    <w:rsid w:val="006936C1"/>
    <w:rsid w:val="00693718"/>
    <w:rsid w:val="0069377C"/>
    <w:rsid w:val="00693791"/>
    <w:rsid w:val="006937C9"/>
    <w:rsid w:val="00693935"/>
    <w:rsid w:val="006939A5"/>
    <w:rsid w:val="00693A12"/>
    <w:rsid w:val="00693A5D"/>
    <w:rsid w:val="00693AC7"/>
    <w:rsid w:val="00693B56"/>
    <w:rsid w:val="00693C22"/>
    <w:rsid w:val="00693C58"/>
    <w:rsid w:val="00693C86"/>
    <w:rsid w:val="00693CE8"/>
    <w:rsid w:val="00693D1C"/>
    <w:rsid w:val="00693D5F"/>
    <w:rsid w:val="00693D7D"/>
    <w:rsid w:val="00693DA0"/>
    <w:rsid w:val="00693E25"/>
    <w:rsid w:val="00693E3D"/>
    <w:rsid w:val="00693F0E"/>
    <w:rsid w:val="00693F93"/>
    <w:rsid w:val="00693FA6"/>
    <w:rsid w:val="00693FB5"/>
    <w:rsid w:val="0069409F"/>
    <w:rsid w:val="00694100"/>
    <w:rsid w:val="00694126"/>
    <w:rsid w:val="00694170"/>
    <w:rsid w:val="0069423E"/>
    <w:rsid w:val="0069424D"/>
    <w:rsid w:val="006942CC"/>
    <w:rsid w:val="00694306"/>
    <w:rsid w:val="00694367"/>
    <w:rsid w:val="00694381"/>
    <w:rsid w:val="006943FE"/>
    <w:rsid w:val="00694420"/>
    <w:rsid w:val="006944A6"/>
    <w:rsid w:val="0069452E"/>
    <w:rsid w:val="00694553"/>
    <w:rsid w:val="00694583"/>
    <w:rsid w:val="006945B7"/>
    <w:rsid w:val="006945E6"/>
    <w:rsid w:val="00694618"/>
    <w:rsid w:val="0069464B"/>
    <w:rsid w:val="006946B1"/>
    <w:rsid w:val="00694701"/>
    <w:rsid w:val="006947B4"/>
    <w:rsid w:val="006947CD"/>
    <w:rsid w:val="006947D7"/>
    <w:rsid w:val="006947DD"/>
    <w:rsid w:val="006947FB"/>
    <w:rsid w:val="00694846"/>
    <w:rsid w:val="006948B0"/>
    <w:rsid w:val="00694917"/>
    <w:rsid w:val="0069494F"/>
    <w:rsid w:val="006949EC"/>
    <w:rsid w:val="00694A08"/>
    <w:rsid w:val="00694A0F"/>
    <w:rsid w:val="00694B1F"/>
    <w:rsid w:val="00694B4C"/>
    <w:rsid w:val="00694CE2"/>
    <w:rsid w:val="00694D00"/>
    <w:rsid w:val="00694D24"/>
    <w:rsid w:val="00694D76"/>
    <w:rsid w:val="00694D8A"/>
    <w:rsid w:val="00694DB0"/>
    <w:rsid w:val="00694DB6"/>
    <w:rsid w:val="00694DC6"/>
    <w:rsid w:val="00694E06"/>
    <w:rsid w:val="00694F8A"/>
    <w:rsid w:val="00694F99"/>
    <w:rsid w:val="00695057"/>
    <w:rsid w:val="006950C4"/>
    <w:rsid w:val="006950E4"/>
    <w:rsid w:val="00695176"/>
    <w:rsid w:val="00695182"/>
    <w:rsid w:val="0069522F"/>
    <w:rsid w:val="006952C9"/>
    <w:rsid w:val="0069532D"/>
    <w:rsid w:val="00695343"/>
    <w:rsid w:val="006953B0"/>
    <w:rsid w:val="00695404"/>
    <w:rsid w:val="00695429"/>
    <w:rsid w:val="00695444"/>
    <w:rsid w:val="0069549C"/>
    <w:rsid w:val="00695537"/>
    <w:rsid w:val="00695585"/>
    <w:rsid w:val="0069559F"/>
    <w:rsid w:val="006956E1"/>
    <w:rsid w:val="00695750"/>
    <w:rsid w:val="00695839"/>
    <w:rsid w:val="0069584B"/>
    <w:rsid w:val="006958AD"/>
    <w:rsid w:val="006958B5"/>
    <w:rsid w:val="00695997"/>
    <w:rsid w:val="00695A2F"/>
    <w:rsid w:val="00695A72"/>
    <w:rsid w:val="00695AA0"/>
    <w:rsid w:val="00695ADA"/>
    <w:rsid w:val="00695B1D"/>
    <w:rsid w:val="00695BC1"/>
    <w:rsid w:val="00695BDD"/>
    <w:rsid w:val="00695C3B"/>
    <w:rsid w:val="00695C5E"/>
    <w:rsid w:val="00695CE8"/>
    <w:rsid w:val="00695D2D"/>
    <w:rsid w:val="00695D8D"/>
    <w:rsid w:val="00695ED5"/>
    <w:rsid w:val="00695F36"/>
    <w:rsid w:val="006960A7"/>
    <w:rsid w:val="00696134"/>
    <w:rsid w:val="00696148"/>
    <w:rsid w:val="0069614F"/>
    <w:rsid w:val="006961AD"/>
    <w:rsid w:val="006962D2"/>
    <w:rsid w:val="0069644A"/>
    <w:rsid w:val="00696487"/>
    <w:rsid w:val="006964D3"/>
    <w:rsid w:val="00696589"/>
    <w:rsid w:val="006965F9"/>
    <w:rsid w:val="00696634"/>
    <w:rsid w:val="006966A9"/>
    <w:rsid w:val="006966DC"/>
    <w:rsid w:val="00696723"/>
    <w:rsid w:val="00696726"/>
    <w:rsid w:val="00696757"/>
    <w:rsid w:val="00696803"/>
    <w:rsid w:val="00696824"/>
    <w:rsid w:val="006968AD"/>
    <w:rsid w:val="0069695D"/>
    <w:rsid w:val="00696990"/>
    <w:rsid w:val="006969B2"/>
    <w:rsid w:val="00696A29"/>
    <w:rsid w:val="00696B0C"/>
    <w:rsid w:val="00696B46"/>
    <w:rsid w:val="00696B70"/>
    <w:rsid w:val="00696C12"/>
    <w:rsid w:val="00696C9D"/>
    <w:rsid w:val="00696D4F"/>
    <w:rsid w:val="00696E39"/>
    <w:rsid w:val="00696EAB"/>
    <w:rsid w:val="00696EB0"/>
    <w:rsid w:val="00696EEC"/>
    <w:rsid w:val="00696F2F"/>
    <w:rsid w:val="00696FAD"/>
    <w:rsid w:val="00696FB1"/>
    <w:rsid w:val="00696FD7"/>
    <w:rsid w:val="0069700A"/>
    <w:rsid w:val="0069700B"/>
    <w:rsid w:val="006970F2"/>
    <w:rsid w:val="006970FE"/>
    <w:rsid w:val="00697135"/>
    <w:rsid w:val="006971E0"/>
    <w:rsid w:val="0069730D"/>
    <w:rsid w:val="00697372"/>
    <w:rsid w:val="006973D8"/>
    <w:rsid w:val="006974E5"/>
    <w:rsid w:val="0069751B"/>
    <w:rsid w:val="00697560"/>
    <w:rsid w:val="00697568"/>
    <w:rsid w:val="00697585"/>
    <w:rsid w:val="006975B4"/>
    <w:rsid w:val="0069761A"/>
    <w:rsid w:val="006976B4"/>
    <w:rsid w:val="006976B6"/>
    <w:rsid w:val="006976E4"/>
    <w:rsid w:val="00697748"/>
    <w:rsid w:val="006977B1"/>
    <w:rsid w:val="0069783C"/>
    <w:rsid w:val="006978A9"/>
    <w:rsid w:val="0069793E"/>
    <w:rsid w:val="00697A21"/>
    <w:rsid w:val="00697BA0"/>
    <w:rsid w:val="00697C58"/>
    <w:rsid w:val="00697CD6"/>
    <w:rsid w:val="00697CDB"/>
    <w:rsid w:val="00697D60"/>
    <w:rsid w:val="00697D99"/>
    <w:rsid w:val="00697DA0"/>
    <w:rsid w:val="00697EC6"/>
    <w:rsid w:val="00697F66"/>
    <w:rsid w:val="00697FFD"/>
    <w:rsid w:val="006A00E7"/>
    <w:rsid w:val="006A0121"/>
    <w:rsid w:val="006A0125"/>
    <w:rsid w:val="006A013B"/>
    <w:rsid w:val="006A02B0"/>
    <w:rsid w:val="006A0305"/>
    <w:rsid w:val="006A0356"/>
    <w:rsid w:val="006A03E3"/>
    <w:rsid w:val="006A0456"/>
    <w:rsid w:val="006A046D"/>
    <w:rsid w:val="006A04F2"/>
    <w:rsid w:val="006A0523"/>
    <w:rsid w:val="006A058A"/>
    <w:rsid w:val="006A060F"/>
    <w:rsid w:val="006A0814"/>
    <w:rsid w:val="006A0943"/>
    <w:rsid w:val="006A09B8"/>
    <w:rsid w:val="006A0A38"/>
    <w:rsid w:val="006A0A5B"/>
    <w:rsid w:val="006A0B81"/>
    <w:rsid w:val="006A0BF9"/>
    <w:rsid w:val="006A0C66"/>
    <w:rsid w:val="006A0C7C"/>
    <w:rsid w:val="006A0C99"/>
    <w:rsid w:val="006A0CA7"/>
    <w:rsid w:val="006A0CB8"/>
    <w:rsid w:val="006A0CF6"/>
    <w:rsid w:val="006A0D52"/>
    <w:rsid w:val="006A0D5C"/>
    <w:rsid w:val="006A0D6F"/>
    <w:rsid w:val="006A0DE4"/>
    <w:rsid w:val="006A0DE9"/>
    <w:rsid w:val="006A0E27"/>
    <w:rsid w:val="006A0F54"/>
    <w:rsid w:val="006A1000"/>
    <w:rsid w:val="006A1067"/>
    <w:rsid w:val="006A107E"/>
    <w:rsid w:val="006A1169"/>
    <w:rsid w:val="006A1239"/>
    <w:rsid w:val="006A12B0"/>
    <w:rsid w:val="006A12D0"/>
    <w:rsid w:val="006A1360"/>
    <w:rsid w:val="006A13CE"/>
    <w:rsid w:val="006A14BE"/>
    <w:rsid w:val="006A14BF"/>
    <w:rsid w:val="006A14CD"/>
    <w:rsid w:val="006A1565"/>
    <w:rsid w:val="006A157C"/>
    <w:rsid w:val="006A157D"/>
    <w:rsid w:val="006A158A"/>
    <w:rsid w:val="006A1609"/>
    <w:rsid w:val="006A162A"/>
    <w:rsid w:val="006A1667"/>
    <w:rsid w:val="006A167E"/>
    <w:rsid w:val="006A168D"/>
    <w:rsid w:val="006A16A4"/>
    <w:rsid w:val="006A16B0"/>
    <w:rsid w:val="006A16BC"/>
    <w:rsid w:val="006A16C3"/>
    <w:rsid w:val="006A16DD"/>
    <w:rsid w:val="006A173B"/>
    <w:rsid w:val="006A1744"/>
    <w:rsid w:val="006A17B5"/>
    <w:rsid w:val="006A18B9"/>
    <w:rsid w:val="006A1905"/>
    <w:rsid w:val="006A196C"/>
    <w:rsid w:val="006A19A6"/>
    <w:rsid w:val="006A1A6C"/>
    <w:rsid w:val="006A1AAC"/>
    <w:rsid w:val="006A1AD1"/>
    <w:rsid w:val="006A1B52"/>
    <w:rsid w:val="006A1B79"/>
    <w:rsid w:val="006A1C53"/>
    <w:rsid w:val="006A1C8E"/>
    <w:rsid w:val="006A1DED"/>
    <w:rsid w:val="006A1E2F"/>
    <w:rsid w:val="006A1EE9"/>
    <w:rsid w:val="006A1F3C"/>
    <w:rsid w:val="006A2011"/>
    <w:rsid w:val="006A2013"/>
    <w:rsid w:val="006A2063"/>
    <w:rsid w:val="006A20CD"/>
    <w:rsid w:val="006A21DC"/>
    <w:rsid w:val="006A221F"/>
    <w:rsid w:val="006A224C"/>
    <w:rsid w:val="006A2260"/>
    <w:rsid w:val="006A22A1"/>
    <w:rsid w:val="006A22B0"/>
    <w:rsid w:val="006A232C"/>
    <w:rsid w:val="006A23AE"/>
    <w:rsid w:val="006A23C6"/>
    <w:rsid w:val="006A23DA"/>
    <w:rsid w:val="006A241C"/>
    <w:rsid w:val="006A2420"/>
    <w:rsid w:val="006A2436"/>
    <w:rsid w:val="006A2473"/>
    <w:rsid w:val="006A24CC"/>
    <w:rsid w:val="006A24F6"/>
    <w:rsid w:val="006A2624"/>
    <w:rsid w:val="006A2641"/>
    <w:rsid w:val="006A26B4"/>
    <w:rsid w:val="006A26EA"/>
    <w:rsid w:val="006A26F7"/>
    <w:rsid w:val="006A2706"/>
    <w:rsid w:val="006A281D"/>
    <w:rsid w:val="006A284D"/>
    <w:rsid w:val="006A287F"/>
    <w:rsid w:val="006A28F3"/>
    <w:rsid w:val="006A2A44"/>
    <w:rsid w:val="006A2A5B"/>
    <w:rsid w:val="006A2A5F"/>
    <w:rsid w:val="006A2AE9"/>
    <w:rsid w:val="006A2B56"/>
    <w:rsid w:val="006A2B72"/>
    <w:rsid w:val="006A2BDB"/>
    <w:rsid w:val="006A2C17"/>
    <w:rsid w:val="006A2D5E"/>
    <w:rsid w:val="006A2D96"/>
    <w:rsid w:val="006A2DA9"/>
    <w:rsid w:val="006A2E01"/>
    <w:rsid w:val="006A2E64"/>
    <w:rsid w:val="006A2E84"/>
    <w:rsid w:val="006A2EF3"/>
    <w:rsid w:val="006A2FAB"/>
    <w:rsid w:val="006A2FED"/>
    <w:rsid w:val="006A2FF6"/>
    <w:rsid w:val="006A3015"/>
    <w:rsid w:val="006A3076"/>
    <w:rsid w:val="006A30AA"/>
    <w:rsid w:val="006A30B4"/>
    <w:rsid w:val="006A30DD"/>
    <w:rsid w:val="006A31A0"/>
    <w:rsid w:val="006A31DC"/>
    <w:rsid w:val="006A3258"/>
    <w:rsid w:val="006A3405"/>
    <w:rsid w:val="006A3416"/>
    <w:rsid w:val="006A349C"/>
    <w:rsid w:val="006A34A1"/>
    <w:rsid w:val="006A34F3"/>
    <w:rsid w:val="006A3568"/>
    <w:rsid w:val="006A35EE"/>
    <w:rsid w:val="006A3691"/>
    <w:rsid w:val="006A3739"/>
    <w:rsid w:val="006A3747"/>
    <w:rsid w:val="006A3785"/>
    <w:rsid w:val="006A37FE"/>
    <w:rsid w:val="006A381E"/>
    <w:rsid w:val="006A38F8"/>
    <w:rsid w:val="006A39E6"/>
    <w:rsid w:val="006A3A63"/>
    <w:rsid w:val="006A3A7D"/>
    <w:rsid w:val="006A3AB9"/>
    <w:rsid w:val="006A3AD6"/>
    <w:rsid w:val="006A3AD8"/>
    <w:rsid w:val="006A3AE8"/>
    <w:rsid w:val="006A3C66"/>
    <w:rsid w:val="006A3C8D"/>
    <w:rsid w:val="006A3C90"/>
    <w:rsid w:val="006A3C96"/>
    <w:rsid w:val="006A3CBD"/>
    <w:rsid w:val="006A3CCB"/>
    <w:rsid w:val="006A3CE1"/>
    <w:rsid w:val="006A3D61"/>
    <w:rsid w:val="006A3DAE"/>
    <w:rsid w:val="006A3DC3"/>
    <w:rsid w:val="006A3DF0"/>
    <w:rsid w:val="006A3E6D"/>
    <w:rsid w:val="006A3EC1"/>
    <w:rsid w:val="006A3EC4"/>
    <w:rsid w:val="006A3EDA"/>
    <w:rsid w:val="006A3EDD"/>
    <w:rsid w:val="006A3EE9"/>
    <w:rsid w:val="006A3FA1"/>
    <w:rsid w:val="006A3FC5"/>
    <w:rsid w:val="006A4022"/>
    <w:rsid w:val="006A403C"/>
    <w:rsid w:val="006A4073"/>
    <w:rsid w:val="006A4084"/>
    <w:rsid w:val="006A41C1"/>
    <w:rsid w:val="006A429A"/>
    <w:rsid w:val="006A42E6"/>
    <w:rsid w:val="006A433A"/>
    <w:rsid w:val="006A433C"/>
    <w:rsid w:val="006A4370"/>
    <w:rsid w:val="006A438D"/>
    <w:rsid w:val="006A43C5"/>
    <w:rsid w:val="006A441C"/>
    <w:rsid w:val="006A4565"/>
    <w:rsid w:val="006A4576"/>
    <w:rsid w:val="006A45ED"/>
    <w:rsid w:val="006A4684"/>
    <w:rsid w:val="006A46B4"/>
    <w:rsid w:val="006A46D7"/>
    <w:rsid w:val="006A46FF"/>
    <w:rsid w:val="006A47D2"/>
    <w:rsid w:val="006A47E1"/>
    <w:rsid w:val="006A482E"/>
    <w:rsid w:val="006A48C5"/>
    <w:rsid w:val="006A4920"/>
    <w:rsid w:val="006A4A2A"/>
    <w:rsid w:val="006A4A58"/>
    <w:rsid w:val="006A4A77"/>
    <w:rsid w:val="006A4B0A"/>
    <w:rsid w:val="006A4B16"/>
    <w:rsid w:val="006A4B8B"/>
    <w:rsid w:val="006A4BCF"/>
    <w:rsid w:val="006A4C1E"/>
    <w:rsid w:val="006A4D04"/>
    <w:rsid w:val="006A4D63"/>
    <w:rsid w:val="006A4D68"/>
    <w:rsid w:val="006A4DAA"/>
    <w:rsid w:val="006A4E27"/>
    <w:rsid w:val="006A4E2F"/>
    <w:rsid w:val="006A4EBC"/>
    <w:rsid w:val="006A4EC8"/>
    <w:rsid w:val="006A5066"/>
    <w:rsid w:val="006A50A0"/>
    <w:rsid w:val="006A50FE"/>
    <w:rsid w:val="006A5150"/>
    <w:rsid w:val="006A518D"/>
    <w:rsid w:val="006A51C4"/>
    <w:rsid w:val="006A523A"/>
    <w:rsid w:val="006A5290"/>
    <w:rsid w:val="006A534D"/>
    <w:rsid w:val="006A5391"/>
    <w:rsid w:val="006A539E"/>
    <w:rsid w:val="006A53BC"/>
    <w:rsid w:val="006A53C0"/>
    <w:rsid w:val="006A5407"/>
    <w:rsid w:val="006A5426"/>
    <w:rsid w:val="006A5469"/>
    <w:rsid w:val="006A5483"/>
    <w:rsid w:val="006A5568"/>
    <w:rsid w:val="006A5634"/>
    <w:rsid w:val="006A56F9"/>
    <w:rsid w:val="006A5781"/>
    <w:rsid w:val="006A57B5"/>
    <w:rsid w:val="006A5854"/>
    <w:rsid w:val="006A5A20"/>
    <w:rsid w:val="006A5BD1"/>
    <w:rsid w:val="006A5BF5"/>
    <w:rsid w:val="006A5C85"/>
    <w:rsid w:val="006A5C8D"/>
    <w:rsid w:val="006A5C9E"/>
    <w:rsid w:val="006A5CBD"/>
    <w:rsid w:val="006A5D5B"/>
    <w:rsid w:val="006A5D86"/>
    <w:rsid w:val="006A5E04"/>
    <w:rsid w:val="006A5F4A"/>
    <w:rsid w:val="006A5FED"/>
    <w:rsid w:val="006A6074"/>
    <w:rsid w:val="006A6164"/>
    <w:rsid w:val="006A6202"/>
    <w:rsid w:val="006A627A"/>
    <w:rsid w:val="006A63E7"/>
    <w:rsid w:val="006A6417"/>
    <w:rsid w:val="006A643D"/>
    <w:rsid w:val="006A64A6"/>
    <w:rsid w:val="006A653B"/>
    <w:rsid w:val="006A6562"/>
    <w:rsid w:val="006A6589"/>
    <w:rsid w:val="006A65DF"/>
    <w:rsid w:val="006A663E"/>
    <w:rsid w:val="006A66A3"/>
    <w:rsid w:val="006A66DE"/>
    <w:rsid w:val="006A66ED"/>
    <w:rsid w:val="006A6710"/>
    <w:rsid w:val="006A672F"/>
    <w:rsid w:val="006A6765"/>
    <w:rsid w:val="006A679F"/>
    <w:rsid w:val="006A67C9"/>
    <w:rsid w:val="006A67D2"/>
    <w:rsid w:val="006A6832"/>
    <w:rsid w:val="006A68B8"/>
    <w:rsid w:val="006A6953"/>
    <w:rsid w:val="006A69A0"/>
    <w:rsid w:val="006A69F9"/>
    <w:rsid w:val="006A6A7D"/>
    <w:rsid w:val="006A6AF0"/>
    <w:rsid w:val="006A6AF6"/>
    <w:rsid w:val="006A6B0C"/>
    <w:rsid w:val="006A6B53"/>
    <w:rsid w:val="006A6BED"/>
    <w:rsid w:val="006A6BF7"/>
    <w:rsid w:val="006A6C53"/>
    <w:rsid w:val="006A6DCB"/>
    <w:rsid w:val="006A6DE3"/>
    <w:rsid w:val="006A6E4E"/>
    <w:rsid w:val="006A6E72"/>
    <w:rsid w:val="006A6E8D"/>
    <w:rsid w:val="006A6EA0"/>
    <w:rsid w:val="006A6F8C"/>
    <w:rsid w:val="006A703F"/>
    <w:rsid w:val="006A7058"/>
    <w:rsid w:val="006A70ED"/>
    <w:rsid w:val="006A7159"/>
    <w:rsid w:val="006A718C"/>
    <w:rsid w:val="006A71BA"/>
    <w:rsid w:val="006A71FF"/>
    <w:rsid w:val="006A7210"/>
    <w:rsid w:val="006A7235"/>
    <w:rsid w:val="006A7247"/>
    <w:rsid w:val="006A72A6"/>
    <w:rsid w:val="006A72CA"/>
    <w:rsid w:val="006A72CF"/>
    <w:rsid w:val="006A7399"/>
    <w:rsid w:val="006A73B9"/>
    <w:rsid w:val="006A73D6"/>
    <w:rsid w:val="006A7433"/>
    <w:rsid w:val="006A7451"/>
    <w:rsid w:val="006A7475"/>
    <w:rsid w:val="006A75F6"/>
    <w:rsid w:val="006A75F8"/>
    <w:rsid w:val="006A7616"/>
    <w:rsid w:val="006A7647"/>
    <w:rsid w:val="006A7675"/>
    <w:rsid w:val="006A768B"/>
    <w:rsid w:val="006A76B9"/>
    <w:rsid w:val="006A76D0"/>
    <w:rsid w:val="006A76EE"/>
    <w:rsid w:val="006A76FC"/>
    <w:rsid w:val="006A7743"/>
    <w:rsid w:val="006A787B"/>
    <w:rsid w:val="006A7918"/>
    <w:rsid w:val="006A7990"/>
    <w:rsid w:val="006A79F1"/>
    <w:rsid w:val="006A7A23"/>
    <w:rsid w:val="006A7A4E"/>
    <w:rsid w:val="006A7A74"/>
    <w:rsid w:val="006A7AA9"/>
    <w:rsid w:val="006A7B38"/>
    <w:rsid w:val="006A7BA0"/>
    <w:rsid w:val="006A7BA2"/>
    <w:rsid w:val="006A7BAC"/>
    <w:rsid w:val="006A7C63"/>
    <w:rsid w:val="006A7C7E"/>
    <w:rsid w:val="006A7CC6"/>
    <w:rsid w:val="006A7D79"/>
    <w:rsid w:val="006A7DA2"/>
    <w:rsid w:val="006A7E8B"/>
    <w:rsid w:val="006A7EC7"/>
    <w:rsid w:val="006A7F6B"/>
    <w:rsid w:val="006A7FB2"/>
    <w:rsid w:val="006B0003"/>
    <w:rsid w:val="006B0088"/>
    <w:rsid w:val="006B00A0"/>
    <w:rsid w:val="006B0171"/>
    <w:rsid w:val="006B017E"/>
    <w:rsid w:val="006B0288"/>
    <w:rsid w:val="006B02A1"/>
    <w:rsid w:val="006B02AE"/>
    <w:rsid w:val="006B02E8"/>
    <w:rsid w:val="006B0316"/>
    <w:rsid w:val="006B03A2"/>
    <w:rsid w:val="006B04C3"/>
    <w:rsid w:val="006B055B"/>
    <w:rsid w:val="006B0651"/>
    <w:rsid w:val="006B0686"/>
    <w:rsid w:val="006B0717"/>
    <w:rsid w:val="006B0737"/>
    <w:rsid w:val="006B0858"/>
    <w:rsid w:val="006B0904"/>
    <w:rsid w:val="006B090B"/>
    <w:rsid w:val="006B097D"/>
    <w:rsid w:val="006B0992"/>
    <w:rsid w:val="006B09E1"/>
    <w:rsid w:val="006B0A6E"/>
    <w:rsid w:val="006B0A86"/>
    <w:rsid w:val="006B0B02"/>
    <w:rsid w:val="006B0B49"/>
    <w:rsid w:val="006B0B54"/>
    <w:rsid w:val="006B0B7A"/>
    <w:rsid w:val="006B0BC7"/>
    <w:rsid w:val="006B0C2D"/>
    <w:rsid w:val="006B0C7C"/>
    <w:rsid w:val="006B0CDF"/>
    <w:rsid w:val="006B0D05"/>
    <w:rsid w:val="006B0D15"/>
    <w:rsid w:val="006B0D1C"/>
    <w:rsid w:val="006B0D76"/>
    <w:rsid w:val="006B0DB3"/>
    <w:rsid w:val="006B0E9F"/>
    <w:rsid w:val="006B0F00"/>
    <w:rsid w:val="006B0F69"/>
    <w:rsid w:val="006B0F92"/>
    <w:rsid w:val="006B0FAE"/>
    <w:rsid w:val="006B1046"/>
    <w:rsid w:val="006B1055"/>
    <w:rsid w:val="006B1069"/>
    <w:rsid w:val="006B10A3"/>
    <w:rsid w:val="006B10A8"/>
    <w:rsid w:val="006B10B5"/>
    <w:rsid w:val="006B10B8"/>
    <w:rsid w:val="006B1133"/>
    <w:rsid w:val="006B1156"/>
    <w:rsid w:val="006B1171"/>
    <w:rsid w:val="006B117B"/>
    <w:rsid w:val="006B119C"/>
    <w:rsid w:val="006B121A"/>
    <w:rsid w:val="006B1294"/>
    <w:rsid w:val="006B12D6"/>
    <w:rsid w:val="006B12ED"/>
    <w:rsid w:val="006B1333"/>
    <w:rsid w:val="006B1358"/>
    <w:rsid w:val="006B13A1"/>
    <w:rsid w:val="006B1436"/>
    <w:rsid w:val="006B1457"/>
    <w:rsid w:val="006B14B1"/>
    <w:rsid w:val="006B14CD"/>
    <w:rsid w:val="006B158A"/>
    <w:rsid w:val="006B15C8"/>
    <w:rsid w:val="006B15FA"/>
    <w:rsid w:val="006B1645"/>
    <w:rsid w:val="006B178B"/>
    <w:rsid w:val="006B1874"/>
    <w:rsid w:val="006B18CA"/>
    <w:rsid w:val="006B192C"/>
    <w:rsid w:val="006B1942"/>
    <w:rsid w:val="006B199A"/>
    <w:rsid w:val="006B19A0"/>
    <w:rsid w:val="006B19A2"/>
    <w:rsid w:val="006B19F3"/>
    <w:rsid w:val="006B1A2A"/>
    <w:rsid w:val="006B1AFB"/>
    <w:rsid w:val="006B1B26"/>
    <w:rsid w:val="006B1B31"/>
    <w:rsid w:val="006B1BBC"/>
    <w:rsid w:val="006B1C25"/>
    <w:rsid w:val="006B1C3F"/>
    <w:rsid w:val="006B1CE7"/>
    <w:rsid w:val="006B1D5D"/>
    <w:rsid w:val="006B1E09"/>
    <w:rsid w:val="006B1E21"/>
    <w:rsid w:val="006B1EAD"/>
    <w:rsid w:val="006B1F15"/>
    <w:rsid w:val="006B1FB2"/>
    <w:rsid w:val="006B1FC1"/>
    <w:rsid w:val="006B1FD7"/>
    <w:rsid w:val="006B1FFF"/>
    <w:rsid w:val="006B2002"/>
    <w:rsid w:val="006B201E"/>
    <w:rsid w:val="006B2041"/>
    <w:rsid w:val="006B208E"/>
    <w:rsid w:val="006B20AF"/>
    <w:rsid w:val="006B2107"/>
    <w:rsid w:val="006B2221"/>
    <w:rsid w:val="006B227A"/>
    <w:rsid w:val="006B2338"/>
    <w:rsid w:val="006B235D"/>
    <w:rsid w:val="006B236B"/>
    <w:rsid w:val="006B23AA"/>
    <w:rsid w:val="006B23B7"/>
    <w:rsid w:val="006B2427"/>
    <w:rsid w:val="006B246F"/>
    <w:rsid w:val="006B24D4"/>
    <w:rsid w:val="006B24DE"/>
    <w:rsid w:val="006B2566"/>
    <w:rsid w:val="006B2590"/>
    <w:rsid w:val="006B2624"/>
    <w:rsid w:val="006B270F"/>
    <w:rsid w:val="006B2751"/>
    <w:rsid w:val="006B279A"/>
    <w:rsid w:val="006B279F"/>
    <w:rsid w:val="006B27AA"/>
    <w:rsid w:val="006B27B4"/>
    <w:rsid w:val="006B2811"/>
    <w:rsid w:val="006B2819"/>
    <w:rsid w:val="006B281A"/>
    <w:rsid w:val="006B28B4"/>
    <w:rsid w:val="006B28B6"/>
    <w:rsid w:val="006B2A3C"/>
    <w:rsid w:val="006B2A61"/>
    <w:rsid w:val="006B2A81"/>
    <w:rsid w:val="006B2AAF"/>
    <w:rsid w:val="006B2B11"/>
    <w:rsid w:val="006B2BC3"/>
    <w:rsid w:val="006B2CC0"/>
    <w:rsid w:val="006B2D2B"/>
    <w:rsid w:val="006B2D44"/>
    <w:rsid w:val="006B2D4C"/>
    <w:rsid w:val="006B2D99"/>
    <w:rsid w:val="006B2DAA"/>
    <w:rsid w:val="006B2E83"/>
    <w:rsid w:val="006B2EBD"/>
    <w:rsid w:val="006B2EFE"/>
    <w:rsid w:val="006B2F9D"/>
    <w:rsid w:val="006B2FBE"/>
    <w:rsid w:val="006B3098"/>
    <w:rsid w:val="006B30DF"/>
    <w:rsid w:val="006B3162"/>
    <w:rsid w:val="006B317E"/>
    <w:rsid w:val="006B3189"/>
    <w:rsid w:val="006B3190"/>
    <w:rsid w:val="006B31DC"/>
    <w:rsid w:val="006B31FF"/>
    <w:rsid w:val="006B3209"/>
    <w:rsid w:val="006B3255"/>
    <w:rsid w:val="006B32D3"/>
    <w:rsid w:val="006B32E7"/>
    <w:rsid w:val="006B32F2"/>
    <w:rsid w:val="006B3316"/>
    <w:rsid w:val="006B336C"/>
    <w:rsid w:val="006B346E"/>
    <w:rsid w:val="006B34B5"/>
    <w:rsid w:val="006B34E2"/>
    <w:rsid w:val="006B34E7"/>
    <w:rsid w:val="006B3558"/>
    <w:rsid w:val="006B3596"/>
    <w:rsid w:val="006B35BA"/>
    <w:rsid w:val="006B366D"/>
    <w:rsid w:val="006B371A"/>
    <w:rsid w:val="006B3768"/>
    <w:rsid w:val="006B37CE"/>
    <w:rsid w:val="006B3853"/>
    <w:rsid w:val="006B3866"/>
    <w:rsid w:val="006B38A6"/>
    <w:rsid w:val="006B396C"/>
    <w:rsid w:val="006B3974"/>
    <w:rsid w:val="006B3A3A"/>
    <w:rsid w:val="006B3AA7"/>
    <w:rsid w:val="006B3ADC"/>
    <w:rsid w:val="006B3AE9"/>
    <w:rsid w:val="006B3AF6"/>
    <w:rsid w:val="006B3B17"/>
    <w:rsid w:val="006B3B39"/>
    <w:rsid w:val="006B3B6C"/>
    <w:rsid w:val="006B3C25"/>
    <w:rsid w:val="006B3C7C"/>
    <w:rsid w:val="006B3D15"/>
    <w:rsid w:val="006B3D21"/>
    <w:rsid w:val="006B3E07"/>
    <w:rsid w:val="006B4046"/>
    <w:rsid w:val="006B409F"/>
    <w:rsid w:val="006B40A0"/>
    <w:rsid w:val="006B40C7"/>
    <w:rsid w:val="006B410D"/>
    <w:rsid w:val="006B4189"/>
    <w:rsid w:val="006B41E2"/>
    <w:rsid w:val="006B420C"/>
    <w:rsid w:val="006B4216"/>
    <w:rsid w:val="006B433D"/>
    <w:rsid w:val="006B4351"/>
    <w:rsid w:val="006B4389"/>
    <w:rsid w:val="006B443C"/>
    <w:rsid w:val="006B44C1"/>
    <w:rsid w:val="006B455F"/>
    <w:rsid w:val="006B4560"/>
    <w:rsid w:val="006B45EF"/>
    <w:rsid w:val="006B45FB"/>
    <w:rsid w:val="006B4710"/>
    <w:rsid w:val="006B4717"/>
    <w:rsid w:val="006B482D"/>
    <w:rsid w:val="006B48C5"/>
    <w:rsid w:val="006B4937"/>
    <w:rsid w:val="006B49B3"/>
    <w:rsid w:val="006B49BA"/>
    <w:rsid w:val="006B4AAD"/>
    <w:rsid w:val="006B4ACC"/>
    <w:rsid w:val="006B4B64"/>
    <w:rsid w:val="006B4B8C"/>
    <w:rsid w:val="006B4B9C"/>
    <w:rsid w:val="006B4BF9"/>
    <w:rsid w:val="006B4C4F"/>
    <w:rsid w:val="006B4C7E"/>
    <w:rsid w:val="006B4C89"/>
    <w:rsid w:val="006B4D6A"/>
    <w:rsid w:val="006B4D7E"/>
    <w:rsid w:val="006B4E43"/>
    <w:rsid w:val="006B4E5F"/>
    <w:rsid w:val="006B4E95"/>
    <w:rsid w:val="006B4F5D"/>
    <w:rsid w:val="006B4F6C"/>
    <w:rsid w:val="006B4FB8"/>
    <w:rsid w:val="006B5009"/>
    <w:rsid w:val="006B5043"/>
    <w:rsid w:val="006B5161"/>
    <w:rsid w:val="006B517B"/>
    <w:rsid w:val="006B51E5"/>
    <w:rsid w:val="006B51F8"/>
    <w:rsid w:val="006B532D"/>
    <w:rsid w:val="006B53EC"/>
    <w:rsid w:val="006B542C"/>
    <w:rsid w:val="006B544B"/>
    <w:rsid w:val="006B5459"/>
    <w:rsid w:val="006B54D5"/>
    <w:rsid w:val="006B54E1"/>
    <w:rsid w:val="006B5530"/>
    <w:rsid w:val="006B5545"/>
    <w:rsid w:val="006B5585"/>
    <w:rsid w:val="006B55CC"/>
    <w:rsid w:val="006B5626"/>
    <w:rsid w:val="006B5667"/>
    <w:rsid w:val="006B56AE"/>
    <w:rsid w:val="006B56CC"/>
    <w:rsid w:val="006B56E4"/>
    <w:rsid w:val="006B5734"/>
    <w:rsid w:val="006B575B"/>
    <w:rsid w:val="006B5767"/>
    <w:rsid w:val="006B5775"/>
    <w:rsid w:val="006B57BE"/>
    <w:rsid w:val="006B58B2"/>
    <w:rsid w:val="006B5908"/>
    <w:rsid w:val="006B59ED"/>
    <w:rsid w:val="006B59FB"/>
    <w:rsid w:val="006B5A38"/>
    <w:rsid w:val="006B5A50"/>
    <w:rsid w:val="006B5A73"/>
    <w:rsid w:val="006B5A8A"/>
    <w:rsid w:val="006B5BE9"/>
    <w:rsid w:val="006B5BF6"/>
    <w:rsid w:val="006B5C62"/>
    <w:rsid w:val="006B5C93"/>
    <w:rsid w:val="006B5CB9"/>
    <w:rsid w:val="006B5D68"/>
    <w:rsid w:val="006B5DB5"/>
    <w:rsid w:val="006B5E53"/>
    <w:rsid w:val="006B5E7F"/>
    <w:rsid w:val="006B5F74"/>
    <w:rsid w:val="006B5F78"/>
    <w:rsid w:val="006B6019"/>
    <w:rsid w:val="006B6088"/>
    <w:rsid w:val="006B610C"/>
    <w:rsid w:val="006B6118"/>
    <w:rsid w:val="006B6131"/>
    <w:rsid w:val="006B6154"/>
    <w:rsid w:val="006B61D8"/>
    <w:rsid w:val="006B61EC"/>
    <w:rsid w:val="006B6285"/>
    <w:rsid w:val="006B63AB"/>
    <w:rsid w:val="006B642D"/>
    <w:rsid w:val="006B6491"/>
    <w:rsid w:val="006B6518"/>
    <w:rsid w:val="006B6526"/>
    <w:rsid w:val="006B653B"/>
    <w:rsid w:val="006B6556"/>
    <w:rsid w:val="006B65BD"/>
    <w:rsid w:val="006B65C6"/>
    <w:rsid w:val="006B65CD"/>
    <w:rsid w:val="006B6643"/>
    <w:rsid w:val="006B6700"/>
    <w:rsid w:val="006B671C"/>
    <w:rsid w:val="006B6758"/>
    <w:rsid w:val="006B676A"/>
    <w:rsid w:val="006B681C"/>
    <w:rsid w:val="006B690B"/>
    <w:rsid w:val="006B6976"/>
    <w:rsid w:val="006B6998"/>
    <w:rsid w:val="006B69A6"/>
    <w:rsid w:val="006B69E5"/>
    <w:rsid w:val="006B6A36"/>
    <w:rsid w:val="006B6A5E"/>
    <w:rsid w:val="006B6AFF"/>
    <w:rsid w:val="006B6BD2"/>
    <w:rsid w:val="006B6BE6"/>
    <w:rsid w:val="006B6C56"/>
    <w:rsid w:val="006B6C86"/>
    <w:rsid w:val="006B6CAF"/>
    <w:rsid w:val="006B6D0A"/>
    <w:rsid w:val="006B6D2C"/>
    <w:rsid w:val="006B6D68"/>
    <w:rsid w:val="006B6D76"/>
    <w:rsid w:val="006B6DFF"/>
    <w:rsid w:val="006B6E5A"/>
    <w:rsid w:val="006B6EB0"/>
    <w:rsid w:val="006B6F4E"/>
    <w:rsid w:val="006B6F63"/>
    <w:rsid w:val="006B6F7C"/>
    <w:rsid w:val="006B6FA3"/>
    <w:rsid w:val="006B707B"/>
    <w:rsid w:val="006B708E"/>
    <w:rsid w:val="006B7109"/>
    <w:rsid w:val="006B7184"/>
    <w:rsid w:val="006B7286"/>
    <w:rsid w:val="006B7356"/>
    <w:rsid w:val="006B7390"/>
    <w:rsid w:val="006B7431"/>
    <w:rsid w:val="006B74D5"/>
    <w:rsid w:val="006B754E"/>
    <w:rsid w:val="006B755B"/>
    <w:rsid w:val="006B75B4"/>
    <w:rsid w:val="006B7670"/>
    <w:rsid w:val="006B76E0"/>
    <w:rsid w:val="006B7704"/>
    <w:rsid w:val="006B7785"/>
    <w:rsid w:val="006B77F3"/>
    <w:rsid w:val="006B7810"/>
    <w:rsid w:val="006B78A2"/>
    <w:rsid w:val="006B78C6"/>
    <w:rsid w:val="006B78DA"/>
    <w:rsid w:val="006B7968"/>
    <w:rsid w:val="006B79F5"/>
    <w:rsid w:val="006B7AB1"/>
    <w:rsid w:val="006B7B1F"/>
    <w:rsid w:val="006B7B22"/>
    <w:rsid w:val="006B7B35"/>
    <w:rsid w:val="006B7B3D"/>
    <w:rsid w:val="006B7BF7"/>
    <w:rsid w:val="006B7C01"/>
    <w:rsid w:val="006B7C20"/>
    <w:rsid w:val="006B7D88"/>
    <w:rsid w:val="006B7EAB"/>
    <w:rsid w:val="006B7EBD"/>
    <w:rsid w:val="006B7FBC"/>
    <w:rsid w:val="006B7FEF"/>
    <w:rsid w:val="006C0050"/>
    <w:rsid w:val="006C00C9"/>
    <w:rsid w:val="006C0150"/>
    <w:rsid w:val="006C016F"/>
    <w:rsid w:val="006C01F3"/>
    <w:rsid w:val="006C02A0"/>
    <w:rsid w:val="006C02D3"/>
    <w:rsid w:val="006C03B9"/>
    <w:rsid w:val="006C03F2"/>
    <w:rsid w:val="006C03F4"/>
    <w:rsid w:val="006C0428"/>
    <w:rsid w:val="006C0488"/>
    <w:rsid w:val="006C0541"/>
    <w:rsid w:val="006C05A5"/>
    <w:rsid w:val="006C0631"/>
    <w:rsid w:val="006C0659"/>
    <w:rsid w:val="006C06BF"/>
    <w:rsid w:val="006C06CF"/>
    <w:rsid w:val="006C06FB"/>
    <w:rsid w:val="006C0918"/>
    <w:rsid w:val="006C096A"/>
    <w:rsid w:val="006C09A0"/>
    <w:rsid w:val="006C09AF"/>
    <w:rsid w:val="006C09CE"/>
    <w:rsid w:val="006C0A16"/>
    <w:rsid w:val="006C0AD5"/>
    <w:rsid w:val="006C0BD8"/>
    <w:rsid w:val="006C0BE2"/>
    <w:rsid w:val="006C0C80"/>
    <w:rsid w:val="006C0C8A"/>
    <w:rsid w:val="006C0CB0"/>
    <w:rsid w:val="006C0CC3"/>
    <w:rsid w:val="006C0D67"/>
    <w:rsid w:val="006C0FA7"/>
    <w:rsid w:val="006C10B5"/>
    <w:rsid w:val="006C10C1"/>
    <w:rsid w:val="006C10D0"/>
    <w:rsid w:val="006C10E0"/>
    <w:rsid w:val="006C10E6"/>
    <w:rsid w:val="006C10FB"/>
    <w:rsid w:val="006C1116"/>
    <w:rsid w:val="006C1122"/>
    <w:rsid w:val="006C120C"/>
    <w:rsid w:val="006C126D"/>
    <w:rsid w:val="006C12C1"/>
    <w:rsid w:val="006C137E"/>
    <w:rsid w:val="006C13CB"/>
    <w:rsid w:val="006C13E2"/>
    <w:rsid w:val="006C1464"/>
    <w:rsid w:val="006C1467"/>
    <w:rsid w:val="006C14FE"/>
    <w:rsid w:val="006C1524"/>
    <w:rsid w:val="006C1573"/>
    <w:rsid w:val="006C159F"/>
    <w:rsid w:val="006C15A9"/>
    <w:rsid w:val="006C1620"/>
    <w:rsid w:val="006C1677"/>
    <w:rsid w:val="006C1708"/>
    <w:rsid w:val="006C1709"/>
    <w:rsid w:val="006C1727"/>
    <w:rsid w:val="006C1759"/>
    <w:rsid w:val="006C175B"/>
    <w:rsid w:val="006C17E6"/>
    <w:rsid w:val="006C1825"/>
    <w:rsid w:val="006C1868"/>
    <w:rsid w:val="006C1870"/>
    <w:rsid w:val="006C1968"/>
    <w:rsid w:val="006C1A8B"/>
    <w:rsid w:val="006C1A9D"/>
    <w:rsid w:val="006C1AB9"/>
    <w:rsid w:val="006C1AD0"/>
    <w:rsid w:val="006C1B19"/>
    <w:rsid w:val="006C1BC0"/>
    <w:rsid w:val="006C1C04"/>
    <w:rsid w:val="006C1C0D"/>
    <w:rsid w:val="006C1C11"/>
    <w:rsid w:val="006C1C2E"/>
    <w:rsid w:val="006C1C48"/>
    <w:rsid w:val="006C1C61"/>
    <w:rsid w:val="006C1CE8"/>
    <w:rsid w:val="006C1CF9"/>
    <w:rsid w:val="006C1D53"/>
    <w:rsid w:val="006C1D80"/>
    <w:rsid w:val="006C1DE4"/>
    <w:rsid w:val="006C1E0E"/>
    <w:rsid w:val="006C1EDD"/>
    <w:rsid w:val="006C1F17"/>
    <w:rsid w:val="006C1FCA"/>
    <w:rsid w:val="006C2004"/>
    <w:rsid w:val="006C202D"/>
    <w:rsid w:val="006C203B"/>
    <w:rsid w:val="006C2041"/>
    <w:rsid w:val="006C204F"/>
    <w:rsid w:val="006C2078"/>
    <w:rsid w:val="006C20A2"/>
    <w:rsid w:val="006C20A7"/>
    <w:rsid w:val="006C21BD"/>
    <w:rsid w:val="006C21C8"/>
    <w:rsid w:val="006C2234"/>
    <w:rsid w:val="006C2258"/>
    <w:rsid w:val="006C2349"/>
    <w:rsid w:val="006C2385"/>
    <w:rsid w:val="006C23C9"/>
    <w:rsid w:val="006C245F"/>
    <w:rsid w:val="006C2463"/>
    <w:rsid w:val="006C24A4"/>
    <w:rsid w:val="006C24DD"/>
    <w:rsid w:val="006C24E8"/>
    <w:rsid w:val="006C2583"/>
    <w:rsid w:val="006C25D5"/>
    <w:rsid w:val="006C262C"/>
    <w:rsid w:val="006C263A"/>
    <w:rsid w:val="006C2661"/>
    <w:rsid w:val="006C26C4"/>
    <w:rsid w:val="006C26EB"/>
    <w:rsid w:val="006C26EC"/>
    <w:rsid w:val="006C286B"/>
    <w:rsid w:val="006C28B5"/>
    <w:rsid w:val="006C298F"/>
    <w:rsid w:val="006C29D7"/>
    <w:rsid w:val="006C29E9"/>
    <w:rsid w:val="006C2A7D"/>
    <w:rsid w:val="006C2AF9"/>
    <w:rsid w:val="006C2B13"/>
    <w:rsid w:val="006C2BAE"/>
    <w:rsid w:val="006C2BE7"/>
    <w:rsid w:val="006C2C54"/>
    <w:rsid w:val="006C2CA1"/>
    <w:rsid w:val="006C2D10"/>
    <w:rsid w:val="006C2D53"/>
    <w:rsid w:val="006C2D7E"/>
    <w:rsid w:val="006C2D94"/>
    <w:rsid w:val="006C2DB7"/>
    <w:rsid w:val="006C2DC7"/>
    <w:rsid w:val="006C2E88"/>
    <w:rsid w:val="006C2EE2"/>
    <w:rsid w:val="006C3028"/>
    <w:rsid w:val="006C311B"/>
    <w:rsid w:val="006C3209"/>
    <w:rsid w:val="006C3258"/>
    <w:rsid w:val="006C3286"/>
    <w:rsid w:val="006C3358"/>
    <w:rsid w:val="006C33B9"/>
    <w:rsid w:val="006C33DA"/>
    <w:rsid w:val="006C343E"/>
    <w:rsid w:val="006C3454"/>
    <w:rsid w:val="006C3480"/>
    <w:rsid w:val="006C349F"/>
    <w:rsid w:val="006C359E"/>
    <w:rsid w:val="006C35AF"/>
    <w:rsid w:val="006C35D6"/>
    <w:rsid w:val="006C3645"/>
    <w:rsid w:val="006C367B"/>
    <w:rsid w:val="006C36C7"/>
    <w:rsid w:val="006C36DB"/>
    <w:rsid w:val="006C37BF"/>
    <w:rsid w:val="006C37CD"/>
    <w:rsid w:val="006C3814"/>
    <w:rsid w:val="006C3886"/>
    <w:rsid w:val="006C388C"/>
    <w:rsid w:val="006C38A5"/>
    <w:rsid w:val="006C38EF"/>
    <w:rsid w:val="006C38F0"/>
    <w:rsid w:val="006C39DD"/>
    <w:rsid w:val="006C39E2"/>
    <w:rsid w:val="006C3B2A"/>
    <w:rsid w:val="006C3B90"/>
    <w:rsid w:val="006C3B99"/>
    <w:rsid w:val="006C3BE1"/>
    <w:rsid w:val="006C3C52"/>
    <w:rsid w:val="006C3C5F"/>
    <w:rsid w:val="006C3CD5"/>
    <w:rsid w:val="006C3D08"/>
    <w:rsid w:val="006C3E62"/>
    <w:rsid w:val="006C3EC7"/>
    <w:rsid w:val="006C3ECC"/>
    <w:rsid w:val="006C3EF8"/>
    <w:rsid w:val="006C3F2A"/>
    <w:rsid w:val="006C3F70"/>
    <w:rsid w:val="006C4020"/>
    <w:rsid w:val="006C4078"/>
    <w:rsid w:val="006C4116"/>
    <w:rsid w:val="006C4136"/>
    <w:rsid w:val="006C414B"/>
    <w:rsid w:val="006C41CB"/>
    <w:rsid w:val="006C4220"/>
    <w:rsid w:val="006C4272"/>
    <w:rsid w:val="006C4366"/>
    <w:rsid w:val="006C4413"/>
    <w:rsid w:val="006C4417"/>
    <w:rsid w:val="006C443A"/>
    <w:rsid w:val="006C4466"/>
    <w:rsid w:val="006C4490"/>
    <w:rsid w:val="006C4493"/>
    <w:rsid w:val="006C44F6"/>
    <w:rsid w:val="006C45C0"/>
    <w:rsid w:val="006C45CE"/>
    <w:rsid w:val="006C45D7"/>
    <w:rsid w:val="006C45FE"/>
    <w:rsid w:val="006C46FD"/>
    <w:rsid w:val="006C4783"/>
    <w:rsid w:val="006C4807"/>
    <w:rsid w:val="006C480D"/>
    <w:rsid w:val="006C4829"/>
    <w:rsid w:val="006C4897"/>
    <w:rsid w:val="006C48C5"/>
    <w:rsid w:val="006C492A"/>
    <w:rsid w:val="006C49BE"/>
    <w:rsid w:val="006C49C4"/>
    <w:rsid w:val="006C4AE6"/>
    <w:rsid w:val="006C4B76"/>
    <w:rsid w:val="006C4B84"/>
    <w:rsid w:val="006C4BE9"/>
    <w:rsid w:val="006C4C2F"/>
    <w:rsid w:val="006C4CF4"/>
    <w:rsid w:val="006C4D46"/>
    <w:rsid w:val="006C4DFB"/>
    <w:rsid w:val="006C4F1D"/>
    <w:rsid w:val="006C4F20"/>
    <w:rsid w:val="006C4F35"/>
    <w:rsid w:val="006C4F59"/>
    <w:rsid w:val="006C4FC0"/>
    <w:rsid w:val="006C509E"/>
    <w:rsid w:val="006C50E9"/>
    <w:rsid w:val="006C512D"/>
    <w:rsid w:val="006C515E"/>
    <w:rsid w:val="006C5174"/>
    <w:rsid w:val="006C5275"/>
    <w:rsid w:val="006C5285"/>
    <w:rsid w:val="006C5300"/>
    <w:rsid w:val="006C536C"/>
    <w:rsid w:val="006C5381"/>
    <w:rsid w:val="006C53A2"/>
    <w:rsid w:val="006C53DC"/>
    <w:rsid w:val="006C53FE"/>
    <w:rsid w:val="006C5435"/>
    <w:rsid w:val="006C54A4"/>
    <w:rsid w:val="006C54C4"/>
    <w:rsid w:val="006C54DB"/>
    <w:rsid w:val="006C5526"/>
    <w:rsid w:val="006C554A"/>
    <w:rsid w:val="006C5677"/>
    <w:rsid w:val="006C56B8"/>
    <w:rsid w:val="006C56BF"/>
    <w:rsid w:val="006C576D"/>
    <w:rsid w:val="006C5791"/>
    <w:rsid w:val="006C57F2"/>
    <w:rsid w:val="006C5802"/>
    <w:rsid w:val="006C581F"/>
    <w:rsid w:val="006C584A"/>
    <w:rsid w:val="006C58A1"/>
    <w:rsid w:val="006C58C3"/>
    <w:rsid w:val="006C5904"/>
    <w:rsid w:val="006C591E"/>
    <w:rsid w:val="006C591F"/>
    <w:rsid w:val="006C5945"/>
    <w:rsid w:val="006C59C8"/>
    <w:rsid w:val="006C59C9"/>
    <w:rsid w:val="006C5A6E"/>
    <w:rsid w:val="006C5B91"/>
    <w:rsid w:val="006C5BF0"/>
    <w:rsid w:val="006C5C1E"/>
    <w:rsid w:val="006C5CC1"/>
    <w:rsid w:val="006C5CEF"/>
    <w:rsid w:val="006C5D24"/>
    <w:rsid w:val="006C5D32"/>
    <w:rsid w:val="006C5D57"/>
    <w:rsid w:val="006C5D5E"/>
    <w:rsid w:val="006C5F07"/>
    <w:rsid w:val="006C5F5B"/>
    <w:rsid w:val="006C5F8D"/>
    <w:rsid w:val="006C604A"/>
    <w:rsid w:val="006C606D"/>
    <w:rsid w:val="006C61E9"/>
    <w:rsid w:val="006C622F"/>
    <w:rsid w:val="006C6296"/>
    <w:rsid w:val="006C62B8"/>
    <w:rsid w:val="006C631A"/>
    <w:rsid w:val="006C6379"/>
    <w:rsid w:val="006C63B0"/>
    <w:rsid w:val="006C63B2"/>
    <w:rsid w:val="006C63D5"/>
    <w:rsid w:val="006C6458"/>
    <w:rsid w:val="006C64FD"/>
    <w:rsid w:val="006C6507"/>
    <w:rsid w:val="006C6558"/>
    <w:rsid w:val="006C6581"/>
    <w:rsid w:val="006C65E4"/>
    <w:rsid w:val="006C65FE"/>
    <w:rsid w:val="006C6655"/>
    <w:rsid w:val="006C669C"/>
    <w:rsid w:val="006C669E"/>
    <w:rsid w:val="006C66A7"/>
    <w:rsid w:val="006C673D"/>
    <w:rsid w:val="006C6751"/>
    <w:rsid w:val="006C6761"/>
    <w:rsid w:val="006C67EE"/>
    <w:rsid w:val="006C682F"/>
    <w:rsid w:val="006C686A"/>
    <w:rsid w:val="006C6878"/>
    <w:rsid w:val="006C68FD"/>
    <w:rsid w:val="006C6975"/>
    <w:rsid w:val="006C6980"/>
    <w:rsid w:val="006C6997"/>
    <w:rsid w:val="006C6A12"/>
    <w:rsid w:val="006C6A29"/>
    <w:rsid w:val="006C6AE2"/>
    <w:rsid w:val="006C6B1A"/>
    <w:rsid w:val="006C6B56"/>
    <w:rsid w:val="006C6C5E"/>
    <w:rsid w:val="006C6C82"/>
    <w:rsid w:val="006C6C96"/>
    <w:rsid w:val="006C6CA4"/>
    <w:rsid w:val="006C6CC4"/>
    <w:rsid w:val="006C6D83"/>
    <w:rsid w:val="006C6D8D"/>
    <w:rsid w:val="006C6ED8"/>
    <w:rsid w:val="006C6EE5"/>
    <w:rsid w:val="006C6F0D"/>
    <w:rsid w:val="006C6F1D"/>
    <w:rsid w:val="006C6FD3"/>
    <w:rsid w:val="006C7064"/>
    <w:rsid w:val="006C706A"/>
    <w:rsid w:val="006C707A"/>
    <w:rsid w:val="006C7117"/>
    <w:rsid w:val="006C7155"/>
    <w:rsid w:val="006C7246"/>
    <w:rsid w:val="006C72AF"/>
    <w:rsid w:val="006C72BB"/>
    <w:rsid w:val="006C730E"/>
    <w:rsid w:val="006C73B2"/>
    <w:rsid w:val="006C73FE"/>
    <w:rsid w:val="006C7475"/>
    <w:rsid w:val="006C7478"/>
    <w:rsid w:val="006C75CF"/>
    <w:rsid w:val="006C75F2"/>
    <w:rsid w:val="006C7645"/>
    <w:rsid w:val="006C7687"/>
    <w:rsid w:val="006C7735"/>
    <w:rsid w:val="006C7775"/>
    <w:rsid w:val="006C7798"/>
    <w:rsid w:val="006C77D1"/>
    <w:rsid w:val="006C78E7"/>
    <w:rsid w:val="006C7925"/>
    <w:rsid w:val="006C7966"/>
    <w:rsid w:val="006C7A26"/>
    <w:rsid w:val="006C7A32"/>
    <w:rsid w:val="006C7ADF"/>
    <w:rsid w:val="006C7B13"/>
    <w:rsid w:val="006C7B1B"/>
    <w:rsid w:val="006C7B21"/>
    <w:rsid w:val="006C7B23"/>
    <w:rsid w:val="006C7B34"/>
    <w:rsid w:val="006C7B70"/>
    <w:rsid w:val="006C7B91"/>
    <w:rsid w:val="006C7BD1"/>
    <w:rsid w:val="006C7C29"/>
    <w:rsid w:val="006C7E0B"/>
    <w:rsid w:val="006C7E5A"/>
    <w:rsid w:val="006C7EB1"/>
    <w:rsid w:val="006C7EC6"/>
    <w:rsid w:val="006C7ED2"/>
    <w:rsid w:val="006C7ED9"/>
    <w:rsid w:val="006C7F63"/>
    <w:rsid w:val="006C7FB6"/>
    <w:rsid w:val="006C7FDC"/>
    <w:rsid w:val="006D0012"/>
    <w:rsid w:val="006D0117"/>
    <w:rsid w:val="006D01BB"/>
    <w:rsid w:val="006D0244"/>
    <w:rsid w:val="006D0351"/>
    <w:rsid w:val="006D0387"/>
    <w:rsid w:val="006D03AD"/>
    <w:rsid w:val="006D03BF"/>
    <w:rsid w:val="006D0473"/>
    <w:rsid w:val="006D0486"/>
    <w:rsid w:val="006D04C7"/>
    <w:rsid w:val="006D04DC"/>
    <w:rsid w:val="006D0513"/>
    <w:rsid w:val="006D054A"/>
    <w:rsid w:val="006D05DE"/>
    <w:rsid w:val="006D067E"/>
    <w:rsid w:val="006D0696"/>
    <w:rsid w:val="006D06D2"/>
    <w:rsid w:val="006D0715"/>
    <w:rsid w:val="006D0785"/>
    <w:rsid w:val="006D07B4"/>
    <w:rsid w:val="006D08BD"/>
    <w:rsid w:val="006D0911"/>
    <w:rsid w:val="006D0A0B"/>
    <w:rsid w:val="006D0A0D"/>
    <w:rsid w:val="006D0A1B"/>
    <w:rsid w:val="006D0A20"/>
    <w:rsid w:val="006D0AB8"/>
    <w:rsid w:val="006D0BD9"/>
    <w:rsid w:val="006D0C3E"/>
    <w:rsid w:val="006D0CC1"/>
    <w:rsid w:val="006D0D95"/>
    <w:rsid w:val="006D0E05"/>
    <w:rsid w:val="006D0E38"/>
    <w:rsid w:val="006D0ED0"/>
    <w:rsid w:val="006D0EE6"/>
    <w:rsid w:val="006D0EE9"/>
    <w:rsid w:val="006D0F1A"/>
    <w:rsid w:val="006D0F3B"/>
    <w:rsid w:val="006D0F59"/>
    <w:rsid w:val="006D0F65"/>
    <w:rsid w:val="006D0F8D"/>
    <w:rsid w:val="006D0FDD"/>
    <w:rsid w:val="006D10BE"/>
    <w:rsid w:val="006D10EA"/>
    <w:rsid w:val="006D1191"/>
    <w:rsid w:val="006D11C1"/>
    <w:rsid w:val="006D12A7"/>
    <w:rsid w:val="006D12AB"/>
    <w:rsid w:val="006D12BF"/>
    <w:rsid w:val="006D12EE"/>
    <w:rsid w:val="006D142A"/>
    <w:rsid w:val="006D143C"/>
    <w:rsid w:val="006D1454"/>
    <w:rsid w:val="006D146F"/>
    <w:rsid w:val="006D1497"/>
    <w:rsid w:val="006D14DB"/>
    <w:rsid w:val="006D1580"/>
    <w:rsid w:val="006D1595"/>
    <w:rsid w:val="006D15A7"/>
    <w:rsid w:val="006D15DE"/>
    <w:rsid w:val="006D1604"/>
    <w:rsid w:val="006D1636"/>
    <w:rsid w:val="006D163B"/>
    <w:rsid w:val="006D1706"/>
    <w:rsid w:val="006D1744"/>
    <w:rsid w:val="006D17BE"/>
    <w:rsid w:val="006D1877"/>
    <w:rsid w:val="006D18D2"/>
    <w:rsid w:val="006D1918"/>
    <w:rsid w:val="006D19ED"/>
    <w:rsid w:val="006D19F6"/>
    <w:rsid w:val="006D1A4F"/>
    <w:rsid w:val="006D1B09"/>
    <w:rsid w:val="006D1B1D"/>
    <w:rsid w:val="006D1B26"/>
    <w:rsid w:val="006D1B43"/>
    <w:rsid w:val="006D1BD0"/>
    <w:rsid w:val="006D1C2B"/>
    <w:rsid w:val="006D1C3A"/>
    <w:rsid w:val="006D1C7C"/>
    <w:rsid w:val="006D1C8F"/>
    <w:rsid w:val="006D1CE5"/>
    <w:rsid w:val="006D1D02"/>
    <w:rsid w:val="006D1D6A"/>
    <w:rsid w:val="006D1DDE"/>
    <w:rsid w:val="006D1DE7"/>
    <w:rsid w:val="006D1E8A"/>
    <w:rsid w:val="006D1E9A"/>
    <w:rsid w:val="006D1ED4"/>
    <w:rsid w:val="006D1F97"/>
    <w:rsid w:val="006D1FAA"/>
    <w:rsid w:val="006D2010"/>
    <w:rsid w:val="006D2076"/>
    <w:rsid w:val="006D20D0"/>
    <w:rsid w:val="006D20EB"/>
    <w:rsid w:val="006D2157"/>
    <w:rsid w:val="006D221F"/>
    <w:rsid w:val="006D2239"/>
    <w:rsid w:val="006D224C"/>
    <w:rsid w:val="006D225F"/>
    <w:rsid w:val="006D2366"/>
    <w:rsid w:val="006D238E"/>
    <w:rsid w:val="006D23A1"/>
    <w:rsid w:val="006D23BA"/>
    <w:rsid w:val="006D24A4"/>
    <w:rsid w:val="006D25D3"/>
    <w:rsid w:val="006D2624"/>
    <w:rsid w:val="006D2656"/>
    <w:rsid w:val="006D26A2"/>
    <w:rsid w:val="006D273F"/>
    <w:rsid w:val="006D27CD"/>
    <w:rsid w:val="006D2821"/>
    <w:rsid w:val="006D2827"/>
    <w:rsid w:val="006D2917"/>
    <w:rsid w:val="006D2930"/>
    <w:rsid w:val="006D2973"/>
    <w:rsid w:val="006D2A5B"/>
    <w:rsid w:val="006D2ACC"/>
    <w:rsid w:val="006D2AF0"/>
    <w:rsid w:val="006D2B7E"/>
    <w:rsid w:val="006D2BAD"/>
    <w:rsid w:val="006D2C8B"/>
    <w:rsid w:val="006D2DDD"/>
    <w:rsid w:val="006D2E19"/>
    <w:rsid w:val="006D2E1B"/>
    <w:rsid w:val="006D2E34"/>
    <w:rsid w:val="006D2ED3"/>
    <w:rsid w:val="006D2FA1"/>
    <w:rsid w:val="006D2FC1"/>
    <w:rsid w:val="006D2FCF"/>
    <w:rsid w:val="006D302D"/>
    <w:rsid w:val="006D3041"/>
    <w:rsid w:val="006D3116"/>
    <w:rsid w:val="006D315F"/>
    <w:rsid w:val="006D320E"/>
    <w:rsid w:val="006D3229"/>
    <w:rsid w:val="006D3272"/>
    <w:rsid w:val="006D32E7"/>
    <w:rsid w:val="006D332B"/>
    <w:rsid w:val="006D33BB"/>
    <w:rsid w:val="006D33F6"/>
    <w:rsid w:val="006D3414"/>
    <w:rsid w:val="006D3428"/>
    <w:rsid w:val="006D3461"/>
    <w:rsid w:val="006D34E6"/>
    <w:rsid w:val="006D35C3"/>
    <w:rsid w:val="006D367E"/>
    <w:rsid w:val="006D36A3"/>
    <w:rsid w:val="006D36D7"/>
    <w:rsid w:val="006D3715"/>
    <w:rsid w:val="006D375C"/>
    <w:rsid w:val="006D3781"/>
    <w:rsid w:val="006D385A"/>
    <w:rsid w:val="006D3939"/>
    <w:rsid w:val="006D39EC"/>
    <w:rsid w:val="006D3A3C"/>
    <w:rsid w:val="006D3AB4"/>
    <w:rsid w:val="006D3ABE"/>
    <w:rsid w:val="006D3B0D"/>
    <w:rsid w:val="006D3B4C"/>
    <w:rsid w:val="006D3B8A"/>
    <w:rsid w:val="006D3BF1"/>
    <w:rsid w:val="006D3C08"/>
    <w:rsid w:val="006D3CE2"/>
    <w:rsid w:val="006D3D6A"/>
    <w:rsid w:val="006D3E0C"/>
    <w:rsid w:val="006D3EC7"/>
    <w:rsid w:val="006D3EF6"/>
    <w:rsid w:val="006D3F6E"/>
    <w:rsid w:val="006D3FD4"/>
    <w:rsid w:val="006D406F"/>
    <w:rsid w:val="006D40C1"/>
    <w:rsid w:val="006D4143"/>
    <w:rsid w:val="006D416B"/>
    <w:rsid w:val="006D4260"/>
    <w:rsid w:val="006D4283"/>
    <w:rsid w:val="006D42A5"/>
    <w:rsid w:val="006D42DE"/>
    <w:rsid w:val="006D43EA"/>
    <w:rsid w:val="006D447F"/>
    <w:rsid w:val="006D44A4"/>
    <w:rsid w:val="006D4585"/>
    <w:rsid w:val="006D45B6"/>
    <w:rsid w:val="006D4667"/>
    <w:rsid w:val="006D46DF"/>
    <w:rsid w:val="006D476B"/>
    <w:rsid w:val="006D478F"/>
    <w:rsid w:val="006D4790"/>
    <w:rsid w:val="006D4834"/>
    <w:rsid w:val="006D4866"/>
    <w:rsid w:val="006D491A"/>
    <w:rsid w:val="006D4948"/>
    <w:rsid w:val="006D4A94"/>
    <w:rsid w:val="006D4AEA"/>
    <w:rsid w:val="006D4B49"/>
    <w:rsid w:val="006D4B65"/>
    <w:rsid w:val="006D4B95"/>
    <w:rsid w:val="006D4BD1"/>
    <w:rsid w:val="006D4BFD"/>
    <w:rsid w:val="006D4C11"/>
    <w:rsid w:val="006D4C1D"/>
    <w:rsid w:val="006D4C46"/>
    <w:rsid w:val="006D4C5D"/>
    <w:rsid w:val="006D4C5E"/>
    <w:rsid w:val="006D4D6F"/>
    <w:rsid w:val="006D4DEA"/>
    <w:rsid w:val="006D4DF0"/>
    <w:rsid w:val="006D4E7D"/>
    <w:rsid w:val="006D4E95"/>
    <w:rsid w:val="006D4EEE"/>
    <w:rsid w:val="006D4F50"/>
    <w:rsid w:val="006D4F9F"/>
    <w:rsid w:val="006D5087"/>
    <w:rsid w:val="006D50F1"/>
    <w:rsid w:val="006D513F"/>
    <w:rsid w:val="006D519E"/>
    <w:rsid w:val="006D5262"/>
    <w:rsid w:val="006D52D0"/>
    <w:rsid w:val="006D52F4"/>
    <w:rsid w:val="006D5342"/>
    <w:rsid w:val="006D535B"/>
    <w:rsid w:val="006D538C"/>
    <w:rsid w:val="006D5448"/>
    <w:rsid w:val="006D557F"/>
    <w:rsid w:val="006D5661"/>
    <w:rsid w:val="006D56ED"/>
    <w:rsid w:val="006D56F4"/>
    <w:rsid w:val="006D5729"/>
    <w:rsid w:val="006D5732"/>
    <w:rsid w:val="006D575B"/>
    <w:rsid w:val="006D5984"/>
    <w:rsid w:val="006D59B1"/>
    <w:rsid w:val="006D59C7"/>
    <w:rsid w:val="006D5B16"/>
    <w:rsid w:val="006D5C52"/>
    <w:rsid w:val="006D5C77"/>
    <w:rsid w:val="006D5CEB"/>
    <w:rsid w:val="006D5D70"/>
    <w:rsid w:val="006D5DD5"/>
    <w:rsid w:val="006D5DE7"/>
    <w:rsid w:val="006D5E85"/>
    <w:rsid w:val="006D5E88"/>
    <w:rsid w:val="006D5EE2"/>
    <w:rsid w:val="006D5F8E"/>
    <w:rsid w:val="006D601E"/>
    <w:rsid w:val="006D60B9"/>
    <w:rsid w:val="006D60E7"/>
    <w:rsid w:val="006D6168"/>
    <w:rsid w:val="006D617B"/>
    <w:rsid w:val="006D6232"/>
    <w:rsid w:val="006D6303"/>
    <w:rsid w:val="006D6387"/>
    <w:rsid w:val="006D63A3"/>
    <w:rsid w:val="006D63D7"/>
    <w:rsid w:val="006D63EA"/>
    <w:rsid w:val="006D6432"/>
    <w:rsid w:val="006D6437"/>
    <w:rsid w:val="006D646D"/>
    <w:rsid w:val="006D64CF"/>
    <w:rsid w:val="006D64D2"/>
    <w:rsid w:val="006D6521"/>
    <w:rsid w:val="006D65B6"/>
    <w:rsid w:val="006D65B9"/>
    <w:rsid w:val="006D65D4"/>
    <w:rsid w:val="006D674F"/>
    <w:rsid w:val="006D68A8"/>
    <w:rsid w:val="006D68DA"/>
    <w:rsid w:val="006D6B10"/>
    <w:rsid w:val="006D6B29"/>
    <w:rsid w:val="006D6B31"/>
    <w:rsid w:val="006D6B79"/>
    <w:rsid w:val="006D6B86"/>
    <w:rsid w:val="006D6BCE"/>
    <w:rsid w:val="006D6BD1"/>
    <w:rsid w:val="006D6C32"/>
    <w:rsid w:val="006D6C3B"/>
    <w:rsid w:val="006D6D06"/>
    <w:rsid w:val="006D6D39"/>
    <w:rsid w:val="006D6D4D"/>
    <w:rsid w:val="006D6D73"/>
    <w:rsid w:val="006D6DD9"/>
    <w:rsid w:val="006D6F63"/>
    <w:rsid w:val="006D703E"/>
    <w:rsid w:val="006D706D"/>
    <w:rsid w:val="006D7093"/>
    <w:rsid w:val="006D70B9"/>
    <w:rsid w:val="006D70E5"/>
    <w:rsid w:val="006D712F"/>
    <w:rsid w:val="006D7137"/>
    <w:rsid w:val="006D7141"/>
    <w:rsid w:val="006D7302"/>
    <w:rsid w:val="006D7321"/>
    <w:rsid w:val="006D745D"/>
    <w:rsid w:val="006D74E4"/>
    <w:rsid w:val="006D7561"/>
    <w:rsid w:val="006D75B7"/>
    <w:rsid w:val="006D7629"/>
    <w:rsid w:val="006D7647"/>
    <w:rsid w:val="006D76CC"/>
    <w:rsid w:val="006D77A8"/>
    <w:rsid w:val="006D77CD"/>
    <w:rsid w:val="006D7852"/>
    <w:rsid w:val="006D78A8"/>
    <w:rsid w:val="006D78C9"/>
    <w:rsid w:val="006D7914"/>
    <w:rsid w:val="006D7927"/>
    <w:rsid w:val="006D7A8E"/>
    <w:rsid w:val="006D7A97"/>
    <w:rsid w:val="006D7BD7"/>
    <w:rsid w:val="006D7BDB"/>
    <w:rsid w:val="006D7C17"/>
    <w:rsid w:val="006D7D2D"/>
    <w:rsid w:val="006D7DA0"/>
    <w:rsid w:val="006D7DAB"/>
    <w:rsid w:val="006D7F30"/>
    <w:rsid w:val="006D7F6A"/>
    <w:rsid w:val="006D7F7F"/>
    <w:rsid w:val="006D7FE0"/>
    <w:rsid w:val="006E0095"/>
    <w:rsid w:val="006E00DC"/>
    <w:rsid w:val="006E015F"/>
    <w:rsid w:val="006E0178"/>
    <w:rsid w:val="006E0188"/>
    <w:rsid w:val="006E0226"/>
    <w:rsid w:val="006E0274"/>
    <w:rsid w:val="006E02AE"/>
    <w:rsid w:val="006E02B6"/>
    <w:rsid w:val="006E02D4"/>
    <w:rsid w:val="006E02DC"/>
    <w:rsid w:val="006E02F2"/>
    <w:rsid w:val="006E0307"/>
    <w:rsid w:val="006E0325"/>
    <w:rsid w:val="006E0355"/>
    <w:rsid w:val="006E03A4"/>
    <w:rsid w:val="006E04D1"/>
    <w:rsid w:val="006E0543"/>
    <w:rsid w:val="006E05BC"/>
    <w:rsid w:val="006E05C5"/>
    <w:rsid w:val="006E05DA"/>
    <w:rsid w:val="006E05E5"/>
    <w:rsid w:val="006E062A"/>
    <w:rsid w:val="006E06FA"/>
    <w:rsid w:val="006E077E"/>
    <w:rsid w:val="006E07BF"/>
    <w:rsid w:val="006E07E1"/>
    <w:rsid w:val="006E07EA"/>
    <w:rsid w:val="006E08FF"/>
    <w:rsid w:val="006E0941"/>
    <w:rsid w:val="006E0975"/>
    <w:rsid w:val="006E097B"/>
    <w:rsid w:val="006E09C7"/>
    <w:rsid w:val="006E09E4"/>
    <w:rsid w:val="006E0A7A"/>
    <w:rsid w:val="006E0AC1"/>
    <w:rsid w:val="006E0C9C"/>
    <w:rsid w:val="006E0CB5"/>
    <w:rsid w:val="006E0CD6"/>
    <w:rsid w:val="006E0D58"/>
    <w:rsid w:val="006E0E2E"/>
    <w:rsid w:val="006E0E91"/>
    <w:rsid w:val="006E0ECD"/>
    <w:rsid w:val="006E0FE8"/>
    <w:rsid w:val="006E100F"/>
    <w:rsid w:val="006E101C"/>
    <w:rsid w:val="006E1038"/>
    <w:rsid w:val="006E1056"/>
    <w:rsid w:val="006E1079"/>
    <w:rsid w:val="006E109F"/>
    <w:rsid w:val="006E10E4"/>
    <w:rsid w:val="006E1119"/>
    <w:rsid w:val="006E112E"/>
    <w:rsid w:val="006E1136"/>
    <w:rsid w:val="006E113E"/>
    <w:rsid w:val="006E11EC"/>
    <w:rsid w:val="006E11F5"/>
    <w:rsid w:val="006E1210"/>
    <w:rsid w:val="006E1230"/>
    <w:rsid w:val="006E125F"/>
    <w:rsid w:val="006E1269"/>
    <w:rsid w:val="006E1306"/>
    <w:rsid w:val="006E135B"/>
    <w:rsid w:val="006E13A6"/>
    <w:rsid w:val="006E13E6"/>
    <w:rsid w:val="006E1445"/>
    <w:rsid w:val="006E148F"/>
    <w:rsid w:val="006E14BB"/>
    <w:rsid w:val="006E14CC"/>
    <w:rsid w:val="006E14CD"/>
    <w:rsid w:val="006E14E1"/>
    <w:rsid w:val="006E14FD"/>
    <w:rsid w:val="006E1565"/>
    <w:rsid w:val="006E1603"/>
    <w:rsid w:val="006E160C"/>
    <w:rsid w:val="006E163D"/>
    <w:rsid w:val="006E165A"/>
    <w:rsid w:val="006E16D7"/>
    <w:rsid w:val="006E1754"/>
    <w:rsid w:val="006E177E"/>
    <w:rsid w:val="006E17C0"/>
    <w:rsid w:val="006E180D"/>
    <w:rsid w:val="006E18B1"/>
    <w:rsid w:val="006E1969"/>
    <w:rsid w:val="006E198B"/>
    <w:rsid w:val="006E198C"/>
    <w:rsid w:val="006E1A57"/>
    <w:rsid w:val="006E1AA9"/>
    <w:rsid w:val="006E1AB1"/>
    <w:rsid w:val="006E1AB5"/>
    <w:rsid w:val="006E1AD7"/>
    <w:rsid w:val="006E1AF2"/>
    <w:rsid w:val="006E1B12"/>
    <w:rsid w:val="006E1C21"/>
    <w:rsid w:val="006E1C2B"/>
    <w:rsid w:val="006E1C30"/>
    <w:rsid w:val="006E1C33"/>
    <w:rsid w:val="006E1CDB"/>
    <w:rsid w:val="006E1CE1"/>
    <w:rsid w:val="006E1CE5"/>
    <w:rsid w:val="006E1D3C"/>
    <w:rsid w:val="006E1DD0"/>
    <w:rsid w:val="006E1EC3"/>
    <w:rsid w:val="006E1ED9"/>
    <w:rsid w:val="006E1F96"/>
    <w:rsid w:val="006E1FC6"/>
    <w:rsid w:val="006E1FD8"/>
    <w:rsid w:val="006E1FE6"/>
    <w:rsid w:val="006E1FEB"/>
    <w:rsid w:val="006E2024"/>
    <w:rsid w:val="006E2085"/>
    <w:rsid w:val="006E20AA"/>
    <w:rsid w:val="006E2114"/>
    <w:rsid w:val="006E2133"/>
    <w:rsid w:val="006E2146"/>
    <w:rsid w:val="006E2259"/>
    <w:rsid w:val="006E2314"/>
    <w:rsid w:val="006E2315"/>
    <w:rsid w:val="006E2351"/>
    <w:rsid w:val="006E23D3"/>
    <w:rsid w:val="006E23E5"/>
    <w:rsid w:val="006E24D9"/>
    <w:rsid w:val="006E24F4"/>
    <w:rsid w:val="006E2585"/>
    <w:rsid w:val="006E25DA"/>
    <w:rsid w:val="006E25E3"/>
    <w:rsid w:val="006E271B"/>
    <w:rsid w:val="006E2846"/>
    <w:rsid w:val="006E291E"/>
    <w:rsid w:val="006E293D"/>
    <w:rsid w:val="006E2972"/>
    <w:rsid w:val="006E29BD"/>
    <w:rsid w:val="006E2A00"/>
    <w:rsid w:val="006E2A44"/>
    <w:rsid w:val="006E2A4C"/>
    <w:rsid w:val="006E2B08"/>
    <w:rsid w:val="006E2B45"/>
    <w:rsid w:val="006E2C57"/>
    <w:rsid w:val="006E2C5B"/>
    <w:rsid w:val="006E2C94"/>
    <w:rsid w:val="006E2CE9"/>
    <w:rsid w:val="006E2D10"/>
    <w:rsid w:val="006E2D22"/>
    <w:rsid w:val="006E2D83"/>
    <w:rsid w:val="006E2DAE"/>
    <w:rsid w:val="006E2DFD"/>
    <w:rsid w:val="006E2E2C"/>
    <w:rsid w:val="006E2E48"/>
    <w:rsid w:val="006E2E55"/>
    <w:rsid w:val="006E2F04"/>
    <w:rsid w:val="006E2F89"/>
    <w:rsid w:val="006E2F94"/>
    <w:rsid w:val="006E3029"/>
    <w:rsid w:val="006E3147"/>
    <w:rsid w:val="006E3162"/>
    <w:rsid w:val="006E3166"/>
    <w:rsid w:val="006E319D"/>
    <w:rsid w:val="006E31CF"/>
    <w:rsid w:val="006E31FA"/>
    <w:rsid w:val="006E3247"/>
    <w:rsid w:val="006E3253"/>
    <w:rsid w:val="006E326F"/>
    <w:rsid w:val="006E331B"/>
    <w:rsid w:val="006E3372"/>
    <w:rsid w:val="006E3374"/>
    <w:rsid w:val="006E3436"/>
    <w:rsid w:val="006E3493"/>
    <w:rsid w:val="006E34A5"/>
    <w:rsid w:val="006E34E6"/>
    <w:rsid w:val="006E3508"/>
    <w:rsid w:val="006E35DC"/>
    <w:rsid w:val="006E3627"/>
    <w:rsid w:val="006E366A"/>
    <w:rsid w:val="006E3694"/>
    <w:rsid w:val="006E36D1"/>
    <w:rsid w:val="006E371D"/>
    <w:rsid w:val="006E37A2"/>
    <w:rsid w:val="006E37E6"/>
    <w:rsid w:val="006E3800"/>
    <w:rsid w:val="006E382B"/>
    <w:rsid w:val="006E3885"/>
    <w:rsid w:val="006E3968"/>
    <w:rsid w:val="006E39ED"/>
    <w:rsid w:val="006E3AFF"/>
    <w:rsid w:val="006E3C00"/>
    <w:rsid w:val="006E3C91"/>
    <w:rsid w:val="006E3CE9"/>
    <w:rsid w:val="006E3D08"/>
    <w:rsid w:val="006E3DA6"/>
    <w:rsid w:val="006E3DF3"/>
    <w:rsid w:val="006E3E09"/>
    <w:rsid w:val="006E3E10"/>
    <w:rsid w:val="006E3E5E"/>
    <w:rsid w:val="006E3E76"/>
    <w:rsid w:val="006E3F56"/>
    <w:rsid w:val="006E3F6B"/>
    <w:rsid w:val="006E3F8B"/>
    <w:rsid w:val="006E3F94"/>
    <w:rsid w:val="006E4074"/>
    <w:rsid w:val="006E40D3"/>
    <w:rsid w:val="006E40D5"/>
    <w:rsid w:val="006E4159"/>
    <w:rsid w:val="006E4164"/>
    <w:rsid w:val="006E4311"/>
    <w:rsid w:val="006E43FD"/>
    <w:rsid w:val="006E4449"/>
    <w:rsid w:val="006E447B"/>
    <w:rsid w:val="006E449B"/>
    <w:rsid w:val="006E4600"/>
    <w:rsid w:val="006E460B"/>
    <w:rsid w:val="006E462F"/>
    <w:rsid w:val="006E465E"/>
    <w:rsid w:val="006E467B"/>
    <w:rsid w:val="006E46DC"/>
    <w:rsid w:val="006E47D9"/>
    <w:rsid w:val="006E482B"/>
    <w:rsid w:val="006E4854"/>
    <w:rsid w:val="006E4905"/>
    <w:rsid w:val="006E49E5"/>
    <w:rsid w:val="006E4A73"/>
    <w:rsid w:val="006E4AF5"/>
    <w:rsid w:val="006E4B96"/>
    <w:rsid w:val="006E4B97"/>
    <w:rsid w:val="006E4BCA"/>
    <w:rsid w:val="006E4C3E"/>
    <w:rsid w:val="006E4D41"/>
    <w:rsid w:val="006E4D44"/>
    <w:rsid w:val="006E4D57"/>
    <w:rsid w:val="006E4DB9"/>
    <w:rsid w:val="006E4E06"/>
    <w:rsid w:val="006E5042"/>
    <w:rsid w:val="006E504F"/>
    <w:rsid w:val="006E511C"/>
    <w:rsid w:val="006E5170"/>
    <w:rsid w:val="006E51F2"/>
    <w:rsid w:val="006E5234"/>
    <w:rsid w:val="006E5259"/>
    <w:rsid w:val="006E53A1"/>
    <w:rsid w:val="006E53AF"/>
    <w:rsid w:val="006E5530"/>
    <w:rsid w:val="006E555D"/>
    <w:rsid w:val="006E5667"/>
    <w:rsid w:val="006E568F"/>
    <w:rsid w:val="006E56AF"/>
    <w:rsid w:val="006E57E8"/>
    <w:rsid w:val="006E580C"/>
    <w:rsid w:val="006E5869"/>
    <w:rsid w:val="006E58A5"/>
    <w:rsid w:val="006E58B6"/>
    <w:rsid w:val="006E58D3"/>
    <w:rsid w:val="006E58D5"/>
    <w:rsid w:val="006E58DE"/>
    <w:rsid w:val="006E5917"/>
    <w:rsid w:val="006E5932"/>
    <w:rsid w:val="006E5968"/>
    <w:rsid w:val="006E59A3"/>
    <w:rsid w:val="006E5A15"/>
    <w:rsid w:val="006E5A30"/>
    <w:rsid w:val="006E5A69"/>
    <w:rsid w:val="006E5AA7"/>
    <w:rsid w:val="006E5AEE"/>
    <w:rsid w:val="006E5AF2"/>
    <w:rsid w:val="006E5BC9"/>
    <w:rsid w:val="006E5BD3"/>
    <w:rsid w:val="006E5C74"/>
    <w:rsid w:val="006E5C7C"/>
    <w:rsid w:val="006E5C86"/>
    <w:rsid w:val="006E5CA8"/>
    <w:rsid w:val="006E5D10"/>
    <w:rsid w:val="006E5D28"/>
    <w:rsid w:val="006E5DA4"/>
    <w:rsid w:val="006E5DBF"/>
    <w:rsid w:val="006E5DFC"/>
    <w:rsid w:val="006E5E0A"/>
    <w:rsid w:val="006E5E2A"/>
    <w:rsid w:val="006E5E77"/>
    <w:rsid w:val="006E5F0F"/>
    <w:rsid w:val="006E5F67"/>
    <w:rsid w:val="006E600F"/>
    <w:rsid w:val="006E6099"/>
    <w:rsid w:val="006E60F1"/>
    <w:rsid w:val="006E6146"/>
    <w:rsid w:val="006E6172"/>
    <w:rsid w:val="006E6195"/>
    <w:rsid w:val="006E6277"/>
    <w:rsid w:val="006E628B"/>
    <w:rsid w:val="006E6291"/>
    <w:rsid w:val="006E62F1"/>
    <w:rsid w:val="006E62F3"/>
    <w:rsid w:val="006E6339"/>
    <w:rsid w:val="006E6358"/>
    <w:rsid w:val="006E63D2"/>
    <w:rsid w:val="006E63E1"/>
    <w:rsid w:val="006E6407"/>
    <w:rsid w:val="006E6422"/>
    <w:rsid w:val="006E6433"/>
    <w:rsid w:val="006E644D"/>
    <w:rsid w:val="006E6489"/>
    <w:rsid w:val="006E6492"/>
    <w:rsid w:val="006E64BF"/>
    <w:rsid w:val="006E64CE"/>
    <w:rsid w:val="006E6516"/>
    <w:rsid w:val="006E657E"/>
    <w:rsid w:val="006E65C4"/>
    <w:rsid w:val="006E65D1"/>
    <w:rsid w:val="006E6630"/>
    <w:rsid w:val="006E6730"/>
    <w:rsid w:val="006E6781"/>
    <w:rsid w:val="006E678E"/>
    <w:rsid w:val="006E67A3"/>
    <w:rsid w:val="006E6822"/>
    <w:rsid w:val="006E6826"/>
    <w:rsid w:val="006E6849"/>
    <w:rsid w:val="006E68D3"/>
    <w:rsid w:val="006E68F1"/>
    <w:rsid w:val="006E690B"/>
    <w:rsid w:val="006E6933"/>
    <w:rsid w:val="006E69DC"/>
    <w:rsid w:val="006E6A43"/>
    <w:rsid w:val="006E6A48"/>
    <w:rsid w:val="006E6B16"/>
    <w:rsid w:val="006E6B25"/>
    <w:rsid w:val="006E6C4A"/>
    <w:rsid w:val="006E6C7A"/>
    <w:rsid w:val="006E6C83"/>
    <w:rsid w:val="006E6CA0"/>
    <w:rsid w:val="006E6CC8"/>
    <w:rsid w:val="006E6CDE"/>
    <w:rsid w:val="006E6D5D"/>
    <w:rsid w:val="006E6DBA"/>
    <w:rsid w:val="006E6E27"/>
    <w:rsid w:val="006E6F4D"/>
    <w:rsid w:val="006E6F75"/>
    <w:rsid w:val="006E6FCD"/>
    <w:rsid w:val="006E7025"/>
    <w:rsid w:val="006E709B"/>
    <w:rsid w:val="006E713A"/>
    <w:rsid w:val="006E716B"/>
    <w:rsid w:val="006E71EB"/>
    <w:rsid w:val="006E71FA"/>
    <w:rsid w:val="006E723B"/>
    <w:rsid w:val="006E72FA"/>
    <w:rsid w:val="006E737D"/>
    <w:rsid w:val="006E73A3"/>
    <w:rsid w:val="006E73AE"/>
    <w:rsid w:val="006E7405"/>
    <w:rsid w:val="006E7443"/>
    <w:rsid w:val="006E7471"/>
    <w:rsid w:val="006E749B"/>
    <w:rsid w:val="006E74B7"/>
    <w:rsid w:val="006E750C"/>
    <w:rsid w:val="006E7519"/>
    <w:rsid w:val="006E75BD"/>
    <w:rsid w:val="006E75F7"/>
    <w:rsid w:val="006E7607"/>
    <w:rsid w:val="006E768E"/>
    <w:rsid w:val="006E7692"/>
    <w:rsid w:val="006E7698"/>
    <w:rsid w:val="006E76B0"/>
    <w:rsid w:val="006E7708"/>
    <w:rsid w:val="006E770E"/>
    <w:rsid w:val="006E7723"/>
    <w:rsid w:val="006E788B"/>
    <w:rsid w:val="006E7922"/>
    <w:rsid w:val="006E7964"/>
    <w:rsid w:val="006E7A33"/>
    <w:rsid w:val="006E7ABC"/>
    <w:rsid w:val="006E7AC0"/>
    <w:rsid w:val="006E7B4D"/>
    <w:rsid w:val="006E7BAA"/>
    <w:rsid w:val="006E7BB9"/>
    <w:rsid w:val="006E7C04"/>
    <w:rsid w:val="006E7C26"/>
    <w:rsid w:val="006E7C98"/>
    <w:rsid w:val="006E7CA7"/>
    <w:rsid w:val="006E7CFF"/>
    <w:rsid w:val="006E7D10"/>
    <w:rsid w:val="006E7D32"/>
    <w:rsid w:val="006E7D6D"/>
    <w:rsid w:val="006E7DE4"/>
    <w:rsid w:val="006E7DE5"/>
    <w:rsid w:val="006E7DFE"/>
    <w:rsid w:val="006E7E01"/>
    <w:rsid w:val="006E7E58"/>
    <w:rsid w:val="006E7EC6"/>
    <w:rsid w:val="006E7ED2"/>
    <w:rsid w:val="006E7EED"/>
    <w:rsid w:val="006E7EF5"/>
    <w:rsid w:val="006E7F08"/>
    <w:rsid w:val="006E7F0D"/>
    <w:rsid w:val="006E7F26"/>
    <w:rsid w:val="006E7F34"/>
    <w:rsid w:val="006E7F63"/>
    <w:rsid w:val="006E7FB5"/>
    <w:rsid w:val="006E7FEA"/>
    <w:rsid w:val="006F00DA"/>
    <w:rsid w:val="006F0155"/>
    <w:rsid w:val="006F025B"/>
    <w:rsid w:val="006F034F"/>
    <w:rsid w:val="006F036E"/>
    <w:rsid w:val="006F03E7"/>
    <w:rsid w:val="006F0413"/>
    <w:rsid w:val="006F0414"/>
    <w:rsid w:val="006F04EB"/>
    <w:rsid w:val="006F0515"/>
    <w:rsid w:val="006F0520"/>
    <w:rsid w:val="006F0555"/>
    <w:rsid w:val="006F064C"/>
    <w:rsid w:val="006F0791"/>
    <w:rsid w:val="006F07D8"/>
    <w:rsid w:val="006F07FB"/>
    <w:rsid w:val="006F0811"/>
    <w:rsid w:val="006F0837"/>
    <w:rsid w:val="006F0879"/>
    <w:rsid w:val="006F08B0"/>
    <w:rsid w:val="006F0A19"/>
    <w:rsid w:val="006F0A7C"/>
    <w:rsid w:val="006F0B0F"/>
    <w:rsid w:val="006F0B6F"/>
    <w:rsid w:val="006F0B9D"/>
    <w:rsid w:val="006F0C00"/>
    <w:rsid w:val="006F0D06"/>
    <w:rsid w:val="006F0D38"/>
    <w:rsid w:val="006F0DAF"/>
    <w:rsid w:val="006F0DE1"/>
    <w:rsid w:val="006F0DFA"/>
    <w:rsid w:val="006F0E0E"/>
    <w:rsid w:val="006F0E36"/>
    <w:rsid w:val="006F0EEE"/>
    <w:rsid w:val="006F0F05"/>
    <w:rsid w:val="006F0F4F"/>
    <w:rsid w:val="006F0FB5"/>
    <w:rsid w:val="006F1111"/>
    <w:rsid w:val="006F11EF"/>
    <w:rsid w:val="006F1257"/>
    <w:rsid w:val="006F13D2"/>
    <w:rsid w:val="006F151E"/>
    <w:rsid w:val="006F1555"/>
    <w:rsid w:val="006F1578"/>
    <w:rsid w:val="006F15D5"/>
    <w:rsid w:val="006F1625"/>
    <w:rsid w:val="006F16A0"/>
    <w:rsid w:val="006F16AF"/>
    <w:rsid w:val="006F1701"/>
    <w:rsid w:val="006F1722"/>
    <w:rsid w:val="006F173D"/>
    <w:rsid w:val="006F176C"/>
    <w:rsid w:val="006F17EC"/>
    <w:rsid w:val="006F1803"/>
    <w:rsid w:val="006F180D"/>
    <w:rsid w:val="006F18DB"/>
    <w:rsid w:val="006F1955"/>
    <w:rsid w:val="006F1991"/>
    <w:rsid w:val="006F19E7"/>
    <w:rsid w:val="006F1A28"/>
    <w:rsid w:val="006F1A33"/>
    <w:rsid w:val="006F1A6F"/>
    <w:rsid w:val="006F1B86"/>
    <w:rsid w:val="006F1BA9"/>
    <w:rsid w:val="006F1BDE"/>
    <w:rsid w:val="006F1BE5"/>
    <w:rsid w:val="006F1C2D"/>
    <w:rsid w:val="006F1C3D"/>
    <w:rsid w:val="006F1C48"/>
    <w:rsid w:val="006F1CC4"/>
    <w:rsid w:val="006F1CD2"/>
    <w:rsid w:val="006F1CFD"/>
    <w:rsid w:val="006F1D48"/>
    <w:rsid w:val="006F1DD6"/>
    <w:rsid w:val="006F1E0F"/>
    <w:rsid w:val="006F1E52"/>
    <w:rsid w:val="006F1ED4"/>
    <w:rsid w:val="006F1EE4"/>
    <w:rsid w:val="006F1F4A"/>
    <w:rsid w:val="006F1FA7"/>
    <w:rsid w:val="006F2008"/>
    <w:rsid w:val="006F2110"/>
    <w:rsid w:val="006F218F"/>
    <w:rsid w:val="006F21C3"/>
    <w:rsid w:val="006F21D3"/>
    <w:rsid w:val="006F21EA"/>
    <w:rsid w:val="006F2220"/>
    <w:rsid w:val="006F22E9"/>
    <w:rsid w:val="006F22EA"/>
    <w:rsid w:val="006F232A"/>
    <w:rsid w:val="006F235D"/>
    <w:rsid w:val="006F2365"/>
    <w:rsid w:val="006F236C"/>
    <w:rsid w:val="006F23C7"/>
    <w:rsid w:val="006F23F7"/>
    <w:rsid w:val="006F24CD"/>
    <w:rsid w:val="006F24F6"/>
    <w:rsid w:val="006F2600"/>
    <w:rsid w:val="006F269C"/>
    <w:rsid w:val="006F26E7"/>
    <w:rsid w:val="006F26EA"/>
    <w:rsid w:val="006F272D"/>
    <w:rsid w:val="006F275A"/>
    <w:rsid w:val="006F2781"/>
    <w:rsid w:val="006F2871"/>
    <w:rsid w:val="006F287A"/>
    <w:rsid w:val="006F28C6"/>
    <w:rsid w:val="006F2958"/>
    <w:rsid w:val="006F29B7"/>
    <w:rsid w:val="006F29C4"/>
    <w:rsid w:val="006F29D2"/>
    <w:rsid w:val="006F2A86"/>
    <w:rsid w:val="006F2ADA"/>
    <w:rsid w:val="006F2ADD"/>
    <w:rsid w:val="006F2BCE"/>
    <w:rsid w:val="006F2BF7"/>
    <w:rsid w:val="006F2CAE"/>
    <w:rsid w:val="006F2CB0"/>
    <w:rsid w:val="006F2CE1"/>
    <w:rsid w:val="006F2CE9"/>
    <w:rsid w:val="006F2D19"/>
    <w:rsid w:val="006F2D93"/>
    <w:rsid w:val="006F2D9C"/>
    <w:rsid w:val="006F2DC0"/>
    <w:rsid w:val="006F2DF1"/>
    <w:rsid w:val="006F2E2B"/>
    <w:rsid w:val="006F2E9E"/>
    <w:rsid w:val="006F2F26"/>
    <w:rsid w:val="006F2F61"/>
    <w:rsid w:val="006F2F90"/>
    <w:rsid w:val="006F2FF2"/>
    <w:rsid w:val="006F3067"/>
    <w:rsid w:val="006F3099"/>
    <w:rsid w:val="006F30AB"/>
    <w:rsid w:val="006F30BE"/>
    <w:rsid w:val="006F3143"/>
    <w:rsid w:val="006F3182"/>
    <w:rsid w:val="006F3190"/>
    <w:rsid w:val="006F31E5"/>
    <w:rsid w:val="006F324F"/>
    <w:rsid w:val="006F3297"/>
    <w:rsid w:val="006F329E"/>
    <w:rsid w:val="006F3317"/>
    <w:rsid w:val="006F3351"/>
    <w:rsid w:val="006F3352"/>
    <w:rsid w:val="006F3406"/>
    <w:rsid w:val="006F3447"/>
    <w:rsid w:val="006F34B8"/>
    <w:rsid w:val="006F3573"/>
    <w:rsid w:val="006F357D"/>
    <w:rsid w:val="006F35B1"/>
    <w:rsid w:val="006F364A"/>
    <w:rsid w:val="006F3668"/>
    <w:rsid w:val="006F36BC"/>
    <w:rsid w:val="006F373B"/>
    <w:rsid w:val="006F3782"/>
    <w:rsid w:val="006F3799"/>
    <w:rsid w:val="006F37D1"/>
    <w:rsid w:val="006F37EE"/>
    <w:rsid w:val="006F3817"/>
    <w:rsid w:val="006F3835"/>
    <w:rsid w:val="006F383F"/>
    <w:rsid w:val="006F3883"/>
    <w:rsid w:val="006F38B5"/>
    <w:rsid w:val="006F38CA"/>
    <w:rsid w:val="006F398C"/>
    <w:rsid w:val="006F39CB"/>
    <w:rsid w:val="006F3A50"/>
    <w:rsid w:val="006F3A62"/>
    <w:rsid w:val="006F3ADA"/>
    <w:rsid w:val="006F3B33"/>
    <w:rsid w:val="006F3BDF"/>
    <w:rsid w:val="006F3C38"/>
    <w:rsid w:val="006F3C4C"/>
    <w:rsid w:val="006F3CA3"/>
    <w:rsid w:val="006F3CEC"/>
    <w:rsid w:val="006F3D19"/>
    <w:rsid w:val="006F3E24"/>
    <w:rsid w:val="006F3E8E"/>
    <w:rsid w:val="006F3ECA"/>
    <w:rsid w:val="006F3EFB"/>
    <w:rsid w:val="006F3F2F"/>
    <w:rsid w:val="006F3FA5"/>
    <w:rsid w:val="006F3FDA"/>
    <w:rsid w:val="006F3FF3"/>
    <w:rsid w:val="006F40C7"/>
    <w:rsid w:val="006F40E7"/>
    <w:rsid w:val="006F4103"/>
    <w:rsid w:val="006F4119"/>
    <w:rsid w:val="006F411D"/>
    <w:rsid w:val="006F41DB"/>
    <w:rsid w:val="006F41E1"/>
    <w:rsid w:val="006F4288"/>
    <w:rsid w:val="006F4295"/>
    <w:rsid w:val="006F42F8"/>
    <w:rsid w:val="006F44EA"/>
    <w:rsid w:val="006F44F7"/>
    <w:rsid w:val="006F4503"/>
    <w:rsid w:val="006F451C"/>
    <w:rsid w:val="006F45D4"/>
    <w:rsid w:val="006F45E8"/>
    <w:rsid w:val="006F460E"/>
    <w:rsid w:val="006F465C"/>
    <w:rsid w:val="006F4662"/>
    <w:rsid w:val="006F47A4"/>
    <w:rsid w:val="006F47B7"/>
    <w:rsid w:val="006F48A9"/>
    <w:rsid w:val="006F490D"/>
    <w:rsid w:val="006F4AAA"/>
    <w:rsid w:val="006F4B37"/>
    <w:rsid w:val="006F4B9F"/>
    <w:rsid w:val="006F4BB6"/>
    <w:rsid w:val="006F4BF4"/>
    <w:rsid w:val="006F4BF8"/>
    <w:rsid w:val="006F4C38"/>
    <w:rsid w:val="006F4CDF"/>
    <w:rsid w:val="006F4D30"/>
    <w:rsid w:val="006F4D32"/>
    <w:rsid w:val="006F4D3F"/>
    <w:rsid w:val="006F4D40"/>
    <w:rsid w:val="006F4D62"/>
    <w:rsid w:val="006F4D7D"/>
    <w:rsid w:val="006F4D7E"/>
    <w:rsid w:val="006F4DEF"/>
    <w:rsid w:val="006F4EAA"/>
    <w:rsid w:val="006F4F2F"/>
    <w:rsid w:val="006F4F42"/>
    <w:rsid w:val="006F4F59"/>
    <w:rsid w:val="006F4F96"/>
    <w:rsid w:val="006F5018"/>
    <w:rsid w:val="006F501E"/>
    <w:rsid w:val="006F5022"/>
    <w:rsid w:val="006F5055"/>
    <w:rsid w:val="006F50B2"/>
    <w:rsid w:val="006F5133"/>
    <w:rsid w:val="006F516E"/>
    <w:rsid w:val="006F5173"/>
    <w:rsid w:val="006F5194"/>
    <w:rsid w:val="006F52B1"/>
    <w:rsid w:val="006F5311"/>
    <w:rsid w:val="006F5325"/>
    <w:rsid w:val="006F5398"/>
    <w:rsid w:val="006F53D1"/>
    <w:rsid w:val="006F54F4"/>
    <w:rsid w:val="006F55EB"/>
    <w:rsid w:val="006F5653"/>
    <w:rsid w:val="006F567E"/>
    <w:rsid w:val="006F56F8"/>
    <w:rsid w:val="006F5729"/>
    <w:rsid w:val="006F5755"/>
    <w:rsid w:val="006F5757"/>
    <w:rsid w:val="006F5829"/>
    <w:rsid w:val="006F582F"/>
    <w:rsid w:val="006F5892"/>
    <w:rsid w:val="006F58CE"/>
    <w:rsid w:val="006F58E4"/>
    <w:rsid w:val="006F5902"/>
    <w:rsid w:val="006F5905"/>
    <w:rsid w:val="006F5B09"/>
    <w:rsid w:val="006F5B7E"/>
    <w:rsid w:val="006F5CB9"/>
    <w:rsid w:val="006F5DA1"/>
    <w:rsid w:val="006F5E5F"/>
    <w:rsid w:val="006F5E9A"/>
    <w:rsid w:val="006F5EDC"/>
    <w:rsid w:val="006F5F1D"/>
    <w:rsid w:val="006F5F3C"/>
    <w:rsid w:val="006F5F78"/>
    <w:rsid w:val="006F5F7C"/>
    <w:rsid w:val="006F5FAE"/>
    <w:rsid w:val="006F5FFC"/>
    <w:rsid w:val="006F6023"/>
    <w:rsid w:val="006F6024"/>
    <w:rsid w:val="006F6068"/>
    <w:rsid w:val="006F6093"/>
    <w:rsid w:val="006F60B2"/>
    <w:rsid w:val="006F60FC"/>
    <w:rsid w:val="006F6152"/>
    <w:rsid w:val="006F615A"/>
    <w:rsid w:val="006F619F"/>
    <w:rsid w:val="006F61ED"/>
    <w:rsid w:val="006F6224"/>
    <w:rsid w:val="006F6231"/>
    <w:rsid w:val="006F625C"/>
    <w:rsid w:val="006F6291"/>
    <w:rsid w:val="006F6325"/>
    <w:rsid w:val="006F6347"/>
    <w:rsid w:val="006F635F"/>
    <w:rsid w:val="006F6375"/>
    <w:rsid w:val="006F64AB"/>
    <w:rsid w:val="006F6548"/>
    <w:rsid w:val="006F65C0"/>
    <w:rsid w:val="006F65F1"/>
    <w:rsid w:val="006F6622"/>
    <w:rsid w:val="006F66DD"/>
    <w:rsid w:val="006F66DF"/>
    <w:rsid w:val="006F66EA"/>
    <w:rsid w:val="006F6778"/>
    <w:rsid w:val="006F67B0"/>
    <w:rsid w:val="006F6804"/>
    <w:rsid w:val="006F68AA"/>
    <w:rsid w:val="006F68E2"/>
    <w:rsid w:val="006F6930"/>
    <w:rsid w:val="006F6A6D"/>
    <w:rsid w:val="006F6B41"/>
    <w:rsid w:val="006F6BAD"/>
    <w:rsid w:val="006F6BD4"/>
    <w:rsid w:val="006F6C01"/>
    <w:rsid w:val="006F6C37"/>
    <w:rsid w:val="006F6D69"/>
    <w:rsid w:val="006F6D6D"/>
    <w:rsid w:val="006F6D85"/>
    <w:rsid w:val="006F6E11"/>
    <w:rsid w:val="006F6EAF"/>
    <w:rsid w:val="006F6EB7"/>
    <w:rsid w:val="006F6ECC"/>
    <w:rsid w:val="006F6EEC"/>
    <w:rsid w:val="006F7012"/>
    <w:rsid w:val="006F70F7"/>
    <w:rsid w:val="006F712B"/>
    <w:rsid w:val="006F71D8"/>
    <w:rsid w:val="006F71EB"/>
    <w:rsid w:val="006F71ED"/>
    <w:rsid w:val="006F7300"/>
    <w:rsid w:val="006F733A"/>
    <w:rsid w:val="006F737F"/>
    <w:rsid w:val="006F73C1"/>
    <w:rsid w:val="006F742D"/>
    <w:rsid w:val="006F7435"/>
    <w:rsid w:val="006F748E"/>
    <w:rsid w:val="006F7492"/>
    <w:rsid w:val="006F74E6"/>
    <w:rsid w:val="006F7529"/>
    <w:rsid w:val="006F75B8"/>
    <w:rsid w:val="006F75CE"/>
    <w:rsid w:val="006F75EC"/>
    <w:rsid w:val="006F7673"/>
    <w:rsid w:val="006F76EC"/>
    <w:rsid w:val="006F76F0"/>
    <w:rsid w:val="006F7741"/>
    <w:rsid w:val="006F77BA"/>
    <w:rsid w:val="006F77E4"/>
    <w:rsid w:val="006F7806"/>
    <w:rsid w:val="006F7811"/>
    <w:rsid w:val="006F7838"/>
    <w:rsid w:val="006F7845"/>
    <w:rsid w:val="006F7858"/>
    <w:rsid w:val="006F7932"/>
    <w:rsid w:val="006F796E"/>
    <w:rsid w:val="006F798A"/>
    <w:rsid w:val="006F7ADB"/>
    <w:rsid w:val="006F7B7F"/>
    <w:rsid w:val="006F7BAD"/>
    <w:rsid w:val="006F7BF5"/>
    <w:rsid w:val="006F7C48"/>
    <w:rsid w:val="006F7CA3"/>
    <w:rsid w:val="006F7D67"/>
    <w:rsid w:val="006F7D6E"/>
    <w:rsid w:val="006F7E9C"/>
    <w:rsid w:val="006F7EBC"/>
    <w:rsid w:val="006F7F56"/>
    <w:rsid w:val="006F7F5A"/>
    <w:rsid w:val="006F7FE5"/>
    <w:rsid w:val="00700003"/>
    <w:rsid w:val="00700075"/>
    <w:rsid w:val="007000A0"/>
    <w:rsid w:val="007000CA"/>
    <w:rsid w:val="007000CF"/>
    <w:rsid w:val="00700117"/>
    <w:rsid w:val="0070015D"/>
    <w:rsid w:val="0070020E"/>
    <w:rsid w:val="00700215"/>
    <w:rsid w:val="00700266"/>
    <w:rsid w:val="00700294"/>
    <w:rsid w:val="007002B5"/>
    <w:rsid w:val="007002E4"/>
    <w:rsid w:val="00700340"/>
    <w:rsid w:val="00700398"/>
    <w:rsid w:val="00700438"/>
    <w:rsid w:val="00700507"/>
    <w:rsid w:val="00700541"/>
    <w:rsid w:val="007006E2"/>
    <w:rsid w:val="007006FC"/>
    <w:rsid w:val="00700783"/>
    <w:rsid w:val="007008A5"/>
    <w:rsid w:val="007008AA"/>
    <w:rsid w:val="007008B3"/>
    <w:rsid w:val="007008E6"/>
    <w:rsid w:val="00700958"/>
    <w:rsid w:val="00700995"/>
    <w:rsid w:val="007009C6"/>
    <w:rsid w:val="007009E3"/>
    <w:rsid w:val="00700B07"/>
    <w:rsid w:val="00700B44"/>
    <w:rsid w:val="00700B61"/>
    <w:rsid w:val="00700B6F"/>
    <w:rsid w:val="00700CAE"/>
    <w:rsid w:val="00700CE4"/>
    <w:rsid w:val="00700CEF"/>
    <w:rsid w:val="00700D36"/>
    <w:rsid w:val="00700DB1"/>
    <w:rsid w:val="00700DDF"/>
    <w:rsid w:val="00700ED4"/>
    <w:rsid w:val="00700F59"/>
    <w:rsid w:val="00700FB1"/>
    <w:rsid w:val="00700FCC"/>
    <w:rsid w:val="0070105F"/>
    <w:rsid w:val="00701067"/>
    <w:rsid w:val="00701069"/>
    <w:rsid w:val="007010C1"/>
    <w:rsid w:val="007010C9"/>
    <w:rsid w:val="007010F4"/>
    <w:rsid w:val="007011B3"/>
    <w:rsid w:val="007011EA"/>
    <w:rsid w:val="007011EB"/>
    <w:rsid w:val="007012CD"/>
    <w:rsid w:val="00701305"/>
    <w:rsid w:val="00701324"/>
    <w:rsid w:val="0070132D"/>
    <w:rsid w:val="00701334"/>
    <w:rsid w:val="0070134B"/>
    <w:rsid w:val="007013F9"/>
    <w:rsid w:val="00701453"/>
    <w:rsid w:val="007014A0"/>
    <w:rsid w:val="0070150F"/>
    <w:rsid w:val="007015B1"/>
    <w:rsid w:val="007015C7"/>
    <w:rsid w:val="00701670"/>
    <w:rsid w:val="007016DD"/>
    <w:rsid w:val="0070170B"/>
    <w:rsid w:val="00701714"/>
    <w:rsid w:val="00701753"/>
    <w:rsid w:val="00701756"/>
    <w:rsid w:val="00701791"/>
    <w:rsid w:val="0070180D"/>
    <w:rsid w:val="007018BF"/>
    <w:rsid w:val="007018C5"/>
    <w:rsid w:val="00701946"/>
    <w:rsid w:val="00701A40"/>
    <w:rsid w:val="00701AAF"/>
    <w:rsid w:val="00701B29"/>
    <w:rsid w:val="00701C0F"/>
    <w:rsid w:val="00701C60"/>
    <w:rsid w:val="00701C79"/>
    <w:rsid w:val="00701C7F"/>
    <w:rsid w:val="00701C92"/>
    <w:rsid w:val="00701D5D"/>
    <w:rsid w:val="00701E94"/>
    <w:rsid w:val="00701E95"/>
    <w:rsid w:val="00701F46"/>
    <w:rsid w:val="00701FFB"/>
    <w:rsid w:val="0070203D"/>
    <w:rsid w:val="00702085"/>
    <w:rsid w:val="00702169"/>
    <w:rsid w:val="007021E1"/>
    <w:rsid w:val="007021E5"/>
    <w:rsid w:val="007021EE"/>
    <w:rsid w:val="00702258"/>
    <w:rsid w:val="00702319"/>
    <w:rsid w:val="00702406"/>
    <w:rsid w:val="00702471"/>
    <w:rsid w:val="00702538"/>
    <w:rsid w:val="007025CF"/>
    <w:rsid w:val="007025DB"/>
    <w:rsid w:val="00702654"/>
    <w:rsid w:val="007026D3"/>
    <w:rsid w:val="0070272A"/>
    <w:rsid w:val="007027CC"/>
    <w:rsid w:val="00702869"/>
    <w:rsid w:val="00702898"/>
    <w:rsid w:val="007028CB"/>
    <w:rsid w:val="00702905"/>
    <w:rsid w:val="00702937"/>
    <w:rsid w:val="00702960"/>
    <w:rsid w:val="00702983"/>
    <w:rsid w:val="007029CF"/>
    <w:rsid w:val="00702AA1"/>
    <w:rsid w:val="00702B1B"/>
    <w:rsid w:val="00702BBB"/>
    <w:rsid w:val="00702C31"/>
    <w:rsid w:val="00702C42"/>
    <w:rsid w:val="00702CF6"/>
    <w:rsid w:val="00702D0E"/>
    <w:rsid w:val="00702D11"/>
    <w:rsid w:val="00702E11"/>
    <w:rsid w:val="00702E6C"/>
    <w:rsid w:val="00702E72"/>
    <w:rsid w:val="00702EB3"/>
    <w:rsid w:val="00702EC5"/>
    <w:rsid w:val="00702EF2"/>
    <w:rsid w:val="00702F35"/>
    <w:rsid w:val="00702FDC"/>
    <w:rsid w:val="00703005"/>
    <w:rsid w:val="0070318A"/>
    <w:rsid w:val="00703228"/>
    <w:rsid w:val="00703273"/>
    <w:rsid w:val="0070327A"/>
    <w:rsid w:val="0070327B"/>
    <w:rsid w:val="007032F1"/>
    <w:rsid w:val="0070331D"/>
    <w:rsid w:val="0070334B"/>
    <w:rsid w:val="00703356"/>
    <w:rsid w:val="007033B6"/>
    <w:rsid w:val="007033B8"/>
    <w:rsid w:val="00703444"/>
    <w:rsid w:val="0070344F"/>
    <w:rsid w:val="007034BF"/>
    <w:rsid w:val="00703658"/>
    <w:rsid w:val="00703672"/>
    <w:rsid w:val="007036EB"/>
    <w:rsid w:val="00703790"/>
    <w:rsid w:val="00703835"/>
    <w:rsid w:val="00703838"/>
    <w:rsid w:val="0070384F"/>
    <w:rsid w:val="00703890"/>
    <w:rsid w:val="007038DA"/>
    <w:rsid w:val="00703A14"/>
    <w:rsid w:val="00703A50"/>
    <w:rsid w:val="00703A6C"/>
    <w:rsid w:val="00703AA3"/>
    <w:rsid w:val="00703AE5"/>
    <w:rsid w:val="00703B51"/>
    <w:rsid w:val="00703BFF"/>
    <w:rsid w:val="00703C07"/>
    <w:rsid w:val="00703C0A"/>
    <w:rsid w:val="00703C27"/>
    <w:rsid w:val="00703C30"/>
    <w:rsid w:val="00703CBA"/>
    <w:rsid w:val="00703D23"/>
    <w:rsid w:val="00703D37"/>
    <w:rsid w:val="00703D69"/>
    <w:rsid w:val="00703D9F"/>
    <w:rsid w:val="00703DB7"/>
    <w:rsid w:val="00703DEB"/>
    <w:rsid w:val="00703E68"/>
    <w:rsid w:val="00703EAA"/>
    <w:rsid w:val="00703EE2"/>
    <w:rsid w:val="00703EFC"/>
    <w:rsid w:val="00703F26"/>
    <w:rsid w:val="00703F7B"/>
    <w:rsid w:val="007041C7"/>
    <w:rsid w:val="007041DC"/>
    <w:rsid w:val="00704251"/>
    <w:rsid w:val="007042D2"/>
    <w:rsid w:val="00704300"/>
    <w:rsid w:val="00704329"/>
    <w:rsid w:val="00704342"/>
    <w:rsid w:val="0070435D"/>
    <w:rsid w:val="00704376"/>
    <w:rsid w:val="00704377"/>
    <w:rsid w:val="0070437C"/>
    <w:rsid w:val="007043E5"/>
    <w:rsid w:val="00704409"/>
    <w:rsid w:val="00704430"/>
    <w:rsid w:val="007044A4"/>
    <w:rsid w:val="00704509"/>
    <w:rsid w:val="00704566"/>
    <w:rsid w:val="007045C8"/>
    <w:rsid w:val="00704604"/>
    <w:rsid w:val="00704636"/>
    <w:rsid w:val="00704674"/>
    <w:rsid w:val="007046BB"/>
    <w:rsid w:val="007046E0"/>
    <w:rsid w:val="0070472B"/>
    <w:rsid w:val="00704767"/>
    <w:rsid w:val="007047A1"/>
    <w:rsid w:val="007047A9"/>
    <w:rsid w:val="007047AC"/>
    <w:rsid w:val="007047CB"/>
    <w:rsid w:val="0070482E"/>
    <w:rsid w:val="007048DD"/>
    <w:rsid w:val="007048E5"/>
    <w:rsid w:val="00704A58"/>
    <w:rsid w:val="00704B14"/>
    <w:rsid w:val="00704B3A"/>
    <w:rsid w:val="00704BE1"/>
    <w:rsid w:val="00704C54"/>
    <w:rsid w:val="00704D12"/>
    <w:rsid w:val="00704D1A"/>
    <w:rsid w:val="00704DEC"/>
    <w:rsid w:val="00704E12"/>
    <w:rsid w:val="00704E5F"/>
    <w:rsid w:val="00704E76"/>
    <w:rsid w:val="00704EA1"/>
    <w:rsid w:val="00704ED7"/>
    <w:rsid w:val="00704EDD"/>
    <w:rsid w:val="00704F2E"/>
    <w:rsid w:val="00704FFF"/>
    <w:rsid w:val="0070501D"/>
    <w:rsid w:val="00705072"/>
    <w:rsid w:val="007050AF"/>
    <w:rsid w:val="007051AF"/>
    <w:rsid w:val="007051F1"/>
    <w:rsid w:val="00705216"/>
    <w:rsid w:val="007053E9"/>
    <w:rsid w:val="00705431"/>
    <w:rsid w:val="007054D3"/>
    <w:rsid w:val="007054D9"/>
    <w:rsid w:val="007054E4"/>
    <w:rsid w:val="00705540"/>
    <w:rsid w:val="00705570"/>
    <w:rsid w:val="00705572"/>
    <w:rsid w:val="0070558E"/>
    <w:rsid w:val="00705594"/>
    <w:rsid w:val="007055DA"/>
    <w:rsid w:val="0070566E"/>
    <w:rsid w:val="0070572B"/>
    <w:rsid w:val="00705947"/>
    <w:rsid w:val="0070597F"/>
    <w:rsid w:val="007059A4"/>
    <w:rsid w:val="007059BF"/>
    <w:rsid w:val="00705A77"/>
    <w:rsid w:val="00705AD7"/>
    <w:rsid w:val="00705ADC"/>
    <w:rsid w:val="00705B10"/>
    <w:rsid w:val="00705B85"/>
    <w:rsid w:val="00705BCB"/>
    <w:rsid w:val="00705BE4"/>
    <w:rsid w:val="00705BE7"/>
    <w:rsid w:val="00705BEF"/>
    <w:rsid w:val="00705C01"/>
    <w:rsid w:val="00705C2E"/>
    <w:rsid w:val="00705CA1"/>
    <w:rsid w:val="00705D97"/>
    <w:rsid w:val="00705E50"/>
    <w:rsid w:val="00705F25"/>
    <w:rsid w:val="00705F5D"/>
    <w:rsid w:val="00706053"/>
    <w:rsid w:val="00706062"/>
    <w:rsid w:val="00706242"/>
    <w:rsid w:val="007062A4"/>
    <w:rsid w:val="00706317"/>
    <w:rsid w:val="00706318"/>
    <w:rsid w:val="00706345"/>
    <w:rsid w:val="00706352"/>
    <w:rsid w:val="007063C5"/>
    <w:rsid w:val="007063D9"/>
    <w:rsid w:val="007063F5"/>
    <w:rsid w:val="007064A8"/>
    <w:rsid w:val="007064C5"/>
    <w:rsid w:val="00706501"/>
    <w:rsid w:val="00706601"/>
    <w:rsid w:val="007066AC"/>
    <w:rsid w:val="0070675B"/>
    <w:rsid w:val="00706769"/>
    <w:rsid w:val="007067B0"/>
    <w:rsid w:val="007067F6"/>
    <w:rsid w:val="007068B9"/>
    <w:rsid w:val="007068E2"/>
    <w:rsid w:val="00706921"/>
    <w:rsid w:val="0070692F"/>
    <w:rsid w:val="00706955"/>
    <w:rsid w:val="00706A29"/>
    <w:rsid w:val="00706AAB"/>
    <w:rsid w:val="00706AC8"/>
    <w:rsid w:val="00706B25"/>
    <w:rsid w:val="00706B67"/>
    <w:rsid w:val="00706BCA"/>
    <w:rsid w:val="00706BFC"/>
    <w:rsid w:val="00706C10"/>
    <w:rsid w:val="00706C1E"/>
    <w:rsid w:val="00706C87"/>
    <w:rsid w:val="00706CC9"/>
    <w:rsid w:val="00706CEF"/>
    <w:rsid w:val="00706D9C"/>
    <w:rsid w:val="00706E55"/>
    <w:rsid w:val="00706EE1"/>
    <w:rsid w:val="00707061"/>
    <w:rsid w:val="00707078"/>
    <w:rsid w:val="007070F8"/>
    <w:rsid w:val="0070712A"/>
    <w:rsid w:val="0070712C"/>
    <w:rsid w:val="00707205"/>
    <w:rsid w:val="00707348"/>
    <w:rsid w:val="00707395"/>
    <w:rsid w:val="0070739C"/>
    <w:rsid w:val="0070740F"/>
    <w:rsid w:val="007074E3"/>
    <w:rsid w:val="007075DF"/>
    <w:rsid w:val="007075EA"/>
    <w:rsid w:val="00707685"/>
    <w:rsid w:val="00707687"/>
    <w:rsid w:val="00707695"/>
    <w:rsid w:val="007076BC"/>
    <w:rsid w:val="007076DC"/>
    <w:rsid w:val="0070773B"/>
    <w:rsid w:val="007077B0"/>
    <w:rsid w:val="007077C0"/>
    <w:rsid w:val="0070786B"/>
    <w:rsid w:val="00707897"/>
    <w:rsid w:val="007078A6"/>
    <w:rsid w:val="007078AA"/>
    <w:rsid w:val="007079A4"/>
    <w:rsid w:val="007079CB"/>
    <w:rsid w:val="00707A24"/>
    <w:rsid w:val="00707A2E"/>
    <w:rsid w:val="00707A55"/>
    <w:rsid w:val="00707A80"/>
    <w:rsid w:val="00707AAD"/>
    <w:rsid w:val="00707B00"/>
    <w:rsid w:val="00707B52"/>
    <w:rsid w:val="00707B60"/>
    <w:rsid w:val="00707B8F"/>
    <w:rsid w:val="00707BC1"/>
    <w:rsid w:val="00707C10"/>
    <w:rsid w:val="00707C63"/>
    <w:rsid w:val="00707CFB"/>
    <w:rsid w:val="00707D13"/>
    <w:rsid w:val="00707E5D"/>
    <w:rsid w:val="00707FB2"/>
    <w:rsid w:val="00710015"/>
    <w:rsid w:val="00710038"/>
    <w:rsid w:val="00710054"/>
    <w:rsid w:val="007100AD"/>
    <w:rsid w:val="007100B1"/>
    <w:rsid w:val="007100DA"/>
    <w:rsid w:val="00710131"/>
    <w:rsid w:val="00710143"/>
    <w:rsid w:val="00710212"/>
    <w:rsid w:val="00710259"/>
    <w:rsid w:val="00710277"/>
    <w:rsid w:val="007102A8"/>
    <w:rsid w:val="00710349"/>
    <w:rsid w:val="00710391"/>
    <w:rsid w:val="007103B5"/>
    <w:rsid w:val="00710438"/>
    <w:rsid w:val="007104E9"/>
    <w:rsid w:val="007104ED"/>
    <w:rsid w:val="0071064A"/>
    <w:rsid w:val="0071064B"/>
    <w:rsid w:val="00710651"/>
    <w:rsid w:val="00710656"/>
    <w:rsid w:val="007106D3"/>
    <w:rsid w:val="007106F3"/>
    <w:rsid w:val="00710702"/>
    <w:rsid w:val="0071072C"/>
    <w:rsid w:val="00710745"/>
    <w:rsid w:val="0071078A"/>
    <w:rsid w:val="007107AA"/>
    <w:rsid w:val="007107FE"/>
    <w:rsid w:val="0071087A"/>
    <w:rsid w:val="007108EF"/>
    <w:rsid w:val="00710909"/>
    <w:rsid w:val="00710925"/>
    <w:rsid w:val="007109F4"/>
    <w:rsid w:val="007109F6"/>
    <w:rsid w:val="00710A28"/>
    <w:rsid w:val="00710AB9"/>
    <w:rsid w:val="00710AC4"/>
    <w:rsid w:val="00710AC6"/>
    <w:rsid w:val="00710B22"/>
    <w:rsid w:val="00710CC1"/>
    <w:rsid w:val="00710E1A"/>
    <w:rsid w:val="00710E22"/>
    <w:rsid w:val="00710E36"/>
    <w:rsid w:val="00710E47"/>
    <w:rsid w:val="00710E58"/>
    <w:rsid w:val="00710E60"/>
    <w:rsid w:val="00710EC0"/>
    <w:rsid w:val="0071104F"/>
    <w:rsid w:val="0071106A"/>
    <w:rsid w:val="0071108B"/>
    <w:rsid w:val="00711099"/>
    <w:rsid w:val="007110E5"/>
    <w:rsid w:val="00711319"/>
    <w:rsid w:val="00711354"/>
    <w:rsid w:val="007113DD"/>
    <w:rsid w:val="00711437"/>
    <w:rsid w:val="00711509"/>
    <w:rsid w:val="0071156B"/>
    <w:rsid w:val="0071156F"/>
    <w:rsid w:val="00711658"/>
    <w:rsid w:val="007116BB"/>
    <w:rsid w:val="007116D1"/>
    <w:rsid w:val="0071173E"/>
    <w:rsid w:val="00711744"/>
    <w:rsid w:val="00711750"/>
    <w:rsid w:val="0071180E"/>
    <w:rsid w:val="00711867"/>
    <w:rsid w:val="00711987"/>
    <w:rsid w:val="007119F8"/>
    <w:rsid w:val="00711A26"/>
    <w:rsid w:val="00711A45"/>
    <w:rsid w:val="00711A95"/>
    <w:rsid w:val="00711ACA"/>
    <w:rsid w:val="00711B23"/>
    <w:rsid w:val="00711C51"/>
    <w:rsid w:val="00711C78"/>
    <w:rsid w:val="00711C8A"/>
    <w:rsid w:val="00711CC3"/>
    <w:rsid w:val="00711D73"/>
    <w:rsid w:val="00711EA7"/>
    <w:rsid w:val="00711F6A"/>
    <w:rsid w:val="00711FBB"/>
    <w:rsid w:val="00712037"/>
    <w:rsid w:val="00712085"/>
    <w:rsid w:val="00712092"/>
    <w:rsid w:val="007120BA"/>
    <w:rsid w:val="007120F5"/>
    <w:rsid w:val="007120F7"/>
    <w:rsid w:val="00712150"/>
    <w:rsid w:val="00712187"/>
    <w:rsid w:val="00712236"/>
    <w:rsid w:val="00712262"/>
    <w:rsid w:val="0071232E"/>
    <w:rsid w:val="00712369"/>
    <w:rsid w:val="007123FF"/>
    <w:rsid w:val="007124BD"/>
    <w:rsid w:val="0071256F"/>
    <w:rsid w:val="00712571"/>
    <w:rsid w:val="00712573"/>
    <w:rsid w:val="007125B7"/>
    <w:rsid w:val="007125CF"/>
    <w:rsid w:val="0071266E"/>
    <w:rsid w:val="007126AD"/>
    <w:rsid w:val="007126E8"/>
    <w:rsid w:val="007126F6"/>
    <w:rsid w:val="00712728"/>
    <w:rsid w:val="007127F4"/>
    <w:rsid w:val="0071280F"/>
    <w:rsid w:val="00712888"/>
    <w:rsid w:val="0071288A"/>
    <w:rsid w:val="0071290E"/>
    <w:rsid w:val="00712A3B"/>
    <w:rsid w:val="00712B69"/>
    <w:rsid w:val="00712BD0"/>
    <w:rsid w:val="00712C22"/>
    <w:rsid w:val="00712D0D"/>
    <w:rsid w:val="00712F71"/>
    <w:rsid w:val="00712FBC"/>
    <w:rsid w:val="007130BA"/>
    <w:rsid w:val="007130D9"/>
    <w:rsid w:val="0071317E"/>
    <w:rsid w:val="007131B2"/>
    <w:rsid w:val="00713238"/>
    <w:rsid w:val="0071332A"/>
    <w:rsid w:val="00713342"/>
    <w:rsid w:val="00713397"/>
    <w:rsid w:val="0071339A"/>
    <w:rsid w:val="007133C7"/>
    <w:rsid w:val="007133DA"/>
    <w:rsid w:val="007133F8"/>
    <w:rsid w:val="0071340F"/>
    <w:rsid w:val="007134D5"/>
    <w:rsid w:val="00713565"/>
    <w:rsid w:val="00713700"/>
    <w:rsid w:val="00713727"/>
    <w:rsid w:val="007137A7"/>
    <w:rsid w:val="007137BC"/>
    <w:rsid w:val="0071382E"/>
    <w:rsid w:val="007138B6"/>
    <w:rsid w:val="00713904"/>
    <w:rsid w:val="0071390C"/>
    <w:rsid w:val="0071396A"/>
    <w:rsid w:val="0071396B"/>
    <w:rsid w:val="00713A26"/>
    <w:rsid w:val="00713A62"/>
    <w:rsid w:val="00713A70"/>
    <w:rsid w:val="00713AA8"/>
    <w:rsid w:val="00713B1C"/>
    <w:rsid w:val="00713B2A"/>
    <w:rsid w:val="00713C6C"/>
    <w:rsid w:val="00713CC9"/>
    <w:rsid w:val="00713CF4"/>
    <w:rsid w:val="00713DA1"/>
    <w:rsid w:val="00713DE0"/>
    <w:rsid w:val="00713E7B"/>
    <w:rsid w:val="00713F99"/>
    <w:rsid w:val="00713FC8"/>
    <w:rsid w:val="00713FFC"/>
    <w:rsid w:val="00714067"/>
    <w:rsid w:val="0071406D"/>
    <w:rsid w:val="00714153"/>
    <w:rsid w:val="00714165"/>
    <w:rsid w:val="0071419E"/>
    <w:rsid w:val="0071423C"/>
    <w:rsid w:val="007142B1"/>
    <w:rsid w:val="0071430E"/>
    <w:rsid w:val="00714334"/>
    <w:rsid w:val="007143FB"/>
    <w:rsid w:val="00714707"/>
    <w:rsid w:val="0071484E"/>
    <w:rsid w:val="0071486A"/>
    <w:rsid w:val="00714887"/>
    <w:rsid w:val="007148BF"/>
    <w:rsid w:val="007148C2"/>
    <w:rsid w:val="007148CE"/>
    <w:rsid w:val="00714967"/>
    <w:rsid w:val="007149A7"/>
    <w:rsid w:val="007149AC"/>
    <w:rsid w:val="007149BC"/>
    <w:rsid w:val="00714A7F"/>
    <w:rsid w:val="00714A8C"/>
    <w:rsid w:val="00714AB6"/>
    <w:rsid w:val="00714B70"/>
    <w:rsid w:val="00714B9C"/>
    <w:rsid w:val="00714BB2"/>
    <w:rsid w:val="00714BFD"/>
    <w:rsid w:val="00714C0E"/>
    <w:rsid w:val="00714C1C"/>
    <w:rsid w:val="00714C33"/>
    <w:rsid w:val="00714C9C"/>
    <w:rsid w:val="00714CB4"/>
    <w:rsid w:val="00714CD7"/>
    <w:rsid w:val="00714CE3"/>
    <w:rsid w:val="00714D0F"/>
    <w:rsid w:val="00714D3D"/>
    <w:rsid w:val="00714D4A"/>
    <w:rsid w:val="00714D59"/>
    <w:rsid w:val="00714D5E"/>
    <w:rsid w:val="00714DCE"/>
    <w:rsid w:val="00714DE6"/>
    <w:rsid w:val="00714E5A"/>
    <w:rsid w:val="00714F0F"/>
    <w:rsid w:val="00714F95"/>
    <w:rsid w:val="00714FCB"/>
    <w:rsid w:val="00715054"/>
    <w:rsid w:val="007150BB"/>
    <w:rsid w:val="007150C4"/>
    <w:rsid w:val="007150CE"/>
    <w:rsid w:val="007150DB"/>
    <w:rsid w:val="00715114"/>
    <w:rsid w:val="00715118"/>
    <w:rsid w:val="0071517C"/>
    <w:rsid w:val="007151FF"/>
    <w:rsid w:val="00715228"/>
    <w:rsid w:val="007152E9"/>
    <w:rsid w:val="00715315"/>
    <w:rsid w:val="007153BF"/>
    <w:rsid w:val="0071545C"/>
    <w:rsid w:val="00715527"/>
    <w:rsid w:val="00715532"/>
    <w:rsid w:val="00715585"/>
    <w:rsid w:val="007155E8"/>
    <w:rsid w:val="00715681"/>
    <w:rsid w:val="007157F7"/>
    <w:rsid w:val="00715836"/>
    <w:rsid w:val="007158A4"/>
    <w:rsid w:val="00715933"/>
    <w:rsid w:val="0071597E"/>
    <w:rsid w:val="00715A40"/>
    <w:rsid w:val="00715ADA"/>
    <w:rsid w:val="00715B3C"/>
    <w:rsid w:val="00715B43"/>
    <w:rsid w:val="00715B4E"/>
    <w:rsid w:val="00715BB3"/>
    <w:rsid w:val="00715C2E"/>
    <w:rsid w:val="00715C75"/>
    <w:rsid w:val="00715D88"/>
    <w:rsid w:val="00715D8D"/>
    <w:rsid w:val="00715D9D"/>
    <w:rsid w:val="00715DA3"/>
    <w:rsid w:val="00715DD6"/>
    <w:rsid w:val="00715E73"/>
    <w:rsid w:val="00715EE6"/>
    <w:rsid w:val="00715F5E"/>
    <w:rsid w:val="00715F60"/>
    <w:rsid w:val="00715FBB"/>
    <w:rsid w:val="00716036"/>
    <w:rsid w:val="00716061"/>
    <w:rsid w:val="007160FB"/>
    <w:rsid w:val="00716130"/>
    <w:rsid w:val="0071627B"/>
    <w:rsid w:val="00716287"/>
    <w:rsid w:val="007162D9"/>
    <w:rsid w:val="007162EE"/>
    <w:rsid w:val="007163BE"/>
    <w:rsid w:val="007163F6"/>
    <w:rsid w:val="00716447"/>
    <w:rsid w:val="007164CC"/>
    <w:rsid w:val="007164D4"/>
    <w:rsid w:val="007164F8"/>
    <w:rsid w:val="007165C3"/>
    <w:rsid w:val="00716602"/>
    <w:rsid w:val="0071660B"/>
    <w:rsid w:val="0071668D"/>
    <w:rsid w:val="007166D5"/>
    <w:rsid w:val="00716786"/>
    <w:rsid w:val="00716803"/>
    <w:rsid w:val="007168A8"/>
    <w:rsid w:val="007168B8"/>
    <w:rsid w:val="00716925"/>
    <w:rsid w:val="00716ACA"/>
    <w:rsid w:val="00716B4D"/>
    <w:rsid w:val="00716BD9"/>
    <w:rsid w:val="00716C68"/>
    <w:rsid w:val="00716CB4"/>
    <w:rsid w:val="00716CD3"/>
    <w:rsid w:val="00716CF6"/>
    <w:rsid w:val="00716D05"/>
    <w:rsid w:val="00716EA7"/>
    <w:rsid w:val="00716EDF"/>
    <w:rsid w:val="00716F1C"/>
    <w:rsid w:val="00716F88"/>
    <w:rsid w:val="00716FCB"/>
    <w:rsid w:val="00717046"/>
    <w:rsid w:val="00717073"/>
    <w:rsid w:val="007170A6"/>
    <w:rsid w:val="007170B0"/>
    <w:rsid w:val="007170B8"/>
    <w:rsid w:val="00717161"/>
    <w:rsid w:val="00717183"/>
    <w:rsid w:val="00717291"/>
    <w:rsid w:val="007172E2"/>
    <w:rsid w:val="007172F5"/>
    <w:rsid w:val="00717307"/>
    <w:rsid w:val="00717314"/>
    <w:rsid w:val="0071732F"/>
    <w:rsid w:val="0071739B"/>
    <w:rsid w:val="00717449"/>
    <w:rsid w:val="00717461"/>
    <w:rsid w:val="007174B8"/>
    <w:rsid w:val="007174F1"/>
    <w:rsid w:val="00717504"/>
    <w:rsid w:val="007175F0"/>
    <w:rsid w:val="00717639"/>
    <w:rsid w:val="00717724"/>
    <w:rsid w:val="0071776B"/>
    <w:rsid w:val="0071779B"/>
    <w:rsid w:val="007177F0"/>
    <w:rsid w:val="00717816"/>
    <w:rsid w:val="00717819"/>
    <w:rsid w:val="0071781A"/>
    <w:rsid w:val="00717887"/>
    <w:rsid w:val="007178E4"/>
    <w:rsid w:val="00717977"/>
    <w:rsid w:val="00717A25"/>
    <w:rsid w:val="00717AA6"/>
    <w:rsid w:val="00717AD8"/>
    <w:rsid w:val="00717B04"/>
    <w:rsid w:val="00717B21"/>
    <w:rsid w:val="00717B50"/>
    <w:rsid w:val="00717B56"/>
    <w:rsid w:val="00717C10"/>
    <w:rsid w:val="00717C19"/>
    <w:rsid w:val="00717C30"/>
    <w:rsid w:val="00717CB5"/>
    <w:rsid w:val="00717CD7"/>
    <w:rsid w:val="00717CE2"/>
    <w:rsid w:val="00717D21"/>
    <w:rsid w:val="00717D23"/>
    <w:rsid w:val="00717D4A"/>
    <w:rsid w:val="00717DE1"/>
    <w:rsid w:val="00717E1E"/>
    <w:rsid w:val="00717E3A"/>
    <w:rsid w:val="00717E65"/>
    <w:rsid w:val="00717EC5"/>
    <w:rsid w:val="00717F6B"/>
    <w:rsid w:val="007200BD"/>
    <w:rsid w:val="0072016E"/>
    <w:rsid w:val="007201B4"/>
    <w:rsid w:val="007202BA"/>
    <w:rsid w:val="00720304"/>
    <w:rsid w:val="00720349"/>
    <w:rsid w:val="007204A1"/>
    <w:rsid w:val="007204BD"/>
    <w:rsid w:val="00720518"/>
    <w:rsid w:val="007205D6"/>
    <w:rsid w:val="00720603"/>
    <w:rsid w:val="00720616"/>
    <w:rsid w:val="0072061D"/>
    <w:rsid w:val="0072063F"/>
    <w:rsid w:val="007206E8"/>
    <w:rsid w:val="00720709"/>
    <w:rsid w:val="007207E7"/>
    <w:rsid w:val="007207FC"/>
    <w:rsid w:val="007208AF"/>
    <w:rsid w:val="0072090D"/>
    <w:rsid w:val="0072090E"/>
    <w:rsid w:val="007209CE"/>
    <w:rsid w:val="00720A0A"/>
    <w:rsid w:val="00720A8E"/>
    <w:rsid w:val="00720ADF"/>
    <w:rsid w:val="00720B46"/>
    <w:rsid w:val="00720B8A"/>
    <w:rsid w:val="00720B91"/>
    <w:rsid w:val="00720CB2"/>
    <w:rsid w:val="00720DF7"/>
    <w:rsid w:val="00720F5E"/>
    <w:rsid w:val="00720FB3"/>
    <w:rsid w:val="00720FF7"/>
    <w:rsid w:val="00720FFC"/>
    <w:rsid w:val="00721011"/>
    <w:rsid w:val="0072109D"/>
    <w:rsid w:val="007210C4"/>
    <w:rsid w:val="007210F9"/>
    <w:rsid w:val="00721176"/>
    <w:rsid w:val="00721196"/>
    <w:rsid w:val="007211A5"/>
    <w:rsid w:val="00721249"/>
    <w:rsid w:val="00721256"/>
    <w:rsid w:val="00721282"/>
    <w:rsid w:val="007212CF"/>
    <w:rsid w:val="00721350"/>
    <w:rsid w:val="007213B0"/>
    <w:rsid w:val="00721520"/>
    <w:rsid w:val="0072154B"/>
    <w:rsid w:val="00721606"/>
    <w:rsid w:val="0072163F"/>
    <w:rsid w:val="00721696"/>
    <w:rsid w:val="00721735"/>
    <w:rsid w:val="0072177F"/>
    <w:rsid w:val="007217FD"/>
    <w:rsid w:val="007218C4"/>
    <w:rsid w:val="00721961"/>
    <w:rsid w:val="00721A1D"/>
    <w:rsid w:val="00721A28"/>
    <w:rsid w:val="00721A2B"/>
    <w:rsid w:val="00721ABF"/>
    <w:rsid w:val="00721ACB"/>
    <w:rsid w:val="00721C09"/>
    <w:rsid w:val="00721CA9"/>
    <w:rsid w:val="00721D4F"/>
    <w:rsid w:val="00721DFF"/>
    <w:rsid w:val="00721E27"/>
    <w:rsid w:val="00721E3A"/>
    <w:rsid w:val="00721E45"/>
    <w:rsid w:val="00721E51"/>
    <w:rsid w:val="00721EB4"/>
    <w:rsid w:val="00721EBB"/>
    <w:rsid w:val="00721EDE"/>
    <w:rsid w:val="00721F42"/>
    <w:rsid w:val="00721FC4"/>
    <w:rsid w:val="0072208B"/>
    <w:rsid w:val="007220BF"/>
    <w:rsid w:val="007220E3"/>
    <w:rsid w:val="007221BD"/>
    <w:rsid w:val="007221F0"/>
    <w:rsid w:val="007222EE"/>
    <w:rsid w:val="00722307"/>
    <w:rsid w:val="00722332"/>
    <w:rsid w:val="0072233B"/>
    <w:rsid w:val="00722362"/>
    <w:rsid w:val="00722379"/>
    <w:rsid w:val="00722494"/>
    <w:rsid w:val="007224A7"/>
    <w:rsid w:val="007224AD"/>
    <w:rsid w:val="007224EB"/>
    <w:rsid w:val="0072256E"/>
    <w:rsid w:val="007225F9"/>
    <w:rsid w:val="00722638"/>
    <w:rsid w:val="0072267C"/>
    <w:rsid w:val="00722699"/>
    <w:rsid w:val="0072277A"/>
    <w:rsid w:val="007227A0"/>
    <w:rsid w:val="007227A5"/>
    <w:rsid w:val="007227EF"/>
    <w:rsid w:val="007228E3"/>
    <w:rsid w:val="007228F4"/>
    <w:rsid w:val="007229E2"/>
    <w:rsid w:val="00722A19"/>
    <w:rsid w:val="00722A5A"/>
    <w:rsid w:val="00722AFC"/>
    <w:rsid w:val="00722B01"/>
    <w:rsid w:val="00722B06"/>
    <w:rsid w:val="00722B21"/>
    <w:rsid w:val="00722B71"/>
    <w:rsid w:val="00722C18"/>
    <w:rsid w:val="00722C4E"/>
    <w:rsid w:val="00722CDE"/>
    <w:rsid w:val="00722CEF"/>
    <w:rsid w:val="00722D24"/>
    <w:rsid w:val="00722D72"/>
    <w:rsid w:val="00722D88"/>
    <w:rsid w:val="00722D9E"/>
    <w:rsid w:val="00722DDA"/>
    <w:rsid w:val="00722E56"/>
    <w:rsid w:val="00722E7E"/>
    <w:rsid w:val="00722F40"/>
    <w:rsid w:val="00722F4D"/>
    <w:rsid w:val="00723033"/>
    <w:rsid w:val="00723075"/>
    <w:rsid w:val="0072312B"/>
    <w:rsid w:val="007231B9"/>
    <w:rsid w:val="0072320B"/>
    <w:rsid w:val="00723268"/>
    <w:rsid w:val="007232E1"/>
    <w:rsid w:val="0072331D"/>
    <w:rsid w:val="00723374"/>
    <w:rsid w:val="00723381"/>
    <w:rsid w:val="007233E8"/>
    <w:rsid w:val="007234AB"/>
    <w:rsid w:val="00723541"/>
    <w:rsid w:val="00723598"/>
    <w:rsid w:val="007235AE"/>
    <w:rsid w:val="007235CE"/>
    <w:rsid w:val="0072369B"/>
    <w:rsid w:val="00723703"/>
    <w:rsid w:val="00723743"/>
    <w:rsid w:val="0072388E"/>
    <w:rsid w:val="00723901"/>
    <w:rsid w:val="007239DA"/>
    <w:rsid w:val="00723A6A"/>
    <w:rsid w:val="00723AA0"/>
    <w:rsid w:val="00723AA1"/>
    <w:rsid w:val="00723AC7"/>
    <w:rsid w:val="00723B4B"/>
    <w:rsid w:val="00723BDC"/>
    <w:rsid w:val="00723BF3"/>
    <w:rsid w:val="00723BF7"/>
    <w:rsid w:val="00723C04"/>
    <w:rsid w:val="00723C6F"/>
    <w:rsid w:val="00723D46"/>
    <w:rsid w:val="00723DBD"/>
    <w:rsid w:val="00723DBF"/>
    <w:rsid w:val="00723DDB"/>
    <w:rsid w:val="00723E00"/>
    <w:rsid w:val="00723F0E"/>
    <w:rsid w:val="00723FCC"/>
    <w:rsid w:val="00724003"/>
    <w:rsid w:val="00724055"/>
    <w:rsid w:val="007241C8"/>
    <w:rsid w:val="007241CC"/>
    <w:rsid w:val="00724236"/>
    <w:rsid w:val="00724271"/>
    <w:rsid w:val="007242C3"/>
    <w:rsid w:val="0072430E"/>
    <w:rsid w:val="00724356"/>
    <w:rsid w:val="00724371"/>
    <w:rsid w:val="00724411"/>
    <w:rsid w:val="0072458A"/>
    <w:rsid w:val="00724662"/>
    <w:rsid w:val="0072466A"/>
    <w:rsid w:val="007246D2"/>
    <w:rsid w:val="007248F6"/>
    <w:rsid w:val="00724923"/>
    <w:rsid w:val="00724965"/>
    <w:rsid w:val="007249BD"/>
    <w:rsid w:val="007249EC"/>
    <w:rsid w:val="00724A09"/>
    <w:rsid w:val="00724A2D"/>
    <w:rsid w:val="00724A3B"/>
    <w:rsid w:val="00724AB2"/>
    <w:rsid w:val="00724B31"/>
    <w:rsid w:val="00724BAD"/>
    <w:rsid w:val="00724BFF"/>
    <w:rsid w:val="00724C8B"/>
    <w:rsid w:val="00724CB8"/>
    <w:rsid w:val="00724CED"/>
    <w:rsid w:val="00724D59"/>
    <w:rsid w:val="00724DC1"/>
    <w:rsid w:val="00724DFB"/>
    <w:rsid w:val="00724E91"/>
    <w:rsid w:val="00724EBF"/>
    <w:rsid w:val="00724FE9"/>
    <w:rsid w:val="00725015"/>
    <w:rsid w:val="007250AA"/>
    <w:rsid w:val="007250B2"/>
    <w:rsid w:val="007250CC"/>
    <w:rsid w:val="007250F6"/>
    <w:rsid w:val="0072513E"/>
    <w:rsid w:val="00725159"/>
    <w:rsid w:val="00725198"/>
    <w:rsid w:val="007251B7"/>
    <w:rsid w:val="00725272"/>
    <w:rsid w:val="00725344"/>
    <w:rsid w:val="00725419"/>
    <w:rsid w:val="0072541E"/>
    <w:rsid w:val="00725446"/>
    <w:rsid w:val="007254CA"/>
    <w:rsid w:val="007254E9"/>
    <w:rsid w:val="00725509"/>
    <w:rsid w:val="0072553B"/>
    <w:rsid w:val="007255A7"/>
    <w:rsid w:val="00725610"/>
    <w:rsid w:val="00725634"/>
    <w:rsid w:val="00725642"/>
    <w:rsid w:val="00725676"/>
    <w:rsid w:val="00725691"/>
    <w:rsid w:val="0072576B"/>
    <w:rsid w:val="00725785"/>
    <w:rsid w:val="00725795"/>
    <w:rsid w:val="0072589F"/>
    <w:rsid w:val="0072590B"/>
    <w:rsid w:val="0072593C"/>
    <w:rsid w:val="00725956"/>
    <w:rsid w:val="00725A38"/>
    <w:rsid w:val="00725A3E"/>
    <w:rsid w:val="00725A90"/>
    <w:rsid w:val="00725A95"/>
    <w:rsid w:val="00725AC1"/>
    <w:rsid w:val="00725AC6"/>
    <w:rsid w:val="00725AD4"/>
    <w:rsid w:val="00725CB8"/>
    <w:rsid w:val="00725CE2"/>
    <w:rsid w:val="00725CE3"/>
    <w:rsid w:val="00725CF0"/>
    <w:rsid w:val="00725DD2"/>
    <w:rsid w:val="00725E00"/>
    <w:rsid w:val="00725EC3"/>
    <w:rsid w:val="00725EE8"/>
    <w:rsid w:val="00725F49"/>
    <w:rsid w:val="00725FB3"/>
    <w:rsid w:val="00725FD8"/>
    <w:rsid w:val="0072602F"/>
    <w:rsid w:val="007260E3"/>
    <w:rsid w:val="0072615D"/>
    <w:rsid w:val="007261F6"/>
    <w:rsid w:val="00726243"/>
    <w:rsid w:val="0072624E"/>
    <w:rsid w:val="007262E3"/>
    <w:rsid w:val="00726397"/>
    <w:rsid w:val="00726398"/>
    <w:rsid w:val="007263CA"/>
    <w:rsid w:val="00726446"/>
    <w:rsid w:val="00726492"/>
    <w:rsid w:val="007264A1"/>
    <w:rsid w:val="007264AB"/>
    <w:rsid w:val="007264C0"/>
    <w:rsid w:val="007265B2"/>
    <w:rsid w:val="007265D1"/>
    <w:rsid w:val="00726602"/>
    <w:rsid w:val="0072678D"/>
    <w:rsid w:val="00726857"/>
    <w:rsid w:val="007268B1"/>
    <w:rsid w:val="00726951"/>
    <w:rsid w:val="00726960"/>
    <w:rsid w:val="00726BCF"/>
    <w:rsid w:val="00726C11"/>
    <w:rsid w:val="00726C67"/>
    <w:rsid w:val="00726C7D"/>
    <w:rsid w:val="00726C94"/>
    <w:rsid w:val="00726DED"/>
    <w:rsid w:val="00726E1B"/>
    <w:rsid w:val="00726E65"/>
    <w:rsid w:val="00726E8E"/>
    <w:rsid w:val="00726F3C"/>
    <w:rsid w:val="00726F40"/>
    <w:rsid w:val="00726FCB"/>
    <w:rsid w:val="00727008"/>
    <w:rsid w:val="0072701C"/>
    <w:rsid w:val="0072708D"/>
    <w:rsid w:val="007270B2"/>
    <w:rsid w:val="007270CA"/>
    <w:rsid w:val="007270ED"/>
    <w:rsid w:val="00727120"/>
    <w:rsid w:val="0072724E"/>
    <w:rsid w:val="00727302"/>
    <w:rsid w:val="00727398"/>
    <w:rsid w:val="007273A4"/>
    <w:rsid w:val="007273E2"/>
    <w:rsid w:val="007273F6"/>
    <w:rsid w:val="007273FB"/>
    <w:rsid w:val="0072742B"/>
    <w:rsid w:val="00727465"/>
    <w:rsid w:val="007274B0"/>
    <w:rsid w:val="007274CD"/>
    <w:rsid w:val="00727510"/>
    <w:rsid w:val="00727511"/>
    <w:rsid w:val="00727515"/>
    <w:rsid w:val="0072753B"/>
    <w:rsid w:val="0072753C"/>
    <w:rsid w:val="0072758F"/>
    <w:rsid w:val="00727638"/>
    <w:rsid w:val="00727641"/>
    <w:rsid w:val="00727646"/>
    <w:rsid w:val="00727684"/>
    <w:rsid w:val="007276D4"/>
    <w:rsid w:val="00727760"/>
    <w:rsid w:val="007277AA"/>
    <w:rsid w:val="007277FC"/>
    <w:rsid w:val="00727845"/>
    <w:rsid w:val="00727896"/>
    <w:rsid w:val="00727897"/>
    <w:rsid w:val="007278EA"/>
    <w:rsid w:val="00727A21"/>
    <w:rsid w:val="00727AF0"/>
    <w:rsid w:val="00727B2B"/>
    <w:rsid w:val="00727B69"/>
    <w:rsid w:val="00727B7A"/>
    <w:rsid w:val="00727B8B"/>
    <w:rsid w:val="00727CC6"/>
    <w:rsid w:val="00727F11"/>
    <w:rsid w:val="0073011B"/>
    <w:rsid w:val="0073012C"/>
    <w:rsid w:val="007301CA"/>
    <w:rsid w:val="007301F9"/>
    <w:rsid w:val="007302EA"/>
    <w:rsid w:val="0073031F"/>
    <w:rsid w:val="00730443"/>
    <w:rsid w:val="0073048C"/>
    <w:rsid w:val="007304B2"/>
    <w:rsid w:val="007304BF"/>
    <w:rsid w:val="007304E1"/>
    <w:rsid w:val="007304E8"/>
    <w:rsid w:val="0073050C"/>
    <w:rsid w:val="007305A2"/>
    <w:rsid w:val="0073060A"/>
    <w:rsid w:val="00730651"/>
    <w:rsid w:val="00730681"/>
    <w:rsid w:val="0073068C"/>
    <w:rsid w:val="007306B1"/>
    <w:rsid w:val="007306CC"/>
    <w:rsid w:val="007306DB"/>
    <w:rsid w:val="00730721"/>
    <w:rsid w:val="00730778"/>
    <w:rsid w:val="007307FB"/>
    <w:rsid w:val="00730818"/>
    <w:rsid w:val="00730935"/>
    <w:rsid w:val="00730960"/>
    <w:rsid w:val="00730990"/>
    <w:rsid w:val="00730A4A"/>
    <w:rsid w:val="00730A57"/>
    <w:rsid w:val="00730A70"/>
    <w:rsid w:val="00730BE9"/>
    <w:rsid w:val="00730C03"/>
    <w:rsid w:val="00730C28"/>
    <w:rsid w:val="00730CEF"/>
    <w:rsid w:val="00730D43"/>
    <w:rsid w:val="00730D5E"/>
    <w:rsid w:val="00730D99"/>
    <w:rsid w:val="00730DE1"/>
    <w:rsid w:val="00730E16"/>
    <w:rsid w:val="00730F38"/>
    <w:rsid w:val="00730F79"/>
    <w:rsid w:val="00730F84"/>
    <w:rsid w:val="0073100C"/>
    <w:rsid w:val="007310CD"/>
    <w:rsid w:val="00731104"/>
    <w:rsid w:val="007311A6"/>
    <w:rsid w:val="007311F7"/>
    <w:rsid w:val="00731247"/>
    <w:rsid w:val="0073125C"/>
    <w:rsid w:val="007312BC"/>
    <w:rsid w:val="00731306"/>
    <w:rsid w:val="00731368"/>
    <w:rsid w:val="007313AD"/>
    <w:rsid w:val="007314C3"/>
    <w:rsid w:val="0073154D"/>
    <w:rsid w:val="00731553"/>
    <w:rsid w:val="007315F4"/>
    <w:rsid w:val="00731607"/>
    <w:rsid w:val="0073162B"/>
    <w:rsid w:val="007316DB"/>
    <w:rsid w:val="007316DC"/>
    <w:rsid w:val="007317AD"/>
    <w:rsid w:val="0073181F"/>
    <w:rsid w:val="007318BD"/>
    <w:rsid w:val="007319D2"/>
    <w:rsid w:val="00731A07"/>
    <w:rsid w:val="00731ABF"/>
    <w:rsid w:val="00731BF6"/>
    <w:rsid w:val="00731D92"/>
    <w:rsid w:val="00731D9F"/>
    <w:rsid w:val="00731DDC"/>
    <w:rsid w:val="00731DF9"/>
    <w:rsid w:val="00731E30"/>
    <w:rsid w:val="00731E42"/>
    <w:rsid w:val="00731F39"/>
    <w:rsid w:val="00731F5F"/>
    <w:rsid w:val="00731FC9"/>
    <w:rsid w:val="0073201F"/>
    <w:rsid w:val="00732026"/>
    <w:rsid w:val="00732038"/>
    <w:rsid w:val="00732090"/>
    <w:rsid w:val="007320AB"/>
    <w:rsid w:val="007320CA"/>
    <w:rsid w:val="007320D1"/>
    <w:rsid w:val="00732117"/>
    <w:rsid w:val="00732130"/>
    <w:rsid w:val="007321D4"/>
    <w:rsid w:val="00732242"/>
    <w:rsid w:val="00732283"/>
    <w:rsid w:val="007322E2"/>
    <w:rsid w:val="00732469"/>
    <w:rsid w:val="007324D7"/>
    <w:rsid w:val="00732500"/>
    <w:rsid w:val="0073250D"/>
    <w:rsid w:val="00732517"/>
    <w:rsid w:val="0073252A"/>
    <w:rsid w:val="00732537"/>
    <w:rsid w:val="0073257A"/>
    <w:rsid w:val="007325B1"/>
    <w:rsid w:val="007325CE"/>
    <w:rsid w:val="007326FC"/>
    <w:rsid w:val="00732701"/>
    <w:rsid w:val="007327EF"/>
    <w:rsid w:val="0073283B"/>
    <w:rsid w:val="007329C3"/>
    <w:rsid w:val="007329D2"/>
    <w:rsid w:val="00732A2A"/>
    <w:rsid w:val="00732A43"/>
    <w:rsid w:val="00732A82"/>
    <w:rsid w:val="00732A8A"/>
    <w:rsid w:val="00732B09"/>
    <w:rsid w:val="00732B7A"/>
    <w:rsid w:val="00732B7F"/>
    <w:rsid w:val="00732B8E"/>
    <w:rsid w:val="00732BA3"/>
    <w:rsid w:val="00732DB6"/>
    <w:rsid w:val="00732DEB"/>
    <w:rsid w:val="00732E32"/>
    <w:rsid w:val="00732E8B"/>
    <w:rsid w:val="00732EAF"/>
    <w:rsid w:val="00732F02"/>
    <w:rsid w:val="00732F3A"/>
    <w:rsid w:val="00732FC4"/>
    <w:rsid w:val="0073303C"/>
    <w:rsid w:val="00733042"/>
    <w:rsid w:val="0073305A"/>
    <w:rsid w:val="00733073"/>
    <w:rsid w:val="007331E3"/>
    <w:rsid w:val="00733362"/>
    <w:rsid w:val="00733399"/>
    <w:rsid w:val="00733525"/>
    <w:rsid w:val="00733535"/>
    <w:rsid w:val="00733594"/>
    <w:rsid w:val="0073367C"/>
    <w:rsid w:val="007336EA"/>
    <w:rsid w:val="00733721"/>
    <w:rsid w:val="0073373B"/>
    <w:rsid w:val="0073378A"/>
    <w:rsid w:val="007337C2"/>
    <w:rsid w:val="00733843"/>
    <w:rsid w:val="00733877"/>
    <w:rsid w:val="007338F2"/>
    <w:rsid w:val="00733909"/>
    <w:rsid w:val="0073390C"/>
    <w:rsid w:val="0073394B"/>
    <w:rsid w:val="00733983"/>
    <w:rsid w:val="00733984"/>
    <w:rsid w:val="007339E3"/>
    <w:rsid w:val="00733AF9"/>
    <w:rsid w:val="00733B11"/>
    <w:rsid w:val="00733B27"/>
    <w:rsid w:val="00733B2E"/>
    <w:rsid w:val="00733B40"/>
    <w:rsid w:val="00733B72"/>
    <w:rsid w:val="00733B80"/>
    <w:rsid w:val="00733BA7"/>
    <w:rsid w:val="00733BC4"/>
    <w:rsid w:val="00733C51"/>
    <w:rsid w:val="00733C7D"/>
    <w:rsid w:val="00733C87"/>
    <w:rsid w:val="00733CC2"/>
    <w:rsid w:val="00733CDE"/>
    <w:rsid w:val="00733D27"/>
    <w:rsid w:val="00733D39"/>
    <w:rsid w:val="00733DC6"/>
    <w:rsid w:val="00733DF3"/>
    <w:rsid w:val="00733E2F"/>
    <w:rsid w:val="00733E6B"/>
    <w:rsid w:val="00733ECC"/>
    <w:rsid w:val="00733FEB"/>
    <w:rsid w:val="00734123"/>
    <w:rsid w:val="0073412A"/>
    <w:rsid w:val="0073418F"/>
    <w:rsid w:val="007341ED"/>
    <w:rsid w:val="0073420D"/>
    <w:rsid w:val="00734252"/>
    <w:rsid w:val="00734262"/>
    <w:rsid w:val="00734383"/>
    <w:rsid w:val="007343C3"/>
    <w:rsid w:val="007343F8"/>
    <w:rsid w:val="00734453"/>
    <w:rsid w:val="00734483"/>
    <w:rsid w:val="007344BE"/>
    <w:rsid w:val="007344D8"/>
    <w:rsid w:val="00734539"/>
    <w:rsid w:val="007345AE"/>
    <w:rsid w:val="007345CF"/>
    <w:rsid w:val="0073467E"/>
    <w:rsid w:val="00734722"/>
    <w:rsid w:val="00734757"/>
    <w:rsid w:val="00734809"/>
    <w:rsid w:val="0073488E"/>
    <w:rsid w:val="007348CD"/>
    <w:rsid w:val="007348D1"/>
    <w:rsid w:val="007348DA"/>
    <w:rsid w:val="007348DD"/>
    <w:rsid w:val="00734957"/>
    <w:rsid w:val="00734976"/>
    <w:rsid w:val="0073497A"/>
    <w:rsid w:val="0073498C"/>
    <w:rsid w:val="00734A7F"/>
    <w:rsid w:val="00734AB2"/>
    <w:rsid w:val="00734AC4"/>
    <w:rsid w:val="00734AD7"/>
    <w:rsid w:val="00734B06"/>
    <w:rsid w:val="00734B6B"/>
    <w:rsid w:val="00734B71"/>
    <w:rsid w:val="00734BE6"/>
    <w:rsid w:val="00734BF4"/>
    <w:rsid w:val="00734C9D"/>
    <w:rsid w:val="00734CB7"/>
    <w:rsid w:val="00734CC0"/>
    <w:rsid w:val="00734CE8"/>
    <w:rsid w:val="00734D39"/>
    <w:rsid w:val="00734D4D"/>
    <w:rsid w:val="00734ED8"/>
    <w:rsid w:val="00734F19"/>
    <w:rsid w:val="00734F7C"/>
    <w:rsid w:val="00734F9E"/>
    <w:rsid w:val="00734FDA"/>
    <w:rsid w:val="00735023"/>
    <w:rsid w:val="00735033"/>
    <w:rsid w:val="007350AB"/>
    <w:rsid w:val="00735128"/>
    <w:rsid w:val="0073519E"/>
    <w:rsid w:val="007351DC"/>
    <w:rsid w:val="00735255"/>
    <w:rsid w:val="00735256"/>
    <w:rsid w:val="00735309"/>
    <w:rsid w:val="0073541E"/>
    <w:rsid w:val="0073542E"/>
    <w:rsid w:val="00735471"/>
    <w:rsid w:val="007355C3"/>
    <w:rsid w:val="007355C5"/>
    <w:rsid w:val="00735652"/>
    <w:rsid w:val="00735719"/>
    <w:rsid w:val="00735743"/>
    <w:rsid w:val="00735759"/>
    <w:rsid w:val="007357C2"/>
    <w:rsid w:val="007357DC"/>
    <w:rsid w:val="00735849"/>
    <w:rsid w:val="0073589B"/>
    <w:rsid w:val="007358D3"/>
    <w:rsid w:val="00735922"/>
    <w:rsid w:val="0073593E"/>
    <w:rsid w:val="0073596A"/>
    <w:rsid w:val="00735A49"/>
    <w:rsid w:val="00735AAB"/>
    <w:rsid w:val="00735AEC"/>
    <w:rsid w:val="00735B78"/>
    <w:rsid w:val="00735C6F"/>
    <w:rsid w:val="00735CB2"/>
    <w:rsid w:val="00735D32"/>
    <w:rsid w:val="00735DAD"/>
    <w:rsid w:val="00735E29"/>
    <w:rsid w:val="00735E39"/>
    <w:rsid w:val="00735EC9"/>
    <w:rsid w:val="00735F46"/>
    <w:rsid w:val="00735FC7"/>
    <w:rsid w:val="00736013"/>
    <w:rsid w:val="00736030"/>
    <w:rsid w:val="00736128"/>
    <w:rsid w:val="0073615C"/>
    <w:rsid w:val="0073615D"/>
    <w:rsid w:val="007361AC"/>
    <w:rsid w:val="0073624C"/>
    <w:rsid w:val="00736250"/>
    <w:rsid w:val="00736304"/>
    <w:rsid w:val="0073632C"/>
    <w:rsid w:val="00736345"/>
    <w:rsid w:val="00736358"/>
    <w:rsid w:val="00736398"/>
    <w:rsid w:val="0073643A"/>
    <w:rsid w:val="00736571"/>
    <w:rsid w:val="0073668C"/>
    <w:rsid w:val="0073669F"/>
    <w:rsid w:val="007366BA"/>
    <w:rsid w:val="007366E1"/>
    <w:rsid w:val="007366F2"/>
    <w:rsid w:val="00736733"/>
    <w:rsid w:val="0073676A"/>
    <w:rsid w:val="00736791"/>
    <w:rsid w:val="007367CD"/>
    <w:rsid w:val="0073680E"/>
    <w:rsid w:val="00736892"/>
    <w:rsid w:val="007368D5"/>
    <w:rsid w:val="007368FD"/>
    <w:rsid w:val="00736910"/>
    <w:rsid w:val="00736968"/>
    <w:rsid w:val="0073697C"/>
    <w:rsid w:val="00736982"/>
    <w:rsid w:val="007369DB"/>
    <w:rsid w:val="00736AC4"/>
    <w:rsid w:val="00736ACB"/>
    <w:rsid w:val="00736B01"/>
    <w:rsid w:val="00736C14"/>
    <w:rsid w:val="00736C57"/>
    <w:rsid w:val="00736CF2"/>
    <w:rsid w:val="00736DDA"/>
    <w:rsid w:val="00736DE8"/>
    <w:rsid w:val="00736E21"/>
    <w:rsid w:val="00736E52"/>
    <w:rsid w:val="00736F1D"/>
    <w:rsid w:val="00736F69"/>
    <w:rsid w:val="00736F6D"/>
    <w:rsid w:val="00736FA5"/>
    <w:rsid w:val="00736FD2"/>
    <w:rsid w:val="00736FDC"/>
    <w:rsid w:val="00736FEB"/>
    <w:rsid w:val="00737035"/>
    <w:rsid w:val="00737037"/>
    <w:rsid w:val="00737085"/>
    <w:rsid w:val="00737155"/>
    <w:rsid w:val="00737166"/>
    <w:rsid w:val="00737197"/>
    <w:rsid w:val="0073726E"/>
    <w:rsid w:val="007372C5"/>
    <w:rsid w:val="00737322"/>
    <w:rsid w:val="00737377"/>
    <w:rsid w:val="0073738C"/>
    <w:rsid w:val="007373A4"/>
    <w:rsid w:val="00737410"/>
    <w:rsid w:val="0073744A"/>
    <w:rsid w:val="007374D8"/>
    <w:rsid w:val="007374EF"/>
    <w:rsid w:val="007374F4"/>
    <w:rsid w:val="00737539"/>
    <w:rsid w:val="0073755A"/>
    <w:rsid w:val="00737641"/>
    <w:rsid w:val="007376FD"/>
    <w:rsid w:val="0073770A"/>
    <w:rsid w:val="00737719"/>
    <w:rsid w:val="00737754"/>
    <w:rsid w:val="0073779E"/>
    <w:rsid w:val="00737873"/>
    <w:rsid w:val="00737884"/>
    <w:rsid w:val="00737908"/>
    <w:rsid w:val="00737909"/>
    <w:rsid w:val="00737926"/>
    <w:rsid w:val="0073795F"/>
    <w:rsid w:val="00737985"/>
    <w:rsid w:val="00737A0B"/>
    <w:rsid w:val="00737A77"/>
    <w:rsid w:val="00737AAF"/>
    <w:rsid w:val="00737B15"/>
    <w:rsid w:val="00737B1E"/>
    <w:rsid w:val="00737BBB"/>
    <w:rsid w:val="00737BE7"/>
    <w:rsid w:val="00737BEA"/>
    <w:rsid w:val="00737C4B"/>
    <w:rsid w:val="00737CB4"/>
    <w:rsid w:val="00737CF2"/>
    <w:rsid w:val="00737D26"/>
    <w:rsid w:val="00737DB1"/>
    <w:rsid w:val="00737E92"/>
    <w:rsid w:val="00737EAB"/>
    <w:rsid w:val="00737EEA"/>
    <w:rsid w:val="00737F99"/>
    <w:rsid w:val="00737FD6"/>
    <w:rsid w:val="00740058"/>
    <w:rsid w:val="0074005C"/>
    <w:rsid w:val="00740093"/>
    <w:rsid w:val="007400C6"/>
    <w:rsid w:val="007400EB"/>
    <w:rsid w:val="0074010F"/>
    <w:rsid w:val="007401BA"/>
    <w:rsid w:val="00740218"/>
    <w:rsid w:val="0074038B"/>
    <w:rsid w:val="007403B1"/>
    <w:rsid w:val="007403CE"/>
    <w:rsid w:val="00740554"/>
    <w:rsid w:val="007405BF"/>
    <w:rsid w:val="0074061B"/>
    <w:rsid w:val="00740627"/>
    <w:rsid w:val="00740709"/>
    <w:rsid w:val="007408A4"/>
    <w:rsid w:val="00740AF0"/>
    <w:rsid w:val="00740B18"/>
    <w:rsid w:val="00740B34"/>
    <w:rsid w:val="00740D6F"/>
    <w:rsid w:val="00740E43"/>
    <w:rsid w:val="00740E7F"/>
    <w:rsid w:val="00740ECA"/>
    <w:rsid w:val="00740F00"/>
    <w:rsid w:val="00740F86"/>
    <w:rsid w:val="00741029"/>
    <w:rsid w:val="00741044"/>
    <w:rsid w:val="007410F9"/>
    <w:rsid w:val="00741156"/>
    <w:rsid w:val="0074118E"/>
    <w:rsid w:val="00741213"/>
    <w:rsid w:val="00741238"/>
    <w:rsid w:val="0074123D"/>
    <w:rsid w:val="00741242"/>
    <w:rsid w:val="00741246"/>
    <w:rsid w:val="00741280"/>
    <w:rsid w:val="00741282"/>
    <w:rsid w:val="007412B3"/>
    <w:rsid w:val="007412D4"/>
    <w:rsid w:val="007412FA"/>
    <w:rsid w:val="0074143F"/>
    <w:rsid w:val="00741487"/>
    <w:rsid w:val="007414A9"/>
    <w:rsid w:val="00741521"/>
    <w:rsid w:val="0074156C"/>
    <w:rsid w:val="007415F9"/>
    <w:rsid w:val="0074167B"/>
    <w:rsid w:val="0074167F"/>
    <w:rsid w:val="00741734"/>
    <w:rsid w:val="0074176C"/>
    <w:rsid w:val="007417BC"/>
    <w:rsid w:val="00741849"/>
    <w:rsid w:val="0074190F"/>
    <w:rsid w:val="007419B7"/>
    <w:rsid w:val="007419DE"/>
    <w:rsid w:val="007419E7"/>
    <w:rsid w:val="00741A58"/>
    <w:rsid w:val="00741A67"/>
    <w:rsid w:val="00741AEA"/>
    <w:rsid w:val="00741B11"/>
    <w:rsid w:val="00741B46"/>
    <w:rsid w:val="00741B62"/>
    <w:rsid w:val="00741BA7"/>
    <w:rsid w:val="00741BDB"/>
    <w:rsid w:val="00741C60"/>
    <w:rsid w:val="00741C83"/>
    <w:rsid w:val="00741CC9"/>
    <w:rsid w:val="00741D51"/>
    <w:rsid w:val="00741D67"/>
    <w:rsid w:val="00741D90"/>
    <w:rsid w:val="00741DAF"/>
    <w:rsid w:val="00741DB9"/>
    <w:rsid w:val="00741DCF"/>
    <w:rsid w:val="00741E65"/>
    <w:rsid w:val="00741FB1"/>
    <w:rsid w:val="00741FE5"/>
    <w:rsid w:val="007420B1"/>
    <w:rsid w:val="007420B4"/>
    <w:rsid w:val="00742116"/>
    <w:rsid w:val="0074214D"/>
    <w:rsid w:val="00742169"/>
    <w:rsid w:val="00742186"/>
    <w:rsid w:val="007421C0"/>
    <w:rsid w:val="007421F5"/>
    <w:rsid w:val="00742255"/>
    <w:rsid w:val="0074228D"/>
    <w:rsid w:val="007422B0"/>
    <w:rsid w:val="0074230D"/>
    <w:rsid w:val="0074237A"/>
    <w:rsid w:val="0074238A"/>
    <w:rsid w:val="007423EC"/>
    <w:rsid w:val="0074241E"/>
    <w:rsid w:val="0074242D"/>
    <w:rsid w:val="0074257A"/>
    <w:rsid w:val="007425FC"/>
    <w:rsid w:val="00742603"/>
    <w:rsid w:val="00742617"/>
    <w:rsid w:val="0074272C"/>
    <w:rsid w:val="007427B5"/>
    <w:rsid w:val="007427BB"/>
    <w:rsid w:val="007427DC"/>
    <w:rsid w:val="00742809"/>
    <w:rsid w:val="00742864"/>
    <w:rsid w:val="007428B9"/>
    <w:rsid w:val="007428F5"/>
    <w:rsid w:val="0074295F"/>
    <w:rsid w:val="007429C3"/>
    <w:rsid w:val="007429D0"/>
    <w:rsid w:val="007429EE"/>
    <w:rsid w:val="00742A21"/>
    <w:rsid w:val="00742A6B"/>
    <w:rsid w:val="00742AFA"/>
    <w:rsid w:val="00742B51"/>
    <w:rsid w:val="00742BB1"/>
    <w:rsid w:val="00742BC5"/>
    <w:rsid w:val="00742BD6"/>
    <w:rsid w:val="00742CC7"/>
    <w:rsid w:val="00742CE9"/>
    <w:rsid w:val="00742D17"/>
    <w:rsid w:val="00742D55"/>
    <w:rsid w:val="00742D7E"/>
    <w:rsid w:val="00742DB0"/>
    <w:rsid w:val="00742E29"/>
    <w:rsid w:val="00742E32"/>
    <w:rsid w:val="00742E9E"/>
    <w:rsid w:val="00742EB4"/>
    <w:rsid w:val="00742EBF"/>
    <w:rsid w:val="00742F27"/>
    <w:rsid w:val="00743016"/>
    <w:rsid w:val="007430AD"/>
    <w:rsid w:val="007430DC"/>
    <w:rsid w:val="00743118"/>
    <w:rsid w:val="0074314B"/>
    <w:rsid w:val="007431AB"/>
    <w:rsid w:val="0074326D"/>
    <w:rsid w:val="007432A2"/>
    <w:rsid w:val="007432BE"/>
    <w:rsid w:val="007432C2"/>
    <w:rsid w:val="007432D8"/>
    <w:rsid w:val="00743305"/>
    <w:rsid w:val="0074330D"/>
    <w:rsid w:val="00743364"/>
    <w:rsid w:val="0074347C"/>
    <w:rsid w:val="00743522"/>
    <w:rsid w:val="007435A1"/>
    <w:rsid w:val="007435CA"/>
    <w:rsid w:val="007435F0"/>
    <w:rsid w:val="0074360E"/>
    <w:rsid w:val="0074366A"/>
    <w:rsid w:val="007436EB"/>
    <w:rsid w:val="00743793"/>
    <w:rsid w:val="007437E4"/>
    <w:rsid w:val="007437EB"/>
    <w:rsid w:val="00743888"/>
    <w:rsid w:val="0074388A"/>
    <w:rsid w:val="0074389B"/>
    <w:rsid w:val="007438BF"/>
    <w:rsid w:val="007438E6"/>
    <w:rsid w:val="00743941"/>
    <w:rsid w:val="0074395E"/>
    <w:rsid w:val="007439CE"/>
    <w:rsid w:val="00743A0D"/>
    <w:rsid w:val="00743A41"/>
    <w:rsid w:val="00743A67"/>
    <w:rsid w:val="00743A69"/>
    <w:rsid w:val="00743A6D"/>
    <w:rsid w:val="00743B07"/>
    <w:rsid w:val="00743BB3"/>
    <w:rsid w:val="00743BC3"/>
    <w:rsid w:val="00743C0E"/>
    <w:rsid w:val="00743CAB"/>
    <w:rsid w:val="00743CF3"/>
    <w:rsid w:val="00743DD1"/>
    <w:rsid w:val="00743E80"/>
    <w:rsid w:val="00743EA8"/>
    <w:rsid w:val="00743F4E"/>
    <w:rsid w:val="00743FB6"/>
    <w:rsid w:val="00744013"/>
    <w:rsid w:val="00744057"/>
    <w:rsid w:val="00744114"/>
    <w:rsid w:val="0074418F"/>
    <w:rsid w:val="007441A6"/>
    <w:rsid w:val="007441F0"/>
    <w:rsid w:val="00744201"/>
    <w:rsid w:val="00744305"/>
    <w:rsid w:val="00744367"/>
    <w:rsid w:val="007443AC"/>
    <w:rsid w:val="007443E3"/>
    <w:rsid w:val="00744401"/>
    <w:rsid w:val="0074447D"/>
    <w:rsid w:val="0074462B"/>
    <w:rsid w:val="00744656"/>
    <w:rsid w:val="007446A8"/>
    <w:rsid w:val="007446B8"/>
    <w:rsid w:val="00744728"/>
    <w:rsid w:val="00744758"/>
    <w:rsid w:val="0074482A"/>
    <w:rsid w:val="00744849"/>
    <w:rsid w:val="007448B3"/>
    <w:rsid w:val="007448C5"/>
    <w:rsid w:val="00744904"/>
    <w:rsid w:val="0074491A"/>
    <w:rsid w:val="0074492E"/>
    <w:rsid w:val="00744949"/>
    <w:rsid w:val="00744990"/>
    <w:rsid w:val="00744A57"/>
    <w:rsid w:val="00744A6C"/>
    <w:rsid w:val="00744A7B"/>
    <w:rsid w:val="00744A82"/>
    <w:rsid w:val="00744A8A"/>
    <w:rsid w:val="00744AC0"/>
    <w:rsid w:val="00744AD5"/>
    <w:rsid w:val="00744B2E"/>
    <w:rsid w:val="00744BED"/>
    <w:rsid w:val="00744BFE"/>
    <w:rsid w:val="00744C18"/>
    <w:rsid w:val="00744C46"/>
    <w:rsid w:val="00744C4E"/>
    <w:rsid w:val="00744CA1"/>
    <w:rsid w:val="00744CBF"/>
    <w:rsid w:val="00744CD2"/>
    <w:rsid w:val="00744CE8"/>
    <w:rsid w:val="00744D5A"/>
    <w:rsid w:val="00744D78"/>
    <w:rsid w:val="00744D9C"/>
    <w:rsid w:val="00744E02"/>
    <w:rsid w:val="00744E59"/>
    <w:rsid w:val="00744EDA"/>
    <w:rsid w:val="00744FAA"/>
    <w:rsid w:val="00744FD6"/>
    <w:rsid w:val="00745000"/>
    <w:rsid w:val="00745065"/>
    <w:rsid w:val="0074506B"/>
    <w:rsid w:val="00745147"/>
    <w:rsid w:val="00745159"/>
    <w:rsid w:val="00745164"/>
    <w:rsid w:val="007451A3"/>
    <w:rsid w:val="00745214"/>
    <w:rsid w:val="0074529C"/>
    <w:rsid w:val="00745336"/>
    <w:rsid w:val="00745352"/>
    <w:rsid w:val="007453E7"/>
    <w:rsid w:val="0074540B"/>
    <w:rsid w:val="00745464"/>
    <w:rsid w:val="007454F6"/>
    <w:rsid w:val="007455A1"/>
    <w:rsid w:val="007455AF"/>
    <w:rsid w:val="00745688"/>
    <w:rsid w:val="00745690"/>
    <w:rsid w:val="00745793"/>
    <w:rsid w:val="007457B8"/>
    <w:rsid w:val="007457C4"/>
    <w:rsid w:val="00745813"/>
    <w:rsid w:val="00745833"/>
    <w:rsid w:val="00745861"/>
    <w:rsid w:val="00745869"/>
    <w:rsid w:val="007458C2"/>
    <w:rsid w:val="007458CE"/>
    <w:rsid w:val="007458D8"/>
    <w:rsid w:val="00745977"/>
    <w:rsid w:val="00745A2A"/>
    <w:rsid w:val="00745AB8"/>
    <w:rsid w:val="00745B09"/>
    <w:rsid w:val="00745BDE"/>
    <w:rsid w:val="00745C07"/>
    <w:rsid w:val="00745C22"/>
    <w:rsid w:val="00745C49"/>
    <w:rsid w:val="00745C63"/>
    <w:rsid w:val="00745CBC"/>
    <w:rsid w:val="00745CC4"/>
    <w:rsid w:val="00745E2B"/>
    <w:rsid w:val="00745E96"/>
    <w:rsid w:val="00745ECC"/>
    <w:rsid w:val="00745F05"/>
    <w:rsid w:val="00745F19"/>
    <w:rsid w:val="00745F6F"/>
    <w:rsid w:val="00745FA8"/>
    <w:rsid w:val="0074603B"/>
    <w:rsid w:val="0074608E"/>
    <w:rsid w:val="0074610E"/>
    <w:rsid w:val="007461E4"/>
    <w:rsid w:val="007461E7"/>
    <w:rsid w:val="00746212"/>
    <w:rsid w:val="00746234"/>
    <w:rsid w:val="0074625B"/>
    <w:rsid w:val="007462BD"/>
    <w:rsid w:val="007462C5"/>
    <w:rsid w:val="00746302"/>
    <w:rsid w:val="00746365"/>
    <w:rsid w:val="0074649B"/>
    <w:rsid w:val="007464AF"/>
    <w:rsid w:val="007464C5"/>
    <w:rsid w:val="0074657C"/>
    <w:rsid w:val="007466AB"/>
    <w:rsid w:val="0074674C"/>
    <w:rsid w:val="00746760"/>
    <w:rsid w:val="00746788"/>
    <w:rsid w:val="007467C1"/>
    <w:rsid w:val="007467D9"/>
    <w:rsid w:val="00746832"/>
    <w:rsid w:val="007468B9"/>
    <w:rsid w:val="007468DC"/>
    <w:rsid w:val="007468ED"/>
    <w:rsid w:val="0074698D"/>
    <w:rsid w:val="00746A0E"/>
    <w:rsid w:val="00746A52"/>
    <w:rsid w:val="00746A97"/>
    <w:rsid w:val="00746AAC"/>
    <w:rsid w:val="00746B41"/>
    <w:rsid w:val="00746BBE"/>
    <w:rsid w:val="00746C4A"/>
    <w:rsid w:val="00746D24"/>
    <w:rsid w:val="00746D44"/>
    <w:rsid w:val="00746DCB"/>
    <w:rsid w:val="00746DE1"/>
    <w:rsid w:val="00746DF4"/>
    <w:rsid w:val="00746E17"/>
    <w:rsid w:val="00746EBE"/>
    <w:rsid w:val="00746EEB"/>
    <w:rsid w:val="00746F49"/>
    <w:rsid w:val="00746F74"/>
    <w:rsid w:val="00746FDB"/>
    <w:rsid w:val="0074700F"/>
    <w:rsid w:val="00747086"/>
    <w:rsid w:val="007470C9"/>
    <w:rsid w:val="007470E3"/>
    <w:rsid w:val="00747113"/>
    <w:rsid w:val="00747145"/>
    <w:rsid w:val="00747164"/>
    <w:rsid w:val="0074722B"/>
    <w:rsid w:val="007472F6"/>
    <w:rsid w:val="00747311"/>
    <w:rsid w:val="00747389"/>
    <w:rsid w:val="007473A3"/>
    <w:rsid w:val="007473EF"/>
    <w:rsid w:val="00747434"/>
    <w:rsid w:val="00747441"/>
    <w:rsid w:val="00747454"/>
    <w:rsid w:val="00747459"/>
    <w:rsid w:val="00747479"/>
    <w:rsid w:val="00747480"/>
    <w:rsid w:val="007475B4"/>
    <w:rsid w:val="007475C8"/>
    <w:rsid w:val="007475F6"/>
    <w:rsid w:val="00747633"/>
    <w:rsid w:val="007476E4"/>
    <w:rsid w:val="00747746"/>
    <w:rsid w:val="00747796"/>
    <w:rsid w:val="007478D1"/>
    <w:rsid w:val="007478F1"/>
    <w:rsid w:val="00747933"/>
    <w:rsid w:val="0074793A"/>
    <w:rsid w:val="007479DB"/>
    <w:rsid w:val="00747A65"/>
    <w:rsid w:val="00747A9B"/>
    <w:rsid w:val="00747AF2"/>
    <w:rsid w:val="00747BAD"/>
    <w:rsid w:val="00747BBE"/>
    <w:rsid w:val="00747C2A"/>
    <w:rsid w:val="00747C50"/>
    <w:rsid w:val="00747C8B"/>
    <w:rsid w:val="00747CB5"/>
    <w:rsid w:val="00747D47"/>
    <w:rsid w:val="00747D99"/>
    <w:rsid w:val="00747EC1"/>
    <w:rsid w:val="00747F1B"/>
    <w:rsid w:val="00747F4B"/>
    <w:rsid w:val="00747F8B"/>
    <w:rsid w:val="00747FBD"/>
    <w:rsid w:val="00747FCA"/>
    <w:rsid w:val="00750009"/>
    <w:rsid w:val="00750034"/>
    <w:rsid w:val="00750174"/>
    <w:rsid w:val="007501B3"/>
    <w:rsid w:val="007502AF"/>
    <w:rsid w:val="00750300"/>
    <w:rsid w:val="0075030D"/>
    <w:rsid w:val="0075031B"/>
    <w:rsid w:val="00750341"/>
    <w:rsid w:val="00750363"/>
    <w:rsid w:val="007503BD"/>
    <w:rsid w:val="007503C5"/>
    <w:rsid w:val="007503F5"/>
    <w:rsid w:val="00750409"/>
    <w:rsid w:val="0075042C"/>
    <w:rsid w:val="0075046F"/>
    <w:rsid w:val="0075052F"/>
    <w:rsid w:val="00750618"/>
    <w:rsid w:val="0075062E"/>
    <w:rsid w:val="00750648"/>
    <w:rsid w:val="007506F4"/>
    <w:rsid w:val="0075071C"/>
    <w:rsid w:val="00750763"/>
    <w:rsid w:val="00750878"/>
    <w:rsid w:val="00750977"/>
    <w:rsid w:val="00750A17"/>
    <w:rsid w:val="00750AEA"/>
    <w:rsid w:val="00750AEB"/>
    <w:rsid w:val="00750B29"/>
    <w:rsid w:val="00750B48"/>
    <w:rsid w:val="00750B57"/>
    <w:rsid w:val="00750BA6"/>
    <w:rsid w:val="00750C0B"/>
    <w:rsid w:val="00750C38"/>
    <w:rsid w:val="00750CA5"/>
    <w:rsid w:val="00750CB5"/>
    <w:rsid w:val="00750D02"/>
    <w:rsid w:val="00750D0F"/>
    <w:rsid w:val="00750D4C"/>
    <w:rsid w:val="00750D78"/>
    <w:rsid w:val="00750DEE"/>
    <w:rsid w:val="00750EC0"/>
    <w:rsid w:val="00750F1B"/>
    <w:rsid w:val="00750F2C"/>
    <w:rsid w:val="00750F98"/>
    <w:rsid w:val="00750F9C"/>
    <w:rsid w:val="0075102A"/>
    <w:rsid w:val="0075112D"/>
    <w:rsid w:val="0075113F"/>
    <w:rsid w:val="00751156"/>
    <w:rsid w:val="00751229"/>
    <w:rsid w:val="0075126A"/>
    <w:rsid w:val="007512B8"/>
    <w:rsid w:val="007512D3"/>
    <w:rsid w:val="007512DE"/>
    <w:rsid w:val="0075131F"/>
    <w:rsid w:val="00751432"/>
    <w:rsid w:val="0075146F"/>
    <w:rsid w:val="007514CA"/>
    <w:rsid w:val="0075155A"/>
    <w:rsid w:val="00751567"/>
    <w:rsid w:val="0075159C"/>
    <w:rsid w:val="007515C3"/>
    <w:rsid w:val="007516B8"/>
    <w:rsid w:val="00751764"/>
    <w:rsid w:val="007517D6"/>
    <w:rsid w:val="007517F2"/>
    <w:rsid w:val="00751830"/>
    <w:rsid w:val="0075189C"/>
    <w:rsid w:val="007518C6"/>
    <w:rsid w:val="0075191A"/>
    <w:rsid w:val="00751992"/>
    <w:rsid w:val="00751A0F"/>
    <w:rsid w:val="00751A61"/>
    <w:rsid w:val="00751AE9"/>
    <w:rsid w:val="00751B2F"/>
    <w:rsid w:val="00751BAF"/>
    <w:rsid w:val="00751CAF"/>
    <w:rsid w:val="00751D1B"/>
    <w:rsid w:val="00751D33"/>
    <w:rsid w:val="00751D50"/>
    <w:rsid w:val="00751E19"/>
    <w:rsid w:val="00751E65"/>
    <w:rsid w:val="00751F6E"/>
    <w:rsid w:val="00751F84"/>
    <w:rsid w:val="0075208B"/>
    <w:rsid w:val="00752130"/>
    <w:rsid w:val="00752147"/>
    <w:rsid w:val="00752181"/>
    <w:rsid w:val="007521E7"/>
    <w:rsid w:val="00752276"/>
    <w:rsid w:val="0075227B"/>
    <w:rsid w:val="00752321"/>
    <w:rsid w:val="00752325"/>
    <w:rsid w:val="0075235F"/>
    <w:rsid w:val="00752390"/>
    <w:rsid w:val="007523B7"/>
    <w:rsid w:val="007523E2"/>
    <w:rsid w:val="007523FE"/>
    <w:rsid w:val="007524F7"/>
    <w:rsid w:val="00752506"/>
    <w:rsid w:val="0075251E"/>
    <w:rsid w:val="0075259E"/>
    <w:rsid w:val="00752600"/>
    <w:rsid w:val="007526A3"/>
    <w:rsid w:val="007526F8"/>
    <w:rsid w:val="00752812"/>
    <w:rsid w:val="007528FE"/>
    <w:rsid w:val="007529A1"/>
    <w:rsid w:val="00752A78"/>
    <w:rsid w:val="00752AC2"/>
    <w:rsid w:val="00752B39"/>
    <w:rsid w:val="00752B9F"/>
    <w:rsid w:val="00752BE3"/>
    <w:rsid w:val="00752C40"/>
    <w:rsid w:val="00752C54"/>
    <w:rsid w:val="00752CDD"/>
    <w:rsid w:val="00752D6E"/>
    <w:rsid w:val="00752D93"/>
    <w:rsid w:val="00752DA4"/>
    <w:rsid w:val="00752E7F"/>
    <w:rsid w:val="00752EF4"/>
    <w:rsid w:val="00752FE7"/>
    <w:rsid w:val="0075314C"/>
    <w:rsid w:val="007531FD"/>
    <w:rsid w:val="00753208"/>
    <w:rsid w:val="0075320A"/>
    <w:rsid w:val="0075322C"/>
    <w:rsid w:val="0075323E"/>
    <w:rsid w:val="007532C9"/>
    <w:rsid w:val="007532EB"/>
    <w:rsid w:val="007532EF"/>
    <w:rsid w:val="00753334"/>
    <w:rsid w:val="00753392"/>
    <w:rsid w:val="007533DD"/>
    <w:rsid w:val="007533EF"/>
    <w:rsid w:val="0075340D"/>
    <w:rsid w:val="0075343B"/>
    <w:rsid w:val="0075343F"/>
    <w:rsid w:val="00753444"/>
    <w:rsid w:val="0075344D"/>
    <w:rsid w:val="0075346C"/>
    <w:rsid w:val="007534B7"/>
    <w:rsid w:val="00753518"/>
    <w:rsid w:val="0075351B"/>
    <w:rsid w:val="00753522"/>
    <w:rsid w:val="0075353D"/>
    <w:rsid w:val="00753557"/>
    <w:rsid w:val="0075359B"/>
    <w:rsid w:val="0075365B"/>
    <w:rsid w:val="00753693"/>
    <w:rsid w:val="0075379F"/>
    <w:rsid w:val="00753807"/>
    <w:rsid w:val="0075381A"/>
    <w:rsid w:val="00753865"/>
    <w:rsid w:val="007538B2"/>
    <w:rsid w:val="007538C4"/>
    <w:rsid w:val="007538C5"/>
    <w:rsid w:val="00753A03"/>
    <w:rsid w:val="00753A20"/>
    <w:rsid w:val="00753A54"/>
    <w:rsid w:val="00753A8A"/>
    <w:rsid w:val="00753AA7"/>
    <w:rsid w:val="00753AFA"/>
    <w:rsid w:val="00753C30"/>
    <w:rsid w:val="00753C5C"/>
    <w:rsid w:val="00753C89"/>
    <w:rsid w:val="00753C9F"/>
    <w:rsid w:val="00753CDA"/>
    <w:rsid w:val="00753CE4"/>
    <w:rsid w:val="00753CED"/>
    <w:rsid w:val="00753D91"/>
    <w:rsid w:val="00753D9D"/>
    <w:rsid w:val="00753DB8"/>
    <w:rsid w:val="00753DC0"/>
    <w:rsid w:val="00753F59"/>
    <w:rsid w:val="00753FF1"/>
    <w:rsid w:val="00754046"/>
    <w:rsid w:val="007540A9"/>
    <w:rsid w:val="007540C9"/>
    <w:rsid w:val="007540DA"/>
    <w:rsid w:val="00754115"/>
    <w:rsid w:val="00754124"/>
    <w:rsid w:val="00754158"/>
    <w:rsid w:val="0075417D"/>
    <w:rsid w:val="007541C6"/>
    <w:rsid w:val="0075421E"/>
    <w:rsid w:val="007542E8"/>
    <w:rsid w:val="00754358"/>
    <w:rsid w:val="0075436B"/>
    <w:rsid w:val="007543E8"/>
    <w:rsid w:val="00754417"/>
    <w:rsid w:val="007544AC"/>
    <w:rsid w:val="007544F9"/>
    <w:rsid w:val="007545E4"/>
    <w:rsid w:val="00754696"/>
    <w:rsid w:val="007546D1"/>
    <w:rsid w:val="007546E8"/>
    <w:rsid w:val="007546F6"/>
    <w:rsid w:val="0075477E"/>
    <w:rsid w:val="0075485C"/>
    <w:rsid w:val="007548EC"/>
    <w:rsid w:val="00754990"/>
    <w:rsid w:val="007549C8"/>
    <w:rsid w:val="007549CD"/>
    <w:rsid w:val="007549D3"/>
    <w:rsid w:val="00754A72"/>
    <w:rsid w:val="00754B02"/>
    <w:rsid w:val="00754B0C"/>
    <w:rsid w:val="00754B33"/>
    <w:rsid w:val="00754B5D"/>
    <w:rsid w:val="00754BF6"/>
    <w:rsid w:val="00754C45"/>
    <w:rsid w:val="00754CBB"/>
    <w:rsid w:val="00754CD8"/>
    <w:rsid w:val="00754D24"/>
    <w:rsid w:val="00754D30"/>
    <w:rsid w:val="00754D49"/>
    <w:rsid w:val="00754E2D"/>
    <w:rsid w:val="00754E6C"/>
    <w:rsid w:val="00754EF5"/>
    <w:rsid w:val="00754F14"/>
    <w:rsid w:val="00754F26"/>
    <w:rsid w:val="00754FE4"/>
    <w:rsid w:val="0075504B"/>
    <w:rsid w:val="00755094"/>
    <w:rsid w:val="007550F4"/>
    <w:rsid w:val="007550F9"/>
    <w:rsid w:val="0075510F"/>
    <w:rsid w:val="0075516C"/>
    <w:rsid w:val="007551E6"/>
    <w:rsid w:val="00755268"/>
    <w:rsid w:val="007552CE"/>
    <w:rsid w:val="007552D7"/>
    <w:rsid w:val="007552FD"/>
    <w:rsid w:val="0075530A"/>
    <w:rsid w:val="007553B6"/>
    <w:rsid w:val="007553E8"/>
    <w:rsid w:val="00755410"/>
    <w:rsid w:val="0075541C"/>
    <w:rsid w:val="0075549D"/>
    <w:rsid w:val="0075554D"/>
    <w:rsid w:val="00755574"/>
    <w:rsid w:val="0075560F"/>
    <w:rsid w:val="00755614"/>
    <w:rsid w:val="00755704"/>
    <w:rsid w:val="00755717"/>
    <w:rsid w:val="0075571E"/>
    <w:rsid w:val="0075574D"/>
    <w:rsid w:val="007557A6"/>
    <w:rsid w:val="007557C2"/>
    <w:rsid w:val="007557C9"/>
    <w:rsid w:val="007557CD"/>
    <w:rsid w:val="007557D7"/>
    <w:rsid w:val="0075583B"/>
    <w:rsid w:val="0075594F"/>
    <w:rsid w:val="0075598D"/>
    <w:rsid w:val="007559B9"/>
    <w:rsid w:val="007559CA"/>
    <w:rsid w:val="007559F5"/>
    <w:rsid w:val="00755AD9"/>
    <w:rsid w:val="00755B03"/>
    <w:rsid w:val="00755BE6"/>
    <w:rsid w:val="00755C13"/>
    <w:rsid w:val="00755C5D"/>
    <w:rsid w:val="00755C5E"/>
    <w:rsid w:val="00755CAA"/>
    <w:rsid w:val="00755CB5"/>
    <w:rsid w:val="00755D23"/>
    <w:rsid w:val="00755DC7"/>
    <w:rsid w:val="00755E9D"/>
    <w:rsid w:val="00755F42"/>
    <w:rsid w:val="00755F46"/>
    <w:rsid w:val="00755FC7"/>
    <w:rsid w:val="00755FE7"/>
    <w:rsid w:val="007560D4"/>
    <w:rsid w:val="00756126"/>
    <w:rsid w:val="00756224"/>
    <w:rsid w:val="0075624E"/>
    <w:rsid w:val="00756291"/>
    <w:rsid w:val="00756315"/>
    <w:rsid w:val="00756348"/>
    <w:rsid w:val="0075640D"/>
    <w:rsid w:val="0075654E"/>
    <w:rsid w:val="0075655D"/>
    <w:rsid w:val="00756574"/>
    <w:rsid w:val="00756607"/>
    <w:rsid w:val="00756653"/>
    <w:rsid w:val="007566F7"/>
    <w:rsid w:val="0075671E"/>
    <w:rsid w:val="00756739"/>
    <w:rsid w:val="00756808"/>
    <w:rsid w:val="007568C8"/>
    <w:rsid w:val="007568D0"/>
    <w:rsid w:val="007568D3"/>
    <w:rsid w:val="007568E0"/>
    <w:rsid w:val="00756980"/>
    <w:rsid w:val="007569C9"/>
    <w:rsid w:val="00756A41"/>
    <w:rsid w:val="00756A53"/>
    <w:rsid w:val="00756AC7"/>
    <w:rsid w:val="00756AFA"/>
    <w:rsid w:val="00756B41"/>
    <w:rsid w:val="00756C57"/>
    <w:rsid w:val="00756C9B"/>
    <w:rsid w:val="00756D09"/>
    <w:rsid w:val="00756D53"/>
    <w:rsid w:val="00756DA8"/>
    <w:rsid w:val="00756DBF"/>
    <w:rsid w:val="00756DD2"/>
    <w:rsid w:val="00756E26"/>
    <w:rsid w:val="00756E40"/>
    <w:rsid w:val="00756EA8"/>
    <w:rsid w:val="00756F2C"/>
    <w:rsid w:val="00756F82"/>
    <w:rsid w:val="00757005"/>
    <w:rsid w:val="0075700F"/>
    <w:rsid w:val="00757011"/>
    <w:rsid w:val="00757054"/>
    <w:rsid w:val="007570A5"/>
    <w:rsid w:val="007570CD"/>
    <w:rsid w:val="007570D8"/>
    <w:rsid w:val="0075717C"/>
    <w:rsid w:val="0075719E"/>
    <w:rsid w:val="00757245"/>
    <w:rsid w:val="00757291"/>
    <w:rsid w:val="007572B8"/>
    <w:rsid w:val="007573F9"/>
    <w:rsid w:val="00757435"/>
    <w:rsid w:val="0075744F"/>
    <w:rsid w:val="007574A8"/>
    <w:rsid w:val="007574A9"/>
    <w:rsid w:val="007575DE"/>
    <w:rsid w:val="0075761B"/>
    <w:rsid w:val="0075763F"/>
    <w:rsid w:val="00757662"/>
    <w:rsid w:val="00757666"/>
    <w:rsid w:val="00757681"/>
    <w:rsid w:val="00757709"/>
    <w:rsid w:val="00757727"/>
    <w:rsid w:val="0075773F"/>
    <w:rsid w:val="00757784"/>
    <w:rsid w:val="007577C9"/>
    <w:rsid w:val="007577E3"/>
    <w:rsid w:val="00757848"/>
    <w:rsid w:val="007578D3"/>
    <w:rsid w:val="007578E2"/>
    <w:rsid w:val="00757A3A"/>
    <w:rsid w:val="00757A86"/>
    <w:rsid w:val="00757B14"/>
    <w:rsid w:val="00757B24"/>
    <w:rsid w:val="00757BF6"/>
    <w:rsid w:val="00757C8C"/>
    <w:rsid w:val="00757CEB"/>
    <w:rsid w:val="00757D24"/>
    <w:rsid w:val="00757D91"/>
    <w:rsid w:val="00757DBD"/>
    <w:rsid w:val="00757E0E"/>
    <w:rsid w:val="00757F07"/>
    <w:rsid w:val="00757F96"/>
    <w:rsid w:val="007600DF"/>
    <w:rsid w:val="00760110"/>
    <w:rsid w:val="00760135"/>
    <w:rsid w:val="00760186"/>
    <w:rsid w:val="0076029B"/>
    <w:rsid w:val="007602E1"/>
    <w:rsid w:val="0076034C"/>
    <w:rsid w:val="007603CD"/>
    <w:rsid w:val="00760418"/>
    <w:rsid w:val="007604C2"/>
    <w:rsid w:val="007604EF"/>
    <w:rsid w:val="00760561"/>
    <w:rsid w:val="007605E0"/>
    <w:rsid w:val="00760603"/>
    <w:rsid w:val="00760636"/>
    <w:rsid w:val="0076063F"/>
    <w:rsid w:val="0076064C"/>
    <w:rsid w:val="00760723"/>
    <w:rsid w:val="00760853"/>
    <w:rsid w:val="007608BF"/>
    <w:rsid w:val="00760910"/>
    <w:rsid w:val="00760935"/>
    <w:rsid w:val="00760971"/>
    <w:rsid w:val="0076097D"/>
    <w:rsid w:val="007609A1"/>
    <w:rsid w:val="007609CB"/>
    <w:rsid w:val="00760A18"/>
    <w:rsid w:val="00760AEF"/>
    <w:rsid w:val="00760B94"/>
    <w:rsid w:val="00760C07"/>
    <w:rsid w:val="00760C95"/>
    <w:rsid w:val="00760CBA"/>
    <w:rsid w:val="00760D8B"/>
    <w:rsid w:val="00760DB8"/>
    <w:rsid w:val="00760DBF"/>
    <w:rsid w:val="00760EF8"/>
    <w:rsid w:val="00760F76"/>
    <w:rsid w:val="00760F8D"/>
    <w:rsid w:val="00761000"/>
    <w:rsid w:val="0076102B"/>
    <w:rsid w:val="0076102E"/>
    <w:rsid w:val="00761069"/>
    <w:rsid w:val="007610AB"/>
    <w:rsid w:val="00761181"/>
    <w:rsid w:val="007611FE"/>
    <w:rsid w:val="0076121A"/>
    <w:rsid w:val="00761261"/>
    <w:rsid w:val="007612F4"/>
    <w:rsid w:val="00761322"/>
    <w:rsid w:val="00761351"/>
    <w:rsid w:val="0076141F"/>
    <w:rsid w:val="007614B5"/>
    <w:rsid w:val="00761575"/>
    <w:rsid w:val="0076160B"/>
    <w:rsid w:val="00761637"/>
    <w:rsid w:val="00761690"/>
    <w:rsid w:val="00761713"/>
    <w:rsid w:val="0076183B"/>
    <w:rsid w:val="007618D8"/>
    <w:rsid w:val="007618E5"/>
    <w:rsid w:val="00761916"/>
    <w:rsid w:val="00761960"/>
    <w:rsid w:val="007619C1"/>
    <w:rsid w:val="00761A0F"/>
    <w:rsid w:val="00761A4C"/>
    <w:rsid w:val="00761A72"/>
    <w:rsid w:val="00761A8E"/>
    <w:rsid w:val="00761AC9"/>
    <w:rsid w:val="00761B5C"/>
    <w:rsid w:val="00761B8A"/>
    <w:rsid w:val="00761BA5"/>
    <w:rsid w:val="00761BAD"/>
    <w:rsid w:val="00761BBC"/>
    <w:rsid w:val="00761BD2"/>
    <w:rsid w:val="00761C1F"/>
    <w:rsid w:val="00761CCC"/>
    <w:rsid w:val="00761CDE"/>
    <w:rsid w:val="00761D8C"/>
    <w:rsid w:val="00761DC9"/>
    <w:rsid w:val="00761DD3"/>
    <w:rsid w:val="00761E18"/>
    <w:rsid w:val="00761EB6"/>
    <w:rsid w:val="00761EC4"/>
    <w:rsid w:val="00761ECD"/>
    <w:rsid w:val="00761F10"/>
    <w:rsid w:val="00761F37"/>
    <w:rsid w:val="00761F44"/>
    <w:rsid w:val="00761F48"/>
    <w:rsid w:val="00761F51"/>
    <w:rsid w:val="00761F5A"/>
    <w:rsid w:val="00761F81"/>
    <w:rsid w:val="00761F8B"/>
    <w:rsid w:val="00761FA5"/>
    <w:rsid w:val="00761FA6"/>
    <w:rsid w:val="00761FC2"/>
    <w:rsid w:val="0076200A"/>
    <w:rsid w:val="007620A6"/>
    <w:rsid w:val="007620BD"/>
    <w:rsid w:val="00762135"/>
    <w:rsid w:val="0076216D"/>
    <w:rsid w:val="007621D3"/>
    <w:rsid w:val="0076228E"/>
    <w:rsid w:val="0076229D"/>
    <w:rsid w:val="007623A7"/>
    <w:rsid w:val="007623F1"/>
    <w:rsid w:val="0076242A"/>
    <w:rsid w:val="0076242F"/>
    <w:rsid w:val="00762441"/>
    <w:rsid w:val="00762454"/>
    <w:rsid w:val="007624A2"/>
    <w:rsid w:val="007624B8"/>
    <w:rsid w:val="00762528"/>
    <w:rsid w:val="00762568"/>
    <w:rsid w:val="00762640"/>
    <w:rsid w:val="007626E9"/>
    <w:rsid w:val="007627C8"/>
    <w:rsid w:val="00762817"/>
    <w:rsid w:val="00762851"/>
    <w:rsid w:val="00762855"/>
    <w:rsid w:val="0076287F"/>
    <w:rsid w:val="007628DB"/>
    <w:rsid w:val="00762932"/>
    <w:rsid w:val="00762961"/>
    <w:rsid w:val="00762966"/>
    <w:rsid w:val="007629E0"/>
    <w:rsid w:val="00762A3D"/>
    <w:rsid w:val="00762AB3"/>
    <w:rsid w:val="00762BFC"/>
    <w:rsid w:val="00762CD6"/>
    <w:rsid w:val="00762CE8"/>
    <w:rsid w:val="00762D13"/>
    <w:rsid w:val="00762D9A"/>
    <w:rsid w:val="00762DA3"/>
    <w:rsid w:val="00762DC8"/>
    <w:rsid w:val="00762E81"/>
    <w:rsid w:val="00762F81"/>
    <w:rsid w:val="00762FE9"/>
    <w:rsid w:val="007630A6"/>
    <w:rsid w:val="007631C2"/>
    <w:rsid w:val="00763217"/>
    <w:rsid w:val="00763277"/>
    <w:rsid w:val="00763291"/>
    <w:rsid w:val="007632D2"/>
    <w:rsid w:val="00763303"/>
    <w:rsid w:val="00763335"/>
    <w:rsid w:val="0076337D"/>
    <w:rsid w:val="0076337F"/>
    <w:rsid w:val="00763457"/>
    <w:rsid w:val="007634C0"/>
    <w:rsid w:val="007634CF"/>
    <w:rsid w:val="0076350A"/>
    <w:rsid w:val="0076360E"/>
    <w:rsid w:val="00763639"/>
    <w:rsid w:val="0076366A"/>
    <w:rsid w:val="007636E4"/>
    <w:rsid w:val="007636F8"/>
    <w:rsid w:val="0076381C"/>
    <w:rsid w:val="00763878"/>
    <w:rsid w:val="007638B1"/>
    <w:rsid w:val="007638BB"/>
    <w:rsid w:val="007638E1"/>
    <w:rsid w:val="00763967"/>
    <w:rsid w:val="00763A5C"/>
    <w:rsid w:val="00763A8C"/>
    <w:rsid w:val="00763B7C"/>
    <w:rsid w:val="00763B82"/>
    <w:rsid w:val="00763BA6"/>
    <w:rsid w:val="00763BB5"/>
    <w:rsid w:val="00763D02"/>
    <w:rsid w:val="00763DC8"/>
    <w:rsid w:val="00763E05"/>
    <w:rsid w:val="00763E37"/>
    <w:rsid w:val="00763E65"/>
    <w:rsid w:val="00763E6E"/>
    <w:rsid w:val="00763E9E"/>
    <w:rsid w:val="00763EC1"/>
    <w:rsid w:val="00763ED7"/>
    <w:rsid w:val="00764090"/>
    <w:rsid w:val="00764098"/>
    <w:rsid w:val="0076412F"/>
    <w:rsid w:val="0076416F"/>
    <w:rsid w:val="007641AE"/>
    <w:rsid w:val="007641B0"/>
    <w:rsid w:val="007642B5"/>
    <w:rsid w:val="007642C7"/>
    <w:rsid w:val="007642DE"/>
    <w:rsid w:val="007643A9"/>
    <w:rsid w:val="0076442B"/>
    <w:rsid w:val="00764434"/>
    <w:rsid w:val="0076444D"/>
    <w:rsid w:val="00764558"/>
    <w:rsid w:val="0076461F"/>
    <w:rsid w:val="0076465B"/>
    <w:rsid w:val="0076468E"/>
    <w:rsid w:val="007646B1"/>
    <w:rsid w:val="00764741"/>
    <w:rsid w:val="0076477B"/>
    <w:rsid w:val="0076479E"/>
    <w:rsid w:val="007647CC"/>
    <w:rsid w:val="00764919"/>
    <w:rsid w:val="0076495B"/>
    <w:rsid w:val="0076495C"/>
    <w:rsid w:val="00764966"/>
    <w:rsid w:val="007649BD"/>
    <w:rsid w:val="00764A44"/>
    <w:rsid w:val="00764A5E"/>
    <w:rsid w:val="00764A64"/>
    <w:rsid w:val="00764A66"/>
    <w:rsid w:val="00764A98"/>
    <w:rsid w:val="00764B3C"/>
    <w:rsid w:val="00764C10"/>
    <w:rsid w:val="00764DB4"/>
    <w:rsid w:val="00764DD0"/>
    <w:rsid w:val="00764DE1"/>
    <w:rsid w:val="00764EC5"/>
    <w:rsid w:val="00764F08"/>
    <w:rsid w:val="00764F22"/>
    <w:rsid w:val="00764FA5"/>
    <w:rsid w:val="00764FDD"/>
    <w:rsid w:val="00765007"/>
    <w:rsid w:val="00765072"/>
    <w:rsid w:val="0076516F"/>
    <w:rsid w:val="00765283"/>
    <w:rsid w:val="007652C2"/>
    <w:rsid w:val="007652F4"/>
    <w:rsid w:val="00765302"/>
    <w:rsid w:val="00765325"/>
    <w:rsid w:val="0076537B"/>
    <w:rsid w:val="00765396"/>
    <w:rsid w:val="007653FF"/>
    <w:rsid w:val="00765506"/>
    <w:rsid w:val="00765527"/>
    <w:rsid w:val="0076557A"/>
    <w:rsid w:val="00765586"/>
    <w:rsid w:val="007655BA"/>
    <w:rsid w:val="0076564C"/>
    <w:rsid w:val="0076568E"/>
    <w:rsid w:val="007656BA"/>
    <w:rsid w:val="007656FF"/>
    <w:rsid w:val="0076574F"/>
    <w:rsid w:val="00765768"/>
    <w:rsid w:val="00765791"/>
    <w:rsid w:val="00765852"/>
    <w:rsid w:val="00765867"/>
    <w:rsid w:val="00765887"/>
    <w:rsid w:val="00765976"/>
    <w:rsid w:val="007659B9"/>
    <w:rsid w:val="007659C9"/>
    <w:rsid w:val="00765A17"/>
    <w:rsid w:val="00765A74"/>
    <w:rsid w:val="00765A85"/>
    <w:rsid w:val="00765AAB"/>
    <w:rsid w:val="00765AFD"/>
    <w:rsid w:val="00765B2B"/>
    <w:rsid w:val="00765B40"/>
    <w:rsid w:val="00765B60"/>
    <w:rsid w:val="00765BBC"/>
    <w:rsid w:val="00765D8E"/>
    <w:rsid w:val="00765EBC"/>
    <w:rsid w:val="00765EE6"/>
    <w:rsid w:val="00765F5D"/>
    <w:rsid w:val="0076601E"/>
    <w:rsid w:val="0076603D"/>
    <w:rsid w:val="00766040"/>
    <w:rsid w:val="00766071"/>
    <w:rsid w:val="00766113"/>
    <w:rsid w:val="00766182"/>
    <w:rsid w:val="007661C7"/>
    <w:rsid w:val="007661F5"/>
    <w:rsid w:val="0076620C"/>
    <w:rsid w:val="0076644E"/>
    <w:rsid w:val="00766451"/>
    <w:rsid w:val="007664C4"/>
    <w:rsid w:val="0076653F"/>
    <w:rsid w:val="00766558"/>
    <w:rsid w:val="007665CC"/>
    <w:rsid w:val="0076662B"/>
    <w:rsid w:val="00766644"/>
    <w:rsid w:val="0076667C"/>
    <w:rsid w:val="0076668E"/>
    <w:rsid w:val="0076673D"/>
    <w:rsid w:val="007667DA"/>
    <w:rsid w:val="00766817"/>
    <w:rsid w:val="0076690A"/>
    <w:rsid w:val="00766946"/>
    <w:rsid w:val="00766977"/>
    <w:rsid w:val="007669B5"/>
    <w:rsid w:val="007669F5"/>
    <w:rsid w:val="00766ADF"/>
    <w:rsid w:val="00766B6F"/>
    <w:rsid w:val="00766B95"/>
    <w:rsid w:val="00766C35"/>
    <w:rsid w:val="00766C63"/>
    <w:rsid w:val="00766DA0"/>
    <w:rsid w:val="00766DB1"/>
    <w:rsid w:val="00766E54"/>
    <w:rsid w:val="00766E6A"/>
    <w:rsid w:val="00766E7F"/>
    <w:rsid w:val="00766F20"/>
    <w:rsid w:val="00766F54"/>
    <w:rsid w:val="00766F66"/>
    <w:rsid w:val="00766FAB"/>
    <w:rsid w:val="00767048"/>
    <w:rsid w:val="00767071"/>
    <w:rsid w:val="0076708F"/>
    <w:rsid w:val="007670A9"/>
    <w:rsid w:val="007670ED"/>
    <w:rsid w:val="00767176"/>
    <w:rsid w:val="007671E6"/>
    <w:rsid w:val="007672A9"/>
    <w:rsid w:val="007672BD"/>
    <w:rsid w:val="007672C1"/>
    <w:rsid w:val="00767361"/>
    <w:rsid w:val="00767364"/>
    <w:rsid w:val="007673B7"/>
    <w:rsid w:val="00767404"/>
    <w:rsid w:val="00767419"/>
    <w:rsid w:val="0076743E"/>
    <w:rsid w:val="00767446"/>
    <w:rsid w:val="00767463"/>
    <w:rsid w:val="007674BB"/>
    <w:rsid w:val="007674EB"/>
    <w:rsid w:val="0076752C"/>
    <w:rsid w:val="007675E9"/>
    <w:rsid w:val="00767618"/>
    <w:rsid w:val="00767663"/>
    <w:rsid w:val="00767669"/>
    <w:rsid w:val="0076767C"/>
    <w:rsid w:val="007676E1"/>
    <w:rsid w:val="007676F8"/>
    <w:rsid w:val="0076774D"/>
    <w:rsid w:val="00767763"/>
    <w:rsid w:val="007677C1"/>
    <w:rsid w:val="007677E6"/>
    <w:rsid w:val="0076781A"/>
    <w:rsid w:val="007678AE"/>
    <w:rsid w:val="00767909"/>
    <w:rsid w:val="0076790D"/>
    <w:rsid w:val="00767A17"/>
    <w:rsid w:val="00767A72"/>
    <w:rsid w:val="00767ACE"/>
    <w:rsid w:val="00767B18"/>
    <w:rsid w:val="00767B4B"/>
    <w:rsid w:val="00767B9E"/>
    <w:rsid w:val="00767C5B"/>
    <w:rsid w:val="00767C76"/>
    <w:rsid w:val="00767C78"/>
    <w:rsid w:val="00767C8A"/>
    <w:rsid w:val="00767CF1"/>
    <w:rsid w:val="00767CFC"/>
    <w:rsid w:val="00767D02"/>
    <w:rsid w:val="00767D9D"/>
    <w:rsid w:val="00767DE2"/>
    <w:rsid w:val="00770012"/>
    <w:rsid w:val="00770036"/>
    <w:rsid w:val="00770060"/>
    <w:rsid w:val="0077011B"/>
    <w:rsid w:val="00770188"/>
    <w:rsid w:val="00770210"/>
    <w:rsid w:val="00770234"/>
    <w:rsid w:val="0077023B"/>
    <w:rsid w:val="00770274"/>
    <w:rsid w:val="00770291"/>
    <w:rsid w:val="007702AD"/>
    <w:rsid w:val="007703EC"/>
    <w:rsid w:val="00770467"/>
    <w:rsid w:val="0077051D"/>
    <w:rsid w:val="0077053B"/>
    <w:rsid w:val="0077055C"/>
    <w:rsid w:val="00770565"/>
    <w:rsid w:val="007705C7"/>
    <w:rsid w:val="007705F7"/>
    <w:rsid w:val="007706B0"/>
    <w:rsid w:val="0077070A"/>
    <w:rsid w:val="00770733"/>
    <w:rsid w:val="00770951"/>
    <w:rsid w:val="00770A29"/>
    <w:rsid w:val="00770B2F"/>
    <w:rsid w:val="00770B36"/>
    <w:rsid w:val="00770B92"/>
    <w:rsid w:val="00770C15"/>
    <w:rsid w:val="00770C97"/>
    <w:rsid w:val="00770CCE"/>
    <w:rsid w:val="00770DE0"/>
    <w:rsid w:val="00770DFA"/>
    <w:rsid w:val="00770E94"/>
    <w:rsid w:val="00770F0D"/>
    <w:rsid w:val="00770F3F"/>
    <w:rsid w:val="00770F82"/>
    <w:rsid w:val="007710CE"/>
    <w:rsid w:val="007710F5"/>
    <w:rsid w:val="00771100"/>
    <w:rsid w:val="00771117"/>
    <w:rsid w:val="00771127"/>
    <w:rsid w:val="0077125E"/>
    <w:rsid w:val="00771394"/>
    <w:rsid w:val="007714D8"/>
    <w:rsid w:val="00771576"/>
    <w:rsid w:val="007715BF"/>
    <w:rsid w:val="007715EE"/>
    <w:rsid w:val="00771603"/>
    <w:rsid w:val="00771636"/>
    <w:rsid w:val="00771691"/>
    <w:rsid w:val="007716A7"/>
    <w:rsid w:val="0077170A"/>
    <w:rsid w:val="00771749"/>
    <w:rsid w:val="0077174F"/>
    <w:rsid w:val="0077175D"/>
    <w:rsid w:val="007717E8"/>
    <w:rsid w:val="007718A1"/>
    <w:rsid w:val="007718A2"/>
    <w:rsid w:val="007718FC"/>
    <w:rsid w:val="0077190F"/>
    <w:rsid w:val="007719C7"/>
    <w:rsid w:val="00771A29"/>
    <w:rsid w:val="00771A30"/>
    <w:rsid w:val="00771C0E"/>
    <w:rsid w:val="00771CBE"/>
    <w:rsid w:val="00771CC7"/>
    <w:rsid w:val="00771CC8"/>
    <w:rsid w:val="00771CD5"/>
    <w:rsid w:val="00771CF2"/>
    <w:rsid w:val="00771D49"/>
    <w:rsid w:val="00771D89"/>
    <w:rsid w:val="00771DA4"/>
    <w:rsid w:val="00771DDA"/>
    <w:rsid w:val="00771DE0"/>
    <w:rsid w:val="00771EEB"/>
    <w:rsid w:val="00771F19"/>
    <w:rsid w:val="00771F26"/>
    <w:rsid w:val="00771FB1"/>
    <w:rsid w:val="0077205E"/>
    <w:rsid w:val="0077215A"/>
    <w:rsid w:val="00772175"/>
    <w:rsid w:val="007721A9"/>
    <w:rsid w:val="00772241"/>
    <w:rsid w:val="00772275"/>
    <w:rsid w:val="007722B0"/>
    <w:rsid w:val="0077233D"/>
    <w:rsid w:val="00772361"/>
    <w:rsid w:val="0077236F"/>
    <w:rsid w:val="007723D7"/>
    <w:rsid w:val="00772404"/>
    <w:rsid w:val="00772419"/>
    <w:rsid w:val="00772571"/>
    <w:rsid w:val="00772572"/>
    <w:rsid w:val="0077257A"/>
    <w:rsid w:val="0077259F"/>
    <w:rsid w:val="00772602"/>
    <w:rsid w:val="00772614"/>
    <w:rsid w:val="00772639"/>
    <w:rsid w:val="00772714"/>
    <w:rsid w:val="007727A2"/>
    <w:rsid w:val="00772854"/>
    <w:rsid w:val="00772858"/>
    <w:rsid w:val="00772895"/>
    <w:rsid w:val="007728B9"/>
    <w:rsid w:val="00772986"/>
    <w:rsid w:val="007729BA"/>
    <w:rsid w:val="007729CF"/>
    <w:rsid w:val="007729E8"/>
    <w:rsid w:val="007729EA"/>
    <w:rsid w:val="00772A08"/>
    <w:rsid w:val="00772A18"/>
    <w:rsid w:val="00772A3A"/>
    <w:rsid w:val="00772AA8"/>
    <w:rsid w:val="00772AC2"/>
    <w:rsid w:val="00772AD5"/>
    <w:rsid w:val="00772AFD"/>
    <w:rsid w:val="00772BC6"/>
    <w:rsid w:val="00772C29"/>
    <w:rsid w:val="00772CB1"/>
    <w:rsid w:val="00772CEF"/>
    <w:rsid w:val="00772D71"/>
    <w:rsid w:val="00772D8F"/>
    <w:rsid w:val="00772E25"/>
    <w:rsid w:val="00772F8B"/>
    <w:rsid w:val="00773001"/>
    <w:rsid w:val="0077303F"/>
    <w:rsid w:val="007730FA"/>
    <w:rsid w:val="00773179"/>
    <w:rsid w:val="0077324C"/>
    <w:rsid w:val="00773291"/>
    <w:rsid w:val="007732C4"/>
    <w:rsid w:val="0077331C"/>
    <w:rsid w:val="00773388"/>
    <w:rsid w:val="007733B7"/>
    <w:rsid w:val="007733DD"/>
    <w:rsid w:val="00773418"/>
    <w:rsid w:val="0077342F"/>
    <w:rsid w:val="00773436"/>
    <w:rsid w:val="007734C6"/>
    <w:rsid w:val="0077350E"/>
    <w:rsid w:val="00773562"/>
    <w:rsid w:val="0077356B"/>
    <w:rsid w:val="007735CC"/>
    <w:rsid w:val="007735CE"/>
    <w:rsid w:val="007735E3"/>
    <w:rsid w:val="00773636"/>
    <w:rsid w:val="00773651"/>
    <w:rsid w:val="00773658"/>
    <w:rsid w:val="007736EB"/>
    <w:rsid w:val="007736FE"/>
    <w:rsid w:val="00773718"/>
    <w:rsid w:val="00773777"/>
    <w:rsid w:val="007737A1"/>
    <w:rsid w:val="007737B8"/>
    <w:rsid w:val="00773813"/>
    <w:rsid w:val="00773860"/>
    <w:rsid w:val="0077386B"/>
    <w:rsid w:val="007738F2"/>
    <w:rsid w:val="00773B4E"/>
    <w:rsid w:val="00773C1C"/>
    <w:rsid w:val="00773C50"/>
    <w:rsid w:val="00773C51"/>
    <w:rsid w:val="00773C7D"/>
    <w:rsid w:val="00773CA6"/>
    <w:rsid w:val="00773CBB"/>
    <w:rsid w:val="00773DC0"/>
    <w:rsid w:val="00773E03"/>
    <w:rsid w:val="00773E31"/>
    <w:rsid w:val="00773EA2"/>
    <w:rsid w:val="00773ECC"/>
    <w:rsid w:val="00773F1C"/>
    <w:rsid w:val="00773F62"/>
    <w:rsid w:val="00773F66"/>
    <w:rsid w:val="00773F85"/>
    <w:rsid w:val="00773FF8"/>
    <w:rsid w:val="00774013"/>
    <w:rsid w:val="00774045"/>
    <w:rsid w:val="00774086"/>
    <w:rsid w:val="007740A0"/>
    <w:rsid w:val="007740C1"/>
    <w:rsid w:val="007741F9"/>
    <w:rsid w:val="0077420B"/>
    <w:rsid w:val="00774224"/>
    <w:rsid w:val="00774289"/>
    <w:rsid w:val="0077433A"/>
    <w:rsid w:val="0077436E"/>
    <w:rsid w:val="00774486"/>
    <w:rsid w:val="007744BF"/>
    <w:rsid w:val="007744E7"/>
    <w:rsid w:val="0077455B"/>
    <w:rsid w:val="007745EC"/>
    <w:rsid w:val="0077468E"/>
    <w:rsid w:val="007746C4"/>
    <w:rsid w:val="007746E1"/>
    <w:rsid w:val="007746E5"/>
    <w:rsid w:val="00774800"/>
    <w:rsid w:val="007748AD"/>
    <w:rsid w:val="007748F2"/>
    <w:rsid w:val="00774928"/>
    <w:rsid w:val="00774954"/>
    <w:rsid w:val="007749CC"/>
    <w:rsid w:val="007749EA"/>
    <w:rsid w:val="00774A7B"/>
    <w:rsid w:val="00774ACC"/>
    <w:rsid w:val="00774AD1"/>
    <w:rsid w:val="00774B60"/>
    <w:rsid w:val="00774B83"/>
    <w:rsid w:val="00774B92"/>
    <w:rsid w:val="00774BBA"/>
    <w:rsid w:val="00774C21"/>
    <w:rsid w:val="00774C3A"/>
    <w:rsid w:val="00774CC9"/>
    <w:rsid w:val="00774CD2"/>
    <w:rsid w:val="00774CED"/>
    <w:rsid w:val="00774D58"/>
    <w:rsid w:val="00774D9B"/>
    <w:rsid w:val="00774ECC"/>
    <w:rsid w:val="00774F29"/>
    <w:rsid w:val="00774F7D"/>
    <w:rsid w:val="00774F9C"/>
    <w:rsid w:val="00775068"/>
    <w:rsid w:val="0077509C"/>
    <w:rsid w:val="007750B4"/>
    <w:rsid w:val="007750EB"/>
    <w:rsid w:val="00775131"/>
    <w:rsid w:val="007751BA"/>
    <w:rsid w:val="00775253"/>
    <w:rsid w:val="007752FF"/>
    <w:rsid w:val="0077538E"/>
    <w:rsid w:val="00775411"/>
    <w:rsid w:val="00775426"/>
    <w:rsid w:val="00775447"/>
    <w:rsid w:val="007754EB"/>
    <w:rsid w:val="007756EA"/>
    <w:rsid w:val="0077572C"/>
    <w:rsid w:val="007757C5"/>
    <w:rsid w:val="007757D0"/>
    <w:rsid w:val="0077585A"/>
    <w:rsid w:val="0077588A"/>
    <w:rsid w:val="007758FF"/>
    <w:rsid w:val="00775906"/>
    <w:rsid w:val="00775933"/>
    <w:rsid w:val="00775982"/>
    <w:rsid w:val="00775991"/>
    <w:rsid w:val="007759F0"/>
    <w:rsid w:val="00775AE0"/>
    <w:rsid w:val="00775B01"/>
    <w:rsid w:val="00775B66"/>
    <w:rsid w:val="00775BF1"/>
    <w:rsid w:val="00775C37"/>
    <w:rsid w:val="00775C4B"/>
    <w:rsid w:val="00775CFA"/>
    <w:rsid w:val="00775D8F"/>
    <w:rsid w:val="00775DFA"/>
    <w:rsid w:val="00775E04"/>
    <w:rsid w:val="00775E3B"/>
    <w:rsid w:val="00775E7D"/>
    <w:rsid w:val="00775E87"/>
    <w:rsid w:val="00775ECD"/>
    <w:rsid w:val="00775F0D"/>
    <w:rsid w:val="00775F3B"/>
    <w:rsid w:val="00776073"/>
    <w:rsid w:val="0077608E"/>
    <w:rsid w:val="007760E3"/>
    <w:rsid w:val="00776152"/>
    <w:rsid w:val="00776277"/>
    <w:rsid w:val="007762C0"/>
    <w:rsid w:val="007762D2"/>
    <w:rsid w:val="007762FD"/>
    <w:rsid w:val="00776349"/>
    <w:rsid w:val="0077634F"/>
    <w:rsid w:val="00776352"/>
    <w:rsid w:val="0077636D"/>
    <w:rsid w:val="0077637A"/>
    <w:rsid w:val="007763A5"/>
    <w:rsid w:val="00776429"/>
    <w:rsid w:val="00776454"/>
    <w:rsid w:val="007764B3"/>
    <w:rsid w:val="007764BB"/>
    <w:rsid w:val="00776541"/>
    <w:rsid w:val="007765CD"/>
    <w:rsid w:val="00776632"/>
    <w:rsid w:val="0077682B"/>
    <w:rsid w:val="0077683B"/>
    <w:rsid w:val="0077687F"/>
    <w:rsid w:val="00776881"/>
    <w:rsid w:val="0077689F"/>
    <w:rsid w:val="0077693D"/>
    <w:rsid w:val="0077696F"/>
    <w:rsid w:val="0077697E"/>
    <w:rsid w:val="007769DF"/>
    <w:rsid w:val="007769E5"/>
    <w:rsid w:val="00776A49"/>
    <w:rsid w:val="00776A4C"/>
    <w:rsid w:val="00776AE5"/>
    <w:rsid w:val="00776B1D"/>
    <w:rsid w:val="00776B64"/>
    <w:rsid w:val="00776BCD"/>
    <w:rsid w:val="00776C39"/>
    <w:rsid w:val="00776C3B"/>
    <w:rsid w:val="00776CB0"/>
    <w:rsid w:val="00776D65"/>
    <w:rsid w:val="00776DBE"/>
    <w:rsid w:val="00776DED"/>
    <w:rsid w:val="00776E2B"/>
    <w:rsid w:val="00776EBB"/>
    <w:rsid w:val="00776F41"/>
    <w:rsid w:val="00776FB0"/>
    <w:rsid w:val="00776FE7"/>
    <w:rsid w:val="00777003"/>
    <w:rsid w:val="00777057"/>
    <w:rsid w:val="0077708B"/>
    <w:rsid w:val="00777090"/>
    <w:rsid w:val="00777195"/>
    <w:rsid w:val="007771DF"/>
    <w:rsid w:val="007771FC"/>
    <w:rsid w:val="00777217"/>
    <w:rsid w:val="007772AB"/>
    <w:rsid w:val="007772BF"/>
    <w:rsid w:val="007772C4"/>
    <w:rsid w:val="00777304"/>
    <w:rsid w:val="00777323"/>
    <w:rsid w:val="00777348"/>
    <w:rsid w:val="0077736C"/>
    <w:rsid w:val="00777373"/>
    <w:rsid w:val="00777402"/>
    <w:rsid w:val="00777414"/>
    <w:rsid w:val="00777450"/>
    <w:rsid w:val="00777468"/>
    <w:rsid w:val="007774C3"/>
    <w:rsid w:val="00777539"/>
    <w:rsid w:val="00777546"/>
    <w:rsid w:val="007775AA"/>
    <w:rsid w:val="007775B3"/>
    <w:rsid w:val="007775B9"/>
    <w:rsid w:val="0077762C"/>
    <w:rsid w:val="0077763A"/>
    <w:rsid w:val="0077766A"/>
    <w:rsid w:val="00777715"/>
    <w:rsid w:val="00777717"/>
    <w:rsid w:val="00777722"/>
    <w:rsid w:val="00777865"/>
    <w:rsid w:val="00777888"/>
    <w:rsid w:val="00777917"/>
    <w:rsid w:val="00777953"/>
    <w:rsid w:val="00777965"/>
    <w:rsid w:val="00777980"/>
    <w:rsid w:val="007779E4"/>
    <w:rsid w:val="007779FD"/>
    <w:rsid w:val="00777A26"/>
    <w:rsid w:val="00777A8E"/>
    <w:rsid w:val="00777AD1"/>
    <w:rsid w:val="00777BCC"/>
    <w:rsid w:val="00777C3D"/>
    <w:rsid w:val="00777C70"/>
    <w:rsid w:val="00777C83"/>
    <w:rsid w:val="00777CE9"/>
    <w:rsid w:val="00777D5F"/>
    <w:rsid w:val="00777D61"/>
    <w:rsid w:val="00777E0E"/>
    <w:rsid w:val="00777E58"/>
    <w:rsid w:val="00777E73"/>
    <w:rsid w:val="00777E82"/>
    <w:rsid w:val="00777F00"/>
    <w:rsid w:val="00777F06"/>
    <w:rsid w:val="00777F20"/>
    <w:rsid w:val="00777F68"/>
    <w:rsid w:val="00777FB4"/>
    <w:rsid w:val="00780008"/>
    <w:rsid w:val="0078000A"/>
    <w:rsid w:val="007800AD"/>
    <w:rsid w:val="00780222"/>
    <w:rsid w:val="00780256"/>
    <w:rsid w:val="007802EF"/>
    <w:rsid w:val="007802F4"/>
    <w:rsid w:val="007802F5"/>
    <w:rsid w:val="0078032A"/>
    <w:rsid w:val="00780426"/>
    <w:rsid w:val="00780492"/>
    <w:rsid w:val="007804BA"/>
    <w:rsid w:val="007804D0"/>
    <w:rsid w:val="007804E6"/>
    <w:rsid w:val="007804F4"/>
    <w:rsid w:val="00780506"/>
    <w:rsid w:val="0078052C"/>
    <w:rsid w:val="0078058E"/>
    <w:rsid w:val="007805A3"/>
    <w:rsid w:val="0078066E"/>
    <w:rsid w:val="007806E7"/>
    <w:rsid w:val="007806FE"/>
    <w:rsid w:val="00780833"/>
    <w:rsid w:val="00780896"/>
    <w:rsid w:val="007808AA"/>
    <w:rsid w:val="007808D5"/>
    <w:rsid w:val="00780906"/>
    <w:rsid w:val="00780990"/>
    <w:rsid w:val="00780997"/>
    <w:rsid w:val="007809AE"/>
    <w:rsid w:val="007809E6"/>
    <w:rsid w:val="00780A0E"/>
    <w:rsid w:val="00780A42"/>
    <w:rsid w:val="00780A76"/>
    <w:rsid w:val="00780B43"/>
    <w:rsid w:val="00780CA8"/>
    <w:rsid w:val="00780CAD"/>
    <w:rsid w:val="00780D06"/>
    <w:rsid w:val="00780D7B"/>
    <w:rsid w:val="00780D7E"/>
    <w:rsid w:val="00780DBF"/>
    <w:rsid w:val="00780DC9"/>
    <w:rsid w:val="00780DF4"/>
    <w:rsid w:val="00780E1F"/>
    <w:rsid w:val="00780E4D"/>
    <w:rsid w:val="00780F45"/>
    <w:rsid w:val="00780F55"/>
    <w:rsid w:val="00780F5A"/>
    <w:rsid w:val="00780FAE"/>
    <w:rsid w:val="00780FD2"/>
    <w:rsid w:val="0078102B"/>
    <w:rsid w:val="0078106D"/>
    <w:rsid w:val="00781094"/>
    <w:rsid w:val="0078112B"/>
    <w:rsid w:val="00781168"/>
    <w:rsid w:val="0078118F"/>
    <w:rsid w:val="007811D6"/>
    <w:rsid w:val="00781238"/>
    <w:rsid w:val="0078124E"/>
    <w:rsid w:val="007812A5"/>
    <w:rsid w:val="00781334"/>
    <w:rsid w:val="007813BC"/>
    <w:rsid w:val="007813DB"/>
    <w:rsid w:val="0078144A"/>
    <w:rsid w:val="00781458"/>
    <w:rsid w:val="007814CD"/>
    <w:rsid w:val="0078150E"/>
    <w:rsid w:val="0078151F"/>
    <w:rsid w:val="007816D9"/>
    <w:rsid w:val="007817C6"/>
    <w:rsid w:val="007817E6"/>
    <w:rsid w:val="007817F3"/>
    <w:rsid w:val="0078180F"/>
    <w:rsid w:val="0078198C"/>
    <w:rsid w:val="00781A17"/>
    <w:rsid w:val="00781A40"/>
    <w:rsid w:val="00781A85"/>
    <w:rsid w:val="00781ACB"/>
    <w:rsid w:val="00781B57"/>
    <w:rsid w:val="00781C1E"/>
    <w:rsid w:val="00781C5F"/>
    <w:rsid w:val="00781CC2"/>
    <w:rsid w:val="00781E08"/>
    <w:rsid w:val="00781E99"/>
    <w:rsid w:val="00781E9C"/>
    <w:rsid w:val="00781EC5"/>
    <w:rsid w:val="00781F5E"/>
    <w:rsid w:val="00781FD9"/>
    <w:rsid w:val="00781FF6"/>
    <w:rsid w:val="00782069"/>
    <w:rsid w:val="007820AD"/>
    <w:rsid w:val="007820FA"/>
    <w:rsid w:val="00782105"/>
    <w:rsid w:val="0078214B"/>
    <w:rsid w:val="0078216B"/>
    <w:rsid w:val="00782220"/>
    <w:rsid w:val="0078222A"/>
    <w:rsid w:val="00782279"/>
    <w:rsid w:val="007822C5"/>
    <w:rsid w:val="007822D3"/>
    <w:rsid w:val="007822DC"/>
    <w:rsid w:val="00782306"/>
    <w:rsid w:val="00782322"/>
    <w:rsid w:val="007823CB"/>
    <w:rsid w:val="007823D6"/>
    <w:rsid w:val="007824C3"/>
    <w:rsid w:val="007825A1"/>
    <w:rsid w:val="007825D3"/>
    <w:rsid w:val="00782679"/>
    <w:rsid w:val="0078267C"/>
    <w:rsid w:val="00782709"/>
    <w:rsid w:val="0078270F"/>
    <w:rsid w:val="007827D3"/>
    <w:rsid w:val="007827E8"/>
    <w:rsid w:val="007827FA"/>
    <w:rsid w:val="0078284B"/>
    <w:rsid w:val="007828BA"/>
    <w:rsid w:val="0078297F"/>
    <w:rsid w:val="00782A0F"/>
    <w:rsid w:val="00782A10"/>
    <w:rsid w:val="00782A2D"/>
    <w:rsid w:val="00782AE4"/>
    <w:rsid w:val="00782B18"/>
    <w:rsid w:val="00782BFB"/>
    <w:rsid w:val="00782C19"/>
    <w:rsid w:val="00782D3F"/>
    <w:rsid w:val="00782DD8"/>
    <w:rsid w:val="00782DF9"/>
    <w:rsid w:val="00782E39"/>
    <w:rsid w:val="00782E6B"/>
    <w:rsid w:val="00782E7F"/>
    <w:rsid w:val="00782F57"/>
    <w:rsid w:val="00782FE5"/>
    <w:rsid w:val="00783004"/>
    <w:rsid w:val="0078300B"/>
    <w:rsid w:val="0078305B"/>
    <w:rsid w:val="0078309E"/>
    <w:rsid w:val="0078311E"/>
    <w:rsid w:val="0078312E"/>
    <w:rsid w:val="007831B7"/>
    <w:rsid w:val="007831CB"/>
    <w:rsid w:val="007832FF"/>
    <w:rsid w:val="00783302"/>
    <w:rsid w:val="00783325"/>
    <w:rsid w:val="0078332E"/>
    <w:rsid w:val="007833AC"/>
    <w:rsid w:val="00783465"/>
    <w:rsid w:val="0078348A"/>
    <w:rsid w:val="007834C6"/>
    <w:rsid w:val="007834D6"/>
    <w:rsid w:val="007834E0"/>
    <w:rsid w:val="00783510"/>
    <w:rsid w:val="00783585"/>
    <w:rsid w:val="007835B1"/>
    <w:rsid w:val="007835F7"/>
    <w:rsid w:val="0078366C"/>
    <w:rsid w:val="007837D9"/>
    <w:rsid w:val="00783805"/>
    <w:rsid w:val="00783836"/>
    <w:rsid w:val="0078385B"/>
    <w:rsid w:val="007838A7"/>
    <w:rsid w:val="007838DB"/>
    <w:rsid w:val="007838F6"/>
    <w:rsid w:val="0078395B"/>
    <w:rsid w:val="007839E1"/>
    <w:rsid w:val="00783A54"/>
    <w:rsid w:val="00783A5E"/>
    <w:rsid w:val="00783AED"/>
    <w:rsid w:val="00783B67"/>
    <w:rsid w:val="00783C6C"/>
    <w:rsid w:val="00783C8B"/>
    <w:rsid w:val="00783CCF"/>
    <w:rsid w:val="00783CF4"/>
    <w:rsid w:val="00783D57"/>
    <w:rsid w:val="00783D63"/>
    <w:rsid w:val="00783DBB"/>
    <w:rsid w:val="00783EAB"/>
    <w:rsid w:val="00783F1C"/>
    <w:rsid w:val="00783FC8"/>
    <w:rsid w:val="00783FE8"/>
    <w:rsid w:val="00784089"/>
    <w:rsid w:val="0078409C"/>
    <w:rsid w:val="007840BD"/>
    <w:rsid w:val="0078415C"/>
    <w:rsid w:val="00784160"/>
    <w:rsid w:val="00784206"/>
    <w:rsid w:val="00784207"/>
    <w:rsid w:val="0078420F"/>
    <w:rsid w:val="00784278"/>
    <w:rsid w:val="007842DA"/>
    <w:rsid w:val="007842F2"/>
    <w:rsid w:val="0078430C"/>
    <w:rsid w:val="0078432C"/>
    <w:rsid w:val="00784348"/>
    <w:rsid w:val="0078443C"/>
    <w:rsid w:val="007844DC"/>
    <w:rsid w:val="007844F9"/>
    <w:rsid w:val="0078455A"/>
    <w:rsid w:val="007845DE"/>
    <w:rsid w:val="00784634"/>
    <w:rsid w:val="0078466E"/>
    <w:rsid w:val="007846A6"/>
    <w:rsid w:val="007846C4"/>
    <w:rsid w:val="00784709"/>
    <w:rsid w:val="00784791"/>
    <w:rsid w:val="007848F4"/>
    <w:rsid w:val="0078490C"/>
    <w:rsid w:val="00784915"/>
    <w:rsid w:val="00784928"/>
    <w:rsid w:val="00784963"/>
    <w:rsid w:val="007849E2"/>
    <w:rsid w:val="00784A0F"/>
    <w:rsid w:val="00784A1F"/>
    <w:rsid w:val="00784A2A"/>
    <w:rsid w:val="00784A62"/>
    <w:rsid w:val="00784BEF"/>
    <w:rsid w:val="00784C3E"/>
    <w:rsid w:val="00784D22"/>
    <w:rsid w:val="00784D27"/>
    <w:rsid w:val="00784D78"/>
    <w:rsid w:val="00784DA4"/>
    <w:rsid w:val="00784DDB"/>
    <w:rsid w:val="00784E53"/>
    <w:rsid w:val="00784E7A"/>
    <w:rsid w:val="00784F02"/>
    <w:rsid w:val="00784F4A"/>
    <w:rsid w:val="00784FD8"/>
    <w:rsid w:val="0078506D"/>
    <w:rsid w:val="007850B7"/>
    <w:rsid w:val="00785132"/>
    <w:rsid w:val="007851D9"/>
    <w:rsid w:val="007851E9"/>
    <w:rsid w:val="00785279"/>
    <w:rsid w:val="007852D6"/>
    <w:rsid w:val="00785334"/>
    <w:rsid w:val="00785351"/>
    <w:rsid w:val="00785434"/>
    <w:rsid w:val="0078544D"/>
    <w:rsid w:val="007854A0"/>
    <w:rsid w:val="007854D3"/>
    <w:rsid w:val="007854D8"/>
    <w:rsid w:val="0078573A"/>
    <w:rsid w:val="00785754"/>
    <w:rsid w:val="00785762"/>
    <w:rsid w:val="007857B1"/>
    <w:rsid w:val="00785814"/>
    <w:rsid w:val="0078582E"/>
    <w:rsid w:val="0078584B"/>
    <w:rsid w:val="007858C8"/>
    <w:rsid w:val="00785971"/>
    <w:rsid w:val="007859DB"/>
    <w:rsid w:val="00785A5D"/>
    <w:rsid w:val="00785A9A"/>
    <w:rsid w:val="00785AB2"/>
    <w:rsid w:val="00785AE3"/>
    <w:rsid w:val="00785B03"/>
    <w:rsid w:val="00785B96"/>
    <w:rsid w:val="00785BAE"/>
    <w:rsid w:val="00785BAF"/>
    <w:rsid w:val="00785BC5"/>
    <w:rsid w:val="00785C2F"/>
    <w:rsid w:val="00785C38"/>
    <w:rsid w:val="00785D22"/>
    <w:rsid w:val="00785D51"/>
    <w:rsid w:val="00785D63"/>
    <w:rsid w:val="00785EA3"/>
    <w:rsid w:val="00785EB6"/>
    <w:rsid w:val="00785ECC"/>
    <w:rsid w:val="00786096"/>
    <w:rsid w:val="0078609C"/>
    <w:rsid w:val="007860EC"/>
    <w:rsid w:val="007860F2"/>
    <w:rsid w:val="0078616A"/>
    <w:rsid w:val="00786171"/>
    <w:rsid w:val="007861C0"/>
    <w:rsid w:val="0078628B"/>
    <w:rsid w:val="007862E7"/>
    <w:rsid w:val="0078634C"/>
    <w:rsid w:val="0078638F"/>
    <w:rsid w:val="007863E3"/>
    <w:rsid w:val="0078643B"/>
    <w:rsid w:val="00786447"/>
    <w:rsid w:val="00786489"/>
    <w:rsid w:val="007864BE"/>
    <w:rsid w:val="00786696"/>
    <w:rsid w:val="00786701"/>
    <w:rsid w:val="00786758"/>
    <w:rsid w:val="0078678B"/>
    <w:rsid w:val="00786866"/>
    <w:rsid w:val="00786889"/>
    <w:rsid w:val="00786894"/>
    <w:rsid w:val="0078695C"/>
    <w:rsid w:val="007869BC"/>
    <w:rsid w:val="007869CE"/>
    <w:rsid w:val="007869F0"/>
    <w:rsid w:val="00786A67"/>
    <w:rsid w:val="00786AF7"/>
    <w:rsid w:val="00786B4F"/>
    <w:rsid w:val="00786B69"/>
    <w:rsid w:val="00786B6B"/>
    <w:rsid w:val="00786B95"/>
    <w:rsid w:val="00786BE2"/>
    <w:rsid w:val="00786C64"/>
    <w:rsid w:val="00786C98"/>
    <w:rsid w:val="00786D98"/>
    <w:rsid w:val="00786DBF"/>
    <w:rsid w:val="00786E96"/>
    <w:rsid w:val="00786ED3"/>
    <w:rsid w:val="00786EF7"/>
    <w:rsid w:val="00786EFB"/>
    <w:rsid w:val="00786F00"/>
    <w:rsid w:val="00786F36"/>
    <w:rsid w:val="00786F5C"/>
    <w:rsid w:val="00786F5E"/>
    <w:rsid w:val="00786F6E"/>
    <w:rsid w:val="00786F85"/>
    <w:rsid w:val="007870A6"/>
    <w:rsid w:val="007870C6"/>
    <w:rsid w:val="00787106"/>
    <w:rsid w:val="007871DA"/>
    <w:rsid w:val="007871E6"/>
    <w:rsid w:val="00787292"/>
    <w:rsid w:val="007872C9"/>
    <w:rsid w:val="007872D8"/>
    <w:rsid w:val="00787300"/>
    <w:rsid w:val="00787306"/>
    <w:rsid w:val="0078730D"/>
    <w:rsid w:val="00787347"/>
    <w:rsid w:val="0078734A"/>
    <w:rsid w:val="00787386"/>
    <w:rsid w:val="00787399"/>
    <w:rsid w:val="007873EF"/>
    <w:rsid w:val="00787426"/>
    <w:rsid w:val="007874BA"/>
    <w:rsid w:val="007874D9"/>
    <w:rsid w:val="0078756A"/>
    <w:rsid w:val="00787611"/>
    <w:rsid w:val="007876E8"/>
    <w:rsid w:val="007876E9"/>
    <w:rsid w:val="00787738"/>
    <w:rsid w:val="00787739"/>
    <w:rsid w:val="00787748"/>
    <w:rsid w:val="007877A8"/>
    <w:rsid w:val="007877F0"/>
    <w:rsid w:val="0078784E"/>
    <w:rsid w:val="0078789A"/>
    <w:rsid w:val="007878EA"/>
    <w:rsid w:val="007878EF"/>
    <w:rsid w:val="00787993"/>
    <w:rsid w:val="00787A15"/>
    <w:rsid w:val="00787A35"/>
    <w:rsid w:val="00787A54"/>
    <w:rsid w:val="00787AC3"/>
    <w:rsid w:val="00787AE1"/>
    <w:rsid w:val="00787B1A"/>
    <w:rsid w:val="00787B3D"/>
    <w:rsid w:val="00787B44"/>
    <w:rsid w:val="00787B6B"/>
    <w:rsid w:val="00787B8D"/>
    <w:rsid w:val="00787BA5"/>
    <w:rsid w:val="00787C84"/>
    <w:rsid w:val="00787DA1"/>
    <w:rsid w:val="00787DCB"/>
    <w:rsid w:val="00787E23"/>
    <w:rsid w:val="00787E43"/>
    <w:rsid w:val="00787E73"/>
    <w:rsid w:val="00787E8C"/>
    <w:rsid w:val="00787E96"/>
    <w:rsid w:val="00787E9E"/>
    <w:rsid w:val="00787F0C"/>
    <w:rsid w:val="00787F4D"/>
    <w:rsid w:val="00790055"/>
    <w:rsid w:val="0079006F"/>
    <w:rsid w:val="007900C7"/>
    <w:rsid w:val="007900CA"/>
    <w:rsid w:val="0079012C"/>
    <w:rsid w:val="00790142"/>
    <w:rsid w:val="0079015A"/>
    <w:rsid w:val="0079018A"/>
    <w:rsid w:val="007901BF"/>
    <w:rsid w:val="007902B0"/>
    <w:rsid w:val="007902F2"/>
    <w:rsid w:val="00790340"/>
    <w:rsid w:val="0079036E"/>
    <w:rsid w:val="00790375"/>
    <w:rsid w:val="0079038A"/>
    <w:rsid w:val="00790398"/>
    <w:rsid w:val="007903FC"/>
    <w:rsid w:val="007905C5"/>
    <w:rsid w:val="0079064E"/>
    <w:rsid w:val="007906A9"/>
    <w:rsid w:val="007906C2"/>
    <w:rsid w:val="0079072D"/>
    <w:rsid w:val="007907A6"/>
    <w:rsid w:val="007907B7"/>
    <w:rsid w:val="00790846"/>
    <w:rsid w:val="0079094B"/>
    <w:rsid w:val="00790A44"/>
    <w:rsid w:val="00790A74"/>
    <w:rsid w:val="00790ADF"/>
    <w:rsid w:val="00790B17"/>
    <w:rsid w:val="00790B56"/>
    <w:rsid w:val="00790B57"/>
    <w:rsid w:val="00790B6F"/>
    <w:rsid w:val="00790BA0"/>
    <w:rsid w:val="00790C96"/>
    <w:rsid w:val="00790CA3"/>
    <w:rsid w:val="00790CE9"/>
    <w:rsid w:val="00790CF5"/>
    <w:rsid w:val="00790D2A"/>
    <w:rsid w:val="00790D53"/>
    <w:rsid w:val="00790E28"/>
    <w:rsid w:val="00790E2A"/>
    <w:rsid w:val="00790E2B"/>
    <w:rsid w:val="00790E76"/>
    <w:rsid w:val="00790EAB"/>
    <w:rsid w:val="00790ED5"/>
    <w:rsid w:val="00790EF7"/>
    <w:rsid w:val="00790F40"/>
    <w:rsid w:val="00790F63"/>
    <w:rsid w:val="00790F67"/>
    <w:rsid w:val="00791023"/>
    <w:rsid w:val="0079107D"/>
    <w:rsid w:val="007910C4"/>
    <w:rsid w:val="007910F5"/>
    <w:rsid w:val="00791135"/>
    <w:rsid w:val="00791198"/>
    <w:rsid w:val="007911FF"/>
    <w:rsid w:val="007912A2"/>
    <w:rsid w:val="007912A3"/>
    <w:rsid w:val="007912C3"/>
    <w:rsid w:val="00791318"/>
    <w:rsid w:val="0079131B"/>
    <w:rsid w:val="0079138C"/>
    <w:rsid w:val="007913DD"/>
    <w:rsid w:val="00791467"/>
    <w:rsid w:val="007914B3"/>
    <w:rsid w:val="007914DB"/>
    <w:rsid w:val="00791624"/>
    <w:rsid w:val="0079168D"/>
    <w:rsid w:val="007916CB"/>
    <w:rsid w:val="00791768"/>
    <w:rsid w:val="007917EA"/>
    <w:rsid w:val="00791818"/>
    <w:rsid w:val="007919A8"/>
    <w:rsid w:val="007919FD"/>
    <w:rsid w:val="00791A70"/>
    <w:rsid w:val="00791AC8"/>
    <w:rsid w:val="00791B63"/>
    <w:rsid w:val="00791BE9"/>
    <w:rsid w:val="00791C4E"/>
    <w:rsid w:val="00791C69"/>
    <w:rsid w:val="00791CB5"/>
    <w:rsid w:val="00791D11"/>
    <w:rsid w:val="00791D5D"/>
    <w:rsid w:val="00791E7A"/>
    <w:rsid w:val="00791EE8"/>
    <w:rsid w:val="00791F2B"/>
    <w:rsid w:val="00791FD9"/>
    <w:rsid w:val="00791FDA"/>
    <w:rsid w:val="00791FF2"/>
    <w:rsid w:val="0079200E"/>
    <w:rsid w:val="007920CF"/>
    <w:rsid w:val="0079210E"/>
    <w:rsid w:val="0079211B"/>
    <w:rsid w:val="00792246"/>
    <w:rsid w:val="00792251"/>
    <w:rsid w:val="007922A1"/>
    <w:rsid w:val="0079236E"/>
    <w:rsid w:val="007923A6"/>
    <w:rsid w:val="007924EB"/>
    <w:rsid w:val="00792504"/>
    <w:rsid w:val="0079257F"/>
    <w:rsid w:val="00792604"/>
    <w:rsid w:val="00792671"/>
    <w:rsid w:val="007926BF"/>
    <w:rsid w:val="007926DC"/>
    <w:rsid w:val="007926EB"/>
    <w:rsid w:val="0079273A"/>
    <w:rsid w:val="0079279A"/>
    <w:rsid w:val="007927BE"/>
    <w:rsid w:val="00792828"/>
    <w:rsid w:val="00792890"/>
    <w:rsid w:val="007928A9"/>
    <w:rsid w:val="007928E8"/>
    <w:rsid w:val="00792979"/>
    <w:rsid w:val="007929BE"/>
    <w:rsid w:val="007929D7"/>
    <w:rsid w:val="00792A73"/>
    <w:rsid w:val="00792A77"/>
    <w:rsid w:val="00792A7D"/>
    <w:rsid w:val="00792A86"/>
    <w:rsid w:val="00792AB8"/>
    <w:rsid w:val="00792ACA"/>
    <w:rsid w:val="00792AE9"/>
    <w:rsid w:val="00792BE3"/>
    <w:rsid w:val="00792C54"/>
    <w:rsid w:val="00792D8A"/>
    <w:rsid w:val="00792E03"/>
    <w:rsid w:val="00792E5F"/>
    <w:rsid w:val="00792E61"/>
    <w:rsid w:val="00792EB6"/>
    <w:rsid w:val="00792ED6"/>
    <w:rsid w:val="00792F5C"/>
    <w:rsid w:val="00793019"/>
    <w:rsid w:val="0079309B"/>
    <w:rsid w:val="007930D7"/>
    <w:rsid w:val="00793148"/>
    <w:rsid w:val="00793174"/>
    <w:rsid w:val="007932A9"/>
    <w:rsid w:val="007932E9"/>
    <w:rsid w:val="007932F4"/>
    <w:rsid w:val="007932FB"/>
    <w:rsid w:val="00793341"/>
    <w:rsid w:val="0079335C"/>
    <w:rsid w:val="0079337D"/>
    <w:rsid w:val="0079342B"/>
    <w:rsid w:val="007934A2"/>
    <w:rsid w:val="00793579"/>
    <w:rsid w:val="0079358C"/>
    <w:rsid w:val="007935AC"/>
    <w:rsid w:val="007935BE"/>
    <w:rsid w:val="0079363C"/>
    <w:rsid w:val="00793672"/>
    <w:rsid w:val="0079369B"/>
    <w:rsid w:val="007936BB"/>
    <w:rsid w:val="007936D2"/>
    <w:rsid w:val="0079371A"/>
    <w:rsid w:val="007937A2"/>
    <w:rsid w:val="007937C6"/>
    <w:rsid w:val="00793805"/>
    <w:rsid w:val="00793818"/>
    <w:rsid w:val="0079381D"/>
    <w:rsid w:val="0079384D"/>
    <w:rsid w:val="007938E6"/>
    <w:rsid w:val="0079392D"/>
    <w:rsid w:val="00793B9C"/>
    <w:rsid w:val="00793C0A"/>
    <w:rsid w:val="00793C9A"/>
    <w:rsid w:val="00793C9D"/>
    <w:rsid w:val="00793D05"/>
    <w:rsid w:val="00793D0A"/>
    <w:rsid w:val="00793D5C"/>
    <w:rsid w:val="00793D5E"/>
    <w:rsid w:val="00793DE4"/>
    <w:rsid w:val="00793E52"/>
    <w:rsid w:val="00793E70"/>
    <w:rsid w:val="00793E74"/>
    <w:rsid w:val="00793E7F"/>
    <w:rsid w:val="00793EC2"/>
    <w:rsid w:val="00793F06"/>
    <w:rsid w:val="00793F0F"/>
    <w:rsid w:val="00793FB8"/>
    <w:rsid w:val="007940AB"/>
    <w:rsid w:val="00794138"/>
    <w:rsid w:val="00794143"/>
    <w:rsid w:val="007941E6"/>
    <w:rsid w:val="007942AD"/>
    <w:rsid w:val="007942E8"/>
    <w:rsid w:val="0079433B"/>
    <w:rsid w:val="00794368"/>
    <w:rsid w:val="00794369"/>
    <w:rsid w:val="00794396"/>
    <w:rsid w:val="0079446A"/>
    <w:rsid w:val="007944CB"/>
    <w:rsid w:val="007944D9"/>
    <w:rsid w:val="00794639"/>
    <w:rsid w:val="00794680"/>
    <w:rsid w:val="00794693"/>
    <w:rsid w:val="00794723"/>
    <w:rsid w:val="0079474A"/>
    <w:rsid w:val="00794757"/>
    <w:rsid w:val="00794773"/>
    <w:rsid w:val="007947BE"/>
    <w:rsid w:val="007947D5"/>
    <w:rsid w:val="007947EC"/>
    <w:rsid w:val="00794823"/>
    <w:rsid w:val="0079483E"/>
    <w:rsid w:val="00794844"/>
    <w:rsid w:val="0079486D"/>
    <w:rsid w:val="007948AD"/>
    <w:rsid w:val="00794907"/>
    <w:rsid w:val="0079491B"/>
    <w:rsid w:val="0079492A"/>
    <w:rsid w:val="007949A2"/>
    <w:rsid w:val="007949A4"/>
    <w:rsid w:val="00794A72"/>
    <w:rsid w:val="00794A91"/>
    <w:rsid w:val="00794A98"/>
    <w:rsid w:val="00794AA0"/>
    <w:rsid w:val="00794AB5"/>
    <w:rsid w:val="00794ACC"/>
    <w:rsid w:val="00794AD8"/>
    <w:rsid w:val="00794ADA"/>
    <w:rsid w:val="00794AF4"/>
    <w:rsid w:val="00794BB8"/>
    <w:rsid w:val="00794BCA"/>
    <w:rsid w:val="00794C2B"/>
    <w:rsid w:val="00794CBF"/>
    <w:rsid w:val="00794E44"/>
    <w:rsid w:val="00794EB9"/>
    <w:rsid w:val="00794EF8"/>
    <w:rsid w:val="00794F22"/>
    <w:rsid w:val="00794F76"/>
    <w:rsid w:val="00794F7E"/>
    <w:rsid w:val="00795034"/>
    <w:rsid w:val="0079508D"/>
    <w:rsid w:val="007950ED"/>
    <w:rsid w:val="0079510B"/>
    <w:rsid w:val="00795157"/>
    <w:rsid w:val="007951D8"/>
    <w:rsid w:val="00795246"/>
    <w:rsid w:val="007952C1"/>
    <w:rsid w:val="00795360"/>
    <w:rsid w:val="007953D6"/>
    <w:rsid w:val="00795423"/>
    <w:rsid w:val="0079544F"/>
    <w:rsid w:val="00795488"/>
    <w:rsid w:val="007954B1"/>
    <w:rsid w:val="007954D8"/>
    <w:rsid w:val="007954DD"/>
    <w:rsid w:val="00795580"/>
    <w:rsid w:val="007955A5"/>
    <w:rsid w:val="0079561D"/>
    <w:rsid w:val="00795623"/>
    <w:rsid w:val="00795649"/>
    <w:rsid w:val="00795664"/>
    <w:rsid w:val="007956BD"/>
    <w:rsid w:val="007956D3"/>
    <w:rsid w:val="007957D2"/>
    <w:rsid w:val="0079582C"/>
    <w:rsid w:val="0079588C"/>
    <w:rsid w:val="00795961"/>
    <w:rsid w:val="007959A0"/>
    <w:rsid w:val="00795A33"/>
    <w:rsid w:val="00795AC6"/>
    <w:rsid w:val="00795AE3"/>
    <w:rsid w:val="00795B37"/>
    <w:rsid w:val="00795B5E"/>
    <w:rsid w:val="00795BA3"/>
    <w:rsid w:val="00795BCA"/>
    <w:rsid w:val="00795BF8"/>
    <w:rsid w:val="00795BFE"/>
    <w:rsid w:val="00795C46"/>
    <w:rsid w:val="00795C57"/>
    <w:rsid w:val="00795C61"/>
    <w:rsid w:val="00795D65"/>
    <w:rsid w:val="00795E12"/>
    <w:rsid w:val="00795F47"/>
    <w:rsid w:val="00795F7B"/>
    <w:rsid w:val="00795F9A"/>
    <w:rsid w:val="00795FAF"/>
    <w:rsid w:val="00795FF1"/>
    <w:rsid w:val="00796008"/>
    <w:rsid w:val="0079601A"/>
    <w:rsid w:val="00796066"/>
    <w:rsid w:val="0079607D"/>
    <w:rsid w:val="007960B1"/>
    <w:rsid w:val="007960FB"/>
    <w:rsid w:val="007960FE"/>
    <w:rsid w:val="00796107"/>
    <w:rsid w:val="007961F6"/>
    <w:rsid w:val="0079631C"/>
    <w:rsid w:val="0079642C"/>
    <w:rsid w:val="0079642E"/>
    <w:rsid w:val="007964C2"/>
    <w:rsid w:val="00796569"/>
    <w:rsid w:val="00796624"/>
    <w:rsid w:val="007966BF"/>
    <w:rsid w:val="00796708"/>
    <w:rsid w:val="00796729"/>
    <w:rsid w:val="00796737"/>
    <w:rsid w:val="00796872"/>
    <w:rsid w:val="00796880"/>
    <w:rsid w:val="00796983"/>
    <w:rsid w:val="00796A6D"/>
    <w:rsid w:val="00796AED"/>
    <w:rsid w:val="00796B80"/>
    <w:rsid w:val="00796BB4"/>
    <w:rsid w:val="00796C36"/>
    <w:rsid w:val="00796C65"/>
    <w:rsid w:val="00796CEE"/>
    <w:rsid w:val="00796D38"/>
    <w:rsid w:val="00796E3C"/>
    <w:rsid w:val="00796E4E"/>
    <w:rsid w:val="00796EA7"/>
    <w:rsid w:val="00796ECA"/>
    <w:rsid w:val="00796EFB"/>
    <w:rsid w:val="00796F50"/>
    <w:rsid w:val="0079701F"/>
    <w:rsid w:val="0079702B"/>
    <w:rsid w:val="00797053"/>
    <w:rsid w:val="007970C0"/>
    <w:rsid w:val="007970CA"/>
    <w:rsid w:val="00797141"/>
    <w:rsid w:val="00797165"/>
    <w:rsid w:val="00797183"/>
    <w:rsid w:val="007971A8"/>
    <w:rsid w:val="007971B8"/>
    <w:rsid w:val="007972AE"/>
    <w:rsid w:val="00797300"/>
    <w:rsid w:val="0079733E"/>
    <w:rsid w:val="0079735D"/>
    <w:rsid w:val="007973BE"/>
    <w:rsid w:val="00797489"/>
    <w:rsid w:val="0079754A"/>
    <w:rsid w:val="007975EF"/>
    <w:rsid w:val="00797618"/>
    <w:rsid w:val="0079764A"/>
    <w:rsid w:val="00797708"/>
    <w:rsid w:val="0079779E"/>
    <w:rsid w:val="007977A3"/>
    <w:rsid w:val="007977BE"/>
    <w:rsid w:val="007977E2"/>
    <w:rsid w:val="00797805"/>
    <w:rsid w:val="0079781C"/>
    <w:rsid w:val="00797890"/>
    <w:rsid w:val="007978FC"/>
    <w:rsid w:val="007978FF"/>
    <w:rsid w:val="0079791E"/>
    <w:rsid w:val="0079797C"/>
    <w:rsid w:val="007979E7"/>
    <w:rsid w:val="007979FF"/>
    <w:rsid w:val="00797A40"/>
    <w:rsid w:val="00797A49"/>
    <w:rsid w:val="00797A52"/>
    <w:rsid w:val="00797A6E"/>
    <w:rsid w:val="00797A7F"/>
    <w:rsid w:val="00797B43"/>
    <w:rsid w:val="00797BF3"/>
    <w:rsid w:val="00797C37"/>
    <w:rsid w:val="00797C86"/>
    <w:rsid w:val="00797D2E"/>
    <w:rsid w:val="00797D87"/>
    <w:rsid w:val="00797DC9"/>
    <w:rsid w:val="00797E13"/>
    <w:rsid w:val="00797E3B"/>
    <w:rsid w:val="00797E62"/>
    <w:rsid w:val="007A0020"/>
    <w:rsid w:val="007A004E"/>
    <w:rsid w:val="007A0054"/>
    <w:rsid w:val="007A008B"/>
    <w:rsid w:val="007A019F"/>
    <w:rsid w:val="007A0218"/>
    <w:rsid w:val="007A027E"/>
    <w:rsid w:val="007A0314"/>
    <w:rsid w:val="007A0390"/>
    <w:rsid w:val="007A0414"/>
    <w:rsid w:val="007A0504"/>
    <w:rsid w:val="007A0536"/>
    <w:rsid w:val="007A0546"/>
    <w:rsid w:val="007A05C2"/>
    <w:rsid w:val="007A05D0"/>
    <w:rsid w:val="007A0618"/>
    <w:rsid w:val="007A06D8"/>
    <w:rsid w:val="007A06D9"/>
    <w:rsid w:val="007A06FC"/>
    <w:rsid w:val="007A0704"/>
    <w:rsid w:val="007A0713"/>
    <w:rsid w:val="007A0727"/>
    <w:rsid w:val="007A07AF"/>
    <w:rsid w:val="007A07E7"/>
    <w:rsid w:val="007A08D5"/>
    <w:rsid w:val="007A08EC"/>
    <w:rsid w:val="007A09A8"/>
    <w:rsid w:val="007A09AF"/>
    <w:rsid w:val="007A0A3A"/>
    <w:rsid w:val="007A0B18"/>
    <w:rsid w:val="007A0B4E"/>
    <w:rsid w:val="007A0C01"/>
    <w:rsid w:val="007A0C0B"/>
    <w:rsid w:val="007A0C5E"/>
    <w:rsid w:val="007A0C98"/>
    <w:rsid w:val="007A0CB6"/>
    <w:rsid w:val="007A0CCB"/>
    <w:rsid w:val="007A0D02"/>
    <w:rsid w:val="007A0D21"/>
    <w:rsid w:val="007A0D42"/>
    <w:rsid w:val="007A0DD4"/>
    <w:rsid w:val="007A0E59"/>
    <w:rsid w:val="007A0E60"/>
    <w:rsid w:val="007A0F11"/>
    <w:rsid w:val="007A0F20"/>
    <w:rsid w:val="007A0F2E"/>
    <w:rsid w:val="007A0F4E"/>
    <w:rsid w:val="007A108A"/>
    <w:rsid w:val="007A1111"/>
    <w:rsid w:val="007A113F"/>
    <w:rsid w:val="007A1159"/>
    <w:rsid w:val="007A11A0"/>
    <w:rsid w:val="007A123E"/>
    <w:rsid w:val="007A1246"/>
    <w:rsid w:val="007A132C"/>
    <w:rsid w:val="007A1356"/>
    <w:rsid w:val="007A135D"/>
    <w:rsid w:val="007A1424"/>
    <w:rsid w:val="007A14CF"/>
    <w:rsid w:val="007A1533"/>
    <w:rsid w:val="007A1538"/>
    <w:rsid w:val="007A15D6"/>
    <w:rsid w:val="007A168F"/>
    <w:rsid w:val="007A169B"/>
    <w:rsid w:val="007A1734"/>
    <w:rsid w:val="007A17A2"/>
    <w:rsid w:val="007A17CD"/>
    <w:rsid w:val="007A183B"/>
    <w:rsid w:val="007A1968"/>
    <w:rsid w:val="007A19CC"/>
    <w:rsid w:val="007A1A66"/>
    <w:rsid w:val="007A1A81"/>
    <w:rsid w:val="007A1AD3"/>
    <w:rsid w:val="007A1B1D"/>
    <w:rsid w:val="007A1B94"/>
    <w:rsid w:val="007A1BE6"/>
    <w:rsid w:val="007A1C47"/>
    <w:rsid w:val="007A1C63"/>
    <w:rsid w:val="007A1CE4"/>
    <w:rsid w:val="007A1CEB"/>
    <w:rsid w:val="007A1D51"/>
    <w:rsid w:val="007A1D80"/>
    <w:rsid w:val="007A1DB9"/>
    <w:rsid w:val="007A1DC6"/>
    <w:rsid w:val="007A1E7E"/>
    <w:rsid w:val="007A1E86"/>
    <w:rsid w:val="007A1EEB"/>
    <w:rsid w:val="007A2035"/>
    <w:rsid w:val="007A212B"/>
    <w:rsid w:val="007A2170"/>
    <w:rsid w:val="007A2194"/>
    <w:rsid w:val="007A21D2"/>
    <w:rsid w:val="007A21ED"/>
    <w:rsid w:val="007A220C"/>
    <w:rsid w:val="007A2216"/>
    <w:rsid w:val="007A225F"/>
    <w:rsid w:val="007A229C"/>
    <w:rsid w:val="007A231D"/>
    <w:rsid w:val="007A2338"/>
    <w:rsid w:val="007A23C8"/>
    <w:rsid w:val="007A23EC"/>
    <w:rsid w:val="007A2445"/>
    <w:rsid w:val="007A2538"/>
    <w:rsid w:val="007A25DF"/>
    <w:rsid w:val="007A25E0"/>
    <w:rsid w:val="007A266F"/>
    <w:rsid w:val="007A26BF"/>
    <w:rsid w:val="007A27E8"/>
    <w:rsid w:val="007A2889"/>
    <w:rsid w:val="007A291E"/>
    <w:rsid w:val="007A2925"/>
    <w:rsid w:val="007A2954"/>
    <w:rsid w:val="007A298C"/>
    <w:rsid w:val="007A29ED"/>
    <w:rsid w:val="007A2B15"/>
    <w:rsid w:val="007A2B28"/>
    <w:rsid w:val="007A2B46"/>
    <w:rsid w:val="007A2BA9"/>
    <w:rsid w:val="007A2BCD"/>
    <w:rsid w:val="007A2D30"/>
    <w:rsid w:val="007A2E25"/>
    <w:rsid w:val="007A2E2D"/>
    <w:rsid w:val="007A2F99"/>
    <w:rsid w:val="007A2FEB"/>
    <w:rsid w:val="007A3064"/>
    <w:rsid w:val="007A30A1"/>
    <w:rsid w:val="007A30A8"/>
    <w:rsid w:val="007A31B8"/>
    <w:rsid w:val="007A31BA"/>
    <w:rsid w:val="007A31F5"/>
    <w:rsid w:val="007A32C2"/>
    <w:rsid w:val="007A3337"/>
    <w:rsid w:val="007A3418"/>
    <w:rsid w:val="007A3565"/>
    <w:rsid w:val="007A363B"/>
    <w:rsid w:val="007A374E"/>
    <w:rsid w:val="007A3764"/>
    <w:rsid w:val="007A3771"/>
    <w:rsid w:val="007A379F"/>
    <w:rsid w:val="007A38A1"/>
    <w:rsid w:val="007A38D8"/>
    <w:rsid w:val="007A3902"/>
    <w:rsid w:val="007A3995"/>
    <w:rsid w:val="007A39BD"/>
    <w:rsid w:val="007A39C1"/>
    <w:rsid w:val="007A3A01"/>
    <w:rsid w:val="007A3A36"/>
    <w:rsid w:val="007A3AA9"/>
    <w:rsid w:val="007A3AC2"/>
    <w:rsid w:val="007A3B13"/>
    <w:rsid w:val="007A3BC3"/>
    <w:rsid w:val="007A3C02"/>
    <w:rsid w:val="007A3C41"/>
    <w:rsid w:val="007A3C7D"/>
    <w:rsid w:val="007A3D13"/>
    <w:rsid w:val="007A3D68"/>
    <w:rsid w:val="007A3D80"/>
    <w:rsid w:val="007A3DA9"/>
    <w:rsid w:val="007A3DC9"/>
    <w:rsid w:val="007A3E19"/>
    <w:rsid w:val="007A3E3F"/>
    <w:rsid w:val="007A3E44"/>
    <w:rsid w:val="007A3EA8"/>
    <w:rsid w:val="007A3F14"/>
    <w:rsid w:val="007A404E"/>
    <w:rsid w:val="007A4066"/>
    <w:rsid w:val="007A4073"/>
    <w:rsid w:val="007A408D"/>
    <w:rsid w:val="007A40AA"/>
    <w:rsid w:val="007A40D1"/>
    <w:rsid w:val="007A4104"/>
    <w:rsid w:val="007A4260"/>
    <w:rsid w:val="007A42F9"/>
    <w:rsid w:val="007A4395"/>
    <w:rsid w:val="007A43C7"/>
    <w:rsid w:val="007A43E3"/>
    <w:rsid w:val="007A4478"/>
    <w:rsid w:val="007A44B8"/>
    <w:rsid w:val="007A44C1"/>
    <w:rsid w:val="007A44DC"/>
    <w:rsid w:val="007A451D"/>
    <w:rsid w:val="007A460E"/>
    <w:rsid w:val="007A4615"/>
    <w:rsid w:val="007A4714"/>
    <w:rsid w:val="007A472C"/>
    <w:rsid w:val="007A4884"/>
    <w:rsid w:val="007A48AF"/>
    <w:rsid w:val="007A48F7"/>
    <w:rsid w:val="007A490F"/>
    <w:rsid w:val="007A4951"/>
    <w:rsid w:val="007A4989"/>
    <w:rsid w:val="007A49F2"/>
    <w:rsid w:val="007A4B09"/>
    <w:rsid w:val="007A4B19"/>
    <w:rsid w:val="007A4CB5"/>
    <w:rsid w:val="007A4D3C"/>
    <w:rsid w:val="007A4EE3"/>
    <w:rsid w:val="007A4F11"/>
    <w:rsid w:val="007A4F1E"/>
    <w:rsid w:val="007A4F7B"/>
    <w:rsid w:val="007A4F80"/>
    <w:rsid w:val="007A4FD6"/>
    <w:rsid w:val="007A4FF5"/>
    <w:rsid w:val="007A50B9"/>
    <w:rsid w:val="007A50BE"/>
    <w:rsid w:val="007A51F3"/>
    <w:rsid w:val="007A5321"/>
    <w:rsid w:val="007A548B"/>
    <w:rsid w:val="007A54B3"/>
    <w:rsid w:val="007A54F1"/>
    <w:rsid w:val="007A54F7"/>
    <w:rsid w:val="007A54FB"/>
    <w:rsid w:val="007A5540"/>
    <w:rsid w:val="007A55B1"/>
    <w:rsid w:val="007A564D"/>
    <w:rsid w:val="007A568A"/>
    <w:rsid w:val="007A568C"/>
    <w:rsid w:val="007A568F"/>
    <w:rsid w:val="007A56C9"/>
    <w:rsid w:val="007A56D3"/>
    <w:rsid w:val="007A5749"/>
    <w:rsid w:val="007A5767"/>
    <w:rsid w:val="007A577E"/>
    <w:rsid w:val="007A578B"/>
    <w:rsid w:val="007A57AC"/>
    <w:rsid w:val="007A5823"/>
    <w:rsid w:val="007A5886"/>
    <w:rsid w:val="007A58E9"/>
    <w:rsid w:val="007A5925"/>
    <w:rsid w:val="007A5976"/>
    <w:rsid w:val="007A59BA"/>
    <w:rsid w:val="007A59D6"/>
    <w:rsid w:val="007A59EA"/>
    <w:rsid w:val="007A5A02"/>
    <w:rsid w:val="007A5A1E"/>
    <w:rsid w:val="007A5A2F"/>
    <w:rsid w:val="007A5A75"/>
    <w:rsid w:val="007A5AE7"/>
    <w:rsid w:val="007A5B4F"/>
    <w:rsid w:val="007A5B64"/>
    <w:rsid w:val="007A5B81"/>
    <w:rsid w:val="007A5BA5"/>
    <w:rsid w:val="007A5BAE"/>
    <w:rsid w:val="007A5BC3"/>
    <w:rsid w:val="007A5C09"/>
    <w:rsid w:val="007A5CEC"/>
    <w:rsid w:val="007A5CF3"/>
    <w:rsid w:val="007A5CFA"/>
    <w:rsid w:val="007A5DA1"/>
    <w:rsid w:val="007A5DA3"/>
    <w:rsid w:val="007A5E2D"/>
    <w:rsid w:val="007A5EF4"/>
    <w:rsid w:val="007A5F77"/>
    <w:rsid w:val="007A606D"/>
    <w:rsid w:val="007A6143"/>
    <w:rsid w:val="007A6227"/>
    <w:rsid w:val="007A625F"/>
    <w:rsid w:val="007A62A0"/>
    <w:rsid w:val="007A62FB"/>
    <w:rsid w:val="007A630C"/>
    <w:rsid w:val="007A6345"/>
    <w:rsid w:val="007A6372"/>
    <w:rsid w:val="007A6374"/>
    <w:rsid w:val="007A63B1"/>
    <w:rsid w:val="007A63B7"/>
    <w:rsid w:val="007A642C"/>
    <w:rsid w:val="007A644B"/>
    <w:rsid w:val="007A6474"/>
    <w:rsid w:val="007A6577"/>
    <w:rsid w:val="007A65DA"/>
    <w:rsid w:val="007A6624"/>
    <w:rsid w:val="007A6640"/>
    <w:rsid w:val="007A6669"/>
    <w:rsid w:val="007A669F"/>
    <w:rsid w:val="007A671B"/>
    <w:rsid w:val="007A676C"/>
    <w:rsid w:val="007A679B"/>
    <w:rsid w:val="007A67A7"/>
    <w:rsid w:val="007A67B8"/>
    <w:rsid w:val="007A67DF"/>
    <w:rsid w:val="007A6873"/>
    <w:rsid w:val="007A6883"/>
    <w:rsid w:val="007A6959"/>
    <w:rsid w:val="007A6975"/>
    <w:rsid w:val="007A6A3C"/>
    <w:rsid w:val="007A6AC4"/>
    <w:rsid w:val="007A6AE2"/>
    <w:rsid w:val="007A6BC2"/>
    <w:rsid w:val="007A6BC7"/>
    <w:rsid w:val="007A6BC9"/>
    <w:rsid w:val="007A6BFD"/>
    <w:rsid w:val="007A6C04"/>
    <w:rsid w:val="007A6C3B"/>
    <w:rsid w:val="007A6C50"/>
    <w:rsid w:val="007A6E03"/>
    <w:rsid w:val="007A6E05"/>
    <w:rsid w:val="007A6E29"/>
    <w:rsid w:val="007A6E4C"/>
    <w:rsid w:val="007A6F9C"/>
    <w:rsid w:val="007A6FD9"/>
    <w:rsid w:val="007A7029"/>
    <w:rsid w:val="007A709E"/>
    <w:rsid w:val="007A70D3"/>
    <w:rsid w:val="007A70DB"/>
    <w:rsid w:val="007A70E7"/>
    <w:rsid w:val="007A718E"/>
    <w:rsid w:val="007A71CE"/>
    <w:rsid w:val="007A721E"/>
    <w:rsid w:val="007A725B"/>
    <w:rsid w:val="007A735E"/>
    <w:rsid w:val="007A73D2"/>
    <w:rsid w:val="007A73F6"/>
    <w:rsid w:val="007A7404"/>
    <w:rsid w:val="007A7479"/>
    <w:rsid w:val="007A74AB"/>
    <w:rsid w:val="007A74CB"/>
    <w:rsid w:val="007A756A"/>
    <w:rsid w:val="007A7667"/>
    <w:rsid w:val="007A76CF"/>
    <w:rsid w:val="007A773D"/>
    <w:rsid w:val="007A7875"/>
    <w:rsid w:val="007A796F"/>
    <w:rsid w:val="007A79AE"/>
    <w:rsid w:val="007A7AA8"/>
    <w:rsid w:val="007A7B86"/>
    <w:rsid w:val="007A7B8C"/>
    <w:rsid w:val="007A7C28"/>
    <w:rsid w:val="007A7C50"/>
    <w:rsid w:val="007A7CFC"/>
    <w:rsid w:val="007A7D5A"/>
    <w:rsid w:val="007A7EB7"/>
    <w:rsid w:val="007A7F4D"/>
    <w:rsid w:val="007A7F5F"/>
    <w:rsid w:val="007A7F63"/>
    <w:rsid w:val="007ADF82"/>
    <w:rsid w:val="007B001A"/>
    <w:rsid w:val="007B0024"/>
    <w:rsid w:val="007B007C"/>
    <w:rsid w:val="007B0091"/>
    <w:rsid w:val="007B00A6"/>
    <w:rsid w:val="007B00B4"/>
    <w:rsid w:val="007B0193"/>
    <w:rsid w:val="007B01DE"/>
    <w:rsid w:val="007B02BA"/>
    <w:rsid w:val="007B0308"/>
    <w:rsid w:val="007B0362"/>
    <w:rsid w:val="007B03CF"/>
    <w:rsid w:val="007B03DA"/>
    <w:rsid w:val="007B03FB"/>
    <w:rsid w:val="007B0403"/>
    <w:rsid w:val="007B0471"/>
    <w:rsid w:val="007B0482"/>
    <w:rsid w:val="007B04C1"/>
    <w:rsid w:val="007B052E"/>
    <w:rsid w:val="007B055B"/>
    <w:rsid w:val="007B0590"/>
    <w:rsid w:val="007B059C"/>
    <w:rsid w:val="007B064C"/>
    <w:rsid w:val="007B065B"/>
    <w:rsid w:val="007B070A"/>
    <w:rsid w:val="007B071C"/>
    <w:rsid w:val="007B072E"/>
    <w:rsid w:val="007B0730"/>
    <w:rsid w:val="007B0774"/>
    <w:rsid w:val="007B0866"/>
    <w:rsid w:val="007B08A8"/>
    <w:rsid w:val="007B08AB"/>
    <w:rsid w:val="007B08B2"/>
    <w:rsid w:val="007B092D"/>
    <w:rsid w:val="007B0934"/>
    <w:rsid w:val="007B0941"/>
    <w:rsid w:val="007B09A3"/>
    <w:rsid w:val="007B0A12"/>
    <w:rsid w:val="007B0ADC"/>
    <w:rsid w:val="007B0B09"/>
    <w:rsid w:val="007B0B9A"/>
    <w:rsid w:val="007B0CE5"/>
    <w:rsid w:val="007B0D1D"/>
    <w:rsid w:val="007B0D39"/>
    <w:rsid w:val="007B0D3D"/>
    <w:rsid w:val="007B0DB2"/>
    <w:rsid w:val="007B0EE0"/>
    <w:rsid w:val="007B0EF3"/>
    <w:rsid w:val="007B1037"/>
    <w:rsid w:val="007B1066"/>
    <w:rsid w:val="007B10D2"/>
    <w:rsid w:val="007B10E8"/>
    <w:rsid w:val="007B11EF"/>
    <w:rsid w:val="007B123B"/>
    <w:rsid w:val="007B12A3"/>
    <w:rsid w:val="007B12D6"/>
    <w:rsid w:val="007B1311"/>
    <w:rsid w:val="007B131E"/>
    <w:rsid w:val="007B1322"/>
    <w:rsid w:val="007B1363"/>
    <w:rsid w:val="007B136F"/>
    <w:rsid w:val="007B13B6"/>
    <w:rsid w:val="007B13F8"/>
    <w:rsid w:val="007B156E"/>
    <w:rsid w:val="007B1664"/>
    <w:rsid w:val="007B16FC"/>
    <w:rsid w:val="007B1840"/>
    <w:rsid w:val="007B1949"/>
    <w:rsid w:val="007B1952"/>
    <w:rsid w:val="007B1A6F"/>
    <w:rsid w:val="007B1AE4"/>
    <w:rsid w:val="007B1BD0"/>
    <w:rsid w:val="007B1C58"/>
    <w:rsid w:val="007B1CA1"/>
    <w:rsid w:val="007B1D32"/>
    <w:rsid w:val="007B1D96"/>
    <w:rsid w:val="007B1DB6"/>
    <w:rsid w:val="007B1E94"/>
    <w:rsid w:val="007B1F0A"/>
    <w:rsid w:val="007B1FE5"/>
    <w:rsid w:val="007B1FF1"/>
    <w:rsid w:val="007B2008"/>
    <w:rsid w:val="007B2012"/>
    <w:rsid w:val="007B203D"/>
    <w:rsid w:val="007B20C3"/>
    <w:rsid w:val="007B2119"/>
    <w:rsid w:val="007B214F"/>
    <w:rsid w:val="007B223F"/>
    <w:rsid w:val="007B225C"/>
    <w:rsid w:val="007B22BB"/>
    <w:rsid w:val="007B22BC"/>
    <w:rsid w:val="007B2330"/>
    <w:rsid w:val="007B233F"/>
    <w:rsid w:val="007B2400"/>
    <w:rsid w:val="007B2488"/>
    <w:rsid w:val="007B24EE"/>
    <w:rsid w:val="007B2508"/>
    <w:rsid w:val="007B2544"/>
    <w:rsid w:val="007B2569"/>
    <w:rsid w:val="007B25A9"/>
    <w:rsid w:val="007B25DC"/>
    <w:rsid w:val="007B25E5"/>
    <w:rsid w:val="007B267D"/>
    <w:rsid w:val="007B269C"/>
    <w:rsid w:val="007B2704"/>
    <w:rsid w:val="007B2742"/>
    <w:rsid w:val="007B274F"/>
    <w:rsid w:val="007B2769"/>
    <w:rsid w:val="007B27BA"/>
    <w:rsid w:val="007B27D3"/>
    <w:rsid w:val="007B282D"/>
    <w:rsid w:val="007B2864"/>
    <w:rsid w:val="007B2A07"/>
    <w:rsid w:val="007B2A20"/>
    <w:rsid w:val="007B2A78"/>
    <w:rsid w:val="007B2A7D"/>
    <w:rsid w:val="007B2ADC"/>
    <w:rsid w:val="007B2B12"/>
    <w:rsid w:val="007B2BB0"/>
    <w:rsid w:val="007B2C74"/>
    <w:rsid w:val="007B2CBF"/>
    <w:rsid w:val="007B2CCD"/>
    <w:rsid w:val="007B2CDC"/>
    <w:rsid w:val="007B2CEB"/>
    <w:rsid w:val="007B2D96"/>
    <w:rsid w:val="007B2E0C"/>
    <w:rsid w:val="007B2E42"/>
    <w:rsid w:val="007B2F05"/>
    <w:rsid w:val="007B2F44"/>
    <w:rsid w:val="007B2F88"/>
    <w:rsid w:val="007B2FA6"/>
    <w:rsid w:val="007B2FB5"/>
    <w:rsid w:val="007B3017"/>
    <w:rsid w:val="007B30A1"/>
    <w:rsid w:val="007B30E9"/>
    <w:rsid w:val="007B3113"/>
    <w:rsid w:val="007B3159"/>
    <w:rsid w:val="007B31E7"/>
    <w:rsid w:val="007B31FD"/>
    <w:rsid w:val="007B321C"/>
    <w:rsid w:val="007B3282"/>
    <w:rsid w:val="007B334D"/>
    <w:rsid w:val="007B338C"/>
    <w:rsid w:val="007B33B0"/>
    <w:rsid w:val="007B340C"/>
    <w:rsid w:val="007B3426"/>
    <w:rsid w:val="007B343B"/>
    <w:rsid w:val="007B3443"/>
    <w:rsid w:val="007B3450"/>
    <w:rsid w:val="007B34F0"/>
    <w:rsid w:val="007B34FC"/>
    <w:rsid w:val="007B3523"/>
    <w:rsid w:val="007B35CF"/>
    <w:rsid w:val="007B3614"/>
    <w:rsid w:val="007B376C"/>
    <w:rsid w:val="007B37A1"/>
    <w:rsid w:val="007B3828"/>
    <w:rsid w:val="007B38BD"/>
    <w:rsid w:val="007B38DC"/>
    <w:rsid w:val="007B3921"/>
    <w:rsid w:val="007B393D"/>
    <w:rsid w:val="007B3A13"/>
    <w:rsid w:val="007B3A26"/>
    <w:rsid w:val="007B3A8D"/>
    <w:rsid w:val="007B3B6D"/>
    <w:rsid w:val="007B3B80"/>
    <w:rsid w:val="007B3CF2"/>
    <w:rsid w:val="007B3D09"/>
    <w:rsid w:val="007B3D62"/>
    <w:rsid w:val="007B3D70"/>
    <w:rsid w:val="007B3D73"/>
    <w:rsid w:val="007B3D7C"/>
    <w:rsid w:val="007B3D91"/>
    <w:rsid w:val="007B3E4F"/>
    <w:rsid w:val="007B3E7E"/>
    <w:rsid w:val="007B3E9B"/>
    <w:rsid w:val="007B3F8F"/>
    <w:rsid w:val="007B4050"/>
    <w:rsid w:val="007B40AD"/>
    <w:rsid w:val="007B40D8"/>
    <w:rsid w:val="007B4106"/>
    <w:rsid w:val="007B411F"/>
    <w:rsid w:val="007B413D"/>
    <w:rsid w:val="007B41C8"/>
    <w:rsid w:val="007B426A"/>
    <w:rsid w:val="007B426E"/>
    <w:rsid w:val="007B429A"/>
    <w:rsid w:val="007B42D0"/>
    <w:rsid w:val="007B430A"/>
    <w:rsid w:val="007B4323"/>
    <w:rsid w:val="007B4353"/>
    <w:rsid w:val="007B43AB"/>
    <w:rsid w:val="007B4438"/>
    <w:rsid w:val="007B44EB"/>
    <w:rsid w:val="007B4513"/>
    <w:rsid w:val="007B4556"/>
    <w:rsid w:val="007B4567"/>
    <w:rsid w:val="007B4773"/>
    <w:rsid w:val="007B4790"/>
    <w:rsid w:val="007B4847"/>
    <w:rsid w:val="007B48CC"/>
    <w:rsid w:val="007B48CD"/>
    <w:rsid w:val="007B4907"/>
    <w:rsid w:val="007B4943"/>
    <w:rsid w:val="007B495A"/>
    <w:rsid w:val="007B496D"/>
    <w:rsid w:val="007B49DC"/>
    <w:rsid w:val="007B4A57"/>
    <w:rsid w:val="007B4A72"/>
    <w:rsid w:val="007B4AD1"/>
    <w:rsid w:val="007B4B3B"/>
    <w:rsid w:val="007B4C28"/>
    <w:rsid w:val="007B4C52"/>
    <w:rsid w:val="007B4CAB"/>
    <w:rsid w:val="007B4D26"/>
    <w:rsid w:val="007B4D7F"/>
    <w:rsid w:val="007B4D8C"/>
    <w:rsid w:val="007B4DB1"/>
    <w:rsid w:val="007B4E61"/>
    <w:rsid w:val="007B4E6A"/>
    <w:rsid w:val="007B4F17"/>
    <w:rsid w:val="007B4FD1"/>
    <w:rsid w:val="007B4FF0"/>
    <w:rsid w:val="007B4FFE"/>
    <w:rsid w:val="007B5060"/>
    <w:rsid w:val="007B50A3"/>
    <w:rsid w:val="007B50F6"/>
    <w:rsid w:val="007B5112"/>
    <w:rsid w:val="007B51AA"/>
    <w:rsid w:val="007B51D7"/>
    <w:rsid w:val="007B535E"/>
    <w:rsid w:val="007B53B4"/>
    <w:rsid w:val="007B53D3"/>
    <w:rsid w:val="007B53E2"/>
    <w:rsid w:val="007B54D4"/>
    <w:rsid w:val="007B5504"/>
    <w:rsid w:val="007B5534"/>
    <w:rsid w:val="007B5542"/>
    <w:rsid w:val="007B5597"/>
    <w:rsid w:val="007B55D6"/>
    <w:rsid w:val="007B5650"/>
    <w:rsid w:val="007B5665"/>
    <w:rsid w:val="007B56EC"/>
    <w:rsid w:val="007B5712"/>
    <w:rsid w:val="007B572A"/>
    <w:rsid w:val="007B573B"/>
    <w:rsid w:val="007B584F"/>
    <w:rsid w:val="007B5872"/>
    <w:rsid w:val="007B599F"/>
    <w:rsid w:val="007B59FD"/>
    <w:rsid w:val="007B5A2B"/>
    <w:rsid w:val="007B5AC1"/>
    <w:rsid w:val="007B5AFF"/>
    <w:rsid w:val="007B5B6D"/>
    <w:rsid w:val="007B5BDA"/>
    <w:rsid w:val="007B5BDF"/>
    <w:rsid w:val="007B5C33"/>
    <w:rsid w:val="007B5C5C"/>
    <w:rsid w:val="007B5C7F"/>
    <w:rsid w:val="007B5CD1"/>
    <w:rsid w:val="007B5CD3"/>
    <w:rsid w:val="007B5CEA"/>
    <w:rsid w:val="007B5D95"/>
    <w:rsid w:val="007B5DB3"/>
    <w:rsid w:val="007B5E4E"/>
    <w:rsid w:val="007B5ECB"/>
    <w:rsid w:val="007B5EFC"/>
    <w:rsid w:val="007B5F3D"/>
    <w:rsid w:val="007B5F40"/>
    <w:rsid w:val="007B5F9D"/>
    <w:rsid w:val="007B60C7"/>
    <w:rsid w:val="007B60EE"/>
    <w:rsid w:val="007B6163"/>
    <w:rsid w:val="007B6164"/>
    <w:rsid w:val="007B61EB"/>
    <w:rsid w:val="007B61EC"/>
    <w:rsid w:val="007B62F9"/>
    <w:rsid w:val="007B6304"/>
    <w:rsid w:val="007B634E"/>
    <w:rsid w:val="007B63FE"/>
    <w:rsid w:val="007B6423"/>
    <w:rsid w:val="007B649F"/>
    <w:rsid w:val="007B64BE"/>
    <w:rsid w:val="007B64FC"/>
    <w:rsid w:val="007B65CA"/>
    <w:rsid w:val="007B65EF"/>
    <w:rsid w:val="007B663B"/>
    <w:rsid w:val="007B668C"/>
    <w:rsid w:val="007B66C0"/>
    <w:rsid w:val="007B66F1"/>
    <w:rsid w:val="007B6778"/>
    <w:rsid w:val="007B67E9"/>
    <w:rsid w:val="007B68E4"/>
    <w:rsid w:val="007B6919"/>
    <w:rsid w:val="007B691C"/>
    <w:rsid w:val="007B6923"/>
    <w:rsid w:val="007B695B"/>
    <w:rsid w:val="007B6A4B"/>
    <w:rsid w:val="007B6A84"/>
    <w:rsid w:val="007B6AA9"/>
    <w:rsid w:val="007B6ADF"/>
    <w:rsid w:val="007B6B35"/>
    <w:rsid w:val="007B6B3D"/>
    <w:rsid w:val="007B6B72"/>
    <w:rsid w:val="007B6BB8"/>
    <w:rsid w:val="007B6C03"/>
    <w:rsid w:val="007B6C11"/>
    <w:rsid w:val="007B6C48"/>
    <w:rsid w:val="007B6C6B"/>
    <w:rsid w:val="007B6DB7"/>
    <w:rsid w:val="007B6DB9"/>
    <w:rsid w:val="007B6E97"/>
    <w:rsid w:val="007B6ECD"/>
    <w:rsid w:val="007B6F65"/>
    <w:rsid w:val="007B70BD"/>
    <w:rsid w:val="007B7151"/>
    <w:rsid w:val="007B71DB"/>
    <w:rsid w:val="007B72FD"/>
    <w:rsid w:val="007B7344"/>
    <w:rsid w:val="007B734D"/>
    <w:rsid w:val="007B737C"/>
    <w:rsid w:val="007B7501"/>
    <w:rsid w:val="007B7634"/>
    <w:rsid w:val="007B765B"/>
    <w:rsid w:val="007B767A"/>
    <w:rsid w:val="007B76F3"/>
    <w:rsid w:val="007B7711"/>
    <w:rsid w:val="007B7713"/>
    <w:rsid w:val="007B7750"/>
    <w:rsid w:val="007B77FF"/>
    <w:rsid w:val="007B7873"/>
    <w:rsid w:val="007B7888"/>
    <w:rsid w:val="007B7946"/>
    <w:rsid w:val="007B794C"/>
    <w:rsid w:val="007B7A44"/>
    <w:rsid w:val="007B7A7E"/>
    <w:rsid w:val="007B7A98"/>
    <w:rsid w:val="007B7A9D"/>
    <w:rsid w:val="007B7AE4"/>
    <w:rsid w:val="007B7B26"/>
    <w:rsid w:val="007B7B3C"/>
    <w:rsid w:val="007B7BCF"/>
    <w:rsid w:val="007B7BE7"/>
    <w:rsid w:val="007B7CAC"/>
    <w:rsid w:val="007B7D27"/>
    <w:rsid w:val="007B7E69"/>
    <w:rsid w:val="007B7F15"/>
    <w:rsid w:val="007B7F51"/>
    <w:rsid w:val="007B7FEF"/>
    <w:rsid w:val="007C002D"/>
    <w:rsid w:val="007C0032"/>
    <w:rsid w:val="007C0068"/>
    <w:rsid w:val="007C0093"/>
    <w:rsid w:val="007C01CD"/>
    <w:rsid w:val="007C01DC"/>
    <w:rsid w:val="007C01F0"/>
    <w:rsid w:val="007C021F"/>
    <w:rsid w:val="007C025E"/>
    <w:rsid w:val="007C0276"/>
    <w:rsid w:val="007C0309"/>
    <w:rsid w:val="007C03C1"/>
    <w:rsid w:val="007C03C4"/>
    <w:rsid w:val="007C03FF"/>
    <w:rsid w:val="007C0403"/>
    <w:rsid w:val="007C0405"/>
    <w:rsid w:val="007C042C"/>
    <w:rsid w:val="007C045E"/>
    <w:rsid w:val="007C04C9"/>
    <w:rsid w:val="007C04E3"/>
    <w:rsid w:val="007C04ED"/>
    <w:rsid w:val="007C0525"/>
    <w:rsid w:val="007C0571"/>
    <w:rsid w:val="007C058D"/>
    <w:rsid w:val="007C05C4"/>
    <w:rsid w:val="007C0613"/>
    <w:rsid w:val="007C063C"/>
    <w:rsid w:val="007C0652"/>
    <w:rsid w:val="007C0684"/>
    <w:rsid w:val="007C0712"/>
    <w:rsid w:val="007C0744"/>
    <w:rsid w:val="007C0750"/>
    <w:rsid w:val="007C0792"/>
    <w:rsid w:val="007C07E7"/>
    <w:rsid w:val="007C07F6"/>
    <w:rsid w:val="007C0828"/>
    <w:rsid w:val="007C0894"/>
    <w:rsid w:val="007C08BB"/>
    <w:rsid w:val="007C08C8"/>
    <w:rsid w:val="007C093D"/>
    <w:rsid w:val="007C0945"/>
    <w:rsid w:val="007C0969"/>
    <w:rsid w:val="007C0A2A"/>
    <w:rsid w:val="007C0A5E"/>
    <w:rsid w:val="007C0A72"/>
    <w:rsid w:val="007C0AE2"/>
    <w:rsid w:val="007C0B0B"/>
    <w:rsid w:val="007C0B83"/>
    <w:rsid w:val="007C0B93"/>
    <w:rsid w:val="007C0BA9"/>
    <w:rsid w:val="007C0BCA"/>
    <w:rsid w:val="007C0C39"/>
    <w:rsid w:val="007C0C65"/>
    <w:rsid w:val="007C0C67"/>
    <w:rsid w:val="007C0CCF"/>
    <w:rsid w:val="007C0DB0"/>
    <w:rsid w:val="007C0DCC"/>
    <w:rsid w:val="007C0DDC"/>
    <w:rsid w:val="007C0E81"/>
    <w:rsid w:val="007C102E"/>
    <w:rsid w:val="007C1097"/>
    <w:rsid w:val="007C10AE"/>
    <w:rsid w:val="007C10C6"/>
    <w:rsid w:val="007C1113"/>
    <w:rsid w:val="007C1120"/>
    <w:rsid w:val="007C1144"/>
    <w:rsid w:val="007C114E"/>
    <w:rsid w:val="007C134D"/>
    <w:rsid w:val="007C1383"/>
    <w:rsid w:val="007C1390"/>
    <w:rsid w:val="007C139D"/>
    <w:rsid w:val="007C140D"/>
    <w:rsid w:val="007C1446"/>
    <w:rsid w:val="007C1471"/>
    <w:rsid w:val="007C1476"/>
    <w:rsid w:val="007C14BC"/>
    <w:rsid w:val="007C14CD"/>
    <w:rsid w:val="007C1574"/>
    <w:rsid w:val="007C161B"/>
    <w:rsid w:val="007C1622"/>
    <w:rsid w:val="007C167F"/>
    <w:rsid w:val="007C16CC"/>
    <w:rsid w:val="007C1757"/>
    <w:rsid w:val="007C17AE"/>
    <w:rsid w:val="007C17B0"/>
    <w:rsid w:val="007C17CB"/>
    <w:rsid w:val="007C17E5"/>
    <w:rsid w:val="007C17EA"/>
    <w:rsid w:val="007C183E"/>
    <w:rsid w:val="007C185F"/>
    <w:rsid w:val="007C199E"/>
    <w:rsid w:val="007C19C7"/>
    <w:rsid w:val="007C19CF"/>
    <w:rsid w:val="007C1A24"/>
    <w:rsid w:val="007C1A35"/>
    <w:rsid w:val="007C1A6B"/>
    <w:rsid w:val="007C1B2D"/>
    <w:rsid w:val="007C1B6D"/>
    <w:rsid w:val="007C1C22"/>
    <w:rsid w:val="007C1C46"/>
    <w:rsid w:val="007C1D6D"/>
    <w:rsid w:val="007C1DAE"/>
    <w:rsid w:val="007C1DDC"/>
    <w:rsid w:val="007C1DE1"/>
    <w:rsid w:val="007C1F22"/>
    <w:rsid w:val="007C1F9E"/>
    <w:rsid w:val="007C1FB8"/>
    <w:rsid w:val="007C1FB9"/>
    <w:rsid w:val="007C1FC9"/>
    <w:rsid w:val="007C20B4"/>
    <w:rsid w:val="007C2113"/>
    <w:rsid w:val="007C2182"/>
    <w:rsid w:val="007C2191"/>
    <w:rsid w:val="007C21BC"/>
    <w:rsid w:val="007C225C"/>
    <w:rsid w:val="007C22A1"/>
    <w:rsid w:val="007C233F"/>
    <w:rsid w:val="007C238B"/>
    <w:rsid w:val="007C239D"/>
    <w:rsid w:val="007C23D5"/>
    <w:rsid w:val="007C23F3"/>
    <w:rsid w:val="007C2443"/>
    <w:rsid w:val="007C24E0"/>
    <w:rsid w:val="007C250E"/>
    <w:rsid w:val="007C2536"/>
    <w:rsid w:val="007C259C"/>
    <w:rsid w:val="007C25B5"/>
    <w:rsid w:val="007C25EF"/>
    <w:rsid w:val="007C261B"/>
    <w:rsid w:val="007C267C"/>
    <w:rsid w:val="007C26F1"/>
    <w:rsid w:val="007C275C"/>
    <w:rsid w:val="007C27E0"/>
    <w:rsid w:val="007C2829"/>
    <w:rsid w:val="007C28B2"/>
    <w:rsid w:val="007C28E8"/>
    <w:rsid w:val="007C2940"/>
    <w:rsid w:val="007C2986"/>
    <w:rsid w:val="007C29A4"/>
    <w:rsid w:val="007C29C7"/>
    <w:rsid w:val="007C29FC"/>
    <w:rsid w:val="007C2A8D"/>
    <w:rsid w:val="007C2B29"/>
    <w:rsid w:val="007C2B2A"/>
    <w:rsid w:val="007C2B5F"/>
    <w:rsid w:val="007C2BEC"/>
    <w:rsid w:val="007C2C2F"/>
    <w:rsid w:val="007C2D42"/>
    <w:rsid w:val="007C2D6D"/>
    <w:rsid w:val="007C2D6F"/>
    <w:rsid w:val="007C2D99"/>
    <w:rsid w:val="007C2DA9"/>
    <w:rsid w:val="007C2DC9"/>
    <w:rsid w:val="007C2DCF"/>
    <w:rsid w:val="007C2DF7"/>
    <w:rsid w:val="007C2FAB"/>
    <w:rsid w:val="007C3034"/>
    <w:rsid w:val="007C3086"/>
    <w:rsid w:val="007C30E3"/>
    <w:rsid w:val="007C316C"/>
    <w:rsid w:val="007C31A0"/>
    <w:rsid w:val="007C31CB"/>
    <w:rsid w:val="007C322A"/>
    <w:rsid w:val="007C3248"/>
    <w:rsid w:val="007C32A5"/>
    <w:rsid w:val="007C32C6"/>
    <w:rsid w:val="007C32E3"/>
    <w:rsid w:val="007C3333"/>
    <w:rsid w:val="007C33E0"/>
    <w:rsid w:val="007C33FA"/>
    <w:rsid w:val="007C3457"/>
    <w:rsid w:val="007C34CC"/>
    <w:rsid w:val="007C34D6"/>
    <w:rsid w:val="007C3586"/>
    <w:rsid w:val="007C35CB"/>
    <w:rsid w:val="007C35EC"/>
    <w:rsid w:val="007C3609"/>
    <w:rsid w:val="007C361F"/>
    <w:rsid w:val="007C371C"/>
    <w:rsid w:val="007C37B9"/>
    <w:rsid w:val="007C3832"/>
    <w:rsid w:val="007C389A"/>
    <w:rsid w:val="007C38A2"/>
    <w:rsid w:val="007C390F"/>
    <w:rsid w:val="007C394C"/>
    <w:rsid w:val="007C3973"/>
    <w:rsid w:val="007C397E"/>
    <w:rsid w:val="007C3A5C"/>
    <w:rsid w:val="007C3A7A"/>
    <w:rsid w:val="007C3AC7"/>
    <w:rsid w:val="007C3ADC"/>
    <w:rsid w:val="007C3B49"/>
    <w:rsid w:val="007C3C04"/>
    <w:rsid w:val="007C3C2C"/>
    <w:rsid w:val="007C3C72"/>
    <w:rsid w:val="007C3C91"/>
    <w:rsid w:val="007C3CBF"/>
    <w:rsid w:val="007C3CD0"/>
    <w:rsid w:val="007C3D96"/>
    <w:rsid w:val="007C3E15"/>
    <w:rsid w:val="007C3E78"/>
    <w:rsid w:val="007C3F18"/>
    <w:rsid w:val="007C3FCA"/>
    <w:rsid w:val="007C3FE0"/>
    <w:rsid w:val="007C4019"/>
    <w:rsid w:val="007C40B2"/>
    <w:rsid w:val="007C41AC"/>
    <w:rsid w:val="007C4297"/>
    <w:rsid w:val="007C4332"/>
    <w:rsid w:val="007C4356"/>
    <w:rsid w:val="007C4473"/>
    <w:rsid w:val="007C4480"/>
    <w:rsid w:val="007C45B0"/>
    <w:rsid w:val="007C45B4"/>
    <w:rsid w:val="007C45FC"/>
    <w:rsid w:val="007C4683"/>
    <w:rsid w:val="007C4689"/>
    <w:rsid w:val="007C46CE"/>
    <w:rsid w:val="007C46E7"/>
    <w:rsid w:val="007C4716"/>
    <w:rsid w:val="007C47CE"/>
    <w:rsid w:val="007C482C"/>
    <w:rsid w:val="007C483B"/>
    <w:rsid w:val="007C48B0"/>
    <w:rsid w:val="007C48BE"/>
    <w:rsid w:val="007C48DC"/>
    <w:rsid w:val="007C49B5"/>
    <w:rsid w:val="007C49D9"/>
    <w:rsid w:val="007C49DB"/>
    <w:rsid w:val="007C4A83"/>
    <w:rsid w:val="007C4BC4"/>
    <w:rsid w:val="007C4C2C"/>
    <w:rsid w:val="007C4C4A"/>
    <w:rsid w:val="007C4DD2"/>
    <w:rsid w:val="007C4DD5"/>
    <w:rsid w:val="007C4E4F"/>
    <w:rsid w:val="007C4E85"/>
    <w:rsid w:val="007C4EB3"/>
    <w:rsid w:val="007C4FD8"/>
    <w:rsid w:val="007C4FF4"/>
    <w:rsid w:val="007C502C"/>
    <w:rsid w:val="007C5076"/>
    <w:rsid w:val="007C507B"/>
    <w:rsid w:val="007C50F6"/>
    <w:rsid w:val="007C5121"/>
    <w:rsid w:val="007C5143"/>
    <w:rsid w:val="007C5365"/>
    <w:rsid w:val="007C5430"/>
    <w:rsid w:val="007C5487"/>
    <w:rsid w:val="007C54BE"/>
    <w:rsid w:val="007C54DF"/>
    <w:rsid w:val="007C5509"/>
    <w:rsid w:val="007C5552"/>
    <w:rsid w:val="007C5661"/>
    <w:rsid w:val="007C56D4"/>
    <w:rsid w:val="007C57F7"/>
    <w:rsid w:val="007C57FC"/>
    <w:rsid w:val="007C586D"/>
    <w:rsid w:val="007C5919"/>
    <w:rsid w:val="007C5966"/>
    <w:rsid w:val="007C59CF"/>
    <w:rsid w:val="007C59F3"/>
    <w:rsid w:val="007C5ABE"/>
    <w:rsid w:val="007C5B14"/>
    <w:rsid w:val="007C5B37"/>
    <w:rsid w:val="007C5B63"/>
    <w:rsid w:val="007C5B9E"/>
    <w:rsid w:val="007C5C4C"/>
    <w:rsid w:val="007C5C96"/>
    <w:rsid w:val="007C5D7F"/>
    <w:rsid w:val="007C5DE9"/>
    <w:rsid w:val="007C5E91"/>
    <w:rsid w:val="007C5EB9"/>
    <w:rsid w:val="007C5EE0"/>
    <w:rsid w:val="007C5EE5"/>
    <w:rsid w:val="007C601D"/>
    <w:rsid w:val="007C601F"/>
    <w:rsid w:val="007C6070"/>
    <w:rsid w:val="007C60CF"/>
    <w:rsid w:val="007C616F"/>
    <w:rsid w:val="007C61E5"/>
    <w:rsid w:val="007C625D"/>
    <w:rsid w:val="007C62A5"/>
    <w:rsid w:val="007C62DA"/>
    <w:rsid w:val="007C6378"/>
    <w:rsid w:val="007C647F"/>
    <w:rsid w:val="007C648E"/>
    <w:rsid w:val="007C64E5"/>
    <w:rsid w:val="007C6593"/>
    <w:rsid w:val="007C65B5"/>
    <w:rsid w:val="007C663F"/>
    <w:rsid w:val="007C6657"/>
    <w:rsid w:val="007C665A"/>
    <w:rsid w:val="007C668B"/>
    <w:rsid w:val="007C66B3"/>
    <w:rsid w:val="007C66D2"/>
    <w:rsid w:val="007C6704"/>
    <w:rsid w:val="007C6747"/>
    <w:rsid w:val="007C677B"/>
    <w:rsid w:val="007C6781"/>
    <w:rsid w:val="007C67E6"/>
    <w:rsid w:val="007C6838"/>
    <w:rsid w:val="007C68B1"/>
    <w:rsid w:val="007C68B5"/>
    <w:rsid w:val="007C697A"/>
    <w:rsid w:val="007C69AE"/>
    <w:rsid w:val="007C69D4"/>
    <w:rsid w:val="007C6A91"/>
    <w:rsid w:val="007C6AF4"/>
    <w:rsid w:val="007C6B18"/>
    <w:rsid w:val="007C6B22"/>
    <w:rsid w:val="007C6C70"/>
    <w:rsid w:val="007C6D2B"/>
    <w:rsid w:val="007C6D2D"/>
    <w:rsid w:val="007C6D58"/>
    <w:rsid w:val="007C6D89"/>
    <w:rsid w:val="007C6DA5"/>
    <w:rsid w:val="007C6DA9"/>
    <w:rsid w:val="007C6DC9"/>
    <w:rsid w:val="007C6DE6"/>
    <w:rsid w:val="007C6E02"/>
    <w:rsid w:val="007C6ED9"/>
    <w:rsid w:val="007C6EF8"/>
    <w:rsid w:val="007C6F18"/>
    <w:rsid w:val="007C7034"/>
    <w:rsid w:val="007C7077"/>
    <w:rsid w:val="007C70CE"/>
    <w:rsid w:val="007C7129"/>
    <w:rsid w:val="007C712B"/>
    <w:rsid w:val="007C714B"/>
    <w:rsid w:val="007C7166"/>
    <w:rsid w:val="007C71FA"/>
    <w:rsid w:val="007C7207"/>
    <w:rsid w:val="007C729F"/>
    <w:rsid w:val="007C7322"/>
    <w:rsid w:val="007C73B7"/>
    <w:rsid w:val="007C73C9"/>
    <w:rsid w:val="007C7437"/>
    <w:rsid w:val="007C7456"/>
    <w:rsid w:val="007C74A8"/>
    <w:rsid w:val="007C7517"/>
    <w:rsid w:val="007C758E"/>
    <w:rsid w:val="007C75FC"/>
    <w:rsid w:val="007C760C"/>
    <w:rsid w:val="007C7610"/>
    <w:rsid w:val="007C7659"/>
    <w:rsid w:val="007C76D8"/>
    <w:rsid w:val="007C7782"/>
    <w:rsid w:val="007C78A8"/>
    <w:rsid w:val="007C78C3"/>
    <w:rsid w:val="007C793B"/>
    <w:rsid w:val="007C7942"/>
    <w:rsid w:val="007C797E"/>
    <w:rsid w:val="007C79D7"/>
    <w:rsid w:val="007C7A45"/>
    <w:rsid w:val="007C7A7D"/>
    <w:rsid w:val="007C7A83"/>
    <w:rsid w:val="007C7AC7"/>
    <w:rsid w:val="007C7AD9"/>
    <w:rsid w:val="007C7AF0"/>
    <w:rsid w:val="007C7B03"/>
    <w:rsid w:val="007C7B1B"/>
    <w:rsid w:val="007C7B30"/>
    <w:rsid w:val="007C7B5D"/>
    <w:rsid w:val="007C7B78"/>
    <w:rsid w:val="007C7BE2"/>
    <w:rsid w:val="007C7C2F"/>
    <w:rsid w:val="007C7C57"/>
    <w:rsid w:val="007C7C85"/>
    <w:rsid w:val="007C7CAE"/>
    <w:rsid w:val="007C7DE6"/>
    <w:rsid w:val="007C7DF1"/>
    <w:rsid w:val="007C7E62"/>
    <w:rsid w:val="007C7EAC"/>
    <w:rsid w:val="007C7ED2"/>
    <w:rsid w:val="007C7FEA"/>
    <w:rsid w:val="007D0032"/>
    <w:rsid w:val="007D00B2"/>
    <w:rsid w:val="007D00DA"/>
    <w:rsid w:val="007D00F7"/>
    <w:rsid w:val="007D01F2"/>
    <w:rsid w:val="007D0288"/>
    <w:rsid w:val="007D0304"/>
    <w:rsid w:val="007D03C1"/>
    <w:rsid w:val="007D0432"/>
    <w:rsid w:val="007D049E"/>
    <w:rsid w:val="007D0509"/>
    <w:rsid w:val="007D0540"/>
    <w:rsid w:val="007D056D"/>
    <w:rsid w:val="007D0579"/>
    <w:rsid w:val="007D069B"/>
    <w:rsid w:val="007D06AA"/>
    <w:rsid w:val="007D071F"/>
    <w:rsid w:val="007D076A"/>
    <w:rsid w:val="007D07BE"/>
    <w:rsid w:val="007D0821"/>
    <w:rsid w:val="007D0843"/>
    <w:rsid w:val="007D091C"/>
    <w:rsid w:val="007D0962"/>
    <w:rsid w:val="007D097E"/>
    <w:rsid w:val="007D098F"/>
    <w:rsid w:val="007D099D"/>
    <w:rsid w:val="007D09B2"/>
    <w:rsid w:val="007D0A48"/>
    <w:rsid w:val="007D0B4A"/>
    <w:rsid w:val="007D0C11"/>
    <w:rsid w:val="007D0CF1"/>
    <w:rsid w:val="007D0D4D"/>
    <w:rsid w:val="007D0D58"/>
    <w:rsid w:val="007D0D97"/>
    <w:rsid w:val="007D0DF1"/>
    <w:rsid w:val="007D0E09"/>
    <w:rsid w:val="007D0E6F"/>
    <w:rsid w:val="007D0EAF"/>
    <w:rsid w:val="007D0F85"/>
    <w:rsid w:val="007D0FD2"/>
    <w:rsid w:val="007D107B"/>
    <w:rsid w:val="007D10A0"/>
    <w:rsid w:val="007D10B5"/>
    <w:rsid w:val="007D10B6"/>
    <w:rsid w:val="007D11D6"/>
    <w:rsid w:val="007D11F2"/>
    <w:rsid w:val="007D11F6"/>
    <w:rsid w:val="007D1202"/>
    <w:rsid w:val="007D1243"/>
    <w:rsid w:val="007D133A"/>
    <w:rsid w:val="007D13DC"/>
    <w:rsid w:val="007D13F6"/>
    <w:rsid w:val="007D1404"/>
    <w:rsid w:val="007D1488"/>
    <w:rsid w:val="007D14A6"/>
    <w:rsid w:val="007D14CF"/>
    <w:rsid w:val="007D1506"/>
    <w:rsid w:val="007D154F"/>
    <w:rsid w:val="007D15CD"/>
    <w:rsid w:val="007D15E1"/>
    <w:rsid w:val="007D16CA"/>
    <w:rsid w:val="007D1824"/>
    <w:rsid w:val="007D18BC"/>
    <w:rsid w:val="007D18CE"/>
    <w:rsid w:val="007D18D1"/>
    <w:rsid w:val="007D18DC"/>
    <w:rsid w:val="007D18DD"/>
    <w:rsid w:val="007D1911"/>
    <w:rsid w:val="007D19B1"/>
    <w:rsid w:val="007D19B3"/>
    <w:rsid w:val="007D19C3"/>
    <w:rsid w:val="007D19D1"/>
    <w:rsid w:val="007D19DB"/>
    <w:rsid w:val="007D19DC"/>
    <w:rsid w:val="007D1A09"/>
    <w:rsid w:val="007D1A36"/>
    <w:rsid w:val="007D1A46"/>
    <w:rsid w:val="007D1A85"/>
    <w:rsid w:val="007D1A95"/>
    <w:rsid w:val="007D1AAC"/>
    <w:rsid w:val="007D1B76"/>
    <w:rsid w:val="007D1C4C"/>
    <w:rsid w:val="007D1C76"/>
    <w:rsid w:val="007D1CE7"/>
    <w:rsid w:val="007D1DA8"/>
    <w:rsid w:val="007D1DAF"/>
    <w:rsid w:val="007D1DFA"/>
    <w:rsid w:val="007D1EB6"/>
    <w:rsid w:val="007D1EC7"/>
    <w:rsid w:val="007D1F06"/>
    <w:rsid w:val="007D1F6B"/>
    <w:rsid w:val="007D1F99"/>
    <w:rsid w:val="007D1FB3"/>
    <w:rsid w:val="007D204E"/>
    <w:rsid w:val="007D205D"/>
    <w:rsid w:val="007D20C8"/>
    <w:rsid w:val="007D2195"/>
    <w:rsid w:val="007D21C1"/>
    <w:rsid w:val="007D21D1"/>
    <w:rsid w:val="007D222B"/>
    <w:rsid w:val="007D2268"/>
    <w:rsid w:val="007D22DF"/>
    <w:rsid w:val="007D22E5"/>
    <w:rsid w:val="007D236F"/>
    <w:rsid w:val="007D2384"/>
    <w:rsid w:val="007D23EF"/>
    <w:rsid w:val="007D240B"/>
    <w:rsid w:val="007D2490"/>
    <w:rsid w:val="007D24FD"/>
    <w:rsid w:val="007D2550"/>
    <w:rsid w:val="007D25BF"/>
    <w:rsid w:val="007D2604"/>
    <w:rsid w:val="007D2617"/>
    <w:rsid w:val="007D2634"/>
    <w:rsid w:val="007D2657"/>
    <w:rsid w:val="007D266F"/>
    <w:rsid w:val="007D26BE"/>
    <w:rsid w:val="007D26E4"/>
    <w:rsid w:val="007D26F6"/>
    <w:rsid w:val="007D272C"/>
    <w:rsid w:val="007D2736"/>
    <w:rsid w:val="007D2837"/>
    <w:rsid w:val="007D283B"/>
    <w:rsid w:val="007D2889"/>
    <w:rsid w:val="007D28BE"/>
    <w:rsid w:val="007D291E"/>
    <w:rsid w:val="007D2A71"/>
    <w:rsid w:val="007D2B0D"/>
    <w:rsid w:val="007D2B17"/>
    <w:rsid w:val="007D2B61"/>
    <w:rsid w:val="007D2BE5"/>
    <w:rsid w:val="007D2C18"/>
    <w:rsid w:val="007D2C97"/>
    <w:rsid w:val="007D2CBE"/>
    <w:rsid w:val="007D2CCF"/>
    <w:rsid w:val="007D2CF8"/>
    <w:rsid w:val="007D2D28"/>
    <w:rsid w:val="007D2DC6"/>
    <w:rsid w:val="007D2E15"/>
    <w:rsid w:val="007D2E17"/>
    <w:rsid w:val="007D2E4E"/>
    <w:rsid w:val="007D2E58"/>
    <w:rsid w:val="007D2EE7"/>
    <w:rsid w:val="007D2EF6"/>
    <w:rsid w:val="007D2F67"/>
    <w:rsid w:val="007D2FB2"/>
    <w:rsid w:val="007D3000"/>
    <w:rsid w:val="007D3051"/>
    <w:rsid w:val="007D30CB"/>
    <w:rsid w:val="007D3144"/>
    <w:rsid w:val="007D31D5"/>
    <w:rsid w:val="007D3213"/>
    <w:rsid w:val="007D3222"/>
    <w:rsid w:val="007D33A6"/>
    <w:rsid w:val="007D349C"/>
    <w:rsid w:val="007D34B1"/>
    <w:rsid w:val="007D34CD"/>
    <w:rsid w:val="007D34E5"/>
    <w:rsid w:val="007D35EF"/>
    <w:rsid w:val="007D36D4"/>
    <w:rsid w:val="007D3756"/>
    <w:rsid w:val="007D3757"/>
    <w:rsid w:val="007D37BC"/>
    <w:rsid w:val="007D3812"/>
    <w:rsid w:val="007D3937"/>
    <w:rsid w:val="007D3A15"/>
    <w:rsid w:val="007D3A3A"/>
    <w:rsid w:val="007D3AB6"/>
    <w:rsid w:val="007D3AB8"/>
    <w:rsid w:val="007D3B6A"/>
    <w:rsid w:val="007D3C2B"/>
    <w:rsid w:val="007D3D64"/>
    <w:rsid w:val="007D3D85"/>
    <w:rsid w:val="007D3E54"/>
    <w:rsid w:val="007D3F1A"/>
    <w:rsid w:val="007D3F2E"/>
    <w:rsid w:val="007D3F86"/>
    <w:rsid w:val="007D3F9B"/>
    <w:rsid w:val="007D3FEA"/>
    <w:rsid w:val="007D4024"/>
    <w:rsid w:val="007D4069"/>
    <w:rsid w:val="007D4103"/>
    <w:rsid w:val="007D4122"/>
    <w:rsid w:val="007D4132"/>
    <w:rsid w:val="007D432A"/>
    <w:rsid w:val="007D4354"/>
    <w:rsid w:val="007D439D"/>
    <w:rsid w:val="007D4411"/>
    <w:rsid w:val="007D4416"/>
    <w:rsid w:val="007D44AF"/>
    <w:rsid w:val="007D44E4"/>
    <w:rsid w:val="007D4553"/>
    <w:rsid w:val="007D45B8"/>
    <w:rsid w:val="007D4740"/>
    <w:rsid w:val="007D4862"/>
    <w:rsid w:val="007D4883"/>
    <w:rsid w:val="007D48C4"/>
    <w:rsid w:val="007D48E2"/>
    <w:rsid w:val="007D48E8"/>
    <w:rsid w:val="007D493B"/>
    <w:rsid w:val="007D498C"/>
    <w:rsid w:val="007D4990"/>
    <w:rsid w:val="007D4A1E"/>
    <w:rsid w:val="007D4A67"/>
    <w:rsid w:val="007D4A96"/>
    <w:rsid w:val="007D4AEF"/>
    <w:rsid w:val="007D4BB6"/>
    <w:rsid w:val="007D4BDB"/>
    <w:rsid w:val="007D4C01"/>
    <w:rsid w:val="007D4C20"/>
    <w:rsid w:val="007D4C4B"/>
    <w:rsid w:val="007D4C6F"/>
    <w:rsid w:val="007D4CBD"/>
    <w:rsid w:val="007D4D52"/>
    <w:rsid w:val="007D4D67"/>
    <w:rsid w:val="007D4D68"/>
    <w:rsid w:val="007D4EEB"/>
    <w:rsid w:val="007D504A"/>
    <w:rsid w:val="007D50B3"/>
    <w:rsid w:val="007D51DE"/>
    <w:rsid w:val="007D522A"/>
    <w:rsid w:val="007D52C0"/>
    <w:rsid w:val="007D532F"/>
    <w:rsid w:val="007D5359"/>
    <w:rsid w:val="007D53B4"/>
    <w:rsid w:val="007D53DA"/>
    <w:rsid w:val="007D5426"/>
    <w:rsid w:val="007D5469"/>
    <w:rsid w:val="007D54B6"/>
    <w:rsid w:val="007D5550"/>
    <w:rsid w:val="007D55A6"/>
    <w:rsid w:val="007D5645"/>
    <w:rsid w:val="007D571F"/>
    <w:rsid w:val="007D5757"/>
    <w:rsid w:val="007D5888"/>
    <w:rsid w:val="007D58BA"/>
    <w:rsid w:val="007D58F3"/>
    <w:rsid w:val="007D598F"/>
    <w:rsid w:val="007D5A3F"/>
    <w:rsid w:val="007D5B15"/>
    <w:rsid w:val="007D5B53"/>
    <w:rsid w:val="007D5B63"/>
    <w:rsid w:val="007D5B9B"/>
    <w:rsid w:val="007D5C4F"/>
    <w:rsid w:val="007D5C54"/>
    <w:rsid w:val="007D5C8E"/>
    <w:rsid w:val="007D5CC7"/>
    <w:rsid w:val="007D5DDE"/>
    <w:rsid w:val="007D5E75"/>
    <w:rsid w:val="007D5EC6"/>
    <w:rsid w:val="007D61D2"/>
    <w:rsid w:val="007D61FB"/>
    <w:rsid w:val="007D62CE"/>
    <w:rsid w:val="007D632C"/>
    <w:rsid w:val="007D633D"/>
    <w:rsid w:val="007D636A"/>
    <w:rsid w:val="007D6398"/>
    <w:rsid w:val="007D6611"/>
    <w:rsid w:val="007D66C2"/>
    <w:rsid w:val="007D66E2"/>
    <w:rsid w:val="007D67C2"/>
    <w:rsid w:val="007D67E6"/>
    <w:rsid w:val="007D67EC"/>
    <w:rsid w:val="007D6806"/>
    <w:rsid w:val="007D6812"/>
    <w:rsid w:val="007D6819"/>
    <w:rsid w:val="007D68C8"/>
    <w:rsid w:val="007D6975"/>
    <w:rsid w:val="007D69EF"/>
    <w:rsid w:val="007D6A74"/>
    <w:rsid w:val="007D6AB1"/>
    <w:rsid w:val="007D6ADF"/>
    <w:rsid w:val="007D6BE3"/>
    <w:rsid w:val="007D6BFD"/>
    <w:rsid w:val="007D6C02"/>
    <w:rsid w:val="007D6C58"/>
    <w:rsid w:val="007D6C6F"/>
    <w:rsid w:val="007D6CBC"/>
    <w:rsid w:val="007D6CD8"/>
    <w:rsid w:val="007D6D11"/>
    <w:rsid w:val="007D6D92"/>
    <w:rsid w:val="007D6DB0"/>
    <w:rsid w:val="007D6E24"/>
    <w:rsid w:val="007D6E6F"/>
    <w:rsid w:val="007D6E8D"/>
    <w:rsid w:val="007D6EA5"/>
    <w:rsid w:val="007D6EB8"/>
    <w:rsid w:val="007D6EDD"/>
    <w:rsid w:val="007D6F77"/>
    <w:rsid w:val="007D6FAF"/>
    <w:rsid w:val="007D6FB3"/>
    <w:rsid w:val="007D6FBD"/>
    <w:rsid w:val="007D6FE7"/>
    <w:rsid w:val="007D701E"/>
    <w:rsid w:val="007D706D"/>
    <w:rsid w:val="007D708C"/>
    <w:rsid w:val="007D7161"/>
    <w:rsid w:val="007D719E"/>
    <w:rsid w:val="007D71D9"/>
    <w:rsid w:val="007D71EE"/>
    <w:rsid w:val="007D7253"/>
    <w:rsid w:val="007D728E"/>
    <w:rsid w:val="007D72BB"/>
    <w:rsid w:val="007D7383"/>
    <w:rsid w:val="007D739E"/>
    <w:rsid w:val="007D73B3"/>
    <w:rsid w:val="007D73D3"/>
    <w:rsid w:val="007D7406"/>
    <w:rsid w:val="007D7485"/>
    <w:rsid w:val="007D7512"/>
    <w:rsid w:val="007D75A7"/>
    <w:rsid w:val="007D75C3"/>
    <w:rsid w:val="007D7680"/>
    <w:rsid w:val="007D76BC"/>
    <w:rsid w:val="007D76BE"/>
    <w:rsid w:val="007D773C"/>
    <w:rsid w:val="007D774C"/>
    <w:rsid w:val="007D775F"/>
    <w:rsid w:val="007D7792"/>
    <w:rsid w:val="007D77A6"/>
    <w:rsid w:val="007D77B1"/>
    <w:rsid w:val="007D77D9"/>
    <w:rsid w:val="007D7982"/>
    <w:rsid w:val="007D799D"/>
    <w:rsid w:val="007D79A0"/>
    <w:rsid w:val="007D79CD"/>
    <w:rsid w:val="007D7A7B"/>
    <w:rsid w:val="007D7A9E"/>
    <w:rsid w:val="007D7B1F"/>
    <w:rsid w:val="007D7B3A"/>
    <w:rsid w:val="007D7C08"/>
    <w:rsid w:val="007D7CAE"/>
    <w:rsid w:val="007D7CEA"/>
    <w:rsid w:val="007D7CF2"/>
    <w:rsid w:val="007D7D64"/>
    <w:rsid w:val="007D7D83"/>
    <w:rsid w:val="007D7DA3"/>
    <w:rsid w:val="007D7E39"/>
    <w:rsid w:val="007D7E4D"/>
    <w:rsid w:val="007D7E54"/>
    <w:rsid w:val="007D7E8A"/>
    <w:rsid w:val="007D7E9F"/>
    <w:rsid w:val="007D7EFE"/>
    <w:rsid w:val="007D7F37"/>
    <w:rsid w:val="007D7F83"/>
    <w:rsid w:val="007D7FE5"/>
    <w:rsid w:val="007E0023"/>
    <w:rsid w:val="007E0047"/>
    <w:rsid w:val="007E00CC"/>
    <w:rsid w:val="007E00F0"/>
    <w:rsid w:val="007E0248"/>
    <w:rsid w:val="007E0269"/>
    <w:rsid w:val="007E02E6"/>
    <w:rsid w:val="007E02F1"/>
    <w:rsid w:val="007E032F"/>
    <w:rsid w:val="007E03A2"/>
    <w:rsid w:val="007E03E9"/>
    <w:rsid w:val="007E04D0"/>
    <w:rsid w:val="007E04D6"/>
    <w:rsid w:val="007E04F5"/>
    <w:rsid w:val="007E04F7"/>
    <w:rsid w:val="007E0537"/>
    <w:rsid w:val="007E05A9"/>
    <w:rsid w:val="007E05FD"/>
    <w:rsid w:val="007E0656"/>
    <w:rsid w:val="007E06F2"/>
    <w:rsid w:val="007E06FF"/>
    <w:rsid w:val="007E0742"/>
    <w:rsid w:val="007E07B2"/>
    <w:rsid w:val="007E07B4"/>
    <w:rsid w:val="007E0825"/>
    <w:rsid w:val="007E08E5"/>
    <w:rsid w:val="007E0960"/>
    <w:rsid w:val="007E099C"/>
    <w:rsid w:val="007E09B6"/>
    <w:rsid w:val="007E09CC"/>
    <w:rsid w:val="007E0A19"/>
    <w:rsid w:val="007E0A4A"/>
    <w:rsid w:val="007E0AEA"/>
    <w:rsid w:val="007E0BE5"/>
    <w:rsid w:val="007E0BFB"/>
    <w:rsid w:val="007E0CAF"/>
    <w:rsid w:val="007E0CEB"/>
    <w:rsid w:val="007E0D0C"/>
    <w:rsid w:val="007E0D57"/>
    <w:rsid w:val="007E0D64"/>
    <w:rsid w:val="007E0D78"/>
    <w:rsid w:val="007E0D98"/>
    <w:rsid w:val="007E0DE4"/>
    <w:rsid w:val="007E0E1F"/>
    <w:rsid w:val="007E0E23"/>
    <w:rsid w:val="007E0E34"/>
    <w:rsid w:val="007E0E3E"/>
    <w:rsid w:val="007E0E44"/>
    <w:rsid w:val="007E0E7C"/>
    <w:rsid w:val="007E0F11"/>
    <w:rsid w:val="007E0F6B"/>
    <w:rsid w:val="007E0F87"/>
    <w:rsid w:val="007E0FF1"/>
    <w:rsid w:val="007E107B"/>
    <w:rsid w:val="007E11BC"/>
    <w:rsid w:val="007E11CE"/>
    <w:rsid w:val="007E12A5"/>
    <w:rsid w:val="007E12EB"/>
    <w:rsid w:val="007E1361"/>
    <w:rsid w:val="007E13D8"/>
    <w:rsid w:val="007E13F2"/>
    <w:rsid w:val="007E140D"/>
    <w:rsid w:val="007E1579"/>
    <w:rsid w:val="007E157F"/>
    <w:rsid w:val="007E15E5"/>
    <w:rsid w:val="007E1616"/>
    <w:rsid w:val="007E16D1"/>
    <w:rsid w:val="007E170B"/>
    <w:rsid w:val="007E1756"/>
    <w:rsid w:val="007E1823"/>
    <w:rsid w:val="007E182D"/>
    <w:rsid w:val="007E1848"/>
    <w:rsid w:val="007E193C"/>
    <w:rsid w:val="007E1974"/>
    <w:rsid w:val="007E1982"/>
    <w:rsid w:val="007E19DD"/>
    <w:rsid w:val="007E1A0A"/>
    <w:rsid w:val="007E1AED"/>
    <w:rsid w:val="007E1B38"/>
    <w:rsid w:val="007E1B88"/>
    <w:rsid w:val="007E1BB6"/>
    <w:rsid w:val="007E1C79"/>
    <w:rsid w:val="007E1D5E"/>
    <w:rsid w:val="007E1D89"/>
    <w:rsid w:val="007E1D8D"/>
    <w:rsid w:val="007E1E1D"/>
    <w:rsid w:val="007E1E58"/>
    <w:rsid w:val="007E1F34"/>
    <w:rsid w:val="007E1F7C"/>
    <w:rsid w:val="007E1FDA"/>
    <w:rsid w:val="007E1FFA"/>
    <w:rsid w:val="007E200F"/>
    <w:rsid w:val="007E209F"/>
    <w:rsid w:val="007E20CA"/>
    <w:rsid w:val="007E2106"/>
    <w:rsid w:val="007E2132"/>
    <w:rsid w:val="007E21B7"/>
    <w:rsid w:val="007E21CE"/>
    <w:rsid w:val="007E2228"/>
    <w:rsid w:val="007E2281"/>
    <w:rsid w:val="007E239E"/>
    <w:rsid w:val="007E23CF"/>
    <w:rsid w:val="007E247A"/>
    <w:rsid w:val="007E24D4"/>
    <w:rsid w:val="007E2540"/>
    <w:rsid w:val="007E25C0"/>
    <w:rsid w:val="007E2615"/>
    <w:rsid w:val="007E2680"/>
    <w:rsid w:val="007E26EF"/>
    <w:rsid w:val="007E2711"/>
    <w:rsid w:val="007E275C"/>
    <w:rsid w:val="007E277E"/>
    <w:rsid w:val="007E27AA"/>
    <w:rsid w:val="007E27AE"/>
    <w:rsid w:val="007E27B7"/>
    <w:rsid w:val="007E27F7"/>
    <w:rsid w:val="007E2804"/>
    <w:rsid w:val="007E2905"/>
    <w:rsid w:val="007E290F"/>
    <w:rsid w:val="007E297E"/>
    <w:rsid w:val="007E2995"/>
    <w:rsid w:val="007E2A84"/>
    <w:rsid w:val="007E2AAF"/>
    <w:rsid w:val="007E2B09"/>
    <w:rsid w:val="007E2B8E"/>
    <w:rsid w:val="007E2BE4"/>
    <w:rsid w:val="007E2C8B"/>
    <w:rsid w:val="007E2C90"/>
    <w:rsid w:val="007E2D1D"/>
    <w:rsid w:val="007E2D33"/>
    <w:rsid w:val="007E2E98"/>
    <w:rsid w:val="007E2F18"/>
    <w:rsid w:val="007E2F45"/>
    <w:rsid w:val="007E2F47"/>
    <w:rsid w:val="007E2FE8"/>
    <w:rsid w:val="007E3016"/>
    <w:rsid w:val="007E31C1"/>
    <w:rsid w:val="007E3276"/>
    <w:rsid w:val="007E32DC"/>
    <w:rsid w:val="007E3304"/>
    <w:rsid w:val="007E34CB"/>
    <w:rsid w:val="007E34FA"/>
    <w:rsid w:val="007E35C3"/>
    <w:rsid w:val="007E35C8"/>
    <w:rsid w:val="007E3612"/>
    <w:rsid w:val="007E36B3"/>
    <w:rsid w:val="007E372B"/>
    <w:rsid w:val="007E378E"/>
    <w:rsid w:val="007E37A4"/>
    <w:rsid w:val="007E3973"/>
    <w:rsid w:val="007E3979"/>
    <w:rsid w:val="007E397A"/>
    <w:rsid w:val="007E39B8"/>
    <w:rsid w:val="007E39DE"/>
    <w:rsid w:val="007E3A14"/>
    <w:rsid w:val="007E3A64"/>
    <w:rsid w:val="007E3AEA"/>
    <w:rsid w:val="007E3B6F"/>
    <w:rsid w:val="007E3B7F"/>
    <w:rsid w:val="007E3BDF"/>
    <w:rsid w:val="007E3C2B"/>
    <w:rsid w:val="007E3C2F"/>
    <w:rsid w:val="007E3CEE"/>
    <w:rsid w:val="007E3CF4"/>
    <w:rsid w:val="007E3D8F"/>
    <w:rsid w:val="007E3DB3"/>
    <w:rsid w:val="007E3E04"/>
    <w:rsid w:val="007E3E0E"/>
    <w:rsid w:val="007E3E16"/>
    <w:rsid w:val="007E3E9E"/>
    <w:rsid w:val="007E3F90"/>
    <w:rsid w:val="007E3FBA"/>
    <w:rsid w:val="007E4002"/>
    <w:rsid w:val="007E40AD"/>
    <w:rsid w:val="007E413F"/>
    <w:rsid w:val="007E4173"/>
    <w:rsid w:val="007E41BA"/>
    <w:rsid w:val="007E41D6"/>
    <w:rsid w:val="007E420B"/>
    <w:rsid w:val="007E421C"/>
    <w:rsid w:val="007E4242"/>
    <w:rsid w:val="007E42F2"/>
    <w:rsid w:val="007E4340"/>
    <w:rsid w:val="007E43BE"/>
    <w:rsid w:val="007E43E9"/>
    <w:rsid w:val="007E4400"/>
    <w:rsid w:val="007E4451"/>
    <w:rsid w:val="007E4473"/>
    <w:rsid w:val="007E4508"/>
    <w:rsid w:val="007E4591"/>
    <w:rsid w:val="007E4605"/>
    <w:rsid w:val="007E467E"/>
    <w:rsid w:val="007E46E9"/>
    <w:rsid w:val="007E474F"/>
    <w:rsid w:val="007E4779"/>
    <w:rsid w:val="007E4789"/>
    <w:rsid w:val="007E4793"/>
    <w:rsid w:val="007E47B3"/>
    <w:rsid w:val="007E47E1"/>
    <w:rsid w:val="007E47E9"/>
    <w:rsid w:val="007E485C"/>
    <w:rsid w:val="007E490E"/>
    <w:rsid w:val="007E4929"/>
    <w:rsid w:val="007E4944"/>
    <w:rsid w:val="007E4949"/>
    <w:rsid w:val="007E4965"/>
    <w:rsid w:val="007E49B9"/>
    <w:rsid w:val="007E49D1"/>
    <w:rsid w:val="007E49EB"/>
    <w:rsid w:val="007E4A61"/>
    <w:rsid w:val="007E4A8C"/>
    <w:rsid w:val="007E4CA5"/>
    <w:rsid w:val="007E4CBC"/>
    <w:rsid w:val="007E4D2C"/>
    <w:rsid w:val="007E4D52"/>
    <w:rsid w:val="007E4DA6"/>
    <w:rsid w:val="007E4F2D"/>
    <w:rsid w:val="007E4F79"/>
    <w:rsid w:val="007E50EC"/>
    <w:rsid w:val="007E5133"/>
    <w:rsid w:val="007E5143"/>
    <w:rsid w:val="007E515A"/>
    <w:rsid w:val="007E51CA"/>
    <w:rsid w:val="007E52C4"/>
    <w:rsid w:val="007E52F4"/>
    <w:rsid w:val="007E5321"/>
    <w:rsid w:val="007E53AD"/>
    <w:rsid w:val="007E54D5"/>
    <w:rsid w:val="007E5517"/>
    <w:rsid w:val="007E5599"/>
    <w:rsid w:val="007E5606"/>
    <w:rsid w:val="007E56C7"/>
    <w:rsid w:val="007E56DE"/>
    <w:rsid w:val="007E572D"/>
    <w:rsid w:val="007E5738"/>
    <w:rsid w:val="007E5779"/>
    <w:rsid w:val="007E5787"/>
    <w:rsid w:val="007E57D4"/>
    <w:rsid w:val="007E57E0"/>
    <w:rsid w:val="007E57F5"/>
    <w:rsid w:val="007E57F9"/>
    <w:rsid w:val="007E586B"/>
    <w:rsid w:val="007E58D3"/>
    <w:rsid w:val="007E58FB"/>
    <w:rsid w:val="007E597D"/>
    <w:rsid w:val="007E5A3C"/>
    <w:rsid w:val="007E5A67"/>
    <w:rsid w:val="007E5B0D"/>
    <w:rsid w:val="007E5BD2"/>
    <w:rsid w:val="007E5C0D"/>
    <w:rsid w:val="007E5D3E"/>
    <w:rsid w:val="007E5D49"/>
    <w:rsid w:val="007E5DEA"/>
    <w:rsid w:val="007E5E44"/>
    <w:rsid w:val="007E5E59"/>
    <w:rsid w:val="007E5E7F"/>
    <w:rsid w:val="007E5ECC"/>
    <w:rsid w:val="007E5EE0"/>
    <w:rsid w:val="007E5F0B"/>
    <w:rsid w:val="007E5F92"/>
    <w:rsid w:val="007E5FE0"/>
    <w:rsid w:val="007E6016"/>
    <w:rsid w:val="007E6142"/>
    <w:rsid w:val="007E61C9"/>
    <w:rsid w:val="007E620C"/>
    <w:rsid w:val="007E624B"/>
    <w:rsid w:val="007E626F"/>
    <w:rsid w:val="007E62C0"/>
    <w:rsid w:val="007E62E9"/>
    <w:rsid w:val="007E62FC"/>
    <w:rsid w:val="007E636A"/>
    <w:rsid w:val="007E63A5"/>
    <w:rsid w:val="007E6485"/>
    <w:rsid w:val="007E6486"/>
    <w:rsid w:val="007E64C2"/>
    <w:rsid w:val="007E64F3"/>
    <w:rsid w:val="007E6541"/>
    <w:rsid w:val="007E6658"/>
    <w:rsid w:val="007E6660"/>
    <w:rsid w:val="007E673C"/>
    <w:rsid w:val="007E6808"/>
    <w:rsid w:val="007E684D"/>
    <w:rsid w:val="007E6897"/>
    <w:rsid w:val="007E68FD"/>
    <w:rsid w:val="007E69CC"/>
    <w:rsid w:val="007E6A31"/>
    <w:rsid w:val="007E6A43"/>
    <w:rsid w:val="007E6A93"/>
    <w:rsid w:val="007E6B19"/>
    <w:rsid w:val="007E6B59"/>
    <w:rsid w:val="007E6BE6"/>
    <w:rsid w:val="007E6C8F"/>
    <w:rsid w:val="007E6D05"/>
    <w:rsid w:val="007E6D1E"/>
    <w:rsid w:val="007E6D2B"/>
    <w:rsid w:val="007E6D49"/>
    <w:rsid w:val="007E6D63"/>
    <w:rsid w:val="007E6D9A"/>
    <w:rsid w:val="007E6D9B"/>
    <w:rsid w:val="007E6DD3"/>
    <w:rsid w:val="007E6E04"/>
    <w:rsid w:val="007E6E18"/>
    <w:rsid w:val="007E6E79"/>
    <w:rsid w:val="007E6F4A"/>
    <w:rsid w:val="007E6F63"/>
    <w:rsid w:val="007E6F98"/>
    <w:rsid w:val="007E6FD6"/>
    <w:rsid w:val="007E7082"/>
    <w:rsid w:val="007E7094"/>
    <w:rsid w:val="007E7115"/>
    <w:rsid w:val="007E7125"/>
    <w:rsid w:val="007E7193"/>
    <w:rsid w:val="007E71C8"/>
    <w:rsid w:val="007E71DA"/>
    <w:rsid w:val="007E7205"/>
    <w:rsid w:val="007E725A"/>
    <w:rsid w:val="007E727D"/>
    <w:rsid w:val="007E72EA"/>
    <w:rsid w:val="007E73F3"/>
    <w:rsid w:val="007E73FC"/>
    <w:rsid w:val="007E74B6"/>
    <w:rsid w:val="007E7534"/>
    <w:rsid w:val="007E7641"/>
    <w:rsid w:val="007E7694"/>
    <w:rsid w:val="007E783C"/>
    <w:rsid w:val="007E785A"/>
    <w:rsid w:val="007E7884"/>
    <w:rsid w:val="007E78E9"/>
    <w:rsid w:val="007E791A"/>
    <w:rsid w:val="007E793A"/>
    <w:rsid w:val="007E7983"/>
    <w:rsid w:val="007E79AB"/>
    <w:rsid w:val="007E79BB"/>
    <w:rsid w:val="007E7ABE"/>
    <w:rsid w:val="007E7AE7"/>
    <w:rsid w:val="007E7B78"/>
    <w:rsid w:val="007E7B89"/>
    <w:rsid w:val="007E7C46"/>
    <w:rsid w:val="007E7CAA"/>
    <w:rsid w:val="007E7D7C"/>
    <w:rsid w:val="007E7DD1"/>
    <w:rsid w:val="007E7E8C"/>
    <w:rsid w:val="007E7F0E"/>
    <w:rsid w:val="007F0025"/>
    <w:rsid w:val="007F0027"/>
    <w:rsid w:val="007F0112"/>
    <w:rsid w:val="007F014E"/>
    <w:rsid w:val="007F02BB"/>
    <w:rsid w:val="007F03E1"/>
    <w:rsid w:val="007F03EC"/>
    <w:rsid w:val="007F0452"/>
    <w:rsid w:val="007F046B"/>
    <w:rsid w:val="007F0490"/>
    <w:rsid w:val="007F04B3"/>
    <w:rsid w:val="007F05EF"/>
    <w:rsid w:val="007F061E"/>
    <w:rsid w:val="007F0631"/>
    <w:rsid w:val="007F0688"/>
    <w:rsid w:val="007F0689"/>
    <w:rsid w:val="007F0734"/>
    <w:rsid w:val="007F0752"/>
    <w:rsid w:val="007F0775"/>
    <w:rsid w:val="007F0781"/>
    <w:rsid w:val="007F079A"/>
    <w:rsid w:val="007F07A9"/>
    <w:rsid w:val="007F07E0"/>
    <w:rsid w:val="007F07E4"/>
    <w:rsid w:val="007F07E7"/>
    <w:rsid w:val="007F0817"/>
    <w:rsid w:val="007F083E"/>
    <w:rsid w:val="007F08B2"/>
    <w:rsid w:val="007F08FA"/>
    <w:rsid w:val="007F092B"/>
    <w:rsid w:val="007F09B7"/>
    <w:rsid w:val="007F0A06"/>
    <w:rsid w:val="007F0A15"/>
    <w:rsid w:val="007F0AE8"/>
    <w:rsid w:val="007F0B8E"/>
    <w:rsid w:val="007F0BD5"/>
    <w:rsid w:val="007F0C54"/>
    <w:rsid w:val="007F0C99"/>
    <w:rsid w:val="007F0DE0"/>
    <w:rsid w:val="007F0E95"/>
    <w:rsid w:val="007F0FE4"/>
    <w:rsid w:val="007F0FEE"/>
    <w:rsid w:val="007F0FF3"/>
    <w:rsid w:val="007F1041"/>
    <w:rsid w:val="007F1101"/>
    <w:rsid w:val="007F1109"/>
    <w:rsid w:val="007F1132"/>
    <w:rsid w:val="007F1173"/>
    <w:rsid w:val="007F1198"/>
    <w:rsid w:val="007F11A4"/>
    <w:rsid w:val="007F1239"/>
    <w:rsid w:val="007F1268"/>
    <w:rsid w:val="007F1292"/>
    <w:rsid w:val="007F12C0"/>
    <w:rsid w:val="007F13A9"/>
    <w:rsid w:val="007F13E5"/>
    <w:rsid w:val="007F1430"/>
    <w:rsid w:val="007F1469"/>
    <w:rsid w:val="007F14BB"/>
    <w:rsid w:val="007F1562"/>
    <w:rsid w:val="007F15A8"/>
    <w:rsid w:val="007F15DC"/>
    <w:rsid w:val="007F166E"/>
    <w:rsid w:val="007F166F"/>
    <w:rsid w:val="007F168C"/>
    <w:rsid w:val="007F169A"/>
    <w:rsid w:val="007F1787"/>
    <w:rsid w:val="007F17B2"/>
    <w:rsid w:val="007F1881"/>
    <w:rsid w:val="007F1AAF"/>
    <w:rsid w:val="007F1AF7"/>
    <w:rsid w:val="007F1AFA"/>
    <w:rsid w:val="007F1B0A"/>
    <w:rsid w:val="007F1B6F"/>
    <w:rsid w:val="007F1D5C"/>
    <w:rsid w:val="007F1D60"/>
    <w:rsid w:val="007F1DB8"/>
    <w:rsid w:val="007F1FB3"/>
    <w:rsid w:val="007F2050"/>
    <w:rsid w:val="007F21C2"/>
    <w:rsid w:val="007F21CA"/>
    <w:rsid w:val="007F2246"/>
    <w:rsid w:val="007F2268"/>
    <w:rsid w:val="007F22DD"/>
    <w:rsid w:val="007F2305"/>
    <w:rsid w:val="007F2378"/>
    <w:rsid w:val="007F23EA"/>
    <w:rsid w:val="007F2446"/>
    <w:rsid w:val="007F244C"/>
    <w:rsid w:val="007F2483"/>
    <w:rsid w:val="007F2578"/>
    <w:rsid w:val="007F25C6"/>
    <w:rsid w:val="007F266D"/>
    <w:rsid w:val="007F2681"/>
    <w:rsid w:val="007F26DB"/>
    <w:rsid w:val="007F2705"/>
    <w:rsid w:val="007F2835"/>
    <w:rsid w:val="007F285D"/>
    <w:rsid w:val="007F2912"/>
    <w:rsid w:val="007F296E"/>
    <w:rsid w:val="007F2971"/>
    <w:rsid w:val="007F2A03"/>
    <w:rsid w:val="007F2A07"/>
    <w:rsid w:val="007F2A2D"/>
    <w:rsid w:val="007F2A48"/>
    <w:rsid w:val="007F2A64"/>
    <w:rsid w:val="007F2AB4"/>
    <w:rsid w:val="007F2B09"/>
    <w:rsid w:val="007F2B70"/>
    <w:rsid w:val="007F2C1F"/>
    <w:rsid w:val="007F2C28"/>
    <w:rsid w:val="007F2C70"/>
    <w:rsid w:val="007F2D6A"/>
    <w:rsid w:val="007F2DA6"/>
    <w:rsid w:val="007F2DB0"/>
    <w:rsid w:val="007F2E25"/>
    <w:rsid w:val="007F2F18"/>
    <w:rsid w:val="007F2F6C"/>
    <w:rsid w:val="007F2F89"/>
    <w:rsid w:val="007F2FB0"/>
    <w:rsid w:val="007F3069"/>
    <w:rsid w:val="007F30D0"/>
    <w:rsid w:val="007F316F"/>
    <w:rsid w:val="007F3187"/>
    <w:rsid w:val="007F31DA"/>
    <w:rsid w:val="007F31EB"/>
    <w:rsid w:val="007F31F5"/>
    <w:rsid w:val="007F323C"/>
    <w:rsid w:val="007F3262"/>
    <w:rsid w:val="007F3297"/>
    <w:rsid w:val="007F32A6"/>
    <w:rsid w:val="007F32B3"/>
    <w:rsid w:val="007F32BC"/>
    <w:rsid w:val="007F32D8"/>
    <w:rsid w:val="007F333B"/>
    <w:rsid w:val="007F33A2"/>
    <w:rsid w:val="007F342D"/>
    <w:rsid w:val="007F3474"/>
    <w:rsid w:val="007F3487"/>
    <w:rsid w:val="007F3509"/>
    <w:rsid w:val="007F3540"/>
    <w:rsid w:val="007F3581"/>
    <w:rsid w:val="007F35CD"/>
    <w:rsid w:val="007F36A8"/>
    <w:rsid w:val="007F36BA"/>
    <w:rsid w:val="007F36ED"/>
    <w:rsid w:val="007F3738"/>
    <w:rsid w:val="007F3797"/>
    <w:rsid w:val="007F3879"/>
    <w:rsid w:val="007F3893"/>
    <w:rsid w:val="007F38EA"/>
    <w:rsid w:val="007F38EF"/>
    <w:rsid w:val="007F39AD"/>
    <w:rsid w:val="007F3B46"/>
    <w:rsid w:val="007F3BC6"/>
    <w:rsid w:val="007F3BCB"/>
    <w:rsid w:val="007F3C38"/>
    <w:rsid w:val="007F3CCA"/>
    <w:rsid w:val="007F3CFE"/>
    <w:rsid w:val="007F3D1E"/>
    <w:rsid w:val="007F3D47"/>
    <w:rsid w:val="007F3D67"/>
    <w:rsid w:val="007F3D9F"/>
    <w:rsid w:val="007F3DC3"/>
    <w:rsid w:val="007F3DD9"/>
    <w:rsid w:val="007F3FA7"/>
    <w:rsid w:val="007F3FBF"/>
    <w:rsid w:val="007F4005"/>
    <w:rsid w:val="007F401E"/>
    <w:rsid w:val="007F4090"/>
    <w:rsid w:val="007F4096"/>
    <w:rsid w:val="007F40A6"/>
    <w:rsid w:val="007F414E"/>
    <w:rsid w:val="007F415A"/>
    <w:rsid w:val="007F41C7"/>
    <w:rsid w:val="007F4275"/>
    <w:rsid w:val="007F4282"/>
    <w:rsid w:val="007F4290"/>
    <w:rsid w:val="007F42B2"/>
    <w:rsid w:val="007F430C"/>
    <w:rsid w:val="007F4366"/>
    <w:rsid w:val="007F4398"/>
    <w:rsid w:val="007F4444"/>
    <w:rsid w:val="007F449A"/>
    <w:rsid w:val="007F4500"/>
    <w:rsid w:val="007F45FD"/>
    <w:rsid w:val="007F4636"/>
    <w:rsid w:val="007F4764"/>
    <w:rsid w:val="007F47A3"/>
    <w:rsid w:val="007F47D1"/>
    <w:rsid w:val="007F47FA"/>
    <w:rsid w:val="007F4850"/>
    <w:rsid w:val="007F4892"/>
    <w:rsid w:val="007F4983"/>
    <w:rsid w:val="007F49B1"/>
    <w:rsid w:val="007F49C0"/>
    <w:rsid w:val="007F4A6A"/>
    <w:rsid w:val="007F4AF1"/>
    <w:rsid w:val="007F4B0A"/>
    <w:rsid w:val="007F4B7B"/>
    <w:rsid w:val="007F4BB0"/>
    <w:rsid w:val="007F4BB8"/>
    <w:rsid w:val="007F4C10"/>
    <w:rsid w:val="007F4D3B"/>
    <w:rsid w:val="007F4D6F"/>
    <w:rsid w:val="007F4E3F"/>
    <w:rsid w:val="007F4E49"/>
    <w:rsid w:val="007F4E6B"/>
    <w:rsid w:val="007F4EBD"/>
    <w:rsid w:val="007F4EEB"/>
    <w:rsid w:val="007F4F08"/>
    <w:rsid w:val="007F4F0C"/>
    <w:rsid w:val="007F4F67"/>
    <w:rsid w:val="007F4FA2"/>
    <w:rsid w:val="007F4FB4"/>
    <w:rsid w:val="007F5027"/>
    <w:rsid w:val="007F5108"/>
    <w:rsid w:val="007F5137"/>
    <w:rsid w:val="007F5192"/>
    <w:rsid w:val="007F51CC"/>
    <w:rsid w:val="007F526C"/>
    <w:rsid w:val="007F5280"/>
    <w:rsid w:val="007F5369"/>
    <w:rsid w:val="007F53E4"/>
    <w:rsid w:val="007F54A1"/>
    <w:rsid w:val="007F54C8"/>
    <w:rsid w:val="007F552F"/>
    <w:rsid w:val="007F5549"/>
    <w:rsid w:val="007F5584"/>
    <w:rsid w:val="007F559C"/>
    <w:rsid w:val="007F55CD"/>
    <w:rsid w:val="007F55D9"/>
    <w:rsid w:val="007F55DA"/>
    <w:rsid w:val="007F56CA"/>
    <w:rsid w:val="007F574B"/>
    <w:rsid w:val="007F5774"/>
    <w:rsid w:val="007F5931"/>
    <w:rsid w:val="007F59A2"/>
    <w:rsid w:val="007F59DF"/>
    <w:rsid w:val="007F5A0B"/>
    <w:rsid w:val="007F5A10"/>
    <w:rsid w:val="007F5A81"/>
    <w:rsid w:val="007F5AE4"/>
    <w:rsid w:val="007F5B9B"/>
    <w:rsid w:val="007F5BA6"/>
    <w:rsid w:val="007F5BC0"/>
    <w:rsid w:val="007F5BD4"/>
    <w:rsid w:val="007F5CAF"/>
    <w:rsid w:val="007F5CBE"/>
    <w:rsid w:val="007F5DEC"/>
    <w:rsid w:val="007F5E9D"/>
    <w:rsid w:val="007F5F3F"/>
    <w:rsid w:val="007F6027"/>
    <w:rsid w:val="007F6110"/>
    <w:rsid w:val="007F6204"/>
    <w:rsid w:val="007F623E"/>
    <w:rsid w:val="007F62C4"/>
    <w:rsid w:val="007F6350"/>
    <w:rsid w:val="007F636F"/>
    <w:rsid w:val="007F63A8"/>
    <w:rsid w:val="007F63B1"/>
    <w:rsid w:val="007F6435"/>
    <w:rsid w:val="007F644E"/>
    <w:rsid w:val="007F645A"/>
    <w:rsid w:val="007F646A"/>
    <w:rsid w:val="007F6474"/>
    <w:rsid w:val="007F648E"/>
    <w:rsid w:val="007F652F"/>
    <w:rsid w:val="007F656D"/>
    <w:rsid w:val="007F65EE"/>
    <w:rsid w:val="007F6622"/>
    <w:rsid w:val="007F6670"/>
    <w:rsid w:val="007F6678"/>
    <w:rsid w:val="007F66EE"/>
    <w:rsid w:val="007F6717"/>
    <w:rsid w:val="007F6730"/>
    <w:rsid w:val="007F6756"/>
    <w:rsid w:val="007F6786"/>
    <w:rsid w:val="007F685F"/>
    <w:rsid w:val="007F6868"/>
    <w:rsid w:val="007F686F"/>
    <w:rsid w:val="007F6896"/>
    <w:rsid w:val="007F68AA"/>
    <w:rsid w:val="007F68B5"/>
    <w:rsid w:val="007F68CF"/>
    <w:rsid w:val="007F69C1"/>
    <w:rsid w:val="007F6A16"/>
    <w:rsid w:val="007F6A45"/>
    <w:rsid w:val="007F6A5B"/>
    <w:rsid w:val="007F6AF2"/>
    <w:rsid w:val="007F6B41"/>
    <w:rsid w:val="007F6BD6"/>
    <w:rsid w:val="007F6C7B"/>
    <w:rsid w:val="007F6CA1"/>
    <w:rsid w:val="007F6D1C"/>
    <w:rsid w:val="007F6E0D"/>
    <w:rsid w:val="007F6E8D"/>
    <w:rsid w:val="007F6F1E"/>
    <w:rsid w:val="007F6F3B"/>
    <w:rsid w:val="007F6FE3"/>
    <w:rsid w:val="007F704C"/>
    <w:rsid w:val="007F7092"/>
    <w:rsid w:val="007F7114"/>
    <w:rsid w:val="007F715A"/>
    <w:rsid w:val="007F7172"/>
    <w:rsid w:val="007F7179"/>
    <w:rsid w:val="007F71AD"/>
    <w:rsid w:val="007F71FB"/>
    <w:rsid w:val="007F72AE"/>
    <w:rsid w:val="007F733B"/>
    <w:rsid w:val="007F7385"/>
    <w:rsid w:val="007F73A3"/>
    <w:rsid w:val="007F73BC"/>
    <w:rsid w:val="007F7467"/>
    <w:rsid w:val="007F752F"/>
    <w:rsid w:val="007F7544"/>
    <w:rsid w:val="007F7559"/>
    <w:rsid w:val="007F75B7"/>
    <w:rsid w:val="007F75DC"/>
    <w:rsid w:val="007F764C"/>
    <w:rsid w:val="007F76DA"/>
    <w:rsid w:val="007F76FB"/>
    <w:rsid w:val="007F7729"/>
    <w:rsid w:val="007F7743"/>
    <w:rsid w:val="007F7749"/>
    <w:rsid w:val="007F775A"/>
    <w:rsid w:val="007F77B8"/>
    <w:rsid w:val="007F77BA"/>
    <w:rsid w:val="007F7862"/>
    <w:rsid w:val="007F7892"/>
    <w:rsid w:val="007F789A"/>
    <w:rsid w:val="007F78CC"/>
    <w:rsid w:val="007F78EC"/>
    <w:rsid w:val="007F78EF"/>
    <w:rsid w:val="007F7932"/>
    <w:rsid w:val="007F79BF"/>
    <w:rsid w:val="007F79F9"/>
    <w:rsid w:val="007F7A02"/>
    <w:rsid w:val="007F7AB8"/>
    <w:rsid w:val="007F7B39"/>
    <w:rsid w:val="007F7B97"/>
    <w:rsid w:val="007F7BFD"/>
    <w:rsid w:val="007F7C2C"/>
    <w:rsid w:val="007F7CFA"/>
    <w:rsid w:val="007F7D32"/>
    <w:rsid w:val="007F7D59"/>
    <w:rsid w:val="007F7D6F"/>
    <w:rsid w:val="007F7DF9"/>
    <w:rsid w:val="007F7E40"/>
    <w:rsid w:val="007F7E46"/>
    <w:rsid w:val="007F7F8B"/>
    <w:rsid w:val="007F7FF1"/>
    <w:rsid w:val="007F7FFC"/>
    <w:rsid w:val="0080002D"/>
    <w:rsid w:val="00800034"/>
    <w:rsid w:val="0080010F"/>
    <w:rsid w:val="00800119"/>
    <w:rsid w:val="00800149"/>
    <w:rsid w:val="0080014D"/>
    <w:rsid w:val="0080015C"/>
    <w:rsid w:val="008001AA"/>
    <w:rsid w:val="00800208"/>
    <w:rsid w:val="008002C4"/>
    <w:rsid w:val="008002CC"/>
    <w:rsid w:val="008002F8"/>
    <w:rsid w:val="00800338"/>
    <w:rsid w:val="00800370"/>
    <w:rsid w:val="0080039C"/>
    <w:rsid w:val="0080042E"/>
    <w:rsid w:val="00800488"/>
    <w:rsid w:val="00800643"/>
    <w:rsid w:val="00800696"/>
    <w:rsid w:val="008006A3"/>
    <w:rsid w:val="008006D4"/>
    <w:rsid w:val="0080074D"/>
    <w:rsid w:val="00800750"/>
    <w:rsid w:val="0080077E"/>
    <w:rsid w:val="0080079C"/>
    <w:rsid w:val="008007A5"/>
    <w:rsid w:val="008007B8"/>
    <w:rsid w:val="0080087B"/>
    <w:rsid w:val="00800899"/>
    <w:rsid w:val="008008CA"/>
    <w:rsid w:val="008008F2"/>
    <w:rsid w:val="00800991"/>
    <w:rsid w:val="008009CE"/>
    <w:rsid w:val="00800ADE"/>
    <w:rsid w:val="00800B4B"/>
    <w:rsid w:val="00800B69"/>
    <w:rsid w:val="00800B73"/>
    <w:rsid w:val="00800C0B"/>
    <w:rsid w:val="00800CBA"/>
    <w:rsid w:val="00800CD3"/>
    <w:rsid w:val="00800CE3"/>
    <w:rsid w:val="00800D13"/>
    <w:rsid w:val="00800D3F"/>
    <w:rsid w:val="00800DB3"/>
    <w:rsid w:val="00800E54"/>
    <w:rsid w:val="00800E65"/>
    <w:rsid w:val="00800ECA"/>
    <w:rsid w:val="00800F2B"/>
    <w:rsid w:val="00800F9D"/>
    <w:rsid w:val="00800FC4"/>
    <w:rsid w:val="00801007"/>
    <w:rsid w:val="00801085"/>
    <w:rsid w:val="00801099"/>
    <w:rsid w:val="00801124"/>
    <w:rsid w:val="00801171"/>
    <w:rsid w:val="00801178"/>
    <w:rsid w:val="0080121E"/>
    <w:rsid w:val="00801244"/>
    <w:rsid w:val="0080124B"/>
    <w:rsid w:val="008012F8"/>
    <w:rsid w:val="00801330"/>
    <w:rsid w:val="0080134C"/>
    <w:rsid w:val="00801354"/>
    <w:rsid w:val="008013A3"/>
    <w:rsid w:val="008013E9"/>
    <w:rsid w:val="008014D3"/>
    <w:rsid w:val="008015B3"/>
    <w:rsid w:val="008016B9"/>
    <w:rsid w:val="008016BD"/>
    <w:rsid w:val="00801715"/>
    <w:rsid w:val="00801730"/>
    <w:rsid w:val="00801740"/>
    <w:rsid w:val="00801748"/>
    <w:rsid w:val="0080177E"/>
    <w:rsid w:val="008017A1"/>
    <w:rsid w:val="008017CB"/>
    <w:rsid w:val="00801847"/>
    <w:rsid w:val="00801953"/>
    <w:rsid w:val="00801972"/>
    <w:rsid w:val="008019F3"/>
    <w:rsid w:val="00801AB9"/>
    <w:rsid w:val="00801B9F"/>
    <w:rsid w:val="00801BD1"/>
    <w:rsid w:val="00801C14"/>
    <w:rsid w:val="00801C53"/>
    <w:rsid w:val="00801C85"/>
    <w:rsid w:val="00801C91"/>
    <w:rsid w:val="00801EA5"/>
    <w:rsid w:val="00801EAE"/>
    <w:rsid w:val="00801EBD"/>
    <w:rsid w:val="00801EC2"/>
    <w:rsid w:val="00801ECE"/>
    <w:rsid w:val="00801F5B"/>
    <w:rsid w:val="00801F77"/>
    <w:rsid w:val="00801FBA"/>
    <w:rsid w:val="00802005"/>
    <w:rsid w:val="00802083"/>
    <w:rsid w:val="00802097"/>
    <w:rsid w:val="008021D3"/>
    <w:rsid w:val="00802231"/>
    <w:rsid w:val="008022A6"/>
    <w:rsid w:val="008022C9"/>
    <w:rsid w:val="00802360"/>
    <w:rsid w:val="008023DD"/>
    <w:rsid w:val="00802444"/>
    <w:rsid w:val="008024A9"/>
    <w:rsid w:val="008024B6"/>
    <w:rsid w:val="0080258D"/>
    <w:rsid w:val="008025B5"/>
    <w:rsid w:val="008025EB"/>
    <w:rsid w:val="00802704"/>
    <w:rsid w:val="00802787"/>
    <w:rsid w:val="008027BE"/>
    <w:rsid w:val="00802848"/>
    <w:rsid w:val="008028AE"/>
    <w:rsid w:val="008028E1"/>
    <w:rsid w:val="008028FA"/>
    <w:rsid w:val="0080290E"/>
    <w:rsid w:val="00802938"/>
    <w:rsid w:val="008029EA"/>
    <w:rsid w:val="00802A01"/>
    <w:rsid w:val="00802AAA"/>
    <w:rsid w:val="00802AB3"/>
    <w:rsid w:val="00802B0E"/>
    <w:rsid w:val="00802B14"/>
    <w:rsid w:val="00802B29"/>
    <w:rsid w:val="00802B32"/>
    <w:rsid w:val="00802BD7"/>
    <w:rsid w:val="00802D0D"/>
    <w:rsid w:val="00802D4D"/>
    <w:rsid w:val="00802E31"/>
    <w:rsid w:val="00802E3F"/>
    <w:rsid w:val="00802EB2"/>
    <w:rsid w:val="00802F55"/>
    <w:rsid w:val="00802FC4"/>
    <w:rsid w:val="00803041"/>
    <w:rsid w:val="00803045"/>
    <w:rsid w:val="00803069"/>
    <w:rsid w:val="0080316B"/>
    <w:rsid w:val="0080317A"/>
    <w:rsid w:val="00803201"/>
    <w:rsid w:val="008032C6"/>
    <w:rsid w:val="00803316"/>
    <w:rsid w:val="0080345F"/>
    <w:rsid w:val="008035DE"/>
    <w:rsid w:val="008035FA"/>
    <w:rsid w:val="00803603"/>
    <w:rsid w:val="0080363C"/>
    <w:rsid w:val="008036FD"/>
    <w:rsid w:val="0080379B"/>
    <w:rsid w:val="008037AC"/>
    <w:rsid w:val="0080381D"/>
    <w:rsid w:val="008038F2"/>
    <w:rsid w:val="00803962"/>
    <w:rsid w:val="008039BE"/>
    <w:rsid w:val="00803A34"/>
    <w:rsid w:val="00803A49"/>
    <w:rsid w:val="00803A80"/>
    <w:rsid w:val="00803B1C"/>
    <w:rsid w:val="00803BDD"/>
    <w:rsid w:val="00803C52"/>
    <w:rsid w:val="00803C5B"/>
    <w:rsid w:val="00803C63"/>
    <w:rsid w:val="00803CC6"/>
    <w:rsid w:val="00803CC9"/>
    <w:rsid w:val="00803D68"/>
    <w:rsid w:val="00803EC2"/>
    <w:rsid w:val="00803F07"/>
    <w:rsid w:val="00803F16"/>
    <w:rsid w:val="00803F9F"/>
    <w:rsid w:val="00804020"/>
    <w:rsid w:val="0080404A"/>
    <w:rsid w:val="0080405D"/>
    <w:rsid w:val="008040F4"/>
    <w:rsid w:val="00804168"/>
    <w:rsid w:val="00804184"/>
    <w:rsid w:val="008041DA"/>
    <w:rsid w:val="008041DB"/>
    <w:rsid w:val="0080420F"/>
    <w:rsid w:val="00804239"/>
    <w:rsid w:val="00804244"/>
    <w:rsid w:val="00804277"/>
    <w:rsid w:val="008042AC"/>
    <w:rsid w:val="008042BC"/>
    <w:rsid w:val="00804326"/>
    <w:rsid w:val="0080434F"/>
    <w:rsid w:val="008043AF"/>
    <w:rsid w:val="008043E0"/>
    <w:rsid w:val="0080440D"/>
    <w:rsid w:val="0080448F"/>
    <w:rsid w:val="008044AF"/>
    <w:rsid w:val="008044E5"/>
    <w:rsid w:val="00804560"/>
    <w:rsid w:val="008045B0"/>
    <w:rsid w:val="008045D7"/>
    <w:rsid w:val="00804706"/>
    <w:rsid w:val="0080473D"/>
    <w:rsid w:val="00804753"/>
    <w:rsid w:val="00804769"/>
    <w:rsid w:val="008047E2"/>
    <w:rsid w:val="008047E7"/>
    <w:rsid w:val="0080485F"/>
    <w:rsid w:val="008048C1"/>
    <w:rsid w:val="008048D4"/>
    <w:rsid w:val="00804986"/>
    <w:rsid w:val="00804A0D"/>
    <w:rsid w:val="00804A30"/>
    <w:rsid w:val="00804A45"/>
    <w:rsid w:val="00804A48"/>
    <w:rsid w:val="00804ABE"/>
    <w:rsid w:val="00804B0C"/>
    <w:rsid w:val="00804B0D"/>
    <w:rsid w:val="00804B33"/>
    <w:rsid w:val="00804B5D"/>
    <w:rsid w:val="00804C46"/>
    <w:rsid w:val="00804CE0"/>
    <w:rsid w:val="00804D41"/>
    <w:rsid w:val="00804D42"/>
    <w:rsid w:val="00804E49"/>
    <w:rsid w:val="00804E69"/>
    <w:rsid w:val="00804E7F"/>
    <w:rsid w:val="00804F42"/>
    <w:rsid w:val="00804FCD"/>
    <w:rsid w:val="00805049"/>
    <w:rsid w:val="00805082"/>
    <w:rsid w:val="008050A6"/>
    <w:rsid w:val="008050AB"/>
    <w:rsid w:val="008050EA"/>
    <w:rsid w:val="0080514B"/>
    <w:rsid w:val="00805175"/>
    <w:rsid w:val="0080517D"/>
    <w:rsid w:val="008051E5"/>
    <w:rsid w:val="008051FD"/>
    <w:rsid w:val="00805216"/>
    <w:rsid w:val="00805226"/>
    <w:rsid w:val="00805359"/>
    <w:rsid w:val="0080540F"/>
    <w:rsid w:val="008054AF"/>
    <w:rsid w:val="008054BE"/>
    <w:rsid w:val="00805511"/>
    <w:rsid w:val="00805545"/>
    <w:rsid w:val="00805581"/>
    <w:rsid w:val="008055D4"/>
    <w:rsid w:val="00805656"/>
    <w:rsid w:val="00805684"/>
    <w:rsid w:val="008056AE"/>
    <w:rsid w:val="008056C8"/>
    <w:rsid w:val="00805732"/>
    <w:rsid w:val="00805753"/>
    <w:rsid w:val="00805771"/>
    <w:rsid w:val="0080579F"/>
    <w:rsid w:val="008057A4"/>
    <w:rsid w:val="008059BA"/>
    <w:rsid w:val="00805A60"/>
    <w:rsid w:val="00805AD9"/>
    <w:rsid w:val="00805B80"/>
    <w:rsid w:val="00805B83"/>
    <w:rsid w:val="00805BF7"/>
    <w:rsid w:val="00805C51"/>
    <w:rsid w:val="00805C5E"/>
    <w:rsid w:val="00805D5F"/>
    <w:rsid w:val="00805EDF"/>
    <w:rsid w:val="00805F39"/>
    <w:rsid w:val="00805F4C"/>
    <w:rsid w:val="00805F62"/>
    <w:rsid w:val="00805F7C"/>
    <w:rsid w:val="00805FF6"/>
    <w:rsid w:val="0080600A"/>
    <w:rsid w:val="00806063"/>
    <w:rsid w:val="008060B3"/>
    <w:rsid w:val="00806130"/>
    <w:rsid w:val="0080617F"/>
    <w:rsid w:val="00806195"/>
    <w:rsid w:val="008061C5"/>
    <w:rsid w:val="008061E7"/>
    <w:rsid w:val="0080620F"/>
    <w:rsid w:val="00806259"/>
    <w:rsid w:val="0080629C"/>
    <w:rsid w:val="0080630D"/>
    <w:rsid w:val="0080636F"/>
    <w:rsid w:val="00806438"/>
    <w:rsid w:val="00806560"/>
    <w:rsid w:val="00806584"/>
    <w:rsid w:val="008065D8"/>
    <w:rsid w:val="00806617"/>
    <w:rsid w:val="0080662B"/>
    <w:rsid w:val="00806641"/>
    <w:rsid w:val="00806693"/>
    <w:rsid w:val="00806767"/>
    <w:rsid w:val="0080676C"/>
    <w:rsid w:val="00806857"/>
    <w:rsid w:val="008068A1"/>
    <w:rsid w:val="008068C6"/>
    <w:rsid w:val="00806942"/>
    <w:rsid w:val="00806947"/>
    <w:rsid w:val="0080694F"/>
    <w:rsid w:val="008069E0"/>
    <w:rsid w:val="00806A30"/>
    <w:rsid w:val="00806B24"/>
    <w:rsid w:val="00806B4E"/>
    <w:rsid w:val="00806B59"/>
    <w:rsid w:val="00806C4B"/>
    <w:rsid w:val="00806C70"/>
    <w:rsid w:val="00806C93"/>
    <w:rsid w:val="00806CE8"/>
    <w:rsid w:val="00806D36"/>
    <w:rsid w:val="00806D93"/>
    <w:rsid w:val="00806DDC"/>
    <w:rsid w:val="00806DDF"/>
    <w:rsid w:val="00806E29"/>
    <w:rsid w:val="00806E2A"/>
    <w:rsid w:val="00806E57"/>
    <w:rsid w:val="00806EB0"/>
    <w:rsid w:val="00806ED5"/>
    <w:rsid w:val="00807043"/>
    <w:rsid w:val="00807080"/>
    <w:rsid w:val="00807193"/>
    <w:rsid w:val="00807197"/>
    <w:rsid w:val="00807276"/>
    <w:rsid w:val="0080729A"/>
    <w:rsid w:val="008072AE"/>
    <w:rsid w:val="008072FD"/>
    <w:rsid w:val="0080730C"/>
    <w:rsid w:val="0080735F"/>
    <w:rsid w:val="00807360"/>
    <w:rsid w:val="00807388"/>
    <w:rsid w:val="008073A0"/>
    <w:rsid w:val="0080742C"/>
    <w:rsid w:val="00807442"/>
    <w:rsid w:val="00807500"/>
    <w:rsid w:val="0080764D"/>
    <w:rsid w:val="00807652"/>
    <w:rsid w:val="008076AB"/>
    <w:rsid w:val="008076B0"/>
    <w:rsid w:val="008076D3"/>
    <w:rsid w:val="0080777B"/>
    <w:rsid w:val="008077CC"/>
    <w:rsid w:val="00807893"/>
    <w:rsid w:val="0080790F"/>
    <w:rsid w:val="0080794E"/>
    <w:rsid w:val="008079A2"/>
    <w:rsid w:val="00807A23"/>
    <w:rsid w:val="00807A62"/>
    <w:rsid w:val="00807A7F"/>
    <w:rsid w:val="00807AAE"/>
    <w:rsid w:val="00807ACA"/>
    <w:rsid w:val="00807B35"/>
    <w:rsid w:val="00807B3F"/>
    <w:rsid w:val="00807B9F"/>
    <w:rsid w:val="00807BE4"/>
    <w:rsid w:val="00807BFB"/>
    <w:rsid w:val="00807BFF"/>
    <w:rsid w:val="00807C75"/>
    <w:rsid w:val="00807C84"/>
    <w:rsid w:val="00807D78"/>
    <w:rsid w:val="00807D80"/>
    <w:rsid w:val="00807D85"/>
    <w:rsid w:val="00807DBE"/>
    <w:rsid w:val="00807E15"/>
    <w:rsid w:val="00807EA7"/>
    <w:rsid w:val="00807EB0"/>
    <w:rsid w:val="00807EC2"/>
    <w:rsid w:val="00807EE4"/>
    <w:rsid w:val="00807F39"/>
    <w:rsid w:val="00807FB9"/>
    <w:rsid w:val="00807FED"/>
    <w:rsid w:val="0081000A"/>
    <w:rsid w:val="0081005F"/>
    <w:rsid w:val="00810122"/>
    <w:rsid w:val="0081016B"/>
    <w:rsid w:val="0081017D"/>
    <w:rsid w:val="008101DE"/>
    <w:rsid w:val="008101E8"/>
    <w:rsid w:val="00810259"/>
    <w:rsid w:val="008102DD"/>
    <w:rsid w:val="008103C2"/>
    <w:rsid w:val="008104F1"/>
    <w:rsid w:val="00810578"/>
    <w:rsid w:val="0081060F"/>
    <w:rsid w:val="00810640"/>
    <w:rsid w:val="00810724"/>
    <w:rsid w:val="00810781"/>
    <w:rsid w:val="008107D9"/>
    <w:rsid w:val="00810842"/>
    <w:rsid w:val="0081087F"/>
    <w:rsid w:val="0081095B"/>
    <w:rsid w:val="0081097B"/>
    <w:rsid w:val="0081098A"/>
    <w:rsid w:val="0081099F"/>
    <w:rsid w:val="00810A20"/>
    <w:rsid w:val="00810A30"/>
    <w:rsid w:val="00810AE0"/>
    <w:rsid w:val="00810AEE"/>
    <w:rsid w:val="00810B1B"/>
    <w:rsid w:val="00810B6F"/>
    <w:rsid w:val="00810BCA"/>
    <w:rsid w:val="00810C28"/>
    <w:rsid w:val="00810C89"/>
    <w:rsid w:val="00810C8B"/>
    <w:rsid w:val="00810D30"/>
    <w:rsid w:val="00810D39"/>
    <w:rsid w:val="00810D59"/>
    <w:rsid w:val="00810D82"/>
    <w:rsid w:val="00810F3E"/>
    <w:rsid w:val="00810F59"/>
    <w:rsid w:val="00810F74"/>
    <w:rsid w:val="00810FF7"/>
    <w:rsid w:val="008110F0"/>
    <w:rsid w:val="0081111A"/>
    <w:rsid w:val="0081112F"/>
    <w:rsid w:val="0081118A"/>
    <w:rsid w:val="0081118D"/>
    <w:rsid w:val="00811255"/>
    <w:rsid w:val="008112A8"/>
    <w:rsid w:val="008112BB"/>
    <w:rsid w:val="008112C6"/>
    <w:rsid w:val="008113B5"/>
    <w:rsid w:val="008113E5"/>
    <w:rsid w:val="008114AA"/>
    <w:rsid w:val="0081150B"/>
    <w:rsid w:val="00811524"/>
    <w:rsid w:val="0081153B"/>
    <w:rsid w:val="008116BB"/>
    <w:rsid w:val="008116D6"/>
    <w:rsid w:val="008116F2"/>
    <w:rsid w:val="008117AF"/>
    <w:rsid w:val="008117F8"/>
    <w:rsid w:val="00811893"/>
    <w:rsid w:val="0081192D"/>
    <w:rsid w:val="00811997"/>
    <w:rsid w:val="0081199A"/>
    <w:rsid w:val="00811A1D"/>
    <w:rsid w:val="00811A1E"/>
    <w:rsid w:val="00811A2A"/>
    <w:rsid w:val="00811A43"/>
    <w:rsid w:val="00811A4F"/>
    <w:rsid w:val="00811A83"/>
    <w:rsid w:val="00811A97"/>
    <w:rsid w:val="00811B3E"/>
    <w:rsid w:val="00811B67"/>
    <w:rsid w:val="00811B6F"/>
    <w:rsid w:val="00811BB3"/>
    <w:rsid w:val="00811BEC"/>
    <w:rsid w:val="00811C67"/>
    <w:rsid w:val="00811CDC"/>
    <w:rsid w:val="00811E06"/>
    <w:rsid w:val="00811E3A"/>
    <w:rsid w:val="00811E74"/>
    <w:rsid w:val="00811E82"/>
    <w:rsid w:val="00811EB7"/>
    <w:rsid w:val="00811F23"/>
    <w:rsid w:val="00811F75"/>
    <w:rsid w:val="00811F84"/>
    <w:rsid w:val="00811FE5"/>
    <w:rsid w:val="00812005"/>
    <w:rsid w:val="00812087"/>
    <w:rsid w:val="00812091"/>
    <w:rsid w:val="008120FC"/>
    <w:rsid w:val="008120FF"/>
    <w:rsid w:val="00812125"/>
    <w:rsid w:val="00812130"/>
    <w:rsid w:val="00812258"/>
    <w:rsid w:val="00812301"/>
    <w:rsid w:val="00812325"/>
    <w:rsid w:val="008124CC"/>
    <w:rsid w:val="00812562"/>
    <w:rsid w:val="008125AB"/>
    <w:rsid w:val="008125B9"/>
    <w:rsid w:val="00812628"/>
    <w:rsid w:val="0081264E"/>
    <w:rsid w:val="0081265C"/>
    <w:rsid w:val="00812675"/>
    <w:rsid w:val="00812697"/>
    <w:rsid w:val="008126B4"/>
    <w:rsid w:val="008126FC"/>
    <w:rsid w:val="00812721"/>
    <w:rsid w:val="008128C9"/>
    <w:rsid w:val="008128DC"/>
    <w:rsid w:val="008128ED"/>
    <w:rsid w:val="00812956"/>
    <w:rsid w:val="00812975"/>
    <w:rsid w:val="008129BB"/>
    <w:rsid w:val="00812A8B"/>
    <w:rsid w:val="00812B3E"/>
    <w:rsid w:val="00812C27"/>
    <w:rsid w:val="00812C83"/>
    <w:rsid w:val="00812CC7"/>
    <w:rsid w:val="00812D38"/>
    <w:rsid w:val="00812D89"/>
    <w:rsid w:val="00812D93"/>
    <w:rsid w:val="00812E10"/>
    <w:rsid w:val="00812E5D"/>
    <w:rsid w:val="00812FC2"/>
    <w:rsid w:val="0081305F"/>
    <w:rsid w:val="00813071"/>
    <w:rsid w:val="0081326D"/>
    <w:rsid w:val="008132AC"/>
    <w:rsid w:val="008132C1"/>
    <w:rsid w:val="008132C6"/>
    <w:rsid w:val="008133C7"/>
    <w:rsid w:val="0081345C"/>
    <w:rsid w:val="008134DC"/>
    <w:rsid w:val="00813505"/>
    <w:rsid w:val="00813516"/>
    <w:rsid w:val="00813575"/>
    <w:rsid w:val="00813659"/>
    <w:rsid w:val="0081367A"/>
    <w:rsid w:val="008137C9"/>
    <w:rsid w:val="008137F8"/>
    <w:rsid w:val="008137FF"/>
    <w:rsid w:val="0081382C"/>
    <w:rsid w:val="008138D6"/>
    <w:rsid w:val="00813971"/>
    <w:rsid w:val="008139CF"/>
    <w:rsid w:val="00813A67"/>
    <w:rsid w:val="00813B7E"/>
    <w:rsid w:val="00813CC8"/>
    <w:rsid w:val="00813CE3"/>
    <w:rsid w:val="00813CFC"/>
    <w:rsid w:val="00813D19"/>
    <w:rsid w:val="00813D75"/>
    <w:rsid w:val="00813D94"/>
    <w:rsid w:val="00813DB7"/>
    <w:rsid w:val="00813E7E"/>
    <w:rsid w:val="00813ECE"/>
    <w:rsid w:val="00813F01"/>
    <w:rsid w:val="00813F19"/>
    <w:rsid w:val="00813F28"/>
    <w:rsid w:val="00813FAE"/>
    <w:rsid w:val="0081400B"/>
    <w:rsid w:val="00814012"/>
    <w:rsid w:val="008140D8"/>
    <w:rsid w:val="008140DA"/>
    <w:rsid w:val="008140F6"/>
    <w:rsid w:val="008140F7"/>
    <w:rsid w:val="008140FC"/>
    <w:rsid w:val="00814112"/>
    <w:rsid w:val="00814138"/>
    <w:rsid w:val="008141D4"/>
    <w:rsid w:val="00814240"/>
    <w:rsid w:val="0081427E"/>
    <w:rsid w:val="00814321"/>
    <w:rsid w:val="0081437F"/>
    <w:rsid w:val="0081438A"/>
    <w:rsid w:val="008143A2"/>
    <w:rsid w:val="008144C6"/>
    <w:rsid w:val="008144D7"/>
    <w:rsid w:val="008144E3"/>
    <w:rsid w:val="008145B5"/>
    <w:rsid w:val="0081461B"/>
    <w:rsid w:val="00814635"/>
    <w:rsid w:val="00814700"/>
    <w:rsid w:val="00814779"/>
    <w:rsid w:val="0081477B"/>
    <w:rsid w:val="0081478D"/>
    <w:rsid w:val="0081483E"/>
    <w:rsid w:val="0081484F"/>
    <w:rsid w:val="00814930"/>
    <w:rsid w:val="00814954"/>
    <w:rsid w:val="00814965"/>
    <w:rsid w:val="00814966"/>
    <w:rsid w:val="008149AA"/>
    <w:rsid w:val="008149E3"/>
    <w:rsid w:val="008149EA"/>
    <w:rsid w:val="00814A0C"/>
    <w:rsid w:val="00814AC0"/>
    <w:rsid w:val="00814ADA"/>
    <w:rsid w:val="00814BBE"/>
    <w:rsid w:val="00814BF6"/>
    <w:rsid w:val="00814C23"/>
    <w:rsid w:val="00814C4D"/>
    <w:rsid w:val="00814CB9"/>
    <w:rsid w:val="00814CD8"/>
    <w:rsid w:val="00814CDD"/>
    <w:rsid w:val="00814D3D"/>
    <w:rsid w:val="00814E8B"/>
    <w:rsid w:val="00814FE3"/>
    <w:rsid w:val="00815054"/>
    <w:rsid w:val="0081506C"/>
    <w:rsid w:val="00815098"/>
    <w:rsid w:val="008150A3"/>
    <w:rsid w:val="008150CA"/>
    <w:rsid w:val="008150DB"/>
    <w:rsid w:val="008150E3"/>
    <w:rsid w:val="00815105"/>
    <w:rsid w:val="0081515E"/>
    <w:rsid w:val="00815162"/>
    <w:rsid w:val="00815274"/>
    <w:rsid w:val="00815354"/>
    <w:rsid w:val="00815358"/>
    <w:rsid w:val="0081538E"/>
    <w:rsid w:val="0081547B"/>
    <w:rsid w:val="008154AA"/>
    <w:rsid w:val="00815572"/>
    <w:rsid w:val="008155E3"/>
    <w:rsid w:val="008156B3"/>
    <w:rsid w:val="00815742"/>
    <w:rsid w:val="0081577B"/>
    <w:rsid w:val="0081584D"/>
    <w:rsid w:val="0081585D"/>
    <w:rsid w:val="008158ED"/>
    <w:rsid w:val="008159B1"/>
    <w:rsid w:val="00815A08"/>
    <w:rsid w:val="00815A0A"/>
    <w:rsid w:val="00815BAE"/>
    <w:rsid w:val="00815C1E"/>
    <w:rsid w:val="00815C81"/>
    <w:rsid w:val="00815CA5"/>
    <w:rsid w:val="00815CF4"/>
    <w:rsid w:val="00815D3B"/>
    <w:rsid w:val="00815D40"/>
    <w:rsid w:val="00815D9A"/>
    <w:rsid w:val="00815DFA"/>
    <w:rsid w:val="00815E05"/>
    <w:rsid w:val="00815E50"/>
    <w:rsid w:val="00815ED1"/>
    <w:rsid w:val="00815F13"/>
    <w:rsid w:val="00815FAA"/>
    <w:rsid w:val="0081617E"/>
    <w:rsid w:val="008162F0"/>
    <w:rsid w:val="00816305"/>
    <w:rsid w:val="0081633E"/>
    <w:rsid w:val="00816357"/>
    <w:rsid w:val="00816384"/>
    <w:rsid w:val="008163C3"/>
    <w:rsid w:val="00816461"/>
    <w:rsid w:val="00816480"/>
    <w:rsid w:val="008164E3"/>
    <w:rsid w:val="00816508"/>
    <w:rsid w:val="008165A3"/>
    <w:rsid w:val="008165C7"/>
    <w:rsid w:val="008165D9"/>
    <w:rsid w:val="0081665B"/>
    <w:rsid w:val="008166B3"/>
    <w:rsid w:val="008166F2"/>
    <w:rsid w:val="00816704"/>
    <w:rsid w:val="008167B0"/>
    <w:rsid w:val="008167B2"/>
    <w:rsid w:val="008167F6"/>
    <w:rsid w:val="0081680C"/>
    <w:rsid w:val="0081681F"/>
    <w:rsid w:val="0081687B"/>
    <w:rsid w:val="0081688E"/>
    <w:rsid w:val="008169BE"/>
    <w:rsid w:val="00816A32"/>
    <w:rsid w:val="00816A59"/>
    <w:rsid w:val="00816A5F"/>
    <w:rsid w:val="00816A66"/>
    <w:rsid w:val="00816A8F"/>
    <w:rsid w:val="00816ABF"/>
    <w:rsid w:val="00816AF8"/>
    <w:rsid w:val="00816B4D"/>
    <w:rsid w:val="00816B5E"/>
    <w:rsid w:val="00816BFD"/>
    <w:rsid w:val="00816C53"/>
    <w:rsid w:val="00816C7D"/>
    <w:rsid w:val="00816D5C"/>
    <w:rsid w:val="00816D7C"/>
    <w:rsid w:val="00816F86"/>
    <w:rsid w:val="00816F98"/>
    <w:rsid w:val="00817023"/>
    <w:rsid w:val="00817189"/>
    <w:rsid w:val="0081719B"/>
    <w:rsid w:val="008171BD"/>
    <w:rsid w:val="0081733F"/>
    <w:rsid w:val="00817342"/>
    <w:rsid w:val="008173B0"/>
    <w:rsid w:val="0081744C"/>
    <w:rsid w:val="0081748E"/>
    <w:rsid w:val="008174D0"/>
    <w:rsid w:val="00817513"/>
    <w:rsid w:val="008175A1"/>
    <w:rsid w:val="008175BB"/>
    <w:rsid w:val="008175EF"/>
    <w:rsid w:val="008175F0"/>
    <w:rsid w:val="00817673"/>
    <w:rsid w:val="008176C0"/>
    <w:rsid w:val="008176CE"/>
    <w:rsid w:val="008176DE"/>
    <w:rsid w:val="00817783"/>
    <w:rsid w:val="008178C2"/>
    <w:rsid w:val="008178CE"/>
    <w:rsid w:val="008178DD"/>
    <w:rsid w:val="0081792F"/>
    <w:rsid w:val="0081793E"/>
    <w:rsid w:val="00817958"/>
    <w:rsid w:val="00817A42"/>
    <w:rsid w:val="00817B66"/>
    <w:rsid w:val="00817B67"/>
    <w:rsid w:val="00817BAA"/>
    <w:rsid w:val="00817BE1"/>
    <w:rsid w:val="00817C29"/>
    <w:rsid w:val="00817C51"/>
    <w:rsid w:val="00817C62"/>
    <w:rsid w:val="00817CBF"/>
    <w:rsid w:val="00817D2C"/>
    <w:rsid w:val="00817D58"/>
    <w:rsid w:val="00817DE4"/>
    <w:rsid w:val="00817DE7"/>
    <w:rsid w:val="00817E2B"/>
    <w:rsid w:val="00817E35"/>
    <w:rsid w:val="00817EA7"/>
    <w:rsid w:val="00817F01"/>
    <w:rsid w:val="00817F0A"/>
    <w:rsid w:val="00817F6E"/>
    <w:rsid w:val="00820091"/>
    <w:rsid w:val="008200B6"/>
    <w:rsid w:val="008200B7"/>
    <w:rsid w:val="008201D3"/>
    <w:rsid w:val="00820362"/>
    <w:rsid w:val="008203B0"/>
    <w:rsid w:val="008203FD"/>
    <w:rsid w:val="00820435"/>
    <w:rsid w:val="00820439"/>
    <w:rsid w:val="00820444"/>
    <w:rsid w:val="00820453"/>
    <w:rsid w:val="00820489"/>
    <w:rsid w:val="008204BB"/>
    <w:rsid w:val="008204E5"/>
    <w:rsid w:val="00820572"/>
    <w:rsid w:val="00820593"/>
    <w:rsid w:val="00820633"/>
    <w:rsid w:val="00820668"/>
    <w:rsid w:val="0082067E"/>
    <w:rsid w:val="00820686"/>
    <w:rsid w:val="00820715"/>
    <w:rsid w:val="00820762"/>
    <w:rsid w:val="008207A1"/>
    <w:rsid w:val="00820835"/>
    <w:rsid w:val="00820849"/>
    <w:rsid w:val="008208DF"/>
    <w:rsid w:val="00820915"/>
    <w:rsid w:val="00820919"/>
    <w:rsid w:val="00820948"/>
    <w:rsid w:val="00820971"/>
    <w:rsid w:val="008209C8"/>
    <w:rsid w:val="00820A2D"/>
    <w:rsid w:val="00820A43"/>
    <w:rsid w:val="00820A7F"/>
    <w:rsid w:val="00820B5B"/>
    <w:rsid w:val="00820D90"/>
    <w:rsid w:val="00820DA7"/>
    <w:rsid w:val="00820E41"/>
    <w:rsid w:val="00820E87"/>
    <w:rsid w:val="00820EA8"/>
    <w:rsid w:val="00820EC6"/>
    <w:rsid w:val="00820EE3"/>
    <w:rsid w:val="00820F16"/>
    <w:rsid w:val="00820F19"/>
    <w:rsid w:val="00820F33"/>
    <w:rsid w:val="00820F4F"/>
    <w:rsid w:val="00820F5B"/>
    <w:rsid w:val="00820FEF"/>
    <w:rsid w:val="0082100C"/>
    <w:rsid w:val="00821037"/>
    <w:rsid w:val="00821044"/>
    <w:rsid w:val="00821068"/>
    <w:rsid w:val="0082107C"/>
    <w:rsid w:val="008210DD"/>
    <w:rsid w:val="00821124"/>
    <w:rsid w:val="00821138"/>
    <w:rsid w:val="0082120D"/>
    <w:rsid w:val="00821212"/>
    <w:rsid w:val="008212FF"/>
    <w:rsid w:val="0082132A"/>
    <w:rsid w:val="00821457"/>
    <w:rsid w:val="0082149A"/>
    <w:rsid w:val="00821700"/>
    <w:rsid w:val="00821734"/>
    <w:rsid w:val="00821787"/>
    <w:rsid w:val="008217A1"/>
    <w:rsid w:val="008217D1"/>
    <w:rsid w:val="008217E7"/>
    <w:rsid w:val="0082185B"/>
    <w:rsid w:val="008218B0"/>
    <w:rsid w:val="0082195C"/>
    <w:rsid w:val="0082195D"/>
    <w:rsid w:val="00821961"/>
    <w:rsid w:val="00821986"/>
    <w:rsid w:val="008219BA"/>
    <w:rsid w:val="008219F3"/>
    <w:rsid w:val="008219FB"/>
    <w:rsid w:val="00821A7E"/>
    <w:rsid w:val="00821A98"/>
    <w:rsid w:val="00821B83"/>
    <w:rsid w:val="00821C29"/>
    <w:rsid w:val="00821CB6"/>
    <w:rsid w:val="00821CDD"/>
    <w:rsid w:val="00821CEB"/>
    <w:rsid w:val="00821CF2"/>
    <w:rsid w:val="00821D7F"/>
    <w:rsid w:val="00821D80"/>
    <w:rsid w:val="00821DDA"/>
    <w:rsid w:val="008220D1"/>
    <w:rsid w:val="00822194"/>
    <w:rsid w:val="008221AB"/>
    <w:rsid w:val="008221B3"/>
    <w:rsid w:val="008221CA"/>
    <w:rsid w:val="0082223A"/>
    <w:rsid w:val="0082225A"/>
    <w:rsid w:val="00822291"/>
    <w:rsid w:val="00822299"/>
    <w:rsid w:val="0082229A"/>
    <w:rsid w:val="00822321"/>
    <w:rsid w:val="00822445"/>
    <w:rsid w:val="008224A0"/>
    <w:rsid w:val="008224A4"/>
    <w:rsid w:val="008224B9"/>
    <w:rsid w:val="008224D0"/>
    <w:rsid w:val="0082254C"/>
    <w:rsid w:val="00822569"/>
    <w:rsid w:val="00822596"/>
    <w:rsid w:val="00822606"/>
    <w:rsid w:val="0082261F"/>
    <w:rsid w:val="0082262B"/>
    <w:rsid w:val="00822688"/>
    <w:rsid w:val="008226EF"/>
    <w:rsid w:val="008226FA"/>
    <w:rsid w:val="00822700"/>
    <w:rsid w:val="0082274D"/>
    <w:rsid w:val="0082286E"/>
    <w:rsid w:val="00822918"/>
    <w:rsid w:val="00822979"/>
    <w:rsid w:val="008229F1"/>
    <w:rsid w:val="00822A42"/>
    <w:rsid w:val="00822A8D"/>
    <w:rsid w:val="00822B37"/>
    <w:rsid w:val="00822BBF"/>
    <w:rsid w:val="00822C10"/>
    <w:rsid w:val="00822D4B"/>
    <w:rsid w:val="00822E00"/>
    <w:rsid w:val="00822E13"/>
    <w:rsid w:val="00822E6E"/>
    <w:rsid w:val="00822F10"/>
    <w:rsid w:val="0082302E"/>
    <w:rsid w:val="0082303F"/>
    <w:rsid w:val="008230F0"/>
    <w:rsid w:val="00823126"/>
    <w:rsid w:val="00823196"/>
    <w:rsid w:val="008231A4"/>
    <w:rsid w:val="008231C3"/>
    <w:rsid w:val="008231CD"/>
    <w:rsid w:val="008231DB"/>
    <w:rsid w:val="008231F5"/>
    <w:rsid w:val="00823273"/>
    <w:rsid w:val="0082329E"/>
    <w:rsid w:val="0082330C"/>
    <w:rsid w:val="00823377"/>
    <w:rsid w:val="0082337F"/>
    <w:rsid w:val="00823395"/>
    <w:rsid w:val="008233B4"/>
    <w:rsid w:val="008233C3"/>
    <w:rsid w:val="008234CD"/>
    <w:rsid w:val="008234D1"/>
    <w:rsid w:val="00823521"/>
    <w:rsid w:val="0082356C"/>
    <w:rsid w:val="00823585"/>
    <w:rsid w:val="008235EF"/>
    <w:rsid w:val="00823663"/>
    <w:rsid w:val="00823675"/>
    <w:rsid w:val="008236CB"/>
    <w:rsid w:val="00823719"/>
    <w:rsid w:val="0082373F"/>
    <w:rsid w:val="0082374F"/>
    <w:rsid w:val="0082376A"/>
    <w:rsid w:val="008237B3"/>
    <w:rsid w:val="0082380C"/>
    <w:rsid w:val="00823892"/>
    <w:rsid w:val="00823933"/>
    <w:rsid w:val="00823959"/>
    <w:rsid w:val="00823979"/>
    <w:rsid w:val="00823A1C"/>
    <w:rsid w:val="00823A28"/>
    <w:rsid w:val="00823B08"/>
    <w:rsid w:val="00823B6E"/>
    <w:rsid w:val="00823BDA"/>
    <w:rsid w:val="00823D08"/>
    <w:rsid w:val="00823D21"/>
    <w:rsid w:val="00823D22"/>
    <w:rsid w:val="00823D33"/>
    <w:rsid w:val="00823D36"/>
    <w:rsid w:val="00823D40"/>
    <w:rsid w:val="00823DB0"/>
    <w:rsid w:val="00823DCC"/>
    <w:rsid w:val="00823DDD"/>
    <w:rsid w:val="00823E0E"/>
    <w:rsid w:val="00823E4C"/>
    <w:rsid w:val="00823E6E"/>
    <w:rsid w:val="00823EC5"/>
    <w:rsid w:val="00823F50"/>
    <w:rsid w:val="00823F80"/>
    <w:rsid w:val="00823F96"/>
    <w:rsid w:val="00824009"/>
    <w:rsid w:val="00824012"/>
    <w:rsid w:val="0082407E"/>
    <w:rsid w:val="008240A0"/>
    <w:rsid w:val="008240F2"/>
    <w:rsid w:val="0082410C"/>
    <w:rsid w:val="00824119"/>
    <w:rsid w:val="00824122"/>
    <w:rsid w:val="008241DA"/>
    <w:rsid w:val="00824253"/>
    <w:rsid w:val="008242D7"/>
    <w:rsid w:val="008242FC"/>
    <w:rsid w:val="00824354"/>
    <w:rsid w:val="008243C6"/>
    <w:rsid w:val="008244B0"/>
    <w:rsid w:val="008244BE"/>
    <w:rsid w:val="008245AB"/>
    <w:rsid w:val="008245D4"/>
    <w:rsid w:val="008246D1"/>
    <w:rsid w:val="008246E9"/>
    <w:rsid w:val="00824773"/>
    <w:rsid w:val="008247A3"/>
    <w:rsid w:val="008247F8"/>
    <w:rsid w:val="00824811"/>
    <w:rsid w:val="00824847"/>
    <w:rsid w:val="00824869"/>
    <w:rsid w:val="008248AD"/>
    <w:rsid w:val="008248B0"/>
    <w:rsid w:val="008248DF"/>
    <w:rsid w:val="0082491C"/>
    <w:rsid w:val="00824922"/>
    <w:rsid w:val="00824957"/>
    <w:rsid w:val="00824961"/>
    <w:rsid w:val="00824A61"/>
    <w:rsid w:val="00824AA0"/>
    <w:rsid w:val="00824B34"/>
    <w:rsid w:val="00824B97"/>
    <w:rsid w:val="00824BF0"/>
    <w:rsid w:val="00824C7E"/>
    <w:rsid w:val="00824D8F"/>
    <w:rsid w:val="00824DE9"/>
    <w:rsid w:val="00824E05"/>
    <w:rsid w:val="00824E52"/>
    <w:rsid w:val="00824E8C"/>
    <w:rsid w:val="00824EB0"/>
    <w:rsid w:val="00824F11"/>
    <w:rsid w:val="00824F13"/>
    <w:rsid w:val="00824F2C"/>
    <w:rsid w:val="00824F30"/>
    <w:rsid w:val="00824FA3"/>
    <w:rsid w:val="00825029"/>
    <w:rsid w:val="0082508F"/>
    <w:rsid w:val="008250D6"/>
    <w:rsid w:val="008250FE"/>
    <w:rsid w:val="008250FF"/>
    <w:rsid w:val="00825120"/>
    <w:rsid w:val="00825146"/>
    <w:rsid w:val="0082516C"/>
    <w:rsid w:val="00825172"/>
    <w:rsid w:val="008251A2"/>
    <w:rsid w:val="00825228"/>
    <w:rsid w:val="00825236"/>
    <w:rsid w:val="00825266"/>
    <w:rsid w:val="00825301"/>
    <w:rsid w:val="00825359"/>
    <w:rsid w:val="008253A2"/>
    <w:rsid w:val="0082548D"/>
    <w:rsid w:val="008254CC"/>
    <w:rsid w:val="008254EE"/>
    <w:rsid w:val="00825512"/>
    <w:rsid w:val="00825588"/>
    <w:rsid w:val="0082559A"/>
    <w:rsid w:val="008255F3"/>
    <w:rsid w:val="00825688"/>
    <w:rsid w:val="0082569E"/>
    <w:rsid w:val="0082569F"/>
    <w:rsid w:val="008256F3"/>
    <w:rsid w:val="0082574C"/>
    <w:rsid w:val="0082577E"/>
    <w:rsid w:val="008257BB"/>
    <w:rsid w:val="0082580C"/>
    <w:rsid w:val="00825854"/>
    <w:rsid w:val="008258D2"/>
    <w:rsid w:val="00825972"/>
    <w:rsid w:val="008259E8"/>
    <w:rsid w:val="00825AB6"/>
    <w:rsid w:val="00825AE3"/>
    <w:rsid w:val="00825B92"/>
    <w:rsid w:val="00825BB4"/>
    <w:rsid w:val="00825BC8"/>
    <w:rsid w:val="00825C31"/>
    <w:rsid w:val="00825C47"/>
    <w:rsid w:val="00825C5E"/>
    <w:rsid w:val="00825D5A"/>
    <w:rsid w:val="00825D5E"/>
    <w:rsid w:val="00825DB5"/>
    <w:rsid w:val="00825E6A"/>
    <w:rsid w:val="00825E7C"/>
    <w:rsid w:val="00825F02"/>
    <w:rsid w:val="00825F5E"/>
    <w:rsid w:val="00825F67"/>
    <w:rsid w:val="00825FD0"/>
    <w:rsid w:val="00825FE2"/>
    <w:rsid w:val="00826123"/>
    <w:rsid w:val="008261B7"/>
    <w:rsid w:val="008261F3"/>
    <w:rsid w:val="0082627F"/>
    <w:rsid w:val="0082628B"/>
    <w:rsid w:val="008262E3"/>
    <w:rsid w:val="00826309"/>
    <w:rsid w:val="00826369"/>
    <w:rsid w:val="0082636D"/>
    <w:rsid w:val="00826374"/>
    <w:rsid w:val="00826379"/>
    <w:rsid w:val="008263C4"/>
    <w:rsid w:val="0082645E"/>
    <w:rsid w:val="008264C2"/>
    <w:rsid w:val="008264F6"/>
    <w:rsid w:val="008265EC"/>
    <w:rsid w:val="008265FC"/>
    <w:rsid w:val="00826633"/>
    <w:rsid w:val="00826752"/>
    <w:rsid w:val="00826767"/>
    <w:rsid w:val="00826788"/>
    <w:rsid w:val="00826803"/>
    <w:rsid w:val="008268AD"/>
    <w:rsid w:val="008268BB"/>
    <w:rsid w:val="008268C6"/>
    <w:rsid w:val="00826951"/>
    <w:rsid w:val="008269EA"/>
    <w:rsid w:val="008269F9"/>
    <w:rsid w:val="00826A7E"/>
    <w:rsid w:val="00826AAC"/>
    <w:rsid w:val="00826AD9"/>
    <w:rsid w:val="00826BC4"/>
    <w:rsid w:val="00826C12"/>
    <w:rsid w:val="00826D7B"/>
    <w:rsid w:val="00826D7F"/>
    <w:rsid w:val="00826DB9"/>
    <w:rsid w:val="00826DE4"/>
    <w:rsid w:val="00826E2F"/>
    <w:rsid w:val="00826F2D"/>
    <w:rsid w:val="00826FF7"/>
    <w:rsid w:val="0082700C"/>
    <w:rsid w:val="0082701B"/>
    <w:rsid w:val="0082702D"/>
    <w:rsid w:val="00827099"/>
    <w:rsid w:val="008270CE"/>
    <w:rsid w:val="00827170"/>
    <w:rsid w:val="0082719E"/>
    <w:rsid w:val="00827286"/>
    <w:rsid w:val="00827347"/>
    <w:rsid w:val="0082734B"/>
    <w:rsid w:val="00827391"/>
    <w:rsid w:val="00827397"/>
    <w:rsid w:val="008273BD"/>
    <w:rsid w:val="008273D5"/>
    <w:rsid w:val="0082742B"/>
    <w:rsid w:val="008274BE"/>
    <w:rsid w:val="008274E9"/>
    <w:rsid w:val="0082751D"/>
    <w:rsid w:val="0082756C"/>
    <w:rsid w:val="00827590"/>
    <w:rsid w:val="008275A3"/>
    <w:rsid w:val="008275B4"/>
    <w:rsid w:val="008275BE"/>
    <w:rsid w:val="008276BD"/>
    <w:rsid w:val="00827814"/>
    <w:rsid w:val="0082783C"/>
    <w:rsid w:val="00827890"/>
    <w:rsid w:val="0082795C"/>
    <w:rsid w:val="00827967"/>
    <w:rsid w:val="0082796C"/>
    <w:rsid w:val="00827A31"/>
    <w:rsid w:val="00827A77"/>
    <w:rsid w:val="00827AD4"/>
    <w:rsid w:val="00827B28"/>
    <w:rsid w:val="00827B91"/>
    <w:rsid w:val="00827B94"/>
    <w:rsid w:val="00827BF8"/>
    <w:rsid w:val="00827C12"/>
    <w:rsid w:val="00827C1B"/>
    <w:rsid w:val="00827C28"/>
    <w:rsid w:val="00827CE8"/>
    <w:rsid w:val="00827D4D"/>
    <w:rsid w:val="00827D75"/>
    <w:rsid w:val="00827E49"/>
    <w:rsid w:val="00827EB1"/>
    <w:rsid w:val="00827F01"/>
    <w:rsid w:val="00827F08"/>
    <w:rsid w:val="00827FE6"/>
    <w:rsid w:val="00827FF8"/>
    <w:rsid w:val="0083006A"/>
    <w:rsid w:val="008300B1"/>
    <w:rsid w:val="00830156"/>
    <w:rsid w:val="00830161"/>
    <w:rsid w:val="008301DC"/>
    <w:rsid w:val="00830230"/>
    <w:rsid w:val="0083032E"/>
    <w:rsid w:val="008303C7"/>
    <w:rsid w:val="0083041D"/>
    <w:rsid w:val="00830420"/>
    <w:rsid w:val="0083045D"/>
    <w:rsid w:val="008305B3"/>
    <w:rsid w:val="008305CA"/>
    <w:rsid w:val="008305F0"/>
    <w:rsid w:val="0083061A"/>
    <w:rsid w:val="00830692"/>
    <w:rsid w:val="008306A6"/>
    <w:rsid w:val="008306BA"/>
    <w:rsid w:val="008306FF"/>
    <w:rsid w:val="00830744"/>
    <w:rsid w:val="00830761"/>
    <w:rsid w:val="008307D3"/>
    <w:rsid w:val="008307E7"/>
    <w:rsid w:val="00830815"/>
    <w:rsid w:val="00830929"/>
    <w:rsid w:val="0083096A"/>
    <w:rsid w:val="00830A2D"/>
    <w:rsid w:val="00830A4C"/>
    <w:rsid w:val="00830A70"/>
    <w:rsid w:val="00830A81"/>
    <w:rsid w:val="00830AA3"/>
    <w:rsid w:val="00830B89"/>
    <w:rsid w:val="00830C87"/>
    <w:rsid w:val="00830CC3"/>
    <w:rsid w:val="00830CD9"/>
    <w:rsid w:val="00830D2C"/>
    <w:rsid w:val="00830EC0"/>
    <w:rsid w:val="00830EC5"/>
    <w:rsid w:val="00830F27"/>
    <w:rsid w:val="00831013"/>
    <w:rsid w:val="00831064"/>
    <w:rsid w:val="00831076"/>
    <w:rsid w:val="00831091"/>
    <w:rsid w:val="008310A5"/>
    <w:rsid w:val="008310A9"/>
    <w:rsid w:val="008310AA"/>
    <w:rsid w:val="008310EB"/>
    <w:rsid w:val="008310F1"/>
    <w:rsid w:val="00831214"/>
    <w:rsid w:val="00831215"/>
    <w:rsid w:val="0083121C"/>
    <w:rsid w:val="00831237"/>
    <w:rsid w:val="00831266"/>
    <w:rsid w:val="008312EB"/>
    <w:rsid w:val="0083142E"/>
    <w:rsid w:val="00831441"/>
    <w:rsid w:val="008315B2"/>
    <w:rsid w:val="008315E7"/>
    <w:rsid w:val="00831684"/>
    <w:rsid w:val="0083168B"/>
    <w:rsid w:val="0083169B"/>
    <w:rsid w:val="008316B9"/>
    <w:rsid w:val="008317FD"/>
    <w:rsid w:val="00831825"/>
    <w:rsid w:val="008318A8"/>
    <w:rsid w:val="008318E6"/>
    <w:rsid w:val="00831900"/>
    <w:rsid w:val="00831978"/>
    <w:rsid w:val="00831982"/>
    <w:rsid w:val="00831993"/>
    <w:rsid w:val="008319F9"/>
    <w:rsid w:val="008319FB"/>
    <w:rsid w:val="00831BD2"/>
    <w:rsid w:val="00831C82"/>
    <w:rsid w:val="00831CB5"/>
    <w:rsid w:val="00831CC7"/>
    <w:rsid w:val="00831D66"/>
    <w:rsid w:val="00831D6B"/>
    <w:rsid w:val="00831DA9"/>
    <w:rsid w:val="00831E1D"/>
    <w:rsid w:val="00831E9A"/>
    <w:rsid w:val="00831F12"/>
    <w:rsid w:val="00831F27"/>
    <w:rsid w:val="00831F4D"/>
    <w:rsid w:val="00831F6A"/>
    <w:rsid w:val="00831FE4"/>
    <w:rsid w:val="0083204E"/>
    <w:rsid w:val="00832055"/>
    <w:rsid w:val="00832085"/>
    <w:rsid w:val="008320BE"/>
    <w:rsid w:val="008320D0"/>
    <w:rsid w:val="00832192"/>
    <w:rsid w:val="0083220D"/>
    <w:rsid w:val="008322BF"/>
    <w:rsid w:val="008323C9"/>
    <w:rsid w:val="00832408"/>
    <w:rsid w:val="00832501"/>
    <w:rsid w:val="0083253F"/>
    <w:rsid w:val="00832551"/>
    <w:rsid w:val="008326A0"/>
    <w:rsid w:val="008326E4"/>
    <w:rsid w:val="008327B2"/>
    <w:rsid w:val="00832814"/>
    <w:rsid w:val="00832821"/>
    <w:rsid w:val="008328BF"/>
    <w:rsid w:val="00832930"/>
    <w:rsid w:val="00832949"/>
    <w:rsid w:val="00832977"/>
    <w:rsid w:val="008329A8"/>
    <w:rsid w:val="00832BDB"/>
    <w:rsid w:val="00832C10"/>
    <w:rsid w:val="00832CCD"/>
    <w:rsid w:val="00832D3A"/>
    <w:rsid w:val="00832D4C"/>
    <w:rsid w:val="00832D77"/>
    <w:rsid w:val="00832DFF"/>
    <w:rsid w:val="00832E63"/>
    <w:rsid w:val="00832E7A"/>
    <w:rsid w:val="00832ED3"/>
    <w:rsid w:val="00832F15"/>
    <w:rsid w:val="00832F5A"/>
    <w:rsid w:val="00832FCA"/>
    <w:rsid w:val="00832FF5"/>
    <w:rsid w:val="00833007"/>
    <w:rsid w:val="0083300A"/>
    <w:rsid w:val="0083301E"/>
    <w:rsid w:val="00833074"/>
    <w:rsid w:val="00833133"/>
    <w:rsid w:val="008331E8"/>
    <w:rsid w:val="00833275"/>
    <w:rsid w:val="008332EA"/>
    <w:rsid w:val="008333E8"/>
    <w:rsid w:val="00833400"/>
    <w:rsid w:val="00833408"/>
    <w:rsid w:val="008334AE"/>
    <w:rsid w:val="0083351C"/>
    <w:rsid w:val="0083352F"/>
    <w:rsid w:val="0083355C"/>
    <w:rsid w:val="0083359E"/>
    <w:rsid w:val="008335C6"/>
    <w:rsid w:val="008335E4"/>
    <w:rsid w:val="0083361F"/>
    <w:rsid w:val="0083362F"/>
    <w:rsid w:val="008336EB"/>
    <w:rsid w:val="0083371C"/>
    <w:rsid w:val="00833793"/>
    <w:rsid w:val="0083380B"/>
    <w:rsid w:val="00833860"/>
    <w:rsid w:val="0083388C"/>
    <w:rsid w:val="008338B5"/>
    <w:rsid w:val="008338E7"/>
    <w:rsid w:val="008339B4"/>
    <w:rsid w:val="008339B9"/>
    <w:rsid w:val="00833A00"/>
    <w:rsid w:val="00833AA2"/>
    <w:rsid w:val="00833B31"/>
    <w:rsid w:val="00833B75"/>
    <w:rsid w:val="00833BEF"/>
    <w:rsid w:val="00833D52"/>
    <w:rsid w:val="00833DAF"/>
    <w:rsid w:val="00833E2F"/>
    <w:rsid w:val="0083403B"/>
    <w:rsid w:val="0083406F"/>
    <w:rsid w:val="00834201"/>
    <w:rsid w:val="0083424F"/>
    <w:rsid w:val="00834280"/>
    <w:rsid w:val="00834317"/>
    <w:rsid w:val="00834368"/>
    <w:rsid w:val="00834373"/>
    <w:rsid w:val="008343A0"/>
    <w:rsid w:val="008343F4"/>
    <w:rsid w:val="0083449A"/>
    <w:rsid w:val="00834518"/>
    <w:rsid w:val="00834527"/>
    <w:rsid w:val="0083459C"/>
    <w:rsid w:val="008346C7"/>
    <w:rsid w:val="008346E6"/>
    <w:rsid w:val="0083472A"/>
    <w:rsid w:val="0083472B"/>
    <w:rsid w:val="00834744"/>
    <w:rsid w:val="008347A2"/>
    <w:rsid w:val="0083480B"/>
    <w:rsid w:val="00834851"/>
    <w:rsid w:val="00834870"/>
    <w:rsid w:val="00834891"/>
    <w:rsid w:val="008348D9"/>
    <w:rsid w:val="0083493E"/>
    <w:rsid w:val="00834982"/>
    <w:rsid w:val="0083499F"/>
    <w:rsid w:val="008349D6"/>
    <w:rsid w:val="00834A34"/>
    <w:rsid w:val="00834A4E"/>
    <w:rsid w:val="00834AC1"/>
    <w:rsid w:val="00834B76"/>
    <w:rsid w:val="00834BAF"/>
    <w:rsid w:val="00834C39"/>
    <w:rsid w:val="00834C55"/>
    <w:rsid w:val="00834C6D"/>
    <w:rsid w:val="00834CEC"/>
    <w:rsid w:val="00834CFC"/>
    <w:rsid w:val="00834D30"/>
    <w:rsid w:val="00834ED3"/>
    <w:rsid w:val="00834F36"/>
    <w:rsid w:val="00834F50"/>
    <w:rsid w:val="00834F75"/>
    <w:rsid w:val="00834F90"/>
    <w:rsid w:val="00835072"/>
    <w:rsid w:val="008350BE"/>
    <w:rsid w:val="00835106"/>
    <w:rsid w:val="0083510A"/>
    <w:rsid w:val="00835195"/>
    <w:rsid w:val="008351A1"/>
    <w:rsid w:val="008351C8"/>
    <w:rsid w:val="00835206"/>
    <w:rsid w:val="00835231"/>
    <w:rsid w:val="00835289"/>
    <w:rsid w:val="008352BB"/>
    <w:rsid w:val="0083531F"/>
    <w:rsid w:val="00835345"/>
    <w:rsid w:val="0083534D"/>
    <w:rsid w:val="00835357"/>
    <w:rsid w:val="0083539A"/>
    <w:rsid w:val="008353C5"/>
    <w:rsid w:val="0083540B"/>
    <w:rsid w:val="0083551B"/>
    <w:rsid w:val="00835690"/>
    <w:rsid w:val="008356DF"/>
    <w:rsid w:val="00835857"/>
    <w:rsid w:val="00835895"/>
    <w:rsid w:val="00835909"/>
    <w:rsid w:val="0083596D"/>
    <w:rsid w:val="00835A8E"/>
    <w:rsid w:val="00835B31"/>
    <w:rsid w:val="00835B33"/>
    <w:rsid w:val="00835BC7"/>
    <w:rsid w:val="00835C01"/>
    <w:rsid w:val="00835C0A"/>
    <w:rsid w:val="00835C39"/>
    <w:rsid w:val="00835CC6"/>
    <w:rsid w:val="00835D37"/>
    <w:rsid w:val="00835DD8"/>
    <w:rsid w:val="00835E0C"/>
    <w:rsid w:val="00835E62"/>
    <w:rsid w:val="00835EC0"/>
    <w:rsid w:val="00835EC8"/>
    <w:rsid w:val="00835ED1"/>
    <w:rsid w:val="00835EE0"/>
    <w:rsid w:val="00835F44"/>
    <w:rsid w:val="00835F88"/>
    <w:rsid w:val="00836054"/>
    <w:rsid w:val="0083606C"/>
    <w:rsid w:val="008360A5"/>
    <w:rsid w:val="008360DE"/>
    <w:rsid w:val="00836157"/>
    <w:rsid w:val="0083616B"/>
    <w:rsid w:val="0083627B"/>
    <w:rsid w:val="00836453"/>
    <w:rsid w:val="008364BA"/>
    <w:rsid w:val="00836503"/>
    <w:rsid w:val="00836560"/>
    <w:rsid w:val="008365A9"/>
    <w:rsid w:val="008365B1"/>
    <w:rsid w:val="008365BF"/>
    <w:rsid w:val="008365CC"/>
    <w:rsid w:val="0083664E"/>
    <w:rsid w:val="00836731"/>
    <w:rsid w:val="008368BE"/>
    <w:rsid w:val="0083694F"/>
    <w:rsid w:val="00836969"/>
    <w:rsid w:val="00836983"/>
    <w:rsid w:val="008369B2"/>
    <w:rsid w:val="008369C3"/>
    <w:rsid w:val="00836A18"/>
    <w:rsid w:val="00836AB4"/>
    <w:rsid w:val="00836B15"/>
    <w:rsid w:val="00836B41"/>
    <w:rsid w:val="00836BE8"/>
    <w:rsid w:val="00836BF1"/>
    <w:rsid w:val="00836C04"/>
    <w:rsid w:val="00836C2A"/>
    <w:rsid w:val="00836C67"/>
    <w:rsid w:val="00836CCD"/>
    <w:rsid w:val="00836D51"/>
    <w:rsid w:val="00836D53"/>
    <w:rsid w:val="00836DF4"/>
    <w:rsid w:val="00836E1A"/>
    <w:rsid w:val="00836E90"/>
    <w:rsid w:val="00836E9A"/>
    <w:rsid w:val="00836F19"/>
    <w:rsid w:val="00836F3B"/>
    <w:rsid w:val="00836FAD"/>
    <w:rsid w:val="00836FB7"/>
    <w:rsid w:val="00836FED"/>
    <w:rsid w:val="00836FF5"/>
    <w:rsid w:val="0083701C"/>
    <w:rsid w:val="00837030"/>
    <w:rsid w:val="0083703F"/>
    <w:rsid w:val="00837044"/>
    <w:rsid w:val="00837091"/>
    <w:rsid w:val="008370C2"/>
    <w:rsid w:val="008370E4"/>
    <w:rsid w:val="008370F1"/>
    <w:rsid w:val="00837133"/>
    <w:rsid w:val="0083715D"/>
    <w:rsid w:val="0083717B"/>
    <w:rsid w:val="008371A9"/>
    <w:rsid w:val="008371E9"/>
    <w:rsid w:val="0083722F"/>
    <w:rsid w:val="0083724A"/>
    <w:rsid w:val="0083727F"/>
    <w:rsid w:val="00837281"/>
    <w:rsid w:val="00837292"/>
    <w:rsid w:val="00837448"/>
    <w:rsid w:val="0083751E"/>
    <w:rsid w:val="008375AB"/>
    <w:rsid w:val="00837603"/>
    <w:rsid w:val="00837623"/>
    <w:rsid w:val="0083763B"/>
    <w:rsid w:val="0083768C"/>
    <w:rsid w:val="008376C3"/>
    <w:rsid w:val="008376D0"/>
    <w:rsid w:val="008377F3"/>
    <w:rsid w:val="008377FD"/>
    <w:rsid w:val="008378AC"/>
    <w:rsid w:val="008378D6"/>
    <w:rsid w:val="00837987"/>
    <w:rsid w:val="008379BB"/>
    <w:rsid w:val="008379C4"/>
    <w:rsid w:val="008379E3"/>
    <w:rsid w:val="008379F4"/>
    <w:rsid w:val="00837A3E"/>
    <w:rsid w:val="00837A7F"/>
    <w:rsid w:val="00837B2F"/>
    <w:rsid w:val="00837CC7"/>
    <w:rsid w:val="00837D20"/>
    <w:rsid w:val="00837D8C"/>
    <w:rsid w:val="00837DD3"/>
    <w:rsid w:val="00837E24"/>
    <w:rsid w:val="00837EAF"/>
    <w:rsid w:val="00837ECD"/>
    <w:rsid w:val="00837F26"/>
    <w:rsid w:val="00837F45"/>
    <w:rsid w:val="00837FF6"/>
    <w:rsid w:val="008400BA"/>
    <w:rsid w:val="00840242"/>
    <w:rsid w:val="008402A8"/>
    <w:rsid w:val="008402F2"/>
    <w:rsid w:val="00840304"/>
    <w:rsid w:val="0084030E"/>
    <w:rsid w:val="0084034A"/>
    <w:rsid w:val="00840390"/>
    <w:rsid w:val="00840440"/>
    <w:rsid w:val="008404FA"/>
    <w:rsid w:val="0084052F"/>
    <w:rsid w:val="00840539"/>
    <w:rsid w:val="00840550"/>
    <w:rsid w:val="00840563"/>
    <w:rsid w:val="0084058A"/>
    <w:rsid w:val="008405E0"/>
    <w:rsid w:val="00840604"/>
    <w:rsid w:val="008406E4"/>
    <w:rsid w:val="0084073B"/>
    <w:rsid w:val="00840777"/>
    <w:rsid w:val="00840818"/>
    <w:rsid w:val="0084084F"/>
    <w:rsid w:val="00840874"/>
    <w:rsid w:val="00840897"/>
    <w:rsid w:val="0084092F"/>
    <w:rsid w:val="008409DA"/>
    <w:rsid w:val="00840A6D"/>
    <w:rsid w:val="00840B18"/>
    <w:rsid w:val="00840B8B"/>
    <w:rsid w:val="00840BF9"/>
    <w:rsid w:val="00840C17"/>
    <w:rsid w:val="00840C19"/>
    <w:rsid w:val="00840CC3"/>
    <w:rsid w:val="00840D17"/>
    <w:rsid w:val="00840D40"/>
    <w:rsid w:val="00840D7B"/>
    <w:rsid w:val="00840DF7"/>
    <w:rsid w:val="00840E11"/>
    <w:rsid w:val="00840E15"/>
    <w:rsid w:val="00840F25"/>
    <w:rsid w:val="00840FA7"/>
    <w:rsid w:val="0084107D"/>
    <w:rsid w:val="008410EE"/>
    <w:rsid w:val="008410FB"/>
    <w:rsid w:val="00841165"/>
    <w:rsid w:val="00841246"/>
    <w:rsid w:val="00841251"/>
    <w:rsid w:val="00841263"/>
    <w:rsid w:val="008412D7"/>
    <w:rsid w:val="00841360"/>
    <w:rsid w:val="008413D7"/>
    <w:rsid w:val="008413F2"/>
    <w:rsid w:val="0084149B"/>
    <w:rsid w:val="008414B8"/>
    <w:rsid w:val="008414F4"/>
    <w:rsid w:val="0084150C"/>
    <w:rsid w:val="00841622"/>
    <w:rsid w:val="00841653"/>
    <w:rsid w:val="00841681"/>
    <w:rsid w:val="00841756"/>
    <w:rsid w:val="00841758"/>
    <w:rsid w:val="008417E5"/>
    <w:rsid w:val="008417E9"/>
    <w:rsid w:val="00841811"/>
    <w:rsid w:val="00841821"/>
    <w:rsid w:val="0084187B"/>
    <w:rsid w:val="0084187E"/>
    <w:rsid w:val="00841920"/>
    <w:rsid w:val="00841952"/>
    <w:rsid w:val="0084196F"/>
    <w:rsid w:val="0084199F"/>
    <w:rsid w:val="008419AB"/>
    <w:rsid w:val="00841AC5"/>
    <w:rsid w:val="00841AC8"/>
    <w:rsid w:val="00841ACC"/>
    <w:rsid w:val="00841AFB"/>
    <w:rsid w:val="00841B15"/>
    <w:rsid w:val="00841B72"/>
    <w:rsid w:val="00841BA3"/>
    <w:rsid w:val="00841D87"/>
    <w:rsid w:val="00841DC2"/>
    <w:rsid w:val="00841DD6"/>
    <w:rsid w:val="00841E7A"/>
    <w:rsid w:val="00841EA4"/>
    <w:rsid w:val="00841EB5"/>
    <w:rsid w:val="00841F75"/>
    <w:rsid w:val="00842069"/>
    <w:rsid w:val="0084207B"/>
    <w:rsid w:val="008420BC"/>
    <w:rsid w:val="00842119"/>
    <w:rsid w:val="008421C6"/>
    <w:rsid w:val="00842231"/>
    <w:rsid w:val="00842284"/>
    <w:rsid w:val="008422D0"/>
    <w:rsid w:val="0084238B"/>
    <w:rsid w:val="0084240B"/>
    <w:rsid w:val="00842473"/>
    <w:rsid w:val="00842505"/>
    <w:rsid w:val="00842559"/>
    <w:rsid w:val="00842588"/>
    <w:rsid w:val="008425F4"/>
    <w:rsid w:val="00842686"/>
    <w:rsid w:val="00842714"/>
    <w:rsid w:val="00842721"/>
    <w:rsid w:val="008427AF"/>
    <w:rsid w:val="008427BC"/>
    <w:rsid w:val="008427FD"/>
    <w:rsid w:val="008428D9"/>
    <w:rsid w:val="0084292F"/>
    <w:rsid w:val="00842A33"/>
    <w:rsid w:val="00842A42"/>
    <w:rsid w:val="00842A62"/>
    <w:rsid w:val="00842ABF"/>
    <w:rsid w:val="00842AD7"/>
    <w:rsid w:val="00842BBB"/>
    <w:rsid w:val="00842BCA"/>
    <w:rsid w:val="00842D33"/>
    <w:rsid w:val="00842E32"/>
    <w:rsid w:val="00842E3B"/>
    <w:rsid w:val="00842E42"/>
    <w:rsid w:val="00842E46"/>
    <w:rsid w:val="00842F1A"/>
    <w:rsid w:val="00842F76"/>
    <w:rsid w:val="00842FC8"/>
    <w:rsid w:val="00843061"/>
    <w:rsid w:val="008430A5"/>
    <w:rsid w:val="008430BE"/>
    <w:rsid w:val="008430D8"/>
    <w:rsid w:val="008430F1"/>
    <w:rsid w:val="008432C9"/>
    <w:rsid w:val="008433E4"/>
    <w:rsid w:val="008433F2"/>
    <w:rsid w:val="008433F6"/>
    <w:rsid w:val="0084346D"/>
    <w:rsid w:val="008434FC"/>
    <w:rsid w:val="00843512"/>
    <w:rsid w:val="00843542"/>
    <w:rsid w:val="008435C7"/>
    <w:rsid w:val="008435D4"/>
    <w:rsid w:val="00843629"/>
    <w:rsid w:val="00843634"/>
    <w:rsid w:val="00843693"/>
    <w:rsid w:val="00843716"/>
    <w:rsid w:val="0084373D"/>
    <w:rsid w:val="00843786"/>
    <w:rsid w:val="0084378C"/>
    <w:rsid w:val="0084379E"/>
    <w:rsid w:val="008437B1"/>
    <w:rsid w:val="008437D5"/>
    <w:rsid w:val="008437E9"/>
    <w:rsid w:val="008437F6"/>
    <w:rsid w:val="00843867"/>
    <w:rsid w:val="008439CC"/>
    <w:rsid w:val="008439E9"/>
    <w:rsid w:val="00843A67"/>
    <w:rsid w:val="00843A84"/>
    <w:rsid w:val="00843AC4"/>
    <w:rsid w:val="00843B5B"/>
    <w:rsid w:val="00843BE7"/>
    <w:rsid w:val="00843BF6"/>
    <w:rsid w:val="00843C30"/>
    <w:rsid w:val="00843D14"/>
    <w:rsid w:val="00843D86"/>
    <w:rsid w:val="00843D94"/>
    <w:rsid w:val="00843E5B"/>
    <w:rsid w:val="00843EA6"/>
    <w:rsid w:val="00843F04"/>
    <w:rsid w:val="00843F18"/>
    <w:rsid w:val="00843F6B"/>
    <w:rsid w:val="00843F6F"/>
    <w:rsid w:val="00843FF7"/>
    <w:rsid w:val="008440A7"/>
    <w:rsid w:val="0084414B"/>
    <w:rsid w:val="0084419B"/>
    <w:rsid w:val="008441E1"/>
    <w:rsid w:val="0084421D"/>
    <w:rsid w:val="00844263"/>
    <w:rsid w:val="008442A7"/>
    <w:rsid w:val="008442B6"/>
    <w:rsid w:val="008442BE"/>
    <w:rsid w:val="00844303"/>
    <w:rsid w:val="00844311"/>
    <w:rsid w:val="00844330"/>
    <w:rsid w:val="0084433B"/>
    <w:rsid w:val="00844487"/>
    <w:rsid w:val="008444C1"/>
    <w:rsid w:val="008445AE"/>
    <w:rsid w:val="0084475F"/>
    <w:rsid w:val="0084478C"/>
    <w:rsid w:val="00844873"/>
    <w:rsid w:val="008448D4"/>
    <w:rsid w:val="008449A2"/>
    <w:rsid w:val="008449B4"/>
    <w:rsid w:val="008449DE"/>
    <w:rsid w:val="008449F0"/>
    <w:rsid w:val="00844A06"/>
    <w:rsid w:val="00844A3A"/>
    <w:rsid w:val="00844A9E"/>
    <w:rsid w:val="00844BC3"/>
    <w:rsid w:val="00844C86"/>
    <w:rsid w:val="00844D4D"/>
    <w:rsid w:val="00844D7B"/>
    <w:rsid w:val="00844DC3"/>
    <w:rsid w:val="00844E24"/>
    <w:rsid w:val="00844E25"/>
    <w:rsid w:val="00844EF6"/>
    <w:rsid w:val="00844F30"/>
    <w:rsid w:val="00844F61"/>
    <w:rsid w:val="008450D7"/>
    <w:rsid w:val="008450F2"/>
    <w:rsid w:val="008451B2"/>
    <w:rsid w:val="008451C3"/>
    <w:rsid w:val="0084520B"/>
    <w:rsid w:val="0084520E"/>
    <w:rsid w:val="00845232"/>
    <w:rsid w:val="00845271"/>
    <w:rsid w:val="008452AE"/>
    <w:rsid w:val="008453BA"/>
    <w:rsid w:val="008453BE"/>
    <w:rsid w:val="00845422"/>
    <w:rsid w:val="0084545F"/>
    <w:rsid w:val="00845533"/>
    <w:rsid w:val="00845781"/>
    <w:rsid w:val="00845819"/>
    <w:rsid w:val="00845838"/>
    <w:rsid w:val="00845889"/>
    <w:rsid w:val="008458E6"/>
    <w:rsid w:val="0084590A"/>
    <w:rsid w:val="0084593C"/>
    <w:rsid w:val="00845A7B"/>
    <w:rsid w:val="00845ACA"/>
    <w:rsid w:val="00845B66"/>
    <w:rsid w:val="00845B6C"/>
    <w:rsid w:val="00845B71"/>
    <w:rsid w:val="00845B94"/>
    <w:rsid w:val="00845C57"/>
    <w:rsid w:val="00845C71"/>
    <w:rsid w:val="00845C99"/>
    <w:rsid w:val="00845CC2"/>
    <w:rsid w:val="00845CF3"/>
    <w:rsid w:val="00845D69"/>
    <w:rsid w:val="00845D86"/>
    <w:rsid w:val="00845E16"/>
    <w:rsid w:val="00845FA5"/>
    <w:rsid w:val="00845FBA"/>
    <w:rsid w:val="00846039"/>
    <w:rsid w:val="00846041"/>
    <w:rsid w:val="00846077"/>
    <w:rsid w:val="0084607F"/>
    <w:rsid w:val="0084608E"/>
    <w:rsid w:val="00846157"/>
    <w:rsid w:val="00846168"/>
    <w:rsid w:val="0084623B"/>
    <w:rsid w:val="00846262"/>
    <w:rsid w:val="0084627A"/>
    <w:rsid w:val="00846285"/>
    <w:rsid w:val="0084628A"/>
    <w:rsid w:val="008462ED"/>
    <w:rsid w:val="00846326"/>
    <w:rsid w:val="00846397"/>
    <w:rsid w:val="008463A9"/>
    <w:rsid w:val="008463C3"/>
    <w:rsid w:val="008463CF"/>
    <w:rsid w:val="008463F8"/>
    <w:rsid w:val="0084641C"/>
    <w:rsid w:val="00846424"/>
    <w:rsid w:val="00846481"/>
    <w:rsid w:val="008464E8"/>
    <w:rsid w:val="00846509"/>
    <w:rsid w:val="00846579"/>
    <w:rsid w:val="008465CB"/>
    <w:rsid w:val="0084666D"/>
    <w:rsid w:val="008466C8"/>
    <w:rsid w:val="008466CA"/>
    <w:rsid w:val="008467A8"/>
    <w:rsid w:val="0084682B"/>
    <w:rsid w:val="0084685D"/>
    <w:rsid w:val="0084688B"/>
    <w:rsid w:val="008468C6"/>
    <w:rsid w:val="008468DB"/>
    <w:rsid w:val="008468E6"/>
    <w:rsid w:val="00846926"/>
    <w:rsid w:val="00846951"/>
    <w:rsid w:val="0084695E"/>
    <w:rsid w:val="00846A35"/>
    <w:rsid w:val="00846A66"/>
    <w:rsid w:val="00846A70"/>
    <w:rsid w:val="00846AB5"/>
    <w:rsid w:val="00846AD5"/>
    <w:rsid w:val="00846AF6"/>
    <w:rsid w:val="00846B34"/>
    <w:rsid w:val="00846B60"/>
    <w:rsid w:val="00846D49"/>
    <w:rsid w:val="00846D9A"/>
    <w:rsid w:val="00846E49"/>
    <w:rsid w:val="00846E5E"/>
    <w:rsid w:val="00846E86"/>
    <w:rsid w:val="00846E89"/>
    <w:rsid w:val="00846E95"/>
    <w:rsid w:val="00847036"/>
    <w:rsid w:val="0084705D"/>
    <w:rsid w:val="008470A4"/>
    <w:rsid w:val="008470A6"/>
    <w:rsid w:val="008470B5"/>
    <w:rsid w:val="008470E9"/>
    <w:rsid w:val="0084720D"/>
    <w:rsid w:val="0084727C"/>
    <w:rsid w:val="0084741F"/>
    <w:rsid w:val="00847454"/>
    <w:rsid w:val="008474AD"/>
    <w:rsid w:val="00847509"/>
    <w:rsid w:val="0084753F"/>
    <w:rsid w:val="008475FE"/>
    <w:rsid w:val="00847747"/>
    <w:rsid w:val="0084774D"/>
    <w:rsid w:val="008477E0"/>
    <w:rsid w:val="0084784B"/>
    <w:rsid w:val="0084785A"/>
    <w:rsid w:val="00847889"/>
    <w:rsid w:val="008478DC"/>
    <w:rsid w:val="008478E8"/>
    <w:rsid w:val="0084794E"/>
    <w:rsid w:val="008479EC"/>
    <w:rsid w:val="00847A04"/>
    <w:rsid w:val="00847A74"/>
    <w:rsid w:val="00847AF9"/>
    <w:rsid w:val="00847B30"/>
    <w:rsid w:val="00847B4C"/>
    <w:rsid w:val="00847B5C"/>
    <w:rsid w:val="00847BD0"/>
    <w:rsid w:val="00847BE6"/>
    <w:rsid w:val="00847D34"/>
    <w:rsid w:val="00847D47"/>
    <w:rsid w:val="00847DC0"/>
    <w:rsid w:val="00847E7E"/>
    <w:rsid w:val="00847EEA"/>
    <w:rsid w:val="00847EF1"/>
    <w:rsid w:val="00847F74"/>
    <w:rsid w:val="00847F8A"/>
    <w:rsid w:val="00847F99"/>
    <w:rsid w:val="00850044"/>
    <w:rsid w:val="00850089"/>
    <w:rsid w:val="00850123"/>
    <w:rsid w:val="0085012F"/>
    <w:rsid w:val="0085013E"/>
    <w:rsid w:val="00850142"/>
    <w:rsid w:val="00850206"/>
    <w:rsid w:val="0085021F"/>
    <w:rsid w:val="008502BE"/>
    <w:rsid w:val="008502E5"/>
    <w:rsid w:val="00850316"/>
    <w:rsid w:val="00850357"/>
    <w:rsid w:val="00850382"/>
    <w:rsid w:val="00850474"/>
    <w:rsid w:val="00850533"/>
    <w:rsid w:val="00850543"/>
    <w:rsid w:val="00850544"/>
    <w:rsid w:val="00850548"/>
    <w:rsid w:val="0085055A"/>
    <w:rsid w:val="008505AF"/>
    <w:rsid w:val="00850670"/>
    <w:rsid w:val="00850684"/>
    <w:rsid w:val="008506D3"/>
    <w:rsid w:val="0085070D"/>
    <w:rsid w:val="00850712"/>
    <w:rsid w:val="00850735"/>
    <w:rsid w:val="008507C3"/>
    <w:rsid w:val="008507CE"/>
    <w:rsid w:val="0085081B"/>
    <w:rsid w:val="00850832"/>
    <w:rsid w:val="00850928"/>
    <w:rsid w:val="00850973"/>
    <w:rsid w:val="00850976"/>
    <w:rsid w:val="008509B4"/>
    <w:rsid w:val="00850A49"/>
    <w:rsid w:val="00850A97"/>
    <w:rsid w:val="00850AB1"/>
    <w:rsid w:val="00850ACB"/>
    <w:rsid w:val="00850AEC"/>
    <w:rsid w:val="00850B72"/>
    <w:rsid w:val="00850BA5"/>
    <w:rsid w:val="00850BB1"/>
    <w:rsid w:val="00850BB2"/>
    <w:rsid w:val="00850BCA"/>
    <w:rsid w:val="00850BFA"/>
    <w:rsid w:val="00850C39"/>
    <w:rsid w:val="00850C53"/>
    <w:rsid w:val="00850C67"/>
    <w:rsid w:val="00850C6D"/>
    <w:rsid w:val="00850C7D"/>
    <w:rsid w:val="00850CEE"/>
    <w:rsid w:val="00850D11"/>
    <w:rsid w:val="00850D92"/>
    <w:rsid w:val="00850DC8"/>
    <w:rsid w:val="00850DFF"/>
    <w:rsid w:val="00850E0B"/>
    <w:rsid w:val="00850F5D"/>
    <w:rsid w:val="00850FE2"/>
    <w:rsid w:val="00851084"/>
    <w:rsid w:val="0085119A"/>
    <w:rsid w:val="008511E1"/>
    <w:rsid w:val="008512E6"/>
    <w:rsid w:val="008513D9"/>
    <w:rsid w:val="00851403"/>
    <w:rsid w:val="00851414"/>
    <w:rsid w:val="0085148C"/>
    <w:rsid w:val="008516A3"/>
    <w:rsid w:val="008516AA"/>
    <w:rsid w:val="008516E5"/>
    <w:rsid w:val="00851736"/>
    <w:rsid w:val="00851748"/>
    <w:rsid w:val="00851759"/>
    <w:rsid w:val="0085176D"/>
    <w:rsid w:val="008517D0"/>
    <w:rsid w:val="00851815"/>
    <w:rsid w:val="00851822"/>
    <w:rsid w:val="008518B3"/>
    <w:rsid w:val="00851935"/>
    <w:rsid w:val="0085193B"/>
    <w:rsid w:val="00851993"/>
    <w:rsid w:val="00851997"/>
    <w:rsid w:val="00851A1D"/>
    <w:rsid w:val="00851A2A"/>
    <w:rsid w:val="00851A5D"/>
    <w:rsid w:val="00851A5F"/>
    <w:rsid w:val="00851A7E"/>
    <w:rsid w:val="00851B66"/>
    <w:rsid w:val="00851BB7"/>
    <w:rsid w:val="00851C32"/>
    <w:rsid w:val="00851C3D"/>
    <w:rsid w:val="00851C42"/>
    <w:rsid w:val="00851C6D"/>
    <w:rsid w:val="00851C79"/>
    <w:rsid w:val="00851C7A"/>
    <w:rsid w:val="00851D01"/>
    <w:rsid w:val="00851DE3"/>
    <w:rsid w:val="00851E00"/>
    <w:rsid w:val="00851E57"/>
    <w:rsid w:val="00851E80"/>
    <w:rsid w:val="00851E8B"/>
    <w:rsid w:val="00851EA1"/>
    <w:rsid w:val="00851F1C"/>
    <w:rsid w:val="00851F34"/>
    <w:rsid w:val="00851FA1"/>
    <w:rsid w:val="00851FEF"/>
    <w:rsid w:val="0085200C"/>
    <w:rsid w:val="0085208E"/>
    <w:rsid w:val="008520F5"/>
    <w:rsid w:val="008520FE"/>
    <w:rsid w:val="008521B6"/>
    <w:rsid w:val="008521D9"/>
    <w:rsid w:val="008521E5"/>
    <w:rsid w:val="00852215"/>
    <w:rsid w:val="00852280"/>
    <w:rsid w:val="008522BC"/>
    <w:rsid w:val="00852321"/>
    <w:rsid w:val="0085233B"/>
    <w:rsid w:val="008523A2"/>
    <w:rsid w:val="008523CA"/>
    <w:rsid w:val="00852424"/>
    <w:rsid w:val="00852516"/>
    <w:rsid w:val="00852517"/>
    <w:rsid w:val="00852543"/>
    <w:rsid w:val="008525A1"/>
    <w:rsid w:val="008525AE"/>
    <w:rsid w:val="0085261A"/>
    <w:rsid w:val="00852661"/>
    <w:rsid w:val="0085276A"/>
    <w:rsid w:val="00852787"/>
    <w:rsid w:val="0085278C"/>
    <w:rsid w:val="0085279A"/>
    <w:rsid w:val="008527C7"/>
    <w:rsid w:val="008528EB"/>
    <w:rsid w:val="008529A6"/>
    <w:rsid w:val="008529B7"/>
    <w:rsid w:val="00852A2E"/>
    <w:rsid w:val="00852ACE"/>
    <w:rsid w:val="00852B15"/>
    <w:rsid w:val="00852B95"/>
    <w:rsid w:val="00852B98"/>
    <w:rsid w:val="00852BB0"/>
    <w:rsid w:val="00852C19"/>
    <w:rsid w:val="00852C35"/>
    <w:rsid w:val="00852CC9"/>
    <w:rsid w:val="00852CDA"/>
    <w:rsid w:val="00852CE0"/>
    <w:rsid w:val="00852D74"/>
    <w:rsid w:val="00852D93"/>
    <w:rsid w:val="00852DBC"/>
    <w:rsid w:val="00852E23"/>
    <w:rsid w:val="00852E99"/>
    <w:rsid w:val="00852F08"/>
    <w:rsid w:val="00852F4E"/>
    <w:rsid w:val="00852F65"/>
    <w:rsid w:val="00852FBE"/>
    <w:rsid w:val="00852FEB"/>
    <w:rsid w:val="008530B0"/>
    <w:rsid w:val="008530B2"/>
    <w:rsid w:val="008531A9"/>
    <w:rsid w:val="008531DF"/>
    <w:rsid w:val="00853222"/>
    <w:rsid w:val="00853226"/>
    <w:rsid w:val="00853228"/>
    <w:rsid w:val="00853270"/>
    <w:rsid w:val="00853298"/>
    <w:rsid w:val="0085332D"/>
    <w:rsid w:val="00853342"/>
    <w:rsid w:val="00853371"/>
    <w:rsid w:val="008533D0"/>
    <w:rsid w:val="0085344D"/>
    <w:rsid w:val="00853483"/>
    <w:rsid w:val="00853485"/>
    <w:rsid w:val="008534CE"/>
    <w:rsid w:val="00853526"/>
    <w:rsid w:val="00853531"/>
    <w:rsid w:val="00853541"/>
    <w:rsid w:val="00853542"/>
    <w:rsid w:val="0085361C"/>
    <w:rsid w:val="00853632"/>
    <w:rsid w:val="00853642"/>
    <w:rsid w:val="0085370E"/>
    <w:rsid w:val="00853773"/>
    <w:rsid w:val="008538A5"/>
    <w:rsid w:val="008538BF"/>
    <w:rsid w:val="00853961"/>
    <w:rsid w:val="00853A03"/>
    <w:rsid w:val="00853A4A"/>
    <w:rsid w:val="00853AD7"/>
    <w:rsid w:val="00853AE4"/>
    <w:rsid w:val="00853B1E"/>
    <w:rsid w:val="00853B34"/>
    <w:rsid w:val="00853B61"/>
    <w:rsid w:val="00853C6F"/>
    <w:rsid w:val="00853CD1"/>
    <w:rsid w:val="00853DAC"/>
    <w:rsid w:val="00853DBD"/>
    <w:rsid w:val="00853E4D"/>
    <w:rsid w:val="00853E6E"/>
    <w:rsid w:val="00853EE9"/>
    <w:rsid w:val="00853F12"/>
    <w:rsid w:val="00853F6B"/>
    <w:rsid w:val="008540B0"/>
    <w:rsid w:val="008540E7"/>
    <w:rsid w:val="008540EB"/>
    <w:rsid w:val="0085412F"/>
    <w:rsid w:val="0085415A"/>
    <w:rsid w:val="008541D5"/>
    <w:rsid w:val="0085420B"/>
    <w:rsid w:val="0085423E"/>
    <w:rsid w:val="00854285"/>
    <w:rsid w:val="00854372"/>
    <w:rsid w:val="0085442E"/>
    <w:rsid w:val="00854458"/>
    <w:rsid w:val="00854489"/>
    <w:rsid w:val="008544E0"/>
    <w:rsid w:val="0085455A"/>
    <w:rsid w:val="0085456E"/>
    <w:rsid w:val="008545B2"/>
    <w:rsid w:val="008545E0"/>
    <w:rsid w:val="0085468C"/>
    <w:rsid w:val="0085473C"/>
    <w:rsid w:val="008547AE"/>
    <w:rsid w:val="008547CD"/>
    <w:rsid w:val="0085485C"/>
    <w:rsid w:val="00854883"/>
    <w:rsid w:val="008548B6"/>
    <w:rsid w:val="008548FD"/>
    <w:rsid w:val="00854923"/>
    <w:rsid w:val="0085493D"/>
    <w:rsid w:val="00854963"/>
    <w:rsid w:val="008549AE"/>
    <w:rsid w:val="008549D2"/>
    <w:rsid w:val="00854A19"/>
    <w:rsid w:val="00854A54"/>
    <w:rsid w:val="00854A79"/>
    <w:rsid w:val="00854B00"/>
    <w:rsid w:val="00854B04"/>
    <w:rsid w:val="00854C14"/>
    <w:rsid w:val="00854C4D"/>
    <w:rsid w:val="00854CC1"/>
    <w:rsid w:val="00854E53"/>
    <w:rsid w:val="00854EB3"/>
    <w:rsid w:val="008550D9"/>
    <w:rsid w:val="0085514E"/>
    <w:rsid w:val="0085516B"/>
    <w:rsid w:val="0085526B"/>
    <w:rsid w:val="008552E8"/>
    <w:rsid w:val="008553DF"/>
    <w:rsid w:val="008553E1"/>
    <w:rsid w:val="008554BE"/>
    <w:rsid w:val="008554F5"/>
    <w:rsid w:val="00855500"/>
    <w:rsid w:val="00855510"/>
    <w:rsid w:val="0085561C"/>
    <w:rsid w:val="0085568D"/>
    <w:rsid w:val="008556AF"/>
    <w:rsid w:val="0085570B"/>
    <w:rsid w:val="00855763"/>
    <w:rsid w:val="0085579D"/>
    <w:rsid w:val="008557D3"/>
    <w:rsid w:val="008557EC"/>
    <w:rsid w:val="0085580D"/>
    <w:rsid w:val="00855961"/>
    <w:rsid w:val="00855972"/>
    <w:rsid w:val="00855983"/>
    <w:rsid w:val="0085599B"/>
    <w:rsid w:val="00855A53"/>
    <w:rsid w:val="00855A5A"/>
    <w:rsid w:val="00855ACD"/>
    <w:rsid w:val="00855BDC"/>
    <w:rsid w:val="00855BE4"/>
    <w:rsid w:val="00855C24"/>
    <w:rsid w:val="00855C2B"/>
    <w:rsid w:val="00855C81"/>
    <w:rsid w:val="00855D2E"/>
    <w:rsid w:val="00855D5C"/>
    <w:rsid w:val="00855D5E"/>
    <w:rsid w:val="00855DD5"/>
    <w:rsid w:val="00855E90"/>
    <w:rsid w:val="00855E9A"/>
    <w:rsid w:val="00855FE9"/>
    <w:rsid w:val="0085615B"/>
    <w:rsid w:val="0085615F"/>
    <w:rsid w:val="008561D0"/>
    <w:rsid w:val="0085620D"/>
    <w:rsid w:val="00856296"/>
    <w:rsid w:val="008562D9"/>
    <w:rsid w:val="00856315"/>
    <w:rsid w:val="00856324"/>
    <w:rsid w:val="0085632A"/>
    <w:rsid w:val="008563A7"/>
    <w:rsid w:val="008563BA"/>
    <w:rsid w:val="008564D4"/>
    <w:rsid w:val="00856509"/>
    <w:rsid w:val="00856524"/>
    <w:rsid w:val="0085654C"/>
    <w:rsid w:val="0085658A"/>
    <w:rsid w:val="0085658F"/>
    <w:rsid w:val="008565E4"/>
    <w:rsid w:val="00856767"/>
    <w:rsid w:val="008567AC"/>
    <w:rsid w:val="00856806"/>
    <w:rsid w:val="0085687C"/>
    <w:rsid w:val="008568EC"/>
    <w:rsid w:val="00856905"/>
    <w:rsid w:val="00856943"/>
    <w:rsid w:val="00856A60"/>
    <w:rsid w:val="00856A71"/>
    <w:rsid w:val="00856A80"/>
    <w:rsid w:val="00856A88"/>
    <w:rsid w:val="00856C56"/>
    <w:rsid w:val="00856C62"/>
    <w:rsid w:val="00856CF3"/>
    <w:rsid w:val="00856D28"/>
    <w:rsid w:val="00856DA4"/>
    <w:rsid w:val="00856E9A"/>
    <w:rsid w:val="00856ECF"/>
    <w:rsid w:val="008570DA"/>
    <w:rsid w:val="00857163"/>
    <w:rsid w:val="0085716A"/>
    <w:rsid w:val="0085719D"/>
    <w:rsid w:val="008571D7"/>
    <w:rsid w:val="0085723C"/>
    <w:rsid w:val="008572BD"/>
    <w:rsid w:val="008573D7"/>
    <w:rsid w:val="0085740C"/>
    <w:rsid w:val="00857418"/>
    <w:rsid w:val="00857463"/>
    <w:rsid w:val="00857471"/>
    <w:rsid w:val="008574E3"/>
    <w:rsid w:val="00857522"/>
    <w:rsid w:val="00857555"/>
    <w:rsid w:val="008575BC"/>
    <w:rsid w:val="00857634"/>
    <w:rsid w:val="0085763B"/>
    <w:rsid w:val="00857645"/>
    <w:rsid w:val="00857705"/>
    <w:rsid w:val="008577B7"/>
    <w:rsid w:val="008577DB"/>
    <w:rsid w:val="008577E5"/>
    <w:rsid w:val="008577F5"/>
    <w:rsid w:val="00857899"/>
    <w:rsid w:val="008578B6"/>
    <w:rsid w:val="008578FC"/>
    <w:rsid w:val="00857928"/>
    <w:rsid w:val="0085794C"/>
    <w:rsid w:val="00857994"/>
    <w:rsid w:val="00857995"/>
    <w:rsid w:val="00857998"/>
    <w:rsid w:val="008579B9"/>
    <w:rsid w:val="00857A00"/>
    <w:rsid w:val="00857A0B"/>
    <w:rsid w:val="00857A81"/>
    <w:rsid w:val="00857B89"/>
    <w:rsid w:val="00857BDC"/>
    <w:rsid w:val="00857CD0"/>
    <w:rsid w:val="00857E38"/>
    <w:rsid w:val="00857E74"/>
    <w:rsid w:val="00857EE3"/>
    <w:rsid w:val="00857F22"/>
    <w:rsid w:val="00857F90"/>
    <w:rsid w:val="00857FC9"/>
    <w:rsid w:val="0086000D"/>
    <w:rsid w:val="0086002B"/>
    <w:rsid w:val="0086006C"/>
    <w:rsid w:val="00860079"/>
    <w:rsid w:val="008601EA"/>
    <w:rsid w:val="008602B7"/>
    <w:rsid w:val="008602FC"/>
    <w:rsid w:val="00860323"/>
    <w:rsid w:val="00860372"/>
    <w:rsid w:val="00860380"/>
    <w:rsid w:val="00860409"/>
    <w:rsid w:val="00860478"/>
    <w:rsid w:val="008604D3"/>
    <w:rsid w:val="008604D6"/>
    <w:rsid w:val="008604F8"/>
    <w:rsid w:val="0086053F"/>
    <w:rsid w:val="00860566"/>
    <w:rsid w:val="0086063D"/>
    <w:rsid w:val="008606B1"/>
    <w:rsid w:val="0086072B"/>
    <w:rsid w:val="00860768"/>
    <w:rsid w:val="00860771"/>
    <w:rsid w:val="00860778"/>
    <w:rsid w:val="008607FC"/>
    <w:rsid w:val="00860864"/>
    <w:rsid w:val="00860878"/>
    <w:rsid w:val="00860A5E"/>
    <w:rsid w:val="00860A86"/>
    <w:rsid w:val="00860A94"/>
    <w:rsid w:val="00860B24"/>
    <w:rsid w:val="00860B2D"/>
    <w:rsid w:val="00860BB5"/>
    <w:rsid w:val="00860BC7"/>
    <w:rsid w:val="00860BF5"/>
    <w:rsid w:val="00860C3D"/>
    <w:rsid w:val="00860C51"/>
    <w:rsid w:val="00860D28"/>
    <w:rsid w:val="00860D7A"/>
    <w:rsid w:val="00860E21"/>
    <w:rsid w:val="00860E5B"/>
    <w:rsid w:val="00860EB9"/>
    <w:rsid w:val="00860EDE"/>
    <w:rsid w:val="00860F12"/>
    <w:rsid w:val="00860F14"/>
    <w:rsid w:val="00860F2B"/>
    <w:rsid w:val="00860FA1"/>
    <w:rsid w:val="00860FB1"/>
    <w:rsid w:val="00860FB3"/>
    <w:rsid w:val="00861085"/>
    <w:rsid w:val="0086109F"/>
    <w:rsid w:val="008610B2"/>
    <w:rsid w:val="00861142"/>
    <w:rsid w:val="008611AE"/>
    <w:rsid w:val="008611BC"/>
    <w:rsid w:val="008611CE"/>
    <w:rsid w:val="008611EA"/>
    <w:rsid w:val="008611F9"/>
    <w:rsid w:val="00861218"/>
    <w:rsid w:val="0086128B"/>
    <w:rsid w:val="008612B9"/>
    <w:rsid w:val="008612C7"/>
    <w:rsid w:val="008612C8"/>
    <w:rsid w:val="0086133F"/>
    <w:rsid w:val="00861356"/>
    <w:rsid w:val="00861383"/>
    <w:rsid w:val="00861401"/>
    <w:rsid w:val="0086143F"/>
    <w:rsid w:val="0086148E"/>
    <w:rsid w:val="008614D9"/>
    <w:rsid w:val="00861554"/>
    <w:rsid w:val="00861583"/>
    <w:rsid w:val="00861585"/>
    <w:rsid w:val="0086158B"/>
    <w:rsid w:val="008615BD"/>
    <w:rsid w:val="008615CC"/>
    <w:rsid w:val="008615D2"/>
    <w:rsid w:val="008615EF"/>
    <w:rsid w:val="00861603"/>
    <w:rsid w:val="00861665"/>
    <w:rsid w:val="00861670"/>
    <w:rsid w:val="00861690"/>
    <w:rsid w:val="00861703"/>
    <w:rsid w:val="00861771"/>
    <w:rsid w:val="0086184B"/>
    <w:rsid w:val="0086184C"/>
    <w:rsid w:val="008619C6"/>
    <w:rsid w:val="008619DB"/>
    <w:rsid w:val="00861ABC"/>
    <w:rsid w:val="00861BC6"/>
    <w:rsid w:val="00861BCE"/>
    <w:rsid w:val="00861BDB"/>
    <w:rsid w:val="00861BEA"/>
    <w:rsid w:val="00861C02"/>
    <w:rsid w:val="00861C58"/>
    <w:rsid w:val="00861C5D"/>
    <w:rsid w:val="00861C6E"/>
    <w:rsid w:val="00861C97"/>
    <w:rsid w:val="00861CD9"/>
    <w:rsid w:val="00861D05"/>
    <w:rsid w:val="00861D2E"/>
    <w:rsid w:val="00861DF0"/>
    <w:rsid w:val="00861E39"/>
    <w:rsid w:val="00861E57"/>
    <w:rsid w:val="00861E64"/>
    <w:rsid w:val="00861EC0"/>
    <w:rsid w:val="00861F20"/>
    <w:rsid w:val="00861FB6"/>
    <w:rsid w:val="0086209A"/>
    <w:rsid w:val="008620B0"/>
    <w:rsid w:val="008620E7"/>
    <w:rsid w:val="008620FC"/>
    <w:rsid w:val="00862112"/>
    <w:rsid w:val="00862154"/>
    <w:rsid w:val="0086217B"/>
    <w:rsid w:val="008621D4"/>
    <w:rsid w:val="008621E2"/>
    <w:rsid w:val="00862205"/>
    <w:rsid w:val="00862224"/>
    <w:rsid w:val="0086222A"/>
    <w:rsid w:val="0086225B"/>
    <w:rsid w:val="00862266"/>
    <w:rsid w:val="0086226B"/>
    <w:rsid w:val="008622A8"/>
    <w:rsid w:val="008622AA"/>
    <w:rsid w:val="008622BF"/>
    <w:rsid w:val="00862300"/>
    <w:rsid w:val="00862301"/>
    <w:rsid w:val="0086233F"/>
    <w:rsid w:val="0086246F"/>
    <w:rsid w:val="00862491"/>
    <w:rsid w:val="008625AF"/>
    <w:rsid w:val="008625B5"/>
    <w:rsid w:val="0086263B"/>
    <w:rsid w:val="00862665"/>
    <w:rsid w:val="008626A3"/>
    <w:rsid w:val="0086271C"/>
    <w:rsid w:val="00862768"/>
    <w:rsid w:val="00862773"/>
    <w:rsid w:val="008627AA"/>
    <w:rsid w:val="008627B3"/>
    <w:rsid w:val="00862882"/>
    <w:rsid w:val="008628BD"/>
    <w:rsid w:val="008628CA"/>
    <w:rsid w:val="00862965"/>
    <w:rsid w:val="0086296F"/>
    <w:rsid w:val="00862989"/>
    <w:rsid w:val="008629C3"/>
    <w:rsid w:val="00862A5C"/>
    <w:rsid w:val="00862AD4"/>
    <w:rsid w:val="00862B31"/>
    <w:rsid w:val="00862B3D"/>
    <w:rsid w:val="00862C07"/>
    <w:rsid w:val="00862C70"/>
    <w:rsid w:val="00862D25"/>
    <w:rsid w:val="00862D79"/>
    <w:rsid w:val="00862DA6"/>
    <w:rsid w:val="00862E03"/>
    <w:rsid w:val="00862E5A"/>
    <w:rsid w:val="00862F96"/>
    <w:rsid w:val="00862F97"/>
    <w:rsid w:val="00862FB8"/>
    <w:rsid w:val="0086303C"/>
    <w:rsid w:val="008630DE"/>
    <w:rsid w:val="00863103"/>
    <w:rsid w:val="00863119"/>
    <w:rsid w:val="00863157"/>
    <w:rsid w:val="0086319B"/>
    <w:rsid w:val="00863257"/>
    <w:rsid w:val="008632EE"/>
    <w:rsid w:val="00863317"/>
    <w:rsid w:val="008633FE"/>
    <w:rsid w:val="0086350A"/>
    <w:rsid w:val="00863521"/>
    <w:rsid w:val="00863538"/>
    <w:rsid w:val="0086356C"/>
    <w:rsid w:val="008635A6"/>
    <w:rsid w:val="00863644"/>
    <w:rsid w:val="00863653"/>
    <w:rsid w:val="0086366F"/>
    <w:rsid w:val="008636B0"/>
    <w:rsid w:val="00863740"/>
    <w:rsid w:val="00863746"/>
    <w:rsid w:val="008637C5"/>
    <w:rsid w:val="008637CE"/>
    <w:rsid w:val="00863818"/>
    <w:rsid w:val="008639BA"/>
    <w:rsid w:val="008639F6"/>
    <w:rsid w:val="00863A3B"/>
    <w:rsid w:val="00863A46"/>
    <w:rsid w:val="00863BAE"/>
    <w:rsid w:val="00863BBF"/>
    <w:rsid w:val="00863BDF"/>
    <w:rsid w:val="00863C50"/>
    <w:rsid w:val="00863CC5"/>
    <w:rsid w:val="00863CC8"/>
    <w:rsid w:val="00863CF8"/>
    <w:rsid w:val="00863E0C"/>
    <w:rsid w:val="00863E5C"/>
    <w:rsid w:val="00863EC2"/>
    <w:rsid w:val="00863ECC"/>
    <w:rsid w:val="00863F62"/>
    <w:rsid w:val="00863F69"/>
    <w:rsid w:val="00864026"/>
    <w:rsid w:val="0086407D"/>
    <w:rsid w:val="008640BB"/>
    <w:rsid w:val="008640DF"/>
    <w:rsid w:val="00864112"/>
    <w:rsid w:val="00864129"/>
    <w:rsid w:val="008641BA"/>
    <w:rsid w:val="008641BC"/>
    <w:rsid w:val="008641D5"/>
    <w:rsid w:val="008642A0"/>
    <w:rsid w:val="0086432B"/>
    <w:rsid w:val="00864333"/>
    <w:rsid w:val="008643F7"/>
    <w:rsid w:val="00864426"/>
    <w:rsid w:val="00864438"/>
    <w:rsid w:val="00864455"/>
    <w:rsid w:val="008644E1"/>
    <w:rsid w:val="0086452D"/>
    <w:rsid w:val="00864561"/>
    <w:rsid w:val="008645A7"/>
    <w:rsid w:val="008645B6"/>
    <w:rsid w:val="00864615"/>
    <w:rsid w:val="0086463D"/>
    <w:rsid w:val="008646AE"/>
    <w:rsid w:val="008646B8"/>
    <w:rsid w:val="0086470C"/>
    <w:rsid w:val="0086473F"/>
    <w:rsid w:val="0086487F"/>
    <w:rsid w:val="00864887"/>
    <w:rsid w:val="008648BD"/>
    <w:rsid w:val="008648F4"/>
    <w:rsid w:val="0086495B"/>
    <w:rsid w:val="00864968"/>
    <w:rsid w:val="008649C0"/>
    <w:rsid w:val="008649CB"/>
    <w:rsid w:val="008649E2"/>
    <w:rsid w:val="00864AE0"/>
    <w:rsid w:val="00864C15"/>
    <w:rsid w:val="00864C62"/>
    <w:rsid w:val="00864C6B"/>
    <w:rsid w:val="00864C88"/>
    <w:rsid w:val="00864CF6"/>
    <w:rsid w:val="00864D1D"/>
    <w:rsid w:val="00864D72"/>
    <w:rsid w:val="00864E62"/>
    <w:rsid w:val="00864E80"/>
    <w:rsid w:val="00864ED5"/>
    <w:rsid w:val="00864FCC"/>
    <w:rsid w:val="0086506A"/>
    <w:rsid w:val="00865147"/>
    <w:rsid w:val="0086515A"/>
    <w:rsid w:val="0086518E"/>
    <w:rsid w:val="00865261"/>
    <w:rsid w:val="00865263"/>
    <w:rsid w:val="008652A3"/>
    <w:rsid w:val="00865315"/>
    <w:rsid w:val="0086532B"/>
    <w:rsid w:val="008653BE"/>
    <w:rsid w:val="008653D8"/>
    <w:rsid w:val="00865419"/>
    <w:rsid w:val="0086545A"/>
    <w:rsid w:val="00865529"/>
    <w:rsid w:val="0086561A"/>
    <w:rsid w:val="00865699"/>
    <w:rsid w:val="008656AA"/>
    <w:rsid w:val="008656AC"/>
    <w:rsid w:val="00865793"/>
    <w:rsid w:val="00865794"/>
    <w:rsid w:val="0086579D"/>
    <w:rsid w:val="008657CD"/>
    <w:rsid w:val="008657E4"/>
    <w:rsid w:val="00865852"/>
    <w:rsid w:val="008658C0"/>
    <w:rsid w:val="008658D0"/>
    <w:rsid w:val="00865961"/>
    <w:rsid w:val="00865A7E"/>
    <w:rsid w:val="00865ABB"/>
    <w:rsid w:val="00865B21"/>
    <w:rsid w:val="00865B38"/>
    <w:rsid w:val="00865B6A"/>
    <w:rsid w:val="00865B90"/>
    <w:rsid w:val="00865D3C"/>
    <w:rsid w:val="00865D7C"/>
    <w:rsid w:val="00865DA9"/>
    <w:rsid w:val="00865E6D"/>
    <w:rsid w:val="00865F47"/>
    <w:rsid w:val="00865F90"/>
    <w:rsid w:val="00865F9B"/>
    <w:rsid w:val="00865FC8"/>
    <w:rsid w:val="00865FF3"/>
    <w:rsid w:val="00866044"/>
    <w:rsid w:val="00866091"/>
    <w:rsid w:val="008660D4"/>
    <w:rsid w:val="00866153"/>
    <w:rsid w:val="00866165"/>
    <w:rsid w:val="00866183"/>
    <w:rsid w:val="00866192"/>
    <w:rsid w:val="008661A2"/>
    <w:rsid w:val="008661FF"/>
    <w:rsid w:val="00866205"/>
    <w:rsid w:val="00866288"/>
    <w:rsid w:val="0086636E"/>
    <w:rsid w:val="008663A0"/>
    <w:rsid w:val="008663CA"/>
    <w:rsid w:val="008663E9"/>
    <w:rsid w:val="008663F9"/>
    <w:rsid w:val="008664EF"/>
    <w:rsid w:val="008664F8"/>
    <w:rsid w:val="00866538"/>
    <w:rsid w:val="0086658B"/>
    <w:rsid w:val="008665D2"/>
    <w:rsid w:val="00866636"/>
    <w:rsid w:val="00866646"/>
    <w:rsid w:val="0086667F"/>
    <w:rsid w:val="0086674D"/>
    <w:rsid w:val="0086674E"/>
    <w:rsid w:val="00866763"/>
    <w:rsid w:val="008667C5"/>
    <w:rsid w:val="00866818"/>
    <w:rsid w:val="008669E4"/>
    <w:rsid w:val="00866A0D"/>
    <w:rsid w:val="00866A23"/>
    <w:rsid w:val="00866A78"/>
    <w:rsid w:val="00866A96"/>
    <w:rsid w:val="00866B32"/>
    <w:rsid w:val="00866B5D"/>
    <w:rsid w:val="00866B94"/>
    <w:rsid w:val="00866B96"/>
    <w:rsid w:val="00866C0E"/>
    <w:rsid w:val="00866D12"/>
    <w:rsid w:val="00866D26"/>
    <w:rsid w:val="00866D47"/>
    <w:rsid w:val="00866D65"/>
    <w:rsid w:val="00866D96"/>
    <w:rsid w:val="00866DAC"/>
    <w:rsid w:val="00866E96"/>
    <w:rsid w:val="00866EBE"/>
    <w:rsid w:val="00866F89"/>
    <w:rsid w:val="00866F9A"/>
    <w:rsid w:val="00866F9E"/>
    <w:rsid w:val="00866FD0"/>
    <w:rsid w:val="008670B5"/>
    <w:rsid w:val="0086711D"/>
    <w:rsid w:val="00867139"/>
    <w:rsid w:val="0086715C"/>
    <w:rsid w:val="0086717E"/>
    <w:rsid w:val="008673C3"/>
    <w:rsid w:val="00867410"/>
    <w:rsid w:val="00867478"/>
    <w:rsid w:val="008675AD"/>
    <w:rsid w:val="00867602"/>
    <w:rsid w:val="00867647"/>
    <w:rsid w:val="00867776"/>
    <w:rsid w:val="0086779C"/>
    <w:rsid w:val="0086779E"/>
    <w:rsid w:val="008677EC"/>
    <w:rsid w:val="0086783C"/>
    <w:rsid w:val="0086788F"/>
    <w:rsid w:val="008678AE"/>
    <w:rsid w:val="0086791B"/>
    <w:rsid w:val="00867958"/>
    <w:rsid w:val="0086795F"/>
    <w:rsid w:val="0086798D"/>
    <w:rsid w:val="00867AE5"/>
    <w:rsid w:val="00867B23"/>
    <w:rsid w:val="00867B49"/>
    <w:rsid w:val="00867C3E"/>
    <w:rsid w:val="00867C68"/>
    <w:rsid w:val="00867C8F"/>
    <w:rsid w:val="00867CB4"/>
    <w:rsid w:val="00867CFE"/>
    <w:rsid w:val="00867D50"/>
    <w:rsid w:val="00867D66"/>
    <w:rsid w:val="00867DB4"/>
    <w:rsid w:val="00867DF5"/>
    <w:rsid w:val="00867E98"/>
    <w:rsid w:val="00867E9C"/>
    <w:rsid w:val="00867EF2"/>
    <w:rsid w:val="00867F74"/>
    <w:rsid w:val="00867F80"/>
    <w:rsid w:val="00867FED"/>
    <w:rsid w:val="008700CD"/>
    <w:rsid w:val="008700E5"/>
    <w:rsid w:val="0087012E"/>
    <w:rsid w:val="0087013C"/>
    <w:rsid w:val="008701A4"/>
    <w:rsid w:val="008701E9"/>
    <w:rsid w:val="008701EF"/>
    <w:rsid w:val="008702D4"/>
    <w:rsid w:val="0087032A"/>
    <w:rsid w:val="00870342"/>
    <w:rsid w:val="0087038E"/>
    <w:rsid w:val="008703A5"/>
    <w:rsid w:val="00870445"/>
    <w:rsid w:val="008704B5"/>
    <w:rsid w:val="0087058F"/>
    <w:rsid w:val="008705CA"/>
    <w:rsid w:val="00870632"/>
    <w:rsid w:val="00870686"/>
    <w:rsid w:val="0087072F"/>
    <w:rsid w:val="00870738"/>
    <w:rsid w:val="00870782"/>
    <w:rsid w:val="00870790"/>
    <w:rsid w:val="008708D4"/>
    <w:rsid w:val="00870A31"/>
    <w:rsid w:val="00870A74"/>
    <w:rsid w:val="00870A9C"/>
    <w:rsid w:val="00870B27"/>
    <w:rsid w:val="00870C0E"/>
    <w:rsid w:val="00870C36"/>
    <w:rsid w:val="00870C62"/>
    <w:rsid w:val="00870DA3"/>
    <w:rsid w:val="00870E79"/>
    <w:rsid w:val="00870E8E"/>
    <w:rsid w:val="00870EB7"/>
    <w:rsid w:val="00870F89"/>
    <w:rsid w:val="00870FAE"/>
    <w:rsid w:val="00870FCB"/>
    <w:rsid w:val="00870FFE"/>
    <w:rsid w:val="00871062"/>
    <w:rsid w:val="00871159"/>
    <w:rsid w:val="00871165"/>
    <w:rsid w:val="00871203"/>
    <w:rsid w:val="00871279"/>
    <w:rsid w:val="008712CB"/>
    <w:rsid w:val="008712CE"/>
    <w:rsid w:val="0087130F"/>
    <w:rsid w:val="00871333"/>
    <w:rsid w:val="008713B4"/>
    <w:rsid w:val="008713BB"/>
    <w:rsid w:val="008713D5"/>
    <w:rsid w:val="0087140E"/>
    <w:rsid w:val="00871419"/>
    <w:rsid w:val="0087153F"/>
    <w:rsid w:val="008715CA"/>
    <w:rsid w:val="008715E9"/>
    <w:rsid w:val="008716F7"/>
    <w:rsid w:val="0087171F"/>
    <w:rsid w:val="00871727"/>
    <w:rsid w:val="0087172D"/>
    <w:rsid w:val="0087175B"/>
    <w:rsid w:val="00871763"/>
    <w:rsid w:val="008717AD"/>
    <w:rsid w:val="008717B6"/>
    <w:rsid w:val="00871862"/>
    <w:rsid w:val="00871879"/>
    <w:rsid w:val="008718F0"/>
    <w:rsid w:val="00871901"/>
    <w:rsid w:val="00871910"/>
    <w:rsid w:val="00871939"/>
    <w:rsid w:val="00871A2C"/>
    <w:rsid w:val="00871A51"/>
    <w:rsid w:val="00871A9E"/>
    <w:rsid w:val="00871B02"/>
    <w:rsid w:val="00871B3D"/>
    <w:rsid w:val="00871CDC"/>
    <w:rsid w:val="00871D3D"/>
    <w:rsid w:val="00871D70"/>
    <w:rsid w:val="00871DA9"/>
    <w:rsid w:val="00871DCB"/>
    <w:rsid w:val="00871DE9"/>
    <w:rsid w:val="00871DEA"/>
    <w:rsid w:val="00871E01"/>
    <w:rsid w:val="00871E1D"/>
    <w:rsid w:val="00871E26"/>
    <w:rsid w:val="00871E63"/>
    <w:rsid w:val="00871EB4"/>
    <w:rsid w:val="00871F7C"/>
    <w:rsid w:val="0087201B"/>
    <w:rsid w:val="0087207C"/>
    <w:rsid w:val="008720E9"/>
    <w:rsid w:val="008720FB"/>
    <w:rsid w:val="008720FF"/>
    <w:rsid w:val="0087218D"/>
    <w:rsid w:val="008721AA"/>
    <w:rsid w:val="008721E1"/>
    <w:rsid w:val="008722E8"/>
    <w:rsid w:val="00872382"/>
    <w:rsid w:val="00872490"/>
    <w:rsid w:val="00872493"/>
    <w:rsid w:val="008725E9"/>
    <w:rsid w:val="008725EC"/>
    <w:rsid w:val="00872618"/>
    <w:rsid w:val="0087261A"/>
    <w:rsid w:val="008726BB"/>
    <w:rsid w:val="008726BD"/>
    <w:rsid w:val="0087270C"/>
    <w:rsid w:val="0087272B"/>
    <w:rsid w:val="0087274C"/>
    <w:rsid w:val="008727CB"/>
    <w:rsid w:val="008727D6"/>
    <w:rsid w:val="008727D8"/>
    <w:rsid w:val="0087282C"/>
    <w:rsid w:val="0087290B"/>
    <w:rsid w:val="008729BA"/>
    <w:rsid w:val="008729C8"/>
    <w:rsid w:val="008729DE"/>
    <w:rsid w:val="00872A13"/>
    <w:rsid w:val="00872A3F"/>
    <w:rsid w:val="00872ABF"/>
    <w:rsid w:val="00872B17"/>
    <w:rsid w:val="00872B2F"/>
    <w:rsid w:val="00872B53"/>
    <w:rsid w:val="00872C0F"/>
    <w:rsid w:val="00872C43"/>
    <w:rsid w:val="00872C72"/>
    <w:rsid w:val="00872D20"/>
    <w:rsid w:val="00872D3D"/>
    <w:rsid w:val="00872DA9"/>
    <w:rsid w:val="00872E54"/>
    <w:rsid w:val="00872F40"/>
    <w:rsid w:val="00872FE8"/>
    <w:rsid w:val="00873002"/>
    <w:rsid w:val="00873024"/>
    <w:rsid w:val="00873026"/>
    <w:rsid w:val="00873039"/>
    <w:rsid w:val="00873069"/>
    <w:rsid w:val="0087309A"/>
    <w:rsid w:val="00873106"/>
    <w:rsid w:val="00873124"/>
    <w:rsid w:val="008731EB"/>
    <w:rsid w:val="008731FB"/>
    <w:rsid w:val="0087323C"/>
    <w:rsid w:val="00873248"/>
    <w:rsid w:val="0087329C"/>
    <w:rsid w:val="008732A7"/>
    <w:rsid w:val="008732D6"/>
    <w:rsid w:val="0087330D"/>
    <w:rsid w:val="00873385"/>
    <w:rsid w:val="0087344F"/>
    <w:rsid w:val="00873476"/>
    <w:rsid w:val="008734EA"/>
    <w:rsid w:val="0087353D"/>
    <w:rsid w:val="00873546"/>
    <w:rsid w:val="00873648"/>
    <w:rsid w:val="00873722"/>
    <w:rsid w:val="00873782"/>
    <w:rsid w:val="0087382A"/>
    <w:rsid w:val="00873884"/>
    <w:rsid w:val="0087388D"/>
    <w:rsid w:val="008738FA"/>
    <w:rsid w:val="008738FD"/>
    <w:rsid w:val="00873A05"/>
    <w:rsid w:val="00873A26"/>
    <w:rsid w:val="00873AA6"/>
    <w:rsid w:val="00873AC4"/>
    <w:rsid w:val="00873AE3"/>
    <w:rsid w:val="00873B0A"/>
    <w:rsid w:val="00873BDC"/>
    <w:rsid w:val="00873C0E"/>
    <w:rsid w:val="00873C2C"/>
    <w:rsid w:val="00873C2F"/>
    <w:rsid w:val="00873C5A"/>
    <w:rsid w:val="00873C98"/>
    <w:rsid w:val="00873D07"/>
    <w:rsid w:val="00873D30"/>
    <w:rsid w:val="00873D61"/>
    <w:rsid w:val="00873DEE"/>
    <w:rsid w:val="00873DF6"/>
    <w:rsid w:val="00873DF8"/>
    <w:rsid w:val="00873E12"/>
    <w:rsid w:val="00873E45"/>
    <w:rsid w:val="00873E9B"/>
    <w:rsid w:val="00873F11"/>
    <w:rsid w:val="00873F82"/>
    <w:rsid w:val="00873FE5"/>
    <w:rsid w:val="00873FEB"/>
    <w:rsid w:val="00873FF6"/>
    <w:rsid w:val="00874024"/>
    <w:rsid w:val="00874026"/>
    <w:rsid w:val="0087408B"/>
    <w:rsid w:val="008740B4"/>
    <w:rsid w:val="00874148"/>
    <w:rsid w:val="008741B5"/>
    <w:rsid w:val="0087425D"/>
    <w:rsid w:val="008742B2"/>
    <w:rsid w:val="00874338"/>
    <w:rsid w:val="00874379"/>
    <w:rsid w:val="008743D7"/>
    <w:rsid w:val="008744B2"/>
    <w:rsid w:val="008744BA"/>
    <w:rsid w:val="0087451F"/>
    <w:rsid w:val="0087453F"/>
    <w:rsid w:val="0087454D"/>
    <w:rsid w:val="00874586"/>
    <w:rsid w:val="008745CB"/>
    <w:rsid w:val="00874614"/>
    <w:rsid w:val="00874647"/>
    <w:rsid w:val="00874693"/>
    <w:rsid w:val="008746EE"/>
    <w:rsid w:val="00874724"/>
    <w:rsid w:val="008747D5"/>
    <w:rsid w:val="00874828"/>
    <w:rsid w:val="008748F1"/>
    <w:rsid w:val="0087494E"/>
    <w:rsid w:val="0087495E"/>
    <w:rsid w:val="0087498D"/>
    <w:rsid w:val="00874A11"/>
    <w:rsid w:val="00874A22"/>
    <w:rsid w:val="00874A6C"/>
    <w:rsid w:val="00874B1D"/>
    <w:rsid w:val="00874BC7"/>
    <w:rsid w:val="00874BD1"/>
    <w:rsid w:val="00874BD6"/>
    <w:rsid w:val="00874C92"/>
    <w:rsid w:val="00874D50"/>
    <w:rsid w:val="00874D61"/>
    <w:rsid w:val="00874D6E"/>
    <w:rsid w:val="00874DBC"/>
    <w:rsid w:val="00874E3E"/>
    <w:rsid w:val="00874F27"/>
    <w:rsid w:val="00875080"/>
    <w:rsid w:val="00875108"/>
    <w:rsid w:val="00875110"/>
    <w:rsid w:val="0087511D"/>
    <w:rsid w:val="00875163"/>
    <w:rsid w:val="008751BE"/>
    <w:rsid w:val="008751C6"/>
    <w:rsid w:val="0087526B"/>
    <w:rsid w:val="0087536D"/>
    <w:rsid w:val="0087543F"/>
    <w:rsid w:val="00875456"/>
    <w:rsid w:val="00875481"/>
    <w:rsid w:val="008754CD"/>
    <w:rsid w:val="008754E0"/>
    <w:rsid w:val="00875561"/>
    <w:rsid w:val="0087558A"/>
    <w:rsid w:val="00875610"/>
    <w:rsid w:val="00875652"/>
    <w:rsid w:val="008756FC"/>
    <w:rsid w:val="0087572C"/>
    <w:rsid w:val="008757B1"/>
    <w:rsid w:val="008757C3"/>
    <w:rsid w:val="008757DA"/>
    <w:rsid w:val="008758A1"/>
    <w:rsid w:val="00875938"/>
    <w:rsid w:val="00875952"/>
    <w:rsid w:val="0087595F"/>
    <w:rsid w:val="00875965"/>
    <w:rsid w:val="008759DA"/>
    <w:rsid w:val="00875A29"/>
    <w:rsid w:val="00875B8B"/>
    <w:rsid w:val="00875B95"/>
    <w:rsid w:val="00875BB2"/>
    <w:rsid w:val="00875BEB"/>
    <w:rsid w:val="00875C4B"/>
    <w:rsid w:val="00875C64"/>
    <w:rsid w:val="00875CAB"/>
    <w:rsid w:val="00875CDE"/>
    <w:rsid w:val="00875D91"/>
    <w:rsid w:val="00875D9A"/>
    <w:rsid w:val="00875E5E"/>
    <w:rsid w:val="00875EEF"/>
    <w:rsid w:val="00875F2C"/>
    <w:rsid w:val="00875FBE"/>
    <w:rsid w:val="00875FD2"/>
    <w:rsid w:val="008760D6"/>
    <w:rsid w:val="00876191"/>
    <w:rsid w:val="0087619B"/>
    <w:rsid w:val="00876222"/>
    <w:rsid w:val="00876287"/>
    <w:rsid w:val="008762D4"/>
    <w:rsid w:val="008762D7"/>
    <w:rsid w:val="008762E7"/>
    <w:rsid w:val="008762F1"/>
    <w:rsid w:val="00876329"/>
    <w:rsid w:val="0087632A"/>
    <w:rsid w:val="00876359"/>
    <w:rsid w:val="00876363"/>
    <w:rsid w:val="008764C6"/>
    <w:rsid w:val="00876556"/>
    <w:rsid w:val="008765F0"/>
    <w:rsid w:val="00876614"/>
    <w:rsid w:val="0087663A"/>
    <w:rsid w:val="0087664E"/>
    <w:rsid w:val="0087664F"/>
    <w:rsid w:val="00876657"/>
    <w:rsid w:val="008766A0"/>
    <w:rsid w:val="00876820"/>
    <w:rsid w:val="00876821"/>
    <w:rsid w:val="0087686B"/>
    <w:rsid w:val="008768C4"/>
    <w:rsid w:val="008769AF"/>
    <w:rsid w:val="008769F3"/>
    <w:rsid w:val="00876A07"/>
    <w:rsid w:val="00876AB1"/>
    <w:rsid w:val="00876B61"/>
    <w:rsid w:val="00876B89"/>
    <w:rsid w:val="00876BC4"/>
    <w:rsid w:val="00876C0D"/>
    <w:rsid w:val="00876C15"/>
    <w:rsid w:val="00876CCC"/>
    <w:rsid w:val="00876CEC"/>
    <w:rsid w:val="00876D2A"/>
    <w:rsid w:val="00876D5C"/>
    <w:rsid w:val="00876E21"/>
    <w:rsid w:val="00876E74"/>
    <w:rsid w:val="00876EB7"/>
    <w:rsid w:val="0087700F"/>
    <w:rsid w:val="008770CF"/>
    <w:rsid w:val="008770E8"/>
    <w:rsid w:val="0087714B"/>
    <w:rsid w:val="00877163"/>
    <w:rsid w:val="0087719B"/>
    <w:rsid w:val="008772AF"/>
    <w:rsid w:val="00877301"/>
    <w:rsid w:val="00877317"/>
    <w:rsid w:val="0087734B"/>
    <w:rsid w:val="0087739A"/>
    <w:rsid w:val="00877449"/>
    <w:rsid w:val="00877455"/>
    <w:rsid w:val="0087754C"/>
    <w:rsid w:val="0087758C"/>
    <w:rsid w:val="008775C9"/>
    <w:rsid w:val="008775FA"/>
    <w:rsid w:val="0087760F"/>
    <w:rsid w:val="0087768B"/>
    <w:rsid w:val="008776C2"/>
    <w:rsid w:val="00877752"/>
    <w:rsid w:val="0087779C"/>
    <w:rsid w:val="008777D3"/>
    <w:rsid w:val="00877815"/>
    <w:rsid w:val="00877855"/>
    <w:rsid w:val="0087787F"/>
    <w:rsid w:val="008778A5"/>
    <w:rsid w:val="008778EF"/>
    <w:rsid w:val="00877A39"/>
    <w:rsid w:val="00877A66"/>
    <w:rsid w:val="00877BCB"/>
    <w:rsid w:val="00877C1A"/>
    <w:rsid w:val="00877C5B"/>
    <w:rsid w:val="00877C7D"/>
    <w:rsid w:val="00877D25"/>
    <w:rsid w:val="00877D9A"/>
    <w:rsid w:val="00877E02"/>
    <w:rsid w:val="00877E28"/>
    <w:rsid w:val="00877EE4"/>
    <w:rsid w:val="00877F00"/>
    <w:rsid w:val="00877F4D"/>
    <w:rsid w:val="00877F66"/>
    <w:rsid w:val="00877FFE"/>
    <w:rsid w:val="008800F1"/>
    <w:rsid w:val="008800F9"/>
    <w:rsid w:val="00880135"/>
    <w:rsid w:val="0088013E"/>
    <w:rsid w:val="008801BC"/>
    <w:rsid w:val="00880239"/>
    <w:rsid w:val="008802F7"/>
    <w:rsid w:val="00880369"/>
    <w:rsid w:val="0088044F"/>
    <w:rsid w:val="0088049D"/>
    <w:rsid w:val="008804A8"/>
    <w:rsid w:val="0088056F"/>
    <w:rsid w:val="0088057C"/>
    <w:rsid w:val="008805C1"/>
    <w:rsid w:val="00880627"/>
    <w:rsid w:val="0088062A"/>
    <w:rsid w:val="0088062E"/>
    <w:rsid w:val="0088068B"/>
    <w:rsid w:val="008806C7"/>
    <w:rsid w:val="00880770"/>
    <w:rsid w:val="00880792"/>
    <w:rsid w:val="00880926"/>
    <w:rsid w:val="00880983"/>
    <w:rsid w:val="00880A52"/>
    <w:rsid w:val="00880A6F"/>
    <w:rsid w:val="00880BBB"/>
    <w:rsid w:val="00880C11"/>
    <w:rsid w:val="00880D16"/>
    <w:rsid w:val="00880D2B"/>
    <w:rsid w:val="00880DA8"/>
    <w:rsid w:val="00880EA1"/>
    <w:rsid w:val="00880EDC"/>
    <w:rsid w:val="00880F00"/>
    <w:rsid w:val="00880F43"/>
    <w:rsid w:val="00880F71"/>
    <w:rsid w:val="00880F7F"/>
    <w:rsid w:val="00881020"/>
    <w:rsid w:val="0088109E"/>
    <w:rsid w:val="008810ED"/>
    <w:rsid w:val="008811AA"/>
    <w:rsid w:val="00881259"/>
    <w:rsid w:val="0088126D"/>
    <w:rsid w:val="008813AF"/>
    <w:rsid w:val="008813B5"/>
    <w:rsid w:val="00881407"/>
    <w:rsid w:val="0088140E"/>
    <w:rsid w:val="008814A8"/>
    <w:rsid w:val="008814CA"/>
    <w:rsid w:val="00881528"/>
    <w:rsid w:val="0088154C"/>
    <w:rsid w:val="0088154D"/>
    <w:rsid w:val="00881562"/>
    <w:rsid w:val="0088157C"/>
    <w:rsid w:val="008815D2"/>
    <w:rsid w:val="00881609"/>
    <w:rsid w:val="00881687"/>
    <w:rsid w:val="008816D9"/>
    <w:rsid w:val="0088175F"/>
    <w:rsid w:val="00881777"/>
    <w:rsid w:val="0088179A"/>
    <w:rsid w:val="00881832"/>
    <w:rsid w:val="00881890"/>
    <w:rsid w:val="00881A30"/>
    <w:rsid w:val="00881A60"/>
    <w:rsid w:val="00881A8A"/>
    <w:rsid w:val="00881B04"/>
    <w:rsid w:val="00881BA8"/>
    <w:rsid w:val="00881C6B"/>
    <w:rsid w:val="00881D1A"/>
    <w:rsid w:val="00881DB7"/>
    <w:rsid w:val="00881DBC"/>
    <w:rsid w:val="00881E0A"/>
    <w:rsid w:val="00881E4B"/>
    <w:rsid w:val="00881E73"/>
    <w:rsid w:val="00881E85"/>
    <w:rsid w:val="00881EBD"/>
    <w:rsid w:val="00881EFD"/>
    <w:rsid w:val="00881F64"/>
    <w:rsid w:val="00881FC2"/>
    <w:rsid w:val="0088203C"/>
    <w:rsid w:val="0088205A"/>
    <w:rsid w:val="0088205C"/>
    <w:rsid w:val="008820CB"/>
    <w:rsid w:val="008820D0"/>
    <w:rsid w:val="00882102"/>
    <w:rsid w:val="00882149"/>
    <w:rsid w:val="0088216B"/>
    <w:rsid w:val="0088216E"/>
    <w:rsid w:val="00882223"/>
    <w:rsid w:val="00882277"/>
    <w:rsid w:val="00882293"/>
    <w:rsid w:val="0088229A"/>
    <w:rsid w:val="008822AB"/>
    <w:rsid w:val="0088233C"/>
    <w:rsid w:val="0088236F"/>
    <w:rsid w:val="0088240C"/>
    <w:rsid w:val="00882454"/>
    <w:rsid w:val="008824C1"/>
    <w:rsid w:val="0088255D"/>
    <w:rsid w:val="008825BA"/>
    <w:rsid w:val="008825D4"/>
    <w:rsid w:val="00882669"/>
    <w:rsid w:val="00882677"/>
    <w:rsid w:val="008826BB"/>
    <w:rsid w:val="00882704"/>
    <w:rsid w:val="00882725"/>
    <w:rsid w:val="00882753"/>
    <w:rsid w:val="0088277E"/>
    <w:rsid w:val="0088280A"/>
    <w:rsid w:val="00882873"/>
    <w:rsid w:val="00882915"/>
    <w:rsid w:val="0088298E"/>
    <w:rsid w:val="008829D7"/>
    <w:rsid w:val="00882A26"/>
    <w:rsid w:val="00882A87"/>
    <w:rsid w:val="00882AD8"/>
    <w:rsid w:val="00882AFE"/>
    <w:rsid w:val="00882B2A"/>
    <w:rsid w:val="00882B59"/>
    <w:rsid w:val="00882B91"/>
    <w:rsid w:val="00882BDD"/>
    <w:rsid w:val="00882C0B"/>
    <w:rsid w:val="00882C1E"/>
    <w:rsid w:val="00882CC9"/>
    <w:rsid w:val="00882DAA"/>
    <w:rsid w:val="00882DEB"/>
    <w:rsid w:val="00882DF0"/>
    <w:rsid w:val="00882E37"/>
    <w:rsid w:val="00882E7F"/>
    <w:rsid w:val="00882EA4"/>
    <w:rsid w:val="00882EE2"/>
    <w:rsid w:val="00882F90"/>
    <w:rsid w:val="00882FA2"/>
    <w:rsid w:val="00882FB5"/>
    <w:rsid w:val="00882FCB"/>
    <w:rsid w:val="00882FD9"/>
    <w:rsid w:val="00882FE2"/>
    <w:rsid w:val="00883098"/>
    <w:rsid w:val="008831F4"/>
    <w:rsid w:val="008831FF"/>
    <w:rsid w:val="00883252"/>
    <w:rsid w:val="00883277"/>
    <w:rsid w:val="00883286"/>
    <w:rsid w:val="00883322"/>
    <w:rsid w:val="0088332E"/>
    <w:rsid w:val="008833E8"/>
    <w:rsid w:val="0088346C"/>
    <w:rsid w:val="00883477"/>
    <w:rsid w:val="0088352F"/>
    <w:rsid w:val="00883592"/>
    <w:rsid w:val="008835DD"/>
    <w:rsid w:val="00883712"/>
    <w:rsid w:val="00883760"/>
    <w:rsid w:val="008837AB"/>
    <w:rsid w:val="008837D0"/>
    <w:rsid w:val="008837D3"/>
    <w:rsid w:val="008837FF"/>
    <w:rsid w:val="00883820"/>
    <w:rsid w:val="0088384C"/>
    <w:rsid w:val="008838AD"/>
    <w:rsid w:val="00883924"/>
    <w:rsid w:val="00883973"/>
    <w:rsid w:val="008839BC"/>
    <w:rsid w:val="008839EF"/>
    <w:rsid w:val="00883AE1"/>
    <w:rsid w:val="00883B56"/>
    <w:rsid w:val="00883B5F"/>
    <w:rsid w:val="00883B7A"/>
    <w:rsid w:val="00883B86"/>
    <w:rsid w:val="00883C05"/>
    <w:rsid w:val="00883C24"/>
    <w:rsid w:val="00883C30"/>
    <w:rsid w:val="00883C95"/>
    <w:rsid w:val="00883C99"/>
    <w:rsid w:val="00883CEC"/>
    <w:rsid w:val="00883D22"/>
    <w:rsid w:val="00883DF2"/>
    <w:rsid w:val="00883E08"/>
    <w:rsid w:val="00883EA8"/>
    <w:rsid w:val="00883EAA"/>
    <w:rsid w:val="00883EB3"/>
    <w:rsid w:val="00883F07"/>
    <w:rsid w:val="00883F18"/>
    <w:rsid w:val="00883FA4"/>
    <w:rsid w:val="00883FC6"/>
    <w:rsid w:val="00884004"/>
    <w:rsid w:val="0088400B"/>
    <w:rsid w:val="00884012"/>
    <w:rsid w:val="0088403A"/>
    <w:rsid w:val="008840BC"/>
    <w:rsid w:val="00884144"/>
    <w:rsid w:val="0088415C"/>
    <w:rsid w:val="00884179"/>
    <w:rsid w:val="0088419B"/>
    <w:rsid w:val="0088419E"/>
    <w:rsid w:val="008841C1"/>
    <w:rsid w:val="0088420B"/>
    <w:rsid w:val="008842B8"/>
    <w:rsid w:val="008842FC"/>
    <w:rsid w:val="008843BC"/>
    <w:rsid w:val="00884459"/>
    <w:rsid w:val="008844CB"/>
    <w:rsid w:val="008844F4"/>
    <w:rsid w:val="0088452C"/>
    <w:rsid w:val="0088454B"/>
    <w:rsid w:val="00884553"/>
    <w:rsid w:val="008845B1"/>
    <w:rsid w:val="00884659"/>
    <w:rsid w:val="0088468C"/>
    <w:rsid w:val="0088479B"/>
    <w:rsid w:val="008847DA"/>
    <w:rsid w:val="00884A58"/>
    <w:rsid w:val="00884A8B"/>
    <w:rsid w:val="00884AF1"/>
    <w:rsid w:val="00884B28"/>
    <w:rsid w:val="00884B3A"/>
    <w:rsid w:val="00884B4F"/>
    <w:rsid w:val="00884B88"/>
    <w:rsid w:val="00884C1E"/>
    <w:rsid w:val="00884CB2"/>
    <w:rsid w:val="00884CC2"/>
    <w:rsid w:val="00884CD9"/>
    <w:rsid w:val="00884D75"/>
    <w:rsid w:val="00884D94"/>
    <w:rsid w:val="00884DAD"/>
    <w:rsid w:val="00884E22"/>
    <w:rsid w:val="00884E45"/>
    <w:rsid w:val="00884E95"/>
    <w:rsid w:val="00884EF8"/>
    <w:rsid w:val="00884F1B"/>
    <w:rsid w:val="00884F46"/>
    <w:rsid w:val="00885006"/>
    <w:rsid w:val="0088500E"/>
    <w:rsid w:val="00885020"/>
    <w:rsid w:val="0088502B"/>
    <w:rsid w:val="00885043"/>
    <w:rsid w:val="0088504C"/>
    <w:rsid w:val="0088510A"/>
    <w:rsid w:val="00885171"/>
    <w:rsid w:val="008851BF"/>
    <w:rsid w:val="008851E2"/>
    <w:rsid w:val="00885298"/>
    <w:rsid w:val="00885387"/>
    <w:rsid w:val="008853D6"/>
    <w:rsid w:val="008853FA"/>
    <w:rsid w:val="00885416"/>
    <w:rsid w:val="00885428"/>
    <w:rsid w:val="008854F6"/>
    <w:rsid w:val="0088551B"/>
    <w:rsid w:val="00885524"/>
    <w:rsid w:val="00885569"/>
    <w:rsid w:val="00885609"/>
    <w:rsid w:val="0088562F"/>
    <w:rsid w:val="008856CE"/>
    <w:rsid w:val="008856D1"/>
    <w:rsid w:val="008856D8"/>
    <w:rsid w:val="008856F0"/>
    <w:rsid w:val="00885709"/>
    <w:rsid w:val="0088577E"/>
    <w:rsid w:val="00885793"/>
    <w:rsid w:val="00885806"/>
    <w:rsid w:val="00885861"/>
    <w:rsid w:val="00885864"/>
    <w:rsid w:val="0088586F"/>
    <w:rsid w:val="008858AD"/>
    <w:rsid w:val="008859CE"/>
    <w:rsid w:val="008859D0"/>
    <w:rsid w:val="00885A61"/>
    <w:rsid w:val="00885A88"/>
    <w:rsid w:val="00885AD1"/>
    <w:rsid w:val="00885AD9"/>
    <w:rsid w:val="00885B52"/>
    <w:rsid w:val="00885B6B"/>
    <w:rsid w:val="00885BCF"/>
    <w:rsid w:val="00885C09"/>
    <w:rsid w:val="00885C68"/>
    <w:rsid w:val="00885C6D"/>
    <w:rsid w:val="00885D0F"/>
    <w:rsid w:val="00885D26"/>
    <w:rsid w:val="00885DB7"/>
    <w:rsid w:val="00885EC9"/>
    <w:rsid w:val="00885F3E"/>
    <w:rsid w:val="00885F63"/>
    <w:rsid w:val="00885F9F"/>
    <w:rsid w:val="00885FC9"/>
    <w:rsid w:val="00885FD2"/>
    <w:rsid w:val="00886027"/>
    <w:rsid w:val="0088602B"/>
    <w:rsid w:val="00886055"/>
    <w:rsid w:val="00886084"/>
    <w:rsid w:val="0088610D"/>
    <w:rsid w:val="00886137"/>
    <w:rsid w:val="008861B6"/>
    <w:rsid w:val="00886299"/>
    <w:rsid w:val="008862BF"/>
    <w:rsid w:val="00886365"/>
    <w:rsid w:val="00886383"/>
    <w:rsid w:val="008863B2"/>
    <w:rsid w:val="0088641D"/>
    <w:rsid w:val="00886496"/>
    <w:rsid w:val="008864DD"/>
    <w:rsid w:val="00886549"/>
    <w:rsid w:val="00886566"/>
    <w:rsid w:val="008866FD"/>
    <w:rsid w:val="00886707"/>
    <w:rsid w:val="00886789"/>
    <w:rsid w:val="0088683F"/>
    <w:rsid w:val="008868A3"/>
    <w:rsid w:val="0088697D"/>
    <w:rsid w:val="008869D8"/>
    <w:rsid w:val="008869FC"/>
    <w:rsid w:val="00886A5C"/>
    <w:rsid w:val="00886A73"/>
    <w:rsid w:val="00886AB0"/>
    <w:rsid w:val="00886B63"/>
    <w:rsid w:val="00886BAC"/>
    <w:rsid w:val="00886C0E"/>
    <w:rsid w:val="00886C2D"/>
    <w:rsid w:val="00886D26"/>
    <w:rsid w:val="00886DF0"/>
    <w:rsid w:val="00886E85"/>
    <w:rsid w:val="00886FC5"/>
    <w:rsid w:val="00887063"/>
    <w:rsid w:val="008870D0"/>
    <w:rsid w:val="0088710E"/>
    <w:rsid w:val="0088724B"/>
    <w:rsid w:val="008872C5"/>
    <w:rsid w:val="00887345"/>
    <w:rsid w:val="0088739D"/>
    <w:rsid w:val="0088740E"/>
    <w:rsid w:val="0088745B"/>
    <w:rsid w:val="008874CD"/>
    <w:rsid w:val="008875A6"/>
    <w:rsid w:val="008876A2"/>
    <w:rsid w:val="00887712"/>
    <w:rsid w:val="0088771C"/>
    <w:rsid w:val="008877CA"/>
    <w:rsid w:val="008877F8"/>
    <w:rsid w:val="0088780A"/>
    <w:rsid w:val="00887969"/>
    <w:rsid w:val="0088799D"/>
    <w:rsid w:val="00887A5F"/>
    <w:rsid w:val="00887B17"/>
    <w:rsid w:val="00887B1A"/>
    <w:rsid w:val="00887B36"/>
    <w:rsid w:val="00887B57"/>
    <w:rsid w:val="00887B70"/>
    <w:rsid w:val="00887C19"/>
    <w:rsid w:val="00887C1F"/>
    <w:rsid w:val="00887C46"/>
    <w:rsid w:val="00887C75"/>
    <w:rsid w:val="00887CDB"/>
    <w:rsid w:val="00887CEA"/>
    <w:rsid w:val="00887D05"/>
    <w:rsid w:val="00887D86"/>
    <w:rsid w:val="00887DBB"/>
    <w:rsid w:val="00887E0C"/>
    <w:rsid w:val="00887EE2"/>
    <w:rsid w:val="00887F20"/>
    <w:rsid w:val="00887F84"/>
    <w:rsid w:val="00887FD0"/>
    <w:rsid w:val="00890014"/>
    <w:rsid w:val="0089004B"/>
    <w:rsid w:val="0089006C"/>
    <w:rsid w:val="008900CF"/>
    <w:rsid w:val="00890123"/>
    <w:rsid w:val="008901A8"/>
    <w:rsid w:val="0089021D"/>
    <w:rsid w:val="00890238"/>
    <w:rsid w:val="00890276"/>
    <w:rsid w:val="008903C2"/>
    <w:rsid w:val="008903D8"/>
    <w:rsid w:val="008903E1"/>
    <w:rsid w:val="0089045A"/>
    <w:rsid w:val="008904AE"/>
    <w:rsid w:val="008904C8"/>
    <w:rsid w:val="00890509"/>
    <w:rsid w:val="0089052C"/>
    <w:rsid w:val="00890645"/>
    <w:rsid w:val="008906C5"/>
    <w:rsid w:val="00890724"/>
    <w:rsid w:val="00890739"/>
    <w:rsid w:val="00890764"/>
    <w:rsid w:val="0089096C"/>
    <w:rsid w:val="00890AC2"/>
    <w:rsid w:val="00890B0A"/>
    <w:rsid w:val="00890B61"/>
    <w:rsid w:val="00890B68"/>
    <w:rsid w:val="00890B84"/>
    <w:rsid w:val="00890C0C"/>
    <w:rsid w:val="00890C3C"/>
    <w:rsid w:val="00890C54"/>
    <w:rsid w:val="00890CF0"/>
    <w:rsid w:val="00890D33"/>
    <w:rsid w:val="00890DA2"/>
    <w:rsid w:val="00890EAD"/>
    <w:rsid w:val="00890ED5"/>
    <w:rsid w:val="00890FB2"/>
    <w:rsid w:val="00890FC4"/>
    <w:rsid w:val="00891082"/>
    <w:rsid w:val="008910A7"/>
    <w:rsid w:val="008910E0"/>
    <w:rsid w:val="00891103"/>
    <w:rsid w:val="00891227"/>
    <w:rsid w:val="0089124F"/>
    <w:rsid w:val="008912D3"/>
    <w:rsid w:val="008912EA"/>
    <w:rsid w:val="008912EE"/>
    <w:rsid w:val="00891462"/>
    <w:rsid w:val="008915C5"/>
    <w:rsid w:val="008916E2"/>
    <w:rsid w:val="00891729"/>
    <w:rsid w:val="0089177B"/>
    <w:rsid w:val="008917F6"/>
    <w:rsid w:val="008918CA"/>
    <w:rsid w:val="008918F0"/>
    <w:rsid w:val="0089190E"/>
    <w:rsid w:val="00891AA5"/>
    <w:rsid w:val="00891BEF"/>
    <w:rsid w:val="00891C07"/>
    <w:rsid w:val="00891C25"/>
    <w:rsid w:val="00891C53"/>
    <w:rsid w:val="00891CA5"/>
    <w:rsid w:val="00891CFC"/>
    <w:rsid w:val="00891D18"/>
    <w:rsid w:val="00891D3E"/>
    <w:rsid w:val="00891D56"/>
    <w:rsid w:val="00891E29"/>
    <w:rsid w:val="00891EE0"/>
    <w:rsid w:val="00891F09"/>
    <w:rsid w:val="00892004"/>
    <w:rsid w:val="0089206B"/>
    <w:rsid w:val="008921A0"/>
    <w:rsid w:val="008921D0"/>
    <w:rsid w:val="008921FE"/>
    <w:rsid w:val="008922AB"/>
    <w:rsid w:val="008922E6"/>
    <w:rsid w:val="00892334"/>
    <w:rsid w:val="008923FD"/>
    <w:rsid w:val="00892429"/>
    <w:rsid w:val="0089245C"/>
    <w:rsid w:val="0089248E"/>
    <w:rsid w:val="00892495"/>
    <w:rsid w:val="008924D7"/>
    <w:rsid w:val="00892532"/>
    <w:rsid w:val="008925EC"/>
    <w:rsid w:val="0089271C"/>
    <w:rsid w:val="0089280A"/>
    <w:rsid w:val="0089282D"/>
    <w:rsid w:val="0089285F"/>
    <w:rsid w:val="008928AC"/>
    <w:rsid w:val="00892981"/>
    <w:rsid w:val="008929E9"/>
    <w:rsid w:val="00892A04"/>
    <w:rsid w:val="00892A29"/>
    <w:rsid w:val="00892AB7"/>
    <w:rsid w:val="00892B57"/>
    <w:rsid w:val="00892B85"/>
    <w:rsid w:val="00892BA0"/>
    <w:rsid w:val="00892C00"/>
    <w:rsid w:val="00892CF4"/>
    <w:rsid w:val="00892CF9"/>
    <w:rsid w:val="00892D10"/>
    <w:rsid w:val="00892D4C"/>
    <w:rsid w:val="00892D5D"/>
    <w:rsid w:val="00892D71"/>
    <w:rsid w:val="00892D8B"/>
    <w:rsid w:val="00892DB3"/>
    <w:rsid w:val="00892E39"/>
    <w:rsid w:val="00892E75"/>
    <w:rsid w:val="00892F0C"/>
    <w:rsid w:val="00892FFE"/>
    <w:rsid w:val="00893078"/>
    <w:rsid w:val="00893129"/>
    <w:rsid w:val="0089314F"/>
    <w:rsid w:val="0089316A"/>
    <w:rsid w:val="0089324E"/>
    <w:rsid w:val="00893260"/>
    <w:rsid w:val="0089331F"/>
    <w:rsid w:val="00893340"/>
    <w:rsid w:val="0089336C"/>
    <w:rsid w:val="0089347D"/>
    <w:rsid w:val="0089349D"/>
    <w:rsid w:val="008934EB"/>
    <w:rsid w:val="00893521"/>
    <w:rsid w:val="00893550"/>
    <w:rsid w:val="00893643"/>
    <w:rsid w:val="00893664"/>
    <w:rsid w:val="0089366A"/>
    <w:rsid w:val="0089371E"/>
    <w:rsid w:val="0089373E"/>
    <w:rsid w:val="0089376B"/>
    <w:rsid w:val="00893794"/>
    <w:rsid w:val="008937A2"/>
    <w:rsid w:val="008937A8"/>
    <w:rsid w:val="008937DA"/>
    <w:rsid w:val="00893802"/>
    <w:rsid w:val="00893896"/>
    <w:rsid w:val="0089389E"/>
    <w:rsid w:val="00893928"/>
    <w:rsid w:val="00893A4F"/>
    <w:rsid w:val="00893A85"/>
    <w:rsid w:val="00893B31"/>
    <w:rsid w:val="00893B68"/>
    <w:rsid w:val="00893B80"/>
    <w:rsid w:val="00893C84"/>
    <w:rsid w:val="00893CDA"/>
    <w:rsid w:val="00893CF4"/>
    <w:rsid w:val="00893D2E"/>
    <w:rsid w:val="00893D36"/>
    <w:rsid w:val="00893D74"/>
    <w:rsid w:val="00893E72"/>
    <w:rsid w:val="00893ED3"/>
    <w:rsid w:val="00893F05"/>
    <w:rsid w:val="00893F06"/>
    <w:rsid w:val="00893F28"/>
    <w:rsid w:val="00893F53"/>
    <w:rsid w:val="00893FE2"/>
    <w:rsid w:val="0089401B"/>
    <w:rsid w:val="00894044"/>
    <w:rsid w:val="008940D6"/>
    <w:rsid w:val="00894127"/>
    <w:rsid w:val="0089413B"/>
    <w:rsid w:val="00894182"/>
    <w:rsid w:val="008941AE"/>
    <w:rsid w:val="008941E4"/>
    <w:rsid w:val="0089421C"/>
    <w:rsid w:val="00894225"/>
    <w:rsid w:val="00894282"/>
    <w:rsid w:val="0089429D"/>
    <w:rsid w:val="008942A8"/>
    <w:rsid w:val="008942EB"/>
    <w:rsid w:val="0089431E"/>
    <w:rsid w:val="0089435D"/>
    <w:rsid w:val="00894380"/>
    <w:rsid w:val="0089438A"/>
    <w:rsid w:val="008943E5"/>
    <w:rsid w:val="00894420"/>
    <w:rsid w:val="0089443C"/>
    <w:rsid w:val="0089444C"/>
    <w:rsid w:val="0089446D"/>
    <w:rsid w:val="008944E1"/>
    <w:rsid w:val="00894572"/>
    <w:rsid w:val="00894644"/>
    <w:rsid w:val="0089464B"/>
    <w:rsid w:val="008946A1"/>
    <w:rsid w:val="008947EE"/>
    <w:rsid w:val="00894832"/>
    <w:rsid w:val="0089485C"/>
    <w:rsid w:val="008948C1"/>
    <w:rsid w:val="008948FB"/>
    <w:rsid w:val="00894930"/>
    <w:rsid w:val="008949CC"/>
    <w:rsid w:val="00894A60"/>
    <w:rsid w:val="00894A6E"/>
    <w:rsid w:val="00894A78"/>
    <w:rsid w:val="00894B62"/>
    <w:rsid w:val="00894B6C"/>
    <w:rsid w:val="00894C4A"/>
    <w:rsid w:val="00894CB6"/>
    <w:rsid w:val="00894CE4"/>
    <w:rsid w:val="00894D11"/>
    <w:rsid w:val="00894DD3"/>
    <w:rsid w:val="00894E89"/>
    <w:rsid w:val="00894ED5"/>
    <w:rsid w:val="00894ED8"/>
    <w:rsid w:val="00894F08"/>
    <w:rsid w:val="00894F0B"/>
    <w:rsid w:val="00894FE3"/>
    <w:rsid w:val="00895012"/>
    <w:rsid w:val="00895032"/>
    <w:rsid w:val="0089508F"/>
    <w:rsid w:val="00895106"/>
    <w:rsid w:val="00895132"/>
    <w:rsid w:val="00895169"/>
    <w:rsid w:val="0089521E"/>
    <w:rsid w:val="00895266"/>
    <w:rsid w:val="00895294"/>
    <w:rsid w:val="008952F3"/>
    <w:rsid w:val="00895311"/>
    <w:rsid w:val="00895341"/>
    <w:rsid w:val="00895345"/>
    <w:rsid w:val="008953E5"/>
    <w:rsid w:val="0089542A"/>
    <w:rsid w:val="00895432"/>
    <w:rsid w:val="008954A4"/>
    <w:rsid w:val="008954E6"/>
    <w:rsid w:val="0089550A"/>
    <w:rsid w:val="00895518"/>
    <w:rsid w:val="00895551"/>
    <w:rsid w:val="0089559C"/>
    <w:rsid w:val="00895616"/>
    <w:rsid w:val="00895628"/>
    <w:rsid w:val="0089564A"/>
    <w:rsid w:val="008956BD"/>
    <w:rsid w:val="00895750"/>
    <w:rsid w:val="00895771"/>
    <w:rsid w:val="00895843"/>
    <w:rsid w:val="008958B7"/>
    <w:rsid w:val="008958EE"/>
    <w:rsid w:val="0089592B"/>
    <w:rsid w:val="008959AC"/>
    <w:rsid w:val="00895AC7"/>
    <w:rsid w:val="00895B37"/>
    <w:rsid w:val="00895B3F"/>
    <w:rsid w:val="00895B4D"/>
    <w:rsid w:val="00895C31"/>
    <w:rsid w:val="00895CB5"/>
    <w:rsid w:val="00895D38"/>
    <w:rsid w:val="00895D97"/>
    <w:rsid w:val="00895DCE"/>
    <w:rsid w:val="00895E04"/>
    <w:rsid w:val="00895E2B"/>
    <w:rsid w:val="00895E6B"/>
    <w:rsid w:val="00895ED1"/>
    <w:rsid w:val="00895EF6"/>
    <w:rsid w:val="00895F84"/>
    <w:rsid w:val="00895FEA"/>
    <w:rsid w:val="00895FEC"/>
    <w:rsid w:val="00896044"/>
    <w:rsid w:val="008960A3"/>
    <w:rsid w:val="00896141"/>
    <w:rsid w:val="00896150"/>
    <w:rsid w:val="008961B8"/>
    <w:rsid w:val="00896235"/>
    <w:rsid w:val="0089639A"/>
    <w:rsid w:val="008964C1"/>
    <w:rsid w:val="0089663B"/>
    <w:rsid w:val="0089668A"/>
    <w:rsid w:val="00896907"/>
    <w:rsid w:val="00896913"/>
    <w:rsid w:val="00896962"/>
    <w:rsid w:val="00896A0C"/>
    <w:rsid w:val="00896A10"/>
    <w:rsid w:val="00896AF4"/>
    <w:rsid w:val="00896B0B"/>
    <w:rsid w:val="00896B6F"/>
    <w:rsid w:val="00896BD3"/>
    <w:rsid w:val="00896C17"/>
    <w:rsid w:val="00896C5B"/>
    <w:rsid w:val="00896C99"/>
    <w:rsid w:val="00896CCA"/>
    <w:rsid w:val="00896CD6"/>
    <w:rsid w:val="00896CF3"/>
    <w:rsid w:val="00896D56"/>
    <w:rsid w:val="00896D8F"/>
    <w:rsid w:val="00896DAF"/>
    <w:rsid w:val="00896DD4"/>
    <w:rsid w:val="00896E51"/>
    <w:rsid w:val="00896ECB"/>
    <w:rsid w:val="00896EE4"/>
    <w:rsid w:val="00896EF3"/>
    <w:rsid w:val="00896FE0"/>
    <w:rsid w:val="00897069"/>
    <w:rsid w:val="00897078"/>
    <w:rsid w:val="008970E4"/>
    <w:rsid w:val="00897109"/>
    <w:rsid w:val="00897134"/>
    <w:rsid w:val="00897290"/>
    <w:rsid w:val="008972BD"/>
    <w:rsid w:val="0089730C"/>
    <w:rsid w:val="008973DA"/>
    <w:rsid w:val="008973E8"/>
    <w:rsid w:val="00897413"/>
    <w:rsid w:val="0089744D"/>
    <w:rsid w:val="00897498"/>
    <w:rsid w:val="008974D6"/>
    <w:rsid w:val="008974DB"/>
    <w:rsid w:val="0089762A"/>
    <w:rsid w:val="00897680"/>
    <w:rsid w:val="0089770F"/>
    <w:rsid w:val="008977D8"/>
    <w:rsid w:val="0089785A"/>
    <w:rsid w:val="0089786E"/>
    <w:rsid w:val="00897899"/>
    <w:rsid w:val="008978C7"/>
    <w:rsid w:val="0089790F"/>
    <w:rsid w:val="00897A2F"/>
    <w:rsid w:val="00897A85"/>
    <w:rsid w:val="00897AA4"/>
    <w:rsid w:val="00897B0F"/>
    <w:rsid w:val="00897B65"/>
    <w:rsid w:val="00897BC0"/>
    <w:rsid w:val="00897C24"/>
    <w:rsid w:val="00897C45"/>
    <w:rsid w:val="00897C56"/>
    <w:rsid w:val="00897C83"/>
    <w:rsid w:val="00897CA2"/>
    <w:rsid w:val="00897DA0"/>
    <w:rsid w:val="00897DA1"/>
    <w:rsid w:val="00897DBF"/>
    <w:rsid w:val="00897DE7"/>
    <w:rsid w:val="00897E0F"/>
    <w:rsid w:val="00897E4B"/>
    <w:rsid w:val="00897EFB"/>
    <w:rsid w:val="00897F6D"/>
    <w:rsid w:val="00897FD6"/>
    <w:rsid w:val="008A0187"/>
    <w:rsid w:val="008A01F3"/>
    <w:rsid w:val="008A01F9"/>
    <w:rsid w:val="008A02FC"/>
    <w:rsid w:val="008A031D"/>
    <w:rsid w:val="008A03CC"/>
    <w:rsid w:val="008A048A"/>
    <w:rsid w:val="008A0494"/>
    <w:rsid w:val="008A04A5"/>
    <w:rsid w:val="008A062C"/>
    <w:rsid w:val="008A0637"/>
    <w:rsid w:val="008A0656"/>
    <w:rsid w:val="008A06C9"/>
    <w:rsid w:val="008A06E5"/>
    <w:rsid w:val="008A077E"/>
    <w:rsid w:val="008A07E6"/>
    <w:rsid w:val="008A081C"/>
    <w:rsid w:val="008A0912"/>
    <w:rsid w:val="008A098B"/>
    <w:rsid w:val="008A09ED"/>
    <w:rsid w:val="008A0A72"/>
    <w:rsid w:val="008A0A95"/>
    <w:rsid w:val="008A0B72"/>
    <w:rsid w:val="008A0BC0"/>
    <w:rsid w:val="008A0BF2"/>
    <w:rsid w:val="008A0C52"/>
    <w:rsid w:val="008A0C6B"/>
    <w:rsid w:val="008A0C97"/>
    <w:rsid w:val="008A0D45"/>
    <w:rsid w:val="008A0D85"/>
    <w:rsid w:val="008A0DDD"/>
    <w:rsid w:val="008A0E60"/>
    <w:rsid w:val="008A0E97"/>
    <w:rsid w:val="008A0EB5"/>
    <w:rsid w:val="008A0F41"/>
    <w:rsid w:val="008A0FFE"/>
    <w:rsid w:val="008A104E"/>
    <w:rsid w:val="008A109F"/>
    <w:rsid w:val="008A1158"/>
    <w:rsid w:val="008A1293"/>
    <w:rsid w:val="008A12FC"/>
    <w:rsid w:val="008A1301"/>
    <w:rsid w:val="008A1314"/>
    <w:rsid w:val="008A1322"/>
    <w:rsid w:val="008A1336"/>
    <w:rsid w:val="008A135D"/>
    <w:rsid w:val="008A1389"/>
    <w:rsid w:val="008A142D"/>
    <w:rsid w:val="008A1445"/>
    <w:rsid w:val="008A144B"/>
    <w:rsid w:val="008A1476"/>
    <w:rsid w:val="008A149C"/>
    <w:rsid w:val="008A1683"/>
    <w:rsid w:val="008A1685"/>
    <w:rsid w:val="008A16F5"/>
    <w:rsid w:val="008A173C"/>
    <w:rsid w:val="008A17DC"/>
    <w:rsid w:val="008A182F"/>
    <w:rsid w:val="008A194A"/>
    <w:rsid w:val="008A19B1"/>
    <w:rsid w:val="008A19B8"/>
    <w:rsid w:val="008A1A03"/>
    <w:rsid w:val="008A1A4D"/>
    <w:rsid w:val="008A1A62"/>
    <w:rsid w:val="008A1A80"/>
    <w:rsid w:val="008A1AB1"/>
    <w:rsid w:val="008A1AC1"/>
    <w:rsid w:val="008A1BBC"/>
    <w:rsid w:val="008A1BED"/>
    <w:rsid w:val="008A1C9F"/>
    <w:rsid w:val="008A1CB6"/>
    <w:rsid w:val="008A1D32"/>
    <w:rsid w:val="008A1DD8"/>
    <w:rsid w:val="008A1E1F"/>
    <w:rsid w:val="008A1E6E"/>
    <w:rsid w:val="008A1EED"/>
    <w:rsid w:val="008A1F29"/>
    <w:rsid w:val="008A1FFB"/>
    <w:rsid w:val="008A2007"/>
    <w:rsid w:val="008A20B8"/>
    <w:rsid w:val="008A21B2"/>
    <w:rsid w:val="008A21BE"/>
    <w:rsid w:val="008A224B"/>
    <w:rsid w:val="008A22A7"/>
    <w:rsid w:val="008A22B6"/>
    <w:rsid w:val="008A22BC"/>
    <w:rsid w:val="008A2314"/>
    <w:rsid w:val="008A2406"/>
    <w:rsid w:val="008A2410"/>
    <w:rsid w:val="008A2427"/>
    <w:rsid w:val="008A246C"/>
    <w:rsid w:val="008A2474"/>
    <w:rsid w:val="008A251C"/>
    <w:rsid w:val="008A2552"/>
    <w:rsid w:val="008A2589"/>
    <w:rsid w:val="008A25E0"/>
    <w:rsid w:val="008A263A"/>
    <w:rsid w:val="008A266C"/>
    <w:rsid w:val="008A2733"/>
    <w:rsid w:val="008A2738"/>
    <w:rsid w:val="008A274E"/>
    <w:rsid w:val="008A2784"/>
    <w:rsid w:val="008A281C"/>
    <w:rsid w:val="008A281D"/>
    <w:rsid w:val="008A286E"/>
    <w:rsid w:val="008A28A6"/>
    <w:rsid w:val="008A28F7"/>
    <w:rsid w:val="008A292D"/>
    <w:rsid w:val="008A2957"/>
    <w:rsid w:val="008A299D"/>
    <w:rsid w:val="008A2A11"/>
    <w:rsid w:val="008A2A15"/>
    <w:rsid w:val="008A2A39"/>
    <w:rsid w:val="008A2AC2"/>
    <w:rsid w:val="008A2AF0"/>
    <w:rsid w:val="008A2B48"/>
    <w:rsid w:val="008A2C3F"/>
    <w:rsid w:val="008A2C6A"/>
    <w:rsid w:val="008A2C75"/>
    <w:rsid w:val="008A2C96"/>
    <w:rsid w:val="008A2CA0"/>
    <w:rsid w:val="008A2D32"/>
    <w:rsid w:val="008A2DFB"/>
    <w:rsid w:val="008A2E11"/>
    <w:rsid w:val="008A2E64"/>
    <w:rsid w:val="008A2F51"/>
    <w:rsid w:val="008A2F8D"/>
    <w:rsid w:val="008A3021"/>
    <w:rsid w:val="008A3023"/>
    <w:rsid w:val="008A3028"/>
    <w:rsid w:val="008A302F"/>
    <w:rsid w:val="008A304D"/>
    <w:rsid w:val="008A3084"/>
    <w:rsid w:val="008A30FE"/>
    <w:rsid w:val="008A3167"/>
    <w:rsid w:val="008A31E0"/>
    <w:rsid w:val="008A3252"/>
    <w:rsid w:val="008A333A"/>
    <w:rsid w:val="008A3385"/>
    <w:rsid w:val="008A3386"/>
    <w:rsid w:val="008A34F9"/>
    <w:rsid w:val="008A353D"/>
    <w:rsid w:val="008A359B"/>
    <w:rsid w:val="008A35D7"/>
    <w:rsid w:val="008A3657"/>
    <w:rsid w:val="008A36E4"/>
    <w:rsid w:val="008A3702"/>
    <w:rsid w:val="008A372A"/>
    <w:rsid w:val="008A3742"/>
    <w:rsid w:val="008A37AA"/>
    <w:rsid w:val="008A37BB"/>
    <w:rsid w:val="008A37C8"/>
    <w:rsid w:val="008A37D3"/>
    <w:rsid w:val="008A38AC"/>
    <w:rsid w:val="008A3901"/>
    <w:rsid w:val="008A3928"/>
    <w:rsid w:val="008A392A"/>
    <w:rsid w:val="008A399C"/>
    <w:rsid w:val="008A3A2F"/>
    <w:rsid w:val="008A3AAA"/>
    <w:rsid w:val="008A3B56"/>
    <w:rsid w:val="008A3C90"/>
    <w:rsid w:val="008A3CC4"/>
    <w:rsid w:val="008A3CF0"/>
    <w:rsid w:val="008A3D99"/>
    <w:rsid w:val="008A3DDA"/>
    <w:rsid w:val="008A3E65"/>
    <w:rsid w:val="008A3E99"/>
    <w:rsid w:val="008A3EB2"/>
    <w:rsid w:val="008A3EE5"/>
    <w:rsid w:val="008A3FF0"/>
    <w:rsid w:val="008A4006"/>
    <w:rsid w:val="008A405C"/>
    <w:rsid w:val="008A40C7"/>
    <w:rsid w:val="008A4155"/>
    <w:rsid w:val="008A4210"/>
    <w:rsid w:val="008A4227"/>
    <w:rsid w:val="008A424E"/>
    <w:rsid w:val="008A4274"/>
    <w:rsid w:val="008A4403"/>
    <w:rsid w:val="008A4425"/>
    <w:rsid w:val="008A4469"/>
    <w:rsid w:val="008A44C2"/>
    <w:rsid w:val="008A452B"/>
    <w:rsid w:val="008A45B9"/>
    <w:rsid w:val="008A4666"/>
    <w:rsid w:val="008A473B"/>
    <w:rsid w:val="008A47D5"/>
    <w:rsid w:val="008A4842"/>
    <w:rsid w:val="008A48BE"/>
    <w:rsid w:val="008A4945"/>
    <w:rsid w:val="008A4967"/>
    <w:rsid w:val="008A4981"/>
    <w:rsid w:val="008A4A19"/>
    <w:rsid w:val="008A4A37"/>
    <w:rsid w:val="008A4B18"/>
    <w:rsid w:val="008A4B8C"/>
    <w:rsid w:val="008A4B92"/>
    <w:rsid w:val="008A4C00"/>
    <w:rsid w:val="008A4C34"/>
    <w:rsid w:val="008A4C4E"/>
    <w:rsid w:val="008A4C61"/>
    <w:rsid w:val="008A4CB0"/>
    <w:rsid w:val="008A4D49"/>
    <w:rsid w:val="008A4D77"/>
    <w:rsid w:val="008A4E32"/>
    <w:rsid w:val="008A4E5C"/>
    <w:rsid w:val="008A4E8A"/>
    <w:rsid w:val="008A4F4E"/>
    <w:rsid w:val="008A4FDB"/>
    <w:rsid w:val="008A5052"/>
    <w:rsid w:val="008A510B"/>
    <w:rsid w:val="008A5122"/>
    <w:rsid w:val="008A5138"/>
    <w:rsid w:val="008A517A"/>
    <w:rsid w:val="008A5263"/>
    <w:rsid w:val="008A5272"/>
    <w:rsid w:val="008A530B"/>
    <w:rsid w:val="008A533E"/>
    <w:rsid w:val="008A53A3"/>
    <w:rsid w:val="008A53F5"/>
    <w:rsid w:val="008A5426"/>
    <w:rsid w:val="008A54E7"/>
    <w:rsid w:val="008A5578"/>
    <w:rsid w:val="008A55B9"/>
    <w:rsid w:val="008A55DB"/>
    <w:rsid w:val="008A561B"/>
    <w:rsid w:val="008A5622"/>
    <w:rsid w:val="008A564D"/>
    <w:rsid w:val="008A566C"/>
    <w:rsid w:val="008A5711"/>
    <w:rsid w:val="008A5808"/>
    <w:rsid w:val="008A580C"/>
    <w:rsid w:val="008A5830"/>
    <w:rsid w:val="008A58C2"/>
    <w:rsid w:val="008A59C6"/>
    <w:rsid w:val="008A59FA"/>
    <w:rsid w:val="008A5A01"/>
    <w:rsid w:val="008A5A97"/>
    <w:rsid w:val="008A5AC0"/>
    <w:rsid w:val="008A5B79"/>
    <w:rsid w:val="008A5BFC"/>
    <w:rsid w:val="008A5C1E"/>
    <w:rsid w:val="008A5CB4"/>
    <w:rsid w:val="008A5CED"/>
    <w:rsid w:val="008A5D38"/>
    <w:rsid w:val="008A5E27"/>
    <w:rsid w:val="008A5F2C"/>
    <w:rsid w:val="008A5FBC"/>
    <w:rsid w:val="008A6017"/>
    <w:rsid w:val="008A603F"/>
    <w:rsid w:val="008A60C5"/>
    <w:rsid w:val="008A60F7"/>
    <w:rsid w:val="008A61BA"/>
    <w:rsid w:val="008A6314"/>
    <w:rsid w:val="008A6378"/>
    <w:rsid w:val="008A6441"/>
    <w:rsid w:val="008A64E9"/>
    <w:rsid w:val="008A64FC"/>
    <w:rsid w:val="008A650B"/>
    <w:rsid w:val="008A659C"/>
    <w:rsid w:val="008A674C"/>
    <w:rsid w:val="008A688E"/>
    <w:rsid w:val="008A6921"/>
    <w:rsid w:val="008A69D1"/>
    <w:rsid w:val="008A6A1A"/>
    <w:rsid w:val="008A6AF5"/>
    <w:rsid w:val="008A6B14"/>
    <w:rsid w:val="008A6B5A"/>
    <w:rsid w:val="008A6B7B"/>
    <w:rsid w:val="008A6BAF"/>
    <w:rsid w:val="008A6BC9"/>
    <w:rsid w:val="008A6C3F"/>
    <w:rsid w:val="008A6C4F"/>
    <w:rsid w:val="008A6C57"/>
    <w:rsid w:val="008A6D76"/>
    <w:rsid w:val="008A6DD0"/>
    <w:rsid w:val="008A6DF3"/>
    <w:rsid w:val="008A6E79"/>
    <w:rsid w:val="008A6EB0"/>
    <w:rsid w:val="008A6ED5"/>
    <w:rsid w:val="008A6FBA"/>
    <w:rsid w:val="008A7076"/>
    <w:rsid w:val="008A709C"/>
    <w:rsid w:val="008A70A8"/>
    <w:rsid w:val="008A70C3"/>
    <w:rsid w:val="008A71EB"/>
    <w:rsid w:val="008A7289"/>
    <w:rsid w:val="008A72B8"/>
    <w:rsid w:val="008A73DA"/>
    <w:rsid w:val="008A7498"/>
    <w:rsid w:val="008A74DF"/>
    <w:rsid w:val="008A74E8"/>
    <w:rsid w:val="008A7500"/>
    <w:rsid w:val="008A7550"/>
    <w:rsid w:val="008A755D"/>
    <w:rsid w:val="008A75E3"/>
    <w:rsid w:val="008A75FD"/>
    <w:rsid w:val="008A7666"/>
    <w:rsid w:val="008A7716"/>
    <w:rsid w:val="008A7734"/>
    <w:rsid w:val="008A7743"/>
    <w:rsid w:val="008A7765"/>
    <w:rsid w:val="008A77C4"/>
    <w:rsid w:val="008A781F"/>
    <w:rsid w:val="008A78EF"/>
    <w:rsid w:val="008A78FC"/>
    <w:rsid w:val="008A799F"/>
    <w:rsid w:val="008A79EF"/>
    <w:rsid w:val="008A7C2A"/>
    <w:rsid w:val="008A7C81"/>
    <w:rsid w:val="008A7C96"/>
    <w:rsid w:val="008A7CB0"/>
    <w:rsid w:val="008A7CD8"/>
    <w:rsid w:val="008A7D01"/>
    <w:rsid w:val="008A7EAA"/>
    <w:rsid w:val="008A7EAD"/>
    <w:rsid w:val="008A7EEF"/>
    <w:rsid w:val="008A7F03"/>
    <w:rsid w:val="008A7F56"/>
    <w:rsid w:val="008A7F64"/>
    <w:rsid w:val="008B0001"/>
    <w:rsid w:val="008B003E"/>
    <w:rsid w:val="008B009A"/>
    <w:rsid w:val="008B0252"/>
    <w:rsid w:val="008B028F"/>
    <w:rsid w:val="008B0421"/>
    <w:rsid w:val="008B051B"/>
    <w:rsid w:val="008B05BA"/>
    <w:rsid w:val="008B060F"/>
    <w:rsid w:val="008B0671"/>
    <w:rsid w:val="008B0691"/>
    <w:rsid w:val="008B0760"/>
    <w:rsid w:val="008B07A2"/>
    <w:rsid w:val="008B07BB"/>
    <w:rsid w:val="008B07CC"/>
    <w:rsid w:val="008B07DA"/>
    <w:rsid w:val="008B083C"/>
    <w:rsid w:val="008B0847"/>
    <w:rsid w:val="008B08DF"/>
    <w:rsid w:val="008B095B"/>
    <w:rsid w:val="008B0996"/>
    <w:rsid w:val="008B0A65"/>
    <w:rsid w:val="008B0B2E"/>
    <w:rsid w:val="008B0B70"/>
    <w:rsid w:val="008B0D1F"/>
    <w:rsid w:val="008B0DE2"/>
    <w:rsid w:val="008B0DE4"/>
    <w:rsid w:val="008B0E02"/>
    <w:rsid w:val="008B0FD9"/>
    <w:rsid w:val="008B0FDE"/>
    <w:rsid w:val="008B1004"/>
    <w:rsid w:val="008B103D"/>
    <w:rsid w:val="008B10D1"/>
    <w:rsid w:val="008B10E4"/>
    <w:rsid w:val="008B117C"/>
    <w:rsid w:val="008B1216"/>
    <w:rsid w:val="008B1314"/>
    <w:rsid w:val="008B1344"/>
    <w:rsid w:val="008B1397"/>
    <w:rsid w:val="008B13AE"/>
    <w:rsid w:val="008B1406"/>
    <w:rsid w:val="008B15D9"/>
    <w:rsid w:val="008B15E4"/>
    <w:rsid w:val="008B15F0"/>
    <w:rsid w:val="008B1614"/>
    <w:rsid w:val="008B1644"/>
    <w:rsid w:val="008B1663"/>
    <w:rsid w:val="008B1666"/>
    <w:rsid w:val="008B16D0"/>
    <w:rsid w:val="008B173C"/>
    <w:rsid w:val="008B1897"/>
    <w:rsid w:val="008B18E2"/>
    <w:rsid w:val="008B1957"/>
    <w:rsid w:val="008B197A"/>
    <w:rsid w:val="008B1ADB"/>
    <w:rsid w:val="008B1B41"/>
    <w:rsid w:val="008B1C3C"/>
    <w:rsid w:val="008B1C4E"/>
    <w:rsid w:val="008B1C80"/>
    <w:rsid w:val="008B1D21"/>
    <w:rsid w:val="008B1D25"/>
    <w:rsid w:val="008B1D26"/>
    <w:rsid w:val="008B1E2A"/>
    <w:rsid w:val="008B1EB4"/>
    <w:rsid w:val="008B1ECE"/>
    <w:rsid w:val="008B1F37"/>
    <w:rsid w:val="008B1F5F"/>
    <w:rsid w:val="008B1FE9"/>
    <w:rsid w:val="008B1FF4"/>
    <w:rsid w:val="008B2002"/>
    <w:rsid w:val="008B207D"/>
    <w:rsid w:val="008B2082"/>
    <w:rsid w:val="008B2101"/>
    <w:rsid w:val="008B2189"/>
    <w:rsid w:val="008B2228"/>
    <w:rsid w:val="008B22E7"/>
    <w:rsid w:val="008B22EB"/>
    <w:rsid w:val="008B2333"/>
    <w:rsid w:val="008B23AF"/>
    <w:rsid w:val="008B2427"/>
    <w:rsid w:val="008B2509"/>
    <w:rsid w:val="008B2535"/>
    <w:rsid w:val="008B253E"/>
    <w:rsid w:val="008B254D"/>
    <w:rsid w:val="008B2560"/>
    <w:rsid w:val="008B25EA"/>
    <w:rsid w:val="008B25EB"/>
    <w:rsid w:val="008B2652"/>
    <w:rsid w:val="008B2666"/>
    <w:rsid w:val="008B2681"/>
    <w:rsid w:val="008B268A"/>
    <w:rsid w:val="008B2717"/>
    <w:rsid w:val="008B2719"/>
    <w:rsid w:val="008B278E"/>
    <w:rsid w:val="008B27B5"/>
    <w:rsid w:val="008B27D0"/>
    <w:rsid w:val="008B27D6"/>
    <w:rsid w:val="008B28C8"/>
    <w:rsid w:val="008B291D"/>
    <w:rsid w:val="008B2986"/>
    <w:rsid w:val="008B2A22"/>
    <w:rsid w:val="008B2A42"/>
    <w:rsid w:val="008B2A89"/>
    <w:rsid w:val="008B2A8F"/>
    <w:rsid w:val="008B2B0B"/>
    <w:rsid w:val="008B2B8C"/>
    <w:rsid w:val="008B2B96"/>
    <w:rsid w:val="008B2BCB"/>
    <w:rsid w:val="008B2C3E"/>
    <w:rsid w:val="008B2D0F"/>
    <w:rsid w:val="008B2D50"/>
    <w:rsid w:val="008B2ECF"/>
    <w:rsid w:val="008B2EF0"/>
    <w:rsid w:val="008B2EFC"/>
    <w:rsid w:val="008B2F1E"/>
    <w:rsid w:val="008B2F2A"/>
    <w:rsid w:val="008B2F74"/>
    <w:rsid w:val="008B2FE6"/>
    <w:rsid w:val="008B3013"/>
    <w:rsid w:val="008B30DF"/>
    <w:rsid w:val="008B30E0"/>
    <w:rsid w:val="008B30FB"/>
    <w:rsid w:val="008B3176"/>
    <w:rsid w:val="008B3216"/>
    <w:rsid w:val="008B3281"/>
    <w:rsid w:val="008B32A6"/>
    <w:rsid w:val="008B332F"/>
    <w:rsid w:val="008B3343"/>
    <w:rsid w:val="008B3395"/>
    <w:rsid w:val="008B3493"/>
    <w:rsid w:val="008B350C"/>
    <w:rsid w:val="008B35A9"/>
    <w:rsid w:val="008B3618"/>
    <w:rsid w:val="008B3670"/>
    <w:rsid w:val="008B36F4"/>
    <w:rsid w:val="008B3736"/>
    <w:rsid w:val="008B378B"/>
    <w:rsid w:val="008B3885"/>
    <w:rsid w:val="008B3910"/>
    <w:rsid w:val="008B393F"/>
    <w:rsid w:val="008B395C"/>
    <w:rsid w:val="008B396B"/>
    <w:rsid w:val="008B3ABA"/>
    <w:rsid w:val="008B3B4A"/>
    <w:rsid w:val="008B3B94"/>
    <w:rsid w:val="008B3BBF"/>
    <w:rsid w:val="008B3C42"/>
    <w:rsid w:val="008B3C96"/>
    <w:rsid w:val="008B3D9D"/>
    <w:rsid w:val="008B3E24"/>
    <w:rsid w:val="008B3E36"/>
    <w:rsid w:val="008B3ED7"/>
    <w:rsid w:val="008B3F9E"/>
    <w:rsid w:val="008B3FA3"/>
    <w:rsid w:val="008B3FAE"/>
    <w:rsid w:val="008B3FEC"/>
    <w:rsid w:val="008B4036"/>
    <w:rsid w:val="008B4068"/>
    <w:rsid w:val="008B4098"/>
    <w:rsid w:val="008B40ED"/>
    <w:rsid w:val="008B4196"/>
    <w:rsid w:val="008B41B6"/>
    <w:rsid w:val="008B41D7"/>
    <w:rsid w:val="008B4223"/>
    <w:rsid w:val="008B428C"/>
    <w:rsid w:val="008B43A4"/>
    <w:rsid w:val="008B43EB"/>
    <w:rsid w:val="008B43F7"/>
    <w:rsid w:val="008B4585"/>
    <w:rsid w:val="008B45D8"/>
    <w:rsid w:val="008B45F7"/>
    <w:rsid w:val="008B47BF"/>
    <w:rsid w:val="008B4841"/>
    <w:rsid w:val="008B48CF"/>
    <w:rsid w:val="008B4928"/>
    <w:rsid w:val="008B493D"/>
    <w:rsid w:val="008B4A9A"/>
    <w:rsid w:val="008B4AB0"/>
    <w:rsid w:val="008B4AEF"/>
    <w:rsid w:val="008B4B19"/>
    <w:rsid w:val="008B4B20"/>
    <w:rsid w:val="008B4B86"/>
    <w:rsid w:val="008B4C69"/>
    <w:rsid w:val="008B4CEA"/>
    <w:rsid w:val="008B4DF9"/>
    <w:rsid w:val="008B4DFF"/>
    <w:rsid w:val="008B4E0C"/>
    <w:rsid w:val="008B4E56"/>
    <w:rsid w:val="008B4E8F"/>
    <w:rsid w:val="008B4F47"/>
    <w:rsid w:val="008B4F59"/>
    <w:rsid w:val="008B4F61"/>
    <w:rsid w:val="008B4F76"/>
    <w:rsid w:val="008B4F88"/>
    <w:rsid w:val="008B4FA9"/>
    <w:rsid w:val="008B4FCD"/>
    <w:rsid w:val="008B51A8"/>
    <w:rsid w:val="008B51C2"/>
    <w:rsid w:val="008B5245"/>
    <w:rsid w:val="008B52C3"/>
    <w:rsid w:val="008B532C"/>
    <w:rsid w:val="008B53DE"/>
    <w:rsid w:val="008B5433"/>
    <w:rsid w:val="008B547C"/>
    <w:rsid w:val="008B5552"/>
    <w:rsid w:val="008B5624"/>
    <w:rsid w:val="008B5626"/>
    <w:rsid w:val="008B566C"/>
    <w:rsid w:val="008B56E5"/>
    <w:rsid w:val="008B56F0"/>
    <w:rsid w:val="008B5768"/>
    <w:rsid w:val="008B57FD"/>
    <w:rsid w:val="008B58B5"/>
    <w:rsid w:val="008B58C0"/>
    <w:rsid w:val="008B58D1"/>
    <w:rsid w:val="008B59B1"/>
    <w:rsid w:val="008B59DE"/>
    <w:rsid w:val="008B5A36"/>
    <w:rsid w:val="008B5AE6"/>
    <w:rsid w:val="008B5AFC"/>
    <w:rsid w:val="008B5B28"/>
    <w:rsid w:val="008B5BB9"/>
    <w:rsid w:val="008B5BD6"/>
    <w:rsid w:val="008B5BF8"/>
    <w:rsid w:val="008B5C16"/>
    <w:rsid w:val="008B5C3B"/>
    <w:rsid w:val="008B5C54"/>
    <w:rsid w:val="008B5C84"/>
    <w:rsid w:val="008B5CCA"/>
    <w:rsid w:val="008B5D7B"/>
    <w:rsid w:val="008B5D90"/>
    <w:rsid w:val="008B5D9D"/>
    <w:rsid w:val="008B5DAC"/>
    <w:rsid w:val="008B5DB0"/>
    <w:rsid w:val="008B5DE0"/>
    <w:rsid w:val="008B5DF1"/>
    <w:rsid w:val="008B5E29"/>
    <w:rsid w:val="008B5E55"/>
    <w:rsid w:val="008B5EFD"/>
    <w:rsid w:val="008B60A4"/>
    <w:rsid w:val="008B60D1"/>
    <w:rsid w:val="008B6134"/>
    <w:rsid w:val="008B617E"/>
    <w:rsid w:val="008B6293"/>
    <w:rsid w:val="008B62D0"/>
    <w:rsid w:val="008B6348"/>
    <w:rsid w:val="008B6484"/>
    <w:rsid w:val="008B6491"/>
    <w:rsid w:val="008B64A6"/>
    <w:rsid w:val="008B64C5"/>
    <w:rsid w:val="008B651C"/>
    <w:rsid w:val="008B6562"/>
    <w:rsid w:val="008B65BD"/>
    <w:rsid w:val="008B6662"/>
    <w:rsid w:val="008B66BF"/>
    <w:rsid w:val="008B681E"/>
    <w:rsid w:val="008B69B9"/>
    <w:rsid w:val="008B6A13"/>
    <w:rsid w:val="008B6A2F"/>
    <w:rsid w:val="008B6AF0"/>
    <w:rsid w:val="008B6B39"/>
    <w:rsid w:val="008B6B45"/>
    <w:rsid w:val="008B6BB6"/>
    <w:rsid w:val="008B6C21"/>
    <w:rsid w:val="008B6C38"/>
    <w:rsid w:val="008B6C4C"/>
    <w:rsid w:val="008B6CEB"/>
    <w:rsid w:val="008B6D7B"/>
    <w:rsid w:val="008B6E40"/>
    <w:rsid w:val="008B6E9F"/>
    <w:rsid w:val="008B6EBD"/>
    <w:rsid w:val="008B6ED2"/>
    <w:rsid w:val="008B6EE9"/>
    <w:rsid w:val="008B6F5A"/>
    <w:rsid w:val="008B6F88"/>
    <w:rsid w:val="008B6FE1"/>
    <w:rsid w:val="008B6FE5"/>
    <w:rsid w:val="008B6FF6"/>
    <w:rsid w:val="008B7040"/>
    <w:rsid w:val="008B7078"/>
    <w:rsid w:val="008B715A"/>
    <w:rsid w:val="008B71B9"/>
    <w:rsid w:val="008B7209"/>
    <w:rsid w:val="008B7214"/>
    <w:rsid w:val="008B7288"/>
    <w:rsid w:val="008B72D1"/>
    <w:rsid w:val="008B7306"/>
    <w:rsid w:val="008B73CA"/>
    <w:rsid w:val="008B73FC"/>
    <w:rsid w:val="008B7467"/>
    <w:rsid w:val="008B7486"/>
    <w:rsid w:val="008B74A0"/>
    <w:rsid w:val="008B750B"/>
    <w:rsid w:val="008B752D"/>
    <w:rsid w:val="008B75AD"/>
    <w:rsid w:val="008B7686"/>
    <w:rsid w:val="008B769D"/>
    <w:rsid w:val="008B76D8"/>
    <w:rsid w:val="008B7750"/>
    <w:rsid w:val="008B7824"/>
    <w:rsid w:val="008B7851"/>
    <w:rsid w:val="008B7865"/>
    <w:rsid w:val="008B78CE"/>
    <w:rsid w:val="008B7907"/>
    <w:rsid w:val="008B7921"/>
    <w:rsid w:val="008B79C7"/>
    <w:rsid w:val="008B79F1"/>
    <w:rsid w:val="008B7A25"/>
    <w:rsid w:val="008B7A9F"/>
    <w:rsid w:val="008B7AA4"/>
    <w:rsid w:val="008B7AF7"/>
    <w:rsid w:val="008B7B42"/>
    <w:rsid w:val="008B7B61"/>
    <w:rsid w:val="008B7B83"/>
    <w:rsid w:val="008B7B88"/>
    <w:rsid w:val="008B7B94"/>
    <w:rsid w:val="008B7B97"/>
    <w:rsid w:val="008B7B9E"/>
    <w:rsid w:val="008B7C23"/>
    <w:rsid w:val="008B7CEA"/>
    <w:rsid w:val="008B7D34"/>
    <w:rsid w:val="008B7E1C"/>
    <w:rsid w:val="008B7EEA"/>
    <w:rsid w:val="008B7F0D"/>
    <w:rsid w:val="008B7F30"/>
    <w:rsid w:val="008B7F66"/>
    <w:rsid w:val="008B7F6D"/>
    <w:rsid w:val="008B7F9F"/>
    <w:rsid w:val="008B7FE9"/>
    <w:rsid w:val="008C0062"/>
    <w:rsid w:val="008C00E8"/>
    <w:rsid w:val="008C0106"/>
    <w:rsid w:val="008C013B"/>
    <w:rsid w:val="008C0165"/>
    <w:rsid w:val="008C0168"/>
    <w:rsid w:val="008C018C"/>
    <w:rsid w:val="008C019D"/>
    <w:rsid w:val="008C0204"/>
    <w:rsid w:val="008C0206"/>
    <w:rsid w:val="008C023E"/>
    <w:rsid w:val="008C0254"/>
    <w:rsid w:val="008C035E"/>
    <w:rsid w:val="008C038E"/>
    <w:rsid w:val="008C03EA"/>
    <w:rsid w:val="008C03EE"/>
    <w:rsid w:val="008C0421"/>
    <w:rsid w:val="008C0423"/>
    <w:rsid w:val="008C0441"/>
    <w:rsid w:val="008C0461"/>
    <w:rsid w:val="008C0468"/>
    <w:rsid w:val="008C047B"/>
    <w:rsid w:val="008C0491"/>
    <w:rsid w:val="008C053B"/>
    <w:rsid w:val="008C0561"/>
    <w:rsid w:val="008C0567"/>
    <w:rsid w:val="008C0586"/>
    <w:rsid w:val="008C058F"/>
    <w:rsid w:val="008C0608"/>
    <w:rsid w:val="008C06AE"/>
    <w:rsid w:val="008C06AF"/>
    <w:rsid w:val="008C073D"/>
    <w:rsid w:val="008C07A1"/>
    <w:rsid w:val="008C0860"/>
    <w:rsid w:val="008C086A"/>
    <w:rsid w:val="008C08CA"/>
    <w:rsid w:val="008C08E5"/>
    <w:rsid w:val="008C08F7"/>
    <w:rsid w:val="008C095A"/>
    <w:rsid w:val="008C0961"/>
    <w:rsid w:val="008C0994"/>
    <w:rsid w:val="008C09C5"/>
    <w:rsid w:val="008C09C7"/>
    <w:rsid w:val="008C0A44"/>
    <w:rsid w:val="008C0A46"/>
    <w:rsid w:val="008C0A72"/>
    <w:rsid w:val="008C0A8E"/>
    <w:rsid w:val="008C0BF6"/>
    <w:rsid w:val="008C0C2A"/>
    <w:rsid w:val="008C0C3D"/>
    <w:rsid w:val="008C0C55"/>
    <w:rsid w:val="008C0C6A"/>
    <w:rsid w:val="008C0CA8"/>
    <w:rsid w:val="008C0CCC"/>
    <w:rsid w:val="008C0D42"/>
    <w:rsid w:val="008C0DDF"/>
    <w:rsid w:val="008C0E46"/>
    <w:rsid w:val="008C0E5A"/>
    <w:rsid w:val="008C0E7C"/>
    <w:rsid w:val="008C0ED0"/>
    <w:rsid w:val="008C0EF7"/>
    <w:rsid w:val="008C0F2F"/>
    <w:rsid w:val="008C0F65"/>
    <w:rsid w:val="008C103B"/>
    <w:rsid w:val="008C1045"/>
    <w:rsid w:val="008C1059"/>
    <w:rsid w:val="008C106A"/>
    <w:rsid w:val="008C106C"/>
    <w:rsid w:val="008C10A5"/>
    <w:rsid w:val="008C10B3"/>
    <w:rsid w:val="008C10E3"/>
    <w:rsid w:val="008C111D"/>
    <w:rsid w:val="008C11C1"/>
    <w:rsid w:val="008C11C2"/>
    <w:rsid w:val="008C11E2"/>
    <w:rsid w:val="008C11FF"/>
    <w:rsid w:val="008C12AA"/>
    <w:rsid w:val="008C12D1"/>
    <w:rsid w:val="008C12DF"/>
    <w:rsid w:val="008C1341"/>
    <w:rsid w:val="008C1382"/>
    <w:rsid w:val="008C13BD"/>
    <w:rsid w:val="008C1452"/>
    <w:rsid w:val="008C151E"/>
    <w:rsid w:val="008C1600"/>
    <w:rsid w:val="008C161C"/>
    <w:rsid w:val="008C1699"/>
    <w:rsid w:val="008C16F8"/>
    <w:rsid w:val="008C1716"/>
    <w:rsid w:val="008C179B"/>
    <w:rsid w:val="008C17AC"/>
    <w:rsid w:val="008C1833"/>
    <w:rsid w:val="008C1837"/>
    <w:rsid w:val="008C184A"/>
    <w:rsid w:val="008C18B3"/>
    <w:rsid w:val="008C18DF"/>
    <w:rsid w:val="008C1905"/>
    <w:rsid w:val="008C19BC"/>
    <w:rsid w:val="008C1A69"/>
    <w:rsid w:val="008C1B93"/>
    <w:rsid w:val="008C1BE2"/>
    <w:rsid w:val="008C1C24"/>
    <w:rsid w:val="008C1DC8"/>
    <w:rsid w:val="008C1DD2"/>
    <w:rsid w:val="008C1E0C"/>
    <w:rsid w:val="008C1EB3"/>
    <w:rsid w:val="008C1EB7"/>
    <w:rsid w:val="008C1EBE"/>
    <w:rsid w:val="008C1F0C"/>
    <w:rsid w:val="008C1F32"/>
    <w:rsid w:val="008C2083"/>
    <w:rsid w:val="008C20F7"/>
    <w:rsid w:val="008C20FC"/>
    <w:rsid w:val="008C2154"/>
    <w:rsid w:val="008C2261"/>
    <w:rsid w:val="008C2293"/>
    <w:rsid w:val="008C22C4"/>
    <w:rsid w:val="008C22F6"/>
    <w:rsid w:val="008C2349"/>
    <w:rsid w:val="008C23C1"/>
    <w:rsid w:val="008C23C4"/>
    <w:rsid w:val="008C23D4"/>
    <w:rsid w:val="008C24E3"/>
    <w:rsid w:val="008C24FD"/>
    <w:rsid w:val="008C250E"/>
    <w:rsid w:val="008C252A"/>
    <w:rsid w:val="008C25B2"/>
    <w:rsid w:val="008C268D"/>
    <w:rsid w:val="008C26A9"/>
    <w:rsid w:val="008C26C9"/>
    <w:rsid w:val="008C26D6"/>
    <w:rsid w:val="008C2733"/>
    <w:rsid w:val="008C2735"/>
    <w:rsid w:val="008C2757"/>
    <w:rsid w:val="008C27DC"/>
    <w:rsid w:val="008C2869"/>
    <w:rsid w:val="008C28DD"/>
    <w:rsid w:val="008C28E2"/>
    <w:rsid w:val="008C28E9"/>
    <w:rsid w:val="008C28F5"/>
    <w:rsid w:val="008C297E"/>
    <w:rsid w:val="008C2A1B"/>
    <w:rsid w:val="008C2A4B"/>
    <w:rsid w:val="008C2A6D"/>
    <w:rsid w:val="008C2B3E"/>
    <w:rsid w:val="008C2C45"/>
    <w:rsid w:val="008C2C68"/>
    <w:rsid w:val="008C2C69"/>
    <w:rsid w:val="008C2C9E"/>
    <w:rsid w:val="008C2E82"/>
    <w:rsid w:val="008C2E8A"/>
    <w:rsid w:val="008C2F2D"/>
    <w:rsid w:val="008C2F85"/>
    <w:rsid w:val="008C2F93"/>
    <w:rsid w:val="008C2F9D"/>
    <w:rsid w:val="008C2FFB"/>
    <w:rsid w:val="008C3015"/>
    <w:rsid w:val="008C302C"/>
    <w:rsid w:val="008C3035"/>
    <w:rsid w:val="008C30E7"/>
    <w:rsid w:val="008C3102"/>
    <w:rsid w:val="008C31AE"/>
    <w:rsid w:val="008C31DB"/>
    <w:rsid w:val="008C31FC"/>
    <w:rsid w:val="008C3242"/>
    <w:rsid w:val="008C3275"/>
    <w:rsid w:val="008C3293"/>
    <w:rsid w:val="008C33D0"/>
    <w:rsid w:val="008C33E6"/>
    <w:rsid w:val="008C3433"/>
    <w:rsid w:val="008C3467"/>
    <w:rsid w:val="008C346F"/>
    <w:rsid w:val="008C3482"/>
    <w:rsid w:val="008C348E"/>
    <w:rsid w:val="008C34A6"/>
    <w:rsid w:val="008C351B"/>
    <w:rsid w:val="008C3524"/>
    <w:rsid w:val="008C3564"/>
    <w:rsid w:val="008C35A6"/>
    <w:rsid w:val="008C35AA"/>
    <w:rsid w:val="008C35BD"/>
    <w:rsid w:val="008C35D6"/>
    <w:rsid w:val="008C35F6"/>
    <w:rsid w:val="008C3643"/>
    <w:rsid w:val="008C368B"/>
    <w:rsid w:val="008C36C7"/>
    <w:rsid w:val="008C3755"/>
    <w:rsid w:val="008C3768"/>
    <w:rsid w:val="008C378F"/>
    <w:rsid w:val="008C3817"/>
    <w:rsid w:val="008C384F"/>
    <w:rsid w:val="008C3871"/>
    <w:rsid w:val="008C391A"/>
    <w:rsid w:val="008C3969"/>
    <w:rsid w:val="008C3A1D"/>
    <w:rsid w:val="008C3A68"/>
    <w:rsid w:val="008C3A7B"/>
    <w:rsid w:val="008C3A88"/>
    <w:rsid w:val="008C3AB2"/>
    <w:rsid w:val="008C3B04"/>
    <w:rsid w:val="008C3B34"/>
    <w:rsid w:val="008C3C46"/>
    <w:rsid w:val="008C3CCE"/>
    <w:rsid w:val="008C3CEB"/>
    <w:rsid w:val="008C3D7D"/>
    <w:rsid w:val="008C3DEC"/>
    <w:rsid w:val="008C3EA6"/>
    <w:rsid w:val="008C3ED2"/>
    <w:rsid w:val="008C3EEC"/>
    <w:rsid w:val="008C3EEF"/>
    <w:rsid w:val="008C3F18"/>
    <w:rsid w:val="008C3F45"/>
    <w:rsid w:val="008C4035"/>
    <w:rsid w:val="008C4041"/>
    <w:rsid w:val="008C410B"/>
    <w:rsid w:val="008C41D0"/>
    <w:rsid w:val="008C41E7"/>
    <w:rsid w:val="008C420A"/>
    <w:rsid w:val="008C4226"/>
    <w:rsid w:val="008C42CA"/>
    <w:rsid w:val="008C4426"/>
    <w:rsid w:val="008C4499"/>
    <w:rsid w:val="008C4534"/>
    <w:rsid w:val="008C457C"/>
    <w:rsid w:val="008C4605"/>
    <w:rsid w:val="008C463A"/>
    <w:rsid w:val="008C4684"/>
    <w:rsid w:val="008C4736"/>
    <w:rsid w:val="008C47CA"/>
    <w:rsid w:val="008C4810"/>
    <w:rsid w:val="008C4828"/>
    <w:rsid w:val="008C484A"/>
    <w:rsid w:val="008C4858"/>
    <w:rsid w:val="008C4976"/>
    <w:rsid w:val="008C4985"/>
    <w:rsid w:val="008C4A3F"/>
    <w:rsid w:val="008C4B19"/>
    <w:rsid w:val="008C4B9C"/>
    <w:rsid w:val="008C4BA8"/>
    <w:rsid w:val="008C4BED"/>
    <w:rsid w:val="008C4C5A"/>
    <w:rsid w:val="008C4C5C"/>
    <w:rsid w:val="008C4C5E"/>
    <w:rsid w:val="008C4C6F"/>
    <w:rsid w:val="008C4C8F"/>
    <w:rsid w:val="008C4CAC"/>
    <w:rsid w:val="008C4CBF"/>
    <w:rsid w:val="008C4D06"/>
    <w:rsid w:val="008C4D88"/>
    <w:rsid w:val="008C4DFA"/>
    <w:rsid w:val="008C4F45"/>
    <w:rsid w:val="008C4F49"/>
    <w:rsid w:val="008C4F53"/>
    <w:rsid w:val="008C4F67"/>
    <w:rsid w:val="008C4FCB"/>
    <w:rsid w:val="008C4FE4"/>
    <w:rsid w:val="008C4FFD"/>
    <w:rsid w:val="008C5094"/>
    <w:rsid w:val="008C509A"/>
    <w:rsid w:val="008C50D3"/>
    <w:rsid w:val="008C50FC"/>
    <w:rsid w:val="008C5152"/>
    <w:rsid w:val="008C5166"/>
    <w:rsid w:val="008C516E"/>
    <w:rsid w:val="008C5172"/>
    <w:rsid w:val="008C5195"/>
    <w:rsid w:val="008C51B4"/>
    <w:rsid w:val="008C51B8"/>
    <w:rsid w:val="008C51D5"/>
    <w:rsid w:val="008C5350"/>
    <w:rsid w:val="008C5395"/>
    <w:rsid w:val="008C53DB"/>
    <w:rsid w:val="008C53E8"/>
    <w:rsid w:val="008C53F7"/>
    <w:rsid w:val="008C541C"/>
    <w:rsid w:val="008C5441"/>
    <w:rsid w:val="008C5443"/>
    <w:rsid w:val="008C545D"/>
    <w:rsid w:val="008C5462"/>
    <w:rsid w:val="008C5467"/>
    <w:rsid w:val="008C54DD"/>
    <w:rsid w:val="008C54F3"/>
    <w:rsid w:val="008C5548"/>
    <w:rsid w:val="008C5590"/>
    <w:rsid w:val="008C581B"/>
    <w:rsid w:val="008C586A"/>
    <w:rsid w:val="008C5990"/>
    <w:rsid w:val="008C5A92"/>
    <w:rsid w:val="008C5AC2"/>
    <w:rsid w:val="008C5AC6"/>
    <w:rsid w:val="008C5B29"/>
    <w:rsid w:val="008C5BC5"/>
    <w:rsid w:val="008C5BC8"/>
    <w:rsid w:val="008C5C05"/>
    <w:rsid w:val="008C5C29"/>
    <w:rsid w:val="008C5C8F"/>
    <w:rsid w:val="008C5DA4"/>
    <w:rsid w:val="008C5DAD"/>
    <w:rsid w:val="008C5E19"/>
    <w:rsid w:val="008C5F25"/>
    <w:rsid w:val="008C6005"/>
    <w:rsid w:val="008C604B"/>
    <w:rsid w:val="008C609D"/>
    <w:rsid w:val="008C60B9"/>
    <w:rsid w:val="008C60DD"/>
    <w:rsid w:val="008C61CF"/>
    <w:rsid w:val="008C61D9"/>
    <w:rsid w:val="008C6204"/>
    <w:rsid w:val="008C62CF"/>
    <w:rsid w:val="008C6313"/>
    <w:rsid w:val="008C6377"/>
    <w:rsid w:val="008C63A1"/>
    <w:rsid w:val="008C63A6"/>
    <w:rsid w:val="008C63A7"/>
    <w:rsid w:val="008C6442"/>
    <w:rsid w:val="008C645A"/>
    <w:rsid w:val="008C64D6"/>
    <w:rsid w:val="008C64F3"/>
    <w:rsid w:val="008C65CA"/>
    <w:rsid w:val="008C6605"/>
    <w:rsid w:val="008C667A"/>
    <w:rsid w:val="008C66D2"/>
    <w:rsid w:val="008C6707"/>
    <w:rsid w:val="008C6716"/>
    <w:rsid w:val="008C6724"/>
    <w:rsid w:val="008C67CA"/>
    <w:rsid w:val="008C683A"/>
    <w:rsid w:val="008C6841"/>
    <w:rsid w:val="008C684B"/>
    <w:rsid w:val="008C6853"/>
    <w:rsid w:val="008C688B"/>
    <w:rsid w:val="008C68FE"/>
    <w:rsid w:val="008C6914"/>
    <w:rsid w:val="008C698A"/>
    <w:rsid w:val="008C69BC"/>
    <w:rsid w:val="008C69C5"/>
    <w:rsid w:val="008C69CF"/>
    <w:rsid w:val="008C6A49"/>
    <w:rsid w:val="008C6A4D"/>
    <w:rsid w:val="008C6AD8"/>
    <w:rsid w:val="008C6AEF"/>
    <w:rsid w:val="008C6B46"/>
    <w:rsid w:val="008C6B60"/>
    <w:rsid w:val="008C6BDD"/>
    <w:rsid w:val="008C6BEA"/>
    <w:rsid w:val="008C6BF5"/>
    <w:rsid w:val="008C6C51"/>
    <w:rsid w:val="008C6C53"/>
    <w:rsid w:val="008C6D0D"/>
    <w:rsid w:val="008C6D63"/>
    <w:rsid w:val="008C6DC1"/>
    <w:rsid w:val="008C6E4A"/>
    <w:rsid w:val="008C6E5E"/>
    <w:rsid w:val="008C6EE7"/>
    <w:rsid w:val="008C6EEE"/>
    <w:rsid w:val="008C6F04"/>
    <w:rsid w:val="008C6F59"/>
    <w:rsid w:val="008C6FA0"/>
    <w:rsid w:val="008C7008"/>
    <w:rsid w:val="008C706F"/>
    <w:rsid w:val="008C709A"/>
    <w:rsid w:val="008C70F6"/>
    <w:rsid w:val="008C70F7"/>
    <w:rsid w:val="008C7100"/>
    <w:rsid w:val="008C714A"/>
    <w:rsid w:val="008C71A8"/>
    <w:rsid w:val="008C71B0"/>
    <w:rsid w:val="008C7240"/>
    <w:rsid w:val="008C72BB"/>
    <w:rsid w:val="008C730D"/>
    <w:rsid w:val="008C73FA"/>
    <w:rsid w:val="008C743C"/>
    <w:rsid w:val="008C745A"/>
    <w:rsid w:val="008C7499"/>
    <w:rsid w:val="008C749D"/>
    <w:rsid w:val="008C74BB"/>
    <w:rsid w:val="008C74BC"/>
    <w:rsid w:val="008C74F4"/>
    <w:rsid w:val="008C74F5"/>
    <w:rsid w:val="008C7729"/>
    <w:rsid w:val="008C7771"/>
    <w:rsid w:val="008C77AF"/>
    <w:rsid w:val="008C77DA"/>
    <w:rsid w:val="008C7820"/>
    <w:rsid w:val="008C782B"/>
    <w:rsid w:val="008C7832"/>
    <w:rsid w:val="008C7838"/>
    <w:rsid w:val="008C78AE"/>
    <w:rsid w:val="008C78C0"/>
    <w:rsid w:val="008C78D5"/>
    <w:rsid w:val="008C7990"/>
    <w:rsid w:val="008C7998"/>
    <w:rsid w:val="008C79C2"/>
    <w:rsid w:val="008C79C5"/>
    <w:rsid w:val="008C7B34"/>
    <w:rsid w:val="008C7B67"/>
    <w:rsid w:val="008C7B82"/>
    <w:rsid w:val="008C7BB3"/>
    <w:rsid w:val="008C7C90"/>
    <w:rsid w:val="008C7CEB"/>
    <w:rsid w:val="008C7D16"/>
    <w:rsid w:val="008C7D26"/>
    <w:rsid w:val="008C7D40"/>
    <w:rsid w:val="008C7DCF"/>
    <w:rsid w:val="008C7DF6"/>
    <w:rsid w:val="008C7E2C"/>
    <w:rsid w:val="008C7EF8"/>
    <w:rsid w:val="008C7F72"/>
    <w:rsid w:val="008C7F89"/>
    <w:rsid w:val="008D0010"/>
    <w:rsid w:val="008D00CB"/>
    <w:rsid w:val="008D010B"/>
    <w:rsid w:val="008D0138"/>
    <w:rsid w:val="008D0159"/>
    <w:rsid w:val="008D0162"/>
    <w:rsid w:val="008D0170"/>
    <w:rsid w:val="008D0225"/>
    <w:rsid w:val="008D0233"/>
    <w:rsid w:val="008D023C"/>
    <w:rsid w:val="008D0274"/>
    <w:rsid w:val="008D02A7"/>
    <w:rsid w:val="008D02AB"/>
    <w:rsid w:val="008D0344"/>
    <w:rsid w:val="008D039A"/>
    <w:rsid w:val="008D03C3"/>
    <w:rsid w:val="008D0499"/>
    <w:rsid w:val="008D04F7"/>
    <w:rsid w:val="008D05D0"/>
    <w:rsid w:val="008D0619"/>
    <w:rsid w:val="008D062E"/>
    <w:rsid w:val="008D06B5"/>
    <w:rsid w:val="008D0706"/>
    <w:rsid w:val="008D073D"/>
    <w:rsid w:val="008D079B"/>
    <w:rsid w:val="008D07C0"/>
    <w:rsid w:val="008D07FB"/>
    <w:rsid w:val="008D0802"/>
    <w:rsid w:val="008D0826"/>
    <w:rsid w:val="008D0880"/>
    <w:rsid w:val="008D0883"/>
    <w:rsid w:val="008D0896"/>
    <w:rsid w:val="008D09B9"/>
    <w:rsid w:val="008D09E3"/>
    <w:rsid w:val="008D0A71"/>
    <w:rsid w:val="008D0AB0"/>
    <w:rsid w:val="008D0B4C"/>
    <w:rsid w:val="008D0C23"/>
    <w:rsid w:val="008D0C70"/>
    <w:rsid w:val="008D0C72"/>
    <w:rsid w:val="008D0E02"/>
    <w:rsid w:val="008D0E87"/>
    <w:rsid w:val="008D0E8A"/>
    <w:rsid w:val="008D0EFD"/>
    <w:rsid w:val="008D0F03"/>
    <w:rsid w:val="008D0F1C"/>
    <w:rsid w:val="008D0F73"/>
    <w:rsid w:val="008D0FA7"/>
    <w:rsid w:val="008D102A"/>
    <w:rsid w:val="008D1052"/>
    <w:rsid w:val="008D1099"/>
    <w:rsid w:val="008D1177"/>
    <w:rsid w:val="008D11B7"/>
    <w:rsid w:val="008D11E4"/>
    <w:rsid w:val="008D126F"/>
    <w:rsid w:val="008D12FA"/>
    <w:rsid w:val="008D1350"/>
    <w:rsid w:val="008D136C"/>
    <w:rsid w:val="008D137C"/>
    <w:rsid w:val="008D13CA"/>
    <w:rsid w:val="008D142F"/>
    <w:rsid w:val="008D1493"/>
    <w:rsid w:val="008D14DC"/>
    <w:rsid w:val="008D14E3"/>
    <w:rsid w:val="008D1513"/>
    <w:rsid w:val="008D1518"/>
    <w:rsid w:val="008D1561"/>
    <w:rsid w:val="008D15A2"/>
    <w:rsid w:val="008D15C6"/>
    <w:rsid w:val="008D15CF"/>
    <w:rsid w:val="008D163A"/>
    <w:rsid w:val="008D170D"/>
    <w:rsid w:val="008D17F2"/>
    <w:rsid w:val="008D1821"/>
    <w:rsid w:val="008D1968"/>
    <w:rsid w:val="008D19EC"/>
    <w:rsid w:val="008D1B08"/>
    <w:rsid w:val="008D1B0E"/>
    <w:rsid w:val="008D1C7E"/>
    <w:rsid w:val="008D1CB4"/>
    <w:rsid w:val="008D1D18"/>
    <w:rsid w:val="008D1D1E"/>
    <w:rsid w:val="008D1D9A"/>
    <w:rsid w:val="008D1DE8"/>
    <w:rsid w:val="008D1DF7"/>
    <w:rsid w:val="008D1E8B"/>
    <w:rsid w:val="008D1F8C"/>
    <w:rsid w:val="008D1FBD"/>
    <w:rsid w:val="008D2095"/>
    <w:rsid w:val="008D20DF"/>
    <w:rsid w:val="008D2112"/>
    <w:rsid w:val="008D2115"/>
    <w:rsid w:val="008D2160"/>
    <w:rsid w:val="008D216E"/>
    <w:rsid w:val="008D2171"/>
    <w:rsid w:val="008D2207"/>
    <w:rsid w:val="008D2299"/>
    <w:rsid w:val="008D22A9"/>
    <w:rsid w:val="008D22C5"/>
    <w:rsid w:val="008D2351"/>
    <w:rsid w:val="008D23DC"/>
    <w:rsid w:val="008D240E"/>
    <w:rsid w:val="008D2449"/>
    <w:rsid w:val="008D2554"/>
    <w:rsid w:val="008D2585"/>
    <w:rsid w:val="008D25C4"/>
    <w:rsid w:val="008D2695"/>
    <w:rsid w:val="008D27D1"/>
    <w:rsid w:val="008D2846"/>
    <w:rsid w:val="008D28F3"/>
    <w:rsid w:val="008D28FC"/>
    <w:rsid w:val="008D293F"/>
    <w:rsid w:val="008D296A"/>
    <w:rsid w:val="008D2971"/>
    <w:rsid w:val="008D2A08"/>
    <w:rsid w:val="008D2AD6"/>
    <w:rsid w:val="008D2BB8"/>
    <w:rsid w:val="008D2BE7"/>
    <w:rsid w:val="008D2C36"/>
    <w:rsid w:val="008D2C94"/>
    <w:rsid w:val="008D2CD1"/>
    <w:rsid w:val="008D2D0D"/>
    <w:rsid w:val="008D2D46"/>
    <w:rsid w:val="008D2D9A"/>
    <w:rsid w:val="008D2E26"/>
    <w:rsid w:val="008D2E9F"/>
    <w:rsid w:val="008D2EB4"/>
    <w:rsid w:val="008D2EBA"/>
    <w:rsid w:val="008D2EEC"/>
    <w:rsid w:val="008D2F25"/>
    <w:rsid w:val="008D2F3A"/>
    <w:rsid w:val="008D2F86"/>
    <w:rsid w:val="008D3011"/>
    <w:rsid w:val="008D3095"/>
    <w:rsid w:val="008D30DC"/>
    <w:rsid w:val="008D30E5"/>
    <w:rsid w:val="008D3126"/>
    <w:rsid w:val="008D3328"/>
    <w:rsid w:val="008D3361"/>
    <w:rsid w:val="008D3395"/>
    <w:rsid w:val="008D33B6"/>
    <w:rsid w:val="008D3405"/>
    <w:rsid w:val="008D3498"/>
    <w:rsid w:val="008D34AB"/>
    <w:rsid w:val="008D351D"/>
    <w:rsid w:val="008D3566"/>
    <w:rsid w:val="008D359F"/>
    <w:rsid w:val="008D367B"/>
    <w:rsid w:val="008D3691"/>
    <w:rsid w:val="008D37E1"/>
    <w:rsid w:val="008D3834"/>
    <w:rsid w:val="008D38A0"/>
    <w:rsid w:val="008D38F1"/>
    <w:rsid w:val="008D392F"/>
    <w:rsid w:val="008D3992"/>
    <w:rsid w:val="008D39CA"/>
    <w:rsid w:val="008D3B2F"/>
    <w:rsid w:val="008D3C0A"/>
    <w:rsid w:val="008D3C95"/>
    <w:rsid w:val="008D3CA6"/>
    <w:rsid w:val="008D3CE6"/>
    <w:rsid w:val="008D3CEE"/>
    <w:rsid w:val="008D3D3A"/>
    <w:rsid w:val="008D3DA6"/>
    <w:rsid w:val="008D3F40"/>
    <w:rsid w:val="008D3F42"/>
    <w:rsid w:val="008D3F92"/>
    <w:rsid w:val="008D4059"/>
    <w:rsid w:val="008D405B"/>
    <w:rsid w:val="008D4082"/>
    <w:rsid w:val="008D40E8"/>
    <w:rsid w:val="008D410A"/>
    <w:rsid w:val="008D4147"/>
    <w:rsid w:val="008D41C7"/>
    <w:rsid w:val="008D422E"/>
    <w:rsid w:val="008D423B"/>
    <w:rsid w:val="008D42A3"/>
    <w:rsid w:val="008D43BE"/>
    <w:rsid w:val="008D43C9"/>
    <w:rsid w:val="008D43E6"/>
    <w:rsid w:val="008D43E8"/>
    <w:rsid w:val="008D443A"/>
    <w:rsid w:val="008D4496"/>
    <w:rsid w:val="008D457C"/>
    <w:rsid w:val="008D45B6"/>
    <w:rsid w:val="008D45EA"/>
    <w:rsid w:val="008D465C"/>
    <w:rsid w:val="008D46A5"/>
    <w:rsid w:val="008D46D5"/>
    <w:rsid w:val="008D4780"/>
    <w:rsid w:val="008D47A4"/>
    <w:rsid w:val="008D47DC"/>
    <w:rsid w:val="008D4801"/>
    <w:rsid w:val="008D4871"/>
    <w:rsid w:val="008D4894"/>
    <w:rsid w:val="008D48F2"/>
    <w:rsid w:val="008D494F"/>
    <w:rsid w:val="008D4968"/>
    <w:rsid w:val="008D499D"/>
    <w:rsid w:val="008D49D1"/>
    <w:rsid w:val="008D4A0F"/>
    <w:rsid w:val="008D4A57"/>
    <w:rsid w:val="008D4AED"/>
    <w:rsid w:val="008D4B7C"/>
    <w:rsid w:val="008D4BB7"/>
    <w:rsid w:val="008D4BEB"/>
    <w:rsid w:val="008D4C34"/>
    <w:rsid w:val="008D4C8F"/>
    <w:rsid w:val="008D4D2D"/>
    <w:rsid w:val="008D4D83"/>
    <w:rsid w:val="008D4D9F"/>
    <w:rsid w:val="008D4E9D"/>
    <w:rsid w:val="008D4EA7"/>
    <w:rsid w:val="008D4EE7"/>
    <w:rsid w:val="008D4F75"/>
    <w:rsid w:val="008D4F77"/>
    <w:rsid w:val="008D4F9D"/>
    <w:rsid w:val="008D4FB2"/>
    <w:rsid w:val="008D5021"/>
    <w:rsid w:val="008D50B5"/>
    <w:rsid w:val="008D50C9"/>
    <w:rsid w:val="008D50FC"/>
    <w:rsid w:val="008D5128"/>
    <w:rsid w:val="008D5156"/>
    <w:rsid w:val="008D51BE"/>
    <w:rsid w:val="008D51DE"/>
    <w:rsid w:val="008D51F5"/>
    <w:rsid w:val="008D52AA"/>
    <w:rsid w:val="008D531F"/>
    <w:rsid w:val="008D532B"/>
    <w:rsid w:val="008D533A"/>
    <w:rsid w:val="008D53CC"/>
    <w:rsid w:val="008D5459"/>
    <w:rsid w:val="008D54BD"/>
    <w:rsid w:val="008D54CE"/>
    <w:rsid w:val="008D5539"/>
    <w:rsid w:val="008D556D"/>
    <w:rsid w:val="008D5584"/>
    <w:rsid w:val="008D55DF"/>
    <w:rsid w:val="008D55FA"/>
    <w:rsid w:val="008D5671"/>
    <w:rsid w:val="008D56B4"/>
    <w:rsid w:val="008D56BC"/>
    <w:rsid w:val="008D56D3"/>
    <w:rsid w:val="008D583F"/>
    <w:rsid w:val="008D58B2"/>
    <w:rsid w:val="008D58E1"/>
    <w:rsid w:val="008D592F"/>
    <w:rsid w:val="008D5944"/>
    <w:rsid w:val="008D594A"/>
    <w:rsid w:val="008D597A"/>
    <w:rsid w:val="008D5A1D"/>
    <w:rsid w:val="008D5AE2"/>
    <w:rsid w:val="008D5AED"/>
    <w:rsid w:val="008D5C2E"/>
    <w:rsid w:val="008D5CBB"/>
    <w:rsid w:val="008D5CC5"/>
    <w:rsid w:val="008D5D56"/>
    <w:rsid w:val="008D5D78"/>
    <w:rsid w:val="008D5E33"/>
    <w:rsid w:val="008D5E41"/>
    <w:rsid w:val="008D5E9D"/>
    <w:rsid w:val="008D5F2D"/>
    <w:rsid w:val="008D604E"/>
    <w:rsid w:val="008D60A7"/>
    <w:rsid w:val="008D6106"/>
    <w:rsid w:val="008D61A3"/>
    <w:rsid w:val="008D6255"/>
    <w:rsid w:val="008D62AB"/>
    <w:rsid w:val="008D63B7"/>
    <w:rsid w:val="008D63BC"/>
    <w:rsid w:val="008D6464"/>
    <w:rsid w:val="008D65C0"/>
    <w:rsid w:val="008D65EB"/>
    <w:rsid w:val="008D6632"/>
    <w:rsid w:val="008D6678"/>
    <w:rsid w:val="008D6800"/>
    <w:rsid w:val="008D6802"/>
    <w:rsid w:val="008D6820"/>
    <w:rsid w:val="008D6904"/>
    <w:rsid w:val="008D6920"/>
    <w:rsid w:val="008D6971"/>
    <w:rsid w:val="008D697E"/>
    <w:rsid w:val="008D6994"/>
    <w:rsid w:val="008D69B0"/>
    <w:rsid w:val="008D69B6"/>
    <w:rsid w:val="008D6A7F"/>
    <w:rsid w:val="008D6AD4"/>
    <w:rsid w:val="008D6AD7"/>
    <w:rsid w:val="008D6B32"/>
    <w:rsid w:val="008D6B7B"/>
    <w:rsid w:val="008D6C06"/>
    <w:rsid w:val="008D6CDC"/>
    <w:rsid w:val="008D6D9D"/>
    <w:rsid w:val="008D6DDE"/>
    <w:rsid w:val="008D6E65"/>
    <w:rsid w:val="008D6E6F"/>
    <w:rsid w:val="008D6E90"/>
    <w:rsid w:val="008D6F2A"/>
    <w:rsid w:val="008D6FDE"/>
    <w:rsid w:val="008D6FF2"/>
    <w:rsid w:val="008D7006"/>
    <w:rsid w:val="008D70BE"/>
    <w:rsid w:val="008D710A"/>
    <w:rsid w:val="008D7112"/>
    <w:rsid w:val="008D7150"/>
    <w:rsid w:val="008D71AA"/>
    <w:rsid w:val="008D72A0"/>
    <w:rsid w:val="008D73BF"/>
    <w:rsid w:val="008D7572"/>
    <w:rsid w:val="008D759A"/>
    <w:rsid w:val="008D76C3"/>
    <w:rsid w:val="008D7755"/>
    <w:rsid w:val="008D77E9"/>
    <w:rsid w:val="008D7826"/>
    <w:rsid w:val="008D7829"/>
    <w:rsid w:val="008D783B"/>
    <w:rsid w:val="008D7864"/>
    <w:rsid w:val="008D78C3"/>
    <w:rsid w:val="008D7912"/>
    <w:rsid w:val="008D7941"/>
    <w:rsid w:val="008D7970"/>
    <w:rsid w:val="008D79A2"/>
    <w:rsid w:val="008D79F7"/>
    <w:rsid w:val="008D7A9A"/>
    <w:rsid w:val="008D7AD1"/>
    <w:rsid w:val="008D7B01"/>
    <w:rsid w:val="008D7B12"/>
    <w:rsid w:val="008D7B53"/>
    <w:rsid w:val="008D7BD8"/>
    <w:rsid w:val="008D7C4A"/>
    <w:rsid w:val="008D7C64"/>
    <w:rsid w:val="008D7C6A"/>
    <w:rsid w:val="008D7C6C"/>
    <w:rsid w:val="008D7C78"/>
    <w:rsid w:val="008D7C91"/>
    <w:rsid w:val="008D7C9B"/>
    <w:rsid w:val="008D7D62"/>
    <w:rsid w:val="008D7E22"/>
    <w:rsid w:val="008D7E8D"/>
    <w:rsid w:val="008D7EB1"/>
    <w:rsid w:val="008D7EC4"/>
    <w:rsid w:val="008D7EED"/>
    <w:rsid w:val="008D7F4A"/>
    <w:rsid w:val="008E007C"/>
    <w:rsid w:val="008E0125"/>
    <w:rsid w:val="008E0147"/>
    <w:rsid w:val="008E017B"/>
    <w:rsid w:val="008E01D3"/>
    <w:rsid w:val="008E01D5"/>
    <w:rsid w:val="008E025A"/>
    <w:rsid w:val="008E02CE"/>
    <w:rsid w:val="008E02F2"/>
    <w:rsid w:val="008E030A"/>
    <w:rsid w:val="008E033D"/>
    <w:rsid w:val="008E0349"/>
    <w:rsid w:val="008E038F"/>
    <w:rsid w:val="008E03C7"/>
    <w:rsid w:val="008E03F1"/>
    <w:rsid w:val="008E0411"/>
    <w:rsid w:val="008E041D"/>
    <w:rsid w:val="008E0553"/>
    <w:rsid w:val="008E05D3"/>
    <w:rsid w:val="008E062E"/>
    <w:rsid w:val="008E0663"/>
    <w:rsid w:val="008E07CF"/>
    <w:rsid w:val="008E07E0"/>
    <w:rsid w:val="008E0856"/>
    <w:rsid w:val="008E087F"/>
    <w:rsid w:val="008E0898"/>
    <w:rsid w:val="008E09D7"/>
    <w:rsid w:val="008E09FB"/>
    <w:rsid w:val="008E0A23"/>
    <w:rsid w:val="008E0A72"/>
    <w:rsid w:val="008E0A74"/>
    <w:rsid w:val="008E0B22"/>
    <w:rsid w:val="008E0BD6"/>
    <w:rsid w:val="008E0C09"/>
    <w:rsid w:val="008E0C5C"/>
    <w:rsid w:val="008E0C92"/>
    <w:rsid w:val="008E0CEA"/>
    <w:rsid w:val="008E0E02"/>
    <w:rsid w:val="008E0EAB"/>
    <w:rsid w:val="008E1070"/>
    <w:rsid w:val="008E1086"/>
    <w:rsid w:val="008E10AB"/>
    <w:rsid w:val="008E10B7"/>
    <w:rsid w:val="008E10C6"/>
    <w:rsid w:val="008E10ED"/>
    <w:rsid w:val="008E10FB"/>
    <w:rsid w:val="008E1100"/>
    <w:rsid w:val="008E115F"/>
    <w:rsid w:val="008E12C2"/>
    <w:rsid w:val="008E13A4"/>
    <w:rsid w:val="008E141C"/>
    <w:rsid w:val="008E1444"/>
    <w:rsid w:val="008E1488"/>
    <w:rsid w:val="008E14DA"/>
    <w:rsid w:val="008E1501"/>
    <w:rsid w:val="008E1653"/>
    <w:rsid w:val="008E167F"/>
    <w:rsid w:val="008E1934"/>
    <w:rsid w:val="008E19A7"/>
    <w:rsid w:val="008E19EF"/>
    <w:rsid w:val="008E1A3F"/>
    <w:rsid w:val="008E1ABB"/>
    <w:rsid w:val="008E1AE8"/>
    <w:rsid w:val="008E1B09"/>
    <w:rsid w:val="008E1B44"/>
    <w:rsid w:val="008E1C14"/>
    <w:rsid w:val="008E1D3F"/>
    <w:rsid w:val="008E1D79"/>
    <w:rsid w:val="008E1DE3"/>
    <w:rsid w:val="008E1DF5"/>
    <w:rsid w:val="008E1E07"/>
    <w:rsid w:val="008E1E74"/>
    <w:rsid w:val="008E1F0E"/>
    <w:rsid w:val="008E1F2B"/>
    <w:rsid w:val="008E1FBE"/>
    <w:rsid w:val="008E201F"/>
    <w:rsid w:val="008E211D"/>
    <w:rsid w:val="008E2189"/>
    <w:rsid w:val="008E21BC"/>
    <w:rsid w:val="008E222B"/>
    <w:rsid w:val="008E2259"/>
    <w:rsid w:val="008E22FE"/>
    <w:rsid w:val="008E2306"/>
    <w:rsid w:val="008E23B6"/>
    <w:rsid w:val="008E2402"/>
    <w:rsid w:val="008E2461"/>
    <w:rsid w:val="008E247F"/>
    <w:rsid w:val="008E2503"/>
    <w:rsid w:val="008E2507"/>
    <w:rsid w:val="008E250B"/>
    <w:rsid w:val="008E2511"/>
    <w:rsid w:val="008E2626"/>
    <w:rsid w:val="008E264B"/>
    <w:rsid w:val="008E2652"/>
    <w:rsid w:val="008E268F"/>
    <w:rsid w:val="008E2693"/>
    <w:rsid w:val="008E26C7"/>
    <w:rsid w:val="008E2721"/>
    <w:rsid w:val="008E2950"/>
    <w:rsid w:val="008E2996"/>
    <w:rsid w:val="008E29B7"/>
    <w:rsid w:val="008E2ABA"/>
    <w:rsid w:val="008E2B47"/>
    <w:rsid w:val="008E2B4C"/>
    <w:rsid w:val="008E2B51"/>
    <w:rsid w:val="008E2B54"/>
    <w:rsid w:val="008E2B6D"/>
    <w:rsid w:val="008E2BFC"/>
    <w:rsid w:val="008E2C15"/>
    <w:rsid w:val="008E2D17"/>
    <w:rsid w:val="008E2D26"/>
    <w:rsid w:val="008E2D3C"/>
    <w:rsid w:val="008E2D87"/>
    <w:rsid w:val="008E2E16"/>
    <w:rsid w:val="008E2E56"/>
    <w:rsid w:val="008E2E6D"/>
    <w:rsid w:val="008E2EC1"/>
    <w:rsid w:val="008E2F06"/>
    <w:rsid w:val="008E2F75"/>
    <w:rsid w:val="008E2FD3"/>
    <w:rsid w:val="008E30B6"/>
    <w:rsid w:val="008E30BE"/>
    <w:rsid w:val="008E30EB"/>
    <w:rsid w:val="008E315D"/>
    <w:rsid w:val="008E3250"/>
    <w:rsid w:val="008E3270"/>
    <w:rsid w:val="008E32BD"/>
    <w:rsid w:val="008E332F"/>
    <w:rsid w:val="008E33A6"/>
    <w:rsid w:val="008E3409"/>
    <w:rsid w:val="008E3415"/>
    <w:rsid w:val="008E34FA"/>
    <w:rsid w:val="008E3533"/>
    <w:rsid w:val="008E3549"/>
    <w:rsid w:val="008E354B"/>
    <w:rsid w:val="008E3637"/>
    <w:rsid w:val="008E3648"/>
    <w:rsid w:val="008E3675"/>
    <w:rsid w:val="008E369A"/>
    <w:rsid w:val="008E36D3"/>
    <w:rsid w:val="008E36D9"/>
    <w:rsid w:val="008E3724"/>
    <w:rsid w:val="008E372F"/>
    <w:rsid w:val="008E37B7"/>
    <w:rsid w:val="008E3911"/>
    <w:rsid w:val="008E3A1F"/>
    <w:rsid w:val="008E3ADB"/>
    <w:rsid w:val="008E3B07"/>
    <w:rsid w:val="008E3B0B"/>
    <w:rsid w:val="008E3B1C"/>
    <w:rsid w:val="008E3B6B"/>
    <w:rsid w:val="008E3B92"/>
    <w:rsid w:val="008E3BE5"/>
    <w:rsid w:val="008E3C1B"/>
    <w:rsid w:val="008E3C8C"/>
    <w:rsid w:val="008E3CDD"/>
    <w:rsid w:val="008E3DE1"/>
    <w:rsid w:val="008E3E43"/>
    <w:rsid w:val="008E3E4D"/>
    <w:rsid w:val="008E3EB9"/>
    <w:rsid w:val="008E3F09"/>
    <w:rsid w:val="008E3F17"/>
    <w:rsid w:val="008E3F26"/>
    <w:rsid w:val="008E3F66"/>
    <w:rsid w:val="008E4084"/>
    <w:rsid w:val="008E40B9"/>
    <w:rsid w:val="008E40F6"/>
    <w:rsid w:val="008E4117"/>
    <w:rsid w:val="008E413E"/>
    <w:rsid w:val="008E414D"/>
    <w:rsid w:val="008E4150"/>
    <w:rsid w:val="008E4164"/>
    <w:rsid w:val="008E41F6"/>
    <w:rsid w:val="008E4239"/>
    <w:rsid w:val="008E4376"/>
    <w:rsid w:val="008E43E3"/>
    <w:rsid w:val="008E442B"/>
    <w:rsid w:val="008E44B2"/>
    <w:rsid w:val="008E44B6"/>
    <w:rsid w:val="008E45C9"/>
    <w:rsid w:val="008E466D"/>
    <w:rsid w:val="008E4817"/>
    <w:rsid w:val="008E4890"/>
    <w:rsid w:val="008E490D"/>
    <w:rsid w:val="008E4911"/>
    <w:rsid w:val="008E49AC"/>
    <w:rsid w:val="008E4AEC"/>
    <w:rsid w:val="008E4B67"/>
    <w:rsid w:val="008E4BC4"/>
    <w:rsid w:val="008E4C41"/>
    <w:rsid w:val="008E4C55"/>
    <w:rsid w:val="008E4D38"/>
    <w:rsid w:val="008E4D44"/>
    <w:rsid w:val="008E4D83"/>
    <w:rsid w:val="008E4D99"/>
    <w:rsid w:val="008E4E0A"/>
    <w:rsid w:val="008E4E1C"/>
    <w:rsid w:val="008E4E3D"/>
    <w:rsid w:val="008E4E8A"/>
    <w:rsid w:val="008E4F12"/>
    <w:rsid w:val="008E4F83"/>
    <w:rsid w:val="008E4FEA"/>
    <w:rsid w:val="008E50CF"/>
    <w:rsid w:val="008E511D"/>
    <w:rsid w:val="008E5198"/>
    <w:rsid w:val="008E51C8"/>
    <w:rsid w:val="008E5251"/>
    <w:rsid w:val="008E52B6"/>
    <w:rsid w:val="008E5324"/>
    <w:rsid w:val="008E5436"/>
    <w:rsid w:val="008E5536"/>
    <w:rsid w:val="008E553E"/>
    <w:rsid w:val="008E55A3"/>
    <w:rsid w:val="008E560E"/>
    <w:rsid w:val="008E56D3"/>
    <w:rsid w:val="008E57B4"/>
    <w:rsid w:val="008E57F2"/>
    <w:rsid w:val="008E57F7"/>
    <w:rsid w:val="008E57FC"/>
    <w:rsid w:val="008E5871"/>
    <w:rsid w:val="008E58EA"/>
    <w:rsid w:val="008E592B"/>
    <w:rsid w:val="008E5967"/>
    <w:rsid w:val="008E599C"/>
    <w:rsid w:val="008E5A8B"/>
    <w:rsid w:val="008E5A93"/>
    <w:rsid w:val="008E5AE3"/>
    <w:rsid w:val="008E5AE9"/>
    <w:rsid w:val="008E5B24"/>
    <w:rsid w:val="008E5BB3"/>
    <w:rsid w:val="008E5DB3"/>
    <w:rsid w:val="008E5DD0"/>
    <w:rsid w:val="008E5E20"/>
    <w:rsid w:val="008E5E3C"/>
    <w:rsid w:val="008E5E59"/>
    <w:rsid w:val="008E5E6C"/>
    <w:rsid w:val="008E5F3E"/>
    <w:rsid w:val="008E5FB6"/>
    <w:rsid w:val="008E5FCE"/>
    <w:rsid w:val="008E60CC"/>
    <w:rsid w:val="008E6121"/>
    <w:rsid w:val="008E615B"/>
    <w:rsid w:val="008E6167"/>
    <w:rsid w:val="008E61BE"/>
    <w:rsid w:val="008E61FA"/>
    <w:rsid w:val="008E6246"/>
    <w:rsid w:val="008E62E8"/>
    <w:rsid w:val="008E6313"/>
    <w:rsid w:val="008E6351"/>
    <w:rsid w:val="008E643E"/>
    <w:rsid w:val="008E6476"/>
    <w:rsid w:val="008E652A"/>
    <w:rsid w:val="008E6547"/>
    <w:rsid w:val="008E654A"/>
    <w:rsid w:val="008E6599"/>
    <w:rsid w:val="008E664D"/>
    <w:rsid w:val="008E66D7"/>
    <w:rsid w:val="008E67D2"/>
    <w:rsid w:val="008E67FD"/>
    <w:rsid w:val="008E687A"/>
    <w:rsid w:val="008E688B"/>
    <w:rsid w:val="008E6899"/>
    <w:rsid w:val="008E68B4"/>
    <w:rsid w:val="008E68D0"/>
    <w:rsid w:val="008E6925"/>
    <w:rsid w:val="008E6929"/>
    <w:rsid w:val="008E696B"/>
    <w:rsid w:val="008E6972"/>
    <w:rsid w:val="008E6A73"/>
    <w:rsid w:val="008E6A95"/>
    <w:rsid w:val="008E6AA2"/>
    <w:rsid w:val="008E6B24"/>
    <w:rsid w:val="008E6BB0"/>
    <w:rsid w:val="008E6BC2"/>
    <w:rsid w:val="008E6C20"/>
    <w:rsid w:val="008E6C72"/>
    <w:rsid w:val="008E6C84"/>
    <w:rsid w:val="008E6C9D"/>
    <w:rsid w:val="008E6CE1"/>
    <w:rsid w:val="008E6DB7"/>
    <w:rsid w:val="008E6E96"/>
    <w:rsid w:val="008E6E99"/>
    <w:rsid w:val="008E6F8F"/>
    <w:rsid w:val="008E6FB9"/>
    <w:rsid w:val="008E6FF1"/>
    <w:rsid w:val="008E705C"/>
    <w:rsid w:val="008E709D"/>
    <w:rsid w:val="008E7108"/>
    <w:rsid w:val="008E7298"/>
    <w:rsid w:val="008E72CE"/>
    <w:rsid w:val="008E72F7"/>
    <w:rsid w:val="008E730A"/>
    <w:rsid w:val="008E7330"/>
    <w:rsid w:val="008E738A"/>
    <w:rsid w:val="008E73EA"/>
    <w:rsid w:val="008E7405"/>
    <w:rsid w:val="008E7496"/>
    <w:rsid w:val="008E74BD"/>
    <w:rsid w:val="008E74E2"/>
    <w:rsid w:val="008E7589"/>
    <w:rsid w:val="008E75F6"/>
    <w:rsid w:val="008E769E"/>
    <w:rsid w:val="008E777C"/>
    <w:rsid w:val="008E77D7"/>
    <w:rsid w:val="008E77D8"/>
    <w:rsid w:val="008E77D9"/>
    <w:rsid w:val="008E7824"/>
    <w:rsid w:val="008E78AE"/>
    <w:rsid w:val="008E78E3"/>
    <w:rsid w:val="008E7901"/>
    <w:rsid w:val="008E7939"/>
    <w:rsid w:val="008E7A12"/>
    <w:rsid w:val="008E7A23"/>
    <w:rsid w:val="008E7A2E"/>
    <w:rsid w:val="008E7A70"/>
    <w:rsid w:val="008E7AE9"/>
    <w:rsid w:val="008E7B13"/>
    <w:rsid w:val="008E7C7A"/>
    <w:rsid w:val="008E7CFF"/>
    <w:rsid w:val="008E7DDB"/>
    <w:rsid w:val="008E7E03"/>
    <w:rsid w:val="008E7E17"/>
    <w:rsid w:val="008E7E4A"/>
    <w:rsid w:val="008E7EB8"/>
    <w:rsid w:val="008E7F92"/>
    <w:rsid w:val="008F0085"/>
    <w:rsid w:val="008F0089"/>
    <w:rsid w:val="008F0094"/>
    <w:rsid w:val="008F00DB"/>
    <w:rsid w:val="008F010D"/>
    <w:rsid w:val="008F0160"/>
    <w:rsid w:val="008F01B9"/>
    <w:rsid w:val="008F0227"/>
    <w:rsid w:val="008F024D"/>
    <w:rsid w:val="008F025E"/>
    <w:rsid w:val="008F03E7"/>
    <w:rsid w:val="008F03E8"/>
    <w:rsid w:val="008F044D"/>
    <w:rsid w:val="008F048D"/>
    <w:rsid w:val="008F0584"/>
    <w:rsid w:val="008F058B"/>
    <w:rsid w:val="008F05E4"/>
    <w:rsid w:val="008F05F8"/>
    <w:rsid w:val="008F0666"/>
    <w:rsid w:val="008F06AA"/>
    <w:rsid w:val="008F06F8"/>
    <w:rsid w:val="008F075A"/>
    <w:rsid w:val="008F078A"/>
    <w:rsid w:val="008F07B1"/>
    <w:rsid w:val="008F0850"/>
    <w:rsid w:val="008F0875"/>
    <w:rsid w:val="008F08B1"/>
    <w:rsid w:val="008F08D4"/>
    <w:rsid w:val="008F08E3"/>
    <w:rsid w:val="008F092F"/>
    <w:rsid w:val="008F0930"/>
    <w:rsid w:val="008F0946"/>
    <w:rsid w:val="008F0955"/>
    <w:rsid w:val="008F099F"/>
    <w:rsid w:val="008F0A14"/>
    <w:rsid w:val="008F0A6E"/>
    <w:rsid w:val="008F0A8B"/>
    <w:rsid w:val="008F0ABB"/>
    <w:rsid w:val="008F0AC7"/>
    <w:rsid w:val="008F0AF6"/>
    <w:rsid w:val="008F0AF9"/>
    <w:rsid w:val="008F0B24"/>
    <w:rsid w:val="008F0BA6"/>
    <w:rsid w:val="008F0BAC"/>
    <w:rsid w:val="008F0C3A"/>
    <w:rsid w:val="008F0C40"/>
    <w:rsid w:val="008F0C53"/>
    <w:rsid w:val="008F0CA0"/>
    <w:rsid w:val="008F0CB9"/>
    <w:rsid w:val="008F0DA3"/>
    <w:rsid w:val="008F0DB3"/>
    <w:rsid w:val="008F0DBD"/>
    <w:rsid w:val="008F0DD0"/>
    <w:rsid w:val="008F0E65"/>
    <w:rsid w:val="008F0EA7"/>
    <w:rsid w:val="008F0EA9"/>
    <w:rsid w:val="008F0EBE"/>
    <w:rsid w:val="008F0F02"/>
    <w:rsid w:val="008F0F20"/>
    <w:rsid w:val="008F0F8E"/>
    <w:rsid w:val="008F108B"/>
    <w:rsid w:val="008F10EA"/>
    <w:rsid w:val="008F110E"/>
    <w:rsid w:val="008F1121"/>
    <w:rsid w:val="008F1196"/>
    <w:rsid w:val="008F123B"/>
    <w:rsid w:val="008F1322"/>
    <w:rsid w:val="008F13B5"/>
    <w:rsid w:val="008F141B"/>
    <w:rsid w:val="008F1537"/>
    <w:rsid w:val="008F15C1"/>
    <w:rsid w:val="008F15E4"/>
    <w:rsid w:val="008F161F"/>
    <w:rsid w:val="008F1647"/>
    <w:rsid w:val="008F16C4"/>
    <w:rsid w:val="008F16DC"/>
    <w:rsid w:val="008F16EB"/>
    <w:rsid w:val="008F1706"/>
    <w:rsid w:val="008F172A"/>
    <w:rsid w:val="008F1735"/>
    <w:rsid w:val="008F1780"/>
    <w:rsid w:val="008F179F"/>
    <w:rsid w:val="008F17AF"/>
    <w:rsid w:val="008F17B8"/>
    <w:rsid w:val="008F17DC"/>
    <w:rsid w:val="008F1800"/>
    <w:rsid w:val="008F18AE"/>
    <w:rsid w:val="008F18D7"/>
    <w:rsid w:val="008F1912"/>
    <w:rsid w:val="008F196E"/>
    <w:rsid w:val="008F19A5"/>
    <w:rsid w:val="008F1A73"/>
    <w:rsid w:val="008F1AB3"/>
    <w:rsid w:val="008F1B5B"/>
    <w:rsid w:val="008F1B5F"/>
    <w:rsid w:val="008F1BBD"/>
    <w:rsid w:val="008F1BE4"/>
    <w:rsid w:val="008F1BFF"/>
    <w:rsid w:val="008F1CA6"/>
    <w:rsid w:val="008F1CDC"/>
    <w:rsid w:val="008F1D0D"/>
    <w:rsid w:val="008F1D1C"/>
    <w:rsid w:val="008F1E31"/>
    <w:rsid w:val="008F1E89"/>
    <w:rsid w:val="008F1E8E"/>
    <w:rsid w:val="008F1EA6"/>
    <w:rsid w:val="008F1EC8"/>
    <w:rsid w:val="008F1F8C"/>
    <w:rsid w:val="008F201D"/>
    <w:rsid w:val="008F2038"/>
    <w:rsid w:val="008F2105"/>
    <w:rsid w:val="008F21E7"/>
    <w:rsid w:val="008F22C3"/>
    <w:rsid w:val="008F23F5"/>
    <w:rsid w:val="008F2403"/>
    <w:rsid w:val="008F2430"/>
    <w:rsid w:val="008F249E"/>
    <w:rsid w:val="008F253A"/>
    <w:rsid w:val="008F2652"/>
    <w:rsid w:val="008F2684"/>
    <w:rsid w:val="008F274C"/>
    <w:rsid w:val="008F2796"/>
    <w:rsid w:val="008F279F"/>
    <w:rsid w:val="008F27DA"/>
    <w:rsid w:val="008F27E4"/>
    <w:rsid w:val="008F283D"/>
    <w:rsid w:val="008F2869"/>
    <w:rsid w:val="008F2889"/>
    <w:rsid w:val="008F28DB"/>
    <w:rsid w:val="008F2940"/>
    <w:rsid w:val="008F2963"/>
    <w:rsid w:val="008F297F"/>
    <w:rsid w:val="008F2991"/>
    <w:rsid w:val="008F29CE"/>
    <w:rsid w:val="008F29EA"/>
    <w:rsid w:val="008F29F1"/>
    <w:rsid w:val="008F2A15"/>
    <w:rsid w:val="008F2A56"/>
    <w:rsid w:val="008F2A71"/>
    <w:rsid w:val="008F2AF8"/>
    <w:rsid w:val="008F2B83"/>
    <w:rsid w:val="008F2B85"/>
    <w:rsid w:val="008F2BF7"/>
    <w:rsid w:val="008F2BFD"/>
    <w:rsid w:val="008F2C62"/>
    <w:rsid w:val="008F2C86"/>
    <w:rsid w:val="008F2CA5"/>
    <w:rsid w:val="008F2DA5"/>
    <w:rsid w:val="008F2DB9"/>
    <w:rsid w:val="008F2E20"/>
    <w:rsid w:val="008F2E56"/>
    <w:rsid w:val="008F2F66"/>
    <w:rsid w:val="008F2F67"/>
    <w:rsid w:val="008F307D"/>
    <w:rsid w:val="008F30FE"/>
    <w:rsid w:val="008F314B"/>
    <w:rsid w:val="008F3163"/>
    <w:rsid w:val="008F31C1"/>
    <w:rsid w:val="008F3205"/>
    <w:rsid w:val="008F32BD"/>
    <w:rsid w:val="008F3367"/>
    <w:rsid w:val="008F33A9"/>
    <w:rsid w:val="008F3506"/>
    <w:rsid w:val="008F3562"/>
    <w:rsid w:val="008F3563"/>
    <w:rsid w:val="008F35AD"/>
    <w:rsid w:val="008F35B4"/>
    <w:rsid w:val="008F3638"/>
    <w:rsid w:val="008F365E"/>
    <w:rsid w:val="008F3711"/>
    <w:rsid w:val="008F379E"/>
    <w:rsid w:val="008F37BE"/>
    <w:rsid w:val="008F37D0"/>
    <w:rsid w:val="008F383C"/>
    <w:rsid w:val="008F38E4"/>
    <w:rsid w:val="008F39E0"/>
    <w:rsid w:val="008F3A03"/>
    <w:rsid w:val="008F3A7A"/>
    <w:rsid w:val="008F3B0E"/>
    <w:rsid w:val="008F3B72"/>
    <w:rsid w:val="008F3CDD"/>
    <w:rsid w:val="008F3D0F"/>
    <w:rsid w:val="008F3D55"/>
    <w:rsid w:val="008F3DAE"/>
    <w:rsid w:val="008F3DCE"/>
    <w:rsid w:val="008F3E40"/>
    <w:rsid w:val="008F3EC1"/>
    <w:rsid w:val="008F3F03"/>
    <w:rsid w:val="008F3F64"/>
    <w:rsid w:val="008F3FED"/>
    <w:rsid w:val="008F4037"/>
    <w:rsid w:val="008F40AF"/>
    <w:rsid w:val="008F40D4"/>
    <w:rsid w:val="008F40E9"/>
    <w:rsid w:val="008F4112"/>
    <w:rsid w:val="008F415F"/>
    <w:rsid w:val="008F4188"/>
    <w:rsid w:val="008F4199"/>
    <w:rsid w:val="008F41A7"/>
    <w:rsid w:val="008F41DB"/>
    <w:rsid w:val="008F41E1"/>
    <w:rsid w:val="008F4287"/>
    <w:rsid w:val="008F429C"/>
    <w:rsid w:val="008F4319"/>
    <w:rsid w:val="008F431A"/>
    <w:rsid w:val="008F4351"/>
    <w:rsid w:val="008F4362"/>
    <w:rsid w:val="008F436B"/>
    <w:rsid w:val="008F441D"/>
    <w:rsid w:val="008F447E"/>
    <w:rsid w:val="008F44EB"/>
    <w:rsid w:val="008F4537"/>
    <w:rsid w:val="008F4543"/>
    <w:rsid w:val="008F4545"/>
    <w:rsid w:val="008F45BB"/>
    <w:rsid w:val="008F45CB"/>
    <w:rsid w:val="008F45D7"/>
    <w:rsid w:val="008F46EA"/>
    <w:rsid w:val="008F473A"/>
    <w:rsid w:val="008F4814"/>
    <w:rsid w:val="008F4827"/>
    <w:rsid w:val="008F4855"/>
    <w:rsid w:val="008F49C4"/>
    <w:rsid w:val="008F4A17"/>
    <w:rsid w:val="008F4A47"/>
    <w:rsid w:val="008F4A94"/>
    <w:rsid w:val="008F4AB8"/>
    <w:rsid w:val="008F4ABB"/>
    <w:rsid w:val="008F4AE9"/>
    <w:rsid w:val="008F4B7E"/>
    <w:rsid w:val="008F4B94"/>
    <w:rsid w:val="008F4C01"/>
    <w:rsid w:val="008F4CC3"/>
    <w:rsid w:val="008F4CE6"/>
    <w:rsid w:val="008F4D63"/>
    <w:rsid w:val="008F4D7D"/>
    <w:rsid w:val="008F4DBA"/>
    <w:rsid w:val="008F4E06"/>
    <w:rsid w:val="008F4E83"/>
    <w:rsid w:val="008F4EEF"/>
    <w:rsid w:val="008F4F2D"/>
    <w:rsid w:val="008F4F8E"/>
    <w:rsid w:val="008F4F97"/>
    <w:rsid w:val="008F4F9C"/>
    <w:rsid w:val="008F4FD6"/>
    <w:rsid w:val="008F5023"/>
    <w:rsid w:val="008F5056"/>
    <w:rsid w:val="008F50C5"/>
    <w:rsid w:val="008F5117"/>
    <w:rsid w:val="008F5145"/>
    <w:rsid w:val="008F516C"/>
    <w:rsid w:val="008F5195"/>
    <w:rsid w:val="008F520A"/>
    <w:rsid w:val="008F5221"/>
    <w:rsid w:val="008F5231"/>
    <w:rsid w:val="008F52ED"/>
    <w:rsid w:val="008F5314"/>
    <w:rsid w:val="008F5341"/>
    <w:rsid w:val="008F5367"/>
    <w:rsid w:val="008F538B"/>
    <w:rsid w:val="008F53F9"/>
    <w:rsid w:val="008F5410"/>
    <w:rsid w:val="008F549E"/>
    <w:rsid w:val="008F54A6"/>
    <w:rsid w:val="008F54B9"/>
    <w:rsid w:val="008F552C"/>
    <w:rsid w:val="008F55B8"/>
    <w:rsid w:val="008F5619"/>
    <w:rsid w:val="008F5623"/>
    <w:rsid w:val="008F565E"/>
    <w:rsid w:val="008F569D"/>
    <w:rsid w:val="008F570A"/>
    <w:rsid w:val="008F573A"/>
    <w:rsid w:val="008F574E"/>
    <w:rsid w:val="008F57C6"/>
    <w:rsid w:val="008F5811"/>
    <w:rsid w:val="008F5831"/>
    <w:rsid w:val="008F5837"/>
    <w:rsid w:val="008F587B"/>
    <w:rsid w:val="008F587C"/>
    <w:rsid w:val="008F5899"/>
    <w:rsid w:val="008F592C"/>
    <w:rsid w:val="008F594A"/>
    <w:rsid w:val="008F59E8"/>
    <w:rsid w:val="008F5A29"/>
    <w:rsid w:val="008F5AD0"/>
    <w:rsid w:val="008F5B92"/>
    <w:rsid w:val="008F5BE0"/>
    <w:rsid w:val="008F5C3B"/>
    <w:rsid w:val="008F5C47"/>
    <w:rsid w:val="008F5C48"/>
    <w:rsid w:val="008F5D51"/>
    <w:rsid w:val="008F5D52"/>
    <w:rsid w:val="008F5DB8"/>
    <w:rsid w:val="008F5E6E"/>
    <w:rsid w:val="008F5E88"/>
    <w:rsid w:val="008F5EB0"/>
    <w:rsid w:val="008F5ECE"/>
    <w:rsid w:val="008F5FDB"/>
    <w:rsid w:val="008F6045"/>
    <w:rsid w:val="008F6056"/>
    <w:rsid w:val="008F612A"/>
    <w:rsid w:val="008F6176"/>
    <w:rsid w:val="008F619F"/>
    <w:rsid w:val="008F61F9"/>
    <w:rsid w:val="008F6205"/>
    <w:rsid w:val="008F63AD"/>
    <w:rsid w:val="008F63CE"/>
    <w:rsid w:val="008F63D7"/>
    <w:rsid w:val="008F63F4"/>
    <w:rsid w:val="008F6405"/>
    <w:rsid w:val="008F6433"/>
    <w:rsid w:val="008F643F"/>
    <w:rsid w:val="008F6464"/>
    <w:rsid w:val="008F6482"/>
    <w:rsid w:val="008F64A0"/>
    <w:rsid w:val="008F64EF"/>
    <w:rsid w:val="008F6576"/>
    <w:rsid w:val="008F6580"/>
    <w:rsid w:val="008F670D"/>
    <w:rsid w:val="008F6761"/>
    <w:rsid w:val="008F6764"/>
    <w:rsid w:val="008F6777"/>
    <w:rsid w:val="008F679D"/>
    <w:rsid w:val="008F6837"/>
    <w:rsid w:val="008F683A"/>
    <w:rsid w:val="008F685D"/>
    <w:rsid w:val="008F687B"/>
    <w:rsid w:val="008F687D"/>
    <w:rsid w:val="008F68AF"/>
    <w:rsid w:val="008F68D7"/>
    <w:rsid w:val="008F690B"/>
    <w:rsid w:val="008F69E9"/>
    <w:rsid w:val="008F69EB"/>
    <w:rsid w:val="008F6AA2"/>
    <w:rsid w:val="008F6AB1"/>
    <w:rsid w:val="008F6B15"/>
    <w:rsid w:val="008F6BBD"/>
    <w:rsid w:val="008F6BC2"/>
    <w:rsid w:val="008F6CA8"/>
    <w:rsid w:val="008F6D16"/>
    <w:rsid w:val="008F6D5A"/>
    <w:rsid w:val="008F6D5C"/>
    <w:rsid w:val="008F6D69"/>
    <w:rsid w:val="008F6D6A"/>
    <w:rsid w:val="008F6E15"/>
    <w:rsid w:val="008F6E1C"/>
    <w:rsid w:val="008F6E3A"/>
    <w:rsid w:val="008F6E4B"/>
    <w:rsid w:val="008F6E67"/>
    <w:rsid w:val="008F6E80"/>
    <w:rsid w:val="008F6EEC"/>
    <w:rsid w:val="008F6F33"/>
    <w:rsid w:val="008F6F39"/>
    <w:rsid w:val="008F6F40"/>
    <w:rsid w:val="008F6F51"/>
    <w:rsid w:val="008F6F67"/>
    <w:rsid w:val="008F6F7B"/>
    <w:rsid w:val="008F702F"/>
    <w:rsid w:val="008F7051"/>
    <w:rsid w:val="008F7072"/>
    <w:rsid w:val="008F708A"/>
    <w:rsid w:val="008F70C2"/>
    <w:rsid w:val="008F70D2"/>
    <w:rsid w:val="008F70D8"/>
    <w:rsid w:val="008F7113"/>
    <w:rsid w:val="008F711C"/>
    <w:rsid w:val="008F717A"/>
    <w:rsid w:val="008F725E"/>
    <w:rsid w:val="008F72C3"/>
    <w:rsid w:val="008F72C6"/>
    <w:rsid w:val="008F73A9"/>
    <w:rsid w:val="008F73CB"/>
    <w:rsid w:val="008F7408"/>
    <w:rsid w:val="008F7423"/>
    <w:rsid w:val="008F7447"/>
    <w:rsid w:val="008F750C"/>
    <w:rsid w:val="008F752D"/>
    <w:rsid w:val="008F755D"/>
    <w:rsid w:val="008F75D9"/>
    <w:rsid w:val="008F761F"/>
    <w:rsid w:val="008F778B"/>
    <w:rsid w:val="008F77D4"/>
    <w:rsid w:val="008F786A"/>
    <w:rsid w:val="008F78CB"/>
    <w:rsid w:val="008F7AC7"/>
    <w:rsid w:val="008F7B1D"/>
    <w:rsid w:val="008F7B3A"/>
    <w:rsid w:val="008F7B48"/>
    <w:rsid w:val="008F7C0E"/>
    <w:rsid w:val="008F7C95"/>
    <w:rsid w:val="008F7CA5"/>
    <w:rsid w:val="008F7D01"/>
    <w:rsid w:val="008F7D3F"/>
    <w:rsid w:val="008F7D6D"/>
    <w:rsid w:val="008F7DF7"/>
    <w:rsid w:val="008F7E3E"/>
    <w:rsid w:val="008F7E5F"/>
    <w:rsid w:val="008F7F93"/>
    <w:rsid w:val="0090002E"/>
    <w:rsid w:val="00900083"/>
    <w:rsid w:val="009000F4"/>
    <w:rsid w:val="00900119"/>
    <w:rsid w:val="00900142"/>
    <w:rsid w:val="009001D3"/>
    <w:rsid w:val="0090024B"/>
    <w:rsid w:val="0090032E"/>
    <w:rsid w:val="00900365"/>
    <w:rsid w:val="00900376"/>
    <w:rsid w:val="009003F7"/>
    <w:rsid w:val="009003FB"/>
    <w:rsid w:val="0090042E"/>
    <w:rsid w:val="0090045A"/>
    <w:rsid w:val="0090058E"/>
    <w:rsid w:val="00900593"/>
    <w:rsid w:val="0090059A"/>
    <w:rsid w:val="009005BA"/>
    <w:rsid w:val="00900616"/>
    <w:rsid w:val="00900697"/>
    <w:rsid w:val="009007C4"/>
    <w:rsid w:val="0090081C"/>
    <w:rsid w:val="0090086C"/>
    <w:rsid w:val="009008AF"/>
    <w:rsid w:val="00900959"/>
    <w:rsid w:val="00900991"/>
    <w:rsid w:val="009009E4"/>
    <w:rsid w:val="009009EF"/>
    <w:rsid w:val="00900A26"/>
    <w:rsid w:val="00900AD4"/>
    <w:rsid w:val="00900BC3"/>
    <w:rsid w:val="00900C59"/>
    <w:rsid w:val="00900C83"/>
    <w:rsid w:val="00900CFA"/>
    <w:rsid w:val="00900D0E"/>
    <w:rsid w:val="00900D64"/>
    <w:rsid w:val="00900D66"/>
    <w:rsid w:val="00900E6A"/>
    <w:rsid w:val="00900E7B"/>
    <w:rsid w:val="00900E9E"/>
    <w:rsid w:val="00900F02"/>
    <w:rsid w:val="00900F40"/>
    <w:rsid w:val="0090101A"/>
    <w:rsid w:val="0090107C"/>
    <w:rsid w:val="00901098"/>
    <w:rsid w:val="0090109B"/>
    <w:rsid w:val="009011E1"/>
    <w:rsid w:val="00901200"/>
    <w:rsid w:val="0090121A"/>
    <w:rsid w:val="009012C3"/>
    <w:rsid w:val="009012CE"/>
    <w:rsid w:val="0090130B"/>
    <w:rsid w:val="009013D1"/>
    <w:rsid w:val="009013DE"/>
    <w:rsid w:val="009013F9"/>
    <w:rsid w:val="00901418"/>
    <w:rsid w:val="00901454"/>
    <w:rsid w:val="00901468"/>
    <w:rsid w:val="0090146B"/>
    <w:rsid w:val="00901527"/>
    <w:rsid w:val="0090155E"/>
    <w:rsid w:val="00901669"/>
    <w:rsid w:val="009016BC"/>
    <w:rsid w:val="00901729"/>
    <w:rsid w:val="0090183B"/>
    <w:rsid w:val="00901915"/>
    <w:rsid w:val="00901999"/>
    <w:rsid w:val="009019BC"/>
    <w:rsid w:val="009019D3"/>
    <w:rsid w:val="009019E7"/>
    <w:rsid w:val="00901A72"/>
    <w:rsid w:val="00901A75"/>
    <w:rsid w:val="00901A80"/>
    <w:rsid w:val="00901AF4"/>
    <w:rsid w:val="00901B2B"/>
    <w:rsid w:val="00901B4B"/>
    <w:rsid w:val="00901B98"/>
    <w:rsid w:val="00901BEC"/>
    <w:rsid w:val="00901C15"/>
    <w:rsid w:val="00901C48"/>
    <w:rsid w:val="00901C61"/>
    <w:rsid w:val="00901C89"/>
    <w:rsid w:val="00901C8C"/>
    <w:rsid w:val="00901E23"/>
    <w:rsid w:val="00901E35"/>
    <w:rsid w:val="00901E85"/>
    <w:rsid w:val="00901EEF"/>
    <w:rsid w:val="00901F1B"/>
    <w:rsid w:val="00901F1F"/>
    <w:rsid w:val="00901F4B"/>
    <w:rsid w:val="00901FF2"/>
    <w:rsid w:val="00901FF4"/>
    <w:rsid w:val="0090218C"/>
    <w:rsid w:val="009021D5"/>
    <w:rsid w:val="00902265"/>
    <w:rsid w:val="0090226E"/>
    <w:rsid w:val="0090227A"/>
    <w:rsid w:val="009022B0"/>
    <w:rsid w:val="00902395"/>
    <w:rsid w:val="009023AD"/>
    <w:rsid w:val="00902471"/>
    <w:rsid w:val="0090247B"/>
    <w:rsid w:val="009024E2"/>
    <w:rsid w:val="00902501"/>
    <w:rsid w:val="00902543"/>
    <w:rsid w:val="009026C7"/>
    <w:rsid w:val="009026F9"/>
    <w:rsid w:val="0090270D"/>
    <w:rsid w:val="009027E8"/>
    <w:rsid w:val="009028A9"/>
    <w:rsid w:val="009028C9"/>
    <w:rsid w:val="009028E2"/>
    <w:rsid w:val="0090299E"/>
    <w:rsid w:val="009029CA"/>
    <w:rsid w:val="00902A50"/>
    <w:rsid w:val="00902A67"/>
    <w:rsid w:val="00902AAD"/>
    <w:rsid w:val="00902ADF"/>
    <w:rsid w:val="00902AFD"/>
    <w:rsid w:val="00902B05"/>
    <w:rsid w:val="00902B4A"/>
    <w:rsid w:val="00902B9A"/>
    <w:rsid w:val="00902C2E"/>
    <w:rsid w:val="00902C3D"/>
    <w:rsid w:val="00902C69"/>
    <w:rsid w:val="00902C8D"/>
    <w:rsid w:val="00902D6F"/>
    <w:rsid w:val="00902E6A"/>
    <w:rsid w:val="00902E73"/>
    <w:rsid w:val="00902F36"/>
    <w:rsid w:val="00902F4F"/>
    <w:rsid w:val="00902FCD"/>
    <w:rsid w:val="009030D7"/>
    <w:rsid w:val="009030F7"/>
    <w:rsid w:val="00903117"/>
    <w:rsid w:val="009031D1"/>
    <w:rsid w:val="009031DE"/>
    <w:rsid w:val="00903221"/>
    <w:rsid w:val="009032AF"/>
    <w:rsid w:val="0090334D"/>
    <w:rsid w:val="009034B1"/>
    <w:rsid w:val="009035BD"/>
    <w:rsid w:val="00903677"/>
    <w:rsid w:val="0090375A"/>
    <w:rsid w:val="009037B8"/>
    <w:rsid w:val="00903869"/>
    <w:rsid w:val="009038B7"/>
    <w:rsid w:val="00903924"/>
    <w:rsid w:val="009039DE"/>
    <w:rsid w:val="009039E2"/>
    <w:rsid w:val="00903A3B"/>
    <w:rsid w:val="00903A81"/>
    <w:rsid w:val="00903AC6"/>
    <w:rsid w:val="00903B0F"/>
    <w:rsid w:val="00903B17"/>
    <w:rsid w:val="00903B8A"/>
    <w:rsid w:val="00903BCE"/>
    <w:rsid w:val="00903C32"/>
    <w:rsid w:val="00903D09"/>
    <w:rsid w:val="00903D95"/>
    <w:rsid w:val="00903E13"/>
    <w:rsid w:val="00903E67"/>
    <w:rsid w:val="00903EE8"/>
    <w:rsid w:val="00903EFB"/>
    <w:rsid w:val="00903F22"/>
    <w:rsid w:val="00903F3B"/>
    <w:rsid w:val="00903FB5"/>
    <w:rsid w:val="00903FCB"/>
    <w:rsid w:val="00903FF1"/>
    <w:rsid w:val="00904013"/>
    <w:rsid w:val="009040C7"/>
    <w:rsid w:val="009040CD"/>
    <w:rsid w:val="009040E7"/>
    <w:rsid w:val="0090411F"/>
    <w:rsid w:val="00904148"/>
    <w:rsid w:val="009041C3"/>
    <w:rsid w:val="009041FF"/>
    <w:rsid w:val="009042BE"/>
    <w:rsid w:val="009042BF"/>
    <w:rsid w:val="00904304"/>
    <w:rsid w:val="00904366"/>
    <w:rsid w:val="009043B9"/>
    <w:rsid w:val="00904469"/>
    <w:rsid w:val="0090448C"/>
    <w:rsid w:val="00904566"/>
    <w:rsid w:val="009046CC"/>
    <w:rsid w:val="009046E4"/>
    <w:rsid w:val="009046EE"/>
    <w:rsid w:val="00904762"/>
    <w:rsid w:val="009047D2"/>
    <w:rsid w:val="009047D3"/>
    <w:rsid w:val="009048D5"/>
    <w:rsid w:val="00904907"/>
    <w:rsid w:val="0090495D"/>
    <w:rsid w:val="00904991"/>
    <w:rsid w:val="009049D1"/>
    <w:rsid w:val="00904A3E"/>
    <w:rsid w:val="00904BB5"/>
    <w:rsid w:val="00904BCE"/>
    <w:rsid w:val="00904C0F"/>
    <w:rsid w:val="00904C59"/>
    <w:rsid w:val="00904C7B"/>
    <w:rsid w:val="00904C92"/>
    <w:rsid w:val="00904CE0"/>
    <w:rsid w:val="00904E19"/>
    <w:rsid w:val="00904E55"/>
    <w:rsid w:val="00904F13"/>
    <w:rsid w:val="00904F23"/>
    <w:rsid w:val="00904F6A"/>
    <w:rsid w:val="00904F91"/>
    <w:rsid w:val="00904F93"/>
    <w:rsid w:val="00904FC1"/>
    <w:rsid w:val="0090500B"/>
    <w:rsid w:val="00905026"/>
    <w:rsid w:val="0090503D"/>
    <w:rsid w:val="00905047"/>
    <w:rsid w:val="00905064"/>
    <w:rsid w:val="0090508B"/>
    <w:rsid w:val="009050ED"/>
    <w:rsid w:val="009050FC"/>
    <w:rsid w:val="00905191"/>
    <w:rsid w:val="00905261"/>
    <w:rsid w:val="00905290"/>
    <w:rsid w:val="009052E2"/>
    <w:rsid w:val="009052EB"/>
    <w:rsid w:val="0090549E"/>
    <w:rsid w:val="009054AD"/>
    <w:rsid w:val="00905530"/>
    <w:rsid w:val="009055C4"/>
    <w:rsid w:val="009055F7"/>
    <w:rsid w:val="009056B7"/>
    <w:rsid w:val="009056B9"/>
    <w:rsid w:val="00905734"/>
    <w:rsid w:val="009057AD"/>
    <w:rsid w:val="009057C1"/>
    <w:rsid w:val="0090580A"/>
    <w:rsid w:val="00905832"/>
    <w:rsid w:val="00905847"/>
    <w:rsid w:val="0090587B"/>
    <w:rsid w:val="00905891"/>
    <w:rsid w:val="009059C3"/>
    <w:rsid w:val="009059CA"/>
    <w:rsid w:val="00905A94"/>
    <w:rsid w:val="00905A96"/>
    <w:rsid w:val="00905B3A"/>
    <w:rsid w:val="00905B42"/>
    <w:rsid w:val="00905B53"/>
    <w:rsid w:val="00905C3E"/>
    <w:rsid w:val="00905C5C"/>
    <w:rsid w:val="00905F24"/>
    <w:rsid w:val="00905FA1"/>
    <w:rsid w:val="00905FDF"/>
    <w:rsid w:val="009060BA"/>
    <w:rsid w:val="009060C3"/>
    <w:rsid w:val="009060C8"/>
    <w:rsid w:val="009060CD"/>
    <w:rsid w:val="00906120"/>
    <w:rsid w:val="00906274"/>
    <w:rsid w:val="009062C5"/>
    <w:rsid w:val="0090630D"/>
    <w:rsid w:val="00906349"/>
    <w:rsid w:val="0090635C"/>
    <w:rsid w:val="00906377"/>
    <w:rsid w:val="00906502"/>
    <w:rsid w:val="00906532"/>
    <w:rsid w:val="0090664B"/>
    <w:rsid w:val="00906665"/>
    <w:rsid w:val="009067D4"/>
    <w:rsid w:val="00906859"/>
    <w:rsid w:val="00906918"/>
    <w:rsid w:val="009069A7"/>
    <w:rsid w:val="00906A6A"/>
    <w:rsid w:val="00906AD2"/>
    <w:rsid w:val="00906B94"/>
    <w:rsid w:val="00906BBE"/>
    <w:rsid w:val="00906C2E"/>
    <w:rsid w:val="00906C87"/>
    <w:rsid w:val="00906CD5"/>
    <w:rsid w:val="00906D5F"/>
    <w:rsid w:val="00906D98"/>
    <w:rsid w:val="00906F02"/>
    <w:rsid w:val="00906F33"/>
    <w:rsid w:val="00906F3E"/>
    <w:rsid w:val="00906F4A"/>
    <w:rsid w:val="00906F6B"/>
    <w:rsid w:val="009070F7"/>
    <w:rsid w:val="00907201"/>
    <w:rsid w:val="00907217"/>
    <w:rsid w:val="0090723F"/>
    <w:rsid w:val="00907268"/>
    <w:rsid w:val="0090726B"/>
    <w:rsid w:val="009072A9"/>
    <w:rsid w:val="009072ED"/>
    <w:rsid w:val="0090735F"/>
    <w:rsid w:val="009073C0"/>
    <w:rsid w:val="009073EB"/>
    <w:rsid w:val="0090743A"/>
    <w:rsid w:val="009074D5"/>
    <w:rsid w:val="00907567"/>
    <w:rsid w:val="00907591"/>
    <w:rsid w:val="00907612"/>
    <w:rsid w:val="00907680"/>
    <w:rsid w:val="00907682"/>
    <w:rsid w:val="009076D6"/>
    <w:rsid w:val="00907705"/>
    <w:rsid w:val="00907716"/>
    <w:rsid w:val="0090781B"/>
    <w:rsid w:val="0090786B"/>
    <w:rsid w:val="00907902"/>
    <w:rsid w:val="0090795C"/>
    <w:rsid w:val="00907A59"/>
    <w:rsid w:val="00907B35"/>
    <w:rsid w:val="00907BAF"/>
    <w:rsid w:val="00907BD8"/>
    <w:rsid w:val="00907C24"/>
    <w:rsid w:val="00907C49"/>
    <w:rsid w:val="00907C6E"/>
    <w:rsid w:val="00907C70"/>
    <w:rsid w:val="00907CD9"/>
    <w:rsid w:val="00907CE8"/>
    <w:rsid w:val="00907EC9"/>
    <w:rsid w:val="00907ECE"/>
    <w:rsid w:val="00907EFC"/>
    <w:rsid w:val="00907F05"/>
    <w:rsid w:val="00907F0E"/>
    <w:rsid w:val="00907F35"/>
    <w:rsid w:val="00907FD1"/>
    <w:rsid w:val="00910068"/>
    <w:rsid w:val="0091010A"/>
    <w:rsid w:val="00910139"/>
    <w:rsid w:val="00910143"/>
    <w:rsid w:val="009101DA"/>
    <w:rsid w:val="00910267"/>
    <w:rsid w:val="00910297"/>
    <w:rsid w:val="0091035D"/>
    <w:rsid w:val="009103A4"/>
    <w:rsid w:val="009103AB"/>
    <w:rsid w:val="0091043B"/>
    <w:rsid w:val="009104C9"/>
    <w:rsid w:val="009104D5"/>
    <w:rsid w:val="00910575"/>
    <w:rsid w:val="0091058E"/>
    <w:rsid w:val="009105AE"/>
    <w:rsid w:val="009105D3"/>
    <w:rsid w:val="00910636"/>
    <w:rsid w:val="0091067A"/>
    <w:rsid w:val="0091067C"/>
    <w:rsid w:val="0091073C"/>
    <w:rsid w:val="00910820"/>
    <w:rsid w:val="00910878"/>
    <w:rsid w:val="00910950"/>
    <w:rsid w:val="0091096D"/>
    <w:rsid w:val="0091098F"/>
    <w:rsid w:val="009109F0"/>
    <w:rsid w:val="00910B11"/>
    <w:rsid w:val="00910B77"/>
    <w:rsid w:val="00910B9E"/>
    <w:rsid w:val="00910C7A"/>
    <w:rsid w:val="00910C90"/>
    <w:rsid w:val="00910D08"/>
    <w:rsid w:val="00910DF2"/>
    <w:rsid w:val="00910E5A"/>
    <w:rsid w:val="00910E7B"/>
    <w:rsid w:val="00910EE4"/>
    <w:rsid w:val="00910F0B"/>
    <w:rsid w:val="00910F4C"/>
    <w:rsid w:val="00910F96"/>
    <w:rsid w:val="00910FA1"/>
    <w:rsid w:val="00910FBF"/>
    <w:rsid w:val="00910FCA"/>
    <w:rsid w:val="00910FF0"/>
    <w:rsid w:val="0091100E"/>
    <w:rsid w:val="00911010"/>
    <w:rsid w:val="00911028"/>
    <w:rsid w:val="009110AC"/>
    <w:rsid w:val="00911188"/>
    <w:rsid w:val="009111A3"/>
    <w:rsid w:val="009111A6"/>
    <w:rsid w:val="00911201"/>
    <w:rsid w:val="00911218"/>
    <w:rsid w:val="00911267"/>
    <w:rsid w:val="009114D6"/>
    <w:rsid w:val="009114F1"/>
    <w:rsid w:val="009114F8"/>
    <w:rsid w:val="0091158F"/>
    <w:rsid w:val="00911644"/>
    <w:rsid w:val="009116D3"/>
    <w:rsid w:val="0091176E"/>
    <w:rsid w:val="009117A3"/>
    <w:rsid w:val="009117C1"/>
    <w:rsid w:val="009117EE"/>
    <w:rsid w:val="00911812"/>
    <w:rsid w:val="00911882"/>
    <w:rsid w:val="009118A1"/>
    <w:rsid w:val="009118DC"/>
    <w:rsid w:val="00911927"/>
    <w:rsid w:val="0091192E"/>
    <w:rsid w:val="00911971"/>
    <w:rsid w:val="00911A63"/>
    <w:rsid w:val="00911A68"/>
    <w:rsid w:val="00911AF2"/>
    <w:rsid w:val="00911B0E"/>
    <w:rsid w:val="00911BDE"/>
    <w:rsid w:val="00911C94"/>
    <w:rsid w:val="00911C99"/>
    <w:rsid w:val="00911C9B"/>
    <w:rsid w:val="00911CA2"/>
    <w:rsid w:val="00911CB2"/>
    <w:rsid w:val="00911CB8"/>
    <w:rsid w:val="00911D34"/>
    <w:rsid w:val="00911D3F"/>
    <w:rsid w:val="00911D8D"/>
    <w:rsid w:val="00911D9C"/>
    <w:rsid w:val="00911E1A"/>
    <w:rsid w:val="00911E21"/>
    <w:rsid w:val="00911E7C"/>
    <w:rsid w:val="00911EDD"/>
    <w:rsid w:val="00911F42"/>
    <w:rsid w:val="00911F7D"/>
    <w:rsid w:val="009120C2"/>
    <w:rsid w:val="009120CC"/>
    <w:rsid w:val="009121AE"/>
    <w:rsid w:val="009121E5"/>
    <w:rsid w:val="00912262"/>
    <w:rsid w:val="009122AE"/>
    <w:rsid w:val="00912304"/>
    <w:rsid w:val="00912395"/>
    <w:rsid w:val="009123BD"/>
    <w:rsid w:val="009123F7"/>
    <w:rsid w:val="00912472"/>
    <w:rsid w:val="0091248A"/>
    <w:rsid w:val="00912492"/>
    <w:rsid w:val="0091251C"/>
    <w:rsid w:val="00912543"/>
    <w:rsid w:val="0091257D"/>
    <w:rsid w:val="00912585"/>
    <w:rsid w:val="0091258D"/>
    <w:rsid w:val="009125E1"/>
    <w:rsid w:val="0091269A"/>
    <w:rsid w:val="009126E5"/>
    <w:rsid w:val="0091273A"/>
    <w:rsid w:val="00912740"/>
    <w:rsid w:val="0091275B"/>
    <w:rsid w:val="0091276B"/>
    <w:rsid w:val="00912876"/>
    <w:rsid w:val="009128B8"/>
    <w:rsid w:val="0091296E"/>
    <w:rsid w:val="00912985"/>
    <w:rsid w:val="009129BF"/>
    <w:rsid w:val="009129CB"/>
    <w:rsid w:val="009129F5"/>
    <w:rsid w:val="00912A40"/>
    <w:rsid w:val="00912A97"/>
    <w:rsid w:val="00912AA3"/>
    <w:rsid w:val="00912B03"/>
    <w:rsid w:val="00912B47"/>
    <w:rsid w:val="00912B8A"/>
    <w:rsid w:val="00912BC8"/>
    <w:rsid w:val="00912D0B"/>
    <w:rsid w:val="00912E18"/>
    <w:rsid w:val="00912E81"/>
    <w:rsid w:val="00912E8C"/>
    <w:rsid w:val="00912EC6"/>
    <w:rsid w:val="00912EEC"/>
    <w:rsid w:val="00912FCB"/>
    <w:rsid w:val="00913074"/>
    <w:rsid w:val="00913109"/>
    <w:rsid w:val="00913154"/>
    <w:rsid w:val="0091315C"/>
    <w:rsid w:val="00913195"/>
    <w:rsid w:val="009131BA"/>
    <w:rsid w:val="009131FC"/>
    <w:rsid w:val="00913255"/>
    <w:rsid w:val="009132BF"/>
    <w:rsid w:val="0091335F"/>
    <w:rsid w:val="00913376"/>
    <w:rsid w:val="009133B3"/>
    <w:rsid w:val="0091342C"/>
    <w:rsid w:val="00913443"/>
    <w:rsid w:val="0091347F"/>
    <w:rsid w:val="00913499"/>
    <w:rsid w:val="009134EA"/>
    <w:rsid w:val="009134EE"/>
    <w:rsid w:val="00913510"/>
    <w:rsid w:val="0091366F"/>
    <w:rsid w:val="009137E7"/>
    <w:rsid w:val="00913837"/>
    <w:rsid w:val="0091385C"/>
    <w:rsid w:val="009138CA"/>
    <w:rsid w:val="0091390D"/>
    <w:rsid w:val="0091391B"/>
    <w:rsid w:val="00913976"/>
    <w:rsid w:val="0091399F"/>
    <w:rsid w:val="009139A4"/>
    <w:rsid w:val="00913A3F"/>
    <w:rsid w:val="00913A60"/>
    <w:rsid w:val="00913A91"/>
    <w:rsid w:val="00913ABA"/>
    <w:rsid w:val="00913ADF"/>
    <w:rsid w:val="00913AE5"/>
    <w:rsid w:val="00913AEC"/>
    <w:rsid w:val="00913B01"/>
    <w:rsid w:val="00913B0A"/>
    <w:rsid w:val="00913B6F"/>
    <w:rsid w:val="00913B78"/>
    <w:rsid w:val="00913B89"/>
    <w:rsid w:val="00913BF0"/>
    <w:rsid w:val="00913C1D"/>
    <w:rsid w:val="00913CB9"/>
    <w:rsid w:val="00913D19"/>
    <w:rsid w:val="00913D61"/>
    <w:rsid w:val="00913D6A"/>
    <w:rsid w:val="00913DE9"/>
    <w:rsid w:val="00913EBE"/>
    <w:rsid w:val="00913F2C"/>
    <w:rsid w:val="00913F61"/>
    <w:rsid w:val="00913F98"/>
    <w:rsid w:val="00913FCC"/>
    <w:rsid w:val="00914031"/>
    <w:rsid w:val="00914082"/>
    <w:rsid w:val="0091409B"/>
    <w:rsid w:val="0091415E"/>
    <w:rsid w:val="009141CF"/>
    <w:rsid w:val="009141FB"/>
    <w:rsid w:val="00914200"/>
    <w:rsid w:val="009142C5"/>
    <w:rsid w:val="00914325"/>
    <w:rsid w:val="009143BA"/>
    <w:rsid w:val="009143D2"/>
    <w:rsid w:val="009143D3"/>
    <w:rsid w:val="0091442C"/>
    <w:rsid w:val="0091442F"/>
    <w:rsid w:val="00914480"/>
    <w:rsid w:val="00914530"/>
    <w:rsid w:val="0091457C"/>
    <w:rsid w:val="00914585"/>
    <w:rsid w:val="00914665"/>
    <w:rsid w:val="0091467D"/>
    <w:rsid w:val="009147BF"/>
    <w:rsid w:val="009147C3"/>
    <w:rsid w:val="009147E9"/>
    <w:rsid w:val="0091489B"/>
    <w:rsid w:val="0091490E"/>
    <w:rsid w:val="009149BC"/>
    <w:rsid w:val="009149D5"/>
    <w:rsid w:val="00914A4D"/>
    <w:rsid w:val="00914AA3"/>
    <w:rsid w:val="00914AA5"/>
    <w:rsid w:val="00914AD1"/>
    <w:rsid w:val="00914AD3"/>
    <w:rsid w:val="00914B19"/>
    <w:rsid w:val="00914B22"/>
    <w:rsid w:val="00914C2A"/>
    <w:rsid w:val="00914CE1"/>
    <w:rsid w:val="00914D49"/>
    <w:rsid w:val="00914DB8"/>
    <w:rsid w:val="00914EB0"/>
    <w:rsid w:val="00914ECD"/>
    <w:rsid w:val="00914EF8"/>
    <w:rsid w:val="00914F22"/>
    <w:rsid w:val="00914F46"/>
    <w:rsid w:val="00914F50"/>
    <w:rsid w:val="00914F72"/>
    <w:rsid w:val="00914F83"/>
    <w:rsid w:val="0091503B"/>
    <w:rsid w:val="0091504E"/>
    <w:rsid w:val="009150E1"/>
    <w:rsid w:val="00915126"/>
    <w:rsid w:val="00915169"/>
    <w:rsid w:val="00915193"/>
    <w:rsid w:val="00915198"/>
    <w:rsid w:val="009151D9"/>
    <w:rsid w:val="009151FF"/>
    <w:rsid w:val="00915336"/>
    <w:rsid w:val="00915356"/>
    <w:rsid w:val="009153B7"/>
    <w:rsid w:val="009153CB"/>
    <w:rsid w:val="009153F5"/>
    <w:rsid w:val="009154B0"/>
    <w:rsid w:val="0091551C"/>
    <w:rsid w:val="009155E3"/>
    <w:rsid w:val="00915647"/>
    <w:rsid w:val="00915694"/>
    <w:rsid w:val="00915710"/>
    <w:rsid w:val="00915818"/>
    <w:rsid w:val="00915992"/>
    <w:rsid w:val="009159B0"/>
    <w:rsid w:val="009159B3"/>
    <w:rsid w:val="00915A23"/>
    <w:rsid w:val="00915A75"/>
    <w:rsid w:val="00915AA3"/>
    <w:rsid w:val="00915ADD"/>
    <w:rsid w:val="00915AE9"/>
    <w:rsid w:val="00915CA3"/>
    <w:rsid w:val="00915CE7"/>
    <w:rsid w:val="00915DAD"/>
    <w:rsid w:val="00915EF4"/>
    <w:rsid w:val="00915F1A"/>
    <w:rsid w:val="00915F5F"/>
    <w:rsid w:val="00915FB2"/>
    <w:rsid w:val="00915FD2"/>
    <w:rsid w:val="009160C2"/>
    <w:rsid w:val="009160D5"/>
    <w:rsid w:val="00916116"/>
    <w:rsid w:val="0091611C"/>
    <w:rsid w:val="0091613B"/>
    <w:rsid w:val="00916178"/>
    <w:rsid w:val="0091619A"/>
    <w:rsid w:val="00916248"/>
    <w:rsid w:val="00916253"/>
    <w:rsid w:val="009162AB"/>
    <w:rsid w:val="009162CF"/>
    <w:rsid w:val="00916317"/>
    <w:rsid w:val="009164CC"/>
    <w:rsid w:val="00916503"/>
    <w:rsid w:val="009165DB"/>
    <w:rsid w:val="009165E4"/>
    <w:rsid w:val="009165F8"/>
    <w:rsid w:val="0091666A"/>
    <w:rsid w:val="0091668C"/>
    <w:rsid w:val="009166A7"/>
    <w:rsid w:val="00916751"/>
    <w:rsid w:val="00916789"/>
    <w:rsid w:val="009167F7"/>
    <w:rsid w:val="00916815"/>
    <w:rsid w:val="00916835"/>
    <w:rsid w:val="009168AC"/>
    <w:rsid w:val="009168C6"/>
    <w:rsid w:val="0091694A"/>
    <w:rsid w:val="009169AB"/>
    <w:rsid w:val="00916A82"/>
    <w:rsid w:val="00916ACA"/>
    <w:rsid w:val="00916AD0"/>
    <w:rsid w:val="00916B7E"/>
    <w:rsid w:val="00916BAB"/>
    <w:rsid w:val="00916BAD"/>
    <w:rsid w:val="00916C05"/>
    <w:rsid w:val="00916C1C"/>
    <w:rsid w:val="00916C32"/>
    <w:rsid w:val="00916D5E"/>
    <w:rsid w:val="00916D9D"/>
    <w:rsid w:val="00916DF3"/>
    <w:rsid w:val="00916E14"/>
    <w:rsid w:val="00916E53"/>
    <w:rsid w:val="00916E54"/>
    <w:rsid w:val="00916ED1"/>
    <w:rsid w:val="00917061"/>
    <w:rsid w:val="009170DB"/>
    <w:rsid w:val="0091716D"/>
    <w:rsid w:val="00917185"/>
    <w:rsid w:val="00917219"/>
    <w:rsid w:val="0091723E"/>
    <w:rsid w:val="0091729E"/>
    <w:rsid w:val="009172AF"/>
    <w:rsid w:val="00917355"/>
    <w:rsid w:val="00917385"/>
    <w:rsid w:val="009173AC"/>
    <w:rsid w:val="009173BA"/>
    <w:rsid w:val="009173CF"/>
    <w:rsid w:val="009173D2"/>
    <w:rsid w:val="009173DF"/>
    <w:rsid w:val="009174BF"/>
    <w:rsid w:val="009174C7"/>
    <w:rsid w:val="009174CA"/>
    <w:rsid w:val="00917518"/>
    <w:rsid w:val="00917538"/>
    <w:rsid w:val="0091753B"/>
    <w:rsid w:val="0091758E"/>
    <w:rsid w:val="00917599"/>
    <w:rsid w:val="009175DE"/>
    <w:rsid w:val="00917663"/>
    <w:rsid w:val="00917684"/>
    <w:rsid w:val="0091780C"/>
    <w:rsid w:val="009178E1"/>
    <w:rsid w:val="009178EA"/>
    <w:rsid w:val="00917937"/>
    <w:rsid w:val="00917958"/>
    <w:rsid w:val="00917A0A"/>
    <w:rsid w:val="00917A99"/>
    <w:rsid w:val="00917B54"/>
    <w:rsid w:val="00917CCA"/>
    <w:rsid w:val="00917D10"/>
    <w:rsid w:val="00917DAE"/>
    <w:rsid w:val="00917E66"/>
    <w:rsid w:val="00917E6B"/>
    <w:rsid w:val="00917E75"/>
    <w:rsid w:val="00917E91"/>
    <w:rsid w:val="00917EA2"/>
    <w:rsid w:val="00917EAE"/>
    <w:rsid w:val="00917F3F"/>
    <w:rsid w:val="00917F4B"/>
    <w:rsid w:val="00920020"/>
    <w:rsid w:val="00920045"/>
    <w:rsid w:val="00920057"/>
    <w:rsid w:val="0092007A"/>
    <w:rsid w:val="009200C3"/>
    <w:rsid w:val="009200CB"/>
    <w:rsid w:val="009200F7"/>
    <w:rsid w:val="00920123"/>
    <w:rsid w:val="00920170"/>
    <w:rsid w:val="009201EE"/>
    <w:rsid w:val="00920245"/>
    <w:rsid w:val="009202C5"/>
    <w:rsid w:val="009202C7"/>
    <w:rsid w:val="00920323"/>
    <w:rsid w:val="009203A5"/>
    <w:rsid w:val="009203CC"/>
    <w:rsid w:val="009203DF"/>
    <w:rsid w:val="00920501"/>
    <w:rsid w:val="0092052D"/>
    <w:rsid w:val="00920572"/>
    <w:rsid w:val="00920591"/>
    <w:rsid w:val="009205C7"/>
    <w:rsid w:val="009205FA"/>
    <w:rsid w:val="00920625"/>
    <w:rsid w:val="009206E3"/>
    <w:rsid w:val="00920736"/>
    <w:rsid w:val="009207B4"/>
    <w:rsid w:val="00920803"/>
    <w:rsid w:val="0092088C"/>
    <w:rsid w:val="009208E7"/>
    <w:rsid w:val="00920959"/>
    <w:rsid w:val="009209A0"/>
    <w:rsid w:val="00920A5C"/>
    <w:rsid w:val="00920A5E"/>
    <w:rsid w:val="00920B1C"/>
    <w:rsid w:val="00920B66"/>
    <w:rsid w:val="00920C00"/>
    <w:rsid w:val="00920C19"/>
    <w:rsid w:val="00920C3F"/>
    <w:rsid w:val="00920CE7"/>
    <w:rsid w:val="00920D47"/>
    <w:rsid w:val="00920D6D"/>
    <w:rsid w:val="00920D8D"/>
    <w:rsid w:val="00920DA5"/>
    <w:rsid w:val="00920DF9"/>
    <w:rsid w:val="00920E17"/>
    <w:rsid w:val="00920E5F"/>
    <w:rsid w:val="00920EA2"/>
    <w:rsid w:val="00920FC0"/>
    <w:rsid w:val="00921039"/>
    <w:rsid w:val="00921040"/>
    <w:rsid w:val="00921052"/>
    <w:rsid w:val="009210A6"/>
    <w:rsid w:val="009210F1"/>
    <w:rsid w:val="00921121"/>
    <w:rsid w:val="0092117F"/>
    <w:rsid w:val="009211B9"/>
    <w:rsid w:val="009211DF"/>
    <w:rsid w:val="00921277"/>
    <w:rsid w:val="00921279"/>
    <w:rsid w:val="009212B7"/>
    <w:rsid w:val="00921307"/>
    <w:rsid w:val="009213A9"/>
    <w:rsid w:val="009214EC"/>
    <w:rsid w:val="0092160D"/>
    <w:rsid w:val="0092166D"/>
    <w:rsid w:val="009216B0"/>
    <w:rsid w:val="009216FE"/>
    <w:rsid w:val="0092171A"/>
    <w:rsid w:val="009217D7"/>
    <w:rsid w:val="009217EC"/>
    <w:rsid w:val="00921884"/>
    <w:rsid w:val="009218B9"/>
    <w:rsid w:val="009218EE"/>
    <w:rsid w:val="009219B0"/>
    <w:rsid w:val="009219B9"/>
    <w:rsid w:val="009219CB"/>
    <w:rsid w:val="009219D0"/>
    <w:rsid w:val="00921A15"/>
    <w:rsid w:val="00921A61"/>
    <w:rsid w:val="00921AC6"/>
    <w:rsid w:val="00921C3F"/>
    <w:rsid w:val="00921C6E"/>
    <w:rsid w:val="00921C80"/>
    <w:rsid w:val="00921C8D"/>
    <w:rsid w:val="00921CA8"/>
    <w:rsid w:val="00921D2A"/>
    <w:rsid w:val="00921D2D"/>
    <w:rsid w:val="00921D40"/>
    <w:rsid w:val="00921D60"/>
    <w:rsid w:val="00921DE1"/>
    <w:rsid w:val="00921E21"/>
    <w:rsid w:val="00921E24"/>
    <w:rsid w:val="00921E2D"/>
    <w:rsid w:val="00921E30"/>
    <w:rsid w:val="00921E84"/>
    <w:rsid w:val="00921E9F"/>
    <w:rsid w:val="00921FBE"/>
    <w:rsid w:val="00921FD7"/>
    <w:rsid w:val="00922022"/>
    <w:rsid w:val="00922060"/>
    <w:rsid w:val="00922066"/>
    <w:rsid w:val="0092207E"/>
    <w:rsid w:val="009220A0"/>
    <w:rsid w:val="009220CA"/>
    <w:rsid w:val="009221CD"/>
    <w:rsid w:val="00922202"/>
    <w:rsid w:val="0092220D"/>
    <w:rsid w:val="0092228C"/>
    <w:rsid w:val="0092233D"/>
    <w:rsid w:val="0092235B"/>
    <w:rsid w:val="00922408"/>
    <w:rsid w:val="00922436"/>
    <w:rsid w:val="009224C6"/>
    <w:rsid w:val="009224FB"/>
    <w:rsid w:val="009225E2"/>
    <w:rsid w:val="00922606"/>
    <w:rsid w:val="00922629"/>
    <w:rsid w:val="0092265E"/>
    <w:rsid w:val="00922661"/>
    <w:rsid w:val="0092268E"/>
    <w:rsid w:val="009226DF"/>
    <w:rsid w:val="0092279A"/>
    <w:rsid w:val="0092281A"/>
    <w:rsid w:val="009228AE"/>
    <w:rsid w:val="009228D1"/>
    <w:rsid w:val="009228EC"/>
    <w:rsid w:val="00922983"/>
    <w:rsid w:val="00922A85"/>
    <w:rsid w:val="00922BC3"/>
    <w:rsid w:val="00922BF0"/>
    <w:rsid w:val="00922BF9"/>
    <w:rsid w:val="00922BFF"/>
    <w:rsid w:val="00922C3F"/>
    <w:rsid w:val="00922C80"/>
    <w:rsid w:val="00922CD8"/>
    <w:rsid w:val="00922D8D"/>
    <w:rsid w:val="00922D8F"/>
    <w:rsid w:val="00922E70"/>
    <w:rsid w:val="00922EEB"/>
    <w:rsid w:val="00922F08"/>
    <w:rsid w:val="00922F8D"/>
    <w:rsid w:val="00922FC6"/>
    <w:rsid w:val="00922FD6"/>
    <w:rsid w:val="00923034"/>
    <w:rsid w:val="00923103"/>
    <w:rsid w:val="0092319E"/>
    <w:rsid w:val="009231A7"/>
    <w:rsid w:val="009231DC"/>
    <w:rsid w:val="009231E9"/>
    <w:rsid w:val="0092320C"/>
    <w:rsid w:val="00923242"/>
    <w:rsid w:val="0092339F"/>
    <w:rsid w:val="009233F8"/>
    <w:rsid w:val="0092344A"/>
    <w:rsid w:val="009234DC"/>
    <w:rsid w:val="009235BE"/>
    <w:rsid w:val="00923607"/>
    <w:rsid w:val="0092361B"/>
    <w:rsid w:val="00923637"/>
    <w:rsid w:val="00923666"/>
    <w:rsid w:val="00923683"/>
    <w:rsid w:val="009236A8"/>
    <w:rsid w:val="009236CD"/>
    <w:rsid w:val="009236D5"/>
    <w:rsid w:val="00923701"/>
    <w:rsid w:val="00923857"/>
    <w:rsid w:val="009238A9"/>
    <w:rsid w:val="0092390A"/>
    <w:rsid w:val="00923917"/>
    <w:rsid w:val="00923952"/>
    <w:rsid w:val="0092395A"/>
    <w:rsid w:val="0092395C"/>
    <w:rsid w:val="00923AD0"/>
    <w:rsid w:val="00923B25"/>
    <w:rsid w:val="00923B34"/>
    <w:rsid w:val="00923B98"/>
    <w:rsid w:val="00923BC9"/>
    <w:rsid w:val="00923C6C"/>
    <w:rsid w:val="00923C7B"/>
    <w:rsid w:val="00923CE2"/>
    <w:rsid w:val="00923DBF"/>
    <w:rsid w:val="00924003"/>
    <w:rsid w:val="00924019"/>
    <w:rsid w:val="00924025"/>
    <w:rsid w:val="0092404F"/>
    <w:rsid w:val="00924077"/>
    <w:rsid w:val="00924083"/>
    <w:rsid w:val="009240A6"/>
    <w:rsid w:val="009240BC"/>
    <w:rsid w:val="0092415D"/>
    <w:rsid w:val="009241B0"/>
    <w:rsid w:val="009242A5"/>
    <w:rsid w:val="0092433E"/>
    <w:rsid w:val="0092439D"/>
    <w:rsid w:val="0092440E"/>
    <w:rsid w:val="00924421"/>
    <w:rsid w:val="0092451E"/>
    <w:rsid w:val="009245CF"/>
    <w:rsid w:val="009245D6"/>
    <w:rsid w:val="00924608"/>
    <w:rsid w:val="00924609"/>
    <w:rsid w:val="0092466A"/>
    <w:rsid w:val="0092470B"/>
    <w:rsid w:val="0092476F"/>
    <w:rsid w:val="009247FF"/>
    <w:rsid w:val="0092488D"/>
    <w:rsid w:val="009248BC"/>
    <w:rsid w:val="009249C0"/>
    <w:rsid w:val="009249E8"/>
    <w:rsid w:val="00924A3E"/>
    <w:rsid w:val="00924B45"/>
    <w:rsid w:val="00924BBB"/>
    <w:rsid w:val="00924C7F"/>
    <w:rsid w:val="00924CE4"/>
    <w:rsid w:val="00924D1C"/>
    <w:rsid w:val="00924D54"/>
    <w:rsid w:val="00924DA9"/>
    <w:rsid w:val="00924DD2"/>
    <w:rsid w:val="00924DEB"/>
    <w:rsid w:val="00924E45"/>
    <w:rsid w:val="00924E49"/>
    <w:rsid w:val="00924F52"/>
    <w:rsid w:val="00924F70"/>
    <w:rsid w:val="00924FA5"/>
    <w:rsid w:val="00925083"/>
    <w:rsid w:val="0092508B"/>
    <w:rsid w:val="009250CA"/>
    <w:rsid w:val="009250D8"/>
    <w:rsid w:val="009250FC"/>
    <w:rsid w:val="00925148"/>
    <w:rsid w:val="009251F6"/>
    <w:rsid w:val="0092523C"/>
    <w:rsid w:val="0092526A"/>
    <w:rsid w:val="00925286"/>
    <w:rsid w:val="009252D9"/>
    <w:rsid w:val="0092532F"/>
    <w:rsid w:val="00925353"/>
    <w:rsid w:val="00925361"/>
    <w:rsid w:val="0092551A"/>
    <w:rsid w:val="0092552C"/>
    <w:rsid w:val="0092554A"/>
    <w:rsid w:val="0092555D"/>
    <w:rsid w:val="009255F7"/>
    <w:rsid w:val="009256C7"/>
    <w:rsid w:val="009256E1"/>
    <w:rsid w:val="00925706"/>
    <w:rsid w:val="00925722"/>
    <w:rsid w:val="0092576A"/>
    <w:rsid w:val="00925791"/>
    <w:rsid w:val="009257AE"/>
    <w:rsid w:val="009257BB"/>
    <w:rsid w:val="009257DC"/>
    <w:rsid w:val="0092581F"/>
    <w:rsid w:val="00925884"/>
    <w:rsid w:val="00925899"/>
    <w:rsid w:val="009259B0"/>
    <w:rsid w:val="009259F7"/>
    <w:rsid w:val="00925A1F"/>
    <w:rsid w:val="00925A4B"/>
    <w:rsid w:val="00925A62"/>
    <w:rsid w:val="00925AAC"/>
    <w:rsid w:val="00925AFC"/>
    <w:rsid w:val="00925B0E"/>
    <w:rsid w:val="00925B8F"/>
    <w:rsid w:val="00925C4E"/>
    <w:rsid w:val="00925CB6"/>
    <w:rsid w:val="00925CFA"/>
    <w:rsid w:val="00925D99"/>
    <w:rsid w:val="00925DB7"/>
    <w:rsid w:val="00925DCC"/>
    <w:rsid w:val="00925E3C"/>
    <w:rsid w:val="00925E83"/>
    <w:rsid w:val="00925E91"/>
    <w:rsid w:val="00925EB2"/>
    <w:rsid w:val="00925EC6"/>
    <w:rsid w:val="00925F2A"/>
    <w:rsid w:val="00925F4C"/>
    <w:rsid w:val="00925F6E"/>
    <w:rsid w:val="00925F85"/>
    <w:rsid w:val="00925FA2"/>
    <w:rsid w:val="00925FE5"/>
    <w:rsid w:val="0092601C"/>
    <w:rsid w:val="0092602E"/>
    <w:rsid w:val="0092604E"/>
    <w:rsid w:val="00926118"/>
    <w:rsid w:val="00926184"/>
    <w:rsid w:val="0092620F"/>
    <w:rsid w:val="009262B4"/>
    <w:rsid w:val="009262DA"/>
    <w:rsid w:val="00926348"/>
    <w:rsid w:val="00926356"/>
    <w:rsid w:val="009263D6"/>
    <w:rsid w:val="009263E9"/>
    <w:rsid w:val="0092642B"/>
    <w:rsid w:val="0092643A"/>
    <w:rsid w:val="009264B8"/>
    <w:rsid w:val="009264EC"/>
    <w:rsid w:val="009265B9"/>
    <w:rsid w:val="009265CD"/>
    <w:rsid w:val="00926616"/>
    <w:rsid w:val="0092662C"/>
    <w:rsid w:val="0092665C"/>
    <w:rsid w:val="00926692"/>
    <w:rsid w:val="009266C9"/>
    <w:rsid w:val="009266E6"/>
    <w:rsid w:val="00926757"/>
    <w:rsid w:val="00926770"/>
    <w:rsid w:val="00926774"/>
    <w:rsid w:val="0092689C"/>
    <w:rsid w:val="0092689F"/>
    <w:rsid w:val="009268EB"/>
    <w:rsid w:val="0092694F"/>
    <w:rsid w:val="00926962"/>
    <w:rsid w:val="00926972"/>
    <w:rsid w:val="009269AA"/>
    <w:rsid w:val="009269C9"/>
    <w:rsid w:val="00926A7F"/>
    <w:rsid w:val="00926ABC"/>
    <w:rsid w:val="00926B23"/>
    <w:rsid w:val="00926B3B"/>
    <w:rsid w:val="00926B55"/>
    <w:rsid w:val="00926C2C"/>
    <w:rsid w:val="00926C62"/>
    <w:rsid w:val="00926D31"/>
    <w:rsid w:val="00926D7A"/>
    <w:rsid w:val="00926E23"/>
    <w:rsid w:val="00926F16"/>
    <w:rsid w:val="00926F2A"/>
    <w:rsid w:val="00926FF5"/>
    <w:rsid w:val="00927050"/>
    <w:rsid w:val="00927094"/>
    <w:rsid w:val="00927133"/>
    <w:rsid w:val="009271CE"/>
    <w:rsid w:val="009271F5"/>
    <w:rsid w:val="009271F8"/>
    <w:rsid w:val="009271FB"/>
    <w:rsid w:val="009272A0"/>
    <w:rsid w:val="00927380"/>
    <w:rsid w:val="009273BE"/>
    <w:rsid w:val="009273CE"/>
    <w:rsid w:val="0092742F"/>
    <w:rsid w:val="009274DF"/>
    <w:rsid w:val="00927549"/>
    <w:rsid w:val="00927594"/>
    <w:rsid w:val="00927680"/>
    <w:rsid w:val="00927694"/>
    <w:rsid w:val="009276A8"/>
    <w:rsid w:val="0092774D"/>
    <w:rsid w:val="00927810"/>
    <w:rsid w:val="00927863"/>
    <w:rsid w:val="0092786D"/>
    <w:rsid w:val="009278FE"/>
    <w:rsid w:val="00927964"/>
    <w:rsid w:val="00927A27"/>
    <w:rsid w:val="00927AB8"/>
    <w:rsid w:val="00927BE8"/>
    <w:rsid w:val="00927C49"/>
    <w:rsid w:val="00927C5C"/>
    <w:rsid w:val="00927CC7"/>
    <w:rsid w:val="00927DC8"/>
    <w:rsid w:val="00927EBA"/>
    <w:rsid w:val="00927EEC"/>
    <w:rsid w:val="00927F0D"/>
    <w:rsid w:val="0093003A"/>
    <w:rsid w:val="0093005D"/>
    <w:rsid w:val="009300CE"/>
    <w:rsid w:val="009300CF"/>
    <w:rsid w:val="009300D9"/>
    <w:rsid w:val="00930196"/>
    <w:rsid w:val="0093033A"/>
    <w:rsid w:val="0093034A"/>
    <w:rsid w:val="00930370"/>
    <w:rsid w:val="009303E0"/>
    <w:rsid w:val="00930412"/>
    <w:rsid w:val="00930442"/>
    <w:rsid w:val="00930563"/>
    <w:rsid w:val="00930568"/>
    <w:rsid w:val="0093056E"/>
    <w:rsid w:val="009305DE"/>
    <w:rsid w:val="009305EF"/>
    <w:rsid w:val="0093062C"/>
    <w:rsid w:val="00930753"/>
    <w:rsid w:val="00930798"/>
    <w:rsid w:val="009307BC"/>
    <w:rsid w:val="009308F7"/>
    <w:rsid w:val="009308FD"/>
    <w:rsid w:val="00930904"/>
    <w:rsid w:val="00930959"/>
    <w:rsid w:val="009309B9"/>
    <w:rsid w:val="009309F4"/>
    <w:rsid w:val="00930AC9"/>
    <w:rsid w:val="00930AD8"/>
    <w:rsid w:val="00930B43"/>
    <w:rsid w:val="00930B5F"/>
    <w:rsid w:val="00930B65"/>
    <w:rsid w:val="00930BFB"/>
    <w:rsid w:val="00930C34"/>
    <w:rsid w:val="00930C46"/>
    <w:rsid w:val="00930CAA"/>
    <w:rsid w:val="00930CAD"/>
    <w:rsid w:val="00930CC2"/>
    <w:rsid w:val="00930D28"/>
    <w:rsid w:val="00930D38"/>
    <w:rsid w:val="00930D99"/>
    <w:rsid w:val="00930DC3"/>
    <w:rsid w:val="00930DCF"/>
    <w:rsid w:val="00930DFC"/>
    <w:rsid w:val="00930EBA"/>
    <w:rsid w:val="00930EF0"/>
    <w:rsid w:val="00930F4B"/>
    <w:rsid w:val="00930F4F"/>
    <w:rsid w:val="00930F73"/>
    <w:rsid w:val="00930FA5"/>
    <w:rsid w:val="00930FF7"/>
    <w:rsid w:val="0093102C"/>
    <w:rsid w:val="00931039"/>
    <w:rsid w:val="00931058"/>
    <w:rsid w:val="00931096"/>
    <w:rsid w:val="00931256"/>
    <w:rsid w:val="00931284"/>
    <w:rsid w:val="0093131C"/>
    <w:rsid w:val="009313D0"/>
    <w:rsid w:val="00931481"/>
    <w:rsid w:val="009314A3"/>
    <w:rsid w:val="009314A7"/>
    <w:rsid w:val="009314BB"/>
    <w:rsid w:val="0093154C"/>
    <w:rsid w:val="009315E5"/>
    <w:rsid w:val="0093162F"/>
    <w:rsid w:val="0093168E"/>
    <w:rsid w:val="00931692"/>
    <w:rsid w:val="009316B6"/>
    <w:rsid w:val="009316BA"/>
    <w:rsid w:val="0093174C"/>
    <w:rsid w:val="0093177D"/>
    <w:rsid w:val="00931871"/>
    <w:rsid w:val="009318FD"/>
    <w:rsid w:val="00931960"/>
    <w:rsid w:val="009319EB"/>
    <w:rsid w:val="00931A0D"/>
    <w:rsid w:val="00931A1B"/>
    <w:rsid w:val="00931A1C"/>
    <w:rsid w:val="00931AF4"/>
    <w:rsid w:val="00931B16"/>
    <w:rsid w:val="00931B5E"/>
    <w:rsid w:val="00931B82"/>
    <w:rsid w:val="00931BD8"/>
    <w:rsid w:val="00931BFC"/>
    <w:rsid w:val="00931C13"/>
    <w:rsid w:val="00931C45"/>
    <w:rsid w:val="00931C5B"/>
    <w:rsid w:val="00931CC4"/>
    <w:rsid w:val="00931CC6"/>
    <w:rsid w:val="00931CD2"/>
    <w:rsid w:val="00931CEE"/>
    <w:rsid w:val="00931DDA"/>
    <w:rsid w:val="00931E65"/>
    <w:rsid w:val="00931EAC"/>
    <w:rsid w:val="00931F1C"/>
    <w:rsid w:val="00931F56"/>
    <w:rsid w:val="00931FD1"/>
    <w:rsid w:val="0093202B"/>
    <w:rsid w:val="00932041"/>
    <w:rsid w:val="00932108"/>
    <w:rsid w:val="00932119"/>
    <w:rsid w:val="00932155"/>
    <w:rsid w:val="00932168"/>
    <w:rsid w:val="009321AF"/>
    <w:rsid w:val="009321C8"/>
    <w:rsid w:val="009322AF"/>
    <w:rsid w:val="009322DE"/>
    <w:rsid w:val="009323D8"/>
    <w:rsid w:val="00932411"/>
    <w:rsid w:val="00932414"/>
    <w:rsid w:val="0093241A"/>
    <w:rsid w:val="0093245D"/>
    <w:rsid w:val="00932472"/>
    <w:rsid w:val="009326B7"/>
    <w:rsid w:val="009326D2"/>
    <w:rsid w:val="009327D6"/>
    <w:rsid w:val="009329C4"/>
    <w:rsid w:val="00932A90"/>
    <w:rsid w:val="00932A95"/>
    <w:rsid w:val="00932AA7"/>
    <w:rsid w:val="00932AAB"/>
    <w:rsid w:val="00932BE5"/>
    <w:rsid w:val="00932D38"/>
    <w:rsid w:val="00932D6A"/>
    <w:rsid w:val="00932D81"/>
    <w:rsid w:val="00932DB3"/>
    <w:rsid w:val="00932DDF"/>
    <w:rsid w:val="00932E14"/>
    <w:rsid w:val="00932E92"/>
    <w:rsid w:val="00932EF1"/>
    <w:rsid w:val="00932F6E"/>
    <w:rsid w:val="00932F9F"/>
    <w:rsid w:val="00932FB3"/>
    <w:rsid w:val="00933024"/>
    <w:rsid w:val="0093306B"/>
    <w:rsid w:val="0093311F"/>
    <w:rsid w:val="00933137"/>
    <w:rsid w:val="00933172"/>
    <w:rsid w:val="0093322C"/>
    <w:rsid w:val="0093324B"/>
    <w:rsid w:val="009332D0"/>
    <w:rsid w:val="00933306"/>
    <w:rsid w:val="0093338E"/>
    <w:rsid w:val="0093340C"/>
    <w:rsid w:val="0093345A"/>
    <w:rsid w:val="0093348A"/>
    <w:rsid w:val="009336B1"/>
    <w:rsid w:val="00933769"/>
    <w:rsid w:val="009337BF"/>
    <w:rsid w:val="009337DE"/>
    <w:rsid w:val="009338C0"/>
    <w:rsid w:val="009338CC"/>
    <w:rsid w:val="00933917"/>
    <w:rsid w:val="0093393C"/>
    <w:rsid w:val="00933947"/>
    <w:rsid w:val="0093399D"/>
    <w:rsid w:val="009339D9"/>
    <w:rsid w:val="00933A35"/>
    <w:rsid w:val="00933AD4"/>
    <w:rsid w:val="00933AE4"/>
    <w:rsid w:val="00933B06"/>
    <w:rsid w:val="00933BAA"/>
    <w:rsid w:val="00933C87"/>
    <w:rsid w:val="00933CA9"/>
    <w:rsid w:val="00933CD9"/>
    <w:rsid w:val="00933D29"/>
    <w:rsid w:val="00933DAF"/>
    <w:rsid w:val="00933DCD"/>
    <w:rsid w:val="00933E91"/>
    <w:rsid w:val="00933EC4"/>
    <w:rsid w:val="00933EE1"/>
    <w:rsid w:val="00933FA7"/>
    <w:rsid w:val="00933FC1"/>
    <w:rsid w:val="00933FE7"/>
    <w:rsid w:val="009340BA"/>
    <w:rsid w:val="009341AE"/>
    <w:rsid w:val="009341B9"/>
    <w:rsid w:val="0093429E"/>
    <w:rsid w:val="00934335"/>
    <w:rsid w:val="00934579"/>
    <w:rsid w:val="00934586"/>
    <w:rsid w:val="0093463C"/>
    <w:rsid w:val="009346C3"/>
    <w:rsid w:val="0093476D"/>
    <w:rsid w:val="009347B0"/>
    <w:rsid w:val="009347D0"/>
    <w:rsid w:val="009347DF"/>
    <w:rsid w:val="009347F1"/>
    <w:rsid w:val="00934974"/>
    <w:rsid w:val="009349A9"/>
    <w:rsid w:val="009349C1"/>
    <w:rsid w:val="00934AD0"/>
    <w:rsid w:val="00934B22"/>
    <w:rsid w:val="00934B62"/>
    <w:rsid w:val="00934C7E"/>
    <w:rsid w:val="00934CA2"/>
    <w:rsid w:val="00934CFB"/>
    <w:rsid w:val="00934D86"/>
    <w:rsid w:val="00934DE0"/>
    <w:rsid w:val="00934DFE"/>
    <w:rsid w:val="00934E25"/>
    <w:rsid w:val="00934E2A"/>
    <w:rsid w:val="00934E63"/>
    <w:rsid w:val="00934EBF"/>
    <w:rsid w:val="00934EE6"/>
    <w:rsid w:val="00934F65"/>
    <w:rsid w:val="00934F81"/>
    <w:rsid w:val="00934FCA"/>
    <w:rsid w:val="0093507B"/>
    <w:rsid w:val="009350F2"/>
    <w:rsid w:val="00935186"/>
    <w:rsid w:val="009352BF"/>
    <w:rsid w:val="009352D5"/>
    <w:rsid w:val="009352E2"/>
    <w:rsid w:val="0093533C"/>
    <w:rsid w:val="009353E8"/>
    <w:rsid w:val="0093542D"/>
    <w:rsid w:val="009354C9"/>
    <w:rsid w:val="009354F9"/>
    <w:rsid w:val="00935502"/>
    <w:rsid w:val="0093550A"/>
    <w:rsid w:val="0093552D"/>
    <w:rsid w:val="009355B2"/>
    <w:rsid w:val="009355E1"/>
    <w:rsid w:val="00935689"/>
    <w:rsid w:val="009357EB"/>
    <w:rsid w:val="0093585B"/>
    <w:rsid w:val="00935889"/>
    <w:rsid w:val="0093589F"/>
    <w:rsid w:val="00935A24"/>
    <w:rsid w:val="00935A9E"/>
    <w:rsid w:val="00935AB5"/>
    <w:rsid w:val="00935B41"/>
    <w:rsid w:val="00935B43"/>
    <w:rsid w:val="00935B58"/>
    <w:rsid w:val="00935BFC"/>
    <w:rsid w:val="00935C59"/>
    <w:rsid w:val="00935C63"/>
    <w:rsid w:val="00935D16"/>
    <w:rsid w:val="00935D18"/>
    <w:rsid w:val="00935D22"/>
    <w:rsid w:val="00935D90"/>
    <w:rsid w:val="00935D92"/>
    <w:rsid w:val="00935ED1"/>
    <w:rsid w:val="00935F1C"/>
    <w:rsid w:val="00935F5A"/>
    <w:rsid w:val="00935FA5"/>
    <w:rsid w:val="00936005"/>
    <w:rsid w:val="00936035"/>
    <w:rsid w:val="00936045"/>
    <w:rsid w:val="00936083"/>
    <w:rsid w:val="0093608B"/>
    <w:rsid w:val="009360B4"/>
    <w:rsid w:val="0093611C"/>
    <w:rsid w:val="00936177"/>
    <w:rsid w:val="00936189"/>
    <w:rsid w:val="009361ED"/>
    <w:rsid w:val="00936219"/>
    <w:rsid w:val="00936232"/>
    <w:rsid w:val="00936289"/>
    <w:rsid w:val="009362FC"/>
    <w:rsid w:val="00936423"/>
    <w:rsid w:val="009364D0"/>
    <w:rsid w:val="009364DE"/>
    <w:rsid w:val="009364EA"/>
    <w:rsid w:val="00936622"/>
    <w:rsid w:val="00936637"/>
    <w:rsid w:val="00936667"/>
    <w:rsid w:val="0093669E"/>
    <w:rsid w:val="009366A0"/>
    <w:rsid w:val="009366B4"/>
    <w:rsid w:val="009366D1"/>
    <w:rsid w:val="009367C6"/>
    <w:rsid w:val="0093686C"/>
    <w:rsid w:val="009368AD"/>
    <w:rsid w:val="00936914"/>
    <w:rsid w:val="00936974"/>
    <w:rsid w:val="009369BD"/>
    <w:rsid w:val="009369D6"/>
    <w:rsid w:val="009369F7"/>
    <w:rsid w:val="00936A11"/>
    <w:rsid w:val="00936A14"/>
    <w:rsid w:val="00936A42"/>
    <w:rsid w:val="00936A44"/>
    <w:rsid w:val="00936A60"/>
    <w:rsid w:val="00936AD0"/>
    <w:rsid w:val="00936B28"/>
    <w:rsid w:val="00936B38"/>
    <w:rsid w:val="00936BD1"/>
    <w:rsid w:val="00936BD5"/>
    <w:rsid w:val="00936BDE"/>
    <w:rsid w:val="00936C1E"/>
    <w:rsid w:val="00936C35"/>
    <w:rsid w:val="00936C4F"/>
    <w:rsid w:val="00936C72"/>
    <w:rsid w:val="00936C7A"/>
    <w:rsid w:val="00936D6E"/>
    <w:rsid w:val="00936D87"/>
    <w:rsid w:val="00936E79"/>
    <w:rsid w:val="00936E86"/>
    <w:rsid w:val="00936E89"/>
    <w:rsid w:val="00937103"/>
    <w:rsid w:val="00937159"/>
    <w:rsid w:val="00937176"/>
    <w:rsid w:val="00937203"/>
    <w:rsid w:val="00937205"/>
    <w:rsid w:val="009372E0"/>
    <w:rsid w:val="009372EF"/>
    <w:rsid w:val="009372FA"/>
    <w:rsid w:val="0093730E"/>
    <w:rsid w:val="00937393"/>
    <w:rsid w:val="009373B0"/>
    <w:rsid w:val="009373F9"/>
    <w:rsid w:val="0093740B"/>
    <w:rsid w:val="0093746D"/>
    <w:rsid w:val="00937494"/>
    <w:rsid w:val="009374AB"/>
    <w:rsid w:val="009375C4"/>
    <w:rsid w:val="00937637"/>
    <w:rsid w:val="0093772A"/>
    <w:rsid w:val="00937768"/>
    <w:rsid w:val="009377AE"/>
    <w:rsid w:val="009377C5"/>
    <w:rsid w:val="009377E0"/>
    <w:rsid w:val="00937822"/>
    <w:rsid w:val="00937826"/>
    <w:rsid w:val="00937870"/>
    <w:rsid w:val="00937878"/>
    <w:rsid w:val="009378B2"/>
    <w:rsid w:val="009378F4"/>
    <w:rsid w:val="009379A0"/>
    <w:rsid w:val="00937AB4"/>
    <w:rsid w:val="00937B18"/>
    <w:rsid w:val="00937B26"/>
    <w:rsid w:val="00937BBB"/>
    <w:rsid w:val="00937BEC"/>
    <w:rsid w:val="00937BF0"/>
    <w:rsid w:val="00937C4D"/>
    <w:rsid w:val="00937CAA"/>
    <w:rsid w:val="00937CAC"/>
    <w:rsid w:val="00937D02"/>
    <w:rsid w:val="00937D57"/>
    <w:rsid w:val="00937D67"/>
    <w:rsid w:val="00937E59"/>
    <w:rsid w:val="00937E66"/>
    <w:rsid w:val="00937EB7"/>
    <w:rsid w:val="00937EFE"/>
    <w:rsid w:val="00937F0E"/>
    <w:rsid w:val="00937F3B"/>
    <w:rsid w:val="00937FA3"/>
    <w:rsid w:val="00937FAA"/>
    <w:rsid w:val="00937FBF"/>
    <w:rsid w:val="00937FE6"/>
    <w:rsid w:val="0094001E"/>
    <w:rsid w:val="009401C3"/>
    <w:rsid w:val="009402D8"/>
    <w:rsid w:val="009402F9"/>
    <w:rsid w:val="00940387"/>
    <w:rsid w:val="009403C6"/>
    <w:rsid w:val="00940459"/>
    <w:rsid w:val="00940485"/>
    <w:rsid w:val="009404BD"/>
    <w:rsid w:val="009404F1"/>
    <w:rsid w:val="00940598"/>
    <w:rsid w:val="009405D7"/>
    <w:rsid w:val="00940623"/>
    <w:rsid w:val="00940681"/>
    <w:rsid w:val="00940702"/>
    <w:rsid w:val="00940704"/>
    <w:rsid w:val="0094071D"/>
    <w:rsid w:val="009407AD"/>
    <w:rsid w:val="009407FF"/>
    <w:rsid w:val="0094097B"/>
    <w:rsid w:val="00940AAA"/>
    <w:rsid w:val="00940B04"/>
    <w:rsid w:val="00940B53"/>
    <w:rsid w:val="00940B67"/>
    <w:rsid w:val="00940C0D"/>
    <w:rsid w:val="00940C31"/>
    <w:rsid w:val="00940C57"/>
    <w:rsid w:val="00940CFD"/>
    <w:rsid w:val="00940E58"/>
    <w:rsid w:val="00940EA1"/>
    <w:rsid w:val="00941001"/>
    <w:rsid w:val="00941018"/>
    <w:rsid w:val="0094111D"/>
    <w:rsid w:val="009411C8"/>
    <w:rsid w:val="0094122E"/>
    <w:rsid w:val="00941278"/>
    <w:rsid w:val="009412C9"/>
    <w:rsid w:val="009412D6"/>
    <w:rsid w:val="009412F5"/>
    <w:rsid w:val="00941324"/>
    <w:rsid w:val="009413FB"/>
    <w:rsid w:val="009414CF"/>
    <w:rsid w:val="00941564"/>
    <w:rsid w:val="0094159F"/>
    <w:rsid w:val="009415A2"/>
    <w:rsid w:val="009415D7"/>
    <w:rsid w:val="0094162C"/>
    <w:rsid w:val="0094164B"/>
    <w:rsid w:val="00941653"/>
    <w:rsid w:val="0094165F"/>
    <w:rsid w:val="009416BC"/>
    <w:rsid w:val="009416CE"/>
    <w:rsid w:val="009417C0"/>
    <w:rsid w:val="009417C8"/>
    <w:rsid w:val="00941895"/>
    <w:rsid w:val="00941916"/>
    <w:rsid w:val="009419CA"/>
    <w:rsid w:val="00941A18"/>
    <w:rsid w:val="00941A20"/>
    <w:rsid w:val="00941A4B"/>
    <w:rsid w:val="00941AF7"/>
    <w:rsid w:val="00941B1E"/>
    <w:rsid w:val="00941B76"/>
    <w:rsid w:val="00941C79"/>
    <w:rsid w:val="00941C8D"/>
    <w:rsid w:val="00941CBF"/>
    <w:rsid w:val="00941D07"/>
    <w:rsid w:val="00941D1A"/>
    <w:rsid w:val="00941D30"/>
    <w:rsid w:val="00941DDA"/>
    <w:rsid w:val="00941EEE"/>
    <w:rsid w:val="00941F51"/>
    <w:rsid w:val="0094200F"/>
    <w:rsid w:val="0094201D"/>
    <w:rsid w:val="00942087"/>
    <w:rsid w:val="00942089"/>
    <w:rsid w:val="009420CB"/>
    <w:rsid w:val="009420D6"/>
    <w:rsid w:val="00942172"/>
    <w:rsid w:val="0094218C"/>
    <w:rsid w:val="009421CD"/>
    <w:rsid w:val="009421EC"/>
    <w:rsid w:val="009421F5"/>
    <w:rsid w:val="00942275"/>
    <w:rsid w:val="00942389"/>
    <w:rsid w:val="00942391"/>
    <w:rsid w:val="0094247D"/>
    <w:rsid w:val="009424A3"/>
    <w:rsid w:val="009424D5"/>
    <w:rsid w:val="00942502"/>
    <w:rsid w:val="009425C8"/>
    <w:rsid w:val="009425E0"/>
    <w:rsid w:val="0094267E"/>
    <w:rsid w:val="009426BB"/>
    <w:rsid w:val="00942804"/>
    <w:rsid w:val="00942811"/>
    <w:rsid w:val="0094283D"/>
    <w:rsid w:val="00942A6F"/>
    <w:rsid w:val="00942AB6"/>
    <w:rsid w:val="00942B0B"/>
    <w:rsid w:val="00942B2D"/>
    <w:rsid w:val="00942BEF"/>
    <w:rsid w:val="00942CE0"/>
    <w:rsid w:val="00942D0D"/>
    <w:rsid w:val="00942D87"/>
    <w:rsid w:val="00942DC2"/>
    <w:rsid w:val="00942E62"/>
    <w:rsid w:val="00942E7A"/>
    <w:rsid w:val="00942F12"/>
    <w:rsid w:val="00943058"/>
    <w:rsid w:val="0094313D"/>
    <w:rsid w:val="0094315B"/>
    <w:rsid w:val="00943167"/>
    <w:rsid w:val="00943204"/>
    <w:rsid w:val="009432CF"/>
    <w:rsid w:val="009432F4"/>
    <w:rsid w:val="0094331F"/>
    <w:rsid w:val="0094332F"/>
    <w:rsid w:val="00943357"/>
    <w:rsid w:val="0094337C"/>
    <w:rsid w:val="00943449"/>
    <w:rsid w:val="009434F8"/>
    <w:rsid w:val="00943508"/>
    <w:rsid w:val="0094351B"/>
    <w:rsid w:val="0094355E"/>
    <w:rsid w:val="00943569"/>
    <w:rsid w:val="0094358D"/>
    <w:rsid w:val="00943697"/>
    <w:rsid w:val="009436C1"/>
    <w:rsid w:val="009438A4"/>
    <w:rsid w:val="009438BE"/>
    <w:rsid w:val="0094394C"/>
    <w:rsid w:val="00943992"/>
    <w:rsid w:val="009439D4"/>
    <w:rsid w:val="00943A0A"/>
    <w:rsid w:val="00943A11"/>
    <w:rsid w:val="00943B38"/>
    <w:rsid w:val="00943B5D"/>
    <w:rsid w:val="00943B89"/>
    <w:rsid w:val="00943C44"/>
    <w:rsid w:val="00943CF6"/>
    <w:rsid w:val="00943D45"/>
    <w:rsid w:val="00943E25"/>
    <w:rsid w:val="00943E8A"/>
    <w:rsid w:val="00943ED8"/>
    <w:rsid w:val="00943F25"/>
    <w:rsid w:val="00943F2E"/>
    <w:rsid w:val="0094403F"/>
    <w:rsid w:val="0094414C"/>
    <w:rsid w:val="009441B3"/>
    <w:rsid w:val="009441DC"/>
    <w:rsid w:val="009441EE"/>
    <w:rsid w:val="0094420F"/>
    <w:rsid w:val="0094429E"/>
    <w:rsid w:val="009442C4"/>
    <w:rsid w:val="00944320"/>
    <w:rsid w:val="00944372"/>
    <w:rsid w:val="00944394"/>
    <w:rsid w:val="009443F9"/>
    <w:rsid w:val="00944409"/>
    <w:rsid w:val="00944432"/>
    <w:rsid w:val="00944459"/>
    <w:rsid w:val="009444E2"/>
    <w:rsid w:val="00944505"/>
    <w:rsid w:val="0094459B"/>
    <w:rsid w:val="009445CB"/>
    <w:rsid w:val="00944618"/>
    <w:rsid w:val="0094462E"/>
    <w:rsid w:val="0094469F"/>
    <w:rsid w:val="0094473F"/>
    <w:rsid w:val="0094476F"/>
    <w:rsid w:val="009447A5"/>
    <w:rsid w:val="009447D4"/>
    <w:rsid w:val="009447EB"/>
    <w:rsid w:val="00944818"/>
    <w:rsid w:val="009448E9"/>
    <w:rsid w:val="0094492B"/>
    <w:rsid w:val="00944AA5"/>
    <w:rsid w:val="00944AFA"/>
    <w:rsid w:val="00944AFC"/>
    <w:rsid w:val="00944B04"/>
    <w:rsid w:val="00944B88"/>
    <w:rsid w:val="00944B8F"/>
    <w:rsid w:val="00944B98"/>
    <w:rsid w:val="00944BCE"/>
    <w:rsid w:val="00944BE2"/>
    <w:rsid w:val="00944C4D"/>
    <w:rsid w:val="00944C62"/>
    <w:rsid w:val="00944E98"/>
    <w:rsid w:val="00944F15"/>
    <w:rsid w:val="00944F22"/>
    <w:rsid w:val="00944F3B"/>
    <w:rsid w:val="00944F46"/>
    <w:rsid w:val="00944F8E"/>
    <w:rsid w:val="00945023"/>
    <w:rsid w:val="00945092"/>
    <w:rsid w:val="0094509D"/>
    <w:rsid w:val="009450F5"/>
    <w:rsid w:val="009450F6"/>
    <w:rsid w:val="00945119"/>
    <w:rsid w:val="00945147"/>
    <w:rsid w:val="0094521F"/>
    <w:rsid w:val="00945389"/>
    <w:rsid w:val="0094547B"/>
    <w:rsid w:val="009454AF"/>
    <w:rsid w:val="00945500"/>
    <w:rsid w:val="00945547"/>
    <w:rsid w:val="00945554"/>
    <w:rsid w:val="0094556F"/>
    <w:rsid w:val="009455AD"/>
    <w:rsid w:val="009455C5"/>
    <w:rsid w:val="00945849"/>
    <w:rsid w:val="00945860"/>
    <w:rsid w:val="009458CB"/>
    <w:rsid w:val="00945A00"/>
    <w:rsid w:val="00945A12"/>
    <w:rsid w:val="00945A47"/>
    <w:rsid w:val="00945A9E"/>
    <w:rsid w:val="00945BC8"/>
    <w:rsid w:val="00945C40"/>
    <w:rsid w:val="00945C46"/>
    <w:rsid w:val="00945CC9"/>
    <w:rsid w:val="00945CE3"/>
    <w:rsid w:val="00945D99"/>
    <w:rsid w:val="00945DCD"/>
    <w:rsid w:val="00945E31"/>
    <w:rsid w:val="00945F00"/>
    <w:rsid w:val="0094602D"/>
    <w:rsid w:val="0094603D"/>
    <w:rsid w:val="00946123"/>
    <w:rsid w:val="00946141"/>
    <w:rsid w:val="00946192"/>
    <w:rsid w:val="00946212"/>
    <w:rsid w:val="00946294"/>
    <w:rsid w:val="009462B6"/>
    <w:rsid w:val="009462E5"/>
    <w:rsid w:val="009462FA"/>
    <w:rsid w:val="00946386"/>
    <w:rsid w:val="0094641F"/>
    <w:rsid w:val="00946433"/>
    <w:rsid w:val="00946491"/>
    <w:rsid w:val="00946550"/>
    <w:rsid w:val="009465B6"/>
    <w:rsid w:val="009465EB"/>
    <w:rsid w:val="0094661C"/>
    <w:rsid w:val="0094663B"/>
    <w:rsid w:val="00946645"/>
    <w:rsid w:val="00946707"/>
    <w:rsid w:val="0094682A"/>
    <w:rsid w:val="00946862"/>
    <w:rsid w:val="009468B4"/>
    <w:rsid w:val="009468BF"/>
    <w:rsid w:val="00946945"/>
    <w:rsid w:val="00946993"/>
    <w:rsid w:val="00946A70"/>
    <w:rsid w:val="00946AB4"/>
    <w:rsid w:val="00946AC3"/>
    <w:rsid w:val="00946AD0"/>
    <w:rsid w:val="00946B1E"/>
    <w:rsid w:val="00946B5C"/>
    <w:rsid w:val="00946BA4"/>
    <w:rsid w:val="00946D71"/>
    <w:rsid w:val="00946E13"/>
    <w:rsid w:val="00946E2C"/>
    <w:rsid w:val="00946ED1"/>
    <w:rsid w:val="00946ED5"/>
    <w:rsid w:val="00946F6E"/>
    <w:rsid w:val="00946FF3"/>
    <w:rsid w:val="009470B7"/>
    <w:rsid w:val="0094711C"/>
    <w:rsid w:val="00947173"/>
    <w:rsid w:val="0094718F"/>
    <w:rsid w:val="0094725D"/>
    <w:rsid w:val="00947263"/>
    <w:rsid w:val="00947279"/>
    <w:rsid w:val="0094731B"/>
    <w:rsid w:val="0094733F"/>
    <w:rsid w:val="00947435"/>
    <w:rsid w:val="00947474"/>
    <w:rsid w:val="0094756F"/>
    <w:rsid w:val="0094757E"/>
    <w:rsid w:val="009475AA"/>
    <w:rsid w:val="0094760D"/>
    <w:rsid w:val="0094763B"/>
    <w:rsid w:val="0094767D"/>
    <w:rsid w:val="009476E7"/>
    <w:rsid w:val="0094777B"/>
    <w:rsid w:val="00947811"/>
    <w:rsid w:val="00947852"/>
    <w:rsid w:val="009479F2"/>
    <w:rsid w:val="00947A32"/>
    <w:rsid w:val="00947A9F"/>
    <w:rsid w:val="00947B26"/>
    <w:rsid w:val="00947B28"/>
    <w:rsid w:val="00947B6A"/>
    <w:rsid w:val="00947BC0"/>
    <w:rsid w:val="00947BFC"/>
    <w:rsid w:val="00947C13"/>
    <w:rsid w:val="00947C19"/>
    <w:rsid w:val="00947C70"/>
    <w:rsid w:val="00947CAE"/>
    <w:rsid w:val="00947CBE"/>
    <w:rsid w:val="00947D2F"/>
    <w:rsid w:val="00947DA4"/>
    <w:rsid w:val="00947DAA"/>
    <w:rsid w:val="00947E14"/>
    <w:rsid w:val="00947E35"/>
    <w:rsid w:val="00947E3F"/>
    <w:rsid w:val="00947EF6"/>
    <w:rsid w:val="00947F29"/>
    <w:rsid w:val="00947FE9"/>
    <w:rsid w:val="00950004"/>
    <w:rsid w:val="0095004F"/>
    <w:rsid w:val="0095009C"/>
    <w:rsid w:val="00950127"/>
    <w:rsid w:val="0095015B"/>
    <w:rsid w:val="0095019B"/>
    <w:rsid w:val="009501DE"/>
    <w:rsid w:val="00950201"/>
    <w:rsid w:val="00950241"/>
    <w:rsid w:val="00950267"/>
    <w:rsid w:val="009502FB"/>
    <w:rsid w:val="0095037C"/>
    <w:rsid w:val="009503EF"/>
    <w:rsid w:val="00950452"/>
    <w:rsid w:val="00950468"/>
    <w:rsid w:val="009504B6"/>
    <w:rsid w:val="009504E4"/>
    <w:rsid w:val="009505A2"/>
    <w:rsid w:val="009505AD"/>
    <w:rsid w:val="0095065F"/>
    <w:rsid w:val="00950663"/>
    <w:rsid w:val="009506FC"/>
    <w:rsid w:val="00950884"/>
    <w:rsid w:val="009508A1"/>
    <w:rsid w:val="009508C4"/>
    <w:rsid w:val="00950985"/>
    <w:rsid w:val="009509F1"/>
    <w:rsid w:val="00950ABB"/>
    <w:rsid w:val="00950ACE"/>
    <w:rsid w:val="00950AEB"/>
    <w:rsid w:val="00950B27"/>
    <w:rsid w:val="00950B52"/>
    <w:rsid w:val="00950B9F"/>
    <w:rsid w:val="00950BD2"/>
    <w:rsid w:val="00950BEE"/>
    <w:rsid w:val="00950BFF"/>
    <w:rsid w:val="00950C11"/>
    <w:rsid w:val="00950C25"/>
    <w:rsid w:val="00950D6D"/>
    <w:rsid w:val="00950DAC"/>
    <w:rsid w:val="00950DE1"/>
    <w:rsid w:val="00950E20"/>
    <w:rsid w:val="00950E3D"/>
    <w:rsid w:val="00950ED7"/>
    <w:rsid w:val="00950F49"/>
    <w:rsid w:val="00950FA0"/>
    <w:rsid w:val="00950FF3"/>
    <w:rsid w:val="00951046"/>
    <w:rsid w:val="00951053"/>
    <w:rsid w:val="0095110B"/>
    <w:rsid w:val="00951130"/>
    <w:rsid w:val="009511A4"/>
    <w:rsid w:val="009511C8"/>
    <w:rsid w:val="009511F6"/>
    <w:rsid w:val="009511FD"/>
    <w:rsid w:val="00951236"/>
    <w:rsid w:val="009512AA"/>
    <w:rsid w:val="009512EE"/>
    <w:rsid w:val="0095139A"/>
    <w:rsid w:val="009513C8"/>
    <w:rsid w:val="009513EE"/>
    <w:rsid w:val="0095141D"/>
    <w:rsid w:val="009514C5"/>
    <w:rsid w:val="0095150A"/>
    <w:rsid w:val="0095150F"/>
    <w:rsid w:val="00951528"/>
    <w:rsid w:val="0095153A"/>
    <w:rsid w:val="00951598"/>
    <w:rsid w:val="00951601"/>
    <w:rsid w:val="00951609"/>
    <w:rsid w:val="009516AD"/>
    <w:rsid w:val="009516B8"/>
    <w:rsid w:val="0095171B"/>
    <w:rsid w:val="00951772"/>
    <w:rsid w:val="00951819"/>
    <w:rsid w:val="0095186A"/>
    <w:rsid w:val="00951912"/>
    <w:rsid w:val="009519E2"/>
    <w:rsid w:val="009519F1"/>
    <w:rsid w:val="00951AB2"/>
    <w:rsid w:val="00951B66"/>
    <w:rsid w:val="00951BEB"/>
    <w:rsid w:val="00951CD6"/>
    <w:rsid w:val="00951DD0"/>
    <w:rsid w:val="00951E2B"/>
    <w:rsid w:val="00951E4F"/>
    <w:rsid w:val="00951E80"/>
    <w:rsid w:val="00951F45"/>
    <w:rsid w:val="00952006"/>
    <w:rsid w:val="00952053"/>
    <w:rsid w:val="0095205F"/>
    <w:rsid w:val="0095206F"/>
    <w:rsid w:val="00952085"/>
    <w:rsid w:val="009520E9"/>
    <w:rsid w:val="009520F2"/>
    <w:rsid w:val="009521DF"/>
    <w:rsid w:val="00952243"/>
    <w:rsid w:val="00952261"/>
    <w:rsid w:val="009522F2"/>
    <w:rsid w:val="00952301"/>
    <w:rsid w:val="009523FF"/>
    <w:rsid w:val="00952476"/>
    <w:rsid w:val="009526DD"/>
    <w:rsid w:val="009526DF"/>
    <w:rsid w:val="00952745"/>
    <w:rsid w:val="009527C1"/>
    <w:rsid w:val="009527EE"/>
    <w:rsid w:val="00952800"/>
    <w:rsid w:val="00952895"/>
    <w:rsid w:val="009528C3"/>
    <w:rsid w:val="00952936"/>
    <w:rsid w:val="00952973"/>
    <w:rsid w:val="009529AA"/>
    <w:rsid w:val="00952A09"/>
    <w:rsid w:val="00952A57"/>
    <w:rsid w:val="00952A7A"/>
    <w:rsid w:val="00952A96"/>
    <w:rsid w:val="00952A9F"/>
    <w:rsid w:val="00952AAB"/>
    <w:rsid w:val="00952B81"/>
    <w:rsid w:val="00952CEB"/>
    <w:rsid w:val="00952D3A"/>
    <w:rsid w:val="00952D78"/>
    <w:rsid w:val="00952D82"/>
    <w:rsid w:val="00952DD2"/>
    <w:rsid w:val="00952E77"/>
    <w:rsid w:val="00952EC2"/>
    <w:rsid w:val="00952EFE"/>
    <w:rsid w:val="00952F39"/>
    <w:rsid w:val="00952F3A"/>
    <w:rsid w:val="00953071"/>
    <w:rsid w:val="00953092"/>
    <w:rsid w:val="009530FA"/>
    <w:rsid w:val="0095328C"/>
    <w:rsid w:val="009532FB"/>
    <w:rsid w:val="009534D2"/>
    <w:rsid w:val="00953526"/>
    <w:rsid w:val="00953532"/>
    <w:rsid w:val="00953553"/>
    <w:rsid w:val="0095358B"/>
    <w:rsid w:val="00953599"/>
    <w:rsid w:val="009535CB"/>
    <w:rsid w:val="00953663"/>
    <w:rsid w:val="009536BB"/>
    <w:rsid w:val="00953774"/>
    <w:rsid w:val="0095377D"/>
    <w:rsid w:val="009537E4"/>
    <w:rsid w:val="00953828"/>
    <w:rsid w:val="0095391D"/>
    <w:rsid w:val="00953929"/>
    <w:rsid w:val="00953A68"/>
    <w:rsid w:val="00953AF1"/>
    <w:rsid w:val="00953B5B"/>
    <w:rsid w:val="00953C20"/>
    <w:rsid w:val="00953CAB"/>
    <w:rsid w:val="00953D18"/>
    <w:rsid w:val="00953D76"/>
    <w:rsid w:val="00953D8D"/>
    <w:rsid w:val="00953E13"/>
    <w:rsid w:val="00953E4A"/>
    <w:rsid w:val="00953E61"/>
    <w:rsid w:val="00953F9F"/>
    <w:rsid w:val="00954002"/>
    <w:rsid w:val="00954010"/>
    <w:rsid w:val="00954018"/>
    <w:rsid w:val="009540E9"/>
    <w:rsid w:val="009540FE"/>
    <w:rsid w:val="00954120"/>
    <w:rsid w:val="00954134"/>
    <w:rsid w:val="0095417F"/>
    <w:rsid w:val="009541BA"/>
    <w:rsid w:val="009541BE"/>
    <w:rsid w:val="00954217"/>
    <w:rsid w:val="009542D4"/>
    <w:rsid w:val="009542FA"/>
    <w:rsid w:val="00954337"/>
    <w:rsid w:val="00954477"/>
    <w:rsid w:val="00954497"/>
    <w:rsid w:val="009544AC"/>
    <w:rsid w:val="009544F6"/>
    <w:rsid w:val="00954526"/>
    <w:rsid w:val="009545A4"/>
    <w:rsid w:val="009545D7"/>
    <w:rsid w:val="009546EB"/>
    <w:rsid w:val="00954737"/>
    <w:rsid w:val="00954783"/>
    <w:rsid w:val="009547AF"/>
    <w:rsid w:val="009547B9"/>
    <w:rsid w:val="009547F5"/>
    <w:rsid w:val="0095485E"/>
    <w:rsid w:val="00954887"/>
    <w:rsid w:val="009548BA"/>
    <w:rsid w:val="009548EE"/>
    <w:rsid w:val="00954952"/>
    <w:rsid w:val="009549DA"/>
    <w:rsid w:val="009549E2"/>
    <w:rsid w:val="00954A22"/>
    <w:rsid w:val="00954A29"/>
    <w:rsid w:val="00954A78"/>
    <w:rsid w:val="00954C01"/>
    <w:rsid w:val="00954C2D"/>
    <w:rsid w:val="00954C42"/>
    <w:rsid w:val="00954C71"/>
    <w:rsid w:val="00954C76"/>
    <w:rsid w:val="00954D2D"/>
    <w:rsid w:val="00954D49"/>
    <w:rsid w:val="00954D62"/>
    <w:rsid w:val="00954D6C"/>
    <w:rsid w:val="00954E93"/>
    <w:rsid w:val="00954ECC"/>
    <w:rsid w:val="00954F4A"/>
    <w:rsid w:val="00954FD9"/>
    <w:rsid w:val="00954FE4"/>
    <w:rsid w:val="009550A1"/>
    <w:rsid w:val="0095513E"/>
    <w:rsid w:val="00955192"/>
    <w:rsid w:val="0095522C"/>
    <w:rsid w:val="00955234"/>
    <w:rsid w:val="0095527D"/>
    <w:rsid w:val="00955318"/>
    <w:rsid w:val="0095535B"/>
    <w:rsid w:val="00955360"/>
    <w:rsid w:val="00955378"/>
    <w:rsid w:val="0095544D"/>
    <w:rsid w:val="0095545C"/>
    <w:rsid w:val="00955490"/>
    <w:rsid w:val="0095557B"/>
    <w:rsid w:val="00955682"/>
    <w:rsid w:val="009556B5"/>
    <w:rsid w:val="009557CA"/>
    <w:rsid w:val="00955851"/>
    <w:rsid w:val="00955891"/>
    <w:rsid w:val="00955943"/>
    <w:rsid w:val="00955C99"/>
    <w:rsid w:val="00955CCE"/>
    <w:rsid w:val="00955DF9"/>
    <w:rsid w:val="00955E43"/>
    <w:rsid w:val="00955EE6"/>
    <w:rsid w:val="00955EEA"/>
    <w:rsid w:val="00955EFD"/>
    <w:rsid w:val="00955F00"/>
    <w:rsid w:val="00955FDE"/>
    <w:rsid w:val="0095603C"/>
    <w:rsid w:val="009560F6"/>
    <w:rsid w:val="0095612F"/>
    <w:rsid w:val="00956130"/>
    <w:rsid w:val="00956178"/>
    <w:rsid w:val="00956180"/>
    <w:rsid w:val="009561A1"/>
    <w:rsid w:val="009561F2"/>
    <w:rsid w:val="0095622F"/>
    <w:rsid w:val="009562BC"/>
    <w:rsid w:val="00956321"/>
    <w:rsid w:val="0095636D"/>
    <w:rsid w:val="0095643A"/>
    <w:rsid w:val="00956485"/>
    <w:rsid w:val="009564C0"/>
    <w:rsid w:val="009565B6"/>
    <w:rsid w:val="00956628"/>
    <w:rsid w:val="009566A6"/>
    <w:rsid w:val="009566DA"/>
    <w:rsid w:val="00956705"/>
    <w:rsid w:val="0095671F"/>
    <w:rsid w:val="00956750"/>
    <w:rsid w:val="0095675A"/>
    <w:rsid w:val="0095677D"/>
    <w:rsid w:val="0095678C"/>
    <w:rsid w:val="009567F0"/>
    <w:rsid w:val="00956838"/>
    <w:rsid w:val="00956863"/>
    <w:rsid w:val="009569A2"/>
    <w:rsid w:val="00956A97"/>
    <w:rsid w:val="00956AC0"/>
    <w:rsid w:val="00956AFC"/>
    <w:rsid w:val="00956AFE"/>
    <w:rsid w:val="00956B2B"/>
    <w:rsid w:val="00956C5A"/>
    <w:rsid w:val="00956D62"/>
    <w:rsid w:val="00956D70"/>
    <w:rsid w:val="00956D7A"/>
    <w:rsid w:val="00956DAE"/>
    <w:rsid w:val="00956DF5"/>
    <w:rsid w:val="00956E27"/>
    <w:rsid w:val="00956EA2"/>
    <w:rsid w:val="00956EBD"/>
    <w:rsid w:val="00956F2D"/>
    <w:rsid w:val="00956F50"/>
    <w:rsid w:val="00956F5E"/>
    <w:rsid w:val="00956FB0"/>
    <w:rsid w:val="0095711C"/>
    <w:rsid w:val="00957146"/>
    <w:rsid w:val="0095715A"/>
    <w:rsid w:val="00957301"/>
    <w:rsid w:val="00957303"/>
    <w:rsid w:val="00957309"/>
    <w:rsid w:val="0095730D"/>
    <w:rsid w:val="00957338"/>
    <w:rsid w:val="00957397"/>
    <w:rsid w:val="009573C6"/>
    <w:rsid w:val="009573D2"/>
    <w:rsid w:val="009573F3"/>
    <w:rsid w:val="00957468"/>
    <w:rsid w:val="0095746D"/>
    <w:rsid w:val="00957525"/>
    <w:rsid w:val="0095755B"/>
    <w:rsid w:val="00957561"/>
    <w:rsid w:val="0095758D"/>
    <w:rsid w:val="009575AC"/>
    <w:rsid w:val="00957642"/>
    <w:rsid w:val="0095764A"/>
    <w:rsid w:val="009576AB"/>
    <w:rsid w:val="0095772C"/>
    <w:rsid w:val="00957733"/>
    <w:rsid w:val="0095775B"/>
    <w:rsid w:val="00957768"/>
    <w:rsid w:val="009577E8"/>
    <w:rsid w:val="00957800"/>
    <w:rsid w:val="0095781D"/>
    <w:rsid w:val="00957895"/>
    <w:rsid w:val="009578E8"/>
    <w:rsid w:val="009578FD"/>
    <w:rsid w:val="00957903"/>
    <w:rsid w:val="00957936"/>
    <w:rsid w:val="00957986"/>
    <w:rsid w:val="00957997"/>
    <w:rsid w:val="00957A01"/>
    <w:rsid w:val="00957A02"/>
    <w:rsid w:val="00957A83"/>
    <w:rsid w:val="00957AF4"/>
    <w:rsid w:val="00957B50"/>
    <w:rsid w:val="00957B63"/>
    <w:rsid w:val="00957BA4"/>
    <w:rsid w:val="00957BB8"/>
    <w:rsid w:val="00957C12"/>
    <w:rsid w:val="00957CCA"/>
    <w:rsid w:val="00957D04"/>
    <w:rsid w:val="00957E9E"/>
    <w:rsid w:val="00957F49"/>
    <w:rsid w:val="00957F77"/>
    <w:rsid w:val="00957FBF"/>
    <w:rsid w:val="00957FC3"/>
    <w:rsid w:val="00960001"/>
    <w:rsid w:val="00960002"/>
    <w:rsid w:val="00960018"/>
    <w:rsid w:val="0096001B"/>
    <w:rsid w:val="00960189"/>
    <w:rsid w:val="009601DA"/>
    <w:rsid w:val="00960225"/>
    <w:rsid w:val="00960267"/>
    <w:rsid w:val="00960292"/>
    <w:rsid w:val="0096030B"/>
    <w:rsid w:val="0096036E"/>
    <w:rsid w:val="00960370"/>
    <w:rsid w:val="00960380"/>
    <w:rsid w:val="00960397"/>
    <w:rsid w:val="0096044E"/>
    <w:rsid w:val="00960575"/>
    <w:rsid w:val="00960593"/>
    <w:rsid w:val="00960628"/>
    <w:rsid w:val="00960693"/>
    <w:rsid w:val="009606A9"/>
    <w:rsid w:val="00960745"/>
    <w:rsid w:val="00960774"/>
    <w:rsid w:val="009607B2"/>
    <w:rsid w:val="009607E3"/>
    <w:rsid w:val="00960819"/>
    <w:rsid w:val="0096084E"/>
    <w:rsid w:val="00960A03"/>
    <w:rsid w:val="00960A77"/>
    <w:rsid w:val="00960A82"/>
    <w:rsid w:val="00960BAA"/>
    <w:rsid w:val="00960BBD"/>
    <w:rsid w:val="00960BF0"/>
    <w:rsid w:val="00960CA5"/>
    <w:rsid w:val="00960D13"/>
    <w:rsid w:val="00960D76"/>
    <w:rsid w:val="00960DDB"/>
    <w:rsid w:val="00960DEB"/>
    <w:rsid w:val="00960E14"/>
    <w:rsid w:val="00960E1F"/>
    <w:rsid w:val="00960EE1"/>
    <w:rsid w:val="00960EEB"/>
    <w:rsid w:val="00960F0B"/>
    <w:rsid w:val="00960F21"/>
    <w:rsid w:val="00960FA0"/>
    <w:rsid w:val="00961105"/>
    <w:rsid w:val="009611C9"/>
    <w:rsid w:val="00961270"/>
    <w:rsid w:val="009612EA"/>
    <w:rsid w:val="0096144C"/>
    <w:rsid w:val="00961552"/>
    <w:rsid w:val="00961599"/>
    <w:rsid w:val="009615C7"/>
    <w:rsid w:val="00961638"/>
    <w:rsid w:val="009617A6"/>
    <w:rsid w:val="009617B5"/>
    <w:rsid w:val="00961811"/>
    <w:rsid w:val="009618A0"/>
    <w:rsid w:val="00961957"/>
    <w:rsid w:val="009619BE"/>
    <w:rsid w:val="00961A7E"/>
    <w:rsid w:val="00961B09"/>
    <w:rsid w:val="00961B18"/>
    <w:rsid w:val="00961B19"/>
    <w:rsid w:val="00961BA8"/>
    <w:rsid w:val="00961BE6"/>
    <w:rsid w:val="00961C99"/>
    <w:rsid w:val="00961CC5"/>
    <w:rsid w:val="00961D56"/>
    <w:rsid w:val="00961D69"/>
    <w:rsid w:val="00961DAD"/>
    <w:rsid w:val="00961E54"/>
    <w:rsid w:val="00961E57"/>
    <w:rsid w:val="00961EED"/>
    <w:rsid w:val="00961F1C"/>
    <w:rsid w:val="00961F26"/>
    <w:rsid w:val="00961F78"/>
    <w:rsid w:val="009620ED"/>
    <w:rsid w:val="00962113"/>
    <w:rsid w:val="00962214"/>
    <w:rsid w:val="009622E8"/>
    <w:rsid w:val="00962373"/>
    <w:rsid w:val="009623C4"/>
    <w:rsid w:val="00962434"/>
    <w:rsid w:val="0096248D"/>
    <w:rsid w:val="009624FE"/>
    <w:rsid w:val="0096251F"/>
    <w:rsid w:val="0096252C"/>
    <w:rsid w:val="00962558"/>
    <w:rsid w:val="009625F9"/>
    <w:rsid w:val="00962614"/>
    <w:rsid w:val="0096264B"/>
    <w:rsid w:val="0096264C"/>
    <w:rsid w:val="00962711"/>
    <w:rsid w:val="00962768"/>
    <w:rsid w:val="00962798"/>
    <w:rsid w:val="009627EC"/>
    <w:rsid w:val="00962853"/>
    <w:rsid w:val="009628B4"/>
    <w:rsid w:val="009628B7"/>
    <w:rsid w:val="00962C61"/>
    <w:rsid w:val="00962C95"/>
    <w:rsid w:val="00962CEE"/>
    <w:rsid w:val="00962D06"/>
    <w:rsid w:val="00962D25"/>
    <w:rsid w:val="00962D52"/>
    <w:rsid w:val="00962D5B"/>
    <w:rsid w:val="00962D63"/>
    <w:rsid w:val="00962DA6"/>
    <w:rsid w:val="00962DC3"/>
    <w:rsid w:val="00962DDC"/>
    <w:rsid w:val="00962E76"/>
    <w:rsid w:val="00962E9F"/>
    <w:rsid w:val="00962F61"/>
    <w:rsid w:val="00963043"/>
    <w:rsid w:val="0096306C"/>
    <w:rsid w:val="0096306F"/>
    <w:rsid w:val="00963073"/>
    <w:rsid w:val="00963084"/>
    <w:rsid w:val="009630B6"/>
    <w:rsid w:val="0096311E"/>
    <w:rsid w:val="009631BE"/>
    <w:rsid w:val="009631FC"/>
    <w:rsid w:val="0096336F"/>
    <w:rsid w:val="009633AD"/>
    <w:rsid w:val="009633B0"/>
    <w:rsid w:val="009633B3"/>
    <w:rsid w:val="00963416"/>
    <w:rsid w:val="0096342A"/>
    <w:rsid w:val="009634BD"/>
    <w:rsid w:val="0096357B"/>
    <w:rsid w:val="009636F1"/>
    <w:rsid w:val="00963791"/>
    <w:rsid w:val="009637CB"/>
    <w:rsid w:val="009637EF"/>
    <w:rsid w:val="009637F2"/>
    <w:rsid w:val="009637FC"/>
    <w:rsid w:val="00963886"/>
    <w:rsid w:val="009638B5"/>
    <w:rsid w:val="009638F9"/>
    <w:rsid w:val="009638FB"/>
    <w:rsid w:val="009638FC"/>
    <w:rsid w:val="00963901"/>
    <w:rsid w:val="009639CA"/>
    <w:rsid w:val="00963A31"/>
    <w:rsid w:val="00963A35"/>
    <w:rsid w:val="00963A62"/>
    <w:rsid w:val="00963ADF"/>
    <w:rsid w:val="00963B9F"/>
    <w:rsid w:val="00963D06"/>
    <w:rsid w:val="00963D0C"/>
    <w:rsid w:val="00963D20"/>
    <w:rsid w:val="00963E36"/>
    <w:rsid w:val="00963E4E"/>
    <w:rsid w:val="00963E87"/>
    <w:rsid w:val="00963FAE"/>
    <w:rsid w:val="00963FC0"/>
    <w:rsid w:val="0096402C"/>
    <w:rsid w:val="00964100"/>
    <w:rsid w:val="00964116"/>
    <w:rsid w:val="00964145"/>
    <w:rsid w:val="0096417E"/>
    <w:rsid w:val="009641B5"/>
    <w:rsid w:val="009641D6"/>
    <w:rsid w:val="009641E7"/>
    <w:rsid w:val="0096421C"/>
    <w:rsid w:val="009642DE"/>
    <w:rsid w:val="00964376"/>
    <w:rsid w:val="009643B2"/>
    <w:rsid w:val="0096447B"/>
    <w:rsid w:val="0096452C"/>
    <w:rsid w:val="00964675"/>
    <w:rsid w:val="009646DD"/>
    <w:rsid w:val="00964792"/>
    <w:rsid w:val="009647AD"/>
    <w:rsid w:val="009647CB"/>
    <w:rsid w:val="0096485B"/>
    <w:rsid w:val="00964866"/>
    <w:rsid w:val="009648C6"/>
    <w:rsid w:val="009649F3"/>
    <w:rsid w:val="00964A8C"/>
    <w:rsid w:val="00964A9A"/>
    <w:rsid w:val="00964AE8"/>
    <w:rsid w:val="00964BD6"/>
    <w:rsid w:val="00964C34"/>
    <w:rsid w:val="00964C69"/>
    <w:rsid w:val="00964D16"/>
    <w:rsid w:val="00964DB2"/>
    <w:rsid w:val="00964E68"/>
    <w:rsid w:val="00964E79"/>
    <w:rsid w:val="00964EF0"/>
    <w:rsid w:val="00964EFB"/>
    <w:rsid w:val="00964F9E"/>
    <w:rsid w:val="00964FB5"/>
    <w:rsid w:val="00965094"/>
    <w:rsid w:val="009650DA"/>
    <w:rsid w:val="00965105"/>
    <w:rsid w:val="00965125"/>
    <w:rsid w:val="00965140"/>
    <w:rsid w:val="0096525F"/>
    <w:rsid w:val="00965358"/>
    <w:rsid w:val="00965364"/>
    <w:rsid w:val="00965393"/>
    <w:rsid w:val="009653AB"/>
    <w:rsid w:val="009653C9"/>
    <w:rsid w:val="009653F7"/>
    <w:rsid w:val="009654C2"/>
    <w:rsid w:val="0096551F"/>
    <w:rsid w:val="009655B9"/>
    <w:rsid w:val="00965626"/>
    <w:rsid w:val="00965647"/>
    <w:rsid w:val="0096567E"/>
    <w:rsid w:val="009657CF"/>
    <w:rsid w:val="00965875"/>
    <w:rsid w:val="00965878"/>
    <w:rsid w:val="0096588D"/>
    <w:rsid w:val="009658DD"/>
    <w:rsid w:val="0096592A"/>
    <w:rsid w:val="0096598A"/>
    <w:rsid w:val="00965995"/>
    <w:rsid w:val="00965A20"/>
    <w:rsid w:val="00965A5C"/>
    <w:rsid w:val="00965AFD"/>
    <w:rsid w:val="00965BF8"/>
    <w:rsid w:val="00965CDA"/>
    <w:rsid w:val="00965CF4"/>
    <w:rsid w:val="00965D60"/>
    <w:rsid w:val="00965DA8"/>
    <w:rsid w:val="00965F08"/>
    <w:rsid w:val="00965F1F"/>
    <w:rsid w:val="00965F2E"/>
    <w:rsid w:val="00965F3C"/>
    <w:rsid w:val="00965F4C"/>
    <w:rsid w:val="00965F54"/>
    <w:rsid w:val="00965F87"/>
    <w:rsid w:val="00965F8E"/>
    <w:rsid w:val="00965FC7"/>
    <w:rsid w:val="00965FE5"/>
    <w:rsid w:val="00966101"/>
    <w:rsid w:val="0096610C"/>
    <w:rsid w:val="009661A1"/>
    <w:rsid w:val="009661BE"/>
    <w:rsid w:val="00966208"/>
    <w:rsid w:val="00966287"/>
    <w:rsid w:val="009662B4"/>
    <w:rsid w:val="00966304"/>
    <w:rsid w:val="0096634E"/>
    <w:rsid w:val="0096640C"/>
    <w:rsid w:val="0096641D"/>
    <w:rsid w:val="009664BF"/>
    <w:rsid w:val="00966555"/>
    <w:rsid w:val="009665B4"/>
    <w:rsid w:val="00966603"/>
    <w:rsid w:val="00966663"/>
    <w:rsid w:val="009666AB"/>
    <w:rsid w:val="0096672F"/>
    <w:rsid w:val="00966753"/>
    <w:rsid w:val="00966764"/>
    <w:rsid w:val="009667F7"/>
    <w:rsid w:val="0096686D"/>
    <w:rsid w:val="009668A1"/>
    <w:rsid w:val="00966938"/>
    <w:rsid w:val="00966957"/>
    <w:rsid w:val="009669AD"/>
    <w:rsid w:val="009669E9"/>
    <w:rsid w:val="00966A54"/>
    <w:rsid w:val="00966BB4"/>
    <w:rsid w:val="00966BE8"/>
    <w:rsid w:val="00966C14"/>
    <w:rsid w:val="00966C1E"/>
    <w:rsid w:val="00966CCA"/>
    <w:rsid w:val="00966D05"/>
    <w:rsid w:val="00966EA5"/>
    <w:rsid w:val="00967000"/>
    <w:rsid w:val="00967011"/>
    <w:rsid w:val="00967077"/>
    <w:rsid w:val="009670BB"/>
    <w:rsid w:val="00967124"/>
    <w:rsid w:val="009671AC"/>
    <w:rsid w:val="009672DB"/>
    <w:rsid w:val="009672F0"/>
    <w:rsid w:val="00967301"/>
    <w:rsid w:val="0096736B"/>
    <w:rsid w:val="0096738D"/>
    <w:rsid w:val="009673C4"/>
    <w:rsid w:val="009673CF"/>
    <w:rsid w:val="009673E7"/>
    <w:rsid w:val="00967438"/>
    <w:rsid w:val="009674FC"/>
    <w:rsid w:val="00967538"/>
    <w:rsid w:val="009675ED"/>
    <w:rsid w:val="00967667"/>
    <w:rsid w:val="009676CE"/>
    <w:rsid w:val="009676F8"/>
    <w:rsid w:val="009676F9"/>
    <w:rsid w:val="0096776F"/>
    <w:rsid w:val="009677DE"/>
    <w:rsid w:val="00967829"/>
    <w:rsid w:val="00967830"/>
    <w:rsid w:val="0096784A"/>
    <w:rsid w:val="009678A9"/>
    <w:rsid w:val="009678CC"/>
    <w:rsid w:val="009678D0"/>
    <w:rsid w:val="009678FA"/>
    <w:rsid w:val="0096796D"/>
    <w:rsid w:val="00967998"/>
    <w:rsid w:val="009679FF"/>
    <w:rsid w:val="00967A01"/>
    <w:rsid w:val="00967A5C"/>
    <w:rsid w:val="00967AA8"/>
    <w:rsid w:val="00967B7A"/>
    <w:rsid w:val="00967BA8"/>
    <w:rsid w:val="00967C0E"/>
    <w:rsid w:val="00967C1F"/>
    <w:rsid w:val="00967C7D"/>
    <w:rsid w:val="00967CCD"/>
    <w:rsid w:val="00967D81"/>
    <w:rsid w:val="00967E46"/>
    <w:rsid w:val="00967EC6"/>
    <w:rsid w:val="00967EFF"/>
    <w:rsid w:val="009700AB"/>
    <w:rsid w:val="00970117"/>
    <w:rsid w:val="0097011C"/>
    <w:rsid w:val="0097014C"/>
    <w:rsid w:val="0097021B"/>
    <w:rsid w:val="00970267"/>
    <w:rsid w:val="0097029D"/>
    <w:rsid w:val="0097038E"/>
    <w:rsid w:val="0097039F"/>
    <w:rsid w:val="009703B5"/>
    <w:rsid w:val="009703FC"/>
    <w:rsid w:val="00970426"/>
    <w:rsid w:val="009704E9"/>
    <w:rsid w:val="009704EE"/>
    <w:rsid w:val="00970511"/>
    <w:rsid w:val="00970531"/>
    <w:rsid w:val="00970580"/>
    <w:rsid w:val="00970583"/>
    <w:rsid w:val="009706B5"/>
    <w:rsid w:val="0097072C"/>
    <w:rsid w:val="009707B3"/>
    <w:rsid w:val="00970806"/>
    <w:rsid w:val="009708EA"/>
    <w:rsid w:val="00970940"/>
    <w:rsid w:val="009709A9"/>
    <w:rsid w:val="00970A77"/>
    <w:rsid w:val="00970AF3"/>
    <w:rsid w:val="00970AFD"/>
    <w:rsid w:val="00970BB4"/>
    <w:rsid w:val="00970C0D"/>
    <w:rsid w:val="00970C1A"/>
    <w:rsid w:val="00970C2F"/>
    <w:rsid w:val="00970C57"/>
    <w:rsid w:val="00970CEE"/>
    <w:rsid w:val="00970D94"/>
    <w:rsid w:val="00970E3B"/>
    <w:rsid w:val="00970E88"/>
    <w:rsid w:val="00970E8E"/>
    <w:rsid w:val="00970E90"/>
    <w:rsid w:val="00970ECF"/>
    <w:rsid w:val="00970F51"/>
    <w:rsid w:val="00970F65"/>
    <w:rsid w:val="00970FCD"/>
    <w:rsid w:val="00970FF9"/>
    <w:rsid w:val="00971008"/>
    <w:rsid w:val="00971051"/>
    <w:rsid w:val="00971124"/>
    <w:rsid w:val="009711DF"/>
    <w:rsid w:val="00971200"/>
    <w:rsid w:val="0097126C"/>
    <w:rsid w:val="00971277"/>
    <w:rsid w:val="009712D7"/>
    <w:rsid w:val="00971306"/>
    <w:rsid w:val="00971374"/>
    <w:rsid w:val="009713B9"/>
    <w:rsid w:val="009714D5"/>
    <w:rsid w:val="00971502"/>
    <w:rsid w:val="0097156D"/>
    <w:rsid w:val="009715DA"/>
    <w:rsid w:val="0097160D"/>
    <w:rsid w:val="00971677"/>
    <w:rsid w:val="009716AA"/>
    <w:rsid w:val="00971789"/>
    <w:rsid w:val="009717D9"/>
    <w:rsid w:val="0097180D"/>
    <w:rsid w:val="009718BB"/>
    <w:rsid w:val="009718E0"/>
    <w:rsid w:val="00971935"/>
    <w:rsid w:val="0097193A"/>
    <w:rsid w:val="009719DF"/>
    <w:rsid w:val="00971A10"/>
    <w:rsid w:val="00971A44"/>
    <w:rsid w:val="00971AEA"/>
    <w:rsid w:val="00971AF8"/>
    <w:rsid w:val="00971B45"/>
    <w:rsid w:val="00971B6C"/>
    <w:rsid w:val="00971BAC"/>
    <w:rsid w:val="00971BF4"/>
    <w:rsid w:val="00971C58"/>
    <w:rsid w:val="00971CE4"/>
    <w:rsid w:val="00971CF7"/>
    <w:rsid w:val="00971D3E"/>
    <w:rsid w:val="00971DBB"/>
    <w:rsid w:val="00971DDF"/>
    <w:rsid w:val="00971DEB"/>
    <w:rsid w:val="00971DFB"/>
    <w:rsid w:val="00971E06"/>
    <w:rsid w:val="00971E64"/>
    <w:rsid w:val="00971E7B"/>
    <w:rsid w:val="00972097"/>
    <w:rsid w:val="0097218D"/>
    <w:rsid w:val="0097223F"/>
    <w:rsid w:val="009722F9"/>
    <w:rsid w:val="0097235B"/>
    <w:rsid w:val="0097238A"/>
    <w:rsid w:val="0097238B"/>
    <w:rsid w:val="009723A1"/>
    <w:rsid w:val="00972418"/>
    <w:rsid w:val="009724DD"/>
    <w:rsid w:val="0097256D"/>
    <w:rsid w:val="00972573"/>
    <w:rsid w:val="00972579"/>
    <w:rsid w:val="009726A7"/>
    <w:rsid w:val="009726D0"/>
    <w:rsid w:val="009726DC"/>
    <w:rsid w:val="00972845"/>
    <w:rsid w:val="0097288D"/>
    <w:rsid w:val="00972892"/>
    <w:rsid w:val="009728A4"/>
    <w:rsid w:val="009728CE"/>
    <w:rsid w:val="009729ED"/>
    <w:rsid w:val="00972A68"/>
    <w:rsid w:val="00972AB2"/>
    <w:rsid w:val="00972ABD"/>
    <w:rsid w:val="00972B13"/>
    <w:rsid w:val="00972C6B"/>
    <w:rsid w:val="00972CCE"/>
    <w:rsid w:val="00972D21"/>
    <w:rsid w:val="00972D8A"/>
    <w:rsid w:val="00972E6F"/>
    <w:rsid w:val="00972E96"/>
    <w:rsid w:val="00972EBD"/>
    <w:rsid w:val="00972FA2"/>
    <w:rsid w:val="00972FD4"/>
    <w:rsid w:val="00973086"/>
    <w:rsid w:val="00973125"/>
    <w:rsid w:val="00973139"/>
    <w:rsid w:val="00973212"/>
    <w:rsid w:val="00973244"/>
    <w:rsid w:val="0097325A"/>
    <w:rsid w:val="0097325B"/>
    <w:rsid w:val="009732DF"/>
    <w:rsid w:val="009732F5"/>
    <w:rsid w:val="00973306"/>
    <w:rsid w:val="00973312"/>
    <w:rsid w:val="009733A8"/>
    <w:rsid w:val="009733EA"/>
    <w:rsid w:val="009733F4"/>
    <w:rsid w:val="00973426"/>
    <w:rsid w:val="009734CE"/>
    <w:rsid w:val="00973504"/>
    <w:rsid w:val="009735B9"/>
    <w:rsid w:val="009735EC"/>
    <w:rsid w:val="009735FA"/>
    <w:rsid w:val="009736AA"/>
    <w:rsid w:val="0097373B"/>
    <w:rsid w:val="00973864"/>
    <w:rsid w:val="009738E0"/>
    <w:rsid w:val="009739A1"/>
    <w:rsid w:val="009739C7"/>
    <w:rsid w:val="00973AA3"/>
    <w:rsid w:val="00973AC7"/>
    <w:rsid w:val="00973B31"/>
    <w:rsid w:val="00973B3E"/>
    <w:rsid w:val="00973B52"/>
    <w:rsid w:val="00973BD9"/>
    <w:rsid w:val="00973BFE"/>
    <w:rsid w:val="00973C4A"/>
    <w:rsid w:val="00973C56"/>
    <w:rsid w:val="00973D20"/>
    <w:rsid w:val="00973DD1"/>
    <w:rsid w:val="00973EA7"/>
    <w:rsid w:val="00973F69"/>
    <w:rsid w:val="00973F6B"/>
    <w:rsid w:val="00974002"/>
    <w:rsid w:val="00974011"/>
    <w:rsid w:val="00974041"/>
    <w:rsid w:val="009740AF"/>
    <w:rsid w:val="009740D2"/>
    <w:rsid w:val="00974199"/>
    <w:rsid w:val="00974218"/>
    <w:rsid w:val="00974233"/>
    <w:rsid w:val="0097423F"/>
    <w:rsid w:val="00974365"/>
    <w:rsid w:val="0097438A"/>
    <w:rsid w:val="00974416"/>
    <w:rsid w:val="00974489"/>
    <w:rsid w:val="0097448F"/>
    <w:rsid w:val="009744B0"/>
    <w:rsid w:val="00974500"/>
    <w:rsid w:val="009745ED"/>
    <w:rsid w:val="00974635"/>
    <w:rsid w:val="0097474B"/>
    <w:rsid w:val="00974755"/>
    <w:rsid w:val="009747F8"/>
    <w:rsid w:val="009747FA"/>
    <w:rsid w:val="0097481D"/>
    <w:rsid w:val="00974840"/>
    <w:rsid w:val="009748A0"/>
    <w:rsid w:val="009748B5"/>
    <w:rsid w:val="009748EE"/>
    <w:rsid w:val="00974911"/>
    <w:rsid w:val="0097499C"/>
    <w:rsid w:val="009749C3"/>
    <w:rsid w:val="00974A31"/>
    <w:rsid w:val="00974ABA"/>
    <w:rsid w:val="00974AC0"/>
    <w:rsid w:val="00974B15"/>
    <w:rsid w:val="00974B71"/>
    <w:rsid w:val="00974B93"/>
    <w:rsid w:val="00974C85"/>
    <w:rsid w:val="00974C9F"/>
    <w:rsid w:val="00974DB9"/>
    <w:rsid w:val="00974E2D"/>
    <w:rsid w:val="00974E91"/>
    <w:rsid w:val="00974EB4"/>
    <w:rsid w:val="00974ECA"/>
    <w:rsid w:val="00974ECB"/>
    <w:rsid w:val="00974EE0"/>
    <w:rsid w:val="00974FA1"/>
    <w:rsid w:val="00974FAF"/>
    <w:rsid w:val="0097502E"/>
    <w:rsid w:val="00975052"/>
    <w:rsid w:val="009750D1"/>
    <w:rsid w:val="009752EB"/>
    <w:rsid w:val="0097536D"/>
    <w:rsid w:val="009753AA"/>
    <w:rsid w:val="009753CB"/>
    <w:rsid w:val="009753D8"/>
    <w:rsid w:val="0097543A"/>
    <w:rsid w:val="00975448"/>
    <w:rsid w:val="00975475"/>
    <w:rsid w:val="009754A9"/>
    <w:rsid w:val="00975569"/>
    <w:rsid w:val="00975580"/>
    <w:rsid w:val="009755C5"/>
    <w:rsid w:val="009755ED"/>
    <w:rsid w:val="00975603"/>
    <w:rsid w:val="0097564D"/>
    <w:rsid w:val="009756B3"/>
    <w:rsid w:val="009756E3"/>
    <w:rsid w:val="00975712"/>
    <w:rsid w:val="0097577F"/>
    <w:rsid w:val="009757B2"/>
    <w:rsid w:val="0097583E"/>
    <w:rsid w:val="009758B0"/>
    <w:rsid w:val="009758C5"/>
    <w:rsid w:val="009758F0"/>
    <w:rsid w:val="0097593C"/>
    <w:rsid w:val="0097596A"/>
    <w:rsid w:val="009759F5"/>
    <w:rsid w:val="00975A09"/>
    <w:rsid w:val="00975AFC"/>
    <w:rsid w:val="00975B7F"/>
    <w:rsid w:val="00975B86"/>
    <w:rsid w:val="00975C1B"/>
    <w:rsid w:val="00975C9E"/>
    <w:rsid w:val="00975CB8"/>
    <w:rsid w:val="00975CBD"/>
    <w:rsid w:val="00975CC9"/>
    <w:rsid w:val="00975D52"/>
    <w:rsid w:val="00975D81"/>
    <w:rsid w:val="00975DAF"/>
    <w:rsid w:val="00975DEE"/>
    <w:rsid w:val="00975E01"/>
    <w:rsid w:val="00975F1E"/>
    <w:rsid w:val="00975F5F"/>
    <w:rsid w:val="00976046"/>
    <w:rsid w:val="0097609F"/>
    <w:rsid w:val="0097616F"/>
    <w:rsid w:val="009761A2"/>
    <w:rsid w:val="00976212"/>
    <w:rsid w:val="00976217"/>
    <w:rsid w:val="00976228"/>
    <w:rsid w:val="0097622D"/>
    <w:rsid w:val="00976333"/>
    <w:rsid w:val="0097636D"/>
    <w:rsid w:val="009763C4"/>
    <w:rsid w:val="009764BC"/>
    <w:rsid w:val="009764C8"/>
    <w:rsid w:val="009764CB"/>
    <w:rsid w:val="009764CE"/>
    <w:rsid w:val="0097655E"/>
    <w:rsid w:val="009766CC"/>
    <w:rsid w:val="00976734"/>
    <w:rsid w:val="009767B3"/>
    <w:rsid w:val="009767E6"/>
    <w:rsid w:val="009767FF"/>
    <w:rsid w:val="00976855"/>
    <w:rsid w:val="0097685B"/>
    <w:rsid w:val="0097688E"/>
    <w:rsid w:val="009768D9"/>
    <w:rsid w:val="0097693C"/>
    <w:rsid w:val="0097698D"/>
    <w:rsid w:val="009769D2"/>
    <w:rsid w:val="009769F6"/>
    <w:rsid w:val="00976A0E"/>
    <w:rsid w:val="00976A5E"/>
    <w:rsid w:val="00976A8C"/>
    <w:rsid w:val="00976A9C"/>
    <w:rsid w:val="00976ABE"/>
    <w:rsid w:val="00976B7A"/>
    <w:rsid w:val="00976BDC"/>
    <w:rsid w:val="00976D0D"/>
    <w:rsid w:val="00976DE7"/>
    <w:rsid w:val="00976E68"/>
    <w:rsid w:val="00976E9F"/>
    <w:rsid w:val="00976F08"/>
    <w:rsid w:val="00976F56"/>
    <w:rsid w:val="00976F9B"/>
    <w:rsid w:val="00976FC3"/>
    <w:rsid w:val="00977000"/>
    <w:rsid w:val="0097706C"/>
    <w:rsid w:val="00977071"/>
    <w:rsid w:val="00977096"/>
    <w:rsid w:val="0097709B"/>
    <w:rsid w:val="009770E3"/>
    <w:rsid w:val="009770EC"/>
    <w:rsid w:val="0097725D"/>
    <w:rsid w:val="009772F9"/>
    <w:rsid w:val="009774B5"/>
    <w:rsid w:val="00977588"/>
    <w:rsid w:val="009775EF"/>
    <w:rsid w:val="00977687"/>
    <w:rsid w:val="009776BF"/>
    <w:rsid w:val="009776D3"/>
    <w:rsid w:val="00977712"/>
    <w:rsid w:val="00977754"/>
    <w:rsid w:val="00977795"/>
    <w:rsid w:val="00977803"/>
    <w:rsid w:val="0097782B"/>
    <w:rsid w:val="00977878"/>
    <w:rsid w:val="009778CB"/>
    <w:rsid w:val="009778D0"/>
    <w:rsid w:val="009778D3"/>
    <w:rsid w:val="009779C4"/>
    <w:rsid w:val="00977A3F"/>
    <w:rsid w:val="00977A6A"/>
    <w:rsid w:val="00977A7A"/>
    <w:rsid w:val="00977A83"/>
    <w:rsid w:val="00977B06"/>
    <w:rsid w:val="00977B87"/>
    <w:rsid w:val="00977BBD"/>
    <w:rsid w:val="00977C1D"/>
    <w:rsid w:val="00977C27"/>
    <w:rsid w:val="00977C4D"/>
    <w:rsid w:val="00977CCA"/>
    <w:rsid w:val="00977E35"/>
    <w:rsid w:val="00977E96"/>
    <w:rsid w:val="00977EEE"/>
    <w:rsid w:val="00977F54"/>
    <w:rsid w:val="00977FCB"/>
    <w:rsid w:val="00980000"/>
    <w:rsid w:val="0098002B"/>
    <w:rsid w:val="009800A3"/>
    <w:rsid w:val="009800DD"/>
    <w:rsid w:val="009801D1"/>
    <w:rsid w:val="009801F8"/>
    <w:rsid w:val="0098031E"/>
    <w:rsid w:val="00980334"/>
    <w:rsid w:val="0098034C"/>
    <w:rsid w:val="00980354"/>
    <w:rsid w:val="00980365"/>
    <w:rsid w:val="00980381"/>
    <w:rsid w:val="009803FC"/>
    <w:rsid w:val="0098047E"/>
    <w:rsid w:val="0098051B"/>
    <w:rsid w:val="00980563"/>
    <w:rsid w:val="009805FF"/>
    <w:rsid w:val="0098069A"/>
    <w:rsid w:val="009806F8"/>
    <w:rsid w:val="00980714"/>
    <w:rsid w:val="00980775"/>
    <w:rsid w:val="00980792"/>
    <w:rsid w:val="00980799"/>
    <w:rsid w:val="009807AC"/>
    <w:rsid w:val="0098087E"/>
    <w:rsid w:val="009808DB"/>
    <w:rsid w:val="00980919"/>
    <w:rsid w:val="0098092E"/>
    <w:rsid w:val="00980960"/>
    <w:rsid w:val="00980970"/>
    <w:rsid w:val="009809CF"/>
    <w:rsid w:val="009809F2"/>
    <w:rsid w:val="00980A7C"/>
    <w:rsid w:val="00980AB1"/>
    <w:rsid w:val="00980B2F"/>
    <w:rsid w:val="00980B69"/>
    <w:rsid w:val="00980C5F"/>
    <w:rsid w:val="00980CF0"/>
    <w:rsid w:val="00980D03"/>
    <w:rsid w:val="00980DF2"/>
    <w:rsid w:val="00980E4B"/>
    <w:rsid w:val="00980E95"/>
    <w:rsid w:val="00980E96"/>
    <w:rsid w:val="00980F08"/>
    <w:rsid w:val="00980FEA"/>
    <w:rsid w:val="00981038"/>
    <w:rsid w:val="009810FC"/>
    <w:rsid w:val="009811CE"/>
    <w:rsid w:val="009811FB"/>
    <w:rsid w:val="0098127E"/>
    <w:rsid w:val="009812D1"/>
    <w:rsid w:val="00981305"/>
    <w:rsid w:val="0098134A"/>
    <w:rsid w:val="009813A6"/>
    <w:rsid w:val="009813AF"/>
    <w:rsid w:val="00981418"/>
    <w:rsid w:val="009814A0"/>
    <w:rsid w:val="009814D3"/>
    <w:rsid w:val="00981508"/>
    <w:rsid w:val="0098155C"/>
    <w:rsid w:val="00981592"/>
    <w:rsid w:val="0098159A"/>
    <w:rsid w:val="009815AE"/>
    <w:rsid w:val="00981671"/>
    <w:rsid w:val="0098167D"/>
    <w:rsid w:val="009816B8"/>
    <w:rsid w:val="009816C9"/>
    <w:rsid w:val="009817CA"/>
    <w:rsid w:val="00981884"/>
    <w:rsid w:val="0098189F"/>
    <w:rsid w:val="009818AF"/>
    <w:rsid w:val="0098190E"/>
    <w:rsid w:val="00981943"/>
    <w:rsid w:val="00981958"/>
    <w:rsid w:val="00981977"/>
    <w:rsid w:val="009819ED"/>
    <w:rsid w:val="00981A11"/>
    <w:rsid w:val="00981ADF"/>
    <w:rsid w:val="00981B83"/>
    <w:rsid w:val="00981BCB"/>
    <w:rsid w:val="00981BE4"/>
    <w:rsid w:val="00981C4C"/>
    <w:rsid w:val="00981CE9"/>
    <w:rsid w:val="00981CFF"/>
    <w:rsid w:val="00981D04"/>
    <w:rsid w:val="00981D23"/>
    <w:rsid w:val="00981DC9"/>
    <w:rsid w:val="00981DD8"/>
    <w:rsid w:val="00981DE3"/>
    <w:rsid w:val="00981ED2"/>
    <w:rsid w:val="0098200A"/>
    <w:rsid w:val="0098205B"/>
    <w:rsid w:val="0098208A"/>
    <w:rsid w:val="00982131"/>
    <w:rsid w:val="00982132"/>
    <w:rsid w:val="00982142"/>
    <w:rsid w:val="009821D2"/>
    <w:rsid w:val="009822A3"/>
    <w:rsid w:val="009822AD"/>
    <w:rsid w:val="0098235A"/>
    <w:rsid w:val="009823E0"/>
    <w:rsid w:val="00982421"/>
    <w:rsid w:val="00982438"/>
    <w:rsid w:val="0098246C"/>
    <w:rsid w:val="00982485"/>
    <w:rsid w:val="009824BB"/>
    <w:rsid w:val="00982577"/>
    <w:rsid w:val="009825E6"/>
    <w:rsid w:val="009825EC"/>
    <w:rsid w:val="00982618"/>
    <w:rsid w:val="00982640"/>
    <w:rsid w:val="00982646"/>
    <w:rsid w:val="009826F7"/>
    <w:rsid w:val="00982739"/>
    <w:rsid w:val="00982744"/>
    <w:rsid w:val="00982799"/>
    <w:rsid w:val="009827AF"/>
    <w:rsid w:val="0098291D"/>
    <w:rsid w:val="00982948"/>
    <w:rsid w:val="009829B9"/>
    <w:rsid w:val="009829CE"/>
    <w:rsid w:val="00982A1A"/>
    <w:rsid w:val="00982A42"/>
    <w:rsid w:val="00982A72"/>
    <w:rsid w:val="00982AA8"/>
    <w:rsid w:val="00982AC0"/>
    <w:rsid w:val="00982B00"/>
    <w:rsid w:val="00982B28"/>
    <w:rsid w:val="00982B4F"/>
    <w:rsid w:val="00982C25"/>
    <w:rsid w:val="00982CC3"/>
    <w:rsid w:val="00982D21"/>
    <w:rsid w:val="00982D2B"/>
    <w:rsid w:val="00982D2F"/>
    <w:rsid w:val="00982D7E"/>
    <w:rsid w:val="00982D83"/>
    <w:rsid w:val="00982DC2"/>
    <w:rsid w:val="00982DEC"/>
    <w:rsid w:val="00982E83"/>
    <w:rsid w:val="00982E94"/>
    <w:rsid w:val="00982EF7"/>
    <w:rsid w:val="00983004"/>
    <w:rsid w:val="00983008"/>
    <w:rsid w:val="009830E3"/>
    <w:rsid w:val="0098311E"/>
    <w:rsid w:val="00983175"/>
    <w:rsid w:val="009831B6"/>
    <w:rsid w:val="009831BC"/>
    <w:rsid w:val="009831D5"/>
    <w:rsid w:val="00983202"/>
    <w:rsid w:val="0098324A"/>
    <w:rsid w:val="009832B3"/>
    <w:rsid w:val="009832E2"/>
    <w:rsid w:val="009832FF"/>
    <w:rsid w:val="00983314"/>
    <w:rsid w:val="009833AC"/>
    <w:rsid w:val="009833E6"/>
    <w:rsid w:val="00983451"/>
    <w:rsid w:val="0098347F"/>
    <w:rsid w:val="00983546"/>
    <w:rsid w:val="0098357B"/>
    <w:rsid w:val="009835CD"/>
    <w:rsid w:val="00983629"/>
    <w:rsid w:val="00983636"/>
    <w:rsid w:val="009836B9"/>
    <w:rsid w:val="009836E7"/>
    <w:rsid w:val="0098371B"/>
    <w:rsid w:val="00983728"/>
    <w:rsid w:val="00983751"/>
    <w:rsid w:val="00983814"/>
    <w:rsid w:val="0098385F"/>
    <w:rsid w:val="009838A0"/>
    <w:rsid w:val="009838E1"/>
    <w:rsid w:val="009838ED"/>
    <w:rsid w:val="009839CF"/>
    <w:rsid w:val="009839DC"/>
    <w:rsid w:val="00983A13"/>
    <w:rsid w:val="00983B38"/>
    <w:rsid w:val="00983B91"/>
    <w:rsid w:val="00983C0A"/>
    <w:rsid w:val="00983C33"/>
    <w:rsid w:val="00983C9C"/>
    <w:rsid w:val="00983CBA"/>
    <w:rsid w:val="00983CD6"/>
    <w:rsid w:val="00983CEE"/>
    <w:rsid w:val="00983D7E"/>
    <w:rsid w:val="00983DD7"/>
    <w:rsid w:val="00983DEC"/>
    <w:rsid w:val="00983E04"/>
    <w:rsid w:val="00984036"/>
    <w:rsid w:val="009841C6"/>
    <w:rsid w:val="009841DF"/>
    <w:rsid w:val="0098422A"/>
    <w:rsid w:val="0098428B"/>
    <w:rsid w:val="0098430B"/>
    <w:rsid w:val="009844DC"/>
    <w:rsid w:val="0098457D"/>
    <w:rsid w:val="009845C3"/>
    <w:rsid w:val="009845CF"/>
    <w:rsid w:val="0098466C"/>
    <w:rsid w:val="00984682"/>
    <w:rsid w:val="009846B8"/>
    <w:rsid w:val="00984721"/>
    <w:rsid w:val="009847AB"/>
    <w:rsid w:val="00984826"/>
    <w:rsid w:val="009848C1"/>
    <w:rsid w:val="00984903"/>
    <w:rsid w:val="00984918"/>
    <w:rsid w:val="00984959"/>
    <w:rsid w:val="0098496D"/>
    <w:rsid w:val="009849A3"/>
    <w:rsid w:val="00984B96"/>
    <w:rsid w:val="00984C08"/>
    <w:rsid w:val="00984C2D"/>
    <w:rsid w:val="00984C38"/>
    <w:rsid w:val="00984D30"/>
    <w:rsid w:val="00984D69"/>
    <w:rsid w:val="00984DED"/>
    <w:rsid w:val="00984E00"/>
    <w:rsid w:val="00984E25"/>
    <w:rsid w:val="00984EAB"/>
    <w:rsid w:val="00984F64"/>
    <w:rsid w:val="00984FA3"/>
    <w:rsid w:val="00984FBB"/>
    <w:rsid w:val="00984FCB"/>
    <w:rsid w:val="00984FE9"/>
    <w:rsid w:val="0098500D"/>
    <w:rsid w:val="00985017"/>
    <w:rsid w:val="00985094"/>
    <w:rsid w:val="00985132"/>
    <w:rsid w:val="009851AF"/>
    <w:rsid w:val="009851FD"/>
    <w:rsid w:val="0098527A"/>
    <w:rsid w:val="009852CD"/>
    <w:rsid w:val="00985305"/>
    <w:rsid w:val="0098532E"/>
    <w:rsid w:val="00985531"/>
    <w:rsid w:val="009855BB"/>
    <w:rsid w:val="009855DC"/>
    <w:rsid w:val="009855EC"/>
    <w:rsid w:val="00985689"/>
    <w:rsid w:val="0098571F"/>
    <w:rsid w:val="00985785"/>
    <w:rsid w:val="0098578F"/>
    <w:rsid w:val="009858B8"/>
    <w:rsid w:val="009858E6"/>
    <w:rsid w:val="00985903"/>
    <w:rsid w:val="00985907"/>
    <w:rsid w:val="00985969"/>
    <w:rsid w:val="0098598B"/>
    <w:rsid w:val="00985A2B"/>
    <w:rsid w:val="00985A4E"/>
    <w:rsid w:val="00985AB0"/>
    <w:rsid w:val="00985ADB"/>
    <w:rsid w:val="00985AE4"/>
    <w:rsid w:val="00985AE7"/>
    <w:rsid w:val="00985C95"/>
    <w:rsid w:val="00985CF6"/>
    <w:rsid w:val="00985D05"/>
    <w:rsid w:val="00985D1C"/>
    <w:rsid w:val="00985D25"/>
    <w:rsid w:val="00985D65"/>
    <w:rsid w:val="00985DC3"/>
    <w:rsid w:val="00985E07"/>
    <w:rsid w:val="00985E0D"/>
    <w:rsid w:val="00985E13"/>
    <w:rsid w:val="00985E28"/>
    <w:rsid w:val="00985F2F"/>
    <w:rsid w:val="00985FA7"/>
    <w:rsid w:val="0098611D"/>
    <w:rsid w:val="009861F2"/>
    <w:rsid w:val="0098620E"/>
    <w:rsid w:val="00986223"/>
    <w:rsid w:val="009862B0"/>
    <w:rsid w:val="009862DC"/>
    <w:rsid w:val="009862F4"/>
    <w:rsid w:val="009863FE"/>
    <w:rsid w:val="00986434"/>
    <w:rsid w:val="00986487"/>
    <w:rsid w:val="00986593"/>
    <w:rsid w:val="009865BE"/>
    <w:rsid w:val="009865D2"/>
    <w:rsid w:val="0098666A"/>
    <w:rsid w:val="009866A7"/>
    <w:rsid w:val="009866F8"/>
    <w:rsid w:val="009866FC"/>
    <w:rsid w:val="00986762"/>
    <w:rsid w:val="009867FC"/>
    <w:rsid w:val="00986800"/>
    <w:rsid w:val="00986859"/>
    <w:rsid w:val="009868A3"/>
    <w:rsid w:val="009868D4"/>
    <w:rsid w:val="009868EA"/>
    <w:rsid w:val="009869D2"/>
    <w:rsid w:val="009869D9"/>
    <w:rsid w:val="009869F4"/>
    <w:rsid w:val="00986A10"/>
    <w:rsid w:val="00986A13"/>
    <w:rsid w:val="00986A2E"/>
    <w:rsid w:val="00986A38"/>
    <w:rsid w:val="00986A5A"/>
    <w:rsid w:val="00986B6B"/>
    <w:rsid w:val="00986BAD"/>
    <w:rsid w:val="00986BC3"/>
    <w:rsid w:val="00986BE0"/>
    <w:rsid w:val="00986CC4"/>
    <w:rsid w:val="00986D46"/>
    <w:rsid w:val="00986E20"/>
    <w:rsid w:val="00986ECD"/>
    <w:rsid w:val="00986F05"/>
    <w:rsid w:val="00986F8F"/>
    <w:rsid w:val="0098702B"/>
    <w:rsid w:val="009870C6"/>
    <w:rsid w:val="009870ED"/>
    <w:rsid w:val="009872B6"/>
    <w:rsid w:val="009872D8"/>
    <w:rsid w:val="009872FC"/>
    <w:rsid w:val="009873B1"/>
    <w:rsid w:val="009874CB"/>
    <w:rsid w:val="0098754A"/>
    <w:rsid w:val="00987615"/>
    <w:rsid w:val="00987634"/>
    <w:rsid w:val="009876BE"/>
    <w:rsid w:val="009876F8"/>
    <w:rsid w:val="00987734"/>
    <w:rsid w:val="0098787C"/>
    <w:rsid w:val="00987956"/>
    <w:rsid w:val="00987973"/>
    <w:rsid w:val="009879F7"/>
    <w:rsid w:val="00987ADA"/>
    <w:rsid w:val="00987B70"/>
    <w:rsid w:val="00987BEA"/>
    <w:rsid w:val="00987BEB"/>
    <w:rsid w:val="00987CB1"/>
    <w:rsid w:val="00987D71"/>
    <w:rsid w:val="00987DE1"/>
    <w:rsid w:val="00987E1F"/>
    <w:rsid w:val="00987E3A"/>
    <w:rsid w:val="00987E6E"/>
    <w:rsid w:val="00987E89"/>
    <w:rsid w:val="00987EB8"/>
    <w:rsid w:val="00987F3C"/>
    <w:rsid w:val="00987F69"/>
    <w:rsid w:val="00987FE3"/>
    <w:rsid w:val="00990000"/>
    <w:rsid w:val="0099010A"/>
    <w:rsid w:val="0099014E"/>
    <w:rsid w:val="009901C8"/>
    <w:rsid w:val="00990238"/>
    <w:rsid w:val="00990248"/>
    <w:rsid w:val="00990282"/>
    <w:rsid w:val="00990366"/>
    <w:rsid w:val="009903B1"/>
    <w:rsid w:val="009904BA"/>
    <w:rsid w:val="0099050E"/>
    <w:rsid w:val="00990516"/>
    <w:rsid w:val="00990546"/>
    <w:rsid w:val="00990549"/>
    <w:rsid w:val="00990597"/>
    <w:rsid w:val="00990634"/>
    <w:rsid w:val="00990648"/>
    <w:rsid w:val="00990686"/>
    <w:rsid w:val="00990695"/>
    <w:rsid w:val="009906F9"/>
    <w:rsid w:val="00990761"/>
    <w:rsid w:val="0099079A"/>
    <w:rsid w:val="0099079E"/>
    <w:rsid w:val="009907FD"/>
    <w:rsid w:val="00990847"/>
    <w:rsid w:val="00990924"/>
    <w:rsid w:val="00990925"/>
    <w:rsid w:val="00990A58"/>
    <w:rsid w:val="00990A97"/>
    <w:rsid w:val="00990B86"/>
    <w:rsid w:val="00990C1B"/>
    <w:rsid w:val="00990C5F"/>
    <w:rsid w:val="00990C96"/>
    <w:rsid w:val="00990CAC"/>
    <w:rsid w:val="00990CE5"/>
    <w:rsid w:val="00990D14"/>
    <w:rsid w:val="00990D30"/>
    <w:rsid w:val="00990E48"/>
    <w:rsid w:val="00990E51"/>
    <w:rsid w:val="00990E8D"/>
    <w:rsid w:val="00990E9E"/>
    <w:rsid w:val="00990EC3"/>
    <w:rsid w:val="00990EC7"/>
    <w:rsid w:val="00990EF1"/>
    <w:rsid w:val="0099109F"/>
    <w:rsid w:val="00991285"/>
    <w:rsid w:val="009912D3"/>
    <w:rsid w:val="009912D5"/>
    <w:rsid w:val="00991306"/>
    <w:rsid w:val="0099130E"/>
    <w:rsid w:val="00991313"/>
    <w:rsid w:val="00991414"/>
    <w:rsid w:val="009914C2"/>
    <w:rsid w:val="009915DC"/>
    <w:rsid w:val="009915EE"/>
    <w:rsid w:val="00991784"/>
    <w:rsid w:val="00991860"/>
    <w:rsid w:val="0099187B"/>
    <w:rsid w:val="009918F4"/>
    <w:rsid w:val="00991954"/>
    <w:rsid w:val="009919A6"/>
    <w:rsid w:val="009919CC"/>
    <w:rsid w:val="00991A0F"/>
    <w:rsid w:val="00991A26"/>
    <w:rsid w:val="00991A7F"/>
    <w:rsid w:val="00991B0F"/>
    <w:rsid w:val="00991BEB"/>
    <w:rsid w:val="00991C2D"/>
    <w:rsid w:val="00991C88"/>
    <w:rsid w:val="00991CA9"/>
    <w:rsid w:val="00991CE9"/>
    <w:rsid w:val="00991D23"/>
    <w:rsid w:val="00991EC7"/>
    <w:rsid w:val="00991EEB"/>
    <w:rsid w:val="00991F5D"/>
    <w:rsid w:val="00991F85"/>
    <w:rsid w:val="00991FBC"/>
    <w:rsid w:val="00991FEB"/>
    <w:rsid w:val="00991FEE"/>
    <w:rsid w:val="00992018"/>
    <w:rsid w:val="0099201F"/>
    <w:rsid w:val="009920E8"/>
    <w:rsid w:val="009920FC"/>
    <w:rsid w:val="0099212B"/>
    <w:rsid w:val="009921CC"/>
    <w:rsid w:val="009921E2"/>
    <w:rsid w:val="00992214"/>
    <w:rsid w:val="00992312"/>
    <w:rsid w:val="00992339"/>
    <w:rsid w:val="009923A3"/>
    <w:rsid w:val="00992421"/>
    <w:rsid w:val="00992428"/>
    <w:rsid w:val="0099244C"/>
    <w:rsid w:val="0099250A"/>
    <w:rsid w:val="00992524"/>
    <w:rsid w:val="00992546"/>
    <w:rsid w:val="0099259D"/>
    <w:rsid w:val="009925AE"/>
    <w:rsid w:val="009925D5"/>
    <w:rsid w:val="009925EA"/>
    <w:rsid w:val="0099260D"/>
    <w:rsid w:val="00992620"/>
    <w:rsid w:val="0099277D"/>
    <w:rsid w:val="009927B5"/>
    <w:rsid w:val="00992800"/>
    <w:rsid w:val="0099284C"/>
    <w:rsid w:val="00992863"/>
    <w:rsid w:val="009928FC"/>
    <w:rsid w:val="00992956"/>
    <w:rsid w:val="009929A6"/>
    <w:rsid w:val="00992A00"/>
    <w:rsid w:val="00992AA7"/>
    <w:rsid w:val="00992ACE"/>
    <w:rsid w:val="00992B6B"/>
    <w:rsid w:val="00992B85"/>
    <w:rsid w:val="00992BA1"/>
    <w:rsid w:val="00992BEA"/>
    <w:rsid w:val="00992C3D"/>
    <w:rsid w:val="00992C6D"/>
    <w:rsid w:val="00992D68"/>
    <w:rsid w:val="00992DB9"/>
    <w:rsid w:val="00992DD5"/>
    <w:rsid w:val="00992DF5"/>
    <w:rsid w:val="00992E0D"/>
    <w:rsid w:val="00992E4D"/>
    <w:rsid w:val="00992E5C"/>
    <w:rsid w:val="00992EEC"/>
    <w:rsid w:val="00992F2E"/>
    <w:rsid w:val="00992F73"/>
    <w:rsid w:val="00992FC8"/>
    <w:rsid w:val="00993018"/>
    <w:rsid w:val="00993041"/>
    <w:rsid w:val="00993060"/>
    <w:rsid w:val="00993099"/>
    <w:rsid w:val="00993226"/>
    <w:rsid w:val="009932B2"/>
    <w:rsid w:val="00993304"/>
    <w:rsid w:val="00993331"/>
    <w:rsid w:val="0099337A"/>
    <w:rsid w:val="009933A9"/>
    <w:rsid w:val="009933FB"/>
    <w:rsid w:val="0099340A"/>
    <w:rsid w:val="00993447"/>
    <w:rsid w:val="0099347B"/>
    <w:rsid w:val="009935A4"/>
    <w:rsid w:val="009935C2"/>
    <w:rsid w:val="009935D8"/>
    <w:rsid w:val="009936E3"/>
    <w:rsid w:val="00993710"/>
    <w:rsid w:val="00993788"/>
    <w:rsid w:val="009937FC"/>
    <w:rsid w:val="0099388F"/>
    <w:rsid w:val="00993890"/>
    <w:rsid w:val="00993A94"/>
    <w:rsid w:val="00993B01"/>
    <w:rsid w:val="00993BD1"/>
    <w:rsid w:val="00993BE3"/>
    <w:rsid w:val="00993BEF"/>
    <w:rsid w:val="00993C0D"/>
    <w:rsid w:val="00993C4B"/>
    <w:rsid w:val="00993CBD"/>
    <w:rsid w:val="00993CD9"/>
    <w:rsid w:val="00993D03"/>
    <w:rsid w:val="00993D27"/>
    <w:rsid w:val="00993D49"/>
    <w:rsid w:val="00993D9C"/>
    <w:rsid w:val="00993DDD"/>
    <w:rsid w:val="00993E53"/>
    <w:rsid w:val="00993E65"/>
    <w:rsid w:val="00993EA8"/>
    <w:rsid w:val="00993F81"/>
    <w:rsid w:val="00994027"/>
    <w:rsid w:val="00994091"/>
    <w:rsid w:val="0099412C"/>
    <w:rsid w:val="0099413D"/>
    <w:rsid w:val="00994281"/>
    <w:rsid w:val="0099428E"/>
    <w:rsid w:val="00994378"/>
    <w:rsid w:val="0099437C"/>
    <w:rsid w:val="009943AA"/>
    <w:rsid w:val="00994463"/>
    <w:rsid w:val="00994465"/>
    <w:rsid w:val="00994499"/>
    <w:rsid w:val="0099453D"/>
    <w:rsid w:val="00994556"/>
    <w:rsid w:val="009945B2"/>
    <w:rsid w:val="00994663"/>
    <w:rsid w:val="00994685"/>
    <w:rsid w:val="009946A2"/>
    <w:rsid w:val="009947B0"/>
    <w:rsid w:val="009947BB"/>
    <w:rsid w:val="009947DA"/>
    <w:rsid w:val="009947F1"/>
    <w:rsid w:val="00994811"/>
    <w:rsid w:val="009948B7"/>
    <w:rsid w:val="00994904"/>
    <w:rsid w:val="0099496A"/>
    <w:rsid w:val="0099497E"/>
    <w:rsid w:val="009949B2"/>
    <w:rsid w:val="009949FE"/>
    <w:rsid w:val="00994A83"/>
    <w:rsid w:val="00994B2C"/>
    <w:rsid w:val="00994B65"/>
    <w:rsid w:val="00994B8D"/>
    <w:rsid w:val="00994B92"/>
    <w:rsid w:val="00994BA8"/>
    <w:rsid w:val="00994BC7"/>
    <w:rsid w:val="00994BCA"/>
    <w:rsid w:val="00994CC6"/>
    <w:rsid w:val="00994D1A"/>
    <w:rsid w:val="00994D28"/>
    <w:rsid w:val="00994D3F"/>
    <w:rsid w:val="00994D4D"/>
    <w:rsid w:val="00994DFD"/>
    <w:rsid w:val="00994E20"/>
    <w:rsid w:val="00994E4C"/>
    <w:rsid w:val="00994F7E"/>
    <w:rsid w:val="0099501B"/>
    <w:rsid w:val="0099509D"/>
    <w:rsid w:val="009950F9"/>
    <w:rsid w:val="009952E2"/>
    <w:rsid w:val="00995318"/>
    <w:rsid w:val="0099539C"/>
    <w:rsid w:val="00995535"/>
    <w:rsid w:val="00995588"/>
    <w:rsid w:val="009955A6"/>
    <w:rsid w:val="0099566A"/>
    <w:rsid w:val="0099567E"/>
    <w:rsid w:val="009956D5"/>
    <w:rsid w:val="00995710"/>
    <w:rsid w:val="00995741"/>
    <w:rsid w:val="009957B5"/>
    <w:rsid w:val="009957E5"/>
    <w:rsid w:val="0099586F"/>
    <w:rsid w:val="0099592F"/>
    <w:rsid w:val="0099597F"/>
    <w:rsid w:val="00995B8A"/>
    <w:rsid w:val="00995BBF"/>
    <w:rsid w:val="00995C4D"/>
    <w:rsid w:val="00995CBA"/>
    <w:rsid w:val="00995CFE"/>
    <w:rsid w:val="00995D69"/>
    <w:rsid w:val="00995DB6"/>
    <w:rsid w:val="00995DCE"/>
    <w:rsid w:val="00995E1F"/>
    <w:rsid w:val="00995E31"/>
    <w:rsid w:val="00995E36"/>
    <w:rsid w:val="00995E84"/>
    <w:rsid w:val="00995EB8"/>
    <w:rsid w:val="00995F8D"/>
    <w:rsid w:val="00995FDA"/>
    <w:rsid w:val="00996009"/>
    <w:rsid w:val="00996086"/>
    <w:rsid w:val="009961DF"/>
    <w:rsid w:val="00996290"/>
    <w:rsid w:val="009962C5"/>
    <w:rsid w:val="009962CE"/>
    <w:rsid w:val="0099636C"/>
    <w:rsid w:val="00996398"/>
    <w:rsid w:val="00996484"/>
    <w:rsid w:val="009964FE"/>
    <w:rsid w:val="00996549"/>
    <w:rsid w:val="009965AF"/>
    <w:rsid w:val="009965E3"/>
    <w:rsid w:val="00996730"/>
    <w:rsid w:val="0099676C"/>
    <w:rsid w:val="009967A2"/>
    <w:rsid w:val="009968FA"/>
    <w:rsid w:val="00996938"/>
    <w:rsid w:val="009969BB"/>
    <w:rsid w:val="00996A51"/>
    <w:rsid w:val="00996B0B"/>
    <w:rsid w:val="00996BCF"/>
    <w:rsid w:val="00996C2D"/>
    <w:rsid w:val="00996C58"/>
    <w:rsid w:val="00996C90"/>
    <w:rsid w:val="00996CC1"/>
    <w:rsid w:val="00996CD9"/>
    <w:rsid w:val="00996D05"/>
    <w:rsid w:val="00996E28"/>
    <w:rsid w:val="00996E46"/>
    <w:rsid w:val="00996E73"/>
    <w:rsid w:val="00996E74"/>
    <w:rsid w:val="00996EA9"/>
    <w:rsid w:val="00996F0C"/>
    <w:rsid w:val="00997028"/>
    <w:rsid w:val="009971F1"/>
    <w:rsid w:val="0099720A"/>
    <w:rsid w:val="00997287"/>
    <w:rsid w:val="009972A6"/>
    <w:rsid w:val="009972BD"/>
    <w:rsid w:val="00997338"/>
    <w:rsid w:val="00997387"/>
    <w:rsid w:val="00997491"/>
    <w:rsid w:val="00997527"/>
    <w:rsid w:val="009975D0"/>
    <w:rsid w:val="009975D8"/>
    <w:rsid w:val="00997646"/>
    <w:rsid w:val="00997680"/>
    <w:rsid w:val="009976C6"/>
    <w:rsid w:val="00997740"/>
    <w:rsid w:val="0099777C"/>
    <w:rsid w:val="00997840"/>
    <w:rsid w:val="00997853"/>
    <w:rsid w:val="0099787D"/>
    <w:rsid w:val="00997896"/>
    <w:rsid w:val="00997898"/>
    <w:rsid w:val="009978DB"/>
    <w:rsid w:val="00997952"/>
    <w:rsid w:val="00997975"/>
    <w:rsid w:val="00997A94"/>
    <w:rsid w:val="00997AD5"/>
    <w:rsid w:val="00997B2E"/>
    <w:rsid w:val="00997B72"/>
    <w:rsid w:val="00997BDA"/>
    <w:rsid w:val="00997CEA"/>
    <w:rsid w:val="00997D51"/>
    <w:rsid w:val="00997D59"/>
    <w:rsid w:val="00997DE9"/>
    <w:rsid w:val="00997DFC"/>
    <w:rsid w:val="00997E45"/>
    <w:rsid w:val="00997E60"/>
    <w:rsid w:val="009A028A"/>
    <w:rsid w:val="009A02CC"/>
    <w:rsid w:val="009A02DD"/>
    <w:rsid w:val="009A0357"/>
    <w:rsid w:val="009A0370"/>
    <w:rsid w:val="009A0492"/>
    <w:rsid w:val="009A04FB"/>
    <w:rsid w:val="009A0563"/>
    <w:rsid w:val="009A0583"/>
    <w:rsid w:val="009A0585"/>
    <w:rsid w:val="009A05BB"/>
    <w:rsid w:val="009A061A"/>
    <w:rsid w:val="009A0621"/>
    <w:rsid w:val="009A0631"/>
    <w:rsid w:val="009A06A8"/>
    <w:rsid w:val="009A06DC"/>
    <w:rsid w:val="009A072F"/>
    <w:rsid w:val="009A0749"/>
    <w:rsid w:val="009A079B"/>
    <w:rsid w:val="009A07E2"/>
    <w:rsid w:val="009A0849"/>
    <w:rsid w:val="009A0875"/>
    <w:rsid w:val="009A0904"/>
    <w:rsid w:val="009A096D"/>
    <w:rsid w:val="009A096F"/>
    <w:rsid w:val="009A0A1E"/>
    <w:rsid w:val="009A0A82"/>
    <w:rsid w:val="009A0A86"/>
    <w:rsid w:val="009A0A91"/>
    <w:rsid w:val="009A0ACC"/>
    <w:rsid w:val="009A0ADA"/>
    <w:rsid w:val="009A0AFC"/>
    <w:rsid w:val="009A0B62"/>
    <w:rsid w:val="009A0B65"/>
    <w:rsid w:val="009A0B8C"/>
    <w:rsid w:val="009A0BBE"/>
    <w:rsid w:val="009A0BC9"/>
    <w:rsid w:val="009A0C3A"/>
    <w:rsid w:val="009A0C45"/>
    <w:rsid w:val="009A0CDA"/>
    <w:rsid w:val="009A0D60"/>
    <w:rsid w:val="009A0D85"/>
    <w:rsid w:val="009A0D8A"/>
    <w:rsid w:val="009A0DB5"/>
    <w:rsid w:val="009A0ED0"/>
    <w:rsid w:val="009A0ED4"/>
    <w:rsid w:val="009A0EE6"/>
    <w:rsid w:val="009A0F62"/>
    <w:rsid w:val="009A0F76"/>
    <w:rsid w:val="009A0F9E"/>
    <w:rsid w:val="009A0FBB"/>
    <w:rsid w:val="009A0FC7"/>
    <w:rsid w:val="009A1074"/>
    <w:rsid w:val="009A10A8"/>
    <w:rsid w:val="009A10C4"/>
    <w:rsid w:val="009A115B"/>
    <w:rsid w:val="009A1253"/>
    <w:rsid w:val="009A1287"/>
    <w:rsid w:val="009A12E8"/>
    <w:rsid w:val="009A134E"/>
    <w:rsid w:val="009A137D"/>
    <w:rsid w:val="009A139A"/>
    <w:rsid w:val="009A14ED"/>
    <w:rsid w:val="009A1605"/>
    <w:rsid w:val="009A160B"/>
    <w:rsid w:val="009A1691"/>
    <w:rsid w:val="009A16A6"/>
    <w:rsid w:val="009A16BC"/>
    <w:rsid w:val="009A1761"/>
    <w:rsid w:val="009A17A3"/>
    <w:rsid w:val="009A18A9"/>
    <w:rsid w:val="009A18C5"/>
    <w:rsid w:val="009A18FD"/>
    <w:rsid w:val="009A1909"/>
    <w:rsid w:val="009A192A"/>
    <w:rsid w:val="009A1A40"/>
    <w:rsid w:val="009A1A7B"/>
    <w:rsid w:val="009A1A97"/>
    <w:rsid w:val="009A1AB3"/>
    <w:rsid w:val="009A1C04"/>
    <w:rsid w:val="009A1C95"/>
    <w:rsid w:val="009A1CB6"/>
    <w:rsid w:val="009A1CC3"/>
    <w:rsid w:val="009A1D1A"/>
    <w:rsid w:val="009A1D80"/>
    <w:rsid w:val="009A1F02"/>
    <w:rsid w:val="009A1F2F"/>
    <w:rsid w:val="009A2006"/>
    <w:rsid w:val="009A205C"/>
    <w:rsid w:val="009A2107"/>
    <w:rsid w:val="009A2167"/>
    <w:rsid w:val="009A21BC"/>
    <w:rsid w:val="009A2211"/>
    <w:rsid w:val="009A2228"/>
    <w:rsid w:val="009A2244"/>
    <w:rsid w:val="009A2273"/>
    <w:rsid w:val="009A22D5"/>
    <w:rsid w:val="009A22E3"/>
    <w:rsid w:val="009A2353"/>
    <w:rsid w:val="009A235C"/>
    <w:rsid w:val="009A2381"/>
    <w:rsid w:val="009A23A0"/>
    <w:rsid w:val="009A23AE"/>
    <w:rsid w:val="009A23E9"/>
    <w:rsid w:val="009A24D7"/>
    <w:rsid w:val="009A256C"/>
    <w:rsid w:val="009A26CC"/>
    <w:rsid w:val="009A2740"/>
    <w:rsid w:val="009A282F"/>
    <w:rsid w:val="009A2843"/>
    <w:rsid w:val="009A284A"/>
    <w:rsid w:val="009A28CD"/>
    <w:rsid w:val="009A292A"/>
    <w:rsid w:val="009A2934"/>
    <w:rsid w:val="009A2939"/>
    <w:rsid w:val="009A2940"/>
    <w:rsid w:val="009A296E"/>
    <w:rsid w:val="009A2986"/>
    <w:rsid w:val="009A2A7C"/>
    <w:rsid w:val="009A2B32"/>
    <w:rsid w:val="009A2B44"/>
    <w:rsid w:val="009A2BE0"/>
    <w:rsid w:val="009A2C24"/>
    <w:rsid w:val="009A2D27"/>
    <w:rsid w:val="009A2D69"/>
    <w:rsid w:val="009A2D90"/>
    <w:rsid w:val="009A2D92"/>
    <w:rsid w:val="009A2EFC"/>
    <w:rsid w:val="009A2F21"/>
    <w:rsid w:val="009A2F35"/>
    <w:rsid w:val="009A2F49"/>
    <w:rsid w:val="009A2FA8"/>
    <w:rsid w:val="009A303A"/>
    <w:rsid w:val="009A3075"/>
    <w:rsid w:val="009A3091"/>
    <w:rsid w:val="009A3093"/>
    <w:rsid w:val="009A309C"/>
    <w:rsid w:val="009A30C1"/>
    <w:rsid w:val="009A3148"/>
    <w:rsid w:val="009A3187"/>
    <w:rsid w:val="009A3237"/>
    <w:rsid w:val="009A32A5"/>
    <w:rsid w:val="009A32F9"/>
    <w:rsid w:val="009A338A"/>
    <w:rsid w:val="009A339B"/>
    <w:rsid w:val="009A33D2"/>
    <w:rsid w:val="009A3473"/>
    <w:rsid w:val="009A34E9"/>
    <w:rsid w:val="009A3509"/>
    <w:rsid w:val="009A3582"/>
    <w:rsid w:val="009A3588"/>
    <w:rsid w:val="009A35A0"/>
    <w:rsid w:val="009A35F8"/>
    <w:rsid w:val="009A35FC"/>
    <w:rsid w:val="009A36B7"/>
    <w:rsid w:val="009A36D9"/>
    <w:rsid w:val="009A36E4"/>
    <w:rsid w:val="009A3744"/>
    <w:rsid w:val="009A386B"/>
    <w:rsid w:val="009A3880"/>
    <w:rsid w:val="009A38A9"/>
    <w:rsid w:val="009A38CE"/>
    <w:rsid w:val="009A3930"/>
    <w:rsid w:val="009A393F"/>
    <w:rsid w:val="009A397D"/>
    <w:rsid w:val="009A399D"/>
    <w:rsid w:val="009A3A04"/>
    <w:rsid w:val="009A3ACA"/>
    <w:rsid w:val="009A3AE2"/>
    <w:rsid w:val="009A3AFB"/>
    <w:rsid w:val="009A3B32"/>
    <w:rsid w:val="009A3BC0"/>
    <w:rsid w:val="009A3C9E"/>
    <w:rsid w:val="009A3CBF"/>
    <w:rsid w:val="009A3CE6"/>
    <w:rsid w:val="009A3DBB"/>
    <w:rsid w:val="009A3EA2"/>
    <w:rsid w:val="009A3FB4"/>
    <w:rsid w:val="009A400C"/>
    <w:rsid w:val="009A4073"/>
    <w:rsid w:val="009A40B8"/>
    <w:rsid w:val="009A4169"/>
    <w:rsid w:val="009A416E"/>
    <w:rsid w:val="009A41F3"/>
    <w:rsid w:val="009A41FB"/>
    <w:rsid w:val="009A4261"/>
    <w:rsid w:val="009A4307"/>
    <w:rsid w:val="009A4351"/>
    <w:rsid w:val="009A4357"/>
    <w:rsid w:val="009A4378"/>
    <w:rsid w:val="009A4413"/>
    <w:rsid w:val="009A444F"/>
    <w:rsid w:val="009A4451"/>
    <w:rsid w:val="009A44A7"/>
    <w:rsid w:val="009A4569"/>
    <w:rsid w:val="009A4599"/>
    <w:rsid w:val="009A45E2"/>
    <w:rsid w:val="009A4648"/>
    <w:rsid w:val="009A465E"/>
    <w:rsid w:val="009A46B1"/>
    <w:rsid w:val="009A475E"/>
    <w:rsid w:val="009A479B"/>
    <w:rsid w:val="009A47C9"/>
    <w:rsid w:val="009A47CB"/>
    <w:rsid w:val="009A47E9"/>
    <w:rsid w:val="009A481C"/>
    <w:rsid w:val="009A4842"/>
    <w:rsid w:val="009A4853"/>
    <w:rsid w:val="009A4882"/>
    <w:rsid w:val="009A493B"/>
    <w:rsid w:val="009A49A3"/>
    <w:rsid w:val="009A4A7A"/>
    <w:rsid w:val="009A4AB8"/>
    <w:rsid w:val="009A4BAE"/>
    <w:rsid w:val="009A4C4E"/>
    <w:rsid w:val="009A4CAC"/>
    <w:rsid w:val="009A4CD9"/>
    <w:rsid w:val="009A4DFD"/>
    <w:rsid w:val="009A4E0A"/>
    <w:rsid w:val="009A4E10"/>
    <w:rsid w:val="009A4E40"/>
    <w:rsid w:val="009A4F3D"/>
    <w:rsid w:val="009A4F6E"/>
    <w:rsid w:val="009A4F90"/>
    <w:rsid w:val="009A502E"/>
    <w:rsid w:val="009A50DA"/>
    <w:rsid w:val="009A5173"/>
    <w:rsid w:val="009A51D7"/>
    <w:rsid w:val="009A5202"/>
    <w:rsid w:val="009A523A"/>
    <w:rsid w:val="009A5289"/>
    <w:rsid w:val="009A52B1"/>
    <w:rsid w:val="009A549C"/>
    <w:rsid w:val="009A555D"/>
    <w:rsid w:val="009A5578"/>
    <w:rsid w:val="009A5598"/>
    <w:rsid w:val="009A55D4"/>
    <w:rsid w:val="009A5649"/>
    <w:rsid w:val="009A569E"/>
    <w:rsid w:val="009A56CF"/>
    <w:rsid w:val="009A56FD"/>
    <w:rsid w:val="009A571A"/>
    <w:rsid w:val="009A574D"/>
    <w:rsid w:val="009A57D8"/>
    <w:rsid w:val="009A57EE"/>
    <w:rsid w:val="009A58A8"/>
    <w:rsid w:val="009A58C7"/>
    <w:rsid w:val="009A5A52"/>
    <w:rsid w:val="009A5A83"/>
    <w:rsid w:val="009A5A97"/>
    <w:rsid w:val="009A5A98"/>
    <w:rsid w:val="009A5AB4"/>
    <w:rsid w:val="009A5AD5"/>
    <w:rsid w:val="009A5ADE"/>
    <w:rsid w:val="009A5CB1"/>
    <w:rsid w:val="009A5CF1"/>
    <w:rsid w:val="009A5DC9"/>
    <w:rsid w:val="009A5E5B"/>
    <w:rsid w:val="009A5EB9"/>
    <w:rsid w:val="009A5EFB"/>
    <w:rsid w:val="009A5F2F"/>
    <w:rsid w:val="009A5FAD"/>
    <w:rsid w:val="009A5FFF"/>
    <w:rsid w:val="009A601C"/>
    <w:rsid w:val="009A612A"/>
    <w:rsid w:val="009A6254"/>
    <w:rsid w:val="009A6296"/>
    <w:rsid w:val="009A62C1"/>
    <w:rsid w:val="009A62C3"/>
    <w:rsid w:val="009A6344"/>
    <w:rsid w:val="009A63F4"/>
    <w:rsid w:val="009A63FC"/>
    <w:rsid w:val="009A641A"/>
    <w:rsid w:val="009A6420"/>
    <w:rsid w:val="009A64CD"/>
    <w:rsid w:val="009A64F8"/>
    <w:rsid w:val="009A6636"/>
    <w:rsid w:val="009A66B8"/>
    <w:rsid w:val="009A6749"/>
    <w:rsid w:val="009A676B"/>
    <w:rsid w:val="009A680F"/>
    <w:rsid w:val="009A68CD"/>
    <w:rsid w:val="009A68E5"/>
    <w:rsid w:val="009A68F6"/>
    <w:rsid w:val="009A6A07"/>
    <w:rsid w:val="009A6A24"/>
    <w:rsid w:val="009A6A2B"/>
    <w:rsid w:val="009A6A5F"/>
    <w:rsid w:val="009A6AA2"/>
    <w:rsid w:val="009A6B85"/>
    <w:rsid w:val="009A6BBF"/>
    <w:rsid w:val="009A6CA3"/>
    <w:rsid w:val="009A6CB3"/>
    <w:rsid w:val="009A6D06"/>
    <w:rsid w:val="009A6D0C"/>
    <w:rsid w:val="009A6D51"/>
    <w:rsid w:val="009A6D67"/>
    <w:rsid w:val="009A6DA1"/>
    <w:rsid w:val="009A6DB0"/>
    <w:rsid w:val="009A6E4D"/>
    <w:rsid w:val="009A6EDC"/>
    <w:rsid w:val="009A6F8E"/>
    <w:rsid w:val="009A7080"/>
    <w:rsid w:val="009A70A1"/>
    <w:rsid w:val="009A70FF"/>
    <w:rsid w:val="009A712A"/>
    <w:rsid w:val="009A7308"/>
    <w:rsid w:val="009A731A"/>
    <w:rsid w:val="009A7333"/>
    <w:rsid w:val="009A734E"/>
    <w:rsid w:val="009A7372"/>
    <w:rsid w:val="009A7383"/>
    <w:rsid w:val="009A743B"/>
    <w:rsid w:val="009A7455"/>
    <w:rsid w:val="009A7484"/>
    <w:rsid w:val="009A7784"/>
    <w:rsid w:val="009A77A9"/>
    <w:rsid w:val="009A781C"/>
    <w:rsid w:val="009A78D2"/>
    <w:rsid w:val="009A791A"/>
    <w:rsid w:val="009A799D"/>
    <w:rsid w:val="009A79FF"/>
    <w:rsid w:val="009A7A63"/>
    <w:rsid w:val="009A7AB2"/>
    <w:rsid w:val="009A7AFB"/>
    <w:rsid w:val="009A7B1E"/>
    <w:rsid w:val="009A7C91"/>
    <w:rsid w:val="009A7CD7"/>
    <w:rsid w:val="009A7D79"/>
    <w:rsid w:val="009A7DA5"/>
    <w:rsid w:val="009A7E00"/>
    <w:rsid w:val="009A7ED7"/>
    <w:rsid w:val="009A7F84"/>
    <w:rsid w:val="009A7F8A"/>
    <w:rsid w:val="009A7FB7"/>
    <w:rsid w:val="009B0069"/>
    <w:rsid w:val="009B0099"/>
    <w:rsid w:val="009B00BD"/>
    <w:rsid w:val="009B00FD"/>
    <w:rsid w:val="009B0105"/>
    <w:rsid w:val="009B01A3"/>
    <w:rsid w:val="009B01B8"/>
    <w:rsid w:val="009B01C9"/>
    <w:rsid w:val="009B01FE"/>
    <w:rsid w:val="009B021C"/>
    <w:rsid w:val="009B02AD"/>
    <w:rsid w:val="009B02E1"/>
    <w:rsid w:val="009B02EA"/>
    <w:rsid w:val="009B02FF"/>
    <w:rsid w:val="009B031C"/>
    <w:rsid w:val="009B0332"/>
    <w:rsid w:val="009B0399"/>
    <w:rsid w:val="009B03F0"/>
    <w:rsid w:val="009B0433"/>
    <w:rsid w:val="009B0467"/>
    <w:rsid w:val="009B0472"/>
    <w:rsid w:val="009B04E4"/>
    <w:rsid w:val="009B0526"/>
    <w:rsid w:val="009B0555"/>
    <w:rsid w:val="009B055C"/>
    <w:rsid w:val="009B05D2"/>
    <w:rsid w:val="009B05DF"/>
    <w:rsid w:val="009B0625"/>
    <w:rsid w:val="009B06B8"/>
    <w:rsid w:val="009B06CB"/>
    <w:rsid w:val="009B0754"/>
    <w:rsid w:val="009B07D2"/>
    <w:rsid w:val="009B081B"/>
    <w:rsid w:val="009B0872"/>
    <w:rsid w:val="009B087D"/>
    <w:rsid w:val="009B088B"/>
    <w:rsid w:val="009B0899"/>
    <w:rsid w:val="009B0962"/>
    <w:rsid w:val="009B09E1"/>
    <w:rsid w:val="009B09E7"/>
    <w:rsid w:val="009B09F1"/>
    <w:rsid w:val="009B0A38"/>
    <w:rsid w:val="009B0AA3"/>
    <w:rsid w:val="009B0AD8"/>
    <w:rsid w:val="009B0AEA"/>
    <w:rsid w:val="009B0B08"/>
    <w:rsid w:val="009B0B22"/>
    <w:rsid w:val="009B0BC7"/>
    <w:rsid w:val="009B0BD9"/>
    <w:rsid w:val="009B0CC0"/>
    <w:rsid w:val="009B0CE4"/>
    <w:rsid w:val="009B0D2D"/>
    <w:rsid w:val="009B0DD1"/>
    <w:rsid w:val="009B0E0F"/>
    <w:rsid w:val="009B0E35"/>
    <w:rsid w:val="009B0EA1"/>
    <w:rsid w:val="009B0EE6"/>
    <w:rsid w:val="009B0F91"/>
    <w:rsid w:val="009B0F99"/>
    <w:rsid w:val="009B0FD1"/>
    <w:rsid w:val="009B0FE7"/>
    <w:rsid w:val="009B10C9"/>
    <w:rsid w:val="009B11DB"/>
    <w:rsid w:val="009B1267"/>
    <w:rsid w:val="009B127F"/>
    <w:rsid w:val="009B1281"/>
    <w:rsid w:val="009B12C8"/>
    <w:rsid w:val="009B12E6"/>
    <w:rsid w:val="009B12E7"/>
    <w:rsid w:val="009B134A"/>
    <w:rsid w:val="009B1499"/>
    <w:rsid w:val="009B1514"/>
    <w:rsid w:val="009B157F"/>
    <w:rsid w:val="009B1583"/>
    <w:rsid w:val="009B1592"/>
    <w:rsid w:val="009B1685"/>
    <w:rsid w:val="009B16C8"/>
    <w:rsid w:val="009B1721"/>
    <w:rsid w:val="009B172C"/>
    <w:rsid w:val="009B1751"/>
    <w:rsid w:val="009B175C"/>
    <w:rsid w:val="009B1760"/>
    <w:rsid w:val="009B176B"/>
    <w:rsid w:val="009B177D"/>
    <w:rsid w:val="009B17B4"/>
    <w:rsid w:val="009B17F2"/>
    <w:rsid w:val="009B17F6"/>
    <w:rsid w:val="009B185B"/>
    <w:rsid w:val="009B187E"/>
    <w:rsid w:val="009B189A"/>
    <w:rsid w:val="009B191E"/>
    <w:rsid w:val="009B1941"/>
    <w:rsid w:val="009B19B1"/>
    <w:rsid w:val="009B1BD3"/>
    <w:rsid w:val="009B1C17"/>
    <w:rsid w:val="009B1C33"/>
    <w:rsid w:val="009B1C84"/>
    <w:rsid w:val="009B1C9B"/>
    <w:rsid w:val="009B1CB3"/>
    <w:rsid w:val="009B1DB0"/>
    <w:rsid w:val="009B1DC7"/>
    <w:rsid w:val="009B1DFA"/>
    <w:rsid w:val="009B1E98"/>
    <w:rsid w:val="009B1E9A"/>
    <w:rsid w:val="009B1EDD"/>
    <w:rsid w:val="009B1EE8"/>
    <w:rsid w:val="009B1F12"/>
    <w:rsid w:val="009B1F3F"/>
    <w:rsid w:val="009B2010"/>
    <w:rsid w:val="009B208C"/>
    <w:rsid w:val="009B20BA"/>
    <w:rsid w:val="009B20C9"/>
    <w:rsid w:val="009B20D4"/>
    <w:rsid w:val="009B20DF"/>
    <w:rsid w:val="009B213E"/>
    <w:rsid w:val="009B218F"/>
    <w:rsid w:val="009B21A0"/>
    <w:rsid w:val="009B21C4"/>
    <w:rsid w:val="009B21EE"/>
    <w:rsid w:val="009B21F6"/>
    <w:rsid w:val="009B21FE"/>
    <w:rsid w:val="009B21FF"/>
    <w:rsid w:val="009B228A"/>
    <w:rsid w:val="009B2322"/>
    <w:rsid w:val="009B2373"/>
    <w:rsid w:val="009B237B"/>
    <w:rsid w:val="009B2417"/>
    <w:rsid w:val="009B248A"/>
    <w:rsid w:val="009B2565"/>
    <w:rsid w:val="009B257B"/>
    <w:rsid w:val="009B2580"/>
    <w:rsid w:val="009B25A3"/>
    <w:rsid w:val="009B25A5"/>
    <w:rsid w:val="009B25C3"/>
    <w:rsid w:val="009B25FE"/>
    <w:rsid w:val="009B2677"/>
    <w:rsid w:val="009B2774"/>
    <w:rsid w:val="009B2863"/>
    <w:rsid w:val="009B2868"/>
    <w:rsid w:val="009B295A"/>
    <w:rsid w:val="009B2981"/>
    <w:rsid w:val="009B2989"/>
    <w:rsid w:val="009B29A6"/>
    <w:rsid w:val="009B29B0"/>
    <w:rsid w:val="009B29B6"/>
    <w:rsid w:val="009B2A47"/>
    <w:rsid w:val="009B2AA6"/>
    <w:rsid w:val="009B2AFA"/>
    <w:rsid w:val="009B2B7F"/>
    <w:rsid w:val="009B2B9D"/>
    <w:rsid w:val="009B2BE8"/>
    <w:rsid w:val="009B2BF0"/>
    <w:rsid w:val="009B2C19"/>
    <w:rsid w:val="009B2C3A"/>
    <w:rsid w:val="009B2CB9"/>
    <w:rsid w:val="009B2CCF"/>
    <w:rsid w:val="009B2D29"/>
    <w:rsid w:val="009B2E16"/>
    <w:rsid w:val="009B2E5B"/>
    <w:rsid w:val="009B2E90"/>
    <w:rsid w:val="009B2F03"/>
    <w:rsid w:val="009B2F20"/>
    <w:rsid w:val="009B2F4B"/>
    <w:rsid w:val="009B2F9D"/>
    <w:rsid w:val="009B2FDF"/>
    <w:rsid w:val="009B2FE1"/>
    <w:rsid w:val="009B3082"/>
    <w:rsid w:val="009B30A0"/>
    <w:rsid w:val="009B313B"/>
    <w:rsid w:val="009B3145"/>
    <w:rsid w:val="009B31C5"/>
    <w:rsid w:val="009B31CB"/>
    <w:rsid w:val="009B326B"/>
    <w:rsid w:val="009B32E5"/>
    <w:rsid w:val="009B33B8"/>
    <w:rsid w:val="009B3418"/>
    <w:rsid w:val="009B3471"/>
    <w:rsid w:val="009B3503"/>
    <w:rsid w:val="009B355F"/>
    <w:rsid w:val="009B3588"/>
    <w:rsid w:val="009B365E"/>
    <w:rsid w:val="009B370A"/>
    <w:rsid w:val="009B3711"/>
    <w:rsid w:val="009B3736"/>
    <w:rsid w:val="009B381B"/>
    <w:rsid w:val="009B3848"/>
    <w:rsid w:val="009B38A0"/>
    <w:rsid w:val="009B38B7"/>
    <w:rsid w:val="009B3912"/>
    <w:rsid w:val="009B3A84"/>
    <w:rsid w:val="009B3A98"/>
    <w:rsid w:val="009B3AAA"/>
    <w:rsid w:val="009B3AD8"/>
    <w:rsid w:val="009B3B67"/>
    <w:rsid w:val="009B3BDD"/>
    <w:rsid w:val="009B3C35"/>
    <w:rsid w:val="009B3C5E"/>
    <w:rsid w:val="009B3CA1"/>
    <w:rsid w:val="009B3CB4"/>
    <w:rsid w:val="009B3D3C"/>
    <w:rsid w:val="009B3DA2"/>
    <w:rsid w:val="009B3E4E"/>
    <w:rsid w:val="009B3EA6"/>
    <w:rsid w:val="009B3F4E"/>
    <w:rsid w:val="009B3F61"/>
    <w:rsid w:val="009B3F94"/>
    <w:rsid w:val="009B3F98"/>
    <w:rsid w:val="009B407A"/>
    <w:rsid w:val="009B4081"/>
    <w:rsid w:val="009B409C"/>
    <w:rsid w:val="009B40A0"/>
    <w:rsid w:val="009B40CC"/>
    <w:rsid w:val="009B41B2"/>
    <w:rsid w:val="009B4224"/>
    <w:rsid w:val="009B428C"/>
    <w:rsid w:val="009B42A4"/>
    <w:rsid w:val="009B42A6"/>
    <w:rsid w:val="009B4380"/>
    <w:rsid w:val="009B443A"/>
    <w:rsid w:val="009B44C9"/>
    <w:rsid w:val="009B454A"/>
    <w:rsid w:val="009B45E5"/>
    <w:rsid w:val="009B45EA"/>
    <w:rsid w:val="009B4604"/>
    <w:rsid w:val="009B4621"/>
    <w:rsid w:val="009B466E"/>
    <w:rsid w:val="009B46F3"/>
    <w:rsid w:val="009B4737"/>
    <w:rsid w:val="009B4780"/>
    <w:rsid w:val="009B47D2"/>
    <w:rsid w:val="009B484F"/>
    <w:rsid w:val="009B487F"/>
    <w:rsid w:val="009B4896"/>
    <w:rsid w:val="009B4928"/>
    <w:rsid w:val="009B492B"/>
    <w:rsid w:val="009B4956"/>
    <w:rsid w:val="009B498A"/>
    <w:rsid w:val="009B499C"/>
    <w:rsid w:val="009B49A2"/>
    <w:rsid w:val="009B4AFB"/>
    <w:rsid w:val="009B4BDC"/>
    <w:rsid w:val="009B4C24"/>
    <w:rsid w:val="009B4D19"/>
    <w:rsid w:val="009B4D38"/>
    <w:rsid w:val="009B4E1B"/>
    <w:rsid w:val="009B4F11"/>
    <w:rsid w:val="009B4F72"/>
    <w:rsid w:val="009B4F86"/>
    <w:rsid w:val="009B4FD5"/>
    <w:rsid w:val="009B4FEA"/>
    <w:rsid w:val="009B5010"/>
    <w:rsid w:val="009B5089"/>
    <w:rsid w:val="009B514E"/>
    <w:rsid w:val="009B51BF"/>
    <w:rsid w:val="009B51D0"/>
    <w:rsid w:val="009B51E4"/>
    <w:rsid w:val="009B5242"/>
    <w:rsid w:val="009B5267"/>
    <w:rsid w:val="009B529F"/>
    <w:rsid w:val="009B52DA"/>
    <w:rsid w:val="009B535F"/>
    <w:rsid w:val="009B5397"/>
    <w:rsid w:val="009B5416"/>
    <w:rsid w:val="009B5599"/>
    <w:rsid w:val="009B55CD"/>
    <w:rsid w:val="009B55E4"/>
    <w:rsid w:val="009B5602"/>
    <w:rsid w:val="009B5669"/>
    <w:rsid w:val="009B56A7"/>
    <w:rsid w:val="009B5721"/>
    <w:rsid w:val="009B5736"/>
    <w:rsid w:val="009B5760"/>
    <w:rsid w:val="009B5802"/>
    <w:rsid w:val="009B5830"/>
    <w:rsid w:val="009B58B3"/>
    <w:rsid w:val="009B5928"/>
    <w:rsid w:val="009B59A7"/>
    <w:rsid w:val="009B59E3"/>
    <w:rsid w:val="009B5A8F"/>
    <w:rsid w:val="009B5AD1"/>
    <w:rsid w:val="009B5AEA"/>
    <w:rsid w:val="009B5B3D"/>
    <w:rsid w:val="009B5B4C"/>
    <w:rsid w:val="009B5C57"/>
    <w:rsid w:val="009B5C83"/>
    <w:rsid w:val="009B5DD8"/>
    <w:rsid w:val="009B5E01"/>
    <w:rsid w:val="009B5E0A"/>
    <w:rsid w:val="009B5E62"/>
    <w:rsid w:val="009B5E7E"/>
    <w:rsid w:val="009B5E91"/>
    <w:rsid w:val="009B6003"/>
    <w:rsid w:val="009B6019"/>
    <w:rsid w:val="009B604C"/>
    <w:rsid w:val="009B6060"/>
    <w:rsid w:val="009B60B6"/>
    <w:rsid w:val="009B6140"/>
    <w:rsid w:val="009B6144"/>
    <w:rsid w:val="009B61FD"/>
    <w:rsid w:val="009B6293"/>
    <w:rsid w:val="009B6351"/>
    <w:rsid w:val="009B638F"/>
    <w:rsid w:val="009B644B"/>
    <w:rsid w:val="009B645D"/>
    <w:rsid w:val="009B6628"/>
    <w:rsid w:val="009B6670"/>
    <w:rsid w:val="009B6674"/>
    <w:rsid w:val="009B66C3"/>
    <w:rsid w:val="009B6704"/>
    <w:rsid w:val="009B6749"/>
    <w:rsid w:val="009B67C0"/>
    <w:rsid w:val="009B67FE"/>
    <w:rsid w:val="009B6852"/>
    <w:rsid w:val="009B68BB"/>
    <w:rsid w:val="009B6935"/>
    <w:rsid w:val="009B6937"/>
    <w:rsid w:val="009B6A15"/>
    <w:rsid w:val="009B6A6B"/>
    <w:rsid w:val="009B6AE3"/>
    <w:rsid w:val="009B6AE8"/>
    <w:rsid w:val="009B6B68"/>
    <w:rsid w:val="009B6BC1"/>
    <w:rsid w:val="009B6BFD"/>
    <w:rsid w:val="009B6C96"/>
    <w:rsid w:val="009B6CC6"/>
    <w:rsid w:val="009B6E2A"/>
    <w:rsid w:val="009B6E2B"/>
    <w:rsid w:val="009B6FC1"/>
    <w:rsid w:val="009B700E"/>
    <w:rsid w:val="009B7151"/>
    <w:rsid w:val="009B7239"/>
    <w:rsid w:val="009B7287"/>
    <w:rsid w:val="009B72A1"/>
    <w:rsid w:val="009B72CE"/>
    <w:rsid w:val="009B7382"/>
    <w:rsid w:val="009B73DE"/>
    <w:rsid w:val="009B7466"/>
    <w:rsid w:val="009B74C9"/>
    <w:rsid w:val="009B761B"/>
    <w:rsid w:val="009B765F"/>
    <w:rsid w:val="009B7661"/>
    <w:rsid w:val="009B773D"/>
    <w:rsid w:val="009B7753"/>
    <w:rsid w:val="009B78A3"/>
    <w:rsid w:val="009B791D"/>
    <w:rsid w:val="009B7983"/>
    <w:rsid w:val="009B79AB"/>
    <w:rsid w:val="009B79BB"/>
    <w:rsid w:val="009B7A53"/>
    <w:rsid w:val="009B7A6E"/>
    <w:rsid w:val="009B7A9F"/>
    <w:rsid w:val="009B7AB3"/>
    <w:rsid w:val="009B7AB9"/>
    <w:rsid w:val="009B7B2C"/>
    <w:rsid w:val="009B7B69"/>
    <w:rsid w:val="009B7D1B"/>
    <w:rsid w:val="009B7D44"/>
    <w:rsid w:val="009B7E08"/>
    <w:rsid w:val="009B7E37"/>
    <w:rsid w:val="009B7E4D"/>
    <w:rsid w:val="009B7E99"/>
    <w:rsid w:val="009B7EB4"/>
    <w:rsid w:val="009B7ED1"/>
    <w:rsid w:val="009B7F38"/>
    <w:rsid w:val="009B7F65"/>
    <w:rsid w:val="009B7F7B"/>
    <w:rsid w:val="009B7FB2"/>
    <w:rsid w:val="009B7FFA"/>
    <w:rsid w:val="009B7FFC"/>
    <w:rsid w:val="009C00C6"/>
    <w:rsid w:val="009C0105"/>
    <w:rsid w:val="009C0119"/>
    <w:rsid w:val="009C0151"/>
    <w:rsid w:val="009C0154"/>
    <w:rsid w:val="009C0171"/>
    <w:rsid w:val="009C018D"/>
    <w:rsid w:val="009C028B"/>
    <w:rsid w:val="009C0346"/>
    <w:rsid w:val="009C03AA"/>
    <w:rsid w:val="009C03CE"/>
    <w:rsid w:val="009C03EA"/>
    <w:rsid w:val="009C0522"/>
    <w:rsid w:val="009C053A"/>
    <w:rsid w:val="009C05FA"/>
    <w:rsid w:val="009C0619"/>
    <w:rsid w:val="009C06D8"/>
    <w:rsid w:val="009C06E0"/>
    <w:rsid w:val="009C06ED"/>
    <w:rsid w:val="009C0724"/>
    <w:rsid w:val="009C0734"/>
    <w:rsid w:val="009C0758"/>
    <w:rsid w:val="009C079C"/>
    <w:rsid w:val="009C0828"/>
    <w:rsid w:val="009C082D"/>
    <w:rsid w:val="009C08D6"/>
    <w:rsid w:val="009C0970"/>
    <w:rsid w:val="009C0977"/>
    <w:rsid w:val="009C099C"/>
    <w:rsid w:val="009C09D1"/>
    <w:rsid w:val="009C0A22"/>
    <w:rsid w:val="009C0ABA"/>
    <w:rsid w:val="009C0ABE"/>
    <w:rsid w:val="009C0B00"/>
    <w:rsid w:val="009C0B4A"/>
    <w:rsid w:val="009C0B56"/>
    <w:rsid w:val="009C0BDF"/>
    <w:rsid w:val="009C0C1E"/>
    <w:rsid w:val="009C0C7C"/>
    <w:rsid w:val="009C0C84"/>
    <w:rsid w:val="009C0D73"/>
    <w:rsid w:val="009C0D85"/>
    <w:rsid w:val="009C0D8F"/>
    <w:rsid w:val="009C0D98"/>
    <w:rsid w:val="009C0DA7"/>
    <w:rsid w:val="009C0DBC"/>
    <w:rsid w:val="009C0DC5"/>
    <w:rsid w:val="009C0DD6"/>
    <w:rsid w:val="009C0E71"/>
    <w:rsid w:val="009C0EB6"/>
    <w:rsid w:val="009C0F46"/>
    <w:rsid w:val="009C0F54"/>
    <w:rsid w:val="009C100B"/>
    <w:rsid w:val="009C1032"/>
    <w:rsid w:val="009C10E3"/>
    <w:rsid w:val="009C10F1"/>
    <w:rsid w:val="009C1160"/>
    <w:rsid w:val="009C117B"/>
    <w:rsid w:val="009C11D4"/>
    <w:rsid w:val="009C11F8"/>
    <w:rsid w:val="009C1221"/>
    <w:rsid w:val="009C1264"/>
    <w:rsid w:val="009C1360"/>
    <w:rsid w:val="009C1415"/>
    <w:rsid w:val="009C15E6"/>
    <w:rsid w:val="009C1648"/>
    <w:rsid w:val="009C1674"/>
    <w:rsid w:val="009C1695"/>
    <w:rsid w:val="009C1737"/>
    <w:rsid w:val="009C177B"/>
    <w:rsid w:val="009C17EB"/>
    <w:rsid w:val="009C187D"/>
    <w:rsid w:val="009C19F3"/>
    <w:rsid w:val="009C1A61"/>
    <w:rsid w:val="009C1A97"/>
    <w:rsid w:val="009C1B14"/>
    <w:rsid w:val="009C1B5F"/>
    <w:rsid w:val="009C1C0A"/>
    <w:rsid w:val="009C1D38"/>
    <w:rsid w:val="009C1D66"/>
    <w:rsid w:val="009C1DC7"/>
    <w:rsid w:val="009C1E24"/>
    <w:rsid w:val="009C1E41"/>
    <w:rsid w:val="009C1EC5"/>
    <w:rsid w:val="009C1EF4"/>
    <w:rsid w:val="009C1F61"/>
    <w:rsid w:val="009C1F72"/>
    <w:rsid w:val="009C1FE0"/>
    <w:rsid w:val="009C2036"/>
    <w:rsid w:val="009C206B"/>
    <w:rsid w:val="009C2080"/>
    <w:rsid w:val="009C21DE"/>
    <w:rsid w:val="009C2258"/>
    <w:rsid w:val="009C225B"/>
    <w:rsid w:val="009C2267"/>
    <w:rsid w:val="009C22B9"/>
    <w:rsid w:val="009C22C2"/>
    <w:rsid w:val="009C22C3"/>
    <w:rsid w:val="009C2395"/>
    <w:rsid w:val="009C23CD"/>
    <w:rsid w:val="009C23D9"/>
    <w:rsid w:val="009C23E0"/>
    <w:rsid w:val="009C23EB"/>
    <w:rsid w:val="009C2447"/>
    <w:rsid w:val="009C2518"/>
    <w:rsid w:val="009C2588"/>
    <w:rsid w:val="009C2625"/>
    <w:rsid w:val="009C2718"/>
    <w:rsid w:val="009C2726"/>
    <w:rsid w:val="009C275E"/>
    <w:rsid w:val="009C27B1"/>
    <w:rsid w:val="009C27BA"/>
    <w:rsid w:val="009C2828"/>
    <w:rsid w:val="009C285E"/>
    <w:rsid w:val="009C288C"/>
    <w:rsid w:val="009C28B6"/>
    <w:rsid w:val="009C28E0"/>
    <w:rsid w:val="009C2957"/>
    <w:rsid w:val="009C2978"/>
    <w:rsid w:val="009C297E"/>
    <w:rsid w:val="009C2985"/>
    <w:rsid w:val="009C298A"/>
    <w:rsid w:val="009C2994"/>
    <w:rsid w:val="009C29CC"/>
    <w:rsid w:val="009C29D5"/>
    <w:rsid w:val="009C2A53"/>
    <w:rsid w:val="009C2CD9"/>
    <w:rsid w:val="009C2DAE"/>
    <w:rsid w:val="009C2DC6"/>
    <w:rsid w:val="009C2E56"/>
    <w:rsid w:val="009C2EB9"/>
    <w:rsid w:val="009C2EED"/>
    <w:rsid w:val="009C2F27"/>
    <w:rsid w:val="009C2F7C"/>
    <w:rsid w:val="009C3163"/>
    <w:rsid w:val="009C3185"/>
    <w:rsid w:val="009C31DC"/>
    <w:rsid w:val="009C3203"/>
    <w:rsid w:val="009C3220"/>
    <w:rsid w:val="009C3330"/>
    <w:rsid w:val="009C3373"/>
    <w:rsid w:val="009C338E"/>
    <w:rsid w:val="009C339C"/>
    <w:rsid w:val="009C344D"/>
    <w:rsid w:val="009C347F"/>
    <w:rsid w:val="009C34A7"/>
    <w:rsid w:val="009C34FD"/>
    <w:rsid w:val="009C3575"/>
    <w:rsid w:val="009C35EA"/>
    <w:rsid w:val="009C363A"/>
    <w:rsid w:val="009C36C8"/>
    <w:rsid w:val="009C36CF"/>
    <w:rsid w:val="009C3700"/>
    <w:rsid w:val="009C3790"/>
    <w:rsid w:val="009C37A7"/>
    <w:rsid w:val="009C37C8"/>
    <w:rsid w:val="009C38DA"/>
    <w:rsid w:val="009C38DC"/>
    <w:rsid w:val="009C3992"/>
    <w:rsid w:val="009C3996"/>
    <w:rsid w:val="009C39CD"/>
    <w:rsid w:val="009C3A0E"/>
    <w:rsid w:val="009C3A44"/>
    <w:rsid w:val="009C3A4C"/>
    <w:rsid w:val="009C3B35"/>
    <w:rsid w:val="009C3B3D"/>
    <w:rsid w:val="009C3BD2"/>
    <w:rsid w:val="009C3C77"/>
    <w:rsid w:val="009C3D30"/>
    <w:rsid w:val="009C3D95"/>
    <w:rsid w:val="009C3DF0"/>
    <w:rsid w:val="009C3E30"/>
    <w:rsid w:val="009C3F14"/>
    <w:rsid w:val="009C3F1A"/>
    <w:rsid w:val="009C3F66"/>
    <w:rsid w:val="009C4010"/>
    <w:rsid w:val="009C4014"/>
    <w:rsid w:val="009C40CC"/>
    <w:rsid w:val="009C40E0"/>
    <w:rsid w:val="009C40F2"/>
    <w:rsid w:val="009C40FD"/>
    <w:rsid w:val="009C416D"/>
    <w:rsid w:val="009C4191"/>
    <w:rsid w:val="009C41AA"/>
    <w:rsid w:val="009C4247"/>
    <w:rsid w:val="009C426F"/>
    <w:rsid w:val="009C427F"/>
    <w:rsid w:val="009C428B"/>
    <w:rsid w:val="009C42E0"/>
    <w:rsid w:val="009C430A"/>
    <w:rsid w:val="009C436C"/>
    <w:rsid w:val="009C43DE"/>
    <w:rsid w:val="009C444F"/>
    <w:rsid w:val="009C44A4"/>
    <w:rsid w:val="009C44B7"/>
    <w:rsid w:val="009C45D2"/>
    <w:rsid w:val="009C46C1"/>
    <w:rsid w:val="009C4718"/>
    <w:rsid w:val="009C48C7"/>
    <w:rsid w:val="009C490A"/>
    <w:rsid w:val="009C4942"/>
    <w:rsid w:val="009C4A11"/>
    <w:rsid w:val="009C4A39"/>
    <w:rsid w:val="009C4A3D"/>
    <w:rsid w:val="009C4AF7"/>
    <w:rsid w:val="009C4BAF"/>
    <w:rsid w:val="009C4D97"/>
    <w:rsid w:val="009C4D9C"/>
    <w:rsid w:val="009C4DB8"/>
    <w:rsid w:val="009C4E21"/>
    <w:rsid w:val="009C4E69"/>
    <w:rsid w:val="009C4E7C"/>
    <w:rsid w:val="009C4EA6"/>
    <w:rsid w:val="009C4ECC"/>
    <w:rsid w:val="009C4F93"/>
    <w:rsid w:val="009C4FE8"/>
    <w:rsid w:val="009C502D"/>
    <w:rsid w:val="009C5088"/>
    <w:rsid w:val="009C5131"/>
    <w:rsid w:val="009C5145"/>
    <w:rsid w:val="009C51E7"/>
    <w:rsid w:val="009C524B"/>
    <w:rsid w:val="009C524D"/>
    <w:rsid w:val="009C525A"/>
    <w:rsid w:val="009C5276"/>
    <w:rsid w:val="009C52B4"/>
    <w:rsid w:val="009C5307"/>
    <w:rsid w:val="009C5428"/>
    <w:rsid w:val="009C54C2"/>
    <w:rsid w:val="009C5539"/>
    <w:rsid w:val="009C558A"/>
    <w:rsid w:val="009C5662"/>
    <w:rsid w:val="009C5681"/>
    <w:rsid w:val="009C56AB"/>
    <w:rsid w:val="009C56D3"/>
    <w:rsid w:val="009C56E2"/>
    <w:rsid w:val="009C572F"/>
    <w:rsid w:val="009C5758"/>
    <w:rsid w:val="009C57CD"/>
    <w:rsid w:val="009C57FE"/>
    <w:rsid w:val="009C58D2"/>
    <w:rsid w:val="009C59C0"/>
    <w:rsid w:val="009C5A56"/>
    <w:rsid w:val="009C5AE3"/>
    <w:rsid w:val="009C5AF9"/>
    <w:rsid w:val="009C5B4E"/>
    <w:rsid w:val="009C5BB9"/>
    <w:rsid w:val="009C5C18"/>
    <w:rsid w:val="009C5C2D"/>
    <w:rsid w:val="009C5C6A"/>
    <w:rsid w:val="009C5D2C"/>
    <w:rsid w:val="009C5D34"/>
    <w:rsid w:val="009C5D47"/>
    <w:rsid w:val="009C5DC1"/>
    <w:rsid w:val="009C5DEF"/>
    <w:rsid w:val="009C5E42"/>
    <w:rsid w:val="009C5E47"/>
    <w:rsid w:val="009C5E5A"/>
    <w:rsid w:val="009C5E6B"/>
    <w:rsid w:val="009C60B6"/>
    <w:rsid w:val="009C6151"/>
    <w:rsid w:val="009C6237"/>
    <w:rsid w:val="009C6291"/>
    <w:rsid w:val="009C62AD"/>
    <w:rsid w:val="009C62DE"/>
    <w:rsid w:val="009C632E"/>
    <w:rsid w:val="009C63FB"/>
    <w:rsid w:val="009C6412"/>
    <w:rsid w:val="009C64DC"/>
    <w:rsid w:val="009C651A"/>
    <w:rsid w:val="009C6538"/>
    <w:rsid w:val="009C65B4"/>
    <w:rsid w:val="009C66E0"/>
    <w:rsid w:val="009C66EB"/>
    <w:rsid w:val="009C6816"/>
    <w:rsid w:val="009C6854"/>
    <w:rsid w:val="009C686B"/>
    <w:rsid w:val="009C68E7"/>
    <w:rsid w:val="009C6907"/>
    <w:rsid w:val="009C691B"/>
    <w:rsid w:val="009C697C"/>
    <w:rsid w:val="009C6A6F"/>
    <w:rsid w:val="009C6AFB"/>
    <w:rsid w:val="009C6B06"/>
    <w:rsid w:val="009C6C3D"/>
    <w:rsid w:val="009C6C5D"/>
    <w:rsid w:val="009C6C9C"/>
    <w:rsid w:val="009C6D68"/>
    <w:rsid w:val="009C6D7E"/>
    <w:rsid w:val="009C6DA4"/>
    <w:rsid w:val="009C6E6E"/>
    <w:rsid w:val="009C6E98"/>
    <w:rsid w:val="009C6EAB"/>
    <w:rsid w:val="009C6F18"/>
    <w:rsid w:val="009C6F4F"/>
    <w:rsid w:val="009C6F54"/>
    <w:rsid w:val="009C7060"/>
    <w:rsid w:val="009C70FA"/>
    <w:rsid w:val="009C7196"/>
    <w:rsid w:val="009C71AC"/>
    <w:rsid w:val="009C72D8"/>
    <w:rsid w:val="009C7345"/>
    <w:rsid w:val="009C739D"/>
    <w:rsid w:val="009C73E9"/>
    <w:rsid w:val="009C754F"/>
    <w:rsid w:val="009C7579"/>
    <w:rsid w:val="009C75CE"/>
    <w:rsid w:val="009C7611"/>
    <w:rsid w:val="009C7696"/>
    <w:rsid w:val="009C7728"/>
    <w:rsid w:val="009C7751"/>
    <w:rsid w:val="009C7790"/>
    <w:rsid w:val="009C77C7"/>
    <w:rsid w:val="009C7804"/>
    <w:rsid w:val="009C7898"/>
    <w:rsid w:val="009C7A2C"/>
    <w:rsid w:val="009C7A8E"/>
    <w:rsid w:val="009C7A91"/>
    <w:rsid w:val="009C7B50"/>
    <w:rsid w:val="009C7B53"/>
    <w:rsid w:val="009C7CB4"/>
    <w:rsid w:val="009C7CF3"/>
    <w:rsid w:val="009C7D08"/>
    <w:rsid w:val="009C7D0A"/>
    <w:rsid w:val="009C7D81"/>
    <w:rsid w:val="009C7D90"/>
    <w:rsid w:val="009C7D94"/>
    <w:rsid w:val="009C7DD0"/>
    <w:rsid w:val="009C7E57"/>
    <w:rsid w:val="009C7E5F"/>
    <w:rsid w:val="009C7EFC"/>
    <w:rsid w:val="009C7F2E"/>
    <w:rsid w:val="009C7FC0"/>
    <w:rsid w:val="009D0037"/>
    <w:rsid w:val="009D0046"/>
    <w:rsid w:val="009D0076"/>
    <w:rsid w:val="009D00CE"/>
    <w:rsid w:val="009D0169"/>
    <w:rsid w:val="009D01F8"/>
    <w:rsid w:val="009D0203"/>
    <w:rsid w:val="009D02ED"/>
    <w:rsid w:val="009D02FE"/>
    <w:rsid w:val="009D0331"/>
    <w:rsid w:val="009D0366"/>
    <w:rsid w:val="009D03DD"/>
    <w:rsid w:val="009D0416"/>
    <w:rsid w:val="009D041A"/>
    <w:rsid w:val="009D0453"/>
    <w:rsid w:val="009D049F"/>
    <w:rsid w:val="009D054A"/>
    <w:rsid w:val="009D055A"/>
    <w:rsid w:val="009D059A"/>
    <w:rsid w:val="009D05B0"/>
    <w:rsid w:val="009D05D9"/>
    <w:rsid w:val="009D05FD"/>
    <w:rsid w:val="009D0619"/>
    <w:rsid w:val="009D063F"/>
    <w:rsid w:val="009D0684"/>
    <w:rsid w:val="009D06AE"/>
    <w:rsid w:val="009D075B"/>
    <w:rsid w:val="009D076A"/>
    <w:rsid w:val="009D0790"/>
    <w:rsid w:val="009D0794"/>
    <w:rsid w:val="009D0836"/>
    <w:rsid w:val="009D086B"/>
    <w:rsid w:val="009D0B40"/>
    <w:rsid w:val="009D0B9B"/>
    <w:rsid w:val="009D0B9F"/>
    <w:rsid w:val="009D0C37"/>
    <w:rsid w:val="009D0CAA"/>
    <w:rsid w:val="009D0CF7"/>
    <w:rsid w:val="009D0D65"/>
    <w:rsid w:val="009D0E65"/>
    <w:rsid w:val="009D0E96"/>
    <w:rsid w:val="009D0EAE"/>
    <w:rsid w:val="009D0EBC"/>
    <w:rsid w:val="009D0F00"/>
    <w:rsid w:val="009D0F1B"/>
    <w:rsid w:val="009D0F28"/>
    <w:rsid w:val="009D0F64"/>
    <w:rsid w:val="009D0FAE"/>
    <w:rsid w:val="009D1114"/>
    <w:rsid w:val="009D117F"/>
    <w:rsid w:val="009D12FB"/>
    <w:rsid w:val="009D14C9"/>
    <w:rsid w:val="009D14E9"/>
    <w:rsid w:val="009D1539"/>
    <w:rsid w:val="009D15BA"/>
    <w:rsid w:val="009D1618"/>
    <w:rsid w:val="009D1630"/>
    <w:rsid w:val="009D164F"/>
    <w:rsid w:val="009D1697"/>
    <w:rsid w:val="009D16D4"/>
    <w:rsid w:val="009D16DE"/>
    <w:rsid w:val="009D173B"/>
    <w:rsid w:val="009D1756"/>
    <w:rsid w:val="009D179B"/>
    <w:rsid w:val="009D1857"/>
    <w:rsid w:val="009D188C"/>
    <w:rsid w:val="009D188E"/>
    <w:rsid w:val="009D18BB"/>
    <w:rsid w:val="009D18D0"/>
    <w:rsid w:val="009D194A"/>
    <w:rsid w:val="009D19E7"/>
    <w:rsid w:val="009D1A56"/>
    <w:rsid w:val="009D1A64"/>
    <w:rsid w:val="009D1ACE"/>
    <w:rsid w:val="009D1B03"/>
    <w:rsid w:val="009D1B50"/>
    <w:rsid w:val="009D1B97"/>
    <w:rsid w:val="009D1BCC"/>
    <w:rsid w:val="009D1BD1"/>
    <w:rsid w:val="009D1C31"/>
    <w:rsid w:val="009D1C84"/>
    <w:rsid w:val="009D1C8A"/>
    <w:rsid w:val="009D1CA6"/>
    <w:rsid w:val="009D1D1A"/>
    <w:rsid w:val="009D1D9A"/>
    <w:rsid w:val="009D1DC1"/>
    <w:rsid w:val="009D1DC4"/>
    <w:rsid w:val="009D1DF0"/>
    <w:rsid w:val="009D1E70"/>
    <w:rsid w:val="009D1E77"/>
    <w:rsid w:val="009D1E99"/>
    <w:rsid w:val="009D1F7E"/>
    <w:rsid w:val="009D1F9F"/>
    <w:rsid w:val="009D202C"/>
    <w:rsid w:val="009D204E"/>
    <w:rsid w:val="009D2052"/>
    <w:rsid w:val="009D2096"/>
    <w:rsid w:val="009D2165"/>
    <w:rsid w:val="009D2231"/>
    <w:rsid w:val="009D22C2"/>
    <w:rsid w:val="009D22C6"/>
    <w:rsid w:val="009D2380"/>
    <w:rsid w:val="009D238E"/>
    <w:rsid w:val="009D23CC"/>
    <w:rsid w:val="009D23DF"/>
    <w:rsid w:val="009D2477"/>
    <w:rsid w:val="009D24F2"/>
    <w:rsid w:val="009D25DB"/>
    <w:rsid w:val="009D25DC"/>
    <w:rsid w:val="009D2643"/>
    <w:rsid w:val="009D275B"/>
    <w:rsid w:val="009D278A"/>
    <w:rsid w:val="009D27A0"/>
    <w:rsid w:val="009D2822"/>
    <w:rsid w:val="009D28DB"/>
    <w:rsid w:val="009D2939"/>
    <w:rsid w:val="009D29CE"/>
    <w:rsid w:val="009D29D8"/>
    <w:rsid w:val="009D2A21"/>
    <w:rsid w:val="009D2A73"/>
    <w:rsid w:val="009D2A77"/>
    <w:rsid w:val="009D2ACE"/>
    <w:rsid w:val="009D2B65"/>
    <w:rsid w:val="009D2B71"/>
    <w:rsid w:val="009D2BCB"/>
    <w:rsid w:val="009D2BD2"/>
    <w:rsid w:val="009D2C10"/>
    <w:rsid w:val="009D2C2E"/>
    <w:rsid w:val="009D2C30"/>
    <w:rsid w:val="009D2C4D"/>
    <w:rsid w:val="009D2CA5"/>
    <w:rsid w:val="009D2CA8"/>
    <w:rsid w:val="009D2CFA"/>
    <w:rsid w:val="009D2D2F"/>
    <w:rsid w:val="009D2D48"/>
    <w:rsid w:val="009D2D67"/>
    <w:rsid w:val="009D2D79"/>
    <w:rsid w:val="009D2EFE"/>
    <w:rsid w:val="009D2F90"/>
    <w:rsid w:val="009D2FA1"/>
    <w:rsid w:val="009D2FC2"/>
    <w:rsid w:val="009D2FD2"/>
    <w:rsid w:val="009D30B4"/>
    <w:rsid w:val="009D312E"/>
    <w:rsid w:val="009D31BE"/>
    <w:rsid w:val="009D3204"/>
    <w:rsid w:val="009D3241"/>
    <w:rsid w:val="009D32BC"/>
    <w:rsid w:val="009D32E2"/>
    <w:rsid w:val="009D330F"/>
    <w:rsid w:val="009D342D"/>
    <w:rsid w:val="009D3520"/>
    <w:rsid w:val="009D3538"/>
    <w:rsid w:val="009D3592"/>
    <w:rsid w:val="009D359B"/>
    <w:rsid w:val="009D362A"/>
    <w:rsid w:val="009D3664"/>
    <w:rsid w:val="009D3703"/>
    <w:rsid w:val="009D370C"/>
    <w:rsid w:val="009D3723"/>
    <w:rsid w:val="009D3795"/>
    <w:rsid w:val="009D37D5"/>
    <w:rsid w:val="009D3817"/>
    <w:rsid w:val="009D3844"/>
    <w:rsid w:val="009D387C"/>
    <w:rsid w:val="009D38BC"/>
    <w:rsid w:val="009D38F5"/>
    <w:rsid w:val="009D38FC"/>
    <w:rsid w:val="009D394B"/>
    <w:rsid w:val="009D395A"/>
    <w:rsid w:val="009D399C"/>
    <w:rsid w:val="009D39EB"/>
    <w:rsid w:val="009D3A7B"/>
    <w:rsid w:val="009D3A96"/>
    <w:rsid w:val="009D3AAC"/>
    <w:rsid w:val="009D3BB3"/>
    <w:rsid w:val="009D3BEE"/>
    <w:rsid w:val="009D3C01"/>
    <w:rsid w:val="009D3C37"/>
    <w:rsid w:val="009D3C38"/>
    <w:rsid w:val="009D3C39"/>
    <w:rsid w:val="009D3CBF"/>
    <w:rsid w:val="009D3D45"/>
    <w:rsid w:val="009D3DC7"/>
    <w:rsid w:val="009D3E3D"/>
    <w:rsid w:val="009D3E5B"/>
    <w:rsid w:val="009D3E5E"/>
    <w:rsid w:val="009D3F27"/>
    <w:rsid w:val="009D3F6F"/>
    <w:rsid w:val="009D3F9D"/>
    <w:rsid w:val="009D400C"/>
    <w:rsid w:val="009D4058"/>
    <w:rsid w:val="009D405E"/>
    <w:rsid w:val="009D4085"/>
    <w:rsid w:val="009D40B2"/>
    <w:rsid w:val="009D4104"/>
    <w:rsid w:val="009D41B5"/>
    <w:rsid w:val="009D422F"/>
    <w:rsid w:val="009D4259"/>
    <w:rsid w:val="009D425E"/>
    <w:rsid w:val="009D4265"/>
    <w:rsid w:val="009D4307"/>
    <w:rsid w:val="009D43AD"/>
    <w:rsid w:val="009D43CA"/>
    <w:rsid w:val="009D4491"/>
    <w:rsid w:val="009D449A"/>
    <w:rsid w:val="009D44F6"/>
    <w:rsid w:val="009D4545"/>
    <w:rsid w:val="009D45CD"/>
    <w:rsid w:val="009D460F"/>
    <w:rsid w:val="009D4639"/>
    <w:rsid w:val="009D465F"/>
    <w:rsid w:val="009D46CB"/>
    <w:rsid w:val="009D4738"/>
    <w:rsid w:val="009D473C"/>
    <w:rsid w:val="009D4770"/>
    <w:rsid w:val="009D478B"/>
    <w:rsid w:val="009D47E2"/>
    <w:rsid w:val="009D4857"/>
    <w:rsid w:val="009D48E4"/>
    <w:rsid w:val="009D48F7"/>
    <w:rsid w:val="009D4935"/>
    <w:rsid w:val="009D49A3"/>
    <w:rsid w:val="009D49D0"/>
    <w:rsid w:val="009D4A3E"/>
    <w:rsid w:val="009D4AEB"/>
    <w:rsid w:val="009D4B43"/>
    <w:rsid w:val="009D4B70"/>
    <w:rsid w:val="009D4B78"/>
    <w:rsid w:val="009D4BF2"/>
    <w:rsid w:val="009D4C6D"/>
    <w:rsid w:val="009D4CE1"/>
    <w:rsid w:val="009D4CF6"/>
    <w:rsid w:val="009D4E34"/>
    <w:rsid w:val="009D4E46"/>
    <w:rsid w:val="009D4F2F"/>
    <w:rsid w:val="009D4F46"/>
    <w:rsid w:val="009D4F99"/>
    <w:rsid w:val="009D4FC4"/>
    <w:rsid w:val="009D4FC9"/>
    <w:rsid w:val="009D504E"/>
    <w:rsid w:val="009D5087"/>
    <w:rsid w:val="009D50EC"/>
    <w:rsid w:val="009D50F4"/>
    <w:rsid w:val="009D519C"/>
    <w:rsid w:val="009D51B8"/>
    <w:rsid w:val="009D51C7"/>
    <w:rsid w:val="009D5230"/>
    <w:rsid w:val="009D5266"/>
    <w:rsid w:val="009D528A"/>
    <w:rsid w:val="009D52B1"/>
    <w:rsid w:val="009D5374"/>
    <w:rsid w:val="009D5383"/>
    <w:rsid w:val="009D54C0"/>
    <w:rsid w:val="009D54C1"/>
    <w:rsid w:val="009D54FB"/>
    <w:rsid w:val="009D552A"/>
    <w:rsid w:val="009D5570"/>
    <w:rsid w:val="009D559F"/>
    <w:rsid w:val="009D55A0"/>
    <w:rsid w:val="009D55BD"/>
    <w:rsid w:val="009D55CC"/>
    <w:rsid w:val="009D5617"/>
    <w:rsid w:val="009D56C9"/>
    <w:rsid w:val="009D5775"/>
    <w:rsid w:val="009D57AB"/>
    <w:rsid w:val="009D57C9"/>
    <w:rsid w:val="009D5896"/>
    <w:rsid w:val="009D58C5"/>
    <w:rsid w:val="009D58EF"/>
    <w:rsid w:val="009D5908"/>
    <w:rsid w:val="009D5975"/>
    <w:rsid w:val="009D5995"/>
    <w:rsid w:val="009D5A1E"/>
    <w:rsid w:val="009D5A25"/>
    <w:rsid w:val="009D5AB4"/>
    <w:rsid w:val="009D5C63"/>
    <w:rsid w:val="009D5D5A"/>
    <w:rsid w:val="009D5DBA"/>
    <w:rsid w:val="009D5E18"/>
    <w:rsid w:val="009D5E47"/>
    <w:rsid w:val="009D5E8C"/>
    <w:rsid w:val="009D5EF3"/>
    <w:rsid w:val="009D5F1C"/>
    <w:rsid w:val="009D5F5B"/>
    <w:rsid w:val="009D5FA7"/>
    <w:rsid w:val="009D5FE1"/>
    <w:rsid w:val="009D6052"/>
    <w:rsid w:val="009D60AB"/>
    <w:rsid w:val="009D60BC"/>
    <w:rsid w:val="009D60C1"/>
    <w:rsid w:val="009D60E2"/>
    <w:rsid w:val="009D60E5"/>
    <w:rsid w:val="009D610E"/>
    <w:rsid w:val="009D6155"/>
    <w:rsid w:val="009D61A4"/>
    <w:rsid w:val="009D61AD"/>
    <w:rsid w:val="009D61F2"/>
    <w:rsid w:val="009D6241"/>
    <w:rsid w:val="009D6245"/>
    <w:rsid w:val="009D6277"/>
    <w:rsid w:val="009D62A7"/>
    <w:rsid w:val="009D62BE"/>
    <w:rsid w:val="009D62F0"/>
    <w:rsid w:val="009D6325"/>
    <w:rsid w:val="009D6470"/>
    <w:rsid w:val="009D647A"/>
    <w:rsid w:val="009D6486"/>
    <w:rsid w:val="009D64BA"/>
    <w:rsid w:val="009D64FB"/>
    <w:rsid w:val="009D653D"/>
    <w:rsid w:val="009D6594"/>
    <w:rsid w:val="009D65A1"/>
    <w:rsid w:val="009D66B4"/>
    <w:rsid w:val="009D6769"/>
    <w:rsid w:val="009D6862"/>
    <w:rsid w:val="009D688D"/>
    <w:rsid w:val="009D695E"/>
    <w:rsid w:val="009D69E4"/>
    <w:rsid w:val="009D6A11"/>
    <w:rsid w:val="009D6A32"/>
    <w:rsid w:val="009D6A65"/>
    <w:rsid w:val="009D6AC7"/>
    <w:rsid w:val="009D6AC8"/>
    <w:rsid w:val="009D6B67"/>
    <w:rsid w:val="009D6C6B"/>
    <w:rsid w:val="009D6CD5"/>
    <w:rsid w:val="009D6D13"/>
    <w:rsid w:val="009D6D61"/>
    <w:rsid w:val="009D6D6A"/>
    <w:rsid w:val="009D6EE2"/>
    <w:rsid w:val="009D700B"/>
    <w:rsid w:val="009D7014"/>
    <w:rsid w:val="009D7072"/>
    <w:rsid w:val="009D7079"/>
    <w:rsid w:val="009D7080"/>
    <w:rsid w:val="009D7136"/>
    <w:rsid w:val="009D7278"/>
    <w:rsid w:val="009D72CD"/>
    <w:rsid w:val="009D734A"/>
    <w:rsid w:val="009D738E"/>
    <w:rsid w:val="009D73AA"/>
    <w:rsid w:val="009D7443"/>
    <w:rsid w:val="009D7472"/>
    <w:rsid w:val="009D74A4"/>
    <w:rsid w:val="009D74E1"/>
    <w:rsid w:val="009D7542"/>
    <w:rsid w:val="009D75A3"/>
    <w:rsid w:val="009D75AF"/>
    <w:rsid w:val="009D761D"/>
    <w:rsid w:val="009D7679"/>
    <w:rsid w:val="009D767C"/>
    <w:rsid w:val="009D76CD"/>
    <w:rsid w:val="009D7798"/>
    <w:rsid w:val="009D77E1"/>
    <w:rsid w:val="009D77FC"/>
    <w:rsid w:val="009D781B"/>
    <w:rsid w:val="009D7830"/>
    <w:rsid w:val="009D7887"/>
    <w:rsid w:val="009D7893"/>
    <w:rsid w:val="009D79C8"/>
    <w:rsid w:val="009D7A25"/>
    <w:rsid w:val="009D7A27"/>
    <w:rsid w:val="009D7A82"/>
    <w:rsid w:val="009D7ABD"/>
    <w:rsid w:val="009D7ACC"/>
    <w:rsid w:val="009D7B38"/>
    <w:rsid w:val="009D7B85"/>
    <w:rsid w:val="009D7B90"/>
    <w:rsid w:val="009D7B9B"/>
    <w:rsid w:val="009D7E08"/>
    <w:rsid w:val="009D7EB8"/>
    <w:rsid w:val="009D7EED"/>
    <w:rsid w:val="009D7F0B"/>
    <w:rsid w:val="009E001C"/>
    <w:rsid w:val="009E01BA"/>
    <w:rsid w:val="009E0204"/>
    <w:rsid w:val="009E0246"/>
    <w:rsid w:val="009E02A8"/>
    <w:rsid w:val="009E02B1"/>
    <w:rsid w:val="009E037F"/>
    <w:rsid w:val="009E0401"/>
    <w:rsid w:val="009E053C"/>
    <w:rsid w:val="009E0566"/>
    <w:rsid w:val="009E05FC"/>
    <w:rsid w:val="009E0661"/>
    <w:rsid w:val="009E06D7"/>
    <w:rsid w:val="009E06EC"/>
    <w:rsid w:val="009E07A0"/>
    <w:rsid w:val="009E080F"/>
    <w:rsid w:val="009E085B"/>
    <w:rsid w:val="009E08EE"/>
    <w:rsid w:val="009E099E"/>
    <w:rsid w:val="009E0A11"/>
    <w:rsid w:val="009E0A1D"/>
    <w:rsid w:val="009E0A51"/>
    <w:rsid w:val="009E0A6F"/>
    <w:rsid w:val="009E0A82"/>
    <w:rsid w:val="009E0B00"/>
    <w:rsid w:val="009E0B09"/>
    <w:rsid w:val="009E0B8D"/>
    <w:rsid w:val="009E0BAC"/>
    <w:rsid w:val="009E0C09"/>
    <w:rsid w:val="009E0CC9"/>
    <w:rsid w:val="009E0CD4"/>
    <w:rsid w:val="009E0CDD"/>
    <w:rsid w:val="009E0D76"/>
    <w:rsid w:val="009E0EC9"/>
    <w:rsid w:val="009E0EF5"/>
    <w:rsid w:val="009E0F27"/>
    <w:rsid w:val="009E0FFF"/>
    <w:rsid w:val="009E1016"/>
    <w:rsid w:val="009E107C"/>
    <w:rsid w:val="009E10E0"/>
    <w:rsid w:val="009E10EE"/>
    <w:rsid w:val="009E1108"/>
    <w:rsid w:val="009E11AC"/>
    <w:rsid w:val="009E11CB"/>
    <w:rsid w:val="009E11FE"/>
    <w:rsid w:val="009E120A"/>
    <w:rsid w:val="009E12BB"/>
    <w:rsid w:val="009E12C5"/>
    <w:rsid w:val="009E1362"/>
    <w:rsid w:val="009E13AF"/>
    <w:rsid w:val="009E15CE"/>
    <w:rsid w:val="009E1617"/>
    <w:rsid w:val="009E1648"/>
    <w:rsid w:val="009E164D"/>
    <w:rsid w:val="009E165B"/>
    <w:rsid w:val="009E168D"/>
    <w:rsid w:val="009E16D4"/>
    <w:rsid w:val="009E16EC"/>
    <w:rsid w:val="009E17A6"/>
    <w:rsid w:val="009E17D5"/>
    <w:rsid w:val="009E184D"/>
    <w:rsid w:val="009E186D"/>
    <w:rsid w:val="009E18A8"/>
    <w:rsid w:val="009E18AF"/>
    <w:rsid w:val="009E18DC"/>
    <w:rsid w:val="009E192E"/>
    <w:rsid w:val="009E19FB"/>
    <w:rsid w:val="009E1A22"/>
    <w:rsid w:val="009E1ACC"/>
    <w:rsid w:val="009E1B0C"/>
    <w:rsid w:val="009E1B4F"/>
    <w:rsid w:val="009E1C17"/>
    <w:rsid w:val="009E1C60"/>
    <w:rsid w:val="009E1CA3"/>
    <w:rsid w:val="009E1CCB"/>
    <w:rsid w:val="009E1CCF"/>
    <w:rsid w:val="009E1D0E"/>
    <w:rsid w:val="009E1D58"/>
    <w:rsid w:val="009E1DD0"/>
    <w:rsid w:val="009E1DFF"/>
    <w:rsid w:val="009E1EE2"/>
    <w:rsid w:val="009E1F13"/>
    <w:rsid w:val="009E1F80"/>
    <w:rsid w:val="009E1FF2"/>
    <w:rsid w:val="009E1FFE"/>
    <w:rsid w:val="009E20A3"/>
    <w:rsid w:val="009E20CC"/>
    <w:rsid w:val="009E20D0"/>
    <w:rsid w:val="009E211F"/>
    <w:rsid w:val="009E218A"/>
    <w:rsid w:val="009E21AE"/>
    <w:rsid w:val="009E21BF"/>
    <w:rsid w:val="009E2244"/>
    <w:rsid w:val="009E228D"/>
    <w:rsid w:val="009E2308"/>
    <w:rsid w:val="009E2363"/>
    <w:rsid w:val="009E2380"/>
    <w:rsid w:val="009E23B7"/>
    <w:rsid w:val="009E242D"/>
    <w:rsid w:val="009E250B"/>
    <w:rsid w:val="009E2530"/>
    <w:rsid w:val="009E2594"/>
    <w:rsid w:val="009E25EE"/>
    <w:rsid w:val="009E261B"/>
    <w:rsid w:val="009E2667"/>
    <w:rsid w:val="009E26D3"/>
    <w:rsid w:val="009E2726"/>
    <w:rsid w:val="009E2767"/>
    <w:rsid w:val="009E27E1"/>
    <w:rsid w:val="009E27F1"/>
    <w:rsid w:val="009E2851"/>
    <w:rsid w:val="009E2859"/>
    <w:rsid w:val="009E28BC"/>
    <w:rsid w:val="009E28FB"/>
    <w:rsid w:val="009E2905"/>
    <w:rsid w:val="009E2930"/>
    <w:rsid w:val="009E2936"/>
    <w:rsid w:val="009E29E9"/>
    <w:rsid w:val="009E2A48"/>
    <w:rsid w:val="009E2B43"/>
    <w:rsid w:val="009E2C7F"/>
    <w:rsid w:val="009E2D3A"/>
    <w:rsid w:val="009E2DD3"/>
    <w:rsid w:val="009E2E2C"/>
    <w:rsid w:val="009E2E66"/>
    <w:rsid w:val="009E2E83"/>
    <w:rsid w:val="009E2EA0"/>
    <w:rsid w:val="009E2ED5"/>
    <w:rsid w:val="009E2F53"/>
    <w:rsid w:val="009E2F5D"/>
    <w:rsid w:val="009E2FA7"/>
    <w:rsid w:val="009E2FE5"/>
    <w:rsid w:val="009E3026"/>
    <w:rsid w:val="009E306C"/>
    <w:rsid w:val="009E30CA"/>
    <w:rsid w:val="009E30E5"/>
    <w:rsid w:val="009E3126"/>
    <w:rsid w:val="009E313D"/>
    <w:rsid w:val="009E3177"/>
    <w:rsid w:val="009E31D0"/>
    <w:rsid w:val="009E3215"/>
    <w:rsid w:val="009E32BE"/>
    <w:rsid w:val="009E32E9"/>
    <w:rsid w:val="009E333C"/>
    <w:rsid w:val="009E33DD"/>
    <w:rsid w:val="009E3482"/>
    <w:rsid w:val="009E349E"/>
    <w:rsid w:val="009E34A7"/>
    <w:rsid w:val="009E34B8"/>
    <w:rsid w:val="009E3527"/>
    <w:rsid w:val="009E3548"/>
    <w:rsid w:val="009E357B"/>
    <w:rsid w:val="009E35CB"/>
    <w:rsid w:val="009E366D"/>
    <w:rsid w:val="009E367E"/>
    <w:rsid w:val="009E36AE"/>
    <w:rsid w:val="009E36B3"/>
    <w:rsid w:val="009E3719"/>
    <w:rsid w:val="009E3729"/>
    <w:rsid w:val="009E3794"/>
    <w:rsid w:val="009E37B2"/>
    <w:rsid w:val="009E38B0"/>
    <w:rsid w:val="009E38BB"/>
    <w:rsid w:val="009E3A39"/>
    <w:rsid w:val="009E3A97"/>
    <w:rsid w:val="009E3B2D"/>
    <w:rsid w:val="009E3BCE"/>
    <w:rsid w:val="009E3CC9"/>
    <w:rsid w:val="009E3D98"/>
    <w:rsid w:val="009E3E31"/>
    <w:rsid w:val="009E3E77"/>
    <w:rsid w:val="009E3EA6"/>
    <w:rsid w:val="009E3F9B"/>
    <w:rsid w:val="009E407C"/>
    <w:rsid w:val="009E4080"/>
    <w:rsid w:val="009E40EC"/>
    <w:rsid w:val="009E414D"/>
    <w:rsid w:val="009E4195"/>
    <w:rsid w:val="009E419A"/>
    <w:rsid w:val="009E41B4"/>
    <w:rsid w:val="009E4234"/>
    <w:rsid w:val="009E42B3"/>
    <w:rsid w:val="009E42FE"/>
    <w:rsid w:val="009E4310"/>
    <w:rsid w:val="009E4338"/>
    <w:rsid w:val="009E435C"/>
    <w:rsid w:val="009E45C8"/>
    <w:rsid w:val="009E4748"/>
    <w:rsid w:val="009E4794"/>
    <w:rsid w:val="009E486D"/>
    <w:rsid w:val="009E4A26"/>
    <w:rsid w:val="009E4BCA"/>
    <w:rsid w:val="009E4C0F"/>
    <w:rsid w:val="009E4C7B"/>
    <w:rsid w:val="009E4C8F"/>
    <w:rsid w:val="009E4CBE"/>
    <w:rsid w:val="009E4CF0"/>
    <w:rsid w:val="009E4D45"/>
    <w:rsid w:val="009E4D55"/>
    <w:rsid w:val="009E4E05"/>
    <w:rsid w:val="009E4E4A"/>
    <w:rsid w:val="009E4E9D"/>
    <w:rsid w:val="009E4EEC"/>
    <w:rsid w:val="009E5033"/>
    <w:rsid w:val="009E5052"/>
    <w:rsid w:val="009E50AE"/>
    <w:rsid w:val="009E50BA"/>
    <w:rsid w:val="009E5110"/>
    <w:rsid w:val="009E511A"/>
    <w:rsid w:val="009E5193"/>
    <w:rsid w:val="009E51BB"/>
    <w:rsid w:val="009E5204"/>
    <w:rsid w:val="009E520C"/>
    <w:rsid w:val="009E5246"/>
    <w:rsid w:val="009E5262"/>
    <w:rsid w:val="009E52CF"/>
    <w:rsid w:val="009E52FE"/>
    <w:rsid w:val="009E5318"/>
    <w:rsid w:val="009E533B"/>
    <w:rsid w:val="009E5349"/>
    <w:rsid w:val="009E53C9"/>
    <w:rsid w:val="009E53CB"/>
    <w:rsid w:val="009E53EC"/>
    <w:rsid w:val="009E53EE"/>
    <w:rsid w:val="009E5468"/>
    <w:rsid w:val="009E548A"/>
    <w:rsid w:val="009E548E"/>
    <w:rsid w:val="009E551B"/>
    <w:rsid w:val="009E559A"/>
    <w:rsid w:val="009E55BC"/>
    <w:rsid w:val="009E56A1"/>
    <w:rsid w:val="009E56C7"/>
    <w:rsid w:val="009E5792"/>
    <w:rsid w:val="009E57D9"/>
    <w:rsid w:val="009E5812"/>
    <w:rsid w:val="009E5823"/>
    <w:rsid w:val="009E5866"/>
    <w:rsid w:val="009E5874"/>
    <w:rsid w:val="009E58EE"/>
    <w:rsid w:val="009E5933"/>
    <w:rsid w:val="009E5949"/>
    <w:rsid w:val="009E5A16"/>
    <w:rsid w:val="009E5A2D"/>
    <w:rsid w:val="009E5A61"/>
    <w:rsid w:val="009E5A6B"/>
    <w:rsid w:val="009E5A83"/>
    <w:rsid w:val="009E5AA0"/>
    <w:rsid w:val="009E5B89"/>
    <w:rsid w:val="009E5C7E"/>
    <w:rsid w:val="009E5C94"/>
    <w:rsid w:val="009E5D58"/>
    <w:rsid w:val="009E5DC3"/>
    <w:rsid w:val="009E5F36"/>
    <w:rsid w:val="009E5F50"/>
    <w:rsid w:val="009E5FD1"/>
    <w:rsid w:val="009E603E"/>
    <w:rsid w:val="009E6050"/>
    <w:rsid w:val="009E6068"/>
    <w:rsid w:val="009E60EE"/>
    <w:rsid w:val="009E6166"/>
    <w:rsid w:val="009E61B5"/>
    <w:rsid w:val="009E6226"/>
    <w:rsid w:val="009E6254"/>
    <w:rsid w:val="009E6276"/>
    <w:rsid w:val="009E62CA"/>
    <w:rsid w:val="009E62EB"/>
    <w:rsid w:val="009E6320"/>
    <w:rsid w:val="009E63A5"/>
    <w:rsid w:val="009E63AD"/>
    <w:rsid w:val="009E63BE"/>
    <w:rsid w:val="009E63D4"/>
    <w:rsid w:val="009E6444"/>
    <w:rsid w:val="009E6514"/>
    <w:rsid w:val="009E65D7"/>
    <w:rsid w:val="009E6647"/>
    <w:rsid w:val="009E66DB"/>
    <w:rsid w:val="009E672A"/>
    <w:rsid w:val="009E67C8"/>
    <w:rsid w:val="009E6881"/>
    <w:rsid w:val="009E68D4"/>
    <w:rsid w:val="009E6972"/>
    <w:rsid w:val="009E69A5"/>
    <w:rsid w:val="009E6A08"/>
    <w:rsid w:val="009E6A55"/>
    <w:rsid w:val="009E6A7D"/>
    <w:rsid w:val="009E6AC5"/>
    <w:rsid w:val="009E6AC9"/>
    <w:rsid w:val="009E6CBA"/>
    <w:rsid w:val="009E6CCD"/>
    <w:rsid w:val="009E6D18"/>
    <w:rsid w:val="009E6D2E"/>
    <w:rsid w:val="009E6D9A"/>
    <w:rsid w:val="009E6E2B"/>
    <w:rsid w:val="009E6E31"/>
    <w:rsid w:val="009E700C"/>
    <w:rsid w:val="009E7013"/>
    <w:rsid w:val="009E702A"/>
    <w:rsid w:val="009E7068"/>
    <w:rsid w:val="009E706D"/>
    <w:rsid w:val="009E712D"/>
    <w:rsid w:val="009E71CD"/>
    <w:rsid w:val="009E71E1"/>
    <w:rsid w:val="009E71FD"/>
    <w:rsid w:val="009E7236"/>
    <w:rsid w:val="009E7237"/>
    <w:rsid w:val="009E74A3"/>
    <w:rsid w:val="009E750E"/>
    <w:rsid w:val="009E75F2"/>
    <w:rsid w:val="009E762B"/>
    <w:rsid w:val="009E7659"/>
    <w:rsid w:val="009E7677"/>
    <w:rsid w:val="009E76D0"/>
    <w:rsid w:val="009E76E6"/>
    <w:rsid w:val="009E77C2"/>
    <w:rsid w:val="009E7835"/>
    <w:rsid w:val="009E7875"/>
    <w:rsid w:val="009E7885"/>
    <w:rsid w:val="009E78AA"/>
    <w:rsid w:val="009E7A00"/>
    <w:rsid w:val="009E7A3A"/>
    <w:rsid w:val="009E7A4E"/>
    <w:rsid w:val="009E7A8D"/>
    <w:rsid w:val="009E7AB9"/>
    <w:rsid w:val="009E7AFE"/>
    <w:rsid w:val="009E7B47"/>
    <w:rsid w:val="009E7C00"/>
    <w:rsid w:val="009E7C0A"/>
    <w:rsid w:val="009E7C22"/>
    <w:rsid w:val="009E7CCD"/>
    <w:rsid w:val="009E7D6D"/>
    <w:rsid w:val="009E7E58"/>
    <w:rsid w:val="009E7E89"/>
    <w:rsid w:val="009E7EC3"/>
    <w:rsid w:val="009E7F5B"/>
    <w:rsid w:val="009F0086"/>
    <w:rsid w:val="009F00BE"/>
    <w:rsid w:val="009F011E"/>
    <w:rsid w:val="009F0140"/>
    <w:rsid w:val="009F0149"/>
    <w:rsid w:val="009F017E"/>
    <w:rsid w:val="009F0228"/>
    <w:rsid w:val="009F023B"/>
    <w:rsid w:val="009F0245"/>
    <w:rsid w:val="009F0307"/>
    <w:rsid w:val="009F0364"/>
    <w:rsid w:val="009F039B"/>
    <w:rsid w:val="009F03A7"/>
    <w:rsid w:val="009F03E8"/>
    <w:rsid w:val="009F0530"/>
    <w:rsid w:val="009F05D1"/>
    <w:rsid w:val="009F063A"/>
    <w:rsid w:val="009F063E"/>
    <w:rsid w:val="009F0658"/>
    <w:rsid w:val="009F065A"/>
    <w:rsid w:val="009F0753"/>
    <w:rsid w:val="009F0757"/>
    <w:rsid w:val="009F0877"/>
    <w:rsid w:val="009F0885"/>
    <w:rsid w:val="009F0890"/>
    <w:rsid w:val="009F08D6"/>
    <w:rsid w:val="009F0951"/>
    <w:rsid w:val="009F098D"/>
    <w:rsid w:val="009F099A"/>
    <w:rsid w:val="009F0A17"/>
    <w:rsid w:val="009F0A37"/>
    <w:rsid w:val="009F0A55"/>
    <w:rsid w:val="009F0AD8"/>
    <w:rsid w:val="009F0BB4"/>
    <w:rsid w:val="009F0BBC"/>
    <w:rsid w:val="009F0BE1"/>
    <w:rsid w:val="009F0BF0"/>
    <w:rsid w:val="009F0CC2"/>
    <w:rsid w:val="009F0CE6"/>
    <w:rsid w:val="009F0CF3"/>
    <w:rsid w:val="009F0D1C"/>
    <w:rsid w:val="009F0D49"/>
    <w:rsid w:val="009F0D75"/>
    <w:rsid w:val="009F0D9D"/>
    <w:rsid w:val="009F0DB0"/>
    <w:rsid w:val="009F0DBA"/>
    <w:rsid w:val="009F0E87"/>
    <w:rsid w:val="009F0E9A"/>
    <w:rsid w:val="009F0EB9"/>
    <w:rsid w:val="009F0EBE"/>
    <w:rsid w:val="009F0F1D"/>
    <w:rsid w:val="009F0F57"/>
    <w:rsid w:val="009F0FBD"/>
    <w:rsid w:val="009F0FEF"/>
    <w:rsid w:val="009F1005"/>
    <w:rsid w:val="009F102E"/>
    <w:rsid w:val="009F1062"/>
    <w:rsid w:val="009F10A7"/>
    <w:rsid w:val="009F10D6"/>
    <w:rsid w:val="009F10F6"/>
    <w:rsid w:val="009F1199"/>
    <w:rsid w:val="009F11A9"/>
    <w:rsid w:val="009F11F3"/>
    <w:rsid w:val="009F1292"/>
    <w:rsid w:val="009F12DD"/>
    <w:rsid w:val="009F13DC"/>
    <w:rsid w:val="009F13F1"/>
    <w:rsid w:val="009F13F8"/>
    <w:rsid w:val="009F149C"/>
    <w:rsid w:val="009F1553"/>
    <w:rsid w:val="009F155D"/>
    <w:rsid w:val="009F15E1"/>
    <w:rsid w:val="009F1630"/>
    <w:rsid w:val="009F1663"/>
    <w:rsid w:val="009F16C5"/>
    <w:rsid w:val="009F1782"/>
    <w:rsid w:val="009F1A57"/>
    <w:rsid w:val="009F1A95"/>
    <w:rsid w:val="009F1AC0"/>
    <w:rsid w:val="009F1AFE"/>
    <w:rsid w:val="009F1B07"/>
    <w:rsid w:val="009F1BE4"/>
    <w:rsid w:val="009F1C10"/>
    <w:rsid w:val="009F1C22"/>
    <w:rsid w:val="009F1C35"/>
    <w:rsid w:val="009F1C46"/>
    <w:rsid w:val="009F1D86"/>
    <w:rsid w:val="009F1DB8"/>
    <w:rsid w:val="009F1DDB"/>
    <w:rsid w:val="009F1E2A"/>
    <w:rsid w:val="009F1E77"/>
    <w:rsid w:val="009F1E7D"/>
    <w:rsid w:val="009F1E84"/>
    <w:rsid w:val="009F1E85"/>
    <w:rsid w:val="009F1E8D"/>
    <w:rsid w:val="009F1EAA"/>
    <w:rsid w:val="009F1EC3"/>
    <w:rsid w:val="009F1F6D"/>
    <w:rsid w:val="009F1F85"/>
    <w:rsid w:val="009F1FD6"/>
    <w:rsid w:val="009F207F"/>
    <w:rsid w:val="009F20BD"/>
    <w:rsid w:val="009F2145"/>
    <w:rsid w:val="009F22D7"/>
    <w:rsid w:val="009F2338"/>
    <w:rsid w:val="009F23A0"/>
    <w:rsid w:val="009F23F4"/>
    <w:rsid w:val="009F241E"/>
    <w:rsid w:val="009F243C"/>
    <w:rsid w:val="009F2452"/>
    <w:rsid w:val="009F2504"/>
    <w:rsid w:val="009F2528"/>
    <w:rsid w:val="009F253B"/>
    <w:rsid w:val="009F25FB"/>
    <w:rsid w:val="009F263A"/>
    <w:rsid w:val="009F267B"/>
    <w:rsid w:val="009F2760"/>
    <w:rsid w:val="009F2786"/>
    <w:rsid w:val="009F27B1"/>
    <w:rsid w:val="009F281B"/>
    <w:rsid w:val="009F2863"/>
    <w:rsid w:val="009F28D4"/>
    <w:rsid w:val="009F2913"/>
    <w:rsid w:val="009F2937"/>
    <w:rsid w:val="009F299B"/>
    <w:rsid w:val="009F29CB"/>
    <w:rsid w:val="009F2A15"/>
    <w:rsid w:val="009F2A45"/>
    <w:rsid w:val="009F2AE2"/>
    <w:rsid w:val="009F2B56"/>
    <w:rsid w:val="009F2BA2"/>
    <w:rsid w:val="009F2BB4"/>
    <w:rsid w:val="009F2BB9"/>
    <w:rsid w:val="009F2BE0"/>
    <w:rsid w:val="009F2BE5"/>
    <w:rsid w:val="009F2BFD"/>
    <w:rsid w:val="009F2C87"/>
    <w:rsid w:val="009F2C8E"/>
    <w:rsid w:val="009F2C95"/>
    <w:rsid w:val="009F2CD2"/>
    <w:rsid w:val="009F2D27"/>
    <w:rsid w:val="009F2D5B"/>
    <w:rsid w:val="009F2D78"/>
    <w:rsid w:val="009F2D96"/>
    <w:rsid w:val="009F2E8B"/>
    <w:rsid w:val="009F2F26"/>
    <w:rsid w:val="009F2F4A"/>
    <w:rsid w:val="009F2FFF"/>
    <w:rsid w:val="009F3056"/>
    <w:rsid w:val="009F3088"/>
    <w:rsid w:val="009F3100"/>
    <w:rsid w:val="009F31F6"/>
    <w:rsid w:val="009F3239"/>
    <w:rsid w:val="009F3283"/>
    <w:rsid w:val="009F328A"/>
    <w:rsid w:val="009F32AE"/>
    <w:rsid w:val="009F3333"/>
    <w:rsid w:val="009F336E"/>
    <w:rsid w:val="009F337B"/>
    <w:rsid w:val="009F337E"/>
    <w:rsid w:val="009F341A"/>
    <w:rsid w:val="009F3462"/>
    <w:rsid w:val="009F34BC"/>
    <w:rsid w:val="009F34D3"/>
    <w:rsid w:val="009F34EA"/>
    <w:rsid w:val="009F351D"/>
    <w:rsid w:val="009F354B"/>
    <w:rsid w:val="009F3580"/>
    <w:rsid w:val="009F358E"/>
    <w:rsid w:val="009F3598"/>
    <w:rsid w:val="009F35C7"/>
    <w:rsid w:val="009F3744"/>
    <w:rsid w:val="009F377C"/>
    <w:rsid w:val="009F3791"/>
    <w:rsid w:val="009F37C9"/>
    <w:rsid w:val="009F383D"/>
    <w:rsid w:val="009F3859"/>
    <w:rsid w:val="009F3886"/>
    <w:rsid w:val="009F3891"/>
    <w:rsid w:val="009F38A8"/>
    <w:rsid w:val="009F3917"/>
    <w:rsid w:val="009F391E"/>
    <w:rsid w:val="009F39B2"/>
    <w:rsid w:val="009F39D8"/>
    <w:rsid w:val="009F3BEF"/>
    <w:rsid w:val="009F3C85"/>
    <w:rsid w:val="009F3CBF"/>
    <w:rsid w:val="009F3D76"/>
    <w:rsid w:val="009F3D80"/>
    <w:rsid w:val="009F3DC2"/>
    <w:rsid w:val="009F3E0C"/>
    <w:rsid w:val="009F3E19"/>
    <w:rsid w:val="009F3E32"/>
    <w:rsid w:val="009F3E64"/>
    <w:rsid w:val="009F3EC3"/>
    <w:rsid w:val="009F3F4B"/>
    <w:rsid w:val="009F3F6E"/>
    <w:rsid w:val="009F3F96"/>
    <w:rsid w:val="009F3FB6"/>
    <w:rsid w:val="009F401C"/>
    <w:rsid w:val="009F4021"/>
    <w:rsid w:val="009F40A6"/>
    <w:rsid w:val="009F40C9"/>
    <w:rsid w:val="009F40DB"/>
    <w:rsid w:val="009F415B"/>
    <w:rsid w:val="009F4167"/>
    <w:rsid w:val="009F417B"/>
    <w:rsid w:val="009F4256"/>
    <w:rsid w:val="009F42A0"/>
    <w:rsid w:val="009F42BB"/>
    <w:rsid w:val="009F42FC"/>
    <w:rsid w:val="009F4316"/>
    <w:rsid w:val="009F4338"/>
    <w:rsid w:val="009F4362"/>
    <w:rsid w:val="009F44D3"/>
    <w:rsid w:val="009F4525"/>
    <w:rsid w:val="009F4533"/>
    <w:rsid w:val="009F4557"/>
    <w:rsid w:val="009F45BC"/>
    <w:rsid w:val="009F45C6"/>
    <w:rsid w:val="009F4610"/>
    <w:rsid w:val="009F4645"/>
    <w:rsid w:val="009F470F"/>
    <w:rsid w:val="009F4723"/>
    <w:rsid w:val="009F4765"/>
    <w:rsid w:val="009F4783"/>
    <w:rsid w:val="009F47E8"/>
    <w:rsid w:val="009F4824"/>
    <w:rsid w:val="009F489F"/>
    <w:rsid w:val="009F49C4"/>
    <w:rsid w:val="009F4A6F"/>
    <w:rsid w:val="009F4AA0"/>
    <w:rsid w:val="009F4AE1"/>
    <w:rsid w:val="009F4C1A"/>
    <w:rsid w:val="009F4CF9"/>
    <w:rsid w:val="009F4D65"/>
    <w:rsid w:val="009F4D78"/>
    <w:rsid w:val="009F4D9C"/>
    <w:rsid w:val="009F4DDE"/>
    <w:rsid w:val="009F4E2D"/>
    <w:rsid w:val="009F4EA8"/>
    <w:rsid w:val="009F4F69"/>
    <w:rsid w:val="009F4FC9"/>
    <w:rsid w:val="009F4FDB"/>
    <w:rsid w:val="009F4FF9"/>
    <w:rsid w:val="009F5064"/>
    <w:rsid w:val="009F5277"/>
    <w:rsid w:val="009F52C8"/>
    <w:rsid w:val="009F52F7"/>
    <w:rsid w:val="009F5303"/>
    <w:rsid w:val="009F53BA"/>
    <w:rsid w:val="009F5428"/>
    <w:rsid w:val="009F54C5"/>
    <w:rsid w:val="009F5503"/>
    <w:rsid w:val="009F5513"/>
    <w:rsid w:val="009F5514"/>
    <w:rsid w:val="009F5518"/>
    <w:rsid w:val="009F552C"/>
    <w:rsid w:val="009F559D"/>
    <w:rsid w:val="009F568F"/>
    <w:rsid w:val="009F56DF"/>
    <w:rsid w:val="009F56F9"/>
    <w:rsid w:val="009F5712"/>
    <w:rsid w:val="009F5713"/>
    <w:rsid w:val="009F5721"/>
    <w:rsid w:val="009F5748"/>
    <w:rsid w:val="009F574E"/>
    <w:rsid w:val="009F5752"/>
    <w:rsid w:val="009F5760"/>
    <w:rsid w:val="009F576E"/>
    <w:rsid w:val="009F57E6"/>
    <w:rsid w:val="009F57F8"/>
    <w:rsid w:val="009F580C"/>
    <w:rsid w:val="009F5888"/>
    <w:rsid w:val="009F58A8"/>
    <w:rsid w:val="009F58B4"/>
    <w:rsid w:val="009F592E"/>
    <w:rsid w:val="009F59B6"/>
    <w:rsid w:val="009F59F7"/>
    <w:rsid w:val="009F5ADB"/>
    <w:rsid w:val="009F5B27"/>
    <w:rsid w:val="009F5B61"/>
    <w:rsid w:val="009F5CB6"/>
    <w:rsid w:val="009F5DBD"/>
    <w:rsid w:val="009F5DDC"/>
    <w:rsid w:val="009F5DDE"/>
    <w:rsid w:val="009F5E27"/>
    <w:rsid w:val="009F5E59"/>
    <w:rsid w:val="009F5E5F"/>
    <w:rsid w:val="009F5E7F"/>
    <w:rsid w:val="009F5EB0"/>
    <w:rsid w:val="009F5F0F"/>
    <w:rsid w:val="009F5F63"/>
    <w:rsid w:val="009F6025"/>
    <w:rsid w:val="009F60AE"/>
    <w:rsid w:val="009F60C0"/>
    <w:rsid w:val="009F6156"/>
    <w:rsid w:val="009F6170"/>
    <w:rsid w:val="009F627D"/>
    <w:rsid w:val="009F634F"/>
    <w:rsid w:val="009F635E"/>
    <w:rsid w:val="009F64C7"/>
    <w:rsid w:val="009F64F9"/>
    <w:rsid w:val="009F6523"/>
    <w:rsid w:val="009F65BC"/>
    <w:rsid w:val="009F6647"/>
    <w:rsid w:val="009F66E6"/>
    <w:rsid w:val="009F672E"/>
    <w:rsid w:val="009F6750"/>
    <w:rsid w:val="009F676D"/>
    <w:rsid w:val="009F67B8"/>
    <w:rsid w:val="009F67D3"/>
    <w:rsid w:val="009F68E4"/>
    <w:rsid w:val="009F6909"/>
    <w:rsid w:val="009F693D"/>
    <w:rsid w:val="009F6958"/>
    <w:rsid w:val="009F69F2"/>
    <w:rsid w:val="009F6A2E"/>
    <w:rsid w:val="009F6A57"/>
    <w:rsid w:val="009F6B59"/>
    <w:rsid w:val="009F6B79"/>
    <w:rsid w:val="009F6BEB"/>
    <w:rsid w:val="009F6C0A"/>
    <w:rsid w:val="009F6D51"/>
    <w:rsid w:val="009F6DB5"/>
    <w:rsid w:val="009F6DFB"/>
    <w:rsid w:val="009F6E72"/>
    <w:rsid w:val="009F6E8D"/>
    <w:rsid w:val="009F6EFE"/>
    <w:rsid w:val="009F6F97"/>
    <w:rsid w:val="009F7067"/>
    <w:rsid w:val="009F7110"/>
    <w:rsid w:val="009F728E"/>
    <w:rsid w:val="009F72A5"/>
    <w:rsid w:val="009F72D8"/>
    <w:rsid w:val="009F7311"/>
    <w:rsid w:val="009F74B6"/>
    <w:rsid w:val="009F7678"/>
    <w:rsid w:val="009F769B"/>
    <w:rsid w:val="009F7702"/>
    <w:rsid w:val="009F777F"/>
    <w:rsid w:val="009F77CA"/>
    <w:rsid w:val="009F77D7"/>
    <w:rsid w:val="009F77E2"/>
    <w:rsid w:val="009F7818"/>
    <w:rsid w:val="009F789A"/>
    <w:rsid w:val="009F78C6"/>
    <w:rsid w:val="009F793A"/>
    <w:rsid w:val="009F797A"/>
    <w:rsid w:val="009F79A2"/>
    <w:rsid w:val="009F79CF"/>
    <w:rsid w:val="009F7A26"/>
    <w:rsid w:val="009F7A27"/>
    <w:rsid w:val="009F7B0C"/>
    <w:rsid w:val="009F7B3A"/>
    <w:rsid w:val="009F7B6A"/>
    <w:rsid w:val="009F7BA7"/>
    <w:rsid w:val="009F7BC9"/>
    <w:rsid w:val="009F7CD5"/>
    <w:rsid w:val="009F7CE0"/>
    <w:rsid w:val="009F7D08"/>
    <w:rsid w:val="009F7D44"/>
    <w:rsid w:val="009F7D96"/>
    <w:rsid w:val="009F7E07"/>
    <w:rsid w:val="009F7E4D"/>
    <w:rsid w:val="009F7EA9"/>
    <w:rsid w:val="009F7EE6"/>
    <w:rsid w:val="009F7EEE"/>
    <w:rsid w:val="009F7F16"/>
    <w:rsid w:val="009F7F56"/>
    <w:rsid w:val="009F7F99"/>
    <w:rsid w:val="009F7FE5"/>
    <w:rsid w:val="00A000B0"/>
    <w:rsid w:val="00A000C9"/>
    <w:rsid w:val="00A00172"/>
    <w:rsid w:val="00A0019A"/>
    <w:rsid w:val="00A00228"/>
    <w:rsid w:val="00A00269"/>
    <w:rsid w:val="00A002F8"/>
    <w:rsid w:val="00A0039B"/>
    <w:rsid w:val="00A003E2"/>
    <w:rsid w:val="00A003F1"/>
    <w:rsid w:val="00A003F9"/>
    <w:rsid w:val="00A0045A"/>
    <w:rsid w:val="00A004B2"/>
    <w:rsid w:val="00A004E4"/>
    <w:rsid w:val="00A0053A"/>
    <w:rsid w:val="00A0059C"/>
    <w:rsid w:val="00A00681"/>
    <w:rsid w:val="00A006B8"/>
    <w:rsid w:val="00A00708"/>
    <w:rsid w:val="00A0071D"/>
    <w:rsid w:val="00A0072C"/>
    <w:rsid w:val="00A0075B"/>
    <w:rsid w:val="00A007F1"/>
    <w:rsid w:val="00A0083A"/>
    <w:rsid w:val="00A00925"/>
    <w:rsid w:val="00A0092F"/>
    <w:rsid w:val="00A00934"/>
    <w:rsid w:val="00A009CA"/>
    <w:rsid w:val="00A009F0"/>
    <w:rsid w:val="00A00A6F"/>
    <w:rsid w:val="00A00A89"/>
    <w:rsid w:val="00A00A9A"/>
    <w:rsid w:val="00A00B3C"/>
    <w:rsid w:val="00A00BB5"/>
    <w:rsid w:val="00A00BEE"/>
    <w:rsid w:val="00A00CB0"/>
    <w:rsid w:val="00A00CD7"/>
    <w:rsid w:val="00A00D8C"/>
    <w:rsid w:val="00A00E25"/>
    <w:rsid w:val="00A00ECE"/>
    <w:rsid w:val="00A00F0D"/>
    <w:rsid w:val="00A00F26"/>
    <w:rsid w:val="00A01029"/>
    <w:rsid w:val="00A010BD"/>
    <w:rsid w:val="00A010C8"/>
    <w:rsid w:val="00A01160"/>
    <w:rsid w:val="00A01194"/>
    <w:rsid w:val="00A0127F"/>
    <w:rsid w:val="00A012D9"/>
    <w:rsid w:val="00A012F9"/>
    <w:rsid w:val="00A013BB"/>
    <w:rsid w:val="00A013BD"/>
    <w:rsid w:val="00A013EF"/>
    <w:rsid w:val="00A014CD"/>
    <w:rsid w:val="00A0155C"/>
    <w:rsid w:val="00A01654"/>
    <w:rsid w:val="00A0166F"/>
    <w:rsid w:val="00A01677"/>
    <w:rsid w:val="00A0178D"/>
    <w:rsid w:val="00A017AD"/>
    <w:rsid w:val="00A017C8"/>
    <w:rsid w:val="00A017D2"/>
    <w:rsid w:val="00A01965"/>
    <w:rsid w:val="00A0197E"/>
    <w:rsid w:val="00A019EB"/>
    <w:rsid w:val="00A01A29"/>
    <w:rsid w:val="00A01A38"/>
    <w:rsid w:val="00A01AC5"/>
    <w:rsid w:val="00A01AE4"/>
    <w:rsid w:val="00A01B32"/>
    <w:rsid w:val="00A01B7F"/>
    <w:rsid w:val="00A01B83"/>
    <w:rsid w:val="00A01BE3"/>
    <w:rsid w:val="00A01BE5"/>
    <w:rsid w:val="00A01BED"/>
    <w:rsid w:val="00A01C41"/>
    <w:rsid w:val="00A01D33"/>
    <w:rsid w:val="00A01D6B"/>
    <w:rsid w:val="00A01DC4"/>
    <w:rsid w:val="00A01DE5"/>
    <w:rsid w:val="00A01E1C"/>
    <w:rsid w:val="00A01E20"/>
    <w:rsid w:val="00A01E36"/>
    <w:rsid w:val="00A01E83"/>
    <w:rsid w:val="00A01FE5"/>
    <w:rsid w:val="00A02029"/>
    <w:rsid w:val="00A02093"/>
    <w:rsid w:val="00A02100"/>
    <w:rsid w:val="00A0212F"/>
    <w:rsid w:val="00A0213F"/>
    <w:rsid w:val="00A02176"/>
    <w:rsid w:val="00A021BB"/>
    <w:rsid w:val="00A021C9"/>
    <w:rsid w:val="00A0224C"/>
    <w:rsid w:val="00A022C7"/>
    <w:rsid w:val="00A022FB"/>
    <w:rsid w:val="00A0235A"/>
    <w:rsid w:val="00A023BC"/>
    <w:rsid w:val="00A024C2"/>
    <w:rsid w:val="00A024E7"/>
    <w:rsid w:val="00A024EB"/>
    <w:rsid w:val="00A0259A"/>
    <w:rsid w:val="00A025F1"/>
    <w:rsid w:val="00A02695"/>
    <w:rsid w:val="00A026FF"/>
    <w:rsid w:val="00A02708"/>
    <w:rsid w:val="00A02791"/>
    <w:rsid w:val="00A027F9"/>
    <w:rsid w:val="00A02900"/>
    <w:rsid w:val="00A02905"/>
    <w:rsid w:val="00A02A29"/>
    <w:rsid w:val="00A02ABD"/>
    <w:rsid w:val="00A02BF1"/>
    <w:rsid w:val="00A02C8C"/>
    <w:rsid w:val="00A02D21"/>
    <w:rsid w:val="00A02D75"/>
    <w:rsid w:val="00A02E0C"/>
    <w:rsid w:val="00A02E85"/>
    <w:rsid w:val="00A02F2C"/>
    <w:rsid w:val="00A02F71"/>
    <w:rsid w:val="00A02FAE"/>
    <w:rsid w:val="00A0308C"/>
    <w:rsid w:val="00A03213"/>
    <w:rsid w:val="00A03236"/>
    <w:rsid w:val="00A03239"/>
    <w:rsid w:val="00A032C6"/>
    <w:rsid w:val="00A0332C"/>
    <w:rsid w:val="00A03335"/>
    <w:rsid w:val="00A03380"/>
    <w:rsid w:val="00A0338E"/>
    <w:rsid w:val="00A033B2"/>
    <w:rsid w:val="00A033C3"/>
    <w:rsid w:val="00A033C7"/>
    <w:rsid w:val="00A033E9"/>
    <w:rsid w:val="00A03466"/>
    <w:rsid w:val="00A0346D"/>
    <w:rsid w:val="00A034E5"/>
    <w:rsid w:val="00A03507"/>
    <w:rsid w:val="00A035AB"/>
    <w:rsid w:val="00A035DA"/>
    <w:rsid w:val="00A03689"/>
    <w:rsid w:val="00A03703"/>
    <w:rsid w:val="00A0370F"/>
    <w:rsid w:val="00A0374C"/>
    <w:rsid w:val="00A03766"/>
    <w:rsid w:val="00A0385F"/>
    <w:rsid w:val="00A03872"/>
    <w:rsid w:val="00A0388F"/>
    <w:rsid w:val="00A0389D"/>
    <w:rsid w:val="00A038CE"/>
    <w:rsid w:val="00A038CF"/>
    <w:rsid w:val="00A0393B"/>
    <w:rsid w:val="00A039B2"/>
    <w:rsid w:val="00A039CC"/>
    <w:rsid w:val="00A039D2"/>
    <w:rsid w:val="00A03A38"/>
    <w:rsid w:val="00A03B0A"/>
    <w:rsid w:val="00A03B27"/>
    <w:rsid w:val="00A03C31"/>
    <w:rsid w:val="00A03C4B"/>
    <w:rsid w:val="00A03C7C"/>
    <w:rsid w:val="00A03C80"/>
    <w:rsid w:val="00A03CAD"/>
    <w:rsid w:val="00A03D6E"/>
    <w:rsid w:val="00A03DB9"/>
    <w:rsid w:val="00A03E03"/>
    <w:rsid w:val="00A03E59"/>
    <w:rsid w:val="00A03ED1"/>
    <w:rsid w:val="00A03FA2"/>
    <w:rsid w:val="00A03FC5"/>
    <w:rsid w:val="00A04006"/>
    <w:rsid w:val="00A04043"/>
    <w:rsid w:val="00A040B2"/>
    <w:rsid w:val="00A040BF"/>
    <w:rsid w:val="00A0419B"/>
    <w:rsid w:val="00A04205"/>
    <w:rsid w:val="00A04230"/>
    <w:rsid w:val="00A04271"/>
    <w:rsid w:val="00A0429C"/>
    <w:rsid w:val="00A042CE"/>
    <w:rsid w:val="00A04331"/>
    <w:rsid w:val="00A043A6"/>
    <w:rsid w:val="00A04439"/>
    <w:rsid w:val="00A04491"/>
    <w:rsid w:val="00A044DF"/>
    <w:rsid w:val="00A04510"/>
    <w:rsid w:val="00A0453B"/>
    <w:rsid w:val="00A04568"/>
    <w:rsid w:val="00A04648"/>
    <w:rsid w:val="00A0465F"/>
    <w:rsid w:val="00A04790"/>
    <w:rsid w:val="00A04798"/>
    <w:rsid w:val="00A0482E"/>
    <w:rsid w:val="00A048A8"/>
    <w:rsid w:val="00A04929"/>
    <w:rsid w:val="00A04954"/>
    <w:rsid w:val="00A04985"/>
    <w:rsid w:val="00A04A2F"/>
    <w:rsid w:val="00A04B44"/>
    <w:rsid w:val="00A04C98"/>
    <w:rsid w:val="00A04DB8"/>
    <w:rsid w:val="00A04DC5"/>
    <w:rsid w:val="00A04E05"/>
    <w:rsid w:val="00A04E2E"/>
    <w:rsid w:val="00A04E54"/>
    <w:rsid w:val="00A04EFB"/>
    <w:rsid w:val="00A04F19"/>
    <w:rsid w:val="00A04F3F"/>
    <w:rsid w:val="00A04F4F"/>
    <w:rsid w:val="00A05046"/>
    <w:rsid w:val="00A051F2"/>
    <w:rsid w:val="00A0523C"/>
    <w:rsid w:val="00A05306"/>
    <w:rsid w:val="00A0533B"/>
    <w:rsid w:val="00A05390"/>
    <w:rsid w:val="00A053A5"/>
    <w:rsid w:val="00A053C1"/>
    <w:rsid w:val="00A0546D"/>
    <w:rsid w:val="00A054BD"/>
    <w:rsid w:val="00A054D9"/>
    <w:rsid w:val="00A0552C"/>
    <w:rsid w:val="00A05597"/>
    <w:rsid w:val="00A055CD"/>
    <w:rsid w:val="00A05604"/>
    <w:rsid w:val="00A05612"/>
    <w:rsid w:val="00A0562B"/>
    <w:rsid w:val="00A05727"/>
    <w:rsid w:val="00A05781"/>
    <w:rsid w:val="00A05850"/>
    <w:rsid w:val="00A0587C"/>
    <w:rsid w:val="00A0587F"/>
    <w:rsid w:val="00A05883"/>
    <w:rsid w:val="00A0588C"/>
    <w:rsid w:val="00A05895"/>
    <w:rsid w:val="00A05897"/>
    <w:rsid w:val="00A058B7"/>
    <w:rsid w:val="00A058E4"/>
    <w:rsid w:val="00A0593C"/>
    <w:rsid w:val="00A059D8"/>
    <w:rsid w:val="00A059DB"/>
    <w:rsid w:val="00A05A14"/>
    <w:rsid w:val="00A05B62"/>
    <w:rsid w:val="00A05B7A"/>
    <w:rsid w:val="00A05B9F"/>
    <w:rsid w:val="00A05BB8"/>
    <w:rsid w:val="00A05BD3"/>
    <w:rsid w:val="00A05C0B"/>
    <w:rsid w:val="00A05C18"/>
    <w:rsid w:val="00A05C30"/>
    <w:rsid w:val="00A05C70"/>
    <w:rsid w:val="00A05CD0"/>
    <w:rsid w:val="00A05CF0"/>
    <w:rsid w:val="00A05D33"/>
    <w:rsid w:val="00A05D97"/>
    <w:rsid w:val="00A05E81"/>
    <w:rsid w:val="00A05E8B"/>
    <w:rsid w:val="00A05F23"/>
    <w:rsid w:val="00A0606E"/>
    <w:rsid w:val="00A06075"/>
    <w:rsid w:val="00A06083"/>
    <w:rsid w:val="00A060A3"/>
    <w:rsid w:val="00A060E1"/>
    <w:rsid w:val="00A06163"/>
    <w:rsid w:val="00A06183"/>
    <w:rsid w:val="00A061E3"/>
    <w:rsid w:val="00A061F5"/>
    <w:rsid w:val="00A062C5"/>
    <w:rsid w:val="00A0632B"/>
    <w:rsid w:val="00A06332"/>
    <w:rsid w:val="00A0635D"/>
    <w:rsid w:val="00A06368"/>
    <w:rsid w:val="00A063A3"/>
    <w:rsid w:val="00A063E5"/>
    <w:rsid w:val="00A064A5"/>
    <w:rsid w:val="00A06514"/>
    <w:rsid w:val="00A06570"/>
    <w:rsid w:val="00A0659B"/>
    <w:rsid w:val="00A065C4"/>
    <w:rsid w:val="00A065FD"/>
    <w:rsid w:val="00A06656"/>
    <w:rsid w:val="00A06711"/>
    <w:rsid w:val="00A06728"/>
    <w:rsid w:val="00A067D4"/>
    <w:rsid w:val="00A067F6"/>
    <w:rsid w:val="00A06862"/>
    <w:rsid w:val="00A068BC"/>
    <w:rsid w:val="00A06942"/>
    <w:rsid w:val="00A069B4"/>
    <w:rsid w:val="00A06A6C"/>
    <w:rsid w:val="00A06B6C"/>
    <w:rsid w:val="00A06BAC"/>
    <w:rsid w:val="00A06BAE"/>
    <w:rsid w:val="00A06BBC"/>
    <w:rsid w:val="00A06BD4"/>
    <w:rsid w:val="00A06C0B"/>
    <w:rsid w:val="00A06CE4"/>
    <w:rsid w:val="00A06D02"/>
    <w:rsid w:val="00A06D63"/>
    <w:rsid w:val="00A06DA1"/>
    <w:rsid w:val="00A06DED"/>
    <w:rsid w:val="00A06DF8"/>
    <w:rsid w:val="00A06E55"/>
    <w:rsid w:val="00A06FA3"/>
    <w:rsid w:val="00A07049"/>
    <w:rsid w:val="00A0704E"/>
    <w:rsid w:val="00A0708E"/>
    <w:rsid w:val="00A071B1"/>
    <w:rsid w:val="00A071CF"/>
    <w:rsid w:val="00A07288"/>
    <w:rsid w:val="00A072A5"/>
    <w:rsid w:val="00A0733A"/>
    <w:rsid w:val="00A07376"/>
    <w:rsid w:val="00A0737A"/>
    <w:rsid w:val="00A0746F"/>
    <w:rsid w:val="00A07497"/>
    <w:rsid w:val="00A074C3"/>
    <w:rsid w:val="00A074EB"/>
    <w:rsid w:val="00A07512"/>
    <w:rsid w:val="00A07557"/>
    <w:rsid w:val="00A0761D"/>
    <w:rsid w:val="00A07681"/>
    <w:rsid w:val="00A07774"/>
    <w:rsid w:val="00A07805"/>
    <w:rsid w:val="00A07806"/>
    <w:rsid w:val="00A07829"/>
    <w:rsid w:val="00A07839"/>
    <w:rsid w:val="00A078D9"/>
    <w:rsid w:val="00A078EB"/>
    <w:rsid w:val="00A07948"/>
    <w:rsid w:val="00A07B10"/>
    <w:rsid w:val="00A07B49"/>
    <w:rsid w:val="00A07BCF"/>
    <w:rsid w:val="00A07C16"/>
    <w:rsid w:val="00A07C38"/>
    <w:rsid w:val="00A07C49"/>
    <w:rsid w:val="00A07CDE"/>
    <w:rsid w:val="00A07CF6"/>
    <w:rsid w:val="00A07D00"/>
    <w:rsid w:val="00A07D30"/>
    <w:rsid w:val="00A07DCD"/>
    <w:rsid w:val="00A07DE4"/>
    <w:rsid w:val="00A07E48"/>
    <w:rsid w:val="00A07E4D"/>
    <w:rsid w:val="00A07E5C"/>
    <w:rsid w:val="00A07ED2"/>
    <w:rsid w:val="00A07F40"/>
    <w:rsid w:val="00A1003A"/>
    <w:rsid w:val="00A10065"/>
    <w:rsid w:val="00A1007A"/>
    <w:rsid w:val="00A10138"/>
    <w:rsid w:val="00A1018E"/>
    <w:rsid w:val="00A101BD"/>
    <w:rsid w:val="00A1028F"/>
    <w:rsid w:val="00A102BD"/>
    <w:rsid w:val="00A102BF"/>
    <w:rsid w:val="00A10392"/>
    <w:rsid w:val="00A10395"/>
    <w:rsid w:val="00A1046A"/>
    <w:rsid w:val="00A104D3"/>
    <w:rsid w:val="00A1051C"/>
    <w:rsid w:val="00A1053C"/>
    <w:rsid w:val="00A10549"/>
    <w:rsid w:val="00A106E7"/>
    <w:rsid w:val="00A10883"/>
    <w:rsid w:val="00A108CF"/>
    <w:rsid w:val="00A10972"/>
    <w:rsid w:val="00A109CF"/>
    <w:rsid w:val="00A10A88"/>
    <w:rsid w:val="00A10A9C"/>
    <w:rsid w:val="00A10AF7"/>
    <w:rsid w:val="00A10B11"/>
    <w:rsid w:val="00A10BEB"/>
    <w:rsid w:val="00A10BF0"/>
    <w:rsid w:val="00A10C21"/>
    <w:rsid w:val="00A10CAD"/>
    <w:rsid w:val="00A10CF7"/>
    <w:rsid w:val="00A10D11"/>
    <w:rsid w:val="00A10E08"/>
    <w:rsid w:val="00A10EAC"/>
    <w:rsid w:val="00A10FB1"/>
    <w:rsid w:val="00A10FB4"/>
    <w:rsid w:val="00A10FB9"/>
    <w:rsid w:val="00A11020"/>
    <w:rsid w:val="00A110A7"/>
    <w:rsid w:val="00A110CA"/>
    <w:rsid w:val="00A1110F"/>
    <w:rsid w:val="00A11120"/>
    <w:rsid w:val="00A1114A"/>
    <w:rsid w:val="00A1115B"/>
    <w:rsid w:val="00A1126D"/>
    <w:rsid w:val="00A112F3"/>
    <w:rsid w:val="00A11326"/>
    <w:rsid w:val="00A113E4"/>
    <w:rsid w:val="00A11435"/>
    <w:rsid w:val="00A1149C"/>
    <w:rsid w:val="00A114BF"/>
    <w:rsid w:val="00A114CD"/>
    <w:rsid w:val="00A114F4"/>
    <w:rsid w:val="00A11574"/>
    <w:rsid w:val="00A1157F"/>
    <w:rsid w:val="00A115C7"/>
    <w:rsid w:val="00A1168E"/>
    <w:rsid w:val="00A116E8"/>
    <w:rsid w:val="00A11721"/>
    <w:rsid w:val="00A117A3"/>
    <w:rsid w:val="00A11828"/>
    <w:rsid w:val="00A11832"/>
    <w:rsid w:val="00A11849"/>
    <w:rsid w:val="00A118B7"/>
    <w:rsid w:val="00A118EE"/>
    <w:rsid w:val="00A11906"/>
    <w:rsid w:val="00A1191F"/>
    <w:rsid w:val="00A11988"/>
    <w:rsid w:val="00A11A46"/>
    <w:rsid w:val="00A11A77"/>
    <w:rsid w:val="00A11AB0"/>
    <w:rsid w:val="00A11AD9"/>
    <w:rsid w:val="00A11BC8"/>
    <w:rsid w:val="00A11C17"/>
    <w:rsid w:val="00A11C24"/>
    <w:rsid w:val="00A11C5A"/>
    <w:rsid w:val="00A11CF8"/>
    <w:rsid w:val="00A11D1C"/>
    <w:rsid w:val="00A11DE0"/>
    <w:rsid w:val="00A11E53"/>
    <w:rsid w:val="00A11E73"/>
    <w:rsid w:val="00A11E7C"/>
    <w:rsid w:val="00A11E86"/>
    <w:rsid w:val="00A11ECF"/>
    <w:rsid w:val="00A11EDB"/>
    <w:rsid w:val="00A11F28"/>
    <w:rsid w:val="00A11FF3"/>
    <w:rsid w:val="00A12050"/>
    <w:rsid w:val="00A120AA"/>
    <w:rsid w:val="00A120DB"/>
    <w:rsid w:val="00A12167"/>
    <w:rsid w:val="00A12171"/>
    <w:rsid w:val="00A121C9"/>
    <w:rsid w:val="00A121D9"/>
    <w:rsid w:val="00A122DB"/>
    <w:rsid w:val="00A122E1"/>
    <w:rsid w:val="00A1237F"/>
    <w:rsid w:val="00A12394"/>
    <w:rsid w:val="00A123DA"/>
    <w:rsid w:val="00A123E2"/>
    <w:rsid w:val="00A12423"/>
    <w:rsid w:val="00A12446"/>
    <w:rsid w:val="00A12535"/>
    <w:rsid w:val="00A125D5"/>
    <w:rsid w:val="00A125EC"/>
    <w:rsid w:val="00A12645"/>
    <w:rsid w:val="00A12662"/>
    <w:rsid w:val="00A1271B"/>
    <w:rsid w:val="00A127B4"/>
    <w:rsid w:val="00A12824"/>
    <w:rsid w:val="00A12831"/>
    <w:rsid w:val="00A12900"/>
    <w:rsid w:val="00A1296D"/>
    <w:rsid w:val="00A129D3"/>
    <w:rsid w:val="00A12A48"/>
    <w:rsid w:val="00A12A97"/>
    <w:rsid w:val="00A12ABF"/>
    <w:rsid w:val="00A12B30"/>
    <w:rsid w:val="00A12BAD"/>
    <w:rsid w:val="00A12BD5"/>
    <w:rsid w:val="00A12C27"/>
    <w:rsid w:val="00A12C83"/>
    <w:rsid w:val="00A12C84"/>
    <w:rsid w:val="00A12C92"/>
    <w:rsid w:val="00A12CEF"/>
    <w:rsid w:val="00A12D46"/>
    <w:rsid w:val="00A12D4A"/>
    <w:rsid w:val="00A12E16"/>
    <w:rsid w:val="00A12E96"/>
    <w:rsid w:val="00A12ED0"/>
    <w:rsid w:val="00A12FCD"/>
    <w:rsid w:val="00A1307B"/>
    <w:rsid w:val="00A1313E"/>
    <w:rsid w:val="00A1314A"/>
    <w:rsid w:val="00A132CC"/>
    <w:rsid w:val="00A1331A"/>
    <w:rsid w:val="00A1345D"/>
    <w:rsid w:val="00A134C7"/>
    <w:rsid w:val="00A134FB"/>
    <w:rsid w:val="00A13650"/>
    <w:rsid w:val="00A1371C"/>
    <w:rsid w:val="00A13748"/>
    <w:rsid w:val="00A13750"/>
    <w:rsid w:val="00A137A4"/>
    <w:rsid w:val="00A138A5"/>
    <w:rsid w:val="00A13906"/>
    <w:rsid w:val="00A13945"/>
    <w:rsid w:val="00A13B0C"/>
    <w:rsid w:val="00A13B5B"/>
    <w:rsid w:val="00A13BF7"/>
    <w:rsid w:val="00A13C07"/>
    <w:rsid w:val="00A13C1A"/>
    <w:rsid w:val="00A13C62"/>
    <w:rsid w:val="00A13C8D"/>
    <w:rsid w:val="00A13C98"/>
    <w:rsid w:val="00A13E51"/>
    <w:rsid w:val="00A13E99"/>
    <w:rsid w:val="00A13F35"/>
    <w:rsid w:val="00A13F9F"/>
    <w:rsid w:val="00A140AE"/>
    <w:rsid w:val="00A140E0"/>
    <w:rsid w:val="00A140FB"/>
    <w:rsid w:val="00A1411E"/>
    <w:rsid w:val="00A14185"/>
    <w:rsid w:val="00A14322"/>
    <w:rsid w:val="00A1434A"/>
    <w:rsid w:val="00A143A6"/>
    <w:rsid w:val="00A143A8"/>
    <w:rsid w:val="00A143FD"/>
    <w:rsid w:val="00A14429"/>
    <w:rsid w:val="00A144B8"/>
    <w:rsid w:val="00A14552"/>
    <w:rsid w:val="00A145AF"/>
    <w:rsid w:val="00A145B4"/>
    <w:rsid w:val="00A145B7"/>
    <w:rsid w:val="00A1468A"/>
    <w:rsid w:val="00A14698"/>
    <w:rsid w:val="00A146F3"/>
    <w:rsid w:val="00A14704"/>
    <w:rsid w:val="00A14835"/>
    <w:rsid w:val="00A148FF"/>
    <w:rsid w:val="00A14B2A"/>
    <w:rsid w:val="00A14B8B"/>
    <w:rsid w:val="00A14BA9"/>
    <w:rsid w:val="00A14C38"/>
    <w:rsid w:val="00A14C7F"/>
    <w:rsid w:val="00A14CAF"/>
    <w:rsid w:val="00A14CC1"/>
    <w:rsid w:val="00A14D41"/>
    <w:rsid w:val="00A14D99"/>
    <w:rsid w:val="00A14E96"/>
    <w:rsid w:val="00A14F2D"/>
    <w:rsid w:val="00A14FA1"/>
    <w:rsid w:val="00A14FAF"/>
    <w:rsid w:val="00A14FF6"/>
    <w:rsid w:val="00A1502F"/>
    <w:rsid w:val="00A150D1"/>
    <w:rsid w:val="00A1512D"/>
    <w:rsid w:val="00A1515B"/>
    <w:rsid w:val="00A15228"/>
    <w:rsid w:val="00A1525A"/>
    <w:rsid w:val="00A1538C"/>
    <w:rsid w:val="00A15445"/>
    <w:rsid w:val="00A154BD"/>
    <w:rsid w:val="00A154D5"/>
    <w:rsid w:val="00A1551F"/>
    <w:rsid w:val="00A15522"/>
    <w:rsid w:val="00A155B9"/>
    <w:rsid w:val="00A15612"/>
    <w:rsid w:val="00A1562C"/>
    <w:rsid w:val="00A157AD"/>
    <w:rsid w:val="00A15824"/>
    <w:rsid w:val="00A15873"/>
    <w:rsid w:val="00A15948"/>
    <w:rsid w:val="00A15965"/>
    <w:rsid w:val="00A1596F"/>
    <w:rsid w:val="00A1597D"/>
    <w:rsid w:val="00A159AD"/>
    <w:rsid w:val="00A159F1"/>
    <w:rsid w:val="00A15A83"/>
    <w:rsid w:val="00A15B04"/>
    <w:rsid w:val="00A15BDC"/>
    <w:rsid w:val="00A15C15"/>
    <w:rsid w:val="00A15CAE"/>
    <w:rsid w:val="00A15CDB"/>
    <w:rsid w:val="00A15CE1"/>
    <w:rsid w:val="00A15CE4"/>
    <w:rsid w:val="00A15DA8"/>
    <w:rsid w:val="00A15DCD"/>
    <w:rsid w:val="00A15EA0"/>
    <w:rsid w:val="00A1608C"/>
    <w:rsid w:val="00A160FD"/>
    <w:rsid w:val="00A16110"/>
    <w:rsid w:val="00A1617F"/>
    <w:rsid w:val="00A1620F"/>
    <w:rsid w:val="00A1629A"/>
    <w:rsid w:val="00A162A3"/>
    <w:rsid w:val="00A162A6"/>
    <w:rsid w:val="00A16337"/>
    <w:rsid w:val="00A163B0"/>
    <w:rsid w:val="00A163B3"/>
    <w:rsid w:val="00A16405"/>
    <w:rsid w:val="00A16411"/>
    <w:rsid w:val="00A16418"/>
    <w:rsid w:val="00A16474"/>
    <w:rsid w:val="00A1653E"/>
    <w:rsid w:val="00A165EC"/>
    <w:rsid w:val="00A16655"/>
    <w:rsid w:val="00A16712"/>
    <w:rsid w:val="00A1673B"/>
    <w:rsid w:val="00A1674B"/>
    <w:rsid w:val="00A167E3"/>
    <w:rsid w:val="00A1682F"/>
    <w:rsid w:val="00A16845"/>
    <w:rsid w:val="00A16849"/>
    <w:rsid w:val="00A1685C"/>
    <w:rsid w:val="00A1695D"/>
    <w:rsid w:val="00A16A0B"/>
    <w:rsid w:val="00A16A32"/>
    <w:rsid w:val="00A16B1B"/>
    <w:rsid w:val="00A16B21"/>
    <w:rsid w:val="00A16B3C"/>
    <w:rsid w:val="00A16B4D"/>
    <w:rsid w:val="00A16B8C"/>
    <w:rsid w:val="00A16B95"/>
    <w:rsid w:val="00A16B9E"/>
    <w:rsid w:val="00A16BFF"/>
    <w:rsid w:val="00A16C01"/>
    <w:rsid w:val="00A16C62"/>
    <w:rsid w:val="00A16CFE"/>
    <w:rsid w:val="00A16D7A"/>
    <w:rsid w:val="00A16D9D"/>
    <w:rsid w:val="00A16DEF"/>
    <w:rsid w:val="00A16E0F"/>
    <w:rsid w:val="00A16E17"/>
    <w:rsid w:val="00A16E5F"/>
    <w:rsid w:val="00A16EF2"/>
    <w:rsid w:val="00A16F0D"/>
    <w:rsid w:val="00A16F10"/>
    <w:rsid w:val="00A16F5A"/>
    <w:rsid w:val="00A16FC7"/>
    <w:rsid w:val="00A16FED"/>
    <w:rsid w:val="00A1700D"/>
    <w:rsid w:val="00A1705D"/>
    <w:rsid w:val="00A170A1"/>
    <w:rsid w:val="00A171AF"/>
    <w:rsid w:val="00A171F5"/>
    <w:rsid w:val="00A1727B"/>
    <w:rsid w:val="00A172B0"/>
    <w:rsid w:val="00A172B9"/>
    <w:rsid w:val="00A172ED"/>
    <w:rsid w:val="00A173A3"/>
    <w:rsid w:val="00A173A8"/>
    <w:rsid w:val="00A173D8"/>
    <w:rsid w:val="00A1740F"/>
    <w:rsid w:val="00A1742D"/>
    <w:rsid w:val="00A17440"/>
    <w:rsid w:val="00A17451"/>
    <w:rsid w:val="00A1751C"/>
    <w:rsid w:val="00A1754C"/>
    <w:rsid w:val="00A175FE"/>
    <w:rsid w:val="00A1764C"/>
    <w:rsid w:val="00A1769E"/>
    <w:rsid w:val="00A177E9"/>
    <w:rsid w:val="00A1782C"/>
    <w:rsid w:val="00A178BF"/>
    <w:rsid w:val="00A1799A"/>
    <w:rsid w:val="00A17A2F"/>
    <w:rsid w:val="00A17AF8"/>
    <w:rsid w:val="00A17B19"/>
    <w:rsid w:val="00A17B1A"/>
    <w:rsid w:val="00A17BFC"/>
    <w:rsid w:val="00A17CC8"/>
    <w:rsid w:val="00A17D43"/>
    <w:rsid w:val="00A17E31"/>
    <w:rsid w:val="00A17E33"/>
    <w:rsid w:val="00A17E7A"/>
    <w:rsid w:val="00A17EA3"/>
    <w:rsid w:val="00A17EB3"/>
    <w:rsid w:val="00A17EC1"/>
    <w:rsid w:val="00A17ECE"/>
    <w:rsid w:val="00A17ED0"/>
    <w:rsid w:val="00A17EDC"/>
    <w:rsid w:val="00A17EF3"/>
    <w:rsid w:val="00A200FD"/>
    <w:rsid w:val="00A2014E"/>
    <w:rsid w:val="00A201EA"/>
    <w:rsid w:val="00A20210"/>
    <w:rsid w:val="00A20245"/>
    <w:rsid w:val="00A2025D"/>
    <w:rsid w:val="00A2030B"/>
    <w:rsid w:val="00A20324"/>
    <w:rsid w:val="00A2032C"/>
    <w:rsid w:val="00A20363"/>
    <w:rsid w:val="00A2039E"/>
    <w:rsid w:val="00A20440"/>
    <w:rsid w:val="00A20445"/>
    <w:rsid w:val="00A20489"/>
    <w:rsid w:val="00A204C1"/>
    <w:rsid w:val="00A204D4"/>
    <w:rsid w:val="00A205BC"/>
    <w:rsid w:val="00A206C0"/>
    <w:rsid w:val="00A207AB"/>
    <w:rsid w:val="00A207DC"/>
    <w:rsid w:val="00A20839"/>
    <w:rsid w:val="00A2086D"/>
    <w:rsid w:val="00A20872"/>
    <w:rsid w:val="00A2088C"/>
    <w:rsid w:val="00A208FE"/>
    <w:rsid w:val="00A2090C"/>
    <w:rsid w:val="00A20A7F"/>
    <w:rsid w:val="00A20A9A"/>
    <w:rsid w:val="00A20B30"/>
    <w:rsid w:val="00A20B6F"/>
    <w:rsid w:val="00A20BAF"/>
    <w:rsid w:val="00A20BE3"/>
    <w:rsid w:val="00A20C12"/>
    <w:rsid w:val="00A20C1F"/>
    <w:rsid w:val="00A20C41"/>
    <w:rsid w:val="00A20C67"/>
    <w:rsid w:val="00A20C75"/>
    <w:rsid w:val="00A20CB1"/>
    <w:rsid w:val="00A20CB5"/>
    <w:rsid w:val="00A20D5E"/>
    <w:rsid w:val="00A20E67"/>
    <w:rsid w:val="00A20F03"/>
    <w:rsid w:val="00A20FB1"/>
    <w:rsid w:val="00A20FC5"/>
    <w:rsid w:val="00A20FC8"/>
    <w:rsid w:val="00A21054"/>
    <w:rsid w:val="00A21092"/>
    <w:rsid w:val="00A210ED"/>
    <w:rsid w:val="00A21150"/>
    <w:rsid w:val="00A2115C"/>
    <w:rsid w:val="00A2121D"/>
    <w:rsid w:val="00A21235"/>
    <w:rsid w:val="00A212E2"/>
    <w:rsid w:val="00A21322"/>
    <w:rsid w:val="00A213BA"/>
    <w:rsid w:val="00A21455"/>
    <w:rsid w:val="00A21457"/>
    <w:rsid w:val="00A21458"/>
    <w:rsid w:val="00A21498"/>
    <w:rsid w:val="00A215D0"/>
    <w:rsid w:val="00A21652"/>
    <w:rsid w:val="00A216D8"/>
    <w:rsid w:val="00A21721"/>
    <w:rsid w:val="00A217D2"/>
    <w:rsid w:val="00A21851"/>
    <w:rsid w:val="00A21853"/>
    <w:rsid w:val="00A2188E"/>
    <w:rsid w:val="00A218A7"/>
    <w:rsid w:val="00A219A0"/>
    <w:rsid w:val="00A21AA4"/>
    <w:rsid w:val="00A21ABF"/>
    <w:rsid w:val="00A21B05"/>
    <w:rsid w:val="00A21B29"/>
    <w:rsid w:val="00A21B77"/>
    <w:rsid w:val="00A21B89"/>
    <w:rsid w:val="00A21C23"/>
    <w:rsid w:val="00A21C47"/>
    <w:rsid w:val="00A21CB3"/>
    <w:rsid w:val="00A21D23"/>
    <w:rsid w:val="00A21D6F"/>
    <w:rsid w:val="00A21D96"/>
    <w:rsid w:val="00A21DE0"/>
    <w:rsid w:val="00A21E9A"/>
    <w:rsid w:val="00A21EC5"/>
    <w:rsid w:val="00A21EDA"/>
    <w:rsid w:val="00A21F2A"/>
    <w:rsid w:val="00A21F3A"/>
    <w:rsid w:val="00A21F57"/>
    <w:rsid w:val="00A21F82"/>
    <w:rsid w:val="00A21FAE"/>
    <w:rsid w:val="00A22007"/>
    <w:rsid w:val="00A2200C"/>
    <w:rsid w:val="00A2207D"/>
    <w:rsid w:val="00A220BF"/>
    <w:rsid w:val="00A220D1"/>
    <w:rsid w:val="00A220FD"/>
    <w:rsid w:val="00A22135"/>
    <w:rsid w:val="00A22149"/>
    <w:rsid w:val="00A22237"/>
    <w:rsid w:val="00A22241"/>
    <w:rsid w:val="00A22246"/>
    <w:rsid w:val="00A22281"/>
    <w:rsid w:val="00A2228B"/>
    <w:rsid w:val="00A22313"/>
    <w:rsid w:val="00A22350"/>
    <w:rsid w:val="00A22361"/>
    <w:rsid w:val="00A22374"/>
    <w:rsid w:val="00A223A1"/>
    <w:rsid w:val="00A22421"/>
    <w:rsid w:val="00A224A6"/>
    <w:rsid w:val="00A22533"/>
    <w:rsid w:val="00A225BA"/>
    <w:rsid w:val="00A225CB"/>
    <w:rsid w:val="00A22692"/>
    <w:rsid w:val="00A2274D"/>
    <w:rsid w:val="00A228F8"/>
    <w:rsid w:val="00A22945"/>
    <w:rsid w:val="00A2295B"/>
    <w:rsid w:val="00A22999"/>
    <w:rsid w:val="00A22A77"/>
    <w:rsid w:val="00A22ACA"/>
    <w:rsid w:val="00A22B08"/>
    <w:rsid w:val="00A22B8A"/>
    <w:rsid w:val="00A22BEE"/>
    <w:rsid w:val="00A22CE6"/>
    <w:rsid w:val="00A22D4D"/>
    <w:rsid w:val="00A22DA8"/>
    <w:rsid w:val="00A22DE3"/>
    <w:rsid w:val="00A22E79"/>
    <w:rsid w:val="00A22EF0"/>
    <w:rsid w:val="00A22F38"/>
    <w:rsid w:val="00A22F9D"/>
    <w:rsid w:val="00A22FB9"/>
    <w:rsid w:val="00A22FFC"/>
    <w:rsid w:val="00A230C9"/>
    <w:rsid w:val="00A2315B"/>
    <w:rsid w:val="00A231DB"/>
    <w:rsid w:val="00A231DF"/>
    <w:rsid w:val="00A231F0"/>
    <w:rsid w:val="00A23215"/>
    <w:rsid w:val="00A2336D"/>
    <w:rsid w:val="00A233A4"/>
    <w:rsid w:val="00A233D3"/>
    <w:rsid w:val="00A233FB"/>
    <w:rsid w:val="00A23413"/>
    <w:rsid w:val="00A23425"/>
    <w:rsid w:val="00A234BC"/>
    <w:rsid w:val="00A234BD"/>
    <w:rsid w:val="00A23553"/>
    <w:rsid w:val="00A235A0"/>
    <w:rsid w:val="00A235A8"/>
    <w:rsid w:val="00A235B0"/>
    <w:rsid w:val="00A236EC"/>
    <w:rsid w:val="00A236F9"/>
    <w:rsid w:val="00A2372F"/>
    <w:rsid w:val="00A23828"/>
    <w:rsid w:val="00A23984"/>
    <w:rsid w:val="00A239A6"/>
    <w:rsid w:val="00A239F9"/>
    <w:rsid w:val="00A23A28"/>
    <w:rsid w:val="00A23A5E"/>
    <w:rsid w:val="00A23B88"/>
    <w:rsid w:val="00A23BB3"/>
    <w:rsid w:val="00A23CAA"/>
    <w:rsid w:val="00A23D12"/>
    <w:rsid w:val="00A23D1E"/>
    <w:rsid w:val="00A23E1A"/>
    <w:rsid w:val="00A23EA4"/>
    <w:rsid w:val="00A240CF"/>
    <w:rsid w:val="00A240E9"/>
    <w:rsid w:val="00A24106"/>
    <w:rsid w:val="00A24180"/>
    <w:rsid w:val="00A24185"/>
    <w:rsid w:val="00A24189"/>
    <w:rsid w:val="00A2424E"/>
    <w:rsid w:val="00A2428D"/>
    <w:rsid w:val="00A242E4"/>
    <w:rsid w:val="00A2437E"/>
    <w:rsid w:val="00A24395"/>
    <w:rsid w:val="00A2447B"/>
    <w:rsid w:val="00A24483"/>
    <w:rsid w:val="00A244E6"/>
    <w:rsid w:val="00A24605"/>
    <w:rsid w:val="00A24608"/>
    <w:rsid w:val="00A24627"/>
    <w:rsid w:val="00A24629"/>
    <w:rsid w:val="00A24652"/>
    <w:rsid w:val="00A24754"/>
    <w:rsid w:val="00A247B0"/>
    <w:rsid w:val="00A247EC"/>
    <w:rsid w:val="00A24849"/>
    <w:rsid w:val="00A2490B"/>
    <w:rsid w:val="00A24929"/>
    <w:rsid w:val="00A249FF"/>
    <w:rsid w:val="00A24A13"/>
    <w:rsid w:val="00A24A6D"/>
    <w:rsid w:val="00A24B27"/>
    <w:rsid w:val="00A24B4F"/>
    <w:rsid w:val="00A24B72"/>
    <w:rsid w:val="00A24B90"/>
    <w:rsid w:val="00A24B96"/>
    <w:rsid w:val="00A24BF9"/>
    <w:rsid w:val="00A24C29"/>
    <w:rsid w:val="00A24D1F"/>
    <w:rsid w:val="00A24D5B"/>
    <w:rsid w:val="00A24E7D"/>
    <w:rsid w:val="00A24EA8"/>
    <w:rsid w:val="00A24EC5"/>
    <w:rsid w:val="00A24EDB"/>
    <w:rsid w:val="00A24F3D"/>
    <w:rsid w:val="00A24FBD"/>
    <w:rsid w:val="00A25035"/>
    <w:rsid w:val="00A25055"/>
    <w:rsid w:val="00A250A1"/>
    <w:rsid w:val="00A250B0"/>
    <w:rsid w:val="00A25155"/>
    <w:rsid w:val="00A25321"/>
    <w:rsid w:val="00A253F9"/>
    <w:rsid w:val="00A254F4"/>
    <w:rsid w:val="00A25511"/>
    <w:rsid w:val="00A2563F"/>
    <w:rsid w:val="00A25665"/>
    <w:rsid w:val="00A25683"/>
    <w:rsid w:val="00A256C5"/>
    <w:rsid w:val="00A256D9"/>
    <w:rsid w:val="00A25723"/>
    <w:rsid w:val="00A25739"/>
    <w:rsid w:val="00A2576A"/>
    <w:rsid w:val="00A2576D"/>
    <w:rsid w:val="00A2576E"/>
    <w:rsid w:val="00A257F8"/>
    <w:rsid w:val="00A25849"/>
    <w:rsid w:val="00A258DA"/>
    <w:rsid w:val="00A25914"/>
    <w:rsid w:val="00A25921"/>
    <w:rsid w:val="00A2593B"/>
    <w:rsid w:val="00A259D3"/>
    <w:rsid w:val="00A25A00"/>
    <w:rsid w:val="00A25AA8"/>
    <w:rsid w:val="00A25ACC"/>
    <w:rsid w:val="00A25AE7"/>
    <w:rsid w:val="00A25C77"/>
    <w:rsid w:val="00A25CCE"/>
    <w:rsid w:val="00A25CF6"/>
    <w:rsid w:val="00A25D34"/>
    <w:rsid w:val="00A25D35"/>
    <w:rsid w:val="00A25D77"/>
    <w:rsid w:val="00A25E8F"/>
    <w:rsid w:val="00A25EAE"/>
    <w:rsid w:val="00A25FE7"/>
    <w:rsid w:val="00A26054"/>
    <w:rsid w:val="00A2609B"/>
    <w:rsid w:val="00A260B4"/>
    <w:rsid w:val="00A2616C"/>
    <w:rsid w:val="00A26182"/>
    <w:rsid w:val="00A2620D"/>
    <w:rsid w:val="00A26281"/>
    <w:rsid w:val="00A264FE"/>
    <w:rsid w:val="00A26527"/>
    <w:rsid w:val="00A265C8"/>
    <w:rsid w:val="00A26680"/>
    <w:rsid w:val="00A266C0"/>
    <w:rsid w:val="00A266E1"/>
    <w:rsid w:val="00A2678B"/>
    <w:rsid w:val="00A26824"/>
    <w:rsid w:val="00A2682C"/>
    <w:rsid w:val="00A26848"/>
    <w:rsid w:val="00A268CC"/>
    <w:rsid w:val="00A2697C"/>
    <w:rsid w:val="00A2698D"/>
    <w:rsid w:val="00A269BF"/>
    <w:rsid w:val="00A26A11"/>
    <w:rsid w:val="00A26AA6"/>
    <w:rsid w:val="00A26ABC"/>
    <w:rsid w:val="00A26AD9"/>
    <w:rsid w:val="00A26C42"/>
    <w:rsid w:val="00A26CAC"/>
    <w:rsid w:val="00A26CBA"/>
    <w:rsid w:val="00A26CBD"/>
    <w:rsid w:val="00A26CD8"/>
    <w:rsid w:val="00A26CE6"/>
    <w:rsid w:val="00A26D34"/>
    <w:rsid w:val="00A26D55"/>
    <w:rsid w:val="00A26E14"/>
    <w:rsid w:val="00A26E20"/>
    <w:rsid w:val="00A26E44"/>
    <w:rsid w:val="00A26EC2"/>
    <w:rsid w:val="00A26ED5"/>
    <w:rsid w:val="00A26EDE"/>
    <w:rsid w:val="00A26F4C"/>
    <w:rsid w:val="00A26F87"/>
    <w:rsid w:val="00A26FB7"/>
    <w:rsid w:val="00A2702D"/>
    <w:rsid w:val="00A27042"/>
    <w:rsid w:val="00A27089"/>
    <w:rsid w:val="00A27111"/>
    <w:rsid w:val="00A2717A"/>
    <w:rsid w:val="00A271AB"/>
    <w:rsid w:val="00A271DA"/>
    <w:rsid w:val="00A271E4"/>
    <w:rsid w:val="00A27265"/>
    <w:rsid w:val="00A272B4"/>
    <w:rsid w:val="00A27332"/>
    <w:rsid w:val="00A27334"/>
    <w:rsid w:val="00A273AA"/>
    <w:rsid w:val="00A273D2"/>
    <w:rsid w:val="00A273E8"/>
    <w:rsid w:val="00A273FC"/>
    <w:rsid w:val="00A27441"/>
    <w:rsid w:val="00A274AF"/>
    <w:rsid w:val="00A27506"/>
    <w:rsid w:val="00A2754F"/>
    <w:rsid w:val="00A2757A"/>
    <w:rsid w:val="00A27692"/>
    <w:rsid w:val="00A276AA"/>
    <w:rsid w:val="00A276B5"/>
    <w:rsid w:val="00A27758"/>
    <w:rsid w:val="00A27783"/>
    <w:rsid w:val="00A277BB"/>
    <w:rsid w:val="00A277EE"/>
    <w:rsid w:val="00A277F1"/>
    <w:rsid w:val="00A2789B"/>
    <w:rsid w:val="00A27944"/>
    <w:rsid w:val="00A2795B"/>
    <w:rsid w:val="00A27966"/>
    <w:rsid w:val="00A27972"/>
    <w:rsid w:val="00A27A4F"/>
    <w:rsid w:val="00A27AAF"/>
    <w:rsid w:val="00A27AD7"/>
    <w:rsid w:val="00A27B08"/>
    <w:rsid w:val="00A27BAB"/>
    <w:rsid w:val="00A27BCA"/>
    <w:rsid w:val="00A27BCE"/>
    <w:rsid w:val="00A27BDC"/>
    <w:rsid w:val="00A27C0C"/>
    <w:rsid w:val="00A27C55"/>
    <w:rsid w:val="00A27C5C"/>
    <w:rsid w:val="00A27C63"/>
    <w:rsid w:val="00A27D9F"/>
    <w:rsid w:val="00A27DAF"/>
    <w:rsid w:val="00A27E1B"/>
    <w:rsid w:val="00A27E1F"/>
    <w:rsid w:val="00A27E6C"/>
    <w:rsid w:val="00A27EA9"/>
    <w:rsid w:val="00A27F56"/>
    <w:rsid w:val="00A27F6D"/>
    <w:rsid w:val="00A27FCC"/>
    <w:rsid w:val="00A27FE4"/>
    <w:rsid w:val="00A3000E"/>
    <w:rsid w:val="00A30013"/>
    <w:rsid w:val="00A30018"/>
    <w:rsid w:val="00A30031"/>
    <w:rsid w:val="00A3004F"/>
    <w:rsid w:val="00A3006E"/>
    <w:rsid w:val="00A30089"/>
    <w:rsid w:val="00A300C5"/>
    <w:rsid w:val="00A3012E"/>
    <w:rsid w:val="00A30147"/>
    <w:rsid w:val="00A30183"/>
    <w:rsid w:val="00A30335"/>
    <w:rsid w:val="00A30366"/>
    <w:rsid w:val="00A30395"/>
    <w:rsid w:val="00A303E7"/>
    <w:rsid w:val="00A30409"/>
    <w:rsid w:val="00A30476"/>
    <w:rsid w:val="00A304AA"/>
    <w:rsid w:val="00A3050A"/>
    <w:rsid w:val="00A30539"/>
    <w:rsid w:val="00A30568"/>
    <w:rsid w:val="00A30646"/>
    <w:rsid w:val="00A30688"/>
    <w:rsid w:val="00A306C4"/>
    <w:rsid w:val="00A30738"/>
    <w:rsid w:val="00A30740"/>
    <w:rsid w:val="00A30778"/>
    <w:rsid w:val="00A3083D"/>
    <w:rsid w:val="00A308A2"/>
    <w:rsid w:val="00A30924"/>
    <w:rsid w:val="00A3096E"/>
    <w:rsid w:val="00A3099C"/>
    <w:rsid w:val="00A30A26"/>
    <w:rsid w:val="00A30A44"/>
    <w:rsid w:val="00A30A8F"/>
    <w:rsid w:val="00A30B28"/>
    <w:rsid w:val="00A30B32"/>
    <w:rsid w:val="00A30B6A"/>
    <w:rsid w:val="00A30B90"/>
    <w:rsid w:val="00A30BB8"/>
    <w:rsid w:val="00A30BCC"/>
    <w:rsid w:val="00A30C4D"/>
    <w:rsid w:val="00A30D2D"/>
    <w:rsid w:val="00A30DD3"/>
    <w:rsid w:val="00A30E6D"/>
    <w:rsid w:val="00A30E93"/>
    <w:rsid w:val="00A30FF2"/>
    <w:rsid w:val="00A31146"/>
    <w:rsid w:val="00A31223"/>
    <w:rsid w:val="00A31311"/>
    <w:rsid w:val="00A31386"/>
    <w:rsid w:val="00A31402"/>
    <w:rsid w:val="00A31469"/>
    <w:rsid w:val="00A31499"/>
    <w:rsid w:val="00A314A0"/>
    <w:rsid w:val="00A314B1"/>
    <w:rsid w:val="00A314B6"/>
    <w:rsid w:val="00A3152F"/>
    <w:rsid w:val="00A31562"/>
    <w:rsid w:val="00A31571"/>
    <w:rsid w:val="00A31599"/>
    <w:rsid w:val="00A31661"/>
    <w:rsid w:val="00A316A7"/>
    <w:rsid w:val="00A31732"/>
    <w:rsid w:val="00A31745"/>
    <w:rsid w:val="00A317B5"/>
    <w:rsid w:val="00A31816"/>
    <w:rsid w:val="00A31863"/>
    <w:rsid w:val="00A3190A"/>
    <w:rsid w:val="00A319B9"/>
    <w:rsid w:val="00A319CB"/>
    <w:rsid w:val="00A319F6"/>
    <w:rsid w:val="00A31AAB"/>
    <w:rsid w:val="00A31AF3"/>
    <w:rsid w:val="00A31B19"/>
    <w:rsid w:val="00A31B27"/>
    <w:rsid w:val="00A31BF3"/>
    <w:rsid w:val="00A31C95"/>
    <w:rsid w:val="00A31C9E"/>
    <w:rsid w:val="00A31CC0"/>
    <w:rsid w:val="00A31CEC"/>
    <w:rsid w:val="00A31CFB"/>
    <w:rsid w:val="00A31D39"/>
    <w:rsid w:val="00A31D7A"/>
    <w:rsid w:val="00A31E1A"/>
    <w:rsid w:val="00A31E48"/>
    <w:rsid w:val="00A31E5D"/>
    <w:rsid w:val="00A31E7C"/>
    <w:rsid w:val="00A31EFC"/>
    <w:rsid w:val="00A31F64"/>
    <w:rsid w:val="00A31F66"/>
    <w:rsid w:val="00A31F7A"/>
    <w:rsid w:val="00A31FEB"/>
    <w:rsid w:val="00A320E7"/>
    <w:rsid w:val="00A320E8"/>
    <w:rsid w:val="00A321FA"/>
    <w:rsid w:val="00A3220B"/>
    <w:rsid w:val="00A32254"/>
    <w:rsid w:val="00A32285"/>
    <w:rsid w:val="00A3230F"/>
    <w:rsid w:val="00A32312"/>
    <w:rsid w:val="00A323EA"/>
    <w:rsid w:val="00A32497"/>
    <w:rsid w:val="00A324C0"/>
    <w:rsid w:val="00A324CB"/>
    <w:rsid w:val="00A324E7"/>
    <w:rsid w:val="00A324F0"/>
    <w:rsid w:val="00A324F6"/>
    <w:rsid w:val="00A32523"/>
    <w:rsid w:val="00A32582"/>
    <w:rsid w:val="00A3263C"/>
    <w:rsid w:val="00A32650"/>
    <w:rsid w:val="00A3270E"/>
    <w:rsid w:val="00A32749"/>
    <w:rsid w:val="00A32750"/>
    <w:rsid w:val="00A3277B"/>
    <w:rsid w:val="00A32842"/>
    <w:rsid w:val="00A3298A"/>
    <w:rsid w:val="00A32A4B"/>
    <w:rsid w:val="00A32A8C"/>
    <w:rsid w:val="00A32AE1"/>
    <w:rsid w:val="00A32AFC"/>
    <w:rsid w:val="00A32B00"/>
    <w:rsid w:val="00A32C0C"/>
    <w:rsid w:val="00A32C88"/>
    <w:rsid w:val="00A32C94"/>
    <w:rsid w:val="00A32D1C"/>
    <w:rsid w:val="00A32D35"/>
    <w:rsid w:val="00A32D40"/>
    <w:rsid w:val="00A32D96"/>
    <w:rsid w:val="00A32DAA"/>
    <w:rsid w:val="00A32E4A"/>
    <w:rsid w:val="00A32E70"/>
    <w:rsid w:val="00A32EA8"/>
    <w:rsid w:val="00A32F0D"/>
    <w:rsid w:val="00A32F73"/>
    <w:rsid w:val="00A32FC1"/>
    <w:rsid w:val="00A33027"/>
    <w:rsid w:val="00A33085"/>
    <w:rsid w:val="00A330BD"/>
    <w:rsid w:val="00A330BF"/>
    <w:rsid w:val="00A33147"/>
    <w:rsid w:val="00A33152"/>
    <w:rsid w:val="00A33190"/>
    <w:rsid w:val="00A331E6"/>
    <w:rsid w:val="00A3323E"/>
    <w:rsid w:val="00A332D8"/>
    <w:rsid w:val="00A33346"/>
    <w:rsid w:val="00A3337A"/>
    <w:rsid w:val="00A33390"/>
    <w:rsid w:val="00A3339C"/>
    <w:rsid w:val="00A333A5"/>
    <w:rsid w:val="00A333D6"/>
    <w:rsid w:val="00A33452"/>
    <w:rsid w:val="00A334B9"/>
    <w:rsid w:val="00A334C2"/>
    <w:rsid w:val="00A33515"/>
    <w:rsid w:val="00A3352A"/>
    <w:rsid w:val="00A335D0"/>
    <w:rsid w:val="00A33608"/>
    <w:rsid w:val="00A3361E"/>
    <w:rsid w:val="00A33623"/>
    <w:rsid w:val="00A33630"/>
    <w:rsid w:val="00A3367B"/>
    <w:rsid w:val="00A336DB"/>
    <w:rsid w:val="00A336DD"/>
    <w:rsid w:val="00A33820"/>
    <w:rsid w:val="00A33836"/>
    <w:rsid w:val="00A338A4"/>
    <w:rsid w:val="00A338B2"/>
    <w:rsid w:val="00A33938"/>
    <w:rsid w:val="00A3394A"/>
    <w:rsid w:val="00A3398A"/>
    <w:rsid w:val="00A339BF"/>
    <w:rsid w:val="00A33A23"/>
    <w:rsid w:val="00A33AA8"/>
    <w:rsid w:val="00A33AAB"/>
    <w:rsid w:val="00A33B53"/>
    <w:rsid w:val="00A33C3A"/>
    <w:rsid w:val="00A33C79"/>
    <w:rsid w:val="00A33C89"/>
    <w:rsid w:val="00A33D29"/>
    <w:rsid w:val="00A33D4F"/>
    <w:rsid w:val="00A33D75"/>
    <w:rsid w:val="00A33E5F"/>
    <w:rsid w:val="00A33E6F"/>
    <w:rsid w:val="00A33E88"/>
    <w:rsid w:val="00A33ED9"/>
    <w:rsid w:val="00A33F2F"/>
    <w:rsid w:val="00A33F3D"/>
    <w:rsid w:val="00A33F63"/>
    <w:rsid w:val="00A3413E"/>
    <w:rsid w:val="00A341AC"/>
    <w:rsid w:val="00A341CC"/>
    <w:rsid w:val="00A34230"/>
    <w:rsid w:val="00A3423B"/>
    <w:rsid w:val="00A3427D"/>
    <w:rsid w:val="00A34348"/>
    <w:rsid w:val="00A3439C"/>
    <w:rsid w:val="00A343FB"/>
    <w:rsid w:val="00A34479"/>
    <w:rsid w:val="00A34499"/>
    <w:rsid w:val="00A344A2"/>
    <w:rsid w:val="00A34538"/>
    <w:rsid w:val="00A34660"/>
    <w:rsid w:val="00A34699"/>
    <w:rsid w:val="00A346A7"/>
    <w:rsid w:val="00A346EB"/>
    <w:rsid w:val="00A34776"/>
    <w:rsid w:val="00A347DE"/>
    <w:rsid w:val="00A34806"/>
    <w:rsid w:val="00A3483A"/>
    <w:rsid w:val="00A348E7"/>
    <w:rsid w:val="00A34955"/>
    <w:rsid w:val="00A34A75"/>
    <w:rsid w:val="00A34BA2"/>
    <w:rsid w:val="00A34BE3"/>
    <w:rsid w:val="00A34BE7"/>
    <w:rsid w:val="00A34CB5"/>
    <w:rsid w:val="00A34DF8"/>
    <w:rsid w:val="00A34E91"/>
    <w:rsid w:val="00A34F0A"/>
    <w:rsid w:val="00A34F8D"/>
    <w:rsid w:val="00A34FEF"/>
    <w:rsid w:val="00A34FFC"/>
    <w:rsid w:val="00A35087"/>
    <w:rsid w:val="00A350CB"/>
    <w:rsid w:val="00A35108"/>
    <w:rsid w:val="00A3510A"/>
    <w:rsid w:val="00A3511B"/>
    <w:rsid w:val="00A3517F"/>
    <w:rsid w:val="00A351E8"/>
    <w:rsid w:val="00A35206"/>
    <w:rsid w:val="00A352F6"/>
    <w:rsid w:val="00A35327"/>
    <w:rsid w:val="00A353A3"/>
    <w:rsid w:val="00A353BF"/>
    <w:rsid w:val="00A35461"/>
    <w:rsid w:val="00A35488"/>
    <w:rsid w:val="00A35490"/>
    <w:rsid w:val="00A35497"/>
    <w:rsid w:val="00A354CB"/>
    <w:rsid w:val="00A35533"/>
    <w:rsid w:val="00A35605"/>
    <w:rsid w:val="00A356A2"/>
    <w:rsid w:val="00A35730"/>
    <w:rsid w:val="00A35829"/>
    <w:rsid w:val="00A35845"/>
    <w:rsid w:val="00A3596A"/>
    <w:rsid w:val="00A359AF"/>
    <w:rsid w:val="00A35A19"/>
    <w:rsid w:val="00A35A79"/>
    <w:rsid w:val="00A35A9A"/>
    <w:rsid w:val="00A35A9E"/>
    <w:rsid w:val="00A35AA5"/>
    <w:rsid w:val="00A35AC1"/>
    <w:rsid w:val="00A35B6C"/>
    <w:rsid w:val="00A35B7B"/>
    <w:rsid w:val="00A35B7C"/>
    <w:rsid w:val="00A35C10"/>
    <w:rsid w:val="00A35C63"/>
    <w:rsid w:val="00A35CAE"/>
    <w:rsid w:val="00A35D21"/>
    <w:rsid w:val="00A35DC7"/>
    <w:rsid w:val="00A35DED"/>
    <w:rsid w:val="00A35DFA"/>
    <w:rsid w:val="00A35F44"/>
    <w:rsid w:val="00A35F46"/>
    <w:rsid w:val="00A35F55"/>
    <w:rsid w:val="00A35F56"/>
    <w:rsid w:val="00A35F74"/>
    <w:rsid w:val="00A35F7C"/>
    <w:rsid w:val="00A35F7E"/>
    <w:rsid w:val="00A35F9B"/>
    <w:rsid w:val="00A35FDE"/>
    <w:rsid w:val="00A35FE7"/>
    <w:rsid w:val="00A36034"/>
    <w:rsid w:val="00A36063"/>
    <w:rsid w:val="00A360A9"/>
    <w:rsid w:val="00A36134"/>
    <w:rsid w:val="00A3616C"/>
    <w:rsid w:val="00A36179"/>
    <w:rsid w:val="00A361DC"/>
    <w:rsid w:val="00A361FF"/>
    <w:rsid w:val="00A3628B"/>
    <w:rsid w:val="00A362EF"/>
    <w:rsid w:val="00A36314"/>
    <w:rsid w:val="00A3635E"/>
    <w:rsid w:val="00A36368"/>
    <w:rsid w:val="00A36397"/>
    <w:rsid w:val="00A363E4"/>
    <w:rsid w:val="00A363E7"/>
    <w:rsid w:val="00A364C7"/>
    <w:rsid w:val="00A36546"/>
    <w:rsid w:val="00A36698"/>
    <w:rsid w:val="00A366C8"/>
    <w:rsid w:val="00A366D5"/>
    <w:rsid w:val="00A36759"/>
    <w:rsid w:val="00A367C2"/>
    <w:rsid w:val="00A367EB"/>
    <w:rsid w:val="00A368CF"/>
    <w:rsid w:val="00A36982"/>
    <w:rsid w:val="00A36B65"/>
    <w:rsid w:val="00A36B75"/>
    <w:rsid w:val="00A36C5C"/>
    <w:rsid w:val="00A36CA2"/>
    <w:rsid w:val="00A36CBF"/>
    <w:rsid w:val="00A36CD5"/>
    <w:rsid w:val="00A36D2D"/>
    <w:rsid w:val="00A36D9B"/>
    <w:rsid w:val="00A36D9C"/>
    <w:rsid w:val="00A36E1A"/>
    <w:rsid w:val="00A36EC7"/>
    <w:rsid w:val="00A36EDB"/>
    <w:rsid w:val="00A36EFC"/>
    <w:rsid w:val="00A36EFE"/>
    <w:rsid w:val="00A36F2B"/>
    <w:rsid w:val="00A3705D"/>
    <w:rsid w:val="00A37082"/>
    <w:rsid w:val="00A370CA"/>
    <w:rsid w:val="00A3715E"/>
    <w:rsid w:val="00A37210"/>
    <w:rsid w:val="00A3728B"/>
    <w:rsid w:val="00A37347"/>
    <w:rsid w:val="00A373A4"/>
    <w:rsid w:val="00A373AB"/>
    <w:rsid w:val="00A37414"/>
    <w:rsid w:val="00A375AB"/>
    <w:rsid w:val="00A37618"/>
    <w:rsid w:val="00A37654"/>
    <w:rsid w:val="00A37852"/>
    <w:rsid w:val="00A37938"/>
    <w:rsid w:val="00A3793E"/>
    <w:rsid w:val="00A3798A"/>
    <w:rsid w:val="00A379C7"/>
    <w:rsid w:val="00A37AA9"/>
    <w:rsid w:val="00A37ABE"/>
    <w:rsid w:val="00A37ACC"/>
    <w:rsid w:val="00A37AE4"/>
    <w:rsid w:val="00A37B17"/>
    <w:rsid w:val="00A37BCD"/>
    <w:rsid w:val="00A37BF1"/>
    <w:rsid w:val="00A37D11"/>
    <w:rsid w:val="00A37D62"/>
    <w:rsid w:val="00A37D8F"/>
    <w:rsid w:val="00A37DE3"/>
    <w:rsid w:val="00A37DED"/>
    <w:rsid w:val="00A37E4A"/>
    <w:rsid w:val="00A37E85"/>
    <w:rsid w:val="00A37E91"/>
    <w:rsid w:val="00A37F0B"/>
    <w:rsid w:val="00A37F15"/>
    <w:rsid w:val="00A37F7F"/>
    <w:rsid w:val="00A37F99"/>
    <w:rsid w:val="00A37FC2"/>
    <w:rsid w:val="00A4007C"/>
    <w:rsid w:val="00A4007D"/>
    <w:rsid w:val="00A4011C"/>
    <w:rsid w:val="00A401A3"/>
    <w:rsid w:val="00A4026A"/>
    <w:rsid w:val="00A4029A"/>
    <w:rsid w:val="00A402B8"/>
    <w:rsid w:val="00A402D4"/>
    <w:rsid w:val="00A40372"/>
    <w:rsid w:val="00A403FE"/>
    <w:rsid w:val="00A40439"/>
    <w:rsid w:val="00A404A9"/>
    <w:rsid w:val="00A404C2"/>
    <w:rsid w:val="00A404D8"/>
    <w:rsid w:val="00A40504"/>
    <w:rsid w:val="00A40523"/>
    <w:rsid w:val="00A40533"/>
    <w:rsid w:val="00A40588"/>
    <w:rsid w:val="00A405B6"/>
    <w:rsid w:val="00A405DA"/>
    <w:rsid w:val="00A4061F"/>
    <w:rsid w:val="00A40621"/>
    <w:rsid w:val="00A40667"/>
    <w:rsid w:val="00A40678"/>
    <w:rsid w:val="00A406CE"/>
    <w:rsid w:val="00A40716"/>
    <w:rsid w:val="00A40770"/>
    <w:rsid w:val="00A4078A"/>
    <w:rsid w:val="00A40832"/>
    <w:rsid w:val="00A40891"/>
    <w:rsid w:val="00A408E5"/>
    <w:rsid w:val="00A408E9"/>
    <w:rsid w:val="00A408F7"/>
    <w:rsid w:val="00A409C8"/>
    <w:rsid w:val="00A409E8"/>
    <w:rsid w:val="00A40A5F"/>
    <w:rsid w:val="00A40A69"/>
    <w:rsid w:val="00A40AB9"/>
    <w:rsid w:val="00A40AFB"/>
    <w:rsid w:val="00A40B1A"/>
    <w:rsid w:val="00A40B4E"/>
    <w:rsid w:val="00A40B9F"/>
    <w:rsid w:val="00A40BBC"/>
    <w:rsid w:val="00A40BF4"/>
    <w:rsid w:val="00A40CAD"/>
    <w:rsid w:val="00A40CD1"/>
    <w:rsid w:val="00A40D2B"/>
    <w:rsid w:val="00A40DA6"/>
    <w:rsid w:val="00A40DC3"/>
    <w:rsid w:val="00A40E2B"/>
    <w:rsid w:val="00A40EAE"/>
    <w:rsid w:val="00A40F16"/>
    <w:rsid w:val="00A40F41"/>
    <w:rsid w:val="00A40F86"/>
    <w:rsid w:val="00A41009"/>
    <w:rsid w:val="00A41042"/>
    <w:rsid w:val="00A411BC"/>
    <w:rsid w:val="00A411E2"/>
    <w:rsid w:val="00A41262"/>
    <w:rsid w:val="00A41266"/>
    <w:rsid w:val="00A41365"/>
    <w:rsid w:val="00A41405"/>
    <w:rsid w:val="00A4149C"/>
    <w:rsid w:val="00A414A2"/>
    <w:rsid w:val="00A41506"/>
    <w:rsid w:val="00A41540"/>
    <w:rsid w:val="00A41586"/>
    <w:rsid w:val="00A415C1"/>
    <w:rsid w:val="00A415FA"/>
    <w:rsid w:val="00A415FB"/>
    <w:rsid w:val="00A4172A"/>
    <w:rsid w:val="00A417BA"/>
    <w:rsid w:val="00A41814"/>
    <w:rsid w:val="00A41878"/>
    <w:rsid w:val="00A41891"/>
    <w:rsid w:val="00A41897"/>
    <w:rsid w:val="00A41898"/>
    <w:rsid w:val="00A4192B"/>
    <w:rsid w:val="00A4193E"/>
    <w:rsid w:val="00A419A9"/>
    <w:rsid w:val="00A419F0"/>
    <w:rsid w:val="00A41A2F"/>
    <w:rsid w:val="00A41AFE"/>
    <w:rsid w:val="00A41B17"/>
    <w:rsid w:val="00A41B2E"/>
    <w:rsid w:val="00A41B55"/>
    <w:rsid w:val="00A41B9F"/>
    <w:rsid w:val="00A41BD2"/>
    <w:rsid w:val="00A41C08"/>
    <w:rsid w:val="00A41C8A"/>
    <w:rsid w:val="00A41CA1"/>
    <w:rsid w:val="00A41CF7"/>
    <w:rsid w:val="00A41D3B"/>
    <w:rsid w:val="00A41E0D"/>
    <w:rsid w:val="00A41E12"/>
    <w:rsid w:val="00A41E92"/>
    <w:rsid w:val="00A41F1A"/>
    <w:rsid w:val="00A41F84"/>
    <w:rsid w:val="00A4208B"/>
    <w:rsid w:val="00A420B1"/>
    <w:rsid w:val="00A420D4"/>
    <w:rsid w:val="00A4214E"/>
    <w:rsid w:val="00A42160"/>
    <w:rsid w:val="00A42185"/>
    <w:rsid w:val="00A421A8"/>
    <w:rsid w:val="00A421F6"/>
    <w:rsid w:val="00A4225D"/>
    <w:rsid w:val="00A42329"/>
    <w:rsid w:val="00A42353"/>
    <w:rsid w:val="00A42355"/>
    <w:rsid w:val="00A4235A"/>
    <w:rsid w:val="00A423CE"/>
    <w:rsid w:val="00A4243A"/>
    <w:rsid w:val="00A4245D"/>
    <w:rsid w:val="00A4251D"/>
    <w:rsid w:val="00A4253B"/>
    <w:rsid w:val="00A4256B"/>
    <w:rsid w:val="00A4260C"/>
    <w:rsid w:val="00A42685"/>
    <w:rsid w:val="00A426B7"/>
    <w:rsid w:val="00A426B9"/>
    <w:rsid w:val="00A426F7"/>
    <w:rsid w:val="00A42738"/>
    <w:rsid w:val="00A427EE"/>
    <w:rsid w:val="00A427FB"/>
    <w:rsid w:val="00A428C9"/>
    <w:rsid w:val="00A42950"/>
    <w:rsid w:val="00A42974"/>
    <w:rsid w:val="00A42984"/>
    <w:rsid w:val="00A429A3"/>
    <w:rsid w:val="00A429A5"/>
    <w:rsid w:val="00A429CC"/>
    <w:rsid w:val="00A42A40"/>
    <w:rsid w:val="00A42A41"/>
    <w:rsid w:val="00A42A7D"/>
    <w:rsid w:val="00A42ADC"/>
    <w:rsid w:val="00A42B0D"/>
    <w:rsid w:val="00A42B10"/>
    <w:rsid w:val="00A42B21"/>
    <w:rsid w:val="00A42B59"/>
    <w:rsid w:val="00A42B5A"/>
    <w:rsid w:val="00A42B75"/>
    <w:rsid w:val="00A42C27"/>
    <w:rsid w:val="00A42C5F"/>
    <w:rsid w:val="00A42C8B"/>
    <w:rsid w:val="00A42DBE"/>
    <w:rsid w:val="00A42F12"/>
    <w:rsid w:val="00A42F47"/>
    <w:rsid w:val="00A43014"/>
    <w:rsid w:val="00A431C7"/>
    <w:rsid w:val="00A4321E"/>
    <w:rsid w:val="00A43235"/>
    <w:rsid w:val="00A4336D"/>
    <w:rsid w:val="00A43424"/>
    <w:rsid w:val="00A43495"/>
    <w:rsid w:val="00A434A2"/>
    <w:rsid w:val="00A434C7"/>
    <w:rsid w:val="00A434DB"/>
    <w:rsid w:val="00A43503"/>
    <w:rsid w:val="00A43530"/>
    <w:rsid w:val="00A43536"/>
    <w:rsid w:val="00A43597"/>
    <w:rsid w:val="00A435A7"/>
    <w:rsid w:val="00A43617"/>
    <w:rsid w:val="00A436FB"/>
    <w:rsid w:val="00A437A0"/>
    <w:rsid w:val="00A4388D"/>
    <w:rsid w:val="00A438D4"/>
    <w:rsid w:val="00A438D5"/>
    <w:rsid w:val="00A438F2"/>
    <w:rsid w:val="00A43973"/>
    <w:rsid w:val="00A439B2"/>
    <w:rsid w:val="00A439EF"/>
    <w:rsid w:val="00A43AAC"/>
    <w:rsid w:val="00A43ACB"/>
    <w:rsid w:val="00A43B41"/>
    <w:rsid w:val="00A43B61"/>
    <w:rsid w:val="00A43BA8"/>
    <w:rsid w:val="00A43C3C"/>
    <w:rsid w:val="00A43CB8"/>
    <w:rsid w:val="00A43CC1"/>
    <w:rsid w:val="00A43D38"/>
    <w:rsid w:val="00A43F87"/>
    <w:rsid w:val="00A43FB3"/>
    <w:rsid w:val="00A43FD2"/>
    <w:rsid w:val="00A44034"/>
    <w:rsid w:val="00A440C3"/>
    <w:rsid w:val="00A44186"/>
    <w:rsid w:val="00A4425F"/>
    <w:rsid w:val="00A44321"/>
    <w:rsid w:val="00A44331"/>
    <w:rsid w:val="00A44353"/>
    <w:rsid w:val="00A44391"/>
    <w:rsid w:val="00A44451"/>
    <w:rsid w:val="00A44453"/>
    <w:rsid w:val="00A44465"/>
    <w:rsid w:val="00A44467"/>
    <w:rsid w:val="00A444E5"/>
    <w:rsid w:val="00A4451F"/>
    <w:rsid w:val="00A44566"/>
    <w:rsid w:val="00A44611"/>
    <w:rsid w:val="00A4462A"/>
    <w:rsid w:val="00A44650"/>
    <w:rsid w:val="00A446BC"/>
    <w:rsid w:val="00A446C2"/>
    <w:rsid w:val="00A447A3"/>
    <w:rsid w:val="00A447A9"/>
    <w:rsid w:val="00A447B1"/>
    <w:rsid w:val="00A447E5"/>
    <w:rsid w:val="00A4480C"/>
    <w:rsid w:val="00A4483A"/>
    <w:rsid w:val="00A448C9"/>
    <w:rsid w:val="00A44902"/>
    <w:rsid w:val="00A44906"/>
    <w:rsid w:val="00A44959"/>
    <w:rsid w:val="00A44999"/>
    <w:rsid w:val="00A449F2"/>
    <w:rsid w:val="00A449F5"/>
    <w:rsid w:val="00A44A3A"/>
    <w:rsid w:val="00A44AB5"/>
    <w:rsid w:val="00A44C12"/>
    <w:rsid w:val="00A44C17"/>
    <w:rsid w:val="00A44C20"/>
    <w:rsid w:val="00A44C30"/>
    <w:rsid w:val="00A44C56"/>
    <w:rsid w:val="00A44C7E"/>
    <w:rsid w:val="00A44CAF"/>
    <w:rsid w:val="00A44CD9"/>
    <w:rsid w:val="00A44CEA"/>
    <w:rsid w:val="00A44D98"/>
    <w:rsid w:val="00A44DB0"/>
    <w:rsid w:val="00A44E00"/>
    <w:rsid w:val="00A44E71"/>
    <w:rsid w:val="00A44EEF"/>
    <w:rsid w:val="00A44F68"/>
    <w:rsid w:val="00A44F89"/>
    <w:rsid w:val="00A44FD4"/>
    <w:rsid w:val="00A44FF1"/>
    <w:rsid w:val="00A4508A"/>
    <w:rsid w:val="00A450DE"/>
    <w:rsid w:val="00A45123"/>
    <w:rsid w:val="00A451D8"/>
    <w:rsid w:val="00A451DD"/>
    <w:rsid w:val="00A451F2"/>
    <w:rsid w:val="00A452A7"/>
    <w:rsid w:val="00A452DE"/>
    <w:rsid w:val="00A4539A"/>
    <w:rsid w:val="00A453F0"/>
    <w:rsid w:val="00A454D2"/>
    <w:rsid w:val="00A4558F"/>
    <w:rsid w:val="00A4567D"/>
    <w:rsid w:val="00A45686"/>
    <w:rsid w:val="00A456B6"/>
    <w:rsid w:val="00A456D3"/>
    <w:rsid w:val="00A456DB"/>
    <w:rsid w:val="00A456E6"/>
    <w:rsid w:val="00A45784"/>
    <w:rsid w:val="00A457E6"/>
    <w:rsid w:val="00A45816"/>
    <w:rsid w:val="00A4585F"/>
    <w:rsid w:val="00A45890"/>
    <w:rsid w:val="00A458C8"/>
    <w:rsid w:val="00A458EB"/>
    <w:rsid w:val="00A4597D"/>
    <w:rsid w:val="00A45981"/>
    <w:rsid w:val="00A4599A"/>
    <w:rsid w:val="00A459B5"/>
    <w:rsid w:val="00A459B6"/>
    <w:rsid w:val="00A45A28"/>
    <w:rsid w:val="00A45A73"/>
    <w:rsid w:val="00A45C62"/>
    <w:rsid w:val="00A45C8E"/>
    <w:rsid w:val="00A45D27"/>
    <w:rsid w:val="00A45DA1"/>
    <w:rsid w:val="00A45F06"/>
    <w:rsid w:val="00A45F44"/>
    <w:rsid w:val="00A45F5D"/>
    <w:rsid w:val="00A45FC9"/>
    <w:rsid w:val="00A46015"/>
    <w:rsid w:val="00A46035"/>
    <w:rsid w:val="00A4609C"/>
    <w:rsid w:val="00A460B8"/>
    <w:rsid w:val="00A460BD"/>
    <w:rsid w:val="00A460D9"/>
    <w:rsid w:val="00A46118"/>
    <w:rsid w:val="00A4612A"/>
    <w:rsid w:val="00A46153"/>
    <w:rsid w:val="00A46174"/>
    <w:rsid w:val="00A461F1"/>
    <w:rsid w:val="00A46216"/>
    <w:rsid w:val="00A46258"/>
    <w:rsid w:val="00A462D4"/>
    <w:rsid w:val="00A46310"/>
    <w:rsid w:val="00A46395"/>
    <w:rsid w:val="00A46454"/>
    <w:rsid w:val="00A4646A"/>
    <w:rsid w:val="00A4662C"/>
    <w:rsid w:val="00A46688"/>
    <w:rsid w:val="00A4672C"/>
    <w:rsid w:val="00A4678C"/>
    <w:rsid w:val="00A467E1"/>
    <w:rsid w:val="00A467F0"/>
    <w:rsid w:val="00A46811"/>
    <w:rsid w:val="00A4691A"/>
    <w:rsid w:val="00A46952"/>
    <w:rsid w:val="00A4696E"/>
    <w:rsid w:val="00A46996"/>
    <w:rsid w:val="00A46A36"/>
    <w:rsid w:val="00A46AA3"/>
    <w:rsid w:val="00A46AAD"/>
    <w:rsid w:val="00A46B01"/>
    <w:rsid w:val="00A46B57"/>
    <w:rsid w:val="00A46B61"/>
    <w:rsid w:val="00A46BE9"/>
    <w:rsid w:val="00A46C62"/>
    <w:rsid w:val="00A46C72"/>
    <w:rsid w:val="00A46D7C"/>
    <w:rsid w:val="00A46E04"/>
    <w:rsid w:val="00A46E0E"/>
    <w:rsid w:val="00A46E6B"/>
    <w:rsid w:val="00A46E92"/>
    <w:rsid w:val="00A46FF1"/>
    <w:rsid w:val="00A47052"/>
    <w:rsid w:val="00A47087"/>
    <w:rsid w:val="00A470B7"/>
    <w:rsid w:val="00A470D5"/>
    <w:rsid w:val="00A47120"/>
    <w:rsid w:val="00A47137"/>
    <w:rsid w:val="00A47187"/>
    <w:rsid w:val="00A47190"/>
    <w:rsid w:val="00A471FC"/>
    <w:rsid w:val="00A4720D"/>
    <w:rsid w:val="00A4722A"/>
    <w:rsid w:val="00A472A3"/>
    <w:rsid w:val="00A472D2"/>
    <w:rsid w:val="00A47324"/>
    <w:rsid w:val="00A47327"/>
    <w:rsid w:val="00A4733A"/>
    <w:rsid w:val="00A47380"/>
    <w:rsid w:val="00A47389"/>
    <w:rsid w:val="00A4749B"/>
    <w:rsid w:val="00A474A2"/>
    <w:rsid w:val="00A474A4"/>
    <w:rsid w:val="00A47558"/>
    <w:rsid w:val="00A4755C"/>
    <w:rsid w:val="00A4755F"/>
    <w:rsid w:val="00A475F4"/>
    <w:rsid w:val="00A4765A"/>
    <w:rsid w:val="00A476C5"/>
    <w:rsid w:val="00A477A0"/>
    <w:rsid w:val="00A47847"/>
    <w:rsid w:val="00A4789D"/>
    <w:rsid w:val="00A478AF"/>
    <w:rsid w:val="00A478C8"/>
    <w:rsid w:val="00A47928"/>
    <w:rsid w:val="00A4792B"/>
    <w:rsid w:val="00A47959"/>
    <w:rsid w:val="00A4795F"/>
    <w:rsid w:val="00A4796C"/>
    <w:rsid w:val="00A47989"/>
    <w:rsid w:val="00A479F8"/>
    <w:rsid w:val="00A47A02"/>
    <w:rsid w:val="00A47A09"/>
    <w:rsid w:val="00A47A2B"/>
    <w:rsid w:val="00A47A6C"/>
    <w:rsid w:val="00A47AE3"/>
    <w:rsid w:val="00A47AF8"/>
    <w:rsid w:val="00A47BA1"/>
    <w:rsid w:val="00A47BD7"/>
    <w:rsid w:val="00A47C2F"/>
    <w:rsid w:val="00A47C9B"/>
    <w:rsid w:val="00A47CF0"/>
    <w:rsid w:val="00A47D57"/>
    <w:rsid w:val="00A47E16"/>
    <w:rsid w:val="00A47E29"/>
    <w:rsid w:val="00A47EAF"/>
    <w:rsid w:val="00A47EE5"/>
    <w:rsid w:val="00A47FBF"/>
    <w:rsid w:val="00A500AE"/>
    <w:rsid w:val="00A500D3"/>
    <w:rsid w:val="00A501C0"/>
    <w:rsid w:val="00A501C9"/>
    <w:rsid w:val="00A50224"/>
    <w:rsid w:val="00A502DE"/>
    <w:rsid w:val="00A50407"/>
    <w:rsid w:val="00A5041C"/>
    <w:rsid w:val="00A504E5"/>
    <w:rsid w:val="00A50573"/>
    <w:rsid w:val="00A5063A"/>
    <w:rsid w:val="00A507E6"/>
    <w:rsid w:val="00A507E7"/>
    <w:rsid w:val="00A50819"/>
    <w:rsid w:val="00A5084C"/>
    <w:rsid w:val="00A50856"/>
    <w:rsid w:val="00A50927"/>
    <w:rsid w:val="00A50A01"/>
    <w:rsid w:val="00A50A1C"/>
    <w:rsid w:val="00A50A79"/>
    <w:rsid w:val="00A50A99"/>
    <w:rsid w:val="00A50ACD"/>
    <w:rsid w:val="00A50ADD"/>
    <w:rsid w:val="00A50ADF"/>
    <w:rsid w:val="00A50B55"/>
    <w:rsid w:val="00A50B6E"/>
    <w:rsid w:val="00A50C60"/>
    <w:rsid w:val="00A50C77"/>
    <w:rsid w:val="00A50DA5"/>
    <w:rsid w:val="00A50DAA"/>
    <w:rsid w:val="00A50DCD"/>
    <w:rsid w:val="00A50E36"/>
    <w:rsid w:val="00A50E61"/>
    <w:rsid w:val="00A50E7A"/>
    <w:rsid w:val="00A50E95"/>
    <w:rsid w:val="00A51021"/>
    <w:rsid w:val="00A51027"/>
    <w:rsid w:val="00A51086"/>
    <w:rsid w:val="00A510E1"/>
    <w:rsid w:val="00A5116A"/>
    <w:rsid w:val="00A51183"/>
    <w:rsid w:val="00A512A0"/>
    <w:rsid w:val="00A512AD"/>
    <w:rsid w:val="00A512CF"/>
    <w:rsid w:val="00A51307"/>
    <w:rsid w:val="00A51415"/>
    <w:rsid w:val="00A51462"/>
    <w:rsid w:val="00A51493"/>
    <w:rsid w:val="00A5156A"/>
    <w:rsid w:val="00A516CD"/>
    <w:rsid w:val="00A516FC"/>
    <w:rsid w:val="00A51704"/>
    <w:rsid w:val="00A51943"/>
    <w:rsid w:val="00A519EE"/>
    <w:rsid w:val="00A51A3E"/>
    <w:rsid w:val="00A51AA5"/>
    <w:rsid w:val="00A51B3D"/>
    <w:rsid w:val="00A51BA9"/>
    <w:rsid w:val="00A51BCB"/>
    <w:rsid w:val="00A51BD3"/>
    <w:rsid w:val="00A51C3C"/>
    <w:rsid w:val="00A51C5C"/>
    <w:rsid w:val="00A51CC1"/>
    <w:rsid w:val="00A51CCD"/>
    <w:rsid w:val="00A51CDF"/>
    <w:rsid w:val="00A51CF4"/>
    <w:rsid w:val="00A51D31"/>
    <w:rsid w:val="00A51D79"/>
    <w:rsid w:val="00A51DBD"/>
    <w:rsid w:val="00A51DBF"/>
    <w:rsid w:val="00A51DD0"/>
    <w:rsid w:val="00A51E22"/>
    <w:rsid w:val="00A51E76"/>
    <w:rsid w:val="00A51E82"/>
    <w:rsid w:val="00A51EFB"/>
    <w:rsid w:val="00A51F27"/>
    <w:rsid w:val="00A51F62"/>
    <w:rsid w:val="00A5207F"/>
    <w:rsid w:val="00A52148"/>
    <w:rsid w:val="00A52217"/>
    <w:rsid w:val="00A5229B"/>
    <w:rsid w:val="00A522F7"/>
    <w:rsid w:val="00A52311"/>
    <w:rsid w:val="00A5234E"/>
    <w:rsid w:val="00A52365"/>
    <w:rsid w:val="00A52387"/>
    <w:rsid w:val="00A5238C"/>
    <w:rsid w:val="00A5242B"/>
    <w:rsid w:val="00A52448"/>
    <w:rsid w:val="00A52456"/>
    <w:rsid w:val="00A52461"/>
    <w:rsid w:val="00A525CF"/>
    <w:rsid w:val="00A52628"/>
    <w:rsid w:val="00A52631"/>
    <w:rsid w:val="00A5265D"/>
    <w:rsid w:val="00A5269C"/>
    <w:rsid w:val="00A526E6"/>
    <w:rsid w:val="00A5273A"/>
    <w:rsid w:val="00A52743"/>
    <w:rsid w:val="00A52751"/>
    <w:rsid w:val="00A527D7"/>
    <w:rsid w:val="00A52879"/>
    <w:rsid w:val="00A52900"/>
    <w:rsid w:val="00A529B1"/>
    <w:rsid w:val="00A52AF2"/>
    <w:rsid w:val="00A52B02"/>
    <w:rsid w:val="00A52BAF"/>
    <w:rsid w:val="00A52BD0"/>
    <w:rsid w:val="00A52C9A"/>
    <w:rsid w:val="00A52E01"/>
    <w:rsid w:val="00A52E31"/>
    <w:rsid w:val="00A52F70"/>
    <w:rsid w:val="00A53015"/>
    <w:rsid w:val="00A531C1"/>
    <w:rsid w:val="00A531D2"/>
    <w:rsid w:val="00A53203"/>
    <w:rsid w:val="00A5326D"/>
    <w:rsid w:val="00A532E4"/>
    <w:rsid w:val="00A532E9"/>
    <w:rsid w:val="00A532EC"/>
    <w:rsid w:val="00A533D0"/>
    <w:rsid w:val="00A53416"/>
    <w:rsid w:val="00A53492"/>
    <w:rsid w:val="00A534BB"/>
    <w:rsid w:val="00A53551"/>
    <w:rsid w:val="00A53552"/>
    <w:rsid w:val="00A5359B"/>
    <w:rsid w:val="00A5363A"/>
    <w:rsid w:val="00A536BB"/>
    <w:rsid w:val="00A536E2"/>
    <w:rsid w:val="00A5379B"/>
    <w:rsid w:val="00A537A6"/>
    <w:rsid w:val="00A5385A"/>
    <w:rsid w:val="00A5385F"/>
    <w:rsid w:val="00A53862"/>
    <w:rsid w:val="00A53959"/>
    <w:rsid w:val="00A539ED"/>
    <w:rsid w:val="00A53A10"/>
    <w:rsid w:val="00A53ABC"/>
    <w:rsid w:val="00A53AC1"/>
    <w:rsid w:val="00A53ADF"/>
    <w:rsid w:val="00A53B95"/>
    <w:rsid w:val="00A53BE1"/>
    <w:rsid w:val="00A53D15"/>
    <w:rsid w:val="00A53D22"/>
    <w:rsid w:val="00A53D3C"/>
    <w:rsid w:val="00A53D55"/>
    <w:rsid w:val="00A53DA4"/>
    <w:rsid w:val="00A53DC5"/>
    <w:rsid w:val="00A53E24"/>
    <w:rsid w:val="00A53E30"/>
    <w:rsid w:val="00A53E89"/>
    <w:rsid w:val="00A53F5B"/>
    <w:rsid w:val="00A53FE3"/>
    <w:rsid w:val="00A53FF3"/>
    <w:rsid w:val="00A54090"/>
    <w:rsid w:val="00A540BF"/>
    <w:rsid w:val="00A54102"/>
    <w:rsid w:val="00A5416E"/>
    <w:rsid w:val="00A542DC"/>
    <w:rsid w:val="00A542E4"/>
    <w:rsid w:val="00A5431C"/>
    <w:rsid w:val="00A5432E"/>
    <w:rsid w:val="00A543E3"/>
    <w:rsid w:val="00A543EE"/>
    <w:rsid w:val="00A54461"/>
    <w:rsid w:val="00A54481"/>
    <w:rsid w:val="00A544B1"/>
    <w:rsid w:val="00A544EE"/>
    <w:rsid w:val="00A54519"/>
    <w:rsid w:val="00A5455B"/>
    <w:rsid w:val="00A54595"/>
    <w:rsid w:val="00A5468E"/>
    <w:rsid w:val="00A5469E"/>
    <w:rsid w:val="00A546C5"/>
    <w:rsid w:val="00A546C7"/>
    <w:rsid w:val="00A54701"/>
    <w:rsid w:val="00A54706"/>
    <w:rsid w:val="00A54713"/>
    <w:rsid w:val="00A5477D"/>
    <w:rsid w:val="00A547AA"/>
    <w:rsid w:val="00A547AF"/>
    <w:rsid w:val="00A547B8"/>
    <w:rsid w:val="00A547BC"/>
    <w:rsid w:val="00A54832"/>
    <w:rsid w:val="00A5484B"/>
    <w:rsid w:val="00A54860"/>
    <w:rsid w:val="00A548CB"/>
    <w:rsid w:val="00A548F7"/>
    <w:rsid w:val="00A54A21"/>
    <w:rsid w:val="00A54BBF"/>
    <w:rsid w:val="00A54C2D"/>
    <w:rsid w:val="00A54C3D"/>
    <w:rsid w:val="00A54C61"/>
    <w:rsid w:val="00A54CCD"/>
    <w:rsid w:val="00A54D16"/>
    <w:rsid w:val="00A54D34"/>
    <w:rsid w:val="00A54DB1"/>
    <w:rsid w:val="00A54DD4"/>
    <w:rsid w:val="00A54DDD"/>
    <w:rsid w:val="00A54FAE"/>
    <w:rsid w:val="00A55033"/>
    <w:rsid w:val="00A55069"/>
    <w:rsid w:val="00A5512F"/>
    <w:rsid w:val="00A55155"/>
    <w:rsid w:val="00A55159"/>
    <w:rsid w:val="00A5516A"/>
    <w:rsid w:val="00A551A4"/>
    <w:rsid w:val="00A551ED"/>
    <w:rsid w:val="00A55203"/>
    <w:rsid w:val="00A55221"/>
    <w:rsid w:val="00A5527A"/>
    <w:rsid w:val="00A55309"/>
    <w:rsid w:val="00A55315"/>
    <w:rsid w:val="00A55363"/>
    <w:rsid w:val="00A553A2"/>
    <w:rsid w:val="00A553BF"/>
    <w:rsid w:val="00A553C0"/>
    <w:rsid w:val="00A55460"/>
    <w:rsid w:val="00A554E4"/>
    <w:rsid w:val="00A55510"/>
    <w:rsid w:val="00A55589"/>
    <w:rsid w:val="00A55599"/>
    <w:rsid w:val="00A555FF"/>
    <w:rsid w:val="00A55692"/>
    <w:rsid w:val="00A5570F"/>
    <w:rsid w:val="00A55723"/>
    <w:rsid w:val="00A55792"/>
    <w:rsid w:val="00A5579B"/>
    <w:rsid w:val="00A557C2"/>
    <w:rsid w:val="00A557DC"/>
    <w:rsid w:val="00A55814"/>
    <w:rsid w:val="00A55865"/>
    <w:rsid w:val="00A558B3"/>
    <w:rsid w:val="00A558D7"/>
    <w:rsid w:val="00A558D9"/>
    <w:rsid w:val="00A5593A"/>
    <w:rsid w:val="00A55950"/>
    <w:rsid w:val="00A5597B"/>
    <w:rsid w:val="00A55A0C"/>
    <w:rsid w:val="00A55A3E"/>
    <w:rsid w:val="00A55A67"/>
    <w:rsid w:val="00A55B22"/>
    <w:rsid w:val="00A55B54"/>
    <w:rsid w:val="00A55CB1"/>
    <w:rsid w:val="00A55DBE"/>
    <w:rsid w:val="00A55E27"/>
    <w:rsid w:val="00A55EB9"/>
    <w:rsid w:val="00A55EC0"/>
    <w:rsid w:val="00A55F05"/>
    <w:rsid w:val="00A55F42"/>
    <w:rsid w:val="00A55F7C"/>
    <w:rsid w:val="00A55FA0"/>
    <w:rsid w:val="00A56077"/>
    <w:rsid w:val="00A560CD"/>
    <w:rsid w:val="00A5618F"/>
    <w:rsid w:val="00A5619C"/>
    <w:rsid w:val="00A561E9"/>
    <w:rsid w:val="00A56245"/>
    <w:rsid w:val="00A5640A"/>
    <w:rsid w:val="00A5651F"/>
    <w:rsid w:val="00A56555"/>
    <w:rsid w:val="00A565FD"/>
    <w:rsid w:val="00A56649"/>
    <w:rsid w:val="00A566B0"/>
    <w:rsid w:val="00A566F2"/>
    <w:rsid w:val="00A56780"/>
    <w:rsid w:val="00A567ED"/>
    <w:rsid w:val="00A5680F"/>
    <w:rsid w:val="00A56887"/>
    <w:rsid w:val="00A56AF0"/>
    <w:rsid w:val="00A56B0C"/>
    <w:rsid w:val="00A56B20"/>
    <w:rsid w:val="00A56B40"/>
    <w:rsid w:val="00A56BC2"/>
    <w:rsid w:val="00A56BC9"/>
    <w:rsid w:val="00A56BE4"/>
    <w:rsid w:val="00A56C5E"/>
    <w:rsid w:val="00A56C6D"/>
    <w:rsid w:val="00A56DF1"/>
    <w:rsid w:val="00A56E03"/>
    <w:rsid w:val="00A56E16"/>
    <w:rsid w:val="00A56E45"/>
    <w:rsid w:val="00A56E58"/>
    <w:rsid w:val="00A56E88"/>
    <w:rsid w:val="00A56E93"/>
    <w:rsid w:val="00A56EDC"/>
    <w:rsid w:val="00A56FD0"/>
    <w:rsid w:val="00A57005"/>
    <w:rsid w:val="00A57016"/>
    <w:rsid w:val="00A570E0"/>
    <w:rsid w:val="00A570E1"/>
    <w:rsid w:val="00A5716A"/>
    <w:rsid w:val="00A571A8"/>
    <w:rsid w:val="00A571AE"/>
    <w:rsid w:val="00A571F8"/>
    <w:rsid w:val="00A57205"/>
    <w:rsid w:val="00A57238"/>
    <w:rsid w:val="00A57297"/>
    <w:rsid w:val="00A572E1"/>
    <w:rsid w:val="00A573A8"/>
    <w:rsid w:val="00A573E0"/>
    <w:rsid w:val="00A57453"/>
    <w:rsid w:val="00A574A0"/>
    <w:rsid w:val="00A574B2"/>
    <w:rsid w:val="00A5753B"/>
    <w:rsid w:val="00A5756C"/>
    <w:rsid w:val="00A575C2"/>
    <w:rsid w:val="00A575CC"/>
    <w:rsid w:val="00A575E9"/>
    <w:rsid w:val="00A57662"/>
    <w:rsid w:val="00A5767D"/>
    <w:rsid w:val="00A57738"/>
    <w:rsid w:val="00A577C5"/>
    <w:rsid w:val="00A57884"/>
    <w:rsid w:val="00A5788D"/>
    <w:rsid w:val="00A5788F"/>
    <w:rsid w:val="00A578A8"/>
    <w:rsid w:val="00A578B7"/>
    <w:rsid w:val="00A578C8"/>
    <w:rsid w:val="00A579D6"/>
    <w:rsid w:val="00A57A1E"/>
    <w:rsid w:val="00A57A34"/>
    <w:rsid w:val="00A57A35"/>
    <w:rsid w:val="00A57AFF"/>
    <w:rsid w:val="00A57B02"/>
    <w:rsid w:val="00A57B19"/>
    <w:rsid w:val="00A57B3E"/>
    <w:rsid w:val="00A57BAE"/>
    <w:rsid w:val="00A57BD7"/>
    <w:rsid w:val="00A57C0D"/>
    <w:rsid w:val="00A57CA8"/>
    <w:rsid w:val="00A57CC7"/>
    <w:rsid w:val="00A57DE9"/>
    <w:rsid w:val="00A57E39"/>
    <w:rsid w:val="00A57E48"/>
    <w:rsid w:val="00A57E6A"/>
    <w:rsid w:val="00A57EFA"/>
    <w:rsid w:val="00A6003B"/>
    <w:rsid w:val="00A60049"/>
    <w:rsid w:val="00A60059"/>
    <w:rsid w:val="00A60070"/>
    <w:rsid w:val="00A60071"/>
    <w:rsid w:val="00A60092"/>
    <w:rsid w:val="00A600DF"/>
    <w:rsid w:val="00A600E4"/>
    <w:rsid w:val="00A60106"/>
    <w:rsid w:val="00A6016E"/>
    <w:rsid w:val="00A601B7"/>
    <w:rsid w:val="00A601C3"/>
    <w:rsid w:val="00A60228"/>
    <w:rsid w:val="00A602B1"/>
    <w:rsid w:val="00A602BD"/>
    <w:rsid w:val="00A602DB"/>
    <w:rsid w:val="00A60306"/>
    <w:rsid w:val="00A60319"/>
    <w:rsid w:val="00A60322"/>
    <w:rsid w:val="00A6038D"/>
    <w:rsid w:val="00A60399"/>
    <w:rsid w:val="00A603C6"/>
    <w:rsid w:val="00A6046B"/>
    <w:rsid w:val="00A60507"/>
    <w:rsid w:val="00A60533"/>
    <w:rsid w:val="00A60595"/>
    <w:rsid w:val="00A605A0"/>
    <w:rsid w:val="00A60607"/>
    <w:rsid w:val="00A60680"/>
    <w:rsid w:val="00A60683"/>
    <w:rsid w:val="00A606B8"/>
    <w:rsid w:val="00A606BD"/>
    <w:rsid w:val="00A606E7"/>
    <w:rsid w:val="00A60781"/>
    <w:rsid w:val="00A607A1"/>
    <w:rsid w:val="00A60821"/>
    <w:rsid w:val="00A60879"/>
    <w:rsid w:val="00A60892"/>
    <w:rsid w:val="00A60898"/>
    <w:rsid w:val="00A608BA"/>
    <w:rsid w:val="00A609B4"/>
    <w:rsid w:val="00A60A3E"/>
    <w:rsid w:val="00A60A4F"/>
    <w:rsid w:val="00A60A57"/>
    <w:rsid w:val="00A60B83"/>
    <w:rsid w:val="00A60B8A"/>
    <w:rsid w:val="00A60B8E"/>
    <w:rsid w:val="00A60BE1"/>
    <w:rsid w:val="00A60C83"/>
    <w:rsid w:val="00A60F2A"/>
    <w:rsid w:val="00A60F94"/>
    <w:rsid w:val="00A610AA"/>
    <w:rsid w:val="00A610D4"/>
    <w:rsid w:val="00A6110C"/>
    <w:rsid w:val="00A61111"/>
    <w:rsid w:val="00A6111E"/>
    <w:rsid w:val="00A61176"/>
    <w:rsid w:val="00A6121E"/>
    <w:rsid w:val="00A6125E"/>
    <w:rsid w:val="00A61282"/>
    <w:rsid w:val="00A6129D"/>
    <w:rsid w:val="00A612F1"/>
    <w:rsid w:val="00A612FC"/>
    <w:rsid w:val="00A6130C"/>
    <w:rsid w:val="00A6132A"/>
    <w:rsid w:val="00A61335"/>
    <w:rsid w:val="00A61461"/>
    <w:rsid w:val="00A6148B"/>
    <w:rsid w:val="00A61583"/>
    <w:rsid w:val="00A61590"/>
    <w:rsid w:val="00A615ED"/>
    <w:rsid w:val="00A6162C"/>
    <w:rsid w:val="00A6164C"/>
    <w:rsid w:val="00A61663"/>
    <w:rsid w:val="00A616C8"/>
    <w:rsid w:val="00A6172F"/>
    <w:rsid w:val="00A617F8"/>
    <w:rsid w:val="00A617FD"/>
    <w:rsid w:val="00A61A04"/>
    <w:rsid w:val="00A61A40"/>
    <w:rsid w:val="00A61A6F"/>
    <w:rsid w:val="00A61BD1"/>
    <w:rsid w:val="00A61C02"/>
    <w:rsid w:val="00A61C15"/>
    <w:rsid w:val="00A61C3A"/>
    <w:rsid w:val="00A61C9D"/>
    <w:rsid w:val="00A61D13"/>
    <w:rsid w:val="00A61D1A"/>
    <w:rsid w:val="00A61E07"/>
    <w:rsid w:val="00A61E61"/>
    <w:rsid w:val="00A61EC0"/>
    <w:rsid w:val="00A61EF9"/>
    <w:rsid w:val="00A61F44"/>
    <w:rsid w:val="00A61F98"/>
    <w:rsid w:val="00A61FF1"/>
    <w:rsid w:val="00A62016"/>
    <w:rsid w:val="00A62097"/>
    <w:rsid w:val="00A6213E"/>
    <w:rsid w:val="00A6215B"/>
    <w:rsid w:val="00A62179"/>
    <w:rsid w:val="00A621E1"/>
    <w:rsid w:val="00A6220A"/>
    <w:rsid w:val="00A622DB"/>
    <w:rsid w:val="00A622F9"/>
    <w:rsid w:val="00A62306"/>
    <w:rsid w:val="00A62336"/>
    <w:rsid w:val="00A623A1"/>
    <w:rsid w:val="00A62527"/>
    <w:rsid w:val="00A62567"/>
    <w:rsid w:val="00A625AF"/>
    <w:rsid w:val="00A625DF"/>
    <w:rsid w:val="00A625F5"/>
    <w:rsid w:val="00A6263D"/>
    <w:rsid w:val="00A62806"/>
    <w:rsid w:val="00A62858"/>
    <w:rsid w:val="00A62963"/>
    <w:rsid w:val="00A62979"/>
    <w:rsid w:val="00A62A38"/>
    <w:rsid w:val="00A62B15"/>
    <w:rsid w:val="00A62B90"/>
    <w:rsid w:val="00A62BA0"/>
    <w:rsid w:val="00A62C8C"/>
    <w:rsid w:val="00A62CC6"/>
    <w:rsid w:val="00A62E4B"/>
    <w:rsid w:val="00A62E83"/>
    <w:rsid w:val="00A62EE4"/>
    <w:rsid w:val="00A62F4B"/>
    <w:rsid w:val="00A62FFA"/>
    <w:rsid w:val="00A63082"/>
    <w:rsid w:val="00A630F1"/>
    <w:rsid w:val="00A63166"/>
    <w:rsid w:val="00A631B7"/>
    <w:rsid w:val="00A6325C"/>
    <w:rsid w:val="00A63262"/>
    <w:rsid w:val="00A63272"/>
    <w:rsid w:val="00A6339E"/>
    <w:rsid w:val="00A633FB"/>
    <w:rsid w:val="00A6341F"/>
    <w:rsid w:val="00A63446"/>
    <w:rsid w:val="00A6346C"/>
    <w:rsid w:val="00A63482"/>
    <w:rsid w:val="00A63486"/>
    <w:rsid w:val="00A63535"/>
    <w:rsid w:val="00A635FB"/>
    <w:rsid w:val="00A63614"/>
    <w:rsid w:val="00A636E3"/>
    <w:rsid w:val="00A636F9"/>
    <w:rsid w:val="00A63708"/>
    <w:rsid w:val="00A6374C"/>
    <w:rsid w:val="00A6378A"/>
    <w:rsid w:val="00A63889"/>
    <w:rsid w:val="00A6392C"/>
    <w:rsid w:val="00A63946"/>
    <w:rsid w:val="00A6394D"/>
    <w:rsid w:val="00A63966"/>
    <w:rsid w:val="00A639B7"/>
    <w:rsid w:val="00A639BF"/>
    <w:rsid w:val="00A639F6"/>
    <w:rsid w:val="00A63AA2"/>
    <w:rsid w:val="00A63AE6"/>
    <w:rsid w:val="00A63B24"/>
    <w:rsid w:val="00A63B4D"/>
    <w:rsid w:val="00A63BEA"/>
    <w:rsid w:val="00A63CAC"/>
    <w:rsid w:val="00A63CAD"/>
    <w:rsid w:val="00A63D32"/>
    <w:rsid w:val="00A63E28"/>
    <w:rsid w:val="00A63E2C"/>
    <w:rsid w:val="00A63E4D"/>
    <w:rsid w:val="00A63E54"/>
    <w:rsid w:val="00A63ECA"/>
    <w:rsid w:val="00A63FCF"/>
    <w:rsid w:val="00A64035"/>
    <w:rsid w:val="00A64051"/>
    <w:rsid w:val="00A6408F"/>
    <w:rsid w:val="00A6409E"/>
    <w:rsid w:val="00A64102"/>
    <w:rsid w:val="00A64171"/>
    <w:rsid w:val="00A64211"/>
    <w:rsid w:val="00A6426B"/>
    <w:rsid w:val="00A642DD"/>
    <w:rsid w:val="00A642E0"/>
    <w:rsid w:val="00A6432D"/>
    <w:rsid w:val="00A6433F"/>
    <w:rsid w:val="00A64351"/>
    <w:rsid w:val="00A64395"/>
    <w:rsid w:val="00A643E9"/>
    <w:rsid w:val="00A6448B"/>
    <w:rsid w:val="00A644FB"/>
    <w:rsid w:val="00A64500"/>
    <w:rsid w:val="00A6452B"/>
    <w:rsid w:val="00A64642"/>
    <w:rsid w:val="00A6464D"/>
    <w:rsid w:val="00A646EB"/>
    <w:rsid w:val="00A64794"/>
    <w:rsid w:val="00A6483D"/>
    <w:rsid w:val="00A648CC"/>
    <w:rsid w:val="00A6495F"/>
    <w:rsid w:val="00A649CC"/>
    <w:rsid w:val="00A64A6C"/>
    <w:rsid w:val="00A64AF1"/>
    <w:rsid w:val="00A64B7E"/>
    <w:rsid w:val="00A64B82"/>
    <w:rsid w:val="00A64BD4"/>
    <w:rsid w:val="00A64BD5"/>
    <w:rsid w:val="00A64BF3"/>
    <w:rsid w:val="00A64BFC"/>
    <w:rsid w:val="00A64C18"/>
    <w:rsid w:val="00A64C88"/>
    <w:rsid w:val="00A64CA5"/>
    <w:rsid w:val="00A64CBD"/>
    <w:rsid w:val="00A64D13"/>
    <w:rsid w:val="00A64D37"/>
    <w:rsid w:val="00A64D61"/>
    <w:rsid w:val="00A64D77"/>
    <w:rsid w:val="00A64DAE"/>
    <w:rsid w:val="00A64E42"/>
    <w:rsid w:val="00A64E8C"/>
    <w:rsid w:val="00A64ECA"/>
    <w:rsid w:val="00A64F34"/>
    <w:rsid w:val="00A64F40"/>
    <w:rsid w:val="00A64FE4"/>
    <w:rsid w:val="00A65161"/>
    <w:rsid w:val="00A651E2"/>
    <w:rsid w:val="00A65228"/>
    <w:rsid w:val="00A65252"/>
    <w:rsid w:val="00A65323"/>
    <w:rsid w:val="00A65354"/>
    <w:rsid w:val="00A65405"/>
    <w:rsid w:val="00A65422"/>
    <w:rsid w:val="00A65468"/>
    <w:rsid w:val="00A654E4"/>
    <w:rsid w:val="00A65503"/>
    <w:rsid w:val="00A65576"/>
    <w:rsid w:val="00A655A7"/>
    <w:rsid w:val="00A6561F"/>
    <w:rsid w:val="00A6574B"/>
    <w:rsid w:val="00A657B4"/>
    <w:rsid w:val="00A657D8"/>
    <w:rsid w:val="00A6596B"/>
    <w:rsid w:val="00A65A62"/>
    <w:rsid w:val="00A65A73"/>
    <w:rsid w:val="00A65A86"/>
    <w:rsid w:val="00A65A9F"/>
    <w:rsid w:val="00A65B1E"/>
    <w:rsid w:val="00A65B58"/>
    <w:rsid w:val="00A65B83"/>
    <w:rsid w:val="00A65C73"/>
    <w:rsid w:val="00A65CA9"/>
    <w:rsid w:val="00A65ECF"/>
    <w:rsid w:val="00A65EDC"/>
    <w:rsid w:val="00A65FF6"/>
    <w:rsid w:val="00A65FFB"/>
    <w:rsid w:val="00A6601A"/>
    <w:rsid w:val="00A6601D"/>
    <w:rsid w:val="00A66031"/>
    <w:rsid w:val="00A66055"/>
    <w:rsid w:val="00A66117"/>
    <w:rsid w:val="00A66179"/>
    <w:rsid w:val="00A66188"/>
    <w:rsid w:val="00A66189"/>
    <w:rsid w:val="00A6621A"/>
    <w:rsid w:val="00A663D4"/>
    <w:rsid w:val="00A664B3"/>
    <w:rsid w:val="00A664C3"/>
    <w:rsid w:val="00A664E1"/>
    <w:rsid w:val="00A664F6"/>
    <w:rsid w:val="00A6659B"/>
    <w:rsid w:val="00A665DA"/>
    <w:rsid w:val="00A665EE"/>
    <w:rsid w:val="00A6665C"/>
    <w:rsid w:val="00A666E0"/>
    <w:rsid w:val="00A6670F"/>
    <w:rsid w:val="00A6671C"/>
    <w:rsid w:val="00A6672D"/>
    <w:rsid w:val="00A6673A"/>
    <w:rsid w:val="00A667BD"/>
    <w:rsid w:val="00A669D9"/>
    <w:rsid w:val="00A669F2"/>
    <w:rsid w:val="00A66AC8"/>
    <w:rsid w:val="00A66B57"/>
    <w:rsid w:val="00A66C66"/>
    <w:rsid w:val="00A66D57"/>
    <w:rsid w:val="00A66DB1"/>
    <w:rsid w:val="00A66DFA"/>
    <w:rsid w:val="00A66EE4"/>
    <w:rsid w:val="00A66FA0"/>
    <w:rsid w:val="00A66FCD"/>
    <w:rsid w:val="00A67012"/>
    <w:rsid w:val="00A67059"/>
    <w:rsid w:val="00A670A6"/>
    <w:rsid w:val="00A670C8"/>
    <w:rsid w:val="00A670F7"/>
    <w:rsid w:val="00A67110"/>
    <w:rsid w:val="00A67117"/>
    <w:rsid w:val="00A6712E"/>
    <w:rsid w:val="00A67173"/>
    <w:rsid w:val="00A671CD"/>
    <w:rsid w:val="00A672A2"/>
    <w:rsid w:val="00A672CF"/>
    <w:rsid w:val="00A67342"/>
    <w:rsid w:val="00A6740D"/>
    <w:rsid w:val="00A6754A"/>
    <w:rsid w:val="00A67552"/>
    <w:rsid w:val="00A67562"/>
    <w:rsid w:val="00A67570"/>
    <w:rsid w:val="00A676A0"/>
    <w:rsid w:val="00A67711"/>
    <w:rsid w:val="00A677FF"/>
    <w:rsid w:val="00A6782A"/>
    <w:rsid w:val="00A67835"/>
    <w:rsid w:val="00A6789B"/>
    <w:rsid w:val="00A678A3"/>
    <w:rsid w:val="00A679BE"/>
    <w:rsid w:val="00A679E2"/>
    <w:rsid w:val="00A67A09"/>
    <w:rsid w:val="00A67A5D"/>
    <w:rsid w:val="00A67B12"/>
    <w:rsid w:val="00A67BFF"/>
    <w:rsid w:val="00A67CB2"/>
    <w:rsid w:val="00A67D00"/>
    <w:rsid w:val="00A67D06"/>
    <w:rsid w:val="00A67D25"/>
    <w:rsid w:val="00A67D38"/>
    <w:rsid w:val="00A67D56"/>
    <w:rsid w:val="00A67D6F"/>
    <w:rsid w:val="00A67D9A"/>
    <w:rsid w:val="00A67DDE"/>
    <w:rsid w:val="00A67DE6"/>
    <w:rsid w:val="00A67E95"/>
    <w:rsid w:val="00A67EC6"/>
    <w:rsid w:val="00A67F30"/>
    <w:rsid w:val="00A67F34"/>
    <w:rsid w:val="00A67FD5"/>
    <w:rsid w:val="00A7001B"/>
    <w:rsid w:val="00A7003B"/>
    <w:rsid w:val="00A7004D"/>
    <w:rsid w:val="00A700B6"/>
    <w:rsid w:val="00A701C0"/>
    <w:rsid w:val="00A701FD"/>
    <w:rsid w:val="00A702D0"/>
    <w:rsid w:val="00A7034B"/>
    <w:rsid w:val="00A7039A"/>
    <w:rsid w:val="00A704A1"/>
    <w:rsid w:val="00A704D4"/>
    <w:rsid w:val="00A704EA"/>
    <w:rsid w:val="00A704F0"/>
    <w:rsid w:val="00A70529"/>
    <w:rsid w:val="00A705AF"/>
    <w:rsid w:val="00A705B0"/>
    <w:rsid w:val="00A705E4"/>
    <w:rsid w:val="00A7063F"/>
    <w:rsid w:val="00A70669"/>
    <w:rsid w:val="00A70679"/>
    <w:rsid w:val="00A7074E"/>
    <w:rsid w:val="00A70796"/>
    <w:rsid w:val="00A707C6"/>
    <w:rsid w:val="00A7093F"/>
    <w:rsid w:val="00A70943"/>
    <w:rsid w:val="00A70995"/>
    <w:rsid w:val="00A70A12"/>
    <w:rsid w:val="00A70ACF"/>
    <w:rsid w:val="00A70B0C"/>
    <w:rsid w:val="00A70B7E"/>
    <w:rsid w:val="00A70B9D"/>
    <w:rsid w:val="00A70BD8"/>
    <w:rsid w:val="00A70C65"/>
    <w:rsid w:val="00A70D21"/>
    <w:rsid w:val="00A70D4A"/>
    <w:rsid w:val="00A70DFB"/>
    <w:rsid w:val="00A70E86"/>
    <w:rsid w:val="00A70EF1"/>
    <w:rsid w:val="00A70EFF"/>
    <w:rsid w:val="00A70F7B"/>
    <w:rsid w:val="00A7102F"/>
    <w:rsid w:val="00A7109E"/>
    <w:rsid w:val="00A710C9"/>
    <w:rsid w:val="00A71115"/>
    <w:rsid w:val="00A711D1"/>
    <w:rsid w:val="00A7121F"/>
    <w:rsid w:val="00A71280"/>
    <w:rsid w:val="00A712FD"/>
    <w:rsid w:val="00A71385"/>
    <w:rsid w:val="00A713C1"/>
    <w:rsid w:val="00A715FF"/>
    <w:rsid w:val="00A71640"/>
    <w:rsid w:val="00A71664"/>
    <w:rsid w:val="00A716C6"/>
    <w:rsid w:val="00A71723"/>
    <w:rsid w:val="00A71743"/>
    <w:rsid w:val="00A717E6"/>
    <w:rsid w:val="00A718F4"/>
    <w:rsid w:val="00A71912"/>
    <w:rsid w:val="00A71990"/>
    <w:rsid w:val="00A71A54"/>
    <w:rsid w:val="00A71AEF"/>
    <w:rsid w:val="00A71AF5"/>
    <w:rsid w:val="00A71B19"/>
    <w:rsid w:val="00A71B4E"/>
    <w:rsid w:val="00A71BA4"/>
    <w:rsid w:val="00A71BE9"/>
    <w:rsid w:val="00A71E06"/>
    <w:rsid w:val="00A71E8A"/>
    <w:rsid w:val="00A71EA8"/>
    <w:rsid w:val="00A71EB0"/>
    <w:rsid w:val="00A71EE9"/>
    <w:rsid w:val="00A71F19"/>
    <w:rsid w:val="00A71F45"/>
    <w:rsid w:val="00A71FBA"/>
    <w:rsid w:val="00A71FDF"/>
    <w:rsid w:val="00A71FE3"/>
    <w:rsid w:val="00A72033"/>
    <w:rsid w:val="00A7206D"/>
    <w:rsid w:val="00A72081"/>
    <w:rsid w:val="00A72098"/>
    <w:rsid w:val="00A720D8"/>
    <w:rsid w:val="00A7216E"/>
    <w:rsid w:val="00A721E2"/>
    <w:rsid w:val="00A721E9"/>
    <w:rsid w:val="00A722C4"/>
    <w:rsid w:val="00A722CB"/>
    <w:rsid w:val="00A72371"/>
    <w:rsid w:val="00A72381"/>
    <w:rsid w:val="00A723F1"/>
    <w:rsid w:val="00A72404"/>
    <w:rsid w:val="00A7243B"/>
    <w:rsid w:val="00A7246D"/>
    <w:rsid w:val="00A7247A"/>
    <w:rsid w:val="00A724A1"/>
    <w:rsid w:val="00A72523"/>
    <w:rsid w:val="00A72556"/>
    <w:rsid w:val="00A725AB"/>
    <w:rsid w:val="00A725AE"/>
    <w:rsid w:val="00A726A4"/>
    <w:rsid w:val="00A7276D"/>
    <w:rsid w:val="00A727F6"/>
    <w:rsid w:val="00A7285D"/>
    <w:rsid w:val="00A7285E"/>
    <w:rsid w:val="00A72879"/>
    <w:rsid w:val="00A7287D"/>
    <w:rsid w:val="00A728B0"/>
    <w:rsid w:val="00A72913"/>
    <w:rsid w:val="00A72A94"/>
    <w:rsid w:val="00A72A9E"/>
    <w:rsid w:val="00A72B9E"/>
    <w:rsid w:val="00A72B9F"/>
    <w:rsid w:val="00A72C20"/>
    <w:rsid w:val="00A72C35"/>
    <w:rsid w:val="00A72C57"/>
    <w:rsid w:val="00A72C71"/>
    <w:rsid w:val="00A72D19"/>
    <w:rsid w:val="00A72D39"/>
    <w:rsid w:val="00A72E06"/>
    <w:rsid w:val="00A72E7E"/>
    <w:rsid w:val="00A72E99"/>
    <w:rsid w:val="00A72E9A"/>
    <w:rsid w:val="00A72EA3"/>
    <w:rsid w:val="00A72EE0"/>
    <w:rsid w:val="00A72EF4"/>
    <w:rsid w:val="00A72F9E"/>
    <w:rsid w:val="00A730C7"/>
    <w:rsid w:val="00A7319F"/>
    <w:rsid w:val="00A731BE"/>
    <w:rsid w:val="00A73205"/>
    <w:rsid w:val="00A73246"/>
    <w:rsid w:val="00A7327F"/>
    <w:rsid w:val="00A7334F"/>
    <w:rsid w:val="00A7341D"/>
    <w:rsid w:val="00A73537"/>
    <w:rsid w:val="00A7355B"/>
    <w:rsid w:val="00A73585"/>
    <w:rsid w:val="00A735B5"/>
    <w:rsid w:val="00A735E3"/>
    <w:rsid w:val="00A736C3"/>
    <w:rsid w:val="00A736FF"/>
    <w:rsid w:val="00A73701"/>
    <w:rsid w:val="00A7370C"/>
    <w:rsid w:val="00A7375C"/>
    <w:rsid w:val="00A7376D"/>
    <w:rsid w:val="00A73813"/>
    <w:rsid w:val="00A73827"/>
    <w:rsid w:val="00A73879"/>
    <w:rsid w:val="00A7389A"/>
    <w:rsid w:val="00A73A20"/>
    <w:rsid w:val="00A73A3A"/>
    <w:rsid w:val="00A73A4B"/>
    <w:rsid w:val="00A73A79"/>
    <w:rsid w:val="00A73AE9"/>
    <w:rsid w:val="00A73B12"/>
    <w:rsid w:val="00A73B2D"/>
    <w:rsid w:val="00A73B71"/>
    <w:rsid w:val="00A73B9A"/>
    <w:rsid w:val="00A73BA5"/>
    <w:rsid w:val="00A73C94"/>
    <w:rsid w:val="00A73D34"/>
    <w:rsid w:val="00A73DE0"/>
    <w:rsid w:val="00A73DEA"/>
    <w:rsid w:val="00A73F1C"/>
    <w:rsid w:val="00A740F0"/>
    <w:rsid w:val="00A74141"/>
    <w:rsid w:val="00A7416A"/>
    <w:rsid w:val="00A741AD"/>
    <w:rsid w:val="00A741F7"/>
    <w:rsid w:val="00A7422B"/>
    <w:rsid w:val="00A742E9"/>
    <w:rsid w:val="00A74336"/>
    <w:rsid w:val="00A74359"/>
    <w:rsid w:val="00A743B7"/>
    <w:rsid w:val="00A743E1"/>
    <w:rsid w:val="00A743EC"/>
    <w:rsid w:val="00A74507"/>
    <w:rsid w:val="00A74582"/>
    <w:rsid w:val="00A745F8"/>
    <w:rsid w:val="00A74651"/>
    <w:rsid w:val="00A7466C"/>
    <w:rsid w:val="00A746B0"/>
    <w:rsid w:val="00A746E0"/>
    <w:rsid w:val="00A74714"/>
    <w:rsid w:val="00A7487D"/>
    <w:rsid w:val="00A748D5"/>
    <w:rsid w:val="00A74955"/>
    <w:rsid w:val="00A74A20"/>
    <w:rsid w:val="00A74A72"/>
    <w:rsid w:val="00A74B62"/>
    <w:rsid w:val="00A74BC4"/>
    <w:rsid w:val="00A74C10"/>
    <w:rsid w:val="00A74D94"/>
    <w:rsid w:val="00A74E9B"/>
    <w:rsid w:val="00A74EAC"/>
    <w:rsid w:val="00A74EC3"/>
    <w:rsid w:val="00A74F07"/>
    <w:rsid w:val="00A74FCC"/>
    <w:rsid w:val="00A74FF0"/>
    <w:rsid w:val="00A7503A"/>
    <w:rsid w:val="00A75067"/>
    <w:rsid w:val="00A75093"/>
    <w:rsid w:val="00A75165"/>
    <w:rsid w:val="00A751AC"/>
    <w:rsid w:val="00A751CB"/>
    <w:rsid w:val="00A75284"/>
    <w:rsid w:val="00A752F5"/>
    <w:rsid w:val="00A753AB"/>
    <w:rsid w:val="00A75436"/>
    <w:rsid w:val="00A7547D"/>
    <w:rsid w:val="00A754C2"/>
    <w:rsid w:val="00A7558E"/>
    <w:rsid w:val="00A755CF"/>
    <w:rsid w:val="00A756A5"/>
    <w:rsid w:val="00A756D0"/>
    <w:rsid w:val="00A7571E"/>
    <w:rsid w:val="00A75757"/>
    <w:rsid w:val="00A7576A"/>
    <w:rsid w:val="00A757AF"/>
    <w:rsid w:val="00A757C2"/>
    <w:rsid w:val="00A7583C"/>
    <w:rsid w:val="00A75870"/>
    <w:rsid w:val="00A758DA"/>
    <w:rsid w:val="00A758EE"/>
    <w:rsid w:val="00A75930"/>
    <w:rsid w:val="00A759F1"/>
    <w:rsid w:val="00A759F2"/>
    <w:rsid w:val="00A75A40"/>
    <w:rsid w:val="00A75A55"/>
    <w:rsid w:val="00A75A75"/>
    <w:rsid w:val="00A75B0A"/>
    <w:rsid w:val="00A75B13"/>
    <w:rsid w:val="00A75B48"/>
    <w:rsid w:val="00A75BAF"/>
    <w:rsid w:val="00A75BDD"/>
    <w:rsid w:val="00A75C99"/>
    <w:rsid w:val="00A75CA2"/>
    <w:rsid w:val="00A75D34"/>
    <w:rsid w:val="00A75DDB"/>
    <w:rsid w:val="00A75E00"/>
    <w:rsid w:val="00A75E23"/>
    <w:rsid w:val="00A75E69"/>
    <w:rsid w:val="00A75EE2"/>
    <w:rsid w:val="00A75F2B"/>
    <w:rsid w:val="00A75F40"/>
    <w:rsid w:val="00A75F44"/>
    <w:rsid w:val="00A75FD8"/>
    <w:rsid w:val="00A761AF"/>
    <w:rsid w:val="00A761F8"/>
    <w:rsid w:val="00A7636F"/>
    <w:rsid w:val="00A7640E"/>
    <w:rsid w:val="00A76471"/>
    <w:rsid w:val="00A76494"/>
    <w:rsid w:val="00A764EC"/>
    <w:rsid w:val="00A7653B"/>
    <w:rsid w:val="00A7655D"/>
    <w:rsid w:val="00A765AC"/>
    <w:rsid w:val="00A765DB"/>
    <w:rsid w:val="00A7663A"/>
    <w:rsid w:val="00A7663D"/>
    <w:rsid w:val="00A7678D"/>
    <w:rsid w:val="00A7682D"/>
    <w:rsid w:val="00A76893"/>
    <w:rsid w:val="00A7696B"/>
    <w:rsid w:val="00A76978"/>
    <w:rsid w:val="00A769ED"/>
    <w:rsid w:val="00A76A26"/>
    <w:rsid w:val="00A76B4F"/>
    <w:rsid w:val="00A76B70"/>
    <w:rsid w:val="00A76B7E"/>
    <w:rsid w:val="00A76BF6"/>
    <w:rsid w:val="00A76C27"/>
    <w:rsid w:val="00A76CAC"/>
    <w:rsid w:val="00A76CE2"/>
    <w:rsid w:val="00A76CEF"/>
    <w:rsid w:val="00A76D6A"/>
    <w:rsid w:val="00A76EDF"/>
    <w:rsid w:val="00A76F3E"/>
    <w:rsid w:val="00A76F54"/>
    <w:rsid w:val="00A76F79"/>
    <w:rsid w:val="00A76FDB"/>
    <w:rsid w:val="00A76FDF"/>
    <w:rsid w:val="00A76FEC"/>
    <w:rsid w:val="00A77183"/>
    <w:rsid w:val="00A771FD"/>
    <w:rsid w:val="00A77375"/>
    <w:rsid w:val="00A77388"/>
    <w:rsid w:val="00A7742C"/>
    <w:rsid w:val="00A77441"/>
    <w:rsid w:val="00A77467"/>
    <w:rsid w:val="00A774B6"/>
    <w:rsid w:val="00A774F0"/>
    <w:rsid w:val="00A77525"/>
    <w:rsid w:val="00A77602"/>
    <w:rsid w:val="00A7765A"/>
    <w:rsid w:val="00A77726"/>
    <w:rsid w:val="00A77737"/>
    <w:rsid w:val="00A77760"/>
    <w:rsid w:val="00A77783"/>
    <w:rsid w:val="00A77786"/>
    <w:rsid w:val="00A77804"/>
    <w:rsid w:val="00A7788E"/>
    <w:rsid w:val="00A7793F"/>
    <w:rsid w:val="00A779CE"/>
    <w:rsid w:val="00A779F8"/>
    <w:rsid w:val="00A77A11"/>
    <w:rsid w:val="00A77AE5"/>
    <w:rsid w:val="00A77AEC"/>
    <w:rsid w:val="00A77B19"/>
    <w:rsid w:val="00A77BB1"/>
    <w:rsid w:val="00A77C1E"/>
    <w:rsid w:val="00A77C38"/>
    <w:rsid w:val="00A77C8C"/>
    <w:rsid w:val="00A77CA3"/>
    <w:rsid w:val="00A77CBE"/>
    <w:rsid w:val="00A77CE8"/>
    <w:rsid w:val="00A77CEE"/>
    <w:rsid w:val="00A77D0E"/>
    <w:rsid w:val="00A77D11"/>
    <w:rsid w:val="00A77D4C"/>
    <w:rsid w:val="00A77DE7"/>
    <w:rsid w:val="00A77E30"/>
    <w:rsid w:val="00A77E3F"/>
    <w:rsid w:val="00A77E92"/>
    <w:rsid w:val="00A77E99"/>
    <w:rsid w:val="00A77EA2"/>
    <w:rsid w:val="00A77F01"/>
    <w:rsid w:val="00A77F47"/>
    <w:rsid w:val="00A77F9F"/>
    <w:rsid w:val="00A80029"/>
    <w:rsid w:val="00A80042"/>
    <w:rsid w:val="00A800C8"/>
    <w:rsid w:val="00A8012E"/>
    <w:rsid w:val="00A8015C"/>
    <w:rsid w:val="00A801E1"/>
    <w:rsid w:val="00A80212"/>
    <w:rsid w:val="00A80289"/>
    <w:rsid w:val="00A802A2"/>
    <w:rsid w:val="00A802A5"/>
    <w:rsid w:val="00A802F9"/>
    <w:rsid w:val="00A8038C"/>
    <w:rsid w:val="00A80425"/>
    <w:rsid w:val="00A80444"/>
    <w:rsid w:val="00A804A7"/>
    <w:rsid w:val="00A804D6"/>
    <w:rsid w:val="00A804FF"/>
    <w:rsid w:val="00A80501"/>
    <w:rsid w:val="00A8052A"/>
    <w:rsid w:val="00A805A2"/>
    <w:rsid w:val="00A805B9"/>
    <w:rsid w:val="00A8064F"/>
    <w:rsid w:val="00A80658"/>
    <w:rsid w:val="00A807F4"/>
    <w:rsid w:val="00A8080F"/>
    <w:rsid w:val="00A80813"/>
    <w:rsid w:val="00A80893"/>
    <w:rsid w:val="00A808AC"/>
    <w:rsid w:val="00A8094E"/>
    <w:rsid w:val="00A80A89"/>
    <w:rsid w:val="00A80AC6"/>
    <w:rsid w:val="00A80B54"/>
    <w:rsid w:val="00A80C19"/>
    <w:rsid w:val="00A80C8F"/>
    <w:rsid w:val="00A80CBE"/>
    <w:rsid w:val="00A80CC9"/>
    <w:rsid w:val="00A80CF9"/>
    <w:rsid w:val="00A80D14"/>
    <w:rsid w:val="00A80D63"/>
    <w:rsid w:val="00A80DD1"/>
    <w:rsid w:val="00A80E5C"/>
    <w:rsid w:val="00A80ECA"/>
    <w:rsid w:val="00A80F6B"/>
    <w:rsid w:val="00A8100F"/>
    <w:rsid w:val="00A81059"/>
    <w:rsid w:val="00A810C3"/>
    <w:rsid w:val="00A81107"/>
    <w:rsid w:val="00A8111C"/>
    <w:rsid w:val="00A81170"/>
    <w:rsid w:val="00A81172"/>
    <w:rsid w:val="00A81188"/>
    <w:rsid w:val="00A81204"/>
    <w:rsid w:val="00A81277"/>
    <w:rsid w:val="00A81292"/>
    <w:rsid w:val="00A812A6"/>
    <w:rsid w:val="00A812BB"/>
    <w:rsid w:val="00A812BD"/>
    <w:rsid w:val="00A81311"/>
    <w:rsid w:val="00A81426"/>
    <w:rsid w:val="00A814A3"/>
    <w:rsid w:val="00A8150B"/>
    <w:rsid w:val="00A8158E"/>
    <w:rsid w:val="00A8158F"/>
    <w:rsid w:val="00A815AC"/>
    <w:rsid w:val="00A815DD"/>
    <w:rsid w:val="00A815F2"/>
    <w:rsid w:val="00A8160D"/>
    <w:rsid w:val="00A8169A"/>
    <w:rsid w:val="00A816DA"/>
    <w:rsid w:val="00A81784"/>
    <w:rsid w:val="00A817D2"/>
    <w:rsid w:val="00A8181D"/>
    <w:rsid w:val="00A8181F"/>
    <w:rsid w:val="00A818CB"/>
    <w:rsid w:val="00A818E3"/>
    <w:rsid w:val="00A818FC"/>
    <w:rsid w:val="00A81985"/>
    <w:rsid w:val="00A81A59"/>
    <w:rsid w:val="00A81A97"/>
    <w:rsid w:val="00A81ADE"/>
    <w:rsid w:val="00A81AF8"/>
    <w:rsid w:val="00A81B18"/>
    <w:rsid w:val="00A81B6F"/>
    <w:rsid w:val="00A81BEA"/>
    <w:rsid w:val="00A81C98"/>
    <w:rsid w:val="00A81CAF"/>
    <w:rsid w:val="00A81CCC"/>
    <w:rsid w:val="00A81DA7"/>
    <w:rsid w:val="00A81E44"/>
    <w:rsid w:val="00A81E86"/>
    <w:rsid w:val="00A81EB7"/>
    <w:rsid w:val="00A81EBF"/>
    <w:rsid w:val="00A81EC8"/>
    <w:rsid w:val="00A81F03"/>
    <w:rsid w:val="00A81F77"/>
    <w:rsid w:val="00A81F84"/>
    <w:rsid w:val="00A81FE6"/>
    <w:rsid w:val="00A82029"/>
    <w:rsid w:val="00A82038"/>
    <w:rsid w:val="00A820BC"/>
    <w:rsid w:val="00A820D4"/>
    <w:rsid w:val="00A821B2"/>
    <w:rsid w:val="00A82268"/>
    <w:rsid w:val="00A82286"/>
    <w:rsid w:val="00A82395"/>
    <w:rsid w:val="00A823C2"/>
    <w:rsid w:val="00A823F4"/>
    <w:rsid w:val="00A82432"/>
    <w:rsid w:val="00A82458"/>
    <w:rsid w:val="00A82490"/>
    <w:rsid w:val="00A824C4"/>
    <w:rsid w:val="00A824CB"/>
    <w:rsid w:val="00A824EC"/>
    <w:rsid w:val="00A824F3"/>
    <w:rsid w:val="00A8257E"/>
    <w:rsid w:val="00A82582"/>
    <w:rsid w:val="00A8267E"/>
    <w:rsid w:val="00A826BC"/>
    <w:rsid w:val="00A826DE"/>
    <w:rsid w:val="00A826E8"/>
    <w:rsid w:val="00A82755"/>
    <w:rsid w:val="00A827F1"/>
    <w:rsid w:val="00A82850"/>
    <w:rsid w:val="00A828F9"/>
    <w:rsid w:val="00A8292D"/>
    <w:rsid w:val="00A82947"/>
    <w:rsid w:val="00A82A88"/>
    <w:rsid w:val="00A82B41"/>
    <w:rsid w:val="00A82B5D"/>
    <w:rsid w:val="00A82B93"/>
    <w:rsid w:val="00A82BF7"/>
    <w:rsid w:val="00A82BFC"/>
    <w:rsid w:val="00A82C66"/>
    <w:rsid w:val="00A82C8B"/>
    <w:rsid w:val="00A82DBF"/>
    <w:rsid w:val="00A82DFF"/>
    <w:rsid w:val="00A82E08"/>
    <w:rsid w:val="00A82E19"/>
    <w:rsid w:val="00A82E3D"/>
    <w:rsid w:val="00A82E4C"/>
    <w:rsid w:val="00A82E66"/>
    <w:rsid w:val="00A82E8E"/>
    <w:rsid w:val="00A82EA4"/>
    <w:rsid w:val="00A82F3F"/>
    <w:rsid w:val="00A82FB1"/>
    <w:rsid w:val="00A8315A"/>
    <w:rsid w:val="00A831B9"/>
    <w:rsid w:val="00A831C0"/>
    <w:rsid w:val="00A8335B"/>
    <w:rsid w:val="00A8338F"/>
    <w:rsid w:val="00A83466"/>
    <w:rsid w:val="00A8346B"/>
    <w:rsid w:val="00A834C7"/>
    <w:rsid w:val="00A834D9"/>
    <w:rsid w:val="00A8351A"/>
    <w:rsid w:val="00A83693"/>
    <w:rsid w:val="00A836FF"/>
    <w:rsid w:val="00A8372E"/>
    <w:rsid w:val="00A837AF"/>
    <w:rsid w:val="00A8380B"/>
    <w:rsid w:val="00A8381D"/>
    <w:rsid w:val="00A83854"/>
    <w:rsid w:val="00A838AD"/>
    <w:rsid w:val="00A839D8"/>
    <w:rsid w:val="00A83A46"/>
    <w:rsid w:val="00A83A66"/>
    <w:rsid w:val="00A83AC7"/>
    <w:rsid w:val="00A83AE6"/>
    <w:rsid w:val="00A83B11"/>
    <w:rsid w:val="00A83B6D"/>
    <w:rsid w:val="00A83B7E"/>
    <w:rsid w:val="00A83BB3"/>
    <w:rsid w:val="00A83C25"/>
    <w:rsid w:val="00A83CAA"/>
    <w:rsid w:val="00A83CF2"/>
    <w:rsid w:val="00A83D8E"/>
    <w:rsid w:val="00A83E03"/>
    <w:rsid w:val="00A83E87"/>
    <w:rsid w:val="00A83E8E"/>
    <w:rsid w:val="00A83EEC"/>
    <w:rsid w:val="00A83FE5"/>
    <w:rsid w:val="00A8405C"/>
    <w:rsid w:val="00A840AB"/>
    <w:rsid w:val="00A840AC"/>
    <w:rsid w:val="00A840F9"/>
    <w:rsid w:val="00A84101"/>
    <w:rsid w:val="00A8413C"/>
    <w:rsid w:val="00A84163"/>
    <w:rsid w:val="00A8417E"/>
    <w:rsid w:val="00A8424C"/>
    <w:rsid w:val="00A8425E"/>
    <w:rsid w:val="00A8427C"/>
    <w:rsid w:val="00A842AF"/>
    <w:rsid w:val="00A8433A"/>
    <w:rsid w:val="00A84359"/>
    <w:rsid w:val="00A843D6"/>
    <w:rsid w:val="00A8445D"/>
    <w:rsid w:val="00A8445F"/>
    <w:rsid w:val="00A84492"/>
    <w:rsid w:val="00A84547"/>
    <w:rsid w:val="00A845C0"/>
    <w:rsid w:val="00A846A0"/>
    <w:rsid w:val="00A846AD"/>
    <w:rsid w:val="00A846BB"/>
    <w:rsid w:val="00A84738"/>
    <w:rsid w:val="00A8484E"/>
    <w:rsid w:val="00A8488E"/>
    <w:rsid w:val="00A84905"/>
    <w:rsid w:val="00A8497B"/>
    <w:rsid w:val="00A84989"/>
    <w:rsid w:val="00A849D0"/>
    <w:rsid w:val="00A84A84"/>
    <w:rsid w:val="00A84AA3"/>
    <w:rsid w:val="00A84B59"/>
    <w:rsid w:val="00A84B5C"/>
    <w:rsid w:val="00A84B81"/>
    <w:rsid w:val="00A84B88"/>
    <w:rsid w:val="00A84BED"/>
    <w:rsid w:val="00A84C70"/>
    <w:rsid w:val="00A84C87"/>
    <w:rsid w:val="00A84CCC"/>
    <w:rsid w:val="00A84CCD"/>
    <w:rsid w:val="00A84DB0"/>
    <w:rsid w:val="00A84DBA"/>
    <w:rsid w:val="00A84E06"/>
    <w:rsid w:val="00A84E5B"/>
    <w:rsid w:val="00A84E7C"/>
    <w:rsid w:val="00A84E93"/>
    <w:rsid w:val="00A84EE7"/>
    <w:rsid w:val="00A84EEA"/>
    <w:rsid w:val="00A84F19"/>
    <w:rsid w:val="00A84F50"/>
    <w:rsid w:val="00A84F5E"/>
    <w:rsid w:val="00A84FFF"/>
    <w:rsid w:val="00A85033"/>
    <w:rsid w:val="00A85048"/>
    <w:rsid w:val="00A85085"/>
    <w:rsid w:val="00A850C4"/>
    <w:rsid w:val="00A850ED"/>
    <w:rsid w:val="00A850F6"/>
    <w:rsid w:val="00A8514D"/>
    <w:rsid w:val="00A85178"/>
    <w:rsid w:val="00A8517A"/>
    <w:rsid w:val="00A851BA"/>
    <w:rsid w:val="00A852C2"/>
    <w:rsid w:val="00A852E3"/>
    <w:rsid w:val="00A85321"/>
    <w:rsid w:val="00A85384"/>
    <w:rsid w:val="00A853B3"/>
    <w:rsid w:val="00A8542C"/>
    <w:rsid w:val="00A8545C"/>
    <w:rsid w:val="00A85613"/>
    <w:rsid w:val="00A85693"/>
    <w:rsid w:val="00A857BB"/>
    <w:rsid w:val="00A857CB"/>
    <w:rsid w:val="00A857D3"/>
    <w:rsid w:val="00A8580A"/>
    <w:rsid w:val="00A8581F"/>
    <w:rsid w:val="00A85824"/>
    <w:rsid w:val="00A85876"/>
    <w:rsid w:val="00A8591F"/>
    <w:rsid w:val="00A85939"/>
    <w:rsid w:val="00A859C3"/>
    <w:rsid w:val="00A85A0F"/>
    <w:rsid w:val="00A85A79"/>
    <w:rsid w:val="00A85A81"/>
    <w:rsid w:val="00A85A99"/>
    <w:rsid w:val="00A85B65"/>
    <w:rsid w:val="00A85B9A"/>
    <w:rsid w:val="00A85C4F"/>
    <w:rsid w:val="00A85C7D"/>
    <w:rsid w:val="00A85CD0"/>
    <w:rsid w:val="00A85DF9"/>
    <w:rsid w:val="00A85EA2"/>
    <w:rsid w:val="00A85F7C"/>
    <w:rsid w:val="00A86024"/>
    <w:rsid w:val="00A860A2"/>
    <w:rsid w:val="00A860F8"/>
    <w:rsid w:val="00A86100"/>
    <w:rsid w:val="00A8612A"/>
    <w:rsid w:val="00A861F9"/>
    <w:rsid w:val="00A86223"/>
    <w:rsid w:val="00A86225"/>
    <w:rsid w:val="00A86238"/>
    <w:rsid w:val="00A862DA"/>
    <w:rsid w:val="00A862F6"/>
    <w:rsid w:val="00A86358"/>
    <w:rsid w:val="00A86367"/>
    <w:rsid w:val="00A86370"/>
    <w:rsid w:val="00A864A3"/>
    <w:rsid w:val="00A86500"/>
    <w:rsid w:val="00A8650D"/>
    <w:rsid w:val="00A865B1"/>
    <w:rsid w:val="00A865B6"/>
    <w:rsid w:val="00A86644"/>
    <w:rsid w:val="00A8670E"/>
    <w:rsid w:val="00A86716"/>
    <w:rsid w:val="00A86881"/>
    <w:rsid w:val="00A8688A"/>
    <w:rsid w:val="00A8689E"/>
    <w:rsid w:val="00A868C1"/>
    <w:rsid w:val="00A868E2"/>
    <w:rsid w:val="00A86A2A"/>
    <w:rsid w:val="00A86A4D"/>
    <w:rsid w:val="00A86A77"/>
    <w:rsid w:val="00A86B75"/>
    <w:rsid w:val="00A86C98"/>
    <w:rsid w:val="00A86D11"/>
    <w:rsid w:val="00A86DD2"/>
    <w:rsid w:val="00A86EE3"/>
    <w:rsid w:val="00A87073"/>
    <w:rsid w:val="00A870CA"/>
    <w:rsid w:val="00A870CF"/>
    <w:rsid w:val="00A870FD"/>
    <w:rsid w:val="00A8719B"/>
    <w:rsid w:val="00A87275"/>
    <w:rsid w:val="00A872ED"/>
    <w:rsid w:val="00A87301"/>
    <w:rsid w:val="00A87302"/>
    <w:rsid w:val="00A87392"/>
    <w:rsid w:val="00A873C7"/>
    <w:rsid w:val="00A87459"/>
    <w:rsid w:val="00A874AF"/>
    <w:rsid w:val="00A875F4"/>
    <w:rsid w:val="00A87671"/>
    <w:rsid w:val="00A877DB"/>
    <w:rsid w:val="00A8781D"/>
    <w:rsid w:val="00A87837"/>
    <w:rsid w:val="00A87849"/>
    <w:rsid w:val="00A87852"/>
    <w:rsid w:val="00A87868"/>
    <w:rsid w:val="00A87881"/>
    <w:rsid w:val="00A87886"/>
    <w:rsid w:val="00A8788F"/>
    <w:rsid w:val="00A878AD"/>
    <w:rsid w:val="00A878BD"/>
    <w:rsid w:val="00A878D1"/>
    <w:rsid w:val="00A878E2"/>
    <w:rsid w:val="00A8790E"/>
    <w:rsid w:val="00A87962"/>
    <w:rsid w:val="00A8797E"/>
    <w:rsid w:val="00A87A13"/>
    <w:rsid w:val="00A87A4D"/>
    <w:rsid w:val="00A87A8F"/>
    <w:rsid w:val="00A87AF9"/>
    <w:rsid w:val="00A87B0A"/>
    <w:rsid w:val="00A87B53"/>
    <w:rsid w:val="00A87BE6"/>
    <w:rsid w:val="00A87BFC"/>
    <w:rsid w:val="00A87D2B"/>
    <w:rsid w:val="00A87D6E"/>
    <w:rsid w:val="00A87D78"/>
    <w:rsid w:val="00A87DA9"/>
    <w:rsid w:val="00A87E0A"/>
    <w:rsid w:val="00A87E5F"/>
    <w:rsid w:val="00A87E99"/>
    <w:rsid w:val="00A87F38"/>
    <w:rsid w:val="00A87F4D"/>
    <w:rsid w:val="00A87F9E"/>
    <w:rsid w:val="00A90004"/>
    <w:rsid w:val="00A9006D"/>
    <w:rsid w:val="00A900FA"/>
    <w:rsid w:val="00A90157"/>
    <w:rsid w:val="00A9017E"/>
    <w:rsid w:val="00A901A1"/>
    <w:rsid w:val="00A901E7"/>
    <w:rsid w:val="00A901E8"/>
    <w:rsid w:val="00A90223"/>
    <w:rsid w:val="00A90247"/>
    <w:rsid w:val="00A902B9"/>
    <w:rsid w:val="00A90312"/>
    <w:rsid w:val="00A90348"/>
    <w:rsid w:val="00A90402"/>
    <w:rsid w:val="00A90439"/>
    <w:rsid w:val="00A9048A"/>
    <w:rsid w:val="00A90490"/>
    <w:rsid w:val="00A904BE"/>
    <w:rsid w:val="00A904CD"/>
    <w:rsid w:val="00A904E7"/>
    <w:rsid w:val="00A9052E"/>
    <w:rsid w:val="00A90533"/>
    <w:rsid w:val="00A905CF"/>
    <w:rsid w:val="00A90643"/>
    <w:rsid w:val="00A906D0"/>
    <w:rsid w:val="00A906D8"/>
    <w:rsid w:val="00A90701"/>
    <w:rsid w:val="00A9072E"/>
    <w:rsid w:val="00A90760"/>
    <w:rsid w:val="00A90794"/>
    <w:rsid w:val="00A9079F"/>
    <w:rsid w:val="00A907D7"/>
    <w:rsid w:val="00A9085D"/>
    <w:rsid w:val="00A9088C"/>
    <w:rsid w:val="00A908B7"/>
    <w:rsid w:val="00A90916"/>
    <w:rsid w:val="00A90A12"/>
    <w:rsid w:val="00A90AAE"/>
    <w:rsid w:val="00A90B1E"/>
    <w:rsid w:val="00A90B5E"/>
    <w:rsid w:val="00A90C02"/>
    <w:rsid w:val="00A90C71"/>
    <w:rsid w:val="00A90CC7"/>
    <w:rsid w:val="00A90CD4"/>
    <w:rsid w:val="00A90D20"/>
    <w:rsid w:val="00A90D77"/>
    <w:rsid w:val="00A90E77"/>
    <w:rsid w:val="00A90EA0"/>
    <w:rsid w:val="00A90F1C"/>
    <w:rsid w:val="00A90F98"/>
    <w:rsid w:val="00A90FC4"/>
    <w:rsid w:val="00A90FF6"/>
    <w:rsid w:val="00A91027"/>
    <w:rsid w:val="00A91051"/>
    <w:rsid w:val="00A9114C"/>
    <w:rsid w:val="00A91164"/>
    <w:rsid w:val="00A912D5"/>
    <w:rsid w:val="00A91370"/>
    <w:rsid w:val="00A91387"/>
    <w:rsid w:val="00A9139F"/>
    <w:rsid w:val="00A913B7"/>
    <w:rsid w:val="00A9145B"/>
    <w:rsid w:val="00A91509"/>
    <w:rsid w:val="00A91533"/>
    <w:rsid w:val="00A91544"/>
    <w:rsid w:val="00A915AD"/>
    <w:rsid w:val="00A915B4"/>
    <w:rsid w:val="00A915ED"/>
    <w:rsid w:val="00A91600"/>
    <w:rsid w:val="00A91668"/>
    <w:rsid w:val="00A9167D"/>
    <w:rsid w:val="00A916AE"/>
    <w:rsid w:val="00A916FD"/>
    <w:rsid w:val="00A917A6"/>
    <w:rsid w:val="00A917B3"/>
    <w:rsid w:val="00A917CB"/>
    <w:rsid w:val="00A917E3"/>
    <w:rsid w:val="00A91947"/>
    <w:rsid w:val="00A91969"/>
    <w:rsid w:val="00A91980"/>
    <w:rsid w:val="00A91A0C"/>
    <w:rsid w:val="00A91AE0"/>
    <w:rsid w:val="00A91AF2"/>
    <w:rsid w:val="00A91B52"/>
    <w:rsid w:val="00A91BD4"/>
    <w:rsid w:val="00A91BF1"/>
    <w:rsid w:val="00A91CAE"/>
    <w:rsid w:val="00A91CC9"/>
    <w:rsid w:val="00A91CCC"/>
    <w:rsid w:val="00A91CDF"/>
    <w:rsid w:val="00A91CEE"/>
    <w:rsid w:val="00A91D2B"/>
    <w:rsid w:val="00A91E3E"/>
    <w:rsid w:val="00A91EDB"/>
    <w:rsid w:val="00A91F75"/>
    <w:rsid w:val="00A91F94"/>
    <w:rsid w:val="00A91FAF"/>
    <w:rsid w:val="00A92023"/>
    <w:rsid w:val="00A9202A"/>
    <w:rsid w:val="00A92149"/>
    <w:rsid w:val="00A921BE"/>
    <w:rsid w:val="00A921C9"/>
    <w:rsid w:val="00A9231B"/>
    <w:rsid w:val="00A92363"/>
    <w:rsid w:val="00A923FD"/>
    <w:rsid w:val="00A92442"/>
    <w:rsid w:val="00A924AA"/>
    <w:rsid w:val="00A924C4"/>
    <w:rsid w:val="00A92531"/>
    <w:rsid w:val="00A9258F"/>
    <w:rsid w:val="00A925D9"/>
    <w:rsid w:val="00A9267D"/>
    <w:rsid w:val="00A926E9"/>
    <w:rsid w:val="00A9275C"/>
    <w:rsid w:val="00A927A1"/>
    <w:rsid w:val="00A927DA"/>
    <w:rsid w:val="00A928C0"/>
    <w:rsid w:val="00A928F5"/>
    <w:rsid w:val="00A92912"/>
    <w:rsid w:val="00A9294A"/>
    <w:rsid w:val="00A9296D"/>
    <w:rsid w:val="00A929D8"/>
    <w:rsid w:val="00A929E2"/>
    <w:rsid w:val="00A92B39"/>
    <w:rsid w:val="00A92B61"/>
    <w:rsid w:val="00A92BB7"/>
    <w:rsid w:val="00A92BD5"/>
    <w:rsid w:val="00A92CC6"/>
    <w:rsid w:val="00A92D61"/>
    <w:rsid w:val="00A92E05"/>
    <w:rsid w:val="00A92E06"/>
    <w:rsid w:val="00A92F3B"/>
    <w:rsid w:val="00A92FF0"/>
    <w:rsid w:val="00A93020"/>
    <w:rsid w:val="00A930D1"/>
    <w:rsid w:val="00A9310F"/>
    <w:rsid w:val="00A93260"/>
    <w:rsid w:val="00A932D1"/>
    <w:rsid w:val="00A933AD"/>
    <w:rsid w:val="00A933E9"/>
    <w:rsid w:val="00A93461"/>
    <w:rsid w:val="00A934C1"/>
    <w:rsid w:val="00A934D7"/>
    <w:rsid w:val="00A9354E"/>
    <w:rsid w:val="00A935F8"/>
    <w:rsid w:val="00A9362C"/>
    <w:rsid w:val="00A93832"/>
    <w:rsid w:val="00A9385D"/>
    <w:rsid w:val="00A9389C"/>
    <w:rsid w:val="00A9392D"/>
    <w:rsid w:val="00A93A21"/>
    <w:rsid w:val="00A93A42"/>
    <w:rsid w:val="00A93A78"/>
    <w:rsid w:val="00A93AB1"/>
    <w:rsid w:val="00A93B0E"/>
    <w:rsid w:val="00A93B16"/>
    <w:rsid w:val="00A93B49"/>
    <w:rsid w:val="00A93B63"/>
    <w:rsid w:val="00A93B66"/>
    <w:rsid w:val="00A93BF3"/>
    <w:rsid w:val="00A93C3D"/>
    <w:rsid w:val="00A93C83"/>
    <w:rsid w:val="00A93CC7"/>
    <w:rsid w:val="00A93CD3"/>
    <w:rsid w:val="00A93D3E"/>
    <w:rsid w:val="00A93D88"/>
    <w:rsid w:val="00A93E5F"/>
    <w:rsid w:val="00A93E82"/>
    <w:rsid w:val="00A93EAD"/>
    <w:rsid w:val="00A93F08"/>
    <w:rsid w:val="00A93F38"/>
    <w:rsid w:val="00A94007"/>
    <w:rsid w:val="00A940DD"/>
    <w:rsid w:val="00A9411A"/>
    <w:rsid w:val="00A94170"/>
    <w:rsid w:val="00A94217"/>
    <w:rsid w:val="00A94244"/>
    <w:rsid w:val="00A942B5"/>
    <w:rsid w:val="00A942C7"/>
    <w:rsid w:val="00A9430D"/>
    <w:rsid w:val="00A94343"/>
    <w:rsid w:val="00A943A9"/>
    <w:rsid w:val="00A943E7"/>
    <w:rsid w:val="00A944CF"/>
    <w:rsid w:val="00A94521"/>
    <w:rsid w:val="00A9454F"/>
    <w:rsid w:val="00A9456A"/>
    <w:rsid w:val="00A945B9"/>
    <w:rsid w:val="00A945FB"/>
    <w:rsid w:val="00A94675"/>
    <w:rsid w:val="00A946A2"/>
    <w:rsid w:val="00A94711"/>
    <w:rsid w:val="00A9472B"/>
    <w:rsid w:val="00A94764"/>
    <w:rsid w:val="00A94792"/>
    <w:rsid w:val="00A94807"/>
    <w:rsid w:val="00A94895"/>
    <w:rsid w:val="00A94905"/>
    <w:rsid w:val="00A9495D"/>
    <w:rsid w:val="00A9496C"/>
    <w:rsid w:val="00A9498B"/>
    <w:rsid w:val="00A949C3"/>
    <w:rsid w:val="00A949D4"/>
    <w:rsid w:val="00A94A9F"/>
    <w:rsid w:val="00A94B54"/>
    <w:rsid w:val="00A94B62"/>
    <w:rsid w:val="00A94B86"/>
    <w:rsid w:val="00A94C01"/>
    <w:rsid w:val="00A94C18"/>
    <w:rsid w:val="00A94C4D"/>
    <w:rsid w:val="00A94C79"/>
    <w:rsid w:val="00A94C8D"/>
    <w:rsid w:val="00A94CB6"/>
    <w:rsid w:val="00A94CB7"/>
    <w:rsid w:val="00A94CC7"/>
    <w:rsid w:val="00A94DB1"/>
    <w:rsid w:val="00A94DB5"/>
    <w:rsid w:val="00A94DEB"/>
    <w:rsid w:val="00A94DF3"/>
    <w:rsid w:val="00A94E21"/>
    <w:rsid w:val="00A94E9F"/>
    <w:rsid w:val="00A94F08"/>
    <w:rsid w:val="00A94F33"/>
    <w:rsid w:val="00A94F6E"/>
    <w:rsid w:val="00A94FBF"/>
    <w:rsid w:val="00A94FD0"/>
    <w:rsid w:val="00A95058"/>
    <w:rsid w:val="00A95082"/>
    <w:rsid w:val="00A951D5"/>
    <w:rsid w:val="00A9525F"/>
    <w:rsid w:val="00A952AC"/>
    <w:rsid w:val="00A952E5"/>
    <w:rsid w:val="00A953EC"/>
    <w:rsid w:val="00A95506"/>
    <w:rsid w:val="00A9550A"/>
    <w:rsid w:val="00A95527"/>
    <w:rsid w:val="00A9554A"/>
    <w:rsid w:val="00A95648"/>
    <w:rsid w:val="00A9566A"/>
    <w:rsid w:val="00A956B9"/>
    <w:rsid w:val="00A957B1"/>
    <w:rsid w:val="00A957D4"/>
    <w:rsid w:val="00A957F1"/>
    <w:rsid w:val="00A95862"/>
    <w:rsid w:val="00A95863"/>
    <w:rsid w:val="00A95896"/>
    <w:rsid w:val="00A958CC"/>
    <w:rsid w:val="00A958E3"/>
    <w:rsid w:val="00A958EE"/>
    <w:rsid w:val="00A9592C"/>
    <w:rsid w:val="00A95A23"/>
    <w:rsid w:val="00A95B4B"/>
    <w:rsid w:val="00A95BA9"/>
    <w:rsid w:val="00A95BF8"/>
    <w:rsid w:val="00A95C91"/>
    <w:rsid w:val="00A95C97"/>
    <w:rsid w:val="00A95CDA"/>
    <w:rsid w:val="00A95D7F"/>
    <w:rsid w:val="00A95DB4"/>
    <w:rsid w:val="00A95DB8"/>
    <w:rsid w:val="00A95E89"/>
    <w:rsid w:val="00A95EAC"/>
    <w:rsid w:val="00A95FBB"/>
    <w:rsid w:val="00A95FFB"/>
    <w:rsid w:val="00A96038"/>
    <w:rsid w:val="00A960A1"/>
    <w:rsid w:val="00A960CD"/>
    <w:rsid w:val="00A9610B"/>
    <w:rsid w:val="00A9615C"/>
    <w:rsid w:val="00A96194"/>
    <w:rsid w:val="00A961A4"/>
    <w:rsid w:val="00A961E4"/>
    <w:rsid w:val="00A961FD"/>
    <w:rsid w:val="00A96263"/>
    <w:rsid w:val="00A96265"/>
    <w:rsid w:val="00A9629D"/>
    <w:rsid w:val="00A96336"/>
    <w:rsid w:val="00A963B8"/>
    <w:rsid w:val="00A964BD"/>
    <w:rsid w:val="00A964D4"/>
    <w:rsid w:val="00A96577"/>
    <w:rsid w:val="00A966BE"/>
    <w:rsid w:val="00A966F8"/>
    <w:rsid w:val="00A9674B"/>
    <w:rsid w:val="00A9686C"/>
    <w:rsid w:val="00A968CD"/>
    <w:rsid w:val="00A968DD"/>
    <w:rsid w:val="00A9696A"/>
    <w:rsid w:val="00A96990"/>
    <w:rsid w:val="00A969D8"/>
    <w:rsid w:val="00A969FE"/>
    <w:rsid w:val="00A96A8A"/>
    <w:rsid w:val="00A96A8E"/>
    <w:rsid w:val="00A96AA4"/>
    <w:rsid w:val="00A96AA8"/>
    <w:rsid w:val="00A96B72"/>
    <w:rsid w:val="00A96BB9"/>
    <w:rsid w:val="00A96C2F"/>
    <w:rsid w:val="00A96CE7"/>
    <w:rsid w:val="00A96CFB"/>
    <w:rsid w:val="00A96D40"/>
    <w:rsid w:val="00A96D41"/>
    <w:rsid w:val="00A96DC5"/>
    <w:rsid w:val="00A96DC7"/>
    <w:rsid w:val="00A96E76"/>
    <w:rsid w:val="00A96F5B"/>
    <w:rsid w:val="00A97113"/>
    <w:rsid w:val="00A9713C"/>
    <w:rsid w:val="00A97162"/>
    <w:rsid w:val="00A9717A"/>
    <w:rsid w:val="00A971AC"/>
    <w:rsid w:val="00A971B9"/>
    <w:rsid w:val="00A971E7"/>
    <w:rsid w:val="00A971E8"/>
    <w:rsid w:val="00A971EA"/>
    <w:rsid w:val="00A971F9"/>
    <w:rsid w:val="00A97207"/>
    <w:rsid w:val="00A9724D"/>
    <w:rsid w:val="00A97258"/>
    <w:rsid w:val="00A97368"/>
    <w:rsid w:val="00A9737C"/>
    <w:rsid w:val="00A973C0"/>
    <w:rsid w:val="00A97431"/>
    <w:rsid w:val="00A97482"/>
    <w:rsid w:val="00A97490"/>
    <w:rsid w:val="00A97497"/>
    <w:rsid w:val="00A974A9"/>
    <w:rsid w:val="00A974AF"/>
    <w:rsid w:val="00A974BE"/>
    <w:rsid w:val="00A974EF"/>
    <w:rsid w:val="00A97628"/>
    <w:rsid w:val="00A9762F"/>
    <w:rsid w:val="00A976B1"/>
    <w:rsid w:val="00A97702"/>
    <w:rsid w:val="00A9778C"/>
    <w:rsid w:val="00A9781E"/>
    <w:rsid w:val="00A97864"/>
    <w:rsid w:val="00A978B2"/>
    <w:rsid w:val="00A978FA"/>
    <w:rsid w:val="00A97A06"/>
    <w:rsid w:val="00A97A2A"/>
    <w:rsid w:val="00A97AE4"/>
    <w:rsid w:val="00A97AE8"/>
    <w:rsid w:val="00A97B46"/>
    <w:rsid w:val="00A97B76"/>
    <w:rsid w:val="00A97BCA"/>
    <w:rsid w:val="00A97C06"/>
    <w:rsid w:val="00A97C95"/>
    <w:rsid w:val="00A97CD1"/>
    <w:rsid w:val="00A97DA4"/>
    <w:rsid w:val="00A97DAF"/>
    <w:rsid w:val="00A97DE1"/>
    <w:rsid w:val="00A97E1C"/>
    <w:rsid w:val="00A97E56"/>
    <w:rsid w:val="00A97F92"/>
    <w:rsid w:val="00AA01B0"/>
    <w:rsid w:val="00AA0206"/>
    <w:rsid w:val="00AA0227"/>
    <w:rsid w:val="00AA02E2"/>
    <w:rsid w:val="00AA02FD"/>
    <w:rsid w:val="00AA0383"/>
    <w:rsid w:val="00AA0390"/>
    <w:rsid w:val="00AA03CF"/>
    <w:rsid w:val="00AA0402"/>
    <w:rsid w:val="00AA0572"/>
    <w:rsid w:val="00AA05B0"/>
    <w:rsid w:val="00AA05C0"/>
    <w:rsid w:val="00AA05EE"/>
    <w:rsid w:val="00AA062C"/>
    <w:rsid w:val="00AA06B5"/>
    <w:rsid w:val="00AA0807"/>
    <w:rsid w:val="00AA081C"/>
    <w:rsid w:val="00AA082C"/>
    <w:rsid w:val="00AA0892"/>
    <w:rsid w:val="00AA08D0"/>
    <w:rsid w:val="00AA0A73"/>
    <w:rsid w:val="00AA0A77"/>
    <w:rsid w:val="00AA0A95"/>
    <w:rsid w:val="00AA0AD9"/>
    <w:rsid w:val="00AA0BDA"/>
    <w:rsid w:val="00AA0C44"/>
    <w:rsid w:val="00AA0C65"/>
    <w:rsid w:val="00AA0D3A"/>
    <w:rsid w:val="00AA0D42"/>
    <w:rsid w:val="00AA0D50"/>
    <w:rsid w:val="00AA0D9C"/>
    <w:rsid w:val="00AA0DCD"/>
    <w:rsid w:val="00AA0E79"/>
    <w:rsid w:val="00AA0EF0"/>
    <w:rsid w:val="00AA0F32"/>
    <w:rsid w:val="00AA0F48"/>
    <w:rsid w:val="00AA100D"/>
    <w:rsid w:val="00AA1050"/>
    <w:rsid w:val="00AA1056"/>
    <w:rsid w:val="00AA10FE"/>
    <w:rsid w:val="00AA117E"/>
    <w:rsid w:val="00AA1195"/>
    <w:rsid w:val="00AA1200"/>
    <w:rsid w:val="00AA1266"/>
    <w:rsid w:val="00AA13C4"/>
    <w:rsid w:val="00AA1403"/>
    <w:rsid w:val="00AA140F"/>
    <w:rsid w:val="00AA1413"/>
    <w:rsid w:val="00AA1434"/>
    <w:rsid w:val="00AA148E"/>
    <w:rsid w:val="00AA153F"/>
    <w:rsid w:val="00AA15CE"/>
    <w:rsid w:val="00AA164D"/>
    <w:rsid w:val="00AA167E"/>
    <w:rsid w:val="00AA16BD"/>
    <w:rsid w:val="00AA1709"/>
    <w:rsid w:val="00AA17F0"/>
    <w:rsid w:val="00AA187E"/>
    <w:rsid w:val="00AA1940"/>
    <w:rsid w:val="00AA1946"/>
    <w:rsid w:val="00AA1949"/>
    <w:rsid w:val="00AA195C"/>
    <w:rsid w:val="00AA19E4"/>
    <w:rsid w:val="00AA1ADE"/>
    <w:rsid w:val="00AA1B05"/>
    <w:rsid w:val="00AA1B3A"/>
    <w:rsid w:val="00AA1B4A"/>
    <w:rsid w:val="00AA1B73"/>
    <w:rsid w:val="00AA1BC1"/>
    <w:rsid w:val="00AA1C77"/>
    <w:rsid w:val="00AA1CB9"/>
    <w:rsid w:val="00AA1D16"/>
    <w:rsid w:val="00AA1DD2"/>
    <w:rsid w:val="00AA1EDE"/>
    <w:rsid w:val="00AA1F4D"/>
    <w:rsid w:val="00AA1FEE"/>
    <w:rsid w:val="00AA1FF6"/>
    <w:rsid w:val="00AA201A"/>
    <w:rsid w:val="00AA2046"/>
    <w:rsid w:val="00AA2060"/>
    <w:rsid w:val="00AA20F5"/>
    <w:rsid w:val="00AA21D0"/>
    <w:rsid w:val="00AA2201"/>
    <w:rsid w:val="00AA220F"/>
    <w:rsid w:val="00AA22C7"/>
    <w:rsid w:val="00AA22C9"/>
    <w:rsid w:val="00AA235D"/>
    <w:rsid w:val="00AA2368"/>
    <w:rsid w:val="00AA237A"/>
    <w:rsid w:val="00AA2381"/>
    <w:rsid w:val="00AA238C"/>
    <w:rsid w:val="00AA23DB"/>
    <w:rsid w:val="00AA2403"/>
    <w:rsid w:val="00AA2649"/>
    <w:rsid w:val="00AA26DE"/>
    <w:rsid w:val="00AA26FE"/>
    <w:rsid w:val="00AA2711"/>
    <w:rsid w:val="00AA2738"/>
    <w:rsid w:val="00AA27CE"/>
    <w:rsid w:val="00AA27F1"/>
    <w:rsid w:val="00AA283D"/>
    <w:rsid w:val="00AA2A3C"/>
    <w:rsid w:val="00AA2A43"/>
    <w:rsid w:val="00AA2B4D"/>
    <w:rsid w:val="00AA2BB3"/>
    <w:rsid w:val="00AA2C52"/>
    <w:rsid w:val="00AA2C70"/>
    <w:rsid w:val="00AA2CC3"/>
    <w:rsid w:val="00AA2CE9"/>
    <w:rsid w:val="00AA2CF8"/>
    <w:rsid w:val="00AA2D23"/>
    <w:rsid w:val="00AA2DD0"/>
    <w:rsid w:val="00AA2DF9"/>
    <w:rsid w:val="00AA2E24"/>
    <w:rsid w:val="00AA2E2E"/>
    <w:rsid w:val="00AA2E43"/>
    <w:rsid w:val="00AA2E6A"/>
    <w:rsid w:val="00AA2E8C"/>
    <w:rsid w:val="00AA2EDC"/>
    <w:rsid w:val="00AA2F15"/>
    <w:rsid w:val="00AA2F5C"/>
    <w:rsid w:val="00AA2F71"/>
    <w:rsid w:val="00AA2F8C"/>
    <w:rsid w:val="00AA2F8F"/>
    <w:rsid w:val="00AA308A"/>
    <w:rsid w:val="00AA30D0"/>
    <w:rsid w:val="00AA3185"/>
    <w:rsid w:val="00AA3232"/>
    <w:rsid w:val="00AA328D"/>
    <w:rsid w:val="00AA32E9"/>
    <w:rsid w:val="00AA3329"/>
    <w:rsid w:val="00AA334B"/>
    <w:rsid w:val="00AA338E"/>
    <w:rsid w:val="00AA3447"/>
    <w:rsid w:val="00AA3484"/>
    <w:rsid w:val="00AA34C4"/>
    <w:rsid w:val="00AA34CA"/>
    <w:rsid w:val="00AA352E"/>
    <w:rsid w:val="00AA3540"/>
    <w:rsid w:val="00AA35AC"/>
    <w:rsid w:val="00AA35B5"/>
    <w:rsid w:val="00AA363C"/>
    <w:rsid w:val="00AA363F"/>
    <w:rsid w:val="00AA368C"/>
    <w:rsid w:val="00AA36A8"/>
    <w:rsid w:val="00AA36CC"/>
    <w:rsid w:val="00AA36F8"/>
    <w:rsid w:val="00AA3723"/>
    <w:rsid w:val="00AA3777"/>
    <w:rsid w:val="00AA378B"/>
    <w:rsid w:val="00AA3896"/>
    <w:rsid w:val="00AA38AA"/>
    <w:rsid w:val="00AA3A83"/>
    <w:rsid w:val="00AA3A8D"/>
    <w:rsid w:val="00AA3B01"/>
    <w:rsid w:val="00AA3B5D"/>
    <w:rsid w:val="00AA3B78"/>
    <w:rsid w:val="00AA3B85"/>
    <w:rsid w:val="00AA3BB0"/>
    <w:rsid w:val="00AA3BB5"/>
    <w:rsid w:val="00AA3C2B"/>
    <w:rsid w:val="00AA3C84"/>
    <w:rsid w:val="00AA3CA1"/>
    <w:rsid w:val="00AA3D06"/>
    <w:rsid w:val="00AA3D24"/>
    <w:rsid w:val="00AA3D3E"/>
    <w:rsid w:val="00AA3D47"/>
    <w:rsid w:val="00AA3DB2"/>
    <w:rsid w:val="00AA3DB7"/>
    <w:rsid w:val="00AA3E0E"/>
    <w:rsid w:val="00AA3F89"/>
    <w:rsid w:val="00AA4074"/>
    <w:rsid w:val="00AA414B"/>
    <w:rsid w:val="00AA41ED"/>
    <w:rsid w:val="00AA4270"/>
    <w:rsid w:val="00AA42D5"/>
    <w:rsid w:val="00AA4399"/>
    <w:rsid w:val="00AA4414"/>
    <w:rsid w:val="00AA4479"/>
    <w:rsid w:val="00AA44EB"/>
    <w:rsid w:val="00AA44F2"/>
    <w:rsid w:val="00AA44FE"/>
    <w:rsid w:val="00AA45B8"/>
    <w:rsid w:val="00AA45E1"/>
    <w:rsid w:val="00AA466A"/>
    <w:rsid w:val="00AA469E"/>
    <w:rsid w:val="00AA476C"/>
    <w:rsid w:val="00AA47A3"/>
    <w:rsid w:val="00AA47DE"/>
    <w:rsid w:val="00AA498A"/>
    <w:rsid w:val="00AA49B6"/>
    <w:rsid w:val="00AA49EA"/>
    <w:rsid w:val="00AA4A0D"/>
    <w:rsid w:val="00AA4A16"/>
    <w:rsid w:val="00AA4A43"/>
    <w:rsid w:val="00AA4A5C"/>
    <w:rsid w:val="00AA4A9A"/>
    <w:rsid w:val="00AA4B28"/>
    <w:rsid w:val="00AA4BAA"/>
    <w:rsid w:val="00AA4BE5"/>
    <w:rsid w:val="00AA4BE6"/>
    <w:rsid w:val="00AA4C08"/>
    <w:rsid w:val="00AA4C34"/>
    <w:rsid w:val="00AA4C74"/>
    <w:rsid w:val="00AA4C98"/>
    <w:rsid w:val="00AA4CD8"/>
    <w:rsid w:val="00AA4D24"/>
    <w:rsid w:val="00AA4DDA"/>
    <w:rsid w:val="00AA4DEF"/>
    <w:rsid w:val="00AA4E5D"/>
    <w:rsid w:val="00AA4EFF"/>
    <w:rsid w:val="00AA4F4C"/>
    <w:rsid w:val="00AA5008"/>
    <w:rsid w:val="00AA501F"/>
    <w:rsid w:val="00AA5027"/>
    <w:rsid w:val="00AA50A5"/>
    <w:rsid w:val="00AA5155"/>
    <w:rsid w:val="00AA51C2"/>
    <w:rsid w:val="00AA51C3"/>
    <w:rsid w:val="00AA5262"/>
    <w:rsid w:val="00AA527C"/>
    <w:rsid w:val="00AA529D"/>
    <w:rsid w:val="00AA52F7"/>
    <w:rsid w:val="00AA52F8"/>
    <w:rsid w:val="00AA52FF"/>
    <w:rsid w:val="00AA53A8"/>
    <w:rsid w:val="00AA53AD"/>
    <w:rsid w:val="00AA5401"/>
    <w:rsid w:val="00AA5424"/>
    <w:rsid w:val="00AA542B"/>
    <w:rsid w:val="00AA544F"/>
    <w:rsid w:val="00AA54D4"/>
    <w:rsid w:val="00AA54D9"/>
    <w:rsid w:val="00AA551D"/>
    <w:rsid w:val="00AA5581"/>
    <w:rsid w:val="00AA55A0"/>
    <w:rsid w:val="00AA55A8"/>
    <w:rsid w:val="00AA566D"/>
    <w:rsid w:val="00AA56CB"/>
    <w:rsid w:val="00AA5740"/>
    <w:rsid w:val="00AA577E"/>
    <w:rsid w:val="00AA57DD"/>
    <w:rsid w:val="00AA582D"/>
    <w:rsid w:val="00AA587E"/>
    <w:rsid w:val="00AA599D"/>
    <w:rsid w:val="00AA59C1"/>
    <w:rsid w:val="00AA59EB"/>
    <w:rsid w:val="00AA5AE7"/>
    <w:rsid w:val="00AA5B51"/>
    <w:rsid w:val="00AA5C62"/>
    <w:rsid w:val="00AA5CCA"/>
    <w:rsid w:val="00AA5E00"/>
    <w:rsid w:val="00AA5E91"/>
    <w:rsid w:val="00AA5E95"/>
    <w:rsid w:val="00AA5ECB"/>
    <w:rsid w:val="00AA5F61"/>
    <w:rsid w:val="00AA5FB1"/>
    <w:rsid w:val="00AA5FDA"/>
    <w:rsid w:val="00AA6066"/>
    <w:rsid w:val="00AA619F"/>
    <w:rsid w:val="00AA620E"/>
    <w:rsid w:val="00AA6233"/>
    <w:rsid w:val="00AA6238"/>
    <w:rsid w:val="00AA627E"/>
    <w:rsid w:val="00AA63AC"/>
    <w:rsid w:val="00AA63C1"/>
    <w:rsid w:val="00AA63DF"/>
    <w:rsid w:val="00AA6443"/>
    <w:rsid w:val="00AA64FA"/>
    <w:rsid w:val="00AA6575"/>
    <w:rsid w:val="00AA658F"/>
    <w:rsid w:val="00AA659D"/>
    <w:rsid w:val="00AA6668"/>
    <w:rsid w:val="00AA66A1"/>
    <w:rsid w:val="00AA6764"/>
    <w:rsid w:val="00AA677A"/>
    <w:rsid w:val="00AA6791"/>
    <w:rsid w:val="00AA687D"/>
    <w:rsid w:val="00AA68AA"/>
    <w:rsid w:val="00AA698D"/>
    <w:rsid w:val="00AA69C2"/>
    <w:rsid w:val="00AA6A1F"/>
    <w:rsid w:val="00AA6A6C"/>
    <w:rsid w:val="00AA6ADF"/>
    <w:rsid w:val="00AA6AE9"/>
    <w:rsid w:val="00AA6AF4"/>
    <w:rsid w:val="00AA6AFF"/>
    <w:rsid w:val="00AA6B3C"/>
    <w:rsid w:val="00AA6B64"/>
    <w:rsid w:val="00AA6C7A"/>
    <w:rsid w:val="00AA6D91"/>
    <w:rsid w:val="00AA6E91"/>
    <w:rsid w:val="00AA6EDB"/>
    <w:rsid w:val="00AA6F94"/>
    <w:rsid w:val="00AA6FCF"/>
    <w:rsid w:val="00AA7059"/>
    <w:rsid w:val="00AA7099"/>
    <w:rsid w:val="00AA70D8"/>
    <w:rsid w:val="00AA7145"/>
    <w:rsid w:val="00AA71FD"/>
    <w:rsid w:val="00AA7299"/>
    <w:rsid w:val="00AA72EC"/>
    <w:rsid w:val="00AA7327"/>
    <w:rsid w:val="00AA7360"/>
    <w:rsid w:val="00AA73FC"/>
    <w:rsid w:val="00AA7454"/>
    <w:rsid w:val="00AA7493"/>
    <w:rsid w:val="00AA74CA"/>
    <w:rsid w:val="00AA74E1"/>
    <w:rsid w:val="00AA74E7"/>
    <w:rsid w:val="00AA7502"/>
    <w:rsid w:val="00AA7565"/>
    <w:rsid w:val="00AA7697"/>
    <w:rsid w:val="00AA76BD"/>
    <w:rsid w:val="00AA7728"/>
    <w:rsid w:val="00AA7819"/>
    <w:rsid w:val="00AA782B"/>
    <w:rsid w:val="00AA7903"/>
    <w:rsid w:val="00AA7955"/>
    <w:rsid w:val="00AA79C4"/>
    <w:rsid w:val="00AA7A83"/>
    <w:rsid w:val="00AA7AF8"/>
    <w:rsid w:val="00AA7B67"/>
    <w:rsid w:val="00AA7B80"/>
    <w:rsid w:val="00AA7BB6"/>
    <w:rsid w:val="00AA7C10"/>
    <w:rsid w:val="00AA7C77"/>
    <w:rsid w:val="00AA7CE1"/>
    <w:rsid w:val="00AA7D75"/>
    <w:rsid w:val="00AA7DAF"/>
    <w:rsid w:val="00AA7E98"/>
    <w:rsid w:val="00AA7EA5"/>
    <w:rsid w:val="00AA7FC0"/>
    <w:rsid w:val="00AA7FE0"/>
    <w:rsid w:val="00AB0032"/>
    <w:rsid w:val="00AB0068"/>
    <w:rsid w:val="00AB0089"/>
    <w:rsid w:val="00AB0179"/>
    <w:rsid w:val="00AB018C"/>
    <w:rsid w:val="00AB0290"/>
    <w:rsid w:val="00AB02F9"/>
    <w:rsid w:val="00AB03E9"/>
    <w:rsid w:val="00AB03F2"/>
    <w:rsid w:val="00AB0485"/>
    <w:rsid w:val="00AB04D6"/>
    <w:rsid w:val="00AB04FB"/>
    <w:rsid w:val="00AB0522"/>
    <w:rsid w:val="00AB0570"/>
    <w:rsid w:val="00AB0583"/>
    <w:rsid w:val="00AB05A8"/>
    <w:rsid w:val="00AB060E"/>
    <w:rsid w:val="00AB0691"/>
    <w:rsid w:val="00AB070E"/>
    <w:rsid w:val="00AB0710"/>
    <w:rsid w:val="00AB0768"/>
    <w:rsid w:val="00AB07CD"/>
    <w:rsid w:val="00AB0805"/>
    <w:rsid w:val="00AB0858"/>
    <w:rsid w:val="00AB0945"/>
    <w:rsid w:val="00AB095B"/>
    <w:rsid w:val="00AB0978"/>
    <w:rsid w:val="00AB09C8"/>
    <w:rsid w:val="00AB0A85"/>
    <w:rsid w:val="00AB0B1A"/>
    <w:rsid w:val="00AB0B57"/>
    <w:rsid w:val="00AB0B92"/>
    <w:rsid w:val="00AB0BC9"/>
    <w:rsid w:val="00AB0CCA"/>
    <w:rsid w:val="00AB0CFC"/>
    <w:rsid w:val="00AB0EB8"/>
    <w:rsid w:val="00AB0F17"/>
    <w:rsid w:val="00AB0FE9"/>
    <w:rsid w:val="00AB1041"/>
    <w:rsid w:val="00AB1060"/>
    <w:rsid w:val="00AB1078"/>
    <w:rsid w:val="00AB1081"/>
    <w:rsid w:val="00AB10AA"/>
    <w:rsid w:val="00AB10AF"/>
    <w:rsid w:val="00AB119C"/>
    <w:rsid w:val="00AB11CF"/>
    <w:rsid w:val="00AB122E"/>
    <w:rsid w:val="00AB1261"/>
    <w:rsid w:val="00AB129B"/>
    <w:rsid w:val="00AB12BA"/>
    <w:rsid w:val="00AB12CB"/>
    <w:rsid w:val="00AB1455"/>
    <w:rsid w:val="00AB1471"/>
    <w:rsid w:val="00AB14CE"/>
    <w:rsid w:val="00AB14F7"/>
    <w:rsid w:val="00AB1520"/>
    <w:rsid w:val="00AB1529"/>
    <w:rsid w:val="00AB1582"/>
    <w:rsid w:val="00AB15BC"/>
    <w:rsid w:val="00AB15C3"/>
    <w:rsid w:val="00AB15CC"/>
    <w:rsid w:val="00AB162E"/>
    <w:rsid w:val="00AB1639"/>
    <w:rsid w:val="00AB1664"/>
    <w:rsid w:val="00AB16CE"/>
    <w:rsid w:val="00AB174B"/>
    <w:rsid w:val="00AB17B0"/>
    <w:rsid w:val="00AB1813"/>
    <w:rsid w:val="00AB1844"/>
    <w:rsid w:val="00AB1884"/>
    <w:rsid w:val="00AB1902"/>
    <w:rsid w:val="00AB1A0A"/>
    <w:rsid w:val="00AB1A2C"/>
    <w:rsid w:val="00AB1AA6"/>
    <w:rsid w:val="00AB1ACF"/>
    <w:rsid w:val="00AB1C30"/>
    <w:rsid w:val="00AB1C3B"/>
    <w:rsid w:val="00AB1C6D"/>
    <w:rsid w:val="00AB1CA9"/>
    <w:rsid w:val="00AB1CCC"/>
    <w:rsid w:val="00AB1D19"/>
    <w:rsid w:val="00AB1D70"/>
    <w:rsid w:val="00AB1DE4"/>
    <w:rsid w:val="00AB1E49"/>
    <w:rsid w:val="00AB1E56"/>
    <w:rsid w:val="00AB1E74"/>
    <w:rsid w:val="00AB1E9A"/>
    <w:rsid w:val="00AB1F69"/>
    <w:rsid w:val="00AB1F97"/>
    <w:rsid w:val="00AB1FAD"/>
    <w:rsid w:val="00AB1FF8"/>
    <w:rsid w:val="00AB20C6"/>
    <w:rsid w:val="00AB20D0"/>
    <w:rsid w:val="00AB2109"/>
    <w:rsid w:val="00AB211E"/>
    <w:rsid w:val="00AB21FA"/>
    <w:rsid w:val="00AB225D"/>
    <w:rsid w:val="00AB2293"/>
    <w:rsid w:val="00AB2303"/>
    <w:rsid w:val="00AB2347"/>
    <w:rsid w:val="00AB23C7"/>
    <w:rsid w:val="00AB23E7"/>
    <w:rsid w:val="00AB24DE"/>
    <w:rsid w:val="00AB24E1"/>
    <w:rsid w:val="00AB2505"/>
    <w:rsid w:val="00AB25F9"/>
    <w:rsid w:val="00AB2627"/>
    <w:rsid w:val="00AB2632"/>
    <w:rsid w:val="00AB271D"/>
    <w:rsid w:val="00AB272D"/>
    <w:rsid w:val="00AB2774"/>
    <w:rsid w:val="00AB2794"/>
    <w:rsid w:val="00AB2856"/>
    <w:rsid w:val="00AB2AEC"/>
    <w:rsid w:val="00AB2B22"/>
    <w:rsid w:val="00AB2BB9"/>
    <w:rsid w:val="00AB2C2A"/>
    <w:rsid w:val="00AB2C2C"/>
    <w:rsid w:val="00AB2C3C"/>
    <w:rsid w:val="00AB2C58"/>
    <w:rsid w:val="00AB2C61"/>
    <w:rsid w:val="00AB2D0F"/>
    <w:rsid w:val="00AB2D45"/>
    <w:rsid w:val="00AB2D93"/>
    <w:rsid w:val="00AB2E11"/>
    <w:rsid w:val="00AB2E12"/>
    <w:rsid w:val="00AB2E60"/>
    <w:rsid w:val="00AB2E6E"/>
    <w:rsid w:val="00AB2EFB"/>
    <w:rsid w:val="00AB2F0B"/>
    <w:rsid w:val="00AB2F76"/>
    <w:rsid w:val="00AB2F80"/>
    <w:rsid w:val="00AB3012"/>
    <w:rsid w:val="00AB304A"/>
    <w:rsid w:val="00AB30F4"/>
    <w:rsid w:val="00AB3197"/>
    <w:rsid w:val="00AB31E5"/>
    <w:rsid w:val="00AB31E8"/>
    <w:rsid w:val="00AB31EB"/>
    <w:rsid w:val="00AB3236"/>
    <w:rsid w:val="00AB3256"/>
    <w:rsid w:val="00AB336A"/>
    <w:rsid w:val="00AB3389"/>
    <w:rsid w:val="00AB338F"/>
    <w:rsid w:val="00AB339D"/>
    <w:rsid w:val="00AB339F"/>
    <w:rsid w:val="00AB3424"/>
    <w:rsid w:val="00AB35C6"/>
    <w:rsid w:val="00AB35CE"/>
    <w:rsid w:val="00AB360C"/>
    <w:rsid w:val="00AB3632"/>
    <w:rsid w:val="00AB364E"/>
    <w:rsid w:val="00AB3673"/>
    <w:rsid w:val="00AB36AF"/>
    <w:rsid w:val="00AB36EA"/>
    <w:rsid w:val="00AB36F0"/>
    <w:rsid w:val="00AB3709"/>
    <w:rsid w:val="00AB370F"/>
    <w:rsid w:val="00AB375F"/>
    <w:rsid w:val="00AB3769"/>
    <w:rsid w:val="00AB37CC"/>
    <w:rsid w:val="00AB385E"/>
    <w:rsid w:val="00AB39E2"/>
    <w:rsid w:val="00AB39EA"/>
    <w:rsid w:val="00AB3AAA"/>
    <w:rsid w:val="00AB3B13"/>
    <w:rsid w:val="00AB3B42"/>
    <w:rsid w:val="00AB3B57"/>
    <w:rsid w:val="00AB3C3F"/>
    <w:rsid w:val="00AB3CB9"/>
    <w:rsid w:val="00AB3CC8"/>
    <w:rsid w:val="00AB3D8C"/>
    <w:rsid w:val="00AB3DAE"/>
    <w:rsid w:val="00AB3DC1"/>
    <w:rsid w:val="00AB3E03"/>
    <w:rsid w:val="00AB3E73"/>
    <w:rsid w:val="00AB3F58"/>
    <w:rsid w:val="00AB3F5B"/>
    <w:rsid w:val="00AB3F69"/>
    <w:rsid w:val="00AB3F74"/>
    <w:rsid w:val="00AB3FEA"/>
    <w:rsid w:val="00AB4006"/>
    <w:rsid w:val="00AB4081"/>
    <w:rsid w:val="00AB40BC"/>
    <w:rsid w:val="00AB40EB"/>
    <w:rsid w:val="00AB4115"/>
    <w:rsid w:val="00AB4117"/>
    <w:rsid w:val="00AB4120"/>
    <w:rsid w:val="00AB4125"/>
    <w:rsid w:val="00AB4180"/>
    <w:rsid w:val="00AB41DF"/>
    <w:rsid w:val="00AB431A"/>
    <w:rsid w:val="00AB4388"/>
    <w:rsid w:val="00AB4397"/>
    <w:rsid w:val="00AB43CD"/>
    <w:rsid w:val="00AB441A"/>
    <w:rsid w:val="00AB44B3"/>
    <w:rsid w:val="00AB44CA"/>
    <w:rsid w:val="00AB4504"/>
    <w:rsid w:val="00AB4663"/>
    <w:rsid w:val="00AB46BA"/>
    <w:rsid w:val="00AB46D0"/>
    <w:rsid w:val="00AB47AA"/>
    <w:rsid w:val="00AB47B6"/>
    <w:rsid w:val="00AB47BC"/>
    <w:rsid w:val="00AB47F5"/>
    <w:rsid w:val="00AB48D0"/>
    <w:rsid w:val="00AB48F5"/>
    <w:rsid w:val="00AB4955"/>
    <w:rsid w:val="00AB4A9B"/>
    <w:rsid w:val="00AB4ABE"/>
    <w:rsid w:val="00AB4AFD"/>
    <w:rsid w:val="00AB4B1A"/>
    <w:rsid w:val="00AB4B4A"/>
    <w:rsid w:val="00AB4B75"/>
    <w:rsid w:val="00AB4C52"/>
    <w:rsid w:val="00AB4C93"/>
    <w:rsid w:val="00AB4CCE"/>
    <w:rsid w:val="00AB4DF1"/>
    <w:rsid w:val="00AB4E5E"/>
    <w:rsid w:val="00AB4E76"/>
    <w:rsid w:val="00AB4E9B"/>
    <w:rsid w:val="00AB4EC4"/>
    <w:rsid w:val="00AB4FE2"/>
    <w:rsid w:val="00AB501B"/>
    <w:rsid w:val="00AB5054"/>
    <w:rsid w:val="00AB50A2"/>
    <w:rsid w:val="00AB50D5"/>
    <w:rsid w:val="00AB5117"/>
    <w:rsid w:val="00AB5347"/>
    <w:rsid w:val="00AB536A"/>
    <w:rsid w:val="00AB5396"/>
    <w:rsid w:val="00AB5463"/>
    <w:rsid w:val="00AB5499"/>
    <w:rsid w:val="00AB54D7"/>
    <w:rsid w:val="00AB550B"/>
    <w:rsid w:val="00AB5520"/>
    <w:rsid w:val="00AB555C"/>
    <w:rsid w:val="00AB55EB"/>
    <w:rsid w:val="00AB5694"/>
    <w:rsid w:val="00AB56D0"/>
    <w:rsid w:val="00AB5703"/>
    <w:rsid w:val="00AB5708"/>
    <w:rsid w:val="00AB574F"/>
    <w:rsid w:val="00AB5761"/>
    <w:rsid w:val="00AB5771"/>
    <w:rsid w:val="00AB57B8"/>
    <w:rsid w:val="00AB57DE"/>
    <w:rsid w:val="00AB5814"/>
    <w:rsid w:val="00AB5830"/>
    <w:rsid w:val="00AB5973"/>
    <w:rsid w:val="00AB5974"/>
    <w:rsid w:val="00AB59A3"/>
    <w:rsid w:val="00AB59CB"/>
    <w:rsid w:val="00AB5AD0"/>
    <w:rsid w:val="00AB5ADB"/>
    <w:rsid w:val="00AB5B02"/>
    <w:rsid w:val="00AB5B0A"/>
    <w:rsid w:val="00AB5B63"/>
    <w:rsid w:val="00AB5BA6"/>
    <w:rsid w:val="00AB5BEC"/>
    <w:rsid w:val="00AB5BF7"/>
    <w:rsid w:val="00AB5C03"/>
    <w:rsid w:val="00AB5C19"/>
    <w:rsid w:val="00AB5DB4"/>
    <w:rsid w:val="00AB5DE1"/>
    <w:rsid w:val="00AB5DEE"/>
    <w:rsid w:val="00AB5E18"/>
    <w:rsid w:val="00AB5E60"/>
    <w:rsid w:val="00AB5F38"/>
    <w:rsid w:val="00AB5FE5"/>
    <w:rsid w:val="00AB6060"/>
    <w:rsid w:val="00AB6084"/>
    <w:rsid w:val="00AB6099"/>
    <w:rsid w:val="00AB60F7"/>
    <w:rsid w:val="00AB6147"/>
    <w:rsid w:val="00AB614A"/>
    <w:rsid w:val="00AB61F9"/>
    <w:rsid w:val="00AB6296"/>
    <w:rsid w:val="00AB62AB"/>
    <w:rsid w:val="00AB62BC"/>
    <w:rsid w:val="00AB62C7"/>
    <w:rsid w:val="00AB633C"/>
    <w:rsid w:val="00AB6349"/>
    <w:rsid w:val="00AB6372"/>
    <w:rsid w:val="00AB652D"/>
    <w:rsid w:val="00AB65AA"/>
    <w:rsid w:val="00AB6637"/>
    <w:rsid w:val="00AB6668"/>
    <w:rsid w:val="00AB6759"/>
    <w:rsid w:val="00AB6761"/>
    <w:rsid w:val="00AB67AE"/>
    <w:rsid w:val="00AB6810"/>
    <w:rsid w:val="00AB689D"/>
    <w:rsid w:val="00AB68AF"/>
    <w:rsid w:val="00AB68B2"/>
    <w:rsid w:val="00AB6998"/>
    <w:rsid w:val="00AB69E8"/>
    <w:rsid w:val="00AB6A01"/>
    <w:rsid w:val="00AB6A0C"/>
    <w:rsid w:val="00AB6A34"/>
    <w:rsid w:val="00AB6B27"/>
    <w:rsid w:val="00AB6B34"/>
    <w:rsid w:val="00AB6B51"/>
    <w:rsid w:val="00AB6C31"/>
    <w:rsid w:val="00AB6E00"/>
    <w:rsid w:val="00AB6E5D"/>
    <w:rsid w:val="00AB6EE1"/>
    <w:rsid w:val="00AB6EEF"/>
    <w:rsid w:val="00AB6EF2"/>
    <w:rsid w:val="00AB6F73"/>
    <w:rsid w:val="00AB6F80"/>
    <w:rsid w:val="00AB6FEC"/>
    <w:rsid w:val="00AB6FF8"/>
    <w:rsid w:val="00AB7028"/>
    <w:rsid w:val="00AB7090"/>
    <w:rsid w:val="00AB7095"/>
    <w:rsid w:val="00AB7122"/>
    <w:rsid w:val="00AB712E"/>
    <w:rsid w:val="00AB714C"/>
    <w:rsid w:val="00AB7150"/>
    <w:rsid w:val="00AB71CD"/>
    <w:rsid w:val="00AB7271"/>
    <w:rsid w:val="00AB72DE"/>
    <w:rsid w:val="00AB72E4"/>
    <w:rsid w:val="00AB731B"/>
    <w:rsid w:val="00AB7416"/>
    <w:rsid w:val="00AB7467"/>
    <w:rsid w:val="00AB7468"/>
    <w:rsid w:val="00AB74C5"/>
    <w:rsid w:val="00AB7507"/>
    <w:rsid w:val="00AB758D"/>
    <w:rsid w:val="00AB75D7"/>
    <w:rsid w:val="00AB75F6"/>
    <w:rsid w:val="00AB75FC"/>
    <w:rsid w:val="00AB770C"/>
    <w:rsid w:val="00AB7837"/>
    <w:rsid w:val="00AB7856"/>
    <w:rsid w:val="00AB78A0"/>
    <w:rsid w:val="00AB78D8"/>
    <w:rsid w:val="00AB78E8"/>
    <w:rsid w:val="00AB7911"/>
    <w:rsid w:val="00AB7921"/>
    <w:rsid w:val="00AB7944"/>
    <w:rsid w:val="00AB79D4"/>
    <w:rsid w:val="00AB79FA"/>
    <w:rsid w:val="00AB7A7C"/>
    <w:rsid w:val="00AB7A98"/>
    <w:rsid w:val="00AB7AB6"/>
    <w:rsid w:val="00AB7B94"/>
    <w:rsid w:val="00AB7B9D"/>
    <w:rsid w:val="00AB7BB3"/>
    <w:rsid w:val="00AB7C8D"/>
    <w:rsid w:val="00AB7CAA"/>
    <w:rsid w:val="00AB7CDF"/>
    <w:rsid w:val="00AB7D8E"/>
    <w:rsid w:val="00AB7DE1"/>
    <w:rsid w:val="00AB7E2B"/>
    <w:rsid w:val="00AB7E93"/>
    <w:rsid w:val="00AB7EDC"/>
    <w:rsid w:val="00AC0098"/>
    <w:rsid w:val="00AC00E0"/>
    <w:rsid w:val="00AC00F9"/>
    <w:rsid w:val="00AC011B"/>
    <w:rsid w:val="00AC0140"/>
    <w:rsid w:val="00AC015F"/>
    <w:rsid w:val="00AC0195"/>
    <w:rsid w:val="00AC022C"/>
    <w:rsid w:val="00AC02C2"/>
    <w:rsid w:val="00AC02EA"/>
    <w:rsid w:val="00AC030F"/>
    <w:rsid w:val="00AC0351"/>
    <w:rsid w:val="00AC0399"/>
    <w:rsid w:val="00AC046F"/>
    <w:rsid w:val="00AC04C2"/>
    <w:rsid w:val="00AC05A1"/>
    <w:rsid w:val="00AC05DC"/>
    <w:rsid w:val="00AC0604"/>
    <w:rsid w:val="00AC063F"/>
    <w:rsid w:val="00AC0667"/>
    <w:rsid w:val="00AC06E7"/>
    <w:rsid w:val="00AC0903"/>
    <w:rsid w:val="00AC0983"/>
    <w:rsid w:val="00AC09A1"/>
    <w:rsid w:val="00AC09BE"/>
    <w:rsid w:val="00AC0B6A"/>
    <w:rsid w:val="00AC0B92"/>
    <w:rsid w:val="00AC0BCE"/>
    <w:rsid w:val="00AC0C35"/>
    <w:rsid w:val="00AC0C54"/>
    <w:rsid w:val="00AC0C87"/>
    <w:rsid w:val="00AC0CAF"/>
    <w:rsid w:val="00AC0CF6"/>
    <w:rsid w:val="00AC0CF9"/>
    <w:rsid w:val="00AC0D16"/>
    <w:rsid w:val="00AC0D4D"/>
    <w:rsid w:val="00AC0D5D"/>
    <w:rsid w:val="00AC0D6F"/>
    <w:rsid w:val="00AC0D72"/>
    <w:rsid w:val="00AC0E59"/>
    <w:rsid w:val="00AC0ECC"/>
    <w:rsid w:val="00AC0F8B"/>
    <w:rsid w:val="00AC0F8D"/>
    <w:rsid w:val="00AC0F95"/>
    <w:rsid w:val="00AC0FC0"/>
    <w:rsid w:val="00AC0FCC"/>
    <w:rsid w:val="00AC101E"/>
    <w:rsid w:val="00AC10A5"/>
    <w:rsid w:val="00AC1146"/>
    <w:rsid w:val="00AC11A1"/>
    <w:rsid w:val="00AC11AA"/>
    <w:rsid w:val="00AC11D7"/>
    <w:rsid w:val="00AC11EE"/>
    <w:rsid w:val="00AC11F1"/>
    <w:rsid w:val="00AC1235"/>
    <w:rsid w:val="00AC1247"/>
    <w:rsid w:val="00AC1253"/>
    <w:rsid w:val="00AC1256"/>
    <w:rsid w:val="00AC1277"/>
    <w:rsid w:val="00AC12A5"/>
    <w:rsid w:val="00AC12C6"/>
    <w:rsid w:val="00AC1365"/>
    <w:rsid w:val="00AC1387"/>
    <w:rsid w:val="00AC13A0"/>
    <w:rsid w:val="00AC13D6"/>
    <w:rsid w:val="00AC1411"/>
    <w:rsid w:val="00AC1465"/>
    <w:rsid w:val="00AC1538"/>
    <w:rsid w:val="00AC154A"/>
    <w:rsid w:val="00AC161C"/>
    <w:rsid w:val="00AC165A"/>
    <w:rsid w:val="00AC1726"/>
    <w:rsid w:val="00AC1740"/>
    <w:rsid w:val="00AC1840"/>
    <w:rsid w:val="00AC184A"/>
    <w:rsid w:val="00AC18C0"/>
    <w:rsid w:val="00AC18EA"/>
    <w:rsid w:val="00AC1916"/>
    <w:rsid w:val="00AC192D"/>
    <w:rsid w:val="00AC196C"/>
    <w:rsid w:val="00AC19CD"/>
    <w:rsid w:val="00AC19E0"/>
    <w:rsid w:val="00AC19FE"/>
    <w:rsid w:val="00AC1A65"/>
    <w:rsid w:val="00AC1B74"/>
    <w:rsid w:val="00AC1BBA"/>
    <w:rsid w:val="00AC1C1D"/>
    <w:rsid w:val="00AC1D2B"/>
    <w:rsid w:val="00AC1D95"/>
    <w:rsid w:val="00AC1DDB"/>
    <w:rsid w:val="00AC1ED0"/>
    <w:rsid w:val="00AC1FEA"/>
    <w:rsid w:val="00AC204F"/>
    <w:rsid w:val="00AC2051"/>
    <w:rsid w:val="00AC20A7"/>
    <w:rsid w:val="00AC220B"/>
    <w:rsid w:val="00AC226B"/>
    <w:rsid w:val="00AC2299"/>
    <w:rsid w:val="00AC22A4"/>
    <w:rsid w:val="00AC22CC"/>
    <w:rsid w:val="00AC22F2"/>
    <w:rsid w:val="00AC2332"/>
    <w:rsid w:val="00AC233A"/>
    <w:rsid w:val="00AC2406"/>
    <w:rsid w:val="00AC2428"/>
    <w:rsid w:val="00AC2460"/>
    <w:rsid w:val="00AC2567"/>
    <w:rsid w:val="00AC2607"/>
    <w:rsid w:val="00AC265D"/>
    <w:rsid w:val="00AC2686"/>
    <w:rsid w:val="00AC2707"/>
    <w:rsid w:val="00AC2722"/>
    <w:rsid w:val="00AC274C"/>
    <w:rsid w:val="00AC27F5"/>
    <w:rsid w:val="00AC2822"/>
    <w:rsid w:val="00AC2845"/>
    <w:rsid w:val="00AC2886"/>
    <w:rsid w:val="00AC28A9"/>
    <w:rsid w:val="00AC2904"/>
    <w:rsid w:val="00AC294A"/>
    <w:rsid w:val="00AC2956"/>
    <w:rsid w:val="00AC298B"/>
    <w:rsid w:val="00AC29DA"/>
    <w:rsid w:val="00AC2A49"/>
    <w:rsid w:val="00AC2A5F"/>
    <w:rsid w:val="00AC2B1A"/>
    <w:rsid w:val="00AC2B3F"/>
    <w:rsid w:val="00AC2C41"/>
    <w:rsid w:val="00AC2C96"/>
    <w:rsid w:val="00AC2C9C"/>
    <w:rsid w:val="00AC2CB3"/>
    <w:rsid w:val="00AC2D88"/>
    <w:rsid w:val="00AC2DEC"/>
    <w:rsid w:val="00AC2E84"/>
    <w:rsid w:val="00AC2EF7"/>
    <w:rsid w:val="00AC2FA7"/>
    <w:rsid w:val="00AC2FC0"/>
    <w:rsid w:val="00AC30DF"/>
    <w:rsid w:val="00AC3109"/>
    <w:rsid w:val="00AC312A"/>
    <w:rsid w:val="00AC3136"/>
    <w:rsid w:val="00AC3142"/>
    <w:rsid w:val="00AC316A"/>
    <w:rsid w:val="00AC3171"/>
    <w:rsid w:val="00AC31A3"/>
    <w:rsid w:val="00AC31B9"/>
    <w:rsid w:val="00AC31FD"/>
    <w:rsid w:val="00AC32BA"/>
    <w:rsid w:val="00AC32E3"/>
    <w:rsid w:val="00AC337C"/>
    <w:rsid w:val="00AC3398"/>
    <w:rsid w:val="00AC33C2"/>
    <w:rsid w:val="00AC350E"/>
    <w:rsid w:val="00AC359B"/>
    <w:rsid w:val="00AC35C6"/>
    <w:rsid w:val="00AC36C5"/>
    <w:rsid w:val="00AC3701"/>
    <w:rsid w:val="00AC3735"/>
    <w:rsid w:val="00AC3797"/>
    <w:rsid w:val="00AC379D"/>
    <w:rsid w:val="00AC37C4"/>
    <w:rsid w:val="00AC3856"/>
    <w:rsid w:val="00AC3875"/>
    <w:rsid w:val="00AC38B8"/>
    <w:rsid w:val="00AC3949"/>
    <w:rsid w:val="00AC398D"/>
    <w:rsid w:val="00AC39A1"/>
    <w:rsid w:val="00AC39DE"/>
    <w:rsid w:val="00AC3A30"/>
    <w:rsid w:val="00AC3A98"/>
    <w:rsid w:val="00AC3B7D"/>
    <w:rsid w:val="00AC3BB5"/>
    <w:rsid w:val="00AC3BC2"/>
    <w:rsid w:val="00AC3BFB"/>
    <w:rsid w:val="00AC3D6E"/>
    <w:rsid w:val="00AC3E6A"/>
    <w:rsid w:val="00AC3F22"/>
    <w:rsid w:val="00AC3FCB"/>
    <w:rsid w:val="00AC3FCD"/>
    <w:rsid w:val="00AC3FD0"/>
    <w:rsid w:val="00AC4018"/>
    <w:rsid w:val="00AC409B"/>
    <w:rsid w:val="00AC40BB"/>
    <w:rsid w:val="00AC4144"/>
    <w:rsid w:val="00AC418E"/>
    <w:rsid w:val="00AC41E3"/>
    <w:rsid w:val="00AC423E"/>
    <w:rsid w:val="00AC4253"/>
    <w:rsid w:val="00AC445C"/>
    <w:rsid w:val="00AC44AF"/>
    <w:rsid w:val="00AC44FD"/>
    <w:rsid w:val="00AC4591"/>
    <w:rsid w:val="00AC45BC"/>
    <w:rsid w:val="00AC45ED"/>
    <w:rsid w:val="00AC4634"/>
    <w:rsid w:val="00AC463F"/>
    <w:rsid w:val="00AC4648"/>
    <w:rsid w:val="00AC4652"/>
    <w:rsid w:val="00AC465F"/>
    <w:rsid w:val="00AC4677"/>
    <w:rsid w:val="00AC46A4"/>
    <w:rsid w:val="00AC470E"/>
    <w:rsid w:val="00AC4793"/>
    <w:rsid w:val="00AC47B7"/>
    <w:rsid w:val="00AC4897"/>
    <w:rsid w:val="00AC499E"/>
    <w:rsid w:val="00AC4A88"/>
    <w:rsid w:val="00AC4AD2"/>
    <w:rsid w:val="00AC4B06"/>
    <w:rsid w:val="00AC4B23"/>
    <w:rsid w:val="00AC4B56"/>
    <w:rsid w:val="00AC4BF4"/>
    <w:rsid w:val="00AC4CDF"/>
    <w:rsid w:val="00AC4D28"/>
    <w:rsid w:val="00AC4DEA"/>
    <w:rsid w:val="00AC4E03"/>
    <w:rsid w:val="00AC4E2C"/>
    <w:rsid w:val="00AC4F2E"/>
    <w:rsid w:val="00AC4F3F"/>
    <w:rsid w:val="00AC4F5B"/>
    <w:rsid w:val="00AC4F64"/>
    <w:rsid w:val="00AC4F75"/>
    <w:rsid w:val="00AC501A"/>
    <w:rsid w:val="00AC50A0"/>
    <w:rsid w:val="00AC50C9"/>
    <w:rsid w:val="00AC50E6"/>
    <w:rsid w:val="00AC5134"/>
    <w:rsid w:val="00AC515B"/>
    <w:rsid w:val="00AC5172"/>
    <w:rsid w:val="00AC51EB"/>
    <w:rsid w:val="00AC5213"/>
    <w:rsid w:val="00AC521A"/>
    <w:rsid w:val="00AC5353"/>
    <w:rsid w:val="00AC539A"/>
    <w:rsid w:val="00AC53BC"/>
    <w:rsid w:val="00AC544B"/>
    <w:rsid w:val="00AC546E"/>
    <w:rsid w:val="00AC571A"/>
    <w:rsid w:val="00AC5771"/>
    <w:rsid w:val="00AC577C"/>
    <w:rsid w:val="00AC57C4"/>
    <w:rsid w:val="00AC57FF"/>
    <w:rsid w:val="00AC5809"/>
    <w:rsid w:val="00AC5818"/>
    <w:rsid w:val="00AC594F"/>
    <w:rsid w:val="00AC59B1"/>
    <w:rsid w:val="00AC59F2"/>
    <w:rsid w:val="00AC5A0C"/>
    <w:rsid w:val="00AC5A81"/>
    <w:rsid w:val="00AC5AC2"/>
    <w:rsid w:val="00AC5ACE"/>
    <w:rsid w:val="00AC5B0C"/>
    <w:rsid w:val="00AC5B96"/>
    <w:rsid w:val="00AC5BCE"/>
    <w:rsid w:val="00AC5BE0"/>
    <w:rsid w:val="00AC5BF9"/>
    <w:rsid w:val="00AC5C09"/>
    <w:rsid w:val="00AC5C35"/>
    <w:rsid w:val="00AC5D6C"/>
    <w:rsid w:val="00AC5D8B"/>
    <w:rsid w:val="00AC5E12"/>
    <w:rsid w:val="00AC5E75"/>
    <w:rsid w:val="00AC5EEF"/>
    <w:rsid w:val="00AC601D"/>
    <w:rsid w:val="00AC608C"/>
    <w:rsid w:val="00AC60B6"/>
    <w:rsid w:val="00AC61B3"/>
    <w:rsid w:val="00AC61C8"/>
    <w:rsid w:val="00AC61FA"/>
    <w:rsid w:val="00AC62B7"/>
    <w:rsid w:val="00AC6322"/>
    <w:rsid w:val="00AC633B"/>
    <w:rsid w:val="00AC6454"/>
    <w:rsid w:val="00AC6473"/>
    <w:rsid w:val="00AC64BB"/>
    <w:rsid w:val="00AC64DB"/>
    <w:rsid w:val="00AC6525"/>
    <w:rsid w:val="00AC65AE"/>
    <w:rsid w:val="00AC6609"/>
    <w:rsid w:val="00AC661F"/>
    <w:rsid w:val="00AC6672"/>
    <w:rsid w:val="00AC6689"/>
    <w:rsid w:val="00AC6727"/>
    <w:rsid w:val="00AC67A1"/>
    <w:rsid w:val="00AC6802"/>
    <w:rsid w:val="00AC6845"/>
    <w:rsid w:val="00AC689A"/>
    <w:rsid w:val="00AC69AA"/>
    <w:rsid w:val="00AC6AC4"/>
    <w:rsid w:val="00AC6AF7"/>
    <w:rsid w:val="00AC6B2F"/>
    <w:rsid w:val="00AC6B64"/>
    <w:rsid w:val="00AC6B6D"/>
    <w:rsid w:val="00AC6B6E"/>
    <w:rsid w:val="00AC6B81"/>
    <w:rsid w:val="00AC6C90"/>
    <w:rsid w:val="00AC6CCE"/>
    <w:rsid w:val="00AC6D43"/>
    <w:rsid w:val="00AC6D7F"/>
    <w:rsid w:val="00AC6DCE"/>
    <w:rsid w:val="00AC6DFD"/>
    <w:rsid w:val="00AC6E03"/>
    <w:rsid w:val="00AC6E0F"/>
    <w:rsid w:val="00AC6E3C"/>
    <w:rsid w:val="00AC6E42"/>
    <w:rsid w:val="00AC6E7A"/>
    <w:rsid w:val="00AC6F28"/>
    <w:rsid w:val="00AC6F2B"/>
    <w:rsid w:val="00AC6F97"/>
    <w:rsid w:val="00AC6FE9"/>
    <w:rsid w:val="00AC7056"/>
    <w:rsid w:val="00AC708F"/>
    <w:rsid w:val="00AC7099"/>
    <w:rsid w:val="00AC70AD"/>
    <w:rsid w:val="00AC710F"/>
    <w:rsid w:val="00AC71A9"/>
    <w:rsid w:val="00AC71B8"/>
    <w:rsid w:val="00AC71C8"/>
    <w:rsid w:val="00AC722A"/>
    <w:rsid w:val="00AC7268"/>
    <w:rsid w:val="00AC7294"/>
    <w:rsid w:val="00AC72CA"/>
    <w:rsid w:val="00AC72FD"/>
    <w:rsid w:val="00AC7361"/>
    <w:rsid w:val="00AC736A"/>
    <w:rsid w:val="00AC73E5"/>
    <w:rsid w:val="00AC7414"/>
    <w:rsid w:val="00AC746E"/>
    <w:rsid w:val="00AC7474"/>
    <w:rsid w:val="00AC748C"/>
    <w:rsid w:val="00AC7510"/>
    <w:rsid w:val="00AC7592"/>
    <w:rsid w:val="00AC7624"/>
    <w:rsid w:val="00AC7625"/>
    <w:rsid w:val="00AC7642"/>
    <w:rsid w:val="00AC768E"/>
    <w:rsid w:val="00AC76DA"/>
    <w:rsid w:val="00AC77B0"/>
    <w:rsid w:val="00AC783D"/>
    <w:rsid w:val="00AC789B"/>
    <w:rsid w:val="00AC78A7"/>
    <w:rsid w:val="00AC78BD"/>
    <w:rsid w:val="00AC7959"/>
    <w:rsid w:val="00AC7979"/>
    <w:rsid w:val="00AC7A07"/>
    <w:rsid w:val="00AC7BB7"/>
    <w:rsid w:val="00AC7C31"/>
    <w:rsid w:val="00AC7C95"/>
    <w:rsid w:val="00AC7CB7"/>
    <w:rsid w:val="00AC7CBF"/>
    <w:rsid w:val="00AC7CD9"/>
    <w:rsid w:val="00AC7F35"/>
    <w:rsid w:val="00AC7F41"/>
    <w:rsid w:val="00AC7FAB"/>
    <w:rsid w:val="00AC7FC7"/>
    <w:rsid w:val="00AD0124"/>
    <w:rsid w:val="00AD0141"/>
    <w:rsid w:val="00AD0177"/>
    <w:rsid w:val="00AD01BE"/>
    <w:rsid w:val="00AD021D"/>
    <w:rsid w:val="00AD022A"/>
    <w:rsid w:val="00AD02BB"/>
    <w:rsid w:val="00AD0318"/>
    <w:rsid w:val="00AD0364"/>
    <w:rsid w:val="00AD0389"/>
    <w:rsid w:val="00AD03E0"/>
    <w:rsid w:val="00AD0509"/>
    <w:rsid w:val="00AD0510"/>
    <w:rsid w:val="00AD05CE"/>
    <w:rsid w:val="00AD05E3"/>
    <w:rsid w:val="00AD05F8"/>
    <w:rsid w:val="00AD06E2"/>
    <w:rsid w:val="00AD0779"/>
    <w:rsid w:val="00AD07AE"/>
    <w:rsid w:val="00AD0804"/>
    <w:rsid w:val="00AD080D"/>
    <w:rsid w:val="00AD0812"/>
    <w:rsid w:val="00AD0815"/>
    <w:rsid w:val="00AD0859"/>
    <w:rsid w:val="00AD0948"/>
    <w:rsid w:val="00AD094D"/>
    <w:rsid w:val="00AD095C"/>
    <w:rsid w:val="00AD0975"/>
    <w:rsid w:val="00AD097D"/>
    <w:rsid w:val="00AD09BD"/>
    <w:rsid w:val="00AD09EE"/>
    <w:rsid w:val="00AD09FE"/>
    <w:rsid w:val="00AD0AD2"/>
    <w:rsid w:val="00AD0AF9"/>
    <w:rsid w:val="00AD0B41"/>
    <w:rsid w:val="00AD0B4E"/>
    <w:rsid w:val="00AD0B79"/>
    <w:rsid w:val="00AD0C06"/>
    <w:rsid w:val="00AD0CFA"/>
    <w:rsid w:val="00AD0D87"/>
    <w:rsid w:val="00AD0DDC"/>
    <w:rsid w:val="00AD0F0C"/>
    <w:rsid w:val="00AD1023"/>
    <w:rsid w:val="00AD109F"/>
    <w:rsid w:val="00AD10A2"/>
    <w:rsid w:val="00AD10A9"/>
    <w:rsid w:val="00AD111C"/>
    <w:rsid w:val="00AD112B"/>
    <w:rsid w:val="00AD116D"/>
    <w:rsid w:val="00AD11A5"/>
    <w:rsid w:val="00AD121B"/>
    <w:rsid w:val="00AD12B2"/>
    <w:rsid w:val="00AD1327"/>
    <w:rsid w:val="00AD1346"/>
    <w:rsid w:val="00AD1376"/>
    <w:rsid w:val="00AD1416"/>
    <w:rsid w:val="00AD143D"/>
    <w:rsid w:val="00AD147A"/>
    <w:rsid w:val="00AD14CD"/>
    <w:rsid w:val="00AD1516"/>
    <w:rsid w:val="00AD1537"/>
    <w:rsid w:val="00AD157C"/>
    <w:rsid w:val="00AD1597"/>
    <w:rsid w:val="00AD161C"/>
    <w:rsid w:val="00AD1625"/>
    <w:rsid w:val="00AD1663"/>
    <w:rsid w:val="00AD169E"/>
    <w:rsid w:val="00AD16A9"/>
    <w:rsid w:val="00AD16C7"/>
    <w:rsid w:val="00AD178D"/>
    <w:rsid w:val="00AD17B2"/>
    <w:rsid w:val="00AD1807"/>
    <w:rsid w:val="00AD18BE"/>
    <w:rsid w:val="00AD18C5"/>
    <w:rsid w:val="00AD18DA"/>
    <w:rsid w:val="00AD1910"/>
    <w:rsid w:val="00AD192E"/>
    <w:rsid w:val="00AD193F"/>
    <w:rsid w:val="00AD1D6E"/>
    <w:rsid w:val="00AD1E90"/>
    <w:rsid w:val="00AD1EDE"/>
    <w:rsid w:val="00AD1F10"/>
    <w:rsid w:val="00AD1F96"/>
    <w:rsid w:val="00AD1FAC"/>
    <w:rsid w:val="00AD204F"/>
    <w:rsid w:val="00AD210C"/>
    <w:rsid w:val="00AD212F"/>
    <w:rsid w:val="00AD2184"/>
    <w:rsid w:val="00AD2210"/>
    <w:rsid w:val="00AD2283"/>
    <w:rsid w:val="00AD2284"/>
    <w:rsid w:val="00AD236A"/>
    <w:rsid w:val="00AD23D5"/>
    <w:rsid w:val="00AD2429"/>
    <w:rsid w:val="00AD243E"/>
    <w:rsid w:val="00AD2453"/>
    <w:rsid w:val="00AD2495"/>
    <w:rsid w:val="00AD24C4"/>
    <w:rsid w:val="00AD251A"/>
    <w:rsid w:val="00AD251C"/>
    <w:rsid w:val="00AD257D"/>
    <w:rsid w:val="00AD25A0"/>
    <w:rsid w:val="00AD25FA"/>
    <w:rsid w:val="00AD2617"/>
    <w:rsid w:val="00AD26EB"/>
    <w:rsid w:val="00AD2739"/>
    <w:rsid w:val="00AD2789"/>
    <w:rsid w:val="00AD278B"/>
    <w:rsid w:val="00AD2881"/>
    <w:rsid w:val="00AD2884"/>
    <w:rsid w:val="00AD28B3"/>
    <w:rsid w:val="00AD28D4"/>
    <w:rsid w:val="00AD28EF"/>
    <w:rsid w:val="00AD296B"/>
    <w:rsid w:val="00AD2996"/>
    <w:rsid w:val="00AD29CE"/>
    <w:rsid w:val="00AD2A47"/>
    <w:rsid w:val="00AD2A4D"/>
    <w:rsid w:val="00AD2AD5"/>
    <w:rsid w:val="00AD2ADA"/>
    <w:rsid w:val="00AD2AE9"/>
    <w:rsid w:val="00AD2B3C"/>
    <w:rsid w:val="00AD2B55"/>
    <w:rsid w:val="00AD2BFD"/>
    <w:rsid w:val="00AD2C70"/>
    <w:rsid w:val="00AD2C76"/>
    <w:rsid w:val="00AD2C8D"/>
    <w:rsid w:val="00AD2CA2"/>
    <w:rsid w:val="00AD2CBC"/>
    <w:rsid w:val="00AD2CDB"/>
    <w:rsid w:val="00AD2CEE"/>
    <w:rsid w:val="00AD2D0A"/>
    <w:rsid w:val="00AD2DF9"/>
    <w:rsid w:val="00AD2E53"/>
    <w:rsid w:val="00AD2E76"/>
    <w:rsid w:val="00AD2E8D"/>
    <w:rsid w:val="00AD2EEF"/>
    <w:rsid w:val="00AD2F45"/>
    <w:rsid w:val="00AD3030"/>
    <w:rsid w:val="00AD3093"/>
    <w:rsid w:val="00AD30FD"/>
    <w:rsid w:val="00AD3148"/>
    <w:rsid w:val="00AD32BE"/>
    <w:rsid w:val="00AD3304"/>
    <w:rsid w:val="00AD33BA"/>
    <w:rsid w:val="00AD33CD"/>
    <w:rsid w:val="00AD33D8"/>
    <w:rsid w:val="00AD3429"/>
    <w:rsid w:val="00AD349A"/>
    <w:rsid w:val="00AD34AF"/>
    <w:rsid w:val="00AD34B5"/>
    <w:rsid w:val="00AD353F"/>
    <w:rsid w:val="00AD378C"/>
    <w:rsid w:val="00AD37B2"/>
    <w:rsid w:val="00AD3819"/>
    <w:rsid w:val="00AD387D"/>
    <w:rsid w:val="00AD3893"/>
    <w:rsid w:val="00AD389A"/>
    <w:rsid w:val="00AD38E5"/>
    <w:rsid w:val="00AD396D"/>
    <w:rsid w:val="00AD3997"/>
    <w:rsid w:val="00AD39C9"/>
    <w:rsid w:val="00AD3A05"/>
    <w:rsid w:val="00AD3A40"/>
    <w:rsid w:val="00AD3B3E"/>
    <w:rsid w:val="00AD3B5C"/>
    <w:rsid w:val="00AD3B6A"/>
    <w:rsid w:val="00AD3BA1"/>
    <w:rsid w:val="00AD3C80"/>
    <w:rsid w:val="00AD3CE2"/>
    <w:rsid w:val="00AD3CFB"/>
    <w:rsid w:val="00AD3D42"/>
    <w:rsid w:val="00AD3D48"/>
    <w:rsid w:val="00AD3D94"/>
    <w:rsid w:val="00AD3DC5"/>
    <w:rsid w:val="00AD3DD5"/>
    <w:rsid w:val="00AD3E04"/>
    <w:rsid w:val="00AD3F07"/>
    <w:rsid w:val="00AD3FDE"/>
    <w:rsid w:val="00AD408D"/>
    <w:rsid w:val="00AD40B5"/>
    <w:rsid w:val="00AD40C4"/>
    <w:rsid w:val="00AD40E1"/>
    <w:rsid w:val="00AD414C"/>
    <w:rsid w:val="00AD417E"/>
    <w:rsid w:val="00AD42A2"/>
    <w:rsid w:val="00AD42CE"/>
    <w:rsid w:val="00AD42CF"/>
    <w:rsid w:val="00AD42F4"/>
    <w:rsid w:val="00AD4323"/>
    <w:rsid w:val="00AD43D8"/>
    <w:rsid w:val="00AD446A"/>
    <w:rsid w:val="00AD446F"/>
    <w:rsid w:val="00AD454C"/>
    <w:rsid w:val="00AD45A9"/>
    <w:rsid w:val="00AD45B2"/>
    <w:rsid w:val="00AD4642"/>
    <w:rsid w:val="00AD4666"/>
    <w:rsid w:val="00AD466B"/>
    <w:rsid w:val="00AD46B1"/>
    <w:rsid w:val="00AD46D0"/>
    <w:rsid w:val="00AD479D"/>
    <w:rsid w:val="00AD47A0"/>
    <w:rsid w:val="00AD48FB"/>
    <w:rsid w:val="00AD491C"/>
    <w:rsid w:val="00AD4934"/>
    <w:rsid w:val="00AD49D1"/>
    <w:rsid w:val="00AD4A20"/>
    <w:rsid w:val="00AD4A3D"/>
    <w:rsid w:val="00AD4A4B"/>
    <w:rsid w:val="00AD4AE5"/>
    <w:rsid w:val="00AD4B3F"/>
    <w:rsid w:val="00AD4BDA"/>
    <w:rsid w:val="00AD4BF4"/>
    <w:rsid w:val="00AD4C33"/>
    <w:rsid w:val="00AD4C67"/>
    <w:rsid w:val="00AD4C6E"/>
    <w:rsid w:val="00AD4CB4"/>
    <w:rsid w:val="00AD4CC2"/>
    <w:rsid w:val="00AD4CF5"/>
    <w:rsid w:val="00AD4D9D"/>
    <w:rsid w:val="00AD4E0F"/>
    <w:rsid w:val="00AD4E4E"/>
    <w:rsid w:val="00AD4E88"/>
    <w:rsid w:val="00AD4F07"/>
    <w:rsid w:val="00AD4F14"/>
    <w:rsid w:val="00AD4FAE"/>
    <w:rsid w:val="00AD502A"/>
    <w:rsid w:val="00AD5057"/>
    <w:rsid w:val="00AD5159"/>
    <w:rsid w:val="00AD517C"/>
    <w:rsid w:val="00AD51E3"/>
    <w:rsid w:val="00AD5205"/>
    <w:rsid w:val="00AD5217"/>
    <w:rsid w:val="00AD5221"/>
    <w:rsid w:val="00AD525C"/>
    <w:rsid w:val="00AD5264"/>
    <w:rsid w:val="00AD529D"/>
    <w:rsid w:val="00AD52AA"/>
    <w:rsid w:val="00AD52DF"/>
    <w:rsid w:val="00AD533F"/>
    <w:rsid w:val="00AD5384"/>
    <w:rsid w:val="00AD5398"/>
    <w:rsid w:val="00AD53C7"/>
    <w:rsid w:val="00AD5400"/>
    <w:rsid w:val="00AD54DF"/>
    <w:rsid w:val="00AD551E"/>
    <w:rsid w:val="00AD558F"/>
    <w:rsid w:val="00AD5667"/>
    <w:rsid w:val="00AD56DE"/>
    <w:rsid w:val="00AD5734"/>
    <w:rsid w:val="00AD5760"/>
    <w:rsid w:val="00AD5821"/>
    <w:rsid w:val="00AD595C"/>
    <w:rsid w:val="00AD5AAB"/>
    <w:rsid w:val="00AD5AE5"/>
    <w:rsid w:val="00AD5B57"/>
    <w:rsid w:val="00AD5B70"/>
    <w:rsid w:val="00AD5B76"/>
    <w:rsid w:val="00AD5B92"/>
    <w:rsid w:val="00AD5BBC"/>
    <w:rsid w:val="00AD5BDC"/>
    <w:rsid w:val="00AD5CC0"/>
    <w:rsid w:val="00AD5CD3"/>
    <w:rsid w:val="00AD5CE7"/>
    <w:rsid w:val="00AD5CFF"/>
    <w:rsid w:val="00AD5D1D"/>
    <w:rsid w:val="00AD5E5F"/>
    <w:rsid w:val="00AD5E71"/>
    <w:rsid w:val="00AD5ECF"/>
    <w:rsid w:val="00AD5F64"/>
    <w:rsid w:val="00AD5F9B"/>
    <w:rsid w:val="00AD5FDC"/>
    <w:rsid w:val="00AD5FE8"/>
    <w:rsid w:val="00AD5FFF"/>
    <w:rsid w:val="00AD602C"/>
    <w:rsid w:val="00AD605E"/>
    <w:rsid w:val="00AD6093"/>
    <w:rsid w:val="00AD6137"/>
    <w:rsid w:val="00AD618B"/>
    <w:rsid w:val="00AD61E0"/>
    <w:rsid w:val="00AD6208"/>
    <w:rsid w:val="00AD622A"/>
    <w:rsid w:val="00AD622F"/>
    <w:rsid w:val="00AD6253"/>
    <w:rsid w:val="00AD625E"/>
    <w:rsid w:val="00AD62C5"/>
    <w:rsid w:val="00AD634C"/>
    <w:rsid w:val="00AD63A0"/>
    <w:rsid w:val="00AD641A"/>
    <w:rsid w:val="00AD6468"/>
    <w:rsid w:val="00AD647D"/>
    <w:rsid w:val="00AD64CA"/>
    <w:rsid w:val="00AD64F8"/>
    <w:rsid w:val="00AD6515"/>
    <w:rsid w:val="00AD653F"/>
    <w:rsid w:val="00AD6540"/>
    <w:rsid w:val="00AD6607"/>
    <w:rsid w:val="00AD6729"/>
    <w:rsid w:val="00AD6732"/>
    <w:rsid w:val="00AD68D1"/>
    <w:rsid w:val="00AD6A3E"/>
    <w:rsid w:val="00AD6A82"/>
    <w:rsid w:val="00AD6A86"/>
    <w:rsid w:val="00AD6A90"/>
    <w:rsid w:val="00AD6ADB"/>
    <w:rsid w:val="00AD6AF3"/>
    <w:rsid w:val="00AD6AFE"/>
    <w:rsid w:val="00AD6B1D"/>
    <w:rsid w:val="00AD6B40"/>
    <w:rsid w:val="00AD6C1C"/>
    <w:rsid w:val="00AD6CE9"/>
    <w:rsid w:val="00AD6D00"/>
    <w:rsid w:val="00AD6D41"/>
    <w:rsid w:val="00AD6E44"/>
    <w:rsid w:val="00AD6E74"/>
    <w:rsid w:val="00AD6E95"/>
    <w:rsid w:val="00AD6F9C"/>
    <w:rsid w:val="00AD7012"/>
    <w:rsid w:val="00AD7068"/>
    <w:rsid w:val="00AD711F"/>
    <w:rsid w:val="00AD7204"/>
    <w:rsid w:val="00AD726B"/>
    <w:rsid w:val="00AD72CC"/>
    <w:rsid w:val="00AD731E"/>
    <w:rsid w:val="00AD7392"/>
    <w:rsid w:val="00AD739D"/>
    <w:rsid w:val="00AD7410"/>
    <w:rsid w:val="00AD74A3"/>
    <w:rsid w:val="00AD7588"/>
    <w:rsid w:val="00AD75C1"/>
    <w:rsid w:val="00AD7651"/>
    <w:rsid w:val="00AD7687"/>
    <w:rsid w:val="00AD76AC"/>
    <w:rsid w:val="00AD76E6"/>
    <w:rsid w:val="00AD7702"/>
    <w:rsid w:val="00AD77A9"/>
    <w:rsid w:val="00AD77CC"/>
    <w:rsid w:val="00AD77E3"/>
    <w:rsid w:val="00AD7829"/>
    <w:rsid w:val="00AD78BF"/>
    <w:rsid w:val="00AD78CB"/>
    <w:rsid w:val="00AD78E7"/>
    <w:rsid w:val="00AD790E"/>
    <w:rsid w:val="00AD7929"/>
    <w:rsid w:val="00AD798F"/>
    <w:rsid w:val="00AD7A32"/>
    <w:rsid w:val="00AD7A85"/>
    <w:rsid w:val="00AD7AE6"/>
    <w:rsid w:val="00AD7B0B"/>
    <w:rsid w:val="00AD7B18"/>
    <w:rsid w:val="00AD7C8B"/>
    <w:rsid w:val="00AD7E12"/>
    <w:rsid w:val="00AD7EB6"/>
    <w:rsid w:val="00AD7F4C"/>
    <w:rsid w:val="00ADA34A"/>
    <w:rsid w:val="00AE003E"/>
    <w:rsid w:val="00AE00A0"/>
    <w:rsid w:val="00AE00E9"/>
    <w:rsid w:val="00AE0128"/>
    <w:rsid w:val="00AE0223"/>
    <w:rsid w:val="00AE0240"/>
    <w:rsid w:val="00AE025B"/>
    <w:rsid w:val="00AE026C"/>
    <w:rsid w:val="00AE02B1"/>
    <w:rsid w:val="00AE0375"/>
    <w:rsid w:val="00AE03A2"/>
    <w:rsid w:val="00AE03C0"/>
    <w:rsid w:val="00AE044C"/>
    <w:rsid w:val="00AE048F"/>
    <w:rsid w:val="00AE04AB"/>
    <w:rsid w:val="00AE04C1"/>
    <w:rsid w:val="00AE04D6"/>
    <w:rsid w:val="00AE04DA"/>
    <w:rsid w:val="00AE05A1"/>
    <w:rsid w:val="00AE0636"/>
    <w:rsid w:val="00AE063E"/>
    <w:rsid w:val="00AE0660"/>
    <w:rsid w:val="00AE06CB"/>
    <w:rsid w:val="00AE070C"/>
    <w:rsid w:val="00AE0737"/>
    <w:rsid w:val="00AE07AE"/>
    <w:rsid w:val="00AE07C2"/>
    <w:rsid w:val="00AE07FA"/>
    <w:rsid w:val="00AE0813"/>
    <w:rsid w:val="00AE0A4A"/>
    <w:rsid w:val="00AE0A68"/>
    <w:rsid w:val="00AE0A6C"/>
    <w:rsid w:val="00AE0A78"/>
    <w:rsid w:val="00AE0A9F"/>
    <w:rsid w:val="00AE0AE6"/>
    <w:rsid w:val="00AE0B7D"/>
    <w:rsid w:val="00AE0B88"/>
    <w:rsid w:val="00AE0C4A"/>
    <w:rsid w:val="00AE0C50"/>
    <w:rsid w:val="00AE0D4C"/>
    <w:rsid w:val="00AE0D64"/>
    <w:rsid w:val="00AE0E6E"/>
    <w:rsid w:val="00AE0F28"/>
    <w:rsid w:val="00AE0F97"/>
    <w:rsid w:val="00AE103D"/>
    <w:rsid w:val="00AE1046"/>
    <w:rsid w:val="00AE1084"/>
    <w:rsid w:val="00AE1142"/>
    <w:rsid w:val="00AE116A"/>
    <w:rsid w:val="00AE1176"/>
    <w:rsid w:val="00AE117C"/>
    <w:rsid w:val="00AE121C"/>
    <w:rsid w:val="00AE125C"/>
    <w:rsid w:val="00AE1296"/>
    <w:rsid w:val="00AE12EB"/>
    <w:rsid w:val="00AE1318"/>
    <w:rsid w:val="00AE137A"/>
    <w:rsid w:val="00AE1385"/>
    <w:rsid w:val="00AE13DE"/>
    <w:rsid w:val="00AE1406"/>
    <w:rsid w:val="00AE141E"/>
    <w:rsid w:val="00AE1469"/>
    <w:rsid w:val="00AE14A0"/>
    <w:rsid w:val="00AE14B4"/>
    <w:rsid w:val="00AE14C2"/>
    <w:rsid w:val="00AE1541"/>
    <w:rsid w:val="00AE15B3"/>
    <w:rsid w:val="00AE1640"/>
    <w:rsid w:val="00AE167D"/>
    <w:rsid w:val="00AE1699"/>
    <w:rsid w:val="00AE169C"/>
    <w:rsid w:val="00AE1733"/>
    <w:rsid w:val="00AE1761"/>
    <w:rsid w:val="00AE17BD"/>
    <w:rsid w:val="00AE1818"/>
    <w:rsid w:val="00AE1874"/>
    <w:rsid w:val="00AE1944"/>
    <w:rsid w:val="00AE1998"/>
    <w:rsid w:val="00AE19A2"/>
    <w:rsid w:val="00AE19E9"/>
    <w:rsid w:val="00AE1B4E"/>
    <w:rsid w:val="00AE1BE0"/>
    <w:rsid w:val="00AE1C33"/>
    <w:rsid w:val="00AE1C3B"/>
    <w:rsid w:val="00AE1CD8"/>
    <w:rsid w:val="00AE1D17"/>
    <w:rsid w:val="00AE1D21"/>
    <w:rsid w:val="00AE1D6C"/>
    <w:rsid w:val="00AE1D6D"/>
    <w:rsid w:val="00AE1DAB"/>
    <w:rsid w:val="00AE1EE8"/>
    <w:rsid w:val="00AE1F11"/>
    <w:rsid w:val="00AE1F30"/>
    <w:rsid w:val="00AE1F4A"/>
    <w:rsid w:val="00AE1F7B"/>
    <w:rsid w:val="00AE1FD6"/>
    <w:rsid w:val="00AE2011"/>
    <w:rsid w:val="00AE2039"/>
    <w:rsid w:val="00AE203F"/>
    <w:rsid w:val="00AE2077"/>
    <w:rsid w:val="00AE20F4"/>
    <w:rsid w:val="00AE2168"/>
    <w:rsid w:val="00AE227C"/>
    <w:rsid w:val="00AE22B7"/>
    <w:rsid w:val="00AE22BD"/>
    <w:rsid w:val="00AE2309"/>
    <w:rsid w:val="00AE231B"/>
    <w:rsid w:val="00AE23BE"/>
    <w:rsid w:val="00AE23E1"/>
    <w:rsid w:val="00AE23F8"/>
    <w:rsid w:val="00AE2415"/>
    <w:rsid w:val="00AE2458"/>
    <w:rsid w:val="00AE246F"/>
    <w:rsid w:val="00AE247C"/>
    <w:rsid w:val="00AE24C3"/>
    <w:rsid w:val="00AE2535"/>
    <w:rsid w:val="00AE253A"/>
    <w:rsid w:val="00AE2630"/>
    <w:rsid w:val="00AE2644"/>
    <w:rsid w:val="00AE265C"/>
    <w:rsid w:val="00AE269F"/>
    <w:rsid w:val="00AE26C1"/>
    <w:rsid w:val="00AE26D0"/>
    <w:rsid w:val="00AE26F5"/>
    <w:rsid w:val="00AE2714"/>
    <w:rsid w:val="00AE2895"/>
    <w:rsid w:val="00AE28A8"/>
    <w:rsid w:val="00AE29A1"/>
    <w:rsid w:val="00AE29CC"/>
    <w:rsid w:val="00AE2A4F"/>
    <w:rsid w:val="00AE2A5F"/>
    <w:rsid w:val="00AE2AAD"/>
    <w:rsid w:val="00AE2CA0"/>
    <w:rsid w:val="00AE2CD7"/>
    <w:rsid w:val="00AE2CED"/>
    <w:rsid w:val="00AE2E10"/>
    <w:rsid w:val="00AE2E20"/>
    <w:rsid w:val="00AE2EE5"/>
    <w:rsid w:val="00AE2F95"/>
    <w:rsid w:val="00AE301D"/>
    <w:rsid w:val="00AE3073"/>
    <w:rsid w:val="00AE308A"/>
    <w:rsid w:val="00AE3099"/>
    <w:rsid w:val="00AE30F4"/>
    <w:rsid w:val="00AE317E"/>
    <w:rsid w:val="00AE31DD"/>
    <w:rsid w:val="00AE3222"/>
    <w:rsid w:val="00AE325C"/>
    <w:rsid w:val="00AE32B2"/>
    <w:rsid w:val="00AE3334"/>
    <w:rsid w:val="00AE33ED"/>
    <w:rsid w:val="00AE348B"/>
    <w:rsid w:val="00AE34AE"/>
    <w:rsid w:val="00AE34CC"/>
    <w:rsid w:val="00AE350A"/>
    <w:rsid w:val="00AE359D"/>
    <w:rsid w:val="00AE3609"/>
    <w:rsid w:val="00AE3650"/>
    <w:rsid w:val="00AE374D"/>
    <w:rsid w:val="00AE3835"/>
    <w:rsid w:val="00AE3837"/>
    <w:rsid w:val="00AE38DE"/>
    <w:rsid w:val="00AE3905"/>
    <w:rsid w:val="00AE3921"/>
    <w:rsid w:val="00AE393A"/>
    <w:rsid w:val="00AE39BD"/>
    <w:rsid w:val="00AE3A0B"/>
    <w:rsid w:val="00AE3A1E"/>
    <w:rsid w:val="00AE3A4B"/>
    <w:rsid w:val="00AE3A4D"/>
    <w:rsid w:val="00AE3A8D"/>
    <w:rsid w:val="00AE3AFB"/>
    <w:rsid w:val="00AE3B5F"/>
    <w:rsid w:val="00AE3B80"/>
    <w:rsid w:val="00AE3B9F"/>
    <w:rsid w:val="00AE3BF2"/>
    <w:rsid w:val="00AE3C4B"/>
    <w:rsid w:val="00AE3D08"/>
    <w:rsid w:val="00AE3D12"/>
    <w:rsid w:val="00AE3EFF"/>
    <w:rsid w:val="00AE3F26"/>
    <w:rsid w:val="00AE3F47"/>
    <w:rsid w:val="00AE3F66"/>
    <w:rsid w:val="00AE3F86"/>
    <w:rsid w:val="00AE4042"/>
    <w:rsid w:val="00AE4048"/>
    <w:rsid w:val="00AE40B3"/>
    <w:rsid w:val="00AE416D"/>
    <w:rsid w:val="00AE4246"/>
    <w:rsid w:val="00AE4294"/>
    <w:rsid w:val="00AE42FE"/>
    <w:rsid w:val="00AE432F"/>
    <w:rsid w:val="00AE4400"/>
    <w:rsid w:val="00AE4457"/>
    <w:rsid w:val="00AE4503"/>
    <w:rsid w:val="00AE4556"/>
    <w:rsid w:val="00AE45B0"/>
    <w:rsid w:val="00AE45FE"/>
    <w:rsid w:val="00AE460B"/>
    <w:rsid w:val="00AE4619"/>
    <w:rsid w:val="00AE463F"/>
    <w:rsid w:val="00AE467E"/>
    <w:rsid w:val="00AE4691"/>
    <w:rsid w:val="00AE46D1"/>
    <w:rsid w:val="00AE4744"/>
    <w:rsid w:val="00AE4761"/>
    <w:rsid w:val="00AE4915"/>
    <w:rsid w:val="00AE4939"/>
    <w:rsid w:val="00AE4949"/>
    <w:rsid w:val="00AE49FE"/>
    <w:rsid w:val="00AE4A00"/>
    <w:rsid w:val="00AE4A5B"/>
    <w:rsid w:val="00AE4AD8"/>
    <w:rsid w:val="00AE4B9C"/>
    <w:rsid w:val="00AE4BA9"/>
    <w:rsid w:val="00AE4BB5"/>
    <w:rsid w:val="00AE4D4C"/>
    <w:rsid w:val="00AE4D55"/>
    <w:rsid w:val="00AE4D78"/>
    <w:rsid w:val="00AE4DBD"/>
    <w:rsid w:val="00AE4E37"/>
    <w:rsid w:val="00AE4EBF"/>
    <w:rsid w:val="00AE4F2D"/>
    <w:rsid w:val="00AE4F3E"/>
    <w:rsid w:val="00AE4FD7"/>
    <w:rsid w:val="00AE5052"/>
    <w:rsid w:val="00AE5056"/>
    <w:rsid w:val="00AE509A"/>
    <w:rsid w:val="00AE5275"/>
    <w:rsid w:val="00AE5283"/>
    <w:rsid w:val="00AE52C3"/>
    <w:rsid w:val="00AE52FE"/>
    <w:rsid w:val="00AE540B"/>
    <w:rsid w:val="00AE542B"/>
    <w:rsid w:val="00AE5657"/>
    <w:rsid w:val="00AE575E"/>
    <w:rsid w:val="00AE57BE"/>
    <w:rsid w:val="00AE5805"/>
    <w:rsid w:val="00AE59BA"/>
    <w:rsid w:val="00AE5AB7"/>
    <w:rsid w:val="00AE5AD2"/>
    <w:rsid w:val="00AE5B55"/>
    <w:rsid w:val="00AE5B57"/>
    <w:rsid w:val="00AE5BCC"/>
    <w:rsid w:val="00AE5C2D"/>
    <w:rsid w:val="00AE5C5C"/>
    <w:rsid w:val="00AE5C62"/>
    <w:rsid w:val="00AE5CC5"/>
    <w:rsid w:val="00AE5CD8"/>
    <w:rsid w:val="00AE5D2A"/>
    <w:rsid w:val="00AE5D3C"/>
    <w:rsid w:val="00AE5DB2"/>
    <w:rsid w:val="00AE5EB7"/>
    <w:rsid w:val="00AE5F03"/>
    <w:rsid w:val="00AE5FDC"/>
    <w:rsid w:val="00AE5FFA"/>
    <w:rsid w:val="00AE6024"/>
    <w:rsid w:val="00AE6027"/>
    <w:rsid w:val="00AE602D"/>
    <w:rsid w:val="00AE6144"/>
    <w:rsid w:val="00AE616F"/>
    <w:rsid w:val="00AE6171"/>
    <w:rsid w:val="00AE617C"/>
    <w:rsid w:val="00AE61D2"/>
    <w:rsid w:val="00AE624E"/>
    <w:rsid w:val="00AE6273"/>
    <w:rsid w:val="00AE62E3"/>
    <w:rsid w:val="00AE6410"/>
    <w:rsid w:val="00AE643F"/>
    <w:rsid w:val="00AE6460"/>
    <w:rsid w:val="00AE6526"/>
    <w:rsid w:val="00AE6536"/>
    <w:rsid w:val="00AE653F"/>
    <w:rsid w:val="00AE65C0"/>
    <w:rsid w:val="00AE65C3"/>
    <w:rsid w:val="00AE65DD"/>
    <w:rsid w:val="00AE665A"/>
    <w:rsid w:val="00AE6666"/>
    <w:rsid w:val="00AE668B"/>
    <w:rsid w:val="00AE6726"/>
    <w:rsid w:val="00AE677D"/>
    <w:rsid w:val="00AE67EF"/>
    <w:rsid w:val="00AE6849"/>
    <w:rsid w:val="00AE6869"/>
    <w:rsid w:val="00AE6876"/>
    <w:rsid w:val="00AE68A0"/>
    <w:rsid w:val="00AE692E"/>
    <w:rsid w:val="00AE6954"/>
    <w:rsid w:val="00AE6A0A"/>
    <w:rsid w:val="00AE6A2A"/>
    <w:rsid w:val="00AE6AA2"/>
    <w:rsid w:val="00AE6AC4"/>
    <w:rsid w:val="00AE6ADE"/>
    <w:rsid w:val="00AE6AE3"/>
    <w:rsid w:val="00AE6BAD"/>
    <w:rsid w:val="00AE6BCC"/>
    <w:rsid w:val="00AE6BD0"/>
    <w:rsid w:val="00AE6C1D"/>
    <w:rsid w:val="00AE6CF7"/>
    <w:rsid w:val="00AE6D69"/>
    <w:rsid w:val="00AE6DB7"/>
    <w:rsid w:val="00AE6DD0"/>
    <w:rsid w:val="00AE6DFB"/>
    <w:rsid w:val="00AE6E2B"/>
    <w:rsid w:val="00AE6E8C"/>
    <w:rsid w:val="00AE6EF1"/>
    <w:rsid w:val="00AE6FAD"/>
    <w:rsid w:val="00AE7043"/>
    <w:rsid w:val="00AE70EC"/>
    <w:rsid w:val="00AE7189"/>
    <w:rsid w:val="00AE71D3"/>
    <w:rsid w:val="00AE7245"/>
    <w:rsid w:val="00AE7277"/>
    <w:rsid w:val="00AE7282"/>
    <w:rsid w:val="00AE7283"/>
    <w:rsid w:val="00AE72F7"/>
    <w:rsid w:val="00AE7342"/>
    <w:rsid w:val="00AE73CD"/>
    <w:rsid w:val="00AE7424"/>
    <w:rsid w:val="00AE7432"/>
    <w:rsid w:val="00AE7573"/>
    <w:rsid w:val="00AE758A"/>
    <w:rsid w:val="00AE75D7"/>
    <w:rsid w:val="00AE763D"/>
    <w:rsid w:val="00AE7713"/>
    <w:rsid w:val="00AE772E"/>
    <w:rsid w:val="00AE772F"/>
    <w:rsid w:val="00AE7731"/>
    <w:rsid w:val="00AE7762"/>
    <w:rsid w:val="00AE7788"/>
    <w:rsid w:val="00AE77CD"/>
    <w:rsid w:val="00AE7931"/>
    <w:rsid w:val="00AE799D"/>
    <w:rsid w:val="00AE79A1"/>
    <w:rsid w:val="00AE7A01"/>
    <w:rsid w:val="00AE7A22"/>
    <w:rsid w:val="00AE7A2E"/>
    <w:rsid w:val="00AE7B7A"/>
    <w:rsid w:val="00AE7BB1"/>
    <w:rsid w:val="00AE7BE1"/>
    <w:rsid w:val="00AE7C62"/>
    <w:rsid w:val="00AE7D71"/>
    <w:rsid w:val="00AE7D90"/>
    <w:rsid w:val="00AE7DAB"/>
    <w:rsid w:val="00AE7DF2"/>
    <w:rsid w:val="00AE7E01"/>
    <w:rsid w:val="00AE7E05"/>
    <w:rsid w:val="00AE7E1B"/>
    <w:rsid w:val="00AE7E9F"/>
    <w:rsid w:val="00AE7ED0"/>
    <w:rsid w:val="00AE7F2A"/>
    <w:rsid w:val="00AE7F4A"/>
    <w:rsid w:val="00AF0008"/>
    <w:rsid w:val="00AF001F"/>
    <w:rsid w:val="00AF005A"/>
    <w:rsid w:val="00AF00E8"/>
    <w:rsid w:val="00AF010E"/>
    <w:rsid w:val="00AF018B"/>
    <w:rsid w:val="00AF01DB"/>
    <w:rsid w:val="00AF021E"/>
    <w:rsid w:val="00AF0230"/>
    <w:rsid w:val="00AF0235"/>
    <w:rsid w:val="00AF025F"/>
    <w:rsid w:val="00AF0287"/>
    <w:rsid w:val="00AF02D5"/>
    <w:rsid w:val="00AF02DE"/>
    <w:rsid w:val="00AF03AD"/>
    <w:rsid w:val="00AF03CC"/>
    <w:rsid w:val="00AF045D"/>
    <w:rsid w:val="00AF0676"/>
    <w:rsid w:val="00AF06FE"/>
    <w:rsid w:val="00AF074F"/>
    <w:rsid w:val="00AF0750"/>
    <w:rsid w:val="00AF07CA"/>
    <w:rsid w:val="00AF07CC"/>
    <w:rsid w:val="00AF0805"/>
    <w:rsid w:val="00AF0845"/>
    <w:rsid w:val="00AF08D1"/>
    <w:rsid w:val="00AF0905"/>
    <w:rsid w:val="00AF092C"/>
    <w:rsid w:val="00AF096B"/>
    <w:rsid w:val="00AF09AF"/>
    <w:rsid w:val="00AF09C8"/>
    <w:rsid w:val="00AF0A14"/>
    <w:rsid w:val="00AF0A1E"/>
    <w:rsid w:val="00AF0A48"/>
    <w:rsid w:val="00AF0A90"/>
    <w:rsid w:val="00AF0B81"/>
    <w:rsid w:val="00AF0BA3"/>
    <w:rsid w:val="00AF0BAB"/>
    <w:rsid w:val="00AF0C1D"/>
    <w:rsid w:val="00AF0C6F"/>
    <w:rsid w:val="00AF0C96"/>
    <w:rsid w:val="00AF0CE5"/>
    <w:rsid w:val="00AF0D31"/>
    <w:rsid w:val="00AF0DB4"/>
    <w:rsid w:val="00AF0E07"/>
    <w:rsid w:val="00AF0E30"/>
    <w:rsid w:val="00AF0E46"/>
    <w:rsid w:val="00AF0EA8"/>
    <w:rsid w:val="00AF0EF4"/>
    <w:rsid w:val="00AF0F03"/>
    <w:rsid w:val="00AF106D"/>
    <w:rsid w:val="00AF10AE"/>
    <w:rsid w:val="00AF10FF"/>
    <w:rsid w:val="00AF110A"/>
    <w:rsid w:val="00AF1178"/>
    <w:rsid w:val="00AF1204"/>
    <w:rsid w:val="00AF122E"/>
    <w:rsid w:val="00AF124F"/>
    <w:rsid w:val="00AF1323"/>
    <w:rsid w:val="00AF1399"/>
    <w:rsid w:val="00AF13D0"/>
    <w:rsid w:val="00AF1466"/>
    <w:rsid w:val="00AF14EA"/>
    <w:rsid w:val="00AF1591"/>
    <w:rsid w:val="00AF15A3"/>
    <w:rsid w:val="00AF15EB"/>
    <w:rsid w:val="00AF163B"/>
    <w:rsid w:val="00AF177C"/>
    <w:rsid w:val="00AF177F"/>
    <w:rsid w:val="00AF17D3"/>
    <w:rsid w:val="00AF184A"/>
    <w:rsid w:val="00AF196D"/>
    <w:rsid w:val="00AF197D"/>
    <w:rsid w:val="00AF1AC8"/>
    <w:rsid w:val="00AF1AEB"/>
    <w:rsid w:val="00AF1C9C"/>
    <w:rsid w:val="00AF1D57"/>
    <w:rsid w:val="00AF1E0D"/>
    <w:rsid w:val="00AF1E2E"/>
    <w:rsid w:val="00AF1E80"/>
    <w:rsid w:val="00AF1E8F"/>
    <w:rsid w:val="00AF1F3A"/>
    <w:rsid w:val="00AF1F46"/>
    <w:rsid w:val="00AF1FA7"/>
    <w:rsid w:val="00AF1FAC"/>
    <w:rsid w:val="00AF1FBF"/>
    <w:rsid w:val="00AF1FDF"/>
    <w:rsid w:val="00AF1FFC"/>
    <w:rsid w:val="00AF2168"/>
    <w:rsid w:val="00AF21C1"/>
    <w:rsid w:val="00AF2240"/>
    <w:rsid w:val="00AF2278"/>
    <w:rsid w:val="00AF2404"/>
    <w:rsid w:val="00AF2448"/>
    <w:rsid w:val="00AF2479"/>
    <w:rsid w:val="00AF24A0"/>
    <w:rsid w:val="00AF24D2"/>
    <w:rsid w:val="00AF24E0"/>
    <w:rsid w:val="00AF24EB"/>
    <w:rsid w:val="00AF2514"/>
    <w:rsid w:val="00AF2580"/>
    <w:rsid w:val="00AF261A"/>
    <w:rsid w:val="00AF262C"/>
    <w:rsid w:val="00AF266E"/>
    <w:rsid w:val="00AF270E"/>
    <w:rsid w:val="00AF273F"/>
    <w:rsid w:val="00AF2748"/>
    <w:rsid w:val="00AF278F"/>
    <w:rsid w:val="00AF27C7"/>
    <w:rsid w:val="00AF2849"/>
    <w:rsid w:val="00AF288C"/>
    <w:rsid w:val="00AF28CF"/>
    <w:rsid w:val="00AF28F3"/>
    <w:rsid w:val="00AF29C7"/>
    <w:rsid w:val="00AF2A2C"/>
    <w:rsid w:val="00AF2AC3"/>
    <w:rsid w:val="00AF2B40"/>
    <w:rsid w:val="00AF2BE6"/>
    <w:rsid w:val="00AF2C55"/>
    <w:rsid w:val="00AF2C6E"/>
    <w:rsid w:val="00AF2C78"/>
    <w:rsid w:val="00AF2CDC"/>
    <w:rsid w:val="00AF2D5C"/>
    <w:rsid w:val="00AF2DF2"/>
    <w:rsid w:val="00AF2F3C"/>
    <w:rsid w:val="00AF2F8A"/>
    <w:rsid w:val="00AF2FA4"/>
    <w:rsid w:val="00AF2FAC"/>
    <w:rsid w:val="00AF2FB3"/>
    <w:rsid w:val="00AF2FD7"/>
    <w:rsid w:val="00AF3008"/>
    <w:rsid w:val="00AF301F"/>
    <w:rsid w:val="00AF3090"/>
    <w:rsid w:val="00AF30D5"/>
    <w:rsid w:val="00AF30FD"/>
    <w:rsid w:val="00AF3142"/>
    <w:rsid w:val="00AF314E"/>
    <w:rsid w:val="00AF315E"/>
    <w:rsid w:val="00AF31C0"/>
    <w:rsid w:val="00AF31E5"/>
    <w:rsid w:val="00AF3277"/>
    <w:rsid w:val="00AF328E"/>
    <w:rsid w:val="00AF32C2"/>
    <w:rsid w:val="00AF332A"/>
    <w:rsid w:val="00AF33BD"/>
    <w:rsid w:val="00AF33C5"/>
    <w:rsid w:val="00AF33D6"/>
    <w:rsid w:val="00AF33DE"/>
    <w:rsid w:val="00AF3408"/>
    <w:rsid w:val="00AF3449"/>
    <w:rsid w:val="00AF355C"/>
    <w:rsid w:val="00AF3577"/>
    <w:rsid w:val="00AF3614"/>
    <w:rsid w:val="00AF3630"/>
    <w:rsid w:val="00AF36F2"/>
    <w:rsid w:val="00AF375C"/>
    <w:rsid w:val="00AF378C"/>
    <w:rsid w:val="00AF37C7"/>
    <w:rsid w:val="00AF3882"/>
    <w:rsid w:val="00AF38DC"/>
    <w:rsid w:val="00AF38E7"/>
    <w:rsid w:val="00AF38EC"/>
    <w:rsid w:val="00AF3928"/>
    <w:rsid w:val="00AF39A6"/>
    <w:rsid w:val="00AF3A2C"/>
    <w:rsid w:val="00AF3B1C"/>
    <w:rsid w:val="00AF3BBF"/>
    <w:rsid w:val="00AF3C3C"/>
    <w:rsid w:val="00AF3C92"/>
    <w:rsid w:val="00AF3C94"/>
    <w:rsid w:val="00AF3CB2"/>
    <w:rsid w:val="00AF3CF3"/>
    <w:rsid w:val="00AF3D87"/>
    <w:rsid w:val="00AF3EE1"/>
    <w:rsid w:val="00AF3FE6"/>
    <w:rsid w:val="00AF3FEB"/>
    <w:rsid w:val="00AF400A"/>
    <w:rsid w:val="00AF4053"/>
    <w:rsid w:val="00AF4137"/>
    <w:rsid w:val="00AF4177"/>
    <w:rsid w:val="00AF41A3"/>
    <w:rsid w:val="00AF426E"/>
    <w:rsid w:val="00AF42A7"/>
    <w:rsid w:val="00AF4318"/>
    <w:rsid w:val="00AF435D"/>
    <w:rsid w:val="00AF4364"/>
    <w:rsid w:val="00AF4369"/>
    <w:rsid w:val="00AF441C"/>
    <w:rsid w:val="00AF44F1"/>
    <w:rsid w:val="00AF4517"/>
    <w:rsid w:val="00AF451D"/>
    <w:rsid w:val="00AF4559"/>
    <w:rsid w:val="00AF4590"/>
    <w:rsid w:val="00AF4592"/>
    <w:rsid w:val="00AF46DA"/>
    <w:rsid w:val="00AF4786"/>
    <w:rsid w:val="00AF479A"/>
    <w:rsid w:val="00AF47DE"/>
    <w:rsid w:val="00AF47E5"/>
    <w:rsid w:val="00AF47F6"/>
    <w:rsid w:val="00AF4812"/>
    <w:rsid w:val="00AF4949"/>
    <w:rsid w:val="00AF49B2"/>
    <w:rsid w:val="00AF49CB"/>
    <w:rsid w:val="00AF4A97"/>
    <w:rsid w:val="00AF4C9E"/>
    <w:rsid w:val="00AF4D4F"/>
    <w:rsid w:val="00AF4D9F"/>
    <w:rsid w:val="00AF4E35"/>
    <w:rsid w:val="00AF4EB0"/>
    <w:rsid w:val="00AF4EE0"/>
    <w:rsid w:val="00AF4F0A"/>
    <w:rsid w:val="00AF4F48"/>
    <w:rsid w:val="00AF4FBF"/>
    <w:rsid w:val="00AF504B"/>
    <w:rsid w:val="00AF5055"/>
    <w:rsid w:val="00AF5083"/>
    <w:rsid w:val="00AF5118"/>
    <w:rsid w:val="00AF5119"/>
    <w:rsid w:val="00AF5120"/>
    <w:rsid w:val="00AF515A"/>
    <w:rsid w:val="00AF51A0"/>
    <w:rsid w:val="00AF526E"/>
    <w:rsid w:val="00AF5277"/>
    <w:rsid w:val="00AF52B3"/>
    <w:rsid w:val="00AF52FE"/>
    <w:rsid w:val="00AF533A"/>
    <w:rsid w:val="00AF5393"/>
    <w:rsid w:val="00AF53AA"/>
    <w:rsid w:val="00AF53FD"/>
    <w:rsid w:val="00AF5500"/>
    <w:rsid w:val="00AF5543"/>
    <w:rsid w:val="00AF5597"/>
    <w:rsid w:val="00AF55BA"/>
    <w:rsid w:val="00AF55BD"/>
    <w:rsid w:val="00AF55E4"/>
    <w:rsid w:val="00AF55E5"/>
    <w:rsid w:val="00AF55FF"/>
    <w:rsid w:val="00AF5625"/>
    <w:rsid w:val="00AF568C"/>
    <w:rsid w:val="00AF5766"/>
    <w:rsid w:val="00AF582A"/>
    <w:rsid w:val="00AF585C"/>
    <w:rsid w:val="00AF5935"/>
    <w:rsid w:val="00AF5965"/>
    <w:rsid w:val="00AF5974"/>
    <w:rsid w:val="00AF59E4"/>
    <w:rsid w:val="00AF5A71"/>
    <w:rsid w:val="00AF5AB3"/>
    <w:rsid w:val="00AF5AEA"/>
    <w:rsid w:val="00AF5AF3"/>
    <w:rsid w:val="00AF5BBE"/>
    <w:rsid w:val="00AF5BE1"/>
    <w:rsid w:val="00AF5CA9"/>
    <w:rsid w:val="00AF5CDD"/>
    <w:rsid w:val="00AF5D39"/>
    <w:rsid w:val="00AF5D4D"/>
    <w:rsid w:val="00AF5D9F"/>
    <w:rsid w:val="00AF5DCC"/>
    <w:rsid w:val="00AF5E17"/>
    <w:rsid w:val="00AF5E3D"/>
    <w:rsid w:val="00AF5E86"/>
    <w:rsid w:val="00AF5E95"/>
    <w:rsid w:val="00AF5E9C"/>
    <w:rsid w:val="00AF5EFF"/>
    <w:rsid w:val="00AF6034"/>
    <w:rsid w:val="00AF60A5"/>
    <w:rsid w:val="00AF60BF"/>
    <w:rsid w:val="00AF60D5"/>
    <w:rsid w:val="00AF612C"/>
    <w:rsid w:val="00AF612D"/>
    <w:rsid w:val="00AF614A"/>
    <w:rsid w:val="00AF61AC"/>
    <w:rsid w:val="00AF61EC"/>
    <w:rsid w:val="00AF621C"/>
    <w:rsid w:val="00AF6269"/>
    <w:rsid w:val="00AF62B1"/>
    <w:rsid w:val="00AF62CC"/>
    <w:rsid w:val="00AF634A"/>
    <w:rsid w:val="00AF637B"/>
    <w:rsid w:val="00AF6396"/>
    <w:rsid w:val="00AF6412"/>
    <w:rsid w:val="00AF6441"/>
    <w:rsid w:val="00AF645B"/>
    <w:rsid w:val="00AF64AB"/>
    <w:rsid w:val="00AF64D3"/>
    <w:rsid w:val="00AF64E0"/>
    <w:rsid w:val="00AF6574"/>
    <w:rsid w:val="00AF65B6"/>
    <w:rsid w:val="00AF65D0"/>
    <w:rsid w:val="00AF660B"/>
    <w:rsid w:val="00AF6619"/>
    <w:rsid w:val="00AF6674"/>
    <w:rsid w:val="00AF66A3"/>
    <w:rsid w:val="00AF66E1"/>
    <w:rsid w:val="00AF6717"/>
    <w:rsid w:val="00AF6728"/>
    <w:rsid w:val="00AF676E"/>
    <w:rsid w:val="00AF688C"/>
    <w:rsid w:val="00AF68C3"/>
    <w:rsid w:val="00AF68CE"/>
    <w:rsid w:val="00AF691C"/>
    <w:rsid w:val="00AF6B01"/>
    <w:rsid w:val="00AF6B1F"/>
    <w:rsid w:val="00AF6C16"/>
    <w:rsid w:val="00AF6C18"/>
    <w:rsid w:val="00AF6C28"/>
    <w:rsid w:val="00AF6C63"/>
    <w:rsid w:val="00AF6CA9"/>
    <w:rsid w:val="00AF6CFC"/>
    <w:rsid w:val="00AF6D0E"/>
    <w:rsid w:val="00AF6E0D"/>
    <w:rsid w:val="00AF6E47"/>
    <w:rsid w:val="00AF6F37"/>
    <w:rsid w:val="00AF6F5C"/>
    <w:rsid w:val="00AF6F63"/>
    <w:rsid w:val="00AF6F6E"/>
    <w:rsid w:val="00AF6FF6"/>
    <w:rsid w:val="00AF7086"/>
    <w:rsid w:val="00AF70BE"/>
    <w:rsid w:val="00AF7112"/>
    <w:rsid w:val="00AF71CE"/>
    <w:rsid w:val="00AF7273"/>
    <w:rsid w:val="00AF7331"/>
    <w:rsid w:val="00AF7357"/>
    <w:rsid w:val="00AF7407"/>
    <w:rsid w:val="00AF746C"/>
    <w:rsid w:val="00AF7505"/>
    <w:rsid w:val="00AF7571"/>
    <w:rsid w:val="00AF7577"/>
    <w:rsid w:val="00AF758D"/>
    <w:rsid w:val="00AF75A1"/>
    <w:rsid w:val="00AF7662"/>
    <w:rsid w:val="00AF7744"/>
    <w:rsid w:val="00AF776F"/>
    <w:rsid w:val="00AF7791"/>
    <w:rsid w:val="00AF781E"/>
    <w:rsid w:val="00AF7869"/>
    <w:rsid w:val="00AF786C"/>
    <w:rsid w:val="00AF79EC"/>
    <w:rsid w:val="00AF79F9"/>
    <w:rsid w:val="00AF7AF8"/>
    <w:rsid w:val="00AF7B3D"/>
    <w:rsid w:val="00AF7B6E"/>
    <w:rsid w:val="00AF7D31"/>
    <w:rsid w:val="00AF7E81"/>
    <w:rsid w:val="00AF7E9B"/>
    <w:rsid w:val="00AF7F1D"/>
    <w:rsid w:val="00AF7F3D"/>
    <w:rsid w:val="00AF7FE3"/>
    <w:rsid w:val="00AF8F14"/>
    <w:rsid w:val="00B0002A"/>
    <w:rsid w:val="00B00034"/>
    <w:rsid w:val="00B000DC"/>
    <w:rsid w:val="00B0013A"/>
    <w:rsid w:val="00B001C8"/>
    <w:rsid w:val="00B001FA"/>
    <w:rsid w:val="00B0023A"/>
    <w:rsid w:val="00B00267"/>
    <w:rsid w:val="00B00350"/>
    <w:rsid w:val="00B00396"/>
    <w:rsid w:val="00B003AC"/>
    <w:rsid w:val="00B003B8"/>
    <w:rsid w:val="00B0041A"/>
    <w:rsid w:val="00B00459"/>
    <w:rsid w:val="00B00469"/>
    <w:rsid w:val="00B00474"/>
    <w:rsid w:val="00B00589"/>
    <w:rsid w:val="00B00597"/>
    <w:rsid w:val="00B005D4"/>
    <w:rsid w:val="00B005EC"/>
    <w:rsid w:val="00B0061E"/>
    <w:rsid w:val="00B00633"/>
    <w:rsid w:val="00B00644"/>
    <w:rsid w:val="00B0068B"/>
    <w:rsid w:val="00B006D0"/>
    <w:rsid w:val="00B007A9"/>
    <w:rsid w:val="00B0082D"/>
    <w:rsid w:val="00B0084F"/>
    <w:rsid w:val="00B008BD"/>
    <w:rsid w:val="00B0092C"/>
    <w:rsid w:val="00B00959"/>
    <w:rsid w:val="00B0097E"/>
    <w:rsid w:val="00B009C1"/>
    <w:rsid w:val="00B00A68"/>
    <w:rsid w:val="00B00B2F"/>
    <w:rsid w:val="00B00B62"/>
    <w:rsid w:val="00B00B69"/>
    <w:rsid w:val="00B00B8E"/>
    <w:rsid w:val="00B00BDA"/>
    <w:rsid w:val="00B00BF8"/>
    <w:rsid w:val="00B00C07"/>
    <w:rsid w:val="00B00C23"/>
    <w:rsid w:val="00B00C68"/>
    <w:rsid w:val="00B00CD2"/>
    <w:rsid w:val="00B00D34"/>
    <w:rsid w:val="00B00D50"/>
    <w:rsid w:val="00B00D6E"/>
    <w:rsid w:val="00B00EC6"/>
    <w:rsid w:val="00B00F7B"/>
    <w:rsid w:val="00B00F81"/>
    <w:rsid w:val="00B00FA2"/>
    <w:rsid w:val="00B00FB8"/>
    <w:rsid w:val="00B00FBD"/>
    <w:rsid w:val="00B010D3"/>
    <w:rsid w:val="00B010FD"/>
    <w:rsid w:val="00B0111B"/>
    <w:rsid w:val="00B01184"/>
    <w:rsid w:val="00B01241"/>
    <w:rsid w:val="00B0126D"/>
    <w:rsid w:val="00B01282"/>
    <w:rsid w:val="00B01285"/>
    <w:rsid w:val="00B0129D"/>
    <w:rsid w:val="00B012BD"/>
    <w:rsid w:val="00B012FE"/>
    <w:rsid w:val="00B01302"/>
    <w:rsid w:val="00B01374"/>
    <w:rsid w:val="00B013CD"/>
    <w:rsid w:val="00B01443"/>
    <w:rsid w:val="00B01494"/>
    <w:rsid w:val="00B014D0"/>
    <w:rsid w:val="00B01508"/>
    <w:rsid w:val="00B0159B"/>
    <w:rsid w:val="00B015B1"/>
    <w:rsid w:val="00B015D9"/>
    <w:rsid w:val="00B015F7"/>
    <w:rsid w:val="00B01639"/>
    <w:rsid w:val="00B0169E"/>
    <w:rsid w:val="00B016EE"/>
    <w:rsid w:val="00B0170B"/>
    <w:rsid w:val="00B01714"/>
    <w:rsid w:val="00B017C5"/>
    <w:rsid w:val="00B017E2"/>
    <w:rsid w:val="00B0181A"/>
    <w:rsid w:val="00B01887"/>
    <w:rsid w:val="00B0189A"/>
    <w:rsid w:val="00B018D5"/>
    <w:rsid w:val="00B01921"/>
    <w:rsid w:val="00B01955"/>
    <w:rsid w:val="00B01994"/>
    <w:rsid w:val="00B019A4"/>
    <w:rsid w:val="00B019B6"/>
    <w:rsid w:val="00B01A69"/>
    <w:rsid w:val="00B01A84"/>
    <w:rsid w:val="00B01A9A"/>
    <w:rsid w:val="00B01AF6"/>
    <w:rsid w:val="00B01B71"/>
    <w:rsid w:val="00B01B82"/>
    <w:rsid w:val="00B01BA7"/>
    <w:rsid w:val="00B01C2D"/>
    <w:rsid w:val="00B01C73"/>
    <w:rsid w:val="00B01D06"/>
    <w:rsid w:val="00B01D37"/>
    <w:rsid w:val="00B01DCD"/>
    <w:rsid w:val="00B01DDC"/>
    <w:rsid w:val="00B01E8B"/>
    <w:rsid w:val="00B01F04"/>
    <w:rsid w:val="00B01F9B"/>
    <w:rsid w:val="00B02025"/>
    <w:rsid w:val="00B0204F"/>
    <w:rsid w:val="00B020DF"/>
    <w:rsid w:val="00B02114"/>
    <w:rsid w:val="00B02115"/>
    <w:rsid w:val="00B021BB"/>
    <w:rsid w:val="00B021E8"/>
    <w:rsid w:val="00B02226"/>
    <w:rsid w:val="00B022AF"/>
    <w:rsid w:val="00B022B2"/>
    <w:rsid w:val="00B02311"/>
    <w:rsid w:val="00B023E1"/>
    <w:rsid w:val="00B024D5"/>
    <w:rsid w:val="00B0254B"/>
    <w:rsid w:val="00B0260C"/>
    <w:rsid w:val="00B02665"/>
    <w:rsid w:val="00B026A2"/>
    <w:rsid w:val="00B026AD"/>
    <w:rsid w:val="00B0277C"/>
    <w:rsid w:val="00B02895"/>
    <w:rsid w:val="00B028F3"/>
    <w:rsid w:val="00B0292E"/>
    <w:rsid w:val="00B02956"/>
    <w:rsid w:val="00B02988"/>
    <w:rsid w:val="00B029C4"/>
    <w:rsid w:val="00B02B6B"/>
    <w:rsid w:val="00B02B85"/>
    <w:rsid w:val="00B02BD3"/>
    <w:rsid w:val="00B02BEF"/>
    <w:rsid w:val="00B02C03"/>
    <w:rsid w:val="00B02C8C"/>
    <w:rsid w:val="00B02E09"/>
    <w:rsid w:val="00B02E1E"/>
    <w:rsid w:val="00B02E4D"/>
    <w:rsid w:val="00B02E91"/>
    <w:rsid w:val="00B02F1F"/>
    <w:rsid w:val="00B02F56"/>
    <w:rsid w:val="00B02F68"/>
    <w:rsid w:val="00B02F71"/>
    <w:rsid w:val="00B02F76"/>
    <w:rsid w:val="00B02FFA"/>
    <w:rsid w:val="00B03008"/>
    <w:rsid w:val="00B030A5"/>
    <w:rsid w:val="00B03160"/>
    <w:rsid w:val="00B03214"/>
    <w:rsid w:val="00B0321D"/>
    <w:rsid w:val="00B0324B"/>
    <w:rsid w:val="00B0328B"/>
    <w:rsid w:val="00B03292"/>
    <w:rsid w:val="00B032DE"/>
    <w:rsid w:val="00B0330C"/>
    <w:rsid w:val="00B0335B"/>
    <w:rsid w:val="00B03389"/>
    <w:rsid w:val="00B033E5"/>
    <w:rsid w:val="00B033F1"/>
    <w:rsid w:val="00B03482"/>
    <w:rsid w:val="00B035C3"/>
    <w:rsid w:val="00B035C5"/>
    <w:rsid w:val="00B035C7"/>
    <w:rsid w:val="00B0360D"/>
    <w:rsid w:val="00B0360F"/>
    <w:rsid w:val="00B03672"/>
    <w:rsid w:val="00B03686"/>
    <w:rsid w:val="00B0370B"/>
    <w:rsid w:val="00B038EB"/>
    <w:rsid w:val="00B03914"/>
    <w:rsid w:val="00B0394A"/>
    <w:rsid w:val="00B03970"/>
    <w:rsid w:val="00B039B3"/>
    <w:rsid w:val="00B039E1"/>
    <w:rsid w:val="00B03A0A"/>
    <w:rsid w:val="00B03A1C"/>
    <w:rsid w:val="00B03A5E"/>
    <w:rsid w:val="00B03AF9"/>
    <w:rsid w:val="00B03B40"/>
    <w:rsid w:val="00B03BA9"/>
    <w:rsid w:val="00B03BBC"/>
    <w:rsid w:val="00B03C44"/>
    <w:rsid w:val="00B03C92"/>
    <w:rsid w:val="00B03CB0"/>
    <w:rsid w:val="00B03CF7"/>
    <w:rsid w:val="00B03D17"/>
    <w:rsid w:val="00B03E48"/>
    <w:rsid w:val="00B03EAA"/>
    <w:rsid w:val="00B03EB1"/>
    <w:rsid w:val="00B03ECE"/>
    <w:rsid w:val="00B03F22"/>
    <w:rsid w:val="00B03FFD"/>
    <w:rsid w:val="00B04083"/>
    <w:rsid w:val="00B040E2"/>
    <w:rsid w:val="00B04165"/>
    <w:rsid w:val="00B041A0"/>
    <w:rsid w:val="00B04269"/>
    <w:rsid w:val="00B042C4"/>
    <w:rsid w:val="00B0433A"/>
    <w:rsid w:val="00B04445"/>
    <w:rsid w:val="00B04476"/>
    <w:rsid w:val="00B0450B"/>
    <w:rsid w:val="00B0454E"/>
    <w:rsid w:val="00B045A6"/>
    <w:rsid w:val="00B045E6"/>
    <w:rsid w:val="00B046A0"/>
    <w:rsid w:val="00B04717"/>
    <w:rsid w:val="00B04741"/>
    <w:rsid w:val="00B0481C"/>
    <w:rsid w:val="00B0488D"/>
    <w:rsid w:val="00B048AF"/>
    <w:rsid w:val="00B04972"/>
    <w:rsid w:val="00B0497D"/>
    <w:rsid w:val="00B049FF"/>
    <w:rsid w:val="00B04A5B"/>
    <w:rsid w:val="00B04ADF"/>
    <w:rsid w:val="00B04AE4"/>
    <w:rsid w:val="00B04B0B"/>
    <w:rsid w:val="00B04BA5"/>
    <w:rsid w:val="00B04BB9"/>
    <w:rsid w:val="00B04C6F"/>
    <w:rsid w:val="00B04C77"/>
    <w:rsid w:val="00B04D1B"/>
    <w:rsid w:val="00B04D54"/>
    <w:rsid w:val="00B04E64"/>
    <w:rsid w:val="00B04EA3"/>
    <w:rsid w:val="00B04EA4"/>
    <w:rsid w:val="00B04F9C"/>
    <w:rsid w:val="00B04FD2"/>
    <w:rsid w:val="00B05022"/>
    <w:rsid w:val="00B05026"/>
    <w:rsid w:val="00B05157"/>
    <w:rsid w:val="00B051B2"/>
    <w:rsid w:val="00B051FF"/>
    <w:rsid w:val="00B05224"/>
    <w:rsid w:val="00B05257"/>
    <w:rsid w:val="00B05261"/>
    <w:rsid w:val="00B052D5"/>
    <w:rsid w:val="00B05376"/>
    <w:rsid w:val="00B05430"/>
    <w:rsid w:val="00B05480"/>
    <w:rsid w:val="00B054B7"/>
    <w:rsid w:val="00B054E7"/>
    <w:rsid w:val="00B0551B"/>
    <w:rsid w:val="00B05665"/>
    <w:rsid w:val="00B05701"/>
    <w:rsid w:val="00B0571A"/>
    <w:rsid w:val="00B05726"/>
    <w:rsid w:val="00B05798"/>
    <w:rsid w:val="00B0583E"/>
    <w:rsid w:val="00B058CE"/>
    <w:rsid w:val="00B0591B"/>
    <w:rsid w:val="00B05925"/>
    <w:rsid w:val="00B05A0E"/>
    <w:rsid w:val="00B05AB9"/>
    <w:rsid w:val="00B05B63"/>
    <w:rsid w:val="00B05B84"/>
    <w:rsid w:val="00B05B94"/>
    <w:rsid w:val="00B05BD0"/>
    <w:rsid w:val="00B05C88"/>
    <w:rsid w:val="00B05C95"/>
    <w:rsid w:val="00B05CC9"/>
    <w:rsid w:val="00B05D23"/>
    <w:rsid w:val="00B05D2A"/>
    <w:rsid w:val="00B05D77"/>
    <w:rsid w:val="00B05DD8"/>
    <w:rsid w:val="00B05E15"/>
    <w:rsid w:val="00B05E89"/>
    <w:rsid w:val="00B05F63"/>
    <w:rsid w:val="00B05F87"/>
    <w:rsid w:val="00B05FAF"/>
    <w:rsid w:val="00B05FB7"/>
    <w:rsid w:val="00B05FBF"/>
    <w:rsid w:val="00B0604E"/>
    <w:rsid w:val="00B060E1"/>
    <w:rsid w:val="00B061AB"/>
    <w:rsid w:val="00B06213"/>
    <w:rsid w:val="00B06227"/>
    <w:rsid w:val="00B063DF"/>
    <w:rsid w:val="00B063E8"/>
    <w:rsid w:val="00B063F1"/>
    <w:rsid w:val="00B06430"/>
    <w:rsid w:val="00B0644D"/>
    <w:rsid w:val="00B06469"/>
    <w:rsid w:val="00B064A1"/>
    <w:rsid w:val="00B064B1"/>
    <w:rsid w:val="00B064BD"/>
    <w:rsid w:val="00B064F5"/>
    <w:rsid w:val="00B0663B"/>
    <w:rsid w:val="00B066DE"/>
    <w:rsid w:val="00B0676D"/>
    <w:rsid w:val="00B0678B"/>
    <w:rsid w:val="00B067E7"/>
    <w:rsid w:val="00B06834"/>
    <w:rsid w:val="00B06836"/>
    <w:rsid w:val="00B0684C"/>
    <w:rsid w:val="00B06889"/>
    <w:rsid w:val="00B0689B"/>
    <w:rsid w:val="00B06A17"/>
    <w:rsid w:val="00B06B25"/>
    <w:rsid w:val="00B06B5D"/>
    <w:rsid w:val="00B06C19"/>
    <w:rsid w:val="00B06C23"/>
    <w:rsid w:val="00B06C58"/>
    <w:rsid w:val="00B06CC1"/>
    <w:rsid w:val="00B06CC3"/>
    <w:rsid w:val="00B06CC8"/>
    <w:rsid w:val="00B06CD9"/>
    <w:rsid w:val="00B06D17"/>
    <w:rsid w:val="00B06DA8"/>
    <w:rsid w:val="00B06DBE"/>
    <w:rsid w:val="00B06DC3"/>
    <w:rsid w:val="00B06E82"/>
    <w:rsid w:val="00B06E87"/>
    <w:rsid w:val="00B06EBE"/>
    <w:rsid w:val="00B06ECD"/>
    <w:rsid w:val="00B06EDE"/>
    <w:rsid w:val="00B06EEE"/>
    <w:rsid w:val="00B06F4F"/>
    <w:rsid w:val="00B06F80"/>
    <w:rsid w:val="00B06FA3"/>
    <w:rsid w:val="00B07057"/>
    <w:rsid w:val="00B07079"/>
    <w:rsid w:val="00B0711F"/>
    <w:rsid w:val="00B0715F"/>
    <w:rsid w:val="00B07179"/>
    <w:rsid w:val="00B071BD"/>
    <w:rsid w:val="00B071DD"/>
    <w:rsid w:val="00B07267"/>
    <w:rsid w:val="00B07271"/>
    <w:rsid w:val="00B0727E"/>
    <w:rsid w:val="00B072AD"/>
    <w:rsid w:val="00B072D1"/>
    <w:rsid w:val="00B07312"/>
    <w:rsid w:val="00B07392"/>
    <w:rsid w:val="00B073BE"/>
    <w:rsid w:val="00B073C9"/>
    <w:rsid w:val="00B073CF"/>
    <w:rsid w:val="00B0744A"/>
    <w:rsid w:val="00B07454"/>
    <w:rsid w:val="00B074A7"/>
    <w:rsid w:val="00B0755B"/>
    <w:rsid w:val="00B075D8"/>
    <w:rsid w:val="00B075E9"/>
    <w:rsid w:val="00B075FB"/>
    <w:rsid w:val="00B0760B"/>
    <w:rsid w:val="00B07656"/>
    <w:rsid w:val="00B07697"/>
    <w:rsid w:val="00B0774C"/>
    <w:rsid w:val="00B07812"/>
    <w:rsid w:val="00B0782C"/>
    <w:rsid w:val="00B07838"/>
    <w:rsid w:val="00B0785D"/>
    <w:rsid w:val="00B0788E"/>
    <w:rsid w:val="00B07955"/>
    <w:rsid w:val="00B07A44"/>
    <w:rsid w:val="00B07A4A"/>
    <w:rsid w:val="00B07AB4"/>
    <w:rsid w:val="00B07AD6"/>
    <w:rsid w:val="00B07AEE"/>
    <w:rsid w:val="00B07B16"/>
    <w:rsid w:val="00B07B52"/>
    <w:rsid w:val="00B07BB7"/>
    <w:rsid w:val="00B07BBE"/>
    <w:rsid w:val="00B07BE0"/>
    <w:rsid w:val="00B07C4C"/>
    <w:rsid w:val="00B07CD0"/>
    <w:rsid w:val="00B07D0F"/>
    <w:rsid w:val="00B07E17"/>
    <w:rsid w:val="00B07F2C"/>
    <w:rsid w:val="00B07F4D"/>
    <w:rsid w:val="00B07F50"/>
    <w:rsid w:val="00B07F96"/>
    <w:rsid w:val="00B07FFE"/>
    <w:rsid w:val="00B1001F"/>
    <w:rsid w:val="00B10059"/>
    <w:rsid w:val="00B10089"/>
    <w:rsid w:val="00B1017B"/>
    <w:rsid w:val="00B1017E"/>
    <w:rsid w:val="00B1019B"/>
    <w:rsid w:val="00B101BB"/>
    <w:rsid w:val="00B101FB"/>
    <w:rsid w:val="00B10264"/>
    <w:rsid w:val="00B10289"/>
    <w:rsid w:val="00B102DD"/>
    <w:rsid w:val="00B10328"/>
    <w:rsid w:val="00B10352"/>
    <w:rsid w:val="00B103B1"/>
    <w:rsid w:val="00B1041C"/>
    <w:rsid w:val="00B10498"/>
    <w:rsid w:val="00B104E4"/>
    <w:rsid w:val="00B10586"/>
    <w:rsid w:val="00B105EE"/>
    <w:rsid w:val="00B105F7"/>
    <w:rsid w:val="00B10666"/>
    <w:rsid w:val="00B10671"/>
    <w:rsid w:val="00B10678"/>
    <w:rsid w:val="00B10699"/>
    <w:rsid w:val="00B106AD"/>
    <w:rsid w:val="00B107B4"/>
    <w:rsid w:val="00B1088C"/>
    <w:rsid w:val="00B1099E"/>
    <w:rsid w:val="00B10ACE"/>
    <w:rsid w:val="00B10AD1"/>
    <w:rsid w:val="00B10AF7"/>
    <w:rsid w:val="00B10B66"/>
    <w:rsid w:val="00B10BA8"/>
    <w:rsid w:val="00B10BAB"/>
    <w:rsid w:val="00B10C31"/>
    <w:rsid w:val="00B10C4C"/>
    <w:rsid w:val="00B10C91"/>
    <w:rsid w:val="00B10CB0"/>
    <w:rsid w:val="00B10CE1"/>
    <w:rsid w:val="00B10D56"/>
    <w:rsid w:val="00B10D88"/>
    <w:rsid w:val="00B10DCF"/>
    <w:rsid w:val="00B10E40"/>
    <w:rsid w:val="00B10ED6"/>
    <w:rsid w:val="00B10F71"/>
    <w:rsid w:val="00B10FB4"/>
    <w:rsid w:val="00B10FE2"/>
    <w:rsid w:val="00B11014"/>
    <w:rsid w:val="00B11128"/>
    <w:rsid w:val="00B11137"/>
    <w:rsid w:val="00B11189"/>
    <w:rsid w:val="00B1124A"/>
    <w:rsid w:val="00B11265"/>
    <w:rsid w:val="00B11268"/>
    <w:rsid w:val="00B11270"/>
    <w:rsid w:val="00B112C0"/>
    <w:rsid w:val="00B112C7"/>
    <w:rsid w:val="00B113E7"/>
    <w:rsid w:val="00B1148B"/>
    <w:rsid w:val="00B114A5"/>
    <w:rsid w:val="00B114FA"/>
    <w:rsid w:val="00B11505"/>
    <w:rsid w:val="00B11588"/>
    <w:rsid w:val="00B11594"/>
    <w:rsid w:val="00B115B9"/>
    <w:rsid w:val="00B115FB"/>
    <w:rsid w:val="00B116B4"/>
    <w:rsid w:val="00B116DA"/>
    <w:rsid w:val="00B11767"/>
    <w:rsid w:val="00B117A2"/>
    <w:rsid w:val="00B117C9"/>
    <w:rsid w:val="00B1192D"/>
    <w:rsid w:val="00B1199E"/>
    <w:rsid w:val="00B11AAD"/>
    <w:rsid w:val="00B11B0B"/>
    <w:rsid w:val="00B11BA3"/>
    <w:rsid w:val="00B11C25"/>
    <w:rsid w:val="00B11C5F"/>
    <w:rsid w:val="00B11C64"/>
    <w:rsid w:val="00B11C75"/>
    <w:rsid w:val="00B11C82"/>
    <w:rsid w:val="00B11CC8"/>
    <w:rsid w:val="00B11D45"/>
    <w:rsid w:val="00B11D59"/>
    <w:rsid w:val="00B11D60"/>
    <w:rsid w:val="00B11DBB"/>
    <w:rsid w:val="00B11DE4"/>
    <w:rsid w:val="00B11E41"/>
    <w:rsid w:val="00B11E6F"/>
    <w:rsid w:val="00B11E96"/>
    <w:rsid w:val="00B11EA1"/>
    <w:rsid w:val="00B11ED0"/>
    <w:rsid w:val="00B11EF9"/>
    <w:rsid w:val="00B11EFA"/>
    <w:rsid w:val="00B11F1E"/>
    <w:rsid w:val="00B11F24"/>
    <w:rsid w:val="00B11F59"/>
    <w:rsid w:val="00B11F7D"/>
    <w:rsid w:val="00B1203B"/>
    <w:rsid w:val="00B12048"/>
    <w:rsid w:val="00B1205E"/>
    <w:rsid w:val="00B1206B"/>
    <w:rsid w:val="00B12095"/>
    <w:rsid w:val="00B1209E"/>
    <w:rsid w:val="00B1213F"/>
    <w:rsid w:val="00B12152"/>
    <w:rsid w:val="00B12186"/>
    <w:rsid w:val="00B121E7"/>
    <w:rsid w:val="00B12219"/>
    <w:rsid w:val="00B12270"/>
    <w:rsid w:val="00B12276"/>
    <w:rsid w:val="00B122DA"/>
    <w:rsid w:val="00B122DC"/>
    <w:rsid w:val="00B1240C"/>
    <w:rsid w:val="00B1241B"/>
    <w:rsid w:val="00B12437"/>
    <w:rsid w:val="00B12454"/>
    <w:rsid w:val="00B12498"/>
    <w:rsid w:val="00B12578"/>
    <w:rsid w:val="00B1257B"/>
    <w:rsid w:val="00B125AF"/>
    <w:rsid w:val="00B12659"/>
    <w:rsid w:val="00B12669"/>
    <w:rsid w:val="00B127B1"/>
    <w:rsid w:val="00B127C3"/>
    <w:rsid w:val="00B12898"/>
    <w:rsid w:val="00B128E6"/>
    <w:rsid w:val="00B1297A"/>
    <w:rsid w:val="00B1297C"/>
    <w:rsid w:val="00B129AD"/>
    <w:rsid w:val="00B129DB"/>
    <w:rsid w:val="00B12A55"/>
    <w:rsid w:val="00B12A67"/>
    <w:rsid w:val="00B12AA6"/>
    <w:rsid w:val="00B12ABD"/>
    <w:rsid w:val="00B12AD7"/>
    <w:rsid w:val="00B12B3A"/>
    <w:rsid w:val="00B12B8B"/>
    <w:rsid w:val="00B12C02"/>
    <w:rsid w:val="00B12C07"/>
    <w:rsid w:val="00B12C0D"/>
    <w:rsid w:val="00B12CA0"/>
    <w:rsid w:val="00B12D50"/>
    <w:rsid w:val="00B12D60"/>
    <w:rsid w:val="00B12D6F"/>
    <w:rsid w:val="00B12D74"/>
    <w:rsid w:val="00B12EAE"/>
    <w:rsid w:val="00B12F16"/>
    <w:rsid w:val="00B12F61"/>
    <w:rsid w:val="00B12FC6"/>
    <w:rsid w:val="00B12FD7"/>
    <w:rsid w:val="00B12FE5"/>
    <w:rsid w:val="00B1302E"/>
    <w:rsid w:val="00B13032"/>
    <w:rsid w:val="00B13053"/>
    <w:rsid w:val="00B1307A"/>
    <w:rsid w:val="00B13085"/>
    <w:rsid w:val="00B13099"/>
    <w:rsid w:val="00B130E4"/>
    <w:rsid w:val="00B13161"/>
    <w:rsid w:val="00B13182"/>
    <w:rsid w:val="00B1323A"/>
    <w:rsid w:val="00B1328D"/>
    <w:rsid w:val="00B13341"/>
    <w:rsid w:val="00B1334B"/>
    <w:rsid w:val="00B133E4"/>
    <w:rsid w:val="00B13405"/>
    <w:rsid w:val="00B13420"/>
    <w:rsid w:val="00B1346C"/>
    <w:rsid w:val="00B1351A"/>
    <w:rsid w:val="00B13582"/>
    <w:rsid w:val="00B135EC"/>
    <w:rsid w:val="00B13623"/>
    <w:rsid w:val="00B13675"/>
    <w:rsid w:val="00B136D1"/>
    <w:rsid w:val="00B136E0"/>
    <w:rsid w:val="00B1386C"/>
    <w:rsid w:val="00B13946"/>
    <w:rsid w:val="00B139B8"/>
    <w:rsid w:val="00B13A1F"/>
    <w:rsid w:val="00B13A30"/>
    <w:rsid w:val="00B13B1B"/>
    <w:rsid w:val="00B13B2F"/>
    <w:rsid w:val="00B13BC2"/>
    <w:rsid w:val="00B13BD7"/>
    <w:rsid w:val="00B13CC7"/>
    <w:rsid w:val="00B13CEB"/>
    <w:rsid w:val="00B13D17"/>
    <w:rsid w:val="00B13D4A"/>
    <w:rsid w:val="00B13D85"/>
    <w:rsid w:val="00B13DFC"/>
    <w:rsid w:val="00B13E1D"/>
    <w:rsid w:val="00B13E2F"/>
    <w:rsid w:val="00B13E72"/>
    <w:rsid w:val="00B13E7D"/>
    <w:rsid w:val="00B13E9E"/>
    <w:rsid w:val="00B13EFD"/>
    <w:rsid w:val="00B13FA9"/>
    <w:rsid w:val="00B13FCD"/>
    <w:rsid w:val="00B1402C"/>
    <w:rsid w:val="00B1402D"/>
    <w:rsid w:val="00B14148"/>
    <w:rsid w:val="00B14180"/>
    <w:rsid w:val="00B14188"/>
    <w:rsid w:val="00B141A3"/>
    <w:rsid w:val="00B1421B"/>
    <w:rsid w:val="00B14260"/>
    <w:rsid w:val="00B142EB"/>
    <w:rsid w:val="00B14306"/>
    <w:rsid w:val="00B1448B"/>
    <w:rsid w:val="00B14496"/>
    <w:rsid w:val="00B144C9"/>
    <w:rsid w:val="00B14611"/>
    <w:rsid w:val="00B14632"/>
    <w:rsid w:val="00B146E1"/>
    <w:rsid w:val="00B14772"/>
    <w:rsid w:val="00B14890"/>
    <w:rsid w:val="00B148DA"/>
    <w:rsid w:val="00B148DF"/>
    <w:rsid w:val="00B148E2"/>
    <w:rsid w:val="00B14A2F"/>
    <w:rsid w:val="00B14AB8"/>
    <w:rsid w:val="00B14B2C"/>
    <w:rsid w:val="00B14C00"/>
    <w:rsid w:val="00B14C2F"/>
    <w:rsid w:val="00B14CFE"/>
    <w:rsid w:val="00B14D18"/>
    <w:rsid w:val="00B14E2B"/>
    <w:rsid w:val="00B14ED3"/>
    <w:rsid w:val="00B14F7C"/>
    <w:rsid w:val="00B14FE8"/>
    <w:rsid w:val="00B1503B"/>
    <w:rsid w:val="00B15049"/>
    <w:rsid w:val="00B15059"/>
    <w:rsid w:val="00B150BB"/>
    <w:rsid w:val="00B150D5"/>
    <w:rsid w:val="00B150D8"/>
    <w:rsid w:val="00B15104"/>
    <w:rsid w:val="00B15168"/>
    <w:rsid w:val="00B15236"/>
    <w:rsid w:val="00B15277"/>
    <w:rsid w:val="00B1535F"/>
    <w:rsid w:val="00B15366"/>
    <w:rsid w:val="00B15387"/>
    <w:rsid w:val="00B1539F"/>
    <w:rsid w:val="00B154C7"/>
    <w:rsid w:val="00B1556F"/>
    <w:rsid w:val="00B15587"/>
    <w:rsid w:val="00B15595"/>
    <w:rsid w:val="00B156BC"/>
    <w:rsid w:val="00B15716"/>
    <w:rsid w:val="00B15733"/>
    <w:rsid w:val="00B157DE"/>
    <w:rsid w:val="00B158F1"/>
    <w:rsid w:val="00B15904"/>
    <w:rsid w:val="00B15908"/>
    <w:rsid w:val="00B159CD"/>
    <w:rsid w:val="00B159F7"/>
    <w:rsid w:val="00B15A16"/>
    <w:rsid w:val="00B15A39"/>
    <w:rsid w:val="00B15A3A"/>
    <w:rsid w:val="00B15AF2"/>
    <w:rsid w:val="00B15B0E"/>
    <w:rsid w:val="00B15B80"/>
    <w:rsid w:val="00B15CCD"/>
    <w:rsid w:val="00B15CE6"/>
    <w:rsid w:val="00B15CF4"/>
    <w:rsid w:val="00B15D32"/>
    <w:rsid w:val="00B15D52"/>
    <w:rsid w:val="00B15D5C"/>
    <w:rsid w:val="00B15E10"/>
    <w:rsid w:val="00B15E48"/>
    <w:rsid w:val="00B15EF1"/>
    <w:rsid w:val="00B15F4C"/>
    <w:rsid w:val="00B15F8C"/>
    <w:rsid w:val="00B15FEE"/>
    <w:rsid w:val="00B15FF4"/>
    <w:rsid w:val="00B1601B"/>
    <w:rsid w:val="00B16048"/>
    <w:rsid w:val="00B160D3"/>
    <w:rsid w:val="00B1616B"/>
    <w:rsid w:val="00B1619E"/>
    <w:rsid w:val="00B161B6"/>
    <w:rsid w:val="00B16216"/>
    <w:rsid w:val="00B1633D"/>
    <w:rsid w:val="00B16351"/>
    <w:rsid w:val="00B16363"/>
    <w:rsid w:val="00B1638F"/>
    <w:rsid w:val="00B163E2"/>
    <w:rsid w:val="00B16407"/>
    <w:rsid w:val="00B16518"/>
    <w:rsid w:val="00B16538"/>
    <w:rsid w:val="00B16556"/>
    <w:rsid w:val="00B16579"/>
    <w:rsid w:val="00B165CA"/>
    <w:rsid w:val="00B165FC"/>
    <w:rsid w:val="00B166CE"/>
    <w:rsid w:val="00B16718"/>
    <w:rsid w:val="00B1676E"/>
    <w:rsid w:val="00B1677C"/>
    <w:rsid w:val="00B167BC"/>
    <w:rsid w:val="00B16840"/>
    <w:rsid w:val="00B168EA"/>
    <w:rsid w:val="00B16909"/>
    <w:rsid w:val="00B16965"/>
    <w:rsid w:val="00B16A37"/>
    <w:rsid w:val="00B16A5C"/>
    <w:rsid w:val="00B16ADC"/>
    <w:rsid w:val="00B16B28"/>
    <w:rsid w:val="00B16B75"/>
    <w:rsid w:val="00B16BA4"/>
    <w:rsid w:val="00B16BC2"/>
    <w:rsid w:val="00B16BE5"/>
    <w:rsid w:val="00B16BFB"/>
    <w:rsid w:val="00B16C0B"/>
    <w:rsid w:val="00B16C24"/>
    <w:rsid w:val="00B16C3E"/>
    <w:rsid w:val="00B16D26"/>
    <w:rsid w:val="00B16D4B"/>
    <w:rsid w:val="00B16DE7"/>
    <w:rsid w:val="00B16F6A"/>
    <w:rsid w:val="00B16F87"/>
    <w:rsid w:val="00B170BD"/>
    <w:rsid w:val="00B170D8"/>
    <w:rsid w:val="00B17108"/>
    <w:rsid w:val="00B17119"/>
    <w:rsid w:val="00B1713F"/>
    <w:rsid w:val="00B17175"/>
    <w:rsid w:val="00B17251"/>
    <w:rsid w:val="00B1725F"/>
    <w:rsid w:val="00B17260"/>
    <w:rsid w:val="00B17280"/>
    <w:rsid w:val="00B17290"/>
    <w:rsid w:val="00B17318"/>
    <w:rsid w:val="00B17368"/>
    <w:rsid w:val="00B17458"/>
    <w:rsid w:val="00B174AC"/>
    <w:rsid w:val="00B174C0"/>
    <w:rsid w:val="00B17517"/>
    <w:rsid w:val="00B17597"/>
    <w:rsid w:val="00B17602"/>
    <w:rsid w:val="00B17606"/>
    <w:rsid w:val="00B17634"/>
    <w:rsid w:val="00B17685"/>
    <w:rsid w:val="00B176F7"/>
    <w:rsid w:val="00B17722"/>
    <w:rsid w:val="00B17737"/>
    <w:rsid w:val="00B17743"/>
    <w:rsid w:val="00B17773"/>
    <w:rsid w:val="00B17804"/>
    <w:rsid w:val="00B1784C"/>
    <w:rsid w:val="00B178AB"/>
    <w:rsid w:val="00B178E2"/>
    <w:rsid w:val="00B178ED"/>
    <w:rsid w:val="00B17910"/>
    <w:rsid w:val="00B1791E"/>
    <w:rsid w:val="00B17985"/>
    <w:rsid w:val="00B1799F"/>
    <w:rsid w:val="00B179FD"/>
    <w:rsid w:val="00B17A18"/>
    <w:rsid w:val="00B17A33"/>
    <w:rsid w:val="00B17A34"/>
    <w:rsid w:val="00B17A61"/>
    <w:rsid w:val="00B17AB6"/>
    <w:rsid w:val="00B17B09"/>
    <w:rsid w:val="00B17B25"/>
    <w:rsid w:val="00B17BA0"/>
    <w:rsid w:val="00B17C1B"/>
    <w:rsid w:val="00B17C36"/>
    <w:rsid w:val="00B17C78"/>
    <w:rsid w:val="00B17CA1"/>
    <w:rsid w:val="00B17D03"/>
    <w:rsid w:val="00B17D33"/>
    <w:rsid w:val="00B17D47"/>
    <w:rsid w:val="00B17D6F"/>
    <w:rsid w:val="00B17E92"/>
    <w:rsid w:val="00B17F42"/>
    <w:rsid w:val="00B17F44"/>
    <w:rsid w:val="00B17FB1"/>
    <w:rsid w:val="00B20065"/>
    <w:rsid w:val="00B200DF"/>
    <w:rsid w:val="00B200E1"/>
    <w:rsid w:val="00B201AB"/>
    <w:rsid w:val="00B20245"/>
    <w:rsid w:val="00B2025C"/>
    <w:rsid w:val="00B20290"/>
    <w:rsid w:val="00B20321"/>
    <w:rsid w:val="00B20349"/>
    <w:rsid w:val="00B2038E"/>
    <w:rsid w:val="00B203AF"/>
    <w:rsid w:val="00B203DD"/>
    <w:rsid w:val="00B20432"/>
    <w:rsid w:val="00B20497"/>
    <w:rsid w:val="00B204B0"/>
    <w:rsid w:val="00B20577"/>
    <w:rsid w:val="00B205AD"/>
    <w:rsid w:val="00B205ED"/>
    <w:rsid w:val="00B20607"/>
    <w:rsid w:val="00B20708"/>
    <w:rsid w:val="00B20715"/>
    <w:rsid w:val="00B207F7"/>
    <w:rsid w:val="00B20805"/>
    <w:rsid w:val="00B20824"/>
    <w:rsid w:val="00B20850"/>
    <w:rsid w:val="00B20871"/>
    <w:rsid w:val="00B2094C"/>
    <w:rsid w:val="00B20978"/>
    <w:rsid w:val="00B209E5"/>
    <w:rsid w:val="00B20AE1"/>
    <w:rsid w:val="00B20B45"/>
    <w:rsid w:val="00B20C24"/>
    <w:rsid w:val="00B20C29"/>
    <w:rsid w:val="00B20C3A"/>
    <w:rsid w:val="00B20CB6"/>
    <w:rsid w:val="00B20D01"/>
    <w:rsid w:val="00B20D5F"/>
    <w:rsid w:val="00B20DBB"/>
    <w:rsid w:val="00B20DD1"/>
    <w:rsid w:val="00B20E10"/>
    <w:rsid w:val="00B20E12"/>
    <w:rsid w:val="00B20F3E"/>
    <w:rsid w:val="00B20F83"/>
    <w:rsid w:val="00B20FF7"/>
    <w:rsid w:val="00B21025"/>
    <w:rsid w:val="00B210B8"/>
    <w:rsid w:val="00B210C9"/>
    <w:rsid w:val="00B210CA"/>
    <w:rsid w:val="00B2118E"/>
    <w:rsid w:val="00B211AD"/>
    <w:rsid w:val="00B211C5"/>
    <w:rsid w:val="00B211DB"/>
    <w:rsid w:val="00B21248"/>
    <w:rsid w:val="00B21296"/>
    <w:rsid w:val="00B212A8"/>
    <w:rsid w:val="00B212E7"/>
    <w:rsid w:val="00B21301"/>
    <w:rsid w:val="00B2131A"/>
    <w:rsid w:val="00B21380"/>
    <w:rsid w:val="00B21396"/>
    <w:rsid w:val="00B213FF"/>
    <w:rsid w:val="00B21428"/>
    <w:rsid w:val="00B2146D"/>
    <w:rsid w:val="00B214B7"/>
    <w:rsid w:val="00B214DB"/>
    <w:rsid w:val="00B21513"/>
    <w:rsid w:val="00B21533"/>
    <w:rsid w:val="00B215A0"/>
    <w:rsid w:val="00B215A8"/>
    <w:rsid w:val="00B215F7"/>
    <w:rsid w:val="00B21651"/>
    <w:rsid w:val="00B216E1"/>
    <w:rsid w:val="00B21741"/>
    <w:rsid w:val="00B2174E"/>
    <w:rsid w:val="00B217FE"/>
    <w:rsid w:val="00B218BC"/>
    <w:rsid w:val="00B218BF"/>
    <w:rsid w:val="00B21952"/>
    <w:rsid w:val="00B21965"/>
    <w:rsid w:val="00B21977"/>
    <w:rsid w:val="00B219BB"/>
    <w:rsid w:val="00B21A00"/>
    <w:rsid w:val="00B21A41"/>
    <w:rsid w:val="00B21A6B"/>
    <w:rsid w:val="00B21A75"/>
    <w:rsid w:val="00B21A9A"/>
    <w:rsid w:val="00B21B4D"/>
    <w:rsid w:val="00B21B6C"/>
    <w:rsid w:val="00B21BE4"/>
    <w:rsid w:val="00B21C15"/>
    <w:rsid w:val="00B21C4E"/>
    <w:rsid w:val="00B21C51"/>
    <w:rsid w:val="00B21D20"/>
    <w:rsid w:val="00B21D6D"/>
    <w:rsid w:val="00B21DBB"/>
    <w:rsid w:val="00B21E28"/>
    <w:rsid w:val="00B21E5B"/>
    <w:rsid w:val="00B21E96"/>
    <w:rsid w:val="00B21ECA"/>
    <w:rsid w:val="00B21ED9"/>
    <w:rsid w:val="00B21F29"/>
    <w:rsid w:val="00B21F3C"/>
    <w:rsid w:val="00B21F99"/>
    <w:rsid w:val="00B21FBA"/>
    <w:rsid w:val="00B21FD4"/>
    <w:rsid w:val="00B21FE2"/>
    <w:rsid w:val="00B2205C"/>
    <w:rsid w:val="00B2208A"/>
    <w:rsid w:val="00B22119"/>
    <w:rsid w:val="00B221C7"/>
    <w:rsid w:val="00B221F8"/>
    <w:rsid w:val="00B2226B"/>
    <w:rsid w:val="00B2228D"/>
    <w:rsid w:val="00B222BC"/>
    <w:rsid w:val="00B222E5"/>
    <w:rsid w:val="00B2246E"/>
    <w:rsid w:val="00B224A6"/>
    <w:rsid w:val="00B224C8"/>
    <w:rsid w:val="00B224EA"/>
    <w:rsid w:val="00B22533"/>
    <w:rsid w:val="00B225B6"/>
    <w:rsid w:val="00B225D8"/>
    <w:rsid w:val="00B22629"/>
    <w:rsid w:val="00B22660"/>
    <w:rsid w:val="00B22693"/>
    <w:rsid w:val="00B2270F"/>
    <w:rsid w:val="00B2274C"/>
    <w:rsid w:val="00B227FC"/>
    <w:rsid w:val="00B22814"/>
    <w:rsid w:val="00B22873"/>
    <w:rsid w:val="00B22877"/>
    <w:rsid w:val="00B228B3"/>
    <w:rsid w:val="00B228D6"/>
    <w:rsid w:val="00B228F1"/>
    <w:rsid w:val="00B228FE"/>
    <w:rsid w:val="00B229AA"/>
    <w:rsid w:val="00B22A4A"/>
    <w:rsid w:val="00B22A74"/>
    <w:rsid w:val="00B22A76"/>
    <w:rsid w:val="00B22AE2"/>
    <w:rsid w:val="00B22AFA"/>
    <w:rsid w:val="00B22AFE"/>
    <w:rsid w:val="00B22B06"/>
    <w:rsid w:val="00B22B2C"/>
    <w:rsid w:val="00B22B41"/>
    <w:rsid w:val="00B22BA9"/>
    <w:rsid w:val="00B22C05"/>
    <w:rsid w:val="00B22C1E"/>
    <w:rsid w:val="00B22C51"/>
    <w:rsid w:val="00B22C54"/>
    <w:rsid w:val="00B22CDE"/>
    <w:rsid w:val="00B22CFC"/>
    <w:rsid w:val="00B22D44"/>
    <w:rsid w:val="00B22D7D"/>
    <w:rsid w:val="00B22D95"/>
    <w:rsid w:val="00B22E35"/>
    <w:rsid w:val="00B22E88"/>
    <w:rsid w:val="00B22E91"/>
    <w:rsid w:val="00B22F20"/>
    <w:rsid w:val="00B23088"/>
    <w:rsid w:val="00B230F0"/>
    <w:rsid w:val="00B2312A"/>
    <w:rsid w:val="00B231AC"/>
    <w:rsid w:val="00B231B9"/>
    <w:rsid w:val="00B231CB"/>
    <w:rsid w:val="00B23277"/>
    <w:rsid w:val="00B23281"/>
    <w:rsid w:val="00B23298"/>
    <w:rsid w:val="00B232F5"/>
    <w:rsid w:val="00B233D4"/>
    <w:rsid w:val="00B234B2"/>
    <w:rsid w:val="00B234F7"/>
    <w:rsid w:val="00B23508"/>
    <w:rsid w:val="00B2351A"/>
    <w:rsid w:val="00B23578"/>
    <w:rsid w:val="00B23582"/>
    <w:rsid w:val="00B235A1"/>
    <w:rsid w:val="00B2361C"/>
    <w:rsid w:val="00B2367A"/>
    <w:rsid w:val="00B23688"/>
    <w:rsid w:val="00B236CC"/>
    <w:rsid w:val="00B236F2"/>
    <w:rsid w:val="00B236F3"/>
    <w:rsid w:val="00B2370D"/>
    <w:rsid w:val="00B2371A"/>
    <w:rsid w:val="00B2384B"/>
    <w:rsid w:val="00B23870"/>
    <w:rsid w:val="00B23902"/>
    <w:rsid w:val="00B23925"/>
    <w:rsid w:val="00B23984"/>
    <w:rsid w:val="00B23AA3"/>
    <w:rsid w:val="00B23AAB"/>
    <w:rsid w:val="00B23AB4"/>
    <w:rsid w:val="00B23C03"/>
    <w:rsid w:val="00B23C0E"/>
    <w:rsid w:val="00B23C3A"/>
    <w:rsid w:val="00B23CE4"/>
    <w:rsid w:val="00B23D02"/>
    <w:rsid w:val="00B23D23"/>
    <w:rsid w:val="00B23D2A"/>
    <w:rsid w:val="00B23D68"/>
    <w:rsid w:val="00B23D9C"/>
    <w:rsid w:val="00B23DB5"/>
    <w:rsid w:val="00B23E9D"/>
    <w:rsid w:val="00B23EC0"/>
    <w:rsid w:val="00B23F6A"/>
    <w:rsid w:val="00B23F92"/>
    <w:rsid w:val="00B23FA9"/>
    <w:rsid w:val="00B23FD9"/>
    <w:rsid w:val="00B24002"/>
    <w:rsid w:val="00B24020"/>
    <w:rsid w:val="00B24077"/>
    <w:rsid w:val="00B24086"/>
    <w:rsid w:val="00B240BB"/>
    <w:rsid w:val="00B240C1"/>
    <w:rsid w:val="00B24174"/>
    <w:rsid w:val="00B24176"/>
    <w:rsid w:val="00B24333"/>
    <w:rsid w:val="00B2438C"/>
    <w:rsid w:val="00B2442A"/>
    <w:rsid w:val="00B24466"/>
    <w:rsid w:val="00B24498"/>
    <w:rsid w:val="00B2450C"/>
    <w:rsid w:val="00B24527"/>
    <w:rsid w:val="00B24530"/>
    <w:rsid w:val="00B2457E"/>
    <w:rsid w:val="00B24583"/>
    <w:rsid w:val="00B245C8"/>
    <w:rsid w:val="00B246C2"/>
    <w:rsid w:val="00B2472D"/>
    <w:rsid w:val="00B2477C"/>
    <w:rsid w:val="00B24783"/>
    <w:rsid w:val="00B247DF"/>
    <w:rsid w:val="00B248FC"/>
    <w:rsid w:val="00B24903"/>
    <w:rsid w:val="00B249B8"/>
    <w:rsid w:val="00B24ABB"/>
    <w:rsid w:val="00B24B0E"/>
    <w:rsid w:val="00B24B13"/>
    <w:rsid w:val="00B24B22"/>
    <w:rsid w:val="00B24B31"/>
    <w:rsid w:val="00B24B62"/>
    <w:rsid w:val="00B24B80"/>
    <w:rsid w:val="00B24B91"/>
    <w:rsid w:val="00B24B9E"/>
    <w:rsid w:val="00B24BDF"/>
    <w:rsid w:val="00B24C2E"/>
    <w:rsid w:val="00B24CD6"/>
    <w:rsid w:val="00B24CF2"/>
    <w:rsid w:val="00B24D6B"/>
    <w:rsid w:val="00B24E2E"/>
    <w:rsid w:val="00B24E4B"/>
    <w:rsid w:val="00B24F3B"/>
    <w:rsid w:val="00B24F69"/>
    <w:rsid w:val="00B24FA6"/>
    <w:rsid w:val="00B25014"/>
    <w:rsid w:val="00B25022"/>
    <w:rsid w:val="00B2504F"/>
    <w:rsid w:val="00B25054"/>
    <w:rsid w:val="00B2506B"/>
    <w:rsid w:val="00B25095"/>
    <w:rsid w:val="00B250AE"/>
    <w:rsid w:val="00B25101"/>
    <w:rsid w:val="00B2519A"/>
    <w:rsid w:val="00B251AB"/>
    <w:rsid w:val="00B25237"/>
    <w:rsid w:val="00B25443"/>
    <w:rsid w:val="00B2549D"/>
    <w:rsid w:val="00B254C2"/>
    <w:rsid w:val="00B256BC"/>
    <w:rsid w:val="00B256E1"/>
    <w:rsid w:val="00B2573D"/>
    <w:rsid w:val="00B257AC"/>
    <w:rsid w:val="00B25939"/>
    <w:rsid w:val="00B25965"/>
    <w:rsid w:val="00B259A4"/>
    <w:rsid w:val="00B259B5"/>
    <w:rsid w:val="00B259F1"/>
    <w:rsid w:val="00B25A1A"/>
    <w:rsid w:val="00B25A1B"/>
    <w:rsid w:val="00B25A31"/>
    <w:rsid w:val="00B25A51"/>
    <w:rsid w:val="00B25B93"/>
    <w:rsid w:val="00B25B95"/>
    <w:rsid w:val="00B25BC4"/>
    <w:rsid w:val="00B25C20"/>
    <w:rsid w:val="00B25C96"/>
    <w:rsid w:val="00B25CBF"/>
    <w:rsid w:val="00B25CE1"/>
    <w:rsid w:val="00B25CEB"/>
    <w:rsid w:val="00B25D14"/>
    <w:rsid w:val="00B25D72"/>
    <w:rsid w:val="00B25E66"/>
    <w:rsid w:val="00B25E92"/>
    <w:rsid w:val="00B25ECA"/>
    <w:rsid w:val="00B25EDC"/>
    <w:rsid w:val="00B25EF7"/>
    <w:rsid w:val="00B25F02"/>
    <w:rsid w:val="00B25F82"/>
    <w:rsid w:val="00B25F8A"/>
    <w:rsid w:val="00B2607D"/>
    <w:rsid w:val="00B260A2"/>
    <w:rsid w:val="00B260A6"/>
    <w:rsid w:val="00B261B6"/>
    <w:rsid w:val="00B26254"/>
    <w:rsid w:val="00B262E0"/>
    <w:rsid w:val="00B2637E"/>
    <w:rsid w:val="00B2638A"/>
    <w:rsid w:val="00B263A6"/>
    <w:rsid w:val="00B263BE"/>
    <w:rsid w:val="00B26406"/>
    <w:rsid w:val="00B264EA"/>
    <w:rsid w:val="00B264FE"/>
    <w:rsid w:val="00B26604"/>
    <w:rsid w:val="00B266B1"/>
    <w:rsid w:val="00B266ED"/>
    <w:rsid w:val="00B26755"/>
    <w:rsid w:val="00B26884"/>
    <w:rsid w:val="00B26973"/>
    <w:rsid w:val="00B269EB"/>
    <w:rsid w:val="00B26A2C"/>
    <w:rsid w:val="00B26A4C"/>
    <w:rsid w:val="00B26A63"/>
    <w:rsid w:val="00B26A98"/>
    <w:rsid w:val="00B26AD8"/>
    <w:rsid w:val="00B26C61"/>
    <w:rsid w:val="00B26D42"/>
    <w:rsid w:val="00B26D48"/>
    <w:rsid w:val="00B26DD7"/>
    <w:rsid w:val="00B26E63"/>
    <w:rsid w:val="00B26F23"/>
    <w:rsid w:val="00B26FCD"/>
    <w:rsid w:val="00B2703B"/>
    <w:rsid w:val="00B27060"/>
    <w:rsid w:val="00B27078"/>
    <w:rsid w:val="00B27085"/>
    <w:rsid w:val="00B270E9"/>
    <w:rsid w:val="00B2724A"/>
    <w:rsid w:val="00B27270"/>
    <w:rsid w:val="00B27302"/>
    <w:rsid w:val="00B2736F"/>
    <w:rsid w:val="00B273C9"/>
    <w:rsid w:val="00B273D0"/>
    <w:rsid w:val="00B273FA"/>
    <w:rsid w:val="00B274B9"/>
    <w:rsid w:val="00B2750B"/>
    <w:rsid w:val="00B275D1"/>
    <w:rsid w:val="00B2760F"/>
    <w:rsid w:val="00B2762A"/>
    <w:rsid w:val="00B27654"/>
    <w:rsid w:val="00B27656"/>
    <w:rsid w:val="00B27688"/>
    <w:rsid w:val="00B276AB"/>
    <w:rsid w:val="00B277E1"/>
    <w:rsid w:val="00B277E3"/>
    <w:rsid w:val="00B27815"/>
    <w:rsid w:val="00B2786B"/>
    <w:rsid w:val="00B278C8"/>
    <w:rsid w:val="00B278EE"/>
    <w:rsid w:val="00B27937"/>
    <w:rsid w:val="00B27942"/>
    <w:rsid w:val="00B27982"/>
    <w:rsid w:val="00B279AF"/>
    <w:rsid w:val="00B279E8"/>
    <w:rsid w:val="00B279F1"/>
    <w:rsid w:val="00B27A1C"/>
    <w:rsid w:val="00B27A73"/>
    <w:rsid w:val="00B27A92"/>
    <w:rsid w:val="00B27B09"/>
    <w:rsid w:val="00B27B8D"/>
    <w:rsid w:val="00B27BFF"/>
    <w:rsid w:val="00B27C1D"/>
    <w:rsid w:val="00B27C38"/>
    <w:rsid w:val="00B27D6E"/>
    <w:rsid w:val="00B27E81"/>
    <w:rsid w:val="00B27E8A"/>
    <w:rsid w:val="00B27EA8"/>
    <w:rsid w:val="00B27F57"/>
    <w:rsid w:val="00B27F92"/>
    <w:rsid w:val="00B27FAC"/>
    <w:rsid w:val="00B301A2"/>
    <w:rsid w:val="00B301C8"/>
    <w:rsid w:val="00B30246"/>
    <w:rsid w:val="00B3030E"/>
    <w:rsid w:val="00B30363"/>
    <w:rsid w:val="00B3040B"/>
    <w:rsid w:val="00B30425"/>
    <w:rsid w:val="00B30435"/>
    <w:rsid w:val="00B3043B"/>
    <w:rsid w:val="00B30489"/>
    <w:rsid w:val="00B306AB"/>
    <w:rsid w:val="00B306BB"/>
    <w:rsid w:val="00B3073D"/>
    <w:rsid w:val="00B30759"/>
    <w:rsid w:val="00B30931"/>
    <w:rsid w:val="00B3093C"/>
    <w:rsid w:val="00B30946"/>
    <w:rsid w:val="00B3098E"/>
    <w:rsid w:val="00B309A1"/>
    <w:rsid w:val="00B30A6B"/>
    <w:rsid w:val="00B30A91"/>
    <w:rsid w:val="00B30A92"/>
    <w:rsid w:val="00B30A9B"/>
    <w:rsid w:val="00B30ACA"/>
    <w:rsid w:val="00B30B1E"/>
    <w:rsid w:val="00B30CC7"/>
    <w:rsid w:val="00B30E42"/>
    <w:rsid w:val="00B30ED6"/>
    <w:rsid w:val="00B30F31"/>
    <w:rsid w:val="00B30F49"/>
    <w:rsid w:val="00B30F5B"/>
    <w:rsid w:val="00B30F83"/>
    <w:rsid w:val="00B30FD1"/>
    <w:rsid w:val="00B30FD9"/>
    <w:rsid w:val="00B30FDD"/>
    <w:rsid w:val="00B30FEF"/>
    <w:rsid w:val="00B31006"/>
    <w:rsid w:val="00B3110A"/>
    <w:rsid w:val="00B3111B"/>
    <w:rsid w:val="00B31133"/>
    <w:rsid w:val="00B31271"/>
    <w:rsid w:val="00B3127E"/>
    <w:rsid w:val="00B3128E"/>
    <w:rsid w:val="00B312BC"/>
    <w:rsid w:val="00B31343"/>
    <w:rsid w:val="00B3135A"/>
    <w:rsid w:val="00B31387"/>
    <w:rsid w:val="00B313D8"/>
    <w:rsid w:val="00B314A3"/>
    <w:rsid w:val="00B314FD"/>
    <w:rsid w:val="00B3153F"/>
    <w:rsid w:val="00B31567"/>
    <w:rsid w:val="00B3159F"/>
    <w:rsid w:val="00B315FB"/>
    <w:rsid w:val="00B31672"/>
    <w:rsid w:val="00B31691"/>
    <w:rsid w:val="00B31703"/>
    <w:rsid w:val="00B317EF"/>
    <w:rsid w:val="00B31844"/>
    <w:rsid w:val="00B31881"/>
    <w:rsid w:val="00B31887"/>
    <w:rsid w:val="00B31966"/>
    <w:rsid w:val="00B31998"/>
    <w:rsid w:val="00B319C6"/>
    <w:rsid w:val="00B31A15"/>
    <w:rsid w:val="00B31A48"/>
    <w:rsid w:val="00B31A4E"/>
    <w:rsid w:val="00B31B7C"/>
    <w:rsid w:val="00B31BFB"/>
    <w:rsid w:val="00B31C31"/>
    <w:rsid w:val="00B31D7B"/>
    <w:rsid w:val="00B31D99"/>
    <w:rsid w:val="00B31E21"/>
    <w:rsid w:val="00B31E2F"/>
    <w:rsid w:val="00B31E61"/>
    <w:rsid w:val="00B31ED7"/>
    <w:rsid w:val="00B3206B"/>
    <w:rsid w:val="00B32076"/>
    <w:rsid w:val="00B3207F"/>
    <w:rsid w:val="00B3213C"/>
    <w:rsid w:val="00B32173"/>
    <w:rsid w:val="00B3225D"/>
    <w:rsid w:val="00B32311"/>
    <w:rsid w:val="00B32312"/>
    <w:rsid w:val="00B32324"/>
    <w:rsid w:val="00B3236E"/>
    <w:rsid w:val="00B323C9"/>
    <w:rsid w:val="00B323E2"/>
    <w:rsid w:val="00B32422"/>
    <w:rsid w:val="00B3242B"/>
    <w:rsid w:val="00B32441"/>
    <w:rsid w:val="00B3244D"/>
    <w:rsid w:val="00B324C3"/>
    <w:rsid w:val="00B32561"/>
    <w:rsid w:val="00B325BE"/>
    <w:rsid w:val="00B3260E"/>
    <w:rsid w:val="00B3267E"/>
    <w:rsid w:val="00B32683"/>
    <w:rsid w:val="00B326B7"/>
    <w:rsid w:val="00B3271C"/>
    <w:rsid w:val="00B32739"/>
    <w:rsid w:val="00B32771"/>
    <w:rsid w:val="00B32774"/>
    <w:rsid w:val="00B327B6"/>
    <w:rsid w:val="00B32860"/>
    <w:rsid w:val="00B328BB"/>
    <w:rsid w:val="00B328F6"/>
    <w:rsid w:val="00B32964"/>
    <w:rsid w:val="00B329A3"/>
    <w:rsid w:val="00B32AB7"/>
    <w:rsid w:val="00B32BA1"/>
    <w:rsid w:val="00B32BEA"/>
    <w:rsid w:val="00B32C08"/>
    <w:rsid w:val="00B32C93"/>
    <w:rsid w:val="00B32CFC"/>
    <w:rsid w:val="00B32D75"/>
    <w:rsid w:val="00B32E5F"/>
    <w:rsid w:val="00B32E9E"/>
    <w:rsid w:val="00B32EBA"/>
    <w:rsid w:val="00B32F79"/>
    <w:rsid w:val="00B32FDC"/>
    <w:rsid w:val="00B32FEA"/>
    <w:rsid w:val="00B33012"/>
    <w:rsid w:val="00B33141"/>
    <w:rsid w:val="00B33152"/>
    <w:rsid w:val="00B3320B"/>
    <w:rsid w:val="00B33216"/>
    <w:rsid w:val="00B33227"/>
    <w:rsid w:val="00B332D1"/>
    <w:rsid w:val="00B3346F"/>
    <w:rsid w:val="00B3351A"/>
    <w:rsid w:val="00B33534"/>
    <w:rsid w:val="00B33568"/>
    <w:rsid w:val="00B33591"/>
    <w:rsid w:val="00B335EF"/>
    <w:rsid w:val="00B3361F"/>
    <w:rsid w:val="00B33656"/>
    <w:rsid w:val="00B336F1"/>
    <w:rsid w:val="00B3373E"/>
    <w:rsid w:val="00B33746"/>
    <w:rsid w:val="00B337FB"/>
    <w:rsid w:val="00B337FD"/>
    <w:rsid w:val="00B3384E"/>
    <w:rsid w:val="00B3389E"/>
    <w:rsid w:val="00B33977"/>
    <w:rsid w:val="00B33A34"/>
    <w:rsid w:val="00B33B14"/>
    <w:rsid w:val="00B33B61"/>
    <w:rsid w:val="00B33BB4"/>
    <w:rsid w:val="00B33C41"/>
    <w:rsid w:val="00B33CD4"/>
    <w:rsid w:val="00B33CDB"/>
    <w:rsid w:val="00B33D07"/>
    <w:rsid w:val="00B33D34"/>
    <w:rsid w:val="00B33D4D"/>
    <w:rsid w:val="00B33D87"/>
    <w:rsid w:val="00B33DDC"/>
    <w:rsid w:val="00B33DF0"/>
    <w:rsid w:val="00B33E04"/>
    <w:rsid w:val="00B33E38"/>
    <w:rsid w:val="00B33E48"/>
    <w:rsid w:val="00B33E51"/>
    <w:rsid w:val="00B33E73"/>
    <w:rsid w:val="00B33E91"/>
    <w:rsid w:val="00B33F20"/>
    <w:rsid w:val="00B33F55"/>
    <w:rsid w:val="00B33F58"/>
    <w:rsid w:val="00B33F81"/>
    <w:rsid w:val="00B340DC"/>
    <w:rsid w:val="00B34114"/>
    <w:rsid w:val="00B34213"/>
    <w:rsid w:val="00B3424F"/>
    <w:rsid w:val="00B34287"/>
    <w:rsid w:val="00B3428C"/>
    <w:rsid w:val="00B34296"/>
    <w:rsid w:val="00B34299"/>
    <w:rsid w:val="00B34350"/>
    <w:rsid w:val="00B3435B"/>
    <w:rsid w:val="00B343FE"/>
    <w:rsid w:val="00B34466"/>
    <w:rsid w:val="00B344A0"/>
    <w:rsid w:val="00B344C1"/>
    <w:rsid w:val="00B344E5"/>
    <w:rsid w:val="00B3451A"/>
    <w:rsid w:val="00B34564"/>
    <w:rsid w:val="00B345F7"/>
    <w:rsid w:val="00B345F9"/>
    <w:rsid w:val="00B34638"/>
    <w:rsid w:val="00B3463A"/>
    <w:rsid w:val="00B34687"/>
    <w:rsid w:val="00B346DD"/>
    <w:rsid w:val="00B34757"/>
    <w:rsid w:val="00B3476E"/>
    <w:rsid w:val="00B34771"/>
    <w:rsid w:val="00B3477F"/>
    <w:rsid w:val="00B348AD"/>
    <w:rsid w:val="00B348E1"/>
    <w:rsid w:val="00B34A8F"/>
    <w:rsid w:val="00B34A9F"/>
    <w:rsid w:val="00B34ADE"/>
    <w:rsid w:val="00B34CAF"/>
    <w:rsid w:val="00B34CC8"/>
    <w:rsid w:val="00B34CF8"/>
    <w:rsid w:val="00B34CF9"/>
    <w:rsid w:val="00B34D13"/>
    <w:rsid w:val="00B34D76"/>
    <w:rsid w:val="00B34DAD"/>
    <w:rsid w:val="00B34DC3"/>
    <w:rsid w:val="00B34DC7"/>
    <w:rsid w:val="00B34F14"/>
    <w:rsid w:val="00B34F34"/>
    <w:rsid w:val="00B34F88"/>
    <w:rsid w:val="00B34FDA"/>
    <w:rsid w:val="00B3502B"/>
    <w:rsid w:val="00B350A6"/>
    <w:rsid w:val="00B350C2"/>
    <w:rsid w:val="00B350C3"/>
    <w:rsid w:val="00B351A5"/>
    <w:rsid w:val="00B3524C"/>
    <w:rsid w:val="00B35350"/>
    <w:rsid w:val="00B353F3"/>
    <w:rsid w:val="00B35418"/>
    <w:rsid w:val="00B3548C"/>
    <w:rsid w:val="00B35496"/>
    <w:rsid w:val="00B3549D"/>
    <w:rsid w:val="00B354E9"/>
    <w:rsid w:val="00B35527"/>
    <w:rsid w:val="00B3557B"/>
    <w:rsid w:val="00B35629"/>
    <w:rsid w:val="00B35635"/>
    <w:rsid w:val="00B3563B"/>
    <w:rsid w:val="00B35673"/>
    <w:rsid w:val="00B356DA"/>
    <w:rsid w:val="00B356E1"/>
    <w:rsid w:val="00B3574D"/>
    <w:rsid w:val="00B357AA"/>
    <w:rsid w:val="00B357D5"/>
    <w:rsid w:val="00B357F4"/>
    <w:rsid w:val="00B3587A"/>
    <w:rsid w:val="00B35913"/>
    <w:rsid w:val="00B35940"/>
    <w:rsid w:val="00B35A29"/>
    <w:rsid w:val="00B35A45"/>
    <w:rsid w:val="00B35A70"/>
    <w:rsid w:val="00B35A9F"/>
    <w:rsid w:val="00B35AAC"/>
    <w:rsid w:val="00B35B5E"/>
    <w:rsid w:val="00B35B62"/>
    <w:rsid w:val="00B35B8E"/>
    <w:rsid w:val="00B35B98"/>
    <w:rsid w:val="00B35C04"/>
    <w:rsid w:val="00B35CBA"/>
    <w:rsid w:val="00B35CC2"/>
    <w:rsid w:val="00B35D18"/>
    <w:rsid w:val="00B35D2B"/>
    <w:rsid w:val="00B35DB9"/>
    <w:rsid w:val="00B35DC9"/>
    <w:rsid w:val="00B35DD9"/>
    <w:rsid w:val="00B35E0D"/>
    <w:rsid w:val="00B35EAD"/>
    <w:rsid w:val="00B35EC6"/>
    <w:rsid w:val="00B35F2A"/>
    <w:rsid w:val="00B35F8B"/>
    <w:rsid w:val="00B35FBE"/>
    <w:rsid w:val="00B35FDC"/>
    <w:rsid w:val="00B36068"/>
    <w:rsid w:val="00B3611C"/>
    <w:rsid w:val="00B36264"/>
    <w:rsid w:val="00B36277"/>
    <w:rsid w:val="00B3635F"/>
    <w:rsid w:val="00B364EB"/>
    <w:rsid w:val="00B36531"/>
    <w:rsid w:val="00B36724"/>
    <w:rsid w:val="00B36795"/>
    <w:rsid w:val="00B367DA"/>
    <w:rsid w:val="00B367F3"/>
    <w:rsid w:val="00B36883"/>
    <w:rsid w:val="00B36887"/>
    <w:rsid w:val="00B368B6"/>
    <w:rsid w:val="00B36902"/>
    <w:rsid w:val="00B3691A"/>
    <w:rsid w:val="00B3691F"/>
    <w:rsid w:val="00B369A4"/>
    <w:rsid w:val="00B369E1"/>
    <w:rsid w:val="00B369FE"/>
    <w:rsid w:val="00B36AC4"/>
    <w:rsid w:val="00B36B1A"/>
    <w:rsid w:val="00B36B79"/>
    <w:rsid w:val="00B36BCF"/>
    <w:rsid w:val="00B36BDC"/>
    <w:rsid w:val="00B36C2B"/>
    <w:rsid w:val="00B36D66"/>
    <w:rsid w:val="00B36DE4"/>
    <w:rsid w:val="00B36E6C"/>
    <w:rsid w:val="00B36E81"/>
    <w:rsid w:val="00B36EDE"/>
    <w:rsid w:val="00B36F2F"/>
    <w:rsid w:val="00B36F5E"/>
    <w:rsid w:val="00B36FAF"/>
    <w:rsid w:val="00B36FD1"/>
    <w:rsid w:val="00B36FE9"/>
    <w:rsid w:val="00B36FFF"/>
    <w:rsid w:val="00B37016"/>
    <w:rsid w:val="00B370A5"/>
    <w:rsid w:val="00B370BD"/>
    <w:rsid w:val="00B37110"/>
    <w:rsid w:val="00B37122"/>
    <w:rsid w:val="00B371FE"/>
    <w:rsid w:val="00B3733C"/>
    <w:rsid w:val="00B37381"/>
    <w:rsid w:val="00B373B3"/>
    <w:rsid w:val="00B37406"/>
    <w:rsid w:val="00B37440"/>
    <w:rsid w:val="00B37510"/>
    <w:rsid w:val="00B3754C"/>
    <w:rsid w:val="00B375F6"/>
    <w:rsid w:val="00B37646"/>
    <w:rsid w:val="00B376C4"/>
    <w:rsid w:val="00B376F1"/>
    <w:rsid w:val="00B37717"/>
    <w:rsid w:val="00B377A2"/>
    <w:rsid w:val="00B37856"/>
    <w:rsid w:val="00B378B1"/>
    <w:rsid w:val="00B378E7"/>
    <w:rsid w:val="00B37905"/>
    <w:rsid w:val="00B37919"/>
    <w:rsid w:val="00B37942"/>
    <w:rsid w:val="00B37997"/>
    <w:rsid w:val="00B37A8E"/>
    <w:rsid w:val="00B37B26"/>
    <w:rsid w:val="00B37B56"/>
    <w:rsid w:val="00B37B83"/>
    <w:rsid w:val="00B37BF5"/>
    <w:rsid w:val="00B37BF9"/>
    <w:rsid w:val="00B37C52"/>
    <w:rsid w:val="00B37C88"/>
    <w:rsid w:val="00B37C97"/>
    <w:rsid w:val="00B37D19"/>
    <w:rsid w:val="00B37D2B"/>
    <w:rsid w:val="00B37DAB"/>
    <w:rsid w:val="00B37E02"/>
    <w:rsid w:val="00B37EB6"/>
    <w:rsid w:val="00B37ED9"/>
    <w:rsid w:val="00B37F15"/>
    <w:rsid w:val="00B37F73"/>
    <w:rsid w:val="00B37F8C"/>
    <w:rsid w:val="00B37FB2"/>
    <w:rsid w:val="00B40160"/>
    <w:rsid w:val="00B40162"/>
    <w:rsid w:val="00B40251"/>
    <w:rsid w:val="00B40289"/>
    <w:rsid w:val="00B4028A"/>
    <w:rsid w:val="00B402BC"/>
    <w:rsid w:val="00B4030E"/>
    <w:rsid w:val="00B4031A"/>
    <w:rsid w:val="00B4033A"/>
    <w:rsid w:val="00B40362"/>
    <w:rsid w:val="00B403B3"/>
    <w:rsid w:val="00B4040E"/>
    <w:rsid w:val="00B4044A"/>
    <w:rsid w:val="00B4046B"/>
    <w:rsid w:val="00B404EA"/>
    <w:rsid w:val="00B4051B"/>
    <w:rsid w:val="00B405C3"/>
    <w:rsid w:val="00B405D2"/>
    <w:rsid w:val="00B40643"/>
    <w:rsid w:val="00B4068A"/>
    <w:rsid w:val="00B40694"/>
    <w:rsid w:val="00B406D7"/>
    <w:rsid w:val="00B40792"/>
    <w:rsid w:val="00B40837"/>
    <w:rsid w:val="00B40874"/>
    <w:rsid w:val="00B4090C"/>
    <w:rsid w:val="00B40939"/>
    <w:rsid w:val="00B40994"/>
    <w:rsid w:val="00B40A12"/>
    <w:rsid w:val="00B40A33"/>
    <w:rsid w:val="00B40A92"/>
    <w:rsid w:val="00B40AA9"/>
    <w:rsid w:val="00B40AF7"/>
    <w:rsid w:val="00B40B23"/>
    <w:rsid w:val="00B40BC6"/>
    <w:rsid w:val="00B40C08"/>
    <w:rsid w:val="00B40C30"/>
    <w:rsid w:val="00B40CAE"/>
    <w:rsid w:val="00B40CF0"/>
    <w:rsid w:val="00B40D98"/>
    <w:rsid w:val="00B40DC0"/>
    <w:rsid w:val="00B40E01"/>
    <w:rsid w:val="00B40E6A"/>
    <w:rsid w:val="00B40EDD"/>
    <w:rsid w:val="00B40F6F"/>
    <w:rsid w:val="00B40FDA"/>
    <w:rsid w:val="00B41018"/>
    <w:rsid w:val="00B4104D"/>
    <w:rsid w:val="00B41082"/>
    <w:rsid w:val="00B4116A"/>
    <w:rsid w:val="00B41208"/>
    <w:rsid w:val="00B4122C"/>
    <w:rsid w:val="00B4124C"/>
    <w:rsid w:val="00B4125B"/>
    <w:rsid w:val="00B41263"/>
    <w:rsid w:val="00B4126B"/>
    <w:rsid w:val="00B41282"/>
    <w:rsid w:val="00B41393"/>
    <w:rsid w:val="00B41429"/>
    <w:rsid w:val="00B41448"/>
    <w:rsid w:val="00B4146E"/>
    <w:rsid w:val="00B41477"/>
    <w:rsid w:val="00B41497"/>
    <w:rsid w:val="00B414D7"/>
    <w:rsid w:val="00B414E6"/>
    <w:rsid w:val="00B41524"/>
    <w:rsid w:val="00B41560"/>
    <w:rsid w:val="00B415B7"/>
    <w:rsid w:val="00B415BF"/>
    <w:rsid w:val="00B4166C"/>
    <w:rsid w:val="00B41680"/>
    <w:rsid w:val="00B416A4"/>
    <w:rsid w:val="00B4178F"/>
    <w:rsid w:val="00B417D9"/>
    <w:rsid w:val="00B418E8"/>
    <w:rsid w:val="00B4191F"/>
    <w:rsid w:val="00B4194D"/>
    <w:rsid w:val="00B419A3"/>
    <w:rsid w:val="00B419E1"/>
    <w:rsid w:val="00B419FF"/>
    <w:rsid w:val="00B41A0C"/>
    <w:rsid w:val="00B41A1E"/>
    <w:rsid w:val="00B41A51"/>
    <w:rsid w:val="00B41A6F"/>
    <w:rsid w:val="00B41A99"/>
    <w:rsid w:val="00B41B37"/>
    <w:rsid w:val="00B41B6F"/>
    <w:rsid w:val="00B41BC9"/>
    <w:rsid w:val="00B41C42"/>
    <w:rsid w:val="00B41C8C"/>
    <w:rsid w:val="00B41E32"/>
    <w:rsid w:val="00B41E61"/>
    <w:rsid w:val="00B41E7C"/>
    <w:rsid w:val="00B41E85"/>
    <w:rsid w:val="00B41EA4"/>
    <w:rsid w:val="00B41F19"/>
    <w:rsid w:val="00B41F7B"/>
    <w:rsid w:val="00B41F97"/>
    <w:rsid w:val="00B41FFA"/>
    <w:rsid w:val="00B42029"/>
    <w:rsid w:val="00B42172"/>
    <w:rsid w:val="00B4217F"/>
    <w:rsid w:val="00B42284"/>
    <w:rsid w:val="00B42304"/>
    <w:rsid w:val="00B423A3"/>
    <w:rsid w:val="00B423D2"/>
    <w:rsid w:val="00B423DE"/>
    <w:rsid w:val="00B423E1"/>
    <w:rsid w:val="00B4242F"/>
    <w:rsid w:val="00B4243E"/>
    <w:rsid w:val="00B42512"/>
    <w:rsid w:val="00B4254C"/>
    <w:rsid w:val="00B4258D"/>
    <w:rsid w:val="00B4275D"/>
    <w:rsid w:val="00B427A7"/>
    <w:rsid w:val="00B427C7"/>
    <w:rsid w:val="00B427C8"/>
    <w:rsid w:val="00B42846"/>
    <w:rsid w:val="00B4284C"/>
    <w:rsid w:val="00B42870"/>
    <w:rsid w:val="00B42898"/>
    <w:rsid w:val="00B428C0"/>
    <w:rsid w:val="00B42AE1"/>
    <w:rsid w:val="00B42AFD"/>
    <w:rsid w:val="00B42B0A"/>
    <w:rsid w:val="00B42B67"/>
    <w:rsid w:val="00B42B7A"/>
    <w:rsid w:val="00B42BA9"/>
    <w:rsid w:val="00B42BAD"/>
    <w:rsid w:val="00B42BB5"/>
    <w:rsid w:val="00B42DDC"/>
    <w:rsid w:val="00B42F2A"/>
    <w:rsid w:val="00B42F94"/>
    <w:rsid w:val="00B42FF4"/>
    <w:rsid w:val="00B4303A"/>
    <w:rsid w:val="00B4304A"/>
    <w:rsid w:val="00B43076"/>
    <w:rsid w:val="00B43150"/>
    <w:rsid w:val="00B431E5"/>
    <w:rsid w:val="00B431F4"/>
    <w:rsid w:val="00B43223"/>
    <w:rsid w:val="00B43244"/>
    <w:rsid w:val="00B4325F"/>
    <w:rsid w:val="00B432B8"/>
    <w:rsid w:val="00B432FB"/>
    <w:rsid w:val="00B43367"/>
    <w:rsid w:val="00B43369"/>
    <w:rsid w:val="00B43449"/>
    <w:rsid w:val="00B4356C"/>
    <w:rsid w:val="00B435F0"/>
    <w:rsid w:val="00B436C6"/>
    <w:rsid w:val="00B436EF"/>
    <w:rsid w:val="00B4373F"/>
    <w:rsid w:val="00B43793"/>
    <w:rsid w:val="00B437C2"/>
    <w:rsid w:val="00B437C5"/>
    <w:rsid w:val="00B437EB"/>
    <w:rsid w:val="00B43804"/>
    <w:rsid w:val="00B4382E"/>
    <w:rsid w:val="00B438E8"/>
    <w:rsid w:val="00B439E0"/>
    <w:rsid w:val="00B43A0D"/>
    <w:rsid w:val="00B43A64"/>
    <w:rsid w:val="00B43A69"/>
    <w:rsid w:val="00B43A9B"/>
    <w:rsid w:val="00B43BD7"/>
    <w:rsid w:val="00B43C28"/>
    <w:rsid w:val="00B43CE2"/>
    <w:rsid w:val="00B43D38"/>
    <w:rsid w:val="00B43D52"/>
    <w:rsid w:val="00B43D65"/>
    <w:rsid w:val="00B43DA1"/>
    <w:rsid w:val="00B43DD9"/>
    <w:rsid w:val="00B43DF0"/>
    <w:rsid w:val="00B43E5D"/>
    <w:rsid w:val="00B43EA7"/>
    <w:rsid w:val="00B43EDF"/>
    <w:rsid w:val="00B43EEC"/>
    <w:rsid w:val="00B43F40"/>
    <w:rsid w:val="00B43FCC"/>
    <w:rsid w:val="00B440D1"/>
    <w:rsid w:val="00B44130"/>
    <w:rsid w:val="00B44190"/>
    <w:rsid w:val="00B441A8"/>
    <w:rsid w:val="00B441E1"/>
    <w:rsid w:val="00B441F9"/>
    <w:rsid w:val="00B4424E"/>
    <w:rsid w:val="00B4440F"/>
    <w:rsid w:val="00B44483"/>
    <w:rsid w:val="00B44488"/>
    <w:rsid w:val="00B444B1"/>
    <w:rsid w:val="00B445D1"/>
    <w:rsid w:val="00B44627"/>
    <w:rsid w:val="00B446B9"/>
    <w:rsid w:val="00B446F4"/>
    <w:rsid w:val="00B44713"/>
    <w:rsid w:val="00B4476F"/>
    <w:rsid w:val="00B4481C"/>
    <w:rsid w:val="00B44821"/>
    <w:rsid w:val="00B44824"/>
    <w:rsid w:val="00B4489E"/>
    <w:rsid w:val="00B44925"/>
    <w:rsid w:val="00B44979"/>
    <w:rsid w:val="00B449CB"/>
    <w:rsid w:val="00B44A10"/>
    <w:rsid w:val="00B44A79"/>
    <w:rsid w:val="00B44A7E"/>
    <w:rsid w:val="00B44AED"/>
    <w:rsid w:val="00B44AF5"/>
    <w:rsid w:val="00B44B05"/>
    <w:rsid w:val="00B44B50"/>
    <w:rsid w:val="00B44B53"/>
    <w:rsid w:val="00B44C0B"/>
    <w:rsid w:val="00B44C17"/>
    <w:rsid w:val="00B44C1D"/>
    <w:rsid w:val="00B44C8E"/>
    <w:rsid w:val="00B44CA0"/>
    <w:rsid w:val="00B44CCF"/>
    <w:rsid w:val="00B44D47"/>
    <w:rsid w:val="00B44DC0"/>
    <w:rsid w:val="00B44E66"/>
    <w:rsid w:val="00B44E75"/>
    <w:rsid w:val="00B44EBA"/>
    <w:rsid w:val="00B44EBF"/>
    <w:rsid w:val="00B44EDB"/>
    <w:rsid w:val="00B44F73"/>
    <w:rsid w:val="00B44F89"/>
    <w:rsid w:val="00B450B3"/>
    <w:rsid w:val="00B450C4"/>
    <w:rsid w:val="00B450E4"/>
    <w:rsid w:val="00B45137"/>
    <w:rsid w:val="00B45140"/>
    <w:rsid w:val="00B451D1"/>
    <w:rsid w:val="00B451DC"/>
    <w:rsid w:val="00B453BC"/>
    <w:rsid w:val="00B45413"/>
    <w:rsid w:val="00B45433"/>
    <w:rsid w:val="00B4546D"/>
    <w:rsid w:val="00B454D3"/>
    <w:rsid w:val="00B45625"/>
    <w:rsid w:val="00B4566B"/>
    <w:rsid w:val="00B456C9"/>
    <w:rsid w:val="00B456CC"/>
    <w:rsid w:val="00B4570D"/>
    <w:rsid w:val="00B45749"/>
    <w:rsid w:val="00B4576D"/>
    <w:rsid w:val="00B457C7"/>
    <w:rsid w:val="00B45828"/>
    <w:rsid w:val="00B45851"/>
    <w:rsid w:val="00B45940"/>
    <w:rsid w:val="00B45948"/>
    <w:rsid w:val="00B4595B"/>
    <w:rsid w:val="00B45969"/>
    <w:rsid w:val="00B45993"/>
    <w:rsid w:val="00B45AAD"/>
    <w:rsid w:val="00B45B5A"/>
    <w:rsid w:val="00B45BD6"/>
    <w:rsid w:val="00B45C3C"/>
    <w:rsid w:val="00B45C82"/>
    <w:rsid w:val="00B45C8E"/>
    <w:rsid w:val="00B45CC7"/>
    <w:rsid w:val="00B45CDE"/>
    <w:rsid w:val="00B45D1D"/>
    <w:rsid w:val="00B45D77"/>
    <w:rsid w:val="00B45DF7"/>
    <w:rsid w:val="00B45E94"/>
    <w:rsid w:val="00B45E99"/>
    <w:rsid w:val="00B45EA1"/>
    <w:rsid w:val="00B45EF5"/>
    <w:rsid w:val="00B45F4A"/>
    <w:rsid w:val="00B45F9B"/>
    <w:rsid w:val="00B45FB4"/>
    <w:rsid w:val="00B4613D"/>
    <w:rsid w:val="00B46159"/>
    <w:rsid w:val="00B461C0"/>
    <w:rsid w:val="00B461F3"/>
    <w:rsid w:val="00B46236"/>
    <w:rsid w:val="00B462B0"/>
    <w:rsid w:val="00B462D6"/>
    <w:rsid w:val="00B462F9"/>
    <w:rsid w:val="00B4632E"/>
    <w:rsid w:val="00B4634A"/>
    <w:rsid w:val="00B4638F"/>
    <w:rsid w:val="00B463F8"/>
    <w:rsid w:val="00B464AB"/>
    <w:rsid w:val="00B464AF"/>
    <w:rsid w:val="00B464BB"/>
    <w:rsid w:val="00B465A6"/>
    <w:rsid w:val="00B46691"/>
    <w:rsid w:val="00B466D8"/>
    <w:rsid w:val="00B46723"/>
    <w:rsid w:val="00B46895"/>
    <w:rsid w:val="00B46913"/>
    <w:rsid w:val="00B46949"/>
    <w:rsid w:val="00B4695E"/>
    <w:rsid w:val="00B46971"/>
    <w:rsid w:val="00B469A5"/>
    <w:rsid w:val="00B469E1"/>
    <w:rsid w:val="00B46AA6"/>
    <w:rsid w:val="00B46ADF"/>
    <w:rsid w:val="00B46B52"/>
    <w:rsid w:val="00B46B8B"/>
    <w:rsid w:val="00B46BC3"/>
    <w:rsid w:val="00B46C30"/>
    <w:rsid w:val="00B46CB4"/>
    <w:rsid w:val="00B46D79"/>
    <w:rsid w:val="00B46DB8"/>
    <w:rsid w:val="00B46DF6"/>
    <w:rsid w:val="00B46E4A"/>
    <w:rsid w:val="00B46E67"/>
    <w:rsid w:val="00B46EF6"/>
    <w:rsid w:val="00B46F62"/>
    <w:rsid w:val="00B46F89"/>
    <w:rsid w:val="00B46FBF"/>
    <w:rsid w:val="00B47071"/>
    <w:rsid w:val="00B4707F"/>
    <w:rsid w:val="00B47086"/>
    <w:rsid w:val="00B47092"/>
    <w:rsid w:val="00B470AC"/>
    <w:rsid w:val="00B470BC"/>
    <w:rsid w:val="00B47104"/>
    <w:rsid w:val="00B4717A"/>
    <w:rsid w:val="00B471D7"/>
    <w:rsid w:val="00B47219"/>
    <w:rsid w:val="00B47258"/>
    <w:rsid w:val="00B472BB"/>
    <w:rsid w:val="00B4732F"/>
    <w:rsid w:val="00B4734A"/>
    <w:rsid w:val="00B4737D"/>
    <w:rsid w:val="00B473A5"/>
    <w:rsid w:val="00B473A8"/>
    <w:rsid w:val="00B473CC"/>
    <w:rsid w:val="00B473EC"/>
    <w:rsid w:val="00B473F1"/>
    <w:rsid w:val="00B47418"/>
    <w:rsid w:val="00B47478"/>
    <w:rsid w:val="00B4747C"/>
    <w:rsid w:val="00B4753C"/>
    <w:rsid w:val="00B4758F"/>
    <w:rsid w:val="00B475B0"/>
    <w:rsid w:val="00B476AE"/>
    <w:rsid w:val="00B478BF"/>
    <w:rsid w:val="00B47982"/>
    <w:rsid w:val="00B47986"/>
    <w:rsid w:val="00B47A26"/>
    <w:rsid w:val="00B47A71"/>
    <w:rsid w:val="00B47A7B"/>
    <w:rsid w:val="00B47A7C"/>
    <w:rsid w:val="00B47A9B"/>
    <w:rsid w:val="00B47B35"/>
    <w:rsid w:val="00B47B3B"/>
    <w:rsid w:val="00B47B87"/>
    <w:rsid w:val="00B47BA8"/>
    <w:rsid w:val="00B47BED"/>
    <w:rsid w:val="00B47C16"/>
    <w:rsid w:val="00B47C7C"/>
    <w:rsid w:val="00B47DB3"/>
    <w:rsid w:val="00B47E7F"/>
    <w:rsid w:val="00B47ECF"/>
    <w:rsid w:val="00B47F65"/>
    <w:rsid w:val="00B47F67"/>
    <w:rsid w:val="00B47FA8"/>
    <w:rsid w:val="00B5002F"/>
    <w:rsid w:val="00B500D0"/>
    <w:rsid w:val="00B500E2"/>
    <w:rsid w:val="00B500F4"/>
    <w:rsid w:val="00B50111"/>
    <w:rsid w:val="00B5016D"/>
    <w:rsid w:val="00B5017C"/>
    <w:rsid w:val="00B501DC"/>
    <w:rsid w:val="00B501ED"/>
    <w:rsid w:val="00B5020B"/>
    <w:rsid w:val="00B5033E"/>
    <w:rsid w:val="00B503CB"/>
    <w:rsid w:val="00B503CD"/>
    <w:rsid w:val="00B50407"/>
    <w:rsid w:val="00B50430"/>
    <w:rsid w:val="00B5043A"/>
    <w:rsid w:val="00B504F6"/>
    <w:rsid w:val="00B50583"/>
    <w:rsid w:val="00B505BA"/>
    <w:rsid w:val="00B505F1"/>
    <w:rsid w:val="00B5060A"/>
    <w:rsid w:val="00B5060D"/>
    <w:rsid w:val="00B507EE"/>
    <w:rsid w:val="00B50839"/>
    <w:rsid w:val="00B50840"/>
    <w:rsid w:val="00B5085F"/>
    <w:rsid w:val="00B508A6"/>
    <w:rsid w:val="00B508BE"/>
    <w:rsid w:val="00B508D4"/>
    <w:rsid w:val="00B50908"/>
    <w:rsid w:val="00B5091E"/>
    <w:rsid w:val="00B509CD"/>
    <w:rsid w:val="00B509D8"/>
    <w:rsid w:val="00B50A0B"/>
    <w:rsid w:val="00B50AA6"/>
    <w:rsid w:val="00B50ABE"/>
    <w:rsid w:val="00B50AD8"/>
    <w:rsid w:val="00B50B1A"/>
    <w:rsid w:val="00B50B1C"/>
    <w:rsid w:val="00B50B5E"/>
    <w:rsid w:val="00B50B66"/>
    <w:rsid w:val="00B50B80"/>
    <w:rsid w:val="00B50B8F"/>
    <w:rsid w:val="00B50BA1"/>
    <w:rsid w:val="00B50BD4"/>
    <w:rsid w:val="00B50C17"/>
    <w:rsid w:val="00B50C80"/>
    <w:rsid w:val="00B50CAE"/>
    <w:rsid w:val="00B50CB9"/>
    <w:rsid w:val="00B50D27"/>
    <w:rsid w:val="00B50D5E"/>
    <w:rsid w:val="00B50E34"/>
    <w:rsid w:val="00B50E47"/>
    <w:rsid w:val="00B50ECE"/>
    <w:rsid w:val="00B50F1A"/>
    <w:rsid w:val="00B50FE8"/>
    <w:rsid w:val="00B51026"/>
    <w:rsid w:val="00B510D1"/>
    <w:rsid w:val="00B5112B"/>
    <w:rsid w:val="00B51280"/>
    <w:rsid w:val="00B512CE"/>
    <w:rsid w:val="00B51331"/>
    <w:rsid w:val="00B51352"/>
    <w:rsid w:val="00B5135F"/>
    <w:rsid w:val="00B51434"/>
    <w:rsid w:val="00B51455"/>
    <w:rsid w:val="00B5154D"/>
    <w:rsid w:val="00B5155D"/>
    <w:rsid w:val="00B515D0"/>
    <w:rsid w:val="00B5164F"/>
    <w:rsid w:val="00B51664"/>
    <w:rsid w:val="00B51679"/>
    <w:rsid w:val="00B516B5"/>
    <w:rsid w:val="00B516D4"/>
    <w:rsid w:val="00B51746"/>
    <w:rsid w:val="00B517A6"/>
    <w:rsid w:val="00B517D0"/>
    <w:rsid w:val="00B517F5"/>
    <w:rsid w:val="00B51835"/>
    <w:rsid w:val="00B5189E"/>
    <w:rsid w:val="00B518B5"/>
    <w:rsid w:val="00B51979"/>
    <w:rsid w:val="00B519F0"/>
    <w:rsid w:val="00B51A5E"/>
    <w:rsid w:val="00B51AB1"/>
    <w:rsid w:val="00B51B1F"/>
    <w:rsid w:val="00B51BD2"/>
    <w:rsid w:val="00B51C90"/>
    <w:rsid w:val="00B51DB2"/>
    <w:rsid w:val="00B51DB3"/>
    <w:rsid w:val="00B51DF7"/>
    <w:rsid w:val="00B51E82"/>
    <w:rsid w:val="00B51EDE"/>
    <w:rsid w:val="00B51F18"/>
    <w:rsid w:val="00B51F38"/>
    <w:rsid w:val="00B51F79"/>
    <w:rsid w:val="00B51FFA"/>
    <w:rsid w:val="00B5203D"/>
    <w:rsid w:val="00B52068"/>
    <w:rsid w:val="00B520FE"/>
    <w:rsid w:val="00B521FD"/>
    <w:rsid w:val="00B52226"/>
    <w:rsid w:val="00B522D4"/>
    <w:rsid w:val="00B523E7"/>
    <w:rsid w:val="00B5243F"/>
    <w:rsid w:val="00B52456"/>
    <w:rsid w:val="00B52488"/>
    <w:rsid w:val="00B524C6"/>
    <w:rsid w:val="00B524F3"/>
    <w:rsid w:val="00B525EE"/>
    <w:rsid w:val="00B525F9"/>
    <w:rsid w:val="00B5260F"/>
    <w:rsid w:val="00B52622"/>
    <w:rsid w:val="00B52629"/>
    <w:rsid w:val="00B52636"/>
    <w:rsid w:val="00B52675"/>
    <w:rsid w:val="00B52704"/>
    <w:rsid w:val="00B52725"/>
    <w:rsid w:val="00B5272C"/>
    <w:rsid w:val="00B52768"/>
    <w:rsid w:val="00B527AB"/>
    <w:rsid w:val="00B52846"/>
    <w:rsid w:val="00B52853"/>
    <w:rsid w:val="00B52999"/>
    <w:rsid w:val="00B52A0E"/>
    <w:rsid w:val="00B52A70"/>
    <w:rsid w:val="00B52AAB"/>
    <w:rsid w:val="00B52BCC"/>
    <w:rsid w:val="00B52C41"/>
    <w:rsid w:val="00B52C4E"/>
    <w:rsid w:val="00B52CB4"/>
    <w:rsid w:val="00B52D04"/>
    <w:rsid w:val="00B52E67"/>
    <w:rsid w:val="00B52E70"/>
    <w:rsid w:val="00B52F2B"/>
    <w:rsid w:val="00B5301E"/>
    <w:rsid w:val="00B5303D"/>
    <w:rsid w:val="00B5306E"/>
    <w:rsid w:val="00B530AA"/>
    <w:rsid w:val="00B530B2"/>
    <w:rsid w:val="00B53101"/>
    <w:rsid w:val="00B53181"/>
    <w:rsid w:val="00B531EE"/>
    <w:rsid w:val="00B53249"/>
    <w:rsid w:val="00B53260"/>
    <w:rsid w:val="00B53321"/>
    <w:rsid w:val="00B5338C"/>
    <w:rsid w:val="00B533D6"/>
    <w:rsid w:val="00B53407"/>
    <w:rsid w:val="00B5343A"/>
    <w:rsid w:val="00B5346C"/>
    <w:rsid w:val="00B5348F"/>
    <w:rsid w:val="00B53495"/>
    <w:rsid w:val="00B534B5"/>
    <w:rsid w:val="00B53518"/>
    <w:rsid w:val="00B53521"/>
    <w:rsid w:val="00B5352E"/>
    <w:rsid w:val="00B5352F"/>
    <w:rsid w:val="00B535CF"/>
    <w:rsid w:val="00B53631"/>
    <w:rsid w:val="00B53667"/>
    <w:rsid w:val="00B536C3"/>
    <w:rsid w:val="00B53751"/>
    <w:rsid w:val="00B5375C"/>
    <w:rsid w:val="00B53769"/>
    <w:rsid w:val="00B53789"/>
    <w:rsid w:val="00B53882"/>
    <w:rsid w:val="00B53936"/>
    <w:rsid w:val="00B539F3"/>
    <w:rsid w:val="00B539F6"/>
    <w:rsid w:val="00B53B59"/>
    <w:rsid w:val="00B53C65"/>
    <w:rsid w:val="00B53CFC"/>
    <w:rsid w:val="00B53D19"/>
    <w:rsid w:val="00B53D1D"/>
    <w:rsid w:val="00B53D40"/>
    <w:rsid w:val="00B53DDD"/>
    <w:rsid w:val="00B53F41"/>
    <w:rsid w:val="00B53F42"/>
    <w:rsid w:val="00B53F45"/>
    <w:rsid w:val="00B53F8A"/>
    <w:rsid w:val="00B540B1"/>
    <w:rsid w:val="00B5417B"/>
    <w:rsid w:val="00B5427B"/>
    <w:rsid w:val="00B5428C"/>
    <w:rsid w:val="00B54336"/>
    <w:rsid w:val="00B54374"/>
    <w:rsid w:val="00B543C5"/>
    <w:rsid w:val="00B543F3"/>
    <w:rsid w:val="00B54480"/>
    <w:rsid w:val="00B5449B"/>
    <w:rsid w:val="00B544D3"/>
    <w:rsid w:val="00B544F9"/>
    <w:rsid w:val="00B545EC"/>
    <w:rsid w:val="00B546E5"/>
    <w:rsid w:val="00B5470F"/>
    <w:rsid w:val="00B5474B"/>
    <w:rsid w:val="00B54763"/>
    <w:rsid w:val="00B547A5"/>
    <w:rsid w:val="00B547FB"/>
    <w:rsid w:val="00B5481B"/>
    <w:rsid w:val="00B54848"/>
    <w:rsid w:val="00B5484E"/>
    <w:rsid w:val="00B54878"/>
    <w:rsid w:val="00B548C0"/>
    <w:rsid w:val="00B549B5"/>
    <w:rsid w:val="00B54A45"/>
    <w:rsid w:val="00B54A61"/>
    <w:rsid w:val="00B54B22"/>
    <w:rsid w:val="00B54BAC"/>
    <w:rsid w:val="00B54BB3"/>
    <w:rsid w:val="00B54CB1"/>
    <w:rsid w:val="00B54D17"/>
    <w:rsid w:val="00B54D29"/>
    <w:rsid w:val="00B54D4A"/>
    <w:rsid w:val="00B54D53"/>
    <w:rsid w:val="00B54D83"/>
    <w:rsid w:val="00B54E11"/>
    <w:rsid w:val="00B54E29"/>
    <w:rsid w:val="00B54E4D"/>
    <w:rsid w:val="00B54ED0"/>
    <w:rsid w:val="00B54FAD"/>
    <w:rsid w:val="00B54FC5"/>
    <w:rsid w:val="00B55067"/>
    <w:rsid w:val="00B5507A"/>
    <w:rsid w:val="00B550A7"/>
    <w:rsid w:val="00B550B6"/>
    <w:rsid w:val="00B5510B"/>
    <w:rsid w:val="00B55114"/>
    <w:rsid w:val="00B5511C"/>
    <w:rsid w:val="00B55196"/>
    <w:rsid w:val="00B551BF"/>
    <w:rsid w:val="00B551E3"/>
    <w:rsid w:val="00B552A4"/>
    <w:rsid w:val="00B552F4"/>
    <w:rsid w:val="00B5530C"/>
    <w:rsid w:val="00B55338"/>
    <w:rsid w:val="00B553DE"/>
    <w:rsid w:val="00B553F7"/>
    <w:rsid w:val="00B553F9"/>
    <w:rsid w:val="00B55496"/>
    <w:rsid w:val="00B554CB"/>
    <w:rsid w:val="00B554E4"/>
    <w:rsid w:val="00B55603"/>
    <w:rsid w:val="00B5565A"/>
    <w:rsid w:val="00B55725"/>
    <w:rsid w:val="00B55728"/>
    <w:rsid w:val="00B55751"/>
    <w:rsid w:val="00B557E8"/>
    <w:rsid w:val="00B55884"/>
    <w:rsid w:val="00B558AF"/>
    <w:rsid w:val="00B558D1"/>
    <w:rsid w:val="00B55939"/>
    <w:rsid w:val="00B559A1"/>
    <w:rsid w:val="00B55A47"/>
    <w:rsid w:val="00B55A89"/>
    <w:rsid w:val="00B55A9C"/>
    <w:rsid w:val="00B55AE2"/>
    <w:rsid w:val="00B55B1E"/>
    <w:rsid w:val="00B55B48"/>
    <w:rsid w:val="00B55B91"/>
    <w:rsid w:val="00B55BC4"/>
    <w:rsid w:val="00B55C7E"/>
    <w:rsid w:val="00B55CA5"/>
    <w:rsid w:val="00B55CF2"/>
    <w:rsid w:val="00B55D38"/>
    <w:rsid w:val="00B55D43"/>
    <w:rsid w:val="00B55D46"/>
    <w:rsid w:val="00B55EA3"/>
    <w:rsid w:val="00B55EE2"/>
    <w:rsid w:val="00B55F38"/>
    <w:rsid w:val="00B55FF6"/>
    <w:rsid w:val="00B55FFC"/>
    <w:rsid w:val="00B5605F"/>
    <w:rsid w:val="00B56171"/>
    <w:rsid w:val="00B56175"/>
    <w:rsid w:val="00B561DC"/>
    <w:rsid w:val="00B56251"/>
    <w:rsid w:val="00B56302"/>
    <w:rsid w:val="00B5635A"/>
    <w:rsid w:val="00B56371"/>
    <w:rsid w:val="00B56398"/>
    <w:rsid w:val="00B563B6"/>
    <w:rsid w:val="00B5645C"/>
    <w:rsid w:val="00B56480"/>
    <w:rsid w:val="00B5649E"/>
    <w:rsid w:val="00B56543"/>
    <w:rsid w:val="00B5658A"/>
    <w:rsid w:val="00B565B7"/>
    <w:rsid w:val="00B565E5"/>
    <w:rsid w:val="00B5665A"/>
    <w:rsid w:val="00B5668C"/>
    <w:rsid w:val="00B566F0"/>
    <w:rsid w:val="00B56740"/>
    <w:rsid w:val="00B5677A"/>
    <w:rsid w:val="00B5677F"/>
    <w:rsid w:val="00B5678A"/>
    <w:rsid w:val="00B56793"/>
    <w:rsid w:val="00B567CA"/>
    <w:rsid w:val="00B56809"/>
    <w:rsid w:val="00B5682A"/>
    <w:rsid w:val="00B568C7"/>
    <w:rsid w:val="00B56930"/>
    <w:rsid w:val="00B56937"/>
    <w:rsid w:val="00B56A06"/>
    <w:rsid w:val="00B56A3D"/>
    <w:rsid w:val="00B56A9D"/>
    <w:rsid w:val="00B56ADC"/>
    <w:rsid w:val="00B56B23"/>
    <w:rsid w:val="00B56B33"/>
    <w:rsid w:val="00B56BD0"/>
    <w:rsid w:val="00B56C53"/>
    <w:rsid w:val="00B56D06"/>
    <w:rsid w:val="00B56D7E"/>
    <w:rsid w:val="00B56D92"/>
    <w:rsid w:val="00B56DC2"/>
    <w:rsid w:val="00B56DC6"/>
    <w:rsid w:val="00B56E06"/>
    <w:rsid w:val="00B56E9E"/>
    <w:rsid w:val="00B56EBD"/>
    <w:rsid w:val="00B56F65"/>
    <w:rsid w:val="00B56FF5"/>
    <w:rsid w:val="00B57057"/>
    <w:rsid w:val="00B5705F"/>
    <w:rsid w:val="00B57067"/>
    <w:rsid w:val="00B570BE"/>
    <w:rsid w:val="00B57103"/>
    <w:rsid w:val="00B57124"/>
    <w:rsid w:val="00B57132"/>
    <w:rsid w:val="00B57160"/>
    <w:rsid w:val="00B571A2"/>
    <w:rsid w:val="00B571B2"/>
    <w:rsid w:val="00B571D0"/>
    <w:rsid w:val="00B571D7"/>
    <w:rsid w:val="00B571DD"/>
    <w:rsid w:val="00B5722C"/>
    <w:rsid w:val="00B572D2"/>
    <w:rsid w:val="00B57388"/>
    <w:rsid w:val="00B574A4"/>
    <w:rsid w:val="00B574F9"/>
    <w:rsid w:val="00B57548"/>
    <w:rsid w:val="00B57593"/>
    <w:rsid w:val="00B576A8"/>
    <w:rsid w:val="00B576B2"/>
    <w:rsid w:val="00B57799"/>
    <w:rsid w:val="00B5780D"/>
    <w:rsid w:val="00B57854"/>
    <w:rsid w:val="00B578CE"/>
    <w:rsid w:val="00B578E6"/>
    <w:rsid w:val="00B57A06"/>
    <w:rsid w:val="00B57AAF"/>
    <w:rsid w:val="00B57ADB"/>
    <w:rsid w:val="00B57B7B"/>
    <w:rsid w:val="00B57B9F"/>
    <w:rsid w:val="00B57BA1"/>
    <w:rsid w:val="00B57BCA"/>
    <w:rsid w:val="00B57C19"/>
    <w:rsid w:val="00B57C22"/>
    <w:rsid w:val="00B57C29"/>
    <w:rsid w:val="00B57D06"/>
    <w:rsid w:val="00B57D27"/>
    <w:rsid w:val="00B57D50"/>
    <w:rsid w:val="00B57EFF"/>
    <w:rsid w:val="00B57F2F"/>
    <w:rsid w:val="00B57F53"/>
    <w:rsid w:val="00B60003"/>
    <w:rsid w:val="00B6002F"/>
    <w:rsid w:val="00B600E9"/>
    <w:rsid w:val="00B60155"/>
    <w:rsid w:val="00B601EE"/>
    <w:rsid w:val="00B6022B"/>
    <w:rsid w:val="00B602CE"/>
    <w:rsid w:val="00B60309"/>
    <w:rsid w:val="00B60391"/>
    <w:rsid w:val="00B60474"/>
    <w:rsid w:val="00B604DA"/>
    <w:rsid w:val="00B604F0"/>
    <w:rsid w:val="00B60512"/>
    <w:rsid w:val="00B60567"/>
    <w:rsid w:val="00B605C3"/>
    <w:rsid w:val="00B605E3"/>
    <w:rsid w:val="00B605FE"/>
    <w:rsid w:val="00B60650"/>
    <w:rsid w:val="00B60699"/>
    <w:rsid w:val="00B606A9"/>
    <w:rsid w:val="00B606E5"/>
    <w:rsid w:val="00B607BA"/>
    <w:rsid w:val="00B6080A"/>
    <w:rsid w:val="00B60827"/>
    <w:rsid w:val="00B608C7"/>
    <w:rsid w:val="00B608EB"/>
    <w:rsid w:val="00B60A81"/>
    <w:rsid w:val="00B60AA2"/>
    <w:rsid w:val="00B60AB6"/>
    <w:rsid w:val="00B60B05"/>
    <w:rsid w:val="00B60BC8"/>
    <w:rsid w:val="00B60BD4"/>
    <w:rsid w:val="00B60BF6"/>
    <w:rsid w:val="00B60C15"/>
    <w:rsid w:val="00B60C1B"/>
    <w:rsid w:val="00B60C2F"/>
    <w:rsid w:val="00B60C99"/>
    <w:rsid w:val="00B60D33"/>
    <w:rsid w:val="00B60D34"/>
    <w:rsid w:val="00B60D78"/>
    <w:rsid w:val="00B60D88"/>
    <w:rsid w:val="00B60D90"/>
    <w:rsid w:val="00B60E61"/>
    <w:rsid w:val="00B60F22"/>
    <w:rsid w:val="00B60F33"/>
    <w:rsid w:val="00B60F43"/>
    <w:rsid w:val="00B60F8B"/>
    <w:rsid w:val="00B610A2"/>
    <w:rsid w:val="00B6113E"/>
    <w:rsid w:val="00B61171"/>
    <w:rsid w:val="00B61172"/>
    <w:rsid w:val="00B61208"/>
    <w:rsid w:val="00B6121B"/>
    <w:rsid w:val="00B61251"/>
    <w:rsid w:val="00B61271"/>
    <w:rsid w:val="00B61368"/>
    <w:rsid w:val="00B6137B"/>
    <w:rsid w:val="00B61395"/>
    <w:rsid w:val="00B6139E"/>
    <w:rsid w:val="00B613E1"/>
    <w:rsid w:val="00B6147F"/>
    <w:rsid w:val="00B614C5"/>
    <w:rsid w:val="00B614CC"/>
    <w:rsid w:val="00B61533"/>
    <w:rsid w:val="00B61551"/>
    <w:rsid w:val="00B61562"/>
    <w:rsid w:val="00B61612"/>
    <w:rsid w:val="00B61651"/>
    <w:rsid w:val="00B6165C"/>
    <w:rsid w:val="00B6182E"/>
    <w:rsid w:val="00B6188E"/>
    <w:rsid w:val="00B618AB"/>
    <w:rsid w:val="00B618CB"/>
    <w:rsid w:val="00B619A5"/>
    <w:rsid w:val="00B61A5E"/>
    <w:rsid w:val="00B61A76"/>
    <w:rsid w:val="00B61A7C"/>
    <w:rsid w:val="00B61AC2"/>
    <w:rsid w:val="00B61B4C"/>
    <w:rsid w:val="00B61B9A"/>
    <w:rsid w:val="00B61BE2"/>
    <w:rsid w:val="00B61C4E"/>
    <w:rsid w:val="00B61CAF"/>
    <w:rsid w:val="00B61CD0"/>
    <w:rsid w:val="00B61CEB"/>
    <w:rsid w:val="00B61CEE"/>
    <w:rsid w:val="00B61CFB"/>
    <w:rsid w:val="00B61D4E"/>
    <w:rsid w:val="00B61D99"/>
    <w:rsid w:val="00B61DE3"/>
    <w:rsid w:val="00B61DFF"/>
    <w:rsid w:val="00B61E24"/>
    <w:rsid w:val="00B61EC0"/>
    <w:rsid w:val="00B6202E"/>
    <w:rsid w:val="00B6204B"/>
    <w:rsid w:val="00B62055"/>
    <w:rsid w:val="00B620E9"/>
    <w:rsid w:val="00B62104"/>
    <w:rsid w:val="00B6211E"/>
    <w:rsid w:val="00B6212A"/>
    <w:rsid w:val="00B62151"/>
    <w:rsid w:val="00B621A5"/>
    <w:rsid w:val="00B621C8"/>
    <w:rsid w:val="00B621D6"/>
    <w:rsid w:val="00B622CA"/>
    <w:rsid w:val="00B622FF"/>
    <w:rsid w:val="00B62361"/>
    <w:rsid w:val="00B6238C"/>
    <w:rsid w:val="00B623B7"/>
    <w:rsid w:val="00B624BB"/>
    <w:rsid w:val="00B6280C"/>
    <w:rsid w:val="00B6285D"/>
    <w:rsid w:val="00B62936"/>
    <w:rsid w:val="00B62937"/>
    <w:rsid w:val="00B62954"/>
    <w:rsid w:val="00B62969"/>
    <w:rsid w:val="00B629E7"/>
    <w:rsid w:val="00B62B13"/>
    <w:rsid w:val="00B62B25"/>
    <w:rsid w:val="00B62B49"/>
    <w:rsid w:val="00B62C72"/>
    <w:rsid w:val="00B62CB6"/>
    <w:rsid w:val="00B62D1F"/>
    <w:rsid w:val="00B62D22"/>
    <w:rsid w:val="00B62E3F"/>
    <w:rsid w:val="00B62E44"/>
    <w:rsid w:val="00B62FB4"/>
    <w:rsid w:val="00B62FF0"/>
    <w:rsid w:val="00B62FFE"/>
    <w:rsid w:val="00B630ED"/>
    <w:rsid w:val="00B6313D"/>
    <w:rsid w:val="00B631AC"/>
    <w:rsid w:val="00B63210"/>
    <w:rsid w:val="00B6323B"/>
    <w:rsid w:val="00B632DA"/>
    <w:rsid w:val="00B632F7"/>
    <w:rsid w:val="00B6331E"/>
    <w:rsid w:val="00B633BE"/>
    <w:rsid w:val="00B633CC"/>
    <w:rsid w:val="00B6342B"/>
    <w:rsid w:val="00B63436"/>
    <w:rsid w:val="00B63443"/>
    <w:rsid w:val="00B6345A"/>
    <w:rsid w:val="00B6348E"/>
    <w:rsid w:val="00B634DA"/>
    <w:rsid w:val="00B634DC"/>
    <w:rsid w:val="00B634E0"/>
    <w:rsid w:val="00B634E5"/>
    <w:rsid w:val="00B634F6"/>
    <w:rsid w:val="00B6358B"/>
    <w:rsid w:val="00B635CE"/>
    <w:rsid w:val="00B6367D"/>
    <w:rsid w:val="00B63772"/>
    <w:rsid w:val="00B63804"/>
    <w:rsid w:val="00B63833"/>
    <w:rsid w:val="00B6383F"/>
    <w:rsid w:val="00B6384B"/>
    <w:rsid w:val="00B63865"/>
    <w:rsid w:val="00B63884"/>
    <w:rsid w:val="00B638C5"/>
    <w:rsid w:val="00B638C9"/>
    <w:rsid w:val="00B63939"/>
    <w:rsid w:val="00B6393C"/>
    <w:rsid w:val="00B639C8"/>
    <w:rsid w:val="00B63A14"/>
    <w:rsid w:val="00B63A58"/>
    <w:rsid w:val="00B63ACF"/>
    <w:rsid w:val="00B63AD2"/>
    <w:rsid w:val="00B63BA2"/>
    <w:rsid w:val="00B63BF1"/>
    <w:rsid w:val="00B63C0F"/>
    <w:rsid w:val="00B63C12"/>
    <w:rsid w:val="00B63D70"/>
    <w:rsid w:val="00B63E19"/>
    <w:rsid w:val="00B63EAC"/>
    <w:rsid w:val="00B63F01"/>
    <w:rsid w:val="00B63F2C"/>
    <w:rsid w:val="00B63FB0"/>
    <w:rsid w:val="00B63FF8"/>
    <w:rsid w:val="00B63FFC"/>
    <w:rsid w:val="00B6401D"/>
    <w:rsid w:val="00B64069"/>
    <w:rsid w:val="00B6410E"/>
    <w:rsid w:val="00B6412F"/>
    <w:rsid w:val="00B6413F"/>
    <w:rsid w:val="00B6416B"/>
    <w:rsid w:val="00B641C1"/>
    <w:rsid w:val="00B64385"/>
    <w:rsid w:val="00B64390"/>
    <w:rsid w:val="00B643C0"/>
    <w:rsid w:val="00B64435"/>
    <w:rsid w:val="00B6448B"/>
    <w:rsid w:val="00B644BA"/>
    <w:rsid w:val="00B64505"/>
    <w:rsid w:val="00B64539"/>
    <w:rsid w:val="00B645C9"/>
    <w:rsid w:val="00B645F9"/>
    <w:rsid w:val="00B64625"/>
    <w:rsid w:val="00B64667"/>
    <w:rsid w:val="00B6469B"/>
    <w:rsid w:val="00B646AC"/>
    <w:rsid w:val="00B6476A"/>
    <w:rsid w:val="00B647DA"/>
    <w:rsid w:val="00B648A4"/>
    <w:rsid w:val="00B648AC"/>
    <w:rsid w:val="00B648D5"/>
    <w:rsid w:val="00B6497F"/>
    <w:rsid w:val="00B649DD"/>
    <w:rsid w:val="00B64A58"/>
    <w:rsid w:val="00B64A6F"/>
    <w:rsid w:val="00B64AF9"/>
    <w:rsid w:val="00B64B4F"/>
    <w:rsid w:val="00B64B53"/>
    <w:rsid w:val="00B64C44"/>
    <w:rsid w:val="00B64C9D"/>
    <w:rsid w:val="00B64D90"/>
    <w:rsid w:val="00B64E5E"/>
    <w:rsid w:val="00B64F24"/>
    <w:rsid w:val="00B64FF9"/>
    <w:rsid w:val="00B65065"/>
    <w:rsid w:val="00B650DC"/>
    <w:rsid w:val="00B65121"/>
    <w:rsid w:val="00B65138"/>
    <w:rsid w:val="00B651C0"/>
    <w:rsid w:val="00B651E1"/>
    <w:rsid w:val="00B651EC"/>
    <w:rsid w:val="00B6529F"/>
    <w:rsid w:val="00B6539A"/>
    <w:rsid w:val="00B653BF"/>
    <w:rsid w:val="00B6541D"/>
    <w:rsid w:val="00B65441"/>
    <w:rsid w:val="00B654B6"/>
    <w:rsid w:val="00B6552A"/>
    <w:rsid w:val="00B65585"/>
    <w:rsid w:val="00B6561E"/>
    <w:rsid w:val="00B65625"/>
    <w:rsid w:val="00B656B7"/>
    <w:rsid w:val="00B656FA"/>
    <w:rsid w:val="00B65810"/>
    <w:rsid w:val="00B65919"/>
    <w:rsid w:val="00B6591A"/>
    <w:rsid w:val="00B65934"/>
    <w:rsid w:val="00B65937"/>
    <w:rsid w:val="00B65938"/>
    <w:rsid w:val="00B659AE"/>
    <w:rsid w:val="00B659C3"/>
    <w:rsid w:val="00B65A0C"/>
    <w:rsid w:val="00B65A53"/>
    <w:rsid w:val="00B65B1A"/>
    <w:rsid w:val="00B65BB8"/>
    <w:rsid w:val="00B65C95"/>
    <w:rsid w:val="00B65CAD"/>
    <w:rsid w:val="00B65CB6"/>
    <w:rsid w:val="00B65CF1"/>
    <w:rsid w:val="00B65D2B"/>
    <w:rsid w:val="00B65D60"/>
    <w:rsid w:val="00B65D90"/>
    <w:rsid w:val="00B65DB4"/>
    <w:rsid w:val="00B65DDB"/>
    <w:rsid w:val="00B65DFC"/>
    <w:rsid w:val="00B65E5D"/>
    <w:rsid w:val="00B65E61"/>
    <w:rsid w:val="00B65F0A"/>
    <w:rsid w:val="00B65F74"/>
    <w:rsid w:val="00B65F7F"/>
    <w:rsid w:val="00B65FC3"/>
    <w:rsid w:val="00B65FEF"/>
    <w:rsid w:val="00B65FFA"/>
    <w:rsid w:val="00B65FFE"/>
    <w:rsid w:val="00B66029"/>
    <w:rsid w:val="00B6605C"/>
    <w:rsid w:val="00B660CE"/>
    <w:rsid w:val="00B660D8"/>
    <w:rsid w:val="00B660EF"/>
    <w:rsid w:val="00B66193"/>
    <w:rsid w:val="00B661EB"/>
    <w:rsid w:val="00B66262"/>
    <w:rsid w:val="00B66284"/>
    <w:rsid w:val="00B66369"/>
    <w:rsid w:val="00B663D9"/>
    <w:rsid w:val="00B664AD"/>
    <w:rsid w:val="00B66547"/>
    <w:rsid w:val="00B6657B"/>
    <w:rsid w:val="00B665A1"/>
    <w:rsid w:val="00B665BB"/>
    <w:rsid w:val="00B665E1"/>
    <w:rsid w:val="00B6668D"/>
    <w:rsid w:val="00B667D9"/>
    <w:rsid w:val="00B66856"/>
    <w:rsid w:val="00B6688F"/>
    <w:rsid w:val="00B668E3"/>
    <w:rsid w:val="00B6692D"/>
    <w:rsid w:val="00B669A2"/>
    <w:rsid w:val="00B66A04"/>
    <w:rsid w:val="00B66A90"/>
    <w:rsid w:val="00B66B9A"/>
    <w:rsid w:val="00B66BAC"/>
    <w:rsid w:val="00B66BBF"/>
    <w:rsid w:val="00B66C6C"/>
    <w:rsid w:val="00B66CD2"/>
    <w:rsid w:val="00B66CDA"/>
    <w:rsid w:val="00B66D07"/>
    <w:rsid w:val="00B66D37"/>
    <w:rsid w:val="00B66DE2"/>
    <w:rsid w:val="00B66E01"/>
    <w:rsid w:val="00B66E51"/>
    <w:rsid w:val="00B66EA5"/>
    <w:rsid w:val="00B66EDB"/>
    <w:rsid w:val="00B66EE2"/>
    <w:rsid w:val="00B66F32"/>
    <w:rsid w:val="00B66F59"/>
    <w:rsid w:val="00B66F7A"/>
    <w:rsid w:val="00B66F8D"/>
    <w:rsid w:val="00B66FF4"/>
    <w:rsid w:val="00B67009"/>
    <w:rsid w:val="00B6700E"/>
    <w:rsid w:val="00B67093"/>
    <w:rsid w:val="00B670CA"/>
    <w:rsid w:val="00B670E5"/>
    <w:rsid w:val="00B67127"/>
    <w:rsid w:val="00B67223"/>
    <w:rsid w:val="00B67248"/>
    <w:rsid w:val="00B672EE"/>
    <w:rsid w:val="00B672F8"/>
    <w:rsid w:val="00B672FB"/>
    <w:rsid w:val="00B67321"/>
    <w:rsid w:val="00B673EB"/>
    <w:rsid w:val="00B67454"/>
    <w:rsid w:val="00B6751C"/>
    <w:rsid w:val="00B6755E"/>
    <w:rsid w:val="00B676EF"/>
    <w:rsid w:val="00B67737"/>
    <w:rsid w:val="00B6781E"/>
    <w:rsid w:val="00B6788A"/>
    <w:rsid w:val="00B679A1"/>
    <w:rsid w:val="00B67B28"/>
    <w:rsid w:val="00B67B94"/>
    <w:rsid w:val="00B67BF2"/>
    <w:rsid w:val="00B67C8D"/>
    <w:rsid w:val="00B67D13"/>
    <w:rsid w:val="00B67D7C"/>
    <w:rsid w:val="00B67DAE"/>
    <w:rsid w:val="00B67DB9"/>
    <w:rsid w:val="00B67DBC"/>
    <w:rsid w:val="00B67E65"/>
    <w:rsid w:val="00B67E76"/>
    <w:rsid w:val="00B67EA2"/>
    <w:rsid w:val="00B67EF6"/>
    <w:rsid w:val="00B67EF8"/>
    <w:rsid w:val="00B67F0E"/>
    <w:rsid w:val="00B67FCC"/>
    <w:rsid w:val="00B67FCF"/>
    <w:rsid w:val="00B67FDC"/>
    <w:rsid w:val="00B7001D"/>
    <w:rsid w:val="00B70119"/>
    <w:rsid w:val="00B7014C"/>
    <w:rsid w:val="00B7018A"/>
    <w:rsid w:val="00B701CE"/>
    <w:rsid w:val="00B701D1"/>
    <w:rsid w:val="00B701F4"/>
    <w:rsid w:val="00B702C9"/>
    <w:rsid w:val="00B703BD"/>
    <w:rsid w:val="00B703F9"/>
    <w:rsid w:val="00B70428"/>
    <w:rsid w:val="00B7045C"/>
    <w:rsid w:val="00B704A7"/>
    <w:rsid w:val="00B7058B"/>
    <w:rsid w:val="00B705E8"/>
    <w:rsid w:val="00B70720"/>
    <w:rsid w:val="00B707D0"/>
    <w:rsid w:val="00B70805"/>
    <w:rsid w:val="00B70845"/>
    <w:rsid w:val="00B708AA"/>
    <w:rsid w:val="00B708BD"/>
    <w:rsid w:val="00B708CE"/>
    <w:rsid w:val="00B7092D"/>
    <w:rsid w:val="00B7093D"/>
    <w:rsid w:val="00B7099F"/>
    <w:rsid w:val="00B709F2"/>
    <w:rsid w:val="00B70A6A"/>
    <w:rsid w:val="00B70AC3"/>
    <w:rsid w:val="00B70B1F"/>
    <w:rsid w:val="00B70B23"/>
    <w:rsid w:val="00B70B2B"/>
    <w:rsid w:val="00B70B2E"/>
    <w:rsid w:val="00B70B92"/>
    <w:rsid w:val="00B70BAC"/>
    <w:rsid w:val="00B70BF8"/>
    <w:rsid w:val="00B70BFA"/>
    <w:rsid w:val="00B70C00"/>
    <w:rsid w:val="00B70D2B"/>
    <w:rsid w:val="00B70DAF"/>
    <w:rsid w:val="00B70DC1"/>
    <w:rsid w:val="00B70DDF"/>
    <w:rsid w:val="00B70DEE"/>
    <w:rsid w:val="00B70E59"/>
    <w:rsid w:val="00B70E95"/>
    <w:rsid w:val="00B70EC5"/>
    <w:rsid w:val="00B70F21"/>
    <w:rsid w:val="00B70F7B"/>
    <w:rsid w:val="00B70F7F"/>
    <w:rsid w:val="00B70FF2"/>
    <w:rsid w:val="00B710BC"/>
    <w:rsid w:val="00B7113E"/>
    <w:rsid w:val="00B7115C"/>
    <w:rsid w:val="00B71162"/>
    <w:rsid w:val="00B71185"/>
    <w:rsid w:val="00B711BB"/>
    <w:rsid w:val="00B711EE"/>
    <w:rsid w:val="00B71211"/>
    <w:rsid w:val="00B71246"/>
    <w:rsid w:val="00B7126B"/>
    <w:rsid w:val="00B71282"/>
    <w:rsid w:val="00B712CB"/>
    <w:rsid w:val="00B712FD"/>
    <w:rsid w:val="00B7134D"/>
    <w:rsid w:val="00B71356"/>
    <w:rsid w:val="00B713AC"/>
    <w:rsid w:val="00B713CB"/>
    <w:rsid w:val="00B71447"/>
    <w:rsid w:val="00B7144B"/>
    <w:rsid w:val="00B7153E"/>
    <w:rsid w:val="00B71540"/>
    <w:rsid w:val="00B71592"/>
    <w:rsid w:val="00B715DA"/>
    <w:rsid w:val="00B7160D"/>
    <w:rsid w:val="00B71650"/>
    <w:rsid w:val="00B716BC"/>
    <w:rsid w:val="00B716F0"/>
    <w:rsid w:val="00B717AC"/>
    <w:rsid w:val="00B717B3"/>
    <w:rsid w:val="00B717C4"/>
    <w:rsid w:val="00B717D4"/>
    <w:rsid w:val="00B7181C"/>
    <w:rsid w:val="00B718EB"/>
    <w:rsid w:val="00B71922"/>
    <w:rsid w:val="00B71A99"/>
    <w:rsid w:val="00B71B49"/>
    <w:rsid w:val="00B71B99"/>
    <w:rsid w:val="00B71CEA"/>
    <w:rsid w:val="00B71D09"/>
    <w:rsid w:val="00B71D50"/>
    <w:rsid w:val="00B71D63"/>
    <w:rsid w:val="00B71E2D"/>
    <w:rsid w:val="00B71E48"/>
    <w:rsid w:val="00B71E76"/>
    <w:rsid w:val="00B71E99"/>
    <w:rsid w:val="00B71F04"/>
    <w:rsid w:val="00B71F17"/>
    <w:rsid w:val="00B71F58"/>
    <w:rsid w:val="00B71F5D"/>
    <w:rsid w:val="00B71FA6"/>
    <w:rsid w:val="00B71FC8"/>
    <w:rsid w:val="00B71FF3"/>
    <w:rsid w:val="00B72000"/>
    <w:rsid w:val="00B7209B"/>
    <w:rsid w:val="00B720A5"/>
    <w:rsid w:val="00B7212B"/>
    <w:rsid w:val="00B72228"/>
    <w:rsid w:val="00B72279"/>
    <w:rsid w:val="00B7229E"/>
    <w:rsid w:val="00B7229F"/>
    <w:rsid w:val="00B72319"/>
    <w:rsid w:val="00B723B3"/>
    <w:rsid w:val="00B723B7"/>
    <w:rsid w:val="00B72454"/>
    <w:rsid w:val="00B7245D"/>
    <w:rsid w:val="00B7249B"/>
    <w:rsid w:val="00B724D1"/>
    <w:rsid w:val="00B724E2"/>
    <w:rsid w:val="00B72531"/>
    <w:rsid w:val="00B725E5"/>
    <w:rsid w:val="00B725FC"/>
    <w:rsid w:val="00B72620"/>
    <w:rsid w:val="00B7262B"/>
    <w:rsid w:val="00B72656"/>
    <w:rsid w:val="00B7265F"/>
    <w:rsid w:val="00B726F3"/>
    <w:rsid w:val="00B7270C"/>
    <w:rsid w:val="00B7272E"/>
    <w:rsid w:val="00B7275B"/>
    <w:rsid w:val="00B72779"/>
    <w:rsid w:val="00B7278B"/>
    <w:rsid w:val="00B727B0"/>
    <w:rsid w:val="00B72844"/>
    <w:rsid w:val="00B7292A"/>
    <w:rsid w:val="00B7296D"/>
    <w:rsid w:val="00B7299A"/>
    <w:rsid w:val="00B729ED"/>
    <w:rsid w:val="00B72A1C"/>
    <w:rsid w:val="00B72A3E"/>
    <w:rsid w:val="00B72A5A"/>
    <w:rsid w:val="00B72A5F"/>
    <w:rsid w:val="00B72BAD"/>
    <w:rsid w:val="00B72C0E"/>
    <w:rsid w:val="00B72D2F"/>
    <w:rsid w:val="00B72E28"/>
    <w:rsid w:val="00B72E38"/>
    <w:rsid w:val="00B72EA7"/>
    <w:rsid w:val="00B72EEE"/>
    <w:rsid w:val="00B72EFC"/>
    <w:rsid w:val="00B72F19"/>
    <w:rsid w:val="00B72FBD"/>
    <w:rsid w:val="00B73075"/>
    <w:rsid w:val="00B730A6"/>
    <w:rsid w:val="00B730CE"/>
    <w:rsid w:val="00B730DF"/>
    <w:rsid w:val="00B730EE"/>
    <w:rsid w:val="00B73105"/>
    <w:rsid w:val="00B7324B"/>
    <w:rsid w:val="00B7325C"/>
    <w:rsid w:val="00B7333C"/>
    <w:rsid w:val="00B7338C"/>
    <w:rsid w:val="00B733CB"/>
    <w:rsid w:val="00B735D5"/>
    <w:rsid w:val="00B735EB"/>
    <w:rsid w:val="00B735F7"/>
    <w:rsid w:val="00B7366A"/>
    <w:rsid w:val="00B73687"/>
    <w:rsid w:val="00B736B6"/>
    <w:rsid w:val="00B736C8"/>
    <w:rsid w:val="00B736D0"/>
    <w:rsid w:val="00B736EC"/>
    <w:rsid w:val="00B737B4"/>
    <w:rsid w:val="00B737B5"/>
    <w:rsid w:val="00B737E2"/>
    <w:rsid w:val="00B737FB"/>
    <w:rsid w:val="00B7380D"/>
    <w:rsid w:val="00B738AA"/>
    <w:rsid w:val="00B73924"/>
    <w:rsid w:val="00B73AE3"/>
    <w:rsid w:val="00B73AFD"/>
    <w:rsid w:val="00B73B2A"/>
    <w:rsid w:val="00B73C19"/>
    <w:rsid w:val="00B73CA7"/>
    <w:rsid w:val="00B73CAA"/>
    <w:rsid w:val="00B73CEB"/>
    <w:rsid w:val="00B73E18"/>
    <w:rsid w:val="00B73E2D"/>
    <w:rsid w:val="00B73ED7"/>
    <w:rsid w:val="00B73F0E"/>
    <w:rsid w:val="00B73FD6"/>
    <w:rsid w:val="00B74072"/>
    <w:rsid w:val="00B7410B"/>
    <w:rsid w:val="00B7410D"/>
    <w:rsid w:val="00B74259"/>
    <w:rsid w:val="00B7425D"/>
    <w:rsid w:val="00B74263"/>
    <w:rsid w:val="00B74282"/>
    <w:rsid w:val="00B742D1"/>
    <w:rsid w:val="00B74358"/>
    <w:rsid w:val="00B743D8"/>
    <w:rsid w:val="00B7442E"/>
    <w:rsid w:val="00B74450"/>
    <w:rsid w:val="00B7446D"/>
    <w:rsid w:val="00B7456C"/>
    <w:rsid w:val="00B7458B"/>
    <w:rsid w:val="00B7461D"/>
    <w:rsid w:val="00B746F1"/>
    <w:rsid w:val="00B74710"/>
    <w:rsid w:val="00B7476F"/>
    <w:rsid w:val="00B747A6"/>
    <w:rsid w:val="00B747C5"/>
    <w:rsid w:val="00B748A5"/>
    <w:rsid w:val="00B748A6"/>
    <w:rsid w:val="00B74920"/>
    <w:rsid w:val="00B7497A"/>
    <w:rsid w:val="00B749C1"/>
    <w:rsid w:val="00B74A95"/>
    <w:rsid w:val="00B74AA7"/>
    <w:rsid w:val="00B74AA9"/>
    <w:rsid w:val="00B74BF8"/>
    <w:rsid w:val="00B74C22"/>
    <w:rsid w:val="00B74C54"/>
    <w:rsid w:val="00B74C9E"/>
    <w:rsid w:val="00B74D31"/>
    <w:rsid w:val="00B74DAA"/>
    <w:rsid w:val="00B74E50"/>
    <w:rsid w:val="00B74EFB"/>
    <w:rsid w:val="00B74F34"/>
    <w:rsid w:val="00B74F72"/>
    <w:rsid w:val="00B7500C"/>
    <w:rsid w:val="00B75022"/>
    <w:rsid w:val="00B750C1"/>
    <w:rsid w:val="00B750CF"/>
    <w:rsid w:val="00B750D9"/>
    <w:rsid w:val="00B75191"/>
    <w:rsid w:val="00B751A9"/>
    <w:rsid w:val="00B754C6"/>
    <w:rsid w:val="00B754DC"/>
    <w:rsid w:val="00B754FF"/>
    <w:rsid w:val="00B75597"/>
    <w:rsid w:val="00B755A1"/>
    <w:rsid w:val="00B75623"/>
    <w:rsid w:val="00B75657"/>
    <w:rsid w:val="00B75699"/>
    <w:rsid w:val="00B756E3"/>
    <w:rsid w:val="00B7578F"/>
    <w:rsid w:val="00B758CB"/>
    <w:rsid w:val="00B7590B"/>
    <w:rsid w:val="00B7590D"/>
    <w:rsid w:val="00B75955"/>
    <w:rsid w:val="00B75982"/>
    <w:rsid w:val="00B759F5"/>
    <w:rsid w:val="00B75A59"/>
    <w:rsid w:val="00B75ABB"/>
    <w:rsid w:val="00B75AD3"/>
    <w:rsid w:val="00B75B11"/>
    <w:rsid w:val="00B75B48"/>
    <w:rsid w:val="00B75BEF"/>
    <w:rsid w:val="00B75C58"/>
    <w:rsid w:val="00B75D42"/>
    <w:rsid w:val="00B75D7B"/>
    <w:rsid w:val="00B75DFF"/>
    <w:rsid w:val="00B75E0D"/>
    <w:rsid w:val="00B75E17"/>
    <w:rsid w:val="00B75E60"/>
    <w:rsid w:val="00B75EB9"/>
    <w:rsid w:val="00B75F4F"/>
    <w:rsid w:val="00B75FC9"/>
    <w:rsid w:val="00B760E3"/>
    <w:rsid w:val="00B76129"/>
    <w:rsid w:val="00B7612C"/>
    <w:rsid w:val="00B761A0"/>
    <w:rsid w:val="00B761EA"/>
    <w:rsid w:val="00B761F9"/>
    <w:rsid w:val="00B7621B"/>
    <w:rsid w:val="00B7623C"/>
    <w:rsid w:val="00B762A1"/>
    <w:rsid w:val="00B764D7"/>
    <w:rsid w:val="00B76556"/>
    <w:rsid w:val="00B7661E"/>
    <w:rsid w:val="00B76645"/>
    <w:rsid w:val="00B766AC"/>
    <w:rsid w:val="00B76755"/>
    <w:rsid w:val="00B767EF"/>
    <w:rsid w:val="00B768A2"/>
    <w:rsid w:val="00B76974"/>
    <w:rsid w:val="00B769AB"/>
    <w:rsid w:val="00B76A47"/>
    <w:rsid w:val="00B76A6E"/>
    <w:rsid w:val="00B76A9D"/>
    <w:rsid w:val="00B76B88"/>
    <w:rsid w:val="00B76C90"/>
    <w:rsid w:val="00B76C9D"/>
    <w:rsid w:val="00B76CBA"/>
    <w:rsid w:val="00B76D0A"/>
    <w:rsid w:val="00B76D43"/>
    <w:rsid w:val="00B76DE2"/>
    <w:rsid w:val="00B76EC3"/>
    <w:rsid w:val="00B76FBF"/>
    <w:rsid w:val="00B77038"/>
    <w:rsid w:val="00B770AD"/>
    <w:rsid w:val="00B770B9"/>
    <w:rsid w:val="00B770CA"/>
    <w:rsid w:val="00B7717A"/>
    <w:rsid w:val="00B77298"/>
    <w:rsid w:val="00B77307"/>
    <w:rsid w:val="00B7730D"/>
    <w:rsid w:val="00B7735B"/>
    <w:rsid w:val="00B773E0"/>
    <w:rsid w:val="00B7748B"/>
    <w:rsid w:val="00B7749F"/>
    <w:rsid w:val="00B774B2"/>
    <w:rsid w:val="00B774BB"/>
    <w:rsid w:val="00B77579"/>
    <w:rsid w:val="00B77580"/>
    <w:rsid w:val="00B77595"/>
    <w:rsid w:val="00B77644"/>
    <w:rsid w:val="00B77645"/>
    <w:rsid w:val="00B7768A"/>
    <w:rsid w:val="00B77780"/>
    <w:rsid w:val="00B777AF"/>
    <w:rsid w:val="00B7786A"/>
    <w:rsid w:val="00B77876"/>
    <w:rsid w:val="00B778C2"/>
    <w:rsid w:val="00B77A8B"/>
    <w:rsid w:val="00B77ADD"/>
    <w:rsid w:val="00B77B32"/>
    <w:rsid w:val="00B77B4B"/>
    <w:rsid w:val="00B77BCD"/>
    <w:rsid w:val="00B77C2F"/>
    <w:rsid w:val="00B77C9B"/>
    <w:rsid w:val="00B77CDB"/>
    <w:rsid w:val="00B77D1A"/>
    <w:rsid w:val="00B77D6A"/>
    <w:rsid w:val="00B77DD3"/>
    <w:rsid w:val="00B77DD4"/>
    <w:rsid w:val="00B77EC5"/>
    <w:rsid w:val="00B77F8A"/>
    <w:rsid w:val="00B77FCF"/>
    <w:rsid w:val="00B77FEB"/>
    <w:rsid w:val="00B8002A"/>
    <w:rsid w:val="00B8010D"/>
    <w:rsid w:val="00B8011C"/>
    <w:rsid w:val="00B8017E"/>
    <w:rsid w:val="00B801D8"/>
    <w:rsid w:val="00B801F5"/>
    <w:rsid w:val="00B8020D"/>
    <w:rsid w:val="00B802AE"/>
    <w:rsid w:val="00B802C3"/>
    <w:rsid w:val="00B802E6"/>
    <w:rsid w:val="00B80343"/>
    <w:rsid w:val="00B80374"/>
    <w:rsid w:val="00B803B5"/>
    <w:rsid w:val="00B803CE"/>
    <w:rsid w:val="00B8041A"/>
    <w:rsid w:val="00B80440"/>
    <w:rsid w:val="00B80455"/>
    <w:rsid w:val="00B80480"/>
    <w:rsid w:val="00B80597"/>
    <w:rsid w:val="00B8062C"/>
    <w:rsid w:val="00B80705"/>
    <w:rsid w:val="00B8070A"/>
    <w:rsid w:val="00B8072F"/>
    <w:rsid w:val="00B80780"/>
    <w:rsid w:val="00B80795"/>
    <w:rsid w:val="00B8079D"/>
    <w:rsid w:val="00B807DA"/>
    <w:rsid w:val="00B80810"/>
    <w:rsid w:val="00B80820"/>
    <w:rsid w:val="00B80866"/>
    <w:rsid w:val="00B80875"/>
    <w:rsid w:val="00B80897"/>
    <w:rsid w:val="00B808CB"/>
    <w:rsid w:val="00B808E4"/>
    <w:rsid w:val="00B808F1"/>
    <w:rsid w:val="00B80915"/>
    <w:rsid w:val="00B80922"/>
    <w:rsid w:val="00B80985"/>
    <w:rsid w:val="00B809C7"/>
    <w:rsid w:val="00B809F6"/>
    <w:rsid w:val="00B80A5B"/>
    <w:rsid w:val="00B80AD9"/>
    <w:rsid w:val="00B80B1E"/>
    <w:rsid w:val="00B80B83"/>
    <w:rsid w:val="00B80BB3"/>
    <w:rsid w:val="00B80C68"/>
    <w:rsid w:val="00B80CDA"/>
    <w:rsid w:val="00B80D49"/>
    <w:rsid w:val="00B80E94"/>
    <w:rsid w:val="00B80EFE"/>
    <w:rsid w:val="00B80F3D"/>
    <w:rsid w:val="00B80F51"/>
    <w:rsid w:val="00B81054"/>
    <w:rsid w:val="00B810A4"/>
    <w:rsid w:val="00B810C6"/>
    <w:rsid w:val="00B8112A"/>
    <w:rsid w:val="00B8118B"/>
    <w:rsid w:val="00B81190"/>
    <w:rsid w:val="00B81203"/>
    <w:rsid w:val="00B8121C"/>
    <w:rsid w:val="00B81252"/>
    <w:rsid w:val="00B81287"/>
    <w:rsid w:val="00B812A0"/>
    <w:rsid w:val="00B812C4"/>
    <w:rsid w:val="00B812D1"/>
    <w:rsid w:val="00B812D6"/>
    <w:rsid w:val="00B812F6"/>
    <w:rsid w:val="00B8130F"/>
    <w:rsid w:val="00B81378"/>
    <w:rsid w:val="00B8148A"/>
    <w:rsid w:val="00B81537"/>
    <w:rsid w:val="00B815A8"/>
    <w:rsid w:val="00B81646"/>
    <w:rsid w:val="00B81668"/>
    <w:rsid w:val="00B8175E"/>
    <w:rsid w:val="00B81859"/>
    <w:rsid w:val="00B8188A"/>
    <w:rsid w:val="00B818C9"/>
    <w:rsid w:val="00B81977"/>
    <w:rsid w:val="00B8198C"/>
    <w:rsid w:val="00B81B21"/>
    <w:rsid w:val="00B81B23"/>
    <w:rsid w:val="00B81B45"/>
    <w:rsid w:val="00B81B7D"/>
    <w:rsid w:val="00B81BED"/>
    <w:rsid w:val="00B81C0C"/>
    <w:rsid w:val="00B81C43"/>
    <w:rsid w:val="00B81C8F"/>
    <w:rsid w:val="00B81C9C"/>
    <w:rsid w:val="00B81D41"/>
    <w:rsid w:val="00B81D4E"/>
    <w:rsid w:val="00B81D68"/>
    <w:rsid w:val="00B81D80"/>
    <w:rsid w:val="00B81DD2"/>
    <w:rsid w:val="00B81E69"/>
    <w:rsid w:val="00B81E93"/>
    <w:rsid w:val="00B81EDD"/>
    <w:rsid w:val="00B81EFB"/>
    <w:rsid w:val="00B81F30"/>
    <w:rsid w:val="00B820A0"/>
    <w:rsid w:val="00B820FE"/>
    <w:rsid w:val="00B82164"/>
    <w:rsid w:val="00B82167"/>
    <w:rsid w:val="00B821B2"/>
    <w:rsid w:val="00B821B6"/>
    <w:rsid w:val="00B82219"/>
    <w:rsid w:val="00B8224A"/>
    <w:rsid w:val="00B82288"/>
    <w:rsid w:val="00B822BE"/>
    <w:rsid w:val="00B82339"/>
    <w:rsid w:val="00B823DB"/>
    <w:rsid w:val="00B82497"/>
    <w:rsid w:val="00B824F4"/>
    <w:rsid w:val="00B8254F"/>
    <w:rsid w:val="00B82550"/>
    <w:rsid w:val="00B8261A"/>
    <w:rsid w:val="00B8264A"/>
    <w:rsid w:val="00B8275A"/>
    <w:rsid w:val="00B827AA"/>
    <w:rsid w:val="00B827CE"/>
    <w:rsid w:val="00B8282B"/>
    <w:rsid w:val="00B82870"/>
    <w:rsid w:val="00B828BA"/>
    <w:rsid w:val="00B82929"/>
    <w:rsid w:val="00B8296C"/>
    <w:rsid w:val="00B829C0"/>
    <w:rsid w:val="00B82A09"/>
    <w:rsid w:val="00B82A3D"/>
    <w:rsid w:val="00B82A4F"/>
    <w:rsid w:val="00B82B03"/>
    <w:rsid w:val="00B82B41"/>
    <w:rsid w:val="00B82B5F"/>
    <w:rsid w:val="00B82B91"/>
    <w:rsid w:val="00B82C14"/>
    <w:rsid w:val="00B82C17"/>
    <w:rsid w:val="00B82C4D"/>
    <w:rsid w:val="00B82C4F"/>
    <w:rsid w:val="00B82C69"/>
    <w:rsid w:val="00B82C7A"/>
    <w:rsid w:val="00B82CB9"/>
    <w:rsid w:val="00B82CCE"/>
    <w:rsid w:val="00B82DA2"/>
    <w:rsid w:val="00B82DAB"/>
    <w:rsid w:val="00B82DD6"/>
    <w:rsid w:val="00B82DEB"/>
    <w:rsid w:val="00B82E1D"/>
    <w:rsid w:val="00B82EA7"/>
    <w:rsid w:val="00B82EC4"/>
    <w:rsid w:val="00B82F4C"/>
    <w:rsid w:val="00B82F84"/>
    <w:rsid w:val="00B82F9B"/>
    <w:rsid w:val="00B82FA5"/>
    <w:rsid w:val="00B82FD2"/>
    <w:rsid w:val="00B83039"/>
    <w:rsid w:val="00B8306A"/>
    <w:rsid w:val="00B83083"/>
    <w:rsid w:val="00B830A4"/>
    <w:rsid w:val="00B830E4"/>
    <w:rsid w:val="00B8319A"/>
    <w:rsid w:val="00B83442"/>
    <w:rsid w:val="00B8344E"/>
    <w:rsid w:val="00B83453"/>
    <w:rsid w:val="00B83466"/>
    <w:rsid w:val="00B83471"/>
    <w:rsid w:val="00B83497"/>
    <w:rsid w:val="00B83505"/>
    <w:rsid w:val="00B83529"/>
    <w:rsid w:val="00B83541"/>
    <w:rsid w:val="00B83552"/>
    <w:rsid w:val="00B8363D"/>
    <w:rsid w:val="00B836BE"/>
    <w:rsid w:val="00B8375A"/>
    <w:rsid w:val="00B83786"/>
    <w:rsid w:val="00B838AE"/>
    <w:rsid w:val="00B838FE"/>
    <w:rsid w:val="00B83907"/>
    <w:rsid w:val="00B83932"/>
    <w:rsid w:val="00B83947"/>
    <w:rsid w:val="00B8395F"/>
    <w:rsid w:val="00B83988"/>
    <w:rsid w:val="00B83A4F"/>
    <w:rsid w:val="00B83AD2"/>
    <w:rsid w:val="00B83BA1"/>
    <w:rsid w:val="00B83BE8"/>
    <w:rsid w:val="00B83C58"/>
    <w:rsid w:val="00B83DB1"/>
    <w:rsid w:val="00B83DFD"/>
    <w:rsid w:val="00B83E07"/>
    <w:rsid w:val="00B83E2A"/>
    <w:rsid w:val="00B83E7F"/>
    <w:rsid w:val="00B83EC1"/>
    <w:rsid w:val="00B83F07"/>
    <w:rsid w:val="00B83F30"/>
    <w:rsid w:val="00B83F3D"/>
    <w:rsid w:val="00B83F40"/>
    <w:rsid w:val="00B8406C"/>
    <w:rsid w:val="00B8406D"/>
    <w:rsid w:val="00B8408D"/>
    <w:rsid w:val="00B840CA"/>
    <w:rsid w:val="00B8415C"/>
    <w:rsid w:val="00B841FB"/>
    <w:rsid w:val="00B84299"/>
    <w:rsid w:val="00B842E3"/>
    <w:rsid w:val="00B84335"/>
    <w:rsid w:val="00B843B8"/>
    <w:rsid w:val="00B845E1"/>
    <w:rsid w:val="00B845F9"/>
    <w:rsid w:val="00B84600"/>
    <w:rsid w:val="00B8462B"/>
    <w:rsid w:val="00B84695"/>
    <w:rsid w:val="00B84763"/>
    <w:rsid w:val="00B8479E"/>
    <w:rsid w:val="00B847D2"/>
    <w:rsid w:val="00B848E3"/>
    <w:rsid w:val="00B8498F"/>
    <w:rsid w:val="00B84A3E"/>
    <w:rsid w:val="00B84A6B"/>
    <w:rsid w:val="00B84A8A"/>
    <w:rsid w:val="00B84A9E"/>
    <w:rsid w:val="00B84B0A"/>
    <w:rsid w:val="00B84B9E"/>
    <w:rsid w:val="00B84BA7"/>
    <w:rsid w:val="00B84C02"/>
    <w:rsid w:val="00B84C22"/>
    <w:rsid w:val="00B84C3B"/>
    <w:rsid w:val="00B84C58"/>
    <w:rsid w:val="00B84C8E"/>
    <w:rsid w:val="00B84C9D"/>
    <w:rsid w:val="00B84D10"/>
    <w:rsid w:val="00B84D1D"/>
    <w:rsid w:val="00B84D6D"/>
    <w:rsid w:val="00B84E20"/>
    <w:rsid w:val="00B84EA8"/>
    <w:rsid w:val="00B84F0B"/>
    <w:rsid w:val="00B84FA7"/>
    <w:rsid w:val="00B85053"/>
    <w:rsid w:val="00B850BE"/>
    <w:rsid w:val="00B85149"/>
    <w:rsid w:val="00B851B6"/>
    <w:rsid w:val="00B851BF"/>
    <w:rsid w:val="00B851EC"/>
    <w:rsid w:val="00B85348"/>
    <w:rsid w:val="00B85364"/>
    <w:rsid w:val="00B8536F"/>
    <w:rsid w:val="00B85404"/>
    <w:rsid w:val="00B85407"/>
    <w:rsid w:val="00B85418"/>
    <w:rsid w:val="00B8548D"/>
    <w:rsid w:val="00B854B0"/>
    <w:rsid w:val="00B854F4"/>
    <w:rsid w:val="00B855F7"/>
    <w:rsid w:val="00B85673"/>
    <w:rsid w:val="00B856F8"/>
    <w:rsid w:val="00B85727"/>
    <w:rsid w:val="00B85771"/>
    <w:rsid w:val="00B8584A"/>
    <w:rsid w:val="00B85863"/>
    <w:rsid w:val="00B85920"/>
    <w:rsid w:val="00B85963"/>
    <w:rsid w:val="00B85A5B"/>
    <w:rsid w:val="00B85AAB"/>
    <w:rsid w:val="00B85AD2"/>
    <w:rsid w:val="00B85B6E"/>
    <w:rsid w:val="00B85B95"/>
    <w:rsid w:val="00B85BAC"/>
    <w:rsid w:val="00B85C0B"/>
    <w:rsid w:val="00B85CB4"/>
    <w:rsid w:val="00B85CC3"/>
    <w:rsid w:val="00B85D23"/>
    <w:rsid w:val="00B85D71"/>
    <w:rsid w:val="00B85D8A"/>
    <w:rsid w:val="00B85DB5"/>
    <w:rsid w:val="00B85E50"/>
    <w:rsid w:val="00B85EA0"/>
    <w:rsid w:val="00B85ECC"/>
    <w:rsid w:val="00B85F01"/>
    <w:rsid w:val="00B85F59"/>
    <w:rsid w:val="00B85FE0"/>
    <w:rsid w:val="00B860A3"/>
    <w:rsid w:val="00B860E0"/>
    <w:rsid w:val="00B86114"/>
    <w:rsid w:val="00B8616D"/>
    <w:rsid w:val="00B861F4"/>
    <w:rsid w:val="00B86274"/>
    <w:rsid w:val="00B86290"/>
    <w:rsid w:val="00B86335"/>
    <w:rsid w:val="00B86349"/>
    <w:rsid w:val="00B86399"/>
    <w:rsid w:val="00B8639D"/>
    <w:rsid w:val="00B86441"/>
    <w:rsid w:val="00B86452"/>
    <w:rsid w:val="00B8647E"/>
    <w:rsid w:val="00B8649A"/>
    <w:rsid w:val="00B864A6"/>
    <w:rsid w:val="00B864C8"/>
    <w:rsid w:val="00B86528"/>
    <w:rsid w:val="00B8652A"/>
    <w:rsid w:val="00B86573"/>
    <w:rsid w:val="00B866CF"/>
    <w:rsid w:val="00B867CD"/>
    <w:rsid w:val="00B86897"/>
    <w:rsid w:val="00B8694E"/>
    <w:rsid w:val="00B8696D"/>
    <w:rsid w:val="00B869CD"/>
    <w:rsid w:val="00B86A71"/>
    <w:rsid w:val="00B86AC5"/>
    <w:rsid w:val="00B86B21"/>
    <w:rsid w:val="00B86B23"/>
    <w:rsid w:val="00B86B8E"/>
    <w:rsid w:val="00B86B98"/>
    <w:rsid w:val="00B86C0A"/>
    <w:rsid w:val="00B86C3C"/>
    <w:rsid w:val="00B86D4D"/>
    <w:rsid w:val="00B86D6B"/>
    <w:rsid w:val="00B86E01"/>
    <w:rsid w:val="00B86E42"/>
    <w:rsid w:val="00B86E69"/>
    <w:rsid w:val="00B86F20"/>
    <w:rsid w:val="00B86F24"/>
    <w:rsid w:val="00B86F2E"/>
    <w:rsid w:val="00B86F3A"/>
    <w:rsid w:val="00B86FBE"/>
    <w:rsid w:val="00B870D6"/>
    <w:rsid w:val="00B870E3"/>
    <w:rsid w:val="00B87172"/>
    <w:rsid w:val="00B871D1"/>
    <w:rsid w:val="00B871F8"/>
    <w:rsid w:val="00B8721C"/>
    <w:rsid w:val="00B87287"/>
    <w:rsid w:val="00B872FF"/>
    <w:rsid w:val="00B8732D"/>
    <w:rsid w:val="00B87429"/>
    <w:rsid w:val="00B87539"/>
    <w:rsid w:val="00B87568"/>
    <w:rsid w:val="00B875F5"/>
    <w:rsid w:val="00B87618"/>
    <w:rsid w:val="00B8762F"/>
    <w:rsid w:val="00B8763E"/>
    <w:rsid w:val="00B87696"/>
    <w:rsid w:val="00B876C7"/>
    <w:rsid w:val="00B876C8"/>
    <w:rsid w:val="00B8771A"/>
    <w:rsid w:val="00B8774B"/>
    <w:rsid w:val="00B8777B"/>
    <w:rsid w:val="00B877AE"/>
    <w:rsid w:val="00B877DB"/>
    <w:rsid w:val="00B87812"/>
    <w:rsid w:val="00B87822"/>
    <w:rsid w:val="00B87847"/>
    <w:rsid w:val="00B878B6"/>
    <w:rsid w:val="00B87948"/>
    <w:rsid w:val="00B87979"/>
    <w:rsid w:val="00B87987"/>
    <w:rsid w:val="00B879CB"/>
    <w:rsid w:val="00B87A0B"/>
    <w:rsid w:val="00B87A7B"/>
    <w:rsid w:val="00B87AE0"/>
    <w:rsid w:val="00B87B87"/>
    <w:rsid w:val="00B87CCE"/>
    <w:rsid w:val="00B87CEF"/>
    <w:rsid w:val="00B87D30"/>
    <w:rsid w:val="00B87DE2"/>
    <w:rsid w:val="00B87E30"/>
    <w:rsid w:val="00B87EBB"/>
    <w:rsid w:val="00B87EE4"/>
    <w:rsid w:val="00B87F76"/>
    <w:rsid w:val="00B87FB8"/>
    <w:rsid w:val="00B87FEA"/>
    <w:rsid w:val="00B90099"/>
    <w:rsid w:val="00B90181"/>
    <w:rsid w:val="00B901CC"/>
    <w:rsid w:val="00B90268"/>
    <w:rsid w:val="00B9030B"/>
    <w:rsid w:val="00B90364"/>
    <w:rsid w:val="00B903A0"/>
    <w:rsid w:val="00B90430"/>
    <w:rsid w:val="00B904FD"/>
    <w:rsid w:val="00B9051D"/>
    <w:rsid w:val="00B90533"/>
    <w:rsid w:val="00B90541"/>
    <w:rsid w:val="00B905E6"/>
    <w:rsid w:val="00B90603"/>
    <w:rsid w:val="00B9064B"/>
    <w:rsid w:val="00B90684"/>
    <w:rsid w:val="00B9082F"/>
    <w:rsid w:val="00B90878"/>
    <w:rsid w:val="00B9094A"/>
    <w:rsid w:val="00B90963"/>
    <w:rsid w:val="00B90A0F"/>
    <w:rsid w:val="00B90A3B"/>
    <w:rsid w:val="00B90A43"/>
    <w:rsid w:val="00B90A6F"/>
    <w:rsid w:val="00B90A82"/>
    <w:rsid w:val="00B90A98"/>
    <w:rsid w:val="00B90AD5"/>
    <w:rsid w:val="00B90AEC"/>
    <w:rsid w:val="00B90AEE"/>
    <w:rsid w:val="00B90B1F"/>
    <w:rsid w:val="00B90BB3"/>
    <w:rsid w:val="00B90C15"/>
    <w:rsid w:val="00B90C6E"/>
    <w:rsid w:val="00B90CB3"/>
    <w:rsid w:val="00B90CB4"/>
    <w:rsid w:val="00B90D20"/>
    <w:rsid w:val="00B90D4C"/>
    <w:rsid w:val="00B90DA1"/>
    <w:rsid w:val="00B90DA9"/>
    <w:rsid w:val="00B90DAB"/>
    <w:rsid w:val="00B90E39"/>
    <w:rsid w:val="00B90E3E"/>
    <w:rsid w:val="00B90EAA"/>
    <w:rsid w:val="00B90FC6"/>
    <w:rsid w:val="00B91017"/>
    <w:rsid w:val="00B9118E"/>
    <w:rsid w:val="00B91193"/>
    <w:rsid w:val="00B91291"/>
    <w:rsid w:val="00B912B4"/>
    <w:rsid w:val="00B912BE"/>
    <w:rsid w:val="00B9131D"/>
    <w:rsid w:val="00B913DF"/>
    <w:rsid w:val="00B913FD"/>
    <w:rsid w:val="00B91425"/>
    <w:rsid w:val="00B91427"/>
    <w:rsid w:val="00B915DF"/>
    <w:rsid w:val="00B916A9"/>
    <w:rsid w:val="00B91738"/>
    <w:rsid w:val="00B9173A"/>
    <w:rsid w:val="00B91740"/>
    <w:rsid w:val="00B9179C"/>
    <w:rsid w:val="00B91878"/>
    <w:rsid w:val="00B9187E"/>
    <w:rsid w:val="00B918D4"/>
    <w:rsid w:val="00B91918"/>
    <w:rsid w:val="00B91967"/>
    <w:rsid w:val="00B91980"/>
    <w:rsid w:val="00B91988"/>
    <w:rsid w:val="00B9199A"/>
    <w:rsid w:val="00B919EF"/>
    <w:rsid w:val="00B91A31"/>
    <w:rsid w:val="00B91A98"/>
    <w:rsid w:val="00B91C30"/>
    <w:rsid w:val="00B91C5B"/>
    <w:rsid w:val="00B91CA7"/>
    <w:rsid w:val="00B91E0B"/>
    <w:rsid w:val="00B91E5E"/>
    <w:rsid w:val="00B91EB1"/>
    <w:rsid w:val="00B91EC8"/>
    <w:rsid w:val="00B91ED0"/>
    <w:rsid w:val="00B91F84"/>
    <w:rsid w:val="00B91FDB"/>
    <w:rsid w:val="00B92044"/>
    <w:rsid w:val="00B920D6"/>
    <w:rsid w:val="00B9217A"/>
    <w:rsid w:val="00B921AE"/>
    <w:rsid w:val="00B922D3"/>
    <w:rsid w:val="00B922E4"/>
    <w:rsid w:val="00B92379"/>
    <w:rsid w:val="00B9238A"/>
    <w:rsid w:val="00B923B9"/>
    <w:rsid w:val="00B923EE"/>
    <w:rsid w:val="00B92423"/>
    <w:rsid w:val="00B9246B"/>
    <w:rsid w:val="00B92503"/>
    <w:rsid w:val="00B925D0"/>
    <w:rsid w:val="00B9269A"/>
    <w:rsid w:val="00B926C6"/>
    <w:rsid w:val="00B926EC"/>
    <w:rsid w:val="00B92740"/>
    <w:rsid w:val="00B92743"/>
    <w:rsid w:val="00B92751"/>
    <w:rsid w:val="00B92786"/>
    <w:rsid w:val="00B9282A"/>
    <w:rsid w:val="00B92872"/>
    <w:rsid w:val="00B92883"/>
    <w:rsid w:val="00B92936"/>
    <w:rsid w:val="00B92985"/>
    <w:rsid w:val="00B929CB"/>
    <w:rsid w:val="00B92A42"/>
    <w:rsid w:val="00B92A4B"/>
    <w:rsid w:val="00B92B07"/>
    <w:rsid w:val="00B92B9B"/>
    <w:rsid w:val="00B92BDB"/>
    <w:rsid w:val="00B92CE8"/>
    <w:rsid w:val="00B92D34"/>
    <w:rsid w:val="00B92D87"/>
    <w:rsid w:val="00B92D98"/>
    <w:rsid w:val="00B92E76"/>
    <w:rsid w:val="00B92EB0"/>
    <w:rsid w:val="00B92FA2"/>
    <w:rsid w:val="00B92FEA"/>
    <w:rsid w:val="00B92FFC"/>
    <w:rsid w:val="00B9300A"/>
    <w:rsid w:val="00B9302D"/>
    <w:rsid w:val="00B93069"/>
    <w:rsid w:val="00B930F6"/>
    <w:rsid w:val="00B93157"/>
    <w:rsid w:val="00B9317F"/>
    <w:rsid w:val="00B931AA"/>
    <w:rsid w:val="00B931BB"/>
    <w:rsid w:val="00B931DF"/>
    <w:rsid w:val="00B93237"/>
    <w:rsid w:val="00B932BF"/>
    <w:rsid w:val="00B933A8"/>
    <w:rsid w:val="00B9340F"/>
    <w:rsid w:val="00B9346A"/>
    <w:rsid w:val="00B934DC"/>
    <w:rsid w:val="00B93506"/>
    <w:rsid w:val="00B93629"/>
    <w:rsid w:val="00B936DD"/>
    <w:rsid w:val="00B93712"/>
    <w:rsid w:val="00B93716"/>
    <w:rsid w:val="00B9373D"/>
    <w:rsid w:val="00B93740"/>
    <w:rsid w:val="00B9382B"/>
    <w:rsid w:val="00B938A7"/>
    <w:rsid w:val="00B938CD"/>
    <w:rsid w:val="00B938D1"/>
    <w:rsid w:val="00B938D9"/>
    <w:rsid w:val="00B938F6"/>
    <w:rsid w:val="00B9390F"/>
    <w:rsid w:val="00B939A1"/>
    <w:rsid w:val="00B939A4"/>
    <w:rsid w:val="00B939EA"/>
    <w:rsid w:val="00B93A8A"/>
    <w:rsid w:val="00B93ABA"/>
    <w:rsid w:val="00B93BC7"/>
    <w:rsid w:val="00B93CBC"/>
    <w:rsid w:val="00B93D51"/>
    <w:rsid w:val="00B93D53"/>
    <w:rsid w:val="00B93D59"/>
    <w:rsid w:val="00B93EC8"/>
    <w:rsid w:val="00B93FD5"/>
    <w:rsid w:val="00B9403D"/>
    <w:rsid w:val="00B9403F"/>
    <w:rsid w:val="00B9405E"/>
    <w:rsid w:val="00B9407E"/>
    <w:rsid w:val="00B940E4"/>
    <w:rsid w:val="00B9410C"/>
    <w:rsid w:val="00B941A3"/>
    <w:rsid w:val="00B941B3"/>
    <w:rsid w:val="00B941E2"/>
    <w:rsid w:val="00B941FD"/>
    <w:rsid w:val="00B94209"/>
    <w:rsid w:val="00B94218"/>
    <w:rsid w:val="00B94243"/>
    <w:rsid w:val="00B9424F"/>
    <w:rsid w:val="00B942B7"/>
    <w:rsid w:val="00B94394"/>
    <w:rsid w:val="00B943D6"/>
    <w:rsid w:val="00B94467"/>
    <w:rsid w:val="00B94479"/>
    <w:rsid w:val="00B94485"/>
    <w:rsid w:val="00B945E8"/>
    <w:rsid w:val="00B946A2"/>
    <w:rsid w:val="00B946A4"/>
    <w:rsid w:val="00B946E7"/>
    <w:rsid w:val="00B9471F"/>
    <w:rsid w:val="00B9473A"/>
    <w:rsid w:val="00B947F9"/>
    <w:rsid w:val="00B94832"/>
    <w:rsid w:val="00B948A2"/>
    <w:rsid w:val="00B9490F"/>
    <w:rsid w:val="00B94937"/>
    <w:rsid w:val="00B9493F"/>
    <w:rsid w:val="00B9495F"/>
    <w:rsid w:val="00B94961"/>
    <w:rsid w:val="00B94A4A"/>
    <w:rsid w:val="00B94A5C"/>
    <w:rsid w:val="00B94A86"/>
    <w:rsid w:val="00B94AA3"/>
    <w:rsid w:val="00B94B41"/>
    <w:rsid w:val="00B94B7C"/>
    <w:rsid w:val="00B94B7E"/>
    <w:rsid w:val="00B94BFB"/>
    <w:rsid w:val="00B94CAA"/>
    <w:rsid w:val="00B94D6D"/>
    <w:rsid w:val="00B94E87"/>
    <w:rsid w:val="00B94F3A"/>
    <w:rsid w:val="00B94FF2"/>
    <w:rsid w:val="00B95037"/>
    <w:rsid w:val="00B9506A"/>
    <w:rsid w:val="00B950D1"/>
    <w:rsid w:val="00B950D8"/>
    <w:rsid w:val="00B95139"/>
    <w:rsid w:val="00B951E2"/>
    <w:rsid w:val="00B952B8"/>
    <w:rsid w:val="00B9537F"/>
    <w:rsid w:val="00B953EF"/>
    <w:rsid w:val="00B953F6"/>
    <w:rsid w:val="00B953FF"/>
    <w:rsid w:val="00B9552C"/>
    <w:rsid w:val="00B95588"/>
    <w:rsid w:val="00B955EC"/>
    <w:rsid w:val="00B95689"/>
    <w:rsid w:val="00B95731"/>
    <w:rsid w:val="00B9578B"/>
    <w:rsid w:val="00B9579D"/>
    <w:rsid w:val="00B957B1"/>
    <w:rsid w:val="00B957C8"/>
    <w:rsid w:val="00B95806"/>
    <w:rsid w:val="00B95889"/>
    <w:rsid w:val="00B9593A"/>
    <w:rsid w:val="00B95976"/>
    <w:rsid w:val="00B95984"/>
    <w:rsid w:val="00B959F3"/>
    <w:rsid w:val="00B95A16"/>
    <w:rsid w:val="00B95A3E"/>
    <w:rsid w:val="00B95AE5"/>
    <w:rsid w:val="00B95B3A"/>
    <w:rsid w:val="00B95B91"/>
    <w:rsid w:val="00B95BD0"/>
    <w:rsid w:val="00B95BD1"/>
    <w:rsid w:val="00B95BFB"/>
    <w:rsid w:val="00B95C2E"/>
    <w:rsid w:val="00B95D19"/>
    <w:rsid w:val="00B95D1E"/>
    <w:rsid w:val="00B95D81"/>
    <w:rsid w:val="00B95DB5"/>
    <w:rsid w:val="00B95E99"/>
    <w:rsid w:val="00B95EDE"/>
    <w:rsid w:val="00B95EF7"/>
    <w:rsid w:val="00B95F0A"/>
    <w:rsid w:val="00B95F7E"/>
    <w:rsid w:val="00B95FDF"/>
    <w:rsid w:val="00B96062"/>
    <w:rsid w:val="00B960AA"/>
    <w:rsid w:val="00B960CF"/>
    <w:rsid w:val="00B96176"/>
    <w:rsid w:val="00B9618C"/>
    <w:rsid w:val="00B961B5"/>
    <w:rsid w:val="00B961E2"/>
    <w:rsid w:val="00B96206"/>
    <w:rsid w:val="00B96298"/>
    <w:rsid w:val="00B9633C"/>
    <w:rsid w:val="00B9634F"/>
    <w:rsid w:val="00B9637F"/>
    <w:rsid w:val="00B963C9"/>
    <w:rsid w:val="00B963DA"/>
    <w:rsid w:val="00B96401"/>
    <w:rsid w:val="00B96446"/>
    <w:rsid w:val="00B9644F"/>
    <w:rsid w:val="00B96506"/>
    <w:rsid w:val="00B96520"/>
    <w:rsid w:val="00B96592"/>
    <w:rsid w:val="00B96598"/>
    <w:rsid w:val="00B965BE"/>
    <w:rsid w:val="00B965FB"/>
    <w:rsid w:val="00B965FC"/>
    <w:rsid w:val="00B96615"/>
    <w:rsid w:val="00B966EA"/>
    <w:rsid w:val="00B96706"/>
    <w:rsid w:val="00B96711"/>
    <w:rsid w:val="00B96868"/>
    <w:rsid w:val="00B9689C"/>
    <w:rsid w:val="00B968B1"/>
    <w:rsid w:val="00B96941"/>
    <w:rsid w:val="00B96974"/>
    <w:rsid w:val="00B96A4C"/>
    <w:rsid w:val="00B96A54"/>
    <w:rsid w:val="00B96A74"/>
    <w:rsid w:val="00B96C3A"/>
    <w:rsid w:val="00B96C43"/>
    <w:rsid w:val="00B96C67"/>
    <w:rsid w:val="00B96D12"/>
    <w:rsid w:val="00B96D22"/>
    <w:rsid w:val="00B96DB8"/>
    <w:rsid w:val="00B96DFD"/>
    <w:rsid w:val="00B96E63"/>
    <w:rsid w:val="00B96F04"/>
    <w:rsid w:val="00B96F1F"/>
    <w:rsid w:val="00B96F43"/>
    <w:rsid w:val="00B96F94"/>
    <w:rsid w:val="00B96FDB"/>
    <w:rsid w:val="00B97079"/>
    <w:rsid w:val="00B970C7"/>
    <w:rsid w:val="00B970D3"/>
    <w:rsid w:val="00B970F9"/>
    <w:rsid w:val="00B97112"/>
    <w:rsid w:val="00B9712E"/>
    <w:rsid w:val="00B97139"/>
    <w:rsid w:val="00B97176"/>
    <w:rsid w:val="00B971A1"/>
    <w:rsid w:val="00B97207"/>
    <w:rsid w:val="00B972DA"/>
    <w:rsid w:val="00B97302"/>
    <w:rsid w:val="00B97383"/>
    <w:rsid w:val="00B9741B"/>
    <w:rsid w:val="00B974AF"/>
    <w:rsid w:val="00B974F6"/>
    <w:rsid w:val="00B974FC"/>
    <w:rsid w:val="00B97578"/>
    <w:rsid w:val="00B975D5"/>
    <w:rsid w:val="00B97602"/>
    <w:rsid w:val="00B9760B"/>
    <w:rsid w:val="00B97661"/>
    <w:rsid w:val="00B97668"/>
    <w:rsid w:val="00B97682"/>
    <w:rsid w:val="00B97698"/>
    <w:rsid w:val="00B976B4"/>
    <w:rsid w:val="00B976BE"/>
    <w:rsid w:val="00B976EC"/>
    <w:rsid w:val="00B9775C"/>
    <w:rsid w:val="00B9787D"/>
    <w:rsid w:val="00B97904"/>
    <w:rsid w:val="00B97922"/>
    <w:rsid w:val="00B97958"/>
    <w:rsid w:val="00B97B10"/>
    <w:rsid w:val="00B97B38"/>
    <w:rsid w:val="00B97B75"/>
    <w:rsid w:val="00B97BF6"/>
    <w:rsid w:val="00B97C2F"/>
    <w:rsid w:val="00B97C9D"/>
    <w:rsid w:val="00B97CE4"/>
    <w:rsid w:val="00B97D42"/>
    <w:rsid w:val="00B97E4C"/>
    <w:rsid w:val="00B97E96"/>
    <w:rsid w:val="00B97F47"/>
    <w:rsid w:val="00B97FE5"/>
    <w:rsid w:val="00BA0004"/>
    <w:rsid w:val="00BA001A"/>
    <w:rsid w:val="00BA0048"/>
    <w:rsid w:val="00BA0083"/>
    <w:rsid w:val="00BA0093"/>
    <w:rsid w:val="00BA009A"/>
    <w:rsid w:val="00BA00E4"/>
    <w:rsid w:val="00BA01FE"/>
    <w:rsid w:val="00BA0226"/>
    <w:rsid w:val="00BA0242"/>
    <w:rsid w:val="00BA0261"/>
    <w:rsid w:val="00BA0295"/>
    <w:rsid w:val="00BA02CD"/>
    <w:rsid w:val="00BA0301"/>
    <w:rsid w:val="00BA030F"/>
    <w:rsid w:val="00BA0444"/>
    <w:rsid w:val="00BA0489"/>
    <w:rsid w:val="00BA04AC"/>
    <w:rsid w:val="00BA04C2"/>
    <w:rsid w:val="00BA04F1"/>
    <w:rsid w:val="00BA0501"/>
    <w:rsid w:val="00BA0517"/>
    <w:rsid w:val="00BA058D"/>
    <w:rsid w:val="00BA05A0"/>
    <w:rsid w:val="00BA05BD"/>
    <w:rsid w:val="00BA0613"/>
    <w:rsid w:val="00BA0644"/>
    <w:rsid w:val="00BA0698"/>
    <w:rsid w:val="00BA075A"/>
    <w:rsid w:val="00BA07E0"/>
    <w:rsid w:val="00BA083F"/>
    <w:rsid w:val="00BA08CC"/>
    <w:rsid w:val="00BA0984"/>
    <w:rsid w:val="00BA09DA"/>
    <w:rsid w:val="00BA0A0D"/>
    <w:rsid w:val="00BA0A38"/>
    <w:rsid w:val="00BA0A44"/>
    <w:rsid w:val="00BA0A6E"/>
    <w:rsid w:val="00BA0AEC"/>
    <w:rsid w:val="00BA0B18"/>
    <w:rsid w:val="00BA0B98"/>
    <w:rsid w:val="00BA0BBD"/>
    <w:rsid w:val="00BA0C10"/>
    <w:rsid w:val="00BA0C71"/>
    <w:rsid w:val="00BA0C95"/>
    <w:rsid w:val="00BA0CB1"/>
    <w:rsid w:val="00BA0D99"/>
    <w:rsid w:val="00BA0DA0"/>
    <w:rsid w:val="00BA0DC1"/>
    <w:rsid w:val="00BA0DE4"/>
    <w:rsid w:val="00BA0ECE"/>
    <w:rsid w:val="00BA0F28"/>
    <w:rsid w:val="00BA0F90"/>
    <w:rsid w:val="00BA1080"/>
    <w:rsid w:val="00BA10E9"/>
    <w:rsid w:val="00BA1163"/>
    <w:rsid w:val="00BA1173"/>
    <w:rsid w:val="00BA11BE"/>
    <w:rsid w:val="00BA1214"/>
    <w:rsid w:val="00BA1234"/>
    <w:rsid w:val="00BA12AD"/>
    <w:rsid w:val="00BA1318"/>
    <w:rsid w:val="00BA1396"/>
    <w:rsid w:val="00BA141E"/>
    <w:rsid w:val="00BA154A"/>
    <w:rsid w:val="00BA1582"/>
    <w:rsid w:val="00BA15E3"/>
    <w:rsid w:val="00BA15EC"/>
    <w:rsid w:val="00BA1688"/>
    <w:rsid w:val="00BA168A"/>
    <w:rsid w:val="00BA1742"/>
    <w:rsid w:val="00BA1795"/>
    <w:rsid w:val="00BA17BC"/>
    <w:rsid w:val="00BA17DD"/>
    <w:rsid w:val="00BA180B"/>
    <w:rsid w:val="00BA18A9"/>
    <w:rsid w:val="00BA191D"/>
    <w:rsid w:val="00BA1986"/>
    <w:rsid w:val="00BA1992"/>
    <w:rsid w:val="00BA19C7"/>
    <w:rsid w:val="00BA1B97"/>
    <w:rsid w:val="00BA1BCE"/>
    <w:rsid w:val="00BA1BE2"/>
    <w:rsid w:val="00BA1C74"/>
    <w:rsid w:val="00BA1C89"/>
    <w:rsid w:val="00BA1CF7"/>
    <w:rsid w:val="00BA1DA3"/>
    <w:rsid w:val="00BA1DF0"/>
    <w:rsid w:val="00BA1E19"/>
    <w:rsid w:val="00BA1EEF"/>
    <w:rsid w:val="00BA1EF6"/>
    <w:rsid w:val="00BA1F94"/>
    <w:rsid w:val="00BA2062"/>
    <w:rsid w:val="00BA2076"/>
    <w:rsid w:val="00BA20C3"/>
    <w:rsid w:val="00BA2162"/>
    <w:rsid w:val="00BA2191"/>
    <w:rsid w:val="00BA22A4"/>
    <w:rsid w:val="00BA22F8"/>
    <w:rsid w:val="00BA232E"/>
    <w:rsid w:val="00BA238D"/>
    <w:rsid w:val="00BA23AC"/>
    <w:rsid w:val="00BA23C5"/>
    <w:rsid w:val="00BA23FC"/>
    <w:rsid w:val="00BA24D6"/>
    <w:rsid w:val="00BA2525"/>
    <w:rsid w:val="00BA2556"/>
    <w:rsid w:val="00BA25FB"/>
    <w:rsid w:val="00BA266F"/>
    <w:rsid w:val="00BA2694"/>
    <w:rsid w:val="00BA26DA"/>
    <w:rsid w:val="00BA26DB"/>
    <w:rsid w:val="00BA27EC"/>
    <w:rsid w:val="00BA27F7"/>
    <w:rsid w:val="00BA280C"/>
    <w:rsid w:val="00BA2878"/>
    <w:rsid w:val="00BA291D"/>
    <w:rsid w:val="00BA292E"/>
    <w:rsid w:val="00BA29D4"/>
    <w:rsid w:val="00BA2A58"/>
    <w:rsid w:val="00BA2A73"/>
    <w:rsid w:val="00BA2A74"/>
    <w:rsid w:val="00BA2AF3"/>
    <w:rsid w:val="00BA2B0A"/>
    <w:rsid w:val="00BA2B48"/>
    <w:rsid w:val="00BA2BEC"/>
    <w:rsid w:val="00BA2C30"/>
    <w:rsid w:val="00BA2C48"/>
    <w:rsid w:val="00BA2C85"/>
    <w:rsid w:val="00BA2CB9"/>
    <w:rsid w:val="00BA2CF7"/>
    <w:rsid w:val="00BA2D37"/>
    <w:rsid w:val="00BA2D3E"/>
    <w:rsid w:val="00BA2DCD"/>
    <w:rsid w:val="00BA2E09"/>
    <w:rsid w:val="00BA2E3E"/>
    <w:rsid w:val="00BA2EAE"/>
    <w:rsid w:val="00BA2EF8"/>
    <w:rsid w:val="00BA2F0E"/>
    <w:rsid w:val="00BA2FD0"/>
    <w:rsid w:val="00BA2FE0"/>
    <w:rsid w:val="00BA3095"/>
    <w:rsid w:val="00BA30E0"/>
    <w:rsid w:val="00BA31DA"/>
    <w:rsid w:val="00BA324D"/>
    <w:rsid w:val="00BA32AA"/>
    <w:rsid w:val="00BA3347"/>
    <w:rsid w:val="00BA33B3"/>
    <w:rsid w:val="00BA33C3"/>
    <w:rsid w:val="00BA348B"/>
    <w:rsid w:val="00BA34DF"/>
    <w:rsid w:val="00BA36B4"/>
    <w:rsid w:val="00BA36D0"/>
    <w:rsid w:val="00BA36DF"/>
    <w:rsid w:val="00BA36E4"/>
    <w:rsid w:val="00BA37D9"/>
    <w:rsid w:val="00BA3832"/>
    <w:rsid w:val="00BA3843"/>
    <w:rsid w:val="00BA3854"/>
    <w:rsid w:val="00BA38A7"/>
    <w:rsid w:val="00BA38B9"/>
    <w:rsid w:val="00BA38E6"/>
    <w:rsid w:val="00BA3993"/>
    <w:rsid w:val="00BA39F4"/>
    <w:rsid w:val="00BA3AE5"/>
    <w:rsid w:val="00BA3B1D"/>
    <w:rsid w:val="00BA3B87"/>
    <w:rsid w:val="00BA3BA7"/>
    <w:rsid w:val="00BA3BE6"/>
    <w:rsid w:val="00BA3C8E"/>
    <w:rsid w:val="00BA3CF0"/>
    <w:rsid w:val="00BA3D15"/>
    <w:rsid w:val="00BA3D71"/>
    <w:rsid w:val="00BA3D9F"/>
    <w:rsid w:val="00BA3E27"/>
    <w:rsid w:val="00BA3ECA"/>
    <w:rsid w:val="00BA3EEF"/>
    <w:rsid w:val="00BA3F19"/>
    <w:rsid w:val="00BA3F5D"/>
    <w:rsid w:val="00BA3FA3"/>
    <w:rsid w:val="00BA3FD4"/>
    <w:rsid w:val="00BA3FEE"/>
    <w:rsid w:val="00BA414E"/>
    <w:rsid w:val="00BA4190"/>
    <w:rsid w:val="00BA427C"/>
    <w:rsid w:val="00BA42D8"/>
    <w:rsid w:val="00BA42E9"/>
    <w:rsid w:val="00BA4360"/>
    <w:rsid w:val="00BA43A2"/>
    <w:rsid w:val="00BA43F0"/>
    <w:rsid w:val="00BA4486"/>
    <w:rsid w:val="00BA4492"/>
    <w:rsid w:val="00BA4521"/>
    <w:rsid w:val="00BA459D"/>
    <w:rsid w:val="00BA45D4"/>
    <w:rsid w:val="00BA45E4"/>
    <w:rsid w:val="00BA460F"/>
    <w:rsid w:val="00BA4679"/>
    <w:rsid w:val="00BA47A1"/>
    <w:rsid w:val="00BA47BE"/>
    <w:rsid w:val="00BA47CF"/>
    <w:rsid w:val="00BA4824"/>
    <w:rsid w:val="00BA486C"/>
    <w:rsid w:val="00BA4881"/>
    <w:rsid w:val="00BA48AB"/>
    <w:rsid w:val="00BA494D"/>
    <w:rsid w:val="00BA4AB6"/>
    <w:rsid w:val="00BA4C3A"/>
    <w:rsid w:val="00BA4C8E"/>
    <w:rsid w:val="00BA4CBB"/>
    <w:rsid w:val="00BA4CEC"/>
    <w:rsid w:val="00BA4D02"/>
    <w:rsid w:val="00BA4D77"/>
    <w:rsid w:val="00BA4D8A"/>
    <w:rsid w:val="00BA4FBC"/>
    <w:rsid w:val="00BA4FCD"/>
    <w:rsid w:val="00BA4FFC"/>
    <w:rsid w:val="00BA5015"/>
    <w:rsid w:val="00BA5019"/>
    <w:rsid w:val="00BA5043"/>
    <w:rsid w:val="00BA508D"/>
    <w:rsid w:val="00BA50C7"/>
    <w:rsid w:val="00BA50D6"/>
    <w:rsid w:val="00BA5230"/>
    <w:rsid w:val="00BA525D"/>
    <w:rsid w:val="00BA5286"/>
    <w:rsid w:val="00BA5289"/>
    <w:rsid w:val="00BA52CC"/>
    <w:rsid w:val="00BA534F"/>
    <w:rsid w:val="00BA5402"/>
    <w:rsid w:val="00BA5438"/>
    <w:rsid w:val="00BA545D"/>
    <w:rsid w:val="00BA5530"/>
    <w:rsid w:val="00BA5680"/>
    <w:rsid w:val="00BA5738"/>
    <w:rsid w:val="00BA577F"/>
    <w:rsid w:val="00BA57A3"/>
    <w:rsid w:val="00BA57D9"/>
    <w:rsid w:val="00BA5880"/>
    <w:rsid w:val="00BA594B"/>
    <w:rsid w:val="00BA597A"/>
    <w:rsid w:val="00BA5A97"/>
    <w:rsid w:val="00BA5AF7"/>
    <w:rsid w:val="00BA5B0C"/>
    <w:rsid w:val="00BA5B34"/>
    <w:rsid w:val="00BA5B37"/>
    <w:rsid w:val="00BA5B58"/>
    <w:rsid w:val="00BA5D1C"/>
    <w:rsid w:val="00BA5D7F"/>
    <w:rsid w:val="00BA5DB4"/>
    <w:rsid w:val="00BA5F0C"/>
    <w:rsid w:val="00BA5F69"/>
    <w:rsid w:val="00BA5F90"/>
    <w:rsid w:val="00BA5FBA"/>
    <w:rsid w:val="00BA5FEB"/>
    <w:rsid w:val="00BA6005"/>
    <w:rsid w:val="00BA6050"/>
    <w:rsid w:val="00BA605C"/>
    <w:rsid w:val="00BA610C"/>
    <w:rsid w:val="00BA61CD"/>
    <w:rsid w:val="00BA620C"/>
    <w:rsid w:val="00BA62B0"/>
    <w:rsid w:val="00BA62FC"/>
    <w:rsid w:val="00BA6357"/>
    <w:rsid w:val="00BA6375"/>
    <w:rsid w:val="00BA6397"/>
    <w:rsid w:val="00BA63BB"/>
    <w:rsid w:val="00BA63E7"/>
    <w:rsid w:val="00BA6438"/>
    <w:rsid w:val="00BA6467"/>
    <w:rsid w:val="00BA6494"/>
    <w:rsid w:val="00BA64A4"/>
    <w:rsid w:val="00BA64C2"/>
    <w:rsid w:val="00BA653C"/>
    <w:rsid w:val="00BA6560"/>
    <w:rsid w:val="00BA656F"/>
    <w:rsid w:val="00BA65AE"/>
    <w:rsid w:val="00BA6617"/>
    <w:rsid w:val="00BA662C"/>
    <w:rsid w:val="00BA66D0"/>
    <w:rsid w:val="00BA6723"/>
    <w:rsid w:val="00BA672A"/>
    <w:rsid w:val="00BA6847"/>
    <w:rsid w:val="00BA6896"/>
    <w:rsid w:val="00BA689F"/>
    <w:rsid w:val="00BA6968"/>
    <w:rsid w:val="00BA6AA0"/>
    <w:rsid w:val="00BA6AB2"/>
    <w:rsid w:val="00BA6B26"/>
    <w:rsid w:val="00BA6B55"/>
    <w:rsid w:val="00BA6BC5"/>
    <w:rsid w:val="00BA6C80"/>
    <w:rsid w:val="00BA6C86"/>
    <w:rsid w:val="00BA6CA8"/>
    <w:rsid w:val="00BA6D86"/>
    <w:rsid w:val="00BA6D8A"/>
    <w:rsid w:val="00BA6DEC"/>
    <w:rsid w:val="00BA6E30"/>
    <w:rsid w:val="00BA6E38"/>
    <w:rsid w:val="00BA6E67"/>
    <w:rsid w:val="00BA6EB5"/>
    <w:rsid w:val="00BA6EB8"/>
    <w:rsid w:val="00BA6EF9"/>
    <w:rsid w:val="00BA6F18"/>
    <w:rsid w:val="00BA6F57"/>
    <w:rsid w:val="00BA6FD0"/>
    <w:rsid w:val="00BA70EF"/>
    <w:rsid w:val="00BA71A3"/>
    <w:rsid w:val="00BA71F4"/>
    <w:rsid w:val="00BA7394"/>
    <w:rsid w:val="00BA742D"/>
    <w:rsid w:val="00BA7437"/>
    <w:rsid w:val="00BA749F"/>
    <w:rsid w:val="00BA74A5"/>
    <w:rsid w:val="00BA754A"/>
    <w:rsid w:val="00BA7592"/>
    <w:rsid w:val="00BA76CF"/>
    <w:rsid w:val="00BA7716"/>
    <w:rsid w:val="00BA777E"/>
    <w:rsid w:val="00BA7799"/>
    <w:rsid w:val="00BA785D"/>
    <w:rsid w:val="00BA7887"/>
    <w:rsid w:val="00BA790A"/>
    <w:rsid w:val="00BA7961"/>
    <w:rsid w:val="00BA7999"/>
    <w:rsid w:val="00BA7A92"/>
    <w:rsid w:val="00BA7B0B"/>
    <w:rsid w:val="00BA7B5B"/>
    <w:rsid w:val="00BA7BE6"/>
    <w:rsid w:val="00BA7C71"/>
    <w:rsid w:val="00BA7CBC"/>
    <w:rsid w:val="00BA7CED"/>
    <w:rsid w:val="00BA7D5F"/>
    <w:rsid w:val="00BA7D84"/>
    <w:rsid w:val="00BA7DC0"/>
    <w:rsid w:val="00BA7DC7"/>
    <w:rsid w:val="00BA7DC9"/>
    <w:rsid w:val="00BA7DDB"/>
    <w:rsid w:val="00BA7E55"/>
    <w:rsid w:val="00BA7E71"/>
    <w:rsid w:val="00BA7E8B"/>
    <w:rsid w:val="00BA7EC1"/>
    <w:rsid w:val="00BA7F40"/>
    <w:rsid w:val="00BA7FE1"/>
    <w:rsid w:val="00BB0010"/>
    <w:rsid w:val="00BB004D"/>
    <w:rsid w:val="00BB0071"/>
    <w:rsid w:val="00BB0074"/>
    <w:rsid w:val="00BB0093"/>
    <w:rsid w:val="00BB0108"/>
    <w:rsid w:val="00BB0137"/>
    <w:rsid w:val="00BB02BF"/>
    <w:rsid w:val="00BB02FB"/>
    <w:rsid w:val="00BB03E4"/>
    <w:rsid w:val="00BB03E7"/>
    <w:rsid w:val="00BB042A"/>
    <w:rsid w:val="00BB043F"/>
    <w:rsid w:val="00BB044B"/>
    <w:rsid w:val="00BB04A3"/>
    <w:rsid w:val="00BB04A5"/>
    <w:rsid w:val="00BB04CD"/>
    <w:rsid w:val="00BB0543"/>
    <w:rsid w:val="00BB057E"/>
    <w:rsid w:val="00BB0662"/>
    <w:rsid w:val="00BB0672"/>
    <w:rsid w:val="00BB0692"/>
    <w:rsid w:val="00BB06C7"/>
    <w:rsid w:val="00BB073A"/>
    <w:rsid w:val="00BB0768"/>
    <w:rsid w:val="00BB0796"/>
    <w:rsid w:val="00BB07BC"/>
    <w:rsid w:val="00BB0814"/>
    <w:rsid w:val="00BB0831"/>
    <w:rsid w:val="00BB0867"/>
    <w:rsid w:val="00BB089A"/>
    <w:rsid w:val="00BB08DE"/>
    <w:rsid w:val="00BB0937"/>
    <w:rsid w:val="00BB0985"/>
    <w:rsid w:val="00BB09B4"/>
    <w:rsid w:val="00BB0A01"/>
    <w:rsid w:val="00BB0A51"/>
    <w:rsid w:val="00BB0ABD"/>
    <w:rsid w:val="00BB0BAF"/>
    <w:rsid w:val="00BB0CDE"/>
    <w:rsid w:val="00BB0CEE"/>
    <w:rsid w:val="00BB0CFC"/>
    <w:rsid w:val="00BB0DBD"/>
    <w:rsid w:val="00BB0DDC"/>
    <w:rsid w:val="00BB0E2E"/>
    <w:rsid w:val="00BB0EE3"/>
    <w:rsid w:val="00BB0EF5"/>
    <w:rsid w:val="00BB0F0F"/>
    <w:rsid w:val="00BB0F3A"/>
    <w:rsid w:val="00BB0F78"/>
    <w:rsid w:val="00BB109F"/>
    <w:rsid w:val="00BB10E7"/>
    <w:rsid w:val="00BB1126"/>
    <w:rsid w:val="00BB1154"/>
    <w:rsid w:val="00BB115F"/>
    <w:rsid w:val="00BB1225"/>
    <w:rsid w:val="00BB1228"/>
    <w:rsid w:val="00BB128A"/>
    <w:rsid w:val="00BB12C0"/>
    <w:rsid w:val="00BB1383"/>
    <w:rsid w:val="00BB13C8"/>
    <w:rsid w:val="00BB14AB"/>
    <w:rsid w:val="00BB14AF"/>
    <w:rsid w:val="00BB14F4"/>
    <w:rsid w:val="00BB14F5"/>
    <w:rsid w:val="00BB15A2"/>
    <w:rsid w:val="00BB1626"/>
    <w:rsid w:val="00BB1627"/>
    <w:rsid w:val="00BB1630"/>
    <w:rsid w:val="00BB16A4"/>
    <w:rsid w:val="00BB16A5"/>
    <w:rsid w:val="00BB16E8"/>
    <w:rsid w:val="00BB1723"/>
    <w:rsid w:val="00BB1757"/>
    <w:rsid w:val="00BB175F"/>
    <w:rsid w:val="00BB1777"/>
    <w:rsid w:val="00BB177B"/>
    <w:rsid w:val="00BB18B9"/>
    <w:rsid w:val="00BB18D9"/>
    <w:rsid w:val="00BB18F6"/>
    <w:rsid w:val="00BB190E"/>
    <w:rsid w:val="00BB1946"/>
    <w:rsid w:val="00BB196D"/>
    <w:rsid w:val="00BB1975"/>
    <w:rsid w:val="00BB1997"/>
    <w:rsid w:val="00BB19EA"/>
    <w:rsid w:val="00BB19ED"/>
    <w:rsid w:val="00BB19EF"/>
    <w:rsid w:val="00BB1A58"/>
    <w:rsid w:val="00BB1ADA"/>
    <w:rsid w:val="00BB1B7C"/>
    <w:rsid w:val="00BB1BE1"/>
    <w:rsid w:val="00BB1CB2"/>
    <w:rsid w:val="00BB1D30"/>
    <w:rsid w:val="00BB1D72"/>
    <w:rsid w:val="00BB1DFC"/>
    <w:rsid w:val="00BB1E28"/>
    <w:rsid w:val="00BB1E41"/>
    <w:rsid w:val="00BB1E56"/>
    <w:rsid w:val="00BB1F50"/>
    <w:rsid w:val="00BB1F52"/>
    <w:rsid w:val="00BB1F87"/>
    <w:rsid w:val="00BB1FE1"/>
    <w:rsid w:val="00BB202B"/>
    <w:rsid w:val="00BB2057"/>
    <w:rsid w:val="00BB219D"/>
    <w:rsid w:val="00BB21D0"/>
    <w:rsid w:val="00BB21E5"/>
    <w:rsid w:val="00BB222B"/>
    <w:rsid w:val="00BB2241"/>
    <w:rsid w:val="00BB2255"/>
    <w:rsid w:val="00BB2256"/>
    <w:rsid w:val="00BB2267"/>
    <w:rsid w:val="00BB22CC"/>
    <w:rsid w:val="00BB2335"/>
    <w:rsid w:val="00BB2362"/>
    <w:rsid w:val="00BB248C"/>
    <w:rsid w:val="00BB24CA"/>
    <w:rsid w:val="00BB24DC"/>
    <w:rsid w:val="00BB24FB"/>
    <w:rsid w:val="00BB2514"/>
    <w:rsid w:val="00BB2574"/>
    <w:rsid w:val="00BB2575"/>
    <w:rsid w:val="00BB25AB"/>
    <w:rsid w:val="00BB25B8"/>
    <w:rsid w:val="00BB25DE"/>
    <w:rsid w:val="00BB267A"/>
    <w:rsid w:val="00BB26DC"/>
    <w:rsid w:val="00BB2717"/>
    <w:rsid w:val="00BB274B"/>
    <w:rsid w:val="00BB278A"/>
    <w:rsid w:val="00BB2839"/>
    <w:rsid w:val="00BB2872"/>
    <w:rsid w:val="00BB288F"/>
    <w:rsid w:val="00BB28AA"/>
    <w:rsid w:val="00BB28C6"/>
    <w:rsid w:val="00BB28F8"/>
    <w:rsid w:val="00BB291B"/>
    <w:rsid w:val="00BB2A3F"/>
    <w:rsid w:val="00BB2A63"/>
    <w:rsid w:val="00BB2AB9"/>
    <w:rsid w:val="00BB2AC7"/>
    <w:rsid w:val="00BB2AD6"/>
    <w:rsid w:val="00BB2B7D"/>
    <w:rsid w:val="00BB2BAF"/>
    <w:rsid w:val="00BB2C7D"/>
    <w:rsid w:val="00BB2CE8"/>
    <w:rsid w:val="00BB2D84"/>
    <w:rsid w:val="00BB2DBF"/>
    <w:rsid w:val="00BB2EA6"/>
    <w:rsid w:val="00BB2EDA"/>
    <w:rsid w:val="00BB2F24"/>
    <w:rsid w:val="00BB2FF1"/>
    <w:rsid w:val="00BB2FFD"/>
    <w:rsid w:val="00BB305A"/>
    <w:rsid w:val="00BB30A1"/>
    <w:rsid w:val="00BB30E6"/>
    <w:rsid w:val="00BB30F2"/>
    <w:rsid w:val="00BB3160"/>
    <w:rsid w:val="00BB316E"/>
    <w:rsid w:val="00BB31AF"/>
    <w:rsid w:val="00BB31F1"/>
    <w:rsid w:val="00BB3217"/>
    <w:rsid w:val="00BB32B8"/>
    <w:rsid w:val="00BB32C2"/>
    <w:rsid w:val="00BB32E7"/>
    <w:rsid w:val="00BB32F6"/>
    <w:rsid w:val="00BB332F"/>
    <w:rsid w:val="00BB3393"/>
    <w:rsid w:val="00BB33EB"/>
    <w:rsid w:val="00BB3453"/>
    <w:rsid w:val="00BB34AC"/>
    <w:rsid w:val="00BB34B3"/>
    <w:rsid w:val="00BB3507"/>
    <w:rsid w:val="00BB35A3"/>
    <w:rsid w:val="00BB360E"/>
    <w:rsid w:val="00BB36C7"/>
    <w:rsid w:val="00BB3744"/>
    <w:rsid w:val="00BB37C3"/>
    <w:rsid w:val="00BB384C"/>
    <w:rsid w:val="00BB38BD"/>
    <w:rsid w:val="00BB3A03"/>
    <w:rsid w:val="00BB3BBF"/>
    <w:rsid w:val="00BB3C60"/>
    <w:rsid w:val="00BB3D3F"/>
    <w:rsid w:val="00BB3D4F"/>
    <w:rsid w:val="00BB3D84"/>
    <w:rsid w:val="00BB3DBE"/>
    <w:rsid w:val="00BB3DE5"/>
    <w:rsid w:val="00BB3E0D"/>
    <w:rsid w:val="00BB3E14"/>
    <w:rsid w:val="00BB3E3B"/>
    <w:rsid w:val="00BB3EF9"/>
    <w:rsid w:val="00BB3F17"/>
    <w:rsid w:val="00BB3FEC"/>
    <w:rsid w:val="00BB3FF1"/>
    <w:rsid w:val="00BB4036"/>
    <w:rsid w:val="00BB411B"/>
    <w:rsid w:val="00BB415A"/>
    <w:rsid w:val="00BB418E"/>
    <w:rsid w:val="00BB41D4"/>
    <w:rsid w:val="00BB41DA"/>
    <w:rsid w:val="00BB41DB"/>
    <w:rsid w:val="00BB4268"/>
    <w:rsid w:val="00BB4269"/>
    <w:rsid w:val="00BB42AF"/>
    <w:rsid w:val="00BB42C4"/>
    <w:rsid w:val="00BB42F8"/>
    <w:rsid w:val="00BB430D"/>
    <w:rsid w:val="00BB432F"/>
    <w:rsid w:val="00BB433F"/>
    <w:rsid w:val="00BB43A7"/>
    <w:rsid w:val="00BB43DD"/>
    <w:rsid w:val="00BB43F6"/>
    <w:rsid w:val="00BB4489"/>
    <w:rsid w:val="00BB44B5"/>
    <w:rsid w:val="00BB4559"/>
    <w:rsid w:val="00BB457F"/>
    <w:rsid w:val="00BB47D6"/>
    <w:rsid w:val="00BB482B"/>
    <w:rsid w:val="00BB483C"/>
    <w:rsid w:val="00BB486E"/>
    <w:rsid w:val="00BB4897"/>
    <w:rsid w:val="00BB4920"/>
    <w:rsid w:val="00BB49CA"/>
    <w:rsid w:val="00BB49D2"/>
    <w:rsid w:val="00BB4A53"/>
    <w:rsid w:val="00BB4AB7"/>
    <w:rsid w:val="00BB4B0D"/>
    <w:rsid w:val="00BB4B4F"/>
    <w:rsid w:val="00BB4B57"/>
    <w:rsid w:val="00BB4B90"/>
    <w:rsid w:val="00BB4C63"/>
    <w:rsid w:val="00BB4C94"/>
    <w:rsid w:val="00BB4C96"/>
    <w:rsid w:val="00BB4CEE"/>
    <w:rsid w:val="00BB4D21"/>
    <w:rsid w:val="00BB4D2A"/>
    <w:rsid w:val="00BB4D37"/>
    <w:rsid w:val="00BB4D94"/>
    <w:rsid w:val="00BB4DC6"/>
    <w:rsid w:val="00BB4E1E"/>
    <w:rsid w:val="00BB4E69"/>
    <w:rsid w:val="00BB4E73"/>
    <w:rsid w:val="00BB4ED5"/>
    <w:rsid w:val="00BB4F2A"/>
    <w:rsid w:val="00BB4F4C"/>
    <w:rsid w:val="00BB4F5E"/>
    <w:rsid w:val="00BB4F71"/>
    <w:rsid w:val="00BB4F7D"/>
    <w:rsid w:val="00BB5047"/>
    <w:rsid w:val="00BB508A"/>
    <w:rsid w:val="00BB50CF"/>
    <w:rsid w:val="00BB5107"/>
    <w:rsid w:val="00BB512F"/>
    <w:rsid w:val="00BB516E"/>
    <w:rsid w:val="00BB523C"/>
    <w:rsid w:val="00BB534A"/>
    <w:rsid w:val="00BB536A"/>
    <w:rsid w:val="00BB5375"/>
    <w:rsid w:val="00BB537C"/>
    <w:rsid w:val="00BB53A5"/>
    <w:rsid w:val="00BB5405"/>
    <w:rsid w:val="00BB5417"/>
    <w:rsid w:val="00BB5477"/>
    <w:rsid w:val="00BB5486"/>
    <w:rsid w:val="00BB553F"/>
    <w:rsid w:val="00BB55C4"/>
    <w:rsid w:val="00BB567B"/>
    <w:rsid w:val="00BB57AE"/>
    <w:rsid w:val="00BB57DC"/>
    <w:rsid w:val="00BB58FC"/>
    <w:rsid w:val="00BB5A38"/>
    <w:rsid w:val="00BB5AF9"/>
    <w:rsid w:val="00BB5B57"/>
    <w:rsid w:val="00BB5BCD"/>
    <w:rsid w:val="00BB5BE1"/>
    <w:rsid w:val="00BB5C25"/>
    <w:rsid w:val="00BB5C64"/>
    <w:rsid w:val="00BB5C95"/>
    <w:rsid w:val="00BB5CD6"/>
    <w:rsid w:val="00BB5CFC"/>
    <w:rsid w:val="00BB5D6E"/>
    <w:rsid w:val="00BB5D96"/>
    <w:rsid w:val="00BB5DCF"/>
    <w:rsid w:val="00BB5E50"/>
    <w:rsid w:val="00BB5E70"/>
    <w:rsid w:val="00BB5E7B"/>
    <w:rsid w:val="00BB5EC6"/>
    <w:rsid w:val="00BB5F1C"/>
    <w:rsid w:val="00BB5F56"/>
    <w:rsid w:val="00BB5FCE"/>
    <w:rsid w:val="00BB5FFC"/>
    <w:rsid w:val="00BB6040"/>
    <w:rsid w:val="00BB604D"/>
    <w:rsid w:val="00BB6103"/>
    <w:rsid w:val="00BB6164"/>
    <w:rsid w:val="00BB61B3"/>
    <w:rsid w:val="00BB6217"/>
    <w:rsid w:val="00BB621D"/>
    <w:rsid w:val="00BB6241"/>
    <w:rsid w:val="00BB6255"/>
    <w:rsid w:val="00BB6275"/>
    <w:rsid w:val="00BB6293"/>
    <w:rsid w:val="00BB62EB"/>
    <w:rsid w:val="00BB6322"/>
    <w:rsid w:val="00BB638D"/>
    <w:rsid w:val="00BB63AB"/>
    <w:rsid w:val="00BB6405"/>
    <w:rsid w:val="00BB6415"/>
    <w:rsid w:val="00BB6432"/>
    <w:rsid w:val="00BB644F"/>
    <w:rsid w:val="00BB6455"/>
    <w:rsid w:val="00BB652E"/>
    <w:rsid w:val="00BB6579"/>
    <w:rsid w:val="00BB6591"/>
    <w:rsid w:val="00BB661A"/>
    <w:rsid w:val="00BB6642"/>
    <w:rsid w:val="00BB664D"/>
    <w:rsid w:val="00BB6671"/>
    <w:rsid w:val="00BB66AE"/>
    <w:rsid w:val="00BB67B4"/>
    <w:rsid w:val="00BB68FB"/>
    <w:rsid w:val="00BB69EC"/>
    <w:rsid w:val="00BB6A18"/>
    <w:rsid w:val="00BB6AD2"/>
    <w:rsid w:val="00BB6AF2"/>
    <w:rsid w:val="00BB6BA9"/>
    <w:rsid w:val="00BB6BD1"/>
    <w:rsid w:val="00BB6BD7"/>
    <w:rsid w:val="00BB6C83"/>
    <w:rsid w:val="00BB6C94"/>
    <w:rsid w:val="00BB6D5B"/>
    <w:rsid w:val="00BB6D87"/>
    <w:rsid w:val="00BB6DA2"/>
    <w:rsid w:val="00BB6E63"/>
    <w:rsid w:val="00BB6E6B"/>
    <w:rsid w:val="00BB6E86"/>
    <w:rsid w:val="00BB6E98"/>
    <w:rsid w:val="00BB6EB7"/>
    <w:rsid w:val="00BB7032"/>
    <w:rsid w:val="00BB70BF"/>
    <w:rsid w:val="00BB71B4"/>
    <w:rsid w:val="00BB7305"/>
    <w:rsid w:val="00BB7335"/>
    <w:rsid w:val="00BB733F"/>
    <w:rsid w:val="00BB735C"/>
    <w:rsid w:val="00BB738F"/>
    <w:rsid w:val="00BB73AD"/>
    <w:rsid w:val="00BB73F0"/>
    <w:rsid w:val="00BB7403"/>
    <w:rsid w:val="00BB7456"/>
    <w:rsid w:val="00BB748A"/>
    <w:rsid w:val="00BB74A3"/>
    <w:rsid w:val="00BB74B4"/>
    <w:rsid w:val="00BB74C9"/>
    <w:rsid w:val="00BB74E4"/>
    <w:rsid w:val="00BB7522"/>
    <w:rsid w:val="00BB75DB"/>
    <w:rsid w:val="00BB75EE"/>
    <w:rsid w:val="00BB760F"/>
    <w:rsid w:val="00BB7639"/>
    <w:rsid w:val="00BB765F"/>
    <w:rsid w:val="00BB7661"/>
    <w:rsid w:val="00BB7682"/>
    <w:rsid w:val="00BB76CA"/>
    <w:rsid w:val="00BB773C"/>
    <w:rsid w:val="00BB7799"/>
    <w:rsid w:val="00BB7809"/>
    <w:rsid w:val="00BB78CA"/>
    <w:rsid w:val="00BB7979"/>
    <w:rsid w:val="00BB79A7"/>
    <w:rsid w:val="00BB79DD"/>
    <w:rsid w:val="00BB79FB"/>
    <w:rsid w:val="00BB7AA9"/>
    <w:rsid w:val="00BB7AAE"/>
    <w:rsid w:val="00BB7B52"/>
    <w:rsid w:val="00BB7B75"/>
    <w:rsid w:val="00BB7B8A"/>
    <w:rsid w:val="00BB7C4B"/>
    <w:rsid w:val="00BB7CD5"/>
    <w:rsid w:val="00BB7D3B"/>
    <w:rsid w:val="00BB7DD8"/>
    <w:rsid w:val="00BB7E0A"/>
    <w:rsid w:val="00BB7E54"/>
    <w:rsid w:val="00BB7E83"/>
    <w:rsid w:val="00BB7F3B"/>
    <w:rsid w:val="00BB7FA6"/>
    <w:rsid w:val="00BC003D"/>
    <w:rsid w:val="00BC00F8"/>
    <w:rsid w:val="00BC0104"/>
    <w:rsid w:val="00BC018C"/>
    <w:rsid w:val="00BC01DB"/>
    <w:rsid w:val="00BC0213"/>
    <w:rsid w:val="00BC023F"/>
    <w:rsid w:val="00BC033F"/>
    <w:rsid w:val="00BC03F6"/>
    <w:rsid w:val="00BC0452"/>
    <w:rsid w:val="00BC051A"/>
    <w:rsid w:val="00BC0546"/>
    <w:rsid w:val="00BC0579"/>
    <w:rsid w:val="00BC05E7"/>
    <w:rsid w:val="00BC066B"/>
    <w:rsid w:val="00BC068E"/>
    <w:rsid w:val="00BC06A3"/>
    <w:rsid w:val="00BC0747"/>
    <w:rsid w:val="00BC0786"/>
    <w:rsid w:val="00BC0788"/>
    <w:rsid w:val="00BC07B3"/>
    <w:rsid w:val="00BC07FD"/>
    <w:rsid w:val="00BC0813"/>
    <w:rsid w:val="00BC0821"/>
    <w:rsid w:val="00BC08BE"/>
    <w:rsid w:val="00BC08DA"/>
    <w:rsid w:val="00BC08F2"/>
    <w:rsid w:val="00BC09F8"/>
    <w:rsid w:val="00BC0A18"/>
    <w:rsid w:val="00BC0A1F"/>
    <w:rsid w:val="00BC0B0A"/>
    <w:rsid w:val="00BC0B43"/>
    <w:rsid w:val="00BC0B4F"/>
    <w:rsid w:val="00BC0B78"/>
    <w:rsid w:val="00BC0BA2"/>
    <w:rsid w:val="00BC0BFC"/>
    <w:rsid w:val="00BC0C20"/>
    <w:rsid w:val="00BC0C95"/>
    <w:rsid w:val="00BC0CB3"/>
    <w:rsid w:val="00BC0CDD"/>
    <w:rsid w:val="00BC0D31"/>
    <w:rsid w:val="00BC0DBE"/>
    <w:rsid w:val="00BC0E13"/>
    <w:rsid w:val="00BC0E1D"/>
    <w:rsid w:val="00BC0E92"/>
    <w:rsid w:val="00BC0EA5"/>
    <w:rsid w:val="00BC0EBB"/>
    <w:rsid w:val="00BC1042"/>
    <w:rsid w:val="00BC105C"/>
    <w:rsid w:val="00BC10C3"/>
    <w:rsid w:val="00BC1157"/>
    <w:rsid w:val="00BC1196"/>
    <w:rsid w:val="00BC11AF"/>
    <w:rsid w:val="00BC11E6"/>
    <w:rsid w:val="00BC121C"/>
    <w:rsid w:val="00BC1290"/>
    <w:rsid w:val="00BC12AB"/>
    <w:rsid w:val="00BC12C0"/>
    <w:rsid w:val="00BC12F5"/>
    <w:rsid w:val="00BC133F"/>
    <w:rsid w:val="00BC135C"/>
    <w:rsid w:val="00BC1390"/>
    <w:rsid w:val="00BC1477"/>
    <w:rsid w:val="00BC14DD"/>
    <w:rsid w:val="00BC159D"/>
    <w:rsid w:val="00BC16E7"/>
    <w:rsid w:val="00BC1704"/>
    <w:rsid w:val="00BC17D3"/>
    <w:rsid w:val="00BC17F5"/>
    <w:rsid w:val="00BC1823"/>
    <w:rsid w:val="00BC184D"/>
    <w:rsid w:val="00BC186F"/>
    <w:rsid w:val="00BC1879"/>
    <w:rsid w:val="00BC1906"/>
    <w:rsid w:val="00BC1988"/>
    <w:rsid w:val="00BC1993"/>
    <w:rsid w:val="00BC19BC"/>
    <w:rsid w:val="00BC19C6"/>
    <w:rsid w:val="00BC19E0"/>
    <w:rsid w:val="00BC1A08"/>
    <w:rsid w:val="00BC1A24"/>
    <w:rsid w:val="00BC1A80"/>
    <w:rsid w:val="00BC1A90"/>
    <w:rsid w:val="00BC1A9E"/>
    <w:rsid w:val="00BC1AEC"/>
    <w:rsid w:val="00BC1B2F"/>
    <w:rsid w:val="00BC1BAE"/>
    <w:rsid w:val="00BC1C6D"/>
    <w:rsid w:val="00BC1D4E"/>
    <w:rsid w:val="00BC1D6F"/>
    <w:rsid w:val="00BC1E06"/>
    <w:rsid w:val="00BC1E34"/>
    <w:rsid w:val="00BC1E61"/>
    <w:rsid w:val="00BC1E7F"/>
    <w:rsid w:val="00BC1FDC"/>
    <w:rsid w:val="00BC201E"/>
    <w:rsid w:val="00BC2056"/>
    <w:rsid w:val="00BC2065"/>
    <w:rsid w:val="00BC2067"/>
    <w:rsid w:val="00BC206A"/>
    <w:rsid w:val="00BC20A8"/>
    <w:rsid w:val="00BC20F4"/>
    <w:rsid w:val="00BC2107"/>
    <w:rsid w:val="00BC216B"/>
    <w:rsid w:val="00BC21CE"/>
    <w:rsid w:val="00BC2209"/>
    <w:rsid w:val="00BC221D"/>
    <w:rsid w:val="00BC222F"/>
    <w:rsid w:val="00BC22BF"/>
    <w:rsid w:val="00BC23BF"/>
    <w:rsid w:val="00BC24FB"/>
    <w:rsid w:val="00BC256A"/>
    <w:rsid w:val="00BC2639"/>
    <w:rsid w:val="00BC2675"/>
    <w:rsid w:val="00BC269D"/>
    <w:rsid w:val="00BC269F"/>
    <w:rsid w:val="00BC26B3"/>
    <w:rsid w:val="00BC276A"/>
    <w:rsid w:val="00BC293E"/>
    <w:rsid w:val="00BC294B"/>
    <w:rsid w:val="00BC295D"/>
    <w:rsid w:val="00BC29CC"/>
    <w:rsid w:val="00BC2A14"/>
    <w:rsid w:val="00BC2A23"/>
    <w:rsid w:val="00BC2A2D"/>
    <w:rsid w:val="00BC2A36"/>
    <w:rsid w:val="00BC2A66"/>
    <w:rsid w:val="00BC2A85"/>
    <w:rsid w:val="00BC2B80"/>
    <w:rsid w:val="00BC2BB6"/>
    <w:rsid w:val="00BC2BBC"/>
    <w:rsid w:val="00BC2BE4"/>
    <w:rsid w:val="00BC2C2C"/>
    <w:rsid w:val="00BC2C32"/>
    <w:rsid w:val="00BC2C91"/>
    <w:rsid w:val="00BC2CB1"/>
    <w:rsid w:val="00BC2CC6"/>
    <w:rsid w:val="00BC2CE8"/>
    <w:rsid w:val="00BC2D00"/>
    <w:rsid w:val="00BC2D04"/>
    <w:rsid w:val="00BC2D44"/>
    <w:rsid w:val="00BC2D84"/>
    <w:rsid w:val="00BC2D94"/>
    <w:rsid w:val="00BC2DAA"/>
    <w:rsid w:val="00BC2E44"/>
    <w:rsid w:val="00BC2F21"/>
    <w:rsid w:val="00BC2F33"/>
    <w:rsid w:val="00BC2F82"/>
    <w:rsid w:val="00BC2F99"/>
    <w:rsid w:val="00BC2FCD"/>
    <w:rsid w:val="00BC3065"/>
    <w:rsid w:val="00BC30D7"/>
    <w:rsid w:val="00BC3102"/>
    <w:rsid w:val="00BC3155"/>
    <w:rsid w:val="00BC316D"/>
    <w:rsid w:val="00BC318A"/>
    <w:rsid w:val="00BC3201"/>
    <w:rsid w:val="00BC32B3"/>
    <w:rsid w:val="00BC32D6"/>
    <w:rsid w:val="00BC331D"/>
    <w:rsid w:val="00BC333F"/>
    <w:rsid w:val="00BC3348"/>
    <w:rsid w:val="00BC3357"/>
    <w:rsid w:val="00BC33A3"/>
    <w:rsid w:val="00BC33D9"/>
    <w:rsid w:val="00BC3448"/>
    <w:rsid w:val="00BC347B"/>
    <w:rsid w:val="00BC3496"/>
    <w:rsid w:val="00BC355E"/>
    <w:rsid w:val="00BC3579"/>
    <w:rsid w:val="00BC35A9"/>
    <w:rsid w:val="00BC3645"/>
    <w:rsid w:val="00BC36E9"/>
    <w:rsid w:val="00BC3713"/>
    <w:rsid w:val="00BC371C"/>
    <w:rsid w:val="00BC3735"/>
    <w:rsid w:val="00BC3827"/>
    <w:rsid w:val="00BC38F3"/>
    <w:rsid w:val="00BC3937"/>
    <w:rsid w:val="00BC3971"/>
    <w:rsid w:val="00BC3981"/>
    <w:rsid w:val="00BC3993"/>
    <w:rsid w:val="00BC3A2A"/>
    <w:rsid w:val="00BC3AC1"/>
    <w:rsid w:val="00BC3B00"/>
    <w:rsid w:val="00BC3B3E"/>
    <w:rsid w:val="00BC3BB8"/>
    <w:rsid w:val="00BC3C82"/>
    <w:rsid w:val="00BC3C85"/>
    <w:rsid w:val="00BC3C94"/>
    <w:rsid w:val="00BC3CC6"/>
    <w:rsid w:val="00BC3D22"/>
    <w:rsid w:val="00BC3D76"/>
    <w:rsid w:val="00BC3D9C"/>
    <w:rsid w:val="00BC3E63"/>
    <w:rsid w:val="00BC3EF3"/>
    <w:rsid w:val="00BC3F4D"/>
    <w:rsid w:val="00BC3F67"/>
    <w:rsid w:val="00BC406A"/>
    <w:rsid w:val="00BC40AC"/>
    <w:rsid w:val="00BC4181"/>
    <w:rsid w:val="00BC41A8"/>
    <w:rsid w:val="00BC41E0"/>
    <w:rsid w:val="00BC4222"/>
    <w:rsid w:val="00BC42C0"/>
    <w:rsid w:val="00BC44FA"/>
    <w:rsid w:val="00BC4517"/>
    <w:rsid w:val="00BC4518"/>
    <w:rsid w:val="00BC452E"/>
    <w:rsid w:val="00BC4544"/>
    <w:rsid w:val="00BC456C"/>
    <w:rsid w:val="00BC45E7"/>
    <w:rsid w:val="00BC46D6"/>
    <w:rsid w:val="00BC46EB"/>
    <w:rsid w:val="00BC46F0"/>
    <w:rsid w:val="00BC4703"/>
    <w:rsid w:val="00BC4749"/>
    <w:rsid w:val="00BC47D6"/>
    <w:rsid w:val="00BC47E5"/>
    <w:rsid w:val="00BC481E"/>
    <w:rsid w:val="00BC48CD"/>
    <w:rsid w:val="00BC48E3"/>
    <w:rsid w:val="00BC48F1"/>
    <w:rsid w:val="00BC4925"/>
    <w:rsid w:val="00BC49F9"/>
    <w:rsid w:val="00BC4A52"/>
    <w:rsid w:val="00BC4A54"/>
    <w:rsid w:val="00BC4B26"/>
    <w:rsid w:val="00BC4B65"/>
    <w:rsid w:val="00BC4B90"/>
    <w:rsid w:val="00BC4C02"/>
    <w:rsid w:val="00BC4C2B"/>
    <w:rsid w:val="00BC4C88"/>
    <w:rsid w:val="00BC4C9E"/>
    <w:rsid w:val="00BC4CF2"/>
    <w:rsid w:val="00BC4D33"/>
    <w:rsid w:val="00BC4D47"/>
    <w:rsid w:val="00BC4DF1"/>
    <w:rsid w:val="00BC4EAD"/>
    <w:rsid w:val="00BC4EC9"/>
    <w:rsid w:val="00BC4FF7"/>
    <w:rsid w:val="00BC503B"/>
    <w:rsid w:val="00BC503D"/>
    <w:rsid w:val="00BC5075"/>
    <w:rsid w:val="00BC50CD"/>
    <w:rsid w:val="00BC50F1"/>
    <w:rsid w:val="00BC5102"/>
    <w:rsid w:val="00BC5105"/>
    <w:rsid w:val="00BC5164"/>
    <w:rsid w:val="00BC51A0"/>
    <w:rsid w:val="00BC52C7"/>
    <w:rsid w:val="00BC5376"/>
    <w:rsid w:val="00BC538C"/>
    <w:rsid w:val="00BC53EC"/>
    <w:rsid w:val="00BC5507"/>
    <w:rsid w:val="00BC5546"/>
    <w:rsid w:val="00BC55A3"/>
    <w:rsid w:val="00BC55C2"/>
    <w:rsid w:val="00BC55E5"/>
    <w:rsid w:val="00BC5684"/>
    <w:rsid w:val="00BC5692"/>
    <w:rsid w:val="00BC56AA"/>
    <w:rsid w:val="00BC56AF"/>
    <w:rsid w:val="00BC56CE"/>
    <w:rsid w:val="00BC5845"/>
    <w:rsid w:val="00BC5910"/>
    <w:rsid w:val="00BC5937"/>
    <w:rsid w:val="00BC59FD"/>
    <w:rsid w:val="00BC5A13"/>
    <w:rsid w:val="00BC5A1D"/>
    <w:rsid w:val="00BC5A34"/>
    <w:rsid w:val="00BC5A38"/>
    <w:rsid w:val="00BC5AA4"/>
    <w:rsid w:val="00BC5AD8"/>
    <w:rsid w:val="00BC5B88"/>
    <w:rsid w:val="00BC5BE3"/>
    <w:rsid w:val="00BC5C09"/>
    <w:rsid w:val="00BC5C42"/>
    <w:rsid w:val="00BC5C90"/>
    <w:rsid w:val="00BC5CBA"/>
    <w:rsid w:val="00BC5D21"/>
    <w:rsid w:val="00BC5D33"/>
    <w:rsid w:val="00BC5DAD"/>
    <w:rsid w:val="00BC5DFC"/>
    <w:rsid w:val="00BC5E0F"/>
    <w:rsid w:val="00BC5E30"/>
    <w:rsid w:val="00BC5E5B"/>
    <w:rsid w:val="00BC5E97"/>
    <w:rsid w:val="00BC5EA1"/>
    <w:rsid w:val="00BC5EC1"/>
    <w:rsid w:val="00BC5EF2"/>
    <w:rsid w:val="00BC5EF5"/>
    <w:rsid w:val="00BC5F6F"/>
    <w:rsid w:val="00BC5F98"/>
    <w:rsid w:val="00BC5FDD"/>
    <w:rsid w:val="00BC6078"/>
    <w:rsid w:val="00BC609B"/>
    <w:rsid w:val="00BC609E"/>
    <w:rsid w:val="00BC60B2"/>
    <w:rsid w:val="00BC60C4"/>
    <w:rsid w:val="00BC6108"/>
    <w:rsid w:val="00BC6178"/>
    <w:rsid w:val="00BC61B0"/>
    <w:rsid w:val="00BC6212"/>
    <w:rsid w:val="00BC624F"/>
    <w:rsid w:val="00BC6301"/>
    <w:rsid w:val="00BC639C"/>
    <w:rsid w:val="00BC63AD"/>
    <w:rsid w:val="00BC63B9"/>
    <w:rsid w:val="00BC63EA"/>
    <w:rsid w:val="00BC63ED"/>
    <w:rsid w:val="00BC6470"/>
    <w:rsid w:val="00BC6584"/>
    <w:rsid w:val="00BC658F"/>
    <w:rsid w:val="00BC65A2"/>
    <w:rsid w:val="00BC6696"/>
    <w:rsid w:val="00BC66DF"/>
    <w:rsid w:val="00BC683F"/>
    <w:rsid w:val="00BC688C"/>
    <w:rsid w:val="00BC68F8"/>
    <w:rsid w:val="00BC6926"/>
    <w:rsid w:val="00BC6930"/>
    <w:rsid w:val="00BC6939"/>
    <w:rsid w:val="00BC69E4"/>
    <w:rsid w:val="00BC6AAD"/>
    <w:rsid w:val="00BC6B8A"/>
    <w:rsid w:val="00BC6C14"/>
    <w:rsid w:val="00BC6C8F"/>
    <w:rsid w:val="00BC6C9D"/>
    <w:rsid w:val="00BC6D22"/>
    <w:rsid w:val="00BC6D61"/>
    <w:rsid w:val="00BC6D89"/>
    <w:rsid w:val="00BC6EA3"/>
    <w:rsid w:val="00BC6EDA"/>
    <w:rsid w:val="00BC6F5E"/>
    <w:rsid w:val="00BC6F6B"/>
    <w:rsid w:val="00BC6FA8"/>
    <w:rsid w:val="00BC6FEB"/>
    <w:rsid w:val="00BC6FFA"/>
    <w:rsid w:val="00BC7069"/>
    <w:rsid w:val="00BC706D"/>
    <w:rsid w:val="00BC70C4"/>
    <w:rsid w:val="00BC70F8"/>
    <w:rsid w:val="00BC7177"/>
    <w:rsid w:val="00BC71B9"/>
    <w:rsid w:val="00BC7253"/>
    <w:rsid w:val="00BC7281"/>
    <w:rsid w:val="00BC72F3"/>
    <w:rsid w:val="00BC7315"/>
    <w:rsid w:val="00BC73DF"/>
    <w:rsid w:val="00BC73E4"/>
    <w:rsid w:val="00BC73EC"/>
    <w:rsid w:val="00BC7418"/>
    <w:rsid w:val="00BC744D"/>
    <w:rsid w:val="00BC74BB"/>
    <w:rsid w:val="00BC74DE"/>
    <w:rsid w:val="00BC768E"/>
    <w:rsid w:val="00BC76C2"/>
    <w:rsid w:val="00BC773D"/>
    <w:rsid w:val="00BC78BD"/>
    <w:rsid w:val="00BC7926"/>
    <w:rsid w:val="00BC7965"/>
    <w:rsid w:val="00BC79A7"/>
    <w:rsid w:val="00BC79BD"/>
    <w:rsid w:val="00BC79EC"/>
    <w:rsid w:val="00BC79F8"/>
    <w:rsid w:val="00BC7A0D"/>
    <w:rsid w:val="00BC7A2C"/>
    <w:rsid w:val="00BC7A3C"/>
    <w:rsid w:val="00BC7A6D"/>
    <w:rsid w:val="00BC7AA2"/>
    <w:rsid w:val="00BC7AB5"/>
    <w:rsid w:val="00BC7AB8"/>
    <w:rsid w:val="00BC7AF5"/>
    <w:rsid w:val="00BC7B04"/>
    <w:rsid w:val="00BC7B40"/>
    <w:rsid w:val="00BC7B68"/>
    <w:rsid w:val="00BC7B93"/>
    <w:rsid w:val="00BC7BE9"/>
    <w:rsid w:val="00BC7C05"/>
    <w:rsid w:val="00BC7C8F"/>
    <w:rsid w:val="00BC7D56"/>
    <w:rsid w:val="00BC7D63"/>
    <w:rsid w:val="00BC7E04"/>
    <w:rsid w:val="00BC7E19"/>
    <w:rsid w:val="00BC7E46"/>
    <w:rsid w:val="00BC7F75"/>
    <w:rsid w:val="00BC7FD9"/>
    <w:rsid w:val="00BD000D"/>
    <w:rsid w:val="00BD00AF"/>
    <w:rsid w:val="00BD00DD"/>
    <w:rsid w:val="00BD00F2"/>
    <w:rsid w:val="00BD012C"/>
    <w:rsid w:val="00BD0180"/>
    <w:rsid w:val="00BD0198"/>
    <w:rsid w:val="00BD01A9"/>
    <w:rsid w:val="00BD027A"/>
    <w:rsid w:val="00BD02A3"/>
    <w:rsid w:val="00BD0317"/>
    <w:rsid w:val="00BD0369"/>
    <w:rsid w:val="00BD0378"/>
    <w:rsid w:val="00BD0398"/>
    <w:rsid w:val="00BD0411"/>
    <w:rsid w:val="00BD043A"/>
    <w:rsid w:val="00BD04AF"/>
    <w:rsid w:val="00BD04DA"/>
    <w:rsid w:val="00BD052F"/>
    <w:rsid w:val="00BD0542"/>
    <w:rsid w:val="00BD0562"/>
    <w:rsid w:val="00BD05C7"/>
    <w:rsid w:val="00BD0601"/>
    <w:rsid w:val="00BD0667"/>
    <w:rsid w:val="00BD06EE"/>
    <w:rsid w:val="00BD0700"/>
    <w:rsid w:val="00BD08AF"/>
    <w:rsid w:val="00BD0A15"/>
    <w:rsid w:val="00BD0A7C"/>
    <w:rsid w:val="00BD0B5A"/>
    <w:rsid w:val="00BD0B64"/>
    <w:rsid w:val="00BD0B83"/>
    <w:rsid w:val="00BD0BA2"/>
    <w:rsid w:val="00BD0BAD"/>
    <w:rsid w:val="00BD0C75"/>
    <w:rsid w:val="00BD0CBD"/>
    <w:rsid w:val="00BD0CC3"/>
    <w:rsid w:val="00BD0CF3"/>
    <w:rsid w:val="00BD0D4A"/>
    <w:rsid w:val="00BD0D94"/>
    <w:rsid w:val="00BD0E2B"/>
    <w:rsid w:val="00BD0E68"/>
    <w:rsid w:val="00BD0E74"/>
    <w:rsid w:val="00BD0E95"/>
    <w:rsid w:val="00BD0EAA"/>
    <w:rsid w:val="00BD0F87"/>
    <w:rsid w:val="00BD0FD6"/>
    <w:rsid w:val="00BD1073"/>
    <w:rsid w:val="00BD1084"/>
    <w:rsid w:val="00BD10C5"/>
    <w:rsid w:val="00BD1124"/>
    <w:rsid w:val="00BD112F"/>
    <w:rsid w:val="00BD1183"/>
    <w:rsid w:val="00BD11A1"/>
    <w:rsid w:val="00BD11DD"/>
    <w:rsid w:val="00BD1200"/>
    <w:rsid w:val="00BD121E"/>
    <w:rsid w:val="00BD1247"/>
    <w:rsid w:val="00BD12C7"/>
    <w:rsid w:val="00BD1316"/>
    <w:rsid w:val="00BD137F"/>
    <w:rsid w:val="00BD13F5"/>
    <w:rsid w:val="00BD13F6"/>
    <w:rsid w:val="00BD14B1"/>
    <w:rsid w:val="00BD152A"/>
    <w:rsid w:val="00BD157C"/>
    <w:rsid w:val="00BD1580"/>
    <w:rsid w:val="00BD15B8"/>
    <w:rsid w:val="00BD16A3"/>
    <w:rsid w:val="00BD16EA"/>
    <w:rsid w:val="00BD17CF"/>
    <w:rsid w:val="00BD1806"/>
    <w:rsid w:val="00BD180A"/>
    <w:rsid w:val="00BD1868"/>
    <w:rsid w:val="00BD18E9"/>
    <w:rsid w:val="00BD192D"/>
    <w:rsid w:val="00BD1AF5"/>
    <w:rsid w:val="00BD1B03"/>
    <w:rsid w:val="00BD1B13"/>
    <w:rsid w:val="00BD1B1E"/>
    <w:rsid w:val="00BD1C5F"/>
    <w:rsid w:val="00BD1C75"/>
    <w:rsid w:val="00BD1C7B"/>
    <w:rsid w:val="00BD1C9D"/>
    <w:rsid w:val="00BD1D33"/>
    <w:rsid w:val="00BD1D60"/>
    <w:rsid w:val="00BD1D92"/>
    <w:rsid w:val="00BD1DEA"/>
    <w:rsid w:val="00BD1E31"/>
    <w:rsid w:val="00BD1FD6"/>
    <w:rsid w:val="00BD1FE8"/>
    <w:rsid w:val="00BD2007"/>
    <w:rsid w:val="00BD2008"/>
    <w:rsid w:val="00BD2104"/>
    <w:rsid w:val="00BD212D"/>
    <w:rsid w:val="00BD21F0"/>
    <w:rsid w:val="00BD2215"/>
    <w:rsid w:val="00BD2225"/>
    <w:rsid w:val="00BD22FE"/>
    <w:rsid w:val="00BD2334"/>
    <w:rsid w:val="00BD239D"/>
    <w:rsid w:val="00BD2424"/>
    <w:rsid w:val="00BD2449"/>
    <w:rsid w:val="00BD2599"/>
    <w:rsid w:val="00BD26FF"/>
    <w:rsid w:val="00BD270C"/>
    <w:rsid w:val="00BD2759"/>
    <w:rsid w:val="00BD276A"/>
    <w:rsid w:val="00BD2817"/>
    <w:rsid w:val="00BD2844"/>
    <w:rsid w:val="00BD2896"/>
    <w:rsid w:val="00BD28B6"/>
    <w:rsid w:val="00BD28F9"/>
    <w:rsid w:val="00BD2913"/>
    <w:rsid w:val="00BD2A34"/>
    <w:rsid w:val="00BD2AD4"/>
    <w:rsid w:val="00BD2B02"/>
    <w:rsid w:val="00BD2B38"/>
    <w:rsid w:val="00BD2B5A"/>
    <w:rsid w:val="00BD2C01"/>
    <w:rsid w:val="00BD2C65"/>
    <w:rsid w:val="00BD2C85"/>
    <w:rsid w:val="00BD2C8C"/>
    <w:rsid w:val="00BD2C8D"/>
    <w:rsid w:val="00BD2C94"/>
    <w:rsid w:val="00BD2CEC"/>
    <w:rsid w:val="00BD2DB9"/>
    <w:rsid w:val="00BD2E4F"/>
    <w:rsid w:val="00BD2F12"/>
    <w:rsid w:val="00BD2F52"/>
    <w:rsid w:val="00BD306F"/>
    <w:rsid w:val="00BD3081"/>
    <w:rsid w:val="00BD308C"/>
    <w:rsid w:val="00BD3123"/>
    <w:rsid w:val="00BD313C"/>
    <w:rsid w:val="00BD3176"/>
    <w:rsid w:val="00BD31E5"/>
    <w:rsid w:val="00BD323E"/>
    <w:rsid w:val="00BD325A"/>
    <w:rsid w:val="00BD32A5"/>
    <w:rsid w:val="00BD3354"/>
    <w:rsid w:val="00BD3405"/>
    <w:rsid w:val="00BD34D7"/>
    <w:rsid w:val="00BD351E"/>
    <w:rsid w:val="00BD355F"/>
    <w:rsid w:val="00BD35B9"/>
    <w:rsid w:val="00BD3630"/>
    <w:rsid w:val="00BD3659"/>
    <w:rsid w:val="00BD367F"/>
    <w:rsid w:val="00BD368B"/>
    <w:rsid w:val="00BD3699"/>
    <w:rsid w:val="00BD36E1"/>
    <w:rsid w:val="00BD3709"/>
    <w:rsid w:val="00BD3721"/>
    <w:rsid w:val="00BD374B"/>
    <w:rsid w:val="00BD37C8"/>
    <w:rsid w:val="00BD37D3"/>
    <w:rsid w:val="00BD37F2"/>
    <w:rsid w:val="00BD37FD"/>
    <w:rsid w:val="00BD388C"/>
    <w:rsid w:val="00BD3975"/>
    <w:rsid w:val="00BD3A00"/>
    <w:rsid w:val="00BD3A10"/>
    <w:rsid w:val="00BD3A30"/>
    <w:rsid w:val="00BD3A45"/>
    <w:rsid w:val="00BD3AAC"/>
    <w:rsid w:val="00BD3AAD"/>
    <w:rsid w:val="00BD3B8C"/>
    <w:rsid w:val="00BD3BCC"/>
    <w:rsid w:val="00BD3C64"/>
    <w:rsid w:val="00BD3C83"/>
    <w:rsid w:val="00BD3CAF"/>
    <w:rsid w:val="00BD3CCB"/>
    <w:rsid w:val="00BD3CE2"/>
    <w:rsid w:val="00BD3D45"/>
    <w:rsid w:val="00BD3D87"/>
    <w:rsid w:val="00BD3DC6"/>
    <w:rsid w:val="00BD3DF8"/>
    <w:rsid w:val="00BD3E16"/>
    <w:rsid w:val="00BD3E51"/>
    <w:rsid w:val="00BD3F2E"/>
    <w:rsid w:val="00BD404C"/>
    <w:rsid w:val="00BD40C0"/>
    <w:rsid w:val="00BD40CE"/>
    <w:rsid w:val="00BD4101"/>
    <w:rsid w:val="00BD41F5"/>
    <w:rsid w:val="00BD42DC"/>
    <w:rsid w:val="00BD4350"/>
    <w:rsid w:val="00BD43B9"/>
    <w:rsid w:val="00BD43BD"/>
    <w:rsid w:val="00BD4474"/>
    <w:rsid w:val="00BD44A3"/>
    <w:rsid w:val="00BD44CF"/>
    <w:rsid w:val="00BD4522"/>
    <w:rsid w:val="00BD452C"/>
    <w:rsid w:val="00BD4573"/>
    <w:rsid w:val="00BD45BD"/>
    <w:rsid w:val="00BD45C6"/>
    <w:rsid w:val="00BD460C"/>
    <w:rsid w:val="00BD4645"/>
    <w:rsid w:val="00BD4710"/>
    <w:rsid w:val="00BD472A"/>
    <w:rsid w:val="00BD478B"/>
    <w:rsid w:val="00BD478D"/>
    <w:rsid w:val="00BD47BA"/>
    <w:rsid w:val="00BD4828"/>
    <w:rsid w:val="00BD4842"/>
    <w:rsid w:val="00BD484B"/>
    <w:rsid w:val="00BD4859"/>
    <w:rsid w:val="00BD488C"/>
    <w:rsid w:val="00BD48E3"/>
    <w:rsid w:val="00BD4924"/>
    <w:rsid w:val="00BD4969"/>
    <w:rsid w:val="00BD4979"/>
    <w:rsid w:val="00BD4997"/>
    <w:rsid w:val="00BD4A11"/>
    <w:rsid w:val="00BD4A51"/>
    <w:rsid w:val="00BD4A55"/>
    <w:rsid w:val="00BD4B0C"/>
    <w:rsid w:val="00BD4B8C"/>
    <w:rsid w:val="00BD4BD0"/>
    <w:rsid w:val="00BD4BE1"/>
    <w:rsid w:val="00BD4C69"/>
    <w:rsid w:val="00BD4CB0"/>
    <w:rsid w:val="00BD4D0B"/>
    <w:rsid w:val="00BD4D55"/>
    <w:rsid w:val="00BD4D7B"/>
    <w:rsid w:val="00BD4D91"/>
    <w:rsid w:val="00BD4DBE"/>
    <w:rsid w:val="00BD4E51"/>
    <w:rsid w:val="00BD4FE8"/>
    <w:rsid w:val="00BD5056"/>
    <w:rsid w:val="00BD5076"/>
    <w:rsid w:val="00BD5135"/>
    <w:rsid w:val="00BD5172"/>
    <w:rsid w:val="00BD51C8"/>
    <w:rsid w:val="00BD51E4"/>
    <w:rsid w:val="00BD51EC"/>
    <w:rsid w:val="00BD52A7"/>
    <w:rsid w:val="00BD53E2"/>
    <w:rsid w:val="00BD5483"/>
    <w:rsid w:val="00BD54C5"/>
    <w:rsid w:val="00BD554A"/>
    <w:rsid w:val="00BD559C"/>
    <w:rsid w:val="00BD55B6"/>
    <w:rsid w:val="00BD5605"/>
    <w:rsid w:val="00BD569A"/>
    <w:rsid w:val="00BD569F"/>
    <w:rsid w:val="00BD577B"/>
    <w:rsid w:val="00BD5784"/>
    <w:rsid w:val="00BD57C5"/>
    <w:rsid w:val="00BD580D"/>
    <w:rsid w:val="00BD58A0"/>
    <w:rsid w:val="00BD58BE"/>
    <w:rsid w:val="00BD58CF"/>
    <w:rsid w:val="00BD58DE"/>
    <w:rsid w:val="00BD594E"/>
    <w:rsid w:val="00BD595B"/>
    <w:rsid w:val="00BD598B"/>
    <w:rsid w:val="00BD59CF"/>
    <w:rsid w:val="00BD5A1C"/>
    <w:rsid w:val="00BD5A8F"/>
    <w:rsid w:val="00BD5AC8"/>
    <w:rsid w:val="00BD5B27"/>
    <w:rsid w:val="00BD5B35"/>
    <w:rsid w:val="00BD5C5A"/>
    <w:rsid w:val="00BD5C89"/>
    <w:rsid w:val="00BD5CDE"/>
    <w:rsid w:val="00BD5D02"/>
    <w:rsid w:val="00BD5D89"/>
    <w:rsid w:val="00BD5D9D"/>
    <w:rsid w:val="00BD5DE8"/>
    <w:rsid w:val="00BD5DEC"/>
    <w:rsid w:val="00BD5E58"/>
    <w:rsid w:val="00BD5E6A"/>
    <w:rsid w:val="00BD5EAC"/>
    <w:rsid w:val="00BD5F90"/>
    <w:rsid w:val="00BD6003"/>
    <w:rsid w:val="00BD60D7"/>
    <w:rsid w:val="00BD60E0"/>
    <w:rsid w:val="00BD61AF"/>
    <w:rsid w:val="00BD61F8"/>
    <w:rsid w:val="00BD6223"/>
    <w:rsid w:val="00BD6243"/>
    <w:rsid w:val="00BD62DC"/>
    <w:rsid w:val="00BD63C4"/>
    <w:rsid w:val="00BD6428"/>
    <w:rsid w:val="00BD64BF"/>
    <w:rsid w:val="00BD64C6"/>
    <w:rsid w:val="00BD657E"/>
    <w:rsid w:val="00BD658B"/>
    <w:rsid w:val="00BD65C6"/>
    <w:rsid w:val="00BD660F"/>
    <w:rsid w:val="00BD6634"/>
    <w:rsid w:val="00BD663D"/>
    <w:rsid w:val="00BD6679"/>
    <w:rsid w:val="00BD66DA"/>
    <w:rsid w:val="00BD6702"/>
    <w:rsid w:val="00BD67A5"/>
    <w:rsid w:val="00BD67E2"/>
    <w:rsid w:val="00BD688A"/>
    <w:rsid w:val="00BD68E5"/>
    <w:rsid w:val="00BD6900"/>
    <w:rsid w:val="00BD6934"/>
    <w:rsid w:val="00BD6999"/>
    <w:rsid w:val="00BD69C9"/>
    <w:rsid w:val="00BD69CB"/>
    <w:rsid w:val="00BD69F2"/>
    <w:rsid w:val="00BD6A47"/>
    <w:rsid w:val="00BD6B45"/>
    <w:rsid w:val="00BD6B6A"/>
    <w:rsid w:val="00BD6B8D"/>
    <w:rsid w:val="00BD6BED"/>
    <w:rsid w:val="00BD6C0C"/>
    <w:rsid w:val="00BD6CB5"/>
    <w:rsid w:val="00BD6CE4"/>
    <w:rsid w:val="00BD6D09"/>
    <w:rsid w:val="00BD6D8C"/>
    <w:rsid w:val="00BD6DC0"/>
    <w:rsid w:val="00BD6DC7"/>
    <w:rsid w:val="00BD6E8A"/>
    <w:rsid w:val="00BD6ECF"/>
    <w:rsid w:val="00BD6F62"/>
    <w:rsid w:val="00BD6F66"/>
    <w:rsid w:val="00BD6FDE"/>
    <w:rsid w:val="00BD70F7"/>
    <w:rsid w:val="00BD712A"/>
    <w:rsid w:val="00BD7132"/>
    <w:rsid w:val="00BD7185"/>
    <w:rsid w:val="00BD71DC"/>
    <w:rsid w:val="00BD71FE"/>
    <w:rsid w:val="00BD7278"/>
    <w:rsid w:val="00BD73C5"/>
    <w:rsid w:val="00BD7437"/>
    <w:rsid w:val="00BD7470"/>
    <w:rsid w:val="00BD74BB"/>
    <w:rsid w:val="00BD75D9"/>
    <w:rsid w:val="00BD7704"/>
    <w:rsid w:val="00BD7727"/>
    <w:rsid w:val="00BD7788"/>
    <w:rsid w:val="00BD7796"/>
    <w:rsid w:val="00BD77D0"/>
    <w:rsid w:val="00BD77D1"/>
    <w:rsid w:val="00BD77D2"/>
    <w:rsid w:val="00BD782D"/>
    <w:rsid w:val="00BD788B"/>
    <w:rsid w:val="00BD78A1"/>
    <w:rsid w:val="00BD78AF"/>
    <w:rsid w:val="00BD78C5"/>
    <w:rsid w:val="00BD78D4"/>
    <w:rsid w:val="00BD795E"/>
    <w:rsid w:val="00BD7A13"/>
    <w:rsid w:val="00BD7A35"/>
    <w:rsid w:val="00BD7A45"/>
    <w:rsid w:val="00BD7A57"/>
    <w:rsid w:val="00BD7ACB"/>
    <w:rsid w:val="00BD7B04"/>
    <w:rsid w:val="00BD7C0D"/>
    <w:rsid w:val="00BD7C39"/>
    <w:rsid w:val="00BD7C6C"/>
    <w:rsid w:val="00BD7C75"/>
    <w:rsid w:val="00BD7C86"/>
    <w:rsid w:val="00BD7CEE"/>
    <w:rsid w:val="00BD7E37"/>
    <w:rsid w:val="00BD7F0A"/>
    <w:rsid w:val="00BD7F27"/>
    <w:rsid w:val="00BD7F71"/>
    <w:rsid w:val="00BE000F"/>
    <w:rsid w:val="00BE001A"/>
    <w:rsid w:val="00BE005D"/>
    <w:rsid w:val="00BE0065"/>
    <w:rsid w:val="00BE008D"/>
    <w:rsid w:val="00BE00A4"/>
    <w:rsid w:val="00BE0265"/>
    <w:rsid w:val="00BE02AA"/>
    <w:rsid w:val="00BE0377"/>
    <w:rsid w:val="00BE0389"/>
    <w:rsid w:val="00BE03EA"/>
    <w:rsid w:val="00BE03EB"/>
    <w:rsid w:val="00BE0421"/>
    <w:rsid w:val="00BE043F"/>
    <w:rsid w:val="00BE047B"/>
    <w:rsid w:val="00BE04B6"/>
    <w:rsid w:val="00BE0510"/>
    <w:rsid w:val="00BE0520"/>
    <w:rsid w:val="00BE052D"/>
    <w:rsid w:val="00BE057A"/>
    <w:rsid w:val="00BE05A5"/>
    <w:rsid w:val="00BE0630"/>
    <w:rsid w:val="00BE0678"/>
    <w:rsid w:val="00BE0689"/>
    <w:rsid w:val="00BE06B3"/>
    <w:rsid w:val="00BE06E6"/>
    <w:rsid w:val="00BE077F"/>
    <w:rsid w:val="00BE0790"/>
    <w:rsid w:val="00BE0796"/>
    <w:rsid w:val="00BE07E5"/>
    <w:rsid w:val="00BE0882"/>
    <w:rsid w:val="00BE08DC"/>
    <w:rsid w:val="00BE0910"/>
    <w:rsid w:val="00BE096F"/>
    <w:rsid w:val="00BE09A0"/>
    <w:rsid w:val="00BE09AF"/>
    <w:rsid w:val="00BE0A31"/>
    <w:rsid w:val="00BE0AB1"/>
    <w:rsid w:val="00BE0B27"/>
    <w:rsid w:val="00BE0BD8"/>
    <w:rsid w:val="00BE0C52"/>
    <w:rsid w:val="00BE0C7F"/>
    <w:rsid w:val="00BE0CF5"/>
    <w:rsid w:val="00BE0DBA"/>
    <w:rsid w:val="00BE0E19"/>
    <w:rsid w:val="00BE0E8D"/>
    <w:rsid w:val="00BE0EBB"/>
    <w:rsid w:val="00BE0EC6"/>
    <w:rsid w:val="00BE0F05"/>
    <w:rsid w:val="00BE0FF5"/>
    <w:rsid w:val="00BE1013"/>
    <w:rsid w:val="00BE104A"/>
    <w:rsid w:val="00BE1059"/>
    <w:rsid w:val="00BE1088"/>
    <w:rsid w:val="00BE10B0"/>
    <w:rsid w:val="00BE10DE"/>
    <w:rsid w:val="00BE111F"/>
    <w:rsid w:val="00BE114E"/>
    <w:rsid w:val="00BE1196"/>
    <w:rsid w:val="00BE11EB"/>
    <w:rsid w:val="00BE1247"/>
    <w:rsid w:val="00BE1271"/>
    <w:rsid w:val="00BE1276"/>
    <w:rsid w:val="00BE128F"/>
    <w:rsid w:val="00BE12C5"/>
    <w:rsid w:val="00BE12D9"/>
    <w:rsid w:val="00BE130D"/>
    <w:rsid w:val="00BE13B1"/>
    <w:rsid w:val="00BE13DA"/>
    <w:rsid w:val="00BE141D"/>
    <w:rsid w:val="00BE1483"/>
    <w:rsid w:val="00BE14C6"/>
    <w:rsid w:val="00BE14F8"/>
    <w:rsid w:val="00BE150B"/>
    <w:rsid w:val="00BE1561"/>
    <w:rsid w:val="00BE15C4"/>
    <w:rsid w:val="00BE15D6"/>
    <w:rsid w:val="00BE1623"/>
    <w:rsid w:val="00BE1655"/>
    <w:rsid w:val="00BE1678"/>
    <w:rsid w:val="00BE1693"/>
    <w:rsid w:val="00BE1712"/>
    <w:rsid w:val="00BE171A"/>
    <w:rsid w:val="00BE1852"/>
    <w:rsid w:val="00BE1854"/>
    <w:rsid w:val="00BE18A6"/>
    <w:rsid w:val="00BE18BB"/>
    <w:rsid w:val="00BE1925"/>
    <w:rsid w:val="00BE1A05"/>
    <w:rsid w:val="00BE1A1B"/>
    <w:rsid w:val="00BE1A54"/>
    <w:rsid w:val="00BE1A7E"/>
    <w:rsid w:val="00BE1AD2"/>
    <w:rsid w:val="00BE1AE3"/>
    <w:rsid w:val="00BE1B05"/>
    <w:rsid w:val="00BE1B25"/>
    <w:rsid w:val="00BE1B47"/>
    <w:rsid w:val="00BE1B65"/>
    <w:rsid w:val="00BE1B78"/>
    <w:rsid w:val="00BE1BE1"/>
    <w:rsid w:val="00BE1BEF"/>
    <w:rsid w:val="00BE1C5F"/>
    <w:rsid w:val="00BE1C68"/>
    <w:rsid w:val="00BE1C72"/>
    <w:rsid w:val="00BE1CD1"/>
    <w:rsid w:val="00BE1D0A"/>
    <w:rsid w:val="00BE1D1B"/>
    <w:rsid w:val="00BE1D20"/>
    <w:rsid w:val="00BE1D44"/>
    <w:rsid w:val="00BE1D4E"/>
    <w:rsid w:val="00BE1D7C"/>
    <w:rsid w:val="00BE1DA4"/>
    <w:rsid w:val="00BE1DB2"/>
    <w:rsid w:val="00BE1DD6"/>
    <w:rsid w:val="00BE1E22"/>
    <w:rsid w:val="00BE1E2C"/>
    <w:rsid w:val="00BE1E6E"/>
    <w:rsid w:val="00BE1F19"/>
    <w:rsid w:val="00BE1F36"/>
    <w:rsid w:val="00BE207A"/>
    <w:rsid w:val="00BE209D"/>
    <w:rsid w:val="00BE210D"/>
    <w:rsid w:val="00BE2139"/>
    <w:rsid w:val="00BE2181"/>
    <w:rsid w:val="00BE21C0"/>
    <w:rsid w:val="00BE21C7"/>
    <w:rsid w:val="00BE21E3"/>
    <w:rsid w:val="00BE2232"/>
    <w:rsid w:val="00BE2234"/>
    <w:rsid w:val="00BE2235"/>
    <w:rsid w:val="00BE227C"/>
    <w:rsid w:val="00BE2455"/>
    <w:rsid w:val="00BE24E8"/>
    <w:rsid w:val="00BE2531"/>
    <w:rsid w:val="00BE2533"/>
    <w:rsid w:val="00BE25F4"/>
    <w:rsid w:val="00BE2602"/>
    <w:rsid w:val="00BE2614"/>
    <w:rsid w:val="00BE2634"/>
    <w:rsid w:val="00BE26BB"/>
    <w:rsid w:val="00BE26EA"/>
    <w:rsid w:val="00BE2759"/>
    <w:rsid w:val="00BE27CC"/>
    <w:rsid w:val="00BE287C"/>
    <w:rsid w:val="00BE2883"/>
    <w:rsid w:val="00BE2886"/>
    <w:rsid w:val="00BE2909"/>
    <w:rsid w:val="00BE2918"/>
    <w:rsid w:val="00BE2929"/>
    <w:rsid w:val="00BE2959"/>
    <w:rsid w:val="00BE29C7"/>
    <w:rsid w:val="00BE2A02"/>
    <w:rsid w:val="00BE2A11"/>
    <w:rsid w:val="00BE2A5E"/>
    <w:rsid w:val="00BE2B1F"/>
    <w:rsid w:val="00BE2BCD"/>
    <w:rsid w:val="00BE2C8A"/>
    <w:rsid w:val="00BE2CC3"/>
    <w:rsid w:val="00BE2CF3"/>
    <w:rsid w:val="00BE2D8E"/>
    <w:rsid w:val="00BE2DF7"/>
    <w:rsid w:val="00BE2E08"/>
    <w:rsid w:val="00BE2E23"/>
    <w:rsid w:val="00BE2E60"/>
    <w:rsid w:val="00BE2E64"/>
    <w:rsid w:val="00BE2E75"/>
    <w:rsid w:val="00BE2EA8"/>
    <w:rsid w:val="00BE2EE8"/>
    <w:rsid w:val="00BE2EF8"/>
    <w:rsid w:val="00BE2EFC"/>
    <w:rsid w:val="00BE2F01"/>
    <w:rsid w:val="00BE2F6A"/>
    <w:rsid w:val="00BE2F71"/>
    <w:rsid w:val="00BE2FB2"/>
    <w:rsid w:val="00BE2FB9"/>
    <w:rsid w:val="00BE2FF2"/>
    <w:rsid w:val="00BE2FF3"/>
    <w:rsid w:val="00BE3009"/>
    <w:rsid w:val="00BE301F"/>
    <w:rsid w:val="00BE306E"/>
    <w:rsid w:val="00BE30B9"/>
    <w:rsid w:val="00BE30D2"/>
    <w:rsid w:val="00BE3111"/>
    <w:rsid w:val="00BE311F"/>
    <w:rsid w:val="00BE314C"/>
    <w:rsid w:val="00BE3195"/>
    <w:rsid w:val="00BE31A9"/>
    <w:rsid w:val="00BE32D3"/>
    <w:rsid w:val="00BE3353"/>
    <w:rsid w:val="00BE33CE"/>
    <w:rsid w:val="00BE34C3"/>
    <w:rsid w:val="00BE353E"/>
    <w:rsid w:val="00BE35CF"/>
    <w:rsid w:val="00BE3617"/>
    <w:rsid w:val="00BE3668"/>
    <w:rsid w:val="00BE36C0"/>
    <w:rsid w:val="00BE37A2"/>
    <w:rsid w:val="00BE3805"/>
    <w:rsid w:val="00BE384D"/>
    <w:rsid w:val="00BE38FA"/>
    <w:rsid w:val="00BE392C"/>
    <w:rsid w:val="00BE3A1B"/>
    <w:rsid w:val="00BE3A1C"/>
    <w:rsid w:val="00BE3A55"/>
    <w:rsid w:val="00BE3A8F"/>
    <w:rsid w:val="00BE3AB2"/>
    <w:rsid w:val="00BE3B01"/>
    <w:rsid w:val="00BE3B16"/>
    <w:rsid w:val="00BE3B50"/>
    <w:rsid w:val="00BE3C23"/>
    <w:rsid w:val="00BE3C3E"/>
    <w:rsid w:val="00BE3CB7"/>
    <w:rsid w:val="00BE3D38"/>
    <w:rsid w:val="00BE3D48"/>
    <w:rsid w:val="00BE3D71"/>
    <w:rsid w:val="00BE3D80"/>
    <w:rsid w:val="00BE3DD6"/>
    <w:rsid w:val="00BE3E6D"/>
    <w:rsid w:val="00BE3E7A"/>
    <w:rsid w:val="00BE3EF2"/>
    <w:rsid w:val="00BE4065"/>
    <w:rsid w:val="00BE40BB"/>
    <w:rsid w:val="00BE40EB"/>
    <w:rsid w:val="00BE413F"/>
    <w:rsid w:val="00BE4272"/>
    <w:rsid w:val="00BE431E"/>
    <w:rsid w:val="00BE4382"/>
    <w:rsid w:val="00BE43B8"/>
    <w:rsid w:val="00BE4441"/>
    <w:rsid w:val="00BE4486"/>
    <w:rsid w:val="00BE44A8"/>
    <w:rsid w:val="00BE4590"/>
    <w:rsid w:val="00BE4593"/>
    <w:rsid w:val="00BE45E4"/>
    <w:rsid w:val="00BE4656"/>
    <w:rsid w:val="00BE46A3"/>
    <w:rsid w:val="00BE46D5"/>
    <w:rsid w:val="00BE46EF"/>
    <w:rsid w:val="00BE479D"/>
    <w:rsid w:val="00BE47ED"/>
    <w:rsid w:val="00BE47F8"/>
    <w:rsid w:val="00BE4809"/>
    <w:rsid w:val="00BE4852"/>
    <w:rsid w:val="00BE489A"/>
    <w:rsid w:val="00BE48EC"/>
    <w:rsid w:val="00BE491A"/>
    <w:rsid w:val="00BE49F1"/>
    <w:rsid w:val="00BE4A8C"/>
    <w:rsid w:val="00BE4BC7"/>
    <w:rsid w:val="00BE4BD1"/>
    <w:rsid w:val="00BE4C30"/>
    <w:rsid w:val="00BE4D45"/>
    <w:rsid w:val="00BE4DA7"/>
    <w:rsid w:val="00BE4E41"/>
    <w:rsid w:val="00BE4E65"/>
    <w:rsid w:val="00BE4EB5"/>
    <w:rsid w:val="00BE4EBC"/>
    <w:rsid w:val="00BE4ECF"/>
    <w:rsid w:val="00BE4F15"/>
    <w:rsid w:val="00BE4FB5"/>
    <w:rsid w:val="00BE4FD2"/>
    <w:rsid w:val="00BE4FD5"/>
    <w:rsid w:val="00BE50C3"/>
    <w:rsid w:val="00BE511C"/>
    <w:rsid w:val="00BE51E7"/>
    <w:rsid w:val="00BE5213"/>
    <w:rsid w:val="00BE525A"/>
    <w:rsid w:val="00BE526A"/>
    <w:rsid w:val="00BE5297"/>
    <w:rsid w:val="00BE52BF"/>
    <w:rsid w:val="00BE5360"/>
    <w:rsid w:val="00BE53D4"/>
    <w:rsid w:val="00BE5483"/>
    <w:rsid w:val="00BE552F"/>
    <w:rsid w:val="00BE5536"/>
    <w:rsid w:val="00BE55B2"/>
    <w:rsid w:val="00BE5625"/>
    <w:rsid w:val="00BE563B"/>
    <w:rsid w:val="00BE567E"/>
    <w:rsid w:val="00BE5680"/>
    <w:rsid w:val="00BE571C"/>
    <w:rsid w:val="00BE5725"/>
    <w:rsid w:val="00BE57E9"/>
    <w:rsid w:val="00BE58D4"/>
    <w:rsid w:val="00BE5914"/>
    <w:rsid w:val="00BE5972"/>
    <w:rsid w:val="00BE59DC"/>
    <w:rsid w:val="00BE59E5"/>
    <w:rsid w:val="00BE59EF"/>
    <w:rsid w:val="00BE5A95"/>
    <w:rsid w:val="00BE5AED"/>
    <w:rsid w:val="00BE5AF1"/>
    <w:rsid w:val="00BE5B66"/>
    <w:rsid w:val="00BE5B99"/>
    <w:rsid w:val="00BE5C05"/>
    <w:rsid w:val="00BE5C4B"/>
    <w:rsid w:val="00BE5DFC"/>
    <w:rsid w:val="00BE5F09"/>
    <w:rsid w:val="00BE5F0A"/>
    <w:rsid w:val="00BE5F5A"/>
    <w:rsid w:val="00BE5FED"/>
    <w:rsid w:val="00BE6000"/>
    <w:rsid w:val="00BE6010"/>
    <w:rsid w:val="00BE608B"/>
    <w:rsid w:val="00BE60A6"/>
    <w:rsid w:val="00BE6113"/>
    <w:rsid w:val="00BE6115"/>
    <w:rsid w:val="00BE61B9"/>
    <w:rsid w:val="00BE622A"/>
    <w:rsid w:val="00BE6275"/>
    <w:rsid w:val="00BE62C8"/>
    <w:rsid w:val="00BE62F3"/>
    <w:rsid w:val="00BE6315"/>
    <w:rsid w:val="00BE6468"/>
    <w:rsid w:val="00BE64BA"/>
    <w:rsid w:val="00BE64F5"/>
    <w:rsid w:val="00BE6546"/>
    <w:rsid w:val="00BE65E3"/>
    <w:rsid w:val="00BE6668"/>
    <w:rsid w:val="00BE66FA"/>
    <w:rsid w:val="00BE6705"/>
    <w:rsid w:val="00BE6718"/>
    <w:rsid w:val="00BE6775"/>
    <w:rsid w:val="00BE67AF"/>
    <w:rsid w:val="00BE67B0"/>
    <w:rsid w:val="00BE6892"/>
    <w:rsid w:val="00BE68AA"/>
    <w:rsid w:val="00BE68C7"/>
    <w:rsid w:val="00BE695D"/>
    <w:rsid w:val="00BE69FE"/>
    <w:rsid w:val="00BE6B26"/>
    <w:rsid w:val="00BE6B7C"/>
    <w:rsid w:val="00BE6B80"/>
    <w:rsid w:val="00BE6C89"/>
    <w:rsid w:val="00BE6D20"/>
    <w:rsid w:val="00BE6E2A"/>
    <w:rsid w:val="00BE6E42"/>
    <w:rsid w:val="00BE6E5C"/>
    <w:rsid w:val="00BE6EB0"/>
    <w:rsid w:val="00BE6EF0"/>
    <w:rsid w:val="00BE6EF9"/>
    <w:rsid w:val="00BE6F01"/>
    <w:rsid w:val="00BE6F7A"/>
    <w:rsid w:val="00BE6F9B"/>
    <w:rsid w:val="00BE6FB2"/>
    <w:rsid w:val="00BE701C"/>
    <w:rsid w:val="00BE70B2"/>
    <w:rsid w:val="00BE71BB"/>
    <w:rsid w:val="00BE71DA"/>
    <w:rsid w:val="00BE7271"/>
    <w:rsid w:val="00BE729D"/>
    <w:rsid w:val="00BE72C9"/>
    <w:rsid w:val="00BE72D6"/>
    <w:rsid w:val="00BE732D"/>
    <w:rsid w:val="00BE737D"/>
    <w:rsid w:val="00BE73AD"/>
    <w:rsid w:val="00BE73E6"/>
    <w:rsid w:val="00BE73F3"/>
    <w:rsid w:val="00BE73F6"/>
    <w:rsid w:val="00BE7401"/>
    <w:rsid w:val="00BE7403"/>
    <w:rsid w:val="00BE745D"/>
    <w:rsid w:val="00BE74AD"/>
    <w:rsid w:val="00BE7576"/>
    <w:rsid w:val="00BE75AC"/>
    <w:rsid w:val="00BE7651"/>
    <w:rsid w:val="00BE76A4"/>
    <w:rsid w:val="00BE7759"/>
    <w:rsid w:val="00BE779C"/>
    <w:rsid w:val="00BE782F"/>
    <w:rsid w:val="00BE78B8"/>
    <w:rsid w:val="00BE78F8"/>
    <w:rsid w:val="00BE793C"/>
    <w:rsid w:val="00BE79B6"/>
    <w:rsid w:val="00BE79D6"/>
    <w:rsid w:val="00BE79E0"/>
    <w:rsid w:val="00BE7A16"/>
    <w:rsid w:val="00BE7A17"/>
    <w:rsid w:val="00BE7A22"/>
    <w:rsid w:val="00BE7A7A"/>
    <w:rsid w:val="00BE7B45"/>
    <w:rsid w:val="00BE7B9B"/>
    <w:rsid w:val="00BE7BA0"/>
    <w:rsid w:val="00BE7BA6"/>
    <w:rsid w:val="00BE7BBA"/>
    <w:rsid w:val="00BE7BD2"/>
    <w:rsid w:val="00BE7BF3"/>
    <w:rsid w:val="00BE7C47"/>
    <w:rsid w:val="00BE7C9D"/>
    <w:rsid w:val="00BE7CC5"/>
    <w:rsid w:val="00BE7D37"/>
    <w:rsid w:val="00BE7DE7"/>
    <w:rsid w:val="00BE7E02"/>
    <w:rsid w:val="00BE7E23"/>
    <w:rsid w:val="00BE7E9A"/>
    <w:rsid w:val="00BE7EFA"/>
    <w:rsid w:val="00BE7F43"/>
    <w:rsid w:val="00BE7F5E"/>
    <w:rsid w:val="00BE7F65"/>
    <w:rsid w:val="00BE7F8D"/>
    <w:rsid w:val="00BE7F91"/>
    <w:rsid w:val="00BE7FC6"/>
    <w:rsid w:val="00BE7FDB"/>
    <w:rsid w:val="00BF0018"/>
    <w:rsid w:val="00BF00B9"/>
    <w:rsid w:val="00BF00C2"/>
    <w:rsid w:val="00BF0114"/>
    <w:rsid w:val="00BF0124"/>
    <w:rsid w:val="00BF0128"/>
    <w:rsid w:val="00BF0141"/>
    <w:rsid w:val="00BF01B7"/>
    <w:rsid w:val="00BF0245"/>
    <w:rsid w:val="00BF0246"/>
    <w:rsid w:val="00BF0270"/>
    <w:rsid w:val="00BF0278"/>
    <w:rsid w:val="00BF02C4"/>
    <w:rsid w:val="00BF0309"/>
    <w:rsid w:val="00BF0368"/>
    <w:rsid w:val="00BF03EF"/>
    <w:rsid w:val="00BF0430"/>
    <w:rsid w:val="00BF04FA"/>
    <w:rsid w:val="00BF0524"/>
    <w:rsid w:val="00BF054E"/>
    <w:rsid w:val="00BF055D"/>
    <w:rsid w:val="00BF05E6"/>
    <w:rsid w:val="00BF061D"/>
    <w:rsid w:val="00BF0680"/>
    <w:rsid w:val="00BF06D1"/>
    <w:rsid w:val="00BF073D"/>
    <w:rsid w:val="00BF074E"/>
    <w:rsid w:val="00BF0767"/>
    <w:rsid w:val="00BF077E"/>
    <w:rsid w:val="00BF0793"/>
    <w:rsid w:val="00BF07FE"/>
    <w:rsid w:val="00BF0806"/>
    <w:rsid w:val="00BF0833"/>
    <w:rsid w:val="00BF09D4"/>
    <w:rsid w:val="00BF0A6C"/>
    <w:rsid w:val="00BF0B7B"/>
    <w:rsid w:val="00BF0B99"/>
    <w:rsid w:val="00BF0BCF"/>
    <w:rsid w:val="00BF0BE3"/>
    <w:rsid w:val="00BF0C4A"/>
    <w:rsid w:val="00BF0C61"/>
    <w:rsid w:val="00BF0D0C"/>
    <w:rsid w:val="00BF0D87"/>
    <w:rsid w:val="00BF0E9E"/>
    <w:rsid w:val="00BF0EBE"/>
    <w:rsid w:val="00BF0ECB"/>
    <w:rsid w:val="00BF0EE0"/>
    <w:rsid w:val="00BF0FBC"/>
    <w:rsid w:val="00BF0FDC"/>
    <w:rsid w:val="00BF1155"/>
    <w:rsid w:val="00BF11A6"/>
    <w:rsid w:val="00BF11CA"/>
    <w:rsid w:val="00BF1220"/>
    <w:rsid w:val="00BF12AB"/>
    <w:rsid w:val="00BF12B5"/>
    <w:rsid w:val="00BF1318"/>
    <w:rsid w:val="00BF1324"/>
    <w:rsid w:val="00BF1346"/>
    <w:rsid w:val="00BF1394"/>
    <w:rsid w:val="00BF13A8"/>
    <w:rsid w:val="00BF1491"/>
    <w:rsid w:val="00BF14CF"/>
    <w:rsid w:val="00BF14F1"/>
    <w:rsid w:val="00BF14F5"/>
    <w:rsid w:val="00BF15E8"/>
    <w:rsid w:val="00BF1625"/>
    <w:rsid w:val="00BF16D4"/>
    <w:rsid w:val="00BF16F4"/>
    <w:rsid w:val="00BF1716"/>
    <w:rsid w:val="00BF17CE"/>
    <w:rsid w:val="00BF1814"/>
    <w:rsid w:val="00BF18A6"/>
    <w:rsid w:val="00BF18C5"/>
    <w:rsid w:val="00BF1960"/>
    <w:rsid w:val="00BF197F"/>
    <w:rsid w:val="00BF199C"/>
    <w:rsid w:val="00BF19A7"/>
    <w:rsid w:val="00BF19B6"/>
    <w:rsid w:val="00BF19CF"/>
    <w:rsid w:val="00BF19D7"/>
    <w:rsid w:val="00BF1A55"/>
    <w:rsid w:val="00BF1B1E"/>
    <w:rsid w:val="00BF1B23"/>
    <w:rsid w:val="00BF1B72"/>
    <w:rsid w:val="00BF1BB3"/>
    <w:rsid w:val="00BF1C6A"/>
    <w:rsid w:val="00BF1CCD"/>
    <w:rsid w:val="00BF1CDE"/>
    <w:rsid w:val="00BF1D16"/>
    <w:rsid w:val="00BF1D2D"/>
    <w:rsid w:val="00BF1D34"/>
    <w:rsid w:val="00BF1D3F"/>
    <w:rsid w:val="00BF1D72"/>
    <w:rsid w:val="00BF1DAA"/>
    <w:rsid w:val="00BF1DCC"/>
    <w:rsid w:val="00BF1DEE"/>
    <w:rsid w:val="00BF1DF5"/>
    <w:rsid w:val="00BF1E0E"/>
    <w:rsid w:val="00BF1E20"/>
    <w:rsid w:val="00BF1E53"/>
    <w:rsid w:val="00BF1E84"/>
    <w:rsid w:val="00BF1F40"/>
    <w:rsid w:val="00BF1F60"/>
    <w:rsid w:val="00BF1F61"/>
    <w:rsid w:val="00BF1FDF"/>
    <w:rsid w:val="00BF201D"/>
    <w:rsid w:val="00BF202C"/>
    <w:rsid w:val="00BF207E"/>
    <w:rsid w:val="00BF208C"/>
    <w:rsid w:val="00BF20CB"/>
    <w:rsid w:val="00BF20CF"/>
    <w:rsid w:val="00BF20E3"/>
    <w:rsid w:val="00BF215E"/>
    <w:rsid w:val="00BF21EC"/>
    <w:rsid w:val="00BF2244"/>
    <w:rsid w:val="00BF2265"/>
    <w:rsid w:val="00BF2270"/>
    <w:rsid w:val="00BF22B3"/>
    <w:rsid w:val="00BF235A"/>
    <w:rsid w:val="00BF23E6"/>
    <w:rsid w:val="00BF245C"/>
    <w:rsid w:val="00BF246E"/>
    <w:rsid w:val="00BF2470"/>
    <w:rsid w:val="00BF248A"/>
    <w:rsid w:val="00BF255F"/>
    <w:rsid w:val="00BF2567"/>
    <w:rsid w:val="00BF25A3"/>
    <w:rsid w:val="00BF2665"/>
    <w:rsid w:val="00BF2695"/>
    <w:rsid w:val="00BF26DA"/>
    <w:rsid w:val="00BF26E0"/>
    <w:rsid w:val="00BF277A"/>
    <w:rsid w:val="00BF27CA"/>
    <w:rsid w:val="00BF2803"/>
    <w:rsid w:val="00BF2804"/>
    <w:rsid w:val="00BF2885"/>
    <w:rsid w:val="00BF28AD"/>
    <w:rsid w:val="00BF293B"/>
    <w:rsid w:val="00BF293E"/>
    <w:rsid w:val="00BF2998"/>
    <w:rsid w:val="00BF2B15"/>
    <w:rsid w:val="00BF2B94"/>
    <w:rsid w:val="00BF2BBB"/>
    <w:rsid w:val="00BF2C81"/>
    <w:rsid w:val="00BF2CCB"/>
    <w:rsid w:val="00BF2CE4"/>
    <w:rsid w:val="00BF2EB1"/>
    <w:rsid w:val="00BF2FD8"/>
    <w:rsid w:val="00BF302E"/>
    <w:rsid w:val="00BF3118"/>
    <w:rsid w:val="00BF3188"/>
    <w:rsid w:val="00BF31B5"/>
    <w:rsid w:val="00BF3222"/>
    <w:rsid w:val="00BF328D"/>
    <w:rsid w:val="00BF32D5"/>
    <w:rsid w:val="00BF32F8"/>
    <w:rsid w:val="00BF3335"/>
    <w:rsid w:val="00BF33DD"/>
    <w:rsid w:val="00BF33E3"/>
    <w:rsid w:val="00BF3442"/>
    <w:rsid w:val="00BF3499"/>
    <w:rsid w:val="00BF349B"/>
    <w:rsid w:val="00BF3525"/>
    <w:rsid w:val="00BF3537"/>
    <w:rsid w:val="00BF3538"/>
    <w:rsid w:val="00BF3660"/>
    <w:rsid w:val="00BF3678"/>
    <w:rsid w:val="00BF36AE"/>
    <w:rsid w:val="00BF36C9"/>
    <w:rsid w:val="00BF36D0"/>
    <w:rsid w:val="00BF3728"/>
    <w:rsid w:val="00BF376C"/>
    <w:rsid w:val="00BF381E"/>
    <w:rsid w:val="00BF38D5"/>
    <w:rsid w:val="00BF3981"/>
    <w:rsid w:val="00BF39A5"/>
    <w:rsid w:val="00BF3AAA"/>
    <w:rsid w:val="00BF3BA8"/>
    <w:rsid w:val="00BF3C2C"/>
    <w:rsid w:val="00BF3C34"/>
    <w:rsid w:val="00BF3D1D"/>
    <w:rsid w:val="00BF3D41"/>
    <w:rsid w:val="00BF3D4A"/>
    <w:rsid w:val="00BF3D63"/>
    <w:rsid w:val="00BF3D74"/>
    <w:rsid w:val="00BF3D8A"/>
    <w:rsid w:val="00BF3DA7"/>
    <w:rsid w:val="00BF3DF7"/>
    <w:rsid w:val="00BF3E10"/>
    <w:rsid w:val="00BF3E17"/>
    <w:rsid w:val="00BF3ECA"/>
    <w:rsid w:val="00BF3EFB"/>
    <w:rsid w:val="00BF3EFE"/>
    <w:rsid w:val="00BF3F17"/>
    <w:rsid w:val="00BF3F21"/>
    <w:rsid w:val="00BF4030"/>
    <w:rsid w:val="00BF40D2"/>
    <w:rsid w:val="00BF4173"/>
    <w:rsid w:val="00BF418C"/>
    <w:rsid w:val="00BF41C9"/>
    <w:rsid w:val="00BF4258"/>
    <w:rsid w:val="00BF427E"/>
    <w:rsid w:val="00BF42D7"/>
    <w:rsid w:val="00BF42FE"/>
    <w:rsid w:val="00BF4364"/>
    <w:rsid w:val="00BF4365"/>
    <w:rsid w:val="00BF44A9"/>
    <w:rsid w:val="00BF44AF"/>
    <w:rsid w:val="00BF44F0"/>
    <w:rsid w:val="00BF4581"/>
    <w:rsid w:val="00BF459D"/>
    <w:rsid w:val="00BF469C"/>
    <w:rsid w:val="00BF46A6"/>
    <w:rsid w:val="00BF46AA"/>
    <w:rsid w:val="00BF4718"/>
    <w:rsid w:val="00BF47A8"/>
    <w:rsid w:val="00BF47DA"/>
    <w:rsid w:val="00BF47DC"/>
    <w:rsid w:val="00BF47F2"/>
    <w:rsid w:val="00BF480E"/>
    <w:rsid w:val="00BF4840"/>
    <w:rsid w:val="00BF4889"/>
    <w:rsid w:val="00BF492E"/>
    <w:rsid w:val="00BF4988"/>
    <w:rsid w:val="00BF49CD"/>
    <w:rsid w:val="00BF4A26"/>
    <w:rsid w:val="00BF4A49"/>
    <w:rsid w:val="00BF4BEC"/>
    <w:rsid w:val="00BF4CA0"/>
    <w:rsid w:val="00BF4CA3"/>
    <w:rsid w:val="00BF4CEF"/>
    <w:rsid w:val="00BF4DB3"/>
    <w:rsid w:val="00BF4E46"/>
    <w:rsid w:val="00BF4E48"/>
    <w:rsid w:val="00BF4ECE"/>
    <w:rsid w:val="00BF4F33"/>
    <w:rsid w:val="00BF502D"/>
    <w:rsid w:val="00BF5031"/>
    <w:rsid w:val="00BF5054"/>
    <w:rsid w:val="00BF508A"/>
    <w:rsid w:val="00BF5138"/>
    <w:rsid w:val="00BF5149"/>
    <w:rsid w:val="00BF517A"/>
    <w:rsid w:val="00BF518E"/>
    <w:rsid w:val="00BF51BC"/>
    <w:rsid w:val="00BF51C5"/>
    <w:rsid w:val="00BF51F7"/>
    <w:rsid w:val="00BF52A2"/>
    <w:rsid w:val="00BF5341"/>
    <w:rsid w:val="00BF53B5"/>
    <w:rsid w:val="00BF5409"/>
    <w:rsid w:val="00BF5440"/>
    <w:rsid w:val="00BF55BB"/>
    <w:rsid w:val="00BF5668"/>
    <w:rsid w:val="00BF56B5"/>
    <w:rsid w:val="00BF56DC"/>
    <w:rsid w:val="00BF5775"/>
    <w:rsid w:val="00BF57FA"/>
    <w:rsid w:val="00BF5828"/>
    <w:rsid w:val="00BF584E"/>
    <w:rsid w:val="00BF5905"/>
    <w:rsid w:val="00BF59B7"/>
    <w:rsid w:val="00BF59C8"/>
    <w:rsid w:val="00BF59CE"/>
    <w:rsid w:val="00BF5A00"/>
    <w:rsid w:val="00BF5A0A"/>
    <w:rsid w:val="00BF5A38"/>
    <w:rsid w:val="00BF5A8F"/>
    <w:rsid w:val="00BF5ABD"/>
    <w:rsid w:val="00BF5B10"/>
    <w:rsid w:val="00BF5B24"/>
    <w:rsid w:val="00BF5B6A"/>
    <w:rsid w:val="00BF5BD9"/>
    <w:rsid w:val="00BF5C6C"/>
    <w:rsid w:val="00BF5DA5"/>
    <w:rsid w:val="00BF5E06"/>
    <w:rsid w:val="00BF5E7B"/>
    <w:rsid w:val="00BF5E82"/>
    <w:rsid w:val="00BF5EC7"/>
    <w:rsid w:val="00BF5F97"/>
    <w:rsid w:val="00BF6033"/>
    <w:rsid w:val="00BF60EF"/>
    <w:rsid w:val="00BF61B5"/>
    <w:rsid w:val="00BF61FF"/>
    <w:rsid w:val="00BF630E"/>
    <w:rsid w:val="00BF6416"/>
    <w:rsid w:val="00BF644F"/>
    <w:rsid w:val="00BF6456"/>
    <w:rsid w:val="00BF64E2"/>
    <w:rsid w:val="00BF64EF"/>
    <w:rsid w:val="00BF6617"/>
    <w:rsid w:val="00BF6645"/>
    <w:rsid w:val="00BF66E2"/>
    <w:rsid w:val="00BF6710"/>
    <w:rsid w:val="00BF6714"/>
    <w:rsid w:val="00BF6758"/>
    <w:rsid w:val="00BF6764"/>
    <w:rsid w:val="00BF6813"/>
    <w:rsid w:val="00BF68DE"/>
    <w:rsid w:val="00BF697A"/>
    <w:rsid w:val="00BF6A38"/>
    <w:rsid w:val="00BF6A83"/>
    <w:rsid w:val="00BF6AB4"/>
    <w:rsid w:val="00BF6B95"/>
    <w:rsid w:val="00BF6D17"/>
    <w:rsid w:val="00BF6D1F"/>
    <w:rsid w:val="00BF6D3F"/>
    <w:rsid w:val="00BF6E1C"/>
    <w:rsid w:val="00BF6E50"/>
    <w:rsid w:val="00BF6EB6"/>
    <w:rsid w:val="00BF6EF6"/>
    <w:rsid w:val="00BF6EF9"/>
    <w:rsid w:val="00BF6F17"/>
    <w:rsid w:val="00BF6FC0"/>
    <w:rsid w:val="00BF7011"/>
    <w:rsid w:val="00BF703E"/>
    <w:rsid w:val="00BF7108"/>
    <w:rsid w:val="00BF7198"/>
    <w:rsid w:val="00BF71AA"/>
    <w:rsid w:val="00BF71CA"/>
    <w:rsid w:val="00BF7226"/>
    <w:rsid w:val="00BF726B"/>
    <w:rsid w:val="00BF7316"/>
    <w:rsid w:val="00BF7387"/>
    <w:rsid w:val="00BF73F2"/>
    <w:rsid w:val="00BF7453"/>
    <w:rsid w:val="00BF745B"/>
    <w:rsid w:val="00BF7499"/>
    <w:rsid w:val="00BF74E6"/>
    <w:rsid w:val="00BF75C3"/>
    <w:rsid w:val="00BF7672"/>
    <w:rsid w:val="00BF7696"/>
    <w:rsid w:val="00BF76EB"/>
    <w:rsid w:val="00BF7768"/>
    <w:rsid w:val="00BF784A"/>
    <w:rsid w:val="00BF784F"/>
    <w:rsid w:val="00BF78A2"/>
    <w:rsid w:val="00BF78E9"/>
    <w:rsid w:val="00BF7952"/>
    <w:rsid w:val="00BF7960"/>
    <w:rsid w:val="00BF797A"/>
    <w:rsid w:val="00BF7A31"/>
    <w:rsid w:val="00BF7AFB"/>
    <w:rsid w:val="00BF7B27"/>
    <w:rsid w:val="00BF7B39"/>
    <w:rsid w:val="00BF7B50"/>
    <w:rsid w:val="00BF7C09"/>
    <w:rsid w:val="00BF7C74"/>
    <w:rsid w:val="00BF7CA8"/>
    <w:rsid w:val="00BF7CDF"/>
    <w:rsid w:val="00BF7D90"/>
    <w:rsid w:val="00BF7EA2"/>
    <w:rsid w:val="00BF7F98"/>
    <w:rsid w:val="00C00003"/>
    <w:rsid w:val="00C00027"/>
    <w:rsid w:val="00C00034"/>
    <w:rsid w:val="00C00043"/>
    <w:rsid w:val="00C000A7"/>
    <w:rsid w:val="00C000AF"/>
    <w:rsid w:val="00C000C9"/>
    <w:rsid w:val="00C0011E"/>
    <w:rsid w:val="00C00150"/>
    <w:rsid w:val="00C002CA"/>
    <w:rsid w:val="00C0033A"/>
    <w:rsid w:val="00C00390"/>
    <w:rsid w:val="00C003A0"/>
    <w:rsid w:val="00C003A2"/>
    <w:rsid w:val="00C0045C"/>
    <w:rsid w:val="00C00576"/>
    <w:rsid w:val="00C00594"/>
    <w:rsid w:val="00C0059B"/>
    <w:rsid w:val="00C0059D"/>
    <w:rsid w:val="00C00637"/>
    <w:rsid w:val="00C00690"/>
    <w:rsid w:val="00C006A3"/>
    <w:rsid w:val="00C006A8"/>
    <w:rsid w:val="00C006AA"/>
    <w:rsid w:val="00C006C1"/>
    <w:rsid w:val="00C006FF"/>
    <w:rsid w:val="00C00746"/>
    <w:rsid w:val="00C007E6"/>
    <w:rsid w:val="00C00932"/>
    <w:rsid w:val="00C00987"/>
    <w:rsid w:val="00C00B12"/>
    <w:rsid w:val="00C00B67"/>
    <w:rsid w:val="00C00B99"/>
    <w:rsid w:val="00C00C32"/>
    <w:rsid w:val="00C00D19"/>
    <w:rsid w:val="00C00D40"/>
    <w:rsid w:val="00C00D71"/>
    <w:rsid w:val="00C00DA8"/>
    <w:rsid w:val="00C00DB5"/>
    <w:rsid w:val="00C00DFA"/>
    <w:rsid w:val="00C00EF1"/>
    <w:rsid w:val="00C00EFD"/>
    <w:rsid w:val="00C00F21"/>
    <w:rsid w:val="00C00FE0"/>
    <w:rsid w:val="00C00FF8"/>
    <w:rsid w:val="00C01048"/>
    <w:rsid w:val="00C01055"/>
    <w:rsid w:val="00C0106A"/>
    <w:rsid w:val="00C01189"/>
    <w:rsid w:val="00C011F0"/>
    <w:rsid w:val="00C012AA"/>
    <w:rsid w:val="00C01332"/>
    <w:rsid w:val="00C01361"/>
    <w:rsid w:val="00C013C5"/>
    <w:rsid w:val="00C01431"/>
    <w:rsid w:val="00C0143F"/>
    <w:rsid w:val="00C01509"/>
    <w:rsid w:val="00C015DF"/>
    <w:rsid w:val="00C01614"/>
    <w:rsid w:val="00C01765"/>
    <w:rsid w:val="00C017A3"/>
    <w:rsid w:val="00C017E8"/>
    <w:rsid w:val="00C017F0"/>
    <w:rsid w:val="00C01885"/>
    <w:rsid w:val="00C0189A"/>
    <w:rsid w:val="00C01944"/>
    <w:rsid w:val="00C01986"/>
    <w:rsid w:val="00C01A67"/>
    <w:rsid w:val="00C01A84"/>
    <w:rsid w:val="00C01AAC"/>
    <w:rsid w:val="00C01B0F"/>
    <w:rsid w:val="00C01B3C"/>
    <w:rsid w:val="00C01B53"/>
    <w:rsid w:val="00C01BCB"/>
    <w:rsid w:val="00C01CAC"/>
    <w:rsid w:val="00C01CD3"/>
    <w:rsid w:val="00C01D0C"/>
    <w:rsid w:val="00C01DA9"/>
    <w:rsid w:val="00C01DBD"/>
    <w:rsid w:val="00C01E19"/>
    <w:rsid w:val="00C01E3D"/>
    <w:rsid w:val="00C01E6F"/>
    <w:rsid w:val="00C01EF0"/>
    <w:rsid w:val="00C01F3E"/>
    <w:rsid w:val="00C01FB4"/>
    <w:rsid w:val="00C01FDD"/>
    <w:rsid w:val="00C0208C"/>
    <w:rsid w:val="00C020B2"/>
    <w:rsid w:val="00C021A4"/>
    <w:rsid w:val="00C021B9"/>
    <w:rsid w:val="00C022A5"/>
    <w:rsid w:val="00C02323"/>
    <w:rsid w:val="00C0238E"/>
    <w:rsid w:val="00C023F0"/>
    <w:rsid w:val="00C0268C"/>
    <w:rsid w:val="00C026E6"/>
    <w:rsid w:val="00C02763"/>
    <w:rsid w:val="00C0277B"/>
    <w:rsid w:val="00C027CA"/>
    <w:rsid w:val="00C02817"/>
    <w:rsid w:val="00C0283F"/>
    <w:rsid w:val="00C0287C"/>
    <w:rsid w:val="00C02910"/>
    <w:rsid w:val="00C029A7"/>
    <w:rsid w:val="00C02A0F"/>
    <w:rsid w:val="00C02A67"/>
    <w:rsid w:val="00C02A80"/>
    <w:rsid w:val="00C02A9E"/>
    <w:rsid w:val="00C02AC2"/>
    <w:rsid w:val="00C02AE0"/>
    <w:rsid w:val="00C02C01"/>
    <w:rsid w:val="00C02D06"/>
    <w:rsid w:val="00C02DDA"/>
    <w:rsid w:val="00C02E0B"/>
    <w:rsid w:val="00C02E21"/>
    <w:rsid w:val="00C02E47"/>
    <w:rsid w:val="00C02E4A"/>
    <w:rsid w:val="00C02E80"/>
    <w:rsid w:val="00C02E89"/>
    <w:rsid w:val="00C0300F"/>
    <w:rsid w:val="00C0303A"/>
    <w:rsid w:val="00C030F3"/>
    <w:rsid w:val="00C03140"/>
    <w:rsid w:val="00C03159"/>
    <w:rsid w:val="00C031E3"/>
    <w:rsid w:val="00C0327F"/>
    <w:rsid w:val="00C032F6"/>
    <w:rsid w:val="00C032FC"/>
    <w:rsid w:val="00C03453"/>
    <w:rsid w:val="00C0351B"/>
    <w:rsid w:val="00C0358F"/>
    <w:rsid w:val="00C035C5"/>
    <w:rsid w:val="00C035E4"/>
    <w:rsid w:val="00C035F0"/>
    <w:rsid w:val="00C03648"/>
    <w:rsid w:val="00C036F7"/>
    <w:rsid w:val="00C03742"/>
    <w:rsid w:val="00C037F2"/>
    <w:rsid w:val="00C03885"/>
    <w:rsid w:val="00C038AE"/>
    <w:rsid w:val="00C0390F"/>
    <w:rsid w:val="00C039BB"/>
    <w:rsid w:val="00C03A05"/>
    <w:rsid w:val="00C03A34"/>
    <w:rsid w:val="00C03A64"/>
    <w:rsid w:val="00C03A75"/>
    <w:rsid w:val="00C03AC1"/>
    <w:rsid w:val="00C03ACE"/>
    <w:rsid w:val="00C03AFE"/>
    <w:rsid w:val="00C03B9F"/>
    <w:rsid w:val="00C03BDE"/>
    <w:rsid w:val="00C03CE0"/>
    <w:rsid w:val="00C03D7C"/>
    <w:rsid w:val="00C03EA1"/>
    <w:rsid w:val="00C03F7B"/>
    <w:rsid w:val="00C03FC4"/>
    <w:rsid w:val="00C03FD1"/>
    <w:rsid w:val="00C03FED"/>
    <w:rsid w:val="00C03FF9"/>
    <w:rsid w:val="00C04038"/>
    <w:rsid w:val="00C040AF"/>
    <w:rsid w:val="00C040C7"/>
    <w:rsid w:val="00C040D8"/>
    <w:rsid w:val="00C0412D"/>
    <w:rsid w:val="00C0422B"/>
    <w:rsid w:val="00C04245"/>
    <w:rsid w:val="00C04369"/>
    <w:rsid w:val="00C04378"/>
    <w:rsid w:val="00C043AC"/>
    <w:rsid w:val="00C043D5"/>
    <w:rsid w:val="00C043F5"/>
    <w:rsid w:val="00C044C0"/>
    <w:rsid w:val="00C044E0"/>
    <w:rsid w:val="00C04508"/>
    <w:rsid w:val="00C04568"/>
    <w:rsid w:val="00C0456C"/>
    <w:rsid w:val="00C045DF"/>
    <w:rsid w:val="00C0462C"/>
    <w:rsid w:val="00C0465F"/>
    <w:rsid w:val="00C04796"/>
    <w:rsid w:val="00C04924"/>
    <w:rsid w:val="00C0495B"/>
    <w:rsid w:val="00C04AB7"/>
    <w:rsid w:val="00C04B5E"/>
    <w:rsid w:val="00C04BD8"/>
    <w:rsid w:val="00C04BF4"/>
    <w:rsid w:val="00C04CDA"/>
    <w:rsid w:val="00C04D8F"/>
    <w:rsid w:val="00C04DC3"/>
    <w:rsid w:val="00C04DCC"/>
    <w:rsid w:val="00C04DF8"/>
    <w:rsid w:val="00C04DFB"/>
    <w:rsid w:val="00C04E88"/>
    <w:rsid w:val="00C04E99"/>
    <w:rsid w:val="00C04F3D"/>
    <w:rsid w:val="00C04FBB"/>
    <w:rsid w:val="00C04FD3"/>
    <w:rsid w:val="00C050E8"/>
    <w:rsid w:val="00C05185"/>
    <w:rsid w:val="00C0523C"/>
    <w:rsid w:val="00C0526E"/>
    <w:rsid w:val="00C0535D"/>
    <w:rsid w:val="00C0543D"/>
    <w:rsid w:val="00C05468"/>
    <w:rsid w:val="00C05496"/>
    <w:rsid w:val="00C0556E"/>
    <w:rsid w:val="00C056FD"/>
    <w:rsid w:val="00C057B5"/>
    <w:rsid w:val="00C05892"/>
    <w:rsid w:val="00C058A7"/>
    <w:rsid w:val="00C058DE"/>
    <w:rsid w:val="00C058DF"/>
    <w:rsid w:val="00C05909"/>
    <w:rsid w:val="00C05918"/>
    <w:rsid w:val="00C05969"/>
    <w:rsid w:val="00C05A13"/>
    <w:rsid w:val="00C05A76"/>
    <w:rsid w:val="00C05ADC"/>
    <w:rsid w:val="00C05B1D"/>
    <w:rsid w:val="00C05B93"/>
    <w:rsid w:val="00C05D75"/>
    <w:rsid w:val="00C05FB3"/>
    <w:rsid w:val="00C06043"/>
    <w:rsid w:val="00C060AD"/>
    <w:rsid w:val="00C0614C"/>
    <w:rsid w:val="00C061FC"/>
    <w:rsid w:val="00C06210"/>
    <w:rsid w:val="00C06217"/>
    <w:rsid w:val="00C0621E"/>
    <w:rsid w:val="00C06228"/>
    <w:rsid w:val="00C06283"/>
    <w:rsid w:val="00C063AD"/>
    <w:rsid w:val="00C06402"/>
    <w:rsid w:val="00C0648A"/>
    <w:rsid w:val="00C064A6"/>
    <w:rsid w:val="00C064E0"/>
    <w:rsid w:val="00C06515"/>
    <w:rsid w:val="00C0652C"/>
    <w:rsid w:val="00C06691"/>
    <w:rsid w:val="00C0673A"/>
    <w:rsid w:val="00C06819"/>
    <w:rsid w:val="00C06833"/>
    <w:rsid w:val="00C068E0"/>
    <w:rsid w:val="00C06905"/>
    <w:rsid w:val="00C0699C"/>
    <w:rsid w:val="00C069A9"/>
    <w:rsid w:val="00C069EF"/>
    <w:rsid w:val="00C06A52"/>
    <w:rsid w:val="00C06A56"/>
    <w:rsid w:val="00C06A82"/>
    <w:rsid w:val="00C06B34"/>
    <w:rsid w:val="00C06B4B"/>
    <w:rsid w:val="00C06C1E"/>
    <w:rsid w:val="00C06C72"/>
    <w:rsid w:val="00C06C8D"/>
    <w:rsid w:val="00C06D00"/>
    <w:rsid w:val="00C06D58"/>
    <w:rsid w:val="00C06D9E"/>
    <w:rsid w:val="00C06DBA"/>
    <w:rsid w:val="00C06E12"/>
    <w:rsid w:val="00C06ED4"/>
    <w:rsid w:val="00C06EDC"/>
    <w:rsid w:val="00C070C6"/>
    <w:rsid w:val="00C07154"/>
    <w:rsid w:val="00C07166"/>
    <w:rsid w:val="00C07177"/>
    <w:rsid w:val="00C0719B"/>
    <w:rsid w:val="00C07224"/>
    <w:rsid w:val="00C07278"/>
    <w:rsid w:val="00C0728A"/>
    <w:rsid w:val="00C072FA"/>
    <w:rsid w:val="00C07355"/>
    <w:rsid w:val="00C0736F"/>
    <w:rsid w:val="00C074A4"/>
    <w:rsid w:val="00C07518"/>
    <w:rsid w:val="00C075F5"/>
    <w:rsid w:val="00C07637"/>
    <w:rsid w:val="00C076CA"/>
    <w:rsid w:val="00C07713"/>
    <w:rsid w:val="00C077CF"/>
    <w:rsid w:val="00C07818"/>
    <w:rsid w:val="00C07890"/>
    <w:rsid w:val="00C079DB"/>
    <w:rsid w:val="00C07A29"/>
    <w:rsid w:val="00C07A79"/>
    <w:rsid w:val="00C07B60"/>
    <w:rsid w:val="00C07B67"/>
    <w:rsid w:val="00C07C60"/>
    <w:rsid w:val="00C07C67"/>
    <w:rsid w:val="00C07D2C"/>
    <w:rsid w:val="00C07D4B"/>
    <w:rsid w:val="00C07D89"/>
    <w:rsid w:val="00C07D8D"/>
    <w:rsid w:val="00C07DF6"/>
    <w:rsid w:val="00C07E1B"/>
    <w:rsid w:val="00C07E23"/>
    <w:rsid w:val="00C07E55"/>
    <w:rsid w:val="00C07ECF"/>
    <w:rsid w:val="00C07EDC"/>
    <w:rsid w:val="00C07EF9"/>
    <w:rsid w:val="00C07FA2"/>
    <w:rsid w:val="00C1000F"/>
    <w:rsid w:val="00C10017"/>
    <w:rsid w:val="00C100B8"/>
    <w:rsid w:val="00C100E0"/>
    <w:rsid w:val="00C101A2"/>
    <w:rsid w:val="00C10205"/>
    <w:rsid w:val="00C1023E"/>
    <w:rsid w:val="00C10289"/>
    <w:rsid w:val="00C10349"/>
    <w:rsid w:val="00C1035E"/>
    <w:rsid w:val="00C104D6"/>
    <w:rsid w:val="00C105FE"/>
    <w:rsid w:val="00C10735"/>
    <w:rsid w:val="00C1080D"/>
    <w:rsid w:val="00C10814"/>
    <w:rsid w:val="00C10838"/>
    <w:rsid w:val="00C1087A"/>
    <w:rsid w:val="00C108D3"/>
    <w:rsid w:val="00C10949"/>
    <w:rsid w:val="00C10984"/>
    <w:rsid w:val="00C10A6B"/>
    <w:rsid w:val="00C10ABD"/>
    <w:rsid w:val="00C10AC1"/>
    <w:rsid w:val="00C10ACC"/>
    <w:rsid w:val="00C10B36"/>
    <w:rsid w:val="00C10B3B"/>
    <w:rsid w:val="00C10B9D"/>
    <w:rsid w:val="00C10C0F"/>
    <w:rsid w:val="00C10C3F"/>
    <w:rsid w:val="00C10CD9"/>
    <w:rsid w:val="00C10CFC"/>
    <w:rsid w:val="00C10D24"/>
    <w:rsid w:val="00C10D42"/>
    <w:rsid w:val="00C10D7F"/>
    <w:rsid w:val="00C10D8C"/>
    <w:rsid w:val="00C10DCF"/>
    <w:rsid w:val="00C10E1E"/>
    <w:rsid w:val="00C10EAC"/>
    <w:rsid w:val="00C10EC6"/>
    <w:rsid w:val="00C10EFA"/>
    <w:rsid w:val="00C11004"/>
    <w:rsid w:val="00C11082"/>
    <w:rsid w:val="00C11095"/>
    <w:rsid w:val="00C110CA"/>
    <w:rsid w:val="00C110E4"/>
    <w:rsid w:val="00C110F7"/>
    <w:rsid w:val="00C1112F"/>
    <w:rsid w:val="00C11179"/>
    <w:rsid w:val="00C111A0"/>
    <w:rsid w:val="00C111D3"/>
    <w:rsid w:val="00C11260"/>
    <w:rsid w:val="00C112E8"/>
    <w:rsid w:val="00C113B8"/>
    <w:rsid w:val="00C11402"/>
    <w:rsid w:val="00C11444"/>
    <w:rsid w:val="00C11469"/>
    <w:rsid w:val="00C1148F"/>
    <w:rsid w:val="00C114D1"/>
    <w:rsid w:val="00C114F2"/>
    <w:rsid w:val="00C11505"/>
    <w:rsid w:val="00C1150D"/>
    <w:rsid w:val="00C11520"/>
    <w:rsid w:val="00C11580"/>
    <w:rsid w:val="00C1158B"/>
    <w:rsid w:val="00C115F8"/>
    <w:rsid w:val="00C11634"/>
    <w:rsid w:val="00C11672"/>
    <w:rsid w:val="00C11680"/>
    <w:rsid w:val="00C116A3"/>
    <w:rsid w:val="00C116AD"/>
    <w:rsid w:val="00C11772"/>
    <w:rsid w:val="00C1180D"/>
    <w:rsid w:val="00C11893"/>
    <w:rsid w:val="00C11966"/>
    <w:rsid w:val="00C119A8"/>
    <w:rsid w:val="00C119EF"/>
    <w:rsid w:val="00C11A14"/>
    <w:rsid w:val="00C11A39"/>
    <w:rsid w:val="00C11AD0"/>
    <w:rsid w:val="00C11B0F"/>
    <w:rsid w:val="00C11B38"/>
    <w:rsid w:val="00C11B4C"/>
    <w:rsid w:val="00C11B6E"/>
    <w:rsid w:val="00C11C1F"/>
    <w:rsid w:val="00C11CD3"/>
    <w:rsid w:val="00C11D89"/>
    <w:rsid w:val="00C11E18"/>
    <w:rsid w:val="00C11EFD"/>
    <w:rsid w:val="00C11F0D"/>
    <w:rsid w:val="00C11F15"/>
    <w:rsid w:val="00C11F22"/>
    <w:rsid w:val="00C11F3A"/>
    <w:rsid w:val="00C11FD1"/>
    <w:rsid w:val="00C1204B"/>
    <w:rsid w:val="00C120C5"/>
    <w:rsid w:val="00C120D5"/>
    <w:rsid w:val="00C120F0"/>
    <w:rsid w:val="00C121C3"/>
    <w:rsid w:val="00C1223A"/>
    <w:rsid w:val="00C12270"/>
    <w:rsid w:val="00C12276"/>
    <w:rsid w:val="00C122A7"/>
    <w:rsid w:val="00C122DF"/>
    <w:rsid w:val="00C1233E"/>
    <w:rsid w:val="00C12364"/>
    <w:rsid w:val="00C1236C"/>
    <w:rsid w:val="00C12373"/>
    <w:rsid w:val="00C123C4"/>
    <w:rsid w:val="00C123D1"/>
    <w:rsid w:val="00C123D9"/>
    <w:rsid w:val="00C1244B"/>
    <w:rsid w:val="00C12450"/>
    <w:rsid w:val="00C124B6"/>
    <w:rsid w:val="00C124C3"/>
    <w:rsid w:val="00C124CA"/>
    <w:rsid w:val="00C124F9"/>
    <w:rsid w:val="00C124FC"/>
    <w:rsid w:val="00C1256F"/>
    <w:rsid w:val="00C125AA"/>
    <w:rsid w:val="00C126B2"/>
    <w:rsid w:val="00C126F1"/>
    <w:rsid w:val="00C1270E"/>
    <w:rsid w:val="00C127E7"/>
    <w:rsid w:val="00C127F9"/>
    <w:rsid w:val="00C12870"/>
    <w:rsid w:val="00C1287E"/>
    <w:rsid w:val="00C128F3"/>
    <w:rsid w:val="00C1295E"/>
    <w:rsid w:val="00C12999"/>
    <w:rsid w:val="00C129EC"/>
    <w:rsid w:val="00C12A4F"/>
    <w:rsid w:val="00C12ABA"/>
    <w:rsid w:val="00C12AC1"/>
    <w:rsid w:val="00C12B90"/>
    <w:rsid w:val="00C12BD3"/>
    <w:rsid w:val="00C12C55"/>
    <w:rsid w:val="00C12C98"/>
    <w:rsid w:val="00C12CA0"/>
    <w:rsid w:val="00C12E61"/>
    <w:rsid w:val="00C12F3C"/>
    <w:rsid w:val="00C12F90"/>
    <w:rsid w:val="00C12FC8"/>
    <w:rsid w:val="00C12FE2"/>
    <w:rsid w:val="00C130C8"/>
    <w:rsid w:val="00C1312D"/>
    <w:rsid w:val="00C13153"/>
    <w:rsid w:val="00C131BB"/>
    <w:rsid w:val="00C131E0"/>
    <w:rsid w:val="00C131E1"/>
    <w:rsid w:val="00C13203"/>
    <w:rsid w:val="00C13244"/>
    <w:rsid w:val="00C13252"/>
    <w:rsid w:val="00C13292"/>
    <w:rsid w:val="00C1329A"/>
    <w:rsid w:val="00C132BB"/>
    <w:rsid w:val="00C132FD"/>
    <w:rsid w:val="00C133FA"/>
    <w:rsid w:val="00C1346D"/>
    <w:rsid w:val="00C134B5"/>
    <w:rsid w:val="00C134CA"/>
    <w:rsid w:val="00C134D0"/>
    <w:rsid w:val="00C13533"/>
    <w:rsid w:val="00C135DD"/>
    <w:rsid w:val="00C135E9"/>
    <w:rsid w:val="00C135ED"/>
    <w:rsid w:val="00C13667"/>
    <w:rsid w:val="00C137B1"/>
    <w:rsid w:val="00C137B3"/>
    <w:rsid w:val="00C138C6"/>
    <w:rsid w:val="00C138CB"/>
    <w:rsid w:val="00C13913"/>
    <w:rsid w:val="00C13929"/>
    <w:rsid w:val="00C1397F"/>
    <w:rsid w:val="00C139DA"/>
    <w:rsid w:val="00C13A9B"/>
    <w:rsid w:val="00C13B0E"/>
    <w:rsid w:val="00C13B3A"/>
    <w:rsid w:val="00C13BC3"/>
    <w:rsid w:val="00C13BFA"/>
    <w:rsid w:val="00C13C7B"/>
    <w:rsid w:val="00C13C81"/>
    <w:rsid w:val="00C13C83"/>
    <w:rsid w:val="00C13C89"/>
    <w:rsid w:val="00C13CE0"/>
    <w:rsid w:val="00C13D34"/>
    <w:rsid w:val="00C13E37"/>
    <w:rsid w:val="00C13E60"/>
    <w:rsid w:val="00C13E76"/>
    <w:rsid w:val="00C13EEB"/>
    <w:rsid w:val="00C13F69"/>
    <w:rsid w:val="00C14055"/>
    <w:rsid w:val="00C141EE"/>
    <w:rsid w:val="00C141F0"/>
    <w:rsid w:val="00C14212"/>
    <w:rsid w:val="00C14277"/>
    <w:rsid w:val="00C1439E"/>
    <w:rsid w:val="00C143A2"/>
    <w:rsid w:val="00C143A4"/>
    <w:rsid w:val="00C143A8"/>
    <w:rsid w:val="00C143FB"/>
    <w:rsid w:val="00C1440D"/>
    <w:rsid w:val="00C1442D"/>
    <w:rsid w:val="00C14440"/>
    <w:rsid w:val="00C144A2"/>
    <w:rsid w:val="00C144CD"/>
    <w:rsid w:val="00C144CE"/>
    <w:rsid w:val="00C145CE"/>
    <w:rsid w:val="00C14648"/>
    <w:rsid w:val="00C146AF"/>
    <w:rsid w:val="00C146BD"/>
    <w:rsid w:val="00C146FF"/>
    <w:rsid w:val="00C14794"/>
    <w:rsid w:val="00C14835"/>
    <w:rsid w:val="00C1484C"/>
    <w:rsid w:val="00C14859"/>
    <w:rsid w:val="00C148D4"/>
    <w:rsid w:val="00C148D7"/>
    <w:rsid w:val="00C148FB"/>
    <w:rsid w:val="00C1490D"/>
    <w:rsid w:val="00C1491C"/>
    <w:rsid w:val="00C149A7"/>
    <w:rsid w:val="00C149E1"/>
    <w:rsid w:val="00C14A38"/>
    <w:rsid w:val="00C14A46"/>
    <w:rsid w:val="00C14AB1"/>
    <w:rsid w:val="00C14B31"/>
    <w:rsid w:val="00C14C73"/>
    <w:rsid w:val="00C14CC3"/>
    <w:rsid w:val="00C14CE0"/>
    <w:rsid w:val="00C14CFE"/>
    <w:rsid w:val="00C14D7C"/>
    <w:rsid w:val="00C14D91"/>
    <w:rsid w:val="00C14E27"/>
    <w:rsid w:val="00C14ECA"/>
    <w:rsid w:val="00C14ECC"/>
    <w:rsid w:val="00C14EF1"/>
    <w:rsid w:val="00C14FE3"/>
    <w:rsid w:val="00C14FE9"/>
    <w:rsid w:val="00C15003"/>
    <w:rsid w:val="00C15045"/>
    <w:rsid w:val="00C1505A"/>
    <w:rsid w:val="00C150D4"/>
    <w:rsid w:val="00C15141"/>
    <w:rsid w:val="00C1515B"/>
    <w:rsid w:val="00C15176"/>
    <w:rsid w:val="00C151AF"/>
    <w:rsid w:val="00C153A7"/>
    <w:rsid w:val="00C153AB"/>
    <w:rsid w:val="00C153FC"/>
    <w:rsid w:val="00C15412"/>
    <w:rsid w:val="00C1541E"/>
    <w:rsid w:val="00C15424"/>
    <w:rsid w:val="00C15449"/>
    <w:rsid w:val="00C154E6"/>
    <w:rsid w:val="00C154EF"/>
    <w:rsid w:val="00C155A8"/>
    <w:rsid w:val="00C1564E"/>
    <w:rsid w:val="00C156CE"/>
    <w:rsid w:val="00C15781"/>
    <w:rsid w:val="00C157C9"/>
    <w:rsid w:val="00C1581E"/>
    <w:rsid w:val="00C1587D"/>
    <w:rsid w:val="00C158A4"/>
    <w:rsid w:val="00C158B3"/>
    <w:rsid w:val="00C15912"/>
    <w:rsid w:val="00C15936"/>
    <w:rsid w:val="00C159AE"/>
    <w:rsid w:val="00C159DA"/>
    <w:rsid w:val="00C15A4C"/>
    <w:rsid w:val="00C15A64"/>
    <w:rsid w:val="00C15A75"/>
    <w:rsid w:val="00C15BEE"/>
    <w:rsid w:val="00C15C88"/>
    <w:rsid w:val="00C15CE0"/>
    <w:rsid w:val="00C15CF0"/>
    <w:rsid w:val="00C15DE2"/>
    <w:rsid w:val="00C15E5A"/>
    <w:rsid w:val="00C15E6B"/>
    <w:rsid w:val="00C15EF6"/>
    <w:rsid w:val="00C15F28"/>
    <w:rsid w:val="00C15F77"/>
    <w:rsid w:val="00C16045"/>
    <w:rsid w:val="00C16048"/>
    <w:rsid w:val="00C16049"/>
    <w:rsid w:val="00C1609F"/>
    <w:rsid w:val="00C160D2"/>
    <w:rsid w:val="00C16131"/>
    <w:rsid w:val="00C1614D"/>
    <w:rsid w:val="00C161E0"/>
    <w:rsid w:val="00C1620A"/>
    <w:rsid w:val="00C16219"/>
    <w:rsid w:val="00C1621A"/>
    <w:rsid w:val="00C1622D"/>
    <w:rsid w:val="00C16295"/>
    <w:rsid w:val="00C162C0"/>
    <w:rsid w:val="00C16332"/>
    <w:rsid w:val="00C16343"/>
    <w:rsid w:val="00C16346"/>
    <w:rsid w:val="00C163BD"/>
    <w:rsid w:val="00C16403"/>
    <w:rsid w:val="00C16469"/>
    <w:rsid w:val="00C164AC"/>
    <w:rsid w:val="00C164BB"/>
    <w:rsid w:val="00C164F7"/>
    <w:rsid w:val="00C16502"/>
    <w:rsid w:val="00C16526"/>
    <w:rsid w:val="00C1658B"/>
    <w:rsid w:val="00C165D6"/>
    <w:rsid w:val="00C1660B"/>
    <w:rsid w:val="00C16614"/>
    <w:rsid w:val="00C16647"/>
    <w:rsid w:val="00C168DC"/>
    <w:rsid w:val="00C1691E"/>
    <w:rsid w:val="00C16944"/>
    <w:rsid w:val="00C16963"/>
    <w:rsid w:val="00C16970"/>
    <w:rsid w:val="00C1697F"/>
    <w:rsid w:val="00C169BB"/>
    <w:rsid w:val="00C16A06"/>
    <w:rsid w:val="00C16A65"/>
    <w:rsid w:val="00C16B16"/>
    <w:rsid w:val="00C16BA9"/>
    <w:rsid w:val="00C16C17"/>
    <w:rsid w:val="00C16CCD"/>
    <w:rsid w:val="00C16D31"/>
    <w:rsid w:val="00C16D52"/>
    <w:rsid w:val="00C16D72"/>
    <w:rsid w:val="00C16E45"/>
    <w:rsid w:val="00C16E6E"/>
    <w:rsid w:val="00C16F18"/>
    <w:rsid w:val="00C1709B"/>
    <w:rsid w:val="00C170FB"/>
    <w:rsid w:val="00C17127"/>
    <w:rsid w:val="00C17135"/>
    <w:rsid w:val="00C171B7"/>
    <w:rsid w:val="00C17204"/>
    <w:rsid w:val="00C172BA"/>
    <w:rsid w:val="00C17318"/>
    <w:rsid w:val="00C1736D"/>
    <w:rsid w:val="00C173FF"/>
    <w:rsid w:val="00C1741A"/>
    <w:rsid w:val="00C174A2"/>
    <w:rsid w:val="00C174C0"/>
    <w:rsid w:val="00C1750D"/>
    <w:rsid w:val="00C17628"/>
    <w:rsid w:val="00C17651"/>
    <w:rsid w:val="00C17696"/>
    <w:rsid w:val="00C1769D"/>
    <w:rsid w:val="00C176AE"/>
    <w:rsid w:val="00C17757"/>
    <w:rsid w:val="00C1779F"/>
    <w:rsid w:val="00C177B8"/>
    <w:rsid w:val="00C17840"/>
    <w:rsid w:val="00C17880"/>
    <w:rsid w:val="00C17A84"/>
    <w:rsid w:val="00C17B49"/>
    <w:rsid w:val="00C17BBA"/>
    <w:rsid w:val="00C17D58"/>
    <w:rsid w:val="00C17D7E"/>
    <w:rsid w:val="00C17D87"/>
    <w:rsid w:val="00C17D8E"/>
    <w:rsid w:val="00C17E5A"/>
    <w:rsid w:val="00C17EBE"/>
    <w:rsid w:val="00C17EDC"/>
    <w:rsid w:val="00C17FA1"/>
    <w:rsid w:val="00C17FAE"/>
    <w:rsid w:val="00C20019"/>
    <w:rsid w:val="00C202E0"/>
    <w:rsid w:val="00C202E5"/>
    <w:rsid w:val="00C20318"/>
    <w:rsid w:val="00C203C1"/>
    <w:rsid w:val="00C20456"/>
    <w:rsid w:val="00C204CA"/>
    <w:rsid w:val="00C204E9"/>
    <w:rsid w:val="00C20571"/>
    <w:rsid w:val="00C2068C"/>
    <w:rsid w:val="00C20690"/>
    <w:rsid w:val="00C206DF"/>
    <w:rsid w:val="00C20748"/>
    <w:rsid w:val="00C207A3"/>
    <w:rsid w:val="00C207C6"/>
    <w:rsid w:val="00C20853"/>
    <w:rsid w:val="00C2087E"/>
    <w:rsid w:val="00C208C3"/>
    <w:rsid w:val="00C208D7"/>
    <w:rsid w:val="00C208E4"/>
    <w:rsid w:val="00C2095B"/>
    <w:rsid w:val="00C209A6"/>
    <w:rsid w:val="00C209F7"/>
    <w:rsid w:val="00C20A0A"/>
    <w:rsid w:val="00C20A80"/>
    <w:rsid w:val="00C20AB3"/>
    <w:rsid w:val="00C20ACF"/>
    <w:rsid w:val="00C20AEF"/>
    <w:rsid w:val="00C20BD3"/>
    <w:rsid w:val="00C20BE2"/>
    <w:rsid w:val="00C20CD8"/>
    <w:rsid w:val="00C20CFC"/>
    <w:rsid w:val="00C20D35"/>
    <w:rsid w:val="00C20D61"/>
    <w:rsid w:val="00C20DE3"/>
    <w:rsid w:val="00C20DFB"/>
    <w:rsid w:val="00C20E2C"/>
    <w:rsid w:val="00C20EB9"/>
    <w:rsid w:val="00C20ECB"/>
    <w:rsid w:val="00C20F7F"/>
    <w:rsid w:val="00C20FD4"/>
    <w:rsid w:val="00C20FFB"/>
    <w:rsid w:val="00C21020"/>
    <w:rsid w:val="00C21032"/>
    <w:rsid w:val="00C2108E"/>
    <w:rsid w:val="00C210D7"/>
    <w:rsid w:val="00C2112F"/>
    <w:rsid w:val="00C21131"/>
    <w:rsid w:val="00C21202"/>
    <w:rsid w:val="00C2126D"/>
    <w:rsid w:val="00C21292"/>
    <w:rsid w:val="00C212DD"/>
    <w:rsid w:val="00C2131E"/>
    <w:rsid w:val="00C21383"/>
    <w:rsid w:val="00C21394"/>
    <w:rsid w:val="00C2142A"/>
    <w:rsid w:val="00C2148D"/>
    <w:rsid w:val="00C214F8"/>
    <w:rsid w:val="00C21522"/>
    <w:rsid w:val="00C21617"/>
    <w:rsid w:val="00C2162F"/>
    <w:rsid w:val="00C216E6"/>
    <w:rsid w:val="00C216FC"/>
    <w:rsid w:val="00C217EA"/>
    <w:rsid w:val="00C21866"/>
    <w:rsid w:val="00C21875"/>
    <w:rsid w:val="00C2193F"/>
    <w:rsid w:val="00C219A0"/>
    <w:rsid w:val="00C21AB0"/>
    <w:rsid w:val="00C21AC2"/>
    <w:rsid w:val="00C21BD3"/>
    <w:rsid w:val="00C21BFE"/>
    <w:rsid w:val="00C21C65"/>
    <w:rsid w:val="00C21CDA"/>
    <w:rsid w:val="00C21D18"/>
    <w:rsid w:val="00C21D4C"/>
    <w:rsid w:val="00C21D7E"/>
    <w:rsid w:val="00C21DC3"/>
    <w:rsid w:val="00C21DC5"/>
    <w:rsid w:val="00C21DF2"/>
    <w:rsid w:val="00C21E0C"/>
    <w:rsid w:val="00C21EF2"/>
    <w:rsid w:val="00C21F44"/>
    <w:rsid w:val="00C2205C"/>
    <w:rsid w:val="00C22148"/>
    <w:rsid w:val="00C22167"/>
    <w:rsid w:val="00C2225D"/>
    <w:rsid w:val="00C22268"/>
    <w:rsid w:val="00C222B6"/>
    <w:rsid w:val="00C222C4"/>
    <w:rsid w:val="00C223D9"/>
    <w:rsid w:val="00C22452"/>
    <w:rsid w:val="00C22485"/>
    <w:rsid w:val="00C2251C"/>
    <w:rsid w:val="00C22570"/>
    <w:rsid w:val="00C22576"/>
    <w:rsid w:val="00C225C1"/>
    <w:rsid w:val="00C225EF"/>
    <w:rsid w:val="00C22661"/>
    <w:rsid w:val="00C226D3"/>
    <w:rsid w:val="00C226EA"/>
    <w:rsid w:val="00C2274D"/>
    <w:rsid w:val="00C22792"/>
    <w:rsid w:val="00C227A8"/>
    <w:rsid w:val="00C22816"/>
    <w:rsid w:val="00C22875"/>
    <w:rsid w:val="00C228E9"/>
    <w:rsid w:val="00C228F8"/>
    <w:rsid w:val="00C2295C"/>
    <w:rsid w:val="00C2296A"/>
    <w:rsid w:val="00C2299C"/>
    <w:rsid w:val="00C22A17"/>
    <w:rsid w:val="00C22A32"/>
    <w:rsid w:val="00C22A89"/>
    <w:rsid w:val="00C22AE2"/>
    <w:rsid w:val="00C22B32"/>
    <w:rsid w:val="00C22B4D"/>
    <w:rsid w:val="00C22B53"/>
    <w:rsid w:val="00C22B63"/>
    <w:rsid w:val="00C22B6A"/>
    <w:rsid w:val="00C22B84"/>
    <w:rsid w:val="00C22BC1"/>
    <w:rsid w:val="00C22BE9"/>
    <w:rsid w:val="00C22C08"/>
    <w:rsid w:val="00C22C0F"/>
    <w:rsid w:val="00C22C60"/>
    <w:rsid w:val="00C22CF9"/>
    <w:rsid w:val="00C22D3B"/>
    <w:rsid w:val="00C22D3F"/>
    <w:rsid w:val="00C22DB3"/>
    <w:rsid w:val="00C22DBB"/>
    <w:rsid w:val="00C22DC5"/>
    <w:rsid w:val="00C22DF6"/>
    <w:rsid w:val="00C22E0A"/>
    <w:rsid w:val="00C22E6E"/>
    <w:rsid w:val="00C22FE9"/>
    <w:rsid w:val="00C23087"/>
    <w:rsid w:val="00C23186"/>
    <w:rsid w:val="00C2319F"/>
    <w:rsid w:val="00C231AB"/>
    <w:rsid w:val="00C231E9"/>
    <w:rsid w:val="00C23218"/>
    <w:rsid w:val="00C2321C"/>
    <w:rsid w:val="00C23242"/>
    <w:rsid w:val="00C23292"/>
    <w:rsid w:val="00C233DA"/>
    <w:rsid w:val="00C234AF"/>
    <w:rsid w:val="00C234B8"/>
    <w:rsid w:val="00C234D8"/>
    <w:rsid w:val="00C235FC"/>
    <w:rsid w:val="00C23726"/>
    <w:rsid w:val="00C237A3"/>
    <w:rsid w:val="00C237A6"/>
    <w:rsid w:val="00C237BC"/>
    <w:rsid w:val="00C237D5"/>
    <w:rsid w:val="00C237E9"/>
    <w:rsid w:val="00C23870"/>
    <w:rsid w:val="00C238B6"/>
    <w:rsid w:val="00C239CB"/>
    <w:rsid w:val="00C23A0C"/>
    <w:rsid w:val="00C23A14"/>
    <w:rsid w:val="00C23A51"/>
    <w:rsid w:val="00C23AAD"/>
    <w:rsid w:val="00C23B1D"/>
    <w:rsid w:val="00C23B20"/>
    <w:rsid w:val="00C23B5B"/>
    <w:rsid w:val="00C23BBA"/>
    <w:rsid w:val="00C23BDA"/>
    <w:rsid w:val="00C23BEB"/>
    <w:rsid w:val="00C23C33"/>
    <w:rsid w:val="00C23D2F"/>
    <w:rsid w:val="00C23D84"/>
    <w:rsid w:val="00C23E8D"/>
    <w:rsid w:val="00C23EC0"/>
    <w:rsid w:val="00C23EE7"/>
    <w:rsid w:val="00C2401F"/>
    <w:rsid w:val="00C2405B"/>
    <w:rsid w:val="00C240B9"/>
    <w:rsid w:val="00C240CB"/>
    <w:rsid w:val="00C240E9"/>
    <w:rsid w:val="00C241B1"/>
    <w:rsid w:val="00C241F6"/>
    <w:rsid w:val="00C2420B"/>
    <w:rsid w:val="00C2424C"/>
    <w:rsid w:val="00C242A9"/>
    <w:rsid w:val="00C2430E"/>
    <w:rsid w:val="00C24355"/>
    <w:rsid w:val="00C243D7"/>
    <w:rsid w:val="00C243ED"/>
    <w:rsid w:val="00C2450A"/>
    <w:rsid w:val="00C24530"/>
    <w:rsid w:val="00C24550"/>
    <w:rsid w:val="00C2456E"/>
    <w:rsid w:val="00C2458A"/>
    <w:rsid w:val="00C245AB"/>
    <w:rsid w:val="00C245BB"/>
    <w:rsid w:val="00C245C8"/>
    <w:rsid w:val="00C245CF"/>
    <w:rsid w:val="00C245E8"/>
    <w:rsid w:val="00C24606"/>
    <w:rsid w:val="00C2461A"/>
    <w:rsid w:val="00C24691"/>
    <w:rsid w:val="00C2469E"/>
    <w:rsid w:val="00C24700"/>
    <w:rsid w:val="00C24759"/>
    <w:rsid w:val="00C247CE"/>
    <w:rsid w:val="00C247FF"/>
    <w:rsid w:val="00C2486E"/>
    <w:rsid w:val="00C2489F"/>
    <w:rsid w:val="00C248A9"/>
    <w:rsid w:val="00C248E2"/>
    <w:rsid w:val="00C24910"/>
    <w:rsid w:val="00C24927"/>
    <w:rsid w:val="00C2492F"/>
    <w:rsid w:val="00C24938"/>
    <w:rsid w:val="00C249B2"/>
    <w:rsid w:val="00C24A15"/>
    <w:rsid w:val="00C24AD8"/>
    <w:rsid w:val="00C24B3C"/>
    <w:rsid w:val="00C24B94"/>
    <w:rsid w:val="00C24BAE"/>
    <w:rsid w:val="00C24CA4"/>
    <w:rsid w:val="00C24D88"/>
    <w:rsid w:val="00C24DD4"/>
    <w:rsid w:val="00C24DD5"/>
    <w:rsid w:val="00C24DDC"/>
    <w:rsid w:val="00C24E96"/>
    <w:rsid w:val="00C24F0D"/>
    <w:rsid w:val="00C24F1C"/>
    <w:rsid w:val="00C24F51"/>
    <w:rsid w:val="00C24FEA"/>
    <w:rsid w:val="00C24FED"/>
    <w:rsid w:val="00C2501C"/>
    <w:rsid w:val="00C2501D"/>
    <w:rsid w:val="00C2506B"/>
    <w:rsid w:val="00C250F5"/>
    <w:rsid w:val="00C250FC"/>
    <w:rsid w:val="00C25196"/>
    <w:rsid w:val="00C251A2"/>
    <w:rsid w:val="00C251D4"/>
    <w:rsid w:val="00C251E2"/>
    <w:rsid w:val="00C25225"/>
    <w:rsid w:val="00C252CE"/>
    <w:rsid w:val="00C252D9"/>
    <w:rsid w:val="00C25308"/>
    <w:rsid w:val="00C2536F"/>
    <w:rsid w:val="00C25439"/>
    <w:rsid w:val="00C25442"/>
    <w:rsid w:val="00C25465"/>
    <w:rsid w:val="00C254C5"/>
    <w:rsid w:val="00C25537"/>
    <w:rsid w:val="00C25545"/>
    <w:rsid w:val="00C2556B"/>
    <w:rsid w:val="00C255E9"/>
    <w:rsid w:val="00C255EA"/>
    <w:rsid w:val="00C255FC"/>
    <w:rsid w:val="00C25681"/>
    <w:rsid w:val="00C2571A"/>
    <w:rsid w:val="00C257A0"/>
    <w:rsid w:val="00C25864"/>
    <w:rsid w:val="00C258A0"/>
    <w:rsid w:val="00C258AC"/>
    <w:rsid w:val="00C25914"/>
    <w:rsid w:val="00C259D4"/>
    <w:rsid w:val="00C25A8F"/>
    <w:rsid w:val="00C25B86"/>
    <w:rsid w:val="00C25BB9"/>
    <w:rsid w:val="00C25C19"/>
    <w:rsid w:val="00C25C69"/>
    <w:rsid w:val="00C25C8D"/>
    <w:rsid w:val="00C25C98"/>
    <w:rsid w:val="00C25CDB"/>
    <w:rsid w:val="00C25D32"/>
    <w:rsid w:val="00C25D3F"/>
    <w:rsid w:val="00C25E58"/>
    <w:rsid w:val="00C25EF5"/>
    <w:rsid w:val="00C25F33"/>
    <w:rsid w:val="00C25F3F"/>
    <w:rsid w:val="00C25FDC"/>
    <w:rsid w:val="00C26060"/>
    <w:rsid w:val="00C2607E"/>
    <w:rsid w:val="00C260C7"/>
    <w:rsid w:val="00C26106"/>
    <w:rsid w:val="00C26127"/>
    <w:rsid w:val="00C2616F"/>
    <w:rsid w:val="00C26237"/>
    <w:rsid w:val="00C26280"/>
    <w:rsid w:val="00C2629D"/>
    <w:rsid w:val="00C26307"/>
    <w:rsid w:val="00C26347"/>
    <w:rsid w:val="00C26360"/>
    <w:rsid w:val="00C2642D"/>
    <w:rsid w:val="00C264BA"/>
    <w:rsid w:val="00C264CE"/>
    <w:rsid w:val="00C264E3"/>
    <w:rsid w:val="00C26514"/>
    <w:rsid w:val="00C2653A"/>
    <w:rsid w:val="00C26541"/>
    <w:rsid w:val="00C26553"/>
    <w:rsid w:val="00C2663C"/>
    <w:rsid w:val="00C266E2"/>
    <w:rsid w:val="00C2674C"/>
    <w:rsid w:val="00C26775"/>
    <w:rsid w:val="00C267F6"/>
    <w:rsid w:val="00C2683D"/>
    <w:rsid w:val="00C26960"/>
    <w:rsid w:val="00C2696B"/>
    <w:rsid w:val="00C2696D"/>
    <w:rsid w:val="00C269B5"/>
    <w:rsid w:val="00C269BC"/>
    <w:rsid w:val="00C269E2"/>
    <w:rsid w:val="00C26A34"/>
    <w:rsid w:val="00C26A7D"/>
    <w:rsid w:val="00C26A9A"/>
    <w:rsid w:val="00C26A9F"/>
    <w:rsid w:val="00C26AED"/>
    <w:rsid w:val="00C26B0A"/>
    <w:rsid w:val="00C26BA2"/>
    <w:rsid w:val="00C26BA3"/>
    <w:rsid w:val="00C26F38"/>
    <w:rsid w:val="00C26F3C"/>
    <w:rsid w:val="00C26F94"/>
    <w:rsid w:val="00C27084"/>
    <w:rsid w:val="00C2712E"/>
    <w:rsid w:val="00C2712F"/>
    <w:rsid w:val="00C27133"/>
    <w:rsid w:val="00C2714B"/>
    <w:rsid w:val="00C27255"/>
    <w:rsid w:val="00C2729C"/>
    <w:rsid w:val="00C272B1"/>
    <w:rsid w:val="00C27328"/>
    <w:rsid w:val="00C2734E"/>
    <w:rsid w:val="00C273B6"/>
    <w:rsid w:val="00C27419"/>
    <w:rsid w:val="00C2741A"/>
    <w:rsid w:val="00C27438"/>
    <w:rsid w:val="00C27488"/>
    <w:rsid w:val="00C274C5"/>
    <w:rsid w:val="00C27533"/>
    <w:rsid w:val="00C27569"/>
    <w:rsid w:val="00C275D5"/>
    <w:rsid w:val="00C27619"/>
    <w:rsid w:val="00C27656"/>
    <w:rsid w:val="00C2768F"/>
    <w:rsid w:val="00C276D0"/>
    <w:rsid w:val="00C276F7"/>
    <w:rsid w:val="00C27706"/>
    <w:rsid w:val="00C2776E"/>
    <w:rsid w:val="00C277D3"/>
    <w:rsid w:val="00C27806"/>
    <w:rsid w:val="00C278EC"/>
    <w:rsid w:val="00C2795D"/>
    <w:rsid w:val="00C279F1"/>
    <w:rsid w:val="00C27A86"/>
    <w:rsid w:val="00C27AB9"/>
    <w:rsid w:val="00C27AC4"/>
    <w:rsid w:val="00C27AD2"/>
    <w:rsid w:val="00C27BCD"/>
    <w:rsid w:val="00C27C22"/>
    <w:rsid w:val="00C27C6B"/>
    <w:rsid w:val="00C27C97"/>
    <w:rsid w:val="00C27CF6"/>
    <w:rsid w:val="00C27DE5"/>
    <w:rsid w:val="00C27E1D"/>
    <w:rsid w:val="00C27E20"/>
    <w:rsid w:val="00C27F7A"/>
    <w:rsid w:val="00C27FA9"/>
    <w:rsid w:val="00C30089"/>
    <w:rsid w:val="00C300EC"/>
    <w:rsid w:val="00C300EE"/>
    <w:rsid w:val="00C3020F"/>
    <w:rsid w:val="00C3021E"/>
    <w:rsid w:val="00C30288"/>
    <w:rsid w:val="00C302AE"/>
    <w:rsid w:val="00C302CF"/>
    <w:rsid w:val="00C30309"/>
    <w:rsid w:val="00C30325"/>
    <w:rsid w:val="00C3041D"/>
    <w:rsid w:val="00C3046A"/>
    <w:rsid w:val="00C3048C"/>
    <w:rsid w:val="00C304F0"/>
    <w:rsid w:val="00C3050B"/>
    <w:rsid w:val="00C30522"/>
    <w:rsid w:val="00C30528"/>
    <w:rsid w:val="00C30588"/>
    <w:rsid w:val="00C305B9"/>
    <w:rsid w:val="00C305E1"/>
    <w:rsid w:val="00C3076D"/>
    <w:rsid w:val="00C307B1"/>
    <w:rsid w:val="00C307B2"/>
    <w:rsid w:val="00C30810"/>
    <w:rsid w:val="00C30812"/>
    <w:rsid w:val="00C308E0"/>
    <w:rsid w:val="00C309B4"/>
    <w:rsid w:val="00C30A27"/>
    <w:rsid w:val="00C30A7C"/>
    <w:rsid w:val="00C30B70"/>
    <w:rsid w:val="00C30C59"/>
    <w:rsid w:val="00C30D26"/>
    <w:rsid w:val="00C30DFD"/>
    <w:rsid w:val="00C30E5B"/>
    <w:rsid w:val="00C30E98"/>
    <w:rsid w:val="00C30EC7"/>
    <w:rsid w:val="00C30F4B"/>
    <w:rsid w:val="00C30FFB"/>
    <w:rsid w:val="00C3104E"/>
    <w:rsid w:val="00C310BD"/>
    <w:rsid w:val="00C310D9"/>
    <w:rsid w:val="00C31120"/>
    <w:rsid w:val="00C31199"/>
    <w:rsid w:val="00C31289"/>
    <w:rsid w:val="00C312B1"/>
    <w:rsid w:val="00C312CC"/>
    <w:rsid w:val="00C312E7"/>
    <w:rsid w:val="00C312E8"/>
    <w:rsid w:val="00C31439"/>
    <w:rsid w:val="00C31467"/>
    <w:rsid w:val="00C31470"/>
    <w:rsid w:val="00C314C8"/>
    <w:rsid w:val="00C3157C"/>
    <w:rsid w:val="00C3158E"/>
    <w:rsid w:val="00C3161F"/>
    <w:rsid w:val="00C31629"/>
    <w:rsid w:val="00C31660"/>
    <w:rsid w:val="00C3169B"/>
    <w:rsid w:val="00C316C3"/>
    <w:rsid w:val="00C31811"/>
    <w:rsid w:val="00C3181C"/>
    <w:rsid w:val="00C31829"/>
    <w:rsid w:val="00C31832"/>
    <w:rsid w:val="00C318B7"/>
    <w:rsid w:val="00C31916"/>
    <w:rsid w:val="00C31941"/>
    <w:rsid w:val="00C31957"/>
    <w:rsid w:val="00C31978"/>
    <w:rsid w:val="00C319B0"/>
    <w:rsid w:val="00C319EC"/>
    <w:rsid w:val="00C31A16"/>
    <w:rsid w:val="00C31A1A"/>
    <w:rsid w:val="00C31ADA"/>
    <w:rsid w:val="00C31B58"/>
    <w:rsid w:val="00C31C5B"/>
    <w:rsid w:val="00C31C6F"/>
    <w:rsid w:val="00C31C74"/>
    <w:rsid w:val="00C31D78"/>
    <w:rsid w:val="00C31DCD"/>
    <w:rsid w:val="00C31DD6"/>
    <w:rsid w:val="00C31DF7"/>
    <w:rsid w:val="00C31E15"/>
    <w:rsid w:val="00C31E42"/>
    <w:rsid w:val="00C31EBE"/>
    <w:rsid w:val="00C31F00"/>
    <w:rsid w:val="00C31F2F"/>
    <w:rsid w:val="00C31F7B"/>
    <w:rsid w:val="00C31FE3"/>
    <w:rsid w:val="00C32049"/>
    <w:rsid w:val="00C3209B"/>
    <w:rsid w:val="00C320B0"/>
    <w:rsid w:val="00C3227D"/>
    <w:rsid w:val="00C322C3"/>
    <w:rsid w:val="00C32316"/>
    <w:rsid w:val="00C323E1"/>
    <w:rsid w:val="00C323EE"/>
    <w:rsid w:val="00C32427"/>
    <w:rsid w:val="00C32494"/>
    <w:rsid w:val="00C324A0"/>
    <w:rsid w:val="00C3253C"/>
    <w:rsid w:val="00C32564"/>
    <w:rsid w:val="00C3256B"/>
    <w:rsid w:val="00C32580"/>
    <w:rsid w:val="00C3258C"/>
    <w:rsid w:val="00C325C0"/>
    <w:rsid w:val="00C3272E"/>
    <w:rsid w:val="00C32769"/>
    <w:rsid w:val="00C327E1"/>
    <w:rsid w:val="00C327E9"/>
    <w:rsid w:val="00C32826"/>
    <w:rsid w:val="00C3288C"/>
    <w:rsid w:val="00C328B5"/>
    <w:rsid w:val="00C328B9"/>
    <w:rsid w:val="00C32913"/>
    <w:rsid w:val="00C32928"/>
    <w:rsid w:val="00C32948"/>
    <w:rsid w:val="00C3299E"/>
    <w:rsid w:val="00C329E9"/>
    <w:rsid w:val="00C32A44"/>
    <w:rsid w:val="00C32B2C"/>
    <w:rsid w:val="00C32B31"/>
    <w:rsid w:val="00C32BA7"/>
    <w:rsid w:val="00C32BDA"/>
    <w:rsid w:val="00C32C50"/>
    <w:rsid w:val="00C32DF4"/>
    <w:rsid w:val="00C32DFD"/>
    <w:rsid w:val="00C32E17"/>
    <w:rsid w:val="00C32E32"/>
    <w:rsid w:val="00C32E9B"/>
    <w:rsid w:val="00C32EF7"/>
    <w:rsid w:val="00C32F03"/>
    <w:rsid w:val="00C32F7A"/>
    <w:rsid w:val="00C32FC8"/>
    <w:rsid w:val="00C3300E"/>
    <w:rsid w:val="00C3301A"/>
    <w:rsid w:val="00C33020"/>
    <w:rsid w:val="00C33039"/>
    <w:rsid w:val="00C3314B"/>
    <w:rsid w:val="00C331DA"/>
    <w:rsid w:val="00C331F6"/>
    <w:rsid w:val="00C33231"/>
    <w:rsid w:val="00C3327A"/>
    <w:rsid w:val="00C332A9"/>
    <w:rsid w:val="00C332EF"/>
    <w:rsid w:val="00C33376"/>
    <w:rsid w:val="00C3341F"/>
    <w:rsid w:val="00C3344F"/>
    <w:rsid w:val="00C335AB"/>
    <w:rsid w:val="00C3362F"/>
    <w:rsid w:val="00C33631"/>
    <w:rsid w:val="00C33645"/>
    <w:rsid w:val="00C3368F"/>
    <w:rsid w:val="00C336E3"/>
    <w:rsid w:val="00C337A8"/>
    <w:rsid w:val="00C3385B"/>
    <w:rsid w:val="00C33869"/>
    <w:rsid w:val="00C3387B"/>
    <w:rsid w:val="00C33899"/>
    <w:rsid w:val="00C338D6"/>
    <w:rsid w:val="00C338FD"/>
    <w:rsid w:val="00C33996"/>
    <w:rsid w:val="00C33A5D"/>
    <w:rsid w:val="00C33A67"/>
    <w:rsid w:val="00C33B01"/>
    <w:rsid w:val="00C33B36"/>
    <w:rsid w:val="00C33B56"/>
    <w:rsid w:val="00C33B6E"/>
    <w:rsid w:val="00C33BC1"/>
    <w:rsid w:val="00C33C2C"/>
    <w:rsid w:val="00C33C2F"/>
    <w:rsid w:val="00C33C3E"/>
    <w:rsid w:val="00C33CA5"/>
    <w:rsid w:val="00C33CE5"/>
    <w:rsid w:val="00C33D12"/>
    <w:rsid w:val="00C33DC6"/>
    <w:rsid w:val="00C33DE6"/>
    <w:rsid w:val="00C33E51"/>
    <w:rsid w:val="00C33F1C"/>
    <w:rsid w:val="00C33F5D"/>
    <w:rsid w:val="00C33F65"/>
    <w:rsid w:val="00C33FB8"/>
    <w:rsid w:val="00C33FD5"/>
    <w:rsid w:val="00C33FE4"/>
    <w:rsid w:val="00C34084"/>
    <w:rsid w:val="00C34096"/>
    <w:rsid w:val="00C3409B"/>
    <w:rsid w:val="00C340D8"/>
    <w:rsid w:val="00C340E8"/>
    <w:rsid w:val="00C340FC"/>
    <w:rsid w:val="00C3410F"/>
    <w:rsid w:val="00C34121"/>
    <w:rsid w:val="00C34143"/>
    <w:rsid w:val="00C34225"/>
    <w:rsid w:val="00C34282"/>
    <w:rsid w:val="00C34297"/>
    <w:rsid w:val="00C34322"/>
    <w:rsid w:val="00C343F2"/>
    <w:rsid w:val="00C3442D"/>
    <w:rsid w:val="00C34431"/>
    <w:rsid w:val="00C34483"/>
    <w:rsid w:val="00C344C5"/>
    <w:rsid w:val="00C345E7"/>
    <w:rsid w:val="00C345F3"/>
    <w:rsid w:val="00C34618"/>
    <w:rsid w:val="00C34666"/>
    <w:rsid w:val="00C34689"/>
    <w:rsid w:val="00C346FB"/>
    <w:rsid w:val="00C3472E"/>
    <w:rsid w:val="00C347B0"/>
    <w:rsid w:val="00C347F8"/>
    <w:rsid w:val="00C347FD"/>
    <w:rsid w:val="00C34866"/>
    <w:rsid w:val="00C34888"/>
    <w:rsid w:val="00C348BA"/>
    <w:rsid w:val="00C3491B"/>
    <w:rsid w:val="00C3496C"/>
    <w:rsid w:val="00C34A4E"/>
    <w:rsid w:val="00C34A5F"/>
    <w:rsid w:val="00C34A99"/>
    <w:rsid w:val="00C34B08"/>
    <w:rsid w:val="00C34B13"/>
    <w:rsid w:val="00C34B29"/>
    <w:rsid w:val="00C34B2C"/>
    <w:rsid w:val="00C34B35"/>
    <w:rsid w:val="00C34B36"/>
    <w:rsid w:val="00C34B73"/>
    <w:rsid w:val="00C34BBF"/>
    <w:rsid w:val="00C34C34"/>
    <w:rsid w:val="00C34C88"/>
    <w:rsid w:val="00C34CE6"/>
    <w:rsid w:val="00C34D57"/>
    <w:rsid w:val="00C34E51"/>
    <w:rsid w:val="00C34E5C"/>
    <w:rsid w:val="00C34E69"/>
    <w:rsid w:val="00C34E6F"/>
    <w:rsid w:val="00C34ECD"/>
    <w:rsid w:val="00C34FE7"/>
    <w:rsid w:val="00C35036"/>
    <w:rsid w:val="00C3504D"/>
    <w:rsid w:val="00C350E3"/>
    <w:rsid w:val="00C35130"/>
    <w:rsid w:val="00C35161"/>
    <w:rsid w:val="00C3520A"/>
    <w:rsid w:val="00C35278"/>
    <w:rsid w:val="00C35359"/>
    <w:rsid w:val="00C3537E"/>
    <w:rsid w:val="00C3539F"/>
    <w:rsid w:val="00C353CC"/>
    <w:rsid w:val="00C35405"/>
    <w:rsid w:val="00C35447"/>
    <w:rsid w:val="00C35455"/>
    <w:rsid w:val="00C3548F"/>
    <w:rsid w:val="00C354F7"/>
    <w:rsid w:val="00C35516"/>
    <w:rsid w:val="00C35542"/>
    <w:rsid w:val="00C35546"/>
    <w:rsid w:val="00C3555B"/>
    <w:rsid w:val="00C3557F"/>
    <w:rsid w:val="00C355C1"/>
    <w:rsid w:val="00C355CF"/>
    <w:rsid w:val="00C356BE"/>
    <w:rsid w:val="00C356E1"/>
    <w:rsid w:val="00C35740"/>
    <w:rsid w:val="00C35764"/>
    <w:rsid w:val="00C35800"/>
    <w:rsid w:val="00C35814"/>
    <w:rsid w:val="00C3582C"/>
    <w:rsid w:val="00C358A2"/>
    <w:rsid w:val="00C358FB"/>
    <w:rsid w:val="00C3590A"/>
    <w:rsid w:val="00C35A9C"/>
    <w:rsid w:val="00C35AD0"/>
    <w:rsid w:val="00C35B58"/>
    <w:rsid w:val="00C35B6A"/>
    <w:rsid w:val="00C35BDA"/>
    <w:rsid w:val="00C35BE6"/>
    <w:rsid w:val="00C35BE8"/>
    <w:rsid w:val="00C35C29"/>
    <w:rsid w:val="00C35CC7"/>
    <w:rsid w:val="00C35CCB"/>
    <w:rsid w:val="00C35CD3"/>
    <w:rsid w:val="00C35CE6"/>
    <w:rsid w:val="00C35D13"/>
    <w:rsid w:val="00C35DB5"/>
    <w:rsid w:val="00C35DF5"/>
    <w:rsid w:val="00C35E62"/>
    <w:rsid w:val="00C35EB7"/>
    <w:rsid w:val="00C35EE1"/>
    <w:rsid w:val="00C36035"/>
    <w:rsid w:val="00C3610E"/>
    <w:rsid w:val="00C36174"/>
    <w:rsid w:val="00C36176"/>
    <w:rsid w:val="00C36228"/>
    <w:rsid w:val="00C3622C"/>
    <w:rsid w:val="00C362C7"/>
    <w:rsid w:val="00C362F3"/>
    <w:rsid w:val="00C363B6"/>
    <w:rsid w:val="00C36464"/>
    <w:rsid w:val="00C364F1"/>
    <w:rsid w:val="00C36524"/>
    <w:rsid w:val="00C36526"/>
    <w:rsid w:val="00C365D9"/>
    <w:rsid w:val="00C36664"/>
    <w:rsid w:val="00C3667C"/>
    <w:rsid w:val="00C3667D"/>
    <w:rsid w:val="00C36694"/>
    <w:rsid w:val="00C366FE"/>
    <w:rsid w:val="00C36719"/>
    <w:rsid w:val="00C36721"/>
    <w:rsid w:val="00C367A3"/>
    <w:rsid w:val="00C367D0"/>
    <w:rsid w:val="00C367DC"/>
    <w:rsid w:val="00C3681A"/>
    <w:rsid w:val="00C36938"/>
    <w:rsid w:val="00C36963"/>
    <w:rsid w:val="00C36A4C"/>
    <w:rsid w:val="00C36A5B"/>
    <w:rsid w:val="00C36ABE"/>
    <w:rsid w:val="00C36B74"/>
    <w:rsid w:val="00C36BC4"/>
    <w:rsid w:val="00C36BC9"/>
    <w:rsid w:val="00C36BFC"/>
    <w:rsid w:val="00C36C77"/>
    <w:rsid w:val="00C36CCE"/>
    <w:rsid w:val="00C36CEF"/>
    <w:rsid w:val="00C36CF8"/>
    <w:rsid w:val="00C36D86"/>
    <w:rsid w:val="00C36D93"/>
    <w:rsid w:val="00C36DA3"/>
    <w:rsid w:val="00C36DA4"/>
    <w:rsid w:val="00C36E2A"/>
    <w:rsid w:val="00C36EB1"/>
    <w:rsid w:val="00C36EB7"/>
    <w:rsid w:val="00C36F06"/>
    <w:rsid w:val="00C36F49"/>
    <w:rsid w:val="00C36FDF"/>
    <w:rsid w:val="00C3707F"/>
    <w:rsid w:val="00C3713E"/>
    <w:rsid w:val="00C37152"/>
    <w:rsid w:val="00C371CA"/>
    <w:rsid w:val="00C371D2"/>
    <w:rsid w:val="00C37260"/>
    <w:rsid w:val="00C3726E"/>
    <w:rsid w:val="00C37295"/>
    <w:rsid w:val="00C372AC"/>
    <w:rsid w:val="00C37317"/>
    <w:rsid w:val="00C3735B"/>
    <w:rsid w:val="00C373DC"/>
    <w:rsid w:val="00C3741D"/>
    <w:rsid w:val="00C37452"/>
    <w:rsid w:val="00C37459"/>
    <w:rsid w:val="00C3747C"/>
    <w:rsid w:val="00C37503"/>
    <w:rsid w:val="00C375A9"/>
    <w:rsid w:val="00C3769F"/>
    <w:rsid w:val="00C37795"/>
    <w:rsid w:val="00C378CC"/>
    <w:rsid w:val="00C3798A"/>
    <w:rsid w:val="00C379CD"/>
    <w:rsid w:val="00C37A4E"/>
    <w:rsid w:val="00C37AAF"/>
    <w:rsid w:val="00C37AE6"/>
    <w:rsid w:val="00C37AFD"/>
    <w:rsid w:val="00C37B09"/>
    <w:rsid w:val="00C37B56"/>
    <w:rsid w:val="00C37D21"/>
    <w:rsid w:val="00C37D30"/>
    <w:rsid w:val="00C37DB9"/>
    <w:rsid w:val="00C37E19"/>
    <w:rsid w:val="00C37EB8"/>
    <w:rsid w:val="00C37EE4"/>
    <w:rsid w:val="00C37EFD"/>
    <w:rsid w:val="00C37F03"/>
    <w:rsid w:val="00C37F1A"/>
    <w:rsid w:val="00C37F5A"/>
    <w:rsid w:val="00C37F81"/>
    <w:rsid w:val="00C37F8D"/>
    <w:rsid w:val="00C4003C"/>
    <w:rsid w:val="00C401A5"/>
    <w:rsid w:val="00C40223"/>
    <w:rsid w:val="00C402EA"/>
    <w:rsid w:val="00C40350"/>
    <w:rsid w:val="00C40359"/>
    <w:rsid w:val="00C40437"/>
    <w:rsid w:val="00C404F2"/>
    <w:rsid w:val="00C4057B"/>
    <w:rsid w:val="00C40584"/>
    <w:rsid w:val="00C40598"/>
    <w:rsid w:val="00C4059B"/>
    <w:rsid w:val="00C406C0"/>
    <w:rsid w:val="00C406E6"/>
    <w:rsid w:val="00C406F3"/>
    <w:rsid w:val="00C406FC"/>
    <w:rsid w:val="00C40720"/>
    <w:rsid w:val="00C40784"/>
    <w:rsid w:val="00C40845"/>
    <w:rsid w:val="00C40908"/>
    <w:rsid w:val="00C4093F"/>
    <w:rsid w:val="00C40993"/>
    <w:rsid w:val="00C40A8E"/>
    <w:rsid w:val="00C40B5A"/>
    <w:rsid w:val="00C40B76"/>
    <w:rsid w:val="00C40BFD"/>
    <w:rsid w:val="00C40C05"/>
    <w:rsid w:val="00C40D21"/>
    <w:rsid w:val="00C40DA0"/>
    <w:rsid w:val="00C40DD0"/>
    <w:rsid w:val="00C40E82"/>
    <w:rsid w:val="00C40E97"/>
    <w:rsid w:val="00C40EC5"/>
    <w:rsid w:val="00C40F2B"/>
    <w:rsid w:val="00C40F4C"/>
    <w:rsid w:val="00C40FB9"/>
    <w:rsid w:val="00C40FEF"/>
    <w:rsid w:val="00C4101D"/>
    <w:rsid w:val="00C41047"/>
    <w:rsid w:val="00C41049"/>
    <w:rsid w:val="00C410A2"/>
    <w:rsid w:val="00C410EA"/>
    <w:rsid w:val="00C41120"/>
    <w:rsid w:val="00C41171"/>
    <w:rsid w:val="00C4117E"/>
    <w:rsid w:val="00C411B4"/>
    <w:rsid w:val="00C41218"/>
    <w:rsid w:val="00C41307"/>
    <w:rsid w:val="00C4135D"/>
    <w:rsid w:val="00C41374"/>
    <w:rsid w:val="00C413BC"/>
    <w:rsid w:val="00C4141A"/>
    <w:rsid w:val="00C41449"/>
    <w:rsid w:val="00C414EA"/>
    <w:rsid w:val="00C41511"/>
    <w:rsid w:val="00C4152D"/>
    <w:rsid w:val="00C4152F"/>
    <w:rsid w:val="00C415BC"/>
    <w:rsid w:val="00C4160D"/>
    <w:rsid w:val="00C416E8"/>
    <w:rsid w:val="00C416E9"/>
    <w:rsid w:val="00C4175F"/>
    <w:rsid w:val="00C41765"/>
    <w:rsid w:val="00C4177F"/>
    <w:rsid w:val="00C417A1"/>
    <w:rsid w:val="00C41812"/>
    <w:rsid w:val="00C41ADD"/>
    <w:rsid w:val="00C41AE0"/>
    <w:rsid w:val="00C41B4C"/>
    <w:rsid w:val="00C41BA2"/>
    <w:rsid w:val="00C41BE8"/>
    <w:rsid w:val="00C41C7A"/>
    <w:rsid w:val="00C41C80"/>
    <w:rsid w:val="00C41C87"/>
    <w:rsid w:val="00C41C9C"/>
    <w:rsid w:val="00C41D33"/>
    <w:rsid w:val="00C41D96"/>
    <w:rsid w:val="00C41DE6"/>
    <w:rsid w:val="00C41DEB"/>
    <w:rsid w:val="00C4204B"/>
    <w:rsid w:val="00C42056"/>
    <w:rsid w:val="00C4205A"/>
    <w:rsid w:val="00C420A6"/>
    <w:rsid w:val="00C420B3"/>
    <w:rsid w:val="00C420D0"/>
    <w:rsid w:val="00C420D2"/>
    <w:rsid w:val="00C42127"/>
    <w:rsid w:val="00C42129"/>
    <w:rsid w:val="00C42164"/>
    <w:rsid w:val="00C42256"/>
    <w:rsid w:val="00C422F5"/>
    <w:rsid w:val="00C42476"/>
    <w:rsid w:val="00C4247A"/>
    <w:rsid w:val="00C424E7"/>
    <w:rsid w:val="00C42569"/>
    <w:rsid w:val="00C425E8"/>
    <w:rsid w:val="00C426B2"/>
    <w:rsid w:val="00C4270E"/>
    <w:rsid w:val="00C4272E"/>
    <w:rsid w:val="00C4276E"/>
    <w:rsid w:val="00C427F4"/>
    <w:rsid w:val="00C427FD"/>
    <w:rsid w:val="00C42831"/>
    <w:rsid w:val="00C4289D"/>
    <w:rsid w:val="00C4294E"/>
    <w:rsid w:val="00C429BA"/>
    <w:rsid w:val="00C429EA"/>
    <w:rsid w:val="00C429F2"/>
    <w:rsid w:val="00C42AF4"/>
    <w:rsid w:val="00C42B1F"/>
    <w:rsid w:val="00C42B52"/>
    <w:rsid w:val="00C42C15"/>
    <w:rsid w:val="00C42C3C"/>
    <w:rsid w:val="00C42CBE"/>
    <w:rsid w:val="00C42E43"/>
    <w:rsid w:val="00C42E59"/>
    <w:rsid w:val="00C42E80"/>
    <w:rsid w:val="00C42EE0"/>
    <w:rsid w:val="00C42F04"/>
    <w:rsid w:val="00C42FB3"/>
    <w:rsid w:val="00C42FF1"/>
    <w:rsid w:val="00C4308A"/>
    <w:rsid w:val="00C430B5"/>
    <w:rsid w:val="00C43126"/>
    <w:rsid w:val="00C4313B"/>
    <w:rsid w:val="00C4315B"/>
    <w:rsid w:val="00C43294"/>
    <w:rsid w:val="00C432BC"/>
    <w:rsid w:val="00C432CB"/>
    <w:rsid w:val="00C4331B"/>
    <w:rsid w:val="00C43348"/>
    <w:rsid w:val="00C433E9"/>
    <w:rsid w:val="00C4357D"/>
    <w:rsid w:val="00C435DF"/>
    <w:rsid w:val="00C43676"/>
    <w:rsid w:val="00C436FA"/>
    <w:rsid w:val="00C437AA"/>
    <w:rsid w:val="00C4386E"/>
    <w:rsid w:val="00C4387D"/>
    <w:rsid w:val="00C438F6"/>
    <w:rsid w:val="00C439D7"/>
    <w:rsid w:val="00C439E5"/>
    <w:rsid w:val="00C43A73"/>
    <w:rsid w:val="00C43AED"/>
    <w:rsid w:val="00C43BCF"/>
    <w:rsid w:val="00C43C70"/>
    <w:rsid w:val="00C43CE3"/>
    <w:rsid w:val="00C43D88"/>
    <w:rsid w:val="00C43D90"/>
    <w:rsid w:val="00C43D94"/>
    <w:rsid w:val="00C43DE7"/>
    <w:rsid w:val="00C43E55"/>
    <w:rsid w:val="00C43F00"/>
    <w:rsid w:val="00C43F5B"/>
    <w:rsid w:val="00C43FC1"/>
    <w:rsid w:val="00C44085"/>
    <w:rsid w:val="00C4409A"/>
    <w:rsid w:val="00C44108"/>
    <w:rsid w:val="00C44190"/>
    <w:rsid w:val="00C4424E"/>
    <w:rsid w:val="00C4425D"/>
    <w:rsid w:val="00C4426D"/>
    <w:rsid w:val="00C44299"/>
    <w:rsid w:val="00C442BC"/>
    <w:rsid w:val="00C44329"/>
    <w:rsid w:val="00C443BF"/>
    <w:rsid w:val="00C443CF"/>
    <w:rsid w:val="00C443F2"/>
    <w:rsid w:val="00C44437"/>
    <w:rsid w:val="00C444F7"/>
    <w:rsid w:val="00C4451B"/>
    <w:rsid w:val="00C44552"/>
    <w:rsid w:val="00C44597"/>
    <w:rsid w:val="00C445B2"/>
    <w:rsid w:val="00C44615"/>
    <w:rsid w:val="00C4470C"/>
    <w:rsid w:val="00C44769"/>
    <w:rsid w:val="00C447B0"/>
    <w:rsid w:val="00C44836"/>
    <w:rsid w:val="00C4487B"/>
    <w:rsid w:val="00C448AB"/>
    <w:rsid w:val="00C4492D"/>
    <w:rsid w:val="00C44960"/>
    <w:rsid w:val="00C449C0"/>
    <w:rsid w:val="00C44A16"/>
    <w:rsid w:val="00C44A4C"/>
    <w:rsid w:val="00C44A79"/>
    <w:rsid w:val="00C44A88"/>
    <w:rsid w:val="00C44AE5"/>
    <w:rsid w:val="00C44B69"/>
    <w:rsid w:val="00C44B72"/>
    <w:rsid w:val="00C44C16"/>
    <w:rsid w:val="00C44C1D"/>
    <w:rsid w:val="00C44CB4"/>
    <w:rsid w:val="00C44D11"/>
    <w:rsid w:val="00C44DB5"/>
    <w:rsid w:val="00C44DBB"/>
    <w:rsid w:val="00C44E0A"/>
    <w:rsid w:val="00C44E79"/>
    <w:rsid w:val="00C44F1A"/>
    <w:rsid w:val="00C44F3A"/>
    <w:rsid w:val="00C44F86"/>
    <w:rsid w:val="00C44FB4"/>
    <w:rsid w:val="00C44FD5"/>
    <w:rsid w:val="00C44FE3"/>
    <w:rsid w:val="00C4500B"/>
    <w:rsid w:val="00C45028"/>
    <w:rsid w:val="00C45030"/>
    <w:rsid w:val="00C45071"/>
    <w:rsid w:val="00C450BC"/>
    <w:rsid w:val="00C4514D"/>
    <w:rsid w:val="00C45179"/>
    <w:rsid w:val="00C451D0"/>
    <w:rsid w:val="00C451F4"/>
    <w:rsid w:val="00C451FA"/>
    <w:rsid w:val="00C453CD"/>
    <w:rsid w:val="00C454BF"/>
    <w:rsid w:val="00C454C0"/>
    <w:rsid w:val="00C45520"/>
    <w:rsid w:val="00C45644"/>
    <w:rsid w:val="00C4572E"/>
    <w:rsid w:val="00C45756"/>
    <w:rsid w:val="00C457F3"/>
    <w:rsid w:val="00C4583D"/>
    <w:rsid w:val="00C4586E"/>
    <w:rsid w:val="00C458C5"/>
    <w:rsid w:val="00C45908"/>
    <w:rsid w:val="00C45970"/>
    <w:rsid w:val="00C459B4"/>
    <w:rsid w:val="00C459D4"/>
    <w:rsid w:val="00C45A32"/>
    <w:rsid w:val="00C45A3B"/>
    <w:rsid w:val="00C45ACE"/>
    <w:rsid w:val="00C45C7C"/>
    <w:rsid w:val="00C45CA9"/>
    <w:rsid w:val="00C45CC4"/>
    <w:rsid w:val="00C45CD0"/>
    <w:rsid w:val="00C45CF2"/>
    <w:rsid w:val="00C45D21"/>
    <w:rsid w:val="00C45D23"/>
    <w:rsid w:val="00C45D45"/>
    <w:rsid w:val="00C45D9D"/>
    <w:rsid w:val="00C45DC4"/>
    <w:rsid w:val="00C45E04"/>
    <w:rsid w:val="00C45E45"/>
    <w:rsid w:val="00C45E66"/>
    <w:rsid w:val="00C45E83"/>
    <w:rsid w:val="00C45E87"/>
    <w:rsid w:val="00C45F43"/>
    <w:rsid w:val="00C45FCD"/>
    <w:rsid w:val="00C45FFD"/>
    <w:rsid w:val="00C460A6"/>
    <w:rsid w:val="00C46150"/>
    <w:rsid w:val="00C461B9"/>
    <w:rsid w:val="00C461C2"/>
    <w:rsid w:val="00C46263"/>
    <w:rsid w:val="00C462E9"/>
    <w:rsid w:val="00C46313"/>
    <w:rsid w:val="00C4634E"/>
    <w:rsid w:val="00C46384"/>
    <w:rsid w:val="00C463BF"/>
    <w:rsid w:val="00C46409"/>
    <w:rsid w:val="00C4647F"/>
    <w:rsid w:val="00C46482"/>
    <w:rsid w:val="00C46484"/>
    <w:rsid w:val="00C464C4"/>
    <w:rsid w:val="00C465B1"/>
    <w:rsid w:val="00C465D9"/>
    <w:rsid w:val="00C465F4"/>
    <w:rsid w:val="00C4660E"/>
    <w:rsid w:val="00C46652"/>
    <w:rsid w:val="00C46679"/>
    <w:rsid w:val="00C46680"/>
    <w:rsid w:val="00C466C2"/>
    <w:rsid w:val="00C46740"/>
    <w:rsid w:val="00C46760"/>
    <w:rsid w:val="00C467B5"/>
    <w:rsid w:val="00C467CA"/>
    <w:rsid w:val="00C4680C"/>
    <w:rsid w:val="00C468AB"/>
    <w:rsid w:val="00C46927"/>
    <w:rsid w:val="00C46930"/>
    <w:rsid w:val="00C46942"/>
    <w:rsid w:val="00C469B1"/>
    <w:rsid w:val="00C469DC"/>
    <w:rsid w:val="00C46A62"/>
    <w:rsid w:val="00C46A6D"/>
    <w:rsid w:val="00C46A90"/>
    <w:rsid w:val="00C46AEC"/>
    <w:rsid w:val="00C46AFC"/>
    <w:rsid w:val="00C46B09"/>
    <w:rsid w:val="00C46B59"/>
    <w:rsid w:val="00C46B7C"/>
    <w:rsid w:val="00C46BFE"/>
    <w:rsid w:val="00C46C29"/>
    <w:rsid w:val="00C46C90"/>
    <w:rsid w:val="00C46CEA"/>
    <w:rsid w:val="00C46D39"/>
    <w:rsid w:val="00C46D51"/>
    <w:rsid w:val="00C46D6F"/>
    <w:rsid w:val="00C46DC5"/>
    <w:rsid w:val="00C46E23"/>
    <w:rsid w:val="00C46E3C"/>
    <w:rsid w:val="00C46E52"/>
    <w:rsid w:val="00C46E91"/>
    <w:rsid w:val="00C46EA7"/>
    <w:rsid w:val="00C46F64"/>
    <w:rsid w:val="00C46F75"/>
    <w:rsid w:val="00C46FD6"/>
    <w:rsid w:val="00C47009"/>
    <w:rsid w:val="00C470E0"/>
    <w:rsid w:val="00C470EA"/>
    <w:rsid w:val="00C47117"/>
    <w:rsid w:val="00C47182"/>
    <w:rsid w:val="00C4723F"/>
    <w:rsid w:val="00C472A1"/>
    <w:rsid w:val="00C47397"/>
    <w:rsid w:val="00C473A8"/>
    <w:rsid w:val="00C4749F"/>
    <w:rsid w:val="00C474B8"/>
    <w:rsid w:val="00C47665"/>
    <w:rsid w:val="00C47707"/>
    <w:rsid w:val="00C47731"/>
    <w:rsid w:val="00C47736"/>
    <w:rsid w:val="00C47814"/>
    <w:rsid w:val="00C4781D"/>
    <w:rsid w:val="00C47827"/>
    <w:rsid w:val="00C47829"/>
    <w:rsid w:val="00C47839"/>
    <w:rsid w:val="00C4789C"/>
    <w:rsid w:val="00C479F4"/>
    <w:rsid w:val="00C47A35"/>
    <w:rsid w:val="00C47A51"/>
    <w:rsid w:val="00C47B56"/>
    <w:rsid w:val="00C47B5F"/>
    <w:rsid w:val="00C47B97"/>
    <w:rsid w:val="00C47BA0"/>
    <w:rsid w:val="00C47BF7"/>
    <w:rsid w:val="00C47C5A"/>
    <w:rsid w:val="00C47CBD"/>
    <w:rsid w:val="00C47CBF"/>
    <w:rsid w:val="00C47CC4"/>
    <w:rsid w:val="00C47CDC"/>
    <w:rsid w:val="00C47CDE"/>
    <w:rsid w:val="00C47E40"/>
    <w:rsid w:val="00C47EA6"/>
    <w:rsid w:val="00C47F84"/>
    <w:rsid w:val="00C5006D"/>
    <w:rsid w:val="00C500AA"/>
    <w:rsid w:val="00C500BB"/>
    <w:rsid w:val="00C500C4"/>
    <w:rsid w:val="00C500E4"/>
    <w:rsid w:val="00C50116"/>
    <w:rsid w:val="00C50210"/>
    <w:rsid w:val="00C50214"/>
    <w:rsid w:val="00C50217"/>
    <w:rsid w:val="00C5025C"/>
    <w:rsid w:val="00C50341"/>
    <w:rsid w:val="00C50343"/>
    <w:rsid w:val="00C5034D"/>
    <w:rsid w:val="00C50354"/>
    <w:rsid w:val="00C50396"/>
    <w:rsid w:val="00C503AB"/>
    <w:rsid w:val="00C50410"/>
    <w:rsid w:val="00C5041D"/>
    <w:rsid w:val="00C5042F"/>
    <w:rsid w:val="00C504BB"/>
    <w:rsid w:val="00C5051F"/>
    <w:rsid w:val="00C50533"/>
    <w:rsid w:val="00C5055B"/>
    <w:rsid w:val="00C5058B"/>
    <w:rsid w:val="00C505E0"/>
    <w:rsid w:val="00C50692"/>
    <w:rsid w:val="00C5073C"/>
    <w:rsid w:val="00C50767"/>
    <w:rsid w:val="00C507E6"/>
    <w:rsid w:val="00C507F1"/>
    <w:rsid w:val="00C5080C"/>
    <w:rsid w:val="00C5088F"/>
    <w:rsid w:val="00C508BD"/>
    <w:rsid w:val="00C508CA"/>
    <w:rsid w:val="00C50969"/>
    <w:rsid w:val="00C50BA6"/>
    <w:rsid w:val="00C50BBB"/>
    <w:rsid w:val="00C50BBF"/>
    <w:rsid w:val="00C50BCC"/>
    <w:rsid w:val="00C50C05"/>
    <w:rsid w:val="00C50CA6"/>
    <w:rsid w:val="00C50CAC"/>
    <w:rsid w:val="00C50CEE"/>
    <w:rsid w:val="00C50DE7"/>
    <w:rsid w:val="00C50EED"/>
    <w:rsid w:val="00C50F48"/>
    <w:rsid w:val="00C50FFE"/>
    <w:rsid w:val="00C510D8"/>
    <w:rsid w:val="00C51123"/>
    <w:rsid w:val="00C512F7"/>
    <w:rsid w:val="00C51429"/>
    <w:rsid w:val="00C5146C"/>
    <w:rsid w:val="00C514A5"/>
    <w:rsid w:val="00C514F5"/>
    <w:rsid w:val="00C51550"/>
    <w:rsid w:val="00C51584"/>
    <w:rsid w:val="00C5161C"/>
    <w:rsid w:val="00C51683"/>
    <w:rsid w:val="00C51717"/>
    <w:rsid w:val="00C5171B"/>
    <w:rsid w:val="00C5173B"/>
    <w:rsid w:val="00C5174C"/>
    <w:rsid w:val="00C517E4"/>
    <w:rsid w:val="00C51824"/>
    <w:rsid w:val="00C5184B"/>
    <w:rsid w:val="00C51A1D"/>
    <w:rsid w:val="00C51A37"/>
    <w:rsid w:val="00C51A77"/>
    <w:rsid w:val="00C51B7A"/>
    <w:rsid w:val="00C51B7F"/>
    <w:rsid w:val="00C51C18"/>
    <w:rsid w:val="00C51C57"/>
    <w:rsid w:val="00C51D0D"/>
    <w:rsid w:val="00C51D7F"/>
    <w:rsid w:val="00C51DC3"/>
    <w:rsid w:val="00C51DE3"/>
    <w:rsid w:val="00C51E71"/>
    <w:rsid w:val="00C51E99"/>
    <w:rsid w:val="00C51F42"/>
    <w:rsid w:val="00C51FCB"/>
    <w:rsid w:val="00C5207E"/>
    <w:rsid w:val="00C520D7"/>
    <w:rsid w:val="00C52129"/>
    <w:rsid w:val="00C521D4"/>
    <w:rsid w:val="00C521F2"/>
    <w:rsid w:val="00C52251"/>
    <w:rsid w:val="00C522DE"/>
    <w:rsid w:val="00C52302"/>
    <w:rsid w:val="00C523CE"/>
    <w:rsid w:val="00C52454"/>
    <w:rsid w:val="00C52491"/>
    <w:rsid w:val="00C524A8"/>
    <w:rsid w:val="00C52576"/>
    <w:rsid w:val="00C525AA"/>
    <w:rsid w:val="00C52608"/>
    <w:rsid w:val="00C52650"/>
    <w:rsid w:val="00C52674"/>
    <w:rsid w:val="00C5269B"/>
    <w:rsid w:val="00C526C1"/>
    <w:rsid w:val="00C52705"/>
    <w:rsid w:val="00C5275A"/>
    <w:rsid w:val="00C527FB"/>
    <w:rsid w:val="00C528A8"/>
    <w:rsid w:val="00C528F9"/>
    <w:rsid w:val="00C52928"/>
    <w:rsid w:val="00C52933"/>
    <w:rsid w:val="00C52AF5"/>
    <w:rsid w:val="00C52B10"/>
    <w:rsid w:val="00C52B5F"/>
    <w:rsid w:val="00C52C0A"/>
    <w:rsid w:val="00C52C8D"/>
    <w:rsid w:val="00C52CA4"/>
    <w:rsid w:val="00C52CCC"/>
    <w:rsid w:val="00C52CE7"/>
    <w:rsid w:val="00C52D01"/>
    <w:rsid w:val="00C52D9C"/>
    <w:rsid w:val="00C52E0E"/>
    <w:rsid w:val="00C52E75"/>
    <w:rsid w:val="00C52F17"/>
    <w:rsid w:val="00C52FB7"/>
    <w:rsid w:val="00C53069"/>
    <w:rsid w:val="00C530E5"/>
    <w:rsid w:val="00C530FB"/>
    <w:rsid w:val="00C53108"/>
    <w:rsid w:val="00C53166"/>
    <w:rsid w:val="00C531DE"/>
    <w:rsid w:val="00C53230"/>
    <w:rsid w:val="00C53238"/>
    <w:rsid w:val="00C53247"/>
    <w:rsid w:val="00C53264"/>
    <w:rsid w:val="00C53280"/>
    <w:rsid w:val="00C5328D"/>
    <w:rsid w:val="00C53339"/>
    <w:rsid w:val="00C5341F"/>
    <w:rsid w:val="00C5343C"/>
    <w:rsid w:val="00C5347C"/>
    <w:rsid w:val="00C535CE"/>
    <w:rsid w:val="00C535ED"/>
    <w:rsid w:val="00C5369C"/>
    <w:rsid w:val="00C536E8"/>
    <w:rsid w:val="00C536FC"/>
    <w:rsid w:val="00C53772"/>
    <w:rsid w:val="00C537BA"/>
    <w:rsid w:val="00C537F3"/>
    <w:rsid w:val="00C537F9"/>
    <w:rsid w:val="00C53889"/>
    <w:rsid w:val="00C538FC"/>
    <w:rsid w:val="00C53910"/>
    <w:rsid w:val="00C5393D"/>
    <w:rsid w:val="00C53948"/>
    <w:rsid w:val="00C53979"/>
    <w:rsid w:val="00C53984"/>
    <w:rsid w:val="00C53998"/>
    <w:rsid w:val="00C539B1"/>
    <w:rsid w:val="00C539B3"/>
    <w:rsid w:val="00C53A97"/>
    <w:rsid w:val="00C53B08"/>
    <w:rsid w:val="00C53B4B"/>
    <w:rsid w:val="00C53B5E"/>
    <w:rsid w:val="00C53BB4"/>
    <w:rsid w:val="00C53BC8"/>
    <w:rsid w:val="00C53C5D"/>
    <w:rsid w:val="00C53C6C"/>
    <w:rsid w:val="00C53C9D"/>
    <w:rsid w:val="00C53CDC"/>
    <w:rsid w:val="00C53CE8"/>
    <w:rsid w:val="00C53D32"/>
    <w:rsid w:val="00C53DD9"/>
    <w:rsid w:val="00C53E0F"/>
    <w:rsid w:val="00C53E5E"/>
    <w:rsid w:val="00C53E65"/>
    <w:rsid w:val="00C53EAC"/>
    <w:rsid w:val="00C53EB4"/>
    <w:rsid w:val="00C53EDA"/>
    <w:rsid w:val="00C53FB2"/>
    <w:rsid w:val="00C53FCD"/>
    <w:rsid w:val="00C53FD2"/>
    <w:rsid w:val="00C53FD8"/>
    <w:rsid w:val="00C53FEE"/>
    <w:rsid w:val="00C5412C"/>
    <w:rsid w:val="00C54189"/>
    <w:rsid w:val="00C54222"/>
    <w:rsid w:val="00C5423E"/>
    <w:rsid w:val="00C54276"/>
    <w:rsid w:val="00C542A8"/>
    <w:rsid w:val="00C54331"/>
    <w:rsid w:val="00C54392"/>
    <w:rsid w:val="00C544DA"/>
    <w:rsid w:val="00C5451A"/>
    <w:rsid w:val="00C54529"/>
    <w:rsid w:val="00C54559"/>
    <w:rsid w:val="00C545C5"/>
    <w:rsid w:val="00C545F7"/>
    <w:rsid w:val="00C545FA"/>
    <w:rsid w:val="00C54616"/>
    <w:rsid w:val="00C5466C"/>
    <w:rsid w:val="00C546E1"/>
    <w:rsid w:val="00C54761"/>
    <w:rsid w:val="00C54763"/>
    <w:rsid w:val="00C5479B"/>
    <w:rsid w:val="00C547C0"/>
    <w:rsid w:val="00C54828"/>
    <w:rsid w:val="00C54915"/>
    <w:rsid w:val="00C54919"/>
    <w:rsid w:val="00C5491E"/>
    <w:rsid w:val="00C54953"/>
    <w:rsid w:val="00C549A4"/>
    <w:rsid w:val="00C54A00"/>
    <w:rsid w:val="00C54A1D"/>
    <w:rsid w:val="00C54B48"/>
    <w:rsid w:val="00C54B52"/>
    <w:rsid w:val="00C54BEB"/>
    <w:rsid w:val="00C54C10"/>
    <w:rsid w:val="00C54CC4"/>
    <w:rsid w:val="00C54D8C"/>
    <w:rsid w:val="00C54DA1"/>
    <w:rsid w:val="00C54DF4"/>
    <w:rsid w:val="00C54E16"/>
    <w:rsid w:val="00C54E25"/>
    <w:rsid w:val="00C54E83"/>
    <w:rsid w:val="00C55007"/>
    <w:rsid w:val="00C55014"/>
    <w:rsid w:val="00C55061"/>
    <w:rsid w:val="00C5507B"/>
    <w:rsid w:val="00C5507D"/>
    <w:rsid w:val="00C5511E"/>
    <w:rsid w:val="00C55191"/>
    <w:rsid w:val="00C551A5"/>
    <w:rsid w:val="00C551F0"/>
    <w:rsid w:val="00C551F4"/>
    <w:rsid w:val="00C55250"/>
    <w:rsid w:val="00C55266"/>
    <w:rsid w:val="00C5527F"/>
    <w:rsid w:val="00C552E3"/>
    <w:rsid w:val="00C55338"/>
    <w:rsid w:val="00C55430"/>
    <w:rsid w:val="00C555C7"/>
    <w:rsid w:val="00C55638"/>
    <w:rsid w:val="00C556B6"/>
    <w:rsid w:val="00C55732"/>
    <w:rsid w:val="00C55743"/>
    <w:rsid w:val="00C55749"/>
    <w:rsid w:val="00C557E2"/>
    <w:rsid w:val="00C558FF"/>
    <w:rsid w:val="00C5592F"/>
    <w:rsid w:val="00C5599B"/>
    <w:rsid w:val="00C55A0F"/>
    <w:rsid w:val="00C55A6D"/>
    <w:rsid w:val="00C55C7C"/>
    <w:rsid w:val="00C55CC9"/>
    <w:rsid w:val="00C55CCE"/>
    <w:rsid w:val="00C55D83"/>
    <w:rsid w:val="00C55D9B"/>
    <w:rsid w:val="00C55DC7"/>
    <w:rsid w:val="00C55E19"/>
    <w:rsid w:val="00C55E50"/>
    <w:rsid w:val="00C55E89"/>
    <w:rsid w:val="00C55F1C"/>
    <w:rsid w:val="00C55FEC"/>
    <w:rsid w:val="00C55FFF"/>
    <w:rsid w:val="00C56038"/>
    <w:rsid w:val="00C5606F"/>
    <w:rsid w:val="00C560A7"/>
    <w:rsid w:val="00C560B0"/>
    <w:rsid w:val="00C560ED"/>
    <w:rsid w:val="00C560F1"/>
    <w:rsid w:val="00C560FA"/>
    <w:rsid w:val="00C56243"/>
    <w:rsid w:val="00C56252"/>
    <w:rsid w:val="00C56283"/>
    <w:rsid w:val="00C562A3"/>
    <w:rsid w:val="00C56303"/>
    <w:rsid w:val="00C563C5"/>
    <w:rsid w:val="00C56489"/>
    <w:rsid w:val="00C56494"/>
    <w:rsid w:val="00C564A3"/>
    <w:rsid w:val="00C564AD"/>
    <w:rsid w:val="00C564DF"/>
    <w:rsid w:val="00C56511"/>
    <w:rsid w:val="00C5657B"/>
    <w:rsid w:val="00C565CD"/>
    <w:rsid w:val="00C5662D"/>
    <w:rsid w:val="00C566F0"/>
    <w:rsid w:val="00C567C2"/>
    <w:rsid w:val="00C56942"/>
    <w:rsid w:val="00C56B13"/>
    <w:rsid w:val="00C56BA5"/>
    <w:rsid w:val="00C56BAD"/>
    <w:rsid w:val="00C56BEC"/>
    <w:rsid w:val="00C56C2E"/>
    <w:rsid w:val="00C56C5E"/>
    <w:rsid w:val="00C56CAA"/>
    <w:rsid w:val="00C56CE6"/>
    <w:rsid w:val="00C56D12"/>
    <w:rsid w:val="00C56DAE"/>
    <w:rsid w:val="00C56E29"/>
    <w:rsid w:val="00C56E87"/>
    <w:rsid w:val="00C56EA3"/>
    <w:rsid w:val="00C56EB1"/>
    <w:rsid w:val="00C56ED6"/>
    <w:rsid w:val="00C56F9A"/>
    <w:rsid w:val="00C56FD3"/>
    <w:rsid w:val="00C57192"/>
    <w:rsid w:val="00C57198"/>
    <w:rsid w:val="00C571F5"/>
    <w:rsid w:val="00C571FD"/>
    <w:rsid w:val="00C5723E"/>
    <w:rsid w:val="00C57245"/>
    <w:rsid w:val="00C57257"/>
    <w:rsid w:val="00C5727C"/>
    <w:rsid w:val="00C57281"/>
    <w:rsid w:val="00C5729D"/>
    <w:rsid w:val="00C572AD"/>
    <w:rsid w:val="00C572CB"/>
    <w:rsid w:val="00C572F9"/>
    <w:rsid w:val="00C57314"/>
    <w:rsid w:val="00C5735A"/>
    <w:rsid w:val="00C57369"/>
    <w:rsid w:val="00C5744F"/>
    <w:rsid w:val="00C57467"/>
    <w:rsid w:val="00C574A0"/>
    <w:rsid w:val="00C574FF"/>
    <w:rsid w:val="00C57535"/>
    <w:rsid w:val="00C5753F"/>
    <w:rsid w:val="00C57627"/>
    <w:rsid w:val="00C57685"/>
    <w:rsid w:val="00C5768D"/>
    <w:rsid w:val="00C576A1"/>
    <w:rsid w:val="00C576AE"/>
    <w:rsid w:val="00C5776E"/>
    <w:rsid w:val="00C57795"/>
    <w:rsid w:val="00C57860"/>
    <w:rsid w:val="00C57A27"/>
    <w:rsid w:val="00C57A3E"/>
    <w:rsid w:val="00C57A8C"/>
    <w:rsid w:val="00C57B53"/>
    <w:rsid w:val="00C57B84"/>
    <w:rsid w:val="00C57BBB"/>
    <w:rsid w:val="00C57C00"/>
    <w:rsid w:val="00C57C0D"/>
    <w:rsid w:val="00C57C3E"/>
    <w:rsid w:val="00C57CB8"/>
    <w:rsid w:val="00C57DCA"/>
    <w:rsid w:val="00C57ED6"/>
    <w:rsid w:val="00C57F7B"/>
    <w:rsid w:val="00C57F8F"/>
    <w:rsid w:val="00C57F9A"/>
    <w:rsid w:val="00C57FAA"/>
    <w:rsid w:val="00C57FD2"/>
    <w:rsid w:val="00C600BB"/>
    <w:rsid w:val="00C6010A"/>
    <w:rsid w:val="00C60122"/>
    <w:rsid w:val="00C60253"/>
    <w:rsid w:val="00C602D4"/>
    <w:rsid w:val="00C602E4"/>
    <w:rsid w:val="00C60406"/>
    <w:rsid w:val="00C6040A"/>
    <w:rsid w:val="00C60429"/>
    <w:rsid w:val="00C605D4"/>
    <w:rsid w:val="00C605DF"/>
    <w:rsid w:val="00C6066F"/>
    <w:rsid w:val="00C60703"/>
    <w:rsid w:val="00C60788"/>
    <w:rsid w:val="00C607B8"/>
    <w:rsid w:val="00C6082E"/>
    <w:rsid w:val="00C60900"/>
    <w:rsid w:val="00C60918"/>
    <w:rsid w:val="00C60925"/>
    <w:rsid w:val="00C6094C"/>
    <w:rsid w:val="00C60965"/>
    <w:rsid w:val="00C60979"/>
    <w:rsid w:val="00C609C8"/>
    <w:rsid w:val="00C60A40"/>
    <w:rsid w:val="00C60A80"/>
    <w:rsid w:val="00C60ABB"/>
    <w:rsid w:val="00C60AEC"/>
    <w:rsid w:val="00C60B5C"/>
    <w:rsid w:val="00C60C04"/>
    <w:rsid w:val="00C60C47"/>
    <w:rsid w:val="00C60C4E"/>
    <w:rsid w:val="00C60C58"/>
    <w:rsid w:val="00C60C88"/>
    <w:rsid w:val="00C60DD0"/>
    <w:rsid w:val="00C60ED8"/>
    <w:rsid w:val="00C60F2F"/>
    <w:rsid w:val="00C60FC8"/>
    <w:rsid w:val="00C60FE7"/>
    <w:rsid w:val="00C61011"/>
    <w:rsid w:val="00C610D1"/>
    <w:rsid w:val="00C610DA"/>
    <w:rsid w:val="00C6113B"/>
    <w:rsid w:val="00C61187"/>
    <w:rsid w:val="00C6118D"/>
    <w:rsid w:val="00C6119F"/>
    <w:rsid w:val="00C611C5"/>
    <w:rsid w:val="00C61214"/>
    <w:rsid w:val="00C61226"/>
    <w:rsid w:val="00C61267"/>
    <w:rsid w:val="00C61367"/>
    <w:rsid w:val="00C613A0"/>
    <w:rsid w:val="00C613DE"/>
    <w:rsid w:val="00C613F2"/>
    <w:rsid w:val="00C61416"/>
    <w:rsid w:val="00C614A9"/>
    <w:rsid w:val="00C614AA"/>
    <w:rsid w:val="00C614B6"/>
    <w:rsid w:val="00C614E4"/>
    <w:rsid w:val="00C61575"/>
    <w:rsid w:val="00C61589"/>
    <w:rsid w:val="00C615B0"/>
    <w:rsid w:val="00C615C0"/>
    <w:rsid w:val="00C615F8"/>
    <w:rsid w:val="00C61744"/>
    <w:rsid w:val="00C61757"/>
    <w:rsid w:val="00C6178C"/>
    <w:rsid w:val="00C617F0"/>
    <w:rsid w:val="00C61837"/>
    <w:rsid w:val="00C61849"/>
    <w:rsid w:val="00C618E1"/>
    <w:rsid w:val="00C61963"/>
    <w:rsid w:val="00C619CD"/>
    <w:rsid w:val="00C61A0D"/>
    <w:rsid w:val="00C61A79"/>
    <w:rsid w:val="00C61AEF"/>
    <w:rsid w:val="00C61B14"/>
    <w:rsid w:val="00C61BD5"/>
    <w:rsid w:val="00C61C32"/>
    <w:rsid w:val="00C61C5E"/>
    <w:rsid w:val="00C61D1D"/>
    <w:rsid w:val="00C61DD4"/>
    <w:rsid w:val="00C61EE6"/>
    <w:rsid w:val="00C61F3C"/>
    <w:rsid w:val="00C61F5B"/>
    <w:rsid w:val="00C61F75"/>
    <w:rsid w:val="00C61F87"/>
    <w:rsid w:val="00C61F93"/>
    <w:rsid w:val="00C62055"/>
    <w:rsid w:val="00C62065"/>
    <w:rsid w:val="00C62083"/>
    <w:rsid w:val="00C6208E"/>
    <w:rsid w:val="00C62186"/>
    <w:rsid w:val="00C621A2"/>
    <w:rsid w:val="00C621A4"/>
    <w:rsid w:val="00C6220F"/>
    <w:rsid w:val="00C6222D"/>
    <w:rsid w:val="00C6225E"/>
    <w:rsid w:val="00C6227B"/>
    <w:rsid w:val="00C622A6"/>
    <w:rsid w:val="00C622AD"/>
    <w:rsid w:val="00C622BF"/>
    <w:rsid w:val="00C62327"/>
    <w:rsid w:val="00C62339"/>
    <w:rsid w:val="00C62366"/>
    <w:rsid w:val="00C6239B"/>
    <w:rsid w:val="00C6239E"/>
    <w:rsid w:val="00C6247E"/>
    <w:rsid w:val="00C624B3"/>
    <w:rsid w:val="00C6252C"/>
    <w:rsid w:val="00C62548"/>
    <w:rsid w:val="00C62559"/>
    <w:rsid w:val="00C625B6"/>
    <w:rsid w:val="00C625D2"/>
    <w:rsid w:val="00C62698"/>
    <w:rsid w:val="00C626E5"/>
    <w:rsid w:val="00C6286A"/>
    <w:rsid w:val="00C628E6"/>
    <w:rsid w:val="00C6293C"/>
    <w:rsid w:val="00C62984"/>
    <w:rsid w:val="00C629AF"/>
    <w:rsid w:val="00C629FB"/>
    <w:rsid w:val="00C62A52"/>
    <w:rsid w:val="00C62A5F"/>
    <w:rsid w:val="00C62AEA"/>
    <w:rsid w:val="00C62B15"/>
    <w:rsid w:val="00C62B1B"/>
    <w:rsid w:val="00C62B4B"/>
    <w:rsid w:val="00C62BAF"/>
    <w:rsid w:val="00C62BB8"/>
    <w:rsid w:val="00C62BF6"/>
    <w:rsid w:val="00C62C3C"/>
    <w:rsid w:val="00C62C67"/>
    <w:rsid w:val="00C62CEE"/>
    <w:rsid w:val="00C62D3E"/>
    <w:rsid w:val="00C62D4A"/>
    <w:rsid w:val="00C62D71"/>
    <w:rsid w:val="00C62DB0"/>
    <w:rsid w:val="00C62DB7"/>
    <w:rsid w:val="00C62E25"/>
    <w:rsid w:val="00C62E50"/>
    <w:rsid w:val="00C62FE1"/>
    <w:rsid w:val="00C63075"/>
    <w:rsid w:val="00C63099"/>
    <w:rsid w:val="00C630AB"/>
    <w:rsid w:val="00C63116"/>
    <w:rsid w:val="00C63169"/>
    <w:rsid w:val="00C6317B"/>
    <w:rsid w:val="00C631B4"/>
    <w:rsid w:val="00C63270"/>
    <w:rsid w:val="00C6327E"/>
    <w:rsid w:val="00C633BC"/>
    <w:rsid w:val="00C633C0"/>
    <w:rsid w:val="00C6346C"/>
    <w:rsid w:val="00C634A6"/>
    <w:rsid w:val="00C6354B"/>
    <w:rsid w:val="00C63597"/>
    <w:rsid w:val="00C63632"/>
    <w:rsid w:val="00C6367A"/>
    <w:rsid w:val="00C637A0"/>
    <w:rsid w:val="00C63859"/>
    <w:rsid w:val="00C638A0"/>
    <w:rsid w:val="00C6398D"/>
    <w:rsid w:val="00C6399C"/>
    <w:rsid w:val="00C639C4"/>
    <w:rsid w:val="00C63A57"/>
    <w:rsid w:val="00C63AB5"/>
    <w:rsid w:val="00C63AE6"/>
    <w:rsid w:val="00C63B89"/>
    <w:rsid w:val="00C63BE2"/>
    <w:rsid w:val="00C63C29"/>
    <w:rsid w:val="00C63C50"/>
    <w:rsid w:val="00C63C60"/>
    <w:rsid w:val="00C63C8B"/>
    <w:rsid w:val="00C63CB3"/>
    <w:rsid w:val="00C63CD7"/>
    <w:rsid w:val="00C63CE7"/>
    <w:rsid w:val="00C63D01"/>
    <w:rsid w:val="00C63D0E"/>
    <w:rsid w:val="00C63D74"/>
    <w:rsid w:val="00C63E27"/>
    <w:rsid w:val="00C63E3E"/>
    <w:rsid w:val="00C63E4A"/>
    <w:rsid w:val="00C63E6F"/>
    <w:rsid w:val="00C63E9D"/>
    <w:rsid w:val="00C63ED3"/>
    <w:rsid w:val="00C63ED9"/>
    <w:rsid w:val="00C63F23"/>
    <w:rsid w:val="00C63F42"/>
    <w:rsid w:val="00C63FA8"/>
    <w:rsid w:val="00C63FB1"/>
    <w:rsid w:val="00C63FB8"/>
    <w:rsid w:val="00C64003"/>
    <w:rsid w:val="00C64055"/>
    <w:rsid w:val="00C6408F"/>
    <w:rsid w:val="00C640C2"/>
    <w:rsid w:val="00C6416C"/>
    <w:rsid w:val="00C641E0"/>
    <w:rsid w:val="00C64237"/>
    <w:rsid w:val="00C64326"/>
    <w:rsid w:val="00C643EC"/>
    <w:rsid w:val="00C643EF"/>
    <w:rsid w:val="00C64482"/>
    <w:rsid w:val="00C64518"/>
    <w:rsid w:val="00C645B6"/>
    <w:rsid w:val="00C645B9"/>
    <w:rsid w:val="00C6461D"/>
    <w:rsid w:val="00C6463A"/>
    <w:rsid w:val="00C64705"/>
    <w:rsid w:val="00C6471D"/>
    <w:rsid w:val="00C6477F"/>
    <w:rsid w:val="00C64829"/>
    <w:rsid w:val="00C64836"/>
    <w:rsid w:val="00C648B0"/>
    <w:rsid w:val="00C648E3"/>
    <w:rsid w:val="00C64938"/>
    <w:rsid w:val="00C6495C"/>
    <w:rsid w:val="00C649B6"/>
    <w:rsid w:val="00C64A12"/>
    <w:rsid w:val="00C64A27"/>
    <w:rsid w:val="00C64A37"/>
    <w:rsid w:val="00C64A85"/>
    <w:rsid w:val="00C64A99"/>
    <w:rsid w:val="00C64AE7"/>
    <w:rsid w:val="00C64B35"/>
    <w:rsid w:val="00C64BFA"/>
    <w:rsid w:val="00C64BFE"/>
    <w:rsid w:val="00C64C94"/>
    <w:rsid w:val="00C64CB9"/>
    <w:rsid w:val="00C64D7D"/>
    <w:rsid w:val="00C64DC7"/>
    <w:rsid w:val="00C64E69"/>
    <w:rsid w:val="00C64E8E"/>
    <w:rsid w:val="00C64EAE"/>
    <w:rsid w:val="00C64F12"/>
    <w:rsid w:val="00C64F79"/>
    <w:rsid w:val="00C64F7C"/>
    <w:rsid w:val="00C64FEC"/>
    <w:rsid w:val="00C650DC"/>
    <w:rsid w:val="00C650DE"/>
    <w:rsid w:val="00C6524A"/>
    <w:rsid w:val="00C65280"/>
    <w:rsid w:val="00C652B5"/>
    <w:rsid w:val="00C652E2"/>
    <w:rsid w:val="00C65386"/>
    <w:rsid w:val="00C653A9"/>
    <w:rsid w:val="00C653C1"/>
    <w:rsid w:val="00C653EA"/>
    <w:rsid w:val="00C65496"/>
    <w:rsid w:val="00C654B4"/>
    <w:rsid w:val="00C65506"/>
    <w:rsid w:val="00C65547"/>
    <w:rsid w:val="00C65555"/>
    <w:rsid w:val="00C655EE"/>
    <w:rsid w:val="00C6563B"/>
    <w:rsid w:val="00C656F5"/>
    <w:rsid w:val="00C65749"/>
    <w:rsid w:val="00C657C6"/>
    <w:rsid w:val="00C65837"/>
    <w:rsid w:val="00C65844"/>
    <w:rsid w:val="00C658BB"/>
    <w:rsid w:val="00C658C1"/>
    <w:rsid w:val="00C658C8"/>
    <w:rsid w:val="00C65AF6"/>
    <w:rsid w:val="00C65B1D"/>
    <w:rsid w:val="00C65B43"/>
    <w:rsid w:val="00C65B47"/>
    <w:rsid w:val="00C65B59"/>
    <w:rsid w:val="00C65B76"/>
    <w:rsid w:val="00C65C5A"/>
    <w:rsid w:val="00C65C6F"/>
    <w:rsid w:val="00C65C90"/>
    <w:rsid w:val="00C65E89"/>
    <w:rsid w:val="00C65EA2"/>
    <w:rsid w:val="00C65EC6"/>
    <w:rsid w:val="00C65F5B"/>
    <w:rsid w:val="00C65F8C"/>
    <w:rsid w:val="00C66015"/>
    <w:rsid w:val="00C66092"/>
    <w:rsid w:val="00C66155"/>
    <w:rsid w:val="00C661CC"/>
    <w:rsid w:val="00C661CD"/>
    <w:rsid w:val="00C66202"/>
    <w:rsid w:val="00C6622C"/>
    <w:rsid w:val="00C6623E"/>
    <w:rsid w:val="00C662C1"/>
    <w:rsid w:val="00C66467"/>
    <w:rsid w:val="00C664A2"/>
    <w:rsid w:val="00C664A9"/>
    <w:rsid w:val="00C664EB"/>
    <w:rsid w:val="00C664EF"/>
    <w:rsid w:val="00C66507"/>
    <w:rsid w:val="00C66608"/>
    <w:rsid w:val="00C6663F"/>
    <w:rsid w:val="00C6674F"/>
    <w:rsid w:val="00C66760"/>
    <w:rsid w:val="00C66825"/>
    <w:rsid w:val="00C6687C"/>
    <w:rsid w:val="00C668C8"/>
    <w:rsid w:val="00C6692B"/>
    <w:rsid w:val="00C66996"/>
    <w:rsid w:val="00C66A30"/>
    <w:rsid w:val="00C66A5A"/>
    <w:rsid w:val="00C66A75"/>
    <w:rsid w:val="00C66A98"/>
    <w:rsid w:val="00C66B17"/>
    <w:rsid w:val="00C66B5D"/>
    <w:rsid w:val="00C66CF2"/>
    <w:rsid w:val="00C66DC1"/>
    <w:rsid w:val="00C66E56"/>
    <w:rsid w:val="00C66E72"/>
    <w:rsid w:val="00C66FDE"/>
    <w:rsid w:val="00C67082"/>
    <w:rsid w:val="00C67281"/>
    <w:rsid w:val="00C672B0"/>
    <w:rsid w:val="00C67332"/>
    <w:rsid w:val="00C673D1"/>
    <w:rsid w:val="00C674B6"/>
    <w:rsid w:val="00C67519"/>
    <w:rsid w:val="00C67535"/>
    <w:rsid w:val="00C67583"/>
    <w:rsid w:val="00C6758B"/>
    <w:rsid w:val="00C675E4"/>
    <w:rsid w:val="00C675EE"/>
    <w:rsid w:val="00C67614"/>
    <w:rsid w:val="00C6762E"/>
    <w:rsid w:val="00C67655"/>
    <w:rsid w:val="00C67711"/>
    <w:rsid w:val="00C677BE"/>
    <w:rsid w:val="00C677DB"/>
    <w:rsid w:val="00C6784B"/>
    <w:rsid w:val="00C67927"/>
    <w:rsid w:val="00C679EA"/>
    <w:rsid w:val="00C679EF"/>
    <w:rsid w:val="00C67A10"/>
    <w:rsid w:val="00C67B41"/>
    <w:rsid w:val="00C67B52"/>
    <w:rsid w:val="00C67BB0"/>
    <w:rsid w:val="00C67C0A"/>
    <w:rsid w:val="00C67C15"/>
    <w:rsid w:val="00C67CAB"/>
    <w:rsid w:val="00C67CB3"/>
    <w:rsid w:val="00C67CD8"/>
    <w:rsid w:val="00C67D2D"/>
    <w:rsid w:val="00C67D32"/>
    <w:rsid w:val="00C67D9B"/>
    <w:rsid w:val="00C67E7B"/>
    <w:rsid w:val="00C67E96"/>
    <w:rsid w:val="00C67E99"/>
    <w:rsid w:val="00C67EB8"/>
    <w:rsid w:val="00C67F09"/>
    <w:rsid w:val="00C67F2D"/>
    <w:rsid w:val="00C67F80"/>
    <w:rsid w:val="00C67FB5"/>
    <w:rsid w:val="00C70003"/>
    <w:rsid w:val="00C70020"/>
    <w:rsid w:val="00C70052"/>
    <w:rsid w:val="00C70100"/>
    <w:rsid w:val="00C70155"/>
    <w:rsid w:val="00C701C9"/>
    <w:rsid w:val="00C702A9"/>
    <w:rsid w:val="00C702EB"/>
    <w:rsid w:val="00C70331"/>
    <w:rsid w:val="00C7033C"/>
    <w:rsid w:val="00C70481"/>
    <w:rsid w:val="00C704EB"/>
    <w:rsid w:val="00C705C5"/>
    <w:rsid w:val="00C705ED"/>
    <w:rsid w:val="00C70656"/>
    <w:rsid w:val="00C7065A"/>
    <w:rsid w:val="00C70687"/>
    <w:rsid w:val="00C7076A"/>
    <w:rsid w:val="00C707EB"/>
    <w:rsid w:val="00C70829"/>
    <w:rsid w:val="00C7087D"/>
    <w:rsid w:val="00C708A3"/>
    <w:rsid w:val="00C708B9"/>
    <w:rsid w:val="00C708D9"/>
    <w:rsid w:val="00C70967"/>
    <w:rsid w:val="00C7096F"/>
    <w:rsid w:val="00C709D9"/>
    <w:rsid w:val="00C709FA"/>
    <w:rsid w:val="00C70B16"/>
    <w:rsid w:val="00C70B71"/>
    <w:rsid w:val="00C70C04"/>
    <w:rsid w:val="00C70C40"/>
    <w:rsid w:val="00C70C78"/>
    <w:rsid w:val="00C70CBA"/>
    <w:rsid w:val="00C70CBE"/>
    <w:rsid w:val="00C70D54"/>
    <w:rsid w:val="00C70DE0"/>
    <w:rsid w:val="00C70F68"/>
    <w:rsid w:val="00C7103A"/>
    <w:rsid w:val="00C710A1"/>
    <w:rsid w:val="00C710A5"/>
    <w:rsid w:val="00C710AB"/>
    <w:rsid w:val="00C71137"/>
    <w:rsid w:val="00C711B9"/>
    <w:rsid w:val="00C71200"/>
    <w:rsid w:val="00C71242"/>
    <w:rsid w:val="00C712A6"/>
    <w:rsid w:val="00C712BD"/>
    <w:rsid w:val="00C712DE"/>
    <w:rsid w:val="00C712DF"/>
    <w:rsid w:val="00C7137E"/>
    <w:rsid w:val="00C7138B"/>
    <w:rsid w:val="00C713A8"/>
    <w:rsid w:val="00C71486"/>
    <w:rsid w:val="00C714BA"/>
    <w:rsid w:val="00C71519"/>
    <w:rsid w:val="00C71522"/>
    <w:rsid w:val="00C7156A"/>
    <w:rsid w:val="00C71592"/>
    <w:rsid w:val="00C715B5"/>
    <w:rsid w:val="00C7168F"/>
    <w:rsid w:val="00C716C5"/>
    <w:rsid w:val="00C716CD"/>
    <w:rsid w:val="00C71777"/>
    <w:rsid w:val="00C71785"/>
    <w:rsid w:val="00C717E2"/>
    <w:rsid w:val="00C717FD"/>
    <w:rsid w:val="00C71817"/>
    <w:rsid w:val="00C71851"/>
    <w:rsid w:val="00C718A3"/>
    <w:rsid w:val="00C71939"/>
    <w:rsid w:val="00C719FD"/>
    <w:rsid w:val="00C71A17"/>
    <w:rsid w:val="00C71A7E"/>
    <w:rsid w:val="00C71B0D"/>
    <w:rsid w:val="00C71B24"/>
    <w:rsid w:val="00C71B45"/>
    <w:rsid w:val="00C71BAF"/>
    <w:rsid w:val="00C71C82"/>
    <w:rsid w:val="00C71CEF"/>
    <w:rsid w:val="00C71D42"/>
    <w:rsid w:val="00C71D9B"/>
    <w:rsid w:val="00C71DE7"/>
    <w:rsid w:val="00C71E55"/>
    <w:rsid w:val="00C71E89"/>
    <w:rsid w:val="00C72039"/>
    <w:rsid w:val="00C72076"/>
    <w:rsid w:val="00C720CF"/>
    <w:rsid w:val="00C720EE"/>
    <w:rsid w:val="00C7211B"/>
    <w:rsid w:val="00C721B9"/>
    <w:rsid w:val="00C721E2"/>
    <w:rsid w:val="00C721EA"/>
    <w:rsid w:val="00C72207"/>
    <w:rsid w:val="00C72236"/>
    <w:rsid w:val="00C72275"/>
    <w:rsid w:val="00C722AA"/>
    <w:rsid w:val="00C722E7"/>
    <w:rsid w:val="00C72386"/>
    <w:rsid w:val="00C723B9"/>
    <w:rsid w:val="00C723C5"/>
    <w:rsid w:val="00C723E8"/>
    <w:rsid w:val="00C72500"/>
    <w:rsid w:val="00C7254F"/>
    <w:rsid w:val="00C725F1"/>
    <w:rsid w:val="00C7268B"/>
    <w:rsid w:val="00C726AE"/>
    <w:rsid w:val="00C72799"/>
    <w:rsid w:val="00C72897"/>
    <w:rsid w:val="00C728A4"/>
    <w:rsid w:val="00C72955"/>
    <w:rsid w:val="00C729E8"/>
    <w:rsid w:val="00C72A0D"/>
    <w:rsid w:val="00C72B03"/>
    <w:rsid w:val="00C72B8A"/>
    <w:rsid w:val="00C72C90"/>
    <w:rsid w:val="00C72CA6"/>
    <w:rsid w:val="00C72CEC"/>
    <w:rsid w:val="00C72CF0"/>
    <w:rsid w:val="00C72CFF"/>
    <w:rsid w:val="00C72D15"/>
    <w:rsid w:val="00C72D68"/>
    <w:rsid w:val="00C72DE7"/>
    <w:rsid w:val="00C72E05"/>
    <w:rsid w:val="00C72E23"/>
    <w:rsid w:val="00C72E24"/>
    <w:rsid w:val="00C72EB0"/>
    <w:rsid w:val="00C72EB2"/>
    <w:rsid w:val="00C72F0C"/>
    <w:rsid w:val="00C72F8C"/>
    <w:rsid w:val="00C72FAD"/>
    <w:rsid w:val="00C7306F"/>
    <w:rsid w:val="00C7307D"/>
    <w:rsid w:val="00C7326E"/>
    <w:rsid w:val="00C732F6"/>
    <w:rsid w:val="00C73336"/>
    <w:rsid w:val="00C73367"/>
    <w:rsid w:val="00C733E0"/>
    <w:rsid w:val="00C7348C"/>
    <w:rsid w:val="00C734A3"/>
    <w:rsid w:val="00C734E1"/>
    <w:rsid w:val="00C7350B"/>
    <w:rsid w:val="00C73529"/>
    <w:rsid w:val="00C73549"/>
    <w:rsid w:val="00C73563"/>
    <w:rsid w:val="00C735D5"/>
    <w:rsid w:val="00C7364E"/>
    <w:rsid w:val="00C736E9"/>
    <w:rsid w:val="00C7372C"/>
    <w:rsid w:val="00C7373B"/>
    <w:rsid w:val="00C7374C"/>
    <w:rsid w:val="00C737DA"/>
    <w:rsid w:val="00C737EE"/>
    <w:rsid w:val="00C73823"/>
    <w:rsid w:val="00C73863"/>
    <w:rsid w:val="00C7388A"/>
    <w:rsid w:val="00C738CF"/>
    <w:rsid w:val="00C73921"/>
    <w:rsid w:val="00C7392A"/>
    <w:rsid w:val="00C73946"/>
    <w:rsid w:val="00C739A2"/>
    <w:rsid w:val="00C73A39"/>
    <w:rsid w:val="00C73A62"/>
    <w:rsid w:val="00C73A6E"/>
    <w:rsid w:val="00C73A99"/>
    <w:rsid w:val="00C73A9B"/>
    <w:rsid w:val="00C73AE4"/>
    <w:rsid w:val="00C73AF6"/>
    <w:rsid w:val="00C73B1D"/>
    <w:rsid w:val="00C73B3F"/>
    <w:rsid w:val="00C73C09"/>
    <w:rsid w:val="00C73C0C"/>
    <w:rsid w:val="00C73C6B"/>
    <w:rsid w:val="00C73D2F"/>
    <w:rsid w:val="00C73D49"/>
    <w:rsid w:val="00C73D74"/>
    <w:rsid w:val="00C73E28"/>
    <w:rsid w:val="00C73EBE"/>
    <w:rsid w:val="00C73ECE"/>
    <w:rsid w:val="00C73F58"/>
    <w:rsid w:val="00C73FE0"/>
    <w:rsid w:val="00C73FF1"/>
    <w:rsid w:val="00C74028"/>
    <w:rsid w:val="00C740D5"/>
    <w:rsid w:val="00C74128"/>
    <w:rsid w:val="00C741B0"/>
    <w:rsid w:val="00C7427F"/>
    <w:rsid w:val="00C742BF"/>
    <w:rsid w:val="00C742D6"/>
    <w:rsid w:val="00C743ED"/>
    <w:rsid w:val="00C74409"/>
    <w:rsid w:val="00C74417"/>
    <w:rsid w:val="00C7444D"/>
    <w:rsid w:val="00C7448D"/>
    <w:rsid w:val="00C7448E"/>
    <w:rsid w:val="00C74595"/>
    <w:rsid w:val="00C7466E"/>
    <w:rsid w:val="00C74686"/>
    <w:rsid w:val="00C7469B"/>
    <w:rsid w:val="00C7470D"/>
    <w:rsid w:val="00C7473F"/>
    <w:rsid w:val="00C7475F"/>
    <w:rsid w:val="00C747B7"/>
    <w:rsid w:val="00C747BA"/>
    <w:rsid w:val="00C7480B"/>
    <w:rsid w:val="00C74846"/>
    <w:rsid w:val="00C74945"/>
    <w:rsid w:val="00C7498E"/>
    <w:rsid w:val="00C749C1"/>
    <w:rsid w:val="00C74A3D"/>
    <w:rsid w:val="00C74AA8"/>
    <w:rsid w:val="00C74AE0"/>
    <w:rsid w:val="00C74B95"/>
    <w:rsid w:val="00C74BD8"/>
    <w:rsid w:val="00C74BEA"/>
    <w:rsid w:val="00C74C3F"/>
    <w:rsid w:val="00C74CFA"/>
    <w:rsid w:val="00C74D8A"/>
    <w:rsid w:val="00C74DFB"/>
    <w:rsid w:val="00C74E0F"/>
    <w:rsid w:val="00C74E59"/>
    <w:rsid w:val="00C74E64"/>
    <w:rsid w:val="00C74E76"/>
    <w:rsid w:val="00C74E90"/>
    <w:rsid w:val="00C74EDD"/>
    <w:rsid w:val="00C7502F"/>
    <w:rsid w:val="00C75043"/>
    <w:rsid w:val="00C75059"/>
    <w:rsid w:val="00C7508E"/>
    <w:rsid w:val="00C750FC"/>
    <w:rsid w:val="00C751DC"/>
    <w:rsid w:val="00C75201"/>
    <w:rsid w:val="00C75221"/>
    <w:rsid w:val="00C75276"/>
    <w:rsid w:val="00C752BA"/>
    <w:rsid w:val="00C752E6"/>
    <w:rsid w:val="00C75309"/>
    <w:rsid w:val="00C75387"/>
    <w:rsid w:val="00C753BA"/>
    <w:rsid w:val="00C75423"/>
    <w:rsid w:val="00C75426"/>
    <w:rsid w:val="00C75452"/>
    <w:rsid w:val="00C7546D"/>
    <w:rsid w:val="00C75526"/>
    <w:rsid w:val="00C7552F"/>
    <w:rsid w:val="00C7562F"/>
    <w:rsid w:val="00C75631"/>
    <w:rsid w:val="00C75717"/>
    <w:rsid w:val="00C75798"/>
    <w:rsid w:val="00C758A6"/>
    <w:rsid w:val="00C75901"/>
    <w:rsid w:val="00C7595D"/>
    <w:rsid w:val="00C7595E"/>
    <w:rsid w:val="00C75962"/>
    <w:rsid w:val="00C75967"/>
    <w:rsid w:val="00C759B2"/>
    <w:rsid w:val="00C75A20"/>
    <w:rsid w:val="00C75A8B"/>
    <w:rsid w:val="00C75A9F"/>
    <w:rsid w:val="00C75AA4"/>
    <w:rsid w:val="00C75AAD"/>
    <w:rsid w:val="00C75B8D"/>
    <w:rsid w:val="00C75BF4"/>
    <w:rsid w:val="00C75C62"/>
    <w:rsid w:val="00C75C89"/>
    <w:rsid w:val="00C75D87"/>
    <w:rsid w:val="00C75D9B"/>
    <w:rsid w:val="00C75E82"/>
    <w:rsid w:val="00C75E97"/>
    <w:rsid w:val="00C75EBC"/>
    <w:rsid w:val="00C75F59"/>
    <w:rsid w:val="00C75F99"/>
    <w:rsid w:val="00C76050"/>
    <w:rsid w:val="00C760DB"/>
    <w:rsid w:val="00C76105"/>
    <w:rsid w:val="00C7615C"/>
    <w:rsid w:val="00C76161"/>
    <w:rsid w:val="00C76340"/>
    <w:rsid w:val="00C763DD"/>
    <w:rsid w:val="00C7640B"/>
    <w:rsid w:val="00C76410"/>
    <w:rsid w:val="00C76433"/>
    <w:rsid w:val="00C76451"/>
    <w:rsid w:val="00C7650D"/>
    <w:rsid w:val="00C76533"/>
    <w:rsid w:val="00C765CC"/>
    <w:rsid w:val="00C765D2"/>
    <w:rsid w:val="00C766B2"/>
    <w:rsid w:val="00C766ED"/>
    <w:rsid w:val="00C7682D"/>
    <w:rsid w:val="00C76837"/>
    <w:rsid w:val="00C7689E"/>
    <w:rsid w:val="00C768B4"/>
    <w:rsid w:val="00C768BB"/>
    <w:rsid w:val="00C768D5"/>
    <w:rsid w:val="00C76A0F"/>
    <w:rsid w:val="00C76A58"/>
    <w:rsid w:val="00C76A98"/>
    <w:rsid w:val="00C76AC0"/>
    <w:rsid w:val="00C76B31"/>
    <w:rsid w:val="00C76B5E"/>
    <w:rsid w:val="00C76C04"/>
    <w:rsid w:val="00C76C7B"/>
    <w:rsid w:val="00C76C7C"/>
    <w:rsid w:val="00C76CA4"/>
    <w:rsid w:val="00C76CF9"/>
    <w:rsid w:val="00C76DB9"/>
    <w:rsid w:val="00C76DC6"/>
    <w:rsid w:val="00C76E31"/>
    <w:rsid w:val="00C76E64"/>
    <w:rsid w:val="00C76E81"/>
    <w:rsid w:val="00C76E94"/>
    <w:rsid w:val="00C76EF2"/>
    <w:rsid w:val="00C76F14"/>
    <w:rsid w:val="00C76F62"/>
    <w:rsid w:val="00C76FEB"/>
    <w:rsid w:val="00C76FF6"/>
    <w:rsid w:val="00C7700C"/>
    <w:rsid w:val="00C77019"/>
    <w:rsid w:val="00C7708B"/>
    <w:rsid w:val="00C770C3"/>
    <w:rsid w:val="00C770CB"/>
    <w:rsid w:val="00C7718B"/>
    <w:rsid w:val="00C77192"/>
    <w:rsid w:val="00C77237"/>
    <w:rsid w:val="00C77247"/>
    <w:rsid w:val="00C77256"/>
    <w:rsid w:val="00C7728B"/>
    <w:rsid w:val="00C7729A"/>
    <w:rsid w:val="00C772D4"/>
    <w:rsid w:val="00C773C7"/>
    <w:rsid w:val="00C77409"/>
    <w:rsid w:val="00C77425"/>
    <w:rsid w:val="00C774F5"/>
    <w:rsid w:val="00C775FE"/>
    <w:rsid w:val="00C77610"/>
    <w:rsid w:val="00C77613"/>
    <w:rsid w:val="00C7761E"/>
    <w:rsid w:val="00C7765B"/>
    <w:rsid w:val="00C77728"/>
    <w:rsid w:val="00C7772B"/>
    <w:rsid w:val="00C77797"/>
    <w:rsid w:val="00C777F3"/>
    <w:rsid w:val="00C77826"/>
    <w:rsid w:val="00C7783B"/>
    <w:rsid w:val="00C7785B"/>
    <w:rsid w:val="00C778EF"/>
    <w:rsid w:val="00C7793C"/>
    <w:rsid w:val="00C77943"/>
    <w:rsid w:val="00C77958"/>
    <w:rsid w:val="00C77A40"/>
    <w:rsid w:val="00C77A66"/>
    <w:rsid w:val="00C77AE3"/>
    <w:rsid w:val="00C77BA5"/>
    <w:rsid w:val="00C77BFA"/>
    <w:rsid w:val="00C77C05"/>
    <w:rsid w:val="00C77C76"/>
    <w:rsid w:val="00C77C82"/>
    <w:rsid w:val="00C77CD5"/>
    <w:rsid w:val="00C77D05"/>
    <w:rsid w:val="00C77DE8"/>
    <w:rsid w:val="00C77E4D"/>
    <w:rsid w:val="00C77E81"/>
    <w:rsid w:val="00C77F40"/>
    <w:rsid w:val="00C77FC5"/>
    <w:rsid w:val="00C77FF3"/>
    <w:rsid w:val="00C77FF4"/>
    <w:rsid w:val="00C80012"/>
    <w:rsid w:val="00C80027"/>
    <w:rsid w:val="00C80039"/>
    <w:rsid w:val="00C80122"/>
    <w:rsid w:val="00C8015E"/>
    <w:rsid w:val="00C8019C"/>
    <w:rsid w:val="00C80212"/>
    <w:rsid w:val="00C80263"/>
    <w:rsid w:val="00C8029C"/>
    <w:rsid w:val="00C802F8"/>
    <w:rsid w:val="00C80309"/>
    <w:rsid w:val="00C8036E"/>
    <w:rsid w:val="00C803BA"/>
    <w:rsid w:val="00C80463"/>
    <w:rsid w:val="00C80499"/>
    <w:rsid w:val="00C804BC"/>
    <w:rsid w:val="00C8052A"/>
    <w:rsid w:val="00C805C8"/>
    <w:rsid w:val="00C805C9"/>
    <w:rsid w:val="00C80611"/>
    <w:rsid w:val="00C80618"/>
    <w:rsid w:val="00C8062A"/>
    <w:rsid w:val="00C80656"/>
    <w:rsid w:val="00C806B2"/>
    <w:rsid w:val="00C80734"/>
    <w:rsid w:val="00C8077C"/>
    <w:rsid w:val="00C80782"/>
    <w:rsid w:val="00C8080A"/>
    <w:rsid w:val="00C80841"/>
    <w:rsid w:val="00C80923"/>
    <w:rsid w:val="00C8092F"/>
    <w:rsid w:val="00C809D6"/>
    <w:rsid w:val="00C809EB"/>
    <w:rsid w:val="00C80A30"/>
    <w:rsid w:val="00C80A3E"/>
    <w:rsid w:val="00C80A48"/>
    <w:rsid w:val="00C80B3E"/>
    <w:rsid w:val="00C80B91"/>
    <w:rsid w:val="00C80BF5"/>
    <w:rsid w:val="00C80C82"/>
    <w:rsid w:val="00C80CC9"/>
    <w:rsid w:val="00C80DA2"/>
    <w:rsid w:val="00C80E16"/>
    <w:rsid w:val="00C80E43"/>
    <w:rsid w:val="00C80E51"/>
    <w:rsid w:val="00C80E68"/>
    <w:rsid w:val="00C80EE0"/>
    <w:rsid w:val="00C80F0F"/>
    <w:rsid w:val="00C80F1B"/>
    <w:rsid w:val="00C80FE6"/>
    <w:rsid w:val="00C8102A"/>
    <w:rsid w:val="00C8108B"/>
    <w:rsid w:val="00C810A9"/>
    <w:rsid w:val="00C810DE"/>
    <w:rsid w:val="00C81186"/>
    <w:rsid w:val="00C811D7"/>
    <w:rsid w:val="00C81231"/>
    <w:rsid w:val="00C81254"/>
    <w:rsid w:val="00C813E4"/>
    <w:rsid w:val="00C81426"/>
    <w:rsid w:val="00C8149B"/>
    <w:rsid w:val="00C81556"/>
    <w:rsid w:val="00C8158F"/>
    <w:rsid w:val="00C81626"/>
    <w:rsid w:val="00C816C6"/>
    <w:rsid w:val="00C816E4"/>
    <w:rsid w:val="00C816EF"/>
    <w:rsid w:val="00C8170E"/>
    <w:rsid w:val="00C81729"/>
    <w:rsid w:val="00C81769"/>
    <w:rsid w:val="00C817F2"/>
    <w:rsid w:val="00C81812"/>
    <w:rsid w:val="00C818AF"/>
    <w:rsid w:val="00C818DF"/>
    <w:rsid w:val="00C81900"/>
    <w:rsid w:val="00C819F9"/>
    <w:rsid w:val="00C81BD1"/>
    <w:rsid w:val="00C81C11"/>
    <w:rsid w:val="00C81C53"/>
    <w:rsid w:val="00C81CB5"/>
    <w:rsid w:val="00C81D16"/>
    <w:rsid w:val="00C81D29"/>
    <w:rsid w:val="00C81DE1"/>
    <w:rsid w:val="00C81DF9"/>
    <w:rsid w:val="00C81E19"/>
    <w:rsid w:val="00C81E52"/>
    <w:rsid w:val="00C81EB6"/>
    <w:rsid w:val="00C81EDE"/>
    <w:rsid w:val="00C82037"/>
    <w:rsid w:val="00C820A7"/>
    <w:rsid w:val="00C820CB"/>
    <w:rsid w:val="00C820CE"/>
    <w:rsid w:val="00C8210F"/>
    <w:rsid w:val="00C82152"/>
    <w:rsid w:val="00C8217A"/>
    <w:rsid w:val="00C8219B"/>
    <w:rsid w:val="00C82204"/>
    <w:rsid w:val="00C82244"/>
    <w:rsid w:val="00C8233B"/>
    <w:rsid w:val="00C8243D"/>
    <w:rsid w:val="00C82462"/>
    <w:rsid w:val="00C824AE"/>
    <w:rsid w:val="00C82542"/>
    <w:rsid w:val="00C8255D"/>
    <w:rsid w:val="00C82614"/>
    <w:rsid w:val="00C82678"/>
    <w:rsid w:val="00C826C4"/>
    <w:rsid w:val="00C826D2"/>
    <w:rsid w:val="00C826FB"/>
    <w:rsid w:val="00C82726"/>
    <w:rsid w:val="00C82764"/>
    <w:rsid w:val="00C82779"/>
    <w:rsid w:val="00C827C1"/>
    <w:rsid w:val="00C827EB"/>
    <w:rsid w:val="00C82831"/>
    <w:rsid w:val="00C82903"/>
    <w:rsid w:val="00C82916"/>
    <w:rsid w:val="00C82A2A"/>
    <w:rsid w:val="00C82B13"/>
    <w:rsid w:val="00C82B43"/>
    <w:rsid w:val="00C82B77"/>
    <w:rsid w:val="00C82C57"/>
    <w:rsid w:val="00C82CBC"/>
    <w:rsid w:val="00C82CD7"/>
    <w:rsid w:val="00C82D38"/>
    <w:rsid w:val="00C82D47"/>
    <w:rsid w:val="00C82D55"/>
    <w:rsid w:val="00C82D5A"/>
    <w:rsid w:val="00C82EA4"/>
    <w:rsid w:val="00C82EB1"/>
    <w:rsid w:val="00C82EBD"/>
    <w:rsid w:val="00C82F73"/>
    <w:rsid w:val="00C83062"/>
    <w:rsid w:val="00C8307C"/>
    <w:rsid w:val="00C8309D"/>
    <w:rsid w:val="00C830BE"/>
    <w:rsid w:val="00C830D4"/>
    <w:rsid w:val="00C830E2"/>
    <w:rsid w:val="00C8311C"/>
    <w:rsid w:val="00C8311F"/>
    <w:rsid w:val="00C83147"/>
    <w:rsid w:val="00C83151"/>
    <w:rsid w:val="00C8316B"/>
    <w:rsid w:val="00C83193"/>
    <w:rsid w:val="00C831A6"/>
    <w:rsid w:val="00C831B9"/>
    <w:rsid w:val="00C831BB"/>
    <w:rsid w:val="00C831C8"/>
    <w:rsid w:val="00C83217"/>
    <w:rsid w:val="00C83229"/>
    <w:rsid w:val="00C832C9"/>
    <w:rsid w:val="00C833C1"/>
    <w:rsid w:val="00C835E5"/>
    <w:rsid w:val="00C8360C"/>
    <w:rsid w:val="00C8367E"/>
    <w:rsid w:val="00C836EC"/>
    <w:rsid w:val="00C836F3"/>
    <w:rsid w:val="00C83704"/>
    <w:rsid w:val="00C8373D"/>
    <w:rsid w:val="00C83804"/>
    <w:rsid w:val="00C838DF"/>
    <w:rsid w:val="00C83963"/>
    <w:rsid w:val="00C839B2"/>
    <w:rsid w:val="00C83AA3"/>
    <w:rsid w:val="00C83B05"/>
    <w:rsid w:val="00C83B20"/>
    <w:rsid w:val="00C83BD9"/>
    <w:rsid w:val="00C83BE6"/>
    <w:rsid w:val="00C83CD9"/>
    <w:rsid w:val="00C83CF7"/>
    <w:rsid w:val="00C83D62"/>
    <w:rsid w:val="00C83E42"/>
    <w:rsid w:val="00C83EBF"/>
    <w:rsid w:val="00C83ED3"/>
    <w:rsid w:val="00C8403A"/>
    <w:rsid w:val="00C8404C"/>
    <w:rsid w:val="00C840A5"/>
    <w:rsid w:val="00C840EB"/>
    <w:rsid w:val="00C8410F"/>
    <w:rsid w:val="00C84173"/>
    <w:rsid w:val="00C842A5"/>
    <w:rsid w:val="00C84322"/>
    <w:rsid w:val="00C84329"/>
    <w:rsid w:val="00C8435F"/>
    <w:rsid w:val="00C843FE"/>
    <w:rsid w:val="00C84407"/>
    <w:rsid w:val="00C84416"/>
    <w:rsid w:val="00C8441C"/>
    <w:rsid w:val="00C84458"/>
    <w:rsid w:val="00C8445C"/>
    <w:rsid w:val="00C84564"/>
    <w:rsid w:val="00C845D6"/>
    <w:rsid w:val="00C845FF"/>
    <w:rsid w:val="00C8460F"/>
    <w:rsid w:val="00C84611"/>
    <w:rsid w:val="00C84637"/>
    <w:rsid w:val="00C846B5"/>
    <w:rsid w:val="00C846B7"/>
    <w:rsid w:val="00C847F7"/>
    <w:rsid w:val="00C8481B"/>
    <w:rsid w:val="00C84848"/>
    <w:rsid w:val="00C8484B"/>
    <w:rsid w:val="00C84851"/>
    <w:rsid w:val="00C848AB"/>
    <w:rsid w:val="00C848EA"/>
    <w:rsid w:val="00C8498B"/>
    <w:rsid w:val="00C84A50"/>
    <w:rsid w:val="00C84AA2"/>
    <w:rsid w:val="00C84AAB"/>
    <w:rsid w:val="00C84B5F"/>
    <w:rsid w:val="00C84BAD"/>
    <w:rsid w:val="00C84BE4"/>
    <w:rsid w:val="00C84C2B"/>
    <w:rsid w:val="00C84C5D"/>
    <w:rsid w:val="00C84C67"/>
    <w:rsid w:val="00C84CD8"/>
    <w:rsid w:val="00C84E69"/>
    <w:rsid w:val="00C84E71"/>
    <w:rsid w:val="00C84F2E"/>
    <w:rsid w:val="00C84F4A"/>
    <w:rsid w:val="00C84F83"/>
    <w:rsid w:val="00C84FCA"/>
    <w:rsid w:val="00C84FDA"/>
    <w:rsid w:val="00C8507A"/>
    <w:rsid w:val="00C8509E"/>
    <w:rsid w:val="00C85177"/>
    <w:rsid w:val="00C851A0"/>
    <w:rsid w:val="00C851A4"/>
    <w:rsid w:val="00C851FB"/>
    <w:rsid w:val="00C8527E"/>
    <w:rsid w:val="00C852B2"/>
    <w:rsid w:val="00C852EC"/>
    <w:rsid w:val="00C852F8"/>
    <w:rsid w:val="00C8533B"/>
    <w:rsid w:val="00C85427"/>
    <w:rsid w:val="00C8542B"/>
    <w:rsid w:val="00C85487"/>
    <w:rsid w:val="00C8562E"/>
    <w:rsid w:val="00C85649"/>
    <w:rsid w:val="00C856BC"/>
    <w:rsid w:val="00C856F8"/>
    <w:rsid w:val="00C85780"/>
    <w:rsid w:val="00C857B2"/>
    <w:rsid w:val="00C85821"/>
    <w:rsid w:val="00C858DF"/>
    <w:rsid w:val="00C85910"/>
    <w:rsid w:val="00C85A75"/>
    <w:rsid w:val="00C85A76"/>
    <w:rsid w:val="00C85B93"/>
    <w:rsid w:val="00C85C31"/>
    <w:rsid w:val="00C85CA3"/>
    <w:rsid w:val="00C85D16"/>
    <w:rsid w:val="00C85D43"/>
    <w:rsid w:val="00C85D72"/>
    <w:rsid w:val="00C85DE4"/>
    <w:rsid w:val="00C85E06"/>
    <w:rsid w:val="00C85E09"/>
    <w:rsid w:val="00C85E1A"/>
    <w:rsid w:val="00C85E6B"/>
    <w:rsid w:val="00C85E87"/>
    <w:rsid w:val="00C85EB7"/>
    <w:rsid w:val="00C85EE6"/>
    <w:rsid w:val="00C85EEF"/>
    <w:rsid w:val="00C86036"/>
    <w:rsid w:val="00C86052"/>
    <w:rsid w:val="00C86086"/>
    <w:rsid w:val="00C8609A"/>
    <w:rsid w:val="00C860D9"/>
    <w:rsid w:val="00C86156"/>
    <w:rsid w:val="00C86170"/>
    <w:rsid w:val="00C8622D"/>
    <w:rsid w:val="00C8625A"/>
    <w:rsid w:val="00C863F5"/>
    <w:rsid w:val="00C8641E"/>
    <w:rsid w:val="00C86488"/>
    <w:rsid w:val="00C864D2"/>
    <w:rsid w:val="00C8650D"/>
    <w:rsid w:val="00C86588"/>
    <w:rsid w:val="00C865C4"/>
    <w:rsid w:val="00C86696"/>
    <w:rsid w:val="00C866AE"/>
    <w:rsid w:val="00C866FA"/>
    <w:rsid w:val="00C86704"/>
    <w:rsid w:val="00C867D1"/>
    <w:rsid w:val="00C867D7"/>
    <w:rsid w:val="00C867DD"/>
    <w:rsid w:val="00C867FD"/>
    <w:rsid w:val="00C8681C"/>
    <w:rsid w:val="00C86875"/>
    <w:rsid w:val="00C8687E"/>
    <w:rsid w:val="00C86882"/>
    <w:rsid w:val="00C8689A"/>
    <w:rsid w:val="00C868CD"/>
    <w:rsid w:val="00C868DD"/>
    <w:rsid w:val="00C86A0F"/>
    <w:rsid w:val="00C86A6D"/>
    <w:rsid w:val="00C86A8B"/>
    <w:rsid w:val="00C86AFE"/>
    <w:rsid w:val="00C86BF2"/>
    <w:rsid w:val="00C86C04"/>
    <w:rsid w:val="00C86C2D"/>
    <w:rsid w:val="00C86C33"/>
    <w:rsid w:val="00C86CD4"/>
    <w:rsid w:val="00C86D6A"/>
    <w:rsid w:val="00C86E34"/>
    <w:rsid w:val="00C86E5B"/>
    <w:rsid w:val="00C86E75"/>
    <w:rsid w:val="00C86E8B"/>
    <w:rsid w:val="00C86FD6"/>
    <w:rsid w:val="00C87125"/>
    <w:rsid w:val="00C87134"/>
    <w:rsid w:val="00C871A2"/>
    <w:rsid w:val="00C871B9"/>
    <w:rsid w:val="00C87273"/>
    <w:rsid w:val="00C87302"/>
    <w:rsid w:val="00C87346"/>
    <w:rsid w:val="00C8739E"/>
    <w:rsid w:val="00C873FC"/>
    <w:rsid w:val="00C8743F"/>
    <w:rsid w:val="00C87558"/>
    <w:rsid w:val="00C87585"/>
    <w:rsid w:val="00C875C8"/>
    <w:rsid w:val="00C87603"/>
    <w:rsid w:val="00C87652"/>
    <w:rsid w:val="00C87791"/>
    <w:rsid w:val="00C8779E"/>
    <w:rsid w:val="00C87807"/>
    <w:rsid w:val="00C8780F"/>
    <w:rsid w:val="00C87811"/>
    <w:rsid w:val="00C878A7"/>
    <w:rsid w:val="00C878C6"/>
    <w:rsid w:val="00C879DA"/>
    <w:rsid w:val="00C87A34"/>
    <w:rsid w:val="00C87B68"/>
    <w:rsid w:val="00C87BBB"/>
    <w:rsid w:val="00C87BC7"/>
    <w:rsid w:val="00C87C50"/>
    <w:rsid w:val="00C87C9D"/>
    <w:rsid w:val="00C87DC2"/>
    <w:rsid w:val="00C87DC5"/>
    <w:rsid w:val="00C87E2A"/>
    <w:rsid w:val="00C87E2C"/>
    <w:rsid w:val="00C87E2F"/>
    <w:rsid w:val="00C87E5B"/>
    <w:rsid w:val="00C87EA5"/>
    <w:rsid w:val="00C87F04"/>
    <w:rsid w:val="00C87F41"/>
    <w:rsid w:val="00C87F9E"/>
    <w:rsid w:val="00C9010E"/>
    <w:rsid w:val="00C901FB"/>
    <w:rsid w:val="00C90397"/>
    <w:rsid w:val="00C903C7"/>
    <w:rsid w:val="00C903CE"/>
    <w:rsid w:val="00C9042B"/>
    <w:rsid w:val="00C90456"/>
    <w:rsid w:val="00C9052C"/>
    <w:rsid w:val="00C9055F"/>
    <w:rsid w:val="00C90664"/>
    <w:rsid w:val="00C906CE"/>
    <w:rsid w:val="00C906D6"/>
    <w:rsid w:val="00C906E4"/>
    <w:rsid w:val="00C90794"/>
    <w:rsid w:val="00C9080D"/>
    <w:rsid w:val="00C90870"/>
    <w:rsid w:val="00C90878"/>
    <w:rsid w:val="00C908FC"/>
    <w:rsid w:val="00C9093B"/>
    <w:rsid w:val="00C9093F"/>
    <w:rsid w:val="00C90993"/>
    <w:rsid w:val="00C90B4D"/>
    <w:rsid w:val="00C90BC7"/>
    <w:rsid w:val="00C90C37"/>
    <w:rsid w:val="00C90C83"/>
    <w:rsid w:val="00C90D13"/>
    <w:rsid w:val="00C90E04"/>
    <w:rsid w:val="00C90E62"/>
    <w:rsid w:val="00C90F99"/>
    <w:rsid w:val="00C90FA9"/>
    <w:rsid w:val="00C91045"/>
    <w:rsid w:val="00C91072"/>
    <w:rsid w:val="00C9109D"/>
    <w:rsid w:val="00C910CD"/>
    <w:rsid w:val="00C91121"/>
    <w:rsid w:val="00C91172"/>
    <w:rsid w:val="00C911CA"/>
    <w:rsid w:val="00C9129D"/>
    <w:rsid w:val="00C91319"/>
    <w:rsid w:val="00C91339"/>
    <w:rsid w:val="00C9134D"/>
    <w:rsid w:val="00C91358"/>
    <w:rsid w:val="00C9137B"/>
    <w:rsid w:val="00C913C2"/>
    <w:rsid w:val="00C913ED"/>
    <w:rsid w:val="00C91420"/>
    <w:rsid w:val="00C915C9"/>
    <w:rsid w:val="00C916DA"/>
    <w:rsid w:val="00C9171A"/>
    <w:rsid w:val="00C9171C"/>
    <w:rsid w:val="00C91732"/>
    <w:rsid w:val="00C91778"/>
    <w:rsid w:val="00C917B7"/>
    <w:rsid w:val="00C917D9"/>
    <w:rsid w:val="00C91806"/>
    <w:rsid w:val="00C9180F"/>
    <w:rsid w:val="00C91879"/>
    <w:rsid w:val="00C918E1"/>
    <w:rsid w:val="00C91923"/>
    <w:rsid w:val="00C91924"/>
    <w:rsid w:val="00C919B6"/>
    <w:rsid w:val="00C919C0"/>
    <w:rsid w:val="00C91A82"/>
    <w:rsid w:val="00C91AD1"/>
    <w:rsid w:val="00C91B03"/>
    <w:rsid w:val="00C91B22"/>
    <w:rsid w:val="00C91B56"/>
    <w:rsid w:val="00C91B76"/>
    <w:rsid w:val="00C91BC0"/>
    <w:rsid w:val="00C91BC8"/>
    <w:rsid w:val="00C91BEA"/>
    <w:rsid w:val="00C91BFB"/>
    <w:rsid w:val="00C91CDD"/>
    <w:rsid w:val="00C91CE5"/>
    <w:rsid w:val="00C91D00"/>
    <w:rsid w:val="00C91D07"/>
    <w:rsid w:val="00C91D83"/>
    <w:rsid w:val="00C91DDD"/>
    <w:rsid w:val="00C91E37"/>
    <w:rsid w:val="00C91F2F"/>
    <w:rsid w:val="00C91F3D"/>
    <w:rsid w:val="00C91F8C"/>
    <w:rsid w:val="00C91FF9"/>
    <w:rsid w:val="00C92030"/>
    <w:rsid w:val="00C92040"/>
    <w:rsid w:val="00C92074"/>
    <w:rsid w:val="00C9208F"/>
    <w:rsid w:val="00C92102"/>
    <w:rsid w:val="00C92161"/>
    <w:rsid w:val="00C921CD"/>
    <w:rsid w:val="00C921E5"/>
    <w:rsid w:val="00C92208"/>
    <w:rsid w:val="00C922FB"/>
    <w:rsid w:val="00C923D3"/>
    <w:rsid w:val="00C92450"/>
    <w:rsid w:val="00C924DB"/>
    <w:rsid w:val="00C9251B"/>
    <w:rsid w:val="00C92546"/>
    <w:rsid w:val="00C9254A"/>
    <w:rsid w:val="00C926A2"/>
    <w:rsid w:val="00C927B4"/>
    <w:rsid w:val="00C9281F"/>
    <w:rsid w:val="00C928DD"/>
    <w:rsid w:val="00C928DF"/>
    <w:rsid w:val="00C9295B"/>
    <w:rsid w:val="00C92971"/>
    <w:rsid w:val="00C92A82"/>
    <w:rsid w:val="00C92B7C"/>
    <w:rsid w:val="00C92B9B"/>
    <w:rsid w:val="00C92BF1"/>
    <w:rsid w:val="00C92C03"/>
    <w:rsid w:val="00C92C08"/>
    <w:rsid w:val="00C92C0A"/>
    <w:rsid w:val="00C92C10"/>
    <w:rsid w:val="00C92C52"/>
    <w:rsid w:val="00C92CB9"/>
    <w:rsid w:val="00C92CCA"/>
    <w:rsid w:val="00C92D10"/>
    <w:rsid w:val="00C92D4E"/>
    <w:rsid w:val="00C92D6A"/>
    <w:rsid w:val="00C92D7B"/>
    <w:rsid w:val="00C92E00"/>
    <w:rsid w:val="00C92E50"/>
    <w:rsid w:val="00C92E82"/>
    <w:rsid w:val="00C92EA2"/>
    <w:rsid w:val="00C92ECD"/>
    <w:rsid w:val="00C92EFF"/>
    <w:rsid w:val="00C92F29"/>
    <w:rsid w:val="00C92F6B"/>
    <w:rsid w:val="00C92FE9"/>
    <w:rsid w:val="00C92FF1"/>
    <w:rsid w:val="00C9304E"/>
    <w:rsid w:val="00C931DE"/>
    <w:rsid w:val="00C931E7"/>
    <w:rsid w:val="00C93210"/>
    <w:rsid w:val="00C9321D"/>
    <w:rsid w:val="00C932F1"/>
    <w:rsid w:val="00C9344C"/>
    <w:rsid w:val="00C934F0"/>
    <w:rsid w:val="00C93524"/>
    <w:rsid w:val="00C93538"/>
    <w:rsid w:val="00C93597"/>
    <w:rsid w:val="00C935B1"/>
    <w:rsid w:val="00C935CB"/>
    <w:rsid w:val="00C93665"/>
    <w:rsid w:val="00C936BE"/>
    <w:rsid w:val="00C936E1"/>
    <w:rsid w:val="00C936FA"/>
    <w:rsid w:val="00C93729"/>
    <w:rsid w:val="00C938A9"/>
    <w:rsid w:val="00C93914"/>
    <w:rsid w:val="00C9397F"/>
    <w:rsid w:val="00C939C9"/>
    <w:rsid w:val="00C93A09"/>
    <w:rsid w:val="00C93A15"/>
    <w:rsid w:val="00C93A1A"/>
    <w:rsid w:val="00C93A3F"/>
    <w:rsid w:val="00C93A4D"/>
    <w:rsid w:val="00C93A60"/>
    <w:rsid w:val="00C93A84"/>
    <w:rsid w:val="00C93B65"/>
    <w:rsid w:val="00C93B7F"/>
    <w:rsid w:val="00C93C0B"/>
    <w:rsid w:val="00C93C25"/>
    <w:rsid w:val="00C93C84"/>
    <w:rsid w:val="00C93D36"/>
    <w:rsid w:val="00C93D6C"/>
    <w:rsid w:val="00C93DD1"/>
    <w:rsid w:val="00C93E0D"/>
    <w:rsid w:val="00C93EFC"/>
    <w:rsid w:val="00C93F75"/>
    <w:rsid w:val="00C9400C"/>
    <w:rsid w:val="00C94037"/>
    <w:rsid w:val="00C94045"/>
    <w:rsid w:val="00C941BB"/>
    <w:rsid w:val="00C94247"/>
    <w:rsid w:val="00C942AA"/>
    <w:rsid w:val="00C942B0"/>
    <w:rsid w:val="00C9439F"/>
    <w:rsid w:val="00C943E1"/>
    <w:rsid w:val="00C94403"/>
    <w:rsid w:val="00C94419"/>
    <w:rsid w:val="00C945C5"/>
    <w:rsid w:val="00C945DE"/>
    <w:rsid w:val="00C945E5"/>
    <w:rsid w:val="00C9464B"/>
    <w:rsid w:val="00C9468C"/>
    <w:rsid w:val="00C946E6"/>
    <w:rsid w:val="00C946ED"/>
    <w:rsid w:val="00C94744"/>
    <w:rsid w:val="00C9477B"/>
    <w:rsid w:val="00C94780"/>
    <w:rsid w:val="00C947CB"/>
    <w:rsid w:val="00C94872"/>
    <w:rsid w:val="00C948C6"/>
    <w:rsid w:val="00C9493A"/>
    <w:rsid w:val="00C949AE"/>
    <w:rsid w:val="00C949B3"/>
    <w:rsid w:val="00C94A2C"/>
    <w:rsid w:val="00C94A4D"/>
    <w:rsid w:val="00C94A6D"/>
    <w:rsid w:val="00C94AC0"/>
    <w:rsid w:val="00C94ACB"/>
    <w:rsid w:val="00C94AD1"/>
    <w:rsid w:val="00C94B41"/>
    <w:rsid w:val="00C94B97"/>
    <w:rsid w:val="00C94BAD"/>
    <w:rsid w:val="00C94CE1"/>
    <w:rsid w:val="00C94E16"/>
    <w:rsid w:val="00C94E8E"/>
    <w:rsid w:val="00C94F11"/>
    <w:rsid w:val="00C94F82"/>
    <w:rsid w:val="00C94FB2"/>
    <w:rsid w:val="00C95102"/>
    <w:rsid w:val="00C95126"/>
    <w:rsid w:val="00C95245"/>
    <w:rsid w:val="00C95258"/>
    <w:rsid w:val="00C9526E"/>
    <w:rsid w:val="00C952E7"/>
    <w:rsid w:val="00C95390"/>
    <w:rsid w:val="00C953DA"/>
    <w:rsid w:val="00C95413"/>
    <w:rsid w:val="00C954CD"/>
    <w:rsid w:val="00C955DA"/>
    <w:rsid w:val="00C955DC"/>
    <w:rsid w:val="00C95653"/>
    <w:rsid w:val="00C956E4"/>
    <w:rsid w:val="00C9573A"/>
    <w:rsid w:val="00C95769"/>
    <w:rsid w:val="00C9578B"/>
    <w:rsid w:val="00C957CD"/>
    <w:rsid w:val="00C9581C"/>
    <w:rsid w:val="00C9583B"/>
    <w:rsid w:val="00C9583C"/>
    <w:rsid w:val="00C959F6"/>
    <w:rsid w:val="00C959F8"/>
    <w:rsid w:val="00C95A10"/>
    <w:rsid w:val="00C95A3E"/>
    <w:rsid w:val="00C95AFF"/>
    <w:rsid w:val="00C95B2C"/>
    <w:rsid w:val="00C95B58"/>
    <w:rsid w:val="00C95B80"/>
    <w:rsid w:val="00C95B81"/>
    <w:rsid w:val="00C95BD8"/>
    <w:rsid w:val="00C95C32"/>
    <w:rsid w:val="00C95D35"/>
    <w:rsid w:val="00C95EE8"/>
    <w:rsid w:val="00C95EFD"/>
    <w:rsid w:val="00C95F30"/>
    <w:rsid w:val="00C95FAC"/>
    <w:rsid w:val="00C95FB3"/>
    <w:rsid w:val="00C9603B"/>
    <w:rsid w:val="00C9620E"/>
    <w:rsid w:val="00C96254"/>
    <w:rsid w:val="00C9632F"/>
    <w:rsid w:val="00C963BF"/>
    <w:rsid w:val="00C963E0"/>
    <w:rsid w:val="00C963EA"/>
    <w:rsid w:val="00C9643E"/>
    <w:rsid w:val="00C96474"/>
    <w:rsid w:val="00C964CC"/>
    <w:rsid w:val="00C96536"/>
    <w:rsid w:val="00C9655C"/>
    <w:rsid w:val="00C9656C"/>
    <w:rsid w:val="00C96664"/>
    <w:rsid w:val="00C96688"/>
    <w:rsid w:val="00C966B2"/>
    <w:rsid w:val="00C96723"/>
    <w:rsid w:val="00C96732"/>
    <w:rsid w:val="00C9679A"/>
    <w:rsid w:val="00C967C9"/>
    <w:rsid w:val="00C967E6"/>
    <w:rsid w:val="00C96920"/>
    <w:rsid w:val="00C96AD0"/>
    <w:rsid w:val="00C96ADF"/>
    <w:rsid w:val="00C96AEE"/>
    <w:rsid w:val="00C96BC7"/>
    <w:rsid w:val="00C96C05"/>
    <w:rsid w:val="00C96C16"/>
    <w:rsid w:val="00C96D35"/>
    <w:rsid w:val="00C96D48"/>
    <w:rsid w:val="00C96D58"/>
    <w:rsid w:val="00C96D83"/>
    <w:rsid w:val="00C96E28"/>
    <w:rsid w:val="00C96E3E"/>
    <w:rsid w:val="00C96E55"/>
    <w:rsid w:val="00C96E7B"/>
    <w:rsid w:val="00C96F67"/>
    <w:rsid w:val="00C96FFD"/>
    <w:rsid w:val="00C97016"/>
    <w:rsid w:val="00C9718E"/>
    <w:rsid w:val="00C97191"/>
    <w:rsid w:val="00C971A4"/>
    <w:rsid w:val="00C971F1"/>
    <w:rsid w:val="00C97255"/>
    <w:rsid w:val="00C972AE"/>
    <w:rsid w:val="00C97314"/>
    <w:rsid w:val="00C97332"/>
    <w:rsid w:val="00C97379"/>
    <w:rsid w:val="00C973D0"/>
    <w:rsid w:val="00C97437"/>
    <w:rsid w:val="00C97445"/>
    <w:rsid w:val="00C97494"/>
    <w:rsid w:val="00C974CC"/>
    <w:rsid w:val="00C97585"/>
    <w:rsid w:val="00C975BC"/>
    <w:rsid w:val="00C975CA"/>
    <w:rsid w:val="00C9769D"/>
    <w:rsid w:val="00C976B2"/>
    <w:rsid w:val="00C97701"/>
    <w:rsid w:val="00C9773D"/>
    <w:rsid w:val="00C977D8"/>
    <w:rsid w:val="00C9786A"/>
    <w:rsid w:val="00C978C7"/>
    <w:rsid w:val="00C9792C"/>
    <w:rsid w:val="00C9793C"/>
    <w:rsid w:val="00C97981"/>
    <w:rsid w:val="00C979C7"/>
    <w:rsid w:val="00C979CA"/>
    <w:rsid w:val="00C97A8E"/>
    <w:rsid w:val="00C97B18"/>
    <w:rsid w:val="00C97B88"/>
    <w:rsid w:val="00C97BB6"/>
    <w:rsid w:val="00C97BE7"/>
    <w:rsid w:val="00C97DD6"/>
    <w:rsid w:val="00C97E5A"/>
    <w:rsid w:val="00C97E5F"/>
    <w:rsid w:val="00C97ECE"/>
    <w:rsid w:val="00C97F77"/>
    <w:rsid w:val="00CA006F"/>
    <w:rsid w:val="00CA007D"/>
    <w:rsid w:val="00CA00BD"/>
    <w:rsid w:val="00CA00C7"/>
    <w:rsid w:val="00CA0119"/>
    <w:rsid w:val="00CA0250"/>
    <w:rsid w:val="00CA02CA"/>
    <w:rsid w:val="00CA02FE"/>
    <w:rsid w:val="00CA0304"/>
    <w:rsid w:val="00CA03BC"/>
    <w:rsid w:val="00CA047C"/>
    <w:rsid w:val="00CA048B"/>
    <w:rsid w:val="00CA04D6"/>
    <w:rsid w:val="00CA0540"/>
    <w:rsid w:val="00CA0545"/>
    <w:rsid w:val="00CA058B"/>
    <w:rsid w:val="00CA0703"/>
    <w:rsid w:val="00CA0756"/>
    <w:rsid w:val="00CA0784"/>
    <w:rsid w:val="00CA07B8"/>
    <w:rsid w:val="00CA07FD"/>
    <w:rsid w:val="00CA0870"/>
    <w:rsid w:val="00CA08AB"/>
    <w:rsid w:val="00CA08D6"/>
    <w:rsid w:val="00CA08D7"/>
    <w:rsid w:val="00CA0970"/>
    <w:rsid w:val="00CA09F3"/>
    <w:rsid w:val="00CA0A2C"/>
    <w:rsid w:val="00CA0ACE"/>
    <w:rsid w:val="00CA0B47"/>
    <w:rsid w:val="00CA0B56"/>
    <w:rsid w:val="00CA0B62"/>
    <w:rsid w:val="00CA0C62"/>
    <w:rsid w:val="00CA0C6A"/>
    <w:rsid w:val="00CA0C6F"/>
    <w:rsid w:val="00CA0C9A"/>
    <w:rsid w:val="00CA0D34"/>
    <w:rsid w:val="00CA0D81"/>
    <w:rsid w:val="00CA0DB0"/>
    <w:rsid w:val="00CA0E61"/>
    <w:rsid w:val="00CA0E98"/>
    <w:rsid w:val="00CA0F04"/>
    <w:rsid w:val="00CA0F84"/>
    <w:rsid w:val="00CA0FE3"/>
    <w:rsid w:val="00CA0FEA"/>
    <w:rsid w:val="00CA1002"/>
    <w:rsid w:val="00CA1004"/>
    <w:rsid w:val="00CA105D"/>
    <w:rsid w:val="00CA10BD"/>
    <w:rsid w:val="00CA10EB"/>
    <w:rsid w:val="00CA1159"/>
    <w:rsid w:val="00CA115E"/>
    <w:rsid w:val="00CA1246"/>
    <w:rsid w:val="00CA1253"/>
    <w:rsid w:val="00CA1275"/>
    <w:rsid w:val="00CA13AA"/>
    <w:rsid w:val="00CA1402"/>
    <w:rsid w:val="00CA141E"/>
    <w:rsid w:val="00CA149E"/>
    <w:rsid w:val="00CA1567"/>
    <w:rsid w:val="00CA156C"/>
    <w:rsid w:val="00CA1592"/>
    <w:rsid w:val="00CA15B9"/>
    <w:rsid w:val="00CA1601"/>
    <w:rsid w:val="00CA1608"/>
    <w:rsid w:val="00CA1626"/>
    <w:rsid w:val="00CA1631"/>
    <w:rsid w:val="00CA1634"/>
    <w:rsid w:val="00CA1635"/>
    <w:rsid w:val="00CA1642"/>
    <w:rsid w:val="00CA1677"/>
    <w:rsid w:val="00CA1693"/>
    <w:rsid w:val="00CA16D4"/>
    <w:rsid w:val="00CA17E2"/>
    <w:rsid w:val="00CA185D"/>
    <w:rsid w:val="00CA1862"/>
    <w:rsid w:val="00CA1898"/>
    <w:rsid w:val="00CA1935"/>
    <w:rsid w:val="00CA1981"/>
    <w:rsid w:val="00CA19C6"/>
    <w:rsid w:val="00CA1A2D"/>
    <w:rsid w:val="00CA1A68"/>
    <w:rsid w:val="00CA1AB6"/>
    <w:rsid w:val="00CA1AE3"/>
    <w:rsid w:val="00CA1B36"/>
    <w:rsid w:val="00CA1B3B"/>
    <w:rsid w:val="00CA1B86"/>
    <w:rsid w:val="00CA1C0D"/>
    <w:rsid w:val="00CA1CA5"/>
    <w:rsid w:val="00CA1D5B"/>
    <w:rsid w:val="00CA1D97"/>
    <w:rsid w:val="00CA1DBA"/>
    <w:rsid w:val="00CA1E55"/>
    <w:rsid w:val="00CA1E5D"/>
    <w:rsid w:val="00CA1E78"/>
    <w:rsid w:val="00CA1E7E"/>
    <w:rsid w:val="00CA1F98"/>
    <w:rsid w:val="00CA1FDD"/>
    <w:rsid w:val="00CA2040"/>
    <w:rsid w:val="00CA2096"/>
    <w:rsid w:val="00CA2138"/>
    <w:rsid w:val="00CA2164"/>
    <w:rsid w:val="00CA223D"/>
    <w:rsid w:val="00CA2256"/>
    <w:rsid w:val="00CA22A6"/>
    <w:rsid w:val="00CA2335"/>
    <w:rsid w:val="00CA2349"/>
    <w:rsid w:val="00CA234F"/>
    <w:rsid w:val="00CA23DF"/>
    <w:rsid w:val="00CA2407"/>
    <w:rsid w:val="00CA2432"/>
    <w:rsid w:val="00CA2465"/>
    <w:rsid w:val="00CA2496"/>
    <w:rsid w:val="00CA251E"/>
    <w:rsid w:val="00CA263B"/>
    <w:rsid w:val="00CA269C"/>
    <w:rsid w:val="00CA26C0"/>
    <w:rsid w:val="00CA2761"/>
    <w:rsid w:val="00CA27C7"/>
    <w:rsid w:val="00CA2873"/>
    <w:rsid w:val="00CA28B8"/>
    <w:rsid w:val="00CA28D5"/>
    <w:rsid w:val="00CA2939"/>
    <w:rsid w:val="00CA2944"/>
    <w:rsid w:val="00CA29EE"/>
    <w:rsid w:val="00CA2A1B"/>
    <w:rsid w:val="00CA2A7F"/>
    <w:rsid w:val="00CA2B09"/>
    <w:rsid w:val="00CA2B0F"/>
    <w:rsid w:val="00CA2B86"/>
    <w:rsid w:val="00CA2C58"/>
    <w:rsid w:val="00CA2C6F"/>
    <w:rsid w:val="00CA2C8C"/>
    <w:rsid w:val="00CA2D3B"/>
    <w:rsid w:val="00CA2E84"/>
    <w:rsid w:val="00CA2EBE"/>
    <w:rsid w:val="00CA2FE0"/>
    <w:rsid w:val="00CA301D"/>
    <w:rsid w:val="00CA3067"/>
    <w:rsid w:val="00CA30C1"/>
    <w:rsid w:val="00CA3169"/>
    <w:rsid w:val="00CA31D2"/>
    <w:rsid w:val="00CA31EC"/>
    <w:rsid w:val="00CA3221"/>
    <w:rsid w:val="00CA322F"/>
    <w:rsid w:val="00CA324F"/>
    <w:rsid w:val="00CA335D"/>
    <w:rsid w:val="00CA33A0"/>
    <w:rsid w:val="00CA3497"/>
    <w:rsid w:val="00CA34AE"/>
    <w:rsid w:val="00CA34F7"/>
    <w:rsid w:val="00CA3521"/>
    <w:rsid w:val="00CA35A6"/>
    <w:rsid w:val="00CA36FF"/>
    <w:rsid w:val="00CA3715"/>
    <w:rsid w:val="00CA37D2"/>
    <w:rsid w:val="00CA3803"/>
    <w:rsid w:val="00CA3812"/>
    <w:rsid w:val="00CA3815"/>
    <w:rsid w:val="00CA3876"/>
    <w:rsid w:val="00CA389A"/>
    <w:rsid w:val="00CA38B3"/>
    <w:rsid w:val="00CA391A"/>
    <w:rsid w:val="00CA394C"/>
    <w:rsid w:val="00CA3965"/>
    <w:rsid w:val="00CA39AB"/>
    <w:rsid w:val="00CA39E4"/>
    <w:rsid w:val="00CA3A05"/>
    <w:rsid w:val="00CA3ABB"/>
    <w:rsid w:val="00CA3ADC"/>
    <w:rsid w:val="00CA3B0B"/>
    <w:rsid w:val="00CA3CB2"/>
    <w:rsid w:val="00CA3CD4"/>
    <w:rsid w:val="00CA3CEF"/>
    <w:rsid w:val="00CA3CF8"/>
    <w:rsid w:val="00CA3D5B"/>
    <w:rsid w:val="00CA3D60"/>
    <w:rsid w:val="00CA3DB0"/>
    <w:rsid w:val="00CA3DBB"/>
    <w:rsid w:val="00CA3DD7"/>
    <w:rsid w:val="00CA3DF5"/>
    <w:rsid w:val="00CA3EB7"/>
    <w:rsid w:val="00CA3EE9"/>
    <w:rsid w:val="00CA3F52"/>
    <w:rsid w:val="00CA3F77"/>
    <w:rsid w:val="00CA3FEA"/>
    <w:rsid w:val="00CA3FEF"/>
    <w:rsid w:val="00CA40F6"/>
    <w:rsid w:val="00CA4127"/>
    <w:rsid w:val="00CA4162"/>
    <w:rsid w:val="00CA4205"/>
    <w:rsid w:val="00CA420A"/>
    <w:rsid w:val="00CA422F"/>
    <w:rsid w:val="00CA426C"/>
    <w:rsid w:val="00CA4282"/>
    <w:rsid w:val="00CA42F6"/>
    <w:rsid w:val="00CA42FA"/>
    <w:rsid w:val="00CA4381"/>
    <w:rsid w:val="00CA43CE"/>
    <w:rsid w:val="00CA43E9"/>
    <w:rsid w:val="00CA4420"/>
    <w:rsid w:val="00CA452E"/>
    <w:rsid w:val="00CA456B"/>
    <w:rsid w:val="00CA456E"/>
    <w:rsid w:val="00CA4628"/>
    <w:rsid w:val="00CA4665"/>
    <w:rsid w:val="00CA46CE"/>
    <w:rsid w:val="00CA473E"/>
    <w:rsid w:val="00CA47A9"/>
    <w:rsid w:val="00CA482B"/>
    <w:rsid w:val="00CA4869"/>
    <w:rsid w:val="00CA487F"/>
    <w:rsid w:val="00CA48CF"/>
    <w:rsid w:val="00CA4962"/>
    <w:rsid w:val="00CA4A5A"/>
    <w:rsid w:val="00CA4AE1"/>
    <w:rsid w:val="00CA4AED"/>
    <w:rsid w:val="00CA4B26"/>
    <w:rsid w:val="00CA4B35"/>
    <w:rsid w:val="00CA4B61"/>
    <w:rsid w:val="00CA4B7F"/>
    <w:rsid w:val="00CA4C04"/>
    <w:rsid w:val="00CA4C3A"/>
    <w:rsid w:val="00CA4C65"/>
    <w:rsid w:val="00CA4D07"/>
    <w:rsid w:val="00CA4DAF"/>
    <w:rsid w:val="00CA4EFE"/>
    <w:rsid w:val="00CA4F31"/>
    <w:rsid w:val="00CA4FBC"/>
    <w:rsid w:val="00CA5063"/>
    <w:rsid w:val="00CA5098"/>
    <w:rsid w:val="00CA509D"/>
    <w:rsid w:val="00CA5147"/>
    <w:rsid w:val="00CA517A"/>
    <w:rsid w:val="00CA520E"/>
    <w:rsid w:val="00CA5570"/>
    <w:rsid w:val="00CA55DB"/>
    <w:rsid w:val="00CA5627"/>
    <w:rsid w:val="00CA571A"/>
    <w:rsid w:val="00CA571B"/>
    <w:rsid w:val="00CA5722"/>
    <w:rsid w:val="00CA578C"/>
    <w:rsid w:val="00CA581B"/>
    <w:rsid w:val="00CA5874"/>
    <w:rsid w:val="00CA58B5"/>
    <w:rsid w:val="00CA58CC"/>
    <w:rsid w:val="00CA5994"/>
    <w:rsid w:val="00CA59BA"/>
    <w:rsid w:val="00CA5B66"/>
    <w:rsid w:val="00CA5BC2"/>
    <w:rsid w:val="00CA5BD8"/>
    <w:rsid w:val="00CA5C2E"/>
    <w:rsid w:val="00CA5C4A"/>
    <w:rsid w:val="00CA5C9A"/>
    <w:rsid w:val="00CA5CF0"/>
    <w:rsid w:val="00CA5CFA"/>
    <w:rsid w:val="00CA5D7A"/>
    <w:rsid w:val="00CA5D9B"/>
    <w:rsid w:val="00CA5DB0"/>
    <w:rsid w:val="00CA5E1F"/>
    <w:rsid w:val="00CA5E29"/>
    <w:rsid w:val="00CA5E4E"/>
    <w:rsid w:val="00CA5E82"/>
    <w:rsid w:val="00CA5EAD"/>
    <w:rsid w:val="00CA5F04"/>
    <w:rsid w:val="00CA5F6F"/>
    <w:rsid w:val="00CA5FEC"/>
    <w:rsid w:val="00CA6042"/>
    <w:rsid w:val="00CA6063"/>
    <w:rsid w:val="00CA6180"/>
    <w:rsid w:val="00CA62E9"/>
    <w:rsid w:val="00CA633D"/>
    <w:rsid w:val="00CA633F"/>
    <w:rsid w:val="00CA6391"/>
    <w:rsid w:val="00CA6396"/>
    <w:rsid w:val="00CA63A0"/>
    <w:rsid w:val="00CA63D2"/>
    <w:rsid w:val="00CA64F1"/>
    <w:rsid w:val="00CA6534"/>
    <w:rsid w:val="00CA654B"/>
    <w:rsid w:val="00CA661C"/>
    <w:rsid w:val="00CA661E"/>
    <w:rsid w:val="00CA6637"/>
    <w:rsid w:val="00CA66AB"/>
    <w:rsid w:val="00CA66B5"/>
    <w:rsid w:val="00CA6735"/>
    <w:rsid w:val="00CA675B"/>
    <w:rsid w:val="00CA6764"/>
    <w:rsid w:val="00CA6783"/>
    <w:rsid w:val="00CA67D6"/>
    <w:rsid w:val="00CA67F1"/>
    <w:rsid w:val="00CA6805"/>
    <w:rsid w:val="00CA681E"/>
    <w:rsid w:val="00CA6831"/>
    <w:rsid w:val="00CA688F"/>
    <w:rsid w:val="00CA68C9"/>
    <w:rsid w:val="00CA68F7"/>
    <w:rsid w:val="00CA6928"/>
    <w:rsid w:val="00CA6969"/>
    <w:rsid w:val="00CA69C7"/>
    <w:rsid w:val="00CA69CB"/>
    <w:rsid w:val="00CA6A6E"/>
    <w:rsid w:val="00CA6A83"/>
    <w:rsid w:val="00CA6ACC"/>
    <w:rsid w:val="00CA6AEA"/>
    <w:rsid w:val="00CA6BB1"/>
    <w:rsid w:val="00CA6C77"/>
    <w:rsid w:val="00CA6C85"/>
    <w:rsid w:val="00CA6CDC"/>
    <w:rsid w:val="00CA6D11"/>
    <w:rsid w:val="00CA6D90"/>
    <w:rsid w:val="00CA6DE0"/>
    <w:rsid w:val="00CA6E22"/>
    <w:rsid w:val="00CA6EC0"/>
    <w:rsid w:val="00CA6F37"/>
    <w:rsid w:val="00CA7023"/>
    <w:rsid w:val="00CA706C"/>
    <w:rsid w:val="00CA7133"/>
    <w:rsid w:val="00CA7183"/>
    <w:rsid w:val="00CA7198"/>
    <w:rsid w:val="00CA7226"/>
    <w:rsid w:val="00CA7344"/>
    <w:rsid w:val="00CA736B"/>
    <w:rsid w:val="00CA74D0"/>
    <w:rsid w:val="00CA74FF"/>
    <w:rsid w:val="00CA75E2"/>
    <w:rsid w:val="00CA7660"/>
    <w:rsid w:val="00CA7686"/>
    <w:rsid w:val="00CA76D3"/>
    <w:rsid w:val="00CA7721"/>
    <w:rsid w:val="00CA775E"/>
    <w:rsid w:val="00CA7784"/>
    <w:rsid w:val="00CA77E8"/>
    <w:rsid w:val="00CA7819"/>
    <w:rsid w:val="00CA78AF"/>
    <w:rsid w:val="00CA79FA"/>
    <w:rsid w:val="00CA7A16"/>
    <w:rsid w:val="00CA7A2B"/>
    <w:rsid w:val="00CA7A35"/>
    <w:rsid w:val="00CA7ABC"/>
    <w:rsid w:val="00CA7AEF"/>
    <w:rsid w:val="00CA7AF1"/>
    <w:rsid w:val="00CA7B7C"/>
    <w:rsid w:val="00CA7B8A"/>
    <w:rsid w:val="00CA7B97"/>
    <w:rsid w:val="00CA7BF5"/>
    <w:rsid w:val="00CA7C9E"/>
    <w:rsid w:val="00CA7CF9"/>
    <w:rsid w:val="00CA7D06"/>
    <w:rsid w:val="00CA7D4D"/>
    <w:rsid w:val="00CA7DD7"/>
    <w:rsid w:val="00CA7E9F"/>
    <w:rsid w:val="00CA7EB3"/>
    <w:rsid w:val="00CA7EC8"/>
    <w:rsid w:val="00CA7ECB"/>
    <w:rsid w:val="00CA7EDD"/>
    <w:rsid w:val="00CA7FF9"/>
    <w:rsid w:val="00CB0049"/>
    <w:rsid w:val="00CB007D"/>
    <w:rsid w:val="00CB00AD"/>
    <w:rsid w:val="00CB00CD"/>
    <w:rsid w:val="00CB0121"/>
    <w:rsid w:val="00CB012D"/>
    <w:rsid w:val="00CB0154"/>
    <w:rsid w:val="00CB0155"/>
    <w:rsid w:val="00CB015E"/>
    <w:rsid w:val="00CB023F"/>
    <w:rsid w:val="00CB0269"/>
    <w:rsid w:val="00CB028E"/>
    <w:rsid w:val="00CB02C9"/>
    <w:rsid w:val="00CB0354"/>
    <w:rsid w:val="00CB0399"/>
    <w:rsid w:val="00CB03CF"/>
    <w:rsid w:val="00CB049D"/>
    <w:rsid w:val="00CB0508"/>
    <w:rsid w:val="00CB053A"/>
    <w:rsid w:val="00CB053F"/>
    <w:rsid w:val="00CB05D3"/>
    <w:rsid w:val="00CB05E9"/>
    <w:rsid w:val="00CB066D"/>
    <w:rsid w:val="00CB0679"/>
    <w:rsid w:val="00CB068E"/>
    <w:rsid w:val="00CB06AF"/>
    <w:rsid w:val="00CB0771"/>
    <w:rsid w:val="00CB07AA"/>
    <w:rsid w:val="00CB07B1"/>
    <w:rsid w:val="00CB07CF"/>
    <w:rsid w:val="00CB087E"/>
    <w:rsid w:val="00CB09A3"/>
    <w:rsid w:val="00CB09AE"/>
    <w:rsid w:val="00CB09C6"/>
    <w:rsid w:val="00CB0A53"/>
    <w:rsid w:val="00CB0A91"/>
    <w:rsid w:val="00CB0B57"/>
    <w:rsid w:val="00CB0B66"/>
    <w:rsid w:val="00CB0BB9"/>
    <w:rsid w:val="00CB0BCF"/>
    <w:rsid w:val="00CB0BE2"/>
    <w:rsid w:val="00CB0C31"/>
    <w:rsid w:val="00CB0C7D"/>
    <w:rsid w:val="00CB0CD2"/>
    <w:rsid w:val="00CB0D2C"/>
    <w:rsid w:val="00CB0D6B"/>
    <w:rsid w:val="00CB0DB5"/>
    <w:rsid w:val="00CB0E1F"/>
    <w:rsid w:val="00CB0E30"/>
    <w:rsid w:val="00CB0E61"/>
    <w:rsid w:val="00CB0F66"/>
    <w:rsid w:val="00CB0F8B"/>
    <w:rsid w:val="00CB0F97"/>
    <w:rsid w:val="00CB0FAF"/>
    <w:rsid w:val="00CB100C"/>
    <w:rsid w:val="00CB1037"/>
    <w:rsid w:val="00CB1095"/>
    <w:rsid w:val="00CB10D7"/>
    <w:rsid w:val="00CB11EE"/>
    <w:rsid w:val="00CB120D"/>
    <w:rsid w:val="00CB13CA"/>
    <w:rsid w:val="00CB143B"/>
    <w:rsid w:val="00CB1484"/>
    <w:rsid w:val="00CB14B4"/>
    <w:rsid w:val="00CB14E5"/>
    <w:rsid w:val="00CB1576"/>
    <w:rsid w:val="00CB15D7"/>
    <w:rsid w:val="00CB16AD"/>
    <w:rsid w:val="00CB16DD"/>
    <w:rsid w:val="00CB16ED"/>
    <w:rsid w:val="00CB16FA"/>
    <w:rsid w:val="00CB1723"/>
    <w:rsid w:val="00CB1753"/>
    <w:rsid w:val="00CB1783"/>
    <w:rsid w:val="00CB17CD"/>
    <w:rsid w:val="00CB180A"/>
    <w:rsid w:val="00CB184E"/>
    <w:rsid w:val="00CB1887"/>
    <w:rsid w:val="00CB18C8"/>
    <w:rsid w:val="00CB18DA"/>
    <w:rsid w:val="00CB18DB"/>
    <w:rsid w:val="00CB18F6"/>
    <w:rsid w:val="00CB1917"/>
    <w:rsid w:val="00CB191B"/>
    <w:rsid w:val="00CB19F8"/>
    <w:rsid w:val="00CB1A3C"/>
    <w:rsid w:val="00CB1A6A"/>
    <w:rsid w:val="00CB1AB9"/>
    <w:rsid w:val="00CB1B16"/>
    <w:rsid w:val="00CB1C1A"/>
    <w:rsid w:val="00CB1CBA"/>
    <w:rsid w:val="00CB1CFD"/>
    <w:rsid w:val="00CB1D09"/>
    <w:rsid w:val="00CB1D50"/>
    <w:rsid w:val="00CB1D51"/>
    <w:rsid w:val="00CB1D9E"/>
    <w:rsid w:val="00CB1DB1"/>
    <w:rsid w:val="00CB1DCF"/>
    <w:rsid w:val="00CB1DE7"/>
    <w:rsid w:val="00CB1E06"/>
    <w:rsid w:val="00CB1E6F"/>
    <w:rsid w:val="00CB1E78"/>
    <w:rsid w:val="00CB1E94"/>
    <w:rsid w:val="00CB1F05"/>
    <w:rsid w:val="00CB1F38"/>
    <w:rsid w:val="00CB1F3A"/>
    <w:rsid w:val="00CB1F87"/>
    <w:rsid w:val="00CB1FDA"/>
    <w:rsid w:val="00CB1FE3"/>
    <w:rsid w:val="00CB202E"/>
    <w:rsid w:val="00CB2106"/>
    <w:rsid w:val="00CB2123"/>
    <w:rsid w:val="00CB218E"/>
    <w:rsid w:val="00CB224B"/>
    <w:rsid w:val="00CB22B5"/>
    <w:rsid w:val="00CB22D7"/>
    <w:rsid w:val="00CB2360"/>
    <w:rsid w:val="00CB237C"/>
    <w:rsid w:val="00CB2404"/>
    <w:rsid w:val="00CB241B"/>
    <w:rsid w:val="00CB2463"/>
    <w:rsid w:val="00CB2479"/>
    <w:rsid w:val="00CB255E"/>
    <w:rsid w:val="00CB2566"/>
    <w:rsid w:val="00CB25A5"/>
    <w:rsid w:val="00CB25F3"/>
    <w:rsid w:val="00CB25FE"/>
    <w:rsid w:val="00CB26AE"/>
    <w:rsid w:val="00CB2777"/>
    <w:rsid w:val="00CB279B"/>
    <w:rsid w:val="00CB27AD"/>
    <w:rsid w:val="00CB27CC"/>
    <w:rsid w:val="00CB27D3"/>
    <w:rsid w:val="00CB2897"/>
    <w:rsid w:val="00CB28CE"/>
    <w:rsid w:val="00CB2905"/>
    <w:rsid w:val="00CB292E"/>
    <w:rsid w:val="00CB299A"/>
    <w:rsid w:val="00CB29C4"/>
    <w:rsid w:val="00CB29CB"/>
    <w:rsid w:val="00CB2A69"/>
    <w:rsid w:val="00CB2ABD"/>
    <w:rsid w:val="00CB2B52"/>
    <w:rsid w:val="00CB2BE4"/>
    <w:rsid w:val="00CB2C1E"/>
    <w:rsid w:val="00CB2C25"/>
    <w:rsid w:val="00CB2C76"/>
    <w:rsid w:val="00CB2D74"/>
    <w:rsid w:val="00CB2D80"/>
    <w:rsid w:val="00CB2DA2"/>
    <w:rsid w:val="00CB2DD0"/>
    <w:rsid w:val="00CB2E10"/>
    <w:rsid w:val="00CB2F79"/>
    <w:rsid w:val="00CB300A"/>
    <w:rsid w:val="00CB3038"/>
    <w:rsid w:val="00CB30F5"/>
    <w:rsid w:val="00CB311D"/>
    <w:rsid w:val="00CB31AA"/>
    <w:rsid w:val="00CB31B9"/>
    <w:rsid w:val="00CB31C7"/>
    <w:rsid w:val="00CB31F1"/>
    <w:rsid w:val="00CB320D"/>
    <w:rsid w:val="00CB3215"/>
    <w:rsid w:val="00CB322E"/>
    <w:rsid w:val="00CB3248"/>
    <w:rsid w:val="00CB328F"/>
    <w:rsid w:val="00CB32E9"/>
    <w:rsid w:val="00CB3317"/>
    <w:rsid w:val="00CB3363"/>
    <w:rsid w:val="00CB337F"/>
    <w:rsid w:val="00CB3413"/>
    <w:rsid w:val="00CB351D"/>
    <w:rsid w:val="00CB3597"/>
    <w:rsid w:val="00CB3630"/>
    <w:rsid w:val="00CB367E"/>
    <w:rsid w:val="00CB36AC"/>
    <w:rsid w:val="00CB3792"/>
    <w:rsid w:val="00CB3813"/>
    <w:rsid w:val="00CB38B2"/>
    <w:rsid w:val="00CB39C3"/>
    <w:rsid w:val="00CB3A49"/>
    <w:rsid w:val="00CB3A4D"/>
    <w:rsid w:val="00CB3AA9"/>
    <w:rsid w:val="00CB3C65"/>
    <w:rsid w:val="00CB3CEE"/>
    <w:rsid w:val="00CB3E4F"/>
    <w:rsid w:val="00CB3ED6"/>
    <w:rsid w:val="00CB3F2E"/>
    <w:rsid w:val="00CB3F3F"/>
    <w:rsid w:val="00CB3F69"/>
    <w:rsid w:val="00CB3F78"/>
    <w:rsid w:val="00CB3FC8"/>
    <w:rsid w:val="00CB3FD8"/>
    <w:rsid w:val="00CB4135"/>
    <w:rsid w:val="00CB4137"/>
    <w:rsid w:val="00CB41A5"/>
    <w:rsid w:val="00CB4274"/>
    <w:rsid w:val="00CB430F"/>
    <w:rsid w:val="00CB4357"/>
    <w:rsid w:val="00CB4429"/>
    <w:rsid w:val="00CB4476"/>
    <w:rsid w:val="00CB44D2"/>
    <w:rsid w:val="00CB44DB"/>
    <w:rsid w:val="00CB4507"/>
    <w:rsid w:val="00CB4533"/>
    <w:rsid w:val="00CB4547"/>
    <w:rsid w:val="00CB45BC"/>
    <w:rsid w:val="00CB45CD"/>
    <w:rsid w:val="00CB45E8"/>
    <w:rsid w:val="00CB46B0"/>
    <w:rsid w:val="00CB46D4"/>
    <w:rsid w:val="00CB46E5"/>
    <w:rsid w:val="00CB472E"/>
    <w:rsid w:val="00CB478C"/>
    <w:rsid w:val="00CB478F"/>
    <w:rsid w:val="00CB47E5"/>
    <w:rsid w:val="00CB47F4"/>
    <w:rsid w:val="00CB4917"/>
    <w:rsid w:val="00CB49C2"/>
    <w:rsid w:val="00CB4A0C"/>
    <w:rsid w:val="00CB4A1B"/>
    <w:rsid w:val="00CB4A8D"/>
    <w:rsid w:val="00CB4A8E"/>
    <w:rsid w:val="00CB4B13"/>
    <w:rsid w:val="00CB4B40"/>
    <w:rsid w:val="00CB4B85"/>
    <w:rsid w:val="00CB4C74"/>
    <w:rsid w:val="00CB4C95"/>
    <w:rsid w:val="00CB4CB5"/>
    <w:rsid w:val="00CB4CBF"/>
    <w:rsid w:val="00CB4D04"/>
    <w:rsid w:val="00CB4D9D"/>
    <w:rsid w:val="00CB4E18"/>
    <w:rsid w:val="00CB4E44"/>
    <w:rsid w:val="00CB4EA4"/>
    <w:rsid w:val="00CB4EBD"/>
    <w:rsid w:val="00CB4EEB"/>
    <w:rsid w:val="00CB5015"/>
    <w:rsid w:val="00CB5057"/>
    <w:rsid w:val="00CB50E0"/>
    <w:rsid w:val="00CB5120"/>
    <w:rsid w:val="00CB5132"/>
    <w:rsid w:val="00CB51BE"/>
    <w:rsid w:val="00CB5207"/>
    <w:rsid w:val="00CB5255"/>
    <w:rsid w:val="00CB52BF"/>
    <w:rsid w:val="00CB5358"/>
    <w:rsid w:val="00CB53AB"/>
    <w:rsid w:val="00CB5439"/>
    <w:rsid w:val="00CB54D9"/>
    <w:rsid w:val="00CB551E"/>
    <w:rsid w:val="00CB5524"/>
    <w:rsid w:val="00CB5597"/>
    <w:rsid w:val="00CB561E"/>
    <w:rsid w:val="00CB565F"/>
    <w:rsid w:val="00CB56DB"/>
    <w:rsid w:val="00CB5704"/>
    <w:rsid w:val="00CB5721"/>
    <w:rsid w:val="00CB578A"/>
    <w:rsid w:val="00CB5808"/>
    <w:rsid w:val="00CB5817"/>
    <w:rsid w:val="00CB5832"/>
    <w:rsid w:val="00CB587D"/>
    <w:rsid w:val="00CB58FB"/>
    <w:rsid w:val="00CB590D"/>
    <w:rsid w:val="00CB59B9"/>
    <w:rsid w:val="00CB5A32"/>
    <w:rsid w:val="00CB5A9F"/>
    <w:rsid w:val="00CB5AB6"/>
    <w:rsid w:val="00CB5AD4"/>
    <w:rsid w:val="00CB5AD9"/>
    <w:rsid w:val="00CB5AF8"/>
    <w:rsid w:val="00CB5BC2"/>
    <w:rsid w:val="00CB5C10"/>
    <w:rsid w:val="00CB5C92"/>
    <w:rsid w:val="00CB5DB1"/>
    <w:rsid w:val="00CB5DB7"/>
    <w:rsid w:val="00CB5DC9"/>
    <w:rsid w:val="00CB5E1D"/>
    <w:rsid w:val="00CB5EC1"/>
    <w:rsid w:val="00CB5EC3"/>
    <w:rsid w:val="00CB5EE5"/>
    <w:rsid w:val="00CB5F18"/>
    <w:rsid w:val="00CB5F3B"/>
    <w:rsid w:val="00CB5F5B"/>
    <w:rsid w:val="00CB5FB9"/>
    <w:rsid w:val="00CB5FC7"/>
    <w:rsid w:val="00CB6002"/>
    <w:rsid w:val="00CB603B"/>
    <w:rsid w:val="00CB610B"/>
    <w:rsid w:val="00CB61FD"/>
    <w:rsid w:val="00CB624E"/>
    <w:rsid w:val="00CB6266"/>
    <w:rsid w:val="00CB626A"/>
    <w:rsid w:val="00CB6394"/>
    <w:rsid w:val="00CB63E0"/>
    <w:rsid w:val="00CB6428"/>
    <w:rsid w:val="00CB645F"/>
    <w:rsid w:val="00CB6480"/>
    <w:rsid w:val="00CB6484"/>
    <w:rsid w:val="00CB64E4"/>
    <w:rsid w:val="00CB6549"/>
    <w:rsid w:val="00CB6559"/>
    <w:rsid w:val="00CB658A"/>
    <w:rsid w:val="00CB6594"/>
    <w:rsid w:val="00CB6618"/>
    <w:rsid w:val="00CB6670"/>
    <w:rsid w:val="00CB669B"/>
    <w:rsid w:val="00CB672F"/>
    <w:rsid w:val="00CB6780"/>
    <w:rsid w:val="00CB6785"/>
    <w:rsid w:val="00CB6887"/>
    <w:rsid w:val="00CB68FC"/>
    <w:rsid w:val="00CB6916"/>
    <w:rsid w:val="00CB6989"/>
    <w:rsid w:val="00CB69E7"/>
    <w:rsid w:val="00CB69FD"/>
    <w:rsid w:val="00CB6A4B"/>
    <w:rsid w:val="00CB6AA1"/>
    <w:rsid w:val="00CB6ADF"/>
    <w:rsid w:val="00CB6B70"/>
    <w:rsid w:val="00CB6C26"/>
    <w:rsid w:val="00CB6C2C"/>
    <w:rsid w:val="00CB6CCA"/>
    <w:rsid w:val="00CB6CD5"/>
    <w:rsid w:val="00CB6CEE"/>
    <w:rsid w:val="00CB6D27"/>
    <w:rsid w:val="00CB6D44"/>
    <w:rsid w:val="00CB6D63"/>
    <w:rsid w:val="00CB6D89"/>
    <w:rsid w:val="00CB6E3D"/>
    <w:rsid w:val="00CB6EF3"/>
    <w:rsid w:val="00CB6EF6"/>
    <w:rsid w:val="00CB6F25"/>
    <w:rsid w:val="00CB6F46"/>
    <w:rsid w:val="00CB6FA9"/>
    <w:rsid w:val="00CB6FBC"/>
    <w:rsid w:val="00CB6FFC"/>
    <w:rsid w:val="00CB7036"/>
    <w:rsid w:val="00CB70E4"/>
    <w:rsid w:val="00CB714F"/>
    <w:rsid w:val="00CB719F"/>
    <w:rsid w:val="00CB735D"/>
    <w:rsid w:val="00CB7366"/>
    <w:rsid w:val="00CB737F"/>
    <w:rsid w:val="00CB73E6"/>
    <w:rsid w:val="00CB7540"/>
    <w:rsid w:val="00CB7584"/>
    <w:rsid w:val="00CB7592"/>
    <w:rsid w:val="00CB7648"/>
    <w:rsid w:val="00CB766B"/>
    <w:rsid w:val="00CB7684"/>
    <w:rsid w:val="00CB7688"/>
    <w:rsid w:val="00CB7696"/>
    <w:rsid w:val="00CB76DC"/>
    <w:rsid w:val="00CB77C7"/>
    <w:rsid w:val="00CB78D2"/>
    <w:rsid w:val="00CB7929"/>
    <w:rsid w:val="00CB79E0"/>
    <w:rsid w:val="00CB7A49"/>
    <w:rsid w:val="00CB7A7C"/>
    <w:rsid w:val="00CB7A9D"/>
    <w:rsid w:val="00CB7AC9"/>
    <w:rsid w:val="00CB7B38"/>
    <w:rsid w:val="00CB7B89"/>
    <w:rsid w:val="00CB7BE0"/>
    <w:rsid w:val="00CB7C11"/>
    <w:rsid w:val="00CB7CB5"/>
    <w:rsid w:val="00CB7D4F"/>
    <w:rsid w:val="00CB7D6A"/>
    <w:rsid w:val="00CB7D6B"/>
    <w:rsid w:val="00CB7D87"/>
    <w:rsid w:val="00CB7D8A"/>
    <w:rsid w:val="00CB7D92"/>
    <w:rsid w:val="00CB7DC3"/>
    <w:rsid w:val="00CB7DF6"/>
    <w:rsid w:val="00CB7E65"/>
    <w:rsid w:val="00CB7E7A"/>
    <w:rsid w:val="00CB7EA3"/>
    <w:rsid w:val="00CB7EBA"/>
    <w:rsid w:val="00CB7EC5"/>
    <w:rsid w:val="00CB7F22"/>
    <w:rsid w:val="00CB7FA5"/>
    <w:rsid w:val="00CC007F"/>
    <w:rsid w:val="00CC00A3"/>
    <w:rsid w:val="00CC00BA"/>
    <w:rsid w:val="00CC010F"/>
    <w:rsid w:val="00CC01BE"/>
    <w:rsid w:val="00CC01EC"/>
    <w:rsid w:val="00CC01F9"/>
    <w:rsid w:val="00CC0234"/>
    <w:rsid w:val="00CC02CE"/>
    <w:rsid w:val="00CC02FB"/>
    <w:rsid w:val="00CC030D"/>
    <w:rsid w:val="00CC0310"/>
    <w:rsid w:val="00CC03D2"/>
    <w:rsid w:val="00CC03DB"/>
    <w:rsid w:val="00CC0410"/>
    <w:rsid w:val="00CC0476"/>
    <w:rsid w:val="00CC04EC"/>
    <w:rsid w:val="00CC0513"/>
    <w:rsid w:val="00CC051C"/>
    <w:rsid w:val="00CC0558"/>
    <w:rsid w:val="00CC056C"/>
    <w:rsid w:val="00CC0590"/>
    <w:rsid w:val="00CC05E4"/>
    <w:rsid w:val="00CC0660"/>
    <w:rsid w:val="00CC0697"/>
    <w:rsid w:val="00CC06E5"/>
    <w:rsid w:val="00CC0783"/>
    <w:rsid w:val="00CC07FC"/>
    <w:rsid w:val="00CC08B0"/>
    <w:rsid w:val="00CC098E"/>
    <w:rsid w:val="00CC09D7"/>
    <w:rsid w:val="00CC0A20"/>
    <w:rsid w:val="00CC0B68"/>
    <w:rsid w:val="00CC0BBD"/>
    <w:rsid w:val="00CC0C3B"/>
    <w:rsid w:val="00CC0C88"/>
    <w:rsid w:val="00CC0DBD"/>
    <w:rsid w:val="00CC0E03"/>
    <w:rsid w:val="00CC0E25"/>
    <w:rsid w:val="00CC0E54"/>
    <w:rsid w:val="00CC0EC2"/>
    <w:rsid w:val="00CC0ECF"/>
    <w:rsid w:val="00CC0F28"/>
    <w:rsid w:val="00CC0F54"/>
    <w:rsid w:val="00CC0F94"/>
    <w:rsid w:val="00CC1085"/>
    <w:rsid w:val="00CC10E5"/>
    <w:rsid w:val="00CC1115"/>
    <w:rsid w:val="00CC11D8"/>
    <w:rsid w:val="00CC123B"/>
    <w:rsid w:val="00CC12AC"/>
    <w:rsid w:val="00CC1309"/>
    <w:rsid w:val="00CC132F"/>
    <w:rsid w:val="00CC1385"/>
    <w:rsid w:val="00CC1417"/>
    <w:rsid w:val="00CC1430"/>
    <w:rsid w:val="00CC143A"/>
    <w:rsid w:val="00CC14B5"/>
    <w:rsid w:val="00CC14E0"/>
    <w:rsid w:val="00CC1550"/>
    <w:rsid w:val="00CC1638"/>
    <w:rsid w:val="00CC168C"/>
    <w:rsid w:val="00CC1753"/>
    <w:rsid w:val="00CC17CA"/>
    <w:rsid w:val="00CC17E6"/>
    <w:rsid w:val="00CC184B"/>
    <w:rsid w:val="00CC18F6"/>
    <w:rsid w:val="00CC1902"/>
    <w:rsid w:val="00CC1927"/>
    <w:rsid w:val="00CC1958"/>
    <w:rsid w:val="00CC19E9"/>
    <w:rsid w:val="00CC1A7A"/>
    <w:rsid w:val="00CC1A8B"/>
    <w:rsid w:val="00CC1A9D"/>
    <w:rsid w:val="00CC1B7A"/>
    <w:rsid w:val="00CC1C11"/>
    <w:rsid w:val="00CC1CC5"/>
    <w:rsid w:val="00CC1D55"/>
    <w:rsid w:val="00CC1D86"/>
    <w:rsid w:val="00CC1E17"/>
    <w:rsid w:val="00CC1EB3"/>
    <w:rsid w:val="00CC1F52"/>
    <w:rsid w:val="00CC1F6E"/>
    <w:rsid w:val="00CC1F72"/>
    <w:rsid w:val="00CC1F8D"/>
    <w:rsid w:val="00CC1F92"/>
    <w:rsid w:val="00CC1F9A"/>
    <w:rsid w:val="00CC201C"/>
    <w:rsid w:val="00CC203B"/>
    <w:rsid w:val="00CC203F"/>
    <w:rsid w:val="00CC2099"/>
    <w:rsid w:val="00CC21A7"/>
    <w:rsid w:val="00CC2211"/>
    <w:rsid w:val="00CC22C5"/>
    <w:rsid w:val="00CC22C7"/>
    <w:rsid w:val="00CC22E2"/>
    <w:rsid w:val="00CC22F8"/>
    <w:rsid w:val="00CC2411"/>
    <w:rsid w:val="00CC2448"/>
    <w:rsid w:val="00CC24CF"/>
    <w:rsid w:val="00CC251D"/>
    <w:rsid w:val="00CC2608"/>
    <w:rsid w:val="00CC2611"/>
    <w:rsid w:val="00CC263A"/>
    <w:rsid w:val="00CC263B"/>
    <w:rsid w:val="00CC2668"/>
    <w:rsid w:val="00CC26B1"/>
    <w:rsid w:val="00CC277F"/>
    <w:rsid w:val="00CC2844"/>
    <w:rsid w:val="00CC28D9"/>
    <w:rsid w:val="00CC2BC8"/>
    <w:rsid w:val="00CC2C1C"/>
    <w:rsid w:val="00CC2C2D"/>
    <w:rsid w:val="00CC2C89"/>
    <w:rsid w:val="00CC2CB6"/>
    <w:rsid w:val="00CC2CE7"/>
    <w:rsid w:val="00CC2D82"/>
    <w:rsid w:val="00CC2D92"/>
    <w:rsid w:val="00CC2DB7"/>
    <w:rsid w:val="00CC2F11"/>
    <w:rsid w:val="00CC2F7A"/>
    <w:rsid w:val="00CC2FB4"/>
    <w:rsid w:val="00CC2FC9"/>
    <w:rsid w:val="00CC2FCF"/>
    <w:rsid w:val="00CC2FE2"/>
    <w:rsid w:val="00CC2FF2"/>
    <w:rsid w:val="00CC2FFB"/>
    <w:rsid w:val="00CC302C"/>
    <w:rsid w:val="00CC3042"/>
    <w:rsid w:val="00CC3085"/>
    <w:rsid w:val="00CC30A4"/>
    <w:rsid w:val="00CC30E2"/>
    <w:rsid w:val="00CC316B"/>
    <w:rsid w:val="00CC31D7"/>
    <w:rsid w:val="00CC3254"/>
    <w:rsid w:val="00CC328D"/>
    <w:rsid w:val="00CC32BE"/>
    <w:rsid w:val="00CC3306"/>
    <w:rsid w:val="00CC33B5"/>
    <w:rsid w:val="00CC3463"/>
    <w:rsid w:val="00CC347A"/>
    <w:rsid w:val="00CC3514"/>
    <w:rsid w:val="00CC3519"/>
    <w:rsid w:val="00CC3554"/>
    <w:rsid w:val="00CC355C"/>
    <w:rsid w:val="00CC3567"/>
    <w:rsid w:val="00CC3587"/>
    <w:rsid w:val="00CC35CE"/>
    <w:rsid w:val="00CC360F"/>
    <w:rsid w:val="00CC3650"/>
    <w:rsid w:val="00CC36C9"/>
    <w:rsid w:val="00CC36F8"/>
    <w:rsid w:val="00CC3726"/>
    <w:rsid w:val="00CC375D"/>
    <w:rsid w:val="00CC37DE"/>
    <w:rsid w:val="00CC3857"/>
    <w:rsid w:val="00CC38FE"/>
    <w:rsid w:val="00CC3953"/>
    <w:rsid w:val="00CC39B7"/>
    <w:rsid w:val="00CC3A80"/>
    <w:rsid w:val="00CC3B86"/>
    <w:rsid w:val="00CC3B98"/>
    <w:rsid w:val="00CC3BD0"/>
    <w:rsid w:val="00CC3BE5"/>
    <w:rsid w:val="00CC3BEE"/>
    <w:rsid w:val="00CC3C73"/>
    <w:rsid w:val="00CC3CAD"/>
    <w:rsid w:val="00CC3CD7"/>
    <w:rsid w:val="00CC3D35"/>
    <w:rsid w:val="00CC3D6B"/>
    <w:rsid w:val="00CC3D74"/>
    <w:rsid w:val="00CC3DFA"/>
    <w:rsid w:val="00CC3E38"/>
    <w:rsid w:val="00CC3E5B"/>
    <w:rsid w:val="00CC3F52"/>
    <w:rsid w:val="00CC405D"/>
    <w:rsid w:val="00CC41EE"/>
    <w:rsid w:val="00CC41F7"/>
    <w:rsid w:val="00CC4250"/>
    <w:rsid w:val="00CC435B"/>
    <w:rsid w:val="00CC4387"/>
    <w:rsid w:val="00CC43E4"/>
    <w:rsid w:val="00CC4404"/>
    <w:rsid w:val="00CC4412"/>
    <w:rsid w:val="00CC4425"/>
    <w:rsid w:val="00CC4456"/>
    <w:rsid w:val="00CC446D"/>
    <w:rsid w:val="00CC44D4"/>
    <w:rsid w:val="00CC456C"/>
    <w:rsid w:val="00CC4579"/>
    <w:rsid w:val="00CC45CF"/>
    <w:rsid w:val="00CC45D1"/>
    <w:rsid w:val="00CC4675"/>
    <w:rsid w:val="00CC46AD"/>
    <w:rsid w:val="00CC46ED"/>
    <w:rsid w:val="00CC478A"/>
    <w:rsid w:val="00CC479E"/>
    <w:rsid w:val="00CC47C4"/>
    <w:rsid w:val="00CC47DF"/>
    <w:rsid w:val="00CC47F3"/>
    <w:rsid w:val="00CC481F"/>
    <w:rsid w:val="00CC483F"/>
    <w:rsid w:val="00CC484B"/>
    <w:rsid w:val="00CC48B5"/>
    <w:rsid w:val="00CC4920"/>
    <w:rsid w:val="00CC4940"/>
    <w:rsid w:val="00CC4971"/>
    <w:rsid w:val="00CC49E6"/>
    <w:rsid w:val="00CC4A8F"/>
    <w:rsid w:val="00CC4AB8"/>
    <w:rsid w:val="00CC4AD1"/>
    <w:rsid w:val="00CC4AEB"/>
    <w:rsid w:val="00CC4BBB"/>
    <w:rsid w:val="00CC4BF6"/>
    <w:rsid w:val="00CC4C2D"/>
    <w:rsid w:val="00CC4CC0"/>
    <w:rsid w:val="00CC4D70"/>
    <w:rsid w:val="00CC4D88"/>
    <w:rsid w:val="00CC4DB1"/>
    <w:rsid w:val="00CC4DBD"/>
    <w:rsid w:val="00CC4DCE"/>
    <w:rsid w:val="00CC4E84"/>
    <w:rsid w:val="00CC4EB4"/>
    <w:rsid w:val="00CC4F05"/>
    <w:rsid w:val="00CC4FC8"/>
    <w:rsid w:val="00CC4FCC"/>
    <w:rsid w:val="00CC5025"/>
    <w:rsid w:val="00CC502D"/>
    <w:rsid w:val="00CC5039"/>
    <w:rsid w:val="00CC503A"/>
    <w:rsid w:val="00CC504D"/>
    <w:rsid w:val="00CC5093"/>
    <w:rsid w:val="00CC50CA"/>
    <w:rsid w:val="00CC51BD"/>
    <w:rsid w:val="00CC51CB"/>
    <w:rsid w:val="00CC5359"/>
    <w:rsid w:val="00CC5395"/>
    <w:rsid w:val="00CC548E"/>
    <w:rsid w:val="00CC54D3"/>
    <w:rsid w:val="00CC5637"/>
    <w:rsid w:val="00CC5686"/>
    <w:rsid w:val="00CC56A1"/>
    <w:rsid w:val="00CC56CC"/>
    <w:rsid w:val="00CC56EB"/>
    <w:rsid w:val="00CC5709"/>
    <w:rsid w:val="00CC5774"/>
    <w:rsid w:val="00CC57C2"/>
    <w:rsid w:val="00CC581A"/>
    <w:rsid w:val="00CC5883"/>
    <w:rsid w:val="00CC5885"/>
    <w:rsid w:val="00CC5899"/>
    <w:rsid w:val="00CC599B"/>
    <w:rsid w:val="00CC5A41"/>
    <w:rsid w:val="00CC5AE0"/>
    <w:rsid w:val="00CC5B58"/>
    <w:rsid w:val="00CC5C07"/>
    <w:rsid w:val="00CC5C7B"/>
    <w:rsid w:val="00CC5D48"/>
    <w:rsid w:val="00CC5D4D"/>
    <w:rsid w:val="00CC5D9C"/>
    <w:rsid w:val="00CC5DBA"/>
    <w:rsid w:val="00CC5DD3"/>
    <w:rsid w:val="00CC5DE2"/>
    <w:rsid w:val="00CC5EF6"/>
    <w:rsid w:val="00CC5F07"/>
    <w:rsid w:val="00CC5F26"/>
    <w:rsid w:val="00CC5F33"/>
    <w:rsid w:val="00CC5F9C"/>
    <w:rsid w:val="00CC6007"/>
    <w:rsid w:val="00CC6018"/>
    <w:rsid w:val="00CC606D"/>
    <w:rsid w:val="00CC60DD"/>
    <w:rsid w:val="00CC6136"/>
    <w:rsid w:val="00CC614E"/>
    <w:rsid w:val="00CC61AD"/>
    <w:rsid w:val="00CC61DA"/>
    <w:rsid w:val="00CC61DD"/>
    <w:rsid w:val="00CC6332"/>
    <w:rsid w:val="00CC63C5"/>
    <w:rsid w:val="00CC6450"/>
    <w:rsid w:val="00CC649B"/>
    <w:rsid w:val="00CC654F"/>
    <w:rsid w:val="00CC656C"/>
    <w:rsid w:val="00CC65C7"/>
    <w:rsid w:val="00CC670F"/>
    <w:rsid w:val="00CC6734"/>
    <w:rsid w:val="00CC676F"/>
    <w:rsid w:val="00CC6788"/>
    <w:rsid w:val="00CC6793"/>
    <w:rsid w:val="00CC67FC"/>
    <w:rsid w:val="00CC683E"/>
    <w:rsid w:val="00CC6845"/>
    <w:rsid w:val="00CC6872"/>
    <w:rsid w:val="00CC6922"/>
    <w:rsid w:val="00CC6924"/>
    <w:rsid w:val="00CC6961"/>
    <w:rsid w:val="00CC699A"/>
    <w:rsid w:val="00CC6A06"/>
    <w:rsid w:val="00CC6A40"/>
    <w:rsid w:val="00CC6A47"/>
    <w:rsid w:val="00CC6ACA"/>
    <w:rsid w:val="00CC6ACC"/>
    <w:rsid w:val="00CC6AEC"/>
    <w:rsid w:val="00CC6B10"/>
    <w:rsid w:val="00CC6B48"/>
    <w:rsid w:val="00CC6B70"/>
    <w:rsid w:val="00CC6BF0"/>
    <w:rsid w:val="00CC6C59"/>
    <w:rsid w:val="00CC6C6A"/>
    <w:rsid w:val="00CC6D24"/>
    <w:rsid w:val="00CC6D90"/>
    <w:rsid w:val="00CC6DC9"/>
    <w:rsid w:val="00CC6DF2"/>
    <w:rsid w:val="00CC6E63"/>
    <w:rsid w:val="00CC6EA3"/>
    <w:rsid w:val="00CC6EB9"/>
    <w:rsid w:val="00CC6EC6"/>
    <w:rsid w:val="00CC6FA0"/>
    <w:rsid w:val="00CC6FC3"/>
    <w:rsid w:val="00CC70AA"/>
    <w:rsid w:val="00CC70B3"/>
    <w:rsid w:val="00CC7127"/>
    <w:rsid w:val="00CC7158"/>
    <w:rsid w:val="00CC7285"/>
    <w:rsid w:val="00CC72BB"/>
    <w:rsid w:val="00CC72CE"/>
    <w:rsid w:val="00CC7304"/>
    <w:rsid w:val="00CC7313"/>
    <w:rsid w:val="00CC733F"/>
    <w:rsid w:val="00CC738B"/>
    <w:rsid w:val="00CC738F"/>
    <w:rsid w:val="00CC73D8"/>
    <w:rsid w:val="00CC73E3"/>
    <w:rsid w:val="00CC74A1"/>
    <w:rsid w:val="00CC74C3"/>
    <w:rsid w:val="00CC7549"/>
    <w:rsid w:val="00CC75A0"/>
    <w:rsid w:val="00CC7713"/>
    <w:rsid w:val="00CC7763"/>
    <w:rsid w:val="00CC77F0"/>
    <w:rsid w:val="00CC78E1"/>
    <w:rsid w:val="00CC78F1"/>
    <w:rsid w:val="00CC794A"/>
    <w:rsid w:val="00CC79CD"/>
    <w:rsid w:val="00CC79F4"/>
    <w:rsid w:val="00CC7A4A"/>
    <w:rsid w:val="00CC7A7B"/>
    <w:rsid w:val="00CC7AD5"/>
    <w:rsid w:val="00CC7AF0"/>
    <w:rsid w:val="00CC7B29"/>
    <w:rsid w:val="00CC7B2E"/>
    <w:rsid w:val="00CC7B44"/>
    <w:rsid w:val="00CC7B6F"/>
    <w:rsid w:val="00CC7C10"/>
    <w:rsid w:val="00CC7C9B"/>
    <w:rsid w:val="00CC7CFF"/>
    <w:rsid w:val="00CC7D3C"/>
    <w:rsid w:val="00CC7DA0"/>
    <w:rsid w:val="00CC7DC3"/>
    <w:rsid w:val="00CC7E2F"/>
    <w:rsid w:val="00CC7E6B"/>
    <w:rsid w:val="00CC7E7F"/>
    <w:rsid w:val="00CC7F0E"/>
    <w:rsid w:val="00CC7F48"/>
    <w:rsid w:val="00CC7F88"/>
    <w:rsid w:val="00CC7F9E"/>
    <w:rsid w:val="00CC7FA9"/>
    <w:rsid w:val="00CC7FC3"/>
    <w:rsid w:val="00CD004D"/>
    <w:rsid w:val="00CD006C"/>
    <w:rsid w:val="00CD0088"/>
    <w:rsid w:val="00CD00AC"/>
    <w:rsid w:val="00CD00C3"/>
    <w:rsid w:val="00CD00E1"/>
    <w:rsid w:val="00CD0103"/>
    <w:rsid w:val="00CD0143"/>
    <w:rsid w:val="00CD0165"/>
    <w:rsid w:val="00CD0186"/>
    <w:rsid w:val="00CD021F"/>
    <w:rsid w:val="00CD0266"/>
    <w:rsid w:val="00CD02F1"/>
    <w:rsid w:val="00CD0310"/>
    <w:rsid w:val="00CD03A5"/>
    <w:rsid w:val="00CD04EE"/>
    <w:rsid w:val="00CD052E"/>
    <w:rsid w:val="00CD0533"/>
    <w:rsid w:val="00CD05F6"/>
    <w:rsid w:val="00CD0671"/>
    <w:rsid w:val="00CD06C7"/>
    <w:rsid w:val="00CD0757"/>
    <w:rsid w:val="00CD07DE"/>
    <w:rsid w:val="00CD07E1"/>
    <w:rsid w:val="00CD0801"/>
    <w:rsid w:val="00CD0917"/>
    <w:rsid w:val="00CD095B"/>
    <w:rsid w:val="00CD095C"/>
    <w:rsid w:val="00CD0A05"/>
    <w:rsid w:val="00CD0A39"/>
    <w:rsid w:val="00CD0AB0"/>
    <w:rsid w:val="00CD0ABE"/>
    <w:rsid w:val="00CD0BA3"/>
    <w:rsid w:val="00CD0BEB"/>
    <w:rsid w:val="00CD0BF3"/>
    <w:rsid w:val="00CD0C1C"/>
    <w:rsid w:val="00CD0C54"/>
    <w:rsid w:val="00CD0CDC"/>
    <w:rsid w:val="00CD0D9B"/>
    <w:rsid w:val="00CD0E28"/>
    <w:rsid w:val="00CD0E29"/>
    <w:rsid w:val="00CD0E68"/>
    <w:rsid w:val="00CD0E8B"/>
    <w:rsid w:val="00CD0ECF"/>
    <w:rsid w:val="00CD0F53"/>
    <w:rsid w:val="00CD0FD0"/>
    <w:rsid w:val="00CD1059"/>
    <w:rsid w:val="00CD10C6"/>
    <w:rsid w:val="00CD10E3"/>
    <w:rsid w:val="00CD10F2"/>
    <w:rsid w:val="00CD1102"/>
    <w:rsid w:val="00CD1149"/>
    <w:rsid w:val="00CD1181"/>
    <w:rsid w:val="00CD12C9"/>
    <w:rsid w:val="00CD136D"/>
    <w:rsid w:val="00CD1398"/>
    <w:rsid w:val="00CD1446"/>
    <w:rsid w:val="00CD1490"/>
    <w:rsid w:val="00CD14C9"/>
    <w:rsid w:val="00CD15C1"/>
    <w:rsid w:val="00CD15F0"/>
    <w:rsid w:val="00CD162C"/>
    <w:rsid w:val="00CD1706"/>
    <w:rsid w:val="00CD171B"/>
    <w:rsid w:val="00CD1735"/>
    <w:rsid w:val="00CD17F2"/>
    <w:rsid w:val="00CD1805"/>
    <w:rsid w:val="00CD1825"/>
    <w:rsid w:val="00CD1863"/>
    <w:rsid w:val="00CD1875"/>
    <w:rsid w:val="00CD192F"/>
    <w:rsid w:val="00CD19C2"/>
    <w:rsid w:val="00CD19E3"/>
    <w:rsid w:val="00CD1A2A"/>
    <w:rsid w:val="00CD1B2F"/>
    <w:rsid w:val="00CD1CF5"/>
    <w:rsid w:val="00CD1D10"/>
    <w:rsid w:val="00CD1D44"/>
    <w:rsid w:val="00CD1D70"/>
    <w:rsid w:val="00CD1DA7"/>
    <w:rsid w:val="00CD1E0B"/>
    <w:rsid w:val="00CD1E9B"/>
    <w:rsid w:val="00CD1EC3"/>
    <w:rsid w:val="00CD1FBC"/>
    <w:rsid w:val="00CD1FF2"/>
    <w:rsid w:val="00CD2002"/>
    <w:rsid w:val="00CD202C"/>
    <w:rsid w:val="00CD211A"/>
    <w:rsid w:val="00CD211E"/>
    <w:rsid w:val="00CD219E"/>
    <w:rsid w:val="00CD2239"/>
    <w:rsid w:val="00CD22BD"/>
    <w:rsid w:val="00CD2327"/>
    <w:rsid w:val="00CD2362"/>
    <w:rsid w:val="00CD23A5"/>
    <w:rsid w:val="00CD23AA"/>
    <w:rsid w:val="00CD2439"/>
    <w:rsid w:val="00CD2444"/>
    <w:rsid w:val="00CD2457"/>
    <w:rsid w:val="00CD247C"/>
    <w:rsid w:val="00CD24CA"/>
    <w:rsid w:val="00CD24E3"/>
    <w:rsid w:val="00CD2518"/>
    <w:rsid w:val="00CD251F"/>
    <w:rsid w:val="00CD25B9"/>
    <w:rsid w:val="00CD2624"/>
    <w:rsid w:val="00CD264D"/>
    <w:rsid w:val="00CD2686"/>
    <w:rsid w:val="00CD26B9"/>
    <w:rsid w:val="00CD2700"/>
    <w:rsid w:val="00CD275D"/>
    <w:rsid w:val="00CD27AE"/>
    <w:rsid w:val="00CD27E0"/>
    <w:rsid w:val="00CD28DC"/>
    <w:rsid w:val="00CD28E7"/>
    <w:rsid w:val="00CD2925"/>
    <w:rsid w:val="00CD2A09"/>
    <w:rsid w:val="00CD2A94"/>
    <w:rsid w:val="00CD2A99"/>
    <w:rsid w:val="00CD2B06"/>
    <w:rsid w:val="00CD2B39"/>
    <w:rsid w:val="00CD2B71"/>
    <w:rsid w:val="00CD2CA8"/>
    <w:rsid w:val="00CD2CF4"/>
    <w:rsid w:val="00CD2D14"/>
    <w:rsid w:val="00CD2D24"/>
    <w:rsid w:val="00CD2D71"/>
    <w:rsid w:val="00CD2D90"/>
    <w:rsid w:val="00CD2DE4"/>
    <w:rsid w:val="00CD3015"/>
    <w:rsid w:val="00CD3039"/>
    <w:rsid w:val="00CD30DF"/>
    <w:rsid w:val="00CD3146"/>
    <w:rsid w:val="00CD315D"/>
    <w:rsid w:val="00CD31AC"/>
    <w:rsid w:val="00CD32AD"/>
    <w:rsid w:val="00CD3319"/>
    <w:rsid w:val="00CD33A5"/>
    <w:rsid w:val="00CD3424"/>
    <w:rsid w:val="00CD3451"/>
    <w:rsid w:val="00CD345B"/>
    <w:rsid w:val="00CD35F6"/>
    <w:rsid w:val="00CD3726"/>
    <w:rsid w:val="00CD3813"/>
    <w:rsid w:val="00CD389E"/>
    <w:rsid w:val="00CD39BA"/>
    <w:rsid w:val="00CD39D9"/>
    <w:rsid w:val="00CD39FC"/>
    <w:rsid w:val="00CD3A01"/>
    <w:rsid w:val="00CD3A4D"/>
    <w:rsid w:val="00CD3B47"/>
    <w:rsid w:val="00CD3B59"/>
    <w:rsid w:val="00CD3B77"/>
    <w:rsid w:val="00CD3BB1"/>
    <w:rsid w:val="00CD3BF1"/>
    <w:rsid w:val="00CD3C87"/>
    <w:rsid w:val="00CD3CC6"/>
    <w:rsid w:val="00CD3DA0"/>
    <w:rsid w:val="00CD3DBA"/>
    <w:rsid w:val="00CD3E50"/>
    <w:rsid w:val="00CD3E89"/>
    <w:rsid w:val="00CD3E90"/>
    <w:rsid w:val="00CD3EA3"/>
    <w:rsid w:val="00CD3ED8"/>
    <w:rsid w:val="00CD3EF4"/>
    <w:rsid w:val="00CD3EFD"/>
    <w:rsid w:val="00CD3F19"/>
    <w:rsid w:val="00CD3FA2"/>
    <w:rsid w:val="00CD3FBF"/>
    <w:rsid w:val="00CD4006"/>
    <w:rsid w:val="00CD402A"/>
    <w:rsid w:val="00CD4070"/>
    <w:rsid w:val="00CD40DC"/>
    <w:rsid w:val="00CD40E0"/>
    <w:rsid w:val="00CD4234"/>
    <w:rsid w:val="00CD435D"/>
    <w:rsid w:val="00CD4399"/>
    <w:rsid w:val="00CD43C9"/>
    <w:rsid w:val="00CD440C"/>
    <w:rsid w:val="00CD4470"/>
    <w:rsid w:val="00CD4483"/>
    <w:rsid w:val="00CD44DA"/>
    <w:rsid w:val="00CD4509"/>
    <w:rsid w:val="00CD4515"/>
    <w:rsid w:val="00CD4519"/>
    <w:rsid w:val="00CD4559"/>
    <w:rsid w:val="00CD4563"/>
    <w:rsid w:val="00CD45FE"/>
    <w:rsid w:val="00CD4649"/>
    <w:rsid w:val="00CD4672"/>
    <w:rsid w:val="00CD46C0"/>
    <w:rsid w:val="00CD4724"/>
    <w:rsid w:val="00CD47EF"/>
    <w:rsid w:val="00CD4866"/>
    <w:rsid w:val="00CD4898"/>
    <w:rsid w:val="00CD48B2"/>
    <w:rsid w:val="00CD48D3"/>
    <w:rsid w:val="00CD48D7"/>
    <w:rsid w:val="00CD4932"/>
    <w:rsid w:val="00CD49AC"/>
    <w:rsid w:val="00CD49E6"/>
    <w:rsid w:val="00CD4A77"/>
    <w:rsid w:val="00CD4B01"/>
    <w:rsid w:val="00CD4B36"/>
    <w:rsid w:val="00CD4B93"/>
    <w:rsid w:val="00CD4B97"/>
    <w:rsid w:val="00CD4BD2"/>
    <w:rsid w:val="00CD4BF6"/>
    <w:rsid w:val="00CD4C5E"/>
    <w:rsid w:val="00CD4C62"/>
    <w:rsid w:val="00CD4C85"/>
    <w:rsid w:val="00CD4D5C"/>
    <w:rsid w:val="00CD4D78"/>
    <w:rsid w:val="00CD4D7E"/>
    <w:rsid w:val="00CD4DBD"/>
    <w:rsid w:val="00CD4E40"/>
    <w:rsid w:val="00CD4F5D"/>
    <w:rsid w:val="00CD4F80"/>
    <w:rsid w:val="00CD50F9"/>
    <w:rsid w:val="00CD5138"/>
    <w:rsid w:val="00CD51A3"/>
    <w:rsid w:val="00CD51E3"/>
    <w:rsid w:val="00CD51F8"/>
    <w:rsid w:val="00CD5215"/>
    <w:rsid w:val="00CD5239"/>
    <w:rsid w:val="00CD52C3"/>
    <w:rsid w:val="00CD5308"/>
    <w:rsid w:val="00CD5355"/>
    <w:rsid w:val="00CD53CC"/>
    <w:rsid w:val="00CD5447"/>
    <w:rsid w:val="00CD5563"/>
    <w:rsid w:val="00CD55D7"/>
    <w:rsid w:val="00CD55DA"/>
    <w:rsid w:val="00CD56A6"/>
    <w:rsid w:val="00CD57F2"/>
    <w:rsid w:val="00CD580B"/>
    <w:rsid w:val="00CD5817"/>
    <w:rsid w:val="00CD5858"/>
    <w:rsid w:val="00CD5859"/>
    <w:rsid w:val="00CD58EB"/>
    <w:rsid w:val="00CD59C5"/>
    <w:rsid w:val="00CD5A94"/>
    <w:rsid w:val="00CD5AB6"/>
    <w:rsid w:val="00CD5AFB"/>
    <w:rsid w:val="00CD5B65"/>
    <w:rsid w:val="00CD5B77"/>
    <w:rsid w:val="00CD5BDE"/>
    <w:rsid w:val="00CD5BE3"/>
    <w:rsid w:val="00CD5C4C"/>
    <w:rsid w:val="00CD5C82"/>
    <w:rsid w:val="00CD5CEB"/>
    <w:rsid w:val="00CD5D85"/>
    <w:rsid w:val="00CD5DFB"/>
    <w:rsid w:val="00CD5E0F"/>
    <w:rsid w:val="00CD5EA9"/>
    <w:rsid w:val="00CD5EAC"/>
    <w:rsid w:val="00CD5EAD"/>
    <w:rsid w:val="00CD5EFD"/>
    <w:rsid w:val="00CD5F34"/>
    <w:rsid w:val="00CD5F39"/>
    <w:rsid w:val="00CD5FDC"/>
    <w:rsid w:val="00CD6012"/>
    <w:rsid w:val="00CD602B"/>
    <w:rsid w:val="00CD6035"/>
    <w:rsid w:val="00CD61BB"/>
    <w:rsid w:val="00CD6218"/>
    <w:rsid w:val="00CD629B"/>
    <w:rsid w:val="00CD62C2"/>
    <w:rsid w:val="00CD62FF"/>
    <w:rsid w:val="00CD6304"/>
    <w:rsid w:val="00CD6394"/>
    <w:rsid w:val="00CD6407"/>
    <w:rsid w:val="00CD6470"/>
    <w:rsid w:val="00CD649B"/>
    <w:rsid w:val="00CD64A4"/>
    <w:rsid w:val="00CD64F9"/>
    <w:rsid w:val="00CD6683"/>
    <w:rsid w:val="00CD668F"/>
    <w:rsid w:val="00CD6762"/>
    <w:rsid w:val="00CD67C3"/>
    <w:rsid w:val="00CD6894"/>
    <w:rsid w:val="00CD68A2"/>
    <w:rsid w:val="00CD68BF"/>
    <w:rsid w:val="00CD6990"/>
    <w:rsid w:val="00CD69EA"/>
    <w:rsid w:val="00CD6A59"/>
    <w:rsid w:val="00CD6ABC"/>
    <w:rsid w:val="00CD6B07"/>
    <w:rsid w:val="00CD6B72"/>
    <w:rsid w:val="00CD6C01"/>
    <w:rsid w:val="00CD6C0E"/>
    <w:rsid w:val="00CD6C36"/>
    <w:rsid w:val="00CD6CC7"/>
    <w:rsid w:val="00CD6CCC"/>
    <w:rsid w:val="00CD6D34"/>
    <w:rsid w:val="00CD6D6C"/>
    <w:rsid w:val="00CD6D96"/>
    <w:rsid w:val="00CD6DD9"/>
    <w:rsid w:val="00CD6E1C"/>
    <w:rsid w:val="00CD6E30"/>
    <w:rsid w:val="00CD6E55"/>
    <w:rsid w:val="00CD6E86"/>
    <w:rsid w:val="00CD6F5F"/>
    <w:rsid w:val="00CD6FC8"/>
    <w:rsid w:val="00CD6FED"/>
    <w:rsid w:val="00CD6FF7"/>
    <w:rsid w:val="00CD7071"/>
    <w:rsid w:val="00CD713C"/>
    <w:rsid w:val="00CD71AD"/>
    <w:rsid w:val="00CD724D"/>
    <w:rsid w:val="00CD7296"/>
    <w:rsid w:val="00CD7351"/>
    <w:rsid w:val="00CD73C2"/>
    <w:rsid w:val="00CD73CB"/>
    <w:rsid w:val="00CD742E"/>
    <w:rsid w:val="00CD74E1"/>
    <w:rsid w:val="00CD7539"/>
    <w:rsid w:val="00CD754C"/>
    <w:rsid w:val="00CD75CD"/>
    <w:rsid w:val="00CD765A"/>
    <w:rsid w:val="00CD7694"/>
    <w:rsid w:val="00CD76D2"/>
    <w:rsid w:val="00CD7740"/>
    <w:rsid w:val="00CD778E"/>
    <w:rsid w:val="00CD78B4"/>
    <w:rsid w:val="00CD795B"/>
    <w:rsid w:val="00CD797D"/>
    <w:rsid w:val="00CD79B7"/>
    <w:rsid w:val="00CD79E1"/>
    <w:rsid w:val="00CD7A73"/>
    <w:rsid w:val="00CD7A8F"/>
    <w:rsid w:val="00CD7AF4"/>
    <w:rsid w:val="00CD7B0F"/>
    <w:rsid w:val="00CD7B3E"/>
    <w:rsid w:val="00CD7B5C"/>
    <w:rsid w:val="00CD7BE1"/>
    <w:rsid w:val="00CD7C57"/>
    <w:rsid w:val="00CD7C75"/>
    <w:rsid w:val="00CD7D04"/>
    <w:rsid w:val="00CD7D84"/>
    <w:rsid w:val="00CD7E38"/>
    <w:rsid w:val="00CD7F53"/>
    <w:rsid w:val="00CD7F7F"/>
    <w:rsid w:val="00CD7F84"/>
    <w:rsid w:val="00CD7F98"/>
    <w:rsid w:val="00CD7FDB"/>
    <w:rsid w:val="00CD7FE0"/>
    <w:rsid w:val="00CE004C"/>
    <w:rsid w:val="00CE0058"/>
    <w:rsid w:val="00CE01C8"/>
    <w:rsid w:val="00CE02D1"/>
    <w:rsid w:val="00CE031D"/>
    <w:rsid w:val="00CE038C"/>
    <w:rsid w:val="00CE045B"/>
    <w:rsid w:val="00CE046D"/>
    <w:rsid w:val="00CE0479"/>
    <w:rsid w:val="00CE04D5"/>
    <w:rsid w:val="00CE04D7"/>
    <w:rsid w:val="00CE05D7"/>
    <w:rsid w:val="00CE05E2"/>
    <w:rsid w:val="00CE05FB"/>
    <w:rsid w:val="00CE0601"/>
    <w:rsid w:val="00CE0649"/>
    <w:rsid w:val="00CE071B"/>
    <w:rsid w:val="00CE0720"/>
    <w:rsid w:val="00CE0730"/>
    <w:rsid w:val="00CE0860"/>
    <w:rsid w:val="00CE0895"/>
    <w:rsid w:val="00CE08D5"/>
    <w:rsid w:val="00CE08E0"/>
    <w:rsid w:val="00CE08EC"/>
    <w:rsid w:val="00CE08F7"/>
    <w:rsid w:val="00CE090C"/>
    <w:rsid w:val="00CE090F"/>
    <w:rsid w:val="00CE092B"/>
    <w:rsid w:val="00CE093A"/>
    <w:rsid w:val="00CE0964"/>
    <w:rsid w:val="00CE0971"/>
    <w:rsid w:val="00CE0983"/>
    <w:rsid w:val="00CE09AA"/>
    <w:rsid w:val="00CE09F2"/>
    <w:rsid w:val="00CE0A00"/>
    <w:rsid w:val="00CE0A39"/>
    <w:rsid w:val="00CE0A6D"/>
    <w:rsid w:val="00CE0A79"/>
    <w:rsid w:val="00CE0AFD"/>
    <w:rsid w:val="00CE0B2B"/>
    <w:rsid w:val="00CE0B34"/>
    <w:rsid w:val="00CE0B96"/>
    <w:rsid w:val="00CE0C3F"/>
    <w:rsid w:val="00CE0C4B"/>
    <w:rsid w:val="00CE0C7F"/>
    <w:rsid w:val="00CE0CD0"/>
    <w:rsid w:val="00CE0CDA"/>
    <w:rsid w:val="00CE0D13"/>
    <w:rsid w:val="00CE0EA0"/>
    <w:rsid w:val="00CE0F49"/>
    <w:rsid w:val="00CE0FCE"/>
    <w:rsid w:val="00CE1071"/>
    <w:rsid w:val="00CE1111"/>
    <w:rsid w:val="00CE1198"/>
    <w:rsid w:val="00CE1218"/>
    <w:rsid w:val="00CE1245"/>
    <w:rsid w:val="00CE1313"/>
    <w:rsid w:val="00CE1356"/>
    <w:rsid w:val="00CE1376"/>
    <w:rsid w:val="00CE137F"/>
    <w:rsid w:val="00CE1389"/>
    <w:rsid w:val="00CE14A8"/>
    <w:rsid w:val="00CE14FA"/>
    <w:rsid w:val="00CE1524"/>
    <w:rsid w:val="00CE1584"/>
    <w:rsid w:val="00CE15E1"/>
    <w:rsid w:val="00CE1638"/>
    <w:rsid w:val="00CE16D9"/>
    <w:rsid w:val="00CE175B"/>
    <w:rsid w:val="00CE1797"/>
    <w:rsid w:val="00CE17A7"/>
    <w:rsid w:val="00CE1888"/>
    <w:rsid w:val="00CE18BF"/>
    <w:rsid w:val="00CE192D"/>
    <w:rsid w:val="00CE194F"/>
    <w:rsid w:val="00CE1A2D"/>
    <w:rsid w:val="00CE1AB0"/>
    <w:rsid w:val="00CE1AD5"/>
    <w:rsid w:val="00CE1B25"/>
    <w:rsid w:val="00CE1C1F"/>
    <w:rsid w:val="00CE1C22"/>
    <w:rsid w:val="00CE1C8C"/>
    <w:rsid w:val="00CE1D37"/>
    <w:rsid w:val="00CE1D98"/>
    <w:rsid w:val="00CE1DBB"/>
    <w:rsid w:val="00CE1DD0"/>
    <w:rsid w:val="00CE1E3D"/>
    <w:rsid w:val="00CE1FB3"/>
    <w:rsid w:val="00CE2179"/>
    <w:rsid w:val="00CE21A9"/>
    <w:rsid w:val="00CE21AE"/>
    <w:rsid w:val="00CE21DC"/>
    <w:rsid w:val="00CE2298"/>
    <w:rsid w:val="00CE22D3"/>
    <w:rsid w:val="00CE235C"/>
    <w:rsid w:val="00CE23C5"/>
    <w:rsid w:val="00CE23F6"/>
    <w:rsid w:val="00CE244D"/>
    <w:rsid w:val="00CE2515"/>
    <w:rsid w:val="00CE2530"/>
    <w:rsid w:val="00CE269D"/>
    <w:rsid w:val="00CE2735"/>
    <w:rsid w:val="00CE27A0"/>
    <w:rsid w:val="00CE2864"/>
    <w:rsid w:val="00CE294D"/>
    <w:rsid w:val="00CE295F"/>
    <w:rsid w:val="00CE2A0D"/>
    <w:rsid w:val="00CE2A11"/>
    <w:rsid w:val="00CE2A5D"/>
    <w:rsid w:val="00CE2AC5"/>
    <w:rsid w:val="00CE2B72"/>
    <w:rsid w:val="00CE2BB3"/>
    <w:rsid w:val="00CE2BBD"/>
    <w:rsid w:val="00CE2BF3"/>
    <w:rsid w:val="00CE2C19"/>
    <w:rsid w:val="00CE2C8E"/>
    <w:rsid w:val="00CE2CAC"/>
    <w:rsid w:val="00CE2D03"/>
    <w:rsid w:val="00CE2E0F"/>
    <w:rsid w:val="00CE2E86"/>
    <w:rsid w:val="00CE2EB6"/>
    <w:rsid w:val="00CE2FCE"/>
    <w:rsid w:val="00CE300C"/>
    <w:rsid w:val="00CE3032"/>
    <w:rsid w:val="00CE30F4"/>
    <w:rsid w:val="00CE313E"/>
    <w:rsid w:val="00CE3168"/>
    <w:rsid w:val="00CE330A"/>
    <w:rsid w:val="00CE337B"/>
    <w:rsid w:val="00CE3411"/>
    <w:rsid w:val="00CE3459"/>
    <w:rsid w:val="00CE3518"/>
    <w:rsid w:val="00CE3553"/>
    <w:rsid w:val="00CE35F8"/>
    <w:rsid w:val="00CE3629"/>
    <w:rsid w:val="00CE3679"/>
    <w:rsid w:val="00CE368A"/>
    <w:rsid w:val="00CE36A2"/>
    <w:rsid w:val="00CE3717"/>
    <w:rsid w:val="00CE3778"/>
    <w:rsid w:val="00CE37C3"/>
    <w:rsid w:val="00CE3820"/>
    <w:rsid w:val="00CE3861"/>
    <w:rsid w:val="00CE389A"/>
    <w:rsid w:val="00CE3907"/>
    <w:rsid w:val="00CE390D"/>
    <w:rsid w:val="00CE3914"/>
    <w:rsid w:val="00CE399A"/>
    <w:rsid w:val="00CE39C4"/>
    <w:rsid w:val="00CE3A76"/>
    <w:rsid w:val="00CE3A7F"/>
    <w:rsid w:val="00CE3ACE"/>
    <w:rsid w:val="00CE3BF6"/>
    <w:rsid w:val="00CE3BFB"/>
    <w:rsid w:val="00CE3CBC"/>
    <w:rsid w:val="00CE3E2B"/>
    <w:rsid w:val="00CE3E5C"/>
    <w:rsid w:val="00CE3E62"/>
    <w:rsid w:val="00CE3E78"/>
    <w:rsid w:val="00CE3F14"/>
    <w:rsid w:val="00CE3F62"/>
    <w:rsid w:val="00CE3FBE"/>
    <w:rsid w:val="00CE4070"/>
    <w:rsid w:val="00CE4087"/>
    <w:rsid w:val="00CE40CC"/>
    <w:rsid w:val="00CE4116"/>
    <w:rsid w:val="00CE4147"/>
    <w:rsid w:val="00CE4180"/>
    <w:rsid w:val="00CE4198"/>
    <w:rsid w:val="00CE41BC"/>
    <w:rsid w:val="00CE41C1"/>
    <w:rsid w:val="00CE41C9"/>
    <w:rsid w:val="00CE42A3"/>
    <w:rsid w:val="00CE42CE"/>
    <w:rsid w:val="00CE42DC"/>
    <w:rsid w:val="00CE42E1"/>
    <w:rsid w:val="00CE4324"/>
    <w:rsid w:val="00CE434D"/>
    <w:rsid w:val="00CE43C1"/>
    <w:rsid w:val="00CE4400"/>
    <w:rsid w:val="00CE441C"/>
    <w:rsid w:val="00CE4457"/>
    <w:rsid w:val="00CE44EA"/>
    <w:rsid w:val="00CE4531"/>
    <w:rsid w:val="00CE4578"/>
    <w:rsid w:val="00CE45A6"/>
    <w:rsid w:val="00CE45F3"/>
    <w:rsid w:val="00CE460F"/>
    <w:rsid w:val="00CE4696"/>
    <w:rsid w:val="00CE46FE"/>
    <w:rsid w:val="00CE4873"/>
    <w:rsid w:val="00CE4A2E"/>
    <w:rsid w:val="00CE4B2D"/>
    <w:rsid w:val="00CE4BB5"/>
    <w:rsid w:val="00CE4BDE"/>
    <w:rsid w:val="00CE4C05"/>
    <w:rsid w:val="00CE4C5F"/>
    <w:rsid w:val="00CE4CA5"/>
    <w:rsid w:val="00CE4D09"/>
    <w:rsid w:val="00CE4DA3"/>
    <w:rsid w:val="00CE4E72"/>
    <w:rsid w:val="00CE4EAA"/>
    <w:rsid w:val="00CE4F76"/>
    <w:rsid w:val="00CE4F9B"/>
    <w:rsid w:val="00CE4FB1"/>
    <w:rsid w:val="00CE4FB3"/>
    <w:rsid w:val="00CE4FE6"/>
    <w:rsid w:val="00CE5007"/>
    <w:rsid w:val="00CE5040"/>
    <w:rsid w:val="00CE50B4"/>
    <w:rsid w:val="00CE50FA"/>
    <w:rsid w:val="00CE516B"/>
    <w:rsid w:val="00CE5277"/>
    <w:rsid w:val="00CE52DE"/>
    <w:rsid w:val="00CE52F3"/>
    <w:rsid w:val="00CE5336"/>
    <w:rsid w:val="00CE541E"/>
    <w:rsid w:val="00CE54DE"/>
    <w:rsid w:val="00CE556E"/>
    <w:rsid w:val="00CE559A"/>
    <w:rsid w:val="00CE55CD"/>
    <w:rsid w:val="00CE560C"/>
    <w:rsid w:val="00CE572D"/>
    <w:rsid w:val="00CE575F"/>
    <w:rsid w:val="00CE5766"/>
    <w:rsid w:val="00CE5803"/>
    <w:rsid w:val="00CE5868"/>
    <w:rsid w:val="00CE59D8"/>
    <w:rsid w:val="00CE5A16"/>
    <w:rsid w:val="00CE5A2D"/>
    <w:rsid w:val="00CE5A4D"/>
    <w:rsid w:val="00CE5AD8"/>
    <w:rsid w:val="00CE5B11"/>
    <w:rsid w:val="00CE5B74"/>
    <w:rsid w:val="00CE5B86"/>
    <w:rsid w:val="00CE5CB9"/>
    <w:rsid w:val="00CE5CE0"/>
    <w:rsid w:val="00CE5E0A"/>
    <w:rsid w:val="00CE5E0F"/>
    <w:rsid w:val="00CE5E55"/>
    <w:rsid w:val="00CE5EAC"/>
    <w:rsid w:val="00CE5EDE"/>
    <w:rsid w:val="00CE5F21"/>
    <w:rsid w:val="00CE5F7C"/>
    <w:rsid w:val="00CE6106"/>
    <w:rsid w:val="00CE610D"/>
    <w:rsid w:val="00CE615F"/>
    <w:rsid w:val="00CE6174"/>
    <w:rsid w:val="00CE61B0"/>
    <w:rsid w:val="00CE61B4"/>
    <w:rsid w:val="00CE61DC"/>
    <w:rsid w:val="00CE6202"/>
    <w:rsid w:val="00CE647E"/>
    <w:rsid w:val="00CE648A"/>
    <w:rsid w:val="00CE6520"/>
    <w:rsid w:val="00CE65BF"/>
    <w:rsid w:val="00CE65CA"/>
    <w:rsid w:val="00CE65DA"/>
    <w:rsid w:val="00CE6649"/>
    <w:rsid w:val="00CE6715"/>
    <w:rsid w:val="00CE6727"/>
    <w:rsid w:val="00CE67A0"/>
    <w:rsid w:val="00CE67C9"/>
    <w:rsid w:val="00CE67FC"/>
    <w:rsid w:val="00CE681F"/>
    <w:rsid w:val="00CE6899"/>
    <w:rsid w:val="00CE68AD"/>
    <w:rsid w:val="00CE694A"/>
    <w:rsid w:val="00CE6A31"/>
    <w:rsid w:val="00CE6A61"/>
    <w:rsid w:val="00CE6BFA"/>
    <w:rsid w:val="00CE6C25"/>
    <w:rsid w:val="00CE6C42"/>
    <w:rsid w:val="00CE6C82"/>
    <w:rsid w:val="00CE6C8E"/>
    <w:rsid w:val="00CE6D18"/>
    <w:rsid w:val="00CE6D27"/>
    <w:rsid w:val="00CE6DA7"/>
    <w:rsid w:val="00CE6DD2"/>
    <w:rsid w:val="00CE6DD6"/>
    <w:rsid w:val="00CE6DF6"/>
    <w:rsid w:val="00CE6E08"/>
    <w:rsid w:val="00CE6E24"/>
    <w:rsid w:val="00CE6E4C"/>
    <w:rsid w:val="00CE6E54"/>
    <w:rsid w:val="00CE6E73"/>
    <w:rsid w:val="00CE6EA9"/>
    <w:rsid w:val="00CE6FB8"/>
    <w:rsid w:val="00CE71BA"/>
    <w:rsid w:val="00CE71C8"/>
    <w:rsid w:val="00CE728A"/>
    <w:rsid w:val="00CE72AD"/>
    <w:rsid w:val="00CE7397"/>
    <w:rsid w:val="00CE73AA"/>
    <w:rsid w:val="00CE73F7"/>
    <w:rsid w:val="00CE7434"/>
    <w:rsid w:val="00CE756B"/>
    <w:rsid w:val="00CE7640"/>
    <w:rsid w:val="00CE76A6"/>
    <w:rsid w:val="00CE76B9"/>
    <w:rsid w:val="00CE76DE"/>
    <w:rsid w:val="00CE776D"/>
    <w:rsid w:val="00CE776E"/>
    <w:rsid w:val="00CE7774"/>
    <w:rsid w:val="00CE789D"/>
    <w:rsid w:val="00CE78EF"/>
    <w:rsid w:val="00CE7911"/>
    <w:rsid w:val="00CE7915"/>
    <w:rsid w:val="00CE792A"/>
    <w:rsid w:val="00CE7969"/>
    <w:rsid w:val="00CE7980"/>
    <w:rsid w:val="00CE79A0"/>
    <w:rsid w:val="00CE79A5"/>
    <w:rsid w:val="00CE79BD"/>
    <w:rsid w:val="00CE79F9"/>
    <w:rsid w:val="00CE79FE"/>
    <w:rsid w:val="00CE7A9A"/>
    <w:rsid w:val="00CE7B14"/>
    <w:rsid w:val="00CE7B4A"/>
    <w:rsid w:val="00CE7B61"/>
    <w:rsid w:val="00CE7B96"/>
    <w:rsid w:val="00CE7C0D"/>
    <w:rsid w:val="00CE7C14"/>
    <w:rsid w:val="00CE7C3F"/>
    <w:rsid w:val="00CE7C67"/>
    <w:rsid w:val="00CE7C7B"/>
    <w:rsid w:val="00CE7C9E"/>
    <w:rsid w:val="00CE7D11"/>
    <w:rsid w:val="00CE7D33"/>
    <w:rsid w:val="00CE7DBE"/>
    <w:rsid w:val="00CE7EF5"/>
    <w:rsid w:val="00CF0142"/>
    <w:rsid w:val="00CF014A"/>
    <w:rsid w:val="00CF01D9"/>
    <w:rsid w:val="00CF01DA"/>
    <w:rsid w:val="00CF026A"/>
    <w:rsid w:val="00CF037D"/>
    <w:rsid w:val="00CF0406"/>
    <w:rsid w:val="00CF0455"/>
    <w:rsid w:val="00CF049D"/>
    <w:rsid w:val="00CF04D4"/>
    <w:rsid w:val="00CF04F3"/>
    <w:rsid w:val="00CF0514"/>
    <w:rsid w:val="00CF0558"/>
    <w:rsid w:val="00CF05A2"/>
    <w:rsid w:val="00CF05D1"/>
    <w:rsid w:val="00CF060E"/>
    <w:rsid w:val="00CF063F"/>
    <w:rsid w:val="00CF06A1"/>
    <w:rsid w:val="00CF0707"/>
    <w:rsid w:val="00CF0755"/>
    <w:rsid w:val="00CF077A"/>
    <w:rsid w:val="00CF0787"/>
    <w:rsid w:val="00CF0795"/>
    <w:rsid w:val="00CF07C0"/>
    <w:rsid w:val="00CF080A"/>
    <w:rsid w:val="00CF08A5"/>
    <w:rsid w:val="00CF08AC"/>
    <w:rsid w:val="00CF0954"/>
    <w:rsid w:val="00CF096B"/>
    <w:rsid w:val="00CF09B2"/>
    <w:rsid w:val="00CF0A1B"/>
    <w:rsid w:val="00CF0A98"/>
    <w:rsid w:val="00CF0AAF"/>
    <w:rsid w:val="00CF0ADB"/>
    <w:rsid w:val="00CF0AF4"/>
    <w:rsid w:val="00CF0BAF"/>
    <w:rsid w:val="00CF0BB8"/>
    <w:rsid w:val="00CF0BCB"/>
    <w:rsid w:val="00CF0C3B"/>
    <w:rsid w:val="00CF0CC0"/>
    <w:rsid w:val="00CF0CC6"/>
    <w:rsid w:val="00CF0CF0"/>
    <w:rsid w:val="00CF0CF4"/>
    <w:rsid w:val="00CF0D83"/>
    <w:rsid w:val="00CF0DB7"/>
    <w:rsid w:val="00CF0E1D"/>
    <w:rsid w:val="00CF0EAA"/>
    <w:rsid w:val="00CF0F7C"/>
    <w:rsid w:val="00CF0FB4"/>
    <w:rsid w:val="00CF0FD4"/>
    <w:rsid w:val="00CF1001"/>
    <w:rsid w:val="00CF10B8"/>
    <w:rsid w:val="00CF10F8"/>
    <w:rsid w:val="00CF1128"/>
    <w:rsid w:val="00CF1136"/>
    <w:rsid w:val="00CF1139"/>
    <w:rsid w:val="00CF1180"/>
    <w:rsid w:val="00CF11FA"/>
    <w:rsid w:val="00CF1223"/>
    <w:rsid w:val="00CF122C"/>
    <w:rsid w:val="00CF124A"/>
    <w:rsid w:val="00CF124B"/>
    <w:rsid w:val="00CF1352"/>
    <w:rsid w:val="00CF15C6"/>
    <w:rsid w:val="00CF15E0"/>
    <w:rsid w:val="00CF1647"/>
    <w:rsid w:val="00CF1687"/>
    <w:rsid w:val="00CF1795"/>
    <w:rsid w:val="00CF1833"/>
    <w:rsid w:val="00CF19AE"/>
    <w:rsid w:val="00CF19BC"/>
    <w:rsid w:val="00CF19F5"/>
    <w:rsid w:val="00CF1A26"/>
    <w:rsid w:val="00CF1B14"/>
    <w:rsid w:val="00CF1B29"/>
    <w:rsid w:val="00CF1B5C"/>
    <w:rsid w:val="00CF1B91"/>
    <w:rsid w:val="00CF1C16"/>
    <w:rsid w:val="00CF1C19"/>
    <w:rsid w:val="00CF1CBD"/>
    <w:rsid w:val="00CF1D05"/>
    <w:rsid w:val="00CF1DC9"/>
    <w:rsid w:val="00CF1DEC"/>
    <w:rsid w:val="00CF1E5D"/>
    <w:rsid w:val="00CF1ED4"/>
    <w:rsid w:val="00CF1ED8"/>
    <w:rsid w:val="00CF1F04"/>
    <w:rsid w:val="00CF1FBC"/>
    <w:rsid w:val="00CF208C"/>
    <w:rsid w:val="00CF2099"/>
    <w:rsid w:val="00CF20AE"/>
    <w:rsid w:val="00CF214A"/>
    <w:rsid w:val="00CF2198"/>
    <w:rsid w:val="00CF2199"/>
    <w:rsid w:val="00CF2374"/>
    <w:rsid w:val="00CF23AB"/>
    <w:rsid w:val="00CF24D4"/>
    <w:rsid w:val="00CF24E4"/>
    <w:rsid w:val="00CF24EA"/>
    <w:rsid w:val="00CF24F8"/>
    <w:rsid w:val="00CF2545"/>
    <w:rsid w:val="00CF2548"/>
    <w:rsid w:val="00CF25E6"/>
    <w:rsid w:val="00CF2640"/>
    <w:rsid w:val="00CF266C"/>
    <w:rsid w:val="00CF26A8"/>
    <w:rsid w:val="00CF26EB"/>
    <w:rsid w:val="00CF27F7"/>
    <w:rsid w:val="00CF2821"/>
    <w:rsid w:val="00CF283C"/>
    <w:rsid w:val="00CF28C1"/>
    <w:rsid w:val="00CF293E"/>
    <w:rsid w:val="00CF2972"/>
    <w:rsid w:val="00CF29D8"/>
    <w:rsid w:val="00CF29DD"/>
    <w:rsid w:val="00CF2B44"/>
    <w:rsid w:val="00CF2B55"/>
    <w:rsid w:val="00CF2C61"/>
    <w:rsid w:val="00CF2C7D"/>
    <w:rsid w:val="00CF2CBD"/>
    <w:rsid w:val="00CF2D08"/>
    <w:rsid w:val="00CF2D4D"/>
    <w:rsid w:val="00CF2D96"/>
    <w:rsid w:val="00CF2DB5"/>
    <w:rsid w:val="00CF2E60"/>
    <w:rsid w:val="00CF2EEC"/>
    <w:rsid w:val="00CF2FDA"/>
    <w:rsid w:val="00CF300F"/>
    <w:rsid w:val="00CF301C"/>
    <w:rsid w:val="00CF3094"/>
    <w:rsid w:val="00CF3097"/>
    <w:rsid w:val="00CF3103"/>
    <w:rsid w:val="00CF3144"/>
    <w:rsid w:val="00CF3174"/>
    <w:rsid w:val="00CF3194"/>
    <w:rsid w:val="00CF31DA"/>
    <w:rsid w:val="00CF327D"/>
    <w:rsid w:val="00CF328F"/>
    <w:rsid w:val="00CF32EB"/>
    <w:rsid w:val="00CF3388"/>
    <w:rsid w:val="00CF33E5"/>
    <w:rsid w:val="00CF3407"/>
    <w:rsid w:val="00CF3409"/>
    <w:rsid w:val="00CF3491"/>
    <w:rsid w:val="00CF34F0"/>
    <w:rsid w:val="00CF3558"/>
    <w:rsid w:val="00CF357C"/>
    <w:rsid w:val="00CF357F"/>
    <w:rsid w:val="00CF3621"/>
    <w:rsid w:val="00CF3691"/>
    <w:rsid w:val="00CF371C"/>
    <w:rsid w:val="00CF374D"/>
    <w:rsid w:val="00CF375B"/>
    <w:rsid w:val="00CF37D4"/>
    <w:rsid w:val="00CF3886"/>
    <w:rsid w:val="00CF38E2"/>
    <w:rsid w:val="00CF396C"/>
    <w:rsid w:val="00CF3980"/>
    <w:rsid w:val="00CF3981"/>
    <w:rsid w:val="00CF39F8"/>
    <w:rsid w:val="00CF3A2D"/>
    <w:rsid w:val="00CF3ACC"/>
    <w:rsid w:val="00CF3BC5"/>
    <w:rsid w:val="00CF3C1C"/>
    <w:rsid w:val="00CF3C6A"/>
    <w:rsid w:val="00CF3C7F"/>
    <w:rsid w:val="00CF3C89"/>
    <w:rsid w:val="00CF3CD5"/>
    <w:rsid w:val="00CF3D90"/>
    <w:rsid w:val="00CF3D93"/>
    <w:rsid w:val="00CF3E43"/>
    <w:rsid w:val="00CF3E9C"/>
    <w:rsid w:val="00CF3EEF"/>
    <w:rsid w:val="00CF3F48"/>
    <w:rsid w:val="00CF4019"/>
    <w:rsid w:val="00CF4033"/>
    <w:rsid w:val="00CF4059"/>
    <w:rsid w:val="00CF405F"/>
    <w:rsid w:val="00CF4099"/>
    <w:rsid w:val="00CF40E4"/>
    <w:rsid w:val="00CF413A"/>
    <w:rsid w:val="00CF41D1"/>
    <w:rsid w:val="00CF42A1"/>
    <w:rsid w:val="00CF42B8"/>
    <w:rsid w:val="00CF42C5"/>
    <w:rsid w:val="00CF43AD"/>
    <w:rsid w:val="00CF4424"/>
    <w:rsid w:val="00CF4460"/>
    <w:rsid w:val="00CF4464"/>
    <w:rsid w:val="00CF44C0"/>
    <w:rsid w:val="00CF4567"/>
    <w:rsid w:val="00CF4614"/>
    <w:rsid w:val="00CF482B"/>
    <w:rsid w:val="00CF485B"/>
    <w:rsid w:val="00CF4880"/>
    <w:rsid w:val="00CF48AF"/>
    <w:rsid w:val="00CF48DE"/>
    <w:rsid w:val="00CF49E3"/>
    <w:rsid w:val="00CF4A7E"/>
    <w:rsid w:val="00CF4ADB"/>
    <w:rsid w:val="00CF4C05"/>
    <w:rsid w:val="00CF4CA1"/>
    <w:rsid w:val="00CF4DA5"/>
    <w:rsid w:val="00CF4E6D"/>
    <w:rsid w:val="00CF4ED2"/>
    <w:rsid w:val="00CF4F25"/>
    <w:rsid w:val="00CF4FF9"/>
    <w:rsid w:val="00CF50B5"/>
    <w:rsid w:val="00CF517C"/>
    <w:rsid w:val="00CF51D7"/>
    <w:rsid w:val="00CF52CD"/>
    <w:rsid w:val="00CF530E"/>
    <w:rsid w:val="00CF5345"/>
    <w:rsid w:val="00CF535A"/>
    <w:rsid w:val="00CF537C"/>
    <w:rsid w:val="00CF53FE"/>
    <w:rsid w:val="00CF5605"/>
    <w:rsid w:val="00CF565E"/>
    <w:rsid w:val="00CF5675"/>
    <w:rsid w:val="00CF5728"/>
    <w:rsid w:val="00CF5898"/>
    <w:rsid w:val="00CF5958"/>
    <w:rsid w:val="00CF5A41"/>
    <w:rsid w:val="00CF5ACD"/>
    <w:rsid w:val="00CF5B32"/>
    <w:rsid w:val="00CF5B8B"/>
    <w:rsid w:val="00CF5C01"/>
    <w:rsid w:val="00CF5C3E"/>
    <w:rsid w:val="00CF5D6F"/>
    <w:rsid w:val="00CF5E09"/>
    <w:rsid w:val="00CF5E4A"/>
    <w:rsid w:val="00CF5E69"/>
    <w:rsid w:val="00CF5EB2"/>
    <w:rsid w:val="00CF5EC1"/>
    <w:rsid w:val="00CF5EC4"/>
    <w:rsid w:val="00CF5EE0"/>
    <w:rsid w:val="00CF5F09"/>
    <w:rsid w:val="00CF5F46"/>
    <w:rsid w:val="00CF5FA3"/>
    <w:rsid w:val="00CF5FD9"/>
    <w:rsid w:val="00CF60A8"/>
    <w:rsid w:val="00CF60F1"/>
    <w:rsid w:val="00CF610D"/>
    <w:rsid w:val="00CF6125"/>
    <w:rsid w:val="00CF613B"/>
    <w:rsid w:val="00CF61D8"/>
    <w:rsid w:val="00CF61EA"/>
    <w:rsid w:val="00CF61F8"/>
    <w:rsid w:val="00CF6226"/>
    <w:rsid w:val="00CF62C5"/>
    <w:rsid w:val="00CF6321"/>
    <w:rsid w:val="00CF6335"/>
    <w:rsid w:val="00CF63AB"/>
    <w:rsid w:val="00CF6450"/>
    <w:rsid w:val="00CF6492"/>
    <w:rsid w:val="00CF64E1"/>
    <w:rsid w:val="00CF6612"/>
    <w:rsid w:val="00CF664F"/>
    <w:rsid w:val="00CF6776"/>
    <w:rsid w:val="00CF67AC"/>
    <w:rsid w:val="00CF6866"/>
    <w:rsid w:val="00CF688C"/>
    <w:rsid w:val="00CF68D8"/>
    <w:rsid w:val="00CF694A"/>
    <w:rsid w:val="00CF69BE"/>
    <w:rsid w:val="00CF6A09"/>
    <w:rsid w:val="00CF6A93"/>
    <w:rsid w:val="00CF6A95"/>
    <w:rsid w:val="00CF6A9C"/>
    <w:rsid w:val="00CF6BAB"/>
    <w:rsid w:val="00CF6C53"/>
    <w:rsid w:val="00CF6CA6"/>
    <w:rsid w:val="00CF6D59"/>
    <w:rsid w:val="00CF6DB1"/>
    <w:rsid w:val="00CF6DED"/>
    <w:rsid w:val="00CF6E6F"/>
    <w:rsid w:val="00CF6E7B"/>
    <w:rsid w:val="00CF6F45"/>
    <w:rsid w:val="00CF6FC7"/>
    <w:rsid w:val="00CF6FDF"/>
    <w:rsid w:val="00CF700B"/>
    <w:rsid w:val="00CF7067"/>
    <w:rsid w:val="00CF70C0"/>
    <w:rsid w:val="00CF70D3"/>
    <w:rsid w:val="00CF70EE"/>
    <w:rsid w:val="00CF7113"/>
    <w:rsid w:val="00CF7151"/>
    <w:rsid w:val="00CF71F7"/>
    <w:rsid w:val="00CF7286"/>
    <w:rsid w:val="00CF72C2"/>
    <w:rsid w:val="00CF72F6"/>
    <w:rsid w:val="00CF7312"/>
    <w:rsid w:val="00CF7372"/>
    <w:rsid w:val="00CF7374"/>
    <w:rsid w:val="00CF7438"/>
    <w:rsid w:val="00CF7464"/>
    <w:rsid w:val="00CF748A"/>
    <w:rsid w:val="00CF74AB"/>
    <w:rsid w:val="00CF751A"/>
    <w:rsid w:val="00CF756F"/>
    <w:rsid w:val="00CF7598"/>
    <w:rsid w:val="00CF75A6"/>
    <w:rsid w:val="00CF75BE"/>
    <w:rsid w:val="00CF75CB"/>
    <w:rsid w:val="00CF767E"/>
    <w:rsid w:val="00CF7692"/>
    <w:rsid w:val="00CF772B"/>
    <w:rsid w:val="00CF7754"/>
    <w:rsid w:val="00CF77B7"/>
    <w:rsid w:val="00CF77CB"/>
    <w:rsid w:val="00CF782F"/>
    <w:rsid w:val="00CF7847"/>
    <w:rsid w:val="00CF7890"/>
    <w:rsid w:val="00CF78A5"/>
    <w:rsid w:val="00CF78FA"/>
    <w:rsid w:val="00CF7916"/>
    <w:rsid w:val="00CF791A"/>
    <w:rsid w:val="00CF792E"/>
    <w:rsid w:val="00CF79F5"/>
    <w:rsid w:val="00CF7A09"/>
    <w:rsid w:val="00CF7A22"/>
    <w:rsid w:val="00CF7A84"/>
    <w:rsid w:val="00CF7B15"/>
    <w:rsid w:val="00CF7BBF"/>
    <w:rsid w:val="00CF7BD7"/>
    <w:rsid w:val="00CF7C1C"/>
    <w:rsid w:val="00CF7C77"/>
    <w:rsid w:val="00CF7D8B"/>
    <w:rsid w:val="00CF7E21"/>
    <w:rsid w:val="00CF7E2D"/>
    <w:rsid w:val="00CF7E49"/>
    <w:rsid w:val="00CF7EDD"/>
    <w:rsid w:val="00CF7F54"/>
    <w:rsid w:val="00CF7F85"/>
    <w:rsid w:val="00D0003E"/>
    <w:rsid w:val="00D00072"/>
    <w:rsid w:val="00D0007A"/>
    <w:rsid w:val="00D0008F"/>
    <w:rsid w:val="00D000B6"/>
    <w:rsid w:val="00D00171"/>
    <w:rsid w:val="00D00187"/>
    <w:rsid w:val="00D002F0"/>
    <w:rsid w:val="00D00327"/>
    <w:rsid w:val="00D00342"/>
    <w:rsid w:val="00D00344"/>
    <w:rsid w:val="00D00345"/>
    <w:rsid w:val="00D003A7"/>
    <w:rsid w:val="00D003B0"/>
    <w:rsid w:val="00D003E9"/>
    <w:rsid w:val="00D00443"/>
    <w:rsid w:val="00D00485"/>
    <w:rsid w:val="00D00489"/>
    <w:rsid w:val="00D004A3"/>
    <w:rsid w:val="00D004B1"/>
    <w:rsid w:val="00D004C7"/>
    <w:rsid w:val="00D004C8"/>
    <w:rsid w:val="00D0050E"/>
    <w:rsid w:val="00D0051A"/>
    <w:rsid w:val="00D0051C"/>
    <w:rsid w:val="00D006E6"/>
    <w:rsid w:val="00D00784"/>
    <w:rsid w:val="00D00826"/>
    <w:rsid w:val="00D008A0"/>
    <w:rsid w:val="00D008E0"/>
    <w:rsid w:val="00D009A1"/>
    <w:rsid w:val="00D009EB"/>
    <w:rsid w:val="00D00A92"/>
    <w:rsid w:val="00D00B59"/>
    <w:rsid w:val="00D00BCC"/>
    <w:rsid w:val="00D00C2B"/>
    <w:rsid w:val="00D00C32"/>
    <w:rsid w:val="00D00C41"/>
    <w:rsid w:val="00D00CCA"/>
    <w:rsid w:val="00D00CD9"/>
    <w:rsid w:val="00D00D51"/>
    <w:rsid w:val="00D00D6B"/>
    <w:rsid w:val="00D00E36"/>
    <w:rsid w:val="00D00E52"/>
    <w:rsid w:val="00D00E74"/>
    <w:rsid w:val="00D00E8B"/>
    <w:rsid w:val="00D00F38"/>
    <w:rsid w:val="00D011BB"/>
    <w:rsid w:val="00D011FA"/>
    <w:rsid w:val="00D011FB"/>
    <w:rsid w:val="00D01249"/>
    <w:rsid w:val="00D012C2"/>
    <w:rsid w:val="00D012DF"/>
    <w:rsid w:val="00D013BB"/>
    <w:rsid w:val="00D013DF"/>
    <w:rsid w:val="00D0141D"/>
    <w:rsid w:val="00D0145B"/>
    <w:rsid w:val="00D0148C"/>
    <w:rsid w:val="00D01502"/>
    <w:rsid w:val="00D01523"/>
    <w:rsid w:val="00D015B8"/>
    <w:rsid w:val="00D015F6"/>
    <w:rsid w:val="00D0160F"/>
    <w:rsid w:val="00D016E9"/>
    <w:rsid w:val="00D0170F"/>
    <w:rsid w:val="00D0172D"/>
    <w:rsid w:val="00D0174E"/>
    <w:rsid w:val="00D01784"/>
    <w:rsid w:val="00D0184E"/>
    <w:rsid w:val="00D018E1"/>
    <w:rsid w:val="00D01959"/>
    <w:rsid w:val="00D01998"/>
    <w:rsid w:val="00D019B4"/>
    <w:rsid w:val="00D01ABD"/>
    <w:rsid w:val="00D01B12"/>
    <w:rsid w:val="00D01B4D"/>
    <w:rsid w:val="00D01B61"/>
    <w:rsid w:val="00D01B70"/>
    <w:rsid w:val="00D01C06"/>
    <w:rsid w:val="00D01CFA"/>
    <w:rsid w:val="00D01D12"/>
    <w:rsid w:val="00D01DA8"/>
    <w:rsid w:val="00D01E02"/>
    <w:rsid w:val="00D01E78"/>
    <w:rsid w:val="00D01E82"/>
    <w:rsid w:val="00D01EFE"/>
    <w:rsid w:val="00D01F22"/>
    <w:rsid w:val="00D01F4A"/>
    <w:rsid w:val="00D01F78"/>
    <w:rsid w:val="00D0205B"/>
    <w:rsid w:val="00D020C1"/>
    <w:rsid w:val="00D022D7"/>
    <w:rsid w:val="00D022F8"/>
    <w:rsid w:val="00D02388"/>
    <w:rsid w:val="00D0244D"/>
    <w:rsid w:val="00D024CD"/>
    <w:rsid w:val="00D02558"/>
    <w:rsid w:val="00D025D4"/>
    <w:rsid w:val="00D02615"/>
    <w:rsid w:val="00D0265E"/>
    <w:rsid w:val="00D02679"/>
    <w:rsid w:val="00D0269A"/>
    <w:rsid w:val="00D026C3"/>
    <w:rsid w:val="00D02737"/>
    <w:rsid w:val="00D02778"/>
    <w:rsid w:val="00D02784"/>
    <w:rsid w:val="00D027A0"/>
    <w:rsid w:val="00D02801"/>
    <w:rsid w:val="00D02827"/>
    <w:rsid w:val="00D029C2"/>
    <w:rsid w:val="00D02A1E"/>
    <w:rsid w:val="00D02A4E"/>
    <w:rsid w:val="00D02A75"/>
    <w:rsid w:val="00D02A80"/>
    <w:rsid w:val="00D02AE7"/>
    <w:rsid w:val="00D02B00"/>
    <w:rsid w:val="00D02B28"/>
    <w:rsid w:val="00D02B8C"/>
    <w:rsid w:val="00D02B97"/>
    <w:rsid w:val="00D02BC0"/>
    <w:rsid w:val="00D02BEB"/>
    <w:rsid w:val="00D02C75"/>
    <w:rsid w:val="00D02C84"/>
    <w:rsid w:val="00D02D0A"/>
    <w:rsid w:val="00D02D47"/>
    <w:rsid w:val="00D02F41"/>
    <w:rsid w:val="00D02FD9"/>
    <w:rsid w:val="00D0300E"/>
    <w:rsid w:val="00D03059"/>
    <w:rsid w:val="00D030A9"/>
    <w:rsid w:val="00D0316C"/>
    <w:rsid w:val="00D031EA"/>
    <w:rsid w:val="00D0326B"/>
    <w:rsid w:val="00D03281"/>
    <w:rsid w:val="00D0329F"/>
    <w:rsid w:val="00D03323"/>
    <w:rsid w:val="00D03390"/>
    <w:rsid w:val="00D033A6"/>
    <w:rsid w:val="00D03579"/>
    <w:rsid w:val="00D035E9"/>
    <w:rsid w:val="00D0360A"/>
    <w:rsid w:val="00D036B3"/>
    <w:rsid w:val="00D036CB"/>
    <w:rsid w:val="00D036EF"/>
    <w:rsid w:val="00D036FA"/>
    <w:rsid w:val="00D037B5"/>
    <w:rsid w:val="00D03892"/>
    <w:rsid w:val="00D03903"/>
    <w:rsid w:val="00D039AC"/>
    <w:rsid w:val="00D039B4"/>
    <w:rsid w:val="00D039EA"/>
    <w:rsid w:val="00D039EE"/>
    <w:rsid w:val="00D03A13"/>
    <w:rsid w:val="00D03AE2"/>
    <w:rsid w:val="00D03B29"/>
    <w:rsid w:val="00D03B47"/>
    <w:rsid w:val="00D03B4A"/>
    <w:rsid w:val="00D03B77"/>
    <w:rsid w:val="00D03C6F"/>
    <w:rsid w:val="00D03CD3"/>
    <w:rsid w:val="00D03D87"/>
    <w:rsid w:val="00D03D90"/>
    <w:rsid w:val="00D03E1B"/>
    <w:rsid w:val="00D03E45"/>
    <w:rsid w:val="00D03E56"/>
    <w:rsid w:val="00D03E6B"/>
    <w:rsid w:val="00D03ECC"/>
    <w:rsid w:val="00D03F1F"/>
    <w:rsid w:val="00D04007"/>
    <w:rsid w:val="00D0402C"/>
    <w:rsid w:val="00D0404B"/>
    <w:rsid w:val="00D04056"/>
    <w:rsid w:val="00D040C0"/>
    <w:rsid w:val="00D040D9"/>
    <w:rsid w:val="00D0416A"/>
    <w:rsid w:val="00D0416F"/>
    <w:rsid w:val="00D04185"/>
    <w:rsid w:val="00D0419D"/>
    <w:rsid w:val="00D041B6"/>
    <w:rsid w:val="00D0420A"/>
    <w:rsid w:val="00D0420B"/>
    <w:rsid w:val="00D042B2"/>
    <w:rsid w:val="00D042BD"/>
    <w:rsid w:val="00D04313"/>
    <w:rsid w:val="00D043AA"/>
    <w:rsid w:val="00D04400"/>
    <w:rsid w:val="00D04422"/>
    <w:rsid w:val="00D0454C"/>
    <w:rsid w:val="00D045F8"/>
    <w:rsid w:val="00D046FF"/>
    <w:rsid w:val="00D0473B"/>
    <w:rsid w:val="00D04796"/>
    <w:rsid w:val="00D047D6"/>
    <w:rsid w:val="00D0486E"/>
    <w:rsid w:val="00D048EF"/>
    <w:rsid w:val="00D04943"/>
    <w:rsid w:val="00D04949"/>
    <w:rsid w:val="00D04A80"/>
    <w:rsid w:val="00D04A9C"/>
    <w:rsid w:val="00D04BB2"/>
    <w:rsid w:val="00D04BCC"/>
    <w:rsid w:val="00D04C3A"/>
    <w:rsid w:val="00D04CAA"/>
    <w:rsid w:val="00D04D5F"/>
    <w:rsid w:val="00D04DBC"/>
    <w:rsid w:val="00D04DDA"/>
    <w:rsid w:val="00D04E5D"/>
    <w:rsid w:val="00D04EDA"/>
    <w:rsid w:val="00D04EDB"/>
    <w:rsid w:val="00D04F22"/>
    <w:rsid w:val="00D04F23"/>
    <w:rsid w:val="00D04F91"/>
    <w:rsid w:val="00D05003"/>
    <w:rsid w:val="00D0504F"/>
    <w:rsid w:val="00D05090"/>
    <w:rsid w:val="00D050AB"/>
    <w:rsid w:val="00D050D4"/>
    <w:rsid w:val="00D050F6"/>
    <w:rsid w:val="00D05183"/>
    <w:rsid w:val="00D0519C"/>
    <w:rsid w:val="00D0519E"/>
    <w:rsid w:val="00D05270"/>
    <w:rsid w:val="00D05287"/>
    <w:rsid w:val="00D052AB"/>
    <w:rsid w:val="00D052B6"/>
    <w:rsid w:val="00D052FB"/>
    <w:rsid w:val="00D05304"/>
    <w:rsid w:val="00D0531C"/>
    <w:rsid w:val="00D0535C"/>
    <w:rsid w:val="00D05392"/>
    <w:rsid w:val="00D05394"/>
    <w:rsid w:val="00D05466"/>
    <w:rsid w:val="00D055B1"/>
    <w:rsid w:val="00D055DA"/>
    <w:rsid w:val="00D0560E"/>
    <w:rsid w:val="00D0563C"/>
    <w:rsid w:val="00D0565D"/>
    <w:rsid w:val="00D056A4"/>
    <w:rsid w:val="00D0570B"/>
    <w:rsid w:val="00D05793"/>
    <w:rsid w:val="00D057BB"/>
    <w:rsid w:val="00D0586D"/>
    <w:rsid w:val="00D0588D"/>
    <w:rsid w:val="00D05891"/>
    <w:rsid w:val="00D058F4"/>
    <w:rsid w:val="00D05959"/>
    <w:rsid w:val="00D059E4"/>
    <w:rsid w:val="00D05A3D"/>
    <w:rsid w:val="00D05ABD"/>
    <w:rsid w:val="00D05ADF"/>
    <w:rsid w:val="00D05B0B"/>
    <w:rsid w:val="00D05B54"/>
    <w:rsid w:val="00D05B65"/>
    <w:rsid w:val="00D05B97"/>
    <w:rsid w:val="00D05BEE"/>
    <w:rsid w:val="00D05BF9"/>
    <w:rsid w:val="00D05C40"/>
    <w:rsid w:val="00D05D2A"/>
    <w:rsid w:val="00D05D6D"/>
    <w:rsid w:val="00D05DAF"/>
    <w:rsid w:val="00D05E10"/>
    <w:rsid w:val="00D05E28"/>
    <w:rsid w:val="00D05E3C"/>
    <w:rsid w:val="00D05E54"/>
    <w:rsid w:val="00D05F37"/>
    <w:rsid w:val="00D05FED"/>
    <w:rsid w:val="00D06005"/>
    <w:rsid w:val="00D0600B"/>
    <w:rsid w:val="00D06012"/>
    <w:rsid w:val="00D0603A"/>
    <w:rsid w:val="00D0609D"/>
    <w:rsid w:val="00D060FD"/>
    <w:rsid w:val="00D06133"/>
    <w:rsid w:val="00D06269"/>
    <w:rsid w:val="00D062AF"/>
    <w:rsid w:val="00D062B9"/>
    <w:rsid w:val="00D062D1"/>
    <w:rsid w:val="00D06339"/>
    <w:rsid w:val="00D06356"/>
    <w:rsid w:val="00D06365"/>
    <w:rsid w:val="00D06382"/>
    <w:rsid w:val="00D063A6"/>
    <w:rsid w:val="00D063B0"/>
    <w:rsid w:val="00D063B8"/>
    <w:rsid w:val="00D06418"/>
    <w:rsid w:val="00D06434"/>
    <w:rsid w:val="00D06468"/>
    <w:rsid w:val="00D06588"/>
    <w:rsid w:val="00D065A6"/>
    <w:rsid w:val="00D065DA"/>
    <w:rsid w:val="00D06647"/>
    <w:rsid w:val="00D06699"/>
    <w:rsid w:val="00D066F8"/>
    <w:rsid w:val="00D06744"/>
    <w:rsid w:val="00D0675B"/>
    <w:rsid w:val="00D0682A"/>
    <w:rsid w:val="00D068A0"/>
    <w:rsid w:val="00D06900"/>
    <w:rsid w:val="00D06987"/>
    <w:rsid w:val="00D0698D"/>
    <w:rsid w:val="00D069C4"/>
    <w:rsid w:val="00D069DA"/>
    <w:rsid w:val="00D06A92"/>
    <w:rsid w:val="00D06AB4"/>
    <w:rsid w:val="00D06BE1"/>
    <w:rsid w:val="00D06C94"/>
    <w:rsid w:val="00D06D04"/>
    <w:rsid w:val="00D06D11"/>
    <w:rsid w:val="00D06DCD"/>
    <w:rsid w:val="00D06E8C"/>
    <w:rsid w:val="00D06EAF"/>
    <w:rsid w:val="00D06EDF"/>
    <w:rsid w:val="00D06FAF"/>
    <w:rsid w:val="00D06FB2"/>
    <w:rsid w:val="00D070E8"/>
    <w:rsid w:val="00D07215"/>
    <w:rsid w:val="00D072DB"/>
    <w:rsid w:val="00D0733B"/>
    <w:rsid w:val="00D07346"/>
    <w:rsid w:val="00D0740F"/>
    <w:rsid w:val="00D07465"/>
    <w:rsid w:val="00D07493"/>
    <w:rsid w:val="00D074AF"/>
    <w:rsid w:val="00D074CB"/>
    <w:rsid w:val="00D074DB"/>
    <w:rsid w:val="00D07510"/>
    <w:rsid w:val="00D075EC"/>
    <w:rsid w:val="00D07606"/>
    <w:rsid w:val="00D07610"/>
    <w:rsid w:val="00D07668"/>
    <w:rsid w:val="00D07707"/>
    <w:rsid w:val="00D077A0"/>
    <w:rsid w:val="00D078BD"/>
    <w:rsid w:val="00D079F5"/>
    <w:rsid w:val="00D07A3D"/>
    <w:rsid w:val="00D07A5D"/>
    <w:rsid w:val="00D07A87"/>
    <w:rsid w:val="00D07C7D"/>
    <w:rsid w:val="00D07CC2"/>
    <w:rsid w:val="00D07D6A"/>
    <w:rsid w:val="00D07D89"/>
    <w:rsid w:val="00D07DE0"/>
    <w:rsid w:val="00D07F0C"/>
    <w:rsid w:val="00D07F7A"/>
    <w:rsid w:val="00D07FA0"/>
    <w:rsid w:val="00D1002D"/>
    <w:rsid w:val="00D100C3"/>
    <w:rsid w:val="00D100C8"/>
    <w:rsid w:val="00D10110"/>
    <w:rsid w:val="00D10117"/>
    <w:rsid w:val="00D10139"/>
    <w:rsid w:val="00D1016C"/>
    <w:rsid w:val="00D1023D"/>
    <w:rsid w:val="00D102E1"/>
    <w:rsid w:val="00D10352"/>
    <w:rsid w:val="00D103B3"/>
    <w:rsid w:val="00D1040C"/>
    <w:rsid w:val="00D10468"/>
    <w:rsid w:val="00D1049A"/>
    <w:rsid w:val="00D104EF"/>
    <w:rsid w:val="00D10535"/>
    <w:rsid w:val="00D105A7"/>
    <w:rsid w:val="00D105C5"/>
    <w:rsid w:val="00D105E6"/>
    <w:rsid w:val="00D105F2"/>
    <w:rsid w:val="00D10600"/>
    <w:rsid w:val="00D1062E"/>
    <w:rsid w:val="00D10735"/>
    <w:rsid w:val="00D107A2"/>
    <w:rsid w:val="00D107FE"/>
    <w:rsid w:val="00D1085E"/>
    <w:rsid w:val="00D108F2"/>
    <w:rsid w:val="00D10932"/>
    <w:rsid w:val="00D10967"/>
    <w:rsid w:val="00D109ED"/>
    <w:rsid w:val="00D10A03"/>
    <w:rsid w:val="00D10A10"/>
    <w:rsid w:val="00D10A66"/>
    <w:rsid w:val="00D10A69"/>
    <w:rsid w:val="00D10A6E"/>
    <w:rsid w:val="00D10A6F"/>
    <w:rsid w:val="00D10AD0"/>
    <w:rsid w:val="00D10AE4"/>
    <w:rsid w:val="00D10AEE"/>
    <w:rsid w:val="00D10B64"/>
    <w:rsid w:val="00D10C62"/>
    <w:rsid w:val="00D10C8F"/>
    <w:rsid w:val="00D10CE0"/>
    <w:rsid w:val="00D10D06"/>
    <w:rsid w:val="00D10D6D"/>
    <w:rsid w:val="00D10DC2"/>
    <w:rsid w:val="00D10DDE"/>
    <w:rsid w:val="00D10E10"/>
    <w:rsid w:val="00D10EF9"/>
    <w:rsid w:val="00D10F75"/>
    <w:rsid w:val="00D10F7A"/>
    <w:rsid w:val="00D110D8"/>
    <w:rsid w:val="00D1114E"/>
    <w:rsid w:val="00D11165"/>
    <w:rsid w:val="00D11245"/>
    <w:rsid w:val="00D113CC"/>
    <w:rsid w:val="00D11410"/>
    <w:rsid w:val="00D1143A"/>
    <w:rsid w:val="00D11564"/>
    <w:rsid w:val="00D115C3"/>
    <w:rsid w:val="00D1170C"/>
    <w:rsid w:val="00D1170D"/>
    <w:rsid w:val="00D11809"/>
    <w:rsid w:val="00D11814"/>
    <w:rsid w:val="00D11850"/>
    <w:rsid w:val="00D11883"/>
    <w:rsid w:val="00D1190E"/>
    <w:rsid w:val="00D1191F"/>
    <w:rsid w:val="00D1199A"/>
    <w:rsid w:val="00D119C3"/>
    <w:rsid w:val="00D11A39"/>
    <w:rsid w:val="00D11B1B"/>
    <w:rsid w:val="00D11B65"/>
    <w:rsid w:val="00D11BEF"/>
    <w:rsid w:val="00D11C71"/>
    <w:rsid w:val="00D11CCD"/>
    <w:rsid w:val="00D11DBD"/>
    <w:rsid w:val="00D11DD1"/>
    <w:rsid w:val="00D11DD5"/>
    <w:rsid w:val="00D11E24"/>
    <w:rsid w:val="00D11E30"/>
    <w:rsid w:val="00D11E44"/>
    <w:rsid w:val="00D11E75"/>
    <w:rsid w:val="00D11E9B"/>
    <w:rsid w:val="00D11F04"/>
    <w:rsid w:val="00D11F10"/>
    <w:rsid w:val="00D11F4C"/>
    <w:rsid w:val="00D11FFE"/>
    <w:rsid w:val="00D12152"/>
    <w:rsid w:val="00D12168"/>
    <w:rsid w:val="00D12215"/>
    <w:rsid w:val="00D12230"/>
    <w:rsid w:val="00D1225E"/>
    <w:rsid w:val="00D12261"/>
    <w:rsid w:val="00D1229C"/>
    <w:rsid w:val="00D123D6"/>
    <w:rsid w:val="00D12518"/>
    <w:rsid w:val="00D12594"/>
    <w:rsid w:val="00D125CE"/>
    <w:rsid w:val="00D12604"/>
    <w:rsid w:val="00D12637"/>
    <w:rsid w:val="00D1264F"/>
    <w:rsid w:val="00D126F4"/>
    <w:rsid w:val="00D1276A"/>
    <w:rsid w:val="00D12770"/>
    <w:rsid w:val="00D12783"/>
    <w:rsid w:val="00D127B4"/>
    <w:rsid w:val="00D12831"/>
    <w:rsid w:val="00D12860"/>
    <w:rsid w:val="00D128B9"/>
    <w:rsid w:val="00D12907"/>
    <w:rsid w:val="00D1290C"/>
    <w:rsid w:val="00D12921"/>
    <w:rsid w:val="00D12995"/>
    <w:rsid w:val="00D12A09"/>
    <w:rsid w:val="00D12A17"/>
    <w:rsid w:val="00D12A3A"/>
    <w:rsid w:val="00D12B2C"/>
    <w:rsid w:val="00D12C2E"/>
    <w:rsid w:val="00D12C90"/>
    <w:rsid w:val="00D12CC1"/>
    <w:rsid w:val="00D12CDA"/>
    <w:rsid w:val="00D12CED"/>
    <w:rsid w:val="00D12D19"/>
    <w:rsid w:val="00D12D4A"/>
    <w:rsid w:val="00D12D68"/>
    <w:rsid w:val="00D12DA8"/>
    <w:rsid w:val="00D12DB1"/>
    <w:rsid w:val="00D12E48"/>
    <w:rsid w:val="00D12FA3"/>
    <w:rsid w:val="00D12FB7"/>
    <w:rsid w:val="00D12FE7"/>
    <w:rsid w:val="00D13047"/>
    <w:rsid w:val="00D1304A"/>
    <w:rsid w:val="00D13086"/>
    <w:rsid w:val="00D130D8"/>
    <w:rsid w:val="00D130FB"/>
    <w:rsid w:val="00D1316A"/>
    <w:rsid w:val="00D13208"/>
    <w:rsid w:val="00D13323"/>
    <w:rsid w:val="00D13326"/>
    <w:rsid w:val="00D13345"/>
    <w:rsid w:val="00D13421"/>
    <w:rsid w:val="00D13434"/>
    <w:rsid w:val="00D13444"/>
    <w:rsid w:val="00D1347A"/>
    <w:rsid w:val="00D134CF"/>
    <w:rsid w:val="00D134E1"/>
    <w:rsid w:val="00D1352D"/>
    <w:rsid w:val="00D1357D"/>
    <w:rsid w:val="00D135A7"/>
    <w:rsid w:val="00D135EB"/>
    <w:rsid w:val="00D135FF"/>
    <w:rsid w:val="00D136BA"/>
    <w:rsid w:val="00D136DC"/>
    <w:rsid w:val="00D1374E"/>
    <w:rsid w:val="00D1375B"/>
    <w:rsid w:val="00D13770"/>
    <w:rsid w:val="00D137D1"/>
    <w:rsid w:val="00D137FE"/>
    <w:rsid w:val="00D13847"/>
    <w:rsid w:val="00D138C4"/>
    <w:rsid w:val="00D13924"/>
    <w:rsid w:val="00D1397B"/>
    <w:rsid w:val="00D139C3"/>
    <w:rsid w:val="00D139EA"/>
    <w:rsid w:val="00D13A18"/>
    <w:rsid w:val="00D13B42"/>
    <w:rsid w:val="00D13C57"/>
    <w:rsid w:val="00D13CD7"/>
    <w:rsid w:val="00D13D6C"/>
    <w:rsid w:val="00D13D88"/>
    <w:rsid w:val="00D13E3C"/>
    <w:rsid w:val="00D13E9E"/>
    <w:rsid w:val="00D13F6C"/>
    <w:rsid w:val="00D13FA2"/>
    <w:rsid w:val="00D13FA5"/>
    <w:rsid w:val="00D14057"/>
    <w:rsid w:val="00D14139"/>
    <w:rsid w:val="00D14149"/>
    <w:rsid w:val="00D14169"/>
    <w:rsid w:val="00D1417C"/>
    <w:rsid w:val="00D141D9"/>
    <w:rsid w:val="00D141E0"/>
    <w:rsid w:val="00D141E2"/>
    <w:rsid w:val="00D1422E"/>
    <w:rsid w:val="00D142FD"/>
    <w:rsid w:val="00D14305"/>
    <w:rsid w:val="00D14412"/>
    <w:rsid w:val="00D1447D"/>
    <w:rsid w:val="00D1449B"/>
    <w:rsid w:val="00D144F9"/>
    <w:rsid w:val="00D14588"/>
    <w:rsid w:val="00D145E1"/>
    <w:rsid w:val="00D14607"/>
    <w:rsid w:val="00D14661"/>
    <w:rsid w:val="00D146B8"/>
    <w:rsid w:val="00D146DA"/>
    <w:rsid w:val="00D147ED"/>
    <w:rsid w:val="00D147EE"/>
    <w:rsid w:val="00D1482E"/>
    <w:rsid w:val="00D14875"/>
    <w:rsid w:val="00D148C8"/>
    <w:rsid w:val="00D14936"/>
    <w:rsid w:val="00D149C2"/>
    <w:rsid w:val="00D14A18"/>
    <w:rsid w:val="00D14B11"/>
    <w:rsid w:val="00D14B7E"/>
    <w:rsid w:val="00D14C46"/>
    <w:rsid w:val="00D14C99"/>
    <w:rsid w:val="00D14CDC"/>
    <w:rsid w:val="00D14D07"/>
    <w:rsid w:val="00D14D1E"/>
    <w:rsid w:val="00D14D4A"/>
    <w:rsid w:val="00D14D82"/>
    <w:rsid w:val="00D14EB2"/>
    <w:rsid w:val="00D14ECE"/>
    <w:rsid w:val="00D14F99"/>
    <w:rsid w:val="00D15001"/>
    <w:rsid w:val="00D15105"/>
    <w:rsid w:val="00D15108"/>
    <w:rsid w:val="00D15131"/>
    <w:rsid w:val="00D15139"/>
    <w:rsid w:val="00D15187"/>
    <w:rsid w:val="00D152F0"/>
    <w:rsid w:val="00D1532B"/>
    <w:rsid w:val="00D15397"/>
    <w:rsid w:val="00D1540F"/>
    <w:rsid w:val="00D154B9"/>
    <w:rsid w:val="00D15553"/>
    <w:rsid w:val="00D155C5"/>
    <w:rsid w:val="00D156D1"/>
    <w:rsid w:val="00D157C6"/>
    <w:rsid w:val="00D157FB"/>
    <w:rsid w:val="00D158A5"/>
    <w:rsid w:val="00D1590F"/>
    <w:rsid w:val="00D1598C"/>
    <w:rsid w:val="00D1599B"/>
    <w:rsid w:val="00D15A3B"/>
    <w:rsid w:val="00D15A86"/>
    <w:rsid w:val="00D15AEE"/>
    <w:rsid w:val="00D15B59"/>
    <w:rsid w:val="00D15B80"/>
    <w:rsid w:val="00D15BEC"/>
    <w:rsid w:val="00D15BF6"/>
    <w:rsid w:val="00D15C28"/>
    <w:rsid w:val="00D15C46"/>
    <w:rsid w:val="00D15C8C"/>
    <w:rsid w:val="00D15CE1"/>
    <w:rsid w:val="00D15DAA"/>
    <w:rsid w:val="00D15E17"/>
    <w:rsid w:val="00D15E66"/>
    <w:rsid w:val="00D15EBC"/>
    <w:rsid w:val="00D15F37"/>
    <w:rsid w:val="00D15F3B"/>
    <w:rsid w:val="00D15F49"/>
    <w:rsid w:val="00D15F51"/>
    <w:rsid w:val="00D15F56"/>
    <w:rsid w:val="00D16080"/>
    <w:rsid w:val="00D160C2"/>
    <w:rsid w:val="00D16117"/>
    <w:rsid w:val="00D1611C"/>
    <w:rsid w:val="00D161CC"/>
    <w:rsid w:val="00D1626A"/>
    <w:rsid w:val="00D16270"/>
    <w:rsid w:val="00D162E4"/>
    <w:rsid w:val="00D16373"/>
    <w:rsid w:val="00D163C5"/>
    <w:rsid w:val="00D16410"/>
    <w:rsid w:val="00D16462"/>
    <w:rsid w:val="00D16496"/>
    <w:rsid w:val="00D16583"/>
    <w:rsid w:val="00D1662B"/>
    <w:rsid w:val="00D16736"/>
    <w:rsid w:val="00D1689A"/>
    <w:rsid w:val="00D168B2"/>
    <w:rsid w:val="00D168B6"/>
    <w:rsid w:val="00D168CD"/>
    <w:rsid w:val="00D1698E"/>
    <w:rsid w:val="00D169A8"/>
    <w:rsid w:val="00D16A1A"/>
    <w:rsid w:val="00D16A50"/>
    <w:rsid w:val="00D16ABE"/>
    <w:rsid w:val="00D16B96"/>
    <w:rsid w:val="00D16BA0"/>
    <w:rsid w:val="00D16BAC"/>
    <w:rsid w:val="00D16BC0"/>
    <w:rsid w:val="00D16C76"/>
    <w:rsid w:val="00D16CD2"/>
    <w:rsid w:val="00D16CD8"/>
    <w:rsid w:val="00D16CE9"/>
    <w:rsid w:val="00D16DC7"/>
    <w:rsid w:val="00D16E62"/>
    <w:rsid w:val="00D16EAE"/>
    <w:rsid w:val="00D16ED0"/>
    <w:rsid w:val="00D16ED4"/>
    <w:rsid w:val="00D16ED7"/>
    <w:rsid w:val="00D16F16"/>
    <w:rsid w:val="00D16F6A"/>
    <w:rsid w:val="00D16F85"/>
    <w:rsid w:val="00D16FE3"/>
    <w:rsid w:val="00D17138"/>
    <w:rsid w:val="00D1717D"/>
    <w:rsid w:val="00D17196"/>
    <w:rsid w:val="00D171BC"/>
    <w:rsid w:val="00D171C0"/>
    <w:rsid w:val="00D171C9"/>
    <w:rsid w:val="00D17206"/>
    <w:rsid w:val="00D1725A"/>
    <w:rsid w:val="00D17268"/>
    <w:rsid w:val="00D1728F"/>
    <w:rsid w:val="00D1729E"/>
    <w:rsid w:val="00D172D0"/>
    <w:rsid w:val="00D1735B"/>
    <w:rsid w:val="00D1743E"/>
    <w:rsid w:val="00D174A9"/>
    <w:rsid w:val="00D17560"/>
    <w:rsid w:val="00D1757F"/>
    <w:rsid w:val="00D17594"/>
    <w:rsid w:val="00D175CD"/>
    <w:rsid w:val="00D17602"/>
    <w:rsid w:val="00D17605"/>
    <w:rsid w:val="00D17658"/>
    <w:rsid w:val="00D1767B"/>
    <w:rsid w:val="00D176A2"/>
    <w:rsid w:val="00D176DE"/>
    <w:rsid w:val="00D1775C"/>
    <w:rsid w:val="00D177A1"/>
    <w:rsid w:val="00D17915"/>
    <w:rsid w:val="00D17923"/>
    <w:rsid w:val="00D17954"/>
    <w:rsid w:val="00D1795C"/>
    <w:rsid w:val="00D179AB"/>
    <w:rsid w:val="00D17A37"/>
    <w:rsid w:val="00D17B6C"/>
    <w:rsid w:val="00D17B7E"/>
    <w:rsid w:val="00D17B97"/>
    <w:rsid w:val="00D17B9C"/>
    <w:rsid w:val="00D17BD9"/>
    <w:rsid w:val="00D17C13"/>
    <w:rsid w:val="00D17C28"/>
    <w:rsid w:val="00D17C51"/>
    <w:rsid w:val="00D17C76"/>
    <w:rsid w:val="00D17CE9"/>
    <w:rsid w:val="00D17D58"/>
    <w:rsid w:val="00D17E32"/>
    <w:rsid w:val="00D17E39"/>
    <w:rsid w:val="00D17E57"/>
    <w:rsid w:val="00D17E97"/>
    <w:rsid w:val="00D17EC1"/>
    <w:rsid w:val="00D17EC6"/>
    <w:rsid w:val="00D17EC8"/>
    <w:rsid w:val="00D17ED4"/>
    <w:rsid w:val="00D17F6F"/>
    <w:rsid w:val="00D17F87"/>
    <w:rsid w:val="00D17FF9"/>
    <w:rsid w:val="00D17FFA"/>
    <w:rsid w:val="00D2000D"/>
    <w:rsid w:val="00D2002F"/>
    <w:rsid w:val="00D2004B"/>
    <w:rsid w:val="00D20074"/>
    <w:rsid w:val="00D200DC"/>
    <w:rsid w:val="00D2010A"/>
    <w:rsid w:val="00D20118"/>
    <w:rsid w:val="00D20147"/>
    <w:rsid w:val="00D201F9"/>
    <w:rsid w:val="00D20269"/>
    <w:rsid w:val="00D20308"/>
    <w:rsid w:val="00D20325"/>
    <w:rsid w:val="00D20356"/>
    <w:rsid w:val="00D20377"/>
    <w:rsid w:val="00D20387"/>
    <w:rsid w:val="00D20391"/>
    <w:rsid w:val="00D20394"/>
    <w:rsid w:val="00D2040C"/>
    <w:rsid w:val="00D20512"/>
    <w:rsid w:val="00D20541"/>
    <w:rsid w:val="00D2055C"/>
    <w:rsid w:val="00D2055D"/>
    <w:rsid w:val="00D205C3"/>
    <w:rsid w:val="00D20613"/>
    <w:rsid w:val="00D20674"/>
    <w:rsid w:val="00D20688"/>
    <w:rsid w:val="00D20735"/>
    <w:rsid w:val="00D2085E"/>
    <w:rsid w:val="00D20874"/>
    <w:rsid w:val="00D2091B"/>
    <w:rsid w:val="00D209D3"/>
    <w:rsid w:val="00D209FA"/>
    <w:rsid w:val="00D20B0B"/>
    <w:rsid w:val="00D20C3E"/>
    <w:rsid w:val="00D20D27"/>
    <w:rsid w:val="00D20E12"/>
    <w:rsid w:val="00D20E4D"/>
    <w:rsid w:val="00D20E71"/>
    <w:rsid w:val="00D20F58"/>
    <w:rsid w:val="00D20F5D"/>
    <w:rsid w:val="00D20F9D"/>
    <w:rsid w:val="00D20FE7"/>
    <w:rsid w:val="00D21067"/>
    <w:rsid w:val="00D210B7"/>
    <w:rsid w:val="00D21104"/>
    <w:rsid w:val="00D21114"/>
    <w:rsid w:val="00D21174"/>
    <w:rsid w:val="00D211A2"/>
    <w:rsid w:val="00D211C2"/>
    <w:rsid w:val="00D21260"/>
    <w:rsid w:val="00D21387"/>
    <w:rsid w:val="00D2138A"/>
    <w:rsid w:val="00D21396"/>
    <w:rsid w:val="00D2141C"/>
    <w:rsid w:val="00D21472"/>
    <w:rsid w:val="00D21491"/>
    <w:rsid w:val="00D214C2"/>
    <w:rsid w:val="00D2152F"/>
    <w:rsid w:val="00D215DF"/>
    <w:rsid w:val="00D2163F"/>
    <w:rsid w:val="00D2178D"/>
    <w:rsid w:val="00D217D5"/>
    <w:rsid w:val="00D21823"/>
    <w:rsid w:val="00D218A8"/>
    <w:rsid w:val="00D218DB"/>
    <w:rsid w:val="00D21990"/>
    <w:rsid w:val="00D219B8"/>
    <w:rsid w:val="00D21ADB"/>
    <w:rsid w:val="00D21B55"/>
    <w:rsid w:val="00D21B6F"/>
    <w:rsid w:val="00D21BA0"/>
    <w:rsid w:val="00D21CEC"/>
    <w:rsid w:val="00D21D1C"/>
    <w:rsid w:val="00D21E57"/>
    <w:rsid w:val="00D21E70"/>
    <w:rsid w:val="00D21E88"/>
    <w:rsid w:val="00D21EA2"/>
    <w:rsid w:val="00D21EA7"/>
    <w:rsid w:val="00D21ECE"/>
    <w:rsid w:val="00D21F0A"/>
    <w:rsid w:val="00D21FBE"/>
    <w:rsid w:val="00D21FEA"/>
    <w:rsid w:val="00D21FF7"/>
    <w:rsid w:val="00D22149"/>
    <w:rsid w:val="00D22170"/>
    <w:rsid w:val="00D2218C"/>
    <w:rsid w:val="00D221E8"/>
    <w:rsid w:val="00D22251"/>
    <w:rsid w:val="00D222A4"/>
    <w:rsid w:val="00D222C8"/>
    <w:rsid w:val="00D222E6"/>
    <w:rsid w:val="00D223A0"/>
    <w:rsid w:val="00D223C2"/>
    <w:rsid w:val="00D2243D"/>
    <w:rsid w:val="00D22443"/>
    <w:rsid w:val="00D2245E"/>
    <w:rsid w:val="00D22467"/>
    <w:rsid w:val="00D22482"/>
    <w:rsid w:val="00D22485"/>
    <w:rsid w:val="00D224DA"/>
    <w:rsid w:val="00D224DF"/>
    <w:rsid w:val="00D22523"/>
    <w:rsid w:val="00D22597"/>
    <w:rsid w:val="00D22621"/>
    <w:rsid w:val="00D22784"/>
    <w:rsid w:val="00D227CA"/>
    <w:rsid w:val="00D227CE"/>
    <w:rsid w:val="00D227DF"/>
    <w:rsid w:val="00D227F8"/>
    <w:rsid w:val="00D22830"/>
    <w:rsid w:val="00D2287A"/>
    <w:rsid w:val="00D2292B"/>
    <w:rsid w:val="00D2292F"/>
    <w:rsid w:val="00D22970"/>
    <w:rsid w:val="00D2298B"/>
    <w:rsid w:val="00D229F3"/>
    <w:rsid w:val="00D229F4"/>
    <w:rsid w:val="00D22A7E"/>
    <w:rsid w:val="00D22B19"/>
    <w:rsid w:val="00D22B92"/>
    <w:rsid w:val="00D22BB7"/>
    <w:rsid w:val="00D22C20"/>
    <w:rsid w:val="00D22C7C"/>
    <w:rsid w:val="00D22D69"/>
    <w:rsid w:val="00D22D8F"/>
    <w:rsid w:val="00D22E82"/>
    <w:rsid w:val="00D22EA5"/>
    <w:rsid w:val="00D22EBF"/>
    <w:rsid w:val="00D22EE9"/>
    <w:rsid w:val="00D22F41"/>
    <w:rsid w:val="00D22F74"/>
    <w:rsid w:val="00D22FEB"/>
    <w:rsid w:val="00D2305E"/>
    <w:rsid w:val="00D2306A"/>
    <w:rsid w:val="00D2307A"/>
    <w:rsid w:val="00D230B5"/>
    <w:rsid w:val="00D230C4"/>
    <w:rsid w:val="00D230C7"/>
    <w:rsid w:val="00D23187"/>
    <w:rsid w:val="00D231A1"/>
    <w:rsid w:val="00D2323D"/>
    <w:rsid w:val="00D23289"/>
    <w:rsid w:val="00D232B1"/>
    <w:rsid w:val="00D23331"/>
    <w:rsid w:val="00D23380"/>
    <w:rsid w:val="00D233C7"/>
    <w:rsid w:val="00D2342A"/>
    <w:rsid w:val="00D2345A"/>
    <w:rsid w:val="00D2345F"/>
    <w:rsid w:val="00D234A2"/>
    <w:rsid w:val="00D234B5"/>
    <w:rsid w:val="00D23547"/>
    <w:rsid w:val="00D2355C"/>
    <w:rsid w:val="00D23584"/>
    <w:rsid w:val="00D235C0"/>
    <w:rsid w:val="00D236E1"/>
    <w:rsid w:val="00D236E4"/>
    <w:rsid w:val="00D23777"/>
    <w:rsid w:val="00D2379C"/>
    <w:rsid w:val="00D237BE"/>
    <w:rsid w:val="00D23803"/>
    <w:rsid w:val="00D23822"/>
    <w:rsid w:val="00D23849"/>
    <w:rsid w:val="00D238B9"/>
    <w:rsid w:val="00D238F8"/>
    <w:rsid w:val="00D238FF"/>
    <w:rsid w:val="00D23A57"/>
    <w:rsid w:val="00D23ACE"/>
    <w:rsid w:val="00D23B11"/>
    <w:rsid w:val="00D23B2D"/>
    <w:rsid w:val="00D23BA2"/>
    <w:rsid w:val="00D23BC0"/>
    <w:rsid w:val="00D23C19"/>
    <w:rsid w:val="00D23C1F"/>
    <w:rsid w:val="00D23C41"/>
    <w:rsid w:val="00D23DA5"/>
    <w:rsid w:val="00D23DD3"/>
    <w:rsid w:val="00D23EAC"/>
    <w:rsid w:val="00D23EC5"/>
    <w:rsid w:val="00D23EDF"/>
    <w:rsid w:val="00D23EEC"/>
    <w:rsid w:val="00D23F36"/>
    <w:rsid w:val="00D23F4B"/>
    <w:rsid w:val="00D23F8E"/>
    <w:rsid w:val="00D23FC4"/>
    <w:rsid w:val="00D23FC7"/>
    <w:rsid w:val="00D24055"/>
    <w:rsid w:val="00D2411F"/>
    <w:rsid w:val="00D24198"/>
    <w:rsid w:val="00D241F5"/>
    <w:rsid w:val="00D2426C"/>
    <w:rsid w:val="00D24278"/>
    <w:rsid w:val="00D242E9"/>
    <w:rsid w:val="00D242F5"/>
    <w:rsid w:val="00D24319"/>
    <w:rsid w:val="00D2436A"/>
    <w:rsid w:val="00D2436C"/>
    <w:rsid w:val="00D243F3"/>
    <w:rsid w:val="00D24408"/>
    <w:rsid w:val="00D2440A"/>
    <w:rsid w:val="00D244DA"/>
    <w:rsid w:val="00D24585"/>
    <w:rsid w:val="00D245FB"/>
    <w:rsid w:val="00D24606"/>
    <w:rsid w:val="00D24613"/>
    <w:rsid w:val="00D2465A"/>
    <w:rsid w:val="00D246A0"/>
    <w:rsid w:val="00D2473C"/>
    <w:rsid w:val="00D24740"/>
    <w:rsid w:val="00D247DE"/>
    <w:rsid w:val="00D247EB"/>
    <w:rsid w:val="00D247F4"/>
    <w:rsid w:val="00D24868"/>
    <w:rsid w:val="00D2499A"/>
    <w:rsid w:val="00D249A6"/>
    <w:rsid w:val="00D24A5F"/>
    <w:rsid w:val="00D24ACB"/>
    <w:rsid w:val="00D24AF4"/>
    <w:rsid w:val="00D24B18"/>
    <w:rsid w:val="00D24BAA"/>
    <w:rsid w:val="00D24DC6"/>
    <w:rsid w:val="00D24DD7"/>
    <w:rsid w:val="00D24E01"/>
    <w:rsid w:val="00D24EC4"/>
    <w:rsid w:val="00D24ED7"/>
    <w:rsid w:val="00D24F29"/>
    <w:rsid w:val="00D24FC5"/>
    <w:rsid w:val="00D25007"/>
    <w:rsid w:val="00D2504B"/>
    <w:rsid w:val="00D2515B"/>
    <w:rsid w:val="00D25168"/>
    <w:rsid w:val="00D251AD"/>
    <w:rsid w:val="00D25273"/>
    <w:rsid w:val="00D252DA"/>
    <w:rsid w:val="00D252FD"/>
    <w:rsid w:val="00D25310"/>
    <w:rsid w:val="00D25344"/>
    <w:rsid w:val="00D253D8"/>
    <w:rsid w:val="00D2541E"/>
    <w:rsid w:val="00D254AC"/>
    <w:rsid w:val="00D254DF"/>
    <w:rsid w:val="00D2550B"/>
    <w:rsid w:val="00D25587"/>
    <w:rsid w:val="00D25605"/>
    <w:rsid w:val="00D25665"/>
    <w:rsid w:val="00D2568F"/>
    <w:rsid w:val="00D256ED"/>
    <w:rsid w:val="00D25760"/>
    <w:rsid w:val="00D25799"/>
    <w:rsid w:val="00D257E3"/>
    <w:rsid w:val="00D2586C"/>
    <w:rsid w:val="00D2587C"/>
    <w:rsid w:val="00D258A6"/>
    <w:rsid w:val="00D258D9"/>
    <w:rsid w:val="00D25917"/>
    <w:rsid w:val="00D25935"/>
    <w:rsid w:val="00D25A08"/>
    <w:rsid w:val="00D25A6E"/>
    <w:rsid w:val="00D25B0F"/>
    <w:rsid w:val="00D25B35"/>
    <w:rsid w:val="00D25BF6"/>
    <w:rsid w:val="00D25C55"/>
    <w:rsid w:val="00D25C7B"/>
    <w:rsid w:val="00D25CD2"/>
    <w:rsid w:val="00D25CE3"/>
    <w:rsid w:val="00D25CF0"/>
    <w:rsid w:val="00D25CF5"/>
    <w:rsid w:val="00D25D0F"/>
    <w:rsid w:val="00D25D41"/>
    <w:rsid w:val="00D25D54"/>
    <w:rsid w:val="00D25DA1"/>
    <w:rsid w:val="00D25DAB"/>
    <w:rsid w:val="00D25E67"/>
    <w:rsid w:val="00D25F25"/>
    <w:rsid w:val="00D25F33"/>
    <w:rsid w:val="00D25F64"/>
    <w:rsid w:val="00D25FC1"/>
    <w:rsid w:val="00D2600A"/>
    <w:rsid w:val="00D2603F"/>
    <w:rsid w:val="00D2608C"/>
    <w:rsid w:val="00D260B5"/>
    <w:rsid w:val="00D260CF"/>
    <w:rsid w:val="00D260EF"/>
    <w:rsid w:val="00D260FB"/>
    <w:rsid w:val="00D2619F"/>
    <w:rsid w:val="00D26210"/>
    <w:rsid w:val="00D26221"/>
    <w:rsid w:val="00D262F4"/>
    <w:rsid w:val="00D26300"/>
    <w:rsid w:val="00D26332"/>
    <w:rsid w:val="00D2633F"/>
    <w:rsid w:val="00D26359"/>
    <w:rsid w:val="00D263CF"/>
    <w:rsid w:val="00D2652B"/>
    <w:rsid w:val="00D26545"/>
    <w:rsid w:val="00D26570"/>
    <w:rsid w:val="00D265B3"/>
    <w:rsid w:val="00D265F2"/>
    <w:rsid w:val="00D2660B"/>
    <w:rsid w:val="00D26710"/>
    <w:rsid w:val="00D26712"/>
    <w:rsid w:val="00D26732"/>
    <w:rsid w:val="00D26764"/>
    <w:rsid w:val="00D2676F"/>
    <w:rsid w:val="00D267C4"/>
    <w:rsid w:val="00D267D5"/>
    <w:rsid w:val="00D267E9"/>
    <w:rsid w:val="00D26843"/>
    <w:rsid w:val="00D26849"/>
    <w:rsid w:val="00D26855"/>
    <w:rsid w:val="00D26872"/>
    <w:rsid w:val="00D268C8"/>
    <w:rsid w:val="00D268D6"/>
    <w:rsid w:val="00D26985"/>
    <w:rsid w:val="00D26A47"/>
    <w:rsid w:val="00D26A4C"/>
    <w:rsid w:val="00D26A4E"/>
    <w:rsid w:val="00D26B64"/>
    <w:rsid w:val="00D26BD5"/>
    <w:rsid w:val="00D26BF1"/>
    <w:rsid w:val="00D26C53"/>
    <w:rsid w:val="00D26D12"/>
    <w:rsid w:val="00D26D36"/>
    <w:rsid w:val="00D26D61"/>
    <w:rsid w:val="00D26E42"/>
    <w:rsid w:val="00D26EB6"/>
    <w:rsid w:val="00D26F03"/>
    <w:rsid w:val="00D26F17"/>
    <w:rsid w:val="00D26F44"/>
    <w:rsid w:val="00D26F63"/>
    <w:rsid w:val="00D26F7A"/>
    <w:rsid w:val="00D26FBF"/>
    <w:rsid w:val="00D27102"/>
    <w:rsid w:val="00D27137"/>
    <w:rsid w:val="00D272D6"/>
    <w:rsid w:val="00D27344"/>
    <w:rsid w:val="00D273BC"/>
    <w:rsid w:val="00D273D4"/>
    <w:rsid w:val="00D273FB"/>
    <w:rsid w:val="00D27406"/>
    <w:rsid w:val="00D27486"/>
    <w:rsid w:val="00D2754D"/>
    <w:rsid w:val="00D27599"/>
    <w:rsid w:val="00D275B7"/>
    <w:rsid w:val="00D275DB"/>
    <w:rsid w:val="00D275FF"/>
    <w:rsid w:val="00D27619"/>
    <w:rsid w:val="00D27690"/>
    <w:rsid w:val="00D2775C"/>
    <w:rsid w:val="00D27762"/>
    <w:rsid w:val="00D2776C"/>
    <w:rsid w:val="00D27849"/>
    <w:rsid w:val="00D278A0"/>
    <w:rsid w:val="00D2794B"/>
    <w:rsid w:val="00D27951"/>
    <w:rsid w:val="00D27A9F"/>
    <w:rsid w:val="00D27AA3"/>
    <w:rsid w:val="00D27AB8"/>
    <w:rsid w:val="00D27B33"/>
    <w:rsid w:val="00D27BCC"/>
    <w:rsid w:val="00D27C4E"/>
    <w:rsid w:val="00D27D1E"/>
    <w:rsid w:val="00D27D2F"/>
    <w:rsid w:val="00D27D31"/>
    <w:rsid w:val="00D27E15"/>
    <w:rsid w:val="00D27E2C"/>
    <w:rsid w:val="00D27E75"/>
    <w:rsid w:val="00D27ED3"/>
    <w:rsid w:val="00D27F23"/>
    <w:rsid w:val="00D27F9A"/>
    <w:rsid w:val="00D27FFE"/>
    <w:rsid w:val="00D30079"/>
    <w:rsid w:val="00D300BD"/>
    <w:rsid w:val="00D300D4"/>
    <w:rsid w:val="00D300D7"/>
    <w:rsid w:val="00D3016E"/>
    <w:rsid w:val="00D301A2"/>
    <w:rsid w:val="00D30232"/>
    <w:rsid w:val="00D3025B"/>
    <w:rsid w:val="00D30290"/>
    <w:rsid w:val="00D30292"/>
    <w:rsid w:val="00D30351"/>
    <w:rsid w:val="00D30370"/>
    <w:rsid w:val="00D30377"/>
    <w:rsid w:val="00D30410"/>
    <w:rsid w:val="00D304B2"/>
    <w:rsid w:val="00D304F5"/>
    <w:rsid w:val="00D3060A"/>
    <w:rsid w:val="00D306CD"/>
    <w:rsid w:val="00D3071F"/>
    <w:rsid w:val="00D3078E"/>
    <w:rsid w:val="00D307E6"/>
    <w:rsid w:val="00D30831"/>
    <w:rsid w:val="00D3087A"/>
    <w:rsid w:val="00D3090A"/>
    <w:rsid w:val="00D30974"/>
    <w:rsid w:val="00D309CA"/>
    <w:rsid w:val="00D30A55"/>
    <w:rsid w:val="00D30A98"/>
    <w:rsid w:val="00D30AB1"/>
    <w:rsid w:val="00D30AC7"/>
    <w:rsid w:val="00D30B4D"/>
    <w:rsid w:val="00D30BFB"/>
    <w:rsid w:val="00D30CB6"/>
    <w:rsid w:val="00D30CEA"/>
    <w:rsid w:val="00D30D02"/>
    <w:rsid w:val="00D30D1C"/>
    <w:rsid w:val="00D30D89"/>
    <w:rsid w:val="00D30DE2"/>
    <w:rsid w:val="00D30DF2"/>
    <w:rsid w:val="00D30E2B"/>
    <w:rsid w:val="00D30E2E"/>
    <w:rsid w:val="00D30EAF"/>
    <w:rsid w:val="00D30EC3"/>
    <w:rsid w:val="00D30F7F"/>
    <w:rsid w:val="00D30F90"/>
    <w:rsid w:val="00D30F91"/>
    <w:rsid w:val="00D3102D"/>
    <w:rsid w:val="00D31055"/>
    <w:rsid w:val="00D31076"/>
    <w:rsid w:val="00D3107D"/>
    <w:rsid w:val="00D310CC"/>
    <w:rsid w:val="00D31120"/>
    <w:rsid w:val="00D31217"/>
    <w:rsid w:val="00D31275"/>
    <w:rsid w:val="00D3129C"/>
    <w:rsid w:val="00D312E5"/>
    <w:rsid w:val="00D3135D"/>
    <w:rsid w:val="00D313AE"/>
    <w:rsid w:val="00D313B0"/>
    <w:rsid w:val="00D313FA"/>
    <w:rsid w:val="00D3151E"/>
    <w:rsid w:val="00D3153F"/>
    <w:rsid w:val="00D31547"/>
    <w:rsid w:val="00D31582"/>
    <w:rsid w:val="00D3163B"/>
    <w:rsid w:val="00D3177A"/>
    <w:rsid w:val="00D317CD"/>
    <w:rsid w:val="00D31801"/>
    <w:rsid w:val="00D31814"/>
    <w:rsid w:val="00D318B0"/>
    <w:rsid w:val="00D318E4"/>
    <w:rsid w:val="00D318E7"/>
    <w:rsid w:val="00D318FF"/>
    <w:rsid w:val="00D31934"/>
    <w:rsid w:val="00D31938"/>
    <w:rsid w:val="00D319A1"/>
    <w:rsid w:val="00D319E9"/>
    <w:rsid w:val="00D31A0B"/>
    <w:rsid w:val="00D31A82"/>
    <w:rsid w:val="00D31A8B"/>
    <w:rsid w:val="00D31A8D"/>
    <w:rsid w:val="00D31AA7"/>
    <w:rsid w:val="00D31AB5"/>
    <w:rsid w:val="00D31BCA"/>
    <w:rsid w:val="00D31BDF"/>
    <w:rsid w:val="00D31BEB"/>
    <w:rsid w:val="00D31D18"/>
    <w:rsid w:val="00D31D31"/>
    <w:rsid w:val="00D31D4E"/>
    <w:rsid w:val="00D31D5B"/>
    <w:rsid w:val="00D31D69"/>
    <w:rsid w:val="00D31D91"/>
    <w:rsid w:val="00D31DA7"/>
    <w:rsid w:val="00D31E08"/>
    <w:rsid w:val="00D31E17"/>
    <w:rsid w:val="00D31F28"/>
    <w:rsid w:val="00D31F2D"/>
    <w:rsid w:val="00D32023"/>
    <w:rsid w:val="00D320D8"/>
    <w:rsid w:val="00D320E6"/>
    <w:rsid w:val="00D320FC"/>
    <w:rsid w:val="00D32131"/>
    <w:rsid w:val="00D321A6"/>
    <w:rsid w:val="00D321E1"/>
    <w:rsid w:val="00D321E3"/>
    <w:rsid w:val="00D3223E"/>
    <w:rsid w:val="00D32241"/>
    <w:rsid w:val="00D32277"/>
    <w:rsid w:val="00D322A6"/>
    <w:rsid w:val="00D3238D"/>
    <w:rsid w:val="00D3240E"/>
    <w:rsid w:val="00D32437"/>
    <w:rsid w:val="00D324AE"/>
    <w:rsid w:val="00D324BE"/>
    <w:rsid w:val="00D32535"/>
    <w:rsid w:val="00D3255E"/>
    <w:rsid w:val="00D3265D"/>
    <w:rsid w:val="00D32737"/>
    <w:rsid w:val="00D32749"/>
    <w:rsid w:val="00D32772"/>
    <w:rsid w:val="00D3279C"/>
    <w:rsid w:val="00D327D3"/>
    <w:rsid w:val="00D3281C"/>
    <w:rsid w:val="00D32831"/>
    <w:rsid w:val="00D32836"/>
    <w:rsid w:val="00D3286B"/>
    <w:rsid w:val="00D3287B"/>
    <w:rsid w:val="00D328AD"/>
    <w:rsid w:val="00D3290F"/>
    <w:rsid w:val="00D32986"/>
    <w:rsid w:val="00D32A10"/>
    <w:rsid w:val="00D32A42"/>
    <w:rsid w:val="00D32AD3"/>
    <w:rsid w:val="00D32B9F"/>
    <w:rsid w:val="00D32C8C"/>
    <w:rsid w:val="00D32CB6"/>
    <w:rsid w:val="00D32CBF"/>
    <w:rsid w:val="00D32CE1"/>
    <w:rsid w:val="00D32DE9"/>
    <w:rsid w:val="00D32DEC"/>
    <w:rsid w:val="00D32E1F"/>
    <w:rsid w:val="00D32F1D"/>
    <w:rsid w:val="00D32F33"/>
    <w:rsid w:val="00D32F34"/>
    <w:rsid w:val="00D33026"/>
    <w:rsid w:val="00D33042"/>
    <w:rsid w:val="00D33079"/>
    <w:rsid w:val="00D330A8"/>
    <w:rsid w:val="00D330D1"/>
    <w:rsid w:val="00D33129"/>
    <w:rsid w:val="00D3314F"/>
    <w:rsid w:val="00D331DF"/>
    <w:rsid w:val="00D33262"/>
    <w:rsid w:val="00D33299"/>
    <w:rsid w:val="00D333F0"/>
    <w:rsid w:val="00D33432"/>
    <w:rsid w:val="00D3348B"/>
    <w:rsid w:val="00D334D4"/>
    <w:rsid w:val="00D3356F"/>
    <w:rsid w:val="00D33592"/>
    <w:rsid w:val="00D3367A"/>
    <w:rsid w:val="00D336F9"/>
    <w:rsid w:val="00D33708"/>
    <w:rsid w:val="00D3370B"/>
    <w:rsid w:val="00D3372E"/>
    <w:rsid w:val="00D337C8"/>
    <w:rsid w:val="00D3386E"/>
    <w:rsid w:val="00D33899"/>
    <w:rsid w:val="00D338D5"/>
    <w:rsid w:val="00D339E6"/>
    <w:rsid w:val="00D33A20"/>
    <w:rsid w:val="00D33A86"/>
    <w:rsid w:val="00D33BE1"/>
    <w:rsid w:val="00D33C06"/>
    <w:rsid w:val="00D33C1B"/>
    <w:rsid w:val="00D33C8E"/>
    <w:rsid w:val="00D33CF1"/>
    <w:rsid w:val="00D33D05"/>
    <w:rsid w:val="00D33DE4"/>
    <w:rsid w:val="00D33E60"/>
    <w:rsid w:val="00D33F1D"/>
    <w:rsid w:val="00D33F2E"/>
    <w:rsid w:val="00D33F32"/>
    <w:rsid w:val="00D33FA1"/>
    <w:rsid w:val="00D34032"/>
    <w:rsid w:val="00D3406C"/>
    <w:rsid w:val="00D340BE"/>
    <w:rsid w:val="00D340D8"/>
    <w:rsid w:val="00D341C9"/>
    <w:rsid w:val="00D341D4"/>
    <w:rsid w:val="00D341DA"/>
    <w:rsid w:val="00D341FB"/>
    <w:rsid w:val="00D34235"/>
    <w:rsid w:val="00D3423E"/>
    <w:rsid w:val="00D34275"/>
    <w:rsid w:val="00D34329"/>
    <w:rsid w:val="00D3441F"/>
    <w:rsid w:val="00D344B1"/>
    <w:rsid w:val="00D344F6"/>
    <w:rsid w:val="00D34520"/>
    <w:rsid w:val="00D34676"/>
    <w:rsid w:val="00D346AD"/>
    <w:rsid w:val="00D346C7"/>
    <w:rsid w:val="00D34714"/>
    <w:rsid w:val="00D3475A"/>
    <w:rsid w:val="00D348F8"/>
    <w:rsid w:val="00D348FC"/>
    <w:rsid w:val="00D34943"/>
    <w:rsid w:val="00D34A03"/>
    <w:rsid w:val="00D34A3B"/>
    <w:rsid w:val="00D34A6B"/>
    <w:rsid w:val="00D34A73"/>
    <w:rsid w:val="00D34AB3"/>
    <w:rsid w:val="00D34B3C"/>
    <w:rsid w:val="00D34C07"/>
    <w:rsid w:val="00D34C25"/>
    <w:rsid w:val="00D34C76"/>
    <w:rsid w:val="00D34C80"/>
    <w:rsid w:val="00D34C93"/>
    <w:rsid w:val="00D34CAF"/>
    <w:rsid w:val="00D34D02"/>
    <w:rsid w:val="00D34D2C"/>
    <w:rsid w:val="00D34D3B"/>
    <w:rsid w:val="00D34D6B"/>
    <w:rsid w:val="00D34DA1"/>
    <w:rsid w:val="00D34DA8"/>
    <w:rsid w:val="00D34E08"/>
    <w:rsid w:val="00D34E50"/>
    <w:rsid w:val="00D34E6A"/>
    <w:rsid w:val="00D34E75"/>
    <w:rsid w:val="00D34E9B"/>
    <w:rsid w:val="00D34EB6"/>
    <w:rsid w:val="00D3501D"/>
    <w:rsid w:val="00D35032"/>
    <w:rsid w:val="00D35095"/>
    <w:rsid w:val="00D350D1"/>
    <w:rsid w:val="00D352B2"/>
    <w:rsid w:val="00D35333"/>
    <w:rsid w:val="00D3535E"/>
    <w:rsid w:val="00D35361"/>
    <w:rsid w:val="00D35365"/>
    <w:rsid w:val="00D3543E"/>
    <w:rsid w:val="00D35453"/>
    <w:rsid w:val="00D354D7"/>
    <w:rsid w:val="00D354E7"/>
    <w:rsid w:val="00D3550B"/>
    <w:rsid w:val="00D35522"/>
    <w:rsid w:val="00D355AF"/>
    <w:rsid w:val="00D355B3"/>
    <w:rsid w:val="00D3565F"/>
    <w:rsid w:val="00D35724"/>
    <w:rsid w:val="00D3576C"/>
    <w:rsid w:val="00D3579F"/>
    <w:rsid w:val="00D357DA"/>
    <w:rsid w:val="00D35830"/>
    <w:rsid w:val="00D358F4"/>
    <w:rsid w:val="00D35987"/>
    <w:rsid w:val="00D359F2"/>
    <w:rsid w:val="00D35A6E"/>
    <w:rsid w:val="00D35A75"/>
    <w:rsid w:val="00D35C42"/>
    <w:rsid w:val="00D35C6F"/>
    <w:rsid w:val="00D35C73"/>
    <w:rsid w:val="00D35CC3"/>
    <w:rsid w:val="00D35CDF"/>
    <w:rsid w:val="00D35D1B"/>
    <w:rsid w:val="00D35D51"/>
    <w:rsid w:val="00D35DBA"/>
    <w:rsid w:val="00D35E0D"/>
    <w:rsid w:val="00D35E3C"/>
    <w:rsid w:val="00D35E3E"/>
    <w:rsid w:val="00D35E82"/>
    <w:rsid w:val="00D35F68"/>
    <w:rsid w:val="00D3602D"/>
    <w:rsid w:val="00D3604D"/>
    <w:rsid w:val="00D360AE"/>
    <w:rsid w:val="00D36171"/>
    <w:rsid w:val="00D36183"/>
    <w:rsid w:val="00D36225"/>
    <w:rsid w:val="00D36250"/>
    <w:rsid w:val="00D3628F"/>
    <w:rsid w:val="00D36308"/>
    <w:rsid w:val="00D363F9"/>
    <w:rsid w:val="00D3642D"/>
    <w:rsid w:val="00D36453"/>
    <w:rsid w:val="00D3648F"/>
    <w:rsid w:val="00D36518"/>
    <w:rsid w:val="00D36529"/>
    <w:rsid w:val="00D36542"/>
    <w:rsid w:val="00D36593"/>
    <w:rsid w:val="00D365B1"/>
    <w:rsid w:val="00D365BD"/>
    <w:rsid w:val="00D366B2"/>
    <w:rsid w:val="00D3673E"/>
    <w:rsid w:val="00D36752"/>
    <w:rsid w:val="00D36779"/>
    <w:rsid w:val="00D36853"/>
    <w:rsid w:val="00D36868"/>
    <w:rsid w:val="00D3689B"/>
    <w:rsid w:val="00D36952"/>
    <w:rsid w:val="00D36A03"/>
    <w:rsid w:val="00D36ADB"/>
    <w:rsid w:val="00D36B88"/>
    <w:rsid w:val="00D36BF3"/>
    <w:rsid w:val="00D36C1A"/>
    <w:rsid w:val="00D36C47"/>
    <w:rsid w:val="00D36C59"/>
    <w:rsid w:val="00D36CBA"/>
    <w:rsid w:val="00D36D06"/>
    <w:rsid w:val="00D36DE0"/>
    <w:rsid w:val="00D36E19"/>
    <w:rsid w:val="00D36E96"/>
    <w:rsid w:val="00D36EA0"/>
    <w:rsid w:val="00D36EA8"/>
    <w:rsid w:val="00D36EC0"/>
    <w:rsid w:val="00D36F4A"/>
    <w:rsid w:val="00D36FC2"/>
    <w:rsid w:val="00D36FCA"/>
    <w:rsid w:val="00D36FD7"/>
    <w:rsid w:val="00D36FEE"/>
    <w:rsid w:val="00D3710B"/>
    <w:rsid w:val="00D37132"/>
    <w:rsid w:val="00D3713E"/>
    <w:rsid w:val="00D372B9"/>
    <w:rsid w:val="00D372D4"/>
    <w:rsid w:val="00D372D6"/>
    <w:rsid w:val="00D37387"/>
    <w:rsid w:val="00D373EB"/>
    <w:rsid w:val="00D3740D"/>
    <w:rsid w:val="00D374FA"/>
    <w:rsid w:val="00D37529"/>
    <w:rsid w:val="00D3752D"/>
    <w:rsid w:val="00D37558"/>
    <w:rsid w:val="00D37608"/>
    <w:rsid w:val="00D37656"/>
    <w:rsid w:val="00D3769A"/>
    <w:rsid w:val="00D37752"/>
    <w:rsid w:val="00D3778C"/>
    <w:rsid w:val="00D377B4"/>
    <w:rsid w:val="00D377CD"/>
    <w:rsid w:val="00D37814"/>
    <w:rsid w:val="00D37824"/>
    <w:rsid w:val="00D3799E"/>
    <w:rsid w:val="00D37AB3"/>
    <w:rsid w:val="00D37B10"/>
    <w:rsid w:val="00D37B42"/>
    <w:rsid w:val="00D37B9A"/>
    <w:rsid w:val="00D37BC1"/>
    <w:rsid w:val="00D37C1F"/>
    <w:rsid w:val="00D37DA7"/>
    <w:rsid w:val="00D37E32"/>
    <w:rsid w:val="00D37E4A"/>
    <w:rsid w:val="00D37E5F"/>
    <w:rsid w:val="00D37EF3"/>
    <w:rsid w:val="00D37F2E"/>
    <w:rsid w:val="00D37F59"/>
    <w:rsid w:val="00D37F6A"/>
    <w:rsid w:val="00D37FD7"/>
    <w:rsid w:val="00D37FE6"/>
    <w:rsid w:val="00D40061"/>
    <w:rsid w:val="00D400F1"/>
    <w:rsid w:val="00D40136"/>
    <w:rsid w:val="00D401A9"/>
    <w:rsid w:val="00D401E0"/>
    <w:rsid w:val="00D40254"/>
    <w:rsid w:val="00D40288"/>
    <w:rsid w:val="00D402A5"/>
    <w:rsid w:val="00D402C2"/>
    <w:rsid w:val="00D402F3"/>
    <w:rsid w:val="00D40314"/>
    <w:rsid w:val="00D403FC"/>
    <w:rsid w:val="00D4040D"/>
    <w:rsid w:val="00D4046E"/>
    <w:rsid w:val="00D404AC"/>
    <w:rsid w:val="00D404B3"/>
    <w:rsid w:val="00D404DA"/>
    <w:rsid w:val="00D40511"/>
    <w:rsid w:val="00D40579"/>
    <w:rsid w:val="00D405D0"/>
    <w:rsid w:val="00D40671"/>
    <w:rsid w:val="00D406B3"/>
    <w:rsid w:val="00D40803"/>
    <w:rsid w:val="00D4089B"/>
    <w:rsid w:val="00D408A3"/>
    <w:rsid w:val="00D40944"/>
    <w:rsid w:val="00D40955"/>
    <w:rsid w:val="00D4099A"/>
    <w:rsid w:val="00D40A03"/>
    <w:rsid w:val="00D40A19"/>
    <w:rsid w:val="00D40A29"/>
    <w:rsid w:val="00D40A36"/>
    <w:rsid w:val="00D40A7F"/>
    <w:rsid w:val="00D40AAB"/>
    <w:rsid w:val="00D40AC7"/>
    <w:rsid w:val="00D40AF8"/>
    <w:rsid w:val="00D40B33"/>
    <w:rsid w:val="00D40BC7"/>
    <w:rsid w:val="00D40C73"/>
    <w:rsid w:val="00D40CC8"/>
    <w:rsid w:val="00D40D7A"/>
    <w:rsid w:val="00D40E0D"/>
    <w:rsid w:val="00D40E6D"/>
    <w:rsid w:val="00D40F16"/>
    <w:rsid w:val="00D40F23"/>
    <w:rsid w:val="00D4105A"/>
    <w:rsid w:val="00D4107C"/>
    <w:rsid w:val="00D4115C"/>
    <w:rsid w:val="00D411A4"/>
    <w:rsid w:val="00D4123D"/>
    <w:rsid w:val="00D412BC"/>
    <w:rsid w:val="00D412D0"/>
    <w:rsid w:val="00D412F8"/>
    <w:rsid w:val="00D41334"/>
    <w:rsid w:val="00D41381"/>
    <w:rsid w:val="00D413CA"/>
    <w:rsid w:val="00D41417"/>
    <w:rsid w:val="00D41420"/>
    <w:rsid w:val="00D41499"/>
    <w:rsid w:val="00D414C5"/>
    <w:rsid w:val="00D4155F"/>
    <w:rsid w:val="00D4159F"/>
    <w:rsid w:val="00D415CC"/>
    <w:rsid w:val="00D4160F"/>
    <w:rsid w:val="00D41622"/>
    <w:rsid w:val="00D4163C"/>
    <w:rsid w:val="00D41665"/>
    <w:rsid w:val="00D4167C"/>
    <w:rsid w:val="00D416BA"/>
    <w:rsid w:val="00D416E4"/>
    <w:rsid w:val="00D4170D"/>
    <w:rsid w:val="00D41745"/>
    <w:rsid w:val="00D417F0"/>
    <w:rsid w:val="00D41892"/>
    <w:rsid w:val="00D4189F"/>
    <w:rsid w:val="00D418A5"/>
    <w:rsid w:val="00D418C9"/>
    <w:rsid w:val="00D41914"/>
    <w:rsid w:val="00D4194B"/>
    <w:rsid w:val="00D41AFF"/>
    <w:rsid w:val="00D41B03"/>
    <w:rsid w:val="00D41B29"/>
    <w:rsid w:val="00D41B80"/>
    <w:rsid w:val="00D41BA6"/>
    <w:rsid w:val="00D41BB7"/>
    <w:rsid w:val="00D41BD0"/>
    <w:rsid w:val="00D41BF3"/>
    <w:rsid w:val="00D41CE5"/>
    <w:rsid w:val="00D41D12"/>
    <w:rsid w:val="00D41D33"/>
    <w:rsid w:val="00D41D5E"/>
    <w:rsid w:val="00D41E68"/>
    <w:rsid w:val="00D41E85"/>
    <w:rsid w:val="00D41E8D"/>
    <w:rsid w:val="00D41E92"/>
    <w:rsid w:val="00D41EC5"/>
    <w:rsid w:val="00D41EDC"/>
    <w:rsid w:val="00D41EDF"/>
    <w:rsid w:val="00D41F38"/>
    <w:rsid w:val="00D41FF8"/>
    <w:rsid w:val="00D4204E"/>
    <w:rsid w:val="00D420C1"/>
    <w:rsid w:val="00D420E5"/>
    <w:rsid w:val="00D420E9"/>
    <w:rsid w:val="00D421E7"/>
    <w:rsid w:val="00D42224"/>
    <w:rsid w:val="00D42253"/>
    <w:rsid w:val="00D42260"/>
    <w:rsid w:val="00D422DB"/>
    <w:rsid w:val="00D422DE"/>
    <w:rsid w:val="00D422F5"/>
    <w:rsid w:val="00D42315"/>
    <w:rsid w:val="00D42318"/>
    <w:rsid w:val="00D42388"/>
    <w:rsid w:val="00D42451"/>
    <w:rsid w:val="00D424F8"/>
    <w:rsid w:val="00D4254A"/>
    <w:rsid w:val="00D425A5"/>
    <w:rsid w:val="00D425BE"/>
    <w:rsid w:val="00D42642"/>
    <w:rsid w:val="00D42670"/>
    <w:rsid w:val="00D426BA"/>
    <w:rsid w:val="00D426BB"/>
    <w:rsid w:val="00D42802"/>
    <w:rsid w:val="00D42853"/>
    <w:rsid w:val="00D428A7"/>
    <w:rsid w:val="00D42929"/>
    <w:rsid w:val="00D42957"/>
    <w:rsid w:val="00D4295B"/>
    <w:rsid w:val="00D429B6"/>
    <w:rsid w:val="00D429C5"/>
    <w:rsid w:val="00D429FF"/>
    <w:rsid w:val="00D42A54"/>
    <w:rsid w:val="00D42A60"/>
    <w:rsid w:val="00D42A95"/>
    <w:rsid w:val="00D42AA8"/>
    <w:rsid w:val="00D42AA9"/>
    <w:rsid w:val="00D42BD5"/>
    <w:rsid w:val="00D42C9A"/>
    <w:rsid w:val="00D42CA2"/>
    <w:rsid w:val="00D42CB8"/>
    <w:rsid w:val="00D42CCB"/>
    <w:rsid w:val="00D42CDF"/>
    <w:rsid w:val="00D42D80"/>
    <w:rsid w:val="00D42DA2"/>
    <w:rsid w:val="00D42DC2"/>
    <w:rsid w:val="00D42E3C"/>
    <w:rsid w:val="00D42E62"/>
    <w:rsid w:val="00D42E69"/>
    <w:rsid w:val="00D42E90"/>
    <w:rsid w:val="00D42F13"/>
    <w:rsid w:val="00D42FE9"/>
    <w:rsid w:val="00D430AE"/>
    <w:rsid w:val="00D4312F"/>
    <w:rsid w:val="00D4315B"/>
    <w:rsid w:val="00D431A0"/>
    <w:rsid w:val="00D431A2"/>
    <w:rsid w:val="00D431AB"/>
    <w:rsid w:val="00D431BC"/>
    <w:rsid w:val="00D43201"/>
    <w:rsid w:val="00D4321F"/>
    <w:rsid w:val="00D43234"/>
    <w:rsid w:val="00D43297"/>
    <w:rsid w:val="00D43355"/>
    <w:rsid w:val="00D43428"/>
    <w:rsid w:val="00D43441"/>
    <w:rsid w:val="00D434BE"/>
    <w:rsid w:val="00D43501"/>
    <w:rsid w:val="00D4352C"/>
    <w:rsid w:val="00D4353F"/>
    <w:rsid w:val="00D435D6"/>
    <w:rsid w:val="00D43612"/>
    <w:rsid w:val="00D43665"/>
    <w:rsid w:val="00D43690"/>
    <w:rsid w:val="00D4373A"/>
    <w:rsid w:val="00D437F8"/>
    <w:rsid w:val="00D43819"/>
    <w:rsid w:val="00D438EA"/>
    <w:rsid w:val="00D439A6"/>
    <w:rsid w:val="00D439E9"/>
    <w:rsid w:val="00D43A2D"/>
    <w:rsid w:val="00D43A85"/>
    <w:rsid w:val="00D43AA9"/>
    <w:rsid w:val="00D43B07"/>
    <w:rsid w:val="00D43C0A"/>
    <w:rsid w:val="00D43C1A"/>
    <w:rsid w:val="00D43C7A"/>
    <w:rsid w:val="00D43CC1"/>
    <w:rsid w:val="00D43CD7"/>
    <w:rsid w:val="00D43CDF"/>
    <w:rsid w:val="00D43CF6"/>
    <w:rsid w:val="00D43D13"/>
    <w:rsid w:val="00D43D85"/>
    <w:rsid w:val="00D43DFC"/>
    <w:rsid w:val="00D43E6D"/>
    <w:rsid w:val="00D43EE8"/>
    <w:rsid w:val="00D43F04"/>
    <w:rsid w:val="00D43F2F"/>
    <w:rsid w:val="00D43F6E"/>
    <w:rsid w:val="00D440B4"/>
    <w:rsid w:val="00D440DA"/>
    <w:rsid w:val="00D44208"/>
    <w:rsid w:val="00D4422B"/>
    <w:rsid w:val="00D44298"/>
    <w:rsid w:val="00D44464"/>
    <w:rsid w:val="00D44506"/>
    <w:rsid w:val="00D4453E"/>
    <w:rsid w:val="00D44570"/>
    <w:rsid w:val="00D44611"/>
    <w:rsid w:val="00D4467A"/>
    <w:rsid w:val="00D446E3"/>
    <w:rsid w:val="00D447CF"/>
    <w:rsid w:val="00D448E6"/>
    <w:rsid w:val="00D4490C"/>
    <w:rsid w:val="00D44A68"/>
    <w:rsid w:val="00D44ACB"/>
    <w:rsid w:val="00D44B70"/>
    <w:rsid w:val="00D44B9F"/>
    <w:rsid w:val="00D44BBB"/>
    <w:rsid w:val="00D44BF9"/>
    <w:rsid w:val="00D44C33"/>
    <w:rsid w:val="00D44C3A"/>
    <w:rsid w:val="00D44C7B"/>
    <w:rsid w:val="00D44C96"/>
    <w:rsid w:val="00D44CDE"/>
    <w:rsid w:val="00D44D43"/>
    <w:rsid w:val="00D44DF4"/>
    <w:rsid w:val="00D44E06"/>
    <w:rsid w:val="00D44E1D"/>
    <w:rsid w:val="00D44FB2"/>
    <w:rsid w:val="00D44FD5"/>
    <w:rsid w:val="00D44FE3"/>
    <w:rsid w:val="00D44FF1"/>
    <w:rsid w:val="00D450AE"/>
    <w:rsid w:val="00D45393"/>
    <w:rsid w:val="00D453C5"/>
    <w:rsid w:val="00D453CD"/>
    <w:rsid w:val="00D4545E"/>
    <w:rsid w:val="00D45489"/>
    <w:rsid w:val="00D454E6"/>
    <w:rsid w:val="00D454F8"/>
    <w:rsid w:val="00D45512"/>
    <w:rsid w:val="00D4551D"/>
    <w:rsid w:val="00D45537"/>
    <w:rsid w:val="00D45573"/>
    <w:rsid w:val="00D4557C"/>
    <w:rsid w:val="00D455C8"/>
    <w:rsid w:val="00D45728"/>
    <w:rsid w:val="00D45736"/>
    <w:rsid w:val="00D45742"/>
    <w:rsid w:val="00D45786"/>
    <w:rsid w:val="00D45794"/>
    <w:rsid w:val="00D45846"/>
    <w:rsid w:val="00D45887"/>
    <w:rsid w:val="00D458A1"/>
    <w:rsid w:val="00D458BC"/>
    <w:rsid w:val="00D458C6"/>
    <w:rsid w:val="00D458CA"/>
    <w:rsid w:val="00D4590C"/>
    <w:rsid w:val="00D45933"/>
    <w:rsid w:val="00D4596D"/>
    <w:rsid w:val="00D45A10"/>
    <w:rsid w:val="00D45A42"/>
    <w:rsid w:val="00D45A76"/>
    <w:rsid w:val="00D45AFC"/>
    <w:rsid w:val="00D45B36"/>
    <w:rsid w:val="00D45C04"/>
    <w:rsid w:val="00D45C39"/>
    <w:rsid w:val="00D45CA3"/>
    <w:rsid w:val="00D45CDF"/>
    <w:rsid w:val="00D45D03"/>
    <w:rsid w:val="00D45D7C"/>
    <w:rsid w:val="00D45E07"/>
    <w:rsid w:val="00D45E1B"/>
    <w:rsid w:val="00D45E21"/>
    <w:rsid w:val="00D45E57"/>
    <w:rsid w:val="00D45ED2"/>
    <w:rsid w:val="00D45F6E"/>
    <w:rsid w:val="00D45F8B"/>
    <w:rsid w:val="00D45FD2"/>
    <w:rsid w:val="00D46059"/>
    <w:rsid w:val="00D460E1"/>
    <w:rsid w:val="00D46125"/>
    <w:rsid w:val="00D46171"/>
    <w:rsid w:val="00D4619F"/>
    <w:rsid w:val="00D461C6"/>
    <w:rsid w:val="00D46259"/>
    <w:rsid w:val="00D462A7"/>
    <w:rsid w:val="00D462AD"/>
    <w:rsid w:val="00D462AF"/>
    <w:rsid w:val="00D4635E"/>
    <w:rsid w:val="00D4646C"/>
    <w:rsid w:val="00D46477"/>
    <w:rsid w:val="00D4649F"/>
    <w:rsid w:val="00D464F5"/>
    <w:rsid w:val="00D464F6"/>
    <w:rsid w:val="00D4653D"/>
    <w:rsid w:val="00D465AD"/>
    <w:rsid w:val="00D4663C"/>
    <w:rsid w:val="00D46659"/>
    <w:rsid w:val="00D46703"/>
    <w:rsid w:val="00D46753"/>
    <w:rsid w:val="00D467D3"/>
    <w:rsid w:val="00D4684A"/>
    <w:rsid w:val="00D46879"/>
    <w:rsid w:val="00D4689E"/>
    <w:rsid w:val="00D469F4"/>
    <w:rsid w:val="00D46A10"/>
    <w:rsid w:val="00D46C01"/>
    <w:rsid w:val="00D46D29"/>
    <w:rsid w:val="00D46D84"/>
    <w:rsid w:val="00D46DED"/>
    <w:rsid w:val="00D46E78"/>
    <w:rsid w:val="00D46E7F"/>
    <w:rsid w:val="00D46E82"/>
    <w:rsid w:val="00D46EDA"/>
    <w:rsid w:val="00D46EF4"/>
    <w:rsid w:val="00D46FDB"/>
    <w:rsid w:val="00D4702C"/>
    <w:rsid w:val="00D47153"/>
    <w:rsid w:val="00D47173"/>
    <w:rsid w:val="00D47280"/>
    <w:rsid w:val="00D4737A"/>
    <w:rsid w:val="00D4738E"/>
    <w:rsid w:val="00D473FD"/>
    <w:rsid w:val="00D47439"/>
    <w:rsid w:val="00D474B9"/>
    <w:rsid w:val="00D474E6"/>
    <w:rsid w:val="00D47585"/>
    <w:rsid w:val="00D475EE"/>
    <w:rsid w:val="00D4762C"/>
    <w:rsid w:val="00D47678"/>
    <w:rsid w:val="00D4768D"/>
    <w:rsid w:val="00D4776D"/>
    <w:rsid w:val="00D47778"/>
    <w:rsid w:val="00D4785A"/>
    <w:rsid w:val="00D4789F"/>
    <w:rsid w:val="00D478BC"/>
    <w:rsid w:val="00D47940"/>
    <w:rsid w:val="00D479B6"/>
    <w:rsid w:val="00D479C5"/>
    <w:rsid w:val="00D479CB"/>
    <w:rsid w:val="00D479F4"/>
    <w:rsid w:val="00D47A0B"/>
    <w:rsid w:val="00D47A42"/>
    <w:rsid w:val="00D47A6F"/>
    <w:rsid w:val="00D47AE9"/>
    <w:rsid w:val="00D47C10"/>
    <w:rsid w:val="00D47C21"/>
    <w:rsid w:val="00D47C8F"/>
    <w:rsid w:val="00D47D49"/>
    <w:rsid w:val="00D47E2B"/>
    <w:rsid w:val="00D47ECF"/>
    <w:rsid w:val="00D47ED8"/>
    <w:rsid w:val="00D47F37"/>
    <w:rsid w:val="00D47F7C"/>
    <w:rsid w:val="00D47FD9"/>
    <w:rsid w:val="00D5000B"/>
    <w:rsid w:val="00D5001F"/>
    <w:rsid w:val="00D50055"/>
    <w:rsid w:val="00D500C1"/>
    <w:rsid w:val="00D5016F"/>
    <w:rsid w:val="00D5017A"/>
    <w:rsid w:val="00D50196"/>
    <w:rsid w:val="00D50204"/>
    <w:rsid w:val="00D50246"/>
    <w:rsid w:val="00D50261"/>
    <w:rsid w:val="00D50298"/>
    <w:rsid w:val="00D502A4"/>
    <w:rsid w:val="00D502C2"/>
    <w:rsid w:val="00D503BA"/>
    <w:rsid w:val="00D50451"/>
    <w:rsid w:val="00D504AA"/>
    <w:rsid w:val="00D504FC"/>
    <w:rsid w:val="00D50548"/>
    <w:rsid w:val="00D505CD"/>
    <w:rsid w:val="00D5061A"/>
    <w:rsid w:val="00D50752"/>
    <w:rsid w:val="00D5076E"/>
    <w:rsid w:val="00D508C1"/>
    <w:rsid w:val="00D508CC"/>
    <w:rsid w:val="00D50901"/>
    <w:rsid w:val="00D50914"/>
    <w:rsid w:val="00D509BB"/>
    <w:rsid w:val="00D50A19"/>
    <w:rsid w:val="00D50A2C"/>
    <w:rsid w:val="00D50AF3"/>
    <w:rsid w:val="00D50BEA"/>
    <w:rsid w:val="00D50C91"/>
    <w:rsid w:val="00D50D33"/>
    <w:rsid w:val="00D50E02"/>
    <w:rsid w:val="00D50E37"/>
    <w:rsid w:val="00D50EA0"/>
    <w:rsid w:val="00D50EE5"/>
    <w:rsid w:val="00D50F09"/>
    <w:rsid w:val="00D50F62"/>
    <w:rsid w:val="00D50FC2"/>
    <w:rsid w:val="00D50FE9"/>
    <w:rsid w:val="00D5101C"/>
    <w:rsid w:val="00D51044"/>
    <w:rsid w:val="00D510C7"/>
    <w:rsid w:val="00D51112"/>
    <w:rsid w:val="00D51126"/>
    <w:rsid w:val="00D5113C"/>
    <w:rsid w:val="00D51188"/>
    <w:rsid w:val="00D511B0"/>
    <w:rsid w:val="00D511F4"/>
    <w:rsid w:val="00D5125A"/>
    <w:rsid w:val="00D512C4"/>
    <w:rsid w:val="00D51339"/>
    <w:rsid w:val="00D5150E"/>
    <w:rsid w:val="00D5153D"/>
    <w:rsid w:val="00D51598"/>
    <w:rsid w:val="00D515B3"/>
    <w:rsid w:val="00D516AA"/>
    <w:rsid w:val="00D5172B"/>
    <w:rsid w:val="00D51894"/>
    <w:rsid w:val="00D51969"/>
    <w:rsid w:val="00D51A93"/>
    <w:rsid w:val="00D51AED"/>
    <w:rsid w:val="00D51B58"/>
    <w:rsid w:val="00D51B5E"/>
    <w:rsid w:val="00D51B97"/>
    <w:rsid w:val="00D51BBB"/>
    <w:rsid w:val="00D51C12"/>
    <w:rsid w:val="00D51C7D"/>
    <w:rsid w:val="00D51D0B"/>
    <w:rsid w:val="00D51D1F"/>
    <w:rsid w:val="00D51DAC"/>
    <w:rsid w:val="00D51DF0"/>
    <w:rsid w:val="00D51E13"/>
    <w:rsid w:val="00D51E3B"/>
    <w:rsid w:val="00D51E47"/>
    <w:rsid w:val="00D51F47"/>
    <w:rsid w:val="00D51F5D"/>
    <w:rsid w:val="00D51F9C"/>
    <w:rsid w:val="00D5200A"/>
    <w:rsid w:val="00D52028"/>
    <w:rsid w:val="00D520C6"/>
    <w:rsid w:val="00D52157"/>
    <w:rsid w:val="00D5220E"/>
    <w:rsid w:val="00D5243A"/>
    <w:rsid w:val="00D52572"/>
    <w:rsid w:val="00D525E3"/>
    <w:rsid w:val="00D525E6"/>
    <w:rsid w:val="00D5261B"/>
    <w:rsid w:val="00D52698"/>
    <w:rsid w:val="00D526A9"/>
    <w:rsid w:val="00D526BC"/>
    <w:rsid w:val="00D5271B"/>
    <w:rsid w:val="00D5271E"/>
    <w:rsid w:val="00D5274F"/>
    <w:rsid w:val="00D52796"/>
    <w:rsid w:val="00D527D9"/>
    <w:rsid w:val="00D5280B"/>
    <w:rsid w:val="00D52877"/>
    <w:rsid w:val="00D52881"/>
    <w:rsid w:val="00D528AB"/>
    <w:rsid w:val="00D528BC"/>
    <w:rsid w:val="00D52917"/>
    <w:rsid w:val="00D52975"/>
    <w:rsid w:val="00D529F5"/>
    <w:rsid w:val="00D529F8"/>
    <w:rsid w:val="00D52A1A"/>
    <w:rsid w:val="00D52B47"/>
    <w:rsid w:val="00D52B8F"/>
    <w:rsid w:val="00D52BE1"/>
    <w:rsid w:val="00D52CAB"/>
    <w:rsid w:val="00D52CB0"/>
    <w:rsid w:val="00D52CC3"/>
    <w:rsid w:val="00D52CDB"/>
    <w:rsid w:val="00D52CEA"/>
    <w:rsid w:val="00D52CFD"/>
    <w:rsid w:val="00D52DAE"/>
    <w:rsid w:val="00D52DB4"/>
    <w:rsid w:val="00D52DCD"/>
    <w:rsid w:val="00D52ED9"/>
    <w:rsid w:val="00D52EE0"/>
    <w:rsid w:val="00D52F23"/>
    <w:rsid w:val="00D53041"/>
    <w:rsid w:val="00D53087"/>
    <w:rsid w:val="00D53119"/>
    <w:rsid w:val="00D53130"/>
    <w:rsid w:val="00D53138"/>
    <w:rsid w:val="00D53236"/>
    <w:rsid w:val="00D53247"/>
    <w:rsid w:val="00D532F2"/>
    <w:rsid w:val="00D53315"/>
    <w:rsid w:val="00D5335C"/>
    <w:rsid w:val="00D533C3"/>
    <w:rsid w:val="00D533F6"/>
    <w:rsid w:val="00D5346A"/>
    <w:rsid w:val="00D5354E"/>
    <w:rsid w:val="00D53558"/>
    <w:rsid w:val="00D5358D"/>
    <w:rsid w:val="00D535D4"/>
    <w:rsid w:val="00D535FF"/>
    <w:rsid w:val="00D53615"/>
    <w:rsid w:val="00D5361A"/>
    <w:rsid w:val="00D53637"/>
    <w:rsid w:val="00D53664"/>
    <w:rsid w:val="00D5374E"/>
    <w:rsid w:val="00D53796"/>
    <w:rsid w:val="00D537EC"/>
    <w:rsid w:val="00D53835"/>
    <w:rsid w:val="00D5387E"/>
    <w:rsid w:val="00D538D0"/>
    <w:rsid w:val="00D538FE"/>
    <w:rsid w:val="00D53930"/>
    <w:rsid w:val="00D5394C"/>
    <w:rsid w:val="00D53990"/>
    <w:rsid w:val="00D53A76"/>
    <w:rsid w:val="00D53AAC"/>
    <w:rsid w:val="00D53AE3"/>
    <w:rsid w:val="00D53AF0"/>
    <w:rsid w:val="00D53B70"/>
    <w:rsid w:val="00D53B99"/>
    <w:rsid w:val="00D53BA1"/>
    <w:rsid w:val="00D53BDE"/>
    <w:rsid w:val="00D53C17"/>
    <w:rsid w:val="00D53D72"/>
    <w:rsid w:val="00D53D9F"/>
    <w:rsid w:val="00D53DAC"/>
    <w:rsid w:val="00D53DF7"/>
    <w:rsid w:val="00D53E2F"/>
    <w:rsid w:val="00D53E58"/>
    <w:rsid w:val="00D53E70"/>
    <w:rsid w:val="00D53EC8"/>
    <w:rsid w:val="00D53EF9"/>
    <w:rsid w:val="00D53F25"/>
    <w:rsid w:val="00D53FCA"/>
    <w:rsid w:val="00D54041"/>
    <w:rsid w:val="00D540C0"/>
    <w:rsid w:val="00D540F2"/>
    <w:rsid w:val="00D54118"/>
    <w:rsid w:val="00D54203"/>
    <w:rsid w:val="00D542FE"/>
    <w:rsid w:val="00D543B1"/>
    <w:rsid w:val="00D543BE"/>
    <w:rsid w:val="00D54490"/>
    <w:rsid w:val="00D544AB"/>
    <w:rsid w:val="00D544FB"/>
    <w:rsid w:val="00D54640"/>
    <w:rsid w:val="00D54692"/>
    <w:rsid w:val="00D5474A"/>
    <w:rsid w:val="00D547F7"/>
    <w:rsid w:val="00D54943"/>
    <w:rsid w:val="00D54977"/>
    <w:rsid w:val="00D54A47"/>
    <w:rsid w:val="00D54A82"/>
    <w:rsid w:val="00D54BA6"/>
    <w:rsid w:val="00D54CB9"/>
    <w:rsid w:val="00D54D1D"/>
    <w:rsid w:val="00D54D40"/>
    <w:rsid w:val="00D54D94"/>
    <w:rsid w:val="00D54DE2"/>
    <w:rsid w:val="00D54DF6"/>
    <w:rsid w:val="00D54E88"/>
    <w:rsid w:val="00D54E9D"/>
    <w:rsid w:val="00D54EDB"/>
    <w:rsid w:val="00D54F3A"/>
    <w:rsid w:val="00D54F7D"/>
    <w:rsid w:val="00D54F96"/>
    <w:rsid w:val="00D54FD4"/>
    <w:rsid w:val="00D54FDE"/>
    <w:rsid w:val="00D55024"/>
    <w:rsid w:val="00D5503D"/>
    <w:rsid w:val="00D5506F"/>
    <w:rsid w:val="00D550C0"/>
    <w:rsid w:val="00D550CC"/>
    <w:rsid w:val="00D551D0"/>
    <w:rsid w:val="00D551F3"/>
    <w:rsid w:val="00D55216"/>
    <w:rsid w:val="00D55227"/>
    <w:rsid w:val="00D552B6"/>
    <w:rsid w:val="00D552CC"/>
    <w:rsid w:val="00D55308"/>
    <w:rsid w:val="00D553A1"/>
    <w:rsid w:val="00D553A5"/>
    <w:rsid w:val="00D553AD"/>
    <w:rsid w:val="00D553DE"/>
    <w:rsid w:val="00D5544D"/>
    <w:rsid w:val="00D554C0"/>
    <w:rsid w:val="00D554E3"/>
    <w:rsid w:val="00D55516"/>
    <w:rsid w:val="00D55641"/>
    <w:rsid w:val="00D55667"/>
    <w:rsid w:val="00D55679"/>
    <w:rsid w:val="00D556DC"/>
    <w:rsid w:val="00D556E7"/>
    <w:rsid w:val="00D55785"/>
    <w:rsid w:val="00D557B5"/>
    <w:rsid w:val="00D55804"/>
    <w:rsid w:val="00D55925"/>
    <w:rsid w:val="00D559E4"/>
    <w:rsid w:val="00D55A8B"/>
    <w:rsid w:val="00D55B03"/>
    <w:rsid w:val="00D55B4B"/>
    <w:rsid w:val="00D55B4F"/>
    <w:rsid w:val="00D55B60"/>
    <w:rsid w:val="00D55B72"/>
    <w:rsid w:val="00D55BD5"/>
    <w:rsid w:val="00D55C23"/>
    <w:rsid w:val="00D55C8F"/>
    <w:rsid w:val="00D55CF3"/>
    <w:rsid w:val="00D55D0D"/>
    <w:rsid w:val="00D55D56"/>
    <w:rsid w:val="00D55D68"/>
    <w:rsid w:val="00D55DF6"/>
    <w:rsid w:val="00D55E68"/>
    <w:rsid w:val="00D55EB8"/>
    <w:rsid w:val="00D5600B"/>
    <w:rsid w:val="00D560C6"/>
    <w:rsid w:val="00D56190"/>
    <w:rsid w:val="00D561C3"/>
    <w:rsid w:val="00D561E5"/>
    <w:rsid w:val="00D5621D"/>
    <w:rsid w:val="00D5632C"/>
    <w:rsid w:val="00D5633F"/>
    <w:rsid w:val="00D564E4"/>
    <w:rsid w:val="00D5660E"/>
    <w:rsid w:val="00D5664E"/>
    <w:rsid w:val="00D5666A"/>
    <w:rsid w:val="00D566DF"/>
    <w:rsid w:val="00D56713"/>
    <w:rsid w:val="00D56758"/>
    <w:rsid w:val="00D567A7"/>
    <w:rsid w:val="00D56889"/>
    <w:rsid w:val="00D5693A"/>
    <w:rsid w:val="00D56A1A"/>
    <w:rsid w:val="00D56A52"/>
    <w:rsid w:val="00D56AFF"/>
    <w:rsid w:val="00D56B16"/>
    <w:rsid w:val="00D56B64"/>
    <w:rsid w:val="00D56B6B"/>
    <w:rsid w:val="00D56B78"/>
    <w:rsid w:val="00D56BB2"/>
    <w:rsid w:val="00D56BC1"/>
    <w:rsid w:val="00D56C55"/>
    <w:rsid w:val="00D56C81"/>
    <w:rsid w:val="00D56CF1"/>
    <w:rsid w:val="00D56D32"/>
    <w:rsid w:val="00D56D53"/>
    <w:rsid w:val="00D56DC7"/>
    <w:rsid w:val="00D56DED"/>
    <w:rsid w:val="00D56E01"/>
    <w:rsid w:val="00D56E0E"/>
    <w:rsid w:val="00D56E85"/>
    <w:rsid w:val="00D56F3E"/>
    <w:rsid w:val="00D56F3F"/>
    <w:rsid w:val="00D56F83"/>
    <w:rsid w:val="00D56FE8"/>
    <w:rsid w:val="00D57091"/>
    <w:rsid w:val="00D57206"/>
    <w:rsid w:val="00D572B3"/>
    <w:rsid w:val="00D57304"/>
    <w:rsid w:val="00D5736A"/>
    <w:rsid w:val="00D5736F"/>
    <w:rsid w:val="00D57393"/>
    <w:rsid w:val="00D573FA"/>
    <w:rsid w:val="00D574BE"/>
    <w:rsid w:val="00D574C0"/>
    <w:rsid w:val="00D574DA"/>
    <w:rsid w:val="00D574F9"/>
    <w:rsid w:val="00D575D2"/>
    <w:rsid w:val="00D57617"/>
    <w:rsid w:val="00D57620"/>
    <w:rsid w:val="00D57666"/>
    <w:rsid w:val="00D57688"/>
    <w:rsid w:val="00D576B2"/>
    <w:rsid w:val="00D57726"/>
    <w:rsid w:val="00D57775"/>
    <w:rsid w:val="00D578A9"/>
    <w:rsid w:val="00D578C4"/>
    <w:rsid w:val="00D5792F"/>
    <w:rsid w:val="00D57932"/>
    <w:rsid w:val="00D5793E"/>
    <w:rsid w:val="00D579B1"/>
    <w:rsid w:val="00D579CA"/>
    <w:rsid w:val="00D579E7"/>
    <w:rsid w:val="00D57B34"/>
    <w:rsid w:val="00D57B39"/>
    <w:rsid w:val="00D57B4D"/>
    <w:rsid w:val="00D57B8E"/>
    <w:rsid w:val="00D57BE4"/>
    <w:rsid w:val="00D57C39"/>
    <w:rsid w:val="00D57C86"/>
    <w:rsid w:val="00D57CA3"/>
    <w:rsid w:val="00D57DAE"/>
    <w:rsid w:val="00D57DC2"/>
    <w:rsid w:val="00D57DED"/>
    <w:rsid w:val="00D57DF9"/>
    <w:rsid w:val="00D57E12"/>
    <w:rsid w:val="00D60025"/>
    <w:rsid w:val="00D6005D"/>
    <w:rsid w:val="00D60067"/>
    <w:rsid w:val="00D600EF"/>
    <w:rsid w:val="00D6010D"/>
    <w:rsid w:val="00D60175"/>
    <w:rsid w:val="00D6018E"/>
    <w:rsid w:val="00D6025C"/>
    <w:rsid w:val="00D6032F"/>
    <w:rsid w:val="00D60380"/>
    <w:rsid w:val="00D60471"/>
    <w:rsid w:val="00D60484"/>
    <w:rsid w:val="00D604B5"/>
    <w:rsid w:val="00D60618"/>
    <w:rsid w:val="00D606E1"/>
    <w:rsid w:val="00D606F5"/>
    <w:rsid w:val="00D606FB"/>
    <w:rsid w:val="00D60765"/>
    <w:rsid w:val="00D60841"/>
    <w:rsid w:val="00D60897"/>
    <w:rsid w:val="00D6089A"/>
    <w:rsid w:val="00D608B2"/>
    <w:rsid w:val="00D608DC"/>
    <w:rsid w:val="00D609CB"/>
    <w:rsid w:val="00D60A37"/>
    <w:rsid w:val="00D60A90"/>
    <w:rsid w:val="00D60B40"/>
    <w:rsid w:val="00D60BF3"/>
    <w:rsid w:val="00D60C9C"/>
    <w:rsid w:val="00D60C9F"/>
    <w:rsid w:val="00D60CD4"/>
    <w:rsid w:val="00D60DA2"/>
    <w:rsid w:val="00D60F38"/>
    <w:rsid w:val="00D60F4C"/>
    <w:rsid w:val="00D60F73"/>
    <w:rsid w:val="00D60F8B"/>
    <w:rsid w:val="00D60FC3"/>
    <w:rsid w:val="00D60FC5"/>
    <w:rsid w:val="00D6109B"/>
    <w:rsid w:val="00D610A7"/>
    <w:rsid w:val="00D610AA"/>
    <w:rsid w:val="00D61102"/>
    <w:rsid w:val="00D6110C"/>
    <w:rsid w:val="00D61130"/>
    <w:rsid w:val="00D61148"/>
    <w:rsid w:val="00D61186"/>
    <w:rsid w:val="00D611F6"/>
    <w:rsid w:val="00D6124A"/>
    <w:rsid w:val="00D61287"/>
    <w:rsid w:val="00D6129A"/>
    <w:rsid w:val="00D612DB"/>
    <w:rsid w:val="00D6135A"/>
    <w:rsid w:val="00D61385"/>
    <w:rsid w:val="00D61396"/>
    <w:rsid w:val="00D6139E"/>
    <w:rsid w:val="00D613F7"/>
    <w:rsid w:val="00D61569"/>
    <w:rsid w:val="00D615CD"/>
    <w:rsid w:val="00D61601"/>
    <w:rsid w:val="00D61724"/>
    <w:rsid w:val="00D617B7"/>
    <w:rsid w:val="00D617E3"/>
    <w:rsid w:val="00D61888"/>
    <w:rsid w:val="00D61902"/>
    <w:rsid w:val="00D61909"/>
    <w:rsid w:val="00D61981"/>
    <w:rsid w:val="00D61B34"/>
    <w:rsid w:val="00D61B6E"/>
    <w:rsid w:val="00D61B81"/>
    <w:rsid w:val="00D61B9C"/>
    <w:rsid w:val="00D61C48"/>
    <w:rsid w:val="00D61C69"/>
    <w:rsid w:val="00D61C7D"/>
    <w:rsid w:val="00D61CFF"/>
    <w:rsid w:val="00D61D83"/>
    <w:rsid w:val="00D61DD2"/>
    <w:rsid w:val="00D61DDD"/>
    <w:rsid w:val="00D61DF4"/>
    <w:rsid w:val="00D61E32"/>
    <w:rsid w:val="00D61E34"/>
    <w:rsid w:val="00D61E79"/>
    <w:rsid w:val="00D61E93"/>
    <w:rsid w:val="00D61E98"/>
    <w:rsid w:val="00D61EA5"/>
    <w:rsid w:val="00D61F8F"/>
    <w:rsid w:val="00D61FA8"/>
    <w:rsid w:val="00D61FB5"/>
    <w:rsid w:val="00D62054"/>
    <w:rsid w:val="00D620B3"/>
    <w:rsid w:val="00D620DD"/>
    <w:rsid w:val="00D6212C"/>
    <w:rsid w:val="00D6232D"/>
    <w:rsid w:val="00D6234A"/>
    <w:rsid w:val="00D6235A"/>
    <w:rsid w:val="00D6245F"/>
    <w:rsid w:val="00D6249D"/>
    <w:rsid w:val="00D62611"/>
    <w:rsid w:val="00D6268A"/>
    <w:rsid w:val="00D6268F"/>
    <w:rsid w:val="00D62698"/>
    <w:rsid w:val="00D626F8"/>
    <w:rsid w:val="00D62802"/>
    <w:rsid w:val="00D6286A"/>
    <w:rsid w:val="00D6287E"/>
    <w:rsid w:val="00D628BF"/>
    <w:rsid w:val="00D628C5"/>
    <w:rsid w:val="00D62949"/>
    <w:rsid w:val="00D62950"/>
    <w:rsid w:val="00D6295C"/>
    <w:rsid w:val="00D62966"/>
    <w:rsid w:val="00D629AC"/>
    <w:rsid w:val="00D629B2"/>
    <w:rsid w:val="00D62A59"/>
    <w:rsid w:val="00D62A93"/>
    <w:rsid w:val="00D62A99"/>
    <w:rsid w:val="00D62AE5"/>
    <w:rsid w:val="00D62B7F"/>
    <w:rsid w:val="00D62BA0"/>
    <w:rsid w:val="00D62BA8"/>
    <w:rsid w:val="00D62BAB"/>
    <w:rsid w:val="00D62BE5"/>
    <w:rsid w:val="00D62C48"/>
    <w:rsid w:val="00D62C84"/>
    <w:rsid w:val="00D62D02"/>
    <w:rsid w:val="00D62D35"/>
    <w:rsid w:val="00D62E17"/>
    <w:rsid w:val="00D62E4E"/>
    <w:rsid w:val="00D62E51"/>
    <w:rsid w:val="00D62E5E"/>
    <w:rsid w:val="00D62E76"/>
    <w:rsid w:val="00D62E8B"/>
    <w:rsid w:val="00D62EBD"/>
    <w:rsid w:val="00D62F4F"/>
    <w:rsid w:val="00D62FC5"/>
    <w:rsid w:val="00D6307D"/>
    <w:rsid w:val="00D63094"/>
    <w:rsid w:val="00D630BC"/>
    <w:rsid w:val="00D630F7"/>
    <w:rsid w:val="00D6311E"/>
    <w:rsid w:val="00D631AD"/>
    <w:rsid w:val="00D63224"/>
    <w:rsid w:val="00D63241"/>
    <w:rsid w:val="00D632C3"/>
    <w:rsid w:val="00D6331A"/>
    <w:rsid w:val="00D633CC"/>
    <w:rsid w:val="00D63411"/>
    <w:rsid w:val="00D63428"/>
    <w:rsid w:val="00D63430"/>
    <w:rsid w:val="00D634C9"/>
    <w:rsid w:val="00D634E4"/>
    <w:rsid w:val="00D6350E"/>
    <w:rsid w:val="00D6351B"/>
    <w:rsid w:val="00D63585"/>
    <w:rsid w:val="00D63778"/>
    <w:rsid w:val="00D63783"/>
    <w:rsid w:val="00D6384F"/>
    <w:rsid w:val="00D63889"/>
    <w:rsid w:val="00D63947"/>
    <w:rsid w:val="00D6394E"/>
    <w:rsid w:val="00D63970"/>
    <w:rsid w:val="00D639B2"/>
    <w:rsid w:val="00D639CC"/>
    <w:rsid w:val="00D639EE"/>
    <w:rsid w:val="00D63A19"/>
    <w:rsid w:val="00D63A35"/>
    <w:rsid w:val="00D63A56"/>
    <w:rsid w:val="00D63A80"/>
    <w:rsid w:val="00D63B9C"/>
    <w:rsid w:val="00D63C19"/>
    <w:rsid w:val="00D63C3F"/>
    <w:rsid w:val="00D63CE6"/>
    <w:rsid w:val="00D63D35"/>
    <w:rsid w:val="00D63D8B"/>
    <w:rsid w:val="00D63E48"/>
    <w:rsid w:val="00D63EFD"/>
    <w:rsid w:val="00D63F49"/>
    <w:rsid w:val="00D63FC9"/>
    <w:rsid w:val="00D64004"/>
    <w:rsid w:val="00D6400B"/>
    <w:rsid w:val="00D640DA"/>
    <w:rsid w:val="00D64130"/>
    <w:rsid w:val="00D64222"/>
    <w:rsid w:val="00D6426B"/>
    <w:rsid w:val="00D6428C"/>
    <w:rsid w:val="00D642A9"/>
    <w:rsid w:val="00D64399"/>
    <w:rsid w:val="00D6447C"/>
    <w:rsid w:val="00D644A8"/>
    <w:rsid w:val="00D644BD"/>
    <w:rsid w:val="00D6453D"/>
    <w:rsid w:val="00D64583"/>
    <w:rsid w:val="00D64586"/>
    <w:rsid w:val="00D645A7"/>
    <w:rsid w:val="00D645D1"/>
    <w:rsid w:val="00D64623"/>
    <w:rsid w:val="00D64691"/>
    <w:rsid w:val="00D64784"/>
    <w:rsid w:val="00D647AC"/>
    <w:rsid w:val="00D647D6"/>
    <w:rsid w:val="00D647EA"/>
    <w:rsid w:val="00D6480E"/>
    <w:rsid w:val="00D6481C"/>
    <w:rsid w:val="00D6490F"/>
    <w:rsid w:val="00D64942"/>
    <w:rsid w:val="00D64975"/>
    <w:rsid w:val="00D64993"/>
    <w:rsid w:val="00D649BC"/>
    <w:rsid w:val="00D64A1D"/>
    <w:rsid w:val="00D64AC1"/>
    <w:rsid w:val="00D64ACE"/>
    <w:rsid w:val="00D64AEB"/>
    <w:rsid w:val="00D64AF5"/>
    <w:rsid w:val="00D64B46"/>
    <w:rsid w:val="00D64BA4"/>
    <w:rsid w:val="00D64BE5"/>
    <w:rsid w:val="00D64C1D"/>
    <w:rsid w:val="00D64C5D"/>
    <w:rsid w:val="00D64C60"/>
    <w:rsid w:val="00D64C79"/>
    <w:rsid w:val="00D64C82"/>
    <w:rsid w:val="00D64C8F"/>
    <w:rsid w:val="00D64CBB"/>
    <w:rsid w:val="00D64CEF"/>
    <w:rsid w:val="00D64D05"/>
    <w:rsid w:val="00D64DF4"/>
    <w:rsid w:val="00D64E13"/>
    <w:rsid w:val="00D64E1B"/>
    <w:rsid w:val="00D64E25"/>
    <w:rsid w:val="00D64EC5"/>
    <w:rsid w:val="00D64F9E"/>
    <w:rsid w:val="00D6513D"/>
    <w:rsid w:val="00D652AB"/>
    <w:rsid w:val="00D65377"/>
    <w:rsid w:val="00D6537F"/>
    <w:rsid w:val="00D653BD"/>
    <w:rsid w:val="00D6544A"/>
    <w:rsid w:val="00D654B6"/>
    <w:rsid w:val="00D654C9"/>
    <w:rsid w:val="00D654E2"/>
    <w:rsid w:val="00D65515"/>
    <w:rsid w:val="00D65532"/>
    <w:rsid w:val="00D65570"/>
    <w:rsid w:val="00D655BD"/>
    <w:rsid w:val="00D6564B"/>
    <w:rsid w:val="00D65690"/>
    <w:rsid w:val="00D6569D"/>
    <w:rsid w:val="00D656C2"/>
    <w:rsid w:val="00D6575E"/>
    <w:rsid w:val="00D65805"/>
    <w:rsid w:val="00D65816"/>
    <w:rsid w:val="00D6592E"/>
    <w:rsid w:val="00D659A3"/>
    <w:rsid w:val="00D659F3"/>
    <w:rsid w:val="00D659FF"/>
    <w:rsid w:val="00D65A7D"/>
    <w:rsid w:val="00D65AF7"/>
    <w:rsid w:val="00D65B74"/>
    <w:rsid w:val="00D65C28"/>
    <w:rsid w:val="00D65C64"/>
    <w:rsid w:val="00D65E64"/>
    <w:rsid w:val="00D65EA8"/>
    <w:rsid w:val="00D65EC7"/>
    <w:rsid w:val="00D65F38"/>
    <w:rsid w:val="00D65F4E"/>
    <w:rsid w:val="00D65FBA"/>
    <w:rsid w:val="00D6602F"/>
    <w:rsid w:val="00D6606A"/>
    <w:rsid w:val="00D66098"/>
    <w:rsid w:val="00D6609F"/>
    <w:rsid w:val="00D66202"/>
    <w:rsid w:val="00D662BA"/>
    <w:rsid w:val="00D66315"/>
    <w:rsid w:val="00D6632C"/>
    <w:rsid w:val="00D663BB"/>
    <w:rsid w:val="00D663D6"/>
    <w:rsid w:val="00D663E5"/>
    <w:rsid w:val="00D663ED"/>
    <w:rsid w:val="00D664D7"/>
    <w:rsid w:val="00D664DE"/>
    <w:rsid w:val="00D66515"/>
    <w:rsid w:val="00D66576"/>
    <w:rsid w:val="00D6658B"/>
    <w:rsid w:val="00D667D5"/>
    <w:rsid w:val="00D66840"/>
    <w:rsid w:val="00D66867"/>
    <w:rsid w:val="00D668CA"/>
    <w:rsid w:val="00D668D3"/>
    <w:rsid w:val="00D66901"/>
    <w:rsid w:val="00D66916"/>
    <w:rsid w:val="00D66927"/>
    <w:rsid w:val="00D66928"/>
    <w:rsid w:val="00D669D6"/>
    <w:rsid w:val="00D669D9"/>
    <w:rsid w:val="00D66A95"/>
    <w:rsid w:val="00D66AB9"/>
    <w:rsid w:val="00D66AD4"/>
    <w:rsid w:val="00D66ADC"/>
    <w:rsid w:val="00D66B3C"/>
    <w:rsid w:val="00D66B68"/>
    <w:rsid w:val="00D66BB7"/>
    <w:rsid w:val="00D66BF4"/>
    <w:rsid w:val="00D66C2E"/>
    <w:rsid w:val="00D66C51"/>
    <w:rsid w:val="00D66C9C"/>
    <w:rsid w:val="00D66CE0"/>
    <w:rsid w:val="00D66D25"/>
    <w:rsid w:val="00D66D58"/>
    <w:rsid w:val="00D66D95"/>
    <w:rsid w:val="00D66DD3"/>
    <w:rsid w:val="00D66DEA"/>
    <w:rsid w:val="00D66E8C"/>
    <w:rsid w:val="00D66ED6"/>
    <w:rsid w:val="00D66F2F"/>
    <w:rsid w:val="00D66F6A"/>
    <w:rsid w:val="00D66FAF"/>
    <w:rsid w:val="00D66FDE"/>
    <w:rsid w:val="00D6703B"/>
    <w:rsid w:val="00D670A5"/>
    <w:rsid w:val="00D670B7"/>
    <w:rsid w:val="00D670D6"/>
    <w:rsid w:val="00D6717D"/>
    <w:rsid w:val="00D671FF"/>
    <w:rsid w:val="00D67226"/>
    <w:rsid w:val="00D67266"/>
    <w:rsid w:val="00D672A7"/>
    <w:rsid w:val="00D672E4"/>
    <w:rsid w:val="00D6740B"/>
    <w:rsid w:val="00D67425"/>
    <w:rsid w:val="00D67454"/>
    <w:rsid w:val="00D67587"/>
    <w:rsid w:val="00D67673"/>
    <w:rsid w:val="00D676DE"/>
    <w:rsid w:val="00D67769"/>
    <w:rsid w:val="00D67781"/>
    <w:rsid w:val="00D67784"/>
    <w:rsid w:val="00D6783A"/>
    <w:rsid w:val="00D67846"/>
    <w:rsid w:val="00D6786D"/>
    <w:rsid w:val="00D6789A"/>
    <w:rsid w:val="00D6792D"/>
    <w:rsid w:val="00D67953"/>
    <w:rsid w:val="00D67983"/>
    <w:rsid w:val="00D67A6C"/>
    <w:rsid w:val="00D67B31"/>
    <w:rsid w:val="00D67BDF"/>
    <w:rsid w:val="00D67C19"/>
    <w:rsid w:val="00D67C50"/>
    <w:rsid w:val="00D67C88"/>
    <w:rsid w:val="00D67CBD"/>
    <w:rsid w:val="00D67D7C"/>
    <w:rsid w:val="00D67E06"/>
    <w:rsid w:val="00D67E08"/>
    <w:rsid w:val="00D67EB8"/>
    <w:rsid w:val="00D67F7A"/>
    <w:rsid w:val="00D70010"/>
    <w:rsid w:val="00D70086"/>
    <w:rsid w:val="00D700B1"/>
    <w:rsid w:val="00D701D0"/>
    <w:rsid w:val="00D701F5"/>
    <w:rsid w:val="00D70220"/>
    <w:rsid w:val="00D70230"/>
    <w:rsid w:val="00D7033D"/>
    <w:rsid w:val="00D70377"/>
    <w:rsid w:val="00D70406"/>
    <w:rsid w:val="00D70464"/>
    <w:rsid w:val="00D70532"/>
    <w:rsid w:val="00D70567"/>
    <w:rsid w:val="00D705A9"/>
    <w:rsid w:val="00D705D3"/>
    <w:rsid w:val="00D7061F"/>
    <w:rsid w:val="00D7062A"/>
    <w:rsid w:val="00D70683"/>
    <w:rsid w:val="00D70685"/>
    <w:rsid w:val="00D70696"/>
    <w:rsid w:val="00D706CD"/>
    <w:rsid w:val="00D7074D"/>
    <w:rsid w:val="00D70786"/>
    <w:rsid w:val="00D7078C"/>
    <w:rsid w:val="00D70790"/>
    <w:rsid w:val="00D70806"/>
    <w:rsid w:val="00D7083D"/>
    <w:rsid w:val="00D70841"/>
    <w:rsid w:val="00D70847"/>
    <w:rsid w:val="00D70850"/>
    <w:rsid w:val="00D708C1"/>
    <w:rsid w:val="00D70918"/>
    <w:rsid w:val="00D7096E"/>
    <w:rsid w:val="00D709CC"/>
    <w:rsid w:val="00D70A7D"/>
    <w:rsid w:val="00D70AF5"/>
    <w:rsid w:val="00D70B11"/>
    <w:rsid w:val="00D70C19"/>
    <w:rsid w:val="00D70C3E"/>
    <w:rsid w:val="00D70D19"/>
    <w:rsid w:val="00D70E09"/>
    <w:rsid w:val="00D70E68"/>
    <w:rsid w:val="00D70E86"/>
    <w:rsid w:val="00D70E8D"/>
    <w:rsid w:val="00D70E94"/>
    <w:rsid w:val="00D70F02"/>
    <w:rsid w:val="00D70F0A"/>
    <w:rsid w:val="00D70F66"/>
    <w:rsid w:val="00D70FA8"/>
    <w:rsid w:val="00D70FAD"/>
    <w:rsid w:val="00D7106B"/>
    <w:rsid w:val="00D710D8"/>
    <w:rsid w:val="00D710FA"/>
    <w:rsid w:val="00D7115F"/>
    <w:rsid w:val="00D71266"/>
    <w:rsid w:val="00D71285"/>
    <w:rsid w:val="00D712B4"/>
    <w:rsid w:val="00D712E2"/>
    <w:rsid w:val="00D713E8"/>
    <w:rsid w:val="00D7141B"/>
    <w:rsid w:val="00D71457"/>
    <w:rsid w:val="00D714EB"/>
    <w:rsid w:val="00D71549"/>
    <w:rsid w:val="00D715CD"/>
    <w:rsid w:val="00D7172B"/>
    <w:rsid w:val="00D7175E"/>
    <w:rsid w:val="00D717C2"/>
    <w:rsid w:val="00D71812"/>
    <w:rsid w:val="00D7190B"/>
    <w:rsid w:val="00D71955"/>
    <w:rsid w:val="00D71A0E"/>
    <w:rsid w:val="00D71A6A"/>
    <w:rsid w:val="00D71ABE"/>
    <w:rsid w:val="00D71ACA"/>
    <w:rsid w:val="00D71ADD"/>
    <w:rsid w:val="00D71BF6"/>
    <w:rsid w:val="00D71C13"/>
    <w:rsid w:val="00D71D65"/>
    <w:rsid w:val="00D71D9F"/>
    <w:rsid w:val="00D71EC7"/>
    <w:rsid w:val="00D71EE0"/>
    <w:rsid w:val="00D71FA8"/>
    <w:rsid w:val="00D71FFA"/>
    <w:rsid w:val="00D7210D"/>
    <w:rsid w:val="00D7229C"/>
    <w:rsid w:val="00D722B5"/>
    <w:rsid w:val="00D722D0"/>
    <w:rsid w:val="00D722D7"/>
    <w:rsid w:val="00D7232D"/>
    <w:rsid w:val="00D72382"/>
    <w:rsid w:val="00D7245C"/>
    <w:rsid w:val="00D7248B"/>
    <w:rsid w:val="00D724A5"/>
    <w:rsid w:val="00D724D3"/>
    <w:rsid w:val="00D724E8"/>
    <w:rsid w:val="00D72501"/>
    <w:rsid w:val="00D72571"/>
    <w:rsid w:val="00D725CA"/>
    <w:rsid w:val="00D72610"/>
    <w:rsid w:val="00D726FE"/>
    <w:rsid w:val="00D72A43"/>
    <w:rsid w:val="00D72B17"/>
    <w:rsid w:val="00D72B67"/>
    <w:rsid w:val="00D72C0C"/>
    <w:rsid w:val="00D72C4E"/>
    <w:rsid w:val="00D72C76"/>
    <w:rsid w:val="00D72CFE"/>
    <w:rsid w:val="00D72F57"/>
    <w:rsid w:val="00D72FF1"/>
    <w:rsid w:val="00D7305B"/>
    <w:rsid w:val="00D730C9"/>
    <w:rsid w:val="00D730F4"/>
    <w:rsid w:val="00D7310C"/>
    <w:rsid w:val="00D73128"/>
    <w:rsid w:val="00D7317B"/>
    <w:rsid w:val="00D731A8"/>
    <w:rsid w:val="00D732C0"/>
    <w:rsid w:val="00D732E6"/>
    <w:rsid w:val="00D732FA"/>
    <w:rsid w:val="00D733C7"/>
    <w:rsid w:val="00D7341C"/>
    <w:rsid w:val="00D73451"/>
    <w:rsid w:val="00D734AD"/>
    <w:rsid w:val="00D734CC"/>
    <w:rsid w:val="00D73551"/>
    <w:rsid w:val="00D7355F"/>
    <w:rsid w:val="00D73575"/>
    <w:rsid w:val="00D735BA"/>
    <w:rsid w:val="00D73670"/>
    <w:rsid w:val="00D736A3"/>
    <w:rsid w:val="00D736D3"/>
    <w:rsid w:val="00D7372C"/>
    <w:rsid w:val="00D73738"/>
    <w:rsid w:val="00D73789"/>
    <w:rsid w:val="00D7381E"/>
    <w:rsid w:val="00D7384B"/>
    <w:rsid w:val="00D73876"/>
    <w:rsid w:val="00D738A7"/>
    <w:rsid w:val="00D739B8"/>
    <w:rsid w:val="00D73A95"/>
    <w:rsid w:val="00D73BBB"/>
    <w:rsid w:val="00D73D23"/>
    <w:rsid w:val="00D73D2E"/>
    <w:rsid w:val="00D73D7C"/>
    <w:rsid w:val="00D73D7E"/>
    <w:rsid w:val="00D73DAA"/>
    <w:rsid w:val="00D73DAC"/>
    <w:rsid w:val="00D73EA3"/>
    <w:rsid w:val="00D740DF"/>
    <w:rsid w:val="00D741AE"/>
    <w:rsid w:val="00D742A5"/>
    <w:rsid w:val="00D742B1"/>
    <w:rsid w:val="00D74380"/>
    <w:rsid w:val="00D743A0"/>
    <w:rsid w:val="00D743FE"/>
    <w:rsid w:val="00D74491"/>
    <w:rsid w:val="00D744B0"/>
    <w:rsid w:val="00D7456D"/>
    <w:rsid w:val="00D7459F"/>
    <w:rsid w:val="00D745CC"/>
    <w:rsid w:val="00D74644"/>
    <w:rsid w:val="00D74670"/>
    <w:rsid w:val="00D74692"/>
    <w:rsid w:val="00D74694"/>
    <w:rsid w:val="00D746B3"/>
    <w:rsid w:val="00D74720"/>
    <w:rsid w:val="00D74722"/>
    <w:rsid w:val="00D74798"/>
    <w:rsid w:val="00D747D7"/>
    <w:rsid w:val="00D7480A"/>
    <w:rsid w:val="00D74882"/>
    <w:rsid w:val="00D74895"/>
    <w:rsid w:val="00D748D7"/>
    <w:rsid w:val="00D749DF"/>
    <w:rsid w:val="00D749FC"/>
    <w:rsid w:val="00D74A5C"/>
    <w:rsid w:val="00D74ACB"/>
    <w:rsid w:val="00D74ADA"/>
    <w:rsid w:val="00D74AE1"/>
    <w:rsid w:val="00D74BDE"/>
    <w:rsid w:val="00D74BDF"/>
    <w:rsid w:val="00D74C03"/>
    <w:rsid w:val="00D74CB3"/>
    <w:rsid w:val="00D74D05"/>
    <w:rsid w:val="00D74D1A"/>
    <w:rsid w:val="00D74D40"/>
    <w:rsid w:val="00D74D48"/>
    <w:rsid w:val="00D74D4C"/>
    <w:rsid w:val="00D74DAF"/>
    <w:rsid w:val="00D74E4F"/>
    <w:rsid w:val="00D74E8D"/>
    <w:rsid w:val="00D74F2F"/>
    <w:rsid w:val="00D74F9F"/>
    <w:rsid w:val="00D75047"/>
    <w:rsid w:val="00D750F6"/>
    <w:rsid w:val="00D7512A"/>
    <w:rsid w:val="00D75159"/>
    <w:rsid w:val="00D75201"/>
    <w:rsid w:val="00D75253"/>
    <w:rsid w:val="00D75283"/>
    <w:rsid w:val="00D75290"/>
    <w:rsid w:val="00D752C8"/>
    <w:rsid w:val="00D75396"/>
    <w:rsid w:val="00D753CE"/>
    <w:rsid w:val="00D753E8"/>
    <w:rsid w:val="00D753F2"/>
    <w:rsid w:val="00D75437"/>
    <w:rsid w:val="00D7554B"/>
    <w:rsid w:val="00D75559"/>
    <w:rsid w:val="00D75628"/>
    <w:rsid w:val="00D7566F"/>
    <w:rsid w:val="00D756C8"/>
    <w:rsid w:val="00D756F8"/>
    <w:rsid w:val="00D75702"/>
    <w:rsid w:val="00D757A6"/>
    <w:rsid w:val="00D75809"/>
    <w:rsid w:val="00D75892"/>
    <w:rsid w:val="00D75896"/>
    <w:rsid w:val="00D758BD"/>
    <w:rsid w:val="00D75944"/>
    <w:rsid w:val="00D75952"/>
    <w:rsid w:val="00D75955"/>
    <w:rsid w:val="00D7595D"/>
    <w:rsid w:val="00D75A9C"/>
    <w:rsid w:val="00D75A9F"/>
    <w:rsid w:val="00D75B24"/>
    <w:rsid w:val="00D75B39"/>
    <w:rsid w:val="00D75B49"/>
    <w:rsid w:val="00D75C24"/>
    <w:rsid w:val="00D75C3A"/>
    <w:rsid w:val="00D75C51"/>
    <w:rsid w:val="00D75CFA"/>
    <w:rsid w:val="00D75D70"/>
    <w:rsid w:val="00D75D93"/>
    <w:rsid w:val="00D75E0F"/>
    <w:rsid w:val="00D75ECE"/>
    <w:rsid w:val="00D75F9C"/>
    <w:rsid w:val="00D75FCD"/>
    <w:rsid w:val="00D76041"/>
    <w:rsid w:val="00D7608C"/>
    <w:rsid w:val="00D7608F"/>
    <w:rsid w:val="00D76091"/>
    <w:rsid w:val="00D7609F"/>
    <w:rsid w:val="00D760AF"/>
    <w:rsid w:val="00D760F5"/>
    <w:rsid w:val="00D7613B"/>
    <w:rsid w:val="00D7613D"/>
    <w:rsid w:val="00D761A0"/>
    <w:rsid w:val="00D76220"/>
    <w:rsid w:val="00D76267"/>
    <w:rsid w:val="00D762B5"/>
    <w:rsid w:val="00D762C7"/>
    <w:rsid w:val="00D76308"/>
    <w:rsid w:val="00D76432"/>
    <w:rsid w:val="00D7648E"/>
    <w:rsid w:val="00D764C3"/>
    <w:rsid w:val="00D764D4"/>
    <w:rsid w:val="00D76570"/>
    <w:rsid w:val="00D76591"/>
    <w:rsid w:val="00D766F5"/>
    <w:rsid w:val="00D767E2"/>
    <w:rsid w:val="00D76829"/>
    <w:rsid w:val="00D76874"/>
    <w:rsid w:val="00D76886"/>
    <w:rsid w:val="00D7695B"/>
    <w:rsid w:val="00D76981"/>
    <w:rsid w:val="00D76ADA"/>
    <w:rsid w:val="00D76B4E"/>
    <w:rsid w:val="00D76D27"/>
    <w:rsid w:val="00D76D83"/>
    <w:rsid w:val="00D76D90"/>
    <w:rsid w:val="00D76E14"/>
    <w:rsid w:val="00D76EB8"/>
    <w:rsid w:val="00D76EF4"/>
    <w:rsid w:val="00D77015"/>
    <w:rsid w:val="00D77073"/>
    <w:rsid w:val="00D770EA"/>
    <w:rsid w:val="00D77101"/>
    <w:rsid w:val="00D7716C"/>
    <w:rsid w:val="00D77171"/>
    <w:rsid w:val="00D77252"/>
    <w:rsid w:val="00D7725C"/>
    <w:rsid w:val="00D77284"/>
    <w:rsid w:val="00D772D6"/>
    <w:rsid w:val="00D7731C"/>
    <w:rsid w:val="00D773B9"/>
    <w:rsid w:val="00D773D6"/>
    <w:rsid w:val="00D77499"/>
    <w:rsid w:val="00D77588"/>
    <w:rsid w:val="00D77596"/>
    <w:rsid w:val="00D77610"/>
    <w:rsid w:val="00D7768D"/>
    <w:rsid w:val="00D7768E"/>
    <w:rsid w:val="00D7770A"/>
    <w:rsid w:val="00D77761"/>
    <w:rsid w:val="00D777A6"/>
    <w:rsid w:val="00D777E6"/>
    <w:rsid w:val="00D77819"/>
    <w:rsid w:val="00D77911"/>
    <w:rsid w:val="00D7793A"/>
    <w:rsid w:val="00D77941"/>
    <w:rsid w:val="00D779C3"/>
    <w:rsid w:val="00D77A7D"/>
    <w:rsid w:val="00D77A8B"/>
    <w:rsid w:val="00D77AE8"/>
    <w:rsid w:val="00D77B22"/>
    <w:rsid w:val="00D77B54"/>
    <w:rsid w:val="00D77B79"/>
    <w:rsid w:val="00D77C44"/>
    <w:rsid w:val="00D77C53"/>
    <w:rsid w:val="00D77C5E"/>
    <w:rsid w:val="00D77CF8"/>
    <w:rsid w:val="00D77D5C"/>
    <w:rsid w:val="00D77D7D"/>
    <w:rsid w:val="00D77DAE"/>
    <w:rsid w:val="00D77E9A"/>
    <w:rsid w:val="00D77F4E"/>
    <w:rsid w:val="00D77FAA"/>
    <w:rsid w:val="00D8000E"/>
    <w:rsid w:val="00D80068"/>
    <w:rsid w:val="00D800C6"/>
    <w:rsid w:val="00D800EF"/>
    <w:rsid w:val="00D80109"/>
    <w:rsid w:val="00D801C0"/>
    <w:rsid w:val="00D80218"/>
    <w:rsid w:val="00D80230"/>
    <w:rsid w:val="00D80262"/>
    <w:rsid w:val="00D8031E"/>
    <w:rsid w:val="00D803EB"/>
    <w:rsid w:val="00D80471"/>
    <w:rsid w:val="00D804C1"/>
    <w:rsid w:val="00D804F2"/>
    <w:rsid w:val="00D805AB"/>
    <w:rsid w:val="00D805D2"/>
    <w:rsid w:val="00D806A8"/>
    <w:rsid w:val="00D806C1"/>
    <w:rsid w:val="00D806DC"/>
    <w:rsid w:val="00D806F1"/>
    <w:rsid w:val="00D806FE"/>
    <w:rsid w:val="00D8073D"/>
    <w:rsid w:val="00D807A5"/>
    <w:rsid w:val="00D80856"/>
    <w:rsid w:val="00D809FB"/>
    <w:rsid w:val="00D80A41"/>
    <w:rsid w:val="00D80AE8"/>
    <w:rsid w:val="00D80B01"/>
    <w:rsid w:val="00D80B28"/>
    <w:rsid w:val="00D80B53"/>
    <w:rsid w:val="00D80BAE"/>
    <w:rsid w:val="00D80BC4"/>
    <w:rsid w:val="00D80BFB"/>
    <w:rsid w:val="00D80C22"/>
    <w:rsid w:val="00D80C47"/>
    <w:rsid w:val="00D80CBB"/>
    <w:rsid w:val="00D80D12"/>
    <w:rsid w:val="00D80D46"/>
    <w:rsid w:val="00D80E69"/>
    <w:rsid w:val="00D80E6E"/>
    <w:rsid w:val="00D80E7D"/>
    <w:rsid w:val="00D80E84"/>
    <w:rsid w:val="00D80ECA"/>
    <w:rsid w:val="00D80F3E"/>
    <w:rsid w:val="00D80FF4"/>
    <w:rsid w:val="00D8102E"/>
    <w:rsid w:val="00D8103F"/>
    <w:rsid w:val="00D81072"/>
    <w:rsid w:val="00D81080"/>
    <w:rsid w:val="00D810C6"/>
    <w:rsid w:val="00D8113C"/>
    <w:rsid w:val="00D811AE"/>
    <w:rsid w:val="00D811C2"/>
    <w:rsid w:val="00D811D5"/>
    <w:rsid w:val="00D8121E"/>
    <w:rsid w:val="00D81225"/>
    <w:rsid w:val="00D81248"/>
    <w:rsid w:val="00D812BB"/>
    <w:rsid w:val="00D8133E"/>
    <w:rsid w:val="00D8134D"/>
    <w:rsid w:val="00D813DA"/>
    <w:rsid w:val="00D813F1"/>
    <w:rsid w:val="00D813F9"/>
    <w:rsid w:val="00D81418"/>
    <w:rsid w:val="00D8149C"/>
    <w:rsid w:val="00D8149F"/>
    <w:rsid w:val="00D814D5"/>
    <w:rsid w:val="00D814FB"/>
    <w:rsid w:val="00D8158A"/>
    <w:rsid w:val="00D81591"/>
    <w:rsid w:val="00D81682"/>
    <w:rsid w:val="00D8168A"/>
    <w:rsid w:val="00D8169D"/>
    <w:rsid w:val="00D816E3"/>
    <w:rsid w:val="00D81714"/>
    <w:rsid w:val="00D8174B"/>
    <w:rsid w:val="00D81794"/>
    <w:rsid w:val="00D817F8"/>
    <w:rsid w:val="00D81872"/>
    <w:rsid w:val="00D818A2"/>
    <w:rsid w:val="00D818A9"/>
    <w:rsid w:val="00D818B9"/>
    <w:rsid w:val="00D818E6"/>
    <w:rsid w:val="00D81917"/>
    <w:rsid w:val="00D8193B"/>
    <w:rsid w:val="00D8199D"/>
    <w:rsid w:val="00D81A18"/>
    <w:rsid w:val="00D81A19"/>
    <w:rsid w:val="00D81A51"/>
    <w:rsid w:val="00D81AA5"/>
    <w:rsid w:val="00D81AAB"/>
    <w:rsid w:val="00D81B79"/>
    <w:rsid w:val="00D81CF0"/>
    <w:rsid w:val="00D81D55"/>
    <w:rsid w:val="00D81D75"/>
    <w:rsid w:val="00D81E89"/>
    <w:rsid w:val="00D81E8E"/>
    <w:rsid w:val="00D81EE7"/>
    <w:rsid w:val="00D81EF2"/>
    <w:rsid w:val="00D81F96"/>
    <w:rsid w:val="00D8204D"/>
    <w:rsid w:val="00D8205E"/>
    <w:rsid w:val="00D8206A"/>
    <w:rsid w:val="00D82081"/>
    <w:rsid w:val="00D820EA"/>
    <w:rsid w:val="00D8210C"/>
    <w:rsid w:val="00D822B4"/>
    <w:rsid w:val="00D822EB"/>
    <w:rsid w:val="00D8231F"/>
    <w:rsid w:val="00D823F8"/>
    <w:rsid w:val="00D82467"/>
    <w:rsid w:val="00D8249C"/>
    <w:rsid w:val="00D8257C"/>
    <w:rsid w:val="00D825BA"/>
    <w:rsid w:val="00D82682"/>
    <w:rsid w:val="00D82688"/>
    <w:rsid w:val="00D8273C"/>
    <w:rsid w:val="00D827A6"/>
    <w:rsid w:val="00D827C8"/>
    <w:rsid w:val="00D827EE"/>
    <w:rsid w:val="00D827F3"/>
    <w:rsid w:val="00D82945"/>
    <w:rsid w:val="00D8297D"/>
    <w:rsid w:val="00D82A6A"/>
    <w:rsid w:val="00D82A91"/>
    <w:rsid w:val="00D82BA0"/>
    <w:rsid w:val="00D82BD8"/>
    <w:rsid w:val="00D82CDF"/>
    <w:rsid w:val="00D82D09"/>
    <w:rsid w:val="00D82D66"/>
    <w:rsid w:val="00D82DBA"/>
    <w:rsid w:val="00D82E4E"/>
    <w:rsid w:val="00D82F10"/>
    <w:rsid w:val="00D82F1C"/>
    <w:rsid w:val="00D82F3B"/>
    <w:rsid w:val="00D82FB3"/>
    <w:rsid w:val="00D83039"/>
    <w:rsid w:val="00D830CC"/>
    <w:rsid w:val="00D830ED"/>
    <w:rsid w:val="00D83131"/>
    <w:rsid w:val="00D8316D"/>
    <w:rsid w:val="00D8317B"/>
    <w:rsid w:val="00D831AF"/>
    <w:rsid w:val="00D831DE"/>
    <w:rsid w:val="00D831E4"/>
    <w:rsid w:val="00D8323A"/>
    <w:rsid w:val="00D832A8"/>
    <w:rsid w:val="00D832C4"/>
    <w:rsid w:val="00D83305"/>
    <w:rsid w:val="00D8338D"/>
    <w:rsid w:val="00D833C9"/>
    <w:rsid w:val="00D83419"/>
    <w:rsid w:val="00D8344F"/>
    <w:rsid w:val="00D8347F"/>
    <w:rsid w:val="00D83508"/>
    <w:rsid w:val="00D83523"/>
    <w:rsid w:val="00D83542"/>
    <w:rsid w:val="00D83569"/>
    <w:rsid w:val="00D8359E"/>
    <w:rsid w:val="00D835C9"/>
    <w:rsid w:val="00D8361D"/>
    <w:rsid w:val="00D83625"/>
    <w:rsid w:val="00D83630"/>
    <w:rsid w:val="00D836C8"/>
    <w:rsid w:val="00D836E6"/>
    <w:rsid w:val="00D83705"/>
    <w:rsid w:val="00D8371B"/>
    <w:rsid w:val="00D83805"/>
    <w:rsid w:val="00D839BC"/>
    <w:rsid w:val="00D83A40"/>
    <w:rsid w:val="00D83AB7"/>
    <w:rsid w:val="00D83AFE"/>
    <w:rsid w:val="00D83B30"/>
    <w:rsid w:val="00D83B55"/>
    <w:rsid w:val="00D83B84"/>
    <w:rsid w:val="00D83BE5"/>
    <w:rsid w:val="00D83C2A"/>
    <w:rsid w:val="00D83C2C"/>
    <w:rsid w:val="00D83C68"/>
    <w:rsid w:val="00D83C7C"/>
    <w:rsid w:val="00D83C84"/>
    <w:rsid w:val="00D83D52"/>
    <w:rsid w:val="00D83DDE"/>
    <w:rsid w:val="00D83DEA"/>
    <w:rsid w:val="00D83E2D"/>
    <w:rsid w:val="00D83E65"/>
    <w:rsid w:val="00D83F0A"/>
    <w:rsid w:val="00D83F7E"/>
    <w:rsid w:val="00D83FB7"/>
    <w:rsid w:val="00D83FE2"/>
    <w:rsid w:val="00D83FE7"/>
    <w:rsid w:val="00D83FF1"/>
    <w:rsid w:val="00D840A3"/>
    <w:rsid w:val="00D8417D"/>
    <w:rsid w:val="00D8430F"/>
    <w:rsid w:val="00D843FD"/>
    <w:rsid w:val="00D84436"/>
    <w:rsid w:val="00D84455"/>
    <w:rsid w:val="00D84490"/>
    <w:rsid w:val="00D845B1"/>
    <w:rsid w:val="00D846D3"/>
    <w:rsid w:val="00D846F2"/>
    <w:rsid w:val="00D84744"/>
    <w:rsid w:val="00D8475C"/>
    <w:rsid w:val="00D848A9"/>
    <w:rsid w:val="00D848BE"/>
    <w:rsid w:val="00D848D3"/>
    <w:rsid w:val="00D849B9"/>
    <w:rsid w:val="00D849D2"/>
    <w:rsid w:val="00D84AA1"/>
    <w:rsid w:val="00D84AAE"/>
    <w:rsid w:val="00D84AF7"/>
    <w:rsid w:val="00D84B23"/>
    <w:rsid w:val="00D84BCC"/>
    <w:rsid w:val="00D84C0E"/>
    <w:rsid w:val="00D84C29"/>
    <w:rsid w:val="00D84C33"/>
    <w:rsid w:val="00D84C71"/>
    <w:rsid w:val="00D84C90"/>
    <w:rsid w:val="00D84D14"/>
    <w:rsid w:val="00D84D70"/>
    <w:rsid w:val="00D84DA4"/>
    <w:rsid w:val="00D84DA9"/>
    <w:rsid w:val="00D84DD5"/>
    <w:rsid w:val="00D84DDA"/>
    <w:rsid w:val="00D84DE7"/>
    <w:rsid w:val="00D84DEC"/>
    <w:rsid w:val="00D84E23"/>
    <w:rsid w:val="00D84E3B"/>
    <w:rsid w:val="00D84E50"/>
    <w:rsid w:val="00D84ED1"/>
    <w:rsid w:val="00D84F88"/>
    <w:rsid w:val="00D84FB0"/>
    <w:rsid w:val="00D8503B"/>
    <w:rsid w:val="00D851D0"/>
    <w:rsid w:val="00D851F5"/>
    <w:rsid w:val="00D85214"/>
    <w:rsid w:val="00D8526A"/>
    <w:rsid w:val="00D85292"/>
    <w:rsid w:val="00D852F2"/>
    <w:rsid w:val="00D85362"/>
    <w:rsid w:val="00D853A1"/>
    <w:rsid w:val="00D853C7"/>
    <w:rsid w:val="00D853E2"/>
    <w:rsid w:val="00D8544B"/>
    <w:rsid w:val="00D8544D"/>
    <w:rsid w:val="00D85524"/>
    <w:rsid w:val="00D8555D"/>
    <w:rsid w:val="00D85563"/>
    <w:rsid w:val="00D855E5"/>
    <w:rsid w:val="00D8580A"/>
    <w:rsid w:val="00D85843"/>
    <w:rsid w:val="00D858B6"/>
    <w:rsid w:val="00D85903"/>
    <w:rsid w:val="00D859DF"/>
    <w:rsid w:val="00D85B74"/>
    <w:rsid w:val="00D85C0E"/>
    <w:rsid w:val="00D85C4E"/>
    <w:rsid w:val="00D85C9D"/>
    <w:rsid w:val="00D85CF5"/>
    <w:rsid w:val="00D85D55"/>
    <w:rsid w:val="00D85D74"/>
    <w:rsid w:val="00D85DC1"/>
    <w:rsid w:val="00D85DF6"/>
    <w:rsid w:val="00D85E47"/>
    <w:rsid w:val="00D85E4B"/>
    <w:rsid w:val="00D85E60"/>
    <w:rsid w:val="00D85E62"/>
    <w:rsid w:val="00D85EC6"/>
    <w:rsid w:val="00D85F10"/>
    <w:rsid w:val="00D85F87"/>
    <w:rsid w:val="00D85F9B"/>
    <w:rsid w:val="00D8605D"/>
    <w:rsid w:val="00D86067"/>
    <w:rsid w:val="00D86138"/>
    <w:rsid w:val="00D8614F"/>
    <w:rsid w:val="00D8620F"/>
    <w:rsid w:val="00D862BD"/>
    <w:rsid w:val="00D863C1"/>
    <w:rsid w:val="00D86415"/>
    <w:rsid w:val="00D86496"/>
    <w:rsid w:val="00D864A4"/>
    <w:rsid w:val="00D864D0"/>
    <w:rsid w:val="00D864FF"/>
    <w:rsid w:val="00D86537"/>
    <w:rsid w:val="00D8653F"/>
    <w:rsid w:val="00D8657C"/>
    <w:rsid w:val="00D865B4"/>
    <w:rsid w:val="00D865CB"/>
    <w:rsid w:val="00D86601"/>
    <w:rsid w:val="00D86615"/>
    <w:rsid w:val="00D8667D"/>
    <w:rsid w:val="00D8673D"/>
    <w:rsid w:val="00D8691F"/>
    <w:rsid w:val="00D869F4"/>
    <w:rsid w:val="00D86ACD"/>
    <w:rsid w:val="00D86B0D"/>
    <w:rsid w:val="00D86B1E"/>
    <w:rsid w:val="00D86B5C"/>
    <w:rsid w:val="00D86BE4"/>
    <w:rsid w:val="00D86BEA"/>
    <w:rsid w:val="00D86BF0"/>
    <w:rsid w:val="00D86CE2"/>
    <w:rsid w:val="00D86D6B"/>
    <w:rsid w:val="00D86D7C"/>
    <w:rsid w:val="00D86E4A"/>
    <w:rsid w:val="00D86EFD"/>
    <w:rsid w:val="00D87057"/>
    <w:rsid w:val="00D87092"/>
    <w:rsid w:val="00D870F7"/>
    <w:rsid w:val="00D87114"/>
    <w:rsid w:val="00D87168"/>
    <w:rsid w:val="00D871FA"/>
    <w:rsid w:val="00D8726C"/>
    <w:rsid w:val="00D872FA"/>
    <w:rsid w:val="00D87329"/>
    <w:rsid w:val="00D873F9"/>
    <w:rsid w:val="00D8742E"/>
    <w:rsid w:val="00D87488"/>
    <w:rsid w:val="00D87516"/>
    <w:rsid w:val="00D87550"/>
    <w:rsid w:val="00D8755F"/>
    <w:rsid w:val="00D87588"/>
    <w:rsid w:val="00D875CF"/>
    <w:rsid w:val="00D87626"/>
    <w:rsid w:val="00D87669"/>
    <w:rsid w:val="00D87740"/>
    <w:rsid w:val="00D87767"/>
    <w:rsid w:val="00D877E0"/>
    <w:rsid w:val="00D87892"/>
    <w:rsid w:val="00D8790C"/>
    <w:rsid w:val="00D87941"/>
    <w:rsid w:val="00D87A04"/>
    <w:rsid w:val="00D87A20"/>
    <w:rsid w:val="00D87A71"/>
    <w:rsid w:val="00D87A95"/>
    <w:rsid w:val="00D87ACB"/>
    <w:rsid w:val="00D87AFE"/>
    <w:rsid w:val="00D87B42"/>
    <w:rsid w:val="00D87B90"/>
    <w:rsid w:val="00D87BF8"/>
    <w:rsid w:val="00D87C38"/>
    <w:rsid w:val="00D87C4D"/>
    <w:rsid w:val="00D87CF2"/>
    <w:rsid w:val="00D87CFF"/>
    <w:rsid w:val="00D87D36"/>
    <w:rsid w:val="00D87DA1"/>
    <w:rsid w:val="00D87EC5"/>
    <w:rsid w:val="00D87EDB"/>
    <w:rsid w:val="00D87F5E"/>
    <w:rsid w:val="00D87FEA"/>
    <w:rsid w:val="00D90001"/>
    <w:rsid w:val="00D900AA"/>
    <w:rsid w:val="00D900C1"/>
    <w:rsid w:val="00D900DA"/>
    <w:rsid w:val="00D901A9"/>
    <w:rsid w:val="00D901AA"/>
    <w:rsid w:val="00D901B7"/>
    <w:rsid w:val="00D90205"/>
    <w:rsid w:val="00D9022D"/>
    <w:rsid w:val="00D90250"/>
    <w:rsid w:val="00D90273"/>
    <w:rsid w:val="00D90355"/>
    <w:rsid w:val="00D90360"/>
    <w:rsid w:val="00D903B1"/>
    <w:rsid w:val="00D90464"/>
    <w:rsid w:val="00D9049D"/>
    <w:rsid w:val="00D904D5"/>
    <w:rsid w:val="00D904F1"/>
    <w:rsid w:val="00D9050C"/>
    <w:rsid w:val="00D90510"/>
    <w:rsid w:val="00D9056B"/>
    <w:rsid w:val="00D905BE"/>
    <w:rsid w:val="00D905CD"/>
    <w:rsid w:val="00D906FA"/>
    <w:rsid w:val="00D906FE"/>
    <w:rsid w:val="00D90742"/>
    <w:rsid w:val="00D90876"/>
    <w:rsid w:val="00D90948"/>
    <w:rsid w:val="00D90954"/>
    <w:rsid w:val="00D909B4"/>
    <w:rsid w:val="00D909D8"/>
    <w:rsid w:val="00D90A0D"/>
    <w:rsid w:val="00D90A13"/>
    <w:rsid w:val="00D90AAE"/>
    <w:rsid w:val="00D90AF0"/>
    <w:rsid w:val="00D90B80"/>
    <w:rsid w:val="00D90BD6"/>
    <w:rsid w:val="00D90CFA"/>
    <w:rsid w:val="00D90D0B"/>
    <w:rsid w:val="00D90D12"/>
    <w:rsid w:val="00D90D77"/>
    <w:rsid w:val="00D90DBF"/>
    <w:rsid w:val="00D90E92"/>
    <w:rsid w:val="00D90EA3"/>
    <w:rsid w:val="00D90EB1"/>
    <w:rsid w:val="00D90EB7"/>
    <w:rsid w:val="00D90F1B"/>
    <w:rsid w:val="00D90F5E"/>
    <w:rsid w:val="00D90F7C"/>
    <w:rsid w:val="00D90FAC"/>
    <w:rsid w:val="00D90FB6"/>
    <w:rsid w:val="00D90FC7"/>
    <w:rsid w:val="00D90FD5"/>
    <w:rsid w:val="00D91017"/>
    <w:rsid w:val="00D910B2"/>
    <w:rsid w:val="00D910F5"/>
    <w:rsid w:val="00D91127"/>
    <w:rsid w:val="00D91130"/>
    <w:rsid w:val="00D91139"/>
    <w:rsid w:val="00D91154"/>
    <w:rsid w:val="00D9117A"/>
    <w:rsid w:val="00D911A0"/>
    <w:rsid w:val="00D91268"/>
    <w:rsid w:val="00D912B1"/>
    <w:rsid w:val="00D9140E"/>
    <w:rsid w:val="00D9143A"/>
    <w:rsid w:val="00D91472"/>
    <w:rsid w:val="00D91482"/>
    <w:rsid w:val="00D9148F"/>
    <w:rsid w:val="00D9149E"/>
    <w:rsid w:val="00D914F6"/>
    <w:rsid w:val="00D91508"/>
    <w:rsid w:val="00D91513"/>
    <w:rsid w:val="00D9156C"/>
    <w:rsid w:val="00D915DB"/>
    <w:rsid w:val="00D9160D"/>
    <w:rsid w:val="00D9162B"/>
    <w:rsid w:val="00D916B4"/>
    <w:rsid w:val="00D916C7"/>
    <w:rsid w:val="00D917AD"/>
    <w:rsid w:val="00D91801"/>
    <w:rsid w:val="00D91842"/>
    <w:rsid w:val="00D91843"/>
    <w:rsid w:val="00D9184D"/>
    <w:rsid w:val="00D91851"/>
    <w:rsid w:val="00D91880"/>
    <w:rsid w:val="00D9197F"/>
    <w:rsid w:val="00D91983"/>
    <w:rsid w:val="00D919FC"/>
    <w:rsid w:val="00D91A17"/>
    <w:rsid w:val="00D91A3D"/>
    <w:rsid w:val="00D91ADD"/>
    <w:rsid w:val="00D91AFB"/>
    <w:rsid w:val="00D91B36"/>
    <w:rsid w:val="00D91BB8"/>
    <w:rsid w:val="00D91C1D"/>
    <w:rsid w:val="00D91C87"/>
    <w:rsid w:val="00D91CED"/>
    <w:rsid w:val="00D91DA4"/>
    <w:rsid w:val="00D91DAC"/>
    <w:rsid w:val="00D91DE9"/>
    <w:rsid w:val="00D91E4A"/>
    <w:rsid w:val="00D91E56"/>
    <w:rsid w:val="00D91EB4"/>
    <w:rsid w:val="00D91EB9"/>
    <w:rsid w:val="00D91ED3"/>
    <w:rsid w:val="00D91F81"/>
    <w:rsid w:val="00D92013"/>
    <w:rsid w:val="00D9206D"/>
    <w:rsid w:val="00D920FD"/>
    <w:rsid w:val="00D92105"/>
    <w:rsid w:val="00D92144"/>
    <w:rsid w:val="00D92191"/>
    <w:rsid w:val="00D9219A"/>
    <w:rsid w:val="00D92253"/>
    <w:rsid w:val="00D922D1"/>
    <w:rsid w:val="00D92346"/>
    <w:rsid w:val="00D92358"/>
    <w:rsid w:val="00D923BA"/>
    <w:rsid w:val="00D924E8"/>
    <w:rsid w:val="00D92501"/>
    <w:rsid w:val="00D92579"/>
    <w:rsid w:val="00D92593"/>
    <w:rsid w:val="00D92596"/>
    <w:rsid w:val="00D925CC"/>
    <w:rsid w:val="00D925D0"/>
    <w:rsid w:val="00D925D1"/>
    <w:rsid w:val="00D925E4"/>
    <w:rsid w:val="00D9261F"/>
    <w:rsid w:val="00D92634"/>
    <w:rsid w:val="00D92656"/>
    <w:rsid w:val="00D926D5"/>
    <w:rsid w:val="00D9276B"/>
    <w:rsid w:val="00D9278C"/>
    <w:rsid w:val="00D927FF"/>
    <w:rsid w:val="00D92848"/>
    <w:rsid w:val="00D92862"/>
    <w:rsid w:val="00D92A5D"/>
    <w:rsid w:val="00D92A6B"/>
    <w:rsid w:val="00D92A8E"/>
    <w:rsid w:val="00D92AFA"/>
    <w:rsid w:val="00D92B4E"/>
    <w:rsid w:val="00D92B62"/>
    <w:rsid w:val="00D92B7E"/>
    <w:rsid w:val="00D92B86"/>
    <w:rsid w:val="00D92B97"/>
    <w:rsid w:val="00D92BB7"/>
    <w:rsid w:val="00D92C29"/>
    <w:rsid w:val="00D92E0A"/>
    <w:rsid w:val="00D92E6C"/>
    <w:rsid w:val="00D92EB6"/>
    <w:rsid w:val="00D92F05"/>
    <w:rsid w:val="00D92F4C"/>
    <w:rsid w:val="00D92F9D"/>
    <w:rsid w:val="00D92FA8"/>
    <w:rsid w:val="00D92FC7"/>
    <w:rsid w:val="00D9308B"/>
    <w:rsid w:val="00D930A7"/>
    <w:rsid w:val="00D930AC"/>
    <w:rsid w:val="00D93184"/>
    <w:rsid w:val="00D9318E"/>
    <w:rsid w:val="00D931C1"/>
    <w:rsid w:val="00D93281"/>
    <w:rsid w:val="00D93323"/>
    <w:rsid w:val="00D9338E"/>
    <w:rsid w:val="00D933A9"/>
    <w:rsid w:val="00D934AD"/>
    <w:rsid w:val="00D93557"/>
    <w:rsid w:val="00D9355B"/>
    <w:rsid w:val="00D93563"/>
    <w:rsid w:val="00D93567"/>
    <w:rsid w:val="00D9369E"/>
    <w:rsid w:val="00D936CD"/>
    <w:rsid w:val="00D93718"/>
    <w:rsid w:val="00D937E0"/>
    <w:rsid w:val="00D937F2"/>
    <w:rsid w:val="00D93840"/>
    <w:rsid w:val="00D938C8"/>
    <w:rsid w:val="00D938DE"/>
    <w:rsid w:val="00D938FA"/>
    <w:rsid w:val="00D93934"/>
    <w:rsid w:val="00D9393C"/>
    <w:rsid w:val="00D93948"/>
    <w:rsid w:val="00D93A1C"/>
    <w:rsid w:val="00D93A25"/>
    <w:rsid w:val="00D93A46"/>
    <w:rsid w:val="00D93A5C"/>
    <w:rsid w:val="00D93ABC"/>
    <w:rsid w:val="00D93AFB"/>
    <w:rsid w:val="00D93B1F"/>
    <w:rsid w:val="00D93B49"/>
    <w:rsid w:val="00D93BEC"/>
    <w:rsid w:val="00D93C64"/>
    <w:rsid w:val="00D93CEB"/>
    <w:rsid w:val="00D93CF6"/>
    <w:rsid w:val="00D93D06"/>
    <w:rsid w:val="00D93DCA"/>
    <w:rsid w:val="00D93DFA"/>
    <w:rsid w:val="00D93ECF"/>
    <w:rsid w:val="00D93F56"/>
    <w:rsid w:val="00D93F67"/>
    <w:rsid w:val="00D94070"/>
    <w:rsid w:val="00D94225"/>
    <w:rsid w:val="00D94269"/>
    <w:rsid w:val="00D94283"/>
    <w:rsid w:val="00D943AF"/>
    <w:rsid w:val="00D943D8"/>
    <w:rsid w:val="00D943E8"/>
    <w:rsid w:val="00D94418"/>
    <w:rsid w:val="00D94433"/>
    <w:rsid w:val="00D944D3"/>
    <w:rsid w:val="00D944F5"/>
    <w:rsid w:val="00D94585"/>
    <w:rsid w:val="00D945AA"/>
    <w:rsid w:val="00D945FB"/>
    <w:rsid w:val="00D9460A"/>
    <w:rsid w:val="00D9460C"/>
    <w:rsid w:val="00D94624"/>
    <w:rsid w:val="00D94630"/>
    <w:rsid w:val="00D94657"/>
    <w:rsid w:val="00D9465A"/>
    <w:rsid w:val="00D946CB"/>
    <w:rsid w:val="00D9474B"/>
    <w:rsid w:val="00D94781"/>
    <w:rsid w:val="00D947AC"/>
    <w:rsid w:val="00D94876"/>
    <w:rsid w:val="00D94903"/>
    <w:rsid w:val="00D9490D"/>
    <w:rsid w:val="00D94935"/>
    <w:rsid w:val="00D94AEA"/>
    <w:rsid w:val="00D94B05"/>
    <w:rsid w:val="00D94BB6"/>
    <w:rsid w:val="00D94BD5"/>
    <w:rsid w:val="00D94C14"/>
    <w:rsid w:val="00D94CA6"/>
    <w:rsid w:val="00D94E0C"/>
    <w:rsid w:val="00D94E8D"/>
    <w:rsid w:val="00D94EE2"/>
    <w:rsid w:val="00D94EE3"/>
    <w:rsid w:val="00D94FB5"/>
    <w:rsid w:val="00D950BA"/>
    <w:rsid w:val="00D950C9"/>
    <w:rsid w:val="00D950EE"/>
    <w:rsid w:val="00D95164"/>
    <w:rsid w:val="00D95206"/>
    <w:rsid w:val="00D95209"/>
    <w:rsid w:val="00D95214"/>
    <w:rsid w:val="00D95289"/>
    <w:rsid w:val="00D9534E"/>
    <w:rsid w:val="00D95367"/>
    <w:rsid w:val="00D95389"/>
    <w:rsid w:val="00D95390"/>
    <w:rsid w:val="00D953B1"/>
    <w:rsid w:val="00D95534"/>
    <w:rsid w:val="00D95535"/>
    <w:rsid w:val="00D95613"/>
    <w:rsid w:val="00D95655"/>
    <w:rsid w:val="00D95660"/>
    <w:rsid w:val="00D95703"/>
    <w:rsid w:val="00D9572F"/>
    <w:rsid w:val="00D9573F"/>
    <w:rsid w:val="00D95741"/>
    <w:rsid w:val="00D9577D"/>
    <w:rsid w:val="00D957B4"/>
    <w:rsid w:val="00D95916"/>
    <w:rsid w:val="00D95950"/>
    <w:rsid w:val="00D95974"/>
    <w:rsid w:val="00D959F6"/>
    <w:rsid w:val="00D95A09"/>
    <w:rsid w:val="00D95A66"/>
    <w:rsid w:val="00D95AAF"/>
    <w:rsid w:val="00D95B6A"/>
    <w:rsid w:val="00D95B83"/>
    <w:rsid w:val="00D95BA1"/>
    <w:rsid w:val="00D95C26"/>
    <w:rsid w:val="00D95C51"/>
    <w:rsid w:val="00D95CFC"/>
    <w:rsid w:val="00D95D50"/>
    <w:rsid w:val="00D95D51"/>
    <w:rsid w:val="00D95E03"/>
    <w:rsid w:val="00D95E78"/>
    <w:rsid w:val="00D95EB9"/>
    <w:rsid w:val="00D95F11"/>
    <w:rsid w:val="00D96001"/>
    <w:rsid w:val="00D9603E"/>
    <w:rsid w:val="00D9605B"/>
    <w:rsid w:val="00D960FC"/>
    <w:rsid w:val="00D96180"/>
    <w:rsid w:val="00D961A9"/>
    <w:rsid w:val="00D96239"/>
    <w:rsid w:val="00D9626A"/>
    <w:rsid w:val="00D9632F"/>
    <w:rsid w:val="00D96356"/>
    <w:rsid w:val="00D96387"/>
    <w:rsid w:val="00D963B8"/>
    <w:rsid w:val="00D963C5"/>
    <w:rsid w:val="00D9644B"/>
    <w:rsid w:val="00D96462"/>
    <w:rsid w:val="00D96526"/>
    <w:rsid w:val="00D9658B"/>
    <w:rsid w:val="00D966DC"/>
    <w:rsid w:val="00D9670B"/>
    <w:rsid w:val="00D96789"/>
    <w:rsid w:val="00D967C6"/>
    <w:rsid w:val="00D96828"/>
    <w:rsid w:val="00D96848"/>
    <w:rsid w:val="00D968B4"/>
    <w:rsid w:val="00D96942"/>
    <w:rsid w:val="00D969D4"/>
    <w:rsid w:val="00D969EA"/>
    <w:rsid w:val="00D96A14"/>
    <w:rsid w:val="00D96A71"/>
    <w:rsid w:val="00D96A85"/>
    <w:rsid w:val="00D96AAA"/>
    <w:rsid w:val="00D96B06"/>
    <w:rsid w:val="00D96C51"/>
    <w:rsid w:val="00D96CC5"/>
    <w:rsid w:val="00D96D52"/>
    <w:rsid w:val="00D96DB3"/>
    <w:rsid w:val="00D96E41"/>
    <w:rsid w:val="00D96ED6"/>
    <w:rsid w:val="00D96F21"/>
    <w:rsid w:val="00D96F2B"/>
    <w:rsid w:val="00D96FA4"/>
    <w:rsid w:val="00D96FAE"/>
    <w:rsid w:val="00D97158"/>
    <w:rsid w:val="00D97223"/>
    <w:rsid w:val="00D97268"/>
    <w:rsid w:val="00D972CD"/>
    <w:rsid w:val="00D97354"/>
    <w:rsid w:val="00D97369"/>
    <w:rsid w:val="00D973B8"/>
    <w:rsid w:val="00D9744C"/>
    <w:rsid w:val="00D97488"/>
    <w:rsid w:val="00D974D9"/>
    <w:rsid w:val="00D9753F"/>
    <w:rsid w:val="00D9754D"/>
    <w:rsid w:val="00D97584"/>
    <w:rsid w:val="00D97587"/>
    <w:rsid w:val="00D975DB"/>
    <w:rsid w:val="00D975F9"/>
    <w:rsid w:val="00D9760B"/>
    <w:rsid w:val="00D9761C"/>
    <w:rsid w:val="00D9766D"/>
    <w:rsid w:val="00D976D7"/>
    <w:rsid w:val="00D976DD"/>
    <w:rsid w:val="00D97829"/>
    <w:rsid w:val="00D9784C"/>
    <w:rsid w:val="00D9791A"/>
    <w:rsid w:val="00D97933"/>
    <w:rsid w:val="00D979D7"/>
    <w:rsid w:val="00D97A67"/>
    <w:rsid w:val="00D97AB0"/>
    <w:rsid w:val="00D97AD4"/>
    <w:rsid w:val="00D97BAC"/>
    <w:rsid w:val="00D97BEC"/>
    <w:rsid w:val="00D97C97"/>
    <w:rsid w:val="00D97CB5"/>
    <w:rsid w:val="00D97DA2"/>
    <w:rsid w:val="00D97DE1"/>
    <w:rsid w:val="00D97DF6"/>
    <w:rsid w:val="00D97E70"/>
    <w:rsid w:val="00D97F12"/>
    <w:rsid w:val="00D97F18"/>
    <w:rsid w:val="00D97F29"/>
    <w:rsid w:val="00D97FD8"/>
    <w:rsid w:val="00D97FDA"/>
    <w:rsid w:val="00DA0072"/>
    <w:rsid w:val="00DA01EA"/>
    <w:rsid w:val="00DA01F3"/>
    <w:rsid w:val="00DA01F5"/>
    <w:rsid w:val="00DA020F"/>
    <w:rsid w:val="00DA0215"/>
    <w:rsid w:val="00DA0221"/>
    <w:rsid w:val="00DA0226"/>
    <w:rsid w:val="00DA028B"/>
    <w:rsid w:val="00DA02DF"/>
    <w:rsid w:val="00DA038D"/>
    <w:rsid w:val="00DA0455"/>
    <w:rsid w:val="00DA0672"/>
    <w:rsid w:val="00DA06A7"/>
    <w:rsid w:val="00DA06A8"/>
    <w:rsid w:val="00DA0718"/>
    <w:rsid w:val="00DA076A"/>
    <w:rsid w:val="00DA07CB"/>
    <w:rsid w:val="00DA07E7"/>
    <w:rsid w:val="00DA0829"/>
    <w:rsid w:val="00DA083C"/>
    <w:rsid w:val="00DA0840"/>
    <w:rsid w:val="00DA08BA"/>
    <w:rsid w:val="00DA0903"/>
    <w:rsid w:val="00DA097F"/>
    <w:rsid w:val="00DA0A43"/>
    <w:rsid w:val="00DA0A54"/>
    <w:rsid w:val="00DA0AC9"/>
    <w:rsid w:val="00DA0B35"/>
    <w:rsid w:val="00DA0BAE"/>
    <w:rsid w:val="00DA0BF8"/>
    <w:rsid w:val="00DA0C4D"/>
    <w:rsid w:val="00DA0CA2"/>
    <w:rsid w:val="00DA0D65"/>
    <w:rsid w:val="00DA0D75"/>
    <w:rsid w:val="00DA0D91"/>
    <w:rsid w:val="00DA0D9F"/>
    <w:rsid w:val="00DA0DC9"/>
    <w:rsid w:val="00DA0E10"/>
    <w:rsid w:val="00DA0EE7"/>
    <w:rsid w:val="00DA0FAA"/>
    <w:rsid w:val="00DA0FCD"/>
    <w:rsid w:val="00DA10FB"/>
    <w:rsid w:val="00DA1120"/>
    <w:rsid w:val="00DA1155"/>
    <w:rsid w:val="00DA1165"/>
    <w:rsid w:val="00DA1188"/>
    <w:rsid w:val="00DA118D"/>
    <w:rsid w:val="00DA11DC"/>
    <w:rsid w:val="00DA124C"/>
    <w:rsid w:val="00DA1277"/>
    <w:rsid w:val="00DA12E1"/>
    <w:rsid w:val="00DA1305"/>
    <w:rsid w:val="00DA131C"/>
    <w:rsid w:val="00DA13D0"/>
    <w:rsid w:val="00DA146C"/>
    <w:rsid w:val="00DA1478"/>
    <w:rsid w:val="00DA149A"/>
    <w:rsid w:val="00DA1527"/>
    <w:rsid w:val="00DA1599"/>
    <w:rsid w:val="00DA1609"/>
    <w:rsid w:val="00DA1623"/>
    <w:rsid w:val="00DA1632"/>
    <w:rsid w:val="00DA16C0"/>
    <w:rsid w:val="00DA16CB"/>
    <w:rsid w:val="00DA1737"/>
    <w:rsid w:val="00DA17B5"/>
    <w:rsid w:val="00DA17B6"/>
    <w:rsid w:val="00DA180E"/>
    <w:rsid w:val="00DA1859"/>
    <w:rsid w:val="00DA18E4"/>
    <w:rsid w:val="00DA18EF"/>
    <w:rsid w:val="00DA1A07"/>
    <w:rsid w:val="00DA1A16"/>
    <w:rsid w:val="00DA1A42"/>
    <w:rsid w:val="00DA1A4B"/>
    <w:rsid w:val="00DA1ACF"/>
    <w:rsid w:val="00DA1B1A"/>
    <w:rsid w:val="00DA1B2F"/>
    <w:rsid w:val="00DA1B58"/>
    <w:rsid w:val="00DA1B61"/>
    <w:rsid w:val="00DA1BB2"/>
    <w:rsid w:val="00DA1C17"/>
    <w:rsid w:val="00DA1CC9"/>
    <w:rsid w:val="00DA1D1A"/>
    <w:rsid w:val="00DA1DE5"/>
    <w:rsid w:val="00DA1EC0"/>
    <w:rsid w:val="00DA1EED"/>
    <w:rsid w:val="00DA1F08"/>
    <w:rsid w:val="00DA1F32"/>
    <w:rsid w:val="00DA1F3C"/>
    <w:rsid w:val="00DA1F3D"/>
    <w:rsid w:val="00DA1F83"/>
    <w:rsid w:val="00DA206B"/>
    <w:rsid w:val="00DA2078"/>
    <w:rsid w:val="00DA213A"/>
    <w:rsid w:val="00DA2173"/>
    <w:rsid w:val="00DA2177"/>
    <w:rsid w:val="00DA2189"/>
    <w:rsid w:val="00DA2258"/>
    <w:rsid w:val="00DA2299"/>
    <w:rsid w:val="00DA22FF"/>
    <w:rsid w:val="00DA233B"/>
    <w:rsid w:val="00DA23AB"/>
    <w:rsid w:val="00DA2418"/>
    <w:rsid w:val="00DA243D"/>
    <w:rsid w:val="00DA2485"/>
    <w:rsid w:val="00DA24B1"/>
    <w:rsid w:val="00DA250C"/>
    <w:rsid w:val="00DA252D"/>
    <w:rsid w:val="00DA25D4"/>
    <w:rsid w:val="00DA25E5"/>
    <w:rsid w:val="00DA263F"/>
    <w:rsid w:val="00DA292F"/>
    <w:rsid w:val="00DA295F"/>
    <w:rsid w:val="00DA2983"/>
    <w:rsid w:val="00DA299A"/>
    <w:rsid w:val="00DA299E"/>
    <w:rsid w:val="00DA29F9"/>
    <w:rsid w:val="00DA2A0C"/>
    <w:rsid w:val="00DA2A90"/>
    <w:rsid w:val="00DA2B32"/>
    <w:rsid w:val="00DA2BA8"/>
    <w:rsid w:val="00DA2BDD"/>
    <w:rsid w:val="00DA2C81"/>
    <w:rsid w:val="00DA2D17"/>
    <w:rsid w:val="00DA2D23"/>
    <w:rsid w:val="00DA2D96"/>
    <w:rsid w:val="00DA2DDE"/>
    <w:rsid w:val="00DA2EA1"/>
    <w:rsid w:val="00DA2EBA"/>
    <w:rsid w:val="00DA2EDE"/>
    <w:rsid w:val="00DA2EF0"/>
    <w:rsid w:val="00DA2F07"/>
    <w:rsid w:val="00DA2F4D"/>
    <w:rsid w:val="00DA2F5F"/>
    <w:rsid w:val="00DA2F7E"/>
    <w:rsid w:val="00DA2F8D"/>
    <w:rsid w:val="00DA2F98"/>
    <w:rsid w:val="00DA2FBE"/>
    <w:rsid w:val="00DA302E"/>
    <w:rsid w:val="00DA304E"/>
    <w:rsid w:val="00DA30BC"/>
    <w:rsid w:val="00DA3263"/>
    <w:rsid w:val="00DA3292"/>
    <w:rsid w:val="00DA338C"/>
    <w:rsid w:val="00DA33F0"/>
    <w:rsid w:val="00DA3407"/>
    <w:rsid w:val="00DA3417"/>
    <w:rsid w:val="00DA342F"/>
    <w:rsid w:val="00DA34D5"/>
    <w:rsid w:val="00DA34D9"/>
    <w:rsid w:val="00DA35B4"/>
    <w:rsid w:val="00DA35C8"/>
    <w:rsid w:val="00DA3628"/>
    <w:rsid w:val="00DA3653"/>
    <w:rsid w:val="00DA378B"/>
    <w:rsid w:val="00DA37BA"/>
    <w:rsid w:val="00DA3846"/>
    <w:rsid w:val="00DA38B2"/>
    <w:rsid w:val="00DA38B9"/>
    <w:rsid w:val="00DA38C1"/>
    <w:rsid w:val="00DA3983"/>
    <w:rsid w:val="00DA39A2"/>
    <w:rsid w:val="00DA39B6"/>
    <w:rsid w:val="00DA39F4"/>
    <w:rsid w:val="00DA3ADF"/>
    <w:rsid w:val="00DA3B1E"/>
    <w:rsid w:val="00DA3C1A"/>
    <w:rsid w:val="00DA3CD1"/>
    <w:rsid w:val="00DA3D23"/>
    <w:rsid w:val="00DA3D5B"/>
    <w:rsid w:val="00DA3DA2"/>
    <w:rsid w:val="00DA3DA6"/>
    <w:rsid w:val="00DA3E51"/>
    <w:rsid w:val="00DA3E84"/>
    <w:rsid w:val="00DA3F26"/>
    <w:rsid w:val="00DA3F4B"/>
    <w:rsid w:val="00DA3F53"/>
    <w:rsid w:val="00DA4004"/>
    <w:rsid w:val="00DA4072"/>
    <w:rsid w:val="00DA41AA"/>
    <w:rsid w:val="00DA41C1"/>
    <w:rsid w:val="00DA41DB"/>
    <w:rsid w:val="00DA41F9"/>
    <w:rsid w:val="00DA420E"/>
    <w:rsid w:val="00DA435E"/>
    <w:rsid w:val="00DA4393"/>
    <w:rsid w:val="00DA43A1"/>
    <w:rsid w:val="00DA44B1"/>
    <w:rsid w:val="00DA44CD"/>
    <w:rsid w:val="00DA4532"/>
    <w:rsid w:val="00DA4547"/>
    <w:rsid w:val="00DA4563"/>
    <w:rsid w:val="00DA4572"/>
    <w:rsid w:val="00DA478F"/>
    <w:rsid w:val="00DA48F1"/>
    <w:rsid w:val="00DA499B"/>
    <w:rsid w:val="00DA49A8"/>
    <w:rsid w:val="00DA4A54"/>
    <w:rsid w:val="00DA4A7C"/>
    <w:rsid w:val="00DA4AAA"/>
    <w:rsid w:val="00DA4B15"/>
    <w:rsid w:val="00DA4B98"/>
    <w:rsid w:val="00DA4CAF"/>
    <w:rsid w:val="00DA4D20"/>
    <w:rsid w:val="00DA4DF3"/>
    <w:rsid w:val="00DA4E4A"/>
    <w:rsid w:val="00DA4E53"/>
    <w:rsid w:val="00DA4E76"/>
    <w:rsid w:val="00DA4E9A"/>
    <w:rsid w:val="00DA4F4B"/>
    <w:rsid w:val="00DA4FCF"/>
    <w:rsid w:val="00DA5016"/>
    <w:rsid w:val="00DA5193"/>
    <w:rsid w:val="00DA51DE"/>
    <w:rsid w:val="00DA51E3"/>
    <w:rsid w:val="00DA521D"/>
    <w:rsid w:val="00DA5250"/>
    <w:rsid w:val="00DA526B"/>
    <w:rsid w:val="00DA52A0"/>
    <w:rsid w:val="00DA52DB"/>
    <w:rsid w:val="00DA52ED"/>
    <w:rsid w:val="00DA545E"/>
    <w:rsid w:val="00DA550A"/>
    <w:rsid w:val="00DA5536"/>
    <w:rsid w:val="00DA554A"/>
    <w:rsid w:val="00DA5552"/>
    <w:rsid w:val="00DA55A0"/>
    <w:rsid w:val="00DA55A1"/>
    <w:rsid w:val="00DA55F3"/>
    <w:rsid w:val="00DA5646"/>
    <w:rsid w:val="00DA5654"/>
    <w:rsid w:val="00DA56B9"/>
    <w:rsid w:val="00DA56C7"/>
    <w:rsid w:val="00DA56FC"/>
    <w:rsid w:val="00DA573A"/>
    <w:rsid w:val="00DA57B2"/>
    <w:rsid w:val="00DA5952"/>
    <w:rsid w:val="00DA59B6"/>
    <w:rsid w:val="00DA5AC5"/>
    <w:rsid w:val="00DA5B6F"/>
    <w:rsid w:val="00DA5BEB"/>
    <w:rsid w:val="00DA5C10"/>
    <w:rsid w:val="00DA5C30"/>
    <w:rsid w:val="00DA5C3D"/>
    <w:rsid w:val="00DA5C4E"/>
    <w:rsid w:val="00DA5C60"/>
    <w:rsid w:val="00DA5CD3"/>
    <w:rsid w:val="00DA5D3C"/>
    <w:rsid w:val="00DA5D6C"/>
    <w:rsid w:val="00DA5DBA"/>
    <w:rsid w:val="00DA5DD1"/>
    <w:rsid w:val="00DA5EB3"/>
    <w:rsid w:val="00DA5EE9"/>
    <w:rsid w:val="00DA5F15"/>
    <w:rsid w:val="00DA5F27"/>
    <w:rsid w:val="00DA5F79"/>
    <w:rsid w:val="00DA5FCE"/>
    <w:rsid w:val="00DA5FED"/>
    <w:rsid w:val="00DA60A2"/>
    <w:rsid w:val="00DA60C0"/>
    <w:rsid w:val="00DA611C"/>
    <w:rsid w:val="00DA6182"/>
    <w:rsid w:val="00DA618A"/>
    <w:rsid w:val="00DA636D"/>
    <w:rsid w:val="00DA6379"/>
    <w:rsid w:val="00DA6464"/>
    <w:rsid w:val="00DA64F9"/>
    <w:rsid w:val="00DA65D8"/>
    <w:rsid w:val="00DA6608"/>
    <w:rsid w:val="00DA6654"/>
    <w:rsid w:val="00DA669E"/>
    <w:rsid w:val="00DA66BD"/>
    <w:rsid w:val="00DA66BE"/>
    <w:rsid w:val="00DA6709"/>
    <w:rsid w:val="00DA676E"/>
    <w:rsid w:val="00DA67CF"/>
    <w:rsid w:val="00DA680B"/>
    <w:rsid w:val="00DA681F"/>
    <w:rsid w:val="00DA682A"/>
    <w:rsid w:val="00DA6876"/>
    <w:rsid w:val="00DA6926"/>
    <w:rsid w:val="00DA697D"/>
    <w:rsid w:val="00DA6994"/>
    <w:rsid w:val="00DA69BB"/>
    <w:rsid w:val="00DA6A6C"/>
    <w:rsid w:val="00DA6AE6"/>
    <w:rsid w:val="00DA6AF4"/>
    <w:rsid w:val="00DA6D00"/>
    <w:rsid w:val="00DA6D10"/>
    <w:rsid w:val="00DA6D5D"/>
    <w:rsid w:val="00DA6D69"/>
    <w:rsid w:val="00DA6DCF"/>
    <w:rsid w:val="00DA6DEC"/>
    <w:rsid w:val="00DA6E88"/>
    <w:rsid w:val="00DA6ED7"/>
    <w:rsid w:val="00DA6FFA"/>
    <w:rsid w:val="00DA7022"/>
    <w:rsid w:val="00DA705B"/>
    <w:rsid w:val="00DA710B"/>
    <w:rsid w:val="00DA71A2"/>
    <w:rsid w:val="00DA71E0"/>
    <w:rsid w:val="00DA71ED"/>
    <w:rsid w:val="00DA7262"/>
    <w:rsid w:val="00DA7282"/>
    <w:rsid w:val="00DA743F"/>
    <w:rsid w:val="00DA7448"/>
    <w:rsid w:val="00DA7464"/>
    <w:rsid w:val="00DA74CA"/>
    <w:rsid w:val="00DA755C"/>
    <w:rsid w:val="00DA758A"/>
    <w:rsid w:val="00DA75DD"/>
    <w:rsid w:val="00DA7685"/>
    <w:rsid w:val="00DA769A"/>
    <w:rsid w:val="00DA76B6"/>
    <w:rsid w:val="00DA76BD"/>
    <w:rsid w:val="00DA779A"/>
    <w:rsid w:val="00DA77EC"/>
    <w:rsid w:val="00DA7809"/>
    <w:rsid w:val="00DA78F5"/>
    <w:rsid w:val="00DA7918"/>
    <w:rsid w:val="00DA791E"/>
    <w:rsid w:val="00DA79E9"/>
    <w:rsid w:val="00DA7A7B"/>
    <w:rsid w:val="00DA7AC9"/>
    <w:rsid w:val="00DA7B37"/>
    <w:rsid w:val="00DA7C10"/>
    <w:rsid w:val="00DA7C11"/>
    <w:rsid w:val="00DA7D48"/>
    <w:rsid w:val="00DA7DC7"/>
    <w:rsid w:val="00DA7F41"/>
    <w:rsid w:val="00DA7FE0"/>
    <w:rsid w:val="00DB0023"/>
    <w:rsid w:val="00DB0103"/>
    <w:rsid w:val="00DB016B"/>
    <w:rsid w:val="00DB020C"/>
    <w:rsid w:val="00DB0248"/>
    <w:rsid w:val="00DB026A"/>
    <w:rsid w:val="00DB0290"/>
    <w:rsid w:val="00DB037E"/>
    <w:rsid w:val="00DB03A3"/>
    <w:rsid w:val="00DB0403"/>
    <w:rsid w:val="00DB044C"/>
    <w:rsid w:val="00DB04BC"/>
    <w:rsid w:val="00DB04CB"/>
    <w:rsid w:val="00DB05C2"/>
    <w:rsid w:val="00DB060B"/>
    <w:rsid w:val="00DB063B"/>
    <w:rsid w:val="00DB0665"/>
    <w:rsid w:val="00DB0671"/>
    <w:rsid w:val="00DB06BF"/>
    <w:rsid w:val="00DB06FD"/>
    <w:rsid w:val="00DB0767"/>
    <w:rsid w:val="00DB0799"/>
    <w:rsid w:val="00DB0802"/>
    <w:rsid w:val="00DB0805"/>
    <w:rsid w:val="00DB08AE"/>
    <w:rsid w:val="00DB08CE"/>
    <w:rsid w:val="00DB08F6"/>
    <w:rsid w:val="00DB0A4E"/>
    <w:rsid w:val="00DB0C26"/>
    <w:rsid w:val="00DB0C96"/>
    <w:rsid w:val="00DB0D28"/>
    <w:rsid w:val="00DB0DF6"/>
    <w:rsid w:val="00DB0DF8"/>
    <w:rsid w:val="00DB0E31"/>
    <w:rsid w:val="00DB0EB4"/>
    <w:rsid w:val="00DB0EC8"/>
    <w:rsid w:val="00DB0EE6"/>
    <w:rsid w:val="00DB0F2F"/>
    <w:rsid w:val="00DB0F38"/>
    <w:rsid w:val="00DB0F53"/>
    <w:rsid w:val="00DB0FB2"/>
    <w:rsid w:val="00DB1083"/>
    <w:rsid w:val="00DB1088"/>
    <w:rsid w:val="00DB1091"/>
    <w:rsid w:val="00DB1092"/>
    <w:rsid w:val="00DB1177"/>
    <w:rsid w:val="00DB1183"/>
    <w:rsid w:val="00DB11BB"/>
    <w:rsid w:val="00DB11F0"/>
    <w:rsid w:val="00DB1242"/>
    <w:rsid w:val="00DB1273"/>
    <w:rsid w:val="00DB1352"/>
    <w:rsid w:val="00DB13E9"/>
    <w:rsid w:val="00DB1418"/>
    <w:rsid w:val="00DB145E"/>
    <w:rsid w:val="00DB153E"/>
    <w:rsid w:val="00DB156C"/>
    <w:rsid w:val="00DB15CC"/>
    <w:rsid w:val="00DB164E"/>
    <w:rsid w:val="00DB1684"/>
    <w:rsid w:val="00DB16C3"/>
    <w:rsid w:val="00DB1797"/>
    <w:rsid w:val="00DB1798"/>
    <w:rsid w:val="00DB17BC"/>
    <w:rsid w:val="00DB17D5"/>
    <w:rsid w:val="00DB17F4"/>
    <w:rsid w:val="00DB1808"/>
    <w:rsid w:val="00DB19DD"/>
    <w:rsid w:val="00DB19E8"/>
    <w:rsid w:val="00DB1A42"/>
    <w:rsid w:val="00DB1A98"/>
    <w:rsid w:val="00DB1B9C"/>
    <w:rsid w:val="00DB1C87"/>
    <w:rsid w:val="00DB1CB0"/>
    <w:rsid w:val="00DB1CB7"/>
    <w:rsid w:val="00DB1D18"/>
    <w:rsid w:val="00DB1D1D"/>
    <w:rsid w:val="00DB1D7A"/>
    <w:rsid w:val="00DB1DB0"/>
    <w:rsid w:val="00DB1DC9"/>
    <w:rsid w:val="00DB1DDF"/>
    <w:rsid w:val="00DB1E5F"/>
    <w:rsid w:val="00DB1F4F"/>
    <w:rsid w:val="00DB2024"/>
    <w:rsid w:val="00DB2025"/>
    <w:rsid w:val="00DB2066"/>
    <w:rsid w:val="00DB2084"/>
    <w:rsid w:val="00DB20A8"/>
    <w:rsid w:val="00DB213E"/>
    <w:rsid w:val="00DB2153"/>
    <w:rsid w:val="00DB21DE"/>
    <w:rsid w:val="00DB22CF"/>
    <w:rsid w:val="00DB22D4"/>
    <w:rsid w:val="00DB23CF"/>
    <w:rsid w:val="00DB2469"/>
    <w:rsid w:val="00DB248A"/>
    <w:rsid w:val="00DB24B2"/>
    <w:rsid w:val="00DB257A"/>
    <w:rsid w:val="00DB2595"/>
    <w:rsid w:val="00DB25A8"/>
    <w:rsid w:val="00DB25DF"/>
    <w:rsid w:val="00DB2619"/>
    <w:rsid w:val="00DB267C"/>
    <w:rsid w:val="00DB269E"/>
    <w:rsid w:val="00DB2700"/>
    <w:rsid w:val="00DB2725"/>
    <w:rsid w:val="00DB277B"/>
    <w:rsid w:val="00DB2783"/>
    <w:rsid w:val="00DB27CE"/>
    <w:rsid w:val="00DB282D"/>
    <w:rsid w:val="00DB286A"/>
    <w:rsid w:val="00DB28BE"/>
    <w:rsid w:val="00DB28C3"/>
    <w:rsid w:val="00DB2908"/>
    <w:rsid w:val="00DB2936"/>
    <w:rsid w:val="00DB2952"/>
    <w:rsid w:val="00DB2A95"/>
    <w:rsid w:val="00DB2BE9"/>
    <w:rsid w:val="00DB2D19"/>
    <w:rsid w:val="00DB2D62"/>
    <w:rsid w:val="00DB2E3C"/>
    <w:rsid w:val="00DB2E7C"/>
    <w:rsid w:val="00DB2F4F"/>
    <w:rsid w:val="00DB303A"/>
    <w:rsid w:val="00DB309D"/>
    <w:rsid w:val="00DB30CF"/>
    <w:rsid w:val="00DB30DE"/>
    <w:rsid w:val="00DB3111"/>
    <w:rsid w:val="00DB3168"/>
    <w:rsid w:val="00DB3197"/>
    <w:rsid w:val="00DB31BC"/>
    <w:rsid w:val="00DB31BF"/>
    <w:rsid w:val="00DB3208"/>
    <w:rsid w:val="00DB320F"/>
    <w:rsid w:val="00DB32A1"/>
    <w:rsid w:val="00DB3303"/>
    <w:rsid w:val="00DB3340"/>
    <w:rsid w:val="00DB337E"/>
    <w:rsid w:val="00DB33A0"/>
    <w:rsid w:val="00DB348B"/>
    <w:rsid w:val="00DB349E"/>
    <w:rsid w:val="00DB3597"/>
    <w:rsid w:val="00DB35BE"/>
    <w:rsid w:val="00DB3643"/>
    <w:rsid w:val="00DB369E"/>
    <w:rsid w:val="00DB370F"/>
    <w:rsid w:val="00DB3799"/>
    <w:rsid w:val="00DB37AF"/>
    <w:rsid w:val="00DB37C2"/>
    <w:rsid w:val="00DB3875"/>
    <w:rsid w:val="00DB389F"/>
    <w:rsid w:val="00DB38C6"/>
    <w:rsid w:val="00DB396A"/>
    <w:rsid w:val="00DB3A1C"/>
    <w:rsid w:val="00DB3B3B"/>
    <w:rsid w:val="00DB3BC9"/>
    <w:rsid w:val="00DB3C25"/>
    <w:rsid w:val="00DB3C49"/>
    <w:rsid w:val="00DB3C54"/>
    <w:rsid w:val="00DB3C83"/>
    <w:rsid w:val="00DB3CD2"/>
    <w:rsid w:val="00DB3D27"/>
    <w:rsid w:val="00DB3D5B"/>
    <w:rsid w:val="00DB3DDD"/>
    <w:rsid w:val="00DB3E78"/>
    <w:rsid w:val="00DB3E8F"/>
    <w:rsid w:val="00DB3EC8"/>
    <w:rsid w:val="00DB3EDA"/>
    <w:rsid w:val="00DB3EE2"/>
    <w:rsid w:val="00DB3EEA"/>
    <w:rsid w:val="00DB3EFE"/>
    <w:rsid w:val="00DB3F49"/>
    <w:rsid w:val="00DB3F7F"/>
    <w:rsid w:val="00DB3FE2"/>
    <w:rsid w:val="00DB4013"/>
    <w:rsid w:val="00DB4015"/>
    <w:rsid w:val="00DB4038"/>
    <w:rsid w:val="00DB4076"/>
    <w:rsid w:val="00DB407A"/>
    <w:rsid w:val="00DB40BA"/>
    <w:rsid w:val="00DB415F"/>
    <w:rsid w:val="00DB4200"/>
    <w:rsid w:val="00DB429A"/>
    <w:rsid w:val="00DB4317"/>
    <w:rsid w:val="00DB4318"/>
    <w:rsid w:val="00DB4341"/>
    <w:rsid w:val="00DB4380"/>
    <w:rsid w:val="00DB43B7"/>
    <w:rsid w:val="00DB43DE"/>
    <w:rsid w:val="00DB444A"/>
    <w:rsid w:val="00DB45C0"/>
    <w:rsid w:val="00DB4616"/>
    <w:rsid w:val="00DB4688"/>
    <w:rsid w:val="00DB468C"/>
    <w:rsid w:val="00DB4717"/>
    <w:rsid w:val="00DB4880"/>
    <w:rsid w:val="00DB497B"/>
    <w:rsid w:val="00DB498A"/>
    <w:rsid w:val="00DB49A1"/>
    <w:rsid w:val="00DB49D4"/>
    <w:rsid w:val="00DB49E7"/>
    <w:rsid w:val="00DB4A04"/>
    <w:rsid w:val="00DB4A90"/>
    <w:rsid w:val="00DB4BBA"/>
    <w:rsid w:val="00DB4BC9"/>
    <w:rsid w:val="00DB4BF1"/>
    <w:rsid w:val="00DB4C1E"/>
    <w:rsid w:val="00DB4C1F"/>
    <w:rsid w:val="00DB4C6A"/>
    <w:rsid w:val="00DB4C6D"/>
    <w:rsid w:val="00DB4C78"/>
    <w:rsid w:val="00DB4C8D"/>
    <w:rsid w:val="00DB4CBF"/>
    <w:rsid w:val="00DB4CC9"/>
    <w:rsid w:val="00DB4D61"/>
    <w:rsid w:val="00DB4D96"/>
    <w:rsid w:val="00DB4D9B"/>
    <w:rsid w:val="00DB4E47"/>
    <w:rsid w:val="00DB4EA2"/>
    <w:rsid w:val="00DB4EAD"/>
    <w:rsid w:val="00DB4F26"/>
    <w:rsid w:val="00DB4F8B"/>
    <w:rsid w:val="00DB4FAE"/>
    <w:rsid w:val="00DB4FB9"/>
    <w:rsid w:val="00DB5011"/>
    <w:rsid w:val="00DB5022"/>
    <w:rsid w:val="00DB502B"/>
    <w:rsid w:val="00DB5054"/>
    <w:rsid w:val="00DB507F"/>
    <w:rsid w:val="00DB5123"/>
    <w:rsid w:val="00DB512C"/>
    <w:rsid w:val="00DB513E"/>
    <w:rsid w:val="00DB519F"/>
    <w:rsid w:val="00DB51B7"/>
    <w:rsid w:val="00DB51C3"/>
    <w:rsid w:val="00DB51D5"/>
    <w:rsid w:val="00DB51E0"/>
    <w:rsid w:val="00DB5234"/>
    <w:rsid w:val="00DB52FC"/>
    <w:rsid w:val="00DB532A"/>
    <w:rsid w:val="00DB534C"/>
    <w:rsid w:val="00DB5402"/>
    <w:rsid w:val="00DB5429"/>
    <w:rsid w:val="00DB544E"/>
    <w:rsid w:val="00DB547F"/>
    <w:rsid w:val="00DB54CD"/>
    <w:rsid w:val="00DB54D5"/>
    <w:rsid w:val="00DB54D8"/>
    <w:rsid w:val="00DB551D"/>
    <w:rsid w:val="00DB5574"/>
    <w:rsid w:val="00DB5586"/>
    <w:rsid w:val="00DB55AC"/>
    <w:rsid w:val="00DB55D6"/>
    <w:rsid w:val="00DB55EF"/>
    <w:rsid w:val="00DB55F7"/>
    <w:rsid w:val="00DB56B7"/>
    <w:rsid w:val="00DB56BC"/>
    <w:rsid w:val="00DB5766"/>
    <w:rsid w:val="00DB5889"/>
    <w:rsid w:val="00DB589E"/>
    <w:rsid w:val="00DB58BD"/>
    <w:rsid w:val="00DB5936"/>
    <w:rsid w:val="00DB5A5B"/>
    <w:rsid w:val="00DB5A62"/>
    <w:rsid w:val="00DB5A68"/>
    <w:rsid w:val="00DB5AF0"/>
    <w:rsid w:val="00DB5B33"/>
    <w:rsid w:val="00DB5B51"/>
    <w:rsid w:val="00DB5B74"/>
    <w:rsid w:val="00DB5BDA"/>
    <w:rsid w:val="00DB5BF7"/>
    <w:rsid w:val="00DB5BFA"/>
    <w:rsid w:val="00DB5C58"/>
    <w:rsid w:val="00DB5D96"/>
    <w:rsid w:val="00DB5E99"/>
    <w:rsid w:val="00DB5EB1"/>
    <w:rsid w:val="00DB5F29"/>
    <w:rsid w:val="00DB5F7C"/>
    <w:rsid w:val="00DB5F93"/>
    <w:rsid w:val="00DB5FFB"/>
    <w:rsid w:val="00DB601E"/>
    <w:rsid w:val="00DB603C"/>
    <w:rsid w:val="00DB6041"/>
    <w:rsid w:val="00DB6195"/>
    <w:rsid w:val="00DB627D"/>
    <w:rsid w:val="00DB62B7"/>
    <w:rsid w:val="00DB62CF"/>
    <w:rsid w:val="00DB6309"/>
    <w:rsid w:val="00DB6319"/>
    <w:rsid w:val="00DB632C"/>
    <w:rsid w:val="00DB6387"/>
    <w:rsid w:val="00DB63D4"/>
    <w:rsid w:val="00DB6563"/>
    <w:rsid w:val="00DB6583"/>
    <w:rsid w:val="00DB65CB"/>
    <w:rsid w:val="00DB65E6"/>
    <w:rsid w:val="00DB661D"/>
    <w:rsid w:val="00DB6726"/>
    <w:rsid w:val="00DB672F"/>
    <w:rsid w:val="00DB6795"/>
    <w:rsid w:val="00DB67DF"/>
    <w:rsid w:val="00DB6872"/>
    <w:rsid w:val="00DB68DA"/>
    <w:rsid w:val="00DB6985"/>
    <w:rsid w:val="00DB6A09"/>
    <w:rsid w:val="00DB6A1A"/>
    <w:rsid w:val="00DB6A1D"/>
    <w:rsid w:val="00DB6A20"/>
    <w:rsid w:val="00DB6B93"/>
    <w:rsid w:val="00DB6C6E"/>
    <w:rsid w:val="00DB6CBE"/>
    <w:rsid w:val="00DB6D03"/>
    <w:rsid w:val="00DB6D06"/>
    <w:rsid w:val="00DB6D3D"/>
    <w:rsid w:val="00DB6D46"/>
    <w:rsid w:val="00DB6D5B"/>
    <w:rsid w:val="00DB6D89"/>
    <w:rsid w:val="00DB6D9D"/>
    <w:rsid w:val="00DB6E01"/>
    <w:rsid w:val="00DB6E3F"/>
    <w:rsid w:val="00DB6E5E"/>
    <w:rsid w:val="00DB6EB1"/>
    <w:rsid w:val="00DB6ED9"/>
    <w:rsid w:val="00DB6FD0"/>
    <w:rsid w:val="00DB6FEF"/>
    <w:rsid w:val="00DB7013"/>
    <w:rsid w:val="00DB70C5"/>
    <w:rsid w:val="00DB718E"/>
    <w:rsid w:val="00DB72F9"/>
    <w:rsid w:val="00DB73B1"/>
    <w:rsid w:val="00DB73B4"/>
    <w:rsid w:val="00DB7406"/>
    <w:rsid w:val="00DB7411"/>
    <w:rsid w:val="00DB7479"/>
    <w:rsid w:val="00DB7489"/>
    <w:rsid w:val="00DB749A"/>
    <w:rsid w:val="00DB74BB"/>
    <w:rsid w:val="00DB75D8"/>
    <w:rsid w:val="00DB763E"/>
    <w:rsid w:val="00DB76E9"/>
    <w:rsid w:val="00DB771B"/>
    <w:rsid w:val="00DB7753"/>
    <w:rsid w:val="00DB777E"/>
    <w:rsid w:val="00DB77A1"/>
    <w:rsid w:val="00DB77DE"/>
    <w:rsid w:val="00DB7844"/>
    <w:rsid w:val="00DB785E"/>
    <w:rsid w:val="00DB7965"/>
    <w:rsid w:val="00DB79FA"/>
    <w:rsid w:val="00DB79FE"/>
    <w:rsid w:val="00DB7A1C"/>
    <w:rsid w:val="00DB7AB6"/>
    <w:rsid w:val="00DB7AF6"/>
    <w:rsid w:val="00DB7B9A"/>
    <w:rsid w:val="00DB7BD8"/>
    <w:rsid w:val="00DB7BEC"/>
    <w:rsid w:val="00DB7C05"/>
    <w:rsid w:val="00DB7C35"/>
    <w:rsid w:val="00DB7C55"/>
    <w:rsid w:val="00DB7C99"/>
    <w:rsid w:val="00DB7CF4"/>
    <w:rsid w:val="00DB7D69"/>
    <w:rsid w:val="00DB7D9B"/>
    <w:rsid w:val="00DB7DAE"/>
    <w:rsid w:val="00DB7E95"/>
    <w:rsid w:val="00DB7FD9"/>
    <w:rsid w:val="00DB7FEA"/>
    <w:rsid w:val="00DC00B0"/>
    <w:rsid w:val="00DC00C0"/>
    <w:rsid w:val="00DC00D2"/>
    <w:rsid w:val="00DC00F3"/>
    <w:rsid w:val="00DC01BF"/>
    <w:rsid w:val="00DC0245"/>
    <w:rsid w:val="00DC0372"/>
    <w:rsid w:val="00DC03B6"/>
    <w:rsid w:val="00DC03BD"/>
    <w:rsid w:val="00DC0444"/>
    <w:rsid w:val="00DC04F2"/>
    <w:rsid w:val="00DC050E"/>
    <w:rsid w:val="00DC0559"/>
    <w:rsid w:val="00DC059E"/>
    <w:rsid w:val="00DC06FC"/>
    <w:rsid w:val="00DC074A"/>
    <w:rsid w:val="00DC075D"/>
    <w:rsid w:val="00DC07AB"/>
    <w:rsid w:val="00DC07B8"/>
    <w:rsid w:val="00DC07F2"/>
    <w:rsid w:val="00DC081B"/>
    <w:rsid w:val="00DC0948"/>
    <w:rsid w:val="00DC0961"/>
    <w:rsid w:val="00DC09F0"/>
    <w:rsid w:val="00DC0B6E"/>
    <w:rsid w:val="00DC0B7D"/>
    <w:rsid w:val="00DC0BC9"/>
    <w:rsid w:val="00DC0BD4"/>
    <w:rsid w:val="00DC0C2A"/>
    <w:rsid w:val="00DC0C34"/>
    <w:rsid w:val="00DC0C4B"/>
    <w:rsid w:val="00DC0C81"/>
    <w:rsid w:val="00DC0E9B"/>
    <w:rsid w:val="00DC0EBE"/>
    <w:rsid w:val="00DC0EC0"/>
    <w:rsid w:val="00DC0F32"/>
    <w:rsid w:val="00DC0FAC"/>
    <w:rsid w:val="00DC10B3"/>
    <w:rsid w:val="00DC10E9"/>
    <w:rsid w:val="00DC1159"/>
    <w:rsid w:val="00DC117C"/>
    <w:rsid w:val="00DC1196"/>
    <w:rsid w:val="00DC120E"/>
    <w:rsid w:val="00DC122C"/>
    <w:rsid w:val="00DC1279"/>
    <w:rsid w:val="00DC12DA"/>
    <w:rsid w:val="00DC12F6"/>
    <w:rsid w:val="00DC1351"/>
    <w:rsid w:val="00DC13DF"/>
    <w:rsid w:val="00DC1435"/>
    <w:rsid w:val="00DC1455"/>
    <w:rsid w:val="00DC146D"/>
    <w:rsid w:val="00DC1479"/>
    <w:rsid w:val="00DC1492"/>
    <w:rsid w:val="00DC167F"/>
    <w:rsid w:val="00DC1689"/>
    <w:rsid w:val="00DC1696"/>
    <w:rsid w:val="00DC16C0"/>
    <w:rsid w:val="00DC17D0"/>
    <w:rsid w:val="00DC1824"/>
    <w:rsid w:val="00DC1825"/>
    <w:rsid w:val="00DC1837"/>
    <w:rsid w:val="00DC1856"/>
    <w:rsid w:val="00DC185D"/>
    <w:rsid w:val="00DC188C"/>
    <w:rsid w:val="00DC195B"/>
    <w:rsid w:val="00DC1982"/>
    <w:rsid w:val="00DC19C4"/>
    <w:rsid w:val="00DC1A19"/>
    <w:rsid w:val="00DC1A30"/>
    <w:rsid w:val="00DC1A8F"/>
    <w:rsid w:val="00DC1AB0"/>
    <w:rsid w:val="00DC1B13"/>
    <w:rsid w:val="00DC1B9B"/>
    <w:rsid w:val="00DC1BBA"/>
    <w:rsid w:val="00DC1C35"/>
    <w:rsid w:val="00DC1C3C"/>
    <w:rsid w:val="00DC1CBB"/>
    <w:rsid w:val="00DC1CCC"/>
    <w:rsid w:val="00DC1CDE"/>
    <w:rsid w:val="00DC1D0B"/>
    <w:rsid w:val="00DC1D34"/>
    <w:rsid w:val="00DC1DA0"/>
    <w:rsid w:val="00DC1DB9"/>
    <w:rsid w:val="00DC1DD2"/>
    <w:rsid w:val="00DC1E39"/>
    <w:rsid w:val="00DC1E47"/>
    <w:rsid w:val="00DC1E7C"/>
    <w:rsid w:val="00DC1EEA"/>
    <w:rsid w:val="00DC1F27"/>
    <w:rsid w:val="00DC1F91"/>
    <w:rsid w:val="00DC2009"/>
    <w:rsid w:val="00DC20D4"/>
    <w:rsid w:val="00DC2126"/>
    <w:rsid w:val="00DC214F"/>
    <w:rsid w:val="00DC2159"/>
    <w:rsid w:val="00DC2200"/>
    <w:rsid w:val="00DC2249"/>
    <w:rsid w:val="00DC22E3"/>
    <w:rsid w:val="00DC23E2"/>
    <w:rsid w:val="00DC23FA"/>
    <w:rsid w:val="00DC2416"/>
    <w:rsid w:val="00DC247D"/>
    <w:rsid w:val="00DC2552"/>
    <w:rsid w:val="00DC25DF"/>
    <w:rsid w:val="00DC2617"/>
    <w:rsid w:val="00DC2657"/>
    <w:rsid w:val="00DC26B1"/>
    <w:rsid w:val="00DC27B1"/>
    <w:rsid w:val="00DC28C2"/>
    <w:rsid w:val="00DC28E8"/>
    <w:rsid w:val="00DC29AB"/>
    <w:rsid w:val="00DC29E8"/>
    <w:rsid w:val="00DC2A14"/>
    <w:rsid w:val="00DC2BD4"/>
    <w:rsid w:val="00DC2C16"/>
    <w:rsid w:val="00DC2C74"/>
    <w:rsid w:val="00DC2D36"/>
    <w:rsid w:val="00DC2D4B"/>
    <w:rsid w:val="00DC2D7E"/>
    <w:rsid w:val="00DC2D95"/>
    <w:rsid w:val="00DC2E2B"/>
    <w:rsid w:val="00DC2E2D"/>
    <w:rsid w:val="00DC2E68"/>
    <w:rsid w:val="00DC2E95"/>
    <w:rsid w:val="00DC2ECD"/>
    <w:rsid w:val="00DC2F41"/>
    <w:rsid w:val="00DC2F88"/>
    <w:rsid w:val="00DC2F9B"/>
    <w:rsid w:val="00DC2FDE"/>
    <w:rsid w:val="00DC3055"/>
    <w:rsid w:val="00DC30A0"/>
    <w:rsid w:val="00DC30BA"/>
    <w:rsid w:val="00DC30C6"/>
    <w:rsid w:val="00DC3200"/>
    <w:rsid w:val="00DC32C4"/>
    <w:rsid w:val="00DC33D1"/>
    <w:rsid w:val="00DC33D5"/>
    <w:rsid w:val="00DC3458"/>
    <w:rsid w:val="00DC34A9"/>
    <w:rsid w:val="00DC3531"/>
    <w:rsid w:val="00DC356D"/>
    <w:rsid w:val="00DC35CD"/>
    <w:rsid w:val="00DC36C0"/>
    <w:rsid w:val="00DC36C4"/>
    <w:rsid w:val="00DC36C5"/>
    <w:rsid w:val="00DC386A"/>
    <w:rsid w:val="00DC38C5"/>
    <w:rsid w:val="00DC3976"/>
    <w:rsid w:val="00DC39A5"/>
    <w:rsid w:val="00DC39A6"/>
    <w:rsid w:val="00DC3A0A"/>
    <w:rsid w:val="00DC3AA1"/>
    <w:rsid w:val="00DC3BC8"/>
    <w:rsid w:val="00DC3C04"/>
    <w:rsid w:val="00DC3C86"/>
    <w:rsid w:val="00DC3C97"/>
    <w:rsid w:val="00DC3D17"/>
    <w:rsid w:val="00DC3D2F"/>
    <w:rsid w:val="00DC3D91"/>
    <w:rsid w:val="00DC3D94"/>
    <w:rsid w:val="00DC3DAD"/>
    <w:rsid w:val="00DC3E37"/>
    <w:rsid w:val="00DC3E38"/>
    <w:rsid w:val="00DC3E6C"/>
    <w:rsid w:val="00DC3F4D"/>
    <w:rsid w:val="00DC4056"/>
    <w:rsid w:val="00DC409C"/>
    <w:rsid w:val="00DC40A3"/>
    <w:rsid w:val="00DC40C1"/>
    <w:rsid w:val="00DC4111"/>
    <w:rsid w:val="00DC418C"/>
    <w:rsid w:val="00DC439F"/>
    <w:rsid w:val="00DC43A3"/>
    <w:rsid w:val="00DC4457"/>
    <w:rsid w:val="00DC45A1"/>
    <w:rsid w:val="00DC45B1"/>
    <w:rsid w:val="00DC45F3"/>
    <w:rsid w:val="00DC463A"/>
    <w:rsid w:val="00DC46A2"/>
    <w:rsid w:val="00DC46CF"/>
    <w:rsid w:val="00DC475A"/>
    <w:rsid w:val="00DC476F"/>
    <w:rsid w:val="00DC4781"/>
    <w:rsid w:val="00DC4812"/>
    <w:rsid w:val="00DC48C8"/>
    <w:rsid w:val="00DC491A"/>
    <w:rsid w:val="00DC496A"/>
    <w:rsid w:val="00DC496C"/>
    <w:rsid w:val="00DC4972"/>
    <w:rsid w:val="00DC4987"/>
    <w:rsid w:val="00DC49A3"/>
    <w:rsid w:val="00DC4A10"/>
    <w:rsid w:val="00DC4AEF"/>
    <w:rsid w:val="00DC4AFE"/>
    <w:rsid w:val="00DC4B7A"/>
    <w:rsid w:val="00DC4BB2"/>
    <w:rsid w:val="00DC4D7F"/>
    <w:rsid w:val="00DC4E48"/>
    <w:rsid w:val="00DC4E8D"/>
    <w:rsid w:val="00DC4E94"/>
    <w:rsid w:val="00DC4F98"/>
    <w:rsid w:val="00DC5008"/>
    <w:rsid w:val="00DC5035"/>
    <w:rsid w:val="00DC50B6"/>
    <w:rsid w:val="00DC50BA"/>
    <w:rsid w:val="00DC50FD"/>
    <w:rsid w:val="00DC528C"/>
    <w:rsid w:val="00DC52F5"/>
    <w:rsid w:val="00DC5323"/>
    <w:rsid w:val="00DC5360"/>
    <w:rsid w:val="00DC53A8"/>
    <w:rsid w:val="00DC53CF"/>
    <w:rsid w:val="00DC540A"/>
    <w:rsid w:val="00DC548D"/>
    <w:rsid w:val="00DC54AB"/>
    <w:rsid w:val="00DC54E7"/>
    <w:rsid w:val="00DC5531"/>
    <w:rsid w:val="00DC557F"/>
    <w:rsid w:val="00DC55D3"/>
    <w:rsid w:val="00DC5600"/>
    <w:rsid w:val="00DC5628"/>
    <w:rsid w:val="00DC563A"/>
    <w:rsid w:val="00DC5690"/>
    <w:rsid w:val="00DC56A0"/>
    <w:rsid w:val="00DC56E8"/>
    <w:rsid w:val="00DC574B"/>
    <w:rsid w:val="00DC5804"/>
    <w:rsid w:val="00DC5836"/>
    <w:rsid w:val="00DC58BB"/>
    <w:rsid w:val="00DC59C6"/>
    <w:rsid w:val="00DC59FE"/>
    <w:rsid w:val="00DC5AAF"/>
    <w:rsid w:val="00DC5ABE"/>
    <w:rsid w:val="00DC5B08"/>
    <w:rsid w:val="00DC5B09"/>
    <w:rsid w:val="00DC5BCF"/>
    <w:rsid w:val="00DC5BD7"/>
    <w:rsid w:val="00DC5C0B"/>
    <w:rsid w:val="00DC5C15"/>
    <w:rsid w:val="00DC5C28"/>
    <w:rsid w:val="00DC5C6D"/>
    <w:rsid w:val="00DC5CE4"/>
    <w:rsid w:val="00DC5CF9"/>
    <w:rsid w:val="00DC5D18"/>
    <w:rsid w:val="00DC5D30"/>
    <w:rsid w:val="00DC5D3B"/>
    <w:rsid w:val="00DC5D9D"/>
    <w:rsid w:val="00DC5DD1"/>
    <w:rsid w:val="00DC5DE5"/>
    <w:rsid w:val="00DC5E67"/>
    <w:rsid w:val="00DC5EA7"/>
    <w:rsid w:val="00DC5EC7"/>
    <w:rsid w:val="00DC5FDE"/>
    <w:rsid w:val="00DC5FDF"/>
    <w:rsid w:val="00DC5FEA"/>
    <w:rsid w:val="00DC604B"/>
    <w:rsid w:val="00DC60AE"/>
    <w:rsid w:val="00DC6214"/>
    <w:rsid w:val="00DC624A"/>
    <w:rsid w:val="00DC626D"/>
    <w:rsid w:val="00DC6294"/>
    <w:rsid w:val="00DC6335"/>
    <w:rsid w:val="00DC6395"/>
    <w:rsid w:val="00DC639B"/>
    <w:rsid w:val="00DC63B5"/>
    <w:rsid w:val="00DC63C0"/>
    <w:rsid w:val="00DC6418"/>
    <w:rsid w:val="00DC6474"/>
    <w:rsid w:val="00DC64F9"/>
    <w:rsid w:val="00DC6510"/>
    <w:rsid w:val="00DC6524"/>
    <w:rsid w:val="00DC652F"/>
    <w:rsid w:val="00DC6544"/>
    <w:rsid w:val="00DC658F"/>
    <w:rsid w:val="00DC65C9"/>
    <w:rsid w:val="00DC65E6"/>
    <w:rsid w:val="00DC66B0"/>
    <w:rsid w:val="00DC66CD"/>
    <w:rsid w:val="00DC670A"/>
    <w:rsid w:val="00DC675C"/>
    <w:rsid w:val="00DC67FB"/>
    <w:rsid w:val="00DC682E"/>
    <w:rsid w:val="00DC685B"/>
    <w:rsid w:val="00DC6878"/>
    <w:rsid w:val="00DC6914"/>
    <w:rsid w:val="00DC6968"/>
    <w:rsid w:val="00DC6990"/>
    <w:rsid w:val="00DC69D0"/>
    <w:rsid w:val="00DC6A20"/>
    <w:rsid w:val="00DC6A29"/>
    <w:rsid w:val="00DC6BAE"/>
    <w:rsid w:val="00DC6BB9"/>
    <w:rsid w:val="00DC6BD4"/>
    <w:rsid w:val="00DC6BD9"/>
    <w:rsid w:val="00DC6C0A"/>
    <w:rsid w:val="00DC6C8E"/>
    <w:rsid w:val="00DC6DD7"/>
    <w:rsid w:val="00DC6E34"/>
    <w:rsid w:val="00DC6F1F"/>
    <w:rsid w:val="00DC6FD4"/>
    <w:rsid w:val="00DC6FE5"/>
    <w:rsid w:val="00DC7070"/>
    <w:rsid w:val="00DC7096"/>
    <w:rsid w:val="00DC713F"/>
    <w:rsid w:val="00DC71BE"/>
    <w:rsid w:val="00DC71FD"/>
    <w:rsid w:val="00DC722C"/>
    <w:rsid w:val="00DC7419"/>
    <w:rsid w:val="00DC7488"/>
    <w:rsid w:val="00DC74A3"/>
    <w:rsid w:val="00DC74CC"/>
    <w:rsid w:val="00DC7531"/>
    <w:rsid w:val="00DC75C1"/>
    <w:rsid w:val="00DC7682"/>
    <w:rsid w:val="00DC768C"/>
    <w:rsid w:val="00DC7693"/>
    <w:rsid w:val="00DC769C"/>
    <w:rsid w:val="00DC76AA"/>
    <w:rsid w:val="00DC76AD"/>
    <w:rsid w:val="00DC76C6"/>
    <w:rsid w:val="00DC7767"/>
    <w:rsid w:val="00DC77A7"/>
    <w:rsid w:val="00DC77AA"/>
    <w:rsid w:val="00DC77BB"/>
    <w:rsid w:val="00DC77CA"/>
    <w:rsid w:val="00DC77F7"/>
    <w:rsid w:val="00DC7820"/>
    <w:rsid w:val="00DC78B4"/>
    <w:rsid w:val="00DC78D2"/>
    <w:rsid w:val="00DC7911"/>
    <w:rsid w:val="00DC793E"/>
    <w:rsid w:val="00DC794D"/>
    <w:rsid w:val="00DC79DF"/>
    <w:rsid w:val="00DC7A59"/>
    <w:rsid w:val="00DC7B59"/>
    <w:rsid w:val="00DC7B7D"/>
    <w:rsid w:val="00DC7B97"/>
    <w:rsid w:val="00DC7BC9"/>
    <w:rsid w:val="00DC7CA2"/>
    <w:rsid w:val="00DC7CE9"/>
    <w:rsid w:val="00DC7D10"/>
    <w:rsid w:val="00DC7D50"/>
    <w:rsid w:val="00DC7D66"/>
    <w:rsid w:val="00DC7D79"/>
    <w:rsid w:val="00DC7DA2"/>
    <w:rsid w:val="00DC7E8F"/>
    <w:rsid w:val="00DC7FFE"/>
    <w:rsid w:val="00DD018D"/>
    <w:rsid w:val="00DD01BF"/>
    <w:rsid w:val="00DD0218"/>
    <w:rsid w:val="00DD029B"/>
    <w:rsid w:val="00DD0366"/>
    <w:rsid w:val="00DD0407"/>
    <w:rsid w:val="00DD0434"/>
    <w:rsid w:val="00DD0442"/>
    <w:rsid w:val="00DD04E7"/>
    <w:rsid w:val="00DD0516"/>
    <w:rsid w:val="00DD054C"/>
    <w:rsid w:val="00DD05BA"/>
    <w:rsid w:val="00DD05D2"/>
    <w:rsid w:val="00DD0704"/>
    <w:rsid w:val="00DD0755"/>
    <w:rsid w:val="00DD07AF"/>
    <w:rsid w:val="00DD07CE"/>
    <w:rsid w:val="00DD08C0"/>
    <w:rsid w:val="00DD08C6"/>
    <w:rsid w:val="00DD09D9"/>
    <w:rsid w:val="00DD0A1F"/>
    <w:rsid w:val="00DD0A31"/>
    <w:rsid w:val="00DD0A50"/>
    <w:rsid w:val="00DD0AF8"/>
    <w:rsid w:val="00DD0B91"/>
    <w:rsid w:val="00DD0BFD"/>
    <w:rsid w:val="00DD0CCD"/>
    <w:rsid w:val="00DD0D39"/>
    <w:rsid w:val="00DD0D99"/>
    <w:rsid w:val="00DD0E21"/>
    <w:rsid w:val="00DD0E79"/>
    <w:rsid w:val="00DD0F20"/>
    <w:rsid w:val="00DD1040"/>
    <w:rsid w:val="00DD109E"/>
    <w:rsid w:val="00DD10EE"/>
    <w:rsid w:val="00DD11B5"/>
    <w:rsid w:val="00DD11B6"/>
    <w:rsid w:val="00DD11CC"/>
    <w:rsid w:val="00DD1202"/>
    <w:rsid w:val="00DD12AC"/>
    <w:rsid w:val="00DD1310"/>
    <w:rsid w:val="00DD1477"/>
    <w:rsid w:val="00DD14F4"/>
    <w:rsid w:val="00DD1512"/>
    <w:rsid w:val="00DD151D"/>
    <w:rsid w:val="00DD152C"/>
    <w:rsid w:val="00DD1630"/>
    <w:rsid w:val="00DD163E"/>
    <w:rsid w:val="00DD164D"/>
    <w:rsid w:val="00DD1650"/>
    <w:rsid w:val="00DD1688"/>
    <w:rsid w:val="00DD16B9"/>
    <w:rsid w:val="00DD16D6"/>
    <w:rsid w:val="00DD16E6"/>
    <w:rsid w:val="00DD17EA"/>
    <w:rsid w:val="00DD17F9"/>
    <w:rsid w:val="00DD1802"/>
    <w:rsid w:val="00DD1803"/>
    <w:rsid w:val="00DD1807"/>
    <w:rsid w:val="00DD18A3"/>
    <w:rsid w:val="00DD18B8"/>
    <w:rsid w:val="00DD18C9"/>
    <w:rsid w:val="00DD1931"/>
    <w:rsid w:val="00DD195B"/>
    <w:rsid w:val="00DD195C"/>
    <w:rsid w:val="00DD1A10"/>
    <w:rsid w:val="00DD1A26"/>
    <w:rsid w:val="00DD1A58"/>
    <w:rsid w:val="00DD1ACC"/>
    <w:rsid w:val="00DD1B33"/>
    <w:rsid w:val="00DD1BE2"/>
    <w:rsid w:val="00DD1C30"/>
    <w:rsid w:val="00DD1C32"/>
    <w:rsid w:val="00DD1C47"/>
    <w:rsid w:val="00DD1C77"/>
    <w:rsid w:val="00DD1D29"/>
    <w:rsid w:val="00DD1DE1"/>
    <w:rsid w:val="00DD1E44"/>
    <w:rsid w:val="00DD1E6C"/>
    <w:rsid w:val="00DD1E9E"/>
    <w:rsid w:val="00DD1F04"/>
    <w:rsid w:val="00DD1F31"/>
    <w:rsid w:val="00DD1FC8"/>
    <w:rsid w:val="00DD200C"/>
    <w:rsid w:val="00DD2055"/>
    <w:rsid w:val="00DD2069"/>
    <w:rsid w:val="00DD2094"/>
    <w:rsid w:val="00DD20D5"/>
    <w:rsid w:val="00DD216F"/>
    <w:rsid w:val="00DD2175"/>
    <w:rsid w:val="00DD2218"/>
    <w:rsid w:val="00DD2254"/>
    <w:rsid w:val="00DD22C7"/>
    <w:rsid w:val="00DD22F0"/>
    <w:rsid w:val="00DD2363"/>
    <w:rsid w:val="00DD2391"/>
    <w:rsid w:val="00DD23BC"/>
    <w:rsid w:val="00DD23FC"/>
    <w:rsid w:val="00DD247E"/>
    <w:rsid w:val="00DD2563"/>
    <w:rsid w:val="00DD25C8"/>
    <w:rsid w:val="00DD25EE"/>
    <w:rsid w:val="00DD2624"/>
    <w:rsid w:val="00DD264C"/>
    <w:rsid w:val="00DD2665"/>
    <w:rsid w:val="00DD267D"/>
    <w:rsid w:val="00DD26B4"/>
    <w:rsid w:val="00DD26EC"/>
    <w:rsid w:val="00DD2772"/>
    <w:rsid w:val="00DD2784"/>
    <w:rsid w:val="00DD27D8"/>
    <w:rsid w:val="00DD2829"/>
    <w:rsid w:val="00DD283E"/>
    <w:rsid w:val="00DD28E6"/>
    <w:rsid w:val="00DD297A"/>
    <w:rsid w:val="00DD29DF"/>
    <w:rsid w:val="00DD29F7"/>
    <w:rsid w:val="00DD2ABC"/>
    <w:rsid w:val="00DD2AFC"/>
    <w:rsid w:val="00DD2B3A"/>
    <w:rsid w:val="00DD2B5C"/>
    <w:rsid w:val="00DD2B66"/>
    <w:rsid w:val="00DD2BC6"/>
    <w:rsid w:val="00DD2C1C"/>
    <w:rsid w:val="00DD2C23"/>
    <w:rsid w:val="00DD2C2D"/>
    <w:rsid w:val="00DD2C47"/>
    <w:rsid w:val="00DD2C69"/>
    <w:rsid w:val="00DD2CAC"/>
    <w:rsid w:val="00DD2D06"/>
    <w:rsid w:val="00DD2D33"/>
    <w:rsid w:val="00DD2D34"/>
    <w:rsid w:val="00DD2D3C"/>
    <w:rsid w:val="00DD2D4D"/>
    <w:rsid w:val="00DD2D5C"/>
    <w:rsid w:val="00DD2D89"/>
    <w:rsid w:val="00DD2E8E"/>
    <w:rsid w:val="00DD2ECA"/>
    <w:rsid w:val="00DD2F39"/>
    <w:rsid w:val="00DD2F48"/>
    <w:rsid w:val="00DD3029"/>
    <w:rsid w:val="00DD302A"/>
    <w:rsid w:val="00DD304C"/>
    <w:rsid w:val="00DD306A"/>
    <w:rsid w:val="00DD3084"/>
    <w:rsid w:val="00DD3111"/>
    <w:rsid w:val="00DD3122"/>
    <w:rsid w:val="00DD315E"/>
    <w:rsid w:val="00DD31E2"/>
    <w:rsid w:val="00DD3320"/>
    <w:rsid w:val="00DD33BA"/>
    <w:rsid w:val="00DD33F2"/>
    <w:rsid w:val="00DD341D"/>
    <w:rsid w:val="00DD34BB"/>
    <w:rsid w:val="00DD34BC"/>
    <w:rsid w:val="00DD3523"/>
    <w:rsid w:val="00DD352C"/>
    <w:rsid w:val="00DD3592"/>
    <w:rsid w:val="00DD3610"/>
    <w:rsid w:val="00DD3621"/>
    <w:rsid w:val="00DD3678"/>
    <w:rsid w:val="00DD36D3"/>
    <w:rsid w:val="00DD370C"/>
    <w:rsid w:val="00DD37DC"/>
    <w:rsid w:val="00DD3813"/>
    <w:rsid w:val="00DD3822"/>
    <w:rsid w:val="00DD392C"/>
    <w:rsid w:val="00DD39E7"/>
    <w:rsid w:val="00DD3AC4"/>
    <w:rsid w:val="00DD3B0A"/>
    <w:rsid w:val="00DD3B16"/>
    <w:rsid w:val="00DD3B30"/>
    <w:rsid w:val="00DD3B57"/>
    <w:rsid w:val="00DD3B91"/>
    <w:rsid w:val="00DD3BB8"/>
    <w:rsid w:val="00DD3C45"/>
    <w:rsid w:val="00DD3C7F"/>
    <w:rsid w:val="00DD3CB2"/>
    <w:rsid w:val="00DD3CDD"/>
    <w:rsid w:val="00DD3D32"/>
    <w:rsid w:val="00DD3D61"/>
    <w:rsid w:val="00DD3E4C"/>
    <w:rsid w:val="00DD3E7B"/>
    <w:rsid w:val="00DD3EB4"/>
    <w:rsid w:val="00DD3F1B"/>
    <w:rsid w:val="00DD3F89"/>
    <w:rsid w:val="00DD3FC5"/>
    <w:rsid w:val="00DD3FEC"/>
    <w:rsid w:val="00DD40C5"/>
    <w:rsid w:val="00DD413A"/>
    <w:rsid w:val="00DD4169"/>
    <w:rsid w:val="00DD41DF"/>
    <w:rsid w:val="00DD41EE"/>
    <w:rsid w:val="00DD4204"/>
    <w:rsid w:val="00DD4224"/>
    <w:rsid w:val="00DD436C"/>
    <w:rsid w:val="00DD441B"/>
    <w:rsid w:val="00DD45BF"/>
    <w:rsid w:val="00DD469F"/>
    <w:rsid w:val="00DD46D4"/>
    <w:rsid w:val="00DD4734"/>
    <w:rsid w:val="00DD4758"/>
    <w:rsid w:val="00DD478C"/>
    <w:rsid w:val="00DD47A2"/>
    <w:rsid w:val="00DD47E9"/>
    <w:rsid w:val="00DD483D"/>
    <w:rsid w:val="00DD4904"/>
    <w:rsid w:val="00DD4922"/>
    <w:rsid w:val="00DD49C5"/>
    <w:rsid w:val="00DD49C7"/>
    <w:rsid w:val="00DD4A76"/>
    <w:rsid w:val="00DD4B92"/>
    <w:rsid w:val="00DD4B99"/>
    <w:rsid w:val="00DD4BA2"/>
    <w:rsid w:val="00DD4C85"/>
    <w:rsid w:val="00DD4CC6"/>
    <w:rsid w:val="00DD4D07"/>
    <w:rsid w:val="00DD4E1B"/>
    <w:rsid w:val="00DD4E5C"/>
    <w:rsid w:val="00DD4E9F"/>
    <w:rsid w:val="00DD4EEB"/>
    <w:rsid w:val="00DD4F85"/>
    <w:rsid w:val="00DD4F8E"/>
    <w:rsid w:val="00DD4F9A"/>
    <w:rsid w:val="00DD500A"/>
    <w:rsid w:val="00DD5028"/>
    <w:rsid w:val="00DD50AC"/>
    <w:rsid w:val="00DD50FD"/>
    <w:rsid w:val="00DD50FE"/>
    <w:rsid w:val="00DD5123"/>
    <w:rsid w:val="00DD5138"/>
    <w:rsid w:val="00DD5157"/>
    <w:rsid w:val="00DD5203"/>
    <w:rsid w:val="00DD5229"/>
    <w:rsid w:val="00DD52BA"/>
    <w:rsid w:val="00DD52C0"/>
    <w:rsid w:val="00DD53AF"/>
    <w:rsid w:val="00DD545A"/>
    <w:rsid w:val="00DD5478"/>
    <w:rsid w:val="00DD54FE"/>
    <w:rsid w:val="00DD5529"/>
    <w:rsid w:val="00DD5592"/>
    <w:rsid w:val="00DD55A4"/>
    <w:rsid w:val="00DD55F2"/>
    <w:rsid w:val="00DD568F"/>
    <w:rsid w:val="00DD56C4"/>
    <w:rsid w:val="00DD56E7"/>
    <w:rsid w:val="00DD572E"/>
    <w:rsid w:val="00DD5744"/>
    <w:rsid w:val="00DD5782"/>
    <w:rsid w:val="00DD57AE"/>
    <w:rsid w:val="00DD57BD"/>
    <w:rsid w:val="00DD584E"/>
    <w:rsid w:val="00DD58C5"/>
    <w:rsid w:val="00DD58D4"/>
    <w:rsid w:val="00DD58FF"/>
    <w:rsid w:val="00DD5923"/>
    <w:rsid w:val="00DD596A"/>
    <w:rsid w:val="00DD5A13"/>
    <w:rsid w:val="00DD5A63"/>
    <w:rsid w:val="00DD5B22"/>
    <w:rsid w:val="00DD5B93"/>
    <w:rsid w:val="00DD5C16"/>
    <w:rsid w:val="00DD5C6E"/>
    <w:rsid w:val="00DD5D09"/>
    <w:rsid w:val="00DD5D7C"/>
    <w:rsid w:val="00DD5E08"/>
    <w:rsid w:val="00DD5E1E"/>
    <w:rsid w:val="00DD5F41"/>
    <w:rsid w:val="00DD5FCB"/>
    <w:rsid w:val="00DD6029"/>
    <w:rsid w:val="00DD6045"/>
    <w:rsid w:val="00DD605A"/>
    <w:rsid w:val="00DD6070"/>
    <w:rsid w:val="00DD60D2"/>
    <w:rsid w:val="00DD61B0"/>
    <w:rsid w:val="00DD61E9"/>
    <w:rsid w:val="00DD6236"/>
    <w:rsid w:val="00DD626C"/>
    <w:rsid w:val="00DD6289"/>
    <w:rsid w:val="00DD629B"/>
    <w:rsid w:val="00DD62F3"/>
    <w:rsid w:val="00DD6306"/>
    <w:rsid w:val="00DD632C"/>
    <w:rsid w:val="00DD637A"/>
    <w:rsid w:val="00DD6384"/>
    <w:rsid w:val="00DD648E"/>
    <w:rsid w:val="00DD6523"/>
    <w:rsid w:val="00DD653C"/>
    <w:rsid w:val="00DD658A"/>
    <w:rsid w:val="00DD6609"/>
    <w:rsid w:val="00DD66A3"/>
    <w:rsid w:val="00DD670D"/>
    <w:rsid w:val="00DD675C"/>
    <w:rsid w:val="00DD67E7"/>
    <w:rsid w:val="00DD6814"/>
    <w:rsid w:val="00DD689A"/>
    <w:rsid w:val="00DD6949"/>
    <w:rsid w:val="00DD6985"/>
    <w:rsid w:val="00DD69C6"/>
    <w:rsid w:val="00DD69DB"/>
    <w:rsid w:val="00DD69F6"/>
    <w:rsid w:val="00DD6A1B"/>
    <w:rsid w:val="00DD6AC7"/>
    <w:rsid w:val="00DD6B9E"/>
    <w:rsid w:val="00DD6C17"/>
    <w:rsid w:val="00DD6C3B"/>
    <w:rsid w:val="00DD6C64"/>
    <w:rsid w:val="00DD6C96"/>
    <w:rsid w:val="00DD6CAE"/>
    <w:rsid w:val="00DD6CDA"/>
    <w:rsid w:val="00DD6D5E"/>
    <w:rsid w:val="00DD6DE1"/>
    <w:rsid w:val="00DD6E57"/>
    <w:rsid w:val="00DD6E5F"/>
    <w:rsid w:val="00DD6E92"/>
    <w:rsid w:val="00DD6E9F"/>
    <w:rsid w:val="00DD6EF1"/>
    <w:rsid w:val="00DD6F3F"/>
    <w:rsid w:val="00DD6F45"/>
    <w:rsid w:val="00DD6F7C"/>
    <w:rsid w:val="00DD7000"/>
    <w:rsid w:val="00DD7074"/>
    <w:rsid w:val="00DD70E4"/>
    <w:rsid w:val="00DD7155"/>
    <w:rsid w:val="00DD715A"/>
    <w:rsid w:val="00DD715C"/>
    <w:rsid w:val="00DD731E"/>
    <w:rsid w:val="00DD734A"/>
    <w:rsid w:val="00DD7350"/>
    <w:rsid w:val="00DD735A"/>
    <w:rsid w:val="00DD735C"/>
    <w:rsid w:val="00DD738A"/>
    <w:rsid w:val="00DD73BA"/>
    <w:rsid w:val="00DD74D0"/>
    <w:rsid w:val="00DD75CC"/>
    <w:rsid w:val="00DD7642"/>
    <w:rsid w:val="00DD7643"/>
    <w:rsid w:val="00DD770B"/>
    <w:rsid w:val="00DD774B"/>
    <w:rsid w:val="00DD7786"/>
    <w:rsid w:val="00DD7849"/>
    <w:rsid w:val="00DD785E"/>
    <w:rsid w:val="00DD78D8"/>
    <w:rsid w:val="00DD7906"/>
    <w:rsid w:val="00DD7942"/>
    <w:rsid w:val="00DD7976"/>
    <w:rsid w:val="00DD79B3"/>
    <w:rsid w:val="00DD7AEE"/>
    <w:rsid w:val="00DD7B58"/>
    <w:rsid w:val="00DD7B83"/>
    <w:rsid w:val="00DD7BAE"/>
    <w:rsid w:val="00DD7BC1"/>
    <w:rsid w:val="00DD7C0E"/>
    <w:rsid w:val="00DD7C42"/>
    <w:rsid w:val="00DD7C7E"/>
    <w:rsid w:val="00DD7C85"/>
    <w:rsid w:val="00DD7DA5"/>
    <w:rsid w:val="00DD7DAF"/>
    <w:rsid w:val="00DD7DCD"/>
    <w:rsid w:val="00DD7E16"/>
    <w:rsid w:val="00DD7EA6"/>
    <w:rsid w:val="00DD7ED2"/>
    <w:rsid w:val="00DD7F82"/>
    <w:rsid w:val="00DD7FCA"/>
    <w:rsid w:val="00DE002E"/>
    <w:rsid w:val="00DE0038"/>
    <w:rsid w:val="00DE0042"/>
    <w:rsid w:val="00DE0070"/>
    <w:rsid w:val="00DE0083"/>
    <w:rsid w:val="00DE00C0"/>
    <w:rsid w:val="00DE00D3"/>
    <w:rsid w:val="00DE0119"/>
    <w:rsid w:val="00DE0136"/>
    <w:rsid w:val="00DE013B"/>
    <w:rsid w:val="00DE01A6"/>
    <w:rsid w:val="00DE032A"/>
    <w:rsid w:val="00DE037B"/>
    <w:rsid w:val="00DE044B"/>
    <w:rsid w:val="00DE0540"/>
    <w:rsid w:val="00DE054C"/>
    <w:rsid w:val="00DE055B"/>
    <w:rsid w:val="00DE05A2"/>
    <w:rsid w:val="00DE05E4"/>
    <w:rsid w:val="00DE05F3"/>
    <w:rsid w:val="00DE06D8"/>
    <w:rsid w:val="00DE0723"/>
    <w:rsid w:val="00DE0727"/>
    <w:rsid w:val="00DE0796"/>
    <w:rsid w:val="00DE07EB"/>
    <w:rsid w:val="00DE0824"/>
    <w:rsid w:val="00DE0891"/>
    <w:rsid w:val="00DE08AD"/>
    <w:rsid w:val="00DE08B6"/>
    <w:rsid w:val="00DE08C1"/>
    <w:rsid w:val="00DE08C5"/>
    <w:rsid w:val="00DE0949"/>
    <w:rsid w:val="00DE0A40"/>
    <w:rsid w:val="00DE0A72"/>
    <w:rsid w:val="00DE0B1E"/>
    <w:rsid w:val="00DE0B3E"/>
    <w:rsid w:val="00DE0B64"/>
    <w:rsid w:val="00DE0C41"/>
    <w:rsid w:val="00DE0C46"/>
    <w:rsid w:val="00DE0C47"/>
    <w:rsid w:val="00DE0C49"/>
    <w:rsid w:val="00DE0C6D"/>
    <w:rsid w:val="00DE0E41"/>
    <w:rsid w:val="00DE0E67"/>
    <w:rsid w:val="00DE0EB0"/>
    <w:rsid w:val="00DE0ED3"/>
    <w:rsid w:val="00DE0FAB"/>
    <w:rsid w:val="00DE0FFC"/>
    <w:rsid w:val="00DE109A"/>
    <w:rsid w:val="00DE110E"/>
    <w:rsid w:val="00DE1125"/>
    <w:rsid w:val="00DE1150"/>
    <w:rsid w:val="00DE11C4"/>
    <w:rsid w:val="00DE11E4"/>
    <w:rsid w:val="00DE1245"/>
    <w:rsid w:val="00DE1256"/>
    <w:rsid w:val="00DE12FC"/>
    <w:rsid w:val="00DE136D"/>
    <w:rsid w:val="00DE13D0"/>
    <w:rsid w:val="00DE13EF"/>
    <w:rsid w:val="00DE1426"/>
    <w:rsid w:val="00DE142B"/>
    <w:rsid w:val="00DE1533"/>
    <w:rsid w:val="00DE154F"/>
    <w:rsid w:val="00DE155E"/>
    <w:rsid w:val="00DE15C8"/>
    <w:rsid w:val="00DE16A6"/>
    <w:rsid w:val="00DE1726"/>
    <w:rsid w:val="00DE1822"/>
    <w:rsid w:val="00DE184D"/>
    <w:rsid w:val="00DE1952"/>
    <w:rsid w:val="00DE1965"/>
    <w:rsid w:val="00DE199D"/>
    <w:rsid w:val="00DE1A17"/>
    <w:rsid w:val="00DE1ABB"/>
    <w:rsid w:val="00DE1AD7"/>
    <w:rsid w:val="00DE1B21"/>
    <w:rsid w:val="00DE1B36"/>
    <w:rsid w:val="00DE1B8B"/>
    <w:rsid w:val="00DE1BA8"/>
    <w:rsid w:val="00DE1BAE"/>
    <w:rsid w:val="00DE1BF9"/>
    <w:rsid w:val="00DE1CAC"/>
    <w:rsid w:val="00DE1CE3"/>
    <w:rsid w:val="00DE1D55"/>
    <w:rsid w:val="00DE1E10"/>
    <w:rsid w:val="00DE1E42"/>
    <w:rsid w:val="00DE1E8B"/>
    <w:rsid w:val="00DE1E97"/>
    <w:rsid w:val="00DE1F33"/>
    <w:rsid w:val="00DE1FCD"/>
    <w:rsid w:val="00DE1FDD"/>
    <w:rsid w:val="00DE2007"/>
    <w:rsid w:val="00DE2065"/>
    <w:rsid w:val="00DE2084"/>
    <w:rsid w:val="00DE209E"/>
    <w:rsid w:val="00DE2112"/>
    <w:rsid w:val="00DE2138"/>
    <w:rsid w:val="00DE2199"/>
    <w:rsid w:val="00DE21A8"/>
    <w:rsid w:val="00DE2209"/>
    <w:rsid w:val="00DE22FE"/>
    <w:rsid w:val="00DE235D"/>
    <w:rsid w:val="00DE23A1"/>
    <w:rsid w:val="00DE2407"/>
    <w:rsid w:val="00DE2424"/>
    <w:rsid w:val="00DE246F"/>
    <w:rsid w:val="00DE2478"/>
    <w:rsid w:val="00DE24C9"/>
    <w:rsid w:val="00DE24DD"/>
    <w:rsid w:val="00DE24E8"/>
    <w:rsid w:val="00DE2528"/>
    <w:rsid w:val="00DE2642"/>
    <w:rsid w:val="00DE26BB"/>
    <w:rsid w:val="00DE27B9"/>
    <w:rsid w:val="00DE2849"/>
    <w:rsid w:val="00DE297B"/>
    <w:rsid w:val="00DE29C3"/>
    <w:rsid w:val="00DE2A04"/>
    <w:rsid w:val="00DE2A08"/>
    <w:rsid w:val="00DE2A31"/>
    <w:rsid w:val="00DE2B3F"/>
    <w:rsid w:val="00DE2B87"/>
    <w:rsid w:val="00DE2B9D"/>
    <w:rsid w:val="00DE2BA5"/>
    <w:rsid w:val="00DE2C13"/>
    <w:rsid w:val="00DE2D26"/>
    <w:rsid w:val="00DE2D33"/>
    <w:rsid w:val="00DE2D97"/>
    <w:rsid w:val="00DE2DB1"/>
    <w:rsid w:val="00DE2E1D"/>
    <w:rsid w:val="00DE2EA6"/>
    <w:rsid w:val="00DE2EFA"/>
    <w:rsid w:val="00DE2F3E"/>
    <w:rsid w:val="00DE2FD3"/>
    <w:rsid w:val="00DE3090"/>
    <w:rsid w:val="00DE30CA"/>
    <w:rsid w:val="00DE30E9"/>
    <w:rsid w:val="00DE30FA"/>
    <w:rsid w:val="00DE316B"/>
    <w:rsid w:val="00DE3270"/>
    <w:rsid w:val="00DE32D3"/>
    <w:rsid w:val="00DE32F0"/>
    <w:rsid w:val="00DE3309"/>
    <w:rsid w:val="00DE3328"/>
    <w:rsid w:val="00DE3366"/>
    <w:rsid w:val="00DE33B2"/>
    <w:rsid w:val="00DE33C6"/>
    <w:rsid w:val="00DE344E"/>
    <w:rsid w:val="00DE3461"/>
    <w:rsid w:val="00DE347A"/>
    <w:rsid w:val="00DE34B5"/>
    <w:rsid w:val="00DE34CB"/>
    <w:rsid w:val="00DE3536"/>
    <w:rsid w:val="00DE3569"/>
    <w:rsid w:val="00DE3595"/>
    <w:rsid w:val="00DE35F1"/>
    <w:rsid w:val="00DE36A2"/>
    <w:rsid w:val="00DE36E6"/>
    <w:rsid w:val="00DE3714"/>
    <w:rsid w:val="00DE3883"/>
    <w:rsid w:val="00DE38E1"/>
    <w:rsid w:val="00DE398B"/>
    <w:rsid w:val="00DE39CB"/>
    <w:rsid w:val="00DE39E9"/>
    <w:rsid w:val="00DE39F9"/>
    <w:rsid w:val="00DE3AB0"/>
    <w:rsid w:val="00DE3B4B"/>
    <w:rsid w:val="00DE3BB8"/>
    <w:rsid w:val="00DE3BC5"/>
    <w:rsid w:val="00DE3BC7"/>
    <w:rsid w:val="00DE3C08"/>
    <w:rsid w:val="00DE3C12"/>
    <w:rsid w:val="00DE3C3E"/>
    <w:rsid w:val="00DE3D30"/>
    <w:rsid w:val="00DE3D75"/>
    <w:rsid w:val="00DE3F1D"/>
    <w:rsid w:val="00DE3F3C"/>
    <w:rsid w:val="00DE3FC5"/>
    <w:rsid w:val="00DE4094"/>
    <w:rsid w:val="00DE409F"/>
    <w:rsid w:val="00DE40CC"/>
    <w:rsid w:val="00DE40F5"/>
    <w:rsid w:val="00DE4184"/>
    <w:rsid w:val="00DE4187"/>
    <w:rsid w:val="00DE41CA"/>
    <w:rsid w:val="00DE41CB"/>
    <w:rsid w:val="00DE420E"/>
    <w:rsid w:val="00DE424C"/>
    <w:rsid w:val="00DE4279"/>
    <w:rsid w:val="00DE432E"/>
    <w:rsid w:val="00DE4360"/>
    <w:rsid w:val="00DE4363"/>
    <w:rsid w:val="00DE43B4"/>
    <w:rsid w:val="00DE4479"/>
    <w:rsid w:val="00DE4487"/>
    <w:rsid w:val="00DE451C"/>
    <w:rsid w:val="00DE4525"/>
    <w:rsid w:val="00DE4537"/>
    <w:rsid w:val="00DE453A"/>
    <w:rsid w:val="00DE4621"/>
    <w:rsid w:val="00DE4665"/>
    <w:rsid w:val="00DE4737"/>
    <w:rsid w:val="00DE4796"/>
    <w:rsid w:val="00DE4826"/>
    <w:rsid w:val="00DE4846"/>
    <w:rsid w:val="00DE48B8"/>
    <w:rsid w:val="00DE48DA"/>
    <w:rsid w:val="00DE4AA7"/>
    <w:rsid w:val="00DE4AD8"/>
    <w:rsid w:val="00DE4B4C"/>
    <w:rsid w:val="00DE4C24"/>
    <w:rsid w:val="00DE4C92"/>
    <w:rsid w:val="00DE4C94"/>
    <w:rsid w:val="00DE4CF5"/>
    <w:rsid w:val="00DE4D19"/>
    <w:rsid w:val="00DE4D66"/>
    <w:rsid w:val="00DE4D71"/>
    <w:rsid w:val="00DE4D85"/>
    <w:rsid w:val="00DE4DC6"/>
    <w:rsid w:val="00DE4E4B"/>
    <w:rsid w:val="00DE4E96"/>
    <w:rsid w:val="00DE4EFD"/>
    <w:rsid w:val="00DE4F30"/>
    <w:rsid w:val="00DE508B"/>
    <w:rsid w:val="00DE50B7"/>
    <w:rsid w:val="00DE5100"/>
    <w:rsid w:val="00DE51D7"/>
    <w:rsid w:val="00DE52DB"/>
    <w:rsid w:val="00DE52FD"/>
    <w:rsid w:val="00DE534E"/>
    <w:rsid w:val="00DE5382"/>
    <w:rsid w:val="00DE539D"/>
    <w:rsid w:val="00DE539E"/>
    <w:rsid w:val="00DE53AB"/>
    <w:rsid w:val="00DE543D"/>
    <w:rsid w:val="00DE54F2"/>
    <w:rsid w:val="00DE54F9"/>
    <w:rsid w:val="00DE550C"/>
    <w:rsid w:val="00DE5555"/>
    <w:rsid w:val="00DE555A"/>
    <w:rsid w:val="00DE563E"/>
    <w:rsid w:val="00DE56A9"/>
    <w:rsid w:val="00DE57AA"/>
    <w:rsid w:val="00DE57AB"/>
    <w:rsid w:val="00DE57E3"/>
    <w:rsid w:val="00DE57E4"/>
    <w:rsid w:val="00DE5828"/>
    <w:rsid w:val="00DE584A"/>
    <w:rsid w:val="00DE5855"/>
    <w:rsid w:val="00DE58AE"/>
    <w:rsid w:val="00DE58B7"/>
    <w:rsid w:val="00DE5941"/>
    <w:rsid w:val="00DE5A0E"/>
    <w:rsid w:val="00DE5A3D"/>
    <w:rsid w:val="00DE5A5A"/>
    <w:rsid w:val="00DE5A90"/>
    <w:rsid w:val="00DE5ABF"/>
    <w:rsid w:val="00DE5B37"/>
    <w:rsid w:val="00DE5B78"/>
    <w:rsid w:val="00DE5B82"/>
    <w:rsid w:val="00DE5BAB"/>
    <w:rsid w:val="00DE5BEF"/>
    <w:rsid w:val="00DE5C52"/>
    <w:rsid w:val="00DE5C5A"/>
    <w:rsid w:val="00DE5C8D"/>
    <w:rsid w:val="00DE5CAB"/>
    <w:rsid w:val="00DE5CE0"/>
    <w:rsid w:val="00DE5CF9"/>
    <w:rsid w:val="00DE5CFC"/>
    <w:rsid w:val="00DE5D23"/>
    <w:rsid w:val="00DE5DAB"/>
    <w:rsid w:val="00DE5EB7"/>
    <w:rsid w:val="00DE5ECB"/>
    <w:rsid w:val="00DE5F29"/>
    <w:rsid w:val="00DE5F61"/>
    <w:rsid w:val="00DE6056"/>
    <w:rsid w:val="00DE6107"/>
    <w:rsid w:val="00DE6129"/>
    <w:rsid w:val="00DE6184"/>
    <w:rsid w:val="00DE61FF"/>
    <w:rsid w:val="00DE623E"/>
    <w:rsid w:val="00DE6241"/>
    <w:rsid w:val="00DE634B"/>
    <w:rsid w:val="00DE6402"/>
    <w:rsid w:val="00DE64C9"/>
    <w:rsid w:val="00DE64D9"/>
    <w:rsid w:val="00DE651B"/>
    <w:rsid w:val="00DE6585"/>
    <w:rsid w:val="00DE659F"/>
    <w:rsid w:val="00DE65C4"/>
    <w:rsid w:val="00DE65EB"/>
    <w:rsid w:val="00DE662A"/>
    <w:rsid w:val="00DE6645"/>
    <w:rsid w:val="00DE665E"/>
    <w:rsid w:val="00DE66C5"/>
    <w:rsid w:val="00DE66FF"/>
    <w:rsid w:val="00DE675F"/>
    <w:rsid w:val="00DE6797"/>
    <w:rsid w:val="00DE67D4"/>
    <w:rsid w:val="00DE6840"/>
    <w:rsid w:val="00DE685B"/>
    <w:rsid w:val="00DE687A"/>
    <w:rsid w:val="00DE68AB"/>
    <w:rsid w:val="00DE6949"/>
    <w:rsid w:val="00DE6979"/>
    <w:rsid w:val="00DE69B7"/>
    <w:rsid w:val="00DE6A57"/>
    <w:rsid w:val="00DE6A78"/>
    <w:rsid w:val="00DE6AAC"/>
    <w:rsid w:val="00DE6ABF"/>
    <w:rsid w:val="00DE6B29"/>
    <w:rsid w:val="00DE6BF2"/>
    <w:rsid w:val="00DE6C51"/>
    <w:rsid w:val="00DE6C78"/>
    <w:rsid w:val="00DE6CD9"/>
    <w:rsid w:val="00DE6D13"/>
    <w:rsid w:val="00DE6D31"/>
    <w:rsid w:val="00DE6D54"/>
    <w:rsid w:val="00DE6D71"/>
    <w:rsid w:val="00DE6D7F"/>
    <w:rsid w:val="00DE6D87"/>
    <w:rsid w:val="00DE6DB2"/>
    <w:rsid w:val="00DE6E5D"/>
    <w:rsid w:val="00DE6E67"/>
    <w:rsid w:val="00DE6EEE"/>
    <w:rsid w:val="00DE6F2D"/>
    <w:rsid w:val="00DE6FBD"/>
    <w:rsid w:val="00DE6FE6"/>
    <w:rsid w:val="00DE7005"/>
    <w:rsid w:val="00DE7036"/>
    <w:rsid w:val="00DE7096"/>
    <w:rsid w:val="00DE70B9"/>
    <w:rsid w:val="00DE70DD"/>
    <w:rsid w:val="00DE70E2"/>
    <w:rsid w:val="00DE70F5"/>
    <w:rsid w:val="00DE7184"/>
    <w:rsid w:val="00DE71FD"/>
    <w:rsid w:val="00DE721F"/>
    <w:rsid w:val="00DE728C"/>
    <w:rsid w:val="00DE738A"/>
    <w:rsid w:val="00DE73D5"/>
    <w:rsid w:val="00DE7441"/>
    <w:rsid w:val="00DE7467"/>
    <w:rsid w:val="00DE74E0"/>
    <w:rsid w:val="00DE7557"/>
    <w:rsid w:val="00DE7574"/>
    <w:rsid w:val="00DE759A"/>
    <w:rsid w:val="00DE75C2"/>
    <w:rsid w:val="00DE75DC"/>
    <w:rsid w:val="00DE7650"/>
    <w:rsid w:val="00DE76A9"/>
    <w:rsid w:val="00DE781E"/>
    <w:rsid w:val="00DE7886"/>
    <w:rsid w:val="00DE79CA"/>
    <w:rsid w:val="00DE79D1"/>
    <w:rsid w:val="00DE7A17"/>
    <w:rsid w:val="00DE7AB2"/>
    <w:rsid w:val="00DE7AB3"/>
    <w:rsid w:val="00DE7B22"/>
    <w:rsid w:val="00DE7B2A"/>
    <w:rsid w:val="00DE7B5B"/>
    <w:rsid w:val="00DE7B7E"/>
    <w:rsid w:val="00DE7BB7"/>
    <w:rsid w:val="00DE7CC9"/>
    <w:rsid w:val="00DE7D20"/>
    <w:rsid w:val="00DE7D2F"/>
    <w:rsid w:val="00DE7D61"/>
    <w:rsid w:val="00DE7DF4"/>
    <w:rsid w:val="00DE7DFE"/>
    <w:rsid w:val="00DE7F20"/>
    <w:rsid w:val="00DE7F50"/>
    <w:rsid w:val="00DF0001"/>
    <w:rsid w:val="00DF00B7"/>
    <w:rsid w:val="00DF0111"/>
    <w:rsid w:val="00DF0188"/>
    <w:rsid w:val="00DF01DC"/>
    <w:rsid w:val="00DF026A"/>
    <w:rsid w:val="00DF0296"/>
    <w:rsid w:val="00DF0352"/>
    <w:rsid w:val="00DF039C"/>
    <w:rsid w:val="00DF03DC"/>
    <w:rsid w:val="00DF0469"/>
    <w:rsid w:val="00DF046F"/>
    <w:rsid w:val="00DF0477"/>
    <w:rsid w:val="00DF0498"/>
    <w:rsid w:val="00DF0532"/>
    <w:rsid w:val="00DF053D"/>
    <w:rsid w:val="00DF0634"/>
    <w:rsid w:val="00DF06BD"/>
    <w:rsid w:val="00DF06DE"/>
    <w:rsid w:val="00DF076A"/>
    <w:rsid w:val="00DF0784"/>
    <w:rsid w:val="00DF0798"/>
    <w:rsid w:val="00DF07AA"/>
    <w:rsid w:val="00DF093F"/>
    <w:rsid w:val="00DF09F0"/>
    <w:rsid w:val="00DF0A2E"/>
    <w:rsid w:val="00DF0A44"/>
    <w:rsid w:val="00DF0A74"/>
    <w:rsid w:val="00DF0AD0"/>
    <w:rsid w:val="00DF0AE0"/>
    <w:rsid w:val="00DF0AF0"/>
    <w:rsid w:val="00DF0BDF"/>
    <w:rsid w:val="00DF0C35"/>
    <w:rsid w:val="00DF0C46"/>
    <w:rsid w:val="00DF0C63"/>
    <w:rsid w:val="00DF0CA1"/>
    <w:rsid w:val="00DF0CDD"/>
    <w:rsid w:val="00DF0D1C"/>
    <w:rsid w:val="00DF0D3A"/>
    <w:rsid w:val="00DF0E15"/>
    <w:rsid w:val="00DF0E33"/>
    <w:rsid w:val="00DF0E56"/>
    <w:rsid w:val="00DF0E76"/>
    <w:rsid w:val="00DF0EDC"/>
    <w:rsid w:val="00DF0EF0"/>
    <w:rsid w:val="00DF0F0B"/>
    <w:rsid w:val="00DF1034"/>
    <w:rsid w:val="00DF1064"/>
    <w:rsid w:val="00DF10A2"/>
    <w:rsid w:val="00DF10CF"/>
    <w:rsid w:val="00DF110C"/>
    <w:rsid w:val="00DF1175"/>
    <w:rsid w:val="00DF11DE"/>
    <w:rsid w:val="00DF1216"/>
    <w:rsid w:val="00DF1234"/>
    <w:rsid w:val="00DF124F"/>
    <w:rsid w:val="00DF1284"/>
    <w:rsid w:val="00DF1434"/>
    <w:rsid w:val="00DF1452"/>
    <w:rsid w:val="00DF14A0"/>
    <w:rsid w:val="00DF14C7"/>
    <w:rsid w:val="00DF151D"/>
    <w:rsid w:val="00DF1569"/>
    <w:rsid w:val="00DF1593"/>
    <w:rsid w:val="00DF15E1"/>
    <w:rsid w:val="00DF1651"/>
    <w:rsid w:val="00DF169D"/>
    <w:rsid w:val="00DF16DC"/>
    <w:rsid w:val="00DF173A"/>
    <w:rsid w:val="00DF18D3"/>
    <w:rsid w:val="00DF1930"/>
    <w:rsid w:val="00DF1931"/>
    <w:rsid w:val="00DF19D0"/>
    <w:rsid w:val="00DF1A06"/>
    <w:rsid w:val="00DF1A3C"/>
    <w:rsid w:val="00DF1A84"/>
    <w:rsid w:val="00DF1B0E"/>
    <w:rsid w:val="00DF1D86"/>
    <w:rsid w:val="00DF1D9A"/>
    <w:rsid w:val="00DF1DD7"/>
    <w:rsid w:val="00DF1DED"/>
    <w:rsid w:val="00DF1EC9"/>
    <w:rsid w:val="00DF1F40"/>
    <w:rsid w:val="00DF1F49"/>
    <w:rsid w:val="00DF1FE1"/>
    <w:rsid w:val="00DF2071"/>
    <w:rsid w:val="00DF2111"/>
    <w:rsid w:val="00DF2150"/>
    <w:rsid w:val="00DF22B7"/>
    <w:rsid w:val="00DF2308"/>
    <w:rsid w:val="00DF2342"/>
    <w:rsid w:val="00DF23C6"/>
    <w:rsid w:val="00DF23F0"/>
    <w:rsid w:val="00DF23F5"/>
    <w:rsid w:val="00DF2449"/>
    <w:rsid w:val="00DF249A"/>
    <w:rsid w:val="00DF24DE"/>
    <w:rsid w:val="00DF2513"/>
    <w:rsid w:val="00DF2540"/>
    <w:rsid w:val="00DF2556"/>
    <w:rsid w:val="00DF258F"/>
    <w:rsid w:val="00DF25A0"/>
    <w:rsid w:val="00DF25D9"/>
    <w:rsid w:val="00DF25E5"/>
    <w:rsid w:val="00DF2675"/>
    <w:rsid w:val="00DF2706"/>
    <w:rsid w:val="00DF287F"/>
    <w:rsid w:val="00DF28CD"/>
    <w:rsid w:val="00DF2962"/>
    <w:rsid w:val="00DF298F"/>
    <w:rsid w:val="00DF29D2"/>
    <w:rsid w:val="00DF29FF"/>
    <w:rsid w:val="00DF2A0F"/>
    <w:rsid w:val="00DF2A20"/>
    <w:rsid w:val="00DF2BAE"/>
    <w:rsid w:val="00DF2BE3"/>
    <w:rsid w:val="00DF2D0E"/>
    <w:rsid w:val="00DF2D38"/>
    <w:rsid w:val="00DF2D85"/>
    <w:rsid w:val="00DF2D8F"/>
    <w:rsid w:val="00DF2DCD"/>
    <w:rsid w:val="00DF2DDF"/>
    <w:rsid w:val="00DF2E08"/>
    <w:rsid w:val="00DF2E7B"/>
    <w:rsid w:val="00DF2EB4"/>
    <w:rsid w:val="00DF2ED9"/>
    <w:rsid w:val="00DF2EFC"/>
    <w:rsid w:val="00DF2EFE"/>
    <w:rsid w:val="00DF2F01"/>
    <w:rsid w:val="00DF2F21"/>
    <w:rsid w:val="00DF2F2A"/>
    <w:rsid w:val="00DF2FBA"/>
    <w:rsid w:val="00DF2FF1"/>
    <w:rsid w:val="00DF3085"/>
    <w:rsid w:val="00DF3100"/>
    <w:rsid w:val="00DF3150"/>
    <w:rsid w:val="00DF31C1"/>
    <w:rsid w:val="00DF31DC"/>
    <w:rsid w:val="00DF323D"/>
    <w:rsid w:val="00DF32CE"/>
    <w:rsid w:val="00DF32D2"/>
    <w:rsid w:val="00DF32F0"/>
    <w:rsid w:val="00DF330A"/>
    <w:rsid w:val="00DF330E"/>
    <w:rsid w:val="00DF338E"/>
    <w:rsid w:val="00DF33AF"/>
    <w:rsid w:val="00DF3494"/>
    <w:rsid w:val="00DF3553"/>
    <w:rsid w:val="00DF358B"/>
    <w:rsid w:val="00DF35F7"/>
    <w:rsid w:val="00DF36A3"/>
    <w:rsid w:val="00DF36B6"/>
    <w:rsid w:val="00DF36CC"/>
    <w:rsid w:val="00DF3717"/>
    <w:rsid w:val="00DF3780"/>
    <w:rsid w:val="00DF37C1"/>
    <w:rsid w:val="00DF37D8"/>
    <w:rsid w:val="00DF38CC"/>
    <w:rsid w:val="00DF3935"/>
    <w:rsid w:val="00DF39D4"/>
    <w:rsid w:val="00DF39F4"/>
    <w:rsid w:val="00DF3A8C"/>
    <w:rsid w:val="00DF3AEF"/>
    <w:rsid w:val="00DF3AFE"/>
    <w:rsid w:val="00DF3B21"/>
    <w:rsid w:val="00DF3B5A"/>
    <w:rsid w:val="00DF3BC1"/>
    <w:rsid w:val="00DF3C09"/>
    <w:rsid w:val="00DF3C82"/>
    <w:rsid w:val="00DF3D06"/>
    <w:rsid w:val="00DF3D90"/>
    <w:rsid w:val="00DF3D9F"/>
    <w:rsid w:val="00DF3E7C"/>
    <w:rsid w:val="00DF3EA5"/>
    <w:rsid w:val="00DF3EF4"/>
    <w:rsid w:val="00DF3F15"/>
    <w:rsid w:val="00DF3F1C"/>
    <w:rsid w:val="00DF3F48"/>
    <w:rsid w:val="00DF3F9C"/>
    <w:rsid w:val="00DF3FE3"/>
    <w:rsid w:val="00DF40A4"/>
    <w:rsid w:val="00DF40B5"/>
    <w:rsid w:val="00DF41DC"/>
    <w:rsid w:val="00DF4271"/>
    <w:rsid w:val="00DF42C3"/>
    <w:rsid w:val="00DF4316"/>
    <w:rsid w:val="00DF431E"/>
    <w:rsid w:val="00DF435F"/>
    <w:rsid w:val="00DF436E"/>
    <w:rsid w:val="00DF439B"/>
    <w:rsid w:val="00DF43DF"/>
    <w:rsid w:val="00DF4457"/>
    <w:rsid w:val="00DF44B1"/>
    <w:rsid w:val="00DF4550"/>
    <w:rsid w:val="00DF45A7"/>
    <w:rsid w:val="00DF45C3"/>
    <w:rsid w:val="00DF46A3"/>
    <w:rsid w:val="00DF46C1"/>
    <w:rsid w:val="00DF477E"/>
    <w:rsid w:val="00DF47DA"/>
    <w:rsid w:val="00DF4806"/>
    <w:rsid w:val="00DF4845"/>
    <w:rsid w:val="00DF489E"/>
    <w:rsid w:val="00DF48FA"/>
    <w:rsid w:val="00DF4928"/>
    <w:rsid w:val="00DF4B6C"/>
    <w:rsid w:val="00DF4B89"/>
    <w:rsid w:val="00DF4CA0"/>
    <w:rsid w:val="00DF4CF0"/>
    <w:rsid w:val="00DF4D3A"/>
    <w:rsid w:val="00DF4D66"/>
    <w:rsid w:val="00DF4D7F"/>
    <w:rsid w:val="00DF4D9E"/>
    <w:rsid w:val="00DF4DC5"/>
    <w:rsid w:val="00DF4DCD"/>
    <w:rsid w:val="00DF4E15"/>
    <w:rsid w:val="00DF4EAD"/>
    <w:rsid w:val="00DF4EB8"/>
    <w:rsid w:val="00DF4EF0"/>
    <w:rsid w:val="00DF4F16"/>
    <w:rsid w:val="00DF4F7A"/>
    <w:rsid w:val="00DF4F98"/>
    <w:rsid w:val="00DF5050"/>
    <w:rsid w:val="00DF5118"/>
    <w:rsid w:val="00DF51AF"/>
    <w:rsid w:val="00DF521E"/>
    <w:rsid w:val="00DF528E"/>
    <w:rsid w:val="00DF52EF"/>
    <w:rsid w:val="00DF5304"/>
    <w:rsid w:val="00DF5324"/>
    <w:rsid w:val="00DF5388"/>
    <w:rsid w:val="00DF53B7"/>
    <w:rsid w:val="00DF53F5"/>
    <w:rsid w:val="00DF543E"/>
    <w:rsid w:val="00DF5465"/>
    <w:rsid w:val="00DF5476"/>
    <w:rsid w:val="00DF5494"/>
    <w:rsid w:val="00DF54A7"/>
    <w:rsid w:val="00DF54C5"/>
    <w:rsid w:val="00DF54D7"/>
    <w:rsid w:val="00DF556F"/>
    <w:rsid w:val="00DF55FF"/>
    <w:rsid w:val="00DF5658"/>
    <w:rsid w:val="00DF568E"/>
    <w:rsid w:val="00DF56BC"/>
    <w:rsid w:val="00DF56CD"/>
    <w:rsid w:val="00DF56E3"/>
    <w:rsid w:val="00DF572A"/>
    <w:rsid w:val="00DF5746"/>
    <w:rsid w:val="00DF57C8"/>
    <w:rsid w:val="00DF5814"/>
    <w:rsid w:val="00DF588A"/>
    <w:rsid w:val="00DF58A0"/>
    <w:rsid w:val="00DF58BD"/>
    <w:rsid w:val="00DF58F6"/>
    <w:rsid w:val="00DF58FA"/>
    <w:rsid w:val="00DF592F"/>
    <w:rsid w:val="00DF59F9"/>
    <w:rsid w:val="00DF5A25"/>
    <w:rsid w:val="00DF5A66"/>
    <w:rsid w:val="00DF5A7B"/>
    <w:rsid w:val="00DF5A8F"/>
    <w:rsid w:val="00DF5ADE"/>
    <w:rsid w:val="00DF5B1B"/>
    <w:rsid w:val="00DF5B1D"/>
    <w:rsid w:val="00DF5BE0"/>
    <w:rsid w:val="00DF5BE9"/>
    <w:rsid w:val="00DF5C20"/>
    <w:rsid w:val="00DF5CFF"/>
    <w:rsid w:val="00DF5D52"/>
    <w:rsid w:val="00DF5D8D"/>
    <w:rsid w:val="00DF5DDD"/>
    <w:rsid w:val="00DF5E41"/>
    <w:rsid w:val="00DF5EF1"/>
    <w:rsid w:val="00DF5F21"/>
    <w:rsid w:val="00DF5F2F"/>
    <w:rsid w:val="00DF5F5E"/>
    <w:rsid w:val="00DF5FBE"/>
    <w:rsid w:val="00DF6041"/>
    <w:rsid w:val="00DF6067"/>
    <w:rsid w:val="00DF60F7"/>
    <w:rsid w:val="00DF611F"/>
    <w:rsid w:val="00DF61B6"/>
    <w:rsid w:val="00DF62BE"/>
    <w:rsid w:val="00DF62D5"/>
    <w:rsid w:val="00DF62DF"/>
    <w:rsid w:val="00DF62E7"/>
    <w:rsid w:val="00DF6370"/>
    <w:rsid w:val="00DF637D"/>
    <w:rsid w:val="00DF64A2"/>
    <w:rsid w:val="00DF64B1"/>
    <w:rsid w:val="00DF652C"/>
    <w:rsid w:val="00DF656C"/>
    <w:rsid w:val="00DF65C2"/>
    <w:rsid w:val="00DF66ED"/>
    <w:rsid w:val="00DF6796"/>
    <w:rsid w:val="00DF6833"/>
    <w:rsid w:val="00DF686B"/>
    <w:rsid w:val="00DF68E4"/>
    <w:rsid w:val="00DF692C"/>
    <w:rsid w:val="00DF69F2"/>
    <w:rsid w:val="00DF6A42"/>
    <w:rsid w:val="00DF6ADC"/>
    <w:rsid w:val="00DF6B04"/>
    <w:rsid w:val="00DF6B23"/>
    <w:rsid w:val="00DF6B56"/>
    <w:rsid w:val="00DF6BC2"/>
    <w:rsid w:val="00DF6BF1"/>
    <w:rsid w:val="00DF6C9E"/>
    <w:rsid w:val="00DF6CAD"/>
    <w:rsid w:val="00DF6CF1"/>
    <w:rsid w:val="00DF6D6E"/>
    <w:rsid w:val="00DF6D83"/>
    <w:rsid w:val="00DF6DF8"/>
    <w:rsid w:val="00DF6E25"/>
    <w:rsid w:val="00DF6E29"/>
    <w:rsid w:val="00DF6EB9"/>
    <w:rsid w:val="00DF705D"/>
    <w:rsid w:val="00DF707A"/>
    <w:rsid w:val="00DF70CE"/>
    <w:rsid w:val="00DF715F"/>
    <w:rsid w:val="00DF719B"/>
    <w:rsid w:val="00DF719E"/>
    <w:rsid w:val="00DF7202"/>
    <w:rsid w:val="00DF720D"/>
    <w:rsid w:val="00DF728F"/>
    <w:rsid w:val="00DF72C1"/>
    <w:rsid w:val="00DF72C2"/>
    <w:rsid w:val="00DF73EE"/>
    <w:rsid w:val="00DF7584"/>
    <w:rsid w:val="00DF75AC"/>
    <w:rsid w:val="00DF75F0"/>
    <w:rsid w:val="00DF7621"/>
    <w:rsid w:val="00DF76AA"/>
    <w:rsid w:val="00DF7794"/>
    <w:rsid w:val="00DF77B3"/>
    <w:rsid w:val="00DF7873"/>
    <w:rsid w:val="00DF78BE"/>
    <w:rsid w:val="00DF7970"/>
    <w:rsid w:val="00DF79A3"/>
    <w:rsid w:val="00DF79D4"/>
    <w:rsid w:val="00DF7A13"/>
    <w:rsid w:val="00DF7A58"/>
    <w:rsid w:val="00DF7AA6"/>
    <w:rsid w:val="00DF7B72"/>
    <w:rsid w:val="00DF7BDB"/>
    <w:rsid w:val="00DF7BE7"/>
    <w:rsid w:val="00DF7C29"/>
    <w:rsid w:val="00DF7C51"/>
    <w:rsid w:val="00DF7CAE"/>
    <w:rsid w:val="00DF7D97"/>
    <w:rsid w:val="00DF7DD2"/>
    <w:rsid w:val="00DF7DDB"/>
    <w:rsid w:val="00DF7DDF"/>
    <w:rsid w:val="00DF7E3F"/>
    <w:rsid w:val="00DF7E47"/>
    <w:rsid w:val="00DF7ED4"/>
    <w:rsid w:val="00DF7F2F"/>
    <w:rsid w:val="00DF7FF1"/>
    <w:rsid w:val="00DF7FFA"/>
    <w:rsid w:val="00E0000C"/>
    <w:rsid w:val="00E00022"/>
    <w:rsid w:val="00E0010D"/>
    <w:rsid w:val="00E001BB"/>
    <w:rsid w:val="00E001D6"/>
    <w:rsid w:val="00E001E6"/>
    <w:rsid w:val="00E001FB"/>
    <w:rsid w:val="00E0029E"/>
    <w:rsid w:val="00E002ED"/>
    <w:rsid w:val="00E00365"/>
    <w:rsid w:val="00E00383"/>
    <w:rsid w:val="00E0038A"/>
    <w:rsid w:val="00E00392"/>
    <w:rsid w:val="00E003A3"/>
    <w:rsid w:val="00E003A8"/>
    <w:rsid w:val="00E0051C"/>
    <w:rsid w:val="00E00530"/>
    <w:rsid w:val="00E00573"/>
    <w:rsid w:val="00E0063B"/>
    <w:rsid w:val="00E00640"/>
    <w:rsid w:val="00E006F7"/>
    <w:rsid w:val="00E00717"/>
    <w:rsid w:val="00E0072C"/>
    <w:rsid w:val="00E007FB"/>
    <w:rsid w:val="00E0087A"/>
    <w:rsid w:val="00E00902"/>
    <w:rsid w:val="00E00961"/>
    <w:rsid w:val="00E00988"/>
    <w:rsid w:val="00E00998"/>
    <w:rsid w:val="00E00A27"/>
    <w:rsid w:val="00E00AEB"/>
    <w:rsid w:val="00E00B0A"/>
    <w:rsid w:val="00E00B43"/>
    <w:rsid w:val="00E00B54"/>
    <w:rsid w:val="00E00BE8"/>
    <w:rsid w:val="00E00C31"/>
    <w:rsid w:val="00E00C7F"/>
    <w:rsid w:val="00E00CAD"/>
    <w:rsid w:val="00E00D08"/>
    <w:rsid w:val="00E00D73"/>
    <w:rsid w:val="00E00DB4"/>
    <w:rsid w:val="00E00DED"/>
    <w:rsid w:val="00E00F19"/>
    <w:rsid w:val="00E00F8D"/>
    <w:rsid w:val="00E00F9F"/>
    <w:rsid w:val="00E0101B"/>
    <w:rsid w:val="00E0103A"/>
    <w:rsid w:val="00E01096"/>
    <w:rsid w:val="00E0109D"/>
    <w:rsid w:val="00E010A1"/>
    <w:rsid w:val="00E010A5"/>
    <w:rsid w:val="00E010B0"/>
    <w:rsid w:val="00E010D9"/>
    <w:rsid w:val="00E01115"/>
    <w:rsid w:val="00E0115E"/>
    <w:rsid w:val="00E011AD"/>
    <w:rsid w:val="00E0127D"/>
    <w:rsid w:val="00E01313"/>
    <w:rsid w:val="00E0132A"/>
    <w:rsid w:val="00E01340"/>
    <w:rsid w:val="00E013C9"/>
    <w:rsid w:val="00E013DA"/>
    <w:rsid w:val="00E0142C"/>
    <w:rsid w:val="00E0147B"/>
    <w:rsid w:val="00E01497"/>
    <w:rsid w:val="00E014B4"/>
    <w:rsid w:val="00E014FE"/>
    <w:rsid w:val="00E01527"/>
    <w:rsid w:val="00E01542"/>
    <w:rsid w:val="00E01634"/>
    <w:rsid w:val="00E01709"/>
    <w:rsid w:val="00E01790"/>
    <w:rsid w:val="00E017F5"/>
    <w:rsid w:val="00E01826"/>
    <w:rsid w:val="00E01867"/>
    <w:rsid w:val="00E018AA"/>
    <w:rsid w:val="00E01915"/>
    <w:rsid w:val="00E01A42"/>
    <w:rsid w:val="00E01A62"/>
    <w:rsid w:val="00E01AF8"/>
    <w:rsid w:val="00E01B13"/>
    <w:rsid w:val="00E01B28"/>
    <w:rsid w:val="00E01B2F"/>
    <w:rsid w:val="00E01BDE"/>
    <w:rsid w:val="00E01C25"/>
    <w:rsid w:val="00E01C78"/>
    <w:rsid w:val="00E01CE2"/>
    <w:rsid w:val="00E01D34"/>
    <w:rsid w:val="00E01D37"/>
    <w:rsid w:val="00E01D3F"/>
    <w:rsid w:val="00E01D40"/>
    <w:rsid w:val="00E01E65"/>
    <w:rsid w:val="00E01E8D"/>
    <w:rsid w:val="00E01FD9"/>
    <w:rsid w:val="00E02076"/>
    <w:rsid w:val="00E020D2"/>
    <w:rsid w:val="00E020D3"/>
    <w:rsid w:val="00E020ED"/>
    <w:rsid w:val="00E02105"/>
    <w:rsid w:val="00E02123"/>
    <w:rsid w:val="00E0215A"/>
    <w:rsid w:val="00E021B9"/>
    <w:rsid w:val="00E021C3"/>
    <w:rsid w:val="00E021F1"/>
    <w:rsid w:val="00E021F3"/>
    <w:rsid w:val="00E02278"/>
    <w:rsid w:val="00E022B6"/>
    <w:rsid w:val="00E022BF"/>
    <w:rsid w:val="00E02365"/>
    <w:rsid w:val="00E02372"/>
    <w:rsid w:val="00E02373"/>
    <w:rsid w:val="00E02384"/>
    <w:rsid w:val="00E023C2"/>
    <w:rsid w:val="00E02455"/>
    <w:rsid w:val="00E02477"/>
    <w:rsid w:val="00E0255D"/>
    <w:rsid w:val="00E025A0"/>
    <w:rsid w:val="00E025C3"/>
    <w:rsid w:val="00E026DF"/>
    <w:rsid w:val="00E027F7"/>
    <w:rsid w:val="00E0284A"/>
    <w:rsid w:val="00E02858"/>
    <w:rsid w:val="00E028A3"/>
    <w:rsid w:val="00E02907"/>
    <w:rsid w:val="00E02981"/>
    <w:rsid w:val="00E0299D"/>
    <w:rsid w:val="00E029A5"/>
    <w:rsid w:val="00E02A3B"/>
    <w:rsid w:val="00E02AB4"/>
    <w:rsid w:val="00E02AC2"/>
    <w:rsid w:val="00E02B21"/>
    <w:rsid w:val="00E02BAE"/>
    <w:rsid w:val="00E02D00"/>
    <w:rsid w:val="00E02D11"/>
    <w:rsid w:val="00E02D19"/>
    <w:rsid w:val="00E02DFC"/>
    <w:rsid w:val="00E02E1A"/>
    <w:rsid w:val="00E02E56"/>
    <w:rsid w:val="00E02ED4"/>
    <w:rsid w:val="00E02F51"/>
    <w:rsid w:val="00E02F64"/>
    <w:rsid w:val="00E03052"/>
    <w:rsid w:val="00E03136"/>
    <w:rsid w:val="00E0319F"/>
    <w:rsid w:val="00E0324F"/>
    <w:rsid w:val="00E03250"/>
    <w:rsid w:val="00E032B4"/>
    <w:rsid w:val="00E033BB"/>
    <w:rsid w:val="00E033F8"/>
    <w:rsid w:val="00E03411"/>
    <w:rsid w:val="00E03425"/>
    <w:rsid w:val="00E03429"/>
    <w:rsid w:val="00E0343C"/>
    <w:rsid w:val="00E03448"/>
    <w:rsid w:val="00E03489"/>
    <w:rsid w:val="00E034A0"/>
    <w:rsid w:val="00E034F5"/>
    <w:rsid w:val="00E03593"/>
    <w:rsid w:val="00E035B9"/>
    <w:rsid w:val="00E0368D"/>
    <w:rsid w:val="00E036D6"/>
    <w:rsid w:val="00E036F2"/>
    <w:rsid w:val="00E03703"/>
    <w:rsid w:val="00E03739"/>
    <w:rsid w:val="00E037E0"/>
    <w:rsid w:val="00E03819"/>
    <w:rsid w:val="00E03833"/>
    <w:rsid w:val="00E0384B"/>
    <w:rsid w:val="00E0386F"/>
    <w:rsid w:val="00E0387D"/>
    <w:rsid w:val="00E0389B"/>
    <w:rsid w:val="00E03971"/>
    <w:rsid w:val="00E039AC"/>
    <w:rsid w:val="00E039AF"/>
    <w:rsid w:val="00E039B4"/>
    <w:rsid w:val="00E039DA"/>
    <w:rsid w:val="00E03A0E"/>
    <w:rsid w:val="00E03A19"/>
    <w:rsid w:val="00E03A8E"/>
    <w:rsid w:val="00E03A8F"/>
    <w:rsid w:val="00E03B18"/>
    <w:rsid w:val="00E03B4A"/>
    <w:rsid w:val="00E03B5D"/>
    <w:rsid w:val="00E03B7B"/>
    <w:rsid w:val="00E03C72"/>
    <w:rsid w:val="00E03C7C"/>
    <w:rsid w:val="00E03CF2"/>
    <w:rsid w:val="00E03DC9"/>
    <w:rsid w:val="00E03DFA"/>
    <w:rsid w:val="00E03E1D"/>
    <w:rsid w:val="00E03E45"/>
    <w:rsid w:val="00E03E4B"/>
    <w:rsid w:val="00E03EA8"/>
    <w:rsid w:val="00E03EDD"/>
    <w:rsid w:val="00E03F95"/>
    <w:rsid w:val="00E0400E"/>
    <w:rsid w:val="00E0401F"/>
    <w:rsid w:val="00E0425B"/>
    <w:rsid w:val="00E04265"/>
    <w:rsid w:val="00E042A9"/>
    <w:rsid w:val="00E042D5"/>
    <w:rsid w:val="00E042DF"/>
    <w:rsid w:val="00E0434F"/>
    <w:rsid w:val="00E04362"/>
    <w:rsid w:val="00E0438E"/>
    <w:rsid w:val="00E04407"/>
    <w:rsid w:val="00E04523"/>
    <w:rsid w:val="00E04537"/>
    <w:rsid w:val="00E04557"/>
    <w:rsid w:val="00E04629"/>
    <w:rsid w:val="00E0468B"/>
    <w:rsid w:val="00E046AC"/>
    <w:rsid w:val="00E04757"/>
    <w:rsid w:val="00E0476D"/>
    <w:rsid w:val="00E04874"/>
    <w:rsid w:val="00E04971"/>
    <w:rsid w:val="00E049B7"/>
    <w:rsid w:val="00E04ACA"/>
    <w:rsid w:val="00E04C7F"/>
    <w:rsid w:val="00E04CEF"/>
    <w:rsid w:val="00E04DAE"/>
    <w:rsid w:val="00E04E35"/>
    <w:rsid w:val="00E04FCA"/>
    <w:rsid w:val="00E05092"/>
    <w:rsid w:val="00E05097"/>
    <w:rsid w:val="00E050C7"/>
    <w:rsid w:val="00E050FE"/>
    <w:rsid w:val="00E051AC"/>
    <w:rsid w:val="00E05219"/>
    <w:rsid w:val="00E05227"/>
    <w:rsid w:val="00E0528D"/>
    <w:rsid w:val="00E052FC"/>
    <w:rsid w:val="00E05300"/>
    <w:rsid w:val="00E0537C"/>
    <w:rsid w:val="00E053A8"/>
    <w:rsid w:val="00E053C3"/>
    <w:rsid w:val="00E05405"/>
    <w:rsid w:val="00E055EE"/>
    <w:rsid w:val="00E05610"/>
    <w:rsid w:val="00E05698"/>
    <w:rsid w:val="00E056E4"/>
    <w:rsid w:val="00E05828"/>
    <w:rsid w:val="00E058CB"/>
    <w:rsid w:val="00E05966"/>
    <w:rsid w:val="00E05984"/>
    <w:rsid w:val="00E05991"/>
    <w:rsid w:val="00E05993"/>
    <w:rsid w:val="00E059DA"/>
    <w:rsid w:val="00E059FB"/>
    <w:rsid w:val="00E05A97"/>
    <w:rsid w:val="00E05B05"/>
    <w:rsid w:val="00E05B88"/>
    <w:rsid w:val="00E05BE8"/>
    <w:rsid w:val="00E05BF0"/>
    <w:rsid w:val="00E05C5E"/>
    <w:rsid w:val="00E05CC8"/>
    <w:rsid w:val="00E05D1B"/>
    <w:rsid w:val="00E05D62"/>
    <w:rsid w:val="00E05DC0"/>
    <w:rsid w:val="00E05E30"/>
    <w:rsid w:val="00E05E7D"/>
    <w:rsid w:val="00E05EA1"/>
    <w:rsid w:val="00E05EA9"/>
    <w:rsid w:val="00E05ED0"/>
    <w:rsid w:val="00E05F56"/>
    <w:rsid w:val="00E05FCE"/>
    <w:rsid w:val="00E05FF1"/>
    <w:rsid w:val="00E0607C"/>
    <w:rsid w:val="00E060CB"/>
    <w:rsid w:val="00E06114"/>
    <w:rsid w:val="00E0611E"/>
    <w:rsid w:val="00E06218"/>
    <w:rsid w:val="00E0622E"/>
    <w:rsid w:val="00E0625C"/>
    <w:rsid w:val="00E06381"/>
    <w:rsid w:val="00E06448"/>
    <w:rsid w:val="00E0646E"/>
    <w:rsid w:val="00E06475"/>
    <w:rsid w:val="00E0655A"/>
    <w:rsid w:val="00E0659F"/>
    <w:rsid w:val="00E06626"/>
    <w:rsid w:val="00E066AA"/>
    <w:rsid w:val="00E0673C"/>
    <w:rsid w:val="00E0675D"/>
    <w:rsid w:val="00E067F0"/>
    <w:rsid w:val="00E0684B"/>
    <w:rsid w:val="00E0688E"/>
    <w:rsid w:val="00E06895"/>
    <w:rsid w:val="00E068D2"/>
    <w:rsid w:val="00E068F0"/>
    <w:rsid w:val="00E068F4"/>
    <w:rsid w:val="00E06991"/>
    <w:rsid w:val="00E069AB"/>
    <w:rsid w:val="00E069B9"/>
    <w:rsid w:val="00E069E2"/>
    <w:rsid w:val="00E06AB9"/>
    <w:rsid w:val="00E06B48"/>
    <w:rsid w:val="00E06B6A"/>
    <w:rsid w:val="00E06C53"/>
    <w:rsid w:val="00E06C5F"/>
    <w:rsid w:val="00E06CD6"/>
    <w:rsid w:val="00E06D4F"/>
    <w:rsid w:val="00E06D7E"/>
    <w:rsid w:val="00E06D80"/>
    <w:rsid w:val="00E06DE3"/>
    <w:rsid w:val="00E06E19"/>
    <w:rsid w:val="00E06E4E"/>
    <w:rsid w:val="00E06E85"/>
    <w:rsid w:val="00E06E96"/>
    <w:rsid w:val="00E06EE0"/>
    <w:rsid w:val="00E06EE6"/>
    <w:rsid w:val="00E06F1F"/>
    <w:rsid w:val="00E06FFC"/>
    <w:rsid w:val="00E07003"/>
    <w:rsid w:val="00E07010"/>
    <w:rsid w:val="00E07024"/>
    <w:rsid w:val="00E07095"/>
    <w:rsid w:val="00E07220"/>
    <w:rsid w:val="00E07270"/>
    <w:rsid w:val="00E0728F"/>
    <w:rsid w:val="00E072E7"/>
    <w:rsid w:val="00E073A8"/>
    <w:rsid w:val="00E07429"/>
    <w:rsid w:val="00E074D7"/>
    <w:rsid w:val="00E074F4"/>
    <w:rsid w:val="00E07549"/>
    <w:rsid w:val="00E07593"/>
    <w:rsid w:val="00E0759E"/>
    <w:rsid w:val="00E0764E"/>
    <w:rsid w:val="00E07678"/>
    <w:rsid w:val="00E076BD"/>
    <w:rsid w:val="00E0773A"/>
    <w:rsid w:val="00E0779B"/>
    <w:rsid w:val="00E07814"/>
    <w:rsid w:val="00E078DD"/>
    <w:rsid w:val="00E078FC"/>
    <w:rsid w:val="00E0791F"/>
    <w:rsid w:val="00E079AA"/>
    <w:rsid w:val="00E07B0E"/>
    <w:rsid w:val="00E07B97"/>
    <w:rsid w:val="00E07B9D"/>
    <w:rsid w:val="00E07C0E"/>
    <w:rsid w:val="00E07C0F"/>
    <w:rsid w:val="00E07C13"/>
    <w:rsid w:val="00E07CC7"/>
    <w:rsid w:val="00E07D74"/>
    <w:rsid w:val="00E07EB6"/>
    <w:rsid w:val="00E07EC7"/>
    <w:rsid w:val="00E07F47"/>
    <w:rsid w:val="00E07FCC"/>
    <w:rsid w:val="00E10012"/>
    <w:rsid w:val="00E1002E"/>
    <w:rsid w:val="00E1005F"/>
    <w:rsid w:val="00E100B4"/>
    <w:rsid w:val="00E100D0"/>
    <w:rsid w:val="00E1020C"/>
    <w:rsid w:val="00E1028A"/>
    <w:rsid w:val="00E103E7"/>
    <w:rsid w:val="00E103EB"/>
    <w:rsid w:val="00E1046C"/>
    <w:rsid w:val="00E1048B"/>
    <w:rsid w:val="00E104A7"/>
    <w:rsid w:val="00E10527"/>
    <w:rsid w:val="00E1055F"/>
    <w:rsid w:val="00E105DA"/>
    <w:rsid w:val="00E10637"/>
    <w:rsid w:val="00E10656"/>
    <w:rsid w:val="00E1065C"/>
    <w:rsid w:val="00E1065E"/>
    <w:rsid w:val="00E10724"/>
    <w:rsid w:val="00E1073F"/>
    <w:rsid w:val="00E1086A"/>
    <w:rsid w:val="00E108BC"/>
    <w:rsid w:val="00E108BE"/>
    <w:rsid w:val="00E10939"/>
    <w:rsid w:val="00E10986"/>
    <w:rsid w:val="00E109A1"/>
    <w:rsid w:val="00E109AF"/>
    <w:rsid w:val="00E109EF"/>
    <w:rsid w:val="00E10A3D"/>
    <w:rsid w:val="00E10AA7"/>
    <w:rsid w:val="00E10ACE"/>
    <w:rsid w:val="00E10AEC"/>
    <w:rsid w:val="00E10B0E"/>
    <w:rsid w:val="00E10B25"/>
    <w:rsid w:val="00E10B87"/>
    <w:rsid w:val="00E10BBA"/>
    <w:rsid w:val="00E10BDE"/>
    <w:rsid w:val="00E10BFE"/>
    <w:rsid w:val="00E10C51"/>
    <w:rsid w:val="00E10C65"/>
    <w:rsid w:val="00E10D1F"/>
    <w:rsid w:val="00E10E0D"/>
    <w:rsid w:val="00E10E8C"/>
    <w:rsid w:val="00E10EF8"/>
    <w:rsid w:val="00E10EFF"/>
    <w:rsid w:val="00E10F88"/>
    <w:rsid w:val="00E10FC4"/>
    <w:rsid w:val="00E10FEA"/>
    <w:rsid w:val="00E11095"/>
    <w:rsid w:val="00E110F8"/>
    <w:rsid w:val="00E11117"/>
    <w:rsid w:val="00E11130"/>
    <w:rsid w:val="00E1113E"/>
    <w:rsid w:val="00E11186"/>
    <w:rsid w:val="00E11201"/>
    <w:rsid w:val="00E11203"/>
    <w:rsid w:val="00E11227"/>
    <w:rsid w:val="00E112A2"/>
    <w:rsid w:val="00E112FB"/>
    <w:rsid w:val="00E11316"/>
    <w:rsid w:val="00E11329"/>
    <w:rsid w:val="00E11388"/>
    <w:rsid w:val="00E1138F"/>
    <w:rsid w:val="00E113D3"/>
    <w:rsid w:val="00E11499"/>
    <w:rsid w:val="00E1155D"/>
    <w:rsid w:val="00E11611"/>
    <w:rsid w:val="00E1162C"/>
    <w:rsid w:val="00E11720"/>
    <w:rsid w:val="00E11742"/>
    <w:rsid w:val="00E11822"/>
    <w:rsid w:val="00E11832"/>
    <w:rsid w:val="00E11A70"/>
    <w:rsid w:val="00E11AAB"/>
    <w:rsid w:val="00E11B03"/>
    <w:rsid w:val="00E11B06"/>
    <w:rsid w:val="00E11B22"/>
    <w:rsid w:val="00E11B2B"/>
    <w:rsid w:val="00E11B56"/>
    <w:rsid w:val="00E11BDD"/>
    <w:rsid w:val="00E11BF3"/>
    <w:rsid w:val="00E11C18"/>
    <w:rsid w:val="00E11C23"/>
    <w:rsid w:val="00E11C74"/>
    <w:rsid w:val="00E11C80"/>
    <w:rsid w:val="00E11D0D"/>
    <w:rsid w:val="00E11DBA"/>
    <w:rsid w:val="00E11F40"/>
    <w:rsid w:val="00E11F82"/>
    <w:rsid w:val="00E11F9C"/>
    <w:rsid w:val="00E11FA7"/>
    <w:rsid w:val="00E11FB9"/>
    <w:rsid w:val="00E11FE1"/>
    <w:rsid w:val="00E11FF5"/>
    <w:rsid w:val="00E12003"/>
    <w:rsid w:val="00E12042"/>
    <w:rsid w:val="00E1208F"/>
    <w:rsid w:val="00E12094"/>
    <w:rsid w:val="00E120DD"/>
    <w:rsid w:val="00E12140"/>
    <w:rsid w:val="00E121E5"/>
    <w:rsid w:val="00E12251"/>
    <w:rsid w:val="00E1226D"/>
    <w:rsid w:val="00E1231E"/>
    <w:rsid w:val="00E1233C"/>
    <w:rsid w:val="00E1234B"/>
    <w:rsid w:val="00E12359"/>
    <w:rsid w:val="00E12489"/>
    <w:rsid w:val="00E12535"/>
    <w:rsid w:val="00E12561"/>
    <w:rsid w:val="00E1257A"/>
    <w:rsid w:val="00E12608"/>
    <w:rsid w:val="00E126C9"/>
    <w:rsid w:val="00E126E2"/>
    <w:rsid w:val="00E12740"/>
    <w:rsid w:val="00E12747"/>
    <w:rsid w:val="00E1277A"/>
    <w:rsid w:val="00E12818"/>
    <w:rsid w:val="00E12872"/>
    <w:rsid w:val="00E128FF"/>
    <w:rsid w:val="00E12989"/>
    <w:rsid w:val="00E12A26"/>
    <w:rsid w:val="00E12AB9"/>
    <w:rsid w:val="00E12B12"/>
    <w:rsid w:val="00E12B5B"/>
    <w:rsid w:val="00E12BDF"/>
    <w:rsid w:val="00E12C3A"/>
    <w:rsid w:val="00E12C44"/>
    <w:rsid w:val="00E12D4A"/>
    <w:rsid w:val="00E12D78"/>
    <w:rsid w:val="00E12D7D"/>
    <w:rsid w:val="00E12DC5"/>
    <w:rsid w:val="00E12DD0"/>
    <w:rsid w:val="00E12DF6"/>
    <w:rsid w:val="00E12E59"/>
    <w:rsid w:val="00E12E96"/>
    <w:rsid w:val="00E12EF9"/>
    <w:rsid w:val="00E13037"/>
    <w:rsid w:val="00E130E3"/>
    <w:rsid w:val="00E13120"/>
    <w:rsid w:val="00E13187"/>
    <w:rsid w:val="00E131B9"/>
    <w:rsid w:val="00E131E1"/>
    <w:rsid w:val="00E1320D"/>
    <w:rsid w:val="00E1333C"/>
    <w:rsid w:val="00E133EE"/>
    <w:rsid w:val="00E13450"/>
    <w:rsid w:val="00E1347D"/>
    <w:rsid w:val="00E13569"/>
    <w:rsid w:val="00E135B0"/>
    <w:rsid w:val="00E1360E"/>
    <w:rsid w:val="00E13695"/>
    <w:rsid w:val="00E1369B"/>
    <w:rsid w:val="00E136B5"/>
    <w:rsid w:val="00E136ED"/>
    <w:rsid w:val="00E136F2"/>
    <w:rsid w:val="00E1371E"/>
    <w:rsid w:val="00E13729"/>
    <w:rsid w:val="00E13755"/>
    <w:rsid w:val="00E1375E"/>
    <w:rsid w:val="00E137C3"/>
    <w:rsid w:val="00E137CA"/>
    <w:rsid w:val="00E137CD"/>
    <w:rsid w:val="00E13830"/>
    <w:rsid w:val="00E13887"/>
    <w:rsid w:val="00E138D6"/>
    <w:rsid w:val="00E13A4D"/>
    <w:rsid w:val="00E13A6C"/>
    <w:rsid w:val="00E13A9E"/>
    <w:rsid w:val="00E13AD8"/>
    <w:rsid w:val="00E13B39"/>
    <w:rsid w:val="00E13B9A"/>
    <w:rsid w:val="00E13BA8"/>
    <w:rsid w:val="00E13C29"/>
    <w:rsid w:val="00E13C34"/>
    <w:rsid w:val="00E13C3F"/>
    <w:rsid w:val="00E13D20"/>
    <w:rsid w:val="00E13DCF"/>
    <w:rsid w:val="00E13E3E"/>
    <w:rsid w:val="00E13E52"/>
    <w:rsid w:val="00E13EA6"/>
    <w:rsid w:val="00E13F04"/>
    <w:rsid w:val="00E13F16"/>
    <w:rsid w:val="00E13F34"/>
    <w:rsid w:val="00E13F7B"/>
    <w:rsid w:val="00E13FF2"/>
    <w:rsid w:val="00E13FF3"/>
    <w:rsid w:val="00E14005"/>
    <w:rsid w:val="00E14067"/>
    <w:rsid w:val="00E14069"/>
    <w:rsid w:val="00E140D0"/>
    <w:rsid w:val="00E141BF"/>
    <w:rsid w:val="00E14232"/>
    <w:rsid w:val="00E1425F"/>
    <w:rsid w:val="00E14283"/>
    <w:rsid w:val="00E142A1"/>
    <w:rsid w:val="00E142B6"/>
    <w:rsid w:val="00E14367"/>
    <w:rsid w:val="00E14465"/>
    <w:rsid w:val="00E1446D"/>
    <w:rsid w:val="00E144C8"/>
    <w:rsid w:val="00E144DF"/>
    <w:rsid w:val="00E144E5"/>
    <w:rsid w:val="00E145AC"/>
    <w:rsid w:val="00E146C5"/>
    <w:rsid w:val="00E146FC"/>
    <w:rsid w:val="00E1476F"/>
    <w:rsid w:val="00E14772"/>
    <w:rsid w:val="00E1481A"/>
    <w:rsid w:val="00E1488D"/>
    <w:rsid w:val="00E1489D"/>
    <w:rsid w:val="00E148A8"/>
    <w:rsid w:val="00E148CA"/>
    <w:rsid w:val="00E149CF"/>
    <w:rsid w:val="00E14A3F"/>
    <w:rsid w:val="00E14A9F"/>
    <w:rsid w:val="00E14AAB"/>
    <w:rsid w:val="00E14AD7"/>
    <w:rsid w:val="00E14B0F"/>
    <w:rsid w:val="00E14BBF"/>
    <w:rsid w:val="00E14C98"/>
    <w:rsid w:val="00E14CC4"/>
    <w:rsid w:val="00E14CD9"/>
    <w:rsid w:val="00E14D16"/>
    <w:rsid w:val="00E14D6C"/>
    <w:rsid w:val="00E14DCA"/>
    <w:rsid w:val="00E14E28"/>
    <w:rsid w:val="00E14E2C"/>
    <w:rsid w:val="00E14F58"/>
    <w:rsid w:val="00E14FF5"/>
    <w:rsid w:val="00E15143"/>
    <w:rsid w:val="00E15155"/>
    <w:rsid w:val="00E15186"/>
    <w:rsid w:val="00E15234"/>
    <w:rsid w:val="00E15252"/>
    <w:rsid w:val="00E15298"/>
    <w:rsid w:val="00E152BA"/>
    <w:rsid w:val="00E15394"/>
    <w:rsid w:val="00E153B0"/>
    <w:rsid w:val="00E153BE"/>
    <w:rsid w:val="00E15406"/>
    <w:rsid w:val="00E15418"/>
    <w:rsid w:val="00E1558E"/>
    <w:rsid w:val="00E1566A"/>
    <w:rsid w:val="00E15753"/>
    <w:rsid w:val="00E1579D"/>
    <w:rsid w:val="00E157ED"/>
    <w:rsid w:val="00E15836"/>
    <w:rsid w:val="00E1587E"/>
    <w:rsid w:val="00E158C7"/>
    <w:rsid w:val="00E158D4"/>
    <w:rsid w:val="00E158E7"/>
    <w:rsid w:val="00E15969"/>
    <w:rsid w:val="00E15A89"/>
    <w:rsid w:val="00E15AAD"/>
    <w:rsid w:val="00E15AE4"/>
    <w:rsid w:val="00E15B6B"/>
    <w:rsid w:val="00E15C0E"/>
    <w:rsid w:val="00E15C21"/>
    <w:rsid w:val="00E15C30"/>
    <w:rsid w:val="00E15C53"/>
    <w:rsid w:val="00E15C7A"/>
    <w:rsid w:val="00E15D73"/>
    <w:rsid w:val="00E15D95"/>
    <w:rsid w:val="00E15DCE"/>
    <w:rsid w:val="00E15DD4"/>
    <w:rsid w:val="00E15DFA"/>
    <w:rsid w:val="00E15E2A"/>
    <w:rsid w:val="00E15E34"/>
    <w:rsid w:val="00E15E70"/>
    <w:rsid w:val="00E15E99"/>
    <w:rsid w:val="00E15F70"/>
    <w:rsid w:val="00E15FA4"/>
    <w:rsid w:val="00E16063"/>
    <w:rsid w:val="00E16083"/>
    <w:rsid w:val="00E160AB"/>
    <w:rsid w:val="00E160BD"/>
    <w:rsid w:val="00E1616C"/>
    <w:rsid w:val="00E16185"/>
    <w:rsid w:val="00E16187"/>
    <w:rsid w:val="00E16190"/>
    <w:rsid w:val="00E161FC"/>
    <w:rsid w:val="00E16222"/>
    <w:rsid w:val="00E16282"/>
    <w:rsid w:val="00E162C7"/>
    <w:rsid w:val="00E162E4"/>
    <w:rsid w:val="00E164A7"/>
    <w:rsid w:val="00E1653B"/>
    <w:rsid w:val="00E165ED"/>
    <w:rsid w:val="00E16631"/>
    <w:rsid w:val="00E16666"/>
    <w:rsid w:val="00E166B7"/>
    <w:rsid w:val="00E166FD"/>
    <w:rsid w:val="00E16738"/>
    <w:rsid w:val="00E167A1"/>
    <w:rsid w:val="00E16800"/>
    <w:rsid w:val="00E16969"/>
    <w:rsid w:val="00E16AC9"/>
    <w:rsid w:val="00E16B5B"/>
    <w:rsid w:val="00E16B7A"/>
    <w:rsid w:val="00E16B82"/>
    <w:rsid w:val="00E16BDF"/>
    <w:rsid w:val="00E16CCD"/>
    <w:rsid w:val="00E16D12"/>
    <w:rsid w:val="00E16DFA"/>
    <w:rsid w:val="00E16E05"/>
    <w:rsid w:val="00E16EF0"/>
    <w:rsid w:val="00E16FC0"/>
    <w:rsid w:val="00E16FD8"/>
    <w:rsid w:val="00E16FEB"/>
    <w:rsid w:val="00E16FF2"/>
    <w:rsid w:val="00E1708C"/>
    <w:rsid w:val="00E170FA"/>
    <w:rsid w:val="00E17260"/>
    <w:rsid w:val="00E17276"/>
    <w:rsid w:val="00E172BB"/>
    <w:rsid w:val="00E17329"/>
    <w:rsid w:val="00E1732E"/>
    <w:rsid w:val="00E1735C"/>
    <w:rsid w:val="00E1739E"/>
    <w:rsid w:val="00E17436"/>
    <w:rsid w:val="00E17477"/>
    <w:rsid w:val="00E175EA"/>
    <w:rsid w:val="00E17698"/>
    <w:rsid w:val="00E17725"/>
    <w:rsid w:val="00E17756"/>
    <w:rsid w:val="00E177CB"/>
    <w:rsid w:val="00E177CE"/>
    <w:rsid w:val="00E17843"/>
    <w:rsid w:val="00E17974"/>
    <w:rsid w:val="00E1797A"/>
    <w:rsid w:val="00E179C2"/>
    <w:rsid w:val="00E17A5E"/>
    <w:rsid w:val="00E17BC6"/>
    <w:rsid w:val="00E17D76"/>
    <w:rsid w:val="00E17D9A"/>
    <w:rsid w:val="00E17DA0"/>
    <w:rsid w:val="00E17DC8"/>
    <w:rsid w:val="00E17E2F"/>
    <w:rsid w:val="00E17E41"/>
    <w:rsid w:val="00E17EE3"/>
    <w:rsid w:val="00E17EF4"/>
    <w:rsid w:val="00E17FC3"/>
    <w:rsid w:val="00E17FD2"/>
    <w:rsid w:val="00E2003A"/>
    <w:rsid w:val="00E20147"/>
    <w:rsid w:val="00E201EF"/>
    <w:rsid w:val="00E202DE"/>
    <w:rsid w:val="00E2034A"/>
    <w:rsid w:val="00E2034C"/>
    <w:rsid w:val="00E203C2"/>
    <w:rsid w:val="00E203F8"/>
    <w:rsid w:val="00E2047E"/>
    <w:rsid w:val="00E204BF"/>
    <w:rsid w:val="00E204D7"/>
    <w:rsid w:val="00E2050D"/>
    <w:rsid w:val="00E20518"/>
    <w:rsid w:val="00E20558"/>
    <w:rsid w:val="00E20577"/>
    <w:rsid w:val="00E205F5"/>
    <w:rsid w:val="00E20868"/>
    <w:rsid w:val="00E2087B"/>
    <w:rsid w:val="00E2091C"/>
    <w:rsid w:val="00E20983"/>
    <w:rsid w:val="00E20A38"/>
    <w:rsid w:val="00E20A3D"/>
    <w:rsid w:val="00E20A77"/>
    <w:rsid w:val="00E20AA0"/>
    <w:rsid w:val="00E20AB5"/>
    <w:rsid w:val="00E20ACA"/>
    <w:rsid w:val="00E20B17"/>
    <w:rsid w:val="00E20B40"/>
    <w:rsid w:val="00E20BD7"/>
    <w:rsid w:val="00E20BD9"/>
    <w:rsid w:val="00E20BDA"/>
    <w:rsid w:val="00E20BE4"/>
    <w:rsid w:val="00E20BEC"/>
    <w:rsid w:val="00E20C18"/>
    <w:rsid w:val="00E20C36"/>
    <w:rsid w:val="00E20C37"/>
    <w:rsid w:val="00E20C54"/>
    <w:rsid w:val="00E20CF8"/>
    <w:rsid w:val="00E20D02"/>
    <w:rsid w:val="00E20D0F"/>
    <w:rsid w:val="00E20D33"/>
    <w:rsid w:val="00E20D35"/>
    <w:rsid w:val="00E20F2E"/>
    <w:rsid w:val="00E20F49"/>
    <w:rsid w:val="00E21074"/>
    <w:rsid w:val="00E21134"/>
    <w:rsid w:val="00E21135"/>
    <w:rsid w:val="00E21191"/>
    <w:rsid w:val="00E2119A"/>
    <w:rsid w:val="00E211B6"/>
    <w:rsid w:val="00E211C0"/>
    <w:rsid w:val="00E211E1"/>
    <w:rsid w:val="00E21221"/>
    <w:rsid w:val="00E2129F"/>
    <w:rsid w:val="00E212D6"/>
    <w:rsid w:val="00E214F3"/>
    <w:rsid w:val="00E21544"/>
    <w:rsid w:val="00E2159C"/>
    <w:rsid w:val="00E21608"/>
    <w:rsid w:val="00E2161A"/>
    <w:rsid w:val="00E216FA"/>
    <w:rsid w:val="00E217CA"/>
    <w:rsid w:val="00E217DC"/>
    <w:rsid w:val="00E21820"/>
    <w:rsid w:val="00E218AA"/>
    <w:rsid w:val="00E218C9"/>
    <w:rsid w:val="00E2190E"/>
    <w:rsid w:val="00E21996"/>
    <w:rsid w:val="00E219E8"/>
    <w:rsid w:val="00E21A21"/>
    <w:rsid w:val="00E21A71"/>
    <w:rsid w:val="00E21AD7"/>
    <w:rsid w:val="00E21AE9"/>
    <w:rsid w:val="00E21AEA"/>
    <w:rsid w:val="00E21B91"/>
    <w:rsid w:val="00E21BEF"/>
    <w:rsid w:val="00E21CA7"/>
    <w:rsid w:val="00E21DCB"/>
    <w:rsid w:val="00E21E7D"/>
    <w:rsid w:val="00E21E80"/>
    <w:rsid w:val="00E21E8A"/>
    <w:rsid w:val="00E21EA2"/>
    <w:rsid w:val="00E21EF6"/>
    <w:rsid w:val="00E21F4C"/>
    <w:rsid w:val="00E21FC8"/>
    <w:rsid w:val="00E21FD8"/>
    <w:rsid w:val="00E22115"/>
    <w:rsid w:val="00E2213F"/>
    <w:rsid w:val="00E221E8"/>
    <w:rsid w:val="00E2223F"/>
    <w:rsid w:val="00E2224D"/>
    <w:rsid w:val="00E222C3"/>
    <w:rsid w:val="00E22393"/>
    <w:rsid w:val="00E223F5"/>
    <w:rsid w:val="00E2249F"/>
    <w:rsid w:val="00E224FB"/>
    <w:rsid w:val="00E22536"/>
    <w:rsid w:val="00E22548"/>
    <w:rsid w:val="00E22577"/>
    <w:rsid w:val="00E225CD"/>
    <w:rsid w:val="00E22622"/>
    <w:rsid w:val="00E2262D"/>
    <w:rsid w:val="00E22664"/>
    <w:rsid w:val="00E2271F"/>
    <w:rsid w:val="00E227E8"/>
    <w:rsid w:val="00E227F4"/>
    <w:rsid w:val="00E22830"/>
    <w:rsid w:val="00E22851"/>
    <w:rsid w:val="00E22872"/>
    <w:rsid w:val="00E2289A"/>
    <w:rsid w:val="00E2290F"/>
    <w:rsid w:val="00E229A4"/>
    <w:rsid w:val="00E229DD"/>
    <w:rsid w:val="00E22A91"/>
    <w:rsid w:val="00E22AC2"/>
    <w:rsid w:val="00E22AF5"/>
    <w:rsid w:val="00E22BD9"/>
    <w:rsid w:val="00E22C12"/>
    <w:rsid w:val="00E22C79"/>
    <w:rsid w:val="00E22C81"/>
    <w:rsid w:val="00E22D54"/>
    <w:rsid w:val="00E22D70"/>
    <w:rsid w:val="00E22D73"/>
    <w:rsid w:val="00E22E00"/>
    <w:rsid w:val="00E22E49"/>
    <w:rsid w:val="00E22E4E"/>
    <w:rsid w:val="00E22E6F"/>
    <w:rsid w:val="00E22EF8"/>
    <w:rsid w:val="00E22F15"/>
    <w:rsid w:val="00E22F3F"/>
    <w:rsid w:val="00E22F5D"/>
    <w:rsid w:val="00E22F76"/>
    <w:rsid w:val="00E22FA2"/>
    <w:rsid w:val="00E22FB5"/>
    <w:rsid w:val="00E22FC4"/>
    <w:rsid w:val="00E23019"/>
    <w:rsid w:val="00E2308E"/>
    <w:rsid w:val="00E230AD"/>
    <w:rsid w:val="00E23106"/>
    <w:rsid w:val="00E2310A"/>
    <w:rsid w:val="00E231A2"/>
    <w:rsid w:val="00E2326C"/>
    <w:rsid w:val="00E2333A"/>
    <w:rsid w:val="00E23403"/>
    <w:rsid w:val="00E234A8"/>
    <w:rsid w:val="00E234E1"/>
    <w:rsid w:val="00E23583"/>
    <w:rsid w:val="00E2358C"/>
    <w:rsid w:val="00E2359D"/>
    <w:rsid w:val="00E235AF"/>
    <w:rsid w:val="00E23604"/>
    <w:rsid w:val="00E2360F"/>
    <w:rsid w:val="00E236B5"/>
    <w:rsid w:val="00E236DC"/>
    <w:rsid w:val="00E23772"/>
    <w:rsid w:val="00E237AE"/>
    <w:rsid w:val="00E238D2"/>
    <w:rsid w:val="00E238F5"/>
    <w:rsid w:val="00E23912"/>
    <w:rsid w:val="00E239AD"/>
    <w:rsid w:val="00E23A83"/>
    <w:rsid w:val="00E23C86"/>
    <w:rsid w:val="00E23CB9"/>
    <w:rsid w:val="00E23CE1"/>
    <w:rsid w:val="00E23CF6"/>
    <w:rsid w:val="00E23CF8"/>
    <w:rsid w:val="00E23D01"/>
    <w:rsid w:val="00E23D1B"/>
    <w:rsid w:val="00E23D20"/>
    <w:rsid w:val="00E23EB0"/>
    <w:rsid w:val="00E23EB1"/>
    <w:rsid w:val="00E23EBA"/>
    <w:rsid w:val="00E23EBD"/>
    <w:rsid w:val="00E23F0A"/>
    <w:rsid w:val="00E23FF2"/>
    <w:rsid w:val="00E2405E"/>
    <w:rsid w:val="00E2406F"/>
    <w:rsid w:val="00E240B3"/>
    <w:rsid w:val="00E240E5"/>
    <w:rsid w:val="00E240E8"/>
    <w:rsid w:val="00E24115"/>
    <w:rsid w:val="00E2413C"/>
    <w:rsid w:val="00E241BA"/>
    <w:rsid w:val="00E2420B"/>
    <w:rsid w:val="00E2427A"/>
    <w:rsid w:val="00E242CB"/>
    <w:rsid w:val="00E2433C"/>
    <w:rsid w:val="00E24342"/>
    <w:rsid w:val="00E243DE"/>
    <w:rsid w:val="00E243E3"/>
    <w:rsid w:val="00E24426"/>
    <w:rsid w:val="00E2442B"/>
    <w:rsid w:val="00E244A5"/>
    <w:rsid w:val="00E244D4"/>
    <w:rsid w:val="00E244D7"/>
    <w:rsid w:val="00E24503"/>
    <w:rsid w:val="00E24569"/>
    <w:rsid w:val="00E2456D"/>
    <w:rsid w:val="00E2459E"/>
    <w:rsid w:val="00E245F6"/>
    <w:rsid w:val="00E24632"/>
    <w:rsid w:val="00E24633"/>
    <w:rsid w:val="00E24663"/>
    <w:rsid w:val="00E24709"/>
    <w:rsid w:val="00E247A5"/>
    <w:rsid w:val="00E247C8"/>
    <w:rsid w:val="00E24876"/>
    <w:rsid w:val="00E248A7"/>
    <w:rsid w:val="00E248B8"/>
    <w:rsid w:val="00E24905"/>
    <w:rsid w:val="00E2492B"/>
    <w:rsid w:val="00E2493B"/>
    <w:rsid w:val="00E2494A"/>
    <w:rsid w:val="00E2499C"/>
    <w:rsid w:val="00E249CE"/>
    <w:rsid w:val="00E24A55"/>
    <w:rsid w:val="00E24AEE"/>
    <w:rsid w:val="00E24B40"/>
    <w:rsid w:val="00E24B66"/>
    <w:rsid w:val="00E24C4E"/>
    <w:rsid w:val="00E24D32"/>
    <w:rsid w:val="00E24D52"/>
    <w:rsid w:val="00E24E5B"/>
    <w:rsid w:val="00E24ED4"/>
    <w:rsid w:val="00E24EFF"/>
    <w:rsid w:val="00E24F78"/>
    <w:rsid w:val="00E24F7C"/>
    <w:rsid w:val="00E24FF9"/>
    <w:rsid w:val="00E25007"/>
    <w:rsid w:val="00E2501C"/>
    <w:rsid w:val="00E25035"/>
    <w:rsid w:val="00E2503C"/>
    <w:rsid w:val="00E250D4"/>
    <w:rsid w:val="00E251E2"/>
    <w:rsid w:val="00E25226"/>
    <w:rsid w:val="00E252EA"/>
    <w:rsid w:val="00E252FA"/>
    <w:rsid w:val="00E2530E"/>
    <w:rsid w:val="00E25326"/>
    <w:rsid w:val="00E2543E"/>
    <w:rsid w:val="00E25476"/>
    <w:rsid w:val="00E25563"/>
    <w:rsid w:val="00E255F1"/>
    <w:rsid w:val="00E256B5"/>
    <w:rsid w:val="00E2572F"/>
    <w:rsid w:val="00E257A6"/>
    <w:rsid w:val="00E257BB"/>
    <w:rsid w:val="00E25826"/>
    <w:rsid w:val="00E258B2"/>
    <w:rsid w:val="00E25976"/>
    <w:rsid w:val="00E25983"/>
    <w:rsid w:val="00E259B6"/>
    <w:rsid w:val="00E259EF"/>
    <w:rsid w:val="00E25A13"/>
    <w:rsid w:val="00E25AC1"/>
    <w:rsid w:val="00E25ADB"/>
    <w:rsid w:val="00E25B0A"/>
    <w:rsid w:val="00E25B85"/>
    <w:rsid w:val="00E25C15"/>
    <w:rsid w:val="00E25C42"/>
    <w:rsid w:val="00E25C99"/>
    <w:rsid w:val="00E25CA3"/>
    <w:rsid w:val="00E25E34"/>
    <w:rsid w:val="00E25F91"/>
    <w:rsid w:val="00E25FF0"/>
    <w:rsid w:val="00E25FFE"/>
    <w:rsid w:val="00E2606D"/>
    <w:rsid w:val="00E260B1"/>
    <w:rsid w:val="00E26146"/>
    <w:rsid w:val="00E26170"/>
    <w:rsid w:val="00E261D7"/>
    <w:rsid w:val="00E26365"/>
    <w:rsid w:val="00E26373"/>
    <w:rsid w:val="00E263CC"/>
    <w:rsid w:val="00E2643A"/>
    <w:rsid w:val="00E26446"/>
    <w:rsid w:val="00E26466"/>
    <w:rsid w:val="00E2646E"/>
    <w:rsid w:val="00E26548"/>
    <w:rsid w:val="00E2658A"/>
    <w:rsid w:val="00E266CC"/>
    <w:rsid w:val="00E266F8"/>
    <w:rsid w:val="00E2670E"/>
    <w:rsid w:val="00E2673D"/>
    <w:rsid w:val="00E26745"/>
    <w:rsid w:val="00E267E8"/>
    <w:rsid w:val="00E26864"/>
    <w:rsid w:val="00E268D3"/>
    <w:rsid w:val="00E268E1"/>
    <w:rsid w:val="00E26929"/>
    <w:rsid w:val="00E269AD"/>
    <w:rsid w:val="00E269BD"/>
    <w:rsid w:val="00E269DF"/>
    <w:rsid w:val="00E269F1"/>
    <w:rsid w:val="00E269FA"/>
    <w:rsid w:val="00E26A0F"/>
    <w:rsid w:val="00E26A17"/>
    <w:rsid w:val="00E26A19"/>
    <w:rsid w:val="00E26B14"/>
    <w:rsid w:val="00E26C73"/>
    <w:rsid w:val="00E26D93"/>
    <w:rsid w:val="00E26D99"/>
    <w:rsid w:val="00E26DB8"/>
    <w:rsid w:val="00E26E07"/>
    <w:rsid w:val="00E26E54"/>
    <w:rsid w:val="00E26E68"/>
    <w:rsid w:val="00E26F27"/>
    <w:rsid w:val="00E26F82"/>
    <w:rsid w:val="00E26FD7"/>
    <w:rsid w:val="00E26FF8"/>
    <w:rsid w:val="00E27001"/>
    <w:rsid w:val="00E27079"/>
    <w:rsid w:val="00E270E3"/>
    <w:rsid w:val="00E270EE"/>
    <w:rsid w:val="00E270FA"/>
    <w:rsid w:val="00E2715A"/>
    <w:rsid w:val="00E27205"/>
    <w:rsid w:val="00E2720A"/>
    <w:rsid w:val="00E2721D"/>
    <w:rsid w:val="00E27263"/>
    <w:rsid w:val="00E27320"/>
    <w:rsid w:val="00E2732C"/>
    <w:rsid w:val="00E27364"/>
    <w:rsid w:val="00E273AB"/>
    <w:rsid w:val="00E27421"/>
    <w:rsid w:val="00E27515"/>
    <w:rsid w:val="00E275A3"/>
    <w:rsid w:val="00E275DD"/>
    <w:rsid w:val="00E27632"/>
    <w:rsid w:val="00E276AD"/>
    <w:rsid w:val="00E276BB"/>
    <w:rsid w:val="00E27707"/>
    <w:rsid w:val="00E2771A"/>
    <w:rsid w:val="00E27748"/>
    <w:rsid w:val="00E277D9"/>
    <w:rsid w:val="00E2786E"/>
    <w:rsid w:val="00E2789C"/>
    <w:rsid w:val="00E27984"/>
    <w:rsid w:val="00E27AC4"/>
    <w:rsid w:val="00E27B11"/>
    <w:rsid w:val="00E27B14"/>
    <w:rsid w:val="00E27B3E"/>
    <w:rsid w:val="00E27B4F"/>
    <w:rsid w:val="00E27BCC"/>
    <w:rsid w:val="00E27C58"/>
    <w:rsid w:val="00E27CCD"/>
    <w:rsid w:val="00E27D4C"/>
    <w:rsid w:val="00E27DA2"/>
    <w:rsid w:val="00E27DCB"/>
    <w:rsid w:val="00E27DEF"/>
    <w:rsid w:val="00E27E20"/>
    <w:rsid w:val="00E27E2A"/>
    <w:rsid w:val="00E27E9A"/>
    <w:rsid w:val="00E27EAF"/>
    <w:rsid w:val="00E27EF7"/>
    <w:rsid w:val="00E27F0B"/>
    <w:rsid w:val="00E3001B"/>
    <w:rsid w:val="00E3002C"/>
    <w:rsid w:val="00E300A0"/>
    <w:rsid w:val="00E300F5"/>
    <w:rsid w:val="00E30109"/>
    <w:rsid w:val="00E3012F"/>
    <w:rsid w:val="00E30138"/>
    <w:rsid w:val="00E301F6"/>
    <w:rsid w:val="00E302A8"/>
    <w:rsid w:val="00E302E4"/>
    <w:rsid w:val="00E30300"/>
    <w:rsid w:val="00E3034A"/>
    <w:rsid w:val="00E3034E"/>
    <w:rsid w:val="00E3035B"/>
    <w:rsid w:val="00E303AD"/>
    <w:rsid w:val="00E303E8"/>
    <w:rsid w:val="00E3046B"/>
    <w:rsid w:val="00E3048D"/>
    <w:rsid w:val="00E304ED"/>
    <w:rsid w:val="00E304F5"/>
    <w:rsid w:val="00E30620"/>
    <w:rsid w:val="00E30626"/>
    <w:rsid w:val="00E30663"/>
    <w:rsid w:val="00E3071C"/>
    <w:rsid w:val="00E30817"/>
    <w:rsid w:val="00E3083F"/>
    <w:rsid w:val="00E3087C"/>
    <w:rsid w:val="00E30893"/>
    <w:rsid w:val="00E308FE"/>
    <w:rsid w:val="00E30958"/>
    <w:rsid w:val="00E30967"/>
    <w:rsid w:val="00E309E4"/>
    <w:rsid w:val="00E309FE"/>
    <w:rsid w:val="00E30A55"/>
    <w:rsid w:val="00E30AAA"/>
    <w:rsid w:val="00E30B98"/>
    <w:rsid w:val="00E30D02"/>
    <w:rsid w:val="00E30D63"/>
    <w:rsid w:val="00E30D6F"/>
    <w:rsid w:val="00E30E42"/>
    <w:rsid w:val="00E30E91"/>
    <w:rsid w:val="00E30F39"/>
    <w:rsid w:val="00E30FF2"/>
    <w:rsid w:val="00E31063"/>
    <w:rsid w:val="00E31086"/>
    <w:rsid w:val="00E3109C"/>
    <w:rsid w:val="00E310D8"/>
    <w:rsid w:val="00E310E6"/>
    <w:rsid w:val="00E31141"/>
    <w:rsid w:val="00E311B7"/>
    <w:rsid w:val="00E311EA"/>
    <w:rsid w:val="00E3121D"/>
    <w:rsid w:val="00E31266"/>
    <w:rsid w:val="00E31280"/>
    <w:rsid w:val="00E31298"/>
    <w:rsid w:val="00E312AD"/>
    <w:rsid w:val="00E312CF"/>
    <w:rsid w:val="00E31377"/>
    <w:rsid w:val="00E3144C"/>
    <w:rsid w:val="00E31551"/>
    <w:rsid w:val="00E3155E"/>
    <w:rsid w:val="00E31694"/>
    <w:rsid w:val="00E3172E"/>
    <w:rsid w:val="00E317D6"/>
    <w:rsid w:val="00E3180C"/>
    <w:rsid w:val="00E31810"/>
    <w:rsid w:val="00E319E6"/>
    <w:rsid w:val="00E31B23"/>
    <w:rsid w:val="00E31B25"/>
    <w:rsid w:val="00E31C94"/>
    <w:rsid w:val="00E31CEE"/>
    <w:rsid w:val="00E31DFC"/>
    <w:rsid w:val="00E31E17"/>
    <w:rsid w:val="00E31E92"/>
    <w:rsid w:val="00E31E97"/>
    <w:rsid w:val="00E31F14"/>
    <w:rsid w:val="00E31F19"/>
    <w:rsid w:val="00E31F75"/>
    <w:rsid w:val="00E31FAE"/>
    <w:rsid w:val="00E32036"/>
    <w:rsid w:val="00E320F8"/>
    <w:rsid w:val="00E32124"/>
    <w:rsid w:val="00E32146"/>
    <w:rsid w:val="00E32173"/>
    <w:rsid w:val="00E321AC"/>
    <w:rsid w:val="00E32259"/>
    <w:rsid w:val="00E32260"/>
    <w:rsid w:val="00E3226A"/>
    <w:rsid w:val="00E3235D"/>
    <w:rsid w:val="00E323B1"/>
    <w:rsid w:val="00E3244E"/>
    <w:rsid w:val="00E3246D"/>
    <w:rsid w:val="00E324B9"/>
    <w:rsid w:val="00E324DA"/>
    <w:rsid w:val="00E3259A"/>
    <w:rsid w:val="00E325DB"/>
    <w:rsid w:val="00E32605"/>
    <w:rsid w:val="00E3265B"/>
    <w:rsid w:val="00E32699"/>
    <w:rsid w:val="00E32752"/>
    <w:rsid w:val="00E328D0"/>
    <w:rsid w:val="00E329AD"/>
    <w:rsid w:val="00E32A8D"/>
    <w:rsid w:val="00E32AA1"/>
    <w:rsid w:val="00E32B71"/>
    <w:rsid w:val="00E32B7F"/>
    <w:rsid w:val="00E32B80"/>
    <w:rsid w:val="00E32C0A"/>
    <w:rsid w:val="00E32C0D"/>
    <w:rsid w:val="00E32CC8"/>
    <w:rsid w:val="00E32DC1"/>
    <w:rsid w:val="00E32DF8"/>
    <w:rsid w:val="00E32FB4"/>
    <w:rsid w:val="00E33002"/>
    <w:rsid w:val="00E330A0"/>
    <w:rsid w:val="00E330E1"/>
    <w:rsid w:val="00E33180"/>
    <w:rsid w:val="00E331A3"/>
    <w:rsid w:val="00E331C5"/>
    <w:rsid w:val="00E3322E"/>
    <w:rsid w:val="00E332E8"/>
    <w:rsid w:val="00E333BE"/>
    <w:rsid w:val="00E333E3"/>
    <w:rsid w:val="00E33461"/>
    <w:rsid w:val="00E334EE"/>
    <w:rsid w:val="00E33513"/>
    <w:rsid w:val="00E33548"/>
    <w:rsid w:val="00E3356F"/>
    <w:rsid w:val="00E33597"/>
    <w:rsid w:val="00E336DC"/>
    <w:rsid w:val="00E33758"/>
    <w:rsid w:val="00E3377A"/>
    <w:rsid w:val="00E33813"/>
    <w:rsid w:val="00E338A7"/>
    <w:rsid w:val="00E338CC"/>
    <w:rsid w:val="00E338F6"/>
    <w:rsid w:val="00E338F8"/>
    <w:rsid w:val="00E33972"/>
    <w:rsid w:val="00E33976"/>
    <w:rsid w:val="00E33989"/>
    <w:rsid w:val="00E339B4"/>
    <w:rsid w:val="00E33A13"/>
    <w:rsid w:val="00E33A26"/>
    <w:rsid w:val="00E33A3D"/>
    <w:rsid w:val="00E33A87"/>
    <w:rsid w:val="00E33B61"/>
    <w:rsid w:val="00E33B7B"/>
    <w:rsid w:val="00E33BE5"/>
    <w:rsid w:val="00E33BF6"/>
    <w:rsid w:val="00E33CAB"/>
    <w:rsid w:val="00E33D2F"/>
    <w:rsid w:val="00E33D7C"/>
    <w:rsid w:val="00E33DB3"/>
    <w:rsid w:val="00E33E44"/>
    <w:rsid w:val="00E33E58"/>
    <w:rsid w:val="00E33F4B"/>
    <w:rsid w:val="00E33F80"/>
    <w:rsid w:val="00E3410A"/>
    <w:rsid w:val="00E341AB"/>
    <w:rsid w:val="00E341DF"/>
    <w:rsid w:val="00E3425C"/>
    <w:rsid w:val="00E34270"/>
    <w:rsid w:val="00E343FF"/>
    <w:rsid w:val="00E34445"/>
    <w:rsid w:val="00E3444B"/>
    <w:rsid w:val="00E34465"/>
    <w:rsid w:val="00E34555"/>
    <w:rsid w:val="00E34561"/>
    <w:rsid w:val="00E345A4"/>
    <w:rsid w:val="00E34602"/>
    <w:rsid w:val="00E34669"/>
    <w:rsid w:val="00E3471B"/>
    <w:rsid w:val="00E34741"/>
    <w:rsid w:val="00E34781"/>
    <w:rsid w:val="00E3482F"/>
    <w:rsid w:val="00E3489C"/>
    <w:rsid w:val="00E348E8"/>
    <w:rsid w:val="00E348E9"/>
    <w:rsid w:val="00E34995"/>
    <w:rsid w:val="00E34A44"/>
    <w:rsid w:val="00E34AED"/>
    <w:rsid w:val="00E34AFB"/>
    <w:rsid w:val="00E34B65"/>
    <w:rsid w:val="00E34C10"/>
    <w:rsid w:val="00E34C40"/>
    <w:rsid w:val="00E34CE2"/>
    <w:rsid w:val="00E34D9B"/>
    <w:rsid w:val="00E34DA2"/>
    <w:rsid w:val="00E34E00"/>
    <w:rsid w:val="00E34E09"/>
    <w:rsid w:val="00E34E5C"/>
    <w:rsid w:val="00E34E66"/>
    <w:rsid w:val="00E34E9D"/>
    <w:rsid w:val="00E34EB1"/>
    <w:rsid w:val="00E34EE4"/>
    <w:rsid w:val="00E34F02"/>
    <w:rsid w:val="00E34F1D"/>
    <w:rsid w:val="00E34F3B"/>
    <w:rsid w:val="00E34F94"/>
    <w:rsid w:val="00E34FAD"/>
    <w:rsid w:val="00E34FD2"/>
    <w:rsid w:val="00E34FD7"/>
    <w:rsid w:val="00E35129"/>
    <w:rsid w:val="00E35216"/>
    <w:rsid w:val="00E3522E"/>
    <w:rsid w:val="00E352D8"/>
    <w:rsid w:val="00E353CF"/>
    <w:rsid w:val="00E3546D"/>
    <w:rsid w:val="00E35501"/>
    <w:rsid w:val="00E35523"/>
    <w:rsid w:val="00E35534"/>
    <w:rsid w:val="00E35549"/>
    <w:rsid w:val="00E3556F"/>
    <w:rsid w:val="00E355C0"/>
    <w:rsid w:val="00E35629"/>
    <w:rsid w:val="00E3564F"/>
    <w:rsid w:val="00E3568E"/>
    <w:rsid w:val="00E356C1"/>
    <w:rsid w:val="00E3570D"/>
    <w:rsid w:val="00E35726"/>
    <w:rsid w:val="00E357F1"/>
    <w:rsid w:val="00E35869"/>
    <w:rsid w:val="00E358C9"/>
    <w:rsid w:val="00E35963"/>
    <w:rsid w:val="00E359BC"/>
    <w:rsid w:val="00E35AA7"/>
    <w:rsid w:val="00E35C57"/>
    <w:rsid w:val="00E35C64"/>
    <w:rsid w:val="00E35D76"/>
    <w:rsid w:val="00E35DDE"/>
    <w:rsid w:val="00E35E6A"/>
    <w:rsid w:val="00E35E77"/>
    <w:rsid w:val="00E35F38"/>
    <w:rsid w:val="00E35F5A"/>
    <w:rsid w:val="00E35FD6"/>
    <w:rsid w:val="00E3604D"/>
    <w:rsid w:val="00E36052"/>
    <w:rsid w:val="00E36093"/>
    <w:rsid w:val="00E360E2"/>
    <w:rsid w:val="00E361B0"/>
    <w:rsid w:val="00E362ED"/>
    <w:rsid w:val="00E362F1"/>
    <w:rsid w:val="00E36361"/>
    <w:rsid w:val="00E363A0"/>
    <w:rsid w:val="00E363B4"/>
    <w:rsid w:val="00E36426"/>
    <w:rsid w:val="00E36438"/>
    <w:rsid w:val="00E3648A"/>
    <w:rsid w:val="00E364E3"/>
    <w:rsid w:val="00E3651E"/>
    <w:rsid w:val="00E3653B"/>
    <w:rsid w:val="00E36665"/>
    <w:rsid w:val="00E367BF"/>
    <w:rsid w:val="00E367EB"/>
    <w:rsid w:val="00E367F3"/>
    <w:rsid w:val="00E367FB"/>
    <w:rsid w:val="00E36890"/>
    <w:rsid w:val="00E368A5"/>
    <w:rsid w:val="00E368AB"/>
    <w:rsid w:val="00E3692E"/>
    <w:rsid w:val="00E36941"/>
    <w:rsid w:val="00E3696C"/>
    <w:rsid w:val="00E36979"/>
    <w:rsid w:val="00E36982"/>
    <w:rsid w:val="00E3698D"/>
    <w:rsid w:val="00E369A6"/>
    <w:rsid w:val="00E369B1"/>
    <w:rsid w:val="00E369B2"/>
    <w:rsid w:val="00E369C7"/>
    <w:rsid w:val="00E36A43"/>
    <w:rsid w:val="00E36AC5"/>
    <w:rsid w:val="00E36ACF"/>
    <w:rsid w:val="00E36AF8"/>
    <w:rsid w:val="00E36B5F"/>
    <w:rsid w:val="00E36B6D"/>
    <w:rsid w:val="00E36B93"/>
    <w:rsid w:val="00E36C10"/>
    <w:rsid w:val="00E36C3F"/>
    <w:rsid w:val="00E36C48"/>
    <w:rsid w:val="00E36C4A"/>
    <w:rsid w:val="00E36C4E"/>
    <w:rsid w:val="00E36C64"/>
    <w:rsid w:val="00E36CA6"/>
    <w:rsid w:val="00E36D5C"/>
    <w:rsid w:val="00E36DD0"/>
    <w:rsid w:val="00E36DF6"/>
    <w:rsid w:val="00E36E0B"/>
    <w:rsid w:val="00E36E39"/>
    <w:rsid w:val="00E36E4A"/>
    <w:rsid w:val="00E36EEB"/>
    <w:rsid w:val="00E36F0A"/>
    <w:rsid w:val="00E36F10"/>
    <w:rsid w:val="00E36F5F"/>
    <w:rsid w:val="00E36F85"/>
    <w:rsid w:val="00E36FD8"/>
    <w:rsid w:val="00E3700F"/>
    <w:rsid w:val="00E37018"/>
    <w:rsid w:val="00E3701B"/>
    <w:rsid w:val="00E37035"/>
    <w:rsid w:val="00E37067"/>
    <w:rsid w:val="00E37073"/>
    <w:rsid w:val="00E37102"/>
    <w:rsid w:val="00E3711C"/>
    <w:rsid w:val="00E3718D"/>
    <w:rsid w:val="00E371B4"/>
    <w:rsid w:val="00E371C4"/>
    <w:rsid w:val="00E37272"/>
    <w:rsid w:val="00E37366"/>
    <w:rsid w:val="00E373DE"/>
    <w:rsid w:val="00E3742A"/>
    <w:rsid w:val="00E37443"/>
    <w:rsid w:val="00E37462"/>
    <w:rsid w:val="00E37467"/>
    <w:rsid w:val="00E37472"/>
    <w:rsid w:val="00E374A4"/>
    <w:rsid w:val="00E374A7"/>
    <w:rsid w:val="00E374DA"/>
    <w:rsid w:val="00E374FA"/>
    <w:rsid w:val="00E37580"/>
    <w:rsid w:val="00E3758D"/>
    <w:rsid w:val="00E37694"/>
    <w:rsid w:val="00E376EF"/>
    <w:rsid w:val="00E376F9"/>
    <w:rsid w:val="00E37750"/>
    <w:rsid w:val="00E37773"/>
    <w:rsid w:val="00E37804"/>
    <w:rsid w:val="00E378A7"/>
    <w:rsid w:val="00E37928"/>
    <w:rsid w:val="00E37929"/>
    <w:rsid w:val="00E37937"/>
    <w:rsid w:val="00E3796C"/>
    <w:rsid w:val="00E37A40"/>
    <w:rsid w:val="00E37A92"/>
    <w:rsid w:val="00E37A96"/>
    <w:rsid w:val="00E37AA2"/>
    <w:rsid w:val="00E37AB4"/>
    <w:rsid w:val="00E37B14"/>
    <w:rsid w:val="00E37B25"/>
    <w:rsid w:val="00E37C85"/>
    <w:rsid w:val="00E37C9B"/>
    <w:rsid w:val="00E37CCA"/>
    <w:rsid w:val="00E37CEB"/>
    <w:rsid w:val="00E37CFD"/>
    <w:rsid w:val="00E37D4A"/>
    <w:rsid w:val="00E37DA1"/>
    <w:rsid w:val="00E37DB3"/>
    <w:rsid w:val="00E37E6B"/>
    <w:rsid w:val="00E37E8B"/>
    <w:rsid w:val="00E37E90"/>
    <w:rsid w:val="00E37EAF"/>
    <w:rsid w:val="00E37EC3"/>
    <w:rsid w:val="00E37FFB"/>
    <w:rsid w:val="00E3EB82"/>
    <w:rsid w:val="00E4000E"/>
    <w:rsid w:val="00E40038"/>
    <w:rsid w:val="00E40101"/>
    <w:rsid w:val="00E4013F"/>
    <w:rsid w:val="00E40159"/>
    <w:rsid w:val="00E401A4"/>
    <w:rsid w:val="00E4023E"/>
    <w:rsid w:val="00E402A5"/>
    <w:rsid w:val="00E402AF"/>
    <w:rsid w:val="00E40302"/>
    <w:rsid w:val="00E40314"/>
    <w:rsid w:val="00E40465"/>
    <w:rsid w:val="00E404C4"/>
    <w:rsid w:val="00E405AA"/>
    <w:rsid w:val="00E40639"/>
    <w:rsid w:val="00E40642"/>
    <w:rsid w:val="00E4065D"/>
    <w:rsid w:val="00E40809"/>
    <w:rsid w:val="00E4083D"/>
    <w:rsid w:val="00E408CB"/>
    <w:rsid w:val="00E408E1"/>
    <w:rsid w:val="00E409AD"/>
    <w:rsid w:val="00E409B0"/>
    <w:rsid w:val="00E40A58"/>
    <w:rsid w:val="00E40A7F"/>
    <w:rsid w:val="00E40B11"/>
    <w:rsid w:val="00E40B19"/>
    <w:rsid w:val="00E40B31"/>
    <w:rsid w:val="00E40C43"/>
    <w:rsid w:val="00E40C46"/>
    <w:rsid w:val="00E40C54"/>
    <w:rsid w:val="00E40C92"/>
    <w:rsid w:val="00E40CDA"/>
    <w:rsid w:val="00E40D33"/>
    <w:rsid w:val="00E40D84"/>
    <w:rsid w:val="00E40E26"/>
    <w:rsid w:val="00E40E90"/>
    <w:rsid w:val="00E40EA6"/>
    <w:rsid w:val="00E40EF1"/>
    <w:rsid w:val="00E40F12"/>
    <w:rsid w:val="00E40F69"/>
    <w:rsid w:val="00E4109A"/>
    <w:rsid w:val="00E410C3"/>
    <w:rsid w:val="00E4113D"/>
    <w:rsid w:val="00E4116B"/>
    <w:rsid w:val="00E41292"/>
    <w:rsid w:val="00E4133E"/>
    <w:rsid w:val="00E413B1"/>
    <w:rsid w:val="00E413CF"/>
    <w:rsid w:val="00E4143B"/>
    <w:rsid w:val="00E4144C"/>
    <w:rsid w:val="00E4154E"/>
    <w:rsid w:val="00E41567"/>
    <w:rsid w:val="00E41598"/>
    <w:rsid w:val="00E415BA"/>
    <w:rsid w:val="00E415C2"/>
    <w:rsid w:val="00E41705"/>
    <w:rsid w:val="00E4173C"/>
    <w:rsid w:val="00E4173E"/>
    <w:rsid w:val="00E4174B"/>
    <w:rsid w:val="00E41750"/>
    <w:rsid w:val="00E4178C"/>
    <w:rsid w:val="00E418E7"/>
    <w:rsid w:val="00E41947"/>
    <w:rsid w:val="00E419A4"/>
    <w:rsid w:val="00E419B0"/>
    <w:rsid w:val="00E41A2B"/>
    <w:rsid w:val="00E41A55"/>
    <w:rsid w:val="00E41ABF"/>
    <w:rsid w:val="00E41ADB"/>
    <w:rsid w:val="00E41B96"/>
    <w:rsid w:val="00E41BAF"/>
    <w:rsid w:val="00E41BB4"/>
    <w:rsid w:val="00E41BCA"/>
    <w:rsid w:val="00E41C5F"/>
    <w:rsid w:val="00E41C7A"/>
    <w:rsid w:val="00E41CBD"/>
    <w:rsid w:val="00E41CCB"/>
    <w:rsid w:val="00E41D70"/>
    <w:rsid w:val="00E41E38"/>
    <w:rsid w:val="00E41E67"/>
    <w:rsid w:val="00E41EFA"/>
    <w:rsid w:val="00E41F01"/>
    <w:rsid w:val="00E42024"/>
    <w:rsid w:val="00E4202E"/>
    <w:rsid w:val="00E4208F"/>
    <w:rsid w:val="00E42097"/>
    <w:rsid w:val="00E420CE"/>
    <w:rsid w:val="00E42178"/>
    <w:rsid w:val="00E4219F"/>
    <w:rsid w:val="00E421A9"/>
    <w:rsid w:val="00E421E2"/>
    <w:rsid w:val="00E4228E"/>
    <w:rsid w:val="00E422B7"/>
    <w:rsid w:val="00E4235A"/>
    <w:rsid w:val="00E4235B"/>
    <w:rsid w:val="00E4238D"/>
    <w:rsid w:val="00E423DE"/>
    <w:rsid w:val="00E42486"/>
    <w:rsid w:val="00E424CD"/>
    <w:rsid w:val="00E424E5"/>
    <w:rsid w:val="00E42537"/>
    <w:rsid w:val="00E4254B"/>
    <w:rsid w:val="00E42566"/>
    <w:rsid w:val="00E4256B"/>
    <w:rsid w:val="00E4259F"/>
    <w:rsid w:val="00E425F5"/>
    <w:rsid w:val="00E42609"/>
    <w:rsid w:val="00E426CB"/>
    <w:rsid w:val="00E426CF"/>
    <w:rsid w:val="00E42765"/>
    <w:rsid w:val="00E428CD"/>
    <w:rsid w:val="00E428D9"/>
    <w:rsid w:val="00E42936"/>
    <w:rsid w:val="00E42AD0"/>
    <w:rsid w:val="00E42B79"/>
    <w:rsid w:val="00E42C0E"/>
    <w:rsid w:val="00E42C8B"/>
    <w:rsid w:val="00E42CAA"/>
    <w:rsid w:val="00E42CB0"/>
    <w:rsid w:val="00E42CD2"/>
    <w:rsid w:val="00E42CD3"/>
    <w:rsid w:val="00E42CF0"/>
    <w:rsid w:val="00E42D56"/>
    <w:rsid w:val="00E42EB1"/>
    <w:rsid w:val="00E42EDC"/>
    <w:rsid w:val="00E42F18"/>
    <w:rsid w:val="00E42F49"/>
    <w:rsid w:val="00E42F54"/>
    <w:rsid w:val="00E42F5D"/>
    <w:rsid w:val="00E42F85"/>
    <w:rsid w:val="00E42F9C"/>
    <w:rsid w:val="00E42FB8"/>
    <w:rsid w:val="00E43059"/>
    <w:rsid w:val="00E43060"/>
    <w:rsid w:val="00E430C7"/>
    <w:rsid w:val="00E430ED"/>
    <w:rsid w:val="00E43125"/>
    <w:rsid w:val="00E43198"/>
    <w:rsid w:val="00E431E9"/>
    <w:rsid w:val="00E432EF"/>
    <w:rsid w:val="00E4332B"/>
    <w:rsid w:val="00E43333"/>
    <w:rsid w:val="00E4333C"/>
    <w:rsid w:val="00E43365"/>
    <w:rsid w:val="00E434C9"/>
    <w:rsid w:val="00E4352C"/>
    <w:rsid w:val="00E4356A"/>
    <w:rsid w:val="00E435AA"/>
    <w:rsid w:val="00E435D9"/>
    <w:rsid w:val="00E43678"/>
    <w:rsid w:val="00E436B4"/>
    <w:rsid w:val="00E4380A"/>
    <w:rsid w:val="00E43848"/>
    <w:rsid w:val="00E4384F"/>
    <w:rsid w:val="00E43887"/>
    <w:rsid w:val="00E438A0"/>
    <w:rsid w:val="00E439A9"/>
    <w:rsid w:val="00E439BD"/>
    <w:rsid w:val="00E439DE"/>
    <w:rsid w:val="00E43ABA"/>
    <w:rsid w:val="00E43B16"/>
    <w:rsid w:val="00E43B37"/>
    <w:rsid w:val="00E43B77"/>
    <w:rsid w:val="00E43BD2"/>
    <w:rsid w:val="00E43C03"/>
    <w:rsid w:val="00E43C70"/>
    <w:rsid w:val="00E43CAC"/>
    <w:rsid w:val="00E43D6E"/>
    <w:rsid w:val="00E43DC8"/>
    <w:rsid w:val="00E43E12"/>
    <w:rsid w:val="00E43E81"/>
    <w:rsid w:val="00E43EE2"/>
    <w:rsid w:val="00E43EF2"/>
    <w:rsid w:val="00E43FA7"/>
    <w:rsid w:val="00E43FD8"/>
    <w:rsid w:val="00E44032"/>
    <w:rsid w:val="00E440C4"/>
    <w:rsid w:val="00E440D9"/>
    <w:rsid w:val="00E440DD"/>
    <w:rsid w:val="00E440F7"/>
    <w:rsid w:val="00E4412F"/>
    <w:rsid w:val="00E44176"/>
    <w:rsid w:val="00E441B7"/>
    <w:rsid w:val="00E4423C"/>
    <w:rsid w:val="00E44260"/>
    <w:rsid w:val="00E44299"/>
    <w:rsid w:val="00E442E6"/>
    <w:rsid w:val="00E4431E"/>
    <w:rsid w:val="00E44364"/>
    <w:rsid w:val="00E443B9"/>
    <w:rsid w:val="00E443DB"/>
    <w:rsid w:val="00E44405"/>
    <w:rsid w:val="00E44420"/>
    <w:rsid w:val="00E444EC"/>
    <w:rsid w:val="00E44540"/>
    <w:rsid w:val="00E44553"/>
    <w:rsid w:val="00E44631"/>
    <w:rsid w:val="00E4465C"/>
    <w:rsid w:val="00E4468F"/>
    <w:rsid w:val="00E446BD"/>
    <w:rsid w:val="00E44736"/>
    <w:rsid w:val="00E4473E"/>
    <w:rsid w:val="00E447BE"/>
    <w:rsid w:val="00E448C5"/>
    <w:rsid w:val="00E44A15"/>
    <w:rsid w:val="00E44A96"/>
    <w:rsid w:val="00E44B37"/>
    <w:rsid w:val="00E44B41"/>
    <w:rsid w:val="00E44B4D"/>
    <w:rsid w:val="00E44B5B"/>
    <w:rsid w:val="00E44B72"/>
    <w:rsid w:val="00E44B8A"/>
    <w:rsid w:val="00E44BA3"/>
    <w:rsid w:val="00E44BB9"/>
    <w:rsid w:val="00E44D6E"/>
    <w:rsid w:val="00E44DEC"/>
    <w:rsid w:val="00E44E4A"/>
    <w:rsid w:val="00E44E8C"/>
    <w:rsid w:val="00E44EB2"/>
    <w:rsid w:val="00E44F27"/>
    <w:rsid w:val="00E44F44"/>
    <w:rsid w:val="00E44FB4"/>
    <w:rsid w:val="00E45003"/>
    <w:rsid w:val="00E45026"/>
    <w:rsid w:val="00E4507F"/>
    <w:rsid w:val="00E450BD"/>
    <w:rsid w:val="00E45178"/>
    <w:rsid w:val="00E4518B"/>
    <w:rsid w:val="00E452A0"/>
    <w:rsid w:val="00E452D8"/>
    <w:rsid w:val="00E452DF"/>
    <w:rsid w:val="00E45336"/>
    <w:rsid w:val="00E4535F"/>
    <w:rsid w:val="00E4536A"/>
    <w:rsid w:val="00E45446"/>
    <w:rsid w:val="00E45506"/>
    <w:rsid w:val="00E4551C"/>
    <w:rsid w:val="00E45533"/>
    <w:rsid w:val="00E45547"/>
    <w:rsid w:val="00E4554C"/>
    <w:rsid w:val="00E45599"/>
    <w:rsid w:val="00E455D0"/>
    <w:rsid w:val="00E45669"/>
    <w:rsid w:val="00E4566D"/>
    <w:rsid w:val="00E457B9"/>
    <w:rsid w:val="00E45837"/>
    <w:rsid w:val="00E4598B"/>
    <w:rsid w:val="00E459C2"/>
    <w:rsid w:val="00E45A1C"/>
    <w:rsid w:val="00E45A55"/>
    <w:rsid w:val="00E45A56"/>
    <w:rsid w:val="00E45ADD"/>
    <w:rsid w:val="00E45B0C"/>
    <w:rsid w:val="00E45B27"/>
    <w:rsid w:val="00E45B2F"/>
    <w:rsid w:val="00E45B3D"/>
    <w:rsid w:val="00E45BF0"/>
    <w:rsid w:val="00E45C01"/>
    <w:rsid w:val="00E45CB5"/>
    <w:rsid w:val="00E45CD8"/>
    <w:rsid w:val="00E45D51"/>
    <w:rsid w:val="00E45D81"/>
    <w:rsid w:val="00E45DAE"/>
    <w:rsid w:val="00E45DDA"/>
    <w:rsid w:val="00E45EB5"/>
    <w:rsid w:val="00E45ED4"/>
    <w:rsid w:val="00E46020"/>
    <w:rsid w:val="00E46073"/>
    <w:rsid w:val="00E46086"/>
    <w:rsid w:val="00E46093"/>
    <w:rsid w:val="00E4614A"/>
    <w:rsid w:val="00E4614C"/>
    <w:rsid w:val="00E46167"/>
    <w:rsid w:val="00E4625A"/>
    <w:rsid w:val="00E4626D"/>
    <w:rsid w:val="00E4627D"/>
    <w:rsid w:val="00E4632B"/>
    <w:rsid w:val="00E4634D"/>
    <w:rsid w:val="00E46351"/>
    <w:rsid w:val="00E46360"/>
    <w:rsid w:val="00E464C1"/>
    <w:rsid w:val="00E46535"/>
    <w:rsid w:val="00E465D6"/>
    <w:rsid w:val="00E466D0"/>
    <w:rsid w:val="00E46724"/>
    <w:rsid w:val="00E4674A"/>
    <w:rsid w:val="00E467D0"/>
    <w:rsid w:val="00E4684E"/>
    <w:rsid w:val="00E468A8"/>
    <w:rsid w:val="00E46910"/>
    <w:rsid w:val="00E46932"/>
    <w:rsid w:val="00E46954"/>
    <w:rsid w:val="00E46993"/>
    <w:rsid w:val="00E469D0"/>
    <w:rsid w:val="00E469F2"/>
    <w:rsid w:val="00E46A37"/>
    <w:rsid w:val="00E46A6F"/>
    <w:rsid w:val="00E46A99"/>
    <w:rsid w:val="00E46AB8"/>
    <w:rsid w:val="00E46AFE"/>
    <w:rsid w:val="00E46B59"/>
    <w:rsid w:val="00E46C40"/>
    <w:rsid w:val="00E46C46"/>
    <w:rsid w:val="00E46D35"/>
    <w:rsid w:val="00E46D7C"/>
    <w:rsid w:val="00E46DCE"/>
    <w:rsid w:val="00E46DE1"/>
    <w:rsid w:val="00E46E1C"/>
    <w:rsid w:val="00E46EFA"/>
    <w:rsid w:val="00E46F98"/>
    <w:rsid w:val="00E46F9D"/>
    <w:rsid w:val="00E47074"/>
    <w:rsid w:val="00E47081"/>
    <w:rsid w:val="00E470A1"/>
    <w:rsid w:val="00E47101"/>
    <w:rsid w:val="00E4710D"/>
    <w:rsid w:val="00E47227"/>
    <w:rsid w:val="00E4729D"/>
    <w:rsid w:val="00E472BA"/>
    <w:rsid w:val="00E472C5"/>
    <w:rsid w:val="00E472CA"/>
    <w:rsid w:val="00E47328"/>
    <w:rsid w:val="00E4732C"/>
    <w:rsid w:val="00E47344"/>
    <w:rsid w:val="00E473A8"/>
    <w:rsid w:val="00E47402"/>
    <w:rsid w:val="00E4748E"/>
    <w:rsid w:val="00E474C9"/>
    <w:rsid w:val="00E4751B"/>
    <w:rsid w:val="00E47528"/>
    <w:rsid w:val="00E47597"/>
    <w:rsid w:val="00E475B1"/>
    <w:rsid w:val="00E47613"/>
    <w:rsid w:val="00E47625"/>
    <w:rsid w:val="00E4764E"/>
    <w:rsid w:val="00E4765A"/>
    <w:rsid w:val="00E4765B"/>
    <w:rsid w:val="00E476D7"/>
    <w:rsid w:val="00E47781"/>
    <w:rsid w:val="00E47793"/>
    <w:rsid w:val="00E478C9"/>
    <w:rsid w:val="00E4794D"/>
    <w:rsid w:val="00E47981"/>
    <w:rsid w:val="00E479C3"/>
    <w:rsid w:val="00E479C4"/>
    <w:rsid w:val="00E479FA"/>
    <w:rsid w:val="00E47A02"/>
    <w:rsid w:val="00E47A42"/>
    <w:rsid w:val="00E47AB6"/>
    <w:rsid w:val="00E47ADD"/>
    <w:rsid w:val="00E47B57"/>
    <w:rsid w:val="00E47B69"/>
    <w:rsid w:val="00E47B87"/>
    <w:rsid w:val="00E47BF8"/>
    <w:rsid w:val="00E47C25"/>
    <w:rsid w:val="00E47C5F"/>
    <w:rsid w:val="00E47C6D"/>
    <w:rsid w:val="00E47D5A"/>
    <w:rsid w:val="00E47D88"/>
    <w:rsid w:val="00E47DF7"/>
    <w:rsid w:val="00E47E70"/>
    <w:rsid w:val="00E47F90"/>
    <w:rsid w:val="00E47FC7"/>
    <w:rsid w:val="00E50013"/>
    <w:rsid w:val="00E5019F"/>
    <w:rsid w:val="00E501ED"/>
    <w:rsid w:val="00E5022B"/>
    <w:rsid w:val="00E502AA"/>
    <w:rsid w:val="00E503EE"/>
    <w:rsid w:val="00E503F3"/>
    <w:rsid w:val="00E50444"/>
    <w:rsid w:val="00E50461"/>
    <w:rsid w:val="00E50493"/>
    <w:rsid w:val="00E50518"/>
    <w:rsid w:val="00E50529"/>
    <w:rsid w:val="00E505EE"/>
    <w:rsid w:val="00E50638"/>
    <w:rsid w:val="00E506AF"/>
    <w:rsid w:val="00E506B1"/>
    <w:rsid w:val="00E506C7"/>
    <w:rsid w:val="00E506F3"/>
    <w:rsid w:val="00E5075C"/>
    <w:rsid w:val="00E507DC"/>
    <w:rsid w:val="00E5080A"/>
    <w:rsid w:val="00E50891"/>
    <w:rsid w:val="00E50918"/>
    <w:rsid w:val="00E50938"/>
    <w:rsid w:val="00E50946"/>
    <w:rsid w:val="00E50958"/>
    <w:rsid w:val="00E50A08"/>
    <w:rsid w:val="00E50A0B"/>
    <w:rsid w:val="00E50A52"/>
    <w:rsid w:val="00E50A72"/>
    <w:rsid w:val="00E50B5F"/>
    <w:rsid w:val="00E50C0A"/>
    <w:rsid w:val="00E50C0F"/>
    <w:rsid w:val="00E50C3C"/>
    <w:rsid w:val="00E50E57"/>
    <w:rsid w:val="00E50F04"/>
    <w:rsid w:val="00E51027"/>
    <w:rsid w:val="00E5111E"/>
    <w:rsid w:val="00E511F3"/>
    <w:rsid w:val="00E5121C"/>
    <w:rsid w:val="00E51225"/>
    <w:rsid w:val="00E5136E"/>
    <w:rsid w:val="00E513D6"/>
    <w:rsid w:val="00E513DC"/>
    <w:rsid w:val="00E513F6"/>
    <w:rsid w:val="00E5140D"/>
    <w:rsid w:val="00E51434"/>
    <w:rsid w:val="00E51458"/>
    <w:rsid w:val="00E514BD"/>
    <w:rsid w:val="00E514EE"/>
    <w:rsid w:val="00E51547"/>
    <w:rsid w:val="00E515E8"/>
    <w:rsid w:val="00E51633"/>
    <w:rsid w:val="00E51644"/>
    <w:rsid w:val="00E516D1"/>
    <w:rsid w:val="00E51772"/>
    <w:rsid w:val="00E517E8"/>
    <w:rsid w:val="00E51813"/>
    <w:rsid w:val="00E51850"/>
    <w:rsid w:val="00E5187E"/>
    <w:rsid w:val="00E51886"/>
    <w:rsid w:val="00E519CD"/>
    <w:rsid w:val="00E519D2"/>
    <w:rsid w:val="00E519FE"/>
    <w:rsid w:val="00E51A44"/>
    <w:rsid w:val="00E51AF3"/>
    <w:rsid w:val="00E51B4F"/>
    <w:rsid w:val="00E51C43"/>
    <w:rsid w:val="00E51C4A"/>
    <w:rsid w:val="00E51C58"/>
    <w:rsid w:val="00E51CD6"/>
    <w:rsid w:val="00E51D44"/>
    <w:rsid w:val="00E51D9C"/>
    <w:rsid w:val="00E51E0F"/>
    <w:rsid w:val="00E51E3D"/>
    <w:rsid w:val="00E51F1B"/>
    <w:rsid w:val="00E51FB9"/>
    <w:rsid w:val="00E520CE"/>
    <w:rsid w:val="00E523D7"/>
    <w:rsid w:val="00E52434"/>
    <w:rsid w:val="00E5244F"/>
    <w:rsid w:val="00E52474"/>
    <w:rsid w:val="00E52599"/>
    <w:rsid w:val="00E526B0"/>
    <w:rsid w:val="00E52715"/>
    <w:rsid w:val="00E5274A"/>
    <w:rsid w:val="00E5276D"/>
    <w:rsid w:val="00E52774"/>
    <w:rsid w:val="00E527EA"/>
    <w:rsid w:val="00E527EB"/>
    <w:rsid w:val="00E527F1"/>
    <w:rsid w:val="00E52914"/>
    <w:rsid w:val="00E5296B"/>
    <w:rsid w:val="00E5298D"/>
    <w:rsid w:val="00E529C6"/>
    <w:rsid w:val="00E52A69"/>
    <w:rsid w:val="00E52A6E"/>
    <w:rsid w:val="00E52AD1"/>
    <w:rsid w:val="00E52AD9"/>
    <w:rsid w:val="00E52B14"/>
    <w:rsid w:val="00E52B67"/>
    <w:rsid w:val="00E52B88"/>
    <w:rsid w:val="00E52BAB"/>
    <w:rsid w:val="00E52C0F"/>
    <w:rsid w:val="00E52CD5"/>
    <w:rsid w:val="00E52D21"/>
    <w:rsid w:val="00E52DC6"/>
    <w:rsid w:val="00E52DED"/>
    <w:rsid w:val="00E52DFF"/>
    <w:rsid w:val="00E52E07"/>
    <w:rsid w:val="00E52E63"/>
    <w:rsid w:val="00E52E78"/>
    <w:rsid w:val="00E52E79"/>
    <w:rsid w:val="00E52F68"/>
    <w:rsid w:val="00E52FB5"/>
    <w:rsid w:val="00E531BE"/>
    <w:rsid w:val="00E531C6"/>
    <w:rsid w:val="00E53200"/>
    <w:rsid w:val="00E5322A"/>
    <w:rsid w:val="00E53377"/>
    <w:rsid w:val="00E53400"/>
    <w:rsid w:val="00E53420"/>
    <w:rsid w:val="00E5344C"/>
    <w:rsid w:val="00E5344D"/>
    <w:rsid w:val="00E53490"/>
    <w:rsid w:val="00E534B8"/>
    <w:rsid w:val="00E5353B"/>
    <w:rsid w:val="00E5356C"/>
    <w:rsid w:val="00E5357A"/>
    <w:rsid w:val="00E535C3"/>
    <w:rsid w:val="00E53670"/>
    <w:rsid w:val="00E53693"/>
    <w:rsid w:val="00E536E2"/>
    <w:rsid w:val="00E536EC"/>
    <w:rsid w:val="00E537BA"/>
    <w:rsid w:val="00E537FB"/>
    <w:rsid w:val="00E53892"/>
    <w:rsid w:val="00E538F6"/>
    <w:rsid w:val="00E538F8"/>
    <w:rsid w:val="00E53922"/>
    <w:rsid w:val="00E539CE"/>
    <w:rsid w:val="00E53AB5"/>
    <w:rsid w:val="00E53C99"/>
    <w:rsid w:val="00E53CC0"/>
    <w:rsid w:val="00E53CD1"/>
    <w:rsid w:val="00E53D41"/>
    <w:rsid w:val="00E53DA4"/>
    <w:rsid w:val="00E53E30"/>
    <w:rsid w:val="00E53E65"/>
    <w:rsid w:val="00E53E99"/>
    <w:rsid w:val="00E53EB5"/>
    <w:rsid w:val="00E53EBE"/>
    <w:rsid w:val="00E53ECA"/>
    <w:rsid w:val="00E53F75"/>
    <w:rsid w:val="00E53F85"/>
    <w:rsid w:val="00E53F93"/>
    <w:rsid w:val="00E53FAC"/>
    <w:rsid w:val="00E53FC7"/>
    <w:rsid w:val="00E5406A"/>
    <w:rsid w:val="00E5406C"/>
    <w:rsid w:val="00E54086"/>
    <w:rsid w:val="00E540AE"/>
    <w:rsid w:val="00E540B5"/>
    <w:rsid w:val="00E5411A"/>
    <w:rsid w:val="00E5413C"/>
    <w:rsid w:val="00E54163"/>
    <w:rsid w:val="00E5418E"/>
    <w:rsid w:val="00E541B6"/>
    <w:rsid w:val="00E54255"/>
    <w:rsid w:val="00E5428F"/>
    <w:rsid w:val="00E54313"/>
    <w:rsid w:val="00E5434E"/>
    <w:rsid w:val="00E54423"/>
    <w:rsid w:val="00E5442C"/>
    <w:rsid w:val="00E54506"/>
    <w:rsid w:val="00E5465C"/>
    <w:rsid w:val="00E546C6"/>
    <w:rsid w:val="00E54705"/>
    <w:rsid w:val="00E5474C"/>
    <w:rsid w:val="00E5476A"/>
    <w:rsid w:val="00E54776"/>
    <w:rsid w:val="00E547D1"/>
    <w:rsid w:val="00E54801"/>
    <w:rsid w:val="00E5481E"/>
    <w:rsid w:val="00E548AF"/>
    <w:rsid w:val="00E548FC"/>
    <w:rsid w:val="00E54905"/>
    <w:rsid w:val="00E54940"/>
    <w:rsid w:val="00E54B47"/>
    <w:rsid w:val="00E54BD0"/>
    <w:rsid w:val="00E54C64"/>
    <w:rsid w:val="00E54C8F"/>
    <w:rsid w:val="00E54D58"/>
    <w:rsid w:val="00E54D8B"/>
    <w:rsid w:val="00E54DE4"/>
    <w:rsid w:val="00E54DEA"/>
    <w:rsid w:val="00E54E09"/>
    <w:rsid w:val="00E54E43"/>
    <w:rsid w:val="00E54E6A"/>
    <w:rsid w:val="00E54EC3"/>
    <w:rsid w:val="00E54FC2"/>
    <w:rsid w:val="00E5503E"/>
    <w:rsid w:val="00E550B3"/>
    <w:rsid w:val="00E5515D"/>
    <w:rsid w:val="00E55163"/>
    <w:rsid w:val="00E55183"/>
    <w:rsid w:val="00E55188"/>
    <w:rsid w:val="00E55204"/>
    <w:rsid w:val="00E55297"/>
    <w:rsid w:val="00E5537F"/>
    <w:rsid w:val="00E553FF"/>
    <w:rsid w:val="00E5543E"/>
    <w:rsid w:val="00E55450"/>
    <w:rsid w:val="00E5547E"/>
    <w:rsid w:val="00E55486"/>
    <w:rsid w:val="00E554CA"/>
    <w:rsid w:val="00E554E6"/>
    <w:rsid w:val="00E554FE"/>
    <w:rsid w:val="00E55510"/>
    <w:rsid w:val="00E55589"/>
    <w:rsid w:val="00E555A8"/>
    <w:rsid w:val="00E5560F"/>
    <w:rsid w:val="00E55630"/>
    <w:rsid w:val="00E55673"/>
    <w:rsid w:val="00E5569E"/>
    <w:rsid w:val="00E556D2"/>
    <w:rsid w:val="00E5574D"/>
    <w:rsid w:val="00E55798"/>
    <w:rsid w:val="00E557B2"/>
    <w:rsid w:val="00E558DA"/>
    <w:rsid w:val="00E558DC"/>
    <w:rsid w:val="00E55B64"/>
    <w:rsid w:val="00E55BC3"/>
    <w:rsid w:val="00E55BF9"/>
    <w:rsid w:val="00E55C28"/>
    <w:rsid w:val="00E55CF4"/>
    <w:rsid w:val="00E55D13"/>
    <w:rsid w:val="00E55DDC"/>
    <w:rsid w:val="00E55DE9"/>
    <w:rsid w:val="00E55DFA"/>
    <w:rsid w:val="00E55E30"/>
    <w:rsid w:val="00E55EA9"/>
    <w:rsid w:val="00E55F9A"/>
    <w:rsid w:val="00E55FA6"/>
    <w:rsid w:val="00E55FB9"/>
    <w:rsid w:val="00E55FBB"/>
    <w:rsid w:val="00E5602B"/>
    <w:rsid w:val="00E56068"/>
    <w:rsid w:val="00E560CF"/>
    <w:rsid w:val="00E5610E"/>
    <w:rsid w:val="00E5628A"/>
    <w:rsid w:val="00E562AF"/>
    <w:rsid w:val="00E562C7"/>
    <w:rsid w:val="00E5635F"/>
    <w:rsid w:val="00E5637E"/>
    <w:rsid w:val="00E563CA"/>
    <w:rsid w:val="00E563D0"/>
    <w:rsid w:val="00E56426"/>
    <w:rsid w:val="00E56433"/>
    <w:rsid w:val="00E5645B"/>
    <w:rsid w:val="00E56483"/>
    <w:rsid w:val="00E564D6"/>
    <w:rsid w:val="00E56512"/>
    <w:rsid w:val="00E565F3"/>
    <w:rsid w:val="00E565F8"/>
    <w:rsid w:val="00E56638"/>
    <w:rsid w:val="00E5676B"/>
    <w:rsid w:val="00E567AB"/>
    <w:rsid w:val="00E567B2"/>
    <w:rsid w:val="00E56811"/>
    <w:rsid w:val="00E56812"/>
    <w:rsid w:val="00E56937"/>
    <w:rsid w:val="00E5695B"/>
    <w:rsid w:val="00E569EF"/>
    <w:rsid w:val="00E56A05"/>
    <w:rsid w:val="00E56A98"/>
    <w:rsid w:val="00E56ABF"/>
    <w:rsid w:val="00E56ADA"/>
    <w:rsid w:val="00E56BD4"/>
    <w:rsid w:val="00E56C9C"/>
    <w:rsid w:val="00E56D60"/>
    <w:rsid w:val="00E56D75"/>
    <w:rsid w:val="00E56D87"/>
    <w:rsid w:val="00E56DDE"/>
    <w:rsid w:val="00E56E10"/>
    <w:rsid w:val="00E56EA4"/>
    <w:rsid w:val="00E56F88"/>
    <w:rsid w:val="00E56FFC"/>
    <w:rsid w:val="00E57038"/>
    <w:rsid w:val="00E57069"/>
    <w:rsid w:val="00E5707A"/>
    <w:rsid w:val="00E57085"/>
    <w:rsid w:val="00E570A7"/>
    <w:rsid w:val="00E570EE"/>
    <w:rsid w:val="00E570F8"/>
    <w:rsid w:val="00E5713E"/>
    <w:rsid w:val="00E5713F"/>
    <w:rsid w:val="00E5724F"/>
    <w:rsid w:val="00E572A8"/>
    <w:rsid w:val="00E572AA"/>
    <w:rsid w:val="00E5733C"/>
    <w:rsid w:val="00E57366"/>
    <w:rsid w:val="00E573DB"/>
    <w:rsid w:val="00E57490"/>
    <w:rsid w:val="00E57499"/>
    <w:rsid w:val="00E574CA"/>
    <w:rsid w:val="00E5756E"/>
    <w:rsid w:val="00E57670"/>
    <w:rsid w:val="00E57786"/>
    <w:rsid w:val="00E577CA"/>
    <w:rsid w:val="00E577EB"/>
    <w:rsid w:val="00E578EA"/>
    <w:rsid w:val="00E579BE"/>
    <w:rsid w:val="00E57A34"/>
    <w:rsid w:val="00E57A62"/>
    <w:rsid w:val="00E57BB2"/>
    <w:rsid w:val="00E57BF3"/>
    <w:rsid w:val="00E57C23"/>
    <w:rsid w:val="00E57C58"/>
    <w:rsid w:val="00E57C76"/>
    <w:rsid w:val="00E57C85"/>
    <w:rsid w:val="00E57CC6"/>
    <w:rsid w:val="00E57D36"/>
    <w:rsid w:val="00E57D69"/>
    <w:rsid w:val="00E57D8E"/>
    <w:rsid w:val="00E57DA6"/>
    <w:rsid w:val="00E57E4E"/>
    <w:rsid w:val="00E57EB8"/>
    <w:rsid w:val="00E57F2B"/>
    <w:rsid w:val="00E57F61"/>
    <w:rsid w:val="00E57F6E"/>
    <w:rsid w:val="00E57FF7"/>
    <w:rsid w:val="00E60092"/>
    <w:rsid w:val="00E6009E"/>
    <w:rsid w:val="00E600B5"/>
    <w:rsid w:val="00E6015C"/>
    <w:rsid w:val="00E601B0"/>
    <w:rsid w:val="00E60233"/>
    <w:rsid w:val="00E60285"/>
    <w:rsid w:val="00E60291"/>
    <w:rsid w:val="00E60468"/>
    <w:rsid w:val="00E604C6"/>
    <w:rsid w:val="00E60632"/>
    <w:rsid w:val="00E6069C"/>
    <w:rsid w:val="00E60810"/>
    <w:rsid w:val="00E6090D"/>
    <w:rsid w:val="00E60928"/>
    <w:rsid w:val="00E609BA"/>
    <w:rsid w:val="00E60A2B"/>
    <w:rsid w:val="00E60A90"/>
    <w:rsid w:val="00E60B78"/>
    <w:rsid w:val="00E60C5A"/>
    <w:rsid w:val="00E60D0D"/>
    <w:rsid w:val="00E60D18"/>
    <w:rsid w:val="00E60D46"/>
    <w:rsid w:val="00E60D5C"/>
    <w:rsid w:val="00E60DEB"/>
    <w:rsid w:val="00E60E5A"/>
    <w:rsid w:val="00E60F37"/>
    <w:rsid w:val="00E60FD3"/>
    <w:rsid w:val="00E610B3"/>
    <w:rsid w:val="00E610CF"/>
    <w:rsid w:val="00E61106"/>
    <w:rsid w:val="00E6112E"/>
    <w:rsid w:val="00E61141"/>
    <w:rsid w:val="00E61152"/>
    <w:rsid w:val="00E61173"/>
    <w:rsid w:val="00E611AE"/>
    <w:rsid w:val="00E611CE"/>
    <w:rsid w:val="00E611D8"/>
    <w:rsid w:val="00E61274"/>
    <w:rsid w:val="00E61288"/>
    <w:rsid w:val="00E6132A"/>
    <w:rsid w:val="00E613C6"/>
    <w:rsid w:val="00E61467"/>
    <w:rsid w:val="00E614AF"/>
    <w:rsid w:val="00E614FB"/>
    <w:rsid w:val="00E61516"/>
    <w:rsid w:val="00E61540"/>
    <w:rsid w:val="00E61541"/>
    <w:rsid w:val="00E615EB"/>
    <w:rsid w:val="00E6165E"/>
    <w:rsid w:val="00E61668"/>
    <w:rsid w:val="00E616FB"/>
    <w:rsid w:val="00E61769"/>
    <w:rsid w:val="00E61778"/>
    <w:rsid w:val="00E61788"/>
    <w:rsid w:val="00E617BB"/>
    <w:rsid w:val="00E617F4"/>
    <w:rsid w:val="00E6180F"/>
    <w:rsid w:val="00E6183C"/>
    <w:rsid w:val="00E618E2"/>
    <w:rsid w:val="00E61979"/>
    <w:rsid w:val="00E61A59"/>
    <w:rsid w:val="00E61A81"/>
    <w:rsid w:val="00E61AD1"/>
    <w:rsid w:val="00E61AE4"/>
    <w:rsid w:val="00E61B0D"/>
    <w:rsid w:val="00E61B11"/>
    <w:rsid w:val="00E61C51"/>
    <w:rsid w:val="00E61C69"/>
    <w:rsid w:val="00E61CFD"/>
    <w:rsid w:val="00E61D21"/>
    <w:rsid w:val="00E61D74"/>
    <w:rsid w:val="00E61DCB"/>
    <w:rsid w:val="00E61E57"/>
    <w:rsid w:val="00E61E85"/>
    <w:rsid w:val="00E61ED7"/>
    <w:rsid w:val="00E61EE7"/>
    <w:rsid w:val="00E61F8A"/>
    <w:rsid w:val="00E6200C"/>
    <w:rsid w:val="00E6213C"/>
    <w:rsid w:val="00E62142"/>
    <w:rsid w:val="00E6216E"/>
    <w:rsid w:val="00E62275"/>
    <w:rsid w:val="00E622A8"/>
    <w:rsid w:val="00E623B5"/>
    <w:rsid w:val="00E623D4"/>
    <w:rsid w:val="00E623DC"/>
    <w:rsid w:val="00E623E1"/>
    <w:rsid w:val="00E623FA"/>
    <w:rsid w:val="00E6240E"/>
    <w:rsid w:val="00E6246A"/>
    <w:rsid w:val="00E62510"/>
    <w:rsid w:val="00E62597"/>
    <w:rsid w:val="00E625C8"/>
    <w:rsid w:val="00E6266B"/>
    <w:rsid w:val="00E62682"/>
    <w:rsid w:val="00E626E9"/>
    <w:rsid w:val="00E6272A"/>
    <w:rsid w:val="00E627A0"/>
    <w:rsid w:val="00E627B0"/>
    <w:rsid w:val="00E627FA"/>
    <w:rsid w:val="00E62820"/>
    <w:rsid w:val="00E6286D"/>
    <w:rsid w:val="00E6299D"/>
    <w:rsid w:val="00E62A3A"/>
    <w:rsid w:val="00E62A3C"/>
    <w:rsid w:val="00E62AE6"/>
    <w:rsid w:val="00E62AF6"/>
    <w:rsid w:val="00E62B30"/>
    <w:rsid w:val="00E62B49"/>
    <w:rsid w:val="00E62D09"/>
    <w:rsid w:val="00E62D39"/>
    <w:rsid w:val="00E62DD0"/>
    <w:rsid w:val="00E62E04"/>
    <w:rsid w:val="00E62F54"/>
    <w:rsid w:val="00E62F84"/>
    <w:rsid w:val="00E62FFC"/>
    <w:rsid w:val="00E63002"/>
    <w:rsid w:val="00E63018"/>
    <w:rsid w:val="00E63098"/>
    <w:rsid w:val="00E630A5"/>
    <w:rsid w:val="00E630A7"/>
    <w:rsid w:val="00E630E1"/>
    <w:rsid w:val="00E63173"/>
    <w:rsid w:val="00E63196"/>
    <w:rsid w:val="00E63257"/>
    <w:rsid w:val="00E633CB"/>
    <w:rsid w:val="00E63534"/>
    <w:rsid w:val="00E6363F"/>
    <w:rsid w:val="00E63646"/>
    <w:rsid w:val="00E636A3"/>
    <w:rsid w:val="00E637F3"/>
    <w:rsid w:val="00E637F6"/>
    <w:rsid w:val="00E6383B"/>
    <w:rsid w:val="00E638B0"/>
    <w:rsid w:val="00E638FA"/>
    <w:rsid w:val="00E63977"/>
    <w:rsid w:val="00E63985"/>
    <w:rsid w:val="00E6399B"/>
    <w:rsid w:val="00E63A09"/>
    <w:rsid w:val="00E63A16"/>
    <w:rsid w:val="00E63A2D"/>
    <w:rsid w:val="00E63A3B"/>
    <w:rsid w:val="00E63A61"/>
    <w:rsid w:val="00E63A68"/>
    <w:rsid w:val="00E63A88"/>
    <w:rsid w:val="00E63AD9"/>
    <w:rsid w:val="00E63B60"/>
    <w:rsid w:val="00E63BF9"/>
    <w:rsid w:val="00E63C09"/>
    <w:rsid w:val="00E63C1B"/>
    <w:rsid w:val="00E63C81"/>
    <w:rsid w:val="00E63CC1"/>
    <w:rsid w:val="00E63CD9"/>
    <w:rsid w:val="00E63D14"/>
    <w:rsid w:val="00E63D20"/>
    <w:rsid w:val="00E63D42"/>
    <w:rsid w:val="00E63D52"/>
    <w:rsid w:val="00E63E17"/>
    <w:rsid w:val="00E63E5D"/>
    <w:rsid w:val="00E63ECE"/>
    <w:rsid w:val="00E63EDA"/>
    <w:rsid w:val="00E63EF3"/>
    <w:rsid w:val="00E63EFE"/>
    <w:rsid w:val="00E63F9D"/>
    <w:rsid w:val="00E63FCC"/>
    <w:rsid w:val="00E64025"/>
    <w:rsid w:val="00E6404F"/>
    <w:rsid w:val="00E640F0"/>
    <w:rsid w:val="00E64150"/>
    <w:rsid w:val="00E6416D"/>
    <w:rsid w:val="00E641D4"/>
    <w:rsid w:val="00E642A1"/>
    <w:rsid w:val="00E642BC"/>
    <w:rsid w:val="00E642F1"/>
    <w:rsid w:val="00E642F6"/>
    <w:rsid w:val="00E643AB"/>
    <w:rsid w:val="00E643E6"/>
    <w:rsid w:val="00E64401"/>
    <w:rsid w:val="00E6441D"/>
    <w:rsid w:val="00E64491"/>
    <w:rsid w:val="00E644BA"/>
    <w:rsid w:val="00E64520"/>
    <w:rsid w:val="00E64541"/>
    <w:rsid w:val="00E64543"/>
    <w:rsid w:val="00E6455F"/>
    <w:rsid w:val="00E646A6"/>
    <w:rsid w:val="00E64731"/>
    <w:rsid w:val="00E6476F"/>
    <w:rsid w:val="00E64799"/>
    <w:rsid w:val="00E64851"/>
    <w:rsid w:val="00E648A3"/>
    <w:rsid w:val="00E6495B"/>
    <w:rsid w:val="00E6499F"/>
    <w:rsid w:val="00E649C6"/>
    <w:rsid w:val="00E649DE"/>
    <w:rsid w:val="00E649E7"/>
    <w:rsid w:val="00E649E9"/>
    <w:rsid w:val="00E64A79"/>
    <w:rsid w:val="00E64A9C"/>
    <w:rsid w:val="00E64AB1"/>
    <w:rsid w:val="00E64AE4"/>
    <w:rsid w:val="00E64B82"/>
    <w:rsid w:val="00E64B8C"/>
    <w:rsid w:val="00E64BC4"/>
    <w:rsid w:val="00E64C1C"/>
    <w:rsid w:val="00E64C27"/>
    <w:rsid w:val="00E64C94"/>
    <w:rsid w:val="00E64CAD"/>
    <w:rsid w:val="00E64CB4"/>
    <w:rsid w:val="00E64CB9"/>
    <w:rsid w:val="00E64D95"/>
    <w:rsid w:val="00E64DA0"/>
    <w:rsid w:val="00E64DD9"/>
    <w:rsid w:val="00E64E1D"/>
    <w:rsid w:val="00E64EB4"/>
    <w:rsid w:val="00E64EDD"/>
    <w:rsid w:val="00E64F43"/>
    <w:rsid w:val="00E64FB4"/>
    <w:rsid w:val="00E64FEC"/>
    <w:rsid w:val="00E6503E"/>
    <w:rsid w:val="00E65062"/>
    <w:rsid w:val="00E651D0"/>
    <w:rsid w:val="00E651FF"/>
    <w:rsid w:val="00E6545C"/>
    <w:rsid w:val="00E654BC"/>
    <w:rsid w:val="00E654E6"/>
    <w:rsid w:val="00E654F4"/>
    <w:rsid w:val="00E6554D"/>
    <w:rsid w:val="00E6555B"/>
    <w:rsid w:val="00E6557A"/>
    <w:rsid w:val="00E655B7"/>
    <w:rsid w:val="00E6561E"/>
    <w:rsid w:val="00E65643"/>
    <w:rsid w:val="00E65645"/>
    <w:rsid w:val="00E6570D"/>
    <w:rsid w:val="00E6573E"/>
    <w:rsid w:val="00E65754"/>
    <w:rsid w:val="00E657C9"/>
    <w:rsid w:val="00E657F7"/>
    <w:rsid w:val="00E65816"/>
    <w:rsid w:val="00E6582F"/>
    <w:rsid w:val="00E6594B"/>
    <w:rsid w:val="00E65950"/>
    <w:rsid w:val="00E659CD"/>
    <w:rsid w:val="00E659E5"/>
    <w:rsid w:val="00E65A21"/>
    <w:rsid w:val="00E65AD1"/>
    <w:rsid w:val="00E65ADF"/>
    <w:rsid w:val="00E65B72"/>
    <w:rsid w:val="00E65BA6"/>
    <w:rsid w:val="00E65BFB"/>
    <w:rsid w:val="00E65C07"/>
    <w:rsid w:val="00E65C67"/>
    <w:rsid w:val="00E65CE5"/>
    <w:rsid w:val="00E65CEC"/>
    <w:rsid w:val="00E65D21"/>
    <w:rsid w:val="00E65D30"/>
    <w:rsid w:val="00E65DDD"/>
    <w:rsid w:val="00E65DE3"/>
    <w:rsid w:val="00E65E0C"/>
    <w:rsid w:val="00E65E3F"/>
    <w:rsid w:val="00E65F0E"/>
    <w:rsid w:val="00E65F57"/>
    <w:rsid w:val="00E65FD9"/>
    <w:rsid w:val="00E66016"/>
    <w:rsid w:val="00E660A8"/>
    <w:rsid w:val="00E6611E"/>
    <w:rsid w:val="00E661FC"/>
    <w:rsid w:val="00E66261"/>
    <w:rsid w:val="00E662CE"/>
    <w:rsid w:val="00E662ED"/>
    <w:rsid w:val="00E663A0"/>
    <w:rsid w:val="00E6644B"/>
    <w:rsid w:val="00E664C7"/>
    <w:rsid w:val="00E6652A"/>
    <w:rsid w:val="00E66531"/>
    <w:rsid w:val="00E66539"/>
    <w:rsid w:val="00E66571"/>
    <w:rsid w:val="00E665B5"/>
    <w:rsid w:val="00E665E1"/>
    <w:rsid w:val="00E6661F"/>
    <w:rsid w:val="00E6673A"/>
    <w:rsid w:val="00E6677D"/>
    <w:rsid w:val="00E6679A"/>
    <w:rsid w:val="00E667DC"/>
    <w:rsid w:val="00E667F6"/>
    <w:rsid w:val="00E668EE"/>
    <w:rsid w:val="00E66943"/>
    <w:rsid w:val="00E66956"/>
    <w:rsid w:val="00E6696A"/>
    <w:rsid w:val="00E66A06"/>
    <w:rsid w:val="00E66A34"/>
    <w:rsid w:val="00E66A48"/>
    <w:rsid w:val="00E66AD3"/>
    <w:rsid w:val="00E66B13"/>
    <w:rsid w:val="00E66B24"/>
    <w:rsid w:val="00E66B30"/>
    <w:rsid w:val="00E66B45"/>
    <w:rsid w:val="00E66B95"/>
    <w:rsid w:val="00E66C13"/>
    <w:rsid w:val="00E66C19"/>
    <w:rsid w:val="00E66D07"/>
    <w:rsid w:val="00E66DB6"/>
    <w:rsid w:val="00E66E40"/>
    <w:rsid w:val="00E66F1B"/>
    <w:rsid w:val="00E66F3E"/>
    <w:rsid w:val="00E66F4E"/>
    <w:rsid w:val="00E66F54"/>
    <w:rsid w:val="00E66F80"/>
    <w:rsid w:val="00E66FB8"/>
    <w:rsid w:val="00E670EF"/>
    <w:rsid w:val="00E67104"/>
    <w:rsid w:val="00E67147"/>
    <w:rsid w:val="00E671E3"/>
    <w:rsid w:val="00E6721D"/>
    <w:rsid w:val="00E672BC"/>
    <w:rsid w:val="00E672BF"/>
    <w:rsid w:val="00E67352"/>
    <w:rsid w:val="00E6736E"/>
    <w:rsid w:val="00E673D2"/>
    <w:rsid w:val="00E6747A"/>
    <w:rsid w:val="00E6752C"/>
    <w:rsid w:val="00E675CE"/>
    <w:rsid w:val="00E67653"/>
    <w:rsid w:val="00E677F8"/>
    <w:rsid w:val="00E6787A"/>
    <w:rsid w:val="00E67937"/>
    <w:rsid w:val="00E6799F"/>
    <w:rsid w:val="00E67A45"/>
    <w:rsid w:val="00E67A6A"/>
    <w:rsid w:val="00E67AA6"/>
    <w:rsid w:val="00E67B75"/>
    <w:rsid w:val="00E67BC2"/>
    <w:rsid w:val="00E67CA2"/>
    <w:rsid w:val="00E67DE5"/>
    <w:rsid w:val="00E67E1D"/>
    <w:rsid w:val="00E67F27"/>
    <w:rsid w:val="00E67F32"/>
    <w:rsid w:val="00E67F71"/>
    <w:rsid w:val="00E67FE2"/>
    <w:rsid w:val="00E67FF9"/>
    <w:rsid w:val="00E70045"/>
    <w:rsid w:val="00E700D7"/>
    <w:rsid w:val="00E70156"/>
    <w:rsid w:val="00E701A5"/>
    <w:rsid w:val="00E701F0"/>
    <w:rsid w:val="00E7032A"/>
    <w:rsid w:val="00E70377"/>
    <w:rsid w:val="00E70401"/>
    <w:rsid w:val="00E7040A"/>
    <w:rsid w:val="00E7042D"/>
    <w:rsid w:val="00E70434"/>
    <w:rsid w:val="00E704B6"/>
    <w:rsid w:val="00E70534"/>
    <w:rsid w:val="00E7056D"/>
    <w:rsid w:val="00E70597"/>
    <w:rsid w:val="00E705F5"/>
    <w:rsid w:val="00E7060B"/>
    <w:rsid w:val="00E7062C"/>
    <w:rsid w:val="00E706FA"/>
    <w:rsid w:val="00E70713"/>
    <w:rsid w:val="00E70736"/>
    <w:rsid w:val="00E70752"/>
    <w:rsid w:val="00E7088D"/>
    <w:rsid w:val="00E708AC"/>
    <w:rsid w:val="00E708B8"/>
    <w:rsid w:val="00E70908"/>
    <w:rsid w:val="00E70AE8"/>
    <w:rsid w:val="00E70B07"/>
    <w:rsid w:val="00E70B13"/>
    <w:rsid w:val="00E70B2B"/>
    <w:rsid w:val="00E70B56"/>
    <w:rsid w:val="00E70B9E"/>
    <w:rsid w:val="00E70BA3"/>
    <w:rsid w:val="00E70BB5"/>
    <w:rsid w:val="00E70BCC"/>
    <w:rsid w:val="00E70C42"/>
    <w:rsid w:val="00E70E00"/>
    <w:rsid w:val="00E70EC7"/>
    <w:rsid w:val="00E70EDC"/>
    <w:rsid w:val="00E70F71"/>
    <w:rsid w:val="00E70F88"/>
    <w:rsid w:val="00E70F90"/>
    <w:rsid w:val="00E70FA1"/>
    <w:rsid w:val="00E70FAD"/>
    <w:rsid w:val="00E70FC2"/>
    <w:rsid w:val="00E70FE8"/>
    <w:rsid w:val="00E71062"/>
    <w:rsid w:val="00E71066"/>
    <w:rsid w:val="00E7109C"/>
    <w:rsid w:val="00E71159"/>
    <w:rsid w:val="00E711CF"/>
    <w:rsid w:val="00E711E1"/>
    <w:rsid w:val="00E71256"/>
    <w:rsid w:val="00E71273"/>
    <w:rsid w:val="00E7132B"/>
    <w:rsid w:val="00E714CA"/>
    <w:rsid w:val="00E7153D"/>
    <w:rsid w:val="00E7162C"/>
    <w:rsid w:val="00E71681"/>
    <w:rsid w:val="00E7168D"/>
    <w:rsid w:val="00E71691"/>
    <w:rsid w:val="00E716DD"/>
    <w:rsid w:val="00E716F0"/>
    <w:rsid w:val="00E71723"/>
    <w:rsid w:val="00E71757"/>
    <w:rsid w:val="00E71760"/>
    <w:rsid w:val="00E7178A"/>
    <w:rsid w:val="00E717C3"/>
    <w:rsid w:val="00E71824"/>
    <w:rsid w:val="00E71829"/>
    <w:rsid w:val="00E718EE"/>
    <w:rsid w:val="00E71920"/>
    <w:rsid w:val="00E719E3"/>
    <w:rsid w:val="00E71A0F"/>
    <w:rsid w:val="00E71A88"/>
    <w:rsid w:val="00E71AB3"/>
    <w:rsid w:val="00E71AD5"/>
    <w:rsid w:val="00E71AE5"/>
    <w:rsid w:val="00E71BA5"/>
    <w:rsid w:val="00E71BFE"/>
    <w:rsid w:val="00E71C96"/>
    <w:rsid w:val="00E71D3C"/>
    <w:rsid w:val="00E71D49"/>
    <w:rsid w:val="00E71E15"/>
    <w:rsid w:val="00E71E9E"/>
    <w:rsid w:val="00E71ED2"/>
    <w:rsid w:val="00E71FDE"/>
    <w:rsid w:val="00E71FE3"/>
    <w:rsid w:val="00E71FF9"/>
    <w:rsid w:val="00E7204A"/>
    <w:rsid w:val="00E720F0"/>
    <w:rsid w:val="00E72112"/>
    <w:rsid w:val="00E7214B"/>
    <w:rsid w:val="00E721AC"/>
    <w:rsid w:val="00E721B0"/>
    <w:rsid w:val="00E721B7"/>
    <w:rsid w:val="00E721E4"/>
    <w:rsid w:val="00E721FD"/>
    <w:rsid w:val="00E72203"/>
    <w:rsid w:val="00E72327"/>
    <w:rsid w:val="00E72342"/>
    <w:rsid w:val="00E72416"/>
    <w:rsid w:val="00E72432"/>
    <w:rsid w:val="00E72435"/>
    <w:rsid w:val="00E72461"/>
    <w:rsid w:val="00E724C1"/>
    <w:rsid w:val="00E724EF"/>
    <w:rsid w:val="00E7254D"/>
    <w:rsid w:val="00E725F6"/>
    <w:rsid w:val="00E726E7"/>
    <w:rsid w:val="00E7273A"/>
    <w:rsid w:val="00E727C2"/>
    <w:rsid w:val="00E727D8"/>
    <w:rsid w:val="00E72845"/>
    <w:rsid w:val="00E7285B"/>
    <w:rsid w:val="00E72881"/>
    <w:rsid w:val="00E728BD"/>
    <w:rsid w:val="00E728D3"/>
    <w:rsid w:val="00E72907"/>
    <w:rsid w:val="00E7291A"/>
    <w:rsid w:val="00E7291D"/>
    <w:rsid w:val="00E72958"/>
    <w:rsid w:val="00E729A9"/>
    <w:rsid w:val="00E729C2"/>
    <w:rsid w:val="00E729C9"/>
    <w:rsid w:val="00E72A01"/>
    <w:rsid w:val="00E72AE6"/>
    <w:rsid w:val="00E72BDB"/>
    <w:rsid w:val="00E72C4F"/>
    <w:rsid w:val="00E72C57"/>
    <w:rsid w:val="00E72C68"/>
    <w:rsid w:val="00E72CC3"/>
    <w:rsid w:val="00E72CF2"/>
    <w:rsid w:val="00E72E10"/>
    <w:rsid w:val="00E72EB6"/>
    <w:rsid w:val="00E72EBA"/>
    <w:rsid w:val="00E72ED4"/>
    <w:rsid w:val="00E72F50"/>
    <w:rsid w:val="00E72F6D"/>
    <w:rsid w:val="00E72F6E"/>
    <w:rsid w:val="00E72FBE"/>
    <w:rsid w:val="00E72FDC"/>
    <w:rsid w:val="00E7303B"/>
    <w:rsid w:val="00E73044"/>
    <w:rsid w:val="00E730E9"/>
    <w:rsid w:val="00E73128"/>
    <w:rsid w:val="00E731B3"/>
    <w:rsid w:val="00E731D6"/>
    <w:rsid w:val="00E7321E"/>
    <w:rsid w:val="00E732F2"/>
    <w:rsid w:val="00E73309"/>
    <w:rsid w:val="00E73318"/>
    <w:rsid w:val="00E73334"/>
    <w:rsid w:val="00E733C6"/>
    <w:rsid w:val="00E733FF"/>
    <w:rsid w:val="00E7342B"/>
    <w:rsid w:val="00E734B9"/>
    <w:rsid w:val="00E73514"/>
    <w:rsid w:val="00E73574"/>
    <w:rsid w:val="00E73576"/>
    <w:rsid w:val="00E735B9"/>
    <w:rsid w:val="00E7368D"/>
    <w:rsid w:val="00E736D5"/>
    <w:rsid w:val="00E73703"/>
    <w:rsid w:val="00E73727"/>
    <w:rsid w:val="00E737C7"/>
    <w:rsid w:val="00E7380B"/>
    <w:rsid w:val="00E7380E"/>
    <w:rsid w:val="00E73835"/>
    <w:rsid w:val="00E73910"/>
    <w:rsid w:val="00E73927"/>
    <w:rsid w:val="00E73989"/>
    <w:rsid w:val="00E73A38"/>
    <w:rsid w:val="00E73A77"/>
    <w:rsid w:val="00E73A92"/>
    <w:rsid w:val="00E73AF2"/>
    <w:rsid w:val="00E73B1A"/>
    <w:rsid w:val="00E73B1F"/>
    <w:rsid w:val="00E73B50"/>
    <w:rsid w:val="00E73BC0"/>
    <w:rsid w:val="00E73BDF"/>
    <w:rsid w:val="00E73CB4"/>
    <w:rsid w:val="00E73CBE"/>
    <w:rsid w:val="00E73CC2"/>
    <w:rsid w:val="00E73CED"/>
    <w:rsid w:val="00E73E0F"/>
    <w:rsid w:val="00E73EC5"/>
    <w:rsid w:val="00E73EE0"/>
    <w:rsid w:val="00E73F10"/>
    <w:rsid w:val="00E73F2A"/>
    <w:rsid w:val="00E73F68"/>
    <w:rsid w:val="00E73F88"/>
    <w:rsid w:val="00E74034"/>
    <w:rsid w:val="00E740DC"/>
    <w:rsid w:val="00E74105"/>
    <w:rsid w:val="00E74176"/>
    <w:rsid w:val="00E741B4"/>
    <w:rsid w:val="00E74251"/>
    <w:rsid w:val="00E74271"/>
    <w:rsid w:val="00E74282"/>
    <w:rsid w:val="00E7428D"/>
    <w:rsid w:val="00E742F9"/>
    <w:rsid w:val="00E74305"/>
    <w:rsid w:val="00E74369"/>
    <w:rsid w:val="00E743FA"/>
    <w:rsid w:val="00E74423"/>
    <w:rsid w:val="00E74429"/>
    <w:rsid w:val="00E74437"/>
    <w:rsid w:val="00E74478"/>
    <w:rsid w:val="00E7447F"/>
    <w:rsid w:val="00E744A7"/>
    <w:rsid w:val="00E7450B"/>
    <w:rsid w:val="00E74527"/>
    <w:rsid w:val="00E74576"/>
    <w:rsid w:val="00E74591"/>
    <w:rsid w:val="00E745B5"/>
    <w:rsid w:val="00E745ED"/>
    <w:rsid w:val="00E7467A"/>
    <w:rsid w:val="00E746D7"/>
    <w:rsid w:val="00E74704"/>
    <w:rsid w:val="00E7472E"/>
    <w:rsid w:val="00E747A6"/>
    <w:rsid w:val="00E747BF"/>
    <w:rsid w:val="00E747FA"/>
    <w:rsid w:val="00E7481C"/>
    <w:rsid w:val="00E7483D"/>
    <w:rsid w:val="00E7489B"/>
    <w:rsid w:val="00E748FB"/>
    <w:rsid w:val="00E74964"/>
    <w:rsid w:val="00E7496D"/>
    <w:rsid w:val="00E74993"/>
    <w:rsid w:val="00E74A0F"/>
    <w:rsid w:val="00E74A31"/>
    <w:rsid w:val="00E74A7E"/>
    <w:rsid w:val="00E74B00"/>
    <w:rsid w:val="00E74B4E"/>
    <w:rsid w:val="00E74C44"/>
    <w:rsid w:val="00E74C96"/>
    <w:rsid w:val="00E74CBF"/>
    <w:rsid w:val="00E74CD9"/>
    <w:rsid w:val="00E74D66"/>
    <w:rsid w:val="00E74D78"/>
    <w:rsid w:val="00E74DC4"/>
    <w:rsid w:val="00E74E13"/>
    <w:rsid w:val="00E74E4C"/>
    <w:rsid w:val="00E74F45"/>
    <w:rsid w:val="00E74F46"/>
    <w:rsid w:val="00E74F60"/>
    <w:rsid w:val="00E75021"/>
    <w:rsid w:val="00E7502A"/>
    <w:rsid w:val="00E75058"/>
    <w:rsid w:val="00E750DC"/>
    <w:rsid w:val="00E75254"/>
    <w:rsid w:val="00E7535D"/>
    <w:rsid w:val="00E7539E"/>
    <w:rsid w:val="00E753D1"/>
    <w:rsid w:val="00E7540C"/>
    <w:rsid w:val="00E7546B"/>
    <w:rsid w:val="00E75477"/>
    <w:rsid w:val="00E75539"/>
    <w:rsid w:val="00E755FC"/>
    <w:rsid w:val="00E7561F"/>
    <w:rsid w:val="00E75640"/>
    <w:rsid w:val="00E7565A"/>
    <w:rsid w:val="00E756CD"/>
    <w:rsid w:val="00E75774"/>
    <w:rsid w:val="00E7577F"/>
    <w:rsid w:val="00E7579C"/>
    <w:rsid w:val="00E757BD"/>
    <w:rsid w:val="00E75844"/>
    <w:rsid w:val="00E75939"/>
    <w:rsid w:val="00E7594D"/>
    <w:rsid w:val="00E75956"/>
    <w:rsid w:val="00E759A3"/>
    <w:rsid w:val="00E759A9"/>
    <w:rsid w:val="00E759EA"/>
    <w:rsid w:val="00E759F7"/>
    <w:rsid w:val="00E75A2B"/>
    <w:rsid w:val="00E75AC8"/>
    <w:rsid w:val="00E75BD1"/>
    <w:rsid w:val="00E75BD5"/>
    <w:rsid w:val="00E75BE6"/>
    <w:rsid w:val="00E75C32"/>
    <w:rsid w:val="00E75C3A"/>
    <w:rsid w:val="00E75D05"/>
    <w:rsid w:val="00E75D7C"/>
    <w:rsid w:val="00E75E79"/>
    <w:rsid w:val="00E75FE6"/>
    <w:rsid w:val="00E7602E"/>
    <w:rsid w:val="00E76033"/>
    <w:rsid w:val="00E76080"/>
    <w:rsid w:val="00E760AF"/>
    <w:rsid w:val="00E7619A"/>
    <w:rsid w:val="00E76215"/>
    <w:rsid w:val="00E7624C"/>
    <w:rsid w:val="00E76259"/>
    <w:rsid w:val="00E763C0"/>
    <w:rsid w:val="00E7644F"/>
    <w:rsid w:val="00E76466"/>
    <w:rsid w:val="00E7649B"/>
    <w:rsid w:val="00E764A0"/>
    <w:rsid w:val="00E764DC"/>
    <w:rsid w:val="00E764F6"/>
    <w:rsid w:val="00E764FB"/>
    <w:rsid w:val="00E76611"/>
    <w:rsid w:val="00E76630"/>
    <w:rsid w:val="00E76657"/>
    <w:rsid w:val="00E76697"/>
    <w:rsid w:val="00E7669A"/>
    <w:rsid w:val="00E766A2"/>
    <w:rsid w:val="00E766A3"/>
    <w:rsid w:val="00E766EE"/>
    <w:rsid w:val="00E7675F"/>
    <w:rsid w:val="00E76817"/>
    <w:rsid w:val="00E7681C"/>
    <w:rsid w:val="00E76859"/>
    <w:rsid w:val="00E768B3"/>
    <w:rsid w:val="00E768EA"/>
    <w:rsid w:val="00E7692E"/>
    <w:rsid w:val="00E769BA"/>
    <w:rsid w:val="00E769D9"/>
    <w:rsid w:val="00E769E7"/>
    <w:rsid w:val="00E76A95"/>
    <w:rsid w:val="00E76B03"/>
    <w:rsid w:val="00E76BA4"/>
    <w:rsid w:val="00E76BC7"/>
    <w:rsid w:val="00E76C08"/>
    <w:rsid w:val="00E76CD4"/>
    <w:rsid w:val="00E76D4B"/>
    <w:rsid w:val="00E76D5B"/>
    <w:rsid w:val="00E76DE8"/>
    <w:rsid w:val="00E76DF9"/>
    <w:rsid w:val="00E76E7E"/>
    <w:rsid w:val="00E76E8C"/>
    <w:rsid w:val="00E77099"/>
    <w:rsid w:val="00E770C1"/>
    <w:rsid w:val="00E77133"/>
    <w:rsid w:val="00E77157"/>
    <w:rsid w:val="00E771A8"/>
    <w:rsid w:val="00E771E1"/>
    <w:rsid w:val="00E7720A"/>
    <w:rsid w:val="00E77217"/>
    <w:rsid w:val="00E7730D"/>
    <w:rsid w:val="00E77375"/>
    <w:rsid w:val="00E773DA"/>
    <w:rsid w:val="00E773E1"/>
    <w:rsid w:val="00E773F2"/>
    <w:rsid w:val="00E774BB"/>
    <w:rsid w:val="00E774C1"/>
    <w:rsid w:val="00E774C3"/>
    <w:rsid w:val="00E775F8"/>
    <w:rsid w:val="00E7768C"/>
    <w:rsid w:val="00E7772F"/>
    <w:rsid w:val="00E77852"/>
    <w:rsid w:val="00E7797C"/>
    <w:rsid w:val="00E77A49"/>
    <w:rsid w:val="00E77A5B"/>
    <w:rsid w:val="00E77A63"/>
    <w:rsid w:val="00E77A67"/>
    <w:rsid w:val="00E77A8F"/>
    <w:rsid w:val="00E77B3E"/>
    <w:rsid w:val="00E77B43"/>
    <w:rsid w:val="00E77B8C"/>
    <w:rsid w:val="00E77BD6"/>
    <w:rsid w:val="00E77CA6"/>
    <w:rsid w:val="00E77E9C"/>
    <w:rsid w:val="00E77F6B"/>
    <w:rsid w:val="00E77F6D"/>
    <w:rsid w:val="00E77F86"/>
    <w:rsid w:val="00E77FA0"/>
    <w:rsid w:val="00E77FA1"/>
    <w:rsid w:val="00E77FCA"/>
    <w:rsid w:val="00E77FE2"/>
    <w:rsid w:val="00E8002C"/>
    <w:rsid w:val="00E80098"/>
    <w:rsid w:val="00E80111"/>
    <w:rsid w:val="00E8018B"/>
    <w:rsid w:val="00E801A7"/>
    <w:rsid w:val="00E801BE"/>
    <w:rsid w:val="00E801EC"/>
    <w:rsid w:val="00E801FE"/>
    <w:rsid w:val="00E80246"/>
    <w:rsid w:val="00E80385"/>
    <w:rsid w:val="00E80481"/>
    <w:rsid w:val="00E8051F"/>
    <w:rsid w:val="00E80551"/>
    <w:rsid w:val="00E80631"/>
    <w:rsid w:val="00E8065F"/>
    <w:rsid w:val="00E806BA"/>
    <w:rsid w:val="00E8072D"/>
    <w:rsid w:val="00E80749"/>
    <w:rsid w:val="00E80793"/>
    <w:rsid w:val="00E807DB"/>
    <w:rsid w:val="00E807E8"/>
    <w:rsid w:val="00E80861"/>
    <w:rsid w:val="00E808B5"/>
    <w:rsid w:val="00E808D7"/>
    <w:rsid w:val="00E8099F"/>
    <w:rsid w:val="00E80A38"/>
    <w:rsid w:val="00E80A60"/>
    <w:rsid w:val="00E80A6B"/>
    <w:rsid w:val="00E80ACB"/>
    <w:rsid w:val="00E80AF5"/>
    <w:rsid w:val="00E80B0A"/>
    <w:rsid w:val="00E80B4C"/>
    <w:rsid w:val="00E80B54"/>
    <w:rsid w:val="00E80C4A"/>
    <w:rsid w:val="00E80C81"/>
    <w:rsid w:val="00E80C96"/>
    <w:rsid w:val="00E80CB9"/>
    <w:rsid w:val="00E80D3B"/>
    <w:rsid w:val="00E80D44"/>
    <w:rsid w:val="00E80D5B"/>
    <w:rsid w:val="00E80DD2"/>
    <w:rsid w:val="00E80E13"/>
    <w:rsid w:val="00E80EF1"/>
    <w:rsid w:val="00E80F4B"/>
    <w:rsid w:val="00E80F4F"/>
    <w:rsid w:val="00E8118A"/>
    <w:rsid w:val="00E811C3"/>
    <w:rsid w:val="00E811D8"/>
    <w:rsid w:val="00E8125A"/>
    <w:rsid w:val="00E81263"/>
    <w:rsid w:val="00E8127B"/>
    <w:rsid w:val="00E812B2"/>
    <w:rsid w:val="00E81313"/>
    <w:rsid w:val="00E8135A"/>
    <w:rsid w:val="00E813D2"/>
    <w:rsid w:val="00E81476"/>
    <w:rsid w:val="00E814B1"/>
    <w:rsid w:val="00E8153F"/>
    <w:rsid w:val="00E81565"/>
    <w:rsid w:val="00E815EA"/>
    <w:rsid w:val="00E815FA"/>
    <w:rsid w:val="00E816BE"/>
    <w:rsid w:val="00E816DC"/>
    <w:rsid w:val="00E81705"/>
    <w:rsid w:val="00E818DD"/>
    <w:rsid w:val="00E81948"/>
    <w:rsid w:val="00E819D1"/>
    <w:rsid w:val="00E81A0E"/>
    <w:rsid w:val="00E81A30"/>
    <w:rsid w:val="00E81A47"/>
    <w:rsid w:val="00E81A60"/>
    <w:rsid w:val="00E81ACB"/>
    <w:rsid w:val="00E81B72"/>
    <w:rsid w:val="00E81BA2"/>
    <w:rsid w:val="00E81C4D"/>
    <w:rsid w:val="00E81C51"/>
    <w:rsid w:val="00E81CBA"/>
    <w:rsid w:val="00E81CC8"/>
    <w:rsid w:val="00E81D15"/>
    <w:rsid w:val="00E81DAC"/>
    <w:rsid w:val="00E81DD1"/>
    <w:rsid w:val="00E81DE7"/>
    <w:rsid w:val="00E81E20"/>
    <w:rsid w:val="00E81EBD"/>
    <w:rsid w:val="00E81EF1"/>
    <w:rsid w:val="00E81F59"/>
    <w:rsid w:val="00E81F88"/>
    <w:rsid w:val="00E81FCC"/>
    <w:rsid w:val="00E82032"/>
    <w:rsid w:val="00E820A1"/>
    <w:rsid w:val="00E820C3"/>
    <w:rsid w:val="00E820F0"/>
    <w:rsid w:val="00E82162"/>
    <w:rsid w:val="00E82229"/>
    <w:rsid w:val="00E82238"/>
    <w:rsid w:val="00E8225C"/>
    <w:rsid w:val="00E822C0"/>
    <w:rsid w:val="00E823AC"/>
    <w:rsid w:val="00E823D9"/>
    <w:rsid w:val="00E82417"/>
    <w:rsid w:val="00E8242C"/>
    <w:rsid w:val="00E824AB"/>
    <w:rsid w:val="00E824D2"/>
    <w:rsid w:val="00E82515"/>
    <w:rsid w:val="00E825C2"/>
    <w:rsid w:val="00E825EA"/>
    <w:rsid w:val="00E825F1"/>
    <w:rsid w:val="00E82634"/>
    <w:rsid w:val="00E8268A"/>
    <w:rsid w:val="00E8270F"/>
    <w:rsid w:val="00E82714"/>
    <w:rsid w:val="00E8271F"/>
    <w:rsid w:val="00E827C4"/>
    <w:rsid w:val="00E827C6"/>
    <w:rsid w:val="00E827FE"/>
    <w:rsid w:val="00E82809"/>
    <w:rsid w:val="00E8280F"/>
    <w:rsid w:val="00E82882"/>
    <w:rsid w:val="00E82893"/>
    <w:rsid w:val="00E828E0"/>
    <w:rsid w:val="00E828F3"/>
    <w:rsid w:val="00E8292B"/>
    <w:rsid w:val="00E829AA"/>
    <w:rsid w:val="00E82A54"/>
    <w:rsid w:val="00E82A76"/>
    <w:rsid w:val="00E82ADD"/>
    <w:rsid w:val="00E82AEC"/>
    <w:rsid w:val="00E82AF7"/>
    <w:rsid w:val="00E82B12"/>
    <w:rsid w:val="00E82B2A"/>
    <w:rsid w:val="00E82B2B"/>
    <w:rsid w:val="00E82B57"/>
    <w:rsid w:val="00E82B5F"/>
    <w:rsid w:val="00E82B80"/>
    <w:rsid w:val="00E82B97"/>
    <w:rsid w:val="00E82BD6"/>
    <w:rsid w:val="00E82BEF"/>
    <w:rsid w:val="00E82CE0"/>
    <w:rsid w:val="00E82D65"/>
    <w:rsid w:val="00E82DCC"/>
    <w:rsid w:val="00E82DED"/>
    <w:rsid w:val="00E82DF3"/>
    <w:rsid w:val="00E82E00"/>
    <w:rsid w:val="00E82F3D"/>
    <w:rsid w:val="00E82FF6"/>
    <w:rsid w:val="00E83003"/>
    <w:rsid w:val="00E830B7"/>
    <w:rsid w:val="00E83111"/>
    <w:rsid w:val="00E8312D"/>
    <w:rsid w:val="00E83181"/>
    <w:rsid w:val="00E831EC"/>
    <w:rsid w:val="00E83259"/>
    <w:rsid w:val="00E832DF"/>
    <w:rsid w:val="00E832F2"/>
    <w:rsid w:val="00E83335"/>
    <w:rsid w:val="00E83345"/>
    <w:rsid w:val="00E83458"/>
    <w:rsid w:val="00E8358B"/>
    <w:rsid w:val="00E8358C"/>
    <w:rsid w:val="00E83599"/>
    <w:rsid w:val="00E8362C"/>
    <w:rsid w:val="00E836FB"/>
    <w:rsid w:val="00E83702"/>
    <w:rsid w:val="00E83728"/>
    <w:rsid w:val="00E83774"/>
    <w:rsid w:val="00E8377E"/>
    <w:rsid w:val="00E83789"/>
    <w:rsid w:val="00E837E4"/>
    <w:rsid w:val="00E83961"/>
    <w:rsid w:val="00E8398F"/>
    <w:rsid w:val="00E839CF"/>
    <w:rsid w:val="00E83AC3"/>
    <w:rsid w:val="00E83B69"/>
    <w:rsid w:val="00E83BBA"/>
    <w:rsid w:val="00E83BC1"/>
    <w:rsid w:val="00E83BE7"/>
    <w:rsid w:val="00E83C1C"/>
    <w:rsid w:val="00E83C97"/>
    <w:rsid w:val="00E83CFD"/>
    <w:rsid w:val="00E83E7F"/>
    <w:rsid w:val="00E83F4C"/>
    <w:rsid w:val="00E8400E"/>
    <w:rsid w:val="00E8402D"/>
    <w:rsid w:val="00E84080"/>
    <w:rsid w:val="00E840C2"/>
    <w:rsid w:val="00E840C3"/>
    <w:rsid w:val="00E840C8"/>
    <w:rsid w:val="00E84112"/>
    <w:rsid w:val="00E841D2"/>
    <w:rsid w:val="00E841F1"/>
    <w:rsid w:val="00E842F6"/>
    <w:rsid w:val="00E8432D"/>
    <w:rsid w:val="00E84427"/>
    <w:rsid w:val="00E84496"/>
    <w:rsid w:val="00E8449B"/>
    <w:rsid w:val="00E844D2"/>
    <w:rsid w:val="00E8451C"/>
    <w:rsid w:val="00E8451E"/>
    <w:rsid w:val="00E8457D"/>
    <w:rsid w:val="00E845D9"/>
    <w:rsid w:val="00E845E4"/>
    <w:rsid w:val="00E8463B"/>
    <w:rsid w:val="00E8463D"/>
    <w:rsid w:val="00E846A6"/>
    <w:rsid w:val="00E846E7"/>
    <w:rsid w:val="00E84700"/>
    <w:rsid w:val="00E84703"/>
    <w:rsid w:val="00E84736"/>
    <w:rsid w:val="00E84785"/>
    <w:rsid w:val="00E847C9"/>
    <w:rsid w:val="00E8483D"/>
    <w:rsid w:val="00E8483E"/>
    <w:rsid w:val="00E84892"/>
    <w:rsid w:val="00E848A3"/>
    <w:rsid w:val="00E848EC"/>
    <w:rsid w:val="00E84909"/>
    <w:rsid w:val="00E84920"/>
    <w:rsid w:val="00E84931"/>
    <w:rsid w:val="00E84988"/>
    <w:rsid w:val="00E849F3"/>
    <w:rsid w:val="00E84A30"/>
    <w:rsid w:val="00E84AB6"/>
    <w:rsid w:val="00E84ABF"/>
    <w:rsid w:val="00E84AC0"/>
    <w:rsid w:val="00E84AFE"/>
    <w:rsid w:val="00E84B2D"/>
    <w:rsid w:val="00E84BFD"/>
    <w:rsid w:val="00E84C9B"/>
    <w:rsid w:val="00E84CAF"/>
    <w:rsid w:val="00E84CB7"/>
    <w:rsid w:val="00E84CD9"/>
    <w:rsid w:val="00E84CFA"/>
    <w:rsid w:val="00E84D09"/>
    <w:rsid w:val="00E84D7F"/>
    <w:rsid w:val="00E84D8A"/>
    <w:rsid w:val="00E84DA4"/>
    <w:rsid w:val="00E84DF2"/>
    <w:rsid w:val="00E84E6C"/>
    <w:rsid w:val="00E84E7F"/>
    <w:rsid w:val="00E84EA9"/>
    <w:rsid w:val="00E84F5F"/>
    <w:rsid w:val="00E84F6E"/>
    <w:rsid w:val="00E84F9F"/>
    <w:rsid w:val="00E84FAD"/>
    <w:rsid w:val="00E8508A"/>
    <w:rsid w:val="00E852B3"/>
    <w:rsid w:val="00E85304"/>
    <w:rsid w:val="00E85321"/>
    <w:rsid w:val="00E853A0"/>
    <w:rsid w:val="00E85549"/>
    <w:rsid w:val="00E85559"/>
    <w:rsid w:val="00E85592"/>
    <w:rsid w:val="00E855EC"/>
    <w:rsid w:val="00E85611"/>
    <w:rsid w:val="00E8562D"/>
    <w:rsid w:val="00E85713"/>
    <w:rsid w:val="00E857AF"/>
    <w:rsid w:val="00E857C9"/>
    <w:rsid w:val="00E857DD"/>
    <w:rsid w:val="00E857F7"/>
    <w:rsid w:val="00E85847"/>
    <w:rsid w:val="00E85938"/>
    <w:rsid w:val="00E85A00"/>
    <w:rsid w:val="00E85AAB"/>
    <w:rsid w:val="00E85AD0"/>
    <w:rsid w:val="00E85B30"/>
    <w:rsid w:val="00E85B9D"/>
    <w:rsid w:val="00E85CEF"/>
    <w:rsid w:val="00E85D17"/>
    <w:rsid w:val="00E85DE5"/>
    <w:rsid w:val="00E85E7A"/>
    <w:rsid w:val="00E85EA4"/>
    <w:rsid w:val="00E85EE9"/>
    <w:rsid w:val="00E85EF3"/>
    <w:rsid w:val="00E86096"/>
    <w:rsid w:val="00E860E4"/>
    <w:rsid w:val="00E86151"/>
    <w:rsid w:val="00E8616A"/>
    <w:rsid w:val="00E86191"/>
    <w:rsid w:val="00E8619C"/>
    <w:rsid w:val="00E861FF"/>
    <w:rsid w:val="00E86230"/>
    <w:rsid w:val="00E86244"/>
    <w:rsid w:val="00E8626F"/>
    <w:rsid w:val="00E862B7"/>
    <w:rsid w:val="00E862B9"/>
    <w:rsid w:val="00E86381"/>
    <w:rsid w:val="00E863FC"/>
    <w:rsid w:val="00E864B6"/>
    <w:rsid w:val="00E864E2"/>
    <w:rsid w:val="00E865A4"/>
    <w:rsid w:val="00E866EE"/>
    <w:rsid w:val="00E86711"/>
    <w:rsid w:val="00E86715"/>
    <w:rsid w:val="00E86745"/>
    <w:rsid w:val="00E86748"/>
    <w:rsid w:val="00E8677A"/>
    <w:rsid w:val="00E867E7"/>
    <w:rsid w:val="00E8682B"/>
    <w:rsid w:val="00E86862"/>
    <w:rsid w:val="00E868D3"/>
    <w:rsid w:val="00E868E8"/>
    <w:rsid w:val="00E86934"/>
    <w:rsid w:val="00E86955"/>
    <w:rsid w:val="00E8696E"/>
    <w:rsid w:val="00E86A80"/>
    <w:rsid w:val="00E86AC2"/>
    <w:rsid w:val="00E86AE6"/>
    <w:rsid w:val="00E86B1F"/>
    <w:rsid w:val="00E86B2D"/>
    <w:rsid w:val="00E86B59"/>
    <w:rsid w:val="00E86B5B"/>
    <w:rsid w:val="00E86BBF"/>
    <w:rsid w:val="00E86CA1"/>
    <w:rsid w:val="00E86CBD"/>
    <w:rsid w:val="00E86CDA"/>
    <w:rsid w:val="00E86E1E"/>
    <w:rsid w:val="00E86F31"/>
    <w:rsid w:val="00E86F4B"/>
    <w:rsid w:val="00E8701B"/>
    <w:rsid w:val="00E870EE"/>
    <w:rsid w:val="00E87200"/>
    <w:rsid w:val="00E87227"/>
    <w:rsid w:val="00E87233"/>
    <w:rsid w:val="00E87249"/>
    <w:rsid w:val="00E8727B"/>
    <w:rsid w:val="00E87285"/>
    <w:rsid w:val="00E872DA"/>
    <w:rsid w:val="00E8731F"/>
    <w:rsid w:val="00E873CD"/>
    <w:rsid w:val="00E873E3"/>
    <w:rsid w:val="00E87552"/>
    <w:rsid w:val="00E87571"/>
    <w:rsid w:val="00E875A9"/>
    <w:rsid w:val="00E875B6"/>
    <w:rsid w:val="00E875EF"/>
    <w:rsid w:val="00E87622"/>
    <w:rsid w:val="00E876C0"/>
    <w:rsid w:val="00E87709"/>
    <w:rsid w:val="00E8777C"/>
    <w:rsid w:val="00E8787F"/>
    <w:rsid w:val="00E878A0"/>
    <w:rsid w:val="00E878D1"/>
    <w:rsid w:val="00E878D9"/>
    <w:rsid w:val="00E87939"/>
    <w:rsid w:val="00E879AE"/>
    <w:rsid w:val="00E87AB0"/>
    <w:rsid w:val="00E87B1B"/>
    <w:rsid w:val="00E87B38"/>
    <w:rsid w:val="00E87B66"/>
    <w:rsid w:val="00E87BD3"/>
    <w:rsid w:val="00E87C05"/>
    <w:rsid w:val="00E87C62"/>
    <w:rsid w:val="00E87D0A"/>
    <w:rsid w:val="00E87D54"/>
    <w:rsid w:val="00E87D59"/>
    <w:rsid w:val="00E87DBD"/>
    <w:rsid w:val="00E87E21"/>
    <w:rsid w:val="00E87E83"/>
    <w:rsid w:val="00E87E88"/>
    <w:rsid w:val="00E87EDD"/>
    <w:rsid w:val="00E87F53"/>
    <w:rsid w:val="00E87F69"/>
    <w:rsid w:val="00E87F8B"/>
    <w:rsid w:val="00E87FF8"/>
    <w:rsid w:val="00E87FFD"/>
    <w:rsid w:val="00E900CA"/>
    <w:rsid w:val="00E9017B"/>
    <w:rsid w:val="00E90182"/>
    <w:rsid w:val="00E9023D"/>
    <w:rsid w:val="00E9025C"/>
    <w:rsid w:val="00E9028C"/>
    <w:rsid w:val="00E9029D"/>
    <w:rsid w:val="00E902BB"/>
    <w:rsid w:val="00E902DE"/>
    <w:rsid w:val="00E902FC"/>
    <w:rsid w:val="00E90314"/>
    <w:rsid w:val="00E9031E"/>
    <w:rsid w:val="00E90359"/>
    <w:rsid w:val="00E904AE"/>
    <w:rsid w:val="00E904CE"/>
    <w:rsid w:val="00E90515"/>
    <w:rsid w:val="00E90545"/>
    <w:rsid w:val="00E9058A"/>
    <w:rsid w:val="00E90594"/>
    <w:rsid w:val="00E9060C"/>
    <w:rsid w:val="00E90663"/>
    <w:rsid w:val="00E90678"/>
    <w:rsid w:val="00E906B2"/>
    <w:rsid w:val="00E906BB"/>
    <w:rsid w:val="00E906E5"/>
    <w:rsid w:val="00E90764"/>
    <w:rsid w:val="00E90782"/>
    <w:rsid w:val="00E90792"/>
    <w:rsid w:val="00E9079B"/>
    <w:rsid w:val="00E9082B"/>
    <w:rsid w:val="00E90869"/>
    <w:rsid w:val="00E908C2"/>
    <w:rsid w:val="00E90955"/>
    <w:rsid w:val="00E9096C"/>
    <w:rsid w:val="00E909D5"/>
    <w:rsid w:val="00E90A2D"/>
    <w:rsid w:val="00E90AA1"/>
    <w:rsid w:val="00E90AAE"/>
    <w:rsid w:val="00E90BA9"/>
    <w:rsid w:val="00E90BBF"/>
    <w:rsid w:val="00E90C83"/>
    <w:rsid w:val="00E90C99"/>
    <w:rsid w:val="00E90CC3"/>
    <w:rsid w:val="00E90CD6"/>
    <w:rsid w:val="00E90D92"/>
    <w:rsid w:val="00E90D99"/>
    <w:rsid w:val="00E90DA2"/>
    <w:rsid w:val="00E90E13"/>
    <w:rsid w:val="00E90E35"/>
    <w:rsid w:val="00E90E74"/>
    <w:rsid w:val="00E90E83"/>
    <w:rsid w:val="00E90EA0"/>
    <w:rsid w:val="00E90F59"/>
    <w:rsid w:val="00E90F62"/>
    <w:rsid w:val="00E90F9B"/>
    <w:rsid w:val="00E90FBC"/>
    <w:rsid w:val="00E91014"/>
    <w:rsid w:val="00E911E3"/>
    <w:rsid w:val="00E9123C"/>
    <w:rsid w:val="00E91267"/>
    <w:rsid w:val="00E912DB"/>
    <w:rsid w:val="00E912F0"/>
    <w:rsid w:val="00E9132B"/>
    <w:rsid w:val="00E91339"/>
    <w:rsid w:val="00E9133B"/>
    <w:rsid w:val="00E914AC"/>
    <w:rsid w:val="00E914BA"/>
    <w:rsid w:val="00E914EA"/>
    <w:rsid w:val="00E915BA"/>
    <w:rsid w:val="00E915C4"/>
    <w:rsid w:val="00E915F5"/>
    <w:rsid w:val="00E91647"/>
    <w:rsid w:val="00E916FD"/>
    <w:rsid w:val="00E9173D"/>
    <w:rsid w:val="00E917C8"/>
    <w:rsid w:val="00E917DE"/>
    <w:rsid w:val="00E917F8"/>
    <w:rsid w:val="00E91822"/>
    <w:rsid w:val="00E918AE"/>
    <w:rsid w:val="00E918BE"/>
    <w:rsid w:val="00E9190A"/>
    <w:rsid w:val="00E91933"/>
    <w:rsid w:val="00E9197C"/>
    <w:rsid w:val="00E919A5"/>
    <w:rsid w:val="00E91A26"/>
    <w:rsid w:val="00E91A6F"/>
    <w:rsid w:val="00E91A70"/>
    <w:rsid w:val="00E91AD4"/>
    <w:rsid w:val="00E91AE3"/>
    <w:rsid w:val="00E91BB7"/>
    <w:rsid w:val="00E91CF7"/>
    <w:rsid w:val="00E91D01"/>
    <w:rsid w:val="00E91E0D"/>
    <w:rsid w:val="00E91E20"/>
    <w:rsid w:val="00E91E3F"/>
    <w:rsid w:val="00E91EA1"/>
    <w:rsid w:val="00E91F62"/>
    <w:rsid w:val="00E91F9E"/>
    <w:rsid w:val="00E91FD9"/>
    <w:rsid w:val="00E92094"/>
    <w:rsid w:val="00E92123"/>
    <w:rsid w:val="00E92146"/>
    <w:rsid w:val="00E9214D"/>
    <w:rsid w:val="00E9216A"/>
    <w:rsid w:val="00E921AB"/>
    <w:rsid w:val="00E921AE"/>
    <w:rsid w:val="00E921C9"/>
    <w:rsid w:val="00E92216"/>
    <w:rsid w:val="00E922E7"/>
    <w:rsid w:val="00E92319"/>
    <w:rsid w:val="00E92321"/>
    <w:rsid w:val="00E92386"/>
    <w:rsid w:val="00E923FF"/>
    <w:rsid w:val="00E92426"/>
    <w:rsid w:val="00E92433"/>
    <w:rsid w:val="00E9247C"/>
    <w:rsid w:val="00E92492"/>
    <w:rsid w:val="00E92580"/>
    <w:rsid w:val="00E92597"/>
    <w:rsid w:val="00E9259F"/>
    <w:rsid w:val="00E925E8"/>
    <w:rsid w:val="00E92628"/>
    <w:rsid w:val="00E926B8"/>
    <w:rsid w:val="00E926F0"/>
    <w:rsid w:val="00E927DD"/>
    <w:rsid w:val="00E92823"/>
    <w:rsid w:val="00E928C6"/>
    <w:rsid w:val="00E9290C"/>
    <w:rsid w:val="00E9298E"/>
    <w:rsid w:val="00E92A93"/>
    <w:rsid w:val="00E92ABA"/>
    <w:rsid w:val="00E92B23"/>
    <w:rsid w:val="00E92B40"/>
    <w:rsid w:val="00E92B6A"/>
    <w:rsid w:val="00E92B9B"/>
    <w:rsid w:val="00E92BC3"/>
    <w:rsid w:val="00E92C0A"/>
    <w:rsid w:val="00E92C10"/>
    <w:rsid w:val="00E92C15"/>
    <w:rsid w:val="00E92C98"/>
    <w:rsid w:val="00E92CB3"/>
    <w:rsid w:val="00E92D64"/>
    <w:rsid w:val="00E92D7A"/>
    <w:rsid w:val="00E92DFC"/>
    <w:rsid w:val="00E92E09"/>
    <w:rsid w:val="00E92E46"/>
    <w:rsid w:val="00E92E7F"/>
    <w:rsid w:val="00E92EDC"/>
    <w:rsid w:val="00E92FB1"/>
    <w:rsid w:val="00E93032"/>
    <w:rsid w:val="00E930A3"/>
    <w:rsid w:val="00E930A4"/>
    <w:rsid w:val="00E930B9"/>
    <w:rsid w:val="00E930C9"/>
    <w:rsid w:val="00E93103"/>
    <w:rsid w:val="00E9320B"/>
    <w:rsid w:val="00E9323A"/>
    <w:rsid w:val="00E9329C"/>
    <w:rsid w:val="00E932FB"/>
    <w:rsid w:val="00E9330E"/>
    <w:rsid w:val="00E93325"/>
    <w:rsid w:val="00E9332A"/>
    <w:rsid w:val="00E93330"/>
    <w:rsid w:val="00E9333E"/>
    <w:rsid w:val="00E933E0"/>
    <w:rsid w:val="00E9351B"/>
    <w:rsid w:val="00E93539"/>
    <w:rsid w:val="00E9356A"/>
    <w:rsid w:val="00E93583"/>
    <w:rsid w:val="00E935A5"/>
    <w:rsid w:val="00E935D1"/>
    <w:rsid w:val="00E93607"/>
    <w:rsid w:val="00E93756"/>
    <w:rsid w:val="00E937B1"/>
    <w:rsid w:val="00E9382F"/>
    <w:rsid w:val="00E9389E"/>
    <w:rsid w:val="00E938CD"/>
    <w:rsid w:val="00E9397C"/>
    <w:rsid w:val="00E939C0"/>
    <w:rsid w:val="00E939D1"/>
    <w:rsid w:val="00E93A01"/>
    <w:rsid w:val="00E93A2D"/>
    <w:rsid w:val="00E93A42"/>
    <w:rsid w:val="00E93A67"/>
    <w:rsid w:val="00E93A76"/>
    <w:rsid w:val="00E93AA3"/>
    <w:rsid w:val="00E93AFC"/>
    <w:rsid w:val="00E93B80"/>
    <w:rsid w:val="00E93BC6"/>
    <w:rsid w:val="00E93BE6"/>
    <w:rsid w:val="00E93BEB"/>
    <w:rsid w:val="00E93C05"/>
    <w:rsid w:val="00E93C63"/>
    <w:rsid w:val="00E93C8E"/>
    <w:rsid w:val="00E93CCF"/>
    <w:rsid w:val="00E93CEB"/>
    <w:rsid w:val="00E93D08"/>
    <w:rsid w:val="00E93D22"/>
    <w:rsid w:val="00E93DCB"/>
    <w:rsid w:val="00E93E74"/>
    <w:rsid w:val="00E93E8C"/>
    <w:rsid w:val="00E93EB6"/>
    <w:rsid w:val="00E93EFA"/>
    <w:rsid w:val="00E93F54"/>
    <w:rsid w:val="00E93F7D"/>
    <w:rsid w:val="00E93FD9"/>
    <w:rsid w:val="00E9401C"/>
    <w:rsid w:val="00E94025"/>
    <w:rsid w:val="00E9402F"/>
    <w:rsid w:val="00E940F2"/>
    <w:rsid w:val="00E94113"/>
    <w:rsid w:val="00E941A7"/>
    <w:rsid w:val="00E9425B"/>
    <w:rsid w:val="00E94260"/>
    <w:rsid w:val="00E9435D"/>
    <w:rsid w:val="00E94491"/>
    <w:rsid w:val="00E944A7"/>
    <w:rsid w:val="00E944B4"/>
    <w:rsid w:val="00E944DB"/>
    <w:rsid w:val="00E944E8"/>
    <w:rsid w:val="00E9469E"/>
    <w:rsid w:val="00E94709"/>
    <w:rsid w:val="00E9473B"/>
    <w:rsid w:val="00E9480A"/>
    <w:rsid w:val="00E94811"/>
    <w:rsid w:val="00E9494A"/>
    <w:rsid w:val="00E9496C"/>
    <w:rsid w:val="00E949AD"/>
    <w:rsid w:val="00E94A55"/>
    <w:rsid w:val="00E94AFE"/>
    <w:rsid w:val="00E94B23"/>
    <w:rsid w:val="00E94BE6"/>
    <w:rsid w:val="00E94CAA"/>
    <w:rsid w:val="00E94CEA"/>
    <w:rsid w:val="00E94D21"/>
    <w:rsid w:val="00E94D2E"/>
    <w:rsid w:val="00E94D40"/>
    <w:rsid w:val="00E94E0E"/>
    <w:rsid w:val="00E94E5E"/>
    <w:rsid w:val="00E94F5A"/>
    <w:rsid w:val="00E94F87"/>
    <w:rsid w:val="00E94FE4"/>
    <w:rsid w:val="00E94FF9"/>
    <w:rsid w:val="00E94FFE"/>
    <w:rsid w:val="00E95054"/>
    <w:rsid w:val="00E95077"/>
    <w:rsid w:val="00E950CA"/>
    <w:rsid w:val="00E952CC"/>
    <w:rsid w:val="00E95313"/>
    <w:rsid w:val="00E953AF"/>
    <w:rsid w:val="00E95423"/>
    <w:rsid w:val="00E9543E"/>
    <w:rsid w:val="00E9546A"/>
    <w:rsid w:val="00E9551A"/>
    <w:rsid w:val="00E955A2"/>
    <w:rsid w:val="00E955AE"/>
    <w:rsid w:val="00E95636"/>
    <w:rsid w:val="00E956AF"/>
    <w:rsid w:val="00E95749"/>
    <w:rsid w:val="00E9574C"/>
    <w:rsid w:val="00E95760"/>
    <w:rsid w:val="00E957EF"/>
    <w:rsid w:val="00E958A9"/>
    <w:rsid w:val="00E958B4"/>
    <w:rsid w:val="00E958E4"/>
    <w:rsid w:val="00E95901"/>
    <w:rsid w:val="00E95949"/>
    <w:rsid w:val="00E95984"/>
    <w:rsid w:val="00E959E4"/>
    <w:rsid w:val="00E95A28"/>
    <w:rsid w:val="00E95A35"/>
    <w:rsid w:val="00E95ACC"/>
    <w:rsid w:val="00E95B4D"/>
    <w:rsid w:val="00E95B7F"/>
    <w:rsid w:val="00E95C31"/>
    <w:rsid w:val="00E95CA7"/>
    <w:rsid w:val="00E95CBC"/>
    <w:rsid w:val="00E95CBE"/>
    <w:rsid w:val="00E95D08"/>
    <w:rsid w:val="00E95D13"/>
    <w:rsid w:val="00E95D2F"/>
    <w:rsid w:val="00E95D5E"/>
    <w:rsid w:val="00E95DDD"/>
    <w:rsid w:val="00E95E4F"/>
    <w:rsid w:val="00E95E7D"/>
    <w:rsid w:val="00E95EAA"/>
    <w:rsid w:val="00E95ED9"/>
    <w:rsid w:val="00E95EE9"/>
    <w:rsid w:val="00E95F1F"/>
    <w:rsid w:val="00E95F43"/>
    <w:rsid w:val="00E96030"/>
    <w:rsid w:val="00E96047"/>
    <w:rsid w:val="00E961AC"/>
    <w:rsid w:val="00E96254"/>
    <w:rsid w:val="00E96267"/>
    <w:rsid w:val="00E962D5"/>
    <w:rsid w:val="00E962F6"/>
    <w:rsid w:val="00E96326"/>
    <w:rsid w:val="00E96342"/>
    <w:rsid w:val="00E963F8"/>
    <w:rsid w:val="00E96407"/>
    <w:rsid w:val="00E964D1"/>
    <w:rsid w:val="00E96503"/>
    <w:rsid w:val="00E9652C"/>
    <w:rsid w:val="00E96598"/>
    <w:rsid w:val="00E965B3"/>
    <w:rsid w:val="00E965C2"/>
    <w:rsid w:val="00E965F9"/>
    <w:rsid w:val="00E9666E"/>
    <w:rsid w:val="00E96684"/>
    <w:rsid w:val="00E966DD"/>
    <w:rsid w:val="00E96734"/>
    <w:rsid w:val="00E96816"/>
    <w:rsid w:val="00E96891"/>
    <w:rsid w:val="00E969AE"/>
    <w:rsid w:val="00E969DF"/>
    <w:rsid w:val="00E96A01"/>
    <w:rsid w:val="00E96AF3"/>
    <w:rsid w:val="00E96B13"/>
    <w:rsid w:val="00E96B3F"/>
    <w:rsid w:val="00E96BE6"/>
    <w:rsid w:val="00E96C0D"/>
    <w:rsid w:val="00E96CB1"/>
    <w:rsid w:val="00E96CE5"/>
    <w:rsid w:val="00E96D29"/>
    <w:rsid w:val="00E96DB3"/>
    <w:rsid w:val="00E96E25"/>
    <w:rsid w:val="00E96E38"/>
    <w:rsid w:val="00E96E4A"/>
    <w:rsid w:val="00E96E57"/>
    <w:rsid w:val="00E96E5E"/>
    <w:rsid w:val="00E96E81"/>
    <w:rsid w:val="00E96E9F"/>
    <w:rsid w:val="00E96ECC"/>
    <w:rsid w:val="00E96FD9"/>
    <w:rsid w:val="00E9702C"/>
    <w:rsid w:val="00E97058"/>
    <w:rsid w:val="00E97061"/>
    <w:rsid w:val="00E97162"/>
    <w:rsid w:val="00E97252"/>
    <w:rsid w:val="00E9726C"/>
    <w:rsid w:val="00E9728D"/>
    <w:rsid w:val="00E972CD"/>
    <w:rsid w:val="00E972EF"/>
    <w:rsid w:val="00E97316"/>
    <w:rsid w:val="00E973F7"/>
    <w:rsid w:val="00E973FE"/>
    <w:rsid w:val="00E97420"/>
    <w:rsid w:val="00E9743B"/>
    <w:rsid w:val="00E974A6"/>
    <w:rsid w:val="00E975B7"/>
    <w:rsid w:val="00E976D9"/>
    <w:rsid w:val="00E9774C"/>
    <w:rsid w:val="00E977A1"/>
    <w:rsid w:val="00E9781B"/>
    <w:rsid w:val="00E9782B"/>
    <w:rsid w:val="00E9782D"/>
    <w:rsid w:val="00E978D1"/>
    <w:rsid w:val="00E97901"/>
    <w:rsid w:val="00E97958"/>
    <w:rsid w:val="00E979D4"/>
    <w:rsid w:val="00E979E3"/>
    <w:rsid w:val="00E97A1C"/>
    <w:rsid w:val="00E97A90"/>
    <w:rsid w:val="00E97B18"/>
    <w:rsid w:val="00E97B67"/>
    <w:rsid w:val="00E97C8A"/>
    <w:rsid w:val="00E97CBF"/>
    <w:rsid w:val="00E97CC7"/>
    <w:rsid w:val="00E97E3B"/>
    <w:rsid w:val="00E97EA4"/>
    <w:rsid w:val="00E97EB0"/>
    <w:rsid w:val="00E97EC9"/>
    <w:rsid w:val="00E97F01"/>
    <w:rsid w:val="00E97F24"/>
    <w:rsid w:val="00E97F25"/>
    <w:rsid w:val="00E97FBC"/>
    <w:rsid w:val="00E97FC7"/>
    <w:rsid w:val="00E97FD2"/>
    <w:rsid w:val="00EA00C1"/>
    <w:rsid w:val="00EA00CD"/>
    <w:rsid w:val="00EA0122"/>
    <w:rsid w:val="00EA0248"/>
    <w:rsid w:val="00EA02C3"/>
    <w:rsid w:val="00EA030C"/>
    <w:rsid w:val="00EA035D"/>
    <w:rsid w:val="00EA0381"/>
    <w:rsid w:val="00EA03A0"/>
    <w:rsid w:val="00EA03EF"/>
    <w:rsid w:val="00EA04F2"/>
    <w:rsid w:val="00EA0529"/>
    <w:rsid w:val="00EA0542"/>
    <w:rsid w:val="00EA05B3"/>
    <w:rsid w:val="00EA063B"/>
    <w:rsid w:val="00EA063C"/>
    <w:rsid w:val="00EA078C"/>
    <w:rsid w:val="00EA0798"/>
    <w:rsid w:val="00EA07AF"/>
    <w:rsid w:val="00EA0913"/>
    <w:rsid w:val="00EA0920"/>
    <w:rsid w:val="00EA0972"/>
    <w:rsid w:val="00EA097C"/>
    <w:rsid w:val="00EA09DE"/>
    <w:rsid w:val="00EA0A4A"/>
    <w:rsid w:val="00EA0A6A"/>
    <w:rsid w:val="00EA0A6C"/>
    <w:rsid w:val="00EA0A9A"/>
    <w:rsid w:val="00EA0AD3"/>
    <w:rsid w:val="00EA0C73"/>
    <w:rsid w:val="00EA0D00"/>
    <w:rsid w:val="00EA0D0E"/>
    <w:rsid w:val="00EA0D49"/>
    <w:rsid w:val="00EA0D81"/>
    <w:rsid w:val="00EA0D94"/>
    <w:rsid w:val="00EA0ECD"/>
    <w:rsid w:val="00EA0FEB"/>
    <w:rsid w:val="00EA109B"/>
    <w:rsid w:val="00EA10F8"/>
    <w:rsid w:val="00EA116F"/>
    <w:rsid w:val="00EA1199"/>
    <w:rsid w:val="00EA11F8"/>
    <w:rsid w:val="00EA1387"/>
    <w:rsid w:val="00EA13D0"/>
    <w:rsid w:val="00EA1438"/>
    <w:rsid w:val="00EA1606"/>
    <w:rsid w:val="00EA1608"/>
    <w:rsid w:val="00EA1629"/>
    <w:rsid w:val="00EA162A"/>
    <w:rsid w:val="00EA1682"/>
    <w:rsid w:val="00EA16BF"/>
    <w:rsid w:val="00EA17B6"/>
    <w:rsid w:val="00EA18C9"/>
    <w:rsid w:val="00EA1916"/>
    <w:rsid w:val="00EA1975"/>
    <w:rsid w:val="00EA1982"/>
    <w:rsid w:val="00EA199C"/>
    <w:rsid w:val="00EA19DB"/>
    <w:rsid w:val="00EA19DC"/>
    <w:rsid w:val="00EA1A22"/>
    <w:rsid w:val="00EA1A48"/>
    <w:rsid w:val="00EA1A60"/>
    <w:rsid w:val="00EA1A61"/>
    <w:rsid w:val="00EA1A7E"/>
    <w:rsid w:val="00EA1AB5"/>
    <w:rsid w:val="00EA1AC5"/>
    <w:rsid w:val="00EA1B0A"/>
    <w:rsid w:val="00EA1B15"/>
    <w:rsid w:val="00EA1B39"/>
    <w:rsid w:val="00EA1B80"/>
    <w:rsid w:val="00EA1B89"/>
    <w:rsid w:val="00EA1BBF"/>
    <w:rsid w:val="00EA1BE6"/>
    <w:rsid w:val="00EA1C82"/>
    <w:rsid w:val="00EA1C8A"/>
    <w:rsid w:val="00EA1C90"/>
    <w:rsid w:val="00EA1CA7"/>
    <w:rsid w:val="00EA1CAC"/>
    <w:rsid w:val="00EA1CCE"/>
    <w:rsid w:val="00EA1CD2"/>
    <w:rsid w:val="00EA1CE6"/>
    <w:rsid w:val="00EA1E5C"/>
    <w:rsid w:val="00EA1E98"/>
    <w:rsid w:val="00EA1EBB"/>
    <w:rsid w:val="00EA1EBC"/>
    <w:rsid w:val="00EA1F0A"/>
    <w:rsid w:val="00EA1F2B"/>
    <w:rsid w:val="00EA2022"/>
    <w:rsid w:val="00EA2055"/>
    <w:rsid w:val="00EA2094"/>
    <w:rsid w:val="00EA20C4"/>
    <w:rsid w:val="00EA216E"/>
    <w:rsid w:val="00EA2195"/>
    <w:rsid w:val="00EA2206"/>
    <w:rsid w:val="00EA224E"/>
    <w:rsid w:val="00EA229D"/>
    <w:rsid w:val="00EA22C3"/>
    <w:rsid w:val="00EA22F9"/>
    <w:rsid w:val="00EA2335"/>
    <w:rsid w:val="00EA239E"/>
    <w:rsid w:val="00EA23FC"/>
    <w:rsid w:val="00EA2439"/>
    <w:rsid w:val="00EA243F"/>
    <w:rsid w:val="00EA244E"/>
    <w:rsid w:val="00EA24FE"/>
    <w:rsid w:val="00EA2535"/>
    <w:rsid w:val="00EA254A"/>
    <w:rsid w:val="00EA2583"/>
    <w:rsid w:val="00EA2598"/>
    <w:rsid w:val="00EA25F8"/>
    <w:rsid w:val="00EA260C"/>
    <w:rsid w:val="00EA26BD"/>
    <w:rsid w:val="00EA26D0"/>
    <w:rsid w:val="00EA26E9"/>
    <w:rsid w:val="00EA2744"/>
    <w:rsid w:val="00EA2774"/>
    <w:rsid w:val="00EA27E6"/>
    <w:rsid w:val="00EA2846"/>
    <w:rsid w:val="00EA285D"/>
    <w:rsid w:val="00EA2866"/>
    <w:rsid w:val="00EA2880"/>
    <w:rsid w:val="00EA291C"/>
    <w:rsid w:val="00EA2923"/>
    <w:rsid w:val="00EA29BA"/>
    <w:rsid w:val="00EA2A80"/>
    <w:rsid w:val="00EA2B5A"/>
    <w:rsid w:val="00EA2B60"/>
    <w:rsid w:val="00EA2BA0"/>
    <w:rsid w:val="00EA2C15"/>
    <w:rsid w:val="00EA2C57"/>
    <w:rsid w:val="00EA2CD7"/>
    <w:rsid w:val="00EA2CE0"/>
    <w:rsid w:val="00EA2DA9"/>
    <w:rsid w:val="00EA2E1A"/>
    <w:rsid w:val="00EA2E98"/>
    <w:rsid w:val="00EA2EB1"/>
    <w:rsid w:val="00EA2EF6"/>
    <w:rsid w:val="00EA2F10"/>
    <w:rsid w:val="00EA2F2E"/>
    <w:rsid w:val="00EA2F69"/>
    <w:rsid w:val="00EA2FE5"/>
    <w:rsid w:val="00EA3014"/>
    <w:rsid w:val="00EA3039"/>
    <w:rsid w:val="00EA3106"/>
    <w:rsid w:val="00EA3130"/>
    <w:rsid w:val="00EA3137"/>
    <w:rsid w:val="00EA3153"/>
    <w:rsid w:val="00EA319A"/>
    <w:rsid w:val="00EA31A7"/>
    <w:rsid w:val="00EA31A8"/>
    <w:rsid w:val="00EA3206"/>
    <w:rsid w:val="00EA320F"/>
    <w:rsid w:val="00EA3262"/>
    <w:rsid w:val="00EA32A6"/>
    <w:rsid w:val="00EA3408"/>
    <w:rsid w:val="00EA3448"/>
    <w:rsid w:val="00EA34AF"/>
    <w:rsid w:val="00EA3506"/>
    <w:rsid w:val="00EA35A8"/>
    <w:rsid w:val="00EA35FC"/>
    <w:rsid w:val="00EA3618"/>
    <w:rsid w:val="00EA37B4"/>
    <w:rsid w:val="00EA37D0"/>
    <w:rsid w:val="00EA37E4"/>
    <w:rsid w:val="00EA3859"/>
    <w:rsid w:val="00EA38B4"/>
    <w:rsid w:val="00EA38C9"/>
    <w:rsid w:val="00EA3940"/>
    <w:rsid w:val="00EA3988"/>
    <w:rsid w:val="00EA3A1C"/>
    <w:rsid w:val="00EA3A62"/>
    <w:rsid w:val="00EA3A97"/>
    <w:rsid w:val="00EA3B6F"/>
    <w:rsid w:val="00EA3B7A"/>
    <w:rsid w:val="00EA3BAD"/>
    <w:rsid w:val="00EA3BE6"/>
    <w:rsid w:val="00EA3C3B"/>
    <w:rsid w:val="00EA3C64"/>
    <w:rsid w:val="00EA3C7E"/>
    <w:rsid w:val="00EA3CB1"/>
    <w:rsid w:val="00EA3CDA"/>
    <w:rsid w:val="00EA3CEE"/>
    <w:rsid w:val="00EA3D34"/>
    <w:rsid w:val="00EA3D62"/>
    <w:rsid w:val="00EA3ED9"/>
    <w:rsid w:val="00EA3F6D"/>
    <w:rsid w:val="00EA3FF5"/>
    <w:rsid w:val="00EA4048"/>
    <w:rsid w:val="00EA405F"/>
    <w:rsid w:val="00EA40B3"/>
    <w:rsid w:val="00EA40B6"/>
    <w:rsid w:val="00EA40E2"/>
    <w:rsid w:val="00EA4131"/>
    <w:rsid w:val="00EA413A"/>
    <w:rsid w:val="00EA416A"/>
    <w:rsid w:val="00EA41BD"/>
    <w:rsid w:val="00EA41D7"/>
    <w:rsid w:val="00EA41FB"/>
    <w:rsid w:val="00EA424E"/>
    <w:rsid w:val="00EA429A"/>
    <w:rsid w:val="00EA42E4"/>
    <w:rsid w:val="00EA4326"/>
    <w:rsid w:val="00EA443C"/>
    <w:rsid w:val="00EA4479"/>
    <w:rsid w:val="00EA447F"/>
    <w:rsid w:val="00EA4544"/>
    <w:rsid w:val="00EA4547"/>
    <w:rsid w:val="00EA45C2"/>
    <w:rsid w:val="00EA4683"/>
    <w:rsid w:val="00EA4699"/>
    <w:rsid w:val="00EA473E"/>
    <w:rsid w:val="00EA4755"/>
    <w:rsid w:val="00EA4818"/>
    <w:rsid w:val="00EA48B7"/>
    <w:rsid w:val="00EA48FE"/>
    <w:rsid w:val="00EA4952"/>
    <w:rsid w:val="00EA495D"/>
    <w:rsid w:val="00EA4A34"/>
    <w:rsid w:val="00EA4AA9"/>
    <w:rsid w:val="00EA4B70"/>
    <w:rsid w:val="00EA4BB3"/>
    <w:rsid w:val="00EA4BC6"/>
    <w:rsid w:val="00EA4BE8"/>
    <w:rsid w:val="00EA4BFA"/>
    <w:rsid w:val="00EA4C08"/>
    <w:rsid w:val="00EA4C99"/>
    <w:rsid w:val="00EA4CFA"/>
    <w:rsid w:val="00EA4D41"/>
    <w:rsid w:val="00EA4D51"/>
    <w:rsid w:val="00EA4D90"/>
    <w:rsid w:val="00EA4DDB"/>
    <w:rsid w:val="00EA4DFF"/>
    <w:rsid w:val="00EA4E1A"/>
    <w:rsid w:val="00EA4EE3"/>
    <w:rsid w:val="00EA4FA1"/>
    <w:rsid w:val="00EA5004"/>
    <w:rsid w:val="00EA504D"/>
    <w:rsid w:val="00EA5080"/>
    <w:rsid w:val="00EA5084"/>
    <w:rsid w:val="00EA50A5"/>
    <w:rsid w:val="00EA50B5"/>
    <w:rsid w:val="00EA50D8"/>
    <w:rsid w:val="00EA510C"/>
    <w:rsid w:val="00EA5189"/>
    <w:rsid w:val="00EA51CC"/>
    <w:rsid w:val="00EA5214"/>
    <w:rsid w:val="00EA5243"/>
    <w:rsid w:val="00EA5346"/>
    <w:rsid w:val="00EA53A7"/>
    <w:rsid w:val="00EA53D2"/>
    <w:rsid w:val="00EA5441"/>
    <w:rsid w:val="00EA5446"/>
    <w:rsid w:val="00EA544D"/>
    <w:rsid w:val="00EA54F6"/>
    <w:rsid w:val="00EA54FB"/>
    <w:rsid w:val="00EA559B"/>
    <w:rsid w:val="00EA55B5"/>
    <w:rsid w:val="00EA55B7"/>
    <w:rsid w:val="00EA55C4"/>
    <w:rsid w:val="00EA55CA"/>
    <w:rsid w:val="00EA5610"/>
    <w:rsid w:val="00EA568C"/>
    <w:rsid w:val="00EA569A"/>
    <w:rsid w:val="00EA56A5"/>
    <w:rsid w:val="00EA56BF"/>
    <w:rsid w:val="00EA5717"/>
    <w:rsid w:val="00EA580B"/>
    <w:rsid w:val="00EA5852"/>
    <w:rsid w:val="00EA5864"/>
    <w:rsid w:val="00EA5875"/>
    <w:rsid w:val="00EA58D1"/>
    <w:rsid w:val="00EA592A"/>
    <w:rsid w:val="00EA592E"/>
    <w:rsid w:val="00EA595C"/>
    <w:rsid w:val="00EA5984"/>
    <w:rsid w:val="00EA5A41"/>
    <w:rsid w:val="00EA5A6F"/>
    <w:rsid w:val="00EA5A76"/>
    <w:rsid w:val="00EA5AE1"/>
    <w:rsid w:val="00EA5B2B"/>
    <w:rsid w:val="00EA5C62"/>
    <w:rsid w:val="00EA5CAA"/>
    <w:rsid w:val="00EA5CF6"/>
    <w:rsid w:val="00EA5DA4"/>
    <w:rsid w:val="00EA5E52"/>
    <w:rsid w:val="00EA5E5E"/>
    <w:rsid w:val="00EA5E69"/>
    <w:rsid w:val="00EA6027"/>
    <w:rsid w:val="00EA602E"/>
    <w:rsid w:val="00EA6111"/>
    <w:rsid w:val="00EA618B"/>
    <w:rsid w:val="00EA61A1"/>
    <w:rsid w:val="00EA6218"/>
    <w:rsid w:val="00EA6227"/>
    <w:rsid w:val="00EA6264"/>
    <w:rsid w:val="00EA62BB"/>
    <w:rsid w:val="00EA62E7"/>
    <w:rsid w:val="00EA62F0"/>
    <w:rsid w:val="00EA62FC"/>
    <w:rsid w:val="00EA6349"/>
    <w:rsid w:val="00EA6387"/>
    <w:rsid w:val="00EA63F9"/>
    <w:rsid w:val="00EA645C"/>
    <w:rsid w:val="00EA652B"/>
    <w:rsid w:val="00EA653C"/>
    <w:rsid w:val="00EA655F"/>
    <w:rsid w:val="00EA6659"/>
    <w:rsid w:val="00EA669D"/>
    <w:rsid w:val="00EA66BF"/>
    <w:rsid w:val="00EA66FB"/>
    <w:rsid w:val="00EA672F"/>
    <w:rsid w:val="00EA673B"/>
    <w:rsid w:val="00EA67CD"/>
    <w:rsid w:val="00EA67EF"/>
    <w:rsid w:val="00EA6832"/>
    <w:rsid w:val="00EA686A"/>
    <w:rsid w:val="00EA68A5"/>
    <w:rsid w:val="00EA68E8"/>
    <w:rsid w:val="00EA692F"/>
    <w:rsid w:val="00EA6969"/>
    <w:rsid w:val="00EA6A57"/>
    <w:rsid w:val="00EA6AAC"/>
    <w:rsid w:val="00EA6AFA"/>
    <w:rsid w:val="00EA6B32"/>
    <w:rsid w:val="00EA6B9C"/>
    <w:rsid w:val="00EA6BFA"/>
    <w:rsid w:val="00EA6C28"/>
    <w:rsid w:val="00EA6C6F"/>
    <w:rsid w:val="00EA6CA0"/>
    <w:rsid w:val="00EA6CD7"/>
    <w:rsid w:val="00EA6D4B"/>
    <w:rsid w:val="00EA6D92"/>
    <w:rsid w:val="00EA6DD2"/>
    <w:rsid w:val="00EA6E41"/>
    <w:rsid w:val="00EA6E45"/>
    <w:rsid w:val="00EA6EA0"/>
    <w:rsid w:val="00EA6EC9"/>
    <w:rsid w:val="00EA6F6F"/>
    <w:rsid w:val="00EA6F9A"/>
    <w:rsid w:val="00EA6FBD"/>
    <w:rsid w:val="00EA6FC5"/>
    <w:rsid w:val="00EA7073"/>
    <w:rsid w:val="00EA7142"/>
    <w:rsid w:val="00EA7199"/>
    <w:rsid w:val="00EA71BB"/>
    <w:rsid w:val="00EA71E0"/>
    <w:rsid w:val="00EA71E2"/>
    <w:rsid w:val="00EA7269"/>
    <w:rsid w:val="00EA72D8"/>
    <w:rsid w:val="00EA735E"/>
    <w:rsid w:val="00EA7409"/>
    <w:rsid w:val="00EA74C4"/>
    <w:rsid w:val="00EA74E1"/>
    <w:rsid w:val="00EA754C"/>
    <w:rsid w:val="00EA757B"/>
    <w:rsid w:val="00EA7654"/>
    <w:rsid w:val="00EA7737"/>
    <w:rsid w:val="00EA779A"/>
    <w:rsid w:val="00EA77DC"/>
    <w:rsid w:val="00EA77FB"/>
    <w:rsid w:val="00EA7887"/>
    <w:rsid w:val="00EA7899"/>
    <w:rsid w:val="00EA78B5"/>
    <w:rsid w:val="00EA7999"/>
    <w:rsid w:val="00EA7A31"/>
    <w:rsid w:val="00EA7A8A"/>
    <w:rsid w:val="00EA7A8B"/>
    <w:rsid w:val="00EA7BE9"/>
    <w:rsid w:val="00EA7BF7"/>
    <w:rsid w:val="00EA7C8A"/>
    <w:rsid w:val="00EA7C91"/>
    <w:rsid w:val="00EA7D5B"/>
    <w:rsid w:val="00EA7E8B"/>
    <w:rsid w:val="00EA7EDC"/>
    <w:rsid w:val="00EA7F2F"/>
    <w:rsid w:val="00EA7F39"/>
    <w:rsid w:val="00EA7F82"/>
    <w:rsid w:val="00EA7F84"/>
    <w:rsid w:val="00EA7F8B"/>
    <w:rsid w:val="00EA7FF6"/>
    <w:rsid w:val="00EB001B"/>
    <w:rsid w:val="00EB0064"/>
    <w:rsid w:val="00EB00B1"/>
    <w:rsid w:val="00EB0177"/>
    <w:rsid w:val="00EB019C"/>
    <w:rsid w:val="00EB01BD"/>
    <w:rsid w:val="00EB01F1"/>
    <w:rsid w:val="00EB01FD"/>
    <w:rsid w:val="00EB0220"/>
    <w:rsid w:val="00EB0229"/>
    <w:rsid w:val="00EB0256"/>
    <w:rsid w:val="00EB0288"/>
    <w:rsid w:val="00EB0289"/>
    <w:rsid w:val="00EB02C6"/>
    <w:rsid w:val="00EB02D7"/>
    <w:rsid w:val="00EB0337"/>
    <w:rsid w:val="00EB033D"/>
    <w:rsid w:val="00EB0494"/>
    <w:rsid w:val="00EB04C5"/>
    <w:rsid w:val="00EB0516"/>
    <w:rsid w:val="00EB051F"/>
    <w:rsid w:val="00EB0534"/>
    <w:rsid w:val="00EB053B"/>
    <w:rsid w:val="00EB0571"/>
    <w:rsid w:val="00EB05A6"/>
    <w:rsid w:val="00EB05AC"/>
    <w:rsid w:val="00EB05C6"/>
    <w:rsid w:val="00EB05E6"/>
    <w:rsid w:val="00EB05F4"/>
    <w:rsid w:val="00EB0634"/>
    <w:rsid w:val="00EB0641"/>
    <w:rsid w:val="00EB0648"/>
    <w:rsid w:val="00EB069C"/>
    <w:rsid w:val="00EB07B1"/>
    <w:rsid w:val="00EB08C8"/>
    <w:rsid w:val="00EB091E"/>
    <w:rsid w:val="00EB097E"/>
    <w:rsid w:val="00EB0A09"/>
    <w:rsid w:val="00EB0A68"/>
    <w:rsid w:val="00EB0B44"/>
    <w:rsid w:val="00EB0C20"/>
    <w:rsid w:val="00EB0C3F"/>
    <w:rsid w:val="00EB0C8A"/>
    <w:rsid w:val="00EB0CB9"/>
    <w:rsid w:val="00EB0CEC"/>
    <w:rsid w:val="00EB0D6C"/>
    <w:rsid w:val="00EB0DAD"/>
    <w:rsid w:val="00EB0E00"/>
    <w:rsid w:val="00EB0E22"/>
    <w:rsid w:val="00EB0EFE"/>
    <w:rsid w:val="00EB0F09"/>
    <w:rsid w:val="00EB106D"/>
    <w:rsid w:val="00EB106F"/>
    <w:rsid w:val="00EB1108"/>
    <w:rsid w:val="00EB1280"/>
    <w:rsid w:val="00EB12F1"/>
    <w:rsid w:val="00EB13C8"/>
    <w:rsid w:val="00EB13E6"/>
    <w:rsid w:val="00EB1431"/>
    <w:rsid w:val="00EB1480"/>
    <w:rsid w:val="00EB149B"/>
    <w:rsid w:val="00EB14F4"/>
    <w:rsid w:val="00EB14FF"/>
    <w:rsid w:val="00EB1509"/>
    <w:rsid w:val="00EB1519"/>
    <w:rsid w:val="00EB1523"/>
    <w:rsid w:val="00EB1543"/>
    <w:rsid w:val="00EB154F"/>
    <w:rsid w:val="00EB1589"/>
    <w:rsid w:val="00EB1688"/>
    <w:rsid w:val="00EB16C6"/>
    <w:rsid w:val="00EB179A"/>
    <w:rsid w:val="00EB185F"/>
    <w:rsid w:val="00EB1880"/>
    <w:rsid w:val="00EB18A7"/>
    <w:rsid w:val="00EB18FC"/>
    <w:rsid w:val="00EB1991"/>
    <w:rsid w:val="00EB19A1"/>
    <w:rsid w:val="00EB1A2D"/>
    <w:rsid w:val="00EB1A46"/>
    <w:rsid w:val="00EB1A89"/>
    <w:rsid w:val="00EB1AFE"/>
    <w:rsid w:val="00EB1B09"/>
    <w:rsid w:val="00EB1B66"/>
    <w:rsid w:val="00EB1BDF"/>
    <w:rsid w:val="00EB1C29"/>
    <w:rsid w:val="00EB1C98"/>
    <w:rsid w:val="00EB1ED1"/>
    <w:rsid w:val="00EB1F41"/>
    <w:rsid w:val="00EB1F81"/>
    <w:rsid w:val="00EB2002"/>
    <w:rsid w:val="00EB2071"/>
    <w:rsid w:val="00EB2137"/>
    <w:rsid w:val="00EB21B6"/>
    <w:rsid w:val="00EB2202"/>
    <w:rsid w:val="00EB2295"/>
    <w:rsid w:val="00EB22F5"/>
    <w:rsid w:val="00EB22FD"/>
    <w:rsid w:val="00EB2304"/>
    <w:rsid w:val="00EB2306"/>
    <w:rsid w:val="00EB241F"/>
    <w:rsid w:val="00EB245E"/>
    <w:rsid w:val="00EB24A0"/>
    <w:rsid w:val="00EB2536"/>
    <w:rsid w:val="00EB256F"/>
    <w:rsid w:val="00EB2575"/>
    <w:rsid w:val="00EB25A4"/>
    <w:rsid w:val="00EB25CF"/>
    <w:rsid w:val="00EB2600"/>
    <w:rsid w:val="00EB263D"/>
    <w:rsid w:val="00EB26CA"/>
    <w:rsid w:val="00EB2702"/>
    <w:rsid w:val="00EB281D"/>
    <w:rsid w:val="00EB28C2"/>
    <w:rsid w:val="00EB29FA"/>
    <w:rsid w:val="00EB2A1E"/>
    <w:rsid w:val="00EB2B44"/>
    <w:rsid w:val="00EB2B76"/>
    <w:rsid w:val="00EB2C1A"/>
    <w:rsid w:val="00EB2C68"/>
    <w:rsid w:val="00EB2C72"/>
    <w:rsid w:val="00EB2C7B"/>
    <w:rsid w:val="00EB2C98"/>
    <w:rsid w:val="00EB2CF4"/>
    <w:rsid w:val="00EB2CFB"/>
    <w:rsid w:val="00EB2D1D"/>
    <w:rsid w:val="00EB2D6C"/>
    <w:rsid w:val="00EB2D6F"/>
    <w:rsid w:val="00EB2DF4"/>
    <w:rsid w:val="00EB2E0C"/>
    <w:rsid w:val="00EB2E2C"/>
    <w:rsid w:val="00EB2F29"/>
    <w:rsid w:val="00EB2F9B"/>
    <w:rsid w:val="00EB2FA9"/>
    <w:rsid w:val="00EB2FCB"/>
    <w:rsid w:val="00EB303B"/>
    <w:rsid w:val="00EB3040"/>
    <w:rsid w:val="00EB305D"/>
    <w:rsid w:val="00EB3127"/>
    <w:rsid w:val="00EB312E"/>
    <w:rsid w:val="00EB325D"/>
    <w:rsid w:val="00EB336B"/>
    <w:rsid w:val="00EB33B7"/>
    <w:rsid w:val="00EB33DB"/>
    <w:rsid w:val="00EB34D3"/>
    <w:rsid w:val="00EB35AC"/>
    <w:rsid w:val="00EB3627"/>
    <w:rsid w:val="00EB362B"/>
    <w:rsid w:val="00EB3689"/>
    <w:rsid w:val="00EB374F"/>
    <w:rsid w:val="00EB37BD"/>
    <w:rsid w:val="00EB37E4"/>
    <w:rsid w:val="00EB3858"/>
    <w:rsid w:val="00EB38DD"/>
    <w:rsid w:val="00EB3915"/>
    <w:rsid w:val="00EB3959"/>
    <w:rsid w:val="00EB39C2"/>
    <w:rsid w:val="00EB39CB"/>
    <w:rsid w:val="00EB3A93"/>
    <w:rsid w:val="00EB3B97"/>
    <w:rsid w:val="00EB3BFE"/>
    <w:rsid w:val="00EB3C2C"/>
    <w:rsid w:val="00EB3C5C"/>
    <w:rsid w:val="00EB3C75"/>
    <w:rsid w:val="00EB3CE3"/>
    <w:rsid w:val="00EB3CE6"/>
    <w:rsid w:val="00EB3D1E"/>
    <w:rsid w:val="00EB3D66"/>
    <w:rsid w:val="00EB3D97"/>
    <w:rsid w:val="00EB3DC1"/>
    <w:rsid w:val="00EB3EB9"/>
    <w:rsid w:val="00EB3F0A"/>
    <w:rsid w:val="00EB40AE"/>
    <w:rsid w:val="00EB40C1"/>
    <w:rsid w:val="00EB40C8"/>
    <w:rsid w:val="00EB4115"/>
    <w:rsid w:val="00EB4119"/>
    <w:rsid w:val="00EB416B"/>
    <w:rsid w:val="00EB41AF"/>
    <w:rsid w:val="00EB41CD"/>
    <w:rsid w:val="00EB41D2"/>
    <w:rsid w:val="00EB4268"/>
    <w:rsid w:val="00EB42F0"/>
    <w:rsid w:val="00EB42FE"/>
    <w:rsid w:val="00EB4324"/>
    <w:rsid w:val="00EB43D4"/>
    <w:rsid w:val="00EB43F6"/>
    <w:rsid w:val="00EB443E"/>
    <w:rsid w:val="00EB4514"/>
    <w:rsid w:val="00EB4576"/>
    <w:rsid w:val="00EB4582"/>
    <w:rsid w:val="00EB4585"/>
    <w:rsid w:val="00EB4595"/>
    <w:rsid w:val="00EB45EA"/>
    <w:rsid w:val="00EB4603"/>
    <w:rsid w:val="00EB4617"/>
    <w:rsid w:val="00EB4670"/>
    <w:rsid w:val="00EB468F"/>
    <w:rsid w:val="00EB46EB"/>
    <w:rsid w:val="00EB470B"/>
    <w:rsid w:val="00EB48E0"/>
    <w:rsid w:val="00EB497E"/>
    <w:rsid w:val="00EB49CB"/>
    <w:rsid w:val="00EB4A54"/>
    <w:rsid w:val="00EB4A72"/>
    <w:rsid w:val="00EB4B74"/>
    <w:rsid w:val="00EB4BE5"/>
    <w:rsid w:val="00EB4C40"/>
    <w:rsid w:val="00EB4C88"/>
    <w:rsid w:val="00EB4CDA"/>
    <w:rsid w:val="00EB4CE5"/>
    <w:rsid w:val="00EB4CF0"/>
    <w:rsid w:val="00EB4D7B"/>
    <w:rsid w:val="00EB4EA5"/>
    <w:rsid w:val="00EB4ED7"/>
    <w:rsid w:val="00EB4F10"/>
    <w:rsid w:val="00EB4F8D"/>
    <w:rsid w:val="00EB5038"/>
    <w:rsid w:val="00EB5053"/>
    <w:rsid w:val="00EB50B6"/>
    <w:rsid w:val="00EB50F2"/>
    <w:rsid w:val="00EB5126"/>
    <w:rsid w:val="00EB5127"/>
    <w:rsid w:val="00EB515C"/>
    <w:rsid w:val="00EB5212"/>
    <w:rsid w:val="00EB521D"/>
    <w:rsid w:val="00EB52B8"/>
    <w:rsid w:val="00EB5394"/>
    <w:rsid w:val="00EB5397"/>
    <w:rsid w:val="00EB53EC"/>
    <w:rsid w:val="00EB541F"/>
    <w:rsid w:val="00EB5458"/>
    <w:rsid w:val="00EB54AA"/>
    <w:rsid w:val="00EB54F7"/>
    <w:rsid w:val="00EB5587"/>
    <w:rsid w:val="00EB55FA"/>
    <w:rsid w:val="00EB563B"/>
    <w:rsid w:val="00EB56D4"/>
    <w:rsid w:val="00EB56E7"/>
    <w:rsid w:val="00EB5701"/>
    <w:rsid w:val="00EB5766"/>
    <w:rsid w:val="00EB5777"/>
    <w:rsid w:val="00EB578A"/>
    <w:rsid w:val="00EB579C"/>
    <w:rsid w:val="00EB57C7"/>
    <w:rsid w:val="00EB580E"/>
    <w:rsid w:val="00EB588C"/>
    <w:rsid w:val="00EB5894"/>
    <w:rsid w:val="00EB5913"/>
    <w:rsid w:val="00EB59D4"/>
    <w:rsid w:val="00EB59FB"/>
    <w:rsid w:val="00EB5A91"/>
    <w:rsid w:val="00EB5B4A"/>
    <w:rsid w:val="00EB5B56"/>
    <w:rsid w:val="00EB5C67"/>
    <w:rsid w:val="00EB5CC6"/>
    <w:rsid w:val="00EB5D11"/>
    <w:rsid w:val="00EB5D27"/>
    <w:rsid w:val="00EB5D71"/>
    <w:rsid w:val="00EB5DEC"/>
    <w:rsid w:val="00EB5E4A"/>
    <w:rsid w:val="00EB5E68"/>
    <w:rsid w:val="00EB5EDE"/>
    <w:rsid w:val="00EB5F24"/>
    <w:rsid w:val="00EB5F9A"/>
    <w:rsid w:val="00EB5FD4"/>
    <w:rsid w:val="00EB5FDB"/>
    <w:rsid w:val="00EB60DD"/>
    <w:rsid w:val="00EB6142"/>
    <w:rsid w:val="00EB630D"/>
    <w:rsid w:val="00EB633F"/>
    <w:rsid w:val="00EB63D5"/>
    <w:rsid w:val="00EB6441"/>
    <w:rsid w:val="00EB646D"/>
    <w:rsid w:val="00EB64BF"/>
    <w:rsid w:val="00EB6500"/>
    <w:rsid w:val="00EB6553"/>
    <w:rsid w:val="00EB6579"/>
    <w:rsid w:val="00EB657C"/>
    <w:rsid w:val="00EB65BB"/>
    <w:rsid w:val="00EB6623"/>
    <w:rsid w:val="00EB6697"/>
    <w:rsid w:val="00EB66AE"/>
    <w:rsid w:val="00EB66BB"/>
    <w:rsid w:val="00EB66ED"/>
    <w:rsid w:val="00EB673F"/>
    <w:rsid w:val="00EB6768"/>
    <w:rsid w:val="00EB67FD"/>
    <w:rsid w:val="00EB68A9"/>
    <w:rsid w:val="00EB69DD"/>
    <w:rsid w:val="00EB6AFC"/>
    <w:rsid w:val="00EB6B63"/>
    <w:rsid w:val="00EB6B6B"/>
    <w:rsid w:val="00EB6BB4"/>
    <w:rsid w:val="00EB6CE3"/>
    <w:rsid w:val="00EB6CE7"/>
    <w:rsid w:val="00EB6D8C"/>
    <w:rsid w:val="00EB6E3F"/>
    <w:rsid w:val="00EB6F39"/>
    <w:rsid w:val="00EB7001"/>
    <w:rsid w:val="00EB701B"/>
    <w:rsid w:val="00EB7043"/>
    <w:rsid w:val="00EB7063"/>
    <w:rsid w:val="00EB70ED"/>
    <w:rsid w:val="00EB715E"/>
    <w:rsid w:val="00EB716A"/>
    <w:rsid w:val="00EB7220"/>
    <w:rsid w:val="00EB7280"/>
    <w:rsid w:val="00EB72C6"/>
    <w:rsid w:val="00EB72D1"/>
    <w:rsid w:val="00EB7326"/>
    <w:rsid w:val="00EB7361"/>
    <w:rsid w:val="00EB737B"/>
    <w:rsid w:val="00EB7393"/>
    <w:rsid w:val="00EB7402"/>
    <w:rsid w:val="00EB741C"/>
    <w:rsid w:val="00EB747D"/>
    <w:rsid w:val="00EB74DD"/>
    <w:rsid w:val="00EB7593"/>
    <w:rsid w:val="00EB75A6"/>
    <w:rsid w:val="00EB75EC"/>
    <w:rsid w:val="00EB75EE"/>
    <w:rsid w:val="00EB75F9"/>
    <w:rsid w:val="00EB75FA"/>
    <w:rsid w:val="00EB7679"/>
    <w:rsid w:val="00EB76BC"/>
    <w:rsid w:val="00EB76E0"/>
    <w:rsid w:val="00EB76E4"/>
    <w:rsid w:val="00EB770C"/>
    <w:rsid w:val="00EB7776"/>
    <w:rsid w:val="00EB7809"/>
    <w:rsid w:val="00EB79B8"/>
    <w:rsid w:val="00EB7A37"/>
    <w:rsid w:val="00EB7A4D"/>
    <w:rsid w:val="00EB7A5C"/>
    <w:rsid w:val="00EB7A6D"/>
    <w:rsid w:val="00EB7A81"/>
    <w:rsid w:val="00EB7A88"/>
    <w:rsid w:val="00EB7AA0"/>
    <w:rsid w:val="00EB7AEF"/>
    <w:rsid w:val="00EB7B10"/>
    <w:rsid w:val="00EB7BA3"/>
    <w:rsid w:val="00EB7BB2"/>
    <w:rsid w:val="00EB7BB8"/>
    <w:rsid w:val="00EB7BCC"/>
    <w:rsid w:val="00EB7C16"/>
    <w:rsid w:val="00EB7C9D"/>
    <w:rsid w:val="00EB7E2A"/>
    <w:rsid w:val="00EB7E9E"/>
    <w:rsid w:val="00EB7FF0"/>
    <w:rsid w:val="00EC000A"/>
    <w:rsid w:val="00EC000C"/>
    <w:rsid w:val="00EC005A"/>
    <w:rsid w:val="00EC00A5"/>
    <w:rsid w:val="00EC015F"/>
    <w:rsid w:val="00EC01AF"/>
    <w:rsid w:val="00EC01CB"/>
    <w:rsid w:val="00EC021B"/>
    <w:rsid w:val="00EC0276"/>
    <w:rsid w:val="00EC03C6"/>
    <w:rsid w:val="00EC03FA"/>
    <w:rsid w:val="00EC0447"/>
    <w:rsid w:val="00EC045D"/>
    <w:rsid w:val="00EC04BF"/>
    <w:rsid w:val="00EC0536"/>
    <w:rsid w:val="00EC0576"/>
    <w:rsid w:val="00EC0648"/>
    <w:rsid w:val="00EC0656"/>
    <w:rsid w:val="00EC0748"/>
    <w:rsid w:val="00EC0753"/>
    <w:rsid w:val="00EC082A"/>
    <w:rsid w:val="00EC0865"/>
    <w:rsid w:val="00EC08C7"/>
    <w:rsid w:val="00EC0947"/>
    <w:rsid w:val="00EC0968"/>
    <w:rsid w:val="00EC0A8F"/>
    <w:rsid w:val="00EC0AB0"/>
    <w:rsid w:val="00EC0AED"/>
    <w:rsid w:val="00EC0B16"/>
    <w:rsid w:val="00EC0B48"/>
    <w:rsid w:val="00EC0B60"/>
    <w:rsid w:val="00EC0BC9"/>
    <w:rsid w:val="00EC0BE4"/>
    <w:rsid w:val="00EC0C09"/>
    <w:rsid w:val="00EC0C3C"/>
    <w:rsid w:val="00EC0C79"/>
    <w:rsid w:val="00EC0CE0"/>
    <w:rsid w:val="00EC0D1A"/>
    <w:rsid w:val="00EC0D3D"/>
    <w:rsid w:val="00EC0D85"/>
    <w:rsid w:val="00EC0D8C"/>
    <w:rsid w:val="00EC0E16"/>
    <w:rsid w:val="00EC0E59"/>
    <w:rsid w:val="00EC0E87"/>
    <w:rsid w:val="00EC0F96"/>
    <w:rsid w:val="00EC100B"/>
    <w:rsid w:val="00EC11AD"/>
    <w:rsid w:val="00EC11CD"/>
    <w:rsid w:val="00EC1347"/>
    <w:rsid w:val="00EC138C"/>
    <w:rsid w:val="00EC141B"/>
    <w:rsid w:val="00EC141F"/>
    <w:rsid w:val="00EC145C"/>
    <w:rsid w:val="00EC1497"/>
    <w:rsid w:val="00EC14C1"/>
    <w:rsid w:val="00EC150B"/>
    <w:rsid w:val="00EC1549"/>
    <w:rsid w:val="00EC157F"/>
    <w:rsid w:val="00EC15A4"/>
    <w:rsid w:val="00EC15EB"/>
    <w:rsid w:val="00EC1614"/>
    <w:rsid w:val="00EC163A"/>
    <w:rsid w:val="00EC1712"/>
    <w:rsid w:val="00EC1722"/>
    <w:rsid w:val="00EC172B"/>
    <w:rsid w:val="00EC1752"/>
    <w:rsid w:val="00EC179D"/>
    <w:rsid w:val="00EC18C0"/>
    <w:rsid w:val="00EC1999"/>
    <w:rsid w:val="00EC19EA"/>
    <w:rsid w:val="00EC19EC"/>
    <w:rsid w:val="00EC1A01"/>
    <w:rsid w:val="00EC1A25"/>
    <w:rsid w:val="00EC1ABF"/>
    <w:rsid w:val="00EC1B1F"/>
    <w:rsid w:val="00EC1B27"/>
    <w:rsid w:val="00EC1B48"/>
    <w:rsid w:val="00EC1B54"/>
    <w:rsid w:val="00EC1B6B"/>
    <w:rsid w:val="00EC1BAA"/>
    <w:rsid w:val="00EC1BB4"/>
    <w:rsid w:val="00EC1BF8"/>
    <w:rsid w:val="00EC1C05"/>
    <w:rsid w:val="00EC1CA5"/>
    <w:rsid w:val="00EC1CD1"/>
    <w:rsid w:val="00EC1CF7"/>
    <w:rsid w:val="00EC1D07"/>
    <w:rsid w:val="00EC1D91"/>
    <w:rsid w:val="00EC1E1A"/>
    <w:rsid w:val="00EC1E6E"/>
    <w:rsid w:val="00EC1F58"/>
    <w:rsid w:val="00EC1F66"/>
    <w:rsid w:val="00EC1FC3"/>
    <w:rsid w:val="00EC1FF6"/>
    <w:rsid w:val="00EC2031"/>
    <w:rsid w:val="00EC203B"/>
    <w:rsid w:val="00EC204C"/>
    <w:rsid w:val="00EC20EC"/>
    <w:rsid w:val="00EC2120"/>
    <w:rsid w:val="00EC21B3"/>
    <w:rsid w:val="00EC21EF"/>
    <w:rsid w:val="00EC2267"/>
    <w:rsid w:val="00EC2288"/>
    <w:rsid w:val="00EC22EA"/>
    <w:rsid w:val="00EC22EB"/>
    <w:rsid w:val="00EC233E"/>
    <w:rsid w:val="00EC2435"/>
    <w:rsid w:val="00EC2448"/>
    <w:rsid w:val="00EC244C"/>
    <w:rsid w:val="00EC255B"/>
    <w:rsid w:val="00EC25B1"/>
    <w:rsid w:val="00EC25C4"/>
    <w:rsid w:val="00EC260A"/>
    <w:rsid w:val="00EC2644"/>
    <w:rsid w:val="00EC2677"/>
    <w:rsid w:val="00EC26A1"/>
    <w:rsid w:val="00EC2798"/>
    <w:rsid w:val="00EC280C"/>
    <w:rsid w:val="00EC280D"/>
    <w:rsid w:val="00EC285C"/>
    <w:rsid w:val="00EC289B"/>
    <w:rsid w:val="00EC28C1"/>
    <w:rsid w:val="00EC28C5"/>
    <w:rsid w:val="00EC29D2"/>
    <w:rsid w:val="00EC2A60"/>
    <w:rsid w:val="00EC2B9D"/>
    <w:rsid w:val="00EC2BFD"/>
    <w:rsid w:val="00EC2C82"/>
    <w:rsid w:val="00EC2D50"/>
    <w:rsid w:val="00EC2DED"/>
    <w:rsid w:val="00EC2EFD"/>
    <w:rsid w:val="00EC2F2F"/>
    <w:rsid w:val="00EC2F34"/>
    <w:rsid w:val="00EC2F4A"/>
    <w:rsid w:val="00EC2F64"/>
    <w:rsid w:val="00EC2FAC"/>
    <w:rsid w:val="00EC2FC9"/>
    <w:rsid w:val="00EC300C"/>
    <w:rsid w:val="00EC3019"/>
    <w:rsid w:val="00EC3093"/>
    <w:rsid w:val="00EC30B4"/>
    <w:rsid w:val="00EC3129"/>
    <w:rsid w:val="00EC314F"/>
    <w:rsid w:val="00EC3177"/>
    <w:rsid w:val="00EC31FA"/>
    <w:rsid w:val="00EC32C2"/>
    <w:rsid w:val="00EC32C9"/>
    <w:rsid w:val="00EC32CB"/>
    <w:rsid w:val="00EC32EB"/>
    <w:rsid w:val="00EC3316"/>
    <w:rsid w:val="00EC3364"/>
    <w:rsid w:val="00EC341A"/>
    <w:rsid w:val="00EC3464"/>
    <w:rsid w:val="00EC34D2"/>
    <w:rsid w:val="00EC3533"/>
    <w:rsid w:val="00EC3548"/>
    <w:rsid w:val="00EC3558"/>
    <w:rsid w:val="00EC35D9"/>
    <w:rsid w:val="00EC36D6"/>
    <w:rsid w:val="00EC3722"/>
    <w:rsid w:val="00EC377F"/>
    <w:rsid w:val="00EC3785"/>
    <w:rsid w:val="00EC378A"/>
    <w:rsid w:val="00EC37C2"/>
    <w:rsid w:val="00EC37E1"/>
    <w:rsid w:val="00EC3849"/>
    <w:rsid w:val="00EC385A"/>
    <w:rsid w:val="00EC38B6"/>
    <w:rsid w:val="00EC3907"/>
    <w:rsid w:val="00EC39A9"/>
    <w:rsid w:val="00EC3ABF"/>
    <w:rsid w:val="00EC3BBC"/>
    <w:rsid w:val="00EC3BF4"/>
    <w:rsid w:val="00EC3C24"/>
    <w:rsid w:val="00EC3C5B"/>
    <w:rsid w:val="00EC3CB7"/>
    <w:rsid w:val="00EC3CD1"/>
    <w:rsid w:val="00EC3CE5"/>
    <w:rsid w:val="00EC3CF9"/>
    <w:rsid w:val="00EC3D58"/>
    <w:rsid w:val="00EC3DAB"/>
    <w:rsid w:val="00EC3E25"/>
    <w:rsid w:val="00EC3FE0"/>
    <w:rsid w:val="00EC40A0"/>
    <w:rsid w:val="00EC40B8"/>
    <w:rsid w:val="00EC40C1"/>
    <w:rsid w:val="00EC412C"/>
    <w:rsid w:val="00EC415D"/>
    <w:rsid w:val="00EC4186"/>
    <w:rsid w:val="00EC4245"/>
    <w:rsid w:val="00EC4258"/>
    <w:rsid w:val="00EC4274"/>
    <w:rsid w:val="00EC427E"/>
    <w:rsid w:val="00EC428D"/>
    <w:rsid w:val="00EC42D1"/>
    <w:rsid w:val="00EC4320"/>
    <w:rsid w:val="00EC43A7"/>
    <w:rsid w:val="00EC4430"/>
    <w:rsid w:val="00EC44B5"/>
    <w:rsid w:val="00EC452B"/>
    <w:rsid w:val="00EC4610"/>
    <w:rsid w:val="00EC4668"/>
    <w:rsid w:val="00EC468A"/>
    <w:rsid w:val="00EC484E"/>
    <w:rsid w:val="00EC4854"/>
    <w:rsid w:val="00EC4860"/>
    <w:rsid w:val="00EC491C"/>
    <w:rsid w:val="00EC492F"/>
    <w:rsid w:val="00EC493D"/>
    <w:rsid w:val="00EC496E"/>
    <w:rsid w:val="00EC4980"/>
    <w:rsid w:val="00EC49F0"/>
    <w:rsid w:val="00EC4A12"/>
    <w:rsid w:val="00EC4A5B"/>
    <w:rsid w:val="00EC4A71"/>
    <w:rsid w:val="00EC4AAE"/>
    <w:rsid w:val="00EC4AD0"/>
    <w:rsid w:val="00EC4AEF"/>
    <w:rsid w:val="00EC4BE1"/>
    <w:rsid w:val="00EC4C23"/>
    <w:rsid w:val="00EC4C74"/>
    <w:rsid w:val="00EC4C82"/>
    <w:rsid w:val="00EC4CBA"/>
    <w:rsid w:val="00EC4CD3"/>
    <w:rsid w:val="00EC4D4A"/>
    <w:rsid w:val="00EC4D56"/>
    <w:rsid w:val="00EC4E23"/>
    <w:rsid w:val="00EC4E82"/>
    <w:rsid w:val="00EC4FB1"/>
    <w:rsid w:val="00EC4FCB"/>
    <w:rsid w:val="00EC500A"/>
    <w:rsid w:val="00EC501E"/>
    <w:rsid w:val="00EC508D"/>
    <w:rsid w:val="00EC50A2"/>
    <w:rsid w:val="00EC5123"/>
    <w:rsid w:val="00EC5128"/>
    <w:rsid w:val="00EC5179"/>
    <w:rsid w:val="00EC5213"/>
    <w:rsid w:val="00EC5235"/>
    <w:rsid w:val="00EC5249"/>
    <w:rsid w:val="00EC5257"/>
    <w:rsid w:val="00EC5284"/>
    <w:rsid w:val="00EC53DA"/>
    <w:rsid w:val="00EC5400"/>
    <w:rsid w:val="00EC5478"/>
    <w:rsid w:val="00EC56D5"/>
    <w:rsid w:val="00EC5711"/>
    <w:rsid w:val="00EC573C"/>
    <w:rsid w:val="00EC5789"/>
    <w:rsid w:val="00EC57BF"/>
    <w:rsid w:val="00EC57E5"/>
    <w:rsid w:val="00EC5802"/>
    <w:rsid w:val="00EC5821"/>
    <w:rsid w:val="00EC5839"/>
    <w:rsid w:val="00EC583B"/>
    <w:rsid w:val="00EC5878"/>
    <w:rsid w:val="00EC5897"/>
    <w:rsid w:val="00EC58A3"/>
    <w:rsid w:val="00EC58BD"/>
    <w:rsid w:val="00EC58F0"/>
    <w:rsid w:val="00EC5972"/>
    <w:rsid w:val="00EC598B"/>
    <w:rsid w:val="00EC5A79"/>
    <w:rsid w:val="00EC5A94"/>
    <w:rsid w:val="00EC5AF1"/>
    <w:rsid w:val="00EC5B04"/>
    <w:rsid w:val="00EC5B15"/>
    <w:rsid w:val="00EC5BE7"/>
    <w:rsid w:val="00EC5BF3"/>
    <w:rsid w:val="00EC5C11"/>
    <w:rsid w:val="00EC5C25"/>
    <w:rsid w:val="00EC5CBF"/>
    <w:rsid w:val="00EC5CE5"/>
    <w:rsid w:val="00EC5CEA"/>
    <w:rsid w:val="00EC5D24"/>
    <w:rsid w:val="00EC5D53"/>
    <w:rsid w:val="00EC5D92"/>
    <w:rsid w:val="00EC5DC0"/>
    <w:rsid w:val="00EC5DC3"/>
    <w:rsid w:val="00EC5DEC"/>
    <w:rsid w:val="00EC6036"/>
    <w:rsid w:val="00EC6041"/>
    <w:rsid w:val="00EC6097"/>
    <w:rsid w:val="00EC6167"/>
    <w:rsid w:val="00EC61D4"/>
    <w:rsid w:val="00EC61F3"/>
    <w:rsid w:val="00EC623A"/>
    <w:rsid w:val="00EC6306"/>
    <w:rsid w:val="00EC635D"/>
    <w:rsid w:val="00EC6478"/>
    <w:rsid w:val="00EC64B7"/>
    <w:rsid w:val="00EC6500"/>
    <w:rsid w:val="00EC65C1"/>
    <w:rsid w:val="00EC664E"/>
    <w:rsid w:val="00EC6792"/>
    <w:rsid w:val="00EC6835"/>
    <w:rsid w:val="00EC68CF"/>
    <w:rsid w:val="00EC698A"/>
    <w:rsid w:val="00EC6A4E"/>
    <w:rsid w:val="00EC6AC7"/>
    <w:rsid w:val="00EC6AE6"/>
    <w:rsid w:val="00EC6B1D"/>
    <w:rsid w:val="00EC6C29"/>
    <w:rsid w:val="00EC6D8C"/>
    <w:rsid w:val="00EC6D8F"/>
    <w:rsid w:val="00EC6E93"/>
    <w:rsid w:val="00EC6F2D"/>
    <w:rsid w:val="00EC6F66"/>
    <w:rsid w:val="00EC6F71"/>
    <w:rsid w:val="00EC6FE0"/>
    <w:rsid w:val="00EC6FF9"/>
    <w:rsid w:val="00EC7054"/>
    <w:rsid w:val="00EC70CE"/>
    <w:rsid w:val="00EC70E1"/>
    <w:rsid w:val="00EC712B"/>
    <w:rsid w:val="00EC723A"/>
    <w:rsid w:val="00EC726A"/>
    <w:rsid w:val="00EC7278"/>
    <w:rsid w:val="00EC727F"/>
    <w:rsid w:val="00EC72EC"/>
    <w:rsid w:val="00EC7359"/>
    <w:rsid w:val="00EC7388"/>
    <w:rsid w:val="00EC73BB"/>
    <w:rsid w:val="00EC7449"/>
    <w:rsid w:val="00EC7592"/>
    <w:rsid w:val="00EC75F5"/>
    <w:rsid w:val="00EC7658"/>
    <w:rsid w:val="00EC76B9"/>
    <w:rsid w:val="00EC76CB"/>
    <w:rsid w:val="00EC7772"/>
    <w:rsid w:val="00EC781B"/>
    <w:rsid w:val="00EC7918"/>
    <w:rsid w:val="00EC793C"/>
    <w:rsid w:val="00EC7961"/>
    <w:rsid w:val="00EC7965"/>
    <w:rsid w:val="00EC7AF6"/>
    <w:rsid w:val="00EC7B7A"/>
    <w:rsid w:val="00EC7BB8"/>
    <w:rsid w:val="00EC7BD4"/>
    <w:rsid w:val="00EC7BF8"/>
    <w:rsid w:val="00EC7C2A"/>
    <w:rsid w:val="00EC7C2D"/>
    <w:rsid w:val="00EC7C57"/>
    <w:rsid w:val="00EC7C6D"/>
    <w:rsid w:val="00EC7CC3"/>
    <w:rsid w:val="00EC7CEA"/>
    <w:rsid w:val="00EC7D49"/>
    <w:rsid w:val="00EC7DAD"/>
    <w:rsid w:val="00EC7DD4"/>
    <w:rsid w:val="00EC7DE0"/>
    <w:rsid w:val="00EC7DF9"/>
    <w:rsid w:val="00EC7E0D"/>
    <w:rsid w:val="00EC7E48"/>
    <w:rsid w:val="00EC7EE0"/>
    <w:rsid w:val="00ED005C"/>
    <w:rsid w:val="00ED0161"/>
    <w:rsid w:val="00ED017D"/>
    <w:rsid w:val="00ED018A"/>
    <w:rsid w:val="00ED0192"/>
    <w:rsid w:val="00ED01E9"/>
    <w:rsid w:val="00ED01EF"/>
    <w:rsid w:val="00ED0239"/>
    <w:rsid w:val="00ED0291"/>
    <w:rsid w:val="00ED030E"/>
    <w:rsid w:val="00ED0426"/>
    <w:rsid w:val="00ED0457"/>
    <w:rsid w:val="00ED047B"/>
    <w:rsid w:val="00ED048E"/>
    <w:rsid w:val="00ED0495"/>
    <w:rsid w:val="00ED0510"/>
    <w:rsid w:val="00ED0552"/>
    <w:rsid w:val="00ED0580"/>
    <w:rsid w:val="00ED05B8"/>
    <w:rsid w:val="00ED0696"/>
    <w:rsid w:val="00ED06B7"/>
    <w:rsid w:val="00ED0705"/>
    <w:rsid w:val="00ED0714"/>
    <w:rsid w:val="00ED0763"/>
    <w:rsid w:val="00ED0767"/>
    <w:rsid w:val="00ED07BD"/>
    <w:rsid w:val="00ED07F4"/>
    <w:rsid w:val="00ED0857"/>
    <w:rsid w:val="00ED0876"/>
    <w:rsid w:val="00ED0886"/>
    <w:rsid w:val="00ED08E4"/>
    <w:rsid w:val="00ED0943"/>
    <w:rsid w:val="00ED0A3C"/>
    <w:rsid w:val="00ED0A60"/>
    <w:rsid w:val="00ED0B31"/>
    <w:rsid w:val="00ED0BBE"/>
    <w:rsid w:val="00ED0BED"/>
    <w:rsid w:val="00ED0C0D"/>
    <w:rsid w:val="00ED0C37"/>
    <w:rsid w:val="00ED0C5D"/>
    <w:rsid w:val="00ED0C94"/>
    <w:rsid w:val="00ED0D49"/>
    <w:rsid w:val="00ED0D87"/>
    <w:rsid w:val="00ED0DB6"/>
    <w:rsid w:val="00ED0E4B"/>
    <w:rsid w:val="00ED0E58"/>
    <w:rsid w:val="00ED0FC5"/>
    <w:rsid w:val="00ED1118"/>
    <w:rsid w:val="00ED1187"/>
    <w:rsid w:val="00ED1193"/>
    <w:rsid w:val="00ED11CC"/>
    <w:rsid w:val="00ED1211"/>
    <w:rsid w:val="00ED1242"/>
    <w:rsid w:val="00ED1288"/>
    <w:rsid w:val="00ED12E0"/>
    <w:rsid w:val="00ED12EE"/>
    <w:rsid w:val="00ED134B"/>
    <w:rsid w:val="00ED1365"/>
    <w:rsid w:val="00ED1397"/>
    <w:rsid w:val="00ED1461"/>
    <w:rsid w:val="00ED1466"/>
    <w:rsid w:val="00ED148D"/>
    <w:rsid w:val="00ED1502"/>
    <w:rsid w:val="00ED1512"/>
    <w:rsid w:val="00ED1530"/>
    <w:rsid w:val="00ED155D"/>
    <w:rsid w:val="00ED1572"/>
    <w:rsid w:val="00ED1575"/>
    <w:rsid w:val="00ED1606"/>
    <w:rsid w:val="00ED16AD"/>
    <w:rsid w:val="00ED173C"/>
    <w:rsid w:val="00ED1757"/>
    <w:rsid w:val="00ED180E"/>
    <w:rsid w:val="00ED18E3"/>
    <w:rsid w:val="00ED18E7"/>
    <w:rsid w:val="00ED18F4"/>
    <w:rsid w:val="00ED190E"/>
    <w:rsid w:val="00ED19D3"/>
    <w:rsid w:val="00ED19E1"/>
    <w:rsid w:val="00ED1A28"/>
    <w:rsid w:val="00ED1A35"/>
    <w:rsid w:val="00ED1A66"/>
    <w:rsid w:val="00ED1A80"/>
    <w:rsid w:val="00ED1B38"/>
    <w:rsid w:val="00ED1B9F"/>
    <w:rsid w:val="00ED1BA3"/>
    <w:rsid w:val="00ED1C12"/>
    <w:rsid w:val="00ED1C2F"/>
    <w:rsid w:val="00ED1D85"/>
    <w:rsid w:val="00ED1EEE"/>
    <w:rsid w:val="00ED1F5F"/>
    <w:rsid w:val="00ED1FB6"/>
    <w:rsid w:val="00ED1FDC"/>
    <w:rsid w:val="00ED200A"/>
    <w:rsid w:val="00ED2028"/>
    <w:rsid w:val="00ED2037"/>
    <w:rsid w:val="00ED2167"/>
    <w:rsid w:val="00ED21A0"/>
    <w:rsid w:val="00ED21CF"/>
    <w:rsid w:val="00ED21E6"/>
    <w:rsid w:val="00ED21E9"/>
    <w:rsid w:val="00ED2299"/>
    <w:rsid w:val="00ED2345"/>
    <w:rsid w:val="00ED2363"/>
    <w:rsid w:val="00ED2389"/>
    <w:rsid w:val="00ED243C"/>
    <w:rsid w:val="00ED2444"/>
    <w:rsid w:val="00ED24C1"/>
    <w:rsid w:val="00ED25E7"/>
    <w:rsid w:val="00ED269A"/>
    <w:rsid w:val="00ED26A8"/>
    <w:rsid w:val="00ED2704"/>
    <w:rsid w:val="00ED28AC"/>
    <w:rsid w:val="00ED28BD"/>
    <w:rsid w:val="00ED28E9"/>
    <w:rsid w:val="00ED2916"/>
    <w:rsid w:val="00ED297F"/>
    <w:rsid w:val="00ED29C1"/>
    <w:rsid w:val="00ED29D9"/>
    <w:rsid w:val="00ED29E0"/>
    <w:rsid w:val="00ED2A91"/>
    <w:rsid w:val="00ED2AE1"/>
    <w:rsid w:val="00ED2B57"/>
    <w:rsid w:val="00ED2BFE"/>
    <w:rsid w:val="00ED2C6D"/>
    <w:rsid w:val="00ED2C74"/>
    <w:rsid w:val="00ED2D18"/>
    <w:rsid w:val="00ED2DD8"/>
    <w:rsid w:val="00ED2E58"/>
    <w:rsid w:val="00ED2EC3"/>
    <w:rsid w:val="00ED2F2B"/>
    <w:rsid w:val="00ED2FCC"/>
    <w:rsid w:val="00ED300C"/>
    <w:rsid w:val="00ED302A"/>
    <w:rsid w:val="00ED308E"/>
    <w:rsid w:val="00ED30B5"/>
    <w:rsid w:val="00ED30F9"/>
    <w:rsid w:val="00ED3100"/>
    <w:rsid w:val="00ED3111"/>
    <w:rsid w:val="00ED31AF"/>
    <w:rsid w:val="00ED31B0"/>
    <w:rsid w:val="00ED3314"/>
    <w:rsid w:val="00ED3338"/>
    <w:rsid w:val="00ED3355"/>
    <w:rsid w:val="00ED3362"/>
    <w:rsid w:val="00ED340B"/>
    <w:rsid w:val="00ED3419"/>
    <w:rsid w:val="00ED345E"/>
    <w:rsid w:val="00ED3480"/>
    <w:rsid w:val="00ED34EF"/>
    <w:rsid w:val="00ED3519"/>
    <w:rsid w:val="00ED359A"/>
    <w:rsid w:val="00ED3661"/>
    <w:rsid w:val="00ED3682"/>
    <w:rsid w:val="00ED3686"/>
    <w:rsid w:val="00ED36DF"/>
    <w:rsid w:val="00ED371A"/>
    <w:rsid w:val="00ED37AF"/>
    <w:rsid w:val="00ED37B1"/>
    <w:rsid w:val="00ED3822"/>
    <w:rsid w:val="00ED3876"/>
    <w:rsid w:val="00ED38EA"/>
    <w:rsid w:val="00ED3960"/>
    <w:rsid w:val="00ED397F"/>
    <w:rsid w:val="00ED398F"/>
    <w:rsid w:val="00ED399A"/>
    <w:rsid w:val="00ED399D"/>
    <w:rsid w:val="00ED3A8C"/>
    <w:rsid w:val="00ED3B12"/>
    <w:rsid w:val="00ED3B64"/>
    <w:rsid w:val="00ED3D53"/>
    <w:rsid w:val="00ED3D77"/>
    <w:rsid w:val="00ED3D8B"/>
    <w:rsid w:val="00ED3DB7"/>
    <w:rsid w:val="00ED3DF3"/>
    <w:rsid w:val="00ED3E68"/>
    <w:rsid w:val="00ED3EB7"/>
    <w:rsid w:val="00ED3F58"/>
    <w:rsid w:val="00ED4062"/>
    <w:rsid w:val="00ED4069"/>
    <w:rsid w:val="00ED40A1"/>
    <w:rsid w:val="00ED4116"/>
    <w:rsid w:val="00ED4122"/>
    <w:rsid w:val="00ED414E"/>
    <w:rsid w:val="00ED43AB"/>
    <w:rsid w:val="00ED43CD"/>
    <w:rsid w:val="00ED4474"/>
    <w:rsid w:val="00ED44D2"/>
    <w:rsid w:val="00ED4504"/>
    <w:rsid w:val="00ED4567"/>
    <w:rsid w:val="00ED457A"/>
    <w:rsid w:val="00ED46D6"/>
    <w:rsid w:val="00ED46F3"/>
    <w:rsid w:val="00ED4704"/>
    <w:rsid w:val="00ED4742"/>
    <w:rsid w:val="00ED48FC"/>
    <w:rsid w:val="00ED49DD"/>
    <w:rsid w:val="00ED4A36"/>
    <w:rsid w:val="00ED4A6C"/>
    <w:rsid w:val="00ED4B0F"/>
    <w:rsid w:val="00ED4B19"/>
    <w:rsid w:val="00ED4B1D"/>
    <w:rsid w:val="00ED4B75"/>
    <w:rsid w:val="00ED4BA4"/>
    <w:rsid w:val="00ED4C6E"/>
    <w:rsid w:val="00ED4CCD"/>
    <w:rsid w:val="00ED4D08"/>
    <w:rsid w:val="00ED4D5C"/>
    <w:rsid w:val="00ED4D6C"/>
    <w:rsid w:val="00ED4E62"/>
    <w:rsid w:val="00ED4ED9"/>
    <w:rsid w:val="00ED4EF1"/>
    <w:rsid w:val="00ED4F4B"/>
    <w:rsid w:val="00ED4F74"/>
    <w:rsid w:val="00ED4FCD"/>
    <w:rsid w:val="00ED4FE0"/>
    <w:rsid w:val="00ED4FE8"/>
    <w:rsid w:val="00ED5081"/>
    <w:rsid w:val="00ED50E0"/>
    <w:rsid w:val="00ED5106"/>
    <w:rsid w:val="00ED516F"/>
    <w:rsid w:val="00ED51A9"/>
    <w:rsid w:val="00ED51DF"/>
    <w:rsid w:val="00ED5230"/>
    <w:rsid w:val="00ED52EE"/>
    <w:rsid w:val="00ED52F4"/>
    <w:rsid w:val="00ED533D"/>
    <w:rsid w:val="00ED5387"/>
    <w:rsid w:val="00ED5390"/>
    <w:rsid w:val="00ED53AC"/>
    <w:rsid w:val="00ED53CB"/>
    <w:rsid w:val="00ED549E"/>
    <w:rsid w:val="00ED559D"/>
    <w:rsid w:val="00ED5615"/>
    <w:rsid w:val="00ED570A"/>
    <w:rsid w:val="00ED57A4"/>
    <w:rsid w:val="00ED57B1"/>
    <w:rsid w:val="00ED57B3"/>
    <w:rsid w:val="00ED57E1"/>
    <w:rsid w:val="00ED57F5"/>
    <w:rsid w:val="00ED5818"/>
    <w:rsid w:val="00ED585B"/>
    <w:rsid w:val="00ED58DD"/>
    <w:rsid w:val="00ED58E6"/>
    <w:rsid w:val="00ED599D"/>
    <w:rsid w:val="00ED5A24"/>
    <w:rsid w:val="00ED5A2E"/>
    <w:rsid w:val="00ED5A54"/>
    <w:rsid w:val="00ED5A64"/>
    <w:rsid w:val="00ED5B32"/>
    <w:rsid w:val="00ED5B41"/>
    <w:rsid w:val="00ED5B73"/>
    <w:rsid w:val="00ED5BBB"/>
    <w:rsid w:val="00ED5C45"/>
    <w:rsid w:val="00ED5CAC"/>
    <w:rsid w:val="00ED5CC5"/>
    <w:rsid w:val="00ED5D5D"/>
    <w:rsid w:val="00ED5D72"/>
    <w:rsid w:val="00ED5DC2"/>
    <w:rsid w:val="00ED5DE6"/>
    <w:rsid w:val="00ED5DF7"/>
    <w:rsid w:val="00ED5E27"/>
    <w:rsid w:val="00ED5F72"/>
    <w:rsid w:val="00ED5FD0"/>
    <w:rsid w:val="00ED601B"/>
    <w:rsid w:val="00ED6027"/>
    <w:rsid w:val="00ED603B"/>
    <w:rsid w:val="00ED6062"/>
    <w:rsid w:val="00ED6082"/>
    <w:rsid w:val="00ED6083"/>
    <w:rsid w:val="00ED60FB"/>
    <w:rsid w:val="00ED6142"/>
    <w:rsid w:val="00ED6184"/>
    <w:rsid w:val="00ED61A4"/>
    <w:rsid w:val="00ED61CA"/>
    <w:rsid w:val="00ED6226"/>
    <w:rsid w:val="00ED623B"/>
    <w:rsid w:val="00ED635C"/>
    <w:rsid w:val="00ED6368"/>
    <w:rsid w:val="00ED637B"/>
    <w:rsid w:val="00ED651E"/>
    <w:rsid w:val="00ED657A"/>
    <w:rsid w:val="00ED65A3"/>
    <w:rsid w:val="00ED65C0"/>
    <w:rsid w:val="00ED65C2"/>
    <w:rsid w:val="00ED6605"/>
    <w:rsid w:val="00ED6673"/>
    <w:rsid w:val="00ED66AC"/>
    <w:rsid w:val="00ED66C3"/>
    <w:rsid w:val="00ED66CD"/>
    <w:rsid w:val="00ED6722"/>
    <w:rsid w:val="00ED67CF"/>
    <w:rsid w:val="00ED6821"/>
    <w:rsid w:val="00ED6910"/>
    <w:rsid w:val="00ED69AB"/>
    <w:rsid w:val="00ED69C0"/>
    <w:rsid w:val="00ED6A39"/>
    <w:rsid w:val="00ED6A9B"/>
    <w:rsid w:val="00ED6ACA"/>
    <w:rsid w:val="00ED6B37"/>
    <w:rsid w:val="00ED6B9A"/>
    <w:rsid w:val="00ED6CA9"/>
    <w:rsid w:val="00ED6CBB"/>
    <w:rsid w:val="00ED6D01"/>
    <w:rsid w:val="00ED6D6F"/>
    <w:rsid w:val="00ED6EF2"/>
    <w:rsid w:val="00ED6FA0"/>
    <w:rsid w:val="00ED6FDE"/>
    <w:rsid w:val="00ED700C"/>
    <w:rsid w:val="00ED7011"/>
    <w:rsid w:val="00ED70B6"/>
    <w:rsid w:val="00ED70DC"/>
    <w:rsid w:val="00ED70F3"/>
    <w:rsid w:val="00ED712A"/>
    <w:rsid w:val="00ED7147"/>
    <w:rsid w:val="00ED7220"/>
    <w:rsid w:val="00ED7256"/>
    <w:rsid w:val="00ED72BD"/>
    <w:rsid w:val="00ED73C5"/>
    <w:rsid w:val="00ED745F"/>
    <w:rsid w:val="00ED74F0"/>
    <w:rsid w:val="00ED75B1"/>
    <w:rsid w:val="00ED75BC"/>
    <w:rsid w:val="00ED75BF"/>
    <w:rsid w:val="00ED761D"/>
    <w:rsid w:val="00ED7761"/>
    <w:rsid w:val="00ED7795"/>
    <w:rsid w:val="00ED77B1"/>
    <w:rsid w:val="00ED77B9"/>
    <w:rsid w:val="00ED77E8"/>
    <w:rsid w:val="00ED78AF"/>
    <w:rsid w:val="00ED79AF"/>
    <w:rsid w:val="00ED7A3D"/>
    <w:rsid w:val="00ED7A55"/>
    <w:rsid w:val="00ED7A9E"/>
    <w:rsid w:val="00ED7AA0"/>
    <w:rsid w:val="00ED7B23"/>
    <w:rsid w:val="00ED7B78"/>
    <w:rsid w:val="00ED7C12"/>
    <w:rsid w:val="00ED7C3E"/>
    <w:rsid w:val="00ED7C71"/>
    <w:rsid w:val="00ED7C8B"/>
    <w:rsid w:val="00ED7CA9"/>
    <w:rsid w:val="00ED7CB7"/>
    <w:rsid w:val="00ED7CFB"/>
    <w:rsid w:val="00ED7D67"/>
    <w:rsid w:val="00ED7DB0"/>
    <w:rsid w:val="00ED7E1B"/>
    <w:rsid w:val="00ED7E1E"/>
    <w:rsid w:val="00ED7E52"/>
    <w:rsid w:val="00ED7EC6"/>
    <w:rsid w:val="00ED7F15"/>
    <w:rsid w:val="00ED7F7E"/>
    <w:rsid w:val="00EE004C"/>
    <w:rsid w:val="00EE004E"/>
    <w:rsid w:val="00EE005E"/>
    <w:rsid w:val="00EE0086"/>
    <w:rsid w:val="00EE00F1"/>
    <w:rsid w:val="00EE012D"/>
    <w:rsid w:val="00EE0142"/>
    <w:rsid w:val="00EE0147"/>
    <w:rsid w:val="00EE0176"/>
    <w:rsid w:val="00EE0233"/>
    <w:rsid w:val="00EE040D"/>
    <w:rsid w:val="00EE0429"/>
    <w:rsid w:val="00EE0459"/>
    <w:rsid w:val="00EE046B"/>
    <w:rsid w:val="00EE04B1"/>
    <w:rsid w:val="00EE04B3"/>
    <w:rsid w:val="00EE04FB"/>
    <w:rsid w:val="00EE050D"/>
    <w:rsid w:val="00EE0549"/>
    <w:rsid w:val="00EE05A9"/>
    <w:rsid w:val="00EE05B9"/>
    <w:rsid w:val="00EE064E"/>
    <w:rsid w:val="00EE07B2"/>
    <w:rsid w:val="00EE07E2"/>
    <w:rsid w:val="00EE0844"/>
    <w:rsid w:val="00EE0881"/>
    <w:rsid w:val="00EE090F"/>
    <w:rsid w:val="00EE092D"/>
    <w:rsid w:val="00EE0955"/>
    <w:rsid w:val="00EE0A09"/>
    <w:rsid w:val="00EE0A11"/>
    <w:rsid w:val="00EE0A5B"/>
    <w:rsid w:val="00EE0AC2"/>
    <w:rsid w:val="00EE0B02"/>
    <w:rsid w:val="00EE0B0B"/>
    <w:rsid w:val="00EE0BA8"/>
    <w:rsid w:val="00EE0BC8"/>
    <w:rsid w:val="00EE0BFC"/>
    <w:rsid w:val="00EE0D51"/>
    <w:rsid w:val="00EE0D57"/>
    <w:rsid w:val="00EE0D65"/>
    <w:rsid w:val="00EE0D82"/>
    <w:rsid w:val="00EE0D92"/>
    <w:rsid w:val="00EE0E15"/>
    <w:rsid w:val="00EE0E2F"/>
    <w:rsid w:val="00EE0EC7"/>
    <w:rsid w:val="00EE0EE2"/>
    <w:rsid w:val="00EE0EEE"/>
    <w:rsid w:val="00EE0F12"/>
    <w:rsid w:val="00EE0F3A"/>
    <w:rsid w:val="00EE10A6"/>
    <w:rsid w:val="00EE11E5"/>
    <w:rsid w:val="00EE11FA"/>
    <w:rsid w:val="00EE1263"/>
    <w:rsid w:val="00EE1275"/>
    <w:rsid w:val="00EE128A"/>
    <w:rsid w:val="00EE12CA"/>
    <w:rsid w:val="00EE12D5"/>
    <w:rsid w:val="00EE12F8"/>
    <w:rsid w:val="00EE1310"/>
    <w:rsid w:val="00EE13C6"/>
    <w:rsid w:val="00EE13CA"/>
    <w:rsid w:val="00EE145B"/>
    <w:rsid w:val="00EE1575"/>
    <w:rsid w:val="00EE15A1"/>
    <w:rsid w:val="00EE15E1"/>
    <w:rsid w:val="00EE160C"/>
    <w:rsid w:val="00EE166C"/>
    <w:rsid w:val="00EE16F5"/>
    <w:rsid w:val="00EE1724"/>
    <w:rsid w:val="00EE1791"/>
    <w:rsid w:val="00EE17A9"/>
    <w:rsid w:val="00EE1858"/>
    <w:rsid w:val="00EE18EC"/>
    <w:rsid w:val="00EE19E2"/>
    <w:rsid w:val="00EE19F8"/>
    <w:rsid w:val="00EE1A3E"/>
    <w:rsid w:val="00EE1A4F"/>
    <w:rsid w:val="00EE1A62"/>
    <w:rsid w:val="00EE1A6A"/>
    <w:rsid w:val="00EE1A9A"/>
    <w:rsid w:val="00EE1ABA"/>
    <w:rsid w:val="00EE1BA2"/>
    <w:rsid w:val="00EE1BC6"/>
    <w:rsid w:val="00EE1C42"/>
    <w:rsid w:val="00EE1C7E"/>
    <w:rsid w:val="00EE1C97"/>
    <w:rsid w:val="00EE1D91"/>
    <w:rsid w:val="00EE1D9E"/>
    <w:rsid w:val="00EE1EDF"/>
    <w:rsid w:val="00EE1F03"/>
    <w:rsid w:val="00EE1F5A"/>
    <w:rsid w:val="00EE1FD4"/>
    <w:rsid w:val="00EE200A"/>
    <w:rsid w:val="00EE2080"/>
    <w:rsid w:val="00EE2185"/>
    <w:rsid w:val="00EE2198"/>
    <w:rsid w:val="00EE21EA"/>
    <w:rsid w:val="00EE2237"/>
    <w:rsid w:val="00EE224E"/>
    <w:rsid w:val="00EE22BF"/>
    <w:rsid w:val="00EE22E4"/>
    <w:rsid w:val="00EE231C"/>
    <w:rsid w:val="00EE243A"/>
    <w:rsid w:val="00EE2474"/>
    <w:rsid w:val="00EE2519"/>
    <w:rsid w:val="00EE25B4"/>
    <w:rsid w:val="00EE25F4"/>
    <w:rsid w:val="00EE260F"/>
    <w:rsid w:val="00EE269A"/>
    <w:rsid w:val="00EE26B0"/>
    <w:rsid w:val="00EE2700"/>
    <w:rsid w:val="00EE2705"/>
    <w:rsid w:val="00EE2717"/>
    <w:rsid w:val="00EE277C"/>
    <w:rsid w:val="00EE2817"/>
    <w:rsid w:val="00EE2827"/>
    <w:rsid w:val="00EE2829"/>
    <w:rsid w:val="00EE2832"/>
    <w:rsid w:val="00EE28E0"/>
    <w:rsid w:val="00EE2954"/>
    <w:rsid w:val="00EE2A3E"/>
    <w:rsid w:val="00EE2A52"/>
    <w:rsid w:val="00EE2A5A"/>
    <w:rsid w:val="00EE2ADB"/>
    <w:rsid w:val="00EE2AE6"/>
    <w:rsid w:val="00EE2B3B"/>
    <w:rsid w:val="00EE2B7E"/>
    <w:rsid w:val="00EE2C1F"/>
    <w:rsid w:val="00EE2C65"/>
    <w:rsid w:val="00EE2CBD"/>
    <w:rsid w:val="00EE2CE3"/>
    <w:rsid w:val="00EE2D41"/>
    <w:rsid w:val="00EE2D65"/>
    <w:rsid w:val="00EE2EBF"/>
    <w:rsid w:val="00EE2EC9"/>
    <w:rsid w:val="00EE3000"/>
    <w:rsid w:val="00EE3042"/>
    <w:rsid w:val="00EE304B"/>
    <w:rsid w:val="00EE30E9"/>
    <w:rsid w:val="00EE30EB"/>
    <w:rsid w:val="00EE3163"/>
    <w:rsid w:val="00EE317B"/>
    <w:rsid w:val="00EE3257"/>
    <w:rsid w:val="00EE332D"/>
    <w:rsid w:val="00EE3379"/>
    <w:rsid w:val="00EE33E9"/>
    <w:rsid w:val="00EE3417"/>
    <w:rsid w:val="00EE3474"/>
    <w:rsid w:val="00EE3495"/>
    <w:rsid w:val="00EE34D8"/>
    <w:rsid w:val="00EE34DE"/>
    <w:rsid w:val="00EE353B"/>
    <w:rsid w:val="00EE35E9"/>
    <w:rsid w:val="00EE35F4"/>
    <w:rsid w:val="00EE366D"/>
    <w:rsid w:val="00EE3670"/>
    <w:rsid w:val="00EE36AD"/>
    <w:rsid w:val="00EE36C0"/>
    <w:rsid w:val="00EE36EA"/>
    <w:rsid w:val="00EE36EE"/>
    <w:rsid w:val="00EE3735"/>
    <w:rsid w:val="00EE3790"/>
    <w:rsid w:val="00EE3814"/>
    <w:rsid w:val="00EE3920"/>
    <w:rsid w:val="00EE3972"/>
    <w:rsid w:val="00EE3995"/>
    <w:rsid w:val="00EE3A32"/>
    <w:rsid w:val="00EE3A52"/>
    <w:rsid w:val="00EE3AC3"/>
    <w:rsid w:val="00EE3AC8"/>
    <w:rsid w:val="00EE3BBA"/>
    <w:rsid w:val="00EE3BE5"/>
    <w:rsid w:val="00EE3C03"/>
    <w:rsid w:val="00EE3C4B"/>
    <w:rsid w:val="00EE3CB4"/>
    <w:rsid w:val="00EE3D2F"/>
    <w:rsid w:val="00EE3DA3"/>
    <w:rsid w:val="00EE3DBC"/>
    <w:rsid w:val="00EE3DD5"/>
    <w:rsid w:val="00EE3DE1"/>
    <w:rsid w:val="00EE3E1C"/>
    <w:rsid w:val="00EE3FE7"/>
    <w:rsid w:val="00EE400B"/>
    <w:rsid w:val="00EE401E"/>
    <w:rsid w:val="00EE40C9"/>
    <w:rsid w:val="00EE40CD"/>
    <w:rsid w:val="00EE40F0"/>
    <w:rsid w:val="00EE410B"/>
    <w:rsid w:val="00EE413B"/>
    <w:rsid w:val="00EE414B"/>
    <w:rsid w:val="00EE4176"/>
    <w:rsid w:val="00EE4265"/>
    <w:rsid w:val="00EE4271"/>
    <w:rsid w:val="00EE4463"/>
    <w:rsid w:val="00EE4476"/>
    <w:rsid w:val="00EE44F5"/>
    <w:rsid w:val="00EE4558"/>
    <w:rsid w:val="00EE4597"/>
    <w:rsid w:val="00EE4598"/>
    <w:rsid w:val="00EE45E2"/>
    <w:rsid w:val="00EE462D"/>
    <w:rsid w:val="00EE4664"/>
    <w:rsid w:val="00EE47C8"/>
    <w:rsid w:val="00EE47FD"/>
    <w:rsid w:val="00EE4838"/>
    <w:rsid w:val="00EE484E"/>
    <w:rsid w:val="00EE48E8"/>
    <w:rsid w:val="00EE499D"/>
    <w:rsid w:val="00EE49CC"/>
    <w:rsid w:val="00EE4A2A"/>
    <w:rsid w:val="00EE4AF8"/>
    <w:rsid w:val="00EE4B02"/>
    <w:rsid w:val="00EE4B3A"/>
    <w:rsid w:val="00EE4BFC"/>
    <w:rsid w:val="00EE4C1A"/>
    <w:rsid w:val="00EE4CA4"/>
    <w:rsid w:val="00EE4CDC"/>
    <w:rsid w:val="00EE4D21"/>
    <w:rsid w:val="00EE5045"/>
    <w:rsid w:val="00EE50B8"/>
    <w:rsid w:val="00EE50CC"/>
    <w:rsid w:val="00EE5130"/>
    <w:rsid w:val="00EE513C"/>
    <w:rsid w:val="00EE5212"/>
    <w:rsid w:val="00EE527A"/>
    <w:rsid w:val="00EE5281"/>
    <w:rsid w:val="00EE52AD"/>
    <w:rsid w:val="00EE52B0"/>
    <w:rsid w:val="00EE52B5"/>
    <w:rsid w:val="00EE52DF"/>
    <w:rsid w:val="00EE52FC"/>
    <w:rsid w:val="00EE5384"/>
    <w:rsid w:val="00EE5416"/>
    <w:rsid w:val="00EE5430"/>
    <w:rsid w:val="00EE545C"/>
    <w:rsid w:val="00EE549B"/>
    <w:rsid w:val="00EE54A2"/>
    <w:rsid w:val="00EE54AF"/>
    <w:rsid w:val="00EE54BA"/>
    <w:rsid w:val="00EE54E6"/>
    <w:rsid w:val="00EE55D4"/>
    <w:rsid w:val="00EE55E0"/>
    <w:rsid w:val="00EE55F9"/>
    <w:rsid w:val="00EE5601"/>
    <w:rsid w:val="00EE5655"/>
    <w:rsid w:val="00EE5689"/>
    <w:rsid w:val="00EE56DD"/>
    <w:rsid w:val="00EE56F7"/>
    <w:rsid w:val="00EE5708"/>
    <w:rsid w:val="00EE57E6"/>
    <w:rsid w:val="00EE58D9"/>
    <w:rsid w:val="00EE58F2"/>
    <w:rsid w:val="00EE5940"/>
    <w:rsid w:val="00EE59AF"/>
    <w:rsid w:val="00EE5AA3"/>
    <w:rsid w:val="00EE5AB9"/>
    <w:rsid w:val="00EE5B04"/>
    <w:rsid w:val="00EE5B15"/>
    <w:rsid w:val="00EE5B22"/>
    <w:rsid w:val="00EE5B62"/>
    <w:rsid w:val="00EE5C1F"/>
    <w:rsid w:val="00EE5C3E"/>
    <w:rsid w:val="00EE5C6B"/>
    <w:rsid w:val="00EE5C9B"/>
    <w:rsid w:val="00EE5CD7"/>
    <w:rsid w:val="00EE5D23"/>
    <w:rsid w:val="00EE5D6B"/>
    <w:rsid w:val="00EE5DE1"/>
    <w:rsid w:val="00EE5E52"/>
    <w:rsid w:val="00EE5E81"/>
    <w:rsid w:val="00EE5E96"/>
    <w:rsid w:val="00EE608A"/>
    <w:rsid w:val="00EE60A0"/>
    <w:rsid w:val="00EE60FC"/>
    <w:rsid w:val="00EE611A"/>
    <w:rsid w:val="00EE6126"/>
    <w:rsid w:val="00EE61E1"/>
    <w:rsid w:val="00EE6220"/>
    <w:rsid w:val="00EE6244"/>
    <w:rsid w:val="00EE624D"/>
    <w:rsid w:val="00EE6282"/>
    <w:rsid w:val="00EE62EF"/>
    <w:rsid w:val="00EE62FD"/>
    <w:rsid w:val="00EE638D"/>
    <w:rsid w:val="00EE645F"/>
    <w:rsid w:val="00EE646D"/>
    <w:rsid w:val="00EE64A3"/>
    <w:rsid w:val="00EE64F1"/>
    <w:rsid w:val="00EE663D"/>
    <w:rsid w:val="00EE663F"/>
    <w:rsid w:val="00EE6661"/>
    <w:rsid w:val="00EE66A1"/>
    <w:rsid w:val="00EE6712"/>
    <w:rsid w:val="00EE6777"/>
    <w:rsid w:val="00EE67FD"/>
    <w:rsid w:val="00EE6810"/>
    <w:rsid w:val="00EE687E"/>
    <w:rsid w:val="00EE6973"/>
    <w:rsid w:val="00EE69D7"/>
    <w:rsid w:val="00EE69FA"/>
    <w:rsid w:val="00EE6A19"/>
    <w:rsid w:val="00EE6A22"/>
    <w:rsid w:val="00EE6A30"/>
    <w:rsid w:val="00EE6BFB"/>
    <w:rsid w:val="00EE6C19"/>
    <w:rsid w:val="00EE6C29"/>
    <w:rsid w:val="00EE6CCF"/>
    <w:rsid w:val="00EE6CE5"/>
    <w:rsid w:val="00EE6D04"/>
    <w:rsid w:val="00EE6D3D"/>
    <w:rsid w:val="00EE6D9A"/>
    <w:rsid w:val="00EE6E04"/>
    <w:rsid w:val="00EE6E20"/>
    <w:rsid w:val="00EE6E7B"/>
    <w:rsid w:val="00EE6ED5"/>
    <w:rsid w:val="00EE6EF0"/>
    <w:rsid w:val="00EE6F61"/>
    <w:rsid w:val="00EE6F70"/>
    <w:rsid w:val="00EE6FF2"/>
    <w:rsid w:val="00EE7029"/>
    <w:rsid w:val="00EE704F"/>
    <w:rsid w:val="00EE7075"/>
    <w:rsid w:val="00EE708A"/>
    <w:rsid w:val="00EE7126"/>
    <w:rsid w:val="00EE71CD"/>
    <w:rsid w:val="00EE727F"/>
    <w:rsid w:val="00EE729C"/>
    <w:rsid w:val="00EE72DB"/>
    <w:rsid w:val="00EE72DD"/>
    <w:rsid w:val="00EE7339"/>
    <w:rsid w:val="00EE7352"/>
    <w:rsid w:val="00EE737A"/>
    <w:rsid w:val="00EE73A3"/>
    <w:rsid w:val="00EE73E2"/>
    <w:rsid w:val="00EE742A"/>
    <w:rsid w:val="00EE7453"/>
    <w:rsid w:val="00EE74F7"/>
    <w:rsid w:val="00EE7629"/>
    <w:rsid w:val="00EE763E"/>
    <w:rsid w:val="00EE764B"/>
    <w:rsid w:val="00EE773E"/>
    <w:rsid w:val="00EE7785"/>
    <w:rsid w:val="00EE77A8"/>
    <w:rsid w:val="00EE77A9"/>
    <w:rsid w:val="00EE77DF"/>
    <w:rsid w:val="00EE7857"/>
    <w:rsid w:val="00EE78A5"/>
    <w:rsid w:val="00EE78A9"/>
    <w:rsid w:val="00EE78D6"/>
    <w:rsid w:val="00EE7926"/>
    <w:rsid w:val="00EE7973"/>
    <w:rsid w:val="00EE797F"/>
    <w:rsid w:val="00EE7A5A"/>
    <w:rsid w:val="00EE7A66"/>
    <w:rsid w:val="00EE7AD0"/>
    <w:rsid w:val="00EE7B5F"/>
    <w:rsid w:val="00EE7BB4"/>
    <w:rsid w:val="00EE7BD8"/>
    <w:rsid w:val="00EE7C1D"/>
    <w:rsid w:val="00EE7CA7"/>
    <w:rsid w:val="00EE7D0C"/>
    <w:rsid w:val="00EE7D3A"/>
    <w:rsid w:val="00EE7D86"/>
    <w:rsid w:val="00EE7DD5"/>
    <w:rsid w:val="00EE7E17"/>
    <w:rsid w:val="00EE7E4C"/>
    <w:rsid w:val="00EE7FC7"/>
    <w:rsid w:val="00EE7FEF"/>
    <w:rsid w:val="00EF005E"/>
    <w:rsid w:val="00EF00E2"/>
    <w:rsid w:val="00EF013A"/>
    <w:rsid w:val="00EF0222"/>
    <w:rsid w:val="00EF0313"/>
    <w:rsid w:val="00EF035D"/>
    <w:rsid w:val="00EF038A"/>
    <w:rsid w:val="00EF03A0"/>
    <w:rsid w:val="00EF03A4"/>
    <w:rsid w:val="00EF03F4"/>
    <w:rsid w:val="00EF03F9"/>
    <w:rsid w:val="00EF0412"/>
    <w:rsid w:val="00EF0483"/>
    <w:rsid w:val="00EF04A5"/>
    <w:rsid w:val="00EF04E4"/>
    <w:rsid w:val="00EF0519"/>
    <w:rsid w:val="00EF059B"/>
    <w:rsid w:val="00EF05D8"/>
    <w:rsid w:val="00EF05E4"/>
    <w:rsid w:val="00EF05E7"/>
    <w:rsid w:val="00EF063F"/>
    <w:rsid w:val="00EF06A6"/>
    <w:rsid w:val="00EF074F"/>
    <w:rsid w:val="00EF07AB"/>
    <w:rsid w:val="00EF08CD"/>
    <w:rsid w:val="00EF090F"/>
    <w:rsid w:val="00EF0948"/>
    <w:rsid w:val="00EF094A"/>
    <w:rsid w:val="00EF0957"/>
    <w:rsid w:val="00EF0988"/>
    <w:rsid w:val="00EF09CD"/>
    <w:rsid w:val="00EF0A5B"/>
    <w:rsid w:val="00EF0AD9"/>
    <w:rsid w:val="00EF0B2C"/>
    <w:rsid w:val="00EF0B48"/>
    <w:rsid w:val="00EF0B4C"/>
    <w:rsid w:val="00EF0B7F"/>
    <w:rsid w:val="00EF0B9D"/>
    <w:rsid w:val="00EF0BED"/>
    <w:rsid w:val="00EF0C02"/>
    <w:rsid w:val="00EF0CEB"/>
    <w:rsid w:val="00EF0E13"/>
    <w:rsid w:val="00EF0E7A"/>
    <w:rsid w:val="00EF0E85"/>
    <w:rsid w:val="00EF0ECA"/>
    <w:rsid w:val="00EF0F49"/>
    <w:rsid w:val="00EF0FAE"/>
    <w:rsid w:val="00EF1047"/>
    <w:rsid w:val="00EF10F8"/>
    <w:rsid w:val="00EF1129"/>
    <w:rsid w:val="00EF131C"/>
    <w:rsid w:val="00EF139B"/>
    <w:rsid w:val="00EF13A9"/>
    <w:rsid w:val="00EF13BA"/>
    <w:rsid w:val="00EF13D2"/>
    <w:rsid w:val="00EF13E7"/>
    <w:rsid w:val="00EF1403"/>
    <w:rsid w:val="00EF146C"/>
    <w:rsid w:val="00EF1476"/>
    <w:rsid w:val="00EF1478"/>
    <w:rsid w:val="00EF14AF"/>
    <w:rsid w:val="00EF14D0"/>
    <w:rsid w:val="00EF150B"/>
    <w:rsid w:val="00EF1576"/>
    <w:rsid w:val="00EF157D"/>
    <w:rsid w:val="00EF1765"/>
    <w:rsid w:val="00EF1766"/>
    <w:rsid w:val="00EF17BA"/>
    <w:rsid w:val="00EF1850"/>
    <w:rsid w:val="00EF1935"/>
    <w:rsid w:val="00EF1942"/>
    <w:rsid w:val="00EF1980"/>
    <w:rsid w:val="00EF19B3"/>
    <w:rsid w:val="00EF19C5"/>
    <w:rsid w:val="00EF1A07"/>
    <w:rsid w:val="00EF1A11"/>
    <w:rsid w:val="00EF1AAA"/>
    <w:rsid w:val="00EF1AEE"/>
    <w:rsid w:val="00EF1AF8"/>
    <w:rsid w:val="00EF1B0A"/>
    <w:rsid w:val="00EF1BAB"/>
    <w:rsid w:val="00EF1BD7"/>
    <w:rsid w:val="00EF1BFF"/>
    <w:rsid w:val="00EF1CA3"/>
    <w:rsid w:val="00EF1D53"/>
    <w:rsid w:val="00EF1D5A"/>
    <w:rsid w:val="00EF1DB4"/>
    <w:rsid w:val="00EF1E40"/>
    <w:rsid w:val="00EF1E5D"/>
    <w:rsid w:val="00EF1EE7"/>
    <w:rsid w:val="00EF1F5B"/>
    <w:rsid w:val="00EF1F91"/>
    <w:rsid w:val="00EF200A"/>
    <w:rsid w:val="00EF2041"/>
    <w:rsid w:val="00EF204D"/>
    <w:rsid w:val="00EF21D0"/>
    <w:rsid w:val="00EF21E9"/>
    <w:rsid w:val="00EF2240"/>
    <w:rsid w:val="00EF2243"/>
    <w:rsid w:val="00EF2368"/>
    <w:rsid w:val="00EF23BC"/>
    <w:rsid w:val="00EF2401"/>
    <w:rsid w:val="00EF2424"/>
    <w:rsid w:val="00EF24A7"/>
    <w:rsid w:val="00EF25B4"/>
    <w:rsid w:val="00EF2690"/>
    <w:rsid w:val="00EF26F3"/>
    <w:rsid w:val="00EF270E"/>
    <w:rsid w:val="00EF2720"/>
    <w:rsid w:val="00EF27E2"/>
    <w:rsid w:val="00EF2800"/>
    <w:rsid w:val="00EF2822"/>
    <w:rsid w:val="00EF287C"/>
    <w:rsid w:val="00EF2883"/>
    <w:rsid w:val="00EF2893"/>
    <w:rsid w:val="00EF2928"/>
    <w:rsid w:val="00EF2991"/>
    <w:rsid w:val="00EF29E4"/>
    <w:rsid w:val="00EF29FE"/>
    <w:rsid w:val="00EF2A4C"/>
    <w:rsid w:val="00EF2A6F"/>
    <w:rsid w:val="00EF2A70"/>
    <w:rsid w:val="00EF2AF0"/>
    <w:rsid w:val="00EF2C04"/>
    <w:rsid w:val="00EF2C1F"/>
    <w:rsid w:val="00EF2C5E"/>
    <w:rsid w:val="00EF2D47"/>
    <w:rsid w:val="00EF2D53"/>
    <w:rsid w:val="00EF2D9A"/>
    <w:rsid w:val="00EF2E6D"/>
    <w:rsid w:val="00EF2EB6"/>
    <w:rsid w:val="00EF2F13"/>
    <w:rsid w:val="00EF2F1E"/>
    <w:rsid w:val="00EF2F48"/>
    <w:rsid w:val="00EF2F66"/>
    <w:rsid w:val="00EF2FC4"/>
    <w:rsid w:val="00EF305D"/>
    <w:rsid w:val="00EF30AC"/>
    <w:rsid w:val="00EF30F7"/>
    <w:rsid w:val="00EF3191"/>
    <w:rsid w:val="00EF31BE"/>
    <w:rsid w:val="00EF3232"/>
    <w:rsid w:val="00EF3237"/>
    <w:rsid w:val="00EF324A"/>
    <w:rsid w:val="00EF325F"/>
    <w:rsid w:val="00EF32E0"/>
    <w:rsid w:val="00EF32F7"/>
    <w:rsid w:val="00EF330A"/>
    <w:rsid w:val="00EF333E"/>
    <w:rsid w:val="00EF335E"/>
    <w:rsid w:val="00EF33A4"/>
    <w:rsid w:val="00EF33AE"/>
    <w:rsid w:val="00EF33DC"/>
    <w:rsid w:val="00EF34E8"/>
    <w:rsid w:val="00EF355B"/>
    <w:rsid w:val="00EF35E0"/>
    <w:rsid w:val="00EF3614"/>
    <w:rsid w:val="00EF362B"/>
    <w:rsid w:val="00EF3653"/>
    <w:rsid w:val="00EF3680"/>
    <w:rsid w:val="00EF3685"/>
    <w:rsid w:val="00EF378D"/>
    <w:rsid w:val="00EF3884"/>
    <w:rsid w:val="00EF3888"/>
    <w:rsid w:val="00EF38BE"/>
    <w:rsid w:val="00EF39EF"/>
    <w:rsid w:val="00EF39F9"/>
    <w:rsid w:val="00EF3A28"/>
    <w:rsid w:val="00EF3A84"/>
    <w:rsid w:val="00EF3AD8"/>
    <w:rsid w:val="00EF3BD1"/>
    <w:rsid w:val="00EF3BE0"/>
    <w:rsid w:val="00EF3C46"/>
    <w:rsid w:val="00EF3CC4"/>
    <w:rsid w:val="00EF3CE3"/>
    <w:rsid w:val="00EF3CEF"/>
    <w:rsid w:val="00EF3D47"/>
    <w:rsid w:val="00EF3D71"/>
    <w:rsid w:val="00EF3DCE"/>
    <w:rsid w:val="00EF3EA1"/>
    <w:rsid w:val="00EF3EAC"/>
    <w:rsid w:val="00EF3F4F"/>
    <w:rsid w:val="00EF3FDE"/>
    <w:rsid w:val="00EF400B"/>
    <w:rsid w:val="00EF4073"/>
    <w:rsid w:val="00EF4112"/>
    <w:rsid w:val="00EF413B"/>
    <w:rsid w:val="00EF416D"/>
    <w:rsid w:val="00EF41AF"/>
    <w:rsid w:val="00EF41EC"/>
    <w:rsid w:val="00EF423C"/>
    <w:rsid w:val="00EF4266"/>
    <w:rsid w:val="00EF4277"/>
    <w:rsid w:val="00EF42E6"/>
    <w:rsid w:val="00EF42ED"/>
    <w:rsid w:val="00EF42F7"/>
    <w:rsid w:val="00EF435D"/>
    <w:rsid w:val="00EF4386"/>
    <w:rsid w:val="00EF43BA"/>
    <w:rsid w:val="00EF4486"/>
    <w:rsid w:val="00EF44DA"/>
    <w:rsid w:val="00EF44F0"/>
    <w:rsid w:val="00EF453C"/>
    <w:rsid w:val="00EF4562"/>
    <w:rsid w:val="00EF4586"/>
    <w:rsid w:val="00EF45A6"/>
    <w:rsid w:val="00EF45D7"/>
    <w:rsid w:val="00EF460C"/>
    <w:rsid w:val="00EF466E"/>
    <w:rsid w:val="00EF468A"/>
    <w:rsid w:val="00EF46EE"/>
    <w:rsid w:val="00EF47D5"/>
    <w:rsid w:val="00EF47E5"/>
    <w:rsid w:val="00EF47FC"/>
    <w:rsid w:val="00EF4855"/>
    <w:rsid w:val="00EF490A"/>
    <w:rsid w:val="00EF4929"/>
    <w:rsid w:val="00EF494B"/>
    <w:rsid w:val="00EF4965"/>
    <w:rsid w:val="00EF49FE"/>
    <w:rsid w:val="00EF4A1E"/>
    <w:rsid w:val="00EF4A66"/>
    <w:rsid w:val="00EF4AC5"/>
    <w:rsid w:val="00EF4ACE"/>
    <w:rsid w:val="00EF4AD0"/>
    <w:rsid w:val="00EF4B6E"/>
    <w:rsid w:val="00EF4BC9"/>
    <w:rsid w:val="00EF4BFC"/>
    <w:rsid w:val="00EF4C02"/>
    <w:rsid w:val="00EF4D3E"/>
    <w:rsid w:val="00EF4DA1"/>
    <w:rsid w:val="00EF4DDE"/>
    <w:rsid w:val="00EF4E05"/>
    <w:rsid w:val="00EF4E36"/>
    <w:rsid w:val="00EF4EBD"/>
    <w:rsid w:val="00EF4F31"/>
    <w:rsid w:val="00EF4F4A"/>
    <w:rsid w:val="00EF4F50"/>
    <w:rsid w:val="00EF4FB6"/>
    <w:rsid w:val="00EF4FD0"/>
    <w:rsid w:val="00EF4FDF"/>
    <w:rsid w:val="00EF5043"/>
    <w:rsid w:val="00EF5107"/>
    <w:rsid w:val="00EF51AA"/>
    <w:rsid w:val="00EF529E"/>
    <w:rsid w:val="00EF536E"/>
    <w:rsid w:val="00EF53BF"/>
    <w:rsid w:val="00EF5479"/>
    <w:rsid w:val="00EF54C5"/>
    <w:rsid w:val="00EF551E"/>
    <w:rsid w:val="00EF55A1"/>
    <w:rsid w:val="00EF5628"/>
    <w:rsid w:val="00EF5673"/>
    <w:rsid w:val="00EF5736"/>
    <w:rsid w:val="00EF581B"/>
    <w:rsid w:val="00EF5833"/>
    <w:rsid w:val="00EF5839"/>
    <w:rsid w:val="00EF5849"/>
    <w:rsid w:val="00EF5901"/>
    <w:rsid w:val="00EF5944"/>
    <w:rsid w:val="00EF59A8"/>
    <w:rsid w:val="00EF5A82"/>
    <w:rsid w:val="00EF5C2D"/>
    <w:rsid w:val="00EF5C8F"/>
    <w:rsid w:val="00EF5CF1"/>
    <w:rsid w:val="00EF5D1D"/>
    <w:rsid w:val="00EF5DE0"/>
    <w:rsid w:val="00EF5DFB"/>
    <w:rsid w:val="00EF5EBD"/>
    <w:rsid w:val="00EF5EDF"/>
    <w:rsid w:val="00EF5F36"/>
    <w:rsid w:val="00EF5F4F"/>
    <w:rsid w:val="00EF5FA3"/>
    <w:rsid w:val="00EF5FAE"/>
    <w:rsid w:val="00EF5FC1"/>
    <w:rsid w:val="00EF601F"/>
    <w:rsid w:val="00EF604A"/>
    <w:rsid w:val="00EF605E"/>
    <w:rsid w:val="00EF60B2"/>
    <w:rsid w:val="00EF6122"/>
    <w:rsid w:val="00EF6136"/>
    <w:rsid w:val="00EF61B5"/>
    <w:rsid w:val="00EF633E"/>
    <w:rsid w:val="00EF6345"/>
    <w:rsid w:val="00EF634B"/>
    <w:rsid w:val="00EF6391"/>
    <w:rsid w:val="00EF63A7"/>
    <w:rsid w:val="00EF6434"/>
    <w:rsid w:val="00EF64A4"/>
    <w:rsid w:val="00EF64AA"/>
    <w:rsid w:val="00EF64D6"/>
    <w:rsid w:val="00EF6531"/>
    <w:rsid w:val="00EF657A"/>
    <w:rsid w:val="00EF65A6"/>
    <w:rsid w:val="00EF65A9"/>
    <w:rsid w:val="00EF672A"/>
    <w:rsid w:val="00EF672B"/>
    <w:rsid w:val="00EF67D7"/>
    <w:rsid w:val="00EF6842"/>
    <w:rsid w:val="00EF6868"/>
    <w:rsid w:val="00EF6885"/>
    <w:rsid w:val="00EF68FB"/>
    <w:rsid w:val="00EF696C"/>
    <w:rsid w:val="00EF69E8"/>
    <w:rsid w:val="00EF69F8"/>
    <w:rsid w:val="00EF6A0E"/>
    <w:rsid w:val="00EF6A35"/>
    <w:rsid w:val="00EF6A46"/>
    <w:rsid w:val="00EF6A6C"/>
    <w:rsid w:val="00EF6A95"/>
    <w:rsid w:val="00EF6ADC"/>
    <w:rsid w:val="00EF6AF2"/>
    <w:rsid w:val="00EF6B2C"/>
    <w:rsid w:val="00EF6B5E"/>
    <w:rsid w:val="00EF6B62"/>
    <w:rsid w:val="00EF6BC4"/>
    <w:rsid w:val="00EF6BDA"/>
    <w:rsid w:val="00EF6BEB"/>
    <w:rsid w:val="00EF6D56"/>
    <w:rsid w:val="00EF6DAE"/>
    <w:rsid w:val="00EF6DCA"/>
    <w:rsid w:val="00EF6E40"/>
    <w:rsid w:val="00EF6E46"/>
    <w:rsid w:val="00EF6ECB"/>
    <w:rsid w:val="00EF6EFD"/>
    <w:rsid w:val="00EF6F0E"/>
    <w:rsid w:val="00EF6F16"/>
    <w:rsid w:val="00EF6F41"/>
    <w:rsid w:val="00EF6FA3"/>
    <w:rsid w:val="00EF70C5"/>
    <w:rsid w:val="00EF71D7"/>
    <w:rsid w:val="00EF71EF"/>
    <w:rsid w:val="00EF7284"/>
    <w:rsid w:val="00EF7290"/>
    <w:rsid w:val="00EF730D"/>
    <w:rsid w:val="00EF7379"/>
    <w:rsid w:val="00EF737F"/>
    <w:rsid w:val="00EF7404"/>
    <w:rsid w:val="00EF7480"/>
    <w:rsid w:val="00EF7497"/>
    <w:rsid w:val="00EF74DA"/>
    <w:rsid w:val="00EF7527"/>
    <w:rsid w:val="00EF757C"/>
    <w:rsid w:val="00EF75A0"/>
    <w:rsid w:val="00EF7616"/>
    <w:rsid w:val="00EF7660"/>
    <w:rsid w:val="00EF7671"/>
    <w:rsid w:val="00EF7695"/>
    <w:rsid w:val="00EF76C7"/>
    <w:rsid w:val="00EF76CB"/>
    <w:rsid w:val="00EF7704"/>
    <w:rsid w:val="00EF7771"/>
    <w:rsid w:val="00EF77A9"/>
    <w:rsid w:val="00EF77C3"/>
    <w:rsid w:val="00EF77D0"/>
    <w:rsid w:val="00EF77F1"/>
    <w:rsid w:val="00EF7A53"/>
    <w:rsid w:val="00EF7A7F"/>
    <w:rsid w:val="00EF7A84"/>
    <w:rsid w:val="00EF7AA4"/>
    <w:rsid w:val="00EF7AD9"/>
    <w:rsid w:val="00EF7B29"/>
    <w:rsid w:val="00EF7B40"/>
    <w:rsid w:val="00EF7B89"/>
    <w:rsid w:val="00EF7BD1"/>
    <w:rsid w:val="00EF7C14"/>
    <w:rsid w:val="00EF7CA4"/>
    <w:rsid w:val="00EF7CEA"/>
    <w:rsid w:val="00EF7DBB"/>
    <w:rsid w:val="00EF7DD6"/>
    <w:rsid w:val="00EF7E1D"/>
    <w:rsid w:val="00EF7EC4"/>
    <w:rsid w:val="00EF7F24"/>
    <w:rsid w:val="00EFA433"/>
    <w:rsid w:val="00F00054"/>
    <w:rsid w:val="00F00127"/>
    <w:rsid w:val="00F0015F"/>
    <w:rsid w:val="00F001B3"/>
    <w:rsid w:val="00F00294"/>
    <w:rsid w:val="00F002F7"/>
    <w:rsid w:val="00F0034A"/>
    <w:rsid w:val="00F00427"/>
    <w:rsid w:val="00F00428"/>
    <w:rsid w:val="00F0044B"/>
    <w:rsid w:val="00F004A7"/>
    <w:rsid w:val="00F00534"/>
    <w:rsid w:val="00F005A2"/>
    <w:rsid w:val="00F005AB"/>
    <w:rsid w:val="00F00701"/>
    <w:rsid w:val="00F00731"/>
    <w:rsid w:val="00F00765"/>
    <w:rsid w:val="00F0079C"/>
    <w:rsid w:val="00F007EE"/>
    <w:rsid w:val="00F00807"/>
    <w:rsid w:val="00F008A1"/>
    <w:rsid w:val="00F0094F"/>
    <w:rsid w:val="00F0098B"/>
    <w:rsid w:val="00F0099C"/>
    <w:rsid w:val="00F009A8"/>
    <w:rsid w:val="00F009FF"/>
    <w:rsid w:val="00F00A0A"/>
    <w:rsid w:val="00F00A6D"/>
    <w:rsid w:val="00F00AF4"/>
    <w:rsid w:val="00F00B39"/>
    <w:rsid w:val="00F00B7C"/>
    <w:rsid w:val="00F00B86"/>
    <w:rsid w:val="00F00BC7"/>
    <w:rsid w:val="00F00BD6"/>
    <w:rsid w:val="00F00E09"/>
    <w:rsid w:val="00F00E98"/>
    <w:rsid w:val="00F00ECE"/>
    <w:rsid w:val="00F00FC3"/>
    <w:rsid w:val="00F00FDF"/>
    <w:rsid w:val="00F00FF3"/>
    <w:rsid w:val="00F0113D"/>
    <w:rsid w:val="00F0121C"/>
    <w:rsid w:val="00F0121F"/>
    <w:rsid w:val="00F01292"/>
    <w:rsid w:val="00F012B0"/>
    <w:rsid w:val="00F012CD"/>
    <w:rsid w:val="00F012F0"/>
    <w:rsid w:val="00F0130D"/>
    <w:rsid w:val="00F01315"/>
    <w:rsid w:val="00F0139A"/>
    <w:rsid w:val="00F0143D"/>
    <w:rsid w:val="00F01494"/>
    <w:rsid w:val="00F014F2"/>
    <w:rsid w:val="00F01510"/>
    <w:rsid w:val="00F01524"/>
    <w:rsid w:val="00F01625"/>
    <w:rsid w:val="00F016A6"/>
    <w:rsid w:val="00F016E9"/>
    <w:rsid w:val="00F01738"/>
    <w:rsid w:val="00F01756"/>
    <w:rsid w:val="00F0176F"/>
    <w:rsid w:val="00F01822"/>
    <w:rsid w:val="00F01885"/>
    <w:rsid w:val="00F01911"/>
    <w:rsid w:val="00F01912"/>
    <w:rsid w:val="00F0193C"/>
    <w:rsid w:val="00F01954"/>
    <w:rsid w:val="00F019A8"/>
    <w:rsid w:val="00F019AE"/>
    <w:rsid w:val="00F019D4"/>
    <w:rsid w:val="00F01A10"/>
    <w:rsid w:val="00F01A1A"/>
    <w:rsid w:val="00F01A86"/>
    <w:rsid w:val="00F01B8D"/>
    <w:rsid w:val="00F01B99"/>
    <w:rsid w:val="00F01B9E"/>
    <w:rsid w:val="00F01BE2"/>
    <w:rsid w:val="00F01C59"/>
    <w:rsid w:val="00F01C6F"/>
    <w:rsid w:val="00F01C9A"/>
    <w:rsid w:val="00F01CC1"/>
    <w:rsid w:val="00F01CF2"/>
    <w:rsid w:val="00F01D35"/>
    <w:rsid w:val="00F01DF1"/>
    <w:rsid w:val="00F01DF9"/>
    <w:rsid w:val="00F01F12"/>
    <w:rsid w:val="00F01F8B"/>
    <w:rsid w:val="00F01FF5"/>
    <w:rsid w:val="00F0203D"/>
    <w:rsid w:val="00F020B8"/>
    <w:rsid w:val="00F02157"/>
    <w:rsid w:val="00F0218C"/>
    <w:rsid w:val="00F02279"/>
    <w:rsid w:val="00F022B5"/>
    <w:rsid w:val="00F02317"/>
    <w:rsid w:val="00F023B3"/>
    <w:rsid w:val="00F02493"/>
    <w:rsid w:val="00F024A7"/>
    <w:rsid w:val="00F024D9"/>
    <w:rsid w:val="00F024F1"/>
    <w:rsid w:val="00F0251B"/>
    <w:rsid w:val="00F02587"/>
    <w:rsid w:val="00F025D0"/>
    <w:rsid w:val="00F02605"/>
    <w:rsid w:val="00F026EE"/>
    <w:rsid w:val="00F0280A"/>
    <w:rsid w:val="00F028A7"/>
    <w:rsid w:val="00F028AD"/>
    <w:rsid w:val="00F02904"/>
    <w:rsid w:val="00F0291E"/>
    <w:rsid w:val="00F0296B"/>
    <w:rsid w:val="00F02978"/>
    <w:rsid w:val="00F029BD"/>
    <w:rsid w:val="00F029CE"/>
    <w:rsid w:val="00F02A9B"/>
    <w:rsid w:val="00F02ACA"/>
    <w:rsid w:val="00F02B2E"/>
    <w:rsid w:val="00F02B8E"/>
    <w:rsid w:val="00F02B92"/>
    <w:rsid w:val="00F02BA0"/>
    <w:rsid w:val="00F02C24"/>
    <w:rsid w:val="00F02C36"/>
    <w:rsid w:val="00F02C50"/>
    <w:rsid w:val="00F02C60"/>
    <w:rsid w:val="00F02CA2"/>
    <w:rsid w:val="00F02D7C"/>
    <w:rsid w:val="00F02DA8"/>
    <w:rsid w:val="00F02E16"/>
    <w:rsid w:val="00F02E3F"/>
    <w:rsid w:val="00F02E49"/>
    <w:rsid w:val="00F02E72"/>
    <w:rsid w:val="00F02E93"/>
    <w:rsid w:val="00F0305A"/>
    <w:rsid w:val="00F03065"/>
    <w:rsid w:val="00F030AC"/>
    <w:rsid w:val="00F0319C"/>
    <w:rsid w:val="00F03264"/>
    <w:rsid w:val="00F032CA"/>
    <w:rsid w:val="00F03346"/>
    <w:rsid w:val="00F033A4"/>
    <w:rsid w:val="00F033B4"/>
    <w:rsid w:val="00F034BC"/>
    <w:rsid w:val="00F034BD"/>
    <w:rsid w:val="00F034C7"/>
    <w:rsid w:val="00F034D4"/>
    <w:rsid w:val="00F034F1"/>
    <w:rsid w:val="00F03641"/>
    <w:rsid w:val="00F03703"/>
    <w:rsid w:val="00F0374D"/>
    <w:rsid w:val="00F037A7"/>
    <w:rsid w:val="00F037E9"/>
    <w:rsid w:val="00F03840"/>
    <w:rsid w:val="00F03894"/>
    <w:rsid w:val="00F038F7"/>
    <w:rsid w:val="00F03A83"/>
    <w:rsid w:val="00F03AD6"/>
    <w:rsid w:val="00F03AE3"/>
    <w:rsid w:val="00F03B6C"/>
    <w:rsid w:val="00F03BA6"/>
    <w:rsid w:val="00F03C48"/>
    <w:rsid w:val="00F03C85"/>
    <w:rsid w:val="00F03CF6"/>
    <w:rsid w:val="00F03D1A"/>
    <w:rsid w:val="00F03DD6"/>
    <w:rsid w:val="00F03DDA"/>
    <w:rsid w:val="00F03E36"/>
    <w:rsid w:val="00F03E3F"/>
    <w:rsid w:val="00F03F41"/>
    <w:rsid w:val="00F03F46"/>
    <w:rsid w:val="00F04037"/>
    <w:rsid w:val="00F041F0"/>
    <w:rsid w:val="00F042D4"/>
    <w:rsid w:val="00F043C5"/>
    <w:rsid w:val="00F043EF"/>
    <w:rsid w:val="00F044AA"/>
    <w:rsid w:val="00F045C1"/>
    <w:rsid w:val="00F0462C"/>
    <w:rsid w:val="00F0465E"/>
    <w:rsid w:val="00F04697"/>
    <w:rsid w:val="00F04766"/>
    <w:rsid w:val="00F047BE"/>
    <w:rsid w:val="00F047F7"/>
    <w:rsid w:val="00F048AB"/>
    <w:rsid w:val="00F048B8"/>
    <w:rsid w:val="00F048BF"/>
    <w:rsid w:val="00F048DD"/>
    <w:rsid w:val="00F04900"/>
    <w:rsid w:val="00F04AAF"/>
    <w:rsid w:val="00F04B73"/>
    <w:rsid w:val="00F04B79"/>
    <w:rsid w:val="00F04C42"/>
    <w:rsid w:val="00F04CE0"/>
    <w:rsid w:val="00F04DC4"/>
    <w:rsid w:val="00F04E58"/>
    <w:rsid w:val="00F04F0E"/>
    <w:rsid w:val="00F04FF0"/>
    <w:rsid w:val="00F05026"/>
    <w:rsid w:val="00F05154"/>
    <w:rsid w:val="00F05183"/>
    <w:rsid w:val="00F051A5"/>
    <w:rsid w:val="00F05223"/>
    <w:rsid w:val="00F05307"/>
    <w:rsid w:val="00F05476"/>
    <w:rsid w:val="00F054C4"/>
    <w:rsid w:val="00F05556"/>
    <w:rsid w:val="00F055E2"/>
    <w:rsid w:val="00F0561D"/>
    <w:rsid w:val="00F056A1"/>
    <w:rsid w:val="00F0579D"/>
    <w:rsid w:val="00F057A4"/>
    <w:rsid w:val="00F05800"/>
    <w:rsid w:val="00F0581C"/>
    <w:rsid w:val="00F05823"/>
    <w:rsid w:val="00F05955"/>
    <w:rsid w:val="00F0599A"/>
    <w:rsid w:val="00F05A7A"/>
    <w:rsid w:val="00F05A97"/>
    <w:rsid w:val="00F05AD0"/>
    <w:rsid w:val="00F05AD7"/>
    <w:rsid w:val="00F05AED"/>
    <w:rsid w:val="00F05B48"/>
    <w:rsid w:val="00F05B53"/>
    <w:rsid w:val="00F05B7A"/>
    <w:rsid w:val="00F05B82"/>
    <w:rsid w:val="00F05BA3"/>
    <w:rsid w:val="00F05BBC"/>
    <w:rsid w:val="00F05BD6"/>
    <w:rsid w:val="00F05C02"/>
    <w:rsid w:val="00F05C55"/>
    <w:rsid w:val="00F05C7A"/>
    <w:rsid w:val="00F05D2E"/>
    <w:rsid w:val="00F05DA7"/>
    <w:rsid w:val="00F05DAE"/>
    <w:rsid w:val="00F05DCE"/>
    <w:rsid w:val="00F05DEC"/>
    <w:rsid w:val="00F05E14"/>
    <w:rsid w:val="00F05E90"/>
    <w:rsid w:val="00F05E93"/>
    <w:rsid w:val="00F05EE1"/>
    <w:rsid w:val="00F05F76"/>
    <w:rsid w:val="00F05FEE"/>
    <w:rsid w:val="00F0614B"/>
    <w:rsid w:val="00F061D2"/>
    <w:rsid w:val="00F06248"/>
    <w:rsid w:val="00F0629A"/>
    <w:rsid w:val="00F06307"/>
    <w:rsid w:val="00F06359"/>
    <w:rsid w:val="00F0643D"/>
    <w:rsid w:val="00F0649A"/>
    <w:rsid w:val="00F064E3"/>
    <w:rsid w:val="00F064F1"/>
    <w:rsid w:val="00F06554"/>
    <w:rsid w:val="00F06562"/>
    <w:rsid w:val="00F065C1"/>
    <w:rsid w:val="00F0665B"/>
    <w:rsid w:val="00F066F0"/>
    <w:rsid w:val="00F0670A"/>
    <w:rsid w:val="00F0671A"/>
    <w:rsid w:val="00F06720"/>
    <w:rsid w:val="00F0677F"/>
    <w:rsid w:val="00F0680E"/>
    <w:rsid w:val="00F068AE"/>
    <w:rsid w:val="00F068C4"/>
    <w:rsid w:val="00F068EE"/>
    <w:rsid w:val="00F06945"/>
    <w:rsid w:val="00F06951"/>
    <w:rsid w:val="00F06979"/>
    <w:rsid w:val="00F06986"/>
    <w:rsid w:val="00F06993"/>
    <w:rsid w:val="00F06A59"/>
    <w:rsid w:val="00F06A8F"/>
    <w:rsid w:val="00F06AC1"/>
    <w:rsid w:val="00F06B89"/>
    <w:rsid w:val="00F06BB8"/>
    <w:rsid w:val="00F06C22"/>
    <w:rsid w:val="00F06C29"/>
    <w:rsid w:val="00F06C87"/>
    <w:rsid w:val="00F06D0A"/>
    <w:rsid w:val="00F06D1D"/>
    <w:rsid w:val="00F06D4D"/>
    <w:rsid w:val="00F06DFB"/>
    <w:rsid w:val="00F06E08"/>
    <w:rsid w:val="00F06E16"/>
    <w:rsid w:val="00F06E99"/>
    <w:rsid w:val="00F06E9E"/>
    <w:rsid w:val="00F06EEB"/>
    <w:rsid w:val="00F06FCE"/>
    <w:rsid w:val="00F0706A"/>
    <w:rsid w:val="00F070EA"/>
    <w:rsid w:val="00F07162"/>
    <w:rsid w:val="00F071B9"/>
    <w:rsid w:val="00F07210"/>
    <w:rsid w:val="00F07229"/>
    <w:rsid w:val="00F0726C"/>
    <w:rsid w:val="00F072CE"/>
    <w:rsid w:val="00F07352"/>
    <w:rsid w:val="00F073D6"/>
    <w:rsid w:val="00F073E4"/>
    <w:rsid w:val="00F073FF"/>
    <w:rsid w:val="00F074C7"/>
    <w:rsid w:val="00F074E0"/>
    <w:rsid w:val="00F0751D"/>
    <w:rsid w:val="00F07558"/>
    <w:rsid w:val="00F075F1"/>
    <w:rsid w:val="00F07634"/>
    <w:rsid w:val="00F0771E"/>
    <w:rsid w:val="00F07766"/>
    <w:rsid w:val="00F07788"/>
    <w:rsid w:val="00F07790"/>
    <w:rsid w:val="00F0779D"/>
    <w:rsid w:val="00F0780F"/>
    <w:rsid w:val="00F07886"/>
    <w:rsid w:val="00F07941"/>
    <w:rsid w:val="00F079A5"/>
    <w:rsid w:val="00F079A9"/>
    <w:rsid w:val="00F079BE"/>
    <w:rsid w:val="00F07A2C"/>
    <w:rsid w:val="00F07A46"/>
    <w:rsid w:val="00F07A48"/>
    <w:rsid w:val="00F07AC3"/>
    <w:rsid w:val="00F07B11"/>
    <w:rsid w:val="00F07B53"/>
    <w:rsid w:val="00F07B96"/>
    <w:rsid w:val="00F07C6D"/>
    <w:rsid w:val="00F07CC1"/>
    <w:rsid w:val="00F07D75"/>
    <w:rsid w:val="00F07E77"/>
    <w:rsid w:val="00F07E78"/>
    <w:rsid w:val="00F07ECA"/>
    <w:rsid w:val="00F07FD2"/>
    <w:rsid w:val="00F10063"/>
    <w:rsid w:val="00F10074"/>
    <w:rsid w:val="00F10088"/>
    <w:rsid w:val="00F101B0"/>
    <w:rsid w:val="00F101E1"/>
    <w:rsid w:val="00F102AE"/>
    <w:rsid w:val="00F102C2"/>
    <w:rsid w:val="00F10308"/>
    <w:rsid w:val="00F1030E"/>
    <w:rsid w:val="00F1032F"/>
    <w:rsid w:val="00F103C3"/>
    <w:rsid w:val="00F103D1"/>
    <w:rsid w:val="00F10430"/>
    <w:rsid w:val="00F104AA"/>
    <w:rsid w:val="00F10583"/>
    <w:rsid w:val="00F105B3"/>
    <w:rsid w:val="00F105E5"/>
    <w:rsid w:val="00F1065F"/>
    <w:rsid w:val="00F10871"/>
    <w:rsid w:val="00F108A5"/>
    <w:rsid w:val="00F108A9"/>
    <w:rsid w:val="00F108D0"/>
    <w:rsid w:val="00F1092B"/>
    <w:rsid w:val="00F1096C"/>
    <w:rsid w:val="00F1099C"/>
    <w:rsid w:val="00F109B8"/>
    <w:rsid w:val="00F109BB"/>
    <w:rsid w:val="00F109C1"/>
    <w:rsid w:val="00F10A92"/>
    <w:rsid w:val="00F10BC6"/>
    <w:rsid w:val="00F10C1C"/>
    <w:rsid w:val="00F10C79"/>
    <w:rsid w:val="00F10D14"/>
    <w:rsid w:val="00F10D4C"/>
    <w:rsid w:val="00F10D8C"/>
    <w:rsid w:val="00F10E50"/>
    <w:rsid w:val="00F10E69"/>
    <w:rsid w:val="00F10E91"/>
    <w:rsid w:val="00F10EB7"/>
    <w:rsid w:val="00F10EB8"/>
    <w:rsid w:val="00F10EB9"/>
    <w:rsid w:val="00F10EE5"/>
    <w:rsid w:val="00F10F37"/>
    <w:rsid w:val="00F10F51"/>
    <w:rsid w:val="00F10FF4"/>
    <w:rsid w:val="00F1104F"/>
    <w:rsid w:val="00F11080"/>
    <w:rsid w:val="00F11113"/>
    <w:rsid w:val="00F1111D"/>
    <w:rsid w:val="00F1115A"/>
    <w:rsid w:val="00F11296"/>
    <w:rsid w:val="00F11334"/>
    <w:rsid w:val="00F11375"/>
    <w:rsid w:val="00F1137F"/>
    <w:rsid w:val="00F113E2"/>
    <w:rsid w:val="00F11400"/>
    <w:rsid w:val="00F11448"/>
    <w:rsid w:val="00F11492"/>
    <w:rsid w:val="00F11583"/>
    <w:rsid w:val="00F11588"/>
    <w:rsid w:val="00F115C7"/>
    <w:rsid w:val="00F115E8"/>
    <w:rsid w:val="00F11618"/>
    <w:rsid w:val="00F11635"/>
    <w:rsid w:val="00F1166F"/>
    <w:rsid w:val="00F1169F"/>
    <w:rsid w:val="00F11728"/>
    <w:rsid w:val="00F1174B"/>
    <w:rsid w:val="00F117A1"/>
    <w:rsid w:val="00F117F1"/>
    <w:rsid w:val="00F118BB"/>
    <w:rsid w:val="00F118D8"/>
    <w:rsid w:val="00F11925"/>
    <w:rsid w:val="00F1192F"/>
    <w:rsid w:val="00F119B2"/>
    <w:rsid w:val="00F11A21"/>
    <w:rsid w:val="00F11A82"/>
    <w:rsid w:val="00F11B79"/>
    <w:rsid w:val="00F11BC6"/>
    <w:rsid w:val="00F11BD3"/>
    <w:rsid w:val="00F11C0F"/>
    <w:rsid w:val="00F11C13"/>
    <w:rsid w:val="00F11CF1"/>
    <w:rsid w:val="00F11D12"/>
    <w:rsid w:val="00F11D63"/>
    <w:rsid w:val="00F11DAC"/>
    <w:rsid w:val="00F11DBE"/>
    <w:rsid w:val="00F11DDB"/>
    <w:rsid w:val="00F11DFF"/>
    <w:rsid w:val="00F11E04"/>
    <w:rsid w:val="00F11E19"/>
    <w:rsid w:val="00F11E88"/>
    <w:rsid w:val="00F11EBA"/>
    <w:rsid w:val="00F11F1E"/>
    <w:rsid w:val="00F11F6C"/>
    <w:rsid w:val="00F12054"/>
    <w:rsid w:val="00F1205C"/>
    <w:rsid w:val="00F12068"/>
    <w:rsid w:val="00F12098"/>
    <w:rsid w:val="00F1209C"/>
    <w:rsid w:val="00F120C7"/>
    <w:rsid w:val="00F120D7"/>
    <w:rsid w:val="00F1210B"/>
    <w:rsid w:val="00F12134"/>
    <w:rsid w:val="00F1215D"/>
    <w:rsid w:val="00F121E8"/>
    <w:rsid w:val="00F124D2"/>
    <w:rsid w:val="00F124D3"/>
    <w:rsid w:val="00F124E4"/>
    <w:rsid w:val="00F12564"/>
    <w:rsid w:val="00F12584"/>
    <w:rsid w:val="00F12592"/>
    <w:rsid w:val="00F12656"/>
    <w:rsid w:val="00F126B3"/>
    <w:rsid w:val="00F1274A"/>
    <w:rsid w:val="00F1275F"/>
    <w:rsid w:val="00F12765"/>
    <w:rsid w:val="00F1278A"/>
    <w:rsid w:val="00F12792"/>
    <w:rsid w:val="00F127ED"/>
    <w:rsid w:val="00F1289F"/>
    <w:rsid w:val="00F128CB"/>
    <w:rsid w:val="00F128DC"/>
    <w:rsid w:val="00F1299A"/>
    <w:rsid w:val="00F129D6"/>
    <w:rsid w:val="00F129E2"/>
    <w:rsid w:val="00F12A19"/>
    <w:rsid w:val="00F12A34"/>
    <w:rsid w:val="00F12A35"/>
    <w:rsid w:val="00F12A71"/>
    <w:rsid w:val="00F12B2A"/>
    <w:rsid w:val="00F12CFF"/>
    <w:rsid w:val="00F12D41"/>
    <w:rsid w:val="00F12D69"/>
    <w:rsid w:val="00F12E20"/>
    <w:rsid w:val="00F12E9A"/>
    <w:rsid w:val="00F12EA0"/>
    <w:rsid w:val="00F12ECB"/>
    <w:rsid w:val="00F12EF8"/>
    <w:rsid w:val="00F12FF4"/>
    <w:rsid w:val="00F1315D"/>
    <w:rsid w:val="00F131F7"/>
    <w:rsid w:val="00F13243"/>
    <w:rsid w:val="00F1328A"/>
    <w:rsid w:val="00F13300"/>
    <w:rsid w:val="00F1332E"/>
    <w:rsid w:val="00F1334A"/>
    <w:rsid w:val="00F13390"/>
    <w:rsid w:val="00F1343C"/>
    <w:rsid w:val="00F13441"/>
    <w:rsid w:val="00F134A9"/>
    <w:rsid w:val="00F134E6"/>
    <w:rsid w:val="00F13516"/>
    <w:rsid w:val="00F1352B"/>
    <w:rsid w:val="00F1357D"/>
    <w:rsid w:val="00F1367A"/>
    <w:rsid w:val="00F13869"/>
    <w:rsid w:val="00F1388B"/>
    <w:rsid w:val="00F138D1"/>
    <w:rsid w:val="00F139DB"/>
    <w:rsid w:val="00F13A47"/>
    <w:rsid w:val="00F13B28"/>
    <w:rsid w:val="00F13B69"/>
    <w:rsid w:val="00F13B6E"/>
    <w:rsid w:val="00F13C18"/>
    <w:rsid w:val="00F13C2B"/>
    <w:rsid w:val="00F13C37"/>
    <w:rsid w:val="00F13C45"/>
    <w:rsid w:val="00F13C4F"/>
    <w:rsid w:val="00F13D0E"/>
    <w:rsid w:val="00F13D13"/>
    <w:rsid w:val="00F13DD2"/>
    <w:rsid w:val="00F13E6D"/>
    <w:rsid w:val="00F13E81"/>
    <w:rsid w:val="00F13EA9"/>
    <w:rsid w:val="00F13EBA"/>
    <w:rsid w:val="00F13F0E"/>
    <w:rsid w:val="00F13F48"/>
    <w:rsid w:val="00F13F6E"/>
    <w:rsid w:val="00F13FEF"/>
    <w:rsid w:val="00F1407F"/>
    <w:rsid w:val="00F141BE"/>
    <w:rsid w:val="00F1420D"/>
    <w:rsid w:val="00F142A9"/>
    <w:rsid w:val="00F142AB"/>
    <w:rsid w:val="00F142B2"/>
    <w:rsid w:val="00F14318"/>
    <w:rsid w:val="00F14337"/>
    <w:rsid w:val="00F1435D"/>
    <w:rsid w:val="00F143C7"/>
    <w:rsid w:val="00F1440D"/>
    <w:rsid w:val="00F144B7"/>
    <w:rsid w:val="00F144C7"/>
    <w:rsid w:val="00F1456D"/>
    <w:rsid w:val="00F1457E"/>
    <w:rsid w:val="00F145DB"/>
    <w:rsid w:val="00F1469A"/>
    <w:rsid w:val="00F14744"/>
    <w:rsid w:val="00F147D2"/>
    <w:rsid w:val="00F14885"/>
    <w:rsid w:val="00F14ACA"/>
    <w:rsid w:val="00F14B2B"/>
    <w:rsid w:val="00F14BF3"/>
    <w:rsid w:val="00F14C0B"/>
    <w:rsid w:val="00F14D05"/>
    <w:rsid w:val="00F14D15"/>
    <w:rsid w:val="00F14D37"/>
    <w:rsid w:val="00F14DCB"/>
    <w:rsid w:val="00F14DCC"/>
    <w:rsid w:val="00F14DF1"/>
    <w:rsid w:val="00F14DF6"/>
    <w:rsid w:val="00F14E1E"/>
    <w:rsid w:val="00F14EEC"/>
    <w:rsid w:val="00F14EF6"/>
    <w:rsid w:val="00F14F05"/>
    <w:rsid w:val="00F14F88"/>
    <w:rsid w:val="00F14FA5"/>
    <w:rsid w:val="00F151A5"/>
    <w:rsid w:val="00F151DD"/>
    <w:rsid w:val="00F151FB"/>
    <w:rsid w:val="00F1523F"/>
    <w:rsid w:val="00F1527C"/>
    <w:rsid w:val="00F153A1"/>
    <w:rsid w:val="00F153B7"/>
    <w:rsid w:val="00F15416"/>
    <w:rsid w:val="00F1543E"/>
    <w:rsid w:val="00F15441"/>
    <w:rsid w:val="00F15458"/>
    <w:rsid w:val="00F15473"/>
    <w:rsid w:val="00F15482"/>
    <w:rsid w:val="00F1548C"/>
    <w:rsid w:val="00F15495"/>
    <w:rsid w:val="00F154F8"/>
    <w:rsid w:val="00F15533"/>
    <w:rsid w:val="00F1559E"/>
    <w:rsid w:val="00F156D0"/>
    <w:rsid w:val="00F156F0"/>
    <w:rsid w:val="00F1570D"/>
    <w:rsid w:val="00F1575D"/>
    <w:rsid w:val="00F15776"/>
    <w:rsid w:val="00F158A3"/>
    <w:rsid w:val="00F158A8"/>
    <w:rsid w:val="00F158E2"/>
    <w:rsid w:val="00F15A0C"/>
    <w:rsid w:val="00F15A25"/>
    <w:rsid w:val="00F15AD4"/>
    <w:rsid w:val="00F15B2A"/>
    <w:rsid w:val="00F15B2B"/>
    <w:rsid w:val="00F15BA5"/>
    <w:rsid w:val="00F15BB7"/>
    <w:rsid w:val="00F15C94"/>
    <w:rsid w:val="00F15D5C"/>
    <w:rsid w:val="00F15DC0"/>
    <w:rsid w:val="00F15DCF"/>
    <w:rsid w:val="00F15F0E"/>
    <w:rsid w:val="00F15F52"/>
    <w:rsid w:val="00F15F62"/>
    <w:rsid w:val="00F1603B"/>
    <w:rsid w:val="00F16048"/>
    <w:rsid w:val="00F1606A"/>
    <w:rsid w:val="00F16087"/>
    <w:rsid w:val="00F16146"/>
    <w:rsid w:val="00F161B0"/>
    <w:rsid w:val="00F16223"/>
    <w:rsid w:val="00F16277"/>
    <w:rsid w:val="00F1628D"/>
    <w:rsid w:val="00F162D3"/>
    <w:rsid w:val="00F162ED"/>
    <w:rsid w:val="00F163E9"/>
    <w:rsid w:val="00F1640D"/>
    <w:rsid w:val="00F16424"/>
    <w:rsid w:val="00F1642C"/>
    <w:rsid w:val="00F16507"/>
    <w:rsid w:val="00F16510"/>
    <w:rsid w:val="00F16584"/>
    <w:rsid w:val="00F16627"/>
    <w:rsid w:val="00F1665D"/>
    <w:rsid w:val="00F16669"/>
    <w:rsid w:val="00F1668B"/>
    <w:rsid w:val="00F1669C"/>
    <w:rsid w:val="00F166B2"/>
    <w:rsid w:val="00F166D1"/>
    <w:rsid w:val="00F166DF"/>
    <w:rsid w:val="00F16796"/>
    <w:rsid w:val="00F167C3"/>
    <w:rsid w:val="00F167F2"/>
    <w:rsid w:val="00F16805"/>
    <w:rsid w:val="00F16976"/>
    <w:rsid w:val="00F169E5"/>
    <w:rsid w:val="00F16A65"/>
    <w:rsid w:val="00F16ABC"/>
    <w:rsid w:val="00F16B0E"/>
    <w:rsid w:val="00F16B8A"/>
    <w:rsid w:val="00F16C43"/>
    <w:rsid w:val="00F16C4E"/>
    <w:rsid w:val="00F16DB4"/>
    <w:rsid w:val="00F16E2E"/>
    <w:rsid w:val="00F16E4A"/>
    <w:rsid w:val="00F16F09"/>
    <w:rsid w:val="00F16F4D"/>
    <w:rsid w:val="00F17028"/>
    <w:rsid w:val="00F1707E"/>
    <w:rsid w:val="00F17097"/>
    <w:rsid w:val="00F17106"/>
    <w:rsid w:val="00F171C6"/>
    <w:rsid w:val="00F17228"/>
    <w:rsid w:val="00F1729E"/>
    <w:rsid w:val="00F17365"/>
    <w:rsid w:val="00F173B5"/>
    <w:rsid w:val="00F17415"/>
    <w:rsid w:val="00F1753A"/>
    <w:rsid w:val="00F1758E"/>
    <w:rsid w:val="00F176FD"/>
    <w:rsid w:val="00F1774B"/>
    <w:rsid w:val="00F1779D"/>
    <w:rsid w:val="00F17855"/>
    <w:rsid w:val="00F17905"/>
    <w:rsid w:val="00F1791F"/>
    <w:rsid w:val="00F17932"/>
    <w:rsid w:val="00F17935"/>
    <w:rsid w:val="00F17937"/>
    <w:rsid w:val="00F1795E"/>
    <w:rsid w:val="00F17969"/>
    <w:rsid w:val="00F179A2"/>
    <w:rsid w:val="00F17A2F"/>
    <w:rsid w:val="00F17A3F"/>
    <w:rsid w:val="00F17A45"/>
    <w:rsid w:val="00F17B0F"/>
    <w:rsid w:val="00F17B41"/>
    <w:rsid w:val="00F17B51"/>
    <w:rsid w:val="00F17B9B"/>
    <w:rsid w:val="00F17BC5"/>
    <w:rsid w:val="00F17C3F"/>
    <w:rsid w:val="00F17C51"/>
    <w:rsid w:val="00F17CDA"/>
    <w:rsid w:val="00F17DAD"/>
    <w:rsid w:val="00F17E49"/>
    <w:rsid w:val="00F17F28"/>
    <w:rsid w:val="00F17FD3"/>
    <w:rsid w:val="00F20002"/>
    <w:rsid w:val="00F200A9"/>
    <w:rsid w:val="00F20162"/>
    <w:rsid w:val="00F201AF"/>
    <w:rsid w:val="00F201B5"/>
    <w:rsid w:val="00F2024B"/>
    <w:rsid w:val="00F2037C"/>
    <w:rsid w:val="00F20411"/>
    <w:rsid w:val="00F2043A"/>
    <w:rsid w:val="00F20534"/>
    <w:rsid w:val="00F205B2"/>
    <w:rsid w:val="00F205CA"/>
    <w:rsid w:val="00F2064F"/>
    <w:rsid w:val="00F2066B"/>
    <w:rsid w:val="00F206D4"/>
    <w:rsid w:val="00F206D9"/>
    <w:rsid w:val="00F206E3"/>
    <w:rsid w:val="00F206EE"/>
    <w:rsid w:val="00F206F3"/>
    <w:rsid w:val="00F2070B"/>
    <w:rsid w:val="00F20756"/>
    <w:rsid w:val="00F207A4"/>
    <w:rsid w:val="00F207D2"/>
    <w:rsid w:val="00F2085C"/>
    <w:rsid w:val="00F20923"/>
    <w:rsid w:val="00F20AA0"/>
    <w:rsid w:val="00F20B6A"/>
    <w:rsid w:val="00F20CCC"/>
    <w:rsid w:val="00F20D0A"/>
    <w:rsid w:val="00F20D46"/>
    <w:rsid w:val="00F20E6A"/>
    <w:rsid w:val="00F20E83"/>
    <w:rsid w:val="00F20EB3"/>
    <w:rsid w:val="00F20F02"/>
    <w:rsid w:val="00F20F27"/>
    <w:rsid w:val="00F20F7B"/>
    <w:rsid w:val="00F20FE9"/>
    <w:rsid w:val="00F21031"/>
    <w:rsid w:val="00F21042"/>
    <w:rsid w:val="00F2105A"/>
    <w:rsid w:val="00F2112A"/>
    <w:rsid w:val="00F2113D"/>
    <w:rsid w:val="00F211A1"/>
    <w:rsid w:val="00F211A4"/>
    <w:rsid w:val="00F211AF"/>
    <w:rsid w:val="00F211F6"/>
    <w:rsid w:val="00F2120A"/>
    <w:rsid w:val="00F2128B"/>
    <w:rsid w:val="00F212D9"/>
    <w:rsid w:val="00F213D8"/>
    <w:rsid w:val="00F213DC"/>
    <w:rsid w:val="00F21420"/>
    <w:rsid w:val="00F21636"/>
    <w:rsid w:val="00F21655"/>
    <w:rsid w:val="00F2170D"/>
    <w:rsid w:val="00F217AC"/>
    <w:rsid w:val="00F21982"/>
    <w:rsid w:val="00F219B0"/>
    <w:rsid w:val="00F219B4"/>
    <w:rsid w:val="00F219C8"/>
    <w:rsid w:val="00F21A73"/>
    <w:rsid w:val="00F21A84"/>
    <w:rsid w:val="00F21AD7"/>
    <w:rsid w:val="00F21AE0"/>
    <w:rsid w:val="00F21AF8"/>
    <w:rsid w:val="00F21B4C"/>
    <w:rsid w:val="00F21B92"/>
    <w:rsid w:val="00F21B9F"/>
    <w:rsid w:val="00F21BC3"/>
    <w:rsid w:val="00F21BF3"/>
    <w:rsid w:val="00F21C25"/>
    <w:rsid w:val="00F21CB1"/>
    <w:rsid w:val="00F21D48"/>
    <w:rsid w:val="00F21D6E"/>
    <w:rsid w:val="00F21E13"/>
    <w:rsid w:val="00F21E3D"/>
    <w:rsid w:val="00F21E59"/>
    <w:rsid w:val="00F21E70"/>
    <w:rsid w:val="00F21EA6"/>
    <w:rsid w:val="00F21F4D"/>
    <w:rsid w:val="00F21F67"/>
    <w:rsid w:val="00F21F71"/>
    <w:rsid w:val="00F21FDC"/>
    <w:rsid w:val="00F21FEE"/>
    <w:rsid w:val="00F22010"/>
    <w:rsid w:val="00F22079"/>
    <w:rsid w:val="00F220AF"/>
    <w:rsid w:val="00F220BF"/>
    <w:rsid w:val="00F220F9"/>
    <w:rsid w:val="00F221A8"/>
    <w:rsid w:val="00F2222C"/>
    <w:rsid w:val="00F22236"/>
    <w:rsid w:val="00F22272"/>
    <w:rsid w:val="00F2235B"/>
    <w:rsid w:val="00F2237B"/>
    <w:rsid w:val="00F22391"/>
    <w:rsid w:val="00F223D5"/>
    <w:rsid w:val="00F223EE"/>
    <w:rsid w:val="00F223F3"/>
    <w:rsid w:val="00F2240F"/>
    <w:rsid w:val="00F22494"/>
    <w:rsid w:val="00F224A0"/>
    <w:rsid w:val="00F22517"/>
    <w:rsid w:val="00F22539"/>
    <w:rsid w:val="00F225AC"/>
    <w:rsid w:val="00F225E1"/>
    <w:rsid w:val="00F226A6"/>
    <w:rsid w:val="00F2271D"/>
    <w:rsid w:val="00F227A9"/>
    <w:rsid w:val="00F227F1"/>
    <w:rsid w:val="00F22815"/>
    <w:rsid w:val="00F22862"/>
    <w:rsid w:val="00F22990"/>
    <w:rsid w:val="00F22AD1"/>
    <w:rsid w:val="00F22B91"/>
    <w:rsid w:val="00F22BC8"/>
    <w:rsid w:val="00F22BF2"/>
    <w:rsid w:val="00F22C19"/>
    <w:rsid w:val="00F22C88"/>
    <w:rsid w:val="00F22CBE"/>
    <w:rsid w:val="00F22D58"/>
    <w:rsid w:val="00F22DFB"/>
    <w:rsid w:val="00F22EA4"/>
    <w:rsid w:val="00F22EAE"/>
    <w:rsid w:val="00F22F1A"/>
    <w:rsid w:val="00F22FA4"/>
    <w:rsid w:val="00F2304E"/>
    <w:rsid w:val="00F23117"/>
    <w:rsid w:val="00F23172"/>
    <w:rsid w:val="00F231AD"/>
    <w:rsid w:val="00F23227"/>
    <w:rsid w:val="00F23237"/>
    <w:rsid w:val="00F2332A"/>
    <w:rsid w:val="00F23343"/>
    <w:rsid w:val="00F23372"/>
    <w:rsid w:val="00F233F2"/>
    <w:rsid w:val="00F234BE"/>
    <w:rsid w:val="00F2351C"/>
    <w:rsid w:val="00F2352D"/>
    <w:rsid w:val="00F235B7"/>
    <w:rsid w:val="00F23612"/>
    <w:rsid w:val="00F236AB"/>
    <w:rsid w:val="00F23782"/>
    <w:rsid w:val="00F237A8"/>
    <w:rsid w:val="00F23857"/>
    <w:rsid w:val="00F23861"/>
    <w:rsid w:val="00F238B9"/>
    <w:rsid w:val="00F238C7"/>
    <w:rsid w:val="00F239BD"/>
    <w:rsid w:val="00F239EF"/>
    <w:rsid w:val="00F23B48"/>
    <w:rsid w:val="00F23B5E"/>
    <w:rsid w:val="00F23B96"/>
    <w:rsid w:val="00F23BE7"/>
    <w:rsid w:val="00F23C46"/>
    <w:rsid w:val="00F23CE3"/>
    <w:rsid w:val="00F23D35"/>
    <w:rsid w:val="00F23DCA"/>
    <w:rsid w:val="00F23DD1"/>
    <w:rsid w:val="00F23DE8"/>
    <w:rsid w:val="00F23E05"/>
    <w:rsid w:val="00F23E17"/>
    <w:rsid w:val="00F23E7E"/>
    <w:rsid w:val="00F23E7F"/>
    <w:rsid w:val="00F23E84"/>
    <w:rsid w:val="00F23EEA"/>
    <w:rsid w:val="00F23F08"/>
    <w:rsid w:val="00F23FA5"/>
    <w:rsid w:val="00F23FDE"/>
    <w:rsid w:val="00F24032"/>
    <w:rsid w:val="00F240B6"/>
    <w:rsid w:val="00F241F0"/>
    <w:rsid w:val="00F242F4"/>
    <w:rsid w:val="00F242F7"/>
    <w:rsid w:val="00F2444A"/>
    <w:rsid w:val="00F24497"/>
    <w:rsid w:val="00F2449E"/>
    <w:rsid w:val="00F24565"/>
    <w:rsid w:val="00F245B7"/>
    <w:rsid w:val="00F245DB"/>
    <w:rsid w:val="00F24660"/>
    <w:rsid w:val="00F24708"/>
    <w:rsid w:val="00F2474E"/>
    <w:rsid w:val="00F247C3"/>
    <w:rsid w:val="00F2482E"/>
    <w:rsid w:val="00F2485E"/>
    <w:rsid w:val="00F24892"/>
    <w:rsid w:val="00F24894"/>
    <w:rsid w:val="00F248D2"/>
    <w:rsid w:val="00F248EA"/>
    <w:rsid w:val="00F249F7"/>
    <w:rsid w:val="00F249FC"/>
    <w:rsid w:val="00F24AAF"/>
    <w:rsid w:val="00F24B92"/>
    <w:rsid w:val="00F24BD0"/>
    <w:rsid w:val="00F24BEA"/>
    <w:rsid w:val="00F24C0B"/>
    <w:rsid w:val="00F24C54"/>
    <w:rsid w:val="00F24CA2"/>
    <w:rsid w:val="00F24D37"/>
    <w:rsid w:val="00F24D3D"/>
    <w:rsid w:val="00F24D4B"/>
    <w:rsid w:val="00F24D55"/>
    <w:rsid w:val="00F24DC3"/>
    <w:rsid w:val="00F24E48"/>
    <w:rsid w:val="00F24E54"/>
    <w:rsid w:val="00F24E5E"/>
    <w:rsid w:val="00F24E77"/>
    <w:rsid w:val="00F24F91"/>
    <w:rsid w:val="00F25082"/>
    <w:rsid w:val="00F25170"/>
    <w:rsid w:val="00F251B7"/>
    <w:rsid w:val="00F251B8"/>
    <w:rsid w:val="00F25213"/>
    <w:rsid w:val="00F2524A"/>
    <w:rsid w:val="00F25358"/>
    <w:rsid w:val="00F25370"/>
    <w:rsid w:val="00F253BC"/>
    <w:rsid w:val="00F253D2"/>
    <w:rsid w:val="00F253E9"/>
    <w:rsid w:val="00F25468"/>
    <w:rsid w:val="00F25490"/>
    <w:rsid w:val="00F254D2"/>
    <w:rsid w:val="00F25598"/>
    <w:rsid w:val="00F255DF"/>
    <w:rsid w:val="00F255E6"/>
    <w:rsid w:val="00F256A1"/>
    <w:rsid w:val="00F257C5"/>
    <w:rsid w:val="00F257FC"/>
    <w:rsid w:val="00F2592B"/>
    <w:rsid w:val="00F2592F"/>
    <w:rsid w:val="00F259EA"/>
    <w:rsid w:val="00F25A01"/>
    <w:rsid w:val="00F25A35"/>
    <w:rsid w:val="00F25A48"/>
    <w:rsid w:val="00F25A93"/>
    <w:rsid w:val="00F25A95"/>
    <w:rsid w:val="00F25AC4"/>
    <w:rsid w:val="00F25B3F"/>
    <w:rsid w:val="00F25B91"/>
    <w:rsid w:val="00F25BFE"/>
    <w:rsid w:val="00F25C40"/>
    <w:rsid w:val="00F25C66"/>
    <w:rsid w:val="00F25CA0"/>
    <w:rsid w:val="00F25D35"/>
    <w:rsid w:val="00F25DB6"/>
    <w:rsid w:val="00F25DCC"/>
    <w:rsid w:val="00F25DDD"/>
    <w:rsid w:val="00F25E1B"/>
    <w:rsid w:val="00F25E48"/>
    <w:rsid w:val="00F25E9B"/>
    <w:rsid w:val="00F25EC3"/>
    <w:rsid w:val="00F25F6C"/>
    <w:rsid w:val="00F2605E"/>
    <w:rsid w:val="00F26060"/>
    <w:rsid w:val="00F260FB"/>
    <w:rsid w:val="00F26108"/>
    <w:rsid w:val="00F2610E"/>
    <w:rsid w:val="00F26115"/>
    <w:rsid w:val="00F26151"/>
    <w:rsid w:val="00F261AC"/>
    <w:rsid w:val="00F261E6"/>
    <w:rsid w:val="00F2622B"/>
    <w:rsid w:val="00F26281"/>
    <w:rsid w:val="00F26298"/>
    <w:rsid w:val="00F262E6"/>
    <w:rsid w:val="00F263C5"/>
    <w:rsid w:val="00F2642B"/>
    <w:rsid w:val="00F2649C"/>
    <w:rsid w:val="00F26585"/>
    <w:rsid w:val="00F265D5"/>
    <w:rsid w:val="00F26655"/>
    <w:rsid w:val="00F266D6"/>
    <w:rsid w:val="00F2675E"/>
    <w:rsid w:val="00F26762"/>
    <w:rsid w:val="00F267C6"/>
    <w:rsid w:val="00F267D8"/>
    <w:rsid w:val="00F267F7"/>
    <w:rsid w:val="00F26811"/>
    <w:rsid w:val="00F2683B"/>
    <w:rsid w:val="00F26850"/>
    <w:rsid w:val="00F26865"/>
    <w:rsid w:val="00F2688B"/>
    <w:rsid w:val="00F26961"/>
    <w:rsid w:val="00F26A86"/>
    <w:rsid w:val="00F26ACB"/>
    <w:rsid w:val="00F26B75"/>
    <w:rsid w:val="00F26B8C"/>
    <w:rsid w:val="00F26BA9"/>
    <w:rsid w:val="00F26BDF"/>
    <w:rsid w:val="00F26C42"/>
    <w:rsid w:val="00F26C5C"/>
    <w:rsid w:val="00F26C6D"/>
    <w:rsid w:val="00F26C88"/>
    <w:rsid w:val="00F26CFD"/>
    <w:rsid w:val="00F26D86"/>
    <w:rsid w:val="00F26DD8"/>
    <w:rsid w:val="00F26E2A"/>
    <w:rsid w:val="00F26F39"/>
    <w:rsid w:val="00F26FB4"/>
    <w:rsid w:val="00F2703F"/>
    <w:rsid w:val="00F27054"/>
    <w:rsid w:val="00F270BD"/>
    <w:rsid w:val="00F27112"/>
    <w:rsid w:val="00F2716E"/>
    <w:rsid w:val="00F271A3"/>
    <w:rsid w:val="00F271E6"/>
    <w:rsid w:val="00F27212"/>
    <w:rsid w:val="00F27223"/>
    <w:rsid w:val="00F27310"/>
    <w:rsid w:val="00F2733A"/>
    <w:rsid w:val="00F273DC"/>
    <w:rsid w:val="00F27420"/>
    <w:rsid w:val="00F2742D"/>
    <w:rsid w:val="00F27598"/>
    <w:rsid w:val="00F275AA"/>
    <w:rsid w:val="00F275D9"/>
    <w:rsid w:val="00F276D1"/>
    <w:rsid w:val="00F27740"/>
    <w:rsid w:val="00F27756"/>
    <w:rsid w:val="00F2775F"/>
    <w:rsid w:val="00F27864"/>
    <w:rsid w:val="00F2787C"/>
    <w:rsid w:val="00F27897"/>
    <w:rsid w:val="00F27901"/>
    <w:rsid w:val="00F2791F"/>
    <w:rsid w:val="00F27940"/>
    <w:rsid w:val="00F27966"/>
    <w:rsid w:val="00F279D2"/>
    <w:rsid w:val="00F27A11"/>
    <w:rsid w:val="00F27A12"/>
    <w:rsid w:val="00F27A36"/>
    <w:rsid w:val="00F27AE1"/>
    <w:rsid w:val="00F27B9A"/>
    <w:rsid w:val="00F27C07"/>
    <w:rsid w:val="00F27C20"/>
    <w:rsid w:val="00F27CAE"/>
    <w:rsid w:val="00F27CC5"/>
    <w:rsid w:val="00F27CD1"/>
    <w:rsid w:val="00F27DC4"/>
    <w:rsid w:val="00F27F77"/>
    <w:rsid w:val="00F27FDC"/>
    <w:rsid w:val="00F27FE8"/>
    <w:rsid w:val="00F30009"/>
    <w:rsid w:val="00F3000C"/>
    <w:rsid w:val="00F30083"/>
    <w:rsid w:val="00F3011C"/>
    <w:rsid w:val="00F301B7"/>
    <w:rsid w:val="00F3026E"/>
    <w:rsid w:val="00F30309"/>
    <w:rsid w:val="00F3030F"/>
    <w:rsid w:val="00F3035B"/>
    <w:rsid w:val="00F30383"/>
    <w:rsid w:val="00F30399"/>
    <w:rsid w:val="00F303ED"/>
    <w:rsid w:val="00F30436"/>
    <w:rsid w:val="00F304B9"/>
    <w:rsid w:val="00F3051F"/>
    <w:rsid w:val="00F30530"/>
    <w:rsid w:val="00F3057D"/>
    <w:rsid w:val="00F305A7"/>
    <w:rsid w:val="00F30650"/>
    <w:rsid w:val="00F3065E"/>
    <w:rsid w:val="00F30733"/>
    <w:rsid w:val="00F30740"/>
    <w:rsid w:val="00F3077A"/>
    <w:rsid w:val="00F30780"/>
    <w:rsid w:val="00F30796"/>
    <w:rsid w:val="00F308E5"/>
    <w:rsid w:val="00F3093B"/>
    <w:rsid w:val="00F30959"/>
    <w:rsid w:val="00F30AD9"/>
    <w:rsid w:val="00F30C5B"/>
    <w:rsid w:val="00F30CAE"/>
    <w:rsid w:val="00F30CFF"/>
    <w:rsid w:val="00F30D55"/>
    <w:rsid w:val="00F30E17"/>
    <w:rsid w:val="00F30E1A"/>
    <w:rsid w:val="00F30E33"/>
    <w:rsid w:val="00F30E80"/>
    <w:rsid w:val="00F30F15"/>
    <w:rsid w:val="00F30F41"/>
    <w:rsid w:val="00F30FD2"/>
    <w:rsid w:val="00F30FE4"/>
    <w:rsid w:val="00F30FF1"/>
    <w:rsid w:val="00F30FFA"/>
    <w:rsid w:val="00F3100C"/>
    <w:rsid w:val="00F310F8"/>
    <w:rsid w:val="00F311C1"/>
    <w:rsid w:val="00F3129D"/>
    <w:rsid w:val="00F31383"/>
    <w:rsid w:val="00F3141F"/>
    <w:rsid w:val="00F31430"/>
    <w:rsid w:val="00F31457"/>
    <w:rsid w:val="00F31460"/>
    <w:rsid w:val="00F3146A"/>
    <w:rsid w:val="00F3147C"/>
    <w:rsid w:val="00F314EB"/>
    <w:rsid w:val="00F31525"/>
    <w:rsid w:val="00F315D9"/>
    <w:rsid w:val="00F31611"/>
    <w:rsid w:val="00F31626"/>
    <w:rsid w:val="00F3162C"/>
    <w:rsid w:val="00F31671"/>
    <w:rsid w:val="00F316A2"/>
    <w:rsid w:val="00F316A3"/>
    <w:rsid w:val="00F316C1"/>
    <w:rsid w:val="00F317CE"/>
    <w:rsid w:val="00F317F2"/>
    <w:rsid w:val="00F3181A"/>
    <w:rsid w:val="00F31A27"/>
    <w:rsid w:val="00F31A45"/>
    <w:rsid w:val="00F31AAC"/>
    <w:rsid w:val="00F31AD8"/>
    <w:rsid w:val="00F31ADB"/>
    <w:rsid w:val="00F31AEA"/>
    <w:rsid w:val="00F31B0E"/>
    <w:rsid w:val="00F31B3C"/>
    <w:rsid w:val="00F31B5F"/>
    <w:rsid w:val="00F31B8C"/>
    <w:rsid w:val="00F31BE6"/>
    <w:rsid w:val="00F31C66"/>
    <w:rsid w:val="00F31CDD"/>
    <w:rsid w:val="00F31CFD"/>
    <w:rsid w:val="00F31D00"/>
    <w:rsid w:val="00F31D13"/>
    <w:rsid w:val="00F31DEA"/>
    <w:rsid w:val="00F31E2B"/>
    <w:rsid w:val="00F31E7A"/>
    <w:rsid w:val="00F31ED1"/>
    <w:rsid w:val="00F31F10"/>
    <w:rsid w:val="00F31FFE"/>
    <w:rsid w:val="00F32016"/>
    <w:rsid w:val="00F320B0"/>
    <w:rsid w:val="00F3211B"/>
    <w:rsid w:val="00F3212C"/>
    <w:rsid w:val="00F3215E"/>
    <w:rsid w:val="00F32176"/>
    <w:rsid w:val="00F322A5"/>
    <w:rsid w:val="00F3230A"/>
    <w:rsid w:val="00F32323"/>
    <w:rsid w:val="00F3238B"/>
    <w:rsid w:val="00F323D6"/>
    <w:rsid w:val="00F3241B"/>
    <w:rsid w:val="00F32491"/>
    <w:rsid w:val="00F32570"/>
    <w:rsid w:val="00F32573"/>
    <w:rsid w:val="00F32586"/>
    <w:rsid w:val="00F3260C"/>
    <w:rsid w:val="00F3263D"/>
    <w:rsid w:val="00F3266D"/>
    <w:rsid w:val="00F32767"/>
    <w:rsid w:val="00F32778"/>
    <w:rsid w:val="00F32792"/>
    <w:rsid w:val="00F327DD"/>
    <w:rsid w:val="00F32810"/>
    <w:rsid w:val="00F32831"/>
    <w:rsid w:val="00F32846"/>
    <w:rsid w:val="00F3291B"/>
    <w:rsid w:val="00F32959"/>
    <w:rsid w:val="00F329AA"/>
    <w:rsid w:val="00F329B8"/>
    <w:rsid w:val="00F329BF"/>
    <w:rsid w:val="00F32A0F"/>
    <w:rsid w:val="00F32A69"/>
    <w:rsid w:val="00F32A8E"/>
    <w:rsid w:val="00F32BA9"/>
    <w:rsid w:val="00F32BBE"/>
    <w:rsid w:val="00F32BC7"/>
    <w:rsid w:val="00F32BEF"/>
    <w:rsid w:val="00F32CD9"/>
    <w:rsid w:val="00F32CDA"/>
    <w:rsid w:val="00F32CDF"/>
    <w:rsid w:val="00F32CE5"/>
    <w:rsid w:val="00F32D8D"/>
    <w:rsid w:val="00F32E32"/>
    <w:rsid w:val="00F32E54"/>
    <w:rsid w:val="00F32E61"/>
    <w:rsid w:val="00F32ED5"/>
    <w:rsid w:val="00F32F48"/>
    <w:rsid w:val="00F32F52"/>
    <w:rsid w:val="00F32F85"/>
    <w:rsid w:val="00F32FAC"/>
    <w:rsid w:val="00F32FD4"/>
    <w:rsid w:val="00F32FE9"/>
    <w:rsid w:val="00F3304E"/>
    <w:rsid w:val="00F33067"/>
    <w:rsid w:val="00F33188"/>
    <w:rsid w:val="00F331C7"/>
    <w:rsid w:val="00F331F9"/>
    <w:rsid w:val="00F33207"/>
    <w:rsid w:val="00F33213"/>
    <w:rsid w:val="00F33222"/>
    <w:rsid w:val="00F3323B"/>
    <w:rsid w:val="00F332AC"/>
    <w:rsid w:val="00F332CD"/>
    <w:rsid w:val="00F332D2"/>
    <w:rsid w:val="00F33329"/>
    <w:rsid w:val="00F3335B"/>
    <w:rsid w:val="00F33407"/>
    <w:rsid w:val="00F3346B"/>
    <w:rsid w:val="00F33564"/>
    <w:rsid w:val="00F3359D"/>
    <w:rsid w:val="00F335A6"/>
    <w:rsid w:val="00F335D9"/>
    <w:rsid w:val="00F33646"/>
    <w:rsid w:val="00F3364A"/>
    <w:rsid w:val="00F33659"/>
    <w:rsid w:val="00F3370F"/>
    <w:rsid w:val="00F33780"/>
    <w:rsid w:val="00F33790"/>
    <w:rsid w:val="00F337A1"/>
    <w:rsid w:val="00F33820"/>
    <w:rsid w:val="00F33832"/>
    <w:rsid w:val="00F3384F"/>
    <w:rsid w:val="00F3393C"/>
    <w:rsid w:val="00F33996"/>
    <w:rsid w:val="00F339B2"/>
    <w:rsid w:val="00F339FD"/>
    <w:rsid w:val="00F33A71"/>
    <w:rsid w:val="00F33ABC"/>
    <w:rsid w:val="00F33AC4"/>
    <w:rsid w:val="00F33B28"/>
    <w:rsid w:val="00F33B62"/>
    <w:rsid w:val="00F33B6F"/>
    <w:rsid w:val="00F33D34"/>
    <w:rsid w:val="00F33D84"/>
    <w:rsid w:val="00F33DA3"/>
    <w:rsid w:val="00F33DDD"/>
    <w:rsid w:val="00F33DED"/>
    <w:rsid w:val="00F33E07"/>
    <w:rsid w:val="00F33E4B"/>
    <w:rsid w:val="00F33EB0"/>
    <w:rsid w:val="00F33EC3"/>
    <w:rsid w:val="00F33EF5"/>
    <w:rsid w:val="00F33F65"/>
    <w:rsid w:val="00F33FBC"/>
    <w:rsid w:val="00F34077"/>
    <w:rsid w:val="00F34079"/>
    <w:rsid w:val="00F34093"/>
    <w:rsid w:val="00F340F4"/>
    <w:rsid w:val="00F3410F"/>
    <w:rsid w:val="00F34198"/>
    <w:rsid w:val="00F3419D"/>
    <w:rsid w:val="00F34209"/>
    <w:rsid w:val="00F3423A"/>
    <w:rsid w:val="00F342AD"/>
    <w:rsid w:val="00F342AE"/>
    <w:rsid w:val="00F342D3"/>
    <w:rsid w:val="00F34314"/>
    <w:rsid w:val="00F3434C"/>
    <w:rsid w:val="00F34366"/>
    <w:rsid w:val="00F343B3"/>
    <w:rsid w:val="00F343D6"/>
    <w:rsid w:val="00F34474"/>
    <w:rsid w:val="00F344CD"/>
    <w:rsid w:val="00F3456C"/>
    <w:rsid w:val="00F34585"/>
    <w:rsid w:val="00F345CF"/>
    <w:rsid w:val="00F34621"/>
    <w:rsid w:val="00F34746"/>
    <w:rsid w:val="00F34755"/>
    <w:rsid w:val="00F3476F"/>
    <w:rsid w:val="00F34770"/>
    <w:rsid w:val="00F347CA"/>
    <w:rsid w:val="00F34876"/>
    <w:rsid w:val="00F3490D"/>
    <w:rsid w:val="00F34911"/>
    <w:rsid w:val="00F3493D"/>
    <w:rsid w:val="00F349DA"/>
    <w:rsid w:val="00F349FA"/>
    <w:rsid w:val="00F34A09"/>
    <w:rsid w:val="00F34A24"/>
    <w:rsid w:val="00F34A92"/>
    <w:rsid w:val="00F34AFE"/>
    <w:rsid w:val="00F34B0D"/>
    <w:rsid w:val="00F34C14"/>
    <w:rsid w:val="00F34CA5"/>
    <w:rsid w:val="00F34CB2"/>
    <w:rsid w:val="00F34D05"/>
    <w:rsid w:val="00F34D6B"/>
    <w:rsid w:val="00F34E45"/>
    <w:rsid w:val="00F34E49"/>
    <w:rsid w:val="00F34ED6"/>
    <w:rsid w:val="00F34F47"/>
    <w:rsid w:val="00F34F8A"/>
    <w:rsid w:val="00F34FFE"/>
    <w:rsid w:val="00F35041"/>
    <w:rsid w:val="00F3504E"/>
    <w:rsid w:val="00F350BE"/>
    <w:rsid w:val="00F350D9"/>
    <w:rsid w:val="00F3510E"/>
    <w:rsid w:val="00F35120"/>
    <w:rsid w:val="00F3517C"/>
    <w:rsid w:val="00F351CE"/>
    <w:rsid w:val="00F35246"/>
    <w:rsid w:val="00F352C7"/>
    <w:rsid w:val="00F352D5"/>
    <w:rsid w:val="00F35352"/>
    <w:rsid w:val="00F35376"/>
    <w:rsid w:val="00F35405"/>
    <w:rsid w:val="00F35408"/>
    <w:rsid w:val="00F354B0"/>
    <w:rsid w:val="00F354F9"/>
    <w:rsid w:val="00F3550B"/>
    <w:rsid w:val="00F35537"/>
    <w:rsid w:val="00F3555D"/>
    <w:rsid w:val="00F35574"/>
    <w:rsid w:val="00F355B8"/>
    <w:rsid w:val="00F356C3"/>
    <w:rsid w:val="00F356EB"/>
    <w:rsid w:val="00F35722"/>
    <w:rsid w:val="00F35726"/>
    <w:rsid w:val="00F357F2"/>
    <w:rsid w:val="00F35842"/>
    <w:rsid w:val="00F35896"/>
    <w:rsid w:val="00F3597B"/>
    <w:rsid w:val="00F35A91"/>
    <w:rsid w:val="00F35AF4"/>
    <w:rsid w:val="00F35B57"/>
    <w:rsid w:val="00F35B8B"/>
    <w:rsid w:val="00F35C44"/>
    <w:rsid w:val="00F35C93"/>
    <w:rsid w:val="00F35CF9"/>
    <w:rsid w:val="00F35D2B"/>
    <w:rsid w:val="00F35DC4"/>
    <w:rsid w:val="00F35DD4"/>
    <w:rsid w:val="00F35DF9"/>
    <w:rsid w:val="00F35E19"/>
    <w:rsid w:val="00F35E5D"/>
    <w:rsid w:val="00F35F18"/>
    <w:rsid w:val="00F35F2A"/>
    <w:rsid w:val="00F3600C"/>
    <w:rsid w:val="00F36088"/>
    <w:rsid w:val="00F360FF"/>
    <w:rsid w:val="00F361A4"/>
    <w:rsid w:val="00F361B6"/>
    <w:rsid w:val="00F361C6"/>
    <w:rsid w:val="00F3622B"/>
    <w:rsid w:val="00F362D4"/>
    <w:rsid w:val="00F362EE"/>
    <w:rsid w:val="00F3638D"/>
    <w:rsid w:val="00F36395"/>
    <w:rsid w:val="00F363E7"/>
    <w:rsid w:val="00F36432"/>
    <w:rsid w:val="00F36458"/>
    <w:rsid w:val="00F364AE"/>
    <w:rsid w:val="00F364E9"/>
    <w:rsid w:val="00F364EA"/>
    <w:rsid w:val="00F364FE"/>
    <w:rsid w:val="00F36651"/>
    <w:rsid w:val="00F366A6"/>
    <w:rsid w:val="00F366CC"/>
    <w:rsid w:val="00F36731"/>
    <w:rsid w:val="00F367A3"/>
    <w:rsid w:val="00F36834"/>
    <w:rsid w:val="00F3683A"/>
    <w:rsid w:val="00F368A5"/>
    <w:rsid w:val="00F3692F"/>
    <w:rsid w:val="00F3693F"/>
    <w:rsid w:val="00F36B0C"/>
    <w:rsid w:val="00F36B76"/>
    <w:rsid w:val="00F36BB2"/>
    <w:rsid w:val="00F36BBC"/>
    <w:rsid w:val="00F36BC1"/>
    <w:rsid w:val="00F36C0E"/>
    <w:rsid w:val="00F36C17"/>
    <w:rsid w:val="00F36D0D"/>
    <w:rsid w:val="00F36D38"/>
    <w:rsid w:val="00F36D3B"/>
    <w:rsid w:val="00F36D84"/>
    <w:rsid w:val="00F36DBA"/>
    <w:rsid w:val="00F36DC7"/>
    <w:rsid w:val="00F36DE9"/>
    <w:rsid w:val="00F36E76"/>
    <w:rsid w:val="00F36E8D"/>
    <w:rsid w:val="00F36F16"/>
    <w:rsid w:val="00F36F2C"/>
    <w:rsid w:val="00F36F33"/>
    <w:rsid w:val="00F36FED"/>
    <w:rsid w:val="00F3705C"/>
    <w:rsid w:val="00F370A4"/>
    <w:rsid w:val="00F370B4"/>
    <w:rsid w:val="00F3714B"/>
    <w:rsid w:val="00F37160"/>
    <w:rsid w:val="00F371D3"/>
    <w:rsid w:val="00F371DE"/>
    <w:rsid w:val="00F371ED"/>
    <w:rsid w:val="00F37205"/>
    <w:rsid w:val="00F37224"/>
    <w:rsid w:val="00F3724E"/>
    <w:rsid w:val="00F37355"/>
    <w:rsid w:val="00F373AB"/>
    <w:rsid w:val="00F373FA"/>
    <w:rsid w:val="00F373FF"/>
    <w:rsid w:val="00F3750D"/>
    <w:rsid w:val="00F375E5"/>
    <w:rsid w:val="00F3760D"/>
    <w:rsid w:val="00F3762E"/>
    <w:rsid w:val="00F376C1"/>
    <w:rsid w:val="00F377BF"/>
    <w:rsid w:val="00F37802"/>
    <w:rsid w:val="00F37905"/>
    <w:rsid w:val="00F379D7"/>
    <w:rsid w:val="00F37A65"/>
    <w:rsid w:val="00F37A87"/>
    <w:rsid w:val="00F37A99"/>
    <w:rsid w:val="00F37AEE"/>
    <w:rsid w:val="00F37AFA"/>
    <w:rsid w:val="00F37B15"/>
    <w:rsid w:val="00F37B47"/>
    <w:rsid w:val="00F37B66"/>
    <w:rsid w:val="00F37CBB"/>
    <w:rsid w:val="00F37D8F"/>
    <w:rsid w:val="00F37E42"/>
    <w:rsid w:val="00F37E4E"/>
    <w:rsid w:val="00F37EB7"/>
    <w:rsid w:val="00F37EC4"/>
    <w:rsid w:val="00F37EE6"/>
    <w:rsid w:val="00F37F4F"/>
    <w:rsid w:val="00F37F6D"/>
    <w:rsid w:val="00F37F8D"/>
    <w:rsid w:val="00F37FE9"/>
    <w:rsid w:val="00F4000E"/>
    <w:rsid w:val="00F4012F"/>
    <w:rsid w:val="00F40157"/>
    <w:rsid w:val="00F4015E"/>
    <w:rsid w:val="00F4018F"/>
    <w:rsid w:val="00F401B0"/>
    <w:rsid w:val="00F401FE"/>
    <w:rsid w:val="00F40225"/>
    <w:rsid w:val="00F40240"/>
    <w:rsid w:val="00F40247"/>
    <w:rsid w:val="00F40275"/>
    <w:rsid w:val="00F40286"/>
    <w:rsid w:val="00F402D2"/>
    <w:rsid w:val="00F40370"/>
    <w:rsid w:val="00F4041F"/>
    <w:rsid w:val="00F404B1"/>
    <w:rsid w:val="00F405BC"/>
    <w:rsid w:val="00F40635"/>
    <w:rsid w:val="00F4063D"/>
    <w:rsid w:val="00F406A8"/>
    <w:rsid w:val="00F40702"/>
    <w:rsid w:val="00F40720"/>
    <w:rsid w:val="00F407AC"/>
    <w:rsid w:val="00F407CE"/>
    <w:rsid w:val="00F408F7"/>
    <w:rsid w:val="00F4091F"/>
    <w:rsid w:val="00F4095A"/>
    <w:rsid w:val="00F409F0"/>
    <w:rsid w:val="00F40AB1"/>
    <w:rsid w:val="00F40B37"/>
    <w:rsid w:val="00F40B47"/>
    <w:rsid w:val="00F40BA6"/>
    <w:rsid w:val="00F40BB1"/>
    <w:rsid w:val="00F40C0C"/>
    <w:rsid w:val="00F40CCE"/>
    <w:rsid w:val="00F40D36"/>
    <w:rsid w:val="00F40E23"/>
    <w:rsid w:val="00F40F11"/>
    <w:rsid w:val="00F4103A"/>
    <w:rsid w:val="00F4106A"/>
    <w:rsid w:val="00F410CC"/>
    <w:rsid w:val="00F41120"/>
    <w:rsid w:val="00F41134"/>
    <w:rsid w:val="00F4115C"/>
    <w:rsid w:val="00F4120C"/>
    <w:rsid w:val="00F41216"/>
    <w:rsid w:val="00F41245"/>
    <w:rsid w:val="00F412DB"/>
    <w:rsid w:val="00F4141D"/>
    <w:rsid w:val="00F414C4"/>
    <w:rsid w:val="00F41543"/>
    <w:rsid w:val="00F415F4"/>
    <w:rsid w:val="00F41622"/>
    <w:rsid w:val="00F41624"/>
    <w:rsid w:val="00F41683"/>
    <w:rsid w:val="00F41693"/>
    <w:rsid w:val="00F416BA"/>
    <w:rsid w:val="00F41739"/>
    <w:rsid w:val="00F4179B"/>
    <w:rsid w:val="00F4181B"/>
    <w:rsid w:val="00F41881"/>
    <w:rsid w:val="00F418A7"/>
    <w:rsid w:val="00F41908"/>
    <w:rsid w:val="00F4191D"/>
    <w:rsid w:val="00F41947"/>
    <w:rsid w:val="00F4194B"/>
    <w:rsid w:val="00F419B0"/>
    <w:rsid w:val="00F419DA"/>
    <w:rsid w:val="00F41A17"/>
    <w:rsid w:val="00F41B45"/>
    <w:rsid w:val="00F41B4A"/>
    <w:rsid w:val="00F41C27"/>
    <w:rsid w:val="00F41C41"/>
    <w:rsid w:val="00F41C4F"/>
    <w:rsid w:val="00F41C54"/>
    <w:rsid w:val="00F41C8B"/>
    <w:rsid w:val="00F41CE0"/>
    <w:rsid w:val="00F41D8B"/>
    <w:rsid w:val="00F41ED7"/>
    <w:rsid w:val="00F41EE2"/>
    <w:rsid w:val="00F41EF5"/>
    <w:rsid w:val="00F41F3A"/>
    <w:rsid w:val="00F41F45"/>
    <w:rsid w:val="00F41F89"/>
    <w:rsid w:val="00F41F8C"/>
    <w:rsid w:val="00F4209A"/>
    <w:rsid w:val="00F420BD"/>
    <w:rsid w:val="00F420F8"/>
    <w:rsid w:val="00F4212A"/>
    <w:rsid w:val="00F42169"/>
    <w:rsid w:val="00F421E1"/>
    <w:rsid w:val="00F42241"/>
    <w:rsid w:val="00F42258"/>
    <w:rsid w:val="00F422DD"/>
    <w:rsid w:val="00F422FD"/>
    <w:rsid w:val="00F42319"/>
    <w:rsid w:val="00F4233B"/>
    <w:rsid w:val="00F423AE"/>
    <w:rsid w:val="00F423CF"/>
    <w:rsid w:val="00F4243F"/>
    <w:rsid w:val="00F42440"/>
    <w:rsid w:val="00F424E5"/>
    <w:rsid w:val="00F42565"/>
    <w:rsid w:val="00F425D0"/>
    <w:rsid w:val="00F42615"/>
    <w:rsid w:val="00F4267F"/>
    <w:rsid w:val="00F426C2"/>
    <w:rsid w:val="00F426F8"/>
    <w:rsid w:val="00F42750"/>
    <w:rsid w:val="00F4275A"/>
    <w:rsid w:val="00F42799"/>
    <w:rsid w:val="00F42831"/>
    <w:rsid w:val="00F4283E"/>
    <w:rsid w:val="00F42887"/>
    <w:rsid w:val="00F428F3"/>
    <w:rsid w:val="00F4293C"/>
    <w:rsid w:val="00F4296D"/>
    <w:rsid w:val="00F429C6"/>
    <w:rsid w:val="00F429CB"/>
    <w:rsid w:val="00F42A38"/>
    <w:rsid w:val="00F42A63"/>
    <w:rsid w:val="00F42A92"/>
    <w:rsid w:val="00F42B1D"/>
    <w:rsid w:val="00F42B62"/>
    <w:rsid w:val="00F42BB4"/>
    <w:rsid w:val="00F42BF4"/>
    <w:rsid w:val="00F42BFF"/>
    <w:rsid w:val="00F42C5B"/>
    <w:rsid w:val="00F42CC5"/>
    <w:rsid w:val="00F42D65"/>
    <w:rsid w:val="00F42D72"/>
    <w:rsid w:val="00F42D8B"/>
    <w:rsid w:val="00F42ECF"/>
    <w:rsid w:val="00F42F4C"/>
    <w:rsid w:val="00F42F58"/>
    <w:rsid w:val="00F42FE1"/>
    <w:rsid w:val="00F4309D"/>
    <w:rsid w:val="00F43123"/>
    <w:rsid w:val="00F431E7"/>
    <w:rsid w:val="00F4321D"/>
    <w:rsid w:val="00F4333C"/>
    <w:rsid w:val="00F433EA"/>
    <w:rsid w:val="00F433F7"/>
    <w:rsid w:val="00F43472"/>
    <w:rsid w:val="00F43523"/>
    <w:rsid w:val="00F435CC"/>
    <w:rsid w:val="00F43647"/>
    <w:rsid w:val="00F4366D"/>
    <w:rsid w:val="00F436CB"/>
    <w:rsid w:val="00F4370E"/>
    <w:rsid w:val="00F43733"/>
    <w:rsid w:val="00F437B5"/>
    <w:rsid w:val="00F438BD"/>
    <w:rsid w:val="00F43958"/>
    <w:rsid w:val="00F4396A"/>
    <w:rsid w:val="00F43999"/>
    <w:rsid w:val="00F439BB"/>
    <w:rsid w:val="00F439DB"/>
    <w:rsid w:val="00F439E2"/>
    <w:rsid w:val="00F43AB5"/>
    <w:rsid w:val="00F43AEE"/>
    <w:rsid w:val="00F43C59"/>
    <w:rsid w:val="00F43CC1"/>
    <w:rsid w:val="00F43E19"/>
    <w:rsid w:val="00F43E51"/>
    <w:rsid w:val="00F43E81"/>
    <w:rsid w:val="00F43E9A"/>
    <w:rsid w:val="00F43EA2"/>
    <w:rsid w:val="00F44001"/>
    <w:rsid w:val="00F4402C"/>
    <w:rsid w:val="00F4407C"/>
    <w:rsid w:val="00F440A3"/>
    <w:rsid w:val="00F440A8"/>
    <w:rsid w:val="00F440C5"/>
    <w:rsid w:val="00F440DD"/>
    <w:rsid w:val="00F44102"/>
    <w:rsid w:val="00F4411D"/>
    <w:rsid w:val="00F44207"/>
    <w:rsid w:val="00F44281"/>
    <w:rsid w:val="00F44289"/>
    <w:rsid w:val="00F44298"/>
    <w:rsid w:val="00F442B3"/>
    <w:rsid w:val="00F442D4"/>
    <w:rsid w:val="00F442EA"/>
    <w:rsid w:val="00F442ED"/>
    <w:rsid w:val="00F4432E"/>
    <w:rsid w:val="00F44358"/>
    <w:rsid w:val="00F4436B"/>
    <w:rsid w:val="00F44375"/>
    <w:rsid w:val="00F443D2"/>
    <w:rsid w:val="00F443E8"/>
    <w:rsid w:val="00F44425"/>
    <w:rsid w:val="00F44441"/>
    <w:rsid w:val="00F44493"/>
    <w:rsid w:val="00F444DC"/>
    <w:rsid w:val="00F4451C"/>
    <w:rsid w:val="00F445A3"/>
    <w:rsid w:val="00F44646"/>
    <w:rsid w:val="00F44670"/>
    <w:rsid w:val="00F4468D"/>
    <w:rsid w:val="00F44799"/>
    <w:rsid w:val="00F447FD"/>
    <w:rsid w:val="00F44801"/>
    <w:rsid w:val="00F44845"/>
    <w:rsid w:val="00F44886"/>
    <w:rsid w:val="00F448C0"/>
    <w:rsid w:val="00F4495C"/>
    <w:rsid w:val="00F44973"/>
    <w:rsid w:val="00F44A20"/>
    <w:rsid w:val="00F44A67"/>
    <w:rsid w:val="00F44A7A"/>
    <w:rsid w:val="00F44A7D"/>
    <w:rsid w:val="00F44A9F"/>
    <w:rsid w:val="00F44AAE"/>
    <w:rsid w:val="00F44ACF"/>
    <w:rsid w:val="00F44B1A"/>
    <w:rsid w:val="00F44B89"/>
    <w:rsid w:val="00F44B9C"/>
    <w:rsid w:val="00F44BA6"/>
    <w:rsid w:val="00F44BDA"/>
    <w:rsid w:val="00F44D05"/>
    <w:rsid w:val="00F44DCF"/>
    <w:rsid w:val="00F44E0F"/>
    <w:rsid w:val="00F44E16"/>
    <w:rsid w:val="00F44E3E"/>
    <w:rsid w:val="00F44F61"/>
    <w:rsid w:val="00F44F77"/>
    <w:rsid w:val="00F45074"/>
    <w:rsid w:val="00F45096"/>
    <w:rsid w:val="00F450B2"/>
    <w:rsid w:val="00F45117"/>
    <w:rsid w:val="00F45159"/>
    <w:rsid w:val="00F45174"/>
    <w:rsid w:val="00F451BF"/>
    <w:rsid w:val="00F45218"/>
    <w:rsid w:val="00F45280"/>
    <w:rsid w:val="00F452A8"/>
    <w:rsid w:val="00F4539B"/>
    <w:rsid w:val="00F453ED"/>
    <w:rsid w:val="00F45415"/>
    <w:rsid w:val="00F45424"/>
    <w:rsid w:val="00F4543A"/>
    <w:rsid w:val="00F45485"/>
    <w:rsid w:val="00F454BB"/>
    <w:rsid w:val="00F454E1"/>
    <w:rsid w:val="00F45516"/>
    <w:rsid w:val="00F455E7"/>
    <w:rsid w:val="00F45610"/>
    <w:rsid w:val="00F45640"/>
    <w:rsid w:val="00F456E6"/>
    <w:rsid w:val="00F456E8"/>
    <w:rsid w:val="00F45703"/>
    <w:rsid w:val="00F45727"/>
    <w:rsid w:val="00F45744"/>
    <w:rsid w:val="00F4574E"/>
    <w:rsid w:val="00F45752"/>
    <w:rsid w:val="00F45859"/>
    <w:rsid w:val="00F458A3"/>
    <w:rsid w:val="00F45908"/>
    <w:rsid w:val="00F459DD"/>
    <w:rsid w:val="00F45A03"/>
    <w:rsid w:val="00F45A92"/>
    <w:rsid w:val="00F45B72"/>
    <w:rsid w:val="00F45BB5"/>
    <w:rsid w:val="00F45BFF"/>
    <w:rsid w:val="00F45C84"/>
    <w:rsid w:val="00F45CC1"/>
    <w:rsid w:val="00F45D9F"/>
    <w:rsid w:val="00F45E66"/>
    <w:rsid w:val="00F45E6F"/>
    <w:rsid w:val="00F45E9E"/>
    <w:rsid w:val="00F45EDB"/>
    <w:rsid w:val="00F46035"/>
    <w:rsid w:val="00F46053"/>
    <w:rsid w:val="00F460BC"/>
    <w:rsid w:val="00F461BD"/>
    <w:rsid w:val="00F46210"/>
    <w:rsid w:val="00F46236"/>
    <w:rsid w:val="00F46287"/>
    <w:rsid w:val="00F4646E"/>
    <w:rsid w:val="00F4646F"/>
    <w:rsid w:val="00F46483"/>
    <w:rsid w:val="00F464AD"/>
    <w:rsid w:val="00F46539"/>
    <w:rsid w:val="00F46557"/>
    <w:rsid w:val="00F46633"/>
    <w:rsid w:val="00F46658"/>
    <w:rsid w:val="00F46776"/>
    <w:rsid w:val="00F468A0"/>
    <w:rsid w:val="00F46954"/>
    <w:rsid w:val="00F46970"/>
    <w:rsid w:val="00F469B5"/>
    <w:rsid w:val="00F469CC"/>
    <w:rsid w:val="00F469DE"/>
    <w:rsid w:val="00F46B43"/>
    <w:rsid w:val="00F46B66"/>
    <w:rsid w:val="00F46BC4"/>
    <w:rsid w:val="00F46C2C"/>
    <w:rsid w:val="00F46C48"/>
    <w:rsid w:val="00F46C96"/>
    <w:rsid w:val="00F46CDA"/>
    <w:rsid w:val="00F46CE7"/>
    <w:rsid w:val="00F46DCB"/>
    <w:rsid w:val="00F46DCF"/>
    <w:rsid w:val="00F46E08"/>
    <w:rsid w:val="00F46E29"/>
    <w:rsid w:val="00F46EF9"/>
    <w:rsid w:val="00F46F43"/>
    <w:rsid w:val="00F46F54"/>
    <w:rsid w:val="00F46F7E"/>
    <w:rsid w:val="00F46F91"/>
    <w:rsid w:val="00F47033"/>
    <w:rsid w:val="00F4705B"/>
    <w:rsid w:val="00F471DB"/>
    <w:rsid w:val="00F4724D"/>
    <w:rsid w:val="00F472C5"/>
    <w:rsid w:val="00F47317"/>
    <w:rsid w:val="00F4735B"/>
    <w:rsid w:val="00F47408"/>
    <w:rsid w:val="00F47445"/>
    <w:rsid w:val="00F47482"/>
    <w:rsid w:val="00F475FF"/>
    <w:rsid w:val="00F47622"/>
    <w:rsid w:val="00F4762C"/>
    <w:rsid w:val="00F476C0"/>
    <w:rsid w:val="00F476DD"/>
    <w:rsid w:val="00F47716"/>
    <w:rsid w:val="00F47721"/>
    <w:rsid w:val="00F47860"/>
    <w:rsid w:val="00F4788E"/>
    <w:rsid w:val="00F4791D"/>
    <w:rsid w:val="00F47980"/>
    <w:rsid w:val="00F4798F"/>
    <w:rsid w:val="00F479C2"/>
    <w:rsid w:val="00F47A98"/>
    <w:rsid w:val="00F47AE2"/>
    <w:rsid w:val="00F47B28"/>
    <w:rsid w:val="00F47B54"/>
    <w:rsid w:val="00F47BC3"/>
    <w:rsid w:val="00F47C27"/>
    <w:rsid w:val="00F47C5C"/>
    <w:rsid w:val="00F47CAB"/>
    <w:rsid w:val="00F47D0F"/>
    <w:rsid w:val="00F47F00"/>
    <w:rsid w:val="00F500CA"/>
    <w:rsid w:val="00F50214"/>
    <w:rsid w:val="00F5022D"/>
    <w:rsid w:val="00F50268"/>
    <w:rsid w:val="00F502CD"/>
    <w:rsid w:val="00F502E2"/>
    <w:rsid w:val="00F502E4"/>
    <w:rsid w:val="00F50320"/>
    <w:rsid w:val="00F5033D"/>
    <w:rsid w:val="00F5040D"/>
    <w:rsid w:val="00F5049C"/>
    <w:rsid w:val="00F5050E"/>
    <w:rsid w:val="00F5053C"/>
    <w:rsid w:val="00F50568"/>
    <w:rsid w:val="00F505C9"/>
    <w:rsid w:val="00F5065D"/>
    <w:rsid w:val="00F506F4"/>
    <w:rsid w:val="00F506F7"/>
    <w:rsid w:val="00F50742"/>
    <w:rsid w:val="00F50790"/>
    <w:rsid w:val="00F507B7"/>
    <w:rsid w:val="00F507CD"/>
    <w:rsid w:val="00F50829"/>
    <w:rsid w:val="00F508A8"/>
    <w:rsid w:val="00F509B8"/>
    <w:rsid w:val="00F50A69"/>
    <w:rsid w:val="00F50AB2"/>
    <w:rsid w:val="00F50B80"/>
    <w:rsid w:val="00F50B86"/>
    <w:rsid w:val="00F50C12"/>
    <w:rsid w:val="00F50DC5"/>
    <w:rsid w:val="00F50E6E"/>
    <w:rsid w:val="00F50EA5"/>
    <w:rsid w:val="00F50EA7"/>
    <w:rsid w:val="00F50EF3"/>
    <w:rsid w:val="00F50FAD"/>
    <w:rsid w:val="00F50FAE"/>
    <w:rsid w:val="00F50FB7"/>
    <w:rsid w:val="00F5104D"/>
    <w:rsid w:val="00F51089"/>
    <w:rsid w:val="00F5108D"/>
    <w:rsid w:val="00F510BF"/>
    <w:rsid w:val="00F5114A"/>
    <w:rsid w:val="00F5119C"/>
    <w:rsid w:val="00F511B6"/>
    <w:rsid w:val="00F511FC"/>
    <w:rsid w:val="00F511FD"/>
    <w:rsid w:val="00F51270"/>
    <w:rsid w:val="00F51298"/>
    <w:rsid w:val="00F512AD"/>
    <w:rsid w:val="00F512BA"/>
    <w:rsid w:val="00F5134A"/>
    <w:rsid w:val="00F5135F"/>
    <w:rsid w:val="00F513A7"/>
    <w:rsid w:val="00F51476"/>
    <w:rsid w:val="00F51529"/>
    <w:rsid w:val="00F51575"/>
    <w:rsid w:val="00F5160A"/>
    <w:rsid w:val="00F51628"/>
    <w:rsid w:val="00F5165E"/>
    <w:rsid w:val="00F51808"/>
    <w:rsid w:val="00F51908"/>
    <w:rsid w:val="00F5191E"/>
    <w:rsid w:val="00F51952"/>
    <w:rsid w:val="00F51997"/>
    <w:rsid w:val="00F51A04"/>
    <w:rsid w:val="00F51A05"/>
    <w:rsid w:val="00F51A0D"/>
    <w:rsid w:val="00F51A5F"/>
    <w:rsid w:val="00F51AF4"/>
    <w:rsid w:val="00F51B16"/>
    <w:rsid w:val="00F51BC6"/>
    <w:rsid w:val="00F51BEF"/>
    <w:rsid w:val="00F51C1A"/>
    <w:rsid w:val="00F51CF9"/>
    <w:rsid w:val="00F51D0F"/>
    <w:rsid w:val="00F51D4B"/>
    <w:rsid w:val="00F51D5B"/>
    <w:rsid w:val="00F51D75"/>
    <w:rsid w:val="00F51DCA"/>
    <w:rsid w:val="00F51E4E"/>
    <w:rsid w:val="00F51EA1"/>
    <w:rsid w:val="00F51F4A"/>
    <w:rsid w:val="00F51F9B"/>
    <w:rsid w:val="00F520FE"/>
    <w:rsid w:val="00F52110"/>
    <w:rsid w:val="00F5216F"/>
    <w:rsid w:val="00F52190"/>
    <w:rsid w:val="00F5223C"/>
    <w:rsid w:val="00F5226E"/>
    <w:rsid w:val="00F522F6"/>
    <w:rsid w:val="00F52307"/>
    <w:rsid w:val="00F52309"/>
    <w:rsid w:val="00F52380"/>
    <w:rsid w:val="00F52423"/>
    <w:rsid w:val="00F52567"/>
    <w:rsid w:val="00F5259C"/>
    <w:rsid w:val="00F52606"/>
    <w:rsid w:val="00F52637"/>
    <w:rsid w:val="00F5263C"/>
    <w:rsid w:val="00F52646"/>
    <w:rsid w:val="00F5265B"/>
    <w:rsid w:val="00F5270D"/>
    <w:rsid w:val="00F527DE"/>
    <w:rsid w:val="00F527E9"/>
    <w:rsid w:val="00F52858"/>
    <w:rsid w:val="00F52894"/>
    <w:rsid w:val="00F528F4"/>
    <w:rsid w:val="00F529D5"/>
    <w:rsid w:val="00F52A00"/>
    <w:rsid w:val="00F52A0D"/>
    <w:rsid w:val="00F52ACC"/>
    <w:rsid w:val="00F52B97"/>
    <w:rsid w:val="00F52B9E"/>
    <w:rsid w:val="00F52BA3"/>
    <w:rsid w:val="00F52BC5"/>
    <w:rsid w:val="00F52BE2"/>
    <w:rsid w:val="00F52C38"/>
    <w:rsid w:val="00F52E44"/>
    <w:rsid w:val="00F52F57"/>
    <w:rsid w:val="00F52FAC"/>
    <w:rsid w:val="00F5301D"/>
    <w:rsid w:val="00F53225"/>
    <w:rsid w:val="00F53237"/>
    <w:rsid w:val="00F53293"/>
    <w:rsid w:val="00F532A4"/>
    <w:rsid w:val="00F532DF"/>
    <w:rsid w:val="00F532F2"/>
    <w:rsid w:val="00F53367"/>
    <w:rsid w:val="00F533DE"/>
    <w:rsid w:val="00F53444"/>
    <w:rsid w:val="00F534A4"/>
    <w:rsid w:val="00F53610"/>
    <w:rsid w:val="00F53633"/>
    <w:rsid w:val="00F53636"/>
    <w:rsid w:val="00F5368A"/>
    <w:rsid w:val="00F536DF"/>
    <w:rsid w:val="00F5374A"/>
    <w:rsid w:val="00F537B2"/>
    <w:rsid w:val="00F53902"/>
    <w:rsid w:val="00F53941"/>
    <w:rsid w:val="00F5399D"/>
    <w:rsid w:val="00F539B8"/>
    <w:rsid w:val="00F539E9"/>
    <w:rsid w:val="00F53A9B"/>
    <w:rsid w:val="00F53AA8"/>
    <w:rsid w:val="00F53B62"/>
    <w:rsid w:val="00F53C1A"/>
    <w:rsid w:val="00F53C79"/>
    <w:rsid w:val="00F53C83"/>
    <w:rsid w:val="00F53D71"/>
    <w:rsid w:val="00F53DD7"/>
    <w:rsid w:val="00F53E30"/>
    <w:rsid w:val="00F53E5A"/>
    <w:rsid w:val="00F53E60"/>
    <w:rsid w:val="00F53ECE"/>
    <w:rsid w:val="00F53F64"/>
    <w:rsid w:val="00F53FA3"/>
    <w:rsid w:val="00F53FF2"/>
    <w:rsid w:val="00F53FFF"/>
    <w:rsid w:val="00F5402F"/>
    <w:rsid w:val="00F5409A"/>
    <w:rsid w:val="00F540A4"/>
    <w:rsid w:val="00F540E9"/>
    <w:rsid w:val="00F54195"/>
    <w:rsid w:val="00F541FB"/>
    <w:rsid w:val="00F5423E"/>
    <w:rsid w:val="00F542BC"/>
    <w:rsid w:val="00F542F2"/>
    <w:rsid w:val="00F54362"/>
    <w:rsid w:val="00F54377"/>
    <w:rsid w:val="00F54395"/>
    <w:rsid w:val="00F543A9"/>
    <w:rsid w:val="00F543BA"/>
    <w:rsid w:val="00F543CA"/>
    <w:rsid w:val="00F54419"/>
    <w:rsid w:val="00F54520"/>
    <w:rsid w:val="00F5457C"/>
    <w:rsid w:val="00F54648"/>
    <w:rsid w:val="00F5466A"/>
    <w:rsid w:val="00F54690"/>
    <w:rsid w:val="00F546C1"/>
    <w:rsid w:val="00F5478C"/>
    <w:rsid w:val="00F547BF"/>
    <w:rsid w:val="00F548FC"/>
    <w:rsid w:val="00F54909"/>
    <w:rsid w:val="00F54930"/>
    <w:rsid w:val="00F54A28"/>
    <w:rsid w:val="00F54A7A"/>
    <w:rsid w:val="00F54ADF"/>
    <w:rsid w:val="00F54BBF"/>
    <w:rsid w:val="00F54C07"/>
    <w:rsid w:val="00F54C3A"/>
    <w:rsid w:val="00F54D2F"/>
    <w:rsid w:val="00F54D53"/>
    <w:rsid w:val="00F54D71"/>
    <w:rsid w:val="00F54D99"/>
    <w:rsid w:val="00F54E13"/>
    <w:rsid w:val="00F54E84"/>
    <w:rsid w:val="00F54F10"/>
    <w:rsid w:val="00F54FDA"/>
    <w:rsid w:val="00F54FFE"/>
    <w:rsid w:val="00F55007"/>
    <w:rsid w:val="00F550F6"/>
    <w:rsid w:val="00F5515F"/>
    <w:rsid w:val="00F5517B"/>
    <w:rsid w:val="00F551E1"/>
    <w:rsid w:val="00F552AC"/>
    <w:rsid w:val="00F552AD"/>
    <w:rsid w:val="00F552E2"/>
    <w:rsid w:val="00F55327"/>
    <w:rsid w:val="00F55435"/>
    <w:rsid w:val="00F55479"/>
    <w:rsid w:val="00F55573"/>
    <w:rsid w:val="00F555C0"/>
    <w:rsid w:val="00F555C9"/>
    <w:rsid w:val="00F555E6"/>
    <w:rsid w:val="00F556EB"/>
    <w:rsid w:val="00F5579C"/>
    <w:rsid w:val="00F55865"/>
    <w:rsid w:val="00F5590D"/>
    <w:rsid w:val="00F55951"/>
    <w:rsid w:val="00F55979"/>
    <w:rsid w:val="00F55A25"/>
    <w:rsid w:val="00F55A7B"/>
    <w:rsid w:val="00F55BBA"/>
    <w:rsid w:val="00F55C28"/>
    <w:rsid w:val="00F55D70"/>
    <w:rsid w:val="00F55DA0"/>
    <w:rsid w:val="00F55E0A"/>
    <w:rsid w:val="00F55E40"/>
    <w:rsid w:val="00F55E95"/>
    <w:rsid w:val="00F55EAD"/>
    <w:rsid w:val="00F55F29"/>
    <w:rsid w:val="00F55F87"/>
    <w:rsid w:val="00F55FB9"/>
    <w:rsid w:val="00F55FE9"/>
    <w:rsid w:val="00F56028"/>
    <w:rsid w:val="00F56038"/>
    <w:rsid w:val="00F56054"/>
    <w:rsid w:val="00F560DC"/>
    <w:rsid w:val="00F56166"/>
    <w:rsid w:val="00F562A3"/>
    <w:rsid w:val="00F562AA"/>
    <w:rsid w:val="00F562B5"/>
    <w:rsid w:val="00F562C5"/>
    <w:rsid w:val="00F563B3"/>
    <w:rsid w:val="00F5645F"/>
    <w:rsid w:val="00F564CE"/>
    <w:rsid w:val="00F564F9"/>
    <w:rsid w:val="00F5658C"/>
    <w:rsid w:val="00F565C1"/>
    <w:rsid w:val="00F566BF"/>
    <w:rsid w:val="00F5670A"/>
    <w:rsid w:val="00F5671F"/>
    <w:rsid w:val="00F567A0"/>
    <w:rsid w:val="00F56832"/>
    <w:rsid w:val="00F5684B"/>
    <w:rsid w:val="00F568F5"/>
    <w:rsid w:val="00F56913"/>
    <w:rsid w:val="00F56931"/>
    <w:rsid w:val="00F56993"/>
    <w:rsid w:val="00F56AF9"/>
    <w:rsid w:val="00F56BC5"/>
    <w:rsid w:val="00F56C20"/>
    <w:rsid w:val="00F56C29"/>
    <w:rsid w:val="00F56C60"/>
    <w:rsid w:val="00F56CCC"/>
    <w:rsid w:val="00F56CED"/>
    <w:rsid w:val="00F56D1C"/>
    <w:rsid w:val="00F56DA4"/>
    <w:rsid w:val="00F56DE5"/>
    <w:rsid w:val="00F56DFB"/>
    <w:rsid w:val="00F56E2B"/>
    <w:rsid w:val="00F56E72"/>
    <w:rsid w:val="00F56E76"/>
    <w:rsid w:val="00F56F98"/>
    <w:rsid w:val="00F56FDF"/>
    <w:rsid w:val="00F5709D"/>
    <w:rsid w:val="00F570E3"/>
    <w:rsid w:val="00F571F3"/>
    <w:rsid w:val="00F57272"/>
    <w:rsid w:val="00F5730F"/>
    <w:rsid w:val="00F57313"/>
    <w:rsid w:val="00F57317"/>
    <w:rsid w:val="00F573A5"/>
    <w:rsid w:val="00F573D0"/>
    <w:rsid w:val="00F57409"/>
    <w:rsid w:val="00F57417"/>
    <w:rsid w:val="00F574B2"/>
    <w:rsid w:val="00F574BB"/>
    <w:rsid w:val="00F5766D"/>
    <w:rsid w:val="00F57698"/>
    <w:rsid w:val="00F576D8"/>
    <w:rsid w:val="00F57784"/>
    <w:rsid w:val="00F57794"/>
    <w:rsid w:val="00F577A2"/>
    <w:rsid w:val="00F5781B"/>
    <w:rsid w:val="00F57834"/>
    <w:rsid w:val="00F57897"/>
    <w:rsid w:val="00F5791D"/>
    <w:rsid w:val="00F579B6"/>
    <w:rsid w:val="00F579BE"/>
    <w:rsid w:val="00F57AF4"/>
    <w:rsid w:val="00F57B04"/>
    <w:rsid w:val="00F57B16"/>
    <w:rsid w:val="00F57BDD"/>
    <w:rsid w:val="00F57CBD"/>
    <w:rsid w:val="00F57CCE"/>
    <w:rsid w:val="00F57D09"/>
    <w:rsid w:val="00F57D23"/>
    <w:rsid w:val="00F57D6F"/>
    <w:rsid w:val="00F57DAB"/>
    <w:rsid w:val="00F57EC6"/>
    <w:rsid w:val="00F57ED2"/>
    <w:rsid w:val="00F57EF6"/>
    <w:rsid w:val="00F60088"/>
    <w:rsid w:val="00F60097"/>
    <w:rsid w:val="00F6009A"/>
    <w:rsid w:val="00F600D0"/>
    <w:rsid w:val="00F60187"/>
    <w:rsid w:val="00F60199"/>
    <w:rsid w:val="00F601D1"/>
    <w:rsid w:val="00F601E8"/>
    <w:rsid w:val="00F60235"/>
    <w:rsid w:val="00F6025F"/>
    <w:rsid w:val="00F602E6"/>
    <w:rsid w:val="00F603BF"/>
    <w:rsid w:val="00F60411"/>
    <w:rsid w:val="00F60457"/>
    <w:rsid w:val="00F60458"/>
    <w:rsid w:val="00F60475"/>
    <w:rsid w:val="00F60488"/>
    <w:rsid w:val="00F60516"/>
    <w:rsid w:val="00F60531"/>
    <w:rsid w:val="00F605F2"/>
    <w:rsid w:val="00F605F3"/>
    <w:rsid w:val="00F60603"/>
    <w:rsid w:val="00F60614"/>
    <w:rsid w:val="00F60671"/>
    <w:rsid w:val="00F607AA"/>
    <w:rsid w:val="00F607D0"/>
    <w:rsid w:val="00F60823"/>
    <w:rsid w:val="00F60863"/>
    <w:rsid w:val="00F608E6"/>
    <w:rsid w:val="00F608F7"/>
    <w:rsid w:val="00F60967"/>
    <w:rsid w:val="00F609BD"/>
    <w:rsid w:val="00F609DB"/>
    <w:rsid w:val="00F609F3"/>
    <w:rsid w:val="00F60A85"/>
    <w:rsid w:val="00F60BDE"/>
    <w:rsid w:val="00F60C11"/>
    <w:rsid w:val="00F60C24"/>
    <w:rsid w:val="00F60C77"/>
    <w:rsid w:val="00F60D12"/>
    <w:rsid w:val="00F60D66"/>
    <w:rsid w:val="00F60DA3"/>
    <w:rsid w:val="00F60DD7"/>
    <w:rsid w:val="00F60DE9"/>
    <w:rsid w:val="00F60E57"/>
    <w:rsid w:val="00F60E63"/>
    <w:rsid w:val="00F60E98"/>
    <w:rsid w:val="00F60F9E"/>
    <w:rsid w:val="00F61013"/>
    <w:rsid w:val="00F61044"/>
    <w:rsid w:val="00F6106E"/>
    <w:rsid w:val="00F610CA"/>
    <w:rsid w:val="00F6110F"/>
    <w:rsid w:val="00F61124"/>
    <w:rsid w:val="00F611D8"/>
    <w:rsid w:val="00F61205"/>
    <w:rsid w:val="00F612ED"/>
    <w:rsid w:val="00F61364"/>
    <w:rsid w:val="00F613EE"/>
    <w:rsid w:val="00F613EF"/>
    <w:rsid w:val="00F613F3"/>
    <w:rsid w:val="00F61433"/>
    <w:rsid w:val="00F61496"/>
    <w:rsid w:val="00F614B4"/>
    <w:rsid w:val="00F61559"/>
    <w:rsid w:val="00F61561"/>
    <w:rsid w:val="00F615C1"/>
    <w:rsid w:val="00F615F4"/>
    <w:rsid w:val="00F6164A"/>
    <w:rsid w:val="00F61662"/>
    <w:rsid w:val="00F61724"/>
    <w:rsid w:val="00F61764"/>
    <w:rsid w:val="00F61767"/>
    <w:rsid w:val="00F61774"/>
    <w:rsid w:val="00F617F2"/>
    <w:rsid w:val="00F6181F"/>
    <w:rsid w:val="00F61826"/>
    <w:rsid w:val="00F6182D"/>
    <w:rsid w:val="00F61890"/>
    <w:rsid w:val="00F618C7"/>
    <w:rsid w:val="00F618D0"/>
    <w:rsid w:val="00F618DF"/>
    <w:rsid w:val="00F61A43"/>
    <w:rsid w:val="00F61AF1"/>
    <w:rsid w:val="00F61B19"/>
    <w:rsid w:val="00F61B47"/>
    <w:rsid w:val="00F61BBA"/>
    <w:rsid w:val="00F61BE2"/>
    <w:rsid w:val="00F61BE5"/>
    <w:rsid w:val="00F61BE8"/>
    <w:rsid w:val="00F61BF0"/>
    <w:rsid w:val="00F61C03"/>
    <w:rsid w:val="00F61C3F"/>
    <w:rsid w:val="00F61C44"/>
    <w:rsid w:val="00F61C60"/>
    <w:rsid w:val="00F61C9C"/>
    <w:rsid w:val="00F61CC6"/>
    <w:rsid w:val="00F61CDF"/>
    <w:rsid w:val="00F61D09"/>
    <w:rsid w:val="00F61D40"/>
    <w:rsid w:val="00F61EB2"/>
    <w:rsid w:val="00F61EC6"/>
    <w:rsid w:val="00F61F91"/>
    <w:rsid w:val="00F61F9D"/>
    <w:rsid w:val="00F61FCD"/>
    <w:rsid w:val="00F6200C"/>
    <w:rsid w:val="00F62150"/>
    <w:rsid w:val="00F621A8"/>
    <w:rsid w:val="00F621C3"/>
    <w:rsid w:val="00F621F9"/>
    <w:rsid w:val="00F62204"/>
    <w:rsid w:val="00F62380"/>
    <w:rsid w:val="00F6238E"/>
    <w:rsid w:val="00F6248C"/>
    <w:rsid w:val="00F624F0"/>
    <w:rsid w:val="00F62511"/>
    <w:rsid w:val="00F625E1"/>
    <w:rsid w:val="00F62633"/>
    <w:rsid w:val="00F62694"/>
    <w:rsid w:val="00F62740"/>
    <w:rsid w:val="00F62777"/>
    <w:rsid w:val="00F627ED"/>
    <w:rsid w:val="00F627F5"/>
    <w:rsid w:val="00F6282A"/>
    <w:rsid w:val="00F6292A"/>
    <w:rsid w:val="00F62A26"/>
    <w:rsid w:val="00F62A3C"/>
    <w:rsid w:val="00F62A5D"/>
    <w:rsid w:val="00F62AE9"/>
    <w:rsid w:val="00F62B10"/>
    <w:rsid w:val="00F62B64"/>
    <w:rsid w:val="00F62BB3"/>
    <w:rsid w:val="00F62C09"/>
    <w:rsid w:val="00F62C3D"/>
    <w:rsid w:val="00F62C47"/>
    <w:rsid w:val="00F62C60"/>
    <w:rsid w:val="00F62CB1"/>
    <w:rsid w:val="00F62CFF"/>
    <w:rsid w:val="00F62D1D"/>
    <w:rsid w:val="00F62DC9"/>
    <w:rsid w:val="00F62DD1"/>
    <w:rsid w:val="00F62E68"/>
    <w:rsid w:val="00F62E88"/>
    <w:rsid w:val="00F62F38"/>
    <w:rsid w:val="00F62FD5"/>
    <w:rsid w:val="00F62FE7"/>
    <w:rsid w:val="00F62FFC"/>
    <w:rsid w:val="00F63067"/>
    <w:rsid w:val="00F63080"/>
    <w:rsid w:val="00F630CD"/>
    <w:rsid w:val="00F63161"/>
    <w:rsid w:val="00F6322C"/>
    <w:rsid w:val="00F63262"/>
    <w:rsid w:val="00F63264"/>
    <w:rsid w:val="00F632B5"/>
    <w:rsid w:val="00F63307"/>
    <w:rsid w:val="00F63353"/>
    <w:rsid w:val="00F63397"/>
    <w:rsid w:val="00F633D1"/>
    <w:rsid w:val="00F6342C"/>
    <w:rsid w:val="00F63437"/>
    <w:rsid w:val="00F634D8"/>
    <w:rsid w:val="00F6357F"/>
    <w:rsid w:val="00F63585"/>
    <w:rsid w:val="00F635D0"/>
    <w:rsid w:val="00F63601"/>
    <w:rsid w:val="00F63608"/>
    <w:rsid w:val="00F6364F"/>
    <w:rsid w:val="00F6367F"/>
    <w:rsid w:val="00F6369E"/>
    <w:rsid w:val="00F636D9"/>
    <w:rsid w:val="00F636DE"/>
    <w:rsid w:val="00F637B4"/>
    <w:rsid w:val="00F637BB"/>
    <w:rsid w:val="00F637C3"/>
    <w:rsid w:val="00F63819"/>
    <w:rsid w:val="00F63829"/>
    <w:rsid w:val="00F63857"/>
    <w:rsid w:val="00F6387B"/>
    <w:rsid w:val="00F639A4"/>
    <w:rsid w:val="00F63A0C"/>
    <w:rsid w:val="00F63B11"/>
    <w:rsid w:val="00F63B34"/>
    <w:rsid w:val="00F63BE8"/>
    <w:rsid w:val="00F63CDD"/>
    <w:rsid w:val="00F63D12"/>
    <w:rsid w:val="00F63D67"/>
    <w:rsid w:val="00F63E09"/>
    <w:rsid w:val="00F63EFF"/>
    <w:rsid w:val="00F63F21"/>
    <w:rsid w:val="00F63F89"/>
    <w:rsid w:val="00F63FC1"/>
    <w:rsid w:val="00F63FCC"/>
    <w:rsid w:val="00F64040"/>
    <w:rsid w:val="00F6405B"/>
    <w:rsid w:val="00F6415D"/>
    <w:rsid w:val="00F641DB"/>
    <w:rsid w:val="00F641F5"/>
    <w:rsid w:val="00F64247"/>
    <w:rsid w:val="00F6424B"/>
    <w:rsid w:val="00F6426B"/>
    <w:rsid w:val="00F6430B"/>
    <w:rsid w:val="00F6441C"/>
    <w:rsid w:val="00F6443F"/>
    <w:rsid w:val="00F644B3"/>
    <w:rsid w:val="00F64572"/>
    <w:rsid w:val="00F64664"/>
    <w:rsid w:val="00F64693"/>
    <w:rsid w:val="00F6472C"/>
    <w:rsid w:val="00F6489F"/>
    <w:rsid w:val="00F648A2"/>
    <w:rsid w:val="00F648DC"/>
    <w:rsid w:val="00F648E8"/>
    <w:rsid w:val="00F6490C"/>
    <w:rsid w:val="00F64929"/>
    <w:rsid w:val="00F64944"/>
    <w:rsid w:val="00F64959"/>
    <w:rsid w:val="00F6499B"/>
    <w:rsid w:val="00F64ABD"/>
    <w:rsid w:val="00F64ABF"/>
    <w:rsid w:val="00F64B05"/>
    <w:rsid w:val="00F64C03"/>
    <w:rsid w:val="00F64C67"/>
    <w:rsid w:val="00F64D0A"/>
    <w:rsid w:val="00F64DAF"/>
    <w:rsid w:val="00F64DBD"/>
    <w:rsid w:val="00F64E6F"/>
    <w:rsid w:val="00F64E74"/>
    <w:rsid w:val="00F64F27"/>
    <w:rsid w:val="00F64FF4"/>
    <w:rsid w:val="00F6502A"/>
    <w:rsid w:val="00F65161"/>
    <w:rsid w:val="00F651DE"/>
    <w:rsid w:val="00F6520A"/>
    <w:rsid w:val="00F6523B"/>
    <w:rsid w:val="00F652F6"/>
    <w:rsid w:val="00F65316"/>
    <w:rsid w:val="00F6531D"/>
    <w:rsid w:val="00F65462"/>
    <w:rsid w:val="00F65490"/>
    <w:rsid w:val="00F654C4"/>
    <w:rsid w:val="00F654CB"/>
    <w:rsid w:val="00F654E6"/>
    <w:rsid w:val="00F654E8"/>
    <w:rsid w:val="00F65524"/>
    <w:rsid w:val="00F6552B"/>
    <w:rsid w:val="00F65549"/>
    <w:rsid w:val="00F655A6"/>
    <w:rsid w:val="00F655F2"/>
    <w:rsid w:val="00F6563D"/>
    <w:rsid w:val="00F65680"/>
    <w:rsid w:val="00F656A4"/>
    <w:rsid w:val="00F656E6"/>
    <w:rsid w:val="00F6575F"/>
    <w:rsid w:val="00F65933"/>
    <w:rsid w:val="00F659C6"/>
    <w:rsid w:val="00F65A61"/>
    <w:rsid w:val="00F65AC2"/>
    <w:rsid w:val="00F65B31"/>
    <w:rsid w:val="00F65B83"/>
    <w:rsid w:val="00F65BEF"/>
    <w:rsid w:val="00F65C4F"/>
    <w:rsid w:val="00F65D06"/>
    <w:rsid w:val="00F65D77"/>
    <w:rsid w:val="00F65DD0"/>
    <w:rsid w:val="00F65E30"/>
    <w:rsid w:val="00F65E52"/>
    <w:rsid w:val="00F65E77"/>
    <w:rsid w:val="00F65ED4"/>
    <w:rsid w:val="00F65F7E"/>
    <w:rsid w:val="00F65FEE"/>
    <w:rsid w:val="00F6604D"/>
    <w:rsid w:val="00F6608F"/>
    <w:rsid w:val="00F6615C"/>
    <w:rsid w:val="00F663F2"/>
    <w:rsid w:val="00F66460"/>
    <w:rsid w:val="00F6650F"/>
    <w:rsid w:val="00F66558"/>
    <w:rsid w:val="00F66719"/>
    <w:rsid w:val="00F667BF"/>
    <w:rsid w:val="00F66845"/>
    <w:rsid w:val="00F66850"/>
    <w:rsid w:val="00F66894"/>
    <w:rsid w:val="00F66897"/>
    <w:rsid w:val="00F668B6"/>
    <w:rsid w:val="00F668BC"/>
    <w:rsid w:val="00F668F0"/>
    <w:rsid w:val="00F66911"/>
    <w:rsid w:val="00F6693D"/>
    <w:rsid w:val="00F66954"/>
    <w:rsid w:val="00F669EF"/>
    <w:rsid w:val="00F66A31"/>
    <w:rsid w:val="00F66A68"/>
    <w:rsid w:val="00F66A77"/>
    <w:rsid w:val="00F66B24"/>
    <w:rsid w:val="00F66B6B"/>
    <w:rsid w:val="00F66B8E"/>
    <w:rsid w:val="00F66C0E"/>
    <w:rsid w:val="00F66C19"/>
    <w:rsid w:val="00F66C38"/>
    <w:rsid w:val="00F66C4D"/>
    <w:rsid w:val="00F66CEB"/>
    <w:rsid w:val="00F66D99"/>
    <w:rsid w:val="00F66D9B"/>
    <w:rsid w:val="00F66E10"/>
    <w:rsid w:val="00F66E19"/>
    <w:rsid w:val="00F66F10"/>
    <w:rsid w:val="00F66F55"/>
    <w:rsid w:val="00F66F7B"/>
    <w:rsid w:val="00F6704F"/>
    <w:rsid w:val="00F67118"/>
    <w:rsid w:val="00F6719E"/>
    <w:rsid w:val="00F671DE"/>
    <w:rsid w:val="00F67207"/>
    <w:rsid w:val="00F67247"/>
    <w:rsid w:val="00F6728A"/>
    <w:rsid w:val="00F672BD"/>
    <w:rsid w:val="00F672C3"/>
    <w:rsid w:val="00F672CC"/>
    <w:rsid w:val="00F67380"/>
    <w:rsid w:val="00F67448"/>
    <w:rsid w:val="00F674DA"/>
    <w:rsid w:val="00F675A8"/>
    <w:rsid w:val="00F67618"/>
    <w:rsid w:val="00F67683"/>
    <w:rsid w:val="00F676FD"/>
    <w:rsid w:val="00F6770E"/>
    <w:rsid w:val="00F6773C"/>
    <w:rsid w:val="00F67838"/>
    <w:rsid w:val="00F67857"/>
    <w:rsid w:val="00F67881"/>
    <w:rsid w:val="00F67890"/>
    <w:rsid w:val="00F67892"/>
    <w:rsid w:val="00F678D8"/>
    <w:rsid w:val="00F6798E"/>
    <w:rsid w:val="00F67A22"/>
    <w:rsid w:val="00F67A26"/>
    <w:rsid w:val="00F67A65"/>
    <w:rsid w:val="00F67B36"/>
    <w:rsid w:val="00F67BA9"/>
    <w:rsid w:val="00F67BAF"/>
    <w:rsid w:val="00F67C52"/>
    <w:rsid w:val="00F67CE0"/>
    <w:rsid w:val="00F67D6B"/>
    <w:rsid w:val="00F67DA9"/>
    <w:rsid w:val="00F67DAF"/>
    <w:rsid w:val="00F67DD6"/>
    <w:rsid w:val="00F67E91"/>
    <w:rsid w:val="00F67EC5"/>
    <w:rsid w:val="00F67EDA"/>
    <w:rsid w:val="00F67F88"/>
    <w:rsid w:val="00F7007A"/>
    <w:rsid w:val="00F700D5"/>
    <w:rsid w:val="00F700FE"/>
    <w:rsid w:val="00F70103"/>
    <w:rsid w:val="00F70124"/>
    <w:rsid w:val="00F7015A"/>
    <w:rsid w:val="00F701A0"/>
    <w:rsid w:val="00F701C6"/>
    <w:rsid w:val="00F70250"/>
    <w:rsid w:val="00F70270"/>
    <w:rsid w:val="00F702A0"/>
    <w:rsid w:val="00F702C7"/>
    <w:rsid w:val="00F7031A"/>
    <w:rsid w:val="00F70332"/>
    <w:rsid w:val="00F70350"/>
    <w:rsid w:val="00F703D9"/>
    <w:rsid w:val="00F703FA"/>
    <w:rsid w:val="00F7047D"/>
    <w:rsid w:val="00F704B5"/>
    <w:rsid w:val="00F70531"/>
    <w:rsid w:val="00F70570"/>
    <w:rsid w:val="00F705ED"/>
    <w:rsid w:val="00F7068C"/>
    <w:rsid w:val="00F706EF"/>
    <w:rsid w:val="00F70758"/>
    <w:rsid w:val="00F70762"/>
    <w:rsid w:val="00F707AA"/>
    <w:rsid w:val="00F707B7"/>
    <w:rsid w:val="00F708A2"/>
    <w:rsid w:val="00F708BA"/>
    <w:rsid w:val="00F708C4"/>
    <w:rsid w:val="00F70912"/>
    <w:rsid w:val="00F70998"/>
    <w:rsid w:val="00F709D5"/>
    <w:rsid w:val="00F70A0A"/>
    <w:rsid w:val="00F70A16"/>
    <w:rsid w:val="00F70A24"/>
    <w:rsid w:val="00F70A6B"/>
    <w:rsid w:val="00F70AA4"/>
    <w:rsid w:val="00F70B48"/>
    <w:rsid w:val="00F70B6E"/>
    <w:rsid w:val="00F70BE7"/>
    <w:rsid w:val="00F70BF4"/>
    <w:rsid w:val="00F70BFA"/>
    <w:rsid w:val="00F70C58"/>
    <w:rsid w:val="00F70C7E"/>
    <w:rsid w:val="00F70C94"/>
    <w:rsid w:val="00F70DAF"/>
    <w:rsid w:val="00F70DB8"/>
    <w:rsid w:val="00F70E2F"/>
    <w:rsid w:val="00F70E38"/>
    <w:rsid w:val="00F70EE1"/>
    <w:rsid w:val="00F70EE6"/>
    <w:rsid w:val="00F70F07"/>
    <w:rsid w:val="00F70FAC"/>
    <w:rsid w:val="00F70FEC"/>
    <w:rsid w:val="00F7108D"/>
    <w:rsid w:val="00F710B4"/>
    <w:rsid w:val="00F710E2"/>
    <w:rsid w:val="00F71166"/>
    <w:rsid w:val="00F7121B"/>
    <w:rsid w:val="00F71287"/>
    <w:rsid w:val="00F7149C"/>
    <w:rsid w:val="00F714DA"/>
    <w:rsid w:val="00F714E8"/>
    <w:rsid w:val="00F71554"/>
    <w:rsid w:val="00F715A2"/>
    <w:rsid w:val="00F7161F"/>
    <w:rsid w:val="00F7164D"/>
    <w:rsid w:val="00F71661"/>
    <w:rsid w:val="00F7171F"/>
    <w:rsid w:val="00F71803"/>
    <w:rsid w:val="00F71880"/>
    <w:rsid w:val="00F718A3"/>
    <w:rsid w:val="00F718D8"/>
    <w:rsid w:val="00F718EF"/>
    <w:rsid w:val="00F718F4"/>
    <w:rsid w:val="00F718F5"/>
    <w:rsid w:val="00F719A0"/>
    <w:rsid w:val="00F719F8"/>
    <w:rsid w:val="00F71A5F"/>
    <w:rsid w:val="00F71A6B"/>
    <w:rsid w:val="00F71BB6"/>
    <w:rsid w:val="00F71BBD"/>
    <w:rsid w:val="00F71BC6"/>
    <w:rsid w:val="00F71BDF"/>
    <w:rsid w:val="00F71CC3"/>
    <w:rsid w:val="00F71CCB"/>
    <w:rsid w:val="00F71E22"/>
    <w:rsid w:val="00F71E40"/>
    <w:rsid w:val="00F71E85"/>
    <w:rsid w:val="00F71EAF"/>
    <w:rsid w:val="00F71EBB"/>
    <w:rsid w:val="00F71F22"/>
    <w:rsid w:val="00F71FAD"/>
    <w:rsid w:val="00F72008"/>
    <w:rsid w:val="00F72010"/>
    <w:rsid w:val="00F72046"/>
    <w:rsid w:val="00F7204E"/>
    <w:rsid w:val="00F720FA"/>
    <w:rsid w:val="00F72117"/>
    <w:rsid w:val="00F7219C"/>
    <w:rsid w:val="00F721F0"/>
    <w:rsid w:val="00F7220B"/>
    <w:rsid w:val="00F72224"/>
    <w:rsid w:val="00F722BC"/>
    <w:rsid w:val="00F722C7"/>
    <w:rsid w:val="00F72430"/>
    <w:rsid w:val="00F7249F"/>
    <w:rsid w:val="00F724AE"/>
    <w:rsid w:val="00F72612"/>
    <w:rsid w:val="00F72634"/>
    <w:rsid w:val="00F7264A"/>
    <w:rsid w:val="00F72682"/>
    <w:rsid w:val="00F7283A"/>
    <w:rsid w:val="00F7288B"/>
    <w:rsid w:val="00F7289A"/>
    <w:rsid w:val="00F72A52"/>
    <w:rsid w:val="00F72A9A"/>
    <w:rsid w:val="00F72ADD"/>
    <w:rsid w:val="00F72AEF"/>
    <w:rsid w:val="00F72BEC"/>
    <w:rsid w:val="00F72BF4"/>
    <w:rsid w:val="00F72C4A"/>
    <w:rsid w:val="00F72EC5"/>
    <w:rsid w:val="00F72F98"/>
    <w:rsid w:val="00F72FA5"/>
    <w:rsid w:val="00F72FE8"/>
    <w:rsid w:val="00F7303C"/>
    <w:rsid w:val="00F73081"/>
    <w:rsid w:val="00F730C2"/>
    <w:rsid w:val="00F731AA"/>
    <w:rsid w:val="00F73278"/>
    <w:rsid w:val="00F7327E"/>
    <w:rsid w:val="00F73289"/>
    <w:rsid w:val="00F732B7"/>
    <w:rsid w:val="00F73344"/>
    <w:rsid w:val="00F73375"/>
    <w:rsid w:val="00F7339E"/>
    <w:rsid w:val="00F733A5"/>
    <w:rsid w:val="00F733A8"/>
    <w:rsid w:val="00F7346E"/>
    <w:rsid w:val="00F734B3"/>
    <w:rsid w:val="00F734CD"/>
    <w:rsid w:val="00F73500"/>
    <w:rsid w:val="00F73514"/>
    <w:rsid w:val="00F7351E"/>
    <w:rsid w:val="00F7353C"/>
    <w:rsid w:val="00F7357C"/>
    <w:rsid w:val="00F73582"/>
    <w:rsid w:val="00F7358E"/>
    <w:rsid w:val="00F736B2"/>
    <w:rsid w:val="00F736B4"/>
    <w:rsid w:val="00F736CB"/>
    <w:rsid w:val="00F73703"/>
    <w:rsid w:val="00F7371E"/>
    <w:rsid w:val="00F73756"/>
    <w:rsid w:val="00F73796"/>
    <w:rsid w:val="00F737FB"/>
    <w:rsid w:val="00F73827"/>
    <w:rsid w:val="00F73866"/>
    <w:rsid w:val="00F73897"/>
    <w:rsid w:val="00F738E1"/>
    <w:rsid w:val="00F739D5"/>
    <w:rsid w:val="00F73A03"/>
    <w:rsid w:val="00F73A08"/>
    <w:rsid w:val="00F73A57"/>
    <w:rsid w:val="00F73BA6"/>
    <w:rsid w:val="00F73BF3"/>
    <w:rsid w:val="00F73BFD"/>
    <w:rsid w:val="00F73C7D"/>
    <w:rsid w:val="00F73CA6"/>
    <w:rsid w:val="00F73D4C"/>
    <w:rsid w:val="00F73D4F"/>
    <w:rsid w:val="00F73E1D"/>
    <w:rsid w:val="00F73E52"/>
    <w:rsid w:val="00F73EFB"/>
    <w:rsid w:val="00F73F29"/>
    <w:rsid w:val="00F73F78"/>
    <w:rsid w:val="00F73FD3"/>
    <w:rsid w:val="00F74035"/>
    <w:rsid w:val="00F74064"/>
    <w:rsid w:val="00F740D5"/>
    <w:rsid w:val="00F740F5"/>
    <w:rsid w:val="00F7440F"/>
    <w:rsid w:val="00F7448D"/>
    <w:rsid w:val="00F74493"/>
    <w:rsid w:val="00F7452C"/>
    <w:rsid w:val="00F746A8"/>
    <w:rsid w:val="00F747B3"/>
    <w:rsid w:val="00F747F6"/>
    <w:rsid w:val="00F7480C"/>
    <w:rsid w:val="00F74839"/>
    <w:rsid w:val="00F74923"/>
    <w:rsid w:val="00F74926"/>
    <w:rsid w:val="00F74936"/>
    <w:rsid w:val="00F749B4"/>
    <w:rsid w:val="00F74A5C"/>
    <w:rsid w:val="00F74AC8"/>
    <w:rsid w:val="00F74ADA"/>
    <w:rsid w:val="00F74B0E"/>
    <w:rsid w:val="00F74B82"/>
    <w:rsid w:val="00F74BD1"/>
    <w:rsid w:val="00F74C85"/>
    <w:rsid w:val="00F74D20"/>
    <w:rsid w:val="00F74DB8"/>
    <w:rsid w:val="00F74DEE"/>
    <w:rsid w:val="00F74E01"/>
    <w:rsid w:val="00F74E4C"/>
    <w:rsid w:val="00F74E67"/>
    <w:rsid w:val="00F74E98"/>
    <w:rsid w:val="00F74EB5"/>
    <w:rsid w:val="00F74EC5"/>
    <w:rsid w:val="00F74EDC"/>
    <w:rsid w:val="00F74F2D"/>
    <w:rsid w:val="00F74F65"/>
    <w:rsid w:val="00F74F9B"/>
    <w:rsid w:val="00F74FAC"/>
    <w:rsid w:val="00F74FC9"/>
    <w:rsid w:val="00F74FD6"/>
    <w:rsid w:val="00F7519C"/>
    <w:rsid w:val="00F751B8"/>
    <w:rsid w:val="00F751C6"/>
    <w:rsid w:val="00F751E8"/>
    <w:rsid w:val="00F752DD"/>
    <w:rsid w:val="00F752FC"/>
    <w:rsid w:val="00F75346"/>
    <w:rsid w:val="00F753F5"/>
    <w:rsid w:val="00F75444"/>
    <w:rsid w:val="00F7544D"/>
    <w:rsid w:val="00F75452"/>
    <w:rsid w:val="00F75474"/>
    <w:rsid w:val="00F7547F"/>
    <w:rsid w:val="00F754A8"/>
    <w:rsid w:val="00F754D4"/>
    <w:rsid w:val="00F7551C"/>
    <w:rsid w:val="00F75574"/>
    <w:rsid w:val="00F755E9"/>
    <w:rsid w:val="00F755F8"/>
    <w:rsid w:val="00F7560A"/>
    <w:rsid w:val="00F757EA"/>
    <w:rsid w:val="00F75848"/>
    <w:rsid w:val="00F758C1"/>
    <w:rsid w:val="00F758E9"/>
    <w:rsid w:val="00F75918"/>
    <w:rsid w:val="00F7599B"/>
    <w:rsid w:val="00F75AA3"/>
    <w:rsid w:val="00F75AC2"/>
    <w:rsid w:val="00F75ACB"/>
    <w:rsid w:val="00F75B37"/>
    <w:rsid w:val="00F75B58"/>
    <w:rsid w:val="00F75BA0"/>
    <w:rsid w:val="00F75C0F"/>
    <w:rsid w:val="00F75C49"/>
    <w:rsid w:val="00F75CC0"/>
    <w:rsid w:val="00F75D4F"/>
    <w:rsid w:val="00F75D5D"/>
    <w:rsid w:val="00F75E29"/>
    <w:rsid w:val="00F75F07"/>
    <w:rsid w:val="00F75F9D"/>
    <w:rsid w:val="00F75FA3"/>
    <w:rsid w:val="00F7602B"/>
    <w:rsid w:val="00F76185"/>
    <w:rsid w:val="00F76189"/>
    <w:rsid w:val="00F761A0"/>
    <w:rsid w:val="00F763A9"/>
    <w:rsid w:val="00F763B0"/>
    <w:rsid w:val="00F7643E"/>
    <w:rsid w:val="00F76449"/>
    <w:rsid w:val="00F7647E"/>
    <w:rsid w:val="00F764A8"/>
    <w:rsid w:val="00F764AD"/>
    <w:rsid w:val="00F764DA"/>
    <w:rsid w:val="00F76576"/>
    <w:rsid w:val="00F766A3"/>
    <w:rsid w:val="00F7679A"/>
    <w:rsid w:val="00F767F4"/>
    <w:rsid w:val="00F767FC"/>
    <w:rsid w:val="00F7681E"/>
    <w:rsid w:val="00F768D2"/>
    <w:rsid w:val="00F7690E"/>
    <w:rsid w:val="00F76910"/>
    <w:rsid w:val="00F76998"/>
    <w:rsid w:val="00F769E0"/>
    <w:rsid w:val="00F76A36"/>
    <w:rsid w:val="00F76A46"/>
    <w:rsid w:val="00F76A57"/>
    <w:rsid w:val="00F76AA3"/>
    <w:rsid w:val="00F76B92"/>
    <w:rsid w:val="00F76BF3"/>
    <w:rsid w:val="00F76C84"/>
    <w:rsid w:val="00F76D37"/>
    <w:rsid w:val="00F76D50"/>
    <w:rsid w:val="00F76D6A"/>
    <w:rsid w:val="00F76E74"/>
    <w:rsid w:val="00F7702A"/>
    <w:rsid w:val="00F770C8"/>
    <w:rsid w:val="00F770CA"/>
    <w:rsid w:val="00F770D9"/>
    <w:rsid w:val="00F77179"/>
    <w:rsid w:val="00F7719F"/>
    <w:rsid w:val="00F77228"/>
    <w:rsid w:val="00F77240"/>
    <w:rsid w:val="00F7726A"/>
    <w:rsid w:val="00F77291"/>
    <w:rsid w:val="00F772AB"/>
    <w:rsid w:val="00F7735B"/>
    <w:rsid w:val="00F77377"/>
    <w:rsid w:val="00F773BC"/>
    <w:rsid w:val="00F77401"/>
    <w:rsid w:val="00F77516"/>
    <w:rsid w:val="00F7756D"/>
    <w:rsid w:val="00F77591"/>
    <w:rsid w:val="00F775C8"/>
    <w:rsid w:val="00F775F9"/>
    <w:rsid w:val="00F77618"/>
    <w:rsid w:val="00F77658"/>
    <w:rsid w:val="00F77661"/>
    <w:rsid w:val="00F7766F"/>
    <w:rsid w:val="00F77685"/>
    <w:rsid w:val="00F776D9"/>
    <w:rsid w:val="00F776FF"/>
    <w:rsid w:val="00F77723"/>
    <w:rsid w:val="00F77750"/>
    <w:rsid w:val="00F7778E"/>
    <w:rsid w:val="00F777B1"/>
    <w:rsid w:val="00F77831"/>
    <w:rsid w:val="00F77865"/>
    <w:rsid w:val="00F77867"/>
    <w:rsid w:val="00F77889"/>
    <w:rsid w:val="00F778B0"/>
    <w:rsid w:val="00F77924"/>
    <w:rsid w:val="00F7793F"/>
    <w:rsid w:val="00F77A70"/>
    <w:rsid w:val="00F77B1C"/>
    <w:rsid w:val="00F77C7F"/>
    <w:rsid w:val="00F77D32"/>
    <w:rsid w:val="00F77DCB"/>
    <w:rsid w:val="00F77DFB"/>
    <w:rsid w:val="00F77EDB"/>
    <w:rsid w:val="00F77F67"/>
    <w:rsid w:val="00F77FA0"/>
    <w:rsid w:val="00F77FC2"/>
    <w:rsid w:val="00F80011"/>
    <w:rsid w:val="00F80118"/>
    <w:rsid w:val="00F80128"/>
    <w:rsid w:val="00F80219"/>
    <w:rsid w:val="00F8026A"/>
    <w:rsid w:val="00F80295"/>
    <w:rsid w:val="00F802F6"/>
    <w:rsid w:val="00F8030A"/>
    <w:rsid w:val="00F8036A"/>
    <w:rsid w:val="00F803CD"/>
    <w:rsid w:val="00F8047E"/>
    <w:rsid w:val="00F8053D"/>
    <w:rsid w:val="00F80590"/>
    <w:rsid w:val="00F80692"/>
    <w:rsid w:val="00F80759"/>
    <w:rsid w:val="00F80803"/>
    <w:rsid w:val="00F8087F"/>
    <w:rsid w:val="00F80893"/>
    <w:rsid w:val="00F8090F"/>
    <w:rsid w:val="00F80960"/>
    <w:rsid w:val="00F80987"/>
    <w:rsid w:val="00F80992"/>
    <w:rsid w:val="00F80A43"/>
    <w:rsid w:val="00F80A8D"/>
    <w:rsid w:val="00F80A8E"/>
    <w:rsid w:val="00F80AA1"/>
    <w:rsid w:val="00F80AB4"/>
    <w:rsid w:val="00F80AE1"/>
    <w:rsid w:val="00F80B26"/>
    <w:rsid w:val="00F80B38"/>
    <w:rsid w:val="00F80B9A"/>
    <w:rsid w:val="00F80BE9"/>
    <w:rsid w:val="00F80C33"/>
    <w:rsid w:val="00F80CF2"/>
    <w:rsid w:val="00F80D42"/>
    <w:rsid w:val="00F80D77"/>
    <w:rsid w:val="00F80E2A"/>
    <w:rsid w:val="00F80EB6"/>
    <w:rsid w:val="00F80EDE"/>
    <w:rsid w:val="00F80EF7"/>
    <w:rsid w:val="00F80F74"/>
    <w:rsid w:val="00F80F7C"/>
    <w:rsid w:val="00F81179"/>
    <w:rsid w:val="00F811A3"/>
    <w:rsid w:val="00F81207"/>
    <w:rsid w:val="00F812C6"/>
    <w:rsid w:val="00F813CE"/>
    <w:rsid w:val="00F813EC"/>
    <w:rsid w:val="00F81411"/>
    <w:rsid w:val="00F81464"/>
    <w:rsid w:val="00F81497"/>
    <w:rsid w:val="00F8167A"/>
    <w:rsid w:val="00F816BE"/>
    <w:rsid w:val="00F81720"/>
    <w:rsid w:val="00F81765"/>
    <w:rsid w:val="00F81824"/>
    <w:rsid w:val="00F8182A"/>
    <w:rsid w:val="00F81893"/>
    <w:rsid w:val="00F818CF"/>
    <w:rsid w:val="00F81941"/>
    <w:rsid w:val="00F81952"/>
    <w:rsid w:val="00F81998"/>
    <w:rsid w:val="00F81A25"/>
    <w:rsid w:val="00F81A5B"/>
    <w:rsid w:val="00F81AC3"/>
    <w:rsid w:val="00F81B7F"/>
    <w:rsid w:val="00F81BD0"/>
    <w:rsid w:val="00F81C04"/>
    <w:rsid w:val="00F81C4B"/>
    <w:rsid w:val="00F81C94"/>
    <w:rsid w:val="00F81CC0"/>
    <w:rsid w:val="00F81CC9"/>
    <w:rsid w:val="00F81CEE"/>
    <w:rsid w:val="00F81CF1"/>
    <w:rsid w:val="00F81D59"/>
    <w:rsid w:val="00F81DF7"/>
    <w:rsid w:val="00F81E01"/>
    <w:rsid w:val="00F81E0F"/>
    <w:rsid w:val="00F81E90"/>
    <w:rsid w:val="00F81ECD"/>
    <w:rsid w:val="00F81F2F"/>
    <w:rsid w:val="00F820E9"/>
    <w:rsid w:val="00F8224B"/>
    <w:rsid w:val="00F822E9"/>
    <w:rsid w:val="00F82335"/>
    <w:rsid w:val="00F82343"/>
    <w:rsid w:val="00F823DA"/>
    <w:rsid w:val="00F82488"/>
    <w:rsid w:val="00F8248F"/>
    <w:rsid w:val="00F824C7"/>
    <w:rsid w:val="00F82528"/>
    <w:rsid w:val="00F8252F"/>
    <w:rsid w:val="00F8254A"/>
    <w:rsid w:val="00F82560"/>
    <w:rsid w:val="00F8257B"/>
    <w:rsid w:val="00F825B7"/>
    <w:rsid w:val="00F8266A"/>
    <w:rsid w:val="00F82671"/>
    <w:rsid w:val="00F82696"/>
    <w:rsid w:val="00F826A5"/>
    <w:rsid w:val="00F8272E"/>
    <w:rsid w:val="00F8276A"/>
    <w:rsid w:val="00F82783"/>
    <w:rsid w:val="00F827C9"/>
    <w:rsid w:val="00F82898"/>
    <w:rsid w:val="00F828EC"/>
    <w:rsid w:val="00F829B6"/>
    <w:rsid w:val="00F829EF"/>
    <w:rsid w:val="00F82A16"/>
    <w:rsid w:val="00F82A54"/>
    <w:rsid w:val="00F82A83"/>
    <w:rsid w:val="00F82B71"/>
    <w:rsid w:val="00F82C33"/>
    <w:rsid w:val="00F82CC9"/>
    <w:rsid w:val="00F82E47"/>
    <w:rsid w:val="00F82EC9"/>
    <w:rsid w:val="00F82F0D"/>
    <w:rsid w:val="00F82F41"/>
    <w:rsid w:val="00F82FEC"/>
    <w:rsid w:val="00F82FFF"/>
    <w:rsid w:val="00F83001"/>
    <w:rsid w:val="00F83037"/>
    <w:rsid w:val="00F830C5"/>
    <w:rsid w:val="00F831BB"/>
    <w:rsid w:val="00F83201"/>
    <w:rsid w:val="00F83209"/>
    <w:rsid w:val="00F8321A"/>
    <w:rsid w:val="00F8323A"/>
    <w:rsid w:val="00F83277"/>
    <w:rsid w:val="00F832C8"/>
    <w:rsid w:val="00F83365"/>
    <w:rsid w:val="00F8336A"/>
    <w:rsid w:val="00F8339E"/>
    <w:rsid w:val="00F834BE"/>
    <w:rsid w:val="00F83502"/>
    <w:rsid w:val="00F83535"/>
    <w:rsid w:val="00F83552"/>
    <w:rsid w:val="00F83571"/>
    <w:rsid w:val="00F835D4"/>
    <w:rsid w:val="00F83620"/>
    <w:rsid w:val="00F83636"/>
    <w:rsid w:val="00F8368C"/>
    <w:rsid w:val="00F8389A"/>
    <w:rsid w:val="00F838E4"/>
    <w:rsid w:val="00F838EC"/>
    <w:rsid w:val="00F83919"/>
    <w:rsid w:val="00F8391B"/>
    <w:rsid w:val="00F83988"/>
    <w:rsid w:val="00F83A27"/>
    <w:rsid w:val="00F83C35"/>
    <w:rsid w:val="00F83C4C"/>
    <w:rsid w:val="00F83CAB"/>
    <w:rsid w:val="00F83CE1"/>
    <w:rsid w:val="00F83CEB"/>
    <w:rsid w:val="00F83D22"/>
    <w:rsid w:val="00F83D51"/>
    <w:rsid w:val="00F83D8A"/>
    <w:rsid w:val="00F83D8B"/>
    <w:rsid w:val="00F83E37"/>
    <w:rsid w:val="00F83E40"/>
    <w:rsid w:val="00F83E4C"/>
    <w:rsid w:val="00F83EB0"/>
    <w:rsid w:val="00F83EBB"/>
    <w:rsid w:val="00F83EE7"/>
    <w:rsid w:val="00F83F25"/>
    <w:rsid w:val="00F83F97"/>
    <w:rsid w:val="00F83FD0"/>
    <w:rsid w:val="00F83FDB"/>
    <w:rsid w:val="00F83FEB"/>
    <w:rsid w:val="00F84047"/>
    <w:rsid w:val="00F840D5"/>
    <w:rsid w:val="00F8418B"/>
    <w:rsid w:val="00F8418E"/>
    <w:rsid w:val="00F84240"/>
    <w:rsid w:val="00F8424E"/>
    <w:rsid w:val="00F842CD"/>
    <w:rsid w:val="00F84367"/>
    <w:rsid w:val="00F84378"/>
    <w:rsid w:val="00F84389"/>
    <w:rsid w:val="00F843AA"/>
    <w:rsid w:val="00F843BA"/>
    <w:rsid w:val="00F8442E"/>
    <w:rsid w:val="00F84483"/>
    <w:rsid w:val="00F84597"/>
    <w:rsid w:val="00F845F0"/>
    <w:rsid w:val="00F8462F"/>
    <w:rsid w:val="00F846C4"/>
    <w:rsid w:val="00F84711"/>
    <w:rsid w:val="00F8472D"/>
    <w:rsid w:val="00F84809"/>
    <w:rsid w:val="00F8484C"/>
    <w:rsid w:val="00F848D8"/>
    <w:rsid w:val="00F84915"/>
    <w:rsid w:val="00F84993"/>
    <w:rsid w:val="00F849AE"/>
    <w:rsid w:val="00F849BD"/>
    <w:rsid w:val="00F849C6"/>
    <w:rsid w:val="00F849D8"/>
    <w:rsid w:val="00F84A36"/>
    <w:rsid w:val="00F84A63"/>
    <w:rsid w:val="00F84A65"/>
    <w:rsid w:val="00F84ACF"/>
    <w:rsid w:val="00F84B29"/>
    <w:rsid w:val="00F84C05"/>
    <w:rsid w:val="00F84CB1"/>
    <w:rsid w:val="00F84D53"/>
    <w:rsid w:val="00F84D5F"/>
    <w:rsid w:val="00F84D9F"/>
    <w:rsid w:val="00F84EAF"/>
    <w:rsid w:val="00F84F8C"/>
    <w:rsid w:val="00F84FF3"/>
    <w:rsid w:val="00F8505A"/>
    <w:rsid w:val="00F850D9"/>
    <w:rsid w:val="00F8514C"/>
    <w:rsid w:val="00F85183"/>
    <w:rsid w:val="00F851B5"/>
    <w:rsid w:val="00F851D8"/>
    <w:rsid w:val="00F851E0"/>
    <w:rsid w:val="00F85215"/>
    <w:rsid w:val="00F85243"/>
    <w:rsid w:val="00F852AB"/>
    <w:rsid w:val="00F852C8"/>
    <w:rsid w:val="00F85325"/>
    <w:rsid w:val="00F85349"/>
    <w:rsid w:val="00F85359"/>
    <w:rsid w:val="00F853D2"/>
    <w:rsid w:val="00F853DE"/>
    <w:rsid w:val="00F853E6"/>
    <w:rsid w:val="00F85480"/>
    <w:rsid w:val="00F854FB"/>
    <w:rsid w:val="00F8557E"/>
    <w:rsid w:val="00F855E7"/>
    <w:rsid w:val="00F856AE"/>
    <w:rsid w:val="00F856BB"/>
    <w:rsid w:val="00F85772"/>
    <w:rsid w:val="00F857CE"/>
    <w:rsid w:val="00F8588A"/>
    <w:rsid w:val="00F859C4"/>
    <w:rsid w:val="00F85A61"/>
    <w:rsid w:val="00F85B19"/>
    <w:rsid w:val="00F85CF2"/>
    <w:rsid w:val="00F85D4A"/>
    <w:rsid w:val="00F85DDD"/>
    <w:rsid w:val="00F85E93"/>
    <w:rsid w:val="00F85EF7"/>
    <w:rsid w:val="00F85F6F"/>
    <w:rsid w:val="00F85F8D"/>
    <w:rsid w:val="00F85FA6"/>
    <w:rsid w:val="00F86000"/>
    <w:rsid w:val="00F860D1"/>
    <w:rsid w:val="00F860EA"/>
    <w:rsid w:val="00F860FB"/>
    <w:rsid w:val="00F86122"/>
    <w:rsid w:val="00F86178"/>
    <w:rsid w:val="00F86188"/>
    <w:rsid w:val="00F862A8"/>
    <w:rsid w:val="00F862B4"/>
    <w:rsid w:val="00F8632F"/>
    <w:rsid w:val="00F86357"/>
    <w:rsid w:val="00F86410"/>
    <w:rsid w:val="00F86483"/>
    <w:rsid w:val="00F8651F"/>
    <w:rsid w:val="00F86579"/>
    <w:rsid w:val="00F8657D"/>
    <w:rsid w:val="00F865D2"/>
    <w:rsid w:val="00F865E4"/>
    <w:rsid w:val="00F8666F"/>
    <w:rsid w:val="00F8669B"/>
    <w:rsid w:val="00F8680E"/>
    <w:rsid w:val="00F86836"/>
    <w:rsid w:val="00F8689E"/>
    <w:rsid w:val="00F8689F"/>
    <w:rsid w:val="00F8692E"/>
    <w:rsid w:val="00F86990"/>
    <w:rsid w:val="00F869FA"/>
    <w:rsid w:val="00F86A10"/>
    <w:rsid w:val="00F86AA8"/>
    <w:rsid w:val="00F86AD4"/>
    <w:rsid w:val="00F86B82"/>
    <w:rsid w:val="00F86BCD"/>
    <w:rsid w:val="00F86BD8"/>
    <w:rsid w:val="00F86C0A"/>
    <w:rsid w:val="00F86C20"/>
    <w:rsid w:val="00F86C34"/>
    <w:rsid w:val="00F86CBA"/>
    <w:rsid w:val="00F86D96"/>
    <w:rsid w:val="00F86DE7"/>
    <w:rsid w:val="00F86E10"/>
    <w:rsid w:val="00F86E2E"/>
    <w:rsid w:val="00F86ED1"/>
    <w:rsid w:val="00F86F23"/>
    <w:rsid w:val="00F86F52"/>
    <w:rsid w:val="00F86FCB"/>
    <w:rsid w:val="00F870E7"/>
    <w:rsid w:val="00F8714C"/>
    <w:rsid w:val="00F87194"/>
    <w:rsid w:val="00F871FF"/>
    <w:rsid w:val="00F87250"/>
    <w:rsid w:val="00F872AA"/>
    <w:rsid w:val="00F872B6"/>
    <w:rsid w:val="00F872F4"/>
    <w:rsid w:val="00F8734D"/>
    <w:rsid w:val="00F87350"/>
    <w:rsid w:val="00F873BC"/>
    <w:rsid w:val="00F87482"/>
    <w:rsid w:val="00F874FD"/>
    <w:rsid w:val="00F8754B"/>
    <w:rsid w:val="00F8761C"/>
    <w:rsid w:val="00F87677"/>
    <w:rsid w:val="00F87680"/>
    <w:rsid w:val="00F876FD"/>
    <w:rsid w:val="00F87835"/>
    <w:rsid w:val="00F87842"/>
    <w:rsid w:val="00F878A2"/>
    <w:rsid w:val="00F878B7"/>
    <w:rsid w:val="00F87936"/>
    <w:rsid w:val="00F8795C"/>
    <w:rsid w:val="00F87A59"/>
    <w:rsid w:val="00F87AEC"/>
    <w:rsid w:val="00F87B69"/>
    <w:rsid w:val="00F87BD2"/>
    <w:rsid w:val="00F87C67"/>
    <w:rsid w:val="00F87CC6"/>
    <w:rsid w:val="00F87CED"/>
    <w:rsid w:val="00F87CFA"/>
    <w:rsid w:val="00F87D06"/>
    <w:rsid w:val="00F87DBA"/>
    <w:rsid w:val="00F87DE4"/>
    <w:rsid w:val="00F87E68"/>
    <w:rsid w:val="00F87E89"/>
    <w:rsid w:val="00F87EEF"/>
    <w:rsid w:val="00F87F20"/>
    <w:rsid w:val="00F87F74"/>
    <w:rsid w:val="00F87FA2"/>
    <w:rsid w:val="00F87FFA"/>
    <w:rsid w:val="00F900D7"/>
    <w:rsid w:val="00F90155"/>
    <w:rsid w:val="00F90156"/>
    <w:rsid w:val="00F9016B"/>
    <w:rsid w:val="00F90233"/>
    <w:rsid w:val="00F90338"/>
    <w:rsid w:val="00F9033A"/>
    <w:rsid w:val="00F90373"/>
    <w:rsid w:val="00F903E7"/>
    <w:rsid w:val="00F90432"/>
    <w:rsid w:val="00F90438"/>
    <w:rsid w:val="00F9052F"/>
    <w:rsid w:val="00F90531"/>
    <w:rsid w:val="00F905B4"/>
    <w:rsid w:val="00F90605"/>
    <w:rsid w:val="00F9067F"/>
    <w:rsid w:val="00F9068C"/>
    <w:rsid w:val="00F90716"/>
    <w:rsid w:val="00F90753"/>
    <w:rsid w:val="00F90820"/>
    <w:rsid w:val="00F908F8"/>
    <w:rsid w:val="00F908FD"/>
    <w:rsid w:val="00F9090E"/>
    <w:rsid w:val="00F9091C"/>
    <w:rsid w:val="00F90954"/>
    <w:rsid w:val="00F909DE"/>
    <w:rsid w:val="00F90AA6"/>
    <w:rsid w:val="00F90AA8"/>
    <w:rsid w:val="00F90B8C"/>
    <w:rsid w:val="00F90C8C"/>
    <w:rsid w:val="00F90C9F"/>
    <w:rsid w:val="00F90D06"/>
    <w:rsid w:val="00F90D10"/>
    <w:rsid w:val="00F90D56"/>
    <w:rsid w:val="00F90E0A"/>
    <w:rsid w:val="00F90ED8"/>
    <w:rsid w:val="00F90EF2"/>
    <w:rsid w:val="00F90EF6"/>
    <w:rsid w:val="00F90FE9"/>
    <w:rsid w:val="00F910C4"/>
    <w:rsid w:val="00F910CD"/>
    <w:rsid w:val="00F910CE"/>
    <w:rsid w:val="00F910DC"/>
    <w:rsid w:val="00F9110B"/>
    <w:rsid w:val="00F91167"/>
    <w:rsid w:val="00F9119F"/>
    <w:rsid w:val="00F911E1"/>
    <w:rsid w:val="00F91213"/>
    <w:rsid w:val="00F91331"/>
    <w:rsid w:val="00F91349"/>
    <w:rsid w:val="00F91484"/>
    <w:rsid w:val="00F914AC"/>
    <w:rsid w:val="00F914D7"/>
    <w:rsid w:val="00F91518"/>
    <w:rsid w:val="00F91563"/>
    <w:rsid w:val="00F91572"/>
    <w:rsid w:val="00F91598"/>
    <w:rsid w:val="00F915EA"/>
    <w:rsid w:val="00F91625"/>
    <w:rsid w:val="00F917A2"/>
    <w:rsid w:val="00F917B1"/>
    <w:rsid w:val="00F917BE"/>
    <w:rsid w:val="00F9184C"/>
    <w:rsid w:val="00F91870"/>
    <w:rsid w:val="00F91879"/>
    <w:rsid w:val="00F9194F"/>
    <w:rsid w:val="00F9197C"/>
    <w:rsid w:val="00F919FD"/>
    <w:rsid w:val="00F91A5F"/>
    <w:rsid w:val="00F91A93"/>
    <w:rsid w:val="00F91BDE"/>
    <w:rsid w:val="00F91C01"/>
    <w:rsid w:val="00F91C19"/>
    <w:rsid w:val="00F91C51"/>
    <w:rsid w:val="00F91C9C"/>
    <w:rsid w:val="00F91D77"/>
    <w:rsid w:val="00F91DE6"/>
    <w:rsid w:val="00F91E85"/>
    <w:rsid w:val="00F91EE1"/>
    <w:rsid w:val="00F91F45"/>
    <w:rsid w:val="00F92049"/>
    <w:rsid w:val="00F9205E"/>
    <w:rsid w:val="00F920DA"/>
    <w:rsid w:val="00F92110"/>
    <w:rsid w:val="00F92208"/>
    <w:rsid w:val="00F92298"/>
    <w:rsid w:val="00F922C9"/>
    <w:rsid w:val="00F922CC"/>
    <w:rsid w:val="00F9230B"/>
    <w:rsid w:val="00F924BA"/>
    <w:rsid w:val="00F9251A"/>
    <w:rsid w:val="00F92656"/>
    <w:rsid w:val="00F926A2"/>
    <w:rsid w:val="00F926ED"/>
    <w:rsid w:val="00F9278E"/>
    <w:rsid w:val="00F927E1"/>
    <w:rsid w:val="00F927E2"/>
    <w:rsid w:val="00F928C2"/>
    <w:rsid w:val="00F9298F"/>
    <w:rsid w:val="00F92A6A"/>
    <w:rsid w:val="00F92A91"/>
    <w:rsid w:val="00F92AD2"/>
    <w:rsid w:val="00F92B54"/>
    <w:rsid w:val="00F92B67"/>
    <w:rsid w:val="00F92B99"/>
    <w:rsid w:val="00F92C04"/>
    <w:rsid w:val="00F92D0B"/>
    <w:rsid w:val="00F92D2F"/>
    <w:rsid w:val="00F92D66"/>
    <w:rsid w:val="00F92E9C"/>
    <w:rsid w:val="00F92F74"/>
    <w:rsid w:val="00F92F9E"/>
    <w:rsid w:val="00F93016"/>
    <w:rsid w:val="00F9304C"/>
    <w:rsid w:val="00F93061"/>
    <w:rsid w:val="00F93068"/>
    <w:rsid w:val="00F93088"/>
    <w:rsid w:val="00F930DD"/>
    <w:rsid w:val="00F9315F"/>
    <w:rsid w:val="00F9317B"/>
    <w:rsid w:val="00F93182"/>
    <w:rsid w:val="00F93256"/>
    <w:rsid w:val="00F932B3"/>
    <w:rsid w:val="00F9330D"/>
    <w:rsid w:val="00F93321"/>
    <w:rsid w:val="00F93340"/>
    <w:rsid w:val="00F9339A"/>
    <w:rsid w:val="00F934BB"/>
    <w:rsid w:val="00F9353A"/>
    <w:rsid w:val="00F9360D"/>
    <w:rsid w:val="00F93622"/>
    <w:rsid w:val="00F936CD"/>
    <w:rsid w:val="00F93715"/>
    <w:rsid w:val="00F93746"/>
    <w:rsid w:val="00F9378A"/>
    <w:rsid w:val="00F9380E"/>
    <w:rsid w:val="00F93831"/>
    <w:rsid w:val="00F93838"/>
    <w:rsid w:val="00F9387C"/>
    <w:rsid w:val="00F938D2"/>
    <w:rsid w:val="00F938F0"/>
    <w:rsid w:val="00F939B4"/>
    <w:rsid w:val="00F939FA"/>
    <w:rsid w:val="00F93AD3"/>
    <w:rsid w:val="00F93B43"/>
    <w:rsid w:val="00F93B6F"/>
    <w:rsid w:val="00F93C38"/>
    <w:rsid w:val="00F93D0C"/>
    <w:rsid w:val="00F93D67"/>
    <w:rsid w:val="00F93DDD"/>
    <w:rsid w:val="00F93E4B"/>
    <w:rsid w:val="00F93F07"/>
    <w:rsid w:val="00F93F32"/>
    <w:rsid w:val="00F93F4F"/>
    <w:rsid w:val="00F93F9B"/>
    <w:rsid w:val="00F93FF9"/>
    <w:rsid w:val="00F94054"/>
    <w:rsid w:val="00F9406F"/>
    <w:rsid w:val="00F940C9"/>
    <w:rsid w:val="00F940D7"/>
    <w:rsid w:val="00F940FC"/>
    <w:rsid w:val="00F94142"/>
    <w:rsid w:val="00F9420C"/>
    <w:rsid w:val="00F94268"/>
    <w:rsid w:val="00F942C3"/>
    <w:rsid w:val="00F942F1"/>
    <w:rsid w:val="00F9438F"/>
    <w:rsid w:val="00F943F5"/>
    <w:rsid w:val="00F9446B"/>
    <w:rsid w:val="00F944D2"/>
    <w:rsid w:val="00F94596"/>
    <w:rsid w:val="00F945D0"/>
    <w:rsid w:val="00F94647"/>
    <w:rsid w:val="00F94714"/>
    <w:rsid w:val="00F947A3"/>
    <w:rsid w:val="00F94825"/>
    <w:rsid w:val="00F94881"/>
    <w:rsid w:val="00F94931"/>
    <w:rsid w:val="00F94B1F"/>
    <w:rsid w:val="00F94B36"/>
    <w:rsid w:val="00F94CA8"/>
    <w:rsid w:val="00F94D29"/>
    <w:rsid w:val="00F94D73"/>
    <w:rsid w:val="00F94DAF"/>
    <w:rsid w:val="00F94DC1"/>
    <w:rsid w:val="00F94E29"/>
    <w:rsid w:val="00F94E61"/>
    <w:rsid w:val="00F94E7D"/>
    <w:rsid w:val="00F94EB9"/>
    <w:rsid w:val="00F94EEB"/>
    <w:rsid w:val="00F94EF9"/>
    <w:rsid w:val="00F94F21"/>
    <w:rsid w:val="00F94F25"/>
    <w:rsid w:val="00F94F71"/>
    <w:rsid w:val="00F94FA0"/>
    <w:rsid w:val="00F9501D"/>
    <w:rsid w:val="00F950CD"/>
    <w:rsid w:val="00F950EB"/>
    <w:rsid w:val="00F950F4"/>
    <w:rsid w:val="00F950FF"/>
    <w:rsid w:val="00F95155"/>
    <w:rsid w:val="00F9521C"/>
    <w:rsid w:val="00F95325"/>
    <w:rsid w:val="00F9532F"/>
    <w:rsid w:val="00F95348"/>
    <w:rsid w:val="00F9535B"/>
    <w:rsid w:val="00F9540E"/>
    <w:rsid w:val="00F95471"/>
    <w:rsid w:val="00F95484"/>
    <w:rsid w:val="00F95495"/>
    <w:rsid w:val="00F954CA"/>
    <w:rsid w:val="00F955CC"/>
    <w:rsid w:val="00F9560C"/>
    <w:rsid w:val="00F95623"/>
    <w:rsid w:val="00F9566E"/>
    <w:rsid w:val="00F956A6"/>
    <w:rsid w:val="00F956F7"/>
    <w:rsid w:val="00F95711"/>
    <w:rsid w:val="00F957B9"/>
    <w:rsid w:val="00F958F0"/>
    <w:rsid w:val="00F95936"/>
    <w:rsid w:val="00F95994"/>
    <w:rsid w:val="00F95A02"/>
    <w:rsid w:val="00F95A35"/>
    <w:rsid w:val="00F95A39"/>
    <w:rsid w:val="00F95A4B"/>
    <w:rsid w:val="00F95A5B"/>
    <w:rsid w:val="00F95B2A"/>
    <w:rsid w:val="00F95B4E"/>
    <w:rsid w:val="00F95B73"/>
    <w:rsid w:val="00F95B94"/>
    <w:rsid w:val="00F95C6E"/>
    <w:rsid w:val="00F95CAF"/>
    <w:rsid w:val="00F95D4F"/>
    <w:rsid w:val="00F95D56"/>
    <w:rsid w:val="00F95D84"/>
    <w:rsid w:val="00F95E3C"/>
    <w:rsid w:val="00F95E51"/>
    <w:rsid w:val="00F95EA2"/>
    <w:rsid w:val="00F95EA8"/>
    <w:rsid w:val="00F95EE6"/>
    <w:rsid w:val="00F95FB2"/>
    <w:rsid w:val="00F96084"/>
    <w:rsid w:val="00F960E6"/>
    <w:rsid w:val="00F96116"/>
    <w:rsid w:val="00F962A0"/>
    <w:rsid w:val="00F962EB"/>
    <w:rsid w:val="00F9635E"/>
    <w:rsid w:val="00F963D1"/>
    <w:rsid w:val="00F963D5"/>
    <w:rsid w:val="00F963ED"/>
    <w:rsid w:val="00F963F3"/>
    <w:rsid w:val="00F963F5"/>
    <w:rsid w:val="00F96433"/>
    <w:rsid w:val="00F96489"/>
    <w:rsid w:val="00F96577"/>
    <w:rsid w:val="00F9659A"/>
    <w:rsid w:val="00F96618"/>
    <w:rsid w:val="00F96649"/>
    <w:rsid w:val="00F96685"/>
    <w:rsid w:val="00F96700"/>
    <w:rsid w:val="00F96723"/>
    <w:rsid w:val="00F96878"/>
    <w:rsid w:val="00F96880"/>
    <w:rsid w:val="00F9690A"/>
    <w:rsid w:val="00F96972"/>
    <w:rsid w:val="00F96A3F"/>
    <w:rsid w:val="00F96A79"/>
    <w:rsid w:val="00F96BAF"/>
    <w:rsid w:val="00F96BEC"/>
    <w:rsid w:val="00F96C73"/>
    <w:rsid w:val="00F96C8D"/>
    <w:rsid w:val="00F96CAD"/>
    <w:rsid w:val="00F96CCA"/>
    <w:rsid w:val="00F96CE7"/>
    <w:rsid w:val="00F96DF6"/>
    <w:rsid w:val="00F96E95"/>
    <w:rsid w:val="00F96E9B"/>
    <w:rsid w:val="00F96F2A"/>
    <w:rsid w:val="00F9700C"/>
    <w:rsid w:val="00F97084"/>
    <w:rsid w:val="00F970E4"/>
    <w:rsid w:val="00F97133"/>
    <w:rsid w:val="00F9719D"/>
    <w:rsid w:val="00F971B1"/>
    <w:rsid w:val="00F972AE"/>
    <w:rsid w:val="00F972D2"/>
    <w:rsid w:val="00F9732D"/>
    <w:rsid w:val="00F973BE"/>
    <w:rsid w:val="00F97469"/>
    <w:rsid w:val="00F97536"/>
    <w:rsid w:val="00F975AD"/>
    <w:rsid w:val="00F975BB"/>
    <w:rsid w:val="00F976D9"/>
    <w:rsid w:val="00F9773C"/>
    <w:rsid w:val="00F9775E"/>
    <w:rsid w:val="00F97779"/>
    <w:rsid w:val="00F97780"/>
    <w:rsid w:val="00F977E6"/>
    <w:rsid w:val="00F97822"/>
    <w:rsid w:val="00F9786D"/>
    <w:rsid w:val="00F978B3"/>
    <w:rsid w:val="00F978E1"/>
    <w:rsid w:val="00F97A09"/>
    <w:rsid w:val="00F97A19"/>
    <w:rsid w:val="00F97A41"/>
    <w:rsid w:val="00F97A50"/>
    <w:rsid w:val="00F97A6C"/>
    <w:rsid w:val="00F97AD7"/>
    <w:rsid w:val="00F97B2C"/>
    <w:rsid w:val="00F97B3D"/>
    <w:rsid w:val="00F97B4A"/>
    <w:rsid w:val="00F97B6B"/>
    <w:rsid w:val="00F97BD2"/>
    <w:rsid w:val="00F97BF5"/>
    <w:rsid w:val="00F97C05"/>
    <w:rsid w:val="00F97C17"/>
    <w:rsid w:val="00F97CF6"/>
    <w:rsid w:val="00F97D11"/>
    <w:rsid w:val="00F97D65"/>
    <w:rsid w:val="00F97D8A"/>
    <w:rsid w:val="00F97DDB"/>
    <w:rsid w:val="00F97EBB"/>
    <w:rsid w:val="00F97EC3"/>
    <w:rsid w:val="00F97EF7"/>
    <w:rsid w:val="00F97FAE"/>
    <w:rsid w:val="00F97FC7"/>
    <w:rsid w:val="00F97FC9"/>
    <w:rsid w:val="00FA0063"/>
    <w:rsid w:val="00FA0067"/>
    <w:rsid w:val="00FA0075"/>
    <w:rsid w:val="00FA0111"/>
    <w:rsid w:val="00FA024D"/>
    <w:rsid w:val="00FA0335"/>
    <w:rsid w:val="00FA038C"/>
    <w:rsid w:val="00FA0419"/>
    <w:rsid w:val="00FA0462"/>
    <w:rsid w:val="00FA046E"/>
    <w:rsid w:val="00FA048A"/>
    <w:rsid w:val="00FA0505"/>
    <w:rsid w:val="00FA0543"/>
    <w:rsid w:val="00FA054B"/>
    <w:rsid w:val="00FA0557"/>
    <w:rsid w:val="00FA05C8"/>
    <w:rsid w:val="00FA05D1"/>
    <w:rsid w:val="00FA05F3"/>
    <w:rsid w:val="00FA0622"/>
    <w:rsid w:val="00FA0705"/>
    <w:rsid w:val="00FA0746"/>
    <w:rsid w:val="00FA0750"/>
    <w:rsid w:val="00FA07F0"/>
    <w:rsid w:val="00FA094C"/>
    <w:rsid w:val="00FA096B"/>
    <w:rsid w:val="00FA098C"/>
    <w:rsid w:val="00FA09EF"/>
    <w:rsid w:val="00FA0A5B"/>
    <w:rsid w:val="00FA0B1E"/>
    <w:rsid w:val="00FA0B27"/>
    <w:rsid w:val="00FA0B2F"/>
    <w:rsid w:val="00FA0C1D"/>
    <w:rsid w:val="00FA0D12"/>
    <w:rsid w:val="00FA0D2D"/>
    <w:rsid w:val="00FA0D76"/>
    <w:rsid w:val="00FA0D7F"/>
    <w:rsid w:val="00FA0DB5"/>
    <w:rsid w:val="00FA0DB7"/>
    <w:rsid w:val="00FA0DD3"/>
    <w:rsid w:val="00FA0E3A"/>
    <w:rsid w:val="00FA0E98"/>
    <w:rsid w:val="00FA0EBA"/>
    <w:rsid w:val="00FA1084"/>
    <w:rsid w:val="00FA108A"/>
    <w:rsid w:val="00FA1118"/>
    <w:rsid w:val="00FA1153"/>
    <w:rsid w:val="00FA11A3"/>
    <w:rsid w:val="00FA11D9"/>
    <w:rsid w:val="00FA12BD"/>
    <w:rsid w:val="00FA132F"/>
    <w:rsid w:val="00FA137D"/>
    <w:rsid w:val="00FA1380"/>
    <w:rsid w:val="00FA1381"/>
    <w:rsid w:val="00FA14B4"/>
    <w:rsid w:val="00FA14F2"/>
    <w:rsid w:val="00FA1587"/>
    <w:rsid w:val="00FA15E9"/>
    <w:rsid w:val="00FA1604"/>
    <w:rsid w:val="00FA164A"/>
    <w:rsid w:val="00FA1657"/>
    <w:rsid w:val="00FA1740"/>
    <w:rsid w:val="00FA1757"/>
    <w:rsid w:val="00FA1767"/>
    <w:rsid w:val="00FA17AB"/>
    <w:rsid w:val="00FA17AC"/>
    <w:rsid w:val="00FA17C9"/>
    <w:rsid w:val="00FA17F9"/>
    <w:rsid w:val="00FA17FC"/>
    <w:rsid w:val="00FA1AC5"/>
    <w:rsid w:val="00FA1BA7"/>
    <w:rsid w:val="00FA1C24"/>
    <w:rsid w:val="00FA1CB4"/>
    <w:rsid w:val="00FA1CC9"/>
    <w:rsid w:val="00FA1D5F"/>
    <w:rsid w:val="00FA1D6E"/>
    <w:rsid w:val="00FA1DB8"/>
    <w:rsid w:val="00FA1E6E"/>
    <w:rsid w:val="00FA1F9A"/>
    <w:rsid w:val="00FA1FA4"/>
    <w:rsid w:val="00FA2002"/>
    <w:rsid w:val="00FA200E"/>
    <w:rsid w:val="00FA2038"/>
    <w:rsid w:val="00FA2086"/>
    <w:rsid w:val="00FA210B"/>
    <w:rsid w:val="00FA2175"/>
    <w:rsid w:val="00FA21E0"/>
    <w:rsid w:val="00FA21F3"/>
    <w:rsid w:val="00FA220D"/>
    <w:rsid w:val="00FA2211"/>
    <w:rsid w:val="00FA22A1"/>
    <w:rsid w:val="00FA22B4"/>
    <w:rsid w:val="00FA2328"/>
    <w:rsid w:val="00FA236C"/>
    <w:rsid w:val="00FA239D"/>
    <w:rsid w:val="00FA23CC"/>
    <w:rsid w:val="00FA23D2"/>
    <w:rsid w:val="00FA23F5"/>
    <w:rsid w:val="00FA2451"/>
    <w:rsid w:val="00FA247E"/>
    <w:rsid w:val="00FA2488"/>
    <w:rsid w:val="00FA2489"/>
    <w:rsid w:val="00FA24A5"/>
    <w:rsid w:val="00FA2575"/>
    <w:rsid w:val="00FA25DD"/>
    <w:rsid w:val="00FA2612"/>
    <w:rsid w:val="00FA265B"/>
    <w:rsid w:val="00FA274A"/>
    <w:rsid w:val="00FA2781"/>
    <w:rsid w:val="00FA27A2"/>
    <w:rsid w:val="00FA27E7"/>
    <w:rsid w:val="00FA281C"/>
    <w:rsid w:val="00FA2824"/>
    <w:rsid w:val="00FA2857"/>
    <w:rsid w:val="00FA286C"/>
    <w:rsid w:val="00FA2879"/>
    <w:rsid w:val="00FA28AB"/>
    <w:rsid w:val="00FA28AF"/>
    <w:rsid w:val="00FA291A"/>
    <w:rsid w:val="00FA2924"/>
    <w:rsid w:val="00FA2935"/>
    <w:rsid w:val="00FA2951"/>
    <w:rsid w:val="00FA2955"/>
    <w:rsid w:val="00FA2A1A"/>
    <w:rsid w:val="00FA2B47"/>
    <w:rsid w:val="00FA2B4D"/>
    <w:rsid w:val="00FA2B55"/>
    <w:rsid w:val="00FA2B8D"/>
    <w:rsid w:val="00FA2BF7"/>
    <w:rsid w:val="00FA2C06"/>
    <w:rsid w:val="00FA2C59"/>
    <w:rsid w:val="00FA2C5B"/>
    <w:rsid w:val="00FA2CA4"/>
    <w:rsid w:val="00FA2CBE"/>
    <w:rsid w:val="00FA2D03"/>
    <w:rsid w:val="00FA2D7D"/>
    <w:rsid w:val="00FA2D80"/>
    <w:rsid w:val="00FA2E36"/>
    <w:rsid w:val="00FA2E8B"/>
    <w:rsid w:val="00FA2EEA"/>
    <w:rsid w:val="00FA2EF7"/>
    <w:rsid w:val="00FA2F4C"/>
    <w:rsid w:val="00FA2FAA"/>
    <w:rsid w:val="00FA2FAB"/>
    <w:rsid w:val="00FA2FB7"/>
    <w:rsid w:val="00FA2FE4"/>
    <w:rsid w:val="00FA2FEB"/>
    <w:rsid w:val="00FA305A"/>
    <w:rsid w:val="00FA30AF"/>
    <w:rsid w:val="00FA30D3"/>
    <w:rsid w:val="00FA30D5"/>
    <w:rsid w:val="00FA3217"/>
    <w:rsid w:val="00FA3224"/>
    <w:rsid w:val="00FA3266"/>
    <w:rsid w:val="00FA3317"/>
    <w:rsid w:val="00FA332D"/>
    <w:rsid w:val="00FA332E"/>
    <w:rsid w:val="00FA3372"/>
    <w:rsid w:val="00FA33B4"/>
    <w:rsid w:val="00FA33C5"/>
    <w:rsid w:val="00FA3519"/>
    <w:rsid w:val="00FA352A"/>
    <w:rsid w:val="00FA356E"/>
    <w:rsid w:val="00FA359C"/>
    <w:rsid w:val="00FA36A1"/>
    <w:rsid w:val="00FA36B8"/>
    <w:rsid w:val="00FA36C7"/>
    <w:rsid w:val="00FA36FD"/>
    <w:rsid w:val="00FA374C"/>
    <w:rsid w:val="00FA37B8"/>
    <w:rsid w:val="00FA382A"/>
    <w:rsid w:val="00FA3885"/>
    <w:rsid w:val="00FA3895"/>
    <w:rsid w:val="00FA38B1"/>
    <w:rsid w:val="00FA3932"/>
    <w:rsid w:val="00FA3955"/>
    <w:rsid w:val="00FA3965"/>
    <w:rsid w:val="00FA39D9"/>
    <w:rsid w:val="00FA39E8"/>
    <w:rsid w:val="00FA3A98"/>
    <w:rsid w:val="00FA3B1E"/>
    <w:rsid w:val="00FA3B78"/>
    <w:rsid w:val="00FA3BA3"/>
    <w:rsid w:val="00FA3CA8"/>
    <w:rsid w:val="00FA3D20"/>
    <w:rsid w:val="00FA3EB4"/>
    <w:rsid w:val="00FA3EE1"/>
    <w:rsid w:val="00FA3EF3"/>
    <w:rsid w:val="00FA3F9E"/>
    <w:rsid w:val="00FA3FEC"/>
    <w:rsid w:val="00FA4005"/>
    <w:rsid w:val="00FA408C"/>
    <w:rsid w:val="00FA40EB"/>
    <w:rsid w:val="00FA40ED"/>
    <w:rsid w:val="00FA40F0"/>
    <w:rsid w:val="00FA40F7"/>
    <w:rsid w:val="00FA410F"/>
    <w:rsid w:val="00FA4117"/>
    <w:rsid w:val="00FA4146"/>
    <w:rsid w:val="00FA416B"/>
    <w:rsid w:val="00FA4184"/>
    <w:rsid w:val="00FA41BB"/>
    <w:rsid w:val="00FA41DF"/>
    <w:rsid w:val="00FA4207"/>
    <w:rsid w:val="00FA4218"/>
    <w:rsid w:val="00FA4283"/>
    <w:rsid w:val="00FA42BD"/>
    <w:rsid w:val="00FA42D3"/>
    <w:rsid w:val="00FA433C"/>
    <w:rsid w:val="00FA447C"/>
    <w:rsid w:val="00FA447D"/>
    <w:rsid w:val="00FA4492"/>
    <w:rsid w:val="00FA44F4"/>
    <w:rsid w:val="00FA4557"/>
    <w:rsid w:val="00FA4564"/>
    <w:rsid w:val="00FA4574"/>
    <w:rsid w:val="00FA46A4"/>
    <w:rsid w:val="00FA46B9"/>
    <w:rsid w:val="00FA46CA"/>
    <w:rsid w:val="00FA46D3"/>
    <w:rsid w:val="00FA47DC"/>
    <w:rsid w:val="00FA48C5"/>
    <w:rsid w:val="00FA4910"/>
    <w:rsid w:val="00FA49E6"/>
    <w:rsid w:val="00FA4A08"/>
    <w:rsid w:val="00FA4A16"/>
    <w:rsid w:val="00FA4A30"/>
    <w:rsid w:val="00FA4AD1"/>
    <w:rsid w:val="00FA4B1E"/>
    <w:rsid w:val="00FA4C1E"/>
    <w:rsid w:val="00FA4C9B"/>
    <w:rsid w:val="00FA4CD1"/>
    <w:rsid w:val="00FA4CEC"/>
    <w:rsid w:val="00FA4D3F"/>
    <w:rsid w:val="00FA4DEC"/>
    <w:rsid w:val="00FA4E1A"/>
    <w:rsid w:val="00FA4EB2"/>
    <w:rsid w:val="00FA4FA2"/>
    <w:rsid w:val="00FA4FB7"/>
    <w:rsid w:val="00FA50FA"/>
    <w:rsid w:val="00FA51F0"/>
    <w:rsid w:val="00FA5259"/>
    <w:rsid w:val="00FA52A1"/>
    <w:rsid w:val="00FA52AF"/>
    <w:rsid w:val="00FA52C1"/>
    <w:rsid w:val="00FA52F7"/>
    <w:rsid w:val="00FA52F8"/>
    <w:rsid w:val="00FA5319"/>
    <w:rsid w:val="00FA53D9"/>
    <w:rsid w:val="00FA5404"/>
    <w:rsid w:val="00FA5443"/>
    <w:rsid w:val="00FA54F3"/>
    <w:rsid w:val="00FA5582"/>
    <w:rsid w:val="00FA5657"/>
    <w:rsid w:val="00FA568C"/>
    <w:rsid w:val="00FA56A5"/>
    <w:rsid w:val="00FA56A8"/>
    <w:rsid w:val="00FA56C6"/>
    <w:rsid w:val="00FA56EC"/>
    <w:rsid w:val="00FA56F1"/>
    <w:rsid w:val="00FA578D"/>
    <w:rsid w:val="00FA57F6"/>
    <w:rsid w:val="00FA580F"/>
    <w:rsid w:val="00FA5856"/>
    <w:rsid w:val="00FA58BC"/>
    <w:rsid w:val="00FA58BF"/>
    <w:rsid w:val="00FA594F"/>
    <w:rsid w:val="00FA59A3"/>
    <w:rsid w:val="00FA59F4"/>
    <w:rsid w:val="00FA59FC"/>
    <w:rsid w:val="00FA5AD6"/>
    <w:rsid w:val="00FA5B81"/>
    <w:rsid w:val="00FA5BE0"/>
    <w:rsid w:val="00FA5C18"/>
    <w:rsid w:val="00FA5CAB"/>
    <w:rsid w:val="00FA5D10"/>
    <w:rsid w:val="00FA5D9B"/>
    <w:rsid w:val="00FA5DDA"/>
    <w:rsid w:val="00FA5DF3"/>
    <w:rsid w:val="00FA5E47"/>
    <w:rsid w:val="00FA5E80"/>
    <w:rsid w:val="00FA5F40"/>
    <w:rsid w:val="00FA5FBA"/>
    <w:rsid w:val="00FA5FBE"/>
    <w:rsid w:val="00FA5FC3"/>
    <w:rsid w:val="00FA605E"/>
    <w:rsid w:val="00FA609F"/>
    <w:rsid w:val="00FA60C8"/>
    <w:rsid w:val="00FA60DA"/>
    <w:rsid w:val="00FA60F3"/>
    <w:rsid w:val="00FA612B"/>
    <w:rsid w:val="00FA618D"/>
    <w:rsid w:val="00FA619D"/>
    <w:rsid w:val="00FA6229"/>
    <w:rsid w:val="00FA6276"/>
    <w:rsid w:val="00FA6311"/>
    <w:rsid w:val="00FA639B"/>
    <w:rsid w:val="00FA63BD"/>
    <w:rsid w:val="00FA63EF"/>
    <w:rsid w:val="00FA6491"/>
    <w:rsid w:val="00FA64CA"/>
    <w:rsid w:val="00FA6527"/>
    <w:rsid w:val="00FA65C8"/>
    <w:rsid w:val="00FA65D3"/>
    <w:rsid w:val="00FA65DC"/>
    <w:rsid w:val="00FA6611"/>
    <w:rsid w:val="00FA6740"/>
    <w:rsid w:val="00FA6756"/>
    <w:rsid w:val="00FA67C1"/>
    <w:rsid w:val="00FA681D"/>
    <w:rsid w:val="00FA68C4"/>
    <w:rsid w:val="00FA6906"/>
    <w:rsid w:val="00FA6A5C"/>
    <w:rsid w:val="00FA6BAA"/>
    <w:rsid w:val="00FA6BCA"/>
    <w:rsid w:val="00FA6C69"/>
    <w:rsid w:val="00FA6C6F"/>
    <w:rsid w:val="00FA6CEC"/>
    <w:rsid w:val="00FA6CF2"/>
    <w:rsid w:val="00FA6D46"/>
    <w:rsid w:val="00FA6F2B"/>
    <w:rsid w:val="00FA6F47"/>
    <w:rsid w:val="00FA70F8"/>
    <w:rsid w:val="00FA711C"/>
    <w:rsid w:val="00FA71D3"/>
    <w:rsid w:val="00FA7220"/>
    <w:rsid w:val="00FA73EB"/>
    <w:rsid w:val="00FA73F0"/>
    <w:rsid w:val="00FA73FE"/>
    <w:rsid w:val="00FA743E"/>
    <w:rsid w:val="00FA74EA"/>
    <w:rsid w:val="00FA75A4"/>
    <w:rsid w:val="00FA75D9"/>
    <w:rsid w:val="00FA7678"/>
    <w:rsid w:val="00FA76D0"/>
    <w:rsid w:val="00FA7740"/>
    <w:rsid w:val="00FA7743"/>
    <w:rsid w:val="00FA77A9"/>
    <w:rsid w:val="00FA77C3"/>
    <w:rsid w:val="00FA78E0"/>
    <w:rsid w:val="00FA78E9"/>
    <w:rsid w:val="00FA7902"/>
    <w:rsid w:val="00FA7917"/>
    <w:rsid w:val="00FA7918"/>
    <w:rsid w:val="00FA79AD"/>
    <w:rsid w:val="00FA7AE7"/>
    <w:rsid w:val="00FA7B41"/>
    <w:rsid w:val="00FA7BFC"/>
    <w:rsid w:val="00FA7C2A"/>
    <w:rsid w:val="00FA7C6A"/>
    <w:rsid w:val="00FA7C99"/>
    <w:rsid w:val="00FA7CDD"/>
    <w:rsid w:val="00FA7CFF"/>
    <w:rsid w:val="00FA7D76"/>
    <w:rsid w:val="00FA7D8B"/>
    <w:rsid w:val="00FA7DA9"/>
    <w:rsid w:val="00FA7DAE"/>
    <w:rsid w:val="00FA7E82"/>
    <w:rsid w:val="00FA7EB7"/>
    <w:rsid w:val="00FA7ECE"/>
    <w:rsid w:val="00FA7F72"/>
    <w:rsid w:val="00FA7F9C"/>
    <w:rsid w:val="00FB0032"/>
    <w:rsid w:val="00FB004B"/>
    <w:rsid w:val="00FB00D6"/>
    <w:rsid w:val="00FB01AF"/>
    <w:rsid w:val="00FB0207"/>
    <w:rsid w:val="00FB0247"/>
    <w:rsid w:val="00FB042D"/>
    <w:rsid w:val="00FB04CE"/>
    <w:rsid w:val="00FB054A"/>
    <w:rsid w:val="00FB0607"/>
    <w:rsid w:val="00FB060E"/>
    <w:rsid w:val="00FB065E"/>
    <w:rsid w:val="00FB0678"/>
    <w:rsid w:val="00FB0740"/>
    <w:rsid w:val="00FB075F"/>
    <w:rsid w:val="00FB07A9"/>
    <w:rsid w:val="00FB0871"/>
    <w:rsid w:val="00FB08DB"/>
    <w:rsid w:val="00FB0A23"/>
    <w:rsid w:val="00FB0B43"/>
    <w:rsid w:val="00FB0B63"/>
    <w:rsid w:val="00FB0BB8"/>
    <w:rsid w:val="00FB0BBE"/>
    <w:rsid w:val="00FB0C46"/>
    <w:rsid w:val="00FB0C87"/>
    <w:rsid w:val="00FB0C9A"/>
    <w:rsid w:val="00FB0DA1"/>
    <w:rsid w:val="00FB0DF7"/>
    <w:rsid w:val="00FB0E20"/>
    <w:rsid w:val="00FB0EB3"/>
    <w:rsid w:val="00FB0EC8"/>
    <w:rsid w:val="00FB0F57"/>
    <w:rsid w:val="00FB0F6D"/>
    <w:rsid w:val="00FB0F88"/>
    <w:rsid w:val="00FB0F95"/>
    <w:rsid w:val="00FB10CD"/>
    <w:rsid w:val="00FB116C"/>
    <w:rsid w:val="00FB1235"/>
    <w:rsid w:val="00FB1250"/>
    <w:rsid w:val="00FB1347"/>
    <w:rsid w:val="00FB135E"/>
    <w:rsid w:val="00FB1393"/>
    <w:rsid w:val="00FB1398"/>
    <w:rsid w:val="00FB13D9"/>
    <w:rsid w:val="00FB1452"/>
    <w:rsid w:val="00FB1453"/>
    <w:rsid w:val="00FB1476"/>
    <w:rsid w:val="00FB14AB"/>
    <w:rsid w:val="00FB14AF"/>
    <w:rsid w:val="00FB14FA"/>
    <w:rsid w:val="00FB152B"/>
    <w:rsid w:val="00FB153A"/>
    <w:rsid w:val="00FB159D"/>
    <w:rsid w:val="00FB1605"/>
    <w:rsid w:val="00FB1782"/>
    <w:rsid w:val="00FB17AE"/>
    <w:rsid w:val="00FB1894"/>
    <w:rsid w:val="00FB18D0"/>
    <w:rsid w:val="00FB1925"/>
    <w:rsid w:val="00FB196B"/>
    <w:rsid w:val="00FB1982"/>
    <w:rsid w:val="00FB199A"/>
    <w:rsid w:val="00FB19FD"/>
    <w:rsid w:val="00FB1A98"/>
    <w:rsid w:val="00FB1AF4"/>
    <w:rsid w:val="00FB1B51"/>
    <w:rsid w:val="00FB1BF7"/>
    <w:rsid w:val="00FB1BFA"/>
    <w:rsid w:val="00FB1C07"/>
    <w:rsid w:val="00FB1C0A"/>
    <w:rsid w:val="00FB1C12"/>
    <w:rsid w:val="00FB1C5A"/>
    <w:rsid w:val="00FB1C6A"/>
    <w:rsid w:val="00FB1CBE"/>
    <w:rsid w:val="00FB1D67"/>
    <w:rsid w:val="00FB1D71"/>
    <w:rsid w:val="00FB1DE0"/>
    <w:rsid w:val="00FB1E2C"/>
    <w:rsid w:val="00FB1EB5"/>
    <w:rsid w:val="00FB1EF9"/>
    <w:rsid w:val="00FB1F2F"/>
    <w:rsid w:val="00FB1F5D"/>
    <w:rsid w:val="00FB2020"/>
    <w:rsid w:val="00FB20B1"/>
    <w:rsid w:val="00FB21A8"/>
    <w:rsid w:val="00FB21B9"/>
    <w:rsid w:val="00FB221D"/>
    <w:rsid w:val="00FB22F2"/>
    <w:rsid w:val="00FB22F4"/>
    <w:rsid w:val="00FB23A7"/>
    <w:rsid w:val="00FB2444"/>
    <w:rsid w:val="00FB2487"/>
    <w:rsid w:val="00FB251E"/>
    <w:rsid w:val="00FB2539"/>
    <w:rsid w:val="00FB2576"/>
    <w:rsid w:val="00FB2598"/>
    <w:rsid w:val="00FB25B6"/>
    <w:rsid w:val="00FB25F2"/>
    <w:rsid w:val="00FB26F7"/>
    <w:rsid w:val="00FB276A"/>
    <w:rsid w:val="00FB27F5"/>
    <w:rsid w:val="00FB287C"/>
    <w:rsid w:val="00FB29D6"/>
    <w:rsid w:val="00FB2AB0"/>
    <w:rsid w:val="00FB2B0D"/>
    <w:rsid w:val="00FB2B0E"/>
    <w:rsid w:val="00FB2B7D"/>
    <w:rsid w:val="00FB2B87"/>
    <w:rsid w:val="00FB2BF8"/>
    <w:rsid w:val="00FB2C1A"/>
    <w:rsid w:val="00FB2C2C"/>
    <w:rsid w:val="00FB2C53"/>
    <w:rsid w:val="00FB2C85"/>
    <w:rsid w:val="00FB2CD3"/>
    <w:rsid w:val="00FB2CFA"/>
    <w:rsid w:val="00FB2D19"/>
    <w:rsid w:val="00FB2D9A"/>
    <w:rsid w:val="00FB2DC5"/>
    <w:rsid w:val="00FB2F28"/>
    <w:rsid w:val="00FB2F35"/>
    <w:rsid w:val="00FB2FC1"/>
    <w:rsid w:val="00FB2FCC"/>
    <w:rsid w:val="00FB2FD0"/>
    <w:rsid w:val="00FB3095"/>
    <w:rsid w:val="00FB309E"/>
    <w:rsid w:val="00FB3158"/>
    <w:rsid w:val="00FB3282"/>
    <w:rsid w:val="00FB32CE"/>
    <w:rsid w:val="00FB32D6"/>
    <w:rsid w:val="00FB32FA"/>
    <w:rsid w:val="00FB3373"/>
    <w:rsid w:val="00FB339A"/>
    <w:rsid w:val="00FB33F8"/>
    <w:rsid w:val="00FB3459"/>
    <w:rsid w:val="00FB349B"/>
    <w:rsid w:val="00FB34E6"/>
    <w:rsid w:val="00FB3630"/>
    <w:rsid w:val="00FB3672"/>
    <w:rsid w:val="00FB36F3"/>
    <w:rsid w:val="00FB3717"/>
    <w:rsid w:val="00FB3740"/>
    <w:rsid w:val="00FB375E"/>
    <w:rsid w:val="00FB37C1"/>
    <w:rsid w:val="00FB37CE"/>
    <w:rsid w:val="00FB3837"/>
    <w:rsid w:val="00FB3885"/>
    <w:rsid w:val="00FB388C"/>
    <w:rsid w:val="00FB3891"/>
    <w:rsid w:val="00FB38C7"/>
    <w:rsid w:val="00FB3923"/>
    <w:rsid w:val="00FB398C"/>
    <w:rsid w:val="00FB3A2C"/>
    <w:rsid w:val="00FB3A31"/>
    <w:rsid w:val="00FB3A77"/>
    <w:rsid w:val="00FB3A8E"/>
    <w:rsid w:val="00FB3B3E"/>
    <w:rsid w:val="00FB3C1F"/>
    <w:rsid w:val="00FB3C67"/>
    <w:rsid w:val="00FB3C8E"/>
    <w:rsid w:val="00FB3C93"/>
    <w:rsid w:val="00FB3CA9"/>
    <w:rsid w:val="00FB3CDE"/>
    <w:rsid w:val="00FB3D4B"/>
    <w:rsid w:val="00FB3D6C"/>
    <w:rsid w:val="00FB3D74"/>
    <w:rsid w:val="00FB3DC0"/>
    <w:rsid w:val="00FB3EC0"/>
    <w:rsid w:val="00FB3EF5"/>
    <w:rsid w:val="00FB3F6A"/>
    <w:rsid w:val="00FB3F6E"/>
    <w:rsid w:val="00FB3F9A"/>
    <w:rsid w:val="00FB3FBB"/>
    <w:rsid w:val="00FB4023"/>
    <w:rsid w:val="00FB4061"/>
    <w:rsid w:val="00FB40A8"/>
    <w:rsid w:val="00FB40CD"/>
    <w:rsid w:val="00FB40EB"/>
    <w:rsid w:val="00FB4167"/>
    <w:rsid w:val="00FB416C"/>
    <w:rsid w:val="00FB41BA"/>
    <w:rsid w:val="00FB41F1"/>
    <w:rsid w:val="00FB4208"/>
    <w:rsid w:val="00FB4272"/>
    <w:rsid w:val="00FB4288"/>
    <w:rsid w:val="00FB42AD"/>
    <w:rsid w:val="00FB42CD"/>
    <w:rsid w:val="00FB44A1"/>
    <w:rsid w:val="00FB452D"/>
    <w:rsid w:val="00FB4686"/>
    <w:rsid w:val="00FB46A0"/>
    <w:rsid w:val="00FB46C6"/>
    <w:rsid w:val="00FB479F"/>
    <w:rsid w:val="00FB47B2"/>
    <w:rsid w:val="00FB47C8"/>
    <w:rsid w:val="00FB4801"/>
    <w:rsid w:val="00FB4861"/>
    <w:rsid w:val="00FB4872"/>
    <w:rsid w:val="00FB48E8"/>
    <w:rsid w:val="00FB4922"/>
    <w:rsid w:val="00FB4983"/>
    <w:rsid w:val="00FB49D7"/>
    <w:rsid w:val="00FB4A4C"/>
    <w:rsid w:val="00FB4BB1"/>
    <w:rsid w:val="00FB4C14"/>
    <w:rsid w:val="00FB4CE2"/>
    <w:rsid w:val="00FB4CF1"/>
    <w:rsid w:val="00FB4CF4"/>
    <w:rsid w:val="00FB4D4C"/>
    <w:rsid w:val="00FB4DCF"/>
    <w:rsid w:val="00FB4E65"/>
    <w:rsid w:val="00FB4E7D"/>
    <w:rsid w:val="00FB4F4F"/>
    <w:rsid w:val="00FB4F9D"/>
    <w:rsid w:val="00FB4F9F"/>
    <w:rsid w:val="00FB4FF5"/>
    <w:rsid w:val="00FB5106"/>
    <w:rsid w:val="00FB5111"/>
    <w:rsid w:val="00FB5158"/>
    <w:rsid w:val="00FB5171"/>
    <w:rsid w:val="00FB51D2"/>
    <w:rsid w:val="00FB5206"/>
    <w:rsid w:val="00FB5243"/>
    <w:rsid w:val="00FB52E5"/>
    <w:rsid w:val="00FB5305"/>
    <w:rsid w:val="00FB530F"/>
    <w:rsid w:val="00FB5335"/>
    <w:rsid w:val="00FB535F"/>
    <w:rsid w:val="00FB5378"/>
    <w:rsid w:val="00FB54EA"/>
    <w:rsid w:val="00FB5520"/>
    <w:rsid w:val="00FB5538"/>
    <w:rsid w:val="00FB5567"/>
    <w:rsid w:val="00FB55B8"/>
    <w:rsid w:val="00FB55F9"/>
    <w:rsid w:val="00FB5664"/>
    <w:rsid w:val="00FB568B"/>
    <w:rsid w:val="00FB5768"/>
    <w:rsid w:val="00FB5813"/>
    <w:rsid w:val="00FB5823"/>
    <w:rsid w:val="00FB583A"/>
    <w:rsid w:val="00FB59F5"/>
    <w:rsid w:val="00FB5A0A"/>
    <w:rsid w:val="00FB5A5A"/>
    <w:rsid w:val="00FB5A6F"/>
    <w:rsid w:val="00FB5AA2"/>
    <w:rsid w:val="00FB5AB4"/>
    <w:rsid w:val="00FB5B4A"/>
    <w:rsid w:val="00FB5C40"/>
    <w:rsid w:val="00FB5CCB"/>
    <w:rsid w:val="00FB5D12"/>
    <w:rsid w:val="00FB5DC7"/>
    <w:rsid w:val="00FB5F47"/>
    <w:rsid w:val="00FB5F53"/>
    <w:rsid w:val="00FB60AA"/>
    <w:rsid w:val="00FB60E3"/>
    <w:rsid w:val="00FB6113"/>
    <w:rsid w:val="00FB613B"/>
    <w:rsid w:val="00FB6172"/>
    <w:rsid w:val="00FB61C3"/>
    <w:rsid w:val="00FB6219"/>
    <w:rsid w:val="00FB6240"/>
    <w:rsid w:val="00FB6294"/>
    <w:rsid w:val="00FB635F"/>
    <w:rsid w:val="00FB63EB"/>
    <w:rsid w:val="00FB652A"/>
    <w:rsid w:val="00FB654A"/>
    <w:rsid w:val="00FB6596"/>
    <w:rsid w:val="00FB6656"/>
    <w:rsid w:val="00FB66BB"/>
    <w:rsid w:val="00FB66F0"/>
    <w:rsid w:val="00FB6752"/>
    <w:rsid w:val="00FB677C"/>
    <w:rsid w:val="00FB67CD"/>
    <w:rsid w:val="00FB6806"/>
    <w:rsid w:val="00FB689D"/>
    <w:rsid w:val="00FB68D2"/>
    <w:rsid w:val="00FB68E2"/>
    <w:rsid w:val="00FB6929"/>
    <w:rsid w:val="00FB6940"/>
    <w:rsid w:val="00FB6973"/>
    <w:rsid w:val="00FB69CC"/>
    <w:rsid w:val="00FB69EC"/>
    <w:rsid w:val="00FB6A3D"/>
    <w:rsid w:val="00FB6AE5"/>
    <w:rsid w:val="00FB6B68"/>
    <w:rsid w:val="00FB6B6B"/>
    <w:rsid w:val="00FB6C07"/>
    <w:rsid w:val="00FB6C2F"/>
    <w:rsid w:val="00FB6C50"/>
    <w:rsid w:val="00FB6C53"/>
    <w:rsid w:val="00FB6CAF"/>
    <w:rsid w:val="00FB6D24"/>
    <w:rsid w:val="00FB6D9A"/>
    <w:rsid w:val="00FB6E45"/>
    <w:rsid w:val="00FB6E60"/>
    <w:rsid w:val="00FB6ECF"/>
    <w:rsid w:val="00FB6F0C"/>
    <w:rsid w:val="00FB6F4B"/>
    <w:rsid w:val="00FB6F79"/>
    <w:rsid w:val="00FB6F98"/>
    <w:rsid w:val="00FB7027"/>
    <w:rsid w:val="00FB703F"/>
    <w:rsid w:val="00FB7069"/>
    <w:rsid w:val="00FB7191"/>
    <w:rsid w:val="00FB71AA"/>
    <w:rsid w:val="00FB720B"/>
    <w:rsid w:val="00FB72C4"/>
    <w:rsid w:val="00FB732F"/>
    <w:rsid w:val="00FB7379"/>
    <w:rsid w:val="00FB739E"/>
    <w:rsid w:val="00FB73C5"/>
    <w:rsid w:val="00FB7443"/>
    <w:rsid w:val="00FB745F"/>
    <w:rsid w:val="00FB74B6"/>
    <w:rsid w:val="00FB74DB"/>
    <w:rsid w:val="00FB74F6"/>
    <w:rsid w:val="00FB7532"/>
    <w:rsid w:val="00FB7549"/>
    <w:rsid w:val="00FB75B9"/>
    <w:rsid w:val="00FB75D4"/>
    <w:rsid w:val="00FB765D"/>
    <w:rsid w:val="00FB769A"/>
    <w:rsid w:val="00FB76B5"/>
    <w:rsid w:val="00FB76DA"/>
    <w:rsid w:val="00FB7706"/>
    <w:rsid w:val="00FB770A"/>
    <w:rsid w:val="00FB785D"/>
    <w:rsid w:val="00FB787F"/>
    <w:rsid w:val="00FB795A"/>
    <w:rsid w:val="00FB796D"/>
    <w:rsid w:val="00FB7AD5"/>
    <w:rsid w:val="00FB7AFA"/>
    <w:rsid w:val="00FB7B94"/>
    <w:rsid w:val="00FB7B9F"/>
    <w:rsid w:val="00FB7C6B"/>
    <w:rsid w:val="00FB7C84"/>
    <w:rsid w:val="00FB7CFA"/>
    <w:rsid w:val="00FB7DBD"/>
    <w:rsid w:val="00FB7E0A"/>
    <w:rsid w:val="00FB7E62"/>
    <w:rsid w:val="00FB7F8A"/>
    <w:rsid w:val="00FB7FC5"/>
    <w:rsid w:val="00FC0097"/>
    <w:rsid w:val="00FC00A2"/>
    <w:rsid w:val="00FC00BD"/>
    <w:rsid w:val="00FC00CB"/>
    <w:rsid w:val="00FC00DC"/>
    <w:rsid w:val="00FC0209"/>
    <w:rsid w:val="00FC02C0"/>
    <w:rsid w:val="00FC0344"/>
    <w:rsid w:val="00FC0453"/>
    <w:rsid w:val="00FC045C"/>
    <w:rsid w:val="00FC045F"/>
    <w:rsid w:val="00FC07D6"/>
    <w:rsid w:val="00FC07D9"/>
    <w:rsid w:val="00FC081F"/>
    <w:rsid w:val="00FC0964"/>
    <w:rsid w:val="00FC09C5"/>
    <w:rsid w:val="00FC09D7"/>
    <w:rsid w:val="00FC09E2"/>
    <w:rsid w:val="00FC0A15"/>
    <w:rsid w:val="00FC0A36"/>
    <w:rsid w:val="00FC0A6D"/>
    <w:rsid w:val="00FC0A70"/>
    <w:rsid w:val="00FC0A91"/>
    <w:rsid w:val="00FC0AF4"/>
    <w:rsid w:val="00FC0B58"/>
    <w:rsid w:val="00FC0BB7"/>
    <w:rsid w:val="00FC0BDC"/>
    <w:rsid w:val="00FC0C40"/>
    <w:rsid w:val="00FC0C4B"/>
    <w:rsid w:val="00FC0C96"/>
    <w:rsid w:val="00FC0CF6"/>
    <w:rsid w:val="00FC0D8D"/>
    <w:rsid w:val="00FC0D8F"/>
    <w:rsid w:val="00FC101C"/>
    <w:rsid w:val="00FC10B3"/>
    <w:rsid w:val="00FC1149"/>
    <w:rsid w:val="00FC1166"/>
    <w:rsid w:val="00FC11D8"/>
    <w:rsid w:val="00FC122C"/>
    <w:rsid w:val="00FC1239"/>
    <w:rsid w:val="00FC12CD"/>
    <w:rsid w:val="00FC12E1"/>
    <w:rsid w:val="00FC1339"/>
    <w:rsid w:val="00FC134F"/>
    <w:rsid w:val="00FC1577"/>
    <w:rsid w:val="00FC167C"/>
    <w:rsid w:val="00FC16E7"/>
    <w:rsid w:val="00FC1748"/>
    <w:rsid w:val="00FC176B"/>
    <w:rsid w:val="00FC179F"/>
    <w:rsid w:val="00FC1808"/>
    <w:rsid w:val="00FC181D"/>
    <w:rsid w:val="00FC1833"/>
    <w:rsid w:val="00FC1850"/>
    <w:rsid w:val="00FC18AB"/>
    <w:rsid w:val="00FC19C0"/>
    <w:rsid w:val="00FC19DE"/>
    <w:rsid w:val="00FC1A25"/>
    <w:rsid w:val="00FC1A54"/>
    <w:rsid w:val="00FC1A7E"/>
    <w:rsid w:val="00FC1A97"/>
    <w:rsid w:val="00FC1AAD"/>
    <w:rsid w:val="00FC1B3C"/>
    <w:rsid w:val="00FC1B4F"/>
    <w:rsid w:val="00FC1C62"/>
    <w:rsid w:val="00FC1D41"/>
    <w:rsid w:val="00FC1E89"/>
    <w:rsid w:val="00FC1EF8"/>
    <w:rsid w:val="00FC1F51"/>
    <w:rsid w:val="00FC2071"/>
    <w:rsid w:val="00FC21F3"/>
    <w:rsid w:val="00FC2225"/>
    <w:rsid w:val="00FC22B0"/>
    <w:rsid w:val="00FC22F5"/>
    <w:rsid w:val="00FC232D"/>
    <w:rsid w:val="00FC2366"/>
    <w:rsid w:val="00FC23FE"/>
    <w:rsid w:val="00FC2451"/>
    <w:rsid w:val="00FC24A4"/>
    <w:rsid w:val="00FC24B9"/>
    <w:rsid w:val="00FC2541"/>
    <w:rsid w:val="00FC2543"/>
    <w:rsid w:val="00FC2572"/>
    <w:rsid w:val="00FC262E"/>
    <w:rsid w:val="00FC2639"/>
    <w:rsid w:val="00FC26B2"/>
    <w:rsid w:val="00FC26FB"/>
    <w:rsid w:val="00FC2701"/>
    <w:rsid w:val="00FC2743"/>
    <w:rsid w:val="00FC2782"/>
    <w:rsid w:val="00FC2813"/>
    <w:rsid w:val="00FC281A"/>
    <w:rsid w:val="00FC2823"/>
    <w:rsid w:val="00FC2869"/>
    <w:rsid w:val="00FC28A7"/>
    <w:rsid w:val="00FC2A03"/>
    <w:rsid w:val="00FC2A24"/>
    <w:rsid w:val="00FC2A81"/>
    <w:rsid w:val="00FC2A9E"/>
    <w:rsid w:val="00FC2B2C"/>
    <w:rsid w:val="00FC2B45"/>
    <w:rsid w:val="00FC2BC5"/>
    <w:rsid w:val="00FC2BDE"/>
    <w:rsid w:val="00FC2C06"/>
    <w:rsid w:val="00FC2C14"/>
    <w:rsid w:val="00FC2C8A"/>
    <w:rsid w:val="00FC2CBD"/>
    <w:rsid w:val="00FC2D65"/>
    <w:rsid w:val="00FC2D7A"/>
    <w:rsid w:val="00FC2D83"/>
    <w:rsid w:val="00FC2D94"/>
    <w:rsid w:val="00FC2DF6"/>
    <w:rsid w:val="00FC2EC0"/>
    <w:rsid w:val="00FC2FBC"/>
    <w:rsid w:val="00FC2FEE"/>
    <w:rsid w:val="00FC309F"/>
    <w:rsid w:val="00FC3152"/>
    <w:rsid w:val="00FC3159"/>
    <w:rsid w:val="00FC31DA"/>
    <w:rsid w:val="00FC31F5"/>
    <w:rsid w:val="00FC322C"/>
    <w:rsid w:val="00FC32DC"/>
    <w:rsid w:val="00FC32E6"/>
    <w:rsid w:val="00FC335C"/>
    <w:rsid w:val="00FC3497"/>
    <w:rsid w:val="00FC34DE"/>
    <w:rsid w:val="00FC34F7"/>
    <w:rsid w:val="00FC3526"/>
    <w:rsid w:val="00FC35FE"/>
    <w:rsid w:val="00FC36A8"/>
    <w:rsid w:val="00FC36DE"/>
    <w:rsid w:val="00FC3700"/>
    <w:rsid w:val="00FC3710"/>
    <w:rsid w:val="00FC3721"/>
    <w:rsid w:val="00FC3726"/>
    <w:rsid w:val="00FC3748"/>
    <w:rsid w:val="00FC374D"/>
    <w:rsid w:val="00FC3758"/>
    <w:rsid w:val="00FC3808"/>
    <w:rsid w:val="00FC38D0"/>
    <w:rsid w:val="00FC38DB"/>
    <w:rsid w:val="00FC390A"/>
    <w:rsid w:val="00FC3963"/>
    <w:rsid w:val="00FC3994"/>
    <w:rsid w:val="00FC39B9"/>
    <w:rsid w:val="00FC3AC5"/>
    <w:rsid w:val="00FC3B31"/>
    <w:rsid w:val="00FC3B7F"/>
    <w:rsid w:val="00FC3BA3"/>
    <w:rsid w:val="00FC3BCB"/>
    <w:rsid w:val="00FC3BD9"/>
    <w:rsid w:val="00FC3C53"/>
    <w:rsid w:val="00FC3CD9"/>
    <w:rsid w:val="00FC3D55"/>
    <w:rsid w:val="00FC3D59"/>
    <w:rsid w:val="00FC3D66"/>
    <w:rsid w:val="00FC3D7A"/>
    <w:rsid w:val="00FC3E0A"/>
    <w:rsid w:val="00FC3E29"/>
    <w:rsid w:val="00FC3E68"/>
    <w:rsid w:val="00FC3EB4"/>
    <w:rsid w:val="00FC3EBE"/>
    <w:rsid w:val="00FC3ED7"/>
    <w:rsid w:val="00FC3EFD"/>
    <w:rsid w:val="00FC3F1A"/>
    <w:rsid w:val="00FC3F8D"/>
    <w:rsid w:val="00FC3F91"/>
    <w:rsid w:val="00FC3F9C"/>
    <w:rsid w:val="00FC4022"/>
    <w:rsid w:val="00FC402C"/>
    <w:rsid w:val="00FC408E"/>
    <w:rsid w:val="00FC40B8"/>
    <w:rsid w:val="00FC4127"/>
    <w:rsid w:val="00FC4165"/>
    <w:rsid w:val="00FC41AA"/>
    <w:rsid w:val="00FC420D"/>
    <w:rsid w:val="00FC42F4"/>
    <w:rsid w:val="00FC42FA"/>
    <w:rsid w:val="00FC4338"/>
    <w:rsid w:val="00FC4378"/>
    <w:rsid w:val="00FC43A5"/>
    <w:rsid w:val="00FC43BC"/>
    <w:rsid w:val="00FC4412"/>
    <w:rsid w:val="00FC4444"/>
    <w:rsid w:val="00FC447A"/>
    <w:rsid w:val="00FC45A9"/>
    <w:rsid w:val="00FC45CD"/>
    <w:rsid w:val="00FC461A"/>
    <w:rsid w:val="00FC462A"/>
    <w:rsid w:val="00FC46E7"/>
    <w:rsid w:val="00FC482F"/>
    <w:rsid w:val="00FC486F"/>
    <w:rsid w:val="00FC487D"/>
    <w:rsid w:val="00FC48A9"/>
    <w:rsid w:val="00FC48BA"/>
    <w:rsid w:val="00FC48D0"/>
    <w:rsid w:val="00FC49B3"/>
    <w:rsid w:val="00FC4A39"/>
    <w:rsid w:val="00FC4AC5"/>
    <w:rsid w:val="00FC4B4D"/>
    <w:rsid w:val="00FC4B5D"/>
    <w:rsid w:val="00FC4BAF"/>
    <w:rsid w:val="00FC4BBB"/>
    <w:rsid w:val="00FC4C44"/>
    <w:rsid w:val="00FC4C4A"/>
    <w:rsid w:val="00FC4CC8"/>
    <w:rsid w:val="00FC4CE9"/>
    <w:rsid w:val="00FC4D0C"/>
    <w:rsid w:val="00FC4E15"/>
    <w:rsid w:val="00FC4E49"/>
    <w:rsid w:val="00FC4EFE"/>
    <w:rsid w:val="00FC4F11"/>
    <w:rsid w:val="00FC506A"/>
    <w:rsid w:val="00FC50E4"/>
    <w:rsid w:val="00FC510F"/>
    <w:rsid w:val="00FC5123"/>
    <w:rsid w:val="00FC51FC"/>
    <w:rsid w:val="00FC5217"/>
    <w:rsid w:val="00FC5218"/>
    <w:rsid w:val="00FC5222"/>
    <w:rsid w:val="00FC524F"/>
    <w:rsid w:val="00FC527E"/>
    <w:rsid w:val="00FC52A5"/>
    <w:rsid w:val="00FC5357"/>
    <w:rsid w:val="00FC539B"/>
    <w:rsid w:val="00FC551B"/>
    <w:rsid w:val="00FC567A"/>
    <w:rsid w:val="00FC567F"/>
    <w:rsid w:val="00FC5752"/>
    <w:rsid w:val="00FC5813"/>
    <w:rsid w:val="00FC582F"/>
    <w:rsid w:val="00FC5850"/>
    <w:rsid w:val="00FC5884"/>
    <w:rsid w:val="00FC58C6"/>
    <w:rsid w:val="00FC590E"/>
    <w:rsid w:val="00FC590F"/>
    <w:rsid w:val="00FC5981"/>
    <w:rsid w:val="00FC5ACE"/>
    <w:rsid w:val="00FC5B52"/>
    <w:rsid w:val="00FC5BE4"/>
    <w:rsid w:val="00FC5C0C"/>
    <w:rsid w:val="00FC5D87"/>
    <w:rsid w:val="00FC5E27"/>
    <w:rsid w:val="00FC5E4F"/>
    <w:rsid w:val="00FC5E55"/>
    <w:rsid w:val="00FC5EAF"/>
    <w:rsid w:val="00FC5EE3"/>
    <w:rsid w:val="00FC5F41"/>
    <w:rsid w:val="00FC5F96"/>
    <w:rsid w:val="00FC601B"/>
    <w:rsid w:val="00FC607C"/>
    <w:rsid w:val="00FC60AC"/>
    <w:rsid w:val="00FC60FF"/>
    <w:rsid w:val="00FC6193"/>
    <w:rsid w:val="00FC6218"/>
    <w:rsid w:val="00FC624C"/>
    <w:rsid w:val="00FC62F7"/>
    <w:rsid w:val="00FC6304"/>
    <w:rsid w:val="00FC6383"/>
    <w:rsid w:val="00FC6394"/>
    <w:rsid w:val="00FC63C6"/>
    <w:rsid w:val="00FC6448"/>
    <w:rsid w:val="00FC6460"/>
    <w:rsid w:val="00FC651E"/>
    <w:rsid w:val="00FC652E"/>
    <w:rsid w:val="00FC6538"/>
    <w:rsid w:val="00FC6664"/>
    <w:rsid w:val="00FC667B"/>
    <w:rsid w:val="00FC66DF"/>
    <w:rsid w:val="00FC67BE"/>
    <w:rsid w:val="00FC67D5"/>
    <w:rsid w:val="00FC6857"/>
    <w:rsid w:val="00FC6875"/>
    <w:rsid w:val="00FC68F8"/>
    <w:rsid w:val="00FC6928"/>
    <w:rsid w:val="00FC69BA"/>
    <w:rsid w:val="00FC6A46"/>
    <w:rsid w:val="00FC6B3C"/>
    <w:rsid w:val="00FC6C31"/>
    <w:rsid w:val="00FC6C52"/>
    <w:rsid w:val="00FC6C5D"/>
    <w:rsid w:val="00FC6C73"/>
    <w:rsid w:val="00FC6D19"/>
    <w:rsid w:val="00FC6D3F"/>
    <w:rsid w:val="00FC6D7F"/>
    <w:rsid w:val="00FC6D8F"/>
    <w:rsid w:val="00FC6DC4"/>
    <w:rsid w:val="00FC6E30"/>
    <w:rsid w:val="00FC6E5D"/>
    <w:rsid w:val="00FC6E65"/>
    <w:rsid w:val="00FC6E70"/>
    <w:rsid w:val="00FC6E77"/>
    <w:rsid w:val="00FC6ECB"/>
    <w:rsid w:val="00FC6F11"/>
    <w:rsid w:val="00FC6F58"/>
    <w:rsid w:val="00FC6FD0"/>
    <w:rsid w:val="00FC7076"/>
    <w:rsid w:val="00FC7096"/>
    <w:rsid w:val="00FC70B7"/>
    <w:rsid w:val="00FC7251"/>
    <w:rsid w:val="00FC725F"/>
    <w:rsid w:val="00FC7305"/>
    <w:rsid w:val="00FC733B"/>
    <w:rsid w:val="00FC7347"/>
    <w:rsid w:val="00FC734E"/>
    <w:rsid w:val="00FC7359"/>
    <w:rsid w:val="00FC739D"/>
    <w:rsid w:val="00FC73C1"/>
    <w:rsid w:val="00FC7457"/>
    <w:rsid w:val="00FC7499"/>
    <w:rsid w:val="00FC754C"/>
    <w:rsid w:val="00FC769B"/>
    <w:rsid w:val="00FC76C8"/>
    <w:rsid w:val="00FC770B"/>
    <w:rsid w:val="00FC77E6"/>
    <w:rsid w:val="00FC782C"/>
    <w:rsid w:val="00FC787F"/>
    <w:rsid w:val="00FC78D6"/>
    <w:rsid w:val="00FC791D"/>
    <w:rsid w:val="00FC7B51"/>
    <w:rsid w:val="00FC7BDE"/>
    <w:rsid w:val="00FC7BE5"/>
    <w:rsid w:val="00FC7C2F"/>
    <w:rsid w:val="00FC7C54"/>
    <w:rsid w:val="00FC7CA4"/>
    <w:rsid w:val="00FC7CC5"/>
    <w:rsid w:val="00FC7CD7"/>
    <w:rsid w:val="00FC7D1B"/>
    <w:rsid w:val="00FC7D45"/>
    <w:rsid w:val="00FC7DEA"/>
    <w:rsid w:val="00FC7ECD"/>
    <w:rsid w:val="00FC7F7D"/>
    <w:rsid w:val="00FC7FE0"/>
    <w:rsid w:val="00FD007F"/>
    <w:rsid w:val="00FD0168"/>
    <w:rsid w:val="00FD01EB"/>
    <w:rsid w:val="00FD0202"/>
    <w:rsid w:val="00FD0251"/>
    <w:rsid w:val="00FD02F5"/>
    <w:rsid w:val="00FD0336"/>
    <w:rsid w:val="00FD0378"/>
    <w:rsid w:val="00FD03AA"/>
    <w:rsid w:val="00FD03C1"/>
    <w:rsid w:val="00FD04B7"/>
    <w:rsid w:val="00FD04E8"/>
    <w:rsid w:val="00FD0513"/>
    <w:rsid w:val="00FD052E"/>
    <w:rsid w:val="00FD0550"/>
    <w:rsid w:val="00FD0576"/>
    <w:rsid w:val="00FD05FE"/>
    <w:rsid w:val="00FD0643"/>
    <w:rsid w:val="00FD0663"/>
    <w:rsid w:val="00FD06A4"/>
    <w:rsid w:val="00FD06C5"/>
    <w:rsid w:val="00FD06E7"/>
    <w:rsid w:val="00FD070E"/>
    <w:rsid w:val="00FD0734"/>
    <w:rsid w:val="00FD0755"/>
    <w:rsid w:val="00FD075F"/>
    <w:rsid w:val="00FD07A1"/>
    <w:rsid w:val="00FD07AE"/>
    <w:rsid w:val="00FD07BF"/>
    <w:rsid w:val="00FD08B1"/>
    <w:rsid w:val="00FD098E"/>
    <w:rsid w:val="00FD09BA"/>
    <w:rsid w:val="00FD0B8C"/>
    <w:rsid w:val="00FD0C06"/>
    <w:rsid w:val="00FD0C9A"/>
    <w:rsid w:val="00FD0CED"/>
    <w:rsid w:val="00FD0D8E"/>
    <w:rsid w:val="00FD0DA5"/>
    <w:rsid w:val="00FD0E3F"/>
    <w:rsid w:val="00FD0E8F"/>
    <w:rsid w:val="00FD0ECD"/>
    <w:rsid w:val="00FD0EEF"/>
    <w:rsid w:val="00FD0F04"/>
    <w:rsid w:val="00FD1049"/>
    <w:rsid w:val="00FD116E"/>
    <w:rsid w:val="00FD117C"/>
    <w:rsid w:val="00FD11D9"/>
    <w:rsid w:val="00FD1222"/>
    <w:rsid w:val="00FD127A"/>
    <w:rsid w:val="00FD127E"/>
    <w:rsid w:val="00FD1296"/>
    <w:rsid w:val="00FD12A1"/>
    <w:rsid w:val="00FD12C4"/>
    <w:rsid w:val="00FD137B"/>
    <w:rsid w:val="00FD1401"/>
    <w:rsid w:val="00FD14A6"/>
    <w:rsid w:val="00FD1516"/>
    <w:rsid w:val="00FD15A0"/>
    <w:rsid w:val="00FD1624"/>
    <w:rsid w:val="00FD164A"/>
    <w:rsid w:val="00FD165A"/>
    <w:rsid w:val="00FD168A"/>
    <w:rsid w:val="00FD16E7"/>
    <w:rsid w:val="00FD178A"/>
    <w:rsid w:val="00FD1883"/>
    <w:rsid w:val="00FD188C"/>
    <w:rsid w:val="00FD18FD"/>
    <w:rsid w:val="00FD1915"/>
    <w:rsid w:val="00FD1965"/>
    <w:rsid w:val="00FD1969"/>
    <w:rsid w:val="00FD1AFD"/>
    <w:rsid w:val="00FD1B33"/>
    <w:rsid w:val="00FD1BB8"/>
    <w:rsid w:val="00FD1D3E"/>
    <w:rsid w:val="00FD1D5F"/>
    <w:rsid w:val="00FD1EB5"/>
    <w:rsid w:val="00FD1EC7"/>
    <w:rsid w:val="00FD1F41"/>
    <w:rsid w:val="00FD1F49"/>
    <w:rsid w:val="00FD1F53"/>
    <w:rsid w:val="00FD1F77"/>
    <w:rsid w:val="00FD1F95"/>
    <w:rsid w:val="00FD2032"/>
    <w:rsid w:val="00FD206A"/>
    <w:rsid w:val="00FD20D0"/>
    <w:rsid w:val="00FD2125"/>
    <w:rsid w:val="00FD21BF"/>
    <w:rsid w:val="00FD21FC"/>
    <w:rsid w:val="00FD2273"/>
    <w:rsid w:val="00FD2283"/>
    <w:rsid w:val="00FD2286"/>
    <w:rsid w:val="00FD22DF"/>
    <w:rsid w:val="00FD22FA"/>
    <w:rsid w:val="00FD23AF"/>
    <w:rsid w:val="00FD23B2"/>
    <w:rsid w:val="00FD2403"/>
    <w:rsid w:val="00FD249C"/>
    <w:rsid w:val="00FD24C4"/>
    <w:rsid w:val="00FD24F9"/>
    <w:rsid w:val="00FD25C0"/>
    <w:rsid w:val="00FD2625"/>
    <w:rsid w:val="00FD2633"/>
    <w:rsid w:val="00FD2668"/>
    <w:rsid w:val="00FD27DD"/>
    <w:rsid w:val="00FD2807"/>
    <w:rsid w:val="00FD2887"/>
    <w:rsid w:val="00FD2915"/>
    <w:rsid w:val="00FD2981"/>
    <w:rsid w:val="00FD2985"/>
    <w:rsid w:val="00FD299E"/>
    <w:rsid w:val="00FD29E3"/>
    <w:rsid w:val="00FD2B55"/>
    <w:rsid w:val="00FD2BF3"/>
    <w:rsid w:val="00FD2C0A"/>
    <w:rsid w:val="00FD2CC7"/>
    <w:rsid w:val="00FD2CEB"/>
    <w:rsid w:val="00FD2CF2"/>
    <w:rsid w:val="00FD2CFC"/>
    <w:rsid w:val="00FD2D03"/>
    <w:rsid w:val="00FD2E99"/>
    <w:rsid w:val="00FD2E9E"/>
    <w:rsid w:val="00FD2EDA"/>
    <w:rsid w:val="00FD2F92"/>
    <w:rsid w:val="00FD2F94"/>
    <w:rsid w:val="00FD2FC2"/>
    <w:rsid w:val="00FD2FEB"/>
    <w:rsid w:val="00FD30D3"/>
    <w:rsid w:val="00FD313C"/>
    <w:rsid w:val="00FD3195"/>
    <w:rsid w:val="00FD31DB"/>
    <w:rsid w:val="00FD323F"/>
    <w:rsid w:val="00FD324C"/>
    <w:rsid w:val="00FD3290"/>
    <w:rsid w:val="00FD32E1"/>
    <w:rsid w:val="00FD3382"/>
    <w:rsid w:val="00FD33B7"/>
    <w:rsid w:val="00FD33C3"/>
    <w:rsid w:val="00FD35EA"/>
    <w:rsid w:val="00FD3693"/>
    <w:rsid w:val="00FD3717"/>
    <w:rsid w:val="00FD3769"/>
    <w:rsid w:val="00FD37FB"/>
    <w:rsid w:val="00FD3847"/>
    <w:rsid w:val="00FD3892"/>
    <w:rsid w:val="00FD3900"/>
    <w:rsid w:val="00FD391F"/>
    <w:rsid w:val="00FD3A0E"/>
    <w:rsid w:val="00FD3AD7"/>
    <w:rsid w:val="00FD3AD9"/>
    <w:rsid w:val="00FD3B29"/>
    <w:rsid w:val="00FD3B58"/>
    <w:rsid w:val="00FD3B9A"/>
    <w:rsid w:val="00FD3C60"/>
    <w:rsid w:val="00FD3C76"/>
    <w:rsid w:val="00FD3C77"/>
    <w:rsid w:val="00FD3CA2"/>
    <w:rsid w:val="00FD3CCD"/>
    <w:rsid w:val="00FD3CDF"/>
    <w:rsid w:val="00FD3D68"/>
    <w:rsid w:val="00FD3E18"/>
    <w:rsid w:val="00FD3ECC"/>
    <w:rsid w:val="00FD3FA0"/>
    <w:rsid w:val="00FD3FCD"/>
    <w:rsid w:val="00FD3FFD"/>
    <w:rsid w:val="00FD405D"/>
    <w:rsid w:val="00FD40D7"/>
    <w:rsid w:val="00FD4171"/>
    <w:rsid w:val="00FD422A"/>
    <w:rsid w:val="00FD4266"/>
    <w:rsid w:val="00FD4286"/>
    <w:rsid w:val="00FD4287"/>
    <w:rsid w:val="00FD42AC"/>
    <w:rsid w:val="00FD4471"/>
    <w:rsid w:val="00FD4479"/>
    <w:rsid w:val="00FD45C5"/>
    <w:rsid w:val="00FD4656"/>
    <w:rsid w:val="00FD4688"/>
    <w:rsid w:val="00FD4717"/>
    <w:rsid w:val="00FD4738"/>
    <w:rsid w:val="00FD479B"/>
    <w:rsid w:val="00FD47A3"/>
    <w:rsid w:val="00FD4863"/>
    <w:rsid w:val="00FD489C"/>
    <w:rsid w:val="00FD494E"/>
    <w:rsid w:val="00FD4966"/>
    <w:rsid w:val="00FD4978"/>
    <w:rsid w:val="00FD497A"/>
    <w:rsid w:val="00FD49D4"/>
    <w:rsid w:val="00FD4A1A"/>
    <w:rsid w:val="00FD4A77"/>
    <w:rsid w:val="00FD4B48"/>
    <w:rsid w:val="00FD4C71"/>
    <w:rsid w:val="00FD4D5E"/>
    <w:rsid w:val="00FD4DCE"/>
    <w:rsid w:val="00FD4DE3"/>
    <w:rsid w:val="00FD4E20"/>
    <w:rsid w:val="00FD4EED"/>
    <w:rsid w:val="00FD4F20"/>
    <w:rsid w:val="00FD4F52"/>
    <w:rsid w:val="00FD4F93"/>
    <w:rsid w:val="00FD4F9A"/>
    <w:rsid w:val="00FD4FE5"/>
    <w:rsid w:val="00FD5037"/>
    <w:rsid w:val="00FD50C8"/>
    <w:rsid w:val="00FD515E"/>
    <w:rsid w:val="00FD5201"/>
    <w:rsid w:val="00FD5250"/>
    <w:rsid w:val="00FD5273"/>
    <w:rsid w:val="00FD52A5"/>
    <w:rsid w:val="00FD5307"/>
    <w:rsid w:val="00FD535A"/>
    <w:rsid w:val="00FD538F"/>
    <w:rsid w:val="00FD53C3"/>
    <w:rsid w:val="00FD542F"/>
    <w:rsid w:val="00FD546B"/>
    <w:rsid w:val="00FD549A"/>
    <w:rsid w:val="00FD5545"/>
    <w:rsid w:val="00FD5580"/>
    <w:rsid w:val="00FD56CE"/>
    <w:rsid w:val="00FD5741"/>
    <w:rsid w:val="00FD576A"/>
    <w:rsid w:val="00FD5777"/>
    <w:rsid w:val="00FD57D1"/>
    <w:rsid w:val="00FD57E5"/>
    <w:rsid w:val="00FD5808"/>
    <w:rsid w:val="00FD5853"/>
    <w:rsid w:val="00FD5879"/>
    <w:rsid w:val="00FD58EC"/>
    <w:rsid w:val="00FD58EE"/>
    <w:rsid w:val="00FD599C"/>
    <w:rsid w:val="00FD59FF"/>
    <w:rsid w:val="00FD5A72"/>
    <w:rsid w:val="00FD5AB4"/>
    <w:rsid w:val="00FD5B7D"/>
    <w:rsid w:val="00FD5B87"/>
    <w:rsid w:val="00FD5BD7"/>
    <w:rsid w:val="00FD5CB6"/>
    <w:rsid w:val="00FD5CDF"/>
    <w:rsid w:val="00FD5D48"/>
    <w:rsid w:val="00FD5D95"/>
    <w:rsid w:val="00FD5DB2"/>
    <w:rsid w:val="00FD5E20"/>
    <w:rsid w:val="00FD5E81"/>
    <w:rsid w:val="00FD5EE1"/>
    <w:rsid w:val="00FD5EFF"/>
    <w:rsid w:val="00FD5F28"/>
    <w:rsid w:val="00FD5F3E"/>
    <w:rsid w:val="00FD5F5C"/>
    <w:rsid w:val="00FD5F7A"/>
    <w:rsid w:val="00FD5F93"/>
    <w:rsid w:val="00FD5FC9"/>
    <w:rsid w:val="00FD5FFC"/>
    <w:rsid w:val="00FD5FFF"/>
    <w:rsid w:val="00FD601B"/>
    <w:rsid w:val="00FD602D"/>
    <w:rsid w:val="00FD60D8"/>
    <w:rsid w:val="00FD61B4"/>
    <w:rsid w:val="00FD626C"/>
    <w:rsid w:val="00FD62B2"/>
    <w:rsid w:val="00FD62B8"/>
    <w:rsid w:val="00FD62D0"/>
    <w:rsid w:val="00FD6303"/>
    <w:rsid w:val="00FD6319"/>
    <w:rsid w:val="00FD6338"/>
    <w:rsid w:val="00FD6383"/>
    <w:rsid w:val="00FD6409"/>
    <w:rsid w:val="00FD6421"/>
    <w:rsid w:val="00FD6583"/>
    <w:rsid w:val="00FD6596"/>
    <w:rsid w:val="00FD65A2"/>
    <w:rsid w:val="00FD65A7"/>
    <w:rsid w:val="00FD6608"/>
    <w:rsid w:val="00FD66BA"/>
    <w:rsid w:val="00FD66CC"/>
    <w:rsid w:val="00FD6748"/>
    <w:rsid w:val="00FD68EA"/>
    <w:rsid w:val="00FD6922"/>
    <w:rsid w:val="00FD6984"/>
    <w:rsid w:val="00FD699E"/>
    <w:rsid w:val="00FD69C2"/>
    <w:rsid w:val="00FD6ADE"/>
    <w:rsid w:val="00FD6B44"/>
    <w:rsid w:val="00FD6BCA"/>
    <w:rsid w:val="00FD6C3B"/>
    <w:rsid w:val="00FD6C54"/>
    <w:rsid w:val="00FD6C5C"/>
    <w:rsid w:val="00FD6C9D"/>
    <w:rsid w:val="00FD6CE1"/>
    <w:rsid w:val="00FD6D70"/>
    <w:rsid w:val="00FD6D85"/>
    <w:rsid w:val="00FD6E2F"/>
    <w:rsid w:val="00FD6EF9"/>
    <w:rsid w:val="00FD6FEF"/>
    <w:rsid w:val="00FD7084"/>
    <w:rsid w:val="00FD70DB"/>
    <w:rsid w:val="00FD70E7"/>
    <w:rsid w:val="00FD715F"/>
    <w:rsid w:val="00FD7179"/>
    <w:rsid w:val="00FD71B7"/>
    <w:rsid w:val="00FD71B9"/>
    <w:rsid w:val="00FD71ED"/>
    <w:rsid w:val="00FD726C"/>
    <w:rsid w:val="00FD7351"/>
    <w:rsid w:val="00FD7377"/>
    <w:rsid w:val="00FD7390"/>
    <w:rsid w:val="00FD739D"/>
    <w:rsid w:val="00FD73A9"/>
    <w:rsid w:val="00FD73DC"/>
    <w:rsid w:val="00FD7404"/>
    <w:rsid w:val="00FD7448"/>
    <w:rsid w:val="00FD7490"/>
    <w:rsid w:val="00FD7585"/>
    <w:rsid w:val="00FD75B6"/>
    <w:rsid w:val="00FD7605"/>
    <w:rsid w:val="00FD7636"/>
    <w:rsid w:val="00FD7693"/>
    <w:rsid w:val="00FD76BF"/>
    <w:rsid w:val="00FD774C"/>
    <w:rsid w:val="00FD77CF"/>
    <w:rsid w:val="00FD78A9"/>
    <w:rsid w:val="00FD78B6"/>
    <w:rsid w:val="00FD7912"/>
    <w:rsid w:val="00FD7921"/>
    <w:rsid w:val="00FD7969"/>
    <w:rsid w:val="00FD79D3"/>
    <w:rsid w:val="00FD7A7B"/>
    <w:rsid w:val="00FD7ACC"/>
    <w:rsid w:val="00FD7B1E"/>
    <w:rsid w:val="00FD7B46"/>
    <w:rsid w:val="00FD7B67"/>
    <w:rsid w:val="00FD7B6E"/>
    <w:rsid w:val="00FD7B7B"/>
    <w:rsid w:val="00FD7B7D"/>
    <w:rsid w:val="00FD7BC8"/>
    <w:rsid w:val="00FD7C01"/>
    <w:rsid w:val="00FD7C44"/>
    <w:rsid w:val="00FD7DD1"/>
    <w:rsid w:val="00FD7EAB"/>
    <w:rsid w:val="00FD7EFE"/>
    <w:rsid w:val="00FD7F06"/>
    <w:rsid w:val="00FD7F07"/>
    <w:rsid w:val="00FD7F5F"/>
    <w:rsid w:val="00FDAFE0"/>
    <w:rsid w:val="00FE001C"/>
    <w:rsid w:val="00FE0046"/>
    <w:rsid w:val="00FE0051"/>
    <w:rsid w:val="00FE0079"/>
    <w:rsid w:val="00FE00F4"/>
    <w:rsid w:val="00FE00F8"/>
    <w:rsid w:val="00FE0134"/>
    <w:rsid w:val="00FE0148"/>
    <w:rsid w:val="00FE0248"/>
    <w:rsid w:val="00FE03C3"/>
    <w:rsid w:val="00FE047A"/>
    <w:rsid w:val="00FE04AE"/>
    <w:rsid w:val="00FE04B9"/>
    <w:rsid w:val="00FE04C3"/>
    <w:rsid w:val="00FE04C8"/>
    <w:rsid w:val="00FE0510"/>
    <w:rsid w:val="00FE068D"/>
    <w:rsid w:val="00FE06A5"/>
    <w:rsid w:val="00FE077A"/>
    <w:rsid w:val="00FE07B1"/>
    <w:rsid w:val="00FE07DA"/>
    <w:rsid w:val="00FE08D7"/>
    <w:rsid w:val="00FE08F3"/>
    <w:rsid w:val="00FE09B9"/>
    <w:rsid w:val="00FE0A1E"/>
    <w:rsid w:val="00FE0A26"/>
    <w:rsid w:val="00FE0A44"/>
    <w:rsid w:val="00FE0A80"/>
    <w:rsid w:val="00FE0A9A"/>
    <w:rsid w:val="00FE0BA0"/>
    <w:rsid w:val="00FE0BC2"/>
    <w:rsid w:val="00FE0C74"/>
    <w:rsid w:val="00FE0C7C"/>
    <w:rsid w:val="00FE0D8B"/>
    <w:rsid w:val="00FE0DE7"/>
    <w:rsid w:val="00FE0EBC"/>
    <w:rsid w:val="00FE0EBF"/>
    <w:rsid w:val="00FE0F74"/>
    <w:rsid w:val="00FE1022"/>
    <w:rsid w:val="00FE114E"/>
    <w:rsid w:val="00FE1153"/>
    <w:rsid w:val="00FE11A2"/>
    <w:rsid w:val="00FE11BE"/>
    <w:rsid w:val="00FE1225"/>
    <w:rsid w:val="00FE1230"/>
    <w:rsid w:val="00FE123C"/>
    <w:rsid w:val="00FE124B"/>
    <w:rsid w:val="00FE1255"/>
    <w:rsid w:val="00FE125E"/>
    <w:rsid w:val="00FE12C2"/>
    <w:rsid w:val="00FE14A4"/>
    <w:rsid w:val="00FE14B5"/>
    <w:rsid w:val="00FE1612"/>
    <w:rsid w:val="00FE16C2"/>
    <w:rsid w:val="00FE170A"/>
    <w:rsid w:val="00FE18C8"/>
    <w:rsid w:val="00FE18D1"/>
    <w:rsid w:val="00FE18EC"/>
    <w:rsid w:val="00FE1908"/>
    <w:rsid w:val="00FE1918"/>
    <w:rsid w:val="00FE1934"/>
    <w:rsid w:val="00FE19E0"/>
    <w:rsid w:val="00FE19F5"/>
    <w:rsid w:val="00FE19FF"/>
    <w:rsid w:val="00FE1A04"/>
    <w:rsid w:val="00FE1A07"/>
    <w:rsid w:val="00FE1A6C"/>
    <w:rsid w:val="00FE1A7B"/>
    <w:rsid w:val="00FE1B3D"/>
    <w:rsid w:val="00FE1B59"/>
    <w:rsid w:val="00FE1BD3"/>
    <w:rsid w:val="00FE1C95"/>
    <w:rsid w:val="00FE1D4F"/>
    <w:rsid w:val="00FE1D6B"/>
    <w:rsid w:val="00FE1D8E"/>
    <w:rsid w:val="00FE1DA6"/>
    <w:rsid w:val="00FE1E0E"/>
    <w:rsid w:val="00FE1E63"/>
    <w:rsid w:val="00FE1E6D"/>
    <w:rsid w:val="00FE1E86"/>
    <w:rsid w:val="00FE1EDA"/>
    <w:rsid w:val="00FE1EFA"/>
    <w:rsid w:val="00FE1F47"/>
    <w:rsid w:val="00FE1F7E"/>
    <w:rsid w:val="00FE1FEA"/>
    <w:rsid w:val="00FE20C4"/>
    <w:rsid w:val="00FE215A"/>
    <w:rsid w:val="00FE2200"/>
    <w:rsid w:val="00FE22B1"/>
    <w:rsid w:val="00FE22E9"/>
    <w:rsid w:val="00FE22F1"/>
    <w:rsid w:val="00FE23CA"/>
    <w:rsid w:val="00FE23E4"/>
    <w:rsid w:val="00FE2494"/>
    <w:rsid w:val="00FE24AD"/>
    <w:rsid w:val="00FE24E0"/>
    <w:rsid w:val="00FE24E3"/>
    <w:rsid w:val="00FE2508"/>
    <w:rsid w:val="00FE2561"/>
    <w:rsid w:val="00FE2646"/>
    <w:rsid w:val="00FE26B3"/>
    <w:rsid w:val="00FE26BE"/>
    <w:rsid w:val="00FE26FE"/>
    <w:rsid w:val="00FE2707"/>
    <w:rsid w:val="00FE27CE"/>
    <w:rsid w:val="00FE2826"/>
    <w:rsid w:val="00FE28E3"/>
    <w:rsid w:val="00FE29AF"/>
    <w:rsid w:val="00FE29EC"/>
    <w:rsid w:val="00FE2A37"/>
    <w:rsid w:val="00FE2A3B"/>
    <w:rsid w:val="00FE2A4B"/>
    <w:rsid w:val="00FE2A75"/>
    <w:rsid w:val="00FE2A9E"/>
    <w:rsid w:val="00FE2AD1"/>
    <w:rsid w:val="00FE2ADA"/>
    <w:rsid w:val="00FE2B00"/>
    <w:rsid w:val="00FE2B19"/>
    <w:rsid w:val="00FE2B5C"/>
    <w:rsid w:val="00FE2BB8"/>
    <w:rsid w:val="00FE2C1B"/>
    <w:rsid w:val="00FE2C4F"/>
    <w:rsid w:val="00FE2C7F"/>
    <w:rsid w:val="00FE2CDF"/>
    <w:rsid w:val="00FE2CE6"/>
    <w:rsid w:val="00FE2D9F"/>
    <w:rsid w:val="00FE2DC1"/>
    <w:rsid w:val="00FE2E37"/>
    <w:rsid w:val="00FE2E53"/>
    <w:rsid w:val="00FE2EF7"/>
    <w:rsid w:val="00FE2F29"/>
    <w:rsid w:val="00FE2FD4"/>
    <w:rsid w:val="00FE3006"/>
    <w:rsid w:val="00FE3047"/>
    <w:rsid w:val="00FE309C"/>
    <w:rsid w:val="00FE30AB"/>
    <w:rsid w:val="00FE30CD"/>
    <w:rsid w:val="00FE312F"/>
    <w:rsid w:val="00FE3145"/>
    <w:rsid w:val="00FE325F"/>
    <w:rsid w:val="00FE327E"/>
    <w:rsid w:val="00FE3297"/>
    <w:rsid w:val="00FE32D9"/>
    <w:rsid w:val="00FE3336"/>
    <w:rsid w:val="00FE338C"/>
    <w:rsid w:val="00FE33FA"/>
    <w:rsid w:val="00FE34C2"/>
    <w:rsid w:val="00FE34D3"/>
    <w:rsid w:val="00FE3555"/>
    <w:rsid w:val="00FE358C"/>
    <w:rsid w:val="00FE371D"/>
    <w:rsid w:val="00FE3748"/>
    <w:rsid w:val="00FE3749"/>
    <w:rsid w:val="00FE374D"/>
    <w:rsid w:val="00FE3756"/>
    <w:rsid w:val="00FE379C"/>
    <w:rsid w:val="00FE37D7"/>
    <w:rsid w:val="00FE37DB"/>
    <w:rsid w:val="00FE3811"/>
    <w:rsid w:val="00FE38FB"/>
    <w:rsid w:val="00FE395C"/>
    <w:rsid w:val="00FE39A9"/>
    <w:rsid w:val="00FE39E4"/>
    <w:rsid w:val="00FE39FF"/>
    <w:rsid w:val="00FE3A6B"/>
    <w:rsid w:val="00FE3A9B"/>
    <w:rsid w:val="00FE3AD8"/>
    <w:rsid w:val="00FE3AE0"/>
    <w:rsid w:val="00FE3B49"/>
    <w:rsid w:val="00FE3B5E"/>
    <w:rsid w:val="00FE3BEA"/>
    <w:rsid w:val="00FE3C06"/>
    <w:rsid w:val="00FE3C35"/>
    <w:rsid w:val="00FE3C40"/>
    <w:rsid w:val="00FE3C94"/>
    <w:rsid w:val="00FE3C9B"/>
    <w:rsid w:val="00FE3D09"/>
    <w:rsid w:val="00FE3D86"/>
    <w:rsid w:val="00FE3D9A"/>
    <w:rsid w:val="00FE3DDA"/>
    <w:rsid w:val="00FE3DEB"/>
    <w:rsid w:val="00FE3E21"/>
    <w:rsid w:val="00FE3E5A"/>
    <w:rsid w:val="00FE3F2C"/>
    <w:rsid w:val="00FE3F74"/>
    <w:rsid w:val="00FE3FA1"/>
    <w:rsid w:val="00FE40F0"/>
    <w:rsid w:val="00FE42A5"/>
    <w:rsid w:val="00FE42DC"/>
    <w:rsid w:val="00FE4367"/>
    <w:rsid w:val="00FE43D0"/>
    <w:rsid w:val="00FE43DD"/>
    <w:rsid w:val="00FE43F5"/>
    <w:rsid w:val="00FE4402"/>
    <w:rsid w:val="00FE445B"/>
    <w:rsid w:val="00FE448A"/>
    <w:rsid w:val="00FE44C2"/>
    <w:rsid w:val="00FE45F9"/>
    <w:rsid w:val="00FE4630"/>
    <w:rsid w:val="00FE4640"/>
    <w:rsid w:val="00FE4755"/>
    <w:rsid w:val="00FE4781"/>
    <w:rsid w:val="00FE47FC"/>
    <w:rsid w:val="00FE4908"/>
    <w:rsid w:val="00FE4A58"/>
    <w:rsid w:val="00FE4A7B"/>
    <w:rsid w:val="00FE4ACD"/>
    <w:rsid w:val="00FE4AF9"/>
    <w:rsid w:val="00FE4BC1"/>
    <w:rsid w:val="00FE4BC7"/>
    <w:rsid w:val="00FE4C64"/>
    <w:rsid w:val="00FE4C90"/>
    <w:rsid w:val="00FE4D10"/>
    <w:rsid w:val="00FE4D63"/>
    <w:rsid w:val="00FE4DA6"/>
    <w:rsid w:val="00FE4EAD"/>
    <w:rsid w:val="00FE4EEA"/>
    <w:rsid w:val="00FE4F6F"/>
    <w:rsid w:val="00FE4F87"/>
    <w:rsid w:val="00FE5140"/>
    <w:rsid w:val="00FE5238"/>
    <w:rsid w:val="00FE536E"/>
    <w:rsid w:val="00FE5484"/>
    <w:rsid w:val="00FE54A6"/>
    <w:rsid w:val="00FE54AF"/>
    <w:rsid w:val="00FE54E4"/>
    <w:rsid w:val="00FE54F0"/>
    <w:rsid w:val="00FE555B"/>
    <w:rsid w:val="00FE5570"/>
    <w:rsid w:val="00FE56FC"/>
    <w:rsid w:val="00FE57CF"/>
    <w:rsid w:val="00FE58B1"/>
    <w:rsid w:val="00FE59C6"/>
    <w:rsid w:val="00FE59E7"/>
    <w:rsid w:val="00FE5A59"/>
    <w:rsid w:val="00FE5B8F"/>
    <w:rsid w:val="00FE5B9E"/>
    <w:rsid w:val="00FE5C21"/>
    <w:rsid w:val="00FE5C62"/>
    <w:rsid w:val="00FE5CAD"/>
    <w:rsid w:val="00FE5CAF"/>
    <w:rsid w:val="00FE5CC5"/>
    <w:rsid w:val="00FE5DAB"/>
    <w:rsid w:val="00FE5DFD"/>
    <w:rsid w:val="00FE5E40"/>
    <w:rsid w:val="00FE5E8A"/>
    <w:rsid w:val="00FE5EF3"/>
    <w:rsid w:val="00FE5F0F"/>
    <w:rsid w:val="00FE5FEF"/>
    <w:rsid w:val="00FE602C"/>
    <w:rsid w:val="00FE607C"/>
    <w:rsid w:val="00FE60A2"/>
    <w:rsid w:val="00FE60F2"/>
    <w:rsid w:val="00FE6141"/>
    <w:rsid w:val="00FE617C"/>
    <w:rsid w:val="00FE6195"/>
    <w:rsid w:val="00FE61D4"/>
    <w:rsid w:val="00FE6299"/>
    <w:rsid w:val="00FE629F"/>
    <w:rsid w:val="00FE62BF"/>
    <w:rsid w:val="00FE62D8"/>
    <w:rsid w:val="00FE631A"/>
    <w:rsid w:val="00FE639F"/>
    <w:rsid w:val="00FE63B3"/>
    <w:rsid w:val="00FE63D5"/>
    <w:rsid w:val="00FE648B"/>
    <w:rsid w:val="00FE648D"/>
    <w:rsid w:val="00FE6599"/>
    <w:rsid w:val="00FE65CC"/>
    <w:rsid w:val="00FE6679"/>
    <w:rsid w:val="00FE66CC"/>
    <w:rsid w:val="00FE673B"/>
    <w:rsid w:val="00FE6763"/>
    <w:rsid w:val="00FE6772"/>
    <w:rsid w:val="00FE67DD"/>
    <w:rsid w:val="00FE6841"/>
    <w:rsid w:val="00FE68B8"/>
    <w:rsid w:val="00FE68C9"/>
    <w:rsid w:val="00FE690A"/>
    <w:rsid w:val="00FE6919"/>
    <w:rsid w:val="00FE6923"/>
    <w:rsid w:val="00FE693C"/>
    <w:rsid w:val="00FE6946"/>
    <w:rsid w:val="00FE6973"/>
    <w:rsid w:val="00FE69B8"/>
    <w:rsid w:val="00FE69F1"/>
    <w:rsid w:val="00FE6A22"/>
    <w:rsid w:val="00FE6A3D"/>
    <w:rsid w:val="00FE6A96"/>
    <w:rsid w:val="00FE6B27"/>
    <w:rsid w:val="00FE6B3A"/>
    <w:rsid w:val="00FE6B63"/>
    <w:rsid w:val="00FE6B70"/>
    <w:rsid w:val="00FE6CAE"/>
    <w:rsid w:val="00FE6CF4"/>
    <w:rsid w:val="00FE6CFB"/>
    <w:rsid w:val="00FE6E37"/>
    <w:rsid w:val="00FE6EC3"/>
    <w:rsid w:val="00FE6EF3"/>
    <w:rsid w:val="00FE6FA6"/>
    <w:rsid w:val="00FE6FC1"/>
    <w:rsid w:val="00FE6FFD"/>
    <w:rsid w:val="00FE7008"/>
    <w:rsid w:val="00FE7088"/>
    <w:rsid w:val="00FE711D"/>
    <w:rsid w:val="00FE722E"/>
    <w:rsid w:val="00FE72A6"/>
    <w:rsid w:val="00FE72BC"/>
    <w:rsid w:val="00FE72DD"/>
    <w:rsid w:val="00FE73F1"/>
    <w:rsid w:val="00FE73FD"/>
    <w:rsid w:val="00FE7562"/>
    <w:rsid w:val="00FE7572"/>
    <w:rsid w:val="00FE7590"/>
    <w:rsid w:val="00FE75AE"/>
    <w:rsid w:val="00FE75EE"/>
    <w:rsid w:val="00FE762A"/>
    <w:rsid w:val="00FE7634"/>
    <w:rsid w:val="00FE7636"/>
    <w:rsid w:val="00FE7650"/>
    <w:rsid w:val="00FE7669"/>
    <w:rsid w:val="00FE767B"/>
    <w:rsid w:val="00FE76B1"/>
    <w:rsid w:val="00FE76E8"/>
    <w:rsid w:val="00FE7807"/>
    <w:rsid w:val="00FE788B"/>
    <w:rsid w:val="00FE78FE"/>
    <w:rsid w:val="00FE7915"/>
    <w:rsid w:val="00FE792A"/>
    <w:rsid w:val="00FE7A09"/>
    <w:rsid w:val="00FE7A64"/>
    <w:rsid w:val="00FE7A73"/>
    <w:rsid w:val="00FE7A76"/>
    <w:rsid w:val="00FE7AA0"/>
    <w:rsid w:val="00FE7CE7"/>
    <w:rsid w:val="00FE7D9E"/>
    <w:rsid w:val="00FE7DCA"/>
    <w:rsid w:val="00FE7E11"/>
    <w:rsid w:val="00FE7E4A"/>
    <w:rsid w:val="00FE7E92"/>
    <w:rsid w:val="00FE7EA8"/>
    <w:rsid w:val="00FE7EFA"/>
    <w:rsid w:val="00FE7F3A"/>
    <w:rsid w:val="00FE7F6D"/>
    <w:rsid w:val="00FE7FD8"/>
    <w:rsid w:val="00FF0053"/>
    <w:rsid w:val="00FF006A"/>
    <w:rsid w:val="00FF00FE"/>
    <w:rsid w:val="00FF0185"/>
    <w:rsid w:val="00FF019E"/>
    <w:rsid w:val="00FF01DC"/>
    <w:rsid w:val="00FF0286"/>
    <w:rsid w:val="00FF029E"/>
    <w:rsid w:val="00FF02AC"/>
    <w:rsid w:val="00FF02B8"/>
    <w:rsid w:val="00FF02C6"/>
    <w:rsid w:val="00FF0328"/>
    <w:rsid w:val="00FF034D"/>
    <w:rsid w:val="00FF0379"/>
    <w:rsid w:val="00FF0423"/>
    <w:rsid w:val="00FF043B"/>
    <w:rsid w:val="00FF0505"/>
    <w:rsid w:val="00FF052F"/>
    <w:rsid w:val="00FF056A"/>
    <w:rsid w:val="00FF0572"/>
    <w:rsid w:val="00FF05BF"/>
    <w:rsid w:val="00FF0689"/>
    <w:rsid w:val="00FF068A"/>
    <w:rsid w:val="00FF06DE"/>
    <w:rsid w:val="00FF06EB"/>
    <w:rsid w:val="00FF0709"/>
    <w:rsid w:val="00FF073A"/>
    <w:rsid w:val="00FF0787"/>
    <w:rsid w:val="00FF0834"/>
    <w:rsid w:val="00FF0844"/>
    <w:rsid w:val="00FF08A2"/>
    <w:rsid w:val="00FF0936"/>
    <w:rsid w:val="00FF095C"/>
    <w:rsid w:val="00FF0A03"/>
    <w:rsid w:val="00FF0A19"/>
    <w:rsid w:val="00FF0A35"/>
    <w:rsid w:val="00FF0A59"/>
    <w:rsid w:val="00FF0ABE"/>
    <w:rsid w:val="00FF0B90"/>
    <w:rsid w:val="00FF0C6B"/>
    <w:rsid w:val="00FF0C92"/>
    <w:rsid w:val="00FF0DD5"/>
    <w:rsid w:val="00FF0E54"/>
    <w:rsid w:val="00FF0E70"/>
    <w:rsid w:val="00FF0E73"/>
    <w:rsid w:val="00FF0F0A"/>
    <w:rsid w:val="00FF0F6F"/>
    <w:rsid w:val="00FF0FEC"/>
    <w:rsid w:val="00FF1028"/>
    <w:rsid w:val="00FF109D"/>
    <w:rsid w:val="00FF1131"/>
    <w:rsid w:val="00FF1190"/>
    <w:rsid w:val="00FF1264"/>
    <w:rsid w:val="00FF13A0"/>
    <w:rsid w:val="00FF13CA"/>
    <w:rsid w:val="00FF13E4"/>
    <w:rsid w:val="00FF1456"/>
    <w:rsid w:val="00FF14AC"/>
    <w:rsid w:val="00FF14CB"/>
    <w:rsid w:val="00FF1576"/>
    <w:rsid w:val="00FF15B9"/>
    <w:rsid w:val="00FF15DE"/>
    <w:rsid w:val="00FF15EA"/>
    <w:rsid w:val="00FF162B"/>
    <w:rsid w:val="00FF1726"/>
    <w:rsid w:val="00FF1779"/>
    <w:rsid w:val="00FF17C8"/>
    <w:rsid w:val="00FF17ED"/>
    <w:rsid w:val="00FF181B"/>
    <w:rsid w:val="00FF1847"/>
    <w:rsid w:val="00FF184F"/>
    <w:rsid w:val="00FF1891"/>
    <w:rsid w:val="00FF18AB"/>
    <w:rsid w:val="00FF18EA"/>
    <w:rsid w:val="00FF19C3"/>
    <w:rsid w:val="00FF1A79"/>
    <w:rsid w:val="00FF1A92"/>
    <w:rsid w:val="00FF1B8F"/>
    <w:rsid w:val="00FF1BC5"/>
    <w:rsid w:val="00FF1C82"/>
    <w:rsid w:val="00FF1D1D"/>
    <w:rsid w:val="00FF1D3A"/>
    <w:rsid w:val="00FF1E09"/>
    <w:rsid w:val="00FF1E25"/>
    <w:rsid w:val="00FF1F51"/>
    <w:rsid w:val="00FF1FC8"/>
    <w:rsid w:val="00FF203E"/>
    <w:rsid w:val="00FF205F"/>
    <w:rsid w:val="00FF2131"/>
    <w:rsid w:val="00FF221B"/>
    <w:rsid w:val="00FF2264"/>
    <w:rsid w:val="00FF2273"/>
    <w:rsid w:val="00FF2388"/>
    <w:rsid w:val="00FF23AB"/>
    <w:rsid w:val="00FF24D6"/>
    <w:rsid w:val="00FF25A1"/>
    <w:rsid w:val="00FF25F2"/>
    <w:rsid w:val="00FF260C"/>
    <w:rsid w:val="00FF2631"/>
    <w:rsid w:val="00FF263F"/>
    <w:rsid w:val="00FF267A"/>
    <w:rsid w:val="00FF26D2"/>
    <w:rsid w:val="00FF270C"/>
    <w:rsid w:val="00FF2735"/>
    <w:rsid w:val="00FF275D"/>
    <w:rsid w:val="00FF282F"/>
    <w:rsid w:val="00FF28EF"/>
    <w:rsid w:val="00FF29A8"/>
    <w:rsid w:val="00FF2A1D"/>
    <w:rsid w:val="00FF2AA9"/>
    <w:rsid w:val="00FF2B9B"/>
    <w:rsid w:val="00FF2BAD"/>
    <w:rsid w:val="00FF2C9C"/>
    <w:rsid w:val="00FF2D3B"/>
    <w:rsid w:val="00FF2DC4"/>
    <w:rsid w:val="00FF2E5E"/>
    <w:rsid w:val="00FF2E70"/>
    <w:rsid w:val="00FF2EA1"/>
    <w:rsid w:val="00FF2F0A"/>
    <w:rsid w:val="00FF2F35"/>
    <w:rsid w:val="00FF303E"/>
    <w:rsid w:val="00FF3055"/>
    <w:rsid w:val="00FF3062"/>
    <w:rsid w:val="00FF310D"/>
    <w:rsid w:val="00FF315A"/>
    <w:rsid w:val="00FF3174"/>
    <w:rsid w:val="00FF3184"/>
    <w:rsid w:val="00FF31D2"/>
    <w:rsid w:val="00FF325C"/>
    <w:rsid w:val="00FF3265"/>
    <w:rsid w:val="00FF3287"/>
    <w:rsid w:val="00FF32A3"/>
    <w:rsid w:val="00FF335B"/>
    <w:rsid w:val="00FF3395"/>
    <w:rsid w:val="00FF349F"/>
    <w:rsid w:val="00FF3539"/>
    <w:rsid w:val="00FF3578"/>
    <w:rsid w:val="00FF3595"/>
    <w:rsid w:val="00FF36B5"/>
    <w:rsid w:val="00FF3702"/>
    <w:rsid w:val="00FF374F"/>
    <w:rsid w:val="00FF3754"/>
    <w:rsid w:val="00FF3815"/>
    <w:rsid w:val="00FF38B2"/>
    <w:rsid w:val="00FF392E"/>
    <w:rsid w:val="00FF3966"/>
    <w:rsid w:val="00FF3A0D"/>
    <w:rsid w:val="00FF3A24"/>
    <w:rsid w:val="00FF3B1A"/>
    <w:rsid w:val="00FF3B65"/>
    <w:rsid w:val="00FF3BE6"/>
    <w:rsid w:val="00FF3BF0"/>
    <w:rsid w:val="00FF3C82"/>
    <w:rsid w:val="00FF3CE1"/>
    <w:rsid w:val="00FF3DFE"/>
    <w:rsid w:val="00FF3E74"/>
    <w:rsid w:val="00FF3EAE"/>
    <w:rsid w:val="00FF3EF3"/>
    <w:rsid w:val="00FF3F5F"/>
    <w:rsid w:val="00FF3F79"/>
    <w:rsid w:val="00FF3FA5"/>
    <w:rsid w:val="00FF3FAD"/>
    <w:rsid w:val="00FF405D"/>
    <w:rsid w:val="00FF413B"/>
    <w:rsid w:val="00FF4141"/>
    <w:rsid w:val="00FF4178"/>
    <w:rsid w:val="00FF41DD"/>
    <w:rsid w:val="00FF4215"/>
    <w:rsid w:val="00FF4293"/>
    <w:rsid w:val="00FF4297"/>
    <w:rsid w:val="00FF42A8"/>
    <w:rsid w:val="00FF43F5"/>
    <w:rsid w:val="00FF44D3"/>
    <w:rsid w:val="00FF4571"/>
    <w:rsid w:val="00FF4673"/>
    <w:rsid w:val="00FF46AE"/>
    <w:rsid w:val="00FF46D0"/>
    <w:rsid w:val="00FF4749"/>
    <w:rsid w:val="00FF4967"/>
    <w:rsid w:val="00FF49E5"/>
    <w:rsid w:val="00FF4A17"/>
    <w:rsid w:val="00FF4A87"/>
    <w:rsid w:val="00FF4B4C"/>
    <w:rsid w:val="00FF4BB2"/>
    <w:rsid w:val="00FF4BCD"/>
    <w:rsid w:val="00FF4C9F"/>
    <w:rsid w:val="00FF4CA3"/>
    <w:rsid w:val="00FF4D10"/>
    <w:rsid w:val="00FF4D58"/>
    <w:rsid w:val="00FF4D8E"/>
    <w:rsid w:val="00FF4ECE"/>
    <w:rsid w:val="00FF4ED9"/>
    <w:rsid w:val="00FF4F17"/>
    <w:rsid w:val="00FF4F9D"/>
    <w:rsid w:val="00FF5051"/>
    <w:rsid w:val="00FF510B"/>
    <w:rsid w:val="00FF5124"/>
    <w:rsid w:val="00FF5143"/>
    <w:rsid w:val="00FF516F"/>
    <w:rsid w:val="00FF5181"/>
    <w:rsid w:val="00FF521D"/>
    <w:rsid w:val="00FF521F"/>
    <w:rsid w:val="00FF5233"/>
    <w:rsid w:val="00FF5286"/>
    <w:rsid w:val="00FF52E3"/>
    <w:rsid w:val="00FF52FD"/>
    <w:rsid w:val="00FF5349"/>
    <w:rsid w:val="00FF5379"/>
    <w:rsid w:val="00FF53CA"/>
    <w:rsid w:val="00FF53CD"/>
    <w:rsid w:val="00FF53DE"/>
    <w:rsid w:val="00FF5427"/>
    <w:rsid w:val="00FF547E"/>
    <w:rsid w:val="00FF5481"/>
    <w:rsid w:val="00FF54CC"/>
    <w:rsid w:val="00FF54F4"/>
    <w:rsid w:val="00FF5538"/>
    <w:rsid w:val="00FF5561"/>
    <w:rsid w:val="00FF5568"/>
    <w:rsid w:val="00FF55C4"/>
    <w:rsid w:val="00FF5625"/>
    <w:rsid w:val="00FF564D"/>
    <w:rsid w:val="00FF56B0"/>
    <w:rsid w:val="00FF5739"/>
    <w:rsid w:val="00FF574E"/>
    <w:rsid w:val="00FF5767"/>
    <w:rsid w:val="00FF5842"/>
    <w:rsid w:val="00FF5876"/>
    <w:rsid w:val="00FF5953"/>
    <w:rsid w:val="00FF5974"/>
    <w:rsid w:val="00FF5A0D"/>
    <w:rsid w:val="00FF5A37"/>
    <w:rsid w:val="00FF5A77"/>
    <w:rsid w:val="00FF5ACB"/>
    <w:rsid w:val="00FF5B25"/>
    <w:rsid w:val="00FF5BB1"/>
    <w:rsid w:val="00FF5BB8"/>
    <w:rsid w:val="00FF5C4B"/>
    <w:rsid w:val="00FF5C80"/>
    <w:rsid w:val="00FF5CB5"/>
    <w:rsid w:val="00FF5CBF"/>
    <w:rsid w:val="00FF5CE9"/>
    <w:rsid w:val="00FF5D54"/>
    <w:rsid w:val="00FF5D5F"/>
    <w:rsid w:val="00FF5DA6"/>
    <w:rsid w:val="00FF5DBE"/>
    <w:rsid w:val="00FF5DDA"/>
    <w:rsid w:val="00FF5DE3"/>
    <w:rsid w:val="00FF5DFA"/>
    <w:rsid w:val="00FF5EFB"/>
    <w:rsid w:val="00FF5F17"/>
    <w:rsid w:val="00FF5F26"/>
    <w:rsid w:val="00FF5FC5"/>
    <w:rsid w:val="00FF5FE1"/>
    <w:rsid w:val="00FF6036"/>
    <w:rsid w:val="00FF60FA"/>
    <w:rsid w:val="00FF6106"/>
    <w:rsid w:val="00FF61DB"/>
    <w:rsid w:val="00FF61E2"/>
    <w:rsid w:val="00FF61E9"/>
    <w:rsid w:val="00FF620F"/>
    <w:rsid w:val="00FF628B"/>
    <w:rsid w:val="00FF635E"/>
    <w:rsid w:val="00FF63A2"/>
    <w:rsid w:val="00FF63D4"/>
    <w:rsid w:val="00FF63FB"/>
    <w:rsid w:val="00FF6428"/>
    <w:rsid w:val="00FF6465"/>
    <w:rsid w:val="00FF648D"/>
    <w:rsid w:val="00FF6490"/>
    <w:rsid w:val="00FF64C6"/>
    <w:rsid w:val="00FF6502"/>
    <w:rsid w:val="00FF6532"/>
    <w:rsid w:val="00FF655A"/>
    <w:rsid w:val="00FF6591"/>
    <w:rsid w:val="00FF6594"/>
    <w:rsid w:val="00FF65B6"/>
    <w:rsid w:val="00FF6656"/>
    <w:rsid w:val="00FF6658"/>
    <w:rsid w:val="00FF6674"/>
    <w:rsid w:val="00FF6678"/>
    <w:rsid w:val="00FF66B7"/>
    <w:rsid w:val="00FF6721"/>
    <w:rsid w:val="00FF6759"/>
    <w:rsid w:val="00FF6792"/>
    <w:rsid w:val="00FF6828"/>
    <w:rsid w:val="00FF6854"/>
    <w:rsid w:val="00FF68EB"/>
    <w:rsid w:val="00FF6900"/>
    <w:rsid w:val="00FF691F"/>
    <w:rsid w:val="00FF6956"/>
    <w:rsid w:val="00FF695E"/>
    <w:rsid w:val="00FF69C4"/>
    <w:rsid w:val="00FF69CB"/>
    <w:rsid w:val="00FF6A4C"/>
    <w:rsid w:val="00FF6A54"/>
    <w:rsid w:val="00FF6A55"/>
    <w:rsid w:val="00FF6A63"/>
    <w:rsid w:val="00FF6A7F"/>
    <w:rsid w:val="00FF6AC1"/>
    <w:rsid w:val="00FF6AE3"/>
    <w:rsid w:val="00FF6B20"/>
    <w:rsid w:val="00FF6B38"/>
    <w:rsid w:val="00FF6B82"/>
    <w:rsid w:val="00FF6C20"/>
    <w:rsid w:val="00FF6C21"/>
    <w:rsid w:val="00FF6CB5"/>
    <w:rsid w:val="00FF6CEF"/>
    <w:rsid w:val="00FF6CFE"/>
    <w:rsid w:val="00FF6D05"/>
    <w:rsid w:val="00FF6D56"/>
    <w:rsid w:val="00FF6D72"/>
    <w:rsid w:val="00FF6DAD"/>
    <w:rsid w:val="00FF6DD0"/>
    <w:rsid w:val="00FF6E06"/>
    <w:rsid w:val="00FF6E1D"/>
    <w:rsid w:val="00FF6E2B"/>
    <w:rsid w:val="00FF6E53"/>
    <w:rsid w:val="00FF6E75"/>
    <w:rsid w:val="00FF6E9C"/>
    <w:rsid w:val="00FF6EC2"/>
    <w:rsid w:val="00FF6F11"/>
    <w:rsid w:val="00FF6F2E"/>
    <w:rsid w:val="00FF6FD5"/>
    <w:rsid w:val="00FF6FF2"/>
    <w:rsid w:val="00FF7010"/>
    <w:rsid w:val="00FF709E"/>
    <w:rsid w:val="00FF70AE"/>
    <w:rsid w:val="00FF70E2"/>
    <w:rsid w:val="00FF70FF"/>
    <w:rsid w:val="00FF71A5"/>
    <w:rsid w:val="00FF71BB"/>
    <w:rsid w:val="00FF71BC"/>
    <w:rsid w:val="00FF71DA"/>
    <w:rsid w:val="00FF7206"/>
    <w:rsid w:val="00FF72FF"/>
    <w:rsid w:val="00FF7355"/>
    <w:rsid w:val="00FF7380"/>
    <w:rsid w:val="00FF7381"/>
    <w:rsid w:val="00FF73DF"/>
    <w:rsid w:val="00FF73EE"/>
    <w:rsid w:val="00FF7468"/>
    <w:rsid w:val="00FF759F"/>
    <w:rsid w:val="00FF7604"/>
    <w:rsid w:val="00FF7620"/>
    <w:rsid w:val="00FF7699"/>
    <w:rsid w:val="00FF7763"/>
    <w:rsid w:val="00FF77F5"/>
    <w:rsid w:val="00FF7814"/>
    <w:rsid w:val="00FF784C"/>
    <w:rsid w:val="00FF795A"/>
    <w:rsid w:val="00FF79B0"/>
    <w:rsid w:val="00FF7AC6"/>
    <w:rsid w:val="00FF7AE0"/>
    <w:rsid w:val="00FF7AEE"/>
    <w:rsid w:val="00FF7B54"/>
    <w:rsid w:val="00FF7BBA"/>
    <w:rsid w:val="00FF7C03"/>
    <w:rsid w:val="00FF7C08"/>
    <w:rsid w:val="00FF7C19"/>
    <w:rsid w:val="00FF7CB2"/>
    <w:rsid w:val="00FF7D35"/>
    <w:rsid w:val="00FF7D61"/>
    <w:rsid w:val="00FF7E01"/>
    <w:rsid w:val="00FF7E58"/>
    <w:rsid w:val="00FF7E9F"/>
    <w:rsid w:val="00FF7EA3"/>
    <w:rsid w:val="00FF7EF5"/>
    <w:rsid w:val="00FF7EF6"/>
    <w:rsid w:val="00FF7F09"/>
    <w:rsid w:val="00FF7F2E"/>
    <w:rsid w:val="00FF7FB1"/>
    <w:rsid w:val="011712B8"/>
    <w:rsid w:val="0119BDE6"/>
    <w:rsid w:val="01284461"/>
    <w:rsid w:val="01329B12"/>
    <w:rsid w:val="013380C3"/>
    <w:rsid w:val="013500BA"/>
    <w:rsid w:val="01456219"/>
    <w:rsid w:val="01671E60"/>
    <w:rsid w:val="01A191A8"/>
    <w:rsid w:val="01AB7438"/>
    <w:rsid w:val="01B22C15"/>
    <w:rsid w:val="01BBF286"/>
    <w:rsid w:val="01BD8714"/>
    <w:rsid w:val="01CE3646"/>
    <w:rsid w:val="01CED78D"/>
    <w:rsid w:val="01DAE8BD"/>
    <w:rsid w:val="01E0786E"/>
    <w:rsid w:val="01E3E8DE"/>
    <w:rsid w:val="01FED040"/>
    <w:rsid w:val="02204F69"/>
    <w:rsid w:val="023AD9DD"/>
    <w:rsid w:val="0253CC4F"/>
    <w:rsid w:val="026C49FC"/>
    <w:rsid w:val="0270712E"/>
    <w:rsid w:val="027C0B53"/>
    <w:rsid w:val="02B5C3AA"/>
    <w:rsid w:val="02B8AFC2"/>
    <w:rsid w:val="02BC788D"/>
    <w:rsid w:val="02BD6E14"/>
    <w:rsid w:val="02D007A1"/>
    <w:rsid w:val="02D2FABB"/>
    <w:rsid w:val="02E93FFA"/>
    <w:rsid w:val="02EC0126"/>
    <w:rsid w:val="02F1F398"/>
    <w:rsid w:val="02FF90A5"/>
    <w:rsid w:val="02FFD6BA"/>
    <w:rsid w:val="0307C91F"/>
    <w:rsid w:val="03128A41"/>
    <w:rsid w:val="03149AAD"/>
    <w:rsid w:val="032C2D9D"/>
    <w:rsid w:val="034DA5A5"/>
    <w:rsid w:val="0359390D"/>
    <w:rsid w:val="035EF621"/>
    <w:rsid w:val="037D467D"/>
    <w:rsid w:val="03AF37C2"/>
    <w:rsid w:val="03CE0FE9"/>
    <w:rsid w:val="03D174FC"/>
    <w:rsid w:val="03D271F5"/>
    <w:rsid w:val="041DA638"/>
    <w:rsid w:val="041F86EA"/>
    <w:rsid w:val="044FB2F4"/>
    <w:rsid w:val="04575FC3"/>
    <w:rsid w:val="046F5D18"/>
    <w:rsid w:val="048EED64"/>
    <w:rsid w:val="04A703D1"/>
    <w:rsid w:val="04ACE73B"/>
    <w:rsid w:val="04B70A2E"/>
    <w:rsid w:val="04C2A417"/>
    <w:rsid w:val="04C54B2B"/>
    <w:rsid w:val="04C95687"/>
    <w:rsid w:val="04D2995C"/>
    <w:rsid w:val="04E25909"/>
    <w:rsid w:val="04E32E98"/>
    <w:rsid w:val="04F1319E"/>
    <w:rsid w:val="050859D3"/>
    <w:rsid w:val="0521300B"/>
    <w:rsid w:val="0524914A"/>
    <w:rsid w:val="0527BD51"/>
    <w:rsid w:val="052B2BDB"/>
    <w:rsid w:val="05333B0C"/>
    <w:rsid w:val="053C2575"/>
    <w:rsid w:val="053D149E"/>
    <w:rsid w:val="056ADC69"/>
    <w:rsid w:val="056FB996"/>
    <w:rsid w:val="05855377"/>
    <w:rsid w:val="058BF8E1"/>
    <w:rsid w:val="05977541"/>
    <w:rsid w:val="059B14E4"/>
    <w:rsid w:val="059BA73A"/>
    <w:rsid w:val="05A5B785"/>
    <w:rsid w:val="05B49577"/>
    <w:rsid w:val="05BB19A5"/>
    <w:rsid w:val="05C1AAAE"/>
    <w:rsid w:val="05DBA862"/>
    <w:rsid w:val="05EC2A0B"/>
    <w:rsid w:val="05EE2348"/>
    <w:rsid w:val="060C79FD"/>
    <w:rsid w:val="0628C46F"/>
    <w:rsid w:val="0636CBDE"/>
    <w:rsid w:val="06382723"/>
    <w:rsid w:val="064F9693"/>
    <w:rsid w:val="06550A9D"/>
    <w:rsid w:val="065DDDEF"/>
    <w:rsid w:val="066090AA"/>
    <w:rsid w:val="067B2B52"/>
    <w:rsid w:val="0680F903"/>
    <w:rsid w:val="06A6D5BF"/>
    <w:rsid w:val="06B814D3"/>
    <w:rsid w:val="06BA6052"/>
    <w:rsid w:val="06C991F4"/>
    <w:rsid w:val="06D2945E"/>
    <w:rsid w:val="06EB17A9"/>
    <w:rsid w:val="06FAB2A6"/>
    <w:rsid w:val="0700F781"/>
    <w:rsid w:val="07088DC4"/>
    <w:rsid w:val="0711F1AB"/>
    <w:rsid w:val="072C5582"/>
    <w:rsid w:val="072FACBE"/>
    <w:rsid w:val="0731F9A9"/>
    <w:rsid w:val="0733AA44"/>
    <w:rsid w:val="0753A5D1"/>
    <w:rsid w:val="07614488"/>
    <w:rsid w:val="076E41AA"/>
    <w:rsid w:val="07934224"/>
    <w:rsid w:val="079BBC79"/>
    <w:rsid w:val="07AD0FBA"/>
    <w:rsid w:val="07AE1A4F"/>
    <w:rsid w:val="07B2CB47"/>
    <w:rsid w:val="07CE2E77"/>
    <w:rsid w:val="07DF4487"/>
    <w:rsid w:val="07E2E716"/>
    <w:rsid w:val="07E905B5"/>
    <w:rsid w:val="07ED7B45"/>
    <w:rsid w:val="08113F67"/>
    <w:rsid w:val="08185826"/>
    <w:rsid w:val="0823789C"/>
    <w:rsid w:val="0829B53A"/>
    <w:rsid w:val="082F28A4"/>
    <w:rsid w:val="0834AF87"/>
    <w:rsid w:val="083DC1A6"/>
    <w:rsid w:val="08466406"/>
    <w:rsid w:val="0858EE31"/>
    <w:rsid w:val="085EFA7F"/>
    <w:rsid w:val="0860C6BC"/>
    <w:rsid w:val="0871D83D"/>
    <w:rsid w:val="0883AFDC"/>
    <w:rsid w:val="08873F74"/>
    <w:rsid w:val="088A7A5B"/>
    <w:rsid w:val="08A974BE"/>
    <w:rsid w:val="08AD0784"/>
    <w:rsid w:val="08B69502"/>
    <w:rsid w:val="08C69607"/>
    <w:rsid w:val="08D8C8F9"/>
    <w:rsid w:val="090DDD86"/>
    <w:rsid w:val="0911147F"/>
    <w:rsid w:val="09143EC8"/>
    <w:rsid w:val="0919A2FA"/>
    <w:rsid w:val="092559BE"/>
    <w:rsid w:val="093D900B"/>
    <w:rsid w:val="09407584"/>
    <w:rsid w:val="094CA05C"/>
    <w:rsid w:val="094E82B7"/>
    <w:rsid w:val="09522BE7"/>
    <w:rsid w:val="09539786"/>
    <w:rsid w:val="095DC0B9"/>
    <w:rsid w:val="09681740"/>
    <w:rsid w:val="0993CD71"/>
    <w:rsid w:val="09A1CD29"/>
    <w:rsid w:val="09D64EF9"/>
    <w:rsid w:val="09E4A57D"/>
    <w:rsid w:val="09ED41AC"/>
    <w:rsid w:val="09FE371A"/>
    <w:rsid w:val="0A0F24FB"/>
    <w:rsid w:val="0A1B9D24"/>
    <w:rsid w:val="0A1EA84B"/>
    <w:rsid w:val="0A2442BB"/>
    <w:rsid w:val="0A268C58"/>
    <w:rsid w:val="0A28ADC6"/>
    <w:rsid w:val="0A313602"/>
    <w:rsid w:val="0A379571"/>
    <w:rsid w:val="0A3BE20A"/>
    <w:rsid w:val="0A57EAD1"/>
    <w:rsid w:val="0A5F9FCB"/>
    <w:rsid w:val="0A696BF5"/>
    <w:rsid w:val="0A760098"/>
    <w:rsid w:val="0A9A3715"/>
    <w:rsid w:val="0AA638E4"/>
    <w:rsid w:val="0ACEAA2D"/>
    <w:rsid w:val="0AE3D086"/>
    <w:rsid w:val="0AE4375E"/>
    <w:rsid w:val="0B253675"/>
    <w:rsid w:val="0B2579D2"/>
    <w:rsid w:val="0B3CC522"/>
    <w:rsid w:val="0B4BFFB0"/>
    <w:rsid w:val="0B5D1C3B"/>
    <w:rsid w:val="0B646ED3"/>
    <w:rsid w:val="0B7073C5"/>
    <w:rsid w:val="0B72BC87"/>
    <w:rsid w:val="0B8CC6A2"/>
    <w:rsid w:val="0B9A11F0"/>
    <w:rsid w:val="0BA01FEF"/>
    <w:rsid w:val="0BA47FE9"/>
    <w:rsid w:val="0BA84D01"/>
    <w:rsid w:val="0BAAA2A7"/>
    <w:rsid w:val="0BB28889"/>
    <w:rsid w:val="0BB717E2"/>
    <w:rsid w:val="0BDAD1D3"/>
    <w:rsid w:val="0BE33BA3"/>
    <w:rsid w:val="0BF3BAA3"/>
    <w:rsid w:val="0C0DD5DB"/>
    <w:rsid w:val="0C204A85"/>
    <w:rsid w:val="0C2F5CB0"/>
    <w:rsid w:val="0C3C2C36"/>
    <w:rsid w:val="0C4662D4"/>
    <w:rsid w:val="0C579234"/>
    <w:rsid w:val="0C7131D4"/>
    <w:rsid w:val="0C83C0B6"/>
    <w:rsid w:val="0C8E5878"/>
    <w:rsid w:val="0C996174"/>
    <w:rsid w:val="0CA4ADFD"/>
    <w:rsid w:val="0CB318D5"/>
    <w:rsid w:val="0CC4A81C"/>
    <w:rsid w:val="0CC57162"/>
    <w:rsid w:val="0CD8CF49"/>
    <w:rsid w:val="0CF13DAE"/>
    <w:rsid w:val="0CF571A0"/>
    <w:rsid w:val="0D054287"/>
    <w:rsid w:val="0D23F1EE"/>
    <w:rsid w:val="0D297935"/>
    <w:rsid w:val="0D3D2D5E"/>
    <w:rsid w:val="0D436880"/>
    <w:rsid w:val="0D446CDC"/>
    <w:rsid w:val="0D56C653"/>
    <w:rsid w:val="0D5C1275"/>
    <w:rsid w:val="0D5DE372"/>
    <w:rsid w:val="0D65FB1A"/>
    <w:rsid w:val="0D733FDD"/>
    <w:rsid w:val="0D8305D8"/>
    <w:rsid w:val="0D8335BE"/>
    <w:rsid w:val="0D86831F"/>
    <w:rsid w:val="0D880D3A"/>
    <w:rsid w:val="0D8D2271"/>
    <w:rsid w:val="0D947380"/>
    <w:rsid w:val="0D97FC56"/>
    <w:rsid w:val="0DA2F19F"/>
    <w:rsid w:val="0DAEDDFF"/>
    <w:rsid w:val="0DB90235"/>
    <w:rsid w:val="0DC90AD8"/>
    <w:rsid w:val="0DD7FC97"/>
    <w:rsid w:val="0DE766CD"/>
    <w:rsid w:val="0DF56568"/>
    <w:rsid w:val="0E08D46D"/>
    <w:rsid w:val="0E1099A6"/>
    <w:rsid w:val="0E15590E"/>
    <w:rsid w:val="0E1C7C00"/>
    <w:rsid w:val="0E255963"/>
    <w:rsid w:val="0E3A88FB"/>
    <w:rsid w:val="0E459BEF"/>
    <w:rsid w:val="0E47175C"/>
    <w:rsid w:val="0E4B2EE1"/>
    <w:rsid w:val="0E544016"/>
    <w:rsid w:val="0E791469"/>
    <w:rsid w:val="0E8DBFE7"/>
    <w:rsid w:val="0E9C8DF1"/>
    <w:rsid w:val="0EABD98C"/>
    <w:rsid w:val="0EAD76C9"/>
    <w:rsid w:val="0EB10449"/>
    <w:rsid w:val="0EC50D0B"/>
    <w:rsid w:val="0EDDD720"/>
    <w:rsid w:val="0EE3A055"/>
    <w:rsid w:val="0EE5BAF5"/>
    <w:rsid w:val="0F08DE68"/>
    <w:rsid w:val="0F0DCD38"/>
    <w:rsid w:val="0F1B8DE1"/>
    <w:rsid w:val="0F2B2FF6"/>
    <w:rsid w:val="0F4ACD01"/>
    <w:rsid w:val="0F50D58E"/>
    <w:rsid w:val="0F571450"/>
    <w:rsid w:val="0F7F43DC"/>
    <w:rsid w:val="0F95E066"/>
    <w:rsid w:val="0F9D4ABC"/>
    <w:rsid w:val="0F9DA750"/>
    <w:rsid w:val="0FB5915F"/>
    <w:rsid w:val="0FE0D0A4"/>
    <w:rsid w:val="0FED121F"/>
    <w:rsid w:val="0FEDDBF3"/>
    <w:rsid w:val="0FEF605F"/>
    <w:rsid w:val="0FF6AEC7"/>
    <w:rsid w:val="1003B36D"/>
    <w:rsid w:val="101CE397"/>
    <w:rsid w:val="10337D17"/>
    <w:rsid w:val="1052A4E3"/>
    <w:rsid w:val="10793B7D"/>
    <w:rsid w:val="10A468DC"/>
    <w:rsid w:val="10AF7D3C"/>
    <w:rsid w:val="10B54FAB"/>
    <w:rsid w:val="10B8AA3C"/>
    <w:rsid w:val="10B92297"/>
    <w:rsid w:val="10BF7139"/>
    <w:rsid w:val="10E0EB2B"/>
    <w:rsid w:val="10E6BE5D"/>
    <w:rsid w:val="10F38502"/>
    <w:rsid w:val="10FFCC21"/>
    <w:rsid w:val="11029985"/>
    <w:rsid w:val="1113CA54"/>
    <w:rsid w:val="11321E00"/>
    <w:rsid w:val="11385492"/>
    <w:rsid w:val="114E682B"/>
    <w:rsid w:val="1155AE70"/>
    <w:rsid w:val="115E51D6"/>
    <w:rsid w:val="1166CDEC"/>
    <w:rsid w:val="1168AEE0"/>
    <w:rsid w:val="116D6C36"/>
    <w:rsid w:val="1175F535"/>
    <w:rsid w:val="1177EAEE"/>
    <w:rsid w:val="1184B266"/>
    <w:rsid w:val="11867964"/>
    <w:rsid w:val="11925F63"/>
    <w:rsid w:val="1196FA79"/>
    <w:rsid w:val="119F8581"/>
    <w:rsid w:val="11A01665"/>
    <w:rsid w:val="11A7C8B8"/>
    <w:rsid w:val="11B4FBCA"/>
    <w:rsid w:val="11BA6419"/>
    <w:rsid w:val="11BF7193"/>
    <w:rsid w:val="11D34D8F"/>
    <w:rsid w:val="11DE09F5"/>
    <w:rsid w:val="11DF2A6B"/>
    <w:rsid w:val="11E92186"/>
    <w:rsid w:val="12068D70"/>
    <w:rsid w:val="1210FD5C"/>
    <w:rsid w:val="1225592E"/>
    <w:rsid w:val="1228084F"/>
    <w:rsid w:val="1262FD85"/>
    <w:rsid w:val="12773F93"/>
    <w:rsid w:val="128B2F32"/>
    <w:rsid w:val="129DA985"/>
    <w:rsid w:val="12B05105"/>
    <w:rsid w:val="12CC7A6D"/>
    <w:rsid w:val="12DFDE01"/>
    <w:rsid w:val="12E502F8"/>
    <w:rsid w:val="12F3C6BD"/>
    <w:rsid w:val="13180B78"/>
    <w:rsid w:val="13191C42"/>
    <w:rsid w:val="131A6519"/>
    <w:rsid w:val="13261807"/>
    <w:rsid w:val="133AC481"/>
    <w:rsid w:val="134A8036"/>
    <w:rsid w:val="1352182E"/>
    <w:rsid w:val="135ED523"/>
    <w:rsid w:val="13615962"/>
    <w:rsid w:val="13899EBD"/>
    <w:rsid w:val="138F154A"/>
    <w:rsid w:val="13A05A45"/>
    <w:rsid w:val="13B35348"/>
    <w:rsid w:val="13CBB6EB"/>
    <w:rsid w:val="13DBBC3C"/>
    <w:rsid w:val="13EE86E7"/>
    <w:rsid w:val="14188D41"/>
    <w:rsid w:val="14323A71"/>
    <w:rsid w:val="144386B5"/>
    <w:rsid w:val="144467C7"/>
    <w:rsid w:val="14497DCF"/>
    <w:rsid w:val="144A4A0B"/>
    <w:rsid w:val="145461BC"/>
    <w:rsid w:val="1458BAC8"/>
    <w:rsid w:val="1459CFAB"/>
    <w:rsid w:val="1460DA1A"/>
    <w:rsid w:val="146ACE0A"/>
    <w:rsid w:val="148046D5"/>
    <w:rsid w:val="1485D7B2"/>
    <w:rsid w:val="148B1B4D"/>
    <w:rsid w:val="14970271"/>
    <w:rsid w:val="149FA13D"/>
    <w:rsid w:val="14A43AEC"/>
    <w:rsid w:val="14A9777F"/>
    <w:rsid w:val="14B99D9D"/>
    <w:rsid w:val="14BD412A"/>
    <w:rsid w:val="152F419E"/>
    <w:rsid w:val="1539F3F9"/>
    <w:rsid w:val="1541CBBB"/>
    <w:rsid w:val="154C0F36"/>
    <w:rsid w:val="154D5CDA"/>
    <w:rsid w:val="154EB6EC"/>
    <w:rsid w:val="1552B883"/>
    <w:rsid w:val="155BF548"/>
    <w:rsid w:val="156171C2"/>
    <w:rsid w:val="156ACC16"/>
    <w:rsid w:val="1574FDDD"/>
    <w:rsid w:val="157613BB"/>
    <w:rsid w:val="15884435"/>
    <w:rsid w:val="158D8364"/>
    <w:rsid w:val="159245B3"/>
    <w:rsid w:val="15B35F25"/>
    <w:rsid w:val="15C118C5"/>
    <w:rsid w:val="15F7F5EB"/>
    <w:rsid w:val="1603ADD2"/>
    <w:rsid w:val="162B2BFA"/>
    <w:rsid w:val="16411B64"/>
    <w:rsid w:val="1653B1C0"/>
    <w:rsid w:val="166AE964"/>
    <w:rsid w:val="16862E36"/>
    <w:rsid w:val="16B6B6F7"/>
    <w:rsid w:val="16BBA79F"/>
    <w:rsid w:val="16D4A108"/>
    <w:rsid w:val="16EC91C0"/>
    <w:rsid w:val="170228C6"/>
    <w:rsid w:val="1703E7FE"/>
    <w:rsid w:val="1712EF10"/>
    <w:rsid w:val="17174FFF"/>
    <w:rsid w:val="1717F833"/>
    <w:rsid w:val="17184CA4"/>
    <w:rsid w:val="17326305"/>
    <w:rsid w:val="1735B167"/>
    <w:rsid w:val="17366830"/>
    <w:rsid w:val="173E6311"/>
    <w:rsid w:val="174D0DF4"/>
    <w:rsid w:val="17652976"/>
    <w:rsid w:val="176E4266"/>
    <w:rsid w:val="177A0874"/>
    <w:rsid w:val="177E2AC2"/>
    <w:rsid w:val="17896EA8"/>
    <w:rsid w:val="178DDEC2"/>
    <w:rsid w:val="1797DA8B"/>
    <w:rsid w:val="17AAEC0B"/>
    <w:rsid w:val="17AE3244"/>
    <w:rsid w:val="17B10D41"/>
    <w:rsid w:val="17D3B791"/>
    <w:rsid w:val="17EA004F"/>
    <w:rsid w:val="17EC3FC7"/>
    <w:rsid w:val="1819854D"/>
    <w:rsid w:val="1821C7E3"/>
    <w:rsid w:val="182437C3"/>
    <w:rsid w:val="182E9FFC"/>
    <w:rsid w:val="183EB4EC"/>
    <w:rsid w:val="18518BED"/>
    <w:rsid w:val="185F4D43"/>
    <w:rsid w:val="18622D5C"/>
    <w:rsid w:val="18653AD2"/>
    <w:rsid w:val="186C2847"/>
    <w:rsid w:val="1871147E"/>
    <w:rsid w:val="187C5F5E"/>
    <w:rsid w:val="18889CAC"/>
    <w:rsid w:val="1890258B"/>
    <w:rsid w:val="189520F1"/>
    <w:rsid w:val="189FB8BB"/>
    <w:rsid w:val="18A9B61C"/>
    <w:rsid w:val="18B2219B"/>
    <w:rsid w:val="18C553D8"/>
    <w:rsid w:val="18C8788C"/>
    <w:rsid w:val="18D81534"/>
    <w:rsid w:val="18F6B12D"/>
    <w:rsid w:val="18FD675D"/>
    <w:rsid w:val="18FDDC0B"/>
    <w:rsid w:val="19013DB8"/>
    <w:rsid w:val="192284F3"/>
    <w:rsid w:val="192C76B6"/>
    <w:rsid w:val="1937F2EC"/>
    <w:rsid w:val="1943CD07"/>
    <w:rsid w:val="195FD006"/>
    <w:rsid w:val="1966D744"/>
    <w:rsid w:val="196D6645"/>
    <w:rsid w:val="196F0625"/>
    <w:rsid w:val="1972FA90"/>
    <w:rsid w:val="19874CFC"/>
    <w:rsid w:val="1993D408"/>
    <w:rsid w:val="199A5C24"/>
    <w:rsid w:val="19A71DF5"/>
    <w:rsid w:val="19B53571"/>
    <w:rsid w:val="19C043CF"/>
    <w:rsid w:val="19CF49C5"/>
    <w:rsid w:val="19DAA745"/>
    <w:rsid w:val="19DF7FC8"/>
    <w:rsid w:val="19E28090"/>
    <w:rsid w:val="19F6DF00"/>
    <w:rsid w:val="19FF8072"/>
    <w:rsid w:val="1A08C32B"/>
    <w:rsid w:val="1A0A5532"/>
    <w:rsid w:val="1A0EE2EF"/>
    <w:rsid w:val="1A21087B"/>
    <w:rsid w:val="1A3CBD19"/>
    <w:rsid w:val="1A42078F"/>
    <w:rsid w:val="1A45944A"/>
    <w:rsid w:val="1A51E6E2"/>
    <w:rsid w:val="1A79F50A"/>
    <w:rsid w:val="1A8852D8"/>
    <w:rsid w:val="1AA3B0A5"/>
    <w:rsid w:val="1AD70F0C"/>
    <w:rsid w:val="1ADA8E1A"/>
    <w:rsid w:val="1AE46007"/>
    <w:rsid w:val="1AE5C287"/>
    <w:rsid w:val="1AEFF006"/>
    <w:rsid w:val="1AF8E502"/>
    <w:rsid w:val="1B115E7A"/>
    <w:rsid w:val="1B147F8B"/>
    <w:rsid w:val="1B194501"/>
    <w:rsid w:val="1B23E089"/>
    <w:rsid w:val="1B2FED36"/>
    <w:rsid w:val="1B4DADA8"/>
    <w:rsid w:val="1B5EAB69"/>
    <w:rsid w:val="1B6E4A7B"/>
    <w:rsid w:val="1B7E4118"/>
    <w:rsid w:val="1B84D450"/>
    <w:rsid w:val="1BA6DAD1"/>
    <w:rsid w:val="1BAA6208"/>
    <w:rsid w:val="1BD920AB"/>
    <w:rsid w:val="1BDB441A"/>
    <w:rsid w:val="1C15DAA0"/>
    <w:rsid w:val="1C1C680D"/>
    <w:rsid w:val="1C21B5DA"/>
    <w:rsid w:val="1C27134B"/>
    <w:rsid w:val="1C356A2C"/>
    <w:rsid w:val="1C397F57"/>
    <w:rsid w:val="1C3A0302"/>
    <w:rsid w:val="1C435E7B"/>
    <w:rsid w:val="1C48E813"/>
    <w:rsid w:val="1C558226"/>
    <w:rsid w:val="1C598C5C"/>
    <w:rsid w:val="1C784264"/>
    <w:rsid w:val="1C7CEFA2"/>
    <w:rsid w:val="1C87DB3F"/>
    <w:rsid w:val="1C999546"/>
    <w:rsid w:val="1C9C44A9"/>
    <w:rsid w:val="1C9D3AA0"/>
    <w:rsid w:val="1C9F70E6"/>
    <w:rsid w:val="1CA9EF9E"/>
    <w:rsid w:val="1CB4B451"/>
    <w:rsid w:val="1CB907E1"/>
    <w:rsid w:val="1CBCC101"/>
    <w:rsid w:val="1CC92322"/>
    <w:rsid w:val="1CCB9004"/>
    <w:rsid w:val="1D000C78"/>
    <w:rsid w:val="1D062FAE"/>
    <w:rsid w:val="1D118835"/>
    <w:rsid w:val="1D15DF2A"/>
    <w:rsid w:val="1D39B4C7"/>
    <w:rsid w:val="1D4180C2"/>
    <w:rsid w:val="1D6998D4"/>
    <w:rsid w:val="1D8455E7"/>
    <w:rsid w:val="1D8F9A19"/>
    <w:rsid w:val="1D952381"/>
    <w:rsid w:val="1DA11F49"/>
    <w:rsid w:val="1DB0BADC"/>
    <w:rsid w:val="1DD24B1F"/>
    <w:rsid w:val="1DE57D17"/>
    <w:rsid w:val="1DEAC9FA"/>
    <w:rsid w:val="1DFF168E"/>
    <w:rsid w:val="1DFFAFEF"/>
    <w:rsid w:val="1E10CAFC"/>
    <w:rsid w:val="1E22A57F"/>
    <w:rsid w:val="1E2974FC"/>
    <w:rsid w:val="1E2A294E"/>
    <w:rsid w:val="1E373168"/>
    <w:rsid w:val="1E384EDD"/>
    <w:rsid w:val="1E40CE30"/>
    <w:rsid w:val="1E5944D1"/>
    <w:rsid w:val="1E5A3314"/>
    <w:rsid w:val="1E783AF3"/>
    <w:rsid w:val="1E93AB9A"/>
    <w:rsid w:val="1EA7F593"/>
    <w:rsid w:val="1EC7F97A"/>
    <w:rsid w:val="1EC8BA58"/>
    <w:rsid w:val="1ED71400"/>
    <w:rsid w:val="1ED9130A"/>
    <w:rsid w:val="1EFD4667"/>
    <w:rsid w:val="1F03ACDB"/>
    <w:rsid w:val="1F11E374"/>
    <w:rsid w:val="1F2A9053"/>
    <w:rsid w:val="1F36D036"/>
    <w:rsid w:val="1F4DE47F"/>
    <w:rsid w:val="1F4E8112"/>
    <w:rsid w:val="1F5424F1"/>
    <w:rsid w:val="1F545CA9"/>
    <w:rsid w:val="1F7250E0"/>
    <w:rsid w:val="1F7CC8A0"/>
    <w:rsid w:val="1F7F0620"/>
    <w:rsid w:val="1F8086C6"/>
    <w:rsid w:val="1F90EC9A"/>
    <w:rsid w:val="1FB317CD"/>
    <w:rsid w:val="1FB60B2C"/>
    <w:rsid w:val="1FB8DBC5"/>
    <w:rsid w:val="1FC75C34"/>
    <w:rsid w:val="1FC863E5"/>
    <w:rsid w:val="1FE5599B"/>
    <w:rsid w:val="1FE80AB6"/>
    <w:rsid w:val="1FEB82D2"/>
    <w:rsid w:val="201166E2"/>
    <w:rsid w:val="20387502"/>
    <w:rsid w:val="204C3E5A"/>
    <w:rsid w:val="205E88DA"/>
    <w:rsid w:val="205EE7CF"/>
    <w:rsid w:val="205F4EC0"/>
    <w:rsid w:val="208390C7"/>
    <w:rsid w:val="20941D0E"/>
    <w:rsid w:val="20968287"/>
    <w:rsid w:val="20A91896"/>
    <w:rsid w:val="20AC5F51"/>
    <w:rsid w:val="20B7911E"/>
    <w:rsid w:val="20BD647E"/>
    <w:rsid w:val="20C6B942"/>
    <w:rsid w:val="20DC65FE"/>
    <w:rsid w:val="20F64DE9"/>
    <w:rsid w:val="2118FFBF"/>
    <w:rsid w:val="213036C7"/>
    <w:rsid w:val="213416E3"/>
    <w:rsid w:val="213BBC81"/>
    <w:rsid w:val="21502907"/>
    <w:rsid w:val="21555DEC"/>
    <w:rsid w:val="2163C1A5"/>
    <w:rsid w:val="216E2E02"/>
    <w:rsid w:val="21738175"/>
    <w:rsid w:val="2179C7DA"/>
    <w:rsid w:val="2179F9B0"/>
    <w:rsid w:val="218BA069"/>
    <w:rsid w:val="218BA4A1"/>
    <w:rsid w:val="219B9405"/>
    <w:rsid w:val="219C6524"/>
    <w:rsid w:val="21A736A9"/>
    <w:rsid w:val="21BEC751"/>
    <w:rsid w:val="21C8F2E0"/>
    <w:rsid w:val="21CA4ED3"/>
    <w:rsid w:val="21D7C743"/>
    <w:rsid w:val="21E3B0EB"/>
    <w:rsid w:val="221DB520"/>
    <w:rsid w:val="22299470"/>
    <w:rsid w:val="22656A79"/>
    <w:rsid w:val="226EC649"/>
    <w:rsid w:val="22836AAE"/>
    <w:rsid w:val="22A7E3EA"/>
    <w:rsid w:val="22BB767D"/>
    <w:rsid w:val="22C79A86"/>
    <w:rsid w:val="22ECD421"/>
    <w:rsid w:val="22F20FCF"/>
    <w:rsid w:val="22FDC0F1"/>
    <w:rsid w:val="231506E5"/>
    <w:rsid w:val="231F37D4"/>
    <w:rsid w:val="2321D3DD"/>
    <w:rsid w:val="2336A7CB"/>
    <w:rsid w:val="234535E2"/>
    <w:rsid w:val="235AA58F"/>
    <w:rsid w:val="2361282E"/>
    <w:rsid w:val="239026DD"/>
    <w:rsid w:val="23AF2DFD"/>
    <w:rsid w:val="23B041EB"/>
    <w:rsid w:val="23C1B2CE"/>
    <w:rsid w:val="23E495EF"/>
    <w:rsid w:val="2424E610"/>
    <w:rsid w:val="24337B3B"/>
    <w:rsid w:val="243E7855"/>
    <w:rsid w:val="2446AB66"/>
    <w:rsid w:val="244AF34C"/>
    <w:rsid w:val="246069CF"/>
    <w:rsid w:val="2468D0AC"/>
    <w:rsid w:val="2488FAC8"/>
    <w:rsid w:val="24A2C98F"/>
    <w:rsid w:val="24A3E0B7"/>
    <w:rsid w:val="24AC90AC"/>
    <w:rsid w:val="24AE26C7"/>
    <w:rsid w:val="24B9404C"/>
    <w:rsid w:val="24BCC376"/>
    <w:rsid w:val="24C04E6C"/>
    <w:rsid w:val="24C7ACA5"/>
    <w:rsid w:val="24C99587"/>
    <w:rsid w:val="24CDF5ED"/>
    <w:rsid w:val="24D76BEC"/>
    <w:rsid w:val="24EF5045"/>
    <w:rsid w:val="24EF6352"/>
    <w:rsid w:val="24FEEE26"/>
    <w:rsid w:val="25012CBF"/>
    <w:rsid w:val="251FBD85"/>
    <w:rsid w:val="2532FF4E"/>
    <w:rsid w:val="253E3F5D"/>
    <w:rsid w:val="2558542C"/>
    <w:rsid w:val="25653641"/>
    <w:rsid w:val="2566164D"/>
    <w:rsid w:val="25860814"/>
    <w:rsid w:val="259668F3"/>
    <w:rsid w:val="25ADCF87"/>
    <w:rsid w:val="25B20B76"/>
    <w:rsid w:val="25BABB04"/>
    <w:rsid w:val="25BC03FA"/>
    <w:rsid w:val="25D0F77A"/>
    <w:rsid w:val="25D71BE7"/>
    <w:rsid w:val="25FAD455"/>
    <w:rsid w:val="261AF3CF"/>
    <w:rsid w:val="26253807"/>
    <w:rsid w:val="2631BFD2"/>
    <w:rsid w:val="2636578B"/>
    <w:rsid w:val="26443EEA"/>
    <w:rsid w:val="2644A3AA"/>
    <w:rsid w:val="264C84E2"/>
    <w:rsid w:val="264EE7C1"/>
    <w:rsid w:val="265AFCE0"/>
    <w:rsid w:val="265C1ECD"/>
    <w:rsid w:val="268E660F"/>
    <w:rsid w:val="26A8E206"/>
    <w:rsid w:val="26C027FD"/>
    <w:rsid w:val="26C4B8CF"/>
    <w:rsid w:val="26DE83E8"/>
    <w:rsid w:val="26F5D98D"/>
    <w:rsid w:val="26F78BEC"/>
    <w:rsid w:val="2701663D"/>
    <w:rsid w:val="271194BC"/>
    <w:rsid w:val="2727BFC6"/>
    <w:rsid w:val="272EBF35"/>
    <w:rsid w:val="274D04A0"/>
    <w:rsid w:val="2753F5EF"/>
    <w:rsid w:val="2762C577"/>
    <w:rsid w:val="2773EA9C"/>
    <w:rsid w:val="2777B20C"/>
    <w:rsid w:val="2786473C"/>
    <w:rsid w:val="27871467"/>
    <w:rsid w:val="27966B67"/>
    <w:rsid w:val="279BDA4A"/>
    <w:rsid w:val="27A4961A"/>
    <w:rsid w:val="27B00C1F"/>
    <w:rsid w:val="27BC5CB6"/>
    <w:rsid w:val="27E27ED5"/>
    <w:rsid w:val="27E5BA20"/>
    <w:rsid w:val="281DF02D"/>
    <w:rsid w:val="282C4007"/>
    <w:rsid w:val="282F9FFB"/>
    <w:rsid w:val="2833558A"/>
    <w:rsid w:val="28358723"/>
    <w:rsid w:val="286CC6E9"/>
    <w:rsid w:val="2871D6DD"/>
    <w:rsid w:val="2879833B"/>
    <w:rsid w:val="2896009E"/>
    <w:rsid w:val="28ADD5F2"/>
    <w:rsid w:val="28AFC850"/>
    <w:rsid w:val="28EF9E5A"/>
    <w:rsid w:val="28F56358"/>
    <w:rsid w:val="290DF94D"/>
    <w:rsid w:val="290E756A"/>
    <w:rsid w:val="29162182"/>
    <w:rsid w:val="291670B7"/>
    <w:rsid w:val="2924DBF2"/>
    <w:rsid w:val="292F173B"/>
    <w:rsid w:val="294854FF"/>
    <w:rsid w:val="295F4F4E"/>
    <w:rsid w:val="295FEC96"/>
    <w:rsid w:val="2967F7D9"/>
    <w:rsid w:val="2978636C"/>
    <w:rsid w:val="297D3756"/>
    <w:rsid w:val="2983523F"/>
    <w:rsid w:val="299E86BA"/>
    <w:rsid w:val="29AB8647"/>
    <w:rsid w:val="29AF92B8"/>
    <w:rsid w:val="29B906FC"/>
    <w:rsid w:val="29BCC3BC"/>
    <w:rsid w:val="29C0C147"/>
    <w:rsid w:val="29DFC2A7"/>
    <w:rsid w:val="29E1D916"/>
    <w:rsid w:val="29F3B2F0"/>
    <w:rsid w:val="2A0293AC"/>
    <w:rsid w:val="2A15F33D"/>
    <w:rsid w:val="2A22D559"/>
    <w:rsid w:val="2A250D18"/>
    <w:rsid w:val="2A415AD8"/>
    <w:rsid w:val="2A4E6052"/>
    <w:rsid w:val="2A4FB62E"/>
    <w:rsid w:val="2A6445BC"/>
    <w:rsid w:val="2A6CF16C"/>
    <w:rsid w:val="2A816A5E"/>
    <w:rsid w:val="2A825A3D"/>
    <w:rsid w:val="2A900E95"/>
    <w:rsid w:val="2A948963"/>
    <w:rsid w:val="2AB5521A"/>
    <w:rsid w:val="2AC04B71"/>
    <w:rsid w:val="2AC4DC2E"/>
    <w:rsid w:val="2ADFDCB8"/>
    <w:rsid w:val="2AE92400"/>
    <w:rsid w:val="2AF27046"/>
    <w:rsid w:val="2AFBE7EB"/>
    <w:rsid w:val="2B0D2B1D"/>
    <w:rsid w:val="2B131DC3"/>
    <w:rsid w:val="2B1CC9B0"/>
    <w:rsid w:val="2B23574B"/>
    <w:rsid w:val="2B294F75"/>
    <w:rsid w:val="2B3084B1"/>
    <w:rsid w:val="2B412F8A"/>
    <w:rsid w:val="2B640EDA"/>
    <w:rsid w:val="2B64A3F5"/>
    <w:rsid w:val="2B69BD5B"/>
    <w:rsid w:val="2B791860"/>
    <w:rsid w:val="2B984C40"/>
    <w:rsid w:val="2BA73DFF"/>
    <w:rsid w:val="2BB08516"/>
    <w:rsid w:val="2BC2E61F"/>
    <w:rsid w:val="2BC6A047"/>
    <w:rsid w:val="2BCBA2B0"/>
    <w:rsid w:val="2BE9548C"/>
    <w:rsid w:val="2BEBC65F"/>
    <w:rsid w:val="2BF5B3A4"/>
    <w:rsid w:val="2BF76ABC"/>
    <w:rsid w:val="2C15109F"/>
    <w:rsid w:val="2C23D584"/>
    <w:rsid w:val="2C3C1C58"/>
    <w:rsid w:val="2C426795"/>
    <w:rsid w:val="2C431A40"/>
    <w:rsid w:val="2C4ABB87"/>
    <w:rsid w:val="2C545332"/>
    <w:rsid w:val="2C5DA492"/>
    <w:rsid w:val="2C78073D"/>
    <w:rsid w:val="2C87CB0A"/>
    <w:rsid w:val="2CC2D5BE"/>
    <w:rsid w:val="2CD1BBD5"/>
    <w:rsid w:val="2CD26BCA"/>
    <w:rsid w:val="2CF92C55"/>
    <w:rsid w:val="2D2C650E"/>
    <w:rsid w:val="2D305E2A"/>
    <w:rsid w:val="2D3740AD"/>
    <w:rsid w:val="2D579B85"/>
    <w:rsid w:val="2D65651F"/>
    <w:rsid w:val="2D7D9B9D"/>
    <w:rsid w:val="2D97E4BB"/>
    <w:rsid w:val="2D990925"/>
    <w:rsid w:val="2D9ABB8A"/>
    <w:rsid w:val="2D9EE928"/>
    <w:rsid w:val="2DA8E862"/>
    <w:rsid w:val="2DA929C6"/>
    <w:rsid w:val="2DAFAC1E"/>
    <w:rsid w:val="2DB0CE43"/>
    <w:rsid w:val="2DB33304"/>
    <w:rsid w:val="2DD79A94"/>
    <w:rsid w:val="2DE55899"/>
    <w:rsid w:val="2DEF2537"/>
    <w:rsid w:val="2E030DD0"/>
    <w:rsid w:val="2E044CEB"/>
    <w:rsid w:val="2E1DE514"/>
    <w:rsid w:val="2E31727D"/>
    <w:rsid w:val="2E319512"/>
    <w:rsid w:val="2E4B3C8C"/>
    <w:rsid w:val="2E5B8BE6"/>
    <w:rsid w:val="2E860545"/>
    <w:rsid w:val="2ECFED02"/>
    <w:rsid w:val="2ED0BDB0"/>
    <w:rsid w:val="2ED4750F"/>
    <w:rsid w:val="2ED6A998"/>
    <w:rsid w:val="2EDEDEC1"/>
    <w:rsid w:val="2EEB64C1"/>
    <w:rsid w:val="2EFC4549"/>
    <w:rsid w:val="2EFEA4AF"/>
    <w:rsid w:val="2F070779"/>
    <w:rsid w:val="2F16610F"/>
    <w:rsid w:val="2F3484E9"/>
    <w:rsid w:val="2F47407C"/>
    <w:rsid w:val="2F557948"/>
    <w:rsid w:val="2F5A0DEC"/>
    <w:rsid w:val="2F6051BD"/>
    <w:rsid w:val="2F666EBF"/>
    <w:rsid w:val="2F67E823"/>
    <w:rsid w:val="2F774352"/>
    <w:rsid w:val="2F788580"/>
    <w:rsid w:val="2F8008D2"/>
    <w:rsid w:val="2F9B2DF7"/>
    <w:rsid w:val="2FA11177"/>
    <w:rsid w:val="2FAAABE0"/>
    <w:rsid w:val="2FB4D64B"/>
    <w:rsid w:val="2FC3D9F0"/>
    <w:rsid w:val="2FC81C2C"/>
    <w:rsid w:val="2FD44A33"/>
    <w:rsid w:val="2FD61262"/>
    <w:rsid w:val="2FDC19C4"/>
    <w:rsid w:val="2FE15158"/>
    <w:rsid w:val="2FE3A70B"/>
    <w:rsid w:val="3009C3E2"/>
    <w:rsid w:val="301B9E5A"/>
    <w:rsid w:val="3026B9F0"/>
    <w:rsid w:val="302AB7F9"/>
    <w:rsid w:val="303E1F2F"/>
    <w:rsid w:val="305B697B"/>
    <w:rsid w:val="306CE39C"/>
    <w:rsid w:val="3099B938"/>
    <w:rsid w:val="30B19DE8"/>
    <w:rsid w:val="30B9A1D4"/>
    <w:rsid w:val="30DF1AAF"/>
    <w:rsid w:val="30E70C40"/>
    <w:rsid w:val="30E7ED0A"/>
    <w:rsid w:val="30ECC214"/>
    <w:rsid w:val="30EF5B12"/>
    <w:rsid w:val="30F98D8F"/>
    <w:rsid w:val="3116CA45"/>
    <w:rsid w:val="31216470"/>
    <w:rsid w:val="312E168B"/>
    <w:rsid w:val="312F73F4"/>
    <w:rsid w:val="313CBB5A"/>
    <w:rsid w:val="3145D638"/>
    <w:rsid w:val="314D82F4"/>
    <w:rsid w:val="3177D3E2"/>
    <w:rsid w:val="317B670B"/>
    <w:rsid w:val="319373EE"/>
    <w:rsid w:val="3198ED9C"/>
    <w:rsid w:val="319D307F"/>
    <w:rsid w:val="31CFAD0A"/>
    <w:rsid w:val="31D532EB"/>
    <w:rsid w:val="31E1E690"/>
    <w:rsid w:val="31ED2404"/>
    <w:rsid w:val="31F739DC"/>
    <w:rsid w:val="32003E4D"/>
    <w:rsid w:val="32080EF1"/>
    <w:rsid w:val="320D62B9"/>
    <w:rsid w:val="321A2803"/>
    <w:rsid w:val="321F7BE0"/>
    <w:rsid w:val="3226ED73"/>
    <w:rsid w:val="322A3AD0"/>
    <w:rsid w:val="323CC0CD"/>
    <w:rsid w:val="3258970F"/>
    <w:rsid w:val="32592A77"/>
    <w:rsid w:val="328AE4D4"/>
    <w:rsid w:val="328C6B8D"/>
    <w:rsid w:val="32A10140"/>
    <w:rsid w:val="32A99E63"/>
    <w:rsid w:val="32A9A2E4"/>
    <w:rsid w:val="32B6811F"/>
    <w:rsid w:val="32DA3E03"/>
    <w:rsid w:val="32E6EB18"/>
    <w:rsid w:val="32E91182"/>
    <w:rsid w:val="32F78062"/>
    <w:rsid w:val="32FB9D59"/>
    <w:rsid w:val="330CA5BA"/>
    <w:rsid w:val="331B9898"/>
    <w:rsid w:val="332075D7"/>
    <w:rsid w:val="3330C04A"/>
    <w:rsid w:val="334F5272"/>
    <w:rsid w:val="334F7414"/>
    <w:rsid w:val="3366D40B"/>
    <w:rsid w:val="336A668D"/>
    <w:rsid w:val="33ACD66C"/>
    <w:rsid w:val="33B518A6"/>
    <w:rsid w:val="33BC347A"/>
    <w:rsid w:val="33BF8DA8"/>
    <w:rsid w:val="33C21628"/>
    <w:rsid w:val="33C32315"/>
    <w:rsid w:val="340278AE"/>
    <w:rsid w:val="340D3745"/>
    <w:rsid w:val="3410F676"/>
    <w:rsid w:val="341B5EB2"/>
    <w:rsid w:val="34292D8F"/>
    <w:rsid w:val="343CE94C"/>
    <w:rsid w:val="3440716C"/>
    <w:rsid w:val="345279A0"/>
    <w:rsid w:val="3460CD86"/>
    <w:rsid w:val="346983FD"/>
    <w:rsid w:val="347C0D6A"/>
    <w:rsid w:val="3481B761"/>
    <w:rsid w:val="348FA280"/>
    <w:rsid w:val="34A19719"/>
    <w:rsid w:val="34B2A40B"/>
    <w:rsid w:val="34D4AAAE"/>
    <w:rsid w:val="34EF5A89"/>
    <w:rsid w:val="34F52B2A"/>
    <w:rsid w:val="3503F1EA"/>
    <w:rsid w:val="35043333"/>
    <w:rsid w:val="350BC57C"/>
    <w:rsid w:val="3519D971"/>
    <w:rsid w:val="35399E02"/>
    <w:rsid w:val="35469E1F"/>
    <w:rsid w:val="3557A571"/>
    <w:rsid w:val="3559F587"/>
    <w:rsid w:val="3559F970"/>
    <w:rsid w:val="356A04A9"/>
    <w:rsid w:val="35708646"/>
    <w:rsid w:val="3599208B"/>
    <w:rsid w:val="359A3E75"/>
    <w:rsid w:val="35A4D42E"/>
    <w:rsid w:val="35B953BA"/>
    <w:rsid w:val="35F636B2"/>
    <w:rsid w:val="3602F39D"/>
    <w:rsid w:val="3606A300"/>
    <w:rsid w:val="360ABC23"/>
    <w:rsid w:val="3634234D"/>
    <w:rsid w:val="36534A20"/>
    <w:rsid w:val="3659677D"/>
    <w:rsid w:val="36605A8A"/>
    <w:rsid w:val="3666FDF3"/>
    <w:rsid w:val="366FB4A3"/>
    <w:rsid w:val="369DDA22"/>
    <w:rsid w:val="36ECA9F8"/>
    <w:rsid w:val="36FA09B5"/>
    <w:rsid w:val="36FB230F"/>
    <w:rsid w:val="3724BDCA"/>
    <w:rsid w:val="372B3A05"/>
    <w:rsid w:val="372E1127"/>
    <w:rsid w:val="374A23DE"/>
    <w:rsid w:val="3751A7BE"/>
    <w:rsid w:val="37558523"/>
    <w:rsid w:val="37720931"/>
    <w:rsid w:val="378E773E"/>
    <w:rsid w:val="3794891F"/>
    <w:rsid w:val="37BA7E3D"/>
    <w:rsid w:val="37C245A5"/>
    <w:rsid w:val="37C84AF6"/>
    <w:rsid w:val="37DB2A8B"/>
    <w:rsid w:val="37E48C77"/>
    <w:rsid w:val="37E84959"/>
    <w:rsid w:val="38081C0D"/>
    <w:rsid w:val="3821813F"/>
    <w:rsid w:val="382B08CC"/>
    <w:rsid w:val="383166BF"/>
    <w:rsid w:val="383BC716"/>
    <w:rsid w:val="38527127"/>
    <w:rsid w:val="3857C294"/>
    <w:rsid w:val="385CDD1A"/>
    <w:rsid w:val="386CBB4F"/>
    <w:rsid w:val="3873722B"/>
    <w:rsid w:val="387F2D38"/>
    <w:rsid w:val="389ABD0F"/>
    <w:rsid w:val="389C0796"/>
    <w:rsid w:val="38AE7CD7"/>
    <w:rsid w:val="38AF7898"/>
    <w:rsid w:val="38B5609C"/>
    <w:rsid w:val="38B71DFB"/>
    <w:rsid w:val="38C7ACCF"/>
    <w:rsid w:val="38C86E82"/>
    <w:rsid w:val="38D9D3A2"/>
    <w:rsid w:val="38E48CFE"/>
    <w:rsid w:val="38E79533"/>
    <w:rsid w:val="38FB2E65"/>
    <w:rsid w:val="3901B25D"/>
    <w:rsid w:val="392C8301"/>
    <w:rsid w:val="393B8C4B"/>
    <w:rsid w:val="3942354E"/>
    <w:rsid w:val="395238BE"/>
    <w:rsid w:val="395C7EBC"/>
    <w:rsid w:val="39605B9D"/>
    <w:rsid w:val="397F61F0"/>
    <w:rsid w:val="39837AA9"/>
    <w:rsid w:val="39909931"/>
    <w:rsid w:val="3993F4FB"/>
    <w:rsid w:val="39A643EC"/>
    <w:rsid w:val="39A71B45"/>
    <w:rsid w:val="39E20A9E"/>
    <w:rsid w:val="39E33671"/>
    <w:rsid w:val="39FBA72C"/>
    <w:rsid w:val="39FC6A5C"/>
    <w:rsid w:val="39FDF8A5"/>
    <w:rsid w:val="3A1A3A7D"/>
    <w:rsid w:val="3A4AA857"/>
    <w:rsid w:val="3A58575C"/>
    <w:rsid w:val="3A6AEC9D"/>
    <w:rsid w:val="3A783CAD"/>
    <w:rsid w:val="3A7DF168"/>
    <w:rsid w:val="3A7F55AA"/>
    <w:rsid w:val="3A86E667"/>
    <w:rsid w:val="3A8C2D2D"/>
    <w:rsid w:val="3A8EF252"/>
    <w:rsid w:val="3A90AA8E"/>
    <w:rsid w:val="3AB0ED31"/>
    <w:rsid w:val="3AB2916B"/>
    <w:rsid w:val="3AC31DA9"/>
    <w:rsid w:val="3AC9A4E0"/>
    <w:rsid w:val="3AD2C5E4"/>
    <w:rsid w:val="3AD32D85"/>
    <w:rsid w:val="3AD6207A"/>
    <w:rsid w:val="3ADC51BE"/>
    <w:rsid w:val="3B38E723"/>
    <w:rsid w:val="3B3F30BE"/>
    <w:rsid w:val="3B3FA0AF"/>
    <w:rsid w:val="3B422C1E"/>
    <w:rsid w:val="3B7506F3"/>
    <w:rsid w:val="3B89ABE9"/>
    <w:rsid w:val="3B93D1B7"/>
    <w:rsid w:val="3BA58994"/>
    <w:rsid w:val="3BA82AE3"/>
    <w:rsid w:val="3BB52A48"/>
    <w:rsid w:val="3BB60FF3"/>
    <w:rsid w:val="3BC16027"/>
    <w:rsid w:val="3BC18608"/>
    <w:rsid w:val="3BC8BBC4"/>
    <w:rsid w:val="3BD482B7"/>
    <w:rsid w:val="3BE81024"/>
    <w:rsid w:val="3BFDB7B4"/>
    <w:rsid w:val="3C0672D0"/>
    <w:rsid w:val="3C0FAE3B"/>
    <w:rsid w:val="3C2D5782"/>
    <w:rsid w:val="3C46AED5"/>
    <w:rsid w:val="3C4706D1"/>
    <w:rsid w:val="3C59552F"/>
    <w:rsid w:val="3C5A3C37"/>
    <w:rsid w:val="3C5D8B85"/>
    <w:rsid w:val="3C75EF05"/>
    <w:rsid w:val="3C826E62"/>
    <w:rsid w:val="3CB49910"/>
    <w:rsid w:val="3CC37E93"/>
    <w:rsid w:val="3CC8E8E1"/>
    <w:rsid w:val="3CEE0847"/>
    <w:rsid w:val="3D135E20"/>
    <w:rsid w:val="3D2710C6"/>
    <w:rsid w:val="3D2F923C"/>
    <w:rsid w:val="3D2FD1DE"/>
    <w:rsid w:val="3D324071"/>
    <w:rsid w:val="3D351412"/>
    <w:rsid w:val="3D3B7904"/>
    <w:rsid w:val="3D3C5075"/>
    <w:rsid w:val="3D44796A"/>
    <w:rsid w:val="3D588FAA"/>
    <w:rsid w:val="3D7C655C"/>
    <w:rsid w:val="3D848F09"/>
    <w:rsid w:val="3D9BC71B"/>
    <w:rsid w:val="3D9D4922"/>
    <w:rsid w:val="3DA19F09"/>
    <w:rsid w:val="3DA8554F"/>
    <w:rsid w:val="3E14B6EC"/>
    <w:rsid w:val="3E249C38"/>
    <w:rsid w:val="3E45AC4C"/>
    <w:rsid w:val="3E68F145"/>
    <w:rsid w:val="3E7A1636"/>
    <w:rsid w:val="3EB65937"/>
    <w:rsid w:val="3EC4CB47"/>
    <w:rsid w:val="3ED38290"/>
    <w:rsid w:val="3EFA64CA"/>
    <w:rsid w:val="3EFAB73F"/>
    <w:rsid w:val="3F0495FE"/>
    <w:rsid w:val="3F10C84E"/>
    <w:rsid w:val="3F247F59"/>
    <w:rsid w:val="3F27D994"/>
    <w:rsid w:val="3F3E1392"/>
    <w:rsid w:val="3F51C638"/>
    <w:rsid w:val="3F703EC3"/>
    <w:rsid w:val="3F738A98"/>
    <w:rsid w:val="3F8FD708"/>
    <w:rsid w:val="3F92EC3A"/>
    <w:rsid w:val="3FA338AC"/>
    <w:rsid w:val="3FAE665F"/>
    <w:rsid w:val="3FCA9FF4"/>
    <w:rsid w:val="3FCE4737"/>
    <w:rsid w:val="3FF1EAFA"/>
    <w:rsid w:val="3FFD9911"/>
    <w:rsid w:val="40089B86"/>
    <w:rsid w:val="401311D2"/>
    <w:rsid w:val="4022EFBD"/>
    <w:rsid w:val="4028E434"/>
    <w:rsid w:val="403C3ADF"/>
    <w:rsid w:val="4073D159"/>
    <w:rsid w:val="408CCEBC"/>
    <w:rsid w:val="409036EF"/>
    <w:rsid w:val="40F54DF8"/>
    <w:rsid w:val="40FD44C9"/>
    <w:rsid w:val="411644ED"/>
    <w:rsid w:val="41167227"/>
    <w:rsid w:val="4122D202"/>
    <w:rsid w:val="41321D55"/>
    <w:rsid w:val="413F5356"/>
    <w:rsid w:val="41534E56"/>
    <w:rsid w:val="41567333"/>
    <w:rsid w:val="416EECEA"/>
    <w:rsid w:val="41782065"/>
    <w:rsid w:val="41A11092"/>
    <w:rsid w:val="41A44077"/>
    <w:rsid w:val="41AA3854"/>
    <w:rsid w:val="41B45E71"/>
    <w:rsid w:val="41C1CF1F"/>
    <w:rsid w:val="41C97F66"/>
    <w:rsid w:val="41DF6A2A"/>
    <w:rsid w:val="41E01BF6"/>
    <w:rsid w:val="41EE1D9B"/>
    <w:rsid w:val="4205EEA3"/>
    <w:rsid w:val="421543B6"/>
    <w:rsid w:val="42220087"/>
    <w:rsid w:val="42418C6C"/>
    <w:rsid w:val="425271BD"/>
    <w:rsid w:val="42595954"/>
    <w:rsid w:val="425F52CD"/>
    <w:rsid w:val="427AFFD6"/>
    <w:rsid w:val="428BA391"/>
    <w:rsid w:val="42AC208D"/>
    <w:rsid w:val="42D1CEC1"/>
    <w:rsid w:val="42D2C4CF"/>
    <w:rsid w:val="42DD68AD"/>
    <w:rsid w:val="42EF7778"/>
    <w:rsid w:val="42FDAB8B"/>
    <w:rsid w:val="430B6B3D"/>
    <w:rsid w:val="4320FB98"/>
    <w:rsid w:val="43250B20"/>
    <w:rsid w:val="432D0EE9"/>
    <w:rsid w:val="432DCFDD"/>
    <w:rsid w:val="43341C1E"/>
    <w:rsid w:val="43418E0F"/>
    <w:rsid w:val="434AB294"/>
    <w:rsid w:val="4350665D"/>
    <w:rsid w:val="4364556E"/>
    <w:rsid w:val="43670CB7"/>
    <w:rsid w:val="4382EB51"/>
    <w:rsid w:val="43AE03D3"/>
    <w:rsid w:val="43AF883E"/>
    <w:rsid w:val="43B91046"/>
    <w:rsid w:val="43C1261B"/>
    <w:rsid w:val="43D5AA3C"/>
    <w:rsid w:val="43F704C7"/>
    <w:rsid w:val="44045B8B"/>
    <w:rsid w:val="44091D01"/>
    <w:rsid w:val="440B2BC1"/>
    <w:rsid w:val="441A1EE3"/>
    <w:rsid w:val="442F9752"/>
    <w:rsid w:val="443013CC"/>
    <w:rsid w:val="4446B0FC"/>
    <w:rsid w:val="444FDC9C"/>
    <w:rsid w:val="445FD26C"/>
    <w:rsid w:val="4465FC35"/>
    <w:rsid w:val="448DBBF6"/>
    <w:rsid w:val="44A953FC"/>
    <w:rsid w:val="44BF9A56"/>
    <w:rsid w:val="44C8D9BA"/>
    <w:rsid w:val="44F1DD8F"/>
    <w:rsid w:val="44F791C3"/>
    <w:rsid w:val="44FE5B47"/>
    <w:rsid w:val="452411D1"/>
    <w:rsid w:val="4524D789"/>
    <w:rsid w:val="4528987E"/>
    <w:rsid w:val="452AA681"/>
    <w:rsid w:val="45317F76"/>
    <w:rsid w:val="45387510"/>
    <w:rsid w:val="4539233B"/>
    <w:rsid w:val="453D79C2"/>
    <w:rsid w:val="4540C12A"/>
    <w:rsid w:val="45422B75"/>
    <w:rsid w:val="4543671E"/>
    <w:rsid w:val="4569AE07"/>
    <w:rsid w:val="456A1B7D"/>
    <w:rsid w:val="4576EDA6"/>
    <w:rsid w:val="4577798F"/>
    <w:rsid w:val="4581ED18"/>
    <w:rsid w:val="4583DA93"/>
    <w:rsid w:val="4590B6CF"/>
    <w:rsid w:val="45CD0299"/>
    <w:rsid w:val="45D5DCF0"/>
    <w:rsid w:val="45EB90B4"/>
    <w:rsid w:val="45F17592"/>
    <w:rsid w:val="45F4D9A3"/>
    <w:rsid w:val="45FDF8DE"/>
    <w:rsid w:val="4610B8F1"/>
    <w:rsid w:val="4611EFF7"/>
    <w:rsid w:val="46274582"/>
    <w:rsid w:val="4627C858"/>
    <w:rsid w:val="4639923D"/>
    <w:rsid w:val="4653B890"/>
    <w:rsid w:val="465898DF"/>
    <w:rsid w:val="4658E3C1"/>
    <w:rsid w:val="46651E8C"/>
    <w:rsid w:val="46663F6F"/>
    <w:rsid w:val="46825356"/>
    <w:rsid w:val="46835AA8"/>
    <w:rsid w:val="4694D567"/>
    <w:rsid w:val="46A22C67"/>
    <w:rsid w:val="46B60F46"/>
    <w:rsid w:val="46C6D714"/>
    <w:rsid w:val="47234477"/>
    <w:rsid w:val="472A76B9"/>
    <w:rsid w:val="47361500"/>
    <w:rsid w:val="475C88B4"/>
    <w:rsid w:val="4760CA0A"/>
    <w:rsid w:val="47B5CC79"/>
    <w:rsid w:val="47B8971C"/>
    <w:rsid w:val="47B8ED36"/>
    <w:rsid w:val="47BBE625"/>
    <w:rsid w:val="47C8453F"/>
    <w:rsid w:val="47D13CF2"/>
    <w:rsid w:val="48091AC8"/>
    <w:rsid w:val="480E0F4E"/>
    <w:rsid w:val="4814C307"/>
    <w:rsid w:val="4815E123"/>
    <w:rsid w:val="4844739E"/>
    <w:rsid w:val="484DBBA9"/>
    <w:rsid w:val="4851387A"/>
    <w:rsid w:val="485A8A43"/>
    <w:rsid w:val="486E8839"/>
    <w:rsid w:val="487B89F6"/>
    <w:rsid w:val="488025A5"/>
    <w:rsid w:val="489BA663"/>
    <w:rsid w:val="48CA6AB3"/>
    <w:rsid w:val="48CBE647"/>
    <w:rsid w:val="48D38D08"/>
    <w:rsid w:val="48DBA6BC"/>
    <w:rsid w:val="48FF2ACF"/>
    <w:rsid w:val="4910A975"/>
    <w:rsid w:val="4927242F"/>
    <w:rsid w:val="4928C9DC"/>
    <w:rsid w:val="492F596E"/>
    <w:rsid w:val="49301472"/>
    <w:rsid w:val="49398EA4"/>
    <w:rsid w:val="493A8750"/>
    <w:rsid w:val="493F8A1B"/>
    <w:rsid w:val="495EA4F4"/>
    <w:rsid w:val="496A2D27"/>
    <w:rsid w:val="49780B77"/>
    <w:rsid w:val="497BB4A1"/>
    <w:rsid w:val="4980F5FD"/>
    <w:rsid w:val="49BB65EE"/>
    <w:rsid w:val="49BE0186"/>
    <w:rsid w:val="49C03B63"/>
    <w:rsid w:val="49C106C0"/>
    <w:rsid w:val="49C95177"/>
    <w:rsid w:val="49CDD02D"/>
    <w:rsid w:val="49D025B6"/>
    <w:rsid w:val="49D1B806"/>
    <w:rsid w:val="49E3B913"/>
    <w:rsid w:val="49F3BB18"/>
    <w:rsid w:val="49FFFFFC"/>
    <w:rsid w:val="4A0D3C75"/>
    <w:rsid w:val="4A17572D"/>
    <w:rsid w:val="4A1AA870"/>
    <w:rsid w:val="4A2774F9"/>
    <w:rsid w:val="4A2AD5B9"/>
    <w:rsid w:val="4A30D14B"/>
    <w:rsid w:val="4A3D1681"/>
    <w:rsid w:val="4A94C0EF"/>
    <w:rsid w:val="4A9990AE"/>
    <w:rsid w:val="4AB10420"/>
    <w:rsid w:val="4ACB3960"/>
    <w:rsid w:val="4AD338ED"/>
    <w:rsid w:val="4AD8D9AD"/>
    <w:rsid w:val="4AEF4421"/>
    <w:rsid w:val="4B039119"/>
    <w:rsid w:val="4B104CC3"/>
    <w:rsid w:val="4B1791A0"/>
    <w:rsid w:val="4B2FF6F7"/>
    <w:rsid w:val="4B37082C"/>
    <w:rsid w:val="4B44BE8B"/>
    <w:rsid w:val="4B5EDBAD"/>
    <w:rsid w:val="4B60E55A"/>
    <w:rsid w:val="4B61F5B0"/>
    <w:rsid w:val="4B6EA11E"/>
    <w:rsid w:val="4BA8AA82"/>
    <w:rsid w:val="4BC364E7"/>
    <w:rsid w:val="4BC8D71F"/>
    <w:rsid w:val="4BD6FB40"/>
    <w:rsid w:val="4BD9B7F7"/>
    <w:rsid w:val="4BE3D469"/>
    <w:rsid w:val="4BE9EACE"/>
    <w:rsid w:val="4C0C99F9"/>
    <w:rsid w:val="4C0DDE86"/>
    <w:rsid w:val="4C0F48A8"/>
    <w:rsid w:val="4C34FB05"/>
    <w:rsid w:val="4C409B51"/>
    <w:rsid w:val="4C485ACF"/>
    <w:rsid w:val="4C4A837C"/>
    <w:rsid w:val="4C6EF8CB"/>
    <w:rsid w:val="4C9D77EA"/>
    <w:rsid w:val="4CA07F83"/>
    <w:rsid w:val="4CA72255"/>
    <w:rsid w:val="4CB5DF7F"/>
    <w:rsid w:val="4CBAFD24"/>
    <w:rsid w:val="4CC76DEF"/>
    <w:rsid w:val="4CEF2085"/>
    <w:rsid w:val="4CF71EAF"/>
    <w:rsid w:val="4CF8A46F"/>
    <w:rsid w:val="4D037247"/>
    <w:rsid w:val="4D0BE507"/>
    <w:rsid w:val="4D0CD10E"/>
    <w:rsid w:val="4D188492"/>
    <w:rsid w:val="4D1C7BB9"/>
    <w:rsid w:val="4D2E91E9"/>
    <w:rsid w:val="4D32491F"/>
    <w:rsid w:val="4D73A652"/>
    <w:rsid w:val="4D82549E"/>
    <w:rsid w:val="4D9F7B3B"/>
    <w:rsid w:val="4DACB0AF"/>
    <w:rsid w:val="4DC2A80A"/>
    <w:rsid w:val="4DD378CB"/>
    <w:rsid w:val="4DE1FAF7"/>
    <w:rsid w:val="4DE8E3C4"/>
    <w:rsid w:val="4DEB3D6A"/>
    <w:rsid w:val="4DEF4FC4"/>
    <w:rsid w:val="4E09B405"/>
    <w:rsid w:val="4E0E2982"/>
    <w:rsid w:val="4E296E96"/>
    <w:rsid w:val="4E3E8983"/>
    <w:rsid w:val="4E46E9EB"/>
    <w:rsid w:val="4E49742E"/>
    <w:rsid w:val="4E8DBAC6"/>
    <w:rsid w:val="4E95DF84"/>
    <w:rsid w:val="4E9695A8"/>
    <w:rsid w:val="4EA6456D"/>
    <w:rsid w:val="4EABB95D"/>
    <w:rsid w:val="4EB86D20"/>
    <w:rsid w:val="4EBE25BC"/>
    <w:rsid w:val="4EC06C4D"/>
    <w:rsid w:val="4ED72877"/>
    <w:rsid w:val="4ED9D8AD"/>
    <w:rsid w:val="4EE82E82"/>
    <w:rsid w:val="4F09F5A6"/>
    <w:rsid w:val="4F0CAA58"/>
    <w:rsid w:val="4F1DDE9B"/>
    <w:rsid w:val="4F2439AA"/>
    <w:rsid w:val="4F344204"/>
    <w:rsid w:val="4F67252A"/>
    <w:rsid w:val="4F6A4568"/>
    <w:rsid w:val="4F7458FA"/>
    <w:rsid w:val="4F8302F2"/>
    <w:rsid w:val="4F8F0FF6"/>
    <w:rsid w:val="4FA798D1"/>
    <w:rsid w:val="4FA9C72B"/>
    <w:rsid w:val="4FAD52E7"/>
    <w:rsid w:val="4FB1BA34"/>
    <w:rsid w:val="4FBCD8F7"/>
    <w:rsid w:val="4FC67B44"/>
    <w:rsid w:val="50094F61"/>
    <w:rsid w:val="501D1943"/>
    <w:rsid w:val="502D7C66"/>
    <w:rsid w:val="503826C8"/>
    <w:rsid w:val="50449B2F"/>
    <w:rsid w:val="5045F48C"/>
    <w:rsid w:val="504A283F"/>
    <w:rsid w:val="505321D5"/>
    <w:rsid w:val="50550C96"/>
    <w:rsid w:val="505B8111"/>
    <w:rsid w:val="5068C770"/>
    <w:rsid w:val="5068DE9A"/>
    <w:rsid w:val="509099CC"/>
    <w:rsid w:val="50A0F279"/>
    <w:rsid w:val="50A1AED1"/>
    <w:rsid w:val="50AAB1DF"/>
    <w:rsid w:val="50B91BA1"/>
    <w:rsid w:val="50BFE42D"/>
    <w:rsid w:val="50DAC09B"/>
    <w:rsid w:val="5101A093"/>
    <w:rsid w:val="5105DD39"/>
    <w:rsid w:val="5118FACE"/>
    <w:rsid w:val="512EE401"/>
    <w:rsid w:val="5153CC4D"/>
    <w:rsid w:val="5156EC4F"/>
    <w:rsid w:val="515EBC0F"/>
    <w:rsid w:val="51640FB6"/>
    <w:rsid w:val="516E6A4E"/>
    <w:rsid w:val="517F5E3A"/>
    <w:rsid w:val="5182D3C6"/>
    <w:rsid w:val="5183206F"/>
    <w:rsid w:val="5189DA44"/>
    <w:rsid w:val="51962020"/>
    <w:rsid w:val="51B491FF"/>
    <w:rsid w:val="51BCAFCF"/>
    <w:rsid w:val="51C6B986"/>
    <w:rsid w:val="51C6CC9D"/>
    <w:rsid w:val="51C8CC2F"/>
    <w:rsid w:val="51CFEEDE"/>
    <w:rsid w:val="51E1E7C8"/>
    <w:rsid w:val="51F1442A"/>
    <w:rsid w:val="51F3831F"/>
    <w:rsid w:val="5221BB08"/>
    <w:rsid w:val="522451E0"/>
    <w:rsid w:val="5226342C"/>
    <w:rsid w:val="522D0850"/>
    <w:rsid w:val="524CF7B8"/>
    <w:rsid w:val="527567C9"/>
    <w:rsid w:val="527896F5"/>
    <w:rsid w:val="5282247F"/>
    <w:rsid w:val="52843FC9"/>
    <w:rsid w:val="52A44B9F"/>
    <w:rsid w:val="52B571EE"/>
    <w:rsid w:val="52B72FF9"/>
    <w:rsid w:val="52E0EA7A"/>
    <w:rsid w:val="52F096AA"/>
    <w:rsid w:val="5302B320"/>
    <w:rsid w:val="53086AFC"/>
    <w:rsid w:val="53178037"/>
    <w:rsid w:val="531FAFD0"/>
    <w:rsid w:val="532AE5E6"/>
    <w:rsid w:val="532F37F0"/>
    <w:rsid w:val="53365D5B"/>
    <w:rsid w:val="5340E601"/>
    <w:rsid w:val="5345D73E"/>
    <w:rsid w:val="535B3C7F"/>
    <w:rsid w:val="53727F28"/>
    <w:rsid w:val="5377764A"/>
    <w:rsid w:val="537D9092"/>
    <w:rsid w:val="53879B69"/>
    <w:rsid w:val="5391626A"/>
    <w:rsid w:val="539461F6"/>
    <w:rsid w:val="53A1CCF7"/>
    <w:rsid w:val="53C814FF"/>
    <w:rsid w:val="53FD6FB3"/>
    <w:rsid w:val="54283304"/>
    <w:rsid w:val="543E043E"/>
    <w:rsid w:val="546004A7"/>
    <w:rsid w:val="54692A62"/>
    <w:rsid w:val="546ABDAB"/>
    <w:rsid w:val="5482F9CA"/>
    <w:rsid w:val="54852A25"/>
    <w:rsid w:val="5490D5D6"/>
    <w:rsid w:val="54ADCB07"/>
    <w:rsid w:val="54B24EB1"/>
    <w:rsid w:val="54BB8286"/>
    <w:rsid w:val="54C1904F"/>
    <w:rsid w:val="54D22DBC"/>
    <w:rsid w:val="54E1EDDE"/>
    <w:rsid w:val="54E6DA92"/>
    <w:rsid w:val="54EA6E7A"/>
    <w:rsid w:val="54EE5ECE"/>
    <w:rsid w:val="54FB44A1"/>
    <w:rsid w:val="5505F8F1"/>
    <w:rsid w:val="550D4180"/>
    <w:rsid w:val="55208883"/>
    <w:rsid w:val="553570EA"/>
    <w:rsid w:val="554B50FD"/>
    <w:rsid w:val="55509CA1"/>
    <w:rsid w:val="5565220F"/>
    <w:rsid w:val="5592492B"/>
    <w:rsid w:val="559E6119"/>
    <w:rsid w:val="55A07257"/>
    <w:rsid w:val="55D4239F"/>
    <w:rsid w:val="55D87369"/>
    <w:rsid w:val="55F19E54"/>
    <w:rsid w:val="560DC2D7"/>
    <w:rsid w:val="56200AFA"/>
    <w:rsid w:val="563DFEEC"/>
    <w:rsid w:val="5642EB80"/>
    <w:rsid w:val="5651D1F5"/>
    <w:rsid w:val="565D0E6C"/>
    <w:rsid w:val="5669E9E1"/>
    <w:rsid w:val="56772088"/>
    <w:rsid w:val="5679AEBF"/>
    <w:rsid w:val="567A10F7"/>
    <w:rsid w:val="569AFA7C"/>
    <w:rsid w:val="56A1609C"/>
    <w:rsid w:val="56BE104B"/>
    <w:rsid w:val="56C67DA8"/>
    <w:rsid w:val="56D5136B"/>
    <w:rsid w:val="56FC3983"/>
    <w:rsid w:val="5702F377"/>
    <w:rsid w:val="570F46CD"/>
    <w:rsid w:val="5716C493"/>
    <w:rsid w:val="571F6742"/>
    <w:rsid w:val="576EE605"/>
    <w:rsid w:val="57754F2A"/>
    <w:rsid w:val="578CD99B"/>
    <w:rsid w:val="579B7892"/>
    <w:rsid w:val="57A01D6C"/>
    <w:rsid w:val="57A1A7BA"/>
    <w:rsid w:val="57A3F06B"/>
    <w:rsid w:val="57BBDBA5"/>
    <w:rsid w:val="57C4EFED"/>
    <w:rsid w:val="57CA67D1"/>
    <w:rsid w:val="57CE332A"/>
    <w:rsid w:val="57E1056D"/>
    <w:rsid w:val="57E21E57"/>
    <w:rsid w:val="57E3EE15"/>
    <w:rsid w:val="5802796B"/>
    <w:rsid w:val="58036894"/>
    <w:rsid w:val="58142337"/>
    <w:rsid w:val="58165814"/>
    <w:rsid w:val="58181AED"/>
    <w:rsid w:val="5820A51F"/>
    <w:rsid w:val="58410055"/>
    <w:rsid w:val="58443006"/>
    <w:rsid w:val="584AB131"/>
    <w:rsid w:val="584C1F05"/>
    <w:rsid w:val="584EE931"/>
    <w:rsid w:val="5857060D"/>
    <w:rsid w:val="5867CF3E"/>
    <w:rsid w:val="5877210C"/>
    <w:rsid w:val="58830D82"/>
    <w:rsid w:val="5884E6D2"/>
    <w:rsid w:val="58A306FB"/>
    <w:rsid w:val="58C0B9EE"/>
    <w:rsid w:val="58C6842A"/>
    <w:rsid w:val="58CCCC48"/>
    <w:rsid w:val="58D4037A"/>
    <w:rsid w:val="58D5DCB4"/>
    <w:rsid w:val="58E6023D"/>
    <w:rsid w:val="58E79732"/>
    <w:rsid w:val="58E90610"/>
    <w:rsid w:val="58FBE41B"/>
    <w:rsid w:val="59049F45"/>
    <w:rsid w:val="590B6152"/>
    <w:rsid w:val="5911CFA5"/>
    <w:rsid w:val="591B6040"/>
    <w:rsid w:val="5935BAAC"/>
    <w:rsid w:val="59368F5B"/>
    <w:rsid w:val="59490F92"/>
    <w:rsid w:val="594DD53D"/>
    <w:rsid w:val="5954352D"/>
    <w:rsid w:val="5962EE03"/>
    <w:rsid w:val="59710367"/>
    <w:rsid w:val="598D5AC9"/>
    <w:rsid w:val="599F1599"/>
    <w:rsid w:val="59A6FF6C"/>
    <w:rsid w:val="59AAF093"/>
    <w:rsid w:val="59B89F52"/>
    <w:rsid w:val="59C13D6C"/>
    <w:rsid w:val="59D80568"/>
    <w:rsid w:val="5A1D1EE0"/>
    <w:rsid w:val="5A2D62B0"/>
    <w:rsid w:val="5A3EE5EB"/>
    <w:rsid w:val="5A433D74"/>
    <w:rsid w:val="5A4BB002"/>
    <w:rsid w:val="5A5C253C"/>
    <w:rsid w:val="5A5CA986"/>
    <w:rsid w:val="5A6EE293"/>
    <w:rsid w:val="5A735028"/>
    <w:rsid w:val="5A8D64BA"/>
    <w:rsid w:val="5A95107E"/>
    <w:rsid w:val="5AA0F612"/>
    <w:rsid w:val="5AA89687"/>
    <w:rsid w:val="5AB0ADB5"/>
    <w:rsid w:val="5AC77202"/>
    <w:rsid w:val="5AEF7D94"/>
    <w:rsid w:val="5AEFF858"/>
    <w:rsid w:val="5B25E063"/>
    <w:rsid w:val="5B27C351"/>
    <w:rsid w:val="5B3F81CD"/>
    <w:rsid w:val="5B4A023B"/>
    <w:rsid w:val="5B553DEF"/>
    <w:rsid w:val="5B6AACB4"/>
    <w:rsid w:val="5B6AAE81"/>
    <w:rsid w:val="5B76510D"/>
    <w:rsid w:val="5BA3C266"/>
    <w:rsid w:val="5BB2CC9A"/>
    <w:rsid w:val="5BBDF64F"/>
    <w:rsid w:val="5BE3B23C"/>
    <w:rsid w:val="5BE7ECD6"/>
    <w:rsid w:val="5BF7D4B2"/>
    <w:rsid w:val="5C0F3DE9"/>
    <w:rsid w:val="5C116949"/>
    <w:rsid w:val="5C342B2D"/>
    <w:rsid w:val="5C49CDC0"/>
    <w:rsid w:val="5C69F116"/>
    <w:rsid w:val="5C74CB6B"/>
    <w:rsid w:val="5C8D8129"/>
    <w:rsid w:val="5C9A4C20"/>
    <w:rsid w:val="5CA4175D"/>
    <w:rsid w:val="5CAC7606"/>
    <w:rsid w:val="5CC32B31"/>
    <w:rsid w:val="5CF6365A"/>
    <w:rsid w:val="5CF7EC3A"/>
    <w:rsid w:val="5CFC129D"/>
    <w:rsid w:val="5CFF27AB"/>
    <w:rsid w:val="5D11BEE5"/>
    <w:rsid w:val="5D12C13C"/>
    <w:rsid w:val="5D1BAF79"/>
    <w:rsid w:val="5D361DA1"/>
    <w:rsid w:val="5D43A775"/>
    <w:rsid w:val="5D5034A7"/>
    <w:rsid w:val="5D5939EF"/>
    <w:rsid w:val="5D59BADA"/>
    <w:rsid w:val="5D5BF606"/>
    <w:rsid w:val="5D6BA397"/>
    <w:rsid w:val="5D84E618"/>
    <w:rsid w:val="5D93A9A3"/>
    <w:rsid w:val="5DB15ED8"/>
    <w:rsid w:val="5DC0605B"/>
    <w:rsid w:val="5DC0D995"/>
    <w:rsid w:val="5DC4B26C"/>
    <w:rsid w:val="5DE20B92"/>
    <w:rsid w:val="5DFEAD5D"/>
    <w:rsid w:val="5E0DA8D4"/>
    <w:rsid w:val="5E0F7495"/>
    <w:rsid w:val="5E32147E"/>
    <w:rsid w:val="5E351B54"/>
    <w:rsid w:val="5E3B84F0"/>
    <w:rsid w:val="5E469FDC"/>
    <w:rsid w:val="5E87FB73"/>
    <w:rsid w:val="5EA2CC67"/>
    <w:rsid w:val="5ED510AA"/>
    <w:rsid w:val="5ED53DBA"/>
    <w:rsid w:val="5EE215C3"/>
    <w:rsid w:val="5F007FE5"/>
    <w:rsid w:val="5F04DA1E"/>
    <w:rsid w:val="5F0892DA"/>
    <w:rsid w:val="5F090B0F"/>
    <w:rsid w:val="5F0BCCB4"/>
    <w:rsid w:val="5F15B004"/>
    <w:rsid w:val="5F15C120"/>
    <w:rsid w:val="5F16D9F5"/>
    <w:rsid w:val="5F1C27E1"/>
    <w:rsid w:val="5F26D77F"/>
    <w:rsid w:val="5F512C92"/>
    <w:rsid w:val="5F64B98B"/>
    <w:rsid w:val="5F8FBFA3"/>
    <w:rsid w:val="5F99ED36"/>
    <w:rsid w:val="5F9A2A6D"/>
    <w:rsid w:val="5F9A7DBE"/>
    <w:rsid w:val="5FCB6437"/>
    <w:rsid w:val="5FD8A41C"/>
    <w:rsid w:val="5FFB73B8"/>
    <w:rsid w:val="5FFDAB20"/>
    <w:rsid w:val="6031244E"/>
    <w:rsid w:val="603D8632"/>
    <w:rsid w:val="60690A94"/>
    <w:rsid w:val="608CB6DA"/>
    <w:rsid w:val="60ACE8D7"/>
    <w:rsid w:val="60BB3DEA"/>
    <w:rsid w:val="60CD6647"/>
    <w:rsid w:val="60D1EA21"/>
    <w:rsid w:val="60E2EC8B"/>
    <w:rsid w:val="60E53DF6"/>
    <w:rsid w:val="60EF662B"/>
    <w:rsid w:val="60FF619A"/>
    <w:rsid w:val="610C6B5E"/>
    <w:rsid w:val="611E9032"/>
    <w:rsid w:val="61399B0F"/>
    <w:rsid w:val="613CB6DB"/>
    <w:rsid w:val="616EF903"/>
    <w:rsid w:val="617A411C"/>
    <w:rsid w:val="617CB52A"/>
    <w:rsid w:val="61900770"/>
    <w:rsid w:val="619FE184"/>
    <w:rsid w:val="61A76677"/>
    <w:rsid w:val="61AF647E"/>
    <w:rsid w:val="61B34E98"/>
    <w:rsid w:val="61BF51EC"/>
    <w:rsid w:val="61D6ADD8"/>
    <w:rsid w:val="61F4CE12"/>
    <w:rsid w:val="620063BE"/>
    <w:rsid w:val="62125DE7"/>
    <w:rsid w:val="621B7D6B"/>
    <w:rsid w:val="6234AFBF"/>
    <w:rsid w:val="623B1620"/>
    <w:rsid w:val="62491B0C"/>
    <w:rsid w:val="624D8DBF"/>
    <w:rsid w:val="62596732"/>
    <w:rsid w:val="6260A798"/>
    <w:rsid w:val="62648245"/>
    <w:rsid w:val="6273AA46"/>
    <w:rsid w:val="627EBCEC"/>
    <w:rsid w:val="628C136F"/>
    <w:rsid w:val="628EBC6F"/>
    <w:rsid w:val="6293DA37"/>
    <w:rsid w:val="6293FE11"/>
    <w:rsid w:val="62BF44FA"/>
    <w:rsid w:val="62D97F07"/>
    <w:rsid w:val="62DD4125"/>
    <w:rsid w:val="62E257D6"/>
    <w:rsid w:val="62EB27EB"/>
    <w:rsid w:val="62F38391"/>
    <w:rsid w:val="6304654B"/>
    <w:rsid w:val="6304F601"/>
    <w:rsid w:val="631BF5E5"/>
    <w:rsid w:val="6339FB6E"/>
    <w:rsid w:val="633B2BC1"/>
    <w:rsid w:val="6343CD33"/>
    <w:rsid w:val="634768F1"/>
    <w:rsid w:val="634DBC71"/>
    <w:rsid w:val="635169FC"/>
    <w:rsid w:val="63593823"/>
    <w:rsid w:val="635C4402"/>
    <w:rsid w:val="63737448"/>
    <w:rsid w:val="637ED5C9"/>
    <w:rsid w:val="6384E3F8"/>
    <w:rsid w:val="639A3C50"/>
    <w:rsid w:val="63AEE0B2"/>
    <w:rsid w:val="63BD132A"/>
    <w:rsid w:val="63CB613C"/>
    <w:rsid w:val="63D0F75D"/>
    <w:rsid w:val="63D4F9EA"/>
    <w:rsid w:val="63E8FF82"/>
    <w:rsid w:val="63EE1ECF"/>
    <w:rsid w:val="640861FB"/>
    <w:rsid w:val="640C07C3"/>
    <w:rsid w:val="6417F9DA"/>
    <w:rsid w:val="642F468F"/>
    <w:rsid w:val="64302DBA"/>
    <w:rsid w:val="643C89F5"/>
    <w:rsid w:val="64447785"/>
    <w:rsid w:val="64463317"/>
    <w:rsid w:val="64493233"/>
    <w:rsid w:val="644B3B87"/>
    <w:rsid w:val="64523741"/>
    <w:rsid w:val="645558B8"/>
    <w:rsid w:val="6465B11D"/>
    <w:rsid w:val="64A3EDB1"/>
    <w:rsid w:val="64B467C4"/>
    <w:rsid w:val="64B78A9C"/>
    <w:rsid w:val="64C2E8D8"/>
    <w:rsid w:val="64CDFFAD"/>
    <w:rsid w:val="64D2CA06"/>
    <w:rsid w:val="64E3ED39"/>
    <w:rsid w:val="64E9CEDB"/>
    <w:rsid w:val="64EF6C6B"/>
    <w:rsid w:val="64F4B852"/>
    <w:rsid w:val="651F962D"/>
    <w:rsid w:val="653919C1"/>
    <w:rsid w:val="6539E9B0"/>
    <w:rsid w:val="65530D7D"/>
    <w:rsid w:val="65647591"/>
    <w:rsid w:val="656D1207"/>
    <w:rsid w:val="65745F28"/>
    <w:rsid w:val="6586AE72"/>
    <w:rsid w:val="6592D72D"/>
    <w:rsid w:val="659376C2"/>
    <w:rsid w:val="65A7FFFF"/>
    <w:rsid w:val="65ACC2E3"/>
    <w:rsid w:val="65B4EDBA"/>
    <w:rsid w:val="65B7702D"/>
    <w:rsid w:val="65CDBEA8"/>
    <w:rsid w:val="65F78690"/>
    <w:rsid w:val="65FE0936"/>
    <w:rsid w:val="66160138"/>
    <w:rsid w:val="661C66BA"/>
    <w:rsid w:val="661EE4B5"/>
    <w:rsid w:val="664AF9A3"/>
    <w:rsid w:val="6662EEEB"/>
    <w:rsid w:val="666ED70A"/>
    <w:rsid w:val="667949F6"/>
    <w:rsid w:val="668730B4"/>
    <w:rsid w:val="668C4673"/>
    <w:rsid w:val="66957012"/>
    <w:rsid w:val="6695B805"/>
    <w:rsid w:val="6698954C"/>
    <w:rsid w:val="66B0FD40"/>
    <w:rsid w:val="66B439D6"/>
    <w:rsid w:val="66E23621"/>
    <w:rsid w:val="66E2B016"/>
    <w:rsid w:val="67130C6B"/>
    <w:rsid w:val="6724915F"/>
    <w:rsid w:val="67263771"/>
    <w:rsid w:val="674697E0"/>
    <w:rsid w:val="676B065F"/>
    <w:rsid w:val="676D9EE5"/>
    <w:rsid w:val="676E68F5"/>
    <w:rsid w:val="67772465"/>
    <w:rsid w:val="6788A039"/>
    <w:rsid w:val="6795C33D"/>
    <w:rsid w:val="67A4FB9A"/>
    <w:rsid w:val="67B95CC1"/>
    <w:rsid w:val="67CD66E3"/>
    <w:rsid w:val="67D6761C"/>
    <w:rsid w:val="67F88B73"/>
    <w:rsid w:val="68144A4E"/>
    <w:rsid w:val="681580F2"/>
    <w:rsid w:val="68172D18"/>
    <w:rsid w:val="6823C775"/>
    <w:rsid w:val="6829BF03"/>
    <w:rsid w:val="6838E915"/>
    <w:rsid w:val="68445155"/>
    <w:rsid w:val="685A0CFC"/>
    <w:rsid w:val="6860112F"/>
    <w:rsid w:val="686FA72D"/>
    <w:rsid w:val="68950E80"/>
    <w:rsid w:val="6896C80D"/>
    <w:rsid w:val="68A75662"/>
    <w:rsid w:val="68B5184F"/>
    <w:rsid w:val="68BD53E1"/>
    <w:rsid w:val="68DD0E12"/>
    <w:rsid w:val="68E81A9F"/>
    <w:rsid w:val="69037C78"/>
    <w:rsid w:val="69070430"/>
    <w:rsid w:val="690C74DA"/>
    <w:rsid w:val="6932622A"/>
    <w:rsid w:val="693AD8D9"/>
    <w:rsid w:val="69663CA3"/>
    <w:rsid w:val="69692A66"/>
    <w:rsid w:val="696A95B3"/>
    <w:rsid w:val="696C370E"/>
    <w:rsid w:val="697077B4"/>
    <w:rsid w:val="697119A2"/>
    <w:rsid w:val="69AF4ECF"/>
    <w:rsid w:val="69C3A796"/>
    <w:rsid w:val="69C4C433"/>
    <w:rsid w:val="69E021B6"/>
    <w:rsid w:val="6A000DE2"/>
    <w:rsid w:val="6A23F7AE"/>
    <w:rsid w:val="6A2CF326"/>
    <w:rsid w:val="6A308048"/>
    <w:rsid w:val="6A337F42"/>
    <w:rsid w:val="6A50BCD2"/>
    <w:rsid w:val="6A66E50E"/>
    <w:rsid w:val="6A6A0DFA"/>
    <w:rsid w:val="6A6CB47D"/>
    <w:rsid w:val="6A700512"/>
    <w:rsid w:val="6A76DAAB"/>
    <w:rsid w:val="6A7DCB8C"/>
    <w:rsid w:val="6A82344E"/>
    <w:rsid w:val="6A8D4388"/>
    <w:rsid w:val="6AB7E912"/>
    <w:rsid w:val="6ADCA3B7"/>
    <w:rsid w:val="6B02C8FA"/>
    <w:rsid w:val="6B16D85B"/>
    <w:rsid w:val="6B223C8E"/>
    <w:rsid w:val="6B3887E8"/>
    <w:rsid w:val="6B5721D5"/>
    <w:rsid w:val="6B5C291D"/>
    <w:rsid w:val="6B6E4E30"/>
    <w:rsid w:val="6B779102"/>
    <w:rsid w:val="6B807AA7"/>
    <w:rsid w:val="6B8C1AFC"/>
    <w:rsid w:val="6B940C0B"/>
    <w:rsid w:val="6BE61481"/>
    <w:rsid w:val="6BEB1F95"/>
    <w:rsid w:val="6BFA5FED"/>
    <w:rsid w:val="6C059EEE"/>
    <w:rsid w:val="6C0DD8D0"/>
    <w:rsid w:val="6C24C6A6"/>
    <w:rsid w:val="6C46BE99"/>
    <w:rsid w:val="6C4EE3AA"/>
    <w:rsid w:val="6C4EF357"/>
    <w:rsid w:val="6C5E35EA"/>
    <w:rsid w:val="6C693A02"/>
    <w:rsid w:val="6C6ACD0B"/>
    <w:rsid w:val="6C7C6447"/>
    <w:rsid w:val="6C7DBDA3"/>
    <w:rsid w:val="6C7FD7A5"/>
    <w:rsid w:val="6C9D6477"/>
    <w:rsid w:val="6CA664E2"/>
    <w:rsid w:val="6CB95BAE"/>
    <w:rsid w:val="6CCC43F6"/>
    <w:rsid w:val="6CD2BA17"/>
    <w:rsid w:val="6CE897FE"/>
    <w:rsid w:val="6CFA7B2E"/>
    <w:rsid w:val="6D0D76B6"/>
    <w:rsid w:val="6D286A37"/>
    <w:rsid w:val="6D319BDD"/>
    <w:rsid w:val="6D43B424"/>
    <w:rsid w:val="6D4640A6"/>
    <w:rsid w:val="6D475227"/>
    <w:rsid w:val="6D5BA55F"/>
    <w:rsid w:val="6D75AE94"/>
    <w:rsid w:val="6D95A118"/>
    <w:rsid w:val="6DC416F3"/>
    <w:rsid w:val="6DCAC148"/>
    <w:rsid w:val="6DD7CAA2"/>
    <w:rsid w:val="6DEA6199"/>
    <w:rsid w:val="6DEE5845"/>
    <w:rsid w:val="6DF3FEC8"/>
    <w:rsid w:val="6E00F2E0"/>
    <w:rsid w:val="6E02F708"/>
    <w:rsid w:val="6E12AF90"/>
    <w:rsid w:val="6E29AE62"/>
    <w:rsid w:val="6E30AEFC"/>
    <w:rsid w:val="6E3292EF"/>
    <w:rsid w:val="6E344FFB"/>
    <w:rsid w:val="6E3A6F7B"/>
    <w:rsid w:val="6E401328"/>
    <w:rsid w:val="6E683A2F"/>
    <w:rsid w:val="6E6A1D72"/>
    <w:rsid w:val="6E6B8B1E"/>
    <w:rsid w:val="6E76CD22"/>
    <w:rsid w:val="6E77244D"/>
    <w:rsid w:val="6E9A5AA3"/>
    <w:rsid w:val="6EB084D2"/>
    <w:rsid w:val="6EBC1844"/>
    <w:rsid w:val="6ECC7364"/>
    <w:rsid w:val="6EED63A5"/>
    <w:rsid w:val="6EF15800"/>
    <w:rsid w:val="6F052703"/>
    <w:rsid w:val="6F08E1A4"/>
    <w:rsid w:val="6F124C1B"/>
    <w:rsid w:val="6F2071C1"/>
    <w:rsid w:val="6F2E3C89"/>
    <w:rsid w:val="6F2F1157"/>
    <w:rsid w:val="6F37D9AD"/>
    <w:rsid w:val="6F49CE7B"/>
    <w:rsid w:val="6F5738BA"/>
    <w:rsid w:val="6F57D800"/>
    <w:rsid w:val="6F7A3B96"/>
    <w:rsid w:val="6F81F9EA"/>
    <w:rsid w:val="6F82ABDD"/>
    <w:rsid w:val="6F83DCFB"/>
    <w:rsid w:val="6F9BE4C8"/>
    <w:rsid w:val="6FAF5B07"/>
    <w:rsid w:val="6FE3E070"/>
    <w:rsid w:val="6FEB1985"/>
    <w:rsid w:val="6FFCD993"/>
    <w:rsid w:val="70216146"/>
    <w:rsid w:val="70285549"/>
    <w:rsid w:val="7052CC44"/>
    <w:rsid w:val="70535016"/>
    <w:rsid w:val="706EB3DE"/>
    <w:rsid w:val="70706EA7"/>
    <w:rsid w:val="70814DF3"/>
    <w:rsid w:val="7086E258"/>
    <w:rsid w:val="70A0F764"/>
    <w:rsid w:val="70A736BD"/>
    <w:rsid w:val="70ABF30F"/>
    <w:rsid w:val="70AECE7E"/>
    <w:rsid w:val="70BA6E34"/>
    <w:rsid w:val="70D2D28A"/>
    <w:rsid w:val="70DD897E"/>
    <w:rsid w:val="71033BBA"/>
    <w:rsid w:val="71090A4A"/>
    <w:rsid w:val="71152640"/>
    <w:rsid w:val="7123044B"/>
    <w:rsid w:val="713BDD5D"/>
    <w:rsid w:val="715E8405"/>
    <w:rsid w:val="717C355F"/>
    <w:rsid w:val="71956325"/>
    <w:rsid w:val="71A6F270"/>
    <w:rsid w:val="71B0DD71"/>
    <w:rsid w:val="71B58E8B"/>
    <w:rsid w:val="71C21109"/>
    <w:rsid w:val="71F46B60"/>
    <w:rsid w:val="71F961B6"/>
    <w:rsid w:val="72033A84"/>
    <w:rsid w:val="720ED4E2"/>
    <w:rsid w:val="7213BDD7"/>
    <w:rsid w:val="72202F53"/>
    <w:rsid w:val="7220C060"/>
    <w:rsid w:val="722D9281"/>
    <w:rsid w:val="7230B97D"/>
    <w:rsid w:val="72379D82"/>
    <w:rsid w:val="7238EEE1"/>
    <w:rsid w:val="725D84FC"/>
    <w:rsid w:val="726376C7"/>
    <w:rsid w:val="726E019C"/>
    <w:rsid w:val="72718337"/>
    <w:rsid w:val="729DBDA0"/>
    <w:rsid w:val="72A565BB"/>
    <w:rsid w:val="72A80745"/>
    <w:rsid w:val="72AC37B7"/>
    <w:rsid w:val="72B7FEE6"/>
    <w:rsid w:val="72C1DF79"/>
    <w:rsid w:val="72C2D2CE"/>
    <w:rsid w:val="72C837E3"/>
    <w:rsid w:val="72D66021"/>
    <w:rsid w:val="72EF998E"/>
    <w:rsid w:val="72F45B2E"/>
    <w:rsid w:val="730FE528"/>
    <w:rsid w:val="7325D44C"/>
    <w:rsid w:val="732CB847"/>
    <w:rsid w:val="7332EDB5"/>
    <w:rsid w:val="736EE548"/>
    <w:rsid w:val="7376C4A9"/>
    <w:rsid w:val="73779F8E"/>
    <w:rsid w:val="73D26591"/>
    <w:rsid w:val="73D4355E"/>
    <w:rsid w:val="73DB59CB"/>
    <w:rsid w:val="73DCC990"/>
    <w:rsid w:val="73DDF791"/>
    <w:rsid w:val="73EE8078"/>
    <w:rsid w:val="73F52ED0"/>
    <w:rsid w:val="73F9F6ED"/>
    <w:rsid w:val="74060362"/>
    <w:rsid w:val="741207E2"/>
    <w:rsid w:val="7417F2BD"/>
    <w:rsid w:val="741E74F3"/>
    <w:rsid w:val="7422197A"/>
    <w:rsid w:val="7428621A"/>
    <w:rsid w:val="742F308F"/>
    <w:rsid w:val="74329763"/>
    <w:rsid w:val="7453E078"/>
    <w:rsid w:val="745ADB8E"/>
    <w:rsid w:val="7465A027"/>
    <w:rsid w:val="746C89AD"/>
    <w:rsid w:val="747C4917"/>
    <w:rsid w:val="7482B588"/>
    <w:rsid w:val="749E3958"/>
    <w:rsid w:val="74B4ABE1"/>
    <w:rsid w:val="74B97A8F"/>
    <w:rsid w:val="74C1DE0A"/>
    <w:rsid w:val="74D2333F"/>
    <w:rsid w:val="74D955FD"/>
    <w:rsid w:val="74DAA9D0"/>
    <w:rsid w:val="74DC1CD1"/>
    <w:rsid w:val="74DE4EE7"/>
    <w:rsid w:val="74E2A233"/>
    <w:rsid w:val="74E57BD7"/>
    <w:rsid w:val="74E71CD0"/>
    <w:rsid w:val="74EF2058"/>
    <w:rsid w:val="74F10830"/>
    <w:rsid w:val="752600F6"/>
    <w:rsid w:val="752A5E9F"/>
    <w:rsid w:val="7534A64D"/>
    <w:rsid w:val="7538914C"/>
    <w:rsid w:val="7553EB55"/>
    <w:rsid w:val="75552287"/>
    <w:rsid w:val="756BFDCC"/>
    <w:rsid w:val="7571FF5D"/>
    <w:rsid w:val="7577E723"/>
    <w:rsid w:val="757DFA29"/>
    <w:rsid w:val="75833428"/>
    <w:rsid w:val="7590C9AB"/>
    <w:rsid w:val="7595C571"/>
    <w:rsid w:val="759852CB"/>
    <w:rsid w:val="75BD3C28"/>
    <w:rsid w:val="75D62DD2"/>
    <w:rsid w:val="75D79726"/>
    <w:rsid w:val="75DE6217"/>
    <w:rsid w:val="75EA8D9A"/>
    <w:rsid w:val="75ED7969"/>
    <w:rsid w:val="75F759E4"/>
    <w:rsid w:val="7603CDEA"/>
    <w:rsid w:val="760F3EBD"/>
    <w:rsid w:val="760F5825"/>
    <w:rsid w:val="7627D092"/>
    <w:rsid w:val="762EA3A4"/>
    <w:rsid w:val="763110BE"/>
    <w:rsid w:val="763ED976"/>
    <w:rsid w:val="76437332"/>
    <w:rsid w:val="764D676B"/>
    <w:rsid w:val="767C9EB4"/>
    <w:rsid w:val="768AA52B"/>
    <w:rsid w:val="76D6DB0C"/>
    <w:rsid w:val="76E32F93"/>
    <w:rsid w:val="76FBD8A5"/>
    <w:rsid w:val="7705838E"/>
    <w:rsid w:val="7706D849"/>
    <w:rsid w:val="7717E03F"/>
    <w:rsid w:val="771C604F"/>
    <w:rsid w:val="7733C2A2"/>
    <w:rsid w:val="77362E5B"/>
    <w:rsid w:val="77448502"/>
    <w:rsid w:val="7763046A"/>
    <w:rsid w:val="777A5174"/>
    <w:rsid w:val="77808599"/>
    <w:rsid w:val="77886E4D"/>
    <w:rsid w:val="778B726E"/>
    <w:rsid w:val="77A0C4FE"/>
    <w:rsid w:val="77BD018B"/>
    <w:rsid w:val="77BF9A42"/>
    <w:rsid w:val="77CC29A7"/>
    <w:rsid w:val="77CD062B"/>
    <w:rsid w:val="77CF7E2E"/>
    <w:rsid w:val="77D2D831"/>
    <w:rsid w:val="77D3B0B4"/>
    <w:rsid w:val="77D5B5DB"/>
    <w:rsid w:val="77E00758"/>
    <w:rsid w:val="77E4223D"/>
    <w:rsid w:val="77E6A013"/>
    <w:rsid w:val="77EBBF55"/>
    <w:rsid w:val="77F52ED2"/>
    <w:rsid w:val="77F5B44F"/>
    <w:rsid w:val="77FCDD6E"/>
    <w:rsid w:val="7810F6BF"/>
    <w:rsid w:val="781553C4"/>
    <w:rsid w:val="78316386"/>
    <w:rsid w:val="784245DF"/>
    <w:rsid w:val="7845C142"/>
    <w:rsid w:val="7847F9CD"/>
    <w:rsid w:val="784989E7"/>
    <w:rsid w:val="784DBDC5"/>
    <w:rsid w:val="784F3864"/>
    <w:rsid w:val="7861BB88"/>
    <w:rsid w:val="78803844"/>
    <w:rsid w:val="78939A76"/>
    <w:rsid w:val="78CBB504"/>
    <w:rsid w:val="78CC764C"/>
    <w:rsid w:val="78D538B8"/>
    <w:rsid w:val="78D73232"/>
    <w:rsid w:val="78EA18EB"/>
    <w:rsid w:val="78EE9AAB"/>
    <w:rsid w:val="78FC9DF0"/>
    <w:rsid w:val="78FD7A92"/>
    <w:rsid w:val="7904EAC2"/>
    <w:rsid w:val="7905A09B"/>
    <w:rsid w:val="790682AF"/>
    <w:rsid w:val="791EDBA3"/>
    <w:rsid w:val="7928900A"/>
    <w:rsid w:val="792F29C5"/>
    <w:rsid w:val="7931C68B"/>
    <w:rsid w:val="795F7154"/>
    <w:rsid w:val="796AFA5A"/>
    <w:rsid w:val="796C513D"/>
    <w:rsid w:val="796F4809"/>
    <w:rsid w:val="797809D0"/>
    <w:rsid w:val="797EE2A2"/>
    <w:rsid w:val="79C4487C"/>
    <w:rsid w:val="79C4B111"/>
    <w:rsid w:val="79C70270"/>
    <w:rsid w:val="79C71A59"/>
    <w:rsid w:val="79C756A8"/>
    <w:rsid w:val="79D60175"/>
    <w:rsid w:val="79E9AD84"/>
    <w:rsid w:val="79FE90EB"/>
    <w:rsid w:val="7A1E174F"/>
    <w:rsid w:val="7A2265CE"/>
    <w:rsid w:val="7A2DFE2A"/>
    <w:rsid w:val="7A3197A0"/>
    <w:rsid w:val="7A380D86"/>
    <w:rsid w:val="7A400BC7"/>
    <w:rsid w:val="7A48E31E"/>
    <w:rsid w:val="7A5FCFAD"/>
    <w:rsid w:val="7A68D5C9"/>
    <w:rsid w:val="7A824A84"/>
    <w:rsid w:val="7A88D05D"/>
    <w:rsid w:val="7A88DA26"/>
    <w:rsid w:val="7AC5BF35"/>
    <w:rsid w:val="7ADC0E5A"/>
    <w:rsid w:val="7AEEE842"/>
    <w:rsid w:val="7AFF0661"/>
    <w:rsid w:val="7B00AB3A"/>
    <w:rsid w:val="7B016CD8"/>
    <w:rsid w:val="7B033187"/>
    <w:rsid w:val="7B1EF0EB"/>
    <w:rsid w:val="7B26181B"/>
    <w:rsid w:val="7B2A6B7C"/>
    <w:rsid w:val="7B2E33ED"/>
    <w:rsid w:val="7B3A96AD"/>
    <w:rsid w:val="7B3E476F"/>
    <w:rsid w:val="7B40F8F1"/>
    <w:rsid w:val="7B57C1DE"/>
    <w:rsid w:val="7B5B738A"/>
    <w:rsid w:val="7B5B8611"/>
    <w:rsid w:val="7B5F2239"/>
    <w:rsid w:val="7B68F706"/>
    <w:rsid w:val="7B7A21C1"/>
    <w:rsid w:val="7B8ACD9D"/>
    <w:rsid w:val="7B8E672E"/>
    <w:rsid w:val="7BB92E12"/>
    <w:rsid w:val="7BB9B19B"/>
    <w:rsid w:val="7BC3394B"/>
    <w:rsid w:val="7BC7D2DB"/>
    <w:rsid w:val="7BDAE77B"/>
    <w:rsid w:val="7BE27EE3"/>
    <w:rsid w:val="7BEA0712"/>
    <w:rsid w:val="7BEDA5E4"/>
    <w:rsid w:val="7C0944CF"/>
    <w:rsid w:val="7C192EC7"/>
    <w:rsid w:val="7C1E1AE5"/>
    <w:rsid w:val="7C40B3D0"/>
    <w:rsid w:val="7C531A5A"/>
    <w:rsid w:val="7C85B722"/>
    <w:rsid w:val="7C8DE946"/>
    <w:rsid w:val="7CA815D5"/>
    <w:rsid w:val="7CB7E1E8"/>
    <w:rsid w:val="7CFE1E33"/>
    <w:rsid w:val="7D01E480"/>
    <w:rsid w:val="7D0E770B"/>
    <w:rsid w:val="7D13BD4D"/>
    <w:rsid w:val="7D22B1D4"/>
    <w:rsid w:val="7D590A71"/>
    <w:rsid w:val="7D8373C9"/>
    <w:rsid w:val="7D867189"/>
    <w:rsid w:val="7D8EF311"/>
    <w:rsid w:val="7D99CC3A"/>
    <w:rsid w:val="7DB0CF68"/>
    <w:rsid w:val="7DCC0F6A"/>
    <w:rsid w:val="7DD38BA7"/>
    <w:rsid w:val="7DDA4A03"/>
    <w:rsid w:val="7DF8F595"/>
    <w:rsid w:val="7DFC4615"/>
    <w:rsid w:val="7E08E100"/>
    <w:rsid w:val="7E0B182E"/>
    <w:rsid w:val="7E2B5825"/>
    <w:rsid w:val="7E4186EB"/>
    <w:rsid w:val="7E41A46B"/>
    <w:rsid w:val="7E477A42"/>
    <w:rsid w:val="7E5F27FC"/>
    <w:rsid w:val="7E6F62B8"/>
    <w:rsid w:val="7E7084E4"/>
    <w:rsid w:val="7E7C955F"/>
    <w:rsid w:val="7E853344"/>
    <w:rsid w:val="7EA573E0"/>
    <w:rsid w:val="7EB667D6"/>
    <w:rsid w:val="7EDA93AE"/>
    <w:rsid w:val="7EDC10AE"/>
    <w:rsid w:val="7EEF7112"/>
    <w:rsid w:val="7F0378BA"/>
    <w:rsid w:val="7F0D5A25"/>
    <w:rsid w:val="7F38F906"/>
    <w:rsid w:val="7F4DE2A6"/>
    <w:rsid w:val="7F4E147C"/>
    <w:rsid w:val="7F50D551"/>
    <w:rsid w:val="7F69E938"/>
    <w:rsid w:val="7F6CB856"/>
    <w:rsid w:val="7F938572"/>
    <w:rsid w:val="7F98F810"/>
    <w:rsid w:val="7F9AEEE4"/>
    <w:rsid w:val="7FA44D2A"/>
    <w:rsid w:val="7FC154FD"/>
    <w:rsid w:val="7FD919FC"/>
    <w:rsid w:val="7FF0D6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B0BBA71"/>
  <w15:docId w15:val="{AA52D609-F33F-46CC-AF20-12FDDB6E7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Italic" w:eastAsia="Times New Roman,Italic" w:hAnsi="Times New Roman,Italic" w:cs="Times New Roman,Italic"/>
        <w:sz w:val="24"/>
        <w:szCs w:val="24"/>
        <w:lang w:val="en-GB" w:eastAsia="en-IE" w:bidi="ar-SA"/>
      </w:rPr>
    </w:rPrDefault>
    <w:pPrDefault/>
  </w:docDefaults>
  <w:latentStyles w:defLockedState="1" w:defUIPriority="0" w:defSemiHidden="0" w:defUnhideWhenUsed="0" w:defQFormat="0" w:count="371">
    <w:lsdException w:name="Normal" w:uiPriority="1"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unhideWhenUsed="1" w:qFormat="1"/>
    <w:lsdException w:name="annotation text" w:semiHidden="1" w:qFormat="1"/>
    <w:lsdException w:name="header" w:uiPriority="2"/>
    <w:lsdException w:name="footer" w:uiPriority="99"/>
    <w:lsdException w:name="index heading" w:semiHidden="1"/>
    <w:lsdException w:name="caption" w:semiHidden="1" w:uiPriority="35" w:qFormat="1"/>
    <w:lsdException w:name="table of figures" w:semiHidden="1" w:uiPriority="99"/>
    <w:lsdException w:name="envelope address" w:semiHidden="1"/>
    <w:lsdException w:name="envelope return" w:semiHidden="1"/>
    <w:lsdException w:name="footnote reference" w:semiHidden="1" w:uiPriority="99" w:qFormat="1"/>
    <w:lsdException w:name="annotation reference" w:semiHidden="1"/>
    <w:lsdException w:name="line number" w:semiHidden="1"/>
    <w:lsdException w:name="page number" w:semiHidden="1"/>
    <w:lsdException w:name="endnote reference" w:semiHidden="1" w:uiPriority="99"/>
    <w:lsdException w:name="endnote text" w:unhideWhenUsed="1"/>
    <w:lsdException w:name="table of authorities" w:semiHidden="1"/>
    <w:lsdException w:name="macro" w:semiHidden="1" w:uiPriority="1" w:qFormat="1"/>
    <w:lsdException w:name="toa heading" w:semiHidden="1"/>
    <w:lsdException w:name="List" w:semiHidden="1"/>
    <w:lsdException w:name="List Bullet" w:uiPriority="1"/>
    <w:lsdException w:name="List Number" w:uiPriority="1"/>
    <w:lsdException w:name="List 2" w:semiHidden="1"/>
    <w:lsdException w:name="List 3" w:semiHidden="1"/>
    <w:lsdException w:name="List 4" w:semiHidden="1"/>
    <w:lsdException w:name="List 5" w:semiHidden="1"/>
    <w:lsdException w:name="List Bullet 2" w:uiPriority="1"/>
    <w:lsdException w:name="List Bullet 3" w:uiPriority="1"/>
    <w:lsdException w:name="List Bullet 4" w:uiPriority="1"/>
    <w:lsdException w:name="List Bullet 5" w:semiHidden="1"/>
    <w:lsdException w:name="List Number 2" w:uiPriority="1"/>
    <w:lsdException w:name="List Number 3" w:uiPriority="1"/>
    <w:lsdException w:name="List Number 4" w:uiPriority="1"/>
    <w:lsdException w:name="List Number 5" w:semiHidden="1"/>
    <w:lsdException w:name="Title" w:uiPriority="1" w:qFormat="1"/>
    <w:lsdException w:name="Closing" w:semiHidden="1"/>
    <w:lsdException w:name="Signature" w:uiPriority="2"/>
    <w:lsdException w:name="Default Paragraph Font" w:semiHidden="1" w:uiPriority="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lsdException w:name="Salutation" w:semiHidden="1"/>
    <w:lsdException w:name="Date" w:uiPriority="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iPriority="99" w:qFormat="1"/>
    <w:lsdException w:name="FollowedHyperlink" w:semiHidden="1"/>
    <w:lsdException w:name="Strong" w:semiHidden="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uiPriority="99"/>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qFormat="1"/>
    <w:lsdException w:name="Quote" w:semiHidden="1"/>
    <w:lsdException w:name="Intense Quote"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nhideWhenUsed="1"/>
    <w:lsdException w:name="TOC Heading" w:semiHidden="1" w:unhideWhenUsed="1"/>
    <w:lsdException w:name="Grid Table 4 Accent 3" w:uiPriority="49"/>
  </w:latentStyles>
  <w:style w:type="paragraph" w:default="1" w:styleId="Normal">
    <w:name w:val="Normal"/>
    <w:aliases w:val="CT-Normal,CT-Normal Text"/>
    <w:uiPriority w:val="1"/>
    <w:qFormat/>
    <w:rsid w:val="00E57C58"/>
    <w:pPr>
      <w:spacing w:after="240"/>
      <w:jc w:val="both"/>
    </w:pPr>
  </w:style>
  <w:style w:type="paragraph" w:styleId="Heading1">
    <w:name w:val="heading 1"/>
    <w:basedOn w:val="Normal"/>
    <w:next w:val="Text1"/>
    <w:link w:val="Heading1Char"/>
    <w:qFormat/>
    <w:rsid w:val="00BC47E5"/>
    <w:pPr>
      <w:keepNext/>
      <w:numPr>
        <w:numId w:val="31"/>
      </w:numPr>
      <w:spacing w:before="240"/>
      <w:outlineLvl w:val="0"/>
    </w:pPr>
    <w:rPr>
      <w:rFonts w:ascii="Times New Roman" w:eastAsia="Times New Roman" w:hAnsi="Times New Roman" w:cs="Times New Roman"/>
      <w:b/>
      <w:smallCaps/>
      <w:szCs w:val="20"/>
      <w:lang w:eastAsia="en-US"/>
    </w:rPr>
  </w:style>
  <w:style w:type="paragraph" w:styleId="Heading2">
    <w:name w:val="heading 2"/>
    <w:basedOn w:val="Normal"/>
    <w:next w:val="Text2"/>
    <w:link w:val="Heading2Char"/>
    <w:qFormat/>
    <w:rsid w:val="00BC47E5"/>
    <w:pPr>
      <w:keepNext/>
      <w:numPr>
        <w:ilvl w:val="1"/>
        <w:numId w:val="31"/>
      </w:numPr>
      <w:outlineLvl w:val="1"/>
    </w:pPr>
    <w:rPr>
      <w:rFonts w:ascii="Times New Roman" w:eastAsia="Times New Roman" w:hAnsi="Times New Roman" w:cs="Times New Roman"/>
      <w:b/>
      <w:szCs w:val="20"/>
      <w:lang w:eastAsia="en-US"/>
    </w:rPr>
  </w:style>
  <w:style w:type="paragraph" w:styleId="Heading3">
    <w:name w:val="heading 3"/>
    <w:basedOn w:val="Normal"/>
    <w:next w:val="Normal"/>
    <w:link w:val="Heading3Char"/>
    <w:qFormat/>
    <w:rsid w:val="00BC47E5"/>
    <w:pPr>
      <w:keepNext/>
      <w:numPr>
        <w:ilvl w:val="2"/>
        <w:numId w:val="31"/>
      </w:numPr>
      <w:outlineLvl w:val="2"/>
    </w:pPr>
    <w:rPr>
      <w:rFonts w:ascii="Times New Roman" w:eastAsia="Times New Roman" w:hAnsi="Times New Roman" w:cs="Times New Roman"/>
      <w:i/>
      <w:szCs w:val="20"/>
      <w:lang w:eastAsia="en-US"/>
    </w:rPr>
  </w:style>
  <w:style w:type="paragraph" w:styleId="Heading4">
    <w:name w:val="heading 4"/>
    <w:basedOn w:val="Normal"/>
    <w:next w:val="Normal"/>
    <w:link w:val="Heading4Char"/>
    <w:qFormat/>
    <w:rsid w:val="00BC47E5"/>
    <w:pPr>
      <w:keepNext/>
      <w:numPr>
        <w:ilvl w:val="3"/>
        <w:numId w:val="31"/>
      </w:numPr>
      <w:outlineLvl w:val="3"/>
    </w:pPr>
    <w:rPr>
      <w:rFonts w:ascii="Times New Roman" w:eastAsia="Times New Roman" w:hAnsi="Times New Roman" w:cs="Times New Roman"/>
      <w:szCs w:val="20"/>
      <w:lang w:eastAsia="en-US"/>
    </w:rPr>
  </w:style>
  <w:style w:type="paragraph" w:styleId="Heading5">
    <w:name w:val="heading 5"/>
    <w:basedOn w:val="Normal"/>
    <w:next w:val="Normal"/>
    <w:link w:val="Heading5Char"/>
    <w:qFormat/>
    <w:pPr>
      <w:keepNext/>
      <w:numPr>
        <w:ilvl w:val="4"/>
        <w:numId w:val="23"/>
      </w:numPr>
      <w:outlineLvl w:val="4"/>
    </w:pPr>
  </w:style>
  <w:style w:type="paragraph" w:styleId="Heading6">
    <w:name w:val="heading 6"/>
    <w:basedOn w:val="Normal"/>
    <w:next w:val="Normal"/>
    <w:link w:val="Heading6Char"/>
    <w:qFormat/>
    <w:pPr>
      <w:keepNext/>
      <w:numPr>
        <w:ilvl w:val="5"/>
        <w:numId w:val="23"/>
      </w:numPr>
      <w:outlineLvl w:val="5"/>
    </w:pPr>
  </w:style>
  <w:style w:type="paragraph" w:styleId="Heading7">
    <w:name w:val="heading 7"/>
    <w:basedOn w:val="Normal"/>
    <w:next w:val="Normal"/>
    <w:link w:val="Heading7Char"/>
    <w:qFormat/>
    <w:pPr>
      <w:keepNext/>
      <w:numPr>
        <w:ilvl w:val="6"/>
        <w:numId w:val="23"/>
      </w:numPr>
      <w:outlineLvl w:val="6"/>
    </w:pPr>
  </w:style>
  <w:style w:type="paragraph" w:styleId="Heading8">
    <w:name w:val="heading 8"/>
    <w:basedOn w:val="Normal"/>
    <w:next w:val="Normal"/>
    <w:link w:val="Heading8Char"/>
    <w:semiHidden/>
    <w:qFormat/>
    <w:pPr>
      <w:keepNext/>
      <w:numPr>
        <w:ilvl w:val="7"/>
        <w:numId w:val="23"/>
      </w:numPr>
      <w:outlineLvl w:val="7"/>
    </w:pPr>
  </w:style>
  <w:style w:type="paragraph" w:styleId="Heading9">
    <w:name w:val="heading 9"/>
    <w:basedOn w:val="Normal"/>
    <w:next w:val="Normal"/>
    <w:link w:val="Heading9Char"/>
    <w:semiHidden/>
    <w:qFormat/>
    <w:pPr>
      <w:keepNext/>
      <w:numPr>
        <w:ilvl w:val="8"/>
        <w:numId w:val="23"/>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
    <w:name w:val="Text 1"/>
    <w:basedOn w:val="Normal"/>
    <w:uiPriority w:val="1"/>
    <w:qFormat/>
    <w:pPr>
      <w:tabs>
        <w:tab w:val="num" w:pos="2835"/>
      </w:tabs>
      <w:ind w:left="2835" w:hanging="709"/>
    </w:pPr>
  </w:style>
  <w:style w:type="character" w:customStyle="1" w:styleId="Heading1Char">
    <w:name w:val="Heading 1 Char"/>
    <w:basedOn w:val="DefaultParagraphFont"/>
    <w:link w:val="Heading1"/>
    <w:rsid w:val="00BC47E5"/>
    <w:rPr>
      <w:rFonts w:ascii="Times New Roman" w:eastAsia="Times New Roman" w:hAnsi="Times New Roman" w:cs="Times New Roman"/>
      <w:b/>
      <w:smallCaps/>
      <w:szCs w:val="20"/>
      <w:lang w:eastAsia="en-US"/>
    </w:rPr>
  </w:style>
  <w:style w:type="paragraph" w:customStyle="1" w:styleId="Text2">
    <w:name w:val="Text 2"/>
    <w:basedOn w:val="Normal"/>
    <w:link w:val="Text2Char"/>
    <w:uiPriority w:val="1"/>
    <w:qFormat/>
    <w:rsid w:val="0082262B"/>
  </w:style>
  <w:style w:type="character" w:customStyle="1" w:styleId="Text2Char">
    <w:name w:val="Text 2 Char"/>
    <w:basedOn w:val="DefaultParagraphFont"/>
    <w:link w:val="Text2"/>
    <w:uiPriority w:val="1"/>
    <w:rsid w:val="00CA3A05"/>
  </w:style>
  <w:style w:type="character" w:customStyle="1" w:styleId="Heading2Char">
    <w:name w:val="Heading 2 Char"/>
    <w:basedOn w:val="DefaultParagraphFont"/>
    <w:link w:val="Heading2"/>
    <w:rsid w:val="00BC47E5"/>
    <w:rPr>
      <w:rFonts w:ascii="Times New Roman" w:eastAsia="Times New Roman" w:hAnsi="Times New Roman" w:cs="Times New Roman"/>
      <w:b/>
      <w:szCs w:val="20"/>
      <w:lang w:eastAsia="en-US"/>
    </w:rPr>
  </w:style>
  <w:style w:type="paragraph" w:customStyle="1" w:styleId="Text3">
    <w:name w:val="Text 3"/>
    <w:basedOn w:val="Normal"/>
    <w:uiPriority w:val="1"/>
    <w:qFormat/>
    <w:pPr>
      <w:tabs>
        <w:tab w:val="num" w:pos="1899"/>
      </w:tabs>
      <w:ind w:left="1899" w:hanging="708"/>
    </w:pPr>
  </w:style>
  <w:style w:type="character" w:customStyle="1" w:styleId="Heading3Char">
    <w:name w:val="Heading 3 Char"/>
    <w:basedOn w:val="DefaultParagraphFont"/>
    <w:link w:val="Heading3"/>
    <w:rsid w:val="00BC47E5"/>
    <w:rPr>
      <w:rFonts w:ascii="Times New Roman" w:eastAsia="Times New Roman" w:hAnsi="Times New Roman" w:cs="Times New Roman"/>
      <w:i/>
      <w:szCs w:val="20"/>
      <w:lang w:eastAsia="en-US"/>
    </w:rPr>
  </w:style>
  <w:style w:type="paragraph" w:customStyle="1" w:styleId="Text4">
    <w:name w:val="Text 4"/>
    <w:basedOn w:val="Normal"/>
    <w:uiPriority w:val="1"/>
    <w:qFormat/>
    <w:pPr>
      <w:tabs>
        <w:tab w:val="num" w:pos="2608"/>
      </w:tabs>
      <w:ind w:left="2608" w:hanging="709"/>
    </w:pPr>
  </w:style>
  <w:style w:type="character" w:customStyle="1" w:styleId="Heading4Char">
    <w:name w:val="Heading 4 Char"/>
    <w:basedOn w:val="DefaultParagraphFont"/>
    <w:link w:val="Heading4"/>
    <w:rsid w:val="00BC47E5"/>
    <w:rPr>
      <w:rFonts w:ascii="Times New Roman" w:eastAsia="Times New Roman" w:hAnsi="Times New Roman" w:cs="Times New Roman"/>
      <w:szCs w:val="20"/>
      <w:lang w:eastAsia="en-US"/>
    </w:rPr>
  </w:style>
  <w:style w:type="character" w:customStyle="1" w:styleId="Heading5Char">
    <w:name w:val="Heading 5 Char"/>
    <w:basedOn w:val="DefaultParagraphFont"/>
    <w:link w:val="Heading5"/>
    <w:rsid w:val="00754E6C"/>
  </w:style>
  <w:style w:type="character" w:customStyle="1" w:styleId="Heading6Char">
    <w:name w:val="Heading 6 Char"/>
    <w:basedOn w:val="DefaultParagraphFont"/>
    <w:link w:val="Heading6"/>
    <w:rsid w:val="00754E6C"/>
  </w:style>
  <w:style w:type="character" w:customStyle="1" w:styleId="Heading7Char">
    <w:name w:val="Heading 7 Char"/>
    <w:basedOn w:val="DefaultParagraphFont"/>
    <w:link w:val="Heading7"/>
    <w:rsid w:val="00754E6C"/>
  </w:style>
  <w:style w:type="character" w:customStyle="1" w:styleId="Heading8Char">
    <w:name w:val="Heading 8 Char"/>
    <w:basedOn w:val="DefaultParagraphFont"/>
    <w:link w:val="Heading8"/>
    <w:semiHidden/>
    <w:rsid w:val="00754E6C"/>
  </w:style>
  <w:style w:type="character" w:customStyle="1" w:styleId="Heading9Char">
    <w:name w:val="Heading 9 Char"/>
    <w:basedOn w:val="DefaultParagraphFont"/>
    <w:link w:val="Heading9"/>
    <w:semiHidden/>
    <w:rsid w:val="00754E6C"/>
  </w:style>
  <w:style w:type="character" w:customStyle="1" w:styleId="BodyPlaceholderText">
    <w:name w:val="BodyPlaceholderText"/>
    <w:basedOn w:val="PlaceholderText"/>
    <w:semiHidden/>
    <w:rPr>
      <w:color w:val="3366CC"/>
    </w:rPr>
  </w:style>
  <w:style w:type="character" w:styleId="PlaceholderText">
    <w:name w:val="Placeholder Text"/>
    <w:basedOn w:val="DefaultParagraphFont"/>
    <w:uiPriority w:val="99"/>
    <w:semiHidden/>
    <w:rPr>
      <w:color w:val="288061"/>
    </w:rPr>
  </w:style>
  <w:style w:type="character" w:customStyle="1" w:styleId="CrossReference">
    <w:name w:val="Cross Reference"/>
    <w:basedOn w:val="DefaultParagraphFont"/>
    <w:uiPriority w:val="2"/>
    <w:rPr>
      <w:i/>
    </w:rPr>
  </w:style>
  <w:style w:type="character" w:customStyle="1" w:styleId="InstructionBlue">
    <w:name w:val="InstructionBlue"/>
    <w:uiPriority w:val="1"/>
    <w:rPr>
      <w:i/>
      <w:color w:val="3366CC"/>
    </w:rPr>
  </w:style>
  <w:style w:type="character" w:customStyle="1" w:styleId="InstructionPlaceholder">
    <w:name w:val="InstructionPlaceholder"/>
    <w:uiPriority w:val="1"/>
    <w:rPr>
      <w:color w:val="CB3535"/>
    </w:rPr>
  </w:style>
  <w:style w:type="character" w:customStyle="1" w:styleId="InstructionRed">
    <w:name w:val="InstructionRed"/>
    <w:uiPriority w:val="1"/>
    <w:rPr>
      <w:i/>
      <w:color w:val="CB3535"/>
    </w:rPr>
  </w:style>
  <w:style w:type="character" w:customStyle="1" w:styleId="MarkingLabel">
    <w:name w:val="MarkingLabel"/>
    <w:semiHidden/>
    <w:rPr>
      <w:b/>
      <w:caps/>
      <w:sz w:val="28"/>
    </w:rPr>
  </w:style>
  <w:style w:type="character" w:customStyle="1" w:styleId="MarkingText">
    <w:name w:val="MarkingText"/>
    <w:semiHidden/>
    <w:rPr>
      <w:i/>
      <w:sz w:val="28"/>
    </w:rPr>
  </w:style>
  <w:style w:type="paragraph" w:customStyle="1" w:styleId="AfterTable">
    <w:name w:val="After Table"/>
    <w:semiHidden/>
    <w:rPr>
      <w:sz w:val="4"/>
    </w:rPr>
  </w:style>
  <w:style w:type="paragraph" w:customStyle="1" w:styleId="AnnexTitle">
    <w:name w:val="AnnexTitle"/>
    <w:basedOn w:val="Normal"/>
    <w:next w:val="Normal"/>
    <w:uiPriority w:val="1"/>
    <w:qFormat/>
    <w:rsid w:val="00050331"/>
    <w:pPr>
      <w:pageBreakBefore/>
      <w:spacing w:after="480"/>
      <w:ind w:left="360" w:hanging="360"/>
      <w:outlineLvl w:val="0"/>
    </w:pPr>
    <w:rPr>
      <w:rFonts w:eastAsia="Yu Gothic Light" w:cs="Yu Gothic Light"/>
      <w:b/>
      <w:sz w:val="32"/>
    </w:rPr>
  </w:style>
  <w:style w:type="paragraph" w:styleId="Caption">
    <w:name w:val="caption"/>
    <w:aliases w:val="CT2040-Caption"/>
    <w:basedOn w:val="Normal"/>
    <w:next w:val="Normal"/>
    <w:link w:val="CaptionChar"/>
    <w:uiPriority w:val="35"/>
    <w:qFormat/>
    <w:rsid w:val="00906859"/>
    <w:pPr>
      <w:keepNext/>
      <w:spacing w:after="120"/>
    </w:pPr>
    <w:rPr>
      <w:rFonts w:cs="Times New Roman"/>
      <w:b/>
      <w:sz w:val="22"/>
      <w:szCs w:val="22"/>
    </w:rPr>
  </w:style>
  <w:style w:type="paragraph" w:customStyle="1" w:styleId="ChapterTitle">
    <w:name w:val="ChapterTitle"/>
    <w:basedOn w:val="Normal"/>
    <w:next w:val="SectionTitle"/>
    <w:uiPriority w:val="1"/>
    <w:qFormat/>
    <w:pPr>
      <w:keepNext/>
      <w:spacing w:after="480"/>
      <w:jc w:val="center"/>
      <w:outlineLvl w:val="0"/>
    </w:pPr>
    <w:rPr>
      <w:b/>
      <w:sz w:val="32"/>
    </w:rPr>
  </w:style>
  <w:style w:type="paragraph" w:customStyle="1" w:styleId="SectionTitle">
    <w:name w:val="SectionTitle"/>
    <w:basedOn w:val="Normal"/>
    <w:next w:val="Heading1"/>
    <w:uiPriority w:val="1"/>
    <w:qFormat/>
    <w:pPr>
      <w:keepNext/>
      <w:numPr>
        <w:ilvl w:val="2"/>
        <w:numId w:val="12"/>
      </w:numPr>
      <w:spacing w:after="480"/>
      <w:jc w:val="center"/>
      <w:outlineLvl w:val="0"/>
    </w:pPr>
    <w:rPr>
      <w:b/>
      <w:smallCaps/>
      <w:sz w:val="28"/>
    </w:rPr>
  </w:style>
  <w:style w:type="paragraph" w:customStyle="1" w:styleId="ConfidentialUE">
    <w:name w:val="Confidential UE"/>
    <w:basedOn w:val="Normal"/>
    <w:semiHidden/>
    <w:pPr>
      <w:spacing w:after="0"/>
      <w:jc w:val="center"/>
    </w:pPr>
    <w:rPr>
      <w:b/>
      <w:caps/>
      <w:sz w:val="32"/>
      <w:bdr w:val="single" w:sz="18" w:space="0" w:color="auto"/>
    </w:rPr>
  </w:style>
  <w:style w:type="paragraph" w:customStyle="1" w:styleId="Contact">
    <w:name w:val="Contact"/>
    <w:basedOn w:val="Normal"/>
    <w:uiPriority w:val="1"/>
    <w:pPr>
      <w:spacing w:before="480" w:after="0"/>
      <w:ind w:left="567" w:hanging="567"/>
      <w:contextualSpacing/>
      <w:jc w:val="left"/>
    </w:pPr>
  </w:style>
  <w:style w:type="paragraph" w:customStyle="1" w:styleId="ContNum">
    <w:name w:val="ContNum"/>
    <w:basedOn w:val="Normal"/>
    <w:uiPriority w:val="1"/>
    <w:qFormat/>
    <w:pPr>
      <w:tabs>
        <w:tab w:val="num" w:pos="476"/>
      </w:tabs>
      <w:ind w:left="476" w:hanging="476"/>
    </w:pPr>
    <w:rPr>
      <w:rFonts w:ascii="Yu Gothic Light" w:eastAsia="RijksoverheidSansText" w:hAnsi="Yu Gothic Light" w:cs="RijksoverheidSansText"/>
    </w:rPr>
  </w:style>
  <w:style w:type="paragraph" w:customStyle="1" w:styleId="ContNumLevel2">
    <w:name w:val="ContNum (Level 2)"/>
    <w:basedOn w:val="Normal"/>
    <w:uiPriority w:val="1"/>
    <w:pPr>
      <w:tabs>
        <w:tab w:val="num" w:pos="952"/>
      </w:tabs>
      <w:ind w:left="952" w:hanging="476"/>
    </w:pPr>
  </w:style>
  <w:style w:type="paragraph" w:customStyle="1" w:styleId="ContNumLevel3">
    <w:name w:val="ContNum (Level 3)"/>
    <w:basedOn w:val="Normal"/>
    <w:uiPriority w:val="1"/>
    <w:pPr>
      <w:tabs>
        <w:tab w:val="num" w:pos="1429"/>
      </w:tabs>
      <w:ind w:left="1429" w:hanging="477"/>
    </w:pPr>
  </w:style>
  <w:style w:type="paragraph" w:styleId="Date">
    <w:name w:val="Date"/>
    <w:basedOn w:val="Normal"/>
    <w:next w:val="References"/>
    <w:uiPriority w:val="1"/>
    <w:pPr>
      <w:spacing w:after="0"/>
      <w:ind w:left="5102" w:right="-567"/>
      <w:jc w:val="left"/>
    </w:pPr>
  </w:style>
  <w:style w:type="paragraph" w:customStyle="1" w:styleId="References">
    <w:name w:val="References"/>
    <w:basedOn w:val="Normal"/>
    <w:uiPriority w:val="1"/>
    <w:pPr>
      <w:numPr>
        <w:ilvl w:val="2"/>
        <w:numId w:val="13"/>
      </w:numPr>
      <w:ind w:right="-567"/>
      <w:contextualSpacing/>
      <w:jc w:val="left"/>
    </w:pPr>
    <w:rPr>
      <w:sz w:val="20"/>
    </w:rPr>
  </w:style>
  <w:style w:type="paragraph" w:customStyle="1" w:styleId="Designator">
    <w:name w:val="Designator"/>
    <w:basedOn w:val="Normal"/>
    <w:semiHidden/>
    <w:pPr>
      <w:spacing w:after="0"/>
      <w:jc w:val="center"/>
    </w:pPr>
    <w:rPr>
      <w:b/>
      <w:caps/>
      <w:sz w:val="32"/>
    </w:rPr>
  </w:style>
  <w:style w:type="paragraph" w:customStyle="1" w:styleId="DoubSign">
    <w:name w:val="DoubSign"/>
    <w:basedOn w:val="Normal"/>
    <w:uiPriority w:val="2"/>
    <w:pPr>
      <w:spacing w:before="1200" w:after="0"/>
      <w:jc w:val="left"/>
    </w:pPr>
  </w:style>
  <w:style w:type="paragraph" w:customStyle="1" w:styleId="EmptyParagraph">
    <w:name w:val="Empty Paragraph"/>
    <w:basedOn w:val="Normal"/>
    <w:next w:val="Normal"/>
    <w:semiHidden/>
    <w:pPr>
      <w:spacing w:before="240"/>
    </w:pPr>
  </w:style>
  <w:style w:type="paragraph" w:styleId="EndnoteText">
    <w:name w:val="endnote text"/>
    <w:basedOn w:val="Normal"/>
    <w:link w:val="EndnoteTextChar"/>
    <w:semiHidden/>
    <w:unhideWhenUsed/>
    <w:rPr>
      <w:sz w:val="20"/>
    </w:rPr>
  </w:style>
  <w:style w:type="character" w:customStyle="1" w:styleId="EndnoteTextChar">
    <w:name w:val="Endnote Text Char"/>
    <w:basedOn w:val="DefaultParagraphFont"/>
    <w:link w:val="EndnoteText"/>
    <w:semiHidden/>
    <w:rsid w:val="00754E6C"/>
    <w:rPr>
      <w:rFonts w:ascii="Times New Roman" w:hAnsi="Times New Roman"/>
      <w:sz w:val="20"/>
    </w:rPr>
  </w:style>
  <w:style w:type="paragraph" w:customStyle="1" w:styleId="FigureBody">
    <w:name w:val="Figure Body"/>
    <w:basedOn w:val="Normal"/>
    <w:next w:val="FigureSource"/>
    <w:uiPriority w:val="2"/>
    <w:pPr>
      <w:keepNext/>
      <w:spacing w:after="40"/>
    </w:pPr>
  </w:style>
  <w:style w:type="paragraph" w:customStyle="1" w:styleId="FigureSource">
    <w:name w:val="Figure Source"/>
    <w:basedOn w:val="Normal"/>
    <w:next w:val="Normal"/>
    <w:uiPriority w:val="2"/>
    <w:rPr>
      <w:sz w:val="20"/>
    </w:rPr>
  </w:style>
  <w:style w:type="paragraph" w:customStyle="1" w:styleId="FigureBody1">
    <w:name w:val="Figure Body 1"/>
    <w:basedOn w:val="Text1"/>
    <w:next w:val="FigureSource1"/>
    <w:uiPriority w:val="2"/>
    <w:pPr>
      <w:keepNext/>
      <w:numPr>
        <w:ilvl w:val="3"/>
        <w:numId w:val="10"/>
      </w:numPr>
      <w:spacing w:after="40"/>
    </w:pPr>
  </w:style>
  <w:style w:type="paragraph" w:customStyle="1" w:styleId="FigureSource1">
    <w:name w:val="Figure Source 1"/>
    <w:basedOn w:val="Text1"/>
    <w:next w:val="Text1"/>
    <w:uiPriority w:val="2"/>
    <w:rPr>
      <w:sz w:val="20"/>
    </w:rPr>
  </w:style>
  <w:style w:type="paragraph" w:customStyle="1" w:styleId="FigureBody2">
    <w:name w:val="Figure Body 2"/>
    <w:basedOn w:val="Text2"/>
    <w:next w:val="FigureSource2"/>
    <w:uiPriority w:val="2"/>
    <w:pPr>
      <w:keepNext/>
      <w:spacing w:after="40"/>
    </w:pPr>
  </w:style>
  <w:style w:type="paragraph" w:customStyle="1" w:styleId="FigureSource2">
    <w:name w:val="Figure Source 2"/>
    <w:basedOn w:val="Text2"/>
    <w:next w:val="Text2"/>
    <w:uiPriority w:val="2"/>
    <w:rPr>
      <w:sz w:val="20"/>
    </w:rPr>
  </w:style>
  <w:style w:type="paragraph" w:customStyle="1" w:styleId="FigureBody3">
    <w:name w:val="Figure Body 3"/>
    <w:basedOn w:val="Text3"/>
    <w:next w:val="FigureSource3"/>
    <w:uiPriority w:val="2"/>
    <w:pPr>
      <w:keepNext/>
      <w:spacing w:after="40"/>
    </w:pPr>
  </w:style>
  <w:style w:type="paragraph" w:customStyle="1" w:styleId="FigureSource3">
    <w:name w:val="Figure Source 3"/>
    <w:basedOn w:val="Text3"/>
    <w:next w:val="Text3"/>
    <w:uiPriority w:val="2"/>
    <w:pPr>
      <w:numPr>
        <w:ilvl w:val="2"/>
        <w:numId w:val="9"/>
      </w:numPr>
    </w:pPr>
    <w:rPr>
      <w:sz w:val="20"/>
    </w:rPr>
  </w:style>
  <w:style w:type="paragraph" w:customStyle="1" w:styleId="FigureBody4">
    <w:name w:val="Figure Body 4"/>
    <w:basedOn w:val="Text4"/>
    <w:next w:val="FigureSource4"/>
    <w:uiPriority w:val="2"/>
    <w:pPr>
      <w:keepNext/>
      <w:numPr>
        <w:ilvl w:val="1"/>
        <w:numId w:val="2"/>
      </w:numPr>
      <w:spacing w:after="40"/>
    </w:pPr>
    <w:rPr>
      <w:rFonts w:ascii="CharisSIL" w:hAnsi="CharisSIL"/>
    </w:rPr>
  </w:style>
  <w:style w:type="paragraph" w:customStyle="1" w:styleId="FigureSource4">
    <w:name w:val="Figure Source 4"/>
    <w:basedOn w:val="Text4"/>
    <w:next w:val="Text4"/>
    <w:uiPriority w:val="2"/>
    <w:rPr>
      <w:sz w:val="20"/>
    </w:rPr>
  </w:style>
  <w:style w:type="paragraph" w:customStyle="1" w:styleId="FigureTitle">
    <w:name w:val="Figure Title"/>
    <w:basedOn w:val="Normal"/>
    <w:next w:val="FigureBody"/>
    <w:uiPriority w:val="2"/>
    <w:pPr>
      <w:keepNext/>
      <w:spacing w:after="120"/>
    </w:pPr>
    <w:rPr>
      <w:b/>
      <w:i/>
    </w:rPr>
  </w:style>
  <w:style w:type="paragraph" w:customStyle="1" w:styleId="FigureTitle1">
    <w:name w:val="Figure Title 1"/>
    <w:basedOn w:val="Text1"/>
    <w:next w:val="FigureBody1"/>
    <w:uiPriority w:val="2"/>
    <w:pPr>
      <w:keepNext/>
      <w:numPr>
        <w:ilvl w:val="1"/>
        <w:numId w:val="3"/>
      </w:numPr>
      <w:spacing w:after="120"/>
    </w:pPr>
    <w:rPr>
      <w:rFonts w:ascii="CharisSIL" w:hAnsi="CharisSIL"/>
      <w:b/>
      <w:i/>
    </w:rPr>
  </w:style>
  <w:style w:type="paragraph" w:customStyle="1" w:styleId="FigureTitle2">
    <w:name w:val="Figure Title 2"/>
    <w:basedOn w:val="Text2"/>
    <w:next w:val="FigureBody2"/>
    <w:uiPriority w:val="2"/>
    <w:pPr>
      <w:keepNext/>
      <w:spacing w:after="120"/>
    </w:pPr>
    <w:rPr>
      <w:b/>
      <w:i/>
    </w:rPr>
  </w:style>
  <w:style w:type="paragraph" w:customStyle="1" w:styleId="FigureTitle3">
    <w:name w:val="Figure Title 3"/>
    <w:basedOn w:val="Text3"/>
    <w:next w:val="FigureBody3"/>
    <w:uiPriority w:val="2"/>
    <w:pPr>
      <w:keepNext/>
      <w:spacing w:after="120"/>
    </w:pPr>
    <w:rPr>
      <w:b/>
      <w:i/>
    </w:rPr>
  </w:style>
  <w:style w:type="paragraph" w:customStyle="1" w:styleId="FigureTitle4">
    <w:name w:val="Figure Title 4"/>
    <w:basedOn w:val="Text4"/>
    <w:next w:val="FigureBody4"/>
    <w:uiPriority w:val="2"/>
    <w:pPr>
      <w:keepNext/>
      <w:numPr>
        <w:ilvl w:val="1"/>
        <w:numId w:val="9"/>
      </w:numPr>
      <w:spacing w:after="120"/>
    </w:pPr>
    <w:rPr>
      <w:b/>
      <w:i/>
    </w:rPr>
  </w:style>
  <w:style w:type="paragraph" w:styleId="Footer">
    <w:name w:val="footer"/>
    <w:basedOn w:val="Normal"/>
    <w:link w:val="FooterChar"/>
    <w:uiPriority w:val="99"/>
    <w:pPr>
      <w:spacing w:after="0"/>
      <w:ind w:right="-567"/>
      <w:jc w:val="left"/>
    </w:pPr>
    <w:rPr>
      <w:sz w:val="16"/>
    </w:rPr>
  </w:style>
  <w:style w:type="character" w:customStyle="1" w:styleId="FooterChar">
    <w:name w:val="Footer Char"/>
    <w:basedOn w:val="DefaultParagraphFont"/>
    <w:link w:val="Footer"/>
    <w:uiPriority w:val="99"/>
    <w:rsid w:val="00754E6C"/>
    <w:rPr>
      <w:rFonts w:ascii="Times New Roman" w:hAnsi="Times New Roman"/>
      <w:sz w:val="16"/>
    </w:rPr>
  </w:style>
  <w:style w:type="paragraph" w:customStyle="1" w:styleId="FooterLine">
    <w:name w:val="Footer Line"/>
    <w:basedOn w:val="Footer"/>
    <w:next w:val="Footer"/>
    <w:uiPriority w:val="2"/>
    <w:pPr>
      <w:tabs>
        <w:tab w:val="right" w:pos="8646"/>
      </w:tabs>
      <w:spacing w:before="120" w:line="264" w:lineRule="auto"/>
      <w:ind w:right="0"/>
      <w:jc w:val="both"/>
    </w:pPr>
  </w:style>
  <w:style w:type="paragraph" w:styleId="FootnoteText">
    <w:name w:val="footnote text"/>
    <w:aliases w:val="Char,Fußnote,Carattere,fn,Footnotes,Footnote ak,Footnote Text Char1,Footnote Text Char Char,fn Char Char,footnote text Char Char,Footnotes Char Char,Footnote ak Char Char,fn Char1,footnote text Char1,Footnotes Char1,ft,Footnote Text_EP-LC"/>
    <w:basedOn w:val="Normal"/>
    <w:link w:val="FootnoteTextChar"/>
    <w:unhideWhenUsed/>
    <w:qFormat/>
    <w:pPr>
      <w:spacing w:after="120"/>
      <w:ind w:left="357" w:hanging="357"/>
    </w:pPr>
    <w:rPr>
      <w:sz w:val="20"/>
    </w:rPr>
  </w:style>
  <w:style w:type="character" w:customStyle="1" w:styleId="FootnoteTextChar">
    <w:name w:val="Footnote Text Char"/>
    <w:aliases w:val="Char Char,Fußnote Char,Carattere Char,fn Char,Footnotes Char,Footnote ak Char,Footnote Text Char1 Char,Footnote Text Char Char Char,fn Char Char Char,footnote text Char Char Char,Footnotes Char Char Char,Footnote ak Char Char Char"/>
    <w:basedOn w:val="DefaultParagraphFont"/>
    <w:link w:val="FootnoteText"/>
    <w:uiPriority w:val="99"/>
    <w:qFormat/>
    <w:rsid w:val="008B3E24"/>
    <w:rPr>
      <w:sz w:val="20"/>
    </w:rPr>
  </w:style>
  <w:style w:type="paragraph" w:customStyle="1" w:styleId="HistoryTable">
    <w:name w:val="HistoryTable"/>
    <w:basedOn w:val="Normal"/>
    <w:uiPriority w:val="2"/>
    <w:pPr>
      <w:spacing w:before="60" w:after="60"/>
      <w:jc w:val="left"/>
    </w:pPr>
    <w:rPr>
      <w:sz w:val="20"/>
    </w:rPr>
  </w:style>
  <w:style w:type="paragraph" w:customStyle="1" w:styleId="HistTableHeading">
    <w:name w:val="HistTableHeading"/>
    <w:basedOn w:val="Normal"/>
    <w:next w:val="HistoryTable"/>
    <w:uiPriority w:val="2"/>
    <w:pPr>
      <w:spacing w:before="240"/>
      <w:ind w:left="360" w:hanging="360"/>
      <w:jc w:val="center"/>
    </w:pPr>
    <w:rPr>
      <w:rFonts w:ascii="Arial" w:hAnsi="Arial"/>
      <w:b/>
      <w:caps/>
    </w:rPr>
  </w:style>
  <w:style w:type="paragraph" w:customStyle="1" w:styleId="LegalNumPar">
    <w:name w:val="LegalNumPar"/>
    <w:basedOn w:val="Normal"/>
    <w:uiPriority w:val="1"/>
    <w:qFormat/>
    <w:pPr>
      <w:tabs>
        <w:tab w:val="num" w:pos="476"/>
      </w:tabs>
      <w:spacing w:line="360" w:lineRule="auto"/>
      <w:ind w:left="476" w:hanging="476"/>
    </w:pPr>
    <w:rPr>
      <w:rFonts w:ascii="Yu Gothic Light" w:eastAsia="RijksoverheidSansText" w:hAnsi="Yu Gothic Light" w:cs="RijksoverheidSansText"/>
    </w:rPr>
  </w:style>
  <w:style w:type="paragraph" w:customStyle="1" w:styleId="LegalNumPar2">
    <w:name w:val="LegalNumPar2"/>
    <w:basedOn w:val="Normal"/>
    <w:uiPriority w:val="1"/>
    <w:pPr>
      <w:tabs>
        <w:tab w:val="num" w:pos="952"/>
      </w:tabs>
      <w:spacing w:line="360" w:lineRule="auto"/>
      <w:ind w:left="952" w:hanging="476"/>
    </w:pPr>
  </w:style>
  <w:style w:type="paragraph" w:customStyle="1" w:styleId="LegalNumPar3">
    <w:name w:val="LegalNumPar3"/>
    <w:basedOn w:val="Normal"/>
    <w:uiPriority w:val="1"/>
    <w:pPr>
      <w:tabs>
        <w:tab w:val="num" w:pos="476"/>
      </w:tabs>
      <w:spacing w:line="360" w:lineRule="auto"/>
      <w:ind w:left="476" w:hanging="476"/>
    </w:pPr>
    <w:rPr>
      <w:rFonts w:ascii="CharisSIL" w:hAnsi="CharisSIL"/>
    </w:rPr>
  </w:style>
  <w:style w:type="paragraph" w:styleId="ListBullet">
    <w:name w:val="List Bullet"/>
    <w:basedOn w:val="Normal"/>
    <w:uiPriority w:val="1"/>
    <w:pPr>
      <w:tabs>
        <w:tab w:val="num" w:pos="283"/>
      </w:tabs>
      <w:ind w:left="283" w:hanging="283"/>
    </w:pPr>
    <w:rPr>
      <w:rFonts w:ascii="Yu Gothic Light" w:eastAsia="RijksoverheidSansText" w:hAnsi="Yu Gothic Light" w:cs="RijksoverheidSansText"/>
    </w:rPr>
  </w:style>
  <w:style w:type="paragraph" w:customStyle="1" w:styleId="ListBulletLevel2">
    <w:name w:val="List Bullet (Level 2)"/>
    <w:basedOn w:val="Normal"/>
    <w:uiPriority w:val="1"/>
    <w:pPr>
      <w:tabs>
        <w:tab w:val="num" w:pos="952"/>
      </w:tabs>
      <w:ind w:left="952" w:hanging="476"/>
    </w:pPr>
  </w:style>
  <w:style w:type="paragraph" w:customStyle="1" w:styleId="ListBulletLevel3">
    <w:name w:val="List Bullet (Level 3)"/>
    <w:basedOn w:val="Normal"/>
    <w:uiPriority w:val="1"/>
    <w:semiHidden/>
    <w:unhideWhenUsed/>
    <w:pPr>
      <w:numPr>
        <w:numId w:val="7"/>
      </w:numPr>
      <w:tabs>
        <w:tab w:val="num" w:pos="850"/>
      </w:tabs>
    </w:pPr>
  </w:style>
  <w:style w:type="paragraph" w:customStyle="1" w:styleId="ListBulletLevel4">
    <w:name w:val="List Bullet (Level 4)"/>
    <w:basedOn w:val="Normal"/>
    <w:uiPriority w:val="1"/>
    <w:semiHidden/>
    <w:unhideWhenUsed/>
    <w:pPr>
      <w:tabs>
        <w:tab w:val="num" w:pos="1429"/>
      </w:tabs>
      <w:ind w:left="1429" w:hanging="477"/>
    </w:pPr>
  </w:style>
  <w:style w:type="paragraph" w:customStyle="1" w:styleId="ListBullet1">
    <w:name w:val="List Bullet 1"/>
    <w:basedOn w:val="Text1"/>
    <w:uiPriority w:val="1"/>
    <w:pPr>
      <w:tabs>
        <w:tab w:val="num" w:pos="765"/>
      </w:tabs>
      <w:ind w:left="765" w:hanging="283"/>
    </w:pPr>
    <w:rPr>
      <w:rFonts w:ascii="Yu Gothic Light" w:eastAsia="RijksoverheidSansText" w:hAnsi="Yu Gothic Light" w:cs="RijksoverheidSansText"/>
    </w:rPr>
  </w:style>
  <w:style w:type="paragraph" w:customStyle="1" w:styleId="ListBullet1Level2">
    <w:name w:val="List Bullet 1 (Level 2)"/>
    <w:basedOn w:val="Text1"/>
    <w:uiPriority w:val="1"/>
    <w:pPr>
      <w:numPr>
        <w:numId w:val="8"/>
      </w:numPr>
      <w:tabs>
        <w:tab w:val="num" w:pos="1049"/>
      </w:tabs>
    </w:pPr>
  </w:style>
  <w:style w:type="paragraph" w:customStyle="1" w:styleId="ListBullet1Level3">
    <w:name w:val="List Bullet 1 (Level 3)"/>
    <w:basedOn w:val="Text1"/>
    <w:uiPriority w:val="1"/>
    <w:semiHidden/>
    <w:unhideWhenUsed/>
    <w:pPr>
      <w:tabs>
        <w:tab w:val="num" w:pos="1332"/>
      </w:tabs>
      <w:ind w:left="1332" w:hanging="283"/>
    </w:pPr>
  </w:style>
  <w:style w:type="paragraph" w:customStyle="1" w:styleId="ListBullet1Level4">
    <w:name w:val="List Bullet 1 (Level 4)"/>
    <w:basedOn w:val="Text1"/>
    <w:uiPriority w:val="1"/>
    <w:semiHidden/>
    <w:unhideWhenUsed/>
    <w:pPr>
      <w:tabs>
        <w:tab w:val="num" w:pos="1616"/>
      </w:tabs>
      <w:ind w:left="1616" w:hanging="284"/>
    </w:pPr>
  </w:style>
  <w:style w:type="paragraph" w:styleId="ListBullet2">
    <w:name w:val="List Bullet 2"/>
    <w:basedOn w:val="Text2"/>
    <w:uiPriority w:val="1"/>
    <w:pPr>
      <w:tabs>
        <w:tab w:val="num" w:pos="1485"/>
      </w:tabs>
      <w:ind w:left="1485" w:hanging="283"/>
    </w:pPr>
    <w:rPr>
      <w:rFonts w:ascii="Yu Gothic Light" w:eastAsia="RijksoverheidSansText" w:hAnsi="Yu Gothic Light" w:cs="RijksoverheidSansText"/>
    </w:rPr>
  </w:style>
  <w:style w:type="paragraph" w:customStyle="1" w:styleId="ListBullet2Level2">
    <w:name w:val="List Bullet 2 (Level 2)"/>
    <w:basedOn w:val="Text2"/>
    <w:uiPriority w:val="1"/>
    <w:pPr>
      <w:tabs>
        <w:tab w:val="num" w:pos="1769"/>
      </w:tabs>
      <w:ind w:left="1769" w:hanging="284"/>
    </w:pPr>
  </w:style>
  <w:style w:type="paragraph" w:customStyle="1" w:styleId="ListBullet2Level3">
    <w:name w:val="List Bullet 2 (Level 3)"/>
    <w:basedOn w:val="Text2"/>
    <w:uiPriority w:val="1"/>
    <w:semiHidden/>
    <w:unhideWhenUsed/>
    <w:pPr>
      <w:tabs>
        <w:tab w:val="num" w:pos="2052"/>
      </w:tabs>
      <w:ind w:left="2052" w:hanging="283"/>
    </w:pPr>
  </w:style>
  <w:style w:type="paragraph" w:customStyle="1" w:styleId="ListBullet2Level4">
    <w:name w:val="List Bullet 2 (Level 4)"/>
    <w:basedOn w:val="Text2"/>
    <w:uiPriority w:val="1"/>
    <w:semiHidden/>
    <w:unhideWhenUsed/>
    <w:pPr>
      <w:tabs>
        <w:tab w:val="num" w:pos="2336"/>
      </w:tabs>
      <w:ind w:left="2336" w:hanging="284"/>
    </w:pPr>
  </w:style>
  <w:style w:type="paragraph" w:styleId="ListBullet3">
    <w:name w:val="List Bullet 3"/>
    <w:basedOn w:val="Text3"/>
    <w:uiPriority w:val="1"/>
    <w:pPr>
      <w:tabs>
        <w:tab w:val="num" w:pos="1485"/>
      </w:tabs>
      <w:ind w:left="1485" w:hanging="283"/>
    </w:pPr>
    <w:rPr>
      <w:rFonts w:ascii="Yu Gothic Light" w:eastAsia="RijksoverheidSansText" w:hAnsi="Yu Gothic Light" w:cs="RijksoverheidSansText"/>
    </w:rPr>
  </w:style>
  <w:style w:type="paragraph" w:customStyle="1" w:styleId="ListBullet3Level2">
    <w:name w:val="List Bullet 3 (Level 2)"/>
    <w:basedOn w:val="Text3"/>
    <w:uiPriority w:val="1"/>
    <w:pPr>
      <w:tabs>
        <w:tab w:val="num" w:pos="1769"/>
      </w:tabs>
      <w:ind w:left="1769" w:hanging="284"/>
    </w:pPr>
  </w:style>
  <w:style w:type="paragraph" w:customStyle="1" w:styleId="ListBullet3Level3">
    <w:name w:val="List Bullet 3 (Level 3)"/>
    <w:basedOn w:val="Text3"/>
    <w:uiPriority w:val="1"/>
    <w:semiHidden/>
    <w:unhideWhenUsed/>
    <w:pPr>
      <w:tabs>
        <w:tab w:val="num" w:pos="2052"/>
      </w:tabs>
      <w:ind w:left="2052" w:hanging="283"/>
    </w:pPr>
  </w:style>
  <w:style w:type="paragraph" w:customStyle="1" w:styleId="ListBullet3Level4">
    <w:name w:val="List Bullet 3 (Level 4)"/>
    <w:basedOn w:val="Text3"/>
    <w:uiPriority w:val="1"/>
    <w:semiHidden/>
    <w:unhideWhenUsed/>
    <w:pPr>
      <w:numPr>
        <w:numId w:val="18"/>
      </w:numPr>
      <w:tabs>
        <w:tab w:val="num" w:pos="2336"/>
      </w:tabs>
    </w:pPr>
  </w:style>
  <w:style w:type="paragraph" w:styleId="ListBullet4">
    <w:name w:val="List Bullet 4"/>
    <w:basedOn w:val="Text4"/>
    <w:uiPriority w:val="1"/>
    <w:pPr>
      <w:tabs>
        <w:tab w:val="num" w:pos="1485"/>
      </w:tabs>
      <w:ind w:left="1485" w:hanging="283"/>
    </w:pPr>
    <w:rPr>
      <w:rFonts w:ascii="Yu Gothic Light" w:eastAsia="RijksoverheidSansText" w:hAnsi="Yu Gothic Light" w:cs="RijksoverheidSansText"/>
    </w:rPr>
  </w:style>
  <w:style w:type="paragraph" w:customStyle="1" w:styleId="ListBullet4Level2">
    <w:name w:val="List Bullet 4 (Level 2)"/>
    <w:basedOn w:val="Text4"/>
    <w:uiPriority w:val="1"/>
    <w:pPr>
      <w:tabs>
        <w:tab w:val="num" w:pos="1769"/>
      </w:tabs>
      <w:ind w:left="1769" w:hanging="284"/>
    </w:pPr>
  </w:style>
  <w:style w:type="paragraph" w:customStyle="1" w:styleId="ListBullet4Level3">
    <w:name w:val="List Bullet 4 (Level 3)"/>
    <w:basedOn w:val="Text4"/>
    <w:uiPriority w:val="1"/>
    <w:semiHidden/>
    <w:unhideWhenUsed/>
    <w:pPr>
      <w:numPr>
        <w:numId w:val="17"/>
      </w:numPr>
      <w:tabs>
        <w:tab w:val="num" w:pos="2052"/>
      </w:tabs>
    </w:pPr>
  </w:style>
  <w:style w:type="paragraph" w:customStyle="1" w:styleId="ListBullet4Level4">
    <w:name w:val="List Bullet 4 (Level 4)"/>
    <w:basedOn w:val="Text4"/>
    <w:uiPriority w:val="1"/>
    <w:semiHidden/>
    <w:unhideWhenUsed/>
    <w:pPr>
      <w:tabs>
        <w:tab w:val="num" w:pos="2336"/>
      </w:tabs>
      <w:ind w:left="2336" w:hanging="284"/>
    </w:pPr>
  </w:style>
  <w:style w:type="paragraph" w:customStyle="1" w:styleId="ListDash">
    <w:name w:val="List Dash"/>
    <w:basedOn w:val="Normal"/>
    <w:uiPriority w:val="1"/>
    <w:pPr>
      <w:numPr>
        <w:ilvl w:val="1"/>
        <w:numId w:val="17"/>
      </w:numPr>
      <w:tabs>
        <w:tab w:val="num" w:pos="283"/>
      </w:tabs>
    </w:pPr>
    <w:rPr>
      <w:rFonts w:ascii="Yu Gothic Light" w:eastAsia="RijksoverheidSansText" w:hAnsi="Yu Gothic Light" w:cs="RijksoverheidSansText"/>
    </w:rPr>
  </w:style>
  <w:style w:type="paragraph" w:customStyle="1" w:styleId="ListDashLevel2">
    <w:name w:val="List Dash (Level 2)"/>
    <w:basedOn w:val="Normal"/>
    <w:uiPriority w:val="1"/>
    <w:pPr>
      <w:tabs>
        <w:tab w:val="num" w:pos="567"/>
      </w:tabs>
      <w:ind w:left="567" w:hanging="284"/>
    </w:pPr>
  </w:style>
  <w:style w:type="paragraph" w:customStyle="1" w:styleId="ListDashLevel3">
    <w:name w:val="List Dash (Level 3)"/>
    <w:basedOn w:val="Normal"/>
    <w:uiPriority w:val="1"/>
    <w:semiHidden/>
    <w:unhideWhenUsed/>
    <w:pPr>
      <w:numPr>
        <w:ilvl w:val="2"/>
        <w:numId w:val="17"/>
      </w:numPr>
      <w:tabs>
        <w:tab w:val="num" w:pos="850"/>
      </w:tabs>
    </w:pPr>
  </w:style>
  <w:style w:type="paragraph" w:customStyle="1" w:styleId="ListDashLevel4">
    <w:name w:val="List Dash (Level 4)"/>
    <w:basedOn w:val="Normal"/>
    <w:uiPriority w:val="1"/>
    <w:semiHidden/>
    <w:unhideWhenUsed/>
    <w:pPr>
      <w:tabs>
        <w:tab w:val="num" w:pos="1134"/>
      </w:tabs>
      <w:ind w:left="1134" w:hanging="284"/>
    </w:pPr>
  </w:style>
  <w:style w:type="paragraph" w:customStyle="1" w:styleId="ListDash1">
    <w:name w:val="List Dash 1"/>
    <w:basedOn w:val="Text1"/>
    <w:uiPriority w:val="1"/>
    <w:pPr>
      <w:tabs>
        <w:tab w:val="num" w:pos="765"/>
      </w:tabs>
      <w:ind w:left="765" w:hanging="283"/>
    </w:pPr>
    <w:rPr>
      <w:rFonts w:ascii="Yu Gothic Light" w:eastAsia="RijksoverheidSansText" w:hAnsi="Yu Gothic Light" w:cs="RijksoverheidSansText"/>
    </w:rPr>
  </w:style>
  <w:style w:type="paragraph" w:customStyle="1" w:styleId="ListDash1Level2">
    <w:name w:val="List Dash 1 (Level 2)"/>
    <w:basedOn w:val="Text1"/>
    <w:uiPriority w:val="1"/>
    <w:pPr>
      <w:tabs>
        <w:tab w:val="num" w:pos="1049"/>
      </w:tabs>
      <w:ind w:left="1049" w:hanging="284"/>
    </w:pPr>
  </w:style>
  <w:style w:type="paragraph" w:customStyle="1" w:styleId="ListDash1Level3">
    <w:name w:val="List Dash 1 (Level 3)"/>
    <w:basedOn w:val="Text1"/>
    <w:uiPriority w:val="1"/>
    <w:semiHidden/>
    <w:unhideWhenUsed/>
    <w:pPr>
      <w:tabs>
        <w:tab w:val="num" w:pos="1332"/>
      </w:tabs>
      <w:ind w:left="1332" w:hanging="283"/>
    </w:pPr>
  </w:style>
  <w:style w:type="paragraph" w:customStyle="1" w:styleId="ListDash1Level4">
    <w:name w:val="List Dash 1 (Level 4)"/>
    <w:basedOn w:val="Text1"/>
    <w:uiPriority w:val="1"/>
    <w:semiHidden/>
    <w:unhideWhenUsed/>
    <w:pPr>
      <w:tabs>
        <w:tab w:val="num" w:pos="1616"/>
      </w:tabs>
      <w:ind w:left="1616" w:hanging="284"/>
    </w:pPr>
  </w:style>
  <w:style w:type="paragraph" w:customStyle="1" w:styleId="ListDash2">
    <w:name w:val="List Dash 2"/>
    <w:basedOn w:val="Text2"/>
    <w:uiPriority w:val="1"/>
    <w:pPr>
      <w:tabs>
        <w:tab w:val="num" w:pos="1485"/>
      </w:tabs>
      <w:ind w:left="1485" w:hanging="283"/>
    </w:pPr>
    <w:rPr>
      <w:rFonts w:ascii="Yu Gothic Light" w:eastAsia="RijksoverheidSansText" w:hAnsi="Yu Gothic Light" w:cs="RijksoverheidSansText"/>
    </w:rPr>
  </w:style>
  <w:style w:type="paragraph" w:customStyle="1" w:styleId="ListDash2Level2">
    <w:name w:val="List Dash 2 (Level 2)"/>
    <w:basedOn w:val="Text2"/>
    <w:uiPriority w:val="1"/>
    <w:pPr>
      <w:tabs>
        <w:tab w:val="num" w:pos="1769"/>
      </w:tabs>
      <w:ind w:left="1769" w:hanging="284"/>
    </w:pPr>
  </w:style>
  <w:style w:type="paragraph" w:customStyle="1" w:styleId="ListDash2Level3">
    <w:name w:val="List Dash 2 (Level 3)"/>
    <w:basedOn w:val="Text2"/>
    <w:uiPriority w:val="1"/>
    <w:semiHidden/>
    <w:unhideWhenUsed/>
    <w:pPr>
      <w:tabs>
        <w:tab w:val="num" w:pos="2052"/>
      </w:tabs>
      <w:ind w:left="2052" w:hanging="283"/>
    </w:pPr>
  </w:style>
  <w:style w:type="paragraph" w:customStyle="1" w:styleId="ListDash2Level4">
    <w:name w:val="List Dash 2 (Level 4)"/>
    <w:basedOn w:val="Text2"/>
    <w:uiPriority w:val="1"/>
    <w:semiHidden/>
    <w:unhideWhenUsed/>
    <w:pPr>
      <w:tabs>
        <w:tab w:val="num" w:pos="2336"/>
      </w:tabs>
      <w:ind w:left="2336" w:hanging="284"/>
    </w:pPr>
  </w:style>
  <w:style w:type="paragraph" w:customStyle="1" w:styleId="ListDash3">
    <w:name w:val="List Dash 3"/>
    <w:basedOn w:val="Text3"/>
    <w:uiPriority w:val="1"/>
    <w:pPr>
      <w:tabs>
        <w:tab w:val="num" w:pos="1485"/>
      </w:tabs>
      <w:ind w:left="1485" w:hanging="283"/>
    </w:pPr>
    <w:rPr>
      <w:rFonts w:ascii="Yu Gothic Light" w:eastAsia="RijksoverheidSansText" w:hAnsi="Yu Gothic Light" w:cs="RijksoverheidSansText"/>
    </w:rPr>
  </w:style>
  <w:style w:type="paragraph" w:customStyle="1" w:styleId="ListDash3Level2">
    <w:name w:val="List Dash 3 (Level 2)"/>
    <w:basedOn w:val="Text3"/>
    <w:uiPriority w:val="1"/>
    <w:pPr>
      <w:tabs>
        <w:tab w:val="num" w:pos="1769"/>
      </w:tabs>
      <w:ind w:left="1769" w:hanging="284"/>
    </w:pPr>
  </w:style>
  <w:style w:type="paragraph" w:customStyle="1" w:styleId="ListDash3Level3">
    <w:name w:val="List Dash 3 (Level 3)"/>
    <w:basedOn w:val="Text3"/>
    <w:uiPriority w:val="1"/>
    <w:semiHidden/>
    <w:unhideWhenUsed/>
    <w:pPr>
      <w:tabs>
        <w:tab w:val="num" w:pos="2052"/>
      </w:tabs>
      <w:ind w:left="2052" w:hanging="283"/>
    </w:pPr>
  </w:style>
  <w:style w:type="paragraph" w:customStyle="1" w:styleId="ListDash3Level4">
    <w:name w:val="List Dash 3 (Level 4)"/>
    <w:basedOn w:val="Text3"/>
    <w:uiPriority w:val="1"/>
    <w:semiHidden/>
    <w:unhideWhenUsed/>
    <w:pPr>
      <w:tabs>
        <w:tab w:val="clear" w:pos="1899"/>
        <w:tab w:val="num" w:pos="476"/>
      </w:tabs>
      <w:ind w:left="476" w:hanging="476"/>
    </w:pPr>
    <w:rPr>
      <w:rFonts w:ascii="CharisSIL" w:hAnsi="CharisSIL"/>
    </w:rPr>
  </w:style>
  <w:style w:type="paragraph" w:customStyle="1" w:styleId="ListDash4">
    <w:name w:val="List Dash 4"/>
    <w:basedOn w:val="Text4"/>
    <w:uiPriority w:val="1"/>
    <w:pPr>
      <w:tabs>
        <w:tab w:val="clear" w:pos="2608"/>
        <w:tab w:val="num" w:pos="952"/>
      </w:tabs>
      <w:ind w:left="952" w:hanging="476"/>
    </w:pPr>
    <w:rPr>
      <w:rFonts w:ascii="Yu Gothic Light" w:eastAsia="RijksoverheidSansText" w:hAnsi="Yu Gothic Light" w:cs="RijksoverheidSansText"/>
    </w:rPr>
  </w:style>
  <w:style w:type="paragraph" w:customStyle="1" w:styleId="ListDash4Level2">
    <w:name w:val="List Dash 4 (Level 2)"/>
    <w:basedOn w:val="Text4"/>
    <w:uiPriority w:val="1"/>
    <w:pPr>
      <w:tabs>
        <w:tab w:val="clear" w:pos="2608"/>
        <w:tab w:val="num" w:pos="1429"/>
      </w:tabs>
      <w:ind w:left="1429" w:hanging="477"/>
    </w:pPr>
  </w:style>
  <w:style w:type="paragraph" w:customStyle="1" w:styleId="ListDash4Level3">
    <w:name w:val="List Dash 4 (Level 3)"/>
    <w:basedOn w:val="Text4"/>
    <w:uiPriority w:val="1"/>
    <w:semiHidden/>
    <w:unhideWhenUsed/>
    <w:pPr>
      <w:tabs>
        <w:tab w:val="clear" w:pos="2608"/>
        <w:tab w:val="num" w:pos="283"/>
      </w:tabs>
      <w:ind w:left="283" w:hanging="283"/>
    </w:pPr>
    <w:rPr>
      <w:rFonts w:ascii="CharisSIL" w:hAnsi="CharisSIL"/>
    </w:rPr>
  </w:style>
  <w:style w:type="paragraph" w:customStyle="1" w:styleId="ListDash4Level4">
    <w:name w:val="List Dash 4 (Level 4)"/>
    <w:basedOn w:val="Text4"/>
    <w:uiPriority w:val="1"/>
    <w:semiHidden/>
    <w:unhideWhenUsed/>
    <w:pPr>
      <w:tabs>
        <w:tab w:val="clear" w:pos="2608"/>
        <w:tab w:val="num" w:pos="567"/>
      </w:tabs>
      <w:ind w:left="567" w:hanging="284"/>
    </w:pPr>
  </w:style>
  <w:style w:type="paragraph" w:styleId="ListNumber">
    <w:name w:val="List Number"/>
    <w:basedOn w:val="Normal"/>
    <w:uiPriority w:val="1"/>
    <w:pPr>
      <w:tabs>
        <w:tab w:val="num" w:pos="850"/>
      </w:tabs>
      <w:ind w:left="850" w:hanging="283"/>
    </w:pPr>
    <w:rPr>
      <w:rFonts w:ascii="Yu Gothic Light" w:eastAsia="RijksoverheidSansText" w:hAnsi="Yu Gothic Light" w:cs="RijksoverheidSansText"/>
    </w:rPr>
  </w:style>
  <w:style w:type="paragraph" w:customStyle="1" w:styleId="ListNumberLevel2">
    <w:name w:val="List Number (Level 2)"/>
    <w:basedOn w:val="Normal"/>
    <w:uiPriority w:val="1"/>
    <w:pPr>
      <w:tabs>
        <w:tab w:val="num" w:pos="1134"/>
      </w:tabs>
      <w:ind w:left="1134" w:hanging="284"/>
    </w:pPr>
  </w:style>
  <w:style w:type="paragraph" w:customStyle="1" w:styleId="ListNumberLevel3">
    <w:name w:val="List Number (Level 3)"/>
    <w:basedOn w:val="Normal"/>
    <w:uiPriority w:val="1"/>
    <w:semiHidden/>
    <w:unhideWhenUsed/>
    <w:pPr>
      <w:tabs>
        <w:tab w:val="num" w:pos="765"/>
      </w:tabs>
      <w:ind w:left="765" w:hanging="283"/>
    </w:pPr>
    <w:rPr>
      <w:rFonts w:ascii="CharisSIL" w:hAnsi="CharisSIL"/>
    </w:rPr>
  </w:style>
  <w:style w:type="paragraph" w:customStyle="1" w:styleId="ListNumberLevel4">
    <w:name w:val="List Number (Level 4)"/>
    <w:basedOn w:val="Normal"/>
    <w:uiPriority w:val="1"/>
    <w:semiHidden/>
    <w:unhideWhenUsed/>
    <w:pPr>
      <w:tabs>
        <w:tab w:val="num" w:pos="1049"/>
      </w:tabs>
      <w:ind w:left="1049" w:hanging="284"/>
    </w:pPr>
  </w:style>
  <w:style w:type="paragraph" w:customStyle="1" w:styleId="ListNumber1">
    <w:name w:val="List Number 1"/>
    <w:basedOn w:val="Text1"/>
    <w:uiPriority w:val="1"/>
    <w:pPr>
      <w:tabs>
        <w:tab w:val="clear" w:pos="2835"/>
        <w:tab w:val="num" w:pos="1332"/>
      </w:tabs>
      <w:ind w:left="1332" w:hanging="283"/>
    </w:pPr>
    <w:rPr>
      <w:rFonts w:ascii="Yu Gothic Light" w:eastAsia="RijksoverheidSansText" w:hAnsi="Yu Gothic Light" w:cs="RijksoverheidSansText"/>
    </w:rPr>
  </w:style>
  <w:style w:type="paragraph" w:customStyle="1" w:styleId="ListNumber1Level2">
    <w:name w:val="List Number 1 (Level 2)"/>
    <w:basedOn w:val="Text1"/>
    <w:uiPriority w:val="1"/>
    <w:pPr>
      <w:tabs>
        <w:tab w:val="clear" w:pos="2835"/>
        <w:tab w:val="num" w:pos="1616"/>
      </w:tabs>
      <w:ind w:left="1616" w:hanging="284"/>
    </w:pPr>
  </w:style>
  <w:style w:type="paragraph" w:customStyle="1" w:styleId="ListNumber1Level3">
    <w:name w:val="List Number 1 (Level 3)"/>
    <w:basedOn w:val="Text1"/>
    <w:uiPriority w:val="1"/>
    <w:semiHidden/>
    <w:unhideWhenUsed/>
    <w:pPr>
      <w:tabs>
        <w:tab w:val="clear" w:pos="2835"/>
        <w:tab w:val="num" w:pos="1485"/>
      </w:tabs>
      <w:ind w:left="1485" w:hanging="283"/>
    </w:pPr>
    <w:rPr>
      <w:rFonts w:ascii="CharisSIL" w:hAnsi="CharisSIL"/>
    </w:rPr>
  </w:style>
  <w:style w:type="paragraph" w:customStyle="1" w:styleId="ListNumber1Level4">
    <w:name w:val="List Number 1 (Level 4)"/>
    <w:basedOn w:val="Text1"/>
    <w:uiPriority w:val="1"/>
    <w:semiHidden/>
    <w:unhideWhenUsed/>
    <w:pPr>
      <w:tabs>
        <w:tab w:val="clear" w:pos="2835"/>
        <w:tab w:val="num" w:pos="1769"/>
      </w:tabs>
      <w:ind w:left="1769" w:hanging="284"/>
    </w:pPr>
  </w:style>
  <w:style w:type="paragraph" w:styleId="ListNumber2">
    <w:name w:val="List Number 2"/>
    <w:basedOn w:val="Text2"/>
    <w:uiPriority w:val="1"/>
    <w:pPr>
      <w:tabs>
        <w:tab w:val="num" w:pos="2052"/>
      </w:tabs>
      <w:ind w:left="2052" w:hanging="283"/>
    </w:pPr>
    <w:rPr>
      <w:rFonts w:ascii="Yu Gothic Light" w:eastAsia="RijksoverheidSansText" w:hAnsi="Yu Gothic Light" w:cs="RijksoverheidSansText"/>
    </w:rPr>
  </w:style>
  <w:style w:type="paragraph" w:customStyle="1" w:styleId="ListNumber2Level2">
    <w:name w:val="List Number 2 (Level 2)"/>
    <w:basedOn w:val="Text2"/>
    <w:uiPriority w:val="1"/>
    <w:pPr>
      <w:tabs>
        <w:tab w:val="num" w:pos="2336"/>
      </w:tabs>
      <w:ind w:left="2336" w:hanging="284"/>
    </w:pPr>
  </w:style>
  <w:style w:type="paragraph" w:customStyle="1" w:styleId="ListNumber2Level3">
    <w:name w:val="List Number 2 (Level 3)"/>
    <w:basedOn w:val="Text2"/>
    <w:uiPriority w:val="1"/>
    <w:semiHidden/>
    <w:unhideWhenUsed/>
    <w:pPr>
      <w:tabs>
        <w:tab w:val="num" w:pos="1485"/>
      </w:tabs>
      <w:ind w:left="1485" w:hanging="283"/>
    </w:pPr>
    <w:rPr>
      <w:rFonts w:ascii="CharisSIL" w:hAnsi="CharisSIL"/>
    </w:rPr>
  </w:style>
  <w:style w:type="paragraph" w:customStyle="1" w:styleId="ListNumber2Level4">
    <w:name w:val="List Number 2 (Level 4)"/>
    <w:basedOn w:val="Text2"/>
    <w:uiPriority w:val="1"/>
    <w:semiHidden/>
    <w:unhideWhenUsed/>
    <w:pPr>
      <w:tabs>
        <w:tab w:val="num" w:pos="1769"/>
      </w:tabs>
      <w:ind w:left="1769" w:hanging="284"/>
    </w:pPr>
  </w:style>
  <w:style w:type="paragraph" w:styleId="ListNumber3">
    <w:name w:val="List Number 3"/>
    <w:basedOn w:val="Text3"/>
    <w:uiPriority w:val="1"/>
    <w:pPr>
      <w:tabs>
        <w:tab w:val="clear" w:pos="1899"/>
        <w:tab w:val="num" w:pos="2052"/>
      </w:tabs>
      <w:ind w:left="2052" w:hanging="283"/>
    </w:pPr>
    <w:rPr>
      <w:rFonts w:ascii="Yu Gothic Light" w:eastAsia="RijksoverheidSansText" w:hAnsi="Yu Gothic Light" w:cs="RijksoverheidSansText"/>
    </w:rPr>
  </w:style>
  <w:style w:type="paragraph" w:customStyle="1" w:styleId="ListNumber3Level2">
    <w:name w:val="List Number 3 (Level 2)"/>
    <w:basedOn w:val="Text3"/>
    <w:uiPriority w:val="1"/>
    <w:pPr>
      <w:tabs>
        <w:tab w:val="clear" w:pos="1899"/>
        <w:tab w:val="num" w:pos="2336"/>
      </w:tabs>
      <w:ind w:left="2336" w:hanging="284"/>
    </w:pPr>
  </w:style>
  <w:style w:type="paragraph" w:customStyle="1" w:styleId="ListNumber3Level3">
    <w:name w:val="List Number 3 (Level 3)"/>
    <w:basedOn w:val="Text3"/>
    <w:uiPriority w:val="1"/>
    <w:semiHidden/>
    <w:unhideWhenUsed/>
    <w:pPr>
      <w:numPr>
        <w:numId w:val="16"/>
      </w:numPr>
    </w:pPr>
    <w:rPr>
      <w:rFonts w:ascii="CharisSIL" w:hAnsi="CharisSIL"/>
    </w:rPr>
  </w:style>
  <w:style w:type="paragraph" w:customStyle="1" w:styleId="ListNumber3Level4">
    <w:name w:val="List Number 3 (Level 4)"/>
    <w:basedOn w:val="Text3"/>
    <w:uiPriority w:val="1"/>
    <w:semiHidden/>
    <w:unhideWhenUsed/>
    <w:pPr>
      <w:tabs>
        <w:tab w:val="clear" w:pos="1899"/>
        <w:tab w:val="num" w:pos="476"/>
      </w:tabs>
      <w:ind w:left="476" w:hanging="476"/>
    </w:pPr>
  </w:style>
  <w:style w:type="paragraph" w:styleId="ListNumber4">
    <w:name w:val="List Number 4"/>
    <w:basedOn w:val="Text4"/>
    <w:uiPriority w:val="1"/>
    <w:pPr>
      <w:tabs>
        <w:tab w:val="clear" w:pos="2608"/>
        <w:tab w:val="num" w:pos="476"/>
      </w:tabs>
      <w:ind w:left="476" w:hanging="476"/>
    </w:pPr>
    <w:rPr>
      <w:rFonts w:ascii="Yu Gothic Light" w:eastAsia="RijksoverheidSansText" w:hAnsi="Yu Gothic Light" w:cs="RijksoverheidSansText"/>
    </w:rPr>
  </w:style>
  <w:style w:type="paragraph" w:customStyle="1" w:styleId="ListNumber4Level2">
    <w:name w:val="List Number 4 (Level 2)"/>
    <w:basedOn w:val="Text4"/>
    <w:uiPriority w:val="1"/>
    <w:pPr>
      <w:numPr>
        <w:numId w:val="15"/>
      </w:numPr>
    </w:pPr>
  </w:style>
  <w:style w:type="paragraph" w:customStyle="1" w:styleId="ListNumber4Level3">
    <w:name w:val="List Number 4 (Level 3)"/>
    <w:basedOn w:val="Text4"/>
    <w:uiPriority w:val="1"/>
    <w:semiHidden/>
    <w:unhideWhenUsed/>
    <w:pPr>
      <w:numPr>
        <w:ilvl w:val="1"/>
        <w:numId w:val="15"/>
      </w:numPr>
    </w:pPr>
    <w:rPr>
      <w:rFonts w:ascii="CharisSIL" w:hAnsi="CharisSIL"/>
    </w:rPr>
  </w:style>
  <w:style w:type="paragraph" w:customStyle="1" w:styleId="ListNumber4Level4">
    <w:name w:val="List Number 4 (Level 4)"/>
    <w:basedOn w:val="Text4"/>
    <w:uiPriority w:val="1"/>
    <w:semiHidden/>
    <w:unhideWhenUsed/>
    <w:pPr>
      <w:tabs>
        <w:tab w:val="clear" w:pos="2608"/>
        <w:tab w:val="num" w:pos="283"/>
      </w:tabs>
      <w:ind w:left="283" w:hanging="283"/>
    </w:pPr>
  </w:style>
  <w:style w:type="paragraph" w:styleId="MacroText">
    <w:name w:val="macro"/>
    <w:basedOn w:val="Normal"/>
    <w:uiPriority w:val="1"/>
    <w:qFormat/>
    <w:pPr>
      <w:numPr>
        <w:ilvl w:val="3"/>
        <w:numId w:val="15"/>
      </w:numPr>
      <w:tabs>
        <w:tab w:val="left" w:pos="482"/>
        <w:tab w:val="left" w:pos="958"/>
        <w:tab w:val="left" w:pos="1440"/>
        <w:tab w:val="left" w:pos="1922"/>
        <w:tab w:val="left" w:pos="2398"/>
        <w:tab w:val="left" w:pos="2880"/>
        <w:tab w:val="left" w:pos="3362"/>
        <w:tab w:val="left" w:pos="3838"/>
        <w:tab w:val="left" w:pos="4320"/>
      </w:tabs>
    </w:pPr>
    <w:rPr>
      <w:rFonts w:ascii="Open Sans" w:hAnsi="Open Sans"/>
      <w:sz w:val="22"/>
    </w:rPr>
  </w:style>
  <w:style w:type="paragraph" w:customStyle="1" w:styleId="Marking">
    <w:name w:val="Marking"/>
    <w:basedOn w:val="Normal"/>
    <w:semiHidden/>
    <w:rsid w:val="00687C7B"/>
    <w:pPr>
      <w:ind w:left="5102" w:right="-680"/>
      <w:contextualSpacing/>
      <w:jc w:val="left"/>
    </w:pPr>
    <w:rPr>
      <w:rFonts w:ascii="Times New Roman" w:eastAsia="Times New Roman" w:hAnsi="Times New Roman" w:cs="Times New Roman"/>
      <w:sz w:val="28"/>
      <w:szCs w:val="20"/>
      <w:lang w:val="en-IE"/>
    </w:rPr>
  </w:style>
  <w:style w:type="paragraph" w:customStyle="1" w:styleId="NumPar1">
    <w:name w:val="NumPar 1"/>
    <w:basedOn w:val="Heading1"/>
    <w:uiPriority w:val="1"/>
    <w:qFormat/>
    <w:pPr>
      <w:keepNext w:val="0"/>
      <w:numPr>
        <w:ilvl w:val="1"/>
        <w:numId w:val="14"/>
      </w:numPr>
      <w:spacing w:before="0"/>
      <w:outlineLvl w:val="9"/>
    </w:pPr>
    <w:rPr>
      <w:rFonts w:ascii="CharisSIL" w:hAnsi="CharisSIL"/>
      <w:b w:val="0"/>
      <w:smallCaps w:val="0"/>
    </w:rPr>
  </w:style>
  <w:style w:type="paragraph" w:customStyle="1" w:styleId="NumPar2">
    <w:name w:val="NumPar 2"/>
    <w:basedOn w:val="Heading2"/>
    <w:uiPriority w:val="1"/>
    <w:qFormat/>
    <w:pPr>
      <w:keepNext w:val="0"/>
      <w:numPr>
        <w:ilvl w:val="2"/>
        <w:numId w:val="14"/>
      </w:numPr>
      <w:spacing w:after="120"/>
      <w:textAlignment w:val="baseline"/>
      <w:outlineLvl w:val="9"/>
    </w:pPr>
    <w:rPr>
      <w:b w:val="0"/>
    </w:rPr>
  </w:style>
  <w:style w:type="paragraph" w:customStyle="1" w:styleId="NumPar3">
    <w:name w:val="NumPar 3"/>
    <w:basedOn w:val="Heading3"/>
    <w:uiPriority w:val="1"/>
    <w:qFormat/>
    <w:pPr>
      <w:keepNext w:val="0"/>
      <w:numPr>
        <w:ilvl w:val="3"/>
        <w:numId w:val="14"/>
      </w:numPr>
      <w:outlineLvl w:val="9"/>
    </w:pPr>
    <w:rPr>
      <w:i w:val="0"/>
    </w:rPr>
  </w:style>
  <w:style w:type="paragraph" w:customStyle="1" w:styleId="NumPar4">
    <w:name w:val="NumPar 4"/>
    <w:basedOn w:val="Heading4"/>
    <w:uiPriority w:val="1"/>
    <w:qFormat/>
    <w:pPr>
      <w:keepNext w:val="0"/>
      <w:numPr>
        <w:ilvl w:val="0"/>
        <w:numId w:val="13"/>
      </w:numPr>
      <w:tabs>
        <w:tab w:val="num" w:pos="2336"/>
      </w:tabs>
      <w:outlineLvl w:val="9"/>
    </w:pPr>
  </w:style>
  <w:style w:type="paragraph" w:customStyle="1" w:styleId="PartTitle">
    <w:name w:val="PartTitle"/>
    <w:basedOn w:val="Normal"/>
    <w:next w:val="ChapterTitle"/>
    <w:uiPriority w:val="1"/>
    <w:qFormat/>
    <w:pPr>
      <w:keepNext/>
      <w:pageBreakBefore/>
      <w:numPr>
        <w:ilvl w:val="1"/>
        <w:numId w:val="13"/>
      </w:numPr>
      <w:spacing w:after="480"/>
      <w:jc w:val="center"/>
      <w:outlineLvl w:val="0"/>
    </w:pPr>
    <w:rPr>
      <w:rFonts w:ascii="CharisSIL" w:hAnsi="CharisSIL"/>
      <w:b/>
      <w:sz w:val="36"/>
    </w:rPr>
  </w:style>
  <w:style w:type="paragraph" w:customStyle="1" w:styleId="Releasable">
    <w:name w:val="Releasable"/>
    <w:basedOn w:val="Normal"/>
    <w:semiHidden/>
    <w:pPr>
      <w:numPr>
        <w:ilvl w:val="3"/>
        <w:numId w:val="13"/>
      </w:numPr>
      <w:spacing w:after="0"/>
      <w:jc w:val="center"/>
    </w:pPr>
    <w:rPr>
      <w:b/>
      <w:caps/>
      <w:sz w:val="32"/>
    </w:rPr>
  </w:style>
  <w:style w:type="paragraph" w:customStyle="1" w:styleId="RUE">
    <w:name w:val="RUE"/>
    <w:basedOn w:val="Normal"/>
    <w:semiHidden/>
    <w:pPr>
      <w:numPr>
        <w:numId w:val="12"/>
      </w:numPr>
      <w:spacing w:after="0"/>
      <w:jc w:val="center"/>
    </w:pPr>
    <w:rPr>
      <w:b/>
      <w:caps/>
      <w:sz w:val="32"/>
      <w:bdr w:val="single" w:sz="18" w:space="0" w:color="auto"/>
    </w:rPr>
  </w:style>
  <w:style w:type="paragraph" w:customStyle="1" w:styleId="SecretUE">
    <w:name w:val="Secret UE"/>
    <w:basedOn w:val="Normal"/>
    <w:semiHidden/>
    <w:pPr>
      <w:numPr>
        <w:ilvl w:val="1"/>
        <w:numId w:val="12"/>
      </w:numPr>
      <w:spacing w:after="0"/>
      <w:jc w:val="center"/>
    </w:pPr>
    <w:rPr>
      <w:rFonts w:ascii="CharisSIL" w:hAnsi="CharisSIL"/>
      <w:b/>
      <w:caps/>
      <w:color w:val="FF0000"/>
      <w:sz w:val="32"/>
      <w:bdr w:val="single" w:sz="18" w:space="0" w:color="FF0000"/>
    </w:rPr>
  </w:style>
  <w:style w:type="paragraph" w:styleId="Signature">
    <w:name w:val="Signature"/>
    <w:basedOn w:val="Normal"/>
    <w:uiPriority w:val="2"/>
    <w:pPr>
      <w:numPr>
        <w:ilvl w:val="3"/>
        <w:numId w:val="12"/>
      </w:numPr>
      <w:spacing w:before="1200" w:after="0"/>
      <w:jc w:val="center"/>
    </w:pPr>
  </w:style>
  <w:style w:type="paragraph" w:customStyle="1" w:styleId="SignatureL">
    <w:name w:val="SignatureL"/>
    <w:basedOn w:val="Normal"/>
    <w:uiPriority w:val="2"/>
    <w:pPr>
      <w:numPr>
        <w:numId w:val="11"/>
      </w:numPr>
      <w:spacing w:before="1200" w:after="0"/>
      <w:jc w:val="left"/>
    </w:pPr>
  </w:style>
  <w:style w:type="paragraph" w:customStyle="1" w:styleId="SubTitle1">
    <w:name w:val="SubTitle 1"/>
    <w:basedOn w:val="Normal"/>
    <w:next w:val="SubTitle2"/>
    <w:uiPriority w:val="1"/>
    <w:qFormat/>
    <w:pPr>
      <w:numPr>
        <w:ilvl w:val="1"/>
        <w:numId w:val="11"/>
      </w:numPr>
      <w:jc w:val="center"/>
    </w:pPr>
    <w:rPr>
      <w:rFonts w:ascii="CharisSIL" w:hAnsi="CharisSIL"/>
      <w:b/>
      <w:sz w:val="40"/>
    </w:rPr>
  </w:style>
  <w:style w:type="paragraph" w:customStyle="1" w:styleId="SubTitle2">
    <w:name w:val="SubTitle 2"/>
    <w:basedOn w:val="Normal"/>
    <w:uiPriority w:val="1"/>
    <w:qFormat/>
    <w:pPr>
      <w:numPr>
        <w:ilvl w:val="2"/>
        <w:numId w:val="11"/>
      </w:numPr>
      <w:jc w:val="center"/>
    </w:pPr>
    <w:rPr>
      <w:b/>
      <w:sz w:val="32"/>
    </w:rPr>
  </w:style>
  <w:style w:type="paragraph" w:customStyle="1" w:styleId="TableListBullet">
    <w:name w:val="Table List Bullet"/>
    <w:basedOn w:val="TableText"/>
    <w:uiPriority w:val="1"/>
    <w:pPr>
      <w:numPr>
        <w:ilvl w:val="3"/>
        <w:numId w:val="11"/>
      </w:numPr>
    </w:pPr>
    <w:rPr>
      <w:rFonts w:ascii="Yu Gothic Light" w:eastAsia="RijksoverheidSansText" w:hAnsi="Yu Gothic Light" w:cs="RijksoverheidSansText"/>
    </w:rPr>
  </w:style>
  <w:style w:type="paragraph" w:customStyle="1" w:styleId="TableText">
    <w:name w:val="Table Text"/>
    <w:basedOn w:val="Normal"/>
    <w:uiPriority w:val="1"/>
    <w:qFormat/>
    <w:pPr>
      <w:numPr>
        <w:ilvl w:val="2"/>
        <w:numId w:val="1"/>
      </w:numPr>
      <w:spacing w:before="60" w:after="60"/>
      <w:jc w:val="left"/>
    </w:pPr>
  </w:style>
  <w:style w:type="paragraph" w:customStyle="1" w:styleId="TableListBulletLevel2">
    <w:name w:val="Table List Bullet (Level 2)"/>
    <w:basedOn w:val="TableText"/>
    <w:uiPriority w:val="1"/>
    <w:pPr>
      <w:numPr>
        <w:ilvl w:val="0"/>
        <w:numId w:val="5"/>
      </w:numPr>
    </w:pPr>
  </w:style>
  <w:style w:type="paragraph" w:customStyle="1" w:styleId="TableListBulletLevel3">
    <w:name w:val="Table List Bullet (Level 3)"/>
    <w:basedOn w:val="TableText"/>
    <w:uiPriority w:val="1"/>
    <w:semiHidden/>
    <w:unhideWhenUsed/>
    <w:pPr>
      <w:numPr>
        <w:ilvl w:val="1"/>
        <w:numId w:val="5"/>
      </w:numPr>
    </w:pPr>
  </w:style>
  <w:style w:type="paragraph" w:customStyle="1" w:styleId="TableListBulletLevel4">
    <w:name w:val="Table List Bullet (Level 4)"/>
    <w:basedOn w:val="TableText"/>
    <w:uiPriority w:val="1"/>
    <w:semiHidden/>
    <w:unhideWhenUsed/>
    <w:pPr>
      <w:numPr>
        <w:numId w:val="5"/>
      </w:numPr>
    </w:pPr>
    <w:rPr>
      <w:rFonts w:ascii="CharisSIL" w:hAnsi="CharisSIL"/>
    </w:rPr>
  </w:style>
  <w:style w:type="paragraph" w:customStyle="1" w:styleId="TableListDash">
    <w:name w:val="Table List Dash"/>
    <w:basedOn w:val="TableText"/>
    <w:uiPriority w:val="1"/>
    <w:pPr>
      <w:numPr>
        <w:ilvl w:val="3"/>
        <w:numId w:val="5"/>
      </w:numPr>
    </w:pPr>
    <w:rPr>
      <w:rFonts w:ascii="Yu Gothic Light" w:eastAsia="RijksoverheidSansText" w:hAnsi="Yu Gothic Light" w:cs="RijksoverheidSansText"/>
    </w:rPr>
  </w:style>
  <w:style w:type="paragraph" w:customStyle="1" w:styleId="TableListDashLevel2">
    <w:name w:val="Table List Dash (Level 2)"/>
    <w:basedOn w:val="TableText"/>
    <w:uiPriority w:val="1"/>
    <w:pPr>
      <w:numPr>
        <w:ilvl w:val="0"/>
        <w:numId w:val="4"/>
      </w:numPr>
    </w:pPr>
  </w:style>
  <w:style w:type="paragraph" w:customStyle="1" w:styleId="TableListDashLevel3">
    <w:name w:val="Table List Dash (Level 3)"/>
    <w:basedOn w:val="TableText"/>
    <w:uiPriority w:val="1"/>
    <w:semiHidden/>
    <w:unhideWhenUsed/>
    <w:pPr>
      <w:numPr>
        <w:ilvl w:val="0"/>
        <w:numId w:val="0"/>
      </w:numPr>
      <w:tabs>
        <w:tab w:val="num" w:pos="1049"/>
      </w:tabs>
      <w:ind w:left="1049" w:hanging="284"/>
    </w:pPr>
  </w:style>
  <w:style w:type="paragraph" w:customStyle="1" w:styleId="TableListDashLevel4">
    <w:name w:val="Table List Dash (Level 4)"/>
    <w:basedOn w:val="TableText"/>
    <w:uiPriority w:val="1"/>
    <w:semiHidden/>
    <w:unhideWhenUsed/>
    <w:pPr>
      <w:numPr>
        <w:numId w:val="4"/>
      </w:numPr>
    </w:pPr>
    <w:rPr>
      <w:rFonts w:ascii="CharisSIL" w:hAnsi="CharisSIL"/>
    </w:rPr>
  </w:style>
  <w:style w:type="paragraph" w:customStyle="1" w:styleId="TableListNumber">
    <w:name w:val="Table List Number"/>
    <w:basedOn w:val="TableText"/>
    <w:uiPriority w:val="1"/>
    <w:pPr>
      <w:numPr>
        <w:ilvl w:val="3"/>
        <w:numId w:val="4"/>
      </w:numPr>
    </w:pPr>
    <w:rPr>
      <w:rFonts w:ascii="Yu Gothic Light" w:eastAsia="RijksoverheidSansText" w:hAnsi="Yu Gothic Light" w:cs="RijksoverheidSansText"/>
    </w:rPr>
  </w:style>
  <w:style w:type="paragraph" w:customStyle="1" w:styleId="TableListNumberLevel2">
    <w:name w:val="Table List Number (Level 2)"/>
    <w:basedOn w:val="TableText"/>
    <w:uiPriority w:val="1"/>
    <w:pPr>
      <w:numPr>
        <w:ilvl w:val="0"/>
        <w:numId w:val="3"/>
      </w:numPr>
    </w:pPr>
  </w:style>
  <w:style w:type="paragraph" w:customStyle="1" w:styleId="TableListNumberLevel3">
    <w:name w:val="Table List Number (Level 3)"/>
    <w:basedOn w:val="TableText"/>
    <w:uiPriority w:val="1"/>
    <w:semiHidden/>
    <w:unhideWhenUsed/>
    <w:pPr>
      <w:numPr>
        <w:numId w:val="3"/>
      </w:numPr>
    </w:pPr>
    <w:rPr>
      <w:rFonts w:ascii="CharisSIL" w:hAnsi="CharisSIL"/>
    </w:rPr>
  </w:style>
  <w:style w:type="paragraph" w:customStyle="1" w:styleId="TableListNumberLevel4">
    <w:name w:val="Table List Number (Level 4)"/>
    <w:basedOn w:val="TableText"/>
    <w:uiPriority w:val="1"/>
    <w:semiHidden/>
    <w:unhideWhenUsed/>
    <w:pPr>
      <w:numPr>
        <w:ilvl w:val="3"/>
        <w:numId w:val="3"/>
      </w:numPr>
    </w:pPr>
  </w:style>
  <w:style w:type="paragraph" w:customStyle="1" w:styleId="TableSource">
    <w:name w:val="Table Source"/>
    <w:basedOn w:val="Normal"/>
    <w:next w:val="Normal"/>
    <w:semiHidden/>
    <w:unhideWhenUsed/>
    <w:pPr>
      <w:numPr>
        <w:numId w:val="2"/>
      </w:numPr>
    </w:pPr>
    <w:rPr>
      <w:sz w:val="20"/>
    </w:rPr>
  </w:style>
  <w:style w:type="paragraph" w:customStyle="1" w:styleId="TableSource1">
    <w:name w:val="Table Source 1"/>
    <w:basedOn w:val="Text1"/>
    <w:next w:val="Text1"/>
    <w:semiHidden/>
    <w:unhideWhenUsed/>
    <w:pPr>
      <w:numPr>
        <w:ilvl w:val="2"/>
        <w:numId w:val="2"/>
      </w:numPr>
    </w:pPr>
    <w:rPr>
      <w:sz w:val="20"/>
    </w:rPr>
  </w:style>
  <w:style w:type="paragraph" w:customStyle="1" w:styleId="TableSource2">
    <w:name w:val="Table Source 2"/>
    <w:basedOn w:val="Text2"/>
    <w:next w:val="Text2"/>
    <w:semiHidden/>
    <w:unhideWhenUsed/>
    <w:pPr>
      <w:numPr>
        <w:ilvl w:val="3"/>
        <w:numId w:val="2"/>
      </w:numPr>
    </w:pPr>
    <w:rPr>
      <w:sz w:val="20"/>
    </w:rPr>
  </w:style>
  <w:style w:type="paragraph" w:customStyle="1" w:styleId="TableSource3">
    <w:name w:val="Table Source 3"/>
    <w:basedOn w:val="Text3"/>
    <w:next w:val="Text3"/>
    <w:semiHidden/>
    <w:unhideWhenUsed/>
    <w:pPr>
      <w:numPr>
        <w:numId w:val="1"/>
      </w:numPr>
    </w:pPr>
    <w:rPr>
      <w:sz w:val="20"/>
    </w:rPr>
  </w:style>
  <w:style w:type="paragraph" w:customStyle="1" w:styleId="TableSource4">
    <w:name w:val="Table Source 4"/>
    <w:basedOn w:val="Text4"/>
    <w:next w:val="Text4"/>
    <w:semiHidden/>
    <w:unhideWhenUsed/>
    <w:pPr>
      <w:numPr>
        <w:ilvl w:val="1"/>
        <w:numId w:val="1"/>
      </w:numPr>
    </w:pPr>
    <w:rPr>
      <w:rFonts w:ascii="CharisSIL" w:hAnsi="CharisSIL"/>
      <w:sz w:val="20"/>
    </w:rPr>
  </w:style>
  <w:style w:type="paragraph" w:customStyle="1" w:styleId="TableTitle">
    <w:name w:val="Table Title"/>
    <w:basedOn w:val="Normal"/>
    <w:uiPriority w:val="1"/>
    <w:semiHidden/>
    <w:unhideWhenUsed/>
    <w:pPr>
      <w:keepNext/>
      <w:numPr>
        <w:ilvl w:val="1"/>
        <w:numId w:val="6"/>
      </w:numPr>
      <w:spacing w:after="120"/>
    </w:pPr>
    <w:rPr>
      <w:rFonts w:ascii="CharisSIL" w:hAnsi="CharisSIL"/>
      <w:b/>
      <w:i/>
    </w:rPr>
  </w:style>
  <w:style w:type="paragraph" w:customStyle="1" w:styleId="TableTitle1">
    <w:name w:val="Table Title 1"/>
    <w:basedOn w:val="Text1"/>
    <w:uiPriority w:val="1"/>
    <w:semiHidden/>
    <w:unhideWhenUsed/>
    <w:pPr>
      <w:keepNext/>
      <w:tabs>
        <w:tab w:val="clear" w:pos="2835"/>
        <w:tab w:val="num" w:pos="1485"/>
      </w:tabs>
      <w:spacing w:after="120"/>
      <w:ind w:left="1485" w:hanging="283"/>
    </w:pPr>
    <w:rPr>
      <w:b/>
      <w:i/>
    </w:rPr>
  </w:style>
  <w:style w:type="paragraph" w:customStyle="1" w:styleId="TableTitle2">
    <w:name w:val="Table Title 2"/>
    <w:basedOn w:val="Text2"/>
    <w:uiPriority w:val="1"/>
    <w:semiHidden/>
    <w:unhideWhenUsed/>
    <w:pPr>
      <w:keepNext/>
      <w:numPr>
        <w:numId w:val="10"/>
      </w:numPr>
      <w:spacing w:after="120"/>
    </w:pPr>
    <w:rPr>
      <w:b/>
      <w:i/>
    </w:rPr>
  </w:style>
  <w:style w:type="paragraph" w:customStyle="1" w:styleId="TableTitle3">
    <w:name w:val="Table Title 3"/>
    <w:basedOn w:val="Text3"/>
    <w:uiPriority w:val="1"/>
    <w:semiHidden/>
    <w:unhideWhenUsed/>
    <w:pPr>
      <w:keepNext/>
      <w:numPr>
        <w:ilvl w:val="1"/>
        <w:numId w:val="10"/>
      </w:numPr>
      <w:spacing w:after="120"/>
    </w:pPr>
    <w:rPr>
      <w:b/>
      <w:i/>
    </w:rPr>
  </w:style>
  <w:style w:type="paragraph" w:customStyle="1" w:styleId="TableTitle4">
    <w:name w:val="Table Title 4"/>
    <w:basedOn w:val="Text4"/>
    <w:uiPriority w:val="1"/>
    <w:semiHidden/>
    <w:unhideWhenUsed/>
    <w:pPr>
      <w:keepNext/>
      <w:numPr>
        <w:ilvl w:val="2"/>
        <w:numId w:val="10"/>
      </w:numPr>
      <w:spacing w:after="120"/>
    </w:pPr>
    <w:rPr>
      <w:b/>
      <w:i/>
    </w:rPr>
  </w:style>
  <w:style w:type="paragraph" w:styleId="Title">
    <w:name w:val="Title"/>
    <w:basedOn w:val="Normal"/>
    <w:next w:val="SubTitle1"/>
    <w:uiPriority w:val="1"/>
    <w:qFormat/>
    <w:pPr>
      <w:numPr>
        <w:ilvl w:val="3"/>
        <w:numId w:val="9"/>
      </w:numPr>
      <w:spacing w:after="480"/>
      <w:jc w:val="center"/>
    </w:pPr>
    <w:rPr>
      <w:b/>
      <w:kern w:val="28"/>
      <w:sz w:val="48"/>
    </w:rPr>
  </w:style>
  <w:style w:type="paragraph" w:styleId="TOC1">
    <w:name w:val="toc 1"/>
    <w:basedOn w:val="Normal"/>
    <w:next w:val="Normal"/>
    <w:uiPriority w:val="39"/>
    <w:rsid w:val="008D5021"/>
    <w:pPr>
      <w:spacing w:before="120" w:after="120"/>
      <w:jc w:val="left"/>
    </w:pPr>
    <w:rPr>
      <w:rFonts w:asciiTheme="minorHAnsi" w:hAnsiTheme="minorHAnsi" w:cstheme="minorHAnsi"/>
      <w:b/>
      <w:bCs/>
      <w:caps/>
      <w:sz w:val="20"/>
      <w:szCs w:val="20"/>
    </w:rPr>
  </w:style>
  <w:style w:type="paragraph" w:styleId="TOC2">
    <w:name w:val="toc 2"/>
    <w:basedOn w:val="Normal"/>
    <w:next w:val="Normal"/>
    <w:uiPriority w:val="39"/>
    <w:rsid w:val="008D5021"/>
    <w:pPr>
      <w:spacing w:after="0"/>
      <w:ind w:left="240"/>
      <w:jc w:val="left"/>
    </w:pPr>
    <w:rPr>
      <w:rFonts w:asciiTheme="minorHAnsi" w:hAnsiTheme="minorHAnsi" w:cstheme="minorHAnsi"/>
      <w:smallCaps/>
      <w:sz w:val="20"/>
      <w:szCs w:val="20"/>
    </w:rPr>
  </w:style>
  <w:style w:type="paragraph" w:styleId="TOC3">
    <w:name w:val="toc 3"/>
    <w:basedOn w:val="Normal"/>
    <w:next w:val="Normal"/>
    <w:uiPriority w:val="39"/>
    <w:pPr>
      <w:spacing w:after="0"/>
      <w:ind w:left="480"/>
      <w:jc w:val="left"/>
    </w:pPr>
    <w:rPr>
      <w:rFonts w:asciiTheme="minorHAnsi" w:hAnsiTheme="minorHAnsi" w:cstheme="minorHAnsi"/>
      <w:i/>
      <w:iCs/>
      <w:sz w:val="20"/>
      <w:szCs w:val="20"/>
    </w:rPr>
  </w:style>
  <w:style w:type="paragraph" w:styleId="TOC4">
    <w:name w:val="toc 4"/>
    <w:basedOn w:val="Normal"/>
    <w:next w:val="Normal"/>
    <w:uiPriority w:val="39"/>
    <w:pPr>
      <w:spacing w:after="0"/>
      <w:ind w:left="720"/>
      <w:jc w:val="left"/>
    </w:pPr>
    <w:rPr>
      <w:rFonts w:asciiTheme="minorHAnsi" w:hAnsiTheme="minorHAnsi" w:cstheme="minorHAnsi"/>
      <w:sz w:val="18"/>
      <w:szCs w:val="18"/>
    </w:rPr>
  </w:style>
  <w:style w:type="paragraph" w:styleId="TOC5">
    <w:name w:val="toc 5"/>
    <w:basedOn w:val="Normal"/>
    <w:next w:val="Normal"/>
    <w:uiPriority w:val="39"/>
    <w:pPr>
      <w:spacing w:after="0"/>
      <w:ind w:left="960"/>
      <w:jc w:val="left"/>
    </w:pPr>
    <w:rPr>
      <w:rFonts w:asciiTheme="minorHAnsi" w:hAnsiTheme="minorHAnsi" w:cstheme="minorHAnsi"/>
      <w:sz w:val="18"/>
      <w:szCs w:val="18"/>
    </w:rPr>
  </w:style>
  <w:style w:type="paragraph" w:styleId="TOC6">
    <w:name w:val="toc 6"/>
    <w:basedOn w:val="Normal"/>
    <w:next w:val="Normal"/>
    <w:uiPriority w:val="39"/>
    <w:pPr>
      <w:spacing w:after="0"/>
      <w:ind w:left="1200"/>
      <w:jc w:val="left"/>
    </w:pPr>
    <w:rPr>
      <w:rFonts w:asciiTheme="minorHAnsi" w:hAnsiTheme="minorHAnsi" w:cstheme="minorHAnsi"/>
      <w:sz w:val="18"/>
      <w:szCs w:val="18"/>
    </w:rPr>
  </w:style>
  <w:style w:type="paragraph" w:styleId="TOC7">
    <w:name w:val="toc 7"/>
    <w:basedOn w:val="Normal"/>
    <w:next w:val="Normal"/>
    <w:uiPriority w:val="39"/>
    <w:pPr>
      <w:spacing w:after="0"/>
      <w:ind w:left="1440"/>
      <w:jc w:val="left"/>
    </w:pPr>
    <w:rPr>
      <w:rFonts w:asciiTheme="minorHAnsi" w:hAnsiTheme="minorHAnsi" w:cstheme="minorHAnsi"/>
      <w:sz w:val="18"/>
      <w:szCs w:val="18"/>
    </w:rPr>
  </w:style>
  <w:style w:type="paragraph" w:styleId="TOC8">
    <w:name w:val="toc 8"/>
    <w:basedOn w:val="Normal"/>
    <w:next w:val="Normal"/>
    <w:uiPriority w:val="39"/>
    <w:pPr>
      <w:spacing w:after="0"/>
      <w:ind w:left="1680"/>
      <w:jc w:val="left"/>
    </w:pPr>
    <w:rPr>
      <w:rFonts w:asciiTheme="minorHAnsi" w:hAnsiTheme="minorHAnsi" w:cstheme="minorHAnsi"/>
      <w:sz w:val="18"/>
      <w:szCs w:val="18"/>
    </w:rPr>
  </w:style>
  <w:style w:type="paragraph" w:styleId="TOC9">
    <w:name w:val="toc 9"/>
    <w:basedOn w:val="Normal"/>
    <w:next w:val="Normal"/>
    <w:uiPriority w:val="39"/>
    <w:pPr>
      <w:spacing w:after="0"/>
      <w:ind w:left="1920"/>
      <w:jc w:val="left"/>
    </w:pPr>
    <w:rPr>
      <w:rFonts w:asciiTheme="minorHAnsi" w:hAnsiTheme="minorHAnsi" w:cstheme="minorHAnsi"/>
      <w:sz w:val="18"/>
      <w:szCs w:val="18"/>
    </w:rPr>
  </w:style>
  <w:style w:type="paragraph" w:styleId="TOCHeading">
    <w:name w:val="TOC Heading"/>
    <w:basedOn w:val="Normal"/>
    <w:next w:val="Normal"/>
    <w:semiHidden/>
    <w:pPr>
      <w:tabs>
        <w:tab w:val="num" w:pos="4037"/>
      </w:tabs>
      <w:spacing w:before="240"/>
      <w:ind w:left="4037" w:hanging="709"/>
      <w:jc w:val="center"/>
    </w:pPr>
    <w:rPr>
      <w:rFonts w:ascii="Symbol" w:hAnsi="Symbol"/>
      <w:b/>
      <w:caps/>
    </w:rPr>
  </w:style>
  <w:style w:type="paragraph" w:customStyle="1" w:styleId="TrsSecretUE">
    <w:name w:val="Très Secret UE"/>
    <w:basedOn w:val="Normal"/>
    <w:semiHidden/>
    <w:pPr>
      <w:tabs>
        <w:tab w:val="num" w:pos="1134"/>
      </w:tabs>
      <w:spacing w:after="0"/>
      <w:ind w:left="1134" w:hanging="284"/>
      <w:jc w:val="center"/>
    </w:pPr>
    <w:rPr>
      <w:b/>
      <w:caps/>
      <w:color w:val="FF0000"/>
      <w:sz w:val="32"/>
      <w:bdr w:val="single" w:sz="18" w:space="0" w:color="FF0000"/>
    </w:rPr>
  </w:style>
  <w:style w:type="paragraph" w:customStyle="1" w:styleId="ZCom">
    <w:name w:val="Z_Com"/>
    <w:basedOn w:val="Normal"/>
    <w:next w:val="Normal"/>
    <w:uiPriority w:val="2"/>
    <w:pPr>
      <w:widowControl w:val="0"/>
      <w:tabs>
        <w:tab w:val="num" w:pos="283"/>
      </w:tabs>
      <w:spacing w:before="90" w:after="0"/>
      <w:ind w:left="283" w:right="85" w:hanging="283"/>
      <w:jc w:val="left"/>
    </w:pPr>
    <w:rPr>
      <w:rFonts w:ascii="CharisSIL" w:hAnsi="CharisSIL"/>
    </w:rPr>
  </w:style>
  <w:style w:type="paragraph" w:customStyle="1" w:styleId="ZDGName">
    <w:name w:val="Z_DGName"/>
    <w:basedOn w:val="Normal"/>
    <w:uiPriority w:val="2"/>
    <w:pPr>
      <w:widowControl w:val="0"/>
      <w:tabs>
        <w:tab w:val="num" w:pos="907"/>
      </w:tabs>
      <w:spacing w:after="0"/>
      <w:ind w:left="907" w:right="85" w:hanging="453"/>
      <w:jc w:val="left"/>
    </w:pPr>
    <w:rPr>
      <w:sz w:val="16"/>
    </w:rPr>
  </w:style>
  <w:style w:type="paragraph" w:customStyle="1" w:styleId="ZFlag">
    <w:name w:val="Z_Flag"/>
    <w:basedOn w:val="Normal"/>
    <w:next w:val="Normal"/>
    <w:uiPriority w:val="2"/>
    <w:pPr>
      <w:widowControl w:val="0"/>
      <w:tabs>
        <w:tab w:val="num" w:pos="1361"/>
      </w:tabs>
      <w:spacing w:after="0"/>
      <w:ind w:left="1361" w:right="85" w:hanging="454"/>
    </w:pPr>
  </w:style>
  <w:style w:type="paragraph" w:styleId="Header">
    <w:name w:val="header"/>
    <w:basedOn w:val="Normal"/>
    <w:link w:val="HeaderChar"/>
    <w:uiPriority w:val="2"/>
    <w:pPr>
      <w:tabs>
        <w:tab w:val="num" w:pos="1814"/>
        <w:tab w:val="center" w:pos="4150"/>
        <w:tab w:val="right" w:pos="8306"/>
      </w:tabs>
      <w:spacing w:after="0"/>
      <w:ind w:left="1814" w:hanging="453"/>
    </w:pPr>
  </w:style>
  <w:style w:type="character" w:customStyle="1" w:styleId="HeaderChar">
    <w:name w:val="Header Char"/>
    <w:basedOn w:val="DefaultParagraphFont"/>
    <w:link w:val="Header"/>
    <w:uiPriority w:val="2"/>
  </w:style>
  <w:style w:type="table" w:customStyle="1" w:styleId="EurolookClassicBlue">
    <w:name w:val="Eurolook Classic Blue"/>
    <w:basedOn w:val="TableNormal"/>
    <w:pPr>
      <w:spacing w:after="240"/>
    </w:pPr>
    <w:tblPr>
      <w:tblStyleRowBandSize w:val="1"/>
      <w:tblStyleColBandSize w:val="1"/>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004494"/>
      </w:tcPr>
    </w:tblStylePr>
    <w:tblStylePr w:type="lastRow">
      <w:tblPr/>
      <w:tcPr>
        <w:shd w:val="clear" w:color="auto" w:fill="DADADA"/>
      </w:tcPr>
    </w:tblStylePr>
    <w:tblStylePr w:type="firstCol">
      <w:rPr>
        <w:color w:val="004494"/>
      </w:rPr>
    </w:tblStylePr>
    <w:tblStylePr w:type="band2Horz">
      <w:tblPr/>
      <w:tcPr>
        <w:shd w:val="clear" w:color="auto" w:fill="EBECED"/>
      </w:tcPr>
    </w:tblStylePr>
  </w:style>
  <w:style w:type="table" w:customStyle="1" w:styleId="EurolookClassicBlue1">
    <w:name w:val="Eurolook Classic Blue 1"/>
    <w:basedOn w:val="TableNormal"/>
    <w:semiHidden/>
    <w:unhideWhenUsed/>
    <w:pPr>
      <w:spacing w:after="240"/>
    </w:pPr>
    <w:tblPr>
      <w:tblStyleRowBandSize w:val="1"/>
      <w:tblStyleColBandSize w:val="1"/>
      <w:tblInd w:w="48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004494"/>
      </w:tcPr>
    </w:tblStylePr>
    <w:tblStylePr w:type="lastRow">
      <w:tblPr/>
      <w:tcPr>
        <w:shd w:val="clear" w:color="auto" w:fill="DADADA"/>
      </w:tcPr>
    </w:tblStylePr>
    <w:tblStylePr w:type="firstCol">
      <w:rPr>
        <w:color w:val="004494"/>
      </w:rPr>
    </w:tblStylePr>
    <w:tblStylePr w:type="band2Horz">
      <w:tblPr/>
      <w:tcPr>
        <w:shd w:val="clear" w:color="auto" w:fill="EBECED"/>
      </w:tcPr>
    </w:tblStylePr>
  </w:style>
  <w:style w:type="table" w:customStyle="1" w:styleId="EurolookClassicBlue2">
    <w:name w:val="Eurolook Classic Blue 2"/>
    <w:basedOn w:val="TableNormal"/>
    <w:semiHidden/>
    <w:unhideWhenUsed/>
    <w:pPr>
      <w:spacing w:after="240"/>
    </w:pPr>
    <w:tblPr>
      <w:tblStyleRowBandSize w:val="1"/>
      <w:tblStyleColBandSize w:val="1"/>
      <w:tblInd w:w="120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004494"/>
      </w:tcPr>
    </w:tblStylePr>
    <w:tblStylePr w:type="lastRow">
      <w:tblPr/>
      <w:tcPr>
        <w:shd w:val="clear" w:color="auto" w:fill="DADADA"/>
      </w:tcPr>
    </w:tblStylePr>
    <w:tblStylePr w:type="firstCol">
      <w:rPr>
        <w:color w:val="004494"/>
      </w:rPr>
    </w:tblStylePr>
    <w:tblStylePr w:type="band2Horz">
      <w:tblPr/>
      <w:tcPr>
        <w:shd w:val="clear" w:color="auto" w:fill="EBECED"/>
      </w:tcPr>
    </w:tblStylePr>
  </w:style>
  <w:style w:type="table" w:customStyle="1" w:styleId="EurolookClassicBlue3">
    <w:name w:val="Eurolook Classic Blue 3"/>
    <w:basedOn w:val="TableNormal"/>
    <w:semiHidden/>
    <w:unhideWhenUsed/>
    <w:pPr>
      <w:spacing w:after="240"/>
    </w:pPr>
    <w:tblPr>
      <w:tblStyleRowBandSize w:val="1"/>
      <w:tblStyleColBandSize w:val="1"/>
      <w:tblInd w:w="120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004494"/>
      </w:tcPr>
    </w:tblStylePr>
    <w:tblStylePr w:type="lastRow">
      <w:tblPr/>
      <w:tcPr>
        <w:shd w:val="clear" w:color="auto" w:fill="DADADA"/>
      </w:tcPr>
    </w:tblStylePr>
    <w:tblStylePr w:type="firstCol">
      <w:rPr>
        <w:color w:val="004494"/>
      </w:rPr>
    </w:tblStylePr>
    <w:tblStylePr w:type="band2Horz">
      <w:tblPr/>
      <w:tcPr>
        <w:shd w:val="clear" w:color="auto" w:fill="EBECED"/>
      </w:tcPr>
    </w:tblStylePr>
  </w:style>
  <w:style w:type="table" w:customStyle="1" w:styleId="EurolookClassicBlue4">
    <w:name w:val="Eurolook Classic Blue 4"/>
    <w:basedOn w:val="TableNormal"/>
    <w:semiHidden/>
    <w:unhideWhenUsed/>
    <w:pPr>
      <w:spacing w:after="240"/>
    </w:pPr>
    <w:tblPr>
      <w:tblStyleRowBandSize w:val="1"/>
      <w:tblStyleColBandSize w:val="1"/>
      <w:tblInd w:w="120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004494"/>
      </w:tcPr>
    </w:tblStylePr>
    <w:tblStylePr w:type="lastRow">
      <w:tblPr/>
      <w:tcPr>
        <w:shd w:val="clear" w:color="auto" w:fill="DADADA"/>
      </w:tcPr>
    </w:tblStylePr>
    <w:tblStylePr w:type="firstCol">
      <w:rPr>
        <w:color w:val="004494"/>
      </w:rPr>
    </w:tblStylePr>
    <w:tblStylePr w:type="band2Horz">
      <w:tblPr/>
      <w:tcPr>
        <w:shd w:val="clear" w:color="auto" w:fill="EBECED"/>
      </w:tcPr>
    </w:tblStylePr>
  </w:style>
  <w:style w:type="table" w:customStyle="1" w:styleId="EurolookClassicGrey">
    <w:name w:val="Eurolook Classic Grey"/>
    <w:basedOn w:val="TableNormal"/>
    <w:pPr>
      <w:tabs>
        <w:tab w:val="num" w:pos="567"/>
      </w:tabs>
      <w:spacing w:after="240"/>
      <w:ind w:left="567" w:hanging="284"/>
    </w:pPr>
    <w:tblPr>
      <w:tblStyleRowBandSize w:val="1"/>
      <w:tblStyleColBandSize w:val="1"/>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646567"/>
      </w:tcPr>
    </w:tblStylePr>
    <w:tblStylePr w:type="lastRow">
      <w:tblPr/>
      <w:tcPr>
        <w:shd w:val="clear" w:color="auto" w:fill="DADADA"/>
      </w:tcPr>
    </w:tblStylePr>
    <w:tblStylePr w:type="firstCol">
      <w:rPr>
        <w:color w:val="646567"/>
      </w:rPr>
    </w:tblStylePr>
    <w:tblStylePr w:type="band2Horz">
      <w:tblPr/>
      <w:tcPr>
        <w:shd w:val="clear" w:color="auto" w:fill="EBECED"/>
      </w:tcPr>
    </w:tblStylePr>
  </w:style>
  <w:style w:type="table" w:customStyle="1" w:styleId="EurolookClassicGrey1">
    <w:name w:val="Eurolook Classic Grey 1"/>
    <w:basedOn w:val="TableNormal"/>
    <w:semiHidden/>
    <w:unhideWhenUsed/>
    <w:pPr>
      <w:tabs>
        <w:tab w:val="num" w:pos="850"/>
      </w:tabs>
      <w:spacing w:after="240"/>
      <w:ind w:left="850" w:hanging="283"/>
    </w:pPr>
    <w:tblPr>
      <w:tblStyleRowBandSize w:val="1"/>
      <w:tblStyleColBandSize w:val="1"/>
      <w:tblInd w:w="48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646567"/>
      </w:tcPr>
    </w:tblStylePr>
    <w:tblStylePr w:type="lastRow">
      <w:tblPr/>
      <w:tcPr>
        <w:shd w:val="clear" w:color="auto" w:fill="DADADA"/>
      </w:tcPr>
    </w:tblStylePr>
    <w:tblStylePr w:type="firstCol">
      <w:rPr>
        <w:color w:val="646567"/>
      </w:rPr>
    </w:tblStylePr>
    <w:tblStylePr w:type="band2Horz">
      <w:tblPr/>
      <w:tcPr>
        <w:shd w:val="clear" w:color="auto" w:fill="EBECED"/>
      </w:tcPr>
    </w:tblStylePr>
  </w:style>
  <w:style w:type="table" w:customStyle="1" w:styleId="EurolookClassicGrey2">
    <w:name w:val="Eurolook Classic Grey 2"/>
    <w:basedOn w:val="TableNormal"/>
    <w:semiHidden/>
    <w:unhideWhenUsed/>
    <w:pPr>
      <w:tabs>
        <w:tab w:val="num" w:pos="1134"/>
      </w:tabs>
      <w:spacing w:after="240"/>
      <w:ind w:left="1134" w:hanging="284"/>
    </w:pPr>
    <w:tblPr>
      <w:tblStyleRowBandSize w:val="1"/>
      <w:tblStyleColBandSize w:val="1"/>
      <w:tblInd w:w="120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646567"/>
      </w:tcPr>
    </w:tblStylePr>
    <w:tblStylePr w:type="lastRow">
      <w:tblPr/>
      <w:tcPr>
        <w:shd w:val="clear" w:color="auto" w:fill="DADADA"/>
      </w:tcPr>
    </w:tblStylePr>
    <w:tblStylePr w:type="firstCol">
      <w:rPr>
        <w:color w:val="646567"/>
      </w:rPr>
    </w:tblStylePr>
    <w:tblStylePr w:type="band2Horz">
      <w:tblPr/>
      <w:tcPr>
        <w:shd w:val="clear" w:color="auto" w:fill="EBECED"/>
      </w:tcPr>
    </w:tblStylePr>
  </w:style>
  <w:style w:type="table" w:customStyle="1" w:styleId="EurolookClassicGrey3">
    <w:name w:val="Eurolook Classic Grey 3"/>
    <w:basedOn w:val="TableNormal"/>
    <w:semiHidden/>
    <w:unhideWhenUsed/>
    <w:pPr>
      <w:tabs>
        <w:tab w:val="num" w:pos="283"/>
      </w:tabs>
      <w:spacing w:after="240"/>
      <w:ind w:left="283" w:hanging="283"/>
    </w:pPr>
    <w:tblPr>
      <w:tblStyleRowBandSize w:val="1"/>
      <w:tblStyleColBandSize w:val="1"/>
      <w:tblInd w:w="120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646567"/>
      </w:tcPr>
    </w:tblStylePr>
    <w:tblStylePr w:type="lastRow">
      <w:tblPr/>
      <w:tcPr>
        <w:shd w:val="clear" w:color="auto" w:fill="DADADA"/>
      </w:tcPr>
    </w:tblStylePr>
    <w:tblStylePr w:type="firstCol">
      <w:rPr>
        <w:color w:val="646567"/>
      </w:rPr>
    </w:tblStylePr>
    <w:tblStylePr w:type="band2Horz">
      <w:tblPr/>
      <w:tcPr>
        <w:shd w:val="clear" w:color="auto" w:fill="EBECED"/>
      </w:tcPr>
    </w:tblStylePr>
  </w:style>
  <w:style w:type="table" w:customStyle="1" w:styleId="EurolookClassicGrey4">
    <w:name w:val="Eurolook Classic Grey 4"/>
    <w:basedOn w:val="TableNormal"/>
    <w:semiHidden/>
    <w:unhideWhenUsed/>
    <w:pPr>
      <w:tabs>
        <w:tab w:val="num" w:pos="907"/>
      </w:tabs>
      <w:spacing w:after="240"/>
      <w:ind w:left="907" w:hanging="453"/>
    </w:pPr>
    <w:tblPr>
      <w:tblStyleRowBandSize w:val="1"/>
      <w:tblStyleColBandSize w:val="1"/>
      <w:tblInd w:w="120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646567"/>
      </w:tcPr>
    </w:tblStylePr>
    <w:tblStylePr w:type="lastRow">
      <w:tblPr/>
      <w:tcPr>
        <w:shd w:val="clear" w:color="auto" w:fill="DADADA"/>
      </w:tcPr>
    </w:tblStylePr>
    <w:tblStylePr w:type="firstCol">
      <w:rPr>
        <w:color w:val="646567"/>
      </w:rPr>
    </w:tblStylePr>
    <w:tblStylePr w:type="band2Horz">
      <w:tblPr/>
      <w:tcPr>
        <w:shd w:val="clear" w:color="auto" w:fill="EBECED"/>
      </w:tcPr>
    </w:tblStylePr>
  </w:style>
  <w:style w:type="table" w:customStyle="1" w:styleId="EurolookClassicOlive">
    <w:name w:val="Eurolook Classic Olive"/>
    <w:basedOn w:val="TableNormal"/>
    <w:pPr>
      <w:tabs>
        <w:tab w:val="num" w:pos="1361"/>
      </w:tabs>
      <w:spacing w:after="240"/>
      <w:ind w:left="1361" w:hanging="454"/>
    </w:pPr>
    <w:tblPr>
      <w:tblStyleRowBandSize w:val="1"/>
      <w:tblStyleColBandSize w:val="1"/>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4E7849"/>
      </w:tcPr>
    </w:tblStylePr>
    <w:tblStylePr w:type="lastRow">
      <w:tblPr/>
      <w:tcPr>
        <w:shd w:val="clear" w:color="auto" w:fill="DADADA"/>
      </w:tcPr>
    </w:tblStylePr>
    <w:tblStylePr w:type="firstCol">
      <w:rPr>
        <w:color w:val="4E7849"/>
      </w:rPr>
    </w:tblStylePr>
    <w:tblStylePr w:type="band2Horz">
      <w:tblPr/>
      <w:tcPr>
        <w:shd w:val="clear" w:color="auto" w:fill="EBECED"/>
      </w:tcPr>
    </w:tblStylePr>
  </w:style>
  <w:style w:type="table" w:customStyle="1" w:styleId="EurolookClassicOlive1">
    <w:name w:val="Eurolook Classic Olive 1"/>
    <w:basedOn w:val="TableNormal"/>
    <w:semiHidden/>
    <w:unhideWhenUsed/>
    <w:pPr>
      <w:tabs>
        <w:tab w:val="num" w:pos="1814"/>
      </w:tabs>
      <w:spacing w:after="240"/>
      <w:ind w:left="1814" w:hanging="453"/>
    </w:pPr>
    <w:tblPr>
      <w:tblStyleRowBandSize w:val="1"/>
      <w:tblStyleColBandSize w:val="1"/>
      <w:tblInd w:w="48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4E7849"/>
      </w:tcPr>
    </w:tblStylePr>
    <w:tblStylePr w:type="lastRow">
      <w:tblPr/>
      <w:tcPr>
        <w:shd w:val="clear" w:color="auto" w:fill="DADADA"/>
      </w:tcPr>
    </w:tblStylePr>
    <w:tblStylePr w:type="firstCol">
      <w:rPr>
        <w:color w:val="4E7849"/>
      </w:rPr>
    </w:tblStylePr>
    <w:tblStylePr w:type="band2Horz">
      <w:tblPr/>
      <w:tcPr>
        <w:shd w:val="clear" w:color="auto" w:fill="EBECED"/>
      </w:tcPr>
    </w:tblStylePr>
  </w:style>
  <w:style w:type="table" w:customStyle="1" w:styleId="EurolookClassicOlive2">
    <w:name w:val="Eurolook Classic Olive 2"/>
    <w:basedOn w:val="TableNormal"/>
    <w:semiHidden/>
    <w:unhideWhenUsed/>
    <w:pPr>
      <w:spacing w:after="240"/>
    </w:pPr>
    <w:tblPr>
      <w:tblStyleRowBandSize w:val="1"/>
      <w:tblStyleColBandSize w:val="1"/>
      <w:tblInd w:w="120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4E7849"/>
      </w:tcPr>
    </w:tblStylePr>
    <w:tblStylePr w:type="lastRow">
      <w:tblPr/>
      <w:tcPr>
        <w:shd w:val="clear" w:color="auto" w:fill="DADADA"/>
      </w:tcPr>
    </w:tblStylePr>
    <w:tblStylePr w:type="firstCol">
      <w:rPr>
        <w:color w:val="4E7849"/>
      </w:rPr>
    </w:tblStylePr>
    <w:tblStylePr w:type="band2Horz">
      <w:tblPr/>
      <w:tcPr>
        <w:shd w:val="clear" w:color="auto" w:fill="EBECED"/>
      </w:tcPr>
    </w:tblStylePr>
  </w:style>
  <w:style w:type="table" w:customStyle="1" w:styleId="EurolookClassicOlive3">
    <w:name w:val="Eurolook Classic Olive 3"/>
    <w:basedOn w:val="TableNormal"/>
    <w:semiHidden/>
    <w:unhideWhenUsed/>
    <w:pPr>
      <w:spacing w:after="240"/>
    </w:pPr>
    <w:tblPr>
      <w:tblStyleRowBandSize w:val="1"/>
      <w:tblStyleColBandSize w:val="1"/>
      <w:tblInd w:w="120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4E7849"/>
      </w:tcPr>
    </w:tblStylePr>
    <w:tblStylePr w:type="lastRow">
      <w:tblPr/>
      <w:tcPr>
        <w:shd w:val="clear" w:color="auto" w:fill="DADADA"/>
      </w:tcPr>
    </w:tblStylePr>
    <w:tblStylePr w:type="firstCol">
      <w:rPr>
        <w:color w:val="4E7849"/>
      </w:rPr>
    </w:tblStylePr>
    <w:tblStylePr w:type="band2Horz">
      <w:tblPr/>
      <w:tcPr>
        <w:shd w:val="clear" w:color="auto" w:fill="EBECED"/>
      </w:tcPr>
    </w:tblStylePr>
  </w:style>
  <w:style w:type="table" w:customStyle="1" w:styleId="EurolookClassicOlive4">
    <w:name w:val="Eurolook Classic Olive 4"/>
    <w:basedOn w:val="TableNormal"/>
    <w:semiHidden/>
    <w:unhideWhenUsed/>
    <w:pPr>
      <w:spacing w:after="240"/>
    </w:pPr>
    <w:tblPr>
      <w:tblStyleRowBandSize w:val="1"/>
      <w:tblStyleColBandSize w:val="1"/>
      <w:tblInd w:w="120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4E7849"/>
      </w:tcPr>
    </w:tblStylePr>
    <w:tblStylePr w:type="lastRow">
      <w:tblPr/>
      <w:tcPr>
        <w:shd w:val="clear" w:color="auto" w:fill="DADADA"/>
      </w:tcPr>
    </w:tblStylePr>
    <w:tblStylePr w:type="firstCol">
      <w:rPr>
        <w:color w:val="4E7849"/>
      </w:rPr>
    </w:tblStylePr>
    <w:tblStylePr w:type="band2Horz">
      <w:tblPr/>
      <w:tcPr>
        <w:shd w:val="clear" w:color="auto" w:fill="EBECED"/>
      </w:tcPr>
    </w:tblStylePr>
  </w:style>
  <w:style w:type="table" w:customStyle="1" w:styleId="EurolookClassicPetrol">
    <w:name w:val="Eurolook Classic Petrol"/>
    <w:basedOn w:val="TableNormal"/>
    <w:pPr>
      <w:spacing w:after="240"/>
    </w:pPr>
    <w:tblPr>
      <w:tblStyleRowBandSize w:val="1"/>
      <w:tblStyleColBandSize w:val="1"/>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007D98"/>
      </w:tcPr>
    </w:tblStylePr>
    <w:tblStylePr w:type="lastRow">
      <w:tblPr/>
      <w:tcPr>
        <w:shd w:val="clear" w:color="auto" w:fill="DADADA"/>
      </w:tcPr>
    </w:tblStylePr>
    <w:tblStylePr w:type="firstCol">
      <w:rPr>
        <w:color w:val="007D98"/>
      </w:rPr>
    </w:tblStylePr>
    <w:tblStylePr w:type="band2Horz">
      <w:tblPr/>
      <w:tcPr>
        <w:shd w:val="clear" w:color="auto" w:fill="EBECED"/>
      </w:tcPr>
    </w:tblStylePr>
  </w:style>
  <w:style w:type="table" w:customStyle="1" w:styleId="EurolookClassicPetrol1">
    <w:name w:val="Eurolook Classic Petrol 1"/>
    <w:basedOn w:val="TableNormal"/>
    <w:semiHidden/>
    <w:unhideWhenUsed/>
    <w:pPr>
      <w:spacing w:after="240"/>
    </w:pPr>
    <w:tblPr>
      <w:tblStyleRowBandSize w:val="1"/>
      <w:tblStyleColBandSize w:val="1"/>
      <w:tblInd w:w="48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007D98"/>
      </w:tcPr>
    </w:tblStylePr>
    <w:tblStylePr w:type="lastRow">
      <w:tblPr/>
      <w:tcPr>
        <w:shd w:val="clear" w:color="auto" w:fill="DADADA"/>
      </w:tcPr>
    </w:tblStylePr>
    <w:tblStylePr w:type="firstCol">
      <w:rPr>
        <w:color w:val="007D98"/>
      </w:rPr>
    </w:tblStylePr>
    <w:tblStylePr w:type="band2Horz">
      <w:tblPr/>
      <w:tcPr>
        <w:shd w:val="clear" w:color="auto" w:fill="EBECED"/>
      </w:tcPr>
    </w:tblStylePr>
  </w:style>
  <w:style w:type="table" w:customStyle="1" w:styleId="EurolookClassicPetrol2">
    <w:name w:val="Eurolook Classic Petrol 2"/>
    <w:basedOn w:val="TableNormal"/>
    <w:semiHidden/>
    <w:unhideWhenUsed/>
    <w:pPr>
      <w:spacing w:after="240"/>
    </w:pPr>
    <w:tblPr>
      <w:tblStyleRowBandSize w:val="1"/>
      <w:tblStyleColBandSize w:val="1"/>
      <w:tblInd w:w="120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007D98"/>
      </w:tcPr>
    </w:tblStylePr>
    <w:tblStylePr w:type="lastRow">
      <w:tblPr/>
      <w:tcPr>
        <w:shd w:val="clear" w:color="auto" w:fill="DADADA"/>
      </w:tcPr>
    </w:tblStylePr>
    <w:tblStylePr w:type="firstCol">
      <w:rPr>
        <w:color w:val="007D98"/>
      </w:rPr>
    </w:tblStylePr>
    <w:tblStylePr w:type="band2Horz">
      <w:tblPr/>
      <w:tcPr>
        <w:shd w:val="clear" w:color="auto" w:fill="EBECED"/>
      </w:tcPr>
    </w:tblStylePr>
  </w:style>
  <w:style w:type="table" w:customStyle="1" w:styleId="EurolookClassicPetrol3">
    <w:name w:val="Eurolook Classic Petrol 3"/>
    <w:basedOn w:val="TableNormal"/>
    <w:semiHidden/>
    <w:unhideWhenUsed/>
    <w:pPr>
      <w:spacing w:after="240"/>
    </w:pPr>
    <w:tblPr>
      <w:tblStyleRowBandSize w:val="1"/>
      <w:tblStyleColBandSize w:val="1"/>
      <w:tblInd w:w="120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007D98"/>
      </w:tcPr>
    </w:tblStylePr>
    <w:tblStylePr w:type="lastRow">
      <w:tblPr/>
      <w:tcPr>
        <w:shd w:val="clear" w:color="auto" w:fill="DADADA"/>
      </w:tcPr>
    </w:tblStylePr>
    <w:tblStylePr w:type="firstCol">
      <w:rPr>
        <w:color w:val="007D98"/>
      </w:rPr>
    </w:tblStylePr>
    <w:tblStylePr w:type="band2Horz">
      <w:tblPr/>
      <w:tcPr>
        <w:shd w:val="clear" w:color="auto" w:fill="EBECED"/>
      </w:tcPr>
    </w:tblStylePr>
  </w:style>
  <w:style w:type="table" w:customStyle="1" w:styleId="EurolookClassicPetrol4">
    <w:name w:val="Eurolook Classic Petrol 4"/>
    <w:basedOn w:val="TableNormal"/>
    <w:semiHidden/>
    <w:unhideWhenUsed/>
    <w:pPr>
      <w:spacing w:after="240"/>
    </w:pPr>
    <w:tblPr>
      <w:tblStyleRowBandSize w:val="1"/>
      <w:tblStyleColBandSize w:val="1"/>
      <w:tblInd w:w="120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007D98"/>
      </w:tcPr>
    </w:tblStylePr>
    <w:tblStylePr w:type="lastRow">
      <w:tblPr/>
      <w:tcPr>
        <w:shd w:val="clear" w:color="auto" w:fill="DADADA"/>
      </w:tcPr>
    </w:tblStylePr>
    <w:tblStylePr w:type="firstCol">
      <w:rPr>
        <w:color w:val="007D98"/>
      </w:rPr>
    </w:tblStylePr>
    <w:tblStylePr w:type="band2Horz">
      <w:tblPr/>
      <w:tcPr>
        <w:shd w:val="clear" w:color="auto" w:fill="EBECED"/>
      </w:tcPr>
    </w:tblStylePr>
  </w:style>
  <w:style w:type="table" w:customStyle="1" w:styleId="EurolookClassicPurple">
    <w:name w:val="Eurolook Classic Purple"/>
    <w:basedOn w:val="TableNormal"/>
    <w:pPr>
      <w:spacing w:after="240"/>
    </w:pPr>
    <w:tblPr>
      <w:tblStyleRowBandSize w:val="1"/>
      <w:tblStyleColBandSize w:val="1"/>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771D7B"/>
      </w:tcPr>
    </w:tblStylePr>
    <w:tblStylePr w:type="lastRow">
      <w:tblPr/>
      <w:tcPr>
        <w:shd w:val="clear" w:color="auto" w:fill="DADADA"/>
      </w:tcPr>
    </w:tblStylePr>
    <w:tblStylePr w:type="firstCol">
      <w:rPr>
        <w:color w:val="771D7B"/>
      </w:rPr>
    </w:tblStylePr>
    <w:tblStylePr w:type="band2Horz">
      <w:tblPr/>
      <w:tcPr>
        <w:shd w:val="clear" w:color="auto" w:fill="EBECED"/>
      </w:tcPr>
    </w:tblStylePr>
  </w:style>
  <w:style w:type="table" w:customStyle="1" w:styleId="EurolookClassicPurple1">
    <w:name w:val="Eurolook Classic Purple 1"/>
    <w:basedOn w:val="TableNormal"/>
    <w:semiHidden/>
    <w:unhideWhenUsed/>
    <w:pPr>
      <w:spacing w:after="240"/>
    </w:pPr>
    <w:tblPr>
      <w:tblStyleRowBandSize w:val="1"/>
      <w:tblStyleColBandSize w:val="1"/>
      <w:tblInd w:w="48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771D7B"/>
      </w:tcPr>
    </w:tblStylePr>
    <w:tblStylePr w:type="lastRow">
      <w:tblPr/>
      <w:tcPr>
        <w:shd w:val="clear" w:color="auto" w:fill="DADADA"/>
      </w:tcPr>
    </w:tblStylePr>
    <w:tblStylePr w:type="firstCol">
      <w:rPr>
        <w:color w:val="771D7B"/>
      </w:rPr>
    </w:tblStylePr>
    <w:tblStylePr w:type="band2Horz">
      <w:tblPr/>
      <w:tcPr>
        <w:shd w:val="clear" w:color="auto" w:fill="EBECED"/>
      </w:tcPr>
    </w:tblStylePr>
  </w:style>
  <w:style w:type="table" w:customStyle="1" w:styleId="EurolookClassicPurple2">
    <w:name w:val="Eurolook Classic Purple 2"/>
    <w:basedOn w:val="TableNormal"/>
    <w:semiHidden/>
    <w:unhideWhenUsed/>
    <w:pPr>
      <w:spacing w:after="240"/>
    </w:pPr>
    <w:tblPr>
      <w:tblStyleRowBandSize w:val="1"/>
      <w:tblStyleColBandSize w:val="1"/>
      <w:tblInd w:w="120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771D7B"/>
      </w:tcPr>
    </w:tblStylePr>
    <w:tblStylePr w:type="lastRow">
      <w:tblPr/>
      <w:tcPr>
        <w:shd w:val="clear" w:color="auto" w:fill="DADADA"/>
      </w:tcPr>
    </w:tblStylePr>
    <w:tblStylePr w:type="firstCol">
      <w:rPr>
        <w:color w:val="771D7B"/>
      </w:rPr>
    </w:tblStylePr>
    <w:tblStylePr w:type="band2Horz">
      <w:tblPr/>
      <w:tcPr>
        <w:shd w:val="clear" w:color="auto" w:fill="EBECED"/>
      </w:tcPr>
    </w:tblStylePr>
  </w:style>
  <w:style w:type="table" w:customStyle="1" w:styleId="EurolookClassicPurple3">
    <w:name w:val="Eurolook Classic Purple 3"/>
    <w:basedOn w:val="TableNormal"/>
    <w:semiHidden/>
    <w:unhideWhenUsed/>
    <w:pPr>
      <w:spacing w:after="240"/>
    </w:pPr>
    <w:tblPr>
      <w:tblStyleRowBandSize w:val="1"/>
      <w:tblStyleColBandSize w:val="1"/>
      <w:tblInd w:w="120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771D7B"/>
      </w:tcPr>
    </w:tblStylePr>
    <w:tblStylePr w:type="lastRow">
      <w:tblPr/>
      <w:tcPr>
        <w:shd w:val="clear" w:color="auto" w:fill="DADADA"/>
      </w:tcPr>
    </w:tblStylePr>
    <w:tblStylePr w:type="firstCol">
      <w:rPr>
        <w:color w:val="771D7B"/>
      </w:rPr>
    </w:tblStylePr>
    <w:tblStylePr w:type="band2Horz">
      <w:tblPr/>
      <w:tcPr>
        <w:shd w:val="clear" w:color="auto" w:fill="EBECED"/>
      </w:tcPr>
    </w:tblStylePr>
  </w:style>
  <w:style w:type="table" w:customStyle="1" w:styleId="EurolookClassicPurple4">
    <w:name w:val="Eurolook Classic Purple 4"/>
    <w:basedOn w:val="TableNormal"/>
    <w:semiHidden/>
    <w:unhideWhenUsed/>
    <w:pPr>
      <w:spacing w:after="240"/>
    </w:pPr>
    <w:tblPr>
      <w:tblStyleRowBandSize w:val="1"/>
      <w:tblStyleColBandSize w:val="1"/>
      <w:tblInd w:w="120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771D7B"/>
      </w:tcPr>
    </w:tblStylePr>
    <w:tblStylePr w:type="lastRow">
      <w:tblPr/>
      <w:tcPr>
        <w:shd w:val="clear" w:color="auto" w:fill="DADADA"/>
      </w:tcPr>
    </w:tblStylePr>
    <w:tblStylePr w:type="firstCol">
      <w:rPr>
        <w:color w:val="771D7B"/>
      </w:rPr>
    </w:tblStylePr>
    <w:tblStylePr w:type="band2Horz">
      <w:tblPr/>
      <w:tcPr>
        <w:shd w:val="clear" w:color="auto" w:fill="EBECED"/>
      </w:tcPr>
    </w:tblStylePr>
  </w:style>
  <w:style w:type="table" w:customStyle="1" w:styleId="EurolookClassicRust">
    <w:name w:val="Eurolook Classic Rust"/>
    <w:basedOn w:val="TableNormal"/>
    <w:pPr>
      <w:spacing w:after="240"/>
    </w:pPr>
    <w:tblPr>
      <w:tblStyleRowBandSize w:val="1"/>
      <w:tblStyleColBandSize w:val="1"/>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BF4B36"/>
      </w:tcPr>
    </w:tblStylePr>
    <w:tblStylePr w:type="lastRow">
      <w:tblPr/>
      <w:tcPr>
        <w:shd w:val="clear" w:color="auto" w:fill="DADADA"/>
      </w:tcPr>
    </w:tblStylePr>
    <w:tblStylePr w:type="firstCol">
      <w:rPr>
        <w:color w:val="BF4B36"/>
      </w:rPr>
    </w:tblStylePr>
    <w:tblStylePr w:type="band2Horz">
      <w:tblPr/>
      <w:tcPr>
        <w:shd w:val="clear" w:color="auto" w:fill="EBECED"/>
      </w:tcPr>
    </w:tblStylePr>
  </w:style>
  <w:style w:type="table" w:customStyle="1" w:styleId="EurolookClassicRust1">
    <w:name w:val="Eurolook Classic Rust 1"/>
    <w:basedOn w:val="TableNormal"/>
    <w:semiHidden/>
    <w:unhideWhenUsed/>
    <w:pPr>
      <w:spacing w:after="240"/>
    </w:pPr>
    <w:tblPr>
      <w:tblStyleRowBandSize w:val="1"/>
      <w:tblStyleColBandSize w:val="1"/>
      <w:tblInd w:w="48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BF4B36"/>
      </w:tcPr>
    </w:tblStylePr>
    <w:tblStylePr w:type="lastRow">
      <w:tblPr/>
      <w:tcPr>
        <w:shd w:val="clear" w:color="auto" w:fill="DADADA"/>
      </w:tcPr>
    </w:tblStylePr>
    <w:tblStylePr w:type="firstCol">
      <w:rPr>
        <w:color w:val="BF4B36"/>
      </w:rPr>
    </w:tblStylePr>
    <w:tblStylePr w:type="band2Horz">
      <w:tblPr/>
      <w:tcPr>
        <w:shd w:val="clear" w:color="auto" w:fill="EBECED"/>
      </w:tcPr>
    </w:tblStylePr>
  </w:style>
  <w:style w:type="table" w:customStyle="1" w:styleId="EurolookClassicRust2">
    <w:name w:val="Eurolook Classic Rust 2"/>
    <w:basedOn w:val="TableNormal"/>
    <w:semiHidden/>
    <w:unhideWhenUsed/>
    <w:pPr>
      <w:spacing w:after="240"/>
    </w:pPr>
    <w:tblPr>
      <w:tblStyleRowBandSize w:val="1"/>
      <w:tblStyleColBandSize w:val="1"/>
      <w:tblInd w:w="120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BF4B36"/>
      </w:tcPr>
    </w:tblStylePr>
    <w:tblStylePr w:type="lastRow">
      <w:tblPr/>
      <w:tcPr>
        <w:shd w:val="clear" w:color="auto" w:fill="DADADA"/>
      </w:tcPr>
    </w:tblStylePr>
    <w:tblStylePr w:type="firstCol">
      <w:rPr>
        <w:color w:val="BF4B36"/>
      </w:rPr>
    </w:tblStylePr>
    <w:tblStylePr w:type="band2Horz">
      <w:tblPr/>
      <w:tcPr>
        <w:shd w:val="clear" w:color="auto" w:fill="EBECED"/>
      </w:tcPr>
    </w:tblStylePr>
  </w:style>
  <w:style w:type="table" w:customStyle="1" w:styleId="EurolookClassicRust3">
    <w:name w:val="Eurolook Classic Rust 3"/>
    <w:basedOn w:val="TableNormal"/>
    <w:semiHidden/>
    <w:unhideWhenUsed/>
    <w:pPr>
      <w:spacing w:after="240"/>
    </w:pPr>
    <w:tblPr>
      <w:tblStyleRowBandSize w:val="1"/>
      <w:tblStyleColBandSize w:val="1"/>
      <w:tblInd w:w="120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BF4B36"/>
      </w:tcPr>
    </w:tblStylePr>
    <w:tblStylePr w:type="lastRow">
      <w:tblPr/>
      <w:tcPr>
        <w:shd w:val="clear" w:color="auto" w:fill="DADADA"/>
      </w:tcPr>
    </w:tblStylePr>
    <w:tblStylePr w:type="firstCol">
      <w:rPr>
        <w:color w:val="BF4B36"/>
      </w:rPr>
    </w:tblStylePr>
    <w:tblStylePr w:type="band2Horz">
      <w:tblPr/>
      <w:tcPr>
        <w:shd w:val="clear" w:color="auto" w:fill="EBECED"/>
      </w:tcPr>
    </w:tblStylePr>
  </w:style>
  <w:style w:type="table" w:customStyle="1" w:styleId="EurolookClassicRust4">
    <w:name w:val="Eurolook Classic Rust 4"/>
    <w:basedOn w:val="TableNormal"/>
    <w:semiHidden/>
    <w:unhideWhenUsed/>
    <w:pPr>
      <w:spacing w:after="240"/>
    </w:pPr>
    <w:tblPr>
      <w:tblStyleRowBandSize w:val="1"/>
      <w:tblStyleColBandSize w:val="1"/>
      <w:tblInd w:w="120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BF4B36"/>
      </w:tcPr>
    </w:tblStylePr>
    <w:tblStylePr w:type="lastRow">
      <w:tblPr/>
      <w:tcPr>
        <w:shd w:val="clear" w:color="auto" w:fill="DADADA"/>
      </w:tcPr>
    </w:tblStylePr>
    <w:tblStylePr w:type="firstCol">
      <w:rPr>
        <w:color w:val="BF4B36"/>
      </w:rPr>
    </w:tblStylePr>
    <w:tblStylePr w:type="band2Horz">
      <w:tblPr/>
      <w:tcPr>
        <w:shd w:val="clear" w:color="auto" w:fill="EBECED"/>
      </w:tcPr>
    </w:tblStylePr>
  </w:style>
  <w:style w:type="table" w:customStyle="1" w:styleId="EurolookLightBlue">
    <w:name w:val="Eurolook Light Blue"/>
    <w:basedOn w:val="TableNormal"/>
    <w:pPr>
      <w:spacing w:after="240"/>
    </w:pPr>
    <w:tblPr>
      <w:tblStyleRowBandSize w:val="1"/>
      <w:tblStyleColBandSize w:val="1"/>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004494"/>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b w:val="0"/>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Blue1">
    <w:name w:val="Eurolook Light Blue 1"/>
    <w:basedOn w:val="TableNormal"/>
    <w:semiHidden/>
    <w:unhideWhenUsed/>
    <w:pPr>
      <w:spacing w:after="240"/>
    </w:pPr>
    <w:tblPr>
      <w:tblStyleRowBandSize w:val="1"/>
      <w:tblStyleColBandSize w:val="1"/>
      <w:tblInd w:w="48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004494"/>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b w:val="0"/>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Blue2">
    <w:name w:val="Eurolook Light Blue 2"/>
    <w:basedOn w:val="TableNormal"/>
    <w:semiHidden/>
    <w:unhideWhenUsed/>
    <w:pPr>
      <w:spacing w:after="240"/>
    </w:p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004494"/>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b w:val="0"/>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Blue3">
    <w:name w:val="Eurolook Light Blue 3"/>
    <w:basedOn w:val="TableNormal"/>
    <w:semiHidden/>
    <w:unhideWhenUsed/>
    <w:pPr>
      <w:spacing w:after="240"/>
    </w:p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004494"/>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b w:val="0"/>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Blue4">
    <w:name w:val="Eurolook Light Blue 4"/>
    <w:basedOn w:val="TableNormal"/>
    <w:semiHidden/>
    <w:unhideWhenUsed/>
    <w:pPr>
      <w:spacing w:after="240"/>
    </w:p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004494"/>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b w:val="0"/>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Grey">
    <w:name w:val="Eurolook Light Grey"/>
    <w:basedOn w:val="TableNormal"/>
    <w:pPr>
      <w:spacing w:after="240"/>
    </w:pPr>
    <w:tblPr>
      <w:tblStyleRowBandSize w:val="1"/>
      <w:tblStyleColBandSize w:val="1"/>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646567"/>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Grey1">
    <w:name w:val="Eurolook Light Grey 1"/>
    <w:basedOn w:val="TableNormal"/>
    <w:semiHidden/>
    <w:unhideWhenUsed/>
    <w:pPr>
      <w:spacing w:after="240"/>
    </w:pPr>
    <w:tblPr>
      <w:tblStyleRowBandSize w:val="1"/>
      <w:tblStyleColBandSize w:val="1"/>
      <w:tblInd w:w="48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646567"/>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Grey2">
    <w:name w:val="Eurolook Light Grey 2"/>
    <w:basedOn w:val="TableNormal"/>
    <w:semiHidden/>
    <w:unhideWhenUsed/>
    <w:pPr>
      <w:spacing w:after="240"/>
    </w:p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646567"/>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Grey3">
    <w:name w:val="Eurolook Light Grey 3"/>
    <w:basedOn w:val="TableNormal"/>
    <w:semiHidden/>
    <w:unhideWhenUsed/>
    <w:pPr>
      <w:spacing w:after="240"/>
    </w:p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646567"/>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Grey4">
    <w:name w:val="Eurolook Light Grey 4"/>
    <w:basedOn w:val="TableNormal"/>
    <w:semiHidden/>
    <w:unhideWhenUsed/>
    <w:pPr>
      <w:spacing w:after="240"/>
    </w:p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646567"/>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Olive">
    <w:name w:val="Eurolook Light Olive"/>
    <w:basedOn w:val="TableNormal"/>
    <w:pPr>
      <w:spacing w:after="240"/>
    </w:pPr>
    <w:tblPr>
      <w:tblStyleRowBandSize w:val="1"/>
      <w:tblStyleColBandSize w:val="1"/>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4E7849"/>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Olive1">
    <w:name w:val="Eurolook Light Olive 1"/>
    <w:basedOn w:val="TableNormal"/>
    <w:semiHidden/>
    <w:unhideWhenUsed/>
    <w:pPr>
      <w:spacing w:after="240"/>
    </w:pPr>
    <w:tblPr>
      <w:tblStyleRowBandSize w:val="1"/>
      <w:tblStyleColBandSize w:val="1"/>
      <w:tblInd w:w="48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4E7849"/>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Olive2">
    <w:name w:val="Eurolook Light Olive 2"/>
    <w:basedOn w:val="TableNormal"/>
    <w:semiHidden/>
    <w:unhideWhenUsed/>
    <w:pPr>
      <w:spacing w:after="240"/>
    </w:p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4E7849"/>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Olive3">
    <w:name w:val="Eurolook Light Olive 3"/>
    <w:basedOn w:val="TableNormal"/>
    <w:semiHidden/>
    <w:unhideWhenUsed/>
    <w:pPr>
      <w:spacing w:after="240"/>
    </w:p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4E7849"/>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Olive4">
    <w:name w:val="Eurolook Light Olive 4"/>
    <w:basedOn w:val="TableNormal"/>
    <w:semiHidden/>
    <w:unhideWhenUsed/>
    <w:pPr>
      <w:spacing w:after="240"/>
    </w:p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4E7849"/>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etrol">
    <w:name w:val="Eurolook Light Petrol"/>
    <w:basedOn w:val="TableNormal"/>
    <w:pPr>
      <w:spacing w:after="240"/>
    </w:pPr>
    <w:tblPr>
      <w:tblStyleRowBandSize w:val="1"/>
      <w:tblStyleColBandSize w:val="1"/>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007D98"/>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etrol1">
    <w:name w:val="Eurolook Light Petrol 1"/>
    <w:basedOn w:val="TableNormal"/>
    <w:semiHidden/>
    <w:unhideWhenUsed/>
    <w:pPr>
      <w:spacing w:after="240"/>
    </w:pPr>
    <w:tblPr>
      <w:tblStyleRowBandSize w:val="1"/>
      <w:tblStyleColBandSize w:val="1"/>
      <w:tblInd w:w="48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007D98"/>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etrol2">
    <w:name w:val="Eurolook Light Petrol 2"/>
    <w:basedOn w:val="TableNormal"/>
    <w:semiHidden/>
    <w:unhideWhenUsed/>
    <w:pPr>
      <w:spacing w:after="240"/>
    </w:p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007D98"/>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etrol3">
    <w:name w:val="Eurolook Light Petrol 3"/>
    <w:basedOn w:val="TableNormal"/>
    <w:semiHidden/>
    <w:unhideWhenUsed/>
    <w:pPr>
      <w:spacing w:after="240"/>
    </w:p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007D98"/>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etrol4">
    <w:name w:val="Eurolook Light Petrol 4"/>
    <w:basedOn w:val="TableNormal"/>
    <w:semiHidden/>
    <w:unhideWhenUsed/>
    <w:pPr>
      <w:spacing w:after="240"/>
    </w:p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007D98"/>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urple">
    <w:name w:val="Eurolook Light Purple"/>
    <w:basedOn w:val="TableNormal"/>
    <w:pPr>
      <w:spacing w:after="240"/>
    </w:pPr>
    <w:tblPr>
      <w:tblStyleRowBandSize w:val="1"/>
      <w:tblStyleColBandSize w:val="1"/>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771D7B"/>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urple1">
    <w:name w:val="Eurolook Light Purple 1"/>
    <w:basedOn w:val="TableNormal"/>
    <w:semiHidden/>
    <w:unhideWhenUsed/>
    <w:pPr>
      <w:spacing w:after="240"/>
    </w:pPr>
    <w:tblPr>
      <w:tblStyleRowBandSize w:val="1"/>
      <w:tblStyleColBandSize w:val="1"/>
      <w:tblInd w:w="48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771D7B"/>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urple2">
    <w:name w:val="Eurolook Light Purple 2"/>
    <w:basedOn w:val="TableNormal"/>
    <w:semiHidden/>
    <w:unhideWhenUsed/>
    <w:pPr>
      <w:spacing w:after="240"/>
    </w:p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771D7B"/>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urple3">
    <w:name w:val="Eurolook Light Purple 3"/>
    <w:basedOn w:val="TableNormal"/>
    <w:semiHidden/>
    <w:unhideWhenUsed/>
    <w:pPr>
      <w:spacing w:after="240"/>
    </w:p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771D7B"/>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urple4">
    <w:name w:val="Eurolook Light Purple 4"/>
    <w:basedOn w:val="TableNormal"/>
    <w:semiHidden/>
    <w:unhideWhenUsed/>
    <w:pPr>
      <w:spacing w:after="240"/>
    </w:p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771D7B"/>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Rust">
    <w:name w:val="Eurolook Light Rust"/>
    <w:basedOn w:val="TableNormal"/>
    <w:pPr>
      <w:spacing w:after="240"/>
    </w:pPr>
    <w:tblPr>
      <w:tblStyleRowBandSize w:val="1"/>
      <w:tblStyleColBandSize w:val="1"/>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BF4B36"/>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Rust1">
    <w:name w:val="Eurolook Light Rust 1"/>
    <w:basedOn w:val="TableNormal"/>
    <w:semiHidden/>
    <w:unhideWhenUsed/>
    <w:pPr>
      <w:spacing w:after="240"/>
    </w:pPr>
    <w:tblPr>
      <w:tblStyleRowBandSize w:val="1"/>
      <w:tblStyleColBandSize w:val="1"/>
      <w:tblInd w:w="48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BF4B36"/>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Rust2">
    <w:name w:val="Eurolook Light Rust 2"/>
    <w:basedOn w:val="TableNormal"/>
    <w:semiHidden/>
    <w:unhideWhenUsed/>
    <w:pPr>
      <w:spacing w:after="240"/>
    </w:p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BF4B36"/>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Rust3">
    <w:name w:val="Eurolook Light Rust 3"/>
    <w:basedOn w:val="TableNormal"/>
    <w:semiHidden/>
    <w:unhideWhenUsed/>
    <w:pPr>
      <w:spacing w:after="240"/>
    </w:p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BF4B36"/>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Rust4">
    <w:name w:val="Eurolook Light Rust 4"/>
    <w:basedOn w:val="TableNormal"/>
    <w:semiHidden/>
    <w:unhideWhenUsed/>
    <w:pPr>
      <w:spacing w:after="240"/>
    </w:p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BF4B36"/>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Table">
    <w:name w:val="Eurolook Table"/>
    <w:semiHidden/>
    <w:unhideWhenUs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rPr>
    </w:tblStylePr>
  </w:style>
  <w:style w:type="table" w:customStyle="1" w:styleId="EurolookTable1">
    <w:name w:val="Eurolook Table 1"/>
    <w:basedOn w:val="EurolookTable"/>
    <w:semiHidden/>
    <w:unhideWhenUsed/>
    <w:tblPr>
      <w:tblInd w:w="482" w:type="dxa"/>
    </w:tblPr>
    <w:tblStylePr w:type="firstRow">
      <w:rPr>
        <w:b/>
      </w:rPr>
    </w:tblStylePr>
  </w:style>
  <w:style w:type="table" w:customStyle="1" w:styleId="EurolookTable2">
    <w:name w:val="Eurolook Table 2"/>
    <w:basedOn w:val="EurolookTable"/>
    <w:semiHidden/>
    <w:unhideWhenUsed/>
    <w:tblPr>
      <w:tblInd w:w="1202" w:type="dxa"/>
    </w:tblPr>
    <w:tblStylePr w:type="firstRow">
      <w:rPr>
        <w:b/>
      </w:rPr>
    </w:tblStylePr>
  </w:style>
  <w:style w:type="table" w:customStyle="1" w:styleId="EurolookTable3">
    <w:name w:val="Eurolook Table 3"/>
    <w:basedOn w:val="EurolookTable"/>
    <w:semiHidden/>
    <w:unhideWhenUsed/>
    <w:tblPr>
      <w:tblInd w:w="1202" w:type="dxa"/>
    </w:tblPr>
    <w:tblStylePr w:type="firstRow">
      <w:rPr>
        <w:b/>
      </w:rPr>
    </w:tblStylePr>
  </w:style>
  <w:style w:type="table" w:customStyle="1" w:styleId="EurolookTable4">
    <w:name w:val="Eurolook Table 4"/>
    <w:basedOn w:val="EurolookTable"/>
    <w:semiHidden/>
    <w:unhideWhenUsed/>
    <w:tblPr>
      <w:tblInd w:w="1202" w:type="dxa"/>
    </w:tblPr>
    <w:tblStylePr w:type="firstRow">
      <w:rPr>
        <w:b/>
      </w:rPr>
    </w:tblStylePr>
  </w:style>
  <w:style w:type="table" w:customStyle="1" w:styleId="HelperTableBase">
    <w:name w:val="Helper Table Base"/>
    <w:semiHidden/>
    <w:tblPr>
      <w:tblInd w:w="0" w:type="dxa"/>
      <w:tblCellMar>
        <w:top w:w="0" w:type="dxa"/>
        <w:left w:w="0" w:type="dxa"/>
        <w:bottom w:w="0" w:type="dxa"/>
        <w:right w:w="0" w:type="dxa"/>
      </w:tblCellMar>
    </w:tblPr>
  </w:style>
  <w:style w:type="table" w:customStyle="1" w:styleId="SignatureTable">
    <w:name w:val="Signature Table"/>
    <w:basedOn w:val="HelperTableBase"/>
    <w:semiHidden/>
    <w:tblPr/>
  </w:style>
  <w:style w:type="table" w:styleId="TableGrid">
    <w:name w:val="Table Grid"/>
    <w:aliases w:val="Document Table,CV1"/>
    <w:uiPriority w:val="59"/>
    <w:tblPr>
      <w:tblStyleRowBandSize w:val="1"/>
      <w:tblStyleColBandSize w:val="1"/>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History">
    <w:name w:val="Table History"/>
    <w:basedOn w:val="TableNormal"/>
    <w:semiHidden/>
    <w:pPr>
      <w:spacing w:before="60" w:after="60" w:line="264" w:lineRule="auto"/>
    </w:pPr>
    <w:rPr>
      <w:sz w:val="22"/>
    </w:rPr>
    <w:tblPr>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etterhead">
    <w:name w:val="Table Letterhead"/>
    <w:basedOn w:val="TableNormal"/>
    <w:semiHidden/>
    <w:tblPr>
      <w:tblCellMar>
        <w:left w:w="0" w:type="dxa"/>
        <w:bottom w:w="340" w:type="dxa"/>
        <w:right w:w="0" w:type="dxa"/>
      </w:tblCellMar>
    </w:tblPr>
  </w:style>
  <w:style w:type="character" w:customStyle="1" w:styleId="Marker">
    <w:name w:val="Marker"/>
    <w:basedOn w:val="DefaultParagraphFont"/>
    <w:rsid w:val="007E297E"/>
    <w:rPr>
      <w:color w:val="0000FF"/>
      <w:shd w:val="clear" w:color="auto" w:fill="auto"/>
    </w:rPr>
  </w:style>
  <w:style w:type="paragraph" w:customStyle="1" w:styleId="Pagedecouverture">
    <w:name w:val="Page de couverture"/>
    <w:basedOn w:val="Normal"/>
    <w:next w:val="Normal"/>
    <w:rsid w:val="007E297E"/>
    <w:pPr>
      <w:spacing w:after="0"/>
    </w:pPr>
    <w:rPr>
      <w:rFonts w:eastAsiaTheme="minorHAnsi"/>
      <w:szCs w:val="22"/>
      <w:lang w:eastAsia="en-US"/>
    </w:rPr>
  </w:style>
  <w:style w:type="paragraph" w:customStyle="1" w:styleId="FooterCoverPage">
    <w:name w:val="Footer Cover Page"/>
    <w:basedOn w:val="Normal"/>
    <w:link w:val="FooterCoverPageChar"/>
    <w:rsid w:val="007E297E"/>
    <w:pPr>
      <w:tabs>
        <w:tab w:val="center" w:pos="4535"/>
        <w:tab w:val="right" w:pos="9071"/>
        <w:tab w:val="right" w:pos="9921"/>
      </w:tabs>
      <w:spacing w:before="360" w:after="0"/>
      <w:ind w:left="-850" w:right="-850"/>
      <w:jc w:val="left"/>
    </w:pPr>
    <w:rPr>
      <w:rFonts w:ascii="Times New Roman" w:hAnsi="Times New Roman" w:cs="Times New Roman"/>
    </w:rPr>
  </w:style>
  <w:style w:type="character" w:customStyle="1" w:styleId="FooterCoverPageChar">
    <w:name w:val="Footer Cover Page Char"/>
    <w:basedOn w:val="DefaultParagraphFont"/>
    <w:link w:val="FooterCoverPage"/>
    <w:rsid w:val="007E297E"/>
    <w:rPr>
      <w:rFonts w:ascii="Times New Roman" w:hAnsi="Times New Roman" w:cs="Times New Roman"/>
    </w:rPr>
  </w:style>
  <w:style w:type="paragraph" w:customStyle="1" w:styleId="FooterSensitivity">
    <w:name w:val="Footer Sensitivity"/>
    <w:basedOn w:val="Normal"/>
    <w:link w:val="FooterSensitivityChar"/>
    <w:rsid w:val="007E297E"/>
    <w:pPr>
      <w:pBdr>
        <w:top w:val="single" w:sz="4" w:space="1" w:color="auto"/>
        <w:left w:val="single" w:sz="4" w:space="4" w:color="auto"/>
        <w:bottom w:val="single" w:sz="4" w:space="1" w:color="auto"/>
        <w:right w:val="single" w:sz="4" w:space="4" w:color="auto"/>
      </w:pBdr>
      <w:spacing w:before="360" w:after="0"/>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sid w:val="007E297E"/>
    <w:rPr>
      <w:rFonts w:ascii="Times New Roman" w:hAnsi="Times New Roman" w:cs="Times New Roman"/>
      <w:b/>
      <w:sz w:val="32"/>
    </w:rPr>
  </w:style>
  <w:style w:type="paragraph" w:customStyle="1" w:styleId="HeaderCoverPage">
    <w:name w:val="Header Cover Page"/>
    <w:basedOn w:val="Normal"/>
    <w:link w:val="HeaderCoverPageChar"/>
    <w:rsid w:val="007E297E"/>
    <w:pPr>
      <w:tabs>
        <w:tab w:val="center" w:pos="4535"/>
        <w:tab w:val="right" w:pos="9071"/>
      </w:tabs>
      <w:spacing w:after="120"/>
    </w:pPr>
    <w:rPr>
      <w:rFonts w:ascii="Times New Roman" w:hAnsi="Times New Roman" w:cs="Times New Roman"/>
    </w:rPr>
  </w:style>
  <w:style w:type="character" w:customStyle="1" w:styleId="HeaderCoverPageChar">
    <w:name w:val="Header Cover Page Char"/>
    <w:basedOn w:val="DefaultParagraphFont"/>
    <w:link w:val="HeaderCoverPage"/>
    <w:rsid w:val="007E297E"/>
    <w:rPr>
      <w:rFonts w:ascii="Times New Roman" w:hAnsi="Times New Roman" w:cs="Times New Roman"/>
    </w:rPr>
  </w:style>
  <w:style w:type="paragraph" w:customStyle="1" w:styleId="HeaderSensitivity">
    <w:name w:val="Header Sensitivity"/>
    <w:basedOn w:val="Normal"/>
    <w:link w:val="HeaderSensitivityChar"/>
    <w:rsid w:val="007E297E"/>
    <w:pPr>
      <w:pBdr>
        <w:top w:val="single" w:sz="4" w:space="1" w:color="auto"/>
        <w:left w:val="single" w:sz="4" w:space="4" w:color="auto"/>
        <w:bottom w:val="single" w:sz="4" w:space="1" w:color="auto"/>
        <w:right w:val="single" w:sz="4" w:space="4" w:color="auto"/>
      </w:pBdr>
      <w:spacing w:after="120"/>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sid w:val="007E297E"/>
    <w:rPr>
      <w:rFonts w:ascii="Times New Roman" w:hAnsi="Times New Roman" w:cs="Times New Roman"/>
      <w:b/>
      <w:sz w:val="32"/>
    </w:rPr>
  </w:style>
  <w:style w:type="paragraph" w:customStyle="1" w:styleId="HeaderSensitivityRight">
    <w:name w:val="Header Sensitivity Right"/>
    <w:basedOn w:val="Normal"/>
    <w:link w:val="HeaderSensitivityRightChar"/>
    <w:rsid w:val="007E297E"/>
    <w:pPr>
      <w:spacing w:after="120"/>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sid w:val="007E297E"/>
    <w:rPr>
      <w:rFonts w:ascii="Times New Roman" w:hAnsi="Times New Roman" w:cs="Times New Roman"/>
      <w:sz w:val="28"/>
    </w:rPr>
  </w:style>
  <w:style w:type="character" w:styleId="FootnoteReference">
    <w:name w:val="footnote reference"/>
    <w:aliases w:val="number,SUPERS,Footnote Reference Superscript,stylish,Footnote symbol,BVI fnr,-E Fußnotenzeichen,Source Reference,Footnote reference number,note TESI,Times 10 Point,Exposant 3 Point,Ref,de nota al pie,EN Footnote Reference,R,ftref,16 P"/>
    <w:basedOn w:val="DefaultParagraphFont"/>
    <w:link w:val="FootnoteReferenceCharCarCharCharCarCharCarCharCarCharCarCharCharCarCarCharCharCharCharCharCarCharCarCharCharCarCharCar"/>
    <w:uiPriority w:val="99"/>
    <w:qFormat/>
    <w:locked/>
    <w:rsid w:val="005A6E62"/>
    <w:rPr>
      <w:vertAlign w:val="superscript"/>
    </w:rPr>
  </w:style>
  <w:style w:type="paragraph" w:customStyle="1" w:styleId="FootnoteReferenceCharCarCharCharCarCharCarCharCarCharCarCharCharCarCarCharCharCharCharCharCarCharCarCharCharCarCharCar">
    <w:name w:val="Footnote Reference Char Car Char Char Car Char Car Char Car Char Car Char Char Car Car Char Char Char Char Char Car Char Car Char Char Car Char Car"/>
    <w:aliases w:val="Footnotes refss Car Char Car,callout Car Car Char Char Car,Footnotes refss Car1"/>
    <w:basedOn w:val="Normal"/>
    <w:link w:val="FootnoteReference"/>
    <w:uiPriority w:val="99"/>
    <w:unhideWhenUsed/>
    <w:rsid w:val="008B3E24"/>
    <w:pPr>
      <w:spacing w:after="160" w:line="240" w:lineRule="exact"/>
    </w:pPr>
    <w:rPr>
      <w:vertAlign w:val="superscript"/>
    </w:rPr>
  </w:style>
  <w:style w:type="character" w:styleId="Hyperlink">
    <w:name w:val="Hyperlink"/>
    <w:basedOn w:val="DefaultParagraphFont"/>
    <w:uiPriority w:val="99"/>
    <w:unhideWhenUsed/>
    <w:qFormat/>
    <w:locked/>
    <w:rsid w:val="00A84163"/>
    <w:rPr>
      <w:color w:val="0563C1" w:themeColor="hyperlink"/>
      <w:u w:val="single"/>
    </w:rPr>
  </w:style>
  <w:style w:type="paragraph" w:styleId="ListParagraph">
    <w:name w:val="List Paragraph"/>
    <w:aliases w:val="List Paragraph compact,Normal bullet 2,Paragraphe de liste 2,Reference list,Bullet list,Numbered List,List Paragraph1,1st level - Bullet List Paragraph,Lettre d'introduction,Paragraph,Bullet EY,List Paragraph11,Normal bullet 21,List L1,L"/>
    <w:basedOn w:val="Normal"/>
    <w:link w:val="ListParagraphChar"/>
    <w:uiPriority w:val="34"/>
    <w:qFormat/>
    <w:locked/>
    <w:rsid w:val="001850C9"/>
    <w:pPr>
      <w:ind w:left="720" w:hanging="360"/>
      <w:contextualSpacing/>
    </w:pPr>
  </w:style>
  <w:style w:type="character" w:customStyle="1" w:styleId="ListParagraphChar">
    <w:name w:val="List Paragraph Char"/>
    <w:aliases w:val="List Paragraph compact Char,Normal bullet 2 Char,Paragraphe de liste 2 Char,Reference list Char,Bullet list Char,Numbered List Char,List Paragraph1 Char,1st level - Bullet List Paragraph Char,Lettre d'introduction Char,Paragraph Char"/>
    <w:link w:val="ListParagraph"/>
    <w:uiPriority w:val="34"/>
    <w:qFormat/>
    <w:locked/>
    <w:rsid w:val="00545642"/>
  </w:style>
  <w:style w:type="character" w:styleId="CommentReference">
    <w:name w:val="annotation reference"/>
    <w:basedOn w:val="DefaultParagraphFont"/>
    <w:semiHidden/>
    <w:locked/>
    <w:rsid w:val="005128B8"/>
    <w:rPr>
      <w:sz w:val="16"/>
      <w:szCs w:val="16"/>
    </w:rPr>
  </w:style>
  <w:style w:type="paragraph" w:styleId="CommentText">
    <w:name w:val="annotation text"/>
    <w:basedOn w:val="Normal"/>
    <w:link w:val="CommentTextChar"/>
    <w:qFormat/>
    <w:locked/>
    <w:rsid w:val="005128B8"/>
    <w:rPr>
      <w:sz w:val="20"/>
    </w:rPr>
  </w:style>
  <w:style w:type="character" w:customStyle="1" w:styleId="CommentTextChar">
    <w:name w:val="Comment Text Char"/>
    <w:basedOn w:val="DefaultParagraphFont"/>
    <w:link w:val="CommentText"/>
    <w:qFormat/>
    <w:rsid w:val="005128B8"/>
    <w:rPr>
      <w:sz w:val="20"/>
    </w:rPr>
  </w:style>
  <w:style w:type="paragraph" w:styleId="CommentSubject">
    <w:name w:val="annotation subject"/>
    <w:basedOn w:val="CommentText"/>
    <w:next w:val="CommentText"/>
    <w:link w:val="CommentSubjectChar"/>
    <w:semiHidden/>
    <w:locked/>
    <w:rsid w:val="005128B8"/>
    <w:rPr>
      <w:b/>
      <w:bCs/>
    </w:rPr>
  </w:style>
  <w:style w:type="character" w:customStyle="1" w:styleId="CommentSubjectChar">
    <w:name w:val="Comment Subject Char"/>
    <w:basedOn w:val="CommentTextChar"/>
    <w:link w:val="CommentSubject"/>
    <w:semiHidden/>
    <w:rsid w:val="005128B8"/>
    <w:rPr>
      <w:b/>
      <w:bCs/>
      <w:sz w:val="20"/>
    </w:rPr>
  </w:style>
  <w:style w:type="paragraph" w:styleId="Revision">
    <w:name w:val="Revision"/>
    <w:hidden/>
    <w:semiHidden/>
    <w:locked/>
    <w:rsid w:val="002C3BDD"/>
  </w:style>
  <w:style w:type="character" w:customStyle="1" w:styleId="UnresolvedMention1">
    <w:name w:val="Unresolved Mention1"/>
    <w:basedOn w:val="DefaultParagraphFont"/>
    <w:uiPriority w:val="99"/>
    <w:unhideWhenUsed/>
    <w:rsid w:val="00A971AC"/>
    <w:rPr>
      <w:color w:val="605E5C"/>
      <w:shd w:val="clear" w:color="auto" w:fill="E1DFDD"/>
    </w:rPr>
  </w:style>
  <w:style w:type="table" w:customStyle="1" w:styleId="CV11">
    <w:name w:val="CV11"/>
    <w:basedOn w:val="TableNormal"/>
    <w:next w:val="TableGrid"/>
    <w:uiPriority w:val="59"/>
    <w:rsid w:val="00D222A4"/>
    <w:rPr>
      <w:sz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uiPriority w:val="99"/>
    <w:qFormat/>
    <w:rsid w:val="00AA4414"/>
    <w:pPr>
      <w:spacing w:after="160" w:line="240" w:lineRule="exact"/>
    </w:pPr>
    <w:rPr>
      <w:rFonts w:eastAsiaTheme="minorHAnsi" w:cstheme="minorBidi"/>
      <w:sz w:val="22"/>
      <w:szCs w:val="22"/>
      <w:vertAlign w:val="superscript"/>
      <w:lang w:val="en-IE" w:eastAsia="en-US"/>
    </w:rPr>
  </w:style>
  <w:style w:type="paragraph" w:customStyle="1" w:styleId="CharCharChar1">
    <w:name w:val="Char Char Char1"/>
    <w:basedOn w:val="Normal"/>
    <w:uiPriority w:val="99"/>
    <w:rsid w:val="006747A1"/>
    <w:pPr>
      <w:spacing w:after="160" w:line="240" w:lineRule="exact"/>
    </w:pPr>
    <w:rPr>
      <w:vertAlign w:val="superscript"/>
    </w:rPr>
  </w:style>
  <w:style w:type="paragraph" w:customStyle="1" w:styleId="Default">
    <w:name w:val="Default"/>
    <w:rsid w:val="006747A1"/>
    <w:pPr>
      <w:autoSpaceDE w:val="0"/>
      <w:autoSpaceDN w:val="0"/>
      <w:adjustRightInd w:val="0"/>
    </w:pPr>
    <w:rPr>
      <w:rFonts w:eastAsiaTheme="minorHAnsi"/>
      <w:color w:val="000000"/>
      <w:lang w:val="en-IE" w:eastAsia="en-US"/>
    </w:rPr>
  </w:style>
  <w:style w:type="character" w:customStyle="1" w:styleId="normaltextrun">
    <w:name w:val="normaltextrun"/>
    <w:basedOn w:val="DefaultParagraphFont"/>
    <w:rsid w:val="006747A1"/>
  </w:style>
  <w:style w:type="paragraph" w:styleId="NormalWeb">
    <w:name w:val="Normal (Web)"/>
    <w:basedOn w:val="Normal"/>
    <w:uiPriority w:val="99"/>
    <w:unhideWhenUsed/>
    <w:locked/>
    <w:rsid w:val="005C20E2"/>
    <w:pPr>
      <w:spacing w:before="100" w:beforeAutospacing="1" w:after="100" w:afterAutospacing="1"/>
      <w:jc w:val="left"/>
    </w:pPr>
    <w:rPr>
      <w:lang w:val="en-IE"/>
    </w:rPr>
  </w:style>
  <w:style w:type="character" w:customStyle="1" w:styleId="Mention1">
    <w:name w:val="Mention1"/>
    <w:basedOn w:val="DefaultParagraphFont"/>
    <w:uiPriority w:val="99"/>
    <w:unhideWhenUsed/>
    <w:rsid w:val="004C1171"/>
    <w:rPr>
      <w:color w:val="2B579A"/>
      <w:shd w:val="clear" w:color="auto" w:fill="E1DFDD"/>
    </w:rPr>
  </w:style>
  <w:style w:type="paragraph" w:styleId="BalloonText">
    <w:name w:val="Balloon Text"/>
    <w:basedOn w:val="Normal"/>
    <w:link w:val="BalloonTextChar"/>
    <w:semiHidden/>
    <w:unhideWhenUsed/>
    <w:locked/>
    <w:rsid w:val="007544AC"/>
    <w:pPr>
      <w:spacing w:after="0"/>
    </w:pPr>
    <w:rPr>
      <w:rFonts w:ascii="Roboto" w:hAnsi="Roboto" w:cs="Roboto"/>
      <w:sz w:val="18"/>
      <w:szCs w:val="18"/>
    </w:rPr>
  </w:style>
  <w:style w:type="character" w:customStyle="1" w:styleId="BalloonTextChar">
    <w:name w:val="Balloon Text Char"/>
    <w:basedOn w:val="DefaultParagraphFont"/>
    <w:link w:val="BalloonText"/>
    <w:semiHidden/>
    <w:rsid w:val="007544AC"/>
    <w:rPr>
      <w:rFonts w:ascii="Roboto" w:hAnsi="Roboto" w:cs="Roboto"/>
      <w:sz w:val="18"/>
      <w:szCs w:val="18"/>
    </w:rPr>
  </w:style>
  <w:style w:type="character" w:customStyle="1" w:styleId="UnresolvedMention2">
    <w:name w:val="Unresolved Mention2"/>
    <w:basedOn w:val="DefaultParagraphFont"/>
    <w:uiPriority w:val="99"/>
    <w:unhideWhenUsed/>
    <w:rsid w:val="00010A39"/>
    <w:rPr>
      <w:color w:val="605E5C"/>
      <w:shd w:val="clear" w:color="auto" w:fill="E1DFDD"/>
    </w:rPr>
  </w:style>
  <w:style w:type="character" w:customStyle="1" w:styleId="Mention2">
    <w:name w:val="Mention2"/>
    <w:basedOn w:val="DefaultParagraphFont"/>
    <w:uiPriority w:val="99"/>
    <w:unhideWhenUsed/>
    <w:rsid w:val="00010A39"/>
    <w:rPr>
      <w:color w:val="2B579A"/>
      <w:shd w:val="clear" w:color="auto" w:fill="E1DFDD"/>
    </w:rPr>
  </w:style>
  <w:style w:type="character" w:styleId="FollowedHyperlink">
    <w:name w:val="FollowedHyperlink"/>
    <w:basedOn w:val="DefaultParagraphFont"/>
    <w:semiHidden/>
    <w:locked/>
    <w:rsid w:val="00CD5355"/>
    <w:rPr>
      <w:color w:val="954F72" w:themeColor="followedHyperlink"/>
      <w:u w:val="single"/>
    </w:rPr>
  </w:style>
  <w:style w:type="paragraph" w:customStyle="1" w:styleId="CT2040GraphSOURCE">
    <w:name w:val="CT2040_Graph_SOURCE"/>
    <w:basedOn w:val="Normal"/>
    <w:link w:val="CT2040GraphSOURCEChar"/>
    <w:uiPriority w:val="1"/>
    <w:rsid w:val="00BC5DAD"/>
    <w:pPr>
      <w:jc w:val="right"/>
    </w:pPr>
    <w:rPr>
      <w:rFonts w:ascii="EC Square Sans Cond Pro" w:hAnsi="EC Square Sans Cond Pro"/>
      <w:i/>
      <w:iCs/>
      <w:sz w:val="22"/>
      <w:szCs w:val="22"/>
      <w:lang w:val="en-IE" w:eastAsia="en-US"/>
    </w:rPr>
  </w:style>
  <w:style w:type="character" w:customStyle="1" w:styleId="CT2040GraphSOURCEChar">
    <w:name w:val="CT2040_Graph_SOURCE Char"/>
    <w:basedOn w:val="Text2Char"/>
    <w:link w:val="CT2040GraphSOURCE"/>
    <w:uiPriority w:val="1"/>
    <w:rsid w:val="00CA3A05"/>
    <w:rPr>
      <w:rFonts w:ascii="EC Square Sans Cond Pro" w:hAnsi="EC Square Sans Cond Pro"/>
      <w:i/>
      <w:iCs/>
      <w:sz w:val="22"/>
      <w:szCs w:val="22"/>
      <w:lang w:val="en-IE" w:eastAsia="en-US"/>
    </w:rPr>
  </w:style>
  <w:style w:type="paragraph" w:customStyle="1" w:styleId="CT2040GraphsNotes">
    <w:name w:val="CT2040:Graphs Notes"/>
    <w:basedOn w:val="Normal"/>
    <w:link w:val="CT2040GraphsNotesChar"/>
    <w:uiPriority w:val="1"/>
    <w:rsid w:val="10AF7D3C"/>
  </w:style>
  <w:style w:type="character" w:customStyle="1" w:styleId="CT2040GraphsNotesChar">
    <w:name w:val="CT2040:Graphs Notes Char"/>
    <w:basedOn w:val="CT2040GraphSOURCEChar"/>
    <w:link w:val="CT2040GraphsNotes"/>
    <w:uiPriority w:val="1"/>
    <w:rsid w:val="00A55363"/>
    <w:rPr>
      <w:rFonts w:ascii="EC Square Sans Cond Pro" w:hAnsi="EC Square Sans Cond Pro"/>
      <w:i w:val="0"/>
      <w:iCs w:val="0"/>
      <w:sz w:val="22"/>
      <w:szCs w:val="22"/>
      <w:lang w:val="en-IE" w:eastAsia="en-US"/>
    </w:rPr>
  </w:style>
  <w:style w:type="paragraph" w:customStyle="1" w:styleId="paragraph">
    <w:name w:val="paragraph"/>
    <w:basedOn w:val="Normal"/>
    <w:link w:val="paragraphChar"/>
    <w:rsid w:val="00A94A9F"/>
    <w:pPr>
      <w:spacing w:before="100" w:beforeAutospacing="1" w:after="100" w:afterAutospacing="1"/>
      <w:jc w:val="left"/>
    </w:pPr>
    <w:rPr>
      <w:rFonts w:eastAsiaTheme="minorHAnsi"/>
      <w:lang w:val="en-IE"/>
    </w:rPr>
  </w:style>
  <w:style w:type="character" w:customStyle="1" w:styleId="paragraphChar">
    <w:name w:val="paragraph Char"/>
    <w:basedOn w:val="DefaultParagraphFont"/>
    <w:link w:val="paragraph"/>
    <w:rsid w:val="004927B4"/>
    <w:rPr>
      <w:rFonts w:eastAsiaTheme="minorHAnsi"/>
      <w:lang w:val="en-IE"/>
    </w:rPr>
  </w:style>
  <w:style w:type="character" w:customStyle="1" w:styleId="eop">
    <w:name w:val="eop"/>
    <w:basedOn w:val="DefaultParagraphFont"/>
    <w:rsid w:val="00A94A9F"/>
  </w:style>
  <w:style w:type="character" w:customStyle="1" w:styleId="UnresolvedMention3">
    <w:name w:val="Unresolved Mention3"/>
    <w:basedOn w:val="DefaultParagraphFont"/>
    <w:uiPriority w:val="99"/>
    <w:unhideWhenUsed/>
    <w:rsid w:val="009159B0"/>
    <w:rPr>
      <w:color w:val="605E5C"/>
      <w:shd w:val="clear" w:color="auto" w:fill="E1DFDD"/>
    </w:rPr>
  </w:style>
  <w:style w:type="character" w:customStyle="1" w:styleId="Mention3">
    <w:name w:val="Mention3"/>
    <w:basedOn w:val="DefaultParagraphFont"/>
    <w:uiPriority w:val="99"/>
    <w:unhideWhenUsed/>
    <w:rsid w:val="009159B0"/>
    <w:rPr>
      <w:color w:val="2B579A"/>
      <w:shd w:val="clear" w:color="auto" w:fill="E1DFDD"/>
    </w:rPr>
  </w:style>
  <w:style w:type="character" w:customStyle="1" w:styleId="UnresolvedMention4">
    <w:name w:val="Unresolved Mention4"/>
    <w:basedOn w:val="DefaultParagraphFont"/>
    <w:uiPriority w:val="99"/>
    <w:unhideWhenUsed/>
    <w:rsid w:val="007D48C4"/>
    <w:rPr>
      <w:color w:val="605E5C"/>
      <w:shd w:val="clear" w:color="auto" w:fill="E1DFDD"/>
    </w:rPr>
  </w:style>
  <w:style w:type="character" w:customStyle="1" w:styleId="Mention4">
    <w:name w:val="Mention4"/>
    <w:basedOn w:val="DefaultParagraphFont"/>
    <w:uiPriority w:val="99"/>
    <w:unhideWhenUsed/>
    <w:rsid w:val="007D48C4"/>
    <w:rPr>
      <w:color w:val="2B579A"/>
      <w:shd w:val="clear" w:color="auto" w:fill="E1DFDD"/>
    </w:rPr>
  </w:style>
  <w:style w:type="character" w:customStyle="1" w:styleId="classifiedinformation--address-row">
    <w:name w:val="classified__information--address-row"/>
    <w:basedOn w:val="DefaultParagraphFont"/>
    <w:rsid w:val="001E347E"/>
  </w:style>
  <w:style w:type="paragraph" w:styleId="BodyText">
    <w:name w:val="Body Text"/>
    <w:basedOn w:val="Normal"/>
    <w:link w:val="BodyTextChar"/>
    <w:uiPriority w:val="1"/>
    <w:qFormat/>
    <w:locked/>
    <w:rsid w:val="00AE3EFF"/>
    <w:pPr>
      <w:spacing w:before="120" w:after="120" w:line="260" w:lineRule="atLeast"/>
      <w:ind w:left="851"/>
    </w:pPr>
    <w:rPr>
      <w:rFonts w:ascii="Courier New" w:eastAsiaTheme="minorHAnsi" w:hAnsi="Courier New"/>
      <w:sz w:val="22"/>
      <w:szCs w:val="22"/>
      <w:lang w:eastAsia="en-US"/>
    </w:rPr>
  </w:style>
  <w:style w:type="character" w:customStyle="1" w:styleId="BodyTextChar">
    <w:name w:val="Body Text Char"/>
    <w:basedOn w:val="DefaultParagraphFont"/>
    <w:link w:val="BodyText"/>
    <w:uiPriority w:val="1"/>
    <w:rsid w:val="0009212A"/>
    <w:rPr>
      <w:rFonts w:ascii="Courier New" w:eastAsiaTheme="minorHAnsi" w:hAnsi="Courier New"/>
      <w:sz w:val="22"/>
      <w:szCs w:val="22"/>
      <w:lang w:eastAsia="en-US"/>
    </w:rPr>
  </w:style>
  <w:style w:type="paragraph" w:customStyle="1" w:styleId="SUPERSCharCharCharCharCharCharCharChar">
    <w:name w:val="SUPERS Char Char Char Char Char Char Char Char"/>
    <w:basedOn w:val="Normal"/>
    <w:uiPriority w:val="99"/>
    <w:rsid w:val="00094B55"/>
    <w:pPr>
      <w:spacing w:before="60" w:after="160" w:line="240" w:lineRule="exact"/>
      <w:jc w:val="left"/>
    </w:pPr>
    <w:rPr>
      <w:rFonts w:ascii="Courier New" w:eastAsiaTheme="minorHAnsi" w:hAnsi="Courier New"/>
      <w:sz w:val="20"/>
      <w:vertAlign w:val="superscript"/>
      <w:lang w:eastAsia="en-US"/>
    </w:rPr>
  </w:style>
  <w:style w:type="character" w:customStyle="1" w:styleId="ui-provider">
    <w:name w:val="ui-provider"/>
    <w:basedOn w:val="DefaultParagraphFont"/>
    <w:rsid w:val="0009212A"/>
  </w:style>
  <w:style w:type="table" w:styleId="PlainTable3">
    <w:name w:val="Plain Table 3"/>
    <w:basedOn w:val="TableNormal"/>
    <w:locked/>
    <w:rsid w:val="00F80A8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findhit">
    <w:name w:val="findhit"/>
    <w:basedOn w:val="DefaultParagraphFont"/>
    <w:rsid w:val="0009212A"/>
  </w:style>
  <w:style w:type="character" w:styleId="Emphasis">
    <w:name w:val="Emphasis"/>
    <w:basedOn w:val="DefaultParagraphFont"/>
    <w:uiPriority w:val="20"/>
    <w:qFormat/>
    <w:locked/>
    <w:rsid w:val="0009212A"/>
    <w:rPr>
      <w:i/>
      <w:iCs/>
    </w:rPr>
  </w:style>
  <w:style w:type="table" w:styleId="GridTable5Dark-Accent5">
    <w:name w:val="Grid Table 5 Dark Accent 5"/>
    <w:basedOn w:val="TableNormal"/>
    <w:locked/>
    <w:rsid w:val="007148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customStyle="1" w:styleId="tabchar">
    <w:name w:val="tabchar"/>
    <w:basedOn w:val="DefaultParagraphFont"/>
    <w:rsid w:val="00754E6C"/>
  </w:style>
  <w:style w:type="character" w:styleId="EndnoteReference">
    <w:name w:val="endnote reference"/>
    <w:basedOn w:val="DefaultParagraphFont"/>
    <w:uiPriority w:val="99"/>
    <w:semiHidden/>
    <w:unhideWhenUsed/>
    <w:locked/>
    <w:rsid w:val="00754E6C"/>
    <w:rPr>
      <w:vertAlign w:val="superscript"/>
    </w:rPr>
  </w:style>
  <w:style w:type="paragraph" w:customStyle="1" w:styleId="Style1">
    <w:name w:val="Style1"/>
    <w:basedOn w:val="Heading1"/>
    <w:next w:val="Heading1"/>
    <w:qFormat/>
    <w:rsid w:val="00C46F75"/>
    <w:pPr>
      <w:keepNext w:val="0"/>
      <w:tabs>
        <w:tab w:val="clear" w:pos="480"/>
        <w:tab w:val="num" w:pos="482"/>
      </w:tabs>
      <w:spacing w:before="0" w:after="160" w:line="259" w:lineRule="auto"/>
      <w:ind w:left="482" w:hanging="482"/>
      <w:jc w:val="left"/>
    </w:pPr>
    <w:rPr>
      <w:rFonts w:asciiTheme="majorHAnsi" w:eastAsiaTheme="minorHAnsi" w:hAnsiTheme="majorHAnsi" w:cstheme="minorBidi"/>
      <w:b w:val="0"/>
      <w:smallCaps w:val="0"/>
      <w:sz w:val="32"/>
      <w:szCs w:val="22"/>
      <w:lang w:val="en-US"/>
    </w:rPr>
  </w:style>
  <w:style w:type="paragraph" w:customStyle="1" w:styleId="ICFTitlePagesubtitleBlack">
    <w:name w:val="ICF Title Page subtitle Black"/>
    <w:basedOn w:val="Normal"/>
    <w:qFormat/>
    <w:rsid w:val="00B24F3B"/>
    <w:pPr>
      <w:spacing w:after="160" w:line="216" w:lineRule="auto"/>
      <w:jc w:val="left"/>
    </w:pPr>
    <w:rPr>
      <w:rFonts w:ascii="Roboto" w:eastAsiaTheme="minorHAnsi" w:hAnsi="Roboto" w:cs="Symbol"/>
      <w:b/>
      <w:bCs/>
      <w:color w:val="000000" w:themeColor="text1"/>
      <w:sz w:val="40"/>
      <w:szCs w:val="40"/>
      <w:lang w:val="en-US" w:eastAsia="en-US"/>
    </w:rPr>
  </w:style>
  <w:style w:type="character" w:customStyle="1" w:styleId="mo">
    <w:name w:val="mo"/>
    <w:basedOn w:val="DefaultParagraphFont"/>
    <w:rsid w:val="004927B4"/>
  </w:style>
  <w:style w:type="paragraph" w:customStyle="1" w:styleId="Style2">
    <w:name w:val="Style2"/>
    <w:basedOn w:val="paragraph"/>
    <w:link w:val="Style2Char"/>
    <w:uiPriority w:val="1"/>
    <w:qFormat/>
    <w:rsid w:val="004927B4"/>
    <w:pPr>
      <w:spacing w:before="0" w:beforeAutospacing="0" w:after="0" w:afterAutospacing="0"/>
      <w:jc w:val="both"/>
    </w:pPr>
    <w:rPr>
      <w:rFonts w:cs="Times New Roman"/>
      <w:sz w:val="20"/>
    </w:rPr>
  </w:style>
  <w:style w:type="character" w:customStyle="1" w:styleId="Style2Char">
    <w:name w:val="Style2 Char"/>
    <w:basedOn w:val="paragraphChar"/>
    <w:link w:val="Style2"/>
    <w:uiPriority w:val="1"/>
    <w:rsid w:val="004927B4"/>
    <w:rPr>
      <w:rFonts w:ascii="Times New Roman" w:eastAsiaTheme="minorHAnsi" w:hAnsi="Times New Roman" w:cs="Times New Roman"/>
      <w:sz w:val="20"/>
      <w:szCs w:val="24"/>
      <w:lang w:val="en-IE"/>
    </w:rPr>
  </w:style>
  <w:style w:type="character" w:customStyle="1" w:styleId="mjxassistivemathml">
    <w:name w:val="mjx_assistive_mathml"/>
    <w:basedOn w:val="DefaultParagraphFont"/>
    <w:rsid w:val="004927B4"/>
  </w:style>
  <w:style w:type="character" w:customStyle="1" w:styleId="scxw52429007">
    <w:name w:val="scxw52429007"/>
    <w:basedOn w:val="DefaultParagraphFont"/>
    <w:rsid w:val="004927B4"/>
  </w:style>
  <w:style w:type="character" w:customStyle="1" w:styleId="superscript">
    <w:name w:val="superscript"/>
    <w:basedOn w:val="DefaultParagraphFont"/>
    <w:rsid w:val="004927B4"/>
  </w:style>
  <w:style w:type="character" w:customStyle="1" w:styleId="SmartLink1">
    <w:name w:val="SmartLink1"/>
    <w:basedOn w:val="DefaultParagraphFont"/>
    <w:uiPriority w:val="99"/>
    <w:semiHidden/>
    <w:unhideWhenUsed/>
    <w:rsid w:val="004927B4"/>
    <w:rPr>
      <w:color w:val="0000FF"/>
      <w:u w:val="single"/>
      <w:shd w:val="clear" w:color="auto" w:fill="F3F2F1"/>
    </w:rPr>
  </w:style>
  <w:style w:type="paragraph" w:customStyle="1" w:styleId="Tabeltekst">
    <w:name w:val="Tabeltekst"/>
    <w:basedOn w:val="Normal"/>
    <w:link w:val="TabeltekstChar"/>
    <w:qFormat/>
    <w:rsid w:val="003256AD"/>
    <w:pPr>
      <w:numPr>
        <w:numId w:val="20"/>
      </w:numPr>
      <w:suppressAutoHyphens/>
      <w:spacing w:after="0" w:line="300" w:lineRule="atLeast"/>
      <w:contextualSpacing/>
      <w:jc w:val="left"/>
    </w:pPr>
    <w:rPr>
      <w:rFonts w:ascii="Calibri Light" w:eastAsiaTheme="minorEastAsia" w:hAnsi="Calibri Light" w:cstheme="minorBidi"/>
      <w:sz w:val="20"/>
      <w:szCs w:val="21"/>
      <w:shd w:val="clear" w:color="auto" w:fill="FFFFFF"/>
      <w:lang w:eastAsia="en-US"/>
    </w:rPr>
  </w:style>
  <w:style w:type="character" w:customStyle="1" w:styleId="TabeltekstChar">
    <w:name w:val="Tabeltekst Char"/>
    <w:basedOn w:val="DefaultParagraphFont"/>
    <w:link w:val="Tabeltekst"/>
    <w:rsid w:val="004927B4"/>
    <w:rPr>
      <w:rFonts w:ascii="Calibri Light" w:eastAsiaTheme="minorEastAsia" w:hAnsi="Calibri Light" w:cstheme="minorBidi"/>
      <w:sz w:val="20"/>
      <w:szCs w:val="21"/>
      <w:lang w:eastAsia="en-US"/>
    </w:rPr>
  </w:style>
  <w:style w:type="paragraph" w:customStyle="1" w:styleId="Briefinglist1">
    <w:name w:val="Briefing list 1"/>
    <w:basedOn w:val="Normal"/>
    <w:rsid w:val="00B32EBA"/>
    <w:pPr>
      <w:ind w:left="720" w:hanging="360"/>
    </w:pPr>
  </w:style>
  <w:style w:type="character" w:customStyle="1" w:styleId="UnresolvedMention5">
    <w:name w:val="Unresolved Mention5"/>
    <w:basedOn w:val="DefaultParagraphFont"/>
    <w:uiPriority w:val="99"/>
    <w:unhideWhenUsed/>
    <w:rsid w:val="00AD0812"/>
    <w:rPr>
      <w:color w:val="605E5C"/>
      <w:shd w:val="clear" w:color="auto" w:fill="E1DFDD"/>
    </w:rPr>
  </w:style>
  <w:style w:type="character" w:customStyle="1" w:styleId="Mention5">
    <w:name w:val="Mention5"/>
    <w:basedOn w:val="DefaultParagraphFont"/>
    <w:uiPriority w:val="99"/>
    <w:unhideWhenUsed/>
    <w:rsid w:val="00AD0812"/>
    <w:rPr>
      <w:color w:val="2B579A"/>
      <w:shd w:val="clear" w:color="auto" w:fill="E1DFDD"/>
    </w:rPr>
  </w:style>
  <w:style w:type="character" w:customStyle="1" w:styleId="UnresolvedMention6">
    <w:name w:val="Unresolved Mention6"/>
    <w:basedOn w:val="DefaultParagraphFont"/>
    <w:uiPriority w:val="99"/>
    <w:semiHidden/>
    <w:unhideWhenUsed/>
    <w:rsid w:val="00E338CC"/>
    <w:rPr>
      <w:color w:val="605E5C"/>
      <w:shd w:val="clear" w:color="auto" w:fill="E1DFDD"/>
    </w:rPr>
  </w:style>
  <w:style w:type="character" w:customStyle="1" w:styleId="cf01">
    <w:name w:val="cf01"/>
    <w:basedOn w:val="DefaultParagraphFont"/>
    <w:rsid w:val="00E338CC"/>
    <w:rPr>
      <w:rFonts w:ascii="Segoe UI" w:hAnsi="Segoe UI" w:cs="Segoe UI" w:hint="default"/>
      <w:sz w:val="18"/>
      <w:szCs w:val="18"/>
    </w:rPr>
  </w:style>
  <w:style w:type="character" w:customStyle="1" w:styleId="UnresolvedMention7">
    <w:name w:val="Unresolved Mention7"/>
    <w:basedOn w:val="DefaultParagraphFont"/>
    <w:uiPriority w:val="99"/>
    <w:semiHidden/>
    <w:unhideWhenUsed/>
    <w:rsid w:val="00DD632C"/>
    <w:rPr>
      <w:color w:val="605E5C"/>
      <w:shd w:val="clear" w:color="auto" w:fill="E1DFDD"/>
    </w:rPr>
  </w:style>
  <w:style w:type="paragraph" w:customStyle="1" w:styleId="CT2040-SOURCE">
    <w:name w:val="CT2040 - SOURCE"/>
    <w:basedOn w:val="Normal"/>
    <w:link w:val="CT2040-SOURCEChar"/>
    <w:uiPriority w:val="1"/>
    <w:qFormat/>
    <w:rsid w:val="004F3954"/>
    <w:pPr>
      <w:tabs>
        <w:tab w:val="num" w:pos="1899"/>
      </w:tabs>
      <w:jc w:val="right"/>
    </w:pPr>
    <w:rPr>
      <w:rFonts w:ascii="EC Square Sans Cond Pro" w:eastAsiaTheme="minorHAnsi" w:hAnsi="EC Square Sans Cond Pro" w:cs="Avenir Next LT Pro"/>
      <w:i/>
      <w:iCs/>
      <w:sz w:val="22"/>
      <w:szCs w:val="22"/>
      <w:lang w:val="en-IE" w:eastAsia="en-US"/>
    </w:rPr>
  </w:style>
  <w:style w:type="character" w:customStyle="1" w:styleId="CT2040-SOURCEChar">
    <w:name w:val="CT2040 - SOURCE Char"/>
    <w:basedOn w:val="DefaultParagraphFont"/>
    <w:link w:val="CT2040-SOURCE"/>
    <w:uiPriority w:val="1"/>
    <w:rsid w:val="00F27FDC"/>
    <w:rPr>
      <w:rFonts w:ascii="EC Square Sans Cond Pro" w:eastAsiaTheme="minorHAnsi" w:hAnsi="EC Square Sans Cond Pro" w:cs="Avenir Next LT Pro"/>
      <w:i/>
      <w:iCs/>
      <w:sz w:val="22"/>
      <w:szCs w:val="22"/>
      <w:lang w:val="en-IE" w:eastAsia="en-US"/>
    </w:rPr>
  </w:style>
  <w:style w:type="paragraph" w:customStyle="1" w:styleId="FootnoteText1">
    <w:name w:val="Footnote Text1"/>
    <w:basedOn w:val="FootnoteText"/>
    <w:link w:val="footnotetextChar0"/>
    <w:uiPriority w:val="1"/>
    <w:qFormat/>
    <w:rsid w:val="00386C6E"/>
    <w:pPr>
      <w:spacing w:after="0" w:line="276" w:lineRule="auto"/>
      <w:ind w:left="0" w:firstLine="0"/>
    </w:pPr>
    <w:rPr>
      <w:rFonts w:ascii="Times New Roman" w:eastAsiaTheme="minorEastAsia" w:hAnsi="Times New Roman" w:cstheme="minorBidi"/>
      <w:sz w:val="18"/>
      <w:szCs w:val="18"/>
      <w:lang w:eastAsia="en-US"/>
    </w:rPr>
  </w:style>
  <w:style w:type="character" w:customStyle="1" w:styleId="footnotetextChar0">
    <w:name w:val="footnote text Char"/>
    <w:basedOn w:val="DefaultParagraphFont"/>
    <w:link w:val="FootnoteText1"/>
    <w:uiPriority w:val="1"/>
    <w:rsid w:val="00386C6E"/>
    <w:rPr>
      <w:rFonts w:ascii="Times New Roman" w:eastAsiaTheme="minorEastAsia" w:hAnsi="Times New Roman" w:cstheme="minorBidi"/>
      <w:sz w:val="18"/>
      <w:szCs w:val="18"/>
      <w:lang w:eastAsia="en-US"/>
    </w:rPr>
  </w:style>
  <w:style w:type="character" w:customStyle="1" w:styleId="UnresolvedMention8">
    <w:name w:val="Unresolved Mention8"/>
    <w:basedOn w:val="DefaultParagraphFont"/>
    <w:uiPriority w:val="99"/>
    <w:semiHidden/>
    <w:unhideWhenUsed/>
    <w:rsid w:val="0057606D"/>
    <w:rPr>
      <w:color w:val="605E5C"/>
      <w:shd w:val="clear" w:color="auto" w:fill="E1DFDD"/>
    </w:rPr>
  </w:style>
  <w:style w:type="character" w:customStyle="1" w:styleId="Mention6">
    <w:name w:val="Mention6"/>
    <w:basedOn w:val="DefaultParagraphFont"/>
    <w:uiPriority w:val="99"/>
    <w:unhideWhenUsed/>
    <w:rsid w:val="0057606D"/>
    <w:rPr>
      <w:color w:val="2B579A"/>
      <w:shd w:val="clear" w:color="auto" w:fill="E1DFDD"/>
    </w:rPr>
  </w:style>
  <w:style w:type="character" w:customStyle="1" w:styleId="UnresolvedMention9">
    <w:name w:val="Unresolved Mention9"/>
    <w:basedOn w:val="DefaultParagraphFont"/>
    <w:uiPriority w:val="99"/>
    <w:semiHidden/>
    <w:unhideWhenUsed/>
    <w:rsid w:val="00C712BD"/>
    <w:rPr>
      <w:color w:val="605E5C"/>
      <w:shd w:val="clear" w:color="auto" w:fill="E1DFDD"/>
    </w:rPr>
  </w:style>
  <w:style w:type="paragraph" w:customStyle="1" w:styleId="pf0">
    <w:name w:val="pf0"/>
    <w:basedOn w:val="Normal"/>
    <w:rsid w:val="00A23425"/>
    <w:pPr>
      <w:spacing w:before="100" w:beforeAutospacing="1" w:after="100" w:afterAutospacing="1"/>
      <w:jc w:val="left"/>
    </w:pPr>
    <w:rPr>
      <w:rFonts w:ascii="Times New Roman" w:eastAsia="Times New Roman" w:hAnsi="Times New Roman" w:cs="Times New Roman"/>
      <w:lang w:val="en-IE"/>
    </w:rPr>
  </w:style>
  <w:style w:type="character" w:customStyle="1" w:styleId="Mention7">
    <w:name w:val="Mention7"/>
    <w:basedOn w:val="DefaultParagraphFont"/>
    <w:uiPriority w:val="99"/>
    <w:unhideWhenUsed/>
    <w:rsid w:val="00A201EA"/>
    <w:rPr>
      <w:color w:val="2B579A"/>
      <w:shd w:val="clear" w:color="auto" w:fill="E1DFDD"/>
    </w:rPr>
  </w:style>
  <w:style w:type="character" w:customStyle="1" w:styleId="CaptionChar">
    <w:name w:val="Caption Char"/>
    <w:aliases w:val="CT2040-Caption Char"/>
    <w:basedOn w:val="DefaultParagraphFont"/>
    <w:link w:val="Caption"/>
    <w:uiPriority w:val="35"/>
    <w:locked/>
    <w:rsid w:val="0032100B"/>
    <w:rPr>
      <w:rFonts w:cs="Times New Roman"/>
      <w:b/>
      <w:sz w:val="22"/>
      <w:szCs w:val="22"/>
    </w:rPr>
  </w:style>
  <w:style w:type="paragraph" w:customStyle="1" w:styleId="CTNoteGraphs">
    <w:name w:val="CT: Note Graphs"/>
    <w:basedOn w:val="Normal"/>
    <w:link w:val="CTNoteGraphsChar"/>
    <w:qFormat/>
    <w:rsid w:val="00274782"/>
  </w:style>
  <w:style w:type="character" w:customStyle="1" w:styleId="CTNoteGraphsChar">
    <w:name w:val="CT: Note Graphs Char"/>
    <w:basedOn w:val="DefaultParagraphFont"/>
    <w:link w:val="CTNoteGraphs"/>
    <w:rsid w:val="00274782"/>
  </w:style>
  <w:style w:type="paragraph" w:customStyle="1" w:styleId="CT-NOTE">
    <w:name w:val="CT - NOTE"/>
    <w:basedOn w:val="Text3"/>
    <w:link w:val="CT-NOTEChar"/>
    <w:uiPriority w:val="1"/>
    <w:qFormat/>
    <w:rsid w:val="00906859"/>
    <w:pPr>
      <w:keepNext/>
      <w:spacing w:after="0"/>
      <w:ind w:left="0" w:firstLine="0"/>
      <w:jc w:val="left"/>
    </w:pPr>
    <w:rPr>
      <w:rFonts w:ascii="EC Square Sans Cond Pro" w:eastAsiaTheme="minorHAnsi" w:hAnsi="EC Square Sans Cond Pro" w:cs="Avenir Next LT Pro"/>
      <w:i/>
      <w:iCs/>
      <w:sz w:val="22"/>
      <w:szCs w:val="22"/>
      <w:lang w:val="en-IE" w:eastAsia="en-US"/>
    </w:rPr>
  </w:style>
  <w:style w:type="character" w:customStyle="1" w:styleId="CT-NOTEChar">
    <w:name w:val="CT - NOTE Char"/>
    <w:basedOn w:val="CTNoteGraphsChar"/>
    <w:link w:val="CT-NOTE"/>
    <w:uiPriority w:val="1"/>
    <w:rsid w:val="00274782"/>
    <w:rPr>
      <w:rFonts w:ascii="EC Square Sans Cond Pro" w:eastAsiaTheme="minorHAnsi" w:hAnsi="EC Square Sans Cond Pro" w:cs="Avenir Next LT Pro"/>
      <w:i/>
      <w:iCs/>
      <w:sz w:val="22"/>
      <w:szCs w:val="22"/>
      <w:lang w:val="en-IE" w:eastAsia="en-US"/>
    </w:rPr>
  </w:style>
  <w:style w:type="paragraph" w:customStyle="1" w:styleId="CT-SOURCE">
    <w:name w:val="CT- SOURCE"/>
    <w:basedOn w:val="CT-NOTE"/>
    <w:link w:val="CT-SOURCEChar"/>
    <w:uiPriority w:val="1"/>
    <w:qFormat/>
    <w:rsid w:val="00274782"/>
    <w:pPr>
      <w:spacing w:after="240"/>
      <w:jc w:val="right"/>
    </w:pPr>
  </w:style>
  <w:style w:type="character" w:customStyle="1" w:styleId="CT-SOURCEChar">
    <w:name w:val="CT- SOURCE Char"/>
    <w:basedOn w:val="CT-NOTEChar"/>
    <w:link w:val="CT-SOURCE"/>
    <w:uiPriority w:val="1"/>
    <w:rsid w:val="00274782"/>
    <w:rPr>
      <w:rFonts w:ascii="EC Square Sans Cond Pro" w:eastAsiaTheme="minorHAnsi" w:hAnsi="EC Square Sans Cond Pro" w:cs="Avenir Next LT Pro"/>
      <w:i/>
      <w:iCs/>
      <w:sz w:val="22"/>
      <w:szCs w:val="22"/>
      <w:lang w:val="en-IE" w:eastAsia="en-US"/>
    </w:rPr>
  </w:style>
  <w:style w:type="character" w:customStyle="1" w:styleId="Mention8">
    <w:name w:val="Mention8"/>
    <w:basedOn w:val="DefaultParagraphFont"/>
    <w:uiPriority w:val="99"/>
    <w:unhideWhenUsed/>
    <w:rsid w:val="00274782"/>
    <w:rPr>
      <w:color w:val="2B579A"/>
      <w:shd w:val="clear" w:color="auto" w:fill="E6E6E6"/>
    </w:rPr>
  </w:style>
  <w:style w:type="character" w:customStyle="1" w:styleId="Mention9">
    <w:name w:val="Mention9"/>
    <w:basedOn w:val="DefaultParagraphFont"/>
    <w:uiPriority w:val="99"/>
    <w:unhideWhenUsed/>
    <w:rsid w:val="00274782"/>
    <w:rPr>
      <w:color w:val="2B579A"/>
      <w:shd w:val="clear" w:color="auto" w:fill="E1DFDD"/>
    </w:rPr>
  </w:style>
  <w:style w:type="character" w:customStyle="1" w:styleId="UnresolvedMention10">
    <w:name w:val="Unresolved Mention10"/>
    <w:basedOn w:val="DefaultParagraphFont"/>
    <w:uiPriority w:val="99"/>
    <w:semiHidden/>
    <w:unhideWhenUsed/>
    <w:rsid w:val="00274782"/>
    <w:rPr>
      <w:color w:val="605E5C"/>
      <w:shd w:val="clear" w:color="auto" w:fill="E1DFDD"/>
    </w:rPr>
  </w:style>
  <w:style w:type="character" w:customStyle="1" w:styleId="Mention10">
    <w:name w:val="Mention10"/>
    <w:basedOn w:val="DefaultParagraphFont"/>
    <w:uiPriority w:val="99"/>
    <w:unhideWhenUsed/>
    <w:rsid w:val="00274782"/>
    <w:rPr>
      <w:color w:val="2B579A"/>
      <w:shd w:val="clear" w:color="auto" w:fill="E1DFDD"/>
    </w:rPr>
  </w:style>
  <w:style w:type="paragraph" w:customStyle="1" w:styleId="BVIfnr">
    <w:name w:val="BVI fnr Знак Знак"/>
    <w:aliases w:val="BVI fnr Car Car Знак Знак,BVI fnr Char Car Car Car Знак Знак,BVI fnr Char Car Car Car Char Знак Знак,BVI fnr Car Знак Знак,BVI fnr Car Car Car Car Знак Знак,BVI fnr Char Char Знак Знак"/>
    <w:basedOn w:val="Normal"/>
    <w:uiPriority w:val="99"/>
    <w:rsid w:val="00274782"/>
    <w:pPr>
      <w:spacing w:after="160" w:line="240" w:lineRule="exact"/>
      <w:jc w:val="left"/>
    </w:pPr>
    <w:rPr>
      <w:rFonts w:asciiTheme="minorHAnsi" w:eastAsiaTheme="minorHAnsi" w:hAnsiTheme="minorHAnsi" w:cstheme="minorBidi"/>
      <w:sz w:val="22"/>
      <w:szCs w:val="22"/>
      <w:vertAlign w:val="superscript"/>
      <w:lang w:val="en-IE" w:eastAsia="en-US"/>
    </w:rPr>
  </w:style>
  <w:style w:type="character" w:customStyle="1" w:styleId="Mention11">
    <w:name w:val="Mention11"/>
    <w:basedOn w:val="DefaultParagraphFont"/>
    <w:uiPriority w:val="99"/>
    <w:unhideWhenUsed/>
    <w:rsid w:val="00274782"/>
    <w:rPr>
      <w:color w:val="2B579A"/>
      <w:shd w:val="clear" w:color="auto" w:fill="E1DFDD"/>
    </w:rPr>
  </w:style>
  <w:style w:type="character" w:customStyle="1" w:styleId="UnresolvedMention11">
    <w:name w:val="Unresolved Mention11"/>
    <w:basedOn w:val="DefaultParagraphFont"/>
    <w:uiPriority w:val="99"/>
    <w:semiHidden/>
    <w:unhideWhenUsed/>
    <w:rsid w:val="00274782"/>
    <w:rPr>
      <w:color w:val="605E5C"/>
      <w:shd w:val="clear" w:color="auto" w:fill="E1DFDD"/>
    </w:rPr>
  </w:style>
  <w:style w:type="character" w:customStyle="1" w:styleId="Mention12">
    <w:name w:val="Mention12"/>
    <w:basedOn w:val="DefaultParagraphFont"/>
    <w:uiPriority w:val="99"/>
    <w:unhideWhenUsed/>
    <w:rsid w:val="00C62AEA"/>
    <w:rPr>
      <w:color w:val="2B579A"/>
      <w:shd w:val="clear" w:color="auto" w:fill="E1DFDD"/>
    </w:rPr>
  </w:style>
  <w:style w:type="character" w:customStyle="1" w:styleId="A12">
    <w:name w:val="A12"/>
    <w:uiPriority w:val="99"/>
    <w:rsid w:val="00597247"/>
    <w:rPr>
      <w:rFonts w:cs="Elza"/>
      <w:color w:val="000000"/>
      <w:sz w:val="17"/>
      <w:szCs w:val="17"/>
    </w:rPr>
  </w:style>
  <w:style w:type="character" w:customStyle="1" w:styleId="Mention">
    <w:name w:val="Mention"/>
    <w:basedOn w:val="DefaultParagraphFont"/>
    <w:uiPriority w:val="99"/>
    <w:unhideWhenUsed/>
    <w:rsid w:val="00916BAD"/>
    <w:rPr>
      <w:color w:val="2B579A"/>
      <w:shd w:val="clear" w:color="auto" w:fill="E1DFDD"/>
    </w:rPr>
  </w:style>
  <w:style w:type="paragraph" w:customStyle="1" w:styleId="W03Object-01Title">
    <w:name w:val="W03 Object - 01 Title"/>
    <w:basedOn w:val="Normal"/>
    <w:rsid w:val="00F35B8B"/>
    <w:pPr>
      <w:spacing w:after="0"/>
      <w:jc w:val="left"/>
    </w:pPr>
    <w:rPr>
      <w:rFonts w:ascii="Montserrat SemiBold" w:eastAsiaTheme="minorHAnsi" w:hAnsi="Montserrat SemiBold" w:cs="Calibri"/>
      <w:i/>
      <w:iCs/>
      <w:color w:val="5F497A"/>
      <w:sz w:val="18"/>
      <w:szCs w:val="18"/>
      <w:lang w:val="en-IE" w:eastAsia="en-US"/>
    </w:rPr>
  </w:style>
  <w:style w:type="paragraph" w:customStyle="1" w:styleId="CaptionIA">
    <w:name w:val="CaptionIA"/>
    <w:basedOn w:val="Caption"/>
    <w:link w:val="CaptionIAChar"/>
    <w:uiPriority w:val="1"/>
    <w:qFormat/>
    <w:rsid w:val="00E367FB"/>
    <w:pPr>
      <w:spacing w:before="160"/>
    </w:pPr>
    <w:rPr>
      <w:rFonts w:ascii="Times New Roman" w:eastAsia="Times New Roman" w:hAnsi="Times New Roman"/>
      <w:b w:val="0"/>
      <w:i/>
      <w:szCs w:val="20"/>
      <w:lang w:val="en-IE"/>
    </w:rPr>
  </w:style>
  <w:style w:type="character" w:customStyle="1" w:styleId="CaptionIAChar">
    <w:name w:val="CaptionIA Char"/>
    <w:basedOn w:val="CaptionChar"/>
    <w:link w:val="CaptionIA"/>
    <w:uiPriority w:val="1"/>
    <w:rsid w:val="00E367FB"/>
    <w:rPr>
      <w:rFonts w:ascii="Times New Roman" w:eastAsia="Times New Roman" w:hAnsi="Times New Roman" w:cs="Times New Roman"/>
      <w:b w:val="0"/>
      <w:i/>
      <w:sz w:val="22"/>
      <w:szCs w:val="20"/>
      <w:lang w:val="en-IE"/>
    </w:rPr>
  </w:style>
  <w:style w:type="character" w:customStyle="1" w:styleId="Mention13">
    <w:name w:val="Mention13"/>
    <w:basedOn w:val="DefaultParagraphFont"/>
    <w:uiPriority w:val="99"/>
    <w:unhideWhenUsed/>
    <w:rsid w:val="008175EF"/>
    <w:rPr>
      <w:color w:val="2B579A"/>
      <w:shd w:val="clear" w:color="auto" w:fill="E1DFDD"/>
    </w:rPr>
  </w:style>
  <w:style w:type="character" w:customStyle="1" w:styleId="UnresolvedMention12">
    <w:name w:val="Unresolved Mention12"/>
    <w:basedOn w:val="DefaultParagraphFont"/>
    <w:uiPriority w:val="99"/>
    <w:semiHidden/>
    <w:unhideWhenUsed/>
    <w:rsid w:val="008175EF"/>
    <w:rPr>
      <w:color w:val="605E5C"/>
      <w:shd w:val="clear" w:color="auto" w:fill="E1DFDD"/>
    </w:rPr>
  </w:style>
  <w:style w:type="character" w:customStyle="1" w:styleId="UnresolvedMention">
    <w:name w:val="Unresolved Mention"/>
    <w:basedOn w:val="DefaultParagraphFont"/>
    <w:uiPriority w:val="99"/>
    <w:semiHidden/>
    <w:unhideWhenUsed/>
    <w:rsid w:val="008175EF"/>
    <w:rPr>
      <w:color w:val="605E5C"/>
      <w:shd w:val="clear" w:color="auto" w:fill="E1DFDD"/>
    </w:rPr>
  </w:style>
  <w:style w:type="character" w:customStyle="1" w:styleId="UnresolvedMention13">
    <w:name w:val="Unresolved Mention13"/>
    <w:basedOn w:val="DefaultParagraphFont"/>
    <w:uiPriority w:val="99"/>
    <w:semiHidden/>
    <w:unhideWhenUsed/>
    <w:rsid w:val="008175EF"/>
    <w:rPr>
      <w:color w:val="605E5C"/>
      <w:shd w:val="clear" w:color="auto" w:fill="E1DFDD"/>
    </w:rPr>
  </w:style>
  <w:style w:type="table" w:styleId="GridTable1Light">
    <w:name w:val="Grid Table 1 Light"/>
    <w:basedOn w:val="TableNormal"/>
    <w:locked/>
    <w:rsid w:val="008175E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Nota">
    <w:name w:val="Nota"/>
    <w:aliases w:val="Char1,(NECG) Footnote Reference,fr,Appel note de bas de p,o,Style 6,Signature Ch"/>
    <w:basedOn w:val="Normal"/>
    <w:uiPriority w:val="99"/>
    <w:rsid w:val="008175EF"/>
    <w:pPr>
      <w:spacing w:after="160" w:line="240" w:lineRule="exact"/>
    </w:pPr>
    <w:rPr>
      <w:rFonts w:ascii="Times New Roman" w:eastAsia="Times New Roman" w:hAnsi="Times New Roman" w:cs="Times New Roman"/>
      <w:sz w:val="20"/>
      <w:szCs w:val="20"/>
      <w:vertAlign w:val="superscript"/>
      <w:lang w:eastAsia="en-GB"/>
    </w:rPr>
  </w:style>
  <w:style w:type="table" w:styleId="PlainTable1">
    <w:name w:val="Plain Table 1"/>
    <w:basedOn w:val="TableNormal"/>
    <w:locked/>
    <w:rsid w:val="008175E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14">
    <w:name w:val="Unresolved Mention14"/>
    <w:basedOn w:val="DefaultParagraphFont"/>
    <w:uiPriority w:val="99"/>
    <w:semiHidden/>
    <w:unhideWhenUsed/>
    <w:rsid w:val="008175EF"/>
    <w:rPr>
      <w:color w:val="605E5C"/>
      <w:shd w:val="clear" w:color="auto" w:fill="E1DFDD"/>
    </w:rPr>
  </w:style>
  <w:style w:type="character" w:customStyle="1" w:styleId="Mention14">
    <w:name w:val="Mention14"/>
    <w:basedOn w:val="DefaultParagraphFont"/>
    <w:uiPriority w:val="99"/>
    <w:unhideWhenUsed/>
    <w:rsid w:val="008175EF"/>
    <w:rPr>
      <w:color w:val="2B579A"/>
      <w:shd w:val="clear" w:color="auto" w:fill="E1DFDD"/>
    </w:rPr>
  </w:style>
  <w:style w:type="paragraph" w:customStyle="1" w:styleId="Body">
    <w:name w:val="Body"/>
    <w:rsid w:val="008175EF"/>
    <w:pPr>
      <w:pBdr>
        <w:top w:val="nil"/>
        <w:left w:val="nil"/>
        <w:bottom w:val="nil"/>
        <w:right w:val="nil"/>
        <w:between w:val="nil"/>
        <w:bar w:val="nil"/>
      </w:pBdr>
      <w:spacing w:before="120" w:after="120"/>
      <w:jc w:val="both"/>
    </w:pPr>
    <w:rPr>
      <w:rFonts w:ascii="Times New Roman" w:eastAsia="Arial Unicode MS" w:hAnsi="Times New Roman" w:cs="Arial Unicode MS"/>
      <w:color w:val="000000"/>
      <w:u w:color="000000"/>
      <w:bdr w:val="nil"/>
      <w:lang w:eastAsia="en-GB"/>
    </w:rPr>
  </w:style>
  <w:style w:type="character" w:customStyle="1" w:styleId="Mention15">
    <w:name w:val="Mention15"/>
    <w:basedOn w:val="DefaultParagraphFont"/>
    <w:uiPriority w:val="99"/>
    <w:unhideWhenUsed/>
    <w:rsid w:val="008175EF"/>
    <w:rPr>
      <w:color w:val="2B579A"/>
      <w:shd w:val="clear" w:color="auto" w:fill="E1DFDD"/>
    </w:rPr>
  </w:style>
  <w:style w:type="character" w:customStyle="1" w:styleId="UnresolvedMention15">
    <w:name w:val="Unresolved Mention15"/>
    <w:basedOn w:val="DefaultParagraphFont"/>
    <w:uiPriority w:val="99"/>
    <w:semiHidden/>
    <w:unhideWhenUsed/>
    <w:rsid w:val="008175EF"/>
    <w:rPr>
      <w:color w:val="605E5C"/>
      <w:shd w:val="clear" w:color="auto" w:fill="E1DFDD"/>
    </w:rPr>
  </w:style>
  <w:style w:type="table" w:styleId="TableGridLight">
    <w:name w:val="Grid Table Light"/>
    <w:basedOn w:val="TableNormal"/>
    <w:locked/>
    <w:rsid w:val="008175EF"/>
    <w:rPr>
      <w:rFonts w:ascii="Times New Roman" w:eastAsia="Times New Roman" w:hAnsi="Times New Roman" w:cs="Times New Roman"/>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ableofFigures">
    <w:name w:val="table of figures"/>
    <w:basedOn w:val="Normal"/>
    <w:next w:val="Normal"/>
    <w:uiPriority w:val="99"/>
    <w:locked/>
    <w:rsid w:val="008175EF"/>
    <w:pPr>
      <w:spacing w:after="0"/>
    </w:pPr>
  </w:style>
  <w:style w:type="character" w:customStyle="1" w:styleId="ecl-linklabel">
    <w:name w:val="ecl-link__label"/>
    <w:basedOn w:val="DefaultParagraphFont"/>
    <w:rsid w:val="00580FFA"/>
  </w:style>
  <w:style w:type="character" w:customStyle="1" w:styleId="cf11">
    <w:name w:val="cf11"/>
    <w:basedOn w:val="DefaultParagraphFont"/>
    <w:rsid w:val="004B1C7D"/>
    <w:rPr>
      <w:rFonts w:ascii="Segoe UI" w:hAnsi="Segoe UI" w:cs="Segoe UI" w:hint="default"/>
      <w:b/>
      <w:bCs/>
      <w:sz w:val="18"/>
      <w:szCs w:val="18"/>
      <w:u w:val="single"/>
    </w:rPr>
  </w:style>
  <w:style w:type="character" w:customStyle="1" w:styleId="cf21">
    <w:name w:val="cf21"/>
    <w:basedOn w:val="DefaultParagraphFont"/>
    <w:rsid w:val="004B1C7D"/>
    <w:rPr>
      <w:rFonts w:ascii="Segoe UI" w:hAnsi="Segoe UI" w:cs="Segoe UI" w:hint="default"/>
      <w:sz w:val="18"/>
      <w:szCs w:val="18"/>
    </w:rPr>
  </w:style>
  <w:style w:type="character" w:customStyle="1" w:styleId="authorname">
    <w:name w:val="authorname"/>
    <w:basedOn w:val="DefaultParagraphFont"/>
    <w:rsid w:val="00660DD2"/>
  </w:style>
  <w:style w:type="character" w:customStyle="1" w:styleId="separator">
    <w:name w:val="separator"/>
    <w:basedOn w:val="DefaultParagraphFont"/>
    <w:rsid w:val="00660DD2"/>
  </w:style>
  <w:style w:type="character" w:customStyle="1" w:styleId="Date1">
    <w:name w:val="Date1"/>
    <w:basedOn w:val="DefaultParagraphFont"/>
    <w:rsid w:val="00660DD2"/>
  </w:style>
  <w:style w:type="character" w:customStyle="1" w:styleId="arttitle">
    <w:name w:val="art_title"/>
    <w:basedOn w:val="DefaultParagraphFont"/>
    <w:rsid w:val="00660DD2"/>
  </w:style>
  <w:style w:type="character" w:customStyle="1" w:styleId="serialtitle">
    <w:name w:val="serial_title"/>
    <w:basedOn w:val="DefaultParagraphFont"/>
    <w:rsid w:val="00660DD2"/>
  </w:style>
  <w:style w:type="character" w:customStyle="1" w:styleId="volumeissue">
    <w:name w:val="volume_issue"/>
    <w:basedOn w:val="DefaultParagraphFont"/>
    <w:rsid w:val="00660DD2"/>
  </w:style>
  <w:style w:type="character" w:customStyle="1" w:styleId="pagerange">
    <w:name w:val="page_range"/>
    <w:basedOn w:val="DefaultParagraphFont"/>
    <w:rsid w:val="00660DD2"/>
  </w:style>
  <w:style w:type="character" w:customStyle="1" w:styleId="doilink">
    <w:name w:val="doi_link"/>
    <w:basedOn w:val="DefaultParagraphFont"/>
    <w:rsid w:val="00660DD2"/>
  </w:style>
  <w:style w:type="paragraph" w:customStyle="1" w:styleId="BodyText1">
    <w:name w:val="Body Text1"/>
    <w:basedOn w:val="Normal"/>
    <w:link w:val="BodytextChar0"/>
    <w:qFormat/>
    <w:rsid w:val="00353286"/>
    <w:pPr>
      <w:spacing w:before="120" w:after="120"/>
    </w:pPr>
    <w:rPr>
      <w:rFonts w:ascii="Arial" w:eastAsia="Times New Roman" w:hAnsi="Arial" w:cs="Times New Roman"/>
      <w:sz w:val="22"/>
      <w:szCs w:val="20"/>
      <w:lang w:eastAsia="en-US"/>
    </w:rPr>
  </w:style>
  <w:style w:type="character" w:customStyle="1" w:styleId="BodytextChar0">
    <w:name w:val="Body text Char"/>
    <w:link w:val="BodyText1"/>
    <w:rsid w:val="00353286"/>
    <w:rPr>
      <w:rFonts w:ascii="Arial" w:eastAsia="Times New Roman" w:hAnsi="Arial" w:cs="Times New Roman"/>
      <w:sz w:val="22"/>
      <w:szCs w:val="20"/>
      <w:lang w:eastAsia="en-US"/>
    </w:rPr>
  </w:style>
  <w:style w:type="paragraph" w:customStyle="1" w:styleId="footnote">
    <w:name w:val="footnote"/>
    <w:basedOn w:val="FootnoteText"/>
    <w:link w:val="footnoteChar"/>
    <w:autoRedefine/>
    <w:qFormat/>
    <w:rsid w:val="00353286"/>
    <w:pPr>
      <w:spacing w:after="0"/>
      <w:ind w:left="0" w:firstLine="0"/>
      <w:contextualSpacing/>
      <w:jc w:val="left"/>
    </w:pPr>
    <w:rPr>
      <w:rFonts w:ascii="Arial" w:eastAsia="Times New Roman" w:hAnsi="Arial" w:cs="Times New Roman"/>
      <w:sz w:val="16"/>
      <w:szCs w:val="16"/>
      <w:lang w:eastAsia="en-GB"/>
    </w:rPr>
  </w:style>
  <w:style w:type="character" w:customStyle="1" w:styleId="footnoteChar">
    <w:name w:val="footnote Char"/>
    <w:link w:val="footnote"/>
    <w:rsid w:val="00353286"/>
    <w:rPr>
      <w:rFonts w:ascii="Arial" w:eastAsia="Times New Roman" w:hAnsi="Arial" w:cs="Times New Roman"/>
      <w:sz w:val="16"/>
      <w:szCs w:val="16"/>
      <w:lang w:eastAsia="en-GB"/>
    </w:rPr>
  </w:style>
  <w:style w:type="table" w:styleId="GridTable4-Accent3">
    <w:name w:val="Grid Table 4 Accent 3"/>
    <w:basedOn w:val="TableNormal"/>
    <w:uiPriority w:val="49"/>
    <w:locked/>
    <w:rsid w:val="00353286"/>
    <w:pPr>
      <w:spacing w:before="120"/>
      <w:jc w:val="both"/>
    </w:pPr>
    <w:rPr>
      <w:rFonts w:ascii="Times New Roman" w:eastAsia="Times New Roman" w:hAnsi="Times New Roman" w:cs="Times New Roman"/>
      <w:sz w:val="20"/>
      <w:szCs w:val="20"/>
      <w:lang w:val="nl-BE" w:eastAsia="nl-B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7904">
      <w:bodyDiv w:val="1"/>
      <w:marLeft w:val="0"/>
      <w:marRight w:val="0"/>
      <w:marTop w:val="0"/>
      <w:marBottom w:val="0"/>
      <w:divBdr>
        <w:top w:val="none" w:sz="0" w:space="0" w:color="auto"/>
        <w:left w:val="none" w:sz="0" w:space="0" w:color="auto"/>
        <w:bottom w:val="none" w:sz="0" w:space="0" w:color="auto"/>
        <w:right w:val="none" w:sz="0" w:space="0" w:color="auto"/>
      </w:divBdr>
    </w:div>
    <w:div w:id="24523262">
      <w:bodyDiv w:val="1"/>
      <w:marLeft w:val="0"/>
      <w:marRight w:val="0"/>
      <w:marTop w:val="0"/>
      <w:marBottom w:val="0"/>
      <w:divBdr>
        <w:top w:val="none" w:sz="0" w:space="0" w:color="auto"/>
        <w:left w:val="none" w:sz="0" w:space="0" w:color="auto"/>
        <w:bottom w:val="none" w:sz="0" w:space="0" w:color="auto"/>
        <w:right w:val="none" w:sz="0" w:space="0" w:color="auto"/>
      </w:divBdr>
    </w:div>
    <w:div w:id="35662126">
      <w:bodyDiv w:val="1"/>
      <w:marLeft w:val="0"/>
      <w:marRight w:val="0"/>
      <w:marTop w:val="0"/>
      <w:marBottom w:val="0"/>
      <w:divBdr>
        <w:top w:val="none" w:sz="0" w:space="0" w:color="auto"/>
        <w:left w:val="none" w:sz="0" w:space="0" w:color="auto"/>
        <w:bottom w:val="none" w:sz="0" w:space="0" w:color="auto"/>
        <w:right w:val="none" w:sz="0" w:space="0" w:color="auto"/>
      </w:divBdr>
    </w:div>
    <w:div w:id="64225855">
      <w:bodyDiv w:val="1"/>
      <w:marLeft w:val="0"/>
      <w:marRight w:val="0"/>
      <w:marTop w:val="0"/>
      <w:marBottom w:val="0"/>
      <w:divBdr>
        <w:top w:val="none" w:sz="0" w:space="0" w:color="auto"/>
        <w:left w:val="none" w:sz="0" w:space="0" w:color="auto"/>
        <w:bottom w:val="none" w:sz="0" w:space="0" w:color="auto"/>
        <w:right w:val="none" w:sz="0" w:space="0" w:color="auto"/>
      </w:divBdr>
    </w:div>
    <w:div w:id="66614825">
      <w:bodyDiv w:val="1"/>
      <w:marLeft w:val="0"/>
      <w:marRight w:val="0"/>
      <w:marTop w:val="0"/>
      <w:marBottom w:val="0"/>
      <w:divBdr>
        <w:top w:val="none" w:sz="0" w:space="0" w:color="auto"/>
        <w:left w:val="none" w:sz="0" w:space="0" w:color="auto"/>
        <w:bottom w:val="none" w:sz="0" w:space="0" w:color="auto"/>
        <w:right w:val="none" w:sz="0" w:space="0" w:color="auto"/>
      </w:divBdr>
    </w:div>
    <w:div w:id="70275629">
      <w:bodyDiv w:val="1"/>
      <w:marLeft w:val="0"/>
      <w:marRight w:val="0"/>
      <w:marTop w:val="0"/>
      <w:marBottom w:val="0"/>
      <w:divBdr>
        <w:top w:val="none" w:sz="0" w:space="0" w:color="auto"/>
        <w:left w:val="none" w:sz="0" w:space="0" w:color="auto"/>
        <w:bottom w:val="none" w:sz="0" w:space="0" w:color="auto"/>
        <w:right w:val="none" w:sz="0" w:space="0" w:color="auto"/>
      </w:divBdr>
    </w:div>
    <w:div w:id="93478261">
      <w:bodyDiv w:val="1"/>
      <w:marLeft w:val="0"/>
      <w:marRight w:val="0"/>
      <w:marTop w:val="0"/>
      <w:marBottom w:val="0"/>
      <w:divBdr>
        <w:top w:val="none" w:sz="0" w:space="0" w:color="auto"/>
        <w:left w:val="none" w:sz="0" w:space="0" w:color="auto"/>
        <w:bottom w:val="none" w:sz="0" w:space="0" w:color="auto"/>
        <w:right w:val="none" w:sz="0" w:space="0" w:color="auto"/>
      </w:divBdr>
    </w:div>
    <w:div w:id="100953589">
      <w:bodyDiv w:val="1"/>
      <w:marLeft w:val="0"/>
      <w:marRight w:val="0"/>
      <w:marTop w:val="0"/>
      <w:marBottom w:val="0"/>
      <w:divBdr>
        <w:top w:val="none" w:sz="0" w:space="0" w:color="auto"/>
        <w:left w:val="none" w:sz="0" w:space="0" w:color="auto"/>
        <w:bottom w:val="none" w:sz="0" w:space="0" w:color="auto"/>
        <w:right w:val="none" w:sz="0" w:space="0" w:color="auto"/>
      </w:divBdr>
    </w:div>
    <w:div w:id="101535427">
      <w:bodyDiv w:val="1"/>
      <w:marLeft w:val="0"/>
      <w:marRight w:val="0"/>
      <w:marTop w:val="0"/>
      <w:marBottom w:val="0"/>
      <w:divBdr>
        <w:top w:val="none" w:sz="0" w:space="0" w:color="auto"/>
        <w:left w:val="none" w:sz="0" w:space="0" w:color="auto"/>
        <w:bottom w:val="none" w:sz="0" w:space="0" w:color="auto"/>
        <w:right w:val="none" w:sz="0" w:space="0" w:color="auto"/>
      </w:divBdr>
    </w:div>
    <w:div w:id="102456676">
      <w:bodyDiv w:val="1"/>
      <w:marLeft w:val="0"/>
      <w:marRight w:val="0"/>
      <w:marTop w:val="0"/>
      <w:marBottom w:val="0"/>
      <w:divBdr>
        <w:top w:val="none" w:sz="0" w:space="0" w:color="auto"/>
        <w:left w:val="none" w:sz="0" w:space="0" w:color="auto"/>
        <w:bottom w:val="none" w:sz="0" w:space="0" w:color="auto"/>
        <w:right w:val="none" w:sz="0" w:space="0" w:color="auto"/>
      </w:divBdr>
    </w:div>
    <w:div w:id="129061785">
      <w:bodyDiv w:val="1"/>
      <w:marLeft w:val="0"/>
      <w:marRight w:val="0"/>
      <w:marTop w:val="0"/>
      <w:marBottom w:val="0"/>
      <w:divBdr>
        <w:top w:val="none" w:sz="0" w:space="0" w:color="auto"/>
        <w:left w:val="none" w:sz="0" w:space="0" w:color="auto"/>
        <w:bottom w:val="none" w:sz="0" w:space="0" w:color="auto"/>
        <w:right w:val="none" w:sz="0" w:space="0" w:color="auto"/>
      </w:divBdr>
    </w:div>
    <w:div w:id="149518417">
      <w:bodyDiv w:val="1"/>
      <w:marLeft w:val="0"/>
      <w:marRight w:val="0"/>
      <w:marTop w:val="0"/>
      <w:marBottom w:val="0"/>
      <w:divBdr>
        <w:top w:val="none" w:sz="0" w:space="0" w:color="auto"/>
        <w:left w:val="none" w:sz="0" w:space="0" w:color="auto"/>
        <w:bottom w:val="none" w:sz="0" w:space="0" w:color="auto"/>
        <w:right w:val="none" w:sz="0" w:space="0" w:color="auto"/>
      </w:divBdr>
    </w:div>
    <w:div w:id="158473473">
      <w:bodyDiv w:val="1"/>
      <w:marLeft w:val="0"/>
      <w:marRight w:val="0"/>
      <w:marTop w:val="0"/>
      <w:marBottom w:val="0"/>
      <w:divBdr>
        <w:top w:val="none" w:sz="0" w:space="0" w:color="auto"/>
        <w:left w:val="none" w:sz="0" w:space="0" w:color="auto"/>
        <w:bottom w:val="none" w:sz="0" w:space="0" w:color="auto"/>
        <w:right w:val="none" w:sz="0" w:space="0" w:color="auto"/>
      </w:divBdr>
    </w:div>
    <w:div w:id="160972043">
      <w:bodyDiv w:val="1"/>
      <w:marLeft w:val="0"/>
      <w:marRight w:val="0"/>
      <w:marTop w:val="0"/>
      <w:marBottom w:val="0"/>
      <w:divBdr>
        <w:top w:val="none" w:sz="0" w:space="0" w:color="auto"/>
        <w:left w:val="none" w:sz="0" w:space="0" w:color="auto"/>
        <w:bottom w:val="none" w:sz="0" w:space="0" w:color="auto"/>
        <w:right w:val="none" w:sz="0" w:space="0" w:color="auto"/>
      </w:divBdr>
    </w:div>
    <w:div w:id="161552588">
      <w:bodyDiv w:val="1"/>
      <w:marLeft w:val="0"/>
      <w:marRight w:val="0"/>
      <w:marTop w:val="0"/>
      <w:marBottom w:val="0"/>
      <w:divBdr>
        <w:top w:val="none" w:sz="0" w:space="0" w:color="auto"/>
        <w:left w:val="none" w:sz="0" w:space="0" w:color="auto"/>
        <w:bottom w:val="none" w:sz="0" w:space="0" w:color="auto"/>
        <w:right w:val="none" w:sz="0" w:space="0" w:color="auto"/>
      </w:divBdr>
    </w:div>
    <w:div w:id="175071995">
      <w:bodyDiv w:val="1"/>
      <w:marLeft w:val="0"/>
      <w:marRight w:val="0"/>
      <w:marTop w:val="0"/>
      <w:marBottom w:val="0"/>
      <w:divBdr>
        <w:top w:val="none" w:sz="0" w:space="0" w:color="auto"/>
        <w:left w:val="none" w:sz="0" w:space="0" w:color="auto"/>
        <w:bottom w:val="none" w:sz="0" w:space="0" w:color="auto"/>
        <w:right w:val="none" w:sz="0" w:space="0" w:color="auto"/>
      </w:divBdr>
    </w:div>
    <w:div w:id="186992062">
      <w:bodyDiv w:val="1"/>
      <w:marLeft w:val="0"/>
      <w:marRight w:val="0"/>
      <w:marTop w:val="0"/>
      <w:marBottom w:val="0"/>
      <w:divBdr>
        <w:top w:val="none" w:sz="0" w:space="0" w:color="auto"/>
        <w:left w:val="none" w:sz="0" w:space="0" w:color="auto"/>
        <w:bottom w:val="none" w:sz="0" w:space="0" w:color="auto"/>
        <w:right w:val="none" w:sz="0" w:space="0" w:color="auto"/>
      </w:divBdr>
    </w:div>
    <w:div w:id="189998380">
      <w:bodyDiv w:val="1"/>
      <w:marLeft w:val="0"/>
      <w:marRight w:val="0"/>
      <w:marTop w:val="0"/>
      <w:marBottom w:val="0"/>
      <w:divBdr>
        <w:top w:val="none" w:sz="0" w:space="0" w:color="auto"/>
        <w:left w:val="none" w:sz="0" w:space="0" w:color="auto"/>
        <w:bottom w:val="none" w:sz="0" w:space="0" w:color="auto"/>
        <w:right w:val="none" w:sz="0" w:space="0" w:color="auto"/>
      </w:divBdr>
    </w:div>
    <w:div w:id="193228890">
      <w:bodyDiv w:val="1"/>
      <w:marLeft w:val="0"/>
      <w:marRight w:val="0"/>
      <w:marTop w:val="0"/>
      <w:marBottom w:val="0"/>
      <w:divBdr>
        <w:top w:val="none" w:sz="0" w:space="0" w:color="auto"/>
        <w:left w:val="none" w:sz="0" w:space="0" w:color="auto"/>
        <w:bottom w:val="none" w:sz="0" w:space="0" w:color="auto"/>
        <w:right w:val="none" w:sz="0" w:space="0" w:color="auto"/>
      </w:divBdr>
    </w:div>
    <w:div w:id="194084297">
      <w:bodyDiv w:val="1"/>
      <w:marLeft w:val="0"/>
      <w:marRight w:val="0"/>
      <w:marTop w:val="0"/>
      <w:marBottom w:val="0"/>
      <w:divBdr>
        <w:top w:val="none" w:sz="0" w:space="0" w:color="auto"/>
        <w:left w:val="none" w:sz="0" w:space="0" w:color="auto"/>
        <w:bottom w:val="none" w:sz="0" w:space="0" w:color="auto"/>
        <w:right w:val="none" w:sz="0" w:space="0" w:color="auto"/>
      </w:divBdr>
      <w:divsChild>
        <w:div w:id="4141609">
          <w:marLeft w:val="0"/>
          <w:marRight w:val="0"/>
          <w:marTop w:val="0"/>
          <w:marBottom w:val="0"/>
          <w:divBdr>
            <w:top w:val="none" w:sz="0" w:space="0" w:color="auto"/>
            <w:left w:val="none" w:sz="0" w:space="0" w:color="auto"/>
            <w:bottom w:val="none" w:sz="0" w:space="0" w:color="auto"/>
            <w:right w:val="none" w:sz="0" w:space="0" w:color="auto"/>
          </w:divBdr>
        </w:div>
        <w:div w:id="4792979">
          <w:marLeft w:val="0"/>
          <w:marRight w:val="0"/>
          <w:marTop w:val="0"/>
          <w:marBottom w:val="0"/>
          <w:divBdr>
            <w:top w:val="none" w:sz="0" w:space="0" w:color="auto"/>
            <w:left w:val="none" w:sz="0" w:space="0" w:color="auto"/>
            <w:bottom w:val="none" w:sz="0" w:space="0" w:color="auto"/>
            <w:right w:val="none" w:sz="0" w:space="0" w:color="auto"/>
          </w:divBdr>
        </w:div>
        <w:div w:id="8877764">
          <w:marLeft w:val="0"/>
          <w:marRight w:val="0"/>
          <w:marTop w:val="0"/>
          <w:marBottom w:val="0"/>
          <w:divBdr>
            <w:top w:val="none" w:sz="0" w:space="0" w:color="auto"/>
            <w:left w:val="none" w:sz="0" w:space="0" w:color="auto"/>
            <w:bottom w:val="none" w:sz="0" w:space="0" w:color="auto"/>
            <w:right w:val="none" w:sz="0" w:space="0" w:color="auto"/>
          </w:divBdr>
        </w:div>
        <w:div w:id="77484620">
          <w:marLeft w:val="0"/>
          <w:marRight w:val="0"/>
          <w:marTop w:val="0"/>
          <w:marBottom w:val="0"/>
          <w:divBdr>
            <w:top w:val="none" w:sz="0" w:space="0" w:color="auto"/>
            <w:left w:val="none" w:sz="0" w:space="0" w:color="auto"/>
            <w:bottom w:val="none" w:sz="0" w:space="0" w:color="auto"/>
            <w:right w:val="none" w:sz="0" w:space="0" w:color="auto"/>
          </w:divBdr>
        </w:div>
        <w:div w:id="85544974">
          <w:marLeft w:val="0"/>
          <w:marRight w:val="0"/>
          <w:marTop w:val="0"/>
          <w:marBottom w:val="0"/>
          <w:divBdr>
            <w:top w:val="none" w:sz="0" w:space="0" w:color="auto"/>
            <w:left w:val="none" w:sz="0" w:space="0" w:color="auto"/>
            <w:bottom w:val="none" w:sz="0" w:space="0" w:color="auto"/>
            <w:right w:val="none" w:sz="0" w:space="0" w:color="auto"/>
          </w:divBdr>
        </w:div>
        <w:div w:id="104427627">
          <w:marLeft w:val="0"/>
          <w:marRight w:val="0"/>
          <w:marTop w:val="0"/>
          <w:marBottom w:val="0"/>
          <w:divBdr>
            <w:top w:val="none" w:sz="0" w:space="0" w:color="auto"/>
            <w:left w:val="none" w:sz="0" w:space="0" w:color="auto"/>
            <w:bottom w:val="none" w:sz="0" w:space="0" w:color="auto"/>
            <w:right w:val="none" w:sz="0" w:space="0" w:color="auto"/>
          </w:divBdr>
        </w:div>
        <w:div w:id="121461331">
          <w:marLeft w:val="0"/>
          <w:marRight w:val="0"/>
          <w:marTop w:val="0"/>
          <w:marBottom w:val="0"/>
          <w:divBdr>
            <w:top w:val="none" w:sz="0" w:space="0" w:color="auto"/>
            <w:left w:val="none" w:sz="0" w:space="0" w:color="auto"/>
            <w:bottom w:val="none" w:sz="0" w:space="0" w:color="auto"/>
            <w:right w:val="none" w:sz="0" w:space="0" w:color="auto"/>
          </w:divBdr>
        </w:div>
        <w:div w:id="286012777">
          <w:marLeft w:val="0"/>
          <w:marRight w:val="0"/>
          <w:marTop w:val="0"/>
          <w:marBottom w:val="0"/>
          <w:divBdr>
            <w:top w:val="none" w:sz="0" w:space="0" w:color="auto"/>
            <w:left w:val="none" w:sz="0" w:space="0" w:color="auto"/>
            <w:bottom w:val="none" w:sz="0" w:space="0" w:color="auto"/>
            <w:right w:val="none" w:sz="0" w:space="0" w:color="auto"/>
          </w:divBdr>
        </w:div>
        <w:div w:id="301466204">
          <w:marLeft w:val="0"/>
          <w:marRight w:val="0"/>
          <w:marTop w:val="0"/>
          <w:marBottom w:val="0"/>
          <w:divBdr>
            <w:top w:val="none" w:sz="0" w:space="0" w:color="auto"/>
            <w:left w:val="none" w:sz="0" w:space="0" w:color="auto"/>
            <w:bottom w:val="none" w:sz="0" w:space="0" w:color="auto"/>
            <w:right w:val="none" w:sz="0" w:space="0" w:color="auto"/>
          </w:divBdr>
        </w:div>
        <w:div w:id="405078216">
          <w:marLeft w:val="0"/>
          <w:marRight w:val="0"/>
          <w:marTop w:val="0"/>
          <w:marBottom w:val="0"/>
          <w:divBdr>
            <w:top w:val="none" w:sz="0" w:space="0" w:color="auto"/>
            <w:left w:val="none" w:sz="0" w:space="0" w:color="auto"/>
            <w:bottom w:val="none" w:sz="0" w:space="0" w:color="auto"/>
            <w:right w:val="none" w:sz="0" w:space="0" w:color="auto"/>
          </w:divBdr>
        </w:div>
        <w:div w:id="434054994">
          <w:marLeft w:val="0"/>
          <w:marRight w:val="0"/>
          <w:marTop w:val="0"/>
          <w:marBottom w:val="0"/>
          <w:divBdr>
            <w:top w:val="none" w:sz="0" w:space="0" w:color="auto"/>
            <w:left w:val="none" w:sz="0" w:space="0" w:color="auto"/>
            <w:bottom w:val="none" w:sz="0" w:space="0" w:color="auto"/>
            <w:right w:val="none" w:sz="0" w:space="0" w:color="auto"/>
          </w:divBdr>
        </w:div>
        <w:div w:id="482351709">
          <w:marLeft w:val="0"/>
          <w:marRight w:val="0"/>
          <w:marTop w:val="0"/>
          <w:marBottom w:val="0"/>
          <w:divBdr>
            <w:top w:val="none" w:sz="0" w:space="0" w:color="auto"/>
            <w:left w:val="none" w:sz="0" w:space="0" w:color="auto"/>
            <w:bottom w:val="none" w:sz="0" w:space="0" w:color="auto"/>
            <w:right w:val="none" w:sz="0" w:space="0" w:color="auto"/>
          </w:divBdr>
        </w:div>
        <w:div w:id="521671408">
          <w:marLeft w:val="0"/>
          <w:marRight w:val="0"/>
          <w:marTop w:val="0"/>
          <w:marBottom w:val="0"/>
          <w:divBdr>
            <w:top w:val="none" w:sz="0" w:space="0" w:color="auto"/>
            <w:left w:val="none" w:sz="0" w:space="0" w:color="auto"/>
            <w:bottom w:val="none" w:sz="0" w:space="0" w:color="auto"/>
            <w:right w:val="none" w:sz="0" w:space="0" w:color="auto"/>
          </w:divBdr>
        </w:div>
        <w:div w:id="566190150">
          <w:marLeft w:val="0"/>
          <w:marRight w:val="0"/>
          <w:marTop w:val="0"/>
          <w:marBottom w:val="0"/>
          <w:divBdr>
            <w:top w:val="none" w:sz="0" w:space="0" w:color="auto"/>
            <w:left w:val="none" w:sz="0" w:space="0" w:color="auto"/>
            <w:bottom w:val="none" w:sz="0" w:space="0" w:color="auto"/>
            <w:right w:val="none" w:sz="0" w:space="0" w:color="auto"/>
          </w:divBdr>
        </w:div>
        <w:div w:id="623006988">
          <w:marLeft w:val="0"/>
          <w:marRight w:val="0"/>
          <w:marTop w:val="0"/>
          <w:marBottom w:val="0"/>
          <w:divBdr>
            <w:top w:val="none" w:sz="0" w:space="0" w:color="auto"/>
            <w:left w:val="none" w:sz="0" w:space="0" w:color="auto"/>
            <w:bottom w:val="none" w:sz="0" w:space="0" w:color="auto"/>
            <w:right w:val="none" w:sz="0" w:space="0" w:color="auto"/>
          </w:divBdr>
          <w:divsChild>
            <w:div w:id="311720395">
              <w:marLeft w:val="0"/>
              <w:marRight w:val="0"/>
              <w:marTop w:val="0"/>
              <w:marBottom w:val="0"/>
              <w:divBdr>
                <w:top w:val="none" w:sz="0" w:space="0" w:color="auto"/>
                <w:left w:val="none" w:sz="0" w:space="0" w:color="auto"/>
                <w:bottom w:val="none" w:sz="0" w:space="0" w:color="auto"/>
                <w:right w:val="none" w:sz="0" w:space="0" w:color="auto"/>
              </w:divBdr>
            </w:div>
            <w:div w:id="810755779">
              <w:marLeft w:val="0"/>
              <w:marRight w:val="0"/>
              <w:marTop w:val="0"/>
              <w:marBottom w:val="0"/>
              <w:divBdr>
                <w:top w:val="none" w:sz="0" w:space="0" w:color="auto"/>
                <w:left w:val="none" w:sz="0" w:space="0" w:color="auto"/>
                <w:bottom w:val="none" w:sz="0" w:space="0" w:color="auto"/>
                <w:right w:val="none" w:sz="0" w:space="0" w:color="auto"/>
              </w:divBdr>
            </w:div>
            <w:div w:id="961811702">
              <w:marLeft w:val="0"/>
              <w:marRight w:val="0"/>
              <w:marTop w:val="0"/>
              <w:marBottom w:val="0"/>
              <w:divBdr>
                <w:top w:val="none" w:sz="0" w:space="0" w:color="auto"/>
                <w:left w:val="none" w:sz="0" w:space="0" w:color="auto"/>
                <w:bottom w:val="none" w:sz="0" w:space="0" w:color="auto"/>
                <w:right w:val="none" w:sz="0" w:space="0" w:color="auto"/>
              </w:divBdr>
            </w:div>
          </w:divsChild>
        </w:div>
        <w:div w:id="755442223">
          <w:marLeft w:val="0"/>
          <w:marRight w:val="0"/>
          <w:marTop w:val="0"/>
          <w:marBottom w:val="0"/>
          <w:divBdr>
            <w:top w:val="none" w:sz="0" w:space="0" w:color="auto"/>
            <w:left w:val="none" w:sz="0" w:space="0" w:color="auto"/>
            <w:bottom w:val="none" w:sz="0" w:space="0" w:color="auto"/>
            <w:right w:val="none" w:sz="0" w:space="0" w:color="auto"/>
          </w:divBdr>
        </w:div>
        <w:div w:id="831874870">
          <w:marLeft w:val="0"/>
          <w:marRight w:val="0"/>
          <w:marTop w:val="0"/>
          <w:marBottom w:val="0"/>
          <w:divBdr>
            <w:top w:val="none" w:sz="0" w:space="0" w:color="auto"/>
            <w:left w:val="none" w:sz="0" w:space="0" w:color="auto"/>
            <w:bottom w:val="none" w:sz="0" w:space="0" w:color="auto"/>
            <w:right w:val="none" w:sz="0" w:space="0" w:color="auto"/>
          </w:divBdr>
        </w:div>
        <w:div w:id="905188288">
          <w:marLeft w:val="0"/>
          <w:marRight w:val="0"/>
          <w:marTop w:val="0"/>
          <w:marBottom w:val="0"/>
          <w:divBdr>
            <w:top w:val="none" w:sz="0" w:space="0" w:color="auto"/>
            <w:left w:val="none" w:sz="0" w:space="0" w:color="auto"/>
            <w:bottom w:val="none" w:sz="0" w:space="0" w:color="auto"/>
            <w:right w:val="none" w:sz="0" w:space="0" w:color="auto"/>
          </w:divBdr>
        </w:div>
        <w:div w:id="1012992325">
          <w:marLeft w:val="0"/>
          <w:marRight w:val="0"/>
          <w:marTop w:val="0"/>
          <w:marBottom w:val="0"/>
          <w:divBdr>
            <w:top w:val="none" w:sz="0" w:space="0" w:color="auto"/>
            <w:left w:val="none" w:sz="0" w:space="0" w:color="auto"/>
            <w:bottom w:val="none" w:sz="0" w:space="0" w:color="auto"/>
            <w:right w:val="none" w:sz="0" w:space="0" w:color="auto"/>
          </w:divBdr>
        </w:div>
        <w:div w:id="1014570475">
          <w:marLeft w:val="0"/>
          <w:marRight w:val="0"/>
          <w:marTop w:val="0"/>
          <w:marBottom w:val="0"/>
          <w:divBdr>
            <w:top w:val="none" w:sz="0" w:space="0" w:color="auto"/>
            <w:left w:val="none" w:sz="0" w:space="0" w:color="auto"/>
            <w:bottom w:val="none" w:sz="0" w:space="0" w:color="auto"/>
            <w:right w:val="none" w:sz="0" w:space="0" w:color="auto"/>
          </w:divBdr>
        </w:div>
        <w:div w:id="1042705045">
          <w:marLeft w:val="0"/>
          <w:marRight w:val="0"/>
          <w:marTop w:val="0"/>
          <w:marBottom w:val="0"/>
          <w:divBdr>
            <w:top w:val="none" w:sz="0" w:space="0" w:color="auto"/>
            <w:left w:val="none" w:sz="0" w:space="0" w:color="auto"/>
            <w:bottom w:val="none" w:sz="0" w:space="0" w:color="auto"/>
            <w:right w:val="none" w:sz="0" w:space="0" w:color="auto"/>
          </w:divBdr>
        </w:div>
        <w:div w:id="1046373119">
          <w:marLeft w:val="0"/>
          <w:marRight w:val="0"/>
          <w:marTop w:val="0"/>
          <w:marBottom w:val="0"/>
          <w:divBdr>
            <w:top w:val="none" w:sz="0" w:space="0" w:color="auto"/>
            <w:left w:val="none" w:sz="0" w:space="0" w:color="auto"/>
            <w:bottom w:val="none" w:sz="0" w:space="0" w:color="auto"/>
            <w:right w:val="none" w:sz="0" w:space="0" w:color="auto"/>
          </w:divBdr>
          <w:divsChild>
            <w:div w:id="237642312">
              <w:marLeft w:val="0"/>
              <w:marRight w:val="0"/>
              <w:marTop w:val="0"/>
              <w:marBottom w:val="0"/>
              <w:divBdr>
                <w:top w:val="none" w:sz="0" w:space="0" w:color="auto"/>
                <w:left w:val="none" w:sz="0" w:space="0" w:color="auto"/>
                <w:bottom w:val="none" w:sz="0" w:space="0" w:color="auto"/>
                <w:right w:val="none" w:sz="0" w:space="0" w:color="auto"/>
              </w:divBdr>
            </w:div>
            <w:div w:id="924152186">
              <w:marLeft w:val="0"/>
              <w:marRight w:val="0"/>
              <w:marTop w:val="0"/>
              <w:marBottom w:val="0"/>
              <w:divBdr>
                <w:top w:val="none" w:sz="0" w:space="0" w:color="auto"/>
                <w:left w:val="none" w:sz="0" w:space="0" w:color="auto"/>
                <w:bottom w:val="none" w:sz="0" w:space="0" w:color="auto"/>
                <w:right w:val="none" w:sz="0" w:space="0" w:color="auto"/>
              </w:divBdr>
            </w:div>
            <w:div w:id="1052999571">
              <w:marLeft w:val="0"/>
              <w:marRight w:val="0"/>
              <w:marTop w:val="0"/>
              <w:marBottom w:val="0"/>
              <w:divBdr>
                <w:top w:val="none" w:sz="0" w:space="0" w:color="auto"/>
                <w:left w:val="none" w:sz="0" w:space="0" w:color="auto"/>
                <w:bottom w:val="none" w:sz="0" w:space="0" w:color="auto"/>
                <w:right w:val="none" w:sz="0" w:space="0" w:color="auto"/>
              </w:divBdr>
            </w:div>
            <w:div w:id="1201168552">
              <w:marLeft w:val="0"/>
              <w:marRight w:val="0"/>
              <w:marTop w:val="0"/>
              <w:marBottom w:val="0"/>
              <w:divBdr>
                <w:top w:val="none" w:sz="0" w:space="0" w:color="auto"/>
                <w:left w:val="none" w:sz="0" w:space="0" w:color="auto"/>
                <w:bottom w:val="none" w:sz="0" w:space="0" w:color="auto"/>
                <w:right w:val="none" w:sz="0" w:space="0" w:color="auto"/>
              </w:divBdr>
            </w:div>
            <w:div w:id="2098936357">
              <w:marLeft w:val="0"/>
              <w:marRight w:val="0"/>
              <w:marTop w:val="0"/>
              <w:marBottom w:val="0"/>
              <w:divBdr>
                <w:top w:val="none" w:sz="0" w:space="0" w:color="auto"/>
                <w:left w:val="none" w:sz="0" w:space="0" w:color="auto"/>
                <w:bottom w:val="none" w:sz="0" w:space="0" w:color="auto"/>
                <w:right w:val="none" w:sz="0" w:space="0" w:color="auto"/>
              </w:divBdr>
            </w:div>
          </w:divsChild>
        </w:div>
        <w:div w:id="1054964947">
          <w:marLeft w:val="0"/>
          <w:marRight w:val="0"/>
          <w:marTop w:val="0"/>
          <w:marBottom w:val="0"/>
          <w:divBdr>
            <w:top w:val="none" w:sz="0" w:space="0" w:color="auto"/>
            <w:left w:val="none" w:sz="0" w:space="0" w:color="auto"/>
            <w:bottom w:val="none" w:sz="0" w:space="0" w:color="auto"/>
            <w:right w:val="none" w:sz="0" w:space="0" w:color="auto"/>
          </w:divBdr>
        </w:div>
        <w:div w:id="1077288414">
          <w:marLeft w:val="0"/>
          <w:marRight w:val="0"/>
          <w:marTop w:val="0"/>
          <w:marBottom w:val="0"/>
          <w:divBdr>
            <w:top w:val="none" w:sz="0" w:space="0" w:color="auto"/>
            <w:left w:val="none" w:sz="0" w:space="0" w:color="auto"/>
            <w:bottom w:val="none" w:sz="0" w:space="0" w:color="auto"/>
            <w:right w:val="none" w:sz="0" w:space="0" w:color="auto"/>
          </w:divBdr>
        </w:div>
        <w:div w:id="1115752998">
          <w:marLeft w:val="0"/>
          <w:marRight w:val="0"/>
          <w:marTop w:val="0"/>
          <w:marBottom w:val="0"/>
          <w:divBdr>
            <w:top w:val="none" w:sz="0" w:space="0" w:color="auto"/>
            <w:left w:val="none" w:sz="0" w:space="0" w:color="auto"/>
            <w:bottom w:val="none" w:sz="0" w:space="0" w:color="auto"/>
            <w:right w:val="none" w:sz="0" w:space="0" w:color="auto"/>
          </w:divBdr>
        </w:div>
        <w:div w:id="1168907514">
          <w:marLeft w:val="0"/>
          <w:marRight w:val="0"/>
          <w:marTop w:val="0"/>
          <w:marBottom w:val="0"/>
          <w:divBdr>
            <w:top w:val="none" w:sz="0" w:space="0" w:color="auto"/>
            <w:left w:val="none" w:sz="0" w:space="0" w:color="auto"/>
            <w:bottom w:val="none" w:sz="0" w:space="0" w:color="auto"/>
            <w:right w:val="none" w:sz="0" w:space="0" w:color="auto"/>
          </w:divBdr>
        </w:div>
        <w:div w:id="1271543420">
          <w:marLeft w:val="0"/>
          <w:marRight w:val="0"/>
          <w:marTop w:val="0"/>
          <w:marBottom w:val="0"/>
          <w:divBdr>
            <w:top w:val="none" w:sz="0" w:space="0" w:color="auto"/>
            <w:left w:val="none" w:sz="0" w:space="0" w:color="auto"/>
            <w:bottom w:val="none" w:sz="0" w:space="0" w:color="auto"/>
            <w:right w:val="none" w:sz="0" w:space="0" w:color="auto"/>
          </w:divBdr>
        </w:div>
        <w:div w:id="1438869357">
          <w:marLeft w:val="0"/>
          <w:marRight w:val="0"/>
          <w:marTop w:val="0"/>
          <w:marBottom w:val="0"/>
          <w:divBdr>
            <w:top w:val="none" w:sz="0" w:space="0" w:color="auto"/>
            <w:left w:val="none" w:sz="0" w:space="0" w:color="auto"/>
            <w:bottom w:val="none" w:sz="0" w:space="0" w:color="auto"/>
            <w:right w:val="none" w:sz="0" w:space="0" w:color="auto"/>
          </w:divBdr>
        </w:div>
        <w:div w:id="1444884315">
          <w:marLeft w:val="0"/>
          <w:marRight w:val="0"/>
          <w:marTop w:val="0"/>
          <w:marBottom w:val="0"/>
          <w:divBdr>
            <w:top w:val="none" w:sz="0" w:space="0" w:color="auto"/>
            <w:left w:val="none" w:sz="0" w:space="0" w:color="auto"/>
            <w:bottom w:val="none" w:sz="0" w:space="0" w:color="auto"/>
            <w:right w:val="none" w:sz="0" w:space="0" w:color="auto"/>
          </w:divBdr>
        </w:div>
        <w:div w:id="1492139189">
          <w:marLeft w:val="0"/>
          <w:marRight w:val="0"/>
          <w:marTop w:val="0"/>
          <w:marBottom w:val="0"/>
          <w:divBdr>
            <w:top w:val="none" w:sz="0" w:space="0" w:color="auto"/>
            <w:left w:val="none" w:sz="0" w:space="0" w:color="auto"/>
            <w:bottom w:val="none" w:sz="0" w:space="0" w:color="auto"/>
            <w:right w:val="none" w:sz="0" w:space="0" w:color="auto"/>
          </w:divBdr>
        </w:div>
        <w:div w:id="1593783982">
          <w:marLeft w:val="0"/>
          <w:marRight w:val="0"/>
          <w:marTop w:val="0"/>
          <w:marBottom w:val="0"/>
          <w:divBdr>
            <w:top w:val="none" w:sz="0" w:space="0" w:color="auto"/>
            <w:left w:val="none" w:sz="0" w:space="0" w:color="auto"/>
            <w:bottom w:val="none" w:sz="0" w:space="0" w:color="auto"/>
            <w:right w:val="none" w:sz="0" w:space="0" w:color="auto"/>
          </w:divBdr>
        </w:div>
        <w:div w:id="1601596346">
          <w:marLeft w:val="0"/>
          <w:marRight w:val="0"/>
          <w:marTop w:val="0"/>
          <w:marBottom w:val="0"/>
          <w:divBdr>
            <w:top w:val="none" w:sz="0" w:space="0" w:color="auto"/>
            <w:left w:val="none" w:sz="0" w:space="0" w:color="auto"/>
            <w:bottom w:val="none" w:sz="0" w:space="0" w:color="auto"/>
            <w:right w:val="none" w:sz="0" w:space="0" w:color="auto"/>
          </w:divBdr>
        </w:div>
        <w:div w:id="1602908526">
          <w:marLeft w:val="0"/>
          <w:marRight w:val="0"/>
          <w:marTop w:val="0"/>
          <w:marBottom w:val="0"/>
          <w:divBdr>
            <w:top w:val="none" w:sz="0" w:space="0" w:color="auto"/>
            <w:left w:val="none" w:sz="0" w:space="0" w:color="auto"/>
            <w:bottom w:val="none" w:sz="0" w:space="0" w:color="auto"/>
            <w:right w:val="none" w:sz="0" w:space="0" w:color="auto"/>
          </w:divBdr>
        </w:div>
        <w:div w:id="1609897516">
          <w:marLeft w:val="0"/>
          <w:marRight w:val="0"/>
          <w:marTop w:val="0"/>
          <w:marBottom w:val="0"/>
          <w:divBdr>
            <w:top w:val="none" w:sz="0" w:space="0" w:color="auto"/>
            <w:left w:val="none" w:sz="0" w:space="0" w:color="auto"/>
            <w:bottom w:val="none" w:sz="0" w:space="0" w:color="auto"/>
            <w:right w:val="none" w:sz="0" w:space="0" w:color="auto"/>
          </w:divBdr>
        </w:div>
        <w:div w:id="1623075855">
          <w:marLeft w:val="0"/>
          <w:marRight w:val="0"/>
          <w:marTop w:val="0"/>
          <w:marBottom w:val="0"/>
          <w:divBdr>
            <w:top w:val="none" w:sz="0" w:space="0" w:color="auto"/>
            <w:left w:val="none" w:sz="0" w:space="0" w:color="auto"/>
            <w:bottom w:val="none" w:sz="0" w:space="0" w:color="auto"/>
            <w:right w:val="none" w:sz="0" w:space="0" w:color="auto"/>
          </w:divBdr>
        </w:div>
        <w:div w:id="1625886198">
          <w:marLeft w:val="0"/>
          <w:marRight w:val="0"/>
          <w:marTop w:val="0"/>
          <w:marBottom w:val="0"/>
          <w:divBdr>
            <w:top w:val="none" w:sz="0" w:space="0" w:color="auto"/>
            <w:left w:val="none" w:sz="0" w:space="0" w:color="auto"/>
            <w:bottom w:val="none" w:sz="0" w:space="0" w:color="auto"/>
            <w:right w:val="none" w:sz="0" w:space="0" w:color="auto"/>
          </w:divBdr>
        </w:div>
        <w:div w:id="1635060297">
          <w:marLeft w:val="0"/>
          <w:marRight w:val="0"/>
          <w:marTop w:val="0"/>
          <w:marBottom w:val="0"/>
          <w:divBdr>
            <w:top w:val="none" w:sz="0" w:space="0" w:color="auto"/>
            <w:left w:val="none" w:sz="0" w:space="0" w:color="auto"/>
            <w:bottom w:val="none" w:sz="0" w:space="0" w:color="auto"/>
            <w:right w:val="none" w:sz="0" w:space="0" w:color="auto"/>
          </w:divBdr>
          <w:divsChild>
            <w:div w:id="1804538634">
              <w:marLeft w:val="0"/>
              <w:marRight w:val="0"/>
              <w:marTop w:val="0"/>
              <w:marBottom w:val="0"/>
              <w:divBdr>
                <w:top w:val="none" w:sz="0" w:space="0" w:color="auto"/>
                <w:left w:val="none" w:sz="0" w:space="0" w:color="auto"/>
                <w:bottom w:val="none" w:sz="0" w:space="0" w:color="auto"/>
                <w:right w:val="none" w:sz="0" w:space="0" w:color="auto"/>
              </w:divBdr>
            </w:div>
            <w:div w:id="1873763286">
              <w:marLeft w:val="0"/>
              <w:marRight w:val="0"/>
              <w:marTop w:val="0"/>
              <w:marBottom w:val="0"/>
              <w:divBdr>
                <w:top w:val="none" w:sz="0" w:space="0" w:color="auto"/>
                <w:left w:val="none" w:sz="0" w:space="0" w:color="auto"/>
                <w:bottom w:val="none" w:sz="0" w:space="0" w:color="auto"/>
                <w:right w:val="none" w:sz="0" w:space="0" w:color="auto"/>
              </w:divBdr>
            </w:div>
            <w:div w:id="1929074510">
              <w:marLeft w:val="0"/>
              <w:marRight w:val="0"/>
              <w:marTop w:val="0"/>
              <w:marBottom w:val="0"/>
              <w:divBdr>
                <w:top w:val="none" w:sz="0" w:space="0" w:color="auto"/>
                <w:left w:val="none" w:sz="0" w:space="0" w:color="auto"/>
                <w:bottom w:val="none" w:sz="0" w:space="0" w:color="auto"/>
                <w:right w:val="none" w:sz="0" w:space="0" w:color="auto"/>
              </w:divBdr>
            </w:div>
          </w:divsChild>
        </w:div>
        <w:div w:id="1644654789">
          <w:marLeft w:val="0"/>
          <w:marRight w:val="0"/>
          <w:marTop w:val="0"/>
          <w:marBottom w:val="0"/>
          <w:divBdr>
            <w:top w:val="none" w:sz="0" w:space="0" w:color="auto"/>
            <w:left w:val="none" w:sz="0" w:space="0" w:color="auto"/>
            <w:bottom w:val="none" w:sz="0" w:space="0" w:color="auto"/>
            <w:right w:val="none" w:sz="0" w:space="0" w:color="auto"/>
          </w:divBdr>
        </w:div>
        <w:div w:id="1687708489">
          <w:marLeft w:val="0"/>
          <w:marRight w:val="0"/>
          <w:marTop w:val="0"/>
          <w:marBottom w:val="0"/>
          <w:divBdr>
            <w:top w:val="none" w:sz="0" w:space="0" w:color="auto"/>
            <w:left w:val="none" w:sz="0" w:space="0" w:color="auto"/>
            <w:bottom w:val="none" w:sz="0" w:space="0" w:color="auto"/>
            <w:right w:val="none" w:sz="0" w:space="0" w:color="auto"/>
          </w:divBdr>
        </w:div>
        <w:div w:id="1774932264">
          <w:marLeft w:val="0"/>
          <w:marRight w:val="0"/>
          <w:marTop w:val="0"/>
          <w:marBottom w:val="0"/>
          <w:divBdr>
            <w:top w:val="none" w:sz="0" w:space="0" w:color="auto"/>
            <w:left w:val="none" w:sz="0" w:space="0" w:color="auto"/>
            <w:bottom w:val="none" w:sz="0" w:space="0" w:color="auto"/>
            <w:right w:val="none" w:sz="0" w:space="0" w:color="auto"/>
          </w:divBdr>
        </w:div>
        <w:div w:id="1781873448">
          <w:marLeft w:val="0"/>
          <w:marRight w:val="0"/>
          <w:marTop w:val="0"/>
          <w:marBottom w:val="0"/>
          <w:divBdr>
            <w:top w:val="none" w:sz="0" w:space="0" w:color="auto"/>
            <w:left w:val="none" w:sz="0" w:space="0" w:color="auto"/>
            <w:bottom w:val="none" w:sz="0" w:space="0" w:color="auto"/>
            <w:right w:val="none" w:sz="0" w:space="0" w:color="auto"/>
          </w:divBdr>
        </w:div>
        <w:div w:id="1845584306">
          <w:marLeft w:val="0"/>
          <w:marRight w:val="0"/>
          <w:marTop w:val="0"/>
          <w:marBottom w:val="0"/>
          <w:divBdr>
            <w:top w:val="none" w:sz="0" w:space="0" w:color="auto"/>
            <w:left w:val="none" w:sz="0" w:space="0" w:color="auto"/>
            <w:bottom w:val="none" w:sz="0" w:space="0" w:color="auto"/>
            <w:right w:val="none" w:sz="0" w:space="0" w:color="auto"/>
          </w:divBdr>
        </w:div>
        <w:div w:id="1925068520">
          <w:marLeft w:val="0"/>
          <w:marRight w:val="0"/>
          <w:marTop w:val="0"/>
          <w:marBottom w:val="0"/>
          <w:divBdr>
            <w:top w:val="none" w:sz="0" w:space="0" w:color="auto"/>
            <w:left w:val="none" w:sz="0" w:space="0" w:color="auto"/>
            <w:bottom w:val="none" w:sz="0" w:space="0" w:color="auto"/>
            <w:right w:val="none" w:sz="0" w:space="0" w:color="auto"/>
          </w:divBdr>
        </w:div>
        <w:div w:id="1966614647">
          <w:marLeft w:val="0"/>
          <w:marRight w:val="0"/>
          <w:marTop w:val="0"/>
          <w:marBottom w:val="0"/>
          <w:divBdr>
            <w:top w:val="none" w:sz="0" w:space="0" w:color="auto"/>
            <w:left w:val="none" w:sz="0" w:space="0" w:color="auto"/>
            <w:bottom w:val="none" w:sz="0" w:space="0" w:color="auto"/>
            <w:right w:val="none" w:sz="0" w:space="0" w:color="auto"/>
          </w:divBdr>
        </w:div>
        <w:div w:id="1970941378">
          <w:marLeft w:val="0"/>
          <w:marRight w:val="0"/>
          <w:marTop w:val="0"/>
          <w:marBottom w:val="0"/>
          <w:divBdr>
            <w:top w:val="none" w:sz="0" w:space="0" w:color="auto"/>
            <w:left w:val="none" w:sz="0" w:space="0" w:color="auto"/>
            <w:bottom w:val="none" w:sz="0" w:space="0" w:color="auto"/>
            <w:right w:val="none" w:sz="0" w:space="0" w:color="auto"/>
          </w:divBdr>
        </w:div>
        <w:div w:id="2000108031">
          <w:marLeft w:val="0"/>
          <w:marRight w:val="0"/>
          <w:marTop w:val="0"/>
          <w:marBottom w:val="0"/>
          <w:divBdr>
            <w:top w:val="none" w:sz="0" w:space="0" w:color="auto"/>
            <w:left w:val="none" w:sz="0" w:space="0" w:color="auto"/>
            <w:bottom w:val="none" w:sz="0" w:space="0" w:color="auto"/>
            <w:right w:val="none" w:sz="0" w:space="0" w:color="auto"/>
          </w:divBdr>
        </w:div>
        <w:div w:id="2066100407">
          <w:marLeft w:val="0"/>
          <w:marRight w:val="0"/>
          <w:marTop w:val="0"/>
          <w:marBottom w:val="0"/>
          <w:divBdr>
            <w:top w:val="none" w:sz="0" w:space="0" w:color="auto"/>
            <w:left w:val="none" w:sz="0" w:space="0" w:color="auto"/>
            <w:bottom w:val="none" w:sz="0" w:space="0" w:color="auto"/>
            <w:right w:val="none" w:sz="0" w:space="0" w:color="auto"/>
          </w:divBdr>
        </w:div>
        <w:div w:id="2094817610">
          <w:marLeft w:val="0"/>
          <w:marRight w:val="0"/>
          <w:marTop w:val="0"/>
          <w:marBottom w:val="0"/>
          <w:divBdr>
            <w:top w:val="none" w:sz="0" w:space="0" w:color="auto"/>
            <w:left w:val="none" w:sz="0" w:space="0" w:color="auto"/>
            <w:bottom w:val="none" w:sz="0" w:space="0" w:color="auto"/>
            <w:right w:val="none" w:sz="0" w:space="0" w:color="auto"/>
          </w:divBdr>
        </w:div>
        <w:div w:id="2102408527">
          <w:marLeft w:val="0"/>
          <w:marRight w:val="0"/>
          <w:marTop w:val="0"/>
          <w:marBottom w:val="0"/>
          <w:divBdr>
            <w:top w:val="none" w:sz="0" w:space="0" w:color="auto"/>
            <w:left w:val="none" w:sz="0" w:space="0" w:color="auto"/>
            <w:bottom w:val="none" w:sz="0" w:space="0" w:color="auto"/>
            <w:right w:val="none" w:sz="0" w:space="0" w:color="auto"/>
          </w:divBdr>
        </w:div>
        <w:div w:id="2105301608">
          <w:marLeft w:val="0"/>
          <w:marRight w:val="0"/>
          <w:marTop w:val="0"/>
          <w:marBottom w:val="0"/>
          <w:divBdr>
            <w:top w:val="none" w:sz="0" w:space="0" w:color="auto"/>
            <w:left w:val="none" w:sz="0" w:space="0" w:color="auto"/>
            <w:bottom w:val="none" w:sz="0" w:space="0" w:color="auto"/>
            <w:right w:val="none" w:sz="0" w:space="0" w:color="auto"/>
          </w:divBdr>
        </w:div>
      </w:divsChild>
    </w:div>
    <w:div w:id="199439406">
      <w:bodyDiv w:val="1"/>
      <w:marLeft w:val="0"/>
      <w:marRight w:val="0"/>
      <w:marTop w:val="0"/>
      <w:marBottom w:val="0"/>
      <w:divBdr>
        <w:top w:val="none" w:sz="0" w:space="0" w:color="auto"/>
        <w:left w:val="none" w:sz="0" w:space="0" w:color="auto"/>
        <w:bottom w:val="none" w:sz="0" w:space="0" w:color="auto"/>
        <w:right w:val="none" w:sz="0" w:space="0" w:color="auto"/>
      </w:divBdr>
      <w:divsChild>
        <w:div w:id="1145663202">
          <w:marLeft w:val="0"/>
          <w:marRight w:val="0"/>
          <w:marTop w:val="0"/>
          <w:marBottom w:val="0"/>
          <w:divBdr>
            <w:top w:val="none" w:sz="0" w:space="0" w:color="auto"/>
            <w:left w:val="none" w:sz="0" w:space="0" w:color="auto"/>
            <w:bottom w:val="none" w:sz="0" w:space="0" w:color="auto"/>
            <w:right w:val="none" w:sz="0" w:space="0" w:color="auto"/>
          </w:divBdr>
          <w:divsChild>
            <w:div w:id="549652112">
              <w:marLeft w:val="0"/>
              <w:marRight w:val="0"/>
              <w:marTop w:val="0"/>
              <w:marBottom w:val="0"/>
              <w:divBdr>
                <w:top w:val="none" w:sz="0" w:space="0" w:color="auto"/>
                <w:left w:val="none" w:sz="0" w:space="0" w:color="auto"/>
                <w:bottom w:val="none" w:sz="0" w:space="0" w:color="auto"/>
                <w:right w:val="none" w:sz="0" w:space="0" w:color="auto"/>
              </w:divBdr>
            </w:div>
          </w:divsChild>
        </w:div>
        <w:div w:id="1368797579">
          <w:marLeft w:val="0"/>
          <w:marRight w:val="0"/>
          <w:marTop w:val="0"/>
          <w:marBottom w:val="0"/>
          <w:divBdr>
            <w:top w:val="none" w:sz="0" w:space="0" w:color="auto"/>
            <w:left w:val="none" w:sz="0" w:space="0" w:color="auto"/>
            <w:bottom w:val="none" w:sz="0" w:space="0" w:color="auto"/>
            <w:right w:val="none" w:sz="0" w:space="0" w:color="auto"/>
          </w:divBdr>
          <w:divsChild>
            <w:div w:id="138144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88948">
      <w:bodyDiv w:val="1"/>
      <w:marLeft w:val="0"/>
      <w:marRight w:val="0"/>
      <w:marTop w:val="0"/>
      <w:marBottom w:val="0"/>
      <w:divBdr>
        <w:top w:val="none" w:sz="0" w:space="0" w:color="auto"/>
        <w:left w:val="none" w:sz="0" w:space="0" w:color="auto"/>
        <w:bottom w:val="none" w:sz="0" w:space="0" w:color="auto"/>
        <w:right w:val="none" w:sz="0" w:space="0" w:color="auto"/>
      </w:divBdr>
    </w:div>
    <w:div w:id="205608111">
      <w:bodyDiv w:val="1"/>
      <w:marLeft w:val="0"/>
      <w:marRight w:val="0"/>
      <w:marTop w:val="0"/>
      <w:marBottom w:val="0"/>
      <w:divBdr>
        <w:top w:val="none" w:sz="0" w:space="0" w:color="auto"/>
        <w:left w:val="none" w:sz="0" w:space="0" w:color="auto"/>
        <w:bottom w:val="none" w:sz="0" w:space="0" w:color="auto"/>
        <w:right w:val="none" w:sz="0" w:space="0" w:color="auto"/>
      </w:divBdr>
    </w:div>
    <w:div w:id="213276242">
      <w:bodyDiv w:val="1"/>
      <w:marLeft w:val="0"/>
      <w:marRight w:val="0"/>
      <w:marTop w:val="0"/>
      <w:marBottom w:val="0"/>
      <w:divBdr>
        <w:top w:val="none" w:sz="0" w:space="0" w:color="auto"/>
        <w:left w:val="none" w:sz="0" w:space="0" w:color="auto"/>
        <w:bottom w:val="none" w:sz="0" w:space="0" w:color="auto"/>
        <w:right w:val="none" w:sz="0" w:space="0" w:color="auto"/>
      </w:divBdr>
    </w:div>
    <w:div w:id="216934297">
      <w:bodyDiv w:val="1"/>
      <w:marLeft w:val="0"/>
      <w:marRight w:val="0"/>
      <w:marTop w:val="0"/>
      <w:marBottom w:val="0"/>
      <w:divBdr>
        <w:top w:val="none" w:sz="0" w:space="0" w:color="auto"/>
        <w:left w:val="none" w:sz="0" w:space="0" w:color="auto"/>
        <w:bottom w:val="none" w:sz="0" w:space="0" w:color="auto"/>
        <w:right w:val="none" w:sz="0" w:space="0" w:color="auto"/>
      </w:divBdr>
    </w:div>
    <w:div w:id="222058423">
      <w:bodyDiv w:val="1"/>
      <w:marLeft w:val="0"/>
      <w:marRight w:val="0"/>
      <w:marTop w:val="0"/>
      <w:marBottom w:val="0"/>
      <w:divBdr>
        <w:top w:val="none" w:sz="0" w:space="0" w:color="auto"/>
        <w:left w:val="none" w:sz="0" w:space="0" w:color="auto"/>
        <w:bottom w:val="none" w:sz="0" w:space="0" w:color="auto"/>
        <w:right w:val="none" w:sz="0" w:space="0" w:color="auto"/>
      </w:divBdr>
    </w:div>
    <w:div w:id="247276467">
      <w:bodyDiv w:val="1"/>
      <w:marLeft w:val="0"/>
      <w:marRight w:val="0"/>
      <w:marTop w:val="0"/>
      <w:marBottom w:val="0"/>
      <w:divBdr>
        <w:top w:val="none" w:sz="0" w:space="0" w:color="auto"/>
        <w:left w:val="none" w:sz="0" w:space="0" w:color="auto"/>
        <w:bottom w:val="none" w:sz="0" w:space="0" w:color="auto"/>
        <w:right w:val="none" w:sz="0" w:space="0" w:color="auto"/>
      </w:divBdr>
    </w:div>
    <w:div w:id="252318496">
      <w:bodyDiv w:val="1"/>
      <w:marLeft w:val="0"/>
      <w:marRight w:val="0"/>
      <w:marTop w:val="0"/>
      <w:marBottom w:val="0"/>
      <w:divBdr>
        <w:top w:val="none" w:sz="0" w:space="0" w:color="auto"/>
        <w:left w:val="none" w:sz="0" w:space="0" w:color="auto"/>
        <w:bottom w:val="none" w:sz="0" w:space="0" w:color="auto"/>
        <w:right w:val="none" w:sz="0" w:space="0" w:color="auto"/>
      </w:divBdr>
    </w:div>
    <w:div w:id="287782518">
      <w:bodyDiv w:val="1"/>
      <w:marLeft w:val="0"/>
      <w:marRight w:val="0"/>
      <w:marTop w:val="0"/>
      <w:marBottom w:val="0"/>
      <w:divBdr>
        <w:top w:val="none" w:sz="0" w:space="0" w:color="auto"/>
        <w:left w:val="none" w:sz="0" w:space="0" w:color="auto"/>
        <w:bottom w:val="none" w:sz="0" w:space="0" w:color="auto"/>
        <w:right w:val="none" w:sz="0" w:space="0" w:color="auto"/>
      </w:divBdr>
    </w:div>
    <w:div w:id="296762465">
      <w:bodyDiv w:val="1"/>
      <w:marLeft w:val="0"/>
      <w:marRight w:val="0"/>
      <w:marTop w:val="0"/>
      <w:marBottom w:val="0"/>
      <w:divBdr>
        <w:top w:val="none" w:sz="0" w:space="0" w:color="auto"/>
        <w:left w:val="none" w:sz="0" w:space="0" w:color="auto"/>
        <w:bottom w:val="none" w:sz="0" w:space="0" w:color="auto"/>
        <w:right w:val="none" w:sz="0" w:space="0" w:color="auto"/>
      </w:divBdr>
    </w:div>
    <w:div w:id="306401325">
      <w:bodyDiv w:val="1"/>
      <w:marLeft w:val="0"/>
      <w:marRight w:val="0"/>
      <w:marTop w:val="0"/>
      <w:marBottom w:val="0"/>
      <w:divBdr>
        <w:top w:val="none" w:sz="0" w:space="0" w:color="auto"/>
        <w:left w:val="none" w:sz="0" w:space="0" w:color="auto"/>
        <w:bottom w:val="none" w:sz="0" w:space="0" w:color="auto"/>
        <w:right w:val="none" w:sz="0" w:space="0" w:color="auto"/>
      </w:divBdr>
      <w:divsChild>
        <w:div w:id="8219138">
          <w:marLeft w:val="0"/>
          <w:marRight w:val="0"/>
          <w:marTop w:val="0"/>
          <w:marBottom w:val="0"/>
          <w:divBdr>
            <w:top w:val="none" w:sz="0" w:space="0" w:color="auto"/>
            <w:left w:val="none" w:sz="0" w:space="0" w:color="auto"/>
            <w:bottom w:val="none" w:sz="0" w:space="0" w:color="auto"/>
            <w:right w:val="none" w:sz="0" w:space="0" w:color="auto"/>
          </w:divBdr>
        </w:div>
        <w:div w:id="158885734">
          <w:marLeft w:val="0"/>
          <w:marRight w:val="0"/>
          <w:marTop w:val="0"/>
          <w:marBottom w:val="0"/>
          <w:divBdr>
            <w:top w:val="none" w:sz="0" w:space="0" w:color="auto"/>
            <w:left w:val="none" w:sz="0" w:space="0" w:color="auto"/>
            <w:bottom w:val="none" w:sz="0" w:space="0" w:color="auto"/>
            <w:right w:val="none" w:sz="0" w:space="0" w:color="auto"/>
          </w:divBdr>
        </w:div>
        <w:div w:id="329480832">
          <w:marLeft w:val="0"/>
          <w:marRight w:val="0"/>
          <w:marTop w:val="0"/>
          <w:marBottom w:val="0"/>
          <w:divBdr>
            <w:top w:val="none" w:sz="0" w:space="0" w:color="auto"/>
            <w:left w:val="none" w:sz="0" w:space="0" w:color="auto"/>
            <w:bottom w:val="none" w:sz="0" w:space="0" w:color="auto"/>
            <w:right w:val="none" w:sz="0" w:space="0" w:color="auto"/>
          </w:divBdr>
        </w:div>
        <w:div w:id="449015672">
          <w:marLeft w:val="0"/>
          <w:marRight w:val="0"/>
          <w:marTop w:val="0"/>
          <w:marBottom w:val="0"/>
          <w:divBdr>
            <w:top w:val="none" w:sz="0" w:space="0" w:color="auto"/>
            <w:left w:val="none" w:sz="0" w:space="0" w:color="auto"/>
            <w:bottom w:val="none" w:sz="0" w:space="0" w:color="auto"/>
            <w:right w:val="none" w:sz="0" w:space="0" w:color="auto"/>
          </w:divBdr>
          <w:divsChild>
            <w:div w:id="395401273">
              <w:marLeft w:val="-75"/>
              <w:marRight w:val="0"/>
              <w:marTop w:val="30"/>
              <w:marBottom w:val="30"/>
              <w:divBdr>
                <w:top w:val="none" w:sz="0" w:space="0" w:color="auto"/>
                <w:left w:val="none" w:sz="0" w:space="0" w:color="auto"/>
                <w:bottom w:val="none" w:sz="0" w:space="0" w:color="auto"/>
                <w:right w:val="none" w:sz="0" w:space="0" w:color="auto"/>
              </w:divBdr>
              <w:divsChild>
                <w:div w:id="5832780">
                  <w:marLeft w:val="0"/>
                  <w:marRight w:val="0"/>
                  <w:marTop w:val="0"/>
                  <w:marBottom w:val="0"/>
                  <w:divBdr>
                    <w:top w:val="none" w:sz="0" w:space="0" w:color="auto"/>
                    <w:left w:val="none" w:sz="0" w:space="0" w:color="auto"/>
                    <w:bottom w:val="none" w:sz="0" w:space="0" w:color="auto"/>
                    <w:right w:val="none" w:sz="0" w:space="0" w:color="auto"/>
                  </w:divBdr>
                  <w:divsChild>
                    <w:div w:id="1159424327">
                      <w:marLeft w:val="0"/>
                      <w:marRight w:val="0"/>
                      <w:marTop w:val="0"/>
                      <w:marBottom w:val="0"/>
                      <w:divBdr>
                        <w:top w:val="none" w:sz="0" w:space="0" w:color="auto"/>
                        <w:left w:val="none" w:sz="0" w:space="0" w:color="auto"/>
                        <w:bottom w:val="none" w:sz="0" w:space="0" w:color="auto"/>
                        <w:right w:val="none" w:sz="0" w:space="0" w:color="auto"/>
                      </w:divBdr>
                    </w:div>
                  </w:divsChild>
                </w:div>
                <w:div w:id="62215396">
                  <w:marLeft w:val="0"/>
                  <w:marRight w:val="0"/>
                  <w:marTop w:val="0"/>
                  <w:marBottom w:val="0"/>
                  <w:divBdr>
                    <w:top w:val="none" w:sz="0" w:space="0" w:color="auto"/>
                    <w:left w:val="none" w:sz="0" w:space="0" w:color="auto"/>
                    <w:bottom w:val="none" w:sz="0" w:space="0" w:color="auto"/>
                    <w:right w:val="none" w:sz="0" w:space="0" w:color="auto"/>
                  </w:divBdr>
                  <w:divsChild>
                    <w:div w:id="1716348972">
                      <w:marLeft w:val="0"/>
                      <w:marRight w:val="0"/>
                      <w:marTop w:val="0"/>
                      <w:marBottom w:val="0"/>
                      <w:divBdr>
                        <w:top w:val="none" w:sz="0" w:space="0" w:color="auto"/>
                        <w:left w:val="none" w:sz="0" w:space="0" w:color="auto"/>
                        <w:bottom w:val="none" w:sz="0" w:space="0" w:color="auto"/>
                        <w:right w:val="none" w:sz="0" w:space="0" w:color="auto"/>
                      </w:divBdr>
                    </w:div>
                  </w:divsChild>
                </w:div>
                <w:div w:id="72044930">
                  <w:marLeft w:val="0"/>
                  <w:marRight w:val="0"/>
                  <w:marTop w:val="0"/>
                  <w:marBottom w:val="0"/>
                  <w:divBdr>
                    <w:top w:val="none" w:sz="0" w:space="0" w:color="auto"/>
                    <w:left w:val="none" w:sz="0" w:space="0" w:color="auto"/>
                    <w:bottom w:val="none" w:sz="0" w:space="0" w:color="auto"/>
                    <w:right w:val="none" w:sz="0" w:space="0" w:color="auto"/>
                  </w:divBdr>
                  <w:divsChild>
                    <w:div w:id="815033005">
                      <w:marLeft w:val="0"/>
                      <w:marRight w:val="0"/>
                      <w:marTop w:val="0"/>
                      <w:marBottom w:val="0"/>
                      <w:divBdr>
                        <w:top w:val="none" w:sz="0" w:space="0" w:color="auto"/>
                        <w:left w:val="none" w:sz="0" w:space="0" w:color="auto"/>
                        <w:bottom w:val="none" w:sz="0" w:space="0" w:color="auto"/>
                        <w:right w:val="none" w:sz="0" w:space="0" w:color="auto"/>
                      </w:divBdr>
                    </w:div>
                  </w:divsChild>
                </w:div>
                <w:div w:id="77293479">
                  <w:marLeft w:val="0"/>
                  <w:marRight w:val="0"/>
                  <w:marTop w:val="0"/>
                  <w:marBottom w:val="0"/>
                  <w:divBdr>
                    <w:top w:val="none" w:sz="0" w:space="0" w:color="auto"/>
                    <w:left w:val="none" w:sz="0" w:space="0" w:color="auto"/>
                    <w:bottom w:val="none" w:sz="0" w:space="0" w:color="auto"/>
                    <w:right w:val="none" w:sz="0" w:space="0" w:color="auto"/>
                  </w:divBdr>
                  <w:divsChild>
                    <w:div w:id="1799714004">
                      <w:marLeft w:val="0"/>
                      <w:marRight w:val="0"/>
                      <w:marTop w:val="0"/>
                      <w:marBottom w:val="0"/>
                      <w:divBdr>
                        <w:top w:val="none" w:sz="0" w:space="0" w:color="auto"/>
                        <w:left w:val="none" w:sz="0" w:space="0" w:color="auto"/>
                        <w:bottom w:val="none" w:sz="0" w:space="0" w:color="auto"/>
                        <w:right w:val="none" w:sz="0" w:space="0" w:color="auto"/>
                      </w:divBdr>
                    </w:div>
                  </w:divsChild>
                </w:div>
                <w:div w:id="391581933">
                  <w:marLeft w:val="0"/>
                  <w:marRight w:val="0"/>
                  <w:marTop w:val="0"/>
                  <w:marBottom w:val="0"/>
                  <w:divBdr>
                    <w:top w:val="none" w:sz="0" w:space="0" w:color="auto"/>
                    <w:left w:val="none" w:sz="0" w:space="0" w:color="auto"/>
                    <w:bottom w:val="none" w:sz="0" w:space="0" w:color="auto"/>
                    <w:right w:val="none" w:sz="0" w:space="0" w:color="auto"/>
                  </w:divBdr>
                  <w:divsChild>
                    <w:div w:id="1731031295">
                      <w:marLeft w:val="0"/>
                      <w:marRight w:val="0"/>
                      <w:marTop w:val="0"/>
                      <w:marBottom w:val="0"/>
                      <w:divBdr>
                        <w:top w:val="none" w:sz="0" w:space="0" w:color="auto"/>
                        <w:left w:val="none" w:sz="0" w:space="0" w:color="auto"/>
                        <w:bottom w:val="none" w:sz="0" w:space="0" w:color="auto"/>
                        <w:right w:val="none" w:sz="0" w:space="0" w:color="auto"/>
                      </w:divBdr>
                    </w:div>
                  </w:divsChild>
                </w:div>
                <w:div w:id="439645656">
                  <w:marLeft w:val="0"/>
                  <w:marRight w:val="0"/>
                  <w:marTop w:val="0"/>
                  <w:marBottom w:val="0"/>
                  <w:divBdr>
                    <w:top w:val="none" w:sz="0" w:space="0" w:color="auto"/>
                    <w:left w:val="none" w:sz="0" w:space="0" w:color="auto"/>
                    <w:bottom w:val="none" w:sz="0" w:space="0" w:color="auto"/>
                    <w:right w:val="none" w:sz="0" w:space="0" w:color="auto"/>
                  </w:divBdr>
                  <w:divsChild>
                    <w:div w:id="171917073">
                      <w:marLeft w:val="0"/>
                      <w:marRight w:val="0"/>
                      <w:marTop w:val="0"/>
                      <w:marBottom w:val="0"/>
                      <w:divBdr>
                        <w:top w:val="none" w:sz="0" w:space="0" w:color="auto"/>
                        <w:left w:val="none" w:sz="0" w:space="0" w:color="auto"/>
                        <w:bottom w:val="none" w:sz="0" w:space="0" w:color="auto"/>
                        <w:right w:val="none" w:sz="0" w:space="0" w:color="auto"/>
                      </w:divBdr>
                    </w:div>
                  </w:divsChild>
                </w:div>
                <w:div w:id="468985908">
                  <w:marLeft w:val="0"/>
                  <w:marRight w:val="0"/>
                  <w:marTop w:val="0"/>
                  <w:marBottom w:val="0"/>
                  <w:divBdr>
                    <w:top w:val="none" w:sz="0" w:space="0" w:color="auto"/>
                    <w:left w:val="none" w:sz="0" w:space="0" w:color="auto"/>
                    <w:bottom w:val="none" w:sz="0" w:space="0" w:color="auto"/>
                    <w:right w:val="none" w:sz="0" w:space="0" w:color="auto"/>
                  </w:divBdr>
                  <w:divsChild>
                    <w:div w:id="333727403">
                      <w:marLeft w:val="0"/>
                      <w:marRight w:val="0"/>
                      <w:marTop w:val="0"/>
                      <w:marBottom w:val="0"/>
                      <w:divBdr>
                        <w:top w:val="none" w:sz="0" w:space="0" w:color="auto"/>
                        <w:left w:val="none" w:sz="0" w:space="0" w:color="auto"/>
                        <w:bottom w:val="none" w:sz="0" w:space="0" w:color="auto"/>
                        <w:right w:val="none" w:sz="0" w:space="0" w:color="auto"/>
                      </w:divBdr>
                    </w:div>
                  </w:divsChild>
                </w:div>
                <w:div w:id="491992077">
                  <w:marLeft w:val="0"/>
                  <w:marRight w:val="0"/>
                  <w:marTop w:val="0"/>
                  <w:marBottom w:val="0"/>
                  <w:divBdr>
                    <w:top w:val="none" w:sz="0" w:space="0" w:color="auto"/>
                    <w:left w:val="none" w:sz="0" w:space="0" w:color="auto"/>
                    <w:bottom w:val="none" w:sz="0" w:space="0" w:color="auto"/>
                    <w:right w:val="none" w:sz="0" w:space="0" w:color="auto"/>
                  </w:divBdr>
                  <w:divsChild>
                    <w:div w:id="1417551428">
                      <w:marLeft w:val="0"/>
                      <w:marRight w:val="0"/>
                      <w:marTop w:val="0"/>
                      <w:marBottom w:val="0"/>
                      <w:divBdr>
                        <w:top w:val="none" w:sz="0" w:space="0" w:color="auto"/>
                        <w:left w:val="none" w:sz="0" w:space="0" w:color="auto"/>
                        <w:bottom w:val="none" w:sz="0" w:space="0" w:color="auto"/>
                        <w:right w:val="none" w:sz="0" w:space="0" w:color="auto"/>
                      </w:divBdr>
                    </w:div>
                  </w:divsChild>
                </w:div>
                <w:div w:id="522137875">
                  <w:marLeft w:val="0"/>
                  <w:marRight w:val="0"/>
                  <w:marTop w:val="0"/>
                  <w:marBottom w:val="0"/>
                  <w:divBdr>
                    <w:top w:val="none" w:sz="0" w:space="0" w:color="auto"/>
                    <w:left w:val="none" w:sz="0" w:space="0" w:color="auto"/>
                    <w:bottom w:val="none" w:sz="0" w:space="0" w:color="auto"/>
                    <w:right w:val="none" w:sz="0" w:space="0" w:color="auto"/>
                  </w:divBdr>
                  <w:divsChild>
                    <w:div w:id="177085643">
                      <w:marLeft w:val="0"/>
                      <w:marRight w:val="0"/>
                      <w:marTop w:val="0"/>
                      <w:marBottom w:val="0"/>
                      <w:divBdr>
                        <w:top w:val="none" w:sz="0" w:space="0" w:color="auto"/>
                        <w:left w:val="none" w:sz="0" w:space="0" w:color="auto"/>
                        <w:bottom w:val="none" w:sz="0" w:space="0" w:color="auto"/>
                        <w:right w:val="none" w:sz="0" w:space="0" w:color="auto"/>
                      </w:divBdr>
                    </w:div>
                  </w:divsChild>
                </w:div>
                <w:div w:id="547300085">
                  <w:marLeft w:val="0"/>
                  <w:marRight w:val="0"/>
                  <w:marTop w:val="0"/>
                  <w:marBottom w:val="0"/>
                  <w:divBdr>
                    <w:top w:val="none" w:sz="0" w:space="0" w:color="auto"/>
                    <w:left w:val="none" w:sz="0" w:space="0" w:color="auto"/>
                    <w:bottom w:val="none" w:sz="0" w:space="0" w:color="auto"/>
                    <w:right w:val="none" w:sz="0" w:space="0" w:color="auto"/>
                  </w:divBdr>
                  <w:divsChild>
                    <w:div w:id="2104061153">
                      <w:marLeft w:val="0"/>
                      <w:marRight w:val="0"/>
                      <w:marTop w:val="0"/>
                      <w:marBottom w:val="0"/>
                      <w:divBdr>
                        <w:top w:val="none" w:sz="0" w:space="0" w:color="auto"/>
                        <w:left w:val="none" w:sz="0" w:space="0" w:color="auto"/>
                        <w:bottom w:val="none" w:sz="0" w:space="0" w:color="auto"/>
                        <w:right w:val="none" w:sz="0" w:space="0" w:color="auto"/>
                      </w:divBdr>
                    </w:div>
                  </w:divsChild>
                </w:div>
                <w:div w:id="552887645">
                  <w:marLeft w:val="0"/>
                  <w:marRight w:val="0"/>
                  <w:marTop w:val="0"/>
                  <w:marBottom w:val="0"/>
                  <w:divBdr>
                    <w:top w:val="none" w:sz="0" w:space="0" w:color="auto"/>
                    <w:left w:val="none" w:sz="0" w:space="0" w:color="auto"/>
                    <w:bottom w:val="none" w:sz="0" w:space="0" w:color="auto"/>
                    <w:right w:val="none" w:sz="0" w:space="0" w:color="auto"/>
                  </w:divBdr>
                  <w:divsChild>
                    <w:div w:id="913126036">
                      <w:marLeft w:val="0"/>
                      <w:marRight w:val="0"/>
                      <w:marTop w:val="0"/>
                      <w:marBottom w:val="0"/>
                      <w:divBdr>
                        <w:top w:val="none" w:sz="0" w:space="0" w:color="auto"/>
                        <w:left w:val="none" w:sz="0" w:space="0" w:color="auto"/>
                        <w:bottom w:val="none" w:sz="0" w:space="0" w:color="auto"/>
                        <w:right w:val="none" w:sz="0" w:space="0" w:color="auto"/>
                      </w:divBdr>
                    </w:div>
                    <w:div w:id="1646396711">
                      <w:marLeft w:val="0"/>
                      <w:marRight w:val="0"/>
                      <w:marTop w:val="0"/>
                      <w:marBottom w:val="0"/>
                      <w:divBdr>
                        <w:top w:val="none" w:sz="0" w:space="0" w:color="auto"/>
                        <w:left w:val="none" w:sz="0" w:space="0" w:color="auto"/>
                        <w:bottom w:val="none" w:sz="0" w:space="0" w:color="auto"/>
                        <w:right w:val="none" w:sz="0" w:space="0" w:color="auto"/>
                      </w:divBdr>
                    </w:div>
                  </w:divsChild>
                </w:div>
                <w:div w:id="566109697">
                  <w:marLeft w:val="0"/>
                  <w:marRight w:val="0"/>
                  <w:marTop w:val="0"/>
                  <w:marBottom w:val="0"/>
                  <w:divBdr>
                    <w:top w:val="none" w:sz="0" w:space="0" w:color="auto"/>
                    <w:left w:val="none" w:sz="0" w:space="0" w:color="auto"/>
                    <w:bottom w:val="none" w:sz="0" w:space="0" w:color="auto"/>
                    <w:right w:val="none" w:sz="0" w:space="0" w:color="auto"/>
                  </w:divBdr>
                  <w:divsChild>
                    <w:div w:id="1200556170">
                      <w:marLeft w:val="0"/>
                      <w:marRight w:val="0"/>
                      <w:marTop w:val="0"/>
                      <w:marBottom w:val="0"/>
                      <w:divBdr>
                        <w:top w:val="none" w:sz="0" w:space="0" w:color="auto"/>
                        <w:left w:val="none" w:sz="0" w:space="0" w:color="auto"/>
                        <w:bottom w:val="none" w:sz="0" w:space="0" w:color="auto"/>
                        <w:right w:val="none" w:sz="0" w:space="0" w:color="auto"/>
                      </w:divBdr>
                    </w:div>
                  </w:divsChild>
                </w:div>
                <w:div w:id="604726451">
                  <w:marLeft w:val="0"/>
                  <w:marRight w:val="0"/>
                  <w:marTop w:val="0"/>
                  <w:marBottom w:val="0"/>
                  <w:divBdr>
                    <w:top w:val="none" w:sz="0" w:space="0" w:color="auto"/>
                    <w:left w:val="none" w:sz="0" w:space="0" w:color="auto"/>
                    <w:bottom w:val="none" w:sz="0" w:space="0" w:color="auto"/>
                    <w:right w:val="none" w:sz="0" w:space="0" w:color="auto"/>
                  </w:divBdr>
                  <w:divsChild>
                    <w:div w:id="1410032418">
                      <w:marLeft w:val="0"/>
                      <w:marRight w:val="0"/>
                      <w:marTop w:val="0"/>
                      <w:marBottom w:val="0"/>
                      <w:divBdr>
                        <w:top w:val="none" w:sz="0" w:space="0" w:color="auto"/>
                        <w:left w:val="none" w:sz="0" w:space="0" w:color="auto"/>
                        <w:bottom w:val="none" w:sz="0" w:space="0" w:color="auto"/>
                        <w:right w:val="none" w:sz="0" w:space="0" w:color="auto"/>
                      </w:divBdr>
                    </w:div>
                  </w:divsChild>
                </w:div>
                <w:div w:id="768237238">
                  <w:marLeft w:val="0"/>
                  <w:marRight w:val="0"/>
                  <w:marTop w:val="0"/>
                  <w:marBottom w:val="0"/>
                  <w:divBdr>
                    <w:top w:val="none" w:sz="0" w:space="0" w:color="auto"/>
                    <w:left w:val="none" w:sz="0" w:space="0" w:color="auto"/>
                    <w:bottom w:val="none" w:sz="0" w:space="0" w:color="auto"/>
                    <w:right w:val="none" w:sz="0" w:space="0" w:color="auto"/>
                  </w:divBdr>
                  <w:divsChild>
                    <w:div w:id="1548377736">
                      <w:marLeft w:val="0"/>
                      <w:marRight w:val="0"/>
                      <w:marTop w:val="0"/>
                      <w:marBottom w:val="0"/>
                      <w:divBdr>
                        <w:top w:val="none" w:sz="0" w:space="0" w:color="auto"/>
                        <w:left w:val="none" w:sz="0" w:space="0" w:color="auto"/>
                        <w:bottom w:val="none" w:sz="0" w:space="0" w:color="auto"/>
                        <w:right w:val="none" w:sz="0" w:space="0" w:color="auto"/>
                      </w:divBdr>
                    </w:div>
                  </w:divsChild>
                </w:div>
                <w:div w:id="838933816">
                  <w:marLeft w:val="0"/>
                  <w:marRight w:val="0"/>
                  <w:marTop w:val="0"/>
                  <w:marBottom w:val="0"/>
                  <w:divBdr>
                    <w:top w:val="none" w:sz="0" w:space="0" w:color="auto"/>
                    <w:left w:val="none" w:sz="0" w:space="0" w:color="auto"/>
                    <w:bottom w:val="none" w:sz="0" w:space="0" w:color="auto"/>
                    <w:right w:val="none" w:sz="0" w:space="0" w:color="auto"/>
                  </w:divBdr>
                  <w:divsChild>
                    <w:div w:id="1035076800">
                      <w:marLeft w:val="0"/>
                      <w:marRight w:val="0"/>
                      <w:marTop w:val="0"/>
                      <w:marBottom w:val="0"/>
                      <w:divBdr>
                        <w:top w:val="none" w:sz="0" w:space="0" w:color="auto"/>
                        <w:left w:val="none" w:sz="0" w:space="0" w:color="auto"/>
                        <w:bottom w:val="none" w:sz="0" w:space="0" w:color="auto"/>
                        <w:right w:val="none" w:sz="0" w:space="0" w:color="auto"/>
                      </w:divBdr>
                    </w:div>
                  </w:divsChild>
                </w:div>
                <w:div w:id="901671239">
                  <w:marLeft w:val="0"/>
                  <w:marRight w:val="0"/>
                  <w:marTop w:val="0"/>
                  <w:marBottom w:val="0"/>
                  <w:divBdr>
                    <w:top w:val="none" w:sz="0" w:space="0" w:color="auto"/>
                    <w:left w:val="none" w:sz="0" w:space="0" w:color="auto"/>
                    <w:bottom w:val="none" w:sz="0" w:space="0" w:color="auto"/>
                    <w:right w:val="none" w:sz="0" w:space="0" w:color="auto"/>
                  </w:divBdr>
                  <w:divsChild>
                    <w:div w:id="763721975">
                      <w:marLeft w:val="0"/>
                      <w:marRight w:val="0"/>
                      <w:marTop w:val="0"/>
                      <w:marBottom w:val="0"/>
                      <w:divBdr>
                        <w:top w:val="none" w:sz="0" w:space="0" w:color="auto"/>
                        <w:left w:val="none" w:sz="0" w:space="0" w:color="auto"/>
                        <w:bottom w:val="none" w:sz="0" w:space="0" w:color="auto"/>
                        <w:right w:val="none" w:sz="0" w:space="0" w:color="auto"/>
                      </w:divBdr>
                    </w:div>
                  </w:divsChild>
                </w:div>
                <w:div w:id="914513837">
                  <w:marLeft w:val="0"/>
                  <w:marRight w:val="0"/>
                  <w:marTop w:val="0"/>
                  <w:marBottom w:val="0"/>
                  <w:divBdr>
                    <w:top w:val="none" w:sz="0" w:space="0" w:color="auto"/>
                    <w:left w:val="none" w:sz="0" w:space="0" w:color="auto"/>
                    <w:bottom w:val="none" w:sz="0" w:space="0" w:color="auto"/>
                    <w:right w:val="none" w:sz="0" w:space="0" w:color="auto"/>
                  </w:divBdr>
                  <w:divsChild>
                    <w:div w:id="195506908">
                      <w:marLeft w:val="0"/>
                      <w:marRight w:val="0"/>
                      <w:marTop w:val="0"/>
                      <w:marBottom w:val="0"/>
                      <w:divBdr>
                        <w:top w:val="none" w:sz="0" w:space="0" w:color="auto"/>
                        <w:left w:val="none" w:sz="0" w:space="0" w:color="auto"/>
                        <w:bottom w:val="none" w:sz="0" w:space="0" w:color="auto"/>
                        <w:right w:val="none" w:sz="0" w:space="0" w:color="auto"/>
                      </w:divBdr>
                    </w:div>
                  </w:divsChild>
                </w:div>
                <w:div w:id="994190179">
                  <w:marLeft w:val="0"/>
                  <w:marRight w:val="0"/>
                  <w:marTop w:val="0"/>
                  <w:marBottom w:val="0"/>
                  <w:divBdr>
                    <w:top w:val="none" w:sz="0" w:space="0" w:color="auto"/>
                    <w:left w:val="none" w:sz="0" w:space="0" w:color="auto"/>
                    <w:bottom w:val="none" w:sz="0" w:space="0" w:color="auto"/>
                    <w:right w:val="none" w:sz="0" w:space="0" w:color="auto"/>
                  </w:divBdr>
                  <w:divsChild>
                    <w:div w:id="408769226">
                      <w:marLeft w:val="0"/>
                      <w:marRight w:val="0"/>
                      <w:marTop w:val="0"/>
                      <w:marBottom w:val="0"/>
                      <w:divBdr>
                        <w:top w:val="none" w:sz="0" w:space="0" w:color="auto"/>
                        <w:left w:val="none" w:sz="0" w:space="0" w:color="auto"/>
                        <w:bottom w:val="none" w:sz="0" w:space="0" w:color="auto"/>
                        <w:right w:val="none" w:sz="0" w:space="0" w:color="auto"/>
                      </w:divBdr>
                    </w:div>
                  </w:divsChild>
                </w:div>
                <w:div w:id="1258291542">
                  <w:marLeft w:val="0"/>
                  <w:marRight w:val="0"/>
                  <w:marTop w:val="0"/>
                  <w:marBottom w:val="0"/>
                  <w:divBdr>
                    <w:top w:val="none" w:sz="0" w:space="0" w:color="auto"/>
                    <w:left w:val="none" w:sz="0" w:space="0" w:color="auto"/>
                    <w:bottom w:val="none" w:sz="0" w:space="0" w:color="auto"/>
                    <w:right w:val="none" w:sz="0" w:space="0" w:color="auto"/>
                  </w:divBdr>
                  <w:divsChild>
                    <w:div w:id="296566323">
                      <w:marLeft w:val="0"/>
                      <w:marRight w:val="0"/>
                      <w:marTop w:val="0"/>
                      <w:marBottom w:val="0"/>
                      <w:divBdr>
                        <w:top w:val="none" w:sz="0" w:space="0" w:color="auto"/>
                        <w:left w:val="none" w:sz="0" w:space="0" w:color="auto"/>
                        <w:bottom w:val="none" w:sz="0" w:space="0" w:color="auto"/>
                        <w:right w:val="none" w:sz="0" w:space="0" w:color="auto"/>
                      </w:divBdr>
                    </w:div>
                  </w:divsChild>
                </w:div>
                <w:div w:id="1273396257">
                  <w:marLeft w:val="0"/>
                  <w:marRight w:val="0"/>
                  <w:marTop w:val="0"/>
                  <w:marBottom w:val="0"/>
                  <w:divBdr>
                    <w:top w:val="none" w:sz="0" w:space="0" w:color="auto"/>
                    <w:left w:val="none" w:sz="0" w:space="0" w:color="auto"/>
                    <w:bottom w:val="none" w:sz="0" w:space="0" w:color="auto"/>
                    <w:right w:val="none" w:sz="0" w:space="0" w:color="auto"/>
                  </w:divBdr>
                  <w:divsChild>
                    <w:div w:id="1817716771">
                      <w:marLeft w:val="0"/>
                      <w:marRight w:val="0"/>
                      <w:marTop w:val="0"/>
                      <w:marBottom w:val="0"/>
                      <w:divBdr>
                        <w:top w:val="none" w:sz="0" w:space="0" w:color="auto"/>
                        <w:left w:val="none" w:sz="0" w:space="0" w:color="auto"/>
                        <w:bottom w:val="none" w:sz="0" w:space="0" w:color="auto"/>
                        <w:right w:val="none" w:sz="0" w:space="0" w:color="auto"/>
                      </w:divBdr>
                    </w:div>
                  </w:divsChild>
                </w:div>
                <w:div w:id="1302541518">
                  <w:marLeft w:val="0"/>
                  <w:marRight w:val="0"/>
                  <w:marTop w:val="0"/>
                  <w:marBottom w:val="0"/>
                  <w:divBdr>
                    <w:top w:val="none" w:sz="0" w:space="0" w:color="auto"/>
                    <w:left w:val="none" w:sz="0" w:space="0" w:color="auto"/>
                    <w:bottom w:val="none" w:sz="0" w:space="0" w:color="auto"/>
                    <w:right w:val="none" w:sz="0" w:space="0" w:color="auto"/>
                  </w:divBdr>
                  <w:divsChild>
                    <w:div w:id="93013012">
                      <w:marLeft w:val="0"/>
                      <w:marRight w:val="0"/>
                      <w:marTop w:val="0"/>
                      <w:marBottom w:val="0"/>
                      <w:divBdr>
                        <w:top w:val="none" w:sz="0" w:space="0" w:color="auto"/>
                        <w:left w:val="none" w:sz="0" w:space="0" w:color="auto"/>
                        <w:bottom w:val="none" w:sz="0" w:space="0" w:color="auto"/>
                        <w:right w:val="none" w:sz="0" w:space="0" w:color="auto"/>
                      </w:divBdr>
                    </w:div>
                  </w:divsChild>
                </w:div>
                <w:div w:id="1311135274">
                  <w:marLeft w:val="0"/>
                  <w:marRight w:val="0"/>
                  <w:marTop w:val="0"/>
                  <w:marBottom w:val="0"/>
                  <w:divBdr>
                    <w:top w:val="none" w:sz="0" w:space="0" w:color="auto"/>
                    <w:left w:val="none" w:sz="0" w:space="0" w:color="auto"/>
                    <w:bottom w:val="none" w:sz="0" w:space="0" w:color="auto"/>
                    <w:right w:val="none" w:sz="0" w:space="0" w:color="auto"/>
                  </w:divBdr>
                  <w:divsChild>
                    <w:div w:id="1329138691">
                      <w:marLeft w:val="0"/>
                      <w:marRight w:val="0"/>
                      <w:marTop w:val="0"/>
                      <w:marBottom w:val="0"/>
                      <w:divBdr>
                        <w:top w:val="none" w:sz="0" w:space="0" w:color="auto"/>
                        <w:left w:val="none" w:sz="0" w:space="0" w:color="auto"/>
                        <w:bottom w:val="none" w:sz="0" w:space="0" w:color="auto"/>
                        <w:right w:val="none" w:sz="0" w:space="0" w:color="auto"/>
                      </w:divBdr>
                    </w:div>
                  </w:divsChild>
                </w:div>
                <w:div w:id="1521311931">
                  <w:marLeft w:val="0"/>
                  <w:marRight w:val="0"/>
                  <w:marTop w:val="0"/>
                  <w:marBottom w:val="0"/>
                  <w:divBdr>
                    <w:top w:val="none" w:sz="0" w:space="0" w:color="auto"/>
                    <w:left w:val="none" w:sz="0" w:space="0" w:color="auto"/>
                    <w:bottom w:val="none" w:sz="0" w:space="0" w:color="auto"/>
                    <w:right w:val="none" w:sz="0" w:space="0" w:color="auto"/>
                  </w:divBdr>
                  <w:divsChild>
                    <w:div w:id="1261794848">
                      <w:marLeft w:val="0"/>
                      <w:marRight w:val="0"/>
                      <w:marTop w:val="0"/>
                      <w:marBottom w:val="0"/>
                      <w:divBdr>
                        <w:top w:val="none" w:sz="0" w:space="0" w:color="auto"/>
                        <w:left w:val="none" w:sz="0" w:space="0" w:color="auto"/>
                        <w:bottom w:val="none" w:sz="0" w:space="0" w:color="auto"/>
                        <w:right w:val="none" w:sz="0" w:space="0" w:color="auto"/>
                      </w:divBdr>
                    </w:div>
                  </w:divsChild>
                </w:div>
                <w:div w:id="1623532069">
                  <w:marLeft w:val="0"/>
                  <w:marRight w:val="0"/>
                  <w:marTop w:val="0"/>
                  <w:marBottom w:val="0"/>
                  <w:divBdr>
                    <w:top w:val="none" w:sz="0" w:space="0" w:color="auto"/>
                    <w:left w:val="none" w:sz="0" w:space="0" w:color="auto"/>
                    <w:bottom w:val="none" w:sz="0" w:space="0" w:color="auto"/>
                    <w:right w:val="none" w:sz="0" w:space="0" w:color="auto"/>
                  </w:divBdr>
                  <w:divsChild>
                    <w:div w:id="9381640">
                      <w:marLeft w:val="0"/>
                      <w:marRight w:val="0"/>
                      <w:marTop w:val="0"/>
                      <w:marBottom w:val="0"/>
                      <w:divBdr>
                        <w:top w:val="none" w:sz="0" w:space="0" w:color="auto"/>
                        <w:left w:val="none" w:sz="0" w:space="0" w:color="auto"/>
                        <w:bottom w:val="none" w:sz="0" w:space="0" w:color="auto"/>
                        <w:right w:val="none" w:sz="0" w:space="0" w:color="auto"/>
                      </w:divBdr>
                    </w:div>
                  </w:divsChild>
                </w:div>
                <w:div w:id="1760060211">
                  <w:marLeft w:val="0"/>
                  <w:marRight w:val="0"/>
                  <w:marTop w:val="0"/>
                  <w:marBottom w:val="0"/>
                  <w:divBdr>
                    <w:top w:val="none" w:sz="0" w:space="0" w:color="auto"/>
                    <w:left w:val="none" w:sz="0" w:space="0" w:color="auto"/>
                    <w:bottom w:val="none" w:sz="0" w:space="0" w:color="auto"/>
                    <w:right w:val="none" w:sz="0" w:space="0" w:color="auto"/>
                  </w:divBdr>
                  <w:divsChild>
                    <w:div w:id="1482379643">
                      <w:marLeft w:val="0"/>
                      <w:marRight w:val="0"/>
                      <w:marTop w:val="0"/>
                      <w:marBottom w:val="0"/>
                      <w:divBdr>
                        <w:top w:val="none" w:sz="0" w:space="0" w:color="auto"/>
                        <w:left w:val="none" w:sz="0" w:space="0" w:color="auto"/>
                        <w:bottom w:val="none" w:sz="0" w:space="0" w:color="auto"/>
                        <w:right w:val="none" w:sz="0" w:space="0" w:color="auto"/>
                      </w:divBdr>
                    </w:div>
                  </w:divsChild>
                </w:div>
                <w:div w:id="1809976136">
                  <w:marLeft w:val="0"/>
                  <w:marRight w:val="0"/>
                  <w:marTop w:val="0"/>
                  <w:marBottom w:val="0"/>
                  <w:divBdr>
                    <w:top w:val="none" w:sz="0" w:space="0" w:color="auto"/>
                    <w:left w:val="none" w:sz="0" w:space="0" w:color="auto"/>
                    <w:bottom w:val="none" w:sz="0" w:space="0" w:color="auto"/>
                    <w:right w:val="none" w:sz="0" w:space="0" w:color="auto"/>
                  </w:divBdr>
                  <w:divsChild>
                    <w:div w:id="541669559">
                      <w:marLeft w:val="0"/>
                      <w:marRight w:val="0"/>
                      <w:marTop w:val="0"/>
                      <w:marBottom w:val="0"/>
                      <w:divBdr>
                        <w:top w:val="none" w:sz="0" w:space="0" w:color="auto"/>
                        <w:left w:val="none" w:sz="0" w:space="0" w:color="auto"/>
                        <w:bottom w:val="none" w:sz="0" w:space="0" w:color="auto"/>
                        <w:right w:val="none" w:sz="0" w:space="0" w:color="auto"/>
                      </w:divBdr>
                    </w:div>
                  </w:divsChild>
                </w:div>
                <w:div w:id="1914006101">
                  <w:marLeft w:val="0"/>
                  <w:marRight w:val="0"/>
                  <w:marTop w:val="0"/>
                  <w:marBottom w:val="0"/>
                  <w:divBdr>
                    <w:top w:val="none" w:sz="0" w:space="0" w:color="auto"/>
                    <w:left w:val="none" w:sz="0" w:space="0" w:color="auto"/>
                    <w:bottom w:val="none" w:sz="0" w:space="0" w:color="auto"/>
                    <w:right w:val="none" w:sz="0" w:space="0" w:color="auto"/>
                  </w:divBdr>
                  <w:divsChild>
                    <w:div w:id="8508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586458">
          <w:marLeft w:val="0"/>
          <w:marRight w:val="0"/>
          <w:marTop w:val="0"/>
          <w:marBottom w:val="0"/>
          <w:divBdr>
            <w:top w:val="none" w:sz="0" w:space="0" w:color="auto"/>
            <w:left w:val="none" w:sz="0" w:space="0" w:color="auto"/>
            <w:bottom w:val="none" w:sz="0" w:space="0" w:color="auto"/>
            <w:right w:val="none" w:sz="0" w:space="0" w:color="auto"/>
          </w:divBdr>
        </w:div>
        <w:div w:id="581985328">
          <w:marLeft w:val="0"/>
          <w:marRight w:val="0"/>
          <w:marTop w:val="0"/>
          <w:marBottom w:val="0"/>
          <w:divBdr>
            <w:top w:val="none" w:sz="0" w:space="0" w:color="auto"/>
            <w:left w:val="none" w:sz="0" w:space="0" w:color="auto"/>
            <w:bottom w:val="none" w:sz="0" w:space="0" w:color="auto"/>
            <w:right w:val="none" w:sz="0" w:space="0" w:color="auto"/>
          </w:divBdr>
        </w:div>
        <w:div w:id="607591778">
          <w:marLeft w:val="0"/>
          <w:marRight w:val="0"/>
          <w:marTop w:val="0"/>
          <w:marBottom w:val="0"/>
          <w:divBdr>
            <w:top w:val="none" w:sz="0" w:space="0" w:color="auto"/>
            <w:left w:val="none" w:sz="0" w:space="0" w:color="auto"/>
            <w:bottom w:val="none" w:sz="0" w:space="0" w:color="auto"/>
            <w:right w:val="none" w:sz="0" w:space="0" w:color="auto"/>
          </w:divBdr>
        </w:div>
        <w:div w:id="635334315">
          <w:marLeft w:val="0"/>
          <w:marRight w:val="0"/>
          <w:marTop w:val="0"/>
          <w:marBottom w:val="0"/>
          <w:divBdr>
            <w:top w:val="none" w:sz="0" w:space="0" w:color="auto"/>
            <w:left w:val="none" w:sz="0" w:space="0" w:color="auto"/>
            <w:bottom w:val="none" w:sz="0" w:space="0" w:color="auto"/>
            <w:right w:val="none" w:sz="0" w:space="0" w:color="auto"/>
          </w:divBdr>
        </w:div>
        <w:div w:id="654528669">
          <w:marLeft w:val="0"/>
          <w:marRight w:val="0"/>
          <w:marTop w:val="0"/>
          <w:marBottom w:val="0"/>
          <w:divBdr>
            <w:top w:val="none" w:sz="0" w:space="0" w:color="auto"/>
            <w:left w:val="none" w:sz="0" w:space="0" w:color="auto"/>
            <w:bottom w:val="none" w:sz="0" w:space="0" w:color="auto"/>
            <w:right w:val="none" w:sz="0" w:space="0" w:color="auto"/>
          </w:divBdr>
        </w:div>
        <w:div w:id="776027793">
          <w:marLeft w:val="0"/>
          <w:marRight w:val="0"/>
          <w:marTop w:val="0"/>
          <w:marBottom w:val="0"/>
          <w:divBdr>
            <w:top w:val="none" w:sz="0" w:space="0" w:color="auto"/>
            <w:left w:val="none" w:sz="0" w:space="0" w:color="auto"/>
            <w:bottom w:val="none" w:sz="0" w:space="0" w:color="auto"/>
            <w:right w:val="none" w:sz="0" w:space="0" w:color="auto"/>
          </w:divBdr>
          <w:divsChild>
            <w:div w:id="794369728">
              <w:marLeft w:val="-75"/>
              <w:marRight w:val="0"/>
              <w:marTop w:val="30"/>
              <w:marBottom w:val="30"/>
              <w:divBdr>
                <w:top w:val="none" w:sz="0" w:space="0" w:color="auto"/>
                <w:left w:val="none" w:sz="0" w:space="0" w:color="auto"/>
                <w:bottom w:val="none" w:sz="0" w:space="0" w:color="auto"/>
                <w:right w:val="none" w:sz="0" w:space="0" w:color="auto"/>
              </w:divBdr>
              <w:divsChild>
                <w:div w:id="42557806">
                  <w:marLeft w:val="0"/>
                  <w:marRight w:val="0"/>
                  <w:marTop w:val="0"/>
                  <w:marBottom w:val="0"/>
                  <w:divBdr>
                    <w:top w:val="none" w:sz="0" w:space="0" w:color="auto"/>
                    <w:left w:val="none" w:sz="0" w:space="0" w:color="auto"/>
                    <w:bottom w:val="none" w:sz="0" w:space="0" w:color="auto"/>
                    <w:right w:val="none" w:sz="0" w:space="0" w:color="auto"/>
                  </w:divBdr>
                  <w:divsChild>
                    <w:div w:id="1582450256">
                      <w:marLeft w:val="0"/>
                      <w:marRight w:val="0"/>
                      <w:marTop w:val="0"/>
                      <w:marBottom w:val="0"/>
                      <w:divBdr>
                        <w:top w:val="none" w:sz="0" w:space="0" w:color="auto"/>
                        <w:left w:val="none" w:sz="0" w:space="0" w:color="auto"/>
                        <w:bottom w:val="none" w:sz="0" w:space="0" w:color="auto"/>
                        <w:right w:val="none" w:sz="0" w:space="0" w:color="auto"/>
                      </w:divBdr>
                    </w:div>
                    <w:div w:id="1993366293">
                      <w:marLeft w:val="0"/>
                      <w:marRight w:val="0"/>
                      <w:marTop w:val="0"/>
                      <w:marBottom w:val="0"/>
                      <w:divBdr>
                        <w:top w:val="none" w:sz="0" w:space="0" w:color="auto"/>
                        <w:left w:val="none" w:sz="0" w:space="0" w:color="auto"/>
                        <w:bottom w:val="none" w:sz="0" w:space="0" w:color="auto"/>
                        <w:right w:val="none" w:sz="0" w:space="0" w:color="auto"/>
                      </w:divBdr>
                    </w:div>
                  </w:divsChild>
                </w:div>
                <w:div w:id="105581387">
                  <w:marLeft w:val="0"/>
                  <w:marRight w:val="0"/>
                  <w:marTop w:val="0"/>
                  <w:marBottom w:val="0"/>
                  <w:divBdr>
                    <w:top w:val="none" w:sz="0" w:space="0" w:color="auto"/>
                    <w:left w:val="none" w:sz="0" w:space="0" w:color="auto"/>
                    <w:bottom w:val="none" w:sz="0" w:space="0" w:color="auto"/>
                    <w:right w:val="none" w:sz="0" w:space="0" w:color="auto"/>
                  </w:divBdr>
                  <w:divsChild>
                    <w:div w:id="467866225">
                      <w:marLeft w:val="0"/>
                      <w:marRight w:val="0"/>
                      <w:marTop w:val="0"/>
                      <w:marBottom w:val="0"/>
                      <w:divBdr>
                        <w:top w:val="none" w:sz="0" w:space="0" w:color="auto"/>
                        <w:left w:val="none" w:sz="0" w:space="0" w:color="auto"/>
                        <w:bottom w:val="none" w:sz="0" w:space="0" w:color="auto"/>
                        <w:right w:val="none" w:sz="0" w:space="0" w:color="auto"/>
                      </w:divBdr>
                    </w:div>
                    <w:div w:id="1653098595">
                      <w:marLeft w:val="0"/>
                      <w:marRight w:val="0"/>
                      <w:marTop w:val="0"/>
                      <w:marBottom w:val="0"/>
                      <w:divBdr>
                        <w:top w:val="none" w:sz="0" w:space="0" w:color="auto"/>
                        <w:left w:val="none" w:sz="0" w:space="0" w:color="auto"/>
                        <w:bottom w:val="none" w:sz="0" w:space="0" w:color="auto"/>
                        <w:right w:val="none" w:sz="0" w:space="0" w:color="auto"/>
                      </w:divBdr>
                    </w:div>
                  </w:divsChild>
                </w:div>
                <w:div w:id="212350250">
                  <w:marLeft w:val="0"/>
                  <w:marRight w:val="0"/>
                  <w:marTop w:val="0"/>
                  <w:marBottom w:val="0"/>
                  <w:divBdr>
                    <w:top w:val="none" w:sz="0" w:space="0" w:color="auto"/>
                    <w:left w:val="none" w:sz="0" w:space="0" w:color="auto"/>
                    <w:bottom w:val="none" w:sz="0" w:space="0" w:color="auto"/>
                    <w:right w:val="none" w:sz="0" w:space="0" w:color="auto"/>
                  </w:divBdr>
                  <w:divsChild>
                    <w:div w:id="1688677122">
                      <w:marLeft w:val="0"/>
                      <w:marRight w:val="0"/>
                      <w:marTop w:val="0"/>
                      <w:marBottom w:val="0"/>
                      <w:divBdr>
                        <w:top w:val="none" w:sz="0" w:space="0" w:color="auto"/>
                        <w:left w:val="none" w:sz="0" w:space="0" w:color="auto"/>
                        <w:bottom w:val="none" w:sz="0" w:space="0" w:color="auto"/>
                        <w:right w:val="none" w:sz="0" w:space="0" w:color="auto"/>
                      </w:divBdr>
                    </w:div>
                  </w:divsChild>
                </w:div>
                <w:div w:id="237711236">
                  <w:marLeft w:val="0"/>
                  <w:marRight w:val="0"/>
                  <w:marTop w:val="0"/>
                  <w:marBottom w:val="0"/>
                  <w:divBdr>
                    <w:top w:val="none" w:sz="0" w:space="0" w:color="auto"/>
                    <w:left w:val="none" w:sz="0" w:space="0" w:color="auto"/>
                    <w:bottom w:val="none" w:sz="0" w:space="0" w:color="auto"/>
                    <w:right w:val="none" w:sz="0" w:space="0" w:color="auto"/>
                  </w:divBdr>
                  <w:divsChild>
                    <w:div w:id="1194152509">
                      <w:marLeft w:val="0"/>
                      <w:marRight w:val="0"/>
                      <w:marTop w:val="0"/>
                      <w:marBottom w:val="0"/>
                      <w:divBdr>
                        <w:top w:val="none" w:sz="0" w:space="0" w:color="auto"/>
                        <w:left w:val="none" w:sz="0" w:space="0" w:color="auto"/>
                        <w:bottom w:val="none" w:sz="0" w:space="0" w:color="auto"/>
                        <w:right w:val="none" w:sz="0" w:space="0" w:color="auto"/>
                      </w:divBdr>
                    </w:div>
                    <w:div w:id="1449275871">
                      <w:marLeft w:val="0"/>
                      <w:marRight w:val="0"/>
                      <w:marTop w:val="0"/>
                      <w:marBottom w:val="0"/>
                      <w:divBdr>
                        <w:top w:val="none" w:sz="0" w:space="0" w:color="auto"/>
                        <w:left w:val="none" w:sz="0" w:space="0" w:color="auto"/>
                        <w:bottom w:val="none" w:sz="0" w:space="0" w:color="auto"/>
                        <w:right w:val="none" w:sz="0" w:space="0" w:color="auto"/>
                      </w:divBdr>
                    </w:div>
                  </w:divsChild>
                </w:div>
                <w:div w:id="320623666">
                  <w:marLeft w:val="0"/>
                  <w:marRight w:val="0"/>
                  <w:marTop w:val="0"/>
                  <w:marBottom w:val="0"/>
                  <w:divBdr>
                    <w:top w:val="none" w:sz="0" w:space="0" w:color="auto"/>
                    <w:left w:val="none" w:sz="0" w:space="0" w:color="auto"/>
                    <w:bottom w:val="none" w:sz="0" w:space="0" w:color="auto"/>
                    <w:right w:val="none" w:sz="0" w:space="0" w:color="auto"/>
                  </w:divBdr>
                  <w:divsChild>
                    <w:div w:id="521550750">
                      <w:marLeft w:val="0"/>
                      <w:marRight w:val="0"/>
                      <w:marTop w:val="0"/>
                      <w:marBottom w:val="0"/>
                      <w:divBdr>
                        <w:top w:val="none" w:sz="0" w:space="0" w:color="auto"/>
                        <w:left w:val="none" w:sz="0" w:space="0" w:color="auto"/>
                        <w:bottom w:val="none" w:sz="0" w:space="0" w:color="auto"/>
                        <w:right w:val="none" w:sz="0" w:space="0" w:color="auto"/>
                      </w:divBdr>
                    </w:div>
                    <w:div w:id="600337426">
                      <w:marLeft w:val="0"/>
                      <w:marRight w:val="0"/>
                      <w:marTop w:val="0"/>
                      <w:marBottom w:val="0"/>
                      <w:divBdr>
                        <w:top w:val="none" w:sz="0" w:space="0" w:color="auto"/>
                        <w:left w:val="none" w:sz="0" w:space="0" w:color="auto"/>
                        <w:bottom w:val="none" w:sz="0" w:space="0" w:color="auto"/>
                        <w:right w:val="none" w:sz="0" w:space="0" w:color="auto"/>
                      </w:divBdr>
                    </w:div>
                  </w:divsChild>
                </w:div>
                <w:div w:id="344089693">
                  <w:marLeft w:val="0"/>
                  <w:marRight w:val="0"/>
                  <w:marTop w:val="0"/>
                  <w:marBottom w:val="0"/>
                  <w:divBdr>
                    <w:top w:val="none" w:sz="0" w:space="0" w:color="auto"/>
                    <w:left w:val="none" w:sz="0" w:space="0" w:color="auto"/>
                    <w:bottom w:val="none" w:sz="0" w:space="0" w:color="auto"/>
                    <w:right w:val="none" w:sz="0" w:space="0" w:color="auto"/>
                  </w:divBdr>
                  <w:divsChild>
                    <w:div w:id="702751043">
                      <w:marLeft w:val="0"/>
                      <w:marRight w:val="0"/>
                      <w:marTop w:val="0"/>
                      <w:marBottom w:val="0"/>
                      <w:divBdr>
                        <w:top w:val="none" w:sz="0" w:space="0" w:color="auto"/>
                        <w:left w:val="none" w:sz="0" w:space="0" w:color="auto"/>
                        <w:bottom w:val="none" w:sz="0" w:space="0" w:color="auto"/>
                        <w:right w:val="none" w:sz="0" w:space="0" w:color="auto"/>
                      </w:divBdr>
                    </w:div>
                    <w:div w:id="953558487">
                      <w:marLeft w:val="0"/>
                      <w:marRight w:val="0"/>
                      <w:marTop w:val="0"/>
                      <w:marBottom w:val="0"/>
                      <w:divBdr>
                        <w:top w:val="none" w:sz="0" w:space="0" w:color="auto"/>
                        <w:left w:val="none" w:sz="0" w:space="0" w:color="auto"/>
                        <w:bottom w:val="none" w:sz="0" w:space="0" w:color="auto"/>
                        <w:right w:val="none" w:sz="0" w:space="0" w:color="auto"/>
                      </w:divBdr>
                    </w:div>
                  </w:divsChild>
                </w:div>
                <w:div w:id="401106214">
                  <w:marLeft w:val="0"/>
                  <w:marRight w:val="0"/>
                  <w:marTop w:val="0"/>
                  <w:marBottom w:val="0"/>
                  <w:divBdr>
                    <w:top w:val="none" w:sz="0" w:space="0" w:color="auto"/>
                    <w:left w:val="none" w:sz="0" w:space="0" w:color="auto"/>
                    <w:bottom w:val="none" w:sz="0" w:space="0" w:color="auto"/>
                    <w:right w:val="none" w:sz="0" w:space="0" w:color="auto"/>
                  </w:divBdr>
                  <w:divsChild>
                    <w:div w:id="309402933">
                      <w:marLeft w:val="0"/>
                      <w:marRight w:val="0"/>
                      <w:marTop w:val="0"/>
                      <w:marBottom w:val="0"/>
                      <w:divBdr>
                        <w:top w:val="none" w:sz="0" w:space="0" w:color="auto"/>
                        <w:left w:val="none" w:sz="0" w:space="0" w:color="auto"/>
                        <w:bottom w:val="none" w:sz="0" w:space="0" w:color="auto"/>
                        <w:right w:val="none" w:sz="0" w:space="0" w:color="auto"/>
                      </w:divBdr>
                    </w:div>
                    <w:div w:id="2102136550">
                      <w:marLeft w:val="0"/>
                      <w:marRight w:val="0"/>
                      <w:marTop w:val="0"/>
                      <w:marBottom w:val="0"/>
                      <w:divBdr>
                        <w:top w:val="none" w:sz="0" w:space="0" w:color="auto"/>
                        <w:left w:val="none" w:sz="0" w:space="0" w:color="auto"/>
                        <w:bottom w:val="none" w:sz="0" w:space="0" w:color="auto"/>
                        <w:right w:val="none" w:sz="0" w:space="0" w:color="auto"/>
                      </w:divBdr>
                    </w:div>
                  </w:divsChild>
                </w:div>
                <w:div w:id="446580101">
                  <w:marLeft w:val="0"/>
                  <w:marRight w:val="0"/>
                  <w:marTop w:val="0"/>
                  <w:marBottom w:val="0"/>
                  <w:divBdr>
                    <w:top w:val="none" w:sz="0" w:space="0" w:color="auto"/>
                    <w:left w:val="none" w:sz="0" w:space="0" w:color="auto"/>
                    <w:bottom w:val="none" w:sz="0" w:space="0" w:color="auto"/>
                    <w:right w:val="none" w:sz="0" w:space="0" w:color="auto"/>
                  </w:divBdr>
                  <w:divsChild>
                    <w:div w:id="1401248041">
                      <w:marLeft w:val="0"/>
                      <w:marRight w:val="0"/>
                      <w:marTop w:val="0"/>
                      <w:marBottom w:val="0"/>
                      <w:divBdr>
                        <w:top w:val="none" w:sz="0" w:space="0" w:color="auto"/>
                        <w:left w:val="none" w:sz="0" w:space="0" w:color="auto"/>
                        <w:bottom w:val="none" w:sz="0" w:space="0" w:color="auto"/>
                        <w:right w:val="none" w:sz="0" w:space="0" w:color="auto"/>
                      </w:divBdr>
                    </w:div>
                  </w:divsChild>
                </w:div>
                <w:div w:id="461919962">
                  <w:marLeft w:val="0"/>
                  <w:marRight w:val="0"/>
                  <w:marTop w:val="0"/>
                  <w:marBottom w:val="0"/>
                  <w:divBdr>
                    <w:top w:val="none" w:sz="0" w:space="0" w:color="auto"/>
                    <w:left w:val="none" w:sz="0" w:space="0" w:color="auto"/>
                    <w:bottom w:val="none" w:sz="0" w:space="0" w:color="auto"/>
                    <w:right w:val="none" w:sz="0" w:space="0" w:color="auto"/>
                  </w:divBdr>
                  <w:divsChild>
                    <w:div w:id="503210871">
                      <w:marLeft w:val="0"/>
                      <w:marRight w:val="0"/>
                      <w:marTop w:val="0"/>
                      <w:marBottom w:val="0"/>
                      <w:divBdr>
                        <w:top w:val="none" w:sz="0" w:space="0" w:color="auto"/>
                        <w:left w:val="none" w:sz="0" w:space="0" w:color="auto"/>
                        <w:bottom w:val="none" w:sz="0" w:space="0" w:color="auto"/>
                        <w:right w:val="none" w:sz="0" w:space="0" w:color="auto"/>
                      </w:divBdr>
                    </w:div>
                    <w:div w:id="2146729059">
                      <w:marLeft w:val="0"/>
                      <w:marRight w:val="0"/>
                      <w:marTop w:val="0"/>
                      <w:marBottom w:val="0"/>
                      <w:divBdr>
                        <w:top w:val="none" w:sz="0" w:space="0" w:color="auto"/>
                        <w:left w:val="none" w:sz="0" w:space="0" w:color="auto"/>
                        <w:bottom w:val="none" w:sz="0" w:space="0" w:color="auto"/>
                        <w:right w:val="none" w:sz="0" w:space="0" w:color="auto"/>
                      </w:divBdr>
                    </w:div>
                  </w:divsChild>
                </w:div>
                <w:div w:id="526410703">
                  <w:marLeft w:val="0"/>
                  <w:marRight w:val="0"/>
                  <w:marTop w:val="0"/>
                  <w:marBottom w:val="0"/>
                  <w:divBdr>
                    <w:top w:val="none" w:sz="0" w:space="0" w:color="auto"/>
                    <w:left w:val="none" w:sz="0" w:space="0" w:color="auto"/>
                    <w:bottom w:val="none" w:sz="0" w:space="0" w:color="auto"/>
                    <w:right w:val="none" w:sz="0" w:space="0" w:color="auto"/>
                  </w:divBdr>
                  <w:divsChild>
                    <w:div w:id="615020883">
                      <w:marLeft w:val="0"/>
                      <w:marRight w:val="0"/>
                      <w:marTop w:val="0"/>
                      <w:marBottom w:val="0"/>
                      <w:divBdr>
                        <w:top w:val="none" w:sz="0" w:space="0" w:color="auto"/>
                        <w:left w:val="none" w:sz="0" w:space="0" w:color="auto"/>
                        <w:bottom w:val="none" w:sz="0" w:space="0" w:color="auto"/>
                        <w:right w:val="none" w:sz="0" w:space="0" w:color="auto"/>
                      </w:divBdr>
                    </w:div>
                    <w:div w:id="763066908">
                      <w:marLeft w:val="0"/>
                      <w:marRight w:val="0"/>
                      <w:marTop w:val="0"/>
                      <w:marBottom w:val="0"/>
                      <w:divBdr>
                        <w:top w:val="none" w:sz="0" w:space="0" w:color="auto"/>
                        <w:left w:val="none" w:sz="0" w:space="0" w:color="auto"/>
                        <w:bottom w:val="none" w:sz="0" w:space="0" w:color="auto"/>
                        <w:right w:val="none" w:sz="0" w:space="0" w:color="auto"/>
                      </w:divBdr>
                    </w:div>
                  </w:divsChild>
                </w:div>
                <w:div w:id="528571910">
                  <w:marLeft w:val="0"/>
                  <w:marRight w:val="0"/>
                  <w:marTop w:val="0"/>
                  <w:marBottom w:val="0"/>
                  <w:divBdr>
                    <w:top w:val="none" w:sz="0" w:space="0" w:color="auto"/>
                    <w:left w:val="none" w:sz="0" w:space="0" w:color="auto"/>
                    <w:bottom w:val="none" w:sz="0" w:space="0" w:color="auto"/>
                    <w:right w:val="none" w:sz="0" w:space="0" w:color="auto"/>
                  </w:divBdr>
                  <w:divsChild>
                    <w:div w:id="319311063">
                      <w:marLeft w:val="0"/>
                      <w:marRight w:val="0"/>
                      <w:marTop w:val="0"/>
                      <w:marBottom w:val="0"/>
                      <w:divBdr>
                        <w:top w:val="none" w:sz="0" w:space="0" w:color="auto"/>
                        <w:left w:val="none" w:sz="0" w:space="0" w:color="auto"/>
                        <w:bottom w:val="none" w:sz="0" w:space="0" w:color="auto"/>
                        <w:right w:val="none" w:sz="0" w:space="0" w:color="auto"/>
                      </w:divBdr>
                    </w:div>
                    <w:div w:id="1980720696">
                      <w:marLeft w:val="0"/>
                      <w:marRight w:val="0"/>
                      <w:marTop w:val="0"/>
                      <w:marBottom w:val="0"/>
                      <w:divBdr>
                        <w:top w:val="none" w:sz="0" w:space="0" w:color="auto"/>
                        <w:left w:val="none" w:sz="0" w:space="0" w:color="auto"/>
                        <w:bottom w:val="none" w:sz="0" w:space="0" w:color="auto"/>
                        <w:right w:val="none" w:sz="0" w:space="0" w:color="auto"/>
                      </w:divBdr>
                    </w:div>
                  </w:divsChild>
                </w:div>
                <w:div w:id="640840873">
                  <w:marLeft w:val="0"/>
                  <w:marRight w:val="0"/>
                  <w:marTop w:val="0"/>
                  <w:marBottom w:val="0"/>
                  <w:divBdr>
                    <w:top w:val="none" w:sz="0" w:space="0" w:color="auto"/>
                    <w:left w:val="none" w:sz="0" w:space="0" w:color="auto"/>
                    <w:bottom w:val="none" w:sz="0" w:space="0" w:color="auto"/>
                    <w:right w:val="none" w:sz="0" w:space="0" w:color="auto"/>
                  </w:divBdr>
                  <w:divsChild>
                    <w:div w:id="148911826">
                      <w:marLeft w:val="0"/>
                      <w:marRight w:val="0"/>
                      <w:marTop w:val="0"/>
                      <w:marBottom w:val="0"/>
                      <w:divBdr>
                        <w:top w:val="none" w:sz="0" w:space="0" w:color="auto"/>
                        <w:left w:val="none" w:sz="0" w:space="0" w:color="auto"/>
                        <w:bottom w:val="none" w:sz="0" w:space="0" w:color="auto"/>
                        <w:right w:val="none" w:sz="0" w:space="0" w:color="auto"/>
                      </w:divBdr>
                    </w:div>
                    <w:div w:id="875892273">
                      <w:marLeft w:val="0"/>
                      <w:marRight w:val="0"/>
                      <w:marTop w:val="0"/>
                      <w:marBottom w:val="0"/>
                      <w:divBdr>
                        <w:top w:val="none" w:sz="0" w:space="0" w:color="auto"/>
                        <w:left w:val="none" w:sz="0" w:space="0" w:color="auto"/>
                        <w:bottom w:val="none" w:sz="0" w:space="0" w:color="auto"/>
                        <w:right w:val="none" w:sz="0" w:space="0" w:color="auto"/>
                      </w:divBdr>
                    </w:div>
                  </w:divsChild>
                </w:div>
                <w:div w:id="739593941">
                  <w:marLeft w:val="0"/>
                  <w:marRight w:val="0"/>
                  <w:marTop w:val="0"/>
                  <w:marBottom w:val="0"/>
                  <w:divBdr>
                    <w:top w:val="none" w:sz="0" w:space="0" w:color="auto"/>
                    <w:left w:val="none" w:sz="0" w:space="0" w:color="auto"/>
                    <w:bottom w:val="none" w:sz="0" w:space="0" w:color="auto"/>
                    <w:right w:val="none" w:sz="0" w:space="0" w:color="auto"/>
                  </w:divBdr>
                  <w:divsChild>
                    <w:div w:id="734860250">
                      <w:marLeft w:val="0"/>
                      <w:marRight w:val="0"/>
                      <w:marTop w:val="0"/>
                      <w:marBottom w:val="0"/>
                      <w:divBdr>
                        <w:top w:val="none" w:sz="0" w:space="0" w:color="auto"/>
                        <w:left w:val="none" w:sz="0" w:space="0" w:color="auto"/>
                        <w:bottom w:val="none" w:sz="0" w:space="0" w:color="auto"/>
                        <w:right w:val="none" w:sz="0" w:space="0" w:color="auto"/>
                      </w:divBdr>
                    </w:div>
                    <w:div w:id="1705398462">
                      <w:marLeft w:val="0"/>
                      <w:marRight w:val="0"/>
                      <w:marTop w:val="0"/>
                      <w:marBottom w:val="0"/>
                      <w:divBdr>
                        <w:top w:val="none" w:sz="0" w:space="0" w:color="auto"/>
                        <w:left w:val="none" w:sz="0" w:space="0" w:color="auto"/>
                        <w:bottom w:val="none" w:sz="0" w:space="0" w:color="auto"/>
                        <w:right w:val="none" w:sz="0" w:space="0" w:color="auto"/>
                      </w:divBdr>
                    </w:div>
                  </w:divsChild>
                </w:div>
                <w:div w:id="742262621">
                  <w:marLeft w:val="0"/>
                  <w:marRight w:val="0"/>
                  <w:marTop w:val="0"/>
                  <w:marBottom w:val="0"/>
                  <w:divBdr>
                    <w:top w:val="none" w:sz="0" w:space="0" w:color="auto"/>
                    <w:left w:val="none" w:sz="0" w:space="0" w:color="auto"/>
                    <w:bottom w:val="none" w:sz="0" w:space="0" w:color="auto"/>
                    <w:right w:val="none" w:sz="0" w:space="0" w:color="auto"/>
                  </w:divBdr>
                  <w:divsChild>
                    <w:div w:id="1230649359">
                      <w:marLeft w:val="0"/>
                      <w:marRight w:val="0"/>
                      <w:marTop w:val="0"/>
                      <w:marBottom w:val="0"/>
                      <w:divBdr>
                        <w:top w:val="none" w:sz="0" w:space="0" w:color="auto"/>
                        <w:left w:val="none" w:sz="0" w:space="0" w:color="auto"/>
                        <w:bottom w:val="none" w:sz="0" w:space="0" w:color="auto"/>
                        <w:right w:val="none" w:sz="0" w:space="0" w:color="auto"/>
                      </w:divBdr>
                    </w:div>
                  </w:divsChild>
                </w:div>
                <w:div w:id="781144703">
                  <w:marLeft w:val="0"/>
                  <w:marRight w:val="0"/>
                  <w:marTop w:val="0"/>
                  <w:marBottom w:val="0"/>
                  <w:divBdr>
                    <w:top w:val="none" w:sz="0" w:space="0" w:color="auto"/>
                    <w:left w:val="none" w:sz="0" w:space="0" w:color="auto"/>
                    <w:bottom w:val="none" w:sz="0" w:space="0" w:color="auto"/>
                    <w:right w:val="none" w:sz="0" w:space="0" w:color="auto"/>
                  </w:divBdr>
                  <w:divsChild>
                    <w:div w:id="1264263008">
                      <w:marLeft w:val="0"/>
                      <w:marRight w:val="0"/>
                      <w:marTop w:val="0"/>
                      <w:marBottom w:val="0"/>
                      <w:divBdr>
                        <w:top w:val="none" w:sz="0" w:space="0" w:color="auto"/>
                        <w:left w:val="none" w:sz="0" w:space="0" w:color="auto"/>
                        <w:bottom w:val="none" w:sz="0" w:space="0" w:color="auto"/>
                        <w:right w:val="none" w:sz="0" w:space="0" w:color="auto"/>
                      </w:divBdr>
                    </w:div>
                  </w:divsChild>
                </w:div>
                <w:div w:id="785349664">
                  <w:marLeft w:val="0"/>
                  <w:marRight w:val="0"/>
                  <w:marTop w:val="0"/>
                  <w:marBottom w:val="0"/>
                  <w:divBdr>
                    <w:top w:val="none" w:sz="0" w:space="0" w:color="auto"/>
                    <w:left w:val="none" w:sz="0" w:space="0" w:color="auto"/>
                    <w:bottom w:val="none" w:sz="0" w:space="0" w:color="auto"/>
                    <w:right w:val="none" w:sz="0" w:space="0" w:color="auto"/>
                  </w:divBdr>
                  <w:divsChild>
                    <w:div w:id="1517036442">
                      <w:marLeft w:val="0"/>
                      <w:marRight w:val="0"/>
                      <w:marTop w:val="0"/>
                      <w:marBottom w:val="0"/>
                      <w:divBdr>
                        <w:top w:val="none" w:sz="0" w:space="0" w:color="auto"/>
                        <w:left w:val="none" w:sz="0" w:space="0" w:color="auto"/>
                        <w:bottom w:val="none" w:sz="0" w:space="0" w:color="auto"/>
                        <w:right w:val="none" w:sz="0" w:space="0" w:color="auto"/>
                      </w:divBdr>
                    </w:div>
                    <w:div w:id="1759786926">
                      <w:marLeft w:val="0"/>
                      <w:marRight w:val="0"/>
                      <w:marTop w:val="0"/>
                      <w:marBottom w:val="0"/>
                      <w:divBdr>
                        <w:top w:val="none" w:sz="0" w:space="0" w:color="auto"/>
                        <w:left w:val="none" w:sz="0" w:space="0" w:color="auto"/>
                        <w:bottom w:val="none" w:sz="0" w:space="0" w:color="auto"/>
                        <w:right w:val="none" w:sz="0" w:space="0" w:color="auto"/>
                      </w:divBdr>
                    </w:div>
                  </w:divsChild>
                </w:div>
                <w:div w:id="913975237">
                  <w:marLeft w:val="0"/>
                  <w:marRight w:val="0"/>
                  <w:marTop w:val="0"/>
                  <w:marBottom w:val="0"/>
                  <w:divBdr>
                    <w:top w:val="none" w:sz="0" w:space="0" w:color="auto"/>
                    <w:left w:val="none" w:sz="0" w:space="0" w:color="auto"/>
                    <w:bottom w:val="none" w:sz="0" w:space="0" w:color="auto"/>
                    <w:right w:val="none" w:sz="0" w:space="0" w:color="auto"/>
                  </w:divBdr>
                  <w:divsChild>
                    <w:div w:id="108816513">
                      <w:marLeft w:val="0"/>
                      <w:marRight w:val="0"/>
                      <w:marTop w:val="0"/>
                      <w:marBottom w:val="0"/>
                      <w:divBdr>
                        <w:top w:val="none" w:sz="0" w:space="0" w:color="auto"/>
                        <w:left w:val="none" w:sz="0" w:space="0" w:color="auto"/>
                        <w:bottom w:val="none" w:sz="0" w:space="0" w:color="auto"/>
                        <w:right w:val="none" w:sz="0" w:space="0" w:color="auto"/>
                      </w:divBdr>
                    </w:div>
                    <w:div w:id="596987943">
                      <w:marLeft w:val="0"/>
                      <w:marRight w:val="0"/>
                      <w:marTop w:val="0"/>
                      <w:marBottom w:val="0"/>
                      <w:divBdr>
                        <w:top w:val="none" w:sz="0" w:space="0" w:color="auto"/>
                        <w:left w:val="none" w:sz="0" w:space="0" w:color="auto"/>
                        <w:bottom w:val="none" w:sz="0" w:space="0" w:color="auto"/>
                        <w:right w:val="none" w:sz="0" w:space="0" w:color="auto"/>
                      </w:divBdr>
                    </w:div>
                  </w:divsChild>
                </w:div>
                <w:div w:id="940139381">
                  <w:marLeft w:val="0"/>
                  <w:marRight w:val="0"/>
                  <w:marTop w:val="0"/>
                  <w:marBottom w:val="0"/>
                  <w:divBdr>
                    <w:top w:val="none" w:sz="0" w:space="0" w:color="auto"/>
                    <w:left w:val="none" w:sz="0" w:space="0" w:color="auto"/>
                    <w:bottom w:val="none" w:sz="0" w:space="0" w:color="auto"/>
                    <w:right w:val="none" w:sz="0" w:space="0" w:color="auto"/>
                  </w:divBdr>
                  <w:divsChild>
                    <w:div w:id="258371336">
                      <w:marLeft w:val="0"/>
                      <w:marRight w:val="0"/>
                      <w:marTop w:val="0"/>
                      <w:marBottom w:val="0"/>
                      <w:divBdr>
                        <w:top w:val="none" w:sz="0" w:space="0" w:color="auto"/>
                        <w:left w:val="none" w:sz="0" w:space="0" w:color="auto"/>
                        <w:bottom w:val="none" w:sz="0" w:space="0" w:color="auto"/>
                        <w:right w:val="none" w:sz="0" w:space="0" w:color="auto"/>
                      </w:divBdr>
                    </w:div>
                  </w:divsChild>
                </w:div>
                <w:div w:id="942998465">
                  <w:marLeft w:val="0"/>
                  <w:marRight w:val="0"/>
                  <w:marTop w:val="0"/>
                  <w:marBottom w:val="0"/>
                  <w:divBdr>
                    <w:top w:val="none" w:sz="0" w:space="0" w:color="auto"/>
                    <w:left w:val="none" w:sz="0" w:space="0" w:color="auto"/>
                    <w:bottom w:val="none" w:sz="0" w:space="0" w:color="auto"/>
                    <w:right w:val="none" w:sz="0" w:space="0" w:color="auto"/>
                  </w:divBdr>
                  <w:divsChild>
                    <w:div w:id="2095006132">
                      <w:marLeft w:val="0"/>
                      <w:marRight w:val="0"/>
                      <w:marTop w:val="0"/>
                      <w:marBottom w:val="0"/>
                      <w:divBdr>
                        <w:top w:val="none" w:sz="0" w:space="0" w:color="auto"/>
                        <w:left w:val="none" w:sz="0" w:space="0" w:color="auto"/>
                        <w:bottom w:val="none" w:sz="0" w:space="0" w:color="auto"/>
                        <w:right w:val="none" w:sz="0" w:space="0" w:color="auto"/>
                      </w:divBdr>
                    </w:div>
                  </w:divsChild>
                </w:div>
                <w:div w:id="1081176273">
                  <w:marLeft w:val="0"/>
                  <w:marRight w:val="0"/>
                  <w:marTop w:val="0"/>
                  <w:marBottom w:val="0"/>
                  <w:divBdr>
                    <w:top w:val="none" w:sz="0" w:space="0" w:color="auto"/>
                    <w:left w:val="none" w:sz="0" w:space="0" w:color="auto"/>
                    <w:bottom w:val="none" w:sz="0" w:space="0" w:color="auto"/>
                    <w:right w:val="none" w:sz="0" w:space="0" w:color="auto"/>
                  </w:divBdr>
                  <w:divsChild>
                    <w:div w:id="894702615">
                      <w:marLeft w:val="0"/>
                      <w:marRight w:val="0"/>
                      <w:marTop w:val="0"/>
                      <w:marBottom w:val="0"/>
                      <w:divBdr>
                        <w:top w:val="none" w:sz="0" w:space="0" w:color="auto"/>
                        <w:left w:val="none" w:sz="0" w:space="0" w:color="auto"/>
                        <w:bottom w:val="none" w:sz="0" w:space="0" w:color="auto"/>
                        <w:right w:val="none" w:sz="0" w:space="0" w:color="auto"/>
                      </w:divBdr>
                    </w:div>
                  </w:divsChild>
                </w:div>
                <w:div w:id="1312833228">
                  <w:marLeft w:val="0"/>
                  <w:marRight w:val="0"/>
                  <w:marTop w:val="0"/>
                  <w:marBottom w:val="0"/>
                  <w:divBdr>
                    <w:top w:val="none" w:sz="0" w:space="0" w:color="auto"/>
                    <w:left w:val="none" w:sz="0" w:space="0" w:color="auto"/>
                    <w:bottom w:val="none" w:sz="0" w:space="0" w:color="auto"/>
                    <w:right w:val="none" w:sz="0" w:space="0" w:color="auto"/>
                  </w:divBdr>
                  <w:divsChild>
                    <w:div w:id="562526025">
                      <w:marLeft w:val="0"/>
                      <w:marRight w:val="0"/>
                      <w:marTop w:val="0"/>
                      <w:marBottom w:val="0"/>
                      <w:divBdr>
                        <w:top w:val="none" w:sz="0" w:space="0" w:color="auto"/>
                        <w:left w:val="none" w:sz="0" w:space="0" w:color="auto"/>
                        <w:bottom w:val="none" w:sz="0" w:space="0" w:color="auto"/>
                        <w:right w:val="none" w:sz="0" w:space="0" w:color="auto"/>
                      </w:divBdr>
                    </w:div>
                  </w:divsChild>
                </w:div>
                <w:div w:id="1358041812">
                  <w:marLeft w:val="0"/>
                  <w:marRight w:val="0"/>
                  <w:marTop w:val="0"/>
                  <w:marBottom w:val="0"/>
                  <w:divBdr>
                    <w:top w:val="none" w:sz="0" w:space="0" w:color="auto"/>
                    <w:left w:val="none" w:sz="0" w:space="0" w:color="auto"/>
                    <w:bottom w:val="none" w:sz="0" w:space="0" w:color="auto"/>
                    <w:right w:val="none" w:sz="0" w:space="0" w:color="auto"/>
                  </w:divBdr>
                  <w:divsChild>
                    <w:div w:id="1709184842">
                      <w:marLeft w:val="0"/>
                      <w:marRight w:val="0"/>
                      <w:marTop w:val="0"/>
                      <w:marBottom w:val="0"/>
                      <w:divBdr>
                        <w:top w:val="none" w:sz="0" w:space="0" w:color="auto"/>
                        <w:left w:val="none" w:sz="0" w:space="0" w:color="auto"/>
                        <w:bottom w:val="none" w:sz="0" w:space="0" w:color="auto"/>
                        <w:right w:val="none" w:sz="0" w:space="0" w:color="auto"/>
                      </w:divBdr>
                    </w:div>
                    <w:div w:id="1968930210">
                      <w:marLeft w:val="0"/>
                      <w:marRight w:val="0"/>
                      <w:marTop w:val="0"/>
                      <w:marBottom w:val="0"/>
                      <w:divBdr>
                        <w:top w:val="none" w:sz="0" w:space="0" w:color="auto"/>
                        <w:left w:val="none" w:sz="0" w:space="0" w:color="auto"/>
                        <w:bottom w:val="none" w:sz="0" w:space="0" w:color="auto"/>
                        <w:right w:val="none" w:sz="0" w:space="0" w:color="auto"/>
                      </w:divBdr>
                    </w:div>
                  </w:divsChild>
                </w:div>
                <w:div w:id="1364096153">
                  <w:marLeft w:val="0"/>
                  <w:marRight w:val="0"/>
                  <w:marTop w:val="0"/>
                  <w:marBottom w:val="0"/>
                  <w:divBdr>
                    <w:top w:val="none" w:sz="0" w:space="0" w:color="auto"/>
                    <w:left w:val="none" w:sz="0" w:space="0" w:color="auto"/>
                    <w:bottom w:val="none" w:sz="0" w:space="0" w:color="auto"/>
                    <w:right w:val="none" w:sz="0" w:space="0" w:color="auto"/>
                  </w:divBdr>
                  <w:divsChild>
                    <w:div w:id="1581871588">
                      <w:marLeft w:val="0"/>
                      <w:marRight w:val="0"/>
                      <w:marTop w:val="0"/>
                      <w:marBottom w:val="0"/>
                      <w:divBdr>
                        <w:top w:val="none" w:sz="0" w:space="0" w:color="auto"/>
                        <w:left w:val="none" w:sz="0" w:space="0" w:color="auto"/>
                        <w:bottom w:val="none" w:sz="0" w:space="0" w:color="auto"/>
                        <w:right w:val="none" w:sz="0" w:space="0" w:color="auto"/>
                      </w:divBdr>
                    </w:div>
                    <w:div w:id="1897349427">
                      <w:marLeft w:val="0"/>
                      <w:marRight w:val="0"/>
                      <w:marTop w:val="0"/>
                      <w:marBottom w:val="0"/>
                      <w:divBdr>
                        <w:top w:val="none" w:sz="0" w:space="0" w:color="auto"/>
                        <w:left w:val="none" w:sz="0" w:space="0" w:color="auto"/>
                        <w:bottom w:val="none" w:sz="0" w:space="0" w:color="auto"/>
                        <w:right w:val="none" w:sz="0" w:space="0" w:color="auto"/>
                      </w:divBdr>
                    </w:div>
                  </w:divsChild>
                </w:div>
                <w:div w:id="1429471882">
                  <w:marLeft w:val="0"/>
                  <w:marRight w:val="0"/>
                  <w:marTop w:val="0"/>
                  <w:marBottom w:val="0"/>
                  <w:divBdr>
                    <w:top w:val="none" w:sz="0" w:space="0" w:color="auto"/>
                    <w:left w:val="none" w:sz="0" w:space="0" w:color="auto"/>
                    <w:bottom w:val="none" w:sz="0" w:space="0" w:color="auto"/>
                    <w:right w:val="none" w:sz="0" w:space="0" w:color="auto"/>
                  </w:divBdr>
                  <w:divsChild>
                    <w:div w:id="124667030">
                      <w:marLeft w:val="0"/>
                      <w:marRight w:val="0"/>
                      <w:marTop w:val="0"/>
                      <w:marBottom w:val="0"/>
                      <w:divBdr>
                        <w:top w:val="none" w:sz="0" w:space="0" w:color="auto"/>
                        <w:left w:val="none" w:sz="0" w:space="0" w:color="auto"/>
                        <w:bottom w:val="none" w:sz="0" w:space="0" w:color="auto"/>
                        <w:right w:val="none" w:sz="0" w:space="0" w:color="auto"/>
                      </w:divBdr>
                    </w:div>
                    <w:div w:id="1218778220">
                      <w:marLeft w:val="0"/>
                      <w:marRight w:val="0"/>
                      <w:marTop w:val="0"/>
                      <w:marBottom w:val="0"/>
                      <w:divBdr>
                        <w:top w:val="none" w:sz="0" w:space="0" w:color="auto"/>
                        <w:left w:val="none" w:sz="0" w:space="0" w:color="auto"/>
                        <w:bottom w:val="none" w:sz="0" w:space="0" w:color="auto"/>
                        <w:right w:val="none" w:sz="0" w:space="0" w:color="auto"/>
                      </w:divBdr>
                    </w:div>
                  </w:divsChild>
                </w:div>
                <w:div w:id="1434520329">
                  <w:marLeft w:val="0"/>
                  <w:marRight w:val="0"/>
                  <w:marTop w:val="0"/>
                  <w:marBottom w:val="0"/>
                  <w:divBdr>
                    <w:top w:val="none" w:sz="0" w:space="0" w:color="auto"/>
                    <w:left w:val="none" w:sz="0" w:space="0" w:color="auto"/>
                    <w:bottom w:val="none" w:sz="0" w:space="0" w:color="auto"/>
                    <w:right w:val="none" w:sz="0" w:space="0" w:color="auto"/>
                  </w:divBdr>
                  <w:divsChild>
                    <w:div w:id="1034230398">
                      <w:marLeft w:val="0"/>
                      <w:marRight w:val="0"/>
                      <w:marTop w:val="0"/>
                      <w:marBottom w:val="0"/>
                      <w:divBdr>
                        <w:top w:val="none" w:sz="0" w:space="0" w:color="auto"/>
                        <w:left w:val="none" w:sz="0" w:space="0" w:color="auto"/>
                        <w:bottom w:val="none" w:sz="0" w:space="0" w:color="auto"/>
                        <w:right w:val="none" w:sz="0" w:space="0" w:color="auto"/>
                      </w:divBdr>
                    </w:div>
                    <w:div w:id="2014529896">
                      <w:marLeft w:val="0"/>
                      <w:marRight w:val="0"/>
                      <w:marTop w:val="0"/>
                      <w:marBottom w:val="0"/>
                      <w:divBdr>
                        <w:top w:val="none" w:sz="0" w:space="0" w:color="auto"/>
                        <w:left w:val="none" w:sz="0" w:space="0" w:color="auto"/>
                        <w:bottom w:val="none" w:sz="0" w:space="0" w:color="auto"/>
                        <w:right w:val="none" w:sz="0" w:space="0" w:color="auto"/>
                      </w:divBdr>
                    </w:div>
                  </w:divsChild>
                </w:div>
                <w:div w:id="1473330243">
                  <w:marLeft w:val="0"/>
                  <w:marRight w:val="0"/>
                  <w:marTop w:val="0"/>
                  <w:marBottom w:val="0"/>
                  <w:divBdr>
                    <w:top w:val="none" w:sz="0" w:space="0" w:color="auto"/>
                    <w:left w:val="none" w:sz="0" w:space="0" w:color="auto"/>
                    <w:bottom w:val="none" w:sz="0" w:space="0" w:color="auto"/>
                    <w:right w:val="none" w:sz="0" w:space="0" w:color="auto"/>
                  </w:divBdr>
                  <w:divsChild>
                    <w:div w:id="63184533">
                      <w:marLeft w:val="0"/>
                      <w:marRight w:val="0"/>
                      <w:marTop w:val="0"/>
                      <w:marBottom w:val="0"/>
                      <w:divBdr>
                        <w:top w:val="none" w:sz="0" w:space="0" w:color="auto"/>
                        <w:left w:val="none" w:sz="0" w:space="0" w:color="auto"/>
                        <w:bottom w:val="none" w:sz="0" w:space="0" w:color="auto"/>
                        <w:right w:val="none" w:sz="0" w:space="0" w:color="auto"/>
                      </w:divBdr>
                    </w:div>
                    <w:div w:id="86967019">
                      <w:marLeft w:val="0"/>
                      <w:marRight w:val="0"/>
                      <w:marTop w:val="0"/>
                      <w:marBottom w:val="0"/>
                      <w:divBdr>
                        <w:top w:val="none" w:sz="0" w:space="0" w:color="auto"/>
                        <w:left w:val="none" w:sz="0" w:space="0" w:color="auto"/>
                        <w:bottom w:val="none" w:sz="0" w:space="0" w:color="auto"/>
                        <w:right w:val="none" w:sz="0" w:space="0" w:color="auto"/>
                      </w:divBdr>
                    </w:div>
                  </w:divsChild>
                </w:div>
                <w:div w:id="1511263140">
                  <w:marLeft w:val="0"/>
                  <w:marRight w:val="0"/>
                  <w:marTop w:val="0"/>
                  <w:marBottom w:val="0"/>
                  <w:divBdr>
                    <w:top w:val="none" w:sz="0" w:space="0" w:color="auto"/>
                    <w:left w:val="none" w:sz="0" w:space="0" w:color="auto"/>
                    <w:bottom w:val="none" w:sz="0" w:space="0" w:color="auto"/>
                    <w:right w:val="none" w:sz="0" w:space="0" w:color="auto"/>
                  </w:divBdr>
                  <w:divsChild>
                    <w:div w:id="938829994">
                      <w:marLeft w:val="0"/>
                      <w:marRight w:val="0"/>
                      <w:marTop w:val="0"/>
                      <w:marBottom w:val="0"/>
                      <w:divBdr>
                        <w:top w:val="none" w:sz="0" w:space="0" w:color="auto"/>
                        <w:left w:val="none" w:sz="0" w:space="0" w:color="auto"/>
                        <w:bottom w:val="none" w:sz="0" w:space="0" w:color="auto"/>
                        <w:right w:val="none" w:sz="0" w:space="0" w:color="auto"/>
                      </w:divBdr>
                    </w:div>
                  </w:divsChild>
                </w:div>
                <w:div w:id="1544781175">
                  <w:marLeft w:val="0"/>
                  <w:marRight w:val="0"/>
                  <w:marTop w:val="0"/>
                  <w:marBottom w:val="0"/>
                  <w:divBdr>
                    <w:top w:val="none" w:sz="0" w:space="0" w:color="auto"/>
                    <w:left w:val="none" w:sz="0" w:space="0" w:color="auto"/>
                    <w:bottom w:val="none" w:sz="0" w:space="0" w:color="auto"/>
                    <w:right w:val="none" w:sz="0" w:space="0" w:color="auto"/>
                  </w:divBdr>
                  <w:divsChild>
                    <w:div w:id="980038930">
                      <w:marLeft w:val="0"/>
                      <w:marRight w:val="0"/>
                      <w:marTop w:val="0"/>
                      <w:marBottom w:val="0"/>
                      <w:divBdr>
                        <w:top w:val="none" w:sz="0" w:space="0" w:color="auto"/>
                        <w:left w:val="none" w:sz="0" w:space="0" w:color="auto"/>
                        <w:bottom w:val="none" w:sz="0" w:space="0" w:color="auto"/>
                        <w:right w:val="none" w:sz="0" w:space="0" w:color="auto"/>
                      </w:divBdr>
                    </w:div>
                    <w:div w:id="2043749064">
                      <w:marLeft w:val="0"/>
                      <w:marRight w:val="0"/>
                      <w:marTop w:val="0"/>
                      <w:marBottom w:val="0"/>
                      <w:divBdr>
                        <w:top w:val="none" w:sz="0" w:space="0" w:color="auto"/>
                        <w:left w:val="none" w:sz="0" w:space="0" w:color="auto"/>
                        <w:bottom w:val="none" w:sz="0" w:space="0" w:color="auto"/>
                        <w:right w:val="none" w:sz="0" w:space="0" w:color="auto"/>
                      </w:divBdr>
                    </w:div>
                  </w:divsChild>
                </w:div>
                <w:div w:id="1562910404">
                  <w:marLeft w:val="0"/>
                  <w:marRight w:val="0"/>
                  <w:marTop w:val="0"/>
                  <w:marBottom w:val="0"/>
                  <w:divBdr>
                    <w:top w:val="none" w:sz="0" w:space="0" w:color="auto"/>
                    <w:left w:val="none" w:sz="0" w:space="0" w:color="auto"/>
                    <w:bottom w:val="none" w:sz="0" w:space="0" w:color="auto"/>
                    <w:right w:val="none" w:sz="0" w:space="0" w:color="auto"/>
                  </w:divBdr>
                  <w:divsChild>
                    <w:div w:id="375469776">
                      <w:marLeft w:val="0"/>
                      <w:marRight w:val="0"/>
                      <w:marTop w:val="0"/>
                      <w:marBottom w:val="0"/>
                      <w:divBdr>
                        <w:top w:val="none" w:sz="0" w:space="0" w:color="auto"/>
                        <w:left w:val="none" w:sz="0" w:space="0" w:color="auto"/>
                        <w:bottom w:val="none" w:sz="0" w:space="0" w:color="auto"/>
                        <w:right w:val="none" w:sz="0" w:space="0" w:color="auto"/>
                      </w:divBdr>
                    </w:div>
                  </w:divsChild>
                </w:div>
                <w:div w:id="1589998607">
                  <w:marLeft w:val="0"/>
                  <w:marRight w:val="0"/>
                  <w:marTop w:val="0"/>
                  <w:marBottom w:val="0"/>
                  <w:divBdr>
                    <w:top w:val="none" w:sz="0" w:space="0" w:color="auto"/>
                    <w:left w:val="none" w:sz="0" w:space="0" w:color="auto"/>
                    <w:bottom w:val="none" w:sz="0" w:space="0" w:color="auto"/>
                    <w:right w:val="none" w:sz="0" w:space="0" w:color="auto"/>
                  </w:divBdr>
                  <w:divsChild>
                    <w:div w:id="192504801">
                      <w:marLeft w:val="0"/>
                      <w:marRight w:val="0"/>
                      <w:marTop w:val="0"/>
                      <w:marBottom w:val="0"/>
                      <w:divBdr>
                        <w:top w:val="none" w:sz="0" w:space="0" w:color="auto"/>
                        <w:left w:val="none" w:sz="0" w:space="0" w:color="auto"/>
                        <w:bottom w:val="none" w:sz="0" w:space="0" w:color="auto"/>
                        <w:right w:val="none" w:sz="0" w:space="0" w:color="auto"/>
                      </w:divBdr>
                    </w:div>
                  </w:divsChild>
                </w:div>
                <w:div w:id="1644315027">
                  <w:marLeft w:val="0"/>
                  <w:marRight w:val="0"/>
                  <w:marTop w:val="0"/>
                  <w:marBottom w:val="0"/>
                  <w:divBdr>
                    <w:top w:val="none" w:sz="0" w:space="0" w:color="auto"/>
                    <w:left w:val="none" w:sz="0" w:space="0" w:color="auto"/>
                    <w:bottom w:val="none" w:sz="0" w:space="0" w:color="auto"/>
                    <w:right w:val="none" w:sz="0" w:space="0" w:color="auto"/>
                  </w:divBdr>
                  <w:divsChild>
                    <w:div w:id="845293063">
                      <w:marLeft w:val="0"/>
                      <w:marRight w:val="0"/>
                      <w:marTop w:val="0"/>
                      <w:marBottom w:val="0"/>
                      <w:divBdr>
                        <w:top w:val="none" w:sz="0" w:space="0" w:color="auto"/>
                        <w:left w:val="none" w:sz="0" w:space="0" w:color="auto"/>
                        <w:bottom w:val="none" w:sz="0" w:space="0" w:color="auto"/>
                        <w:right w:val="none" w:sz="0" w:space="0" w:color="auto"/>
                      </w:divBdr>
                    </w:div>
                  </w:divsChild>
                </w:div>
                <w:div w:id="1680428642">
                  <w:marLeft w:val="0"/>
                  <w:marRight w:val="0"/>
                  <w:marTop w:val="0"/>
                  <w:marBottom w:val="0"/>
                  <w:divBdr>
                    <w:top w:val="none" w:sz="0" w:space="0" w:color="auto"/>
                    <w:left w:val="none" w:sz="0" w:space="0" w:color="auto"/>
                    <w:bottom w:val="none" w:sz="0" w:space="0" w:color="auto"/>
                    <w:right w:val="none" w:sz="0" w:space="0" w:color="auto"/>
                  </w:divBdr>
                  <w:divsChild>
                    <w:div w:id="873465298">
                      <w:marLeft w:val="0"/>
                      <w:marRight w:val="0"/>
                      <w:marTop w:val="0"/>
                      <w:marBottom w:val="0"/>
                      <w:divBdr>
                        <w:top w:val="none" w:sz="0" w:space="0" w:color="auto"/>
                        <w:left w:val="none" w:sz="0" w:space="0" w:color="auto"/>
                        <w:bottom w:val="none" w:sz="0" w:space="0" w:color="auto"/>
                        <w:right w:val="none" w:sz="0" w:space="0" w:color="auto"/>
                      </w:divBdr>
                    </w:div>
                    <w:div w:id="1323969277">
                      <w:marLeft w:val="0"/>
                      <w:marRight w:val="0"/>
                      <w:marTop w:val="0"/>
                      <w:marBottom w:val="0"/>
                      <w:divBdr>
                        <w:top w:val="none" w:sz="0" w:space="0" w:color="auto"/>
                        <w:left w:val="none" w:sz="0" w:space="0" w:color="auto"/>
                        <w:bottom w:val="none" w:sz="0" w:space="0" w:color="auto"/>
                        <w:right w:val="none" w:sz="0" w:space="0" w:color="auto"/>
                      </w:divBdr>
                    </w:div>
                  </w:divsChild>
                </w:div>
                <w:div w:id="1746879488">
                  <w:marLeft w:val="0"/>
                  <w:marRight w:val="0"/>
                  <w:marTop w:val="0"/>
                  <w:marBottom w:val="0"/>
                  <w:divBdr>
                    <w:top w:val="none" w:sz="0" w:space="0" w:color="auto"/>
                    <w:left w:val="none" w:sz="0" w:space="0" w:color="auto"/>
                    <w:bottom w:val="none" w:sz="0" w:space="0" w:color="auto"/>
                    <w:right w:val="none" w:sz="0" w:space="0" w:color="auto"/>
                  </w:divBdr>
                  <w:divsChild>
                    <w:div w:id="163270">
                      <w:marLeft w:val="0"/>
                      <w:marRight w:val="0"/>
                      <w:marTop w:val="0"/>
                      <w:marBottom w:val="0"/>
                      <w:divBdr>
                        <w:top w:val="none" w:sz="0" w:space="0" w:color="auto"/>
                        <w:left w:val="none" w:sz="0" w:space="0" w:color="auto"/>
                        <w:bottom w:val="none" w:sz="0" w:space="0" w:color="auto"/>
                        <w:right w:val="none" w:sz="0" w:space="0" w:color="auto"/>
                      </w:divBdr>
                    </w:div>
                    <w:div w:id="1225027448">
                      <w:marLeft w:val="0"/>
                      <w:marRight w:val="0"/>
                      <w:marTop w:val="0"/>
                      <w:marBottom w:val="0"/>
                      <w:divBdr>
                        <w:top w:val="none" w:sz="0" w:space="0" w:color="auto"/>
                        <w:left w:val="none" w:sz="0" w:space="0" w:color="auto"/>
                        <w:bottom w:val="none" w:sz="0" w:space="0" w:color="auto"/>
                        <w:right w:val="none" w:sz="0" w:space="0" w:color="auto"/>
                      </w:divBdr>
                    </w:div>
                  </w:divsChild>
                </w:div>
                <w:div w:id="1752311190">
                  <w:marLeft w:val="0"/>
                  <w:marRight w:val="0"/>
                  <w:marTop w:val="0"/>
                  <w:marBottom w:val="0"/>
                  <w:divBdr>
                    <w:top w:val="none" w:sz="0" w:space="0" w:color="auto"/>
                    <w:left w:val="none" w:sz="0" w:space="0" w:color="auto"/>
                    <w:bottom w:val="none" w:sz="0" w:space="0" w:color="auto"/>
                    <w:right w:val="none" w:sz="0" w:space="0" w:color="auto"/>
                  </w:divBdr>
                  <w:divsChild>
                    <w:div w:id="134221954">
                      <w:marLeft w:val="0"/>
                      <w:marRight w:val="0"/>
                      <w:marTop w:val="0"/>
                      <w:marBottom w:val="0"/>
                      <w:divBdr>
                        <w:top w:val="none" w:sz="0" w:space="0" w:color="auto"/>
                        <w:left w:val="none" w:sz="0" w:space="0" w:color="auto"/>
                        <w:bottom w:val="none" w:sz="0" w:space="0" w:color="auto"/>
                        <w:right w:val="none" w:sz="0" w:space="0" w:color="auto"/>
                      </w:divBdr>
                    </w:div>
                    <w:div w:id="978846530">
                      <w:marLeft w:val="0"/>
                      <w:marRight w:val="0"/>
                      <w:marTop w:val="0"/>
                      <w:marBottom w:val="0"/>
                      <w:divBdr>
                        <w:top w:val="none" w:sz="0" w:space="0" w:color="auto"/>
                        <w:left w:val="none" w:sz="0" w:space="0" w:color="auto"/>
                        <w:bottom w:val="none" w:sz="0" w:space="0" w:color="auto"/>
                        <w:right w:val="none" w:sz="0" w:space="0" w:color="auto"/>
                      </w:divBdr>
                    </w:div>
                  </w:divsChild>
                </w:div>
                <w:div w:id="1860847742">
                  <w:marLeft w:val="0"/>
                  <w:marRight w:val="0"/>
                  <w:marTop w:val="0"/>
                  <w:marBottom w:val="0"/>
                  <w:divBdr>
                    <w:top w:val="none" w:sz="0" w:space="0" w:color="auto"/>
                    <w:left w:val="none" w:sz="0" w:space="0" w:color="auto"/>
                    <w:bottom w:val="none" w:sz="0" w:space="0" w:color="auto"/>
                    <w:right w:val="none" w:sz="0" w:space="0" w:color="auto"/>
                  </w:divBdr>
                  <w:divsChild>
                    <w:div w:id="857473810">
                      <w:marLeft w:val="0"/>
                      <w:marRight w:val="0"/>
                      <w:marTop w:val="0"/>
                      <w:marBottom w:val="0"/>
                      <w:divBdr>
                        <w:top w:val="none" w:sz="0" w:space="0" w:color="auto"/>
                        <w:left w:val="none" w:sz="0" w:space="0" w:color="auto"/>
                        <w:bottom w:val="none" w:sz="0" w:space="0" w:color="auto"/>
                        <w:right w:val="none" w:sz="0" w:space="0" w:color="auto"/>
                      </w:divBdr>
                    </w:div>
                    <w:div w:id="1257439345">
                      <w:marLeft w:val="0"/>
                      <w:marRight w:val="0"/>
                      <w:marTop w:val="0"/>
                      <w:marBottom w:val="0"/>
                      <w:divBdr>
                        <w:top w:val="none" w:sz="0" w:space="0" w:color="auto"/>
                        <w:left w:val="none" w:sz="0" w:space="0" w:color="auto"/>
                        <w:bottom w:val="none" w:sz="0" w:space="0" w:color="auto"/>
                        <w:right w:val="none" w:sz="0" w:space="0" w:color="auto"/>
                      </w:divBdr>
                    </w:div>
                  </w:divsChild>
                </w:div>
                <w:div w:id="1923953801">
                  <w:marLeft w:val="0"/>
                  <w:marRight w:val="0"/>
                  <w:marTop w:val="0"/>
                  <w:marBottom w:val="0"/>
                  <w:divBdr>
                    <w:top w:val="none" w:sz="0" w:space="0" w:color="auto"/>
                    <w:left w:val="none" w:sz="0" w:space="0" w:color="auto"/>
                    <w:bottom w:val="none" w:sz="0" w:space="0" w:color="auto"/>
                    <w:right w:val="none" w:sz="0" w:space="0" w:color="auto"/>
                  </w:divBdr>
                  <w:divsChild>
                    <w:div w:id="531502588">
                      <w:marLeft w:val="0"/>
                      <w:marRight w:val="0"/>
                      <w:marTop w:val="0"/>
                      <w:marBottom w:val="0"/>
                      <w:divBdr>
                        <w:top w:val="none" w:sz="0" w:space="0" w:color="auto"/>
                        <w:left w:val="none" w:sz="0" w:space="0" w:color="auto"/>
                        <w:bottom w:val="none" w:sz="0" w:space="0" w:color="auto"/>
                        <w:right w:val="none" w:sz="0" w:space="0" w:color="auto"/>
                      </w:divBdr>
                    </w:div>
                    <w:div w:id="2138259661">
                      <w:marLeft w:val="0"/>
                      <w:marRight w:val="0"/>
                      <w:marTop w:val="0"/>
                      <w:marBottom w:val="0"/>
                      <w:divBdr>
                        <w:top w:val="none" w:sz="0" w:space="0" w:color="auto"/>
                        <w:left w:val="none" w:sz="0" w:space="0" w:color="auto"/>
                        <w:bottom w:val="none" w:sz="0" w:space="0" w:color="auto"/>
                        <w:right w:val="none" w:sz="0" w:space="0" w:color="auto"/>
                      </w:divBdr>
                    </w:div>
                  </w:divsChild>
                </w:div>
                <w:div w:id="1924947121">
                  <w:marLeft w:val="0"/>
                  <w:marRight w:val="0"/>
                  <w:marTop w:val="0"/>
                  <w:marBottom w:val="0"/>
                  <w:divBdr>
                    <w:top w:val="none" w:sz="0" w:space="0" w:color="auto"/>
                    <w:left w:val="none" w:sz="0" w:space="0" w:color="auto"/>
                    <w:bottom w:val="none" w:sz="0" w:space="0" w:color="auto"/>
                    <w:right w:val="none" w:sz="0" w:space="0" w:color="auto"/>
                  </w:divBdr>
                  <w:divsChild>
                    <w:div w:id="1897861431">
                      <w:marLeft w:val="0"/>
                      <w:marRight w:val="0"/>
                      <w:marTop w:val="0"/>
                      <w:marBottom w:val="0"/>
                      <w:divBdr>
                        <w:top w:val="none" w:sz="0" w:space="0" w:color="auto"/>
                        <w:left w:val="none" w:sz="0" w:space="0" w:color="auto"/>
                        <w:bottom w:val="none" w:sz="0" w:space="0" w:color="auto"/>
                        <w:right w:val="none" w:sz="0" w:space="0" w:color="auto"/>
                      </w:divBdr>
                    </w:div>
                    <w:div w:id="1993943713">
                      <w:marLeft w:val="0"/>
                      <w:marRight w:val="0"/>
                      <w:marTop w:val="0"/>
                      <w:marBottom w:val="0"/>
                      <w:divBdr>
                        <w:top w:val="none" w:sz="0" w:space="0" w:color="auto"/>
                        <w:left w:val="none" w:sz="0" w:space="0" w:color="auto"/>
                        <w:bottom w:val="none" w:sz="0" w:space="0" w:color="auto"/>
                        <w:right w:val="none" w:sz="0" w:space="0" w:color="auto"/>
                      </w:divBdr>
                    </w:div>
                  </w:divsChild>
                </w:div>
                <w:div w:id="1982616664">
                  <w:marLeft w:val="0"/>
                  <w:marRight w:val="0"/>
                  <w:marTop w:val="0"/>
                  <w:marBottom w:val="0"/>
                  <w:divBdr>
                    <w:top w:val="none" w:sz="0" w:space="0" w:color="auto"/>
                    <w:left w:val="none" w:sz="0" w:space="0" w:color="auto"/>
                    <w:bottom w:val="none" w:sz="0" w:space="0" w:color="auto"/>
                    <w:right w:val="none" w:sz="0" w:space="0" w:color="auto"/>
                  </w:divBdr>
                  <w:divsChild>
                    <w:div w:id="33697995">
                      <w:marLeft w:val="0"/>
                      <w:marRight w:val="0"/>
                      <w:marTop w:val="0"/>
                      <w:marBottom w:val="0"/>
                      <w:divBdr>
                        <w:top w:val="none" w:sz="0" w:space="0" w:color="auto"/>
                        <w:left w:val="none" w:sz="0" w:space="0" w:color="auto"/>
                        <w:bottom w:val="none" w:sz="0" w:space="0" w:color="auto"/>
                        <w:right w:val="none" w:sz="0" w:space="0" w:color="auto"/>
                      </w:divBdr>
                    </w:div>
                    <w:div w:id="323944938">
                      <w:marLeft w:val="0"/>
                      <w:marRight w:val="0"/>
                      <w:marTop w:val="0"/>
                      <w:marBottom w:val="0"/>
                      <w:divBdr>
                        <w:top w:val="none" w:sz="0" w:space="0" w:color="auto"/>
                        <w:left w:val="none" w:sz="0" w:space="0" w:color="auto"/>
                        <w:bottom w:val="none" w:sz="0" w:space="0" w:color="auto"/>
                        <w:right w:val="none" w:sz="0" w:space="0" w:color="auto"/>
                      </w:divBdr>
                    </w:div>
                  </w:divsChild>
                </w:div>
                <w:div w:id="2000575718">
                  <w:marLeft w:val="0"/>
                  <w:marRight w:val="0"/>
                  <w:marTop w:val="0"/>
                  <w:marBottom w:val="0"/>
                  <w:divBdr>
                    <w:top w:val="none" w:sz="0" w:space="0" w:color="auto"/>
                    <w:left w:val="none" w:sz="0" w:space="0" w:color="auto"/>
                    <w:bottom w:val="none" w:sz="0" w:space="0" w:color="auto"/>
                    <w:right w:val="none" w:sz="0" w:space="0" w:color="auto"/>
                  </w:divBdr>
                  <w:divsChild>
                    <w:div w:id="283392674">
                      <w:marLeft w:val="0"/>
                      <w:marRight w:val="0"/>
                      <w:marTop w:val="0"/>
                      <w:marBottom w:val="0"/>
                      <w:divBdr>
                        <w:top w:val="none" w:sz="0" w:space="0" w:color="auto"/>
                        <w:left w:val="none" w:sz="0" w:space="0" w:color="auto"/>
                        <w:bottom w:val="none" w:sz="0" w:space="0" w:color="auto"/>
                        <w:right w:val="none" w:sz="0" w:space="0" w:color="auto"/>
                      </w:divBdr>
                    </w:div>
                    <w:div w:id="1567295936">
                      <w:marLeft w:val="0"/>
                      <w:marRight w:val="0"/>
                      <w:marTop w:val="0"/>
                      <w:marBottom w:val="0"/>
                      <w:divBdr>
                        <w:top w:val="none" w:sz="0" w:space="0" w:color="auto"/>
                        <w:left w:val="none" w:sz="0" w:space="0" w:color="auto"/>
                        <w:bottom w:val="none" w:sz="0" w:space="0" w:color="auto"/>
                        <w:right w:val="none" w:sz="0" w:space="0" w:color="auto"/>
                      </w:divBdr>
                    </w:div>
                  </w:divsChild>
                </w:div>
                <w:div w:id="2055275625">
                  <w:marLeft w:val="0"/>
                  <w:marRight w:val="0"/>
                  <w:marTop w:val="0"/>
                  <w:marBottom w:val="0"/>
                  <w:divBdr>
                    <w:top w:val="none" w:sz="0" w:space="0" w:color="auto"/>
                    <w:left w:val="none" w:sz="0" w:space="0" w:color="auto"/>
                    <w:bottom w:val="none" w:sz="0" w:space="0" w:color="auto"/>
                    <w:right w:val="none" w:sz="0" w:space="0" w:color="auto"/>
                  </w:divBdr>
                  <w:divsChild>
                    <w:div w:id="672955694">
                      <w:marLeft w:val="0"/>
                      <w:marRight w:val="0"/>
                      <w:marTop w:val="0"/>
                      <w:marBottom w:val="0"/>
                      <w:divBdr>
                        <w:top w:val="none" w:sz="0" w:space="0" w:color="auto"/>
                        <w:left w:val="none" w:sz="0" w:space="0" w:color="auto"/>
                        <w:bottom w:val="none" w:sz="0" w:space="0" w:color="auto"/>
                        <w:right w:val="none" w:sz="0" w:space="0" w:color="auto"/>
                      </w:divBdr>
                    </w:div>
                    <w:div w:id="204552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221434">
          <w:marLeft w:val="0"/>
          <w:marRight w:val="0"/>
          <w:marTop w:val="0"/>
          <w:marBottom w:val="0"/>
          <w:divBdr>
            <w:top w:val="none" w:sz="0" w:space="0" w:color="auto"/>
            <w:left w:val="none" w:sz="0" w:space="0" w:color="auto"/>
            <w:bottom w:val="none" w:sz="0" w:space="0" w:color="auto"/>
            <w:right w:val="none" w:sz="0" w:space="0" w:color="auto"/>
          </w:divBdr>
        </w:div>
        <w:div w:id="938758532">
          <w:marLeft w:val="0"/>
          <w:marRight w:val="0"/>
          <w:marTop w:val="0"/>
          <w:marBottom w:val="0"/>
          <w:divBdr>
            <w:top w:val="none" w:sz="0" w:space="0" w:color="auto"/>
            <w:left w:val="none" w:sz="0" w:space="0" w:color="auto"/>
            <w:bottom w:val="none" w:sz="0" w:space="0" w:color="auto"/>
            <w:right w:val="none" w:sz="0" w:space="0" w:color="auto"/>
          </w:divBdr>
          <w:divsChild>
            <w:div w:id="796414753">
              <w:marLeft w:val="-75"/>
              <w:marRight w:val="0"/>
              <w:marTop w:val="30"/>
              <w:marBottom w:val="30"/>
              <w:divBdr>
                <w:top w:val="none" w:sz="0" w:space="0" w:color="auto"/>
                <w:left w:val="none" w:sz="0" w:space="0" w:color="auto"/>
                <w:bottom w:val="none" w:sz="0" w:space="0" w:color="auto"/>
                <w:right w:val="none" w:sz="0" w:space="0" w:color="auto"/>
              </w:divBdr>
              <w:divsChild>
                <w:div w:id="164904902">
                  <w:marLeft w:val="0"/>
                  <w:marRight w:val="0"/>
                  <w:marTop w:val="0"/>
                  <w:marBottom w:val="0"/>
                  <w:divBdr>
                    <w:top w:val="none" w:sz="0" w:space="0" w:color="auto"/>
                    <w:left w:val="none" w:sz="0" w:space="0" w:color="auto"/>
                    <w:bottom w:val="none" w:sz="0" w:space="0" w:color="auto"/>
                    <w:right w:val="none" w:sz="0" w:space="0" w:color="auto"/>
                  </w:divBdr>
                  <w:divsChild>
                    <w:div w:id="1056124780">
                      <w:marLeft w:val="0"/>
                      <w:marRight w:val="0"/>
                      <w:marTop w:val="0"/>
                      <w:marBottom w:val="0"/>
                      <w:divBdr>
                        <w:top w:val="none" w:sz="0" w:space="0" w:color="auto"/>
                        <w:left w:val="none" w:sz="0" w:space="0" w:color="auto"/>
                        <w:bottom w:val="none" w:sz="0" w:space="0" w:color="auto"/>
                        <w:right w:val="none" w:sz="0" w:space="0" w:color="auto"/>
                      </w:divBdr>
                    </w:div>
                    <w:div w:id="1515343227">
                      <w:marLeft w:val="0"/>
                      <w:marRight w:val="0"/>
                      <w:marTop w:val="0"/>
                      <w:marBottom w:val="0"/>
                      <w:divBdr>
                        <w:top w:val="none" w:sz="0" w:space="0" w:color="auto"/>
                        <w:left w:val="none" w:sz="0" w:space="0" w:color="auto"/>
                        <w:bottom w:val="none" w:sz="0" w:space="0" w:color="auto"/>
                        <w:right w:val="none" w:sz="0" w:space="0" w:color="auto"/>
                      </w:divBdr>
                    </w:div>
                  </w:divsChild>
                </w:div>
                <w:div w:id="194270768">
                  <w:marLeft w:val="0"/>
                  <w:marRight w:val="0"/>
                  <w:marTop w:val="0"/>
                  <w:marBottom w:val="0"/>
                  <w:divBdr>
                    <w:top w:val="none" w:sz="0" w:space="0" w:color="auto"/>
                    <w:left w:val="none" w:sz="0" w:space="0" w:color="auto"/>
                    <w:bottom w:val="none" w:sz="0" w:space="0" w:color="auto"/>
                    <w:right w:val="none" w:sz="0" w:space="0" w:color="auto"/>
                  </w:divBdr>
                  <w:divsChild>
                    <w:div w:id="2119831637">
                      <w:marLeft w:val="0"/>
                      <w:marRight w:val="0"/>
                      <w:marTop w:val="0"/>
                      <w:marBottom w:val="0"/>
                      <w:divBdr>
                        <w:top w:val="none" w:sz="0" w:space="0" w:color="auto"/>
                        <w:left w:val="none" w:sz="0" w:space="0" w:color="auto"/>
                        <w:bottom w:val="none" w:sz="0" w:space="0" w:color="auto"/>
                        <w:right w:val="none" w:sz="0" w:space="0" w:color="auto"/>
                      </w:divBdr>
                    </w:div>
                  </w:divsChild>
                </w:div>
                <w:div w:id="228151986">
                  <w:marLeft w:val="0"/>
                  <w:marRight w:val="0"/>
                  <w:marTop w:val="0"/>
                  <w:marBottom w:val="0"/>
                  <w:divBdr>
                    <w:top w:val="none" w:sz="0" w:space="0" w:color="auto"/>
                    <w:left w:val="none" w:sz="0" w:space="0" w:color="auto"/>
                    <w:bottom w:val="none" w:sz="0" w:space="0" w:color="auto"/>
                    <w:right w:val="none" w:sz="0" w:space="0" w:color="auto"/>
                  </w:divBdr>
                  <w:divsChild>
                    <w:div w:id="408231798">
                      <w:marLeft w:val="0"/>
                      <w:marRight w:val="0"/>
                      <w:marTop w:val="0"/>
                      <w:marBottom w:val="0"/>
                      <w:divBdr>
                        <w:top w:val="none" w:sz="0" w:space="0" w:color="auto"/>
                        <w:left w:val="none" w:sz="0" w:space="0" w:color="auto"/>
                        <w:bottom w:val="none" w:sz="0" w:space="0" w:color="auto"/>
                        <w:right w:val="none" w:sz="0" w:space="0" w:color="auto"/>
                      </w:divBdr>
                    </w:div>
                  </w:divsChild>
                </w:div>
                <w:div w:id="232082463">
                  <w:marLeft w:val="0"/>
                  <w:marRight w:val="0"/>
                  <w:marTop w:val="0"/>
                  <w:marBottom w:val="0"/>
                  <w:divBdr>
                    <w:top w:val="none" w:sz="0" w:space="0" w:color="auto"/>
                    <w:left w:val="none" w:sz="0" w:space="0" w:color="auto"/>
                    <w:bottom w:val="none" w:sz="0" w:space="0" w:color="auto"/>
                    <w:right w:val="none" w:sz="0" w:space="0" w:color="auto"/>
                  </w:divBdr>
                  <w:divsChild>
                    <w:div w:id="836850802">
                      <w:marLeft w:val="0"/>
                      <w:marRight w:val="0"/>
                      <w:marTop w:val="0"/>
                      <w:marBottom w:val="0"/>
                      <w:divBdr>
                        <w:top w:val="none" w:sz="0" w:space="0" w:color="auto"/>
                        <w:left w:val="none" w:sz="0" w:space="0" w:color="auto"/>
                        <w:bottom w:val="none" w:sz="0" w:space="0" w:color="auto"/>
                        <w:right w:val="none" w:sz="0" w:space="0" w:color="auto"/>
                      </w:divBdr>
                    </w:div>
                    <w:div w:id="1122261415">
                      <w:marLeft w:val="0"/>
                      <w:marRight w:val="0"/>
                      <w:marTop w:val="0"/>
                      <w:marBottom w:val="0"/>
                      <w:divBdr>
                        <w:top w:val="none" w:sz="0" w:space="0" w:color="auto"/>
                        <w:left w:val="none" w:sz="0" w:space="0" w:color="auto"/>
                        <w:bottom w:val="none" w:sz="0" w:space="0" w:color="auto"/>
                        <w:right w:val="none" w:sz="0" w:space="0" w:color="auto"/>
                      </w:divBdr>
                    </w:div>
                  </w:divsChild>
                </w:div>
                <w:div w:id="255478780">
                  <w:marLeft w:val="0"/>
                  <w:marRight w:val="0"/>
                  <w:marTop w:val="0"/>
                  <w:marBottom w:val="0"/>
                  <w:divBdr>
                    <w:top w:val="none" w:sz="0" w:space="0" w:color="auto"/>
                    <w:left w:val="none" w:sz="0" w:space="0" w:color="auto"/>
                    <w:bottom w:val="none" w:sz="0" w:space="0" w:color="auto"/>
                    <w:right w:val="none" w:sz="0" w:space="0" w:color="auto"/>
                  </w:divBdr>
                  <w:divsChild>
                    <w:div w:id="1595474941">
                      <w:marLeft w:val="0"/>
                      <w:marRight w:val="0"/>
                      <w:marTop w:val="0"/>
                      <w:marBottom w:val="0"/>
                      <w:divBdr>
                        <w:top w:val="none" w:sz="0" w:space="0" w:color="auto"/>
                        <w:left w:val="none" w:sz="0" w:space="0" w:color="auto"/>
                        <w:bottom w:val="none" w:sz="0" w:space="0" w:color="auto"/>
                        <w:right w:val="none" w:sz="0" w:space="0" w:color="auto"/>
                      </w:divBdr>
                    </w:div>
                  </w:divsChild>
                </w:div>
                <w:div w:id="337466323">
                  <w:marLeft w:val="0"/>
                  <w:marRight w:val="0"/>
                  <w:marTop w:val="0"/>
                  <w:marBottom w:val="0"/>
                  <w:divBdr>
                    <w:top w:val="none" w:sz="0" w:space="0" w:color="auto"/>
                    <w:left w:val="none" w:sz="0" w:space="0" w:color="auto"/>
                    <w:bottom w:val="none" w:sz="0" w:space="0" w:color="auto"/>
                    <w:right w:val="none" w:sz="0" w:space="0" w:color="auto"/>
                  </w:divBdr>
                  <w:divsChild>
                    <w:div w:id="138693658">
                      <w:marLeft w:val="0"/>
                      <w:marRight w:val="0"/>
                      <w:marTop w:val="0"/>
                      <w:marBottom w:val="0"/>
                      <w:divBdr>
                        <w:top w:val="none" w:sz="0" w:space="0" w:color="auto"/>
                        <w:left w:val="none" w:sz="0" w:space="0" w:color="auto"/>
                        <w:bottom w:val="none" w:sz="0" w:space="0" w:color="auto"/>
                        <w:right w:val="none" w:sz="0" w:space="0" w:color="auto"/>
                      </w:divBdr>
                    </w:div>
                    <w:div w:id="545874137">
                      <w:marLeft w:val="0"/>
                      <w:marRight w:val="0"/>
                      <w:marTop w:val="0"/>
                      <w:marBottom w:val="0"/>
                      <w:divBdr>
                        <w:top w:val="none" w:sz="0" w:space="0" w:color="auto"/>
                        <w:left w:val="none" w:sz="0" w:space="0" w:color="auto"/>
                        <w:bottom w:val="none" w:sz="0" w:space="0" w:color="auto"/>
                        <w:right w:val="none" w:sz="0" w:space="0" w:color="auto"/>
                      </w:divBdr>
                    </w:div>
                  </w:divsChild>
                </w:div>
                <w:div w:id="370420764">
                  <w:marLeft w:val="0"/>
                  <w:marRight w:val="0"/>
                  <w:marTop w:val="0"/>
                  <w:marBottom w:val="0"/>
                  <w:divBdr>
                    <w:top w:val="none" w:sz="0" w:space="0" w:color="auto"/>
                    <w:left w:val="none" w:sz="0" w:space="0" w:color="auto"/>
                    <w:bottom w:val="none" w:sz="0" w:space="0" w:color="auto"/>
                    <w:right w:val="none" w:sz="0" w:space="0" w:color="auto"/>
                  </w:divBdr>
                  <w:divsChild>
                    <w:div w:id="620915860">
                      <w:marLeft w:val="0"/>
                      <w:marRight w:val="0"/>
                      <w:marTop w:val="0"/>
                      <w:marBottom w:val="0"/>
                      <w:divBdr>
                        <w:top w:val="none" w:sz="0" w:space="0" w:color="auto"/>
                        <w:left w:val="none" w:sz="0" w:space="0" w:color="auto"/>
                        <w:bottom w:val="none" w:sz="0" w:space="0" w:color="auto"/>
                        <w:right w:val="none" w:sz="0" w:space="0" w:color="auto"/>
                      </w:divBdr>
                    </w:div>
                    <w:div w:id="1199707195">
                      <w:marLeft w:val="0"/>
                      <w:marRight w:val="0"/>
                      <w:marTop w:val="0"/>
                      <w:marBottom w:val="0"/>
                      <w:divBdr>
                        <w:top w:val="none" w:sz="0" w:space="0" w:color="auto"/>
                        <w:left w:val="none" w:sz="0" w:space="0" w:color="auto"/>
                        <w:bottom w:val="none" w:sz="0" w:space="0" w:color="auto"/>
                        <w:right w:val="none" w:sz="0" w:space="0" w:color="auto"/>
                      </w:divBdr>
                    </w:div>
                  </w:divsChild>
                </w:div>
                <w:div w:id="407192132">
                  <w:marLeft w:val="0"/>
                  <w:marRight w:val="0"/>
                  <w:marTop w:val="0"/>
                  <w:marBottom w:val="0"/>
                  <w:divBdr>
                    <w:top w:val="none" w:sz="0" w:space="0" w:color="auto"/>
                    <w:left w:val="none" w:sz="0" w:space="0" w:color="auto"/>
                    <w:bottom w:val="none" w:sz="0" w:space="0" w:color="auto"/>
                    <w:right w:val="none" w:sz="0" w:space="0" w:color="auto"/>
                  </w:divBdr>
                  <w:divsChild>
                    <w:div w:id="297030211">
                      <w:marLeft w:val="0"/>
                      <w:marRight w:val="0"/>
                      <w:marTop w:val="0"/>
                      <w:marBottom w:val="0"/>
                      <w:divBdr>
                        <w:top w:val="none" w:sz="0" w:space="0" w:color="auto"/>
                        <w:left w:val="none" w:sz="0" w:space="0" w:color="auto"/>
                        <w:bottom w:val="none" w:sz="0" w:space="0" w:color="auto"/>
                        <w:right w:val="none" w:sz="0" w:space="0" w:color="auto"/>
                      </w:divBdr>
                    </w:div>
                    <w:div w:id="1825510545">
                      <w:marLeft w:val="0"/>
                      <w:marRight w:val="0"/>
                      <w:marTop w:val="0"/>
                      <w:marBottom w:val="0"/>
                      <w:divBdr>
                        <w:top w:val="none" w:sz="0" w:space="0" w:color="auto"/>
                        <w:left w:val="none" w:sz="0" w:space="0" w:color="auto"/>
                        <w:bottom w:val="none" w:sz="0" w:space="0" w:color="auto"/>
                        <w:right w:val="none" w:sz="0" w:space="0" w:color="auto"/>
                      </w:divBdr>
                    </w:div>
                  </w:divsChild>
                </w:div>
                <w:div w:id="483358037">
                  <w:marLeft w:val="0"/>
                  <w:marRight w:val="0"/>
                  <w:marTop w:val="0"/>
                  <w:marBottom w:val="0"/>
                  <w:divBdr>
                    <w:top w:val="none" w:sz="0" w:space="0" w:color="auto"/>
                    <w:left w:val="none" w:sz="0" w:space="0" w:color="auto"/>
                    <w:bottom w:val="none" w:sz="0" w:space="0" w:color="auto"/>
                    <w:right w:val="none" w:sz="0" w:space="0" w:color="auto"/>
                  </w:divBdr>
                  <w:divsChild>
                    <w:div w:id="1759446160">
                      <w:marLeft w:val="0"/>
                      <w:marRight w:val="0"/>
                      <w:marTop w:val="0"/>
                      <w:marBottom w:val="0"/>
                      <w:divBdr>
                        <w:top w:val="none" w:sz="0" w:space="0" w:color="auto"/>
                        <w:left w:val="none" w:sz="0" w:space="0" w:color="auto"/>
                        <w:bottom w:val="none" w:sz="0" w:space="0" w:color="auto"/>
                        <w:right w:val="none" w:sz="0" w:space="0" w:color="auto"/>
                      </w:divBdr>
                    </w:div>
                  </w:divsChild>
                </w:div>
                <w:div w:id="517278411">
                  <w:marLeft w:val="0"/>
                  <w:marRight w:val="0"/>
                  <w:marTop w:val="0"/>
                  <w:marBottom w:val="0"/>
                  <w:divBdr>
                    <w:top w:val="none" w:sz="0" w:space="0" w:color="auto"/>
                    <w:left w:val="none" w:sz="0" w:space="0" w:color="auto"/>
                    <w:bottom w:val="none" w:sz="0" w:space="0" w:color="auto"/>
                    <w:right w:val="none" w:sz="0" w:space="0" w:color="auto"/>
                  </w:divBdr>
                  <w:divsChild>
                    <w:div w:id="896862876">
                      <w:marLeft w:val="0"/>
                      <w:marRight w:val="0"/>
                      <w:marTop w:val="0"/>
                      <w:marBottom w:val="0"/>
                      <w:divBdr>
                        <w:top w:val="none" w:sz="0" w:space="0" w:color="auto"/>
                        <w:left w:val="none" w:sz="0" w:space="0" w:color="auto"/>
                        <w:bottom w:val="none" w:sz="0" w:space="0" w:color="auto"/>
                        <w:right w:val="none" w:sz="0" w:space="0" w:color="auto"/>
                      </w:divBdr>
                    </w:div>
                  </w:divsChild>
                </w:div>
                <w:div w:id="580606638">
                  <w:marLeft w:val="0"/>
                  <w:marRight w:val="0"/>
                  <w:marTop w:val="0"/>
                  <w:marBottom w:val="0"/>
                  <w:divBdr>
                    <w:top w:val="none" w:sz="0" w:space="0" w:color="auto"/>
                    <w:left w:val="none" w:sz="0" w:space="0" w:color="auto"/>
                    <w:bottom w:val="none" w:sz="0" w:space="0" w:color="auto"/>
                    <w:right w:val="none" w:sz="0" w:space="0" w:color="auto"/>
                  </w:divBdr>
                  <w:divsChild>
                    <w:div w:id="387263346">
                      <w:marLeft w:val="0"/>
                      <w:marRight w:val="0"/>
                      <w:marTop w:val="0"/>
                      <w:marBottom w:val="0"/>
                      <w:divBdr>
                        <w:top w:val="none" w:sz="0" w:space="0" w:color="auto"/>
                        <w:left w:val="none" w:sz="0" w:space="0" w:color="auto"/>
                        <w:bottom w:val="none" w:sz="0" w:space="0" w:color="auto"/>
                        <w:right w:val="none" w:sz="0" w:space="0" w:color="auto"/>
                      </w:divBdr>
                    </w:div>
                    <w:div w:id="941036129">
                      <w:marLeft w:val="0"/>
                      <w:marRight w:val="0"/>
                      <w:marTop w:val="0"/>
                      <w:marBottom w:val="0"/>
                      <w:divBdr>
                        <w:top w:val="none" w:sz="0" w:space="0" w:color="auto"/>
                        <w:left w:val="none" w:sz="0" w:space="0" w:color="auto"/>
                        <w:bottom w:val="none" w:sz="0" w:space="0" w:color="auto"/>
                        <w:right w:val="none" w:sz="0" w:space="0" w:color="auto"/>
                      </w:divBdr>
                    </w:div>
                  </w:divsChild>
                </w:div>
                <w:div w:id="587009226">
                  <w:marLeft w:val="0"/>
                  <w:marRight w:val="0"/>
                  <w:marTop w:val="0"/>
                  <w:marBottom w:val="0"/>
                  <w:divBdr>
                    <w:top w:val="none" w:sz="0" w:space="0" w:color="auto"/>
                    <w:left w:val="none" w:sz="0" w:space="0" w:color="auto"/>
                    <w:bottom w:val="none" w:sz="0" w:space="0" w:color="auto"/>
                    <w:right w:val="none" w:sz="0" w:space="0" w:color="auto"/>
                  </w:divBdr>
                  <w:divsChild>
                    <w:div w:id="24404419">
                      <w:marLeft w:val="0"/>
                      <w:marRight w:val="0"/>
                      <w:marTop w:val="0"/>
                      <w:marBottom w:val="0"/>
                      <w:divBdr>
                        <w:top w:val="none" w:sz="0" w:space="0" w:color="auto"/>
                        <w:left w:val="none" w:sz="0" w:space="0" w:color="auto"/>
                        <w:bottom w:val="none" w:sz="0" w:space="0" w:color="auto"/>
                        <w:right w:val="none" w:sz="0" w:space="0" w:color="auto"/>
                      </w:divBdr>
                    </w:div>
                    <w:div w:id="1476485544">
                      <w:marLeft w:val="0"/>
                      <w:marRight w:val="0"/>
                      <w:marTop w:val="0"/>
                      <w:marBottom w:val="0"/>
                      <w:divBdr>
                        <w:top w:val="none" w:sz="0" w:space="0" w:color="auto"/>
                        <w:left w:val="none" w:sz="0" w:space="0" w:color="auto"/>
                        <w:bottom w:val="none" w:sz="0" w:space="0" w:color="auto"/>
                        <w:right w:val="none" w:sz="0" w:space="0" w:color="auto"/>
                      </w:divBdr>
                    </w:div>
                  </w:divsChild>
                </w:div>
                <w:div w:id="598297834">
                  <w:marLeft w:val="0"/>
                  <w:marRight w:val="0"/>
                  <w:marTop w:val="0"/>
                  <w:marBottom w:val="0"/>
                  <w:divBdr>
                    <w:top w:val="none" w:sz="0" w:space="0" w:color="auto"/>
                    <w:left w:val="none" w:sz="0" w:space="0" w:color="auto"/>
                    <w:bottom w:val="none" w:sz="0" w:space="0" w:color="auto"/>
                    <w:right w:val="none" w:sz="0" w:space="0" w:color="auto"/>
                  </w:divBdr>
                  <w:divsChild>
                    <w:div w:id="621039876">
                      <w:marLeft w:val="0"/>
                      <w:marRight w:val="0"/>
                      <w:marTop w:val="0"/>
                      <w:marBottom w:val="0"/>
                      <w:divBdr>
                        <w:top w:val="none" w:sz="0" w:space="0" w:color="auto"/>
                        <w:left w:val="none" w:sz="0" w:space="0" w:color="auto"/>
                        <w:bottom w:val="none" w:sz="0" w:space="0" w:color="auto"/>
                        <w:right w:val="none" w:sz="0" w:space="0" w:color="auto"/>
                      </w:divBdr>
                    </w:div>
                    <w:div w:id="1605380733">
                      <w:marLeft w:val="0"/>
                      <w:marRight w:val="0"/>
                      <w:marTop w:val="0"/>
                      <w:marBottom w:val="0"/>
                      <w:divBdr>
                        <w:top w:val="none" w:sz="0" w:space="0" w:color="auto"/>
                        <w:left w:val="none" w:sz="0" w:space="0" w:color="auto"/>
                        <w:bottom w:val="none" w:sz="0" w:space="0" w:color="auto"/>
                        <w:right w:val="none" w:sz="0" w:space="0" w:color="auto"/>
                      </w:divBdr>
                    </w:div>
                  </w:divsChild>
                </w:div>
                <w:div w:id="615410792">
                  <w:marLeft w:val="0"/>
                  <w:marRight w:val="0"/>
                  <w:marTop w:val="0"/>
                  <w:marBottom w:val="0"/>
                  <w:divBdr>
                    <w:top w:val="none" w:sz="0" w:space="0" w:color="auto"/>
                    <w:left w:val="none" w:sz="0" w:space="0" w:color="auto"/>
                    <w:bottom w:val="none" w:sz="0" w:space="0" w:color="auto"/>
                    <w:right w:val="none" w:sz="0" w:space="0" w:color="auto"/>
                  </w:divBdr>
                  <w:divsChild>
                    <w:div w:id="1957519528">
                      <w:marLeft w:val="0"/>
                      <w:marRight w:val="0"/>
                      <w:marTop w:val="0"/>
                      <w:marBottom w:val="0"/>
                      <w:divBdr>
                        <w:top w:val="none" w:sz="0" w:space="0" w:color="auto"/>
                        <w:left w:val="none" w:sz="0" w:space="0" w:color="auto"/>
                        <w:bottom w:val="none" w:sz="0" w:space="0" w:color="auto"/>
                        <w:right w:val="none" w:sz="0" w:space="0" w:color="auto"/>
                      </w:divBdr>
                    </w:div>
                  </w:divsChild>
                </w:div>
                <w:div w:id="623082073">
                  <w:marLeft w:val="0"/>
                  <w:marRight w:val="0"/>
                  <w:marTop w:val="0"/>
                  <w:marBottom w:val="0"/>
                  <w:divBdr>
                    <w:top w:val="none" w:sz="0" w:space="0" w:color="auto"/>
                    <w:left w:val="none" w:sz="0" w:space="0" w:color="auto"/>
                    <w:bottom w:val="none" w:sz="0" w:space="0" w:color="auto"/>
                    <w:right w:val="none" w:sz="0" w:space="0" w:color="auto"/>
                  </w:divBdr>
                  <w:divsChild>
                    <w:div w:id="1061254090">
                      <w:marLeft w:val="0"/>
                      <w:marRight w:val="0"/>
                      <w:marTop w:val="0"/>
                      <w:marBottom w:val="0"/>
                      <w:divBdr>
                        <w:top w:val="none" w:sz="0" w:space="0" w:color="auto"/>
                        <w:left w:val="none" w:sz="0" w:space="0" w:color="auto"/>
                        <w:bottom w:val="none" w:sz="0" w:space="0" w:color="auto"/>
                        <w:right w:val="none" w:sz="0" w:space="0" w:color="auto"/>
                      </w:divBdr>
                    </w:div>
                    <w:div w:id="1861890910">
                      <w:marLeft w:val="0"/>
                      <w:marRight w:val="0"/>
                      <w:marTop w:val="0"/>
                      <w:marBottom w:val="0"/>
                      <w:divBdr>
                        <w:top w:val="none" w:sz="0" w:space="0" w:color="auto"/>
                        <w:left w:val="none" w:sz="0" w:space="0" w:color="auto"/>
                        <w:bottom w:val="none" w:sz="0" w:space="0" w:color="auto"/>
                        <w:right w:val="none" w:sz="0" w:space="0" w:color="auto"/>
                      </w:divBdr>
                    </w:div>
                  </w:divsChild>
                </w:div>
                <w:div w:id="685249091">
                  <w:marLeft w:val="0"/>
                  <w:marRight w:val="0"/>
                  <w:marTop w:val="0"/>
                  <w:marBottom w:val="0"/>
                  <w:divBdr>
                    <w:top w:val="none" w:sz="0" w:space="0" w:color="auto"/>
                    <w:left w:val="none" w:sz="0" w:space="0" w:color="auto"/>
                    <w:bottom w:val="none" w:sz="0" w:space="0" w:color="auto"/>
                    <w:right w:val="none" w:sz="0" w:space="0" w:color="auto"/>
                  </w:divBdr>
                  <w:divsChild>
                    <w:div w:id="627665742">
                      <w:marLeft w:val="0"/>
                      <w:marRight w:val="0"/>
                      <w:marTop w:val="0"/>
                      <w:marBottom w:val="0"/>
                      <w:divBdr>
                        <w:top w:val="none" w:sz="0" w:space="0" w:color="auto"/>
                        <w:left w:val="none" w:sz="0" w:space="0" w:color="auto"/>
                        <w:bottom w:val="none" w:sz="0" w:space="0" w:color="auto"/>
                        <w:right w:val="none" w:sz="0" w:space="0" w:color="auto"/>
                      </w:divBdr>
                    </w:div>
                    <w:div w:id="1179613120">
                      <w:marLeft w:val="0"/>
                      <w:marRight w:val="0"/>
                      <w:marTop w:val="0"/>
                      <w:marBottom w:val="0"/>
                      <w:divBdr>
                        <w:top w:val="none" w:sz="0" w:space="0" w:color="auto"/>
                        <w:left w:val="none" w:sz="0" w:space="0" w:color="auto"/>
                        <w:bottom w:val="none" w:sz="0" w:space="0" w:color="auto"/>
                        <w:right w:val="none" w:sz="0" w:space="0" w:color="auto"/>
                      </w:divBdr>
                    </w:div>
                  </w:divsChild>
                </w:div>
                <w:div w:id="695276207">
                  <w:marLeft w:val="0"/>
                  <w:marRight w:val="0"/>
                  <w:marTop w:val="0"/>
                  <w:marBottom w:val="0"/>
                  <w:divBdr>
                    <w:top w:val="none" w:sz="0" w:space="0" w:color="auto"/>
                    <w:left w:val="none" w:sz="0" w:space="0" w:color="auto"/>
                    <w:bottom w:val="none" w:sz="0" w:space="0" w:color="auto"/>
                    <w:right w:val="none" w:sz="0" w:space="0" w:color="auto"/>
                  </w:divBdr>
                  <w:divsChild>
                    <w:div w:id="1746999265">
                      <w:marLeft w:val="0"/>
                      <w:marRight w:val="0"/>
                      <w:marTop w:val="0"/>
                      <w:marBottom w:val="0"/>
                      <w:divBdr>
                        <w:top w:val="none" w:sz="0" w:space="0" w:color="auto"/>
                        <w:left w:val="none" w:sz="0" w:space="0" w:color="auto"/>
                        <w:bottom w:val="none" w:sz="0" w:space="0" w:color="auto"/>
                        <w:right w:val="none" w:sz="0" w:space="0" w:color="auto"/>
                      </w:divBdr>
                    </w:div>
                  </w:divsChild>
                </w:div>
                <w:div w:id="699205944">
                  <w:marLeft w:val="0"/>
                  <w:marRight w:val="0"/>
                  <w:marTop w:val="0"/>
                  <w:marBottom w:val="0"/>
                  <w:divBdr>
                    <w:top w:val="none" w:sz="0" w:space="0" w:color="auto"/>
                    <w:left w:val="none" w:sz="0" w:space="0" w:color="auto"/>
                    <w:bottom w:val="none" w:sz="0" w:space="0" w:color="auto"/>
                    <w:right w:val="none" w:sz="0" w:space="0" w:color="auto"/>
                  </w:divBdr>
                  <w:divsChild>
                    <w:div w:id="1673681857">
                      <w:marLeft w:val="0"/>
                      <w:marRight w:val="0"/>
                      <w:marTop w:val="0"/>
                      <w:marBottom w:val="0"/>
                      <w:divBdr>
                        <w:top w:val="none" w:sz="0" w:space="0" w:color="auto"/>
                        <w:left w:val="none" w:sz="0" w:space="0" w:color="auto"/>
                        <w:bottom w:val="none" w:sz="0" w:space="0" w:color="auto"/>
                        <w:right w:val="none" w:sz="0" w:space="0" w:color="auto"/>
                      </w:divBdr>
                    </w:div>
                    <w:div w:id="2086685537">
                      <w:marLeft w:val="0"/>
                      <w:marRight w:val="0"/>
                      <w:marTop w:val="0"/>
                      <w:marBottom w:val="0"/>
                      <w:divBdr>
                        <w:top w:val="none" w:sz="0" w:space="0" w:color="auto"/>
                        <w:left w:val="none" w:sz="0" w:space="0" w:color="auto"/>
                        <w:bottom w:val="none" w:sz="0" w:space="0" w:color="auto"/>
                        <w:right w:val="none" w:sz="0" w:space="0" w:color="auto"/>
                      </w:divBdr>
                    </w:div>
                  </w:divsChild>
                </w:div>
                <w:div w:id="768475490">
                  <w:marLeft w:val="0"/>
                  <w:marRight w:val="0"/>
                  <w:marTop w:val="0"/>
                  <w:marBottom w:val="0"/>
                  <w:divBdr>
                    <w:top w:val="none" w:sz="0" w:space="0" w:color="auto"/>
                    <w:left w:val="none" w:sz="0" w:space="0" w:color="auto"/>
                    <w:bottom w:val="none" w:sz="0" w:space="0" w:color="auto"/>
                    <w:right w:val="none" w:sz="0" w:space="0" w:color="auto"/>
                  </w:divBdr>
                  <w:divsChild>
                    <w:div w:id="730425351">
                      <w:marLeft w:val="0"/>
                      <w:marRight w:val="0"/>
                      <w:marTop w:val="0"/>
                      <w:marBottom w:val="0"/>
                      <w:divBdr>
                        <w:top w:val="none" w:sz="0" w:space="0" w:color="auto"/>
                        <w:left w:val="none" w:sz="0" w:space="0" w:color="auto"/>
                        <w:bottom w:val="none" w:sz="0" w:space="0" w:color="auto"/>
                        <w:right w:val="none" w:sz="0" w:space="0" w:color="auto"/>
                      </w:divBdr>
                    </w:div>
                    <w:div w:id="1984576047">
                      <w:marLeft w:val="0"/>
                      <w:marRight w:val="0"/>
                      <w:marTop w:val="0"/>
                      <w:marBottom w:val="0"/>
                      <w:divBdr>
                        <w:top w:val="none" w:sz="0" w:space="0" w:color="auto"/>
                        <w:left w:val="none" w:sz="0" w:space="0" w:color="auto"/>
                        <w:bottom w:val="none" w:sz="0" w:space="0" w:color="auto"/>
                        <w:right w:val="none" w:sz="0" w:space="0" w:color="auto"/>
                      </w:divBdr>
                    </w:div>
                  </w:divsChild>
                </w:div>
                <w:div w:id="874385258">
                  <w:marLeft w:val="0"/>
                  <w:marRight w:val="0"/>
                  <w:marTop w:val="0"/>
                  <w:marBottom w:val="0"/>
                  <w:divBdr>
                    <w:top w:val="none" w:sz="0" w:space="0" w:color="auto"/>
                    <w:left w:val="none" w:sz="0" w:space="0" w:color="auto"/>
                    <w:bottom w:val="none" w:sz="0" w:space="0" w:color="auto"/>
                    <w:right w:val="none" w:sz="0" w:space="0" w:color="auto"/>
                  </w:divBdr>
                  <w:divsChild>
                    <w:div w:id="590049161">
                      <w:marLeft w:val="0"/>
                      <w:marRight w:val="0"/>
                      <w:marTop w:val="0"/>
                      <w:marBottom w:val="0"/>
                      <w:divBdr>
                        <w:top w:val="none" w:sz="0" w:space="0" w:color="auto"/>
                        <w:left w:val="none" w:sz="0" w:space="0" w:color="auto"/>
                        <w:bottom w:val="none" w:sz="0" w:space="0" w:color="auto"/>
                        <w:right w:val="none" w:sz="0" w:space="0" w:color="auto"/>
                      </w:divBdr>
                    </w:div>
                    <w:div w:id="1985767756">
                      <w:marLeft w:val="0"/>
                      <w:marRight w:val="0"/>
                      <w:marTop w:val="0"/>
                      <w:marBottom w:val="0"/>
                      <w:divBdr>
                        <w:top w:val="none" w:sz="0" w:space="0" w:color="auto"/>
                        <w:left w:val="none" w:sz="0" w:space="0" w:color="auto"/>
                        <w:bottom w:val="none" w:sz="0" w:space="0" w:color="auto"/>
                        <w:right w:val="none" w:sz="0" w:space="0" w:color="auto"/>
                      </w:divBdr>
                    </w:div>
                  </w:divsChild>
                </w:div>
                <w:div w:id="1005597602">
                  <w:marLeft w:val="0"/>
                  <w:marRight w:val="0"/>
                  <w:marTop w:val="0"/>
                  <w:marBottom w:val="0"/>
                  <w:divBdr>
                    <w:top w:val="none" w:sz="0" w:space="0" w:color="auto"/>
                    <w:left w:val="none" w:sz="0" w:space="0" w:color="auto"/>
                    <w:bottom w:val="none" w:sz="0" w:space="0" w:color="auto"/>
                    <w:right w:val="none" w:sz="0" w:space="0" w:color="auto"/>
                  </w:divBdr>
                  <w:divsChild>
                    <w:div w:id="906912860">
                      <w:marLeft w:val="0"/>
                      <w:marRight w:val="0"/>
                      <w:marTop w:val="0"/>
                      <w:marBottom w:val="0"/>
                      <w:divBdr>
                        <w:top w:val="none" w:sz="0" w:space="0" w:color="auto"/>
                        <w:left w:val="none" w:sz="0" w:space="0" w:color="auto"/>
                        <w:bottom w:val="none" w:sz="0" w:space="0" w:color="auto"/>
                        <w:right w:val="none" w:sz="0" w:space="0" w:color="auto"/>
                      </w:divBdr>
                    </w:div>
                    <w:div w:id="1587109692">
                      <w:marLeft w:val="0"/>
                      <w:marRight w:val="0"/>
                      <w:marTop w:val="0"/>
                      <w:marBottom w:val="0"/>
                      <w:divBdr>
                        <w:top w:val="none" w:sz="0" w:space="0" w:color="auto"/>
                        <w:left w:val="none" w:sz="0" w:space="0" w:color="auto"/>
                        <w:bottom w:val="none" w:sz="0" w:space="0" w:color="auto"/>
                        <w:right w:val="none" w:sz="0" w:space="0" w:color="auto"/>
                      </w:divBdr>
                    </w:div>
                  </w:divsChild>
                </w:div>
                <w:div w:id="1047144712">
                  <w:marLeft w:val="0"/>
                  <w:marRight w:val="0"/>
                  <w:marTop w:val="0"/>
                  <w:marBottom w:val="0"/>
                  <w:divBdr>
                    <w:top w:val="none" w:sz="0" w:space="0" w:color="auto"/>
                    <w:left w:val="none" w:sz="0" w:space="0" w:color="auto"/>
                    <w:bottom w:val="none" w:sz="0" w:space="0" w:color="auto"/>
                    <w:right w:val="none" w:sz="0" w:space="0" w:color="auto"/>
                  </w:divBdr>
                  <w:divsChild>
                    <w:div w:id="37904329">
                      <w:marLeft w:val="0"/>
                      <w:marRight w:val="0"/>
                      <w:marTop w:val="0"/>
                      <w:marBottom w:val="0"/>
                      <w:divBdr>
                        <w:top w:val="none" w:sz="0" w:space="0" w:color="auto"/>
                        <w:left w:val="none" w:sz="0" w:space="0" w:color="auto"/>
                        <w:bottom w:val="none" w:sz="0" w:space="0" w:color="auto"/>
                        <w:right w:val="none" w:sz="0" w:space="0" w:color="auto"/>
                      </w:divBdr>
                    </w:div>
                  </w:divsChild>
                </w:div>
                <w:div w:id="1099253362">
                  <w:marLeft w:val="0"/>
                  <w:marRight w:val="0"/>
                  <w:marTop w:val="0"/>
                  <w:marBottom w:val="0"/>
                  <w:divBdr>
                    <w:top w:val="none" w:sz="0" w:space="0" w:color="auto"/>
                    <w:left w:val="none" w:sz="0" w:space="0" w:color="auto"/>
                    <w:bottom w:val="none" w:sz="0" w:space="0" w:color="auto"/>
                    <w:right w:val="none" w:sz="0" w:space="0" w:color="auto"/>
                  </w:divBdr>
                  <w:divsChild>
                    <w:div w:id="330571122">
                      <w:marLeft w:val="0"/>
                      <w:marRight w:val="0"/>
                      <w:marTop w:val="0"/>
                      <w:marBottom w:val="0"/>
                      <w:divBdr>
                        <w:top w:val="none" w:sz="0" w:space="0" w:color="auto"/>
                        <w:left w:val="none" w:sz="0" w:space="0" w:color="auto"/>
                        <w:bottom w:val="none" w:sz="0" w:space="0" w:color="auto"/>
                        <w:right w:val="none" w:sz="0" w:space="0" w:color="auto"/>
                      </w:divBdr>
                    </w:div>
                  </w:divsChild>
                </w:div>
                <w:div w:id="1149785270">
                  <w:marLeft w:val="0"/>
                  <w:marRight w:val="0"/>
                  <w:marTop w:val="0"/>
                  <w:marBottom w:val="0"/>
                  <w:divBdr>
                    <w:top w:val="none" w:sz="0" w:space="0" w:color="auto"/>
                    <w:left w:val="none" w:sz="0" w:space="0" w:color="auto"/>
                    <w:bottom w:val="none" w:sz="0" w:space="0" w:color="auto"/>
                    <w:right w:val="none" w:sz="0" w:space="0" w:color="auto"/>
                  </w:divBdr>
                  <w:divsChild>
                    <w:div w:id="5331096">
                      <w:marLeft w:val="0"/>
                      <w:marRight w:val="0"/>
                      <w:marTop w:val="0"/>
                      <w:marBottom w:val="0"/>
                      <w:divBdr>
                        <w:top w:val="none" w:sz="0" w:space="0" w:color="auto"/>
                        <w:left w:val="none" w:sz="0" w:space="0" w:color="auto"/>
                        <w:bottom w:val="none" w:sz="0" w:space="0" w:color="auto"/>
                        <w:right w:val="none" w:sz="0" w:space="0" w:color="auto"/>
                      </w:divBdr>
                    </w:div>
                    <w:div w:id="1512838274">
                      <w:marLeft w:val="0"/>
                      <w:marRight w:val="0"/>
                      <w:marTop w:val="0"/>
                      <w:marBottom w:val="0"/>
                      <w:divBdr>
                        <w:top w:val="none" w:sz="0" w:space="0" w:color="auto"/>
                        <w:left w:val="none" w:sz="0" w:space="0" w:color="auto"/>
                        <w:bottom w:val="none" w:sz="0" w:space="0" w:color="auto"/>
                        <w:right w:val="none" w:sz="0" w:space="0" w:color="auto"/>
                      </w:divBdr>
                    </w:div>
                  </w:divsChild>
                </w:div>
                <w:div w:id="1243681252">
                  <w:marLeft w:val="0"/>
                  <w:marRight w:val="0"/>
                  <w:marTop w:val="0"/>
                  <w:marBottom w:val="0"/>
                  <w:divBdr>
                    <w:top w:val="none" w:sz="0" w:space="0" w:color="auto"/>
                    <w:left w:val="none" w:sz="0" w:space="0" w:color="auto"/>
                    <w:bottom w:val="none" w:sz="0" w:space="0" w:color="auto"/>
                    <w:right w:val="none" w:sz="0" w:space="0" w:color="auto"/>
                  </w:divBdr>
                  <w:divsChild>
                    <w:div w:id="2045136400">
                      <w:marLeft w:val="0"/>
                      <w:marRight w:val="0"/>
                      <w:marTop w:val="0"/>
                      <w:marBottom w:val="0"/>
                      <w:divBdr>
                        <w:top w:val="none" w:sz="0" w:space="0" w:color="auto"/>
                        <w:left w:val="none" w:sz="0" w:space="0" w:color="auto"/>
                        <w:bottom w:val="none" w:sz="0" w:space="0" w:color="auto"/>
                        <w:right w:val="none" w:sz="0" w:space="0" w:color="auto"/>
                      </w:divBdr>
                    </w:div>
                  </w:divsChild>
                </w:div>
                <w:div w:id="1272861499">
                  <w:marLeft w:val="0"/>
                  <w:marRight w:val="0"/>
                  <w:marTop w:val="0"/>
                  <w:marBottom w:val="0"/>
                  <w:divBdr>
                    <w:top w:val="none" w:sz="0" w:space="0" w:color="auto"/>
                    <w:left w:val="none" w:sz="0" w:space="0" w:color="auto"/>
                    <w:bottom w:val="none" w:sz="0" w:space="0" w:color="auto"/>
                    <w:right w:val="none" w:sz="0" w:space="0" w:color="auto"/>
                  </w:divBdr>
                  <w:divsChild>
                    <w:div w:id="725687477">
                      <w:marLeft w:val="0"/>
                      <w:marRight w:val="0"/>
                      <w:marTop w:val="0"/>
                      <w:marBottom w:val="0"/>
                      <w:divBdr>
                        <w:top w:val="none" w:sz="0" w:space="0" w:color="auto"/>
                        <w:left w:val="none" w:sz="0" w:space="0" w:color="auto"/>
                        <w:bottom w:val="none" w:sz="0" w:space="0" w:color="auto"/>
                        <w:right w:val="none" w:sz="0" w:space="0" w:color="auto"/>
                      </w:divBdr>
                    </w:div>
                    <w:div w:id="1753816205">
                      <w:marLeft w:val="0"/>
                      <w:marRight w:val="0"/>
                      <w:marTop w:val="0"/>
                      <w:marBottom w:val="0"/>
                      <w:divBdr>
                        <w:top w:val="none" w:sz="0" w:space="0" w:color="auto"/>
                        <w:left w:val="none" w:sz="0" w:space="0" w:color="auto"/>
                        <w:bottom w:val="none" w:sz="0" w:space="0" w:color="auto"/>
                        <w:right w:val="none" w:sz="0" w:space="0" w:color="auto"/>
                      </w:divBdr>
                    </w:div>
                  </w:divsChild>
                </w:div>
                <w:div w:id="1448037967">
                  <w:marLeft w:val="0"/>
                  <w:marRight w:val="0"/>
                  <w:marTop w:val="0"/>
                  <w:marBottom w:val="0"/>
                  <w:divBdr>
                    <w:top w:val="none" w:sz="0" w:space="0" w:color="auto"/>
                    <w:left w:val="none" w:sz="0" w:space="0" w:color="auto"/>
                    <w:bottom w:val="none" w:sz="0" w:space="0" w:color="auto"/>
                    <w:right w:val="none" w:sz="0" w:space="0" w:color="auto"/>
                  </w:divBdr>
                  <w:divsChild>
                    <w:div w:id="500052267">
                      <w:marLeft w:val="0"/>
                      <w:marRight w:val="0"/>
                      <w:marTop w:val="0"/>
                      <w:marBottom w:val="0"/>
                      <w:divBdr>
                        <w:top w:val="none" w:sz="0" w:space="0" w:color="auto"/>
                        <w:left w:val="none" w:sz="0" w:space="0" w:color="auto"/>
                        <w:bottom w:val="none" w:sz="0" w:space="0" w:color="auto"/>
                        <w:right w:val="none" w:sz="0" w:space="0" w:color="auto"/>
                      </w:divBdr>
                    </w:div>
                    <w:div w:id="1848522339">
                      <w:marLeft w:val="0"/>
                      <w:marRight w:val="0"/>
                      <w:marTop w:val="0"/>
                      <w:marBottom w:val="0"/>
                      <w:divBdr>
                        <w:top w:val="none" w:sz="0" w:space="0" w:color="auto"/>
                        <w:left w:val="none" w:sz="0" w:space="0" w:color="auto"/>
                        <w:bottom w:val="none" w:sz="0" w:space="0" w:color="auto"/>
                        <w:right w:val="none" w:sz="0" w:space="0" w:color="auto"/>
                      </w:divBdr>
                    </w:div>
                  </w:divsChild>
                </w:div>
                <w:div w:id="1490751138">
                  <w:marLeft w:val="0"/>
                  <w:marRight w:val="0"/>
                  <w:marTop w:val="0"/>
                  <w:marBottom w:val="0"/>
                  <w:divBdr>
                    <w:top w:val="none" w:sz="0" w:space="0" w:color="auto"/>
                    <w:left w:val="none" w:sz="0" w:space="0" w:color="auto"/>
                    <w:bottom w:val="none" w:sz="0" w:space="0" w:color="auto"/>
                    <w:right w:val="none" w:sz="0" w:space="0" w:color="auto"/>
                  </w:divBdr>
                  <w:divsChild>
                    <w:div w:id="1455443655">
                      <w:marLeft w:val="0"/>
                      <w:marRight w:val="0"/>
                      <w:marTop w:val="0"/>
                      <w:marBottom w:val="0"/>
                      <w:divBdr>
                        <w:top w:val="none" w:sz="0" w:space="0" w:color="auto"/>
                        <w:left w:val="none" w:sz="0" w:space="0" w:color="auto"/>
                        <w:bottom w:val="none" w:sz="0" w:space="0" w:color="auto"/>
                        <w:right w:val="none" w:sz="0" w:space="0" w:color="auto"/>
                      </w:divBdr>
                    </w:div>
                  </w:divsChild>
                </w:div>
                <w:div w:id="1536652559">
                  <w:marLeft w:val="0"/>
                  <w:marRight w:val="0"/>
                  <w:marTop w:val="0"/>
                  <w:marBottom w:val="0"/>
                  <w:divBdr>
                    <w:top w:val="none" w:sz="0" w:space="0" w:color="auto"/>
                    <w:left w:val="none" w:sz="0" w:space="0" w:color="auto"/>
                    <w:bottom w:val="none" w:sz="0" w:space="0" w:color="auto"/>
                    <w:right w:val="none" w:sz="0" w:space="0" w:color="auto"/>
                  </w:divBdr>
                  <w:divsChild>
                    <w:div w:id="629287077">
                      <w:marLeft w:val="0"/>
                      <w:marRight w:val="0"/>
                      <w:marTop w:val="0"/>
                      <w:marBottom w:val="0"/>
                      <w:divBdr>
                        <w:top w:val="none" w:sz="0" w:space="0" w:color="auto"/>
                        <w:left w:val="none" w:sz="0" w:space="0" w:color="auto"/>
                        <w:bottom w:val="none" w:sz="0" w:space="0" w:color="auto"/>
                        <w:right w:val="none" w:sz="0" w:space="0" w:color="auto"/>
                      </w:divBdr>
                    </w:div>
                  </w:divsChild>
                </w:div>
                <w:div w:id="1703822532">
                  <w:marLeft w:val="0"/>
                  <w:marRight w:val="0"/>
                  <w:marTop w:val="0"/>
                  <w:marBottom w:val="0"/>
                  <w:divBdr>
                    <w:top w:val="none" w:sz="0" w:space="0" w:color="auto"/>
                    <w:left w:val="none" w:sz="0" w:space="0" w:color="auto"/>
                    <w:bottom w:val="none" w:sz="0" w:space="0" w:color="auto"/>
                    <w:right w:val="none" w:sz="0" w:space="0" w:color="auto"/>
                  </w:divBdr>
                  <w:divsChild>
                    <w:div w:id="1680229533">
                      <w:marLeft w:val="0"/>
                      <w:marRight w:val="0"/>
                      <w:marTop w:val="0"/>
                      <w:marBottom w:val="0"/>
                      <w:divBdr>
                        <w:top w:val="none" w:sz="0" w:space="0" w:color="auto"/>
                        <w:left w:val="none" w:sz="0" w:space="0" w:color="auto"/>
                        <w:bottom w:val="none" w:sz="0" w:space="0" w:color="auto"/>
                        <w:right w:val="none" w:sz="0" w:space="0" w:color="auto"/>
                      </w:divBdr>
                    </w:div>
                    <w:div w:id="1759516539">
                      <w:marLeft w:val="0"/>
                      <w:marRight w:val="0"/>
                      <w:marTop w:val="0"/>
                      <w:marBottom w:val="0"/>
                      <w:divBdr>
                        <w:top w:val="none" w:sz="0" w:space="0" w:color="auto"/>
                        <w:left w:val="none" w:sz="0" w:space="0" w:color="auto"/>
                        <w:bottom w:val="none" w:sz="0" w:space="0" w:color="auto"/>
                        <w:right w:val="none" w:sz="0" w:space="0" w:color="auto"/>
                      </w:divBdr>
                    </w:div>
                  </w:divsChild>
                </w:div>
                <w:div w:id="1720588591">
                  <w:marLeft w:val="0"/>
                  <w:marRight w:val="0"/>
                  <w:marTop w:val="0"/>
                  <w:marBottom w:val="0"/>
                  <w:divBdr>
                    <w:top w:val="none" w:sz="0" w:space="0" w:color="auto"/>
                    <w:left w:val="none" w:sz="0" w:space="0" w:color="auto"/>
                    <w:bottom w:val="none" w:sz="0" w:space="0" w:color="auto"/>
                    <w:right w:val="none" w:sz="0" w:space="0" w:color="auto"/>
                  </w:divBdr>
                  <w:divsChild>
                    <w:div w:id="512458446">
                      <w:marLeft w:val="0"/>
                      <w:marRight w:val="0"/>
                      <w:marTop w:val="0"/>
                      <w:marBottom w:val="0"/>
                      <w:divBdr>
                        <w:top w:val="none" w:sz="0" w:space="0" w:color="auto"/>
                        <w:left w:val="none" w:sz="0" w:space="0" w:color="auto"/>
                        <w:bottom w:val="none" w:sz="0" w:space="0" w:color="auto"/>
                        <w:right w:val="none" w:sz="0" w:space="0" w:color="auto"/>
                      </w:divBdr>
                    </w:div>
                    <w:div w:id="1490485494">
                      <w:marLeft w:val="0"/>
                      <w:marRight w:val="0"/>
                      <w:marTop w:val="0"/>
                      <w:marBottom w:val="0"/>
                      <w:divBdr>
                        <w:top w:val="none" w:sz="0" w:space="0" w:color="auto"/>
                        <w:left w:val="none" w:sz="0" w:space="0" w:color="auto"/>
                        <w:bottom w:val="none" w:sz="0" w:space="0" w:color="auto"/>
                        <w:right w:val="none" w:sz="0" w:space="0" w:color="auto"/>
                      </w:divBdr>
                    </w:div>
                  </w:divsChild>
                </w:div>
                <w:div w:id="1863859721">
                  <w:marLeft w:val="0"/>
                  <w:marRight w:val="0"/>
                  <w:marTop w:val="0"/>
                  <w:marBottom w:val="0"/>
                  <w:divBdr>
                    <w:top w:val="none" w:sz="0" w:space="0" w:color="auto"/>
                    <w:left w:val="none" w:sz="0" w:space="0" w:color="auto"/>
                    <w:bottom w:val="none" w:sz="0" w:space="0" w:color="auto"/>
                    <w:right w:val="none" w:sz="0" w:space="0" w:color="auto"/>
                  </w:divBdr>
                  <w:divsChild>
                    <w:div w:id="1760103254">
                      <w:marLeft w:val="0"/>
                      <w:marRight w:val="0"/>
                      <w:marTop w:val="0"/>
                      <w:marBottom w:val="0"/>
                      <w:divBdr>
                        <w:top w:val="none" w:sz="0" w:space="0" w:color="auto"/>
                        <w:left w:val="none" w:sz="0" w:space="0" w:color="auto"/>
                        <w:bottom w:val="none" w:sz="0" w:space="0" w:color="auto"/>
                        <w:right w:val="none" w:sz="0" w:space="0" w:color="auto"/>
                      </w:divBdr>
                    </w:div>
                    <w:div w:id="1835678917">
                      <w:marLeft w:val="0"/>
                      <w:marRight w:val="0"/>
                      <w:marTop w:val="0"/>
                      <w:marBottom w:val="0"/>
                      <w:divBdr>
                        <w:top w:val="none" w:sz="0" w:space="0" w:color="auto"/>
                        <w:left w:val="none" w:sz="0" w:space="0" w:color="auto"/>
                        <w:bottom w:val="none" w:sz="0" w:space="0" w:color="auto"/>
                        <w:right w:val="none" w:sz="0" w:space="0" w:color="auto"/>
                      </w:divBdr>
                    </w:div>
                  </w:divsChild>
                </w:div>
                <w:div w:id="1883051512">
                  <w:marLeft w:val="0"/>
                  <w:marRight w:val="0"/>
                  <w:marTop w:val="0"/>
                  <w:marBottom w:val="0"/>
                  <w:divBdr>
                    <w:top w:val="none" w:sz="0" w:space="0" w:color="auto"/>
                    <w:left w:val="none" w:sz="0" w:space="0" w:color="auto"/>
                    <w:bottom w:val="none" w:sz="0" w:space="0" w:color="auto"/>
                    <w:right w:val="none" w:sz="0" w:space="0" w:color="auto"/>
                  </w:divBdr>
                  <w:divsChild>
                    <w:div w:id="659768026">
                      <w:marLeft w:val="0"/>
                      <w:marRight w:val="0"/>
                      <w:marTop w:val="0"/>
                      <w:marBottom w:val="0"/>
                      <w:divBdr>
                        <w:top w:val="none" w:sz="0" w:space="0" w:color="auto"/>
                        <w:left w:val="none" w:sz="0" w:space="0" w:color="auto"/>
                        <w:bottom w:val="none" w:sz="0" w:space="0" w:color="auto"/>
                        <w:right w:val="none" w:sz="0" w:space="0" w:color="auto"/>
                      </w:divBdr>
                    </w:div>
                    <w:div w:id="1014109405">
                      <w:marLeft w:val="0"/>
                      <w:marRight w:val="0"/>
                      <w:marTop w:val="0"/>
                      <w:marBottom w:val="0"/>
                      <w:divBdr>
                        <w:top w:val="none" w:sz="0" w:space="0" w:color="auto"/>
                        <w:left w:val="none" w:sz="0" w:space="0" w:color="auto"/>
                        <w:bottom w:val="none" w:sz="0" w:space="0" w:color="auto"/>
                        <w:right w:val="none" w:sz="0" w:space="0" w:color="auto"/>
                      </w:divBdr>
                    </w:div>
                  </w:divsChild>
                </w:div>
                <w:div w:id="1956405174">
                  <w:marLeft w:val="0"/>
                  <w:marRight w:val="0"/>
                  <w:marTop w:val="0"/>
                  <w:marBottom w:val="0"/>
                  <w:divBdr>
                    <w:top w:val="none" w:sz="0" w:space="0" w:color="auto"/>
                    <w:left w:val="none" w:sz="0" w:space="0" w:color="auto"/>
                    <w:bottom w:val="none" w:sz="0" w:space="0" w:color="auto"/>
                    <w:right w:val="none" w:sz="0" w:space="0" w:color="auto"/>
                  </w:divBdr>
                  <w:divsChild>
                    <w:div w:id="921261120">
                      <w:marLeft w:val="0"/>
                      <w:marRight w:val="0"/>
                      <w:marTop w:val="0"/>
                      <w:marBottom w:val="0"/>
                      <w:divBdr>
                        <w:top w:val="none" w:sz="0" w:space="0" w:color="auto"/>
                        <w:left w:val="none" w:sz="0" w:space="0" w:color="auto"/>
                        <w:bottom w:val="none" w:sz="0" w:space="0" w:color="auto"/>
                        <w:right w:val="none" w:sz="0" w:space="0" w:color="auto"/>
                      </w:divBdr>
                    </w:div>
                    <w:div w:id="1250309737">
                      <w:marLeft w:val="0"/>
                      <w:marRight w:val="0"/>
                      <w:marTop w:val="0"/>
                      <w:marBottom w:val="0"/>
                      <w:divBdr>
                        <w:top w:val="none" w:sz="0" w:space="0" w:color="auto"/>
                        <w:left w:val="none" w:sz="0" w:space="0" w:color="auto"/>
                        <w:bottom w:val="none" w:sz="0" w:space="0" w:color="auto"/>
                        <w:right w:val="none" w:sz="0" w:space="0" w:color="auto"/>
                      </w:divBdr>
                    </w:div>
                  </w:divsChild>
                </w:div>
                <w:div w:id="1981499432">
                  <w:marLeft w:val="0"/>
                  <w:marRight w:val="0"/>
                  <w:marTop w:val="0"/>
                  <w:marBottom w:val="0"/>
                  <w:divBdr>
                    <w:top w:val="none" w:sz="0" w:space="0" w:color="auto"/>
                    <w:left w:val="none" w:sz="0" w:space="0" w:color="auto"/>
                    <w:bottom w:val="none" w:sz="0" w:space="0" w:color="auto"/>
                    <w:right w:val="none" w:sz="0" w:space="0" w:color="auto"/>
                  </w:divBdr>
                  <w:divsChild>
                    <w:div w:id="126975464">
                      <w:marLeft w:val="0"/>
                      <w:marRight w:val="0"/>
                      <w:marTop w:val="0"/>
                      <w:marBottom w:val="0"/>
                      <w:divBdr>
                        <w:top w:val="none" w:sz="0" w:space="0" w:color="auto"/>
                        <w:left w:val="none" w:sz="0" w:space="0" w:color="auto"/>
                        <w:bottom w:val="none" w:sz="0" w:space="0" w:color="auto"/>
                        <w:right w:val="none" w:sz="0" w:space="0" w:color="auto"/>
                      </w:divBdr>
                    </w:div>
                    <w:div w:id="1503009667">
                      <w:marLeft w:val="0"/>
                      <w:marRight w:val="0"/>
                      <w:marTop w:val="0"/>
                      <w:marBottom w:val="0"/>
                      <w:divBdr>
                        <w:top w:val="none" w:sz="0" w:space="0" w:color="auto"/>
                        <w:left w:val="none" w:sz="0" w:space="0" w:color="auto"/>
                        <w:bottom w:val="none" w:sz="0" w:space="0" w:color="auto"/>
                        <w:right w:val="none" w:sz="0" w:space="0" w:color="auto"/>
                      </w:divBdr>
                    </w:div>
                  </w:divsChild>
                </w:div>
                <w:div w:id="2057460138">
                  <w:marLeft w:val="0"/>
                  <w:marRight w:val="0"/>
                  <w:marTop w:val="0"/>
                  <w:marBottom w:val="0"/>
                  <w:divBdr>
                    <w:top w:val="none" w:sz="0" w:space="0" w:color="auto"/>
                    <w:left w:val="none" w:sz="0" w:space="0" w:color="auto"/>
                    <w:bottom w:val="none" w:sz="0" w:space="0" w:color="auto"/>
                    <w:right w:val="none" w:sz="0" w:space="0" w:color="auto"/>
                  </w:divBdr>
                  <w:divsChild>
                    <w:div w:id="1978492261">
                      <w:marLeft w:val="0"/>
                      <w:marRight w:val="0"/>
                      <w:marTop w:val="0"/>
                      <w:marBottom w:val="0"/>
                      <w:divBdr>
                        <w:top w:val="none" w:sz="0" w:space="0" w:color="auto"/>
                        <w:left w:val="none" w:sz="0" w:space="0" w:color="auto"/>
                        <w:bottom w:val="none" w:sz="0" w:space="0" w:color="auto"/>
                        <w:right w:val="none" w:sz="0" w:space="0" w:color="auto"/>
                      </w:divBdr>
                    </w:div>
                    <w:div w:id="2011251456">
                      <w:marLeft w:val="0"/>
                      <w:marRight w:val="0"/>
                      <w:marTop w:val="0"/>
                      <w:marBottom w:val="0"/>
                      <w:divBdr>
                        <w:top w:val="none" w:sz="0" w:space="0" w:color="auto"/>
                        <w:left w:val="none" w:sz="0" w:space="0" w:color="auto"/>
                        <w:bottom w:val="none" w:sz="0" w:space="0" w:color="auto"/>
                        <w:right w:val="none" w:sz="0" w:space="0" w:color="auto"/>
                      </w:divBdr>
                    </w:div>
                  </w:divsChild>
                </w:div>
                <w:div w:id="2060661810">
                  <w:marLeft w:val="0"/>
                  <w:marRight w:val="0"/>
                  <w:marTop w:val="0"/>
                  <w:marBottom w:val="0"/>
                  <w:divBdr>
                    <w:top w:val="none" w:sz="0" w:space="0" w:color="auto"/>
                    <w:left w:val="none" w:sz="0" w:space="0" w:color="auto"/>
                    <w:bottom w:val="none" w:sz="0" w:space="0" w:color="auto"/>
                    <w:right w:val="none" w:sz="0" w:space="0" w:color="auto"/>
                  </w:divBdr>
                  <w:divsChild>
                    <w:div w:id="634797877">
                      <w:marLeft w:val="0"/>
                      <w:marRight w:val="0"/>
                      <w:marTop w:val="0"/>
                      <w:marBottom w:val="0"/>
                      <w:divBdr>
                        <w:top w:val="none" w:sz="0" w:space="0" w:color="auto"/>
                        <w:left w:val="none" w:sz="0" w:space="0" w:color="auto"/>
                        <w:bottom w:val="none" w:sz="0" w:space="0" w:color="auto"/>
                        <w:right w:val="none" w:sz="0" w:space="0" w:color="auto"/>
                      </w:divBdr>
                    </w:div>
                    <w:div w:id="1833642231">
                      <w:marLeft w:val="0"/>
                      <w:marRight w:val="0"/>
                      <w:marTop w:val="0"/>
                      <w:marBottom w:val="0"/>
                      <w:divBdr>
                        <w:top w:val="none" w:sz="0" w:space="0" w:color="auto"/>
                        <w:left w:val="none" w:sz="0" w:space="0" w:color="auto"/>
                        <w:bottom w:val="none" w:sz="0" w:space="0" w:color="auto"/>
                        <w:right w:val="none" w:sz="0" w:space="0" w:color="auto"/>
                      </w:divBdr>
                    </w:div>
                  </w:divsChild>
                </w:div>
                <w:div w:id="2091467686">
                  <w:marLeft w:val="0"/>
                  <w:marRight w:val="0"/>
                  <w:marTop w:val="0"/>
                  <w:marBottom w:val="0"/>
                  <w:divBdr>
                    <w:top w:val="none" w:sz="0" w:space="0" w:color="auto"/>
                    <w:left w:val="none" w:sz="0" w:space="0" w:color="auto"/>
                    <w:bottom w:val="none" w:sz="0" w:space="0" w:color="auto"/>
                    <w:right w:val="none" w:sz="0" w:space="0" w:color="auto"/>
                  </w:divBdr>
                  <w:divsChild>
                    <w:div w:id="1791896739">
                      <w:marLeft w:val="0"/>
                      <w:marRight w:val="0"/>
                      <w:marTop w:val="0"/>
                      <w:marBottom w:val="0"/>
                      <w:divBdr>
                        <w:top w:val="none" w:sz="0" w:space="0" w:color="auto"/>
                        <w:left w:val="none" w:sz="0" w:space="0" w:color="auto"/>
                        <w:bottom w:val="none" w:sz="0" w:space="0" w:color="auto"/>
                        <w:right w:val="none" w:sz="0" w:space="0" w:color="auto"/>
                      </w:divBdr>
                    </w:div>
                  </w:divsChild>
                </w:div>
                <w:div w:id="2113551579">
                  <w:marLeft w:val="0"/>
                  <w:marRight w:val="0"/>
                  <w:marTop w:val="0"/>
                  <w:marBottom w:val="0"/>
                  <w:divBdr>
                    <w:top w:val="none" w:sz="0" w:space="0" w:color="auto"/>
                    <w:left w:val="none" w:sz="0" w:space="0" w:color="auto"/>
                    <w:bottom w:val="none" w:sz="0" w:space="0" w:color="auto"/>
                    <w:right w:val="none" w:sz="0" w:space="0" w:color="auto"/>
                  </w:divBdr>
                  <w:divsChild>
                    <w:div w:id="314575087">
                      <w:marLeft w:val="0"/>
                      <w:marRight w:val="0"/>
                      <w:marTop w:val="0"/>
                      <w:marBottom w:val="0"/>
                      <w:divBdr>
                        <w:top w:val="none" w:sz="0" w:space="0" w:color="auto"/>
                        <w:left w:val="none" w:sz="0" w:space="0" w:color="auto"/>
                        <w:bottom w:val="none" w:sz="0" w:space="0" w:color="auto"/>
                        <w:right w:val="none" w:sz="0" w:space="0" w:color="auto"/>
                      </w:divBdr>
                    </w:div>
                    <w:div w:id="1008093763">
                      <w:marLeft w:val="0"/>
                      <w:marRight w:val="0"/>
                      <w:marTop w:val="0"/>
                      <w:marBottom w:val="0"/>
                      <w:divBdr>
                        <w:top w:val="none" w:sz="0" w:space="0" w:color="auto"/>
                        <w:left w:val="none" w:sz="0" w:space="0" w:color="auto"/>
                        <w:bottom w:val="none" w:sz="0" w:space="0" w:color="auto"/>
                        <w:right w:val="none" w:sz="0" w:space="0" w:color="auto"/>
                      </w:divBdr>
                    </w:div>
                  </w:divsChild>
                </w:div>
                <w:div w:id="2118137046">
                  <w:marLeft w:val="0"/>
                  <w:marRight w:val="0"/>
                  <w:marTop w:val="0"/>
                  <w:marBottom w:val="0"/>
                  <w:divBdr>
                    <w:top w:val="none" w:sz="0" w:space="0" w:color="auto"/>
                    <w:left w:val="none" w:sz="0" w:space="0" w:color="auto"/>
                    <w:bottom w:val="none" w:sz="0" w:space="0" w:color="auto"/>
                    <w:right w:val="none" w:sz="0" w:space="0" w:color="auto"/>
                  </w:divBdr>
                  <w:divsChild>
                    <w:div w:id="1248734961">
                      <w:marLeft w:val="0"/>
                      <w:marRight w:val="0"/>
                      <w:marTop w:val="0"/>
                      <w:marBottom w:val="0"/>
                      <w:divBdr>
                        <w:top w:val="none" w:sz="0" w:space="0" w:color="auto"/>
                        <w:left w:val="none" w:sz="0" w:space="0" w:color="auto"/>
                        <w:bottom w:val="none" w:sz="0" w:space="0" w:color="auto"/>
                        <w:right w:val="none" w:sz="0" w:space="0" w:color="auto"/>
                      </w:divBdr>
                    </w:div>
                    <w:div w:id="163270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252030">
          <w:marLeft w:val="0"/>
          <w:marRight w:val="0"/>
          <w:marTop w:val="0"/>
          <w:marBottom w:val="0"/>
          <w:divBdr>
            <w:top w:val="none" w:sz="0" w:space="0" w:color="auto"/>
            <w:left w:val="none" w:sz="0" w:space="0" w:color="auto"/>
            <w:bottom w:val="none" w:sz="0" w:space="0" w:color="auto"/>
            <w:right w:val="none" w:sz="0" w:space="0" w:color="auto"/>
          </w:divBdr>
        </w:div>
        <w:div w:id="1154755766">
          <w:marLeft w:val="0"/>
          <w:marRight w:val="0"/>
          <w:marTop w:val="0"/>
          <w:marBottom w:val="0"/>
          <w:divBdr>
            <w:top w:val="none" w:sz="0" w:space="0" w:color="auto"/>
            <w:left w:val="none" w:sz="0" w:space="0" w:color="auto"/>
            <w:bottom w:val="none" w:sz="0" w:space="0" w:color="auto"/>
            <w:right w:val="none" w:sz="0" w:space="0" w:color="auto"/>
          </w:divBdr>
        </w:div>
        <w:div w:id="1278218718">
          <w:marLeft w:val="0"/>
          <w:marRight w:val="0"/>
          <w:marTop w:val="0"/>
          <w:marBottom w:val="0"/>
          <w:divBdr>
            <w:top w:val="none" w:sz="0" w:space="0" w:color="auto"/>
            <w:left w:val="none" w:sz="0" w:space="0" w:color="auto"/>
            <w:bottom w:val="none" w:sz="0" w:space="0" w:color="auto"/>
            <w:right w:val="none" w:sz="0" w:space="0" w:color="auto"/>
          </w:divBdr>
        </w:div>
        <w:div w:id="1351106886">
          <w:marLeft w:val="0"/>
          <w:marRight w:val="0"/>
          <w:marTop w:val="0"/>
          <w:marBottom w:val="0"/>
          <w:divBdr>
            <w:top w:val="none" w:sz="0" w:space="0" w:color="auto"/>
            <w:left w:val="none" w:sz="0" w:space="0" w:color="auto"/>
            <w:bottom w:val="none" w:sz="0" w:space="0" w:color="auto"/>
            <w:right w:val="none" w:sz="0" w:space="0" w:color="auto"/>
          </w:divBdr>
        </w:div>
        <w:div w:id="1691563740">
          <w:marLeft w:val="0"/>
          <w:marRight w:val="0"/>
          <w:marTop w:val="0"/>
          <w:marBottom w:val="0"/>
          <w:divBdr>
            <w:top w:val="none" w:sz="0" w:space="0" w:color="auto"/>
            <w:left w:val="none" w:sz="0" w:space="0" w:color="auto"/>
            <w:bottom w:val="none" w:sz="0" w:space="0" w:color="auto"/>
            <w:right w:val="none" w:sz="0" w:space="0" w:color="auto"/>
          </w:divBdr>
        </w:div>
        <w:div w:id="1726224258">
          <w:marLeft w:val="0"/>
          <w:marRight w:val="0"/>
          <w:marTop w:val="0"/>
          <w:marBottom w:val="0"/>
          <w:divBdr>
            <w:top w:val="none" w:sz="0" w:space="0" w:color="auto"/>
            <w:left w:val="none" w:sz="0" w:space="0" w:color="auto"/>
            <w:bottom w:val="none" w:sz="0" w:space="0" w:color="auto"/>
            <w:right w:val="none" w:sz="0" w:space="0" w:color="auto"/>
          </w:divBdr>
        </w:div>
        <w:div w:id="1737238017">
          <w:marLeft w:val="0"/>
          <w:marRight w:val="0"/>
          <w:marTop w:val="0"/>
          <w:marBottom w:val="0"/>
          <w:divBdr>
            <w:top w:val="none" w:sz="0" w:space="0" w:color="auto"/>
            <w:left w:val="none" w:sz="0" w:space="0" w:color="auto"/>
            <w:bottom w:val="none" w:sz="0" w:space="0" w:color="auto"/>
            <w:right w:val="none" w:sz="0" w:space="0" w:color="auto"/>
          </w:divBdr>
        </w:div>
        <w:div w:id="1812211422">
          <w:marLeft w:val="0"/>
          <w:marRight w:val="0"/>
          <w:marTop w:val="0"/>
          <w:marBottom w:val="0"/>
          <w:divBdr>
            <w:top w:val="none" w:sz="0" w:space="0" w:color="auto"/>
            <w:left w:val="none" w:sz="0" w:space="0" w:color="auto"/>
            <w:bottom w:val="none" w:sz="0" w:space="0" w:color="auto"/>
            <w:right w:val="none" w:sz="0" w:space="0" w:color="auto"/>
          </w:divBdr>
        </w:div>
        <w:div w:id="1879932504">
          <w:marLeft w:val="0"/>
          <w:marRight w:val="0"/>
          <w:marTop w:val="0"/>
          <w:marBottom w:val="0"/>
          <w:divBdr>
            <w:top w:val="none" w:sz="0" w:space="0" w:color="auto"/>
            <w:left w:val="none" w:sz="0" w:space="0" w:color="auto"/>
            <w:bottom w:val="none" w:sz="0" w:space="0" w:color="auto"/>
            <w:right w:val="none" w:sz="0" w:space="0" w:color="auto"/>
          </w:divBdr>
        </w:div>
        <w:div w:id="2081174516">
          <w:marLeft w:val="0"/>
          <w:marRight w:val="0"/>
          <w:marTop w:val="0"/>
          <w:marBottom w:val="0"/>
          <w:divBdr>
            <w:top w:val="none" w:sz="0" w:space="0" w:color="auto"/>
            <w:left w:val="none" w:sz="0" w:space="0" w:color="auto"/>
            <w:bottom w:val="none" w:sz="0" w:space="0" w:color="auto"/>
            <w:right w:val="none" w:sz="0" w:space="0" w:color="auto"/>
          </w:divBdr>
        </w:div>
        <w:div w:id="2091655356">
          <w:marLeft w:val="0"/>
          <w:marRight w:val="0"/>
          <w:marTop w:val="0"/>
          <w:marBottom w:val="0"/>
          <w:divBdr>
            <w:top w:val="none" w:sz="0" w:space="0" w:color="auto"/>
            <w:left w:val="none" w:sz="0" w:space="0" w:color="auto"/>
            <w:bottom w:val="none" w:sz="0" w:space="0" w:color="auto"/>
            <w:right w:val="none" w:sz="0" w:space="0" w:color="auto"/>
          </w:divBdr>
        </w:div>
        <w:div w:id="2146003843">
          <w:marLeft w:val="0"/>
          <w:marRight w:val="0"/>
          <w:marTop w:val="0"/>
          <w:marBottom w:val="0"/>
          <w:divBdr>
            <w:top w:val="none" w:sz="0" w:space="0" w:color="auto"/>
            <w:left w:val="none" w:sz="0" w:space="0" w:color="auto"/>
            <w:bottom w:val="none" w:sz="0" w:space="0" w:color="auto"/>
            <w:right w:val="none" w:sz="0" w:space="0" w:color="auto"/>
          </w:divBdr>
        </w:div>
      </w:divsChild>
    </w:div>
    <w:div w:id="306782117">
      <w:bodyDiv w:val="1"/>
      <w:marLeft w:val="0"/>
      <w:marRight w:val="0"/>
      <w:marTop w:val="0"/>
      <w:marBottom w:val="0"/>
      <w:divBdr>
        <w:top w:val="none" w:sz="0" w:space="0" w:color="auto"/>
        <w:left w:val="none" w:sz="0" w:space="0" w:color="auto"/>
        <w:bottom w:val="none" w:sz="0" w:space="0" w:color="auto"/>
        <w:right w:val="none" w:sz="0" w:space="0" w:color="auto"/>
      </w:divBdr>
    </w:div>
    <w:div w:id="311101805">
      <w:bodyDiv w:val="1"/>
      <w:marLeft w:val="0"/>
      <w:marRight w:val="0"/>
      <w:marTop w:val="0"/>
      <w:marBottom w:val="0"/>
      <w:divBdr>
        <w:top w:val="none" w:sz="0" w:space="0" w:color="auto"/>
        <w:left w:val="none" w:sz="0" w:space="0" w:color="auto"/>
        <w:bottom w:val="none" w:sz="0" w:space="0" w:color="auto"/>
        <w:right w:val="none" w:sz="0" w:space="0" w:color="auto"/>
      </w:divBdr>
    </w:div>
    <w:div w:id="324212461">
      <w:bodyDiv w:val="1"/>
      <w:marLeft w:val="0"/>
      <w:marRight w:val="0"/>
      <w:marTop w:val="0"/>
      <w:marBottom w:val="0"/>
      <w:divBdr>
        <w:top w:val="none" w:sz="0" w:space="0" w:color="auto"/>
        <w:left w:val="none" w:sz="0" w:space="0" w:color="auto"/>
        <w:bottom w:val="none" w:sz="0" w:space="0" w:color="auto"/>
        <w:right w:val="none" w:sz="0" w:space="0" w:color="auto"/>
      </w:divBdr>
    </w:div>
    <w:div w:id="326246270">
      <w:bodyDiv w:val="1"/>
      <w:marLeft w:val="0"/>
      <w:marRight w:val="0"/>
      <w:marTop w:val="0"/>
      <w:marBottom w:val="0"/>
      <w:divBdr>
        <w:top w:val="none" w:sz="0" w:space="0" w:color="auto"/>
        <w:left w:val="none" w:sz="0" w:space="0" w:color="auto"/>
        <w:bottom w:val="none" w:sz="0" w:space="0" w:color="auto"/>
        <w:right w:val="none" w:sz="0" w:space="0" w:color="auto"/>
      </w:divBdr>
      <w:divsChild>
        <w:div w:id="1086146312">
          <w:marLeft w:val="0"/>
          <w:marRight w:val="0"/>
          <w:marTop w:val="0"/>
          <w:marBottom w:val="0"/>
          <w:divBdr>
            <w:top w:val="none" w:sz="0" w:space="0" w:color="auto"/>
            <w:left w:val="none" w:sz="0" w:space="0" w:color="auto"/>
            <w:bottom w:val="none" w:sz="0" w:space="0" w:color="auto"/>
            <w:right w:val="none" w:sz="0" w:space="0" w:color="auto"/>
          </w:divBdr>
        </w:div>
      </w:divsChild>
    </w:div>
    <w:div w:id="349260610">
      <w:bodyDiv w:val="1"/>
      <w:marLeft w:val="0"/>
      <w:marRight w:val="0"/>
      <w:marTop w:val="0"/>
      <w:marBottom w:val="0"/>
      <w:divBdr>
        <w:top w:val="none" w:sz="0" w:space="0" w:color="auto"/>
        <w:left w:val="none" w:sz="0" w:space="0" w:color="auto"/>
        <w:bottom w:val="none" w:sz="0" w:space="0" w:color="auto"/>
        <w:right w:val="none" w:sz="0" w:space="0" w:color="auto"/>
      </w:divBdr>
    </w:div>
    <w:div w:id="353111975">
      <w:bodyDiv w:val="1"/>
      <w:marLeft w:val="0"/>
      <w:marRight w:val="0"/>
      <w:marTop w:val="0"/>
      <w:marBottom w:val="0"/>
      <w:divBdr>
        <w:top w:val="none" w:sz="0" w:space="0" w:color="auto"/>
        <w:left w:val="none" w:sz="0" w:space="0" w:color="auto"/>
        <w:bottom w:val="none" w:sz="0" w:space="0" w:color="auto"/>
        <w:right w:val="none" w:sz="0" w:space="0" w:color="auto"/>
      </w:divBdr>
    </w:div>
    <w:div w:id="353574347">
      <w:bodyDiv w:val="1"/>
      <w:marLeft w:val="0"/>
      <w:marRight w:val="0"/>
      <w:marTop w:val="0"/>
      <w:marBottom w:val="0"/>
      <w:divBdr>
        <w:top w:val="none" w:sz="0" w:space="0" w:color="auto"/>
        <w:left w:val="none" w:sz="0" w:space="0" w:color="auto"/>
        <w:bottom w:val="none" w:sz="0" w:space="0" w:color="auto"/>
        <w:right w:val="none" w:sz="0" w:space="0" w:color="auto"/>
      </w:divBdr>
    </w:div>
    <w:div w:id="362754047">
      <w:bodyDiv w:val="1"/>
      <w:marLeft w:val="0"/>
      <w:marRight w:val="0"/>
      <w:marTop w:val="0"/>
      <w:marBottom w:val="0"/>
      <w:divBdr>
        <w:top w:val="none" w:sz="0" w:space="0" w:color="auto"/>
        <w:left w:val="none" w:sz="0" w:space="0" w:color="auto"/>
        <w:bottom w:val="none" w:sz="0" w:space="0" w:color="auto"/>
        <w:right w:val="none" w:sz="0" w:space="0" w:color="auto"/>
      </w:divBdr>
    </w:div>
    <w:div w:id="364064731">
      <w:bodyDiv w:val="1"/>
      <w:marLeft w:val="0"/>
      <w:marRight w:val="0"/>
      <w:marTop w:val="0"/>
      <w:marBottom w:val="0"/>
      <w:divBdr>
        <w:top w:val="none" w:sz="0" w:space="0" w:color="auto"/>
        <w:left w:val="none" w:sz="0" w:space="0" w:color="auto"/>
        <w:bottom w:val="none" w:sz="0" w:space="0" w:color="auto"/>
        <w:right w:val="none" w:sz="0" w:space="0" w:color="auto"/>
      </w:divBdr>
    </w:div>
    <w:div w:id="370763795">
      <w:bodyDiv w:val="1"/>
      <w:marLeft w:val="0"/>
      <w:marRight w:val="0"/>
      <w:marTop w:val="0"/>
      <w:marBottom w:val="0"/>
      <w:divBdr>
        <w:top w:val="none" w:sz="0" w:space="0" w:color="auto"/>
        <w:left w:val="none" w:sz="0" w:space="0" w:color="auto"/>
        <w:bottom w:val="none" w:sz="0" w:space="0" w:color="auto"/>
        <w:right w:val="none" w:sz="0" w:space="0" w:color="auto"/>
      </w:divBdr>
    </w:div>
    <w:div w:id="370884125">
      <w:bodyDiv w:val="1"/>
      <w:marLeft w:val="0"/>
      <w:marRight w:val="0"/>
      <w:marTop w:val="0"/>
      <w:marBottom w:val="0"/>
      <w:divBdr>
        <w:top w:val="none" w:sz="0" w:space="0" w:color="auto"/>
        <w:left w:val="none" w:sz="0" w:space="0" w:color="auto"/>
        <w:bottom w:val="none" w:sz="0" w:space="0" w:color="auto"/>
        <w:right w:val="none" w:sz="0" w:space="0" w:color="auto"/>
      </w:divBdr>
    </w:div>
    <w:div w:id="383330368">
      <w:bodyDiv w:val="1"/>
      <w:marLeft w:val="0"/>
      <w:marRight w:val="0"/>
      <w:marTop w:val="0"/>
      <w:marBottom w:val="0"/>
      <w:divBdr>
        <w:top w:val="none" w:sz="0" w:space="0" w:color="auto"/>
        <w:left w:val="none" w:sz="0" w:space="0" w:color="auto"/>
        <w:bottom w:val="none" w:sz="0" w:space="0" w:color="auto"/>
        <w:right w:val="none" w:sz="0" w:space="0" w:color="auto"/>
      </w:divBdr>
    </w:div>
    <w:div w:id="401099825">
      <w:bodyDiv w:val="1"/>
      <w:marLeft w:val="0"/>
      <w:marRight w:val="0"/>
      <w:marTop w:val="0"/>
      <w:marBottom w:val="0"/>
      <w:divBdr>
        <w:top w:val="none" w:sz="0" w:space="0" w:color="auto"/>
        <w:left w:val="none" w:sz="0" w:space="0" w:color="auto"/>
        <w:bottom w:val="none" w:sz="0" w:space="0" w:color="auto"/>
        <w:right w:val="none" w:sz="0" w:space="0" w:color="auto"/>
      </w:divBdr>
    </w:div>
    <w:div w:id="401802229">
      <w:bodyDiv w:val="1"/>
      <w:marLeft w:val="0"/>
      <w:marRight w:val="0"/>
      <w:marTop w:val="0"/>
      <w:marBottom w:val="0"/>
      <w:divBdr>
        <w:top w:val="none" w:sz="0" w:space="0" w:color="auto"/>
        <w:left w:val="none" w:sz="0" w:space="0" w:color="auto"/>
        <w:bottom w:val="none" w:sz="0" w:space="0" w:color="auto"/>
        <w:right w:val="none" w:sz="0" w:space="0" w:color="auto"/>
      </w:divBdr>
    </w:div>
    <w:div w:id="409277161">
      <w:bodyDiv w:val="1"/>
      <w:marLeft w:val="0"/>
      <w:marRight w:val="0"/>
      <w:marTop w:val="0"/>
      <w:marBottom w:val="0"/>
      <w:divBdr>
        <w:top w:val="none" w:sz="0" w:space="0" w:color="auto"/>
        <w:left w:val="none" w:sz="0" w:space="0" w:color="auto"/>
        <w:bottom w:val="none" w:sz="0" w:space="0" w:color="auto"/>
        <w:right w:val="none" w:sz="0" w:space="0" w:color="auto"/>
      </w:divBdr>
    </w:div>
    <w:div w:id="414278900">
      <w:bodyDiv w:val="1"/>
      <w:marLeft w:val="0"/>
      <w:marRight w:val="0"/>
      <w:marTop w:val="0"/>
      <w:marBottom w:val="0"/>
      <w:divBdr>
        <w:top w:val="none" w:sz="0" w:space="0" w:color="auto"/>
        <w:left w:val="none" w:sz="0" w:space="0" w:color="auto"/>
        <w:bottom w:val="none" w:sz="0" w:space="0" w:color="auto"/>
        <w:right w:val="none" w:sz="0" w:space="0" w:color="auto"/>
      </w:divBdr>
    </w:div>
    <w:div w:id="416638212">
      <w:bodyDiv w:val="1"/>
      <w:marLeft w:val="0"/>
      <w:marRight w:val="0"/>
      <w:marTop w:val="0"/>
      <w:marBottom w:val="0"/>
      <w:divBdr>
        <w:top w:val="none" w:sz="0" w:space="0" w:color="auto"/>
        <w:left w:val="none" w:sz="0" w:space="0" w:color="auto"/>
        <w:bottom w:val="none" w:sz="0" w:space="0" w:color="auto"/>
        <w:right w:val="none" w:sz="0" w:space="0" w:color="auto"/>
      </w:divBdr>
    </w:div>
    <w:div w:id="418143311">
      <w:bodyDiv w:val="1"/>
      <w:marLeft w:val="0"/>
      <w:marRight w:val="0"/>
      <w:marTop w:val="0"/>
      <w:marBottom w:val="0"/>
      <w:divBdr>
        <w:top w:val="none" w:sz="0" w:space="0" w:color="auto"/>
        <w:left w:val="none" w:sz="0" w:space="0" w:color="auto"/>
        <w:bottom w:val="none" w:sz="0" w:space="0" w:color="auto"/>
        <w:right w:val="none" w:sz="0" w:space="0" w:color="auto"/>
      </w:divBdr>
    </w:div>
    <w:div w:id="436409378">
      <w:bodyDiv w:val="1"/>
      <w:marLeft w:val="0"/>
      <w:marRight w:val="0"/>
      <w:marTop w:val="0"/>
      <w:marBottom w:val="0"/>
      <w:divBdr>
        <w:top w:val="none" w:sz="0" w:space="0" w:color="auto"/>
        <w:left w:val="none" w:sz="0" w:space="0" w:color="auto"/>
        <w:bottom w:val="none" w:sz="0" w:space="0" w:color="auto"/>
        <w:right w:val="none" w:sz="0" w:space="0" w:color="auto"/>
      </w:divBdr>
    </w:div>
    <w:div w:id="437873958">
      <w:bodyDiv w:val="1"/>
      <w:marLeft w:val="0"/>
      <w:marRight w:val="0"/>
      <w:marTop w:val="0"/>
      <w:marBottom w:val="0"/>
      <w:divBdr>
        <w:top w:val="none" w:sz="0" w:space="0" w:color="auto"/>
        <w:left w:val="none" w:sz="0" w:space="0" w:color="auto"/>
        <w:bottom w:val="none" w:sz="0" w:space="0" w:color="auto"/>
        <w:right w:val="none" w:sz="0" w:space="0" w:color="auto"/>
      </w:divBdr>
    </w:div>
    <w:div w:id="444808048">
      <w:bodyDiv w:val="1"/>
      <w:marLeft w:val="0"/>
      <w:marRight w:val="0"/>
      <w:marTop w:val="0"/>
      <w:marBottom w:val="0"/>
      <w:divBdr>
        <w:top w:val="none" w:sz="0" w:space="0" w:color="auto"/>
        <w:left w:val="none" w:sz="0" w:space="0" w:color="auto"/>
        <w:bottom w:val="none" w:sz="0" w:space="0" w:color="auto"/>
        <w:right w:val="none" w:sz="0" w:space="0" w:color="auto"/>
      </w:divBdr>
    </w:div>
    <w:div w:id="451172393">
      <w:bodyDiv w:val="1"/>
      <w:marLeft w:val="0"/>
      <w:marRight w:val="0"/>
      <w:marTop w:val="0"/>
      <w:marBottom w:val="0"/>
      <w:divBdr>
        <w:top w:val="none" w:sz="0" w:space="0" w:color="auto"/>
        <w:left w:val="none" w:sz="0" w:space="0" w:color="auto"/>
        <w:bottom w:val="none" w:sz="0" w:space="0" w:color="auto"/>
        <w:right w:val="none" w:sz="0" w:space="0" w:color="auto"/>
      </w:divBdr>
    </w:div>
    <w:div w:id="478690055">
      <w:bodyDiv w:val="1"/>
      <w:marLeft w:val="0"/>
      <w:marRight w:val="0"/>
      <w:marTop w:val="0"/>
      <w:marBottom w:val="0"/>
      <w:divBdr>
        <w:top w:val="none" w:sz="0" w:space="0" w:color="auto"/>
        <w:left w:val="none" w:sz="0" w:space="0" w:color="auto"/>
        <w:bottom w:val="none" w:sz="0" w:space="0" w:color="auto"/>
        <w:right w:val="none" w:sz="0" w:space="0" w:color="auto"/>
      </w:divBdr>
    </w:div>
    <w:div w:id="485826724">
      <w:bodyDiv w:val="1"/>
      <w:marLeft w:val="0"/>
      <w:marRight w:val="0"/>
      <w:marTop w:val="0"/>
      <w:marBottom w:val="0"/>
      <w:divBdr>
        <w:top w:val="none" w:sz="0" w:space="0" w:color="auto"/>
        <w:left w:val="none" w:sz="0" w:space="0" w:color="auto"/>
        <w:bottom w:val="none" w:sz="0" w:space="0" w:color="auto"/>
        <w:right w:val="none" w:sz="0" w:space="0" w:color="auto"/>
      </w:divBdr>
    </w:div>
    <w:div w:id="496726928">
      <w:bodyDiv w:val="1"/>
      <w:marLeft w:val="0"/>
      <w:marRight w:val="0"/>
      <w:marTop w:val="0"/>
      <w:marBottom w:val="0"/>
      <w:divBdr>
        <w:top w:val="none" w:sz="0" w:space="0" w:color="auto"/>
        <w:left w:val="none" w:sz="0" w:space="0" w:color="auto"/>
        <w:bottom w:val="none" w:sz="0" w:space="0" w:color="auto"/>
        <w:right w:val="none" w:sz="0" w:space="0" w:color="auto"/>
      </w:divBdr>
    </w:div>
    <w:div w:id="501042984">
      <w:bodyDiv w:val="1"/>
      <w:marLeft w:val="0"/>
      <w:marRight w:val="0"/>
      <w:marTop w:val="0"/>
      <w:marBottom w:val="0"/>
      <w:divBdr>
        <w:top w:val="none" w:sz="0" w:space="0" w:color="auto"/>
        <w:left w:val="none" w:sz="0" w:space="0" w:color="auto"/>
        <w:bottom w:val="none" w:sz="0" w:space="0" w:color="auto"/>
        <w:right w:val="none" w:sz="0" w:space="0" w:color="auto"/>
      </w:divBdr>
    </w:div>
    <w:div w:id="512299752">
      <w:bodyDiv w:val="1"/>
      <w:marLeft w:val="0"/>
      <w:marRight w:val="0"/>
      <w:marTop w:val="0"/>
      <w:marBottom w:val="0"/>
      <w:divBdr>
        <w:top w:val="none" w:sz="0" w:space="0" w:color="auto"/>
        <w:left w:val="none" w:sz="0" w:space="0" w:color="auto"/>
        <w:bottom w:val="none" w:sz="0" w:space="0" w:color="auto"/>
        <w:right w:val="none" w:sz="0" w:space="0" w:color="auto"/>
      </w:divBdr>
    </w:div>
    <w:div w:id="520508616">
      <w:bodyDiv w:val="1"/>
      <w:marLeft w:val="0"/>
      <w:marRight w:val="0"/>
      <w:marTop w:val="0"/>
      <w:marBottom w:val="0"/>
      <w:divBdr>
        <w:top w:val="none" w:sz="0" w:space="0" w:color="auto"/>
        <w:left w:val="none" w:sz="0" w:space="0" w:color="auto"/>
        <w:bottom w:val="none" w:sz="0" w:space="0" w:color="auto"/>
        <w:right w:val="none" w:sz="0" w:space="0" w:color="auto"/>
      </w:divBdr>
    </w:div>
    <w:div w:id="523638459">
      <w:bodyDiv w:val="1"/>
      <w:marLeft w:val="0"/>
      <w:marRight w:val="0"/>
      <w:marTop w:val="0"/>
      <w:marBottom w:val="0"/>
      <w:divBdr>
        <w:top w:val="none" w:sz="0" w:space="0" w:color="auto"/>
        <w:left w:val="none" w:sz="0" w:space="0" w:color="auto"/>
        <w:bottom w:val="none" w:sz="0" w:space="0" w:color="auto"/>
        <w:right w:val="none" w:sz="0" w:space="0" w:color="auto"/>
      </w:divBdr>
    </w:div>
    <w:div w:id="524826345">
      <w:bodyDiv w:val="1"/>
      <w:marLeft w:val="0"/>
      <w:marRight w:val="0"/>
      <w:marTop w:val="0"/>
      <w:marBottom w:val="0"/>
      <w:divBdr>
        <w:top w:val="none" w:sz="0" w:space="0" w:color="auto"/>
        <w:left w:val="none" w:sz="0" w:space="0" w:color="auto"/>
        <w:bottom w:val="none" w:sz="0" w:space="0" w:color="auto"/>
        <w:right w:val="none" w:sz="0" w:space="0" w:color="auto"/>
      </w:divBdr>
    </w:div>
    <w:div w:id="527989634">
      <w:bodyDiv w:val="1"/>
      <w:marLeft w:val="0"/>
      <w:marRight w:val="0"/>
      <w:marTop w:val="0"/>
      <w:marBottom w:val="0"/>
      <w:divBdr>
        <w:top w:val="none" w:sz="0" w:space="0" w:color="auto"/>
        <w:left w:val="none" w:sz="0" w:space="0" w:color="auto"/>
        <w:bottom w:val="none" w:sz="0" w:space="0" w:color="auto"/>
        <w:right w:val="none" w:sz="0" w:space="0" w:color="auto"/>
      </w:divBdr>
    </w:div>
    <w:div w:id="542642441">
      <w:bodyDiv w:val="1"/>
      <w:marLeft w:val="0"/>
      <w:marRight w:val="0"/>
      <w:marTop w:val="0"/>
      <w:marBottom w:val="0"/>
      <w:divBdr>
        <w:top w:val="none" w:sz="0" w:space="0" w:color="auto"/>
        <w:left w:val="none" w:sz="0" w:space="0" w:color="auto"/>
        <w:bottom w:val="none" w:sz="0" w:space="0" w:color="auto"/>
        <w:right w:val="none" w:sz="0" w:space="0" w:color="auto"/>
      </w:divBdr>
    </w:div>
    <w:div w:id="558247180">
      <w:bodyDiv w:val="1"/>
      <w:marLeft w:val="0"/>
      <w:marRight w:val="0"/>
      <w:marTop w:val="0"/>
      <w:marBottom w:val="0"/>
      <w:divBdr>
        <w:top w:val="none" w:sz="0" w:space="0" w:color="auto"/>
        <w:left w:val="none" w:sz="0" w:space="0" w:color="auto"/>
        <w:bottom w:val="none" w:sz="0" w:space="0" w:color="auto"/>
        <w:right w:val="none" w:sz="0" w:space="0" w:color="auto"/>
      </w:divBdr>
    </w:div>
    <w:div w:id="563104728">
      <w:bodyDiv w:val="1"/>
      <w:marLeft w:val="0"/>
      <w:marRight w:val="0"/>
      <w:marTop w:val="0"/>
      <w:marBottom w:val="0"/>
      <w:divBdr>
        <w:top w:val="none" w:sz="0" w:space="0" w:color="auto"/>
        <w:left w:val="none" w:sz="0" w:space="0" w:color="auto"/>
        <w:bottom w:val="none" w:sz="0" w:space="0" w:color="auto"/>
        <w:right w:val="none" w:sz="0" w:space="0" w:color="auto"/>
      </w:divBdr>
    </w:div>
    <w:div w:id="592394215">
      <w:bodyDiv w:val="1"/>
      <w:marLeft w:val="0"/>
      <w:marRight w:val="0"/>
      <w:marTop w:val="0"/>
      <w:marBottom w:val="0"/>
      <w:divBdr>
        <w:top w:val="none" w:sz="0" w:space="0" w:color="auto"/>
        <w:left w:val="none" w:sz="0" w:space="0" w:color="auto"/>
        <w:bottom w:val="none" w:sz="0" w:space="0" w:color="auto"/>
        <w:right w:val="none" w:sz="0" w:space="0" w:color="auto"/>
      </w:divBdr>
    </w:div>
    <w:div w:id="600533114">
      <w:bodyDiv w:val="1"/>
      <w:marLeft w:val="0"/>
      <w:marRight w:val="0"/>
      <w:marTop w:val="0"/>
      <w:marBottom w:val="0"/>
      <w:divBdr>
        <w:top w:val="none" w:sz="0" w:space="0" w:color="auto"/>
        <w:left w:val="none" w:sz="0" w:space="0" w:color="auto"/>
        <w:bottom w:val="none" w:sz="0" w:space="0" w:color="auto"/>
        <w:right w:val="none" w:sz="0" w:space="0" w:color="auto"/>
      </w:divBdr>
      <w:divsChild>
        <w:div w:id="1100761331">
          <w:marLeft w:val="0"/>
          <w:marRight w:val="0"/>
          <w:marTop w:val="0"/>
          <w:marBottom w:val="0"/>
          <w:divBdr>
            <w:top w:val="none" w:sz="0" w:space="0" w:color="auto"/>
            <w:left w:val="none" w:sz="0" w:space="0" w:color="auto"/>
            <w:bottom w:val="none" w:sz="0" w:space="0" w:color="auto"/>
            <w:right w:val="none" w:sz="0" w:space="0" w:color="auto"/>
          </w:divBdr>
        </w:div>
        <w:div w:id="1907447311">
          <w:marLeft w:val="0"/>
          <w:marRight w:val="0"/>
          <w:marTop w:val="0"/>
          <w:marBottom w:val="0"/>
          <w:divBdr>
            <w:top w:val="none" w:sz="0" w:space="0" w:color="auto"/>
            <w:left w:val="none" w:sz="0" w:space="0" w:color="auto"/>
            <w:bottom w:val="none" w:sz="0" w:space="0" w:color="auto"/>
            <w:right w:val="none" w:sz="0" w:space="0" w:color="auto"/>
          </w:divBdr>
        </w:div>
      </w:divsChild>
    </w:div>
    <w:div w:id="605969139">
      <w:bodyDiv w:val="1"/>
      <w:marLeft w:val="0"/>
      <w:marRight w:val="0"/>
      <w:marTop w:val="0"/>
      <w:marBottom w:val="0"/>
      <w:divBdr>
        <w:top w:val="none" w:sz="0" w:space="0" w:color="auto"/>
        <w:left w:val="none" w:sz="0" w:space="0" w:color="auto"/>
        <w:bottom w:val="none" w:sz="0" w:space="0" w:color="auto"/>
        <w:right w:val="none" w:sz="0" w:space="0" w:color="auto"/>
      </w:divBdr>
    </w:div>
    <w:div w:id="607657871">
      <w:bodyDiv w:val="1"/>
      <w:marLeft w:val="0"/>
      <w:marRight w:val="0"/>
      <w:marTop w:val="0"/>
      <w:marBottom w:val="0"/>
      <w:divBdr>
        <w:top w:val="none" w:sz="0" w:space="0" w:color="auto"/>
        <w:left w:val="none" w:sz="0" w:space="0" w:color="auto"/>
        <w:bottom w:val="none" w:sz="0" w:space="0" w:color="auto"/>
        <w:right w:val="none" w:sz="0" w:space="0" w:color="auto"/>
      </w:divBdr>
    </w:div>
    <w:div w:id="615868370">
      <w:bodyDiv w:val="1"/>
      <w:marLeft w:val="0"/>
      <w:marRight w:val="0"/>
      <w:marTop w:val="0"/>
      <w:marBottom w:val="0"/>
      <w:divBdr>
        <w:top w:val="none" w:sz="0" w:space="0" w:color="auto"/>
        <w:left w:val="none" w:sz="0" w:space="0" w:color="auto"/>
        <w:bottom w:val="none" w:sz="0" w:space="0" w:color="auto"/>
        <w:right w:val="none" w:sz="0" w:space="0" w:color="auto"/>
      </w:divBdr>
    </w:div>
    <w:div w:id="631326775">
      <w:bodyDiv w:val="1"/>
      <w:marLeft w:val="0"/>
      <w:marRight w:val="0"/>
      <w:marTop w:val="0"/>
      <w:marBottom w:val="0"/>
      <w:divBdr>
        <w:top w:val="none" w:sz="0" w:space="0" w:color="auto"/>
        <w:left w:val="none" w:sz="0" w:space="0" w:color="auto"/>
        <w:bottom w:val="none" w:sz="0" w:space="0" w:color="auto"/>
        <w:right w:val="none" w:sz="0" w:space="0" w:color="auto"/>
      </w:divBdr>
    </w:div>
    <w:div w:id="643893838">
      <w:bodyDiv w:val="1"/>
      <w:marLeft w:val="0"/>
      <w:marRight w:val="0"/>
      <w:marTop w:val="0"/>
      <w:marBottom w:val="0"/>
      <w:divBdr>
        <w:top w:val="none" w:sz="0" w:space="0" w:color="auto"/>
        <w:left w:val="none" w:sz="0" w:space="0" w:color="auto"/>
        <w:bottom w:val="none" w:sz="0" w:space="0" w:color="auto"/>
        <w:right w:val="none" w:sz="0" w:space="0" w:color="auto"/>
      </w:divBdr>
    </w:div>
    <w:div w:id="652370862">
      <w:bodyDiv w:val="1"/>
      <w:marLeft w:val="0"/>
      <w:marRight w:val="0"/>
      <w:marTop w:val="0"/>
      <w:marBottom w:val="0"/>
      <w:divBdr>
        <w:top w:val="none" w:sz="0" w:space="0" w:color="auto"/>
        <w:left w:val="none" w:sz="0" w:space="0" w:color="auto"/>
        <w:bottom w:val="none" w:sz="0" w:space="0" w:color="auto"/>
        <w:right w:val="none" w:sz="0" w:space="0" w:color="auto"/>
      </w:divBdr>
    </w:div>
    <w:div w:id="670986489">
      <w:bodyDiv w:val="1"/>
      <w:marLeft w:val="0"/>
      <w:marRight w:val="0"/>
      <w:marTop w:val="0"/>
      <w:marBottom w:val="0"/>
      <w:divBdr>
        <w:top w:val="none" w:sz="0" w:space="0" w:color="auto"/>
        <w:left w:val="none" w:sz="0" w:space="0" w:color="auto"/>
        <w:bottom w:val="none" w:sz="0" w:space="0" w:color="auto"/>
        <w:right w:val="none" w:sz="0" w:space="0" w:color="auto"/>
      </w:divBdr>
    </w:div>
    <w:div w:id="676618184">
      <w:bodyDiv w:val="1"/>
      <w:marLeft w:val="0"/>
      <w:marRight w:val="0"/>
      <w:marTop w:val="0"/>
      <w:marBottom w:val="0"/>
      <w:divBdr>
        <w:top w:val="none" w:sz="0" w:space="0" w:color="auto"/>
        <w:left w:val="none" w:sz="0" w:space="0" w:color="auto"/>
        <w:bottom w:val="none" w:sz="0" w:space="0" w:color="auto"/>
        <w:right w:val="none" w:sz="0" w:space="0" w:color="auto"/>
      </w:divBdr>
    </w:div>
    <w:div w:id="711928306">
      <w:bodyDiv w:val="1"/>
      <w:marLeft w:val="0"/>
      <w:marRight w:val="0"/>
      <w:marTop w:val="0"/>
      <w:marBottom w:val="0"/>
      <w:divBdr>
        <w:top w:val="none" w:sz="0" w:space="0" w:color="auto"/>
        <w:left w:val="none" w:sz="0" w:space="0" w:color="auto"/>
        <w:bottom w:val="none" w:sz="0" w:space="0" w:color="auto"/>
        <w:right w:val="none" w:sz="0" w:space="0" w:color="auto"/>
      </w:divBdr>
    </w:div>
    <w:div w:id="733820622">
      <w:bodyDiv w:val="1"/>
      <w:marLeft w:val="0"/>
      <w:marRight w:val="0"/>
      <w:marTop w:val="0"/>
      <w:marBottom w:val="0"/>
      <w:divBdr>
        <w:top w:val="none" w:sz="0" w:space="0" w:color="auto"/>
        <w:left w:val="none" w:sz="0" w:space="0" w:color="auto"/>
        <w:bottom w:val="none" w:sz="0" w:space="0" w:color="auto"/>
        <w:right w:val="none" w:sz="0" w:space="0" w:color="auto"/>
      </w:divBdr>
    </w:div>
    <w:div w:id="739907007">
      <w:bodyDiv w:val="1"/>
      <w:marLeft w:val="0"/>
      <w:marRight w:val="0"/>
      <w:marTop w:val="0"/>
      <w:marBottom w:val="0"/>
      <w:divBdr>
        <w:top w:val="none" w:sz="0" w:space="0" w:color="auto"/>
        <w:left w:val="none" w:sz="0" w:space="0" w:color="auto"/>
        <w:bottom w:val="none" w:sz="0" w:space="0" w:color="auto"/>
        <w:right w:val="none" w:sz="0" w:space="0" w:color="auto"/>
      </w:divBdr>
    </w:div>
    <w:div w:id="742064963">
      <w:bodyDiv w:val="1"/>
      <w:marLeft w:val="0"/>
      <w:marRight w:val="0"/>
      <w:marTop w:val="0"/>
      <w:marBottom w:val="0"/>
      <w:divBdr>
        <w:top w:val="none" w:sz="0" w:space="0" w:color="auto"/>
        <w:left w:val="none" w:sz="0" w:space="0" w:color="auto"/>
        <w:bottom w:val="none" w:sz="0" w:space="0" w:color="auto"/>
        <w:right w:val="none" w:sz="0" w:space="0" w:color="auto"/>
      </w:divBdr>
    </w:div>
    <w:div w:id="742530311">
      <w:bodyDiv w:val="1"/>
      <w:marLeft w:val="0"/>
      <w:marRight w:val="0"/>
      <w:marTop w:val="0"/>
      <w:marBottom w:val="0"/>
      <w:divBdr>
        <w:top w:val="none" w:sz="0" w:space="0" w:color="auto"/>
        <w:left w:val="none" w:sz="0" w:space="0" w:color="auto"/>
        <w:bottom w:val="none" w:sz="0" w:space="0" w:color="auto"/>
        <w:right w:val="none" w:sz="0" w:space="0" w:color="auto"/>
      </w:divBdr>
    </w:div>
    <w:div w:id="768743868">
      <w:bodyDiv w:val="1"/>
      <w:marLeft w:val="0"/>
      <w:marRight w:val="0"/>
      <w:marTop w:val="0"/>
      <w:marBottom w:val="0"/>
      <w:divBdr>
        <w:top w:val="none" w:sz="0" w:space="0" w:color="auto"/>
        <w:left w:val="none" w:sz="0" w:space="0" w:color="auto"/>
        <w:bottom w:val="none" w:sz="0" w:space="0" w:color="auto"/>
        <w:right w:val="none" w:sz="0" w:space="0" w:color="auto"/>
      </w:divBdr>
    </w:div>
    <w:div w:id="793522353">
      <w:bodyDiv w:val="1"/>
      <w:marLeft w:val="0"/>
      <w:marRight w:val="0"/>
      <w:marTop w:val="0"/>
      <w:marBottom w:val="0"/>
      <w:divBdr>
        <w:top w:val="none" w:sz="0" w:space="0" w:color="auto"/>
        <w:left w:val="none" w:sz="0" w:space="0" w:color="auto"/>
        <w:bottom w:val="none" w:sz="0" w:space="0" w:color="auto"/>
        <w:right w:val="none" w:sz="0" w:space="0" w:color="auto"/>
      </w:divBdr>
    </w:div>
    <w:div w:id="805051561">
      <w:bodyDiv w:val="1"/>
      <w:marLeft w:val="0"/>
      <w:marRight w:val="0"/>
      <w:marTop w:val="0"/>
      <w:marBottom w:val="0"/>
      <w:divBdr>
        <w:top w:val="none" w:sz="0" w:space="0" w:color="auto"/>
        <w:left w:val="none" w:sz="0" w:space="0" w:color="auto"/>
        <w:bottom w:val="none" w:sz="0" w:space="0" w:color="auto"/>
        <w:right w:val="none" w:sz="0" w:space="0" w:color="auto"/>
      </w:divBdr>
    </w:div>
    <w:div w:id="808982646">
      <w:bodyDiv w:val="1"/>
      <w:marLeft w:val="0"/>
      <w:marRight w:val="0"/>
      <w:marTop w:val="0"/>
      <w:marBottom w:val="0"/>
      <w:divBdr>
        <w:top w:val="none" w:sz="0" w:space="0" w:color="auto"/>
        <w:left w:val="none" w:sz="0" w:space="0" w:color="auto"/>
        <w:bottom w:val="none" w:sz="0" w:space="0" w:color="auto"/>
        <w:right w:val="none" w:sz="0" w:space="0" w:color="auto"/>
      </w:divBdr>
    </w:div>
    <w:div w:id="813987164">
      <w:bodyDiv w:val="1"/>
      <w:marLeft w:val="0"/>
      <w:marRight w:val="0"/>
      <w:marTop w:val="0"/>
      <w:marBottom w:val="0"/>
      <w:divBdr>
        <w:top w:val="none" w:sz="0" w:space="0" w:color="auto"/>
        <w:left w:val="none" w:sz="0" w:space="0" w:color="auto"/>
        <w:bottom w:val="none" w:sz="0" w:space="0" w:color="auto"/>
        <w:right w:val="none" w:sz="0" w:space="0" w:color="auto"/>
      </w:divBdr>
    </w:div>
    <w:div w:id="825242684">
      <w:bodyDiv w:val="1"/>
      <w:marLeft w:val="0"/>
      <w:marRight w:val="0"/>
      <w:marTop w:val="0"/>
      <w:marBottom w:val="0"/>
      <w:divBdr>
        <w:top w:val="none" w:sz="0" w:space="0" w:color="auto"/>
        <w:left w:val="none" w:sz="0" w:space="0" w:color="auto"/>
        <w:bottom w:val="none" w:sz="0" w:space="0" w:color="auto"/>
        <w:right w:val="none" w:sz="0" w:space="0" w:color="auto"/>
      </w:divBdr>
    </w:div>
    <w:div w:id="825434369">
      <w:bodyDiv w:val="1"/>
      <w:marLeft w:val="0"/>
      <w:marRight w:val="0"/>
      <w:marTop w:val="0"/>
      <w:marBottom w:val="0"/>
      <w:divBdr>
        <w:top w:val="none" w:sz="0" w:space="0" w:color="auto"/>
        <w:left w:val="none" w:sz="0" w:space="0" w:color="auto"/>
        <w:bottom w:val="none" w:sz="0" w:space="0" w:color="auto"/>
        <w:right w:val="none" w:sz="0" w:space="0" w:color="auto"/>
      </w:divBdr>
    </w:div>
    <w:div w:id="855659371">
      <w:bodyDiv w:val="1"/>
      <w:marLeft w:val="0"/>
      <w:marRight w:val="0"/>
      <w:marTop w:val="0"/>
      <w:marBottom w:val="0"/>
      <w:divBdr>
        <w:top w:val="none" w:sz="0" w:space="0" w:color="auto"/>
        <w:left w:val="none" w:sz="0" w:space="0" w:color="auto"/>
        <w:bottom w:val="none" w:sz="0" w:space="0" w:color="auto"/>
        <w:right w:val="none" w:sz="0" w:space="0" w:color="auto"/>
      </w:divBdr>
    </w:div>
    <w:div w:id="857886490">
      <w:bodyDiv w:val="1"/>
      <w:marLeft w:val="0"/>
      <w:marRight w:val="0"/>
      <w:marTop w:val="0"/>
      <w:marBottom w:val="0"/>
      <w:divBdr>
        <w:top w:val="none" w:sz="0" w:space="0" w:color="auto"/>
        <w:left w:val="none" w:sz="0" w:space="0" w:color="auto"/>
        <w:bottom w:val="none" w:sz="0" w:space="0" w:color="auto"/>
        <w:right w:val="none" w:sz="0" w:space="0" w:color="auto"/>
      </w:divBdr>
    </w:div>
    <w:div w:id="858465471">
      <w:bodyDiv w:val="1"/>
      <w:marLeft w:val="0"/>
      <w:marRight w:val="0"/>
      <w:marTop w:val="0"/>
      <w:marBottom w:val="0"/>
      <w:divBdr>
        <w:top w:val="none" w:sz="0" w:space="0" w:color="auto"/>
        <w:left w:val="none" w:sz="0" w:space="0" w:color="auto"/>
        <w:bottom w:val="none" w:sz="0" w:space="0" w:color="auto"/>
        <w:right w:val="none" w:sz="0" w:space="0" w:color="auto"/>
      </w:divBdr>
    </w:div>
    <w:div w:id="865485887">
      <w:bodyDiv w:val="1"/>
      <w:marLeft w:val="0"/>
      <w:marRight w:val="0"/>
      <w:marTop w:val="0"/>
      <w:marBottom w:val="0"/>
      <w:divBdr>
        <w:top w:val="none" w:sz="0" w:space="0" w:color="auto"/>
        <w:left w:val="none" w:sz="0" w:space="0" w:color="auto"/>
        <w:bottom w:val="none" w:sz="0" w:space="0" w:color="auto"/>
        <w:right w:val="none" w:sz="0" w:space="0" w:color="auto"/>
      </w:divBdr>
    </w:div>
    <w:div w:id="874730146">
      <w:bodyDiv w:val="1"/>
      <w:marLeft w:val="0"/>
      <w:marRight w:val="0"/>
      <w:marTop w:val="0"/>
      <w:marBottom w:val="0"/>
      <w:divBdr>
        <w:top w:val="none" w:sz="0" w:space="0" w:color="auto"/>
        <w:left w:val="none" w:sz="0" w:space="0" w:color="auto"/>
        <w:bottom w:val="none" w:sz="0" w:space="0" w:color="auto"/>
        <w:right w:val="none" w:sz="0" w:space="0" w:color="auto"/>
      </w:divBdr>
    </w:div>
    <w:div w:id="895823313">
      <w:bodyDiv w:val="1"/>
      <w:marLeft w:val="0"/>
      <w:marRight w:val="0"/>
      <w:marTop w:val="0"/>
      <w:marBottom w:val="0"/>
      <w:divBdr>
        <w:top w:val="none" w:sz="0" w:space="0" w:color="auto"/>
        <w:left w:val="none" w:sz="0" w:space="0" w:color="auto"/>
        <w:bottom w:val="none" w:sz="0" w:space="0" w:color="auto"/>
        <w:right w:val="none" w:sz="0" w:space="0" w:color="auto"/>
      </w:divBdr>
    </w:div>
    <w:div w:id="943223887">
      <w:bodyDiv w:val="1"/>
      <w:marLeft w:val="0"/>
      <w:marRight w:val="0"/>
      <w:marTop w:val="0"/>
      <w:marBottom w:val="0"/>
      <w:divBdr>
        <w:top w:val="none" w:sz="0" w:space="0" w:color="auto"/>
        <w:left w:val="none" w:sz="0" w:space="0" w:color="auto"/>
        <w:bottom w:val="none" w:sz="0" w:space="0" w:color="auto"/>
        <w:right w:val="none" w:sz="0" w:space="0" w:color="auto"/>
      </w:divBdr>
    </w:div>
    <w:div w:id="954605609">
      <w:bodyDiv w:val="1"/>
      <w:marLeft w:val="0"/>
      <w:marRight w:val="0"/>
      <w:marTop w:val="0"/>
      <w:marBottom w:val="0"/>
      <w:divBdr>
        <w:top w:val="none" w:sz="0" w:space="0" w:color="auto"/>
        <w:left w:val="none" w:sz="0" w:space="0" w:color="auto"/>
        <w:bottom w:val="none" w:sz="0" w:space="0" w:color="auto"/>
        <w:right w:val="none" w:sz="0" w:space="0" w:color="auto"/>
      </w:divBdr>
    </w:div>
    <w:div w:id="976227392">
      <w:bodyDiv w:val="1"/>
      <w:marLeft w:val="0"/>
      <w:marRight w:val="0"/>
      <w:marTop w:val="0"/>
      <w:marBottom w:val="0"/>
      <w:divBdr>
        <w:top w:val="none" w:sz="0" w:space="0" w:color="auto"/>
        <w:left w:val="none" w:sz="0" w:space="0" w:color="auto"/>
        <w:bottom w:val="none" w:sz="0" w:space="0" w:color="auto"/>
        <w:right w:val="none" w:sz="0" w:space="0" w:color="auto"/>
      </w:divBdr>
    </w:div>
    <w:div w:id="978152859">
      <w:bodyDiv w:val="1"/>
      <w:marLeft w:val="0"/>
      <w:marRight w:val="0"/>
      <w:marTop w:val="0"/>
      <w:marBottom w:val="0"/>
      <w:divBdr>
        <w:top w:val="none" w:sz="0" w:space="0" w:color="auto"/>
        <w:left w:val="none" w:sz="0" w:space="0" w:color="auto"/>
        <w:bottom w:val="none" w:sz="0" w:space="0" w:color="auto"/>
        <w:right w:val="none" w:sz="0" w:space="0" w:color="auto"/>
      </w:divBdr>
    </w:div>
    <w:div w:id="978650120">
      <w:bodyDiv w:val="1"/>
      <w:marLeft w:val="0"/>
      <w:marRight w:val="0"/>
      <w:marTop w:val="0"/>
      <w:marBottom w:val="0"/>
      <w:divBdr>
        <w:top w:val="none" w:sz="0" w:space="0" w:color="auto"/>
        <w:left w:val="none" w:sz="0" w:space="0" w:color="auto"/>
        <w:bottom w:val="none" w:sz="0" w:space="0" w:color="auto"/>
        <w:right w:val="none" w:sz="0" w:space="0" w:color="auto"/>
      </w:divBdr>
    </w:div>
    <w:div w:id="986398272">
      <w:bodyDiv w:val="1"/>
      <w:marLeft w:val="0"/>
      <w:marRight w:val="0"/>
      <w:marTop w:val="0"/>
      <w:marBottom w:val="0"/>
      <w:divBdr>
        <w:top w:val="none" w:sz="0" w:space="0" w:color="auto"/>
        <w:left w:val="none" w:sz="0" w:space="0" w:color="auto"/>
        <w:bottom w:val="none" w:sz="0" w:space="0" w:color="auto"/>
        <w:right w:val="none" w:sz="0" w:space="0" w:color="auto"/>
      </w:divBdr>
    </w:div>
    <w:div w:id="1000546972">
      <w:bodyDiv w:val="1"/>
      <w:marLeft w:val="0"/>
      <w:marRight w:val="0"/>
      <w:marTop w:val="0"/>
      <w:marBottom w:val="0"/>
      <w:divBdr>
        <w:top w:val="none" w:sz="0" w:space="0" w:color="auto"/>
        <w:left w:val="none" w:sz="0" w:space="0" w:color="auto"/>
        <w:bottom w:val="none" w:sz="0" w:space="0" w:color="auto"/>
        <w:right w:val="none" w:sz="0" w:space="0" w:color="auto"/>
      </w:divBdr>
    </w:div>
    <w:div w:id="1002392794">
      <w:bodyDiv w:val="1"/>
      <w:marLeft w:val="0"/>
      <w:marRight w:val="0"/>
      <w:marTop w:val="0"/>
      <w:marBottom w:val="0"/>
      <w:divBdr>
        <w:top w:val="none" w:sz="0" w:space="0" w:color="auto"/>
        <w:left w:val="none" w:sz="0" w:space="0" w:color="auto"/>
        <w:bottom w:val="none" w:sz="0" w:space="0" w:color="auto"/>
        <w:right w:val="none" w:sz="0" w:space="0" w:color="auto"/>
      </w:divBdr>
    </w:div>
    <w:div w:id="1004093624">
      <w:bodyDiv w:val="1"/>
      <w:marLeft w:val="0"/>
      <w:marRight w:val="0"/>
      <w:marTop w:val="0"/>
      <w:marBottom w:val="0"/>
      <w:divBdr>
        <w:top w:val="none" w:sz="0" w:space="0" w:color="auto"/>
        <w:left w:val="none" w:sz="0" w:space="0" w:color="auto"/>
        <w:bottom w:val="none" w:sz="0" w:space="0" w:color="auto"/>
        <w:right w:val="none" w:sz="0" w:space="0" w:color="auto"/>
      </w:divBdr>
    </w:div>
    <w:div w:id="1009023448">
      <w:bodyDiv w:val="1"/>
      <w:marLeft w:val="0"/>
      <w:marRight w:val="0"/>
      <w:marTop w:val="0"/>
      <w:marBottom w:val="0"/>
      <w:divBdr>
        <w:top w:val="none" w:sz="0" w:space="0" w:color="auto"/>
        <w:left w:val="none" w:sz="0" w:space="0" w:color="auto"/>
        <w:bottom w:val="none" w:sz="0" w:space="0" w:color="auto"/>
        <w:right w:val="none" w:sz="0" w:space="0" w:color="auto"/>
      </w:divBdr>
    </w:div>
    <w:div w:id="1017653941">
      <w:bodyDiv w:val="1"/>
      <w:marLeft w:val="0"/>
      <w:marRight w:val="0"/>
      <w:marTop w:val="0"/>
      <w:marBottom w:val="0"/>
      <w:divBdr>
        <w:top w:val="none" w:sz="0" w:space="0" w:color="auto"/>
        <w:left w:val="none" w:sz="0" w:space="0" w:color="auto"/>
        <w:bottom w:val="none" w:sz="0" w:space="0" w:color="auto"/>
        <w:right w:val="none" w:sz="0" w:space="0" w:color="auto"/>
      </w:divBdr>
    </w:div>
    <w:div w:id="1031029528">
      <w:bodyDiv w:val="1"/>
      <w:marLeft w:val="0"/>
      <w:marRight w:val="0"/>
      <w:marTop w:val="0"/>
      <w:marBottom w:val="0"/>
      <w:divBdr>
        <w:top w:val="none" w:sz="0" w:space="0" w:color="auto"/>
        <w:left w:val="none" w:sz="0" w:space="0" w:color="auto"/>
        <w:bottom w:val="none" w:sz="0" w:space="0" w:color="auto"/>
        <w:right w:val="none" w:sz="0" w:space="0" w:color="auto"/>
      </w:divBdr>
    </w:div>
    <w:div w:id="1033922249">
      <w:bodyDiv w:val="1"/>
      <w:marLeft w:val="0"/>
      <w:marRight w:val="0"/>
      <w:marTop w:val="0"/>
      <w:marBottom w:val="0"/>
      <w:divBdr>
        <w:top w:val="none" w:sz="0" w:space="0" w:color="auto"/>
        <w:left w:val="none" w:sz="0" w:space="0" w:color="auto"/>
        <w:bottom w:val="none" w:sz="0" w:space="0" w:color="auto"/>
        <w:right w:val="none" w:sz="0" w:space="0" w:color="auto"/>
      </w:divBdr>
    </w:div>
    <w:div w:id="1044912988">
      <w:bodyDiv w:val="1"/>
      <w:marLeft w:val="0"/>
      <w:marRight w:val="0"/>
      <w:marTop w:val="0"/>
      <w:marBottom w:val="0"/>
      <w:divBdr>
        <w:top w:val="none" w:sz="0" w:space="0" w:color="auto"/>
        <w:left w:val="none" w:sz="0" w:space="0" w:color="auto"/>
        <w:bottom w:val="none" w:sz="0" w:space="0" w:color="auto"/>
        <w:right w:val="none" w:sz="0" w:space="0" w:color="auto"/>
      </w:divBdr>
    </w:div>
    <w:div w:id="1045566026">
      <w:bodyDiv w:val="1"/>
      <w:marLeft w:val="0"/>
      <w:marRight w:val="0"/>
      <w:marTop w:val="0"/>
      <w:marBottom w:val="0"/>
      <w:divBdr>
        <w:top w:val="none" w:sz="0" w:space="0" w:color="auto"/>
        <w:left w:val="none" w:sz="0" w:space="0" w:color="auto"/>
        <w:bottom w:val="none" w:sz="0" w:space="0" w:color="auto"/>
        <w:right w:val="none" w:sz="0" w:space="0" w:color="auto"/>
      </w:divBdr>
    </w:div>
    <w:div w:id="1049495362">
      <w:bodyDiv w:val="1"/>
      <w:marLeft w:val="0"/>
      <w:marRight w:val="0"/>
      <w:marTop w:val="0"/>
      <w:marBottom w:val="0"/>
      <w:divBdr>
        <w:top w:val="none" w:sz="0" w:space="0" w:color="auto"/>
        <w:left w:val="none" w:sz="0" w:space="0" w:color="auto"/>
        <w:bottom w:val="none" w:sz="0" w:space="0" w:color="auto"/>
        <w:right w:val="none" w:sz="0" w:space="0" w:color="auto"/>
      </w:divBdr>
    </w:div>
    <w:div w:id="1049500945">
      <w:bodyDiv w:val="1"/>
      <w:marLeft w:val="0"/>
      <w:marRight w:val="0"/>
      <w:marTop w:val="0"/>
      <w:marBottom w:val="0"/>
      <w:divBdr>
        <w:top w:val="none" w:sz="0" w:space="0" w:color="auto"/>
        <w:left w:val="none" w:sz="0" w:space="0" w:color="auto"/>
        <w:bottom w:val="none" w:sz="0" w:space="0" w:color="auto"/>
        <w:right w:val="none" w:sz="0" w:space="0" w:color="auto"/>
      </w:divBdr>
    </w:div>
    <w:div w:id="1059940700">
      <w:bodyDiv w:val="1"/>
      <w:marLeft w:val="0"/>
      <w:marRight w:val="0"/>
      <w:marTop w:val="0"/>
      <w:marBottom w:val="0"/>
      <w:divBdr>
        <w:top w:val="none" w:sz="0" w:space="0" w:color="auto"/>
        <w:left w:val="none" w:sz="0" w:space="0" w:color="auto"/>
        <w:bottom w:val="none" w:sz="0" w:space="0" w:color="auto"/>
        <w:right w:val="none" w:sz="0" w:space="0" w:color="auto"/>
      </w:divBdr>
    </w:div>
    <w:div w:id="1060058496">
      <w:bodyDiv w:val="1"/>
      <w:marLeft w:val="0"/>
      <w:marRight w:val="0"/>
      <w:marTop w:val="0"/>
      <w:marBottom w:val="0"/>
      <w:divBdr>
        <w:top w:val="none" w:sz="0" w:space="0" w:color="auto"/>
        <w:left w:val="none" w:sz="0" w:space="0" w:color="auto"/>
        <w:bottom w:val="none" w:sz="0" w:space="0" w:color="auto"/>
        <w:right w:val="none" w:sz="0" w:space="0" w:color="auto"/>
      </w:divBdr>
    </w:div>
    <w:div w:id="1102189474">
      <w:bodyDiv w:val="1"/>
      <w:marLeft w:val="0"/>
      <w:marRight w:val="0"/>
      <w:marTop w:val="0"/>
      <w:marBottom w:val="0"/>
      <w:divBdr>
        <w:top w:val="none" w:sz="0" w:space="0" w:color="auto"/>
        <w:left w:val="none" w:sz="0" w:space="0" w:color="auto"/>
        <w:bottom w:val="none" w:sz="0" w:space="0" w:color="auto"/>
        <w:right w:val="none" w:sz="0" w:space="0" w:color="auto"/>
      </w:divBdr>
    </w:div>
    <w:div w:id="1112937416">
      <w:bodyDiv w:val="1"/>
      <w:marLeft w:val="0"/>
      <w:marRight w:val="0"/>
      <w:marTop w:val="0"/>
      <w:marBottom w:val="0"/>
      <w:divBdr>
        <w:top w:val="none" w:sz="0" w:space="0" w:color="auto"/>
        <w:left w:val="none" w:sz="0" w:space="0" w:color="auto"/>
        <w:bottom w:val="none" w:sz="0" w:space="0" w:color="auto"/>
        <w:right w:val="none" w:sz="0" w:space="0" w:color="auto"/>
      </w:divBdr>
    </w:div>
    <w:div w:id="1113012764">
      <w:bodyDiv w:val="1"/>
      <w:marLeft w:val="0"/>
      <w:marRight w:val="0"/>
      <w:marTop w:val="0"/>
      <w:marBottom w:val="0"/>
      <w:divBdr>
        <w:top w:val="none" w:sz="0" w:space="0" w:color="auto"/>
        <w:left w:val="none" w:sz="0" w:space="0" w:color="auto"/>
        <w:bottom w:val="none" w:sz="0" w:space="0" w:color="auto"/>
        <w:right w:val="none" w:sz="0" w:space="0" w:color="auto"/>
      </w:divBdr>
      <w:divsChild>
        <w:div w:id="423040698">
          <w:marLeft w:val="0"/>
          <w:marRight w:val="0"/>
          <w:marTop w:val="0"/>
          <w:marBottom w:val="0"/>
          <w:divBdr>
            <w:top w:val="none" w:sz="0" w:space="0" w:color="auto"/>
            <w:left w:val="none" w:sz="0" w:space="0" w:color="auto"/>
            <w:bottom w:val="none" w:sz="0" w:space="0" w:color="auto"/>
            <w:right w:val="none" w:sz="0" w:space="0" w:color="auto"/>
          </w:divBdr>
        </w:div>
        <w:div w:id="436291701">
          <w:marLeft w:val="0"/>
          <w:marRight w:val="0"/>
          <w:marTop w:val="0"/>
          <w:marBottom w:val="0"/>
          <w:divBdr>
            <w:top w:val="none" w:sz="0" w:space="0" w:color="auto"/>
            <w:left w:val="none" w:sz="0" w:space="0" w:color="auto"/>
            <w:bottom w:val="none" w:sz="0" w:space="0" w:color="auto"/>
            <w:right w:val="none" w:sz="0" w:space="0" w:color="auto"/>
          </w:divBdr>
        </w:div>
        <w:div w:id="1219125609">
          <w:marLeft w:val="0"/>
          <w:marRight w:val="0"/>
          <w:marTop w:val="0"/>
          <w:marBottom w:val="0"/>
          <w:divBdr>
            <w:top w:val="none" w:sz="0" w:space="0" w:color="auto"/>
            <w:left w:val="none" w:sz="0" w:space="0" w:color="auto"/>
            <w:bottom w:val="none" w:sz="0" w:space="0" w:color="auto"/>
            <w:right w:val="none" w:sz="0" w:space="0" w:color="auto"/>
          </w:divBdr>
        </w:div>
        <w:div w:id="1444030627">
          <w:marLeft w:val="0"/>
          <w:marRight w:val="0"/>
          <w:marTop w:val="0"/>
          <w:marBottom w:val="0"/>
          <w:divBdr>
            <w:top w:val="none" w:sz="0" w:space="0" w:color="auto"/>
            <w:left w:val="none" w:sz="0" w:space="0" w:color="auto"/>
            <w:bottom w:val="none" w:sz="0" w:space="0" w:color="auto"/>
            <w:right w:val="none" w:sz="0" w:space="0" w:color="auto"/>
          </w:divBdr>
        </w:div>
        <w:div w:id="1864634695">
          <w:marLeft w:val="0"/>
          <w:marRight w:val="0"/>
          <w:marTop w:val="0"/>
          <w:marBottom w:val="0"/>
          <w:divBdr>
            <w:top w:val="none" w:sz="0" w:space="0" w:color="auto"/>
            <w:left w:val="none" w:sz="0" w:space="0" w:color="auto"/>
            <w:bottom w:val="none" w:sz="0" w:space="0" w:color="auto"/>
            <w:right w:val="none" w:sz="0" w:space="0" w:color="auto"/>
          </w:divBdr>
        </w:div>
      </w:divsChild>
    </w:div>
    <w:div w:id="1118718115">
      <w:bodyDiv w:val="1"/>
      <w:marLeft w:val="0"/>
      <w:marRight w:val="0"/>
      <w:marTop w:val="0"/>
      <w:marBottom w:val="0"/>
      <w:divBdr>
        <w:top w:val="none" w:sz="0" w:space="0" w:color="auto"/>
        <w:left w:val="none" w:sz="0" w:space="0" w:color="auto"/>
        <w:bottom w:val="none" w:sz="0" w:space="0" w:color="auto"/>
        <w:right w:val="none" w:sz="0" w:space="0" w:color="auto"/>
      </w:divBdr>
    </w:div>
    <w:div w:id="1124301769">
      <w:bodyDiv w:val="1"/>
      <w:marLeft w:val="0"/>
      <w:marRight w:val="0"/>
      <w:marTop w:val="0"/>
      <w:marBottom w:val="0"/>
      <w:divBdr>
        <w:top w:val="none" w:sz="0" w:space="0" w:color="auto"/>
        <w:left w:val="none" w:sz="0" w:space="0" w:color="auto"/>
        <w:bottom w:val="none" w:sz="0" w:space="0" w:color="auto"/>
        <w:right w:val="none" w:sz="0" w:space="0" w:color="auto"/>
      </w:divBdr>
    </w:div>
    <w:div w:id="1126436177">
      <w:bodyDiv w:val="1"/>
      <w:marLeft w:val="0"/>
      <w:marRight w:val="0"/>
      <w:marTop w:val="0"/>
      <w:marBottom w:val="0"/>
      <w:divBdr>
        <w:top w:val="none" w:sz="0" w:space="0" w:color="auto"/>
        <w:left w:val="none" w:sz="0" w:space="0" w:color="auto"/>
        <w:bottom w:val="none" w:sz="0" w:space="0" w:color="auto"/>
        <w:right w:val="none" w:sz="0" w:space="0" w:color="auto"/>
      </w:divBdr>
    </w:div>
    <w:div w:id="1140541704">
      <w:bodyDiv w:val="1"/>
      <w:marLeft w:val="0"/>
      <w:marRight w:val="0"/>
      <w:marTop w:val="0"/>
      <w:marBottom w:val="0"/>
      <w:divBdr>
        <w:top w:val="none" w:sz="0" w:space="0" w:color="auto"/>
        <w:left w:val="none" w:sz="0" w:space="0" w:color="auto"/>
        <w:bottom w:val="none" w:sz="0" w:space="0" w:color="auto"/>
        <w:right w:val="none" w:sz="0" w:space="0" w:color="auto"/>
      </w:divBdr>
    </w:div>
    <w:div w:id="1157528297">
      <w:bodyDiv w:val="1"/>
      <w:marLeft w:val="0"/>
      <w:marRight w:val="0"/>
      <w:marTop w:val="0"/>
      <w:marBottom w:val="0"/>
      <w:divBdr>
        <w:top w:val="none" w:sz="0" w:space="0" w:color="auto"/>
        <w:left w:val="none" w:sz="0" w:space="0" w:color="auto"/>
        <w:bottom w:val="none" w:sz="0" w:space="0" w:color="auto"/>
        <w:right w:val="none" w:sz="0" w:space="0" w:color="auto"/>
      </w:divBdr>
    </w:div>
    <w:div w:id="1165164926">
      <w:bodyDiv w:val="1"/>
      <w:marLeft w:val="0"/>
      <w:marRight w:val="0"/>
      <w:marTop w:val="0"/>
      <w:marBottom w:val="0"/>
      <w:divBdr>
        <w:top w:val="none" w:sz="0" w:space="0" w:color="auto"/>
        <w:left w:val="none" w:sz="0" w:space="0" w:color="auto"/>
        <w:bottom w:val="none" w:sz="0" w:space="0" w:color="auto"/>
        <w:right w:val="none" w:sz="0" w:space="0" w:color="auto"/>
      </w:divBdr>
    </w:div>
    <w:div w:id="1173377612">
      <w:bodyDiv w:val="1"/>
      <w:marLeft w:val="0"/>
      <w:marRight w:val="0"/>
      <w:marTop w:val="0"/>
      <w:marBottom w:val="0"/>
      <w:divBdr>
        <w:top w:val="none" w:sz="0" w:space="0" w:color="auto"/>
        <w:left w:val="none" w:sz="0" w:space="0" w:color="auto"/>
        <w:bottom w:val="none" w:sz="0" w:space="0" w:color="auto"/>
        <w:right w:val="none" w:sz="0" w:space="0" w:color="auto"/>
      </w:divBdr>
    </w:div>
    <w:div w:id="1173690404">
      <w:bodyDiv w:val="1"/>
      <w:marLeft w:val="0"/>
      <w:marRight w:val="0"/>
      <w:marTop w:val="0"/>
      <w:marBottom w:val="0"/>
      <w:divBdr>
        <w:top w:val="none" w:sz="0" w:space="0" w:color="auto"/>
        <w:left w:val="none" w:sz="0" w:space="0" w:color="auto"/>
        <w:bottom w:val="none" w:sz="0" w:space="0" w:color="auto"/>
        <w:right w:val="none" w:sz="0" w:space="0" w:color="auto"/>
      </w:divBdr>
    </w:div>
    <w:div w:id="1195314563">
      <w:bodyDiv w:val="1"/>
      <w:marLeft w:val="0"/>
      <w:marRight w:val="0"/>
      <w:marTop w:val="0"/>
      <w:marBottom w:val="0"/>
      <w:divBdr>
        <w:top w:val="none" w:sz="0" w:space="0" w:color="auto"/>
        <w:left w:val="none" w:sz="0" w:space="0" w:color="auto"/>
        <w:bottom w:val="none" w:sz="0" w:space="0" w:color="auto"/>
        <w:right w:val="none" w:sz="0" w:space="0" w:color="auto"/>
      </w:divBdr>
    </w:div>
    <w:div w:id="1201358073">
      <w:bodyDiv w:val="1"/>
      <w:marLeft w:val="0"/>
      <w:marRight w:val="0"/>
      <w:marTop w:val="0"/>
      <w:marBottom w:val="0"/>
      <w:divBdr>
        <w:top w:val="none" w:sz="0" w:space="0" w:color="auto"/>
        <w:left w:val="none" w:sz="0" w:space="0" w:color="auto"/>
        <w:bottom w:val="none" w:sz="0" w:space="0" w:color="auto"/>
        <w:right w:val="none" w:sz="0" w:space="0" w:color="auto"/>
      </w:divBdr>
      <w:divsChild>
        <w:div w:id="210268984">
          <w:marLeft w:val="0"/>
          <w:marRight w:val="0"/>
          <w:marTop w:val="0"/>
          <w:marBottom w:val="0"/>
          <w:divBdr>
            <w:top w:val="none" w:sz="0" w:space="0" w:color="auto"/>
            <w:left w:val="none" w:sz="0" w:space="0" w:color="auto"/>
            <w:bottom w:val="none" w:sz="0" w:space="0" w:color="auto"/>
            <w:right w:val="none" w:sz="0" w:space="0" w:color="auto"/>
          </w:divBdr>
        </w:div>
        <w:div w:id="583346517">
          <w:marLeft w:val="0"/>
          <w:marRight w:val="0"/>
          <w:marTop w:val="0"/>
          <w:marBottom w:val="0"/>
          <w:divBdr>
            <w:top w:val="none" w:sz="0" w:space="0" w:color="auto"/>
            <w:left w:val="none" w:sz="0" w:space="0" w:color="auto"/>
            <w:bottom w:val="none" w:sz="0" w:space="0" w:color="auto"/>
            <w:right w:val="none" w:sz="0" w:space="0" w:color="auto"/>
          </w:divBdr>
        </w:div>
      </w:divsChild>
    </w:div>
    <w:div w:id="1201554204">
      <w:bodyDiv w:val="1"/>
      <w:marLeft w:val="0"/>
      <w:marRight w:val="0"/>
      <w:marTop w:val="0"/>
      <w:marBottom w:val="0"/>
      <w:divBdr>
        <w:top w:val="none" w:sz="0" w:space="0" w:color="auto"/>
        <w:left w:val="none" w:sz="0" w:space="0" w:color="auto"/>
        <w:bottom w:val="none" w:sz="0" w:space="0" w:color="auto"/>
        <w:right w:val="none" w:sz="0" w:space="0" w:color="auto"/>
      </w:divBdr>
    </w:div>
    <w:div w:id="1224170953">
      <w:bodyDiv w:val="1"/>
      <w:marLeft w:val="0"/>
      <w:marRight w:val="0"/>
      <w:marTop w:val="0"/>
      <w:marBottom w:val="0"/>
      <w:divBdr>
        <w:top w:val="none" w:sz="0" w:space="0" w:color="auto"/>
        <w:left w:val="none" w:sz="0" w:space="0" w:color="auto"/>
        <w:bottom w:val="none" w:sz="0" w:space="0" w:color="auto"/>
        <w:right w:val="none" w:sz="0" w:space="0" w:color="auto"/>
      </w:divBdr>
    </w:div>
    <w:div w:id="1226138586">
      <w:bodyDiv w:val="1"/>
      <w:marLeft w:val="0"/>
      <w:marRight w:val="0"/>
      <w:marTop w:val="0"/>
      <w:marBottom w:val="0"/>
      <w:divBdr>
        <w:top w:val="none" w:sz="0" w:space="0" w:color="auto"/>
        <w:left w:val="none" w:sz="0" w:space="0" w:color="auto"/>
        <w:bottom w:val="none" w:sz="0" w:space="0" w:color="auto"/>
        <w:right w:val="none" w:sz="0" w:space="0" w:color="auto"/>
      </w:divBdr>
    </w:div>
    <w:div w:id="1233085350">
      <w:bodyDiv w:val="1"/>
      <w:marLeft w:val="0"/>
      <w:marRight w:val="0"/>
      <w:marTop w:val="0"/>
      <w:marBottom w:val="0"/>
      <w:divBdr>
        <w:top w:val="none" w:sz="0" w:space="0" w:color="auto"/>
        <w:left w:val="none" w:sz="0" w:space="0" w:color="auto"/>
        <w:bottom w:val="none" w:sz="0" w:space="0" w:color="auto"/>
        <w:right w:val="none" w:sz="0" w:space="0" w:color="auto"/>
      </w:divBdr>
    </w:div>
    <w:div w:id="1238594922">
      <w:bodyDiv w:val="1"/>
      <w:marLeft w:val="0"/>
      <w:marRight w:val="0"/>
      <w:marTop w:val="0"/>
      <w:marBottom w:val="0"/>
      <w:divBdr>
        <w:top w:val="none" w:sz="0" w:space="0" w:color="auto"/>
        <w:left w:val="none" w:sz="0" w:space="0" w:color="auto"/>
        <w:bottom w:val="none" w:sz="0" w:space="0" w:color="auto"/>
        <w:right w:val="none" w:sz="0" w:space="0" w:color="auto"/>
      </w:divBdr>
    </w:div>
    <w:div w:id="1246838236">
      <w:bodyDiv w:val="1"/>
      <w:marLeft w:val="0"/>
      <w:marRight w:val="0"/>
      <w:marTop w:val="0"/>
      <w:marBottom w:val="0"/>
      <w:divBdr>
        <w:top w:val="none" w:sz="0" w:space="0" w:color="auto"/>
        <w:left w:val="none" w:sz="0" w:space="0" w:color="auto"/>
        <w:bottom w:val="none" w:sz="0" w:space="0" w:color="auto"/>
        <w:right w:val="none" w:sz="0" w:space="0" w:color="auto"/>
      </w:divBdr>
    </w:div>
    <w:div w:id="1258514645">
      <w:bodyDiv w:val="1"/>
      <w:marLeft w:val="0"/>
      <w:marRight w:val="0"/>
      <w:marTop w:val="0"/>
      <w:marBottom w:val="0"/>
      <w:divBdr>
        <w:top w:val="none" w:sz="0" w:space="0" w:color="auto"/>
        <w:left w:val="none" w:sz="0" w:space="0" w:color="auto"/>
        <w:bottom w:val="none" w:sz="0" w:space="0" w:color="auto"/>
        <w:right w:val="none" w:sz="0" w:space="0" w:color="auto"/>
      </w:divBdr>
    </w:div>
    <w:div w:id="1272586633">
      <w:bodyDiv w:val="1"/>
      <w:marLeft w:val="0"/>
      <w:marRight w:val="0"/>
      <w:marTop w:val="0"/>
      <w:marBottom w:val="0"/>
      <w:divBdr>
        <w:top w:val="none" w:sz="0" w:space="0" w:color="auto"/>
        <w:left w:val="none" w:sz="0" w:space="0" w:color="auto"/>
        <w:bottom w:val="none" w:sz="0" w:space="0" w:color="auto"/>
        <w:right w:val="none" w:sz="0" w:space="0" w:color="auto"/>
      </w:divBdr>
    </w:div>
    <w:div w:id="1276904372">
      <w:bodyDiv w:val="1"/>
      <w:marLeft w:val="0"/>
      <w:marRight w:val="0"/>
      <w:marTop w:val="0"/>
      <w:marBottom w:val="0"/>
      <w:divBdr>
        <w:top w:val="none" w:sz="0" w:space="0" w:color="auto"/>
        <w:left w:val="none" w:sz="0" w:space="0" w:color="auto"/>
        <w:bottom w:val="none" w:sz="0" w:space="0" w:color="auto"/>
        <w:right w:val="none" w:sz="0" w:space="0" w:color="auto"/>
      </w:divBdr>
    </w:div>
    <w:div w:id="1288075912">
      <w:bodyDiv w:val="1"/>
      <w:marLeft w:val="0"/>
      <w:marRight w:val="0"/>
      <w:marTop w:val="0"/>
      <w:marBottom w:val="0"/>
      <w:divBdr>
        <w:top w:val="none" w:sz="0" w:space="0" w:color="auto"/>
        <w:left w:val="none" w:sz="0" w:space="0" w:color="auto"/>
        <w:bottom w:val="none" w:sz="0" w:space="0" w:color="auto"/>
        <w:right w:val="none" w:sz="0" w:space="0" w:color="auto"/>
      </w:divBdr>
    </w:div>
    <w:div w:id="1300644815">
      <w:bodyDiv w:val="1"/>
      <w:marLeft w:val="0"/>
      <w:marRight w:val="0"/>
      <w:marTop w:val="0"/>
      <w:marBottom w:val="0"/>
      <w:divBdr>
        <w:top w:val="none" w:sz="0" w:space="0" w:color="auto"/>
        <w:left w:val="none" w:sz="0" w:space="0" w:color="auto"/>
        <w:bottom w:val="none" w:sz="0" w:space="0" w:color="auto"/>
        <w:right w:val="none" w:sz="0" w:space="0" w:color="auto"/>
      </w:divBdr>
    </w:div>
    <w:div w:id="1311865634">
      <w:bodyDiv w:val="1"/>
      <w:marLeft w:val="0"/>
      <w:marRight w:val="0"/>
      <w:marTop w:val="0"/>
      <w:marBottom w:val="0"/>
      <w:divBdr>
        <w:top w:val="none" w:sz="0" w:space="0" w:color="auto"/>
        <w:left w:val="none" w:sz="0" w:space="0" w:color="auto"/>
        <w:bottom w:val="none" w:sz="0" w:space="0" w:color="auto"/>
        <w:right w:val="none" w:sz="0" w:space="0" w:color="auto"/>
      </w:divBdr>
    </w:div>
    <w:div w:id="1325745173">
      <w:bodyDiv w:val="1"/>
      <w:marLeft w:val="0"/>
      <w:marRight w:val="0"/>
      <w:marTop w:val="0"/>
      <w:marBottom w:val="0"/>
      <w:divBdr>
        <w:top w:val="none" w:sz="0" w:space="0" w:color="auto"/>
        <w:left w:val="none" w:sz="0" w:space="0" w:color="auto"/>
        <w:bottom w:val="none" w:sz="0" w:space="0" w:color="auto"/>
        <w:right w:val="none" w:sz="0" w:space="0" w:color="auto"/>
      </w:divBdr>
    </w:div>
    <w:div w:id="1325860289">
      <w:bodyDiv w:val="1"/>
      <w:marLeft w:val="0"/>
      <w:marRight w:val="0"/>
      <w:marTop w:val="0"/>
      <w:marBottom w:val="0"/>
      <w:divBdr>
        <w:top w:val="none" w:sz="0" w:space="0" w:color="auto"/>
        <w:left w:val="none" w:sz="0" w:space="0" w:color="auto"/>
        <w:bottom w:val="none" w:sz="0" w:space="0" w:color="auto"/>
        <w:right w:val="none" w:sz="0" w:space="0" w:color="auto"/>
      </w:divBdr>
    </w:div>
    <w:div w:id="1328557941">
      <w:bodyDiv w:val="1"/>
      <w:marLeft w:val="0"/>
      <w:marRight w:val="0"/>
      <w:marTop w:val="0"/>
      <w:marBottom w:val="0"/>
      <w:divBdr>
        <w:top w:val="none" w:sz="0" w:space="0" w:color="auto"/>
        <w:left w:val="none" w:sz="0" w:space="0" w:color="auto"/>
        <w:bottom w:val="none" w:sz="0" w:space="0" w:color="auto"/>
        <w:right w:val="none" w:sz="0" w:space="0" w:color="auto"/>
      </w:divBdr>
    </w:div>
    <w:div w:id="1330447142">
      <w:bodyDiv w:val="1"/>
      <w:marLeft w:val="0"/>
      <w:marRight w:val="0"/>
      <w:marTop w:val="0"/>
      <w:marBottom w:val="0"/>
      <w:divBdr>
        <w:top w:val="none" w:sz="0" w:space="0" w:color="auto"/>
        <w:left w:val="none" w:sz="0" w:space="0" w:color="auto"/>
        <w:bottom w:val="none" w:sz="0" w:space="0" w:color="auto"/>
        <w:right w:val="none" w:sz="0" w:space="0" w:color="auto"/>
      </w:divBdr>
    </w:div>
    <w:div w:id="1338463049">
      <w:bodyDiv w:val="1"/>
      <w:marLeft w:val="0"/>
      <w:marRight w:val="0"/>
      <w:marTop w:val="0"/>
      <w:marBottom w:val="0"/>
      <w:divBdr>
        <w:top w:val="none" w:sz="0" w:space="0" w:color="auto"/>
        <w:left w:val="none" w:sz="0" w:space="0" w:color="auto"/>
        <w:bottom w:val="none" w:sz="0" w:space="0" w:color="auto"/>
        <w:right w:val="none" w:sz="0" w:space="0" w:color="auto"/>
      </w:divBdr>
    </w:div>
    <w:div w:id="1347243846">
      <w:bodyDiv w:val="1"/>
      <w:marLeft w:val="0"/>
      <w:marRight w:val="0"/>
      <w:marTop w:val="0"/>
      <w:marBottom w:val="0"/>
      <w:divBdr>
        <w:top w:val="none" w:sz="0" w:space="0" w:color="auto"/>
        <w:left w:val="none" w:sz="0" w:space="0" w:color="auto"/>
        <w:bottom w:val="none" w:sz="0" w:space="0" w:color="auto"/>
        <w:right w:val="none" w:sz="0" w:space="0" w:color="auto"/>
      </w:divBdr>
    </w:div>
    <w:div w:id="1374814241">
      <w:bodyDiv w:val="1"/>
      <w:marLeft w:val="0"/>
      <w:marRight w:val="0"/>
      <w:marTop w:val="0"/>
      <w:marBottom w:val="0"/>
      <w:divBdr>
        <w:top w:val="none" w:sz="0" w:space="0" w:color="auto"/>
        <w:left w:val="none" w:sz="0" w:space="0" w:color="auto"/>
        <w:bottom w:val="none" w:sz="0" w:space="0" w:color="auto"/>
        <w:right w:val="none" w:sz="0" w:space="0" w:color="auto"/>
      </w:divBdr>
    </w:div>
    <w:div w:id="1399474108">
      <w:bodyDiv w:val="1"/>
      <w:marLeft w:val="0"/>
      <w:marRight w:val="0"/>
      <w:marTop w:val="0"/>
      <w:marBottom w:val="0"/>
      <w:divBdr>
        <w:top w:val="none" w:sz="0" w:space="0" w:color="auto"/>
        <w:left w:val="none" w:sz="0" w:space="0" w:color="auto"/>
        <w:bottom w:val="none" w:sz="0" w:space="0" w:color="auto"/>
        <w:right w:val="none" w:sz="0" w:space="0" w:color="auto"/>
      </w:divBdr>
    </w:div>
    <w:div w:id="1411194342">
      <w:bodyDiv w:val="1"/>
      <w:marLeft w:val="0"/>
      <w:marRight w:val="0"/>
      <w:marTop w:val="0"/>
      <w:marBottom w:val="0"/>
      <w:divBdr>
        <w:top w:val="none" w:sz="0" w:space="0" w:color="auto"/>
        <w:left w:val="none" w:sz="0" w:space="0" w:color="auto"/>
        <w:bottom w:val="none" w:sz="0" w:space="0" w:color="auto"/>
        <w:right w:val="none" w:sz="0" w:space="0" w:color="auto"/>
      </w:divBdr>
    </w:div>
    <w:div w:id="1434864375">
      <w:bodyDiv w:val="1"/>
      <w:marLeft w:val="0"/>
      <w:marRight w:val="0"/>
      <w:marTop w:val="0"/>
      <w:marBottom w:val="0"/>
      <w:divBdr>
        <w:top w:val="none" w:sz="0" w:space="0" w:color="auto"/>
        <w:left w:val="none" w:sz="0" w:space="0" w:color="auto"/>
        <w:bottom w:val="none" w:sz="0" w:space="0" w:color="auto"/>
        <w:right w:val="none" w:sz="0" w:space="0" w:color="auto"/>
      </w:divBdr>
    </w:div>
    <w:div w:id="1436174837">
      <w:bodyDiv w:val="1"/>
      <w:marLeft w:val="0"/>
      <w:marRight w:val="0"/>
      <w:marTop w:val="0"/>
      <w:marBottom w:val="0"/>
      <w:divBdr>
        <w:top w:val="none" w:sz="0" w:space="0" w:color="auto"/>
        <w:left w:val="none" w:sz="0" w:space="0" w:color="auto"/>
        <w:bottom w:val="none" w:sz="0" w:space="0" w:color="auto"/>
        <w:right w:val="none" w:sz="0" w:space="0" w:color="auto"/>
      </w:divBdr>
    </w:div>
    <w:div w:id="1436360108">
      <w:bodyDiv w:val="1"/>
      <w:marLeft w:val="0"/>
      <w:marRight w:val="0"/>
      <w:marTop w:val="0"/>
      <w:marBottom w:val="0"/>
      <w:divBdr>
        <w:top w:val="none" w:sz="0" w:space="0" w:color="auto"/>
        <w:left w:val="none" w:sz="0" w:space="0" w:color="auto"/>
        <w:bottom w:val="none" w:sz="0" w:space="0" w:color="auto"/>
        <w:right w:val="none" w:sz="0" w:space="0" w:color="auto"/>
      </w:divBdr>
    </w:div>
    <w:div w:id="1436557911">
      <w:bodyDiv w:val="1"/>
      <w:marLeft w:val="0"/>
      <w:marRight w:val="0"/>
      <w:marTop w:val="0"/>
      <w:marBottom w:val="0"/>
      <w:divBdr>
        <w:top w:val="none" w:sz="0" w:space="0" w:color="auto"/>
        <w:left w:val="none" w:sz="0" w:space="0" w:color="auto"/>
        <w:bottom w:val="none" w:sz="0" w:space="0" w:color="auto"/>
        <w:right w:val="none" w:sz="0" w:space="0" w:color="auto"/>
      </w:divBdr>
      <w:divsChild>
        <w:div w:id="1010106564">
          <w:marLeft w:val="0"/>
          <w:marRight w:val="0"/>
          <w:marTop w:val="0"/>
          <w:marBottom w:val="0"/>
          <w:divBdr>
            <w:top w:val="none" w:sz="0" w:space="0" w:color="auto"/>
            <w:left w:val="none" w:sz="0" w:space="0" w:color="auto"/>
            <w:bottom w:val="none" w:sz="0" w:space="0" w:color="auto"/>
            <w:right w:val="none" w:sz="0" w:space="0" w:color="auto"/>
          </w:divBdr>
        </w:div>
        <w:div w:id="1478493523">
          <w:marLeft w:val="0"/>
          <w:marRight w:val="0"/>
          <w:marTop w:val="0"/>
          <w:marBottom w:val="0"/>
          <w:divBdr>
            <w:top w:val="none" w:sz="0" w:space="0" w:color="auto"/>
            <w:left w:val="none" w:sz="0" w:space="0" w:color="auto"/>
            <w:bottom w:val="none" w:sz="0" w:space="0" w:color="auto"/>
            <w:right w:val="none" w:sz="0" w:space="0" w:color="auto"/>
          </w:divBdr>
        </w:div>
      </w:divsChild>
    </w:div>
    <w:div w:id="1447966337">
      <w:bodyDiv w:val="1"/>
      <w:marLeft w:val="0"/>
      <w:marRight w:val="0"/>
      <w:marTop w:val="0"/>
      <w:marBottom w:val="0"/>
      <w:divBdr>
        <w:top w:val="none" w:sz="0" w:space="0" w:color="auto"/>
        <w:left w:val="none" w:sz="0" w:space="0" w:color="auto"/>
        <w:bottom w:val="none" w:sz="0" w:space="0" w:color="auto"/>
        <w:right w:val="none" w:sz="0" w:space="0" w:color="auto"/>
      </w:divBdr>
      <w:divsChild>
        <w:div w:id="40909160">
          <w:marLeft w:val="446"/>
          <w:marRight w:val="0"/>
          <w:marTop w:val="0"/>
          <w:marBottom w:val="0"/>
          <w:divBdr>
            <w:top w:val="none" w:sz="0" w:space="0" w:color="auto"/>
            <w:left w:val="none" w:sz="0" w:space="0" w:color="auto"/>
            <w:bottom w:val="none" w:sz="0" w:space="0" w:color="auto"/>
            <w:right w:val="none" w:sz="0" w:space="0" w:color="auto"/>
          </w:divBdr>
        </w:div>
        <w:div w:id="41370415">
          <w:marLeft w:val="446"/>
          <w:marRight w:val="0"/>
          <w:marTop w:val="0"/>
          <w:marBottom w:val="0"/>
          <w:divBdr>
            <w:top w:val="none" w:sz="0" w:space="0" w:color="auto"/>
            <w:left w:val="none" w:sz="0" w:space="0" w:color="auto"/>
            <w:bottom w:val="none" w:sz="0" w:space="0" w:color="auto"/>
            <w:right w:val="none" w:sz="0" w:space="0" w:color="auto"/>
          </w:divBdr>
        </w:div>
        <w:div w:id="225529398">
          <w:marLeft w:val="1886"/>
          <w:marRight w:val="0"/>
          <w:marTop w:val="0"/>
          <w:marBottom w:val="0"/>
          <w:divBdr>
            <w:top w:val="none" w:sz="0" w:space="0" w:color="auto"/>
            <w:left w:val="none" w:sz="0" w:space="0" w:color="auto"/>
            <w:bottom w:val="none" w:sz="0" w:space="0" w:color="auto"/>
            <w:right w:val="none" w:sz="0" w:space="0" w:color="auto"/>
          </w:divBdr>
        </w:div>
        <w:div w:id="405956514">
          <w:marLeft w:val="1166"/>
          <w:marRight w:val="0"/>
          <w:marTop w:val="0"/>
          <w:marBottom w:val="0"/>
          <w:divBdr>
            <w:top w:val="none" w:sz="0" w:space="0" w:color="auto"/>
            <w:left w:val="none" w:sz="0" w:space="0" w:color="auto"/>
            <w:bottom w:val="none" w:sz="0" w:space="0" w:color="auto"/>
            <w:right w:val="none" w:sz="0" w:space="0" w:color="auto"/>
          </w:divBdr>
        </w:div>
        <w:div w:id="425425232">
          <w:marLeft w:val="1166"/>
          <w:marRight w:val="0"/>
          <w:marTop w:val="0"/>
          <w:marBottom w:val="0"/>
          <w:divBdr>
            <w:top w:val="none" w:sz="0" w:space="0" w:color="auto"/>
            <w:left w:val="none" w:sz="0" w:space="0" w:color="auto"/>
            <w:bottom w:val="none" w:sz="0" w:space="0" w:color="auto"/>
            <w:right w:val="none" w:sz="0" w:space="0" w:color="auto"/>
          </w:divBdr>
        </w:div>
        <w:div w:id="672681265">
          <w:marLeft w:val="446"/>
          <w:marRight w:val="0"/>
          <w:marTop w:val="0"/>
          <w:marBottom w:val="0"/>
          <w:divBdr>
            <w:top w:val="none" w:sz="0" w:space="0" w:color="auto"/>
            <w:left w:val="none" w:sz="0" w:space="0" w:color="auto"/>
            <w:bottom w:val="none" w:sz="0" w:space="0" w:color="auto"/>
            <w:right w:val="none" w:sz="0" w:space="0" w:color="auto"/>
          </w:divBdr>
        </w:div>
        <w:div w:id="773746987">
          <w:marLeft w:val="1886"/>
          <w:marRight w:val="0"/>
          <w:marTop w:val="0"/>
          <w:marBottom w:val="0"/>
          <w:divBdr>
            <w:top w:val="none" w:sz="0" w:space="0" w:color="auto"/>
            <w:left w:val="none" w:sz="0" w:space="0" w:color="auto"/>
            <w:bottom w:val="none" w:sz="0" w:space="0" w:color="auto"/>
            <w:right w:val="none" w:sz="0" w:space="0" w:color="auto"/>
          </w:divBdr>
        </w:div>
        <w:div w:id="840662810">
          <w:marLeft w:val="1166"/>
          <w:marRight w:val="0"/>
          <w:marTop w:val="0"/>
          <w:marBottom w:val="0"/>
          <w:divBdr>
            <w:top w:val="none" w:sz="0" w:space="0" w:color="auto"/>
            <w:left w:val="none" w:sz="0" w:space="0" w:color="auto"/>
            <w:bottom w:val="none" w:sz="0" w:space="0" w:color="auto"/>
            <w:right w:val="none" w:sz="0" w:space="0" w:color="auto"/>
          </w:divBdr>
        </w:div>
        <w:div w:id="1068840319">
          <w:marLeft w:val="1886"/>
          <w:marRight w:val="0"/>
          <w:marTop w:val="0"/>
          <w:marBottom w:val="0"/>
          <w:divBdr>
            <w:top w:val="none" w:sz="0" w:space="0" w:color="auto"/>
            <w:left w:val="none" w:sz="0" w:space="0" w:color="auto"/>
            <w:bottom w:val="none" w:sz="0" w:space="0" w:color="auto"/>
            <w:right w:val="none" w:sz="0" w:space="0" w:color="auto"/>
          </w:divBdr>
        </w:div>
        <w:div w:id="1242446417">
          <w:marLeft w:val="1886"/>
          <w:marRight w:val="0"/>
          <w:marTop w:val="0"/>
          <w:marBottom w:val="0"/>
          <w:divBdr>
            <w:top w:val="none" w:sz="0" w:space="0" w:color="auto"/>
            <w:left w:val="none" w:sz="0" w:space="0" w:color="auto"/>
            <w:bottom w:val="none" w:sz="0" w:space="0" w:color="auto"/>
            <w:right w:val="none" w:sz="0" w:space="0" w:color="auto"/>
          </w:divBdr>
        </w:div>
        <w:div w:id="1359312969">
          <w:marLeft w:val="1166"/>
          <w:marRight w:val="0"/>
          <w:marTop w:val="0"/>
          <w:marBottom w:val="0"/>
          <w:divBdr>
            <w:top w:val="none" w:sz="0" w:space="0" w:color="auto"/>
            <w:left w:val="none" w:sz="0" w:space="0" w:color="auto"/>
            <w:bottom w:val="none" w:sz="0" w:space="0" w:color="auto"/>
            <w:right w:val="none" w:sz="0" w:space="0" w:color="auto"/>
          </w:divBdr>
        </w:div>
        <w:div w:id="1764105637">
          <w:marLeft w:val="1886"/>
          <w:marRight w:val="0"/>
          <w:marTop w:val="0"/>
          <w:marBottom w:val="0"/>
          <w:divBdr>
            <w:top w:val="none" w:sz="0" w:space="0" w:color="auto"/>
            <w:left w:val="none" w:sz="0" w:space="0" w:color="auto"/>
            <w:bottom w:val="none" w:sz="0" w:space="0" w:color="auto"/>
            <w:right w:val="none" w:sz="0" w:space="0" w:color="auto"/>
          </w:divBdr>
        </w:div>
        <w:div w:id="1916546665">
          <w:marLeft w:val="1166"/>
          <w:marRight w:val="0"/>
          <w:marTop w:val="0"/>
          <w:marBottom w:val="0"/>
          <w:divBdr>
            <w:top w:val="none" w:sz="0" w:space="0" w:color="auto"/>
            <w:left w:val="none" w:sz="0" w:space="0" w:color="auto"/>
            <w:bottom w:val="none" w:sz="0" w:space="0" w:color="auto"/>
            <w:right w:val="none" w:sz="0" w:space="0" w:color="auto"/>
          </w:divBdr>
        </w:div>
      </w:divsChild>
    </w:div>
    <w:div w:id="1454208054">
      <w:bodyDiv w:val="1"/>
      <w:marLeft w:val="0"/>
      <w:marRight w:val="0"/>
      <w:marTop w:val="0"/>
      <w:marBottom w:val="0"/>
      <w:divBdr>
        <w:top w:val="none" w:sz="0" w:space="0" w:color="auto"/>
        <w:left w:val="none" w:sz="0" w:space="0" w:color="auto"/>
        <w:bottom w:val="none" w:sz="0" w:space="0" w:color="auto"/>
        <w:right w:val="none" w:sz="0" w:space="0" w:color="auto"/>
      </w:divBdr>
    </w:div>
    <w:div w:id="1478109725">
      <w:bodyDiv w:val="1"/>
      <w:marLeft w:val="0"/>
      <w:marRight w:val="0"/>
      <w:marTop w:val="0"/>
      <w:marBottom w:val="0"/>
      <w:divBdr>
        <w:top w:val="none" w:sz="0" w:space="0" w:color="auto"/>
        <w:left w:val="none" w:sz="0" w:space="0" w:color="auto"/>
        <w:bottom w:val="none" w:sz="0" w:space="0" w:color="auto"/>
        <w:right w:val="none" w:sz="0" w:space="0" w:color="auto"/>
      </w:divBdr>
      <w:divsChild>
        <w:div w:id="1159079234">
          <w:marLeft w:val="0"/>
          <w:marRight w:val="0"/>
          <w:marTop w:val="0"/>
          <w:marBottom w:val="0"/>
          <w:divBdr>
            <w:top w:val="none" w:sz="0" w:space="0" w:color="auto"/>
            <w:left w:val="none" w:sz="0" w:space="0" w:color="auto"/>
            <w:bottom w:val="none" w:sz="0" w:space="0" w:color="auto"/>
            <w:right w:val="none" w:sz="0" w:space="0" w:color="auto"/>
          </w:divBdr>
          <w:divsChild>
            <w:div w:id="517239357">
              <w:marLeft w:val="0"/>
              <w:marRight w:val="0"/>
              <w:marTop w:val="0"/>
              <w:marBottom w:val="0"/>
              <w:divBdr>
                <w:top w:val="none" w:sz="0" w:space="0" w:color="auto"/>
                <w:left w:val="none" w:sz="0" w:space="0" w:color="auto"/>
                <w:bottom w:val="none" w:sz="0" w:space="0" w:color="auto"/>
                <w:right w:val="none" w:sz="0" w:space="0" w:color="auto"/>
              </w:divBdr>
            </w:div>
          </w:divsChild>
        </w:div>
        <w:div w:id="2106925370">
          <w:marLeft w:val="0"/>
          <w:marRight w:val="0"/>
          <w:marTop w:val="0"/>
          <w:marBottom w:val="0"/>
          <w:divBdr>
            <w:top w:val="none" w:sz="0" w:space="0" w:color="auto"/>
            <w:left w:val="none" w:sz="0" w:space="0" w:color="auto"/>
            <w:bottom w:val="none" w:sz="0" w:space="0" w:color="auto"/>
            <w:right w:val="none" w:sz="0" w:space="0" w:color="auto"/>
          </w:divBdr>
          <w:divsChild>
            <w:div w:id="404105260">
              <w:marLeft w:val="0"/>
              <w:marRight w:val="0"/>
              <w:marTop w:val="0"/>
              <w:marBottom w:val="0"/>
              <w:divBdr>
                <w:top w:val="none" w:sz="0" w:space="0" w:color="auto"/>
                <w:left w:val="none" w:sz="0" w:space="0" w:color="auto"/>
                <w:bottom w:val="none" w:sz="0" w:space="0" w:color="auto"/>
                <w:right w:val="none" w:sz="0" w:space="0" w:color="auto"/>
              </w:divBdr>
            </w:div>
            <w:div w:id="154490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649966">
      <w:bodyDiv w:val="1"/>
      <w:marLeft w:val="0"/>
      <w:marRight w:val="0"/>
      <w:marTop w:val="0"/>
      <w:marBottom w:val="0"/>
      <w:divBdr>
        <w:top w:val="none" w:sz="0" w:space="0" w:color="auto"/>
        <w:left w:val="none" w:sz="0" w:space="0" w:color="auto"/>
        <w:bottom w:val="none" w:sz="0" w:space="0" w:color="auto"/>
        <w:right w:val="none" w:sz="0" w:space="0" w:color="auto"/>
      </w:divBdr>
    </w:div>
    <w:div w:id="1502622720">
      <w:bodyDiv w:val="1"/>
      <w:marLeft w:val="0"/>
      <w:marRight w:val="0"/>
      <w:marTop w:val="0"/>
      <w:marBottom w:val="0"/>
      <w:divBdr>
        <w:top w:val="none" w:sz="0" w:space="0" w:color="auto"/>
        <w:left w:val="none" w:sz="0" w:space="0" w:color="auto"/>
        <w:bottom w:val="none" w:sz="0" w:space="0" w:color="auto"/>
        <w:right w:val="none" w:sz="0" w:space="0" w:color="auto"/>
      </w:divBdr>
    </w:div>
    <w:div w:id="1505511469">
      <w:bodyDiv w:val="1"/>
      <w:marLeft w:val="0"/>
      <w:marRight w:val="0"/>
      <w:marTop w:val="0"/>
      <w:marBottom w:val="0"/>
      <w:divBdr>
        <w:top w:val="none" w:sz="0" w:space="0" w:color="auto"/>
        <w:left w:val="none" w:sz="0" w:space="0" w:color="auto"/>
        <w:bottom w:val="none" w:sz="0" w:space="0" w:color="auto"/>
        <w:right w:val="none" w:sz="0" w:space="0" w:color="auto"/>
      </w:divBdr>
    </w:div>
    <w:div w:id="1521384312">
      <w:bodyDiv w:val="1"/>
      <w:marLeft w:val="0"/>
      <w:marRight w:val="0"/>
      <w:marTop w:val="0"/>
      <w:marBottom w:val="0"/>
      <w:divBdr>
        <w:top w:val="none" w:sz="0" w:space="0" w:color="auto"/>
        <w:left w:val="none" w:sz="0" w:space="0" w:color="auto"/>
        <w:bottom w:val="none" w:sz="0" w:space="0" w:color="auto"/>
        <w:right w:val="none" w:sz="0" w:space="0" w:color="auto"/>
      </w:divBdr>
    </w:div>
    <w:div w:id="1535654047">
      <w:bodyDiv w:val="1"/>
      <w:marLeft w:val="0"/>
      <w:marRight w:val="0"/>
      <w:marTop w:val="0"/>
      <w:marBottom w:val="0"/>
      <w:divBdr>
        <w:top w:val="none" w:sz="0" w:space="0" w:color="auto"/>
        <w:left w:val="none" w:sz="0" w:space="0" w:color="auto"/>
        <w:bottom w:val="none" w:sz="0" w:space="0" w:color="auto"/>
        <w:right w:val="none" w:sz="0" w:space="0" w:color="auto"/>
      </w:divBdr>
    </w:div>
    <w:div w:id="1547177925">
      <w:bodyDiv w:val="1"/>
      <w:marLeft w:val="0"/>
      <w:marRight w:val="0"/>
      <w:marTop w:val="0"/>
      <w:marBottom w:val="0"/>
      <w:divBdr>
        <w:top w:val="none" w:sz="0" w:space="0" w:color="auto"/>
        <w:left w:val="none" w:sz="0" w:space="0" w:color="auto"/>
        <w:bottom w:val="none" w:sz="0" w:space="0" w:color="auto"/>
        <w:right w:val="none" w:sz="0" w:space="0" w:color="auto"/>
      </w:divBdr>
    </w:div>
    <w:div w:id="1555316787">
      <w:bodyDiv w:val="1"/>
      <w:marLeft w:val="0"/>
      <w:marRight w:val="0"/>
      <w:marTop w:val="0"/>
      <w:marBottom w:val="0"/>
      <w:divBdr>
        <w:top w:val="none" w:sz="0" w:space="0" w:color="auto"/>
        <w:left w:val="none" w:sz="0" w:space="0" w:color="auto"/>
        <w:bottom w:val="none" w:sz="0" w:space="0" w:color="auto"/>
        <w:right w:val="none" w:sz="0" w:space="0" w:color="auto"/>
      </w:divBdr>
    </w:div>
    <w:div w:id="1561944279">
      <w:bodyDiv w:val="1"/>
      <w:marLeft w:val="0"/>
      <w:marRight w:val="0"/>
      <w:marTop w:val="0"/>
      <w:marBottom w:val="0"/>
      <w:divBdr>
        <w:top w:val="none" w:sz="0" w:space="0" w:color="auto"/>
        <w:left w:val="none" w:sz="0" w:space="0" w:color="auto"/>
        <w:bottom w:val="none" w:sz="0" w:space="0" w:color="auto"/>
        <w:right w:val="none" w:sz="0" w:space="0" w:color="auto"/>
      </w:divBdr>
    </w:div>
    <w:div w:id="1575309927">
      <w:bodyDiv w:val="1"/>
      <w:marLeft w:val="0"/>
      <w:marRight w:val="0"/>
      <w:marTop w:val="0"/>
      <w:marBottom w:val="0"/>
      <w:divBdr>
        <w:top w:val="none" w:sz="0" w:space="0" w:color="auto"/>
        <w:left w:val="none" w:sz="0" w:space="0" w:color="auto"/>
        <w:bottom w:val="none" w:sz="0" w:space="0" w:color="auto"/>
        <w:right w:val="none" w:sz="0" w:space="0" w:color="auto"/>
      </w:divBdr>
    </w:div>
    <w:div w:id="1584603937">
      <w:bodyDiv w:val="1"/>
      <w:marLeft w:val="0"/>
      <w:marRight w:val="0"/>
      <w:marTop w:val="0"/>
      <w:marBottom w:val="0"/>
      <w:divBdr>
        <w:top w:val="none" w:sz="0" w:space="0" w:color="auto"/>
        <w:left w:val="none" w:sz="0" w:space="0" w:color="auto"/>
        <w:bottom w:val="none" w:sz="0" w:space="0" w:color="auto"/>
        <w:right w:val="none" w:sz="0" w:space="0" w:color="auto"/>
      </w:divBdr>
    </w:div>
    <w:div w:id="1591354627">
      <w:bodyDiv w:val="1"/>
      <w:marLeft w:val="0"/>
      <w:marRight w:val="0"/>
      <w:marTop w:val="0"/>
      <w:marBottom w:val="0"/>
      <w:divBdr>
        <w:top w:val="none" w:sz="0" w:space="0" w:color="auto"/>
        <w:left w:val="none" w:sz="0" w:space="0" w:color="auto"/>
        <w:bottom w:val="none" w:sz="0" w:space="0" w:color="auto"/>
        <w:right w:val="none" w:sz="0" w:space="0" w:color="auto"/>
      </w:divBdr>
    </w:div>
    <w:div w:id="1591429240">
      <w:bodyDiv w:val="1"/>
      <w:marLeft w:val="0"/>
      <w:marRight w:val="0"/>
      <w:marTop w:val="0"/>
      <w:marBottom w:val="0"/>
      <w:divBdr>
        <w:top w:val="none" w:sz="0" w:space="0" w:color="auto"/>
        <w:left w:val="none" w:sz="0" w:space="0" w:color="auto"/>
        <w:bottom w:val="none" w:sz="0" w:space="0" w:color="auto"/>
        <w:right w:val="none" w:sz="0" w:space="0" w:color="auto"/>
      </w:divBdr>
    </w:div>
    <w:div w:id="1594818622">
      <w:bodyDiv w:val="1"/>
      <w:marLeft w:val="0"/>
      <w:marRight w:val="0"/>
      <w:marTop w:val="0"/>
      <w:marBottom w:val="0"/>
      <w:divBdr>
        <w:top w:val="none" w:sz="0" w:space="0" w:color="auto"/>
        <w:left w:val="none" w:sz="0" w:space="0" w:color="auto"/>
        <w:bottom w:val="none" w:sz="0" w:space="0" w:color="auto"/>
        <w:right w:val="none" w:sz="0" w:space="0" w:color="auto"/>
      </w:divBdr>
    </w:div>
    <w:div w:id="1598175769">
      <w:bodyDiv w:val="1"/>
      <w:marLeft w:val="0"/>
      <w:marRight w:val="0"/>
      <w:marTop w:val="0"/>
      <w:marBottom w:val="0"/>
      <w:divBdr>
        <w:top w:val="none" w:sz="0" w:space="0" w:color="auto"/>
        <w:left w:val="none" w:sz="0" w:space="0" w:color="auto"/>
        <w:bottom w:val="none" w:sz="0" w:space="0" w:color="auto"/>
        <w:right w:val="none" w:sz="0" w:space="0" w:color="auto"/>
      </w:divBdr>
    </w:div>
    <w:div w:id="1617057721">
      <w:bodyDiv w:val="1"/>
      <w:marLeft w:val="0"/>
      <w:marRight w:val="0"/>
      <w:marTop w:val="0"/>
      <w:marBottom w:val="0"/>
      <w:divBdr>
        <w:top w:val="none" w:sz="0" w:space="0" w:color="auto"/>
        <w:left w:val="none" w:sz="0" w:space="0" w:color="auto"/>
        <w:bottom w:val="none" w:sz="0" w:space="0" w:color="auto"/>
        <w:right w:val="none" w:sz="0" w:space="0" w:color="auto"/>
      </w:divBdr>
      <w:divsChild>
        <w:div w:id="8921725">
          <w:marLeft w:val="0"/>
          <w:marRight w:val="0"/>
          <w:marTop w:val="0"/>
          <w:marBottom w:val="0"/>
          <w:divBdr>
            <w:top w:val="none" w:sz="0" w:space="0" w:color="auto"/>
            <w:left w:val="none" w:sz="0" w:space="0" w:color="auto"/>
            <w:bottom w:val="none" w:sz="0" w:space="0" w:color="auto"/>
            <w:right w:val="none" w:sz="0" w:space="0" w:color="auto"/>
          </w:divBdr>
          <w:divsChild>
            <w:div w:id="79178429">
              <w:marLeft w:val="0"/>
              <w:marRight w:val="0"/>
              <w:marTop w:val="0"/>
              <w:marBottom w:val="0"/>
              <w:divBdr>
                <w:top w:val="none" w:sz="0" w:space="0" w:color="auto"/>
                <w:left w:val="none" w:sz="0" w:space="0" w:color="auto"/>
                <w:bottom w:val="none" w:sz="0" w:space="0" w:color="auto"/>
                <w:right w:val="none" w:sz="0" w:space="0" w:color="auto"/>
              </w:divBdr>
            </w:div>
            <w:div w:id="489294700">
              <w:marLeft w:val="0"/>
              <w:marRight w:val="0"/>
              <w:marTop w:val="0"/>
              <w:marBottom w:val="0"/>
              <w:divBdr>
                <w:top w:val="none" w:sz="0" w:space="0" w:color="auto"/>
                <w:left w:val="none" w:sz="0" w:space="0" w:color="auto"/>
                <w:bottom w:val="none" w:sz="0" w:space="0" w:color="auto"/>
                <w:right w:val="none" w:sz="0" w:space="0" w:color="auto"/>
              </w:divBdr>
            </w:div>
            <w:div w:id="984358891">
              <w:marLeft w:val="0"/>
              <w:marRight w:val="0"/>
              <w:marTop w:val="0"/>
              <w:marBottom w:val="0"/>
              <w:divBdr>
                <w:top w:val="none" w:sz="0" w:space="0" w:color="auto"/>
                <w:left w:val="none" w:sz="0" w:space="0" w:color="auto"/>
                <w:bottom w:val="none" w:sz="0" w:space="0" w:color="auto"/>
                <w:right w:val="none" w:sz="0" w:space="0" w:color="auto"/>
              </w:divBdr>
            </w:div>
            <w:div w:id="1006978256">
              <w:marLeft w:val="0"/>
              <w:marRight w:val="0"/>
              <w:marTop w:val="0"/>
              <w:marBottom w:val="0"/>
              <w:divBdr>
                <w:top w:val="none" w:sz="0" w:space="0" w:color="auto"/>
                <w:left w:val="none" w:sz="0" w:space="0" w:color="auto"/>
                <w:bottom w:val="none" w:sz="0" w:space="0" w:color="auto"/>
                <w:right w:val="none" w:sz="0" w:space="0" w:color="auto"/>
              </w:divBdr>
            </w:div>
            <w:div w:id="1603419195">
              <w:marLeft w:val="0"/>
              <w:marRight w:val="0"/>
              <w:marTop w:val="0"/>
              <w:marBottom w:val="0"/>
              <w:divBdr>
                <w:top w:val="none" w:sz="0" w:space="0" w:color="auto"/>
                <w:left w:val="none" w:sz="0" w:space="0" w:color="auto"/>
                <w:bottom w:val="none" w:sz="0" w:space="0" w:color="auto"/>
                <w:right w:val="none" w:sz="0" w:space="0" w:color="auto"/>
              </w:divBdr>
            </w:div>
          </w:divsChild>
        </w:div>
        <w:div w:id="14620176">
          <w:marLeft w:val="0"/>
          <w:marRight w:val="0"/>
          <w:marTop w:val="0"/>
          <w:marBottom w:val="0"/>
          <w:divBdr>
            <w:top w:val="none" w:sz="0" w:space="0" w:color="auto"/>
            <w:left w:val="none" w:sz="0" w:space="0" w:color="auto"/>
            <w:bottom w:val="none" w:sz="0" w:space="0" w:color="auto"/>
            <w:right w:val="none" w:sz="0" w:space="0" w:color="auto"/>
          </w:divBdr>
        </w:div>
        <w:div w:id="50621837">
          <w:marLeft w:val="0"/>
          <w:marRight w:val="0"/>
          <w:marTop w:val="0"/>
          <w:marBottom w:val="0"/>
          <w:divBdr>
            <w:top w:val="none" w:sz="0" w:space="0" w:color="auto"/>
            <w:left w:val="none" w:sz="0" w:space="0" w:color="auto"/>
            <w:bottom w:val="none" w:sz="0" w:space="0" w:color="auto"/>
            <w:right w:val="none" w:sz="0" w:space="0" w:color="auto"/>
          </w:divBdr>
        </w:div>
        <w:div w:id="71050738">
          <w:marLeft w:val="0"/>
          <w:marRight w:val="0"/>
          <w:marTop w:val="0"/>
          <w:marBottom w:val="0"/>
          <w:divBdr>
            <w:top w:val="none" w:sz="0" w:space="0" w:color="auto"/>
            <w:left w:val="none" w:sz="0" w:space="0" w:color="auto"/>
            <w:bottom w:val="none" w:sz="0" w:space="0" w:color="auto"/>
            <w:right w:val="none" w:sz="0" w:space="0" w:color="auto"/>
          </w:divBdr>
        </w:div>
        <w:div w:id="89549278">
          <w:marLeft w:val="0"/>
          <w:marRight w:val="0"/>
          <w:marTop w:val="0"/>
          <w:marBottom w:val="0"/>
          <w:divBdr>
            <w:top w:val="none" w:sz="0" w:space="0" w:color="auto"/>
            <w:left w:val="none" w:sz="0" w:space="0" w:color="auto"/>
            <w:bottom w:val="none" w:sz="0" w:space="0" w:color="auto"/>
            <w:right w:val="none" w:sz="0" w:space="0" w:color="auto"/>
          </w:divBdr>
        </w:div>
        <w:div w:id="96491715">
          <w:marLeft w:val="0"/>
          <w:marRight w:val="0"/>
          <w:marTop w:val="0"/>
          <w:marBottom w:val="0"/>
          <w:divBdr>
            <w:top w:val="none" w:sz="0" w:space="0" w:color="auto"/>
            <w:left w:val="none" w:sz="0" w:space="0" w:color="auto"/>
            <w:bottom w:val="none" w:sz="0" w:space="0" w:color="auto"/>
            <w:right w:val="none" w:sz="0" w:space="0" w:color="auto"/>
          </w:divBdr>
        </w:div>
        <w:div w:id="98529797">
          <w:marLeft w:val="0"/>
          <w:marRight w:val="0"/>
          <w:marTop w:val="0"/>
          <w:marBottom w:val="0"/>
          <w:divBdr>
            <w:top w:val="none" w:sz="0" w:space="0" w:color="auto"/>
            <w:left w:val="none" w:sz="0" w:space="0" w:color="auto"/>
            <w:bottom w:val="none" w:sz="0" w:space="0" w:color="auto"/>
            <w:right w:val="none" w:sz="0" w:space="0" w:color="auto"/>
          </w:divBdr>
        </w:div>
        <w:div w:id="110589601">
          <w:marLeft w:val="0"/>
          <w:marRight w:val="0"/>
          <w:marTop w:val="0"/>
          <w:marBottom w:val="0"/>
          <w:divBdr>
            <w:top w:val="none" w:sz="0" w:space="0" w:color="auto"/>
            <w:left w:val="none" w:sz="0" w:space="0" w:color="auto"/>
            <w:bottom w:val="none" w:sz="0" w:space="0" w:color="auto"/>
            <w:right w:val="none" w:sz="0" w:space="0" w:color="auto"/>
          </w:divBdr>
        </w:div>
        <w:div w:id="125852914">
          <w:marLeft w:val="0"/>
          <w:marRight w:val="0"/>
          <w:marTop w:val="0"/>
          <w:marBottom w:val="0"/>
          <w:divBdr>
            <w:top w:val="none" w:sz="0" w:space="0" w:color="auto"/>
            <w:left w:val="none" w:sz="0" w:space="0" w:color="auto"/>
            <w:bottom w:val="none" w:sz="0" w:space="0" w:color="auto"/>
            <w:right w:val="none" w:sz="0" w:space="0" w:color="auto"/>
          </w:divBdr>
        </w:div>
        <w:div w:id="135689961">
          <w:marLeft w:val="0"/>
          <w:marRight w:val="0"/>
          <w:marTop w:val="0"/>
          <w:marBottom w:val="0"/>
          <w:divBdr>
            <w:top w:val="none" w:sz="0" w:space="0" w:color="auto"/>
            <w:left w:val="none" w:sz="0" w:space="0" w:color="auto"/>
            <w:bottom w:val="none" w:sz="0" w:space="0" w:color="auto"/>
            <w:right w:val="none" w:sz="0" w:space="0" w:color="auto"/>
          </w:divBdr>
        </w:div>
        <w:div w:id="276908198">
          <w:marLeft w:val="0"/>
          <w:marRight w:val="0"/>
          <w:marTop w:val="0"/>
          <w:marBottom w:val="0"/>
          <w:divBdr>
            <w:top w:val="none" w:sz="0" w:space="0" w:color="auto"/>
            <w:left w:val="none" w:sz="0" w:space="0" w:color="auto"/>
            <w:bottom w:val="none" w:sz="0" w:space="0" w:color="auto"/>
            <w:right w:val="none" w:sz="0" w:space="0" w:color="auto"/>
          </w:divBdr>
        </w:div>
        <w:div w:id="300426199">
          <w:marLeft w:val="0"/>
          <w:marRight w:val="0"/>
          <w:marTop w:val="0"/>
          <w:marBottom w:val="0"/>
          <w:divBdr>
            <w:top w:val="none" w:sz="0" w:space="0" w:color="auto"/>
            <w:left w:val="none" w:sz="0" w:space="0" w:color="auto"/>
            <w:bottom w:val="none" w:sz="0" w:space="0" w:color="auto"/>
            <w:right w:val="none" w:sz="0" w:space="0" w:color="auto"/>
          </w:divBdr>
        </w:div>
        <w:div w:id="332147106">
          <w:marLeft w:val="0"/>
          <w:marRight w:val="0"/>
          <w:marTop w:val="0"/>
          <w:marBottom w:val="0"/>
          <w:divBdr>
            <w:top w:val="none" w:sz="0" w:space="0" w:color="auto"/>
            <w:left w:val="none" w:sz="0" w:space="0" w:color="auto"/>
            <w:bottom w:val="none" w:sz="0" w:space="0" w:color="auto"/>
            <w:right w:val="none" w:sz="0" w:space="0" w:color="auto"/>
          </w:divBdr>
        </w:div>
        <w:div w:id="377555322">
          <w:marLeft w:val="0"/>
          <w:marRight w:val="0"/>
          <w:marTop w:val="0"/>
          <w:marBottom w:val="0"/>
          <w:divBdr>
            <w:top w:val="none" w:sz="0" w:space="0" w:color="auto"/>
            <w:left w:val="none" w:sz="0" w:space="0" w:color="auto"/>
            <w:bottom w:val="none" w:sz="0" w:space="0" w:color="auto"/>
            <w:right w:val="none" w:sz="0" w:space="0" w:color="auto"/>
          </w:divBdr>
        </w:div>
        <w:div w:id="406849025">
          <w:marLeft w:val="0"/>
          <w:marRight w:val="0"/>
          <w:marTop w:val="0"/>
          <w:marBottom w:val="0"/>
          <w:divBdr>
            <w:top w:val="none" w:sz="0" w:space="0" w:color="auto"/>
            <w:left w:val="none" w:sz="0" w:space="0" w:color="auto"/>
            <w:bottom w:val="none" w:sz="0" w:space="0" w:color="auto"/>
            <w:right w:val="none" w:sz="0" w:space="0" w:color="auto"/>
          </w:divBdr>
        </w:div>
        <w:div w:id="421731294">
          <w:marLeft w:val="0"/>
          <w:marRight w:val="0"/>
          <w:marTop w:val="0"/>
          <w:marBottom w:val="0"/>
          <w:divBdr>
            <w:top w:val="none" w:sz="0" w:space="0" w:color="auto"/>
            <w:left w:val="none" w:sz="0" w:space="0" w:color="auto"/>
            <w:bottom w:val="none" w:sz="0" w:space="0" w:color="auto"/>
            <w:right w:val="none" w:sz="0" w:space="0" w:color="auto"/>
          </w:divBdr>
        </w:div>
        <w:div w:id="435640946">
          <w:marLeft w:val="0"/>
          <w:marRight w:val="0"/>
          <w:marTop w:val="0"/>
          <w:marBottom w:val="0"/>
          <w:divBdr>
            <w:top w:val="none" w:sz="0" w:space="0" w:color="auto"/>
            <w:left w:val="none" w:sz="0" w:space="0" w:color="auto"/>
            <w:bottom w:val="none" w:sz="0" w:space="0" w:color="auto"/>
            <w:right w:val="none" w:sz="0" w:space="0" w:color="auto"/>
          </w:divBdr>
        </w:div>
        <w:div w:id="450169638">
          <w:marLeft w:val="0"/>
          <w:marRight w:val="0"/>
          <w:marTop w:val="0"/>
          <w:marBottom w:val="0"/>
          <w:divBdr>
            <w:top w:val="none" w:sz="0" w:space="0" w:color="auto"/>
            <w:left w:val="none" w:sz="0" w:space="0" w:color="auto"/>
            <w:bottom w:val="none" w:sz="0" w:space="0" w:color="auto"/>
            <w:right w:val="none" w:sz="0" w:space="0" w:color="auto"/>
          </w:divBdr>
        </w:div>
        <w:div w:id="465897154">
          <w:marLeft w:val="0"/>
          <w:marRight w:val="0"/>
          <w:marTop w:val="0"/>
          <w:marBottom w:val="0"/>
          <w:divBdr>
            <w:top w:val="none" w:sz="0" w:space="0" w:color="auto"/>
            <w:left w:val="none" w:sz="0" w:space="0" w:color="auto"/>
            <w:bottom w:val="none" w:sz="0" w:space="0" w:color="auto"/>
            <w:right w:val="none" w:sz="0" w:space="0" w:color="auto"/>
          </w:divBdr>
        </w:div>
        <w:div w:id="476068548">
          <w:marLeft w:val="0"/>
          <w:marRight w:val="0"/>
          <w:marTop w:val="0"/>
          <w:marBottom w:val="0"/>
          <w:divBdr>
            <w:top w:val="none" w:sz="0" w:space="0" w:color="auto"/>
            <w:left w:val="none" w:sz="0" w:space="0" w:color="auto"/>
            <w:bottom w:val="none" w:sz="0" w:space="0" w:color="auto"/>
            <w:right w:val="none" w:sz="0" w:space="0" w:color="auto"/>
          </w:divBdr>
        </w:div>
        <w:div w:id="527333852">
          <w:marLeft w:val="0"/>
          <w:marRight w:val="0"/>
          <w:marTop w:val="0"/>
          <w:marBottom w:val="0"/>
          <w:divBdr>
            <w:top w:val="none" w:sz="0" w:space="0" w:color="auto"/>
            <w:left w:val="none" w:sz="0" w:space="0" w:color="auto"/>
            <w:bottom w:val="none" w:sz="0" w:space="0" w:color="auto"/>
            <w:right w:val="none" w:sz="0" w:space="0" w:color="auto"/>
          </w:divBdr>
        </w:div>
        <w:div w:id="555550554">
          <w:marLeft w:val="0"/>
          <w:marRight w:val="0"/>
          <w:marTop w:val="0"/>
          <w:marBottom w:val="0"/>
          <w:divBdr>
            <w:top w:val="none" w:sz="0" w:space="0" w:color="auto"/>
            <w:left w:val="none" w:sz="0" w:space="0" w:color="auto"/>
            <w:bottom w:val="none" w:sz="0" w:space="0" w:color="auto"/>
            <w:right w:val="none" w:sz="0" w:space="0" w:color="auto"/>
          </w:divBdr>
        </w:div>
        <w:div w:id="559946659">
          <w:marLeft w:val="0"/>
          <w:marRight w:val="0"/>
          <w:marTop w:val="0"/>
          <w:marBottom w:val="0"/>
          <w:divBdr>
            <w:top w:val="none" w:sz="0" w:space="0" w:color="auto"/>
            <w:left w:val="none" w:sz="0" w:space="0" w:color="auto"/>
            <w:bottom w:val="none" w:sz="0" w:space="0" w:color="auto"/>
            <w:right w:val="none" w:sz="0" w:space="0" w:color="auto"/>
          </w:divBdr>
        </w:div>
        <w:div w:id="628322970">
          <w:marLeft w:val="0"/>
          <w:marRight w:val="0"/>
          <w:marTop w:val="0"/>
          <w:marBottom w:val="0"/>
          <w:divBdr>
            <w:top w:val="none" w:sz="0" w:space="0" w:color="auto"/>
            <w:left w:val="none" w:sz="0" w:space="0" w:color="auto"/>
            <w:bottom w:val="none" w:sz="0" w:space="0" w:color="auto"/>
            <w:right w:val="none" w:sz="0" w:space="0" w:color="auto"/>
          </w:divBdr>
        </w:div>
        <w:div w:id="628434012">
          <w:marLeft w:val="0"/>
          <w:marRight w:val="0"/>
          <w:marTop w:val="0"/>
          <w:marBottom w:val="0"/>
          <w:divBdr>
            <w:top w:val="none" w:sz="0" w:space="0" w:color="auto"/>
            <w:left w:val="none" w:sz="0" w:space="0" w:color="auto"/>
            <w:bottom w:val="none" w:sz="0" w:space="0" w:color="auto"/>
            <w:right w:val="none" w:sz="0" w:space="0" w:color="auto"/>
          </w:divBdr>
        </w:div>
        <w:div w:id="639001244">
          <w:marLeft w:val="0"/>
          <w:marRight w:val="0"/>
          <w:marTop w:val="0"/>
          <w:marBottom w:val="0"/>
          <w:divBdr>
            <w:top w:val="none" w:sz="0" w:space="0" w:color="auto"/>
            <w:left w:val="none" w:sz="0" w:space="0" w:color="auto"/>
            <w:bottom w:val="none" w:sz="0" w:space="0" w:color="auto"/>
            <w:right w:val="none" w:sz="0" w:space="0" w:color="auto"/>
          </w:divBdr>
        </w:div>
        <w:div w:id="677195898">
          <w:marLeft w:val="0"/>
          <w:marRight w:val="0"/>
          <w:marTop w:val="0"/>
          <w:marBottom w:val="0"/>
          <w:divBdr>
            <w:top w:val="none" w:sz="0" w:space="0" w:color="auto"/>
            <w:left w:val="none" w:sz="0" w:space="0" w:color="auto"/>
            <w:bottom w:val="none" w:sz="0" w:space="0" w:color="auto"/>
            <w:right w:val="none" w:sz="0" w:space="0" w:color="auto"/>
          </w:divBdr>
        </w:div>
        <w:div w:id="680279017">
          <w:marLeft w:val="0"/>
          <w:marRight w:val="0"/>
          <w:marTop w:val="0"/>
          <w:marBottom w:val="0"/>
          <w:divBdr>
            <w:top w:val="none" w:sz="0" w:space="0" w:color="auto"/>
            <w:left w:val="none" w:sz="0" w:space="0" w:color="auto"/>
            <w:bottom w:val="none" w:sz="0" w:space="0" w:color="auto"/>
            <w:right w:val="none" w:sz="0" w:space="0" w:color="auto"/>
          </w:divBdr>
        </w:div>
        <w:div w:id="720442850">
          <w:marLeft w:val="0"/>
          <w:marRight w:val="0"/>
          <w:marTop w:val="0"/>
          <w:marBottom w:val="0"/>
          <w:divBdr>
            <w:top w:val="none" w:sz="0" w:space="0" w:color="auto"/>
            <w:left w:val="none" w:sz="0" w:space="0" w:color="auto"/>
            <w:bottom w:val="none" w:sz="0" w:space="0" w:color="auto"/>
            <w:right w:val="none" w:sz="0" w:space="0" w:color="auto"/>
          </w:divBdr>
        </w:div>
        <w:div w:id="722020456">
          <w:marLeft w:val="0"/>
          <w:marRight w:val="0"/>
          <w:marTop w:val="0"/>
          <w:marBottom w:val="0"/>
          <w:divBdr>
            <w:top w:val="none" w:sz="0" w:space="0" w:color="auto"/>
            <w:left w:val="none" w:sz="0" w:space="0" w:color="auto"/>
            <w:bottom w:val="none" w:sz="0" w:space="0" w:color="auto"/>
            <w:right w:val="none" w:sz="0" w:space="0" w:color="auto"/>
          </w:divBdr>
        </w:div>
        <w:div w:id="762187550">
          <w:marLeft w:val="0"/>
          <w:marRight w:val="0"/>
          <w:marTop w:val="0"/>
          <w:marBottom w:val="0"/>
          <w:divBdr>
            <w:top w:val="none" w:sz="0" w:space="0" w:color="auto"/>
            <w:left w:val="none" w:sz="0" w:space="0" w:color="auto"/>
            <w:bottom w:val="none" w:sz="0" w:space="0" w:color="auto"/>
            <w:right w:val="none" w:sz="0" w:space="0" w:color="auto"/>
          </w:divBdr>
        </w:div>
        <w:div w:id="764228879">
          <w:marLeft w:val="0"/>
          <w:marRight w:val="0"/>
          <w:marTop w:val="0"/>
          <w:marBottom w:val="0"/>
          <w:divBdr>
            <w:top w:val="none" w:sz="0" w:space="0" w:color="auto"/>
            <w:left w:val="none" w:sz="0" w:space="0" w:color="auto"/>
            <w:bottom w:val="none" w:sz="0" w:space="0" w:color="auto"/>
            <w:right w:val="none" w:sz="0" w:space="0" w:color="auto"/>
          </w:divBdr>
        </w:div>
        <w:div w:id="801118693">
          <w:marLeft w:val="0"/>
          <w:marRight w:val="0"/>
          <w:marTop w:val="0"/>
          <w:marBottom w:val="0"/>
          <w:divBdr>
            <w:top w:val="none" w:sz="0" w:space="0" w:color="auto"/>
            <w:left w:val="none" w:sz="0" w:space="0" w:color="auto"/>
            <w:bottom w:val="none" w:sz="0" w:space="0" w:color="auto"/>
            <w:right w:val="none" w:sz="0" w:space="0" w:color="auto"/>
          </w:divBdr>
          <w:divsChild>
            <w:div w:id="983126277">
              <w:marLeft w:val="0"/>
              <w:marRight w:val="0"/>
              <w:marTop w:val="0"/>
              <w:marBottom w:val="0"/>
              <w:divBdr>
                <w:top w:val="none" w:sz="0" w:space="0" w:color="auto"/>
                <w:left w:val="none" w:sz="0" w:space="0" w:color="auto"/>
                <w:bottom w:val="none" w:sz="0" w:space="0" w:color="auto"/>
                <w:right w:val="none" w:sz="0" w:space="0" w:color="auto"/>
              </w:divBdr>
            </w:div>
            <w:div w:id="1301615722">
              <w:marLeft w:val="0"/>
              <w:marRight w:val="0"/>
              <w:marTop w:val="0"/>
              <w:marBottom w:val="0"/>
              <w:divBdr>
                <w:top w:val="none" w:sz="0" w:space="0" w:color="auto"/>
                <w:left w:val="none" w:sz="0" w:space="0" w:color="auto"/>
                <w:bottom w:val="none" w:sz="0" w:space="0" w:color="auto"/>
                <w:right w:val="none" w:sz="0" w:space="0" w:color="auto"/>
              </w:divBdr>
            </w:div>
          </w:divsChild>
        </w:div>
        <w:div w:id="806707358">
          <w:marLeft w:val="0"/>
          <w:marRight w:val="0"/>
          <w:marTop w:val="0"/>
          <w:marBottom w:val="0"/>
          <w:divBdr>
            <w:top w:val="none" w:sz="0" w:space="0" w:color="auto"/>
            <w:left w:val="none" w:sz="0" w:space="0" w:color="auto"/>
            <w:bottom w:val="none" w:sz="0" w:space="0" w:color="auto"/>
            <w:right w:val="none" w:sz="0" w:space="0" w:color="auto"/>
          </w:divBdr>
        </w:div>
        <w:div w:id="822432925">
          <w:marLeft w:val="0"/>
          <w:marRight w:val="0"/>
          <w:marTop w:val="0"/>
          <w:marBottom w:val="0"/>
          <w:divBdr>
            <w:top w:val="none" w:sz="0" w:space="0" w:color="auto"/>
            <w:left w:val="none" w:sz="0" w:space="0" w:color="auto"/>
            <w:bottom w:val="none" w:sz="0" w:space="0" w:color="auto"/>
            <w:right w:val="none" w:sz="0" w:space="0" w:color="auto"/>
          </w:divBdr>
        </w:div>
        <w:div w:id="887644198">
          <w:marLeft w:val="0"/>
          <w:marRight w:val="0"/>
          <w:marTop w:val="0"/>
          <w:marBottom w:val="0"/>
          <w:divBdr>
            <w:top w:val="none" w:sz="0" w:space="0" w:color="auto"/>
            <w:left w:val="none" w:sz="0" w:space="0" w:color="auto"/>
            <w:bottom w:val="none" w:sz="0" w:space="0" w:color="auto"/>
            <w:right w:val="none" w:sz="0" w:space="0" w:color="auto"/>
          </w:divBdr>
        </w:div>
        <w:div w:id="891893438">
          <w:marLeft w:val="0"/>
          <w:marRight w:val="0"/>
          <w:marTop w:val="0"/>
          <w:marBottom w:val="0"/>
          <w:divBdr>
            <w:top w:val="none" w:sz="0" w:space="0" w:color="auto"/>
            <w:left w:val="none" w:sz="0" w:space="0" w:color="auto"/>
            <w:bottom w:val="none" w:sz="0" w:space="0" w:color="auto"/>
            <w:right w:val="none" w:sz="0" w:space="0" w:color="auto"/>
          </w:divBdr>
        </w:div>
        <w:div w:id="894043778">
          <w:marLeft w:val="0"/>
          <w:marRight w:val="0"/>
          <w:marTop w:val="0"/>
          <w:marBottom w:val="0"/>
          <w:divBdr>
            <w:top w:val="none" w:sz="0" w:space="0" w:color="auto"/>
            <w:left w:val="none" w:sz="0" w:space="0" w:color="auto"/>
            <w:bottom w:val="none" w:sz="0" w:space="0" w:color="auto"/>
            <w:right w:val="none" w:sz="0" w:space="0" w:color="auto"/>
          </w:divBdr>
        </w:div>
        <w:div w:id="898511896">
          <w:marLeft w:val="0"/>
          <w:marRight w:val="0"/>
          <w:marTop w:val="0"/>
          <w:marBottom w:val="0"/>
          <w:divBdr>
            <w:top w:val="none" w:sz="0" w:space="0" w:color="auto"/>
            <w:left w:val="none" w:sz="0" w:space="0" w:color="auto"/>
            <w:bottom w:val="none" w:sz="0" w:space="0" w:color="auto"/>
            <w:right w:val="none" w:sz="0" w:space="0" w:color="auto"/>
          </w:divBdr>
        </w:div>
        <w:div w:id="986084637">
          <w:marLeft w:val="0"/>
          <w:marRight w:val="0"/>
          <w:marTop w:val="0"/>
          <w:marBottom w:val="0"/>
          <w:divBdr>
            <w:top w:val="none" w:sz="0" w:space="0" w:color="auto"/>
            <w:left w:val="none" w:sz="0" w:space="0" w:color="auto"/>
            <w:bottom w:val="none" w:sz="0" w:space="0" w:color="auto"/>
            <w:right w:val="none" w:sz="0" w:space="0" w:color="auto"/>
          </w:divBdr>
        </w:div>
        <w:div w:id="1001783813">
          <w:marLeft w:val="0"/>
          <w:marRight w:val="0"/>
          <w:marTop w:val="0"/>
          <w:marBottom w:val="0"/>
          <w:divBdr>
            <w:top w:val="none" w:sz="0" w:space="0" w:color="auto"/>
            <w:left w:val="none" w:sz="0" w:space="0" w:color="auto"/>
            <w:bottom w:val="none" w:sz="0" w:space="0" w:color="auto"/>
            <w:right w:val="none" w:sz="0" w:space="0" w:color="auto"/>
          </w:divBdr>
        </w:div>
        <w:div w:id="1009916139">
          <w:marLeft w:val="0"/>
          <w:marRight w:val="0"/>
          <w:marTop w:val="0"/>
          <w:marBottom w:val="0"/>
          <w:divBdr>
            <w:top w:val="none" w:sz="0" w:space="0" w:color="auto"/>
            <w:left w:val="none" w:sz="0" w:space="0" w:color="auto"/>
            <w:bottom w:val="none" w:sz="0" w:space="0" w:color="auto"/>
            <w:right w:val="none" w:sz="0" w:space="0" w:color="auto"/>
          </w:divBdr>
        </w:div>
        <w:div w:id="1014848149">
          <w:marLeft w:val="0"/>
          <w:marRight w:val="0"/>
          <w:marTop w:val="0"/>
          <w:marBottom w:val="0"/>
          <w:divBdr>
            <w:top w:val="none" w:sz="0" w:space="0" w:color="auto"/>
            <w:left w:val="none" w:sz="0" w:space="0" w:color="auto"/>
            <w:bottom w:val="none" w:sz="0" w:space="0" w:color="auto"/>
            <w:right w:val="none" w:sz="0" w:space="0" w:color="auto"/>
          </w:divBdr>
        </w:div>
        <w:div w:id="1025787329">
          <w:marLeft w:val="0"/>
          <w:marRight w:val="0"/>
          <w:marTop w:val="0"/>
          <w:marBottom w:val="0"/>
          <w:divBdr>
            <w:top w:val="none" w:sz="0" w:space="0" w:color="auto"/>
            <w:left w:val="none" w:sz="0" w:space="0" w:color="auto"/>
            <w:bottom w:val="none" w:sz="0" w:space="0" w:color="auto"/>
            <w:right w:val="none" w:sz="0" w:space="0" w:color="auto"/>
          </w:divBdr>
        </w:div>
        <w:div w:id="1031078480">
          <w:marLeft w:val="0"/>
          <w:marRight w:val="0"/>
          <w:marTop w:val="0"/>
          <w:marBottom w:val="0"/>
          <w:divBdr>
            <w:top w:val="none" w:sz="0" w:space="0" w:color="auto"/>
            <w:left w:val="none" w:sz="0" w:space="0" w:color="auto"/>
            <w:bottom w:val="none" w:sz="0" w:space="0" w:color="auto"/>
            <w:right w:val="none" w:sz="0" w:space="0" w:color="auto"/>
          </w:divBdr>
          <w:divsChild>
            <w:div w:id="235483655">
              <w:marLeft w:val="0"/>
              <w:marRight w:val="0"/>
              <w:marTop w:val="0"/>
              <w:marBottom w:val="0"/>
              <w:divBdr>
                <w:top w:val="none" w:sz="0" w:space="0" w:color="auto"/>
                <w:left w:val="none" w:sz="0" w:space="0" w:color="auto"/>
                <w:bottom w:val="none" w:sz="0" w:space="0" w:color="auto"/>
                <w:right w:val="none" w:sz="0" w:space="0" w:color="auto"/>
              </w:divBdr>
            </w:div>
            <w:div w:id="1192916241">
              <w:marLeft w:val="0"/>
              <w:marRight w:val="0"/>
              <w:marTop w:val="0"/>
              <w:marBottom w:val="0"/>
              <w:divBdr>
                <w:top w:val="none" w:sz="0" w:space="0" w:color="auto"/>
                <w:left w:val="none" w:sz="0" w:space="0" w:color="auto"/>
                <w:bottom w:val="none" w:sz="0" w:space="0" w:color="auto"/>
                <w:right w:val="none" w:sz="0" w:space="0" w:color="auto"/>
              </w:divBdr>
            </w:div>
            <w:div w:id="1703478824">
              <w:marLeft w:val="0"/>
              <w:marRight w:val="0"/>
              <w:marTop w:val="0"/>
              <w:marBottom w:val="0"/>
              <w:divBdr>
                <w:top w:val="none" w:sz="0" w:space="0" w:color="auto"/>
                <w:left w:val="none" w:sz="0" w:space="0" w:color="auto"/>
                <w:bottom w:val="none" w:sz="0" w:space="0" w:color="auto"/>
                <w:right w:val="none" w:sz="0" w:space="0" w:color="auto"/>
              </w:divBdr>
            </w:div>
            <w:div w:id="1998803579">
              <w:marLeft w:val="0"/>
              <w:marRight w:val="0"/>
              <w:marTop w:val="0"/>
              <w:marBottom w:val="0"/>
              <w:divBdr>
                <w:top w:val="none" w:sz="0" w:space="0" w:color="auto"/>
                <w:left w:val="none" w:sz="0" w:space="0" w:color="auto"/>
                <w:bottom w:val="none" w:sz="0" w:space="0" w:color="auto"/>
                <w:right w:val="none" w:sz="0" w:space="0" w:color="auto"/>
              </w:divBdr>
            </w:div>
          </w:divsChild>
        </w:div>
        <w:div w:id="1054700439">
          <w:marLeft w:val="0"/>
          <w:marRight w:val="0"/>
          <w:marTop w:val="0"/>
          <w:marBottom w:val="0"/>
          <w:divBdr>
            <w:top w:val="none" w:sz="0" w:space="0" w:color="auto"/>
            <w:left w:val="none" w:sz="0" w:space="0" w:color="auto"/>
            <w:bottom w:val="none" w:sz="0" w:space="0" w:color="auto"/>
            <w:right w:val="none" w:sz="0" w:space="0" w:color="auto"/>
          </w:divBdr>
        </w:div>
        <w:div w:id="1124276641">
          <w:marLeft w:val="0"/>
          <w:marRight w:val="0"/>
          <w:marTop w:val="0"/>
          <w:marBottom w:val="0"/>
          <w:divBdr>
            <w:top w:val="none" w:sz="0" w:space="0" w:color="auto"/>
            <w:left w:val="none" w:sz="0" w:space="0" w:color="auto"/>
            <w:bottom w:val="none" w:sz="0" w:space="0" w:color="auto"/>
            <w:right w:val="none" w:sz="0" w:space="0" w:color="auto"/>
          </w:divBdr>
        </w:div>
        <w:div w:id="1132406109">
          <w:marLeft w:val="0"/>
          <w:marRight w:val="0"/>
          <w:marTop w:val="0"/>
          <w:marBottom w:val="0"/>
          <w:divBdr>
            <w:top w:val="none" w:sz="0" w:space="0" w:color="auto"/>
            <w:left w:val="none" w:sz="0" w:space="0" w:color="auto"/>
            <w:bottom w:val="none" w:sz="0" w:space="0" w:color="auto"/>
            <w:right w:val="none" w:sz="0" w:space="0" w:color="auto"/>
          </w:divBdr>
        </w:div>
        <w:div w:id="1164928539">
          <w:marLeft w:val="0"/>
          <w:marRight w:val="0"/>
          <w:marTop w:val="0"/>
          <w:marBottom w:val="0"/>
          <w:divBdr>
            <w:top w:val="none" w:sz="0" w:space="0" w:color="auto"/>
            <w:left w:val="none" w:sz="0" w:space="0" w:color="auto"/>
            <w:bottom w:val="none" w:sz="0" w:space="0" w:color="auto"/>
            <w:right w:val="none" w:sz="0" w:space="0" w:color="auto"/>
          </w:divBdr>
        </w:div>
        <w:div w:id="1168059759">
          <w:marLeft w:val="0"/>
          <w:marRight w:val="0"/>
          <w:marTop w:val="0"/>
          <w:marBottom w:val="0"/>
          <w:divBdr>
            <w:top w:val="none" w:sz="0" w:space="0" w:color="auto"/>
            <w:left w:val="none" w:sz="0" w:space="0" w:color="auto"/>
            <w:bottom w:val="none" w:sz="0" w:space="0" w:color="auto"/>
            <w:right w:val="none" w:sz="0" w:space="0" w:color="auto"/>
          </w:divBdr>
        </w:div>
        <w:div w:id="1225410387">
          <w:marLeft w:val="0"/>
          <w:marRight w:val="0"/>
          <w:marTop w:val="0"/>
          <w:marBottom w:val="0"/>
          <w:divBdr>
            <w:top w:val="none" w:sz="0" w:space="0" w:color="auto"/>
            <w:left w:val="none" w:sz="0" w:space="0" w:color="auto"/>
            <w:bottom w:val="none" w:sz="0" w:space="0" w:color="auto"/>
            <w:right w:val="none" w:sz="0" w:space="0" w:color="auto"/>
          </w:divBdr>
        </w:div>
        <w:div w:id="1261258433">
          <w:marLeft w:val="0"/>
          <w:marRight w:val="0"/>
          <w:marTop w:val="0"/>
          <w:marBottom w:val="0"/>
          <w:divBdr>
            <w:top w:val="none" w:sz="0" w:space="0" w:color="auto"/>
            <w:left w:val="none" w:sz="0" w:space="0" w:color="auto"/>
            <w:bottom w:val="none" w:sz="0" w:space="0" w:color="auto"/>
            <w:right w:val="none" w:sz="0" w:space="0" w:color="auto"/>
          </w:divBdr>
        </w:div>
        <w:div w:id="1393961757">
          <w:marLeft w:val="0"/>
          <w:marRight w:val="0"/>
          <w:marTop w:val="0"/>
          <w:marBottom w:val="0"/>
          <w:divBdr>
            <w:top w:val="none" w:sz="0" w:space="0" w:color="auto"/>
            <w:left w:val="none" w:sz="0" w:space="0" w:color="auto"/>
            <w:bottom w:val="none" w:sz="0" w:space="0" w:color="auto"/>
            <w:right w:val="none" w:sz="0" w:space="0" w:color="auto"/>
          </w:divBdr>
        </w:div>
        <w:div w:id="1399672066">
          <w:marLeft w:val="0"/>
          <w:marRight w:val="0"/>
          <w:marTop w:val="0"/>
          <w:marBottom w:val="0"/>
          <w:divBdr>
            <w:top w:val="none" w:sz="0" w:space="0" w:color="auto"/>
            <w:left w:val="none" w:sz="0" w:space="0" w:color="auto"/>
            <w:bottom w:val="none" w:sz="0" w:space="0" w:color="auto"/>
            <w:right w:val="none" w:sz="0" w:space="0" w:color="auto"/>
          </w:divBdr>
        </w:div>
        <w:div w:id="1499923624">
          <w:marLeft w:val="0"/>
          <w:marRight w:val="0"/>
          <w:marTop w:val="0"/>
          <w:marBottom w:val="0"/>
          <w:divBdr>
            <w:top w:val="none" w:sz="0" w:space="0" w:color="auto"/>
            <w:left w:val="none" w:sz="0" w:space="0" w:color="auto"/>
            <w:bottom w:val="none" w:sz="0" w:space="0" w:color="auto"/>
            <w:right w:val="none" w:sz="0" w:space="0" w:color="auto"/>
          </w:divBdr>
        </w:div>
        <w:div w:id="1570385857">
          <w:marLeft w:val="0"/>
          <w:marRight w:val="0"/>
          <w:marTop w:val="0"/>
          <w:marBottom w:val="0"/>
          <w:divBdr>
            <w:top w:val="none" w:sz="0" w:space="0" w:color="auto"/>
            <w:left w:val="none" w:sz="0" w:space="0" w:color="auto"/>
            <w:bottom w:val="none" w:sz="0" w:space="0" w:color="auto"/>
            <w:right w:val="none" w:sz="0" w:space="0" w:color="auto"/>
          </w:divBdr>
        </w:div>
        <w:div w:id="1574466996">
          <w:marLeft w:val="0"/>
          <w:marRight w:val="0"/>
          <w:marTop w:val="0"/>
          <w:marBottom w:val="0"/>
          <w:divBdr>
            <w:top w:val="none" w:sz="0" w:space="0" w:color="auto"/>
            <w:left w:val="none" w:sz="0" w:space="0" w:color="auto"/>
            <w:bottom w:val="none" w:sz="0" w:space="0" w:color="auto"/>
            <w:right w:val="none" w:sz="0" w:space="0" w:color="auto"/>
          </w:divBdr>
        </w:div>
        <w:div w:id="1702511358">
          <w:marLeft w:val="0"/>
          <w:marRight w:val="0"/>
          <w:marTop w:val="0"/>
          <w:marBottom w:val="0"/>
          <w:divBdr>
            <w:top w:val="none" w:sz="0" w:space="0" w:color="auto"/>
            <w:left w:val="none" w:sz="0" w:space="0" w:color="auto"/>
            <w:bottom w:val="none" w:sz="0" w:space="0" w:color="auto"/>
            <w:right w:val="none" w:sz="0" w:space="0" w:color="auto"/>
          </w:divBdr>
        </w:div>
        <w:div w:id="1773277142">
          <w:marLeft w:val="0"/>
          <w:marRight w:val="0"/>
          <w:marTop w:val="0"/>
          <w:marBottom w:val="0"/>
          <w:divBdr>
            <w:top w:val="none" w:sz="0" w:space="0" w:color="auto"/>
            <w:left w:val="none" w:sz="0" w:space="0" w:color="auto"/>
            <w:bottom w:val="none" w:sz="0" w:space="0" w:color="auto"/>
            <w:right w:val="none" w:sz="0" w:space="0" w:color="auto"/>
          </w:divBdr>
          <w:divsChild>
            <w:div w:id="1537355802">
              <w:marLeft w:val="0"/>
              <w:marRight w:val="0"/>
              <w:marTop w:val="0"/>
              <w:marBottom w:val="0"/>
              <w:divBdr>
                <w:top w:val="none" w:sz="0" w:space="0" w:color="auto"/>
                <w:left w:val="none" w:sz="0" w:space="0" w:color="auto"/>
                <w:bottom w:val="none" w:sz="0" w:space="0" w:color="auto"/>
                <w:right w:val="none" w:sz="0" w:space="0" w:color="auto"/>
              </w:divBdr>
            </w:div>
          </w:divsChild>
        </w:div>
        <w:div w:id="1830629306">
          <w:marLeft w:val="0"/>
          <w:marRight w:val="0"/>
          <w:marTop w:val="0"/>
          <w:marBottom w:val="0"/>
          <w:divBdr>
            <w:top w:val="none" w:sz="0" w:space="0" w:color="auto"/>
            <w:left w:val="none" w:sz="0" w:space="0" w:color="auto"/>
            <w:bottom w:val="none" w:sz="0" w:space="0" w:color="auto"/>
            <w:right w:val="none" w:sz="0" w:space="0" w:color="auto"/>
          </w:divBdr>
          <w:divsChild>
            <w:div w:id="1128282893">
              <w:marLeft w:val="0"/>
              <w:marRight w:val="0"/>
              <w:marTop w:val="0"/>
              <w:marBottom w:val="0"/>
              <w:divBdr>
                <w:top w:val="none" w:sz="0" w:space="0" w:color="auto"/>
                <w:left w:val="none" w:sz="0" w:space="0" w:color="auto"/>
                <w:bottom w:val="none" w:sz="0" w:space="0" w:color="auto"/>
                <w:right w:val="none" w:sz="0" w:space="0" w:color="auto"/>
              </w:divBdr>
            </w:div>
            <w:div w:id="2116636556">
              <w:marLeft w:val="0"/>
              <w:marRight w:val="0"/>
              <w:marTop w:val="0"/>
              <w:marBottom w:val="0"/>
              <w:divBdr>
                <w:top w:val="none" w:sz="0" w:space="0" w:color="auto"/>
                <w:left w:val="none" w:sz="0" w:space="0" w:color="auto"/>
                <w:bottom w:val="none" w:sz="0" w:space="0" w:color="auto"/>
                <w:right w:val="none" w:sz="0" w:space="0" w:color="auto"/>
              </w:divBdr>
            </w:div>
          </w:divsChild>
        </w:div>
        <w:div w:id="1951819755">
          <w:marLeft w:val="0"/>
          <w:marRight w:val="0"/>
          <w:marTop w:val="0"/>
          <w:marBottom w:val="0"/>
          <w:divBdr>
            <w:top w:val="none" w:sz="0" w:space="0" w:color="auto"/>
            <w:left w:val="none" w:sz="0" w:space="0" w:color="auto"/>
            <w:bottom w:val="none" w:sz="0" w:space="0" w:color="auto"/>
            <w:right w:val="none" w:sz="0" w:space="0" w:color="auto"/>
          </w:divBdr>
        </w:div>
        <w:div w:id="1953509654">
          <w:marLeft w:val="0"/>
          <w:marRight w:val="0"/>
          <w:marTop w:val="0"/>
          <w:marBottom w:val="0"/>
          <w:divBdr>
            <w:top w:val="none" w:sz="0" w:space="0" w:color="auto"/>
            <w:left w:val="none" w:sz="0" w:space="0" w:color="auto"/>
            <w:bottom w:val="none" w:sz="0" w:space="0" w:color="auto"/>
            <w:right w:val="none" w:sz="0" w:space="0" w:color="auto"/>
          </w:divBdr>
        </w:div>
        <w:div w:id="2015181579">
          <w:marLeft w:val="0"/>
          <w:marRight w:val="0"/>
          <w:marTop w:val="0"/>
          <w:marBottom w:val="0"/>
          <w:divBdr>
            <w:top w:val="none" w:sz="0" w:space="0" w:color="auto"/>
            <w:left w:val="none" w:sz="0" w:space="0" w:color="auto"/>
            <w:bottom w:val="none" w:sz="0" w:space="0" w:color="auto"/>
            <w:right w:val="none" w:sz="0" w:space="0" w:color="auto"/>
          </w:divBdr>
        </w:div>
        <w:div w:id="2033141714">
          <w:marLeft w:val="0"/>
          <w:marRight w:val="0"/>
          <w:marTop w:val="0"/>
          <w:marBottom w:val="0"/>
          <w:divBdr>
            <w:top w:val="none" w:sz="0" w:space="0" w:color="auto"/>
            <w:left w:val="none" w:sz="0" w:space="0" w:color="auto"/>
            <w:bottom w:val="none" w:sz="0" w:space="0" w:color="auto"/>
            <w:right w:val="none" w:sz="0" w:space="0" w:color="auto"/>
          </w:divBdr>
          <w:divsChild>
            <w:div w:id="150680265">
              <w:marLeft w:val="0"/>
              <w:marRight w:val="0"/>
              <w:marTop w:val="0"/>
              <w:marBottom w:val="0"/>
              <w:divBdr>
                <w:top w:val="none" w:sz="0" w:space="0" w:color="auto"/>
                <w:left w:val="none" w:sz="0" w:space="0" w:color="auto"/>
                <w:bottom w:val="none" w:sz="0" w:space="0" w:color="auto"/>
                <w:right w:val="none" w:sz="0" w:space="0" w:color="auto"/>
              </w:divBdr>
            </w:div>
            <w:div w:id="450824827">
              <w:marLeft w:val="0"/>
              <w:marRight w:val="0"/>
              <w:marTop w:val="0"/>
              <w:marBottom w:val="0"/>
              <w:divBdr>
                <w:top w:val="none" w:sz="0" w:space="0" w:color="auto"/>
                <w:left w:val="none" w:sz="0" w:space="0" w:color="auto"/>
                <w:bottom w:val="none" w:sz="0" w:space="0" w:color="auto"/>
                <w:right w:val="none" w:sz="0" w:space="0" w:color="auto"/>
              </w:divBdr>
            </w:div>
            <w:div w:id="1063260480">
              <w:marLeft w:val="0"/>
              <w:marRight w:val="0"/>
              <w:marTop w:val="0"/>
              <w:marBottom w:val="0"/>
              <w:divBdr>
                <w:top w:val="none" w:sz="0" w:space="0" w:color="auto"/>
                <w:left w:val="none" w:sz="0" w:space="0" w:color="auto"/>
                <w:bottom w:val="none" w:sz="0" w:space="0" w:color="auto"/>
                <w:right w:val="none" w:sz="0" w:space="0" w:color="auto"/>
              </w:divBdr>
            </w:div>
            <w:div w:id="1221284446">
              <w:marLeft w:val="0"/>
              <w:marRight w:val="0"/>
              <w:marTop w:val="0"/>
              <w:marBottom w:val="0"/>
              <w:divBdr>
                <w:top w:val="none" w:sz="0" w:space="0" w:color="auto"/>
                <w:left w:val="none" w:sz="0" w:space="0" w:color="auto"/>
                <w:bottom w:val="none" w:sz="0" w:space="0" w:color="auto"/>
                <w:right w:val="none" w:sz="0" w:space="0" w:color="auto"/>
              </w:divBdr>
            </w:div>
            <w:div w:id="1229849168">
              <w:marLeft w:val="0"/>
              <w:marRight w:val="0"/>
              <w:marTop w:val="0"/>
              <w:marBottom w:val="0"/>
              <w:divBdr>
                <w:top w:val="none" w:sz="0" w:space="0" w:color="auto"/>
                <w:left w:val="none" w:sz="0" w:space="0" w:color="auto"/>
                <w:bottom w:val="none" w:sz="0" w:space="0" w:color="auto"/>
                <w:right w:val="none" w:sz="0" w:space="0" w:color="auto"/>
              </w:divBdr>
            </w:div>
          </w:divsChild>
        </w:div>
        <w:div w:id="2053842301">
          <w:marLeft w:val="0"/>
          <w:marRight w:val="0"/>
          <w:marTop w:val="0"/>
          <w:marBottom w:val="0"/>
          <w:divBdr>
            <w:top w:val="none" w:sz="0" w:space="0" w:color="auto"/>
            <w:left w:val="none" w:sz="0" w:space="0" w:color="auto"/>
            <w:bottom w:val="none" w:sz="0" w:space="0" w:color="auto"/>
            <w:right w:val="none" w:sz="0" w:space="0" w:color="auto"/>
          </w:divBdr>
        </w:div>
        <w:div w:id="2066448050">
          <w:marLeft w:val="0"/>
          <w:marRight w:val="0"/>
          <w:marTop w:val="0"/>
          <w:marBottom w:val="0"/>
          <w:divBdr>
            <w:top w:val="none" w:sz="0" w:space="0" w:color="auto"/>
            <w:left w:val="none" w:sz="0" w:space="0" w:color="auto"/>
            <w:bottom w:val="none" w:sz="0" w:space="0" w:color="auto"/>
            <w:right w:val="none" w:sz="0" w:space="0" w:color="auto"/>
          </w:divBdr>
        </w:div>
        <w:div w:id="2084453633">
          <w:marLeft w:val="0"/>
          <w:marRight w:val="0"/>
          <w:marTop w:val="0"/>
          <w:marBottom w:val="0"/>
          <w:divBdr>
            <w:top w:val="none" w:sz="0" w:space="0" w:color="auto"/>
            <w:left w:val="none" w:sz="0" w:space="0" w:color="auto"/>
            <w:bottom w:val="none" w:sz="0" w:space="0" w:color="auto"/>
            <w:right w:val="none" w:sz="0" w:space="0" w:color="auto"/>
          </w:divBdr>
        </w:div>
        <w:div w:id="2089643971">
          <w:marLeft w:val="0"/>
          <w:marRight w:val="0"/>
          <w:marTop w:val="0"/>
          <w:marBottom w:val="0"/>
          <w:divBdr>
            <w:top w:val="none" w:sz="0" w:space="0" w:color="auto"/>
            <w:left w:val="none" w:sz="0" w:space="0" w:color="auto"/>
            <w:bottom w:val="none" w:sz="0" w:space="0" w:color="auto"/>
            <w:right w:val="none" w:sz="0" w:space="0" w:color="auto"/>
          </w:divBdr>
        </w:div>
        <w:div w:id="2136949164">
          <w:marLeft w:val="0"/>
          <w:marRight w:val="0"/>
          <w:marTop w:val="0"/>
          <w:marBottom w:val="0"/>
          <w:divBdr>
            <w:top w:val="none" w:sz="0" w:space="0" w:color="auto"/>
            <w:left w:val="none" w:sz="0" w:space="0" w:color="auto"/>
            <w:bottom w:val="none" w:sz="0" w:space="0" w:color="auto"/>
            <w:right w:val="none" w:sz="0" w:space="0" w:color="auto"/>
          </w:divBdr>
        </w:div>
      </w:divsChild>
    </w:div>
    <w:div w:id="1621106236">
      <w:bodyDiv w:val="1"/>
      <w:marLeft w:val="0"/>
      <w:marRight w:val="0"/>
      <w:marTop w:val="0"/>
      <w:marBottom w:val="0"/>
      <w:divBdr>
        <w:top w:val="none" w:sz="0" w:space="0" w:color="auto"/>
        <w:left w:val="none" w:sz="0" w:space="0" w:color="auto"/>
        <w:bottom w:val="none" w:sz="0" w:space="0" w:color="auto"/>
        <w:right w:val="none" w:sz="0" w:space="0" w:color="auto"/>
      </w:divBdr>
    </w:div>
    <w:div w:id="1624578483">
      <w:bodyDiv w:val="1"/>
      <w:marLeft w:val="0"/>
      <w:marRight w:val="0"/>
      <w:marTop w:val="0"/>
      <w:marBottom w:val="0"/>
      <w:divBdr>
        <w:top w:val="none" w:sz="0" w:space="0" w:color="auto"/>
        <w:left w:val="none" w:sz="0" w:space="0" w:color="auto"/>
        <w:bottom w:val="none" w:sz="0" w:space="0" w:color="auto"/>
        <w:right w:val="none" w:sz="0" w:space="0" w:color="auto"/>
      </w:divBdr>
    </w:div>
    <w:div w:id="1625043400">
      <w:bodyDiv w:val="1"/>
      <w:marLeft w:val="0"/>
      <w:marRight w:val="0"/>
      <w:marTop w:val="0"/>
      <w:marBottom w:val="0"/>
      <w:divBdr>
        <w:top w:val="none" w:sz="0" w:space="0" w:color="auto"/>
        <w:left w:val="none" w:sz="0" w:space="0" w:color="auto"/>
        <w:bottom w:val="none" w:sz="0" w:space="0" w:color="auto"/>
        <w:right w:val="none" w:sz="0" w:space="0" w:color="auto"/>
      </w:divBdr>
    </w:div>
    <w:div w:id="1625119386">
      <w:bodyDiv w:val="1"/>
      <w:marLeft w:val="0"/>
      <w:marRight w:val="0"/>
      <w:marTop w:val="0"/>
      <w:marBottom w:val="0"/>
      <w:divBdr>
        <w:top w:val="none" w:sz="0" w:space="0" w:color="auto"/>
        <w:left w:val="none" w:sz="0" w:space="0" w:color="auto"/>
        <w:bottom w:val="none" w:sz="0" w:space="0" w:color="auto"/>
        <w:right w:val="none" w:sz="0" w:space="0" w:color="auto"/>
      </w:divBdr>
    </w:div>
    <w:div w:id="1641812614">
      <w:bodyDiv w:val="1"/>
      <w:marLeft w:val="0"/>
      <w:marRight w:val="0"/>
      <w:marTop w:val="0"/>
      <w:marBottom w:val="0"/>
      <w:divBdr>
        <w:top w:val="none" w:sz="0" w:space="0" w:color="auto"/>
        <w:left w:val="none" w:sz="0" w:space="0" w:color="auto"/>
        <w:bottom w:val="none" w:sz="0" w:space="0" w:color="auto"/>
        <w:right w:val="none" w:sz="0" w:space="0" w:color="auto"/>
      </w:divBdr>
    </w:div>
    <w:div w:id="1643540027">
      <w:bodyDiv w:val="1"/>
      <w:marLeft w:val="0"/>
      <w:marRight w:val="0"/>
      <w:marTop w:val="0"/>
      <w:marBottom w:val="0"/>
      <w:divBdr>
        <w:top w:val="none" w:sz="0" w:space="0" w:color="auto"/>
        <w:left w:val="none" w:sz="0" w:space="0" w:color="auto"/>
        <w:bottom w:val="none" w:sz="0" w:space="0" w:color="auto"/>
        <w:right w:val="none" w:sz="0" w:space="0" w:color="auto"/>
      </w:divBdr>
    </w:div>
    <w:div w:id="1648627136">
      <w:bodyDiv w:val="1"/>
      <w:marLeft w:val="0"/>
      <w:marRight w:val="0"/>
      <w:marTop w:val="0"/>
      <w:marBottom w:val="0"/>
      <w:divBdr>
        <w:top w:val="none" w:sz="0" w:space="0" w:color="auto"/>
        <w:left w:val="none" w:sz="0" w:space="0" w:color="auto"/>
        <w:bottom w:val="none" w:sz="0" w:space="0" w:color="auto"/>
        <w:right w:val="none" w:sz="0" w:space="0" w:color="auto"/>
      </w:divBdr>
    </w:div>
    <w:div w:id="1659573929">
      <w:bodyDiv w:val="1"/>
      <w:marLeft w:val="0"/>
      <w:marRight w:val="0"/>
      <w:marTop w:val="0"/>
      <w:marBottom w:val="0"/>
      <w:divBdr>
        <w:top w:val="none" w:sz="0" w:space="0" w:color="auto"/>
        <w:left w:val="none" w:sz="0" w:space="0" w:color="auto"/>
        <w:bottom w:val="none" w:sz="0" w:space="0" w:color="auto"/>
        <w:right w:val="none" w:sz="0" w:space="0" w:color="auto"/>
      </w:divBdr>
    </w:div>
    <w:div w:id="1666283622">
      <w:bodyDiv w:val="1"/>
      <w:marLeft w:val="0"/>
      <w:marRight w:val="0"/>
      <w:marTop w:val="0"/>
      <w:marBottom w:val="0"/>
      <w:divBdr>
        <w:top w:val="none" w:sz="0" w:space="0" w:color="auto"/>
        <w:left w:val="none" w:sz="0" w:space="0" w:color="auto"/>
        <w:bottom w:val="none" w:sz="0" w:space="0" w:color="auto"/>
        <w:right w:val="none" w:sz="0" w:space="0" w:color="auto"/>
      </w:divBdr>
    </w:div>
    <w:div w:id="1672487115">
      <w:bodyDiv w:val="1"/>
      <w:marLeft w:val="0"/>
      <w:marRight w:val="0"/>
      <w:marTop w:val="0"/>
      <w:marBottom w:val="0"/>
      <w:divBdr>
        <w:top w:val="none" w:sz="0" w:space="0" w:color="auto"/>
        <w:left w:val="none" w:sz="0" w:space="0" w:color="auto"/>
        <w:bottom w:val="none" w:sz="0" w:space="0" w:color="auto"/>
        <w:right w:val="none" w:sz="0" w:space="0" w:color="auto"/>
      </w:divBdr>
    </w:div>
    <w:div w:id="1692149364">
      <w:bodyDiv w:val="1"/>
      <w:marLeft w:val="0"/>
      <w:marRight w:val="0"/>
      <w:marTop w:val="0"/>
      <w:marBottom w:val="0"/>
      <w:divBdr>
        <w:top w:val="none" w:sz="0" w:space="0" w:color="auto"/>
        <w:left w:val="none" w:sz="0" w:space="0" w:color="auto"/>
        <w:bottom w:val="none" w:sz="0" w:space="0" w:color="auto"/>
        <w:right w:val="none" w:sz="0" w:space="0" w:color="auto"/>
      </w:divBdr>
    </w:div>
    <w:div w:id="1694109363">
      <w:bodyDiv w:val="1"/>
      <w:marLeft w:val="0"/>
      <w:marRight w:val="0"/>
      <w:marTop w:val="0"/>
      <w:marBottom w:val="0"/>
      <w:divBdr>
        <w:top w:val="none" w:sz="0" w:space="0" w:color="auto"/>
        <w:left w:val="none" w:sz="0" w:space="0" w:color="auto"/>
        <w:bottom w:val="none" w:sz="0" w:space="0" w:color="auto"/>
        <w:right w:val="none" w:sz="0" w:space="0" w:color="auto"/>
      </w:divBdr>
    </w:div>
    <w:div w:id="1696079037">
      <w:bodyDiv w:val="1"/>
      <w:marLeft w:val="0"/>
      <w:marRight w:val="0"/>
      <w:marTop w:val="0"/>
      <w:marBottom w:val="0"/>
      <w:divBdr>
        <w:top w:val="none" w:sz="0" w:space="0" w:color="auto"/>
        <w:left w:val="none" w:sz="0" w:space="0" w:color="auto"/>
        <w:bottom w:val="none" w:sz="0" w:space="0" w:color="auto"/>
        <w:right w:val="none" w:sz="0" w:space="0" w:color="auto"/>
      </w:divBdr>
    </w:div>
    <w:div w:id="1711297877">
      <w:bodyDiv w:val="1"/>
      <w:marLeft w:val="0"/>
      <w:marRight w:val="0"/>
      <w:marTop w:val="0"/>
      <w:marBottom w:val="0"/>
      <w:divBdr>
        <w:top w:val="none" w:sz="0" w:space="0" w:color="auto"/>
        <w:left w:val="none" w:sz="0" w:space="0" w:color="auto"/>
        <w:bottom w:val="none" w:sz="0" w:space="0" w:color="auto"/>
        <w:right w:val="none" w:sz="0" w:space="0" w:color="auto"/>
      </w:divBdr>
    </w:div>
    <w:div w:id="1712225488">
      <w:bodyDiv w:val="1"/>
      <w:marLeft w:val="0"/>
      <w:marRight w:val="0"/>
      <w:marTop w:val="0"/>
      <w:marBottom w:val="0"/>
      <w:divBdr>
        <w:top w:val="none" w:sz="0" w:space="0" w:color="auto"/>
        <w:left w:val="none" w:sz="0" w:space="0" w:color="auto"/>
        <w:bottom w:val="none" w:sz="0" w:space="0" w:color="auto"/>
        <w:right w:val="none" w:sz="0" w:space="0" w:color="auto"/>
      </w:divBdr>
    </w:div>
    <w:div w:id="1717972400">
      <w:bodyDiv w:val="1"/>
      <w:marLeft w:val="0"/>
      <w:marRight w:val="0"/>
      <w:marTop w:val="0"/>
      <w:marBottom w:val="0"/>
      <w:divBdr>
        <w:top w:val="none" w:sz="0" w:space="0" w:color="auto"/>
        <w:left w:val="none" w:sz="0" w:space="0" w:color="auto"/>
        <w:bottom w:val="none" w:sz="0" w:space="0" w:color="auto"/>
        <w:right w:val="none" w:sz="0" w:space="0" w:color="auto"/>
      </w:divBdr>
    </w:div>
    <w:div w:id="1722051972">
      <w:bodyDiv w:val="1"/>
      <w:marLeft w:val="0"/>
      <w:marRight w:val="0"/>
      <w:marTop w:val="0"/>
      <w:marBottom w:val="0"/>
      <w:divBdr>
        <w:top w:val="none" w:sz="0" w:space="0" w:color="auto"/>
        <w:left w:val="none" w:sz="0" w:space="0" w:color="auto"/>
        <w:bottom w:val="none" w:sz="0" w:space="0" w:color="auto"/>
        <w:right w:val="none" w:sz="0" w:space="0" w:color="auto"/>
      </w:divBdr>
      <w:divsChild>
        <w:div w:id="6905378">
          <w:marLeft w:val="1267"/>
          <w:marRight w:val="0"/>
          <w:marTop w:val="109"/>
          <w:marBottom w:val="109"/>
          <w:divBdr>
            <w:top w:val="none" w:sz="0" w:space="0" w:color="auto"/>
            <w:left w:val="none" w:sz="0" w:space="0" w:color="auto"/>
            <w:bottom w:val="none" w:sz="0" w:space="0" w:color="auto"/>
            <w:right w:val="none" w:sz="0" w:space="0" w:color="auto"/>
          </w:divBdr>
        </w:div>
      </w:divsChild>
    </w:div>
    <w:div w:id="1723749349">
      <w:bodyDiv w:val="1"/>
      <w:marLeft w:val="0"/>
      <w:marRight w:val="0"/>
      <w:marTop w:val="0"/>
      <w:marBottom w:val="0"/>
      <w:divBdr>
        <w:top w:val="none" w:sz="0" w:space="0" w:color="auto"/>
        <w:left w:val="none" w:sz="0" w:space="0" w:color="auto"/>
        <w:bottom w:val="none" w:sz="0" w:space="0" w:color="auto"/>
        <w:right w:val="none" w:sz="0" w:space="0" w:color="auto"/>
      </w:divBdr>
    </w:div>
    <w:div w:id="1731536666">
      <w:bodyDiv w:val="1"/>
      <w:marLeft w:val="0"/>
      <w:marRight w:val="0"/>
      <w:marTop w:val="0"/>
      <w:marBottom w:val="0"/>
      <w:divBdr>
        <w:top w:val="none" w:sz="0" w:space="0" w:color="auto"/>
        <w:left w:val="none" w:sz="0" w:space="0" w:color="auto"/>
        <w:bottom w:val="none" w:sz="0" w:space="0" w:color="auto"/>
        <w:right w:val="none" w:sz="0" w:space="0" w:color="auto"/>
      </w:divBdr>
    </w:div>
    <w:div w:id="1731541705">
      <w:bodyDiv w:val="1"/>
      <w:marLeft w:val="0"/>
      <w:marRight w:val="0"/>
      <w:marTop w:val="0"/>
      <w:marBottom w:val="0"/>
      <w:divBdr>
        <w:top w:val="none" w:sz="0" w:space="0" w:color="auto"/>
        <w:left w:val="none" w:sz="0" w:space="0" w:color="auto"/>
        <w:bottom w:val="none" w:sz="0" w:space="0" w:color="auto"/>
        <w:right w:val="none" w:sz="0" w:space="0" w:color="auto"/>
      </w:divBdr>
    </w:div>
    <w:div w:id="1753238155">
      <w:bodyDiv w:val="1"/>
      <w:marLeft w:val="0"/>
      <w:marRight w:val="0"/>
      <w:marTop w:val="0"/>
      <w:marBottom w:val="0"/>
      <w:divBdr>
        <w:top w:val="none" w:sz="0" w:space="0" w:color="auto"/>
        <w:left w:val="none" w:sz="0" w:space="0" w:color="auto"/>
        <w:bottom w:val="none" w:sz="0" w:space="0" w:color="auto"/>
        <w:right w:val="none" w:sz="0" w:space="0" w:color="auto"/>
      </w:divBdr>
    </w:div>
    <w:div w:id="1753819474">
      <w:bodyDiv w:val="1"/>
      <w:marLeft w:val="0"/>
      <w:marRight w:val="0"/>
      <w:marTop w:val="0"/>
      <w:marBottom w:val="0"/>
      <w:divBdr>
        <w:top w:val="none" w:sz="0" w:space="0" w:color="auto"/>
        <w:left w:val="none" w:sz="0" w:space="0" w:color="auto"/>
        <w:bottom w:val="none" w:sz="0" w:space="0" w:color="auto"/>
        <w:right w:val="none" w:sz="0" w:space="0" w:color="auto"/>
      </w:divBdr>
    </w:div>
    <w:div w:id="1764688485">
      <w:bodyDiv w:val="1"/>
      <w:marLeft w:val="0"/>
      <w:marRight w:val="0"/>
      <w:marTop w:val="0"/>
      <w:marBottom w:val="0"/>
      <w:divBdr>
        <w:top w:val="none" w:sz="0" w:space="0" w:color="auto"/>
        <w:left w:val="none" w:sz="0" w:space="0" w:color="auto"/>
        <w:bottom w:val="none" w:sz="0" w:space="0" w:color="auto"/>
        <w:right w:val="none" w:sz="0" w:space="0" w:color="auto"/>
      </w:divBdr>
    </w:div>
    <w:div w:id="1767575301">
      <w:bodyDiv w:val="1"/>
      <w:marLeft w:val="0"/>
      <w:marRight w:val="0"/>
      <w:marTop w:val="0"/>
      <w:marBottom w:val="0"/>
      <w:divBdr>
        <w:top w:val="none" w:sz="0" w:space="0" w:color="auto"/>
        <w:left w:val="none" w:sz="0" w:space="0" w:color="auto"/>
        <w:bottom w:val="none" w:sz="0" w:space="0" w:color="auto"/>
        <w:right w:val="none" w:sz="0" w:space="0" w:color="auto"/>
      </w:divBdr>
    </w:div>
    <w:div w:id="1770812850">
      <w:bodyDiv w:val="1"/>
      <w:marLeft w:val="0"/>
      <w:marRight w:val="0"/>
      <w:marTop w:val="0"/>
      <w:marBottom w:val="0"/>
      <w:divBdr>
        <w:top w:val="none" w:sz="0" w:space="0" w:color="auto"/>
        <w:left w:val="none" w:sz="0" w:space="0" w:color="auto"/>
        <w:bottom w:val="none" w:sz="0" w:space="0" w:color="auto"/>
        <w:right w:val="none" w:sz="0" w:space="0" w:color="auto"/>
      </w:divBdr>
      <w:divsChild>
        <w:div w:id="10761693">
          <w:marLeft w:val="1166"/>
          <w:marRight w:val="0"/>
          <w:marTop w:val="0"/>
          <w:marBottom w:val="0"/>
          <w:divBdr>
            <w:top w:val="none" w:sz="0" w:space="0" w:color="auto"/>
            <w:left w:val="none" w:sz="0" w:space="0" w:color="auto"/>
            <w:bottom w:val="none" w:sz="0" w:space="0" w:color="auto"/>
            <w:right w:val="none" w:sz="0" w:space="0" w:color="auto"/>
          </w:divBdr>
        </w:div>
        <w:div w:id="217399416">
          <w:marLeft w:val="1166"/>
          <w:marRight w:val="0"/>
          <w:marTop w:val="0"/>
          <w:marBottom w:val="0"/>
          <w:divBdr>
            <w:top w:val="none" w:sz="0" w:space="0" w:color="auto"/>
            <w:left w:val="none" w:sz="0" w:space="0" w:color="auto"/>
            <w:bottom w:val="none" w:sz="0" w:space="0" w:color="auto"/>
            <w:right w:val="none" w:sz="0" w:space="0" w:color="auto"/>
          </w:divBdr>
        </w:div>
        <w:div w:id="566034987">
          <w:marLeft w:val="446"/>
          <w:marRight w:val="0"/>
          <w:marTop w:val="0"/>
          <w:marBottom w:val="0"/>
          <w:divBdr>
            <w:top w:val="none" w:sz="0" w:space="0" w:color="auto"/>
            <w:left w:val="none" w:sz="0" w:space="0" w:color="auto"/>
            <w:bottom w:val="none" w:sz="0" w:space="0" w:color="auto"/>
            <w:right w:val="none" w:sz="0" w:space="0" w:color="auto"/>
          </w:divBdr>
        </w:div>
        <w:div w:id="788820182">
          <w:marLeft w:val="1166"/>
          <w:marRight w:val="0"/>
          <w:marTop w:val="0"/>
          <w:marBottom w:val="0"/>
          <w:divBdr>
            <w:top w:val="none" w:sz="0" w:space="0" w:color="auto"/>
            <w:left w:val="none" w:sz="0" w:space="0" w:color="auto"/>
            <w:bottom w:val="none" w:sz="0" w:space="0" w:color="auto"/>
            <w:right w:val="none" w:sz="0" w:space="0" w:color="auto"/>
          </w:divBdr>
        </w:div>
        <w:div w:id="1053967829">
          <w:marLeft w:val="446"/>
          <w:marRight w:val="0"/>
          <w:marTop w:val="0"/>
          <w:marBottom w:val="0"/>
          <w:divBdr>
            <w:top w:val="none" w:sz="0" w:space="0" w:color="auto"/>
            <w:left w:val="none" w:sz="0" w:space="0" w:color="auto"/>
            <w:bottom w:val="none" w:sz="0" w:space="0" w:color="auto"/>
            <w:right w:val="none" w:sz="0" w:space="0" w:color="auto"/>
          </w:divBdr>
        </w:div>
        <w:div w:id="1296183464">
          <w:marLeft w:val="1166"/>
          <w:marRight w:val="0"/>
          <w:marTop w:val="0"/>
          <w:marBottom w:val="0"/>
          <w:divBdr>
            <w:top w:val="none" w:sz="0" w:space="0" w:color="auto"/>
            <w:left w:val="none" w:sz="0" w:space="0" w:color="auto"/>
            <w:bottom w:val="none" w:sz="0" w:space="0" w:color="auto"/>
            <w:right w:val="none" w:sz="0" w:space="0" w:color="auto"/>
          </w:divBdr>
        </w:div>
        <w:div w:id="1352729660">
          <w:marLeft w:val="446"/>
          <w:marRight w:val="0"/>
          <w:marTop w:val="0"/>
          <w:marBottom w:val="0"/>
          <w:divBdr>
            <w:top w:val="none" w:sz="0" w:space="0" w:color="auto"/>
            <w:left w:val="none" w:sz="0" w:space="0" w:color="auto"/>
            <w:bottom w:val="none" w:sz="0" w:space="0" w:color="auto"/>
            <w:right w:val="none" w:sz="0" w:space="0" w:color="auto"/>
          </w:divBdr>
        </w:div>
        <w:div w:id="1514220716">
          <w:marLeft w:val="1166"/>
          <w:marRight w:val="0"/>
          <w:marTop w:val="0"/>
          <w:marBottom w:val="0"/>
          <w:divBdr>
            <w:top w:val="none" w:sz="0" w:space="0" w:color="auto"/>
            <w:left w:val="none" w:sz="0" w:space="0" w:color="auto"/>
            <w:bottom w:val="none" w:sz="0" w:space="0" w:color="auto"/>
            <w:right w:val="none" w:sz="0" w:space="0" w:color="auto"/>
          </w:divBdr>
        </w:div>
        <w:div w:id="1632638087">
          <w:marLeft w:val="1166"/>
          <w:marRight w:val="0"/>
          <w:marTop w:val="0"/>
          <w:marBottom w:val="0"/>
          <w:divBdr>
            <w:top w:val="none" w:sz="0" w:space="0" w:color="auto"/>
            <w:left w:val="none" w:sz="0" w:space="0" w:color="auto"/>
            <w:bottom w:val="none" w:sz="0" w:space="0" w:color="auto"/>
            <w:right w:val="none" w:sz="0" w:space="0" w:color="auto"/>
          </w:divBdr>
        </w:div>
        <w:div w:id="1918244954">
          <w:marLeft w:val="1166"/>
          <w:marRight w:val="0"/>
          <w:marTop w:val="0"/>
          <w:marBottom w:val="0"/>
          <w:divBdr>
            <w:top w:val="none" w:sz="0" w:space="0" w:color="auto"/>
            <w:left w:val="none" w:sz="0" w:space="0" w:color="auto"/>
            <w:bottom w:val="none" w:sz="0" w:space="0" w:color="auto"/>
            <w:right w:val="none" w:sz="0" w:space="0" w:color="auto"/>
          </w:divBdr>
        </w:div>
        <w:div w:id="1987317152">
          <w:marLeft w:val="1166"/>
          <w:marRight w:val="0"/>
          <w:marTop w:val="0"/>
          <w:marBottom w:val="0"/>
          <w:divBdr>
            <w:top w:val="none" w:sz="0" w:space="0" w:color="auto"/>
            <w:left w:val="none" w:sz="0" w:space="0" w:color="auto"/>
            <w:bottom w:val="none" w:sz="0" w:space="0" w:color="auto"/>
            <w:right w:val="none" w:sz="0" w:space="0" w:color="auto"/>
          </w:divBdr>
        </w:div>
        <w:div w:id="2005742662">
          <w:marLeft w:val="1166"/>
          <w:marRight w:val="0"/>
          <w:marTop w:val="0"/>
          <w:marBottom w:val="0"/>
          <w:divBdr>
            <w:top w:val="none" w:sz="0" w:space="0" w:color="auto"/>
            <w:left w:val="none" w:sz="0" w:space="0" w:color="auto"/>
            <w:bottom w:val="none" w:sz="0" w:space="0" w:color="auto"/>
            <w:right w:val="none" w:sz="0" w:space="0" w:color="auto"/>
          </w:divBdr>
        </w:div>
      </w:divsChild>
    </w:div>
    <w:div w:id="1772162596">
      <w:bodyDiv w:val="1"/>
      <w:marLeft w:val="0"/>
      <w:marRight w:val="0"/>
      <w:marTop w:val="0"/>
      <w:marBottom w:val="0"/>
      <w:divBdr>
        <w:top w:val="none" w:sz="0" w:space="0" w:color="auto"/>
        <w:left w:val="none" w:sz="0" w:space="0" w:color="auto"/>
        <w:bottom w:val="none" w:sz="0" w:space="0" w:color="auto"/>
        <w:right w:val="none" w:sz="0" w:space="0" w:color="auto"/>
      </w:divBdr>
    </w:div>
    <w:div w:id="1776707123">
      <w:bodyDiv w:val="1"/>
      <w:marLeft w:val="0"/>
      <w:marRight w:val="0"/>
      <w:marTop w:val="0"/>
      <w:marBottom w:val="0"/>
      <w:divBdr>
        <w:top w:val="none" w:sz="0" w:space="0" w:color="auto"/>
        <w:left w:val="none" w:sz="0" w:space="0" w:color="auto"/>
        <w:bottom w:val="none" w:sz="0" w:space="0" w:color="auto"/>
        <w:right w:val="none" w:sz="0" w:space="0" w:color="auto"/>
      </w:divBdr>
    </w:div>
    <w:div w:id="1788043954">
      <w:bodyDiv w:val="1"/>
      <w:marLeft w:val="0"/>
      <w:marRight w:val="0"/>
      <w:marTop w:val="0"/>
      <w:marBottom w:val="0"/>
      <w:divBdr>
        <w:top w:val="none" w:sz="0" w:space="0" w:color="auto"/>
        <w:left w:val="none" w:sz="0" w:space="0" w:color="auto"/>
        <w:bottom w:val="none" w:sz="0" w:space="0" w:color="auto"/>
        <w:right w:val="none" w:sz="0" w:space="0" w:color="auto"/>
      </w:divBdr>
    </w:div>
    <w:div w:id="1805536701">
      <w:bodyDiv w:val="1"/>
      <w:marLeft w:val="0"/>
      <w:marRight w:val="0"/>
      <w:marTop w:val="0"/>
      <w:marBottom w:val="0"/>
      <w:divBdr>
        <w:top w:val="none" w:sz="0" w:space="0" w:color="auto"/>
        <w:left w:val="none" w:sz="0" w:space="0" w:color="auto"/>
        <w:bottom w:val="none" w:sz="0" w:space="0" w:color="auto"/>
        <w:right w:val="none" w:sz="0" w:space="0" w:color="auto"/>
      </w:divBdr>
    </w:div>
    <w:div w:id="1818493060">
      <w:bodyDiv w:val="1"/>
      <w:marLeft w:val="0"/>
      <w:marRight w:val="0"/>
      <w:marTop w:val="0"/>
      <w:marBottom w:val="0"/>
      <w:divBdr>
        <w:top w:val="none" w:sz="0" w:space="0" w:color="auto"/>
        <w:left w:val="none" w:sz="0" w:space="0" w:color="auto"/>
        <w:bottom w:val="none" w:sz="0" w:space="0" w:color="auto"/>
        <w:right w:val="none" w:sz="0" w:space="0" w:color="auto"/>
      </w:divBdr>
    </w:div>
    <w:div w:id="1823498485">
      <w:bodyDiv w:val="1"/>
      <w:marLeft w:val="0"/>
      <w:marRight w:val="0"/>
      <w:marTop w:val="0"/>
      <w:marBottom w:val="0"/>
      <w:divBdr>
        <w:top w:val="none" w:sz="0" w:space="0" w:color="auto"/>
        <w:left w:val="none" w:sz="0" w:space="0" w:color="auto"/>
        <w:bottom w:val="none" w:sz="0" w:space="0" w:color="auto"/>
        <w:right w:val="none" w:sz="0" w:space="0" w:color="auto"/>
      </w:divBdr>
    </w:div>
    <w:div w:id="1824353808">
      <w:bodyDiv w:val="1"/>
      <w:marLeft w:val="0"/>
      <w:marRight w:val="0"/>
      <w:marTop w:val="0"/>
      <w:marBottom w:val="0"/>
      <w:divBdr>
        <w:top w:val="none" w:sz="0" w:space="0" w:color="auto"/>
        <w:left w:val="none" w:sz="0" w:space="0" w:color="auto"/>
        <w:bottom w:val="none" w:sz="0" w:space="0" w:color="auto"/>
        <w:right w:val="none" w:sz="0" w:space="0" w:color="auto"/>
      </w:divBdr>
    </w:div>
    <w:div w:id="1837381548">
      <w:bodyDiv w:val="1"/>
      <w:marLeft w:val="0"/>
      <w:marRight w:val="0"/>
      <w:marTop w:val="0"/>
      <w:marBottom w:val="0"/>
      <w:divBdr>
        <w:top w:val="none" w:sz="0" w:space="0" w:color="auto"/>
        <w:left w:val="none" w:sz="0" w:space="0" w:color="auto"/>
        <w:bottom w:val="none" w:sz="0" w:space="0" w:color="auto"/>
        <w:right w:val="none" w:sz="0" w:space="0" w:color="auto"/>
      </w:divBdr>
      <w:divsChild>
        <w:div w:id="348025129">
          <w:marLeft w:val="0"/>
          <w:marRight w:val="0"/>
          <w:marTop w:val="0"/>
          <w:marBottom w:val="0"/>
          <w:divBdr>
            <w:top w:val="none" w:sz="0" w:space="0" w:color="auto"/>
            <w:left w:val="none" w:sz="0" w:space="0" w:color="auto"/>
            <w:bottom w:val="none" w:sz="0" w:space="0" w:color="auto"/>
            <w:right w:val="none" w:sz="0" w:space="0" w:color="auto"/>
          </w:divBdr>
        </w:div>
      </w:divsChild>
    </w:div>
    <w:div w:id="1863475465">
      <w:bodyDiv w:val="1"/>
      <w:marLeft w:val="0"/>
      <w:marRight w:val="0"/>
      <w:marTop w:val="0"/>
      <w:marBottom w:val="0"/>
      <w:divBdr>
        <w:top w:val="none" w:sz="0" w:space="0" w:color="auto"/>
        <w:left w:val="none" w:sz="0" w:space="0" w:color="auto"/>
        <w:bottom w:val="none" w:sz="0" w:space="0" w:color="auto"/>
        <w:right w:val="none" w:sz="0" w:space="0" w:color="auto"/>
      </w:divBdr>
    </w:div>
    <w:div w:id="1881047032">
      <w:bodyDiv w:val="1"/>
      <w:marLeft w:val="0"/>
      <w:marRight w:val="0"/>
      <w:marTop w:val="0"/>
      <w:marBottom w:val="0"/>
      <w:divBdr>
        <w:top w:val="none" w:sz="0" w:space="0" w:color="auto"/>
        <w:left w:val="none" w:sz="0" w:space="0" w:color="auto"/>
        <w:bottom w:val="none" w:sz="0" w:space="0" w:color="auto"/>
        <w:right w:val="none" w:sz="0" w:space="0" w:color="auto"/>
      </w:divBdr>
    </w:div>
    <w:div w:id="1894458884">
      <w:bodyDiv w:val="1"/>
      <w:marLeft w:val="0"/>
      <w:marRight w:val="0"/>
      <w:marTop w:val="0"/>
      <w:marBottom w:val="0"/>
      <w:divBdr>
        <w:top w:val="none" w:sz="0" w:space="0" w:color="auto"/>
        <w:left w:val="none" w:sz="0" w:space="0" w:color="auto"/>
        <w:bottom w:val="none" w:sz="0" w:space="0" w:color="auto"/>
        <w:right w:val="none" w:sz="0" w:space="0" w:color="auto"/>
      </w:divBdr>
    </w:div>
    <w:div w:id="1906376893">
      <w:bodyDiv w:val="1"/>
      <w:marLeft w:val="0"/>
      <w:marRight w:val="0"/>
      <w:marTop w:val="0"/>
      <w:marBottom w:val="0"/>
      <w:divBdr>
        <w:top w:val="none" w:sz="0" w:space="0" w:color="auto"/>
        <w:left w:val="none" w:sz="0" w:space="0" w:color="auto"/>
        <w:bottom w:val="none" w:sz="0" w:space="0" w:color="auto"/>
        <w:right w:val="none" w:sz="0" w:space="0" w:color="auto"/>
      </w:divBdr>
    </w:div>
    <w:div w:id="1907448570">
      <w:bodyDiv w:val="1"/>
      <w:marLeft w:val="0"/>
      <w:marRight w:val="0"/>
      <w:marTop w:val="0"/>
      <w:marBottom w:val="0"/>
      <w:divBdr>
        <w:top w:val="none" w:sz="0" w:space="0" w:color="auto"/>
        <w:left w:val="none" w:sz="0" w:space="0" w:color="auto"/>
        <w:bottom w:val="none" w:sz="0" w:space="0" w:color="auto"/>
        <w:right w:val="none" w:sz="0" w:space="0" w:color="auto"/>
      </w:divBdr>
    </w:div>
    <w:div w:id="1917520235">
      <w:bodyDiv w:val="1"/>
      <w:marLeft w:val="0"/>
      <w:marRight w:val="0"/>
      <w:marTop w:val="0"/>
      <w:marBottom w:val="0"/>
      <w:divBdr>
        <w:top w:val="none" w:sz="0" w:space="0" w:color="auto"/>
        <w:left w:val="none" w:sz="0" w:space="0" w:color="auto"/>
        <w:bottom w:val="none" w:sz="0" w:space="0" w:color="auto"/>
        <w:right w:val="none" w:sz="0" w:space="0" w:color="auto"/>
      </w:divBdr>
    </w:div>
    <w:div w:id="1926917048">
      <w:bodyDiv w:val="1"/>
      <w:marLeft w:val="0"/>
      <w:marRight w:val="0"/>
      <w:marTop w:val="0"/>
      <w:marBottom w:val="0"/>
      <w:divBdr>
        <w:top w:val="none" w:sz="0" w:space="0" w:color="auto"/>
        <w:left w:val="none" w:sz="0" w:space="0" w:color="auto"/>
        <w:bottom w:val="none" w:sz="0" w:space="0" w:color="auto"/>
        <w:right w:val="none" w:sz="0" w:space="0" w:color="auto"/>
      </w:divBdr>
    </w:div>
    <w:div w:id="1939868237">
      <w:bodyDiv w:val="1"/>
      <w:marLeft w:val="0"/>
      <w:marRight w:val="0"/>
      <w:marTop w:val="0"/>
      <w:marBottom w:val="0"/>
      <w:divBdr>
        <w:top w:val="none" w:sz="0" w:space="0" w:color="auto"/>
        <w:left w:val="none" w:sz="0" w:space="0" w:color="auto"/>
        <w:bottom w:val="none" w:sz="0" w:space="0" w:color="auto"/>
        <w:right w:val="none" w:sz="0" w:space="0" w:color="auto"/>
      </w:divBdr>
    </w:div>
    <w:div w:id="1976329750">
      <w:bodyDiv w:val="1"/>
      <w:marLeft w:val="0"/>
      <w:marRight w:val="0"/>
      <w:marTop w:val="0"/>
      <w:marBottom w:val="0"/>
      <w:divBdr>
        <w:top w:val="none" w:sz="0" w:space="0" w:color="auto"/>
        <w:left w:val="none" w:sz="0" w:space="0" w:color="auto"/>
        <w:bottom w:val="none" w:sz="0" w:space="0" w:color="auto"/>
        <w:right w:val="none" w:sz="0" w:space="0" w:color="auto"/>
      </w:divBdr>
    </w:div>
    <w:div w:id="1983732980">
      <w:bodyDiv w:val="1"/>
      <w:marLeft w:val="0"/>
      <w:marRight w:val="0"/>
      <w:marTop w:val="0"/>
      <w:marBottom w:val="0"/>
      <w:divBdr>
        <w:top w:val="none" w:sz="0" w:space="0" w:color="auto"/>
        <w:left w:val="none" w:sz="0" w:space="0" w:color="auto"/>
        <w:bottom w:val="none" w:sz="0" w:space="0" w:color="auto"/>
        <w:right w:val="none" w:sz="0" w:space="0" w:color="auto"/>
      </w:divBdr>
      <w:divsChild>
        <w:div w:id="351229601">
          <w:marLeft w:val="0"/>
          <w:marRight w:val="0"/>
          <w:marTop w:val="0"/>
          <w:marBottom w:val="0"/>
          <w:divBdr>
            <w:top w:val="none" w:sz="0" w:space="0" w:color="auto"/>
            <w:left w:val="none" w:sz="0" w:space="0" w:color="auto"/>
            <w:bottom w:val="none" w:sz="0" w:space="0" w:color="auto"/>
            <w:right w:val="none" w:sz="0" w:space="0" w:color="auto"/>
          </w:divBdr>
        </w:div>
        <w:div w:id="675768732">
          <w:marLeft w:val="0"/>
          <w:marRight w:val="0"/>
          <w:marTop w:val="0"/>
          <w:marBottom w:val="0"/>
          <w:divBdr>
            <w:top w:val="none" w:sz="0" w:space="0" w:color="auto"/>
            <w:left w:val="none" w:sz="0" w:space="0" w:color="auto"/>
            <w:bottom w:val="none" w:sz="0" w:space="0" w:color="auto"/>
            <w:right w:val="none" w:sz="0" w:space="0" w:color="auto"/>
          </w:divBdr>
        </w:div>
        <w:div w:id="728773289">
          <w:marLeft w:val="0"/>
          <w:marRight w:val="0"/>
          <w:marTop w:val="0"/>
          <w:marBottom w:val="0"/>
          <w:divBdr>
            <w:top w:val="none" w:sz="0" w:space="0" w:color="auto"/>
            <w:left w:val="none" w:sz="0" w:space="0" w:color="auto"/>
            <w:bottom w:val="none" w:sz="0" w:space="0" w:color="auto"/>
            <w:right w:val="none" w:sz="0" w:space="0" w:color="auto"/>
          </w:divBdr>
        </w:div>
        <w:div w:id="755711615">
          <w:marLeft w:val="0"/>
          <w:marRight w:val="0"/>
          <w:marTop w:val="0"/>
          <w:marBottom w:val="0"/>
          <w:divBdr>
            <w:top w:val="none" w:sz="0" w:space="0" w:color="auto"/>
            <w:left w:val="none" w:sz="0" w:space="0" w:color="auto"/>
            <w:bottom w:val="none" w:sz="0" w:space="0" w:color="auto"/>
            <w:right w:val="none" w:sz="0" w:space="0" w:color="auto"/>
          </w:divBdr>
        </w:div>
        <w:div w:id="1094981241">
          <w:marLeft w:val="0"/>
          <w:marRight w:val="0"/>
          <w:marTop w:val="0"/>
          <w:marBottom w:val="0"/>
          <w:divBdr>
            <w:top w:val="none" w:sz="0" w:space="0" w:color="auto"/>
            <w:left w:val="none" w:sz="0" w:space="0" w:color="auto"/>
            <w:bottom w:val="none" w:sz="0" w:space="0" w:color="auto"/>
            <w:right w:val="none" w:sz="0" w:space="0" w:color="auto"/>
          </w:divBdr>
        </w:div>
      </w:divsChild>
    </w:div>
    <w:div w:id="1987777710">
      <w:bodyDiv w:val="1"/>
      <w:marLeft w:val="0"/>
      <w:marRight w:val="0"/>
      <w:marTop w:val="0"/>
      <w:marBottom w:val="0"/>
      <w:divBdr>
        <w:top w:val="none" w:sz="0" w:space="0" w:color="auto"/>
        <w:left w:val="none" w:sz="0" w:space="0" w:color="auto"/>
        <w:bottom w:val="none" w:sz="0" w:space="0" w:color="auto"/>
        <w:right w:val="none" w:sz="0" w:space="0" w:color="auto"/>
      </w:divBdr>
    </w:div>
    <w:div w:id="1992170533">
      <w:bodyDiv w:val="1"/>
      <w:marLeft w:val="0"/>
      <w:marRight w:val="0"/>
      <w:marTop w:val="0"/>
      <w:marBottom w:val="0"/>
      <w:divBdr>
        <w:top w:val="none" w:sz="0" w:space="0" w:color="auto"/>
        <w:left w:val="none" w:sz="0" w:space="0" w:color="auto"/>
        <w:bottom w:val="none" w:sz="0" w:space="0" w:color="auto"/>
        <w:right w:val="none" w:sz="0" w:space="0" w:color="auto"/>
      </w:divBdr>
    </w:div>
    <w:div w:id="2006198447">
      <w:bodyDiv w:val="1"/>
      <w:marLeft w:val="0"/>
      <w:marRight w:val="0"/>
      <w:marTop w:val="0"/>
      <w:marBottom w:val="0"/>
      <w:divBdr>
        <w:top w:val="none" w:sz="0" w:space="0" w:color="auto"/>
        <w:left w:val="none" w:sz="0" w:space="0" w:color="auto"/>
        <w:bottom w:val="none" w:sz="0" w:space="0" w:color="auto"/>
        <w:right w:val="none" w:sz="0" w:space="0" w:color="auto"/>
      </w:divBdr>
    </w:div>
    <w:div w:id="2006543168">
      <w:bodyDiv w:val="1"/>
      <w:marLeft w:val="0"/>
      <w:marRight w:val="0"/>
      <w:marTop w:val="0"/>
      <w:marBottom w:val="0"/>
      <w:divBdr>
        <w:top w:val="none" w:sz="0" w:space="0" w:color="auto"/>
        <w:left w:val="none" w:sz="0" w:space="0" w:color="auto"/>
        <w:bottom w:val="none" w:sz="0" w:space="0" w:color="auto"/>
        <w:right w:val="none" w:sz="0" w:space="0" w:color="auto"/>
      </w:divBdr>
    </w:div>
    <w:div w:id="2006784253">
      <w:bodyDiv w:val="1"/>
      <w:marLeft w:val="0"/>
      <w:marRight w:val="0"/>
      <w:marTop w:val="0"/>
      <w:marBottom w:val="0"/>
      <w:divBdr>
        <w:top w:val="none" w:sz="0" w:space="0" w:color="auto"/>
        <w:left w:val="none" w:sz="0" w:space="0" w:color="auto"/>
        <w:bottom w:val="none" w:sz="0" w:space="0" w:color="auto"/>
        <w:right w:val="none" w:sz="0" w:space="0" w:color="auto"/>
      </w:divBdr>
    </w:div>
    <w:div w:id="2023239246">
      <w:bodyDiv w:val="1"/>
      <w:marLeft w:val="0"/>
      <w:marRight w:val="0"/>
      <w:marTop w:val="0"/>
      <w:marBottom w:val="0"/>
      <w:divBdr>
        <w:top w:val="none" w:sz="0" w:space="0" w:color="auto"/>
        <w:left w:val="none" w:sz="0" w:space="0" w:color="auto"/>
        <w:bottom w:val="none" w:sz="0" w:space="0" w:color="auto"/>
        <w:right w:val="none" w:sz="0" w:space="0" w:color="auto"/>
      </w:divBdr>
    </w:div>
    <w:div w:id="2033147498">
      <w:bodyDiv w:val="1"/>
      <w:marLeft w:val="0"/>
      <w:marRight w:val="0"/>
      <w:marTop w:val="0"/>
      <w:marBottom w:val="0"/>
      <w:divBdr>
        <w:top w:val="none" w:sz="0" w:space="0" w:color="auto"/>
        <w:left w:val="none" w:sz="0" w:space="0" w:color="auto"/>
        <w:bottom w:val="none" w:sz="0" w:space="0" w:color="auto"/>
        <w:right w:val="none" w:sz="0" w:space="0" w:color="auto"/>
      </w:divBdr>
    </w:div>
    <w:div w:id="2035378200">
      <w:bodyDiv w:val="1"/>
      <w:marLeft w:val="0"/>
      <w:marRight w:val="0"/>
      <w:marTop w:val="0"/>
      <w:marBottom w:val="0"/>
      <w:divBdr>
        <w:top w:val="none" w:sz="0" w:space="0" w:color="auto"/>
        <w:left w:val="none" w:sz="0" w:space="0" w:color="auto"/>
        <w:bottom w:val="none" w:sz="0" w:space="0" w:color="auto"/>
        <w:right w:val="none" w:sz="0" w:space="0" w:color="auto"/>
      </w:divBdr>
    </w:div>
    <w:div w:id="2036421970">
      <w:bodyDiv w:val="1"/>
      <w:marLeft w:val="0"/>
      <w:marRight w:val="0"/>
      <w:marTop w:val="0"/>
      <w:marBottom w:val="0"/>
      <w:divBdr>
        <w:top w:val="none" w:sz="0" w:space="0" w:color="auto"/>
        <w:left w:val="none" w:sz="0" w:space="0" w:color="auto"/>
        <w:bottom w:val="none" w:sz="0" w:space="0" w:color="auto"/>
        <w:right w:val="none" w:sz="0" w:space="0" w:color="auto"/>
      </w:divBdr>
    </w:div>
    <w:div w:id="2037076654">
      <w:bodyDiv w:val="1"/>
      <w:marLeft w:val="0"/>
      <w:marRight w:val="0"/>
      <w:marTop w:val="0"/>
      <w:marBottom w:val="0"/>
      <w:divBdr>
        <w:top w:val="none" w:sz="0" w:space="0" w:color="auto"/>
        <w:left w:val="none" w:sz="0" w:space="0" w:color="auto"/>
        <w:bottom w:val="none" w:sz="0" w:space="0" w:color="auto"/>
        <w:right w:val="none" w:sz="0" w:space="0" w:color="auto"/>
      </w:divBdr>
    </w:div>
    <w:div w:id="2058436184">
      <w:bodyDiv w:val="1"/>
      <w:marLeft w:val="0"/>
      <w:marRight w:val="0"/>
      <w:marTop w:val="0"/>
      <w:marBottom w:val="0"/>
      <w:divBdr>
        <w:top w:val="none" w:sz="0" w:space="0" w:color="auto"/>
        <w:left w:val="none" w:sz="0" w:space="0" w:color="auto"/>
        <w:bottom w:val="none" w:sz="0" w:space="0" w:color="auto"/>
        <w:right w:val="none" w:sz="0" w:space="0" w:color="auto"/>
      </w:divBdr>
    </w:div>
    <w:div w:id="2063751190">
      <w:bodyDiv w:val="1"/>
      <w:marLeft w:val="0"/>
      <w:marRight w:val="0"/>
      <w:marTop w:val="0"/>
      <w:marBottom w:val="0"/>
      <w:divBdr>
        <w:top w:val="none" w:sz="0" w:space="0" w:color="auto"/>
        <w:left w:val="none" w:sz="0" w:space="0" w:color="auto"/>
        <w:bottom w:val="none" w:sz="0" w:space="0" w:color="auto"/>
        <w:right w:val="none" w:sz="0" w:space="0" w:color="auto"/>
      </w:divBdr>
    </w:div>
    <w:div w:id="2092265985">
      <w:bodyDiv w:val="1"/>
      <w:marLeft w:val="0"/>
      <w:marRight w:val="0"/>
      <w:marTop w:val="0"/>
      <w:marBottom w:val="0"/>
      <w:divBdr>
        <w:top w:val="none" w:sz="0" w:space="0" w:color="auto"/>
        <w:left w:val="none" w:sz="0" w:space="0" w:color="auto"/>
        <w:bottom w:val="none" w:sz="0" w:space="0" w:color="auto"/>
        <w:right w:val="none" w:sz="0" w:space="0" w:color="auto"/>
      </w:divBdr>
    </w:div>
    <w:div w:id="2099402909">
      <w:bodyDiv w:val="1"/>
      <w:marLeft w:val="0"/>
      <w:marRight w:val="0"/>
      <w:marTop w:val="0"/>
      <w:marBottom w:val="0"/>
      <w:divBdr>
        <w:top w:val="none" w:sz="0" w:space="0" w:color="auto"/>
        <w:left w:val="none" w:sz="0" w:space="0" w:color="auto"/>
        <w:bottom w:val="none" w:sz="0" w:space="0" w:color="auto"/>
        <w:right w:val="none" w:sz="0" w:space="0" w:color="auto"/>
      </w:divBdr>
    </w:div>
    <w:div w:id="2116171504">
      <w:bodyDiv w:val="1"/>
      <w:marLeft w:val="0"/>
      <w:marRight w:val="0"/>
      <w:marTop w:val="0"/>
      <w:marBottom w:val="0"/>
      <w:divBdr>
        <w:top w:val="none" w:sz="0" w:space="0" w:color="auto"/>
        <w:left w:val="none" w:sz="0" w:space="0" w:color="auto"/>
        <w:bottom w:val="none" w:sz="0" w:space="0" w:color="auto"/>
        <w:right w:val="none" w:sz="0" w:space="0" w:color="auto"/>
      </w:divBdr>
    </w:div>
    <w:div w:id="2118016176">
      <w:bodyDiv w:val="1"/>
      <w:marLeft w:val="0"/>
      <w:marRight w:val="0"/>
      <w:marTop w:val="0"/>
      <w:marBottom w:val="0"/>
      <w:divBdr>
        <w:top w:val="none" w:sz="0" w:space="0" w:color="auto"/>
        <w:left w:val="none" w:sz="0" w:space="0" w:color="auto"/>
        <w:bottom w:val="none" w:sz="0" w:space="0" w:color="auto"/>
        <w:right w:val="none" w:sz="0" w:space="0" w:color="auto"/>
      </w:divBdr>
      <w:divsChild>
        <w:div w:id="1493522722">
          <w:marLeft w:val="0"/>
          <w:marRight w:val="0"/>
          <w:marTop w:val="0"/>
          <w:marBottom w:val="0"/>
          <w:divBdr>
            <w:top w:val="none" w:sz="0" w:space="0" w:color="auto"/>
            <w:left w:val="none" w:sz="0" w:space="0" w:color="auto"/>
            <w:bottom w:val="none" w:sz="0" w:space="0" w:color="auto"/>
            <w:right w:val="none" w:sz="0" w:space="0" w:color="auto"/>
          </w:divBdr>
        </w:div>
        <w:div w:id="1836988979">
          <w:marLeft w:val="0"/>
          <w:marRight w:val="0"/>
          <w:marTop w:val="0"/>
          <w:marBottom w:val="0"/>
          <w:divBdr>
            <w:top w:val="none" w:sz="0" w:space="0" w:color="auto"/>
            <w:left w:val="none" w:sz="0" w:space="0" w:color="auto"/>
            <w:bottom w:val="none" w:sz="0" w:space="0" w:color="auto"/>
            <w:right w:val="none" w:sz="0" w:space="0" w:color="auto"/>
          </w:divBdr>
        </w:div>
      </w:divsChild>
    </w:div>
    <w:div w:id="2120836107">
      <w:bodyDiv w:val="1"/>
      <w:marLeft w:val="0"/>
      <w:marRight w:val="0"/>
      <w:marTop w:val="0"/>
      <w:marBottom w:val="0"/>
      <w:divBdr>
        <w:top w:val="none" w:sz="0" w:space="0" w:color="auto"/>
        <w:left w:val="none" w:sz="0" w:space="0" w:color="auto"/>
        <w:bottom w:val="none" w:sz="0" w:space="0" w:color="auto"/>
        <w:right w:val="none" w:sz="0" w:space="0" w:color="auto"/>
      </w:divBdr>
    </w:div>
    <w:div w:id="21353233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image" Target="media/image98.emf"/><Relationship Id="rId21" Type="http://schemas.openxmlformats.org/officeDocument/2006/relationships/image" Target="media/image2.emf"/><Relationship Id="rId42" Type="http://schemas.openxmlformats.org/officeDocument/2006/relationships/image" Target="media/image23.emf"/><Relationship Id="rId63" Type="http://schemas.openxmlformats.org/officeDocument/2006/relationships/image" Target="media/image44.emf"/><Relationship Id="rId84" Type="http://schemas.openxmlformats.org/officeDocument/2006/relationships/image" Target="media/image65.emf"/><Relationship Id="rId138" Type="http://schemas.openxmlformats.org/officeDocument/2006/relationships/image" Target="media/image107.emf"/><Relationship Id="rId159" Type="http://schemas.openxmlformats.org/officeDocument/2006/relationships/image" Target="media/image116.emf"/><Relationship Id="rId170" Type="http://schemas.openxmlformats.org/officeDocument/2006/relationships/footer" Target="footer20.xml"/><Relationship Id="rId191" Type="http://schemas.openxmlformats.org/officeDocument/2006/relationships/image" Target="media/image124.emf"/><Relationship Id="rId205" Type="http://schemas.openxmlformats.org/officeDocument/2006/relationships/image" Target="media/image138.emf"/><Relationship Id="rId226" Type="http://schemas.openxmlformats.org/officeDocument/2006/relationships/image" Target="media/image159.png"/><Relationship Id="rId247" Type="http://schemas.microsoft.com/office/2020/10/relationships/intelligence" Target="intelligence2.xml"/><Relationship Id="rId107" Type="http://schemas.openxmlformats.org/officeDocument/2006/relationships/image" Target="media/image88.emf"/><Relationship Id="rId11" Type="http://schemas.openxmlformats.org/officeDocument/2006/relationships/webSettings" Target="webSettings.xml"/><Relationship Id="rId32" Type="http://schemas.openxmlformats.org/officeDocument/2006/relationships/image" Target="media/image13.emf"/><Relationship Id="rId53" Type="http://schemas.openxmlformats.org/officeDocument/2006/relationships/image" Target="media/image34.emf"/><Relationship Id="rId74" Type="http://schemas.openxmlformats.org/officeDocument/2006/relationships/image" Target="media/image55.emf"/><Relationship Id="rId128" Type="http://schemas.openxmlformats.org/officeDocument/2006/relationships/header" Target="header6.xml"/><Relationship Id="rId149" Type="http://schemas.openxmlformats.org/officeDocument/2006/relationships/image" Target="media/image112.emf"/><Relationship Id="rId5" Type="http://schemas.openxmlformats.org/officeDocument/2006/relationships/customXml" Target="../customXml/item5.xml"/><Relationship Id="rId95" Type="http://schemas.openxmlformats.org/officeDocument/2006/relationships/image" Target="media/image76.emf"/><Relationship Id="rId160" Type="http://schemas.openxmlformats.org/officeDocument/2006/relationships/header" Target="header16.xml"/><Relationship Id="rId181" Type="http://schemas.openxmlformats.org/officeDocument/2006/relationships/header" Target="header25.xml"/><Relationship Id="rId216" Type="http://schemas.openxmlformats.org/officeDocument/2006/relationships/image" Target="media/image149.emf"/><Relationship Id="rId237" Type="http://schemas.openxmlformats.org/officeDocument/2006/relationships/image" Target="media/image170.emf"/><Relationship Id="rId22" Type="http://schemas.openxmlformats.org/officeDocument/2006/relationships/image" Target="media/image3.emf"/><Relationship Id="rId43" Type="http://schemas.openxmlformats.org/officeDocument/2006/relationships/image" Target="media/image24.emf"/><Relationship Id="rId64" Type="http://schemas.openxmlformats.org/officeDocument/2006/relationships/image" Target="media/image45.emf"/><Relationship Id="rId118" Type="http://schemas.openxmlformats.org/officeDocument/2006/relationships/image" Target="media/image99.emf"/><Relationship Id="rId139" Type="http://schemas.openxmlformats.org/officeDocument/2006/relationships/image" Target="media/image108.emf"/><Relationship Id="rId85" Type="http://schemas.openxmlformats.org/officeDocument/2006/relationships/image" Target="media/image66.emf"/><Relationship Id="rId150" Type="http://schemas.openxmlformats.org/officeDocument/2006/relationships/header" Target="header13.xml"/><Relationship Id="rId171" Type="http://schemas.openxmlformats.org/officeDocument/2006/relationships/header" Target="header21.xml"/><Relationship Id="rId192" Type="http://schemas.openxmlformats.org/officeDocument/2006/relationships/image" Target="media/image125.emf"/><Relationship Id="rId206" Type="http://schemas.openxmlformats.org/officeDocument/2006/relationships/image" Target="media/image139.emf"/><Relationship Id="rId227" Type="http://schemas.openxmlformats.org/officeDocument/2006/relationships/image" Target="media/image160.png"/><Relationship Id="rId12" Type="http://schemas.openxmlformats.org/officeDocument/2006/relationships/footnotes" Target="footnotes.xml"/><Relationship Id="rId17" Type="http://schemas.openxmlformats.org/officeDocument/2006/relationships/footer" Target="footer1.xml"/><Relationship Id="rId33" Type="http://schemas.openxmlformats.org/officeDocument/2006/relationships/image" Target="media/image14.emf"/><Relationship Id="rId38" Type="http://schemas.openxmlformats.org/officeDocument/2006/relationships/image" Target="media/image19.emf"/><Relationship Id="rId59" Type="http://schemas.openxmlformats.org/officeDocument/2006/relationships/image" Target="media/image40.emf"/><Relationship Id="rId103" Type="http://schemas.openxmlformats.org/officeDocument/2006/relationships/image" Target="media/image84.emf"/><Relationship Id="rId108" Type="http://schemas.openxmlformats.org/officeDocument/2006/relationships/image" Target="media/image89.emf"/><Relationship Id="rId124" Type="http://schemas.openxmlformats.org/officeDocument/2006/relationships/header" Target="header4.xml"/><Relationship Id="rId129" Type="http://schemas.openxmlformats.org/officeDocument/2006/relationships/footer" Target="footer6.xml"/><Relationship Id="rId54" Type="http://schemas.openxmlformats.org/officeDocument/2006/relationships/image" Target="media/image35.emf"/><Relationship Id="rId70" Type="http://schemas.openxmlformats.org/officeDocument/2006/relationships/image" Target="media/image51.emf"/><Relationship Id="rId75" Type="http://schemas.openxmlformats.org/officeDocument/2006/relationships/image" Target="media/image56.emf"/><Relationship Id="rId91" Type="http://schemas.openxmlformats.org/officeDocument/2006/relationships/image" Target="media/image72.emf"/><Relationship Id="rId96" Type="http://schemas.openxmlformats.org/officeDocument/2006/relationships/image" Target="media/image77.emf"/><Relationship Id="rId140" Type="http://schemas.openxmlformats.org/officeDocument/2006/relationships/image" Target="media/image109.emf"/><Relationship Id="rId145" Type="http://schemas.openxmlformats.org/officeDocument/2006/relationships/footer" Target="footer10.xml"/><Relationship Id="rId161" Type="http://schemas.openxmlformats.org/officeDocument/2006/relationships/header" Target="header17.xml"/><Relationship Id="rId166" Type="http://schemas.openxmlformats.org/officeDocument/2006/relationships/image" Target="media/image117.emf"/><Relationship Id="rId182" Type="http://schemas.openxmlformats.org/officeDocument/2006/relationships/header" Target="header26.xml"/><Relationship Id="rId187" Type="http://schemas.openxmlformats.org/officeDocument/2006/relationships/image" Target="media/image120.emf"/><Relationship Id="rId217" Type="http://schemas.openxmlformats.org/officeDocument/2006/relationships/image" Target="media/image150.emf"/><Relationship Id="rId1" Type="http://schemas.openxmlformats.org/officeDocument/2006/relationships/customXml" Target="../customXml/item1.xml"/><Relationship Id="rId6" Type="http://schemas.openxmlformats.org/officeDocument/2006/relationships/customXml" Target="../customXml/item6.xml"/><Relationship Id="rId212" Type="http://schemas.openxmlformats.org/officeDocument/2006/relationships/image" Target="media/image145.emf"/><Relationship Id="rId233" Type="http://schemas.openxmlformats.org/officeDocument/2006/relationships/image" Target="media/image166.png"/><Relationship Id="rId238" Type="http://schemas.openxmlformats.org/officeDocument/2006/relationships/image" Target="media/image171.emf"/><Relationship Id="rId23" Type="http://schemas.openxmlformats.org/officeDocument/2006/relationships/image" Target="media/image4.emf"/><Relationship Id="rId28" Type="http://schemas.openxmlformats.org/officeDocument/2006/relationships/image" Target="media/image9.emf"/><Relationship Id="rId49" Type="http://schemas.openxmlformats.org/officeDocument/2006/relationships/image" Target="media/image30.emf"/><Relationship Id="rId114" Type="http://schemas.openxmlformats.org/officeDocument/2006/relationships/image" Target="media/image95.emf"/><Relationship Id="rId119" Type="http://schemas.openxmlformats.org/officeDocument/2006/relationships/image" Target="media/image100.JPG"/><Relationship Id="rId44" Type="http://schemas.openxmlformats.org/officeDocument/2006/relationships/image" Target="media/image25.emf"/><Relationship Id="rId60" Type="http://schemas.openxmlformats.org/officeDocument/2006/relationships/image" Target="media/image41.emf"/><Relationship Id="rId65" Type="http://schemas.openxmlformats.org/officeDocument/2006/relationships/image" Target="media/image46.png"/><Relationship Id="rId81" Type="http://schemas.openxmlformats.org/officeDocument/2006/relationships/image" Target="media/image62.emf"/><Relationship Id="rId86" Type="http://schemas.openxmlformats.org/officeDocument/2006/relationships/image" Target="media/image67.emf"/><Relationship Id="rId130" Type="http://schemas.openxmlformats.org/officeDocument/2006/relationships/image" Target="media/image105.emf"/><Relationship Id="rId135" Type="http://schemas.openxmlformats.org/officeDocument/2006/relationships/header" Target="header9.xml"/><Relationship Id="rId151" Type="http://schemas.openxmlformats.org/officeDocument/2006/relationships/header" Target="header14.xml"/><Relationship Id="rId156" Type="http://schemas.openxmlformats.org/officeDocument/2006/relationships/image" Target="media/image113.emf"/><Relationship Id="rId177" Type="http://schemas.openxmlformats.org/officeDocument/2006/relationships/footer" Target="footer23.xml"/><Relationship Id="rId198" Type="http://schemas.openxmlformats.org/officeDocument/2006/relationships/image" Target="media/image131.emf"/><Relationship Id="rId172" Type="http://schemas.openxmlformats.org/officeDocument/2006/relationships/footer" Target="footer21.xml"/><Relationship Id="rId193" Type="http://schemas.openxmlformats.org/officeDocument/2006/relationships/image" Target="media/image126.emf"/><Relationship Id="rId202" Type="http://schemas.openxmlformats.org/officeDocument/2006/relationships/image" Target="media/image135.emf"/><Relationship Id="rId207" Type="http://schemas.openxmlformats.org/officeDocument/2006/relationships/image" Target="media/image140.emf"/><Relationship Id="rId223" Type="http://schemas.openxmlformats.org/officeDocument/2006/relationships/image" Target="media/image156.png"/><Relationship Id="rId228" Type="http://schemas.openxmlformats.org/officeDocument/2006/relationships/image" Target="media/image161.png"/><Relationship Id="rId244" Type="http://schemas.openxmlformats.org/officeDocument/2006/relationships/footer" Target="footer30.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image" Target="media/image20.emf"/><Relationship Id="rId109" Type="http://schemas.openxmlformats.org/officeDocument/2006/relationships/image" Target="media/image90.emf"/><Relationship Id="rId34" Type="http://schemas.openxmlformats.org/officeDocument/2006/relationships/image" Target="media/image15.emf"/><Relationship Id="rId50" Type="http://schemas.openxmlformats.org/officeDocument/2006/relationships/image" Target="media/image31.emf"/><Relationship Id="rId55" Type="http://schemas.openxmlformats.org/officeDocument/2006/relationships/image" Target="media/image36.png"/><Relationship Id="rId76" Type="http://schemas.openxmlformats.org/officeDocument/2006/relationships/image" Target="media/image57.emf"/><Relationship Id="rId97" Type="http://schemas.openxmlformats.org/officeDocument/2006/relationships/image" Target="media/image78.emf"/><Relationship Id="rId104" Type="http://schemas.openxmlformats.org/officeDocument/2006/relationships/image" Target="media/image85.emf"/><Relationship Id="rId120" Type="http://schemas.openxmlformats.org/officeDocument/2006/relationships/image" Target="media/image101.emf"/><Relationship Id="rId125" Type="http://schemas.openxmlformats.org/officeDocument/2006/relationships/header" Target="header5.xml"/><Relationship Id="rId141" Type="http://schemas.openxmlformats.org/officeDocument/2006/relationships/image" Target="media/image110.emf"/><Relationship Id="rId146" Type="http://schemas.openxmlformats.org/officeDocument/2006/relationships/footer" Target="footer11.xml"/><Relationship Id="rId167" Type="http://schemas.openxmlformats.org/officeDocument/2006/relationships/header" Target="header19.xml"/><Relationship Id="rId188" Type="http://schemas.openxmlformats.org/officeDocument/2006/relationships/image" Target="media/image121.png"/><Relationship Id="rId7" Type="http://schemas.openxmlformats.org/officeDocument/2006/relationships/customXml" Target="../customXml/item7.xml"/><Relationship Id="rId71" Type="http://schemas.openxmlformats.org/officeDocument/2006/relationships/image" Target="media/image52.emf"/><Relationship Id="rId92" Type="http://schemas.openxmlformats.org/officeDocument/2006/relationships/image" Target="media/image73.emf"/><Relationship Id="rId162" Type="http://schemas.openxmlformats.org/officeDocument/2006/relationships/footer" Target="footer16.xml"/><Relationship Id="rId183" Type="http://schemas.openxmlformats.org/officeDocument/2006/relationships/footer" Target="footer25.xml"/><Relationship Id="rId213" Type="http://schemas.openxmlformats.org/officeDocument/2006/relationships/image" Target="media/image146.emf"/><Relationship Id="rId218" Type="http://schemas.openxmlformats.org/officeDocument/2006/relationships/image" Target="media/image151.png"/><Relationship Id="rId234" Type="http://schemas.openxmlformats.org/officeDocument/2006/relationships/image" Target="media/image167.png"/><Relationship Id="rId239" Type="http://schemas.openxmlformats.org/officeDocument/2006/relationships/header" Target="header28.xml"/><Relationship Id="rId2" Type="http://schemas.openxmlformats.org/officeDocument/2006/relationships/customXml" Target="../customXml/item2.xml"/><Relationship Id="rId29" Type="http://schemas.openxmlformats.org/officeDocument/2006/relationships/image" Target="media/image10.emf"/><Relationship Id="rId24" Type="http://schemas.openxmlformats.org/officeDocument/2006/relationships/image" Target="media/image5.emf"/><Relationship Id="rId40" Type="http://schemas.openxmlformats.org/officeDocument/2006/relationships/image" Target="media/image21.emf"/><Relationship Id="rId45" Type="http://schemas.openxmlformats.org/officeDocument/2006/relationships/image" Target="media/image26.emf"/><Relationship Id="rId66" Type="http://schemas.openxmlformats.org/officeDocument/2006/relationships/image" Target="media/image47.png"/><Relationship Id="rId87" Type="http://schemas.openxmlformats.org/officeDocument/2006/relationships/image" Target="media/image68.emf"/><Relationship Id="rId110" Type="http://schemas.openxmlformats.org/officeDocument/2006/relationships/image" Target="media/image91.emf"/><Relationship Id="rId115" Type="http://schemas.openxmlformats.org/officeDocument/2006/relationships/image" Target="media/image96.emf"/><Relationship Id="rId131" Type="http://schemas.openxmlformats.org/officeDocument/2006/relationships/header" Target="header7.xml"/><Relationship Id="rId136" Type="http://schemas.openxmlformats.org/officeDocument/2006/relationships/footer" Target="footer9.xml"/><Relationship Id="rId157" Type="http://schemas.openxmlformats.org/officeDocument/2006/relationships/image" Target="media/image114.emf"/><Relationship Id="rId178" Type="http://schemas.openxmlformats.org/officeDocument/2006/relationships/header" Target="header24.xml"/><Relationship Id="rId61" Type="http://schemas.openxmlformats.org/officeDocument/2006/relationships/image" Target="media/image42.emf"/><Relationship Id="rId82" Type="http://schemas.openxmlformats.org/officeDocument/2006/relationships/image" Target="media/image63.emf"/><Relationship Id="rId152" Type="http://schemas.openxmlformats.org/officeDocument/2006/relationships/footer" Target="footer13.xml"/><Relationship Id="rId173" Type="http://schemas.openxmlformats.org/officeDocument/2006/relationships/image" Target="media/image118.emf"/><Relationship Id="rId194" Type="http://schemas.openxmlformats.org/officeDocument/2006/relationships/image" Target="media/image127.emf"/><Relationship Id="rId199" Type="http://schemas.openxmlformats.org/officeDocument/2006/relationships/image" Target="media/image132.emf"/><Relationship Id="rId203" Type="http://schemas.openxmlformats.org/officeDocument/2006/relationships/image" Target="media/image136.emf"/><Relationship Id="rId208" Type="http://schemas.openxmlformats.org/officeDocument/2006/relationships/image" Target="media/image141.emf"/><Relationship Id="rId229" Type="http://schemas.openxmlformats.org/officeDocument/2006/relationships/image" Target="media/image162.png"/><Relationship Id="rId19" Type="http://schemas.openxmlformats.org/officeDocument/2006/relationships/header" Target="header3.xml"/><Relationship Id="rId224" Type="http://schemas.openxmlformats.org/officeDocument/2006/relationships/image" Target="media/image157.png"/><Relationship Id="rId240" Type="http://schemas.openxmlformats.org/officeDocument/2006/relationships/header" Target="header29.xml"/><Relationship Id="rId245" Type="http://schemas.openxmlformats.org/officeDocument/2006/relationships/fontTable" Target="fontTable.xml"/><Relationship Id="rId14" Type="http://schemas.openxmlformats.org/officeDocument/2006/relationships/image" Target="media/image1.emf"/><Relationship Id="rId30" Type="http://schemas.openxmlformats.org/officeDocument/2006/relationships/image" Target="media/image11.emf"/><Relationship Id="rId35" Type="http://schemas.openxmlformats.org/officeDocument/2006/relationships/image" Target="media/image16.emf"/><Relationship Id="rId56" Type="http://schemas.openxmlformats.org/officeDocument/2006/relationships/image" Target="media/image37.emf"/><Relationship Id="rId77" Type="http://schemas.openxmlformats.org/officeDocument/2006/relationships/image" Target="media/image58.emf"/><Relationship Id="rId100" Type="http://schemas.openxmlformats.org/officeDocument/2006/relationships/image" Target="media/image81.emf"/><Relationship Id="rId105" Type="http://schemas.openxmlformats.org/officeDocument/2006/relationships/image" Target="media/image86.emf"/><Relationship Id="rId126" Type="http://schemas.openxmlformats.org/officeDocument/2006/relationships/footer" Target="footer4.xml"/><Relationship Id="rId147" Type="http://schemas.openxmlformats.org/officeDocument/2006/relationships/header" Target="header12.xml"/><Relationship Id="rId168" Type="http://schemas.openxmlformats.org/officeDocument/2006/relationships/header" Target="header20.xml"/><Relationship Id="rId8" Type="http://schemas.openxmlformats.org/officeDocument/2006/relationships/numbering" Target="numbering.xml"/><Relationship Id="rId51" Type="http://schemas.openxmlformats.org/officeDocument/2006/relationships/image" Target="media/image32.emf"/><Relationship Id="rId72" Type="http://schemas.openxmlformats.org/officeDocument/2006/relationships/image" Target="media/image53.emf"/><Relationship Id="rId93" Type="http://schemas.openxmlformats.org/officeDocument/2006/relationships/image" Target="media/image74.emf"/><Relationship Id="rId98" Type="http://schemas.openxmlformats.org/officeDocument/2006/relationships/image" Target="media/image79.emf"/><Relationship Id="rId121" Type="http://schemas.openxmlformats.org/officeDocument/2006/relationships/image" Target="media/image102.emf"/><Relationship Id="rId142" Type="http://schemas.openxmlformats.org/officeDocument/2006/relationships/image" Target="media/image111.emf"/><Relationship Id="rId163" Type="http://schemas.openxmlformats.org/officeDocument/2006/relationships/footer" Target="footer17.xml"/><Relationship Id="rId184" Type="http://schemas.openxmlformats.org/officeDocument/2006/relationships/footer" Target="footer26.xml"/><Relationship Id="rId189" Type="http://schemas.openxmlformats.org/officeDocument/2006/relationships/image" Target="media/image122.emf"/><Relationship Id="rId219" Type="http://schemas.openxmlformats.org/officeDocument/2006/relationships/image" Target="media/image152.png"/><Relationship Id="rId3" Type="http://schemas.openxmlformats.org/officeDocument/2006/relationships/customXml" Target="../customXml/item3.xml"/><Relationship Id="rId214" Type="http://schemas.openxmlformats.org/officeDocument/2006/relationships/image" Target="media/image147.emf"/><Relationship Id="rId230" Type="http://schemas.openxmlformats.org/officeDocument/2006/relationships/image" Target="media/image163.png"/><Relationship Id="rId235" Type="http://schemas.openxmlformats.org/officeDocument/2006/relationships/image" Target="media/image168.emf"/><Relationship Id="rId25" Type="http://schemas.openxmlformats.org/officeDocument/2006/relationships/image" Target="media/image6.emf"/><Relationship Id="rId46" Type="http://schemas.openxmlformats.org/officeDocument/2006/relationships/image" Target="media/image27.png"/><Relationship Id="rId67" Type="http://schemas.openxmlformats.org/officeDocument/2006/relationships/image" Target="media/image48.png"/><Relationship Id="rId116" Type="http://schemas.openxmlformats.org/officeDocument/2006/relationships/image" Target="media/image97.emf"/><Relationship Id="rId137" Type="http://schemas.openxmlformats.org/officeDocument/2006/relationships/image" Target="media/image106.emf"/><Relationship Id="rId158" Type="http://schemas.openxmlformats.org/officeDocument/2006/relationships/image" Target="media/image115.emf"/><Relationship Id="rId20" Type="http://schemas.openxmlformats.org/officeDocument/2006/relationships/footer" Target="footer3.xml"/><Relationship Id="rId41" Type="http://schemas.openxmlformats.org/officeDocument/2006/relationships/image" Target="media/image22.emf"/><Relationship Id="rId62" Type="http://schemas.openxmlformats.org/officeDocument/2006/relationships/image" Target="media/image43.emf"/><Relationship Id="rId83" Type="http://schemas.openxmlformats.org/officeDocument/2006/relationships/image" Target="media/image64.emf"/><Relationship Id="rId88" Type="http://schemas.openxmlformats.org/officeDocument/2006/relationships/image" Target="media/image69.emf"/><Relationship Id="rId111" Type="http://schemas.openxmlformats.org/officeDocument/2006/relationships/image" Target="media/image92.emf"/><Relationship Id="rId132" Type="http://schemas.openxmlformats.org/officeDocument/2006/relationships/header" Target="header8.xml"/><Relationship Id="rId153" Type="http://schemas.openxmlformats.org/officeDocument/2006/relationships/footer" Target="footer14.xml"/><Relationship Id="rId174" Type="http://schemas.openxmlformats.org/officeDocument/2006/relationships/header" Target="header22.xml"/><Relationship Id="rId179" Type="http://schemas.openxmlformats.org/officeDocument/2006/relationships/footer" Target="footer24.xml"/><Relationship Id="rId195" Type="http://schemas.openxmlformats.org/officeDocument/2006/relationships/image" Target="media/image128.emf"/><Relationship Id="rId209" Type="http://schemas.openxmlformats.org/officeDocument/2006/relationships/image" Target="media/image142.emf"/><Relationship Id="rId190" Type="http://schemas.openxmlformats.org/officeDocument/2006/relationships/image" Target="media/image123.emf"/><Relationship Id="rId204" Type="http://schemas.openxmlformats.org/officeDocument/2006/relationships/image" Target="media/image137.emf"/><Relationship Id="rId220" Type="http://schemas.openxmlformats.org/officeDocument/2006/relationships/image" Target="media/image153.png"/><Relationship Id="rId225" Type="http://schemas.openxmlformats.org/officeDocument/2006/relationships/image" Target="media/image158.png"/><Relationship Id="rId241" Type="http://schemas.openxmlformats.org/officeDocument/2006/relationships/footer" Target="footer28.xml"/><Relationship Id="rId246" Type="http://schemas.openxmlformats.org/officeDocument/2006/relationships/theme" Target="theme/theme1.xml"/><Relationship Id="rId15" Type="http://schemas.openxmlformats.org/officeDocument/2006/relationships/header" Target="header1.xml"/><Relationship Id="rId36" Type="http://schemas.openxmlformats.org/officeDocument/2006/relationships/image" Target="media/image17.emf"/><Relationship Id="rId57" Type="http://schemas.openxmlformats.org/officeDocument/2006/relationships/image" Target="media/image38.png"/><Relationship Id="rId106" Type="http://schemas.openxmlformats.org/officeDocument/2006/relationships/image" Target="media/image87.emf"/><Relationship Id="rId127" Type="http://schemas.openxmlformats.org/officeDocument/2006/relationships/footer" Target="footer5.xml"/><Relationship Id="rId10" Type="http://schemas.openxmlformats.org/officeDocument/2006/relationships/settings" Target="settings.xml"/><Relationship Id="rId31" Type="http://schemas.openxmlformats.org/officeDocument/2006/relationships/image" Target="media/image12.emf"/><Relationship Id="rId52" Type="http://schemas.openxmlformats.org/officeDocument/2006/relationships/image" Target="media/image33.emf"/><Relationship Id="rId73" Type="http://schemas.openxmlformats.org/officeDocument/2006/relationships/image" Target="media/image54.emf"/><Relationship Id="rId78" Type="http://schemas.openxmlformats.org/officeDocument/2006/relationships/image" Target="media/image59.emf"/><Relationship Id="rId94" Type="http://schemas.openxmlformats.org/officeDocument/2006/relationships/image" Target="media/image75.emf"/><Relationship Id="rId99" Type="http://schemas.openxmlformats.org/officeDocument/2006/relationships/image" Target="media/image80.emf"/><Relationship Id="rId101" Type="http://schemas.openxmlformats.org/officeDocument/2006/relationships/image" Target="media/image82.emf"/><Relationship Id="rId122" Type="http://schemas.openxmlformats.org/officeDocument/2006/relationships/image" Target="media/image103.emf"/><Relationship Id="rId143" Type="http://schemas.openxmlformats.org/officeDocument/2006/relationships/header" Target="header10.xml"/><Relationship Id="rId148" Type="http://schemas.openxmlformats.org/officeDocument/2006/relationships/footer" Target="footer12.xml"/><Relationship Id="rId164" Type="http://schemas.openxmlformats.org/officeDocument/2006/relationships/header" Target="header18.xml"/><Relationship Id="rId169" Type="http://schemas.openxmlformats.org/officeDocument/2006/relationships/footer" Target="footer19.xml"/><Relationship Id="rId185" Type="http://schemas.openxmlformats.org/officeDocument/2006/relationships/header" Target="header27.xml"/><Relationship Id="rId4" Type="http://schemas.openxmlformats.org/officeDocument/2006/relationships/customXml" Target="../customXml/item4.xml"/><Relationship Id="rId9" Type="http://schemas.openxmlformats.org/officeDocument/2006/relationships/styles" Target="styles.xml"/><Relationship Id="rId180" Type="http://schemas.openxmlformats.org/officeDocument/2006/relationships/image" Target="media/image119.emf"/><Relationship Id="rId210" Type="http://schemas.openxmlformats.org/officeDocument/2006/relationships/image" Target="media/image143.emf"/><Relationship Id="rId215" Type="http://schemas.openxmlformats.org/officeDocument/2006/relationships/image" Target="media/image148.emf"/><Relationship Id="rId236" Type="http://schemas.openxmlformats.org/officeDocument/2006/relationships/image" Target="media/image169.emf"/><Relationship Id="rId26" Type="http://schemas.openxmlformats.org/officeDocument/2006/relationships/image" Target="media/image7.emf"/><Relationship Id="rId231" Type="http://schemas.openxmlformats.org/officeDocument/2006/relationships/image" Target="media/image164.jpeg"/><Relationship Id="rId47" Type="http://schemas.openxmlformats.org/officeDocument/2006/relationships/image" Target="media/image28.png"/><Relationship Id="rId68" Type="http://schemas.openxmlformats.org/officeDocument/2006/relationships/image" Target="media/image49.emf"/><Relationship Id="rId89" Type="http://schemas.openxmlformats.org/officeDocument/2006/relationships/image" Target="media/image70.emf"/><Relationship Id="rId112" Type="http://schemas.openxmlformats.org/officeDocument/2006/relationships/image" Target="media/image93.emf"/><Relationship Id="rId133" Type="http://schemas.openxmlformats.org/officeDocument/2006/relationships/footer" Target="footer7.xml"/><Relationship Id="rId154" Type="http://schemas.openxmlformats.org/officeDocument/2006/relationships/header" Target="header15.xml"/><Relationship Id="rId175" Type="http://schemas.openxmlformats.org/officeDocument/2006/relationships/header" Target="header23.xml"/><Relationship Id="rId196" Type="http://schemas.openxmlformats.org/officeDocument/2006/relationships/image" Target="media/image129.emf"/><Relationship Id="rId200" Type="http://schemas.openxmlformats.org/officeDocument/2006/relationships/image" Target="media/image133.emf"/><Relationship Id="rId16" Type="http://schemas.openxmlformats.org/officeDocument/2006/relationships/header" Target="header2.xml"/><Relationship Id="rId221" Type="http://schemas.openxmlformats.org/officeDocument/2006/relationships/image" Target="media/image154.png"/><Relationship Id="rId242" Type="http://schemas.openxmlformats.org/officeDocument/2006/relationships/footer" Target="footer29.xml"/><Relationship Id="rId37" Type="http://schemas.openxmlformats.org/officeDocument/2006/relationships/image" Target="media/image18.png"/><Relationship Id="rId58" Type="http://schemas.openxmlformats.org/officeDocument/2006/relationships/image" Target="media/image39.emf"/><Relationship Id="rId79" Type="http://schemas.openxmlformats.org/officeDocument/2006/relationships/image" Target="media/image60.emf"/><Relationship Id="rId102" Type="http://schemas.openxmlformats.org/officeDocument/2006/relationships/image" Target="media/image83.emf"/><Relationship Id="rId123" Type="http://schemas.openxmlformats.org/officeDocument/2006/relationships/image" Target="media/image104.emf"/><Relationship Id="rId144" Type="http://schemas.openxmlformats.org/officeDocument/2006/relationships/header" Target="header11.xml"/><Relationship Id="rId90" Type="http://schemas.openxmlformats.org/officeDocument/2006/relationships/image" Target="media/image71.emf"/><Relationship Id="rId165" Type="http://schemas.openxmlformats.org/officeDocument/2006/relationships/footer" Target="footer18.xml"/><Relationship Id="rId186" Type="http://schemas.openxmlformats.org/officeDocument/2006/relationships/footer" Target="footer27.xml"/><Relationship Id="rId211" Type="http://schemas.openxmlformats.org/officeDocument/2006/relationships/image" Target="media/image144.emf"/><Relationship Id="rId232" Type="http://schemas.openxmlformats.org/officeDocument/2006/relationships/image" Target="media/image165.emf"/><Relationship Id="rId27" Type="http://schemas.openxmlformats.org/officeDocument/2006/relationships/image" Target="media/image8.emf"/><Relationship Id="rId48" Type="http://schemas.openxmlformats.org/officeDocument/2006/relationships/image" Target="media/image29.emf"/><Relationship Id="rId69" Type="http://schemas.openxmlformats.org/officeDocument/2006/relationships/image" Target="media/image50.emf"/><Relationship Id="rId113" Type="http://schemas.openxmlformats.org/officeDocument/2006/relationships/image" Target="media/image94.emf"/><Relationship Id="rId134" Type="http://schemas.openxmlformats.org/officeDocument/2006/relationships/footer" Target="footer8.xml"/><Relationship Id="rId80" Type="http://schemas.openxmlformats.org/officeDocument/2006/relationships/image" Target="media/image61.emf"/><Relationship Id="rId155" Type="http://schemas.openxmlformats.org/officeDocument/2006/relationships/footer" Target="footer15.xml"/><Relationship Id="rId176" Type="http://schemas.openxmlformats.org/officeDocument/2006/relationships/footer" Target="footer22.xml"/><Relationship Id="rId197" Type="http://schemas.openxmlformats.org/officeDocument/2006/relationships/image" Target="media/image130.emf"/><Relationship Id="rId201" Type="http://schemas.openxmlformats.org/officeDocument/2006/relationships/image" Target="media/image134.emf"/><Relationship Id="rId222" Type="http://schemas.openxmlformats.org/officeDocument/2006/relationships/image" Target="media/image155.png"/><Relationship Id="rId243" Type="http://schemas.openxmlformats.org/officeDocument/2006/relationships/header" Target="header30.xml"/></Relationships>
</file>

<file path=word/_rels/footnotes.xml.rels><?xml version='1.0' encoding='UTF-8' standalone='yes'?>
<Relationships xmlns="http://schemas.openxmlformats.org/package/2006/relationships"><Relationship Id="rId8" Type="http://schemas.openxmlformats.org/officeDocument/2006/relationships/hyperlink" Target="https://forestecosyst.springeropen.com/track/pdf/10.1186/s40663-016-0068-5" TargetMode="External"/><Relationship Id="rId13" Type="http://schemas.openxmlformats.org/officeDocument/2006/relationships/hyperlink" Target="https://economy-finance.ec.europa.eu/system/files/2022-12/dp176_en_green%20transition%20labour.pdf" TargetMode="External"/><Relationship Id="rId18" Type="http://schemas.openxmlformats.org/officeDocument/2006/relationships/hyperlink" Target="https://eur-lex.europa.eu/legal-content/EN/TXT/PDF/?uri=CELEX:52021SC0621" TargetMode="External"/><Relationship Id="rId26" Type="http://schemas.openxmlformats.org/officeDocument/2006/relationships/hyperlink" Target="https://eur-lex.europa.eu/legal-content/EN/TXT/PDF/?uri=CELEX:52021DC0082" TargetMode="External"/><Relationship Id="rId39" Type="http://schemas.openxmlformats.org/officeDocument/2006/relationships/hyperlink" Target="https://www.no-burn.org/wp-content/uploads/Jobs-Report-ENGLISH-1.pdf" TargetMode="External"/><Relationship Id="rId3" Type="http://schemas.openxmlformats.org/officeDocument/2006/relationships/hyperlink" Target="https://zenodo.org/record/8337668" TargetMode="External"/><Relationship Id="rId21" Type="http://schemas.openxmlformats.org/officeDocument/2006/relationships/hyperlink" Target="https://economy-finance.ec.europa.eu/system/files/2023-06/dp187_en_energy%20markets.pdf" TargetMode="External"/><Relationship Id="rId34" Type="http://schemas.openxmlformats.org/officeDocument/2006/relationships/hyperlink" Target="https://www.cedefop.europa.eu/en/news/cedefop-skills-forecast-green-and-digital-transitions-have-positive-employment-impact" TargetMode="External"/><Relationship Id="rId42" Type="http://schemas.openxmlformats.org/officeDocument/2006/relationships/hyperlink" Target="https://eur-lex.europa.eu/legal-content/EN/TXT/PDF/?uri=CELEX:52021SC0452" TargetMode="External"/><Relationship Id="rId7" Type="http://schemas.openxmlformats.org/officeDocument/2006/relationships/hyperlink" Target="https://www.stateofcdr.org" TargetMode="External"/><Relationship Id="rId12" Type="http://schemas.openxmlformats.org/officeDocument/2006/relationships/hyperlink" Target="https://www.ecb.europa.eu/pub/pdf/scpops/ecb.op328~2c44ee718e.en.pdf" TargetMode="External"/><Relationship Id="rId17" Type="http://schemas.openxmlformats.org/officeDocument/2006/relationships/hyperlink" Target="https://eur-lex.europa.eu/legal-content/EN/TXT/PDF/?uri=CELEX:52020SC0176" TargetMode="External"/><Relationship Id="rId25" Type="http://schemas.openxmlformats.org/officeDocument/2006/relationships/hyperlink" Target="https://data.europa.eu/doi/10.2777/997651" TargetMode="External"/><Relationship Id="rId33" Type="http://schemas.openxmlformats.org/officeDocument/2006/relationships/hyperlink" Target="https://eur-lex.europa.eu/legal-content/EN/TXT/?uri=CELEX%3A52023PC0148&amp;qid=1679410882233" TargetMode="External"/><Relationship Id="rId38" Type="http://schemas.openxmlformats.org/officeDocument/2006/relationships/hyperlink" Target="https://single-market-economy.ec.europa.eu/system/files/2023-03/SWD_2023_68_F1_STAFF_WORKING_PAPER_EN_V4_P1_2629849.PDF" TargetMode="External"/><Relationship Id="rId2" Type="http://schemas.openxmlformats.org/officeDocument/2006/relationships/hyperlink" Target="https://www.engage-climate.org/" TargetMode="External"/><Relationship Id="rId16" Type="http://schemas.openxmlformats.org/officeDocument/2006/relationships/hyperlink" Target="https://core.ac.uk/display/34602877?utm_source=pdf&amp;utm_medium=banner&amp;utm_campaign=pdf-decoration-v1" TargetMode="External"/><Relationship Id="rId20" Type="http://schemas.openxmlformats.org/officeDocument/2006/relationships/hyperlink" Target="https://single-market-economy.ec.europa.eu/system/files/2023-03/SWD_2023_68_F1_STAFF_WORKING_PAPER_EN_V4_P1_2629849.PDF" TargetMode="External"/><Relationship Id="rId29" Type="http://schemas.openxmlformats.org/officeDocument/2006/relationships/hyperlink" Target="https://webgate.ec.europa.eu/publications/etendering/intranet/cft/cft-display.html?cftId=14692&amp;ticket=ST-6298539-Er193729HOODeJxIvJDmNtUdZECPc4zPeSnhJ5XFHa6rcEdhGsLFwVcLsTpfkayAW022Com9zURJyu0fY5UDizG-yntOf97TTHqUCbXRoa5bGq-AOIPKwbaTZUXCokeTRe3OfVkeJb7H3542tObhizcBUNLzMHPUEku7p7lyJa1wrzOoRyPj51WlAym8gnzKy1Xxzl" TargetMode="External"/><Relationship Id="rId41" Type="http://schemas.openxmlformats.org/officeDocument/2006/relationships/hyperlink" Target="https://eur-lex.europa.eu/legal-content/EN/TXT/PDF/?uri=CELEX:32022H0627(04)" TargetMode="External"/><Relationship Id="rId1" Type="http://schemas.openxmlformats.org/officeDocument/2006/relationships/hyperlink" Target="https://zenodo.org/record/8337668" TargetMode="External"/><Relationship Id="rId6" Type="http://schemas.openxmlformats.org/officeDocument/2006/relationships/hyperlink" Target="https://www.eea.europa.eu/ds_resolveuid/KPQBZ3Y6T9" TargetMode="External"/><Relationship Id="rId11" Type="http://schemas.openxmlformats.org/officeDocument/2006/relationships/hyperlink" Target="https://eur-lex.europa.eu/legal-content/EN/TXT/PDF/?uri=CELEX:52020SC0176" TargetMode="External"/><Relationship Id="rId24" Type="http://schemas.openxmlformats.org/officeDocument/2006/relationships/hyperlink" Target="https://single-market-economy.ec.europa.eu/system/files/2023-03/SWD_2023_68_F1_STAFF_WORKING_PAPER_EN_V4_P1_2629849.PDF" TargetMode="External"/><Relationship Id="rId32" Type="http://schemas.openxmlformats.org/officeDocument/2006/relationships/hyperlink" Target="https://publications.jrc.ec.europa.eu/repository/handle/JRC131864" TargetMode="External"/><Relationship Id="rId37" Type="http://schemas.openxmlformats.org/officeDocument/2006/relationships/hyperlink" Target="https://ec.europa.eu/social/main.jsp?catId=738&amp;langId=en&amp;pubId=8553&amp;furtherPubs=yes" TargetMode="External"/><Relationship Id="rId40" Type="http://schemas.openxmlformats.org/officeDocument/2006/relationships/hyperlink" Target="https://ec.europa.eu/social/main.jsp?langId=en&amp;catId=1588" TargetMode="External"/><Relationship Id="rId5" Type="http://schemas.openxmlformats.org/officeDocument/2006/relationships/hyperlink" Target="https://www.eurelectric.org/publications/decarbonisation-speedways-full-report" TargetMode="External"/><Relationship Id="rId15" Type="http://schemas.openxmlformats.org/officeDocument/2006/relationships/hyperlink" Target="https://ec.europa.eu/social/main.jsp?catId=738&amp;langId=en&amp;pubId=8553&amp;furtherPubs=yes" TargetMode="External"/><Relationship Id="rId23" Type="http://schemas.openxmlformats.org/officeDocument/2006/relationships/hyperlink" Target="https://eur-lex.europa.eu/legal-content/EN/TXT/PDF/?uri=CELEX:52021SC0613" TargetMode="External"/><Relationship Id="rId28" Type="http://schemas.openxmlformats.org/officeDocument/2006/relationships/hyperlink" Target="https://www.eea.europa.eu/en/about/who-we-are/projects-and-cooperation-agreements/european-climate-risk-assessment" TargetMode="External"/><Relationship Id="rId36" Type="http://schemas.openxmlformats.org/officeDocument/2006/relationships/hyperlink" Target="https://eur-lex.europa.eu/resource.html?uri=cellar:daf643a4-5da2-11ec-9c6c-01aa75ed71a1.0001.02/DOC_1&amp;format=PDF" TargetMode="External"/><Relationship Id="rId10" Type="http://schemas.openxmlformats.org/officeDocument/2006/relationships/hyperlink" Target="https://www.reuters.com/business/autos-transportation/tesla-use-iron-based-batteries-semi-electric-trucks-affordable-electric-car-2023-04-06/" TargetMode="External"/><Relationship Id="rId19" Type="http://schemas.openxmlformats.org/officeDocument/2006/relationships/hyperlink" Target="https://eur-lex.europa.eu/legal-content/EN/TXT/PDF/?uri=CELEX:52022SC0230" TargetMode="External"/><Relationship Id="rId31" Type="http://schemas.openxmlformats.org/officeDocument/2006/relationships/hyperlink" Target="https://ec.europa.eu/energy/data-analysis/energy-modelling/eu-reference-scenario-2016_en" TargetMode="External"/><Relationship Id="rId4" Type="http://schemas.openxmlformats.org/officeDocument/2006/relationships/hyperlink" Target="https://www.iea.org/data-and-statistics/data-tools/critical-minerals-data-explorer" TargetMode="External"/><Relationship Id="rId9" Type="http://schemas.openxmlformats.org/officeDocument/2006/relationships/hyperlink" Target="https://www.imeche.org/docs/default-source/default-document-library/global-food---waste-not-want-not.pdf?sfvrsn=b3adce12_0" TargetMode="External"/><Relationship Id="rId14" Type="http://schemas.openxmlformats.org/officeDocument/2006/relationships/hyperlink" Target="https://single-market-economy.ec.europa.eu/system/files/2023-03/SWD_2023_68_F1_STAFF_WORKING_PAPER_EN_V4_P1_2629849.PDF" TargetMode="External"/><Relationship Id="rId22" Type="http://schemas.openxmlformats.org/officeDocument/2006/relationships/hyperlink" Target="https://single-market-economy.ec.europa.eu/system/files/2023-03/SWD_2023_68_F1_STAFF_WORKING_PAPER_EN_V4_P1_2629849.PDF" TargetMode="External"/><Relationship Id="rId27" Type="http://schemas.openxmlformats.org/officeDocument/2006/relationships/hyperlink" Target="https://eur-lex.europa.eu/legal-content/EN/TXT/PDF/?uri=CELEX:52021SC0025" TargetMode="External"/><Relationship Id="rId30" Type="http://schemas.openxmlformats.org/officeDocument/2006/relationships/hyperlink" Target="https://ec.europa.eu/eurostat/statistics-explained/index.php?title=Environmental_tax_statistics" TargetMode="External"/><Relationship Id="rId35" Type="http://schemas.openxmlformats.org/officeDocument/2006/relationships/hyperlink" Target="https://www.sciencedirect.com/science/article/pii/S0040162522003274" TargetMode="External"/><Relationship Id="rId43" Type="http://schemas.openxmlformats.org/officeDocument/2006/relationships/hyperlink" Target="https://doi.org/10.1080/13662716.2023.22360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Author Role="Creator" AuthorRoleName="Writer" AuthorRoleId="a4fbaff4-b07c-48b4-a21e-e7b9eedf3796">
  <Id>ef2f7686-9793-4f89-8175-ed60deaaeef0</Id>
  <Names>
    <Latin>
      <FirstName>Duncan</FirstName>
      <LastName>JOHNSTONE</LastName>
    </Latin>
    <Greek>
      <FirstName/>
      <LastName/>
    </Greek>
    <Cyrillic>
      <FirstName/>
      <LastName/>
    </Cyrillic>
    <DocumentScript>
      <FirstName>Duncan</FirstName>
      <LastName>JOHNSTONE</LastName>
      <FullName>Duncan JOHNSTONE</FullName>
    </DocumentScript>
  </Names>
  <Initials>DJ</Initials>
  <Gender>m</Gender>
  <Email>Duncan.JOHNSTONE@ec.europa.eu</Email>
  <Service>ENV.01</Service>
  <Function ADCode="" ShowInSignature="true" ShowInHeader="false" HeaderText=""/>
  <WebAddress/>
  <FunctionalMailbox/>
  <InheritedWebAddress>WebAddress</InheritedWebAddress>
  <OrgaEntity1>
    <Id>3582fddc-c2e6-4f76-9feb-24293efccb2e</Id>
    <LogicalLevel>1</LogicalLevel>
    <Name>ENV</Name>
    <HeadLine1>DIRECTORATE-GENERAL</HeadLine1>
    <HeadLine2>ENVIRONMENT</HeadLine2>
    <PrimaryAddressId>f03b5801-04c9-4931-aa17-c6d6c70bc579</PrimaryAddressId>
    <SecondaryAddressId/>
    <WebAddress>WebAddress</WebAddress>
    <InheritedWebAddress>WebAddress</InheritedWebAddress>
    <ShowInHeader>true</ShowInHeader>
  </OrgaEntity1>
  <OrgaEntity2/>
  <OrgaEntity3>
    <Id>7c2472ed-9bdf-4153-9585-aaa5f4dd258e</Id>
    <LogicalLevel>3</LogicalLevel>
    <Name>ENV.01</Name>
    <HeadLine1>ENV.01 – Strategy, Digitalization, Better Regulation &amp; Economic Analysis</HeadLine1>
    <HeadLine2/>
    <PrimaryAddressId>f03b5801-04c9-4931-aa17-c6d6c70bc579</PrimaryAddressId>
    <SecondaryAddressId/>
    <WebAddress/>
    <InheritedWebAddress>WebAddress</InheritedWebAddress>
    <ShowInHeader>true</ShowInHeader>
  </OrgaEntity3>
  <Hierarchy>
    <OrgaEntity>
      <Id>3582fddc-c2e6-4f76-9feb-24293efccb2e</Id>
      <LogicalLevel>1</LogicalLevel>
      <Name>ENV</Name>
      <HeadLine1>DIRECTORATE-GENERAL</HeadLine1>
      <HeadLine2>ENVIRONMENT</HeadLine2>
      <PrimaryAddressId>f03b5801-04c9-4931-aa17-c6d6c70bc579</PrimaryAddressId>
      <SecondaryAddressId/>
      <WebAddress>WebAddress</WebAddress>
      <InheritedWebAddress>WebAddress</InheritedWebAddress>
      <ShowInHeader>true</ShowInHeader>
    </OrgaEntity>
    <OrgaEntity>
      <Id>7c2472ed-9bdf-4153-9585-aaa5f4dd258e</Id>
      <LogicalLevel>3</LogicalLevel>
      <Name>ENV.01</Name>
      <HeadLine1>ENV.01 – Strategy, Digitalization, Better Regulation &amp; Economic Analysis</HeadLine1>
      <HeadLine2/>
      <PrimaryAddressId>f03b5801-04c9-4931-aa17-c6d6c70bc579</PrimaryAddressId>
      <SecondaryAddressId/>
      <WebAddress/>
      <InheritedWebAddress>WebAddress</InheritedWebAddress>
      <ShowInHeader>true</ShowInHeader>
    </OrgaEntity>
  </Hierarchy>
  <Addresses>
    <Address>
      <Id>f03b5801-04c9-4931-aa17-c6d6c70bc579</Id>
      <Name>Brussels</Name>
      <PhoneNumberPrefix>+32 229-</PhoneNumberPrefix>
      <TranslatedName>Brussels</TranslatedName>
      <Location>Brussels,</Location>
      <Footer>Commission européenne/Europese Commissie, 1049 Bruxelles/Brussel, BELGIQUE/BELGIË – Tel. +32 22991111</Footer>
    </Address>
  </Addresses>
  <JobAssignmentId/>
  <MainWorkplace IsMain="true">
    <AddressId>f03b5801-04c9-4931-aa17-c6d6c70bc579</AddressId>
    <Fax/>
    <Phone>+32 229-66702</Phone>
    <Office>BRE2 10/DCS</Office>
  </MainWorkplace>
  <Workplaces>
    <Workplace IsMain="true">
      <AddressId>f03b5801-04c9-4931-aa17-c6d6c70bc579</AddressId>
      <Fax/>
      <Phone>+32 229-66702</Phone>
      <Office>BRE2 10/DCS</Office>
    </Workplace>
  </Workplaces>
</Author>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Texts>
  <SensitiveFootnoteHyperlink>{field:HYPERLINK "https://europa.eu/!db43PX" |https://europa.eu/!db43PX}</SensitiveFootnoteHyperlink>
  <SecuritySecurityMatter>Security Matter</SecuritySecurityMatter>
  <SensitiveLabel>Sensitive</SensitiveLabel>
  <SensitiveHandling>Distribution only on a need-to-know basis. Do not read or carry openly in public places. Must be encrypted in transmission and stored securely, where possible by using encrypted storage. Destroy copies by shredding or secure deletion. Full handling instructions: </SensitiveHandling>
  <LabelFormattedTableSeqEC>Table {field: SEQ Table \* ARABIC }: </LabelFormattedTableSeqEC>
  <MarkingUntilText>UNTIL</MarkingUntilText>
  <OrgaRoot>EUROPEAN COMMISSION</OrgaRoot>
  <SecurityPharma>Pharma Investigations</SecurityPharma>
  <ClimaSensitive>CLIMA</ClimaSensitive>
  <TechHistoryCreatedBy>Document created by</TechHistoryCreatedBy>
  <TechHistoryDate>Date</TechHistoryDate>
  <TechHistory>Document History</TechHistory>
  <TechHistoryComment>Comment</TechHistoryComment>
  <TechHistoryVersion>Version</TechHistoryVersion>
  <SecurityEmbargo>EMBARGO UNTIL</SecurityEmbargo>
  <Contact>Contact:</Contact>
  <Contacts>Contacts:</Contacts>
  <ESigned>Electronically signed</ESigned>
  <SecurityIasOperations>IAS Operations</SecurityIasOperations>
  <SensitiveHandlingIASOperations>The marking is applied to operational documents handled in the context of audits, consulting engagements and risk assessments of the Internal Audit Service. Distribution of the documents is based on a strictly ‘need-to-know’ basis. Recipients of the documents must adhere to the same marking and handling rules, preventing unauthorised persons from accessing such documents or information. When a document marked ‘{bold:SENSITIVE}: {italic:IAS Operations}’ is sent via e-mail, it must be encrypted and a disclaimer must be added in a signature. Any person receiving documents and all associated information marked ‘{bold:SENSITIVE}: {italic:IAS Operations}’ who is not the intended recipient must inform the sender and destroy the documents by appropriate secure means. The documents may contain personal data as defined in Article 3(1) of Regulation (EU) 2018/1725. Recipients are subject to the responsibilities defined in this article.</SensitiveHandlingIASOperations>
  <SensitiveFootnoteHyperlinkIASOperations>Handling instructions for SENSITIVE information are given at {field: HYPERLINK "https://europa.eu/!db43PX" |https://europa.eu/!db43PX}.</SensitiveFootnoteHyperlinkIASOperations>
  <LabelTableSeqWChapter>Table { STYLEREF "Chapter Number" \s }.{ SEQ Table \* ARABIC } – </LabelTableSeqWChapter>
  <LabelSource>Source</LabelSource>
  <LabelTableSeqEC>Table {SEQ Table \* ARABIC }: </LabelTableSeqEC>
  <EmbargoUnlimited>Embargo (Unlimited)</EmbargoUnlimited>
  <SecurityCompOperations>COMP Operations</SecurityCompOperations>
  <SecurityOpinionLegalService>Opinion of the Legal Service</SecurityOpinionLegalService>
  <FooterPhone>Tel. direct line</FooterPhone>
  <FooterFax>Fax</FooterFax>
  <FooterOffice>Office:</FooterOffice>
  <PharmaSpecialHandlingLabel>Pharma Investigations</PharmaSpecialHandlingLabel>
  <SpecialHandlingFootnote>Special handling instructions are given at </SpecialHandlingFootnote>
  <PharmaSpecialHandlingHyperlink>{field:HYPERLINK "https://myintracomm.ec.europa.eu/corp/security/EN/newDS3/SensitiveInformation/Pages/SPECIAL-HANDLING-INFORMATION-Pharma-investigations.aspx?ln=en" |https://myintracomm.ec.europa.eu/corp/security/EN/newDS3/SensitiveInformation/Pages/SPECIAL-HANDLING-INFORMATION-Pharma-investigations.aspx?ln=en}</PharmaSpecialHandlingHyperlink>
  <SpecialHandlingLabel>Special Handling</SpecialHandlingLabel>
  <TOCHeading>Table of Contents</TOCHeading>
  <DAC.Line2>EMPLOYMENT, SOCIAL AFFAIRS AND INCLUSION</DAC.Line2>
  <DAC.Line3>REGIONAL AND URBAN POLICY</DAC.Line3>
  <DAC.Line1>DIRECTORATES-GENERAL</DAC.Line1>
  <CLIMASpecialHandlingHyperlink>{field:HYPERLINK "https://myintracomm.ec.europa.eu/corp/security/EN/newDS3/SensitiveInformation/Pages/SPECIAL-HANDLING-INFORMATION-DG-CLIMA.aspx?ln=en" |https://myintracomm.ec.europa.eu/corp/security/EN/newDS3/SensitiveInformation/Pages/SPECIAL-HANDLING-INFORMATION-DG-CLIMA.aspx?ln=en}</CLIMASpecialHandlingHyperlink>
  <CLIMASpecialHandlingLabel>CLIMA</CLIMASpecialHandlingLabel>
  <ContactFax>fax</ContactFax>
  <ContactTextPattern>%Name%[, %Function%][, %Office%][, %Phone%][, %Fax%][, %Email%][, %Dg%][, %Directorate%][, %Unit%]</ContactTextPattern>
  <ContactTel>tel.</ContactTel>
  <ContactOffice>office</ContactOffice>
  <SecurityMedicalSecret>Medical Secret</SecurityMedicalSecret>
  <SecurityStaffMatter>Staff Matter</SecurityStaffMatter>
  <SecurityMediationServiceMatter>Mediation Service</SecurityMediationServiceMatter>
  <LabelFigureSeqEC>Figure {SEQ Figure \* ARABIC }: </LabelFigureSeqEC>
  <LabelFigureSeqWChapter>Table {field: STYLEREF "Chapter Number" \s }.{field: SEQ Table \* ARABIC } –</LabelFigureSeqWChapter>
  <SecurityReleasable>RELEASABLE TO:</SecurityReleasable>
  <LabelPictureSeq>Figure {SEQ Figure \* ARABIC }: </LabelPictureSeq>
  <Year>({field: DATE \@ "yyyy" })</Year>
  <CourtProceduralDocuments>Court Procedural Documents</CourtProceduralDocuments>
  <SecurityInvestigationsDisciplinary>Investigations and Disciplinary Matters</SecurityInvestigationsDisciplinary>
  <SecurityOlafInvestigations>OLAF Investigations</SecurityOlafInvestigations>
  <OLAFSpecialHandlingLabel>OLAF Investigations</OLAFSpecialHandlingLabel>
  <OLAFSpecialHandlingHyperlink>{field:HYPERLINK "https://myintracomm.ec.europa.eu/corp/security/EN/newDS3/SensitiveInformation/Pages/SPECIAL-HANDLING-INFORMATION-OLAF-Investigations.aspx?ln=en" |https://myintracomm.ec.europa.eu/corp/security/EN/newDS3/SensitiveInformation/Pages/SPECIAL-HANDLING-INFORMATION-OLAF-Investigations.aspx?ln=en}</OLAFSpecialHandlingHyperlink>
  <COMPSpecialHandlingLabel>COMP</COMPSpecialHandlingLabel>
  <COMPSpecialHandlingHyperlink>{field:HYPERLINK "https://myintracomm.ec.europa.eu/corp/security/EN/newDS3/SensitiveInformation/Pages/SPECIAL-HANDLING-INFORMATION-DG-COMP.aspx?ln=en" |https://myintracomm.ec.europa.eu/corp/security/EN/newDS3/SensitiveInformation/Pages/SPECIAL-HANDLING-INFORMATION-DG-COMP.aspx?ln=en}</COMPSpecialHandlingHyperlink>
  <DateFormatShort>dd/MM/yyyy</DateFormatShort>
  <DateFormatLong>d MMMM yyyy</DateFormatLong>
</Texts>
</file>

<file path=customXml/item4.xml><?xml version="1.0" encoding="utf-8"?>
<ct:contentTypeSchema xmlns:ct="http://schemas.microsoft.com/office/2006/metadata/contentType" xmlns:ma="http://schemas.microsoft.com/office/2006/metadata/properties/metaAttributes" ct:_="" ma:_="" ma:contentTypeName="Document" ma:contentTypeID="0x010100AE1987089B2DDC4EA3C5EEDA50AEC7B2" ma:contentTypeVersion="18" ma:contentTypeDescription="Create a new document." ma:contentTypeScope="" ma:versionID="515fdc0f9a7d11954d94cb1103835bdf">
  <xsd:schema xmlns:xsd="http://www.w3.org/2001/XMLSchema" xmlns:xs="http://www.w3.org/2001/XMLSchema" xmlns:p="http://schemas.microsoft.com/office/2006/metadata/properties" xmlns:ns2="122f29e7-6632-4cfe-826d-d0aa7d34b0a3" xmlns:ns3="0963436b-35f1-4197-85e1-d8d1686f5aa4" targetNamespace="http://schemas.microsoft.com/office/2006/metadata/properties" ma:root="true" ma:fieldsID="693a45ec431d16f66d3b0ff7a4b65068" ns2:_="" ns3:_="">
    <xsd:import namespace="122f29e7-6632-4cfe-826d-d0aa7d34b0a3"/>
    <xsd:import namespace="0963436b-35f1-4197-85e1-d8d1686f5aa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ForcontributionsbyCLIMAunits" minOccurs="0"/>
                <xsd:element ref="ns2:MediaServiceDateTake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2f29e7-6632-4cfe-826d-d0aa7d34b0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ForcontributionsbyCLIMAunits" ma:index="21" nillable="true" ma:displayName="For contributions by CLIMA units" ma:format="Dropdown" ma:list="UserInfo" ma:SharePointGroup="0" ma:internalName="ForcontributionsbyCLIMAunit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63436b-35f1-4197-85e1-d8d1686f5aa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865d83c-5963-4a75-819a-ef9fffe75ef7}" ma:internalName="TaxCatchAll" ma:showField="CatchAllData" ma:web="0963436b-35f1-4197-85e1-d8d1686f5a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EurolookProperties>
  <ProductCustomizationId>EC</ProductCustomizationId>
  <Created>
    <Version>10.0.44226.0</Version>
    <Date>2023-01-13T10:31:02</Date>
    <Language>EN</Language>
    <Note/>
  </Created>
  <Edited>
    <Version/>
    <Date/>
  </Edited>
  <DocumentModel>
    <Id>6cbda13a-4db2-46c6-876a-ef72275827ef</Id>
    <Name>Report</Name>
  </DocumentModel>
  <CustomTemplate>
    <Id/>
    <Name/>
  </CustomTemplate>
  <DocumentDate>2023-01-13T10:31:02</DocumentDate>
  <DocumentVersion>0.1</DocumentVersion>
  <CompatibilityMode>Eurolook10</CompatibilityMode>
  <DocumentMetadata>
    <EC_SecurityMarking MetadataSerializationType="SimpleValue"/>
    <EC_SecurityDateMarkingDate MetadataSerializationType="SimpleValue"/>
    <EC_SecurityDistributionDG MetadataSerializationType="SimpleValue"/>
    <EC_SecurityDateMarkingEvent MetadataSerializationType="SimpleValue"/>
    <EC_SecurityDistributionSpecialHandling MetadataSerializationType="SimpleValue"/>
    <EC_SecurityDistributionWorkingGroup MetadataSerializationType="SimpleValue"/>
    <EC_SecurityReleasability MetadataSerializationType="SimpleValue"/>
    <EC_SecurityDateMarking MetadataSerializationType="SimpleValue"/>
    <EC_SecurityDistributionSensitive MetadataSerializationType="SimpleValue"/>
  </DocumentMetadata>
</EurolookProperties>
</file>

<file path=customXml/item6.xml><?xml version="1.0" encoding="utf-8"?>
<p:properties xmlns:p="http://schemas.microsoft.com/office/2006/metadata/properties" xmlns:xsi="http://www.w3.org/2001/XMLSchema-instance" xmlns:pc="http://schemas.microsoft.com/office/infopath/2007/PartnerControls">
  <documentManagement>
    <lcf76f155ced4ddcb4097134ff3c332f xmlns="122f29e7-6632-4cfe-826d-d0aa7d34b0a3">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TaxCatchAll xmlns="0963436b-35f1-4197-85e1-d8d1686f5aa4" xsi:nil="true"/>
    <ForcontributionsbyCLIMAunits xmlns="122f29e7-6632-4cfe-826d-d0aa7d34b0a3">
      <UserInfo>
        <DisplayName/>
        <AccountId xsi:nil="true"/>
        <AccountType/>
      </UserInfo>
    </ForcontributionsbyCLIMAunits>
    <SharedWithUsers xmlns="0963436b-35f1-4197-85e1-d8d1686f5aa4">
      <UserInfo>
        <DisplayName>SAVEYN Bert (ENER)</DisplayName>
        <AccountId>130</AccountId>
        <AccountType/>
      </UserInfo>
      <UserInfo>
        <DisplayName>FERIOLI Francesco (ENER)</DisplayName>
        <AccountId>82</AccountId>
        <AccountType/>
      </UserInfo>
      <UserInfo>
        <DisplayName>VON METTENHEIM Manuel (ENER)</DisplayName>
        <AccountId>205</AccountId>
        <AccountType/>
      </UserInfo>
      <UserInfo>
        <DisplayName>SERRE Clement (ENER)</DisplayName>
        <AccountId>136</AccountId>
        <AccountType/>
      </UserInfo>
      <UserInfo>
        <DisplayName>TATTINI Jacopo (JRC-SEVILLA)</DisplayName>
        <AccountId>390</AccountId>
        <AccountType/>
      </UserInfo>
      <UserInfo>
        <DisplayName>KOOLEN Derck (ENER)</DisplayName>
        <AccountId>395</AccountId>
        <AccountType/>
      </UserInfo>
      <UserInfo>
        <DisplayName>SCHULER Johannes (CLIMA)</DisplayName>
        <AccountId>75</AccountId>
        <AccountType/>
      </UserInfo>
      <UserInfo>
        <DisplayName>ESMEIJER Kendall (ENER)</DisplayName>
        <AccountId>614</AccountId>
        <AccountType/>
      </UserInfo>
    </SharedWithUsers>
  </documentManagement>
</p: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45D9F-CEEA-435C-906A-BD508031B14B}">
  <ds:schemaRefs/>
</ds:datastoreItem>
</file>

<file path=customXml/itemProps2.xml><?xml version="1.0" encoding="utf-8"?>
<ds:datastoreItem xmlns:ds="http://schemas.openxmlformats.org/officeDocument/2006/customXml" ds:itemID="{1EFE9709-9C2F-4F62-992C-7451AC4A7620}">
  <ds:schemaRefs>
    <ds:schemaRef ds:uri="http://schemas.microsoft.com/sharepoint/v3/contenttype/forms"/>
  </ds:schemaRefs>
</ds:datastoreItem>
</file>

<file path=customXml/itemProps3.xml><?xml version="1.0" encoding="utf-8"?>
<ds:datastoreItem xmlns:ds="http://schemas.openxmlformats.org/officeDocument/2006/customXml" ds:itemID="{4EF90DE6-88B6-4264-9629-4D8DFDFE87D2}">
  <ds:schemaRefs/>
</ds:datastoreItem>
</file>

<file path=customXml/itemProps4.xml><?xml version="1.0" encoding="utf-8"?>
<ds:datastoreItem xmlns:ds="http://schemas.openxmlformats.org/officeDocument/2006/customXml" ds:itemID="{D890BE42-E926-46A3-BD29-09F31F236A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2f29e7-6632-4cfe-826d-d0aa7d34b0a3"/>
    <ds:schemaRef ds:uri="0963436b-35f1-4197-85e1-d8d1686f5a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3EA5527-7367-4268-9D83-5125C98D0ED2}">
  <ds:schemaRefs/>
</ds:datastoreItem>
</file>

<file path=customXml/itemProps6.xml><?xml version="1.0" encoding="utf-8"?>
<ds:datastoreItem xmlns:ds="http://schemas.openxmlformats.org/officeDocument/2006/customXml" ds:itemID="{5BE6EACD-B8D9-40EC-819C-E857AFE1389F}">
  <ds:schemaRefs>
    <ds:schemaRef ds:uri="0963436b-35f1-4197-85e1-d8d1686f5aa4"/>
    <ds:schemaRef ds:uri="http://schemas.microsoft.com/office/2006/metadata/properties"/>
    <ds:schemaRef ds:uri="http://purl.org/dc/dcmitype/"/>
    <ds:schemaRef ds:uri="http://schemas.microsoft.com/office/2006/documentManagement/types"/>
    <ds:schemaRef ds:uri="122f29e7-6632-4cfe-826d-d0aa7d34b0a3"/>
    <ds:schemaRef ds:uri="http://purl.org/dc/elements/1.1/"/>
    <ds:schemaRef ds:uri="http://schemas.microsoft.com/office/infopath/2007/PartnerControls"/>
    <ds:schemaRef ds:uri="http://schemas.openxmlformats.org/package/2006/metadata/core-properties"/>
    <ds:schemaRef ds:uri="http://www.w3.org/XML/1998/namespace"/>
    <ds:schemaRef ds:uri="http://purl.org/dc/terms/"/>
  </ds:schemaRefs>
</ds:datastoreItem>
</file>

<file path=customXml/itemProps7.xml><?xml version="1.0" encoding="utf-8"?>
<ds:datastoreItem xmlns:ds="http://schemas.openxmlformats.org/officeDocument/2006/customXml" ds:itemID="{0624F833-ADC5-4A7B-8DD8-87180131C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77094</Words>
  <Characters>439436</Characters>
  <Application>Microsoft Office Word</Application>
  <DocSecurity>0</DocSecurity>
  <Lines>3661</Lines>
  <Paragraphs>1030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15</cp:revision>
  <cp:lastPrinted>2024-01-15T12:57:00Z</cp:lastPrinted>
  <dcterms:created xsi:type="dcterms:W3CDTF">2024-02-04T18:53:00Z</dcterms:created>
  <dcterms:modified xsi:type="dcterms:W3CDTF">2024-02-06T06:56:00Z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rt">
    <vt:lpwstr>3</vt:lpwstr>
  </property>
  <property fmtid="{D5CDD505-2E9C-101B-9397-08002B2CF9AE}" pid="3" name="Last edited using">
    <vt:lpwstr>LW 9.0, Build 20230317</vt:lpwstr>
  </property>
  <property fmtid="{D5CDD505-2E9C-101B-9397-08002B2CF9AE}" pid="4" name="MediaServiceImageTags">
    <vt:lpwstr/>
  </property>
  <property fmtid="{D5CDD505-2E9C-101B-9397-08002B2CF9AE}" pid="5" name="ContentTypeId">
    <vt:lpwstr>0x010100AE1987089B2DDC4EA3C5EEDA50AEC7B2</vt:lpwstr>
  </property>
  <property fmtid="{D5CDD505-2E9C-101B-9397-08002B2CF9AE}" pid="6" name="_LW_INVALIDATED_ELDocType">
    <vt:lpwstr>rep.dot</vt:lpwstr>
  </property>
  <property fmtid="{D5CDD505-2E9C-101B-9397-08002B2CF9AE}" pid="7" name="CPTemplateID">
    <vt:lpwstr>CP-026</vt:lpwstr>
  </property>
  <property fmtid="{D5CDD505-2E9C-101B-9397-08002B2CF9AE}" pid="8" name="_LW_INVALIDATED_EurolookVersion">
    <vt:lpwstr>10.0</vt:lpwstr>
  </property>
  <property fmtid="{D5CDD505-2E9C-101B-9397-08002B2CF9AE}" pid="9" name="Created using">
    <vt:lpwstr>LW 8.1, Build 20220902</vt:lpwstr>
  </property>
  <property fmtid="{D5CDD505-2E9C-101B-9397-08002B2CF9AE}" pid="10" name="Total parts">
    <vt:lpwstr>5</vt:lpwstr>
  </property>
  <property fmtid="{D5CDD505-2E9C-101B-9397-08002B2CF9AE}" pid="11" name="DocStatus">
    <vt:lpwstr>Green</vt:lpwstr>
  </property>
  <property fmtid="{D5CDD505-2E9C-101B-9397-08002B2CF9AE}" pid="12" name="Level of sensitivity">
    <vt:lpwstr>Standard treatment</vt:lpwstr>
  </property>
  <property fmtid="{D5CDD505-2E9C-101B-9397-08002B2CF9AE}" pid="13" name="MSIP_Label_6bd9ddd1-4d20-43f6-abfa-fc3c07406f94_Enabled">
    <vt:lpwstr>true</vt:lpwstr>
  </property>
  <property fmtid="{D5CDD505-2E9C-101B-9397-08002B2CF9AE}" pid="14" name="MSIP_Label_6bd9ddd1-4d20-43f6-abfa-fc3c07406f94_SetDate">
    <vt:lpwstr>2024-01-26T11:04:47Z</vt:lpwstr>
  </property>
  <property fmtid="{D5CDD505-2E9C-101B-9397-08002B2CF9AE}" pid="15" name="MSIP_Label_6bd9ddd1-4d20-43f6-abfa-fc3c07406f94_Method">
    <vt:lpwstr>Privileged</vt:lpwstr>
  </property>
  <property fmtid="{D5CDD505-2E9C-101B-9397-08002B2CF9AE}" pid="16" name="MSIP_Label_6bd9ddd1-4d20-43f6-abfa-fc3c07406f94_Name">
    <vt:lpwstr>Commission Use</vt:lpwstr>
  </property>
  <property fmtid="{D5CDD505-2E9C-101B-9397-08002B2CF9AE}" pid="17" name="MSIP_Label_6bd9ddd1-4d20-43f6-abfa-fc3c07406f94_SiteId">
    <vt:lpwstr>b24c8b06-522c-46fe-9080-70926f8dddb1</vt:lpwstr>
  </property>
  <property fmtid="{D5CDD505-2E9C-101B-9397-08002B2CF9AE}" pid="18" name="MSIP_Label_6bd9ddd1-4d20-43f6-abfa-fc3c07406f94_ActionId">
    <vt:lpwstr>fd52ac3f-392c-4325-a331-d568931b97a6</vt:lpwstr>
  </property>
  <property fmtid="{D5CDD505-2E9C-101B-9397-08002B2CF9AE}" pid="19" name="MSIP_Label_6bd9ddd1-4d20-43f6-abfa-fc3c07406f94_ContentBits">
    <vt:lpwstr>0</vt:lpwstr>
  </property>
  <property name="OP_sanitized" fmtid="{D5CDD505-2E9C-101B-9397-08002B2CF9AE}" pid="20">
    <vt:lpwstr>True</vt:lpwstr>
  </property>
</Properties>
</file>